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vsd" ContentType="application/vnd.visi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oter11.xml" ContentType="application/vnd.openxmlformats-officedocument.wordprocessingml.footer+xml"/>
  <Override PartName="/word/charts/chart15.xml" ContentType="application/vnd.openxmlformats-officedocument.drawingml.chart+xml"/>
  <Override PartName="/word/footer12.xml" ContentType="application/vnd.openxmlformats-officedocument.wordprocessingml.footer+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theme/themeOverride1.xml" ContentType="application/vnd.openxmlformats-officedocument.themeOverride+xml"/>
  <Override PartName="/word/footer13.xml" ContentType="application/vnd.openxmlformats-officedocument.wordprocessingml.footer+xml"/>
  <Override PartName="/word/footer14.xml" ContentType="application/vnd.openxmlformats-officedocument.wordprocessingml.footer+xml"/>
  <Override PartName="/word/charts/chart22.xml" ContentType="application/vnd.openxmlformats-officedocument.drawingml.chart+xml"/>
  <Override PartName="/word/footer15.xml" ContentType="application/vnd.openxmlformats-officedocument.wordprocessingml.footer+xml"/>
  <Override PartName="/word/charts/chart23.xml" ContentType="application/vnd.openxmlformats-officedocument.drawingml.chart+xml"/>
  <Override PartName="/word/theme/themeOverride2.xml" ContentType="application/vnd.openxmlformats-officedocument.themeOverride+xml"/>
  <Override PartName="/word/charts/chart24.xml" ContentType="application/vnd.openxmlformats-officedocument.drawingml.chart+xml"/>
  <Override PartName="/word/theme/themeOverride3.xml" ContentType="application/vnd.openxmlformats-officedocument.themeOverride+xml"/>
  <Override PartName="/word/charts/chart25.xml" ContentType="application/vnd.openxmlformats-officedocument.drawingml.chart+xml"/>
  <Override PartName="/word/theme/themeOverride4.xml" ContentType="application/vnd.openxmlformats-officedocument.themeOverride+xml"/>
  <Override PartName="/word/charts/chart26.xml" ContentType="application/vnd.openxmlformats-officedocument.drawingml.chart+xml"/>
  <Override PartName="/word/theme/themeOverride5.xml" ContentType="application/vnd.openxmlformats-officedocument.themeOverride+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charts/chart27.xml" ContentType="application/vnd.openxmlformats-officedocument.drawingml.chart+xml"/>
  <Override PartName="/word/theme/themeOverride6.xml" ContentType="application/vnd.openxmlformats-officedocument.themeOverride+xml"/>
  <Override PartName="/word/charts/chart28.xml" ContentType="application/vnd.openxmlformats-officedocument.drawingml.chart+xml"/>
  <Override PartName="/word/theme/themeOverride7.xml" ContentType="application/vnd.openxmlformats-officedocument.themeOverride+xml"/>
  <Override PartName="/word/charts/chart29.xml" ContentType="application/vnd.openxmlformats-officedocument.drawingml.chart+xml"/>
  <Override PartName="/word/theme/themeOverride8.xml" ContentType="application/vnd.openxmlformats-officedocument.themeOverride+xml"/>
  <Override PartName="/word/charts/chart30.xml" ContentType="application/vnd.openxmlformats-officedocument.drawingml.chart+xml"/>
  <Override PartName="/word/theme/themeOverride9.xml" ContentType="application/vnd.openxmlformats-officedocument.themeOverride+xml"/>
  <Override PartName="/word/charts/chart31.xml" ContentType="application/vnd.openxmlformats-officedocument.drawingml.chart+xml"/>
  <Override PartName="/word/theme/themeOverride10.xml" ContentType="application/vnd.openxmlformats-officedocument.themeOverride+xml"/>
  <Override PartName="/word/charts/chart32.xml" ContentType="application/vnd.openxmlformats-officedocument.drawingml.chart+xml"/>
  <Override PartName="/word/theme/themeOverride11.xml" ContentType="application/vnd.openxmlformats-officedocument.themeOverride+xml"/>
  <Override PartName="/word/footer23.xml" ContentType="application/vnd.openxmlformats-officedocument.wordprocessingml.footer+xml"/>
  <Override PartName="/word/charts/chart33.xml" ContentType="application/vnd.openxmlformats-officedocument.drawingml.chart+xml"/>
  <Override PartName="/word/charts/chart34.xml" ContentType="application/vnd.openxmlformats-officedocument.drawingml.chart+xml"/>
  <Override PartName="/word/theme/themeOverride12.xml" ContentType="application/vnd.openxmlformats-officedocument.themeOverride+xml"/>
  <Override PartName="/word/charts/chart35.xml" ContentType="application/vnd.openxmlformats-officedocument.drawingml.chart+xml"/>
  <Override PartName="/word/footer24.xml" ContentType="application/vnd.openxmlformats-officedocument.wordprocessingml.footer+xml"/>
  <Override PartName="/word/footer25.xml" ContentType="application/vnd.openxmlformats-officedocument.wordprocessingml.footer+xml"/>
  <Override PartName="/word/charts/chart36.xml" ContentType="application/vnd.openxmlformats-officedocument.drawingml.chart+xml"/>
  <Override PartName="/word/drawings/drawing1.xml" ContentType="application/vnd.openxmlformats-officedocument.drawingml.chartshapes+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drawings/drawing2.xml" ContentType="application/vnd.openxmlformats-officedocument.drawingml.chartshapes+xml"/>
  <Override PartName="/word/charts/chart40.xml" ContentType="application/vnd.openxmlformats-officedocument.drawingml.chart+xml"/>
  <Override PartName="/word/drawings/drawing3.xml" ContentType="application/vnd.openxmlformats-officedocument.drawingml.chartshapes+xml"/>
  <Override PartName="/word/charts/chart41.xml" ContentType="application/vnd.openxmlformats-officedocument.drawingml.chart+xml"/>
  <Override PartName="/word/charts/chart42.xml" ContentType="application/vnd.openxmlformats-officedocument.drawingml.chart+xml"/>
  <Override PartName="/word/drawings/drawing4.xml" ContentType="application/vnd.openxmlformats-officedocument.drawingml.chartshapes+xml"/>
  <Override PartName="/word/charts/chart43.xml" ContentType="application/vnd.openxmlformats-officedocument.drawingml.chart+xml"/>
  <Override PartName="/word/drawings/drawing5.xml" ContentType="application/vnd.openxmlformats-officedocument.drawingml.chartshapes+xml"/>
  <Override PartName="/word/charts/chart44.xml" ContentType="application/vnd.openxmlformats-officedocument.drawingml.chart+xml"/>
  <Override PartName="/word/theme/themeOverride13.xml" ContentType="application/vnd.openxmlformats-officedocument.themeOverride+xml"/>
  <Override PartName="/word/footer26.xml" ContentType="application/vnd.openxmlformats-officedocument.wordprocessingml.footer+xml"/>
  <Override PartName="/word/footer27.xml" ContentType="application/vnd.openxmlformats-officedocument.wordprocessingml.footer+xml"/>
  <Override PartName="/word/charts/chart45.xml" ContentType="application/vnd.openxmlformats-officedocument.drawingml.chart+xml"/>
  <Override PartName="/word/drawings/drawing6.xml" ContentType="application/vnd.openxmlformats-officedocument.drawingml.chartshapes+xml"/>
  <Override PartName="/word/charts/chart46.xml" ContentType="application/vnd.openxmlformats-officedocument.drawingml.chart+xml"/>
  <Override PartName="/word/drawings/drawing7.xml" ContentType="application/vnd.openxmlformats-officedocument.drawingml.chartshapes+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AE4F7" w14:textId="77777777" w:rsidR="008275E1" w:rsidRPr="00276AE2" w:rsidRDefault="00D657A6" w:rsidP="00202976">
      <w:pPr>
        <w:spacing w:line="240" w:lineRule="auto"/>
        <w:jc w:val="both"/>
        <w:rPr>
          <w:rFonts w:ascii="Book Antiqua" w:hAnsi="Book Antiqua"/>
          <w:b/>
          <w:snapToGrid w:val="0"/>
          <w:sz w:val="26"/>
        </w:rPr>
      </w:pPr>
      <w:r w:rsidRPr="00276AE2">
        <w:rPr>
          <w:rFonts w:ascii="Book Antiqua" w:hAnsi="Book Antiqua"/>
          <w:b/>
          <w:snapToGrid w:val="0"/>
          <w:sz w:val="26"/>
        </w:rPr>
        <w:t>Acknowledgement</w:t>
      </w:r>
    </w:p>
    <w:p w14:paraId="423EA5F5" w14:textId="77777777" w:rsidR="009B1056" w:rsidRPr="00E3232D" w:rsidRDefault="009B1056" w:rsidP="00202976">
      <w:pPr>
        <w:spacing w:line="240" w:lineRule="auto"/>
        <w:jc w:val="both"/>
        <w:rPr>
          <w:rFonts w:ascii="Book Antiqua" w:hAnsi="Book Antiqua"/>
          <w:b/>
          <w:snapToGrid w:val="0"/>
        </w:rPr>
      </w:pPr>
    </w:p>
    <w:p w14:paraId="787173C1" w14:textId="77777777" w:rsidR="008275E1" w:rsidRPr="00E3232D" w:rsidRDefault="008275E1" w:rsidP="00202976">
      <w:pPr>
        <w:spacing w:line="240" w:lineRule="auto"/>
        <w:jc w:val="both"/>
        <w:rPr>
          <w:rFonts w:ascii="Book Antiqua" w:hAnsi="Book Antiqua"/>
          <w:snapToGrid w:val="0"/>
        </w:rPr>
      </w:pPr>
      <w:r w:rsidRPr="00E3232D">
        <w:rPr>
          <w:rFonts w:ascii="Book Antiqua" w:hAnsi="Book Antiqua"/>
          <w:snapToGrid w:val="0"/>
        </w:rPr>
        <w:t xml:space="preserve">We wish to express our gratitude to everybody who in diverse ways supported the successful organization of the Conference as we publish the proceedings of the </w:t>
      </w:r>
      <w:r w:rsidR="003E249F">
        <w:rPr>
          <w:rFonts w:ascii="Book Antiqua" w:hAnsi="Book Antiqua"/>
          <w:snapToGrid w:val="0"/>
        </w:rPr>
        <w:t>6</w:t>
      </w:r>
      <w:r w:rsidRPr="00E3232D">
        <w:rPr>
          <w:rFonts w:ascii="Book Antiqua" w:hAnsi="Book Antiqua"/>
          <w:snapToGrid w:val="0"/>
          <w:vertAlign w:val="superscript"/>
        </w:rPr>
        <w:t>th</w:t>
      </w:r>
      <w:r w:rsidRPr="00E3232D">
        <w:rPr>
          <w:rFonts w:ascii="Book Antiqua" w:hAnsi="Book Antiqua"/>
          <w:snapToGrid w:val="0"/>
        </w:rPr>
        <w:t xml:space="preserve"> Annual Internatio</w:t>
      </w:r>
      <w:r w:rsidR="003E249F">
        <w:rPr>
          <w:rFonts w:ascii="Book Antiqua" w:hAnsi="Book Antiqua"/>
          <w:snapToGrid w:val="0"/>
        </w:rPr>
        <w:t>nal Applied Research Conference:</w:t>
      </w:r>
    </w:p>
    <w:p w14:paraId="3372A574" w14:textId="77777777" w:rsidR="008275E1" w:rsidRDefault="008275E1" w:rsidP="00BB64A0">
      <w:pPr>
        <w:spacing w:after="0" w:line="240" w:lineRule="auto"/>
        <w:jc w:val="both"/>
        <w:rPr>
          <w:rFonts w:ascii="Book Antiqua" w:hAnsi="Book Antiqua"/>
          <w:snapToGrid w:val="0"/>
        </w:rPr>
      </w:pPr>
      <w:r w:rsidRPr="00E3232D">
        <w:rPr>
          <w:rFonts w:ascii="Book Antiqua" w:hAnsi="Book Antiqua"/>
          <w:snapToGrid w:val="0"/>
        </w:rPr>
        <w:t>The Rector of Koforidua Polytechnic</w:t>
      </w:r>
      <w:r w:rsidRPr="00E3232D">
        <w:rPr>
          <w:rFonts w:ascii="Book Antiqua" w:hAnsi="Book Antiqua"/>
          <w:snapToGrid w:val="0"/>
        </w:rPr>
        <w:tab/>
      </w:r>
      <w:r w:rsidRPr="00E3232D">
        <w:rPr>
          <w:rFonts w:ascii="Book Antiqua" w:hAnsi="Book Antiqua"/>
          <w:snapToGrid w:val="0"/>
        </w:rPr>
        <w:tab/>
      </w:r>
      <w:r w:rsidRPr="00E3232D">
        <w:rPr>
          <w:rFonts w:ascii="Book Antiqua" w:hAnsi="Book Antiqua"/>
          <w:snapToGrid w:val="0"/>
        </w:rPr>
        <w:tab/>
      </w:r>
      <w:r w:rsidRPr="00E3232D">
        <w:rPr>
          <w:rFonts w:ascii="Book Antiqua" w:hAnsi="Book Antiqua"/>
          <w:snapToGrid w:val="0"/>
        </w:rPr>
        <w:tab/>
        <w:t>-</w:t>
      </w:r>
      <w:r w:rsidRPr="00E3232D">
        <w:rPr>
          <w:rFonts w:ascii="Book Antiqua" w:hAnsi="Book Antiqua"/>
          <w:snapToGrid w:val="0"/>
        </w:rPr>
        <w:tab/>
        <w:t>Prof. (Ing) Reynolds Okai</w:t>
      </w:r>
    </w:p>
    <w:p w14:paraId="5042342C" w14:textId="77777777" w:rsidR="00BB64A0" w:rsidRPr="00BB1506" w:rsidRDefault="00BB64A0" w:rsidP="00BB64A0">
      <w:pPr>
        <w:spacing w:after="0" w:line="240" w:lineRule="auto"/>
        <w:jc w:val="both"/>
        <w:rPr>
          <w:rFonts w:ascii="Book Antiqua" w:hAnsi="Book Antiqua"/>
          <w:snapToGrid w:val="0"/>
          <w:sz w:val="10"/>
        </w:rPr>
      </w:pPr>
    </w:p>
    <w:p w14:paraId="16D85E71" w14:textId="77777777" w:rsidR="006A70BF" w:rsidRDefault="008275E1" w:rsidP="00BB64A0">
      <w:pPr>
        <w:spacing w:after="0" w:line="240" w:lineRule="auto"/>
        <w:ind w:left="5760" w:hanging="5760"/>
        <w:jc w:val="both"/>
        <w:rPr>
          <w:rFonts w:ascii="Book Antiqua" w:hAnsi="Book Antiqua"/>
          <w:snapToGrid w:val="0"/>
        </w:rPr>
      </w:pPr>
      <w:r w:rsidRPr="00E3232D">
        <w:rPr>
          <w:rFonts w:ascii="Book Antiqua" w:hAnsi="Book Antiqua"/>
          <w:snapToGrid w:val="0"/>
        </w:rPr>
        <w:t>The Vice Rector of Koforidua Polytechnic</w:t>
      </w:r>
      <w:r w:rsidRPr="00E3232D">
        <w:rPr>
          <w:rFonts w:ascii="Book Antiqua" w:hAnsi="Book Antiqua"/>
          <w:snapToGrid w:val="0"/>
        </w:rPr>
        <w:tab/>
        <w:t>-</w:t>
      </w:r>
      <w:r w:rsidRPr="00E3232D">
        <w:rPr>
          <w:rFonts w:ascii="Book Antiqua" w:hAnsi="Book Antiqua"/>
          <w:snapToGrid w:val="0"/>
        </w:rPr>
        <w:tab/>
        <w:t>Mr Seth Tuffuor Osei-</w:t>
      </w:r>
    </w:p>
    <w:p w14:paraId="05ABE275" w14:textId="77777777" w:rsidR="008275E1" w:rsidRDefault="008275E1" w:rsidP="00BB64A0">
      <w:pPr>
        <w:spacing w:after="0" w:line="240" w:lineRule="auto"/>
        <w:ind w:left="5760" w:firstLine="720"/>
        <w:jc w:val="both"/>
        <w:rPr>
          <w:rFonts w:ascii="Book Antiqua" w:hAnsi="Book Antiqua"/>
          <w:snapToGrid w:val="0"/>
        </w:rPr>
      </w:pPr>
      <w:r w:rsidRPr="00E3232D">
        <w:rPr>
          <w:rFonts w:ascii="Book Antiqua" w:hAnsi="Book Antiqua"/>
          <w:snapToGrid w:val="0"/>
        </w:rPr>
        <w:t>Tutu</w:t>
      </w:r>
    </w:p>
    <w:p w14:paraId="2E1B47F8" w14:textId="77777777" w:rsidR="00BB64A0" w:rsidRPr="00BB1506" w:rsidRDefault="00BB64A0" w:rsidP="00BB64A0">
      <w:pPr>
        <w:spacing w:after="0" w:line="240" w:lineRule="auto"/>
        <w:ind w:left="5760" w:firstLine="720"/>
        <w:jc w:val="both"/>
        <w:rPr>
          <w:rFonts w:ascii="Book Antiqua" w:hAnsi="Book Antiqua"/>
          <w:snapToGrid w:val="0"/>
          <w:sz w:val="10"/>
        </w:rPr>
      </w:pPr>
    </w:p>
    <w:p w14:paraId="67A4C80A" w14:textId="77777777" w:rsidR="006A70BF" w:rsidRDefault="008275E1" w:rsidP="00BB64A0">
      <w:pPr>
        <w:spacing w:after="0" w:line="240" w:lineRule="auto"/>
        <w:jc w:val="both"/>
        <w:rPr>
          <w:rFonts w:ascii="Book Antiqua" w:hAnsi="Book Antiqua"/>
          <w:snapToGrid w:val="0"/>
        </w:rPr>
      </w:pPr>
      <w:r w:rsidRPr="00E3232D">
        <w:rPr>
          <w:rFonts w:ascii="Book Antiqua" w:hAnsi="Book Antiqua"/>
          <w:snapToGrid w:val="0"/>
        </w:rPr>
        <w:t xml:space="preserve">The Registrar of Koforidua </w:t>
      </w:r>
      <w:r w:rsidR="008706D4">
        <w:rPr>
          <w:rFonts w:ascii="Book Antiqua" w:hAnsi="Book Antiqua"/>
          <w:snapToGrid w:val="0"/>
        </w:rPr>
        <w:t>Polytechnic</w:t>
      </w:r>
      <w:r w:rsidR="008706D4">
        <w:rPr>
          <w:rFonts w:ascii="Book Antiqua" w:hAnsi="Book Antiqua"/>
          <w:snapToGrid w:val="0"/>
        </w:rPr>
        <w:tab/>
      </w:r>
      <w:r w:rsidR="008706D4">
        <w:rPr>
          <w:rFonts w:ascii="Book Antiqua" w:hAnsi="Book Antiqua"/>
          <w:snapToGrid w:val="0"/>
        </w:rPr>
        <w:tab/>
      </w:r>
      <w:r w:rsidR="008706D4">
        <w:rPr>
          <w:rFonts w:ascii="Book Antiqua" w:hAnsi="Book Antiqua"/>
          <w:snapToGrid w:val="0"/>
        </w:rPr>
        <w:tab/>
      </w:r>
      <w:r w:rsidR="00651FCD">
        <w:rPr>
          <w:rFonts w:ascii="Book Antiqua" w:hAnsi="Book Antiqua"/>
          <w:snapToGrid w:val="0"/>
        </w:rPr>
        <w:t>-</w:t>
      </w:r>
      <w:r w:rsidR="008706D4">
        <w:rPr>
          <w:rFonts w:ascii="Book Antiqua" w:hAnsi="Book Antiqua"/>
          <w:snapToGrid w:val="0"/>
        </w:rPr>
        <w:tab/>
      </w:r>
      <w:r w:rsidR="00651FCD">
        <w:rPr>
          <w:rFonts w:ascii="Book Antiqua" w:hAnsi="Book Antiqua"/>
          <w:snapToGrid w:val="0"/>
        </w:rPr>
        <w:t xml:space="preserve">Mrs Mary Abena </w:t>
      </w:r>
    </w:p>
    <w:p w14:paraId="379B0465" w14:textId="77777777" w:rsidR="008275E1" w:rsidRDefault="008275E1" w:rsidP="00BB64A0">
      <w:pPr>
        <w:spacing w:after="0" w:line="240" w:lineRule="auto"/>
        <w:ind w:left="5760" w:firstLine="720"/>
        <w:jc w:val="both"/>
        <w:rPr>
          <w:rFonts w:ascii="Book Antiqua" w:hAnsi="Book Antiqua"/>
          <w:snapToGrid w:val="0"/>
        </w:rPr>
      </w:pPr>
      <w:r w:rsidRPr="00E3232D">
        <w:rPr>
          <w:rFonts w:ascii="Book Antiqua" w:hAnsi="Book Antiqua"/>
          <w:snapToGrid w:val="0"/>
        </w:rPr>
        <w:t>Agyepong</w:t>
      </w:r>
    </w:p>
    <w:p w14:paraId="51046B96" w14:textId="77777777" w:rsidR="006A70BF" w:rsidRPr="00BB1506" w:rsidRDefault="006A70BF" w:rsidP="00BB64A0">
      <w:pPr>
        <w:spacing w:after="0" w:line="240" w:lineRule="auto"/>
        <w:ind w:left="5760" w:firstLine="720"/>
        <w:jc w:val="both"/>
        <w:rPr>
          <w:rFonts w:ascii="Book Antiqua" w:hAnsi="Book Antiqua"/>
          <w:snapToGrid w:val="0"/>
          <w:sz w:val="10"/>
        </w:rPr>
      </w:pPr>
    </w:p>
    <w:p w14:paraId="31A02B9D" w14:textId="77777777" w:rsidR="008706D4" w:rsidRPr="00E3232D" w:rsidRDefault="008706D4" w:rsidP="00BB64A0">
      <w:pPr>
        <w:spacing w:after="0" w:line="240" w:lineRule="auto"/>
        <w:jc w:val="both"/>
        <w:rPr>
          <w:rFonts w:ascii="Book Antiqua" w:hAnsi="Book Antiqua"/>
          <w:snapToGrid w:val="0"/>
        </w:rPr>
      </w:pPr>
      <w:r>
        <w:rPr>
          <w:rFonts w:ascii="Book Antiqua" w:hAnsi="Book Antiqua"/>
          <w:snapToGrid w:val="0"/>
        </w:rPr>
        <w:t>The Finance Officer</w:t>
      </w:r>
      <w:r>
        <w:rPr>
          <w:rFonts w:ascii="Book Antiqua" w:hAnsi="Book Antiqua"/>
          <w:snapToGrid w:val="0"/>
        </w:rPr>
        <w:tab/>
      </w:r>
      <w:r>
        <w:rPr>
          <w:rFonts w:ascii="Book Antiqua" w:hAnsi="Book Antiqua"/>
          <w:snapToGrid w:val="0"/>
        </w:rPr>
        <w:tab/>
      </w:r>
      <w:r>
        <w:rPr>
          <w:rFonts w:ascii="Book Antiqua" w:hAnsi="Book Antiqua"/>
          <w:snapToGrid w:val="0"/>
        </w:rPr>
        <w:tab/>
      </w:r>
      <w:r>
        <w:rPr>
          <w:rFonts w:ascii="Book Antiqua" w:hAnsi="Book Antiqua"/>
          <w:snapToGrid w:val="0"/>
        </w:rPr>
        <w:tab/>
      </w:r>
      <w:r>
        <w:rPr>
          <w:rFonts w:ascii="Book Antiqua" w:hAnsi="Book Antiqua"/>
          <w:snapToGrid w:val="0"/>
        </w:rPr>
        <w:tab/>
      </w:r>
      <w:r>
        <w:rPr>
          <w:rFonts w:ascii="Book Antiqua" w:hAnsi="Book Antiqua"/>
          <w:snapToGrid w:val="0"/>
        </w:rPr>
        <w:tab/>
        <w:t>-</w:t>
      </w:r>
      <w:r>
        <w:rPr>
          <w:rFonts w:ascii="Book Antiqua" w:hAnsi="Book Antiqua"/>
          <w:snapToGrid w:val="0"/>
        </w:rPr>
        <w:tab/>
        <w:t>Mr. John Mensah Yeboah</w:t>
      </w:r>
    </w:p>
    <w:p w14:paraId="68B602DF" w14:textId="77777777" w:rsidR="008E09FC" w:rsidRPr="00BB1506" w:rsidRDefault="008E09FC" w:rsidP="00BB64A0">
      <w:pPr>
        <w:spacing w:after="0"/>
        <w:jc w:val="both"/>
        <w:rPr>
          <w:rFonts w:ascii="Book Antiqua" w:hAnsi="Book Antiqua"/>
          <w:snapToGrid w:val="0"/>
          <w:sz w:val="10"/>
        </w:rPr>
      </w:pPr>
    </w:p>
    <w:p w14:paraId="299900E0" w14:textId="77777777" w:rsidR="008275E1" w:rsidRDefault="008275E1" w:rsidP="00BB64A0">
      <w:pPr>
        <w:spacing w:after="0"/>
        <w:jc w:val="both"/>
        <w:rPr>
          <w:rFonts w:ascii="Book Antiqua" w:hAnsi="Book Antiqua"/>
          <w:snapToGrid w:val="0"/>
        </w:rPr>
      </w:pPr>
      <w:r w:rsidRPr="00E3232D">
        <w:rPr>
          <w:rFonts w:ascii="Book Antiqua" w:hAnsi="Book Antiqua"/>
          <w:snapToGrid w:val="0"/>
        </w:rPr>
        <w:t>The Resource Persons</w:t>
      </w:r>
      <w:r w:rsidRPr="00E3232D">
        <w:rPr>
          <w:rFonts w:ascii="Book Antiqua" w:hAnsi="Book Antiqua"/>
          <w:snapToGrid w:val="0"/>
        </w:rPr>
        <w:tab/>
      </w:r>
      <w:r w:rsidRPr="00E3232D">
        <w:rPr>
          <w:rFonts w:ascii="Book Antiqua" w:hAnsi="Book Antiqua"/>
          <w:snapToGrid w:val="0"/>
        </w:rPr>
        <w:tab/>
      </w:r>
      <w:r w:rsidRPr="00E3232D">
        <w:rPr>
          <w:rFonts w:ascii="Book Antiqua" w:hAnsi="Book Antiqua"/>
          <w:snapToGrid w:val="0"/>
        </w:rPr>
        <w:tab/>
      </w:r>
      <w:r w:rsidRPr="00E3232D">
        <w:rPr>
          <w:rFonts w:ascii="Book Antiqua" w:hAnsi="Book Antiqua"/>
          <w:snapToGrid w:val="0"/>
        </w:rPr>
        <w:tab/>
      </w:r>
      <w:r w:rsidRPr="00E3232D">
        <w:rPr>
          <w:rFonts w:ascii="Book Antiqua" w:hAnsi="Book Antiqua"/>
          <w:snapToGrid w:val="0"/>
        </w:rPr>
        <w:tab/>
      </w:r>
      <w:r w:rsidRPr="00E3232D">
        <w:rPr>
          <w:rFonts w:ascii="Book Antiqua" w:hAnsi="Book Antiqua"/>
          <w:snapToGrid w:val="0"/>
        </w:rPr>
        <w:tab/>
        <w:t>-</w:t>
      </w:r>
      <w:r w:rsidRPr="00E3232D">
        <w:rPr>
          <w:rFonts w:ascii="Book Antiqua" w:hAnsi="Book Antiqua"/>
          <w:snapToGrid w:val="0"/>
        </w:rPr>
        <w:tab/>
      </w:r>
      <w:r w:rsidR="00FC51F2">
        <w:rPr>
          <w:rFonts w:ascii="Book Antiqua" w:hAnsi="Book Antiqua"/>
          <w:snapToGrid w:val="0"/>
        </w:rPr>
        <w:t xml:space="preserve">Prof. Stephen Adei, </w:t>
      </w:r>
    </w:p>
    <w:p w14:paraId="6DC35F5F" w14:textId="77777777" w:rsidR="00463467" w:rsidRDefault="00463467" w:rsidP="00BB64A0">
      <w:pPr>
        <w:spacing w:after="0"/>
        <w:jc w:val="both"/>
        <w:rPr>
          <w:rFonts w:ascii="Book Antiqua" w:hAnsi="Book Antiqua"/>
          <w:snapToGrid w:val="0"/>
        </w:rPr>
      </w:pPr>
      <w:r>
        <w:rPr>
          <w:rFonts w:ascii="Book Antiqua" w:hAnsi="Book Antiqua"/>
          <w:snapToGrid w:val="0"/>
        </w:rPr>
        <w:tab/>
      </w:r>
      <w:r>
        <w:rPr>
          <w:rFonts w:ascii="Book Antiqua" w:hAnsi="Book Antiqua"/>
          <w:snapToGrid w:val="0"/>
        </w:rPr>
        <w:tab/>
      </w:r>
      <w:r>
        <w:rPr>
          <w:rFonts w:ascii="Book Antiqua" w:hAnsi="Book Antiqua"/>
          <w:snapToGrid w:val="0"/>
        </w:rPr>
        <w:tab/>
      </w:r>
      <w:r>
        <w:rPr>
          <w:rFonts w:ascii="Book Antiqua" w:hAnsi="Book Antiqua"/>
          <w:snapToGrid w:val="0"/>
        </w:rPr>
        <w:tab/>
      </w:r>
      <w:r>
        <w:rPr>
          <w:rFonts w:ascii="Book Antiqua" w:hAnsi="Book Antiqua"/>
          <w:snapToGrid w:val="0"/>
        </w:rPr>
        <w:tab/>
      </w:r>
      <w:r>
        <w:rPr>
          <w:rFonts w:ascii="Book Antiqua" w:hAnsi="Book Antiqua"/>
          <w:snapToGrid w:val="0"/>
        </w:rPr>
        <w:tab/>
      </w:r>
      <w:r>
        <w:rPr>
          <w:rFonts w:ascii="Book Antiqua" w:hAnsi="Book Antiqua"/>
          <w:snapToGrid w:val="0"/>
        </w:rPr>
        <w:tab/>
      </w:r>
      <w:r>
        <w:rPr>
          <w:rFonts w:ascii="Book Antiqua" w:hAnsi="Book Antiqua"/>
          <w:snapToGrid w:val="0"/>
        </w:rPr>
        <w:tab/>
      </w:r>
      <w:r w:rsidR="00202976">
        <w:rPr>
          <w:rFonts w:ascii="Book Antiqua" w:hAnsi="Book Antiqua"/>
          <w:snapToGrid w:val="0"/>
        </w:rPr>
        <w:tab/>
        <w:t>Pentecost Univ.</w:t>
      </w:r>
      <w:r>
        <w:rPr>
          <w:rFonts w:ascii="Book Antiqua" w:hAnsi="Book Antiqua"/>
          <w:snapToGrid w:val="0"/>
        </w:rPr>
        <w:t xml:space="preserve"> College</w:t>
      </w:r>
    </w:p>
    <w:p w14:paraId="7B2EC315" w14:textId="77777777" w:rsidR="00BB64A0" w:rsidRPr="00BB1506" w:rsidRDefault="00BB64A0" w:rsidP="00BB64A0">
      <w:pPr>
        <w:spacing w:after="0"/>
        <w:jc w:val="both"/>
        <w:rPr>
          <w:rFonts w:ascii="Book Antiqua" w:hAnsi="Book Antiqua"/>
          <w:snapToGrid w:val="0"/>
          <w:sz w:val="10"/>
        </w:rPr>
      </w:pPr>
    </w:p>
    <w:p w14:paraId="4BFEFB55" w14:textId="77777777" w:rsidR="00463467" w:rsidRPr="00463467" w:rsidRDefault="00463467" w:rsidP="00196385">
      <w:pPr>
        <w:numPr>
          <w:ilvl w:val="0"/>
          <w:numId w:val="158"/>
        </w:numPr>
        <w:spacing w:after="0"/>
        <w:ind w:left="6480" w:hanging="720"/>
        <w:jc w:val="both"/>
        <w:rPr>
          <w:rFonts w:ascii="Book Antiqua" w:hAnsi="Book Antiqua"/>
          <w:b/>
        </w:rPr>
      </w:pPr>
      <w:r>
        <w:rPr>
          <w:rFonts w:ascii="Book Antiqua" w:hAnsi="Book Antiqua"/>
          <w:snapToGrid w:val="0"/>
        </w:rPr>
        <w:t>Mr. Rockson Dogbegah,</w:t>
      </w:r>
    </w:p>
    <w:p w14:paraId="0FFCCBB7" w14:textId="77777777" w:rsidR="00463467" w:rsidRDefault="00463467" w:rsidP="00E26E82">
      <w:pPr>
        <w:spacing w:after="0"/>
        <w:ind w:left="6480"/>
        <w:jc w:val="both"/>
        <w:rPr>
          <w:rFonts w:ascii="Book Antiqua" w:hAnsi="Book Antiqua"/>
          <w:snapToGrid w:val="0"/>
        </w:rPr>
      </w:pPr>
      <w:r>
        <w:rPr>
          <w:rFonts w:ascii="Book Antiqua" w:hAnsi="Book Antiqua"/>
          <w:snapToGrid w:val="0"/>
        </w:rPr>
        <w:t>Chair, Charetered Institute of Builders-UK, Ghana</w:t>
      </w:r>
    </w:p>
    <w:p w14:paraId="701FEB2B" w14:textId="77777777" w:rsidR="00642CA8" w:rsidRPr="00BB1506" w:rsidRDefault="00642CA8" w:rsidP="00BB64A0">
      <w:pPr>
        <w:spacing w:after="0"/>
        <w:ind w:left="6480"/>
        <w:rPr>
          <w:rFonts w:ascii="Book Antiqua" w:hAnsi="Book Antiqua"/>
          <w:snapToGrid w:val="0"/>
          <w:sz w:val="10"/>
        </w:rPr>
      </w:pPr>
    </w:p>
    <w:p w14:paraId="138DB999" w14:textId="77777777" w:rsidR="00463467" w:rsidRDefault="001C359B" w:rsidP="00196385">
      <w:pPr>
        <w:numPr>
          <w:ilvl w:val="0"/>
          <w:numId w:val="158"/>
        </w:numPr>
        <w:spacing w:after="0"/>
        <w:ind w:left="6480" w:hanging="720"/>
        <w:rPr>
          <w:rFonts w:ascii="Book Antiqua" w:hAnsi="Book Antiqua"/>
          <w:snapToGrid w:val="0"/>
        </w:rPr>
      </w:pPr>
      <w:r>
        <w:rPr>
          <w:rFonts w:ascii="Book Antiqua" w:hAnsi="Book Antiqua"/>
          <w:snapToGrid w:val="0"/>
        </w:rPr>
        <w:t xml:space="preserve">Dr. Joseph Sia </w:t>
      </w:r>
      <w:r w:rsidR="00463467">
        <w:rPr>
          <w:rFonts w:ascii="Book Antiqua" w:hAnsi="Book Antiqua"/>
          <w:snapToGrid w:val="0"/>
        </w:rPr>
        <w:t>Agyepong,</w:t>
      </w:r>
    </w:p>
    <w:p w14:paraId="3F15E87E" w14:textId="77777777" w:rsidR="00463467" w:rsidRDefault="00463467" w:rsidP="00BB64A0">
      <w:pPr>
        <w:spacing w:after="0"/>
        <w:ind w:left="6480"/>
        <w:jc w:val="both"/>
        <w:rPr>
          <w:rFonts w:ascii="Book Antiqua" w:hAnsi="Book Antiqua"/>
          <w:snapToGrid w:val="0"/>
        </w:rPr>
      </w:pPr>
      <w:r>
        <w:rPr>
          <w:rFonts w:ascii="Book Antiqua" w:hAnsi="Book Antiqua"/>
          <w:snapToGrid w:val="0"/>
        </w:rPr>
        <w:t>CEO, Zoolion Ghana Ltd.</w:t>
      </w:r>
    </w:p>
    <w:p w14:paraId="4684EF4F" w14:textId="77777777" w:rsidR="005C2C16" w:rsidRDefault="001135B7" w:rsidP="00BB64A0">
      <w:pPr>
        <w:spacing w:after="0"/>
        <w:ind w:left="6480"/>
        <w:jc w:val="both"/>
        <w:rPr>
          <w:rFonts w:ascii="Book Antiqua" w:hAnsi="Book Antiqua"/>
          <w:snapToGrid w:val="0"/>
        </w:rPr>
      </w:pPr>
      <w:r>
        <w:rPr>
          <w:rFonts w:ascii="Book Antiqua" w:hAnsi="Book Antiqua"/>
          <w:snapToGrid w:val="0"/>
        </w:rPr>
        <w:t xml:space="preserve">Accra </w:t>
      </w:r>
    </w:p>
    <w:p w14:paraId="74DD72C0" w14:textId="77777777" w:rsidR="00FB7F87" w:rsidRPr="00BB1506" w:rsidRDefault="00FB7F87" w:rsidP="00BB64A0">
      <w:pPr>
        <w:spacing w:after="0"/>
        <w:ind w:left="6480"/>
        <w:jc w:val="both"/>
        <w:rPr>
          <w:rFonts w:ascii="Book Antiqua" w:hAnsi="Book Antiqua"/>
          <w:snapToGrid w:val="0"/>
          <w:sz w:val="10"/>
        </w:rPr>
      </w:pPr>
    </w:p>
    <w:p w14:paraId="6E8833C5" w14:textId="77777777" w:rsidR="001135B7" w:rsidRPr="001135B7" w:rsidRDefault="001135B7" w:rsidP="00196385">
      <w:pPr>
        <w:numPr>
          <w:ilvl w:val="0"/>
          <w:numId w:val="158"/>
        </w:numPr>
        <w:spacing w:after="0"/>
        <w:ind w:left="6480" w:hanging="720"/>
        <w:jc w:val="both"/>
        <w:rPr>
          <w:rFonts w:ascii="Book Antiqua" w:hAnsi="Book Antiqua"/>
          <w:b/>
        </w:rPr>
      </w:pPr>
      <w:r>
        <w:rPr>
          <w:rFonts w:ascii="Book Antiqua" w:hAnsi="Book Antiqua"/>
          <w:snapToGrid w:val="0"/>
        </w:rPr>
        <w:t xml:space="preserve">Prof. </w:t>
      </w:r>
      <w:r>
        <w:rPr>
          <w:rFonts w:ascii="Times New Roman" w:hAnsi="Times New Roman"/>
          <w:sz w:val="24"/>
          <w:szCs w:val="24"/>
        </w:rPr>
        <w:t>Ernest Yamfo,</w:t>
      </w:r>
    </w:p>
    <w:p w14:paraId="7A370EDD" w14:textId="77777777" w:rsidR="001135B7" w:rsidRDefault="00CD3A67" w:rsidP="00BB64A0">
      <w:pPr>
        <w:spacing w:after="0"/>
        <w:ind w:left="6480"/>
        <w:jc w:val="both"/>
        <w:rPr>
          <w:rFonts w:ascii="Times New Roman" w:hAnsi="Times New Roman"/>
          <w:sz w:val="24"/>
          <w:szCs w:val="24"/>
        </w:rPr>
      </w:pPr>
      <w:r w:rsidRPr="00E4088C">
        <w:rPr>
          <w:rFonts w:ascii="Times New Roman" w:hAnsi="Times New Roman"/>
          <w:sz w:val="24"/>
          <w:szCs w:val="24"/>
        </w:rPr>
        <w:t>University of Western</w:t>
      </w:r>
    </w:p>
    <w:p w14:paraId="2D422FB2" w14:textId="77777777" w:rsidR="00CE1E78" w:rsidRDefault="00CD3A67" w:rsidP="00BB1506">
      <w:pPr>
        <w:spacing w:after="0"/>
        <w:ind w:left="6480"/>
        <w:jc w:val="both"/>
        <w:rPr>
          <w:rFonts w:ascii="Book Antiqua" w:hAnsi="Book Antiqua"/>
          <w:b/>
        </w:rPr>
      </w:pPr>
      <w:r w:rsidRPr="00E4088C">
        <w:rPr>
          <w:rFonts w:ascii="Times New Roman" w:hAnsi="Times New Roman"/>
          <w:sz w:val="24"/>
          <w:szCs w:val="24"/>
        </w:rPr>
        <w:t>Ontario, Canada</w:t>
      </w:r>
    </w:p>
    <w:p w14:paraId="5F2C796F" w14:textId="77777777" w:rsidR="00110D61" w:rsidRPr="00BB1506" w:rsidRDefault="00110D61" w:rsidP="00202976">
      <w:pPr>
        <w:pStyle w:val="NoSpacing"/>
        <w:spacing w:line="276" w:lineRule="auto"/>
        <w:ind w:left="360"/>
        <w:jc w:val="both"/>
        <w:rPr>
          <w:rFonts w:ascii="Book Antiqua" w:hAnsi="Book Antiqua"/>
          <w:b/>
          <w:sz w:val="10"/>
        </w:rPr>
      </w:pPr>
    </w:p>
    <w:p w14:paraId="483B72E3" w14:textId="77777777" w:rsidR="00730595" w:rsidRPr="00730595" w:rsidRDefault="00730595" w:rsidP="00730595">
      <w:pPr>
        <w:tabs>
          <w:tab w:val="left" w:pos="5760"/>
        </w:tabs>
        <w:spacing w:after="0"/>
        <w:jc w:val="both"/>
        <w:rPr>
          <w:rFonts w:ascii="Book Antiqua" w:hAnsi="Book Antiqua"/>
        </w:rPr>
      </w:pPr>
      <w:r>
        <w:rPr>
          <w:rFonts w:ascii="Book Antiqua" w:hAnsi="Book Antiqua"/>
        </w:rPr>
        <w:t>Invited Guests</w:t>
      </w:r>
      <w:r w:rsidR="002078A5" w:rsidRPr="00730595">
        <w:rPr>
          <w:rFonts w:ascii="Book Antiqua" w:hAnsi="Book Antiqua"/>
        </w:rPr>
        <w:tab/>
      </w:r>
      <w:r>
        <w:rPr>
          <w:rFonts w:ascii="Book Antiqua" w:hAnsi="Book Antiqua"/>
        </w:rPr>
        <w:t>-</w:t>
      </w:r>
      <w:r>
        <w:rPr>
          <w:rFonts w:ascii="Book Antiqua" w:hAnsi="Book Antiqua"/>
        </w:rPr>
        <w:tab/>
      </w:r>
      <w:r w:rsidRPr="00730595">
        <w:rPr>
          <w:rFonts w:ascii="Book Antiqua" w:hAnsi="Book Antiqua"/>
        </w:rPr>
        <w:t>Mr. Francis Tagbor</w:t>
      </w:r>
    </w:p>
    <w:p w14:paraId="2BB346F5" w14:textId="77777777" w:rsidR="00730595" w:rsidRDefault="00730595" w:rsidP="00730595">
      <w:pPr>
        <w:pStyle w:val="ListParagraph"/>
        <w:tabs>
          <w:tab w:val="left" w:pos="6480"/>
        </w:tabs>
        <w:spacing w:after="0"/>
        <w:ind w:left="6480"/>
        <w:jc w:val="both"/>
        <w:rPr>
          <w:rFonts w:ascii="Book Antiqua" w:hAnsi="Book Antiqua"/>
        </w:rPr>
      </w:pPr>
      <w:r w:rsidRPr="009C7A08">
        <w:rPr>
          <w:rFonts w:ascii="Book Antiqua" w:hAnsi="Book Antiqua"/>
        </w:rPr>
        <w:t xml:space="preserve">Executive Secretary,  </w:t>
      </w:r>
    </w:p>
    <w:p w14:paraId="17B5EC57" w14:textId="77777777" w:rsidR="00730595" w:rsidRDefault="00730595" w:rsidP="00730595">
      <w:pPr>
        <w:pStyle w:val="ListParagraph"/>
        <w:tabs>
          <w:tab w:val="left" w:pos="6480"/>
        </w:tabs>
        <w:ind w:left="6480"/>
        <w:jc w:val="both"/>
        <w:rPr>
          <w:rFonts w:ascii="Book Antiqua" w:hAnsi="Book Antiqua"/>
        </w:rPr>
      </w:pPr>
      <w:r w:rsidRPr="009C7A08">
        <w:rPr>
          <w:rFonts w:ascii="Book Antiqua" w:hAnsi="Book Antiqua"/>
        </w:rPr>
        <w:t>NABPTEX</w:t>
      </w:r>
    </w:p>
    <w:p w14:paraId="39387616" w14:textId="77777777" w:rsidR="00730595" w:rsidRPr="00E26E82" w:rsidRDefault="00730595" w:rsidP="00730595">
      <w:pPr>
        <w:pStyle w:val="ListParagraph"/>
        <w:tabs>
          <w:tab w:val="left" w:pos="6480"/>
        </w:tabs>
        <w:ind w:left="6480"/>
        <w:jc w:val="both"/>
        <w:rPr>
          <w:rFonts w:ascii="Book Antiqua" w:hAnsi="Book Antiqua"/>
          <w:sz w:val="10"/>
        </w:rPr>
      </w:pPr>
      <w:r w:rsidRPr="009C7A08">
        <w:rPr>
          <w:rFonts w:ascii="Book Antiqua" w:hAnsi="Book Antiqua"/>
        </w:rPr>
        <w:t xml:space="preserve"> </w:t>
      </w:r>
    </w:p>
    <w:p w14:paraId="4616F179" w14:textId="77777777" w:rsidR="00730595" w:rsidRDefault="00730595" w:rsidP="00196385">
      <w:pPr>
        <w:pStyle w:val="ListParagraph"/>
        <w:numPr>
          <w:ilvl w:val="0"/>
          <w:numId w:val="158"/>
        </w:numPr>
        <w:ind w:left="6480" w:hanging="720"/>
        <w:jc w:val="both"/>
        <w:rPr>
          <w:rFonts w:ascii="Book Antiqua" w:hAnsi="Book Antiqua"/>
        </w:rPr>
      </w:pPr>
      <w:r>
        <w:rPr>
          <w:rFonts w:ascii="Book Antiqua" w:hAnsi="Book Antiqua"/>
        </w:rPr>
        <w:t>Mr. Kwame Dattey</w:t>
      </w:r>
    </w:p>
    <w:p w14:paraId="793A93BB" w14:textId="77777777" w:rsidR="00730595" w:rsidRDefault="00730595" w:rsidP="00730595">
      <w:pPr>
        <w:pStyle w:val="ListParagraph"/>
        <w:ind w:left="6480"/>
        <w:jc w:val="both"/>
        <w:rPr>
          <w:rFonts w:ascii="Book Antiqua" w:hAnsi="Book Antiqua"/>
        </w:rPr>
      </w:pPr>
      <w:r w:rsidRPr="009C7A08">
        <w:rPr>
          <w:rFonts w:ascii="Book Antiqua" w:hAnsi="Book Antiqua"/>
        </w:rPr>
        <w:t>Executive Secretary</w:t>
      </w:r>
      <w:r>
        <w:rPr>
          <w:rFonts w:ascii="Book Antiqua" w:hAnsi="Book Antiqua"/>
        </w:rPr>
        <w:t>,</w:t>
      </w:r>
      <w:r w:rsidRPr="009C7A08">
        <w:rPr>
          <w:rFonts w:ascii="Book Antiqua" w:hAnsi="Book Antiqua"/>
        </w:rPr>
        <w:t xml:space="preserve"> NAB</w:t>
      </w:r>
    </w:p>
    <w:p w14:paraId="574278E6" w14:textId="77777777" w:rsidR="006B6BDC" w:rsidRPr="00DF7DAB" w:rsidRDefault="006B6BDC" w:rsidP="00730595">
      <w:pPr>
        <w:pStyle w:val="ListParagraph"/>
        <w:ind w:left="6480"/>
        <w:jc w:val="both"/>
        <w:rPr>
          <w:rFonts w:ascii="Book Antiqua" w:hAnsi="Book Antiqua"/>
          <w:sz w:val="12"/>
        </w:rPr>
      </w:pPr>
    </w:p>
    <w:p w14:paraId="2C24F516" w14:textId="77777777" w:rsidR="002078A5" w:rsidRDefault="00110D61" w:rsidP="00196385">
      <w:pPr>
        <w:pStyle w:val="ListParagraph"/>
        <w:numPr>
          <w:ilvl w:val="0"/>
          <w:numId w:val="158"/>
        </w:numPr>
        <w:ind w:left="6480" w:hanging="720"/>
        <w:jc w:val="both"/>
        <w:rPr>
          <w:rFonts w:ascii="Book Antiqua" w:hAnsi="Book Antiqua"/>
        </w:rPr>
      </w:pPr>
      <w:r w:rsidRPr="009C7A08">
        <w:rPr>
          <w:rFonts w:ascii="Book Antiqua" w:hAnsi="Book Antiqua"/>
        </w:rPr>
        <w:t>Prof</w:t>
      </w:r>
      <w:r w:rsidR="002078A5">
        <w:rPr>
          <w:rFonts w:ascii="Book Antiqua" w:hAnsi="Book Antiqua"/>
        </w:rPr>
        <w:t xml:space="preserve">. </w:t>
      </w:r>
      <w:r w:rsidRPr="009C7A08">
        <w:rPr>
          <w:rFonts w:ascii="Book Antiqua" w:hAnsi="Book Antiqua"/>
        </w:rPr>
        <w:t xml:space="preserve">Sylvester </w:t>
      </w:r>
      <w:r w:rsidR="002078A5" w:rsidRPr="009C7A08">
        <w:rPr>
          <w:rFonts w:ascii="Book Antiqua" w:hAnsi="Book Antiqua"/>
        </w:rPr>
        <w:t xml:space="preserve">Achio </w:t>
      </w:r>
    </w:p>
    <w:p w14:paraId="20DB0531" w14:textId="77777777" w:rsidR="002078A5" w:rsidRDefault="002078A5" w:rsidP="002078A5">
      <w:pPr>
        <w:pStyle w:val="ListParagraph"/>
        <w:ind w:left="5760" w:firstLine="720"/>
        <w:jc w:val="both"/>
        <w:rPr>
          <w:rFonts w:ascii="Book Antiqua" w:hAnsi="Book Antiqua"/>
        </w:rPr>
      </w:pPr>
      <w:r w:rsidRPr="009C7A08">
        <w:rPr>
          <w:rFonts w:ascii="Book Antiqua" w:hAnsi="Book Antiqua"/>
        </w:rPr>
        <w:t>Rector</w:t>
      </w:r>
      <w:r>
        <w:rPr>
          <w:rFonts w:ascii="Book Antiqua" w:hAnsi="Book Antiqua"/>
        </w:rPr>
        <w:t>,</w:t>
      </w:r>
      <w:r w:rsidRPr="002078A5">
        <w:rPr>
          <w:rFonts w:ascii="Book Antiqua" w:hAnsi="Book Antiqua"/>
        </w:rPr>
        <w:t xml:space="preserve"> </w:t>
      </w:r>
      <w:r w:rsidRPr="009C7A08">
        <w:rPr>
          <w:rFonts w:ascii="Book Antiqua" w:hAnsi="Book Antiqua"/>
        </w:rPr>
        <w:t>Accra Polytechnic</w:t>
      </w:r>
    </w:p>
    <w:p w14:paraId="0D62E51F" w14:textId="77777777" w:rsidR="00110D61" w:rsidRPr="00BB1506" w:rsidRDefault="00110D61" w:rsidP="002078A5">
      <w:pPr>
        <w:pStyle w:val="ListParagraph"/>
        <w:jc w:val="both"/>
        <w:rPr>
          <w:rFonts w:ascii="Book Antiqua" w:hAnsi="Book Antiqua"/>
          <w:sz w:val="10"/>
        </w:rPr>
      </w:pPr>
    </w:p>
    <w:p w14:paraId="25FC9235" w14:textId="77777777" w:rsidR="009C7A08" w:rsidRPr="009C7A08" w:rsidRDefault="00110D61" w:rsidP="00196385">
      <w:pPr>
        <w:pStyle w:val="ListParagraph"/>
        <w:numPr>
          <w:ilvl w:val="0"/>
          <w:numId w:val="158"/>
        </w:numPr>
        <w:ind w:left="6480" w:hanging="720"/>
        <w:jc w:val="both"/>
        <w:rPr>
          <w:rFonts w:ascii="Book Antiqua" w:hAnsi="Book Antiqua"/>
        </w:rPr>
      </w:pPr>
      <w:r w:rsidRPr="009C7A08">
        <w:rPr>
          <w:rFonts w:ascii="Book Antiqua" w:hAnsi="Book Antiqua"/>
        </w:rPr>
        <w:t xml:space="preserve">Prof. </w:t>
      </w:r>
      <w:r w:rsidR="009C7A08" w:rsidRPr="009C7A08">
        <w:rPr>
          <w:rFonts w:ascii="Book Antiqua" w:hAnsi="Book Antiqua"/>
        </w:rPr>
        <w:t>K. T. Djang</w:t>
      </w:r>
    </w:p>
    <w:p w14:paraId="6581BAB7" w14:textId="77777777" w:rsidR="009C7A08" w:rsidRPr="009C7A08" w:rsidRDefault="00110D61" w:rsidP="009C7A08">
      <w:pPr>
        <w:pStyle w:val="ListParagraph"/>
        <w:ind w:left="6480"/>
        <w:jc w:val="both"/>
        <w:rPr>
          <w:rFonts w:ascii="Book Antiqua" w:hAnsi="Book Antiqua"/>
        </w:rPr>
      </w:pPr>
      <w:r w:rsidRPr="009C7A08">
        <w:rPr>
          <w:rFonts w:ascii="Book Antiqua" w:hAnsi="Book Antiqua"/>
        </w:rPr>
        <w:t>Fordjour</w:t>
      </w:r>
      <w:r w:rsidRPr="009C7A08">
        <w:rPr>
          <w:rFonts w:ascii="Book Antiqua" w:hAnsi="Book Antiqua"/>
        </w:rPr>
        <w:tab/>
      </w:r>
    </w:p>
    <w:p w14:paraId="3CE4F8EA" w14:textId="77777777" w:rsidR="00110D61" w:rsidRPr="009C7A08" w:rsidRDefault="00110D61" w:rsidP="009C7A08">
      <w:pPr>
        <w:pStyle w:val="ListParagraph"/>
        <w:ind w:left="6480"/>
        <w:jc w:val="both"/>
        <w:rPr>
          <w:rFonts w:ascii="Book Antiqua" w:hAnsi="Book Antiqua"/>
        </w:rPr>
      </w:pPr>
      <w:r w:rsidRPr="009C7A08">
        <w:rPr>
          <w:rFonts w:ascii="Book Antiqua" w:hAnsi="Book Antiqua"/>
        </w:rPr>
        <w:t>Rector,Sunyani Polytechnic</w:t>
      </w:r>
    </w:p>
    <w:p w14:paraId="372DFB34" w14:textId="77777777" w:rsidR="00BB1506" w:rsidRPr="00BB1506" w:rsidRDefault="00BB1506" w:rsidP="00BB1506">
      <w:pPr>
        <w:pStyle w:val="ListParagraph"/>
        <w:ind w:left="6480"/>
        <w:jc w:val="both"/>
        <w:rPr>
          <w:rFonts w:ascii="Book Antiqua" w:hAnsi="Book Antiqua"/>
          <w:sz w:val="10"/>
        </w:rPr>
      </w:pPr>
    </w:p>
    <w:p w14:paraId="7A0ADDB1" w14:textId="77777777" w:rsidR="00110D61" w:rsidRDefault="00110D61" w:rsidP="00196385">
      <w:pPr>
        <w:pStyle w:val="ListParagraph"/>
        <w:numPr>
          <w:ilvl w:val="0"/>
          <w:numId w:val="158"/>
        </w:numPr>
        <w:ind w:left="6480" w:hanging="720"/>
        <w:jc w:val="both"/>
        <w:rPr>
          <w:rFonts w:ascii="Book Antiqua" w:hAnsi="Book Antiqua"/>
        </w:rPr>
      </w:pPr>
      <w:r w:rsidRPr="009C7A08">
        <w:rPr>
          <w:rFonts w:ascii="Book Antiqua" w:hAnsi="Book Antiqua"/>
        </w:rPr>
        <w:t xml:space="preserve">Dr. Abdulai Salifu </w:t>
      </w:r>
      <w:r w:rsidR="009C7A08" w:rsidRPr="009C7A08">
        <w:rPr>
          <w:rFonts w:ascii="Book Antiqua" w:hAnsi="Book Antiqua"/>
        </w:rPr>
        <w:t xml:space="preserve">Asuro </w:t>
      </w:r>
      <w:r w:rsidRPr="009C7A08">
        <w:rPr>
          <w:rFonts w:ascii="Book Antiqua" w:hAnsi="Book Antiqua"/>
        </w:rPr>
        <w:t>Rector, Tamale Polytechnic</w:t>
      </w:r>
    </w:p>
    <w:p w14:paraId="0DE7CD69" w14:textId="77777777" w:rsidR="000504AE" w:rsidRPr="000504AE" w:rsidRDefault="000504AE" w:rsidP="000504AE">
      <w:pPr>
        <w:pStyle w:val="ListParagraph"/>
        <w:ind w:left="6480"/>
        <w:jc w:val="both"/>
        <w:rPr>
          <w:rFonts w:ascii="Book Antiqua" w:hAnsi="Book Antiqua"/>
          <w:sz w:val="10"/>
        </w:rPr>
      </w:pPr>
    </w:p>
    <w:p w14:paraId="10BFDD3C" w14:textId="77777777" w:rsidR="00E26E82" w:rsidRDefault="00E26E82" w:rsidP="00E26E82">
      <w:pPr>
        <w:pStyle w:val="ListParagraph"/>
        <w:ind w:left="6480"/>
        <w:jc w:val="both"/>
        <w:rPr>
          <w:rFonts w:ascii="Book Antiqua" w:hAnsi="Book Antiqua"/>
        </w:rPr>
      </w:pPr>
    </w:p>
    <w:p w14:paraId="2B970118" w14:textId="77777777" w:rsidR="00E26E82" w:rsidRDefault="00E26E82" w:rsidP="00E26E82">
      <w:pPr>
        <w:pStyle w:val="ListParagraph"/>
        <w:ind w:left="6480"/>
        <w:jc w:val="both"/>
        <w:rPr>
          <w:rFonts w:ascii="Book Antiqua" w:hAnsi="Book Antiqua"/>
        </w:rPr>
      </w:pPr>
    </w:p>
    <w:p w14:paraId="5B11B555" w14:textId="77777777" w:rsidR="00E26E82" w:rsidRPr="00E26E82" w:rsidRDefault="00E26E82" w:rsidP="00E26E82">
      <w:pPr>
        <w:pStyle w:val="ListParagraph"/>
        <w:ind w:left="6480"/>
        <w:jc w:val="both"/>
        <w:rPr>
          <w:rFonts w:ascii="Book Antiqua" w:hAnsi="Book Antiqua"/>
        </w:rPr>
      </w:pPr>
    </w:p>
    <w:p w14:paraId="51665FE2" w14:textId="77777777" w:rsidR="00CC6CBD" w:rsidRPr="00276AE2" w:rsidRDefault="00CD6D29" w:rsidP="00202976">
      <w:pPr>
        <w:pStyle w:val="NoSpacing"/>
        <w:spacing w:line="276" w:lineRule="auto"/>
        <w:ind w:left="360"/>
        <w:jc w:val="both"/>
        <w:rPr>
          <w:rFonts w:ascii="Book Antiqua" w:hAnsi="Book Antiqua"/>
          <w:b/>
          <w:sz w:val="26"/>
        </w:rPr>
      </w:pPr>
      <w:r>
        <w:rPr>
          <w:rFonts w:ascii="Book Antiqua" w:hAnsi="Book Antiqua"/>
          <w:b/>
          <w:sz w:val="26"/>
        </w:rPr>
        <w:lastRenderedPageBreak/>
        <w:t xml:space="preserve">Manauscript </w:t>
      </w:r>
      <w:r w:rsidR="00D657A6" w:rsidRPr="00276AE2">
        <w:rPr>
          <w:rFonts w:ascii="Book Antiqua" w:hAnsi="Book Antiqua"/>
          <w:b/>
          <w:sz w:val="26"/>
        </w:rPr>
        <w:t>Review Panel</w:t>
      </w:r>
    </w:p>
    <w:p w14:paraId="5F79516B" w14:textId="77777777" w:rsidR="00CC6CBD" w:rsidRPr="00BD1F34" w:rsidRDefault="00CC6CBD" w:rsidP="00BD1F34">
      <w:pPr>
        <w:ind w:left="450"/>
        <w:jc w:val="both"/>
        <w:rPr>
          <w:rFonts w:ascii="Book Antiqua" w:hAnsi="Book Antiqua"/>
        </w:rPr>
      </w:pPr>
      <w:r w:rsidRPr="00E3232D">
        <w:rPr>
          <w:rFonts w:ascii="Book Antiqua" w:hAnsi="Book Antiqua"/>
          <w:b/>
        </w:rPr>
        <w:br/>
      </w:r>
      <w:r w:rsidRPr="00E3232D">
        <w:rPr>
          <w:rFonts w:ascii="Book Antiqua" w:hAnsi="Book Antiqua"/>
        </w:rPr>
        <w:t xml:space="preserve">The following persons assisted with the review of abstracts and </w:t>
      </w:r>
      <w:r w:rsidR="00BD1F34">
        <w:rPr>
          <w:rFonts w:ascii="Book Antiqua" w:hAnsi="Book Antiqua"/>
        </w:rPr>
        <w:t>full text</w:t>
      </w:r>
      <w:r w:rsidRPr="00E3232D">
        <w:rPr>
          <w:rFonts w:ascii="Book Antiqua" w:hAnsi="Book Antiqua"/>
        </w:rPr>
        <w:t xml:space="preserve"> for the Conference and </w:t>
      </w:r>
      <w:r w:rsidR="00BD1F34">
        <w:rPr>
          <w:rFonts w:ascii="Book Antiqua" w:hAnsi="Book Antiqua"/>
        </w:rPr>
        <w:t>wish</w:t>
      </w:r>
      <w:r w:rsidRPr="00E3232D">
        <w:rPr>
          <w:rFonts w:ascii="Book Antiqua" w:hAnsi="Book Antiqua"/>
        </w:rPr>
        <w:t xml:space="preserve"> to acknowledge their contribution:</w:t>
      </w:r>
    </w:p>
    <w:p w14:paraId="4C355A6D" w14:textId="77777777" w:rsidR="00CC6CBD" w:rsidRPr="00E3232D" w:rsidRDefault="00CC6CBD" w:rsidP="008D0C10">
      <w:pPr>
        <w:pStyle w:val="NoSpacing"/>
        <w:numPr>
          <w:ilvl w:val="0"/>
          <w:numId w:val="2"/>
        </w:numPr>
        <w:spacing w:line="276" w:lineRule="auto"/>
        <w:ind w:left="1440" w:hanging="900"/>
        <w:jc w:val="both"/>
        <w:rPr>
          <w:rFonts w:ascii="Book Antiqua" w:hAnsi="Book Antiqua"/>
        </w:rPr>
      </w:pPr>
      <w:r w:rsidRPr="00E3232D">
        <w:rPr>
          <w:rFonts w:ascii="Book Antiqua" w:hAnsi="Book Antiqua"/>
        </w:rPr>
        <w:t>Prof. Ibok Oduro, Food Science and Technology Department, KNUST.</w:t>
      </w:r>
    </w:p>
    <w:p w14:paraId="35DAD84C" w14:textId="77777777" w:rsidR="00CC6CBD" w:rsidRPr="00E3232D" w:rsidRDefault="00CC6CBD" w:rsidP="008D0C10">
      <w:pPr>
        <w:pStyle w:val="NoSpacing"/>
        <w:numPr>
          <w:ilvl w:val="0"/>
          <w:numId w:val="2"/>
        </w:numPr>
        <w:spacing w:line="276" w:lineRule="auto"/>
        <w:ind w:left="1440" w:hanging="900"/>
        <w:jc w:val="both"/>
        <w:rPr>
          <w:rFonts w:ascii="Book Antiqua" w:hAnsi="Book Antiqua"/>
        </w:rPr>
      </w:pPr>
      <w:r w:rsidRPr="00E3232D">
        <w:rPr>
          <w:rFonts w:ascii="Book Antiqua" w:hAnsi="Book Antiqua"/>
        </w:rPr>
        <w:t>Prof. G.W.K. Ntiful, College of Architecture and Planning, KNUST</w:t>
      </w:r>
    </w:p>
    <w:p w14:paraId="27A8A724" w14:textId="77777777" w:rsidR="00CC6CBD" w:rsidRPr="00E3232D" w:rsidRDefault="00CC6CBD" w:rsidP="008D0C10">
      <w:pPr>
        <w:pStyle w:val="NoSpacing"/>
        <w:numPr>
          <w:ilvl w:val="0"/>
          <w:numId w:val="2"/>
        </w:numPr>
        <w:spacing w:line="276" w:lineRule="auto"/>
        <w:ind w:left="1440" w:hanging="900"/>
        <w:jc w:val="both"/>
        <w:rPr>
          <w:rFonts w:ascii="Book Antiqua" w:hAnsi="Book Antiqua"/>
        </w:rPr>
      </w:pPr>
      <w:r w:rsidRPr="00E3232D">
        <w:rPr>
          <w:rFonts w:ascii="Book Antiqua" w:hAnsi="Book Antiqua"/>
        </w:rPr>
        <w:t>Prof. Esther Sakyi Dawson, Department of Nutrition and Food Sciences, University of Ghana</w:t>
      </w:r>
    </w:p>
    <w:p w14:paraId="0C20C727" w14:textId="77777777" w:rsidR="00CC6CBD" w:rsidRPr="00E3232D" w:rsidRDefault="00CC6CBD" w:rsidP="008D0C10">
      <w:pPr>
        <w:pStyle w:val="NoSpacing"/>
        <w:numPr>
          <w:ilvl w:val="0"/>
          <w:numId w:val="2"/>
        </w:numPr>
        <w:spacing w:line="276" w:lineRule="auto"/>
        <w:ind w:left="1440" w:hanging="900"/>
        <w:jc w:val="both"/>
        <w:rPr>
          <w:rFonts w:ascii="Book Antiqua" w:hAnsi="Book Antiqua"/>
        </w:rPr>
      </w:pPr>
      <w:r w:rsidRPr="00E3232D">
        <w:rPr>
          <w:rFonts w:ascii="Book Antiqua" w:hAnsi="Book Antiqua"/>
        </w:rPr>
        <w:t>Prof. Mohammed Salifu, Department of Civil Engineering, KNUST</w:t>
      </w:r>
    </w:p>
    <w:p w14:paraId="6084EA0C"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Prof. S.K. Amponsah, Department of Marketing, KNUST</w:t>
      </w:r>
    </w:p>
    <w:p w14:paraId="6613C81E"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Prof. F.K. Addai, Department of Anatomy, KNUST</w:t>
      </w:r>
    </w:p>
    <w:p w14:paraId="1FF1071C"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F.T. Oduro, Department of Mathematics, KNUST</w:t>
      </w:r>
    </w:p>
    <w:p w14:paraId="7CAA7956"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Eric Apau Asante, College of Arts and Social Studies, KNUST</w:t>
      </w:r>
    </w:p>
    <w:p w14:paraId="32FDD2FA"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De-Graft Owusu Manu, College of Engineering, KNUST</w:t>
      </w:r>
    </w:p>
    <w:p w14:paraId="4E9388AD"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Daniel Nkum, College of Architecture and Planning, KNUST</w:t>
      </w:r>
    </w:p>
    <w:p w14:paraId="0CEF361C"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Albert Kojo Sunnu, Department of Mechanical Engineering, KNUST</w:t>
      </w:r>
    </w:p>
    <w:p w14:paraId="4FFB7ACE"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Chrissie Stansie Abaidoo, Department of Anatomy, KNUST</w:t>
      </w:r>
    </w:p>
    <w:p w14:paraId="7DA3183C"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Stephen Afranie, Department of Sociology, University of Ghana</w:t>
      </w:r>
    </w:p>
    <w:p w14:paraId="74E5A91C"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Francis Bih, Department of  Design and Technology, University of Education</w:t>
      </w:r>
    </w:p>
    <w:p w14:paraId="299585FE"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(Mrs.) Rosemond Boohene, School of Business, University of Cape Coast,</w:t>
      </w:r>
    </w:p>
    <w:p w14:paraId="68422DA0"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Angelina Danquah, College of Agric and Consumer Sciences, University of Ghana</w:t>
      </w:r>
    </w:p>
    <w:p w14:paraId="4DDD307C"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Bedman Nartey, School of Business, University of Ghana.</w:t>
      </w:r>
    </w:p>
    <w:p w14:paraId="3999EB53"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Benjamin Amponsah, Department of Psychology, University of Ghana</w:t>
      </w:r>
    </w:p>
    <w:p w14:paraId="60E5A6AB"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Matilda Pappoe, Department of Psychology, University of Ghana</w:t>
      </w:r>
    </w:p>
    <w:p w14:paraId="6537CDF4"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Agnes Budu, Nutrition and Food Science Department, University of Ghana</w:t>
      </w:r>
    </w:p>
    <w:p w14:paraId="28E4EFB2"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Dr. Eric Ofori, School of Allied Health Sciences, University of Ghana.</w:t>
      </w:r>
    </w:p>
    <w:p w14:paraId="71CC4246"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 xml:space="preserve">Dr. Joseph </w:t>
      </w:r>
      <w:r w:rsidR="00FA6F4D">
        <w:rPr>
          <w:rFonts w:ascii="Book Antiqua" w:hAnsi="Book Antiqua"/>
        </w:rPr>
        <w:t xml:space="preserve">Mensah </w:t>
      </w:r>
      <w:r w:rsidRPr="00E3232D">
        <w:rPr>
          <w:rFonts w:ascii="Book Antiqua" w:hAnsi="Book Antiqua"/>
        </w:rPr>
        <w:t>On</w:t>
      </w:r>
      <w:r w:rsidR="00FA6F4D">
        <w:rPr>
          <w:rFonts w:ascii="Book Antiqua" w:hAnsi="Book Antiqua"/>
        </w:rPr>
        <w:t>u</w:t>
      </w:r>
      <w:r w:rsidRPr="00E3232D">
        <w:rPr>
          <w:rFonts w:ascii="Book Antiqua" w:hAnsi="Book Antiqua"/>
        </w:rPr>
        <w:t>ma</w:t>
      </w:r>
      <w:r w:rsidR="00FA6F4D">
        <w:rPr>
          <w:rFonts w:ascii="Book Antiqua" w:hAnsi="Book Antiqua"/>
        </w:rPr>
        <w:t>h</w:t>
      </w:r>
      <w:r w:rsidRPr="00E3232D">
        <w:rPr>
          <w:rFonts w:ascii="Book Antiqua" w:hAnsi="Book Antiqua"/>
        </w:rPr>
        <w:t xml:space="preserve">, School of Business, University of Ghana, </w:t>
      </w:r>
    </w:p>
    <w:p w14:paraId="441763A0"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Dan Bright Dzorgbo, Department of Sociology, University of Ghana</w:t>
      </w:r>
    </w:p>
    <w:p w14:paraId="5055D60E"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Peace Tetteh, Department of Sociology, University of Ghana</w:t>
      </w:r>
    </w:p>
    <w:p w14:paraId="0801A444"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Augustine Tawiah, School of Governance and Leadership, GIMPA</w:t>
      </w:r>
    </w:p>
    <w:p w14:paraId="42077BA0"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Brian Jennings, Ghana Christian University College</w:t>
      </w:r>
    </w:p>
    <w:p w14:paraId="341E886F"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(Mrs.) Smile Dzisi, School of Business and Management Studies, Koforidua Polytechnic</w:t>
      </w:r>
    </w:p>
    <w:p w14:paraId="1264E5F7"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Godfred Kwame Abledu, School of Applied Science and Technology, Koforidua Polytechnic</w:t>
      </w:r>
    </w:p>
    <w:p w14:paraId="43D6EDD3"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D.M. Obeng, KAAF University College, Accra.</w:t>
      </w:r>
    </w:p>
    <w:p w14:paraId="276EA13A"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George Obeng, Technology Consultancy Center, KNUST</w:t>
      </w:r>
    </w:p>
    <w:p w14:paraId="5A2C0549"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Rajan John, All Nations University College, Koforidua</w:t>
      </w:r>
    </w:p>
    <w:p w14:paraId="65D3ABD7"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Elias Aklaku, Consultant, Energy Center, KNUST</w:t>
      </w:r>
    </w:p>
    <w:p w14:paraId="04744DA5"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Lawrence Darkwah, Department of Chemical Engineering, KNUST</w:t>
      </w:r>
    </w:p>
    <w:p w14:paraId="7CD3740D"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Dr. J.B. Hayfron Acquah, Department of Computer Science, KNUST</w:t>
      </w:r>
    </w:p>
    <w:p w14:paraId="57181101"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lastRenderedPageBreak/>
        <w:t>Dr. William Gyadu-Asiedu, Department of Building Technology, Koforidua Polytechnic</w:t>
      </w:r>
    </w:p>
    <w:p w14:paraId="51513DFC"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Rev. Charles Anum Adams, Department of Civil Engineering, KNUST</w:t>
      </w:r>
    </w:p>
    <w:p w14:paraId="34C3D898"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Mr. Mahama Briamah, Department of Marketing and Customer Care, University of Ghana</w:t>
      </w:r>
    </w:p>
    <w:p w14:paraId="58591636"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Mr. Edem Bensah, Department of Chemical Engineering, Kumasi Polytechnic</w:t>
      </w:r>
    </w:p>
    <w:p w14:paraId="6CB5EB08"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Mr. Edward Antwi, Department of Mechanical Engineering, Kumasi Polytechnic</w:t>
      </w:r>
    </w:p>
    <w:p w14:paraId="1A0694CF"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Mr. Martin Oyih, Ministry of Fisheries, Accra</w:t>
      </w:r>
    </w:p>
    <w:p w14:paraId="09878944" w14:textId="77777777" w:rsidR="00CC6CBD" w:rsidRPr="00E3232D" w:rsidRDefault="00CC6CBD" w:rsidP="008D0C10">
      <w:pPr>
        <w:pStyle w:val="NoSpacing"/>
        <w:numPr>
          <w:ilvl w:val="0"/>
          <w:numId w:val="2"/>
        </w:numPr>
        <w:tabs>
          <w:tab w:val="left" w:pos="1440"/>
        </w:tabs>
        <w:spacing w:line="276" w:lineRule="auto"/>
        <w:ind w:left="1440" w:hanging="900"/>
        <w:jc w:val="both"/>
        <w:rPr>
          <w:rFonts w:ascii="Book Antiqua" w:hAnsi="Book Antiqua"/>
        </w:rPr>
      </w:pPr>
      <w:r w:rsidRPr="00E3232D">
        <w:rPr>
          <w:rFonts w:ascii="Book Antiqua" w:hAnsi="Book Antiqua"/>
        </w:rPr>
        <w:t>Mr. Jonathan D. Quartey, Department of Economics, KNUST</w:t>
      </w:r>
    </w:p>
    <w:p w14:paraId="2FA9B4CB"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Mr. David Ato Quansah, Energy Center, KNUST</w:t>
      </w:r>
    </w:p>
    <w:p w14:paraId="1C89A757" w14:textId="77777777" w:rsidR="00CC6CBD" w:rsidRPr="00E3232D" w:rsidRDefault="00CC6CBD" w:rsidP="008D0C10">
      <w:pPr>
        <w:pStyle w:val="NoSpacing"/>
        <w:numPr>
          <w:ilvl w:val="0"/>
          <w:numId w:val="2"/>
        </w:numPr>
        <w:tabs>
          <w:tab w:val="left" w:pos="990"/>
        </w:tabs>
        <w:spacing w:line="276" w:lineRule="auto"/>
        <w:ind w:left="1440" w:hanging="900"/>
        <w:jc w:val="both"/>
        <w:rPr>
          <w:rFonts w:ascii="Book Antiqua" w:hAnsi="Book Antiqua"/>
        </w:rPr>
      </w:pPr>
      <w:r w:rsidRPr="00E3232D">
        <w:rPr>
          <w:rFonts w:ascii="Book Antiqua" w:hAnsi="Book Antiqua"/>
        </w:rPr>
        <w:t>Mrs. Zsuzsa Momade, Department of Chemical Engineering, KNUST</w:t>
      </w:r>
    </w:p>
    <w:p w14:paraId="67E5750B" w14:textId="77777777" w:rsidR="00A03CD7" w:rsidRDefault="00A03CD7" w:rsidP="00924DA1">
      <w:pPr>
        <w:pStyle w:val="NoSpacing"/>
        <w:spacing w:line="276" w:lineRule="auto"/>
        <w:ind w:firstLine="450"/>
        <w:jc w:val="both"/>
        <w:rPr>
          <w:rFonts w:ascii="Book Antiqua" w:hAnsi="Book Antiqua"/>
          <w:b/>
          <w:sz w:val="26"/>
        </w:rPr>
      </w:pPr>
    </w:p>
    <w:p w14:paraId="68C808ED" w14:textId="77777777" w:rsidR="00CC6CBD" w:rsidRPr="00276AE2" w:rsidRDefault="00D657A6" w:rsidP="00924DA1">
      <w:pPr>
        <w:pStyle w:val="NoSpacing"/>
        <w:spacing w:line="276" w:lineRule="auto"/>
        <w:ind w:firstLine="450"/>
        <w:jc w:val="both"/>
        <w:rPr>
          <w:rFonts w:ascii="Book Antiqua" w:hAnsi="Book Antiqua"/>
          <w:sz w:val="26"/>
        </w:rPr>
      </w:pPr>
      <w:r w:rsidRPr="00276AE2">
        <w:rPr>
          <w:rFonts w:ascii="Book Antiqua" w:hAnsi="Book Antiqua"/>
          <w:b/>
          <w:sz w:val="26"/>
        </w:rPr>
        <w:t>Rapporteurs</w:t>
      </w:r>
    </w:p>
    <w:p w14:paraId="5D0B5572" w14:textId="77777777" w:rsidR="00CC6CBD" w:rsidRPr="00E3232D" w:rsidRDefault="00CC6CBD" w:rsidP="00202976">
      <w:pPr>
        <w:pStyle w:val="NoSpacing"/>
        <w:spacing w:line="276" w:lineRule="auto"/>
        <w:ind w:left="720"/>
        <w:jc w:val="both"/>
        <w:rPr>
          <w:rFonts w:ascii="Book Antiqua" w:hAnsi="Book Antiqua"/>
          <w:b/>
        </w:rPr>
      </w:pPr>
    </w:p>
    <w:p w14:paraId="16D9DF17" w14:textId="77777777" w:rsidR="00CC6CBD" w:rsidRPr="00E3232D" w:rsidRDefault="00CC6CBD" w:rsidP="00CE1E78">
      <w:pPr>
        <w:pStyle w:val="NoSpacing"/>
        <w:numPr>
          <w:ilvl w:val="0"/>
          <w:numId w:val="4"/>
        </w:numPr>
        <w:spacing w:line="276" w:lineRule="auto"/>
        <w:ind w:left="1440" w:hanging="990"/>
        <w:jc w:val="both"/>
        <w:rPr>
          <w:rFonts w:ascii="Book Antiqua" w:hAnsi="Book Antiqua"/>
        </w:rPr>
      </w:pPr>
      <w:r w:rsidRPr="00E3232D">
        <w:rPr>
          <w:rFonts w:ascii="Book Antiqua" w:hAnsi="Book Antiqua"/>
        </w:rPr>
        <w:t>Mrs. Charity Ossom, Lecturer, Liberal Studies Department, Koforidua Polytechnic</w:t>
      </w:r>
    </w:p>
    <w:p w14:paraId="3F5045AE" w14:textId="77777777" w:rsidR="00CC6CBD" w:rsidRPr="00E3232D" w:rsidRDefault="00CC6CBD" w:rsidP="00CE1E78">
      <w:pPr>
        <w:pStyle w:val="NoSpacing"/>
        <w:numPr>
          <w:ilvl w:val="0"/>
          <w:numId w:val="4"/>
        </w:numPr>
        <w:spacing w:line="276" w:lineRule="auto"/>
        <w:ind w:left="1440" w:hanging="990"/>
        <w:jc w:val="both"/>
        <w:rPr>
          <w:rFonts w:ascii="Book Antiqua" w:hAnsi="Book Antiqua"/>
        </w:rPr>
      </w:pPr>
      <w:r w:rsidRPr="00E3232D">
        <w:rPr>
          <w:rFonts w:ascii="Book Antiqua" w:hAnsi="Book Antiqua"/>
        </w:rPr>
        <w:t>Mr. Stephen Gyasi Ofori, Lecturer, Liberal Studies Department, Koforidua Polytechnic</w:t>
      </w:r>
    </w:p>
    <w:p w14:paraId="058DF344" w14:textId="77777777" w:rsidR="00CC6CBD" w:rsidRPr="00E3232D" w:rsidRDefault="00CC6CBD" w:rsidP="00202976">
      <w:pPr>
        <w:pStyle w:val="NoSpacing"/>
        <w:spacing w:line="276" w:lineRule="auto"/>
        <w:ind w:left="450"/>
        <w:jc w:val="both"/>
        <w:rPr>
          <w:rFonts w:ascii="Book Antiqua" w:hAnsi="Book Antiqua"/>
        </w:rPr>
      </w:pPr>
    </w:p>
    <w:p w14:paraId="31BA1D05" w14:textId="77777777" w:rsidR="00CC6CBD" w:rsidRPr="00276AE2" w:rsidRDefault="00D657A6" w:rsidP="00CE1E78">
      <w:pPr>
        <w:pStyle w:val="NoSpacing"/>
        <w:spacing w:line="276" w:lineRule="auto"/>
        <w:ind w:firstLine="450"/>
        <w:jc w:val="both"/>
        <w:rPr>
          <w:rFonts w:ascii="Book Antiqua" w:hAnsi="Book Antiqua"/>
          <w:b/>
          <w:sz w:val="26"/>
        </w:rPr>
      </w:pPr>
      <w:r w:rsidRPr="00276AE2">
        <w:rPr>
          <w:rFonts w:ascii="Book Antiqua" w:hAnsi="Book Antiqua"/>
          <w:b/>
          <w:sz w:val="26"/>
        </w:rPr>
        <w:t>Conference Planning Committee</w:t>
      </w:r>
    </w:p>
    <w:p w14:paraId="4BF80DD3" w14:textId="77777777" w:rsidR="00CC6CBD" w:rsidRPr="00E3232D" w:rsidRDefault="00CC6CBD" w:rsidP="00202976">
      <w:pPr>
        <w:pStyle w:val="NoSpacing"/>
        <w:spacing w:line="276" w:lineRule="auto"/>
        <w:jc w:val="both"/>
        <w:rPr>
          <w:rFonts w:ascii="Book Antiqua" w:hAnsi="Book Antiqua"/>
          <w:b/>
        </w:rPr>
      </w:pPr>
    </w:p>
    <w:p w14:paraId="06373CA9" w14:textId="77777777" w:rsidR="00CC6CBD" w:rsidRPr="00CD6D29" w:rsidRDefault="00CC6CBD" w:rsidP="00CE1E78">
      <w:pPr>
        <w:pStyle w:val="NoSpacing"/>
        <w:numPr>
          <w:ilvl w:val="0"/>
          <w:numId w:val="3"/>
        </w:numPr>
        <w:spacing w:line="276" w:lineRule="auto"/>
        <w:ind w:left="1440" w:hanging="990"/>
        <w:jc w:val="both"/>
        <w:rPr>
          <w:rFonts w:ascii="Book Antiqua" w:hAnsi="Book Antiqua"/>
        </w:rPr>
      </w:pPr>
      <w:r w:rsidRPr="00CD6D29">
        <w:rPr>
          <w:rFonts w:ascii="Book Antiqua" w:hAnsi="Book Antiqua"/>
        </w:rPr>
        <w:t xml:space="preserve">Nii Annang Mensah-Livingstone </w:t>
      </w:r>
      <w:r w:rsidRPr="00CD6D29">
        <w:rPr>
          <w:rFonts w:ascii="Book Antiqua" w:hAnsi="Book Antiqua"/>
        </w:rPr>
        <w:tab/>
        <w:t xml:space="preserve">- </w:t>
      </w:r>
      <w:r w:rsidR="00D634A3">
        <w:rPr>
          <w:rFonts w:ascii="Book Antiqua" w:hAnsi="Book Antiqua"/>
        </w:rPr>
        <w:tab/>
      </w:r>
      <w:r w:rsidRPr="00CD6D29">
        <w:rPr>
          <w:rFonts w:ascii="Book Antiqua" w:hAnsi="Book Antiqua"/>
        </w:rPr>
        <w:t>Deputy Registrar (Academic)</w:t>
      </w:r>
    </w:p>
    <w:p w14:paraId="101ECD2E" w14:textId="77777777" w:rsidR="00CC6CBD" w:rsidRPr="00E3232D" w:rsidRDefault="00CC6CBD" w:rsidP="00CE1E78">
      <w:pPr>
        <w:pStyle w:val="NoSpacing"/>
        <w:numPr>
          <w:ilvl w:val="0"/>
          <w:numId w:val="3"/>
        </w:numPr>
        <w:spacing w:line="276" w:lineRule="auto"/>
        <w:ind w:left="1440" w:hanging="990"/>
        <w:jc w:val="both"/>
        <w:rPr>
          <w:rFonts w:ascii="Book Antiqua" w:hAnsi="Book Antiqua"/>
        </w:rPr>
      </w:pPr>
      <w:r w:rsidRPr="00CD6D29">
        <w:rPr>
          <w:rFonts w:ascii="Book Antiqua" w:hAnsi="Book Antiqua"/>
        </w:rPr>
        <w:t>Dr (Mrs) Smile Dzisi</w:t>
      </w:r>
      <w:r w:rsidRPr="00CD6D29">
        <w:rPr>
          <w:rFonts w:ascii="Book Antiqua" w:hAnsi="Book Antiqua"/>
        </w:rPr>
        <w:tab/>
      </w:r>
      <w:r w:rsidRPr="00CD6D29">
        <w:rPr>
          <w:rFonts w:ascii="Book Antiqua" w:hAnsi="Book Antiqua"/>
        </w:rPr>
        <w:tab/>
      </w:r>
      <w:r w:rsidR="00B41B1F" w:rsidRPr="00CD6D29">
        <w:rPr>
          <w:rFonts w:ascii="Book Antiqua" w:hAnsi="Book Antiqua"/>
        </w:rPr>
        <w:tab/>
      </w:r>
      <w:r w:rsidRPr="00CD6D29">
        <w:rPr>
          <w:rFonts w:ascii="Book Antiqua" w:hAnsi="Book Antiqua"/>
        </w:rPr>
        <w:t xml:space="preserve">- </w:t>
      </w:r>
      <w:r w:rsidR="00D634A3">
        <w:rPr>
          <w:rFonts w:ascii="Book Antiqua" w:hAnsi="Book Antiqua"/>
        </w:rPr>
        <w:tab/>
      </w:r>
      <w:r w:rsidRPr="00CD6D29">
        <w:rPr>
          <w:rFonts w:ascii="Book Antiqua" w:hAnsi="Book Antiqua"/>
        </w:rPr>
        <w:t>Managing Editor (IJTMR)</w:t>
      </w:r>
    </w:p>
    <w:p w14:paraId="08B21084" w14:textId="77777777" w:rsidR="009F0C15" w:rsidRDefault="00CC6CBD" w:rsidP="00CE1E78">
      <w:pPr>
        <w:pStyle w:val="NoSpacing"/>
        <w:numPr>
          <w:ilvl w:val="0"/>
          <w:numId w:val="3"/>
        </w:numPr>
        <w:spacing w:line="276" w:lineRule="auto"/>
        <w:ind w:left="1440" w:hanging="990"/>
        <w:jc w:val="both"/>
        <w:rPr>
          <w:rFonts w:ascii="Book Antiqua" w:hAnsi="Book Antiqua"/>
        </w:rPr>
      </w:pPr>
      <w:r w:rsidRPr="00E3232D">
        <w:rPr>
          <w:rFonts w:ascii="Book Antiqua" w:hAnsi="Book Antiqua"/>
        </w:rPr>
        <w:t>Dr. William Gyadu-Asiedu</w:t>
      </w:r>
      <w:r w:rsidRPr="00E3232D">
        <w:rPr>
          <w:rFonts w:ascii="Book Antiqua" w:hAnsi="Book Antiqua"/>
        </w:rPr>
        <w:tab/>
      </w:r>
      <w:r w:rsidRPr="00E3232D">
        <w:rPr>
          <w:rFonts w:ascii="Book Antiqua" w:hAnsi="Book Antiqua"/>
        </w:rPr>
        <w:tab/>
        <w:t xml:space="preserve">- </w:t>
      </w:r>
      <w:r w:rsidR="00D634A3">
        <w:rPr>
          <w:rFonts w:ascii="Book Antiqua" w:hAnsi="Book Antiqua"/>
        </w:rPr>
        <w:tab/>
        <w:t>Snr.</w:t>
      </w:r>
      <w:r w:rsidR="009F0C15">
        <w:rPr>
          <w:rFonts w:ascii="Book Antiqua" w:hAnsi="Book Antiqua"/>
        </w:rPr>
        <w:t xml:space="preserve"> Lecturer (Building Tech. Dept)</w:t>
      </w:r>
      <w:r w:rsidRPr="00E3232D">
        <w:rPr>
          <w:rFonts w:ascii="Book Antiqua" w:hAnsi="Book Antiqua"/>
        </w:rPr>
        <w:t xml:space="preserve"> </w:t>
      </w:r>
    </w:p>
    <w:p w14:paraId="32305146" w14:textId="77777777" w:rsidR="00CC6CBD" w:rsidRPr="00E3232D" w:rsidRDefault="00CC6CBD" w:rsidP="00CE1E78">
      <w:pPr>
        <w:pStyle w:val="NoSpacing"/>
        <w:numPr>
          <w:ilvl w:val="0"/>
          <w:numId w:val="3"/>
        </w:numPr>
        <w:spacing w:line="276" w:lineRule="auto"/>
        <w:ind w:left="1440" w:hanging="990"/>
        <w:jc w:val="both"/>
        <w:rPr>
          <w:rFonts w:ascii="Book Antiqua" w:hAnsi="Book Antiqua"/>
        </w:rPr>
      </w:pPr>
      <w:r w:rsidRPr="00E3232D">
        <w:rPr>
          <w:rFonts w:ascii="Book Antiqua" w:hAnsi="Book Antiqua"/>
        </w:rPr>
        <w:t>Mr. Frank Dei</w:t>
      </w:r>
      <w:r w:rsidRPr="00E3232D">
        <w:rPr>
          <w:rFonts w:ascii="Book Antiqua" w:hAnsi="Book Antiqua"/>
        </w:rPr>
        <w:tab/>
      </w:r>
      <w:r w:rsidRPr="00E3232D">
        <w:rPr>
          <w:rFonts w:ascii="Book Antiqua" w:hAnsi="Book Antiqua"/>
        </w:rPr>
        <w:tab/>
      </w:r>
      <w:r w:rsidRPr="00E3232D">
        <w:rPr>
          <w:rFonts w:ascii="Book Antiqua" w:hAnsi="Book Antiqua"/>
        </w:rPr>
        <w:tab/>
      </w:r>
      <w:r w:rsidR="00B41B1F" w:rsidRPr="00E3232D">
        <w:rPr>
          <w:rFonts w:ascii="Book Antiqua" w:hAnsi="Book Antiqua"/>
        </w:rPr>
        <w:tab/>
      </w:r>
      <w:r w:rsidRPr="00E3232D">
        <w:rPr>
          <w:rFonts w:ascii="Book Antiqua" w:hAnsi="Book Antiqua"/>
        </w:rPr>
        <w:t xml:space="preserve">- </w:t>
      </w:r>
      <w:r w:rsidR="00D634A3">
        <w:rPr>
          <w:rFonts w:ascii="Book Antiqua" w:hAnsi="Book Antiqua"/>
        </w:rPr>
        <w:tab/>
      </w:r>
      <w:r w:rsidRPr="00E3232D">
        <w:rPr>
          <w:rFonts w:ascii="Book Antiqua" w:hAnsi="Book Antiqua"/>
        </w:rPr>
        <w:t>Ag. Procurement Officer</w:t>
      </w:r>
    </w:p>
    <w:p w14:paraId="02AAC28D" w14:textId="77777777" w:rsidR="00CC6CBD" w:rsidRPr="00E3232D" w:rsidRDefault="00CC6CBD" w:rsidP="00CE1E78">
      <w:pPr>
        <w:pStyle w:val="NoSpacing"/>
        <w:numPr>
          <w:ilvl w:val="0"/>
          <w:numId w:val="3"/>
        </w:numPr>
        <w:spacing w:line="276" w:lineRule="auto"/>
        <w:ind w:left="1440" w:hanging="990"/>
        <w:jc w:val="both"/>
        <w:rPr>
          <w:rFonts w:ascii="Book Antiqua" w:hAnsi="Book Antiqua"/>
        </w:rPr>
      </w:pPr>
      <w:r w:rsidRPr="00E3232D">
        <w:rPr>
          <w:rFonts w:ascii="Book Antiqua" w:hAnsi="Book Antiqua"/>
        </w:rPr>
        <w:t>Mr. Isaac Afranie</w:t>
      </w:r>
      <w:r w:rsidRPr="00E3232D">
        <w:rPr>
          <w:rFonts w:ascii="Book Antiqua" w:hAnsi="Book Antiqua"/>
        </w:rPr>
        <w:tab/>
      </w:r>
      <w:r w:rsidRPr="00E3232D">
        <w:rPr>
          <w:rFonts w:ascii="Book Antiqua" w:hAnsi="Book Antiqua"/>
        </w:rPr>
        <w:tab/>
      </w:r>
      <w:r w:rsidR="00CE1E78">
        <w:rPr>
          <w:rFonts w:ascii="Book Antiqua" w:hAnsi="Book Antiqua"/>
        </w:rPr>
        <w:tab/>
      </w:r>
      <w:r w:rsidR="00924DA1">
        <w:rPr>
          <w:rFonts w:ascii="Book Antiqua" w:hAnsi="Book Antiqua"/>
        </w:rPr>
        <w:t xml:space="preserve">- </w:t>
      </w:r>
      <w:r w:rsidR="00D634A3">
        <w:rPr>
          <w:rFonts w:ascii="Book Antiqua" w:hAnsi="Book Antiqua"/>
        </w:rPr>
        <w:tab/>
      </w:r>
      <w:r w:rsidR="00924DA1">
        <w:rPr>
          <w:rFonts w:ascii="Book Antiqua" w:hAnsi="Book Antiqua"/>
        </w:rPr>
        <w:t>Ho</w:t>
      </w:r>
      <w:r w:rsidRPr="00E3232D">
        <w:rPr>
          <w:rFonts w:ascii="Book Antiqua" w:hAnsi="Book Antiqua"/>
        </w:rPr>
        <w:t>D (Estate Department)</w:t>
      </w:r>
    </w:p>
    <w:p w14:paraId="6BF63FB6" w14:textId="77777777" w:rsidR="00CC6CBD" w:rsidRPr="00E3232D" w:rsidRDefault="00CC6CBD" w:rsidP="00CE1E78">
      <w:pPr>
        <w:pStyle w:val="NoSpacing"/>
        <w:numPr>
          <w:ilvl w:val="0"/>
          <w:numId w:val="3"/>
        </w:numPr>
        <w:spacing w:line="276" w:lineRule="auto"/>
        <w:ind w:left="1440" w:hanging="990"/>
        <w:jc w:val="both"/>
        <w:rPr>
          <w:rFonts w:ascii="Book Antiqua" w:hAnsi="Book Antiqua"/>
        </w:rPr>
      </w:pPr>
      <w:r w:rsidRPr="00E3232D">
        <w:rPr>
          <w:rFonts w:ascii="Book Antiqua" w:hAnsi="Book Antiqua"/>
        </w:rPr>
        <w:t>Ms. Victoria A. Kuusangyele</w:t>
      </w:r>
      <w:r w:rsidR="00CE1E78">
        <w:rPr>
          <w:rFonts w:ascii="Book Antiqua" w:hAnsi="Book Antiqua"/>
        </w:rPr>
        <w:tab/>
      </w:r>
      <w:r w:rsidRPr="00E3232D">
        <w:rPr>
          <w:rFonts w:ascii="Book Antiqua" w:hAnsi="Book Antiqua"/>
        </w:rPr>
        <w:tab/>
        <w:t xml:space="preserve">- </w:t>
      </w:r>
      <w:r w:rsidR="00D634A3">
        <w:rPr>
          <w:rFonts w:ascii="Book Antiqua" w:hAnsi="Book Antiqua"/>
        </w:rPr>
        <w:tab/>
      </w:r>
      <w:r w:rsidRPr="00E3232D">
        <w:rPr>
          <w:rFonts w:ascii="Book Antiqua" w:hAnsi="Book Antiqua"/>
        </w:rPr>
        <w:t>Public Relations Officer</w:t>
      </w:r>
    </w:p>
    <w:p w14:paraId="60F71491" w14:textId="77777777" w:rsidR="00CC6CBD" w:rsidRPr="00D634A3" w:rsidRDefault="00CC6CBD" w:rsidP="00D634A3">
      <w:pPr>
        <w:pStyle w:val="NoSpacing"/>
        <w:numPr>
          <w:ilvl w:val="0"/>
          <w:numId w:val="3"/>
        </w:numPr>
        <w:spacing w:line="276" w:lineRule="auto"/>
        <w:ind w:left="1440" w:hanging="990"/>
        <w:jc w:val="both"/>
        <w:rPr>
          <w:rFonts w:ascii="Book Antiqua" w:hAnsi="Book Antiqua"/>
        </w:rPr>
      </w:pPr>
      <w:r w:rsidRPr="00E3232D">
        <w:rPr>
          <w:rFonts w:ascii="Book Antiqua" w:hAnsi="Book Antiqua"/>
        </w:rPr>
        <w:t>Mrs. Lucy Agbenyeke</w:t>
      </w:r>
      <w:r w:rsidRPr="00E3232D">
        <w:rPr>
          <w:rFonts w:ascii="Book Antiqua" w:hAnsi="Book Antiqua"/>
        </w:rPr>
        <w:tab/>
      </w:r>
      <w:r w:rsidRPr="00E3232D">
        <w:rPr>
          <w:rFonts w:ascii="Book Antiqua" w:hAnsi="Book Antiqua"/>
        </w:rPr>
        <w:tab/>
      </w:r>
      <w:r w:rsidR="00CE1E78">
        <w:rPr>
          <w:rFonts w:ascii="Book Antiqua" w:hAnsi="Book Antiqua"/>
        </w:rPr>
        <w:tab/>
      </w:r>
      <w:r w:rsidRPr="00E3232D">
        <w:rPr>
          <w:rFonts w:ascii="Book Antiqua" w:hAnsi="Book Antiqua"/>
        </w:rPr>
        <w:t xml:space="preserve">- </w:t>
      </w:r>
      <w:r w:rsidR="00D634A3">
        <w:rPr>
          <w:rFonts w:ascii="Book Antiqua" w:hAnsi="Book Antiqua"/>
        </w:rPr>
        <w:tab/>
        <w:t>Snr.</w:t>
      </w:r>
      <w:r w:rsidRPr="00E3232D">
        <w:rPr>
          <w:rFonts w:ascii="Book Antiqua" w:hAnsi="Book Antiqua"/>
        </w:rPr>
        <w:t xml:space="preserve"> Instructor (Hospitality</w:t>
      </w:r>
      <w:r w:rsidR="00D634A3">
        <w:rPr>
          <w:rFonts w:ascii="Book Antiqua" w:hAnsi="Book Antiqua"/>
        </w:rPr>
        <w:t xml:space="preserve"> Dept.)</w:t>
      </w:r>
    </w:p>
    <w:p w14:paraId="01DCDB5E" w14:textId="77777777" w:rsidR="00CC6CBD" w:rsidRPr="00E3232D" w:rsidRDefault="00CC6CBD" w:rsidP="00CE1E78">
      <w:pPr>
        <w:pStyle w:val="NoSpacing"/>
        <w:numPr>
          <w:ilvl w:val="0"/>
          <w:numId w:val="3"/>
        </w:numPr>
        <w:spacing w:line="276" w:lineRule="auto"/>
        <w:ind w:left="1440" w:hanging="990"/>
        <w:jc w:val="both"/>
        <w:rPr>
          <w:rFonts w:ascii="Book Antiqua" w:hAnsi="Book Antiqua"/>
        </w:rPr>
      </w:pPr>
      <w:r w:rsidRPr="00E3232D">
        <w:rPr>
          <w:rFonts w:ascii="Book Antiqua" w:hAnsi="Book Antiqua"/>
        </w:rPr>
        <w:t>Mr. Ernest Oti-Akenteng</w:t>
      </w:r>
      <w:r w:rsidRPr="00E3232D">
        <w:rPr>
          <w:rFonts w:ascii="Book Antiqua" w:hAnsi="Book Antiqua"/>
        </w:rPr>
        <w:tab/>
      </w:r>
      <w:r w:rsidRPr="00E3232D">
        <w:rPr>
          <w:rFonts w:ascii="Book Antiqua" w:hAnsi="Book Antiqua"/>
        </w:rPr>
        <w:tab/>
        <w:t xml:space="preserve">- </w:t>
      </w:r>
      <w:r w:rsidR="00D634A3">
        <w:rPr>
          <w:rFonts w:ascii="Book Antiqua" w:hAnsi="Book Antiqua"/>
        </w:rPr>
        <w:tab/>
      </w:r>
      <w:r w:rsidRPr="00E3232D">
        <w:rPr>
          <w:rFonts w:ascii="Book Antiqua" w:hAnsi="Book Antiqua"/>
        </w:rPr>
        <w:t>Snr. Audit Assistant</w:t>
      </w:r>
    </w:p>
    <w:p w14:paraId="10D84CB7" w14:textId="77777777" w:rsidR="00CC6CBD" w:rsidRPr="00E3232D" w:rsidRDefault="00CC6CBD" w:rsidP="00CE1E78">
      <w:pPr>
        <w:pStyle w:val="NoSpacing"/>
        <w:numPr>
          <w:ilvl w:val="0"/>
          <w:numId w:val="3"/>
        </w:numPr>
        <w:spacing w:line="276" w:lineRule="auto"/>
        <w:ind w:left="1440" w:hanging="990"/>
        <w:jc w:val="both"/>
        <w:rPr>
          <w:rFonts w:ascii="Book Antiqua" w:hAnsi="Book Antiqua"/>
        </w:rPr>
      </w:pPr>
      <w:r w:rsidRPr="00E3232D">
        <w:rPr>
          <w:rFonts w:ascii="Book Antiqua" w:hAnsi="Book Antiqua"/>
        </w:rPr>
        <w:t>Mr. Ibrahim Addo</w:t>
      </w:r>
      <w:r w:rsidRPr="00E3232D">
        <w:rPr>
          <w:rFonts w:ascii="Book Antiqua" w:hAnsi="Book Antiqua"/>
        </w:rPr>
        <w:tab/>
      </w:r>
      <w:r w:rsidRPr="00E3232D">
        <w:rPr>
          <w:rFonts w:ascii="Book Antiqua" w:hAnsi="Book Antiqua"/>
        </w:rPr>
        <w:tab/>
      </w:r>
      <w:r w:rsidR="00CE1E78">
        <w:rPr>
          <w:rFonts w:ascii="Book Antiqua" w:hAnsi="Book Antiqua"/>
        </w:rPr>
        <w:tab/>
      </w:r>
      <w:r w:rsidRPr="00E3232D">
        <w:rPr>
          <w:rFonts w:ascii="Book Antiqua" w:hAnsi="Book Antiqua"/>
        </w:rPr>
        <w:t xml:space="preserve">- </w:t>
      </w:r>
      <w:r w:rsidR="00D634A3">
        <w:rPr>
          <w:rFonts w:ascii="Book Antiqua" w:hAnsi="Book Antiqua"/>
        </w:rPr>
        <w:tab/>
      </w:r>
      <w:r w:rsidRPr="00E3232D">
        <w:rPr>
          <w:rFonts w:ascii="Book Antiqua" w:hAnsi="Book Antiqua"/>
        </w:rPr>
        <w:t>Accountant</w:t>
      </w:r>
    </w:p>
    <w:p w14:paraId="5503B85C" w14:textId="77777777" w:rsidR="00CC6CBD" w:rsidRPr="00E3232D" w:rsidRDefault="00924DA1" w:rsidP="00CE1E78">
      <w:pPr>
        <w:pStyle w:val="NoSpacing"/>
        <w:numPr>
          <w:ilvl w:val="0"/>
          <w:numId w:val="3"/>
        </w:numPr>
        <w:spacing w:line="276" w:lineRule="auto"/>
        <w:ind w:left="1440" w:hanging="990"/>
        <w:jc w:val="both"/>
        <w:rPr>
          <w:rFonts w:ascii="Book Antiqua" w:hAnsi="Book Antiqua"/>
        </w:rPr>
      </w:pPr>
      <w:r>
        <w:rPr>
          <w:rFonts w:ascii="Book Antiqua" w:hAnsi="Book Antiqua"/>
        </w:rPr>
        <w:t>Mr. MacClean Lovelace-Dodoo</w:t>
      </w:r>
      <w:r>
        <w:rPr>
          <w:rFonts w:ascii="Book Antiqua" w:hAnsi="Book Antiqua"/>
        </w:rPr>
        <w:tab/>
        <w:t xml:space="preserve">- </w:t>
      </w:r>
      <w:r w:rsidR="00D634A3">
        <w:rPr>
          <w:rFonts w:ascii="Book Antiqua" w:hAnsi="Book Antiqua"/>
        </w:rPr>
        <w:tab/>
      </w:r>
      <w:r>
        <w:rPr>
          <w:rFonts w:ascii="Book Antiqua" w:hAnsi="Book Antiqua"/>
        </w:rPr>
        <w:t>Ho</w:t>
      </w:r>
      <w:r w:rsidR="00D634A3">
        <w:rPr>
          <w:rFonts w:ascii="Book Antiqua" w:hAnsi="Book Antiqua"/>
        </w:rPr>
        <w:t>D (Research &amp; New Prog.</w:t>
      </w:r>
      <w:r w:rsidR="00CC6CBD" w:rsidRPr="00E3232D">
        <w:rPr>
          <w:rFonts w:ascii="Book Antiqua" w:hAnsi="Book Antiqua"/>
        </w:rPr>
        <w:t>)</w:t>
      </w:r>
    </w:p>
    <w:p w14:paraId="0AC494E4" w14:textId="77777777" w:rsidR="00CC6CBD" w:rsidRPr="00E3232D" w:rsidRDefault="00CC6CBD" w:rsidP="00CE1E78">
      <w:pPr>
        <w:pStyle w:val="NoSpacing"/>
        <w:numPr>
          <w:ilvl w:val="0"/>
          <w:numId w:val="3"/>
        </w:numPr>
        <w:spacing w:line="276" w:lineRule="auto"/>
        <w:ind w:left="1440" w:hanging="990"/>
        <w:jc w:val="both"/>
        <w:rPr>
          <w:rFonts w:ascii="Book Antiqua" w:hAnsi="Book Antiqua"/>
        </w:rPr>
      </w:pPr>
      <w:r w:rsidRPr="00E3232D">
        <w:rPr>
          <w:rFonts w:ascii="Book Antiqua" w:hAnsi="Book Antiqua"/>
        </w:rPr>
        <w:t>Ms. Patience Kwakyewaa Asirifi</w:t>
      </w:r>
      <w:r w:rsidRPr="00E3232D">
        <w:rPr>
          <w:rFonts w:ascii="Book Antiqua" w:hAnsi="Book Antiqua"/>
        </w:rPr>
        <w:tab/>
        <w:t xml:space="preserve">- </w:t>
      </w:r>
      <w:r w:rsidR="00D634A3">
        <w:rPr>
          <w:rFonts w:ascii="Book Antiqua" w:hAnsi="Book Antiqua"/>
        </w:rPr>
        <w:tab/>
      </w:r>
      <w:r w:rsidRPr="00E3232D">
        <w:rPr>
          <w:rFonts w:ascii="Book Antiqua" w:hAnsi="Book Antiqua"/>
        </w:rPr>
        <w:t>Assistant Registrar (ARU)</w:t>
      </w:r>
    </w:p>
    <w:p w14:paraId="32909EC9" w14:textId="77777777" w:rsidR="00BB2713" w:rsidRPr="00E3232D" w:rsidRDefault="00BB2713" w:rsidP="00CE1E78">
      <w:pPr>
        <w:pStyle w:val="NoSpacing"/>
        <w:numPr>
          <w:ilvl w:val="0"/>
          <w:numId w:val="3"/>
        </w:numPr>
        <w:spacing w:line="276" w:lineRule="auto"/>
        <w:ind w:left="1440" w:hanging="990"/>
        <w:jc w:val="both"/>
        <w:rPr>
          <w:rFonts w:ascii="Book Antiqua" w:hAnsi="Book Antiqua"/>
        </w:rPr>
      </w:pPr>
      <w:r w:rsidRPr="00E3232D">
        <w:rPr>
          <w:rFonts w:ascii="Book Antiqua" w:hAnsi="Book Antiqua"/>
        </w:rPr>
        <w:t xml:space="preserve">Florence Ohenewaa Appiah </w:t>
      </w:r>
      <w:r w:rsidR="00CE1E78">
        <w:rPr>
          <w:rFonts w:ascii="Book Antiqua" w:hAnsi="Book Antiqua"/>
        </w:rPr>
        <w:tab/>
      </w:r>
      <w:r w:rsidR="001E6F26" w:rsidRPr="00E3232D">
        <w:rPr>
          <w:rFonts w:ascii="Book Antiqua" w:hAnsi="Book Antiqua"/>
        </w:rPr>
        <w:tab/>
        <w:t xml:space="preserve">- </w:t>
      </w:r>
      <w:r w:rsidR="00D634A3">
        <w:rPr>
          <w:rFonts w:ascii="Book Antiqua" w:hAnsi="Book Antiqua"/>
        </w:rPr>
        <w:tab/>
      </w:r>
      <w:r w:rsidR="001E6F26" w:rsidRPr="00E3232D">
        <w:rPr>
          <w:rFonts w:ascii="Book Antiqua" w:hAnsi="Book Antiqua"/>
        </w:rPr>
        <w:t>Snr. Admin. Assistant</w:t>
      </w:r>
    </w:p>
    <w:p w14:paraId="71284215" w14:textId="77777777" w:rsidR="00CE1E78" w:rsidRDefault="005B1FAA" w:rsidP="00CE1E78">
      <w:pPr>
        <w:pStyle w:val="NoSpacing"/>
        <w:numPr>
          <w:ilvl w:val="0"/>
          <w:numId w:val="3"/>
        </w:numPr>
        <w:spacing w:line="276" w:lineRule="auto"/>
        <w:ind w:left="1440" w:hanging="990"/>
        <w:jc w:val="both"/>
        <w:rPr>
          <w:rFonts w:ascii="Book Antiqua" w:hAnsi="Book Antiqua"/>
        </w:rPr>
      </w:pPr>
      <w:r w:rsidRPr="00E3232D">
        <w:rPr>
          <w:rFonts w:ascii="Book Antiqua" w:hAnsi="Book Antiqua"/>
        </w:rPr>
        <w:t>B</w:t>
      </w:r>
      <w:r w:rsidR="001E6F26" w:rsidRPr="00E3232D">
        <w:rPr>
          <w:rFonts w:ascii="Book Antiqua" w:hAnsi="Book Antiqua"/>
        </w:rPr>
        <w:t>oahemaa</w:t>
      </w:r>
      <w:r w:rsidRPr="00E3232D">
        <w:rPr>
          <w:rFonts w:ascii="Book Antiqua" w:hAnsi="Book Antiqua"/>
        </w:rPr>
        <w:tab/>
      </w:r>
      <w:r w:rsidRPr="00E3232D">
        <w:rPr>
          <w:rFonts w:ascii="Book Antiqua" w:hAnsi="Book Antiqua"/>
        </w:rPr>
        <w:tab/>
      </w:r>
      <w:r w:rsidRPr="00E3232D">
        <w:rPr>
          <w:rFonts w:ascii="Book Antiqua" w:hAnsi="Book Antiqua"/>
        </w:rPr>
        <w:tab/>
      </w:r>
      <w:r w:rsidR="00CE1E78">
        <w:rPr>
          <w:rFonts w:ascii="Book Antiqua" w:hAnsi="Book Antiqua"/>
        </w:rPr>
        <w:tab/>
      </w:r>
      <w:r w:rsidRPr="00E3232D">
        <w:rPr>
          <w:rFonts w:ascii="Book Antiqua" w:hAnsi="Book Antiqua"/>
        </w:rPr>
        <w:t xml:space="preserve">- </w:t>
      </w:r>
      <w:r w:rsidR="00D634A3">
        <w:rPr>
          <w:rFonts w:ascii="Book Antiqua" w:hAnsi="Book Antiqua"/>
        </w:rPr>
        <w:tab/>
      </w:r>
      <w:r w:rsidRPr="00E3232D">
        <w:rPr>
          <w:rFonts w:ascii="Book Antiqua" w:hAnsi="Book Antiqua"/>
        </w:rPr>
        <w:t xml:space="preserve">Snr. Admin. Assistant </w:t>
      </w:r>
    </w:p>
    <w:p w14:paraId="307C2142" w14:textId="77777777" w:rsidR="009B1056" w:rsidRPr="00CE1E78" w:rsidRDefault="005D7F0B" w:rsidP="00CE1E78">
      <w:pPr>
        <w:pStyle w:val="NoSpacing"/>
        <w:spacing w:line="276" w:lineRule="auto"/>
        <w:ind w:left="1440"/>
        <w:jc w:val="both"/>
        <w:rPr>
          <w:rFonts w:ascii="Book Antiqua" w:hAnsi="Book Antiqua"/>
        </w:rPr>
      </w:pPr>
      <w:r w:rsidRPr="00CE1E78">
        <w:rPr>
          <w:rFonts w:ascii="Book Antiqua" w:hAnsi="Book Antiqua"/>
        </w:rPr>
        <w:tab/>
      </w:r>
    </w:p>
    <w:p w14:paraId="25149DBF" w14:textId="77777777" w:rsidR="009F0C15" w:rsidRPr="00772DDB" w:rsidRDefault="00AB3E9C" w:rsidP="00836C94">
      <w:pPr>
        <w:spacing w:after="0" w:line="240" w:lineRule="auto"/>
        <w:ind w:firstLine="450"/>
        <w:jc w:val="both"/>
        <w:rPr>
          <w:rFonts w:ascii="Book Antiqua" w:hAnsi="Book Antiqua"/>
        </w:rPr>
      </w:pPr>
      <w:r w:rsidRPr="00C8499E">
        <w:rPr>
          <w:rFonts w:ascii="Book Antiqua" w:hAnsi="Book Antiqua"/>
          <w:b/>
          <w:sz w:val="26"/>
        </w:rPr>
        <w:t>The Media</w:t>
      </w:r>
      <w:r w:rsidR="009F0C15">
        <w:rPr>
          <w:rFonts w:ascii="Book Antiqua" w:hAnsi="Book Antiqua"/>
          <w:sz w:val="26"/>
        </w:rPr>
        <w:tab/>
      </w:r>
      <w:r w:rsidR="009F0C15">
        <w:rPr>
          <w:rFonts w:ascii="Book Antiqua" w:hAnsi="Book Antiqua"/>
          <w:sz w:val="26"/>
        </w:rPr>
        <w:tab/>
      </w:r>
      <w:r w:rsidR="009F0C15">
        <w:rPr>
          <w:rFonts w:ascii="Book Antiqua" w:hAnsi="Book Antiqua"/>
          <w:sz w:val="26"/>
        </w:rPr>
        <w:tab/>
      </w:r>
      <w:r w:rsidR="00CD6D29">
        <w:rPr>
          <w:rFonts w:ascii="Book Antiqua" w:hAnsi="Book Antiqua"/>
          <w:sz w:val="26"/>
        </w:rPr>
        <w:tab/>
      </w:r>
      <w:r w:rsidR="00CD6D29">
        <w:rPr>
          <w:rFonts w:ascii="Book Antiqua" w:hAnsi="Book Antiqua"/>
          <w:sz w:val="26"/>
        </w:rPr>
        <w:tab/>
        <w:t>-</w:t>
      </w:r>
      <w:r w:rsidR="009F0C15" w:rsidRPr="009F0C15">
        <w:rPr>
          <w:rFonts w:ascii="Times New Roman" w:hAnsi="Times New Roman"/>
          <w:sz w:val="24"/>
          <w:szCs w:val="24"/>
        </w:rPr>
        <w:t xml:space="preserve"> </w:t>
      </w:r>
      <w:r w:rsidR="008C2318">
        <w:rPr>
          <w:rFonts w:ascii="Times New Roman" w:hAnsi="Times New Roman"/>
          <w:sz w:val="24"/>
          <w:szCs w:val="24"/>
        </w:rPr>
        <w:tab/>
      </w:r>
      <w:r w:rsidR="009F0C15" w:rsidRPr="00772DDB">
        <w:rPr>
          <w:rFonts w:ascii="Book Antiqua" w:hAnsi="Book Antiqua"/>
        </w:rPr>
        <w:t>Metro TV</w:t>
      </w:r>
    </w:p>
    <w:p w14:paraId="22F467C7" w14:textId="77777777" w:rsidR="009F0C15" w:rsidRPr="00772DDB" w:rsidRDefault="008C2318" w:rsidP="008C2318">
      <w:pPr>
        <w:spacing w:after="0" w:line="240" w:lineRule="auto"/>
        <w:ind w:left="4680" w:firstLine="360"/>
        <w:jc w:val="both"/>
        <w:rPr>
          <w:rFonts w:ascii="Book Antiqua" w:hAnsi="Book Antiqua"/>
        </w:rPr>
      </w:pPr>
      <w:r w:rsidRPr="00772DDB">
        <w:rPr>
          <w:rFonts w:ascii="Book Antiqua" w:hAnsi="Book Antiqua"/>
        </w:rPr>
        <w:t>-</w:t>
      </w:r>
      <w:r w:rsidRPr="00772DDB">
        <w:rPr>
          <w:rFonts w:ascii="Book Antiqua" w:hAnsi="Book Antiqua"/>
        </w:rPr>
        <w:tab/>
      </w:r>
      <w:r w:rsidR="009F0C15" w:rsidRPr="00772DDB">
        <w:rPr>
          <w:rFonts w:ascii="Book Antiqua" w:hAnsi="Book Antiqua"/>
        </w:rPr>
        <w:t>TV Africa</w:t>
      </w:r>
    </w:p>
    <w:p w14:paraId="153E0A66" w14:textId="77777777" w:rsidR="009F0C15" w:rsidRPr="00772DDB" w:rsidRDefault="008C2318" w:rsidP="008C2318">
      <w:pPr>
        <w:spacing w:after="0" w:line="240" w:lineRule="auto"/>
        <w:ind w:left="4320" w:firstLine="720"/>
        <w:jc w:val="both"/>
        <w:rPr>
          <w:rFonts w:ascii="Book Antiqua" w:hAnsi="Book Antiqua"/>
        </w:rPr>
      </w:pPr>
      <w:r w:rsidRPr="00772DDB">
        <w:rPr>
          <w:rFonts w:ascii="Book Antiqua" w:hAnsi="Book Antiqua"/>
        </w:rPr>
        <w:t>-</w:t>
      </w:r>
      <w:r w:rsidRPr="00772DDB">
        <w:rPr>
          <w:rFonts w:ascii="Book Antiqua" w:hAnsi="Book Antiqua"/>
        </w:rPr>
        <w:tab/>
      </w:r>
      <w:r w:rsidR="00836C94" w:rsidRPr="00772DDB">
        <w:rPr>
          <w:rFonts w:ascii="Book Antiqua" w:hAnsi="Book Antiqua"/>
        </w:rPr>
        <w:t xml:space="preserve">The </w:t>
      </w:r>
      <w:r w:rsidRPr="00772DDB">
        <w:rPr>
          <w:rFonts w:ascii="Book Antiqua" w:hAnsi="Book Antiqua"/>
        </w:rPr>
        <w:t xml:space="preserve">Ghanaian </w:t>
      </w:r>
      <w:r w:rsidR="009F0C15" w:rsidRPr="00772DDB">
        <w:rPr>
          <w:rFonts w:ascii="Book Antiqua" w:hAnsi="Book Antiqua"/>
        </w:rPr>
        <w:t xml:space="preserve">Times </w:t>
      </w:r>
    </w:p>
    <w:p w14:paraId="08219B03" w14:textId="77777777" w:rsidR="009F0C15" w:rsidRPr="00772DDB" w:rsidRDefault="008C2318" w:rsidP="008C2318">
      <w:pPr>
        <w:spacing w:after="0" w:line="240" w:lineRule="auto"/>
        <w:ind w:left="4680" w:firstLine="360"/>
        <w:jc w:val="both"/>
        <w:rPr>
          <w:rFonts w:ascii="Book Antiqua" w:hAnsi="Book Antiqua"/>
        </w:rPr>
      </w:pPr>
      <w:r w:rsidRPr="00772DDB">
        <w:rPr>
          <w:rFonts w:ascii="Book Antiqua" w:hAnsi="Book Antiqua"/>
        </w:rPr>
        <w:t>-</w:t>
      </w:r>
      <w:r w:rsidRPr="00772DDB">
        <w:rPr>
          <w:rFonts w:ascii="Book Antiqua" w:hAnsi="Book Antiqua"/>
        </w:rPr>
        <w:tab/>
      </w:r>
      <w:r w:rsidR="009F0C15" w:rsidRPr="00772DDB">
        <w:rPr>
          <w:rFonts w:ascii="Book Antiqua" w:hAnsi="Book Antiqua"/>
        </w:rPr>
        <w:t>Net 2 TV</w:t>
      </w:r>
    </w:p>
    <w:p w14:paraId="0C447F29" w14:textId="77777777" w:rsidR="009F0C15" w:rsidRPr="00772DDB" w:rsidRDefault="008C2318" w:rsidP="008C2318">
      <w:pPr>
        <w:spacing w:after="0" w:line="240" w:lineRule="auto"/>
        <w:ind w:left="4320" w:firstLine="720"/>
        <w:jc w:val="both"/>
        <w:rPr>
          <w:rFonts w:ascii="Book Antiqua" w:hAnsi="Book Antiqua"/>
        </w:rPr>
      </w:pPr>
      <w:r w:rsidRPr="00772DDB">
        <w:rPr>
          <w:rFonts w:ascii="Book Antiqua" w:hAnsi="Book Antiqua"/>
        </w:rPr>
        <w:t>-</w:t>
      </w:r>
      <w:r w:rsidRPr="00772DDB">
        <w:rPr>
          <w:rFonts w:ascii="Book Antiqua" w:hAnsi="Book Antiqua"/>
        </w:rPr>
        <w:tab/>
      </w:r>
      <w:r w:rsidR="009F0C15" w:rsidRPr="00772DDB">
        <w:rPr>
          <w:rFonts w:ascii="Book Antiqua" w:hAnsi="Book Antiqua"/>
        </w:rPr>
        <w:t>TV 3 Network</w:t>
      </w:r>
    </w:p>
    <w:p w14:paraId="3ACEFCCB" w14:textId="77777777" w:rsidR="009F0C15" w:rsidRPr="00772DDB" w:rsidRDefault="008C2318" w:rsidP="008C2318">
      <w:pPr>
        <w:spacing w:after="0" w:line="240" w:lineRule="auto"/>
        <w:ind w:left="4680" w:firstLine="360"/>
        <w:jc w:val="both"/>
        <w:rPr>
          <w:rFonts w:ascii="Book Antiqua" w:hAnsi="Book Antiqua"/>
        </w:rPr>
      </w:pPr>
      <w:r w:rsidRPr="00772DDB">
        <w:rPr>
          <w:rFonts w:ascii="Book Antiqua" w:hAnsi="Book Antiqua"/>
        </w:rPr>
        <w:t>-</w:t>
      </w:r>
      <w:r w:rsidRPr="00772DDB">
        <w:rPr>
          <w:rFonts w:ascii="Book Antiqua" w:hAnsi="Book Antiqua"/>
        </w:rPr>
        <w:tab/>
      </w:r>
      <w:r w:rsidR="009F0C15" w:rsidRPr="00772DDB">
        <w:rPr>
          <w:rFonts w:ascii="Book Antiqua" w:hAnsi="Book Antiqua"/>
        </w:rPr>
        <w:t>Peace FM</w:t>
      </w:r>
    </w:p>
    <w:p w14:paraId="31C4DABA" w14:textId="77777777" w:rsidR="008C2318" w:rsidRPr="00772DDB" w:rsidRDefault="008C2318" w:rsidP="008C2318">
      <w:pPr>
        <w:spacing w:after="0" w:line="240" w:lineRule="auto"/>
        <w:ind w:left="4320" w:firstLine="720"/>
        <w:jc w:val="both"/>
        <w:rPr>
          <w:rFonts w:ascii="Book Antiqua" w:hAnsi="Book Antiqua"/>
        </w:rPr>
      </w:pPr>
      <w:r w:rsidRPr="00772DDB">
        <w:rPr>
          <w:rFonts w:ascii="Book Antiqua" w:hAnsi="Book Antiqua"/>
        </w:rPr>
        <w:t>-</w:t>
      </w:r>
      <w:r w:rsidRPr="00772DDB">
        <w:rPr>
          <w:rFonts w:ascii="Book Antiqua" w:hAnsi="Book Antiqua"/>
        </w:rPr>
        <w:tab/>
      </w:r>
      <w:r w:rsidR="009F0C15" w:rsidRPr="00772DDB">
        <w:rPr>
          <w:rFonts w:ascii="Book Antiqua" w:hAnsi="Book Antiqua"/>
        </w:rPr>
        <w:t>New Crusading Guide</w:t>
      </w:r>
    </w:p>
    <w:p w14:paraId="6807E962" w14:textId="77777777" w:rsidR="009F0C15" w:rsidRPr="00772DDB" w:rsidRDefault="008C2318" w:rsidP="008C2318">
      <w:pPr>
        <w:spacing w:after="0" w:line="240" w:lineRule="auto"/>
        <w:ind w:left="4320" w:firstLine="720"/>
        <w:jc w:val="both"/>
        <w:rPr>
          <w:rFonts w:ascii="Book Antiqua" w:hAnsi="Book Antiqua"/>
        </w:rPr>
      </w:pPr>
      <w:r w:rsidRPr="00772DDB">
        <w:rPr>
          <w:rFonts w:ascii="Book Antiqua" w:hAnsi="Book Antiqua"/>
        </w:rPr>
        <w:t>-</w:t>
      </w:r>
      <w:r w:rsidRPr="00772DDB">
        <w:rPr>
          <w:rFonts w:ascii="Book Antiqua" w:hAnsi="Book Antiqua"/>
        </w:rPr>
        <w:tab/>
      </w:r>
      <w:r w:rsidR="009F0C15" w:rsidRPr="00772DDB">
        <w:rPr>
          <w:rFonts w:ascii="Book Antiqua" w:hAnsi="Book Antiqua"/>
        </w:rPr>
        <w:t>GoodLife FM</w:t>
      </w:r>
    </w:p>
    <w:p w14:paraId="12915050" w14:textId="77777777" w:rsidR="009F0C15" w:rsidRPr="00772DDB" w:rsidRDefault="008C2318" w:rsidP="008C2318">
      <w:pPr>
        <w:spacing w:after="0" w:line="240" w:lineRule="auto"/>
        <w:ind w:left="4680" w:firstLine="360"/>
        <w:jc w:val="both"/>
        <w:rPr>
          <w:rFonts w:ascii="Book Antiqua" w:hAnsi="Book Antiqua"/>
        </w:rPr>
      </w:pPr>
      <w:r w:rsidRPr="00772DDB">
        <w:rPr>
          <w:rFonts w:ascii="Book Antiqua" w:hAnsi="Book Antiqua"/>
        </w:rPr>
        <w:lastRenderedPageBreak/>
        <w:t>-</w:t>
      </w:r>
      <w:r w:rsidRPr="00772DDB">
        <w:rPr>
          <w:rFonts w:ascii="Book Antiqua" w:hAnsi="Book Antiqua"/>
        </w:rPr>
        <w:tab/>
      </w:r>
      <w:r w:rsidR="009F0C15" w:rsidRPr="00772DDB">
        <w:rPr>
          <w:rFonts w:ascii="Book Antiqua" w:hAnsi="Book Antiqua"/>
        </w:rPr>
        <w:t>Life FM</w:t>
      </w:r>
    </w:p>
    <w:p w14:paraId="6BC2BC44" w14:textId="77777777" w:rsidR="009F0C15" w:rsidRPr="00772DDB" w:rsidRDefault="008C2318" w:rsidP="008C2318">
      <w:pPr>
        <w:spacing w:after="0" w:line="240" w:lineRule="auto"/>
        <w:ind w:left="4320" w:firstLine="720"/>
        <w:jc w:val="both"/>
        <w:rPr>
          <w:rFonts w:ascii="Book Antiqua" w:hAnsi="Book Antiqua"/>
        </w:rPr>
      </w:pPr>
      <w:r w:rsidRPr="00772DDB">
        <w:rPr>
          <w:rFonts w:ascii="Book Antiqua" w:hAnsi="Book Antiqua"/>
        </w:rPr>
        <w:t>-</w:t>
      </w:r>
      <w:r w:rsidRPr="00772DDB">
        <w:rPr>
          <w:rFonts w:ascii="Book Antiqua" w:hAnsi="Book Antiqua"/>
        </w:rPr>
        <w:tab/>
      </w:r>
      <w:r w:rsidR="009F0C15" w:rsidRPr="00772DDB">
        <w:rPr>
          <w:rFonts w:ascii="Book Antiqua" w:hAnsi="Book Antiqua"/>
        </w:rPr>
        <w:t>City FM</w:t>
      </w:r>
    </w:p>
    <w:p w14:paraId="28BD672E" w14:textId="77777777" w:rsidR="009F0C15" w:rsidRPr="00772DDB" w:rsidRDefault="008C2318" w:rsidP="008C2318">
      <w:pPr>
        <w:spacing w:after="0" w:line="240" w:lineRule="auto"/>
        <w:ind w:left="4680" w:firstLine="360"/>
        <w:jc w:val="both"/>
        <w:rPr>
          <w:rFonts w:ascii="Book Antiqua" w:hAnsi="Book Antiqua"/>
        </w:rPr>
      </w:pPr>
      <w:r>
        <w:rPr>
          <w:rFonts w:ascii="Times New Roman" w:hAnsi="Times New Roman"/>
          <w:sz w:val="24"/>
          <w:szCs w:val="24"/>
        </w:rPr>
        <w:t>-</w:t>
      </w:r>
      <w:r w:rsidRPr="00772DDB">
        <w:rPr>
          <w:rFonts w:ascii="Book Antiqua" w:hAnsi="Book Antiqua"/>
        </w:rPr>
        <w:tab/>
      </w:r>
      <w:r w:rsidR="009F0C15" w:rsidRPr="00772DDB">
        <w:rPr>
          <w:rFonts w:ascii="Book Antiqua" w:hAnsi="Book Antiqua"/>
        </w:rPr>
        <w:t>Poly FM</w:t>
      </w:r>
    </w:p>
    <w:p w14:paraId="052C0789" w14:textId="77777777" w:rsidR="009F0C15" w:rsidRPr="00772DDB" w:rsidRDefault="008C2318" w:rsidP="008C2318">
      <w:pPr>
        <w:spacing w:after="0" w:line="240" w:lineRule="auto"/>
        <w:ind w:left="4320" w:firstLine="720"/>
        <w:jc w:val="both"/>
        <w:rPr>
          <w:rFonts w:ascii="Book Antiqua" w:hAnsi="Book Antiqua"/>
        </w:rPr>
      </w:pPr>
      <w:r w:rsidRPr="00772DDB">
        <w:rPr>
          <w:rFonts w:ascii="Book Antiqua" w:hAnsi="Book Antiqua"/>
        </w:rPr>
        <w:t>-</w:t>
      </w:r>
      <w:r w:rsidRPr="00772DDB">
        <w:rPr>
          <w:rFonts w:ascii="Book Antiqua" w:hAnsi="Book Antiqua"/>
        </w:rPr>
        <w:tab/>
      </w:r>
      <w:r w:rsidR="009F0C15" w:rsidRPr="00772DDB">
        <w:rPr>
          <w:rFonts w:ascii="Book Antiqua" w:hAnsi="Book Antiqua"/>
        </w:rPr>
        <w:t>Ghana News Agency</w:t>
      </w:r>
    </w:p>
    <w:p w14:paraId="0529D29D" w14:textId="77777777" w:rsidR="009F0C15" w:rsidRPr="00772DDB" w:rsidRDefault="008C2318" w:rsidP="008C2318">
      <w:pPr>
        <w:spacing w:after="0" w:line="240" w:lineRule="auto"/>
        <w:ind w:left="4680" w:firstLine="360"/>
        <w:jc w:val="both"/>
        <w:rPr>
          <w:rFonts w:ascii="Book Antiqua" w:hAnsi="Book Antiqua"/>
        </w:rPr>
      </w:pPr>
      <w:r w:rsidRPr="00772DDB">
        <w:rPr>
          <w:rFonts w:ascii="Book Antiqua" w:hAnsi="Book Antiqua"/>
        </w:rPr>
        <w:t>-</w:t>
      </w:r>
      <w:r w:rsidRPr="00772DDB">
        <w:rPr>
          <w:rFonts w:ascii="Book Antiqua" w:hAnsi="Book Antiqua"/>
        </w:rPr>
        <w:tab/>
      </w:r>
      <w:r w:rsidR="009F0C15" w:rsidRPr="00772DDB">
        <w:rPr>
          <w:rFonts w:ascii="Book Antiqua" w:hAnsi="Book Antiqua"/>
        </w:rPr>
        <w:t>Sunrise FM</w:t>
      </w:r>
    </w:p>
    <w:p w14:paraId="30817B39" w14:textId="77777777" w:rsidR="009B1056" w:rsidRPr="00772DDB" w:rsidRDefault="00CD6D29" w:rsidP="00202976">
      <w:pPr>
        <w:tabs>
          <w:tab w:val="left" w:pos="3885"/>
        </w:tabs>
        <w:jc w:val="both"/>
        <w:rPr>
          <w:rFonts w:ascii="Book Antiqua" w:hAnsi="Book Antiqua"/>
        </w:rPr>
      </w:pPr>
      <w:r w:rsidRPr="00772DDB">
        <w:rPr>
          <w:rFonts w:ascii="Book Antiqua" w:hAnsi="Book Antiqua"/>
        </w:rPr>
        <w:tab/>
      </w:r>
    </w:p>
    <w:p w14:paraId="7260F74C" w14:textId="77777777" w:rsidR="001B384D" w:rsidRDefault="005B182E" w:rsidP="00772DDB">
      <w:pPr>
        <w:tabs>
          <w:tab w:val="left" w:pos="2430"/>
        </w:tabs>
        <w:spacing w:after="0"/>
        <w:contextualSpacing/>
        <w:jc w:val="both"/>
        <w:rPr>
          <w:rFonts w:ascii="Book Antiqua" w:hAnsi="Book Antiqua"/>
        </w:rPr>
      </w:pPr>
      <w:r w:rsidRPr="00C8499E">
        <w:rPr>
          <w:rFonts w:ascii="Book Antiqua" w:hAnsi="Book Antiqua"/>
          <w:b/>
          <w:sz w:val="26"/>
        </w:rPr>
        <w:t>Sponsors</w:t>
      </w:r>
      <w:r w:rsidRPr="00772DDB">
        <w:rPr>
          <w:rFonts w:ascii="Book Antiqua" w:hAnsi="Book Antiqua"/>
          <w:sz w:val="26"/>
        </w:rPr>
        <w:t xml:space="preserve"> </w:t>
      </w:r>
      <w:r w:rsidR="00CD6D29" w:rsidRPr="00772DDB">
        <w:rPr>
          <w:rFonts w:ascii="Book Antiqua" w:hAnsi="Book Antiqua"/>
        </w:rPr>
        <w:tab/>
      </w:r>
      <w:r w:rsidR="00CD6D29" w:rsidRPr="00772DDB">
        <w:rPr>
          <w:rFonts w:ascii="Book Antiqua" w:hAnsi="Book Antiqua"/>
        </w:rPr>
        <w:tab/>
      </w:r>
      <w:r w:rsidR="00CD6D29" w:rsidRPr="00772DDB">
        <w:rPr>
          <w:rFonts w:ascii="Book Antiqua" w:hAnsi="Book Antiqua"/>
        </w:rPr>
        <w:tab/>
      </w:r>
      <w:r w:rsidR="00772DDB">
        <w:rPr>
          <w:rFonts w:ascii="Book Antiqua" w:hAnsi="Book Antiqua"/>
        </w:rPr>
        <w:tab/>
      </w:r>
      <w:r w:rsidR="00772DDB">
        <w:rPr>
          <w:rFonts w:ascii="Book Antiqua" w:hAnsi="Book Antiqua"/>
        </w:rPr>
        <w:tab/>
      </w:r>
      <w:r w:rsidR="00CD6D29" w:rsidRPr="00772DDB">
        <w:rPr>
          <w:rFonts w:ascii="Book Antiqua" w:hAnsi="Book Antiqua"/>
        </w:rPr>
        <w:t>-</w:t>
      </w:r>
      <w:r w:rsidR="00CD6D29" w:rsidRPr="00772DDB">
        <w:rPr>
          <w:rFonts w:ascii="Book Antiqua" w:hAnsi="Book Antiqua"/>
        </w:rPr>
        <w:tab/>
      </w:r>
      <w:r w:rsidR="001B384D" w:rsidRPr="00772DDB">
        <w:rPr>
          <w:rFonts w:ascii="Book Antiqua" w:hAnsi="Book Antiqua"/>
        </w:rPr>
        <w:t>Ghana Commercial Bank Ltd.</w:t>
      </w:r>
    </w:p>
    <w:p w14:paraId="0CFC044A" w14:textId="77777777" w:rsidR="001B384D" w:rsidRDefault="00772DDB" w:rsidP="00196385">
      <w:pPr>
        <w:numPr>
          <w:ilvl w:val="0"/>
          <w:numId w:val="158"/>
        </w:numPr>
        <w:tabs>
          <w:tab w:val="left" w:pos="2430"/>
        </w:tabs>
        <w:spacing w:after="0"/>
        <w:ind w:left="5040" w:firstLine="0"/>
        <w:contextualSpacing/>
        <w:jc w:val="both"/>
        <w:rPr>
          <w:rFonts w:ascii="Book Antiqua" w:hAnsi="Book Antiqua"/>
        </w:rPr>
      </w:pPr>
      <w:r>
        <w:rPr>
          <w:rFonts w:ascii="Book Antiqua" w:hAnsi="Book Antiqua"/>
        </w:rPr>
        <w:t>Paa</w:t>
      </w:r>
      <w:r w:rsidRPr="00772DDB">
        <w:rPr>
          <w:rFonts w:ascii="Book Antiqua" w:hAnsi="Book Antiqua"/>
        </w:rPr>
        <w:t>Wills</w:t>
      </w:r>
      <w:r>
        <w:rPr>
          <w:rFonts w:ascii="Book Antiqua" w:hAnsi="Book Antiqua"/>
        </w:rPr>
        <w:t xml:space="preserve"> Printing Press, Koforidua</w:t>
      </w:r>
    </w:p>
    <w:p w14:paraId="3B3D5117" w14:textId="77777777" w:rsidR="001B384D" w:rsidRDefault="001B384D" w:rsidP="00196385">
      <w:pPr>
        <w:numPr>
          <w:ilvl w:val="0"/>
          <w:numId w:val="158"/>
        </w:numPr>
        <w:tabs>
          <w:tab w:val="left" w:pos="2430"/>
        </w:tabs>
        <w:spacing w:after="0"/>
        <w:ind w:left="5040" w:firstLine="0"/>
        <w:contextualSpacing/>
        <w:jc w:val="both"/>
        <w:rPr>
          <w:rFonts w:ascii="Book Antiqua" w:hAnsi="Book Antiqua"/>
        </w:rPr>
      </w:pPr>
      <w:r>
        <w:rPr>
          <w:rFonts w:ascii="Book Antiqua" w:hAnsi="Book Antiqua"/>
        </w:rPr>
        <w:t>Glad Siram Printing Works</w:t>
      </w:r>
    </w:p>
    <w:p w14:paraId="3A5CC0C3" w14:textId="77777777" w:rsidR="00772DDB" w:rsidRPr="00772DDB" w:rsidRDefault="001B384D" w:rsidP="00196385">
      <w:pPr>
        <w:numPr>
          <w:ilvl w:val="0"/>
          <w:numId w:val="158"/>
        </w:numPr>
        <w:tabs>
          <w:tab w:val="left" w:pos="2430"/>
        </w:tabs>
        <w:spacing w:after="0"/>
        <w:ind w:left="5040" w:firstLine="0"/>
        <w:contextualSpacing/>
        <w:jc w:val="both"/>
        <w:rPr>
          <w:rFonts w:ascii="Book Antiqua" w:hAnsi="Book Antiqua"/>
        </w:rPr>
      </w:pPr>
      <w:r>
        <w:rPr>
          <w:rFonts w:ascii="Book Antiqua" w:hAnsi="Book Antiqua"/>
        </w:rPr>
        <w:t>Ogyeatuo Enterprise</w:t>
      </w:r>
      <w:r>
        <w:rPr>
          <w:rFonts w:ascii="Book Antiqua" w:hAnsi="Book Antiqua"/>
        </w:rPr>
        <w:tab/>
      </w:r>
      <w:r w:rsidR="00772DDB" w:rsidRPr="00772DDB">
        <w:rPr>
          <w:rFonts w:ascii="Book Antiqua" w:hAnsi="Book Antiqua"/>
        </w:rPr>
        <w:tab/>
      </w:r>
    </w:p>
    <w:p w14:paraId="135BD7C7" w14:textId="77777777" w:rsidR="00772DDB" w:rsidRPr="00772DDB" w:rsidRDefault="00772DDB" w:rsidP="00196385">
      <w:pPr>
        <w:pStyle w:val="ListParagraph"/>
        <w:numPr>
          <w:ilvl w:val="0"/>
          <w:numId w:val="158"/>
        </w:numPr>
        <w:tabs>
          <w:tab w:val="left" w:pos="1080"/>
        </w:tabs>
        <w:ind w:left="5760" w:hanging="720"/>
        <w:jc w:val="both"/>
        <w:rPr>
          <w:rFonts w:ascii="Book Antiqua" w:hAnsi="Book Antiqua"/>
        </w:rPr>
      </w:pPr>
      <w:r w:rsidRPr="00772DDB">
        <w:rPr>
          <w:rFonts w:ascii="Book Antiqua" w:hAnsi="Book Antiqua"/>
        </w:rPr>
        <w:t>Om</w:t>
      </w:r>
      <w:r w:rsidR="001B384D">
        <w:rPr>
          <w:rFonts w:ascii="Book Antiqua" w:hAnsi="Book Antiqua"/>
        </w:rPr>
        <w:t>ega Compu System Eng.</w:t>
      </w:r>
      <w:r>
        <w:rPr>
          <w:rFonts w:ascii="Book Antiqua" w:hAnsi="Book Antiqua"/>
        </w:rPr>
        <w:t xml:space="preserve"> </w:t>
      </w:r>
      <w:r>
        <w:rPr>
          <w:rFonts w:ascii="Book Antiqua" w:hAnsi="Book Antiqua"/>
        </w:rPr>
        <w:tab/>
      </w:r>
    </w:p>
    <w:p w14:paraId="4571A617" w14:textId="77777777" w:rsidR="00772DDB" w:rsidRPr="001B384D" w:rsidRDefault="00772DDB" w:rsidP="00196385">
      <w:pPr>
        <w:pStyle w:val="ListParagraph"/>
        <w:numPr>
          <w:ilvl w:val="0"/>
          <w:numId w:val="158"/>
        </w:numPr>
        <w:tabs>
          <w:tab w:val="left" w:pos="1080"/>
        </w:tabs>
        <w:ind w:left="5760" w:hanging="720"/>
        <w:jc w:val="both"/>
        <w:rPr>
          <w:rFonts w:ascii="Book Antiqua" w:hAnsi="Book Antiqua"/>
        </w:rPr>
      </w:pPr>
      <w:r w:rsidRPr="00772DDB">
        <w:rPr>
          <w:rFonts w:ascii="Book Antiqua" w:hAnsi="Book Antiqua"/>
        </w:rPr>
        <w:t>O &amp; G Associate and Afrive Ltd</w:t>
      </w:r>
      <w:r w:rsidR="001B384D">
        <w:rPr>
          <w:rFonts w:ascii="Book Antiqua" w:hAnsi="Book Antiqua"/>
        </w:rPr>
        <w:t>.</w:t>
      </w:r>
    </w:p>
    <w:p w14:paraId="33FD8E0F" w14:textId="77777777" w:rsidR="00772DDB" w:rsidRDefault="001B384D" w:rsidP="00196385">
      <w:pPr>
        <w:pStyle w:val="ListParagraph"/>
        <w:numPr>
          <w:ilvl w:val="0"/>
          <w:numId w:val="158"/>
        </w:numPr>
        <w:tabs>
          <w:tab w:val="left" w:pos="1080"/>
        </w:tabs>
        <w:ind w:left="5760" w:hanging="720"/>
        <w:jc w:val="both"/>
        <w:rPr>
          <w:rFonts w:ascii="Book Antiqua" w:hAnsi="Book Antiqua"/>
        </w:rPr>
      </w:pPr>
      <w:r>
        <w:rPr>
          <w:rFonts w:ascii="Book Antiqua" w:hAnsi="Book Antiqua"/>
        </w:rPr>
        <w:t>Vanguard Assurance Co.</w:t>
      </w:r>
      <w:r w:rsidR="00772DDB" w:rsidRPr="00772DDB">
        <w:rPr>
          <w:rFonts w:ascii="Book Antiqua" w:hAnsi="Book Antiqua"/>
        </w:rPr>
        <w:t xml:space="preserve"> Ltd</w:t>
      </w:r>
      <w:r w:rsidR="00772DDB" w:rsidRPr="00772DDB">
        <w:rPr>
          <w:rFonts w:ascii="Book Antiqua" w:hAnsi="Book Antiqua"/>
        </w:rPr>
        <w:tab/>
      </w:r>
      <w:r>
        <w:rPr>
          <w:rFonts w:ascii="Book Antiqua" w:hAnsi="Book Antiqua"/>
        </w:rPr>
        <w:t>.</w:t>
      </w:r>
    </w:p>
    <w:p w14:paraId="213F96CA" w14:textId="77777777" w:rsidR="005B182E" w:rsidRPr="00276AE2" w:rsidRDefault="00772DDB" w:rsidP="00196385">
      <w:pPr>
        <w:pStyle w:val="ListParagraph"/>
        <w:numPr>
          <w:ilvl w:val="0"/>
          <w:numId w:val="158"/>
        </w:numPr>
        <w:tabs>
          <w:tab w:val="left" w:pos="1080"/>
        </w:tabs>
        <w:ind w:left="5760" w:hanging="720"/>
        <w:jc w:val="both"/>
        <w:rPr>
          <w:rFonts w:ascii="Book Antiqua" w:hAnsi="Book Antiqua"/>
          <w:sz w:val="26"/>
        </w:rPr>
      </w:pPr>
      <w:r>
        <w:rPr>
          <w:rFonts w:ascii="Times New Roman" w:hAnsi="Times New Roman"/>
          <w:sz w:val="24"/>
          <w:szCs w:val="24"/>
        </w:rPr>
        <w:t>Cold Temperatures</w:t>
      </w:r>
      <w:r>
        <w:rPr>
          <w:rFonts w:ascii="Times New Roman" w:hAnsi="Times New Roman"/>
          <w:sz w:val="24"/>
          <w:szCs w:val="24"/>
        </w:rPr>
        <w:tab/>
      </w:r>
    </w:p>
    <w:p w14:paraId="1F8885D9" w14:textId="77777777" w:rsidR="00276AE2" w:rsidRDefault="00276AE2" w:rsidP="00202976">
      <w:pPr>
        <w:tabs>
          <w:tab w:val="left" w:pos="3885"/>
        </w:tabs>
        <w:jc w:val="both"/>
        <w:rPr>
          <w:rFonts w:ascii="Book Antiqua" w:hAnsi="Book Antiqua"/>
        </w:rPr>
      </w:pPr>
    </w:p>
    <w:p w14:paraId="53838DBA" w14:textId="77777777" w:rsidR="00AB3E9C" w:rsidRDefault="00AB3E9C" w:rsidP="00202976">
      <w:pPr>
        <w:tabs>
          <w:tab w:val="left" w:pos="3885"/>
        </w:tabs>
        <w:jc w:val="both"/>
        <w:rPr>
          <w:rFonts w:ascii="Book Antiqua" w:hAnsi="Book Antiqua"/>
        </w:rPr>
      </w:pPr>
      <w:r>
        <w:rPr>
          <w:rFonts w:ascii="Book Antiqua" w:hAnsi="Book Antiqua"/>
        </w:rPr>
        <w:t xml:space="preserve">In our bid to improve on the quality of the organization of the Annual Conference and the quality of papers, we sincerely look forward to your comments as readers, participants, researchers and other stakeholders. </w:t>
      </w:r>
    </w:p>
    <w:p w14:paraId="78E105BD" w14:textId="77777777" w:rsidR="00A1212D" w:rsidRDefault="00A1212D" w:rsidP="00202976">
      <w:pPr>
        <w:spacing w:line="240" w:lineRule="auto"/>
        <w:jc w:val="both"/>
        <w:rPr>
          <w:rFonts w:ascii="Book Antiqua" w:hAnsi="Book Antiqua"/>
        </w:rPr>
      </w:pPr>
    </w:p>
    <w:p w14:paraId="6BA61673" w14:textId="77777777" w:rsidR="00127287" w:rsidRDefault="00127287" w:rsidP="00202976">
      <w:pPr>
        <w:spacing w:line="240" w:lineRule="auto"/>
        <w:jc w:val="both"/>
        <w:rPr>
          <w:rFonts w:ascii="Book Antiqua" w:hAnsi="Book Antiqua"/>
        </w:rPr>
      </w:pPr>
      <w:r>
        <w:rPr>
          <w:rFonts w:ascii="Book Antiqua" w:hAnsi="Book Antiqua"/>
        </w:rPr>
        <w:t>Please forward your comments to:</w:t>
      </w:r>
    </w:p>
    <w:p w14:paraId="5DB81E1B" w14:textId="77777777" w:rsidR="002B0B3D" w:rsidRDefault="002B0B3D" w:rsidP="00202976">
      <w:pPr>
        <w:spacing w:line="240" w:lineRule="auto"/>
        <w:jc w:val="both"/>
        <w:rPr>
          <w:rFonts w:ascii="Book Antiqua" w:hAnsi="Book Antiqua"/>
        </w:rPr>
      </w:pPr>
      <w:r>
        <w:rPr>
          <w:rFonts w:ascii="Book Antiqua" w:hAnsi="Book Antiqua"/>
        </w:rPr>
        <w:t>Research &amp; New Programmes Departme</w:t>
      </w:r>
      <w:r w:rsidR="00EE6C59">
        <w:rPr>
          <w:rFonts w:ascii="Book Antiqua" w:hAnsi="Book Antiqua"/>
        </w:rPr>
        <w:t>n</w:t>
      </w:r>
      <w:r>
        <w:rPr>
          <w:rFonts w:ascii="Book Antiqua" w:hAnsi="Book Antiqua"/>
        </w:rPr>
        <w:t>t</w:t>
      </w:r>
    </w:p>
    <w:p w14:paraId="7B67D409" w14:textId="77777777" w:rsidR="002B0B3D" w:rsidRDefault="002B0B3D" w:rsidP="00202976">
      <w:pPr>
        <w:spacing w:line="240" w:lineRule="auto"/>
        <w:jc w:val="both"/>
        <w:rPr>
          <w:rFonts w:ascii="Book Antiqua" w:hAnsi="Book Antiqua"/>
        </w:rPr>
      </w:pPr>
      <w:r>
        <w:rPr>
          <w:rFonts w:ascii="Book Antiqua" w:hAnsi="Book Antiqua"/>
        </w:rPr>
        <w:t>Koforidua Polytechnic</w:t>
      </w:r>
    </w:p>
    <w:p w14:paraId="593E627E" w14:textId="77777777" w:rsidR="002B0B3D" w:rsidRDefault="002B0B3D" w:rsidP="00202976">
      <w:pPr>
        <w:spacing w:line="240" w:lineRule="auto"/>
        <w:jc w:val="both"/>
        <w:rPr>
          <w:rFonts w:ascii="Book Antiqua" w:hAnsi="Book Antiqua"/>
        </w:rPr>
      </w:pPr>
      <w:r>
        <w:rPr>
          <w:rFonts w:ascii="Book Antiqua" w:hAnsi="Book Antiqua"/>
        </w:rPr>
        <w:t>P.O.Box 981</w:t>
      </w:r>
    </w:p>
    <w:p w14:paraId="4955541D" w14:textId="77777777" w:rsidR="002B0B3D" w:rsidRDefault="002B0B3D" w:rsidP="00202976">
      <w:pPr>
        <w:spacing w:line="240" w:lineRule="auto"/>
        <w:jc w:val="both"/>
        <w:rPr>
          <w:rFonts w:ascii="Book Antiqua" w:hAnsi="Book Antiqua"/>
        </w:rPr>
      </w:pPr>
      <w:r>
        <w:rPr>
          <w:rFonts w:ascii="Book Antiqua" w:hAnsi="Book Antiqua"/>
        </w:rPr>
        <w:t>Koforidua</w:t>
      </w:r>
    </w:p>
    <w:p w14:paraId="6988BC4B" w14:textId="77777777" w:rsidR="002B0B3D" w:rsidRDefault="002B0B3D" w:rsidP="00202976">
      <w:pPr>
        <w:spacing w:line="240" w:lineRule="auto"/>
        <w:jc w:val="both"/>
        <w:rPr>
          <w:rFonts w:ascii="Book Antiqua" w:hAnsi="Book Antiqua"/>
        </w:rPr>
      </w:pPr>
      <w:r>
        <w:rPr>
          <w:rFonts w:ascii="Book Antiqua" w:hAnsi="Book Antiqua"/>
        </w:rPr>
        <w:t>Tel: 0342-196251</w:t>
      </w:r>
    </w:p>
    <w:p w14:paraId="3DAC6855" w14:textId="77777777" w:rsidR="002B0B3D" w:rsidRDefault="002B0B3D" w:rsidP="00202976">
      <w:pPr>
        <w:spacing w:line="240" w:lineRule="auto"/>
        <w:jc w:val="both"/>
        <w:rPr>
          <w:rFonts w:ascii="Book Antiqua" w:hAnsi="Book Antiqua"/>
        </w:rPr>
      </w:pPr>
    </w:p>
    <w:p w14:paraId="1A2B4B9D" w14:textId="77777777" w:rsidR="002B0B3D" w:rsidRDefault="002B0B3D" w:rsidP="00202976">
      <w:pPr>
        <w:spacing w:line="240" w:lineRule="auto"/>
        <w:jc w:val="both"/>
        <w:rPr>
          <w:rFonts w:ascii="Book Antiqua" w:hAnsi="Book Antiqua"/>
        </w:rPr>
      </w:pPr>
    </w:p>
    <w:p w14:paraId="0A008B7F" w14:textId="77777777" w:rsidR="002B0B3D" w:rsidRDefault="002B0B3D" w:rsidP="00202976">
      <w:pPr>
        <w:spacing w:line="240" w:lineRule="auto"/>
        <w:jc w:val="both"/>
        <w:rPr>
          <w:rFonts w:ascii="Book Antiqua" w:hAnsi="Book Antiqua"/>
        </w:rPr>
      </w:pPr>
    </w:p>
    <w:p w14:paraId="51F44939" w14:textId="77777777" w:rsidR="002B0B3D" w:rsidRDefault="002B0B3D" w:rsidP="00202976">
      <w:pPr>
        <w:spacing w:line="240" w:lineRule="auto"/>
        <w:jc w:val="both"/>
        <w:rPr>
          <w:rFonts w:ascii="Book Antiqua" w:hAnsi="Book Antiqua"/>
        </w:rPr>
      </w:pPr>
    </w:p>
    <w:p w14:paraId="23A9F17E" w14:textId="77777777" w:rsidR="002B0B3D" w:rsidRDefault="002B0B3D" w:rsidP="00202976">
      <w:pPr>
        <w:spacing w:line="240" w:lineRule="auto"/>
        <w:jc w:val="both"/>
        <w:rPr>
          <w:rFonts w:ascii="Book Antiqua" w:hAnsi="Book Antiqua"/>
        </w:rPr>
      </w:pPr>
    </w:p>
    <w:p w14:paraId="49A223D3" w14:textId="77777777" w:rsidR="002B0B3D" w:rsidRDefault="002B0B3D" w:rsidP="00202976">
      <w:pPr>
        <w:spacing w:line="240" w:lineRule="auto"/>
        <w:jc w:val="both"/>
        <w:rPr>
          <w:rFonts w:ascii="Book Antiqua" w:hAnsi="Book Antiqua"/>
        </w:rPr>
      </w:pPr>
    </w:p>
    <w:p w14:paraId="6C452034" w14:textId="77777777" w:rsidR="00A03CD7" w:rsidRDefault="00A03CD7" w:rsidP="00202976">
      <w:pPr>
        <w:spacing w:line="240" w:lineRule="auto"/>
        <w:jc w:val="both"/>
        <w:rPr>
          <w:rFonts w:ascii="Book Antiqua" w:hAnsi="Book Antiqua"/>
        </w:rPr>
      </w:pPr>
    </w:p>
    <w:p w14:paraId="32F160D4" w14:textId="77777777" w:rsidR="00A1212D" w:rsidRDefault="00A1212D" w:rsidP="009450B6">
      <w:pPr>
        <w:spacing w:line="240" w:lineRule="auto"/>
        <w:rPr>
          <w:rFonts w:ascii="Book Antiqua" w:hAnsi="Book Antiqua"/>
          <w:b/>
        </w:rPr>
      </w:pPr>
    </w:p>
    <w:p w14:paraId="711C7B41" w14:textId="77777777" w:rsidR="002E6F61" w:rsidRPr="00AB3E9C" w:rsidRDefault="002E6F61" w:rsidP="009450B6">
      <w:pPr>
        <w:spacing w:line="240" w:lineRule="auto"/>
        <w:rPr>
          <w:rFonts w:ascii="Book Antiqua" w:hAnsi="Book Antiqua"/>
          <w:b/>
        </w:rPr>
      </w:pPr>
    </w:p>
    <w:p w14:paraId="6CB16F70" w14:textId="77777777" w:rsidR="002409E2" w:rsidRPr="001450C4" w:rsidRDefault="0050505F" w:rsidP="002409E2">
      <w:pPr>
        <w:spacing w:line="240" w:lineRule="auto"/>
        <w:jc w:val="center"/>
        <w:rPr>
          <w:rFonts w:ascii="Book Antiqua" w:hAnsi="Book Antiqua"/>
          <w:b/>
          <w:sz w:val="26"/>
        </w:rPr>
      </w:pPr>
      <w:r w:rsidRPr="001450C4">
        <w:rPr>
          <w:rFonts w:ascii="Book Antiqua" w:hAnsi="Book Antiqua"/>
          <w:b/>
          <w:sz w:val="26"/>
        </w:rPr>
        <w:lastRenderedPageBreak/>
        <w:t>Report of Proceedings of the 6</w:t>
      </w:r>
      <w:r w:rsidRPr="001450C4">
        <w:rPr>
          <w:rFonts w:ascii="Book Antiqua" w:hAnsi="Book Antiqua"/>
          <w:b/>
          <w:sz w:val="26"/>
          <w:vertAlign w:val="superscript"/>
        </w:rPr>
        <w:t>th</w:t>
      </w:r>
      <w:r w:rsidRPr="001450C4">
        <w:rPr>
          <w:rFonts w:ascii="Book Antiqua" w:hAnsi="Book Antiqua"/>
          <w:b/>
          <w:sz w:val="26"/>
        </w:rPr>
        <w:t xml:space="preserve"> Annual International Applied Research Conference</w:t>
      </w:r>
    </w:p>
    <w:p w14:paraId="6E0CFB38" w14:textId="77777777" w:rsidR="008F72B8" w:rsidRPr="008F72B8" w:rsidRDefault="008F72B8" w:rsidP="008F72B8">
      <w:pPr>
        <w:spacing w:line="240" w:lineRule="auto"/>
        <w:jc w:val="center"/>
        <w:rPr>
          <w:rFonts w:ascii="Book Antiqua" w:hAnsi="Book Antiqua"/>
        </w:rPr>
      </w:pPr>
      <w:r w:rsidRPr="008F72B8">
        <w:rPr>
          <w:rFonts w:ascii="Book Antiqua" w:hAnsi="Book Antiqua"/>
        </w:rPr>
        <w:t>by</w:t>
      </w:r>
    </w:p>
    <w:p w14:paraId="030E83F7" w14:textId="77777777" w:rsidR="008F72B8" w:rsidRPr="008F72B8" w:rsidRDefault="008F72B8" w:rsidP="00547039">
      <w:pPr>
        <w:spacing w:after="0" w:line="240" w:lineRule="auto"/>
        <w:jc w:val="center"/>
        <w:rPr>
          <w:rFonts w:ascii="Book Antiqua" w:hAnsi="Book Antiqua"/>
        </w:rPr>
      </w:pPr>
      <w:r w:rsidRPr="008F72B8">
        <w:rPr>
          <w:rFonts w:ascii="Book Antiqua" w:hAnsi="Book Antiqua"/>
        </w:rPr>
        <w:t>Mrs. Charity Ossom</w:t>
      </w:r>
      <w:r w:rsidR="008C6F41" w:rsidRPr="008C6F41">
        <w:rPr>
          <w:rFonts w:ascii="Book Antiqua" w:hAnsi="Book Antiqua"/>
        </w:rPr>
        <w:t xml:space="preserve"> </w:t>
      </w:r>
      <w:r w:rsidR="008C6F41">
        <w:rPr>
          <w:rFonts w:ascii="Book Antiqua" w:hAnsi="Book Antiqua"/>
        </w:rPr>
        <w:t xml:space="preserve">&amp; </w:t>
      </w:r>
      <w:r w:rsidR="008C6F41" w:rsidRPr="008F72B8">
        <w:rPr>
          <w:rFonts w:ascii="Book Antiqua" w:hAnsi="Book Antiqua"/>
        </w:rPr>
        <w:t xml:space="preserve">Mr. </w:t>
      </w:r>
      <w:r w:rsidR="008C6F41">
        <w:rPr>
          <w:rFonts w:ascii="Book Antiqua" w:hAnsi="Book Antiqua"/>
        </w:rPr>
        <w:t>Stephen Gyasi Ofori</w:t>
      </w:r>
    </w:p>
    <w:p w14:paraId="5EE94E81" w14:textId="77777777" w:rsidR="00547039" w:rsidRDefault="00547039" w:rsidP="00547039">
      <w:pPr>
        <w:spacing w:after="0" w:line="240" w:lineRule="auto"/>
        <w:jc w:val="both"/>
        <w:rPr>
          <w:rFonts w:ascii="Book Antiqua" w:hAnsi="Book Antiqua"/>
        </w:rPr>
      </w:pPr>
    </w:p>
    <w:p w14:paraId="37759869" w14:textId="77777777" w:rsidR="00547039" w:rsidRDefault="00547039" w:rsidP="00547039">
      <w:pPr>
        <w:spacing w:after="0" w:line="240" w:lineRule="auto"/>
        <w:jc w:val="both"/>
        <w:rPr>
          <w:rFonts w:ascii="Book Antiqua" w:hAnsi="Book Antiqua"/>
          <w:b/>
        </w:rPr>
        <w:sectPr w:rsidR="00547039" w:rsidSect="002E6F61">
          <w:footerReference w:type="default" r:id="rId8"/>
          <w:footerReference w:type="first" r:id="rId9"/>
          <w:pgSz w:w="11907" w:h="16839" w:code="9"/>
          <w:pgMar w:top="1260" w:right="1287" w:bottom="1440" w:left="1440" w:header="720" w:footer="720" w:gutter="0"/>
          <w:pgNumType w:start="1"/>
          <w:cols w:space="720"/>
          <w:docGrid w:linePitch="360"/>
        </w:sectPr>
      </w:pPr>
    </w:p>
    <w:p w14:paraId="3564D40E" w14:textId="77777777" w:rsidR="0069254E" w:rsidRPr="00276AE2" w:rsidRDefault="00276AE2" w:rsidP="00547039">
      <w:pPr>
        <w:spacing w:after="0"/>
        <w:jc w:val="both"/>
        <w:rPr>
          <w:rFonts w:ascii="Book Antiqua" w:hAnsi="Book Antiqua"/>
          <w:b/>
          <w:sz w:val="26"/>
        </w:rPr>
      </w:pPr>
      <w:r w:rsidRPr="00276AE2">
        <w:rPr>
          <w:rFonts w:ascii="Book Antiqua" w:hAnsi="Book Antiqua"/>
          <w:b/>
          <w:sz w:val="26"/>
        </w:rPr>
        <w:t>Arrival of Participants</w:t>
      </w:r>
    </w:p>
    <w:p w14:paraId="7827E3BD" w14:textId="77777777" w:rsidR="00547039" w:rsidRDefault="00547039" w:rsidP="00547039">
      <w:pPr>
        <w:spacing w:after="0"/>
        <w:jc w:val="both"/>
        <w:rPr>
          <w:rFonts w:ascii="Book Antiqua" w:hAnsi="Book Antiqua"/>
          <w:b/>
        </w:rPr>
      </w:pPr>
    </w:p>
    <w:p w14:paraId="2D58D4E1" w14:textId="77777777" w:rsidR="0069254E" w:rsidRPr="00AB3E9C" w:rsidRDefault="001545BB" w:rsidP="009C4B7C">
      <w:pPr>
        <w:jc w:val="both"/>
        <w:rPr>
          <w:rFonts w:ascii="Book Antiqua" w:hAnsi="Book Antiqua"/>
        </w:rPr>
      </w:pPr>
      <w:r w:rsidRPr="00AB3E9C">
        <w:rPr>
          <w:rFonts w:ascii="Book Antiqua" w:hAnsi="Book Antiqua"/>
          <w:b/>
        </w:rPr>
        <w:t xml:space="preserve">DAY 1: </w:t>
      </w:r>
      <w:r w:rsidRPr="00AB3E9C">
        <w:rPr>
          <w:rFonts w:ascii="Book Antiqua" w:hAnsi="Book Antiqua"/>
        </w:rPr>
        <w:t>Arrival of Participants</w:t>
      </w:r>
    </w:p>
    <w:p w14:paraId="43EB8219" w14:textId="77777777" w:rsidR="001545BB" w:rsidRPr="00AB3E9C" w:rsidRDefault="001545BB" w:rsidP="009C4B7C">
      <w:pPr>
        <w:jc w:val="both"/>
        <w:rPr>
          <w:rFonts w:ascii="Book Antiqua" w:hAnsi="Book Antiqua"/>
          <w:b/>
        </w:rPr>
      </w:pPr>
      <w:r w:rsidRPr="00AB3E9C">
        <w:rPr>
          <w:rFonts w:ascii="Book Antiqua" w:hAnsi="Book Antiqua"/>
          <w:b/>
        </w:rPr>
        <w:t xml:space="preserve">DAY 2: </w:t>
      </w:r>
      <w:r w:rsidR="00276AE2" w:rsidRPr="00AB3E9C">
        <w:rPr>
          <w:rFonts w:ascii="Book Antiqua" w:hAnsi="Book Antiqua"/>
          <w:b/>
        </w:rPr>
        <w:t>Wednesday, July 3, 2013</w:t>
      </w:r>
    </w:p>
    <w:p w14:paraId="3CEAC210" w14:textId="77777777" w:rsidR="0069254E" w:rsidRDefault="001545BB" w:rsidP="009C4B7C">
      <w:pPr>
        <w:jc w:val="both"/>
        <w:rPr>
          <w:rFonts w:ascii="Book Antiqua" w:hAnsi="Book Antiqua"/>
        </w:rPr>
      </w:pPr>
      <w:r w:rsidRPr="00AB3E9C">
        <w:rPr>
          <w:rFonts w:ascii="Book Antiqua" w:hAnsi="Book Antiqua"/>
        </w:rPr>
        <w:t xml:space="preserve">Introduction of chairman and other </w:t>
      </w:r>
    </w:p>
    <w:p w14:paraId="1523B682" w14:textId="77777777" w:rsidR="0069254E" w:rsidRPr="0054220B" w:rsidRDefault="001545BB" w:rsidP="009C4B7C">
      <w:pPr>
        <w:jc w:val="both"/>
        <w:rPr>
          <w:rFonts w:ascii="Book Antiqua" w:hAnsi="Book Antiqua"/>
        </w:rPr>
      </w:pPr>
      <w:r w:rsidRPr="00AB3E9C">
        <w:rPr>
          <w:rFonts w:ascii="Book Antiqua" w:hAnsi="Book Antiqua"/>
        </w:rPr>
        <w:t>dignitaries was done by the Registrar of Koforidua Polytechnic, Mrs. Mary Abena Agyepong.</w:t>
      </w:r>
    </w:p>
    <w:p w14:paraId="161D52C6" w14:textId="77777777" w:rsidR="0069254E" w:rsidRDefault="001545BB" w:rsidP="009C4B7C">
      <w:pPr>
        <w:jc w:val="both"/>
        <w:rPr>
          <w:rFonts w:ascii="Book Antiqua" w:hAnsi="Book Antiqua"/>
        </w:rPr>
      </w:pPr>
      <w:r w:rsidRPr="00AB3E9C">
        <w:rPr>
          <w:rFonts w:ascii="Book Antiqua" w:hAnsi="Book Antiqua"/>
          <w:b/>
        </w:rPr>
        <w:t>Chairman:</w:t>
      </w:r>
      <w:r w:rsidRPr="00AB3E9C">
        <w:rPr>
          <w:rFonts w:ascii="Book Antiqua" w:hAnsi="Book Antiqua"/>
        </w:rPr>
        <w:t xml:space="preserve"> </w:t>
      </w:r>
      <w:r w:rsidRPr="00276AE2">
        <w:rPr>
          <w:rFonts w:ascii="Book Antiqua" w:hAnsi="Book Antiqua"/>
          <w:b/>
        </w:rPr>
        <w:t>Mr. Kwame Dattey’s (Executive Secretary, NAB) Remarks</w:t>
      </w:r>
    </w:p>
    <w:p w14:paraId="7DFD3C95" w14:textId="77777777" w:rsidR="001450C4" w:rsidRPr="001450C4" w:rsidRDefault="001545BB" w:rsidP="009C4B7C">
      <w:pPr>
        <w:jc w:val="both"/>
        <w:rPr>
          <w:rFonts w:ascii="Book Antiqua" w:hAnsi="Book Antiqua"/>
        </w:rPr>
      </w:pPr>
      <w:r w:rsidRPr="00AB3E9C">
        <w:rPr>
          <w:rFonts w:ascii="Book Antiqua" w:hAnsi="Book Antiqua"/>
        </w:rPr>
        <w:t>He accepted to chair the programme. He thanked everyone and expressed his hope for the success of the conference.</w:t>
      </w:r>
    </w:p>
    <w:p w14:paraId="770A2B58" w14:textId="77777777" w:rsidR="001545BB" w:rsidRPr="002820BE" w:rsidRDefault="00276AE2" w:rsidP="009C4B7C">
      <w:pPr>
        <w:jc w:val="both"/>
        <w:rPr>
          <w:rFonts w:ascii="Book Antiqua" w:hAnsi="Book Antiqua"/>
          <w:b/>
          <w:sz w:val="26"/>
        </w:rPr>
      </w:pPr>
      <w:r w:rsidRPr="002820BE">
        <w:rPr>
          <w:rFonts w:ascii="Book Antiqua" w:hAnsi="Book Antiqua"/>
          <w:b/>
          <w:sz w:val="26"/>
        </w:rPr>
        <w:t>Welcome Address</w:t>
      </w:r>
    </w:p>
    <w:p w14:paraId="5C2DBBB0" w14:textId="77777777" w:rsidR="008C6F41" w:rsidRPr="00AB3E9C" w:rsidRDefault="001545BB" w:rsidP="009C4B7C">
      <w:pPr>
        <w:jc w:val="both"/>
        <w:rPr>
          <w:rFonts w:ascii="Book Antiqua" w:hAnsi="Book Antiqua"/>
          <w:b/>
        </w:rPr>
      </w:pPr>
      <w:r w:rsidRPr="00AB3E9C">
        <w:rPr>
          <w:rFonts w:ascii="Book Antiqua" w:hAnsi="Book Antiqua"/>
          <w:b/>
        </w:rPr>
        <w:t>Professor (Ing.) Reynolds Okai, Rector, Koforidua Polytechnic.</w:t>
      </w:r>
    </w:p>
    <w:p w14:paraId="61863E5B" w14:textId="77777777" w:rsidR="008C6F41" w:rsidRDefault="001545BB" w:rsidP="009C4B7C">
      <w:pPr>
        <w:jc w:val="both"/>
        <w:rPr>
          <w:rFonts w:ascii="Book Antiqua" w:hAnsi="Book Antiqua"/>
        </w:rPr>
      </w:pPr>
      <w:r w:rsidRPr="00AB3E9C">
        <w:rPr>
          <w:rFonts w:ascii="Book Antiqua" w:hAnsi="Book Antiqua"/>
        </w:rPr>
        <w:t>He expressed his displeasure about the poor attendance of Researchers and Lecturers from Koforidua Polytechnic. He called on the Executive of POTAG, Koforidua Polytechnic Chapter to bring its members to book.</w:t>
      </w:r>
    </w:p>
    <w:p w14:paraId="761306B7" w14:textId="77777777" w:rsidR="001545BB" w:rsidRPr="00AB3E9C" w:rsidRDefault="001545BB" w:rsidP="009C4B7C">
      <w:pPr>
        <w:jc w:val="both"/>
        <w:rPr>
          <w:rFonts w:ascii="Book Antiqua" w:hAnsi="Book Antiqua"/>
        </w:rPr>
      </w:pPr>
      <w:r w:rsidRPr="00AB3E9C">
        <w:rPr>
          <w:rFonts w:ascii="Book Antiqua" w:hAnsi="Book Antiqua"/>
        </w:rPr>
        <w:t xml:space="preserve">He then proceeded to acknowledge all people present including the Keynote Speakers of the morning session. He welcomed everyone and recounted his appreciation to Professor Stephen Adei of Pentecost University, the chairman of the occasion, invited guests, presenters and delegates. </w:t>
      </w:r>
    </w:p>
    <w:p w14:paraId="52F59CA1" w14:textId="77777777" w:rsidR="004B7459" w:rsidRDefault="001545BB" w:rsidP="009C4B7C">
      <w:pPr>
        <w:jc w:val="both"/>
        <w:rPr>
          <w:rFonts w:ascii="Book Antiqua" w:hAnsi="Book Antiqua"/>
        </w:rPr>
      </w:pPr>
      <w:r w:rsidRPr="00AB3E9C">
        <w:rPr>
          <w:rFonts w:ascii="Book Antiqua" w:hAnsi="Book Antiqua"/>
        </w:rPr>
        <w:t xml:space="preserve">He remarked that this conference series started in May 2008 with only Nine (9) </w:t>
      </w:r>
      <w:r w:rsidRPr="00AB3E9C">
        <w:rPr>
          <w:rFonts w:ascii="Book Antiqua" w:hAnsi="Book Antiqua"/>
        </w:rPr>
        <w:t>papers from different institutions in the country but this year’s conference had 50 abstracts submitted for oral and poster presentations. Furthermore, he said there were about 100 participants from Academia to Industry which suggest that the conference is a national one.</w:t>
      </w:r>
    </w:p>
    <w:p w14:paraId="3386B9F6" w14:textId="77777777" w:rsidR="004B7459" w:rsidRDefault="001545BB" w:rsidP="009C4B7C">
      <w:pPr>
        <w:jc w:val="both"/>
        <w:rPr>
          <w:rFonts w:ascii="Book Antiqua" w:hAnsi="Book Antiqua"/>
        </w:rPr>
      </w:pPr>
      <w:r w:rsidRPr="00AB3E9C">
        <w:rPr>
          <w:rFonts w:ascii="Book Antiqua" w:hAnsi="Book Antiqua"/>
        </w:rPr>
        <w:t xml:space="preserve">He said that the aim of the conference was to bring together academic and industrial researchers with shared interests in applied Science and technology. </w:t>
      </w:r>
    </w:p>
    <w:p w14:paraId="5298D44E" w14:textId="77777777" w:rsidR="004B7459" w:rsidRDefault="001545BB" w:rsidP="009C4B7C">
      <w:pPr>
        <w:jc w:val="both"/>
        <w:rPr>
          <w:rFonts w:ascii="Book Antiqua" w:hAnsi="Book Antiqua"/>
        </w:rPr>
      </w:pPr>
      <w:r w:rsidRPr="00AB3E9C">
        <w:rPr>
          <w:rFonts w:ascii="Book Antiqua" w:hAnsi="Book Antiqua"/>
        </w:rPr>
        <w:t>He explained the importance of the Conference Theme and remarked that “with increasing research activities, it is imperative to discuss positive approaches towards inculcating best research integrity practices, including examining the role of academic publications in setting the standards for integrity”.</w:t>
      </w:r>
    </w:p>
    <w:p w14:paraId="4C15882E" w14:textId="77777777" w:rsidR="001545BB" w:rsidRPr="00AB3E9C" w:rsidRDefault="001545BB" w:rsidP="009C4B7C">
      <w:pPr>
        <w:jc w:val="both"/>
        <w:rPr>
          <w:rFonts w:ascii="Book Antiqua" w:hAnsi="Book Antiqua"/>
        </w:rPr>
      </w:pPr>
      <w:r w:rsidRPr="00AB3E9C">
        <w:rPr>
          <w:rFonts w:ascii="Book Antiqua" w:hAnsi="Book Antiqua"/>
        </w:rPr>
        <w:t>On Collaboration with industry, Prof. Reynolds stated that there had been some positive results as part of Koforidua Polytechnic’s collaboration with Zoomlion Ghana Ltd., Japan International Cooperation Agency (JICA) and Energy Foundation. The Polytechnic, he continued, had had support from the McGill University, Canada and the Council for Technical and Vocational Education and Training (COTVET).</w:t>
      </w:r>
    </w:p>
    <w:p w14:paraId="7116305D" w14:textId="77777777" w:rsidR="004B7459" w:rsidRDefault="001545BB" w:rsidP="009C4B7C">
      <w:pPr>
        <w:jc w:val="both"/>
        <w:rPr>
          <w:rFonts w:ascii="Book Antiqua" w:hAnsi="Book Antiqua"/>
        </w:rPr>
      </w:pPr>
      <w:r w:rsidRPr="00AB3E9C">
        <w:rPr>
          <w:rFonts w:ascii="Book Antiqua" w:hAnsi="Book Antiqua"/>
        </w:rPr>
        <w:t xml:space="preserve">He reminded participants and delegates of the need to development far better links with employers and others to improve career guidance and work placements in </w:t>
      </w:r>
      <w:r w:rsidRPr="00AB3E9C">
        <w:rPr>
          <w:rFonts w:ascii="Book Antiqua" w:hAnsi="Book Antiqua"/>
        </w:rPr>
        <w:lastRenderedPageBreak/>
        <w:t xml:space="preserve">order to equip students with the necessary skills for the industry. </w:t>
      </w:r>
    </w:p>
    <w:p w14:paraId="7B4A4FF3" w14:textId="77777777" w:rsidR="004B7459" w:rsidRDefault="001545BB" w:rsidP="009C4B7C">
      <w:pPr>
        <w:jc w:val="both"/>
        <w:rPr>
          <w:rFonts w:ascii="Book Antiqua" w:hAnsi="Book Antiqua"/>
        </w:rPr>
      </w:pPr>
      <w:r w:rsidRPr="00AB3E9C">
        <w:rPr>
          <w:rFonts w:ascii="Book Antiqua" w:hAnsi="Book Antiqua"/>
        </w:rPr>
        <w:t>He also expressed the hope of the Polytechnic to collaborate closely with the Information Technology Transfer Unit (ITTU), the Municipal Assembly and other development-oriented institutions to jointly solve industry problems as the Polytechnic’s motto suggests.</w:t>
      </w:r>
    </w:p>
    <w:p w14:paraId="6CEA1A55" w14:textId="77777777" w:rsidR="0054220B" w:rsidRPr="0054220B" w:rsidRDefault="001545BB" w:rsidP="009C4B7C">
      <w:pPr>
        <w:jc w:val="both"/>
        <w:rPr>
          <w:rFonts w:ascii="Book Antiqua" w:hAnsi="Book Antiqua"/>
        </w:rPr>
      </w:pPr>
      <w:r w:rsidRPr="00AB3E9C">
        <w:rPr>
          <w:rFonts w:ascii="Book Antiqua" w:hAnsi="Book Antiqua"/>
        </w:rPr>
        <w:t>He finally thanked the Planning committee Members and Sponsors.</w:t>
      </w:r>
    </w:p>
    <w:p w14:paraId="6C010EDC" w14:textId="77777777" w:rsidR="006142A1" w:rsidRPr="00276AE2" w:rsidRDefault="00276AE2" w:rsidP="009C4B7C">
      <w:pPr>
        <w:jc w:val="both"/>
        <w:rPr>
          <w:rFonts w:ascii="Book Antiqua" w:hAnsi="Book Antiqua"/>
          <w:b/>
          <w:sz w:val="26"/>
        </w:rPr>
      </w:pPr>
      <w:r w:rsidRPr="00276AE2">
        <w:rPr>
          <w:rFonts w:ascii="Book Antiqua" w:hAnsi="Book Antiqua"/>
          <w:b/>
          <w:sz w:val="26"/>
        </w:rPr>
        <w:t xml:space="preserve">Keynote Speaker 1 </w:t>
      </w:r>
    </w:p>
    <w:p w14:paraId="7FA401FB" w14:textId="77777777" w:rsidR="00E63A6C" w:rsidRPr="001450C4" w:rsidRDefault="006142A1" w:rsidP="009C4B7C">
      <w:pPr>
        <w:jc w:val="both"/>
        <w:rPr>
          <w:rFonts w:ascii="Book Antiqua" w:hAnsi="Book Antiqua"/>
          <w:b/>
          <w:sz w:val="26"/>
        </w:rPr>
      </w:pPr>
      <w:r w:rsidRPr="001450C4">
        <w:rPr>
          <w:rFonts w:ascii="Book Antiqua" w:hAnsi="Book Antiqua"/>
          <w:b/>
          <w:sz w:val="26"/>
        </w:rPr>
        <w:t>Professor Stephen Adei</w:t>
      </w:r>
    </w:p>
    <w:p w14:paraId="51ED0852" w14:textId="77777777" w:rsidR="004B7459" w:rsidRPr="0054220B" w:rsidRDefault="001545BB" w:rsidP="009C4B7C">
      <w:pPr>
        <w:jc w:val="both"/>
        <w:rPr>
          <w:rFonts w:ascii="Book Antiqua" w:hAnsi="Book Antiqua"/>
          <w:b/>
        </w:rPr>
      </w:pPr>
      <w:r w:rsidRPr="00AB3E9C">
        <w:rPr>
          <w:rFonts w:ascii="Book Antiqua" w:hAnsi="Book Antiqua"/>
          <w:b/>
        </w:rPr>
        <w:t>Topic: Building a Responsive Tertiary Education Sector: Effective Collaboration with Industry for National Development.</w:t>
      </w:r>
    </w:p>
    <w:p w14:paraId="0D6521A9" w14:textId="77777777" w:rsidR="001545BB" w:rsidRPr="00AB3E9C" w:rsidRDefault="001545BB" w:rsidP="009C4B7C">
      <w:pPr>
        <w:jc w:val="both"/>
        <w:rPr>
          <w:rFonts w:ascii="Book Antiqua" w:hAnsi="Book Antiqua"/>
        </w:rPr>
      </w:pPr>
      <w:r w:rsidRPr="00AB3E9C">
        <w:rPr>
          <w:rFonts w:ascii="Book Antiqua" w:hAnsi="Book Antiqua"/>
        </w:rPr>
        <w:t xml:space="preserve">He expressed his pleasure to be here. He said policy is the most important thing in a country and used the ‘galamsey’ operation as an example. He said with a simple policy about three thousand of Chinese ‘galamsey’ operatives had offered to leave the country. </w:t>
      </w:r>
    </w:p>
    <w:p w14:paraId="7BC90B23" w14:textId="77777777" w:rsidR="001545BB" w:rsidRPr="00AB3E9C" w:rsidRDefault="001545BB" w:rsidP="009C4B7C">
      <w:pPr>
        <w:jc w:val="both"/>
        <w:rPr>
          <w:rFonts w:ascii="Book Antiqua" w:hAnsi="Book Antiqua"/>
        </w:rPr>
      </w:pPr>
      <w:r w:rsidRPr="00AB3E9C">
        <w:rPr>
          <w:rFonts w:ascii="Book Antiqua" w:hAnsi="Book Antiqua"/>
        </w:rPr>
        <w:t>Interestingly, Professor Adei, after leaving Pentecost University, would like to do two things with the National Accreditation Board if they were interested.</w:t>
      </w:r>
    </w:p>
    <w:p w14:paraId="6ABD2723" w14:textId="77777777" w:rsidR="001545BB" w:rsidRPr="00AB3E9C" w:rsidRDefault="001545BB" w:rsidP="00196385">
      <w:pPr>
        <w:pStyle w:val="ListParagraph"/>
        <w:numPr>
          <w:ilvl w:val="0"/>
          <w:numId w:val="159"/>
        </w:numPr>
        <w:jc w:val="both"/>
        <w:rPr>
          <w:rFonts w:ascii="Book Antiqua" w:hAnsi="Book Antiqua"/>
        </w:rPr>
      </w:pPr>
      <w:r w:rsidRPr="00AB3E9C">
        <w:rPr>
          <w:rFonts w:ascii="Book Antiqua" w:hAnsi="Book Antiqua"/>
        </w:rPr>
        <w:t>First, he would like to assist the NAB to link up all Universities and Tertiary Institutions through video conferencing.</w:t>
      </w:r>
    </w:p>
    <w:p w14:paraId="7593596E" w14:textId="77777777" w:rsidR="001545BB" w:rsidRPr="00AB3E9C" w:rsidRDefault="001545BB" w:rsidP="00196385">
      <w:pPr>
        <w:pStyle w:val="ListParagraph"/>
        <w:numPr>
          <w:ilvl w:val="0"/>
          <w:numId w:val="159"/>
        </w:numPr>
        <w:jc w:val="both"/>
        <w:rPr>
          <w:rFonts w:ascii="Book Antiqua" w:hAnsi="Book Antiqua"/>
        </w:rPr>
      </w:pPr>
      <w:r w:rsidRPr="00AB3E9C">
        <w:rPr>
          <w:rFonts w:ascii="Book Antiqua" w:hAnsi="Book Antiqua"/>
        </w:rPr>
        <w:t xml:space="preserve">He would also assist to establish a standard Institution that all Tertiary Institutions would look up to. </w:t>
      </w:r>
    </w:p>
    <w:p w14:paraId="30DACA7F" w14:textId="77777777" w:rsidR="004B7459" w:rsidRPr="0054220B" w:rsidRDefault="001545BB" w:rsidP="009C4B7C">
      <w:pPr>
        <w:jc w:val="both"/>
        <w:rPr>
          <w:rFonts w:ascii="Book Antiqua" w:hAnsi="Book Antiqua"/>
        </w:rPr>
      </w:pPr>
      <w:r w:rsidRPr="00AB3E9C">
        <w:rPr>
          <w:rFonts w:ascii="Book Antiqua" w:hAnsi="Book Antiqua"/>
        </w:rPr>
        <w:t>He commented briefly on the Supreme Court Election Petition hearing and acknowledged that some people were going wayward and that they needed to be brought to order.</w:t>
      </w:r>
    </w:p>
    <w:p w14:paraId="54973597" w14:textId="77777777" w:rsidR="001545BB" w:rsidRPr="00AB3E9C" w:rsidRDefault="001545BB" w:rsidP="009C4B7C">
      <w:pPr>
        <w:jc w:val="both"/>
        <w:rPr>
          <w:rFonts w:ascii="Book Antiqua" w:hAnsi="Book Antiqua"/>
        </w:rPr>
      </w:pPr>
      <w:r w:rsidRPr="00AB3E9C">
        <w:rPr>
          <w:rFonts w:ascii="Book Antiqua" w:hAnsi="Book Antiqua"/>
          <w:b/>
        </w:rPr>
        <w:t>Education</w:t>
      </w:r>
    </w:p>
    <w:p w14:paraId="47EFB853" w14:textId="77777777" w:rsidR="001545BB" w:rsidRPr="00AB3E9C" w:rsidRDefault="001545BB" w:rsidP="009C4B7C">
      <w:pPr>
        <w:jc w:val="both"/>
        <w:rPr>
          <w:rFonts w:ascii="Book Antiqua" w:hAnsi="Book Antiqua"/>
        </w:rPr>
      </w:pPr>
      <w:r w:rsidRPr="00AB3E9C">
        <w:rPr>
          <w:rFonts w:ascii="Book Antiqua" w:hAnsi="Book Antiqua"/>
        </w:rPr>
        <w:t xml:space="preserve">He made the observation that our educational system has been in crisis. He said about 80% of pupils who attend public basic schools are unable to make it to the Senior Secondary Schools and that 66% of them are “totally functionally illiterate”. He observed that 20% of public school pupils and pupils from private schools make it to the secondary schools. He stressed that this is the situation at the moment when teachers are paid more than before. </w:t>
      </w:r>
    </w:p>
    <w:p w14:paraId="527F1328" w14:textId="77777777" w:rsidR="004B7459" w:rsidRDefault="001545BB" w:rsidP="009C4B7C">
      <w:pPr>
        <w:jc w:val="both"/>
        <w:rPr>
          <w:rFonts w:ascii="Book Antiqua" w:hAnsi="Book Antiqua"/>
        </w:rPr>
      </w:pPr>
      <w:r w:rsidRPr="00AB3E9C">
        <w:rPr>
          <w:rFonts w:ascii="Book Antiqua" w:hAnsi="Book Antiqua"/>
        </w:rPr>
        <w:t xml:space="preserve">He was of the opinion that with the current amount of money the nation spends on education, these problems can be solved without the nation necessarily borrowing. </w:t>
      </w:r>
    </w:p>
    <w:p w14:paraId="700EB88D" w14:textId="77777777" w:rsidR="004B7459" w:rsidRPr="0054220B" w:rsidRDefault="001545BB" w:rsidP="009C4B7C">
      <w:pPr>
        <w:jc w:val="both"/>
        <w:rPr>
          <w:rFonts w:ascii="Book Antiqua" w:hAnsi="Book Antiqua"/>
        </w:rPr>
      </w:pPr>
      <w:r w:rsidRPr="00AB3E9C">
        <w:rPr>
          <w:rFonts w:ascii="Book Antiqua" w:hAnsi="Book Antiqua"/>
        </w:rPr>
        <w:t>He also touched on the need to give headmasters some little power to sanction teachers who were not performing.</w:t>
      </w:r>
    </w:p>
    <w:p w14:paraId="7FCADCF3" w14:textId="77777777" w:rsidR="001545BB" w:rsidRPr="00AB3E9C" w:rsidRDefault="001545BB" w:rsidP="009C4B7C">
      <w:pPr>
        <w:jc w:val="both"/>
        <w:rPr>
          <w:rFonts w:ascii="Book Antiqua" w:hAnsi="Book Antiqua"/>
          <w:b/>
        </w:rPr>
      </w:pPr>
      <w:r w:rsidRPr="00AB3E9C">
        <w:rPr>
          <w:rFonts w:ascii="Book Antiqua" w:hAnsi="Book Antiqua"/>
          <w:b/>
        </w:rPr>
        <w:t>Senior Secondary Education</w:t>
      </w:r>
    </w:p>
    <w:p w14:paraId="248B4D7E" w14:textId="77777777" w:rsidR="001545BB" w:rsidRPr="00AB3E9C" w:rsidRDefault="001545BB" w:rsidP="009C4B7C">
      <w:pPr>
        <w:jc w:val="both"/>
        <w:rPr>
          <w:rFonts w:ascii="Book Antiqua" w:hAnsi="Book Antiqua"/>
        </w:rPr>
      </w:pPr>
      <w:r w:rsidRPr="00AB3E9C">
        <w:rPr>
          <w:rFonts w:ascii="Book Antiqua" w:hAnsi="Book Antiqua"/>
        </w:rPr>
        <w:t>He made the following observations</w:t>
      </w:r>
    </w:p>
    <w:p w14:paraId="0F288DF4" w14:textId="77777777" w:rsidR="001545BB" w:rsidRPr="00AB3E9C" w:rsidRDefault="001545BB" w:rsidP="00196385">
      <w:pPr>
        <w:pStyle w:val="ListParagraph"/>
        <w:numPr>
          <w:ilvl w:val="0"/>
          <w:numId w:val="160"/>
        </w:numPr>
        <w:jc w:val="both"/>
        <w:rPr>
          <w:rFonts w:ascii="Book Antiqua" w:hAnsi="Book Antiqua"/>
        </w:rPr>
      </w:pPr>
      <w:r w:rsidRPr="00AB3E9C">
        <w:rPr>
          <w:rFonts w:ascii="Book Antiqua" w:hAnsi="Book Antiqua"/>
        </w:rPr>
        <w:t>No country in the world trains all children in boarding secondary schools.</w:t>
      </w:r>
    </w:p>
    <w:p w14:paraId="21DA7F71" w14:textId="77777777" w:rsidR="001545BB" w:rsidRPr="00AB3E9C" w:rsidRDefault="001545BB" w:rsidP="00196385">
      <w:pPr>
        <w:pStyle w:val="ListParagraph"/>
        <w:numPr>
          <w:ilvl w:val="0"/>
          <w:numId w:val="160"/>
        </w:numPr>
        <w:jc w:val="both"/>
        <w:rPr>
          <w:rFonts w:ascii="Book Antiqua" w:hAnsi="Book Antiqua"/>
        </w:rPr>
      </w:pPr>
      <w:r w:rsidRPr="00AB3E9C">
        <w:rPr>
          <w:rFonts w:ascii="Book Antiqua" w:hAnsi="Book Antiqua"/>
        </w:rPr>
        <w:t>No serious country has only 20% of its children going to secondary school.</w:t>
      </w:r>
    </w:p>
    <w:p w14:paraId="5657D58F" w14:textId="77777777" w:rsidR="001545BB" w:rsidRPr="00AB3E9C" w:rsidRDefault="001545BB" w:rsidP="00196385">
      <w:pPr>
        <w:pStyle w:val="ListParagraph"/>
        <w:numPr>
          <w:ilvl w:val="0"/>
          <w:numId w:val="160"/>
        </w:numPr>
        <w:jc w:val="both"/>
        <w:rPr>
          <w:rFonts w:ascii="Book Antiqua" w:hAnsi="Book Antiqua"/>
        </w:rPr>
      </w:pPr>
      <w:r w:rsidRPr="00AB3E9C">
        <w:rPr>
          <w:rFonts w:ascii="Book Antiqua" w:hAnsi="Book Antiqua"/>
        </w:rPr>
        <w:t>It is the state’s responsibility and that the effective way is to have community schools at every corner of the country.</w:t>
      </w:r>
    </w:p>
    <w:p w14:paraId="02A8C20B" w14:textId="77777777" w:rsidR="001545BB" w:rsidRPr="00AB3E9C" w:rsidRDefault="001545BB" w:rsidP="00196385">
      <w:pPr>
        <w:pStyle w:val="ListParagraph"/>
        <w:numPr>
          <w:ilvl w:val="0"/>
          <w:numId w:val="160"/>
        </w:numPr>
        <w:jc w:val="both"/>
        <w:rPr>
          <w:rFonts w:ascii="Book Antiqua" w:hAnsi="Book Antiqua"/>
        </w:rPr>
      </w:pPr>
      <w:r w:rsidRPr="00AB3E9C">
        <w:rPr>
          <w:rFonts w:ascii="Book Antiqua" w:hAnsi="Book Antiqua"/>
        </w:rPr>
        <w:lastRenderedPageBreak/>
        <w:t>NPP and NDC should rather complement each other in terms of their policies on education.</w:t>
      </w:r>
    </w:p>
    <w:p w14:paraId="1F28D379" w14:textId="77777777" w:rsidR="001545BB" w:rsidRPr="00AB3E9C" w:rsidRDefault="001545BB" w:rsidP="00196385">
      <w:pPr>
        <w:pStyle w:val="ListParagraph"/>
        <w:numPr>
          <w:ilvl w:val="0"/>
          <w:numId w:val="160"/>
        </w:numPr>
        <w:jc w:val="both"/>
        <w:rPr>
          <w:rFonts w:ascii="Book Antiqua" w:hAnsi="Book Antiqua"/>
        </w:rPr>
      </w:pPr>
      <w:r w:rsidRPr="00AB3E9C">
        <w:rPr>
          <w:rFonts w:ascii="Book Antiqua" w:hAnsi="Book Antiqua"/>
        </w:rPr>
        <w:t>That, 50% of the space in the various boarding secondary schools should be there for people who can afford it and the other 50% should be made available in the form of scholarships to every first child in all basic schools across the country.</w:t>
      </w:r>
    </w:p>
    <w:p w14:paraId="7C459AA1" w14:textId="77777777" w:rsidR="001545BB" w:rsidRPr="00AB3E9C" w:rsidRDefault="001545BB" w:rsidP="009C4B7C">
      <w:pPr>
        <w:ind w:left="360"/>
        <w:jc w:val="both"/>
        <w:rPr>
          <w:rFonts w:ascii="Book Antiqua" w:hAnsi="Book Antiqua"/>
          <w:b/>
        </w:rPr>
      </w:pPr>
      <w:r w:rsidRPr="00AB3E9C">
        <w:rPr>
          <w:rFonts w:ascii="Book Antiqua" w:hAnsi="Book Antiqua"/>
          <w:b/>
        </w:rPr>
        <w:t>Graduate Unemployment</w:t>
      </w:r>
    </w:p>
    <w:p w14:paraId="154A02E2" w14:textId="77777777" w:rsidR="004B7459" w:rsidRPr="0054220B" w:rsidRDefault="001545BB" w:rsidP="0054220B">
      <w:pPr>
        <w:ind w:left="360"/>
        <w:jc w:val="both"/>
        <w:rPr>
          <w:rFonts w:ascii="Book Antiqua" w:hAnsi="Book Antiqua"/>
        </w:rPr>
      </w:pPr>
      <w:r w:rsidRPr="00AB3E9C">
        <w:rPr>
          <w:rFonts w:ascii="Book Antiqua" w:hAnsi="Book Antiqua"/>
        </w:rPr>
        <w:t>He spoke about graduate unemployment and agreed with Owusu Sekyere (March, 2008) that graduate unemployment is a national cancer which has been an old problem.</w:t>
      </w:r>
    </w:p>
    <w:p w14:paraId="535D5D42" w14:textId="77777777" w:rsidR="0054220B" w:rsidRDefault="0054220B" w:rsidP="0054220B">
      <w:pPr>
        <w:spacing w:after="0"/>
        <w:ind w:left="360"/>
        <w:jc w:val="both"/>
        <w:rPr>
          <w:rFonts w:ascii="Book Antiqua" w:hAnsi="Book Antiqua"/>
          <w:b/>
        </w:rPr>
      </w:pPr>
    </w:p>
    <w:p w14:paraId="3FCF9FEB" w14:textId="77777777" w:rsidR="001545BB" w:rsidRPr="00AB3E9C" w:rsidRDefault="001545BB" w:rsidP="009C4B7C">
      <w:pPr>
        <w:ind w:left="360"/>
        <w:jc w:val="both"/>
        <w:rPr>
          <w:rFonts w:ascii="Book Antiqua" w:hAnsi="Book Antiqua"/>
          <w:b/>
        </w:rPr>
      </w:pPr>
      <w:r w:rsidRPr="00AB3E9C">
        <w:rPr>
          <w:rFonts w:ascii="Book Antiqua" w:hAnsi="Book Antiqua"/>
          <w:b/>
        </w:rPr>
        <w:t>Reasons for Graduate Unemployment</w:t>
      </w:r>
    </w:p>
    <w:p w14:paraId="1B36C647" w14:textId="77777777" w:rsidR="001545BB" w:rsidRPr="00AB3E9C" w:rsidRDefault="001545BB" w:rsidP="009C4B7C">
      <w:pPr>
        <w:ind w:left="360"/>
        <w:jc w:val="both"/>
        <w:rPr>
          <w:rFonts w:ascii="Book Antiqua" w:hAnsi="Book Antiqua"/>
        </w:rPr>
      </w:pPr>
      <w:r w:rsidRPr="00AB3E9C">
        <w:rPr>
          <w:rFonts w:ascii="Book Antiqua" w:hAnsi="Book Antiqua"/>
        </w:rPr>
        <w:t>He enumerated the following points:</w:t>
      </w:r>
    </w:p>
    <w:p w14:paraId="1F614559" w14:textId="77777777" w:rsidR="001545BB" w:rsidRPr="00AB3E9C" w:rsidRDefault="001545BB" w:rsidP="00196385">
      <w:pPr>
        <w:pStyle w:val="ListParagraph"/>
        <w:numPr>
          <w:ilvl w:val="0"/>
          <w:numId w:val="161"/>
        </w:numPr>
        <w:jc w:val="both"/>
        <w:rPr>
          <w:rFonts w:ascii="Book Antiqua" w:hAnsi="Book Antiqua"/>
        </w:rPr>
      </w:pPr>
      <w:r w:rsidRPr="00AB3E9C">
        <w:rPr>
          <w:rFonts w:ascii="Book Antiqua" w:hAnsi="Book Antiqua"/>
        </w:rPr>
        <w:t>Graduates are not equipped with the necessary tools and skill to meet the demand of the 21</w:t>
      </w:r>
      <w:r w:rsidRPr="00AB3E9C">
        <w:rPr>
          <w:rFonts w:ascii="Book Antiqua" w:hAnsi="Book Antiqua"/>
          <w:vertAlign w:val="superscript"/>
        </w:rPr>
        <w:t>st</w:t>
      </w:r>
      <w:r w:rsidRPr="00AB3E9C">
        <w:rPr>
          <w:rFonts w:ascii="Book Antiqua" w:hAnsi="Book Antiqua"/>
        </w:rPr>
        <w:t xml:space="preserve"> Century i.e. they lack effective communication skills.</w:t>
      </w:r>
    </w:p>
    <w:p w14:paraId="71AE199B" w14:textId="77777777" w:rsidR="001545BB" w:rsidRPr="00AB3E9C" w:rsidRDefault="001545BB" w:rsidP="00196385">
      <w:pPr>
        <w:pStyle w:val="ListParagraph"/>
        <w:numPr>
          <w:ilvl w:val="0"/>
          <w:numId w:val="161"/>
        </w:numPr>
        <w:jc w:val="both"/>
        <w:rPr>
          <w:rFonts w:ascii="Book Antiqua" w:hAnsi="Book Antiqua"/>
        </w:rPr>
      </w:pPr>
      <w:r w:rsidRPr="00AB3E9C">
        <w:rPr>
          <w:rFonts w:ascii="Book Antiqua" w:hAnsi="Book Antiqua"/>
        </w:rPr>
        <w:t>The public sector which used to employ the highest number of graduate has ceased employing them. He cited the implementation of the Single Spine Salary Structure as that which has a toll on government.</w:t>
      </w:r>
    </w:p>
    <w:p w14:paraId="3F194AF1" w14:textId="77777777" w:rsidR="001545BB" w:rsidRPr="00AB3E9C" w:rsidRDefault="001545BB" w:rsidP="00196385">
      <w:pPr>
        <w:pStyle w:val="ListParagraph"/>
        <w:numPr>
          <w:ilvl w:val="0"/>
          <w:numId w:val="161"/>
        </w:numPr>
        <w:jc w:val="both"/>
        <w:rPr>
          <w:rFonts w:ascii="Book Antiqua" w:hAnsi="Book Antiqua"/>
        </w:rPr>
      </w:pPr>
      <w:r w:rsidRPr="00AB3E9C">
        <w:rPr>
          <w:rFonts w:ascii="Book Antiqua" w:hAnsi="Book Antiqua"/>
        </w:rPr>
        <w:t>Agriculture is no longer attractive to semi-educated and graduates alike.</w:t>
      </w:r>
    </w:p>
    <w:p w14:paraId="485CCE4D" w14:textId="77777777" w:rsidR="001545BB" w:rsidRPr="00AB3E9C" w:rsidRDefault="001545BB" w:rsidP="00196385">
      <w:pPr>
        <w:pStyle w:val="ListParagraph"/>
        <w:numPr>
          <w:ilvl w:val="0"/>
          <w:numId w:val="161"/>
        </w:numPr>
        <w:jc w:val="both"/>
        <w:rPr>
          <w:rFonts w:ascii="Book Antiqua" w:hAnsi="Book Antiqua"/>
        </w:rPr>
      </w:pPr>
      <w:r w:rsidRPr="00AB3E9C">
        <w:rPr>
          <w:rFonts w:ascii="Book Antiqua" w:hAnsi="Book Antiqua"/>
        </w:rPr>
        <w:t xml:space="preserve">The sectors which are growing are finance and oil and a few others which are not labour intensive. He outlined two other basic reasons. </w:t>
      </w:r>
      <w:r w:rsidRPr="00AB3E9C">
        <w:rPr>
          <w:rFonts w:ascii="Book Antiqua" w:hAnsi="Book Antiqua"/>
        </w:rPr>
        <w:t>These are high population increase and expansion of public and private tertiary institutions which are increasingly producing graduates. He cited the Indian situation in the past to support the upsurge of private tertiary institutions.</w:t>
      </w:r>
    </w:p>
    <w:p w14:paraId="2B633624" w14:textId="77777777" w:rsidR="001545BB" w:rsidRPr="00AB3E9C" w:rsidRDefault="001545BB" w:rsidP="009C4B7C">
      <w:pPr>
        <w:jc w:val="both"/>
        <w:rPr>
          <w:rFonts w:ascii="Book Antiqua" w:hAnsi="Book Antiqua"/>
          <w:b/>
        </w:rPr>
      </w:pPr>
      <w:r w:rsidRPr="00AB3E9C">
        <w:rPr>
          <w:rFonts w:ascii="Book Antiqua" w:hAnsi="Book Antiqua"/>
          <w:b/>
        </w:rPr>
        <w:t>How to provide employment</w:t>
      </w:r>
    </w:p>
    <w:p w14:paraId="1820D893" w14:textId="77777777" w:rsidR="001545BB" w:rsidRPr="00AB3E9C" w:rsidRDefault="001545BB" w:rsidP="009C4B7C">
      <w:pPr>
        <w:jc w:val="both"/>
        <w:rPr>
          <w:rFonts w:ascii="Book Antiqua" w:hAnsi="Book Antiqua"/>
        </w:rPr>
      </w:pPr>
      <w:r w:rsidRPr="00AB3E9C">
        <w:rPr>
          <w:rFonts w:ascii="Book Antiqua" w:hAnsi="Book Antiqua"/>
        </w:rPr>
        <w:t>He was of the opinion that:</w:t>
      </w:r>
    </w:p>
    <w:p w14:paraId="3F213C8B" w14:textId="77777777" w:rsidR="001545BB" w:rsidRPr="00AB3E9C" w:rsidRDefault="001545BB" w:rsidP="00196385">
      <w:pPr>
        <w:pStyle w:val="ListParagraph"/>
        <w:numPr>
          <w:ilvl w:val="0"/>
          <w:numId w:val="162"/>
        </w:numPr>
        <w:jc w:val="both"/>
        <w:rPr>
          <w:rFonts w:ascii="Book Antiqua" w:hAnsi="Book Antiqua"/>
        </w:rPr>
      </w:pPr>
      <w:r w:rsidRPr="00AB3E9C">
        <w:rPr>
          <w:rFonts w:ascii="Book Antiqua" w:hAnsi="Book Antiqua"/>
        </w:rPr>
        <w:t>The government must accept to provide the right policies to curb the menace</w:t>
      </w:r>
    </w:p>
    <w:p w14:paraId="791C82B9" w14:textId="77777777" w:rsidR="001545BB" w:rsidRPr="00AB3E9C" w:rsidRDefault="001545BB" w:rsidP="00196385">
      <w:pPr>
        <w:pStyle w:val="ListParagraph"/>
        <w:numPr>
          <w:ilvl w:val="0"/>
          <w:numId w:val="162"/>
        </w:numPr>
        <w:jc w:val="both"/>
        <w:rPr>
          <w:rFonts w:ascii="Book Antiqua" w:hAnsi="Book Antiqua"/>
        </w:rPr>
      </w:pPr>
      <w:r w:rsidRPr="00AB3E9C">
        <w:rPr>
          <w:rFonts w:ascii="Book Antiqua" w:hAnsi="Book Antiqua"/>
        </w:rPr>
        <w:t>Private sector should be encouraged to grow to promote national competitiveness</w:t>
      </w:r>
    </w:p>
    <w:p w14:paraId="55CFF86E" w14:textId="77777777" w:rsidR="001545BB" w:rsidRPr="00AB3E9C" w:rsidRDefault="001545BB" w:rsidP="00196385">
      <w:pPr>
        <w:pStyle w:val="ListParagraph"/>
        <w:numPr>
          <w:ilvl w:val="0"/>
          <w:numId w:val="162"/>
        </w:numPr>
        <w:jc w:val="both"/>
        <w:rPr>
          <w:rFonts w:ascii="Book Antiqua" w:hAnsi="Book Antiqua"/>
        </w:rPr>
      </w:pPr>
      <w:r w:rsidRPr="00AB3E9C">
        <w:rPr>
          <w:rFonts w:ascii="Book Antiqua" w:hAnsi="Book Antiqua"/>
        </w:rPr>
        <w:t>There is the need for entrepreneurship to expand the economy</w:t>
      </w:r>
    </w:p>
    <w:p w14:paraId="267A6C4E" w14:textId="77777777" w:rsidR="001545BB" w:rsidRPr="00AB3E9C" w:rsidRDefault="001545BB" w:rsidP="00196385">
      <w:pPr>
        <w:pStyle w:val="ListParagraph"/>
        <w:numPr>
          <w:ilvl w:val="0"/>
          <w:numId w:val="162"/>
        </w:numPr>
        <w:jc w:val="both"/>
        <w:rPr>
          <w:rFonts w:ascii="Book Antiqua" w:hAnsi="Book Antiqua"/>
        </w:rPr>
      </w:pPr>
      <w:r w:rsidRPr="00AB3E9C">
        <w:rPr>
          <w:rFonts w:ascii="Book Antiqua" w:hAnsi="Book Antiqua"/>
        </w:rPr>
        <w:t xml:space="preserve">(i) There is the need to produce graduates with the requisite skills to meet the current demand. </w:t>
      </w:r>
    </w:p>
    <w:p w14:paraId="4199A5BB" w14:textId="77777777" w:rsidR="001545BB" w:rsidRPr="00AB3E9C" w:rsidRDefault="001545BB" w:rsidP="009C4B7C">
      <w:pPr>
        <w:pStyle w:val="ListParagraph"/>
        <w:jc w:val="both"/>
        <w:rPr>
          <w:rFonts w:ascii="Book Antiqua" w:hAnsi="Book Antiqua"/>
        </w:rPr>
      </w:pPr>
      <w:r w:rsidRPr="00AB3E9C">
        <w:rPr>
          <w:rFonts w:ascii="Book Antiqua" w:hAnsi="Book Antiqua"/>
        </w:rPr>
        <w:t>(ii) Faculty and Students should be trained also</w:t>
      </w:r>
    </w:p>
    <w:p w14:paraId="3E77D605" w14:textId="77777777" w:rsidR="001545BB" w:rsidRPr="00AB3E9C" w:rsidRDefault="001545BB" w:rsidP="009C4B7C">
      <w:pPr>
        <w:pStyle w:val="ListParagraph"/>
        <w:jc w:val="both"/>
        <w:rPr>
          <w:rFonts w:ascii="Book Antiqua" w:hAnsi="Book Antiqua"/>
        </w:rPr>
      </w:pPr>
      <w:r w:rsidRPr="00AB3E9C">
        <w:rPr>
          <w:rFonts w:ascii="Book Antiqua" w:hAnsi="Book Antiqua"/>
        </w:rPr>
        <w:t>(iii) There should be mentorship modules for student.</w:t>
      </w:r>
    </w:p>
    <w:p w14:paraId="165A448D" w14:textId="77777777" w:rsidR="001545BB" w:rsidRPr="00AB3E9C" w:rsidRDefault="001545BB" w:rsidP="00196385">
      <w:pPr>
        <w:pStyle w:val="ListParagraph"/>
        <w:numPr>
          <w:ilvl w:val="0"/>
          <w:numId w:val="162"/>
        </w:numPr>
        <w:jc w:val="both"/>
        <w:rPr>
          <w:rFonts w:ascii="Book Antiqua" w:hAnsi="Book Antiqua"/>
        </w:rPr>
      </w:pPr>
      <w:r w:rsidRPr="00AB3E9C">
        <w:rPr>
          <w:rFonts w:ascii="Book Antiqua" w:hAnsi="Book Antiqua"/>
        </w:rPr>
        <w:t>Industry- Academic collaboration must be encouraged.</w:t>
      </w:r>
    </w:p>
    <w:p w14:paraId="20049AAF" w14:textId="77777777" w:rsidR="001545BB" w:rsidRPr="0054220B" w:rsidRDefault="001545BB" w:rsidP="009C4B7C">
      <w:pPr>
        <w:jc w:val="both"/>
        <w:rPr>
          <w:rFonts w:ascii="Book Antiqua" w:hAnsi="Book Antiqua"/>
        </w:rPr>
      </w:pPr>
      <w:r w:rsidRPr="00AB3E9C">
        <w:rPr>
          <w:rFonts w:ascii="Book Antiqua" w:hAnsi="Book Antiqua"/>
        </w:rPr>
        <w:t>Furthermore, he stressed the need to prepare students such that the can adopt very fast in the industry, and they should have the ability to think out</w:t>
      </w:r>
      <w:r w:rsidR="004B7459">
        <w:rPr>
          <w:rFonts w:ascii="Book Antiqua" w:hAnsi="Book Antiqua"/>
        </w:rPr>
        <w:t>side the box and be innovative.</w:t>
      </w:r>
    </w:p>
    <w:p w14:paraId="6BAEEDA9" w14:textId="77777777" w:rsidR="001545BB" w:rsidRPr="00AB3E9C" w:rsidRDefault="001545BB" w:rsidP="009C4B7C">
      <w:pPr>
        <w:jc w:val="both"/>
        <w:rPr>
          <w:rFonts w:ascii="Book Antiqua" w:hAnsi="Book Antiqua"/>
          <w:b/>
        </w:rPr>
      </w:pPr>
      <w:r w:rsidRPr="00AB3E9C">
        <w:rPr>
          <w:rFonts w:ascii="Book Antiqua" w:hAnsi="Book Antiqua"/>
          <w:b/>
        </w:rPr>
        <w:t>Polytechnic Education</w:t>
      </w:r>
    </w:p>
    <w:p w14:paraId="30E04E2D" w14:textId="77777777" w:rsidR="006142A1" w:rsidRDefault="001545BB" w:rsidP="009C4B7C">
      <w:pPr>
        <w:jc w:val="both"/>
        <w:rPr>
          <w:rFonts w:ascii="Book Antiqua" w:hAnsi="Book Antiqua"/>
        </w:rPr>
      </w:pPr>
      <w:r w:rsidRPr="00AB3E9C">
        <w:rPr>
          <w:rFonts w:ascii="Book Antiqua" w:hAnsi="Book Antiqua"/>
        </w:rPr>
        <w:t xml:space="preserve">He proposed that Polytechnics should not necessarily struggle to be like the traditional universities but they could be universities without the word “University” in their names. He encouraged the Polytechnics to desist </w:t>
      </w:r>
      <w:r w:rsidRPr="00AB3E9C">
        <w:rPr>
          <w:rFonts w:ascii="Book Antiqua" w:hAnsi="Book Antiqua"/>
        </w:rPr>
        <w:lastRenderedPageBreak/>
        <w:t>from general education and concentrate on technology. He asked of the fufu pounding machine that was developed by Koforidua Polytechnic. He proposed for example Koforidua Institute of Technology like you find in the advanced world Like Massachusetts Institute of Technology (MIT) among a host of them which are top universities.</w:t>
      </w:r>
    </w:p>
    <w:p w14:paraId="2823EFD6" w14:textId="77777777" w:rsidR="006142A1" w:rsidRDefault="001545BB" w:rsidP="009C4B7C">
      <w:pPr>
        <w:jc w:val="both"/>
        <w:rPr>
          <w:rFonts w:ascii="Book Antiqua" w:hAnsi="Book Antiqua"/>
        </w:rPr>
      </w:pPr>
      <w:r w:rsidRPr="00AB3E9C">
        <w:rPr>
          <w:rFonts w:ascii="Book Antiqua" w:hAnsi="Book Antiqua"/>
        </w:rPr>
        <w:t>He proposed that the government gave more funding to such institutes and charged the Polytechnics to discourage the act of waiting for government funds alone.</w:t>
      </w:r>
    </w:p>
    <w:p w14:paraId="05B4B645" w14:textId="77777777" w:rsidR="001545BB" w:rsidRPr="00AB3E9C" w:rsidRDefault="001545BB" w:rsidP="009C4B7C">
      <w:pPr>
        <w:jc w:val="both"/>
        <w:rPr>
          <w:rFonts w:ascii="Book Antiqua" w:hAnsi="Book Antiqua"/>
        </w:rPr>
      </w:pPr>
      <w:r w:rsidRPr="00AB3E9C">
        <w:rPr>
          <w:rFonts w:ascii="Book Antiqua" w:hAnsi="Book Antiqua"/>
        </w:rPr>
        <w:t xml:space="preserve">Again, he said industrial research by students and faculty should be encouraged. He equally advised that increased job satisfaction comes about as a result of academic-industry collaboration. </w:t>
      </w:r>
    </w:p>
    <w:p w14:paraId="00C11A29" w14:textId="77777777" w:rsidR="006142A1" w:rsidRDefault="001545BB" w:rsidP="009C4B7C">
      <w:pPr>
        <w:jc w:val="both"/>
        <w:rPr>
          <w:rFonts w:ascii="Book Antiqua" w:hAnsi="Book Antiqua"/>
        </w:rPr>
      </w:pPr>
      <w:r w:rsidRPr="00AB3E9C">
        <w:rPr>
          <w:rFonts w:ascii="Book Antiqua" w:hAnsi="Book Antiqua"/>
        </w:rPr>
        <w:t>Most importantly, he acknowledged that if Institutions had well equipped laboratories it would be unnecessary for industries to have same and this would rather encourage industries to make use of the institutions’ facilities.</w:t>
      </w:r>
    </w:p>
    <w:p w14:paraId="0B154701" w14:textId="77777777" w:rsidR="0054220B" w:rsidRPr="0054220B" w:rsidRDefault="001545BB" w:rsidP="009C4B7C">
      <w:pPr>
        <w:jc w:val="both"/>
        <w:rPr>
          <w:rFonts w:ascii="Book Antiqua" w:hAnsi="Book Antiqua"/>
        </w:rPr>
      </w:pPr>
      <w:r w:rsidRPr="00AB3E9C">
        <w:rPr>
          <w:rFonts w:ascii="Book Antiqua" w:hAnsi="Book Antiqua"/>
        </w:rPr>
        <w:t>He also touched on the fact that students should not only be attached for internship but they should go further to solve problems of the industries. Finally, he encouraged qualified staff from the industry should be made to teach.</w:t>
      </w:r>
    </w:p>
    <w:p w14:paraId="4A519601" w14:textId="77777777" w:rsidR="001545BB" w:rsidRPr="001450C4" w:rsidRDefault="00276AE2" w:rsidP="009C4B7C">
      <w:pPr>
        <w:jc w:val="both"/>
        <w:rPr>
          <w:rFonts w:ascii="Book Antiqua" w:hAnsi="Book Antiqua"/>
          <w:b/>
          <w:sz w:val="26"/>
        </w:rPr>
      </w:pPr>
      <w:r w:rsidRPr="001450C4">
        <w:rPr>
          <w:rFonts w:ascii="Book Antiqua" w:hAnsi="Book Antiqua"/>
          <w:b/>
          <w:sz w:val="26"/>
        </w:rPr>
        <w:t>Keynote Speaker 2</w:t>
      </w:r>
    </w:p>
    <w:p w14:paraId="36F482E3" w14:textId="77777777" w:rsidR="00E63A6C" w:rsidRDefault="006142A1" w:rsidP="009C4B7C">
      <w:pPr>
        <w:jc w:val="both"/>
        <w:rPr>
          <w:rFonts w:ascii="Book Antiqua" w:hAnsi="Book Antiqua"/>
          <w:b/>
        </w:rPr>
      </w:pPr>
      <w:r w:rsidRPr="00AB3E9C">
        <w:rPr>
          <w:rFonts w:ascii="Book Antiqua" w:hAnsi="Book Antiqua"/>
          <w:b/>
        </w:rPr>
        <w:t xml:space="preserve">Mr. Rockson Dogbeda, </w:t>
      </w:r>
      <w:r w:rsidR="001545BB" w:rsidRPr="00AB3E9C">
        <w:rPr>
          <w:rFonts w:ascii="Book Antiqua" w:hAnsi="Book Antiqua"/>
          <w:b/>
        </w:rPr>
        <w:t>Chartered Institute of Building (UK) Accra.</w:t>
      </w:r>
    </w:p>
    <w:p w14:paraId="5D4E0A71" w14:textId="77777777" w:rsidR="00E63A6C" w:rsidRPr="0054220B" w:rsidRDefault="001545BB" w:rsidP="009C4B7C">
      <w:pPr>
        <w:jc w:val="both"/>
        <w:rPr>
          <w:rFonts w:ascii="Book Antiqua" w:hAnsi="Book Antiqua"/>
          <w:b/>
        </w:rPr>
      </w:pPr>
      <w:r w:rsidRPr="00AB3E9C">
        <w:rPr>
          <w:rFonts w:ascii="Book Antiqua" w:hAnsi="Book Antiqua"/>
          <w:b/>
        </w:rPr>
        <w:t>Topic: Collaboration between Tertiary Education and Industry: The Missing Link</w:t>
      </w:r>
    </w:p>
    <w:p w14:paraId="15F371F0" w14:textId="77777777" w:rsidR="001545BB" w:rsidRPr="00AB3E9C" w:rsidRDefault="001545BB" w:rsidP="009C4B7C">
      <w:pPr>
        <w:jc w:val="both"/>
        <w:rPr>
          <w:rFonts w:ascii="Book Antiqua" w:hAnsi="Book Antiqua"/>
        </w:rPr>
      </w:pPr>
      <w:r w:rsidRPr="00AB3E9C">
        <w:rPr>
          <w:rFonts w:ascii="Book Antiqua" w:hAnsi="Book Antiqua"/>
        </w:rPr>
        <w:t>He Said Academia-Industry collaboration had always existed and had been a topic of discussion on both sides.</w:t>
      </w:r>
    </w:p>
    <w:p w14:paraId="3766B258" w14:textId="77777777" w:rsidR="006142A1" w:rsidRDefault="001545BB" w:rsidP="009C4B7C">
      <w:pPr>
        <w:jc w:val="both"/>
        <w:rPr>
          <w:rFonts w:ascii="Book Antiqua" w:hAnsi="Book Antiqua"/>
        </w:rPr>
      </w:pPr>
      <w:r w:rsidRPr="00AB3E9C">
        <w:rPr>
          <w:rFonts w:ascii="Book Antiqua" w:hAnsi="Book Antiqua"/>
        </w:rPr>
        <w:t>He recounted the Minister of Education, Professor Jane Naana Opoku Agyemang’s assurance that government would intensify its efforts to ensure academia-industry collaboration as a measure to address the issue of graduate unemployment and that entrepreneurial training would be made a cardinal component of Polytechnic education. Diverse measures would be introduced with the aim to meet the demand of industry.</w:t>
      </w:r>
    </w:p>
    <w:p w14:paraId="79D4AF9C" w14:textId="77777777" w:rsidR="006142A1" w:rsidRDefault="001545BB" w:rsidP="009C4B7C">
      <w:pPr>
        <w:jc w:val="both"/>
        <w:rPr>
          <w:rFonts w:ascii="Book Antiqua" w:hAnsi="Book Antiqua"/>
        </w:rPr>
      </w:pPr>
      <w:r w:rsidRPr="00AB3E9C">
        <w:rPr>
          <w:rFonts w:ascii="Book Antiqua" w:hAnsi="Book Antiqua"/>
        </w:rPr>
        <w:t>He stated the common vision of most faculties of tertiary institutions as “to become a leading practice-based faculty of excellence that invest high quality applied research, scholarly activities, facilities and services into outstanding staff and first class stock provision for industry and national development.”</w:t>
      </w:r>
    </w:p>
    <w:p w14:paraId="6F61E51C" w14:textId="77777777" w:rsidR="006142A1" w:rsidRPr="0054220B" w:rsidRDefault="001545BB" w:rsidP="009C4B7C">
      <w:pPr>
        <w:jc w:val="both"/>
        <w:rPr>
          <w:rFonts w:ascii="Book Antiqua" w:hAnsi="Book Antiqua"/>
        </w:rPr>
      </w:pPr>
      <w:r w:rsidRPr="00AB3E9C">
        <w:rPr>
          <w:rFonts w:ascii="Book Antiqua" w:hAnsi="Book Antiqua"/>
        </w:rPr>
        <w:t xml:space="preserve">He claimed that there is a huge gap between industry and academia and challenged how we can develop as a nation to get out of perpetual poverty.  </w:t>
      </w:r>
    </w:p>
    <w:p w14:paraId="199F63AD" w14:textId="77777777" w:rsidR="001545BB" w:rsidRPr="00AB3E9C" w:rsidRDefault="001545BB" w:rsidP="009C4B7C">
      <w:pPr>
        <w:jc w:val="both"/>
        <w:rPr>
          <w:rFonts w:ascii="Book Antiqua" w:hAnsi="Book Antiqua"/>
          <w:b/>
        </w:rPr>
      </w:pPr>
      <w:r w:rsidRPr="00AB3E9C">
        <w:rPr>
          <w:rFonts w:ascii="Book Antiqua" w:hAnsi="Book Antiqua"/>
          <w:b/>
        </w:rPr>
        <w:t>The Missing Links</w:t>
      </w:r>
    </w:p>
    <w:p w14:paraId="12BFAB1C" w14:textId="77777777" w:rsidR="001545BB" w:rsidRPr="00AB3E9C" w:rsidRDefault="001545BB" w:rsidP="00196385">
      <w:pPr>
        <w:pStyle w:val="ListParagraph"/>
        <w:numPr>
          <w:ilvl w:val="0"/>
          <w:numId w:val="163"/>
        </w:numPr>
        <w:jc w:val="both"/>
        <w:rPr>
          <w:rFonts w:ascii="Book Antiqua" w:hAnsi="Book Antiqua"/>
        </w:rPr>
      </w:pPr>
      <w:r w:rsidRPr="00AB3E9C">
        <w:rPr>
          <w:rFonts w:ascii="Book Antiqua" w:hAnsi="Book Antiqua"/>
        </w:rPr>
        <w:t>Invisible research and collaboration community: He explained that there is a missing link with regards to research collaboration between academia and industry because of mistrust which leads to non-sharing of ideas.</w:t>
      </w:r>
    </w:p>
    <w:p w14:paraId="5E13FAAE" w14:textId="77777777" w:rsidR="001545BB" w:rsidRPr="00AB3E9C" w:rsidRDefault="001545BB" w:rsidP="00196385">
      <w:pPr>
        <w:pStyle w:val="ListParagraph"/>
        <w:numPr>
          <w:ilvl w:val="0"/>
          <w:numId w:val="163"/>
        </w:numPr>
        <w:jc w:val="both"/>
        <w:rPr>
          <w:rFonts w:ascii="Book Antiqua" w:hAnsi="Book Antiqua"/>
        </w:rPr>
      </w:pPr>
      <w:r w:rsidRPr="00AB3E9C">
        <w:rPr>
          <w:rFonts w:ascii="Book Antiqua" w:hAnsi="Book Antiqua"/>
        </w:rPr>
        <w:t>Lack of research uptake and commercialization mechanisms</w:t>
      </w:r>
    </w:p>
    <w:p w14:paraId="3F84D72D" w14:textId="77777777" w:rsidR="001545BB" w:rsidRPr="00AB3E9C" w:rsidRDefault="001545BB" w:rsidP="00196385">
      <w:pPr>
        <w:pStyle w:val="ListParagraph"/>
        <w:numPr>
          <w:ilvl w:val="0"/>
          <w:numId w:val="163"/>
        </w:numPr>
        <w:jc w:val="both"/>
        <w:rPr>
          <w:rFonts w:ascii="Book Antiqua" w:hAnsi="Book Antiqua"/>
        </w:rPr>
      </w:pPr>
      <w:r w:rsidRPr="00AB3E9C">
        <w:rPr>
          <w:rFonts w:ascii="Book Antiqua" w:hAnsi="Book Antiqua"/>
        </w:rPr>
        <w:t>Inadequate research funding and declining government funding</w:t>
      </w:r>
    </w:p>
    <w:p w14:paraId="663FBDC0" w14:textId="77777777" w:rsidR="001545BB" w:rsidRPr="00AB3E9C" w:rsidRDefault="001545BB" w:rsidP="00196385">
      <w:pPr>
        <w:pStyle w:val="ListParagraph"/>
        <w:numPr>
          <w:ilvl w:val="0"/>
          <w:numId w:val="163"/>
        </w:numPr>
        <w:jc w:val="both"/>
        <w:rPr>
          <w:rFonts w:ascii="Book Antiqua" w:hAnsi="Book Antiqua"/>
        </w:rPr>
      </w:pPr>
      <w:r w:rsidRPr="00AB3E9C">
        <w:rPr>
          <w:rFonts w:ascii="Book Antiqua" w:hAnsi="Book Antiqua"/>
        </w:rPr>
        <w:lastRenderedPageBreak/>
        <w:t>Absence of technology transfer and knowledge partnership platform</w:t>
      </w:r>
    </w:p>
    <w:p w14:paraId="365F57E0" w14:textId="77777777" w:rsidR="006142A1" w:rsidRPr="00E63A6C" w:rsidRDefault="001545BB" w:rsidP="00196385">
      <w:pPr>
        <w:pStyle w:val="ListParagraph"/>
        <w:numPr>
          <w:ilvl w:val="0"/>
          <w:numId w:val="163"/>
        </w:numPr>
        <w:jc w:val="both"/>
        <w:rPr>
          <w:rFonts w:ascii="Book Antiqua" w:hAnsi="Book Antiqua"/>
        </w:rPr>
      </w:pPr>
      <w:r w:rsidRPr="00AB3E9C">
        <w:rPr>
          <w:rFonts w:ascii="Book Antiqua" w:hAnsi="Book Antiqua"/>
        </w:rPr>
        <w:t>Absence of innovation ecosyst</w:t>
      </w:r>
      <w:r w:rsidR="00E63A6C">
        <w:rPr>
          <w:rFonts w:ascii="Book Antiqua" w:hAnsi="Book Antiqua"/>
        </w:rPr>
        <w:t>ems and communities.</w:t>
      </w:r>
    </w:p>
    <w:p w14:paraId="02BB0026" w14:textId="77777777" w:rsidR="001545BB" w:rsidRPr="00AB3E9C" w:rsidRDefault="001545BB" w:rsidP="009C4B7C">
      <w:pPr>
        <w:jc w:val="both"/>
        <w:rPr>
          <w:rFonts w:ascii="Book Antiqua" w:hAnsi="Book Antiqua"/>
          <w:b/>
        </w:rPr>
      </w:pPr>
      <w:r w:rsidRPr="00AB3E9C">
        <w:rPr>
          <w:rFonts w:ascii="Book Antiqua" w:hAnsi="Book Antiqua"/>
          <w:b/>
        </w:rPr>
        <w:t>Convergences</w:t>
      </w:r>
    </w:p>
    <w:p w14:paraId="5B016820" w14:textId="77777777" w:rsidR="001545BB" w:rsidRPr="00AB3E9C" w:rsidRDefault="001545BB" w:rsidP="00196385">
      <w:pPr>
        <w:pStyle w:val="ListParagraph"/>
        <w:numPr>
          <w:ilvl w:val="0"/>
          <w:numId w:val="164"/>
        </w:numPr>
        <w:jc w:val="both"/>
        <w:rPr>
          <w:rFonts w:ascii="Book Antiqua" w:hAnsi="Book Antiqua"/>
        </w:rPr>
      </w:pPr>
      <w:r w:rsidRPr="00AB3E9C">
        <w:rPr>
          <w:rFonts w:ascii="Book Antiqua" w:hAnsi="Book Antiqua"/>
        </w:rPr>
        <w:t>Education of large number of people in basic business strategy concepts</w:t>
      </w:r>
    </w:p>
    <w:p w14:paraId="600487EA" w14:textId="77777777" w:rsidR="001545BB" w:rsidRPr="00AB3E9C" w:rsidRDefault="001545BB" w:rsidP="00196385">
      <w:pPr>
        <w:pStyle w:val="ListParagraph"/>
        <w:numPr>
          <w:ilvl w:val="0"/>
          <w:numId w:val="164"/>
        </w:numPr>
        <w:jc w:val="both"/>
        <w:rPr>
          <w:rFonts w:ascii="Book Antiqua" w:hAnsi="Book Antiqua"/>
        </w:rPr>
      </w:pPr>
      <w:r w:rsidRPr="00AB3E9C">
        <w:rPr>
          <w:rFonts w:ascii="Book Antiqua" w:hAnsi="Book Antiqua"/>
        </w:rPr>
        <w:t>Promoting entrepreneurial and technology transfer culture</w:t>
      </w:r>
    </w:p>
    <w:p w14:paraId="28DF0941" w14:textId="77777777" w:rsidR="001545BB" w:rsidRPr="00AB3E9C" w:rsidRDefault="001545BB" w:rsidP="00196385">
      <w:pPr>
        <w:pStyle w:val="ListParagraph"/>
        <w:numPr>
          <w:ilvl w:val="0"/>
          <w:numId w:val="164"/>
        </w:numPr>
        <w:jc w:val="both"/>
        <w:rPr>
          <w:rFonts w:ascii="Book Antiqua" w:hAnsi="Book Antiqua"/>
        </w:rPr>
      </w:pPr>
      <w:r w:rsidRPr="00AB3E9C">
        <w:rPr>
          <w:rFonts w:ascii="Book Antiqua" w:hAnsi="Book Antiqua"/>
        </w:rPr>
        <w:t>Student led entrepreneurship spirit to bridge the gap</w:t>
      </w:r>
    </w:p>
    <w:p w14:paraId="0F72D603" w14:textId="77777777" w:rsidR="001545BB" w:rsidRPr="00AB3E9C" w:rsidRDefault="001545BB" w:rsidP="00196385">
      <w:pPr>
        <w:pStyle w:val="ListParagraph"/>
        <w:numPr>
          <w:ilvl w:val="0"/>
          <w:numId w:val="164"/>
        </w:numPr>
        <w:jc w:val="both"/>
        <w:rPr>
          <w:rFonts w:ascii="Book Antiqua" w:hAnsi="Book Antiqua"/>
        </w:rPr>
      </w:pPr>
      <w:r w:rsidRPr="00AB3E9C">
        <w:rPr>
          <w:rFonts w:ascii="Book Antiqua" w:hAnsi="Book Antiqua"/>
        </w:rPr>
        <w:t>Practical skills of the lectures to expose the student to the real world needs to make students employable</w:t>
      </w:r>
    </w:p>
    <w:p w14:paraId="4388EAEF" w14:textId="77777777" w:rsidR="001545BB" w:rsidRPr="00AB3E9C" w:rsidRDefault="001545BB" w:rsidP="00196385">
      <w:pPr>
        <w:pStyle w:val="ListParagraph"/>
        <w:numPr>
          <w:ilvl w:val="0"/>
          <w:numId w:val="164"/>
        </w:numPr>
        <w:jc w:val="both"/>
        <w:rPr>
          <w:rFonts w:ascii="Book Antiqua" w:hAnsi="Book Antiqua"/>
        </w:rPr>
      </w:pPr>
      <w:r w:rsidRPr="00AB3E9C">
        <w:rPr>
          <w:rFonts w:ascii="Book Antiqua" w:hAnsi="Book Antiqua"/>
        </w:rPr>
        <w:t>Tertiary institution can utilize pre-existing</w:t>
      </w:r>
    </w:p>
    <w:p w14:paraId="76A9B55A" w14:textId="77777777" w:rsidR="001545BB" w:rsidRPr="00AB3E9C" w:rsidRDefault="001545BB" w:rsidP="009C4B7C">
      <w:pPr>
        <w:jc w:val="both"/>
        <w:rPr>
          <w:rFonts w:ascii="Book Antiqua" w:hAnsi="Book Antiqua"/>
          <w:b/>
        </w:rPr>
      </w:pPr>
      <w:r w:rsidRPr="00AB3E9C">
        <w:rPr>
          <w:rFonts w:ascii="Book Antiqua" w:hAnsi="Book Antiqua"/>
          <w:b/>
        </w:rPr>
        <w:t>Best Advice</w:t>
      </w:r>
    </w:p>
    <w:p w14:paraId="679F386D" w14:textId="77777777" w:rsidR="001545BB" w:rsidRPr="00AB3E9C" w:rsidRDefault="001545BB" w:rsidP="009C4B7C">
      <w:pPr>
        <w:jc w:val="both"/>
        <w:rPr>
          <w:rFonts w:ascii="Book Antiqua" w:hAnsi="Book Antiqua"/>
        </w:rPr>
      </w:pPr>
      <w:r w:rsidRPr="00AB3E9C">
        <w:rPr>
          <w:rFonts w:ascii="Book Antiqua" w:hAnsi="Book Antiqua"/>
        </w:rPr>
        <w:t>He quoted Prof. Frank Harris as “Anything is possible if you try hard enough”</w:t>
      </w:r>
    </w:p>
    <w:p w14:paraId="62449BD1" w14:textId="77777777" w:rsidR="001545BB" w:rsidRPr="0054220B" w:rsidRDefault="001545BB" w:rsidP="009C4B7C">
      <w:pPr>
        <w:jc w:val="both"/>
        <w:rPr>
          <w:rFonts w:ascii="Book Antiqua" w:hAnsi="Book Antiqua"/>
        </w:rPr>
      </w:pPr>
      <w:r w:rsidRPr="00AB3E9C">
        <w:rPr>
          <w:rFonts w:ascii="Book Antiqua" w:hAnsi="Book Antiqua"/>
        </w:rPr>
        <w:t>He concluded that the time for action is now.</w:t>
      </w:r>
    </w:p>
    <w:p w14:paraId="7D1A822E" w14:textId="77777777" w:rsidR="006142A1" w:rsidRPr="001450C4" w:rsidRDefault="00276AE2" w:rsidP="009C4B7C">
      <w:pPr>
        <w:jc w:val="both"/>
        <w:rPr>
          <w:rFonts w:ascii="Book Antiqua" w:hAnsi="Book Antiqua"/>
          <w:b/>
          <w:sz w:val="26"/>
        </w:rPr>
      </w:pPr>
      <w:r w:rsidRPr="001450C4">
        <w:rPr>
          <w:rFonts w:ascii="Book Antiqua" w:hAnsi="Book Antiqua"/>
          <w:b/>
          <w:sz w:val="26"/>
        </w:rPr>
        <w:t>Keynote Speaker 3</w:t>
      </w:r>
    </w:p>
    <w:p w14:paraId="7D011611" w14:textId="77777777" w:rsidR="00E63A6C" w:rsidRDefault="001545BB" w:rsidP="009C4B7C">
      <w:pPr>
        <w:jc w:val="both"/>
        <w:rPr>
          <w:rFonts w:ascii="Book Antiqua" w:hAnsi="Book Antiqua"/>
          <w:b/>
        </w:rPr>
      </w:pPr>
      <w:r w:rsidRPr="00AB3E9C">
        <w:rPr>
          <w:rFonts w:ascii="Book Antiqua" w:hAnsi="Book Antiqua"/>
          <w:b/>
        </w:rPr>
        <w:t>Prof. Ernest Yamfo, University of Western Ontario, Canada for Mr. Joseph Siaw Agyepong, CEO, Zoomlion Ghana Ltd.</w:t>
      </w:r>
    </w:p>
    <w:p w14:paraId="2DB89804" w14:textId="77777777" w:rsidR="00E63A6C" w:rsidRDefault="001545BB" w:rsidP="009C4B7C">
      <w:pPr>
        <w:jc w:val="both"/>
        <w:rPr>
          <w:rFonts w:ascii="Book Antiqua" w:hAnsi="Book Antiqua"/>
        </w:rPr>
      </w:pPr>
      <w:r w:rsidRPr="00AB3E9C">
        <w:rPr>
          <w:rFonts w:ascii="Book Antiqua" w:hAnsi="Book Antiqua"/>
          <w:b/>
        </w:rPr>
        <w:t>TOPIC: Harnessing Industrial Experience for Efficient and Effective Training in Tertiary Institutions for National Development</w:t>
      </w:r>
    </w:p>
    <w:p w14:paraId="1DACA573" w14:textId="77777777" w:rsidR="001545BB" w:rsidRPr="00AB3E9C" w:rsidRDefault="001545BB" w:rsidP="009C4B7C">
      <w:pPr>
        <w:jc w:val="both"/>
        <w:rPr>
          <w:rFonts w:ascii="Book Antiqua" w:hAnsi="Book Antiqua"/>
        </w:rPr>
      </w:pPr>
      <w:r w:rsidRPr="00AB3E9C">
        <w:rPr>
          <w:rFonts w:ascii="Book Antiqua" w:hAnsi="Book Antiqua"/>
        </w:rPr>
        <w:t xml:space="preserve">He deems it a pleasure to be a keynote speaker at this conference. He acknowledges that technology has influenced how business is done in this </w:t>
      </w:r>
      <w:r w:rsidRPr="00AB3E9C">
        <w:rPr>
          <w:rFonts w:ascii="Book Antiqua" w:hAnsi="Book Antiqua"/>
        </w:rPr>
        <w:t xml:space="preserve">era. He is of the view that there is a need to know what is happening in business to help train tertiary students for it. He advises that it is important for students and faculties to go on industrial visits and uses the opportunity to invite faculty and students of Koforidua Polytechnic to the businesses of Zoomlion Ghana Ltd. </w:t>
      </w:r>
    </w:p>
    <w:p w14:paraId="0353F802" w14:textId="77777777" w:rsidR="001545BB" w:rsidRPr="00AB3E9C" w:rsidRDefault="001545BB" w:rsidP="009C4B7C">
      <w:pPr>
        <w:jc w:val="both"/>
        <w:rPr>
          <w:rFonts w:ascii="Book Antiqua" w:hAnsi="Book Antiqua"/>
        </w:rPr>
      </w:pPr>
      <w:r w:rsidRPr="00AB3E9C">
        <w:rPr>
          <w:rFonts w:ascii="Book Antiqua" w:hAnsi="Book Antiqua"/>
        </w:rPr>
        <w:t>He says Zoomlion has had interns, National Service personnel and full time employment of some Students from Koforidua Polytechnic.</w:t>
      </w:r>
    </w:p>
    <w:p w14:paraId="475E264A" w14:textId="77777777" w:rsidR="001545BB" w:rsidRPr="00AB3E9C" w:rsidRDefault="001545BB" w:rsidP="009C4B7C">
      <w:pPr>
        <w:jc w:val="both"/>
        <w:rPr>
          <w:rFonts w:ascii="Book Antiqua" w:hAnsi="Book Antiqua"/>
        </w:rPr>
      </w:pPr>
      <w:r w:rsidRPr="00AB3E9C">
        <w:rPr>
          <w:rFonts w:ascii="Book Antiqua" w:hAnsi="Book Antiqua"/>
        </w:rPr>
        <w:t xml:space="preserve">He directs that tertiary institutions can source funds from industries without relying solely on government. </w:t>
      </w:r>
    </w:p>
    <w:p w14:paraId="01EFBC41" w14:textId="77777777" w:rsidR="001545BB" w:rsidRPr="00E63A6C" w:rsidRDefault="001545BB" w:rsidP="0054220B">
      <w:pPr>
        <w:jc w:val="both"/>
        <w:rPr>
          <w:rFonts w:ascii="Book Antiqua" w:hAnsi="Book Antiqua"/>
        </w:rPr>
      </w:pPr>
      <w:r w:rsidRPr="00AB3E9C">
        <w:rPr>
          <w:rFonts w:ascii="Book Antiqua" w:hAnsi="Book Antiqua"/>
        </w:rPr>
        <w:t>He admits that academia-industry is a win-win affair and advocates the intensification of collaboration between them.</w:t>
      </w:r>
      <w:r w:rsidRPr="00AB3E9C">
        <w:rPr>
          <w:rFonts w:ascii="Book Antiqua" w:hAnsi="Book Antiqua"/>
        </w:rPr>
        <w:tab/>
      </w:r>
    </w:p>
    <w:p w14:paraId="6515CC26" w14:textId="77777777" w:rsidR="001545BB" w:rsidRPr="001450C4" w:rsidRDefault="001545BB" w:rsidP="009C4B7C">
      <w:pPr>
        <w:jc w:val="both"/>
        <w:rPr>
          <w:rFonts w:ascii="Book Antiqua" w:hAnsi="Book Antiqua"/>
          <w:b/>
          <w:sz w:val="26"/>
        </w:rPr>
      </w:pPr>
      <w:r w:rsidRPr="001450C4">
        <w:rPr>
          <w:rFonts w:ascii="Book Antiqua" w:hAnsi="Book Antiqua"/>
          <w:b/>
          <w:sz w:val="26"/>
        </w:rPr>
        <w:t>Closing Remarks by Chairman</w:t>
      </w:r>
    </w:p>
    <w:p w14:paraId="1045B30A" w14:textId="77777777" w:rsidR="001545BB" w:rsidRPr="00AB3E9C" w:rsidRDefault="001545BB" w:rsidP="009C4B7C">
      <w:pPr>
        <w:jc w:val="both"/>
        <w:rPr>
          <w:rFonts w:ascii="Book Antiqua" w:hAnsi="Book Antiqua"/>
        </w:rPr>
      </w:pPr>
      <w:r w:rsidRPr="00AB3E9C">
        <w:rPr>
          <w:rFonts w:ascii="Book Antiqua" w:hAnsi="Book Antiqua"/>
        </w:rPr>
        <w:t>He explained a few issues about the National Accreditation Board. They send evaluators to evaluate your curriculum and make a report in of recommendation. Developers of curriculum should be bold enough to defend it. The programmes to be mounted should be sent to the NAB on time at least one year before.</w:t>
      </w:r>
    </w:p>
    <w:p w14:paraId="5CF239F5" w14:textId="77777777" w:rsidR="001545BB" w:rsidRPr="00AB3E9C" w:rsidRDefault="001545BB" w:rsidP="009C4B7C">
      <w:pPr>
        <w:jc w:val="both"/>
        <w:rPr>
          <w:rFonts w:ascii="Book Antiqua" w:hAnsi="Book Antiqua"/>
        </w:rPr>
      </w:pPr>
      <w:r w:rsidRPr="00AB3E9C">
        <w:rPr>
          <w:rFonts w:ascii="Book Antiqua" w:hAnsi="Book Antiqua"/>
        </w:rPr>
        <w:t xml:space="preserve">He admonished the Polytechnic to make their research results or findings known to the public and that they should demonstrate their innovations. </w:t>
      </w:r>
    </w:p>
    <w:p w14:paraId="53A6561A" w14:textId="77777777" w:rsidR="001545BB" w:rsidRPr="00AB3E9C" w:rsidRDefault="001545BB" w:rsidP="009C4B7C">
      <w:pPr>
        <w:jc w:val="both"/>
        <w:rPr>
          <w:rFonts w:ascii="Book Antiqua" w:hAnsi="Book Antiqua"/>
        </w:rPr>
      </w:pPr>
      <w:r w:rsidRPr="00AB3E9C">
        <w:rPr>
          <w:rFonts w:ascii="Book Antiqua" w:hAnsi="Book Antiqua"/>
        </w:rPr>
        <w:t>He thanked those present and declared the research conference duly opened.</w:t>
      </w:r>
    </w:p>
    <w:p w14:paraId="2F420514" w14:textId="77777777" w:rsidR="001545BB" w:rsidRDefault="001545BB" w:rsidP="009C4B7C">
      <w:pPr>
        <w:jc w:val="both"/>
        <w:rPr>
          <w:rFonts w:ascii="Book Antiqua" w:hAnsi="Book Antiqua"/>
          <w:b/>
        </w:rPr>
      </w:pPr>
    </w:p>
    <w:p w14:paraId="12C99DBF" w14:textId="77777777" w:rsidR="000E6598" w:rsidRDefault="000E6598" w:rsidP="009C4B7C">
      <w:pPr>
        <w:jc w:val="both"/>
        <w:rPr>
          <w:rFonts w:ascii="Book Antiqua" w:hAnsi="Book Antiqua"/>
          <w:b/>
        </w:rPr>
      </w:pPr>
    </w:p>
    <w:p w14:paraId="5BB554D1" w14:textId="77777777" w:rsidR="000E6598" w:rsidRPr="00AB3E9C" w:rsidRDefault="000E6598" w:rsidP="009C4B7C">
      <w:pPr>
        <w:jc w:val="both"/>
        <w:rPr>
          <w:rFonts w:ascii="Book Antiqua" w:hAnsi="Book Antiqua"/>
          <w:b/>
        </w:rPr>
      </w:pPr>
    </w:p>
    <w:p w14:paraId="5683CB1D" w14:textId="77777777" w:rsidR="001545BB" w:rsidRPr="001450C4" w:rsidRDefault="001450C4" w:rsidP="009C4B7C">
      <w:pPr>
        <w:jc w:val="both"/>
        <w:rPr>
          <w:rFonts w:ascii="Book Antiqua" w:hAnsi="Book Antiqua"/>
          <w:b/>
          <w:sz w:val="26"/>
        </w:rPr>
      </w:pPr>
      <w:r w:rsidRPr="001450C4">
        <w:rPr>
          <w:rFonts w:ascii="Book Antiqua" w:hAnsi="Book Antiqua"/>
          <w:b/>
          <w:sz w:val="26"/>
        </w:rPr>
        <w:lastRenderedPageBreak/>
        <w:t>Technical Session 1</w:t>
      </w:r>
    </w:p>
    <w:p w14:paraId="1913F4AC" w14:textId="77777777" w:rsidR="001545BB" w:rsidRPr="00AB3E9C" w:rsidRDefault="001450C4" w:rsidP="009C4B7C">
      <w:pPr>
        <w:jc w:val="both"/>
        <w:rPr>
          <w:rFonts w:ascii="Book Antiqua" w:hAnsi="Book Antiqua"/>
          <w:b/>
        </w:rPr>
      </w:pPr>
      <w:r w:rsidRPr="00AB3E9C">
        <w:rPr>
          <w:rFonts w:ascii="Book Antiqua" w:hAnsi="Book Antiqua"/>
          <w:b/>
        </w:rPr>
        <w:t>Chairman: Professor Sylvester Achio, Rector Accra Polytechnic</w:t>
      </w:r>
    </w:p>
    <w:p w14:paraId="2D9E3BDC" w14:textId="77777777" w:rsidR="001545BB" w:rsidRPr="00AB3E9C" w:rsidRDefault="001450C4" w:rsidP="009C4B7C">
      <w:pPr>
        <w:jc w:val="both"/>
        <w:rPr>
          <w:rFonts w:ascii="Book Antiqua" w:hAnsi="Book Antiqua"/>
          <w:b/>
        </w:rPr>
      </w:pPr>
      <w:r w:rsidRPr="00AB3E9C">
        <w:rPr>
          <w:rFonts w:ascii="Book Antiqua" w:hAnsi="Book Antiqua"/>
          <w:b/>
        </w:rPr>
        <w:t>Venue: Abba Bentil Andam Theatre.</w:t>
      </w:r>
    </w:p>
    <w:p w14:paraId="2A6B2471" w14:textId="77777777" w:rsidR="001545BB" w:rsidRPr="00AB3E9C" w:rsidRDefault="00F31EF3"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Service Quality among Chop Bar Operators in Koforidua: A Case Study of Abaase, ObaaYaa, Big T, Nyame Bekyere and Enye Nyame Den Chop Bars.</w:t>
      </w:r>
    </w:p>
    <w:p w14:paraId="6B61BB65" w14:textId="77777777" w:rsidR="001545BB" w:rsidRPr="00AB3E9C" w:rsidRDefault="008239D5" w:rsidP="009C4B7C">
      <w:pPr>
        <w:jc w:val="both"/>
        <w:rPr>
          <w:rFonts w:ascii="Book Antiqua" w:hAnsi="Book Antiqua"/>
        </w:rPr>
      </w:pPr>
      <w:r w:rsidRPr="00AB3E9C">
        <w:rPr>
          <w:rFonts w:ascii="Book Antiqua" w:hAnsi="Book Antiqua"/>
          <w:b/>
        </w:rPr>
        <w:t>Presenters</w:t>
      </w:r>
      <w:r w:rsidR="001545BB" w:rsidRPr="00AB3E9C">
        <w:rPr>
          <w:rFonts w:ascii="Book Antiqua" w:hAnsi="Book Antiqua"/>
          <w:b/>
        </w:rPr>
        <w:t xml:space="preserve">: </w:t>
      </w:r>
      <w:r w:rsidR="001545BB" w:rsidRPr="00AB3E9C">
        <w:rPr>
          <w:rFonts w:ascii="Book Antiqua" w:hAnsi="Book Antiqua"/>
        </w:rPr>
        <w:t>Samuel Kwabena Ayittah, Yaw Brew &amp; Samuel Addae-Boateng</w:t>
      </w:r>
    </w:p>
    <w:p w14:paraId="1F5F0250" w14:textId="77777777" w:rsidR="001545BB" w:rsidRPr="00AB3E9C" w:rsidRDefault="001545BB" w:rsidP="009C4B7C">
      <w:pPr>
        <w:jc w:val="both"/>
        <w:rPr>
          <w:rFonts w:ascii="Book Antiqua" w:hAnsi="Book Antiqua"/>
        </w:rPr>
      </w:pPr>
      <w:r w:rsidRPr="00AB3E9C">
        <w:rPr>
          <w:rFonts w:ascii="Book Antiqua" w:hAnsi="Book Antiqua"/>
        </w:rPr>
        <w:t>Koforidua Polytechnic, Department of Marketing</w:t>
      </w:r>
    </w:p>
    <w:p w14:paraId="1AE86AD7"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The study attempts to assess the quality of customer service among chop bars in Koforidua to identify customer service gaps that need to be filled for improved service quality to facilitate customer loyalty and business growth.</w:t>
      </w:r>
    </w:p>
    <w:p w14:paraId="61578149" w14:textId="77777777" w:rsidR="001545BB" w:rsidRPr="0054220B" w:rsidRDefault="001545BB" w:rsidP="009C4B7C">
      <w:pPr>
        <w:jc w:val="both"/>
        <w:rPr>
          <w:rFonts w:ascii="Book Antiqua" w:hAnsi="Book Antiqua"/>
        </w:rPr>
      </w:pPr>
      <w:r w:rsidRPr="00AB3E9C">
        <w:rPr>
          <w:rFonts w:ascii="Book Antiqua" w:hAnsi="Book Antiqua"/>
          <w:b/>
        </w:rPr>
        <w:t xml:space="preserve">Result: </w:t>
      </w:r>
      <w:r w:rsidRPr="00AB3E9C">
        <w:rPr>
          <w:rFonts w:ascii="Book Antiqua" w:hAnsi="Book Antiqua"/>
        </w:rPr>
        <w:t>The study indicates that 70% of customers are satisfied with service quality of the chop bars, but 30% are not. This means that there are still significant service quality gaps that the chop bars must endeavour to close to improve customer loyalty and business growth.</w:t>
      </w:r>
    </w:p>
    <w:p w14:paraId="7507BCC9" w14:textId="77777777" w:rsidR="001545BB" w:rsidRPr="00AB3E9C" w:rsidRDefault="008239D5"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An Assessment of Internal Control Practices in Procurement at Akuapem North District Assembly.</w:t>
      </w:r>
    </w:p>
    <w:p w14:paraId="44E2611B" w14:textId="77777777" w:rsidR="001545BB" w:rsidRPr="00AB3E9C" w:rsidRDefault="008239D5" w:rsidP="009C4B7C">
      <w:pPr>
        <w:jc w:val="both"/>
        <w:rPr>
          <w:rFonts w:ascii="Book Antiqua" w:hAnsi="Book Antiqua"/>
        </w:rPr>
      </w:pPr>
      <w:r w:rsidRPr="00AB3E9C">
        <w:rPr>
          <w:rFonts w:ascii="Book Antiqua" w:hAnsi="Book Antiqua"/>
          <w:b/>
        </w:rPr>
        <w:t>Presenter</w:t>
      </w:r>
      <w:r w:rsidR="001545BB" w:rsidRPr="00AB3E9C">
        <w:rPr>
          <w:rFonts w:ascii="Book Antiqua" w:hAnsi="Book Antiqua"/>
          <w:b/>
        </w:rPr>
        <w:t>: Ernest Fianko Quartey</w:t>
      </w:r>
    </w:p>
    <w:p w14:paraId="3BB42CD7" w14:textId="77777777" w:rsidR="001545BB" w:rsidRPr="00AB3E9C" w:rsidRDefault="001545BB" w:rsidP="009C4B7C">
      <w:pPr>
        <w:jc w:val="both"/>
        <w:rPr>
          <w:rFonts w:ascii="Book Antiqua" w:hAnsi="Book Antiqua"/>
        </w:rPr>
      </w:pPr>
      <w:r w:rsidRPr="00AB3E9C">
        <w:rPr>
          <w:rFonts w:ascii="Book Antiqua" w:hAnsi="Book Antiqua"/>
        </w:rPr>
        <w:t>Koforidua Polytechnic, Department of Professional Studies</w:t>
      </w:r>
    </w:p>
    <w:p w14:paraId="0A28FA64"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The study assesses procurement system in the Akuapem North District. </w:t>
      </w:r>
    </w:p>
    <w:p w14:paraId="611A9057" w14:textId="77777777" w:rsidR="001545BB" w:rsidRPr="0054220B" w:rsidRDefault="001545BB" w:rsidP="009C4B7C">
      <w:pPr>
        <w:jc w:val="both"/>
        <w:rPr>
          <w:rFonts w:ascii="Book Antiqua" w:hAnsi="Book Antiqua"/>
        </w:rPr>
      </w:pPr>
      <w:r w:rsidRPr="00AB3E9C">
        <w:rPr>
          <w:rFonts w:ascii="Book Antiqua" w:hAnsi="Book Antiqua"/>
          <w:b/>
        </w:rPr>
        <w:t xml:space="preserve">Results: </w:t>
      </w:r>
      <w:r w:rsidRPr="00AB3E9C">
        <w:rPr>
          <w:rFonts w:ascii="Book Antiqua" w:hAnsi="Book Antiqua"/>
        </w:rPr>
        <w:t xml:space="preserve">The study brought to the fore the fact that the Assembly does not have a </w:t>
      </w:r>
      <w:r w:rsidRPr="00AB3E9C">
        <w:rPr>
          <w:rFonts w:ascii="Book Antiqua" w:hAnsi="Book Antiqua"/>
        </w:rPr>
        <w:t>procurement department that takes full responsibility for procurement in the District. A procurement department to be in charge of procurement in the Assembly is recommended.</w:t>
      </w:r>
    </w:p>
    <w:p w14:paraId="5320346B" w14:textId="77777777" w:rsidR="001545BB" w:rsidRPr="00AB3E9C" w:rsidRDefault="008239D5"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Potential Biogas Production from Organic Waste Generated in the Hospitality Kitchen of Koforidua Polytechnic</w:t>
      </w:r>
    </w:p>
    <w:p w14:paraId="1587CC68" w14:textId="77777777" w:rsidR="001545BB" w:rsidRPr="00AB3E9C" w:rsidRDefault="008239D5" w:rsidP="009C4B7C">
      <w:pPr>
        <w:jc w:val="both"/>
        <w:rPr>
          <w:rFonts w:ascii="Book Antiqua" w:hAnsi="Book Antiqua"/>
        </w:rPr>
      </w:pPr>
      <w:r w:rsidRPr="00AB3E9C">
        <w:rPr>
          <w:rFonts w:ascii="Book Antiqua" w:hAnsi="Book Antiqua"/>
          <w:b/>
        </w:rPr>
        <w:t>Presenters</w:t>
      </w:r>
      <w:r w:rsidR="001545BB" w:rsidRPr="00AB3E9C">
        <w:rPr>
          <w:rFonts w:ascii="Book Antiqua" w:hAnsi="Book Antiqua"/>
          <w:b/>
        </w:rPr>
        <w:t>: Agyemang O. E, Atsu D., &amp;Tsike S.</w:t>
      </w:r>
    </w:p>
    <w:p w14:paraId="15B97BF7" w14:textId="77777777" w:rsidR="001545BB" w:rsidRPr="00AB3E9C" w:rsidRDefault="001545BB" w:rsidP="009C4B7C">
      <w:pPr>
        <w:jc w:val="both"/>
        <w:rPr>
          <w:rFonts w:ascii="Book Antiqua" w:hAnsi="Book Antiqua"/>
        </w:rPr>
      </w:pPr>
      <w:r w:rsidRPr="00AB3E9C">
        <w:rPr>
          <w:rFonts w:ascii="Book Antiqua" w:hAnsi="Book Antiqua"/>
        </w:rPr>
        <w:t>Department of Renewable Energy Systems Engineering, Koforidua Polytechnic</w:t>
      </w:r>
    </w:p>
    <w:p w14:paraId="07D55F77"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This paper looks at determining the potential biogas generation of organic waste generated at the Hospitality Kitchen of Koforidua Polytechnic. </w:t>
      </w:r>
    </w:p>
    <w:p w14:paraId="1FBC1C91" w14:textId="77777777" w:rsidR="00A1212D" w:rsidRPr="00A1212D"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It is made clear that, on an average the kitchen generates about 500kg of organic waste per month which has the potential of generating 200m3 per month of biogas to supply the fuel needs of the kitchen. The use of organic kitchen waste for biogas production will not only lead to the generation of energy but also ensure environmental sustainability which will promote the development of Ghana.</w:t>
      </w:r>
    </w:p>
    <w:p w14:paraId="0EA0B355" w14:textId="77777777" w:rsidR="001545BB" w:rsidRPr="00AB3E9C" w:rsidRDefault="008239D5" w:rsidP="00196385">
      <w:pPr>
        <w:pStyle w:val="ListParagraph"/>
        <w:numPr>
          <w:ilvl w:val="0"/>
          <w:numId w:val="165"/>
        </w:numPr>
        <w:tabs>
          <w:tab w:val="left" w:pos="360"/>
        </w:tabs>
        <w:ind w:left="0" w:firstLine="0"/>
        <w:jc w:val="both"/>
        <w:rPr>
          <w:rFonts w:ascii="Book Antiqua" w:hAnsi="Book Antiqua"/>
        </w:rPr>
      </w:pPr>
      <w:r w:rsidRPr="00AB3E9C">
        <w:rPr>
          <w:rFonts w:ascii="Book Antiqua" w:hAnsi="Book Antiqua"/>
          <w:b/>
        </w:rPr>
        <w:t>Topic</w:t>
      </w:r>
      <w:r w:rsidR="001545BB" w:rsidRPr="00AB3E9C">
        <w:rPr>
          <w:rFonts w:ascii="Book Antiqua" w:hAnsi="Book Antiqua"/>
          <w:b/>
        </w:rPr>
        <w:t>: Alternative Ways of Managing Waste on Campuses</w:t>
      </w:r>
    </w:p>
    <w:p w14:paraId="460C7063" w14:textId="77777777" w:rsidR="001545BB" w:rsidRPr="00AB3E9C" w:rsidRDefault="008239D5" w:rsidP="000E6598">
      <w:pPr>
        <w:spacing w:after="0"/>
        <w:jc w:val="both"/>
        <w:rPr>
          <w:rFonts w:ascii="Book Antiqua" w:hAnsi="Book Antiqua"/>
        </w:rPr>
      </w:pPr>
      <w:r w:rsidRPr="00AB3E9C">
        <w:rPr>
          <w:rFonts w:ascii="Book Antiqua" w:hAnsi="Book Antiqua"/>
          <w:b/>
        </w:rPr>
        <w:t>Pr</w:t>
      </w:r>
      <w:r>
        <w:rPr>
          <w:rFonts w:ascii="Book Antiqua" w:hAnsi="Book Antiqua"/>
          <w:b/>
        </w:rPr>
        <w:t>e</w:t>
      </w:r>
      <w:r w:rsidRPr="00AB3E9C">
        <w:rPr>
          <w:rFonts w:ascii="Book Antiqua" w:hAnsi="Book Antiqua"/>
          <w:b/>
        </w:rPr>
        <w:t>senters</w:t>
      </w:r>
      <w:r w:rsidR="001545BB" w:rsidRPr="00AB3E9C">
        <w:rPr>
          <w:rFonts w:ascii="Book Antiqua" w:hAnsi="Book Antiqua"/>
          <w:b/>
        </w:rPr>
        <w:t>: Nyavor A. A. B., Mensah E., Nyame T. V., Achio S., Appiah G. L., &amp;</w:t>
      </w:r>
      <w:r w:rsidR="00C82D87">
        <w:rPr>
          <w:rFonts w:ascii="Book Antiqua" w:hAnsi="Book Antiqua"/>
          <w:b/>
        </w:rPr>
        <w:t xml:space="preserve"> </w:t>
      </w:r>
      <w:r w:rsidR="001545BB" w:rsidRPr="00AB3E9C">
        <w:rPr>
          <w:rFonts w:ascii="Book Antiqua" w:hAnsi="Book Antiqua"/>
          <w:b/>
        </w:rPr>
        <w:t>Kutsanedzie F.</w:t>
      </w:r>
    </w:p>
    <w:p w14:paraId="66405BC1" w14:textId="77777777" w:rsidR="001545BB" w:rsidRPr="00AB3E9C" w:rsidRDefault="001545BB" w:rsidP="009C4B7C">
      <w:pPr>
        <w:jc w:val="both"/>
        <w:rPr>
          <w:rFonts w:ascii="Book Antiqua" w:hAnsi="Book Antiqua"/>
        </w:rPr>
      </w:pPr>
      <w:r w:rsidRPr="00AB3E9C">
        <w:rPr>
          <w:rFonts w:ascii="Book Antiqua" w:hAnsi="Book Antiqua"/>
        </w:rPr>
        <w:t>Accra Polytechnic, Accra</w:t>
      </w:r>
    </w:p>
    <w:p w14:paraId="4E0CFA7E"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This study aims at finding out how plastic waste can be recycled into reusable articles.</w:t>
      </w:r>
    </w:p>
    <w:p w14:paraId="62F28585" w14:textId="77777777" w:rsidR="009450B6" w:rsidRPr="0054220B" w:rsidRDefault="001545BB" w:rsidP="009C4B7C">
      <w:pPr>
        <w:jc w:val="both"/>
        <w:rPr>
          <w:rFonts w:ascii="Book Antiqua" w:hAnsi="Book Antiqua"/>
        </w:rPr>
      </w:pPr>
      <w:r w:rsidRPr="00AB3E9C">
        <w:rPr>
          <w:rFonts w:ascii="Book Antiqua" w:hAnsi="Book Antiqua"/>
          <w:b/>
        </w:rPr>
        <w:lastRenderedPageBreak/>
        <w:t>Result:</w:t>
      </w:r>
      <w:r w:rsidRPr="00AB3E9C">
        <w:rPr>
          <w:rFonts w:ascii="Book Antiqua" w:hAnsi="Book Antiqua"/>
        </w:rPr>
        <w:t xml:space="preserve"> it reveals the possibility of using plastic waste to make useful products for reuse. Waste items – sachets of Milo, yoghurt and pure water collected were used in designing and developing items such as student bags, dressing, shopping bags, and umbrellas as a creative and innovative antidote for waste management on campuses.</w:t>
      </w:r>
    </w:p>
    <w:p w14:paraId="0CF91FAD" w14:textId="77777777" w:rsidR="008239D5" w:rsidRDefault="008239D5" w:rsidP="009C4B7C">
      <w:pPr>
        <w:jc w:val="both"/>
        <w:rPr>
          <w:rFonts w:ascii="Book Antiqua" w:hAnsi="Book Antiqua"/>
          <w:b/>
        </w:rPr>
      </w:pPr>
    </w:p>
    <w:p w14:paraId="4C40F9F4" w14:textId="77777777" w:rsidR="001545BB" w:rsidRPr="008239D5" w:rsidRDefault="008239D5" w:rsidP="009C4B7C">
      <w:pPr>
        <w:jc w:val="both"/>
        <w:rPr>
          <w:rFonts w:ascii="Book Antiqua" w:hAnsi="Book Antiqua"/>
          <w:b/>
          <w:sz w:val="26"/>
        </w:rPr>
      </w:pPr>
      <w:r w:rsidRPr="008239D5">
        <w:rPr>
          <w:rFonts w:ascii="Book Antiqua" w:hAnsi="Book Antiqua"/>
          <w:b/>
          <w:sz w:val="26"/>
        </w:rPr>
        <w:t xml:space="preserve">Day 3: Thursday, July 4, 2013. </w:t>
      </w:r>
    </w:p>
    <w:p w14:paraId="73C1D1C4" w14:textId="77777777" w:rsidR="001545BB" w:rsidRPr="00AB3E9C" w:rsidRDefault="008239D5" w:rsidP="009C4B7C">
      <w:pPr>
        <w:jc w:val="both"/>
        <w:rPr>
          <w:rFonts w:ascii="Book Antiqua" w:hAnsi="Book Antiqua"/>
          <w:b/>
        </w:rPr>
      </w:pPr>
      <w:r w:rsidRPr="00AB3E9C">
        <w:rPr>
          <w:rFonts w:ascii="Book Antiqua" w:hAnsi="Book Antiqua"/>
          <w:b/>
        </w:rPr>
        <w:t>Venue: Abba Bentil Andam Theatre</w:t>
      </w:r>
    </w:p>
    <w:p w14:paraId="6D993B05" w14:textId="77777777" w:rsidR="001545BB" w:rsidRPr="00AB3E9C" w:rsidRDefault="008239D5" w:rsidP="009C4B7C">
      <w:pPr>
        <w:jc w:val="both"/>
        <w:rPr>
          <w:rFonts w:ascii="Book Antiqua" w:hAnsi="Book Antiqua"/>
          <w:b/>
        </w:rPr>
      </w:pPr>
      <w:r w:rsidRPr="00AB3E9C">
        <w:rPr>
          <w:rFonts w:ascii="Book Antiqua" w:hAnsi="Book Antiqua"/>
          <w:b/>
        </w:rPr>
        <w:t>Technical Session 2</w:t>
      </w:r>
    </w:p>
    <w:p w14:paraId="2A7A2189" w14:textId="77777777" w:rsidR="001545BB" w:rsidRPr="00AB3E9C" w:rsidRDefault="008239D5" w:rsidP="009C4B7C">
      <w:pPr>
        <w:jc w:val="both"/>
        <w:rPr>
          <w:rFonts w:ascii="Book Antiqua" w:hAnsi="Book Antiqua"/>
          <w:b/>
        </w:rPr>
      </w:pPr>
      <w:r w:rsidRPr="00AB3E9C">
        <w:rPr>
          <w:rFonts w:ascii="Book Antiqua" w:hAnsi="Book Antiqua"/>
          <w:b/>
        </w:rPr>
        <w:t xml:space="preserve">Chairman: Dr. Frank Bamfo, </w:t>
      </w:r>
      <w:r>
        <w:rPr>
          <w:rFonts w:ascii="Book Antiqua" w:hAnsi="Book Antiqua"/>
          <w:b/>
        </w:rPr>
        <w:t>Ho</w:t>
      </w:r>
      <w:r w:rsidRPr="00AB3E9C">
        <w:rPr>
          <w:rFonts w:ascii="Book Antiqua" w:hAnsi="Book Antiqua"/>
          <w:b/>
        </w:rPr>
        <w:t xml:space="preserve">D, </w:t>
      </w:r>
      <w:r w:rsidRPr="00C82D87">
        <w:rPr>
          <w:rFonts w:ascii="Book Antiqua" w:hAnsi="Book Antiqua"/>
        </w:rPr>
        <w:t>Marketing Department, Koforidua Polytechnic</w:t>
      </w:r>
    </w:p>
    <w:p w14:paraId="2A653BD8" w14:textId="77777777" w:rsidR="001545BB" w:rsidRPr="00AB3E9C" w:rsidRDefault="005B6A2C"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An Empirical Analysis of the performance of Ghana Stock Exchange and Treasury Bills.</w:t>
      </w:r>
    </w:p>
    <w:p w14:paraId="08B5945B" w14:textId="77777777" w:rsidR="001545BB" w:rsidRPr="00AB3E9C" w:rsidRDefault="005B6A2C" w:rsidP="0054220B">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Samuel Antwi, Eric Kofi Boadi</w:t>
      </w:r>
    </w:p>
    <w:p w14:paraId="39091417" w14:textId="77777777" w:rsidR="001545BB" w:rsidRPr="00AB3E9C" w:rsidRDefault="001545BB" w:rsidP="009C4B7C">
      <w:pPr>
        <w:jc w:val="both"/>
        <w:rPr>
          <w:rFonts w:ascii="Book Antiqua" w:hAnsi="Book Antiqua"/>
        </w:rPr>
      </w:pPr>
      <w:r w:rsidRPr="00AB3E9C">
        <w:rPr>
          <w:rFonts w:ascii="Book Antiqua" w:hAnsi="Book Antiqua"/>
        </w:rPr>
        <w:t>Accountancy Department, Koforidua Polytechnic</w:t>
      </w:r>
    </w:p>
    <w:p w14:paraId="2C549691" w14:textId="77777777" w:rsidR="00A010B6" w:rsidRPr="0054220B" w:rsidRDefault="001545BB" w:rsidP="009C4B7C">
      <w:pPr>
        <w:jc w:val="both"/>
        <w:rPr>
          <w:rFonts w:ascii="Book Antiqua" w:hAnsi="Book Antiqua"/>
        </w:rPr>
      </w:pPr>
      <w:r w:rsidRPr="00AB3E9C">
        <w:rPr>
          <w:rFonts w:ascii="Book Antiqua" w:hAnsi="Book Antiqua"/>
          <w:b/>
        </w:rPr>
        <w:t xml:space="preserve">Aim: </w:t>
      </w:r>
      <w:r w:rsidRPr="00AB3E9C">
        <w:rPr>
          <w:rFonts w:ascii="Book Antiqua" w:hAnsi="Book Antiqua"/>
        </w:rPr>
        <w:t>To investigate the performance of the Ghana Stock Exchange and Treasury bills from 1990 to 2010.</w:t>
      </w:r>
    </w:p>
    <w:p w14:paraId="4420F4D8" w14:textId="77777777" w:rsidR="001545BB"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The paper concludes that investing in Treasury Bills is less risky or risk free whilst that of equity comes with a higher risk. Also, the paper refutes an economic theory and states that Treasury Bills give more returns than investing on the Ghana Stock Exchange through the period under review. This, they attribute to the high inflation rates over the years examined.</w:t>
      </w:r>
    </w:p>
    <w:p w14:paraId="3F5DD6D7" w14:textId="77777777" w:rsidR="0054220B" w:rsidRPr="0054220B" w:rsidRDefault="0054220B" w:rsidP="009C4B7C">
      <w:pPr>
        <w:jc w:val="both"/>
        <w:rPr>
          <w:rFonts w:ascii="Book Antiqua" w:hAnsi="Book Antiqua"/>
        </w:rPr>
      </w:pPr>
    </w:p>
    <w:p w14:paraId="0E07BDD1" w14:textId="77777777" w:rsidR="001545BB" w:rsidRPr="00AB3E9C" w:rsidRDefault="008239D5"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Fabrication of Below Knee Prosthesis for Children Using Wooden Foot</w:t>
      </w:r>
    </w:p>
    <w:p w14:paraId="5A09A7E2" w14:textId="77777777" w:rsidR="001545BB" w:rsidRPr="00AB3E9C" w:rsidRDefault="00C82D87" w:rsidP="00C82D87">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Archibald Danquah- Amoah, Mercy Edusei, Abraham Loplem</w:t>
      </w:r>
      <w:r w:rsidR="00AE5E3C">
        <w:rPr>
          <w:rFonts w:ascii="Book Antiqua" w:hAnsi="Book Antiqua"/>
          <w:b/>
        </w:rPr>
        <w:t xml:space="preserve"> &amp; </w:t>
      </w:r>
      <w:r w:rsidR="001545BB" w:rsidRPr="00AB3E9C">
        <w:rPr>
          <w:rFonts w:ascii="Book Antiqua" w:hAnsi="Book Antiqua"/>
          <w:b/>
        </w:rPr>
        <w:t>Eric Ofori</w:t>
      </w:r>
    </w:p>
    <w:p w14:paraId="3F7A6257" w14:textId="77777777" w:rsidR="001545BB" w:rsidRPr="00AB3E9C" w:rsidRDefault="001545BB" w:rsidP="009C4B7C">
      <w:pPr>
        <w:jc w:val="both"/>
        <w:rPr>
          <w:rFonts w:ascii="Book Antiqua" w:hAnsi="Book Antiqua"/>
        </w:rPr>
      </w:pPr>
      <w:r w:rsidRPr="00AB3E9C">
        <w:rPr>
          <w:rFonts w:ascii="Book Antiqua" w:hAnsi="Book Antiqua"/>
        </w:rPr>
        <w:t>All Nations University College, Koforidua&amp; School of Allied Health Sciences, University of Ghana, Legon.</w:t>
      </w:r>
    </w:p>
    <w:p w14:paraId="551B8A42"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This project is based on children Below Knew Prosthesis (BKP) to provide standing and walking functions as well as to make the appearance attractive. </w:t>
      </w:r>
    </w:p>
    <w:p w14:paraId="1C93D9F9" w14:textId="77777777" w:rsidR="001545BB" w:rsidRPr="0054220B"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The results they obtained from the gait cycle were overall satisfactory and the heel contact was very good as a cushion was used to absorb shock at heel contact.</w:t>
      </w:r>
    </w:p>
    <w:p w14:paraId="6F1DF0AF" w14:textId="77777777" w:rsidR="001545BB" w:rsidRPr="00AB3E9C" w:rsidRDefault="005B6A2C"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Adoption of Virtual Laboratories as a Tool for Enhancing Teaching and Learning of Technical Courses: Case Study of Power System.</w:t>
      </w:r>
    </w:p>
    <w:p w14:paraId="6AA7517F" w14:textId="77777777" w:rsidR="001545BB" w:rsidRPr="00AB3E9C" w:rsidRDefault="005B6A2C" w:rsidP="0054220B">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Amevi Acakpovi, Sylvester Hatsu, Olufemi O. Fatonade &amp; Osei K. Darkwa</w:t>
      </w:r>
    </w:p>
    <w:p w14:paraId="2FEE72F1" w14:textId="77777777" w:rsidR="001545BB" w:rsidRPr="00AB3E9C" w:rsidRDefault="001545BB" w:rsidP="009C4B7C">
      <w:pPr>
        <w:jc w:val="both"/>
        <w:rPr>
          <w:rFonts w:ascii="Book Antiqua" w:hAnsi="Book Antiqua"/>
        </w:rPr>
      </w:pPr>
      <w:r w:rsidRPr="00AB3E9C">
        <w:rPr>
          <w:rFonts w:ascii="Book Antiqua" w:hAnsi="Book Antiqua"/>
        </w:rPr>
        <w:t>Accra Polytechnic: Department of Electrical/ Electronic, Building Technology Department &amp; Ghana Technology University</w:t>
      </w:r>
    </w:p>
    <w:p w14:paraId="69BC606A"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This paper seeks to develop one basic virtual laboratory in Power System on the topic- “Three Phase Asynchronous Motor Speed Control Using PWM”- using MATLAB/ Sim Power Systems toolbox.</w:t>
      </w:r>
    </w:p>
    <w:p w14:paraId="7ACBACAE" w14:textId="77777777" w:rsidR="001545BB" w:rsidRPr="00AB3E9C"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Findings from simulation using Virtual laboratory related closely to that of the physical laboratory and it is found to be cheaper and more flexible.</w:t>
      </w:r>
    </w:p>
    <w:p w14:paraId="72AC77CF" w14:textId="77777777" w:rsidR="001545BB" w:rsidRPr="00AB3E9C" w:rsidRDefault="005B6A2C"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xml:space="preserve">: The Perceptions and Attitudes of Senior High School Students about </w:t>
      </w:r>
      <w:r w:rsidR="001545BB" w:rsidRPr="00AB3E9C">
        <w:rPr>
          <w:rFonts w:ascii="Book Antiqua" w:hAnsi="Book Antiqua"/>
          <w:b/>
        </w:rPr>
        <w:lastRenderedPageBreak/>
        <w:t>Polytechnic Education in Eastern Region, Ghana.</w:t>
      </w:r>
    </w:p>
    <w:p w14:paraId="5D7D2FEA" w14:textId="77777777" w:rsidR="001545BB" w:rsidRPr="00AB3E9C" w:rsidRDefault="005B6A2C" w:rsidP="0054220B">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Samuel Kwabena Ayittah, Yaw Brew &amp; Samuel Addae-Boateng</w:t>
      </w:r>
    </w:p>
    <w:p w14:paraId="26A41D9E" w14:textId="77777777" w:rsidR="001545BB" w:rsidRPr="00AB3E9C" w:rsidRDefault="001545BB" w:rsidP="009C4B7C">
      <w:pPr>
        <w:jc w:val="both"/>
        <w:rPr>
          <w:rFonts w:ascii="Book Antiqua" w:hAnsi="Book Antiqua"/>
        </w:rPr>
      </w:pPr>
      <w:r w:rsidRPr="00AB3E9C">
        <w:rPr>
          <w:rFonts w:ascii="Book Antiqua" w:hAnsi="Book Antiqua"/>
        </w:rPr>
        <w:t>Koforidua Polytechnic, Department of Marketing</w:t>
      </w:r>
    </w:p>
    <w:p w14:paraId="011108AD"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This survey investigates the perceptions and attitudes of Senior High School (SHS) students to Polytechnic education to understand the perception, and attitudes of the average SHS student to Higher National Diploma (HND) concept.</w:t>
      </w:r>
    </w:p>
    <w:p w14:paraId="058672E6" w14:textId="77777777" w:rsidR="001545BB" w:rsidRPr="0054220B"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The study reveals that SHS students have a lot of misconceptions about Polytechnic concept. Strategies are suggested to rebrand Polytechnic education in order that SHS Students’ beliefs, perceptions, and attitudes to it will be more positive.</w:t>
      </w:r>
    </w:p>
    <w:p w14:paraId="11F28ED1" w14:textId="77777777" w:rsidR="005B6A2C" w:rsidRDefault="005B6A2C" w:rsidP="009C4B7C">
      <w:pPr>
        <w:jc w:val="both"/>
        <w:rPr>
          <w:rFonts w:ascii="Book Antiqua" w:hAnsi="Book Antiqua"/>
          <w:b/>
          <w:sz w:val="26"/>
        </w:rPr>
      </w:pPr>
    </w:p>
    <w:p w14:paraId="215D9BD0" w14:textId="77777777" w:rsidR="001545BB" w:rsidRPr="005B6A2C" w:rsidRDefault="005B6A2C" w:rsidP="009C4B7C">
      <w:pPr>
        <w:jc w:val="both"/>
        <w:rPr>
          <w:rFonts w:ascii="Book Antiqua" w:hAnsi="Book Antiqua"/>
          <w:b/>
          <w:sz w:val="26"/>
        </w:rPr>
      </w:pPr>
      <w:r w:rsidRPr="005B6A2C">
        <w:rPr>
          <w:rFonts w:ascii="Book Antiqua" w:hAnsi="Book Antiqua"/>
          <w:b/>
          <w:sz w:val="26"/>
        </w:rPr>
        <w:t>Technical Session 3: Parallel Sessions</w:t>
      </w:r>
    </w:p>
    <w:p w14:paraId="1F2F3165" w14:textId="77777777" w:rsidR="001545BB" w:rsidRPr="00AB3E9C" w:rsidRDefault="005B6A2C" w:rsidP="009C4B7C">
      <w:pPr>
        <w:jc w:val="both"/>
        <w:rPr>
          <w:rFonts w:ascii="Book Antiqua" w:hAnsi="Book Antiqua"/>
          <w:b/>
        </w:rPr>
      </w:pPr>
      <w:r w:rsidRPr="00AB3E9C">
        <w:rPr>
          <w:rFonts w:ascii="Book Antiqua" w:hAnsi="Book Antiqua"/>
          <w:b/>
        </w:rPr>
        <w:t>Business – Abba Bentil Andam Theatre</w:t>
      </w:r>
    </w:p>
    <w:p w14:paraId="7086A989" w14:textId="77777777" w:rsidR="001545BB" w:rsidRPr="00AB3E9C" w:rsidRDefault="005B6A2C" w:rsidP="009C4B7C">
      <w:pPr>
        <w:jc w:val="both"/>
        <w:rPr>
          <w:rFonts w:ascii="Book Antiqua" w:hAnsi="Book Antiqua"/>
          <w:b/>
        </w:rPr>
      </w:pPr>
      <w:r w:rsidRPr="00AB3E9C">
        <w:rPr>
          <w:rFonts w:ascii="Book Antiqua" w:hAnsi="Book Antiqua"/>
          <w:b/>
        </w:rPr>
        <w:t>Chairman: Prof. K. T. Djang-Fordjour, Rector, Sunyani Polytechnic</w:t>
      </w:r>
    </w:p>
    <w:p w14:paraId="7922CF4C" w14:textId="77777777" w:rsidR="001545BB" w:rsidRPr="00AB3E9C" w:rsidRDefault="001545BB" w:rsidP="00196385">
      <w:pPr>
        <w:pStyle w:val="ListParagraph"/>
        <w:numPr>
          <w:ilvl w:val="0"/>
          <w:numId w:val="165"/>
        </w:numPr>
        <w:tabs>
          <w:tab w:val="left" w:pos="0"/>
          <w:tab w:val="left" w:pos="360"/>
        </w:tabs>
        <w:ind w:left="0" w:firstLine="0"/>
        <w:jc w:val="both"/>
        <w:rPr>
          <w:rFonts w:ascii="Book Antiqua" w:hAnsi="Book Antiqua"/>
          <w:b/>
        </w:rPr>
      </w:pPr>
      <w:r w:rsidRPr="00AB3E9C">
        <w:rPr>
          <w:rFonts w:ascii="Book Antiqua" w:hAnsi="Book Antiqua"/>
          <w:b/>
        </w:rPr>
        <w:t>TOPIC</w:t>
      </w:r>
      <w:r w:rsidRPr="00AB3E9C">
        <w:rPr>
          <w:rFonts w:ascii="Book Antiqua" w:hAnsi="Book Antiqua"/>
        </w:rPr>
        <w:t xml:space="preserve">: </w:t>
      </w:r>
      <w:r w:rsidRPr="00AB3E9C">
        <w:rPr>
          <w:rFonts w:ascii="Book Antiqua" w:hAnsi="Book Antiqua"/>
          <w:b/>
        </w:rPr>
        <w:t>Academia and Industry Collaboration: Towards a More Responsive Polytechnic Education in Ghana.</w:t>
      </w:r>
    </w:p>
    <w:p w14:paraId="4777916B" w14:textId="77777777" w:rsidR="001545BB" w:rsidRPr="00AB3E9C" w:rsidRDefault="00856D42" w:rsidP="0054220B">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Dr. Smile Dzisi, Benjamin Kwofie &amp; Elizabeth Addy</w:t>
      </w:r>
    </w:p>
    <w:p w14:paraId="5112849F" w14:textId="77777777" w:rsidR="001545BB" w:rsidRPr="00AB3E9C" w:rsidRDefault="001545BB" w:rsidP="009C4B7C">
      <w:pPr>
        <w:jc w:val="both"/>
        <w:rPr>
          <w:rFonts w:ascii="Book Antiqua" w:hAnsi="Book Antiqua"/>
        </w:rPr>
      </w:pPr>
      <w:r w:rsidRPr="00AB3E9C">
        <w:rPr>
          <w:rFonts w:ascii="Book Antiqua" w:hAnsi="Book Antiqua"/>
        </w:rPr>
        <w:t>Koforidua Polytechnic, Koforidua</w:t>
      </w:r>
    </w:p>
    <w:p w14:paraId="4E769DEE"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This study explores the nature of collaboration that exists between polytechnics in Ghana and industry, the challenges associated with such </w:t>
      </w:r>
      <w:r w:rsidRPr="00AB3E9C">
        <w:rPr>
          <w:rFonts w:ascii="Book Antiqua" w:hAnsi="Book Antiqua"/>
        </w:rPr>
        <w:t>collaborations and the expectations from the polytechnics and industry.</w:t>
      </w:r>
    </w:p>
    <w:p w14:paraId="379588F4" w14:textId="77777777" w:rsidR="00A010B6" w:rsidRPr="00A010B6"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Findings reveal that although diverse forms of collaborations exist between polytechnics and industry, they occur at a minimal level. Also, it comes up that industry does not really know about the polytechnics.</w:t>
      </w:r>
    </w:p>
    <w:p w14:paraId="7EB3DC24" w14:textId="77777777" w:rsidR="001545BB" w:rsidRPr="00AB3E9C" w:rsidRDefault="005B6A2C"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Banks and Customer Service Delivery: Alternative and Retaining Customers in the Ghanaian Banking Sector</w:t>
      </w:r>
    </w:p>
    <w:p w14:paraId="551159AC" w14:textId="77777777" w:rsidR="001545BB" w:rsidRPr="00AB3E9C" w:rsidRDefault="005B6A2C" w:rsidP="0054220B">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Wilson Edzorna Dzisah &amp; Choniel Elikem Ocloo</w:t>
      </w:r>
    </w:p>
    <w:p w14:paraId="15A9FA6C" w14:textId="77777777" w:rsidR="001545BB" w:rsidRPr="00AB3E9C" w:rsidRDefault="001545BB" w:rsidP="009C4B7C">
      <w:pPr>
        <w:jc w:val="both"/>
        <w:rPr>
          <w:rFonts w:ascii="Book Antiqua" w:hAnsi="Book Antiqua"/>
        </w:rPr>
      </w:pPr>
      <w:r w:rsidRPr="00AB3E9C">
        <w:rPr>
          <w:rFonts w:ascii="Book Antiqua" w:hAnsi="Book Antiqua"/>
        </w:rPr>
        <w:t>Accra Polytechnic, Department of Marketing</w:t>
      </w:r>
    </w:p>
    <w:p w14:paraId="34F8BA08" w14:textId="77777777" w:rsidR="001545BB" w:rsidRPr="00AB3E9C" w:rsidRDefault="001545BB" w:rsidP="009C4B7C">
      <w:pPr>
        <w:jc w:val="both"/>
        <w:rPr>
          <w:rFonts w:ascii="Book Antiqua" w:hAnsi="Book Antiqua"/>
          <w:b/>
        </w:rPr>
      </w:pPr>
      <w:r w:rsidRPr="00AB3E9C">
        <w:rPr>
          <w:rFonts w:ascii="Book Antiqua" w:hAnsi="Book Antiqua"/>
          <w:b/>
        </w:rPr>
        <w:t xml:space="preserve">Aim: </w:t>
      </w:r>
      <w:r w:rsidRPr="00AB3E9C">
        <w:rPr>
          <w:rFonts w:ascii="Book Antiqua" w:hAnsi="Book Antiqua"/>
        </w:rPr>
        <w:t>This study explores issues relating to making customer service effective as one important area of competitive advantage for banks within the financial sector.</w:t>
      </w:r>
    </w:p>
    <w:p w14:paraId="4505929B" w14:textId="77777777" w:rsidR="00856D42" w:rsidRPr="00AB3E9C" w:rsidRDefault="001545BB" w:rsidP="009C4B7C">
      <w:pPr>
        <w:jc w:val="both"/>
        <w:rPr>
          <w:rFonts w:ascii="Book Antiqua" w:hAnsi="Book Antiqua"/>
        </w:rPr>
      </w:pPr>
      <w:r w:rsidRPr="00AB3E9C">
        <w:rPr>
          <w:rFonts w:ascii="Book Antiqua" w:hAnsi="Book Antiqua"/>
          <w:b/>
        </w:rPr>
        <w:t xml:space="preserve">Result: </w:t>
      </w:r>
      <w:r w:rsidRPr="00AB3E9C">
        <w:rPr>
          <w:rFonts w:ascii="Book Antiqua" w:hAnsi="Book Antiqua"/>
        </w:rPr>
        <w:t>The results show three main issues confronting the banks. 1. Provision of quick and efficient service, 2. Ability of the staff to resolve problems 3.Privacy of customers in the process. It also shows there is effective complaint system in place with frontline staff tracking customer complaints and the branch and customer service managers enforcing their resolutions. The study also shows that notable positive development has led to customer attraction and retention.</w:t>
      </w:r>
    </w:p>
    <w:p w14:paraId="01D62C03" w14:textId="77777777" w:rsidR="001545BB" w:rsidRPr="00AB3E9C" w:rsidRDefault="00856D42"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An Investigation of Hotel Internet Marketing Strategies in Ghana</w:t>
      </w:r>
    </w:p>
    <w:p w14:paraId="1063318E" w14:textId="77777777" w:rsidR="001545BB" w:rsidRPr="00AB3E9C" w:rsidRDefault="00856D42" w:rsidP="00824DE5">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Charles Kofi Ogbey &amp; Paul Deladem Koku</w:t>
      </w:r>
    </w:p>
    <w:p w14:paraId="4870CC7C" w14:textId="77777777" w:rsidR="001545BB" w:rsidRPr="00AB3E9C" w:rsidRDefault="001545BB" w:rsidP="009C4B7C">
      <w:pPr>
        <w:jc w:val="both"/>
        <w:rPr>
          <w:rFonts w:ascii="Book Antiqua" w:hAnsi="Book Antiqua"/>
        </w:rPr>
      </w:pPr>
      <w:r w:rsidRPr="00AB3E9C">
        <w:rPr>
          <w:rFonts w:ascii="Book Antiqua" w:hAnsi="Book Antiqua"/>
        </w:rPr>
        <w:t>Ho, Polytechnic, Department of Management Studies.</w:t>
      </w:r>
    </w:p>
    <w:p w14:paraId="2A618EDC" w14:textId="77777777" w:rsidR="001545BB" w:rsidRPr="00AB3E9C" w:rsidRDefault="001545BB" w:rsidP="009C4B7C">
      <w:pPr>
        <w:jc w:val="both"/>
        <w:rPr>
          <w:rFonts w:ascii="Book Antiqua" w:hAnsi="Book Antiqua"/>
        </w:rPr>
      </w:pPr>
      <w:r w:rsidRPr="00AB3E9C">
        <w:rPr>
          <w:rFonts w:ascii="Book Antiqua" w:hAnsi="Book Antiqua"/>
          <w:b/>
        </w:rPr>
        <w:lastRenderedPageBreak/>
        <w:t>Aim</w:t>
      </w:r>
      <w:r w:rsidRPr="00AB3E9C">
        <w:rPr>
          <w:rFonts w:ascii="Book Antiqua" w:hAnsi="Book Antiqua"/>
        </w:rPr>
        <w:t>: The paper examines the Internet Marketing strategies in the hotel industry.</w:t>
      </w:r>
    </w:p>
    <w:p w14:paraId="7BB25147" w14:textId="77777777" w:rsidR="001545BB" w:rsidRPr="00AB3E9C"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The results indicate that Hotels in Ghana have developed their marketing strategies along five internet marketing mix dimension with the place and product having been fully developed but on the other hand, the degrees of transformation was generally low.</w:t>
      </w:r>
    </w:p>
    <w:p w14:paraId="02E51C50" w14:textId="77777777" w:rsidR="001545BB" w:rsidRPr="00AB3E9C" w:rsidRDefault="00856D42" w:rsidP="00196385">
      <w:pPr>
        <w:pStyle w:val="ListParagraph"/>
        <w:numPr>
          <w:ilvl w:val="0"/>
          <w:numId w:val="165"/>
        </w:numPr>
        <w:tabs>
          <w:tab w:val="left" w:pos="360"/>
        </w:tabs>
        <w:ind w:left="0" w:firstLine="0"/>
        <w:jc w:val="both"/>
        <w:rPr>
          <w:rFonts w:ascii="Book Antiqua" w:hAnsi="Book Antiqua"/>
        </w:rPr>
      </w:pPr>
      <w:r w:rsidRPr="00AB3E9C">
        <w:rPr>
          <w:rFonts w:ascii="Book Antiqua" w:hAnsi="Book Antiqua"/>
          <w:b/>
        </w:rPr>
        <w:t>Topic</w:t>
      </w:r>
      <w:r w:rsidR="001545BB" w:rsidRPr="00AB3E9C">
        <w:rPr>
          <w:rFonts w:ascii="Book Antiqua" w:hAnsi="Book Antiqua"/>
          <w:b/>
        </w:rPr>
        <w:t xml:space="preserve">: </w:t>
      </w:r>
      <w:r w:rsidR="001545BB" w:rsidRPr="00824DE5">
        <w:rPr>
          <w:rFonts w:ascii="Book Antiqua" w:hAnsi="Book Antiqua"/>
          <w:b/>
        </w:rPr>
        <w:t>Corporate Social Responsibility in Ghana: A Comparative Analysis and Business Imperative</w:t>
      </w:r>
      <w:r w:rsidR="001545BB" w:rsidRPr="00AB3E9C">
        <w:rPr>
          <w:rFonts w:ascii="Book Antiqua" w:hAnsi="Book Antiqua"/>
        </w:rPr>
        <w:t>.</w:t>
      </w:r>
    </w:p>
    <w:p w14:paraId="2A7BE4EF" w14:textId="77777777" w:rsidR="001545BB" w:rsidRPr="00AB3E9C" w:rsidRDefault="00856D42" w:rsidP="009C4B7C">
      <w:pPr>
        <w:jc w:val="both"/>
        <w:rPr>
          <w:rFonts w:ascii="Book Antiqua" w:hAnsi="Book Antiqua"/>
          <w:b/>
        </w:rPr>
      </w:pPr>
      <w:r w:rsidRPr="00AB3E9C">
        <w:rPr>
          <w:rFonts w:ascii="Book Antiqua" w:hAnsi="Book Antiqua"/>
          <w:b/>
        </w:rPr>
        <w:t>Presenters</w:t>
      </w:r>
      <w:r w:rsidR="001545BB" w:rsidRPr="00AB3E9C">
        <w:rPr>
          <w:rFonts w:ascii="Book Antiqua" w:hAnsi="Book Antiqua"/>
          <w:b/>
        </w:rPr>
        <w:t>: Matin Owusu Ansah, Adventist Senior High School, Kumasi</w:t>
      </w:r>
    </w:p>
    <w:p w14:paraId="6E0A5D52" w14:textId="77777777" w:rsidR="00744E22" w:rsidRDefault="001545BB" w:rsidP="009C4B7C">
      <w:pPr>
        <w:jc w:val="both"/>
        <w:rPr>
          <w:rFonts w:ascii="Book Antiqua" w:hAnsi="Book Antiqua"/>
        </w:rPr>
      </w:pPr>
      <w:r w:rsidRPr="00AB3E9C">
        <w:rPr>
          <w:rFonts w:ascii="Book Antiqua" w:hAnsi="Book Antiqua"/>
          <w:b/>
        </w:rPr>
        <w:t xml:space="preserve">Aim: </w:t>
      </w:r>
      <w:r w:rsidRPr="00AB3E9C">
        <w:rPr>
          <w:rFonts w:ascii="Book Antiqua" w:hAnsi="Book Antiqua"/>
        </w:rPr>
        <w:t>This paper seeks to examine the</w:t>
      </w:r>
    </w:p>
    <w:p w14:paraId="1EAB01FC" w14:textId="77777777" w:rsidR="001545BB" w:rsidRPr="00AB3E9C" w:rsidRDefault="00744E22" w:rsidP="009C4B7C">
      <w:pPr>
        <w:jc w:val="both"/>
        <w:rPr>
          <w:rFonts w:ascii="Book Antiqua" w:hAnsi="Book Antiqua"/>
        </w:rPr>
      </w:pPr>
      <w:r>
        <w:rPr>
          <w:rFonts w:ascii="Book Antiqua" w:hAnsi="Book Antiqua"/>
        </w:rPr>
        <w:t>+</w:t>
      </w:r>
      <w:r w:rsidR="001545BB" w:rsidRPr="00AB3E9C">
        <w:rPr>
          <w:rFonts w:ascii="Book Antiqua" w:hAnsi="Book Antiqua"/>
        </w:rPr>
        <w:t xml:space="preserve"> CSR policies of five companies in Ghana and the associated benefits enjoyed by Ghanaian. The paper aims at determining the nature an impact – present and potential – of the selected companies’ CSR policies in Ghana and examined the assumptions behind the practice of CSR among the chosen companies.</w:t>
      </w:r>
    </w:p>
    <w:p w14:paraId="2177E94E" w14:textId="77777777" w:rsidR="001545BB" w:rsidRPr="00AB3E9C" w:rsidRDefault="001545BB" w:rsidP="009C4B7C">
      <w:pPr>
        <w:jc w:val="both"/>
        <w:rPr>
          <w:rFonts w:ascii="Book Antiqua" w:hAnsi="Book Antiqua"/>
        </w:rPr>
      </w:pPr>
      <w:r w:rsidRPr="00AB3E9C">
        <w:rPr>
          <w:rFonts w:ascii="Book Antiqua" w:hAnsi="Book Antiqua"/>
          <w:b/>
        </w:rPr>
        <w:t xml:space="preserve">Result: </w:t>
      </w:r>
      <w:r w:rsidRPr="00AB3E9C">
        <w:rPr>
          <w:rFonts w:ascii="Book Antiqua" w:hAnsi="Book Antiqua"/>
        </w:rPr>
        <w:t>The result shows that CSR programmes were community-focus initiatives, and income generated activities. Companies also practice CSR for economic benefits due to stakeholder pressure and also as a policy of the organizations. Law on CSR is hereby recommended.</w:t>
      </w:r>
    </w:p>
    <w:p w14:paraId="103E1720" w14:textId="77777777" w:rsidR="001545BB" w:rsidRPr="00AB3E9C" w:rsidRDefault="00856D42"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Marketing Channels and Channel Strategies: A case study of Coca Cola in Tamale.</w:t>
      </w:r>
    </w:p>
    <w:p w14:paraId="3909EC89" w14:textId="77777777" w:rsidR="001545BB" w:rsidRPr="00AB3E9C" w:rsidRDefault="00856D42" w:rsidP="00824DE5">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Abubakari Abdul Razak&amp; Mohammed Jamal</w:t>
      </w:r>
    </w:p>
    <w:p w14:paraId="4CC4094D" w14:textId="77777777" w:rsidR="001545BB" w:rsidRPr="00AB3E9C" w:rsidRDefault="001545BB" w:rsidP="009C4B7C">
      <w:pPr>
        <w:jc w:val="both"/>
        <w:rPr>
          <w:rFonts w:ascii="Book Antiqua" w:hAnsi="Book Antiqua"/>
        </w:rPr>
      </w:pPr>
      <w:r w:rsidRPr="00AB3E9C">
        <w:rPr>
          <w:rFonts w:ascii="Book Antiqua" w:hAnsi="Book Antiqua"/>
        </w:rPr>
        <w:t>Tamale Polytechnic &amp; Koforidua Polytechnic</w:t>
      </w:r>
    </w:p>
    <w:p w14:paraId="17A5BE65"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The paper evaluates the effectiveness of channel structure, channel strategies and economic efficiency of Coca Cola Ghana Ltd in Tamale Metropolis.</w:t>
      </w:r>
    </w:p>
    <w:p w14:paraId="4C85DFFD" w14:textId="77777777" w:rsidR="001545BB" w:rsidRPr="00AB3E9C"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The study reveals that all the channel members have been effectively carrying out their roles and the channel strategies adopted by Coca Cola is very effective. However it is recommended that monitoring should be intensified.</w:t>
      </w:r>
    </w:p>
    <w:p w14:paraId="46EEC8B2" w14:textId="77777777" w:rsidR="001545BB" w:rsidRPr="00AB3E9C" w:rsidRDefault="00856D42"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Evaluation of Leadership Styles of Executives and their Influence on Employees’ Work Interest.</w:t>
      </w:r>
    </w:p>
    <w:p w14:paraId="5196420F" w14:textId="77777777" w:rsidR="001545BB" w:rsidRPr="00AB3E9C" w:rsidRDefault="00856D42" w:rsidP="00824DE5">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Abubakari Abdul Razak &amp; Mohammed Jamal</w:t>
      </w:r>
    </w:p>
    <w:p w14:paraId="0C711AC9" w14:textId="77777777" w:rsidR="001545BB" w:rsidRPr="00AB3E9C" w:rsidRDefault="001545BB" w:rsidP="009C4B7C">
      <w:pPr>
        <w:jc w:val="both"/>
        <w:rPr>
          <w:rFonts w:ascii="Book Antiqua" w:hAnsi="Book Antiqua"/>
        </w:rPr>
      </w:pPr>
      <w:r w:rsidRPr="00AB3E9C">
        <w:rPr>
          <w:rFonts w:ascii="Book Antiqua" w:hAnsi="Book Antiqua"/>
        </w:rPr>
        <w:t>Tamale Polytechnic &amp; Koforidua Polytechnic</w:t>
      </w:r>
    </w:p>
    <w:p w14:paraId="6A1D429F"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This paper evaluates the leadership styles of executives their influence on the employees’ work interest and output.</w:t>
      </w:r>
    </w:p>
    <w:p w14:paraId="7F91B10A" w14:textId="77777777" w:rsidR="008F6BC9" w:rsidRPr="00AB3E9C"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The most dominant leadership style among the executives is democratic style. Further, the leadership circumstance, the nature of work, the emotions of team members and the leaders’ personality are among the key factors that influence effective leadership and enhance employees’ work interest. It is therefore recommended that appropriate mix of leadership style is required to elicit work interest among employees.</w:t>
      </w:r>
    </w:p>
    <w:p w14:paraId="1341C053" w14:textId="77777777" w:rsidR="001545BB" w:rsidRPr="00AB3E9C" w:rsidRDefault="00856D42"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Integrity of Academic Record: Institutional Responsibility</w:t>
      </w:r>
    </w:p>
    <w:p w14:paraId="5C7BF503" w14:textId="77777777" w:rsidR="001545BB" w:rsidRPr="00AB3E9C" w:rsidRDefault="00856D42" w:rsidP="001101E8">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Dinah Serwaa Amankwah, Claressa Kyei-Akuoko &amp; Kenneth Amoah.</w:t>
      </w:r>
    </w:p>
    <w:p w14:paraId="1A734B29" w14:textId="77777777" w:rsidR="001545BB" w:rsidRPr="00AB3E9C" w:rsidRDefault="001545BB" w:rsidP="009C4B7C">
      <w:pPr>
        <w:jc w:val="both"/>
        <w:rPr>
          <w:rFonts w:ascii="Book Antiqua" w:hAnsi="Book Antiqua"/>
        </w:rPr>
      </w:pPr>
      <w:r w:rsidRPr="00AB3E9C">
        <w:rPr>
          <w:rFonts w:ascii="Book Antiqua" w:hAnsi="Book Antiqua"/>
        </w:rPr>
        <w:t>Takoradi Polytechnic, Takoradi</w:t>
      </w:r>
    </w:p>
    <w:p w14:paraId="541719EB" w14:textId="77777777" w:rsidR="001545BB" w:rsidRPr="00AB3E9C" w:rsidRDefault="001545BB" w:rsidP="009C4B7C">
      <w:pPr>
        <w:jc w:val="both"/>
        <w:rPr>
          <w:rFonts w:ascii="Book Antiqua" w:hAnsi="Book Antiqua"/>
        </w:rPr>
      </w:pPr>
      <w:r w:rsidRPr="00AB3E9C">
        <w:rPr>
          <w:rFonts w:ascii="Book Antiqua" w:hAnsi="Book Antiqua"/>
          <w:b/>
        </w:rPr>
        <w:lastRenderedPageBreak/>
        <w:t>Aim:</w:t>
      </w:r>
      <w:r w:rsidRPr="00AB3E9C">
        <w:rPr>
          <w:rFonts w:ascii="Book Antiqua" w:hAnsi="Book Antiqua"/>
        </w:rPr>
        <w:t xml:space="preserve"> This project monitors the application processes for Academic Transcript and Letter of Attestation in a tertiary institution to ascertain the authenticity of the applications, security involved in releasing the documents.</w:t>
      </w:r>
    </w:p>
    <w:p w14:paraId="154A24CA" w14:textId="77777777" w:rsidR="001545BB" w:rsidRPr="001101E8" w:rsidRDefault="001545BB" w:rsidP="009C4B7C">
      <w:pPr>
        <w:jc w:val="both"/>
        <w:rPr>
          <w:rFonts w:ascii="Book Antiqua" w:hAnsi="Book Antiqua"/>
        </w:rPr>
      </w:pPr>
      <w:r w:rsidRPr="00AB3E9C">
        <w:rPr>
          <w:rFonts w:ascii="Book Antiqua" w:hAnsi="Book Antiqua"/>
          <w:b/>
        </w:rPr>
        <w:t xml:space="preserve">Result: </w:t>
      </w:r>
      <w:r w:rsidRPr="00AB3E9C">
        <w:rPr>
          <w:rFonts w:ascii="Book Antiqua" w:hAnsi="Book Antiqua"/>
        </w:rPr>
        <w:t>There are grave lapses in security measures regarding processing and releasing of academic information. It is recommended that institutions should maximize efforts to protect the integrity of academic records.</w:t>
      </w:r>
    </w:p>
    <w:p w14:paraId="587219BF" w14:textId="77777777" w:rsidR="00856D42" w:rsidRDefault="00856D42" w:rsidP="009C4B7C">
      <w:pPr>
        <w:jc w:val="both"/>
        <w:rPr>
          <w:rFonts w:ascii="Book Antiqua" w:hAnsi="Book Antiqua"/>
          <w:b/>
        </w:rPr>
      </w:pPr>
    </w:p>
    <w:p w14:paraId="2C528F5A" w14:textId="77777777" w:rsidR="001545BB" w:rsidRPr="00856D42" w:rsidRDefault="00856D42" w:rsidP="009C4B7C">
      <w:pPr>
        <w:jc w:val="both"/>
        <w:rPr>
          <w:rFonts w:ascii="Book Antiqua" w:hAnsi="Book Antiqua"/>
          <w:b/>
          <w:sz w:val="26"/>
        </w:rPr>
      </w:pPr>
      <w:r w:rsidRPr="00856D42">
        <w:rPr>
          <w:rFonts w:ascii="Book Antiqua" w:hAnsi="Book Antiqua"/>
          <w:b/>
          <w:sz w:val="26"/>
        </w:rPr>
        <w:t>Technical Session 3: Computer Lab 1</w:t>
      </w:r>
    </w:p>
    <w:p w14:paraId="765236CD" w14:textId="77777777" w:rsidR="001545BB" w:rsidRPr="00AB3E9C" w:rsidRDefault="00856D42" w:rsidP="009C4B7C">
      <w:pPr>
        <w:jc w:val="both"/>
        <w:rPr>
          <w:rFonts w:ascii="Book Antiqua" w:hAnsi="Book Antiqua"/>
          <w:b/>
        </w:rPr>
      </w:pPr>
      <w:r w:rsidRPr="00AB3E9C">
        <w:rPr>
          <w:rFonts w:ascii="Book Antiqua" w:hAnsi="Book Antiqua"/>
          <w:b/>
        </w:rPr>
        <w:t>Chairman: Dr. Abdulai Salifu Asuro, Rector- Tamale Polytechnic</w:t>
      </w:r>
    </w:p>
    <w:p w14:paraId="4B0D3EC6" w14:textId="77777777" w:rsidR="001545BB" w:rsidRPr="00AB3E9C" w:rsidRDefault="008B6D73"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Food Safety Practices among Kitchen Staff in Selected Senior High Schools in Ho Township.</w:t>
      </w:r>
    </w:p>
    <w:p w14:paraId="562E05C6" w14:textId="77777777" w:rsidR="008B6D73" w:rsidRDefault="008B6D73" w:rsidP="008B6D73">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Esther Theresa Appaw-Agbola &amp; Otilia Abra Adzinyo,</w:t>
      </w:r>
    </w:p>
    <w:p w14:paraId="3EA06096" w14:textId="77777777" w:rsidR="001545BB" w:rsidRPr="008B6D73" w:rsidRDefault="001545BB" w:rsidP="009C4B7C">
      <w:pPr>
        <w:jc w:val="both"/>
        <w:rPr>
          <w:rFonts w:ascii="Book Antiqua" w:hAnsi="Book Antiqua"/>
          <w:b/>
        </w:rPr>
      </w:pPr>
      <w:r w:rsidRPr="00AB3E9C">
        <w:rPr>
          <w:rFonts w:ascii="Book Antiqua" w:hAnsi="Book Antiqua"/>
        </w:rPr>
        <w:t>Faculty of Applied Sciences, Ho Polytechnic, Ho</w:t>
      </w:r>
    </w:p>
    <w:p w14:paraId="29A6244C"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The study attempts to examine food safety practices among kitchen staff in selected Senior High Schools in Ho Township.</w:t>
      </w:r>
    </w:p>
    <w:p w14:paraId="65CB4E39" w14:textId="77777777" w:rsidR="001545BB" w:rsidRPr="00AB3E9C"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It is made evident that most of the cooks do not have formal training or some level of training for which reason they have very little knowledge of food safety practices. This has led to unsafe practices of defrosting frozen items as well as regulation of refrigerators or freezers thus causing damages to foodstuffs. Importantly, the study shows that students’ health may be at risk because </w:t>
      </w:r>
      <w:r w:rsidRPr="00AB3E9C">
        <w:rPr>
          <w:rFonts w:ascii="Book Antiqua" w:hAnsi="Book Antiqua"/>
        </w:rPr>
        <w:t>some of the matrons and the few cooks in the school kitchen lack some important aspects of food safety practices. They therefore suggest support for these matrons and cooks through training and routine inspection to ensure that appropriate knowledge in food safety is acquired and effectively applied.</w:t>
      </w:r>
    </w:p>
    <w:p w14:paraId="4384E003" w14:textId="77777777" w:rsidR="001545BB" w:rsidRPr="00AB3E9C" w:rsidRDefault="00856D42"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Triploid Induction in the Local Catfish (</w:t>
      </w:r>
      <w:r w:rsidR="001545BB" w:rsidRPr="00AB3E9C">
        <w:rPr>
          <w:rFonts w:ascii="Book Antiqua" w:hAnsi="Book Antiqua"/>
          <w:b/>
          <w:i/>
        </w:rPr>
        <w:t>Heterobranchus Isopterous</w:t>
      </w:r>
      <w:r w:rsidR="001545BB" w:rsidRPr="00AB3E9C">
        <w:rPr>
          <w:rFonts w:ascii="Book Antiqua" w:hAnsi="Book Antiqua"/>
          <w:b/>
        </w:rPr>
        <w:t>) Using Temperature Shock Treatment.</w:t>
      </w:r>
    </w:p>
    <w:p w14:paraId="5B929DDE" w14:textId="77777777" w:rsidR="001545BB" w:rsidRPr="00AB3E9C" w:rsidRDefault="00856D42" w:rsidP="009C4B7C">
      <w:pPr>
        <w:jc w:val="both"/>
        <w:rPr>
          <w:rFonts w:ascii="Book Antiqua" w:hAnsi="Book Antiqua"/>
        </w:rPr>
      </w:pPr>
      <w:r w:rsidRPr="00AB3E9C">
        <w:rPr>
          <w:rFonts w:ascii="Book Antiqua" w:hAnsi="Book Antiqua"/>
          <w:b/>
        </w:rPr>
        <w:t>Presenters</w:t>
      </w:r>
      <w:r w:rsidR="001545BB" w:rsidRPr="00AB3E9C">
        <w:rPr>
          <w:rFonts w:ascii="Book Antiqua" w:hAnsi="Book Antiqua"/>
          <w:b/>
        </w:rPr>
        <w:t>:</w:t>
      </w:r>
      <w:r w:rsidR="001545BB" w:rsidRPr="00AB3E9C">
        <w:rPr>
          <w:rFonts w:ascii="Book Antiqua" w:hAnsi="Book Antiqua"/>
        </w:rPr>
        <w:t xml:space="preserve"> Stephen Tsike, Emmanuel Okoh Agyeman &amp; Divine Atsu, Department of Renewable Energy Systems Engineering, Koforidua Polytechnic.</w:t>
      </w:r>
    </w:p>
    <w:p w14:paraId="22BF3221"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To carry out artificial insemination of female catfish, and then induce triploid in the fish. Another objective is to investigate the optimum temperature range within which the highest triploid induction could be obtained and at the same time obtaining the highest number of eggs hatching which is dependent on fish species.</w:t>
      </w:r>
    </w:p>
    <w:p w14:paraId="1BF2E5B8" w14:textId="77777777" w:rsidR="001545BB"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it shows that no or very low hatching of eggs were recorded when heat treatment was applied and Cold Shock temperature of 11 Degrees Celsius recorded the highest hatching of eggs. An effective collaboration of research institutions with the Fisheries Department of the Ministry of Fisheries in future studies is recommended for the sustenance of aquaculture development in Ghana.</w:t>
      </w:r>
    </w:p>
    <w:p w14:paraId="5063937E" w14:textId="77777777" w:rsidR="007668E0" w:rsidRDefault="007668E0" w:rsidP="009C4B7C">
      <w:pPr>
        <w:jc w:val="both"/>
        <w:rPr>
          <w:rFonts w:ascii="Book Antiqua" w:hAnsi="Book Antiqua"/>
        </w:rPr>
      </w:pPr>
    </w:p>
    <w:p w14:paraId="171E25D6" w14:textId="77777777" w:rsidR="007668E0" w:rsidRPr="00AB3E9C" w:rsidRDefault="007668E0" w:rsidP="009C4B7C">
      <w:pPr>
        <w:jc w:val="both"/>
        <w:rPr>
          <w:rFonts w:ascii="Book Antiqua" w:hAnsi="Book Antiqua"/>
        </w:rPr>
      </w:pPr>
    </w:p>
    <w:p w14:paraId="7A9E4D25" w14:textId="77777777" w:rsidR="001545BB" w:rsidRPr="00AB3E9C" w:rsidRDefault="008B6D73"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lastRenderedPageBreak/>
        <w:t>Topic</w:t>
      </w:r>
      <w:r w:rsidR="001545BB" w:rsidRPr="00AB3E9C">
        <w:rPr>
          <w:rFonts w:ascii="Book Antiqua" w:hAnsi="Book Antiqua"/>
          <w:b/>
        </w:rPr>
        <w:t>:  HIV/AIDS Related Knowledge, Attitude and Sexual Behaviours of Students of a Tertiary Institution in Ghana.</w:t>
      </w:r>
    </w:p>
    <w:p w14:paraId="26026C72" w14:textId="77777777" w:rsidR="001545BB" w:rsidRPr="00AB3E9C" w:rsidRDefault="008B6D73" w:rsidP="009C4B7C">
      <w:pPr>
        <w:jc w:val="both"/>
        <w:rPr>
          <w:rFonts w:ascii="Book Antiqua" w:hAnsi="Book Antiqua"/>
        </w:rPr>
      </w:pPr>
      <w:r w:rsidRPr="00AB3E9C">
        <w:rPr>
          <w:rFonts w:ascii="Book Antiqua" w:hAnsi="Book Antiqua"/>
          <w:b/>
        </w:rPr>
        <w:t>Presenters</w:t>
      </w:r>
      <w:r w:rsidR="001545BB" w:rsidRPr="00AB3E9C">
        <w:rPr>
          <w:rFonts w:ascii="Book Antiqua" w:hAnsi="Book Antiqua"/>
          <w:b/>
        </w:rPr>
        <w:t>: Akua Afriyie Abruquah &amp; Daniel Solaga, Department of Pharmaceutical</w:t>
      </w:r>
      <w:r w:rsidR="001545BB" w:rsidRPr="00AB3E9C">
        <w:rPr>
          <w:rFonts w:ascii="Book Antiqua" w:hAnsi="Book Antiqua"/>
        </w:rPr>
        <w:t xml:space="preserve"> Sciences, Kumasi Polytechnic, Kumasi.</w:t>
      </w:r>
    </w:p>
    <w:p w14:paraId="46070963"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to assess the knowledge, attitude and sexual behaviour of students of a tertiary institution in Ghana in relation to HIV/ AIDS. </w:t>
      </w:r>
    </w:p>
    <w:p w14:paraId="16FFE8BE" w14:textId="77777777" w:rsidR="001545BB" w:rsidRPr="00AB3E9C"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shows that although knowledge level seemed quite high, misconceptions about modes of disease transmission and intolerant attitude towards HIV/AIDS infected people were common. There is a recommendation that strategies for HIV/AIDS prevention be emphasized more in tertiary institutions.</w:t>
      </w:r>
    </w:p>
    <w:p w14:paraId="72908954" w14:textId="77777777" w:rsidR="001545BB" w:rsidRPr="00AB3E9C" w:rsidRDefault="008B6D73"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Probability Modeling and Simulation of Insurance Claim</w:t>
      </w:r>
    </w:p>
    <w:p w14:paraId="2DF14038" w14:textId="77777777" w:rsidR="001545BB" w:rsidRPr="00AB3E9C" w:rsidRDefault="008B6D73" w:rsidP="008B6D73">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xml:space="preserve">: Elvis Dady, Godfred Kwame Abledu &amp; Agbodah Kobina, </w:t>
      </w:r>
    </w:p>
    <w:p w14:paraId="1B3982FB" w14:textId="77777777" w:rsidR="001545BB" w:rsidRPr="00AB3E9C" w:rsidRDefault="001545BB" w:rsidP="009C4B7C">
      <w:pPr>
        <w:jc w:val="both"/>
        <w:rPr>
          <w:rFonts w:ascii="Book Antiqua" w:hAnsi="Book Antiqua"/>
        </w:rPr>
      </w:pPr>
      <w:r w:rsidRPr="00AB3E9C">
        <w:rPr>
          <w:rFonts w:ascii="Book Antiqua" w:hAnsi="Book Antiqua"/>
        </w:rPr>
        <w:t>Koforidua Polytechnic</w:t>
      </w:r>
    </w:p>
    <w:p w14:paraId="08629A79" w14:textId="77777777" w:rsidR="001545BB" w:rsidRPr="00AB3E9C" w:rsidRDefault="001545BB" w:rsidP="009C4B7C">
      <w:pPr>
        <w:jc w:val="both"/>
        <w:rPr>
          <w:rFonts w:ascii="Book Antiqua" w:hAnsi="Book Antiqua"/>
        </w:rPr>
      </w:pPr>
      <w:r w:rsidRPr="00AB3E9C">
        <w:rPr>
          <w:rFonts w:ascii="Book Antiqua" w:hAnsi="Book Antiqua"/>
          <w:b/>
        </w:rPr>
        <w:t xml:space="preserve">Aim: </w:t>
      </w:r>
      <w:r w:rsidRPr="00AB3E9C">
        <w:rPr>
          <w:rFonts w:ascii="Book Antiqua" w:hAnsi="Book Antiqua"/>
        </w:rPr>
        <w:t>To investigate the probability distributions that best fit a number of insurance claims. It compares the Poisson distribution and the negative binomial distribution models to determine which distribution best fits insurance claim data obtained from tow insurance companies in Ghana.</w:t>
      </w:r>
    </w:p>
    <w:p w14:paraId="49CCCBC7" w14:textId="77777777" w:rsidR="001545BB" w:rsidRPr="00AB3E9C" w:rsidRDefault="001545BB" w:rsidP="009C4B7C">
      <w:pPr>
        <w:jc w:val="both"/>
        <w:rPr>
          <w:rFonts w:ascii="Book Antiqua" w:hAnsi="Book Antiqua"/>
        </w:rPr>
      </w:pPr>
      <w:r w:rsidRPr="00AB3E9C">
        <w:rPr>
          <w:rFonts w:ascii="Book Antiqua" w:hAnsi="Book Antiqua"/>
          <w:b/>
        </w:rPr>
        <w:t xml:space="preserve">Result: </w:t>
      </w:r>
      <w:r w:rsidRPr="00AB3E9C">
        <w:rPr>
          <w:rFonts w:ascii="Book Antiqua" w:hAnsi="Book Antiqua"/>
        </w:rPr>
        <w:t>The study reveals that</w:t>
      </w:r>
      <w:r w:rsidRPr="00AB3E9C">
        <w:rPr>
          <w:rFonts w:ascii="Book Antiqua" w:hAnsi="Book Antiqua"/>
          <w:b/>
        </w:rPr>
        <w:t xml:space="preserve"> o</w:t>
      </w:r>
      <w:r w:rsidRPr="00AB3E9C">
        <w:rPr>
          <w:rFonts w:ascii="Book Antiqua" w:hAnsi="Book Antiqua"/>
        </w:rPr>
        <w:t xml:space="preserve">n the average, the number of claims tends to increase as the years go by. Also the Negative Binomial Distribution was found to be superior to the Poisson Distribution in fitting the claim data. There is no </w:t>
      </w:r>
      <w:r w:rsidRPr="00AB3E9C">
        <w:rPr>
          <w:rFonts w:ascii="Book Antiqua" w:hAnsi="Book Antiqua"/>
        </w:rPr>
        <w:t>significant difference between the estimates obtained by the probability models and that of the parametric bootstrap estimates.</w:t>
      </w:r>
    </w:p>
    <w:p w14:paraId="50B2777F" w14:textId="77777777" w:rsidR="001545BB" w:rsidRPr="00AB3E9C" w:rsidRDefault="008B6D73"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Hypertension among Young Adults in the Osiem Municipality of the Eastern Region of Ghana.</w:t>
      </w:r>
    </w:p>
    <w:p w14:paraId="699F13AF" w14:textId="77777777" w:rsidR="001545BB" w:rsidRPr="00AB3E9C" w:rsidRDefault="008B6D73" w:rsidP="005C47F0">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Akua Abruguah, Peter Duah &amp; Daniel Osarfo</w:t>
      </w:r>
    </w:p>
    <w:p w14:paraId="16C30488" w14:textId="77777777" w:rsidR="001545BB" w:rsidRPr="00AB3E9C" w:rsidRDefault="001545BB" w:rsidP="009C4B7C">
      <w:pPr>
        <w:jc w:val="both"/>
        <w:rPr>
          <w:rFonts w:ascii="Book Antiqua" w:hAnsi="Book Antiqua"/>
        </w:rPr>
      </w:pPr>
      <w:r w:rsidRPr="00AB3E9C">
        <w:rPr>
          <w:rFonts w:ascii="Book Antiqua" w:hAnsi="Book Antiqua"/>
        </w:rPr>
        <w:t>Department of Pharmaceutical Sciences, Kumasi Polytechnic; Pharmacist &amp; General Manger, Hawa Memorial Hospital, Osiem &amp; Sunyani Municipal Hospital</w:t>
      </w:r>
    </w:p>
    <w:p w14:paraId="529194B8" w14:textId="77777777" w:rsidR="001545BB" w:rsidRPr="00AB3E9C" w:rsidRDefault="001545BB" w:rsidP="009C4B7C">
      <w:pPr>
        <w:jc w:val="both"/>
        <w:rPr>
          <w:rFonts w:ascii="Book Antiqua" w:hAnsi="Book Antiqua"/>
        </w:rPr>
      </w:pPr>
      <w:r w:rsidRPr="00AB3E9C">
        <w:rPr>
          <w:rFonts w:ascii="Book Antiqua" w:hAnsi="Book Antiqua"/>
          <w:b/>
        </w:rPr>
        <w:t xml:space="preserve">Aim: </w:t>
      </w:r>
      <w:r w:rsidRPr="00AB3E9C">
        <w:rPr>
          <w:rFonts w:ascii="Book Antiqua" w:hAnsi="Book Antiqua"/>
        </w:rPr>
        <w:t>To determine the prevalence, average blood pressure range according to JNC7 classification, existence of co-morbid conditions and treatment options of hypertension in young adults in the Eastern Region of Ghana.</w:t>
      </w:r>
    </w:p>
    <w:p w14:paraId="36034357" w14:textId="77777777" w:rsidR="001545BB" w:rsidRPr="005C47F0"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It is made bare that Hypertension in young adults is alarming, hence early diagnosis is imperative. It is recommended that Pharmacological as well as non-pharmacological management options must be adopted to minimize the impact of this disease in young adults.</w:t>
      </w:r>
    </w:p>
    <w:p w14:paraId="363B3B0B" w14:textId="77777777" w:rsidR="00A97744" w:rsidRDefault="00A97744" w:rsidP="009C4B7C">
      <w:pPr>
        <w:jc w:val="both"/>
        <w:rPr>
          <w:rFonts w:ascii="Book Antiqua" w:hAnsi="Book Antiqua"/>
          <w:b/>
        </w:rPr>
      </w:pPr>
    </w:p>
    <w:p w14:paraId="1954F80E" w14:textId="77777777" w:rsidR="001545BB" w:rsidRPr="00A97744" w:rsidRDefault="00A97744" w:rsidP="009C4B7C">
      <w:pPr>
        <w:jc w:val="both"/>
        <w:rPr>
          <w:rFonts w:ascii="Book Antiqua" w:hAnsi="Book Antiqua"/>
          <w:b/>
          <w:sz w:val="26"/>
        </w:rPr>
      </w:pPr>
      <w:r w:rsidRPr="00A97744">
        <w:rPr>
          <w:rFonts w:ascii="Book Antiqua" w:hAnsi="Book Antiqua"/>
          <w:b/>
          <w:sz w:val="26"/>
        </w:rPr>
        <w:t>Technical Session 4: Parallel Session</w:t>
      </w:r>
    </w:p>
    <w:p w14:paraId="6BBCE981" w14:textId="77777777" w:rsidR="001545BB" w:rsidRPr="00AB3E9C" w:rsidRDefault="00A97744" w:rsidP="009C4B7C">
      <w:pPr>
        <w:jc w:val="both"/>
        <w:rPr>
          <w:rFonts w:ascii="Book Antiqua" w:hAnsi="Book Antiqua"/>
          <w:b/>
        </w:rPr>
      </w:pPr>
      <w:r w:rsidRPr="00AB3E9C">
        <w:rPr>
          <w:rFonts w:ascii="Book Antiqua" w:hAnsi="Book Antiqua"/>
          <w:b/>
        </w:rPr>
        <w:t>Venue: Abba Bentil Andam Theatre</w:t>
      </w:r>
    </w:p>
    <w:p w14:paraId="4956F173" w14:textId="77777777" w:rsidR="001545BB" w:rsidRPr="00AB3E9C" w:rsidRDefault="00A97744" w:rsidP="009C4B7C">
      <w:pPr>
        <w:jc w:val="both"/>
        <w:rPr>
          <w:rFonts w:ascii="Book Antiqua" w:hAnsi="Book Antiqua"/>
          <w:b/>
        </w:rPr>
      </w:pPr>
      <w:r w:rsidRPr="00AB3E9C">
        <w:rPr>
          <w:rFonts w:ascii="Book Antiqua" w:hAnsi="Book Antiqua"/>
          <w:b/>
        </w:rPr>
        <w:t xml:space="preserve">Chairman: Mr. Francis Tagbor, Executive Secretary </w:t>
      </w:r>
      <w:r w:rsidR="001545BB" w:rsidRPr="00AB3E9C">
        <w:rPr>
          <w:rFonts w:ascii="Book Antiqua" w:hAnsi="Book Antiqua"/>
          <w:b/>
        </w:rPr>
        <w:t>– NABPTEX</w:t>
      </w:r>
    </w:p>
    <w:p w14:paraId="27799EB9" w14:textId="77777777" w:rsidR="001545BB" w:rsidRPr="00AB3E9C" w:rsidRDefault="00251213"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Innovation for Growth in the Context of Potential Micro Entrepreneurial Borrowers in the Tamale Metropolitan Area of Ghana.</w:t>
      </w:r>
    </w:p>
    <w:p w14:paraId="7FCADFCB" w14:textId="77777777" w:rsidR="001545BB" w:rsidRPr="00AB3E9C" w:rsidRDefault="000272F6" w:rsidP="005C47F0">
      <w:pPr>
        <w:spacing w:after="0"/>
        <w:jc w:val="both"/>
        <w:rPr>
          <w:rFonts w:ascii="Book Antiqua" w:hAnsi="Book Antiqua"/>
          <w:b/>
        </w:rPr>
      </w:pPr>
      <w:r w:rsidRPr="00AB3E9C">
        <w:rPr>
          <w:rFonts w:ascii="Book Antiqua" w:hAnsi="Book Antiqua"/>
          <w:b/>
        </w:rPr>
        <w:lastRenderedPageBreak/>
        <w:t>Presenters</w:t>
      </w:r>
      <w:r w:rsidR="001545BB" w:rsidRPr="00AB3E9C">
        <w:rPr>
          <w:rFonts w:ascii="Book Antiqua" w:hAnsi="Book Antiqua"/>
          <w:b/>
        </w:rPr>
        <w:t>: Jamal Mohammed, Charles Hackman Essel &amp; Mary Abena Agyepong</w:t>
      </w:r>
    </w:p>
    <w:p w14:paraId="24F85E9E" w14:textId="77777777" w:rsidR="001545BB" w:rsidRPr="00AB3E9C" w:rsidRDefault="001545BB" w:rsidP="009C4B7C">
      <w:pPr>
        <w:jc w:val="both"/>
        <w:rPr>
          <w:rFonts w:ascii="Book Antiqua" w:hAnsi="Book Antiqua"/>
        </w:rPr>
      </w:pPr>
      <w:r w:rsidRPr="00AB3E9C">
        <w:rPr>
          <w:rFonts w:ascii="Book Antiqua" w:hAnsi="Book Antiqua"/>
        </w:rPr>
        <w:t>Koforidua Polytechnic, Koforidua</w:t>
      </w:r>
    </w:p>
    <w:p w14:paraId="67528E37"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To investigate innovations for growth in the context of Potential Micro Entrepreneurial Borrowers in the Tamale Metropolitan Area. The objectives were to identify the attitude of potential micro entrepreneurial borrowers towards loan repayment, factors that motivate them to solicit finance, and policies instituted to arrest problems confronting them.</w:t>
      </w:r>
    </w:p>
    <w:p w14:paraId="6526C45F" w14:textId="77777777" w:rsidR="001545BB" w:rsidRPr="00AB3E9C"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The study reveals that access to finance by these people had been easy and there are few cases where collateral is needed. Again, the potential micro entrepreneurial borrowers have positive attitude towards loan repayment. </w:t>
      </w:r>
    </w:p>
    <w:p w14:paraId="1B485C09" w14:textId="77777777" w:rsidR="001545BB" w:rsidRPr="00AB3E9C" w:rsidRDefault="000272F6"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Model for Predicting the Pro-Social Behaviour of Students of Tertiary Institution: A Discussion of Theoretical Constructs and their Links with some Tertiary Instituted Tasks.</w:t>
      </w:r>
    </w:p>
    <w:p w14:paraId="41FF91D9" w14:textId="77777777" w:rsidR="001545BB" w:rsidRPr="00AB3E9C" w:rsidRDefault="000272F6" w:rsidP="009C4B7C">
      <w:pPr>
        <w:jc w:val="both"/>
        <w:rPr>
          <w:rFonts w:ascii="Book Antiqua" w:hAnsi="Book Antiqua"/>
          <w:b/>
        </w:rPr>
      </w:pPr>
      <w:r w:rsidRPr="00AB3E9C">
        <w:rPr>
          <w:rFonts w:ascii="Book Antiqua" w:hAnsi="Book Antiqua"/>
          <w:b/>
        </w:rPr>
        <w:t>Presenters</w:t>
      </w:r>
      <w:r w:rsidR="001545BB" w:rsidRPr="00AB3E9C">
        <w:rPr>
          <w:rFonts w:ascii="Book Antiqua" w:hAnsi="Book Antiqua"/>
          <w:b/>
        </w:rPr>
        <w:t>: Samuel Quain, Professional Studies Department, Koforidua Polytechnic</w:t>
      </w:r>
    </w:p>
    <w:p w14:paraId="048AFDBD"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The paper aims to present a model for predicting the Pro-social Behavior of students of tertiary institutions. </w:t>
      </w:r>
    </w:p>
    <w:p w14:paraId="6334EF36" w14:textId="77777777" w:rsidR="001545BB" w:rsidRPr="00AB3E9C"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The paper comes up with a model predicting the Pro-social Behaviour of students based on Cultural, Situational, Psychological and Gender factors.</w:t>
      </w:r>
    </w:p>
    <w:p w14:paraId="00C9C343" w14:textId="77777777" w:rsidR="001545BB" w:rsidRPr="00AB3E9C" w:rsidRDefault="000272F6"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The Use of Mobile Phone by Students during Lectures and its Implications on Academic Work: A Case Study of Koforidua Polytechnic</w:t>
      </w:r>
    </w:p>
    <w:p w14:paraId="5754903E" w14:textId="77777777" w:rsidR="001545BB" w:rsidRPr="00AB3E9C" w:rsidRDefault="000272F6" w:rsidP="005C47F0">
      <w:pPr>
        <w:spacing w:after="0"/>
        <w:jc w:val="both"/>
        <w:rPr>
          <w:rFonts w:ascii="Book Antiqua" w:hAnsi="Book Antiqua"/>
          <w:b/>
        </w:rPr>
      </w:pPr>
      <w:r w:rsidRPr="00AB3E9C">
        <w:rPr>
          <w:rFonts w:ascii="Book Antiqua" w:hAnsi="Book Antiqua"/>
          <w:b/>
        </w:rPr>
        <w:t>Presenters</w:t>
      </w:r>
      <w:r w:rsidR="001545BB" w:rsidRPr="00AB3E9C">
        <w:rPr>
          <w:rFonts w:ascii="Book Antiqua" w:hAnsi="Book Antiqua"/>
          <w:b/>
        </w:rPr>
        <w:t>: Regina Bekoe-Biney, Ernest Fianko Quartey and Victor Curtis Lartey</w:t>
      </w:r>
    </w:p>
    <w:p w14:paraId="622E8F7C" w14:textId="77777777" w:rsidR="001545BB" w:rsidRPr="00AB3E9C" w:rsidRDefault="001545BB" w:rsidP="009C4B7C">
      <w:pPr>
        <w:jc w:val="both"/>
        <w:rPr>
          <w:rFonts w:ascii="Book Antiqua" w:hAnsi="Book Antiqua"/>
        </w:rPr>
      </w:pPr>
      <w:r w:rsidRPr="00AB3E9C">
        <w:rPr>
          <w:rFonts w:ascii="Book Antiqua" w:hAnsi="Book Antiqua"/>
        </w:rPr>
        <w:t>Koforidua Polytechnic, Koforidua</w:t>
      </w:r>
    </w:p>
    <w:p w14:paraId="2F43821B"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This paper seeks to find out the implications of mobile phone usage during lectures on academic work.</w:t>
      </w:r>
    </w:p>
    <w:p w14:paraId="4BE31B87" w14:textId="77777777" w:rsidR="007C0B74" w:rsidRPr="00AB3E9C"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The study shows that some students and lecturers feel disturbed and frustrated when mobile phones/cell phones ring during lectures. </w:t>
      </w:r>
    </w:p>
    <w:p w14:paraId="62A3DC16" w14:textId="77777777" w:rsidR="001545BB" w:rsidRPr="00AB3E9C" w:rsidRDefault="000272F6"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Fuelwood Demand in the Tamale Metropolitan Area: A Reassessment for Sustainable Development Implications.</w:t>
      </w:r>
    </w:p>
    <w:p w14:paraId="433F3439" w14:textId="77777777" w:rsidR="001545BB" w:rsidRPr="00AB3E9C" w:rsidRDefault="000272F6" w:rsidP="009C4B7C">
      <w:pPr>
        <w:jc w:val="both"/>
        <w:rPr>
          <w:rFonts w:ascii="Book Antiqua" w:hAnsi="Book Antiqua"/>
          <w:b/>
        </w:rPr>
      </w:pPr>
      <w:r w:rsidRPr="00AB3E9C">
        <w:rPr>
          <w:rFonts w:ascii="Book Antiqua" w:hAnsi="Book Antiqua"/>
          <w:b/>
        </w:rPr>
        <w:t>Presenters</w:t>
      </w:r>
      <w:r w:rsidR="001545BB" w:rsidRPr="00AB3E9C">
        <w:rPr>
          <w:rFonts w:ascii="Book Antiqua" w:hAnsi="Book Antiqua"/>
          <w:b/>
        </w:rPr>
        <w:t>: Jamal Mohammed, Liberal Studies Department, Koforidua Polytechnic</w:t>
      </w:r>
    </w:p>
    <w:p w14:paraId="6AC34EB0" w14:textId="77777777" w:rsidR="001545BB" w:rsidRPr="00AB3E9C" w:rsidRDefault="001545BB" w:rsidP="009C4B7C">
      <w:pPr>
        <w:jc w:val="both"/>
        <w:rPr>
          <w:rFonts w:ascii="Book Antiqua" w:hAnsi="Book Antiqua"/>
        </w:rPr>
      </w:pPr>
      <w:r w:rsidRPr="00AB3E9C">
        <w:rPr>
          <w:rFonts w:ascii="Book Antiqua" w:hAnsi="Book Antiqua"/>
          <w:b/>
        </w:rPr>
        <w:t>Aim:</w:t>
      </w:r>
      <w:r w:rsidRPr="00AB3E9C">
        <w:rPr>
          <w:rFonts w:ascii="Book Antiqua" w:hAnsi="Book Antiqua"/>
        </w:rPr>
        <w:t xml:space="preserve"> This paper assesses fuelwood demand in the Tamale Metropolitan area with the Travel Cost Method.</w:t>
      </w:r>
    </w:p>
    <w:p w14:paraId="61AEA9ED" w14:textId="77777777" w:rsidR="005C47F0" w:rsidRPr="00D657A6" w:rsidRDefault="001545BB" w:rsidP="009C4B7C">
      <w:pPr>
        <w:jc w:val="both"/>
        <w:rPr>
          <w:rFonts w:ascii="Book Antiqua" w:hAnsi="Book Antiqua"/>
        </w:rPr>
      </w:pPr>
      <w:r w:rsidRPr="00AB3E9C">
        <w:rPr>
          <w:rFonts w:ascii="Book Antiqua" w:hAnsi="Book Antiqua"/>
          <w:b/>
        </w:rPr>
        <w:t>Result:</w:t>
      </w:r>
      <w:r w:rsidRPr="00AB3E9C">
        <w:rPr>
          <w:rFonts w:ascii="Book Antiqua" w:hAnsi="Book Antiqua"/>
        </w:rPr>
        <w:t xml:space="preserve"> It indicates that as travel cost increases, the number of visits by individual respondents to forested sites for fuelwood decreases. Also, as incomes rise, the number of visits to forested sites for fuelwood falls. It is therefore recommended that public education on the need to conserve and use natural resources wisely should be embarked upon.</w:t>
      </w:r>
    </w:p>
    <w:p w14:paraId="04B9C9D6" w14:textId="77777777" w:rsidR="000272F6" w:rsidRDefault="000272F6" w:rsidP="009C4B7C">
      <w:pPr>
        <w:jc w:val="both"/>
        <w:rPr>
          <w:rFonts w:ascii="Book Antiqua" w:hAnsi="Book Antiqua"/>
          <w:b/>
          <w:sz w:val="26"/>
        </w:rPr>
      </w:pPr>
    </w:p>
    <w:p w14:paraId="6680B6F6" w14:textId="77777777" w:rsidR="001545BB" w:rsidRPr="000272F6" w:rsidRDefault="00D657A6" w:rsidP="009C4B7C">
      <w:pPr>
        <w:jc w:val="both"/>
        <w:rPr>
          <w:rFonts w:ascii="Book Antiqua" w:hAnsi="Book Antiqua"/>
          <w:b/>
          <w:sz w:val="26"/>
        </w:rPr>
      </w:pPr>
      <w:r w:rsidRPr="000272F6">
        <w:rPr>
          <w:rFonts w:ascii="Book Antiqua" w:hAnsi="Book Antiqua"/>
          <w:b/>
          <w:sz w:val="26"/>
        </w:rPr>
        <w:t>Technical Session 4:</w:t>
      </w:r>
    </w:p>
    <w:p w14:paraId="72F7D940" w14:textId="77777777" w:rsidR="001545BB" w:rsidRPr="00AB3E9C" w:rsidRDefault="00D657A6" w:rsidP="005C47F0">
      <w:pPr>
        <w:rPr>
          <w:rFonts w:ascii="Book Antiqua" w:hAnsi="Book Antiqua"/>
          <w:b/>
        </w:rPr>
      </w:pPr>
      <w:r w:rsidRPr="00AB3E9C">
        <w:rPr>
          <w:rFonts w:ascii="Book Antiqua" w:hAnsi="Book Antiqua"/>
          <w:b/>
        </w:rPr>
        <w:t>Engineering &amp; Applied Sciences: Computer Lab 1</w:t>
      </w:r>
    </w:p>
    <w:p w14:paraId="29565CF2" w14:textId="77777777" w:rsidR="001545BB" w:rsidRPr="00AB3E9C" w:rsidRDefault="00D657A6" w:rsidP="005C47F0">
      <w:pPr>
        <w:rPr>
          <w:rFonts w:ascii="Book Antiqua" w:hAnsi="Book Antiqua"/>
          <w:b/>
        </w:rPr>
      </w:pPr>
      <w:r w:rsidRPr="00AB3E9C">
        <w:rPr>
          <w:rFonts w:ascii="Book Antiqua" w:hAnsi="Book Antiqua"/>
          <w:b/>
        </w:rPr>
        <w:t>Chairman: Dr. Godfred Kwame Abledu, Former Dean – School Of Applied Sciences Andtechnology</w:t>
      </w:r>
    </w:p>
    <w:p w14:paraId="71386A95" w14:textId="77777777" w:rsidR="001545BB" w:rsidRPr="00AB3E9C" w:rsidRDefault="00FF2A39"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lastRenderedPageBreak/>
        <w:t>Topic</w:t>
      </w:r>
      <w:r w:rsidR="001545BB" w:rsidRPr="00AB3E9C">
        <w:rPr>
          <w:rFonts w:ascii="Book Antiqua" w:hAnsi="Book Antiqua"/>
          <w:b/>
        </w:rPr>
        <w:t>: Developing Capacity for the Production of Teaching Aids using Locally Available Materials: Plastination of Three Types of Fishes (Tilapia, African Catfish and African Bonytongue)</w:t>
      </w:r>
    </w:p>
    <w:p w14:paraId="1C5DB896" w14:textId="77777777" w:rsidR="00FF2A39" w:rsidRDefault="00FF2A39" w:rsidP="009C4B7C">
      <w:pPr>
        <w:pStyle w:val="ListParagraph"/>
        <w:tabs>
          <w:tab w:val="left" w:pos="540"/>
        </w:tabs>
        <w:ind w:left="0"/>
        <w:jc w:val="both"/>
        <w:rPr>
          <w:rFonts w:ascii="Book Antiqua" w:hAnsi="Book Antiqua"/>
          <w:b/>
        </w:rPr>
      </w:pPr>
    </w:p>
    <w:p w14:paraId="527F200B" w14:textId="77777777" w:rsidR="001545BB" w:rsidRPr="00AB3E9C" w:rsidRDefault="00FF2A39"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Edmund Emeko, Sylvestor Achio, Saeed Alhassan, Emily Milla-Amekor &amp; John Ekpe</w:t>
      </w:r>
    </w:p>
    <w:p w14:paraId="71FD1FC2"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Department of Science Laboratory Technology, Accra Polytechnic</w:t>
      </w:r>
    </w:p>
    <w:p w14:paraId="16B8468C" w14:textId="77777777" w:rsidR="005C47F0" w:rsidRDefault="005C47F0" w:rsidP="009C4B7C">
      <w:pPr>
        <w:pStyle w:val="ListParagraph"/>
        <w:tabs>
          <w:tab w:val="left" w:pos="540"/>
        </w:tabs>
        <w:ind w:left="0"/>
        <w:jc w:val="both"/>
        <w:rPr>
          <w:rFonts w:ascii="Book Antiqua" w:hAnsi="Book Antiqua"/>
          <w:b/>
        </w:rPr>
      </w:pPr>
    </w:p>
    <w:p w14:paraId="36772015"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To preserve, through plastination, fresh samples of three species of fishes (</w:t>
      </w:r>
      <w:r w:rsidRPr="00AB3E9C">
        <w:rPr>
          <w:rFonts w:ascii="Book Antiqua" w:hAnsi="Book Antiqua"/>
          <w:i/>
        </w:rPr>
        <w:t>Tilapia, African Catfish and African Bonytongue</w:t>
      </w:r>
      <w:r w:rsidRPr="00AB3E9C">
        <w:rPr>
          <w:rFonts w:ascii="Book Antiqua" w:hAnsi="Book Antiqua"/>
        </w:rPr>
        <w:t>) for use as teaching aids.</w:t>
      </w:r>
    </w:p>
    <w:p w14:paraId="13169A73" w14:textId="77777777" w:rsidR="005C47F0" w:rsidRDefault="005C47F0" w:rsidP="009C4B7C">
      <w:pPr>
        <w:pStyle w:val="ListParagraph"/>
        <w:tabs>
          <w:tab w:val="left" w:pos="540"/>
        </w:tabs>
        <w:ind w:left="0"/>
        <w:jc w:val="both"/>
        <w:rPr>
          <w:rFonts w:ascii="Book Antiqua" w:hAnsi="Book Antiqua"/>
          <w:b/>
        </w:rPr>
      </w:pPr>
    </w:p>
    <w:p w14:paraId="652FF8EE" w14:textId="77777777" w:rsidR="00FF2A39"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The result shows that the plastinated specimens retained their general shapes and their anatomical structures were preserved. These specimens, therefore, are useful models of the fishes and can be used as teaching aids.</w:t>
      </w:r>
    </w:p>
    <w:p w14:paraId="7C6DA36A" w14:textId="77777777" w:rsidR="00FF2A39" w:rsidRPr="00AB3E9C" w:rsidRDefault="00FF2A39" w:rsidP="009C4B7C">
      <w:pPr>
        <w:pStyle w:val="ListParagraph"/>
        <w:tabs>
          <w:tab w:val="left" w:pos="540"/>
        </w:tabs>
        <w:ind w:left="0"/>
        <w:jc w:val="both"/>
        <w:rPr>
          <w:rFonts w:ascii="Book Antiqua" w:hAnsi="Book Antiqua"/>
        </w:rPr>
      </w:pPr>
    </w:p>
    <w:p w14:paraId="15231B5D" w14:textId="77777777" w:rsidR="001545BB" w:rsidRPr="00AB3E9C" w:rsidRDefault="001545BB" w:rsidP="00196385">
      <w:pPr>
        <w:pStyle w:val="ListParagraph"/>
        <w:numPr>
          <w:ilvl w:val="0"/>
          <w:numId w:val="165"/>
        </w:numPr>
        <w:tabs>
          <w:tab w:val="left" w:pos="0"/>
          <w:tab w:val="left" w:pos="360"/>
        </w:tabs>
        <w:ind w:left="0" w:firstLine="0"/>
        <w:jc w:val="both"/>
        <w:rPr>
          <w:rFonts w:ascii="Book Antiqua" w:hAnsi="Book Antiqua"/>
          <w:b/>
        </w:rPr>
      </w:pPr>
      <w:r w:rsidRPr="00AB3E9C">
        <w:rPr>
          <w:rFonts w:ascii="Book Antiqua" w:hAnsi="Book Antiqua"/>
          <w:b/>
        </w:rPr>
        <w:t>TOPIC: A Study into the Causes of Road Pavement Failure in Ghana. Case Study: Ofankor- Nsawam Road</w:t>
      </w:r>
    </w:p>
    <w:p w14:paraId="7EDD6A04" w14:textId="77777777" w:rsidR="005C47F0" w:rsidRDefault="005C47F0" w:rsidP="009C4B7C">
      <w:pPr>
        <w:pStyle w:val="ListParagraph"/>
        <w:tabs>
          <w:tab w:val="left" w:pos="540"/>
        </w:tabs>
        <w:ind w:left="0"/>
        <w:jc w:val="both"/>
        <w:rPr>
          <w:rFonts w:ascii="Book Antiqua" w:hAnsi="Book Antiqua"/>
          <w:b/>
        </w:rPr>
      </w:pPr>
    </w:p>
    <w:p w14:paraId="0F39143E" w14:textId="77777777" w:rsidR="001545BB" w:rsidRPr="00AB3E9C" w:rsidRDefault="001545BB" w:rsidP="009C4B7C">
      <w:pPr>
        <w:pStyle w:val="ListParagraph"/>
        <w:tabs>
          <w:tab w:val="left" w:pos="540"/>
        </w:tabs>
        <w:ind w:left="0"/>
        <w:jc w:val="both"/>
        <w:rPr>
          <w:rFonts w:ascii="Book Antiqua" w:hAnsi="Book Antiqua"/>
          <w:b/>
        </w:rPr>
      </w:pPr>
      <w:r w:rsidRPr="00AB3E9C">
        <w:rPr>
          <w:rFonts w:ascii="Book Antiqua" w:hAnsi="Book Antiqua"/>
          <w:b/>
        </w:rPr>
        <w:t>Presenters: Agakpe Mawufemor Dzamposu, Dr Francis Acheampong &amp; Mahama Abdulai</w:t>
      </w:r>
    </w:p>
    <w:p w14:paraId="1BCA3A82"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Ghana Irrigation Development Authority, KAAF University College &amp; Comptran Engineering and Planning Associates</w:t>
      </w:r>
    </w:p>
    <w:p w14:paraId="3833589B" w14:textId="77777777" w:rsidR="005C47F0" w:rsidRDefault="005C47F0" w:rsidP="009C4B7C">
      <w:pPr>
        <w:pStyle w:val="ListParagraph"/>
        <w:tabs>
          <w:tab w:val="left" w:pos="540"/>
        </w:tabs>
        <w:ind w:left="0"/>
        <w:jc w:val="both"/>
        <w:rPr>
          <w:rFonts w:ascii="Book Antiqua" w:hAnsi="Book Antiqua"/>
          <w:b/>
        </w:rPr>
      </w:pPr>
    </w:p>
    <w:p w14:paraId="24DB01CF"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This article details the compreh</w:t>
      </w:r>
      <w:r w:rsidR="002F45CB">
        <w:rPr>
          <w:rFonts w:ascii="Book Antiqua" w:hAnsi="Book Antiqua"/>
        </w:rPr>
        <w:t xml:space="preserve">ensive investigations conducted </w:t>
      </w:r>
      <w:r w:rsidRPr="00AB3E9C">
        <w:rPr>
          <w:rFonts w:ascii="Book Antiqua" w:hAnsi="Book Antiqua"/>
        </w:rPr>
        <w:t>and the effective collaboration with Ghana Highway Authority to identify the causes of the premature pavement failure of the Ofankor-Nsawam road within six years after construction and the mitigating measures.</w:t>
      </w:r>
    </w:p>
    <w:p w14:paraId="00E13154"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The results gathered from laboratory and field tests indicate that, the thickness of cored asphalt samples were less than the specification. The aggregates are found to be of high quality and strength, and are within the region of class A. </w:t>
      </w:r>
    </w:p>
    <w:p w14:paraId="5A2E0FCC" w14:textId="77777777" w:rsidR="001545BB" w:rsidRPr="00AB3E9C" w:rsidRDefault="001545BB" w:rsidP="009C4B7C">
      <w:pPr>
        <w:pStyle w:val="ListParagraph"/>
        <w:tabs>
          <w:tab w:val="left" w:pos="540"/>
        </w:tabs>
        <w:ind w:left="0"/>
        <w:jc w:val="both"/>
        <w:rPr>
          <w:rFonts w:ascii="Book Antiqua" w:hAnsi="Book Antiqua"/>
        </w:rPr>
      </w:pPr>
    </w:p>
    <w:p w14:paraId="3420EC5D" w14:textId="77777777" w:rsidR="001545BB" w:rsidRPr="00AB3E9C" w:rsidRDefault="00FF2A39"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Technical Assessment of Installing Solar Photovoltaic (PV) System: A Case Study of the Getfund Hostel, Koforidua Polytechnic, Koforidua.</w:t>
      </w:r>
    </w:p>
    <w:p w14:paraId="6E187643"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 xml:space="preserve">Presenters: </w:t>
      </w:r>
      <w:r w:rsidRPr="00AB3E9C">
        <w:rPr>
          <w:rFonts w:ascii="Book Antiqua" w:hAnsi="Book Antiqua"/>
        </w:rPr>
        <w:t>Divine Atsu, Emmanuel Okoh Agyemang &amp; Stephen Tsike</w:t>
      </w:r>
    </w:p>
    <w:p w14:paraId="3B7DD74F"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Department of Renewable Energy Systems Engineering, Koforidua Polytechnic</w:t>
      </w:r>
    </w:p>
    <w:p w14:paraId="65B9CBFC" w14:textId="77777777" w:rsidR="005C47F0" w:rsidRDefault="005C47F0" w:rsidP="009C4B7C">
      <w:pPr>
        <w:pStyle w:val="ListParagraph"/>
        <w:tabs>
          <w:tab w:val="left" w:pos="540"/>
        </w:tabs>
        <w:ind w:left="0"/>
        <w:jc w:val="both"/>
        <w:rPr>
          <w:rFonts w:ascii="Book Antiqua" w:hAnsi="Book Antiqua"/>
          <w:b/>
        </w:rPr>
      </w:pPr>
    </w:p>
    <w:p w14:paraId="23D37E08" w14:textId="77777777" w:rsidR="005C47F0" w:rsidRPr="00C82D87"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To technically investigate the suitability of installing a Photovoltaic PV system at GETFUND Hostel Koforidua Polytechnic to cater for the lighting load needs of the hostel when the grid is off. </w:t>
      </w:r>
    </w:p>
    <w:p w14:paraId="0396B993" w14:textId="77777777" w:rsidR="005C47F0"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The result shows that solar PV systems could be a feasible solution to lighting needs at some level of implementation for the GEFUND Hostel.</w:t>
      </w:r>
    </w:p>
    <w:p w14:paraId="4859E683" w14:textId="77777777" w:rsidR="005C47F0" w:rsidRPr="00AB3E9C" w:rsidRDefault="005C47F0" w:rsidP="009C4B7C">
      <w:pPr>
        <w:pStyle w:val="ListParagraph"/>
        <w:tabs>
          <w:tab w:val="left" w:pos="540"/>
        </w:tabs>
        <w:ind w:left="0"/>
        <w:jc w:val="both"/>
        <w:rPr>
          <w:rFonts w:ascii="Book Antiqua" w:hAnsi="Book Antiqua"/>
        </w:rPr>
      </w:pPr>
    </w:p>
    <w:p w14:paraId="3BED0C94" w14:textId="77777777" w:rsidR="001545BB" w:rsidRPr="00AB3E9C" w:rsidRDefault="00FF2A39"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Construction of a Portable Wooden Box Electric Dehydrator and Comparative Performance Assessment to a Laboratory Oven</w:t>
      </w:r>
    </w:p>
    <w:p w14:paraId="10084D34" w14:textId="77777777" w:rsidR="00FF2A39" w:rsidRDefault="00FF2A39" w:rsidP="009C4B7C">
      <w:pPr>
        <w:pStyle w:val="ListParagraph"/>
        <w:tabs>
          <w:tab w:val="left" w:pos="540"/>
        </w:tabs>
        <w:ind w:left="0"/>
        <w:jc w:val="both"/>
        <w:rPr>
          <w:rFonts w:ascii="Book Antiqua" w:hAnsi="Book Antiqua"/>
          <w:b/>
        </w:rPr>
      </w:pPr>
    </w:p>
    <w:p w14:paraId="298689A7" w14:textId="77777777" w:rsidR="001545BB" w:rsidRPr="00AB3E9C" w:rsidRDefault="00FF2A39"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Edmund Ameko, Prof. Sylvester Achio, Alex Abrokwah &amp; Robert Dunyo</w:t>
      </w:r>
    </w:p>
    <w:p w14:paraId="295B8344"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Department of Science Laboratory Technology, Accra Polytechnic</w:t>
      </w:r>
    </w:p>
    <w:p w14:paraId="36C79900" w14:textId="77777777" w:rsidR="005C47F0" w:rsidRDefault="005C47F0" w:rsidP="009C4B7C">
      <w:pPr>
        <w:pStyle w:val="ListParagraph"/>
        <w:tabs>
          <w:tab w:val="left" w:pos="540"/>
        </w:tabs>
        <w:ind w:left="0"/>
        <w:jc w:val="both"/>
        <w:rPr>
          <w:rFonts w:ascii="Book Antiqua" w:hAnsi="Book Antiqua"/>
          <w:b/>
        </w:rPr>
      </w:pPr>
    </w:p>
    <w:p w14:paraId="224571EA"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To construct and assess the performance of a Portable Wooden Box Electric Dehydrator (PWBED) to determine if it could serve as an </w:t>
      </w:r>
      <w:r w:rsidRPr="00AB3E9C">
        <w:rPr>
          <w:rFonts w:ascii="Book Antiqua" w:hAnsi="Book Antiqua"/>
        </w:rPr>
        <w:lastRenderedPageBreak/>
        <w:t xml:space="preserve">alternative to the laboratory oven in schools which do not have a conventional laboratory oven. </w:t>
      </w:r>
    </w:p>
    <w:p w14:paraId="5D2FDA79" w14:textId="77777777" w:rsidR="005C47F0" w:rsidRDefault="005C47F0" w:rsidP="009C4B7C">
      <w:pPr>
        <w:pStyle w:val="ListParagraph"/>
        <w:tabs>
          <w:tab w:val="left" w:pos="540"/>
        </w:tabs>
        <w:ind w:left="0"/>
        <w:jc w:val="both"/>
        <w:rPr>
          <w:rFonts w:ascii="Book Antiqua" w:hAnsi="Book Antiqua"/>
          <w:b/>
        </w:rPr>
      </w:pPr>
    </w:p>
    <w:p w14:paraId="0FDD4434"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The result shows that PWBED is easy and cheap to construct, portable, easy to maintain and relatively cheaper to use compared to the oven. It could be used as an alternative or support to the laboratory oven, especially for teaching purposes.</w:t>
      </w:r>
    </w:p>
    <w:p w14:paraId="368E361D" w14:textId="77777777" w:rsidR="001545BB" w:rsidRPr="00AB3E9C" w:rsidRDefault="001545BB" w:rsidP="009C4B7C">
      <w:pPr>
        <w:pStyle w:val="ListParagraph"/>
        <w:tabs>
          <w:tab w:val="left" w:pos="540"/>
        </w:tabs>
        <w:ind w:left="0"/>
        <w:jc w:val="both"/>
        <w:rPr>
          <w:rFonts w:ascii="Book Antiqua" w:hAnsi="Book Antiqua"/>
          <w:b/>
        </w:rPr>
      </w:pPr>
    </w:p>
    <w:p w14:paraId="08BECB5C" w14:textId="77777777" w:rsidR="001545BB" w:rsidRPr="00AB3E9C" w:rsidRDefault="00FF2A39" w:rsidP="00196385">
      <w:pPr>
        <w:pStyle w:val="ListParagraph"/>
        <w:numPr>
          <w:ilvl w:val="0"/>
          <w:numId w:val="165"/>
        </w:numPr>
        <w:tabs>
          <w:tab w:val="left" w:pos="0"/>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Image Denoising in the Wavelet Domain Using a New Adaptive Thresholding Function</w:t>
      </w:r>
    </w:p>
    <w:p w14:paraId="1A8C2D37" w14:textId="77777777" w:rsidR="00FF2A39" w:rsidRDefault="00FF2A39" w:rsidP="009C4B7C">
      <w:pPr>
        <w:pStyle w:val="ListParagraph"/>
        <w:tabs>
          <w:tab w:val="left" w:pos="540"/>
        </w:tabs>
        <w:ind w:left="0"/>
        <w:jc w:val="both"/>
        <w:rPr>
          <w:rFonts w:ascii="Book Antiqua" w:hAnsi="Book Antiqua"/>
          <w:b/>
        </w:rPr>
      </w:pPr>
    </w:p>
    <w:p w14:paraId="0EAF5194" w14:textId="77777777" w:rsidR="001545BB" w:rsidRPr="00AB3E9C" w:rsidRDefault="00FF2A39"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Shankar Srinivasan, Sonukumar Mishra, Saptarshi Gupta and Cletus F.</w:t>
      </w:r>
    </w:p>
    <w:p w14:paraId="76D94FE3"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Department of Biomedical Engineering, University of Ghana; Department of Electronics and Communication Engineering, Buddha Institute of Technology, India; Department of Electronics and Communication Engineering, All Nations University College, Koforidua and Department of Biomedical Engineering, University of Ghana.</w:t>
      </w:r>
    </w:p>
    <w:p w14:paraId="09DAAF5B" w14:textId="77777777" w:rsidR="005C47F0" w:rsidRDefault="005C47F0" w:rsidP="009C4B7C">
      <w:pPr>
        <w:pStyle w:val="ListParagraph"/>
        <w:tabs>
          <w:tab w:val="left" w:pos="540"/>
        </w:tabs>
        <w:ind w:left="0"/>
        <w:jc w:val="both"/>
        <w:rPr>
          <w:rFonts w:ascii="Book Antiqua" w:hAnsi="Book Antiqua"/>
          <w:b/>
        </w:rPr>
      </w:pPr>
    </w:p>
    <w:p w14:paraId="2585DB26"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 xml:space="preserve">Aim: </w:t>
      </w:r>
      <w:r w:rsidRPr="00AB3E9C">
        <w:rPr>
          <w:rFonts w:ascii="Book Antiqua" w:hAnsi="Book Antiqua"/>
        </w:rPr>
        <w:t xml:space="preserve">To use threshold and thresholding function effects to suppress four types of important noises that is Gaussian, Poisson, (Salt and pepper), speckle, which ranges from natural images to ultrasound and Synthetic Aperture Radar (SAR) pictures. </w:t>
      </w:r>
    </w:p>
    <w:p w14:paraId="1B351746" w14:textId="77777777" w:rsidR="005C47F0" w:rsidRDefault="005C47F0" w:rsidP="009C4B7C">
      <w:pPr>
        <w:pStyle w:val="ListParagraph"/>
        <w:tabs>
          <w:tab w:val="left" w:pos="540"/>
        </w:tabs>
        <w:ind w:left="0"/>
        <w:jc w:val="both"/>
        <w:rPr>
          <w:rFonts w:ascii="Book Antiqua" w:hAnsi="Book Antiqua"/>
          <w:b/>
        </w:rPr>
      </w:pPr>
    </w:p>
    <w:p w14:paraId="5ECAA36E" w14:textId="77777777" w:rsidR="005C47F0"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The results show that the proposed thresholding function has superior features compared to conventional methods when used with the proposed adaptive learning types. This makes it an efficient method in image denoising applications.</w:t>
      </w:r>
    </w:p>
    <w:p w14:paraId="1EECAC59" w14:textId="77777777" w:rsidR="001545BB" w:rsidRPr="00AB3E9C" w:rsidRDefault="00FF2A39"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Land Acquisition Challenges for Urban Housing Development in Ghana</w:t>
      </w:r>
    </w:p>
    <w:p w14:paraId="789C8FB2" w14:textId="77777777" w:rsidR="00FF2A39" w:rsidRDefault="00FF2A39" w:rsidP="009C4B7C">
      <w:pPr>
        <w:pStyle w:val="ListParagraph"/>
        <w:tabs>
          <w:tab w:val="left" w:pos="540"/>
        </w:tabs>
        <w:ind w:left="0"/>
        <w:jc w:val="both"/>
        <w:rPr>
          <w:rFonts w:ascii="Book Antiqua" w:hAnsi="Book Antiqua"/>
          <w:b/>
        </w:rPr>
      </w:pPr>
    </w:p>
    <w:p w14:paraId="294196CD" w14:textId="77777777" w:rsidR="001545BB" w:rsidRPr="00AB3E9C" w:rsidRDefault="00FF2A39"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James Morgan, Titus Ebenezer Kwofie &amp; Isaac Afranie</w:t>
      </w:r>
    </w:p>
    <w:p w14:paraId="5443091E"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Institute for Housing, Urban and Real Estate Research, School of built Environment, Herriot-Watt University, Edinburgh, UK; Department of Architecture, Kwame Nkrumah University of Science and Technology, Kumasi and Estate Department, Koforidua Polytechnic, Koforidua</w:t>
      </w:r>
    </w:p>
    <w:p w14:paraId="2AC1AB27" w14:textId="77777777" w:rsidR="005C47F0" w:rsidRDefault="005C47F0" w:rsidP="009C4B7C">
      <w:pPr>
        <w:pStyle w:val="ListParagraph"/>
        <w:tabs>
          <w:tab w:val="left" w:pos="540"/>
        </w:tabs>
        <w:ind w:left="0"/>
        <w:jc w:val="both"/>
        <w:rPr>
          <w:rFonts w:ascii="Book Antiqua" w:hAnsi="Book Antiqua"/>
          <w:b/>
        </w:rPr>
      </w:pPr>
    </w:p>
    <w:p w14:paraId="62CFB62E"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To assess various challenges facing private individuals in their efforts to acquire land for urban housing in Koforidua, which include delay in getting full ownership of land, documentation problems, issues on types of land acquired, means of getting land, official search difficulties and non-involvement of professionals.</w:t>
      </w:r>
    </w:p>
    <w:p w14:paraId="558CF9B2" w14:textId="77777777" w:rsidR="005C47F0" w:rsidRDefault="005C47F0" w:rsidP="009C4B7C">
      <w:pPr>
        <w:pStyle w:val="ListParagraph"/>
        <w:tabs>
          <w:tab w:val="left" w:pos="540"/>
        </w:tabs>
        <w:ind w:left="0"/>
        <w:jc w:val="both"/>
        <w:rPr>
          <w:rFonts w:ascii="Book Antiqua" w:hAnsi="Book Antiqua"/>
          <w:b/>
        </w:rPr>
      </w:pPr>
    </w:p>
    <w:p w14:paraId="1C540C97"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The result reflect the highly undeveloped and informal nature of the property market in Ghana which calls for urgent action and policy framework for the sector.</w:t>
      </w:r>
    </w:p>
    <w:p w14:paraId="5F73B80C" w14:textId="77777777" w:rsidR="001545BB" w:rsidRPr="00AB3E9C" w:rsidRDefault="001545BB" w:rsidP="009C4B7C">
      <w:pPr>
        <w:pStyle w:val="ListParagraph"/>
        <w:tabs>
          <w:tab w:val="left" w:pos="540"/>
        </w:tabs>
        <w:ind w:left="0"/>
        <w:jc w:val="both"/>
        <w:rPr>
          <w:rFonts w:ascii="Book Antiqua" w:hAnsi="Book Antiqua"/>
        </w:rPr>
      </w:pPr>
    </w:p>
    <w:p w14:paraId="7568913A" w14:textId="77777777" w:rsidR="00FF2A39" w:rsidRDefault="00FF2A39" w:rsidP="009C4B7C">
      <w:pPr>
        <w:pStyle w:val="ListParagraph"/>
        <w:tabs>
          <w:tab w:val="left" w:pos="540"/>
        </w:tabs>
        <w:ind w:left="0"/>
        <w:jc w:val="both"/>
        <w:rPr>
          <w:rFonts w:ascii="Book Antiqua" w:hAnsi="Book Antiqua"/>
          <w:b/>
          <w:sz w:val="26"/>
        </w:rPr>
      </w:pPr>
    </w:p>
    <w:p w14:paraId="47985B5A" w14:textId="77777777" w:rsidR="001545BB" w:rsidRPr="00FF2A39" w:rsidRDefault="00FF2A39" w:rsidP="009C4B7C">
      <w:pPr>
        <w:pStyle w:val="ListParagraph"/>
        <w:tabs>
          <w:tab w:val="left" w:pos="540"/>
        </w:tabs>
        <w:ind w:left="0"/>
        <w:jc w:val="both"/>
        <w:rPr>
          <w:rFonts w:ascii="Book Antiqua" w:hAnsi="Book Antiqua"/>
          <w:b/>
          <w:sz w:val="26"/>
        </w:rPr>
      </w:pPr>
      <w:r w:rsidRPr="00FF2A39">
        <w:rPr>
          <w:rFonts w:ascii="Book Antiqua" w:hAnsi="Book Antiqua"/>
          <w:b/>
          <w:sz w:val="26"/>
        </w:rPr>
        <w:t>Technical Session</w:t>
      </w:r>
      <w:r w:rsidR="00CE2BC8">
        <w:rPr>
          <w:rFonts w:ascii="Book Antiqua" w:hAnsi="Book Antiqua"/>
          <w:b/>
          <w:sz w:val="26"/>
        </w:rPr>
        <w:t xml:space="preserve"> </w:t>
      </w:r>
      <w:r w:rsidRPr="00FF2A39">
        <w:rPr>
          <w:rFonts w:ascii="Book Antiqua" w:hAnsi="Book Antiqua"/>
          <w:b/>
          <w:sz w:val="26"/>
        </w:rPr>
        <w:t>5: Parallel Session</w:t>
      </w:r>
    </w:p>
    <w:p w14:paraId="3AF55A25" w14:textId="77777777" w:rsidR="001545BB" w:rsidRPr="00AB3E9C" w:rsidRDefault="00FF2A39" w:rsidP="009C4B7C">
      <w:pPr>
        <w:pStyle w:val="ListParagraph"/>
        <w:tabs>
          <w:tab w:val="left" w:pos="540"/>
        </w:tabs>
        <w:ind w:left="0"/>
        <w:jc w:val="both"/>
        <w:rPr>
          <w:rFonts w:ascii="Book Antiqua" w:hAnsi="Book Antiqua"/>
          <w:b/>
        </w:rPr>
      </w:pPr>
      <w:r w:rsidRPr="00AB3E9C">
        <w:rPr>
          <w:rFonts w:ascii="Book Antiqua" w:hAnsi="Book Antiqua"/>
          <w:b/>
        </w:rPr>
        <w:t>Abba Bentil Andam Theatre</w:t>
      </w:r>
    </w:p>
    <w:p w14:paraId="71901E19" w14:textId="77777777" w:rsidR="001545BB" w:rsidRPr="00AB3E9C" w:rsidRDefault="00FF2A39" w:rsidP="009C4B7C">
      <w:pPr>
        <w:pStyle w:val="ListParagraph"/>
        <w:tabs>
          <w:tab w:val="left" w:pos="540"/>
        </w:tabs>
        <w:ind w:left="0"/>
        <w:jc w:val="both"/>
        <w:rPr>
          <w:rFonts w:ascii="Book Antiqua" w:hAnsi="Book Antiqua"/>
          <w:b/>
        </w:rPr>
      </w:pPr>
      <w:r w:rsidRPr="00AB3E9C">
        <w:rPr>
          <w:rFonts w:ascii="Book Antiqua" w:hAnsi="Book Antiqua"/>
          <w:b/>
        </w:rPr>
        <w:t xml:space="preserve">Chairman: </w:t>
      </w:r>
      <w:r w:rsidR="001545BB" w:rsidRPr="00AB3E9C">
        <w:rPr>
          <w:rFonts w:ascii="Book Antiqua" w:hAnsi="Book Antiqua"/>
          <w:b/>
        </w:rPr>
        <w:t>Dr. (Mrs) Smile Dzisi, Managing Editor – IJTMR</w:t>
      </w:r>
    </w:p>
    <w:p w14:paraId="40DF8B0F" w14:textId="77777777" w:rsidR="001545BB" w:rsidRPr="00AB3E9C" w:rsidRDefault="001545BB" w:rsidP="009C4B7C">
      <w:pPr>
        <w:pStyle w:val="ListParagraph"/>
        <w:tabs>
          <w:tab w:val="left" w:pos="540"/>
        </w:tabs>
        <w:ind w:left="0"/>
        <w:jc w:val="both"/>
        <w:rPr>
          <w:rFonts w:ascii="Book Antiqua" w:hAnsi="Book Antiqua"/>
          <w:b/>
        </w:rPr>
      </w:pPr>
    </w:p>
    <w:p w14:paraId="5AE6A087" w14:textId="77777777" w:rsidR="001545BB" w:rsidRPr="00AB3E9C" w:rsidRDefault="00CA0DAC" w:rsidP="00196385">
      <w:pPr>
        <w:pStyle w:val="ListParagraph"/>
        <w:numPr>
          <w:ilvl w:val="0"/>
          <w:numId w:val="165"/>
        </w:numPr>
        <w:tabs>
          <w:tab w:val="left" w:pos="360"/>
        </w:tabs>
        <w:ind w:left="0" w:firstLine="0"/>
        <w:jc w:val="both"/>
        <w:rPr>
          <w:rFonts w:ascii="Book Antiqua" w:hAnsi="Book Antiqua"/>
        </w:rPr>
      </w:pPr>
      <w:r w:rsidRPr="00AB3E9C">
        <w:rPr>
          <w:rFonts w:ascii="Book Antiqua" w:hAnsi="Book Antiqua"/>
          <w:b/>
        </w:rPr>
        <w:t>Topic</w:t>
      </w:r>
      <w:r w:rsidR="001545BB" w:rsidRPr="00AB3E9C">
        <w:rPr>
          <w:rFonts w:ascii="Book Antiqua" w:hAnsi="Book Antiqua"/>
          <w:b/>
        </w:rPr>
        <w:t>: Investigation into the Tripping of an Embedded Generator</w:t>
      </w:r>
    </w:p>
    <w:p w14:paraId="5CA95254" w14:textId="77777777" w:rsidR="001545BB" w:rsidRPr="00AB3E9C" w:rsidRDefault="00CA0DAC" w:rsidP="009C4B7C">
      <w:pPr>
        <w:tabs>
          <w:tab w:val="left" w:pos="540"/>
        </w:tabs>
        <w:jc w:val="both"/>
        <w:rPr>
          <w:rFonts w:ascii="Book Antiqua" w:hAnsi="Book Antiqua"/>
          <w:b/>
        </w:rPr>
      </w:pPr>
      <w:r w:rsidRPr="00AB3E9C">
        <w:rPr>
          <w:rFonts w:ascii="Book Antiqua" w:hAnsi="Book Antiqua"/>
          <w:b/>
        </w:rPr>
        <w:t>Presenter</w:t>
      </w:r>
      <w:r w:rsidR="001545BB" w:rsidRPr="00AB3E9C">
        <w:rPr>
          <w:rFonts w:ascii="Book Antiqua" w:hAnsi="Book Antiqua"/>
          <w:b/>
        </w:rPr>
        <w:t>: John Assifuah, Utilities Department, Tema Oil Refinery, Tema.</w:t>
      </w:r>
    </w:p>
    <w:p w14:paraId="66C840F2" w14:textId="77777777" w:rsidR="001545BB" w:rsidRPr="00AB3E9C" w:rsidRDefault="001545BB" w:rsidP="009C4B7C">
      <w:pPr>
        <w:tabs>
          <w:tab w:val="left" w:pos="540"/>
        </w:tabs>
        <w:jc w:val="both"/>
        <w:rPr>
          <w:rFonts w:ascii="Book Antiqua" w:hAnsi="Book Antiqua"/>
        </w:rPr>
      </w:pPr>
      <w:r w:rsidRPr="00AB3E9C">
        <w:rPr>
          <w:rFonts w:ascii="Book Antiqua" w:hAnsi="Book Antiqua"/>
          <w:b/>
        </w:rPr>
        <w:lastRenderedPageBreak/>
        <w:t>Aim:</w:t>
      </w:r>
      <w:r w:rsidRPr="00AB3E9C">
        <w:rPr>
          <w:rFonts w:ascii="Book Antiqua" w:hAnsi="Book Antiqua"/>
        </w:rPr>
        <w:t xml:space="preserve"> To investigate the incident employing deductive research method to establish the causes of the tripping and suggested measures to forestall future occurrences. </w:t>
      </w:r>
    </w:p>
    <w:p w14:paraId="2B707B5A" w14:textId="77777777" w:rsidR="001545BB" w:rsidRPr="00AB3E9C" w:rsidRDefault="001545BB" w:rsidP="009C4B7C">
      <w:pPr>
        <w:tabs>
          <w:tab w:val="left" w:pos="540"/>
        </w:tabs>
        <w:jc w:val="both"/>
        <w:rPr>
          <w:rFonts w:ascii="Book Antiqua" w:hAnsi="Book Antiqua"/>
        </w:rPr>
      </w:pPr>
      <w:r w:rsidRPr="00AB3E9C">
        <w:rPr>
          <w:rFonts w:ascii="Book Antiqua" w:hAnsi="Book Antiqua"/>
          <w:b/>
        </w:rPr>
        <w:t xml:space="preserve">Result: </w:t>
      </w:r>
      <w:r w:rsidRPr="00AB3E9C">
        <w:rPr>
          <w:rFonts w:ascii="Book Antiqua" w:hAnsi="Book Antiqua"/>
        </w:rPr>
        <w:t>The paper reveals the dropping of the air ejector inter-condenser pressure resulted from ineffective sealing steam in the steam turbine of the generator.</w:t>
      </w:r>
    </w:p>
    <w:p w14:paraId="1538F3B4" w14:textId="77777777" w:rsidR="001545BB" w:rsidRPr="00AB3E9C" w:rsidRDefault="00CA0DAC" w:rsidP="00196385">
      <w:pPr>
        <w:pStyle w:val="ListParagraph"/>
        <w:numPr>
          <w:ilvl w:val="0"/>
          <w:numId w:val="165"/>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Promotion and Application of Intellectual Property Rights in Ghana</w:t>
      </w:r>
    </w:p>
    <w:p w14:paraId="44EA0939" w14:textId="77777777" w:rsidR="00CA0DAC" w:rsidRDefault="00CA0DAC" w:rsidP="009C4B7C">
      <w:pPr>
        <w:pStyle w:val="ListParagraph"/>
        <w:tabs>
          <w:tab w:val="left" w:pos="540"/>
        </w:tabs>
        <w:ind w:left="0"/>
        <w:jc w:val="both"/>
        <w:rPr>
          <w:rFonts w:ascii="Book Antiqua" w:hAnsi="Book Antiqua"/>
          <w:b/>
        </w:rPr>
      </w:pPr>
    </w:p>
    <w:p w14:paraId="61709876" w14:textId="77777777" w:rsidR="001545BB" w:rsidRPr="00AB3E9C" w:rsidRDefault="00CA0DAC"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Adu-Dapaah, H., Amoah, S. Issahaque, G., Ofosu-Tenkorang, K. &amp; Anum, S.</w:t>
      </w:r>
    </w:p>
    <w:p w14:paraId="3795CF05"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CSIR-Crops Research Institute, Kumasi; Registrar General’s Department, Ministry of Justice, Accra; CSIR Head office, Accra and Ministry of Trade and Industry, Accra.</w:t>
      </w:r>
    </w:p>
    <w:p w14:paraId="0933B8BA" w14:textId="77777777" w:rsidR="005C47F0" w:rsidRDefault="005C47F0" w:rsidP="009C4B7C">
      <w:pPr>
        <w:pStyle w:val="ListParagraph"/>
        <w:tabs>
          <w:tab w:val="left" w:pos="540"/>
        </w:tabs>
        <w:ind w:left="0"/>
        <w:jc w:val="both"/>
        <w:rPr>
          <w:rFonts w:ascii="Book Antiqua" w:hAnsi="Book Antiqua"/>
          <w:b/>
        </w:rPr>
      </w:pPr>
    </w:p>
    <w:p w14:paraId="20427D1B"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To discuss the role of Intellectual Property Right (IPR) in different models of economic growth for developing countries such as Ghana and strategies for its promotion application.</w:t>
      </w:r>
    </w:p>
    <w:p w14:paraId="31C63DDD" w14:textId="77777777" w:rsidR="005C47F0" w:rsidRDefault="005C47F0" w:rsidP="009C4B7C">
      <w:pPr>
        <w:pStyle w:val="ListParagraph"/>
        <w:tabs>
          <w:tab w:val="left" w:pos="540"/>
        </w:tabs>
        <w:ind w:left="0"/>
        <w:jc w:val="both"/>
        <w:rPr>
          <w:rFonts w:ascii="Book Antiqua" w:hAnsi="Book Antiqua"/>
          <w:b/>
        </w:rPr>
      </w:pPr>
    </w:p>
    <w:p w14:paraId="1D4024F3" w14:textId="77777777" w:rsidR="00A1212D" w:rsidRDefault="001545BB" w:rsidP="009C4B7C">
      <w:pPr>
        <w:pStyle w:val="ListParagraph"/>
        <w:tabs>
          <w:tab w:val="left" w:pos="540"/>
        </w:tabs>
        <w:ind w:left="0"/>
        <w:jc w:val="both"/>
        <w:rPr>
          <w:rFonts w:ascii="Book Antiqua" w:hAnsi="Book Antiqua"/>
        </w:rPr>
      </w:pPr>
      <w:r w:rsidRPr="00AB3E9C">
        <w:rPr>
          <w:rFonts w:ascii="Book Antiqua" w:hAnsi="Book Antiqua"/>
          <w:b/>
        </w:rPr>
        <w:t xml:space="preserve">Result: </w:t>
      </w:r>
      <w:r w:rsidRPr="00AB3E9C">
        <w:rPr>
          <w:rFonts w:ascii="Book Antiqua" w:hAnsi="Book Antiqua"/>
        </w:rPr>
        <w:t xml:space="preserve">Effective use of the IP system in Ghana will require the promotion of the various functions of the IP system and how these functions can effectively be coordinated. </w:t>
      </w:r>
    </w:p>
    <w:p w14:paraId="40D633B4" w14:textId="77777777" w:rsidR="00CE2BC8" w:rsidRPr="00AB3E9C" w:rsidRDefault="00CE2BC8" w:rsidP="009C4B7C">
      <w:pPr>
        <w:pStyle w:val="ListParagraph"/>
        <w:tabs>
          <w:tab w:val="left" w:pos="540"/>
        </w:tabs>
        <w:ind w:left="0"/>
        <w:jc w:val="both"/>
        <w:rPr>
          <w:rFonts w:ascii="Book Antiqua" w:hAnsi="Book Antiqua"/>
        </w:rPr>
      </w:pPr>
    </w:p>
    <w:p w14:paraId="748A476B" w14:textId="77777777" w:rsidR="009450B6" w:rsidRDefault="00CE2BC8" w:rsidP="00196385">
      <w:pPr>
        <w:pStyle w:val="ListParagraph"/>
        <w:numPr>
          <w:ilvl w:val="0"/>
          <w:numId w:val="166"/>
        </w:numPr>
        <w:tabs>
          <w:tab w:val="left" w:pos="360"/>
          <w:tab w:val="left" w:pos="12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Natural Durability Quality Investigations: A Necessity Towards Entrepreneurs’ Acceptance of</w:t>
      </w:r>
    </w:p>
    <w:p w14:paraId="77E2DB90" w14:textId="77777777" w:rsidR="00A1212D" w:rsidRDefault="00A1212D" w:rsidP="009C4B7C">
      <w:pPr>
        <w:pStyle w:val="ListParagraph"/>
        <w:tabs>
          <w:tab w:val="left" w:pos="360"/>
          <w:tab w:val="left" w:pos="1260"/>
        </w:tabs>
        <w:jc w:val="both"/>
        <w:rPr>
          <w:rFonts w:ascii="Book Antiqua" w:hAnsi="Book Antiqua"/>
          <w:b/>
        </w:rPr>
      </w:pPr>
    </w:p>
    <w:p w14:paraId="550E21B7" w14:textId="77777777" w:rsidR="001545BB" w:rsidRPr="00AB3E9C" w:rsidRDefault="001545BB" w:rsidP="00196385">
      <w:pPr>
        <w:pStyle w:val="ListParagraph"/>
        <w:numPr>
          <w:ilvl w:val="0"/>
          <w:numId w:val="166"/>
        </w:numPr>
        <w:tabs>
          <w:tab w:val="left" w:pos="360"/>
          <w:tab w:val="left" w:pos="1260"/>
        </w:tabs>
        <w:ind w:left="0" w:firstLine="0"/>
        <w:jc w:val="both"/>
        <w:rPr>
          <w:rFonts w:ascii="Book Antiqua" w:hAnsi="Book Antiqua"/>
          <w:b/>
        </w:rPr>
      </w:pPr>
      <w:r w:rsidRPr="00AB3E9C">
        <w:rPr>
          <w:rFonts w:ascii="Book Antiqua" w:hAnsi="Book Antiqua"/>
          <w:b/>
        </w:rPr>
        <w:t xml:space="preserve"> Branchwoods as New Materials for Garden Furniture Production.</w:t>
      </w:r>
    </w:p>
    <w:p w14:paraId="1A3053CE" w14:textId="77777777" w:rsidR="00CA0DAC" w:rsidRDefault="00CA0DAC" w:rsidP="009C4B7C">
      <w:pPr>
        <w:pStyle w:val="ListParagraph"/>
        <w:tabs>
          <w:tab w:val="left" w:pos="540"/>
        </w:tabs>
        <w:ind w:left="0"/>
        <w:jc w:val="both"/>
        <w:rPr>
          <w:rFonts w:ascii="Book Antiqua" w:hAnsi="Book Antiqua"/>
          <w:b/>
        </w:rPr>
      </w:pPr>
    </w:p>
    <w:p w14:paraId="4B0BD602" w14:textId="77777777" w:rsidR="001545BB" w:rsidRPr="00AB3E9C" w:rsidRDefault="00CA0DAC"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Peter Kessels Dadzie &amp;  Martin Amoah</w:t>
      </w:r>
    </w:p>
    <w:p w14:paraId="201DF234"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Interior Architecture and Furniture Production Department, Kumasi Polytechnic, Kumasi and Department of Wood Technology Education, University of Education, Kumasi</w:t>
      </w:r>
    </w:p>
    <w:p w14:paraId="37E188D0" w14:textId="77777777" w:rsidR="005C47F0" w:rsidRDefault="005C47F0" w:rsidP="009C4B7C">
      <w:pPr>
        <w:pStyle w:val="ListParagraph"/>
        <w:tabs>
          <w:tab w:val="left" w:pos="540"/>
        </w:tabs>
        <w:ind w:left="0"/>
        <w:jc w:val="both"/>
        <w:rPr>
          <w:rFonts w:ascii="Book Antiqua" w:hAnsi="Book Antiqua"/>
          <w:b/>
        </w:rPr>
      </w:pPr>
    </w:p>
    <w:p w14:paraId="624A57D2"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This study compares the natural durability of the branches of Sapele (Entandrophragma cylindricum) to its stemwood, in order to encourage industry and other wood related entrepreneurs to use branches in addition to stemwood for ground applications like garden furniture.</w:t>
      </w:r>
    </w:p>
    <w:p w14:paraId="5917FF56" w14:textId="77777777" w:rsidR="005C47F0" w:rsidRDefault="005C47F0" w:rsidP="009C4B7C">
      <w:pPr>
        <w:pStyle w:val="ListParagraph"/>
        <w:tabs>
          <w:tab w:val="left" w:pos="540"/>
        </w:tabs>
        <w:ind w:left="0"/>
        <w:jc w:val="both"/>
        <w:rPr>
          <w:rFonts w:ascii="Book Antiqua" w:hAnsi="Book Antiqua"/>
          <w:b/>
        </w:rPr>
      </w:pPr>
    </w:p>
    <w:p w14:paraId="08AB5D3D"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 xml:space="preserve">Result: </w:t>
      </w:r>
      <w:r w:rsidRPr="00AB3E9C">
        <w:rPr>
          <w:rFonts w:ascii="Book Antiqua" w:hAnsi="Book Antiqua"/>
        </w:rPr>
        <w:t>It is shown that whereas branchwood of the tree in the first moisture content range was less durable, branchwood of the second moisture content range appeared durable than their corresponding stemwoods.</w:t>
      </w:r>
    </w:p>
    <w:p w14:paraId="31249C37" w14:textId="77777777" w:rsidR="001545BB" w:rsidRPr="00AB3E9C" w:rsidRDefault="001545BB" w:rsidP="009C4B7C">
      <w:pPr>
        <w:pStyle w:val="ListParagraph"/>
        <w:tabs>
          <w:tab w:val="left" w:pos="540"/>
        </w:tabs>
        <w:ind w:left="0"/>
        <w:jc w:val="both"/>
        <w:rPr>
          <w:rFonts w:ascii="Book Antiqua" w:hAnsi="Book Antiqua"/>
        </w:rPr>
      </w:pPr>
    </w:p>
    <w:p w14:paraId="6489C684" w14:textId="77777777" w:rsidR="001545BB" w:rsidRPr="00AB3E9C" w:rsidRDefault="00CA0DAC" w:rsidP="00196385">
      <w:pPr>
        <w:pStyle w:val="ListParagraph"/>
        <w:numPr>
          <w:ilvl w:val="0"/>
          <w:numId w:val="166"/>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Regression Analysis of Road Traffic Accidents and Population in Ghana</w:t>
      </w:r>
    </w:p>
    <w:p w14:paraId="14919C4F" w14:textId="77777777" w:rsidR="00CA0DAC" w:rsidRDefault="00CA0DAC" w:rsidP="009C4B7C">
      <w:pPr>
        <w:pStyle w:val="ListParagraph"/>
        <w:tabs>
          <w:tab w:val="left" w:pos="540"/>
        </w:tabs>
        <w:ind w:left="0"/>
        <w:jc w:val="both"/>
        <w:rPr>
          <w:rFonts w:ascii="Book Antiqua" w:hAnsi="Book Antiqua"/>
          <w:b/>
        </w:rPr>
      </w:pPr>
    </w:p>
    <w:p w14:paraId="31263AD2" w14:textId="77777777" w:rsidR="001545BB" w:rsidRPr="00AB3E9C" w:rsidRDefault="00CA0DAC"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Boakye Agyemang &amp; G. K. Abledu</w:t>
      </w:r>
    </w:p>
    <w:p w14:paraId="22AB6601"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Applied Mathematics Department, Koforidua Polytechnic</w:t>
      </w:r>
    </w:p>
    <w:p w14:paraId="2474F46E" w14:textId="77777777" w:rsidR="005C47F0" w:rsidRDefault="005C47F0" w:rsidP="009C4B7C">
      <w:pPr>
        <w:pStyle w:val="ListParagraph"/>
        <w:tabs>
          <w:tab w:val="left" w:pos="540"/>
        </w:tabs>
        <w:ind w:left="0"/>
        <w:jc w:val="both"/>
        <w:rPr>
          <w:rFonts w:ascii="Book Antiqua" w:hAnsi="Book Antiqua"/>
          <w:b/>
        </w:rPr>
      </w:pPr>
    </w:p>
    <w:p w14:paraId="35D1DF0D"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This study attempts to show statistical evidence of the relationship between road traffic accidents and population in the Eastern Region of Ghana in order to ascertain additional information in contributing to previous researches that have been done in dealing with this menace.</w:t>
      </w:r>
    </w:p>
    <w:p w14:paraId="4F66CD50" w14:textId="77777777" w:rsidR="00A136F1" w:rsidRDefault="00A136F1" w:rsidP="009C4B7C">
      <w:pPr>
        <w:pStyle w:val="ListParagraph"/>
        <w:tabs>
          <w:tab w:val="left" w:pos="540"/>
        </w:tabs>
        <w:ind w:left="0"/>
        <w:jc w:val="both"/>
        <w:rPr>
          <w:rFonts w:ascii="Book Antiqua" w:hAnsi="Book Antiqua"/>
          <w:b/>
        </w:rPr>
      </w:pPr>
    </w:p>
    <w:p w14:paraId="35DF5CDD"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It shows some evidence of statistical significance between road traffic accidents and population in the Eastern Region.</w:t>
      </w:r>
    </w:p>
    <w:p w14:paraId="54FA6C37" w14:textId="77777777" w:rsidR="00A1212D" w:rsidRDefault="00A1212D" w:rsidP="009C4B7C">
      <w:pPr>
        <w:pStyle w:val="ListParagraph"/>
        <w:tabs>
          <w:tab w:val="left" w:pos="540"/>
        </w:tabs>
        <w:ind w:left="0"/>
        <w:jc w:val="both"/>
        <w:rPr>
          <w:rFonts w:ascii="Book Antiqua" w:hAnsi="Book Antiqua"/>
          <w:b/>
        </w:rPr>
      </w:pPr>
    </w:p>
    <w:p w14:paraId="26166355" w14:textId="77777777" w:rsidR="001545BB" w:rsidRPr="00CA0DAC" w:rsidRDefault="00CA0DAC" w:rsidP="009C4B7C">
      <w:pPr>
        <w:pStyle w:val="ListParagraph"/>
        <w:tabs>
          <w:tab w:val="left" w:pos="540"/>
        </w:tabs>
        <w:ind w:left="0"/>
        <w:jc w:val="both"/>
        <w:rPr>
          <w:rFonts w:ascii="Book Antiqua" w:hAnsi="Book Antiqua"/>
          <w:b/>
          <w:sz w:val="26"/>
        </w:rPr>
      </w:pPr>
      <w:r w:rsidRPr="00CA0DAC">
        <w:rPr>
          <w:rFonts w:ascii="Book Antiqua" w:hAnsi="Book Antiqua"/>
          <w:b/>
          <w:sz w:val="26"/>
        </w:rPr>
        <w:lastRenderedPageBreak/>
        <w:t>Computer Lab</w:t>
      </w:r>
      <w:r>
        <w:rPr>
          <w:rFonts w:ascii="Book Antiqua" w:hAnsi="Book Antiqua"/>
          <w:b/>
          <w:sz w:val="26"/>
        </w:rPr>
        <w:t xml:space="preserve"> </w:t>
      </w:r>
      <w:r w:rsidRPr="00CA0DAC">
        <w:rPr>
          <w:rFonts w:ascii="Book Antiqua" w:hAnsi="Book Antiqua"/>
          <w:b/>
          <w:sz w:val="26"/>
        </w:rPr>
        <w:t>1</w:t>
      </w:r>
    </w:p>
    <w:p w14:paraId="43ED7631" w14:textId="77777777" w:rsidR="00CA0DAC" w:rsidRDefault="00CA0DAC" w:rsidP="009C4B7C">
      <w:pPr>
        <w:pStyle w:val="ListParagraph"/>
        <w:tabs>
          <w:tab w:val="left" w:pos="540"/>
        </w:tabs>
        <w:ind w:left="0"/>
        <w:jc w:val="both"/>
        <w:rPr>
          <w:rFonts w:ascii="Book Antiqua" w:hAnsi="Book Antiqua"/>
          <w:b/>
        </w:rPr>
      </w:pPr>
    </w:p>
    <w:p w14:paraId="07DC0621" w14:textId="77777777" w:rsidR="001545BB" w:rsidRPr="00AB3E9C" w:rsidRDefault="00CA0DAC" w:rsidP="009C4B7C">
      <w:pPr>
        <w:pStyle w:val="ListParagraph"/>
        <w:tabs>
          <w:tab w:val="left" w:pos="540"/>
        </w:tabs>
        <w:ind w:left="0"/>
        <w:jc w:val="both"/>
        <w:rPr>
          <w:rFonts w:ascii="Book Antiqua" w:hAnsi="Book Antiqua"/>
          <w:b/>
        </w:rPr>
      </w:pPr>
      <w:r w:rsidRPr="00AB3E9C">
        <w:rPr>
          <w:rFonts w:ascii="Book Antiqua" w:hAnsi="Book Antiqua"/>
          <w:b/>
        </w:rPr>
        <w:t>Chairman: Mr. Nicholas Siaw, De</w:t>
      </w:r>
      <w:r>
        <w:rPr>
          <w:rFonts w:ascii="Book Antiqua" w:hAnsi="Book Antiqua"/>
          <w:b/>
        </w:rPr>
        <w:t>an- School of Applied Sciences a</w:t>
      </w:r>
      <w:r w:rsidRPr="00AB3E9C">
        <w:rPr>
          <w:rFonts w:ascii="Book Antiqua" w:hAnsi="Book Antiqua"/>
          <w:b/>
        </w:rPr>
        <w:t>nd Technology, Koforidua Polytechnic</w:t>
      </w:r>
    </w:p>
    <w:p w14:paraId="1EE3C8AD" w14:textId="77777777" w:rsidR="001545BB" w:rsidRPr="00AB3E9C" w:rsidRDefault="001545BB" w:rsidP="009C4B7C">
      <w:pPr>
        <w:pStyle w:val="ListParagraph"/>
        <w:tabs>
          <w:tab w:val="left" w:pos="540"/>
        </w:tabs>
        <w:ind w:left="0"/>
        <w:jc w:val="both"/>
        <w:rPr>
          <w:rFonts w:ascii="Book Antiqua" w:hAnsi="Book Antiqua"/>
          <w:b/>
        </w:rPr>
      </w:pPr>
    </w:p>
    <w:p w14:paraId="23966087" w14:textId="77777777" w:rsidR="001545BB" w:rsidRPr="00AB3E9C" w:rsidRDefault="00CA0DAC" w:rsidP="00196385">
      <w:pPr>
        <w:pStyle w:val="ListParagraph"/>
        <w:numPr>
          <w:ilvl w:val="0"/>
          <w:numId w:val="166"/>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xml:space="preserve">: Reduction of Impulse Noise in Processing Images Using Median and Frequency Filtering Algorithms </w:t>
      </w:r>
    </w:p>
    <w:p w14:paraId="5B01E00D" w14:textId="77777777" w:rsidR="00CA0DAC" w:rsidRDefault="00CA0DAC" w:rsidP="009C4B7C">
      <w:pPr>
        <w:pStyle w:val="ListParagraph"/>
        <w:tabs>
          <w:tab w:val="left" w:pos="540"/>
        </w:tabs>
        <w:ind w:left="0"/>
        <w:jc w:val="both"/>
        <w:rPr>
          <w:rFonts w:ascii="Book Antiqua" w:hAnsi="Book Antiqua"/>
          <w:b/>
        </w:rPr>
      </w:pPr>
    </w:p>
    <w:p w14:paraId="71FD37B9" w14:textId="77777777" w:rsidR="001545BB" w:rsidRPr="00AB3E9C" w:rsidRDefault="00CA0DAC"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Prince Yaw Owusu Amoako, Kofi Adu Manu Sarpong &amp; John Kingsley Arthur</w:t>
      </w:r>
    </w:p>
    <w:p w14:paraId="1A4FAEB8"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Valley View University, Dodowa, Accra</w:t>
      </w:r>
    </w:p>
    <w:p w14:paraId="7DEE7BB7" w14:textId="77777777" w:rsidR="005C47F0" w:rsidRDefault="005C47F0" w:rsidP="009C4B7C">
      <w:pPr>
        <w:pStyle w:val="ListParagraph"/>
        <w:tabs>
          <w:tab w:val="left" w:pos="540"/>
        </w:tabs>
        <w:ind w:left="0"/>
        <w:jc w:val="both"/>
        <w:rPr>
          <w:rFonts w:ascii="Book Antiqua" w:hAnsi="Book Antiqua"/>
          <w:b/>
        </w:rPr>
      </w:pPr>
    </w:p>
    <w:p w14:paraId="410D287F"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 xml:space="preserve">Aim: </w:t>
      </w:r>
      <w:r w:rsidRPr="00AB3E9C">
        <w:rPr>
          <w:rFonts w:ascii="Book Antiqua" w:hAnsi="Book Antiqua"/>
        </w:rPr>
        <w:t xml:space="preserve">To present an application of median and frequency filtering algorithms in image processing by reducing impulse noise from images. </w:t>
      </w:r>
    </w:p>
    <w:p w14:paraId="30D76448" w14:textId="77777777" w:rsidR="00A136F1" w:rsidRDefault="00A136F1" w:rsidP="009C4B7C">
      <w:pPr>
        <w:pStyle w:val="ListParagraph"/>
        <w:tabs>
          <w:tab w:val="left" w:pos="540"/>
        </w:tabs>
        <w:ind w:left="0"/>
        <w:jc w:val="both"/>
        <w:rPr>
          <w:rFonts w:ascii="Book Antiqua" w:hAnsi="Book Antiqua"/>
          <w:b/>
        </w:rPr>
      </w:pPr>
    </w:p>
    <w:p w14:paraId="522EF752"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Conclusions are made to make it easier for median and frequency filtering to detect and preserve edge details of an image and that Ghanaian multimedia production can be improved.</w:t>
      </w:r>
    </w:p>
    <w:p w14:paraId="6ED2E478" w14:textId="77777777" w:rsidR="001545BB" w:rsidRPr="00AB3E9C" w:rsidRDefault="001545BB" w:rsidP="009C4B7C">
      <w:pPr>
        <w:pStyle w:val="ListParagraph"/>
        <w:tabs>
          <w:tab w:val="left" w:pos="540"/>
        </w:tabs>
        <w:ind w:left="0"/>
        <w:jc w:val="both"/>
        <w:rPr>
          <w:rFonts w:ascii="Book Antiqua" w:hAnsi="Book Antiqua"/>
        </w:rPr>
      </w:pPr>
    </w:p>
    <w:p w14:paraId="2B93CE13" w14:textId="77777777" w:rsidR="001545BB" w:rsidRPr="00AB3E9C" w:rsidRDefault="00CA0DAC" w:rsidP="00196385">
      <w:pPr>
        <w:pStyle w:val="ListParagraph"/>
        <w:numPr>
          <w:ilvl w:val="0"/>
          <w:numId w:val="166"/>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TVET Centre for Medical Equipment (Maintenance Training Repair Services and Operation)</w:t>
      </w:r>
    </w:p>
    <w:p w14:paraId="605579C1" w14:textId="77777777" w:rsidR="00CA0DAC" w:rsidRDefault="00CA0DAC" w:rsidP="009C4B7C">
      <w:pPr>
        <w:pStyle w:val="ListParagraph"/>
        <w:tabs>
          <w:tab w:val="left" w:pos="540"/>
        </w:tabs>
        <w:ind w:left="0"/>
        <w:jc w:val="both"/>
        <w:rPr>
          <w:rFonts w:ascii="Book Antiqua" w:hAnsi="Book Antiqua"/>
          <w:b/>
        </w:rPr>
      </w:pPr>
    </w:p>
    <w:p w14:paraId="4A2CCC8F" w14:textId="77777777" w:rsidR="001545BB" w:rsidRPr="00AB3E9C" w:rsidRDefault="00CA0DAC"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Ahmed M. Gedel, School of Applied Science, Accra Polytechnic</w:t>
      </w:r>
    </w:p>
    <w:p w14:paraId="33B075EC" w14:textId="77777777" w:rsidR="005C47F0" w:rsidRDefault="005C47F0" w:rsidP="009C4B7C">
      <w:pPr>
        <w:pStyle w:val="ListParagraph"/>
        <w:tabs>
          <w:tab w:val="left" w:pos="540"/>
        </w:tabs>
        <w:ind w:left="0"/>
        <w:jc w:val="both"/>
        <w:rPr>
          <w:rFonts w:ascii="Book Antiqua" w:hAnsi="Book Antiqua"/>
          <w:b/>
        </w:rPr>
      </w:pPr>
    </w:p>
    <w:p w14:paraId="13A8AEC3" w14:textId="77777777" w:rsidR="005C47F0" w:rsidRPr="00A136F1"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This conceptual TVET project, envisioned the establishment of TVET centre which would focus on providing middle level TVET programme on highly demanded subjects.</w:t>
      </w:r>
    </w:p>
    <w:p w14:paraId="49452204" w14:textId="77777777" w:rsidR="007C0B74"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The envisioned centre therefore, includes provision of services like maintenance training, and repair of medical equipment, focusing on building sustainable technical capacity,</w:t>
      </w:r>
    </w:p>
    <w:p w14:paraId="7C36CF9D" w14:textId="77777777" w:rsidR="001545BB" w:rsidRDefault="001545BB" w:rsidP="009C4B7C">
      <w:pPr>
        <w:pStyle w:val="ListParagraph"/>
        <w:tabs>
          <w:tab w:val="left" w:pos="540"/>
        </w:tabs>
        <w:ind w:left="0"/>
        <w:jc w:val="both"/>
        <w:rPr>
          <w:rFonts w:ascii="Book Antiqua" w:hAnsi="Book Antiqua"/>
        </w:rPr>
      </w:pPr>
      <w:r w:rsidRPr="00AB3E9C">
        <w:rPr>
          <w:rFonts w:ascii="Book Antiqua" w:hAnsi="Book Antiqua"/>
        </w:rPr>
        <w:t xml:space="preserve"> implementing transparent and pragmatic systems, while focusing on the preventative care and safe usage of medical equipment.</w:t>
      </w:r>
    </w:p>
    <w:p w14:paraId="5DC7A3E8" w14:textId="77777777" w:rsidR="00A1212D" w:rsidRPr="00AB3E9C" w:rsidRDefault="00A1212D" w:rsidP="009C4B7C">
      <w:pPr>
        <w:pStyle w:val="ListParagraph"/>
        <w:tabs>
          <w:tab w:val="left" w:pos="540"/>
        </w:tabs>
        <w:ind w:left="0"/>
        <w:jc w:val="both"/>
        <w:rPr>
          <w:rFonts w:ascii="Book Antiqua" w:hAnsi="Book Antiqua"/>
        </w:rPr>
      </w:pPr>
    </w:p>
    <w:p w14:paraId="4EE7EE72" w14:textId="77777777" w:rsidR="001545BB" w:rsidRPr="00AB3E9C" w:rsidRDefault="00CA0DAC" w:rsidP="00196385">
      <w:pPr>
        <w:pStyle w:val="ListParagraph"/>
        <w:numPr>
          <w:ilvl w:val="0"/>
          <w:numId w:val="166"/>
        </w:numPr>
        <w:tabs>
          <w:tab w:val="left" w:pos="45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Impact of Household Storage Tanks and Practices on Quality of Rainwater Stored: A Case Study of Central Gonja District, Ghana</w:t>
      </w:r>
    </w:p>
    <w:p w14:paraId="32B36C39" w14:textId="77777777" w:rsidR="00CA0DAC" w:rsidRDefault="00CA0DAC" w:rsidP="009C4B7C">
      <w:pPr>
        <w:pStyle w:val="ListParagraph"/>
        <w:tabs>
          <w:tab w:val="left" w:pos="540"/>
        </w:tabs>
        <w:ind w:left="0"/>
        <w:jc w:val="both"/>
        <w:rPr>
          <w:rFonts w:ascii="Book Antiqua" w:hAnsi="Book Antiqua"/>
          <w:b/>
        </w:rPr>
      </w:pPr>
    </w:p>
    <w:p w14:paraId="284B9442" w14:textId="77777777" w:rsidR="001545BB" w:rsidRPr="00AB3E9C" w:rsidRDefault="00CA0DAC"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Issaka Zakaria, Adam Baba Yussif &amp; Napoleon Abiwu</w:t>
      </w:r>
    </w:p>
    <w:p w14:paraId="768381BD"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Agricultural Engineering Department, Tamale Polytechnic, Tamale; Agricultural Engineering Department, Kwame Nkrumah University of Science and Technology, Kumasi</w:t>
      </w:r>
      <w:r w:rsidR="007C0B74">
        <w:rPr>
          <w:rFonts w:ascii="Book Antiqua" w:hAnsi="Book Antiqua"/>
        </w:rPr>
        <w:t>.</w:t>
      </w:r>
    </w:p>
    <w:p w14:paraId="2E1520BA" w14:textId="77777777" w:rsidR="005C47F0" w:rsidRDefault="005C47F0" w:rsidP="009C4B7C">
      <w:pPr>
        <w:pStyle w:val="ListParagraph"/>
        <w:tabs>
          <w:tab w:val="left" w:pos="540"/>
        </w:tabs>
        <w:ind w:left="0"/>
        <w:jc w:val="both"/>
        <w:rPr>
          <w:rFonts w:ascii="Book Antiqua" w:hAnsi="Book Antiqua"/>
          <w:b/>
        </w:rPr>
      </w:pPr>
    </w:p>
    <w:p w14:paraId="7B955D27"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This study focuses on the impact of household storage tank and practices on the quality of rainwater stored in Central Gonja District of northern Ghana.</w:t>
      </w:r>
    </w:p>
    <w:p w14:paraId="2C239C5A" w14:textId="77777777" w:rsidR="005C47F0" w:rsidRDefault="005C47F0" w:rsidP="009C4B7C">
      <w:pPr>
        <w:pStyle w:val="ListParagraph"/>
        <w:tabs>
          <w:tab w:val="left" w:pos="540"/>
        </w:tabs>
        <w:ind w:left="0"/>
        <w:jc w:val="both"/>
        <w:rPr>
          <w:rFonts w:ascii="Book Antiqua" w:hAnsi="Book Antiqua"/>
          <w:b/>
        </w:rPr>
      </w:pPr>
    </w:p>
    <w:p w14:paraId="6D31F3D9"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The results show that faecal contamination of rainwater stored is the result of poor storage and sanitation practices on the part of households. It also shows that the type of storage material has direct impact more on the physic-chemical quality of rainwater stored and care must be taken in the use of metal tanks for rainwater storage.</w:t>
      </w:r>
    </w:p>
    <w:p w14:paraId="3064ACCA" w14:textId="77777777" w:rsidR="00A136F1" w:rsidRPr="00AB3E9C" w:rsidRDefault="00A136F1" w:rsidP="009C4B7C">
      <w:pPr>
        <w:pStyle w:val="ListParagraph"/>
        <w:tabs>
          <w:tab w:val="left" w:pos="540"/>
        </w:tabs>
        <w:ind w:left="0"/>
        <w:jc w:val="both"/>
        <w:rPr>
          <w:rFonts w:ascii="Book Antiqua" w:hAnsi="Book Antiqua"/>
        </w:rPr>
      </w:pPr>
    </w:p>
    <w:p w14:paraId="21459D06" w14:textId="77777777" w:rsidR="001545BB" w:rsidRPr="00AB3E9C" w:rsidRDefault="00CA0DAC" w:rsidP="00196385">
      <w:pPr>
        <w:pStyle w:val="ListParagraph"/>
        <w:numPr>
          <w:ilvl w:val="0"/>
          <w:numId w:val="166"/>
        </w:numPr>
        <w:tabs>
          <w:tab w:val="left" w:pos="54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Developing Capacity for the Production of Teaching Aids using Locally Available Materials: Plastination of Three Bovine Hearts and Kidneys</w:t>
      </w:r>
    </w:p>
    <w:p w14:paraId="06A5A847" w14:textId="77777777" w:rsidR="00CA0DAC" w:rsidRDefault="00CA0DAC" w:rsidP="009C4B7C">
      <w:pPr>
        <w:pStyle w:val="ListParagraph"/>
        <w:tabs>
          <w:tab w:val="left" w:pos="540"/>
        </w:tabs>
        <w:ind w:left="0"/>
        <w:jc w:val="both"/>
        <w:rPr>
          <w:rFonts w:ascii="Book Antiqua" w:hAnsi="Book Antiqua"/>
          <w:b/>
        </w:rPr>
      </w:pPr>
    </w:p>
    <w:p w14:paraId="1C356F02" w14:textId="77777777" w:rsidR="001545BB" w:rsidRPr="00AB3E9C" w:rsidRDefault="00CA0DAC"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Ameko, E., Achio, S., Alhassan, S., Sam, E. E., Quaynor L. S &amp;Alorka, S.</w:t>
      </w:r>
    </w:p>
    <w:p w14:paraId="48F05094"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Department of Science Laboratory Technology, Accra Polytechnic</w:t>
      </w:r>
    </w:p>
    <w:p w14:paraId="46502817" w14:textId="77777777" w:rsidR="005C47F0" w:rsidRDefault="005C47F0" w:rsidP="009C4B7C">
      <w:pPr>
        <w:pStyle w:val="ListParagraph"/>
        <w:tabs>
          <w:tab w:val="left" w:pos="540"/>
        </w:tabs>
        <w:ind w:left="0"/>
        <w:jc w:val="both"/>
        <w:rPr>
          <w:rFonts w:ascii="Book Antiqua" w:hAnsi="Book Antiqua"/>
          <w:b/>
        </w:rPr>
      </w:pPr>
    </w:p>
    <w:p w14:paraId="0C1ECA88"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lastRenderedPageBreak/>
        <w:t>Aim:</w:t>
      </w:r>
      <w:r w:rsidRPr="00AB3E9C">
        <w:rPr>
          <w:rFonts w:ascii="Book Antiqua" w:hAnsi="Book Antiqua"/>
        </w:rPr>
        <w:t xml:space="preserve"> To develop appropriate technology and skills using locally available materials for the production of plastinated specimen in Ghana for use as teaching aids in the Life Sciences.</w:t>
      </w:r>
    </w:p>
    <w:p w14:paraId="144C8486" w14:textId="77777777" w:rsidR="007C0B74" w:rsidRDefault="007C0B74" w:rsidP="009C4B7C">
      <w:pPr>
        <w:pStyle w:val="ListParagraph"/>
        <w:tabs>
          <w:tab w:val="left" w:pos="540"/>
        </w:tabs>
        <w:ind w:left="0"/>
        <w:jc w:val="both"/>
        <w:rPr>
          <w:rFonts w:ascii="Book Antiqua" w:hAnsi="Book Antiqua"/>
          <w:b/>
        </w:rPr>
      </w:pPr>
    </w:p>
    <w:p w14:paraId="5684B63C" w14:textId="77777777" w:rsidR="001545BB"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The results support the assertion that the plastination procedure can be suitably adapted for use by developing countries for the production of plastinated specimens. </w:t>
      </w:r>
    </w:p>
    <w:p w14:paraId="3C50066C" w14:textId="77777777" w:rsidR="001545BB" w:rsidRPr="00AB3E9C" w:rsidRDefault="001545BB" w:rsidP="009C4B7C">
      <w:pPr>
        <w:pStyle w:val="ListParagraph"/>
        <w:tabs>
          <w:tab w:val="left" w:pos="540"/>
        </w:tabs>
        <w:ind w:left="0"/>
        <w:jc w:val="both"/>
        <w:rPr>
          <w:rFonts w:ascii="Book Antiqua" w:hAnsi="Book Antiqua"/>
        </w:rPr>
      </w:pPr>
    </w:p>
    <w:p w14:paraId="651322EA" w14:textId="77777777" w:rsidR="001545BB" w:rsidRPr="00AB3E9C" w:rsidRDefault="0075252D" w:rsidP="00196385">
      <w:pPr>
        <w:pStyle w:val="ListParagraph"/>
        <w:numPr>
          <w:ilvl w:val="0"/>
          <w:numId w:val="166"/>
        </w:numPr>
        <w:tabs>
          <w:tab w:val="left" w:pos="360"/>
        </w:tabs>
        <w:ind w:left="0" w:firstLine="0"/>
        <w:jc w:val="both"/>
        <w:rPr>
          <w:rFonts w:ascii="Book Antiqua" w:hAnsi="Book Antiqua"/>
          <w:b/>
        </w:rPr>
      </w:pPr>
      <w:r w:rsidRPr="00AB3E9C">
        <w:rPr>
          <w:rFonts w:ascii="Book Antiqua" w:hAnsi="Book Antiqua"/>
          <w:b/>
        </w:rPr>
        <w:t>Topic</w:t>
      </w:r>
      <w:r w:rsidR="001545BB" w:rsidRPr="00AB3E9C">
        <w:rPr>
          <w:rFonts w:ascii="Book Antiqua" w:hAnsi="Book Antiqua"/>
          <w:b/>
        </w:rPr>
        <w:t>: Assessment of Level of Lead and Cadmium Content in Selected Plastic Toys Imported from China on the Ghanaian Market</w:t>
      </w:r>
    </w:p>
    <w:p w14:paraId="2A2F685D" w14:textId="77777777" w:rsidR="0075252D" w:rsidRDefault="0075252D" w:rsidP="009C4B7C">
      <w:pPr>
        <w:pStyle w:val="ListParagraph"/>
        <w:tabs>
          <w:tab w:val="left" w:pos="540"/>
        </w:tabs>
        <w:ind w:left="0"/>
        <w:jc w:val="both"/>
        <w:rPr>
          <w:rFonts w:ascii="Book Antiqua" w:hAnsi="Book Antiqua"/>
          <w:b/>
        </w:rPr>
      </w:pPr>
    </w:p>
    <w:p w14:paraId="77C38D33" w14:textId="77777777" w:rsidR="001545BB" w:rsidRPr="00AB3E9C" w:rsidRDefault="0075252D" w:rsidP="009C4B7C">
      <w:pPr>
        <w:pStyle w:val="ListParagraph"/>
        <w:tabs>
          <w:tab w:val="left" w:pos="540"/>
        </w:tabs>
        <w:ind w:left="0"/>
        <w:jc w:val="both"/>
        <w:rPr>
          <w:rFonts w:ascii="Book Antiqua" w:hAnsi="Book Antiqua"/>
          <w:b/>
        </w:rPr>
      </w:pPr>
      <w:r w:rsidRPr="00AB3E9C">
        <w:rPr>
          <w:rFonts w:ascii="Book Antiqua" w:hAnsi="Book Antiqua"/>
          <w:b/>
        </w:rPr>
        <w:t>Presenters</w:t>
      </w:r>
      <w:r w:rsidR="001545BB" w:rsidRPr="00AB3E9C">
        <w:rPr>
          <w:rFonts w:ascii="Book Antiqua" w:hAnsi="Book Antiqua"/>
          <w:b/>
        </w:rPr>
        <w:t>: Livingstone Kudjoe Gati, Leticia Bokor &amp; Emmanuel Offoh</w:t>
      </w:r>
    </w:p>
    <w:p w14:paraId="240CE06E"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Science Laboratory Technology Department, Accra Polytechnic &amp; Tema Oil Refinery, Tema</w:t>
      </w:r>
    </w:p>
    <w:p w14:paraId="1D0A9C07" w14:textId="77777777" w:rsidR="005C47F0" w:rsidRDefault="005C47F0" w:rsidP="009C4B7C">
      <w:pPr>
        <w:pStyle w:val="ListParagraph"/>
        <w:tabs>
          <w:tab w:val="left" w:pos="540"/>
        </w:tabs>
        <w:ind w:left="0"/>
        <w:jc w:val="both"/>
        <w:rPr>
          <w:rFonts w:ascii="Book Antiqua" w:hAnsi="Book Antiqua"/>
          <w:b/>
        </w:rPr>
      </w:pPr>
    </w:p>
    <w:p w14:paraId="3B1077A2"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Aim:</w:t>
      </w:r>
      <w:r w:rsidRPr="00AB3E9C">
        <w:rPr>
          <w:rFonts w:ascii="Book Antiqua" w:hAnsi="Book Antiqua"/>
        </w:rPr>
        <w:t xml:space="preserve"> This research is carried out to assess the level of Lead and Cadmium in randomly selected soft plastic toys manufactured in China.</w:t>
      </w:r>
    </w:p>
    <w:p w14:paraId="01CA5972" w14:textId="77777777" w:rsidR="005C47F0" w:rsidRDefault="005C47F0" w:rsidP="009C4B7C">
      <w:pPr>
        <w:pStyle w:val="ListParagraph"/>
        <w:tabs>
          <w:tab w:val="left" w:pos="540"/>
        </w:tabs>
        <w:ind w:left="0"/>
        <w:jc w:val="both"/>
        <w:rPr>
          <w:rFonts w:ascii="Book Antiqua" w:hAnsi="Book Antiqua"/>
          <w:b/>
        </w:rPr>
      </w:pPr>
    </w:p>
    <w:p w14:paraId="4AD62ADA"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Result:</w:t>
      </w:r>
      <w:r w:rsidRPr="00AB3E9C">
        <w:rPr>
          <w:rFonts w:ascii="Book Antiqua" w:hAnsi="Book Antiqua"/>
        </w:rPr>
        <w:t xml:space="preserve"> The result shows that the low levels notwithstanding, suggests that children who play with these toys are at risk of Lead and Cadmium exposure.</w:t>
      </w:r>
    </w:p>
    <w:p w14:paraId="1536CF22" w14:textId="77777777" w:rsidR="001545BB" w:rsidRPr="00AB3E9C" w:rsidRDefault="001545BB" w:rsidP="009C4B7C">
      <w:pPr>
        <w:pStyle w:val="ListParagraph"/>
        <w:tabs>
          <w:tab w:val="left" w:pos="540"/>
        </w:tabs>
        <w:ind w:left="0"/>
        <w:jc w:val="both"/>
        <w:rPr>
          <w:rFonts w:ascii="Book Antiqua" w:hAnsi="Book Antiqua"/>
          <w:b/>
        </w:rPr>
      </w:pPr>
    </w:p>
    <w:p w14:paraId="72B4FEF9" w14:textId="77777777" w:rsidR="005C47F0" w:rsidRDefault="005C47F0" w:rsidP="009C4B7C">
      <w:pPr>
        <w:pStyle w:val="ListParagraph"/>
        <w:tabs>
          <w:tab w:val="left" w:pos="540"/>
        </w:tabs>
        <w:ind w:left="0"/>
        <w:jc w:val="both"/>
        <w:rPr>
          <w:rFonts w:ascii="Book Antiqua" w:hAnsi="Book Antiqua"/>
          <w:b/>
        </w:rPr>
      </w:pPr>
    </w:p>
    <w:p w14:paraId="24A69C6E" w14:textId="77777777" w:rsidR="001545BB" w:rsidRPr="002820BE" w:rsidRDefault="003F6292" w:rsidP="009C4B7C">
      <w:pPr>
        <w:pStyle w:val="ListParagraph"/>
        <w:tabs>
          <w:tab w:val="left" w:pos="540"/>
        </w:tabs>
        <w:ind w:left="0"/>
        <w:jc w:val="both"/>
        <w:rPr>
          <w:rFonts w:ascii="Book Antiqua" w:hAnsi="Book Antiqua"/>
          <w:b/>
          <w:sz w:val="30"/>
        </w:rPr>
      </w:pPr>
      <w:r>
        <w:rPr>
          <w:rFonts w:ascii="Book Antiqua" w:hAnsi="Book Antiqua"/>
          <w:b/>
          <w:sz w:val="30"/>
        </w:rPr>
        <w:t>Rapporteurs O</w:t>
      </w:r>
      <w:r w:rsidR="00CA0DAC" w:rsidRPr="002820BE">
        <w:rPr>
          <w:rFonts w:ascii="Book Antiqua" w:hAnsi="Book Antiqua"/>
          <w:b/>
          <w:sz w:val="30"/>
        </w:rPr>
        <w:t>bservations</w:t>
      </w:r>
    </w:p>
    <w:p w14:paraId="26CBF91C" w14:textId="77777777" w:rsidR="005C47F0" w:rsidRDefault="005C47F0" w:rsidP="009C4B7C">
      <w:pPr>
        <w:pStyle w:val="ListParagraph"/>
        <w:tabs>
          <w:tab w:val="left" w:pos="540"/>
        </w:tabs>
        <w:ind w:left="0"/>
        <w:jc w:val="both"/>
        <w:rPr>
          <w:rFonts w:ascii="Book Antiqua" w:hAnsi="Book Antiqua"/>
          <w:b/>
        </w:rPr>
      </w:pPr>
    </w:p>
    <w:p w14:paraId="7A207625"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Sessions:</w:t>
      </w:r>
      <w:r w:rsidRPr="00AB3E9C">
        <w:rPr>
          <w:rFonts w:ascii="Book Antiqua" w:hAnsi="Book Antiqua"/>
        </w:rPr>
        <w:t xml:space="preserve"> There were five sessions. The last three sessions were held in two parallel sessions. Business related papers were presented at Abba Bentil Andam Theatre and Engineering and Applied Sciences papers were held at the Computer Lab 1.</w:t>
      </w:r>
    </w:p>
    <w:p w14:paraId="4A615483"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Presentations:</w:t>
      </w:r>
      <w:r w:rsidRPr="00AB3E9C">
        <w:rPr>
          <w:rFonts w:ascii="Book Antiqua" w:hAnsi="Book Antiqua"/>
        </w:rPr>
        <w:t xml:space="preserve"> There were Thirty-nine (39) presentations in all: Thirty-three (33) collaborative presentations as well as Six (6) single presentations.</w:t>
      </w:r>
    </w:p>
    <w:p w14:paraId="12F41529" w14:textId="77777777" w:rsidR="005C47F0" w:rsidRDefault="005C47F0" w:rsidP="009C4B7C">
      <w:pPr>
        <w:pStyle w:val="ListParagraph"/>
        <w:tabs>
          <w:tab w:val="left" w:pos="540"/>
        </w:tabs>
        <w:ind w:left="0"/>
        <w:jc w:val="both"/>
        <w:rPr>
          <w:rFonts w:ascii="Book Antiqua" w:hAnsi="Book Antiqua"/>
          <w:b/>
        </w:rPr>
      </w:pPr>
    </w:p>
    <w:p w14:paraId="38DC8B21"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Attendance:</w:t>
      </w:r>
      <w:r w:rsidRPr="00AB3E9C">
        <w:rPr>
          <w:rFonts w:ascii="Book Antiqua" w:hAnsi="Book Antiqua"/>
        </w:rPr>
        <w:t xml:space="preserve"> There were One Hundred and Fifty-one (151) participants from under listed participating institutions. </w:t>
      </w:r>
    </w:p>
    <w:p w14:paraId="7FD24488" w14:textId="77777777" w:rsidR="005C47F0" w:rsidRDefault="005C47F0" w:rsidP="009C4B7C">
      <w:pPr>
        <w:pStyle w:val="ListParagraph"/>
        <w:tabs>
          <w:tab w:val="left" w:pos="540"/>
        </w:tabs>
        <w:ind w:left="0"/>
        <w:jc w:val="both"/>
        <w:rPr>
          <w:rFonts w:ascii="Book Antiqua" w:hAnsi="Book Antiqua"/>
          <w:b/>
        </w:rPr>
      </w:pPr>
    </w:p>
    <w:p w14:paraId="409C038D"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b/>
        </w:rPr>
        <w:t>Socialization</w:t>
      </w:r>
      <w:r w:rsidRPr="00AB3E9C">
        <w:rPr>
          <w:rFonts w:ascii="Book Antiqua" w:hAnsi="Book Antiqua"/>
        </w:rPr>
        <w:t>: On the second day, participants made a trip to Boti Falls, the Umbrella Rock and the Mysterious Palm Tree at Huhunya some miles from Koforidua.</w:t>
      </w:r>
    </w:p>
    <w:p w14:paraId="3C4112A9" w14:textId="77777777" w:rsidR="005C47F0" w:rsidRDefault="005C47F0" w:rsidP="009C4B7C">
      <w:pPr>
        <w:pStyle w:val="ListParagraph"/>
        <w:tabs>
          <w:tab w:val="left" w:pos="540"/>
        </w:tabs>
        <w:ind w:left="0"/>
        <w:jc w:val="both"/>
        <w:rPr>
          <w:rFonts w:ascii="Book Antiqua" w:hAnsi="Book Antiqua"/>
        </w:rPr>
      </w:pPr>
    </w:p>
    <w:p w14:paraId="2775C074"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On the third day, there was a dinner to crown the conference at GNAT Hall, Koforidua.</w:t>
      </w:r>
    </w:p>
    <w:p w14:paraId="6B64DA8F" w14:textId="77777777" w:rsidR="001545BB" w:rsidRPr="00AB3E9C" w:rsidRDefault="001545BB" w:rsidP="009C4B7C">
      <w:pPr>
        <w:pStyle w:val="ListParagraph"/>
        <w:tabs>
          <w:tab w:val="left" w:pos="540"/>
        </w:tabs>
        <w:ind w:left="0"/>
        <w:jc w:val="both"/>
        <w:rPr>
          <w:rFonts w:ascii="Book Antiqua" w:hAnsi="Book Antiqua"/>
          <w:b/>
        </w:rPr>
      </w:pPr>
    </w:p>
    <w:p w14:paraId="1721978A" w14:textId="77777777" w:rsidR="001545BB" w:rsidRPr="0075252D" w:rsidRDefault="0075252D" w:rsidP="009C4B7C">
      <w:pPr>
        <w:pStyle w:val="ListParagraph"/>
        <w:tabs>
          <w:tab w:val="left" w:pos="540"/>
        </w:tabs>
        <w:ind w:left="0"/>
        <w:jc w:val="both"/>
        <w:rPr>
          <w:rFonts w:ascii="Book Antiqua" w:hAnsi="Book Antiqua"/>
          <w:b/>
          <w:sz w:val="26"/>
        </w:rPr>
      </w:pPr>
      <w:r w:rsidRPr="0075252D">
        <w:rPr>
          <w:rFonts w:ascii="Book Antiqua" w:hAnsi="Book Antiqua"/>
          <w:b/>
          <w:sz w:val="26"/>
        </w:rPr>
        <w:t>Participating Institutions</w:t>
      </w:r>
    </w:p>
    <w:p w14:paraId="7EBF38B5" w14:textId="77777777" w:rsidR="0075252D" w:rsidRDefault="0075252D" w:rsidP="009C4B7C">
      <w:pPr>
        <w:pStyle w:val="ListParagraph"/>
        <w:tabs>
          <w:tab w:val="left" w:pos="540"/>
        </w:tabs>
        <w:ind w:left="0"/>
        <w:jc w:val="both"/>
        <w:rPr>
          <w:rFonts w:ascii="Book Antiqua" w:hAnsi="Book Antiqua"/>
          <w:b/>
        </w:rPr>
      </w:pPr>
    </w:p>
    <w:p w14:paraId="08EF8513" w14:textId="77777777" w:rsidR="001545BB" w:rsidRPr="00975B58" w:rsidRDefault="0075252D" w:rsidP="009C4B7C">
      <w:pPr>
        <w:pStyle w:val="ListParagraph"/>
        <w:tabs>
          <w:tab w:val="left" w:pos="540"/>
        </w:tabs>
        <w:ind w:left="0"/>
        <w:jc w:val="both"/>
        <w:rPr>
          <w:rFonts w:ascii="Book Antiqua" w:hAnsi="Book Antiqua"/>
          <w:b/>
          <w:sz w:val="24"/>
        </w:rPr>
      </w:pPr>
      <w:r w:rsidRPr="00975B58">
        <w:rPr>
          <w:rFonts w:ascii="Book Antiqua" w:hAnsi="Book Antiqua"/>
          <w:b/>
          <w:sz w:val="24"/>
        </w:rPr>
        <w:t>Universities</w:t>
      </w:r>
    </w:p>
    <w:p w14:paraId="67D0CD31"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Herriot-Watt University, UK</w:t>
      </w:r>
    </w:p>
    <w:p w14:paraId="505CBFD8"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Buddha Institute of Technology</w:t>
      </w:r>
    </w:p>
    <w:p w14:paraId="1138A2A7"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All Nations University College, Koforidua</w:t>
      </w:r>
    </w:p>
    <w:p w14:paraId="44C4AAB2"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Ghana Technology University College</w:t>
      </w:r>
    </w:p>
    <w:p w14:paraId="47D55A30"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KAAF University College</w:t>
      </w:r>
    </w:p>
    <w:p w14:paraId="5EF1B003"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Kwame Nkrumah University of Science and Technology</w:t>
      </w:r>
    </w:p>
    <w:p w14:paraId="78FA555A"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University of Ghana, Legon, Accra</w:t>
      </w:r>
    </w:p>
    <w:p w14:paraId="36A95DF9"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University of Education, Kumasi Campus</w:t>
      </w:r>
    </w:p>
    <w:p w14:paraId="1A86F21A"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Valley View University, Dodowa, Accra</w:t>
      </w:r>
    </w:p>
    <w:p w14:paraId="46027E5A" w14:textId="77777777" w:rsidR="001545BB" w:rsidRPr="00AB3E9C" w:rsidRDefault="001545BB" w:rsidP="009C4B7C">
      <w:pPr>
        <w:pStyle w:val="ListParagraph"/>
        <w:tabs>
          <w:tab w:val="left" w:pos="540"/>
        </w:tabs>
        <w:ind w:left="0"/>
        <w:jc w:val="both"/>
        <w:rPr>
          <w:rFonts w:ascii="Book Antiqua" w:hAnsi="Book Antiqua"/>
          <w:b/>
        </w:rPr>
      </w:pPr>
    </w:p>
    <w:p w14:paraId="68B6114B" w14:textId="77777777" w:rsidR="001545BB" w:rsidRPr="00975B58" w:rsidRDefault="00975B58" w:rsidP="009C4B7C">
      <w:pPr>
        <w:pStyle w:val="ListParagraph"/>
        <w:tabs>
          <w:tab w:val="left" w:pos="540"/>
        </w:tabs>
        <w:ind w:left="0"/>
        <w:jc w:val="both"/>
        <w:rPr>
          <w:rFonts w:ascii="Book Antiqua" w:hAnsi="Book Antiqua"/>
          <w:b/>
          <w:sz w:val="24"/>
        </w:rPr>
      </w:pPr>
      <w:r w:rsidRPr="00975B58">
        <w:rPr>
          <w:rFonts w:ascii="Book Antiqua" w:hAnsi="Book Antiqua"/>
          <w:b/>
          <w:sz w:val="24"/>
        </w:rPr>
        <w:t>Polytechnics</w:t>
      </w:r>
    </w:p>
    <w:p w14:paraId="2BC258D8"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Accra Polytechnic, Accra</w:t>
      </w:r>
    </w:p>
    <w:p w14:paraId="59D70DD7"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Ho Polytechnic, Ho</w:t>
      </w:r>
    </w:p>
    <w:p w14:paraId="2A3AD3DD"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Koforidua Polytechnic, Koforidua</w:t>
      </w:r>
    </w:p>
    <w:p w14:paraId="2DDE8833"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Kumasi Polytechnic, Kumasi</w:t>
      </w:r>
    </w:p>
    <w:p w14:paraId="4D1BC7DF"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Sunyani Polytechnic, Sunyani</w:t>
      </w:r>
    </w:p>
    <w:p w14:paraId="3DCF8A75"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Takoradi Polytechnic, Takoradi</w:t>
      </w:r>
    </w:p>
    <w:p w14:paraId="5DFF792D"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Tamale Polytechnic, Tamale</w:t>
      </w:r>
    </w:p>
    <w:p w14:paraId="2CD8A8E9"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 xml:space="preserve">Cape Coast Polytechnic </w:t>
      </w:r>
    </w:p>
    <w:p w14:paraId="0ED4CC43" w14:textId="77777777" w:rsidR="001545BB" w:rsidRPr="00AB3E9C" w:rsidRDefault="001545BB" w:rsidP="009C4B7C">
      <w:pPr>
        <w:pStyle w:val="ListParagraph"/>
        <w:tabs>
          <w:tab w:val="left" w:pos="540"/>
        </w:tabs>
        <w:ind w:left="0"/>
        <w:jc w:val="both"/>
        <w:rPr>
          <w:rFonts w:ascii="Book Antiqua" w:hAnsi="Book Antiqua"/>
          <w:b/>
        </w:rPr>
      </w:pPr>
    </w:p>
    <w:p w14:paraId="14ACE31C" w14:textId="77777777" w:rsidR="001545BB" w:rsidRPr="00AB3E9C" w:rsidRDefault="00975B58" w:rsidP="009C4B7C">
      <w:pPr>
        <w:pStyle w:val="ListParagraph"/>
        <w:tabs>
          <w:tab w:val="left" w:pos="540"/>
        </w:tabs>
        <w:ind w:left="0"/>
        <w:jc w:val="both"/>
        <w:rPr>
          <w:rFonts w:ascii="Book Antiqua" w:hAnsi="Book Antiqua"/>
          <w:b/>
        </w:rPr>
      </w:pPr>
      <w:r w:rsidRPr="00AB3E9C">
        <w:rPr>
          <w:rFonts w:ascii="Book Antiqua" w:hAnsi="Book Antiqua"/>
          <w:b/>
        </w:rPr>
        <w:lastRenderedPageBreak/>
        <w:t>Secondary School</w:t>
      </w:r>
    </w:p>
    <w:p w14:paraId="47916890" w14:textId="77777777" w:rsidR="001545BB" w:rsidRPr="005C47F0" w:rsidRDefault="001545BB" w:rsidP="009C4B7C">
      <w:pPr>
        <w:pStyle w:val="ListParagraph"/>
        <w:tabs>
          <w:tab w:val="left" w:pos="540"/>
        </w:tabs>
        <w:ind w:left="0"/>
        <w:jc w:val="both"/>
        <w:rPr>
          <w:rFonts w:ascii="Book Antiqua" w:hAnsi="Book Antiqua"/>
        </w:rPr>
      </w:pPr>
      <w:r w:rsidRPr="00AB3E9C">
        <w:rPr>
          <w:rFonts w:ascii="Book Antiqua" w:hAnsi="Book Antiqua"/>
        </w:rPr>
        <w:t>Adventist Senior High School, Kumasi</w:t>
      </w:r>
    </w:p>
    <w:p w14:paraId="3065296A" w14:textId="77777777" w:rsidR="00975B58" w:rsidRDefault="00975B58" w:rsidP="009C4B7C">
      <w:pPr>
        <w:pStyle w:val="ListParagraph"/>
        <w:tabs>
          <w:tab w:val="left" w:pos="540"/>
        </w:tabs>
        <w:ind w:left="0"/>
        <w:jc w:val="both"/>
        <w:rPr>
          <w:rFonts w:ascii="Book Antiqua" w:hAnsi="Book Antiqua"/>
          <w:b/>
        </w:rPr>
      </w:pPr>
    </w:p>
    <w:p w14:paraId="33F29DD4" w14:textId="77777777" w:rsidR="003F6292" w:rsidRDefault="003F6292" w:rsidP="009C4B7C">
      <w:pPr>
        <w:pStyle w:val="ListParagraph"/>
        <w:tabs>
          <w:tab w:val="left" w:pos="540"/>
        </w:tabs>
        <w:ind w:left="0"/>
        <w:jc w:val="both"/>
        <w:rPr>
          <w:rFonts w:ascii="Book Antiqua" w:hAnsi="Book Antiqua"/>
          <w:b/>
        </w:rPr>
      </w:pPr>
    </w:p>
    <w:p w14:paraId="7D9D8B14" w14:textId="77777777" w:rsidR="003F6292" w:rsidRDefault="003F6292" w:rsidP="009C4B7C">
      <w:pPr>
        <w:pStyle w:val="ListParagraph"/>
        <w:tabs>
          <w:tab w:val="left" w:pos="540"/>
        </w:tabs>
        <w:ind w:left="0"/>
        <w:jc w:val="both"/>
        <w:rPr>
          <w:rFonts w:ascii="Book Antiqua" w:hAnsi="Book Antiqua"/>
          <w:b/>
        </w:rPr>
      </w:pPr>
    </w:p>
    <w:p w14:paraId="1FED7FE5" w14:textId="77777777" w:rsidR="001545BB" w:rsidRPr="00AB3E9C" w:rsidRDefault="00975B58" w:rsidP="009C4B7C">
      <w:pPr>
        <w:pStyle w:val="ListParagraph"/>
        <w:tabs>
          <w:tab w:val="left" w:pos="540"/>
        </w:tabs>
        <w:ind w:left="0"/>
        <w:jc w:val="both"/>
        <w:rPr>
          <w:rFonts w:ascii="Book Antiqua" w:hAnsi="Book Antiqua"/>
          <w:b/>
        </w:rPr>
      </w:pPr>
      <w:r w:rsidRPr="00AB3E9C">
        <w:rPr>
          <w:rFonts w:ascii="Book Antiqua" w:hAnsi="Book Antiqua"/>
          <w:b/>
        </w:rPr>
        <w:t>Industry</w:t>
      </w:r>
    </w:p>
    <w:p w14:paraId="755030F5"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Hawa Memorial Saviour Hospital, Osiem</w:t>
      </w:r>
    </w:p>
    <w:p w14:paraId="20730CC2"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Sunyani Municipal Hospital</w:t>
      </w:r>
    </w:p>
    <w:p w14:paraId="78BD3BB9"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Ghana Irrigation Development Authority</w:t>
      </w:r>
    </w:p>
    <w:p w14:paraId="0EA932D4"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Comptran Engineering and Planning Associates</w:t>
      </w:r>
    </w:p>
    <w:p w14:paraId="0C0FA3FE" w14:textId="77777777" w:rsidR="001545BB" w:rsidRPr="00AB3E9C" w:rsidRDefault="001545BB" w:rsidP="009C4B7C">
      <w:pPr>
        <w:pStyle w:val="ListParagraph"/>
        <w:tabs>
          <w:tab w:val="left" w:pos="540"/>
        </w:tabs>
        <w:ind w:left="0"/>
        <w:jc w:val="both"/>
        <w:rPr>
          <w:rFonts w:ascii="Book Antiqua" w:hAnsi="Book Antiqua"/>
        </w:rPr>
      </w:pPr>
      <w:r w:rsidRPr="00AB3E9C">
        <w:rPr>
          <w:rFonts w:ascii="Book Antiqua" w:hAnsi="Book Antiqua"/>
        </w:rPr>
        <w:t>Tema Oil Refinery</w:t>
      </w:r>
    </w:p>
    <w:p w14:paraId="4F130ADC" w14:textId="77777777" w:rsidR="001545BB" w:rsidRPr="00AB3E9C" w:rsidRDefault="001545BB" w:rsidP="009C4B7C">
      <w:pPr>
        <w:pStyle w:val="ListParagraph"/>
        <w:tabs>
          <w:tab w:val="left" w:pos="540"/>
          <w:tab w:val="left" w:pos="3600"/>
        </w:tabs>
        <w:ind w:left="0"/>
        <w:jc w:val="both"/>
        <w:rPr>
          <w:rFonts w:ascii="Book Antiqua" w:hAnsi="Book Antiqua"/>
        </w:rPr>
      </w:pPr>
      <w:r w:rsidRPr="00AB3E9C">
        <w:rPr>
          <w:rFonts w:ascii="Book Antiqua" w:hAnsi="Book Antiqua"/>
        </w:rPr>
        <w:t>Crops Research Institute, Kumasi</w:t>
      </w:r>
    </w:p>
    <w:p w14:paraId="28946D9E" w14:textId="77777777" w:rsidR="001545BB" w:rsidRPr="00AB3E9C" w:rsidRDefault="001545BB" w:rsidP="009C4B7C">
      <w:pPr>
        <w:pStyle w:val="ListParagraph"/>
        <w:tabs>
          <w:tab w:val="left" w:pos="540"/>
          <w:tab w:val="left" w:pos="3600"/>
        </w:tabs>
        <w:ind w:left="0"/>
        <w:jc w:val="both"/>
        <w:rPr>
          <w:rFonts w:ascii="Book Antiqua" w:hAnsi="Book Antiqua"/>
        </w:rPr>
      </w:pPr>
    </w:p>
    <w:p w14:paraId="613E1C1D" w14:textId="77777777" w:rsidR="009450B6" w:rsidRPr="009C4B7C" w:rsidRDefault="009450B6" w:rsidP="009C4B7C">
      <w:pPr>
        <w:pStyle w:val="ListParagraph"/>
        <w:tabs>
          <w:tab w:val="left" w:pos="540"/>
          <w:tab w:val="left" w:pos="3600"/>
        </w:tabs>
        <w:ind w:left="0"/>
        <w:jc w:val="both"/>
        <w:rPr>
          <w:rFonts w:ascii="Book Antiqua" w:hAnsi="Book Antiqua"/>
          <w:b/>
        </w:rPr>
        <w:sectPr w:rsidR="009450B6" w:rsidRPr="009C4B7C" w:rsidSect="008F6BC9">
          <w:type w:val="continuous"/>
          <w:pgSz w:w="11907" w:h="16839" w:code="9"/>
          <w:pgMar w:top="1440" w:right="1440" w:bottom="1440" w:left="1440" w:header="720" w:footer="720" w:gutter="0"/>
          <w:pgNumType w:start="0"/>
          <w:cols w:num="2" w:space="720"/>
          <w:docGrid w:linePitch="360"/>
        </w:sectPr>
      </w:pPr>
    </w:p>
    <w:p w14:paraId="26C97CF2" w14:textId="77777777" w:rsidR="00A1212D" w:rsidRDefault="00A1212D" w:rsidP="009C4B7C">
      <w:pPr>
        <w:jc w:val="both"/>
        <w:rPr>
          <w:b/>
          <w:kern w:val="36"/>
        </w:rPr>
      </w:pPr>
      <w:bookmarkStart w:id="0" w:name="_Toc360516715"/>
    </w:p>
    <w:p w14:paraId="1ACB25C9" w14:textId="77777777" w:rsidR="00A1212D" w:rsidRDefault="00A1212D" w:rsidP="009C4B7C">
      <w:pPr>
        <w:jc w:val="both"/>
        <w:rPr>
          <w:b/>
          <w:kern w:val="36"/>
        </w:rPr>
      </w:pPr>
    </w:p>
    <w:p w14:paraId="7E7549A3" w14:textId="77777777" w:rsidR="00A1212D" w:rsidRDefault="00A1212D" w:rsidP="009C4B7C">
      <w:pPr>
        <w:jc w:val="both"/>
        <w:rPr>
          <w:b/>
          <w:kern w:val="36"/>
        </w:rPr>
      </w:pPr>
    </w:p>
    <w:p w14:paraId="7496E633" w14:textId="77777777" w:rsidR="00A1212D" w:rsidRDefault="00A1212D" w:rsidP="00A1212D">
      <w:pPr>
        <w:rPr>
          <w:b/>
          <w:kern w:val="36"/>
        </w:rPr>
      </w:pPr>
    </w:p>
    <w:p w14:paraId="5C0A399F" w14:textId="77777777" w:rsidR="00A136F1" w:rsidRDefault="00A136F1" w:rsidP="00A1212D">
      <w:pPr>
        <w:rPr>
          <w:b/>
          <w:kern w:val="36"/>
        </w:rPr>
      </w:pPr>
    </w:p>
    <w:p w14:paraId="0F5175C9" w14:textId="77777777" w:rsidR="00A136F1" w:rsidRDefault="00A136F1" w:rsidP="00A1212D">
      <w:pPr>
        <w:rPr>
          <w:b/>
          <w:kern w:val="36"/>
        </w:rPr>
      </w:pPr>
    </w:p>
    <w:p w14:paraId="43205E83" w14:textId="77777777" w:rsidR="00A136F1" w:rsidRDefault="00A136F1" w:rsidP="00A1212D">
      <w:pPr>
        <w:rPr>
          <w:b/>
          <w:kern w:val="36"/>
        </w:rPr>
      </w:pPr>
    </w:p>
    <w:p w14:paraId="4BD68DCC" w14:textId="77777777" w:rsidR="00A136F1" w:rsidRDefault="00A136F1" w:rsidP="00A1212D">
      <w:pPr>
        <w:rPr>
          <w:b/>
          <w:kern w:val="36"/>
        </w:rPr>
      </w:pPr>
    </w:p>
    <w:p w14:paraId="010AAC85" w14:textId="77777777" w:rsidR="00A136F1" w:rsidRDefault="00A136F1" w:rsidP="00A1212D">
      <w:pPr>
        <w:rPr>
          <w:b/>
          <w:kern w:val="36"/>
        </w:rPr>
      </w:pPr>
    </w:p>
    <w:p w14:paraId="118922E4" w14:textId="77777777" w:rsidR="00A136F1" w:rsidRDefault="00A136F1" w:rsidP="00A1212D">
      <w:pPr>
        <w:rPr>
          <w:b/>
          <w:kern w:val="36"/>
        </w:rPr>
      </w:pPr>
    </w:p>
    <w:p w14:paraId="550C3DA0" w14:textId="77777777" w:rsidR="00A136F1" w:rsidRDefault="00A136F1" w:rsidP="00A1212D">
      <w:pPr>
        <w:rPr>
          <w:b/>
          <w:kern w:val="36"/>
        </w:rPr>
      </w:pPr>
    </w:p>
    <w:p w14:paraId="51A4FC54" w14:textId="77777777" w:rsidR="00A136F1" w:rsidRDefault="00A136F1" w:rsidP="00A1212D">
      <w:pPr>
        <w:rPr>
          <w:b/>
          <w:kern w:val="36"/>
        </w:rPr>
      </w:pPr>
    </w:p>
    <w:p w14:paraId="4170F28A" w14:textId="77777777" w:rsidR="003F6292" w:rsidRDefault="003F6292" w:rsidP="00A1212D">
      <w:pPr>
        <w:rPr>
          <w:b/>
          <w:kern w:val="36"/>
        </w:rPr>
      </w:pPr>
    </w:p>
    <w:p w14:paraId="251571AD" w14:textId="77777777" w:rsidR="003F6292" w:rsidRDefault="003F6292" w:rsidP="00A1212D">
      <w:pPr>
        <w:rPr>
          <w:b/>
          <w:kern w:val="36"/>
        </w:rPr>
      </w:pPr>
    </w:p>
    <w:p w14:paraId="42B6AFA5" w14:textId="77777777" w:rsidR="003F6292" w:rsidRDefault="003F6292" w:rsidP="00A1212D">
      <w:pPr>
        <w:rPr>
          <w:b/>
          <w:kern w:val="36"/>
        </w:rPr>
      </w:pPr>
    </w:p>
    <w:p w14:paraId="757D36D0" w14:textId="77777777" w:rsidR="003F6292" w:rsidRDefault="003F6292" w:rsidP="00A1212D">
      <w:pPr>
        <w:rPr>
          <w:b/>
          <w:kern w:val="36"/>
        </w:rPr>
      </w:pPr>
    </w:p>
    <w:p w14:paraId="5FACBCA7" w14:textId="77777777" w:rsidR="003F6292" w:rsidRDefault="003F6292" w:rsidP="00A1212D">
      <w:pPr>
        <w:rPr>
          <w:b/>
          <w:kern w:val="36"/>
        </w:rPr>
      </w:pPr>
    </w:p>
    <w:p w14:paraId="00CE2C83" w14:textId="77777777" w:rsidR="003F6292" w:rsidRDefault="003F6292" w:rsidP="00A1212D">
      <w:pPr>
        <w:rPr>
          <w:b/>
          <w:kern w:val="36"/>
        </w:rPr>
      </w:pPr>
    </w:p>
    <w:p w14:paraId="008E48E7" w14:textId="77777777" w:rsidR="00791BF2" w:rsidRDefault="00791BF2" w:rsidP="00A1212D">
      <w:pPr>
        <w:rPr>
          <w:b/>
          <w:kern w:val="36"/>
        </w:rPr>
      </w:pPr>
    </w:p>
    <w:p w14:paraId="6D8F78F1" w14:textId="77777777" w:rsidR="003F6292" w:rsidRDefault="003F6292" w:rsidP="00A1212D">
      <w:pPr>
        <w:rPr>
          <w:b/>
          <w:kern w:val="36"/>
        </w:rPr>
      </w:pPr>
    </w:p>
    <w:p w14:paraId="341FB5A4" w14:textId="77777777" w:rsidR="007668E0" w:rsidRDefault="007668E0" w:rsidP="00A1212D">
      <w:pPr>
        <w:rPr>
          <w:b/>
          <w:kern w:val="36"/>
        </w:rPr>
      </w:pPr>
    </w:p>
    <w:p w14:paraId="3F881817" w14:textId="77777777" w:rsidR="00A136F1" w:rsidRDefault="00A136F1" w:rsidP="00A1212D">
      <w:pPr>
        <w:rPr>
          <w:b/>
          <w:kern w:val="36"/>
        </w:rPr>
      </w:pPr>
    </w:p>
    <w:p w14:paraId="6310F715" w14:textId="77777777" w:rsidR="000A3CB1" w:rsidRPr="001D7D7F" w:rsidRDefault="001D7D7F" w:rsidP="00A1212D">
      <w:pPr>
        <w:jc w:val="center"/>
        <w:rPr>
          <w:rFonts w:ascii="Book Antiqua" w:hAnsi="Book Antiqua"/>
          <w:b/>
          <w:sz w:val="26"/>
        </w:rPr>
      </w:pPr>
      <w:r w:rsidRPr="001D7D7F">
        <w:rPr>
          <w:rFonts w:ascii="Book Antiqua" w:hAnsi="Book Antiqua"/>
          <w:b/>
          <w:kern w:val="36"/>
          <w:sz w:val="26"/>
        </w:rPr>
        <w:lastRenderedPageBreak/>
        <w:t xml:space="preserve">Welcome </w:t>
      </w:r>
      <w:r>
        <w:rPr>
          <w:rFonts w:ascii="Book Antiqua" w:hAnsi="Book Antiqua"/>
          <w:b/>
          <w:sz w:val="26"/>
        </w:rPr>
        <w:t>Remarks b</w:t>
      </w:r>
      <w:r w:rsidRPr="001D7D7F">
        <w:rPr>
          <w:rFonts w:ascii="Book Antiqua" w:hAnsi="Book Antiqua"/>
          <w:b/>
          <w:sz w:val="26"/>
        </w:rPr>
        <w:t>y Prof. (Ing</w:t>
      </w:r>
      <w:r w:rsidR="00791BF2">
        <w:rPr>
          <w:rFonts w:ascii="Book Antiqua" w:hAnsi="Book Antiqua"/>
          <w:b/>
          <w:sz w:val="26"/>
        </w:rPr>
        <w:t>.</w:t>
      </w:r>
      <w:r w:rsidRPr="001D7D7F">
        <w:rPr>
          <w:rFonts w:ascii="Book Antiqua" w:hAnsi="Book Antiqua"/>
          <w:b/>
          <w:sz w:val="26"/>
        </w:rPr>
        <w:t xml:space="preserve">) Reynolds Okai, </w:t>
      </w:r>
      <w:r>
        <w:rPr>
          <w:rFonts w:ascii="Book Antiqua" w:hAnsi="Book Antiqua"/>
          <w:b/>
          <w:sz w:val="26"/>
        </w:rPr>
        <w:t>t</w:t>
      </w:r>
      <w:r w:rsidRPr="001D7D7F">
        <w:rPr>
          <w:rFonts w:ascii="Book Antiqua" w:hAnsi="Book Antiqua"/>
          <w:b/>
          <w:sz w:val="26"/>
        </w:rPr>
        <w:t xml:space="preserve">he </w:t>
      </w:r>
      <w:r w:rsidRPr="001D7D7F">
        <w:rPr>
          <w:rFonts w:ascii="Book Antiqua" w:hAnsi="Book Antiqua"/>
          <w:b/>
          <w:kern w:val="36"/>
          <w:sz w:val="26"/>
        </w:rPr>
        <w:t xml:space="preserve">Rector, </w:t>
      </w:r>
      <w:r>
        <w:rPr>
          <w:rFonts w:ascii="Book Antiqua" w:hAnsi="Book Antiqua"/>
          <w:b/>
          <w:sz w:val="26"/>
        </w:rPr>
        <w:t xml:space="preserve">Koforidua Polytechnic </w:t>
      </w:r>
    </w:p>
    <w:p w14:paraId="1CE3BA78" w14:textId="77777777" w:rsidR="000A3CB1" w:rsidRPr="00A1212D" w:rsidRDefault="000A3CB1" w:rsidP="00A1212D">
      <w:pPr>
        <w:pStyle w:val="Authors"/>
        <w:rPr>
          <w:rFonts w:ascii="Book Antiqua" w:hAnsi="Book Antiqua"/>
        </w:rPr>
      </w:pPr>
    </w:p>
    <w:p w14:paraId="67755F43" w14:textId="77777777" w:rsidR="000C0ACE" w:rsidRDefault="000C0ACE" w:rsidP="00A136F1">
      <w:pPr>
        <w:jc w:val="both"/>
        <w:rPr>
          <w:rFonts w:ascii="Book Antiqua" w:hAnsi="Book Antiqua"/>
          <w:b/>
        </w:rPr>
        <w:sectPr w:rsidR="000C0ACE" w:rsidSect="008F6BC9">
          <w:headerReference w:type="default" r:id="rId10"/>
          <w:footerReference w:type="default" r:id="rId11"/>
          <w:headerReference w:type="first" r:id="rId12"/>
          <w:type w:val="continuous"/>
          <w:pgSz w:w="11907" w:h="16839" w:code="9"/>
          <w:pgMar w:top="1440" w:right="1440" w:bottom="1440" w:left="1440" w:header="720" w:footer="720" w:gutter="0"/>
          <w:cols w:space="720"/>
          <w:docGrid w:linePitch="360"/>
        </w:sectPr>
      </w:pPr>
    </w:p>
    <w:p w14:paraId="1CD48D18" w14:textId="77777777" w:rsidR="000A3CB1" w:rsidRPr="00D56E86" w:rsidRDefault="000A3CB1" w:rsidP="00A136F1">
      <w:pPr>
        <w:jc w:val="both"/>
        <w:rPr>
          <w:rFonts w:ascii="Book Antiqua" w:hAnsi="Book Antiqua"/>
          <w:b/>
          <w:sz w:val="26"/>
        </w:rPr>
      </w:pPr>
      <w:r w:rsidRPr="00D56E86">
        <w:rPr>
          <w:rFonts w:ascii="Book Antiqua" w:hAnsi="Book Antiqua"/>
          <w:b/>
          <w:sz w:val="26"/>
        </w:rPr>
        <w:t>Acknowledgement</w:t>
      </w:r>
    </w:p>
    <w:p w14:paraId="21359FF2" w14:textId="77777777" w:rsidR="000A3CB1" w:rsidRPr="00E3232D" w:rsidRDefault="000A3CB1" w:rsidP="00634AA1">
      <w:pPr>
        <w:jc w:val="both"/>
        <w:rPr>
          <w:rFonts w:ascii="Book Antiqua" w:hAnsi="Book Antiqua"/>
        </w:rPr>
      </w:pPr>
      <w:r w:rsidRPr="00E3232D">
        <w:rPr>
          <w:rFonts w:ascii="Book Antiqua" w:hAnsi="Book Antiqua"/>
        </w:rPr>
        <w:t>Mr. Chairman who is also the Executive Secretary of the National Accreditation Board (NAB), Executive Secretaries of the National Council for Tertiary Education (NCTE) and the National Board for Technician Technical Examinations (NABPTEX), Members of the Koforidua Polytechnic Council, Rectors of Sister Polytechnics, Members of Convocation, Members of the Media, Distinguished Guests and Participants, Ladies and Gentlemen, in my capacity as Rector of the Polytechnic, I would like to convey to all of you participating in this conference my heartfelt welcome. I am pleased to welcome you to Koforidua and to our Sixth International Applied Research Conference!</w:t>
      </w:r>
    </w:p>
    <w:p w14:paraId="2145D2AB" w14:textId="77777777" w:rsidR="000A3CB1" w:rsidRPr="00E3232D" w:rsidRDefault="000A3CB1" w:rsidP="00A136F1">
      <w:pPr>
        <w:tabs>
          <w:tab w:val="left" w:pos="1200"/>
        </w:tabs>
        <w:jc w:val="both"/>
        <w:rPr>
          <w:rFonts w:ascii="Book Antiqua" w:hAnsi="Book Antiqua"/>
        </w:rPr>
      </w:pPr>
      <w:r w:rsidRPr="00E3232D">
        <w:rPr>
          <w:rFonts w:ascii="Book Antiqua" w:hAnsi="Book Antiqua"/>
        </w:rPr>
        <w:t>We wish to express our appreciation to Prof. Stephen Adei of the Pentecost University College, formerly Rector of GIMPA, Mr. Rockson Dogbegah, Chairman, Chartered Institute of Building (UK), Accra branch and Dr.  Joseph Siaw Agyepong, Chief Executive Officer-Zoomlion Ghana Ltd. for taking time off their busy schedules to officiate this event. And to our numerous guests, speakers and moderators, I wish you a warm “Akwaaba” to Koforidua and hope that you are enjoying your visit.</w:t>
      </w:r>
    </w:p>
    <w:p w14:paraId="0EAFB61A" w14:textId="77777777" w:rsidR="000A3CB1" w:rsidRPr="00E3232D" w:rsidRDefault="000A3CB1" w:rsidP="00A136F1">
      <w:pPr>
        <w:spacing w:before="100" w:beforeAutospacing="1" w:after="100" w:afterAutospacing="1"/>
        <w:jc w:val="both"/>
        <w:rPr>
          <w:rFonts w:ascii="Book Antiqua" w:hAnsi="Book Antiqua"/>
        </w:rPr>
      </w:pPr>
      <w:r w:rsidRPr="00E3232D">
        <w:rPr>
          <w:rFonts w:ascii="Book Antiqua" w:hAnsi="Book Antiqua"/>
        </w:rPr>
        <w:t xml:space="preserve">To our eminent presenters and delegates who have come from all over the country and outside the country, I offer you a very </w:t>
      </w:r>
      <w:r w:rsidRPr="00E3232D">
        <w:rPr>
          <w:rFonts w:ascii="Book Antiqua" w:hAnsi="Book Antiqua"/>
        </w:rPr>
        <w:t xml:space="preserve">warm welcome to Koforidua. We are indeed honoured to have you here in our midst. We have about hundred (100) participants from academia and industry gathered here today, making our conference a truly national one. </w:t>
      </w:r>
    </w:p>
    <w:p w14:paraId="05E9BDF8" w14:textId="77777777" w:rsidR="000A3CB1" w:rsidRPr="00E3232D" w:rsidRDefault="000A3CB1" w:rsidP="00A136F1">
      <w:pPr>
        <w:spacing w:before="100" w:beforeAutospacing="1" w:after="100" w:afterAutospacing="1"/>
        <w:jc w:val="both"/>
        <w:rPr>
          <w:rFonts w:ascii="Book Antiqua" w:hAnsi="Book Antiqua"/>
        </w:rPr>
      </w:pPr>
      <w:r w:rsidRPr="00E3232D">
        <w:rPr>
          <w:rFonts w:ascii="Book Antiqua" w:hAnsi="Book Antiqua"/>
        </w:rPr>
        <w:t xml:space="preserve">Distinguished Ladies and Gentlemen, the maiden Conference took place in May, 2008 and only nine papers were received from different institutions in the country. The aim of this conference is to bring together academic and industrial researchers with shared interests in applied science and technology. The response to the sixth edition of the conference has been overwhelming as a total of 50 abstracts for oral and poster presentations were submitted. </w:t>
      </w:r>
    </w:p>
    <w:p w14:paraId="7329813F" w14:textId="77777777" w:rsidR="008F6BC9" w:rsidRPr="00791BF2" w:rsidRDefault="000A3CB1" w:rsidP="00A136F1">
      <w:pPr>
        <w:jc w:val="both"/>
        <w:rPr>
          <w:rFonts w:ascii="Book Antiqua" w:hAnsi="Book Antiqua"/>
        </w:rPr>
      </w:pPr>
      <w:r w:rsidRPr="00E3232D">
        <w:rPr>
          <w:rFonts w:ascii="Book Antiqua" w:hAnsi="Book Antiqua"/>
        </w:rPr>
        <w:t>Distinguished Ladies and Gentlemen, we have a great programme today with many distinguished speakers from academia, and the private and public sectors. The Annual International Applied Research Conference has advanced to be widely recognized as an important forum of all disciplines on our academic calendar. Our niche is to bring researchers together to foster the network of people and the places we care about so deeply.</w:t>
      </w:r>
    </w:p>
    <w:p w14:paraId="1A5049E5" w14:textId="77777777" w:rsidR="000A3CB1" w:rsidRPr="00A1212D" w:rsidRDefault="000A3CB1" w:rsidP="00A136F1">
      <w:pPr>
        <w:jc w:val="both"/>
        <w:rPr>
          <w:rFonts w:ascii="Book Antiqua" w:hAnsi="Book Antiqua"/>
          <w:b/>
        </w:rPr>
      </w:pPr>
      <w:r w:rsidRPr="00E3232D">
        <w:rPr>
          <w:rFonts w:ascii="Book Antiqua" w:hAnsi="Book Antiqua"/>
          <w:b/>
        </w:rPr>
        <w:t>The Importance of the Conference Theme</w:t>
      </w:r>
    </w:p>
    <w:p w14:paraId="152FA159" w14:textId="77777777" w:rsidR="000A3CB1" w:rsidRPr="00E3232D" w:rsidRDefault="000A3CB1" w:rsidP="00A136F1">
      <w:pPr>
        <w:jc w:val="both"/>
        <w:rPr>
          <w:rFonts w:ascii="Book Antiqua" w:hAnsi="Book Antiqua"/>
        </w:rPr>
      </w:pPr>
      <w:r w:rsidRPr="00E3232D">
        <w:rPr>
          <w:rFonts w:ascii="Book Antiqua" w:hAnsi="Book Antiqua"/>
        </w:rPr>
        <w:t xml:space="preserve">Mr. Chairman, the theme for the 2013 conference is “Building a Responsive Tertiary Education Sector: Effective </w:t>
      </w:r>
      <w:r w:rsidRPr="00E3232D">
        <w:rPr>
          <w:rFonts w:ascii="Book Antiqua" w:hAnsi="Book Antiqua"/>
        </w:rPr>
        <w:lastRenderedPageBreak/>
        <w:t xml:space="preserve">Collaboration with Industry for National Development”. With the increasing research activities, it is imperative to discuss positive approaches towards inculcating best research integrity practices, including examining the role of academic publications in setting the standards for integrity. </w:t>
      </w:r>
    </w:p>
    <w:p w14:paraId="5F4D8DED" w14:textId="77777777" w:rsidR="000A3CB1" w:rsidRPr="00E3232D" w:rsidRDefault="000A3CB1" w:rsidP="00A136F1">
      <w:pPr>
        <w:spacing w:before="100" w:beforeAutospacing="1" w:after="100" w:afterAutospacing="1"/>
        <w:jc w:val="both"/>
        <w:rPr>
          <w:rFonts w:ascii="Book Antiqua" w:hAnsi="Book Antiqua"/>
        </w:rPr>
      </w:pPr>
      <w:r w:rsidRPr="00E3232D">
        <w:rPr>
          <w:rFonts w:ascii="Book Antiqua" w:hAnsi="Book Antiqua"/>
        </w:rPr>
        <w:t xml:space="preserve">We have with us today, representatives from the polytechnics and universities. I hope that this two-day conference, a platform for thought-leaders, academics and researchers to share their ideas and views on common research integrity issues, will challenge all delegates, in particular the heads of institutions, to think more about the leadership challenges and responses in research integrity which may in turn inspire new and practicable standards in the field. </w:t>
      </w:r>
    </w:p>
    <w:p w14:paraId="3D4A9896" w14:textId="77777777" w:rsidR="000A3CB1" w:rsidRPr="00634AA1" w:rsidRDefault="000A3CB1" w:rsidP="00A136F1">
      <w:pPr>
        <w:jc w:val="both"/>
        <w:rPr>
          <w:rFonts w:ascii="Book Antiqua" w:hAnsi="Book Antiqua"/>
        </w:rPr>
      </w:pPr>
      <w:r w:rsidRPr="00E3232D">
        <w:rPr>
          <w:rFonts w:ascii="Book Antiqua" w:hAnsi="Book Antiqua"/>
        </w:rPr>
        <w:t>Mr. Chairman, one of my priorities on assuming office as the Rector of the Koforidua Polytechnic in November, 2010, was to strengthen the research capabilities of the staff of the polytechnic with the strong support of the Polytechnic’s Governing Body and the Management team. The Polytechnic provides the financial resources annually to the tune of GH¢80,000.00 to support research in the institution. Part of our research efforts has been in close collaboration with other research institutions. We look forward therefore to building on the ideas and research proposals that will emerge from these two days of presentation, discussion and exchange of ideas.</w:t>
      </w:r>
    </w:p>
    <w:p w14:paraId="71CC8403" w14:textId="77777777" w:rsidR="00791BF2" w:rsidRDefault="00791BF2" w:rsidP="00A136F1">
      <w:pPr>
        <w:jc w:val="both"/>
        <w:rPr>
          <w:rFonts w:ascii="Book Antiqua" w:hAnsi="Book Antiqua"/>
          <w:b/>
        </w:rPr>
      </w:pPr>
    </w:p>
    <w:p w14:paraId="4DF158E8" w14:textId="77777777" w:rsidR="000A3CB1" w:rsidRPr="00634AA1" w:rsidRDefault="000A3CB1" w:rsidP="00A136F1">
      <w:pPr>
        <w:jc w:val="both"/>
        <w:rPr>
          <w:rFonts w:ascii="Book Antiqua" w:hAnsi="Book Antiqua"/>
          <w:b/>
        </w:rPr>
      </w:pPr>
      <w:r w:rsidRPr="00E3232D">
        <w:rPr>
          <w:rFonts w:ascii="Book Antiqua" w:hAnsi="Book Antiqua"/>
          <w:b/>
        </w:rPr>
        <w:t>Collaboration with Industry</w:t>
      </w:r>
    </w:p>
    <w:p w14:paraId="3EEC92D3" w14:textId="77777777" w:rsidR="000A3CB1" w:rsidRPr="00E3232D" w:rsidRDefault="000A3CB1" w:rsidP="00A136F1">
      <w:pPr>
        <w:jc w:val="both"/>
        <w:rPr>
          <w:rFonts w:ascii="Book Antiqua" w:hAnsi="Book Antiqua"/>
        </w:rPr>
      </w:pPr>
      <w:r w:rsidRPr="00E3232D">
        <w:rPr>
          <w:rFonts w:ascii="Book Antiqua" w:hAnsi="Book Antiqua"/>
        </w:rPr>
        <w:t>Mr. Chairman, our collaborative research links with academic institutions and industry are yielding positive results. The aim of fostering strong and productive partnerships with industry is to generate value for both the polytechnic and its partners. For instance, through the Zoomlion Ghana Ltd., Japan International Cooperation Agency, (JICA) and Energy Foundation, the Koforidua Polytechnic has access to industry-focused research and technological development to assist with the development of new processes and services. The McGill University, Canada and the Council for Technical and Vocational Education and Training (COTVET) are also in the forefront of providing state-of-the-art equipment to support the polytechnic’s research activities and access to demonstration and training facilities.</w:t>
      </w:r>
    </w:p>
    <w:p w14:paraId="14C97AA0" w14:textId="77777777" w:rsidR="000A3CB1" w:rsidRPr="00E3232D" w:rsidRDefault="000A3CB1" w:rsidP="00A136F1">
      <w:pPr>
        <w:jc w:val="both"/>
        <w:rPr>
          <w:rFonts w:ascii="Book Antiqua" w:hAnsi="Book Antiqua"/>
        </w:rPr>
      </w:pPr>
      <w:r w:rsidRPr="00E3232D">
        <w:rPr>
          <w:rFonts w:ascii="Book Antiqua" w:hAnsi="Book Antiqua"/>
        </w:rPr>
        <w:t>Mr. Chairman, Distinguished Ladies and Gentlemen, we need to develop far better links with industry and significantly improve career guidance and work placements, in order to equip students with the skills and aptitudes they require to prosper in their careers and contribute effectively to workplace performance, improve management capacity, particularly for effective staff development, within the context of clear accountability to government and society.</w:t>
      </w:r>
    </w:p>
    <w:p w14:paraId="10721B07" w14:textId="77777777" w:rsidR="000A3CB1" w:rsidRPr="00E3232D" w:rsidRDefault="000A3CB1" w:rsidP="00A136F1">
      <w:pPr>
        <w:jc w:val="both"/>
        <w:rPr>
          <w:rFonts w:ascii="Book Antiqua" w:hAnsi="Book Antiqua"/>
        </w:rPr>
      </w:pPr>
      <w:r w:rsidRPr="00E3232D">
        <w:rPr>
          <w:rFonts w:ascii="Book Antiqua" w:hAnsi="Book Antiqua"/>
        </w:rPr>
        <w:t xml:space="preserve">With </w:t>
      </w:r>
      <w:r w:rsidRPr="00E3232D">
        <w:rPr>
          <w:rFonts w:ascii="Book Antiqua" w:hAnsi="Book Antiqua"/>
          <w:i/>
        </w:rPr>
        <w:t>Technology for Development</w:t>
      </w:r>
      <w:r w:rsidRPr="00E3232D">
        <w:rPr>
          <w:rFonts w:ascii="Book Antiqua" w:hAnsi="Book Antiqua"/>
        </w:rPr>
        <w:t xml:space="preserve"> as our motto, we look forward to collaborating closely with the Information Technology Transfer Unit (ITTU), the Municipal Assembly and other development-</w:t>
      </w:r>
      <w:r w:rsidRPr="00E3232D">
        <w:rPr>
          <w:rFonts w:ascii="Book Antiqua" w:hAnsi="Book Antiqua"/>
        </w:rPr>
        <w:lastRenderedPageBreak/>
        <w:t>oriented institutions to jointly solve industry problems.</w:t>
      </w:r>
    </w:p>
    <w:p w14:paraId="0483994A" w14:textId="77777777" w:rsidR="000A3CB1" w:rsidRPr="00E3232D" w:rsidRDefault="000A3CB1" w:rsidP="00A136F1">
      <w:pPr>
        <w:jc w:val="both"/>
        <w:rPr>
          <w:rFonts w:ascii="Book Antiqua" w:hAnsi="Book Antiqua"/>
          <w:b/>
        </w:rPr>
      </w:pPr>
      <w:r w:rsidRPr="00E3232D">
        <w:rPr>
          <w:rFonts w:ascii="Book Antiqua" w:hAnsi="Book Antiqua"/>
          <w:b/>
        </w:rPr>
        <w:t>Recognition of Planning Committee Members and Sponsors</w:t>
      </w:r>
    </w:p>
    <w:p w14:paraId="479C52C5" w14:textId="77777777" w:rsidR="00A1212D" w:rsidRPr="00A1212D" w:rsidRDefault="000A3CB1" w:rsidP="00A136F1">
      <w:pPr>
        <w:jc w:val="both"/>
        <w:rPr>
          <w:rFonts w:ascii="Book Antiqua" w:hAnsi="Book Antiqua"/>
        </w:rPr>
      </w:pPr>
      <w:r w:rsidRPr="00E3232D">
        <w:rPr>
          <w:rFonts w:ascii="Book Antiqua" w:hAnsi="Book Antiqua"/>
        </w:rPr>
        <w:t xml:space="preserve">At this stage, I would like to take the opportunity to show appreciation to the Planning Committee, chaired by Nii Annang Mensah- Livingstone, for their hard work and effort in planning and co-ordinating this event. Last but not least, we acknowledge the support of other organisations that include the Paawills Printing Press, Ghana Commercial Bank, Ogyeatuo Enterprise, Gladsyram Printing Press, Omega Compu-Systems, Kwatech Logistics and Supply, O &amp; G and Associates and Afriyie Ltd. </w:t>
      </w:r>
    </w:p>
    <w:p w14:paraId="532033D2" w14:textId="77777777" w:rsidR="000A3CB1" w:rsidRPr="00E3232D" w:rsidRDefault="000A3CB1" w:rsidP="00A136F1">
      <w:pPr>
        <w:jc w:val="both"/>
        <w:rPr>
          <w:rFonts w:ascii="Book Antiqua" w:hAnsi="Book Antiqua"/>
        </w:rPr>
      </w:pPr>
      <w:r w:rsidRPr="00A30634">
        <w:rPr>
          <w:rFonts w:ascii="Book Antiqua" w:hAnsi="Book Antiqua"/>
          <w:b/>
          <w:sz w:val="26"/>
        </w:rPr>
        <w:t>Conclusion</w:t>
      </w:r>
    </w:p>
    <w:p w14:paraId="1570DA7B" w14:textId="77777777" w:rsidR="000A3CB1" w:rsidRPr="00E3232D" w:rsidRDefault="000A3CB1" w:rsidP="00634AA1">
      <w:pPr>
        <w:pStyle w:val="ListParagraph"/>
        <w:ind w:left="90" w:hanging="90"/>
        <w:jc w:val="both"/>
        <w:rPr>
          <w:rFonts w:ascii="Book Antiqua" w:hAnsi="Book Antiqua"/>
        </w:rPr>
      </w:pPr>
      <w:r w:rsidRPr="00E3232D">
        <w:rPr>
          <w:rFonts w:ascii="Book Antiqua" w:hAnsi="Book Antiqua"/>
        </w:rPr>
        <w:t xml:space="preserve">Mr. Chairman, Distinguished Ladies and Gentlemen, I encourage delegates to participate actively in the discussions over the next two days.  Every contribution matters; and every action is </w:t>
      </w:r>
      <w:r w:rsidRPr="00E3232D">
        <w:rPr>
          <w:rFonts w:ascii="Book Antiqua" w:hAnsi="Book Antiqua"/>
        </w:rPr>
        <w:t>relevant. I am confident that today’s conference will further clarify the role that each of us has to play in this important phase of national development.</w:t>
      </w:r>
    </w:p>
    <w:p w14:paraId="257A5656" w14:textId="77777777" w:rsidR="000A3CB1" w:rsidRPr="00E3232D" w:rsidRDefault="000A3CB1" w:rsidP="00A136F1">
      <w:pPr>
        <w:ind w:left="90"/>
        <w:jc w:val="both"/>
        <w:rPr>
          <w:rFonts w:ascii="Book Antiqua" w:hAnsi="Book Antiqua"/>
        </w:rPr>
      </w:pPr>
      <w:r w:rsidRPr="00E3232D">
        <w:rPr>
          <w:rFonts w:ascii="Book Antiqua" w:hAnsi="Book Antiqua"/>
          <w:color w:val="000000"/>
          <w:lang w:val="en-GB"/>
        </w:rPr>
        <w:t xml:space="preserve">Interaction, collaboration, and exchange of knowledge are the keys to success in science and technology. The social programme offers you possibilities to interact in a relaxed atmosphere by joining us during excursions to interesting places. The dinner party allows you to enjoy a sensational evening with soothing music. </w:t>
      </w:r>
      <w:r w:rsidRPr="00E3232D">
        <w:rPr>
          <w:rFonts w:ascii="Book Antiqua" w:hAnsi="Book Antiqua"/>
        </w:rPr>
        <w:t>We hope you find this conference both interesting and stimulating and that you enjoy meeting up with old friends and making new contacts. We look forward to receiving your feedback on this conference and to seeing you again at the next conference in 2014.</w:t>
      </w:r>
    </w:p>
    <w:p w14:paraId="614ED6D0" w14:textId="77777777" w:rsidR="00A1212D" w:rsidRDefault="000A3CB1" w:rsidP="00A136F1">
      <w:pPr>
        <w:pStyle w:val="ListParagraph"/>
        <w:ind w:left="0"/>
        <w:jc w:val="both"/>
        <w:rPr>
          <w:rFonts w:ascii="Book Antiqua" w:hAnsi="Book Antiqua"/>
        </w:rPr>
      </w:pPr>
      <w:r w:rsidRPr="00E3232D">
        <w:rPr>
          <w:rFonts w:ascii="Book Antiqua" w:hAnsi="Book Antiqua"/>
        </w:rPr>
        <w:t xml:space="preserve">I wish you all a successful and fruitful </w:t>
      </w:r>
      <w:r w:rsidR="003F6292" w:rsidRPr="00E3232D">
        <w:rPr>
          <w:rFonts w:ascii="Book Antiqua" w:hAnsi="Book Antiqua"/>
        </w:rPr>
        <w:t>Conference</w:t>
      </w:r>
      <w:r w:rsidRPr="00E3232D">
        <w:rPr>
          <w:rFonts w:ascii="Book Antiqua" w:hAnsi="Book Antiqua"/>
        </w:rPr>
        <w:t xml:space="preserve">. </w:t>
      </w:r>
      <w:r w:rsidR="00A1212D">
        <w:rPr>
          <w:rFonts w:ascii="Book Antiqua" w:hAnsi="Book Antiqua"/>
        </w:rPr>
        <w:t xml:space="preserve">                                  </w:t>
      </w:r>
    </w:p>
    <w:p w14:paraId="2893E4E5" w14:textId="77777777" w:rsidR="0098370A" w:rsidRPr="00A1212D" w:rsidRDefault="000A3CB1" w:rsidP="00A136F1">
      <w:pPr>
        <w:pStyle w:val="ListParagraph"/>
        <w:ind w:left="0"/>
        <w:jc w:val="both"/>
        <w:rPr>
          <w:rFonts w:ascii="Book Antiqua" w:hAnsi="Book Antiqua"/>
        </w:rPr>
      </w:pPr>
      <w:r w:rsidRPr="00E3232D">
        <w:rPr>
          <w:rFonts w:ascii="Book Antiqua" w:hAnsi="Book Antiqua"/>
        </w:rPr>
        <w:t>Thank you.</w:t>
      </w:r>
    </w:p>
    <w:p w14:paraId="4CC0FE48" w14:textId="77777777" w:rsidR="000C0ACE" w:rsidRDefault="000C0ACE" w:rsidP="00A136F1">
      <w:pPr>
        <w:pStyle w:val="Authors"/>
        <w:jc w:val="both"/>
        <w:rPr>
          <w:kern w:val="36"/>
        </w:rPr>
        <w:sectPr w:rsidR="000C0ACE" w:rsidSect="000C0ACE">
          <w:type w:val="continuous"/>
          <w:pgSz w:w="11907" w:h="16839" w:code="9"/>
          <w:pgMar w:top="1440" w:right="1440" w:bottom="1440" w:left="1440" w:header="720" w:footer="720" w:gutter="0"/>
          <w:cols w:num="2" w:space="720"/>
          <w:docGrid w:linePitch="360"/>
        </w:sectPr>
      </w:pPr>
    </w:p>
    <w:p w14:paraId="22E7E8E0" w14:textId="77777777" w:rsidR="000C0ACE" w:rsidRDefault="000C0ACE" w:rsidP="00A136F1">
      <w:pPr>
        <w:pStyle w:val="Authors"/>
        <w:jc w:val="both"/>
        <w:rPr>
          <w:kern w:val="36"/>
        </w:rPr>
      </w:pPr>
    </w:p>
    <w:p w14:paraId="35DD8F40" w14:textId="77777777" w:rsidR="000C0ACE" w:rsidRDefault="000C0ACE" w:rsidP="00A136F1">
      <w:pPr>
        <w:pStyle w:val="Authors"/>
        <w:jc w:val="both"/>
        <w:rPr>
          <w:kern w:val="36"/>
        </w:rPr>
      </w:pPr>
    </w:p>
    <w:p w14:paraId="0FCD54BB" w14:textId="77777777" w:rsidR="000C0ACE" w:rsidRDefault="000C0ACE" w:rsidP="00A136F1">
      <w:pPr>
        <w:pStyle w:val="Authors"/>
        <w:jc w:val="both"/>
        <w:rPr>
          <w:kern w:val="36"/>
        </w:rPr>
      </w:pPr>
    </w:p>
    <w:p w14:paraId="5338528A" w14:textId="77777777" w:rsidR="000C0ACE" w:rsidRDefault="000C0ACE" w:rsidP="00A136F1">
      <w:pPr>
        <w:pStyle w:val="Authors"/>
        <w:jc w:val="both"/>
        <w:rPr>
          <w:kern w:val="36"/>
        </w:rPr>
      </w:pPr>
    </w:p>
    <w:p w14:paraId="32C35259" w14:textId="77777777" w:rsidR="000C0ACE" w:rsidRDefault="000C0ACE" w:rsidP="00A136F1">
      <w:pPr>
        <w:pStyle w:val="Authors"/>
        <w:jc w:val="both"/>
        <w:rPr>
          <w:kern w:val="36"/>
        </w:rPr>
      </w:pPr>
    </w:p>
    <w:p w14:paraId="0A3AEE7C" w14:textId="77777777" w:rsidR="000C0ACE" w:rsidRDefault="000C0ACE" w:rsidP="00A136F1">
      <w:pPr>
        <w:pStyle w:val="Authors"/>
        <w:jc w:val="both"/>
        <w:rPr>
          <w:kern w:val="36"/>
        </w:rPr>
      </w:pPr>
    </w:p>
    <w:p w14:paraId="11DBCFD6" w14:textId="77777777" w:rsidR="00634AA1" w:rsidRDefault="00634AA1" w:rsidP="00A136F1">
      <w:pPr>
        <w:pStyle w:val="Authors"/>
        <w:jc w:val="both"/>
        <w:rPr>
          <w:kern w:val="36"/>
        </w:rPr>
      </w:pPr>
    </w:p>
    <w:p w14:paraId="38C0EE7A" w14:textId="77777777" w:rsidR="00634AA1" w:rsidRDefault="00634AA1" w:rsidP="00A136F1">
      <w:pPr>
        <w:pStyle w:val="Authors"/>
        <w:jc w:val="both"/>
        <w:rPr>
          <w:kern w:val="36"/>
        </w:rPr>
      </w:pPr>
    </w:p>
    <w:p w14:paraId="5C899ED4" w14:textId="77777777" w:rsidR="00634AA1" w:rsidRDefault="00634AA1" w:rsidP="00A136F1">
      <w:pPr>
        <w:pStyle w:val="Authors"/>
        <w:jc w:val="both"/>
        <w:rPr>
          <w:kern w:val="36"/>
        </w:rPr>
      </w:pPr>
    </w:p>
    <w:p w14:paraId="269F030F" w14:textId="77777777" w:rsidR="00634AA1" w:rsidRDefault="00634AA1" w:rsidP="00A136F1">
      <w:pPr>
        <w:pStyle w:val="Authors"/>
        <w:jc w:val="both"/>
        <w:rPr>
          <w:kern w:val="36"/>
        </w:rPr>
      </w:pPr>
    </w:p>
    <w:p w14:paraId="3D451A56" w14:textId="77777777" w:rsidR="00A30634" w:rsidRDefault="00A30634" w:rsidP="00A136F1">
      <w:pPr>
        <w:pStyle w:val="Authors"/>
        <w:jc w:val="both"/>
        <w:rPr>
          <w:kern w:val="36"/>
        </w:rPr>
      </w:pPr>
    </w:p>
    <w:p w14:paraId="1F101E73" w14:textId="77777777" w:rsidR="00634AA1" w:rsidRDefault="00634AA1" w:rsidP="00A136F1">
      <w:pPr>
        <w:pStyle w:val="Authors"/>
        <w:jc w:val="both"/>
        <w:rPr>
          <w:kern w:val="36"/>
        </w:rPr>
      </w:pPr>
    </w:p>
    <w:p w14:paraId="486CE703" w14:textId="77777777" w:rsidR="00634AA1" w:rsidRDefault="00634AA1" w:rsidP="00A136F1">
      <w:pPr>
        <w:pStyle w:val="Authors"/>
        <w:jc w:val="both"/>
        <w:rPr>
          <w:kern w:val="36"/>
        </w:rPr>
      </w:pPr>
    </w:p>
    <w:p w14:paraId="14E731A3" w14:textId="77777777" w:rsidR="00791BF2" w:rsidRDefault="00791BF2" w:rsidP="00A136F1">
      <w:pPr>
        <w:pStyle w:val="Authors"/>
        <w:jc w:val="both"/>
        <w:rPr>
          <w:kern w:val="36"/>
        </w:rPr>
      </w:pPr>
    </w:p>
    <w:p w14:paraId="04680200" w14:textId="77777777" w:rsidR="00791BF2" w:rsidRDefault="00791BF2" w:rsidP="00A136F1">
      <w:pPr>
        <w:pStyle w:val="Authors"/>
        <w:jc w:val="both"/>
        <w:rPr>
          <w:kern w:val="36"/>
        </w:rPr>
      </w:pPr>
    </w:p>
    <w:p w14:paraId="25216DED" w14:textId="77777777" w:rsidR="000C0ACE" w:rsidRDefault="000C0ACE" w:rsidP="00A136F1">
      <w:pPr>
        <w:pStyle w:val="Authors"/>
        <w:jc w:val="both"/>
        <w:rPr>
          <w:kern w:val="36"/>
        </w:rPr>
      </w:pPr>
    </w:p>
    <w:p w14:paraId="0E82F238" w14:textId="77777777" w:rsidR="00DD5860" w:rsidRPr="005974FB" w:rsidRDefault="00D56E86" w:rsidP="00634AA1">
      <w:pPr>
        <w:pStyle w:val="Authors"/>
        <w:rPr>
          <w:rFonts w:ascii="Book Antiqua" w:hAnsi="Book Antiqua"/>
          <w:sz w:val="26"/>
        </w:rPr>
      </w:pPr>
      <w:r w:rsidRPr="005974FB">
        <w:rPr>
          <w:kern w:val="36"/>
          <w:sz w:val="26"/>
        </w:rPr>
        <w:lastRenderedPageBreak/>
        <w:t xml:space="preserve">Message Delivered by the Organising Committee Chairman, </w:t>
      </w:r>
      <w:r w:rsidRPr="005974FB">
        <w:rPr>
          <w:rFonts w:ascii="Book Antiqua" w:hAnsi="Book Antiqua"/>
          <w:sz w:val="26"/>
        </w:rPr>
        <w:t xml:space="preserve">Nii Annang Mensah-Livingstone </w:t>
      </w:r>
    </w:p>
    <w:p w14:paraId="50930F02" w14:textId="77777777" w:rsidR="00DD5860" w:rsidRPr="00DD5860" w:rsidRDefault="00DD5860" w:rsidP="00DD5860">
      <w:pPr>
        <w:pStyle w:val="Authors"/>
        <w:rPr>
          <w:b w:val="0"/>
        </w:rPr>
      </w:pPr>
    </w:p>
    <w:p w14:paraId="34B39033" w14:textId="77777777" w:rsidR="00DD5860" w:rsidRPr="00DD5860" w:rsidRDefault="00DD5860" w:rsidP="00EE4269">
      <w:pPr>
        <w:pStyle w:val="Authors"/>
        <w:jc w:val="left"/>
        <w:rPr>
          <w:kern w:val="36"/>
        </w:rPr>
        <w:sectPr w:rsidR="00DD5860" w:rsidRPr="00DD5860" w:rsidSect="008F6BC9">
          <w:type w:val="continuous"/>
          <w:pgSz w:w="11907" w:h="16839" w:code="9"/>
          <w:pgMar w:top="1440" w:right="1440" w:bottom="1440" w:left="1440" w:header="720" w:footer="720" w:gutter="0"/>
          <w:cols w:space="720"/>
          <w:docGrid w:linePitch="360"/>
        </w:sectPr>
      </w:pPr>
    </w:p>
    <w:p w14:paraId="67AFD183" w14:textId="77777777" w:rsidR="008F4108" w:rsidRPr="00E3232D" w:rsidRDefault="008F4108" w:rsidP="00A136F1">
      <w:pPr>
        <w:spacing w:before="100" w:beforeAutospacing="1" w:after="100" w:afterAutospacing="1"/>
        <w:jc w:val="both"/>
        <w:rPr>
          <w:rFonts w:ascii="Book Antiqua" w:hAnsi="Book Antiqua"/>
        </w:rPr>
      </w:pPr>
      <w:r w:rsidRPr="00E3232D">
        <w:rPr>
          <w:rFonts w:ascii="Book Antiqua" w:hAnsi="Book Antiqua"/>
        </w:rPr>
        <w:t xml:space="preserve">Dear Delegates, </w:t>
      </w:r>
    </w:p>
    <w:p w14:paraId="5F057863" w14:textId="77777777" w:rsidR="008F4108" w:rsidRPr="00E3232D" w:rsidRDefault="008F4108" w:rsidP="00A136F1">
      <w:pPr>
        <w:jc w:val="both"/>
        <w:rPr>
          <w:rFonts w:ascii="Book Antiqua" w:hAnsi="Book Antiqua"/>
        </w:rPr>
      </w:pPr>
      <w:r w:rsidRPr="00E3232D">
        <w:rPr>
          <w:rFonts w:ascii="Book Antiqua" w:hAnsi="Book Antiqua"/>
        </w:rPr>
        <w:t>On behalf of the organising committee, I am delighted to join my Rector to welcome all of you here to the 6</w:t>
      </w:r>
      <w:r w:rsidRPr="00E3232D">
        <w:rPr>
          <w:rFonts w:ascii="Book Antiqua" w:hAnsi="Book Antiqua"/>
          <w:vertAlign w:val="superscript"/>
        </w:rPr>
        <w:t>th</w:t>
      </w:r>
      <w:r w:rsidRPr="00E3232D">
        <w:rPr>
          <w:rFonts w:ascii="Book Antiqua" w:hAnsi="Book Antiqua"/>
        </w:rPr>
        <w:t xml:space="preserve"> Annual</w:t>
      </w:r>
      <w:r w:rsidRPr="00E3232D">
        <w:rPr>
          <w:rFonts w:ascii="Book Antiqua" w:hAnsi="Book Antiqua"/>
          <w:b/>
        </w:rPr>
        <w:t xml:space="preserve"> </w:t>
      </w:r>
      <w:r w:rsidRPr="00E3232D">
        <w:rPr>
          <w:rFonts w:ascii="Book Antiqua" w:hAnsi="Book Antiqua"/>
        </w:rPr>
        <w:t>International Applied Research Conference on the theme, “Building a Responsive Tertiary Education Sector: Effective Collaboration with Industry for National Development”. This exciting forum is exclusively dedicated to recent developments in applied research and related technologies. Many of you have made a long journey to participate in this colloquium and share your experiences with us, and we are very grateful to you.</w:t>
      </w:r>
    </w:p>
    <w:p w14:paraId="6FE85A15" w14:textId="77777777" w:rsidR="00EE4269" w:rsidRDefault="008F4108" w:rsidP="00A136F1">
      <w:pPr>
        <w:jc w:val="both"/>
        <w:outlineLvl w:val="0"/>
        <w:rPr>
          <w:rFonts w:ascii="Book Antiqua" w:hAnsi="Book Antiqua"/>
        </w:rPr>
      </w:pPr>
      <w:r w:rsidRPr="00E3232D">
        <w:rPr>
          <w:rFonts w:ascii="Book Antiqua" w:hAnsi="Book Antiqua"/>
        </w:rPr>
        <w:t xml:space="preserve">It is remarkable to think of all that we have achieved so far! This achievement is due to the improvement in the quality of papers published through strict refereeing and examination of the papers submitted. I am delighted to say that this was not only due to the hard work of the editorial board and reviewers in refereeing the papers submitted, but also raising the standard of the quality of papers that we publish. I ask that we do not stop here but carry on with this work and further improve the papers published.  To all of the editorial board and reviewers I give my personal thanks and congratulations. Let us now continue the work started and achieve the impact factor that this Conference deserves. The editorial team </w:t>
      </w:r>
    </w:p>
    <w:p w14:paraId="3FD4DBF4" w14:textId="77777777" w:rsidR="00EE4269" w:rsidRDefault="00EE4269" w:rsidP="00A136F1">
      <w:pPr>
        <w:jc w:val="both"/>
        <w:outlineLvl w:val="0"/>
        <w:rPr>
          <w:rFonts w:ascii="Book Antiqua" w:hAnsi="Book Antiqua"/>
        </w:rPr>
      </w:pPr>
    </w:p>
    <w:p w14:paraId="6406F116" w14:textId="77777777" w:rsidR="00EE4269" w:rsidRDefault="00EE4269" w:rsidP="00A136F1">
      <w:pPr>
        <w:jc w:val="both"/>
        <w:outlineLvl w:val="0"/>
        <w:rPr>
          <w:rFonts w:ascii="Book Antiqua" w:hAnsi="Book Antiqua"/>
        </w:rPr>
      </w:pPr>
    </w:p>
    <w:p w14:paraId="795BC3D6" w14:textId="77777777" w:rsidR="008F4108" w:rsidRPr="00E3232D" w:rsidRDefault="008F4108" w:rsidP="00EE4269">
      <w:pPr>
        <w:spacing w:after="0"/>
        <w:jc w:val="both"/>
        <w:outlineLvl w:val="0"/>
        <w:rPr>
          <w:rFonts w:ascii="Book Antiqua" w:hAnsi="Book Antiqua"/>
        </w:rPr>
      </w:pPr>
      <w:r w:rsidRPr="00E3232D">
        <w:rPr>
          <w:rFonts w:ascii="Book Antiqua" w:hAnsi="Book Antiqua"/>
        </w:rPr>
        <w:t xml:space="preserve">welcomes your suggestions to help improve the conference. Therefore, please do not hesitate </w:t>
      </w:r>
      <w:r w:rsidR="00D47C1A">
        <w:rPr>
          <w:rFonts w:ascii="Book Antiqua" w:hAnsi="Book Antiqua"/>
        </w:rPr>
        <w:t xml:space="preserve">to contact us with your ideas. </w:t>
      </w:r>
    </w:p>
    <w:p w14:paraId="5074E9B1" w14:textId="77777777" w:rsidR="008F4108" w:rsidRPr="00E3232D" w:rsidRDefault="008F4108" w:rsidP="00A136F1">
      <w:pPr>
        <w:pStyle w:val="NormalWeb"/>
        <w:spacing w:line="276" w:lineRule="auto"/>
        <w:jc w:val="both"/>
        <w:rPr>
          <w:rFonts w:ascii="Book Antiqua" w:hAnsi="Book Antiqua"/>
          <w:sz w:val="22"/>
          <w:szCs w:val="22"/>
        </w:rPr>
      </w:pPr>
      <w:r w:rsidRPr="00E3232D">
        <w:rPr>
          <w:rFonts w:ascii="Book Antiqua" w:hAnsi="Book Antiqua"/>
          <w:sz w:val="22"/>
          <w:szCs w:val="22"/>
        </w:rPr>
        <w:t>It is a pleasure to look out and see in attendance men and women representing various institutions from every corner of the nation. We are a diverse group.  And each of the different establishments we stand for has diverse priorities and strategies, mandates and influence.  While we differ in a variety of ways, we have one important thing in common: building a responsive tertiary education sector for national development.</w:t>
      </w:r>
    </w:p>
    <w:p w14:paraId="30361C5E" w14:textId="77777777" w:rsidR="008F4108" w:rsidRPr="00E3232D" w:rsidRDefault="008F4108" w:rsidP="00A136F1">
      <w:pPr>
        <w:pStyle w:val="NormalWeb"/>
        <w:spacing w:line="276" w:lineRule="auto"/>
        <w:jc w:val="both"/>
        <w:rPr>
          <w:rFonts w:ascii="Book Antiqua" w:hAnsi="Book Antiqua"/>
          <w:sz w:val="22"/>
          <w:szCs w:val="22"/>
        </w:rPr>
      </w:pPr>
      <w:r w:rsidRPr="00E3232D">
        <w:rPr>
          <w:rFonts w:ascii="Book Antiqua" w:hAnsi="Book Antiqua"/>
          <w:sz w:val="22"/>
          <w:szCs w:val="22"/>
        </w:rPr>
        <w:t xml:space="preserve">As has been the practice, all papers for this conference went through a rigorous review process, and we are pleased to acknowledge that there is remarkable improvement in this year’s papers. Presenters will be allowed 10 minutes for their presentations, and 5 minutes for discussions and questions. </w:t>
      </w:r>
    </w:p>
    <w:p w14:paraId="26EB1FA9" w14:textId="77777777" w:rsidR="008F4108" w:rsidRPr="00E3232D" w:rsidRDefault="008F4108" w:rsidP="00A136F1">
      <w:pPr>
        <w:pStyle w:val="NormalWeb"/>
        <w:spacing w:line="276" w:lineRule="auto"/>
        <w:jc w:val="both"/>
        <w:rPr>
          <w:rFonts w:ascii="Book Antiqua" w:hAnsi="Book Antiqua"/>
          <w:sz w:val="22"/>
          <w:szCs w:val="22"/>
        </w:rPr>
      </w:pPr>
      <w:r w:rsidRPr="00E3232D">
        <w:rPr>
          <w:rFonts w:ascii="Book Antiqua" w:hAnsi="Book Antiqua"/>
          <w:sz w:val="22"/>
          <w:szCs w:val="22"/>
        </w:rPr>
        <w:t>As we keep doing, we have lined up attractive award packages for deserving research works presented at this conference. There will also be opportunities to interact and network with other participants through visits to some interesting tourist sites and a Dinner and Awards night on the last day of the Conference.</w:t>
      </w:r>
    </w:p>
    <w:p w14:paraId="252A643F" w14:textId="77777777" w:rsidR="00A1212D" w:rsidRPr="00E3232D" w:rsidRDefault="008F4108" w:rsidP="00A136F1">
      <w:pPr>
        <w:jc w:val="both"/>
        <w:rPr>
          <w:rFonts w:ascii="Book Antiqua" w:hAnsi="Book Antiqua"/>
        </w:rPr>
      </w:pPr>
      <w:r w:rsidRPr="00E3232D">
        <w:rPr>
          <w:rFonts w:ascii="Book Antiqua" w:hAnsi="Book Antiqua"/>
        </w:rPr>
        <w:t xml:space="preserve">On behalf of the Conference Planning Committee we are pleased to say thank you to each of you. We owe a great deal of </w:t>
      </w:r>
      <w:r w:rsidRPr="00E3232D">
        <w:rPr>
          <w:rFonts w:ascii="Book Antiqua" w:hAnsi="Book Antiqua"/>
        </w:rPr>
        <w:lastRenderedPageBreak/>
        <w:t xml:space="preserve">gratitude to our Keynote Speakers, Rectors of Sister Polytechnics, reviewers, authors and presenters who have supported the conference since its inception. We appreciate you for taking the time and effort to be here. We also thank you for your participation and the sharing of your ideas and expertise. </w:t>
      </w:r>
    </w:p>
    <w:p w14:paraId="66549429" w14:textId="77777777" w:rsidR="00A1212D" w:rsidRPr="00E3232D" w:rsidRDefault="008F4108" w:rsidP="00A136F1">
      <w:pPr>
        <w:jc w:val="both"/>
        <w:rPr>
          <w:rFonts w:ascii="Book Antiqua" w:hAnsi="Book Antiqua"/>
        </w:rPr>
      </w:pPr>
      <w:r w:rsidRPr="00E3232D">
        <w:rPr>
          <w:rFonts w:ascii="Book Antiqua" w:hAnsi="Book Antiqua"/>
        </w:rPr>
        <w:t>We certainly hope that the conference would meet your expectation and that you would take the opportunity to make new friends and renew old acquaintances and to have discussion and exchange of many experiences, suggestions and opinions with decision makers, practitioners and researchers from all over the country.</w:t>
      </w:r>
    </w:p>
    <w:p w14:paraId="55C4C97A" w14:textId="77777777" w:rsidR="008F4108" w:rsidRPr="00E3232D" w:rsidRDefault="008F4108" w:rsidP="00A136F1">
      <w:pPr>
        <w:jc w:val="both"/>
        <w:rPr>
          <w:rFonts w:ascii="Book Antiqua" w:hAnsi="Book Antiqua"/>
        </w:rPr>
      </w:pPr>
      <w:r w:rsidRPr="00E3232D">
        <w:rPr>
          <w:rFonts w:ascii="Book Antiqua" w:hAnsi="Book Antiqua"/>
        </w:rPr>
        <w:t xml:space="preserve">While we thank the Management of Koforidua Polytechnic for their unflinching support, we also thank the </w:t>
      </w:r>
      <w:r w:rsidRPr="00E3232D">
        <w:rPr>
          <w:rFonts w:ascii="Book Antiqua" w:hAnsi="Book Antiqua"/>
        </w:rPr>
        <w:t>Hospitality Department for their efforts in providing us with sumptuous meals. Last but not least, members of the organizing committee and staff of the Research and New Programmes Department deserve commendation.</w:t>
      </w:r>
    </w:p>
    <w:p w14:paraId="79722C54" w14:textId="77777777" w:rsidR="008F4108" w:rsidRPr="00E3232D" w:rsidRDefault="008F4108" w:rsidP="00A136F1">
      <w:pPr>
        <w:jc w:val="both"/>
        <w:rPr>
          <w:rFonts w:ascii="Book Antiqua" w:hAnsi="Book Antiqua"/>
        </w:rPr>
      </w:pPr>
      <w:r w:rsidRPr="00E3232D">
        <w:rPr>
          <w:rFonts w:ascii="Book Antiqua" w:hAnsi="Book Antiqua"/>
        </w:rPr>
        <w:t>On this note, I warmly welcome you all to our Sixth Annual International Applied Research Conference and wish you a fruitful deliberation. Should you have any question or require any assistance, please do not hesitate to contact any of the organizing committee members.</w:t>
      </w:r>
    </w:p>
    <w:p w14:paraId="2C1B78A5" w14:textId="77777777" w:rsidR="00FB35DB" w:rsidRDefault="00FB35DB" w:rsidP="00A136F1">
      <w:pPr>
        <w:jc w:val="both"/>
        <w:rPr>
          <w:rFonts w:ascii="Book Antiqua" w:hAnsi="Book Antiqua"/>
        </w:rPr>
      </w:pPr>
    </w:p>
    <w:p w14:paraId="34F01B99" w14:textId="77777777" w:rsidR="008F4108" w:rsidRPr="00E3232D" w:rsidRDefault="008F4108" w:rsidP="00A136F1">
      <w:pPr>
        <w:jc w:val="both"/>
        <w:rPr>
          <w:rFonts w:ascii="Book Antiqua" w:hAnsi="Book Antiqua"/>
        </w:rPr>
      </w:pPr>
      <w:r w:rsidRPr="00E3232D">
        <w:rPr>
          <w:rFonts w:ascii="Book Antiqua" w:hAnsi="Book Antiqua"/>
        </w:rPr>
        <w:t>Thank you</w:t>
      </w:r>
    </w:p>
    <w:p w14:paraId="7A5F8542" w14:textId="77777777" w:rsidR="008F4108" w:rsidRPr="00E3232D" w:rsidRDefault="008F4108" w:rsidP="00A136F1">
      <w:pPr>
        <w:jc w:val="both"/>
        <w:rPr>
          <w:rFonts w:ascii="Book Antiqua" w:hAnsi="Book Antiqua"/>
        </w:rPr>
      </w:pPr>
    </w:p>
    <w:p w14:paraId="3D883C86" w14:textId="77777777" w:rsidR="008F4108" w:rsidRPr="00E3232D" w:rsidRDefault="008F4108" w:rsidP="00A136F1">
      <w:pPr>
        <w:jc w:val="both"/>
        <w:rPr>
          <w:rFonts w:ascii="Book Antiqua" w:hAnsi="Book Antiqua"/>
          <w:b/>
        </w:rPr>
      </w:pPr>
    </w:p>
    <w:p w14:paraId="2E86AAC9" w14:textId="77777777" w:rsidR="000C0ACE" w:rsidRDefault="000C0ACE" w:rsidP="00A136F1">
      <w:pPr>
        <w:jc w:val="both"/>
        <w:rPr>
          <w:rFonts w:ascii="Book Antiqua" w:hAnsi="Book Antiqua"/>
          <w:b/>
        </w:rPr>
        <w:sectPr w:rsidR="000C0ACE" w:rsidSect="000C0ACE">
          <w:type w:val="continuous"/>
          <w:pgSz w:w="11907" w:h="16839" w:code="9"/>
          <w:pgMar w:top="1440" w:right="1440" w:bottom="1440" w:left="1440" w:header="720" w:footer="720" w:gutter="0"/>
          <w:cols w:num="2" w:space="720"/>
          <w:docGrid w:linePitch="360"/>
        </w:sectPr>
      </w:pPr>
    </w:p>
    <w:p w14:paraId="7F52AD25" w14:textId="77777777" w:rsidR="0098370A" w:rsidRPr="00E3232D" w:rsidRDefault="0098370A" w:rsidP="00A136F1">
      <w:pPr>
        <w:jc w:val="both"/>
        <w:rPr>
          <w:rFonts w:ascii="Book Antiqua" w:hAnsi="Book Antiqua"/>
          <w:b/>
        </w:rPr>
      </w:pPr>
    </w:p>
    <w:p w14:paraId="21C95343" w14:textId="77777777" w:rsidR="0098370A" w:rsidRPr="00E3232D" w:rsidRDefault="0098370A" w:rsidP="00A136F1">
      <w:pPr>
        <w:jc w:val="both"/>
        <w:rPr>
          <w:rFonts w:ascii="Book Antiqua" w:hAnsi="Book Antiqua"/>
          <w:b/>
        </w:rPr>
      </w:pPr>
    </w:p>
    <w:p w14:paraId="438BFDB1" w14:textId="77777777" w:rsidR="0098370A" w:rsidRPr="00E3232D" w:rsidRDefault="0098370A" w:rsidP="00A136F1">
      <w:pPr>
        <w:jc w:val="both"/>
        <w:rPr>
          <w:rFonts w:ascii="Book Antiqua" w:hAnsi="Book Antiqua"/>
          <w:b/>
        </w:rPr>
      </w:pPr>
    </w:p>
    <w:p w14:paraId="6C904CA9" w14:textId="77777777" w:rsidR="008F6BC9" w:rsidRDefault="008F6BC9" w:rsidP="00A136F1">
      <w:pPr>
        <w:jc w:val="both"/>
        <w:rPr>
          <w:rFonts w:ascii="Book Antiqua" w:hAnsi="Book Antiqua"/>
          <w:b/>
        </w:rPr>
      </w:pPr>
    </w:p>
    <w:p w14:paraId="76D9D5AB" w14:textId="77777777" w:rsidR="00BF580D" w:rsidRDefault="00BF580D" w:rsidP="00A136F1">
      <w:pPr>
        <w:jc w:val="both"/>
        <w:rPr>
          <w:rFonts w:ascii="Book Antiqua" w:hAnsi="Book Antiqua"/>
          <w:b/>
        </w:rPr>
      </w:pPr>
    </w:p>
    <w:p w14:paraId="1DE6FF14" w14:textId="77777777" w:rsidR="003013CD" w:rsidRDefault="003013CD" w:rsidP="00A136F1">
      <w:pPr>
        <w:jc w:val="both"/>
        <w:rPr>
          <w:rFonts w:ascii="Book Antiqua" w:hAnsi="Book Antiqua"/>
          <w:b/>
        </w:rPr>
      </w:pPr>
    </w:p>
    <w:p w14:paraId="41D462C7" w14:textId="77777777" w:rsidR="003013CD" w:rsidRDefault="003013CD" w:rsidP="00A136F1">
      <w:pPr>
        <w:jc w:val="both"/>
        <w:rPr>
          <w:rFonts w:ascii="Book Antiqua" w:hAnsi="Book Antiqua"/>
          <w:b/>
        </w:rPr>
      </w:pPr>
    </w:p>
    <w:p w14:paraId="0BDE5532" w14:textId="77777777" w:rsidR="003013CD" w:rsidRDefault="003013CD" w:rsidP="00A136F1">
      <w:pPr>
        <w:jc w:val="both"/>
        <w:rPr>
          <w:rFonts w:ascii="Book Antiqua" w:hAnsi="Book Antiqua"/>
          <w:b/>
        </w:rPr>
      </w:pPr>
    </w:p>
    <w:p w14:paraId="6B771E07" w14:textId="77777777" w:rsidR="00D922AD" w:rsidRDefault="00D922AD" w:rsidP="00A136F1">
      <w:pPr>
        <w:jc w:val="both"/>
        <w:rPr>
          <w:rFonts w:ascii="Book Antiqua" w:hAnsi="Book Antiqua"/>
          <w:b/>
        </w:rPr>
      </w:pPr>
    </w:p>
    <w:p w14:paraId="53C7DB97" w14:textId="77777777" w:rsidR="00D922AD" w:rsidRDefault="00D922AD" w:rsidP="00A136F1">
      <w:pPr>
        <w:jc w:val="both"/>
        <w:rPr>
          <w:rFonts w:ascii="Book Antiqua" w:hAnsi="Book Antiqua"/>
          <w:b/>
        </w:rPr>
      </w:pPr>
    </w:p>
    <w:p w14:paraId="3540232C" w14:textId="77777777" w:rsidR="00D922AD" w:rsidRDefault="00D922AD" w:rsidP="00A136F1">
      <w:pPr>
        <w:jc w:val="both"/>
        <w:rPr>
          <w:rFonts w:ascii="Book Antiqua" w:hAnsi="Book Antiqua"/>
          <w:b/>
        </w:rPr>
      </w:pPr>
    </w:p>
    <w:p w14:paraId="7892175D" w14:textId="77777777" w:rsidR="00D922AD" w:rsidRDefault="00D922AD" w:rsidP="00A136F1">
      <w:pPr>
        <w:jc w:val="both"/>
        <w:rPr>
          <w:rFonts w:ascii="Book Antiqua" w:hAnsi="Book Antiqua"/>
          <w:b/>
        </w:rPr>
      </w:pPr>
    </w:p>
    <w:p w14:paraId="17973676" w14:textId="77777777" w:rsidR="003013CD" w:rsidRDefault="003013CD" w:rsidP="00A136F1">
      <w:pPr>
        <w:jc w:val="both"/>
        <w:rPr>
          <w:rFonts w:ascii="Book Antiqua" w:hAnsi="Book Antiqua"/>
          <w:b/>
        </w:rPr>
      </w:pPr>
    </w:p>
    <w:p w14:paraId="1F110118" w14:textId="77777777" w:rsidR="00B2087E" w:rsidRPr="00791BF2" w:rsidRDefault="00D922AD" w:rsidP="00A136F1">
      <w:pPr>
        <w:pStyle w:val="Authors"/>
        <w:jc w:val="both"/>
        <w:rPr>
          <w:sz w:val="26"/>
        </w:rPr>
      </w:pPr>
      <w:r w:rsidRPr="00791BF2">
        <w:rPr>
          <w:sz w:val="26"/>
        </w:rPr>
        <w:lastRenderedPageBreak/>
        <w:t>Objectives of the Conference</w:t>
      </w:r>
    </w:p>
    <w:p w14:paraId="6A63C058" w14:textId="77777777" w:rsidR="00B2087E" w:rsidRPr="00E3232D" w:rsidRDefault="00B2087E" w:rsidP="00A136F1">
      <w:pPr>
        <w:jc w:val="both"/>
        <w:rPr>
          <w:rFonts w:ascii="Book Antiqua" w:hAnsi="Book Antiqua"/>
        </w:rPr>
      </w:pPr>
      <w:r w:rsidRPr="00E3232D">
        <w:rPr>
          <w:rFonts w:ascii="Book Antiqua" w:hAnsi="Book Antiqua"/>
        </w:rPr>
        <w:t>The main objectives of the 5</w:t>
      </w:r>
      <w:r w:rsidRPr="00E3232D">
        <w:rPr>
          <w:rFonts w:ascii="Book Antiqua" w:hAnsi="Book Antiqua"/>
          <w:vertAlign w:val="superscript"/>
        </w:rPr>
        <w:t>th</w:t>
      </w:r>
      <w:r w:rsidRPr="00E3232D">
        <w:rPr>
          <w:rFonts w:ascii="Book Antiqua" w:hAnsi="Book Antiqua"/>
        </w:rPr>
        <w:t xml:space="preserve"> Annual Applied </w:t>
      </w:r>
      <w:r w:rsidR="00480A9C" w:rsidRPr="00E3232D">
        <w:rPr>
          <w:rFonts w:ascii="Book Antiqua" w:hAnsi="Book Antiqua"/>
        </w:rPr>
        <w:t xml:space="preserve">Research Conference are: </w:t>
      </w:r>
    </w:p>
    <w:p w14:paraId="0FD6ECE1" w14:textId="77777777" w:rsidR="00480A9C" w:rsidRPr="00E3232D" w:rsidRDefault="00480A9C" w:rsidP="00196385">
      <w:pPr>
        <w:pStyle w:val="ListParagraph"/>
        <w:numPr>
          <w:ilvl w:val="0"/>
          <w:numId w:val="153"/>
        </w:numPr>
        <w:ind w:left="450" w:hanging="450"/>
        <w:jc w:val="both"/>
        <w:rPr>
          <w:rFonts w:ascii="Book Antiqua" w:hAnsi="Book Antiqua"/>
        </w:rPr>
      </w:pPr>
      <w:r w:rsidRPr="00E3232D">
        <w:rPr>
          <w:rFonts w:ascii="Book Antiqua" w:hAnsi="Book Antiqua"/>
        </w:rPr>
        <w:t xml:space="preserve">To provide a forum </w:t>
      </w:r>
      <w:r w:rsidR="00C3333E" w:rsidRPr="00E3232D">
        <w:rPr>
          <w:rFonts w:ascii="Book Antiqua" w:hAnsi="Book Antiqua"/>
        </w:rPr>
        <w:t>for presentation of research output by members of the Polytechnic Community and beyond</w:t>
      </w:r>
      <w:r w:rsidR="00167BCA" w:rsidRPr="00E3232D">
        <w:rPr>
          <w:rFonts w:ascii="Book Antiqua" w:hAnsi="Book Antiqua"/>
        </w:rPr>
        <w:t>.</w:t>
      </w:r>
    </w:p>
    <w:p w14:paraId="434A1F59" w14:textId="77777777" w:rsidR="006F68EB" w:rsidRDefault="00167BCA" w:rsidP="00196385">
      <w:pPr>
        <w:pStyle w:val="ListParagraph"/>
        <w:numPr>
          <w:ilvl w:val="0"/>
          <w:numId w:val="153"/>
        </w:numPr>
        <w:ind w:left="450" w:hanging="450"/>
        <w:jc w:val="both"/>
        <w:rPr>
          <w:rFonts w:ascii="Book Antiqua" w:hAnsi="Book Antiqua"/>
        </w:rPr>
      </w:pPr>
      <w:r w:rsidRPr="00E3232D">
        <w:rPr>
          <w:rFonts w:ascii="Book Antiqua" w:hAnsi="Book Antiqua"/>
        </w:rPr>
        <w:t xml:space="preserve">To stimulate interest in research and publication </w:t>
      </w:r>
      <w:r w:rsidR="00B41DFF" w:rsidRPr="00E3232D">
        <w:rPr>
          <w:rFonts w:ascii="Book Antiqua" w:hAnsi="Book Antiqua"/>
        </w:rPr>
        <w:t>in the Polytechnics</w:t>
      </w:r>
    </w:p>
    <w:p w14:paraId="0DA1683C" w14:textId="77777777" w:rsidR="003013CD" w:rsidRPr="003013CD" w:rsidRDefault="003013CD" w:rsidP="009C7BA8">
      <w:pPr>
        <w:pStyle w:val="ListParagraph"/>
        <w:spacing w:after="0"/>
        <w:jc w:val="both"/>
        <w:rPr>
          <w:rFonts w:ascii="Book Antiqua" w:hAnsi="Book Antiqua"/>
        </w:rPr>
      </w:pPr>
    </w:p>
    <w:p w14:paraId="0428838B" w14:textId="77777777" w:rsidR="00B41DFF" w:rsidRPr="00D922AD" w:rsidRDefault="00D922AD" w:rsidP="00A136F1">
      <w:pPr>
        <w:pStyle w:val="Authors"/>
        <w:jc w:val="both"/>
        <w:rPr>
          <w:sz w:val="26"/>
        </w:rPr>
      </w:pPr>
      <w:r w:rsidRPr="00D922AD">
        <w:rPr>
          <w:sz w:val="26"/>
        </w:rPr>
        <w:t xml:space="preserve">Expected Output </w:t>
      </w:r>
      <w:r>
        <w:rPr>
          <w:sz w:val="26"/>
        </w:rPr>
        <w:t>o</w:t>
      </w:r>
      <w:r w:rsidRPr="00D922AD">
        <w:rPr>
          <w:sz w:val="26"/>
        </w:rPr>
        <w:t xml:space="preserve">f </w:t>
      </w:r>
      <w:r>
        <w:rPr>
          <w:sz w:val="26"/>
        </w:rPr>
        <w:t>t</w:t>
      </w:r>
      <w:r w:rsidRPr="00D922AD">
        <w:rPr>
          <w:sz w:val="26"/>
        </w:rPr>
        <w:t xml:space="preserve">he Conference </w:t>
      </w:r>
    </w:p>
    <w:p w14:paraId="214B1263" w14:textId="77777777" w:rsidR="00B41DFF" w:rsidRPr="00E3232D" w:rsidRDefault="00B41DFF" w:rsidP="00A136F1">
      <w:pPr>
        <w:jc w:val="both"/>
        <w:rPr>
          <w:rFonts w:ascii="Book Antiqua" w:hAnsi="Book Antiqua"/>
        </w:rPr>
      </w:pPr>
      <w:r w:rsidRPr="00E3232D">
        <w:rPr>
          <w:rFonts w:ascii="Book Antiqua" w:hAnsi="Book Antiqua"/>
        </w:rPr>
        <w:t xml:space="preserve">It is expected that at the end of the </w:t>
      </w:r>
      <w:r w:rsidR="00565ABC" w:rsidRPr="00E3232D">
        <w:rPr>
          <w:rFonts w:ascii="Book Antiqua" w:hAnsi="Book Antiqua"/>
        </w:rPr>
        <w:t>Conference:</w:t>
      </w:r>
    </w:p>
    <w:p w14:paraId="580D1DDB" w14:textId="77777777" w:rsidR="00565ABC" w:rsidRPr="00E3232D" w:rsidRDefault="00565ABC" w:rsidP="00196385">
      <w:pPr>
        <w:pStyle w:val="ListParagraph"/>
        <w:numPr>
          <w:ilvl w:val="0"/>
          <w:numId w:val="154"/>
        </w:numPr>
        <w:ind w:left="450" w:hanging="450"/>
        <w:jc w:val="both"/>
        <w:rPr>
          <w:rFonts w:ascii="Book Antiqua" w:hAnsi="Book Antiqua"/>
        </w:rPr>
      </w:pPr>
      <w:r w:rsidRPr="00E3232D">
        <w:rPr>
          <w:rFonts w:ascii="Book Antiqua" w:hAnsi="Book Antiqua"/>
        </w:rPr>
        <w:t xml:space="preserve">Research findings of members of the Polytechnic Community would be presented </w:t>
      </w:r>
    </w:p>
    <w:p w14:paraId="0A3F35C0" w14:textId="77777777" w:rsidR="009B5BA2" w:rsidRDefault="009B5BA2" w:rsidP="00196385">
      <w:pPr>
        <w:pStyle w:val="ListParagraph"/>
        <w:numPr>
          <w:ilvl w:val="0"/>
          <w:numId w:val="154"/>
        </w:numPr>
        <w:ind w:left="450" w:hanging="450"/>
        <w:jc w:val="both"/>
        <w:rPr>
          <w:rFonts w:ascii="Book Antiqua" w:hAnsi="Book Antiqua"/>
        </w:rPr>
      </w:pPr>
      <w:r w:rsidRPr="00E3232D">
        <w:rPr>
          <w:rFonts w:ascii="Book Antiqua" w:hAnsi="Book Antiqua"/>
        </w:rPr>
        <w:t>Interest in research and publications would be stimulated</w:t>
      </w:r>
    </w:p>
    <w:p w14:paraId="35FDBC66" w14:textId="77777777" w:rsidR="003013CD" w:rsidRPr="003013CD" w:rsidRDefault="003013CD" w:rsidP="009C7BA8">
      <w:pPr>
        <w:pStyle w:val="ListParagraph"/>
        <w:spacing w:after="0"/>
        <w:jc w:val="both"/>
        <w:rPr>
          <w:rFonts w:ascii="Book Antiqua" w:hAnsi="Book Antiqua"/>
        </w:rPr>
      </w:pPr>
    </w:p>
    <w:p w14:paraId="623170FD" w14:textId="77777777" w:rsidR="009B5BA2" w:rsidRPr="00D922AD" w:rsidRDefault="00D922AD" w:rsidP="00A136F1">
      <w:pPr>
        <w:pStyle w:val="Authors"/>
        <w:jc w:val="both"/>
        <w:rPr>
          <w:sz w:val="26"/>
        </w:rPr>
      </w:pPr>
      <w:r w:rsidRPr="00D922AD">
        <w:rPr>
          <w:sz w:val="26"/>
        </w:rPr>
        <w:t>Thematic Areas</w:t>
      </w:r>
    </w:p>
    <w:p w14:paraId="1DC8953F" w14:textId="77777777" w:rsidR="00D922AD" w:rsidRPr="00D922AD" w:rsidRDefault="00D922AD" w:rsidP="009C7BA8">
      <w:pPr>
        <w:pStyle w:val="ListParagraph"/>
        <w:ind w:left="0"/>
        <w:jc w:val="both"/>
        <w:rPr>
          <w:rFonts w:ascii="Times New Roman" w:hAnsi="Times New Roman"/>
          <w:b/>
          <w:bCs/>
          <w:kern w:val="32"/>
          <w:sz w:val="2"/>
          <w:szCs w:val="28"/>
        </w:rPr>
      </w:pPr>
    </w:p>
    <w:p w14:paraId="3312449D" w14:textId="77777777" w:rsidR="002F45CB" w:rsidRPr="009C7BA8" w:rsidRDefault="002F45CB" w:rsidP="009C7BA8">
      <w:pPr>
        <w:pStyle w:val="ListParagraph"/>
        <w:ind w:left="0"/>
        <w:jc w:val="both"/>
        <w:rPr>
          <w:rFonts w:ascii="Book Antiqua" w:hAnsi="Book Antiqua"/>
          <w:b/>
        </w:rPr>
      </w:pPr>
      <w:r w:rsidRPr="00AC5438">
        <w:rPr>
          <w:rFonts w:ascii="Book Antiqua" w:hAnsi="Book Antiqua"/>
          <w:b/>
        </w:rPr>
        <w:t>Thematic Areas:</w:t>
      </w:r>
    </w:p>
    <w:p w14:paraId="5EDF13C0" w14:textId="77777777" w:rsidR="002F45CB" w:rsidRPr="00AC5438" w:rsidRDefault="002F45CB" w:rsidP="00196385">
      <w:pPr>
        <w:pStyle w:val="ListParagraph"/>
        <w:numPr>
          <w:ilvl w:val="0"/>
          <w:numId w:val="167"/>
        </w:numPr>
        <w:ind w:left="450" w:hanging="450"/>
        <w:jc w:val="both"/>
        <w:rPr>
          <w:rFonts w:ascii="Book Antiqua" w:hAnsi="Book Antiqua"/>
        </w:rPr>
      </w:pPr>
      <w:r w:rsidRPr="00AC5438">
        <w:rPr>
          <w:rFonts w:ascii="Book Antiqua" w:hAnsi="Book Antiqua"/>
        </w:rPr>
        <w:t>Collaboration between Tertiary Education and Industry: the missing link</w:t>
      </w:r>
    </w:p>
    <w:p w14:paraId="2F0588FD" w14:textId="77777777" w:rsidR="002F45CB" w:rsidRPr="00AC5438" w:rsidRDefault="002F45CB" w:rsidP="00196385">
      <w:pPr>
        <w:pStyle w:val="ListParagraph"/>
        <w:numPr>
          <w:ilvl w:val="0"/>
          <w:numId w:val="167"/>
        </w:numPr>
        <w:ind w:left="450" w:hanging="450"/>
        <w:jc w:val="both"/>
        <w:rPr>
          <w:rFonts w:ascii="Book Antiqua" w:hAnsi="Book Antiqua"/>
        </w:rPr>
      </w:pPr>
      <w:r w:rsidRPr="00AC5438">
        <w:rPr>
          <w:rFonts w:ascii="Book Antiqua" w:hAnsi="Book Antiqua"/>
        </w:rPr>
        <w:t>Harnessing industrial experience for efficient and effective training in tertiary institutions for national development.</w:t>
      </w:r>
    </w:p>
    <w:p w14:paraId="02651C65" w14:textId="77777777" w:rsidR="002F45CB" w:rsidRPr="00AC5438" w:rsidRDefault="002F45CB" w:rsidP="003013CD">
      <w:pPr>
        <w:pStyle w:val="ListParagraph"/>
        <w:ind w:left="450" w:hanging="450"/>
        <w:jc w:val="both"/>
        <w:rPr>
          <w:rFonts w:ascii="Book Antiqua" w:hAnsi="Book Antiqua"/>
        </w:rPr>
      </w:pPr>
    </w:p>
    <w:p w14:paraId="7BFEF0EE" w14:textId="77777777" w:rsidR="003013CD" w:rsidRPr="00AC5438" w:rsidRDefault="002F45CB" w:rsidP="009C7BA8">
      <w:pPr>
        <w:pStyle w:val="ListParagraph"/>
        <w:ind w:left="450" w:hanging="450"/>
        <w:jc w:val="both"/>
        <w:rPr>
          <w:rFonts w:ascii="Book Antiqua" w:hAnsi="Book Antiqua"/>
          <w:b/>
        </w:rPr>
      </w:pPr>
      <w:r w:rsidRPr="00AC5438">
        <w:rPr>
          <w:rFonts w:ascii="Book Antiqua" w:hAnsi="Book Antiqua"/>
          <w:b/>
        </w:rPr>
        <w:t>Sub-</w:t>
      </w:r>
      <w:r w:rsidR="009C7BA8" w:rsidRPr="00AC5438">
        <w:rPr>
          <w:rFonts w:ascii="Book Antiqua" w:hAnsi="Book Antiqua"/>
          <w:b/>
        </w:rPr>
        <w:t xml:space="preserve">Thematic </w:t>
      </w:r>
      <w:r w:rsidRPr="00AC5438">
        <w:rPr>
          <w:rFonts w:ascii="Book Antiqua" w:hAnsi="Book Antiqua"/>
          <w:b/>
        </w:rPr>
        <w:t>Areas:</w:t>
      </w:r>
    </w:p>
    <w:p w14:paraId="7E6DDB09"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Corporate Governance and Social Responsibilities</w:t>
      </w:r>
    </w:p>
    <w:p w14:paraId="5778F3DC"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Business Policies, Strategies and Performance</w:t>
      </w:r>
    </w:p>
    <w:p w14:paraId="5630280C"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 xml:space="preserve">Innovation, Product Development and Entrepreneurship </w:t>
      </w:r>
    </w:p>
    <w:p w14:paraId="107D2822"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Human Resource Management Practices and Policies</w:t>
      </w:r>
    </w:p>
    <w:p w14:paraId="2C7956AD"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Hospitality and Tourism Sector</w:t>
      </w:r>
    </w:p>
    <w:p w14:paraId="45FEF8C6"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Creative Art Industry</w:t>
      </w:r>
    </w:p>
    <w:p w14:paraId="619A9A2C"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Engineering Education and Training</w:t>
      </w:r>
    </w:p>
    <w:p w14:paraId="03196673"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Energy, Oil and Gas Sector</w:t>
      </w:r>
    </w:p>
    <w:p w14:paraId="007C02CD"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Building and Construction Industry</w:t>
      </w:r>
    </w:p>
    <w:p w14:paraId="30842EB8"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Waste Management and Environment</w:t>
      </w:r>
    </w:p>
    <w:p w14:paraId="5A0114D0"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Agricultural Engineering Sector</w:t>
      </w:r>
    </w:p>
    <w:p w14:paraId="768863A9"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Estate Development and Management</w:t>
      </w:r>
    </w:p>
    <w:p w14:paraId="696448B9"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ICT and its Application in the various fields</w:t>
      </w:r>
    </w:p>
    <w:p w14:paraId="4746C4A3"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Telecommunication Sector</w:t>
      </w:r>
    </w:p>
    <w:p w14:paraId="00F27C7B"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Applied Mathematics</w:t>
      </w:r>
    </w:p>
    <w:p w14:paraId="719E374C"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 xml:space="preserve">Teaching and Learning for Lifelong Learning </w:t>
      </w:r>
    </w:p>
    <w:p w14:paraId="5DBC5CCA"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Medical and Pharmaceutical Sector</w:t>
      </w:r>
    </w:p>
    <w:p w14:paraId="1E409244"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Promotion and Application of Intellectual Property Rights</w:t>
      </w:r>
    </w:p>
    <w:p w14:paraId="2E380F39" w14:textId="77777777" w:rsidR="002F45CB" w:rsidRPr="00AC5438" w:rsidRDefault="002F45CB" w:rsidP="00196385">
      <w:pPr>
        <w:pStyle w:val="ListParagraph"/>
        <w:numPr>
          <w:ilvl w:val="0"/>
          <w:numId w:val="168"/>
        </w:numPr>
        <w:spacing w:after="0"/>
        <w:ind w:left="450" w:hanging="450"/>
        <w:jc w:val="both"/>
        <w:rPr>
          <w:rFonts w:ascii="Book Antiqua" w:hAnsi="Book Antiqua" w:cs="Arial"/>
        </w:rPr>
      </w:pPr>
      <w:r w:rsidRPr="00AC5438">
        <w:rPr>
          <w:rFonts w:ascii="Book Antiqua" w:hAnsi="Book Antiqua" w:cs="Arial"/>
        </w:rPr>
        <w:t>Security and Intelligence Sector</w:t>
      </w:r>
    </w:p>
    <w:p w14:paraId="37ACD35A" w14:textId="77777777" w:rsidR="00B2087E" w:rsidRPr="00E3232D" w:rsidRDefault="00B2087E" w:rsidP="008275E1">
      <w:pPr>
        <w:rPr>
          <w:rFonts w:ascii="Book Antiqua" w:hAnsi="Book Antiqua"/>
          <w:color w:val="365F91"/>
        </w:rPr>
        <w:sectPr w:rsidR="00B2087E" w:rsidRPr="00E3232D" w:rsidSect="008F6BC9">
          <w:type w:val="continuous"/>
          <w:pgSz w:w="11907" w:h="16839" w:code="9"/>
          <w:pgMar w:top="1440" w:right="1440" w:bottom="1440" w:left="1440" w:header="720" w:footer="720" w:gutter="0"/>
          <w:cols w:space="720"/>
          <w:docGrid w:linePitch="360"/>
        </w:sectPr>
      </w:pPr>
    </w:p>
    <w:p w14:paraId="7C34EEC5" w14:textId="77777777" w:rsidR="00A30634" w:rsidRPr="00A30634" w:rsidRDefault="00D922AD" w:rsidP="00A30634">
      <w:pPr>
        <w:spacing w:after="0"/>
        <w:jc w:val="center"/>
        <w:rPr>
          <w:rFonts w:ascii="Book Antiqua" w:hAnsi="Book Antiqua"/>
          <w:b/>
          <w:bCs/>
          <w:sz w:val="26"/>
          <w:szCs w:val="26"/>
        </w:rPr>
      </w:pPr>
      <w:bookmarkStart w:id="1" w:name="_Toc360516716"/>
      <w:bookmarkEnd w:id="0"/>
      <w:r w:rsidRPr="00A30634">
        <w:rPr>
          <w:rFonts w:ascii="Book Antiqua" w:hAnsi="Book Antiqua"/>
          <w:b/>
          <w:sz w:val="26"/>
          <w:szCs w:val="26"/>
        </w:rPr>
        <w:lastRenderedPageBreak/>
        <w:t xml:space="preserve">Guest Speakers Address </w:t>
      </w:r>
      <w:r w:rsidR="00791BF2" w:rsidRPr="00A30634">
        <w:rPr>
          <w:rFonts w:ascii="Book Antiqua" w:hAnsi="Book Antiqua"/>
          <w:b/>
          <w:sz w:val="26"/>
          <w:szCs w:val="26"/>
        </w:rPr>
        <w:t xml:space="preserve">on the Theme </w:t>
      </w:r>
      <w:r w:rsidR="00A22163" w:rsidRPr="00A30634">
        <w:rPr>
          <w:rFonts w:ascii="Book Antiqua" w:hAnsi="Book Antiqua"/>
          <w:b/>
          <w:sz w:val="26"/>
          <w:szCs w:val="26"/>
        </w:rPr>
        <w:t>of th</w:t>
      </w:r>
      <w:r w:rsidR="007645C7" w:rsidRPr="00A30634">
        <w:rPr>
          <w:rFonts w:ascii="Book Antiqua" w:hAnsi="Book Antiqua"/>
          <w:b/>
          <w:sz w:val="26"/>
          <w:szCs w:val="26"/>
        </w:rPr>
        <w:t xml:space="preserve">e </w:t>
      </w:r>
      <w:r w:rsidR="00A22163" w:rsidRPr="00A30634">
        <w:rPr>
          <w:rFonts w:ascii="Book Antiqua" w:hAnsi="Book Antiqua"/>
          <w:b/>
          <w:sz w:val="26"/>
          <w:szCs w:val="26"/>
        </w:rPr>
        <w:t xml:space="preserve">Conference </w:t>
      </w:r>
      <w:r w:rsidR="007645C7" w:rsidRPr="00A30634">
        <w:rPr>
          <w:rFonts w:ascii="Book Antiqua" w:hAnsi="Book Antiqua"/>
          <w:b/>
          <w:sz w:val="26"/>
          <w:szCs w:val="26"/>
        </w:rPr>
        <w:t>“Building a Responsive Tertiary Education Sector: Effective Collaboration with Industry for National Development</w:t>
      </w:r>
      <w:r w:rsidR="00A30634" w:rsidRPr="00A30634">
        <w:rPr>
          <w:rFonts w:ascii="Book Antiqua" w:hAnsi="Book Antiqua"/>
          <w:b/>
          <w:sz w:val="26"/>
          <w:szCs w:val="26"/>
        </w:rPr>
        <w:t>”,</w:t>
      </w:r>
      <w:r w:rsidR="00A30634" w:rsidRPr="00A30634">
        <w:rPr>
          <w:rStyle w:val="IntenseEmphasis"/>
          <w:rFonts w:ascii="Book Antiqua" w:hAnsi="Book Antiqua"/>
          <w:sz w:val="26"/>
          <w:szCs w:val="26"/>
        </w:rPr>
        <w:t xml:space="preserve"> </w:t>
      </w:r>
      <w:r w:rsidR="00CC75E3">
        <w:rPr>
          <w:rStyle w:val="IntenseEmphasis"/>
          <w:rFonts w:ascii="Book Antiqua" w:hAnsi="Book Antiqua"/>
          <w:sz w:val="26"/>
          <w:szCs w:val="26"/>
        </w:rPr>
        <w:t xml:space="preserve">delivered by </w:t>
      </w:r>
      <w:r w:rsidR="00A30634" w:rsidRPr="00A30634">
        <w:rPr>
          <w:rStyle w:val="IntenseEmphasis"/>
          <w:rFonts w:ascii="Book Antiqua" w:hAnsi="Book Antiqua"/>
          <w:sz w:val="26"/>
          <w:szCs w:val="26"/>
        </w:rPr>
        <w:t>Prof. Stephen Adei, Pentecost University College, Accra</w:t>
      </w:r>
    </w:p>
    <w:p w14:paraId="15B8FBEC" w14:textId="77777777" w:rsidR="00A30634" w:rsidRPr="00A30634" w:rsidRDefault="00A30634" w:rsidP="00A30634">
      <w:pPr>
        <w:pStyle w:val="Heading1"/>
        <w:jc w:val="center"/>
        <w:rPr>
          <w:rFonts w:ascii="Book Antiqua" w:hAnsi="Book Antiqua"/>
          <w:sz w:val="26"/>
          <w:szCs w:val="26"/>
        </w:rPr>
        <w:sectPr w:rsidR="00A30634" w:rsidRPr="00A30634" w:rsidSect="008F6BC9">
          <w:type w:val="continuous"/>
          <w:pgSz w:w="11907" w:h="16839" w:code="9"/>
          <w:pgMar w:top="1350" w:right="1440" w:bottom="1440" w:left="1440" w:header="720" w:footer="720" w:gutter="0"/>
          <w:cols w:space="720"/>
          <w:docGrid w:linePitch="360"/>
        </w:sectPr>
      </w:pPr>
    </w:p>
    <w:p w14:paraId="74A5460D" w14:textId="77777777" w:rsidR="009C7BA8" w:rsidRPr="00C91233" w:rsidRDefault="009C7BA8" w:rsidP="00C91233">
      <w:pPr>
        <w:pStyle w:val="Authors"/>
        <w:rPr>
          <w:rStyle w:val="IntenseEmphasis"/>
          <w:b/>
          <w:bCs/>
        </w:rPr>
        <w:sectPr w:rsidR="009C7BA8" w:rsidRPr="00C91233" w:rsidSect="009C7BA8">
          <w:type w:val="continuous"/>
          <w:pgSz w:w="11907" w:h="16839" w:code="9"/>
          <w:pgMar w:top="1350" w:right="1440" w:bottom="1440" w:left="1440" w:header="720" w:footer="720" w:gutter="0"/>
          <w:cols w:space="720"/>
          <w:docGrid w:linePitch="360"/>
        </w:sectPr>
      </w:pPr>
    </w:p>
    <w:p w14:paraId="037D5F35" w14:textId="77777777" w:rsidR="009C7BA8" w:rsidRPr="00791BF2" w:rsidRDefault="00C91233" w:rsidP="007B7052">
      <w:pPr>
        <w:pStyle w:val="Heading1"/>
        <w:jc w:val="both"/>
        <w:rPr>
          <w:rFonts w:ascii="Book Antiqua" w:hAnsi="Book Antiqua"/>
          <w:sz w:val="24"/>
          <w:szCs w:val="22"/>
        </w:rPr>
      </w:pPr>
      <w:r w:rsidRPr="00791BF2">
        <w:rPr>
          <w:rFonts w:ascii="Book Antiqua" w:hAnsi="Book Antiqua"/>
          <w:sz w:val="24"/>
          <w:szCs w:val="22"/>
        </w:rPr>
        <w:t>Introduction</w:t>
      </w:r>
    </w:p>
    <w:p w14:paraId="7BBA18BE" w14:textId="77777777" w:rsidR="009C7BA8" w:rsidRPr="00E3232D" w:rsidRDefault="009C7BA8" w:rsidP="007B7052">
      <w:pPr>
        <w:jc w:val="both"/>
        <w:rPr>
          <w:rFonts w:ascii="Book Antiqua" w:hAnsi="Book Antiqua"/>
        </w:rPr>
      </w:pPr>
      <w:r w:rsidRPr="00E3232D">
        <w:rPr>
          <w:rFonts w:ascii="Book Antiqua" w:hAnsi="Book Antiqua"/>
        </w:rPr>
        <w:t>Distinguished Participants, I want to express my sincere appreciation to the organizers of this Annual International Applied Research Conference of Koforidua Polytechnic which is increasingly becoming an important part of the academic calendar in the country for inviting me as the Guest speaker at this year’s event.</w:t>
      </w:r>
    </w:p>
    <w:p w14:paraId="2D541C79" w14:textId="77777777" w:rsidR="007B7052" w:rsidRDefault="009C7BA8" w:rsidP="00C91233">
      <w:pPr>
        <w:jc w:val="both"/>
        <w:rPr>
          <w:rFonts w:ascii="Book Antiqua" w:hAnsi="Book Antiqua"/>
        </w:rPr>
      </w:pPr>
      <w:r w:rsidRPr="00E3232D">
        <w:rPr>
          <w:rFonts w:ascii="Book Antiqua" w:hAnsi="Book Antiqua"/>
        </w:rPr>
        <w:t>Given the Ghanaian political milieu today, it is not an easy task to talk even about education. This is because heightened political sensitivities have made issues that normally should be the subject of dispassionate national development discourse subjects of contention. As a result matters such as the quality of basic education, access and financing of second cycle schools, became the center piece of the last elections. Another outcome of that is the mode of expansion of teacher training, how to upgrade polytechnics to the level of universities without losing their technical orientation, the responsiveness of tertiary education to the needs of the productive sectors of the economy and the generation of employable graduates, are not receiving the needed intellectual attention and informed policy direction</w:t>
      </w:r>
      <w:r>
        <w:rPr>
          <w:rFonts w:ascii="Book Antiqua" w:hAnsi="Book Antiqua"/>
        </w:rPr>
        <w:t>.</w:t>
      </w:r>
    </w:p>
    <w:p w14:paraId="0ED513B8" w14:textId="77777777" w:rsidR="00C91233" w:rsidRDefault="00C91233" w:rsidP="007B7052">
      <w:pPr>
        <w:pStyle w:val="Heading1"/>
        <w:jc w:val="both"/>
        <w:rPr>
          <w:rFonts w:ascii="Book Antiqua" w:hAnsi="Book Antiqua"/>
          <w:sz w:val="22"/>
          <w:szCs w:val="22"/>
        </w:rPr>
      </w:pPr>
    </w:p>
    <w:p w14:paraId="1F623171" w14:textId="77777777" w:rsidR="00C91233" w:rsidRDefault="00C91233" w:rsidP="007B7052">
      <w:pPr>
        <w:pStyle w:val="Heading1"/>
        <w:jc w:val="both"/>
        <w:rPr>
          <w:rFonts w:ascii="Book Antiqua" w:hAnsi="Book Antiqua"/>
          <w:sz w:val="22"/>
          <w:szCs w:val="22"/>
        </w:rPr>
      </w:pPr>
    </w:p>
    <w:p w14:paraId="150F8D5A" w14:textId="77777777" w:rsidR="0094009D" w:rsidRPr="00791BF2" w:rsidRDefault="00C91233" w:rsidP="007B7052">
      <w:pPr>
        <w:pStyle w:val="Heading1"/>
        <w:jc w:val="both"/>
        <w:rPr>
          <w:rFonts w:ascii="Book Antiqua" w:hAnsi="Book Antiqua"/>
          <w:sz w:val="26"/>
          <w:szCs w:val="22"/>
        </w:rPr>
      </w:pPr>
      <w:r w:rsidRPr="00791BF2">
        <w:rPr>
          <w:rFonts w:ascii="Book Antiqua" w:hAnsi="Book Antiqua"/>
          <w:sz w:val="26"/>
          <w:szCs w:val="22"/>
        </w:rPr>
        <w:t>The State of Education in Ghana</w:t>
      </w:r>
      <w:bookmarkEnd w:id="1"/>
    </w:p>
    <w:p w14:paraId="10AE6C3F" w14:textId="77777777" w:rsidR="007B7052" w:rsidRDefault="007B7052" w:rsidP="007B7052">
      <w:pPr>
        <w:spacing w:after="0"/>
        <w:jc w:val="both"/>
        <w:rPr>
          <w:rFonts w:ascii="Book Antiqua" w:hAnsi="Book Antiqua"/>
        </w:rPr>
      </w:pPr>
    </w:p>
    <w:p w14:paraId="0E7B695B" w14:textId="77777777" w:rsidR="0094009D" w:rsidRPr="00E3232D" w:rsidRDefault="0094009D" w:rsidP="007B7052">
      <w:pPr>
        <w:jc w:val="both"/>
        <w:rPr>
          <w:rFonts w:ascii="Book Antiqua" w:hAnsi="Book Antiqua"/>
        </w:rPr>
      </w:pPr>
      <w:r w:rsidRPr="00E3232D">
        <w:rPr>
          <w:rFonts w:ascii="Book Antiqua" w:hAnsi="Book Antiqua"/>
        </w:rPr>
        <w:t>However, there is no doubt that the Ghanaian educational system is in a serious crises and as a nation, The earlier we wake up to the fact  the better it will be for the  future of our country:</w:t>
      </w:r>
    </w:p>
    <w:p w14:paraId="2F8591F0" w14:textId="77777777" w:rsidR="009B3118" w:rsidRPr="007B7052" w:rsidRDefault="0094009D" w:rsidP="007B7052">
      <w:pPr>
        <w:pStyle w:val="ListParagraph"/>
        <w:numPr>
          <w:ilvl w:val="0"/>
          <w:numId w:val="12"/>
        </w:numPr>
        <w:ind w:left="90" w:hanging="90"/>
        <w:jc w:val="both"/>
        <w:rPr>
          <w:rFonts w:ascii="Book Antiqua" w:hAnsi="Book Antiqua"/>
        </w:rPr>
      </w:pPr>
      <w:r w:rsidRPr="00E3232D">
        <w:rPr>
          <w:rFonts w:ascii="Book Antiqua" w:hAnsi="Book Antiqua"/>
        </w:rPr>
        <w:t>At present we have a basic educational system that specializes in producing functionally illiterate learners. The fact that 20% of the public basic schools and private schools produce more than enough to fill all Senior High School places masks the reality that the majority of our public schools totally fail in educating our children. Since the return of the so called protocol system whereby the ‘big’ people get their children to enter grade A schools, our policy makers don’t show concern that most children have no future because public basic education is in crisis. This at a time when public sector teachers in basic schools earn far more than the average private school staff and have more trained teachers and most of them have better classrooms.</w:t>
      </w:r>
    </w:p>
    <w:p w14:paraId="323C81C6" w14:textId="77777777" w:rsidR="0094009D" w:rsidRPr="00E3232D" w:rsidRDefault="0094009D" w:rsidP="007B7052">
      <w:pPr>
        <w:jc w:val="both"/>
        <w:rPr>
          <w:rFonts w:ascii="Book Antiqua" w:hAnsi="Book Antiqua"/>
        </w:rPr>
      </w:pPr>
      <w:r w:rsidRPr="00E3232D">
        <w:rPr>
          <w:rFonts w:ascii="Book Antiqua" w:hAnsi="Book Antiqua"/>
        </w:rPr>
        <w:t xml:space="preserve">Research shows that the teachers in our public basic schools are simply not teaching; contact hours are less than 40% of what is expected; and the quality of education even in terms of the 3 R’s ( i.e. arithmetic, reading and writing ) are at </w:t>
      </w:r>
      <w:r w:rsidRPr="00E3232D">
        <w:rPr>
          <w:rFonts w:ascii="Book Antiqua" w:hAnsi="Book Antiqua"/>
        </w:rPr>
        <w:lastRenderedPageBreak/>
        <w:t>their lowest. There is no doubt that the major causes of these phenomena lie in poor supervision and management at the school level, and centralization of decision-making under a bureaucratically inefficient and self-serving Ghana Education Service. My assessment is that for the amount of money being spent on basic education in this country we are getting less than half of the expected outcomes compared to countries such as Rwanda and Namibia.</w:t>
      </w:r>
    </w:p>
    <w:p w14:paraId="564B5DBF" w14:textId="77777777" w:rsidR="008F6BC9" w:rsidRPr="00E3232D" w:rsidRDefault="0094009D" w:rsidP="007B7052">
      <w:pPr>
        <w:jc w:val="both"/>
        <w:rPr>
          <w:rFonts w:ascii="Book Antiqua" w:hAnsi="Book Antiqua"/>
        </w:rPr>
      </w:pPr>
      <w:r w:rsidRPr="00E3232D">
        <w:rPr>
          <w:rFonts w:ascii="Book Antiqua" w:hAnsi="Book Antiqua"/>
        </w:rPr>
        <w:t xml:space="preserve">The crises of basic education lies not in more funding but efficient utilization of resources, decentralization of decision making and effective supervision and management of basic schools. It is time for the government to address these and bring in partners such as the religious organizations and the private sector to ensure that the spirit of Free Compulsory Basic Universal (Quality) Education- FCUBE- is realized. For example just by giving head teachers the authority to discipline teachers and hold them accountable for performance including the power to choose whom they want on their staff in exchange for meeting certain performance targets we can achieve quantum improvement in learning outcomes within one year with the same resources. Of course heads who do not meet the required standards will have to be replaced. Head teachers should also be paid well - at least 50% more than their corresponding non-head teachers. We must also reduce the number of subjects for BECE to not more than five: Language; numeracy; social studies; integrated science and ICT rather than preparing students for 9, 10 or 11 subjects who are </w:t>
      </w:r>
      <w:r w:rsidRPr="00E3232D">
        <w:rPr>
          <w:rFonts w:ascii="Book Antiqua" w:hAnsi="Book Antiqua"/>
        </w:rPr>
        <w:t>functionally illiterate. I can assure you that when we take such measures we can move the quality of our basic schools from the fourth world level to that of a truly middle income country in less than 5. Any further delay in tackling the basic educational challenge is not only tantamount to mortgaging the future of generations of Ghanaians but the very survival of our nation as a viable economic entity and a peaceful one.</w:t>
      </w:r>
    </w:p>
    <w:p w14:paraId="245859E8" w14:textId="77777777" w:rsidR="0094009D" w:rsidRPr="00E3232D" w:rsidRDefault="0094009D" w:rsidP="007B7052">
      <w:pPr>
        <w:pStyle w:val="ListParagraph"/>
        <w:numPr>
          <w:ilvl w:val="0"/>
          <w:numId w:val="12"/>
        </w:numPr>
        <w:ind w:left="0" w:firstLine="0"/>
        <w:jc w:val="both"/>
        <w:rPr>
          <w:rFonts w:ascii="Book Antiqua" w:hAnsi="Book Antiqua"/>
        </w:rPr>
      </w:pPr>
      <w:r w:rsidRPr="00E3232D">
        <w:rPr>
          <w:rFonts w:ascii="Book Antiqua" w:hAnsi="Book Antiqua"/>
        </w:rPr>
        <w:t xml:space="preserve">Senior high schools (SHS) dominated the recent electioneering campaign of 2012. It took the form of politicians specializing in pitching complementary ideas against each other as if access, quality and financing of secondary school in these day and age are options to choose from. Not being active politicians (and all Ghanaians i.e. the 25 million of us are pocket and amateur politicians), let me state unambiguously that free secondary school is a doable proposition and it can be done without sacrificing quality. However, it is impossible to do so relying on the traditional boarding school system. That is so expensive that not America, Britain, and Japan and for that matter any emerging or developed countries have been able to afford it. If we want to give secondary school education to a few children can rely on Achimota, WeGeyHey and Prempeh College. But I believe all must go to SHS. Doing so in boarding schools will be tantamount to shifting the responsibility of feeding all 15-18year olds from parents to the state. Free SHS for all children can only go with quality community schools. No middle income and advanced country in the </w:t>
      </w:r>
      <w:r w:rsidRPr="00E3232D">
        <w:rPr>
          <w:rFonts w:ascii="Book Antiqua" w:hAnsi="Book Antiqua"/>
        </w:rPr>
        <w:lastRenderedPageBreak/>
        <w:t>world and by that I mean no single country in the world today has been able to educate teenagers in high school principally through boarding schools and we must have no illusion that we can. Therefore we have to find a way of building community secondary schools within walking and bussing distance from every junior high school that feeds the second cycle institutions. I am not being politically correct by linking Nana Akuffo Addo free SHS with to John Dramani Mahama’s community schools. They go together.</w:t>
      </w:r>
    </w:p>
    <w:p w14:paraId="6C7DD3DF" w14:textId="77777777" w:rsidR="00526D80" w:rsidRDefault="0094009D" w:rsidP="007B7052">
      <w:pPr>
        <w:jc w:val="both"/>
        <w:rPr>
          <w:rFonts w:ascii="Book Antiqua" w:hAnsi="Book Antiqua"/>
        </w:rPr>
      </w:pPr>
      <w:r w:rsidRPr="00E3232D">
        <w:rPr>
          <w:rFonts w:ascii="Book Antiqua" w:hAnsi="Book Antiqua"/>
        </w:rPr>
        <w:t xml:space="preserve">By this, I am not advocating the abolishment of boarding schools. I am stating a fact that we cannot educate even a quarter of our children in boarding schools. It is an economic and financial impossibility and it is time old boys and girls of the few good old schools stop thinking that their children should go to the same schools as they went at the expense of the state. There would still be boarding schools but those who pay several thousand of cedis to take their children to private basic schools will have to pay full cost for their wards if they choose to send them to boarding senior high schools. </w:t>
      </w:r>
    </w:p>
    <w:p w14:paraId="323613DD" w14:textId="77777777" w:rsidR="009B3118" w:rsidRDefault="0094009D" w:rsidP="007B7052">
      <w:pPr>
        <w:jc w:val="both"/>
        <w:rPr>
          <w:rFonts w:ascii="Book Antiqua" w:hAnsi="Book Antiqua"/>
        </w:rPr>
      </w:pPr>
      <w:r w:rsidRPr="00E3232D">
        <w:rPr>
          <w:rFonts w:ascii="Book Antiqua" w:hAnsi="Book Antiqua"/>
        </w:rPr>
        <w:t>The state would then provide scholarships to children from poor backgrounds and rural areas country wide using criteria such as the first child in every basic school and not the BECE results which favour the few good international schools. That way</w:t>
      </w:r>
      <w:r w:rsidR="00687E8A" w:rsidRPr="00E3232D">
        <w:rPr>
          <w:rFonts w:ascii="Book Antiqua" w:hAnsi="Book Antiqua"/>
        </w:rPr>
        <w:t>,</w:t>
      </w:r>
      <w:r w:rsidRPr="00E3232D">
        <w:rPr>
          <w:rFonts w:ascii="Book Antiqua" w:hAnsi="Book Antiqua"/>
        </w:rPr>
        <w:t xml:space="preserve"> we will enable kids from poor families to </w:t>
      </w:r>
      <w:r w:rsidR="00687E8A" w:rsidRPr="00E3232D">
        <w:rPr>
          <w:rFonts w:ascii="Book Antiqua" w:hAnsi="Book Antiqua"/>
        </w:rPr>
        <w:t>join (</w:t>
      </w:r>
      <w:r w:rsidRPr="00E3232D">
        <w:rPr>
          <w:rFonts w:ascii="Book Antiqua" w:hAnsi="Book Antiqua"/>
        </w:rPr>
        <w:t xml:space="preserve">the rich people’s children) in the boarding schools. That way the bulk of state resource will be released to improve </w:t>
      </w:r>
      <w:r w:rsidRPr="00E3232D">
        <w:rPr>
          <w:rFonts w:ascii="Book Antiqua" w:hAnsi="Book Antiqua"/>
        </w:rPr>
        <w:t xml:space="preserve">the quality of community day schools and to offer access to all basic school graduates to continue at senior high schools. In this day and age basic school should not be terminal for anybody if we want them to be active participants in modern society. It is after the senior high school that children should be directed to quality vocational, technical and academic pursuits and not before. Let me add that state resources will go further if we reduce waste and corruption, not using education money for political patronage. For example, the evidence shows that we can build the average basic schools for half the price that politically motivated contracts cost us. And if we adopt the Burundian model of self-help with the state providing only inputs for communities to build their own schools then we would get 3 schools for each one we build today. </w:t>
      </w:r>
    </w:p>
    <w:p w14:paraId="5FA4D6E1" w14:textId="77777777" w:rsidR="008F6BC9" w:rsidRPr="00E3232D" w:rsidRDefault="0094009D" w:rsidP="007B7052">
      <w:pPr>
        <w:jc w:val="both"/>
        <w:rPr>
          <w:rFonts w:ascii="Book Antiqua" w:hAnsi="Book Antiqua"/>
        </w:rPr>
      </w:pPr>
      <w:r w:rsidRPr="00E3232D">
        <w:rPr>
          <w:rFonts w:ascii="Book Antiqua" w:hAnsi="Book Antiqua"/>
        </w:rPr>
        <w:t>We need radical transformation of how we approach senior high school from these current polarized positions which have</w:t>
      </w:r>
      <w:r w:rsidR="00EB0213" w:rsidRPr="00E3232D">
        <w:rPr>
          <w:rFonts w:ascii="Book Antiqua" w:hAnsi="Book Antiqua"/>
        </w:rPr>
        <w:t xml:space="preserve"> </w:t>
      </w:r>
      <w:r w:rsidRPr="00E3232D">
        <w:rPr>
          <w:rFonts w:ascii="Book Antiqua" w:hAnsi="Book Antiqua"/>
        </w:rPr>
        <w:t>rought us to a position whereby two high school year graduates are seeking admission into tertiary institutions at the same time this year.</w:t>
      </w:r>
    </w:p>
    <w:p w14:paraId="51D46E86" w14:textId="77777777" w:rsidR="0094009D" w:rsidRDefault="0094009D" w:rsidP="007B7052">
      <w:pPr>
        <w:pStyle w:val="ListParagraph"/>
        <w:numPr>
          <w:ilvl w:val="0"/>
          <w:numId w:val="12"/>
        </w:numPr>
        <w:ind w:hanging="720"/>
        <w:jc w:val="both"/>
        <w:rPr>
          <w:rFonts w:ascii="Book Antiqua" w:hAnsi="Book Antiqua"/>
        </w:rPr>
      </w:pPr>
      <w:r w:rsidRPr="00E3232D">
        <w:rPr>
          <w:rFonts w:ascii="Book Antiqua" w:hAnsi="Book Antiqua"/>
        </w:rPr>
        <w:t xml:space="preserve">When it comes to tertiary education I am reminded of an old pop song which says “there are more questions than answers featuring in mind …” More time would be required to discuss my overall positions with regard to higher education in the country. For example the government should not go ahead with the establishment of 10 more Colleges of Education but rather help the </w:t>
      </w:r>
      <w:r w:rsidRPr="00E3232D">
        <w:rPr>
          <w:rFonts w:ascii="Book Antiqua" w:hAnsi="Book Antiqua"/>
        </w:rPr>
        <w:lastRenderedPageBreak/>
        <w:t>existing 38 institutions with an average population of about 400 to double their intake. We also need to ensure that every basic school teacher has core competencies in teaching. Mathematics, English, General Science and ICT. The idea of someone calling himself a basic school teacher because he has studied an amorphous subject called “education”</w:t>
      </w:r>
      <w:r w:rsidR="00D40D7C" w:rsidRPr="00E3232D">
        <w:rPr>
          <w:rFonts w:ascii="Book Antiqua" w:hAnsi="Book Antiqua"/>
        </w:rPr>
        <w:t xml:space="preserve"> </w:t>
      </w:r>
      <w:r w:rsidRPr="00E3232D">
        <w:rPr>
          <w:rFonts w:ascii="Book Antiqua" w:hAnsi="Book Antiqua"/>
        </w:rPr>
        <w:t>must stop. Every basic school teacher must have domain competencies as well as pedagogical skills. And we must do everything to attract the best and brightest into teaching and not those who marginally passed their WASSCE or can do nothing else even if some of them will use teaching as a stepping stone to other professions. I believe teachers must be paid well and have conditions of service among the best in the country but on condition that they teach and produce functionally literate learners</w:t>
      </w:r>
    </w:p>
    <w:p w14:paraId="5DA0DD06" w14:textId="77777777" w:rsidR="008F6BC9" w:rsidRPr="00E3232D" w:rsidRDefault="008F6BC9" w:rsidP="007B7052">
      <w:pPr>
        <w:pStyle w:val="ListParagraph"/>
        <w:jc w:val="both"/>
        <w:rPr>
          <w:rFonts w:ascii="Book Antiqua" w:hAnsi="Book Antiqua"/>
        </w:rPr>
      </w:pPr>
    </w:p>
    <w:p w14:paraId="7F4C20EB" w14:textId="77777777" w:rsidR="00526D80" w:rsidRPr="007B7052" w:rsidRDefault="0094009D" w:rsidP="007B7052">
      <w:pPr>
        <w:pStyle w:val="ListParagraph"/>
        <w:numPr>
          <w:ilvl w:val="0"/>
          <w:numId w:val="12"/>
        </w:numPr>
        <w:ind w:left="0" w:firstLine="0"/>
        <w:jc w:val="both"/>
        <w:rPr>
          <w:rFonts w:ascii="Book Antiqua" w:hAnsi="Book Antiqua"/>
        </w:rPr>
      </w:pPr>
      <w:r w:rsidRPr="00E3232D">
        <w:rPr>
          <w:rFonts w:ascii="Book Antiqua" w:hAnsi="Book Antiqua"/>
        </w:rPr>
        <w:t xml:space="preserve">More dangerous to talk about in this forum is the future of our polytechnics. This is because I am here on the invitation of one of them, Ha! I do not blame polytechnics for wanting to be universities. The Colleges of Education also want to be universities. There is no doubt that Ghana needs technical universities such as California Institute of Technology and MIT. In India the Institutes of Technology are the most respected tertiary institutions in the </w:t>
      </w:r>
      <w:r w:rsidRPr="00E3232D">
        <w:rPr>
          <w:rFonts w:ascii="Book Antiqua" w:hAnsi="Book Antiqua"/>
        </w:rPr>
        <w:t>country. If that is what the polytechnics are aiming at I have no problem.</w:t>
      </w:r>
    </w:p>
    <w:p w14:paraId="2697CD3C" w14:textId="77777777" w:rsidR="008F6BC9" w:rsidRDefault="0094009D" w:rsidP="007B7052">
      <w:pPr>
        <w:jc w:val="both"/>
        <w:rPr>
          <w:rFonts w:ascii="Book Antiqua" w:hAnsi="Book Antiqua"/>
        </w:rPr>
      </w:pPr>
      <w:r w:rsidRPr="00E3232D">
        <w:rPr>
          <w:rFonts w:ascii="Book Antiqua" w:hAnsi="Book Antiqua"/>
        </w:rPr>
        <w:t xml:space="preserve">But the facts on the ground point to a situation whereby they are producing more social scientist than their core business of currently producing the technical manpower for this country. I have no problem with our polytechnics being upgraded to award degrees which has started but they should not become general universities like Legon, UCC, UDS and increasingly KNUST. They should become Institutes of Technology so that Koforidua Polytechnic will become Koforidua Institute of Technology. They must not even have University in their name as in league MIT, CIT and Institute of Technology of India are not called Universities to  emphasize that they are specialized universities. They are not in the business of producing secretaries, accountants etc. as important as these are to the development of Ghana because those categories of personnel can be produced by other institutions such as private universities. </w:t>
      </w:r>
    </w:p>
    <w:p w14:paraId="28A945FF" w14:textId="77777777" w:rsidR="00526D80" w:rsidRDefault="0094009D" w:rsidP="007B7052">
      <w:pPr>
        <w:jc w:val="both"/>
        <w:rPr>
          <w:rFonts w:ascii="Book Antiqua" w:hAnsi="Book Antiqua"/>
        </w:rPr>
      </w:pPr>
      <w:r w:rsidRPr="00E3232D">
        <w:rPr>
          <w:rFonts w:ascii="Book Antiqua" w:hAnsi="Book Antiqua"/>
        </w:rPr>
        <w:t xml:space="preserve">Polytechnics should concentrate on producing engineers, technologist and technicians and to do so at all level including awarding PhD’s. and as a nation we must put our money where our mouth lies and equip polytechnics with what they need to do exactly that. It costs less time to produce science and technology graduates compared to the Economist which I am. The latter requires no laboratory or equipment but an intelligent teacher and a computer. If they do so not only should the remuneration package of those who produce scientists and </w:t>
      </w:r>
      <w:r w:rsidRPr="00E3232D">
        <w:rPr>
          <w:rFonts w:ascii="Book Antiqua" w:hAnsi="Book Antiqua"/>
        </w:rPr>
        <w:lastRenderedPageBreak/>
        <w:t>technologists be equivalent to that of general universities but a time should come when teaching in such prestigious Institutes of Technology in Ghana would attract premium salaries as is the case of the Institutes of Technology of India.</w:t>
      </w:r>
    </w:p>
    <w:p w14:paraId="00EF2141" w14:textId="77777777" w:rsidR="00BD3BFA" w:rsidRPr="00E3232D" w:rsidRDefault="0094009D" w:rsidP="007B7052">
      <w:pPr>
        <w:jc w:val="both"/>
        <w:rPr>
          <w:rFonts w:ascii="Book Antiqua" w:hAnsi="Book Antiqua"/>
        </w:rPr>
      </w:pPr>
      <w:r w:rsidRPr="00E3232D">
        <w:rPr>
          <w:rFonts w:ascii="Book Antiqua" w:hAnsi="Book Antiqua"/>
        </w:rPr>
        <w:t>Ladies and Gentlemen, let me narrow the discourse to building a responsive education sector and the role of effective collaboration with industry for national development. What I am going to share comes largely from a keynote address I gave on African University Day in November 2012 atCentral University. My views have not changed since then regarding University-Industry linkages. I will then conclude on why a responsive tertiary education sector collaborating with industry is good for national development. Even though it was not in my brief, there is no doubt that issues of responsiveness of tertiary education and the need for collaboration between higher education and industry have become typical of late because of graduate unemployment on one hand and industry complaints that we are producing unemployable graduates.</w:t>
      </w:r>
    </w:p>
    <w:p w14:paraId="70DB7761" w14:textId="77777777" w:rsidR="0094009D" w:rsidRPr="00E3232D" w:rsidRDefault="00C91233" w:rsidP="007B7052">
      <w:pPr>
        <w:pStyle w:val="Authors"/>
        <w:jc w:val="both"/>
      </w:pPr>
      <w:bookmarkStart w:id="2" w:name="_Toc360516717"/>
      <w:r w:rsidRPr="00E3232D">
        <w:t xml:space="preserve">Unemployment </w:t>
      </w:r>
      <w:r>
        <w:t>of Graduates f</w:t>
      </w:r>
      <w:r w:rsidRPr="00E3232D">
        <w:t xml:space="preserve">rom Universities </w:t>
      </w:r>
      <w:r>
        <w:t>a</w:t>
      </w:r>
      <w:r w:rsidRPr="00E3232D">
        <w:t xml:space="preserve">nd Polytechnics </w:t>
      </w:r>
      <w:r>
        <w:t>i</w:t>
      </w:r>
      <w:r w:rsidRPr="00E3232D">
        <w:t>n Ghana</w:t>
      </w:r>
      <w:bookmarkEnd w:id="2"/>
    </w:p>
    <w:p w14:paraId="2E7FA9FE" w14:textId="77777777" w:rsidR="009B3118" w:rsidRDefault="0094009D" w:rsidP="007B7052">
      <w:pPr>
        <w:jc w:val="both"/>
        <w:rPr>
          <w:rFonts w:ascii="Book Antiqua" w:hAnsi="Book Antiqua"/>
        </w:rPr>
      </w:pPr>
      <w:r w:rsidRPr="00E3232D">
        <w:rPr>
          <w:rFonts w:ascii="Book Antiqua" w:hAnsi="Book Antiqua"/>
        </w:rPr>
        <w:t xml:space="preserve">There is no doubt that the poor state of pre-university education in Ghana negatively impacts on post-secondary education. The Bible says “when the foundations are destroyed what can the righteous do?” (Psalm 11:3). One may as well say that when pre-university education in Ghana is allowed to deteriorate to that extent what can Universities do to produce good </w:t>
      </w:r>
      <w:r w:rsidRPr="00E3232D">
        <w:rPr>
          <w:rFonts w:ascii="Book Antiqua" w:hAnsi="Book Antiqua"/>
        </w:rPr>
        <w:t>graduates? Today, as we have University students whose level of numeracy is below that of primary 6 students in a good basic school and who speak and write English as functional illiterates. I teach some of them and I will grade them far below old standard seven (grade 10) learners!</w:t>
      </w:r>
    </w:p>
    <w:p w14:paraId="72A94DE9" w14:textId="77777777" w:rsidR="00526D80" w:rsidRDefault="0094009D" w:rsidP="007B7052">
      <w:pPr>
        <w:jc w:val="both"/>
        <w:rPr>
          <w:rFonts w:ascii="Book Antiqua" w:hAnsi="Book Antiqua"/>
        </w:rPr>
      </w:pPr>
      <w:r w:rsidRPr="00E3232D">
        <w:rPr>
          <w:rFonts w:ascii="Book Antiqua" w:hAnsi="Book Antiqua"/>
        </w:rPr>
        <w:t>The qualities of tertiary educational products including a significant proportion of those who go to public universities are also being questioned. Employers are complaining that many   of the four year university graduates that they are getting in significant numbers lack vital unemployable skills. According to Benjamin Owusu-Sekyere’s Feature Article titled Solving Unemployment in Ghana-KNUST Shows the Way of March 28, 2013, “graduate unemployment has been one of the social cankers that are draining the country of her ability to use the products from our universities, polytechnics and other higher institutions of learning. That is no doubt a factor on graduate unemployment, though I think the biggest factor is that the graduates have outstripped the job opportunities.</w:t>
      </w:r>
    </w:p>
    <w:p w14:paraId="641EDF46" w14:textId="77777777" w:rsidR="00526D80" w:rsidRDefault="0094009D" w:rsidP="007B7052">
      <w:pPr>
        <w:jc w:val="both"/>
        <w:rPr>
          <w:rFonts w:ascii="Book Antiqua" w:hAnsi="Book Antiqua"/>
        </w:rPr>
      </w:pPr>
      <w:r w:rsidRPr="00E3232D">
        <w:rPr>
          <w:rFonts w:ascii="Book Antiqua" w:hAnsi="Book Antiqua"/>
        </w:rPr>
        <w:t>A 1999 survey of the Ministry of Employment and Social Welfare showed that 68% of graduates interviewed were unemployed (this is not too clear but it must be within their first year after service). Some erroneously want to put a cap on producing graduates but I wish these people will keep their own children from going to College. An economy with educated people ultimately generates its own catalyst for growth and more employment.</w:t>
      </w:r>
    </w:p>
    <w:p w14:paraId="0F68758C" w14:textId="77777777" w:rsidR="00526D80" w:rsidRDefault="0094009D" w:rsidP="007B7052">
      <w:pPr>
        <w:jc w:val="both"/>
        <w:rPr>
          <w:rFonts w:ascii="Book Antiqua" w:hAnsi="Book Antiqua"/>
        </w:rPr>
      </w:pPr>
      <w:r w:rsidRPr="00E3232D">
        <w:rPr>
          <w:rFonts w:ascii="Book Antiqua" w:hAnsi="Book Antiqua"/>
        </w:rPr>
        <w:lastRenderedPageBreak/>
        <w:t>Ultimately, the country loses by not being able to harness of the skills and creativity of the thousands of new graduates each year (ISSER 2012). Today the public universities alone are expected to churn out at the end of 2012/2013 over 23,000 students plus 25% additional from the private universities. Addto that the output from our polytechnics and other tertiary institutions other than teacher and nursing colleges and one has a large stream of addition to our high level manpower every year. It is this army of graduates which the economy has to accommodate if the current situation of graduate unemployment is not to be exacerbated. That requires an investigation of the factors underlying the phenomenon and how as a country we can advance national development.</w:t>
      </w:r>
    </w:p>
    <w:p w14:paraId="35722BAA" w14:textId="77777777" w:rsidR="0094009D" w:rsidRPr="00E3232D" w:rsidRDefault="0094009D" w:rsidP="007B7052">
      <w:pPr>
        <w:jc w:val="both"/>
        <w:rPr>
          <w:rFonts w:ascii="Book Antiqua" w:hAnsi="Book Antiqua"/>
        </w:rPr>
      </w:pPr>
      <w:r w:rsidRPr="00E3232D">
        <w:rPr>
          <w:rFonts w:ascii="Book Antiqua" w:hAnsi="Book Antiqua"/>
        </w:rPr>
        <w:t>First there is no doubt that many of them are not equipped with the skills of the 21</w:t>
      </w:r>
      <w:r w:rsidRPr="00E3232D">
        <w:rPr>
          <w:rFonts w:ascii="Book Antiqua" w:hAnsi="Book Antiqua"/>
          <w:vertAlign w:val="superscript"/>
        </w:rPr>
        <w:t>st</w:t>
      </w:r>
      <w:r w:rsidRPr="00E3232D">
        <w:rPr>
          <w:rFonts w:ascii="Book Antiqua" w:hAnsi="Book Antiqua"/>
        </w:rPr>
        <w:t xml:space="preserve"> century which according to Swart (2009) cluster into the following four categories</w:t>
      </w:r>
    </w:p>
    <w:p w14:paraId="7801EE3F" w14:textId="77777777" w:rsidR="0094009D" w:rsidRPr="00E3232D" w:rsidRDefault="0094009D" w:rsidP="007B7052">
      <w:pPr>
        <w:pStyle w:val="ListParagraph"/>
        <w:numPr>
          <w:ilvl w:val="0"/>
          <w:numId w:val="11"/>
        </w:numPr>
        <w:autoSpaceDE w:val="0"/>
        <w:autoSpaceDN w:val="0"/>
        <w:adjustRightInd w:val="0"/>
        <w:jc w:val="both"/>
        <w:rPr>
          <w:rFonts w:ascii="Book Antiqua" w:hAnsi="Book Antiqua"/>
          <w:b/>
          <w:bCs/>
          <w:iCs/>
        </w:rPr>
      </w:pPr>
      <w:r w:rsidRPr="00E3232D">
        <w:rPr>
          <w:rFonts w:ascii="Book Antiqua" w:hAnsi="Book Antiqua"/>
          <w:b/>
          <w:bCs/>
          <w:iCs/>
        </w:rPr>
        <w:t>Digital-Age Literacy (</w:t>
      </w:r>
      <w:r w:rsidRPr="00E3232D">
        <w:rPr>
          <w:rFonts w:ascii="Book Antiqua" w:hAnsi="Book Antiqua"/>
          <w:iCs/>
        </w:rPr>
        <w:t>Basic Scientific, Economic and Technological Literacies; Visual and Information Literacies and Multicultural Literacy and Global Awareness.)</w:t>
      </w:r>
    </w:p>
    <w:p w14:paraId="7D1DF0C0" w14:textId="77777777" w:rsidR="0094009D" w:rsidRPr="00E3232D" w:rsidRDefault="0094009D" w:rsidP="007B7052">
      <w:pPr>
        <w:pStyle w:val="ListParagraph"/>
        <w:numPr>
          <w:ilvl w:val="0"/>
          <w:numId w:val="11"/>
        </w:numPr>
        <w:autoSpaceDE w:val="0"/>
        <w:autoSpaceDN w:val="0"/>
        <w:adjustRightInd w:val="0"/>
        <w:jc w:val="both"/>
        <w:rPr>
          <w:rFonts w:ascii="Book Antiqua" w:hAnsi="Book Antiqua"/>
          <w:b/>
          <w:bCs/>
          <w:iCs/>
        </w:rPr>
      </w:pPr>
      <w:r w:rsidRPr="00E3232D">
        <w:rPr>
          <w:rFonts w:ascii="Book Antiqua" w:hAnsi="Book Antiqua"/>
          <w:b/>
          <w:bCs/>
          <w:iCs/>
        </w:rPr>
        <w:t xml:space="preserve"> Inventive Thinking (</w:t>
      </w:r>
      <w:r w:rsidRPr="00E3232D">
        <w:rPr>
          <w:rFonts w:ascii="Book Antiqua" w:hAnsi="Book Antiqua"/>
          <w:iCs/>
        </w:rPr>
        <w:t>Adaptability, Managing and Complexity; Self-Direction, Curiosity and Creativity and Risk Taking, High Order thinking and Sound Reasoning).</w:t>
      </w:r>
    </w:p>
    <w:p w14:paraId="00A9FE59" w14:textId="77777777" w:rsidR="0094009D" w:rsidRPr="00E3232D" w:rsidRDefault="0094009D" w:rsidP="007B7052">
      <w:pPr>
        <w:pStyle w:val="ListParagraph"/>
        <w:numPr>
          <w:ilvl w:val="0"/>
          <w:numId w:val="11"/>
        </w:numPr>
        <w:autoSpaceDE w:val="0"/>
        <w:autoSpaceDN w:val="0"/>
        <w:adjustRightInd w:val="0"/>
        <w:jc w:val="both"/>
        <w:rPr>
          <w:rFonts w:ascii="Book Antiqua" w:hAnsi="Book Antiqua"/>
          <w:b/>
          <w:bCs/>
          <w:iCs/>
        </w:rPr>
      </w:pPr>
      <w:r w:rsidRPr="00E3232D">
        <w:rPr>
          <w:rFonts w:ascii="Book Antiqua" w:hAnsi="Book Antiqua"/>
          <w:b/>
          <w:bCs/>
          <w:iCs/>
        </w:rPr>
        <w:t>Effective Communication (</w:t>
      </w:r>
      <w:r w:rsidRPr="00E3232D">
        <w:rPr>
          <w:rFonts w:ascii="Book Antiqua" w:hAnsi="Book Antiqua"/>
          <w:iCs/>
        </w:rPr>
        <w:t xml:space="preserve">Training, Collaboration and Interpersonal Skills; Personal, </w:t>
      </w:r>
      <w:r w:rsidRPr="00E3232D">
        <w:rPr>
          <w:rFonts w:ascii="Book Antiqua" w:hAnsi="Book Antiqua"/>
          <w:iCs/>
        </w:rPr>
        <w:t>Social and Civic Responsibility and Interactive Communication)</w:t>
      </w:r>
    </w:p>
    <w:p w14:paraId="148F54E8" w14:textId="77777777" w:rsidR="0094009D" w:rsidRPr="007B7052" w:rsidRDefault="0094009D" w:rsidP="007B7052">
      <w:pPr>
        <w:pStyle w:val="ListParagraph"/>
        <w:numPr>
          <w:ilvl w:val="0"/>
          <w:numId w:val="11"/>
        </w:numPr>
        <w:autoSpaceDE w:val="0"/>
        <w:autoSpaceDN w:val="0"/>
        <w:adjustRightInd w:val="0"/>
        <w:jc w:val="both"/>
        <w:rPr>
          <w:rFonts w:ascii="Book Antiqua" w:hAnsi="Book Antiqua"/>
          <w:b/>
          <w:bCs/>
          <w:iCs/>
        </w:rPr>
      </w:pPr>
      <w:r w:rsidRPr="00E3232D">
        <w:rPr>
          <w:rFonts w:ascii="Book Antiqua" w:hAnsi="Book Antiqua"/>
          <w:b/>
          <w:bCs/>
          <w:iCs/>
        </w:rPr>
        <w:t>High Productivity (</w:t>
      </w:r>
      <w:r w:rsidRPr="00E3232D">
        <w:rPr>
          <w:rFonts w:ascii="Book Antiqua" w:hAnsi="Book Antiqua"/>
          <w:iCs/>
        </w:rPr>
        <w:t>Prioritizing, Planning and Managing for Results, Effective Use of Real-World Tools, Ability to Produce Relevant and High Quality Products).</w:t>
      </w:r>
    </w:p>
    <w:p w14:paraId="59B90114" w14:textId="77777777" w:rsidR="0094009D" w:rsidRPr="00E3232D" w:rsidRDefault="0094009D" w:rsidP="007B7052">
      <w:pPr>
        <w:autoSpaceDE w:val="0"/>
        <w:autoSpaceDN w:val="0"/>
        <w:adjustRightInd w:val="0"/>
        <w:jc w:val="both"/>
        <w:rPr>
          <w:rFonts w:ascii="Book Antiqua" w:hAnsi="Book Antiqua"/>
          <w:bCs/>
          <w:iCs/>
        </w:rPr>
      </w:pPr>
      <w:r w:rsidRPr="00E3232D">
        <w:rPr>
          <w:rFonts w:ascii="Book Antiqua" w:hAnsi="Book Antiqua"/>
          <w:bCs/>
          <w:iCs/>
        </w:rPr>
        <w:t>That most of the products of our universities lack much of the above skills was confirmed by a survey of Employers (2006). It showed that many of the students from Ghanaian higher institutions are ill-</w:t>
      </w:r>
      <w:r w:rsidR="0071493E">
        <w:rPr>
          <w:rFonts w:ascii="Book Antiqua" w:hAnsi="Book Antiqua"/>
          <w:bCs/>
          <w:iCs/>
        </w:rPr>
        <w:t xml:space="preserve">equipped for the labor market. </w:t>
      </w:r>
      <w:r w:rsidRPr="00E3232D">
        <w:rPr>
          <w:rFonts w:ascii="Book Antiqua" w:hAnsi="Book Antiqua"/>
          <w:bCs/>
          <w:iCs/>
        </w:rPr>
        <w:t xml:space="preserve">The employers’ major reasons were the inadequate practical training, mismatch between training given and the requirements of the job, poor problem solving and communication skills and lack of creativity. </w:t>
      </w:r>
    </w:p>
    <w:p w14:paraId="296B3578" w14:textId="77777777" w:rsidR="0094009D" w:rsidRPr="00E3232D" w:rsidRDefault="0094009D" w:rsidP="007B7052">
      <w:pPr>
        <w:autoSpaceDE w:val="0"/>
        <w:autoSpaceDN w:val="0"/>
        <w:adjustRightInd w:val="0"/>
        <w:jc w:val="both"/>
        <w:rPr>
          <w:rFonts w:ascii="Book Antiqua" w:hAnsi="Book Antiqua"/>
          <w:bCs/>
          <w:iCs/>
        </w:rPr>
      </w:pPr>
      <w:r w:rsidRPr="00E3232D">
        <w:rPr>
          <w:rFonts w:ascii="Book Antiqua" w:hAnsi="Book Antiqua"/>
          <w:bCs/>
          <w:iCs/>
        </w:rPr>
        <w:t>The second major cause of graduate unemployment in Ghana is that the public sector which used to be the major employer of graduates stopped hiring and even started shedding off personnel through downsizing. This phenomenon starting with the structural adjustment programmes of the 1980’s. Since then the government has become a marginal employer of graduates in the country taking on only about 2% of the output per year. This situation is bound to worsen in the short to medium term as a result of the Single Spine Salary Implementation which has reduced the capacity of the government to hire additional labor under prevailing salary scales.</w:t>
      </w:r>
    </w:p>
    <w:p w14:paraId="10EF0C9F" w14:textId="77777777" w:rsidR="0094009D" w:rsidRPr="00E3232D" w:rsidRDefault="0094009D" w:rsidP="007B7052">
      <w:pPr>
        <w:autoSpaceDE w:val="0"/>
        <w:autoSpaceDN w:val="0"/>
        <w:adjustRightInd w:val="0"/>
        <w:jc w:val="both"/>
        <w:rPr>
          <w:rFonts w:ascii="Book Antiqua" w:hAnsi="Book Antiqua"/>
          <w:bCs/>
          <w:iCs/>
        </w:rPr>
      </w:pPr>
      <w:r w:rsidRPr="00E3232D">
        <w:rPr>
          <w:rFonts w:ascii="Book Antiqua" w:hAnsi="Book Antiqua"/>
          <w:bCs/>
          <w:iCs/>
        </w:rPr>
        <w:t xml:space="preserve">It seems politicians have a knack of turning good into evil ostensibly to gain </w:t>
      </w:r>
      <w:r w:rsidRPr="00E3232D">
        <w:rPr>
          <w:rFonts w:ascii="Book Antiqua" w:hAnsi="Book Antiqua"/>
          <w:bCs/>
          <w:iCs/>
        </w:rPr>
        <w:lastRenderedPageBreak/>
        <w:t xml:space="preserve">short term political advantage. The Single Spine Salary Structure was meant primarily to consolidate the many non-salary benefits and to achieve better relativity among various sections of the labor market with regard to what it takes to do the job (qualification, experience, skills etc.) and not as a means of wholesale salary increases as it was sold and implemented. As a result, unless there is a major increase in government revenues the country is locked into a vicious cycle of high wage and salary expenditure by government without corresponding improvement in productivity. Worse still the private sector’s ability to take on additional labor has also being constrained as a result of pressure to match single spine salaries of public sector workers. Economist know that since wages and salaries tend to be  inflexible downwards as in Ghana there is a tradeoff between real wages and employment unless the former is matched by more than compensating productivity increase. At the moment, a small number of unionized employees are seeking their interest and demanding higher compensation with little regard to productivity gains. That would lead to impoverishment of the majority of Ghanaians especially new entrants into the job market and will constrain national development. In the case of education allocations will all going to paying wages and salaries at the expense of infrastructure development and other inputs to achieve quality education. From the economic point of view in some cases nominal salaries must be held at bay over the years to allow inflation to reduce its </w:t>
      </w:r>
      <w:r w:rsidRPr="00E3232D">
        <w:rPr>
          <w:rFonts w:ascii="Book Antiqua" w:hAnsi="Book Antiqua"/>
          <w:bCs/>
          <w:iCs/>
        </w:rPr>
        <w:t>real values. That is not easy for any government or even the private sector because of unions. I know of a case whereby a factory is collapsing because a down turn in the sector has reduced turnover but the union is nevertheless asking for big annual wage increases. All the workers are candidates for the unemployed market.</w:t>
      </w:r>
    </w:p>
    <w:p w14:paraId="3DC3E2F0" w14:textId="77777777" w:rsidR="0094009D" w:rsidRPr="00E3232D" w:rsidRDefault="0094009D" w:rsidP="007B7052">
      <w:pPr>
        <w:autoSpaceDE w:val="0"/>
        <w:autoSpaceDN w:val="0"/>
        <w:adjustRightInd w:val="0"/>
        <w:jc w:val="both"/>
        <w:rPr>
          <w:rFonts w:ascii="Book Antiqua" w:hAnsi="Book Antiqua"/>
          <w:bCs/>
          <w:iCs/>
        </w:rPr>
      </w:pPr>
      <w:r w:rsidRPr="00E3232D">
        <w:rPr>
          <w:rFonts w:ascii="Book Antiqua" w:hAnsi="Book Antiqua"/>
          <w:bCs/>
          <w:iCs/>
        </w:rPr>
        <w:t>Third, graduate unemployment is worsened by the fact that agriculture which absorbs over 50% of the labor force is not in the position to absorb new entrants to the labor force. This is partly because our half educated young people coming from the JHS and SHS do not want to work on farms. College graduates (even agriculture students) for reasons ranging from poor attitudes towards the sector, the land tenure system and ill-preparation to be entrepreneurs refuse to go into the sector. Over the last few years agriculture has been growing below the rate of population growth despite overall high growth of the economy.</w:t>
      </w:r>
    </w:p>
    <w:p w14:paraId="1EE5ED5A" w14:textId="77777777" w:rsidR="0094009D" w:rsidRPr="00E3232D" w:rsidRDefault="0094009D" w:rsidP="007B7052">
      <w:pPr>
        <w:autoSpaceDE w:val="0"/>
        <w:autoSpaceDN w:val="0"/>
        <w:adjustRightInd w:val="0"/>
        <w:jc w:val="both"/>
        <w:rPr>
          <w:rFonts w:ascii="Book Antiqua" w:hAnsi="Book Antiqua"/>
          <w:bCs/>
          <w:iCs/>
        </w:rPr>
      </w:pPr>
      <w:r w:rsidRPr="00E3232D">
        <w:rPr>
          <w:rFonts w:ascii="Book Antiqua" w:hAnsi="Book Antiqua"/>
          <w:bCs/>
          <w:iCs/>
        </w:rPr>
        <w:t>Fourth, the manufacturing sector in the country stopped growing and has been dwindling over the last four decades and a half. The dwindling share of Ghana’s manufacturing in our GDP is a major concern for the country in terms of ability to be innovative and to absorb graduates. From a peak of 18% share of GDP, manufacturing of GDP now hovers around 7% and falling.</w:t>
      </w:r>
    </w:p>
    <w:p w14:paraId="75CF5934" w14:textId="77777777" w:rsidR="0094009D" w:rsidRPr="00E3232D" w:rsidRDefault="0094009D" w:rsidP="007B7052">
      <w:pPr>
        <w:autoSpaceDE w:val="0"/>
        <w:autoSpaceDN w:val="0"/>
        <w:adjustRightInd w:val="0"/>
        <w:jc w:val="both"/>
        <w:rPr>
          <w:rFonts w:ascii="Book Antiqua" w:hAnsi="Book Antiqua"/>
          <w:bCs/>
          <w:iCs/>
        </w:rPr>
      </w:pPr>
      <w:r w:rsidRPr="00E3232D">
        <w:rPr>
          <w:rFonts w:ascii="Book Antiqua" w:hAnsi="Book Antiqua"/>
          <w:bCs/>
          <w:iCs/>
        </w:rPr>
        <w:t xml:space="preserve">Fifth, as noted above while the sectors namely finance, oil in terms of their contribution to GDP are expanding their </w:t>
      </w:r>
      <w:r w:rsidRPr="00E3232D">
        <w:rPr>
          <w:rFonts w:ascii="Book Antiqua" w:hAnsi="Book Antiqua"/>
          <w:bCs/>
          <w:iCs/>
        </w:rPr>
        <w:lastRenderedPageBreak/>
        <w:t xml:space="preserve">labor absorptive capacity remains very low and limited. </w:t>
      </w:r>
    </w:p>
    <w:p w14:paraId="2E9E12FB" w14:textId="77777777" w:rsidR="0094009D" w:rsidRPr="00E3232D" w:rsidRDefault="0094009D" w:rsidP="007B7052">
      <w:pPr>
        <w:autoSpaceDE w:val="0"/>
        <w:autoSpaceDN w:val="0"/>
        <w:adjustRightInd w:val="0"/>
        <w:jc w:val="both"/>
        <w:rPr>
          <w:rFonts w:ascii="Book Antiqua" w:hAnsi="Book Antiqua"/>
          <w:bCs/>
          <w:iCs/>
        </w:rPr>
      </w:pPr>
      <w:r w:rsidRPr="00E3232D">
        <w:rPr>
          <w:rFonts w:ascii="Book Antiqua" w:hAnsi="Book Antiqua"/>
          <w:bCs/>
          <w:iCs/>
        </w:rPr>
        <w:t xml:space="preserve">The above factors have also combined with two basic phenomena to cause youth unemployment particularly in developing countries. One is the rapid population increase resulting in a large youthful population on the one hand and the expansion in the growth of public and private universities and other tertiary institutions over the last fifteen years. </w:t>
      </w:r>
    </w:p>
    <w:p w14:paraId="014B0107" w14:textId="77777777" w:rsidR="0094009D" w:rsidRPr="00E3232D" w:rsidRDefault="0094009D" w:rsidP="007B7052">
      <w:pPr>
        <w:autoSpaceDE w:val="0"/>
        <w:autoSpaceDN w:val="0"/>
        <w:adjustRightInd w:val="0"/>
        <w:jc w:val="both"/>
        <w:rPr>
          <w:rFonts w:ascii="Book Antiqua" w:hAnsi="Book Antiqua"/>
          <w:b/>
          <w:bCs/>
          <w:iCs/>
        </w:rPr>
      </w:pPr>
      <w:r w:rsidRPr="00E3232D">
        <w:rPr>
          <w:rFonts w:ascii="Book Antiqua" w:hAnsi="Book Antiqua"/>
          <w:bCs/>
          <w:iCs/>
        </w:rPr>
        <w:t xml:space="preserve">Thus the economy is faced with rapid growth of the labor force especially graduates and at the same time stagnating or marginal increases in the absorptive capacity of various sectors of the economy. That is a recipe for a major socio-economic crisis a few years along the line if audacious and credible policies and programmes are not put in place with the urgency they deserve. </w:t>
      </w:r>
    </w:p>
    <w:p w14:paraId="357314DA" w14:textId="77777777" w:rsidR="0094009D" w:rsidRPr="00791BF2" w:rsidRDefault="00AA032E" w:rsidP="007B7052">
      <w:pPr>
        <w:pStyle w:val="Heading1"/>
        <w:jc w:val="both"/>
        <w:rPr>
          <w:rFonts w:ascii="Book Antiqua" w:hAnsi="Book Antiqua"/>
          <w:sz w:val="24"/>
          <w:szCs w:val="22"/>
        </w:rPr>
      </w:pPr>
      <w:bookmarkStart w:id="3" w:name="_Toc360516718"/>
      <w:r w:rsidRPr="00791BF2">
        <w:rPr>
          <w:rFonts w:ascii="Book Antiqua" w:hAnsi="Book Antiqua"/>
          <w:sz w:val="24"/>
          <w:szCs w:val="22"/>
        </w:rPr>
        <w:t>Critical Factors Of Improving Employment Capacity Of Ghanaian Economy</w:t>
      </w:r>
      <w:bookmarkEnd w:id="3"/>
    </w:p>
    <w:p w14:paraId="1AF3C897" w14:textId="77777777" w:rsidR="0094009D" w:rsidRPr="00E3232D" w:rsidRDefault="0094009D" w:rsidP="007B7052">
      <w:pPr>
        <w:jc w:val="both"/>
        <w:rPr>
          <w:rFonts w:ascii="Book Antiqua" w:hAnsi="Book Antiqua"/>
        </w:rPr>
      </w:pPr>
      <w:r w:rsidRPr="00E3232D">
        <w:rPr>
          <w:rFonts w:ascii="Book Antiqua" w:hAnsi="Book Antiqua"/>
        </w:rPr>
        <w:t xml:space="preserve">I want to touch on five actions that can be taken to improve the employment generation capacity of the Ghanaian economy to facilitate national development one of which is higher education- industry collaboration to produce the kind of graduates that the market requires while industry helps fund research and innovation in tertiary schools. </w:t>
      </w:r>
    </w:p>
    <w:p w14:paraId="1562FC2F" w14:textId="77777777" w:rsidR="0094009D" w:rsidRPr="00E3232D" w:rsidRDefault="0094009D" w:rsidP="007B7052">
      <w:pPr>
        <w:pStyle w:val="ListParagraph"/>
        <w:numPr>
          <w:ilvl w:val="0"/>
          <w:numId w:val="5"/>
        </w:numPr>
        <w:jc w:val="both"/>
        <w:rPr>
          <w:rFonts w:ascii="Book Antiqua" w:hAnsi="Book Antiqua"/>
        </w:rPr>
      </w:pPr>
      <w:r w:rsidRPr="00E3232D">
        <w:rPr>
          <w:rFonts w:ascii="Book Antiqua" w:hAnsi="Book Antiqua"/>
        </w:rPr>
        <w:t xml:space="preserve">First, the government must accept the responsibility and the challenge by providing the leadership that is required in terms </w:t>
      </w:r>
      <w:r w:rsidRPr="00E3232D">
        <w:rPr>
          <w:rFonts w:ascii="Book Antiqua" w:hAnsi="Book Antiqua"/>
        </w:rPr>
        <w:t>of policies to grow the economy, generate jobs and fund higher education to produce contextually relevant high level human resources. Not only do we have to grow the economy at a sustained high growth rate but we have to make it job prone. As a matter of urgency there is the need for a clear national medium to long-term socio-economic vision aimed at transforming the Ghanaian economy from “hewers of stone, and drawers of water” to one that supports agricultural productivity growth, re-industrialization of the economy and ensuring that the new sectors such as oil, finance, telecommunication etc. don’t become foreign enclaves but catalysts of overall national development. That is all I can say on that in the interest of time and not let myself be carried away as a development economist.</w:t>
      </w:r>
    </w:p>
    <w:p w14:paraId="11715AD0" w14:textId="77777777" w:rsidR="0094009D" w:rsidRPr="00E3232D" w:rsidRDefault="0094009D" w:rsidP="007B7052">
      <w:pPr>
        <w:pStyle w:val="ListParagraph"/>
        <w:jc w:val="both"/>
        <w:rPr>
          <w:rFonts w:ascii="Book Antiqua" w:hAnsi="Book Antiqua"/>
        </w:rPr>
      </w:pPr>
    </w:p>
    <w:p w14:paraId="44B598D5" w14:textId="77777777" w:rsidR="0094009D" w:rsidRPr="00E3232D" w:rsidRDefault="0094009D" w:rsidP="007B7052">
      <w:pPr>
        <w:pStyle w:val="ListParagraph"/>
        <w:numPr>
          <w:ilvl w:val="0"/>
          <w:numId w:val="5"/>
        </w:numPr>
        <w:jc w:val="both"/>
        <w:rPr>
          <w:rFonts w:ascii="Book Antiqua" w:hAnsi="Book Antiqua"/>
        </w:rPr>
      </w:pPr>
      <w:r w:rsidRPr="00E3232D">
        <w:rPr>
          <w:rFonts w:ascii="Book Antiqua" w:hAnsi="Book Antiqua"/>
        </w:rPr>
        <w:t xml:space="preserve">Second, as a nation we need to frontally tackle the issues that will improve national competitiveness and empower the private sector to grow and absorb more labor. These include improvement in utilities and transportation; huge reductions in interest rates and improving on the availability of credit; assure better business support services especially to SME’s and improving the quality of our educational outputs not only at the graduate level but even more importantly at the basic and </w:t>
      </w:r>
      <w:r w:rsidRPr="00E3232D">
        <w:rPr>
          <w:rFonts w:ascii="Book Antiqua" w:hAnsi="Book Antiqua"/>
        </w:rPr>
        <w:lastRenderedPageBreak/>
        <w:t>secondary levels which I talked about earlier. Still on the side of the government there is the need to address bureaucratic bottlenecks, inefficiencies in the civil and public services and tackle political and bureaucratic corruption surgically. Short of that the cost of doing business will be too high, national competitiveness low and no amount of rhetoric’s will attract foreign and domestic investors to create jobs and wealth. The good news is that some of these can be done quickly such as corruption which will generate the resources to do the rest. Once we clean up the system we can borrow massively on the international capital market to finance infrastructure because we can generate the resources to repay it.</w:t>
      </w:r>
    </w:p>
    <w:p w14:paraId="05B4F0DC" w14:textId="77777777" w:rsidR="0094009D" w:rsidRPr="00E3232D" w:rsidRDefault="0094009D" w:rsidP="007B7052">
      <w:pPr>
        <w:pStyle w:val="ListParagraph"/>
        <w:jc w:val="both"/>
        <w:rPr>
          <w:rFonts w:ascii="Book Antiqua" w:hAnsi="Book Antiqua"/>
        </w:rPr>
      </w:pPr>
    </w:p>
    <w:p w14:paraId="0988D45C" w14:textId="77777777" w:rsidR="0094009D" w:rsidRPr="00E3232D" w:rsidRDefault="0094009D" w:rsidP="007B7052">
      <w:pPr>
        <w:pStyle w:val="ListParagraph"/>
        <w:numPr>
          <w:ilvl w:val="0"/>
          <w:numId w:val="5"/>
        </w:numPr>
        <w:jc w:val="both"/>
        <w:rPr>
          <w:rFonts w:ascii="Book Antiqua" w:hAnsi="Book Antiqua"/>
        </w:rPr>
      </w:pPr>
      <w:r w:rsidRPr="00E3232D">
        <w:rPr>
          <w:rFonts w:ascii="Book Antiqua" w:hAnsi="Book Antiqua"/>
        </w:rPr>
        <w:t xml:space="preserve">Third, there is the need to promote entrepreneurship among Ghanaians especially the youth. The promotion of entrepreneurship would expand the creation of jobs. There is no doubt that in a situation whereby in several African countries, Ghana not exempted, one job exist for 6 to 7 potential applicants, entrepreneurship training and support as part of our curricular at school and college levels to promote a culture of innovation, risk taking and business formation will enhance national competitiveness, economic growth and job creation. “University level </w:t>
      </w:r>
      <w:r w:rsidRPr="00E3232D">
        <w:rPr>
          <w:rFonts w:ascii="Book Antiqua" w:hAnsi="Book Antiqua"/>
        </w:rPr>
        <w:t>entrepreneurship programme can be oriented towards encouraging and incubating real start up business and can also support the personal development of young people by teaching leadership and practical skills that promote success and social inclusion whether or not they go on to start their own business”.</w:t>
      </w:r>
    </w:p>
    <w:p w14:paraId="614775E2" w14:textId="77777777" w:rsidR="0094009D" w:rsidRPr="00E3232D" w:rsidRDefault="0094009D" w:rsidP="007B7052">
      <w:pPr>
        <w:jc w:val="both"/>
        <w:rPr>
          <w:rFonts w:ascii="Book Antiqua" w:hAnsi="Book Antiqua"/>
        </w:rPr>
      </w:pPr>
      <w:r w:rsidRPr="00E3232D">
        <w:rPr>
          <w:rFonts w:ascii="Book Antiqua" w:hAnsi="Book Antiqua"/>
        </w:rPr>
        <w:t>(</w:t>
      </w:r>
      <w:hyperlink r:id="rId13" w:history="1">
        <w:r w:rsidRPr="00E3232D">
          <w:rPr>
            <w:rStyle w:val="Hyperlink"/>
            <w:rFonts w:ascii="Book Antiqua" w:hAnsi="Book Antiqua"/>
          </w:rPr>
          <w:t>http://www.manpowergroup.com/humanage/manpowergroupmg(2012)</w:t>
        </w:r>
      </w:hyperlink>
    </w:p>
    <w:p w14:paraId="0D823C3E" w14:textId="77777777" w:rsidR="0094009D" w:rsidRPr="00E3232D" w:rsidRDefault="0094009D" w:rsidP="00AA032E">
      <w:pPr>
        <w:jc w:val="both"/>
        <w:rPr>
          <w:rFonts w:ascii="Book Antiqua" w:hAnsi="Book Antiqua"/>
        </w:rPr>
      </w:pPr>
      <w:r w:rsidRPr="00E3232D">
        <w:rPr>
          <w:rFonts w:ascii="Book Antiqua" w:hAnsi="Book Antiqua"/>
        </w:rPr>
        <w:t xml:space="preserve">There is no doubt that under the current circumstances entrepreneurship should be made attractive to young people to take it up as a viable career option after school through a combination of training, business support services (incubator parks for example), funding and mentorship. Young people need knowledge, capital and motivation to become entrepreneurs. They must be helped to understand markets, identify resources and government  support opportunities; access social capital, by connecting them to mentors, customers and partners contracting opportunities; and cheaper financial capital including access to microfinance and other forms of credit to startup businesses (ibid). It is the responsibility of the government, the private sector, educators and indeed all well- meaning Ghanaians to promote entrepreneurship among the youth and that should begin with putting in place youth friendly entrepreneurship policies including the establishments of industrial and incubator parks at the universities and polytechnics around the country to </w:t>
      </w:r>
      <w:r w:rsidRPr="00E3232D">
        <w:rPr>
          <w:rFonts w:ascii="Book Antiqua" w:hAnsi="Book Antiqua"/>
        </w:rPr>
        <w:lastRenderedPageBreak/>
        <w:t>promote entrepreneurship and youth friendly insolvency and bankruptcy laws.</w:t>
      </w:r>
    </w:p>
    <w:p w14:paraId="584DC188" w14:textId="77777777" w:rsidR="0094009D" w:rsidRPr="00E3232D" w:rsidRDefault="0094009D" w:rsidP="007B7052">
      <w:pPr>
        <w:pStyle w:val="ListParagraph"/>
        <w:numPr>
          <w:ilvl w:val="0"/>
          <w:numId w:val="5"/>
        </w:numPr>
        <w:jc w:val="both"/>
        <w:rPr>
          <w:rFonts w:ascii="Book Antiqua" w:hAnsi="Book Antiqua"/>
        </w:rPr>
      </w:pPr>
      <w:r w:rsidRPr="00E3232D">
        <w:rPr>
          <w:rFonts w:ascii="Book Antiqua" w:hAnsi="Book Antiqua"/>
        </w:rPr>
        <w:t>Fourth, as noted above there is the need for our educational institutions to produce the type of people who are suited to the job markets and developmental needs of the country including becoming entrepreneurs. That will no doubt require funding beyond the payment of salaries of lecturers and meeting basic running needs. But even within the current resource and personnel constraints facing the universities there is much higher institutions can do.  Tertiary education must be responsive to the environment but we must be careful not to define responsiveness narrowly. For example, if higher education institutions simply take on the color of their environment through creativity, innovation and out of the box thinking will all be sacrificed. I therefore expect a responsive tertiary education to first and foremost have a cross cutting education that prepares every student irrespective of their discipline to function effectively in the 21</w:t>
      </w:r>
      <w:r w:rsidRPr="00E3232D">
        <w:rPr>
          <w:rFonts w:ascii="Book Antiqua" w:hAnsi="Book Antiqua"/>
          <w:vertAlign w:val="superscript"/>
        </w:rPr>
        <w:t>st</w:t>
      </w:r>
      <w:r w:rsidRPr="00E3232D">
        <w:rPr>
          <w:rFonts w:ascii="Book Antiqua" w:hAnsi="Book Antiqua"/>
        </w:rPr>
        <w:t xml:space="preserve"> century characterized by interconnectivity (global village), ICT and high levels of competition in a dynamic world that changes by the day. At the cost of repeating myself let me reiterate that in this regard universities and polytechnics in particular must be characterized by:</w:t>
      </w:r>
    </w:p>
    <w:p w14:paraId="3A066249" w14:textId="77777777" w:rsidR="0094009D" w:rsidRPr="00E3232D" w:rsidRDefault="0094009D" w:rsidP="007B7052">
      <w:pPr>
        <w:pStyle w:val="ListParagraph"/>
        <w:numPr>
          <w:ilvl w:val="1"/>
          <w:numId w:val="5"/>
        </w:numPr>
        <w:jc w:val="both"/>
        <w:rPr>
          <w:rFonts w:ascii="Book Antiqua" w:hAnsi="Book Antiqua"/>
        </w:rPr>
      </w:pPr>
      <w:r w:rsidRPr="00E3232D">
        <w:rPr>
          <w:rFonts w:ascii="Book Antiqua" w:hAnsi="Book Antiqua"/>
        </w:rPr>
        <w:t>A core curriculum that equips all students with skills for the 21</w:t>
      </w:r>
      <w:r w:rsidRPr="00E3232D">
        <w:rPr>
          <w:rFonts w:ascii="Book Antiqua" w:hAnsi="Book Antiqua"/>
          <w:vertAlign w:val="superscript"/>
        </w:rPr>
        <w:t>st</w:t>
      </w:r>
      <w:r w:rsidRPr="00E3232D">
        <w:rPr>
          <w:rFonts w:ascii="Book Antiqua" w:hAnsi="Book Antiqua"/>
        </w:rPr>
        <w:t xml:space="preserve"> Century such as digital literacy, inventive thinking, effective communication and team work.</w:t>
      </w:r>
    </w:p>
    <w:p w14:paraId="21F5693B" w14:textId="77777777" w:rsidR="0094009D" w:rsidRPr="00E3232D" w:rsidRDefault="0094009D" w:rsidP="007B7052">
      <w:pPr>
        <w:pStyle w:val="ListParagraph"/>
        <w:numPr>
          <w:ilvl w:val="1"/>
          <w:numId w:val="5"/>
        </w:numPr>
        <w:jc w:val="both"/>
        <w:rPr>
          <w:rFonts w:ascii="Book Antiqua" w:hAnsi="Book Antiqua"/>
        </w:rPr>
      </w:pPr>
      <w:r w:rsidRPr="00E3232D">
        <w:rPr>
          <w:rFonts w:ascii="Book Antiqua" w:hAnsi="Book Antiqua"/>
        </w:rPr>
        <w:t xml:space="preserve">Training and exposing faculty and students to entrepreneurship and the type of skills required by employers </w:t>
      </w:r>
    </w:p>
    <w:p w14:paraId="5ED2C6B0" w14:textId="77777777" w:rsidR="0094009D" w:rsidRPr="00E3232D" w:rsidRDefault="0094009D" w:rsidP="007B7052">
      <w:pPr>
        <w:pStyle w:val="ListParagraph"/>
        <w:numPr>
          <w:ilvl w:val="1"/>
          <w:numId w:val="5"/>
        </w:numPr>
        <w:jc w:val="both"/>
        <w:rPr>
          <w:rFonts w:ascii="Book Antiqua" w:hAnsi="Book Antiqua"/>
        </w:rPr>
      </w:pPr>
      <w:r w:rsidRPr="00E3232D">
        <w:rPr>
          <w:rFonts w:ascii="Book Antiqua" w:hAnsi="Book Antiqua"/>
        </w:rPr>
        <w:t xml:space="preserve">ICT facilitated and modern student centered which allows for students to undertake synchronous and asynchronous learning. In other words  pedagogical methods have to improve both the way of teaching and learning </w:t>
      </w:r>
    </w:p>
    <w:p w14:paraId="571D2800" w14:textId="77777777" w:rsidR="0094009D" w:rsidRPr="00E3232D" w:rsidRDefault="0094009D" w:rsidP="007B7052">
      <w:pPr>
        <w:pStyle w:val="ListParagraph"/>
        <w:numPr>
          <w:ilvl w:val="1"/>
          <w:numId w:val="5"/>
        </w:numPr>
        <w:jc w:val="both"/>
        <w:rPr>
          <w:rFonts w:ascii="Book Antiqua" w:hAnsi="Book Antiqua"/>
        </w:rPr>
      </w:pPr>
      <w:r w:rsidRPr="00E3232D">
        <w:rPr>
          <w:rFonts w:ascii="Book Antiqua" w:hAnsi="Book Antiqua"/>
        </w:rPr>
        <w:t>Finding innovative means of introducing small group tutoring and mentorship in an age of massification of higher education to bring back the human touch in higher education.</w:t>
      </w:r>
    </w:p>
    <w:p w14:paraId="14946E94" w14:textId="77777777" w:rsidR="0094009D" w:rsidRPr="00E3232D" w:rsidRDefault="0094009D" w:rsidP="007B7052">
      <w:pPr>
        <w:pStyle w:val="ListParagraph"/>
        <w:ind w:left="1440"/>
        <w:jc w:val="both"/>
        <w:rPr>
          <w:rFonts w:ascii="Book Antiqua" w:hAnsi="Book Antiqua"/>
        </w:rPr>
      </w:pPr>
    </w:p>
    <w:p w14:paraId="1D62F0CB" w14:textId="77777777" w:rsidR="0094009D" w:rsidRPr="00E3232D" w:rsidRDefault="0094009D" w:rsidP="007B7052">
      <w:pPr>
        <w:pStyle w:val="ListParagraph"/>
        <w:jc w:val="both"/>
        <w:rPr>
          <w:rFonts w:ascii="Book Antiqua" w:hAnsi="Book Antiqua"/>
        </w:rPr>
      </w:pPr>
      <w:r w:rsidRPr="00E3232D">
        <w:rPr>
          <w:rFonts w:ascii="Book Antiqua" w:hAnsi="Book Antiqua"/>
        </w:rPr>
        <w:t xml:space="preserve">It must be realized that while Universities and polytechnics train high level professionals- Accountants, Bankers, Economist, Engineers, Medical Personnel, Lawyers etc.- the majority of a graduates of higher education everywhere in the world at the first degree are not professionals in the classical sense, but language graduates, historians, geographers,  sociologist, psychologists etc. Their </w:t>
      </w:r>
      <w:r w:rsidRPr="00E3232D">
        <w:rPr>
          <w:rFonts w:ascii="Book Antiqua" w:hAnsi="Book Antiqua"/>
        </w:rPr>
        <w:lastRenderedPageBreak/>
        <w:t>usefulness to society apart from the few who go on to read their masters and doctoral degrees to teach in tertiary schools lie largely in the development  of their minds and equipment with “employable skills” more than their  areas of study. As such you can orient them to becoming police officers to managers. That is the generic responsiveness needed from Universities.</w:t>
      </w:r>
    </w:p>
    <w:p w14:paraId="77BC6B18" w14:textId="77777777" w:rsidR="0094009D" w:rsidRPr="00E3232D" w:rsidRDefault="0094009D" w:rsidP="007B7052">
      <w:pPr>
        <w:pStyle w:val="ListParagraph"/>
        <w:jc w:val="both"/>
        <w:rPr>
          <w:rFonts w:ascii="Book Antiqua" w:hAnsi="Book Antiqua"/>
        </w:rPr>
      </w:pPr>
    </w:p>
    <w:p w14:paraId="12655F46" w14:textId="77777777" w:rsidR="0094009D" w:rsidRPr="00E3232D" w:rsidRDefault="0094009D" w:rsidP="007B7052">
      <w:pPr>
        <w:pStyle w:val="ListParagraph"/>
        <w:numPr>
          <w:ilvl w:val="0"/>
          <w:numId w:val="5"/>
        </w:numPr>
        <w:jc w:val="both"/>
        <w:rPr>
          <w:rFonts w:ascii="Book Antiqua" w:hAnsi="Book Antiqua"/>
        </w:rPr>
      </w:pPr>
      <w:r w:rsidRPr="00E3232D">
        <w:rPr>
          <w:rFonts w:ascii="Book Antiqua" w:hAnsi="Book Antiqua"/>
        </w:rPr>
        <w:t>Fifth, we need to harness Ghana’s employment capacity through industry-academic collaboration. It takes two to tango and effective collaboration between tertiary education and industry requires responsiveness on both sides.</w:t>
      </w:r>
    </w:p>
    <w:p w14:paraId="5604B51A" w14:textId="77777777" w:rsidR="0094009D" w:rsidRPr="00E3232D" w:rsidRDefault="0094009D" w:rsidP="007B7052">
      <w:pPr>
        <w:jc w:val="both"/>
        <w:rPr>
          <w:rFonts w:ascii="Book Antiqua" w:hAnsi="Book Antiqua"/>
        </w:rPr>
      </w:pPr>
      <w:r w:rsidRPr="00E3232D">
        <w:rPr>
          <w:rFonts w:ascii="Book Antiqua" w:hAnsi="Book Antiqua"/>
        </w:rPr>
        <w:t>When people talk about a responsive tertiary education sector narrowly, they have in mind preparing candidates for industrial needs which is the focus of my topic. In that regard I will like to distinguish between undergraduate training and postgraduate training. This is because at the undergraduate level much of the responsiveness relate to the generic competencies discussed above. While industry collaboration is important at the undergraduate level, especially in defining better curricula, offering opportunities for attachment and internship etc. it is at the graduate level research in higher institutions of learning that industries have a lot to benefit mutually through linkages.</w:t>
      </w:r>
    </w:p>
    <w:p w14:paraId="0DA49AE3" w14:textId="77777777" w:rsidR="0094009D" w:rsidRPr="00E3232D" w:rsidRDefault="0094009D" w:rsidP="007B7052">
      <w:pPr>
        <w:jc w:val="both"/>
        <w:rPr>
          <w:rFonts w:ascii="Book Antiqua" w:hAnsi="Book Antiqua"/>
        </w:rPr>
      </w:pPr>
      <w:r w:rsidRPr="00E3232D">
        <w:rPr>
          <w:rFonts w:ascii="Book Antiqua" w:hAnsi="Book Antiqua"/>
        </w:rPr>
        <w:t xml:space="preserve">With regard to the effective collaboration between tertiary schools and industry </w:t>
      </w:r>
      <w:r w:rsidRPr="00E3232D">
        <w:rPr>
          <w:rFonts w:ascii="Book Antiqua" w:hAnsi="Book Antiqua"/>
        </w:rPr>
        <w:t>there is an emerging body of literature that is easily it accessible from socio-economic databases on the internet which I will encourage all those interested to access if they have further interest. As such as I do not intend to turn this address into a seminar paper. Let me however draw your attention to three such works: “University Industrial Linkages: Relationship towards Economic Growth and Development in Malaysia by H. Hamden et. al. (2011); University-Industry Linkage – The Case of Taiwan by V.F.S Wu et al. (2000); and J. Ssebuwufu et al on “Strengthening Linkages between Industry and the Productive Sector and Higher Education Institutions in Africa (2012) which were among the literature I consulted as they provide very excellent insights. They inform the background of what I now seek to share.</w:t>
      </w:r>
    </w:p>
    <w:p w14:paraId="7ED6B447" w14:textId="77777777" w:rsidR="0094009D" w:rsidRPr="00791BF2" w:rsidRDefault="00AA032E" w:rsidP="007B7052">
      <w:pPr>
        <w:pStyle w:val="Heading1"/>
        <w:jc w:val="both"/>
        <w:rPr>
          <w:rFonts w:ascii="Book Antiqua" w:hAnsi="Book Antiqua"/>
          <w:sz w:val="24"/>
          <w:szCs w:val="22"/>
        </w:rPr>
      </w:pPr>
      <w:bookmarkStart w:id="4" w:name="_Toc360516719"/>
      <w:r w:rsidRPr="00791BF2">
        <w:rPr>
          <w:rFonts w:ascii="Book Antiqua" w:hAnsi="Book Antiqua"/>
          <w:sz w:val="24"/>
          <w:szCs w:val="22"/>
        </w:rPr>
        <w:t>The Importance of Polytechnics and Other Institutions with Higher Learning with- Industry Linkages</w:t>
      </w:r>
      <w:bookmarkEnd w:id="4"/>
    </w:p>
    <w:p w14:paraId="0DCF0261" w14:textId="77777777" w:rsidR="0094009D" w:rsidRPr="00E3232D" w:rsidRDefault="0094009D" w:rsidP="007B7052">
      <w:pPr>
        <w:jc w:val="both"/>
        <w:rPr>
          <w:rFonts w:ascii="Book Antiqua" w:hAnsi="Book Antiqua"/>
        </w:rPr>
      </w:pPr>
      <w:r w:rsidRPr="00E3232D">
        <w:rPr>
          <w:rFonts w:ascii="Book Antiqua" w:hAnsi="Book Antiqua"/>
        </w:rPr>
        <w:t xml:space="preserve">It is almost tautological to say that in every country universities house the largest number of the most educated people with as teachers, masters, and PhD holders as teachers and researchers. This is because higher institutions have to produce high level human capital. Higher education institutions also undertake the chunk of research, innovation and primary technological breakthrough that underlie modern productive enterprises in all sectors. It is therefore important for higher-educational institutions to relate to the employers of their students and users of their research and innovation. They </w:t>
      </w:r>
      <w:r w:rsidRPr="00E3232D">
        <w:rPr>
          <w:rFonts w:ascii="Book Antiqua" w:hAnsi="Book Antiqua"/>
        </w:rPr>
        <w:lastRenderedPageBreak/>
        <w:t xml:space="preserve">benefit greatly through some collaboration with the users in the development of curricula and identifying applied research areas. Of course universities don’t do only applied research but primary and path breaking investigation. </w:t>
      </w:r>
    </w:p>
    <w:p w14:paraId="599AFD02" w14:textId="77777777" w:rsidR="0094009D" w:rsidRPr="00E3232D" w:rsidRDefault="0094009D" w:rsidP="007B7052">
      <w:pPr>
        <w:jc w:val="both"/>
        <w:rPr>
          <w:rFonts w:ascii="Book Antiqua" w:hAnsi="Book Antiqua"/>
        </w:rPr>
      </w:pPr>
      <w:r w:rsidRPr="00E3232D">
        <w:rPr>
          <w:rFonts w:ascii="Book Antiqua" w:hAnsi="Book Antiqua"/>
        </w:rPr>
        <w:t>In the 21</w:t>
      </w:r>
      <w:r w:rsidRPr="00E3232D">
        <w:rPr>
          <w:rFonts w:ascii="Book Antiqua" w:hAnsi="Book Antiqua"/>
          <w:vertAlign w:val="superscript"/>
        </w:rPr>
        <w:t>st</w:t>
      </w:r>
      <w:r w:rsidRPr="00E3232D">
        <w:rPr>
          <w:rFonts w:ascii="Book Antiqua" w:hAnsi="Book Antiqua"/>
        </w:rPr>
        <w:t xml:space="preserve"> century knowledge is the single most important determinant of the progress of nations and such knowledge is often generated in universities. The ratio of R&amp;D to sales in enterprises, with exception of pharmaceutical firms and other big establishment with their own R&amp;D departments, is rather low. The R&amp;D ratio to GDP has been found to be one of the powerful indicators of economic growth. Industry therefore needs to work with universities and vice versa to promote national development. Closer collaborations between universities and the productive sectors offer a win-win partnership.</w:t>
      </w:r>
    </w:p>
    <w:p w14:paraId="29E9114A" w14:textId="77777777" w:rsidR="0094009D" w:rsidRPr="00791BF2" w:rsidRDefault="00AA032E" w:rsidP="007B7052">
      <w:pPr>
        <w:pStyle w:val="Heading1"/>
        <w:jc w:val="both"/>
        <w:rPr>
          <w:rFonts w:ascii="Book Antiqua" w:hAnsi="Book Antiqua"/>
          <w:sz w:val="24"/>
          <w:szCs w:val="22"/>
        </w:rPr>
      </w:pPr>
      <w:bookmarkStart w:id="5" w:name="_Toc360516720"/>
      <w:r w:rsidRPr="00791BF2">
        <w:rPr>
          <w:rFonts w:ascii="Book Antiqua" w:hAnsi="Book Antiqua"/>
          <w:sz w:val="24"/>
          <w:szCs w:val="22"/>
        </w:rPr>
        <w:t>What Higher Instituions Gain by Collaborating with Industry?</w:t>
      </w:r>
      <w:bookmarkEnd w:id="5"/>
    </w:p>
    <w:p w14:paraId="6D491C5F" w14:textId="77777777" w:rsidR="0094009D" w:rsidRPr="00E3232D" w:rsidRDefault="0094009D" w:rsidP="007B7052">
      <w:pPr>
        <w:jc w:val="both"/>
        <w:rPr>
          <w:rFonts w:ascii="Book Antiqua" w:hAnsi="Book Antiqua"/>
        </w:rPr>
      </w:pPr>
      <w:r w:rsidRPr="00E3232D">
        <w:rPr>
          <w:rFonts w:ascii="Book Antiqua" w:hAnsi="Book Antiqua"/>
        </w:rPr>
        <w:t>Successful Tertiary Education-Industry Linkage collaboration can and does bring many advantages to the higher institutions. These include:</w:t>
      </w:r>
    </w:p>
    <w:p w14:paraId="28D25635" w14:textId="77777777" w:rsidR="0094009D" w:rsidRPr="00E3232D" w:rsidRDefault="0094009D" w:rsidP="007B7052">
      <w:pPr>
        <w:pStyle w:val="ListParagraph"/>
        <w:numPr>
          <w:ilvl w:val="0"/>
          <w:numId w:val="6"/>
        </w:numPr>
        <w:jc w:val="both"/>
        <w:rPr>
          <w:rFonts w:ascii="Book Antiqua" w:hAnsi="Book Antiqua"/>
        </w:rPr>
      </w:pPr>
      <w:r w:rsidRPr="00E3232D">
        <w:rPr>
          <w:rFonts w:ascii="Book Antiqua" w:hAnsi="Book Antiqua"/>
        </w:rPr>
        <w:t>Provision of new sources of funding and often sources with less red-tape than even government ones. Moreover such monies are additional to public funds and student fees.</w:t>
      </w:r>
    </w:p>
    <w:p w14:paraId="28420619" w14:textId="77777777" w:rsidR="0094009D" w:rsidRPr="00E3232D" w:rsidRDefault="0094009D" w:rsidP="007B7052">
      <w:pPr>
        <w:pStyle w:val="ListParagraph"/>
        <w:numPr>
          <w:ilvl w:val="0"/>
          <w:numId w:val="6"/>
        </w:numPr>
        <w:jc w:val="both"/>
        <w:rPr>
          <w:rFonts w:ascii="Book Antiqua" w:hAnsi="Book Antiqua"/>
        </w:rPr>
      </w:pPr>
      <w:r w:rsidRPr="00E3232D">
        <w:rPr>
          <w:rFonts w:ascii="Book Antiqua" w:hAnsi="Book Antiqua"/>
        </w:rPr>
        <w:t xml:space="preserve">Sponsored industrial research provides students and faculty with exposure to real world problems </w:t>
      </w:r>
      <w:r w:rsidRPr="00E3232D">
        <w:rPr>
          <w:rFonts w:ascii="Book Antiqua" w:hAnsi="Book Antiqua"/>
        </w:rPr>
        <w:t>and opportunity to work on intellectually challenging and relevant research.</w:t>
      </w:r>
    </w:p>
    <w:p w14:paraId="07F0B491" w14:textId="77777777" w:rsidR="0094009D" w:rsidRPr="00E3232D" w:rsidRDefault="0094009D" w:rsidP="007B7052">
      <w:pPr>
        <w:pStyle w:val="ListParagraph"/>
        <w:numPr>
          <w:ilvl w:val="0"/>
          <w:numId w:val="6"/>
        </w:numPr>
        <w:jc w:val="both"/>
        <w:rPr>
          <w:rFonts w:ascii="Book Antiqua" w:hAnsi="Book Antiqua"/>
        </w:rPr>
      </w:pPr>
      <w:r w:rsidRPr="00E3232D">
        <w:rPr>
          <w:rFonts w:ascii="Book Antiqua" w:hAnsi="Book Antiqua"/>
        </w:rPr>
        <w:t>Such collaboration is made relevant by solving problems relating to national development which makes the populace perceive universities as relevant and thus making it easier for governments to allocate people funds to support them.</w:t>
      </w:r>
    </w:p>
    <w:p w14:paraId="384BDD18" w14:textId="77777777" w:rsidR="0094009D" w:rsidRPr="00E3232D" w:rsidRDefault="0094009D" w:rsidP="007B7052">
      <w:pPr>
        <w:pStyle w:val="ListParagraph"/>
        <w:numPr>
          <w:ilvl w:val="0"/>
          <w:numId w:val="6"/>
        </w:numPr>
        <w:jc w:val="both"/>
        <w:rPr>
          <w:rFonts w:ascii="Book Antiqua" w:hAnsi="Book Antiqua"/>
        </w:rPr>
      </w:pPr>
      <w:r w:rsidRPr="00E3232D">
        <w:rPr>
          <w:rFonts w:ascii="Book Antiqua" w:hAnsi="Book Antiqua"/>
        </w:rPr>
        <w:t>Higher Education-Industry Collaboration facilitates transfer of promotion of innovations and technology transfer developed in tertiary institutions.</w:t>
      </w:r>
    </w:p>
    <w:p w14:paraId="516DA0F5" w14:textId="77777777" w:rsidR="0094009D" w:rsidRPr="00E3232D" w:rsidRDefault="0094009D" w:rsidP="007B7052">
      <w:pPr>
        <w:pStyle w:val="ListParagraph"/>
        <w:numPr>
          <w:ilvl w:val="0"/>
          <w:numId w:val="6"/>
        </w:numPr>
        <w:jc w:val="both"/>
        <w:rPr>
          <w:rFonts w:ascii="Book Antiqua" w:hAnsi="Book Antiqua"/>
        </w:rPr>
      </w:pPr>
      <w:r w:rsidRPr="00E3232D">
        <w:rPr>
          <w:rFonts w:ascii="Book Antiqua" w:hAnsi="Book Antiqua"/>
        </w:rPr>
        <w:t>Assures  that graduates have the skills and technology to effectively contribute to the workforce with shorter learning curve on their jobs</w:t>
      </w:r>
    </w:p>
    <w:p w14:paraId="75C4BC87" w14:textId="77777777" w:rsidR="0094009D" w:rsidRPr="00E3232D" w:rsidRDefault="0094009D" w:rsidP="007B7052">
      <w:pPr>
        <w:pStyle w:val="ListParagraph"/>
        <w:numPr>
          <w:ilvl w:val="0"/>
          <w:numId w:val="6"/>
        </w:numPr>
        <w:jc w:val="both"/>
        <w:rPr>
          <w:rFonts w:ascii="Book Antiqua" w:hAnsi="Book Antiqua"/>
        </w:rPr>
      </w:pPr>
      <w:r w:rsidRPr="00E3232D">
        <w:rPr>
          <w:rFonts w:ascii="Book Antiqua" w:hAnsi="Book Antiqua"/>
        </w:rPr>
        <w:t>Increased job satisfaction results among academic staff through improved sense of being relevant not to mention the additional income enhancing effect of such collaborations.</w:t>
      </w:r>
    </w:p>
    <w:p w14:paraId="17818BF8" w14:textId="77777777" w:rsidR="0094009D" w:rsidRPr="00E3232D" w:rsidRDefault="0094009D" w:rsidP="007B7052">
      <w:pPr>
        <w:pStyle w:val="ListParagraph"/>
        <w:numPr>
          <w:ilvl w:val="0"/>
          <w:numId w:val="6"/>
        </w:numPr>
        <w:jc w:val="both"/>
        <w:rPr>
          <w:rFonts w:ascii="Book Antiqua" w:hAnsi="Book Antiqua"/>
        </w:rPr>
      </w:pPr>
      <w:r w:rsidRPr="00E3232D">
        <w:rPr>
          <w:rFonts w:ascii="Book Antiqua" w:hAnsi="Book Antiqua"/>
        </w:rPr>
        <w:t>Above all it enhances graduate employability as a result of improved curricula, skill development and internship opportunities in industry.</w:t>
      </w:r>
    </w:p>
    <w:p w14:paraId="5FE3658F" w14:textId="77777777" w:rsidR="0094009D" w:rsidRPr="00E3232D" w:rsidRDefault="0094009D" w:rsidP="007B7052">
      <w:pPr>
        <w:jc w:val="both"/>
        <w:rPr>
          <w:rFonts w:ascii="Book Antiqua" w:hAnsi="Book Antiqua"/>
        </w:rPr>
      </w:pPr>
      <w:r w:rsidRPr="00E3232D">
        <w:rPr>
          <w:rFonts w:ascii="Book Antiqua" w:hAnsi="Book Antiqua"/>
        </w:rPr>
        <w:t xml:space="preserve">Increased higher education and industry linkages will reduce the perception that universities are mere ivory towers producing students and research which are not relevant to the socio-economic and technological advancement of their respective countries. Collaborations with industry help to bridge the perceived skill </w:t>
      </w:r>
      <w:r w:rsidRPr="00E3232D">
        <w:rPr>
          <w:rFonts w:ascii="Book Antiqua" w:hAnsi="Book Antiqua"/>
        </w:rPr>
        <w:lastRenderedPageBreak/>
        <w:t>relevant gap between what universities teach and what the job market demands.</w:t>
      </w:r>
    </w:p>
    <w:p w14:paraId="31BC0F31" w14:textId="77777777" w:rsidR="0094009D" w:rsidRPr="00791BF2" w:rsidRDefault="00AA032E" w:rsidP="007B7052">
      <w:pPr>
        <w:pStyle w:val="Heading1"/>
        <w:jc w:val="both"/>
        <w:rPr>
          <w:rFonts w:ascii="Book Antiqua" w:hAnsi="Book Antiqua"/>
          <w:sz w:val="24"/>
          <w:szCs w:val="22"/>
        </w:rPr>
      </w:pPr>
      <w:bookmarkStart w:id="6" w:name="_Toc360516721"/>
      <w:r w:rsidRPr="00791BF2">
        <w:rPr>
          <w:rFonts w:ascii="Book Antiqua" w:hAnsi="Book Antiqua"/>
          <w:sz w:val="24"/>
          <w:szCs w:val="22"/>
        </w:rPr>
        <w:t>What is in for Industry to link up with Tertiary Institutions?</w:t>
      </w:r>
      <w:bookmarkEnd w:id="6"/>
    </w:p>
    <w:p w14:paraId="169FA864" w14:textId="77777777" w:rsidR="0094009D" w:rsidRPr="00E3232D" w:rsidRDefault="0094009D" w:rsidP="007B7052">
      <w:pPr>
        <w:jc w:val="both"/>
        <w:rPr>
          <w:rFonts w:ascii="Book Antiqua" w:hAnsi="Book Antiqua"/>
        </w:rPr>
      </w:pPr>
      <w:r w:rsidRPr="00E3232D">
        <w:rPr>
          <w:rFonts w:ascii="Book Antiqua" w:hAnsi="Book Antiqua"/>
        </w:rPr>
        <w:t>According to Allan (1990) and Peters and Fusfeld referred to in Wu et al. (op cit) industry also stands to benefit greatly from effective collaboration with academic institutions: it gives them:</w:t>
      </w:r>
    </w:p>
    <w:p w14:paraId="060BB2CA" w14:textId="77777777" w:rsidR="0094009D" w:rsidRPr="00E3232D" w:rsidRDefault="0094009D" w:rsidP="007B7052">
      <w:pPr>
        <w:pStyle w:val="ListParagraph"/>
        <w:numPr>
          <w:ilvl w:val="0"/>
          <w:numId w:val="7"/>
        </w:numPr>
        <w:jc w:val="both"/>
        <w:rPr>
          <w:rFonts w:ascii="Book Antiqua" w:hAnsi="Book Antiqua"/>
        </w:rPr>
      </w:pPr>
      <w:r w:rsidRPr="00E3232D">
        <w:rPr>
          <w:rFonts w:ascii="Book Antiqua" w:hAnsi="Book Antiqua"/>
        </w:rPr>
        <w:t>Access to well-trained graduates and knowledgeable faculty</w:t>
      </w:r>
    </w:p>
    <w:p w14:paraId="09D6942D" w14:textId="77777777" w:rsidR="0094009D" w:rsidRPr="00E3232D" w:rsidRDefault="0094009D" w:rsidP="007B7052">
      <w:pPr>
        <w:pStyle w:val="ListParagraph"/>
        <w:numPr>
          <w:ilvl w:val="0"/>
          <w:numId w:val="7"/>
        </w:numPr>
        <w:jc w:val="both"/>
        <w:rPr>
          <w:rFonts w:ascii="Book Antiqua" w:hAnsi="Book Antiqua"/>
        </w:rPr>
      </w:pPr>
      <w:r w:rsidRPr="00E3232D">
        <w:rPr>
          <w:rFonts w:ascii="Book Antiqua" w:hAnsi="Book Antiqua"/>
        </w:rPr>
        <w:t>Access to applied research in the development of new products.</w:t>
      </w:r>
    </w:p>
    <w:p w14:paraId="07FF3CF2" w14:textId="77777777" w:rsidR="0094009D" w:rsidRPr="00E3232D" w:rsidRDefault="0094009D" w:rsidP="007B7052">
      <w:pPr>
        <w:pStyle w:val="ListParagraph"/>
        <w:numPr>
          <w:ilvl w:val="0"/>
          <w:numId w:val="7"/>
        </w:numPr>
        <w:jc w:val="both"/>
        <w:rPr>
          <w:rFonts w:ascii="Book Antiqua" w:hAnsi="Book Antiqua"/>
        </w:rPr>
      </w:pPr>
      <w:r w:rsidRPr="00E3232D">
        <w:rPr>
          <w:rFonts w:ascii="Book Antiqua" w:hAnsi="Book Antiqua"/>
        </w:rPr>
        <w:t>Solutions to specific industrial problems</w:t>
      </w:r>
    </w:p>
    <w:p w14:paraId="65D1C509" w14:textId="77777777" w:rsidR="0094009D" w:rsidRPr="00E3232D" w:rsidRDefault="0094009D" w:rsidP="007B7052">
      <w:pPr>
        <w:pStyle w:val="ListParagraph"/>
        <w:numPr>
          <w:ilvl w:val="0"/>
          <w:numId w:val="7"/>
        </w:numPr>
        <w:jc w:val="both"/>
        <w:rPr>
          <w:rFonts w:ascii="Book Antiqua" w:hAnsi="Book Antiqua"/>
        </w:rPr>
      </w:pPr>
      <w:r w:rsidRPr="00E3232D">
        <w:rPr>
          <w:rFonts w:ascii="Book Antiqua" w:hAnsi="Book Antiqua"/>
        </w:rPr>
        <w:t>Access to university research infrastructure- not easily replicated  in each firm</w:t>
      </w:r>
    </w:p>
    <w:p w14:paraId="3B80E228" w14:textId="77777777" w:rsidR="0094009D" w:rsidRPr="00E3232D" w:rsidRDefault="0094009D" w:rsidP="007B7052">
      <w:pPr>
        <w:pStyle w:val="ListParagraph"/>
        <w:numPr>
          <w:ilvl w:val="0"/>
          <w:numId w:val="7"/>
        </w:numPr>
        <w:jc w:val="both"/>
        <w:rPr>
          <w:rFonts w:ascii="Book Antiqua" w:hAnsi="Book Antiqua"/>
        </w:rPr>
      </w:pPr>
      <w:r w:rsidRPr="00E3232D">
        <w:rPr>
          <w:rFonts w:ascii="Book Antiqua" w:hAnsi="Book Antiqua"/>
        </w:rPr>
        <w:t>Assistance in continuing education which help to improve in company’s image</w:t>
      </w:r>
    </w:p>
    <w:p w14:paraId="5A70E3FC" w14:textId="77777777" w:rsidR="0094009D" w:rsidRPr="00E3232D" w:rsidRDefault="0094009D" w:rsidP="007B7052">
      <w:pPr>
        <w:pStyle w:val="ListParagraph"/>
        <w:numPr>
          <w:ilvl w:val="0"/>
          <w:numId w:val="7"/>
        </w:numPr>
        <w:jc w:val="both"/>
        <w:rPr>
          <w:rFonts w:ascii="Book Antiqua" w:hAnsi="Book Antiqua"/>
        </w:rPr>
      </w:pPr>
      <w:r w:rsidRPr="00E3232D">
        <w:rPr>
          <w:rFonts w:ascii="Book Antiqua" w:hAnsi="Book Antiqua"/>
        </w:rPr>
        <w:t>Image of good local citizens and foster good community relations.</w:t>
      </w:r>
    </w:p>
    <w:p w14:paraId="37E71104" w14:textId="77777777" w:rsidR="0094009D" w:rsidRPr="00791BF2" w:rsidRDefault="00AA032E" w:rsidP="007B7052">
      <w:pPr>
        <w:pStyle w:val="Heading1"/>
        <w:jc w:val="both"/>
        <w:rPr>
          <w:rFonts w:ascii="Book Antiqua" w:hAnsi="Book Antiqua"/>
          <w:sz w:val="24"/>
          <w:szCs w:val="22"/>
        </w:rPr>
      </w:pPr>
      <w:bookmarkStart w:id="7" w:name="_Toc360516722"/>
      <w:r w:rsidRPr="00791BF2">
        <w:rPr>
          <w:rFonts w:ascii="Book Antiqua" w:hAnsi="Book Antiqua"/>
          <w:sz w:val="24"/>
          <w:szCs w:val="22"/>
        </w:rPr>
        <w:t>What can be Done to Enhance Mutually Beneficial Linkages</w:t>
      </w:r>
      <w:bookmarkEnd w:id="7"/>
    </w:p>
    <w:p w14:paraId="36849175" w14:textId="77777777" w:rsidR="0094009D" w:rsidRPr="00E3232D" w:rsidRDefault="0094009D" w:rsidP="007B7052">
      <w:pPr>
        <w:jc w:val="both"/>
        <w:rPr>
          <w:rFonts w:ascii="Book Antiqua" w:hAnsi="Book Antiqua"/>
        </w:rPr>
      </w:pPr>
      <w:r w:rsidRPr="00E3232D">
        <w:rPr>
          <w:rFonts w:ascii="Book Antiqua" w:hAnsi="Book Antiqua"/>
        </w:rPr>
        <w:t xml:space="preserve">“Higher institutions of learning, government and firms” can do a lot to enhance win-win collaborations. The Universities must go beyond being big centers of teaching and learning to develop research capacity and become national innovation centers. This can be a chicken and egg or “catch 22” issue as the universities need resources to create the requisite capacities. This is where the government can come in to help the universities to be properly oriented and </w:t>
      </w:r>
      <w:r w:rsidRPr="00E3232D">
        <w:rPr>
          <w:rFonts w:ascii="Book Antiqua" w:hAnsi="Book Antiqua"/>
        </w:rPr>
        <w:t>receive support for the initial capacity building. The government has a role in creating the legislative and enabling climate for patenting, licensing and higher education-industry technology transfer including giving tax incentives to industry to support such collaboration.</w:t>
      </w:r>
    </w:p>
    <w:p w14:paraId="16CD0887" w14:textId="77777777" w:rsidR="0094009D" w:rsidRPr="00E3232D" w:rsidRDefault="0094009D" w:rsidP="007B7052">
      <w:pPr>
        <w:jc w:val="both"/>
        <w:rPr>
          <w:rFonts w:ascii="Book Antiqua" w:hAnsi="Book Antiqua"/>
        </w:rPr>
      </w:pPr>
      <w:r w:rsidRPr="00E3232D">
        <w:rPr>
          <w:rFonts w:ascii="Book Antiqua" w:hAnsi="Book Antiqua"/>
        </w:rPr>
        <w:t>However, as a young economist heading the Research Department of the now Ghana Investment Promotion Centre, I listened to a Nigerian IMF staff in 1975 say that he would not give a computer to someone who had not yet written a paper with a calculator. Those were the days that corrupters were rare and used as a status symbol in Ghana. In the same way higher education institutions should not sit down waiting for industry and government. They must be proactive to promote such collaborations and to orient their faculty and students to that end. Faculty and students must undertake industry relevant research. Government-industry higher education must work to establish technology transfer and incubators centers and science parks on universities and polytechnics campuses etc.</w:t>
      </w:r>
    </w:p>
    <w:p w14:paraId="52CCE069" w14:textId="77777777" w:rsidR="0094009D" w:rsidRPr="00791BF2" w:rsidRDefault="00AA032E" w:rsidP="007B7052">
      <w:pPr>
        <w:pStyle w:val="Heading1"/>
        <w:jc w:val="both"/>
        <w:rPr>
          <w:rFonts w:ascii="Book Antiqua" w:hAnsi="Book Antiqua"/>
          <w:sz w:val="24"/>
          <w:szCs w:val="22"/>
        </w:rPr>
      </w:pPr>
      <w:bookmarkStart w:id="8" w:name="_Toc360516723"/>
      <w:r w:rsidRPr="00791BF2">
        <w:rPr>
          <w:rFonts w:ascii="Book Antiqua" w:hAnsi="Book Antiqua"/>
          <w:sz w:val="24"/>
          <w:szCs w:val="22"/>
        </w:rPr>
        <w:t>Scope for Higher Education- Industry Linkages</w:t>
      </w:r>
      <w:bookmarkEnd w:id="8"/>
    </w:p>
    <w:p w14:paraId="18C9ECEC" w14:textId="77777777" w:rsidR="0094009D" w:rsidRPr="00E3232D" w:rsidRDefault="0094009D" w:rsidP="007B7052">
      <w:pPr>
        <w:jc w:val="both"/>
        <w:rPr>
          <w:rFonts w:ascii="Book Antiqua" w:hAnsi="Book Antiqua"/>
        </w:rPr>
      </w:pPr>
      <w:r w:rsidRPr="00E3232D">
        <w:rPr>
          <w:rFonts w:ascii="Book Antiqua" w:hAnsi="Book Antiqua"/>
        </w:rPr>
        <w:t>With little ingenuity the scope for collaboration with industry are many:</w:t>
      </w:r>
    </w:p>
    <w:p w14:paraId="1592C5DF" w14:textId="77777777" w:rsidR="0094009D" w:rsidRPr="00E3232D" w:rsidRDefault="0094009D" w:rsidP="007B7052">
      <w:pPr>
        <w:pStyle w:val="ListParagraph"/>
        <w:numPr>
          <w:ilvl w:val="0"/>
          <w:numId w:val="8"/>
        </w:numPr>
        <w:jc w:val="both"/>
        <w:rPr>
          <w:rFonts w:ascii="Book Antiqua" w:hAnsi="Book Antiqua"/>
        </w:rPr>
      </w:pPr>
      <w:r w:rsidRPr="00E3232D">
        <w:rPr>
          <w:rFonts w:ascii="Book Antiqua" w:hAnsi="Book Antiqua"/>
        </w:rPr>
        <w:t>Industrial internships</w:t>
      </w:r>
    </w:p>
    <w:p w14:paraId="3ABDAEF7" w14:textId="77777777" w:rsidR="0094009D" w:rsidRPr="00E3232D" w:rsidRDefault="0094009D" w:rsidP="007B7052">
      <w:pPr>
        <w:pStyle w:val="ListParagraph"/>
        <w:numPr>
          <w:ilvl w:val="0"/>
          <w:numId w:val="8"/>
        </w:numPr>
        <w:jc w:val="both"/>
        <w:rPr>
          <w:rFonts w:ascii="Book Antiqua" w:hAnsi="Book Antiqua"/>
        </w:rPr>
      </w:pPr>
      <w:r w:rsidRPr="00E3232D">
        <w:rPr>
          <w:rFonts w:ascii="Book Antiqua" w:hAnsi="Book Antiqua"/>
        </w:rPr>
        <w:t>Industrial visits by students and faculty</w:t>
      </w:r>
    </w:p>
    <w:p w14:paraId="19EE00FD" w14:textId="77777777" w:rsidR="0094009D" w:rsidRPr="00E3232D" w:rsidRDefault="0094009D" w:rsidP="007B7052">
      <w:pPr>
        <w:pStyle w:val="ListParagraph"/>
        <w:numPr>
          <w:ilvl w:val="0"/>
          <w:numId w:val="8"/>
        </w:numPr>
        <w:jc w:val="both"/>
        <w:rPr>
          <w:rFonts w:ascii="Book Antiqua" w:hAnsi="Book Antiqua"/>
        </w:rPr>
      </w:pPr>
      <w:r w:rsidRPr="00E3232D">
        <w:rPr>
          <w:rFonts w:ascii="Book Antiqua" w:hAnsi="Book Antiqua"/>
        </w:rPr>
        <w:t>Use of qualified staff from industry in teaching programmes.</w:t>
      </w:r>
    </w:p>
    <w:p w14:paraId="5AA8B9C8" w14:textId="77777777" w:rsidR="0094009D" w:rsidRPr="00E3232D" w:rsidRDefault="0094009D" w:rsidP="007B7052">
      <w:pPr>
        <w:pStyle w:val="ListParagraph"/>
        <w:numPr>
          <w:ilvl w:val="0"/>
          <w:numId w:val="8"/>
        </w:numPr>
        <w:jc w:val="both"/>
        <w:rPr>
          <w:rFonts w:ascii="Book Antiqua" w:hAnsi="Book Antiqua"/>
        </w:rPr>
      </w:pPr>
      <w:r w:rsidRPr="00E3232D">
        <w:rPr>
          <w:rFonts w:ascii="Book Antiqua" w:hAnsi="Book Antiqua"/>
        </w:rPr>
        <w:lastRenderedPageBreak/>
        <w:t xml:space="preserve">Organizations of formal and informal meetings between faculties and industry </w:t>
      </w:r>
    </w:p>
    <w:p w14:paraId="15EC1FA0" w14:textId="77777777" w:rsidR="0094009D" w:rsidRPr="00E3232D" w:rsidRDefault="0094009D" w:rsidP="007B7052">
      <w:pPr>
        <w:pStyle w:val="ListParagraph"/>
        <w:numPr>
          <w:ilvl w:val="0"/>
          <w:numId w:val="8"/>
        </w:numPr>
        <w:jc w:val="both"/>
        <w:rPr>
          <w:rFonts w:ascii="Book Antiqua" w:hAnsi="Book Antiqua"/>
        </w:rPr>
      </w:pPr>
      <w:r w:rsidRPr="00E3232D">
        <w:rPr>
          <w:rFonts w:ascii="Book Antiqua" w:hAnsi="Book Antiqua"/>
        </w:rPr>
        <w:t>Working with governments and industry to establish industrial parks and incubators near or on campuses.</w:t>
      </w:r>
    </w:p>
    <w:p w14:paraId="1E85FB2B" w14:textId="77777777" w:rsidR="0094009D" w:rsidRPr="00E3232D" w:rsidRDefault="0094009D" w:rsidP="007B7052">
      <w:pPr>
        <w:pStyle w:val="ListParagraph"/>
        <w:numPr>
          <w:ilvl w:val="0"/>
          <w:numId w:val="8"/>
        </w:numPr>
        <w:jc w:val="both"/>
        <w:rPr>
          <w:rFonts w:ascii="Book Antiqua" w:hAnsi="Book Antiqua"/>
        </w:rPr>
      </w:pPr>
      <w:r w:rsidRPr="00E3232D">
        <w:rPr>
          <w:rFonts w:ascii="Book Antiqua" w:hAnsi="Book Antiqua"/>
        </w:rPr>
        <w:t>Captains of industry serving on university Boards and university academics serving on industrial committees / chambers/ boards.</w:t>
      </w:r>
    </w:p>
    <w:p w14:paraId="15016363" w14:textId="77777777" w:rsidR="0094009D" w:rsidRPr="00E3232D" w:rsidRDefault="0094009D" w:rsidP="007B7052">
      <w:pPr>
        <w:pStyle w:val="ListParagraph"/>
        <w:numPr>
          <w:ilvl w:val="0"/>
          <w:numId w:val="8"/>
        </w:numPr>
        <w:jc w:val="both"/>
        <w:rPr>
          <w:rFonts w:ascii="Book Antiqua" w:hAnsi="Book Antiqua"/>
        </w:rPr>
      </w:pPr>
      <w:r w:rsidRPr="00E3232D">
        <w:rPr>
          <w:rFonts w:ascii="Book Antiqua" w:hAnsi="Book Antiqua"/>
        </w:rPr>
        <w:t>Using laboratory facilities and other infrastructure at universities for technology and applied research for industry etc.</w:t>
      </w:r>
    </w:p>
    <w:p w14:paraId="714E7A5E" w14:textId="77777777" w:rsidR="0094009D" w:rsidRPr="00E3232D" w:rsidRDefault="0094009D" w:rsidP="007B7052">
      <w:pPr>
        <w:ind w:left="360"/>
        <w:jc w:val="both"/>
        <w:rPr>
          <w:rFonts w:ascii="Book Antiqua" w:hAnsi="Book Antiqua"/>
        </w:rPr>
      </w:pPr>
      <w:r w:rsidRPr="00E3232D">
        <w:rPr>
          <w:rFonts w:ascii="Book Antiqua" w:hAnsi="Book Antiqua"/>
        </w:rPr>
        <w:t>Higher institutions-Industry linkages are the norm in the industrialized and emerging countries. The most famous is the role Stanford University played in the growth of the Silicon Valley in USA. In fact, industry funds substantial budgets of universities like MIT in Boston and Cambridge University in Oxford. Even in emerging economies like Taiwan and Malaysia such collaborations are significant.</w:t>
      </w:r>
    </w:p>
    <w:p w14:paraId="6AB96B32" w14:textId="77777777" w:rsidR="0094009D" w:rsidRPr="00791BF2" w:rsidRDefault="00AA032E" w:rsidP="007B7052">
      <w:pPr>
        <w:pStyle w:val="Heading1"/>
        <w:jc w:val="both"/>
        <w:rPr>
          <w:rFonts w:ascii="Book Antiqua" w:hAnsi="Book Antiqua"/>
          <w:sz w:val="24"/>
          <w:szCs w:val="22"/>
        </w:rPr>
      </w:pPr>
      <w:bookmarkStart w:id="9" w:name="_Toc360516724"/>
      <w:r w:rsidRPr="00791BF2">
        <w:rPr>
          <w:rFonts w:ascii="Book Antiqua" w:hAnsi="Book Antiqua"/>
          <w:sz w:val="24"/>
          <w:szCs w:val="22"/>
        </w:rPr>
        <w:t>Higher Education-Industry Linkages Important but not Panacea</w:t>
      </w:r>
      <w:bookmarkEnd w:id="9"/>
    </w:p>
    <w:p w14:paraId="66525187" w14:textId="77777777" w:rsidR="0094009D" w:rsidRPr="00E3232D" w:rsidRDefault="0094009D" w:rsidP="007B7052">
      <w:pPr>
        <w:ind w:left="360"/>
        <w:jc w:val="both"/>
        <w:rPr>
          <w:rFonts w:ascii="Book Antiqua" w:hAnsi="Book Antiqua"/>
        </w:rPr>
      </w:pPr>
      <w:r w:rsidRPr="00E3232D">
        <w:rPr>
          <w:rFonts w:ascii="Book Antiqua" w:hAnsi="Book Antiqua"/>
        </w:rPr>
        <w:t>There is no doubt that university- industry linkages contribute in preparing graduates for the job market and is good for national development.</w:t>
      </w:r>
    </w:p>
    <w:p w14:paraId="7F0E8540" w14:textId="77777777" w:rsidR="0094009D" w:rsidRPr="00E3232D" w:rsidRDefault="0094009D" w:rsidP="007B7052">
      <w:pPr>
        <w:pStyle w:val="ListParagraph"/>
        <w:numPr>
          <w:ilvl w:val="0"/>
          <w:numId w:val="9"/>
        </w:numPr>
        <w:jc w:val="both"/>
        <w:rPr>
          <w:rFonts w:ascii="Book Antiqua" w:hAnsi="Book Antiqua"/>
        </w:rPr>
      </w:pPr>
      <w:r w:rsidRPr="00E3232D">
        <w:rPr>
          <w:rFonts w:ascii="Book Antiqua" w:hAnsi="Book Antiqua"/>
        </w:rPr>
        <w:t xml:space="preserve">In the area of ICT and Science and technology students who have worked on industry relevant research or have had opportunity to serve as interns </w:t>
      </w:r>
      <w:r w:rsidRPr="00E3232D">
        <w:rPr>
          <w:rFonts w:ascii="Book Antiqua" w:hAnsi="Book Antiqua"/>
        </w:rPr>
        <w:t xml:space="preserve">are more likely to get jobs with particular firms with no time lost going over the learning curve. </w:t>
      </w:r>
    </w:p>
    <w:p w14:paraId="6B1AE6F4" w14:textId="77777777" w:rsidR="0094009D" w:rsidRPr="00E3232D" w:rsidRDefault="0094009D" w:rsidP="007B7052">
      <w:pPr>
        <w:pStyle w:val="ListParagraph"/>
        <w:numPr>
          <w:ilvl w:val="0"/>
          <w:numId w:val="9"/>
        </w:numPr>
        <w:jc w:val="both"/>
        <w:rPr>
          <w:rFonts w:ascii="Book Antiqua" w:hAnsi="Book Antiqua"/>
        </w:rPr>
      </w:pPr>
      <w:r w:rsidRPr="00E3232D">
        <w:rPr>
          <w:rFonts w:ascii="Book Antiqua" w:hAnsi="Book Antiqua"/>
        </w:rPr>
        <w:t>Generally, university-industry linkages improve curricula towards the knowledge and skills needed by employers.</w:t>
      </w:r>
    </w:p>
    <w:p w14:paraId="021AFE7A" w14:textId="77777777" w:rsidR="0094009D" w:rsidRPr="00E3232D" w:rsidRDefault="0094009D" w:rsidP="007B7052">
      <w:pPr>
        <w:pStyle w:val="ListParagraph"/>
        <w:numPr>
          <w:ilvl w:val="0"/>
          <w:numId w:val="9"/>
        </w:numPr>
        <w:jc w:val="both"/>
        <w:rPr>
          <w:rFonts w:ascii="Book Antiqua" w:hAnsi="Book Antiqua"/>
        </w:rPr>
      </w:pPr>
      <w:r w:rsidRPr="00E3232D">
        <w:rPr>
          <w:rFonts w:ascii="Book Antiqua" w:hAnsi="Book Antiqua"/>
        </w:rPr>
        <w:t>Such linkages are likely also to improve self-employment of graduates as they are exposed to the entrepreneurial spirit.</w:t>
      </w:r>
    </w:p>
    <w:p w14:paraId="60A14E15" w14:textId="77777777" w:rsidR="0094009D" w:rsidRPr="00E3232D" w:rsidRDefault="0094009D" w:rsidP="007B7052">
      <w:pPr>
        <w:ind w:left="720"/>
        <w:jc w:val="both"/>
        <w:rPr>
          <w:rFonts w:ascii="Book Antiqua" w:hAnsi="Book Antiqua"/>
        </w:rPr>
      </w:pPr>
      <w:r w:rsidRPr="00E3232D">
        <w:rPr>
          <w:rFonts w:ascii="Book Antiqua" w:hAnsi="Book Antiqua"/>
        </w:rPr>
        <w:t>However, it would be dangerous to presume that such linkages will solve all the unemployment problems facing African countries today a large part of which is structural in nature emanating from</w:t>
      </w:r>
    </w:p>
    <w:p w14:paraId="273D6B93" w14:textId="77777777" w:rsidR="0094009D" w:rsidRPr="00E3232D" w:rsidRDefault="0094009D" w:rsidP="007B7052">
      <w:pPr>
        <w:pStyle w:val="ListParagraph"/>
        <w:numPr>
          <w:ilvl w:val="0"/>
          <w:numId w:val="10"/>
        </w:numPr>
        <w:jc w:val="both"/>
        <w:rPr>
          <w:rFonts w:ascii="Book Antiqua" w:hAnsi="Book Antiqua"/>
        </w:rPr>
      </w:pPr>
      <w:r w:rsidRPr="00E3232D">
        <w:rPr>
          <w:rFonts w:ascii="Book Antiqua" w:hAnsi="Book Antiqua"/>
        </w:rPr>
        <w:t>Slow growth of economies and growth without jobs when  that growth comes from capital and non-labour intensive sectors like  oil and finance</w:t>
      </w:r>
    </w:p>
    <w:p w14:paraId="7A54BF1D" w14:textId="77777777" w:rsidR="0094009D" w:rsidRPr="00E3232D" w:rsidRDefault="0094009D" w:rsidP="007B7052">
      <w:pPr>
        <w:pStyle w:val="ListParagraph"/>
        <w:numPr>
          <w:ilvl w:val="0"/>
          <w:numId w:val="10"/>
        </w:numPr>
        <w:jc w:val="both"/>
        <w:rPr>
          <w:rFonts w:ascii="Book Antiqua" w:hAnsi="Book Antiqua"/>
        </w:rPr>
      </w:pPr>
      <w:r w:rsidRPr="00E3232D">
        <w:rPr>
          <w:rFonts w:ascii="Book Antiqua" w:hAnsi="Book Antiqua"/>
        </w:rPr>
        <w:t>Collapse of industry especially manufacturing.</w:t>
      </w:r>
    </w:p>
    <w:p w14:paraId="2034BE23" w14:textId="77777777" w:rsidR="0094009D" w:rsidRPr="00E3232D" w:rsidRDefault="0094009D" w:rsidP="007B7052">
      <w:pPr>
        <w:pStyle w:val="ListParagraph"/>
        <w:numPr>
          <w:ilvl w:val="0"/>
          <w:numId w:val="10"/>
        </w:numPr>
        <w:jc w:val="both"/>
        <w:rPr>
          <w:rFonts w:ascii="Book Antiqua" w:hAnsi="Book Antiqua"/>
        </w:rPr>
      </w:pPr>
      <w:r w:rsidRPr="00E3232D">
        <w:rPr>
          <w:rFonts w:ascii="Book Antiqua" w:hAnsi="Book Antiqua"/>
        </w:rPr>
        <w:t>Normal structural imbalance in graduate absorption as a result of lag between production of graduates and development of the economy etc.</w:t>
      </w:r>
    </w:p>
    <w:p w14:paraId="226F0F45" w14:textId="77777777" w:rsidR="0094009D" w:rsidRPr="00E3232D" w:rsidRDefault="0094009D" w:rsidP="007B7052">
      <w:pPr>
        <w:jc w:val="both"/>
        <w:rPr>
          <w:rFonts w:ascii="Book Antiqua" w:hAnsi="Book Antiqua"/>
          <w:b/>
        </w:rPr>
      </w:pPr>
      <w:r w:rsidRPr="00E3232D">
        <w:rPr>
          <w:rFonts w:ascii="Book Antiqua" w:hAnsi="Book Antiqua"/>
        </w:rPr>
        <w:t xml:space="preserve">In other words we must acknowledge that university industry linkages are important for national development, improving funding for universities and orienting some students for specific industries but </w:t>
      </w:r>
      <w:r w:rsidRPr="00E3232D">
        <w:rPr>
          <w:rFonts w:ascii="Book Antiqua" w:hAnsi="Book Antiqua"/>
        </w:rPr>
        <w:lastRenderedPageBreak/>
        <w:t>universities and polytechnics are not technical schools to train specific artisans but high level brains manufacturers producing people able to function generally at the top given short orientation and humility on their part to learn on the job.</w:t>
      </w:r>
    </w:p>
    <w:p w14:paraId="19A999A5" w14:textId="77777777" w:rsidR="0094009D" w:rsidRPr="00791BF2" w:rsidRDefault="00AA032E" w:rsidP="007B7052">
      <w:pPr>
        <w:pStyle w:val="Heading1"/>
        <w:jc w:val="both"/>
        <w:rPr>
          <w:rFonts w:ascii="Book Antiqua" w:hAnsi="Book Antiqua"/>
          <w:sz w:val="24"/>
          <w:szCs w:val="22"/>
        </w:rPr>
      </w:pPr>
      <w:bookmarkStart w:id="10" w:name="_Toc360516725"/>
      <w:r w:rsidRPr="00791BF2">
        <w:rPr>
          <w:rFonts w:ascii="Book Antiqua" w:hAnsi="Book Antiqua"/>
          <w:sz w:val="24"/>
          <w:szCs w:val="22"/>
        </w:rPr>
        <w:t>The State of University-Industry Linkages in Africa</w:t>
      </w:r>
      <w:bookmarkEnd w:id="10"/>
    </w:p>
    <w:p w14:paraId="1A77FEAC" w14:textId="77777777" w:rsidR="008F6BC9" w:rsidRDefault="0094009D" w:rsidP="007B7052">
      <w:pPr>
        <w:jc w:val="both"/>
        <w:rPr>
          <w:rFonts w:ascii="Book Antiqua" w:hAnsi="Book Antiqua"/>
        </w:rPr>
      </w:pPr>
      <w:r w:rsidRPr="00E3232D">
        <w:rPr>
          <w:rFonts w:ascii="Book Antiqua" w:hAnsi="Book Antiqua"/>
        </w:rPr>
        <w:t>Participants, let me conclude by saying that university-industry linkages in Af</w:t>
      </w:r>
      <w:r w:rsidR="00C82D87">
        <w:rPr>
          <w:rFonts w:ascii="Book Antiqua" w:hAnsi="Book Antiqua"/>
        </w:rPr>
        <w:t>rica are generally</w:t>
      </w:r>
      <w:r w:rsidRPr="00E3232D">
        <w:rPr>
          <w:rFonts w:ascii="Book Antiqua" w:hAnsi="Book Antiqua"/>
        </w:rPr>
        <w:t xml:space="preserve"> weak. We must therefore be more concerned about enhancing it. In fact, apart from the Republic of South Africa there is very little by way of university-industry linkages and   improving the situation is urgent. West Africa according the research by Ssebuwufu, et al (2012) has the worst record. Lack of financial support for research by the state, inadequate research infrastructure; lack of entrepreneurial skills and knowledge among academic staff; and lack of established networks with the productive sectors have been identified as the culprits.</w:t>
      </w:r>
    </w:p>
    <w:p w14:paraId="0871DB03" w14:textId="77777777" w:rsidR="0094009D" w:rsidRPr="00E3232D" w:rsidRDefault="0094009D" w:rsidP="007B7052">
      <w:pPr>
        <w:jc w:val="both"/>
        <w:rPr>
          <w:rFonts w:ascii="Book Antiqua" w:hAnsi="Book Antiqua"/>
        </w:rPr>
      </w:pPr>
      <w:r w:rsidRPr="00E3232D">
        <w:rPr>
          <w:rFonts w:ascii="Book Antiqua" w:hAnsi="Book Antiqua"/>
        </w:rPr>
        <w:t xml:space="preserve">In the case of Ghana, apart from the financial sector and mining, the other sectors are witnessing slow growth and in fact manufacturing has been declining sharply as a share of GDP. The economy is increasingly dominated by services. The financial sector which responded well to financial restructuring of the past decade and a half and still growing but financial institutions don’t employ many people; neither do they finance much research in Colleges and Universities. The telecommunication sector has become a </w:t>
      </w:r>
      <w:r w:rsidRPr="00E3232D">
        <w:rPr>
          <w:rFonts w:ascii="Book Antiqua" w:hAnsi="Book Antiqua"/>
        </w:rPr>
        <w:t>multibillion dollar industry but their employments of graduates are limited. It is manufacturers that usually support academic research and the sector in Ghana is highly challenged. Thus, the scope for university industry linkage is falling rather than improving.</w:t>
      </w:r>
    </w:p>
    <w:p w14:paraId="12EBC35B" w14:textId="77777777" w:rsidR="008F6BC9" w:rsidRDefault="0094009D" w:rsidP="007B7052">
      <w:pPr>
        <w:jc w:val="both"/>
        <w:rPr>
          <w:rFonts w:ascii="Book Antiqua" w:hAnsi="Book Antiqua"/>
        </w:rPr>
      </w:pPr>
      <w:r w:rsidRPr="00E3232D">
        <w:rPr>
          <w:rFonts w:ascii="Book Antiqua" w:hAnsi="Book Antiqua"/>
        </w:rPr>
        <w:t>On the other hand, higher institutions have become mainly teaching universities and urgent action is needed to improve research. Without research capacity collaboration with industry is limited. Government must do more than pay single spine salaries. It must provide research support.  However, academic institutions can do more on their own even within the limitations of resources. For example, instead of bemoaning the fact that private universities are focusing on business and ICT which any rational private person would do as initially entry into each business and arts is easier, the public universities must focus on science, technology and research. Soon I expect that universities will follow Central University into the Science and Technology fields. Meanwhile government should insist that Legon, KNUST, polytechnics etc. focus on research, science and technology and leave what the private sector can do now to them. Of course we need to fund the public tertiary institutions with the requisite laboratories and research support.</w:t>
      </w:r>
    </w:p>
    <w:p w14:paraId="79B2358C" w14:textId="77777777" w:rsidR="0094009D" w:rsidRPr="00E3232D" w:rsidRDefault="0094009D" w:rsidP="007B7052">
      <w:pPr>
        <w:jc w:val="both"/>
        <w:rPr>
          <w:rFonts w:ascii="Book Antiqua" w:hAnsi="Book Antiqua"/>
        </w:rPr>
      </w:pPr>
      <w:r w:rsidRPr="00E3232D">
        <w:rPr>
          <w:rFonts w:ascii="Book Antiqua" w:hAnsi="Book Antiqua"/>
        </w:rPr>
        <w:t xml:space="preserve">Meanwhile all of us can do better to make our students employable through our curricula and our teaching such as the use of case studies and simulation. Some of us were taught with chalk and blackboard </w:t>
      </w:r>
      <w:r w:rsidRPr="00E3232D">
        <w:rPr>
          <w:rFonts w:ascii="Book Antiqua" w:hAnsi="Book Antiqua"/>
        </w:rPr>
        <w:lastRenderedPageBreak/>
        <w:t>but were fully employable at the end. The scope to do better that existed then in. In the computer age it is far greater.</w:t>
      </w:r>
    </w:p>
    <w:p w14:paraId="44BD449B" w14:textId="77777777" w:rsidR="0094009D" w:rsidRPr="00791BF2" w:rsidRDefault="00AA032E" w:rsidP="007B7052">
      <w:pPr>
        <w:pStyle w:val="Heading1"/>
        <w:jc w:val="both"/>
        <w:rPr>
          <w:rFonts w:ascii="Book Antiqua" w:hAnsi="Book Antiqua"/>
          <w:sz w:val="26"/>
          <w:szCs w:val="22"/>
        </w:rPr>
      </w:pPr>
      <w:bookmarkStart w:id="11" w:name="_Toc360516726"/>
      <w:r w:rsidRPr="00791BF2">
        <w:rPr>
          <w:rFonts w:ascii="Book Antiqua" w:hAnsi="Book Antiqua"/>
          <w:sz w:val="26"/>
          <w:szCs w:val="22"/>
        </w:rPr>
        <w:t>Conclusion</w:t>
      </w:r>
      <w:bookmarkEnd w:id="11"/>
    </w:p>
    <w:p w14:paraId="2BFDB4D1" w14:textId="77777777" w:rsidR="0094009D" w:rsidRPr="00E3232D" w:rsidRDefault="0094009D" w:rsidP="007B7052">
      <w:pPr>
        <w:autoSpaceDE w:val="0"/>
        <w:autoSpaceDN w:val="0"/>
        <w:adjustRightInd w:val="0"/>
        <w:jc w:val="both"/>
        <w:rPr>
          <w:rFonts w:ascii="Book Antiqua" w:hAnsi="Book Antiqua"/>
          <w:bCs/>
          <w:iCs/>
        </w:rPr>
      </w:pPr>
      <w:r w:rsidRPr="00E3232D">
        <w:rPr>
          <w:rFonts w:ascii="Book Antiqua" w:hAnsi="Book Antiqua"/>
          <w:bCs/>
          <w:iCs/>
        </w:rPr>
        <w:t xml:space="preserve">From the foregoing it is clear that harnessing Ghana’s development potential through industry and academic collaboration is an important part of any strategy to improve the chances of sustainable growth and generation of gainful employment for young graduates. That will help accelerate development of the Ghanaian economy. Improving employment generation capacity of the Ghanaian economy will require strong leadership from the state and collaboration between the government, employers and educational institutions. It is said that charity begins at home. Our tertiary education sector can improve their responsiveness by teaching modern marketable skills, improve their research capacity and be proactive in solving real problems confronting industries. Industry in turn must budget for research and development (R&amp;D) and be willing to fund the relevant departments of academic institutions. Such research has been known to be more economical than building in house stand-alone R&amp;D capacities. </w:t>
      </w:r>
    </w:p>
    <w:p w14:paraId="3F0E8CD8" w14:textId="77777777" w:rsidR="0094009D" w:rsidRPr="00E3232D" w:rsidRDefault="0094009D" w:rsidP="007B7052">
      <w:pPr>
        <w:autoSpaceDE w:val="0"/>
        <w:autoSpaceDN w:val="0"/>
        <w:adjustRightInd w:val="0"/>
        <w:jc w:val="both"/>
        <w:rPr>
          <w:rFonts w:ascii="Book Antiqua" w:hAnsi="Book Antiqua"/>
          <w:bCs/>
          <w:iCs/>
        </w:rPr>
      </w:pPr>
      <w:r w:rsidRPr="00E3232D">
        <w:rPr>
          <w:rFonts w:ascii="Book Antiqua" w:hAnsi="Book Antiqua"/>
          <w:bCs/>
          <w:iCs/>
        </w:rPr>
        <w:t>I thank you.</w:t>
      </w:r>
    </w:p>
    <w:p w14:paraId="2C3E08EC" w14:textId="77777777" w:rsidR="0094009D" w:rsidRPr="00791BF2" w:rsidRDefault="00AA032E" w:rsidP="007B7052">
      <w:pPr>
        <w:pStyle w:val="Heading1"/>
        <w:jc w:val="both"/>
        <w:rPr>
          <w:rFonts w:ascii="Book Antiqua" w:hAnsi="Book Antiqua"/>
          <w:sz w:val="26"/>
          <w:szCs w:val="22"/>
        </w:rPr>
      </w:pPr>
      <w:bookmarkStart w:id="12" w:name="_Toc360516727"/>
      <w:r w:rsidRPr="00791BF2">
        <w:rPr>
          <w:rFonts w:ascii="Book Antiqua" w:hAnsi="Book Antiqua"/>
          <w:sz w:val="26"/>
          <w:szCs w:val="22"/>
        </w:rPr>
        <w:t>Bibliography</w:t>
      </w:r>
      <w:bookmarkEnd w:id="12"/>
    </w:p>
    <w:p w14:paraId="62E90007" w14:textId="77777777" w:rsidR="0094009D" w:rsidRPr="00E3232D" w:rsidRDefault="0094009D" w:rsidP="007B7052">
      <w:pPr>
        <w:jc w:val="both"/>
        <w:rPr>
          <w:rFonts w:ascii="Book Antiqua" w:hAnsi="Book Antiqua"/>
        </w:rPr>
      </w:pPr>
      <w:r w:rsidRPr="00E3232D">
        <w:rPr>
          <w:rFonts w:ascii="Book Antiqua" w:hAnsi="Book Antiqua"/>
        </w:rPr>
        <w:t>UNDESA, 2012. Youth Employment: Youth Perspective and the Pursuit of Decent Work in Changing Times, summary report of UN world youth report: New York.</w:t>
      </w:r>
    </w:p>
    <w:p w14:paraId="1FB2F286" w14:textId="77777777" w:rsidR="0094009D" w:rsidRPr="00E3232D" w:rsidRDefault="0094009D" w:rsidP="007B7052">
      <w:pPr>
        <w:jc w:val="both"/>
        <w:rPr>
          <w:rFonts w:ascii="Book Antiqua" w:hAnsi="Book Antiqua"/>
        </w:rPr>
      </w:pPr>
      <w:r w:rsidRPr="00E3232D">
        <w:rPr>
          <w:rFonts w:ascii="Book Antiqua" w:hAnsi="Book Antiqua"/>
        </w:rPr>
        <w:t>Erika McAsian Fraser, 2011. Helpdesk research report: Youth unemployment and livelihoods, Governance and Social resource Center DFID24.02.11</w:t>
      </w:r>
    </w:p>
    <w:p w14:paraId="2F0EBA53" w14:textId="77777777" w:rsidR="0094009D" w:rsidRPr="00E3232D" w:rsidRDefault="0094009D" w:rsidP="007B7052">
      <w:pPr>
        <w:jc w:val="both"/>
        <w:rPr>
          <w:rFonts w:ascii="Book Antiqua" w:hAnsi="Book Antiqua"/>
        </w:rPr>
      </w:pPr>
      <w:r w:rsidRPr="00E3232D">
        <w:rPr>
          <w:rFonts w:ascii="Book Antiqua" w:hAnsi="Book Antiqua"/>
        </w:rPr>
        <w:t xml:space="preserve">S. Adei &amp; S. Addo, 2007. Introduction to Economics Science. Ghana Universities Press: Accra </w:t>
      </w:r>
    </w:p>
    <w:p w14:paraId="630ECC1B" w14:textId="77777777" w:rsidR="0094009D" w:rsidRPr="00E3232D" w:rsidRDefault="0094009D" w:rsidP="007B7052">
      <w:pPr>
        <w:jc w:val="both"/>
        <w:rPr>
          <w:rFonts w:ascii="Book Antiqua" w:hAnsi="Book Antiqua"/>
        </w:rPr>
      </w:pPr>
      <w:r w:rsidRPr="00E3232D">
        <w:rPr>
          <w:rFonts w:ascii="Book Antiqua" w:hAnsi="Book Antiqua"/>
        </w:rPr>
        <w:t xml:space="preserve">Institute of Social and Economic Research University of Ghana (ISSER) Ghana Social Development Outlook 2012 </w:t>
      </w:r>
    </w:p>
    <w:p w14:paraId="49B90C5D" w14:textId="77777777" w:rsidR="0094009D" w:rsidRPr="00E3232D" w:rsidRDefault="0094009D" w:rsidP="007B7052">
      <w:pPr>
        <w:tabs>
          <w:tab w:val="left" w:pos="2685"/>
        </w:tabs>
        <w:jc w:val="both"/>
        <w:rPr>
          <w:rFonts w:ascii="Book Antiqua" w:hAnsi="Book Antiqua"/>
        </w:rPr>
      </w:pPr>
      <w:r w:rsidRPr="00E3232D">
        <w:rPr>
          <w:rFonts w:ascii="Book Antiqua" w:hAnsi="Book Antiqua"/>
        </w:rPr>
        <w:t>African Development Bank, African Economic Outlook 2012</w:t>
      </w:r>
    </w:p>
    <w:p w14:paraId="5B1C1C7B" w14:textId="77777777" w:rsidR="0094009D" w:rsidRPr="00E3232D" w:rsidRDefault="0094009D" w:rsidP="007B7052">
      <w:pPr>
        <w:jc w:val="both"/>
        <w:rPr>
          <w:rFonts w:ascii="Book Antiqua" w:hAnsi="Book Antiqua"/>
        </w:rPr>
      </w:pPr>
      <w:r w:rsidRPr="00E3232D">
        <w:rPr>
          <w:rFonts w:ascii="Book Antiqua" w:hAnsi="Book Antiqua"/>
        </w:rPr>
        <w:t xml:space="preserve">Baah-Boateng. (2008) “Employment Generation for Poverty Alleviation”. In “Amoako-Tuffour, J Armah. Eds </w:t>
      </w:r>
      <w:r w:rsidRPr="00E3232D">
        <w:rPr>
          <w:rFonts w:ascii="Book Antiqua" w:hAnsi="Book Antiqua"/>
          <w:i/>
        </w:rPr>
        <w:t>Poverty Reduction strategies in action perspectives and lessons from Ghana</w:t>
      </w:r>
      <w:r w:rsidRPr="00E3232D">
        <w:rPr>
          <w:rFonts w:ascii="Book Antiqua" w:hAnsi="Book Antiqua"/>
        </w:rPr>
        <w:t>. Landham Lexington books, pg 223-241.</w:t>
      </w:r>
    </w:p>
    <w:p w14:paraId="607D8C93" w14:textId="77777777" w:rsidR="007B7052" w:rsidRDefault="007B7052" w:rsidP="007B7052">
      <w:pPr>
        <w:jc w:val="both"/>
        <w:rPr>
          <w:rFonts w:ascii="Book Antiqua" w:hAnsi="Book Antiqua"/>
        </w:rPr>
        <w:sectPr w:rsidR="007B7052" w:rsidSect="007B7052">
          <w:type w:val="continuous"/>
          <w:pgSz w:w="11907" w:h="16839" w:code="9"/>
          <w:pgMar w:top="1350" w:right="1440" w:bottom="1440" w:left="1440" w:header="720" w:footer="720" w:gutter="0"/>
          <w:cols w:num="2" w:space="720"/>
          <w:docGrid w:linePitch="360"/>
        </w:sectPr>
      </w:pPr>
    </w:p>
    <w:p w14:paraId="4B86C0D6" w14:textId="77777777" w:rsidR="0094009D" w:rsidRPr="00E3232D" w:rsidRDefault="0094009D" w:rsidP="007B7052">
      <w:pPr>
        <w:jc w:val="both"/>
        <w:rPr>
          <w:rFonts w:ascii="Book Antiqua" w:hAnsi="Book Antiqua"/>
        </w:rPr>
      </w:pPr>
    </w:p>
    <w:p w14:paraId="0BA0BEFE" w14:textId="77777777" w:rsidR="0094009D" w:rsidRPr="00E3232D" w:rsidRDefault="0094009D" w:rsidP="007B7052">
      <w:pPr>
        <w:jc w:val="both"/>
        <w:rPr>
          <w:rFonts w:ascii="Book Antiqua" w:hAnsi="Book Antiqua"/>
        </w:rPr>
      </w:pPr>
    </w:p>
    <w:p w14:paraId="30CBC34E" w14:textId="77777777" w:rsidR="007B7052" w:rsidRPr="00E3232D" w:rsidRDefault="007B7052" w:rsidP="007B7052">
      <w:pPr>
        <w:pStyle w:val="NoSpacing"/>
        <w:spacing w:line="276" w:lineRule="auto"/>
        <w:rPr>
          <w:rFonts w:ascii="Book Antiqua" w:hAnsi="Book Antiqua"/>
        </w:rPr>
        <w:sectPr w:rsidR="007B7052" w:rsidRPr="00E3232D" w:rsidSect="008F6BC9">
          <w:type w:val="continuous"/>
          <w:pgSz w:w="11907" w:h="16839" w:code="9"/>
          <w:pgMar w:top="1350" w:right="1440" w:bottom="1440" w:left="1440" w:header="720" w:footer="720" w:gutter="0"/>
          <w:cols w:space="720"/>
          <w:docGrid w:linePitch="360"/>
        </w:sectPr>
      </w:pPr>
    </w:p>
    <w:p w14:paraId="1410678C" w14:textId="77777777" w:rsidR="00BD3BFA" w:rsidRDefault="00BD3BFA" w:rsidP="007B7052">
      <w:pPr>
        <w:pStyle w:val="NoSpacing"/>
        <w:spacing w:line="276" w:lineRule="auto"/>
        <w:rPr>
          <w:rFonts w:ascii="Book Antiqua" w:hAnsi="Book Antiqua"/>
        </w:rPr>
        <w:sectPr w:rsidR="00BD3BFA" w:rsidSect="008F6BC9">
          <w:type w:val="continuous"/>
          <w:pgSz w:w="11907" w:h="16839" w:code="9"/>
          <w:pgMar w:top="1350" w:right="1440" w:bottom="1440" w:left="1440" w:header="720" w:footer="720" w:gutter="0"/>
          <w:cols w:space="720"/>
          <w:docGrid w:linePitch="360"/>
        </w:sectPr>
      </w:pPr>
    </w:p>
    <w:p w14:paraId="54612207" w14:textId="77777777" w:rsidR="000F0F02" w:rsidRDefault="000F0F02" w:rsidP="007B7052">
      <w:pPr>
        <w:pStyle w:val="NoSpacing"/>
        <w:spacing w:line="276" w:lineRule="auto"/>
        <w:rPr>
          <w:rFonts w:ascii="Book Antiqua" w:hAnsi="Book Antiqua"/>
          <w:b/>
        </w:rPr>
      </w:pPr>
    </w:p>
    <w:p w14:paraId="2D633AEA" w14:textId="77777777" w:rsidR="007B7052" w:rsidRDefault="007B7052" w:rsidP="008275E1">
      <w:pPr>
        <w:pStyle w:val="NoSpacing"/>
        <w:spacing w:line="276" w:lineRule="auto"/>
        <w:jc w:val="center"/>
        <w:rPr>
          <w:rFonts w:ascii="Book Antiqua" w:hAnsi="Book Antiqua"/>
          <w:b/>
        </w:rPr>
      </w:pPr>
    </w:p>
    <w:p w14:paraId="52D7EAB7" w14:textId="77777777" w:rsidR="008561BD" w:rsidRDefault="008561BD" w:rsidP="008275E1">
      <w:pPr>
        <w:pStyle w:val="NoSpacing"/>
        <w:spacing w:line="276" w:lineRule="auto"/>
        <w:jc w:val="center"/>
        <w:rPr>
          <w:rFonts w:ascii="Book Antiqua" w:hAnsi="Book Antiqua"/>
          <w:b/>
        </w:rPr>
      </w:pPr>
    </w:p>
    <w:p w14:paraId="405441CD" w14:textId="77777777" w:rsidR="008561BD" w:rsidRDefault="008561BD" w:rsidP="008275E1">
      <w:pPr>
        <w:pStyle w:val="NoSpacing"/>
        <w:spacing w:line="276" w:lineRule="auto"/>
        <w:jc w:val="center"/>
        <w:rPr>
          <w:rFonts w:ascii="Book Antiqua" w:hAnsi="Book Antiqua"/>
          <w:b/>
        </w:rPr>
      </w:pPr>
    </w:p>
    <w:p w14:paraId="7B6D2EB5" w14:textId="77777777" w:rsidR="00C91233" w:rsidRPr="00CC75E3" w:rsidRDefault="002E24D5" w:rsidP="00791BF2">
      <w:pPr>
        <w:pStyle w:val="NoSpacing"/>
        <w:spacing w:line="276" w:lineRule="auto"/>
        <w:jc w:val="center"/>
        <w:rPr>
          <w:rFonts w:ascii="Book Antiqua" w:hAnsi="Book Antiqua"/>
          <w:sz w:val="26"/>
        </w:rPr>
      </w:pPr>
      <w:r w:rsidRPr="00CC75E3">
        <w:rPr>
          <w:rFonts w:ascii="Book Antiqua" w:hAnsi="Book Antiqua"/>
          <w:b/>
          <w:sz w:val="26"/>
        </w:rPr>
        <w:lastRenderedPageBreak/>
        <w:t>Key</w:t>
      </w:r>
      <w:r w:rsidR="008A226E" w:rsidRPr="00CC75E3">
        <w:rPr>
          <w:rFonts w:ascii="Book Antiqua" w:hAnsi="Book Antiqua"/>
          <w:b/>
          <w:sz w:val="26"/>
        </w:rPr>
        <w:t>n</w:t>
      </w:r>
      <w:r w:rsidRPr="00CC75E3">
        <w:rPr>
          <w:rFonts w:ascii="Book Antiqua" w:hAnsi="Book Antiqua"/>
          <w:b/>
          <w:sz w:val="26"/>
        </w:rPr>
        <w:t xml:space="preserve">ote Address </w:t>
      </w:r>
      <w:r w:rsidR="008A226E" w:rsidRPr="00CC75E3">
        <w:rPr>
          <w:rFonts w:ascii="Book Antiqua" w:hAnsi="Book Antiqua"/>
          <w:b/>
          <w:sz w:val="26"/>
        </w:rPr>
        <w:t xml:space="preserve">I </w:t>
      </w:r>
      <w:r w:rsidR="00C91233" w:rsidRPr="00CC75E3">
        <w:rPr>
          <w:rFonts w:ascii="Book Antiqua" w:hAnsi="Book Antiqua"/>
          <w:b/>
          <w:sz w:val="26"/>
        </w:rPr>
        <w:t xml:space="preserve">on Collaboration between Tertiary Education and Industry: </w:t>
      </w:r>
      <w:r w:rsidR="00791BF2" w:rsidRPr="00CC75E3">
        <w:rPr>
          <w:rFonts w:ascii="Book Antiqua" w:hAnsi="Book Antiqua"/>
          <w:b/>
          <w:sz w:val="26"/>
        </w:rPr>
        <w:t xml:space="preserve">The </w:t>
      </w:r>
      <w:r w:rsidR="00C91233" w:rsidRPr="00CC75E3">
        <w:rPr>
          <w:rFonts w:ascii="Book Antiqua" w:hAnsi="Book Antiqua"/>
          <w:b/>
          <w:sz w:val="26"/>
        </w:rPr>
        <w:t>Missing link</w:t>
      </w:r>
    </w:p>
    <w:p w14:paraId="26A5E2C5" w14:textId="77777777" w:rsidR="002E24D5" w:rsidRPr="00CC75E3" w:rsidRDefault="00AA032E" w:rsidP="007B7052">
      <w:pPr>
        <w:pStyle w:val="NoSpacing"/>
        <w:spacing w:line="276" w:lineRule="auto"/>
        <w:jc w:val="center"/>
        <w:rPr>
          <w:rFonts w:ascii="Book Antiqua" w:hAnsi="Book Antiqua"/>
          <w:sz w:val="26"/>
        </w:rPr>
      </w:pPr>
      <w:r w:rsidRPr="00CC75E3">
        <w:rPr>
          <w:rFonts w:ascii="Book Antiqua" w:hAnsi="Book Antiqua"/>
          <w:sz w:val="26"/>
        </w:rPr>
        <w:t>b</w:t>
      </w:r>
      <w:r w:rsidR="002E24D5" w:rsidRPr="00CC75E3">
        <w:rPr>
          <w:rFonts w:ascii="Book Antiqua" w:hAnsi="Book Antiqua"/>
          <w:sz w:val="26"/>
        </w:rPr>
        <w:t xml:space="preserve">y </w:t>
      </w:r>
    </w:p>
    <w:p w14:paraId="44F973B6" w14:textId="77777777" w:rsidR="002E24D5" w:rsidRPr="00CC75E3" w:rsidRDefault="002E24D5" w:rsidP="008275E1">
      <w:pPr>
        <w:pStyle w:val="NoSpacing"/>
        <w:spacing w:line="276" w:lineRule="auto"/>
        <w:jc w:val="center"/>
        <w:rPr>
          <w:rFonts w:ascii="Book Antiqua" w:hAnsi="Book Antiqua"/>
          <w:b/>
          <w:sz w:val="26"/>
        </w:rPr>
      </w:pPr>
      <w:r w:rsidRPr="00CC75E3">
        <w:rPr>
          <w:rFonts w:ascii="Book Antiqua" w:hAnsi="Book Antiqua"/>
          <w:b/>
          <w:sz w:val="26"/>
        </w:rPr>
        <w:t xml:space="preserve">Mr. Rockson Kwesi Dogbegah </w:t>
      </w:r>
    </w:p>
    <w:p w14:paraId="30D8E648" w14:textId="77777777" w:rsidR="002E24D5" w:rsidRPr="00D17554" w:rsidRDefault="002E24D5" w:rsidP="00AA032E">
      <w:pPr>
        <w:pStyle w:val="NoSpacing"/>
        <w:spacing w:line="276" w:lineRule="auto"/>
        <w:jc w:val="center"/>
        <w:rPr>
          <w:rFonts w:ascii="Book Antiqua" w:hAnsi="Book Antiqua"/>
          <w:noProof/>
          <w:lang w:eastAsia="zh-TW"/>
        </w:rPr>
      </w:pPr>
      <w:r w:rsidRPr="00D17554">
        <w:rPr>
          <w:rFonts w:ascii="Book Antiqua" w:hAnsi="Book Antiqua"/>
          <w:noProof/>
          <w:lang w:eastAsia="zh-TW"/>
        </w:rPr>
        <w:t>Vice President-CIOB, Africa</w:t>
      </w:r>
      <w:r w:rsidR="00C91233" w:rsidRPr="00D17554">
        <w:rPr>
          <w:rFonts w:ascii="Book Antiqua" w:hAnsi="Book Antiqua"/>
          <w:noProof/>
          <w:lang w:eastAsia="zh-TW"/>
        </w:rPr>
        <w:t xml:space="preserve"> and </w:t>
      </w:r>
      <w:r w:rsidRPr="00D17554">
        <w:rPr>
          <w:rFonts w:ascii="Book Antiqua" w:hAnsi="Book Antiqua"/>
          <w:noProof/>
          <w:lang w:eastAsia="zh-TW"/>
        </w:rPr>
        <w:t>Chairman: Berock Ventures Ltd</w:t>
      </w:r>
    </w:p>
    <w:p w14:paraId="0C0737D8" w14:textId="77777777" w:rsidR="002E24D5" w:rsidRPr="00E3232D" w:rsidRDefault="002E24D5" w:rsidP="008275E1">
      <w:pPr>
        <w:pStyle w:val="NoSpacing"/>
        <w:spacing w:line="276" w:lineRule="auto"/>
        <w:jc w:val="center"/>
        <w:rPr>
          <w:rFonts w:ascii="Book Antiqua" w:hAnsi="Book Antiqua"/>
        </w:rPr>
      </w:pPr>
    </w:p>
    <w:p w14:paraId="0BF60B3A" w14:textId="77777777" w:rsidR="002E24D5" w:rsidRPr="00E3232D" w:rsidRDefault="002E24D5" w:rsidP="008275E1">
      <w:pPr>
        <w:pStyle w:val="CM7"/>
        <w:ind w:left="-720" w:firstLine="720"/>
        <w:rPr>
          <w:rFonts w:ascii="Book Antiqua" w:hAnsi="Book Antiqua"/>
          <w:b/>
          <w:color w:val="221E1F"/>
          <w:sz w:val="22"/>
          <w:szCs w:val="22"/>
        </w:rPr>
      </w:pPr>
      <w:r w:rsidRPr="00CC75E3">
        <w:rPr>
          <w:rFonts w:ascii="Book Antiqua" w:hAnsi="Book Antiqua"/>
          <w:b/>
          <w:color w:val="221E1F"/>
          <w:sz w:val="26"/>
          <w:szCs w:val="22"/>
        </w:rPr>
        <w:t>Abstract</w:t>
      </w:r>
    </w:p>
    <w:p w14:paraId="7919548F" w14:textId="77777777" w:rsidR="002E24D5" w:rsidRPr="00E3232D" w:rsidRDefault="002E24D5" w:rsidP="00AA032E">
      <w:pPr>
        <w:pStyle w:val="NoSpacing"/>
        <w:spacing w:line="276" w:lineRule="auto"/>
        <w:jc w:val="both"/>
        <w:rPr>
          <w:rFonts w:ascii="Book Antiqua" w:hAnsi="Book Antiqua"/>
          <w:color w:val="221E1F"/>
          <w:lang w:val="en-GB" w:eastAsia="en-GB"/>
        </w:rPr>
      </w:pPr>
      <w:r w:rsidRPr="00E3232D">
        <w:rPr>
          <w:rFonts w:ascii="Book Antiqua" w:hAnsi="Book Antiqua"/>
          <w:color w:val="221E1F"/>
          <w:lang w:val="en-GB" w:eastAsia="en-GB"/>
        </w:rPr>
        <w:t xml:space="preserve">Despite the global recognition of the strategic importance of collaborations between Higher Education Institutions (HEIs) and industry, it is unfortunate that little success has been achieved in this endeavour, and this is particularly evident in developing countries such as Ghana. Predominantly, anchored on critical synthesis of extant literature augmented by the author’s many years of experience, this paper examines environmental factors militating against HEIs-industry collaborations in Ghana, and provides a discourse on the complex interaction and intersection between these. Findings of the paper reveal a number of strategic issues relating to HEIs-industry collaborations, involving: invisible research collaboration community; lack of research uptake and commercialization mechanisms, inadequate research funding availability, lack of research policy and governmental involvement; absence of technology transfer and knowledge partnership platforms; and absence of innovation ecosystems and communities. Consequently, a framework/model for future HEIS-Industry integration in the Ghanaian context is provided, which brings to knowledge the intersection between context and content of effective HEIS-Industry collaboration. The paper will be of utility to academics and practitioners alike in provoking constructive debate and developments in this discipline. Future research is recommended, to consider critical examination of the effectiveness of HEIs and industry relationships with industry specifics. </w:t>
      </w:r>
    </w:p>
    <w:p w14:paraId="5BCDDD65" w14:textId="77777777" w:rsidR="002E24D5" w:rsidRPr="00E3232D" w:rsidRDefault="002E24D5" w:rsidP="008275E1">
      <w:pPr>
        <w:pStyle w:val="NoSpacing"/>
        <w:spacing w:line="276" w:lineRule="auto"/>
        <w:rPr>
          <w:rFonts w:ascii="Book Antiqua" w:hAnsi="Book Antiqua"/>
          <w:color w:val="221E1F"/>
          <w:lang w:val="en-GB" w:eastAsia="en-GB"/>
        </w:rPr>
      </w:pPr>
    </w:p>
    <w:p w14:paraId="03B357D1" w14:textId="77777777" w:rsidR="002E24D5" w:rsidRPr="00E3232D" w:rsidRDefault="002E24D5" w:rsidP="008275E1">
      <w:pPr>
        <w:rPr>
          <w:rFonts w:ascii="Book Antiqua" w:hAnsi="Book Antiqua"/>
          <w:color w:val="221E1F"/>
          <w:lang w:eastAsia="en-GB"/>
        </w:rPr>
        <w:sectPr w:rsidR="002E24D5" w:rsidRPr="00E3232D" w:rsidSect="008F6BC9">
          <w:type w:val="continuous"/>
          <w:pgSz w:w="11907" w:h="16839" w:code="9"/>
          <w:pgMar w:top="1350" w:right="1440" w:bottom="1440" w:left="1440" w:header="720" w:footer="720" w:gutter="0"/>
          <w:cols w:space="720"/>
          <w:docGrid w:linePitch="360"/>
        </w:sectPr>
      </w:pPr>
      <w:r w:rsidRPr="00E3232D">
        <w:rPr>
          <w:rFonts w:ascii="Book Antiqua" w:hAnsi="Book Antiqua"/>
          <w:b/>
          <w:color w:val="221E1F"/>
          <w:lang w:eastAsia="en-GB"/>
        </w:rPr>
        <w:t>Keywords</w:t>
      </w:r>
      <w:r w:rsidRPr="00E3232D">
        <w:rPr>
          <w:rFonts w:ascii="Book Antiqua" w:hAnsi="Book Antiqua"/>
          <w:color w:val="221E1F"/>
          <w:lang w:eastAsia="en-GB"/>
        </w:rPr>
        <w:t>: Academics</w:t>
      </w:r>
      <w:r w:rsidR="008561BD">
        <w:rPr>
          <w:rFonts w:ascii="Book Antiqua" w:hAnsi="Book Antiqua"/>
          <w:color w:val="221E1F"/>
          <w:lang w:eastAsia="en-GB"/>
        </w:rPr>
        <w:t>;</w:t>
      </w:r>
      <w:r w:rsidRPr="00E3232D">
        <w:rPr>
          <w:rFonts w:ascii="Book Antiqua" w:hAnsi="Book Antiqua"/>
          <w:color w:val="221E1F"/>
          <w:lang w:eastAsia="en-GB"/>
        </w:rPr>
        <w:t xml:space="preserve"> Collaborations</w:t>
      </w:r>
      <w:r w:rsidR="008561BD">
        <w:rPr>
          <w:rFonts w:ascii="Book Antiqua" w:hAnsi="Book Antiqua"/>
          <w:color w:val="221E1F"/>
          <w:lang w:eastAsia="en-GB"/>
        </w:rPr>
        <w:t>;</w:t>
      </w:r>
      <w:r w:rsidR="00FB21C4">
        <w:rPr>
          <w:rFonts w:ascii="Book Antiqua" w:hAnsi="Book Antiqua"/>
          <w:color w:val="221E1F"/>
          <w:lang w:eastAsia="en-GB"/>
        </w:rPr>
        <w:t xml:space="preserve"> HEIs; Practitioners;</w:t>
      </w:r>
      <w:r w:rsidRPr="00E3232D">
        <w:rPr>
          <w:rFonts w:ascii="Book Antiqua" w:hAnsi="Book Antiqua"/>
          <w:color w:val="221E1F"/>
          <w:lang w:eastAsia="en-GB"/>
        </w:rPr>
        <w:t xml:space="preserve"> Tertiary</w:t>
      </w:r>
      <w:r w:rsidR="00FB21C4">
        <w:rPr>
          <w:rFonts w:ascii="Book Antiqua" w:hAnsi="Book Antiqua"/>
          <w:color w:val="221E1F"/>
          <w:lang w:eastAsia="en-GB"/>
        </w:rPr>
        <w:t>;</w:t>
      </w:r>
      <w:r w:rsidRPr="00E3232D">
        <w:rPr>
          <w:rFonts w:ascii="Book Antiqua" w:hAnsi="Book Antiqua"/>
          <w:color w:val="221E1F"/>
          <w:lang w:eastAsia="en-GB"/>
        </w:rPr>
        <w:t xml:space="preserve"> Research</w:t>
      </w:r>
    </w:p>
    <w:p w14:paraId="123CA487" w14:textId="77777777" w:rsidR="00802487" w:rsidRPr="00E3232D" w:rsidRDefault="00802487" w:rsidP="00CF00D0">
      <w:pPr>
        <w:pStyle w:val="CM7"/>
        <w:rPr>
          <w:rFonts w:ascii="Book Antiqua" w:hAnsi="Book Antiqua"/>
          <w:b/>
          <w:color w:val="000000"/>
          <w:sz w:val="22"/>
          <w:szCs w:val="22"/>
        </w:rPr>
        <w:sectPr w:rsidR="00802487" w:rsidRPr="00E3232D" w:rsidSect="008F6BC9">
          <w:footerReference w:type="default" r:id="rId14"/>
          <w:type w:val="continuous"/>
          <w:pgSz w:w="11907" w:h="16839" w:code="9"/>
          <w:pgMar w:top="1440" w:right="1440" w:bottom="1440" w:left="1440" w:header="720" w:footer="720" w:gutter="0"/>
          <w:cols w:space="720"/>
          <w:docGrid w:linePitch="360"/>
        </w:sectPr>
      </w:pPr>
    </w:p>
    <w:p w14:paraId="3B8079FA" w14:textId="77777777" w:rsidR="002E24D5" w:rsidRPr="00E3232D" w:rsidRDefault="002E24D5" w:rsidP="00CF00D0">
      <w:pPr>
        <w:pStyle w:val="CM7"/>
        <w:numPr>
          <w:ilvl w:val="0"/>
          <w:numId w:val="13"/>
        </w:numPr>
        <w:ind w:left="0"/>
        <w:rPr>
          <w:rFonts w:ascii="Book Antiqua" w:hAnsi="Book Antiqua"/>
          <w:b/>
          <w:color w:val="000000"/>
          <w:sz w:val="22"/>
          <w:szCs w:val="22"/>
        </w:rPr>
      </w:pPr>
      <w:r w:rsidRPr="00CC75E3">
        <w:rPr>
          <w:rFonts w:ascii="Book Antiqua" w:hAnsi="Book Antiqua"/>
          <w:b/>
          <w:color w:val="000000"/>
          <w:sz w:val="26"/>
          <w:szCs w:val="22"/>
        </w:rPr>
        <w:t>Introduction</w:t>
      </w:r>
      <w:r w:rsidRPr="00E3232D">
        <w:rPr>
          <w:rFonts w:ascii="Book Antiqua" w:hAnsi="Book Antiqua"/>
          <w:b/>
          <w:color w:val="000000"/>
          <w:sz w:val="22"/>
          <w:szCs w:val="22"/>
        </w:rPr>
        <w:t xml:space="preserve"> </w:t>
      </w:r>
    </w:p>
    <w:p w14:paraId="4AD448BB" w14:textId="77777777" w:rsidR="004059E9" w:rsidRPr="008561BD" w:rsidRDefault="002E24D5" w:rsidP="00CF00D0">
      <w:pPr>
        <w:pStyle w:val="NormalWeb"/>
        <w:spacing w:line="276" w:lineRule="auto"/>
        <w:jc w:val="both"/>
        <w:rPr>
          <w:rFonts w:ascii="Book Antiqua" w:hAnsi="Book Antiqua"/>
          <w:color w:val="221E1F"/>
          <w:sz w:val="22"/>
          <w:szCs w:val="22"/>
        </w:rPr>
      </w:pPr>
      <w:r w:rsidRPr="008561BD">
        <w:rPr>
          <w:rFonts w:ascii="Book Antiqua" w:hAnsi="Book Antiqua"/>
          <w:color w:val="221E1F"/>
          <w:sz w:val="22"/>
          <w:szCs w:val="22"/>
        </w:rPr>
        <w:t>Chairman, invited participants, ladies and gentlemen, I feel honoured to be invited to this important research conference on the theme: “Building a responsive tertiary education sector: Effective collaboration with industry for national development.”  I have been asked to speak on the Sub-</w:t>
      </w:r>
      <w:r w:rsidRPr="008561BD">
        <w:rPr>
          <w:rFonts w:ascii="Book Antiqua" w:hAnsi="Book Antiqua"/>
          <w:color w:val="221E1F"/>
          <w:sz w:val="22"/>
          <w:szCs w:val="22"/>
        </w:rPr>
        <w:t>Theme, “Collaboration between tertiary education and industry: the missing link".</w:t>
      </w:r>
    </w:p>
    <w:p w14:paraId="4CF710C3" w14:textId="77777777" w:rsidR="002E24D5" w:rsidRPr="00E3232D" w:rsidRDefault="002E24D5" w:rsidP="00CF00D0">
      <w:pPr>
        <w:jc w:val="both"/>
        <w:rPr>
          <w:rFonts w:ascii="Book Antiqua" w:hAnsi="Book Antiqua"/>
          <w:color w:val="221E1F"/>
          <w:lang w:eastAsia="en-GB"/>
        </w:rPr>
      </w:pPr>
      <w:r w:rsidRPr="00E3232D">
        <w:rPr>
          <w:rFonts w:ascii="Book Antiqua" w:hAnsi="Book Antiqua"/>
          <w:color w:val="221E1F"/>
          <w:lang w:eastAsia="en-GB"/>
        </w:rPr>
        <w:t>The information boom, the ever-increasing desire to improve performance and the competing edge for development among academic faculties has necessitated innovative collaborations between tertiary education and Industries all over the world. Also, at the dawn of the 21</w:t>
      </w:r>
      <w:r w:rsidRPr="00E3232D">
        <w:rPr>
          <w:rFonts w:ascii="Book Antiqua" w:hAnsi="Book Antiqua"/>
          <w:color w:val="221E1F"/>
          <w:vertAlign w:val="superscript"/>
          <w:lang w:eastAsia="en-GB"/>
        </w:rPr>
        <w:t>st</w:t>
      </w:r>
      <w:r w:rsidRPr="00E3232D">
        <w:rPr>
          <w:rFonts w:ascii="Book Antiqua" w:hAnsi="Book Antiqua"/>
          <w:color w:val="221E1F"/>
          <w:lang w:eastAsia="en-GB"/>
        </w:rPr>
        <w:t xml:space="preserve"> century, i</w:t>
      </w:r>
      <w:r w:rsidRPr="00E3232D">
        <w:rPr>
          <w:rFonts w:ascii="Book Antiqua" w:hAnsi="Book Antiqua"/>
          <w:color w:val="221E1F"/>
        </w:rPr>
        <w:t xml:space="preserve">ndustry is increasingly looking </w:t>
      </w:r>
      <w:r w:rsidRPr="00E3232D">
        <w:rPr>
          <w:rFonts w:ascii="Book Antiqua" w:hAnsi="Book Antiqua"/>
          <w:color w:val="221E1F"/>
        </w:rPr>
        <w:lastRenderedPageBreak/>
        <w:t xml:space="preserve">to tertiary education as a source of innovation and competitive advantage, in an attempt to address the competitive pressures inherent in their operating environment. </w:t>
      </w:r>
      <w:r w:rsidRPr="00E3232D">
        <w:rPr>
          <w:rFonts w:ascii="Book Antiqua" w:hAnsi="Book Antiqua"/>
          <w:color w:val="221E1F"/>
          <w:lang w:eastAsia="en-GB"/>
        </w:rPr>
        <w:t xml:space="preserve">In view of this, the edge to collaborations has been intensified to the extent that many faculties of tertiary education in the developed world notably the UK and the USA are now linking faculty promotions to institutional and industrial collaborations; and the amount of research funds attracted as key output indicators. This widely accepted strategy for faculty promotion is so because it is recognized that links, partnership and collaborations with tertiary education institutions and industry around the world is essential to their ability to prosper and remain competitive, and drive economic growth. </w:t>
      </w:r>
    </w:p>
    <w:p w14:paraId="3D4AF915" w14:textId="77777777" w:rsidR="002E24D5" w:rsidRPr="00E3232D" w:rsidRDefault="002E24D5" w:rsidP="00CF00D0">
      <w:pPr>
        <w:jc w:val="both"/>
        <w:rPr>
          <w:rFonts w:ascii="Book Antiqua" w:hAnsi="Book Antiqua"/>
          <w:color w:val="221E1F"/>
          <w:lang w:eastAsia="en-GB"/>
        </w:rPr>
      </w:pPr>
      <w:r w:rsidRPr="00E3232D">
        <w:rPr>
          <w:rFonts w:ascii="Book Antiqua" w:hAnsi="Book Antiqua"/>
          <w:color w:val="221E1F"/>
        </w:rPr>
        <w:t xml:space="preserve">At the same time, tertiary education institutions are becoming more aware of the value of knowledge and seek more opportunities to interface with industry. While one might expect a high degree of mutual interdependence between the two sides, literature is highly critical of the extent of industry-academia alignment, suggesting that much of the teaching and research carried out in tertiary education institutions such as polytechnics and universities fail to meet the needs of industry. </w:t>
      </w:r>
    </w:p>
    <w:p w14:paraId="00427838" w14:textId="77777777" w:rsidR="002E24D5" w:rsidRPr="00BD3BFA" w:rsidRDefault="002E24D5" w:rsidP="00CF00D0">
      <w:pPr>
        <w:pStyle w:val="CM7"/>
        <w:rPr>
          <w:rFonts w:ascii="Book Antiqua" w:hAnsi="Book Antiqua"/>
          <w:color w:val="221E1F"/>
          <w:sz w:val="22"/>
          <w:szCs w:val="22"/>
        </w:rPr>
      </w:pPr>
      <w:r w:rsidRPr="00E3232D">
        <w:rPr>
          <w:rFonts w:ascii="Book Antiqua" w:hAnsi="Book Antiqua"/>
          <w:color w:val="221E1F"/>
          <w:sz w:val="22"/>
          <w:szCs w:val="22"/>
        </w:rPr>
        <w:t xml:space="preserve">To date, research has tended to focus on knowledge management rather than the impact of knowledge on industrial performance; most industrial research is about ‘know what’ rather than ‘know how’; there is an over-reliance on theory to the virtual exclusion of practitioner </w:t>
      </w:r>
      <w:r w:rsidRPr="00E3232D">
        <w:rPr>
          <w:rFonts w:ascii="Book Antiqua" w:hAnsi="Book Antiqua"/>
          <w:color w:val="221E1F"/>
          <w:sz w:val="22"/>
          <w:szCs w:val="22"/>
        </w:rPr>
        <w:t xml:space="preserve">utility; and there are limited effective conduits between academics and industrialists.  As a result, few industrialists read studies published in the principal high ranking strategic academic journals and instead largely focus on a small number of high proﬁle non-academic authors in the trade journals and in best-selling books. The problem with taking this simplistic approach, though, is that the challenges of implementation are insufﬁciently understood and many companies fail to distinguish between operational effectiveness and strategy as they are increasingly driven by conditions emanating from a volatile operating environment. </w:t>
      </w:r>
    </w:p>
    <w:p w14:paraId="110AAACD" w14:textId="77777777" w:rsidR="002E24D5" w:rsidRPr="00E3232D" w:rsidRDefault="002E24D5" w:rsidP="00CF00D0">
      <w:pPr>
        <w:pStyle w:val="CM7"/>
        <w:rPr>
          <w:rFonts w:ascii="Book Antiqua" w:hAnsi="Book Antiqua"/>
          <w:color w:val="221E1F"/>
          <w:sz w:val="22"/>
          <w:szCs w:val="22"/>
        </w:rPr>
      </w:pPr>
      <w:r w:rsidRPr="00E3232D">
        <w:rPr>
          <w:rFonts w:ascii="Book Antiqua" w:hAnsi="Book Antiqua"/>
          <w:color w:val="221E1F"/>
          <w:sz w:val="22"/>
          <w:szCs w:val="22"/>
        </w:rPr>
        <w:t>There are factors on both sides that provide good reasons for academics and industrialists to work more closely together. Industries are facing harsh decisions in the quest for competitive advantage while at the same time academia has the potential to be a fruitful source of ideas and innovation.</w:t>
      </w:r>
    </w:p>
    <w:p w14:paraId="614745A0" w14:textId="77777777" w:rsidR="002E24D5" w:rsidRPr="00E3232D" w:rsidRDefault="002E24D5" w:rsidP="00CF00D0">
      <w:pPr>
        <w:pStyle w:val="CM7"/>
        <w:rPr>
          <w:rFonts w:ascii="Book Antiqua" w:hAnsi="Book Antiqua"/>
          <w:color w:val="221E1F"/>
          <w:sz w:val="22"/>
          <w:szCs w:val="22"/>
        </w:rPr>
      </w:pPr>
      <w:r w:rsidRPr="00E3232D">
        <w:rPr>
          <w:rFonts w:ascii="Book Antiqua" w:hAnsi="Book Antiqua"/>
          <w:color w:val="221E1F"/>
          <w:sz w:val="22"/>
          <w:szCs w:val="22"/>
        </w:rPr>
        <w:t xml:space="preserve">In the same vein, tertiary education is facing changing demands from stakeholders to become more industry-facing and is increasingly becoming dependent on private sector funding. The majority of studies and reports support the concept of collaboration between academia and industry as the way forward (Lambert, 2003). </w:t>
      </w:r>
    </w:p>
    <w:p w14:paraId="0646FA74" w14:textId="77777777" w:rsidR="002E24D5" w:rsidRPr="00E3232D" w:rsidRDefault="002E24D5" w:rsidP="00CF00D0">
      <w:pPr>
        <w:pStyle w:val="CM7"/>
        <w:spacing w:after="0"/>
        <w:rPr>
          <w:rFonts w:ascii="Book Antiqua" w:hAnsi="Book Antiqua"/>
          <w:color w:val="221E1F"/>
          <w:sz w:val="22"/>
          <w:szCs w:val="22"/>
        </w:rPr>
      </w:pPr>
      <w:r w:rsidRPr="00E3232D">
        <w:rPr>
          <w:rFonts w:ascii="Book Antiqua" w:hAnsi="Book Antiqua"/>
          <w:color w:val="221E1F"/>
          <w:sz w:val="22"/>
          <w:szCs w:val="22"/>
        </w:rPr>
        <w:t xml:space="preserve">Bennis and O’Toole (2005, p. 103) sum up by stating that ‘‘things would not improve until professors see that they have as much responsibility for educating professionals to make practical decisions </w:t>
      </w:r>
      <w:r w:rsidRPr="00E3232D">
        <w:rPr>
          <w:rFonts w:ascii="Book Antiqua" w:hAnsi="Book Antiqua"/>
          <w:color w:val="221E1F"/>
          <w:sz w:val="22"/>
          <w:szCs w:val="22"/>
        </w:rPr>
        <w:lastRenderedPageBreak/>
        <w:t>as they do for advancing the state of scientiﬁc knowledge.’’ However, it could be argued that it is easy to reach this consensus but quite another matter to engage industrialists in in-depth research of a prolonged duration. Starkey and Madan (2001) point out the knowledge gap that exists in relation to the lack</w:t>
      </w:r>
      <w:r w:rsidR="009450B6">
        <w:rPr>
          <w:rFonts w:ascii="Book Antiqua" w:hAnsi="Book Antiqua"/>
          <w:color w:val="221E1F"/>
          <w:sz w:val="22"/>
          <w:szCs w:val="22"/>
        </w:rPr>
        <w:t xml:space="preserve"> of models of collaborative </w:t>
      </w:r>
      <w:r w:rsidRPr="00E3232D">
        <w:rPr>
          <w:rFonts w:ascii="Book Antiqua" w:hAnsi="Book Antiqua"/>
          <w:color w:val="221E1F"/>
          <w:sz w:val="22"/>
          <w:szCs w:val="22"/>
        </w:rPr>
        <w:t>research and its</w:t>
      </w:r>
      <w:r w:rsidR="00CF00D0">
        <w:rPr>
          <w:rFonts w:ascii="Book Antiqua" w:hAnsi="Book Antiqua"/>
          <w:color w:val="221E1F"/>
          <w:sz w:val="22"/>
          <w:szCs w:val="22"/>
        </w:rPr>
        <w:t xml:space="preserve"> </w:t>
      </w:r>
      <w:r w:rsidRPr="00E3232D">
        <w:rPr>
          <w:rFonts w:ascii="Book Antiqua" w:hAnsi="Book Antiqua"/>
          <w:color w:val="221E1F"/>
          <w:sz w:val="22"/>
          <w:szCs w:val="22"/>
        </w:rPr>
        <w:t>dissemination.</w:t>
      </w:r>
    </w:p>
    <w:p w14:paraId="6C02EC56" w14:textId="77777777" w:rsidR="00CF00D0" w:rsidRDefault="00CF00D0" w:rsidP="00CF00D0">
      <w:pPr>
        <w:pStyle w:val="CM7"/>
        <w:rPr>
          <w:rFonts w:ascii="Book Antiqua" w:hAnsi="Book Antiqua"/>
          <w:color w:val="221E1F"/>
          <w:sz w:val="22"/>
          <w:szCs w:val="22"/>
        </w:rPr>
      </w:pPr>
    </w:p>
    <w:p w14:paraId="473181EC" w14:textId="77777777" w:rsidR="002E24D5" w:rsidRPr="00CF00D0" w:rsidRDefault="002E24D5" w:rsidP="00CF00D0">
      <w:pPr>
        <w:pStyle w:val="CM7"/>
        <w:rPr>
          <w:rFonts w:ascii="Book Antiqua" w:hAnsi="Book Antiqua"/>
          <w:color w:val="221E1F"/>
          <w:sz w:val="22"/>
          <w:szCs w:val="22"/>
        </w:rPr>
      </w:pPr>
      <w:r w:rsidRPr="00E3232D">
        <w:rPr>
          <w:rFonts w:ascii="Book Antiqua" w:hAnsi="Book Antiqua"/>
          <w:color w:val="221E1F"/>
          <w:sz w:val="22"/>
          <w:szCs w:val="22"/>
        </w:rPr>
        <w:t xml:space="preserve">My presentation will therefore focus on; </w:t>
      </w:r>
      <w:r w:rsidRPr="00E3232D">
        <w:rPr>
          <w:rFonts w:ascii="Book Antiqua" w:hAnsi="Book Antiqua"/>
          <w:b/>
          <w:color w:val="000000"/>
          <w:sz w:val="22"/>
          <w:szCs w:val="22"/>
        </w:rPr>
        <w:t>The Need for A</w:t>
      </w:r>
      <w:r w:rsidR="00C07BDF">
        <w:rPr>
          <w:rFonts w:ascii="Book Antiqua" w:hAnsi="Book Antiqua"/>
          <w:b/>
          <w:color w:val="000000"/>
          <w:sz w:val="22"/>
          <w:szCs w:val="22"/>
        </w:rPr>
        <w:t xml:space="preserve">cademic-Industry Collaboration; </w:t>
      </w:r>
      <w:r w:rsidR="00C07BDF" w:rsidRPr="00E3232D">
        <w:rPr>
          <w:rFonts w:ascii="Book Antiqua" w:hAnsi="Book Antiqua"/>
          <w:b/>
          <w:color w:val="000000"/>
          <w:sz w:val="22"/>
          <w:szCs w:val="22"/>
        </w:rPr>
        <w:t>the</w:t>
      </w:r>
      <w:r w:rsidR="00C07BDF">
        <w:rPr>
          <w:rFonts w:ascii="Book Antiqua" w:hAnsi="Book Antiqua"/>
          <w:b/>
          <w:color w:val="000000"/>
          <w:sz w:val="22"/>
          <w:szCs w:val="22"/>
        </w:rPr>
        <w:t xml:space="preserve"> Missing </w:t>
      </w:r>
      <w:r w:rsidRPr="00E3232D">
        <w:rPr>
          <w:rFonts w:ascii="Book Antiqua" w:hAnsi="Book Antiqua"/>
          <w:b/>
          <w:color w:val="000000"/>
          <w:sz w:val="22"/>
          <w:szCs w:val="22"/>
        </w:rPr>
        <w:t>links-Divergence and Convergence points will be discussed; The Role of Tertiary Institutions in Bridging th</w:t>
      </w:r>
      <w:r w:rsidR="00C07BDF">
        <w:rPr>
          <w:rFonts w:ascii="Book Antiqua" w:hAnsi="Book Antiqua"/>
          <w:b/>
          <w:color w:val="000000"/>
          <w:sz w:val="22"/>
          <w:szCs w:val="22"/>
        </w:rPr>
        <w:t xml:space="preserve">e Gaps and a model recommended </w:t>
      </w:r>
      <w:r w:rsidRPr="00E3232D">
        <w:rPr>
          <w:rFonts w:ascii="Book Antiqua" w:hAnsi="Book Antiqua"/>
          <w:b/>
          <w:color w:val="000000"/>
          <w:sz w:val="22"/>
          <w:szCs w:val="22"/>
        </w:rPr>
        <w:t xml:space="preserve">for effective Collaboration and Partnerships.  </w:t>
      </w:r>
    </w:p>
    <w:p w14:paraId="51521D1D" w14:textId="77777777" w:rsidR="002E24D5" w:rsidRPr="00E3232D" w:rsidRDefault="002E24D5" w:rsidP="00CF00D0">
      <w:pPr>
        <w:pStyle w:val="CM7"/>
        <w:numPr>
          <w:ilvl w:val="0"/>
          <w:numId w:val="13"/>
        </w:numPr>
        <w:rPr>
          <w:rFonts w:ascii="Book Antiqua" w:hAnsi="Book Antiqua"/>
          <w:color w:val="221E1F"/>
          <w:sz w:val="22"/>
          <w:szCs w:val="22"/>
        </w:rPr>
      </w:pPr>
      <w:r w:rsidRPr="00E3232D">
        <w:rPr>
          <w:rFonts w:ascii="Book Antiqua" w:hAnsi="Book Antiqua"/>
          <w:color w:val="221E1F"/>
          <w:sz w:val="22"/>
          <w:szCs w:val="22"/>
        </w:rPr>
        <w:t xml:space="preserve"> </w:t>
      </w:r>
      <w:r w:rsidR="0059497C" w:rsidRPr="00E3232D">
        <w:rPr>
          <w:rFonts w:ascii="Book Antiqua" w:hAnsi="Book Antiqua"/>
          <w:b/>
          <w:color w:val="000000"/>
          <w:sz w:val="22"/>
          <w:szCs w:val="22"/>
        </w:rPr>
        <w:t xml:space="preserve">The Need for </w:t>
      </w:r>
      <w:r w:rsidRPr="00E3232D">
        <w:rPr>
          <w:rFonts w:ascii="Book Antiqua" w:hAnsi="Book Antiqua"/>
          <w:b/>
          <w:color w:val="000000"/>
          <w:sz w:val="22"/>
          <w:szCs w:val="22"/>
        </w:rPr>
        <w:t xml:space="preserve">Academic-Industry Collaboration </w:t>
      </w:r>
    </w:p>
    <w:p w14:paraId="5633CE54" w14:textId="77777777" w:rsidR="009450B6" w:rsidRPr="00E3232D" w:rsidRDefault="002E24D5" w:rsidP="00CF00D0">
      <w:pPr>
        <w:jc w:val="both"/>
        <w:rPr>
          <w:rFonts w:ascii="Book Antiqua" w:hAnsi="Book Antiqua"/>
        </w:rPr>
      </w:pPr>
      <w:r w:rsidRPr="00E3232D">
        <w:rPr>
          <w:rFonts w:ascii="Book Antiqua" w:hAnsi="Book Antiqua"/>
        </w:rPr>
        <w:t>It is well recognized that the propensity of tertiary education to develop requires bringing on board the knowledge and experience of faculties together by interacting towards a common goal in the best interest of honing the capacities of staff and students (</w:t>
      </w:r>
      <w:r w:rsidRPr="00E3232D">
        <w:rPr>
          <w:rFonts w:ascii="Book Antiqua" w:hAnsi="Book Antiqua"/>
          <w:i/>
        </w:rPr>
        <w:t>c.f.</w:t>
      </w:r>
      <w:r w:rsidRPr="00E3232D">
        <w:rPr>
          <w:rFonts w:ascii="Book Antiqua" w:hAnsi="Book Antiqua"/>
        </w:rPr>
        <w:t xml:space="preserve"> Bunoti, 2011). With this endeavour, innovative collaborations between tertiary educational faculties locally and internationally; and collaborations between tertiary education and industry have been a recursive process where the institutions involved work together in an intersection of common goals that is creative in nature, by sharing knowledge, lifelong learning, building consensus and enhancing performance(</w:t>
      </w:r>
      <w:r w:rsidRPr="00E3232D">
        <w:rPr>
          <w:rFonts w:ascii="Book Antiqua" w:hAnsi="Book Antiqua"/>
          <w:i/>
        </w:rPr>
        <w:t>c.f.</w:t>
      </w:r>
      <w:r w:rsidRPr="00E3232D">
        <w:rPr>
          <w:rFonts w:ascii="Book Antiqua" w:hAnsi="Book Antiqua"/>
        </w:rPr>
        <w:t xml:space="preserve"> Saad and Zawdie, 2011).  It also holds that enhancing the </w:t>
      </w:r>
      <w:r w:rsidRPr="00E3232D">
        <w:rPr>
          <w:rFonts w:ascii="Book Antiqua" w:hAnsi="Book Antiqua"/>
        </w:rPr>
        <w:t xml:space="preserve">performance of tertiary education in terms of innovations, teaching, research and making direct positive impact in the commercial world </w:t>
      </w:r>
      <w:r w:rsidRPr="00E3232D">
        <w:rPr>
          <w:rFonts w:ascii="Book Antiqua" w:hAnsi="Book Antiqua"/>
          <w:lang w:eastAsia="en-GB"/>
        </w:rPr>
        <w:t>has been a national priority that is strongly endorsed by</w:t>
      </w:r>
      <w:r w:rsidRPr="00E3232D">
        <w:rPr>
          <w:rFonts w:ascii="Book Antiqua" w:hAnsi="Book Antiqua"/>
        </w:rPr>
        <w:t xml:space="preserve"> all tertiary educational institutions throughout the world. </w:t>
      </w:r>
    </w:p>
    <w:p w14:paraId="1C7F62D4" w14:textId="77777777" w:rsidR="002E24D5" w:rsidRPr="00E3232D" w:rsidRDefault="002E24D5" w:rsidP="00CF00D0">
      <w:pPr>
        <w:jc w:val="both"/>
        <w:rPr>
          <w:rFonts w:ascii="Book Antiqua" w:hAnsi="Book Antiqua"/>
        </w:rPr>
      </w:pPr>
      <w:r w:rsidRPr="00E3232D">
        <w:rPr>
          <w:rFonts w:ascii="Book Antiqua" w:hAnsi="Book Antiqua"/>
        </w:rPr>
        <w:t xml:space="preserve">Amidst this fast pace of collaborations, innovation has become one of the principal competitive tools which industries can use to achieve greater market penetration and increasing profitability. However, despite the importance of innovation tagged on industry competitiveness, most industries are still confronted with the challenge of stimulating innovation activities; and implementation of innovations has become almost a fiasco (Stückelberger,2012  ). </w:t>
      </w:r>
    </w:p>
    <w:p w14:paraId="5DFF3196" w14:textId="77777777" w:rsidR="002E24D5" w:rsidRDefault="002E24D5" w:rsidP="00CF00D0">
      <w:pPr>
        <w:jc w:val="both"/>
        <w:rPr>
          <w:rFonts w:ascii="Book Antiqua" w:hAnsi="Book Antiqua"/>
        </w:rPr>
      </w:pPr>
      <w:r w:rsidRPr="00E3232D">
        <w:rPr>
          <w:rFonts w:ascii="Book Antiqua" w:hAnsi="Book Antiqua"/>
        </w:rPr>
        <w:t>Again, regardless of the global recognition of the strategic importance of tertiary education and industrial collaborations, it is sad that little success has been achieved in this endeavour by most Higher Educational Institutions (HEIs) such as polytechnics and universities. In the face of growing global competition, it is crucial that the tertiary education continues to exploit its reputation for high research quality, improve its attraction for inward investors and potential partners and capitalise on its core competencies to be the hub of industrial research and innovation activities in the sub-region. It is against this backdrop that the sub-theme</w:t>
      </w:r>
      <w:r w:rsidRPr="00E3232D">
        <w:rPr>
          <w:rFonts w:ascii="Book Antiqua" w:hAnsi="Book Antiqua"/>
          <w:b/>
          <w:i/>
        </w:rPr>
        <w:t xml:space="preserve"> “Collaboration between Tertiary Education and Industry: the Missing Link”</w:t>
      </w:r>
      <w:r w:rsidRPr="00E3232D">
        <w:rPr>
          <w:rFonts w:ascii="Book Antiqua" w:hAnsi="Book Antiqua"/>
        </w:rPr>
        <w:t xml:space="preserve"> is appropriate and timely at this </w:t>
      </w:r>
      <w:r w:rsidRPr="00E3232D">
        <w:rPr>
          <w:rFonts w:ascii="Book Antiqua" w:hAnsi="Book Antiqua"/>
        </w:rPr>
        <w:lastRenderedPageBreak/>
        <w:t xml:space="preserve">juncture in the developmental agenda of the nation. </w:t>
      </w:r>
    </w:p>
    <w:p w14:paraId="221E27C7" w14:textId="77777777" w:rsidR="00CF00D0" w:rsidRPr="00E3232D" w:rsidRDefault="00CF00D0" w:rsidP="00CF00D0">
      <w:pPr>
        <w:jc w:val="both"/>
        <w:rPr>
          <w:rFonts w:ascii="Book Antiqua" w:hAnsi="Book Antiqua"/>
        </w:rPr>
      </w:pPr>
    </w:p>
    <w:p w14:paraId="79E8C06D" w14:textId="77777777" w:rsidR="002E24D5" w:rsidRPr="00CC75E3" w:rsidRDefault="002E24D5" w:rsidP="00CF00D0">
      <w:pPr>
        <w:pStyle w:val="CM7"/>
        <w:numPr>
          <w:ilvl w:val="0"/>
          <w:numId w:val="13"/>
        </w:numPr>
        <w:rPr>
          <w:rFonts w:ascii="Book Antiqua" w:hAnsi="Book Antiqua"/>
          <w:b/>
          <w:color w:val="000000"/>
          <w:szCs w:val="22"/>
        </w:rPr>
      </w:pPr>
      <w:r w:rsidRPr="00CC75E3">
        <w:rPr>
          <w:rFonts w:ascii="Book Antiqua" w:hAnsi="Book Antiqua"/>
          <w:b/>
          <w:color w:val="000000"/>
          <w:szCs w:val="22"/>
        </w:rPr>
        <w:t>The Divergence of Academic-Industry Collaborations: The Missing Links</w:t>
      </w:r>
    </w:p>
    <w:p w14:paraId="712B0C35" w14:textId="77777777" w:rsidR="002E24D5" w:rsidRPr="00E3232D" w:rsidRDefault="002E24D5" w:rsidP="00CF00D0">
      <w:pPr>
        <w:pStyle w:val="Default"/>
        <w:rPr>
          <w:rFonts w:ascii="Book Antiqua" w:hAnsi="Book Antiqua"/>
          <w:b/>
          <w:i/>
          <w:sz w:val="22"/>
          <w:szCs w:val="22"/>
        </w:rPr>
      </w:pPr>
      <w:r w:rsidRPr="009450B6">
        <w:rPr>
          <w:rFonts w:ascii="Book Antiqua" w:hAnsi="Book Antiqua"/>
          <w:b/>
          <w:sz w:val="22"/>
          <w:szCs w:val="22"/>
        </w:rPr>
        <w:t xml:space="preserve">3.1 </w:t>
      </w:r>
      <w:r w:rsidRPr="009450B6">
        <w:rPr>
          <w:rFonts w:ascii="Book Antiqua" w:hAnsi="Book Antiqua"/>
          <w:b/>
          <w:sz w:val="22"/>
          <w:szCs w:val="22"/>
        </w:rPr>
        <w:tab/>
        <w:t>Research Collaborations</w:t>
      </w:r>
    </w:p>
    <w:p w14:paraId="1B803BC7" w14:textId="77777777" w:rsidR="002E24D5" w:rsidRPr="00E3232D" w:rsidRDefault="002E24D5" w:rsidP="00CF00D0">
      <w:pPr>
        <w:pStyle w:val="Default"/>
        <w:rPr>
          <w:rFonts w:ascii="Book Antiqua" w:hAnsi="Book Antiqua"/>
          <w:sz w:val="22"/>
          <w:szCs w:val="22"/>
        </w:rPr>
      </w:pPr>
      <w:r w:rsidRPr="00E3232D">
        <w:rPr>
          <w:rFonts w:ascii="Book Antiqua" w:hAnsi="Book Antiqua"/>
          <w:sz w:val="22"/>
          <w:szCs w:val="22"/>
        </w:rPr>
        <w:t>Collaborations are very important in pursuing a noble agenda of development mainly in industry. Over the years, industry has remained a major consumer of tertiary educational products, hence the need for a pragmatic divergence of the academia and industry. This noble aspiration has been a mirage for many years especially on the African continent as a result of key missing links.</w:t>
      </w:r>
    </w:p>
    <w:p w14:paraId="2181F1C6" w14:textId="77777777" w:rsidR="002E24D5" w:rsidRPr="00E3232D" w:rsidRDefault="002E24D5" w:rsidP="00CF00D0">
      <w:pPr>
        <w:pStyle w:val="Default"/>
        <w:rPr>
          <w:rFonts w:ascii="Book Antiqua" w:hAnsi="Book Antiqua"/>
          <w:sz w:val="22"/>
          <w:szCs w:val="22"/>
        </w:rPr>
      </w:pPr>
      <w:r w:rsidRPr="00E3232D">
        <w:rPr>
          <w:rFonts w:ascii="Book Antiqua" w:hAnsi="Book Antiqua"/>
          <w:sz w:val="22"/>
          <w:szCs w:val="22"/>
        </w:rPr>
        <w:t xml:space="preserve">It is widely accepted that research collaborations are excellent and should be wholly accepted (Katz and Martin, 1997). Research collaborations span from active participation in a research endeavour to the provision of insight, mentorship and advice to further the course of a particular research agenda; this is however one of the missing links in academic-industry research, thereby hampering the divergence of the two entities. </w:t>
      </w:r>
    </w:p>
    <w:p w14:paraId="1125006A" w14:textId="77777777" w:rsidR="002E24D5" w:rsidRPr="00E3232D" w:rsidRDefault="002E24D5" w:rsidP="00CF00D0">
      <w:pPr>
        <w:pStyle w:val="Default"/>
        <w:rPr>
          <w:rFonts w:ascii="Book Antiqua" w:hAnsi="Book Antiqua"/>
          <w:sz w:val="22"/>
          <w:szCs w:val="22"/>
        </w:rPr>
      </w:pPr>
      <w:r w:rsidRPr="00E3232D">
        <w:rPr>
          <w:rFonts w:ascii="Book Antiqua" w:hAnsi="Book Antiqua"/>
          <w:sz w:val="22"/>
          <w:szCs w:val="22"/>
        </w:rPr>
        <w:t xml:space="preserve">Another missing link in academic-industry research collaboration is the lack of trust among researchers and industry practitioners to the extent that none is ready for the sharing of data and ideas; suspicion has hampered the noble cause of collaboration making divergence elusive. </w:t>
      </w:r>
    </w:p>
    <w:p w14:paraId="538DA0EC" w14:textId="77777777" w:rsidR="002E24D5" w:rsidRPr="00E3232D" w:rsidRDefault="002E24D5" w:rsidP="00CF00D0">
      <w:pPr>
        <w:pStyle w:val="Default"/>
        <w:spacing w:after="0"/>
        <w:rPr>
          <w:rFonts w:ascii="Book Antiqua" w:hAnsi="Book Antiqua"/>
          <w:sz w:val="22"/>
          <w:szCs w:val="22"/>
        </w:rPr>
      </w:pPr>
      <w:r w:rsidRPr="00E3232D">
        <w:rPr>
          <w:rFonts w:ascii="Book Antiqua" w:hAnsi="Book Antiqua"/>
          <w:sz w:val="22"/>
          <w:szCs w:val="22"/>
        </w:rPr>
        <w:t>Industrial practitioners are not willing to offer information to researchers in the academia to further improve their practices for fear that their information may be given to a key competitor.</w:t>
      </w:r>
    </w:p>
    <w:p w14:paraId="7B636355" w14:textId="77777777" w:rsidR="003E504E" w:rsidRDefault="003E504E" w:rsidP="00CF00D0">
      <w:pPr>
        <w:pStyle w:val="Default"/>
        <w:spacing w:after="0"/>
        <w:rPr>
          <w:rFonts w:ascii="Book Antiqua" w:hAnsi="Book Antiqua"/>
          <w:sz w:val="22"/>
          <w:szCs w:val="22"/>
        </w:rPr>
      </w:pPr>
    </w:p>
    <w:p w14:paraId="2EE6BFC5" w14:textId="77777777" w:rsidR="002E24D5" w:rsidRDefault="002E24D5" w:rsidP="00CF00D0">
      <w:pPr>
        <w:pStyle w:val="Default"/>
        <w:spacing w:after="0"/>
        <w:rPr>
          <w:rFonts w:ascii="Book Antiqua" w:hAnsi="Book Antiqua"/>
          <w:sz w:val="22"/>
          <w:szCs w:val="22"/>
        </w:rPr>
      </w:pPr>
      <w:r w:rsidRPr="00E3232D">
        <w:rPr>
          <w:rFonts w:ascii="Book Antiqua" w:hAnsi="Book Antiqua"/>
          <w:sz w:val="22"/>
          <w:szCs w:val="22"/>
        </w:rPr>
        <w:t xml:space="preserve">In spite of these missing links, it is refreshing to note that collaboration between tertiary educational institutions like universities and polytechnics and industry is feasible as in the case of Stanford University and the Silicon Valley, Massachusetts Institute of Technology( MIT) and Route 28 are all pragmatic and possible examples for Ghana to emulate. </w:t>
      </w:r>
    </w:p>
    <w:p w14:paraId="6557C733" w14:textId="77777777" w:rsidR="00CF00D0" w:rsidRPr="00E3232D" w:rsidRDefault="00CF00D0" w:rsidP="00CF00D0">
      <w:pPr>
        <w:pStyle w:val="Default"/>
        <w:spacing w:after="0"/>
        <w:rPr>
          <w:rFonts w:ascii="Book Antiqua" w:hAnsi="Book Antiqua"/>
          <w:sz w:val="22"/>
          <w:szCs w:val="22"/>
        </w:rPr>
      </w:pPr>
    </w:p>
    <w:p w14:paraId="7381D92C" w14:textId="77777777" w:rsidR="009450B6" w:rsidRPr="009450B6" w:rsidRDefault="002E24D5" w:rsidP="00A22163">
      <w:pPr>
        <w:pStyle w:val="Default"/>
        <w:spacing w:after="0"/>
        <w:rPr>
          <w:rFonts w:ascii="Book Antiqua" w:hAnsi="Book Antiqua"/>
          <w:b/>
          <w:color w:val="221E1F"/>
          <w:sz w:val="22"/>
          <w:szCs w:val="22"/>
        </w:rPr>
      </w:pPr>
      <w:r w:rsidRPr="009450B6">
        <w:rPr>
          <w:rFonts w:ascii="Book Antiqua" w:hAnsi="Book Antiqua"/>
          <w:b/>
          <w:color w:val="221E1F"/>
          <w:sz w:val="22"/>
          <w:szCs w:val="22"/>
        </w:rPr>
        <w:t>3.2</w:t>
      </w:r>
      <w:r w:rsidRPr="009450B6">
        <w:rPr>
          <w:rFonts w:ascii="Book Antiqua" w:hAnsi="Book Antiqua"/>
          <w:b/>
          <w:color w:val="221E1F"/>
          <w:sz w:val="22"/>
          <w:szCs w:val="22"/>
        </w:rPr>
        <w:tab/>
        <w:t>Research Uptake and</w:t>
      </w:r>
    </w:p>
    <w:p w14:paraId="57757188" w14:textId="77777777" w:rsidR="002E24D5" w:rsidRPr="00E3232D" w:rsidRDefault="002E24D5" w:rsidP="00A22163">
      <w:pPr>
        <w:pStyle w:val="Default"/>
        <w:ind w:left="720" w:hanging="720"/>
        <w:rPr>
          <w:rFonts w:ascii="Book Antiqua" w:hAnsi="Book Antiqua"/>
          <w:b/>
          <w:i/>
          <w:color w:val="221E1F"/>
          <w:sz w:val="22"/>
          <w:szCs w:val="22"/>
        </w:rPr>
      </w:pPr>
      <w:r w:rsidRPr="009450B6">
        <w:rPr>
          <w:rFonts w:ascii="Book Antiqua" w:hAnsi="Book Antiqua"/>
          <w:b/>
          <w:color w:val="221E1F"/>
          <w:sz w:val="22"/>
          <w:szCs w:val="22"/>
        </w:rPr>
        <w:t xml:space="preserve"> </w:t>
      </w:r>
      <w:r w:rsidR="00A22163">
        <w:rPr>
          <w:rFonts w:ascii="Book Antiqua" w:hAnsi="Book Antiqua"/>
          <w:b/>
          <w:color w:val="221E1F"/>
          <w:sz w:val="22"/>
          <w:szCs w:val="22"/>
        </w:rPr>
        <w:t xml:space="preserve">           </w:t>
      </w:r>
      <w:r w:rsidRPr="009450B6">
        <w:rPr>
          <w:rFonts w:ascii="Book Antiqua" w:hAnsi="Book Antiqua"/>
          <w:b/>
          <w:color w:val="221E1F"/>
          <w:sz w:val="22"/>
          <w:szCs w:val="22"/>
        </w:rPr>
        <w:t>Commercialisation</w:t>
      </w:r>
      <w:r w:rsidRPr="00E3232D">
        <w:rPr>
          <w:rFonts w:ascii="Book Antiqua" w:hAnsi="Book Antiqua"/>
          <w:b/>
          <w:i/>
          <w:color w:val="221E1F"/>
          <w:sz w:val="22"/>
          <w:szCs w:val="22"/>
        </w:rPr>
        <w:t xml:space="preserve"> </w:t>
      </w:r>
    </w:p>
    <w:p w14:paraId="4F9154AF" w14:textId="77777777" w:rsidR="002E24D5" w:rsidRPr="00E3232D" w:rsidRDefault="002E24D5" w:rsidP="00CF00D0">
      <w:pPr>
        <w:pStyle w:val="Default"/>
        <w:rPr>
          <w:rFonts w:ascii="Book Antiqua" w:hAnsi="Book Antiqua"/>
          <w:color w:val="221E1F"/>
          <w:sz w:val="22"/>
          <w:szCs w:val="22"/>
        </w:rPr>
      </w:pPr>
      <w:r w:rsidRPr="00E3232D">
        <w:rPr>
          <w:rFonts w:ascii="Book Antiqua" w:hAnsi="Book Antiqua"/>
          <w:color w:val="221E1F"/>
          <w:sz w:val="22"/>
          <w:szCs w:val="22"/>
        </w:rPr>
        <w:t>Commercialized innovations emanating from research between academia and industry to eradicate disease; promote technology in an information age; and to deliver new products and processes to markets that will improve healthcare (Palmintera, 2007) is key to the national development agenda.</w:t>
      </w:r>
    </w:p>
    <w:p w14:paraId="156A9518" w14:textId="77777777" w:rsidR="00CF00D0" w:rsidRPr="00E3232D" w:rsidRDefault="002E24D5" w:rsidP="008275E1">
      <w:pPr>
        <w:pStyle w:val="Default"/>
        <w:rPr>
          <w:rFonts w:ascii="Book Antiqua" w:hAnsi="Book Antiqua"/>
          <w:color w:val="221E1F"/>
          <w:sz w:val="22"/>
          <w:szCs w:val="22"/>
        </w:rPr>
      </w:pPr>
      <w:r w:rsidRPr="00E3232D">
        <w:rPr>
          <w:rFonts w:ascii="Book Antiqua" w:hAnsi="Book Antiqua"/>
          <w:color w:val="221E1F"/>
          <w:sz w:val="22"/>
          <w:szCs w:val="22"/>
        </w:rPr>
        <w:t>Technology transfer and research commercialization are duos that enable tertiary institutions to link their research upstream into the innovation hawser. However, this  opportunity will elude the academia and industry if missing links notable the innovatio</w:t>
      </w:r>
      <w:r w:rsidR="009B3118">
        <w:rPr>
          <w:rFonts w:ascii="Book Antiqua" w:hAnsi="Book Antiqua"/>
          <w:color w:val="221E1F"/>
          <w:sz w:val="22"/>
          <w:szCs w:val="22"/>
        </w:rPr>
        <w:t xml:space="preserve">n pipeline; technology transfer </w:t>
      </w:r>
      <w:r w:rsidRPr="00E3232D">
        <w:rPr>
          <w:rFonts w:ascii="Book Antiqua" w:hAnsi="Book Antiqua"/>
          <w:color w:val="221E1F"/>
          <w:sz w:val="22"/>
          <w:szCs w:val="22"/>
        </w:rPr>
        <w:t>promotion</w:t>
      </w:r>
      <w:r w:rsidR="009B3118">
        <w:rPr>
          <w:rFonts w:ascii="Book Antiqua" w:hAnsi="Book Antiqua"/>
          <w:color w:val="221E1F"/>
          <w:sz w:val="22"/>
          <w:szCs w:val="22"/>
        </w:rPr>
        <w:t xml:space="preserve"> </w:t>
      </w:r>
      <w:r w:rsidRPr="00E3232D">
        <w:rPr>
          <w:rFonts w:ascii="Book Antiqua" w:hAnsi="Book Antiqua"/>
          <w:color w:val="221E1F"/>
          <w:sz w:val="22"/>
          <w:szCs w:val="22"/>
        </w:rPr>
        <w:t>;</w:t>
      </w:r>
      <w:r w:rsidR="009B3118">
        <w:rPr>
          <w:rFonts w:ascii="Book Antiqua" w:hAnsi="Book Antiqua"/>
          <w:color w:val="221E1F"/>
          <w:sz w:val="22"/>
          <w:szCs w:val="22"/>
        </w:rPr>
        <w:t xml:space="preserve"> </w:t>
      </w:r>
      <w:r w:rsidRPr="00E3232D">
        <w:rPr>
          <w:rFonts w:ascii="Book Antiqua" w:hAnsi="Book Antiqua"/>
          <w:color w:val="221E1F"/>
          <w:sz w:val="22"/>
          <w:szCs w:val="22"/>
        </w:rPr>
        <w:t>thriving  entrepreneurship to support</w:t>
      </w:r>
      <w:r w:rsidR="009B3118">
        <w:rPr>
          <w:rFonts w:ascii="Book Antiqua" w:hAnsi="Book Antiqua"/>
          <w:color w:val="221E1F"/>
          <w:sz w:val="22"/>
          <w:szCs w:val="22"/>
        </w:rPr>
        <w:t xml:space="preserve"> </w:t>
      </w:r>
      <w:r w:rsidRPr="00E3232D">
        <w:rPr>
          <w:rFonts w:ascii="Book Antiqua" w:hAnsi="Book Antiqua"/>
          <w:color w:val="221E1F"/>
          <w:sz w:val="22"/>
          <w:szCs w:val="22"/>
        </w:rPr>
        <w:t xml:space="preserve">commercialization; research and development fund; and start-ups for tertiary institutions to commence the </w:t>
      </w:r>
      <w:r w:rsidRPr="00E3232D">
        <w:rPr>
          <w:rFonts w:ascii="Book Antiqua" w:hAnsi="Book Antiqua"/>
          <w:color w:val="221E1F"/>
          <w:sz w:val="22"/>
          <w:szCs w:val="22"/>
        </w:rPr>
        <w:lastRenderedPageBreak/>
        <w:t xml:space="preserve">transfer and commercialization of a newly found technology still exist. </w:t>
      </w:r>
    </w:p>
    <w:p w14:paraId="34E67331" w14:textId="77777777" w:rsidR="002E24D5" w:rsidRPr="009450B6" w:rsidRDefault="002E24D5" w:rsidP="008275E1">
      <w:pPr>
        <w:pStyle w:val="Default"/>
        <w:rPr>
          <w:rFonts w:ascii="Book Antiqua" w:hAnsi="Book Antiqua"/>
          <w:b/>
          <w:color w:val="221E1F"/>
          <w:sz w:val="22"/>
          <w:szCs w:val="22"/>
        </w:rPr>
      </w:pPr>
      <w:r w:rsidRPr="009450B6">
        <w:rPr>
          <w:rFonts w:ascii="Book Antiqua" w:hAnsi="Book Antiqua"/>
          <w:b/>
          <w:color w:val="221E1F"/>
          <w:sz w:val="22"/>
          <w:szCs w:val="22"/>
        </w:rPr>
        <w:t>3.3</w:t>
      </w:r>
      <w:r w:rsidRPr="009450B6">
        <w:rPr>
          <w:rFonts w:ascii="Book Antiqua" w:hAnsi="Book Antiqua"/>
          <w:b/>
          <w:color w:val="221E1F"/>
          <w:sz w:val="22"/>
          <w:szCs w:val="22"/>
        </w:rPr>
        <w:tab/>
        <w:t xml:space="preserve">Research Funding Gaps </w:t>
      </w:r>
    </w:p>
    <w:p w14:paraId="07DDDE7E" w14:textId="77777777" w:rsidR="002E24D5" w:rsidRPr="00E3232D" w:rsidRDefault="002E24D5" w:rsidP="008275E1">
      <w:pPr>
        <w:pStyle w:val="Default"/>
        <w:rPr>
          <w:rFonts w:ascii="Book Antiqua" w:hAnsi="Book Antiqua"/>
          <w:color w:val="221E1F"/>
          <w:sz w:val="22"/>
          <w:szCs w:val="22"/>
        </w:rPr>
      </w:pPr>
      <w:r w:rsidRPr="00E3232D">
        <w:rPr>
          <w:rFonts w:ascii="Book Antiqua" w:hAnsi="Book Antiqua"/>
          <w:color w:val="221E1F"/>
          <w:sz w:val="22"/>
          <w:szCs w:val="22"/>
        </w:rPr>
        <w:t>Research funding is very vital to economic performance; and many developed nations have spent government funds on research to haul its benefits to their development (</w:t>
      </w:r>
      <w:r w:rsidRPr="00E3232D">
        <w:rPr>
          <w:rFonts w:ascii="Book Antiqua" w:hAnsi="Book Antiqua"/>
          <w:i/>
          <w:color w:val="221E1F"/>
          <w:sz w:val="22"/>
          <w:szCs w:val="22"/>
        </w:rPr>
        <w:t>c.f.</w:t>
      </w:r>
      <w:r w:rsidRPr="00E3232D">
        <w:rPr>
          <w:rFonts w:ascii="Book Antiqua" w:hAnsi="Book Antiqua"/>
          <w:color w:val="221E1F"/>
          <w:sz w:val="22"/>
          <w:szCs w:val="22"/>
        </w:rPr>
        <w:t xml:space="preserve"> Salter and Martin, 2001). However, governments all over the world have competing demands on public funding of public projects has diverted much attention of governments on research funding. A panacea to this funding gap is the intervention of industry dominated by private sector practitioners to bridge the research funding gap. Unfortunately this intervention of industry for that matter the private sector is a major missing link in Africa as a whole. </w:t>
      </w:r>
    </w:p>
    <w:p w14:paraId="65AD4A62" w14:textId="77777777" w:rsidR="003E504E" w:rsidRPr="00CF00D0" w:rsidRDefault="002E24D5" w:rsidP="008275E1">
      <w:pPr>
        <w:pStyle w:val="Default"/>
        <w:rPr>
          <w:rFonts w:ascii="Book Antiqua" w:hAnsi="Book Antiqua"/>
          <w:color w:val="221E1F"/>
          <w:sz w:val="22"/>
          <w:szCs w:val="22"/>
        </w:rPr>
      </w:pPr>
      <w:r w:rsidRPr="00E3232D">
        <w:rPr>
          <w:rFonts w:ascii="Book Antiqua" w:hAnsi="Book Antiqua"/>
          <w:color w:val="221E1F"/>
          <w:sz w:val="22"/>
          <w:szCs w:val="22"/>
        </w:rPr>
        <w:t>The absence of business angels to invest in firms that drive research is another missing link as far as the missing links in tertiary education and industry research collaborations are concerned.</w:t>
      </w:r>
    </w:p>
    <w:p w14:paraId="440B7DCC" w14:textId="77777777" w:rsidR="002E24D5" w:rsidRPr="009450B6" w:rsidRDefault="002E24D5" w:rsidP="008275E1">
      <w:pPr>
        <w:pStyle w:val="Default"/>
        <w:rPr>
          <w:rFonts w:ascii="Book Antiqua" w:hAnsi="Book Antiqua"/>
          <w:b/>
          <w:color w:val="221E1F"/>
          <w:sz w:val="22"/>
          <w:szCs w:val="22"/>
        </w:rPr>
      </w:pPr>
      <w:r w:rsidRPr="009450B6">
        <w:rPr>
          <w:rFonts w:ascii="Book Antiqua" w:hAnsi="Book Antiqua"/>
          <w:b/>
          <w:color w:val="221E1F"/>
          <w:sz w:val="22"/>
          <w:szCs w:val="22"/>
        </w:rPr>
        <w:t>3.4</w:t>
      </w:r>
      <w:r w:rsidRPr="009450B6">
        <w:rPr>
          <w:rFonts w:ascii="Book Antiqua" w:hAnsi="Book Antiqua"/>
          <w:b/>
          <w:color w:val="221E1F"/>
          <w:sz w:val="22"/>
          <w:szCs w:val="22"/>
        </w:rPr>
        <w:tab/>
        <w:t>Technology Transfer</w:t>
      </w:r>
    </w:p>
    <w:p w14:paraId="07E5E00B" w14:textId="77777777" w:rsidR="00CF00D0" w:rsidRPr="00CF00D0" w:rsidRDefault="002E24D5" w:rsidP="008275E1">
      <w:pPr>
        <w:pStyle w:val="Default"/>
        <w:rPr>
          <w:rFonts w:ascii="Book Antiqua" w:hAnsi="Book Antiqua"/>
          <w:color w:val="221E1F"/>
          <w:sz w:val="22"/>
          <w:szCs w:val="22"/>
        </w:rPr>
      </w:pPr>
      <w:r w:rsidRPr="00E3232D">
        <w:rPr>
          <w:rFonts w:ascii="Book Antiqua" w:hAnsi="Book Antiqua"/>
          <w:color w:val="221E1F"/>
          <w:sz w:val="22"/>
          <w:szCs w:val="22"/>
        </w:rPr>
        <w:t xml:space="preserve">Technology transfer is the transmission of inventions, technologies, know-how, methods among adopted by research institutions, industrial establishments and government agencies by the vehicle of entrepreneurship. Industry- tertiary education collaboration accelerates the pace of technology transfer; however, this phenomenon has been a missing link within the web of industry–tertiary education collaboration within the context </w:t>
      </w:r>
      <w:r w:rsidRPr="00E3232D">
        <w:rPr>
          <w:rFonts w:ascii="Book Antiqua" w:hAnsi="Book Antiqua"/>
          <w:color w:val="221E1F"/>
          <w:sz w:val="22"/>
          <w:szCs w:val="22"/>
        </w:rPr>
        <w:t>of research (</w:t>
      </w:r>
      <w:r w:rsidRPr="00E3232D">
        <w:rPr>
          <w:rFonts w:ascii="Book Antiqua" w:hAnsi="Book Antiqua"/>
          <w:i/>
          <w:color w:val="221E1F"/>
          <w:sz w:val="22"/>
          <w:szCs w:val="22"/>
        </w:rPr>
        <w:t>c.f.</w:t>
      </w:r>
      <w:r w:rsidRPr="00E3232D">
        <w:rPr>
          <w:rFonts w:ascii="Book Antiqua" w:hAnsi="Book Antiqua"/>
          <w:color w:val="221E1F"/>
          <w:sz w:val="22"/>
          <w:szCs w:val="22"/>
        </w:rPr>
        <w:t xml:space="preserve"> Science and Technology Development Fund, 2012)</w:t>
      </w:r>
      <w:r w:rsidR="00CF00D0">
        <w:rPr>
          <w:rFonts w:ascii="Book Antiqua" w:hAnsi="Book Antiqua"/>
          <w:color w:val="221E1F"/>
          <w:sz w:val="22"/>
          <w:szCs w:val="22"/>
        </w:rPr>
        <w:t>.</w:t>
      </w:r>
    </w:p>
    <w:p w14:paraId="18D0ACD0" w14:textId="77777777" w:rsidR="002E24D5" w:rsidRPr="009450B6" w:rsidRDefault="003A5C09" w:rsidP="008275E1">
      <w:pPr>
        <w:pStyle w:val="Default"/>
        <w:rPr>
          <w:rFonts w:ascii="Book Antiqua" w:hAnsi="Book Antiqua"/>
          <w:b/>
          <w:color w:val="221E1F"/>
          <w:sz w:val="22"/>
          <w:szCs w:val="22"/>
        </w:rPr>
      </w:pPr>
      <w:r>
        <w:rPr>
          <w:rFonts w:ascii="Book Antiqua" w:hAnsi="Book Antiqua"/>
          <w:b/>
          <w:color w:val="221E1F"/>
          <w:sz w:val="22"/>
          <w:szCs w:val="22"/>
        </w:rPr>
        <w:t xml:space="preserve">3.5 </w:t>
      </w:r>
      <w:r w:rsidR="002E24D5" w:rsidRPr="009450B6">
        <w:rPr>
          <w:rFonts w:ascii="Book Antiqua" w:hAnsi="Book Antiqua"/>
          <w:b/>
          <w:color w:val="221E1F"/>
          <w:sz w:val="22"/>
          <w:szCs w:val="22"/>
        </w:rPr>
        <w:t>Absence of Innovation Ecosystems</w:t>
      </w:r>
    </w:p>
    <w:p w14:paraId="18825E7D" w14:textId="77777777" w:rsidR="00BD3BFA" w:rsidRPr="00BD3BFA" w:rsidRDefault="002E24D5" w:rsidP="00BD3BFA">
      <w:pPr>
        <w:pStyle w:val="Default"/>
        <w:rPr>
          <w:rFonts w:ascii="Book Antiqua" w:hAnsi="Book Antiqua"/>
          <w:color w:val="221E1F"/>
          <w:sz w:val="22"/>
          <w:szCs w:val="22"/>
        </w:rPr>
      </w:pPr>
      <w:r w:rsidRPr="00E3232D">
        <w:rPr>
          <w:rFonts w:ascii="Book Antiqua" w:hAnsi="Book Antiqua"/>
          <w:color w:val="221E1F"/>
          <w:sz w:val="22"/>
          <w:szCs w:val="22"/>
        </w:rPr>
        <w:t>Innovation ecosystem is a web of interconnected institutions interested in furthering and enjoying the benefits of innovation for development. Key in this ecosystem is the link between industry and academia. A key attribute of an innovation ecosystem is the existence of an interlocking pathways and systems to convey individual and institutional innovations through research to industrial sector and the world at large. This interlocking relationship has been lacking as far as collaboration between tertiary education and industry is concerned.</w:t>
      </w:r>
    </w:p>
    <w:p w14:paraId="5C6F9A5B" w14:textId="77777777" w:rsidR="002E24D5" w:rsidRPr="00CC75E3" w:rsidRDefault="002E24D5" w:rsidP="008275E1">
      <w:pPr>
        <w:pStyle w:val="CM7"/>
        <w:numPr>
          <w:ilvl w:val="0"/>
          <w:numId w:val="13"/>
        </w:numPr>
        <w:rPr>
          <w:rFonts w:ascii="Book Antiqua" w:hAnsi="Book Antiqua"/>
          <w:b/>
          <w:color w:val="000000"/>
          <w:szCs w:val="22"/>
        </w:rPr>
      </w:pPr>
      <w:r w:rsidRPr="00CC75E3">
        <w:rPr>
          <w:rFonts w:ascii="Book Antiqua" w:hAnsi="Book Antiqua"/>
          <w:b/>
          <w:color w:val="000000"/>
          <w:szCs w:val="22"/>
        </w:rPr>
        <w:t xml:space="preserve">Convergences: The Role of Tertiary Institutions in Bridging the Gaps </w:t>
      </w:r>
    </w:p>
    <w:p w14:paraId="408170B2" w14:textId="77777777" w:rsidR="002E24D5" w:rsidRPr="00E3232D" w:rsidRDefault="002E24D5" w:rsidP="008275E1">
      <w:pPr>
        <w:pStyle w:val="Default"/>
        <w:rPr>
          <w:rFonts w:ascii="Book Antiqua" w:hAnsi="Book Antiqua"/>
          <w:sz w:val="22"/>
          <w:szCs w:val="22"/>
        </w:rPr>
      </w:pPr>
      <w:r w:rsidRPr="00E3232D">
        <w:rPr>
          <w:rFonts w:ascii="Book Antiqua" w:hAnsi="Book Antiqua"/>
          <w:sz w:val="22"/>
          <w:szCs w:val="22"/>
        </w:rPr>
        <w:t>Institutional collaboration has of course always been a natural part of academic life, but within the context of an increasingly globalised research environment the ability to link or build international collaborations is critical. Strengthening research collaboration is also important in order to meet the big global challenges confronting science, such as climate change; as well as attracting and retaining links with the best scientific talent to secure global innovation networks.</w:t>
      </w:r>
    </w:p>
    <w:p w14:paraId="40CD3C1F" w14:textId="77777777" w:rsidR="002E24D5" w:rsidRPr="00E3232D" w:rsidRDefault="002E24D5" w:rsidP="008275E1">
      <w:pPr>
        <w:pStyle w:val="Default"/>
        <w:rPr>
          <w:rFonts w:ascii="Book Antiqua" w:hAnsi="Book Antiqua"/>
          <w:sz w:val="22"/>
          <w:szCs w:val="22"/>
        </w:rPr>
      </w:pPr>
      <w:r w:rsidRPr="00E3232D">
        <w:rPr>
          <w:rFonts w:ascii="Book Antiqua" w:hAnsi="Book Antiqua"/>
          <w:sz w:val="22"/>
          <w:szCs w:val="22"/>
        </w:rPr>
        <w:t xml:space="preserve">The main role of institutions is seen as the education of large numbers of people in basic business strategy concepts. This provides a willing and able audience for </w:t>
      </w:r>
      <w:r w:rsidRPr="00E3232D">
        <w:rPr>
          <w:rFonts w:ascii="Book Antiqua" w:hAnsi="Book Antiqua"/>
          <w:sz w:val="22"/>
          <w:szCs w:val="22"/>
        </w:rPr>
        <w:lastRenderedPageBreak/>
        <w:t>participation in business development programs within organizations.</w:t>
      </w:r>
    </w:p>
    <w:p w14:paraId="1C885AD7" w14:textId="77777777" w:rsidR="002E24D5" w:rsidRPr="00E3232D" w:rsidRDefault="002E24D5" w:rsidP="008275E1">
      <w:pPr>
        <w:pStyle w:val="Default"/>
        <w:rPr>
          <w:rFonts w:ascii="Book Antiqua" w:hAnsi="Book Antiqua"/>
          <w:sz w:val="22"/>
          <w:szCs w:val="22"/>
        </w:rPr>
      </w:pPr>
      <w:r w:rsidRPr="00E3232D">
        <w:rPr>
          <w:rFonts w:ascii="Book Antiqua" w:hAnsi="Book Antiqua"/>
          <w:sz w:val="22"/>
          <w:szCs w:val="22"/>
        </w:rPr>
        <w:t>Tertiary institutions have key roles to play in the convergence agenda by promoting entrepreneurial and technology transfer culture; identification and concentration on research niches; collaborating with state and local industries to optimize tertiary education and industry strengths; sourcing government research funding; and implementation of policies that reward technology transfer and entrepreneurship.</w:t>
      </w:r>
    </w:p>
    <w:p w14:paraId="36119AF6" w14:textId="77777777" w:rsidR="002E24D5" w:rsidRPr="00E3232D" w:rsidRDefault="002E24D5" w:rsidP="008275E1">
      <w:pPr>
        <w:pStyle w:val="Default"/>
        <w:rPr>
          <w:rFonts w:ascii="Book Antiqua" w:hAnsi="Book Antiqua"/>
          <w:sz w:val="22"/>
          <w:szCs w:val="22"/>
        </w:rPr>
      </w:pPr>
      <w:r w:rsidRPr="00E3232D">
        <w:rPr>
          <w:rFonts w:ascii="Book Antiqua" w:hAnsi="Book Antiqua"/>
          <w:sz w:val="22"/>
          <w:szCs w:val="22"/>
        </w:rPr>
        <w:t>It is possible for tertiary education and industry to collaborate in order to further the realization of the visions of the two parties. The need for a  strong leadership at the helm of affairs of tertiary education to create the required link that is needed for industry and tertiary education collaborations in various endeavours is crucial.</w:t>
      </w:r>
    </w:p>
    <w:p w14:paraId="5C729353" w14:textId="77777777" w:rsidR="002E24D5" w:rsidRPr="00E3232D" w:rsidRDefault="002E24D5" w:rsidP="008275E1">
      <w:pPr>
        <w:pStyle w:val="Default"/>
        <w:rPr>
          <w:rFonts w:ascii="Book Antiqua" w:hAnsi="Book Antiqua"/>
          <w:sz w:val="22"/>
          <w:szCs w:val="22"/>
        </w:rPr>
      </w:pPr>
      <w:r w:rsidRPr="00E3232D">
        <w:rPr>
          <w:rFonts w:ascii="Book Antiqua" w:hAnsi="Book Antiqua"/>
          <w:sz w:val="22"/>
          <w:szCs w:val="22"/>
        </w:rPr>
        <w:t>Research capabilities are required at the universities and polytechnics to establish a powerhouse needed for research to foster speedy collaboration between tertiary education and industry. This powerhouse of research in tertiary institutions is also critical to successful innovation ecosystem that is much needed for the convergence of tertiary education and industry.</w:t>
      </w:r>
    </w:p>
    <w:p w14:paraId="328ACDB1" w14:textId="77777777" w:rsidR="002E24D5" w:rsidRPr="00E3232D" w:rsidRDefault="002E24D5" w:rsidP="008275E1">
      <w:pPr>
        <w:pStyle w:val="Default"/>
        <w:rPr>
          <w:rFonts w:ascii="Book Antiqua" w:hAnsi="Book Antiqua"/>
          <w:sz w:val="22"/>
          <w:szCs w:val="22"/>
        </w:rPr>
      </w:pPr>
      <w:r w:rsidRPr="00E3232D">
        <w:rPr>
          <w:rFonts w:ascii="Book Antiqua" w:hAnsi="Book Antiqua"/>
          <w:sz w:val="22"/>
          <w:szCs w:val="22"/>
        </w:rPr>
        <w:t xml:space="preserve">Similarly, tertiary institutions must endeavour to court the support of governments and external support systems to develop vibrant innovation ecosystems and research centres in collaboration with industry. This will be an overarching enterprise that will bridge </w:t>
      </w:r>
      <w:r w:rsidRPr="00E3232D">
        <w:rPr>
          <w:rFonts w:ascii="Book Antiqua" w:hAnsi="Book Antiqua"/>
          <w:sz w:val="22"/>
          <w:szCs w:val="22"/>
        </w:rPr>
        <w:t>the gap between tertiary institutions and industry players.</w:t>
      </w:r>
    </w:p>
    <w:p w14:paraId="1201C06B" w14:textId="77777777" w:rsidR="002E24D5" w:rsidRPr="00E3232D" w:rsidRDefault="002E24D5" w:rsidP="008275E1">
      <w:pPr>
        <w:pStyle w:val="Default"/>
        <w:rPr>
          <w:rFonts w:ascii="Book Antiqua" w:hAnsi="Book Antiqua"/>
          <w:sz w:val="22"/>
          <w:szCs w:val="22"/>
        </w:rPr>
      </w:pPr>
      <w:r w:rsidRPr="00E3232D">
        <w:rPr>
          <w:rFonts w:ascii="Book Antiqua" w:hAnsi="Book Antiqua"/>
          <w:sz w:val="22"/>
          <w:szCs w:val="22"/>
        </w:rPr>
        <w:t xml:space="preserve">Also, student-led entrepreneurship spirit is also important for bridging the gap. In recent times, courses in entrepreneurship are being taught at the universities and polytechnics to inculcate into students the dynamics of entrepreneurship and industry practices. However what is lacking is the lack of practical skills of the lecturers to expose the students to the real world needs. </w:t>
      </w:r>
    </w:p>
    <w:p w14:paraId="683F766D" w14:textId="77777777" w:rsidR="002E24D5" w:rsidRPr="00BD3BFA" w:rsidRDefault="002E24D5" w:rsidP="00BD3BFA">
      <w:pPr>
        <w:pStyle w:val="Default"/>
        <w:rPr>
          <w:rFonts w:ascii="Book Antiqua" w:hAnsi="Book Antiqua"/>
          <w:sz w:val="22"/>
          <w:szCs w:val="22"/>
        </w:rPr>
      </w:pPr>
      <w:r w:rsidRPr="00E3232D">
        <w:rPr>
          <w:rFonts w:ascii="Book Antiqua" w:hAnsi="Book Antiqua"/>
          <w:sz w:val="22"/>
          <w:szCs w:val="22"/>
        </w:rPr>
        <w:t>Tertiary institutions can utilize pre-existing networks, such as alumni and departmental associations to facilitate the collaboration of tertiary education and industry. The fact is that, alumni were once students at the tertiary institutions and currently working in industry hence the better their understanding of the issues at stake and their willingness to be engaged in this collaboration effort.</w:t>
      </w:r>
    </w:p>
    <w:p w14:paraId="65AF1E38" w14:textId="77777777" w:rsidR="002742FF" w:rsidRPr="00CF00D0" w:rsidRDefault="002E24D5" w:rsidP="00CF00D0">
      <w:pPr>
        <w:pStyle w:val="CM7"/>
        <w:rPr>
          <w:rFonts w:ascii="Book Antiqua" w:hAnsi="Book Antiqua"/>
          <w:color w:val="221E1F"/>
          <w:sz w:val="22"/>
          <w:szCs w:val="22"/>
        </w:rPr>
      </w:pPr>
      <w:r w:rsidRPr="00E3232D">
        <w:rPr>
          <w:rFonts w:ascii="Book Antiqua" w:hAnsi="Book Antiqua"/>
          <w:color w:val="221E1F"/>
          <w:sz w:val="22"/>
          <w:szCs w:val="22"/>
        </w:rPr>
        <w:t xml:space="preserve">It is very important that the tertiary institutions apply strategic techniques and paradigms in the understanding of the company or industry. For this reason, companies often prefer commercial consultants. Consultants are seen as an effective bridge in terms of translating academic knowledge about strategy into business language. At the same time, reservations exist as to whether the commercial consultant faithfully interprets academic ﬁndings and outputs. Consultants are seen in some quarters as taking a superﬁcial approach when applying techniques and paradigms sourced from academia: Some businesses take the route of consultants. </w:t>
      </w:r>
    </w:p>
    <w:p w14:paraId="0A273665" w14:textId="77777777" w:rsidR="002E24D5" w:rsidRPr="00CC75E3" w:rsidRDefault="002E24D5" w:rsidP="008275E1">
      <w:pPr>
        <w:pStyle w:val="CM7"/>
        <w:numPr>
          <w:ilvl w:val="0"/>
          <w:numId w:val="13"/>
        </w:numPr>
        <w:rPr>
          <w:rFonts w:ascii="Book Antiqua" w:hAnsi="Book Antiqua"/>
          <w:b/>
          <w:color w:val="000000"/>
          <w:szCs w:val="22"/>
        </w:rPr>
      </w:pPr>
      <w:r w:rsidRPr="00CC75E3">
        <w:rPr>
          <w:rFonts w:ascii="Book Antiqua" w:hAnsi="Book Antiqua"/>
          <w:b/>
          <w:color w:val="000000"/>
          <w:szCs w:val="22"/>
        </w:rPr>
        <w:lastRenderedPageBreak/>
        <w:t xml:space="preserve">A model for effective Collaboration and Partnerships </w:t>
      </w:r>
    </w:p>
    <w:p w14:paraId="1D5E7153" w14:textId="77777777" w:rsidR="002E24D5" w:rsidRDefault="002E24D5" w:rsidP="00CF00D0">
      <w:pPr>
        <w:pStyle w:val="CM8"/>
        <w:rPr>
          <w:rFonts w:ascii="Book Antiqua" w:hAnsi="Book Antiqua"/>
          <w:color w:val="221E1F"/>
          <w:sz w:val="22"/>
          <w:szCs w:val="22"/>
        </w:rPr>
      </w:pPr>
      <w:r w:rsidRPr="00E3232D">
        <w:rPr>
          <w:rFonts w:ascii="Book Antiqua" w:hAnsi="Book Antiqua"/>
          <w:color w:val="221E1F"/>
          <w:sz w:val="22"/>
          <w:szCs w:val="22"/>
        </w:rPr>
        <w:t xml:space="preserve">The key elements of a model for better collaboration between tertiary education and industry include context, content, effective processes and credibility. As illustrated in Figure 1, context and content need to be proactively managed through effective processes. In this model, credibility can be seen as an output of successful collaboration. While credibility is to some extent conferred by title and institution, this is seldom </w:t>
      </w:r>
      <w:r w:rsidR="00EF459D" w:rsidRPr="00E3232D">
        <w:rPr>
          <w:rFonts w:ascii="Book Antiqua" w:hAnsi="Book Antiqua"/>
          <w:color w:val="221E1F"/>
          <w:sz w:val="22"/>
          <w:szCs w:val="22"/>
        </w:rPr>
        <w:t>sufficient</w:t>
      </w:r>
      <w:r w:rsidRPr="00E3232D">
        <w:rPr>
          <w:rFonts w:ascii="Book Antiqua" w:hAnsi="Book Antiqua"/>
          <w:color w:val="221E1F"/>
          <w:sz w:val="22"/>
          <w:szCs w:val="22"/>
        </w:rPr>
        <w:t xml:space="preserve"> to persuade the practitioner of the value that can be added through collaboration. The inputs to the model are discussed below.</w:t>
      </w:r>
    </w:p>
    <w:p w14:paraId="4B2E2C35" w14:textId="77777777" w:rsidR="00CF00D0" w:rsidRPr="00CF00D0" w:rsidRDefault="00850DC5" w:rsidP="00CF00D0">
      <w:pPr>
        <w:pStyle w:val="Default"/>
      </w:pPr>
      <w:r>
        <w:rPr>
          <w:rFonts w:ascii="Book Antiqua" w:hAnsi="Book Antiqua"/>
          <w:noProof/>
          <w:color w:val="004890"/>
          <w:sz w:val="22"/>
          <w:szCs w:val="22"/>
        </w:rPr>
        <w:pict w14:anchorId="3B63C8E7">
          <v:rect id="_x0000_s1026" style="position:absolute;left:0;text-align:left;margin-left:7.2pt;margin-top:18.75pt;width:81.3pt;height:60.75pt;z-index:251469312" strokeweight="2.25pt">
            <v:textbox style="mso-next-textbox:#_x0000_s1026">
              <w:txbxContent>
                <w:p w14:paraId="013E6E63" w14:textId="77777777" w:rsidR="00E2396E" w:rsidRDefault="00E2396E" w:rsidP="002E24D5">
                  <w:pPr>
                    <w:jc w:val="center"/>
                  </w:pPr>
                </w:p>
                <w:p w14:paraId="531D751A" w14:textId="77777777" w:rsidR="00E2396E" w:rsidRPr="00906605" w:rsidRDefault="00E2396E" w:rsidP="002E24D5">
                  <w:pPr>
                    <w:jc w:val="center"/>
                    <w:rPr>
                      <w:rFonts w:ascii="Century Gothic" w:hAnsi="Century Gothic"/>
                      <w:b/>
                    </w:rPr>
                  </w:pPr>
                  <w:r w:rsidRPr="00906605">
                    <w:rPr>
                      <w:rFonts w:ascii="Century Gothic" w:hAnsi="Century Gothic"/>
                      <w:b/>
                    </w:rPr>
                    <w:t>Context</w:t>
                  </w:r>
                </w:p>
              </w:txbxContent>
            </v:textbox>
          </v:rect>
        </w:pict>
      </w:r>
    </w:p>
    <w:p w14:paraId="4562C9CA" w14:textId="77777777" w:rsidR="002E24D5" w:rsidRPr="00E3232D" w:rsidRDefault="00850DC5" w:rsidP="008275E1">
      <w:pPr>
        <w:pStyle w:val="CM8"/>
        <w:rPr>
          <w:rFonts w:ascii="Book Antiqua" w:hAnsi="Book Antiqua"/>
          <w:color w:val="221E1F"/>
          <w:sz w:val="22"/>
          <w:szCs w:val="22"/>
        </w:rPr>
      </w:pPr>
      <w:r>
        <w:rPr>
          <w:rFonts w:ascii="Book Antiqua" w:hAnsi="Book Antiqua"/>
          <w:noProof/>
          <w:color w:val="004890"/>
          <w:sz w:val="22"/>
          <w:szCs w:val="22"/>
          <w:lang w:val="en-US" w:eastAsia="en-US"/>
        </w:rPr>
        <w:pict w14:anchorId="7E1F188F">
          <v:shapetype id="_x0000_t32" coordsize="21600,21600" o:spt="32" o:oned="t" path="m,l21600,21600e" filled="f">
            <v:path arrowok="t" fillok="f" o:connecttype="none"/>
            <o:lock v:ext="edit" shapetype="t"/>
          </v:shapetype>
          <v:shape id="_x0000_s1030" type="#_x0000_t32" style="position:absolute;left:0;text-align:left;margin-left:88.5pt;margin-top:20.3pt;width:50.25pt;height:38.25pt;z-index:251473408" o:connectortype="straight" strokeweight="2.25pt">
            <v:stroke endarrow="block"/>
          </v:shape>
        </w:pict>
      </w:r>
    </w:p>
    <w:p w14:paraId="79E430BB" w14:textId="77777777" w:rsidR="002E24D5" w:rsidRPr="00E3232D" w:rsidRDefault="00850DC5" w:rsidP="008275E1">
      <w:pPr>
        <w:pStyle w:val="CM7"/>
        <w:rPr>
          <w:rFonts w:ascii="Book Antiqua" w:hAnsi="Book Antiqua"/>
          <w:color w:val="004890"/>
          <w:sz w:val="22"/>
          <w:szCs w:val="22"/>
        </w:rPr>
      </w:pPr>
      <w:r>
        <w:rPr>
          <w:rFonts w:ascii="Book Antiqua" w:hAnsi="Book Antiqua"/>
          <w:noProof/>
          <w:sz w:val="22"/>
          <w:szCs w:val="22"/>
          <w:lang w:val="en-US" w:eastAsia="en-US"/>
        </w:rPr>
        <w:pict w14:anchorId="09FE3391">
          <v:rect id="_x0000_s1028" style="position:absolute;left:0;text-align:left;margin-left:138.75pt;margin-top:10.25pt;width:80.25pt;height:56.95pt;z-index:251471360" strokeweight="2.25pt">
            <v:textbox style="mso-next-textbox:#_x0000_s1028">
              <w:txbxContent>
                <w:p w14:paraId="376E0026" w14:textId="77777777" w:rsidR="00E2396E" w:rsidRPr="00906605" w:rsidRDefault="00E2396E" w:rsidP="00AF74E7">
                  <w:pPr>
                    <w:spacing w:line="360" w:lineRule="auto"/>
                    <w:jc w:val="center"/>
                    <w:rPr>
                      <w:rFonts w:ascii="Century Gothic" w:hAnsi="Century Gothic"/>
                      <w:b/>
                    </w:rPr>
                  </w:pPr>
                  <w:r w:rsidRPr="00906605">
                    <w:rPr>
                      <w:rFonts w:ascii="Century Gothic" w:hAnsi="Century Gothic"/>
                      <w:b/>
                    </w:rPr>
                    <w:t>Effective</w:t>
                  </w:r>
                </w:p>
                <w:p w14:paraId="1208910B" w14:textId="77777777" w:rsidR="00E2396E" w:rsidRPr="00906605" w:rsidRDefault="00E2396E" w:rsidP="002E24D5">
                  <w:pPr>
                    <w:spacing w:line="360" w:lineRule="auto"/>
                    <w:jc w:val="center"/>
                    <w:rPr>
                      <w:rFonts w:ascii="Century Gothic" w:hAnsi="Century Gothic"/>
                      <w:b/>
                    </w:rPr>
                  </w:pPr>
                  <w:r w:rsidRPr="00906605">
                    <w:rPr>
                      <w:rFonts w:ascii="Century Gothic" w:hAnsi="Century Gothic"/>
                      <w:b/>
                    </w:rPr>
                    <w:t>Processes</w:t>
                  </w:r>
                </w:p>
              </w:txbxContent>
            </v:textbox>
          </v:rect>
        </w:pict>
      </w:r>
      <w:r>
        <w:rPr>
          <w:rFonts w:ascii="Book Antiqua" w:hAnsi="Book Antiqua"/>
          <w:noProof/>
          <w:sz w:val="22"/>
          <w:szCs w:val="22"/>
          <w:lang w:val="en-US" w:eastAsia="en-US"/>
        </w:rPr>
        <w:pict w14:anchorId="780D00D6">
          <v:rect id="_x0000_s1029" style="position:absolute;left:0;text-align:left;margin-left:249.3pt;margin-top:8.65pt;width:72.35pt;height:60.75pt;z-index:-251844096" wrapcoords="-315 -465 -315 21600 21915 21600 21915 -465 -315 -465" strokeweight="2.25pt">
            <v:textbox style="mso-next-textbox:#_x0000_s1029">
              <w:txbxContent>
                <w:p w14:paraId="3A8BCA8E" w14:textId="77777777" w:rsidR="00E2396E" w:rsidRDefault="00E2396E" w:rsidP="00A71919"/>
                <w:p w14:paraId="1FE66C80" w14:textId="77777777" w:rsidR="00E2396E" w:rsidRPr="00906605" w:rsidRDefault="00E2396E" w:rsidP="002E24D5">
                  <w:pPr>
                    <w:rPr>
                      <w:rFonts w:ascii="Century Gothic" w:hAnsi="Century Gothic"/>
                      <w:b/>
                    </w:rPr>
                  </w:pPr>
                  <w:r w:rsidRPr="00906605">
                    <w:rPr>
                      <w:rFonts w:ascii="Century Gothic" w:hAnsi="Century Gothic"/>
                      <w:b/>
                    </w:rPr>
                    <w:t>Credibility</w:t>
                  </w:r>
                </w:p>
              </w:txbxContent>
            </v:textbox>
            <w10:wrap type="tight"/>
          </v:rect>
        </w:pict>
      </w:r>
    </w:p>
    <w:p w14:paraId="422E7AC8" w14:textId="77777777" w:rsidR="002E24D5" w:rsidRPr="00E3232D" w:rsidRDefault="00850DC5" w:rsidP="008275E1">
      <w:pPr>
        <w:pStyle w:val="CM7"/>
        <w:rPr>
          <w:rFonts w:ascii="Book Antiqua" w:hAnsi="Book Antiqua"/>
          <w:color w:val="004890"/>
          <w:sz w:val="22"/>
          <w:szCs w:val="22"/>
        </w:rPr>
      </w:pPr>
      <w:r>
        <w:rPr>
          <w:rFonts w:ascii="Book Antiqua" w:hAnsi="Book Antiqua"/>
          <w:b/>
          <w:noProof/>
          <w:sz w:val="22"/>
          <w:szCs w:val="22"/>
          <w:lang w:val="en-US" w:eastAsia="en-US"/>
        </w:rPr>
        <w:pict w14:anchorId="25E616AB">
          <v:shape id="_x0000_s1032" type="#_x0000_t32" style="position:absolute;left:0;text-align:left;margin-left:219pt;margin-top:13.15pt;width:30.3pt;height:0;z-index:251475456" o:connectortype="straight" strokeweight="2.25pt">
            <v:stroke endarrow="block"/>
          </v:shape>
        </w:pict>
      </w:r>
      <w:r>
        <w:rPr>
          <w:rFonts w:ascii="Book Antiqua" w:hAnsi="Book Antiqua"/>
          <w:b/>
          <w:noProof/>
          <w:sz w:val="22"/>
          <w:szCs w:val="22"/>
          <w:lang w:val="en-US" w:eastAsia="en-US"/>
        </w:rPr>
        <w:pict w14:anchorId="07005A98">
          <v:shape id="_x0000_s1031" type="#_x0000_t32" style="position:absolute;left:0;text-align:left;margin-left:95.25pt;margin-top:20.6pt;width:43.5pt;height:42.05pt;flip:y;z-index:251474432" o:connectortype="straight" strokeweight="2.25pt">
            <v:stroke endarrow="block"/>
          </v:shape>
        </w:pict>
      </w:r>
    </w:p>
    <w:p w14:paraId="0C292672" w14:textId="77777777" w:rsidR="002E24D5" w:rsidRPr="00E3232D" w:rsidRDefault="00850DC5" w:rsidP="008275E1">
      <w:pPr>
        <w:pStyle w:val="Default"/>
        <w:rPr>
          <w:rFonts w:ascii="Book Antiqua" w:hAnsi="Book Antiqua"/>
          <w:sz w:val="22"/>
          <w:szCs w:val="22"/>
        </w:rPr>
      </w:pPr>
      <w:r>
        <w:rPr>
          <w:rFonts w:ascii="Book Antiqua" w:hAnsi="Book Antiqua"/>
          <w:b/>
          <w:noProof/>
          <w:sz w:val="22"/>
          <w:szCs w:val="22"/>
          <w:lang w:val="en-US" w:eastAsia="en-US"/>
        </w:rPr>
        <w:pict w14:anchorId="33A01CBC">
          <v:rect id="_x0000_s1027" style="position:absolute;left:0;text-align:left;margin-left:7.2pt;margin-top:7.65pt;width:88.05pt;height:66.75pt;z-index:251470336" strokeweight="2.25pt">
            <v:textbox style="mso-next-textbox:#_x0000_s1027">
              <w:txbxContent>
                <w:p w14:paraId="7001A3E9" w14:textId="77777777" w:rsidR="00E2396E" w:rsidRDefault="00E2396E" w:rsidP="002E24D5">
                  <w:pPr>
                    <w:jc w:val="center"/>
                  </w:pPr>
                </w:p>
                <w:p w14:paraId="09FA16B0" w14:textId="77777777" w:rsidR="00E2396E" w:rsidRPr="00906605" w:rsidRDefault="00E2396E" w:rsidP="002E24D5">
                  <w:pPr>
                    <w:jc w:val="center"/>
                    <w:rPr>
                      <w:rFonts w:ascii="Century Gothic" w:hAnsi="Century Gothic"/>
                      <w:b/>
                    </w:rPr>
                  </w:pPr>
                  <w:r w:rsidRPr="00906605">
                    <w:rPr>
                      <w:rFonts w:ascii="Century Gothic" w:hAnsi="Century Gothic"/>
                      <w:b/>
                    </w:rPr>
                    <w:t>Content</w:t>
                  </w:r>
                </w:p>
              </w:txbxContent>
            </v:textbox>
          </v:rect>
        </w:pict>
      </w:r>
    </w:p>
    <w:p w14:paraId="21B4AA73" w14:textId="77777777" w:rsidR="002E24D5" w:rsidRPr="00E3232D" w:rsidRDefault="002E24D5" w:rsidP="008275E1">
      <w:pPr>
        <w:pStyle w:val="Default"/>
        <w:rPr>
          <w:rFonts w:ascii="Book Antiqua" w:hAnsi="Book Antiqua"/>
          <w:sz w:val="22"/>
          <w:szCs w:val="22"/>
        </w:rPr>
      </w:pPr>
    </w:p>
    <w:p w14:paraId="2AFBB8BF" w14:textId="77777777" w:rsidR="003E504E" w:rsidRDefault="003E504E" w:rsidP="008275E1">
      <w:pPr>
        <w:pStyle w:val="CM7"/>
        <w:rPr>
          <w:rFonts w:ascii="Book Antiqua" w:hAnsi="Book Antiqua"/>
          <w:b/>
          <w:color w:val="000000"/>
          <w:sz w:val="22"/>
          <w:szCs w:val="22"/>
        </w:rPr>
      </w:pPr>
    </w:p>
    <w:p w14:paraId="15EB4F5B" w14:textId="77777777" w:rsidR="002E24D5" w:rsidRPr="00E3232D" w:rsidRDefault="002E24D5" w:rsidP="008275E1">
      <w:pPr>
        <w:pStyle w:val="CM7"/>
        <w:rPr>
          <w:rFonts w:ascii="Book Antiqua" w:hAnsi="Book Antiqua"/>
          <w:b/>
          <w:color w:val="000000"/>
          <w:sz w:val="22"/>
          <w:szCs w:val="22"/>
        </w:rPr>
      </w:pPr>
      <w:r w:rsidRPr="00E3232D">
        <w:rPr>
          <w:rFonts w:ascii="Book Antiqua" w:hAnsi="Book Antiqua"/>
          <w:b/>
          <w:color w:val="000000"/>
          <w:sz w:val="22"/>
          <w:szCs w:val="22"/>
        </w:rPr>
        <w:t xml:space="preserve">Figure 1: Model for Effective Collaboration </w:t>
      </w:r>
    </w:p>
    <w:p w14:paraId="7F5012F9" w14:textId="77777777" w:rsidR="002E24D5" w:rsidRPr="009450B6" w:rsidRDefault="002E24D5" w:rsidP="008275E1">
      <w:pPr>
        <w:pStyle w:val="CM7"/>
        <w:rPr>
          <w:rFonts w:ascii="Book Antiqua" w:hAnsi="Book Antiqua"/>
          <w:b/>
          <w:color w:val="000000"/>
          <w:sz w:val="22"/>
          <w:szCs w:val="22"/>
        </w:rPr>
      </w:pPr>
      <w:r w:rsidRPr="009450B6">
        <w:rPr>
          <w:rFonts w:ascii="Book Antiqua" w:hAnsi="Book Antiqua"/>
          <w:b/>
          <w:color w:val="000000"/>
          <w:sz w:val="22"/>
          <w:szCs w:val="22"/>
        </w:rPr>
        <w:t xml:space="preserve">Context </w:t>
      </w:r>
    </w:p>
    <w:p w14:paraId="3DF4CE26" w14:textId="77777777" w:rsidR="002742FF" w:rsidRDefault="002E24D5" w:rsidP="008275E1">
      <w:pPr>
        <w:pStyle w:val="CM7"/>
        <w:rPr>
          <w:rFonts w:ascii="Book Antiqua" w:hAnsi="Book Antiqua"/>
          <w:color w:val="221E1F"/>
          <w:sz w:val="22"/>
          <w:szCs w:val="22"/>
        </w:rPr>
      </w:pPr>
      <w:r w:rsidRPr="00E3232D">
        <w:rPr>
          <w:rFonts w:ascii="Book Antiqua" w:hAnsi="Book Antiqua"/>
          <w:color w:val="221E1F"/>
          <w:sz w:val="22"/>
          <w:szCs w:val="22"/>
        </w:rPr>
        <w:t>A theme that emerges from literature is that the academia must understand the context of the industrial sector and the implications of strategic implementation in that sector. This links closely to the credibility of the academics if they are to be effective i</w:t>
      </w:r>
      <w:r w:rsidR="002742FF">
        <w:rPr>
          <w:rFonts w:ascii="Book Antiqua" w:hAnsi="Book Antiqua"/>
          <w:color w:val="221E1F"/>
          <w:sz w:val="22"/>
          <w:szCs w:val="22"/>
        </w:rPr>
        <w:t xml:space="preserve">n engaging with practice. </w:t>
      </w:r>
    </w:p>
    <w:p w14:paraId="73954CA9" w14:textId="77777777" w:rsidR="002E24D5" w:rsidRPr="00E3232D" w:rsidRDefault="002E24D5" w:rsidP="008275E1">
      <w:pPr>
        <w:pStyle w:val="CM7"/>
        <w:rPr>
          <w:rFonts w:ascii="Book Antiqua" w:hAnsi="Book Antiqua"/>
          <w:color w:val="221E1F"/>
          <w:sz w:val="22"/>
          <w:szCs w:val="22"/>
        </w:rPr>
      </w:pPr>
      <w:r w:rsidRPr="00E3232D">
        <w:rPr>
          <w:rFonts w:ascii="Book Antiqua" w:hAnsi="Book Antiqua"/>
          <w:color w:val="221E1F"/>
          <w:sz w:val="22"/>
          <w:szCs w:val="22"/>
        </w:rPr>
        <w:t>Industry</w:t>
      </w:r>
      <w:r w:rsidR="002742FF">
        <w:rPr>
          <w:rFonts w:ascii="Book Antiqua" w:hAnsi="Book Antiqua"/>
          <w:color w:val="221E1F"/>
          <w:sz w:val="22"/>
          <w:szCs w:val="22"/>
        </w:rPr>
        <w:t xml:space="preserve"> </w:t>
      </w:r>
      <w:r w:rsidRPr="00E3232D">
        <w:rPr>
          <w:rFonts w:ascii="Book Antiqua" w:hAnsi="Book Antiqua"/>
          <w:color w:val="221E1F"/>
          <w:sz w:val="22"/>
          <w:szCs w:val="22"/>
        </w:rPr>
        <w:t xml:space="preserve">practitioners will require </w:t>
      </w:r>
      <w:r w:rsidRPr="00E3232D">
        <w:rPr>
          <w:rFonts w:ascii="Book Antiqua" w:hAnsi="Book Antiqua"/>
          <w:color w:val="221E1F"/>
          <w:sz w:val="22"/>
          <w:szCs w:val="22"/>
        </w:rPr>
        <w:t xml:space="preserve">academic engagement at the highest level. Younger or less experienced academics may lack the experience to operate effectively at this level, yet how are they to develop this experience and expertise? Gaining credibility will require academics to put a greater emphasis on ﬁnding opportunities to work in the context of practice. For those with relevant practical experience, this perhaps means seeking out consultancy work or other schemes to ensure ongoing and up-to-date contact with strategic industrial engagements in the real world. These also may provide opportunities for experienced academics to involve less experienced colleagues as a way of building experience and credibility. </w:t>
      </w:r>
    </w:p>
    <w:p w14:paraId="41AAECD3" w14:textId="77777777" w:rsidR="003E504E" w:rsidRPr="00787EFD" w:rsidRDefault="002E24D5" w:rsidP="008275E1">
      <w:pPr>
        <w:pStyle w:val="CM7"/>
        <w:rPr>
          <w:rFonts w:ascii="Book Antiqua" w:hAnsi="Book Antiqua"/>
          <w:color w:val="221E1F"/>
          <w:sz w:val="22"/>
          <w:szCs w:val="22"/>
        </w:rPr>
      </w:pPr>
      <w:r w:rsidRPr="00E3232D">
        <w:rPr>
          <w:rFonts w:ascii="Book Antiqua" w:hAnsi="Book Antiqua"/>
          <w:color w:val="221E1F"/>
          <w:sz w:val="22"/>
          <w:szCs w:val="22"/>
        </w:rPr>
        <w:t xml:space="preserve">Alternatively, the less experienced academic may gain credibility through seeking placement opportunities with industry and other organizations. In either case, universities will need to invest in the development of less experienced academics by allowing sabbaticals or regular time off from teaching to work. An increased priority on working in context on the side of academics needs to be matched by a willingness of practitioners to involve academics more closely. It is suggested that this will be very dependent on the attitude of practitioners to the world of academia. Broadly, industrial practitioners fall into three groups: those who actively seek out links with academia; those who are well-disposed to academia but do not seek contact, and those who are negative towards any </w:t>
      </w:r>
      <w:r w:rsidRPr="00E3232D">
        <w:rPr>
          <w:rFonts w:ascii="Book Antiqua" w:hAnsi="Book Antiqua"/>
          <w:color w:val="221E1F"/>
          <w:sz w:val="22"/>
          <w:szCs w:val="22"/>
        </w:rPr>
        <w:lastRenderedPageBreak/>
        <w:t xml:space="preserve">involvement. </w:t>
      </w:r>
    </w:p>
    <w:p w14:paraId="554C3730" w14:textId="77777777" w:rsidR="002E24D5" w:rsidRPr="009450B6" w:rsidRDefault="002E24D5" w:rsidP="008275E1">
      <w:pPr>
        <w:pStyle w:val="CM7"/>
        <w:rPr>
          <w:rFonts w:ascii="Book Antiqua" w:hAnsi="Book Antiqua"/>
          <w:b/>
          <w:color w:val="000000"/>
          <w:sz w:val="22"/>
          <w:szCs w:val="22"/>
        </w:rPr>
      </w:pPr>
      <w:r w:rsidRPr="009450B6">
        <w:rPr>
          <w:rFonts w:ascii="Book Antiqua" w:hAnsi="Book Antiqua"/>
          <w:b/>
          <w:color w:val="000000"/>
          <w:sz w:val="22"/>
          <w:szCs w:val="22"/>
        </w:rPr>
        <w:t xml:space="preserve">Content </w:t>
      </w:r>
    </w:p>
    <w:p w14:paraId="67EE12CA" w14:textId="77777777" w:rsidR="002E24D5" w:rsidRPr="00E3232D" w:rsidRDefault="002E24D5" w:rsidP="003E504E">
      <w:pPr>
        <w:pStyle w:val="CM11"/>
        <w:spacing w:after="0"/>
        <w:rPr>
          <w:rFonts w:ascii="Book Antiqua" w:hAnsi="Book Antiqua"/>
          <w:color w:val="221E1F"/>
          <w:sz w:val="22"/>
          <w:szCs w:val="22"/>
        </w:rPr>
      </w:pPr>
      <w:r w:rsidRPr="00E3232D">
        <w:rPr>
          <w:rFonts w:ascii="Book Antiqua" w:hAnsi="Book Antiqua"/>
          <w:color w:val="221E1F"/>
          <w:sz w:val="22"/>
          <w:szCs w:val="22"/>
        </w:rPr>
        <w:t xml:space="preserve">Convergence views indicate that academic outputs do not generally reach the industrial community because of their format, the language employed and the lack of relevance of the subject matter to their immediate needs. But how far do the existing academic culture and systems really encourage the development of content for industrial communities? In the UK, the Research Assessment Exercise (RAE) and other institutional mechanisms for directing funds for research emphasize publication in a limited number of high-ranking academic journals. In turn, individual tertiary institutions respond to this through their recruitment and promotion policies designed to optimize their research ranking as measured mainly through academic publication and research grants awarded. In addition, individual academics who are lead researchers in their ﬁeld tend to interact with other lead researchers only at specialist conferences. The use of narrow measures of academic endeavour designed to encourage academic rigor does little to motivate academics to relate to issues that are considered important to the world of practice and little to encourage knowledge dissemination and debate outside the academic community. </w:t>
      </w:r>
    </w:p>
    <w:p w14:paraId="3353ADDE" w14:textId="77777777" w:rsidR="002E24D5" w:rsidRPr="00E3232D" w:rsidRDefault="002E24D5" w:rsidP="003E504E">
      <w:pPr>
        <w:pStyle w:val="Default"/>
        <w:spacing w:after="0"/>
        <w:rPr>
          <w:rFonts w:ascii="Book Antiqua" w:hAnsi="Book Antiqua"/>
          <w:sz w:val="22"/>
          <w:szCs w:val="22"/>
        </w:rPr>
      </w:pPr>
    </w:p>
    <w:p w14:paraId="2C41F95D" w14:textId="77777777" w:rsidR="002E24D5" w:rsidRPr="00E3232D" w:rsidRDefault="002E24D5" w:rsidP="003E504E">
      <w:pPr>
        <w:pStyle w:val="CM8"/>
        <w:spacing w:after="0"/>
        <w:rPr>
          <w:rFonts w:ascii="Book Antiqua" w:hAnsi="Book Antiqua"/>
          <w:color w:val="221E1F"/>
          <w:sz w:val="22"/>
          <w:szCs w:val="22"/>
        </w:rPr>
      </w:pPr>
      <w:r w:rsidRPr="00E3232D">
        <w:rPr>
          <w:rFonts w:ascii="Book Antiqua" w:hAnsi="Book Antiqua"/>
          <w:color w:val="221E1F"/>
          <w:sz w:val="22"/>
          <w:szCs w:val="22"/>
        </w:rPr>
        <w:t xml:space="preserve">Therefore new measures of academic excellence will need to be developed in order to encourage more academics to pursue activities relating to stimulating wider debate and dissemination. At the level of individual academics, this could </w:t>
      </w:r>
      <w:r w:rsidRPr="00E3232D">
        <w:rPr>
          <w:rFonts w:ascii="Book Antiqua" w:hAnsi="Book Antiqua"/>
          <w:color w:val="221E1F"/>
          <w:sz w:val="22"/>
          <w:szCs w:val="22"/>
        </w:rPr>
        <w:t xml:space="preserve">start with the process of setting the agenda for research. How important is the research topic to the wider community? This, of course, requires involvement in the social process of relationship building. However, the development of relationships between academics and industrial practitioners does not emerge automatically. Collaboration needs to be proactively developed and managed. </w:t>
      </w:r>
    </w:p>
    <w:p w14:paraId="7A0824D8" w14:textId="77777777" w:rsidR="00CA59AF" w:rsidRDefault="00CA59AF" w:rsidP="00CA59AF">
      <w:pPr>
        <w:pStyle w:val="CM7"/>
        <w:spacing w:after="0"/>
        <w:rPr>
          <w:rFonts w:ascii="Book Antiqua" w:hAnsi="Book Antiqua"/>
          <w:b/>
          <w:i/>
          <w:color w:val="000000"/>
          <w:sz w:val="22"/>
          <w:szCs w:val="22"/>
        </w:rPr>
      </w:pPr>
    </w:p>
    <w:p w14:paraId="257A7E49" w14:textId="77777777" w:rsidR="002E24D5" w:rsidRPr="00CC75E3" w:rsidRDefault="002E24D5" w:rsidP="008275E1">
      <w:pPr>
        <w:pStyle w:val="CM7"/>
        <w:rPr>
          <w:rFonts w:ascii="Book Antiqua" w:hAnsi="Book Antiqua"/>
          <w:b/>
          <w:color w:val="000000"/>
          <w:sz w:val="22"/>
          <w:szCs w:val="22"/>
        </w:rPr>
      </w:pPr>
      <w:r w:rsidRPr="00CC75E3">
        <w:rPr>
          <w:rFonts w:ascii="Book Antiqua" w:hAnsi="Book Antiqua"/>
          <w:b/>
          <w:color w:val="000000"/>
          <w:sz w:val="22"/>
          <w:szCs w:val="22"/>
        </w:rPr>
        <w:t xml:space="preserve">Effective </w:t>
      </w:r>
      <w:r w:rsidR="00787EFD" w:rsidRPr="00CC75E3">
        <w:rPr>
          <w:rFonts w:ascii="Book Antiqua" w:hAnsi="Book Antiqua"/>
          <w:b/>
          <w:color w:val="000000"/>
          <w:sz w:val="22"/>
          <w:szCs w:val="22"/>
        </w:rPr>
        <w:t xml:space="preserve">Processes </w:t>
      </w:r>
    </w:p>
    <w:p w14:paraId="674B8E42" w14:textId="77777777" w:rsidR="002E24D5" w:rsidRPr="00E3232D" w:rsidRDefault="002E24D5" w:rsidP="003E504E">
      <w:pPr>
        <w:pStyle w:val="CM7"/>
        <w:spacing w:after="0"/>
        <w:rPr>
          <w:rFonts w:ascii="Book Antiqua" w:hAnsi="Book Antiqua"/>
          <w:color w:val="221E1F"/>
          <w:sz w:val="22"/>
          <w:szCs w:val="22"/>
        </w:rPr>
      </w:pPr>
      <w:r w:rsidRPr="00E3232D">
        <w:rPr>
          <w:rFonts w:ascii="Book Antiqua" w:hAnsi="Book Antiqua"/>
          <w:color w:val="221E1F"/>
          <w:sz w:val="22"/>
          <w:szCs w:val="22"/>
        </w:rPr>
        <w:t xml:space="preserve">Tertiary institutions must understand the knowledge needs of the industrial community and provide frameworks for collaboration often on a multidisciplinary basis. Academics should be well-positioned to contribute to situations where a client already working with their institutions, for example, an innovative engineering project is identiﬁed as need to address strategic change issues.  However, the major barrier to knowledge exchange is a perceived lack of accessibility. There is a need for a process of translation, synthesis, interpretation and delivery if academic research is to be more effectively shared outside the academic community. One suggestion emerging from research is that the academia can provide a valuable knowledge brokering role and, again, academics would seem to be strongly placed to contribute to this. Knowledge brokering is about more than teaching and research, requiring institutions to understand the knowledge needs of their communities and to support academics in serving the needs on an ongoing basis. This again relates back to the role that the higher educational institutions play within their communities. Research </w:t>
      </w:r>
      <w:r w:rsidRPr="00E3232D">
        <w:rPr>
          <w:rFonts w:ascii="Book Antiqua" w:hAnsi="Book Antiqua"/>
          <w:color w:val="221E1F"/>
          <w:sz w:val="22"/>
          <w:szCs w:val="22"/>
        </w:rPr>
        <w:lastRenderedPageBreak/>
        <w:t xml:space="preserve">suggests that more ﬁrms would contact and liaise with academia if they had a better understanding on what is available from tertiary institutions and if they believed that tertiary institutions could relate to their ‘‘real world’’ problems. </w:t>
      </w:r>
    </w:p>
    <w:p w14:paraId="589D6EB7" w14:textId="77777777" w:rsidR="002E24D5" w:rsidRPr="00E3232D" w:rsidRDefault="002E24D5" w:rsidP="003E504E">
      <w:pPr>
        <w:pStyle w:val="CM7"/>
        <w:spacing w:after="0"/>
        <w:rPr>
          <w:rFonts w:ascii="Book Antiqua" w:hAnsi="Book Antiqua"/>
          <w:color w:val="004890"/>
          <w:sz w:val="22"/>
          <w:szCs w:val="22"/>
        </w:rPr>
      </w:pPr>
    </w:p>
    <w:p w14:paraId="2AAD3C2C" w14:textId="77777777" w:rsidR="002E24D5" w:rsidRPr="00E3232D" w:rsidRDefault="002E24D5" w:rsidP="003E504E">
      <w:pPr>
        <w:pStyle w:val="CM7"/>
        <w:numPr>
          <w:ilvl w:val="0"/>
          <w:numId w:val="13"/>
        </w:numPr>
        <w:spacing w:after="0"/>
        <w:rPr>
          <w:rFonts w:ascii="Book Antiqua" w:hAnsi="Book Antiqua"/>
          <w:b/>
          <w:color w:val="000000"/>
          <w:sz w:val="22"/>
          <w:szCs w:val="22"/>
        </w:rPr>
      </w:pPr>
      <w:r w:rsidRPr="00787EFD">
        <w:rPr>
          <w:rFonts w:ascii="Book Antiqua" w:hAnsi="Book Antiqua"/>
          <w:b/>
          <w:color w:val="000000"/>
          <w:sz w:val="26"/>
          <w:szCs w:val="22"/>
        </w:rPr>
        <w:t>Conclusions</w:t>
      </w:r>
      <w:r w:rsidRPr="00E3232D">
        <w:rPr>
          <w:rFonts w:ascii="Book Antiqua" w:hAnsi="Book Antiqua"/>
          <w:b/>
          <w:color w:val="000000"/>
          <w:sz w:val="22"/>
          <w:szCs w:val="22"/>
        </w:rPr>
        <w:t xml:space="preserve"> </w:t>
      </w:r>
    </w:p>
    <w:p w14:paraId="52EA27B8" w14:textId="77777777" w:rsidR="002E24D5" w:rsidRPr="00E12645" w:rsidRDefault="002E24D5" w:rsidP="00E12645">
      <w:pPr>
        <w:pStyle w:val="CM8"/>
        <w:spacing w:after="0"/>
        <w:rPr>
          <w:rFonts w:ascii="Book Antiqua" w:hAnsi="Book Antiqua"/>
          <w:color w:val="221E1F"/>
          <w:sz w:val="22"/>
          <w:szCs w:val="22"/>
        </w:rPr>
      </w:pPr>
      <w:r w:rsidRPr="00E3232D">
        <w:rPr>
          <w:rFonts w:ascii="Book Antiqua" w:hAnsi="Book Antiqua"/>
          <w:color w:val="221E1F"/>
          <w:sz w:val="22"/>
          <w:szCs w:val="22"/>
        </w:rPr>
        <w:t xml:space="preserve">Organizations in both the private and public sector are facing environments that are changing rapidly in the face of globalization and continuing technological development. However, there is little evidence that new developments in thinking about industrial strategy and collaborations are guiding organizational practice. Organizations, for good reasons, seem to have absorbed standard, iconic strategy techniques and processes and are not, generally, relying on academia for new insights. Academics therefore need to take steps to ensure that they remain, or indeed become credible amongst strategic industrial practitioners. This paper suggests how this can be achieved through attention to context, content and processes. </w:t>
      </w:r>
    </w:p>
    <w:p w14:paraId="7C029F79" w14:textId="77777777" w:rsidR="0059497C" w:rsidRPr="00E3232D" w:rsidRDefault="0059497C" w:rsidP="008275E1">
      <w:pPr>
        <w:pStyle w:val="NormalWeb"/>
        <w:spacing w:before="0" w:beforeAutospacing="0" w:after="0" w:afterAutospacing="0" w:line="276" w:lineRule="auto"/>
        <w:rPr>
          <w:rFonts w:ascii="Book Antiqua" w:hAnsi="Book Antiqua"/>
          <w:b/>
          <w:sz w:val="22"/>
          <w:szCs w:val="22"/>
        </w:rPr>
      </w:pPr>
    </w:p>
    <w:p w14:paraId="0BACD8CD" w14:textId="77777777" w:rsidR="002E24D5" w:rsidRPr="00E3232D" w:rsidRDefault="002E24D5" w:rsidP="008275E1">
      <w:pPr>
        <w:pStyle w:val="NormalWeb"/>
        <w:spacing w:before="0" w:beforeAutospacing="0" w:after="0" w:afterAutospacing="0" w:line="276" w:lineRule="auto"/>
        <w:rPr>
          <w:rFonts w:ascii="Book Antiqua" w:hAnsi="Book Antiqua"/>
          <w:b/>
          <w:sz w:val="22"/>
          <w:szCs w:val="22"/>
        </w:rPr>
      </w:pPr>
      <w:r w:rsidRPr="00787EFD">
        <w:rPr>
          <w:rFonts w:ascii="Book Antiqua" w:hAnsi="Book Antiqua"/>
          <w:b/>
          <w:sz w:val="26"/>
          <w:szCs w:val="22"/>
        </w:rPr>
        <w:t>References</w:t>
      </w:r>
      <w:r w:rsidRPr="00E3232D">
        <w:rPr>
          <w:rFonts w:ascii="Book Antiqua" w:hAnsi="Book Antiqua"/>
          <w:b/>
          <w:sz w:val="22"/>
          <w:szCs w:val="22"/>
        </w:rPr>
        <w:t xml:space="preserve"> </w:t>
      </w:r>
    </w:p>
    <w:p w14:paraId="0105DD0F" w14:textId="77777777" w:rsidR="002E24D5" w:rsidRPr="00E3232D" w:rsidRDefault="002E24D5" w:rsidP="008275E1">
      <w:pPr>
        <w:pStyle w:val="NormalWeb"/>
        <w:spacing w:before="0" w:beforeAutospacing="0" w:after="0" w:afterAutospacing="0" w:line="276" w:lineRule="auto"/>
        <w:rPr>
          <w:rFonts w:ascii="Book Antiqua" w:hAnsi="Book Antiqua"/>
          <w:sz w:val="22"/>
          <w:szCs w:val="22"/>
        </w:rPr>
      </w:pPr>
      <w:r w:rsidRPr="00E3232D">
        <w:rPr>
          <w:rFonts w:ascii="Book Antiqua" w:hAnsi="Book Antiqua"/>
          <w:sz w:val="22"/>
          <w:szCs w:val="22"/>
        </w:rPr>
        <w:t xml:space="preserve">Bennis, W.G. and O’Toole, J. (2005). How business schools lost their way,   </w:t>
      </w:r>
    </w:p>
    <w:p w14:paraId="58FE3ED9" w14:textId="77777777" w:rsidR="002E24D5" w:rsidRPr="00E3232D" w:rsidRDefault="002E24D5" w:rsidP="008275E1">
      <w:pPr>
        <w:pStyle w:val="NormalWeb"/>
        <w:spacing w:before="0" w:beforeAutospacing="0" w:after="0" w:afterAutospacing="0" w:line="276" w:lineRule="auto"/>
        <w:rPr>
          <w:rFonts w:ascii="Book Antiqua" w:hAnsi="Book Antiqua"/>
          <w:sz w:val="22"/>
          <w:szCs w:val="22"/>
        </w:rPr>
      </w:pPr>
      <w:r w:rsidRPr="00E3232D">
        <w:rPr>
          <w:rFonts w:ascii="Book Antiqua" w:hAnsi="Book Antiqua"/>
          <w:sz w:val="22"/>
          <w:szCs w:val="22"/>
        </w:rPr>
        <w:t xml:space="preserve">        </w:t>
      </w:r>
      <w:r w:rsidRPr="00E3232D">
        <w:rPr>
          <w:rFonts w:ascii="Book Antiqua" w:hAnsi="Book Antiqua"/>
          <w:i/>
          <w:sz w:val="22"/>
          <w:szCs w:val="22"/>
        </w:rPr>
        <w:t>Harvard Business Review</w:t>
      </w:r>
      <w:r w:rsidRPr="00E3232D">
        <w:rPr>
          <w:rFonts w:ascii="Book Antiqua" w:hAnsi="Book Antiqua"/>
          <w:sz w:val="22"/>
          <w:szCs w:val="22"/>
        </w:rPr>
        <w:t>, Vol. 83 No. 5, pp. 96-104.</w:t>
      </w:r>
    </w:p>
    <w:p w14:paraId="2CBDDFBA" w14:textId="77777777" w:rsidR="002E24D5" w:rsidRPr="00E3232D" w:rsidRDefault="002E24D5" w:rsidP="008275E1">
      <w:pPr>
        <w:pStyle w:val="NormalWeb"/>
        <w:spacing w:before="0" w:beforeAutospacing="0" w:after="0" w:afterAutospacing="0" w:line="276" w:lineRule="auto"/>
        <w:rPr>
          <w:rFonts w:ascii="Book Antiqua" w:hAnsi="Book Antiqua"/>
          <w:sz w:val="22"/>
          <w:szCs w:val="22"/>
        </w:rPr>
      </w:pPr>
    </w:p>
    <w:p w14:paraId="0B3CC029" w14:textId="77777777" w:rsidR="002E24D5" w:rsidRPr="00E3232D" w:rsidRDefault="002E24D5" w:rsidP="008275E1">
      <w:pPr>
        <w:pStyle w:val="NormalWeb"/>
        <w:spacing w:before="0" w:beforeAutospacing="0" w:after="0" w:afterAutospacing="0" w:line="276" w:lineRule="auto"/>
        <w:rPr>
          <w:rFonts w:ascii="Book Antiqua" w:hAnsi="Book Antiqua"/>
          <w:sz w:val="22"/>
          <w:szCs w:val="22"/>
        </w:rPr>
      </w:pPr>
      <w:r w:rsidRPr="00E3232D">
        <w:rPr>
          <w:rFonts w:ascii="Book Antiqua" w:hAnsi="Book Antiqua"/>
          <w:sz w:val="22"/>
          <w:szCs w:val="22"/>
        </w:rPr>
        <w:t>Bunoti, S. (2011). The Quality of Higher Education in Developing Countries</w:t>
      </w:r>
    </w:p>
    <w:p w14:paraId="34A4935A" w14:textId="77777777" w:rsidR="002E24D5" w:rsidRPr="00E3232D" w:rsidRDefault="002E24D5" w:rsidP="008275E1">
      <w:pPr>
        <w:pStyle w:val="NormalWeb"/>
        <w:spacing w:before="0" w:beforeAutospacing="0" w:after="0" w:afterAutospacing="0" w:line="276" w:lineRule="auto"/>
        <w:rPr>
          <w:rFonts w:ascii="Book Antiqua" w:hAnsi="Book Antiqua"/>
          <w:sz w:val="22"/>
          <w:szCs w:val="22"/>
        </w:rPr>
      </w:pPr>
      <w:r w:rsidRPr="00E3232D">
        <w:rPr>
          <w:rFonts w:ascii="Book Antiqua" w:hAnsi="Book Antiqua"/>
          <w:sz w:val="22"/>
          <w:szCs w:val="22"/>
        </w:rPr>
        <w:t xml:space="preserve">       Needs Department of Psychology, Kyambogo University, Kampala,   </w:t>
      </w:r>
    </w:p>
    <w:p w14:paraId="28B5AEDA" w14:textId="77777777" w:rsidR="002E24D5" w:rsidRPr="00E3232D" w:rsidRDefault="002E24D5" w:rsidP="008275E1">
      <w:pPr>
        <w:pStyle w:val="NormalWeb"/>
        <w:spacing w:before="0" w:beforeAutospacing="0" w:after="0" w:afterAutospacing="0" w:line="276" w:lineRule="auto"/>
        <w:rPr>
          <w:rFonts w:ascii="Book Antiqua" w:hAnsi="Book Antiqua"/>
          <w:sz w:val="22"/>
          <w:szCs w:val="22"/>
        </w:rPr>
      </w:pPr>
      <w:r w:rsidRPr="00E3232D">
        <w:rPr>
          <w:rFonts w:ascii="Book Antiqua" w:hAnsi="Book Antiqua"/>
          <w:sz w:val="22"/>
          <w:szCs w:val="22"/>
        </w:rPr>
        <w:t xml:space="preserve">       Uganda.</w:t>
      </w:r>
    </w:p>
    <w:p w14:paraId="5D019BCA" w14:textId="77777777" w:rsidR="002E24D5" w:rsidRPr="00E3232D" w:rsidRDefault="002E24D5" w:rsidP="008275E1">
      <w:pPr>
        <w:pStyle w:val="NormalWeb"/>
        <w:spacing w:before="0" w:beforeAutospacing="0" w:after="0" w:afterAutospacing="0" w:line="276" w:lineRule="auto"/>
        <w:rPr>
          <w:rFonts w:ascii="Book Antiqua" w:hAnsi="Book Antiqua"/>
          <w:b/>
          <w:color w:val="0070C0"/>
          <w:sz w:val="22"/>
          <w:szCs w:val="22"/>
        </w:rPr>
      </w:pPr>
    </w:p>
    <w:p w14:paraId="21C26FDF" w14:textId="77777777" w:rsidR="002E24D5" w:rsidRPr="00E3232D" w:rsidRDefault="002E24D5" w:rsidP="008275E1">
      <w:pPr>
        <w:pStyle w:val="NormalWeb"/>
        <w:spacing w:before="0" w:beforeAutospacing="0" w:after="0" w:afterAutospacing="0" w:line="276" w:lineRule="auto"/>
        <w:rPr>
          <w:rFonts w:ascii="Book Antiqua" w:hAnsi="Book Antiqua"/>
          <w:sz w:val="22"/>
          <w:szCs w:val="22"/>
        </w:rPr>
      </w:pPr>
      <w:r w:rsidRPr="00E3232D">
        <w:rPr>
          <w:rFonts w:ascii="Book Antiqua" w:hAnsi="Book Antiqua"/>
          <w:sz w:val="22"/>
          <w:szCs w:val="22"/>
        </w:rPr>
        <w:t xml:space="preserve"> Katz, J.S and Martin, B.R. (1997). What is research collaboration?  </w:t>
      </w:r>
    </w:p>
    <w:p w14:paraId="3B4A8F89" w14:textId="77777777" w:rsidR="002E24D5" w:rsidRPr="00E3232D" w:rsidRDefault="002E24D5" w:rsidP="008275E1">
      <w:pPr>
        <w:pStyle w:val="NormalWeb"/>
        <w:spacing w:before="0" w:beforeAutospacing="0" w:after="0" w:afterAutospacing="0" w:line="276" w:lineRule="auto"/>
        <w:rPr>
          <w:rFonts w:ascii="Book Antiqua" w:hAnsi="Book Antiqua"/>
          <w:sz w:val="22"/>
          <w:szCs w:val="22"/>
        </w:rPr>
      </w:pPr>
      <w:r w:rsidRPr="00E3232D">
        <w:rPr>
          <w:rFonts w:ascii="Book Antiqua" w:hAnsi="Book Antiqua"/>
          <w:sz w:val="22"/>
          <w:szCs w:val="22"/>
        </w:rPr>
        <w:t xml:space="preserve">       </w:t>
      </w:r>
      <w:r w:rsidRPr="00E3232D">
        <w:rPr>
          <w:rFonts w:ascii="Book Antiqua" w:hAnsi="Book Antiqua"/>
          <w:i/>
          <w:sz w:val="22"/>
          <w:szCs w:val="22"/>
        </w:rPr>
        <w:t>Research Policy</w:t>
      </w:r>
      <w:r w:rsidRPr="00E3232D">
        <w:rPr>
          <w:rFonts w:ascii="Book Antiqua" w:hAnsi="Book Antiqua"/>
          <w:sz w:val="22"/>
          <w:szCs w:val="22"/>
        </w:rPr>
        <w:t>, Vol. 26, pp. 1-18.</w:t>
      </w:r>
    </w:p>
    <w:p w14:paraId="36714639"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Lambert, R. (2003). Lambert Review of Business-University Collaboration,    </w:t>
      </w:r>
    </w:p>
    <w:p w14:paraId="329FCF2D"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        Final Report, HM Treasury, UK.</w:t>
      </w:r>
    </w:p>
    <w:p w14:paraId="37DBBC5A"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p>
    <w:p w14:paraId="03D59BB8"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Palmintera, D. (2007). Technology Transfer and Commercialization   </w:t>
      </w:r>
    </w:p>
    <w:p w14:paraId="34C39F36" w14:textId="73C78CFA"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       Partnerships,    Innovation Associates Inc, </w:t>
      </w:r>
      <w:hyperlink r:id="rId15" w:history="1">
        <w:r w:rsidRPr="00E3232D">
          <w:rPr>
            <w:rStyle w:val="Hyperlink"/>
            <w:rFonts w:ascii="Book Antiqua" w:hAnsi="Book Antiqua"/>
            <w:sz w:val="22"/>
            <w:szCs w:val="22"/>
          </w:rPr>
          <w:t>www.InnovationAssociates.us</w:t>
        </w:r>
      </w:hyperlink>
    </w:p>
    <w:p w14:paraId="4FBFAB64"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p>
    <w:p w14:paraId="071EEDD4"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Saad, M and Zawdie, G. (2011). Introduction to special issue: The emerging  </w:t>
      </w:r>
    </w:p>
    <w:p w14:paraId="489690F7"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        role of universities in socio-economic development through </w:t>
      </w:r>
    </w:p>
    <w:p w14:paraId="5344415A"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         knowledge networking, Science and Public Policy, Vol. 38, No. 1, </w:t>
      </w:r>
    </w:p>
    <w:p w14:paraId="7C8BE991"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         pp. 3-6.</w:t>
      </w:r>
    </w:p>
    <w:p w14:paraId="1E8C51A5"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p>
    <w:p w14:paraId="0824E510"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Salter, A. J and Martin, B.R. (2001). The economic benefits of publicly </w:t>
      </w:r>
    </w:p>
    <w:p w14:paraId="0A743A2F"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      funded basic   research: a critical review, </w:t>
      </w:r>
      <w:r w:rsidRPr="00E3232D">
        <w:rPr>
          <w:rFonts w:ascii="Book Antiqua" w:hAnsi="Book Antiqua"/>
          <w:i/>
          <w:sz w:val="22"/>
          <w:szCs w:val="22"/>
        </w:rPr>
        <w:t>Research Policy</w:t>
      </w:r>
      <w:r w:rsidRPr="00E3232D">
        <w:rPr>
          <w:rFonts w:ascii="Book Antiqua" w:hAnsi="Book Antiqua"/>
          <w:sz w:val="22"/>
          <w:szCs w:val="22"/>
        </w:rPr>
        <w:t xml:space="preserve"> Vol. 30,  pp. 509–532.</w:t>
      </w:r>
    </w:p>
    <w:p w14:paraId="27E8C65D" w14:textId="77777777" w:rsidR="002E24D5" w:rsidRPr="00E3232D" w:rsidRDefault="002E24D5" w:rsidP="00E12645">
      <w:pPr>
        <w:pStyle w:val="NormalWeb"/>
        <w:spacing w:before="0" w:beforeAutospacing="0" w:after="0" w:afterAutospacing="0" w:line="276" w:lineRule="auto"/>
        <w:jc w:val="both"/>
        <w:rPr>
          <w:rFonts w:ascii="Book Antiqua" w:hAnsi="Book Antiqua"/>
          <w:sz w:val="22"/>
          <w:szCs w:val="22"/>
        </w:rPr>
      </w:pPr>
    </w:p>
    <w:p w14:paraId="280E947C" w14:textId="77777777" w:rsidR="002E24D5" w:rsidRPr="00E3232D" w:rsidRDefault="002E24D5" w:rsidP="00E12645">
      <w:pPr>
        <w:jc w:val="both"/>
        <w:rPr>
          <w:rFonts w:ascii="Book Antiqua" w:hAnsi="Book Antiqua"/>
        </w:rPr>
      </w:pPr>
      <w:r w:rsidRPr="00E3232D">
        <w:rPr>
          <w:rFonts w:ascii="Book Antiqua" w:hAnsi="Book Antiqua"/>
        </w:rPr>
        <w:t xml:space="preserve">Science and Technology Development Fund. (2012). Egypt’s Innovation </w:t>
      </w:r>
    </w:p>
    <w:p w14:paraId="52632373" w14:textId="77777777" w:rsidR="002E24D5" w:rsidRPr="00E3232D" w:rsidRDefault="002E24D5" w:rsidP="00E12645">
      <w:pPr>
        <w:jc w:val="both"/>
        <w:rPr>
          <w:rFonts w:ascii="Book Antiqua" w:hAnsi="Book Antiqua"/>
        </w:rPr>
      </w:pPr>
      <w:r w:rsidRPr="00E3232D">
        <w:rPr>
          <w:rFonts w:ascii="Book Antiqua" w:hAnsi="Book Antiqua"/>
        </w:rPr>
        <w:t xml:space="preserve">      Ecosystem, Innovation Support Department - Science &amp; Technology   </w:t>
      </w:r>
    </w:p>
    <w:p w14:paraId="4053DAC7" w14:textId="77777777" w:rsidR="002E24D5" w:rsidRPr="00E3232D" w:rsidRDefault="002E24D5" w:rsidP="00E12645">
      <w:pPr>
        <w:jc w:val="both"/>
        <w:rPr>
          <w:rFonts w:ascii="Book Antiqua" w:hAnsi="Book Antiqua"/>
        </w:rPr>
      </w:pPr>
      <w:r w:rsidRPr="00E3232D">
        <w:rPr>
          <w:rFonts w:ascii="Book Antiqua" w:hAnsi="Book Antiqua"/>
        </w:rPr>
        <w:t xml:space="preserve">      Development Fund Cairo, Egypt.</w:t>
      </w:r>
    </w:p>
    <w:p w14:paraId="6BFCE2A0" w14:textId="77777777" w:rsidR="002E24D5" w:rsidRPr="00E3232D" w:rsidRDefault="002E24D5" w:rsidP="00E12645">
      <w:pPr>
        <w:jc w:val="both"/>
        <w:rPr>
          <w:rFonts w:ascii="Book Antiqua" w:hAnsi="Book Antiqua"/>
        </w:rPr>
      </w:pPr>
    </w:p>
    <w:p w14:paraId="5F8F0843" w14:textId="77777777" w:rsidR="00802487" w:rsidRDefault="002E24D5" w:rsidP="00E12645">
      <w:pPr>
        <w:jc w:val="both"/>
        <w:rPr>
          <w:rFonts w:ascii="Book Antiqua" w:hAnsi="Book Antiqua"/>
          <w:lang w:eastAsia="en-GB"/>
        </w:rPr>
      </w:pPr>
      <w:r w:rsidRPr="00E3232D">
        <w:rPr>
          <w:rFonts w:ascii="Book Antiqua" w:hAnsi="Book Antiqua"/>
          <w:lang w:eastAsia="en-GB"/>
        </w:rPr>
        <w:t xml:space="preserve">Stückelberger, C. (2012). </w:t>
      </w:r>
      <w:r w:rsidRPr="00E3232D">
        <w:rPr>
          <w:rFonts w:ascii="Book Antiqua" w:hAnsi="Book Antiqua"/>
          <w:i/>
          <w:lang w:eastAsia="en-GB"/>
        </w:rPr>
        <w:t>Trust and ethics in finance innovative ideas from</w:t>
      </w:r>
      <w:r w:rsidR="005B021C" w:rsidRPr="00E3232D">
        <w:rPr>
          <w:rFonts w:ascii="Book Antiqua" w:hAnsi="Book Antiqua"/>
          <w:i/>
          <w:lang w:eastAsia="en-GB"/>
        </w:rPr>
        <w:t xml:space="preserve"> </w:t>
      </w:r>
      <w:r w:rsidRPr="00E3232D">
        <w:rPr>
          <w:rFonts w:ascii="Book Antiqua" w:hAnsi="Book Antiqua"/>
          <w:i/>
          <w:lang w:eastAsia="en-GB"/>
        </w:rPr>
        <w:t>the Robin Cosgrove Prize</w:t>
      </w:r>
      <w:r w:rsidR="005B021C" w:rsidRPr="00E3232D">
        <w:rPr>
          <w:rFonts w:ascii="Book Antiqua" w:hAnsi="Book Antiqua"/>
          <w:lang w:eastAsia="en-GB"/>
        </w:rPr>
        <w:t>, Geneva</w:t>
      </w:r>
      <w:r w:rsidRPr="00E3232D">
        <w:rPr>
          <w:rFonts w:ascii="Book Antiqua" w:hAnsi="Book Antiqua"/>
          <w:lang w:eastAsia="en-GB"/>
        </w:rPr>
        <w:t>, Switzerland: Globethics.net</w:t>
      </w:r>
      <w:r w:rsidR="00BD3BFA">
        <w:rPr>
          <w:rFonts w:ascii="Book Antiqua" w:hAnsi="Book Antiqua"/>
          <w:lang w:eastAsia="en-GB"/>
        </w:rPr>
        <w:t>.</w:t>
      </w:r>
    </w:p>
    <w:p w14:paraId="0D3CE12A" w14:textId="77777777" w:rsidR="003E504E" w:rsidRDefault="003E504E" w:rsidP="008275E1">
      <w:pPr>
        <w:rPr>
          <w:rFonts w:ascii="Book Antiqua" w:hAnsi="Book Antiqua"/>
          <w:lang w:eastAsia="en-GB"/>
        </w:rPr>
      </w:pPr>
    </w:p>
    <w:p w14:paraId="7396AE2B" w14:textId="77777777" w:rsidR="003E504E" w:rsidRDefault="003E504E" w:rsidP="008275E1">
      <w:pPr>
        <w:rPr>
          <w:rFonts w:ascii="Book Antiqua" w:hAnsi="Book Antiqua"/>
          <w:lang w:eastAsia="en-GB"/>
        </w:rPr>
      </w:pPr>
    </w:p>
    <w:p w14:paraId="76A4A460" w14:textId="77777777" w:rsidR="003E504E" w:rsidRPr="00BD3BFA" w:rsidRDefault="003E504E" w:rsidP="008275E1">
      <w:pPr>
        <w:rPr>
          <w:rFonts w:ascii="Book Antiqua" w:hAnsi="Book Antiqua"/>
          <w:i/>
          <w:lang w:eastAsia="en-GB"/>
        </w:rPr>
        <w:sectPr w:rsidR="003E504E" w:rsidRPr="00BD3BFA" w:rsidSect="008F6BC9">
          <w:type w:val="continuous"/>
          <w:pgSz w:w="11907" w:h="16839" w:code="9"/>
          <w:pgMar w:top="1440" w:right="1440" w:bottom="1440" w:left="1440" w:header="720" w:footer="720" w:gutter="0"/>
          <w:cols w:num="2" w:space="720"/>
          <w:docGrid w:linePitch="360"/>
        </w:sectPr>
      </w:pPr>
    </w:p>
    <w:p w14:paraId="2542E15A" w14:textId="77777777" w:rsidR="008A226E" w:rsidRPr="008A226E" w:rsidRDefault="00E12645" w:rsidP="00F963AD">
      <w:pPr>
        <w:pStyle w:val="ListParagraph"/>
        <w:spacing w:after="0" w:line="240" w:lineRule="auto"/>
        <w:ind w:left="0"/>
        <w:jc w:val="center"/>
        <w:rPr>
          <w:rFonts w:ascii="Book Antiqua" w:hAnsi="Book Antiqua"/>
          <w:b/>
          <w:sz w:val="26"/>
          <w:szCs w:val="26"/>
        </w:rPr>
      </w:pPr>
      <w:r w:rsidRPr="008A226E">
        <w:rPr>
          <w:rFonts w:ascii="Book Antiqua" w:hAnsi="Book Antiqua"/>
          <w:b/>
          <w:sz w:val="26"/>
          <w:szCs w:val="26"/>
        </w:rPr>
        <w:t xml:space="preserve">Keynote Address </w:t>
      </w:r>
      <w:r w:rsidR="008A226E" w:rsidRPr="008A226E">
        <w:rPr>
          <w:rFonts w:ascii="Book Antiqua" w:hAnsi="Book Antiqua"/>
          <w:b/>
          <w:sz w:val="26"/>
          <w:szCs w:val="26"/>
        </w:rPr>
        <w:t>II</w:t>
      </w:r>
      <w:r w:rsidR="008A226E" w:rsidRPr="008A226E">
        <w:rPr>
          <w:rFonts w:ascii="Times New Roman" w:hAnsi="Times New Roman"/>
          <w:b/>
          <w:sz w:val="26"/>
          <w:szCs w:val="26"/>
        </w:rPr>
        <w:t xml:space="preserve"> </w:t>
      </w:r>
      <w:r w:rsidR="00F963AD">
        <w:rPr>
          <w:rFonts w:ascii="Times New Roman" w:hAnsi="Times New Roman"/>
          <w:b/>
          <w:sz w:val="26"/>
          <w:szCs w:val="26"/>
        </w:rPr>
        <w:t xml:space="preserve">on </w:t>
      </w:r>
      <w:r w:rsidR="008A226E" w:rsidRPr="008A226E">
        <w:rPr>
          <w:rFonts w:ascii="Book Antiqua" w:hAnsi="Book Antiqua"/>
          <w:b/>
          <w:sz w:val="26"/>
          <w:szCs w:val="26"/>
        </w:rPr>
        <w:t xml:space="preserve">Harnessing </w:t>
      </w:r>
      <w:r w:rsidR="00F963AD" w:rsidRPr="008A226E">
        <w:rPr>
          <w:rFonts w:ascii="Book Antiqua" w:hAnsi="Book Antiqua"/>
          <w:b/>
          <w:sz w:val="26"/>
          <w:szCs w:val="26"/>
        </w:rPr>
        <w:t xml:space="preserve">Industrial Experience </w:t>
      </w:r>
      <w:r w:rsidR="00F963AD">
        <w:rPr>
          <w:rFonts w:ascii="Book Antiqua" w:hAnsi="Book Antiqua"/>
          <w:b/>
          <w:sz w:val="26"/>
          <w:szCs w:val="26"/>
        </w:rPr>
        <w:t>for Efficient and Effective Training i</w:t>
      </w:r>
      <w:r w:rsidR="00F963AD" w:rsidRPr="008A226E">
        <w:rPr>
          <w:rFonts w:ascii="Book Antiqua" w:hAnsi="Book Antiqua"/>
          <w:b/>
          <w:sz w:val="26"/>
          <w:szCs w:val="26"/>
        </w:rPr>
        <w:t>n Tertiary Institutions</w:t>
      </w:r>
      <w:r w:rsidR="00F963AD">
        <w:rPr>
          <w:rFonts w:ascii="Book Antiqua" w:hAnsi="Book Antiqua"/>
          <w:b/>
          <w:sz w:val="26"/>
          <w:szCs w:val="26"/>
        </w:rPr>
        <w:t xml:space="preserve"> for National Development</w:t>
      </w:r>
    </w:p>
    <w:p w14:paraId="11CBF185" w14:textId="77777777" w:rsidR="008A226E" w:rsidRDefault="00F963AD" w:rsidP="008A226E">
      <w:pPr>
        <w:tabs>
          <w:tab w:val="center" w:pos="4513"/>
          <w:tab w:val="left" w:pos="6615"/>
        </w:tabs>
        <w:spacing w:after="0"/>
        <w:rPr>
          <w:rFonts w:ascii="Book Antiqua" w:hAnsi="Book Antiqua"/>
          <w:b/>
        </w:rPr>
      </w:pPr>
      <w:r>
        <w:rPr>
          <w:rFonts w:ascii="Book Antiqua" w:hAnsi="Book Antiqua"/>
          <w:b/>
        </w:rPr>
        <w:tab/>
        <w:t xml:space="preserve"> B</w:t>
      </w:r>
      <w:r w:rsidRPr="00E12645">
        <w:rPr>
          <w:rFonts w:ascii="Book Antiqua" w:hAnsi="Book Antiqua"/>
          <w:b/>
        </w:rPr>
        <w:t xml:space="preserve">y </w:t>
      </w:r>
    </w:p>
    <w:p w14:paraId="57FD3B27" w14:textId="77777777" w:rsidR="00E12645" w:rsidRPr="00787EFD" w:rsidRDefault="00E12645" w:rsidP="008A226E">
      <w:pPr>
        <w:tabs>
          <w:tab w:val="center" w:pos="4513"/>
          <w:tab w:val="left" w:pos="6615"/>
        </w:tabs>
        <w:spacing w:after="0"/>
        <w:jc w:val="center"/>
        <w:rPr>
          <w:rFonts w:ascii="Book Antiqua" w:hAnsi="Book Antiqua"/>
          <w:sz w:val="26"/>
        </w:rPr>
      </w:pPr>
      <w:r w:rsidRPr="00787EFD">
        <w:rPr>
          <w:rFonts w:ascii="Book Antiqua" w:hAnsi="Book Antiqua"/>
          <w:b/>
          <w:sz w:val="26"/>
        </w:rPr>
        <w:t>Dr</w:t>
      </w:r>
      <w:r w:rsidR="001B5875" w:rsidRPr="00787EFD">
        <w:rPr>
          <w:rFonts w:ascii="Book Antiqua" w:hAnsi="Book Antiqua"/>
          <w:b/>
          <w:sz w:val="26"/>
        </w:rPr>
        <w:t>.</w:t>
      </w:r>
      <w:r w:rsidRPr="00787EFD">
        <w:rPr>
          <w:rFonts w:ascii="Book Antiqua" w:hAnsi="Book Antiqua"/>
          <w:b/>
          <w:sz w:val="26"/>
        </w:rPr>
        <w:t xml:space="preserve"> Joseph Siaw Agyepong,</w:t>
      </w:r>
    </w:p>
    <w:p w14:paraId="28D33E15" w14:textId="77777777" w:rsidR="00E12645" w:rsidRPr="00CA59AF" w:rsidRDefault="00E12645" w:rsidP="00CA59AF">
      <w:pPr>
        <w:tabs>
          <w:tab w:val="center" w:pos="4513"/>
        </w:tabs>
        <w:jc w:val="center"/>
        <w:rPr>
          <w:rFonts w:ascii="Book Antiqua" w:hAnsi="Book Antiqua"/>
        </w:rPr>
      </w:pPr>
      <w:r w:rsidRPr="00CA59AF">
        <w:rPr>
          <w:rFonts w:ascii="Book Antiqua" w:hAnsi="Book Antiqua"/>
        </w:rPr>
        <w:t xml:space="preserve">Executive Chairman, Zoomlion </w:t>
      </w:r>
      <w:r w:rsidR="008A226E" w:rsidRPr="00CA59AF">
        <w:rPr>
          <w:rFonts w:ascii="Book Antiqua" w:hAnsi="Book Antiqua"/>
        </w:rPr>
        <w:t>and Jospong Groups o</w:t>
      </w:r>
      <w:r w:rsidRPr="00CA59AF">
        <w:rPr>
          <w:rFonts w:ascii="Book Antiqua" w:hAnsi="Book Antiqua"/>
        </w:rPr>
        <w:t>f Companies</w:t>
      </w:r>
    </w:p>
    <w:p w14:paraId="4B016938" w14:textId="77777777" w:rsidR="00E12645" w:rsidRDefault="00E12645" w:rsidP="00F963AD">
      <w:pPr>
        <w:spacing w:after="0"/>
        <w:jc w:val="both"/>
        <w:rPr>
          <w:rFonts w:ascii="Times New Roman" w:hAnsi="Times New Roman"/>
          <w:sz w:val="24"/>
          <w:szCs w:val="24"/>
        </w:rPr>
      </w:pPr>
      <w:r>
        <w:rPr>
          <w:rFonts w:ascii="Book Antiqua" w:hAnsi="Book Antiqua"/>
          <w:b/>
        </w:rPr>
        <w:t xml:space="preserve">Presented on his behalf by: Prof. Ernest Yamfo, </w:t>
      </w:r>
      <w:r w:rsidR="00802B66" w:rsidRPr="008A226E">
        <w:rPr>
          <w:rFonts w:ascii="Times New Roman" w:hAnsi="Times New Roman"/>
          <w:b/>
          <w:sz w:val="24"/>
          <w:szCs w:val="24"/>
        </w:rPr>
        <w:t>University of Western Ontario, Canada</w:t>
      </w:r>
    </w:p>
    <w:p w14:paraId="102E6F06" w14:textId="77777777" w:rsidR="00F963AD" w:rsidRPr="00F963AD" w:rsidRDefault="00F963AD" w:rsidP="00F963AD">
      <w:pPr>
        <w:spacing w:after="0"/>
        <w:jc w:val="both"/>
        <w:rPr>
          <w:rFonts w:ascii="Times New Roman" w:hAnsi="Times New Roman"/>
          <w:sz w:val="24"/>
          <w:szCs w:val="24"/>
        </w:rPr>
      </w:pPr>
    </w:p>
    <w:p w14:paraId="6065FF50" w14:textId="77777777" w:rsidR="00084641" w:rsidRPr="00E3232D" w:rsidRDefault="00084641" w:rsidP="00F963AD">
      <w:pPr>
        <w:jc w:val="both"/>
        <w:rPr>
          <w:rFonts w:ascii="Book Antiqua" w:hAnsi="Book Antiqua"/>
        </w:rPr>
      </w:pPr>
      <w:r w:rsidRPr="00E3232D">
        <w:rPr>
          <w:rFonts w:ascii="Book Antiqua" w:hAnsi="Book Antiqua"/>
        </w:rPr>
        <w:t>Chairman and Members of the Koforidua Polytechnic Council</w:t>
      </w:r>
    </w:p>
    <w:p w14:paraId="44007A80" w14:textId="77777777" w:rsidR="00084641" w:rsidRPr="00E3232D" w:rsidRDefault="00084641" w:rsidP="00196385">
      <w:pPr>
        <w:pStyle w:val="NormalWeb"/>
        <w:numPr>
          <w:ilvl w:val="0"/>
          <w:numId w:val="32"/>
        </w:numPr>
        <w:spacing w:after="0" w:afterAutospacing="0" w:line="276" w:lineRule="auto"/>
        <w:contextualSpacing/>
        <w:jc w:val="both"/>
        <w:rPr>
          <w:rFonts w:ascii="Book Antiqua" w:hAnsi="Book Antiqua"/>
          <w:sz w:val="22"/>
          <w:szCs w:val="22"/>
        </w:rPr>
      </w:pPr>
      <w:r w:rsidRPr="00E3232D">
        <w:rPr>
          <w:rFonts w:ascii="Book Antiqua" w:hAnsi="Book Antiqua"/>
          <w:sz w:val="22"/>
          <w:szCs w:val="22"/>
        </w:rPr>
        <w:t>Rector of Kofor</w:t>
      </w:r>
      <w:r w:rsidR="008B3520">
        <w:rPr>
          <w:rFonts w:ascii="Book Antiqua" w:hAnsi="Book Antiqua"/>
          <w:sz w:val="22"/>
          <w:szCs w:val="22"/>
        </w:rPr>
        <w:t>idua Polytechnic, Professor (Ing.</w:t>
      </w:r>
      <w:r w:rsidRPr="00E3232D">
        <w:rPr>
          <w:rFonts w:ascii="Book Antiqua" w:hAnsi="Book Antiqua"/>
          <w:sz w:val="22"/>
          <w:szCs w:val="22"/>
        </w:rPr>
        <w:t>) Reynolds Okai</w:t>
      </w:r>
    </w:p>
    <w:p w14:paraId="6168638E" w14:textId="77777777" w:rsidR="00084641" w:rsidRPr="00E3232D" w:rsidRDefault="00084641" w:rsidP="00196385">
      <w:pPr>
        <w:pStyle w:val="NormalWeb"/>
        <w:numPr>
          <w:ilvl w:val="0"/>
          <w:numId w:val="32"/>
        </w:numPr>
        <w:spacing w:after="0" w:afterAutospacing="0" w:line="276" w:lineRule="auto"/>
        <w:contextualSpacing/>
        <w:jc w:val="both"/>
        <w:rPr>
          <w:rFonts w:ascii="Book Antiqua" w:hAnsi="Book Antiqua"/>
          <w:sz w:val="22"/>
          <w:szCs w:val="22"/>
        </w:rPr>
      </w:pPr>
      <w:r w:rsidRPr="00E3232D">
        <w:rPr>
          <w:rFonts w:ascii="Book Antiqua" w:hAnsi="Book Antiqua"/>
          <w:sz w:val="22"/>
          <w:szCs w:val="22"/>
        </w:rPr>
        <w:t>Deans, Faculty and Staff of  K’Poly</w:t>
      </w:r>
    </w:p>
    <w:p w14:paraId="7CC01D5E" w14:textId="77777777" w:rsidR="00084641" w:rsidRPr="00E3232D" w:rsidRDefault="00084641" w:rsidP="00196385">
      <w:pPr>
        <w:pStyle w:val="NormalWeb"/>
        <w:numPr>
          <w:ilvl w:val="0"/>
          <w:numId w:val="32"/>
        </w:numPr>
        <w:spacing w:after="0" w:afterAutospacing="0" w:line="276" w:lineRule="auto"/>
        <w:contextualSpacing/>
        <w:jc w:val="both"/>
        <w:rPr>
          <w:rFonts w:ascii="Book Antiqua" w:hAnsi="Book Antiqua"/>
          <w:sz w:val="22"/>
          <w:szCs w:val="22"/>
        </w:rPr>
      </w:pPr>
      <w:r w:rsidRPr="00E3232D">
        <w:rPr>
          <w:rFonts w:ascii="Book Antiqua" w:hAnsi="Book Antiqua"/>
          <w:sz w:val="22"/>
          <w:szCs w:val="22"/>
        </w:rPr>
        <w:t>Colleague Industrialists and Business People</w:t>
      </w:r>
    </w:p>
    <w:p w14:paraId="713396BB" w14:textId="77777777" w:rsidR="00084641" w:rsidRPr="00E3232D" w:rsidRDefault="00084641" w:rsidP="00196385">
      <w:pPr>
        <w:pStyle w:val="NormalWeb"/>
        <w:numPr>
          <w:ilvl w:val="0"/>
          <w:numId w:val="32"/>
        </w:numPr>
        <w:spacing w:after="0" w:afterAutospacing="0" w:line="276" w:lineRule="auto"/>
        <w:contextualSpacing/>
        <w:jc w:val="both"/>
        <w:rPr>
          <w:rFonts w:ascii="Book Antiqua" w:hAnsi="Book Antiqua"/>
          <w:sz w:val="22"/>
          <w:szCs w:val="22"/>
        </w:rPr>
      </w:pPr>
      <w:r w:rsidRPr="00E3232D">
        <w:rPr>
          <w:rFonts w:ascii="Book Antiqua" w:hAnsi="Book Antiqua"/>
          <w:sz w:val="22"/>
          <w:szCs w:val="22"/>
        </w:rPr>
        <w:t>Invited Guests</w:t>
      </w:r>
    </w:p>
    <w:p w14:paraId="632A803D" w14:textId="77777777" w:rsidR="00084641" w:rsidRPr="00E3232D" w:rsidRDefault="00084641" w:rsidP="00196385">
      <w:pPr>
        <w:pStyle w:val="NormalWeb"/>
        <w:numPr>
          <w:ilvl w:val="0"/>
          <w:numId w:val="32"/>
        </w:numPr>
        <w:spacing w:after="0" w:afterAutospacing="0" w:line="276" w:lineRule="auto"/>
        <w:contextualSpacing/>
        <w:jc w:val="both"/>
        <w:rPr>
          <w:rFonts w:ascii="Book Antiqua" w:hAnsi="Book Antiqua"/>
          <w:sz w:val="22"/>
          <w:szCs w:val="22"/>
        </w:rPr>
      </w:pPr>
      <w:r w:rsidRPr="00E3232D">
        <w:rPr>
          <w:rFonts w:ascii="Book Antiqua" w:hAnsi="Book Antiqua"/>
          <w:sz w:val="22"/>
          <w:szCs w:val="22"/>
        </w:rPr>
        <w:t>Distinguished Ladies and Gentlemen</w:t>
      </w:r>
    </w:p>
    <w:p w14:paraId="70868B2F" w14:textId="77777777" w:rsidR="00084641" w:rsidRPr="00E3232D" w:rsidRDefault="00084641" w:rsidP="00F963AD">
      <w:pPr>
        <w:pStyle w:val="NormalWeb"/>
        <w:spacing w:after="0" w:afterAutospacing="0" w:line="276" w:lineRule="auto"/>
        <w:contextualSpacing/>
        <w:jc w:val="both"/>
        <w:rPr>
          <w:rFonts w:ascii="Book Antiqua" w:hAnsi="Book Antiqua"/>
          <w:sz w:val="22"/>
          <w:szCs w:val="22"/>
        </w:rPr>
      </w:pPr>
    </w:p>
    <w:p w14:paraId="749680E8" w14:textId="77777777" w:rsidR="00084641" w:rsidRPr="00E3232D" w:rsidRDefault="00084641" w:rsidP="00F963AD">
      <w:pPr>
        <w:jc w:val="both"/>
        <w:rPr>
          <w:rFonts w:ascii="Book Antiqua" w:hAnsi="Book Antiqua"/>
        </w:rPr>
        <w:sectPr w:rsidR="00084641" w:rsidRPr="00E3232D" w:rsidSect="008F6BC9">
          <w:type w:val="continuous"/>
          <w:pgSz w:w="11907" w:h="16839" w:code="9"/>
          <w:pgMar w:top="1440" w:right="1440" w:bottom="1440" w:left="1440" w:header="720" w:footer="720" w:gutter="0"/>
          <w:cols w:space="720"/>
          <w:docGrid w:linePitch="360"/>
        </w:sectPr>
      </w:pPr>
    </w:p>
    <w:p w14:paraId="4CDC47C8" w14:textId="77777777" w:rsidR="00084641" w:rsidRPr="00E3232D" w:rsidRDefault="00084641" w:rsidP="00F963AD">
      <w:pPr>
        <w:jc w:val="both"/>
        <w:rPr>
          <w:rFonts w:ascii="Book Antiqua" w:hAnsi="Book Antiqua"/>
        </w:rPr>
      </w:pPr>
      <w:r w:rsidRPr="00E3232D">
        <w:rPr>
          <w:rFonts w:ascii="Book Antiqua" w:hAnsi="Book Antiqua"/>
        </w:rPr>
        <w:t>It is a great pleasure and honour for me to be the Keynote Speaker for the 6</w:t>
      </w:r>
      <w:r w:rsidRPr="00E3232D">
        <w:rPr>
          <w:rFonts w:ascii="Book Antiqua" w:hAnsi="Book Antiqua"/>
          <w:vertAlign w:val="superscript"/>
        </w:rPr>
        <w:t>th</w:t>
      </w:r>
      <w:r w:rsidRPr="00E3232D">
        <w:rPr>
          <w:rFonts w:ascii="Book Antiqua" w:hAnsi="Book Antiqua"/>
        </w:rPr>
        <w:t xml:space="preserve"> Annual International Applied Research Conference of Koforidua Polytechnic. </w:t>
      </w:r>
    </w:p>
    <w:p w14:paraId="39BA951B" w14:textId="77777777" w:rsidR="00084641" w:rsidRPr="00E3232D" w:rsidRDefault="00084641" w:rsidP="00F963AD">
      <w:pPr>
        <w:jc w:val="both"/>
        <w:rPr>
          <w:rFonts w:ascii="Book Antiqua" w:hAnsi="Book Antiqua"/>
        </w:rPr>
      </w:pPr>
      <w:r w:rsidRPr="00E3232D">
        <w:rPr>
          <w:rFonts w:ascii="Book Antiqua" w:hAnsi="Book Antiqua"/>
        </w:rPr>
        <w:t>I consider the theme for this Conference: “Building a Responsive Tertiary Education Sector: Effective Collaboration for National Development” as very appropriate and has come at a time when it matters most.</w:t>
      </w:r>
    </w:p>
    <w:p w14:paraId="45F6F14B" w14:textId="77777777" w:rsidR="00084641" w:rsidRPr="00E3232D" w:rsidRDefault="00084641" w:rsidP="00F963AD">
      <w:pPr>
        <w:jc w:val="both"/>
        <w:rPr>
          <w:rFonts w:ascii="Book Antiqua" w:hAnsi="Book Antiqua"/>
        </w:rPr>
      </w:pPr>
      <w:r w:rsidRPr="00E3232D">
        <w:rPr>
          <w:rFonts w:ascii="Book Antiqua" w:hAnsi="Book Antiqua"/>
        </w:rPr>
        <w:t>As a matter of fact, the 21</w:t>
      </w:r>
      <w:r w:rsidRPr="00E3232D">
        <w:rPr>
          <w:rFonts w:ascii="Book Antiqua" w:hAnsi="Book Antiqua"/>
          <w:vertAlign w:val="superscript"/>
        </w:rPr>
        <w:t>st</w:t>
      </w:r>
      <w:r w:rsidRPr="00E3232D">
        <w:rPr>
          <w:rFonts w:ascii="Book Antiqua" w:hAnsi="Book Antiqua"/>
        </w:rPr>
        <w:t xml:space="preserve"> Century has been characterized by an unprecedented revolution in the technological world. This has, in effect, influenced the way businesses are conducted across the globe. From the use of incubators in agriculture to hatch eggs, passing through e-banking and e-payment platforms like our own e-Zwich, Visa, Mastercard, to the use of biometric machines in elections, etc. the list is endless.</w:t>
      </w:r>
    </w:p>
    <w:p w14:paraId="2D93A4D6" w14:textId="77777777" w:rsidR="00084641" w:rsidRPr="00E3232D" w:rsidRDefault="00084641" w:rsidP="00F963AD">
      <w:pPr>
        <w:jc w:val="both"/>
        <w:rPr>
          <w:rFonts w:ascii="Book Antiqua" w:hAnsi="Book Antiqua"/>
        </w:rPr>
      </w:pPr>
      <w:r w:rsidRPr="00E3232D">
        <w:rPr>
          <w:rFonts w:ascii="Book Antiqua" w:hAnsi="Book Antiqua"/>
        </w:rPr>
        <w:t>Tertiary Education Institutions, as institutions of higher learning are producers of the essential human capital needed to fuel the success of businesses through teaching, learning, research and knowledge dissemination.</w:t>
      </w:r>
    </w:p>
    <w:p w14:paraId="14277060" w14:textId="77777777" w:rsidR="00084641" w:rsidRPr="00E3232D" w:rsidRDefault="00084641" w:rsidP="00F963AD">
      <w:pPr>
        <w:jc w:val="both"/>
        <w:rPr>
          <w:rFonts w:ascii="Book Antiqua" w:hAnsi="Book Antiqua"/>
        </w:rPr>
      </w:pPr>
      <w:r w:rsidRPr="00E3232D">
        <w:rPr>
          <w:rFonts w:ascii="Book Antiqua" w:hAnsi="Book Antiqua"/>
        </w:rPr>
        <w:t>There is, therefore, the need to take into consideration what is happening in the business world to be able to serve it effectively.</w:t>
      </w:r>
    </w:p>
    <w:p w14:paraId="480EC30E" w14:textId="77777777" w:rsidR="00084641" w:rsidRPr="00E3232D" w:rsidRDefault="00084641" w:rsidP="00F963AD">
      <w:pPr>
        <w:jc w:val="both"/>
        <w:rPr>
          <w:rFonts w:ascii="Book Antiqua" w:hAnsi="Book Antiqua"/>
        </w:rPr>
      </w:pPr>
      <w:r w:rsidRPr="00E3232D">
        <w:rPr>
          <w:rFonts w:ascii="Book Antiqua" w:hAnsi="Book Antiqua"/>
        </w:rPr>
        <w:t>Indeed, the business world has a rich wealth of experience that academia can tap into to propel the socio-economic development of Ghana and any other country.</w:t>
      </w:r>
    </w:p>
    <w:p w14:paraId="795DC20E" w14:textId="77777777" w:rsidR="00084641" w:rsidRPr="00E3232D" w:rsidRDefault="00084641" w:rsidP="00F963AD">
      <w:pPr>
        <w:jc w:val="both"/>
        <w:rPr>
          <w:rFonts w:ascii="Book Antiqua" w:hAnsi="Book Antiqua"/>
        </w:rPr>
      </w:pPr>
      <w:r w:rsidRPr="00E3232D">
        <w:rPr>
          <w:rFonts w:ascii="Book Antiqua" w:hAnsi="Book Antiqua"/>
        </w:rPr>
        <w:t>How Can Industrial Experience be Harnessed for Efficient and Effective Training in Tertiary Institutions for National Development?</w:t>
      </w:r>
    </w:p>
    <w:p w14:paraId="1CEA885A" w14:textId="77777777" w:rsidR="00084641" w:rsidRPr="00E3232D" w:rsidRDefault="00084641" w:rsidP="00F963AD">
      <w:pPr>
        <w:spacing w:before="100" w:beforeAutospacing="1" w:after="100" w:afterAutospacing="1"/>
        <w:jc w:val="both"/>
        <w:rPr>
          <w:rFonts w:ascii="Book Antiqua" w:hAnsi="Book Antiqua"/>
        </w:rPr>
      </w:pPr>
      <w:r w:rsidRPr="00E3232D">
        <w:rPr>
          <w:rFonts w:ascii="Book Antiqua" w:hAnsi="Book Antiqua"/>
        </w:rPr>
        <w:t xml:space="preserve">First of all, Tertiary Institutions can use qualified staff from industry in teaching </w:t>
      </w:r>
      <w:r w:rsidRPr="00E3232D">
        <w:rPr>
          <w:rFonts w:ascii="Book Antiqua" w:hAnsi="Book Antiqua"/>
        </w:rPr>
        <w:lastRenderedPageBreak/>
        <w:t>courses and handling programmes. This will see a transfer of practical industry experience to students and get them ready for life after school.</w:t>
      </w:r>
    </w:p>
    <w:p w14:paraId="6C7DA282" w14:textId="77777777" w:rsidR="00084641" w:rsidRPr="00E3232D" w:rsidRDefault="00084641" w:rsidP="00F963AD">
      <w:pPr>
        <w:spacing w:before="100" w:beforeAutospacing="1" w:after="100" w:afterAutospacing="1"/>
        <w:jc w:val="both"/>
        <w:rPr>
          <w:rFonts w:ascii="Book Antiqua" w:hAnsi="Book Antiqua"/>
        </w:rPr>
      </w:pPr>
      <w:r w:rsidRPr="00E3232D">
        <w:rPr>
          <w:rFonts w:ascii="Book Antiqua" w:hAnsi="Book Antiqua"/>
        </w:rPr>
        <w:t>Second, there is the need for Tertiary Institutions to take faculty members and students on industrial visits to acquaint themselves with equipment, procedures, and other relevant tools used in the corporate world. Such visits will help improve curricula in order to impart the knowledge and skills needed by employers.</w:t>
      </w:r>
    </w:p>
    <w:p w14:paraId="2AD04FD0" w14:textId="77777777" w:rsidR="00084641" w:rsidRPr="00E3232D" w:rsidRDefault="00084641" w:rsidP="00F963AD">
      <w:pPr>
        <w:jc w:val="both"/>
        <w:rPr>
          <w:rFonts w:ascii="Book Antiqua" w:hAnsi="Book Antiqua"/>
        </w:rPr>
      </w:pPr>
      <w:r w:rsidRPr="00E3232D">
        <w:rPr>
          <w:rFonts w:ascii="Book Antiqua" w:hAnsi="Book Antiqua"/>
        </w:rPr>
        <w:t>Third, industrial internships must be a key component in the training of students in Tertiary Institutions. When students embark on such internships, they will end up familiarizing themselves with practices in industry, which will help them better appreciate what is taught them by their lecturers. This will help to improve self-employment of graduates as they will be exposed to the entrepreneurial spirit. Some students are even likely to be retained to work for such companies after school, given their good potential and behaviour.</w:t>
      </w:r>
    </w:p>
    <w:p w14:paraId="14929856" w14:textId="77777777" w:rsidR="00084641" w:rsidRPr="00E3232D" w:rsidRDefault="00084641" w:rsidP="00F963AD">
      <w:pPr>
        <w:spacing w:before="100" w:beforeAutospacing="1" w:after="100" w:afterAutospacing="1"/>
        <w:jc w:val="both"/>
        <w:rPr>
          <w:rFonts w:ascii="Book Antiqua" w:hAnsi="Book Antiqua"/>
        </w:rPr>
      </w:pPr>
      <w:r w:rsidRPr="00E3232D">
        <w:rPr>
          <w:rFonts w:ascii="Book Antiqua" w:hAnsi="Book Antiqua"/>
        </w:rPr>
        <w:t>Fourth, Tertiary Institutions will benefit a lot if they invite captains of industry to serve on their Boards. This will help shape the overall administration of the institutions to make them business-friendly.</w:t>
      </w:r>
    </w:p>
    <w:p w14:paraId="56EAD071" w14:textId="77777777" w:rsidR="00084641" w:rsidRPr="00E3232D" w:rsidRDefault="00084641" w:rsidP="00F963AD">
      <w:pPr>
        <w:spacing w:before="100" w:beforeAutospacing="1" w:after="100" w:afterAutospacing="1"/>
        <w:jc w:val="both"/>
        <w:rPr>
          <w:rFonts w:ascii="Book Antiqua" w:hAnsi="Book Antiqua"/>
        </w:rPr>
      </w:pPr>
      <w:r w:rsidRPr="00E3232D">
        <w:rPr>
          <w:rFonts w:ascii="Book Antiqua" w:hAnsi="Book Antiqua"/>
        </w:rPr>
        <w:t xml:space="preserve">Finally, Tertiary Institutions can access new sources of funding from Industry without going through the long bureaucracy that is often associated with getting such resources from government. </w:t>
      </w:r>
      <w:r w:rsidRPr="00E3232D">
        <w:rPr>
          <w:rFonts w:ascii="Book Antiqua" w:hAnsi="Book Antiqua"/>
        </w:rPr>
        <w:t>These monies could fund research which will provide students and faculty with exposure to real world problems and the opportunity to work on intellectually challenging and relevant problems. For instance, industry funds substantial budgets of Tertiary Institutions like MIT (Massachusetts Institute of Technology) in the United States as well as Cambridge and Oxford Universities in the United Kingdom.</w:t>
      </w:r>
    </w:p>
    <w:p w14:paraId="094B578B" w14:textId="77777777" w:rsidR="00084641" w:rsidRPr="00E3232D" w:rsidRDefault="00084641" w:rsidP="00F963AD">
      <w:pPr>
        <w:spacing w:before="100" w:beforeAutospacing="1" w:after="100" w:afterAutospacing="1"/>
        <w:jc w:val="both"/>
        <w:rPr>
          <w:rFonts w:ascii="Book Antiqua" w:hAnsi="Book Antiqua"/>
        </w:rPr>
      </w:pPr>
      <w:r w:rsidRPr="00E3232D">
        <w:rPr>
          <w:rFonts w:ascii="Book Antiqua" w:hAnsi="Book Antiqua"/>
        </w:rPr>
        <w:t>There is a widespread perception that Tertiary Institutions are mere ivory towers producing students and research that are not relevant to the socio-economic and technological advancement of their respective countries. By tapping into the rich experience of industry, Tertiary Institutions will go a long way in erasing that perception. An effective and efficient collaboration between industry and tertiary institutions would be helpful in bridging the perceived gap between what tertiary institutions teach and what industry requires.</w:t>
      </w:r>
    </w:p>
    <w:p w14:paraId="2A6A36D4" w14:textId="77777777" w:rsidR="00084641" w:rsidRPr="00E3232D" w:rsidRDefault="00084641" w:rsidP="00F963AD">
      <w:pPr>
        <w:spacing w:before="100" w:beforeAutospacing="1" w:after="100" w:afterAutospacing="1"/>
        <w:jc w:val="both"/>
        <w:rPr>
          <w:rFonts w:ascii="Book Antiqua" w:hAnsi="Book Antiqua"/>
        </w:rPr>
      </w:pPr>
      <w:r w:rsidRPr="00E3232D">
        <w:rPr>
          <w:rFonts w:ascii="Book Antiqua" w:hAnsi="Book Antiqua"/>
        </w:rPr>
        <w:t>It is evident that Tertiary Institutions have a lot to benefit from industry. In return, industry could also benefit from:</w:t>
      </w:r>
    </w:p>
    <w:p w14:paraId="47C639DB" w14:textId="77777777" w:rsidR="00084641" w:rsidRPr="00E3232D" w:rsidRDefault="00084641" w:rsidP="00196385">
      <w:pPr>
        <w:numPr>
          <w:ilvl w:val="0"/>
          <w:numId w:val="33"/>
        </w:numPr>
        <w:spacing w:before="100" w:beforeAutospacing="1" w:after="100" w:afterAutospacing="1"/>
        <w:jc w:val="both"/>
        <w:rPr>
          <w:rFonts w:ascii="Book Antiqua" w:hAnsi="Book Antiqua"/>
        </w:rPr>
      </w:pPr>
      <w:r w:rsidRPr="00E3232D">
        <w:rPr>
          <w:rFonts w:ascii="Book Antiqua" w:hAnsi="Book Antiqua"/>
        </w:rPr>
        <w:t>Access to well-trained graduates and knowledgeable faculty</w:t>
      </w:r>
    </w:p>
    <w:p w14:paraId="1AA67468" w14:textId="77777777" w:rsidR="00084641" w:rsidRPr="00E3232D" w:rsidRDefault="00084641" w:rsidP="00196385">
      <w:pPr>
        <w:numPr>
          <w:ilvl w:val="0"/>
          <w:numId w:val="33"/>
        </w:numPr>
        <w:spacing w:before="100" w:beforeAutospacing="1" w:after="100" w:afterAutospacing="1"/>
        <w:jc w:val="both"/>
        <w:rPr>
          <w:rFonts w:ascii="Book Antiqua" w:hAnsi="Book Antiqua"/>
        </w:rPr>
      </w:pPr>
      <w:r w:rsidRPr="00E3232D">
        <w:rPr>
          <w:rFonts w:ascii="Book Antiqua" w:hAnsi="Book Antiqua"/>
        </w:rPr>
        <w:t>Access to applied research in the development of new products</w:t>
      </w:r>
    </w:p>
    <w:p w14:paraId="7ECC7831" w14:textId="77777777" w:rsidR="00084641" w:rsidRPr="00E3232D" w:rsidRDefault="00084641" w:rsidP="00196385">
      <w:pPr>
        <w:numPr>
          <w:ilvl w:val="0"/>
          <w:numId w:val="33"/>
        </w:numPr>
        <w:spacing w:before="100" w:beforeAutospacing="1" w:after="100" w:afterAutospacing="1"/>
        <w:jc w:val="both"/>
        <w:rPr>
          <w:rFonts w:ascii="Book Antiqua" w:hAnsi="Book Antiqua"/>
        </w:rPr>
      </w:pPr>
      <w:r w:rsidRPr="00E3232D">
        <w:rPr>
          <w:rFonts w:ascii="Book Antiqua" w:hAnsi="Book Antiqua"/>
        </w:rPr>
        <w:t>Solutions to specific industrial problems and</w:t>
      </w:r>
    </w:p>
    <w:p w14:paraId="052BFBC5" w14:textId="77777777" w:rsidR="00084641" w:rsidRPr="00E3232D" w:rsidRDefault="00084641" w:rsidP="00196385">
      <w:pPr>
        <w:numPr>
          <w:ilvl w:val="0"/>
          <w:numId w:val="33"/>
        </w:numPr>
        <w:spacing w:before="100" w:beforeAutospacing="1" w:after="100" w:afterAutospacing="1"/>
        <w:jc w:val="both"/>
        <w:rPr>
          <w:rFonts w:ascii="Book Antiqua" w:hAnsi="Book Antiqua"/>
        </w:rPr>
      </w:pPr>
      <w:r w:rsidRPr="00E3232D">
        <w:rPr>
          <w:rFonts w:ascii="Book Antiqua" w:hAnsi="Book Antiqua"/>
        </w:rPr>
        <w:t xml:space="preserve">Access to university infrastructure </w:t>
      </w:r>
    </w:p>
    <w:p w14:paraId="036673BC" w14:textId="77777777" w:rsidR="00084641" w:rsidRPr="00E3232D" w:rsidRDefault="00084641" w:rsidP="00F963AD">
      <w:pPr>
        <w:spacing w:before="100" w:beforeAutospacing="1" w:after="100" w:afterAutospacing="1"/>
        <w:jc w:val="both"/>
        <w:rPr>
          <w:rFonts w:ascii="Book Antiqua" w:hAnsi="Book Antiqua"/>
        </w:rPr>
      </w:pPr>
      <w:r w:rsidRPr="00E3232D">
        <w:rPr>
          <w:rFonts w:ascii="Book Antiqua" w:hAnsi="Book Antiqua"/>
        </w:rPr>
        <w:t xml:space="preserve">In view of the win-win situation that emerges, the need to foster an effective and efficient collaboration between </w:t>
      </w:r>
      <w:r w:rsidRPr="00E3232D">
        <w:rPr>
          <w:rFonts w:ascii="Book Antiqua" w:hAnsi="Book Antiqua"/>
        </w:rPr>
        <w:lastRenderedPageBreak/>
        <w:t>Tertiary Institutions and Industry cannot be overstated.</w:t>
      </w:r>
    </w:p>
    <w:p w14:paraId="0C72AB7F" w14:textId="77777777" w:rsidR="00084641" w:rsidRPr="00E3232D" w:rsidRDefault="00084641" w:rsidP="00F963AD">
      <w:pPr>
        <w:spacing w:before="100" w:beforeAutospacing="1" w:after="100" w:afterAutospacing="1"/>
        <w:jc w:val="both"/>
        <w:rPr>
          <w:rFonts w:ascii="Book Antiqua" w:hAnsi="Book Antiqua"/>
        </w:rPr>
      </w:pPr>
      <w:r w:rsidRPr="00E3232D">
        <w:rPr>
          <w:rFonts w:ascii="Book Antiqua" w:hAnsi="Book Antiqua"/>
        </w:rPr>
        <w:t>Let me end here by emphasizing that Tertiary Institutions can use qualified staff from industry in teaching courses and handling programmes; there is the need for Tertiary Institutions to take faculty members and students on industrial visits; industrial internships must be a key component in the training of students in Tertiary Institutions; captains of industry should be invited to serve on Boards of Tertiary Institutions; and finally, Tertiary Institutions can access new sources of funding from Industry. This will, in return, provide industry with tailor-made or customized solutions to its problems and graduate with requisite knowledge to drive industry success, among others.</w:t>
      </w:r>
    </w:p>
    <w:p w14:paraId="2629E375" w14:textId="77777777" w:rsidR="00084641" w:rsidRPr="00E3232D" w:rsidRDefault="00084641" w:rsidP="00F963AD">
      <w:pPr>
        <w:spacing w:before="100" w:beforeAutospacing="1" w:after="100" w:afterAutospacing="1"/>
        <w:jc w:val="both"/>
        <w:rPr>
          <w:rFonts w:ascii="Book Antiqua" w:hAnsi="Book Antiqua"/>
        </w:rPr>
      </w:pPr>
      <w:r w:rsidRPr="00E3232D">
        <w:rPr>
          <w:rFonts w:ascii="Book Antiqua" w:hAnsi="Book Antiqua"/>
        </w:rPr>
        <w:t>I am confident that, as we leave this 6</w:t>
      </w:r>
      <w:r w:rsidRPr="00E3232D">
        <w:rPr>
          <w:rFonts w:ascii="Book Antiqua" w:hAnsi="Book Antiqua"/>
          <w:vertAlign w:val="superscript"/>
        </w:rPr>
        <w:t>th</w:t>
      </w:r>
      <w:r w:rsidRPr="00E3232D">
        <w:rPr>
          <w:rFonts w:ascii="Book Antiqua" w:hAnsi="Book Antiqua"/>
        </w:rPr>
        <w:t xml:space="preserve"> Annual International Applied Research Conference, we will see a greater collaboration that will serve as a catalyst for National Development.</w:t>
      </w:r>
    </w:p>
    <w:p w14:paraId="3007BB73" w14:textId="77777777" w:rsidR="00084641" w:rsidRDefault="00084641" w:rsidP="00F963AD">
      <w:pPr>
        <w:spacing w:before="100" w:beforeAutospacing="1" w:after="100" w:afterAutospacing="1"/>
        <w:jc w:val="both"/>
        <w:rPr>
          <w:rFonts w:ascii="Book Antiqua" w:hAnsi="Book Antiqua"/>
        </w:rPr>
      </w:pPr>
      <w:r w:rsidRPr="00E3232D">
        <w:rPr>
          <w:rFonts w:ascii="Book Antiqua" w:hAnsi="Book Antiqua"/>
        </w:rPr>
        <w:t>Thank you very much for your attention.            </w:t>
      </w:r>
    </w:p>
    <w:p w14:paraId="33AEEA3E" w14:textId="77777777" w:rsidR="00BD3BFA" w:rsidRDefault="00BD3BFA" w:rsidP="00F963AD">
      <w:pPr>
        <w:spacing w:before="100" w:beforeAutospacing="1" w:after="100" w:afterAutospacing="1"/>
        <w:jc w:val="both"/>
        <w:rPr>
          <w:rFonts w:ascii="Book Antiqua" w:hAnsi="Book Antiqua"/>
        </w:rPr>
      </w:pPr>
    </w:p>
    <w:p w14:paraId="585D2098" w14:textId="77777777" w:rsidR="00BD3BFA" w:rsidRDefault="00BD3BFA" w:rsidP="00F963AD">
      <w:pPr>
        <w:spacing w:before="100" w:beforeAutospacing="1" w:after="100" w:afterAutospacing="1"/>
        <w:jc w:val="both"/>
        <w:rPr>
          <w:rFonts w:ascii="Book Antiqua" w:hAnsi="Book Antiqua"/>
        </w:rPr>
      </w:pPr>
    </w:p>
    <w:p w14:paraId="07B8396B" w14:textId="77777777" w:rsidR="00BD3BFA" w:rsidRDefault="00BD3BFA" w:rsidP="00F963AD">
      <w:pPr>
        <w:spacing w:before="100" w:beforeAutospacing="1" w:after="100" w:afterAutospacing="1"/>
        <w:jc w:val="both"/>
        <w:rPr>
          <w:rFonts w:ascii="Book Antiqua" w:hAnsi="Book Antiqua"/>
        </w:rPr>
      </w:pPr>
    </w:p>
    <w:p w14:paraId="417F7B50" w14:textId="77777777" w:rsidR="00BD3BFA" w:rsidRDefault="00BD3BFA" w:rsidP="00F963AD">
      <w:pPr>
        <w:spacing w:before="100" w:beforeAutospacing="1" w:after="100" w:afterAutospacing="1"/>
        <w:jc w:val="both"/>
        <w:rPr>
          <w:rFonts w:ascii="Book Antiqua" w:hAnsi="Book Antiqua"/>
        </w:rPr>
      </w:pPr>
    </w:p>
    <w:p w14:paraId="52AA83CD" w14:textId="77777777" w:rsidR="00BD3BFA" w:rsidRDefault="00BD3BFA" w:rsidP="00F963AD">
      <w:pPr>
        <w:spacing w:before="100" w:beforeAutospacing="1" w:after="100" w:afterAutospacing="1"/>
        <w:jc w:val="both"/>
        <w:rPr>
          <w:rFonts w:ascii="Book Antiqua" w:hAnsi="Book Antiqua"/>
        </w:rPr>
      </w:pPr>
    </w:p>
    <w:p w14:paraId="728F4435" w14:textId="77777777" w:rsidR="00BD3BFA" w:rsidRDefault="00BD3BFA" w:rsidP="00F963AD">
      <w:pPr>
        <w:spacing w:before="100" w:beforeAutospacing="1" w:after="100" w:afterAutospacing="1"/>
        <w:jc w:val="both"/>
        <w:rPr>
          <w:rFonts w:ascii="Book Antiqua" w:hAnsi="Book Antiqua"/>
        </w:rPr>
      </w:pPr>
    </w:p>
    <w:p w14:paraId="7D38A54E" w14:textId="77777777" w:rsidR="00BD3BFA" w:rsidRDefault="00BD3BFA" w:rsidP="00F963AD">
      <w:pPr>
        <w:spacing w:before="100" w:beforeAutospacing="1" w:after="100" w:afterAutospacing="1"/>
        <w:jc w:val="both"/>
        <w:rPr>
          <w:rFonts w:ascii="Book Antiqua" w:hAnsi="Book Antiqua"/>
        </w:rPr>
      </w:pPr>
    </w:p>
    <w:p w14:paraId="012A8B83" w14:textId="77777777" w:rsidR="00BD3BFA" w:rsidRDefault="00BD3BFA" w:rsidP="00F963AD">
      <w:pPr>
        <w:spacing w:before="100" w:beforeAutospacing="1" w:after="100" w:afterAutospacing="1"/>
        <w:jc w:val="both"/>
        <w:rPr>
          <w:rFonts w:ascii="Book Antiqua" w:hAnsi="Book Antiqua"/>
        </w:rPr>
      </w:pPr>
    </w:p>
    <w:p w14:paraId="5836E2E6" w14:textId="77777777" w:rsidR="00BD3BFA" w:rsidRDefault="00BD3BFA" w:rsidP="00F963AD">
      <w:pPr>
        <w:spacing w:before="100" w:beforeAutospacing="1" w:after="100" w:afterAutospacing="1"/>
        <w:jc w:val="both"/>
        <w:rPr>
          <w:rFonts w:ascii="Book Antiqua" w:hAnsi="Book Antiqua"/>
        </w:rPr>
      </w:pPr>
    </w:p>
    <w:p w14:paraId="4CAB883E" w14:textId="77777777" w:rsidR="00BD3BFA" w:rsidRDefault="00BD3BFA" w:rsidP="00F963AD">
      <w:pPr>
        <w:spacing w:before="100" w:beforeAutospacing="1" w:after="100" w:afterAutospacing="1"/>
        <w:jc w:val="both"/>
        <w:rPr>
          <w:rFonts w:ascii="Book Antiqua" w:hAnsi="Book Antiqua"/>
        </w:rPr>
      </w:pPr>
    </w:p>
    <w:p w14:paraId="6B968D09" w14:textId="77777777" w:rsidR="00BD3BFA" w:rsidRDefault="00BD3BFA" w:rsidP="00F963AD">
      <w:pPr>
        <w:spacing w:before="100" w:beforeAutospacing="1" w:after="100" w:afterAutospacing="1"/>
        <w:jc w:val="both"/>
        <w:rPr>
          <w:rFonts w:ascii="Book Antiqua" w:hAnsi="Book Antiqua"/>
        </w:rPr>
      </w:pPr>
    </w:p>
    <w:p w14:paraId="09AD7C4C" w14:textId="77777777" w:rsidR="00BD3BFA" w:rsidRDefault="00BD3BFA" w:rsidP="00F963AD">
      <w:pPr>
        <w:spacing w:before="100" w:beforeAutospacing="1" w:after="100" w:afterAutospacing="1"/>
        <w:jc w:val="both"/>
        <w:rPr>
          <w:rFonts w:ascii="Book Antiqua" w:hAnsi="Book Antiqua"/>
        </w:rPr>
      </w:pPr>
    </w:p>
    <w:p w14:paraId="5F8623FC" w14:textId="77777777" w:rsidR="00BD3BFA" w:rsidRDefault="00BD3BFA" w:rsidP="00F963AD">
      <w:pPr>
        <w:spacing w:before="100" w:beforeAutospacing="1" w:after="100" w:afterAutospacing="1"/>
        <w:jc w:val="both"/>
        <w:rPr>
          <w:rFonts w:ascii="Book Antiqua" w:hAnsi="Book Antiqua"/>
        </w:rPr>
      </w:pPr>
    </w:p>
    <w:p w14:paraId="381F531D" w14:textId="77777777" w:rsidR="00BD3BFA" w:rsidRDefault="00BD3BFA" w:rsidP="00F963AD">
      <w:pPr>
        <w:spacing w:before="100" w:beforeAutospacing="1" w:after="100" w:afterAutospacing="1"/>
        <w:jc w:val="both"/>
        <w:rPr>
          <w:rFonts w:ascii="Book Antiqua" w:hAnsi="Book Antiqua"/>
        </w:rPr>
      </w:pPr>
    </w:p>
    <w:p w14:paraId="24C44DD6" w14:textId="77777777" w:rsidR="00BD3BFA" w:rsidRDefault="00BD3BFA" w:rsidP="00F963AD">
      <w:pPr>
        <w:spacing w:before="100" w:beforeAutospacing="1" w:after="100" w:afterAutospacing="1"/>
        <w:jc w:val="both"/>
        <w:rPr>
          <w:rFonts w:ascii="Book Antiqua" w:hAnsi="Book Antiqua"/>
        </w:rPr>
      </w:pPr>
    </w:p>
    <w:p w14:paraId="19EADD77" w14:textId="77777777" w:rsidR="00BD3BFA" w:rsidRDefault="00BD3BFA" w:rsidP="00F963AD">
      <w:pPr>
        <w:spacing w:before="100" w:beforeAutospacing="1" w:after="100" w:afterAutospacing="1"/>
        <w:jc w:val="both"/>
        <w:rPr>
          <w:rFonts w:ascii="Book Antiqua" w:hAnsi="Book Antiqua"/>
        </w:rPr>
      </w:pPr>
    </w:p>
    <w:p w14:paraId="623EE616" w14:textId="77777777" w:rsidR="00BD3BFA" w:rsidRDefault="00BD3BFA" w:rsidP="00F963AD">
      <w:pPr>
        <w:spacing w:before="100" w:beforeAutospacing="1" w:after="100" w:afterAutospacing="1"/>
        <w:jc w:val="both"/>
        <w:rPr>
          <w:rFonts w:ascii="Book Antiqua" w:hAnsi="Book Antiqua"/>
        </w:rPr>
      </w:pPr>
    </w:p>
    <w:p w14:paraId="220DBB40" w14:textId="77777777" w:rsidR="00BD3BFA" w:rsidRDefault="00BD3BFA" w:rsidP="00F963AD">
      <w:pPr>
        <w:spacing w:before="100" w:beforeAutospacing="1" w:after="100" w:afterAutospacing="1"/>
        <w:jc w:val="both"/>
        <w:rPr>
          <w:rFonts w:ascii="Book Antiqua" w:hAnsi="Book Antiqua"/>
        </w:rPr>
      </w:pPr>
    </w:p>
    <w:p w14:paraId="03D55740" w14:textId="77777777" w:rsidR="00BD3BFA" w:rsidRDefault="00BD3BFA" w:rsidP="00F963AD">
      <w:pPr>
        <w:spacing w:before="100" w:beforeAutospacing="1" w:after="100" w:afterAutospacing="1"/>
        <w:jc w:val="both"/>
        <w:rPr>
          <w:rFonts w:ascii="Book Antiqua" w:hAnsi="Book Antiqua"/>
        </w:rPr>
      </w:pPr>
    </w:p>
    <w:p w14:paraId="2A80F34A" w14:textId="77777777" w:rsidR="00BD3BFA" w:rsidRDefault="00BD3BFA" w:rsidP="00F963AD">
      <w:pPr>
        <w:spacing w:before="100" w:beforeAutospacing="1" w:after="100" w:afterAutospacing="1"/>
        <w:jc w:val="both"/>
        <w:rPr>
          <w:rFonts w:ascii="Book Antiqua" w:hAnsi="Book Antiqua"/>
        </w:rPr>
      </w:pPr>
    </w:p>
    <w:p w14:paraId="30022AD6" w14:textId="77777777" w:rsidR="00BD3BFA" w:rsidRDefault="00BD3BFA" w:rsidP="00F963AD">
      <w:pPr>
        <w:spacing w:before="100" w:beforeAutospacing="1" w:after="100" w:afterAutospacing="1"/>
        <w:jc w:val="both"/>
        <w:rPr>
          <w:rFonts w:ascii="Book Antiqua" w:hAnsi="Book Antiqua"/>
        </w:rPr>
      </w:pPr>
    </w:p>
    <w:p w14:paraId="5E321C1F" w14:textId="77777777" w:rsidR="00BD3BFA" w:rsidRDefault="00BD3BFA" w:rsidP="00F963AD">
      <w:pPr>
        <w:spacing w:before="100" w:beforeAutospacing="1" w:after="100" w:afterAutospacing="1"/>
        <w:jc w:val="both"/>
        <w:rPr>
          <w:rFonts w:ascii="Book Antiqua" w:hAnsi="Book Antiqua"/>
        </w:rPr>
      </w:pPr>
    </w:p>
    <w:p w14:paraId="436DBCEF" w14:textId="77777777" w:rsidR="00BD3BFA" w:rsidRDefault="00BD3BFA" w:rsidP="00F963AD">
      <w:pPr>
        <w:spacing w:before="100" w:beforeAutospacing="1" w:after="100" w:afterAutospacing="1"/>
        <w:jc w:val="both"/>
        <w:rPr>
          <w:rFonts w:ascii="Book Antiqua" w:hAnsi="Book Antiqua"/>
        </w:rPr>
      </w:pPr>
    </w:p>
    <w:p w14:paraId="63F5F756" w14:textId="77777777" w:rsidR="00BD3BFA" w:rsidRDefault="00BD3BFA" w:rsidP="00F963AD">
      <w:pPr>
        <w:spacing w:before="100" w:beforeAutospacing="1" w:after="100" w:afterAutospacing="1"/>
        <w:jc w:val="both"/>
        <w:rPr>
          <w:rFonts w:ascii="Book Antiqua" w:hAnsi="Book Antiqua"/>
        </w:rPr>
      </w:pPr>
    </w:p>
    <w:p w14:paraId="6E1E8843" w14:textId="77777777" w:rsidR="00BD3BFA" w:rsidRDefault="00BD3BFA" w:rsidP="00F963AD">
      <w:pPr>
        <w:spacing w:before="100" w:beforeAutospacing="1" w:after="100" w:afterAutospacing="1"/>
        <w:jc w:val="both"/>
        <w:rPr>
          <w:rFonts w:ascii="Book Antiqua" w:hAnsi="Book Antiqua"/>
        </w:rPr>
      </w:pPr>
    </w:p>
    <w:p w14:paraId="245E735E" w14:textId="77777777" w:rsidR="00BD3BFA" w:rsidRDefault="00BD3BFA" w:rsidP="00F963AD">
      <w:pPr>
        <w:spacing w:before="100" w:beforeAutospacing="1" w:after="100" w:afterAutospacing="1"/>
        <w:jc w:val="both"/>
        <w:rPr>
          <w:rFonts w:ascii="Book Antiqua" w:hAnsi="Book Antiqua"/>
        </w:rPr>
      </w:pPr>
    </w:p>
    <w:p w14:paraId="567CAEE5" w14:textId="77777777" w:rsidR="00BD3BFA" w:rsidRDefault="00BD3BFA" w:rsidP="00F963AD">
      <w:pPr>
        <w:spacing w:before="100" w:beforeAutospacing="1" w:after="100" w:afterAutospacing="1"/>
        <w:jc w:val="both"/>
        <w:rPr>
          <w:rFonts w:ascii="Book Antiqua" w:hAnsi="Book Antiqua"/>
        </w:rPr>
      </w:pPr>
    </w:p>
    <w:p w14:paraId="084E678E" w14:textId="77777777" w:rsidR="00BD3BFA" w:rsidRPr="00BD3BFA" w:rsidRDefault="00BD3BFA" w:rsidP="00BD3BFA">
      <w:pPr>
        <w:spacing w:before="100" w:beforeAutospacing="1" w:after="100" w:afterAutospacing="1"/>
        <w:rPr>
          <w:rFonts w:ascii="Book Antiqua" w:hAnsi="Book Antiqua"/>
        </w:rPr>
        <w:sectPr w:rsidR="00BD3BFA" w:rsidRPr="00BD3BFA" w:rsidSect="008F6BC9">
          <w:type w:val="continuous"/>
          <w:pgSz w:w="11907" w:h="16839" w:code="9"/>
          <w:pgMar w:top="1440" w:right="1440" w:bottom="1440" w:left="1440" w:header="720" w:footer="720" w:gutter="0"/>
          <w:cols w:num="2" w:space="720"/>
          <w:docGrid w:linePitch="360"/>
        </w:sectPr>
      </w:pPr>
    </w:p>
    <w:p w14:paraId="42E75654" w14:textId="77777777" w:rsidR="00E17D94" w:rsidRDefault="00E17D94" w:rsidP="0059497C">
      <w:pPr>
        <w:rPr>
          <w:rFonts w:ascii="Book Antiqua" w:hAnsi="Book Antiqua"/>
          <w:b/>
        </w:rPr>
      </w:pPr>
    </w:p>
    <w:p w14:paraId="3FE7A0A5" w14:textId="77777777" w:rsidR="00BD4B93" w:rsidRPr="007C2580" w:rsidRDefault="00BD4B93" w:rsidP="003E504E">
      <w:pPr>
        <w:spacing w:after="0"/>
        <w:jc w:val="center"/>
        <w:rPr>
          <w:rFonts w:ascii="Book Antiqua" w:hAnsi="Book Antiqua"/>
          <w:b/>
          <w:sz w:val="26"/>
          <w:szCs w:val="26"/>
        </w:rPr>
      </w:pPr>
      <w:r w:rsidRPr="007C2580">
        <w:rPr>
          <w:rFonts w:ascii="Book Antiqua" w:hAnsi="Book Antiqua"/>
          <w:b/>
          <w:sz w:val="26"/>
          <w:szCs w:val="26"/>
        </w:rPr>
        <w:lastRenderedPageBreak/>
        <w:t xml:space="preserve">Effect </w:t>
      </w:r>
      <w:r w:rsidR="00DD2F90" w:rsidRPr="007C2580">
        <w:rPr>
          <w:rFonts w:ascii="Book Antiqua" w:hAnsi="Book Antiqua"/>
          <w:b/>
          <w:sz w:val="26"/>
          <w:szCs w:val="26"/>
        </w:rPr>
        <w:t>of</w:t>
      </w:r>
      <w:r w:rsidR="00586DC5" w:rsidRPr="007C2580">
        <w:rPr>
          <w:rFonts w:ascii="Book Antiqua" w:hAnsi="Book Antiqua"/>
          <w:b/>
          <w:sz w:val="26"/>
          <w:szCs w:val="26"/>
        </w:rPr>
        <w:t xml:space="preserve"> </w:t>
      </w:r>
      <w:r w:rsidRPr="007C2580">
        <w:rPr>
          <w:rFonts w:ascii="Book Antiqua" w:hAnsi="Book Antiqua"/>
          <w:b/>
          <w:sz w:val="26"/>
          <w:szCs w:val="26"/>
        </w:rPr>
        <w:t xml:space="preserve">Polytechnic </w:t>
      </w:r>
      <w:r w:rsidR="007C2580" w:rsidRPr="007C2580">
        <w:rPr>
          <w:rFonts w:ascii="Book Antiqua" w:hAnsi="Book Antiqua"/>
          <w:b/>
          <w:sz w:val="26"/>
          <w:szCs w:val="26"/>
        </w:rPr>
        <w:t xml:space="preserve">Education </w:t>
      </w:r>
      <w:r w:rsidR="00DD2F90" w:rsidRPr="007C2580">
        <w:rPr>
          <w:rFonts w:ascii="Book Antiqua" w:hAnsi="Book Antiqua"/>
          <w:b/>
          <w:sz w:val="26"/>
          <w:szCs w:val="26"/>
        </w:rPr>
        <w:t>and</w:t>
      </w:r>
      <w:r w:rsidR="00586DC5" w:rsidRPr="007C2580">
        <w:rPr>
          <w:rFonts w:ascii="Book Antiqua" w:hAnsi="Book Antiqua"/>
          <w:b/>
          <w:sz w:val="26"/>
          <w:szCs w:val="26"/>
        </w:rPr>
        <w:t xml:space="preserve"> </w:t>
      </w:r>
      <w:r w:rsidR="007C2580" w:rsidRPr="007C2580">
        <w:rPr>
          <w:rFonts w:ascii="Book Antiqua" w:hAnsi="Book Antiqua"/>
          <w:b/>
          <w:sz w:val="26"/>
          <w:szCs w:val="26"/>
        </w:rPr>
        <w:t xml:space="preserve">Training </w:t>
      </w:r>
      <w:r w:rsidR="00DD2F90" w:rsidRPr="007C2580">
        <w:rPr>
          <w:rFonts w:ascii="Book Antiqua" w:hAnsi="Book Antiqua"/>
          <w:b/>
          <w:sz w:val="26"/>
          <w:szCs w:val="26"/>
        </w:rPr>
        <w:t>on</w:t>
      </w:r>
      <w:r w:rsidR="00586DC5" w:rsidRPr="007C2580">
        <w:rPr>
          <w:rFonts w:ascii="Book Antiqua" w:hAnsi="Book Antiqua"/>
          <w:b/>
          <w:sz w:val="26"/>
          <w:szCs w:val="26"/>
        </w:rPr>
        <w:t xml:space="preserve"> </w:t>
      </w:r>
      <w:r w:rsidR="007C2580" w:rsidRPr="007C2580">
        <w:rPr>
          <w:rFonts w:ascii="Book Antiqua" w:hAnsi="Book Antiqua"/>
          <w:b/>
          <w:sz w:val="26"/>
          <w:szCs w:val="26"/>
        </w:rPr>
        <w:t xml:space="preserve">Acquisition </w:t>
      </w:r>
      <w:r w:rsidR="00DD2F90" w:rsidRPr="007C2580">
        <w:rPr>
          <w:rFonts w:ascii="Book Antiqua" w:hAnsi="Book Antiqua"/>
          <w:b/>
          <w:sz w:val="26"/>
          <w:szCs w:val="26"/>
        </w:rPr>
        <w:t>of</w:t>
      </w:r>
      <w:r w:rsidR="00586DC5" w:rsidRPr="007C2580">
        <w:rPr>
          <w:rFonts w:ascii="Book Antiqua" w:hAnsi="Book Antiqua"/>
          <w:b/>
          <w:sz w:val="26"/>
          <w:szCs w:val="26"/>
        </w:rPr>
        <w:t xml:space="preserve"> </w:t>
      </w:r>
      <w:r w:rsidR="007C2580" w:rsidRPr="007C2580">
        <w:rPr>
          <w:rFonts w:ascii="Book Antiqua" w:hAnsi="Book Antiqua"/>
          <w:b/>
          <w:sz w:val="26"/>
          <w:szCs w:val="26"/>
        </w:rPr>
        <w:t xml:space="preserve">Employability Skills </w:t>
      </w:r>
      <w:r w:rsidR="00DD2F90" w:rsidRPr="007C2580">
        <w:rPr>
          <w:rFonts w:ascii="Book Antiqua" w:hAnsi="Book Antiqua"/>
          <w:b/>
          <w:sz w:val="26"/>
          <w:szCs w:val="26"/>
        </w:rPr>
        <w:t>in</w:t>
      </w:r>
      <w:r w:rsidR="00586DC5" w:rsidRPr="007C2580">
        <w:rPr>
          <w:rFonts w:ascii="Book Antiqua" w:hAnsi="Book Antiqua"/>
          <w:b/>
          <w:sz w:val="26"/>
          <w:szCs w:val="26"/>
        </w:rPr>
        <w:t xml:space="preserve"> </w:t>
      </w:r>
      <w:r w:rsidRPr="007C2580">
        <w:rPr>
          <w:rFonts w:ascii="Book Antiqua" w:hAnsi="Book Antiqua"/>
          <w:b/>
          <w:sz w:val="26"/>
          <w:szCs w:val="26"/>
        </w:rPr>
        <w:t xml:space="preserve">Ghanaian Labour </w:t>
      </w:r>
      <w:r w:rsidR="007C2580" w:rsidRPr="007C2580">
        <w:rPr>
          <w:rFonts w:ascii="Book Antiqua" w:hAnsi="Book Antiqua"/>
          <w:b/>
          <w:sz w:val="26"/>
          <w:szCs w:val="26"/>
        </w:rPr>
        <w:t>Market</w:t>
      </w:r>
      <w:r w:rsidR="00586DC5" w:rsidRPr="007C2580">
        <w:rPr>
          <w:rFonts w:ascii="Book Antiqua" w:hAnsi="Book Antiqua"/>
          <w:b/>
          <w:sz w:val="26"/>
          <w:szCs w:val="26"/>
        </w:rPr>
        <w:t xml:space="preserve">: </w:t>
      </w:r>
      <w:r w:rsidRPr="007C2580">
        <w:rPr>
          <w:rFonts w:ascii="Book Antiqua" w:hAnsi="Book Antiqua"/>
          <w:b/>
          <w:sz w:val="26"/>
          <w:szCs w:val="26"/>
        </w:rPr>
        <w:t xml:space="preserve">Implications </w:t>
      </w:r>
      <w:r w:rsidR="00DD2F90" w:rsidRPr="007C2580">
        <w:rPr>
          <w:rFonts w:ascii="Book Antiqua" w:hAnsi="Book Antiqua"/>
          <w:b/>
          <w:sz w:val="26"/>
          <w:szCs w:val="26"/>
        </w:rPr>
        <w:t>for</w:t>
      </w:r>
      <w:r w:rsidR="00586DC5" w:rsidRPr="007C2580">
        <w:rPr>
          <w:rFonts w:ascii="Book Antiqua" w:hAnsi="Book Antiqua"/>
          <w:b/>
          <w:sz w:val="26"/>
          <w:szCs w:val="26"/>
        </w:rPr>
        <w:t xml:space="preserve"> </w:t>
      </w:r>
      <w:r w:rsidRPr="007C2580">
        <w:rPr>
          <w:rFonts w:ascii="Book Antiqua" w:hAnsi="Book Antiqua"/>
          <w:b/>
          <w:sz w:val="26"/>
          <w:szCs w:val="26"/>
        </w:rPr>
        <w:t xml:space="preserve">Innovations </w:t>
      </w:r>
      <w:r w:rsidR="00DD2F90" w:rsidRPr="007C2580">
        <w:rPr>
          <w:rFonts w:ascii="Book Antiqua" w:hAnsi="Book Antiqua"/>
          <w:b/>
          <w:sz w:val="26"/>
          <w:szCs w:val="26"/>
        </w:rPr>
        <w:t>in</w:t>
      </w:r>
      <w:r w:rsidR="00586DC5" w:rsidRPr="007C2580">
        <w:rPr>
          <w:rFonts w:ascii="Book Antiqua" w:hAnsi="Book Antiqua"/>
          <w:b/>
          <w:sz w:val="26"/>
          <w:szCs w:val="26"/>
        </w:rPr>
        <w:t xml:space="preserve"> </w:t>
      </w:r>
      <w:r w:rsidR="00DD2F90" w:rsidRPr="007C2580">
        <w:rPr>
          <w:rFonts w:ascii="Book Antiqua" w:hAnsi="Book Antiqua"/>
          <w:b/>
          <w:sz w:val="26"/>
          <w:szCs w:val="26"/>
        </w:rPr>
        <w:t>the</w:t>
      </w:r>
      <w:r w:rsidR="00586DC5" w:rsidRPr="007C2580">
        <w:rPr>
          <w:rFonts w:ascii="Book Antiqua" w:hAnsi="Book Antiqua"/>
          <w:b/>
          <w:sz w:val="26"/>
          <w:szCs w:val="26"/>
        </w:rPr>
        <w:t xml:space="preserve"> </w:t>
      </w:r>
      <w:r w:rsidR="007C2580" w:rsidRPr="007C2580">
        <w:rPr>
          <w:rFonts w:ascii="Book Antiqua" w:hAnsi="Book Antiqua"/>
          <w:b/>
          <w:sz w:val="26"/>
          <w:szCs w:val="26"/>
        </w:rPr>
        <w:t xml:space="preserve">Teaching </w:t>
      </w:r>
      <w:r w:rsidR="00DD2F90" w:rsidRPr="007C2580">
        <w:rPr>
          <w:rFonts w:ascii="Book Antiqua" w:hAnsi="Book Antiqua"/>
          <w:b/>
          <w:sz w:val="26"/>
          <w:szCs w:val="26"/>
        </w:rPr>
        <w:t>and</w:t>
      </w:r>
      <w:r w:rsidR="00586DC5" w:rsidRPr="007C2580">
        <w:rPr>
          <w:rFonts w:ascii="Book Antiqua" w:hAnsi="Book Antiqua"/>
          <w:b/>
          <w:sz w:val="26"/>
          <w:szCs w:val="26"/>
        </w:rPr>
        <w:t xml:space="preserve"> </w:t>
      </w:r>
      <w:r w:rsidR="007C2580" w:rsidRPr="007C2580">
        <w:rPr>
          <w:rFonts w:ascii="Book Antiqua" w:hAnsi="Book Antiqua"/>
          <w:b/>
          <w:sz w:val="26"/>
          <w:szCs w:val="26"/>
        </w:rPr>
        <w:t>Learning Processes</w:t>
      </w:r>
    </w:p>
    <w:p w14:paraId="340AA266" w14:textId="77777777" w:rsidR="007C2580" w:rsidRPr="00E3232D" w:rsidRDefault="007C2580" w:rsidP="003E504E">
      <w:pPr>
        <w:spacing w:after="0"/>
        <w:jc w:val="center"/>
        <w:rPr>
          <w:rFonts w:ascii="Book Antiqua" w:hAnsi="Book Antiqua"/>
          <w:b/>
        </w:rPr>
      </w:pPr>
    </w:p>
    <w:p w14:paraId="1704EF56" w14:textId="77777777" w:rsidR="00BD4B93" w:rsidRPr="00751699" w:rsidRDefault="00BD4B93" w:rsidP="003E504E">
      <w:pPr>
        <w:spacing w:after="0"/>
        <w:jc w:val="center"/>
        <w:rPr>
          <w:rFonts w:ascii="Book Antiqua" w:hAnsi="Book Antiqua"/>
          <w:b/>
          <w:sz w:val="26"/>
        </w:rPr>
      </w:pPr>
      <w:r w:rsidRPr="00751699">
        <w:rPr>
          <w:rFonts w:ascii="Book Antiqua" w:hAnsi="Book Antiqua"/>
          <w:b/>
          <w:sz w:val="26"/>
        </w:rPr>
        <w:t>Peter Boahin,</w:t>
      </w:r>
    </w:p>
    <w:p w14:paraId="335E6646" w14:textId="77777777" w:rsidR="00BD4B93" w:rsidRPr="00E3232D" w:rsidRDefault="00BD4B93" w:rsidP="003E504E">
      <w:pPr>
        <w:spacing w:after="0"/>
        <w:jc w:val="center"/>
        <w:rPr>
          <w:rFonts w:ascii="Book Antiqua" w:hAnsi="Book Antiqua"/>
        </w:rPr>
      </w:pPr>
      <w:r w:rsidRPr="00E3232D">
        <w:rPr>
          <w:rFonts w:ascii="Book Antiqua" w:hAnsi="Book Antiqua"/>
        </w:rPr>
        <w:t>National Board for Professional and Technician Examinations (NABPTEX) Accra, Ghana.</w:t>
      </w:r>
    </w:p>
    <w:p w14:paraId="47864F77" w14:textId="77777777" w:rsidR="00BD4B93" w:rsidRPr="00E3232D" w:rsidRDefault="00BD4B93" w:rsidP="007C2580">
      <w:pPr>
        <w:jc w:val="center"/>
        <w:rPr>
          <w:rFonts w:ascii="Book Antiqua" w:hAnsi="Book Antiqua"/>
        </w:rPr>
      </w:pPr>
      <w:r w:rsidRPr="00D31DF9">
        <w:rPr>
          <w:rFonts w:ascii="Book Antiqua" w:hAnsi="Book Antiqua"/>
          <w:b/>
        </w:rPr>
        <w:t>E-mail:</w:t>
      </w:r>
      <w:r w:rsidRPr="00E3232D">
        <w:rPr>
          <w:rFonts w:ascii="Book Antiqua" w:hAnsi="Book Antiqua"/>
        </w:rPr>
        <w:t xml:space="preserve"> </w:t>
      </w:r>
      <w:hyperlink r:id="rId16" w:history="1">
        <w:r w:rsidRPr="001B5875">
          <w:rPr>
            <w:rStyle w:val="Hyperlink"/>
            <w:rFonts w:ascii="Book Antiqua" w:hAnsi="Book Antiqua"/>
            <w:color w:val="auto"/>
            <w:u w:val="none"/>
          </w:rPr>
          <w:t>peterboahink@yahoo.com</w:t>
        </w:r>
      </w:hyperlink>
      <w:r w:rsidRPr="00E3232D">
        <w:rPr>
          <w:rFonts w:ascii="Book Antiqua" w:hAnsi="Book Antiqua"/>
        </w:rPr>
        <w:t xml:space="preserve">  </w:t>
      </w:r>
    </w:p>
    <w:p w14:paraId="06A35F60" w14:textId="77777777" w:rsidR="00BD4B93" w:rsidRPr="00E3232D" w:rsidRDefault="00BD4B93" w:rsidP="008275E1">
      <w:pPr>
        <w:tabs>
          <w:tab w:val="left" w:pos="1701"/>
        </w:tabs>
        <w:rPr>
          <w:rFonts w:ascii="Book Antiqua" w:hAnsi="Book Antiqua"/>
        </w:rPr>
      </w:pPr>
    </w:p>
    <w:p w14:paraId="448EA2DE" w14:textId="77777777" w:rsidR="00BD4B93" w:rsidRPr="008B3520" w:rsidRDefault="00BD4B93" w:rsidP="008B3520">
      <w:pPr>
        <w:tabs>
          <w:tab w:val="left" w:pos="1701"/>
        </w:tabs>
        <w:spacing w:after="0"/>
        <w:jc w:val="both"/>
        <w:outlineLvl w:val="0"/>
        <w:rPr>
          <w:rFonts w:ascii="Book Antiqua" w:hAnsi="Book Antiqua"/>
        </w:rPr>
      </w:pPr>
      <w:r w:rsidRPr="00E3232D">
        <w:rPr>
          <w:rFonts w:ascii="Book Antiqua" w:hAnsi="Book Antiqua"/>
          <w:lang w:val="en-GB"/>
        </w:rPr>
        <w:t>This article</w:t>
      </w:r>
      <w:r w:rsidRPr="00E3232D">
        <w:rPr>
          <w:rFonts w:ascii="Book Antiqua" w:hAnsi="Book Antiqua"/>
        </w:rPr>
        <w:t xml:space="preserve"> explores the destination of polytechnic graduates and the quality of training in relation to the demands of the Ghanaian labour market. Essentially, t</w:t>
      </w:r>
      <w:r w:rsidRPr="00E3232D">
        <w:rPr>
          <w:rFonts w:ascii="Book Antiqua" w:hAnsi="Book Antiqua"/>
          <w:lang w:val="en-GB"/>
        </w:rPr>
        <w:t xml:space="preserve">he study examines theamount of training received by graduates in 14 skills during their studies in the polytechnics. Using a descriptive survey design, data were collected across all the study programmes from the 2003, 2004, 2005 and 2006 cohorts of graduates. </w:t>
      </w:r>
      <w:r w:rsidRPr="00E3232D">
        <w:rPr>
          <w:rFonts w:ascii="Book Antiqua" w:hAnsi="Book Antiqua"/>
        </w:rPr>
        <w:t>The study found</w:t>
      </w:r>
      <w:r w:rsidRPr="00E3232D">
        <w:rPr>
          <w:rFonts w:ascii="Book Antiqua" w:hAnsi="Book Antiqua"/>
          <w:lang w:val="en-GB"/>
        </w:rPr>
        <w:t>inadequate skills training in problem-solving, general Information Technology (IT) user skills, technical and practical skills in specific study programmes. Graduates from engineering and agricultural programmes received less training from attachment or work experience from companies.</w:t>
      </w:r>
      <w:r w:rsidRPr="00E3232D">
        <w:rPr>
          <w:rFonts w:ascii="Book Antiqua" w:hAnsi="Book Antiqua"/>
        </w:rPr>
        <w:t xml:space="preserve">The results demonstrate the need for innovative model of collaboration between industry and polytechnics through the development of workplace as a learning site, formation of industry-led agencies and the need for broader perspectives of competency-based training that will equip students with required competencies necessary to be employable. </w:t>
      </w:r>
    </w:p>
    <w:p w14:paraId="2F0AF2F2" w14:textId="77777777" w:rsidR="00BD4B93" w:rsidRPr="00D224BA" w:rsidRDefault="00BD4B93" w:rsidP="008275E1">
      <w:pPr>
        <w:pStyle w:val="Heading1"/>
        <w:rPr>
          <w:rFonts w:ascii="Book Antiqua" w:hAnsi="Book Antiqua"/>
          <w:b w:val="0"/>
          <w:bCs w:val="0"/>
          <w:sz w:val="22"/>
          <w:szCs w:val="22"/>
          <w:lang w:val="en-GB"/>
        </w:rPr>
      </w:pPr>
      <w:r w:rsidRPr="00751699">
        <w:rPr>
          <w:rFonts w:ascii="Book Antiqua" w:hAnsi="Book Antiqua"/>
          <w:sz w:val="26"/>
          <w:szCs w:val="22"/>
          <w:lang w:val="en-GB"/>
        </w:rPr>
        <w:t>Keywords</w:t>
      </w:r>
      <w:r w:rsidRPr="00D224BA">
        <w:rPr>
          <w:rFonts w:ascii="Book Antiqua" w:hAnsi="Book Antiqua"/>
          <w:sz w:val="22"/>
          <w:szCs w:val="22"/>
          <w:lang w:val="en-GB"/>
        </w:rPr>
        <w:t>:</w:t>
      </w:r>
      <w:r w:rsidRPr="007C2580">
        <w:rPr>
          <w:rFonts w:ascii="Book Antiqua" w:hAnsi="Book Antiqua"/>
          <w:sz w:val="22"/>
          <w:szCs w:val="22"/>
          <w:lang w:val="en-GB"/>
        </w:rPr>
        <w:t xml:space="preserve"> </w:t>
      </w:r>
      <w:r w:rsidR="007C2580" w:rsidRPr="00D224BA">
        <w:rPr>
          <w:rFonts w:ascii="Book Antiqua" w:hAnsi="Book Antiqua"/>
          <w:b w:val="0"/>
          <w:sz w:val="22"/>
          <w:szCs w:val="22"/>
          <w:lang w:val="en-GB"/>
        </w:rPr>
        <w:t>Labour Market; Employability Skills; Polytechnics; Graduates; Industry.</w:t>
      </w:r>
    </w:p>
    <w:p w14:paraId="5216EEA7" w14:textId="77777777" w:rsidR="00BD4B93" w:rsidRPr="00E3232D" w:rsidRDefault="00BD4B93" w:rsidP="00D224BA">
      <w:pPr>
        <w:jc w:val="both"/>
        <w:rPr>
          <w:rFonts w:ascii="Book Antiqua" w:hAnsi="Book Antiqua"/>
          <w:b/>
        </w:rPr>
      </w:pPr>
    </w:p>
    <w:p w14:paraId="54CE541C" w14:textId="77777777" w:rsidR="00BD4B93" w:rsidRPr="00E3232D" w:rsidRDefault="00BD4B93" w:rsidP="00D224BA">
      <w:pPr>
        <w:jc w:val="both"/>
        <w:rPr>
          <w:rFonts w:ascii="Book Antiqua" w:hAnsi="Book Antiqua"/>
          <w:b/>
        </w:rPr>
        <w:sectPr w:rsidR="00BD4B93" w:rsidRPr="00E3232D" w:rsidSect="008F6BC9">
          <w:type w:val="continuous"/>
          <w:pgSz w:w="11907" w:h="16839" w:code="9"/>
          <w:pgMar w:top="1440" w:right="1440" w:bottom="1440" w:left="1440" w:header="720" w:footer="720" w:gutter="0"/>
          <w:cols w:space="720"/>
          <w:docGrid w:linePitch="360"/>
        </w:sectPr>
      </w:pPr>
    </w:p>
    <w:p w14:paraId="0A7D8F0A" w14:textId="77777777" w:rsidR="00BD4B93" w:rsidRPr="00E3232D" w:rsidRDefault="00BD4B93" w:rsidP="00D224BA">
      <w:pPr>
        <w:jc w:val="both"/>
        <w:rPr>
          <w:rFonts w:ascii="Book Antiqua" w:hAnsi="Book Antiqua"/>
          <w:b/>
        </w:rPr>
      </w:pPr>
      <w:r w:rsidRPr="00E3232D">
        <w:rPr>
          <w:rFonts w:ascii="Book Antiqua" w:hAnsi="Book Antiqua"/>
          <w:b/>
        </w:rPr>
        <w:t xml:space="preserve">1.0 </w:t>
      </w:r>
      <w:r w:rsidRPr="00751699">
        <w:rPr>
          <w:rFonts w:ascii="Book Antiqua" w:hAnsi="Book Antiqua"/>
          <w:b/>
          <w:sz w:val="26"/>
        </w:rPr>
        <w:t>Introduction</w:t>
      </w:r>
      <w:r w:rsidRPr="00E3232D">
        <w:rPr>
          <w:rFonts w:ascii="Book Antiqua" w:hAnsi="Book Antiqua"/>
          <w:b/>
        </w:rPr>
        <w:t xml:space="preserve"> </w:t>
      </w:r>
    </w:p>
    <w:p w14:paraId="0DE53672" w14:textId="77777777" w:rsidR="00BD4B93" w:rsidRPr="00E3232D" w:rsidRDefault="00BD4B93" w:rsidP="00D224BA">
      <w:pPr>
        <w:jc w:val="both"/>
        <w:rPr>
          <w:rFonts w:ascii="Book Antiqua" w:hAnsi="Book Antiqua"/>
        </w:rPr>
      </w:pPr>
      <w:r w:rsidRPr="00E3232D">
        <w:rPr>
          <w:rFonts w:ascii="Book Antiqua" w:hAnsi="Book Antiqua"/>
        </w:rPr>
        <w:t xml:space="preserve"> Polytechnic education is a critical component of tertiary education system that provides career–focused education and relevant skill training programmes to meet the changing needs of students, industry and society. In furtherance of this, polytechnics in Ghana were upgraded from the technical institutes into tertiary status to offer advanced technician training and craft certificates for practice-oriented middle-level professions (</w:t>
      </w:r>
      <w:r w:rsidRPr="00E3232D">
        <w:rPr>
          <w:rFonts w:ascii="Book Antiqua" w:hAnsi="Book Antiqua"/>
          <w:color w:val="000000"/>
        </w:rPr>
        <w:t xml:space="preserve">Ministry of Education, 1993; </w:t>
      </w:r>
      <w:r w:rsidRPr="00E3232D">
        <w:rPr>
          <w:rFonts w:ascii="Book Antiqua" w:hAnsi="Book Antiqua"/>
          <w:color w:val="000000"/>
        </w:rPr>
        <w:t>Ghana MOESS, 2008</w:t>
      </w:r>
      <w:r w:rsidRPr="00E3232D">
        <w:rPr>
          <w:rFonts w:ascii="Book Antiqua" w:hAnsi="Book Antiqua"/>
        </w:rPr>
        <w:t>). The mission and mandate of the polytechnics as spelt out in the polytechnic Law are to;</w:t>
      </w:r>
    </w:p>
    <w:p w14:paraId="2D6675A7" w14:textId="77777777" w:rsidR="00BD4B93" w:rsidRPr="00E3232D" w:rsidRDefault="00BD4B93" w:rsidP="00D224BA">
      <w:pPr>
        <w:numPr>
          <w:ilvl w:val="0"/>
          <w:numId w:val="14"/>
        </w:numPr>
        <w:jc w:val="both"/>
        <w:rPr>
          <w:rFonts w:ascii="Book Antiqua" w:hAnsi="Book Antiqua"/>
        </w:rPr>
      </w:pPr>
      <w:r w:rsidRPr="00E3232D">
        <w:rPr>
          <w:rFonts w:ascii="Book Antiqua" w:hAnsi="Book Antiqua"/>
        </w:rPr>
        <w:t>Provide tertiary education in the field of manufacturing, commerce, Science technology, applied social sciences, applied Arts and such other areas as may be determined by the Ministry of Education,</w:t>
      </w:r>
    </w:p>
    <w:p w14:paraId="4EBC5106" w14:textId="77777777" w:rsidR="00BD4B93" w:rsidRPr="00E3232D" w:rsidRDefault="00BD4B93" w:rsidP="00D224BA">
      <w:pPr>
        <w:numPr>
          <w:ilvl w:val="0"/>
          <w:numId w:val="14"/>
        </w:numPr>
        <w:jc w:val="both"/>
        <w:rPr>
          <w:rFonts w:ascii="Book Antiqua" w:hAnsi="Book Antiqua"/>
        </w:rPr>
      </w:pPr>
      <w:r w:rsidRPr="00E3232D">
        <w:rPr>
          <w:rFonts w:ascii="Book Antiqua" w:hAnsi="Book Antiqua"/>
        </w:rPr>
        <w:t xml:space="preserve">Encourage study in  technical subjects  at the tertiary level, and </w:t>
      </w:r>
    </w:p>
    <w:p w14:paraId="297D265A" w14:textId="77777777" w:rsidR="00BD4B93" w:rsidRPr="00E3232D" w:rsidRDefault="00BD4B93" w:rsidP="00D224BA">
      <w:pPr>
        <w:numPr>
          <w:ilvl w:val="0"/>
          <w:numId w:val="14"/>
        </w:numPr>
        <w:jc w:val="both"/>
        <w:rPr>
          <w:rFonts w:ascii="Book Antiqua" w:hAnsi="Book Antiqua"/>
        </w:rPr>
      </w:pPr>
      <w:r w:rsidRPr="00E3232D">
        <w:rPr>
          <w:rFonts w:ascii="Book Antiqua" w:hAnsi="Book Antiqua"/>
        </w:rPr>
        <w:lastRenderedPageBreak/>
        <w:t>Provide opportunity for development, research and publications of research findings.</w:t>
      </w:r>
    </w:p>
    <w:p w14:paraId="41351600" w14:textId="77777777" w:rsidR="00BD4B93" w:rsidRDefault="00BD4B93" w:rsidP="00D224BA">
      <w:pPr>
        <w:jc w:val="both"/>
        <w:rPr>
          <w:rFonts w:ascii="Book Antiqua" w:hAnsi="Book Antiqua"/>
        </w:rPr>
      </w:pPr>
      <w:r w:rsidRPr="00E3232D">
        <w:rPr>
          <w:rFonts w:ascii="Book Antiqua" w:hAnsi="Book Antiqua"/>
        </w:rPr>
        <w:t xml:space="preserve">  The Government White Paper specifically stated that; ‘The polytechnics have a distinctive and important role to play in developing  middle level personnel and that programmes and courses were to be offered at the higher level of technician training leading to the award of higher diplomas but not depart from syllabi dedicated to practical technician training’ (Ministry of Education, 1993).</w:t>
      </w:r>
    </w:p>
    <w:p w14:paraId="2C99C688" w14:textId="77777777" w:rsidR="00D224BA" w:rsidRPr="00E3232D" w:rsidRDefault="00D224BA" w:rsidP="00D224BA">
      <w:pPr>
        <w:jc w:val="both"/>
        <w:rPr>
          <w:rFonts w:ascii="Book Antiqua" w:hAnsi="Book Antiqua"/>
        </w:rPr>
      </w:pPr>
      <w:r w:rsidRPr="00E3232D">
        <w:rPr>
          <w:rFonts w:ascii="Book Antiqua" w:hAnsi="Book Antiqua"/>
        </w:rPr>
        <w:t>However, over the last decade, the polytechnic institutions have not been able to achieve the objective of producing middle-level skilled personnel due to reasons such as theory-based curricula, severe shortages of technical teachers with applied experience from industry, weak linkages and engagement with industry leading to mismatch of courses with technologies currently in use by firms, inefficient schemes of industrial attachment and limited job placements. Other constraints include poor public image about Technical and Vocational Education and Training (TVET) and limited progression in the TVET system leading to steady drift of polytechnic graduates towards academic degree programmes (JICA, 2001, JICA, 2008,Boahin</w:t>
      </w:r>
      <w:r w:rsidR="00CA59AF">
        <w:rPr>
          <w:rFonts w:ascii="Book Antiqua" w:hAnsi="Book Antiqua"/>
        </w:rPr>
        <w:t xml:space="preserve"> </w:t>
      </w:r>
      <w:r w:rsidRPr="00E3232D">
        <w:rPr>
          <w:rFonts w:ascii="Book Antiqua" w:hAnsi="Book Antiqua"/>
        </w:rPr>
        <w:t>&amp;</w:t>
      </w:r>
      <w:r w:rsidR="00CA59AF">
        <w:rPr>
          <w:rFonts w:ascii="Book Antiqua" w:hAnsi="Book Antiqua"/>
        </w:rPr>
        <w:t xml:space="preserve"> </w:t>
      </w:r>
      <w:r w:rsidRPr="00E3232D">
        <w:rPr>
          <w:rFonts w:ascii="Book Antiqua" w:hAnsi="Book Antiqua"/>
        </w:rPr>
        <w:t xml:space="preserve">Hofman, 2012). As a result of these factors, the trend of admission in the polytechnics is shifting steadily towards business-related rather than engineering and technology disciplines. Figure 1 shows the trend of admission into the study programmes in the </w:t>
      </w:r>
      <w:r w:rsidRPr="00E3232D">
        <w:rPr>
          <w:rFonts w:ascii="Book Antiqua" w:hAnsi="Book Antiqua"/>
        </w:rPr>
        <w:t xml:space="preserve">polytechnics.It can be observed from Figure 1 that, though the Business department consists of only five programmes, it produces more than a half of the graduates every year. Equally instructive is that, there are over 23 programmes from both the Engineering and the Applied Arts and Sciences, and yet, only 21% to 35% of the graduates come from the Engineering and 14 % to 20% emerging from the applied Arts and Sciences. This implies that there are few qualified applicants in the Engineering and Applied Sciences and rather, a high intake of students in the Business programmes. Apparently, this trend of the admission in the polytechnics defeats the purpose of encouraging technical and vocational education as contained in polytechnic Law. </w:t>
      </w:r>
    </w:p>
    <w:p w14:paraId="226222A7" w14:textId="77777777" w:rsidR="00D224BA" w:rsidRDefault="00D224BA" w:rsidP="00D224BA">
      <w:pPr>
        <w:rPr>
          <w:rFonts w:ascii="Book Antiqua" w:hAnsi="Book Antiqua"/>
        </w:rPr>
      </w:pPr>
    </w:p>
    <w:p w14:paraId="29D832F1" w14:textId="77777777" w:rsidR="00D224BA" w:rsidRDefault="00D224BA" w:rsidP="00D224BA">
      <w:pPr>
        <w:rPr>
          <w:rFonts w:ascii="Book Antiqua" w:hAnsi="Book Antiqua"/>
        </w:rPr>
      </w:pPr>
    </w:p>
    <w:p w14:paraId="66270BF5" w14:textId="77777777" w:rsidR="00D224BA" w:rsidRDefault="00D224BA" w:rsidP="00D224BA">
      <w:pPr>
        <w:rPr>
          <w:rFonts w:ascii="Book Antiqua" w:hAnsi="Book Antiqua"/>
        </w:rPr>
      </w:pPr>
    </w:p>
    <w:p w14:paraId="0302AFFE" w14:textId="77777777" w:rsidR="00D224BA" w:rsidRDefault="00D224BA" w:rsidP="00D224BA">
      <w:pPr>
        <w:rPr>
          <w:rFonts w:ascii="Book Antiqua" w:hAnsi="Book Antiqua"/>
        </w:rPr>
      </w:pPr>
    </w:p>
    <w:p w14:paraId="19264BAA" w14:textId="77777777" w:rsidR="00D224BA" w:rsidRDefault="00D224BA" w:rsidP="00D224BA">
      <w:pPr>
        <w:rPr>
          <w:rFonts w:ascii="Book Antiqua" w:hAnsi="Book Antiqua"/>
        </w:rPr>
      </w:pPr>
    </w:p>
    <w:p w14:paraId="6D316890" w14:textId="77777777" w:rsidR="00D224BA" w:rsidRDefault="00D224BA" w:rsidP="00D224BA">
      <w:pPr>
        <w:rPr>
          <w:rFonts w:ascii="Book Antiqua" w:hAnsi="Book Antiqua"/>
        </w:rPr>
      </w:pPr>
    </w:p>
    <w:p w14:paraId="1B8548D0" w14:textId="77777777" w:rsidR="00D224BA" w:rsidRDefault="00D224BA" w:rsidP="00D224BA">
      <w:pPr>
        <w:rPr>
          <w:rFonts w:ascii="Book Antiqua" w:hAnsi="Book Antiqua"/>
        </w:rPr>
      </w:pPr>
    </w:p>
    <w:p w14:paraId="634707A3" w14:textId="77777777" w:rsidR="00D224BA" w:rsidRDefault="00D224BA" w:rsidP="00D224BA">
      <w:pPr>
        <w:rPr>
          <w:rFonts w:ascii="Book Antiqua" w:hAnsi="Book Antiqua"/>
        </w:rPr>
      </w:pPr>
    </w:p>
    <w:p w14:paraId="36FCDB45" w14:textId="77777777" w:rsidR="00D224BA" w:rsidRDefault="00D224BA" w:rsidP="00D224BA">
      <w:pPr>
        <w:rPr>
          <w:rFonts w:ascii="Book Antiqua" w:hAnsi="Book Antiqua"/>
        </w:rPr>
      </w:pPr>
    </w:p>
    <w:p w14:paraId="1D74C4DA" w14:textId="77777777" w:rsidR="00D224BA" w:rsidRDefault="00D224BA" w:rsidP="00D224BA">
      <w:pPr>
        <w:rPr>
          <w:rFonts w:ascii="Book Antiqua" w:hAnsi="Book Antiqua"/>
        </w:rPr>
      </w:pPr>
    </w:p>
    <w:p w14:paraId="23B0B06B" w14:textId="77777777" w:rsidR="00D224BA" w:rsidRDefault="00D224BA" w:rsidP="00D224BA">
      <w:pPr>
        <w:rPr>
          <w:rFonts w:ascii="Book Antiqua" w:hAnsi="Book Antiqua"/>
        </w:rPr>
      </w:pPr>
    </w:p>
    <w:p w14:paraId="4C6CCED0" w14:textId="77777777" w:rsidR="00D224BA" w:rsidRDefault="00D224BA" w:rsidP="00D224BA">
      <w:pPr>
        <w:rPr>
          <w:rFonts w:ascii="Book Antiqua" w:hAnsi="Book Antiqua"/>
        </w:rPr>
      </w:pPr>
    </w:p>
    <w:p w14:paraId="0546E885" w14:textId="77777777" w:rsidR="00D224BA" w:rsidRDefault="00D224BA" w:rsidP="00D224BA">
      <w:pPr>
        <w:rPr>
          <w:rFonts w:ascii="Book Antiqua" w:hAnsi="Book Antiqua"/>
        </w:rPr>
      </w:pPr>
    </w:p>
    <w:p w14:paraId="0C52D976" w14:textId="77777777" w:rsidR="00D224BA" w:rsidRDefault="007005B1" w:rsidP="00D224BA">
      <w:pPr>
        <w:jc w:val="both"/>
        <w:rPr>
          <w:rFonts w:ascii="Book Antiqua" w:hAnsi="Book Antiqua"/>
        </w:rPr>
      </w:pPr>
      <w:r>
        <w:rPr>
          <w:noProof/>
          <w:lang w:bidi="ar-SA"/>
        </w:rPr>
        <w:lastRenderedPageBreak/>
        <w:drawing>
          <wp:anchor distT="0" distB="0" distL="114300" distR="114300" simplePos="0" relativeHeight="251837952" behindDoc="0" locked="0" layoutInCell="1" allowOverlap="1" wp14:anchorId="207B35E2" wp14:editId="31CEF3EC">
            <wp:simplePos x="0" y="0"/>
            <wp:positionH relativeFrom="column">
              <wp:posOffset>0</wp:posOffset>
            </wp:positionH>
            <wp:positionV relativeFrom="paragraph">
              <wp:posOffset>0</wp:posOffset>
            </wp:positionV>
            <wp:extent cx="5772150" cy="3312160"/>
            <wp:effectExtent l="0" t="0" r="0" b="0"/>
            <wp:wrapNone/>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17"/>
                    <a:srcRect/>
                    <a:stretch>
                      <a:fillRect/>
                    </a:stretch>
                  </pic:blipFill>
                  <pic:spPr bwMode="auto">
                    <a:xfrm>
                      <a:off x="0" y="0"/>
                      <a:ext cx="5772150" cy="3312160"/>
                    </a:xfrm>
                    <a:prstGeom prst="rect">
                      <a:avLst/>
                    </a:prstGeom>
                    <a:noFill/>
                    <a:ln w="9525">
                      <a:noFill/>
                      <a:miter lim="800000"/>
                      <a:headEnd/>
                      <a:tailEnd/>
                    </a:ln>
                  </pic:spPr>
                </pic:pic>
              </a:graphicData>
            </a:graphic>
          </wp:anchor>
        </w:drawing>
      </w:r>
    </w:p>
    <w:p w14:paraId="616D3E9C" w14:textId="77777777" w:rsidR="00D224BA" w:rsidRDefault="00D224BA" w:rsidP="00D224BA">
      <w:pPr>
        <w:jc w:val="both"/>
        <w:rPr>
          <w:rFonts w:ascii="Book Antiqua" w:hAnsi="Book Antiqua"/>
        </w:rPr>
      </w:pPr>
    </w:p>
    <w:p w14:paraId="3707D019" w14:textId="77777777" w:rsidR="00D224BA" w:rsidRDefault="00D224BA" w:rsidP="00D224BA">
      <w:pPr>
        <w:jc w:val="both"/>
        <w:rPr>
          <w:rFonts w:ascii="Book Antiqua" w:hAnsi="Book Antiqua"/>
        </w:rPr>
      </w:pPr>
    </w:p>
    <w:p w14:paraId="41C7185D" w14:textId="77777777" w:rsidR="00D224BA" w:rsidRDefault="00D224BA" w:rsidP="00D224BA">
      <w:pPr>
        <w:jc w:val="both"/>
        <w:rPr>
          <w:rFonts w:ascii="Book Antiqua" w:hAnsi="Book Antiqua"/>
        </w:rPr>
      </w:pPr>
    </w:p>
    <w:p w14:paraId="0DFE73FE" w14:textId="77777777" w:rsidR="00D224BA" w:rsidRDefault="00D224BA" w:rsidP="00D224BA">
      <w:pPr>
        <w:jc w:val="both"/>
        <w:rPr>
          <w:rFonts w:ascii="Book Antiqua" w:hAnsi="Book Antiqua"/>
        </w:rPr>
      </w:pPr>
    </w:p>
    <w:p w14:paraId="75B48055" w14:textId="77777777" w:rsidR="00D224BA" w:rsidRDefault="00D224BA" w:rsidP="00D224BA">
      <w:pPr>
        <w:jc w:val="both"/>
        <w:rPr>
          <w:rFonts w:ascii="Book Antiqua" w:hAnsi="Book Antiqua"/>
        </w:rPr>
      </w:pPr>
    </w:p>
    <w:p w14:paraId="28AC2B66" w14:textId="77777777" w:rsidR="00D224BA" w:rsidRDefault="00D224BA" w:rsidP="00D224BA">
      <w:pPr>
        <w:jc w:val="both"/>
        <w:rPr>
          <w:rFonts w:ascii="Book Antiqua" w:hAnsi="Book Antiqua"/>
        </w:rPr>
      </w:pPr>
    </w:p>
    <w:p w14:paraId="7009BEE5" w14:textId="77777777" w:rsidR="00D224BA" w:rsidRDefault="00D224BA" w:rsidP="00D224BA">
      <w:pPr>
        <w:jc w:val="both"/>
        <w:rPr>
          <w:rFonts w:ascii="Book Antiqua" w:hAnsi="Book Antiqua"/>
        </w:rPr>
      </w:pPr>
    </w:p>
    <w:p w14:paraId="40ED4509" w14:textId="77777777" w:rsidR="00D224BA" w:rsidRDefault="00D224BA" w:rsidP="00D224BA">
      <w:pPr>
        <w:jc w:val="both"/>
        <w:rPr>
          <w:rFonts w:ascii="Book Antiqua" w:hAnsi="Book Antiqua"/>
        </w:rPr>
      </w:pPr>
    </w:p>
    <w:p w14:paraId="697E4F32" w14:textId="77777777" w:rsidR="00D224BA" w:rsidRDefault="00D224BA" w:rsidP="00D224BA">
      <w:pPr>
        <w:jc w:val="both"/>
        <w:rPr>
          <w:rFonts w:ascii="Book Antiqua" w:hAnsi="Book Antiqua"/>
        </w:rPr>
      </w:pPr>
    </w:p>
    <w:p w14:paraId="2DB124B4" w14:textId="77777777" w:rsidR="00D224BA" w:rsidRDefault="00D224BA" w:rsidP="00D224BA">
      <w:pPr>
        <w:spacing w:after="0"/>
        <w:rPr>
          <w:rFonts w:ascii="Book Antiqua" w:hAnsi="Book Antiqua"/>
        </w:rPr>
      </w:pPr>
    </w:p>
    <w:p w14:paraId="7FD9EAAC" w14:textId="77777777" w:rsidR="00D224BA" w:rsidRDefault="00D224BA" w:rsidP="00D224BA">
      <w:pPr>
        <w:rPr>
          <w:rFonts w:ascii="Book Antiqua" w:hAnsi="Book Antiqua"/>
        </w:rPr>
      </w:pPr>
      <w:r w:rsidRPr="00E3232D">
        <w:rPr>
          <w:rFonts w:ascii="Book Antiqua" w:hAnsi="Book Antiqua"/>
        </w:rPr>
        <w:t>Fig 1: Polytechnic Graduates from 2001 to 2006</w:t>
      </w:r>
    </w:p>
    <w:p w14:paraId="660CCE28" w14:textId="77777777" w:rsidR="00D224BA" w:rsidRDefault="00D224BA" w:rsidP="00C65C7A">
      <w:pPr>
        <w:spacing w:after="0"/>
        <w:jc w:val="both"/>
        <w:rPr>
          <w:rFonts w:ascii="Book Antiqua" w:hAnsi="Book Antiqua"/>
        </w:rPr>
      </w:pPr>
      <w:r w:rsidRPr="00E3232D">
        <w:rPr>
          <w:rFonts w:ascii="Book Antiqua" w:hAnsi="Book Antiqua"/>
        </w:rPr>
        <w:t>It is to address these imbalances in the programmes that NABPTEX introduced an Access course in 2007 for the graduates from the technical institutes to pursue one</w:t>
      </w:r>
    </w:p>
    <w:p w14:paraId="144DB02C" w14:textId="77777777" w:rsidR="00D224BA" w:rsidRDefault="00BD4B93" w:rsidP="00C65C7A">
      <w:pPr>
        <w:jc w:val="both"/>
        <w:rPr>
          <w:rFonts w:ascii="Book Antiqua" w:hAnsi="Book Antiqua"/>
        </w:rPr>
      </w:pPr>
      <w:r w:rsidRPr="00E3232D">
        <w:rPr>
          <w:rFonts w:ascii="Book Antiqua" w:hAnsi="Book Antiqua"/>
        </w:rPr>
        <w:t xml:space="preserve">year Pre-HND programme in English Language, Mathematics, and Sciences in the polytechnics. Similar bridging course is underway for WASSCE Science candidates who obtained weak passes in their elective areas to pursue engineering and technology-related programmes in the polytechnics.  </w:t>
      </w:r>
    </w:p>
    <w:p w14:paraId="036C4115" w14:textId="77777777" w:rsidR="00D224BA" w:rsidRDefault="00BD4B93" w:rsidP="00C65C7A">
      <w:pPr>
        <w:jc w:val="both"/>
        <w:rPr>
          <w:rFonts w:ascii="Book Antiqua" w:hAnsi="Book Antiqua"/>
        </w:rPr>
      </w:pPr>
      <w:r w:rsidRPr="00E3232D">
        <w:rPr>
          <w:rFonts w:ascii="Book Antiqua" w:hAnsi="Book Antiqua"/>
        </w:rPr>
        <w:t xml:space="preserve">Perhaps, the greatest challenge among the polytechnic graduates is inadequate acquisition of employable skills. It is reported that poor employability skills among polytechnic graduates compel some employers to take prospective </w:t>
      </w:r>
    </w:p>
    <w:p w14:paraId="6B0985D6" w14:textId="77777777" w:rsidR="00D224BA" w:rsidRDefault="00D224BA" w:rsidP="00C65C7A">
      <w:pPr>
        <w:jc w:val="both"/>
        <w:rPr>
          <w:rFonts w:ascii="Book Antiqua" w:hAnsi="Book Antiqua"/>
        </w:rPr>
      </w:pPr>
    </w:p>
    <w:p w14:paraId="67606052" w14:textId="77777777" w:rsidR="00D224BA" w:rsidRDefault="00D224BA" w:rsidP="00C65C7A">
      <w:pPr>
        <w:jc w:val="both"/>
        <w:rPr>
          <w:rFonts w:ascii="Book Antiqua" w:hAnsi="Book Antiqua"/>
        </w:rPr>
      </w:pPr>
    </w:p>
    <w:p w14:paraId="775C141C" w14:textId="77777777" w:rsidR="00D224BA" w:rsidRDefault="00D224BA" w:rsidP="00C65C7A">
      <w:pPr>
        <w:jc w:val="both"/>
        <w:rPr>
          <w:rFonts w:ascii="Book Antiqua" w:hAnsi="Book Antiqua"/>
        </w:rPr>
      </w:pPr>
    </w:p>
    <w:p w14:paraId="227C6CB6" w14:textId="77777777" w:rsidR="00D224BA" w:rsidRDefault="00D224BA" w:rsidP="00C65C7A">
      <w:pPr>
        <w:jc w:val="both"/>
        <w:rPr>
          <w:rFonts w:ascii="Book Antiqua" w:hAnsi="Book Antiqua"/>
        </w:rPr>
      </w:pPr>
    </w:p>
    <w:p w14:paraId="1A634362" w14:textId="77777777" w:rsidR="00D224BA" w:rsidRDefault="00D224BA" w:rsidP="00C65C7A">
      <w:pPr>
        <w:jc w:val="both"/>
        <w:rPr>
          <w:rFonts w:ascii="Book Antiqua" w:hAnsi="Book Antiqua"/>
        </w:rPr>
      </w:pPr>
    </w:p>
    <w:p w14:paraId="6D1CC218" w14:textId="77777777" w:rsidR="00D224BA" w:rsidRDefault="00D224BA" w:rsidP="00C65C7A">
      <w:pPr>
        <w:jc w:val="both"/>
        <w:rPr>
          <w:rFonts w:ascii="Book Antiqua" w:hAnsi="Book Antiqua"/>
        </w:rPr>
      </w:pPr>
    </w:p>
    <w:p w14:paraId="034EF51B" w14:textId="77777777" w:rsidR="00D224BA" w:rsidRDefault="00D224BA" w:rsidP="00C65C7A">
      <w:pPr>
        <w:jc w:val="both"/>
        <w:rPr>
          <w:rFonts w:ascii="Book Antiqua" w:hAnsi="Book Antiqua"/>
        </w:rPr>
      </w:pPr>
    </w:p>
    <w:p w14:paraId="071DACF5" w14:textId="77777777" w:rsidR="00D224BA" w:rsidRDefault="00D224BA" w:rsidP="00C65C7A">
      <w:pPr>
        <w:jc w:val="both"/>
        <w:rPr>
          <w:rFonts w:ascii="Book Antiqua" w:hAnsi="Book Antiqua"/>
        </w:rPr>
      </w:pPr>
    </w:p>
    <w:p w14:paraId="1880E390" w14:textId="77777777" w:rsidR="00D224BA" w:rsidRDefault="00D224BA" w:rsidP="00C65C7A">
      <w:pPr>
        <w:jc w:val="both"/>
        <w:rPr>
          <w:rFonts w:ascii="Book Antiqua" w:hAnsi="Book Antiqua"/>
        </w:rPr>
      </w:pPr>
    </w:p>
    <w:p w14:paraId="23A6CA65" w14:textId="77777777" w:rsidR="00D224BA" w:rsidRDefault="00D224BA" w:rsidP="00C65C7A">
      <w:pPr>
        <w:jc w:val="both"/>
        <w:rPr>
          <w:rFonts w:ascii="Book Antiqua" w:hAnsi="Book Antiqua"/>
        </w:rPr>
      </w:pPr>
    </w:p>
    <w:p w14:paraId="50AF4D09" w14:textId="77777777" w:rsidR="00D224BA" w:rsidRDefault="00D224BA" w:rsidP="00C65C7A">
      <w:pPr>
        <w:jc w:val="both"/>
        <w:rPr>
          <w:rFonts w:ascii="Book Antiqua" w:hAnsi="Book Antiqua"/>
        </w:rPr>
      </w:pPr>
    </w:p>
    <w:p w14:paraId="702B2746" w14:textId="77777777" w:rsidR="00D224BA" w:rsidRDefault="00D224BA" w:rsidP="00C65C7A">
      <w:pPr>
        <w:jc w:val="both"/>
        <w:rPr>
          <w:rFonts w:ascii="Book Antiqua" w:hAnsi="Book Antiqua"/>
        </w:rPr>
      </w:pPr>
    </w:p>
    <w:p w14:paraId="428E9839" w14:textId="77777777" w:rsidR="00D224BA" w:rsidRDefault="00D224BA" w:rsidP="00C65C7A">
      <w:pPr>
        <w:jc w:val="both"/>
        <w:rPr>
          <w:rFonts w:ascii="Book Antiqua" w:hAnsi="Book Antiqua"/>
        </w:rPr>
      </w:pPr>
    </w:p>
    <w:p w14:paraId="73729CD8" w14:textId="77777777" w:rsidR="000F0F02" w:rsidRPr="0096027C" w:rsidRDefault="00BD4B93" w:rsidP="00A14A13">
      <w:pPr>
        <w:jc w:val="both"/>
        <w:rPr>
          <w:rFonts w:ascii="Book Antiqua" w:hAnsi="Book Antiqua"/>
        </w:rPr>
      </w:pPr>
      <w:r w:rsidRPr="00E3232D">
        <w:rPr>
          <w:rFonts w:ascii="Book Antiqua" w:hAnsi="Book Antiqua"/>
        </w:rPr>
        <w:t>employees through longer orientation and probation schemes before the best</w:t>
      </w:r>
      <w:r w:rsidR="00D224BA">
        <w:rPr>
          <w:rFonts w:ascii="Book Antiqua" w:hAnsi="Book Antiqua"/>
        </w:rPr>
        <w:t xml:space="preserve"> </w:t>
      </w:r>
      <w:r w:rsidRPr="00E3232D">
        <w:rPr>
          <w:rFonts w:ascii="Book Antiqua" w:hAnsi="Book Antiqua"/>
        </w:rPr>
        <w:t>performing candidates are selected (Boateng and Sarpong, 2002). It is further reported that, some graduates accept job offers mainly on short-term contracts, part-time and casual hours because they do not possess adequate generic competencies to perform well in a profession (World Bank, 2009).</w:t>
      </w:r>
      <w:r w:rsidR="00CA59AF">
        <w:rPr>
          <w:rFonts w:ascii="Book Antiqua" w:hAnsi="Book Antiqua"/>
        </w:rPr>
        <w:t xml:space="preserve"> </w:t>
      </w:r>
      <w:r w:rsidRPr="00E3232D">
        <w:rPr>
          <w:rFonts w:ascii="Book Antiqua" w:hAnsi="Book Antiqua"/>
        </w:rPr>
        <w:t xml:space="preserve">Feedback from employers’ survey indicates that tertiary graduates are weak in professional competencies particularly in problem-solving, organisational skills, ICT, communication and teamwork (World Bank, 2009). Several studies also claim that teachers do not integrate these competencies into learning and assessment strategies (NCTVET 2006, Barrie 2005). It is to investigate the validity of these claims that led to the conduct of tracer studies on the </w:t>
      </w:r>
      <w:r w:rsidR="00A14A13" w:rsidRPr="00E3232D">
        <w:rPr>
          <w:rFonts w:ascii="Book Antiqua" w:hAnsi="Book Antiqua"/>
        </w:rPr>
        <w:lastRenderedPageBreak/>
        <w:t xml:space="preserve">Polytechnic </w:t>
      </w:r>
      <w:r w:rsidRPr="00E3232D">
        <w:rPr>
          <w:rFonts w:ascii="Book Antiqua" w:hAnsi="Book Antiqua"/>
        </w:rPr>
        <w:t>graduates in Ghanaian labour market. Polytechnic education is the focus of the study because training is designed to equip graduates with the required competencies for middle-level profession</w:t>
      </w:r>
      <w:r w:rsidR="006633AE" w:rsidRPr="00E3232D">
        <w:rPr>
          <w:rFonts w:ascii="Book Antiqua" w:hAnsi="Book Antiqua"/>
        </w:rPr>
        <w:t xml:space="preserve"> </w:t>
      </w:r>
      <w:r w:rsidRPr="00E3232D">
        <w:rPr>
          <w:rFonts w:ascii="Book Antiqua" w:hAnsi="Book Antiqua"/>
        </w:rPr>
        <w:t>and maintain their placements in the workforce.</w:t>
      </w:r>
    </w:p>
    <w:p w14:paraId="0EF7F804" w14:textId="77777777" w:rsidR="00D31DF9" w:rsidRDefault="00BD4B93" w:rsidP="00A14A13">
      <w:pPr>
        <w:jc w:val="both"/>
        <w:rPr>
          <w:rFonts w:ascii="Book Antiqua" w:hAnsi="Book Antiqua"/>
          <w:lang w:val="en-GB"/>
        </w:rPr>
      </w:pPr>
      <w:r w:rsidRPr="00E3232D">
        <w:rPr>
          <w:rFonts w:ascii="Book Antiqua" w:hAnsi="Book Antiqua"/>
          <w:lang w:val="en-GB"/>
        </w:rPr>
        <w:t>Relevant experiences in the field of tracer studies can be found in various European countries, e.g., the website of the German Ministry of Education, the Dutch questionnaire for Graduates of Higher Education, or the website of a European research project with regard to labour market development for higher education graduates</w:t>
      </w:r>
      <w:r w:rsidR="00CA59AF">
        <w:rPr>
          <w:rStyle w:val="FootnoteReference"/>
          <w:rFonts w:ascii="Book Antiqua" w:hAnsi="Book Antiqua"/>
          <w:lang w:val="en-GB"/>
        </w:rPr>
        <w:t>.</w:t>
      </w:r>
      <w:r w:rsidRPr="00E3232D">
        <w:rPr>
          <w:rFonts w:ascii="Book Antiqua" w:hAnsi="Book Antiqua"/>
          <w:lang w:val="en-GB"/>
        </w:rPr>
        <w:t xml:space="preserve"> In Ghana, a tracer study by Boateng and Ofori –Sarpong (2002) focused on the supply of graduates of tertiary institution and the demands of the labour market. As a nation-wide study, it provided an overview of the relevance of tertiary education to the labour market needs with a particular focus on graduate unemployment among the university and the polytechnic graduates in Ghanaian labour market. In contrast, this study focuses on the extent of training graduates received on employability skills during their study programmes in the polytechnics. Moreover, by exploring different year groups of graduates and study programmes on acquisition of employability skills makes this study a uniquely valuable tool to identify the extent to which employability skills are integrated in the teaching and learning process.</w:t>
      </w:r>
    </w:p>
    <w:p w14:paraId="59F27A82" w14:textId="77777777" w:rsidR="00BD4B93" w:rsidRPr="00E3232D" w:rsidRDefault="00BD4B93" w:rsidP="00A14A13">
      <w:pPr>
        <w:jc w:val="both"/>
        <w:rPr>
          <w:rFonts w:ascii="Book Antiqua" w:hAnsi="Book Antiqua"/>
        </w:rPr>
      </w:pPr>
      <w:r w:rsidRPr="00E3232D">
        <w:rPr>
          <w:rFonts w:ascii="Book Antiqua" w:hAnsi="Book Antiqua"/>
          <w:lang w:val="en-GB"/>
        </w:rPr>
        <w:t xml:space="preserve"> The focus of employability skills is very crucial in this study because in this era of </w:t>
      </w:r>
      <w:r w:rsidRPr="00E3232D">
        <w:rPr>
          <w:rFonts w:ascii="Book Antiqua" w:hAnsi="Book Antiqua"/>
        </w:rPr>
        <w:t xml:space="preserve">technology and high labour mobility, </w:t>
      </w:r>
      <w:r w:rsidRPr="00E3232D">
        <w:rPr>
          <w:rFonts w:ascii="Book Antiqua" w:hAnsi="Book Antiqua"/>
        </w:rPr>
        <w:t>prospective employees need both technical and employability skills for successful employment (Gibb and Curtain, 2004).</w:t>
      </w:r>
      <w:r w:rsidR="00CA59AF">
        <w:rPr>
          <w:rFonts w:ascii="Book Antiqua" w:hAnsi="Book Antiqua"/>
        </w:rPr>
        <w:t xml:space="preserve"> </w:t>
      </w:r>
      <w:r w:rsidRPr="00E3232D">
        <w:rPr>
          <w:rFonts w:ascii="Book Antiqua" w:hAnsi="Book Antiqua"/>
        </w:rPr>
        <w:t>New and emerging markets therefore, require highly skilled graduates who can respond to complex environments characterised by ill-defined problems, dynamic and highly integrated processes (Westera, 2001, Andrews and Higson 2008).</w:t>
      </w:r>
    </w:p>
    <w:p w14:paraId="4652AAE3" w14:textId="77777777" w:rsidR="00BD4B93" w:rsidRPr="00E3232D" w:rsidRDefault="00BD4B93" w:rsidP="00A14A13">
      <w:pPr>
        <w:jc w:val="both"/>
        <w:rPr>
          <w:rFonts w:ascii="Book Antiqua" w:hAnsi="Book Antiqua"/>
        </w:rPr>
      </w:pPr>
      <w:r w:rsidRPr="00E3232D">
        <w:rPr>
          <w:rFonts w:ascii="Book Antiqua" w:hAnsi="Book Antiqua"/>
          <w:lang w:val="en-GB"/>
        </w:rPr>
        <w:t xml:space="preserve">Thus, the main objective of this study is to </w:t>
      </w:r>
      <w:r w:rsidRPr="00E3232D">
        <w:rPr>
          <w:rFonts w:ascii="Book Antiqua" w:hAnsi="Book Antiqua"/>
        </w:rPr>
        <w:t>explore the amount of training received by the polytechnic graduates in 14 employability skills during their training programmes.</w:t>
      </w:r>
    </w:p>
    <w:p w14:paraId="6C72A240" w14:textId="77777777" w:rsidR="00BD4B93" w:rsidRPr="00E3232D" w:rsidRDefault="00BD4B93" w:rsidP="00FD2732">
      <w:pPr>
        <w:spacing w:after="0"/>
        <w:jc w:val="both"/>
        <w:rPr>
          <w:rFonts w:ascii="Book Antiqua" w:hAnsi="Book Antiqua"/>
        </w:rPr>
      </w:pPr>
    </w:p>
    <w:p w14:paraId="04C75EA6" w14:textId="77777777" w:rsidR="00BD4B93" w:rsidRPr="00E3232D" w:rsidRDefault="00BD4B93" w:rsidP="00FD2732">
      <w:pPr>
        <w:ind w:left="450" w:hanging="450"/>
        <w:jc w:val="both"/>
        <w:rPr>
          <w:rFonts w:ascii="Book Antiqua" w:hAnsi="Book Antiqua"/>
          <w:b/>
        </w:rPr>
      </w:pPr>
      <w:r w:rsidRPr="00E3232D">
        <w:rPr>
          <w:rFonts w:ascii="Book Antiqua" w:hAnsi="Book Antiqua"/>
          <w:b/>
        </w:rPr>
        <w:t xml:space="preserve">1.1 </w:t>
      </w:r>
      <w:r w:rsidRPr="00FD2732">
        <w:rPr>
          <w:rFonts w:ascii="Book Antiqua" w:hAnsi="Book Antiqua"/>
          <w:b/>
          <w:sz w:val="24"/>
        </w:rPr>
        <w:t>Changing trends in the graduate labour market demands</w:t>
      </w:r>
    </w:p>
    <w:p w14:paraId="6F86C145" w14:textId="77777777" w:rsidR="00A81D85" w:rsidRDefault="00BD4B93" w:rsidP="00A14A13">
      <w:pPr>
        <w:jc w:val="both"/>
        <w:rPr>
          <w:rFonts w:ascii="Book Antiqua" w:hAnsi="Book Antiqua"/>
        </w:rPr>
      </w:pPr>
      <w:r w:rsidRPr="00E3232D">
        <w:rPr>
          <w:rFonts w:ascii="Book Antiqua" w:hAnsi="Book Antiqua"/>
        </w:rPr>
        <w:t xml:space="preserve">New technologies and changing expectations in the labour market usually create imbalances in institutional curricula, course organisation and pedagogy in higher education. </w:t>
      </w:r>
      <w:r w:rsidRPr="00E3232D">
        <w:rPr>
          <w:rFonts w:ascii="Book Antiqua" w:hAnsi="Book Antiqua"/>
          <w:lang w:val="en-GB"/>
        </w:rPr>
        <w:t xml:space="preserve">Changes in global economy and the desire of firms and industry to reduce cost of production and increase their profit margins lead to continuous refinement of their production processes, internal systems and marketing strategies which do not often align with the training system of the higher education. Under these circumstances, dependence on specialised knowledge or narrowly prescribed skills for specific jobs and roles rather limits transfer of skills and labour mobility. </w:t>
      </w:r>
      <w:r w:rsidRPr="00E3232D">
        <w:rPr>
          <w:rFonts w:ascii="Book Antiqua" w:hAnsi="Book Antiqua"/>
        </w:rPr>
        <w:t xml:space="preserve">There is a growing strategic interest in the development of ‘core competencies’ in business, science, technology and applied research disciplines. These core or employability </w:t>
      </w:r>
      <w:r w:rsidRPr="00E3232D">
        <w:rPr>
          <w:rFonts w:ascii="Book Antiqua" w:hAnsi="Book Antiqua"/>
        </w:rPr>
        <w:lastRenderedPageBreak/>
        <w:t xml:space="preserve">skills are important because current jobs require flexibility, initiative and ability to undertake many different tasks. As the economy becomes knowledge and information-based, so are jobs become more service-oriented, making information and social skills increasingly important. Thus, jobs in business, finance, insurance and retail sectors require interpersonal skills, customer handling skills, communication and general IT user skills to respond to client needs. Similarly, manufacturing and craft workers often work with more complex processes and therefore require greater thinking, reasoning, problem-solving skills and team work to operate machinery or deal with faults. Consequently, </w:t>
      </w:r>
      <w:r w:rsidRPr="00E3232D">
        <w:rPr>
          <w:rFonts w:ascii="Book Antiqua" w:hAnsi="Book Antiqua"/>
          <w:lang w:val="en-GB"/>
        </w:rPr>
        <w:t xml:space="preserve">prospective employees </w:t>
      </w:r>
      <w:r w:rsidRPr="00E3232D">
        <w:rPr>
          <w:rFonts w:ascii="Book Antiqua" w:hAnsi="Book Antiqua"/>
        </w:rPr>
        <w:t>need to acquire a broader range of skills, professional competencies and attitudes to continually adapt and transfer skills and knowledge in different contexts. Thus, industries are in constant search of employees who are capable of combining technical skills with professional competencies in innovative and productive ways for effective participation in the emerging patterns of work and organisation (Mitchel et al, 2006; Gibb and Cur</w:t>
      </w:r>
      <w:r w:rsidR="00A81D85">
        <w:rPr>
          <w:rFonts w:ascii="Book Antiqua" w:hAnsi="Book Antiqua"/>
        </w:rPr>
        <w:t>tain, 2004; Brown et al, 2008).</w:t>
      </w:r>
      <w:r w:rsidR="00FD2732">
        <w:rPr>
          <w:rFonts w:ascii="Book Antiqua" w:hAnsi="Book Antiqua"/>
        </w:rPr>
        <w:t xml:space="preserve"> </w:t>
      </w:r>
      <w:r w:rsidRPr="00E3232D">
        <w:rPr>
          <w:rFonts w:ascii="Book Antiqua" w:hAnsi="Book Antiqua"/>
        </w:rPr>
        <w:t xml:space="preserve">These professional competencies include creativity, </w:t>
      </w:r>
    </w:p>
    <w:p w14:paraId="1FB17266" w14:textId="77777777" w:rsidR="00BD4B93" w:rsidRPr="00E3232D" w:rsidRDefault="00BD4B93" w:rsidP="00A14A13">
      <w:pPr>
        <w:jc w:val="both"/>
        <w:rPr>
          <w:rFonts w:ascii="Book Antiqua" w:hAnsi="Book Antiqua"/>
        </w:rPr>
      </w:pPr>
      <w:r w:rsidRPr="00E3232D">
        <w:rPr>
          <w:rFonts w:ascii="Book Antiqua" w:hAnsi="Book Antiqua"/>
        </w:rPr>
        <w:t xml:space="preserve">information communication and technology (ICT), communication, problem-solving, organisational skills, proactive, teamwork, adaptability, gathering and analysing information. Essential to all occupations, these competencies are embedded in all study programmes to equip individuals to function effectively in a wide range of </w:t>
      </w:r>
      <w:r w:rsidRPr="00E3232D">
        <w:rPr>
          <w:rFonts w:ascii="Book Antiqua" w:hAnsi="Book Antiqua"/>
        </w:rPr>
        <w:t>social settings, professions and workplaces as well as pre-requisites for self-employment and life-long learning (Guthrie 2009;</w:t>
      </w:r>
      <w:r w:rsidR="00E1618D" w:rsidRPr="00E3232D">
        <w:rPr>
          <w:rFonts w:ascii="Book Antiqua" w:hAnsi="Book Antiqua"/>
        </w:rPr>
        <w:t xml:space="preserve"> </w:t>
      </w:r>
      <w:r w:rsidRPr="00E3232D">
        <w:rPr>
          <w:rFonts w:ascii="Book Antiqua" w:hAnsi="Book Antiqua"/>
        </w:rPr>
        <w:t>Kouwenhoven 2011).</w:t>
      </w:r>
    </w:p>
    <w:p w14:paraId="757E701E" w14:textId="77777777" w:rsidR="00A81D85" w:rsidRDefault="00BD4B93" w:rsidP="00A14A13">
      <w:pPr>
        <w:jc w:val="both"/>
        <w:rPr>
          <w:rFonts w:ascii="Book Antiqua" w:hAnsi="Book Antiqua"/>
        </w:rPr>
      </w:pPr>
      <w:r w:rsidRPr="00E3232D">
        <w:rPr>
          <w:rFonts w:ascii="Book Antiqua" w:hAnsi="Book Antiqua"/>
        </w:rPr>
        <w:t>The notion of whether employability skills are taught within academic disciplines or promoted in industries is a contested issue. Some authors are of the view that employability skills are best promoted in industries, agencies or extra-curricular activities in work contexts (Green et al. 2009;</w:t>
      </w:r>
      <w:r w:rsidR="00E1618D" w:rsidRPr="00E3232D">
        <w:rPr>
          <w:rFonts w:ascii="Book Antiqua" w:hAnsi="Book Antiqua"/>
        </w:rPr>
        <w:t xml:space="preserve"> </w:t>
      </w:r>
      <w:r w:rsidRPr="00E3232D">
        <w:rPr>
          <w:rFonts w:ascii="Book Antiqua" w:hAnsi="Book Antiqua"/>
        </w:rPr>
        <w:t xml:space="preserve">StiwneandJungert 2010). Some processes used by organizations and agencies to develop employability skills include induction, buddy and mentoring systems, socialization, staff assessment and performance appraisal systems, conflict resolutions, discipline, task rotation and allocations of more responsibility (Smith and Comyn 2004). Waterhouse and Virgona (2004) indicate that on-the-job training can improve the development of employability skills, because it usually involves teamwork, interpersonal relationships, communication, self-efficacy, problem solving and adaptation to new patterns of operations in the industry. Crebert et al. (2004) find that industry-based learning, internships, structured work experiences and employer involvement in course design and delivery improve the generic skills of students in different disciplines. </w:t>
      </w:r>
    </w:p>
    <w:p w14:paraId="0EA03087" w14:textId="77777777" w:rsidR="00BD4B93" w:rsidRPr="00E3232D" w:rsidRDefault="00BD4B93" w:rsidP="00A14A13">
      <w:pPr>
        <w:spacing w:after="0"/>
        <w:jc w:val="both"/>
        <w:rPr>
          <w:rFonts w:ascii="Book Antiqua" w:hAnsi="Book Antiqua"/>
          <w:b/>
        </w:rPr>
      </w:pPr>
      <w:r w:rsidRPr="00E3232D">
        <w:rPr>
          <w:rFonts w:ascii="Book Antiqua" w:hAnsi="Book Antiqua"/>
        </w:rPr>
        <w:t>On the contrary, several researchers also argue that employability skills can best be acquired in specific disciplines, particularly those that involve more student-centred learning (Ghana MESC, 2004,Trigwell 2002; Barrie 2005). These skills are fostered through a more student-</w:t>
      </w:r>
      <w:r w:rsidRPr="00E3232D">
        <w:rPr>
          <w:rFonts w:ascii="Book Antiqua" w:hAnsi="Book Antiqua"/>
        </w:rPr>
        <w:lastRenderedPageBreak/>
        <w:t xml:space="preserve">focused approach to teaching, such as enquiry-based, problem-based, reflective learning and authentic work experiences that provide more opportunities for students to explore their own creative ideas and acquire higher employability skills. However, training activities in VET systems usually focus only on the acquisition of technical skills to the neglect of employability skills. That is, the skills demanded by a knowledge-based economy are poorly developed and taught in VET institutions (NCTVET, 2006). Contributing to the on-going debate, this study attempts a different point of view by combining industrial attachment/working experience with other employability skills to the discussion. This is because practical industry experience does not only remain a critical component in the students’ training programmes but also a vital ingredient for skill formation in the VET system. </w:t>
      </w:r>
    </w:p>
    <w:p w14:paraId="327267D0" w14:textId="77777777" w:rsidR="000F0F02" w:rsidRDefault="000F0F02" w:rsidP="00A14A13">
      <w:pPr>
        <w:spacing w:after="0"/>
        <w:jc w:val="both"/>
        <w:rPr>
          <w:rFonts w:ascii="Book Antiqua" w:hAnsi="Book Antiqua"/>
        </w:rPr>
      </w:pPr>
    </w:p>
    <w:p w14:paraId="6A0555F3" w14:textId="77777777" w:rsidR="003E504E" w:rsidRDefault="00BD4B93" w:rsidP="00751699">
      <w:pPr>
        <w:spacing w:after="0"/>
        <w:jc w:val="both"/>
        <w:rPr>
          <w:rFonts w:ascii="Book Antiqua" w:hAnsi="Book Antiqua"/>
        </w:rPr>
      </w:pPr>
      <w:r w:rsidRPr="00E3232D">
        <w:rPr>
          <w:rFonts w:ascii="Book Antiqua" w:hAnsi="Book Antiqua"/>
        </w:rPr>
        <w:t xml:space="preserve">The main question for the study is: </w:t>
      </w:r>
      <w:r w:rsidRPr="00E3232D">
        <w:rPr>
          <w:rFonts w:ascii="Book Antiqua" w:hAnsi="Book Antiqua"/>
          <w:lang w:val="en-GB"/>
        </w:rPr>
        <w:t xml:space="preserve">To what extent does the development of employability skills differ among different year groups, study programmes or economic sectors? </w:t>
      </w:r>
    </w:p>
    <w:p w14:paraId="69BF3EBD" w14:textId="77777777" w:rsidR="00751699" w:rsidRPr="00751699" w:rsidRDefault="00751699" w:rsidP="00751699">
      <w:pPr>
        <w:spacing w:after="0"/>
        <w:jc w:val="both"/>
        <w:rPr>
          <w:rFonts w:ascii="Book Antiqua" w:hAnsi="Book Antiqua"/>
        </w:rPr>
      </w:pPr>
    </w:p>
    <w:p w14:paraId="68D6D557" w14:textId="77777777" w:rsidR="00BD4B93" w:rsidRPr="00E3232D" w:rsidRDefault="00BD4B93" w:rsidP="00A14A13">
      <w:pPr>
        <w:jc w:val="both"/>
        <w:rPr>
          <w:rFonts w:ascii="Book Antiqua" w:hAnsi="Book Antiqua"/>
          <w:b/>
        </w:rPr>
      </w:pPr>
      <w:r w:rsidRPr="00E3232D">
        <w:rPr>
          <w:rFonts w:ascii="Book Antiqua" w:hAnsi="Book Antiqua"/>
          <w:b/>
        </w:rPr>
        <w:t xml:space="preserve">2.0 </w:t>
      </w:r>
      <w:r w:rsidRPr="00751699">
        <w:rPr>
          <w:rFonts w:ascii="Book Antiqua" w:hAnsi="Book Antiqua"/>
          <w:b/>
          <w:sz w:val="26"/>
        </w:rPr>
        <w:t xml:space="preserve">Research </w:t>
      </w:r>
      <w:r w:rsidR="00787EFD" w:rsidRPr="00751699">
        <w:rPr>
          <w:rFonts w:ascii="Book Antiqua" w:hAnsi="Book Antiqua"/>
          <w:b/>
          <w:sz w:val="26"/>
        </w:rPr>
        <w:t>Method</w:t>
      </w:r>
    </w:p>
    <w:p w14:paraId="14C34E0A" w14:textId="77777777" w:rsidR="00BD4B93" w:rsidRPr="00E3232D" w:rsidRDefault="00BD4B93" w:rsidP="00A14A13">
      <w:pPr>
        <w:jc w:val="both"/>
        <w:rPr>
          <w:rFonts w:ascii="Book Antiqua" w:hAnsi="Book Antiqua"/>
        </w:rPr>
      </w:pPr>
      <w:r w:rsidRPr="00E3232D">
        <w:rPr>
          <w:rFonts w:ascii="Book Antiqua" w:hAnsi="Book Antiqua"/>
          <w:b/>
        </w:rPr>
        <w:t xml:space="preserve">2.1 Sampling </w:t>
      </w:r>
    </w:p>
    <w:p w14:paraId="23958A89" w14:textId="77777777" w:rsidR="00BD4B93" w:rsidRPr="00E3232D" w:rsidRDefault="00BD4B93" w:rsidP="00A14A13">
      <w:pPr>
        <w:tabs>
          <w:tab w:val="left" w:pos="1701"/>
        </w:tabs>
        <w:jc w:val="both"/>
        <w:rPr>
          <w:rFonts w:ascii="Book Antiqua" w:hAnsi="Book Antiqua"/>
          <w:lang w:val="en-GB"/>
        </w:rPr>
      </w:pPr>
      <w:r w:rsidRPr="00E3232D">
        <w:rPr>
          <w:rFonts w:ascii="Book Antiqua" w:hAnsi="Book Antiqua"/>
        </w:rPr>
        <w:t xml:space="preserve">In a cross-sectional survey design, a sample of graduates from all the ten polytechnics in Ghana was randomly selected from each of the year groups under review through convenience and snow-ball sampling. The sampling techniques were used because of the </w:t>
      </w:r>
      <w:r w:rsidRPr="00E3232D">
        <w:rPr>
          <w:rFonts w:ascii="Book Antiqua" w:hAnsi="Book Antiqua"/>
        </w:rPr>
        <w:t xml:space="preserve">difficulty in identifying graduates in the target group since they neither had any contact addresses from their former schools nor vibrant alumni association to track their placements. Authentication of certificates at NABPTEX reveal that most of the graduates often gain employment in the financial institutions (Banking and Internal revenue service), Security services, Health service, Ghana Education service, Agriculture, mining and quarrying, utility services and communication. The convenience sampling was used in these areas to select the sample from the target population. Graduates identified from these workplaces were used as informants to track other graduates until the required sample was selected. </w:t>
      </w:r>
      <w:r w:rsidRPr="00E3232D">
        <w:rPr>
          <w:rFonts w:ascii="Book Antiqua" w:hAnsi="Book Antiqua"/>
          <w:lang w:val="en-GB"/>
        </w:rPr>
        <w:t xml:space="preserve">Basically, the study focused on the extent to which training programmes in the polytechnics enhance the promotion of employable skills required for successful performance in the contemporary labour market. The data in this tracer study were collected by means of a questionnaire. </w:t>
      </w:r>
      <w:r w:rsidRPr="00E3232D">
        <w:rPr>
          <w:rFonts w:ascii="Book Antiqua" w:hAnsi="Book Antiqua"/>
        </w:rPr>
        <w:t>A sample of 2000graduates was drawn from a population of 7126 from</w:t>
      </w:r>
      <w:r w:rsidRPr="00E3232D">
        <w:rPr>
          <w:rFonts w:ascii="Book Antiqua" w:hAnsi="Book Antiqua"/>
          <w:lang w:val="en-GB"/>
        </w:rPr>
        <w:t>the 2003, 2004, 2005 and 2006 cohorts of graduates</w:t>
      </w:r>
      <w:r w:rsidRPr="00E3232D">
        <w:rPr>
          <w:rFonts w:ascii="Book Antiqua" w:hAnsi="Book Antiqua"/>
        </w:rPr>
        <w:t>. However, an insignificant number of the graduates outside the target group also responded to the questionnaire. As a result, respondents before the 20</w:t>
      </w:r>
      <w:r w:rsidR="006A741E" w:rsidRPr="00E3232D">
        <w:rPr>
          <w:rFonts w:ascii="Book Antiqua" w:hAnsi="Book Antiqua"/>
        </w:rPr>
        <w:t>03 cohorts were grouped as (ie.</w:t>
      </w:r>
      <w:r w:rsidRPr="00E3232D">
        <w:rPr>
          <w:rFonts w:ascii="Book Antiqua" w:hAnsi="Book Antiqua"/>
        </w:rPr>
        <w:t xml:space="preserve"> 2000-2003) and those beyond 2006 as (i.e.; 2006-2008). The aim was to obtain a broader range of views from diverse background of graduates and experiences in their study programme.</w:t>
      </w:r>
    </w:p>
    <w:p w14:paraId="3AF06663" w14:textId="77777777" w:rsidR="003E504E" w:rsidRPr="00C35F1B" w:rsidRDefault="00BD4B93" w:rsidP="00A14A13">
      <w:pPr>
        <w:tabs>
          <w:tab w:val="left" w:pos="1701"/>
        </w:tabs>
        <w:jc w:val="both"/>
        <w:rPr>
          <w:rFonts w:ascii="Book Antiqua" w:hAnsi="Book Antiqua"/>
          <w:lang w:val="en-GB"/>
        </w:rPr>
      </w:pPr>
      <w:r w:rsidRPr="00E3232D">
        <w:rPr>
          <w:rFonts w:ascii="Book Antiqua" w:hAnsi="Book Antiqua"/>
          <w:lang w:val="en-GB"/>
        </w:rPr>
        <w:t xml:space="preserve">A total of 1227questionnaires were completed and returned.  The respondents </w:t>
      </w:r>
      <w:r w:rsidRPr="00E3232D">
        <w:rPr>
          <w:rFonts w:ascii="Book Antiqua" w:hAnsi="Book Antiqua"/>
          <w:lang w:val="en-GB"/>
        </w:rPr>
        <w:lastRenderedPageBreak/>
        <w:t>were made up of (754) 61.5% males and (473) 38.5% females. In terms of the study programmes, 12.5% of the respondent represented the Engineering programmes, 69.9% from Business programmes and 17.6% for Applied Science and Arts programmes. In terms of economic sectors, 69.84% of the respondents belonged to the service sector, 27.04% from industry and 3.12% represented the Agriculture. Among the year groups, 7.81 % came from 2000 – 2003 cohort, 29.61% selected from 2004, 33.15% from 2005 and 29.43% represented 2006 -2008.</w:t>
      </w:r>
    </w:p>
    <w:p w14:paraId="3394BBC8" w14:textId="77777777" w:rsidR="00BD4B93" w:rsidRPr="00E3232D" w:rsidRDefault="00BD4B93" w:rsidP="00A14A13">
      <w:pPr>
        <w:tabs>
          <w:tab w:val="left" w:pos="1701"/>
        </w:tabs>
        <w:jc w:val="both"/>
        <w:rPr>
          <w:rFonts w:ascii="Book Antiqua" w:hAnsi="Book Antiqua"/>
          <w:b/>
          <w:lang w:val="en-GB"/>
        </w:rPr>
      </w:pPr>
      <w:r w:rsidRPr="00E3232D">
        <w:rPr>
          <w:rFonts w:ascii="Book Antiqua" w:hAnsi="Book Antiqua"/>
          <w:b/>
          <w:lang w:val="en-GB"/>
        </w:rPr>
        <w:t>2.2</w:t>
      </w:r>
      <w:r w:rsidR="00787EFD">
        <w:rPr>
          <w:rFonts w:ascii="Book Antiqua" w:hAnsi="Book Antiqua"/>
          <w:b/>
          <w:lang w:val="en-GB"/>
        </w:rPr>
        <w:t xml:space="preserve"> </w:t>
      </w:r>
      <w:r w:rsidRPr="00E3232D">
        <w:rPr>
          <w:rFonts w:ascii="Book Antiqua" w:hAnsi="Book Antiqua"/>
          <w:b/>
          <w:lang w:val="en-GB"/>
        </w:rPr>
        <w:t xml:space="preserve">Instrumentation </w:t>
      </w:r>
    </w:p>
    <w:p w14:paraId="6BF4BCFF" w14:textId="77777777" w:rsidR="00281DAB" w:rsidRPr="00E3232D" w:rsidRDefault="00BD4B93" w:rsidP="00A14A13">
      <w:pPr>
        <w:tabs>
          <w:tab w:val="left" w:pos="-5040"/>
        </w:tabs>
        <w:jc w:val="both"/>
        <w:rPr>
          <w:rFonts w:ascii="Book Antiqua" w:hAnsi="Book Antiqua"/>
        </w:rPr>
      </w:pPr>
      <w:r w:rsidRPr="00E3232D">
        <w:rPr>
          <w:rFonts w:ascii="Book Antiqua" w:hAnsi="Book Antiqua"/>
        </w:rPr>
        <w:t xml:space="preserve">A questionnaire containing 104 items elicited views and opinions on the performance of polytechnic graduates in Ghanaian labour market. The questionnaire sought to explore issues relating to the demographic characteristics of the respondents, pedagogical and assessment practices, industrial attachment programmes, employment status, ease of transition from school to work, satisfaction at work placement, further training after study programme, and extent of training received in the 14 employability skills. The 14 employability skills considered in the study include general IT user skills, IT professional skills, management skills, numeracy </w:t>
      </w:r>
      <w:r w:rsidR="00CF3921" w:rsidRPr="00E3232D">
        <w:rPr>
          <w:rFonts w:ascii="Book Antiqua" w:hAnsi="Book Antiqua"/>
        </w:rPr>
        <w:t>skills, problem solving skills,</w:t>
      </w:r>
      <w:r w:rsidR="009D5FA9" w:rsidRPr="00E3232D">
        <w:rPr>
          <w:rFonts w:ascii="Book Antiqua" w:hAnsi="Book Antiqua"/>
        </w:rPr>
        <w:t xml:space="preserve"> team work, customer handling, communication, technical, job-specific, theoretical knowledge, attachment, literacy, </w:t>
      </w:r>
      <w:r w:rsidR="009D5FA9" w:rsidRPr="00E3232D">
        <w:rPr>
          <w:rFonts w:ascii="Book Antiqua" w:hAnsi="Book Antiqua"/>
          <w:lang w:val="en-GB"/>
        </w:rPr>
        <w:t>questionnaire, the country was divided into three zones; namely; Zone 1(Greater Accra, Eastern and Volta regions), Zone 2 (Ashanti,</w:t>
      </w:r>
      <w:r w:rsidR="009D5FA9" w:rsidRPr="00E3232D">
        <w:rPr>
          <w:rFonts w:ascii="Book Antiqua" w:hAnsi="Book Antiqua"/>
        </w:rPr>
        <w:t xml:space="preserve"> office and administration. </w:t>
      </w:r>
      <w:r w:rsidR="009D5FA9" w:rsidRPr="00E3232D">
        <w:rPr>
          <w:rFonts w:ascii="Book Antiqua" w:hAnsi="Book Antiqua"/>
          <w:lang w:val="en-GB"/>
        </w:rPr>
        <w:t xml:space="preserve">In </w:t>
      </w:r>
      <w:r w:rsidR="009D5FA9" w:rsidRPr="00E3232D">
        <w:rPr>
          <w:rFonts w:ascii="Book Antiqua" w:hAnsi="Book Antiqua"/>
          <w:lang w:val="en-GB"/>
        </w:rPr>
        <w:t>order to achieve effective administration of</w:t>
      </w:r>
      <w:r w:rsidR="00CE13FD" w:rsidRPr="00E3232D">
        <w:rPr>
          <w:rFonts w:ascii="Book Antiqua" w:hAnsi="Book Antiqua"/>
          <w:lang w:val="en-GB"/>
        </w:rPr>
        <w:t xml:space="preserve"> Brong Ahafo and Northern regions) and Zone 3 (Central and Western regions).A total of ten (10) research assistants were recruited for the administration and retrieval of the questionnaires. Seven (7) staff members from NABPTEX</w:t>
      </w:r>
      <w:r w:rsidR="00281DAB" w:rsidRPr="00E3232D">
        <w:rPr>
          <w:rFonts w:ascii="Book Antiqua" w:hAnsi="Book Antiqua"/>
          <w:lang w:val="en-GB"/>
        </w:rPr>
        <w:t>. were assigned to the zones as supervisors to the research assistants. Data collection began from March to June 2010.</w:t>
      </w:r>
    </w:p>
    <w:p w14:paraId="27037E92" w14:textId="77777777" w:rsidR="00281DAB" w:rsidRPr="00E3232D" w:rsidRDefault="00281DAB" w:rsidP="00A14A13">
      <w:pPr>
        <w:pStyle w:val="Heading3"/>
        <w:jc w:val="both"/>
        <w:rPr>
          <w:rFonts w:ascii="Book Antiqua" w:hAnsi="Book Antiqua"/>
          <w:lang w:val="en-GB"/>
        </w:rPr>
      </w:pPr>
      <w:r w:rsidRPr="00E3232D">
        <w:rPr>
          <w:rFonts w:ascii="Book Antiqua" w:hAnsi="Book Antiqua"/>
          <w:lang w:val="en-GB"/>
        </w:rPr>
        <w:t>2.3 Re-coding of some variables</w:t>
      </w:r>
    </w:p>
    <w:p w14:paraId="4C1B6B4C" w14:textId="77777777" w:rsidR="00A14A13" w:rsidRPr="00A14A13" w:rsidRDefault="00035A4C" w:rsidP="00A14A13">
      <w:pPr>
        <w:tabs>
          <w:tab w:val="left" w:pos="-5040"/>
        </w:tabs>
        <w:jc w:val="both"/>
        <w:rPr>
          <w:rFonts w:ascii="Book Antiqua" w:hAnsi="Book Antiqua"/>
          <w:lang w:val="en-GB"/>
        </w:rPr>
      </w:pPr>
      <w:r w:rsidRPr="00E3232D">
        <w:rPr>
          <w:rFonts w:ascii="Book Antiqua" w:hAnsi="Book Antiqua"/>
          <w:lang w:val="en-GB"/>
        </w:rPr>
        <w:t>In order to perform the analysis, the ten regions were collapsed into five and re-coded as (1) Greater Accra, (2) Northern, Upper East &amp; Upper West (3) Eastern &amp; Volta (4) Ashanti &amp; Brong Ahafo and (5) Western &amp; Central regions. In terms of study programmes, (1) Engineering consisted of Agricultural Engineering, Building Technology, Civil Engineering, Electrical &amp; Electronic Engineering, Furniture Design &amp; Construction, Mechanical Engineering and Chemical Engineering (2) Business</w:t>
      </w:r>
      <w:r w:rsidR="00F538CD" w:rsidRPr="00E3232D">
        <w:rPr>
          <w:rFonts w:ascii="Book Antiqua" w:hAnsi="Book Antiqua"/>
        </w:rPr>
        <w:t xml:space="preserve">, </w:t>
      </w:r>
      <w:r w:rsidR="00BD4B93" w:rsidRPr="00E3232D">
        <w:rPr>
          <w:rFonts w:ascii="Book Antiqua" w:hAnsi="Book Antiqua"/>
          <w:lang w:val="en-GB"/>
        </w:rPr>
        <w:t xml:space="preserve">Textiles Studies, Furniture Dispensing Technology, Estate Management, Hotel, Catering and Institutional Management, Science Laboratory Technology, Statistics and Tourism.  The main economic sectors used in the study were Agriculture, Industry and Service. </w:t>
      </w:r>
    </w:p>
    <w:p w14:paraId="52F02EA8" w14:textId="77777777" w:rsidR="00C35F1B" w:rsidRDefault="00FB21C4" w:rsidP="00A14A13">
      <w:pPr>
        <w:tabs>
          <w:tab w:val="left" w:pos="1701"/>
        </w:tabs>
        <w:jc w:val="both"/>
        <w:rPr>
          <w:rFonts w:ascii="Book Antiqua" w:hAnsi="Book Antiqua"/>
          <w:lang w:val="en-GB"/>
        </w:rPr>
      </w:pPr>
      <w:r>
        <w:rPr>
          <w:rFonts w:ascii="Book Antiqua" w:hAnsi="Book Antiqua"/>
          <w:lang w:val="en-GB"/>
        </w:rPr>
        <w:t>Fig. 2 Respond</w:t>
      </w:r>
      <w:r w:rsidR="00C35F1B">
        <w:rPr>
          <w:rFonts w:ascii="Book Antiqua" w:hAnsi="Book Antiqua"/>
          <w:lang w:val="en-GB"/>
        </w:rPr>
        <w:t>e</w:t>
      </w:r>
      <w:r>
        <w:rPr>
          <w:rFonts w:ascii="Book Antiqua" w:hAnsi="Book Antiqua"/>
          <w:lang w:val="en-GB"/>
        </w:rPr>
        <w:t>n</w:t>
      </w:r>
      <w:r w:rsidR="00C35F1B">
        <w:rPr>
          <w:rFonts w:ascii="Book Antiqua" w:hAnsi="Book Antiqua"/>
          <w:lang w:val="en-GB"/>
        </w:rPr>
        <w:t>ts by study programmes</w:t>
      </w:r>
    </w:p>
    <w:p w14:paraId="633ABA05" w14:textId="77777777" w:rsidR="00BD4B93" w:rsidRPr="00E3232D" w:rsidRDefault="00BD4B93" w:rsidP="00A14A13">
      <w:pPr>
        <w:tabs>
          <w:tab w:val="left" w:pos="1701"/>
        </w:tabs>
        <w:jc w:val="both"/>
        <w:rPr>
          <w:rFonts w:ascii="Book Antiqua" w:hAnsi="Book Antiqua"/>
          <w:lang w:val="en-GB"/>
        </w:rPr>
      </w:pPr>
      <w:r w:rsidRPr="00E3232D">
        <w:rPr>
          <w:rFonts w:ascii="Book Antiqua" w:hAnsi="Book Antiqua"/>
          <w:lang w:val="en-GB"/>
        </w:rPr>
        <w:t xml:space="preserve">The survey data was analysed using descriptive statistics through graphic displays and contingency tables. Frequencies and percentages were used to explain the demographic information about the respondents. Cross-tabulation </w:t>
      </w:r>
      <w:r w:rsidRPr="00E3232D">
        <w:rPr>
          <w:rFonts w:ascii="Book Antiqua" w:hAnsi="Book Antiqua"/>
          <w:lang w:val="en-GB"/>
        </w:rPr>
        <w:lastRenderedPageBreak/>
        <w:t>was further used to establish the relationships between the variables such as study programmes, year of graduation and economic sectors on the one hand, and the training received on the 14 employability skills on the other hand.</w:t>
      </w:r>
    </w:p>
    <w:p w14:paraId="5EFF4D99" w14:textId="77777777" w:rsidR="00BD4B93" w:rsidRPr="00E3232D" w:rsidRDefault="00BD4B93" w:rsidP="00A14A13">
      <w:pPr>
        <w:tabs>
          <w:tab w:val="left" w:pos="2700"/>
        </w:tabs>
        <w:jc w:val="both"/>
        <w:rPr>
          <w:rFonts w:ascii="Book Antiqua" w:hAnsi="Book Antiqua"/>
          <w:lang w:val="en-GB"/>
        </w:rPr>
      </w:pPr>
      <w:r w:rsidRPr="00E3232D">
        <w:rPr>
          <w:rFonts w:ascii="Book Antiqua" w:hAnsi="Book Antiqua"/>
          <w:b/>
          <w:lang w:val="en-GB"/>
        </w:rPr>
        <w:t xml:space="preserve">3.0 </w:t>
      </w:r>
      <w:r w:rsidRPr="00751699">
        <w:rPr>
          <w:rFonts w:ascii="Book Antiqua" w:hAnsi="Book Antiqua"/>
          <w:b/>
          <w:sz w:val="26"/>
          <w:lang w:val="en-GB"/>
        </w:rPr>
        <w:t>Results</w:t>
      </w:r>
      <w:r w:rsidRPr="00E3232D">
        <w:rPr>
          <w:rFonts w:ascii="Book Antiqua" w:hAnsi="Book Antiqua"/>
          <w:b/>
          <w:lang w:val="en-GB"/>
        </w:rPr>
        <w:t xml:space="preserve"> </w:t>
      </w:r>
    </w:p>
    <w:p w14:paraId="0350C31F" w14:textId="77777777" w:rsidR="00D91683" w:rsidRPr="00617C0F" w:rsidRDefault="00BD4B93" w:rsidP="00A14A13">
      <w:pPr>
        <w:jc w:val="both"/>
        <w:rPr>
          <w:rFonts w:ascii="Book Antiqua" w:hAnsi="Book Antiqua"/>
          <w:b/>
          <w:lang w:val="en-GB"/>
        </w:rPr>
      </w:pPr>
      <w:r w:rsidRPr="00E3232D">
        <w:rPr>
          <w:rFonts w:ascii="Book Antiqua" w:hAnsi="Book Antiqua"/>
          <w:b/>
          <w:lang w:val="en-GB"/>
        </w:rPr>
        <w:t>3.1 Descriptive statistics of respondents</w:t>
      </w:r>
    </w:p>
    <w:p w14:paraId="4C5A3C40" w14:textId="77777777" w:rsidR="00C35F1B" w:rsidRPr="00751699" w:rsidRDefault="007005B1" w:rsidP="00A14A13">
      <w:pPr>
        <w:jc w:val="both"/>
        <w:rPr>
          <w:rFonts w:ascii="Book Antiqua" w:hAnsi="Book Antiqua"/>
        </w:rPr>
      </w:pPr>
      <w:r>
        <w:rPr>
          <w:rFonts w:ascii="Book Antiqua" w:hAnsi="Book Antiqua"/>
          <w:noProof/>
          <w:lang w:bidi="ar-SA"/>
        </w:rPr>
        <w:drawing>
          <wp:anchor distT="0" distB="0" distL="114300" distR="114300" simplePos="0" relativeHeight="251838976" behindDoc="1" locked="0" layoutInCell="1" allowOverlap="1" wp14:anchorId="6B706FE3" wp14:editId="5381386C">
            <wp:simplePos x="0" y="0"/>
            <wp:positionH relativeFrom="column">
              <wp:posOffset>-295275</wp:posOffset>
            </wp:positionH>
            <wp:positionV relativeFrom="paragraph">
              <wp:posOffset>949960</wp:posOffset>
            </wp:positionV>
            <wp:extent cx="6134100" cy="2800350"/>
            <wp:effectExtent l="19050" t="0" r="0" b="0"/>
            <wp:wrapSquare wrapText="bothSides"/>
            <wp:docPr id="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6134100" cy="2800350"/>
                    </a:xfrm>
                    <a:prstGeom prst="rect">
                      <a:avLst/>
                    </a:prstGeom>
                    <a:noFill/>
                    <a:ln w="9525">
                      <a:noFill/>
                      <a:miter lim="800000"/>
                      <a:headEnd/>
                      <a:tailEnd/>
                    </a:ln>
                  </pic:spPr>
                </pic:pic>
              </a:graphicData>
            </a:graphic>
          </wp:anchor>
        </w:drawing>
      </w:r>
      <w:r w:rsidR="00BD4B93" w:rsidRPr="00E3232D">
        <w:rPr>
          <w:rFonts w:ascii="Book Antiqua" w:hAnsi="Book Antiqua"/>
        </w:rPr>
        <w:t xml:space="preserve">Figure 2 illustrates the study programmes pursued by the respondents. Clearly, Accountancy graduates are the largest group with 36.15% of the total respondent. </w:t>
      </w:r>
    </w:p>
    <w:p w14:paraId="3CC641BD" w14:textId="77777777" w:rsidR="00BD4B93" w:rsidRPr="00E3232D" w:rsidRDefault="00BD4B93" w:rsidP="001C1C7B">
      <w:pPr>
        <w:jc w:val="both"/>
        <w:rPr>
          <w:rFonts w:ascii="Book Antiqua" w:hAnsi="Book Antiqua"/>
        </w:rPr>
      </w:pPr>
      <w:r w:rsidRPr="00E3232D">
        <w:rPr>
          <w:rFonts w:ascii="Book Antiqua" w:hAnsi="Book Antiqua"/>
        </w:rPr>
        <w:t xml:space="preserve">Other study programmes include Marketing (15.56%), Secretarial &amp; Management Studies (6.86%), Purchasing &amp; Supply (5.59%), and HCIM (5.03%). Apparently, the remaining study </w:t>
      </w:r>
      <w:r w:rsidRPr="00E3232D">
        <w:rPr>
          <w:rFonts w:ascii="Book Antiqua" w:hAnsi="Book Antiqua"/>
        </w:rPr>
        <w:t>programmes are smaller, with percentages of graduates varying between 4.23% and 0.56%</w:t>
      </w:r>
      <w:r w:rsidR="00617C0F">
        <w:rPr>
          <w:rFonts w:ascii="Book Antiqua" w:hAnsi="Book Antiqua"/>
        </w:rPr>
        <w:t>.</w:t>
      </w:r>
    </w:p>
    <w:p w14:paraId="1CD4BC04" w14:textId="77777777" w:rsidR="00BD4B93" w:rsidRDefault="00BD4B93" w:rsidP="001C1C7B">
      <w:pPr>
        <w:jc w:val="both"/>
        <w:rPr>
          <w:rFonts w:ascii="Book Antiqua" w:hAnsi="Book Antiqua"/>
          <w:lang w:val="en-GB"/>
        </w:rPr>
      </w:pPr>
      <w:r w:rsidRPr="00E3232D">
        <w:rPr>
          <w:rFonts w:ascii="Book Antiqua" w:hAnsi="Book Antiqua"/>
          <w:lang w:val="en-GB"/>
        </w:rPr>
        <w:t xml:space="preserve">Figure 3 shows respondents’ study programmes in relation with economic sectors. In the Engineering, the highest number of graduates was found in the Agricultural sector, while in both Business and Applied Arts and Science Technology, a greater number of respondents were recorded in the service sector. Across the study programmes, Agriculture generated the lowest employment opportunities for the graduates.  </w:t>
      </w:r>
    </w:p>
    <w:p w14:paraId="283D9C74" w14:textId="77777777" w:rsidR="00617C0F" w:rsidRDefault="00617C0F" w:rsidP="00617C0F">
      <w:pPr>
        <w:jc w:val="both"/>
        <w:rPr>
          <w:rFonts w:ascii="Book Antiqua" w:hAnsi="Book Antiqua"/>
          <w:lang w:val="en-GB"/>
        </w:rPr>
      </w:pPr>
    </w:p>
    <w:p w14:paraId="5EA7CE0E" w14:textId="77777777" w:rsidR="00760CDC" w:rsidRDefault="00760CDC" w:rsidP="00617C0F">
      <w:pPr>
        <w:jc w:val="both"/>
        <w:rPr>
          <w:rFonts w:ascii="Book Antiqua" w:hAnsi="Book Antiqua"/>
          <w:lang w:val="en-GB"/>
        </w:rPr>
      </w:pPr>
    </w:p>
    <w:p w14:paraId="6698C69A" w14:textId="77777777" w:rsidR="00D12E57" w:rsidRPr="00760CDC" w:rsidRDefault="007005B1" w:rsidP="001C1C7B">
      <w:pPr>
        <w:jc w:val="both"/>
        <w:rPr>
          <w:rFonts w:ascii="Book Antiqua" w:hAnsi="Book Antiqua"/>
        </w:rPr>
      </w:pPr>
      <w:r>
        <w:rPr>
          <w:rFonts w:ascii="Book Antiqua" w:hAnsi="Book Antiqua"/>
          <w:noProof/>
          <w:lang w:bidi="ar-SA"/>
        </w:rPr>
        <w:lastRenderedPageBreak/>
        <w:drawing>
          <wp:anchor distT="0" distB="0" distL="114300" distR="114300" simplePos="0" relativeHeight="251841024" behindDoc="0" locked="0" layoutInCell="1" allowOverlap="1" wp14:anchorId="1F5E62E0" wp14:editId="0303E479">
            <wp:simplePos x="0" y="0"/>
            <wp:positionH relativeFrom="column">
              <wp:posOffset>29845</wp:posOffset>
            </wp:positionH>
            <wp:positionV relativeFrom="paragraph">
              <wp:posOffset>2852420</wp:posOffset>
            </wp:positionV>
            <wp:extent cx="5695950" cy="3705225"/>
            <wp:effectExtent l="19050" t="0" r="0" b="0"/>
            <wp:wrapSquare wrapText="bothSides"/>
            <wp:docPr id="8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srcRect/>
                    <a:stretch>
                      <a:fillRect/>
                    </a:stretch>
                  </pic:blipFill>
                  <pic:spPr bwMode="auto">
                    <a:xfrm>
                      <a:off x="0" y="0"/>
                      <a:ext cx="5695950" cy="3705225"/>
                    </a:xfrm>
                    <a:prstGeom prst="rect">
                      <a:avLst/>
                    </a:prstGeom>
                    <a:noFill/>
                    <a:ln w="9525">
                      <a:noFill/>
                      <a:miter lim="800000"/>
                      <a:headEnd/>
                      <a:tailEnd/>
                    </a:ln>
                  </pic:spPr>
                </pic:pic>
              </a:graphicData>
            </a:graphic>
          </wp:anchor>
        </w:drawing>
      </w:r>
      <w:r>
        <w:rPr>
          <w:rFonts w:ascii="Book Antiqua" w:hAnsi="Book Antiqua"/>
          <w:noProof/>
          <w:lang w:bidi="ar-SA"/>
        </w:rPr>
        <w:drawing>
          <wp:anchor distT="0" distB="0" distL="114300" distR="114300" simplePos="0" relativeHeight="251840000" behindDoc="1" locked="0" layoutInCell="1" allowOverlap="1" wp14:anchorId="4760B92B" wp14:editId="64AC7DD7">
            <wp:simplePos x="0" y="0"/>
            <wp:positionH relativeFrom="column">
              <wp:posOffset>29845</wp:posOffset>
            </wp:positionH>
            <wp:positionV relativeFrom="paragraph">
              <wp:posOffset>-8890</wp:posOffset>
            </wp:positionV>
            <wp:extent cx="5599430" cy="2314575"/>
            <wp:effectExtent l="19050" t="19050" r="20320" b="28575"/>
            <wp:wrapSquare wrapText="bothSides"/>
            <wp:docPr id="8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5599430" cy="2314575"/>
                    </a:xfrm>
                    <a:prstGeom prst="rect">
                      <a:avLst/>
                    </a:prstGeom>
                    <a:noFill/>
                    <a:ln w="6350">
                      <a:solidFill>
                        <a:srgbClr val="000000"/>
                      </a:solidFill>
                      <a:miter lim="800000"/>
                      <a:headEnd/>
                      <a:tailEnd/>
                    </a:ln>
                  </pic:spPr>
                </pic:pic>
              </a:graphicData>
            </a:graphic>
          </wp:anchor>
        </w:drawing>
      </w:r>
      <w:r w:rsidR="00617C0F" w:rsidRPr="00E3232D">
        <w:rPr>
          <w:rFonts w:ascii="Book Antiqua" w:hAnsi="Book Antiqua"/>
          <w:lang w:val="en-GB"/>
        </w:rPr>
        <w:t>Fig.3</w:t>
      </w:r>
      <w:r w:rsidR="00617C0F" w:rsidRPr="00E3232D">
        <w:rPr>
          <w:rFonts w:ascii="Book Antiqua" w:hAnsi="Book Antiqua"/>
        </w:rPr>
        <w:t>: Relationship between study programme and economic sectors</w:t>
      </w:r>
      <w:r w:rsidR="00617C0F" w:rsidRPr="00E3232D">
        <w:rPr>
          <w:rFonts w:ascii="Book Antiqua" w:hAnsi="Book Antiqua"/>
          <w:i/>
        </w:rPr>
        <w:t>.</w:t>
      </w:r>
    </w:p>
    <w:p w14:paraId="0E07E1C8" w14:textId="77777777" w:rsidR="00760CDC" w:rsidRDefault="00760CDC" w:rsidP="001C1C7B">
      <w:pPr>
        <w:jc w:val="both"/>
        <w:rPr>
          <w:rFonts w:ascii="Book Antiqua" w:hAnsi="Book Antiqua"/>
          <w:lang w:val="en-GB"/>
        </w:rPr>
      </w:pPr>
      <w:r w:rsidRPr="00E3232D">
        <w:rPr>
          <w:rFonts w:ascii="Book Antiqua" w:hAnsi="Book Antiqua"/>
          <w:lang w:val="en-GB"/>
        </w:rPr>
        <w:t>Fig. 4: Less training received on 14 skills by year of graduation (cohorts)</w:t>
      </w:r>
      <w:r>
        <w:rPr>
          <w:rFonts w:ascii="Book Antiqua" w:hAnsi="Book Antiqua"/>
          <w:lang w:val="en-GB"/>
        </w:rPr>
        <w:t>.</w:t>
      </w:r>
    </w:p>
    <w:p w14:paraId="5F6D7558" w14:textId="77777777" w:rsidR="00760CDC" w:rsidRDefault="001B2A33" w:rsidP="001C1C7B">
      <w:pPr>
        <w:jc w:val="both"/>
        <w:rPr>
          <w:rFonts w:ascii="Book Antiqua" w:hAnsi="Book Antiqua"/>
          <w:lang w:val="en-GB"/>
        </w:rPr>
      </w:pPr>
      <w:r w:rsidRPr="00E3232D">
        <w:rPr>
          <w:rFonts w:ascii="Book Antiqua" w:hAnsi="Book Antiqua"/>
          <w:lang w:val="en-GB"/>
        </w:rPr>
        <w:t xml:space="preserve">Figure 4 demonstrates that between 33-48% of all the cohorts in the study received less training in both IT professional skills and general IT user skills. In relative terms, 2006-2008 cohort </w:t>
      </w:r>
    </w:p>
    <w:p w14:paraId="053B99F2" w14:textId="77777777" w:rsidR="00BD4B93" w:rsidRPr="00760CDC" w:rsidRDefault="001B2A33" w:rsidP="001C1C7B">
      <w:pPr>
        <w:jc w:val="both"/>
        <w:rPr>
          <w:rFonts w:ascii="Book Antiqua" w:hAnsi="Book Antiqua"/>
          <w:lang w:val="en-GB"/>
        </w:rPr>
      </w:pPr>
      <w:r w:rsidRPr="00E3232D">
        <w:rPr>
          <w:rFonts w:ascii="Book Antiqua" w:hAnsi="Book Antiqua"/>
          <w:lang w:val="en-GB"/>
        </w:rPr>
        <w:t>of graduates apparently received less training than expected in 10 out of the 14 skills in their study programme than the</w:t>
      </w:r>
      <w:r w:rsidR="00812042" w:rsidRPr="00E3232D">
        <w:rPr>
          <w:rFonts w:ascii="Book Antiqua" w:hAnsi="Book Antiqua"/>
          <w:lang w:val="en-GB"/>
        </w:rPr>
        <w:t xml:space="preserve"> </w:t>
      </w:r>
      <w:r w:rsidRPr="00E3232D">
        <w:rPr>
          <w:rFonts w:ascii="Book Antiqua" w:hAnsi="Book Antiqua"/>
          <w:lang w:val="en-GB"/>
        </w:rPr>
        <w:t>older cohorts of graduates (2000-2003, 2004</w:t>
      </w:r>
      <w:r w:rsidR="00470962" w:rsidRPr="00E3232D">
        <w:rPr>
          <w:rFonts w:ascii="Book Antiqua" w:hAnsi="Book Antiqua"/>
          <w:lang w:val="en-GB"/>
        </w:rPr>
        <w:t xml:space="preserve"> </w:t>
      </w:r>
      <w:r w:rsidRPr="00E3232D">
        <w:rPr>
          <w:rFonts w:ascii="Book Antiqua" w:hAnsi="Book Antiqua"/>
          <w:lang w:val="en-GB"/>
        </w:rPr>
        <w:t>&amp; 2005).</w:t>
      </w:r>
    </w:p>
    <w:p w14:paraId="5A8D9EBF" w14:textId="77777777" w:rsidR="00760CDC" w:rsidRDefault="00760CDC" w:rsidP="00D12E57">
      <w:pPr>
        <w:jc w:val="both"/>
        <w:rPr>
          <w:rFonts w:ascii="Book Antiqua" w:hAnsi="Book Antiqua"/>
          <w:lang w:val="en-GB"/>
        </w:rPr>
      </w:pPr>
      <w:bookmarkStart w:id="13" w:name="_Toc269646126"/>
      <w:bookmarkStart w:id="14" w:name="_Toc269821404"/>
    </w:p>
    <w:p w14:paraId="060FEA52" w14:textId="77777777" w:rsidR="00BD4B93" w:rsidRPr="00990975" w:rsidRDefault="007005B1" w:rsidP="00990975">
      <w:pPr>
        <w:jc w:val="both"/>
        <w:rPr>
          <w:rFonts w:ascii="Book Antiqua" w:hAnsi="Book Antiqua"/>
          <w:lang w:val="en-GB"/>
        </w:rPr>
      </w:pPr>
      <w:r>
        <w:rPr>
          <w:rFonts w:ascii="Book Antiqua" w:hAnsi="Book Antiqua"/>
          <w:noProof/>
          <w:lang w:bidi="ar-SA"/>
        </w:rPr>
        <w:lastRenderedPageBreak/>
        <w:drawing>
          <wp:anchor distT="0" distB="0" distL="114300" distR="114300" simplePos="0" relativeHeight="251842048" behindDoc="0" locked="0" layoutInCell="1" allowOverlap="1" wp14:anchorId="48647C11" wp14:editId="51F885A5">
            <wp:simplePos x="0" y="0"/>
            <wp:positionH relativeFrom="column">
              <wp:posOffset>-57150</wp:posOffset>
            </wp:positionH>
            <wp:positionV relativeFrom="paragraph">
              <wp:posOffset>1557020</wp:posOffset>
            </wp:positionV>
            <wp:extent cx="5781675" cy="3190875"/>
            <wp:effectExtent l="19050" t="0" r="9525" b="0"/>
            <wp:wrapSquare wrapText="bothSides"/>
            <wp:docPr id="8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a:stretch>
                      <a:fillRect/>
                    </a:stretch>
                  </pic:blipFill>
                  <pic:spPr bwMode="auto">
                    <a:xfrm>
                      <a:off x="0" y="0"/>
                      <a:ext cx="5781675" cy="3190875"/>
                    </a:xfrm>
                    <a:prstGeom prst="rect">
                      <a:avLst/>
                    </a:prstGeom>
                    <a:noFill/>
                    <a:ln w="9525">
                      <a:noFill/>
                      <a:miter lim="800000"/>
                      <a:headEnd/>
                      <a:tailEnd/>
                    </a:ln>
                  </pic:spPr>
                </pic:pic>
              </a:graphicData>
            </a:graphic>
          </wp:anchor>
        </w:drawing>
      </w:r>
      <w:r w:rsidR="00BD4B93" w:rsidRPr="00E3232D">
        <w:rPr>
          <w:rFonts w:ascii="Book Antiqua" w:hAnsi="Book Antiqua"/>
          <w:lang w:val="en-GB"/>
        </w:rPr>
        <w:t>In contrast, only 19% of 2006-2008 graduates received less training in attachment/working experience in a company compared to 22-30% in 2005. Again, 19% received less training in communication skills as against 25-27% in 2005.</w:t>
      </w:r>
      <w:bookmarkEnd w:id="13"/>
      <w:bookmarkEnd w:id="14"/>
    </w:p>
    <w:p w14:paraId="2B9CF29A" w14:textId="77777777" w:rsidR="00BD4B93" w:rsidRPr="00E3232D" w:rsidRDefault="00BD4B93" w:rsidP="008275E1">
      <w:pPr>
        <w:rPr>
          <w:rFonts w:ascii="Book Antiqua" w:hAnsi="Book Antiqua"/>
          <w:i/>
          <w:lang w:val="en-GB"/>
        </w:rPr>
      </w:pPr>
      <w:r w:rsidRPr="00E3232D">
        <w:rPr>
          <w:rFonts w:ascii="Book Antiqua" w:hAnsi="Book Antiqua"/>
        </w:rPr>
        <w:t>Fig. 5</w:t>
      </w:r>
      <w:r w:rsidRPr="00E3232D">
        <w:rPr>
          <w:rFonts w:ascii="Book Antiqua" w:hAnsi="Book Antiqua"/>
          <w:lang w:val="en-GB"/>
        </w:rPr>
        <w:t>: Less training received on 14 skills by study programmes</w:t>
      </w:r>
    </w:p>
    <w:p w14:paraId="3F13DB3B" w14:textId="77777777" w:rsidR="00BD4B93" w:rsidRPr="00F710AA" w:rsidRDefault="00BD4B93" w:rsidP="00720689">
      <w:pPr>
        <w:jc w:val="both"/>
        <w:rPr>
          <w:rFonts w:ascii="Book Antiqua" w:hAnsi="Book Antiqua"/>
        </w:rPr>
      </w:pPr>
      <w:r w:rsidRPr="00E3232D">
        <w:rPr>
          <w:rFonts w:ascii="Book Antiqua" w:hAnsi="Book Antiqua"/>
          <w:lang w:val="en-GB"/>
        </w:rPr>
        <w:t xml:space="preserve">In Figure 5, between 20% to 30% of the respondents in all the three programme areas received less training than needed on the 14 skills. Again, as in the year groups, </w:t>
      </w:r>
      <w:r w:rsidRPr="00E3232D">
        <w:rPr>
          <w:rFonts w:ascii="Book Antiqua" w:hAnsi="Book Antiqua"/>
        </w:rPr>
        <w:t xml:space="preserve">IT professional skills and General IT User skills recorded higher percentages on skills which respondents received less training in all study programmes. In the Applied Arts and Sciences programmes, areas where graduates received less training include theoretical knowledge (29%), job skills </w:t>
      </w:r>
      <w:r w:rsidR="00990975">
        <w:rPr>
          <w:rFonts w:ascii="Book Antiqua" w:hAnsi="Book Antiqua"/>
        </w:rPr>
        <w:t xml:space="preserve">, </w:t>
      </w:r>
      <w:r w:rsidRPr="00E3232D">
        <w:rPr>
          <w:rFonts w:ascii="Book Antiqua" w:hAnsi="Book Antiqua"/>
        </w:rPr>
        <w:t>(31%), management skills (33%), numeracy skills (27%), literacy and writing skills (30%), problem solving skills (30%), team working skills (29%) and customer handling skills (31%). Graduates in the Business programme received less training in technical and practical skills. Areas indicated for less skill training in Engineering programmes included attachment/work experience in a company (29%) and office and administration skills (36%).</w:t>
      </w:r>
    </w:p>
    <w:p w14:paraId="77CE45BD" w14:textId="77777777" w:rsidR="00BD4B93" w:rsidRDefault="00BD4B93" w:rsidP="00720689">
      <w:pPr>
        <w:jc w:val="both"/>
        <w:rPr>
          <w:rFonts w:ascii="Book Antiqua" w:hAnsi="Book Antiqua"/>
          <w:lang w:val="en-GB"/>
        </w:rPr>
      </w:pPr>
      <w:r w:rsidRPr="00E3232D">
        <w:rPr>
          <w:rFonts w:ascii="Book Antiqua" w:hAnsi="Book Antiqua"/>
          <w:lang w:val="en-GB"/>
        </w:rPr>
        <w:t xml:space="preserve">As emerged in the cohorts and study programmes in Figures 4 and 5 respectively, Figure 6 </w:t>
      </w:r>
      <w:r w:rsidR="00F710AA">
        <w:rPr>
          <w:rFonts w:ascii="Book Antiqua" w:hAnsi="Book Antiqua"/>
          <w:lang w:val="en-GB"/>
        </w:rPr>
        <w:t xml:space="preserve">below </w:t>
      </w:r>
      <w:r w:rsidRPr="00E3232D">
        <w:rPr>
          <w:rFonts w:ascii="Book Antiqua" w:hAnsi="Book Antiqua"/>
          <w:lang w:val="en-GB"/>
        </w:rPr>
        <w:t xml:space="preserve">also registered higher percentages for IT professional skills (37 - 42%), and general IT user skills (37 – 40%) which implies that graduates received little or no training on those skills across all sectors. In relative terms, graduates working in the Agricultural sector received less skill training in attachment/working experience in a company (31%), numeracy skills (43%), literacy and writing skills (34%), and problem solving skills (32%). In the industry sector, graduates acquired less training in job skills (28%), office and </w:t>
      </w:r>
      <w:r w:rsidRPr="00E3232D">
        <w:rPr>
          <w:rFonts w:ascii="Book Antiqua" w:hAnsi="Book Antiqua"/>
          <w:lang w:val="en-GB"/>
        </w:rPr>
        <w:lastRenderedPageBreak/>
        <w:t xml:space="preserve">administration skills (36%), and management skills (32%). Graduates in the services sector seemed to receive more skills training than in the industry and agriculture sector.  </w:t>
      </w:r>
    </w:p>
    <w:p w14:paraId="3F5665A9" w14:textId="77777777" w:rsidR="00EA32C1" w:rsidRPr="00E3232D" w:rsidRDefault="00720689" w:rsidP="00720689">
      <w:pPr>
        <w:jc w:val="both"/>
        <w:rPr>
          <w:rFonts w:ascii="Book Antiqua" w:hAnsi="Book Antiqua"/>
          <w:lang w:val="en-GB"/>
        </w:rPr>
      </w:pPr>
      <w:r w:rsidRPr="00E3232D">
        <w:rPr>
          <w:rFonts w:ascii="Book Antiqua" w:hAnsi="Book Antiqua"/>
          <w:lang w:val="en-GB"/>
        </w:rPr>
        <w:t xml:space="preserve">Fig. 6: Less training received on 14 skills by economic sector </w:t>
      </w:r>
    </w:p>
    <w:p w14:paraId="7086E3ED" w14:textId="77777777" w:rsidR="00BD4B93" w:rsidRPr="00E3232D" w:rsidRDefault="00BD4B93" w:rsidP="00720689">
      <w:pPr>
        <w:jc w:val="both"/>
        <w:rPr>
          <w:rFonts w:ascii="Book Antiqua" w:hAnsi="Book Antiqua"/>
          <w:b/>
          <w:lang w:val="en-GB"/>
        </w:rPr>
      </w:pPr>
      <w:r w:rsidRPr="00E3232D">
        <w:rPr>
          <w:rFonts w:ascii="Book Antiqua" w:hAnsi="Book Antiqua"/>
          <w:b/>
          <w:lang w:val="en-GB"/>
        </w:rPr>
        <w:t xml:space="preserve">4.0 </w:t>
      </w:r>
      <w:r w:rsidRPr="00751699">
        <w:rPr>
          <w:rFonts w:ascii="Book Antiqua" w:hAnsi="Book Antiqua"/>
          <w:b/>
          <w:sz w:val="26"/>
          <w:lang w:val="en-GB"/>
        </w:rPr>
        <w:t>Conclusions and Discussion.</w:t>
      </w:r>
    </w:p>
    <w:p w14:paraId="01E2EBA5" w14:textId="77777777" w:rsidR="000F0F02" w:rsidRDefault="007005B1" w:rsidP="000312BA">
      <w:pPr>
        <w:jc w:val="both"/>
        <w:rPr>
          <w:rFonts w:ascii="Book Antiqua" w:hAnsi="Book Antiqua"/>
          <w:lang w:val="en-GB"/>
        </w:rPr>
      </w:pPr>
      <w:r>
        <w:rPr>
          <w:rFonts w:ascii="Book Antiqua" w:hAnsi="Book Antiqua"/>
          <w:noProof/>
          <w:lang w:bidi="ar-SA"/>
        </w:rPr>
        <w:drawing>
          <wp:anchor distT="0" distB="0" distL="114300" distR="114300" simplePos="0" relativeHeight="251843072" behindDoc="0" locked="0" layoutInCell="1" allowOverlap="1" wp14:anchorId="462BF33E" wp14:editId="1F1F655F">
            <wp:simplePos x="0" y="0"/>
            <wp:positionH relativeFrom="column">
              <wp:posOffset>0</wp:posOffset>
            </wp:positionH>
            <wp:positionV relativeFrom="paragraph">
              <wp:posOffset>-1987550</wp:posOffset>
            </wp:positionV>
            <wp:extent cx="5695950" cy="3303905"/>
            <wp:effectExtent l="19050" t="0" r="0" b="0"/>
            <wp:wrapSquare wrapText="bothSides"/>
            <wp:docPr id="8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srcRect/>
                    <a:stretch>
                      <a:fillRect/>
                    </a:stretch>
                  </pic:blipFill>
                  <pic:spPr bwMode="auto">
                    <a:xfrm>
                      <a:off x="0" y="0"/>
                      <a:ext cx="5695950" cy="3303905"/>
                    </a:xfrm>
                    <a:prstGeom prst="rect">
                      <a:avLst/>
                    </a:prstGeom>
                    <a:noFill/>
                    <a:ln w="9525">
                      <a:noFill/>
                      <a:miter lim="800000"/>
                      <a:headEnd/>
                      <a:tailEnd/>
                    </a:ln>
                  </pic:spPr>
                </pic:pic>
              </a:graphicData>
            </a:graphic>
          </wp:anchor>
        </w:drawing>
      </w:r>
      <w:r w:rsidR="00BD4B93" w:rsidRPr="00E3232D">
        <w:rPr>
          <w:rFonts w:ascii="Book Antiqua" w:hAnsi="Book Antiqua"/>
          <w:lang w:val="en-GB"/>
        </w:rPr>
        <w:t xml:space="preserve">The study examines the performances of polytechnic graduates in the labour market with a view to identifying the acquisition of employability skills during the training programmes in the polytechnics. The results generally demonstrate that between 33-48% of the graduates in all the cohorts of the study, programmes of study and sectors of the economy received less training in both IT professional skills and general IT user skills. The revelation raises a lot of concerns especially in this era of information and technology. </w:t>
      </w:r>
      <w:r w:rsidR="00BD4B93" w:rsidRPr="00E3232D">
        <w:rPr>
          <w:rFonts w:ascii="Book Antiqua" w:hAnsi="Book Antiqua"/>
        </w:rPr>
        <w:t>As an economy becomes more information and knowledge-intensive, it is very crucial for students to be exposed to general IT user skills to be able meet the demands the knowledge economy. This is because all organisations, enterprises and institutions across all sectors use automated systems or IT</w:t>
      </w:r>
      <w:r w:rsidR="00634DA6" w:rsidRPr="00E3232D">
        <w:rPr>
          <w:rFonts w:ascii="Book Antiqua" w:hAnsi="Book Antiqua"/>
        </w:rPr>
        <w:t xml:space="preserve"> </w:t>
      </w:r>
      <w:r w:rsidR="00BD4B93" w:rsidRPr="00E3232D">
        <w:rPr>
          <w:rFonts w:ascii="Book Antiqua" w:hAnsi="Book Antiqua"/>
        </w:rPr>
        <w:t>in their day to day activities.</w:t>
      </w:r>
      <w:r w:rsidR="00BD4B93" w:rsidRPr="00E3232D">
        <w:rPr>
          <w:rFonts w:ascii="Book Antiqua" w:hAnsi="Book Antiqua"/>
          <w:lang w:val="en-GB"/>
        </w:rPr>
        <w:t xml:space="preserve">If the service sector generates higher employment opportunities for the </w:t>
      </w:r>
      <w:r w:rsidR="00577163" w:rsidRPr="00E3232D">
        <w:rPr>
          <w:rFonts w:ascii="Book Antiqua" w:hAnsi="Book Antiqua"/>
          <w:lang w:val="en-GB"/>
        </w:rPr>
        <w:t>graduates from</w:t>
      </w:r>
      <w:r w:rsidR="00BD4B93" w:rsidRPr="00E3232D">
        <w:rPr>
          <w:rFonts w:ascii="Book Antiqua" w:hAnsi="Book Antiqua"/>
          <w:lang w:val="en-GB"/>
        </w:rPr>
        <w:t xml:space="preserve"> the polytechnics (see Fig. 2) </w:t>
      </w:r>
      <w:r w:rsidR="00577163" w:rsidRPr="00E3232D">
        <w:rPr>
          <w:rFonts w:ascii="Book Antiqua" w:hAnsi="Book Antiqua"/>
          <w:lang w:val="en-GB"/>
        </w:rPr>
        <w:t>where its</w:t>
      </w:r>
      <w:r w:rsidR="00BD4B93" w:rsidRPr="00E3232D">
        <w:rPr>
          <w:rFonts w:ascii="Book Antiqua" w:hAnsi="Book Antiqua"/>
          <w:lang w:val="en-GB"/>
        </w:rPr>
        <w:t xml:space="preserve"> activities involves more of accounting, secretarial and information technology, then the results emphasise the need to intensify IT education in the polytechnics in order to enhance job placement and la</w:t>
      </w:r>
      <w:r w:rsidR="000F0F02">
        <w:rPr>
          <w:rFonts w:ascii="Book Antiqua" w:hAnsi="Book Antiqua"/>
          <w:lang w:val="en-GB"/>
        </w:rPr>
        <w:t xml:space="preserve">bour mobility.  </w:t>
      </w:r>
    </w:p>
    <w:p w14:paraId="7976C5D2" w14:textId="77777777" w:rsidR="00BD4B93" w:rsidRPr="00E3232D" w:rsidRDefault="00BD4B93" w:rsidP="000312BA">
      <w:pPr>
        <w:jc w:val="both"/>
        <w:rPr>
          <w:rFonts w:ascii="Book Antiqua" w:hAnsi="Book Antiqua"/>
        </w:rPr>
      </w:pPr>
      <w:r w:rsidRPr="00E3232D">
        <w:rPr>
          <w:rFonts w:ascii="Book Antiqua" w:hAnsi="Book Antiqua"/>
          <w:lang w:val="en-GB"/>
        </w:rPr>
        <w:t xml:space="preserve">The revelation that 2006-2008 cohorts of graduates apparently received less training than expected in 10 out of the 14 skills in their study programmes than the older cohorts of graduates (2000-2003, 2004 &amp; 2005) must be an issue of concern to all stakeholders in the VET system. The </w:t>
      </w:r>
      <w:r w:rsidRPr="00E3232D">
        <w:rPr>
          <w:rFonts w:ascii="Book Antiqua" w:hAnsi="Book Antiqua"/>
          <w:lang w:val="en-GB"/>
        </w:rPr>
        <w:lastRenderedPageBreak/>
        <w:t xml:space="preserve">results confirm the claim by employers to the effect that </w:t>
      </w:r>
      <w:r w:rsidRPr="00E3232D">
        <w:rPr>
          <w:rFonts w:ascii="Book Antiqua" w:hAnsi="Book Antiqua"/>
        </w:rPr>
        <w:t>tertiary graduates are weak in professional competencies particularly in problem-solving, organisational skills, ICT, communication and teamwork (Boateng</w:t>
      </w:r>
      <w:r w:rsidR="00EA32C1" w:rsidRPr="00E3232D">
        <w:rPr>
          <w:rFonts w:ascii="Book Antiqua" w:hAnsi="Book Antiqua"/>
        </w:rPr>
        <w:t xml:space="preserve"> </w:t>
      </w:r>
      <w:r w:rsidRPr="00E3232D">
        <w:rPr>
          <w:rFonts w:ascii="Book Antiqua" w:hAnsi="Book Antiqua"/>
        </w:rPr>
        <w:t>&amp;</w:t>
      </w:r>
      <w:r w:rsidR="00634DA6" w:rsidRPr="00E3232D">
        <w:rPr>
          <w:rFonts w:ascii="Book Antiqua" w:hAnsi="Book Antiqua"/>
        </w:rPr>
        <w:t xml:space="preserve"> </w:t>
      </w:r>
      <w:r w:rsidRPr="00E3232D">
        <w:rPr>
          <w:rFonts w:ascii="Book Antiqua" w:hAnsi="Book Antiqua"/>
        </w:rPr>
        <w:t>Sarpong, 2002, World Bank, 2009).</w:t>
      </w:r>
      <w:r w:rsidR="00CA59AF">
        <w:rPr>
          <w:rFonts w:ascii="Book Antiqua" w:hAnsi="Book Antiqua"/>
        </w:rPr>
        <w:t xml:space="preserve"> </w:t>
      </w:r>
      <w:r w:rsidRPr="00E3232D">
        <w:rPr>
          <w:rFonts w:ascii="Book Antiqua" w:hAnsi="Book Antiqua"/>
        </w:rPr>
        <w:t>Contrary to expectation and previous findings (Crebert et al, 2004, Green et al. 2009;</w:t>
      </w:r>
      <w:r w:rsidR="00634DA6" w:rsidRPr="00E3232D">
        <w:rPr>
          <w:rFonts w:ascii="Book Antiqua" w:hAnsi="Book Antiqua"/>
        </w:rPr>
        <w:t xml:space="preserve"> </w:t>
      </w:r>
      <w:r w:rsidRPr="00E3232D">
        <w:rPr>
          <w:rFonts w:ascii="Book Antiqua" w:hAnsi="Book Antiqua"/>
        </w:rPr>
        <w:t>Stiwne</w:t>
      </w:r>
      <w:r w:rsidR="00634DA6" w:rsidRPr="00E3232D">
        <w:rPr>
          <w:rFonts w:ascii="Book Antiqua" w:hAnsi="Book Antiqua"/>
        </w:rPr>
        <w:t xml:space="preserve"> </w:t>
      </w:r>
      <w:r w:rsidRPr="00E3232D">
        <w:rPr>
          <w:rFonts w:ascii="Book Antiqua" w:hAnsi="Book Antiqua"/>
        </w:rPr>
        <w:t>and Jungert 2010), there was no relationship between graduates who received practical industrial experience and achievement of employability skills. The result seems to</w:t>
      </w:r>
      <w:r w:rsidR="00634DA6" w:rsidRPr="00E3232D">
        <w:rPr>
          <w:rFonts w:ascii="Book Antiqua" w:hAnsi="Book Antiqua"/>
        </w:rPr>
        <w:t xml:space="preserve"> </w:t>
      </w:r>
      <w:r w:rsidRPr="00E3232D">
        <w:rPr>
          <w:rFonts w:ascii="Book Antiqua" w:hAnsi="Book Antiqua"/>
        </w:rPr>
        <w:t>confirm inefficient schemes of industrial attachment where students’</w:t>
      </w:r>
      <w:r w:rsidR="00634DA6" w:rsidRPr="00E3232D">
        <w:rPr>
          <w:rFonts w:ascii="Book Antiqua" w:hAnsi="Book Antiqua"/>
        </w:rPr>
        <w:t xml:space="preserve"> </w:t>
      </w:r>
      <w:r w:rsidRPr="00E3232D">
        <w:rPr>
          <w:rFonts w:ascii="Book Antiqua" w:hAnsi="Book Antiqua"/>
        </w:rPr>
        <w:t>placements are sometimes unrelated to their study programmes (JICA, 2008;</w:t>
      </w:r>
      <w:r w:rsidR="00577163" w:rsidRPr="00E3232D">
        <w:rPr>
          <w:rFonts w:ascii="Book Antiqua" w:hAnsi="Book Antiqua"/>
        </w:rPr>
        <w:t xml:space="preserve"> </w:t>
      </w:r>
      <w:r w:rsidRPr="00E3232D">
        <w:rPr>
          <w:rFonts w:ascii="Book Antiqua" w:hAnsi="Book Antiqua"/>
        </w:rPr>
        <w:t>Boahin</w:t>
      </w:r>
      <w:r w:rsidR="00577163" w:rsidRPr="00E3232D">
        <w:rPr>
          <w:rFonts w:ascii="Book Antiqua" w:hAnsi="Book Antiqua"/>
        </w:rPr>
        <w:t xml:space="preserve"> </w:t>
      </w:r>
      <w:r w:rsidRPr="00E3232D">
        <w:rPr>
          <w:rFonts w:ascii="Book Antiqua" w:hAnsi="Book Antiqua"/>
        </w:rPr>
        <w:t>&amp;</w:t>
      </w:r>
      <w:r w:rsidR="00577163" w:rsidRPr="00E3232D">
        <w:rPr>
          <w:rFonts w:ascii="Book Antiqua" w:hAnsi="Book Antiqua"/>
        </w:rPr>
        <w:t xml:space="preserve"> </w:t>
      </w:r>
      <w:r w:rsidRPr="00E3232D">
        <w:rPr>
          <w:rFonts w:ascii="Book Antiqua" w:hAnsi="Book Antiqua"/>
        </w:rPr>
        <w:t xml:space="preserve">Hofman, 2012). </w:t>
      </w:r>
    </w:p>
    <w:p w14:paraId="5C9001ED" w14:textId="77777777" w:rsidR="000F0F02" w:rsidRPr="00751699" w:rsidRDefault="00BD4B93" w:rsidP="000312BA">
      <w:pPr>
        <w:jc w:val="both"/>
        <w:rPr>
          <w:rFonts w:ascii="Book Antiqua" w:hAnsi="Book Antiqua"/>
        </w:rPr>
      </w:pPr>
      <w:r w:rsidRPr="00E3232D">
        <w:rPr>
          <w:rFonts w:ascii="Book Antiqua" w:hAnsi="Book Antiqua"/>
        </w:rPr>
        <w:t>On the amount of training received by graduates along study programmes, Applied Arts, Science and Technology seems to reveal less training in most of the 14 skills than the Business and Engineering. More strikingly, many graduates from</w:t>
      </w:r>
      <w:r w:rsidR="004712D7" w:rsidRPr="00E3232D">
        <w:rPr>
          <w:rFonts w:ascii="Book Antiqua" w:hAnsi="Book Antiqua"/>
        </w:rPr>
        <w:t xml:space="preserve"> </w:t>
      </w:r>
      <w:r w:rsidRPr="00E3232D">
        <w:rPr>
          <w:rFonts w:ascii="Book Antiqua" w:hAnsi="Book Antiqua"/>
        </w:rPr>
        <w:t>engineering programmes received less training on</w:t>
      </w:r>
      <w:r w:rsidR="004712D7" w:rsidRPr="00E3232D">
        <w:rPr>
          <w:rFonts w:ascii="Book Antiqua" w:hAnsi="Book Antiqua"/>
        </w:rPr>
        <w:t xml:space="preserve"> </w:t>
      </w:r>
      <w:r w:rsidRPr="00E3232D">
        <w:rPr>
          <w:rFonts w:ascii="Book Antiqua" w:hAnsi="Book Antiqua"/>
        </w:rPr>
        <w:t>attachment compared with other programmes. Again, the results seem to confirm poor collaboration of industry during internship leading to limited placements of students.</w:t>
      </w:r>
    </w:p>
    <w:p w14:paraId="1BA6BC96" w14:textId="77777777" w:rsidR="00FF464F" w:rsidRPr="00751699" w:rsidRDefault="00BD4B93" w:rsidP="000312BA">
      <w:pPr>
        <w:jc w:val="both"/>
        <w:rPr>
          <w:rFonts w:ascii="Book Antiqua" w:hAnsi="Book Antiqua"/>
          <w:lang w:val="en-GB"/>
        </w:rPr>
      </w:pPr>
      <w:r w:rsidRPr="00E3232D">
        <w:rPr>
          <w:rFonts w:ascii="Book Antiqua" w:hAnsi="Book Antiqua"/>
          <w:lang w:val="en-GB"/>
        </w:rPr>
        <w:t xml:space="preserve">As expected on the basis of the earlier findings, IT professional skills and general IT user skills emerged as the dominant skills across all sectors where most graduates received less training than expected. Moreover, graduates in the Agricultural sector received less training from industrial attachment and thus, less training in most of the skills under review. </w:t>
      </w:r>
      <w:r w:rsidRPr="00E3232D">
        <w:rPr>
          <w:rFonts w:ascii="Book Antiqua" w:hAnsi="Book Antiqua"/>
          <w:lang w:val="en-GB"/>
        </w:rPr>
        <w:t xml:space="preserve">The findings lend support for stronger and more productive links between industry and the polytechnics. </w:t>
      </w:r>
    </w:p>
    <w:p w14:paraId="669D9803" w14:textId="77777777" w:rsidR="00BD4B93" w:rsidRPr="00E3232D" w:rsidRDefault="00BD4B93" w:rsidP="000312BA">
      <w:pPr>
        <w:jc w:val="both"/>
        <w:rPr>
          <w:rFonts w:ascii="Book Antiqua" w:hAnsi="Book Antiqua"/>
          <w:b/>
          <w:lang w:val="en-GB"/>
        </w:rPr>
      </w:pPr>
      <w:r w:rsidRPr="00E3232D">
        <w:rPr>
          <w:rFonts w:ascii="Book Antiqua" w:hAnsi="Book Antiqua"/>
          <w:b/>
          <w:lang w:val="en-GB"/>
        </w:rPr>
        <w:t>4.1 Towards innovative models of collaboration between the polytechnics and industry</w:t>
      </w:r>
    </w:p>
    <w:p w14:paraId="46DD9CE8" w14:textId="77777777" w:rsidR="00BD4B93" w:rsidRPr="00E3232D" w:rsidRDefault="00BD4B93" w:rsidP="000312BA">
      <w:pPr>
        <w:jc w:val="both"/>
        <w:rPr>
          <w:rFonts w:ascii="Book Antiqua" w:hAnsi="Book Antiqua"/>
        </w:rPr>
      </w:pPr>
      <w:r w:rsidRPr="00E3232D">
        <w:rPr>
          <w:rFonts w:ascii="Book Antiqua" w:hAnsi="Book Antiqua"/>
          <w:lang w:val="en-GB"/>
        </w:rPr>
        <w:t>Across all cohorts of graduates, study programmes and sectors of the economy, it is evident that most students received less training on most of the employability skills. Particularly striking is that engineering</w:t>
      </w:r>
      <w:r w:rsidR="004712D7" w:rsidRPr="00E3232D">
        <w:rPr>
          <w:rFonts w:ascii="Book Antiqua" w:hAnsi="Book Antiqua"/>
          <w:lang w:val="en-GB"/>
        </w:rPr>
        <w:t xml:space="preserve"> </w:t>
      </w:r>
      <w:r w:rsidRPr="00E3232D">
        <w:rPr>
          <w:rFonts w:ascii="Book Antiqua" w:hAnsi="Book Antiqua"/>
          <w:lang w:val="en-GB"/>
        </w:rPr>
        <w:t>and Agricultural programmes received less training on practical industrial</w:t>
      </w:r>
      <w:r w:rsidR="004712D7" w:rsidRPr="00E3232D">
        <w:rPr>
          <w:rFonts w:ascii="Book Antiqua" w:hAnsi="Book Antiqua"/>
          <w:lang w:val="en-GB"/>
        </w:rPr>
        <w:t xml:space="preserve"> </w:t>
      </w:r>
      <w:r w:rsidRPr="00E3232D">
        <w:rPr>
          <w:rFonts w:ascii="Book Antiqua" w:hAnsi="Book Antiqua"/>
          <w:lang w:val="en-GB"/>
        </w:rPr>
        <w:t xml:space="preserve">attachment, a situation that suggests the need for innovative </w:t>
      </w:r>
      <w:r w:rsidRPr="00E3232D">
        <w:rPr>
          <w:rFonts w:ascii="Book Antiqua" w:hAnsi="Book Antiqua"/>
        </w:rPr>
        <w:t>partnership between polytechnics and industry.</w:t>
      </w:r>
      <w:r w:rsidRPr="00E3232D">
        <w:rPr>
          <w:rFonts w:ascii="Book Antiqua" w:hAnsi="Book Antiqua"/>
          <w:lang w:val="en-GB"/>
        </w:rPr>
        <w:t xml:space="preserve"> One </w:t>
      </w:r>
      <w:r w:rsidRPr="00E3232D">
        <w:rPr>
          <w:rFonts w:ascii="Book Antiqua" w:hAnsi="Book Antiqua"/>
        </w:rPr>
        <w:t>such model of collaboration</w:t>
      </w:r>
      <w:r w:rsidRPr="00E3232D">
        <w:rPr>
          <w:rFonts w:ascii="Book Antiqua" w:hAnsi="Book Antiqua"/>
          <w:lang w:val="en-GB"/>
        </w:rPr>
        <w:t xml:space="preserve"> is the development of the workplace as a learning arena, where students and lecturers can exercise their skills within a more meaningful and productive jobs. </w:t>
      </w:r>
      <w:r w:rsidRPr="00E3232D">
        <w:rPr>
          <w:rFonts w:ascii="Book Antiqua" w:hAnsi="Book Antiqua"/>
        </w:rPr>
        <w:t>For instance, the ‘training by order’ or ‘combined school factory’ model enables training institutions to collaborate with enterprise to provide human resource training while enterprise participates in school management and assist with funding, equipment and workplace practice (Misko, 2005). Such partnership allows training institutions to be run by relevant companies like mining, railways, agricultural cooperatives, architecture and construction, commerce, garment, tourism and electronic industries. These workplaces, enterprises or factories provide learning sites for students and lecturers to carry out real-life practical training.</w:t>
      </w:r>
      <w:r w:rsidR="004712D7" w:rsidRPr="00E3232D">
        <w:rPr>
          <w:rFonts w:ascii="Book Antiqua" w:hAnsi="Book Antiqua"/>
        </w:rPr>
        <w:t xml:space="preserve"> </w:t>
      </w:r>
      <w:r w:rsidRPr="00E3232D">
        <w:rPr>
          <w:rFonts w:ascii="Book Antiqua" w:hAnsi="Book Antiqua"/>
        </w:rPr>
        <w:t xml:space="preserve">The mutual benefits in this collaboration include adequate equipment and training facilities, specialised </w:t>
      </w:r>
      <w:r w:rsidRPr="00E3232D">
        <w:rPr>
          <w:rFonts w:ascii="Book Antiqua" w:hAnsi="Book Antiqua"/>
        </w:rPr>
        <w:lastRenderedPageBreak/>
        <w:t xml:space="preserve">expertise, advancement in technology, workplace training, industry–demand driven form of training, smooth transition from school to work, and increased production. </w:t>
      </w:r>
    </w:p>
    <w:p w14:paraId="3ED946C0" w14:textId="77777777" w:rsidR="00BD4B93" w:rsidRPr="00E3232D" w:rsidRDefault="00BD4B93" w:rsidP="000312BA">
      <w:pPr>
        <w:adjustRightInd w:val="0"/>
        <w:spacing w:after="0"/>
        <w:ind w:right="-144"/>
        <w:jc w:val="both"/>
        <w:rPr>
          <w:rFonts w:ascii="Book Antiqua" w:hAnsi="Book Antiqua"/>
        </w:rPr>
      </w:pPr>
      <w:r w:rsidRPr="00E3232D">
        <w:rPr>
          <w:rFonts w:ascii="Book Antiqua" w:hAnsi="Book Antiqua"/>
        </w:rPr>
        <w:t>Equally crucial is the need for the formation of industry-led agencies in Ghana asit exists in other countries to provide information on industry trends, future skill needs and training requirements in the contemporary workplaces.</w:t>
      </w:r>
      <w:r w:rsidR="004712D7" w:rsidRPr="00E3232D">
        <w:rPr>
          <w:rFonts w:ascii="Book Antiqua" w:hAnsi="Book Antiqua"/>
        </w:rPr>
        <w:t xml:space="preserve"> </w:t>
      </w:r>
      <w:r w:rsidRPr="00E3232D">
        <w:rPr>
          <w:rFonts w:ascii="Book Antiqua" w:hAnsi="Book Antiqua"/>
        </w:rPr>
        <w:t>The</w:t>
      </w:r>
      <w:r w:rsidR="004712D7" w:rsidRPr="00E3232D">
        <w:rPr>
          <w:rFonts w:ascii="Book Antiqua" w:hAnsi="Book Antiqua"/>
        </w:rPr>
        <w:t xml:space="preserve"> </w:t>
      </w:r>
      <w:r w:rsidRPr="00E3232D">
        <w:rPr>
          <w:rFonts w:ascii="Book Antiqua" w:hAnsi="Book Antiqua"/>
        </w:rPr>
        <w:t>Industry Skills Councils (ISC) in Australia or Sector Skills Councils (SSC) in the UK for instance, form networks with various Industry Training Advisory Committees (ITACs) to offer periodic review of curricula, identify critical work functions, key activities, performance standards, skills and knowledge required to successfully perform a given occupation or field (Dept of Education and Labour, 2003).</w:t>
      </w:r>
      <w:r w:rsidR="00CA59AF">
        <w:rPr>
          <w:rFonts w:ascii="Book Antiqua" w:hAnsi="Book Antiqua"/>
        </w:rPr>
        <w:t xml:space="preserve"> </w:t>
      </w:r>
      <w:r w:rsidRPr="00E3232D">
        <w:rPr>
          <w:rFonts w:ascii="Book Antiqua" w:hAnsi="Book Antiqua"/>
        </w:rPr>
        <w:t xml:space="preserve">Collaboration with such agencies assists training institutions to identify essential job skills and experiences to ensure that students are equipped with competencies necessary to achieve employability. </w:t>
      </w:r>
    </w:p>
    <w:p w14:paraId="307BFEC1" w14:textId="77777777" w:rsidR="00AB182C" w:rsidRDefault="00AB182C" w:rsidP="000312BA">
      <w:pPr>
        <w:spacing w:after="0"/>
        <w:jc w:val="both"/>
        <w:rPr>
          <w:rFonts w:ascii="Book Antiqua" w:hAnsi="Book Antiqua"/>
        </w:rPr>
      </w:pPr>
    </w:p>
    <w:p w14:paraId="1FE90523" w14:textId="77777777" w:rsidR="00BD4B93" w:rsidRPr="00E3232D" w:rsidRDefault="00BD4B93" w:rsidP="000312BA">
      <w:pPr>
        <w:spacing w:after="0"/>
        <w:jc w:val="both"/>
        <w:rPr>
          <w:rFonts w:ascii="Book Antiqua" w:hAnsi="Book Antiqua"/>
        </w:rPr>
      </w:pPr>
      <w:r w:rsidRPr="00E3232D">
        <w:rPr>
          <w:rFonts w:ascii="Book Antiqua" w:hAnsi="Book Antiqua"/>
        </w:rPr>
        <w:t>There is the need for effective government partnership with the polytechnics to ensure full implementation of competency-based training (CBT) in all the study programmes. As an industry-led training, CBT places industry  at a focal point around which  every facet of CBT</w:t>
      </w:r>
      <w:r w:rsidR="004712D7" w:rsidRPr="00E3232D">
        <w:rPr>
          <w:rFonts w:ascii="Book Antiqua" w:hAnsi="Book Antiqua"/>
        </w:rPr>
        <w:t xml:space="preserve"> </w:t>
      </w:r>
      <w:r w:rsidRPr="00E3232D">
        <w:rPr>
          <w:rFonts w:ascii="Book Antiqua" w:hAnsi="Book Antiqua"/>
        </w:rPr>
        <w:t>activities evolve,  ranging from the development of competency standards, lecturing and assessing students’ projects, apprenticeship training to quality assurance in the form of accrediting programmes, monitoring and evaluation against the national standards.</w:t>
      </w:r>
      <w:r w:rsidR="004712D7" w:rsidRPr="00E3232D">
        <w:rPr>
          <w:rFonts w:ascii="Book Antiqua" w:hAnsi="Book Antiqua"/>
        </w:rPr>
        <w:t xml:space="preserve"> </w:t>
      </w:r>
      <w:r w:rsidRPr="00E3232D">
        <w:rPr>
          <w:rFonts w:ascii="Book Antiqua" w:hAnsi="Book Antiqua"/>
        </w:rPr>
        <w:t xml:space="preserve">Even though CBT implementation has attracted </w:t>
      </w:r>
      <w:r w:rsidRPr="00E3232D">
        <w:rPr>
          <w:rFonts w:ascii="Book Antiqua" w:hAnsi="Book Antiqua"/>
        </w:rPr>
        <w:t>much criticisms in the literature (Hellwig, 2006, Wesselink et al. 2010),</w:t>
      </w:r>
      <w:r w:rsidR="00A77443" w:rsidRPr="00E3232D">
        <w:rPr>
          <w:rFonts w:ascii="Book Antiqua" w:hAnsi="Book Antiqua"/>
        </w:rPr>
        <w:t xml:space="preserve"> </w:t>
      </w:r>
      <w:r w:rsidRPr="00E3232D">
        <w:rPr>
          <w:rFonts w:ascii="Book Antiqua" w:hAnsi="Book Antiqua"/>
        </w:rPr>
        <w:t>most of these criticisms are often associated with the operationalisation of the concept rather than its potential or the principles behind it. Even in UK and Australiamodels of CBT where these criticisms are more pronounced, there is a wide range of innovative and continuous improvement practices towards a shift from ‘knowledge and skills for performing at the workplace</w:t>
      </w:r>
      <w:r w:rsidRPr="00E3232D">
        <w:rPr>
          <w:rFonts w:ascii="Book Antiqua" w:hAnsi="Book Antiqua"/>
          <w:i/>
        </w:rPr>
        <w:t>’</w:t>
      </w:r>
      <w:r w:rsidRPr="00E3232D">
        <w:rPr>
          <w:rFonts w:ascii="Book Antiqua" w:hAnsi="Book Antiqua"/>
        </w:rPr>
        <w:t xml:space="preserve"> towards ‘knowledge and skills for performing beyond the workplace’(NQC Australia, 2009 and UKCES, 2009, cited in Kodiappan, 2011)</w:t>
      </w:r>
      <w:r w:rsidRPr="00E3232D">
        <w:rPr>
          <w:rFonts w:ascii="Book Antiqua" w:hAnsi="Book Antiqua"/>
          <w:i/>
        </w:rPr>
        <w:t>.</w:t>
      </w:r>
      <w:r w:rsidRPr="00E3232D">
        <w:rPr>
          <w:rFonts w:ascii="Book Antiqua" w:hAnsi="Book Antiqua"/>
        </w:rPr>
        <w:t xml:space="preserve"> Such a broader perspective of CBT is believed to equip students to acquire the competencies necessary to be employable and continue to develop their competencies to become adaptable labour force in a contemporary workplace.</w:t>
      </w:r>
    </w:p>
    <w:p w14:paraId="4976CD15" w14:textId="77777777" w:rsidR="009450B6" w:rsidRDefault="009450B6" w:rsidP="000312BA">
      <w:pPr>
        <w:jc w:val="both"/>
        <w:rPr>
          <w:rFonts w:ascii="Book Antiqua" w:hAnsi="Book Antiqua"/>
          <w:b/>
        </w:rPr>
      </w:pPr>
    </w:p>
    <w:p w14:paraId="6DA66F66" w14:textId="77777777" w:rsidR="00BD4B93" w:rsidRPr="00E3232D" w:rsidRDefault="00BD4B93" w:rsidP="000312BA">
      <w:pPr>
        <w:jc w:val="both"/>
        <w:rPr>
          <w:rFonts w:ascii="Book Antiqua" w:hAnsi="Book Antiqua"/>
          <w:b/>
        </w:rPr>
      </w:pPr>
      <w:r w:rsidRPr="00751699">
        <w:rPr>
          <w:rFonts w:ascii="Book Antiqua" w:hAnsi="Book Antiqua"/>
          <w:b/>
          <w:sz w:val="26"/>
        </w:rPr>
        <w:t>References</w:t>
      </w:r>
      <w:r w:rsidRPr="00E3232D">
        <w:rPr>
          <w:rFonts w:ascii="Book Antiqua" w:hAnsi="Book Antiqua"/>
          <w:b/>
        </w:rPr>
        <w:t xml:space="preserve"> </w:t>
      </w:r>
    </w:p>
    <w:p w14:paraId="250C94EA" w14:textId="77777777" w:rsidR="00BD4B93" w:rsidRPr="00E3232D" w:rsidRDefault="00BD4B93" w:rsidP="000312BA">
      <w:pPr>
        <w:ind w:left="720" w:hanging="720"/>
        <w:jc w:val="both"/>
        <w:rPr>
          <w:rFonts w:ascii="Book Antiqua" w:hAnsi="Book Antiqua"/>
        </w:rPr>
      </w:pPr>
      <w:r w:rsidRPr="00E3232D">
        <w:rPr>
          <w:rFonts w:ascii="Book Antiqua" w:hAnsi="Book Antiqua"/>
        </w:rPr>
        <w:t xml:space="preserve">Andrews, J. and Higson H. (2008). Graduate employability, soft skills versus hard business knowledge: A European study. </w:t>
      </w:r>
      <w:r w:rsidRPr="00E3232D">
        <w:rPr>
          <w:rFonts w:ascii="Book Antiqua" w:hAnsi="Book Antiqua"/>
          <w:i/>
        </w:rPr>
        <w:t>Higher Education in Europe</w:t>
      </w:r>
      <w:r w:rsidRPr="00E3232D">
        <w:rPr>
          <w:rFonts w:ascii="Book Antiqua" w:hAnsi="Book Antiqua"/>
        </w:rPr>
        <w:t xml:space="preserve"> 33, (4),pp411-422.</w:t>
      </w:r>
    </w:p>
    <w:p w14:paraId="6EB9AE65" w14:textId="77777777" w:rsidR="00BD4B93" w:rsidRPr="00E3232D" w:rsidRDefault="00BD4B93" w:rsidP="000312BA">
      <w:pPr>
        <w:ind w:left="720" w:hanging="720"/>
        <w:jc w:val="both"/>
        <w:rPr>
          <w:rFonts w:ascii="Book Antiqua" w:hAnsi="Book Antiqua"/>
          <w:iCs/>
        </w:rPr>
      </w:pPr>
      <w:r w:rsidRPr="00E3232D">
        <w:rPr>
          <w:rFonts w:ascii="Book Antiqua" w:hAnsi="Book Antiqua"/>
          <w:iCs/>
        </w:rPr>
        <w:t xml:space="preserve">Barrie, S. (2005). </w:t>
      </w:r>
      <w:r w:rsidRPr="00E3232D">
        <w:rPr>
          <w:rFonts w:ascii="Book Antiqua" w:hAnsi="Book Antiqua"/>
          <w:i/>
          <w:iCs/>
        </w:rPr>
        <w:t>Rethinking generic graduate attributes.</w:t>
      </w:r>
      <w:r w:rsidRPr="00E3232D">
        <w:rPr>
          <w:rFonts w:ascii="Book Antiqua" w:hAnsi="Book Antiqua"/>
          <w:iCs/>
        </w:rPr>
        <w:t>HERDSA News, University of Sydney, Australia.</w:t>
      </w:r>
    </w:p>
    <w:p w14:paraId="64644D47" w14:textId="77777777" w:rsidR="00BD4B93" w:rsidRPr="00E3232D" w:rsidRDefault="00BD4B93" w:rsidP="000312BA">
      <w:pPr>
        <w:ind w:left="720" w:hanging="720"/>
        <w:jc w:val="both"/>
        <w:rPr>
          <w:rFonts w:ascii="Book Antiqua" w:hAnsi="Book Antiqua"/>
        </w:rPr>
      </w:pPr>
      <w:r w:rsidRPr="00E3232D">
        <w:rPr>
          <w:rFonts w:ascii="Book Antiqua" w:hAnsi="Book Antiqua"/>
        </w:rPr>
        <w:t xml:space="preserve">Boahin, P. and Hofman, W.H.A. (2012).Implementation of innovations in higher education: the case of competency-based training in Ghana. </w:t>
      </w:r>
      <w:r w:rsidRPr="00E3232D">
        <w:rPr>
          <w:rFonts w:ascii="Book Antiqua" w:eastAsia="SimSun" w:hAnsi="Book Antiqua"/>
          <w:bCs/>
          <w:i/>
          <w:kern w:val="32"/>
          <w:lang w:eastAsia="zh-CN"/>
        </w:rPr>
        <w:t>Innovations in Education and Teaching International.</w:t>
      </w:r>
      <w:r w:rsidRPr="00E3232D">
        <w:rPr>
          <w:rFonts w:ascii="Book Antiqua" w:hAnsi="Book Antiqua"/>
        </w:rPr>
        <w:t>49, (3), pp 313–323.</w:t>
      </w:r>
    </w:p>
    <w:p w14:paraId="76F58EE8" w14:textId="77777777" w:rsidR="00BD4B93" w:rsidRPr="00E3232D" w:rsidRDefault="00BD4B93" w:rsidP="000312BA">
      <w:pPr>
        <w:adjustRightInd w:val="0"/>
        <w:ind w:right="-144"/>
        <w:jc w:val="both"/>
        <w:rPr>
          <w:rFonts w:ascii="Book Antiqua" w:hAnsi="Book Antiqua"/>
        </w:rPr>
      </w:pPr>
      <w:r w:rsidRPr="00E3232D">
        <w:rPr>
          <w:rFonts w:ascii="Book Antiqua" w:hAnsi="Book Antiqua"/>
        </w:rPr>
        <w:lastRenderedPageBreak/>
        <w:t xml:space="preserve">Boahin, P., Kamphorst, J.C. and Hofman, W.H.A. (2010). </w:t>
      </w:r>
      <w:r w:rsidRPr="00E3232D">
        <w:rPr>
          <w:rFonts w:ascii="Book Antiqua" w:hAnsi="Book Antiqua"/>
          <w:i/>
        </w:rPr>
        <w:t xml:space="preserve">Tracer study on the performance of </w:t>
      </w:r>
      <w:r w:rsidRPr="00E3232D">
        <w:rPr>
          <w:rFonts w:ascii="Book Antiqua" w:hAnsi="Book Antiqua"/>
          <w:i/>
        </w:rPr>
        <w:tab/>
        <w:t>polytechnic graduates in Ghanaian labour market</w:t>
      </w:r>
      <w:r w:rsidRPr="00E3232D">
        <w:rPr>
          <w:rFonts w:ascii="Book Antiqua" w:hAnsi="Book Antiqua"/>
        </w:rPr>
        <w:t>.Accra, Ghana.</w:t>
      </w:r>
    </w:p>
    <w:p w14:paraId="45784C9F" w14:textId="77777777" w:rsidR="00BD4B93" w:rsidRPr="00E3232D" w:rsidRDefault="00BD4B93" w:rsidP="000312BA">
      <w:pPr>
        <w:ind w:left="720" w:hanging="720"/>
        <w:jc w:val="both"/>
        <w:rPr>
          <w:rFonts w:ascii="Book Antiqua" w:hAnsi="Book Antiqua"/>
          <w:iCs/>
        </w:rPr>
      </w:pPr>
      <w:r w:rsidRPr="00E3232D">
        <w:rPr>
          <w:rFonts w:ascii="Book Antiqua" w:hAnsi="Book Antiqua"/>
        </w:rPr>
        <w:t>Boateng, K., and Sarpong, E. (2002).An analytical study of the labour market for graduates in Ghana.</w:t>
      </w:r>
      <w:r w:rsidRPr="00E3232D">
        <w:rPr>
          <w:rFonts w:ascii="Book Antiqua" w:hAnsi="Book Antiqua"/>
          <w:i/>
          <w:iCs/>
        </w:rPr>
        <w:t>World Bank/National Council for Tertiary Education Project</w:t>
      </w:r>
      <w:r w:rsidRPr="00E3232D">
        <w:rPr>
          <w:rFonts w:ascii="Book Antiqua" w:hAnsi="Book Antiqua"/>
          <w:iCs/>
        </w:rPr>
        <w:t>. Accra.</w:t>
      </w:r>
    </w:p>
    <w:p w14:paraId="332050CC" w14:textId="77777777" w:rsidR="00BD4B93" w:rsidRPr="00E3232D" w:rsidRDefault="00BD4B93" w:rsidP="000312BA">
      <w:pPr>
        <w:jc w:val="both"/>
        <w:rPr>
          <w:rFonts w:ascii="Book Antiqua" w:hAnsi="Book Antiqua"/>
        </w:rPr>
      </w:pPr>
      <w:r w:rsidRPr="00E3232D">
        <w:rPr>
          <w:rFonts w:ascii="Book Antiqua" w:hAnsi="Book Antiqua"/>
        </w:rPr>
        <w:t xml:space="preserve">Brown, P., Lauder, H. andAshton, D. (2008).Education, Globalisation and the Future of the </w:t>
      </w:r>
      <w:r w:rsidRPr="00E3232D">
        <w:rPr>
          <w:rFonts w:ascii="Book Antiqua" w:hAnsi="Book Antiqua"/>
        </w:rPr>
        <w:tab/>
        <w:t>Knowledge Economy.European Educational Research Journal, 7 (2), pp 131-156</w:t>
      </w:r>
    </w:p>
    <w:p w14:paraId="79C85E33" w14:textId="77777777" w:rsidR="00BD4B93" w:rsidRPr="00E3232D" w:rsidRDefault="00BD4B93" w:rsidP="000312BA">
      <w:pPr>
        <w:ind w:left="720" w:hanging="720"/>
        <w:jc w:val="both"/>
        <w:rPr>
          <w:rFonts w:ascii="Book Antiqua" w:hAnsi="Book Antiqua"/>
          <w:iCs/>
        </w:rPr>
      </w:pPr>
      <w:r w:rsidRPr="00E3232D">
        <w:rPr>
          <w:rFonts w:ascii="Book Antiqua" w:hAnsi="Book Antiqua"/>
          <w:iCs/>
        </w:rPr>
        <w:t>Crebert, G., Bates, M., Bell, B,Partrick, C. andCragnolini. V. (2004).Developing generic skills at university, during work placement and in employment: Graduates’ perceptions.</w:t>
      </w:r>
      <w:r w:rsidRPr="00E3232D">
        <w:rPr>
          <w:rFonts w:ascii="Book Antiqua" w:hAnsi="Book Antiqua"/>
          <w:i/>
          <w:iCs/>
        </w:rPr>
        <w:t>Higher Education Research and Development</w:t>
      </w:r>
      <w:r w:rsidRPr="00E3232D">
        <w:rPr>
          <w:rFonts w:ascii="Book Antiqua" w:hAnsi="Book Antiqua"/>
          <w:iCs/>
        </w:rPr>
        <w:t>23, (2), pp147-165.</w:t>
      </w:r>
    </w:p>
    <w:p w14:paraId="16D2BE4B" w14:textId="77777777" w:rsidR="00BD4B93" w:rsidRPr="00E3232D" w:rsidRDefault="00BD4B93" w:rsidP="000312BA">
      <w:pPr>
        <w:adjustRightInd w:val="0"/>
        <w:ind w:right="-144"/>
        <w:jc w:val="both"/>
        <w:rPr>
          <w:rFonts w:ascii="Book Antiqua" w:hAnsi="Book Antiqua"/>
        </w:rPr>
      </w:pPr>
      <w:r w:rsidRPr="00E3232D">
        <w:rPr>
          <w:rFonts w:ascii="Book Antiqua" w:hAnsi="Book Antiqua"/>
        </w:rPr>
        <w:t xml:space="preserve">Department of Education and Labour, (2003). Good Employee practices are good for your </w:t>
      </w:r>
      <w:r w:rsidRPr="00E3232D">
        <w:rPr>
          <w:rFonts w:ascii="Book Antiqua" w:hAnsi="Book Antiqua"/>
        </w:rPr>
        <w:tab/>
        <w:t xml:space="preserve">business: </w:t>
      </w:r>
      <w:r w:rsidRPr="00E3232D">
        <w:rPr>
          <w:rFonts w:ascii="Book Antiqua" w:hAnsi="Book Antiqua"/>
          <w:iCs/>
        </w:rPr>
        <w:t>Becoming an employer of choice</w:t>
      </w:r>
      <w:r w:rsidRPr="00E3232D">
        <w:rPr>
          <w:rFonts w:ascii="Book Antiqua" w:hAnsi="Book Antiqua"/>
          <w:i/>
          <w:iCs/>
        </w:rPr>
        <w:t>,</w:t>
      </w:r>
      <w:r w:rsidRPr="00E3232D">
        <w:rPr>
          <w:rFonts w:ascii="Book Antiqua" w:hAnsi="Book Antiqua"/>
        </w:rPr>
        <w:t xml:space="preserve"> (New Zealand).</w:t>
      </w:r>
    </w:p>
    <w:p w14:paraId="2DDB0F26" w14:textId="77777777" w:rsidR="00BD4B93" w:rsidRPr="00E3232D" w:rsidRDefault="00BD4B93" w:rsidP="000312BA">
      <w:pPr>
        <w:ind w:left="720" w:hanging="720"/>
        <w:jc w:val="both"/>
        <w:rPr>
          <w:rFonts w:ascii="Book Antiqua" w:hAnsi="Book Antiqua"/>
        </w:rPr>
      </w:pPr>
      <w:r w:rsidRPr="00E3232D">
        <w:rPr>
          <w:rFonts w:ascii="Book Antiqua" w:hAnsi="Book Antiqua"/>
        </w:rPr>
        <w:t>Ghana MESC (Ministry of Education, Sports and Culture), 2004.Design and Technology (Years9</w:t>
      </w:r>
      <w:r w:rsidRPr="00E3232D">
        <w:rPr>
          <w:rFonts w:ascii="Book Antiqua" w:hAnsi="Book Antiqua"/>
          <w:i/>
        </w:rPr>
        <w:t>–</w:t>
      </w:r>
      <w:r w:rsidRPr="00E3232D">
        <w:rPr>
          <w:rFonts w:ascii="Book Antiqua" w:hAnsi="Book Antiqua"/>
        </w:rPr>
        <w:t xml:space="preserve">13) Samoa Secondary School Curriculum. Accessed 23 January 2013, </w:t>
      </w:r>
    </w:p>
    <w:p w14:paraId="47E0FEB8" w14:textId="77777777" w:rsidR="00BD4B93" w:rsidRPr="00E3232D" w:rsidRDefault="00BD4B93" w:rsidP="000312BA">
      <w:pPr>
        <w:ind w:left="720" w:hanging="720"/>
        <w:jc w:val="both"/>
        <w:rPr>
          <w:rFonts w:ascii="Book Antiqua" w:hAnsi="Book Antiqua"/>
          <w:iCs/>
        </w:rPr>
      </w:pPr>
      <w:r w:rsidRPr="00E3232D">
        <w:rPr>
          <w:rFonts w:ascii="Book Antiqua" w:hAnsi="Book Antiqua"/>
        </w:rPr>
        <w:tab/>
      </w:r>
      <w:hyperlink r:id="rId23" w:history="1">
        <w:r w:rsidRPr="00E3232D">
          <w:rPr>
            <w:rStyle w:val="Hyperlink"/>
            <w:rFonts w:ascii="Book Antiqua" w:hAnsi="Book Antiqua"/>
          </w:rPr>
          <w:t>http://www.mesc.gov.ws/pdf/Design Tech_wk.pdf</w:t>
        </w:r>
      </w:hyperlink>
    </w:p>
    <w:p w14:paraId="1D98B17D" w14:textId="77777777" w:rsidR="00BD4B93" w:rsidRPr="00E3232D" w:rsidRDefault="00BD4B93" w:rsidP="000312BA">
      <w:pPr>
        <w:ind w:left="720" w:hanging="720"/>
        <w:jc w:val="both"/>
        <w:rPr>
          <w:rFonts w:ascii="Book Antiqua" w:hAnsi="Book Antiqua"/>
        </w:rPr>
      </w:pPr>
      <w:r w:rsidRPr="00E3232D">
        <w:rPr>
          <w:rFonts w:ascii="Book Antiqua" w:hAnsi="Book Antiqua"/>
        </w:rPr>
        <w:t xml:space="preserve">Ghana MOESS (Ministry of Education, Science and Sports) (2008). Preliminary Education Sector </w:t>
      </w:r>
      <w:r w:rsidRPr="00E3232D">
        <w:rPr>
          <w:rFonts w:ascii="Book Antiqua" w:hAnsi="Book Antiqua"/>
        </w:rPr>
        <w:t>Performance Report (ESPR). Accra, Ghana.</w:t>
      </w:r>
    </w:p>
    <w:p w14:paraId="05DDB752" w14:textId="77777777" w:rsidR="00BD4B93" w:rsidRPr="00E3232D" w:rsidRDefault="00BD4B93" w:rsidP="000312BA">
      <w:pPr>
        <w:ind w:left="720" w:hanging="720"/>
        <w:jc w:val="both"/>
        <w:rPr>
          <w:rFonts w:ascii="Book Antiqua" w:hAnsi="Book Antiqua"/>
          <w:iCs/>
        </w:rPr>
      </w:pPr>
      <w:r w:rsidRPr="00E3232D">
        <w:rPr>
          <w:rFonts w:ascii="Book Antiqua" w:hAnsi="Book Antiqua"/>
          <w:iCs/>
        </w:rPr>
        <w:t>Gibb, J. (2004). Generic skills in vocational education and training NCVER, Adelaide.Accessed 29 February 2012.</w:t>
      </w:r>
      <w:hyperlink r:id="rId24" w:history="1">
        <w:r w:rsidRPr="00E3232D">
          <w:rPr>
            <w:rStyle w:val="Hyperlink"/>
            <w:rFonts w:ascii="Book Antiqua" w:hAnsi="Book Antiqua"/>
            <w:iCs/>
          </w:rPr>
          <w:t>http://www.ncver.edu.au/publications/1448.html</w:t>
        </w:r>
      </w:hyperlink>
    </w:p>
    <w:p w14:paraId="25CE6D07" w14:textId="77777777" w:rsidR="00BD4B93" w:rsidRPr="00E3232D" w:rsidRDefault="00BD4B93" w:rsidP="000312BA">
      <w:pPr>
        <w:ind w:left="720" w:hanging="720"/>
        <w:jc w:val="both"/>
        <w:rPr>
          <w:rFonts w:ascii="Book Antiqua" w:hAnsi="Book Antiqua"/>
          <w:iCs/>
        </w:rPr>
      </w:pPr>
      <w:r w:rsidRPr="00E3232D">
        <w:rPr>
          <w:rFonts w:ascii="Book Antiqua" w:hAnsi="Book Antiqua"/>
          <w:iCs/>
        </w:rPr>
        <w:t xml:space="preserve">Green, W., Hammer, S. and Star, C. (2009). Facing up to the challenge: Why is it so hard to develop graduate attributes? </w:t>
      </w:r>
      <w:r w:rsidRPr="00E3232D">
        <w:rPr>
          <w:rFonts w:ascii="Book Antiqua" w:hAnsi="Book Antiqua"/>
          <w:i/>
          <w:iCs/>
        </w:rPr>
        <w:t>Higher Education Research &amp; Development</w:t>
      </w:r>
      <w:r w:rsidRPr="00E3232D">
        <w:rPr>
          <w:rFonts w:ascii="Book Antiqua" w:hAnsi="Book Antiqua"/>
          <w:iCs/>
        </w:rPr>
        <w:t xml:space="preserve"> 28, (1), pp17-29. </w:t>
      </w:r>
    </w:p>
    <w:p w14:paraId="7B396DC5" w14:textId="77777777" w:rsidR="00BD4B93" w:rsidRPr="00E3232D" w:rsidRDefault="00BD4B93" w:rsidP="000312BA">
      <w:pPr>
        <w:spacing w:after="120"/>
        <w:jc w:val="both"/>
        <w:rPr>
          <w:rFonts w:ascii="Book Antiqua" w:hAnsi="Book Antiqua"/>
        </w:rPr>
      </w:pPr>
      <w:r w:rsidRPr="00E3232D">
        <w:rPr>
          <w:rFonts w:ascii="Book Antiqua" w:hAnsi="Book Antiqua"/>
        </w:rPr>
        <w:t xml:space="preserve">Guthrie, H. (2009). </w:t>
      </w:r>
      <w:r w:rsidRPr="00E3232D">
        <w:rPr>
          <w:rFonts w:ascii="Book Antiqua" w:hAnsi="Book Antiqua"/>
          <w:i/>
        </w:rPr>
        <w:t xml:space="preserve">Competency and competency-based training: What the literacy says. </w:t>
      </w:r>
      <w:r w:rsidRPr="00E3232D">
        <w:rPr>
          <w:rFonts w:ascii="Book Antiqua" w:hAnsi="Book Antiqua"/>
          <w:i/>
        </w:rPr>
        <w:tab/>
      </w:r>
      <w:r w:rsidRPr="00E3232D">
        <w:rPr>
          <w:rFonts w:ascii="Book Antiqua" w:hAnsi="Book Antiqua"/>
        </w:rPr>
        <w:t>NCVER, Adelaide.</w:t>
      </w:r>
    </w:p>
    <w:p w14:paraId="653522AA" w14:textId="77777777" w:rsidR="00BD4B93" w:rsidRPr="00E3232D" w:rsidRDefault="00BD4B93" w:rsidP="000312BA">
      <w:pPr>
        <w:adjustRightInd w:val="0"/>
        <w:ind w:right="-144"/>
        <w:jc w:val="both"/>
        <w:rPr>
          <w:rFonts w:ascii="Book Antiqua" w:hAnsi="Book Antiqua"/>
        </w:rPr>
      </w:pPr>
      <w:r w:rsidRPr="00E3232D">
        <w:rPr>
          <w:rFonts w:ascii="Book Antiqua" w:hAnsi="Book Antiqua"/>
        </w:rPr>
        <w:t xml:space="preserve">Hellwig, S. (2006). Competency-based training: different perceptions in Australia </w:t>
      </w:r>
      <w:r w:rsidRPr="00E3232D">
        <w:rPr>
          <w:rFonts w:ascii="Book Antiqua" w:hAnsi="Book Antiqua"/>
        </w:rPr>
        <w:tab/>
        <w:t xml:space="preserve">and </w:t>
      </w:r>
      <w:r w:rsidRPr="00E3232D">
        <w:rPr>
          <w:rFonts w:ascii="Book Antiqua" w:hAnsi="Book Antiqua"/>
        </w:rPr>
        <w:tab/>
        <w:t xml:space="preserve">Germany. </w:t>
      </w:r>
      <w:r w:rsidRPr="00E3232D">
        <w:rPr>
          <w:rFonts w:ascii="Book Antiqua" w:hAnsi="Book Antiqua"/>
          <w:i/>
        </w:rPr>
        <w:t>Australian Journal of Adult Learning</w:t>
      </w:r>
      <w:r w:rsidRPr="00E3232D">
        <w:rPr>
          <w:rFonts w:ascii="Book Antiqua" w:hAnsi="Book Antiqua"/>
        </w:rPr>
        <w:t xml:space="preserve"> 46</w:t>
      </w:r>
      <w:r w:rsidRPr="00E3232D">
        <w:rPr>
          <w:rFonts w:ascii="Book Antiqua" w:hAnsi="Book Antiqua"/>
          <w:i/>
        </w:rPr>
        <w:t xml:space="preserve">, </w:t>
      </w:r>
      <w:r w:rsidRPr="00E3232D">
        <w:rPr>
          <w:rFonts w:ascii="Book Antiqua" w:hAnsi="Book Antiqua"/>
        </w:rPr>
        <w:t>(1), pp51-74.</w:t>
      </w:r>
    </w:p>
    <w:p w14:paraId="427FB697" w14:textId="77777777" w:rsidR="00BD4B93" w:rsidRPr="00E3232D" w:rsidRDefault="00BD4B93" w:rsidP="000312BA">
      <w:pPr>
        <w:adjustRightInd w:val="0"/>
        <w:ind w:right="-144"/>
        <w:jc w:val="both"/>
        <w:rPr>
          <w:rFonts w:ascii="Book Antiqua" w:hAnsi="Book Antiqua"/>
        </w:rPr>
      </w:pPr>
      <w:r w:rsidRPr="00E3232D">
        <w:rPr>
          <w:rFonts w:ascii="Book Antiqua" w:hAnsi="Book Antiqua"/>
        </w:rPr>
        <w:t xml:space="preserve">JICA, (2008). Report of Baseline survey of competency-based Training: Technical and </w:t>
      </w:r>
      <w:r w:rsidRPr="00E3232D">
        <w:rPr>
          <w:rFonts w:ascii="Book Antiqua" w:hAnsi="Book Antiqua"/>
        </w:rPr>
        <w:tab/>
        <w:t>Vocational Education and Training Support Project, Ghana.</w:t>
      </w:r>
    </w:p>
    <w:p w14:paraId="388C88BC" w14:textId="77777777" w:rsidR="00BD4B93" w:rsidRPr="00E3232D" w:rsidRDefault="00BD4B93" w:rsidP="000312BA">
      <w:pPr>
        <w:ind w:left="720" w:hanging="720"/>
        <w:jc w:val="both"/>
        <w:rPr>
          <w:rFonts w:ascii="Book Antiqua" w:hAnsi="Book Antiqua"/>
        </w:rPr>
      </w:pPr>
      <w:r w:rsidRPr="00E3232D">
        <w:rPr>
          <w:rFonts w:ascii="Book Antiqua" w:hAnsi="Book Antiqua"/>
        </w:rPr>
        <w:t>JICA, (2001).Development of a master plan to strengthen technical education in Ghana</w:t>
      </w:r>
      <w:r w:rsidRPr="00E3232D">
        <w:rPr>
          <w:rFonts w:ascii="Book Antiqua" w:hAnsi="Book Antiqua"/>
          <w:i/>
        </w:rPr>
        <w:t>.</w:t>
      </w:r>
      <w:r w:rsidRPr="00E3232D">
        <w:rPr>
          <w:rFonts w:ascii="Book Antiqua" w:hAnsi="Book Antiqua"/>
        </w:rPr>
        <w:t>Ghana,Accra.</w:t>
      </w:r>
    </w:p>
    <w:p w14:paraId="026671E3" w14:textId="77777777" w:rsidR="00BD4B93" w:rsidRPr="00E3232D" w:rsidRDefault="00BD4B93" w:rsidP="000312BA">
      <w:pPr>
        <w:jc w:val="both"/>
        <w:rPr>
          <w:rFonts w:ascii="Book Antiqua" w:hAnsi="Book Antiqua"/>
          <w:iCs/>
        </w:rPr>
      </w:pPr>
      <w:r w:rsidRPr="00E3232D">
        <w:rPr>
          <w:rFonts w:ascii="Book Antiqua" w:hAnsi="Book Antiqua"/>
          <w:iCs/>
        </w:rPr>
        <w:t xml:space="preserve">Kodiappan, R. (2011). Challenges affecting the integration of competency-based training at the </w:t>
      </w:r>
      <w:r w:rsidRPr="00E3232D">
        <w:rPr>
          <w:rFonts w:ascii="Book Antiqua" w:hAnsi="Book Antiqua"/>
          <w:iCs/>
        </w:rPr>
        <w:tab/>
        <w:t xml:space="preserve">higher levels of the Singapore Workforce Skills Qualifications - National Qualification </w:t>
      </w:r>
      <w:r w:rsidRPr="00E3232D">
        <w:rPr>
          <w:rFonts w:ascii="Book Antiqua" w:hAnsi="Book Antiqua"/>
          <w:iCs/>
        </w:rPr>
        <w:tab/>
        <w:t>Framework. Accessed 22 January 2013,</w:t>
      </w:r>
      <w:hyperlink r:id="rId25" w:history="1">
        <w:r w:rsidRPr="00E3232D">
          <w:rPr>
            <w:rStyle w:val="Hyperlink"/>
            <w:rFonts w:ascii="Book Antiqua" w:hAnsi="Book Antiqua"/>
            <w:iCs/>
          </w:rPr>
          <w:t>https://www.ial.ed.edu.sg/files/documents/319</w:t>
        </w:r>
      </w:hyperlink>
    </w:p>
    <w:p w14:paraId="2F2BBFEC" w14:textId="77777777" w:rsidR="00BD4B93" w:rsidRPr="00E3232D" w:rsidRDefault="00BD4B93" w:rsidP="000312BA">
      <w:pPr>
        <w:jc w:val="both"/>
        <w:rPr>
          <w:rFonts w:ascii="Book Antiqua" w:hAnsi="Book Antiqua"/>
        </w:rPr>
      </w:pPr>
      <w:r w:rsidRPr="00E3232D">
        <w:rPr>
          <w:rFonts w:ascii="Book Antiqua" w:hAnsi="Book Antiqua"/>
        </w:rPr>
        <w:lastRenderedPageBreak/>
        <w:t xml:space="preserve">Kouwenhoven, W. (2011).Competence-based curriculum development in Higher Education: </w:t>
      </w:r>
      <w:r w:rsidRPr="00E3232D">
        <w:rPr>
          <w:rFonts w:ascii="Book Antiqua" w:hAnsi="Book Antiqua"/>
        </w:rPr>
        <w:tab/>
        <w:t xml:space="preserve">some </w:t>
      </w:r>
      <w:r w:rsidRPr="00E3232D">
        <w:rPr>
          <w:rFonts w:ascii="Book Antiqua" w:hAnsi="Book Antiqua"/>
        </w:rPr>
        <w:tab/>
        <w:t xml:space="preserve">African experiences. </w:t>
      </w:r>
      <w:r w:rsidRPr="00E3232D">
        <w:rPr>
          <w:rFonts w:ascii="Book Antiqua" w:hAnsi="Book Antiqua"/>
          <w:i/>
        </w:rPr>
        <w:t>Technology, Education and Development,</w:t>
      </w:r>
      <w:r w:rsidRPr="00E3232D">
        <w:rPr>
          <w:rFonts w:ascii="Book Antiqua" w:hAnsi="Book Antiqua"/>
        </w:rPr>
        <w:t>pp 125-146.</w:t>
      </w:r>
      <w:r w:rsidRPr="00E3232D">
        <w:rPr>
          <w:rFonts w:ascii="Book Antiqua" w:hAnsi="Book Antiqua"/>
        </w:rPr>
        <w:tab/>
      </w:r>
    </w:p>
    <w:p w14:paraId="3C6E8BE4" w14:textId="77777777" w:rsidR="00BD4B93" w:rsidRPr="00E3232D" w:rsidRDefault="00BD4B93" w:rsidP="000312BA">
      <w:pPr>
        <w:jc w:val="both"/>
        <w:rPr>
          <w:rFonts w:ascii="Book Antiqua" w:hAnsi="Book Antiqua"/>
        </w:rPr>
      </w:pPr>
      <w:r w:rsidRPr="00E3232D">
        <w:rPr>
          <w:rFonts w:ascii="Book Antiqua" w:hAnsi="Book Antiqua"/>
        </w:rPr>
        <w:t>Ministry of Education, (1993).</w:t>
      </w:r>
      <w:r w:rsidRPr="00E3232D">
        <w:rPr>
          <w:rFonts w:ascii="Book Antiqua" w:hAnsi="Book Antiqua"/>
          <w:i/>
        </w:rPr>
        <w:t>The Polytechnic Law 1992, PNDCL 321</w:t>
      </w:r>
      <w:r w:rsidRPr="00E3232D">
        <w:rPr>
          <w:rFonts w:ascii="Book Antiqua" w:hAnsi="Book Antiqua"/>
        </w:rPr>
        <w:t>. Accra, Ghana</w:t>
      </w:r>
    </w:p>
    <w:p w14:paraId="77F97B6C" w14:textId="77777777" w:rsidR="00BD4B93" w:rsidRPr="00E3232D" w:rsidRDefault="00BD4B93" w:rsidP="000312BA">
      <w:pPr>
        <w:adjustRightInd w:val="0"/>
        <w:ind w:right="-144"/>
        <w:jc w:val="both"/>
        <w:rPr>
          <w:rFonts w:ascii="Book Antiqua" w:hAnsi="Book Antiqua"/>
        </w:rPr>
      </w:pPr>
      <w:r w:rsidRPr="00E3232D">
        <w:rPr>
          <w:rFonts w:ascii="Book Antiqua" w:hAnsi="Book Antiqua"/>
        </w:rPr>
        <w:t>Misko, J. (2005).</w:t>
      </w:r>
      <w:r w:rsidRPr="00E3232D">
        <w:rPr>
          <w:rFonts w:ascii="Book Antiqua" w:hAnsi="Book Antiqua"/>
          <w:i/>
        </w:rPr>
        <w:t>Linking vocational education and training with industry in Australia and China</w:t>
      </w:r>
      <w:r w:rsidRPr="00E3232D">
        <w:rPr>
          <w:rFonts w:ascii="Book Antiqua" w:hAnsi="Book Antiqua"/>
        </w:rPr>
        <w:t xml:space="preserve">. </w:t>
      </w:r>
      <w:r w:rsidRPr="00E3232D">
        <w:rPr>
          <w:rFonts w:ascii="Book Antiqua" w:hAnsi="Book Antiqua"/>
        </w:rPr>
        <w:tab/>
        <w:t>NCVER, Adelaide, Australia.</w:t>
      </w:r>
    </w:p>
    <w:p w14:paraId="3900D705" w14:textId="77777777" w:rsidR="00BD4B93" w:rsidRPr="00E3232D" w:rsidRDefault="00BD4B93" w:rsidP="000312BA">
      <w:pPr>
        <w:spacing w:after="120"/>
        <w:jc w:val="both"/>
        <w:rPr>
          <w:rFonts w:ascii="Book Antiqua" w:hAnsi="Book Antiqua"/>
        </w:rPr>
      </w:pPr>
      <w:r w:rsidRPr="00E3232D">
        <w:rPr>
          <w:rFonts w:ascii="Book Antiqua" w:hAnsi="Book Antiqua"/>
        </w:rPr>
        <w:t xml:space="preserve">Mitchell, J., Henry, J., Young, S. (2006). </w:t>
      </w:r>
      <w:r w:rsidRPr="00E3232D">
        <w:rPr>
          <w:rFonts w:ascii="Book Antiqua" w:hAnsi="Book Antiqua"/>
          <w:i/>
        </w:rPr>
        <w:t xml:space="preserve">A new model of work-based learning forthe VET </w:t>
      </w:r>
      <w:r w:rsidRPr="00E3232D">
        <w:rPr>
          <w:rFonts w:ascii="Book Antiqua" w:hAnsi="Book Antiqua"/>
          <w:i/>
        </w:rPr>
        <w:tab/>
        <w:t>sector.</w:t>
      </w:r>
      <w:r w:rsidRPr="00E3232D">
        <w:rPr>
          <w:rFonts w:ascii="Book Antiqua" w:hAnsi="Book Antiqua"/>
        </w:rPr>
        <w:t>Melbourne,ANTA.</w:t>
      </w:r>
    </w:p>
    <w:p w14:paraId="7045AD29" w14:textId="77777777" w:rsidR="00BD4B93" w:rsidRPr="00E3232D" w:rsidRDefault="00BD4B93" w:rsidP="000312BA">
      <w:pPr>
        <w:autoSpaceDE w:val="0"/>
        <w:autoSpaceDN w:val="0"/>
        <w:adjustRightInd w:val="0"/>
        <w:ind w:left="720" w:hanging="720"/>
        <w:jc w:val="both"/>
        <w:rPr>
          <w:rFonts w:ascii="Book Antiqua" w:hAnsi="Book Antiqua"/>
          <w:iCs/>
        </w:rPr>
      </w:pPr>
      <w:r w:rsidRPr="00E3232D">
        <w:rPr>
          <w:rFonts w:ascii="Book Antiqua" w:hAnsi="Book Antiqua"/>
          <w:iCs/>
        </w:rPr>
        <w:t>NCTVET, (2006).</w:t>
      </w:r>
      <w:r w:rsidRPr="00E3232D">
        <w:rPr>
          <w:rFonts w:ascii="Book Antiqua" w:hAnsi="Book Antiqua"/>
          <w:i/>
          <w:iCs/>
        </w:rPr>
        <w:t>A coordinator’s guide to implementing competency-based education in schools</w:t>
      </w:r>
      <w:r w:rsidRPr="00E3232D">
        <w:rPr>
          <w:rFonts w:ascii="Book Antiqua" w:hAnsi="Book Antiqua"/>
          <w:iCs/>
        </w:rPr>
        <w:t xml:space="preserve">. Jamaica, </w:t>
      </w:r>
    </w:p>
    <w:p w14:paraId="3C10EFA3" w14:textId="77777777" w:rsidR="00BD4B93" w:rsidRPr="00E3232D" w:rsidRDefault="00BD4B93" w:rsidP="000312BA">
      <w:pPr>
        <w:ind w:left="720" w:hanging="720"/>
        <w:jc w:val="both"/>
        <w:rPr>
          <w:rFonts w:ascii="Book Antiqua" w:hAnsi="Book Antiqua"/>
          <w:iCs/>
        </w:rPr>
      </w:pPr>
      <w:r w:rsidRPr="00E3232D">
        <w:rPr>
          <w:rFonts w:ascii="Book Antiqua" w:hAnsi="Book Antiqua"/>
          <w:iCs/>
        </w:rPr>
        <w:t>Smith, E., and Comyn, P.(2004).The role of employers in the development of employability skills in novice workers.</w:t>
      </w:r>
      <w:r w:rsidR="008B069F" w:rsidRPr="00E3232D">
        <w:rPr>
          <w:rFonts w:ascii="Book Antiqua" w:hAnsi="Book Antiqua"/>
          <w:iCs/>
        </w:rPr>
        <w:t xml:space="preserve"> </w:t>
      </w:r>
      <w:r w:rsidRPr="00E3232D">
        <w:rPr>
          <w:rFonts w:ascii="Book Antiqua" w:hAnsi="Book Antiqua"/>
          <w:i/>
          <w:iCs/>
        </w:rPr>
        <w:t>Research in Post-compulsory Education</w:t>
      </w:r>
      <w:r w:rsidRPr="00E3232D">
        <w:rPr>
          <w:rFonts w:ascii="Book Antiqua" w:hAnsi="Book Antiqua"/>
          <w:iCs/>
        </w:rPr>
        <w:t xml:space="preserve"> 9, (3), pp 319-335.</w:t>
      </w:r>
    </w:p>
    <w:p w14:paraId="70C60FDC" w14:textId="77777777" w:rsidR="00BD4B93" w:rsidRPr="00E3232D" w:rsidRDefault="00BD4B93" w:rsidP="000312BA">
      <w:pPr>
        <w:ind w:left="720" w:hanging="720"/>
        <w:jc w:val="both"/>
        <w:rPr>
          <w:rFonts w:ascii="Book Antiqua" w:hAnsi="Book Antiqua"/>
          <w:iCs/>
        </w:rPr>
      </w:pPr>
      <w:r w:rsidRPr="00E3232D">
        <w:rPr>
          <w:rFonts w:ascii="Book Antiqua" w:hAnsi="Book Antiqua"/>
          <w:iCs/>
        </w:rPr>
        <w:t>Stiwne, E., and Jungert, T.(2010).Engineering students’ experiences of transition from study to work.</w:t>
      </w:r>
      <w:r w:rsidR="008B069F" w:rsidRPr="00E3232D">
        <w:rPr>
          <w:rFonts w:ascii="Book Antiqua" w:hAnsi="Book Antiqua"/>
          <w:iCs/>
        </w:rPr>
        <w:t xml:space="preserve"> </w:t>
      </w:r>
      <w:r w:rsidRPr="00E3232D">
        <w:rPr>
          <w:rFonts w:ascii="Book Antiqua" w:hAnsi="Book Antiqua"/>
          <w:i/>
          <w:iCs/>
        </w:rPr>
        <w:t>Journal of Education and Work</w:t>
      </w:r>
      <w:r w:rsidRPr="00E3232D">
        <w:rPr>
          <w:rFonts w:ascii="Book Antiqua" w:hAnsi="Book Antiqua"/>
          <w:iCs/>
        </w:rPr>
        <w:t xml:space="preserve"> 23, (5), pp 417- 437.</w:t>
      </w:r>
    </w:p>
    <w:p w14:paraId="795B6E58" w14:textId="77777777" w:rsidR="00BD4B93" w:rsidRPr="00E3232D" w:rsidRDefault="00BD4B93" w:rsidP="000312BA">
      <w:pPr>
        <w:pStyle w:val="BodyText"/>
        <w:spacing w:line="276" w:lineRule="auto"/>
        <w:ind w:left="720" w:hanging="720"/>
        <w:jc w:val="both"/>
        <w:rPr>
          <w:rFonts w:ascii="Book Antiqua" w:hAnsi="Book Antiqua"/>
          <w:sz w:val="22"/>
          <w:szCs w:val="22"/>
          <w:lang w:val="en-GB"/>
        </w:rPr>
      </w:pPr>
      <w:r w:rsidRPr="00E3232D">
        <w:rPr>
          <w:rFonts w:ascii="Book Antiqua" w:hAnsi="Book Antiqua"/>
          <w:sz w:val="22"/>
          <w:szCs w:val="22"/>
          <w:lang w:val="en-GB"/>
        </w:rPr>
        <w:t>Trigwell, K. (2002). Approaches to teaching design subjects: a quantitative analysis.</w:t>
      </w:r>
      <w:r w:rsidR="008B069F" w:rsidRPr="00E3232D">
        <w:rPr>
          <w:rFonts w:ascii="Book Antiqua" w:hAnsi="Book Antiqua"/>
          <w:sz w:val="22"/>
          <w:szCs w:val="22"/>
          <w:lang w:val="en-GB"/>
        </w:rPr>
        <w:t xml:space="preserve"> </w:t>
      </w:r>
      <w:r w:rsidRPr="00E3232D">
        <w:rPr>
          <w:rFonts w:ascii="Book Antiqua" w:hAnsi="Book Antiqua"/>
          <w:i/>
          <w:sz w:val="22"/>
          <w:szCs w:val="22"/>
          <w:lang w:val="en-GB"/>
        </w:rPr>
        <w:t xml:space="preserve">Art, Design </w:t>
      </w:r>
      <w:r w:rsidRPr="00E3232D">
        <w:rPr>
          <w:rFonts w:ascii="Book Antiqua" w:hAnsi="Book Antiqua"/>
          <w:i/>
          <w:sz w:val="22"/>
          <w:szCs w:val="22"/>
          <w:lang w:val="en-GB"/>
        </w:rPr>
        <w:t>and Communication in Higher Education</w:t>
      </w:r>
      <w:r w:rsidRPr="00E3232D">
        <w:rPr>
          <w:rFonts w:ascii="Book Antiqua" w:hAnsi="Book Antiqua"/>
          <w:sz w:val="22"/>
          <w:szCs w:val="22"/>
          <w:lang w:val="en-GB"/>
        </w:rPr>
        <w:t xml:space="preserve"> 1, pp69 – 80.</w:t>
      </w:r>
    </w:p>
    <w:p w14:paraId="43A516E3" w14:textId="77777777" w:rsidR="00BD4B93" w:rsidRPr="00E3232D" w:rsidRDefault="00BD4B93" w:rsidP="000312BA">
      <w:pPr>
        <w:ind w:left="720" w:hanging="720"/>
        <w:jc w:val="both"/>
        <w:rPr>
          <w:rFonts w:ascii="Book Antiqua" w:hAnsi="Book Antiqua"/>
        </w:rPr>
      </w:pPr>
      <w:r w:rsidRPr="00E3232D">
        <w:rPr>
          <w:rFonts w:ascii="Book Antiqua" w:hAnsi="Book Antiqua"/>
        </w:rPr>
        <w:t xml:space="preserve">Waterhouse, P. andVirgona, C. (2004). </w:t>
      </w:r>
      <w:r w:rsidRPr="00E3232D">
        <w:rPr>
          <w:rFonts w:ascii="Book Antiqua" w:hAnsi="Book Antiqua"/>
          <w:i/>
        </w:rPr>
        <w:t>Two-dimensional work: Workplace literacy in the aged care and call centre industries</w:t>
      </w:r>
      <w:r w:rsidRPr="00E3232D">
        <w:rPr>
          <w:rFonts w:ascii="Book Antiqua" w:hAnsi="Book Antiqua"/>
        </w:rPr>
        <w:t>. NCVER, Adelaide.</w:t>
      </w:r>
    </w:p>
    <w:p w14:paraId="2F6BD21D" w14:textId="77777777" w:rsidR="00BD4B93" w:rsidRPr="00E3232D" w:rsidRDefault="00BD4B93" w:rsidP="000312BA">
      <w:pPr>
        <w:ind w:left="720" w:hanging="720"/>
        <w:jc w:val="both"/>
        <w:rPr>
          <w:rFonts w:ascii="Book Antiqua" w:hAnsi="Book Antiqua"/>
        </w:rPr>
      </w:pPr>
      <w:r w:rsidRPr="00E3232D">
        <w:rPr>
          <w:rFonts w:ascii="Book Antiqua" w:hAnsi="Book Antiqua"/>
        </w:rPr>
        <w:t>Wesselink, R., Dekker-Greon, M.A.,Biemans, J.A. and Mulder, M. (2010).Using an instrument to analyse competence-based study programmes: experiences of teachers in Dutch vocational educationandtraining.</w:t>
      </w:r>
      <w:r w:rsidRPr="00E3232D">
        <w:rPr>
          <w:rFonts w:ascii="Book Antiqua" w:hAnsi="Book Antiqua"/>
          <w:i/>
        </w:rPr>
        <w:t xml:space="preserve">Journal of Curriculum Studies </w:t>
      </w:r>
      <w:r w:rsidRPr="00E3232D">
        <w:rPr>
          <w:rFonts w:ascii="Book Antiqua" w:hAnsi="Book Antiqua"/>
        </w:rPr>
        <w:t>42, (6), pp813-829.</w:t>
      </w:r>
    </w:p>
    <w:p w14:paraId="56687F98" w14:textId="77777777" w:rsidR="00BD4B93" w:rsidRPr="00E3232D" w:rsidRDefault="00BD4B93" w:rsidP="000312BA">
      <w:pPr>
        <w:adjustRightInd w:val="0"/>
        <w:ind w:right="-144"/>
        <w:jc w:val="both"/>
        <w:rPr>
          <w:rFonts w:ascii="Book Antiqua" w:hAnsi="Book Antiqua"/>
        </w:rPr>
      </w:pPr>
      <w:r w:rsidRPr="00E3232D">
        <w:rPr>
          <w:rFonts w:ascii="Book Antiqua" w:hAnsi="Book Antiqua"/>
        </w:rPr>
        <w:t xml:space="preserve">Westra, W. (2001). Competences in education: a confusion of tongues. </w:t>
      </w:r>
      <w:r w:rsidRPr="00E3232D">
        <w:rPr>
          <w:rFonts w:ascii="Book Antiqua" w:hAnsi="Book Antiqua"/>
          <w:i/>
        </w:rPr>
        <w:t xml:space="preserve">Journal of </w:t>
      </w:r>
      <w:r w:rsidRPr="00E3232D">
        <w:rPr>
          <w:rFonts w:ascii="Book Antiqua" w:hAnsi="Book Antiqua"/>
          <w:i/>
        </w:rPr>
        <w:tab/>
        <w:t xml:space="preserve">Curriculum </w:t>
      </w:r>
      <w:r w:rsidRPr="00E3232D">
        <w:rPr>
          <w:rFonts w:ascii="Book Antiqua" w:hAnsi="Book Antiqua"/>
          <w:i/>
        </w:rPr>
        <w:tab/>
        <w:t>Studies</w:t>
      </w:r>
      <w:r w:rsidRPr="00E3232D">
        <w:rPr>
          <w:rFonts w:ascii="Book Antiqua" w:hAnsi="Book Antiqua"/>
        </w:rPr>
        <w:t>, 33, (1), pp75-88</w:t>
      </w:r>
    </w:p>
    <w:p w14:paraId="01F3DAFD" w14:textId="77777777" w:rsidR="00BD4B93" w:rsidRPr="00E3232D" w:rsidRDefault="00BD4B93" w:rsidP="000312BA">
      <w:pPr>
        <w:pStyle w:val="BodyText"/>
        <w:spacing w:line="276" w:lineRule="auto"/>
        <w:ind w:left="720" w:hanging="720"/>
        <w:jc w:val="both"/>
        <w:rPr>
          <w:rFonts w:ascii="Book Antiqua" w:hAnsi="Book Antiqua"/>
          <w:sz w:val="22"/>
          <w:szCs w:val="22"/>
          <w:lang w:val="en-GB"/>
        </w:rPr>
      </w:pPr>
      <w:r w:rsidRPr="00E3232D">
        <w:rPr>
          <w:rFonts w:ascii="Book Antiqua" w:hAnsi="Book Antiqua"/>
          <w:sz w:val="22"/>
          <w:szCs w:val="22"/>
          <w:lang w:val="en-GB"/>
        </w:rPr>
        <w:t xml:space="preserve">World Bank.(2009). </w:t>
      </w:r>
      <w:r w:rsidRPr="00E3232D">
        <w:rPr>
          <w:rFonts w:ascii="Book Antiqua" w:hAnsi="Book Antiqua"/>
          <w:i/>
          <w:sz w:val="22"/>
          <w:szCs w:val="22"/>
          <w:lang w:val="en-GB"/>
        </w:rPr>
        <w:t>Acceleratingcatch-up: Tertiary education for growth in sub-Saharan Africa</w:t>
      </w:r>
      <w:r w:rsidRPr="00E3232D">
        <w:rPr>
          <w:rFonts w:ascii="Book Antiqua" w:hAnsi="Book Antiqua"/>
          <w:sz w:val="22"/>
          <w:szCs w:val="22"/>
          <w:lang w:val="en-GB"/>
        </w:rPr>
        <w:t>. AFTHD (World Bank).</w:t>
      </w:r>
    </w:p>
    <w:p w14:paraId="0324DD8D" w14:textId="77777777" w:rsidR="00BD4B93" w:rsidRPr="00E3232D" w:rsidRDefault="00BD4B93" w:rsidP="000312BA">
      <w:pPr>
        <w:jc w:val="both"/>
        <w:rPr>
          <w:rFonts w:ascii="Book Antiqua" w:hAnsi="Book Antiqua"/>
          <w:b/>
        </w:rPr>
      </w:pPr>
    </w:p>
    <w:p w14:paraId="38542232" w14:textId="77777777" w:rsidR="00BD4B93" w:rsidRPr="00E3232D" w:rsidRDefault="00BD4B93" w:rsidP="000312BA">
      <w:pPr>
        <w:jc w:val="both"/>
        <w:rPr>
          <w:rFonts w:ascii="Book Antiqua" w:hAnsi="Book Antiqua"/>
        </w:rPr>
      </w:pPr>
    </w:p>
    <w:p w14:paraId="0EB0BCF1" w14:textId="77777777" w:rsidR="00BD4B93" w:rsidRPr="00E3232D" w:rsidRDefault="00BD4B93" w:rsidP="000312BA">
      <w:pPr>
        <w:jc w:val="both"/>
        <w:rPr>
          <w:rFonts w:ascii="Book Antiqua" w:hAnsi="Book Antiqua"/>
        </w:rPr>
      </w:pPr>
    </w:p>
    <w:p w14:paraId="2D4D2126" w14:textId="77777777" w:rsidR="00BF580D" w:rsidRDefault="00BF580D" w:rsidP="00104771">
      <w:pPr>
        <w:rPr>
          <w:rFonts w:ascii="Book Antiqua" w:hAnsi="Book Antiqua"/>
        </w:rPr>
      </w:pPr>
    </w:p>
    <w:p w14:paraId="02FD801B" w14:textId="77777777" w:rsidR="00BF580D" w:rsidRPr="00E3232D" w:rsidRDefault="00BF580D" w:rsidP="00104771">
      <w:pPr>
        <w:rPr>
          <w:rFonts w:ascii="Book Antiqua" w:hAnsi="Book Antiqua"/>
          <w:b/>
        </w:rPr>
        <w:sectPr w:rsidR="00BF580D" w:rsidRPr="00E3232D" w:rsidSect="008F6BC9">
          <w:type w:val="continuous"/>
          <w:pgSz w:w="11907" w:h="16839" w:code="9"/>
          <w:pgMar w:top="1350" w:right="1440" w:bottom="1440" w:left="1440" w:header="720" w:footer="720" w:gutter="0"/>
          <w:cols w:num="2" w:space="720"/>
          <w:docGrid w:linePitch="360"/>
        </w:sectPr>
      </w:pPr>
    </w:p>
    <w:p w14:paraId="5228425B" w14:textId="77777777" w:rsidR="00751699" w:rsidRDefault="00751699" w:rsidP="000312BA">
      <w:pPr>
        <w:spacing w:after="0"/>
        <w:jc w:val="center"/>
        <w:rPr>
          <w:rFonts w:ascii="Book Antiqua" w:hAnsi="Book Antiqua"/>
          <w:b/>
          <w:sz w:val="26"/>
          <w:szCs w:val="26"/>
        </w:rPr>
      </w:pPr>
    </w:p>
    <w:p w14:paraId="6D867FE4" w14:textId="77777777" w:rsidR="00751699" w:rsidRDefault="00751699" w:rsidP="000312BA">
      <w:pPr>
        <w:spacing w:after="0"/>
        <w:jc w:val="center"/>
        <w:rPr>
          <w:rFonts w:ascii="Book Antiqua" w:hAnsi="Book Antiqua"/>
          <w:b/>
          <w:sz w:val="26"/>
          <w:szCs w:val="26"/>
        </w:rPr>
      </w:pPr>
    </w:p>
    <w:p w14:paraId="5BE52EB6" w14:textId="77777777" w:rsidR="00751699" w:rsidRDefault="00751699" w:rsidP="000312BA">
      <w:pPr>
        <w:spacing w:after="0"/>
        <w:jc w:val="center"/>
        <w:rPr>
          <w:rFonts w:ascii="Book Antiqua" w:hAnsi="Book Antiqua"/>
          <w:b/>
          <w:sz w:val="26"/>
          <w:szCs w:val="26"/>
        </w:rPr>
      </w:pPr>
    </w:p>
    <w:p w14:paraId="023DD0B7" w14:textId="77777777" w:rsidR="00751699" w:rsidRDefault="00751699" w:rsidP="000312BA">
      <w:pPr>
        <w:spacing w:after="0"/>
        <w:jc w:val="center"/>
        <w:rPr>
          <w:rFonts w:ascii="Book Antiqua" w:hAnsi="Book Antiqua"/>
          <w:b/>
          <w:sz w:val="26"/>
          <w:szCs w:val="26"/>
        </w:rPr>
      </w:pPr>
    </w:p>
    <w:p w14:paraId="187CB2BB" w14:textId="77777777" w:rsidR="002E0F7C" w:rsidRPr="007C2580" w:rsidRDefault="007C2580" w:rsidP="000312BA">
      <w:pPr>
        <w:spacing w:after="0"/>
        <w:jc w:val="center"/>
        <w:rPr>
          <w:rFonts w:ascii="Book Antiqua" w:hAnsi="Book Antiqua"/>
          <w:b/>
          <w:sz w:val="26"/>
          <w:szCs w:val="26"/>
        </w:rPr>
      </w:pPr>
      <w:r w:rsidRPr="007C2580">
        <w:rPr>
          <w:rFonts w:ascii="Book Antiqua" w:hAnsi="Book Antiqua"/>
          <w:b/>
          <w:sz w:val="26"/>
          <w:szCs w:val="26"/>
        </w:rPr>
        <w:lastRenderedPageBreak/>
        <w:t>An Assessment of</w:t>
      </w:r>
      <w:r>
        <w:rPr>
          <w:rFonts w:ascii="Book Antiqua" w:hAnsi="Book Antiqua"/>
          <w:b/>
          <w:sz w:val="26"/>
          <w:szCs w:val="26"/>
        </w:rPr>
        <w:t xml:space="preserve"> Internal Control Practices i</w:t>
      </w:r>
      <w:r w:rsidRPr="007C2580">
        <w:rPr>
          <w:rFonts w:ascii="Book Antiqua" w:hAnsi="Book Antiqua"/>
          <w:b/>
          <w:sz w:val="26"/>
          <w:szCs w:val="26"/>
        </w:rPr>
        <w:t>n Procurement at the Akuapem North District Assembly</w:t>
      </w:r>
    </w:p>
    <w:p w14:paraId="02E176E6" w14:textId="77777777" w:rsidR="002E0F7C" w:rsidRPr="00E3232D" w:rsidRDefault="002E0F7C" w:rsidP="00C54C81">
      <w:pPr>
        <w:spacing w:after="0"/>
        <w:jc w:val="center"/>
        <w:rPr>
          <w:rFonts w:ascii="Book Antiqua" w:hAnsi="Book Antiqua"/>
          <w:b/>
        </w:rPr>
      </w:pPr>
    </w:p>
    <w:p w14:paraId="1E9AFA32" w14:textId="77777777" w:rsidR="002E0F7C" w:rsidRPr="00751699" w:rsidRDefault="002E0F7C" w:rsidP="00C54C81">
      <w:pPr>
        <w:spacing w:after="0"/>
        <w:jc w:val="center"/>
        <w:rPr>
          <w:rFonts w:ascii="Book Antiqua" w:hAnsi="Book Antiqua"/>
          <w:b/>
          <w:sz w:val="26"/>
        </w:rPr>
      </w:pPr>
      <w:r w:rsidRPr="00751699">
        <w:rPr>
          <w:rFonts w:ascii="Book Antiqua" w:hAnsi="Book Antiqua"/>
          <w:b/>
          <w:sz w:val="26"/>
        </w:rPr>
        <w:t>Ernest Fianko Quartey</w:t>
      </w:r>
    </w:p>
    <w:p w14:paraId="3A7D2330" w14:textId="77777777" w:rsidR="002E0F7C" w:rsidRPr="00E3232D" w:rsidRDefault="002E0F7C" w:rsidP="00C54C81">
      <w:pPr>
        <w:spacing w:after="0"/>
        <w:jc w:val="center"/>
        <w:rPr>
          <w:rFonts w:ascii="Book Antiqua" w:hAnsi="Book Antiqua"/>
        </w:rPr>
      </w:pPr>
      <w:r w:rsidRPr="00E3232D">
        <w:rPr>
          <w:rFonts w:ascii="Book Antiqua" w:hAnsi="Book Antiqua"/>
        </w:rPr>
        <w:t>Professional Studies Department</w:t>
      </w:r>
    </w:p>
    <w:p w14:paraId="6DBBBCCE" w14:textId="77777777" w:rsidR="002E0F7C" w:rsidRPr="00E3232D" w:rsidRDefault="002E0F7C" w:rsidP="003A5C09">
      <w:pPr>
        <w:spacing w:after="0"/>
        <w:jc w:val="center"/>
        <w:rPr>
          <w:rFonts w:ascii="Book Antiqua" w:hAnsi="Book Antiqua"/>
        </w:rPr>
      </w:pPr>
      <w:r w:rsidRPr="00E3232D">
        <w:rPr>
          <w:rFonts w:ascii="Book Antiqua" w:hAnsi="Book Antiqua"/>
        </w:rPr>
        <w:t>Koforidua Polytechnic</w:t>
      </w:r>
    </w:p>
    <w:p w14:paraId="564718E8" w14:textId="77777777" w:rsidR="002E0F7C" w:rsidRPr="00316C71" w:rsidRDefault="00316C71" w:rsidP="003A5C09">
      <w:pPr>
        <w:spacing w:after="0"/>
        <w:jc w:val="center"/>
        <w:rPr>
          <w:rFonts w:ascii="Book Antiqua" w:hAnsi="Book Antiqua"/>
        </w:rPr>
      </w:pPr>
      <w:r>
        <w:rPr>
          <w:rFonts w:ascii="Book Antiqua" w:hAnsi="Book Antiqua"/>
          <w:b/>
        </w:rPr>
        <w:t>E –</w:t>
      </w:r>
      <w:r w:rsidR="002E0F7C" w:rsidRPr="00316C71">
        <w:rPr>
          <w:rFonts w:ascii="Book Antiqua" w:hAnsi="Book Antiqua"/>
          <w:b/>
        </w:rPr>
        <w:t>mail</w:t>
      </w:r>
      <w:r w:rsidR="002E0F7C" w:rsidRPr="00316C71">
        <w:rPr>
          <w:rFonts w:ascii="Book Antiqua" w:hAnsi="Book Antiqua"/>
        </w:rPr>
        <w:t xml:space="preserve">: </w:t>
      </w:r>
      <w:hyperlink r:id="rId26" w:history="1">
        <w:r w:rsidR="002E0F7C" w:rsidRPr="00316C71">
          <w:rPr>
            <w:rStyle w:val="Hyperlink"/>
            <w:rFonts w:ascii="Book Antiqua" w:hAnsi="Book Antiqua"/>
          </w:rPr>
          <w:t>ernestquartey77@yahoo.com</w:t>
        </w:r>
      </w:hyperlink>
      <w:r w:rsidR="002E0F7C" w:rsidRPr="00316C71">
        <w:rPr>
          <w:rFonts w:ascii="Book Antiqua" w:hAnsi="Book Antiqua"/>
        </w:rPr>
        <w:t xml:space="preserve"> </w:t>
      </w:r>
    </w:p>
    <w:p w14:paraId="00934FAE" w14:textId="77777777" w:rsidR="00481B23" w:rsidRDefault="00481B23" w:rsidP="008275E1">
      <w:pPr>
        <w:rPr>
          <w:rFonts w:ascii="Book Antiqua" w:hAnsi="Book Antiqua"/>
          <w:b/>
        </w:rPr>
      </w:pPr>
    </w:p>
    <w:p w14:paraId="2E64800F" w14:textId="77777777" w:rsidR="002E0F7C" w:rsidRPr="00E3232D" w:rsidRDefault="00481B23" w:rsidP="005F7968">
      <w:pPr>
        <w:jc w:val="both"/>
        <w:rPr>
          <w:rFonts w:ascii="Book Antiqua" w:hAnsi="Book Antiqua"/>
          <w:b/>
        </w:rPr>
      </w:pPr>
      <w:r w:rsidRPr="00787EFD">
        <w:rPr>
          <w:rFonts w:ascii="Book Antiqua" w:hAnsi="Book Antiqua"/>
          <w:b/>
          <w:sz w:val="26"/>
        </w:rPr>
        <w:t>Abstract</w:t>
      </w:r>
      <w:r w:rsidRPr="00E3232D">
        <w:rPr>
          <w:rFonts w:ascii="Book Antiqua" w:hAnsi="Book Antiqua"/>
          <w:b/>
        </w:rPr>
        <w:t xml:space="preserve"> </w:t>
      </w:r>
      <w:r w:rsidR="002E0F7C" w:rsidRPr="00E3232D">
        <w:rPr>
          <w:rFonts w:ascii="Book Antiqua" w:hAnsi="Book Antiqua"/>
          <w:b/>
        </w:rPr>
        <w:t xml:space="preserve"> </w:t>
      </w:r>
    </w:p>
    <w:p w14:paraId="60917B9E" w14:textId="77777777" w:rsidR="002E0F7C" w:rsidRPr="00E3232D" w:rsidRDefault="002E0F7C" w:rsidP="005F7968">
      <w:pPr>
        <w:jc w:val="both"/>
        <w:rPr>
          <w:rFonts w:ascii="Book Antiqua" w:hAnsi="Book Antiqua"/>
        </w:rPr>
      </w:pPr>
      <w:r w:rsidRPr="00E3232D">
        <w:rPr>
          <w:rFonts w:ascii="Book Antiqua" w:hAnsi="Book Antiqua"/>
        </w:rPr>
        <w:t xml:space="preserve">The Central Government transfers money to Akuapem North District Assembly through the District Assemblies Common Fund (DACF) The District Assembly also receives money from donors such as the World Bank, DANIDA and JICA. Moreover, the Assembly is empowered to levy Non-Tax Revenue within the District to supplement what it receives from the Central Government and donors for development purposes. The District Assembly utilizes the funds received in the procurement of goods, works and services which should be in conformity with the tenets of the Public Procurement Act and the Financial Administration Act. However, a seemingly lack of internal control practices in the procurement procedures and in the operations of the Assembly has meant that the Assembly does not comply with the tenets of the Public Procurement Act. The purposive sampling procedure was adopted to select the sample size of 45 from the population of 101 for the study. The research was carried out using questionnaires to obtain information from the finance, Internal Audit, Works, Stores, Administration and Planning departments after which the data from the study was analyzed.  The study brought to the fore the fact that the Assembly does not have a procurement department that takes full responsibility for procurement in the District. A procurement department to be in charge of procurement in the Assembly is recommended.  </w:t>
      </w:r>
    </w:p>
    <w:p w14:paraId="48403C45" w14:textId="77777777" w:rsidR="00B4125D" w:rsidRDefault="002E0F7C" w:rsidP="005F7968">
      <w:pPr>
        <w:jc w:val="both"/>
        <w:rPr>
          <w:rFonts w:ascii="Book Antiqua" w:hAnsi="Book Antiqua"/>
        </w:rPr>
      </w:pPr>
      <w:r w:rsidRPr="00E3232D">
        <w:rPr>
          <w:rFonts w:ascii="Book Antiqua" w:hAnsi="Book Antiqua"/>
          <w:b/>
        </w:rPr>
        <w:t>Keywords</w:t>
      </w:r>
      <w:r w:rsidRPr="00E3232D">
        <w:rPr>
          <w:rFonts w:ascii="Book Antiqua" w:hAnsi="Book Antiqua"/>
        </w:rPr>
        <w:t>: Monitoring; Public Sector; Performance Review; Public Procurement Act; Internal Control</w:t>
      </w:r>
    </w:p>
    <w:p w14:paraId="6354F962" w14:textId="77777777" w:rsidR="00E10ABB" w:rsidRPr="00E3232D" w:rsidRDefault="00E10ABB" w:rsidP="005F7968">
      <w:pPr>
        <w:jc w:val="both"/>
        <w:rPr>
          <w:rFonts w:ascii="Book Antiqua" w:hAnsi="Book Antiqua"/>
        </w:rPr>
        <w:sectPr w:rsidR="00E10ABB" w:rsidRPr="00E3232D" w:rsidSect="00251D0D">
          <w:type w:val="continuous"/>
          <w:pgSz w:w="11907" w:h="16839" w:code="9"/>
          <w:pgMar w:top="1440" w:right="1440" w:bottom="1440" w:left="1440" w:header="720" w:footer="720" w:gutter="0"/>
          <w:cols w:space="360"/>
          <w:docGrid w:linePitch="360"/>
        </w:sectPr>
      </w:pPr>
    </w:p>
    <w:p w14:paraId="4DF00808" w14:textId="77777777" w:rsidR="005F7968" w:rsidRDefault="005F7968" w:rsidP="00245B5E">
      <w:pPr>
        <w:jc w:val="both"/>
        <w:rPr>
          <w:rFonts w:ascii="Book Antiqua" w:hAnsi="Book Antiqua"/>
        </w:rPr>
      </w:pPr>
    </w:p>
    <w:p w14:paraId="0C70F62C" w14:textId="77777777" w:rsidR="001B6607" w:rsidRPr="00E3232D" w:rsidRDefault="00787EFD" w:rsidP="00245B5E">
      <w:pPr>
        <w:jc w:val="both"/>
        <w:rPr>
          <w:rFonts w:ascii="Book Antiqua" w:hAnsi="Book Antiqua"/>
          <w:b/>
        </w:rPr>
      </w:pPr>
      <w:r>
        <w:rPr>
          <w:rFonts w:ascii="Book Antiqua" w:hAnsi="Book Antiqua"/>
          <w:b/>
          <w:sz w:val="26"/>
        </w:rPr>
        <w:t xml:space="preserve">1.0 </w:t>
      </w:r>
      <w:r w:rsidR="00481B23" w:rsidRPr="00751699">
        <w:rPr>
          <w:rFonts w:ascii="Book Antiqua" w:hAnsi="Book Antiqua"/>
          <w:b/>
          <w:sz w:val="26"/>
        </w:rPr>
        <w:t>Introduction</w:t>
      </w:r>
      <w:r w:rsidR="001B6607" w:rsidRPr="00E3232D">
        <w:rPr>
          <w:rFonts w:ascii="Book Antiqua" w:hAnsi="Book Antiqua"/>
          <w:b/>
        </w:rPr>
        <w:t xml:space="preserve"> </w:t>
      </w:r>
    </w:p>
    <w:p w14:paraId="64A0B299" w14:textId="77777777" w:rsidR="005F7968" w:rsidRDefault="001B6607" w:rsidP="00245B5E">
      <w:pPr>
        <w:jc w:val="both"/>
        <w:rPr>
          <w:rFonts w:ascii="Book Antiqua" w:hAnsi="Book Antiqua"/>
        </w:rPr>
      </w:pPr>
      <w:r w:rsidRPr="00E3232D">
        <w:rPr>
          <w:rFonts w:ascii="Book Antiqua" w:hAnsi="Book Antiqua"/>
        </w:rPr>
        <w:t xml:space="preserve">District Assemblies are assigned with deliberative, legislative as well as executive functions by the Local Government Act, Act 462 of 1993. Metropolitan, Municipal and District Assemblies (MMDAs) have also been empowered by the Local Government Act, Act 462 to levy taxes at the local level to supplement what the Central Government </w:t>
      </w:r>
    </w:p>
    <w:p w14:paraId="03F095C4" w14:textId="77777777" w:rsidR="005F7968" w:rsidRDefault="005F7968" w:rsidP="00245B5E">
      <w:pPr>
        <w:jc w:val="both"/>
        <w:rPr>
          <w:rFonts w:ascii="Book Antiqua" w:hAnsi="Book Antiqua"/>
        </w:rPr>
      </w:pPr>
    </w:p>
    <w:p w14:paraId="3FAE2F2F" w14:textId="77777777" w:rsidR="005F7968" w:rsidRDefault="005F7968" w:rsidP="00245B5E">
      <w:pPr>
        <w:jc w:val="both"/>
        <w:rPr>
          <w:rFonts w:ascii="Book Antiqua" w:hAnsi="Book Antiqua"/>
        </w:rPr>
      </w:pPr>
    </w:p>
    <w:p w14:paraId="1854F3A5" w14:textId="77777777" w:rsidR="00316C71" w:rsidRDefault="001B6607" w:rsidP="00245B5E">
      <w:pPr>
        <w:jc w:val="both"/>
        <w:rPr>
          <w:rFonts w:ascii="Book Antiqua" w:hAnsi="Book Antiqua"/>
        </w:rPr>
      </w:pPr>
      <w:r w:rsidRPr="00E3232D">
        <w:rPr>
          <w:rFonts w:ascii="Book Antiqua" w:hAnsi="Book Antiqua"/>
        </w:rPr>
        <w:t xml:space="preserve">brings to the districts, this is what is known as non-tax revenue and commonly called Internally Generated Funds (IGF). </w:t>
      </w:r>
    </w:p>
    <w:p w14:paraId="0E13C50E" w14:textId="77777777" w:rsidR="00316C71" w:rsidRDefault="001B6607" w:rsidP="00245B5E">
      <w:pPr>
        <w:jc w:val="both"/>
        <w:rPr>
          <w:rFonts w:ascii="Book Antiqua" w:hAnsi="Book Antiqua"/>
        </w:rPr>
      </w:pPr>
      <w:r w:rsidRPr="00E3232D">
        <w:rPr>
          <w:rFonts w:ascii="Book Antiqua" w:hAnsi="Book Antiqua"/>
        </w:rPr>
        <w:t xml:space="preserve">This Non-Tax Revenue (NTR) is gotten from fees and fines, business operating fees and fines, fees </w:t>
      </w:r>
    </w:p>
    <w:p w14:paraId="277B61D6" w14:textId="77777777" w:rsidR="002742FF" w:rsidRDefault="001B6607" w:rsidP="00245B5E">
      <w:pPr>
        <w:jc w:val="both"/>
        <w:rPr>
          <w:rFonts w:ascii="Book Antiqua" w:hAnsi="Book Antiqua"/>
        </w:rPr>
      </w:pPr>
      <w:r w:rsidRPr="00E3232D">
        <w:rPr>
          <w:rFonts w:ascii="Book Antiqua" w:hAnsi="Book Antiqua"/>
        </w:rPr>
        <w:lastRenderedPageBreak/>
        <w:t xml:space="preserve">from other business endeavours undertaken within the Districts. Government’s fiscal decentralization policy means that a huge chunk of funds is transferred to the District Assemblies for execution of projects and other developmental agenda at the local level. </w:t>
      </w:r>
    </w:p>
    <w:p w14:paraId="4365079D" w14:textId="77777777" w:rsidR="001B6607" w:rsidRPr="00E3232D" w:rsidRDefault="001B6607" w:rsidP="00245B5E">
      <w:pPr>
        <w:jc w:val="both"/>
        <w:rPr>
          <w:rFonts w:ascii="Book Antiqua" w:hAnsi="Book Antiqua"/>
        </w:rPr>
      </w:pPr>
      <w:r w:rsidRPr="00E3232D">
        <w:rPr>
          <w:rFonts w:ascii="Book Antiqua" w:hAnsi="Book Antiqua"/>
        </w:rPr>
        <w:t xml:space="preserve">Government’s realization that the District Assemblies could best know the needs of its people than the Central Government has compelled the Central Government to develop a policy of transferring funds   through the District Assemblies Common Fund (DACF) to the 174 MMDAs for development. The DACF is 7.5% of the total national revenue generated and is to be shared among the 174 MMDAs based on a formula proposed annually by the Common Fund Administrator and approved by Parliament. </w:t>
      </w:r>
    </w:p>
    <w:p w14:paraId="15E1E6B5" w14:textId="77777777" w:rsidR="001B6607" w:rsidRPr="00E3232D" w:rsidRDefault="001B6607" w:rsidP="00245B5E">
      <w:pPr>
        <w:jc w:val="both"/>
        <w:rPr>
          <w:rFonts w:ascii="Book Antiqua" w:hAnsi="Book Antiqua"/>
        </w:rPr>
      </w:pPr>
      <w:r w:rsidRPr="00E3232D">
        <w:rPr>
          <w:rFonts w:ascii="Book Antiqua" w:hAnsi="Book Antiqua"/>
        </w:rPr>
        <w:t>The Common Fund is backed by Article 252(2) of the 1992 Constitution and the District Assemblies Common Fund Act, 1993, Act 455 for development programmes in the MMDAs.</w:t>
      </w:r>
    </w:p>
    <w:p w14:paraId="165C6AF9" w14:textId="77777777" w:rsidR="001B6607" w:rsidRPr="00E3232D" w:rsidRDefault="001B6607" w:rsidP="00245B5E">
      <w:pPr>
        <w:jc w:val="both"/>
        <w:rPr>
          <w:rFonts w:ascii="Book Antiqua" w:hAnsi="Book Antiqua"/>
        </w:rPr>
      </w:pPr>
      <w:r w:rsidRPr="00E3232D">
        <w:rPr>
          <w:rFonts w:ascii="Book Antiqua" w:hAnsi="Book Antiqua"/>
        </w:rPr>
        <w:t xml:space="preserve">Aside the Common Fund, the MMDAs also receive funds from Donors such as The Japanese International Co-operation Agency (JICA), The Danish Fund for International Development (DfID), European Union (E.U.) and The District Development facility (DDF). The donor funds are meant for construction of classrooms, clinics, boreholes, teachers’ quarters and other projects which are normally specified by the donor. </w:t>
      </w:r>
    </w:p>
    <w:p w14:paraId="7280954A" w14:textId="77777777" w:rsidR="002742FF" w:rsidRDefault="001B6607" w:rsidP="00245B5E">
      <w:pPr>
        <w:jc w:val="both"/>
        <w:rPr>
          <w:rFonts w:ascii="Book Antiqua" w:hAnsi="Book Antiqua"/>
        </w:rPr>
      </w:pPr>
      <w:r w:rsidRPr="00E3232D">
        <w:rPr>
          <w:rFonts w:ascii="Book Antiqua" w:hAnsi="Book Antiqua"/>
        </w:rPr>
        <w:t xml:space="preserve">The Akuapem North District Assembly is one the Assemblies in the Eastern region that receive a lot of funds from donors for </w:t>
      </w:r>
      <w:r w:rsidRPr="00E3232D">
        <w:rPr>
          <w:rFonts w:ascii="Book Antiqua" w:hAnsi="Book Antiqua"/>
        </w:rPr>
        <w:t xml:space="preserve">development projects at the local level. Donors like the World Bank, DANIDA, JICA and GTZ have been supporting the Akuapem North District Assembly with fund for educational, health and water and sanitation projects like boreholes and harvesting faculties. </w:t>
      </w:r>
    </w:p>
    <w:p w14:paraId="49EC38FC" w14:textId="77777777" w:rsidR="001B6607" w:rsidRPr="00E3232D" w:rsidRDefault="001B6607" w:rsidP="00245B5E">
      <w:pPr>
        <w:jc w:val="both"/>
        <w:rPr>
          <w:rFonts w:ascii="Book Antiqua" w:hAnsi="Book Antiqua"/>
        </w:rPr>
      </w:pPr>
      <w:r w:rsidRPr="00E3232D">
        <w:rPr>
          <w:rFonts w:ascii="Book Antiqua" w:hAnsi="Book Antiqua"/>
        </w:rPr>
        <w:t xml:space="preserve">The objectives of procurement in the Akuapem North District Assembly are to: </w:t>
      </w:r>
    </w:p>
    <w:p w14:paraId="0652F431" w14:textId="77777777" w:rsidR="001B6607" w:rsidRPr="00E3232D" w:rsidRDefault="001B6607" w:rsidP="00245B5E">
      <w:pPr>
        <w:pStyle w:val="ListParagraph"/>
        <w:numPr>
          <w:ilvl w:val="0"/>
          <w:numId w:val="15"/>
        </w:numPr>
        <w:jc w:val="both"/>
        <w:rPr>
          <w:rFonts w:ascii="Book Antiqua" w:hAnsi="Book Antiqua"/>
        </w:rPr>
      </w:pPr>
      <w:r w:rsidRPr="00E3232D">
        <w:rPr>
          <w:rFonts w:ascii="Book Antiqua" w:hAnsi="Book Antiqua"/>
        </w:rPr>
        <w:t xml:space="preserve"> Purchase the right quality of goods and services at the right time, in the right quantity, from the right source at the right price. </w:t>
      </w:r>
    </w:p>
    <w:p w14:paraId="376EAAB5" w14:textId="77777777" w:rsidR="001B6607" w:rsidRPr="00E3232D" w:rsidRDefault="001B6607" w:rsidP="00245B5E">
      <w:pPr>
        <w:pStyle w:val="ListParagraph"/>
        <w:numPr>
          <w:ilvl w:val="0"/>
          <w:numId w:val="15"/>
        </w:numPr>
        <w:jc w:val="both"/>
        <w:rPr>
          <w:rFonts w:ascii="Book Antiqua" w:hAnsi="Book Antiqua"/>
        </w:rPr>
      </w:pPr>
      <w:r w:rsidRPr="00E3232D">
        <w:rPr>
          <w:rFonts w:ascii="Book Antiqua" w:hAnsi="Book Antiqua"/>
        </w:rPr>
        <w:t xml:space="preserve">Provide the Assembly with a constant flow of goods and services to meet its needs. </w:t>
      </w:r>
    </w:p>
    <w:p w14:paraId="2B97B05B" w14:textId="77777777" w:rsidR="001B6607" w:rsidRPr="00E3232D" w:rsidRDefault="001B6607" w:rsidP="00245B5E">
      <w:pPr>
        <w:pStyle w:val="ListParagraph"/>
        <w:numPr>
          <w:ilvl w:val="0"/>
          <w:numId w:val="15"/>
        </w:numPr>
        <w:jc w:val="both"/>
        <w:rPr>
          <w:rFonts w:ascii="Book Antiqua" w:hAnsi="Book Antiqua"/>
        </w:rPr>
      </w:pPr>
      <w:r w:rsidRPr="00E3232D">
        <w:rPr>
          <w:rFonts w:ascii="Book Antiqua" w:hAnsi="Book Antiqua"/>
        </w:rPr>
        <w:t xml:space="preserve">Reduce cost through more effective purchasing by buying wisely, efficiently and ethically to obtain the value for money </w:t>
      </w:r>
    </w:p>
    <w:p w14:paraId="75555B49" w14:textId="77777777" w:rsidR="001B6607" w:rsidRPr="00E3232D" w:rsidRDefault="001B6607" w:rsidP="00245B5E">
      <w:pPr>
        <w:pStyle w:val="ListParagraph"/>
        <w:numPr>
          <w:ilvl w:val="0"/>
          <w:numId w:val="15"/>
        </w:numPr>
        <w:jc w:val="both"/>
        <w:rPr>
          <w:rFonts w:ascii="Book Antiqua" w:hAnsi="Book Antiqua"/>
        </w:rPr>
      </w:pPr>
      <w:r w:rsidRPr="00E3232D">
        <w:rPr>
          <w:rFonts w:ascii="Book Antiqua" w:hAnsi="Book Antiqua"/>
        </w:rPr>
        <w:t xml:space="preserve">Ensure continuity of supply through having good relationships with existing suppliers and contractors and developing other source of supply. </w:t>
      </w:r>
    </w:p>
    <w:p w14:paraId="669C039E" w14:textId="77777777" w:rsidR="001B6607" w:rsidRPr="00E3232D" w:rsidRDefault="001B6607" w:rsidP="00E10ABB">
      <w:pPr>
        <w:pStyle w:val="ListParagraph"/>
        <w:spacing w:after="0"/>
        <w:jc w:val="both"/>
        <w:rPr>
          <w:rFonts w:ascii="Book Antiqua" w:hAnsi="Book Antiqua"/>
        </w:rPr>
      </w:pPr>
    </w:p>
    <w:p w14:paraId="0A43A73C" w14:textId="77777777" w:rsidR="001B6607" w:rsidRPr="00E3232D" w:rsidRDefault="00787EFD" w:rsidP="00245B5E">
      <w:pPr>
        <w:jc w:val="both"/>
        <w:rPr>
          <w:rFonts w:ascii="Book Antiqua" w:hAnsi="Book Antiqua"/>
          <w:b/>
        </w:rPr>
      </w:pPr>
      <w:r>
        <w:rPr>
          <w:rFonts w:ascii="Book Antiqua" w:hAnsi="Book Antiqua"/>
          <w:b/>
        </w:rPr>
        <w:t xml:space="preserve">1.1 </w:t>
      </w:r>
      <w:r w:rsidR="00245B5E">
        <w:rPr>
          <w:rFonts w:ascii="Book Antiqua" w:hAnsi="Book Antiqua"/>
          <w:b/>
        </w:rPr>
        <w:t>Statement o</w:t>
      </w:r>
      <w:r w:rsidR="00481B23" w:rsidRPr="00E3232D">
        <w:rPr>
          <w:rFonts w:ascii="Book Antiqua" w:hAnsi="Book Antiqua"/>
          <w:b/>
        </w:rPr>
        <w:t xml:space="preserve">f </w:t>
      </w:r>
      <w:r w:rsidR="00245B5E">
        <w:rPr>
          <w:rFonts w:ascii="Book Antiqua" w:hAnsi="Book Antiqua"/>
          <w:b/>
        </w:rPr>
        <w:t>t</w:t>
      </w:r>
      <w:r w:rsidR="00481B23" w:rsidRPr="00E3232D">
        <w:rPr>
          <w:rFonts w:ascii="Book Antiqua" w:hAnsi="Book Antiqua"/>
          <w:b/>
        </w:rPr>
        <w:t xml:space="preserve">he Problem  </w:t>
      </w:r>
    </w:p>
    <w:p w14:paraId="60734C50" w14:textId="77777777" w:rsidR="002742FF" w:rsidRDefault="001B6607" w:rsidP="00245B5E">
      <w:pPr>
        <w:jc w:val="both"/>
        <w:rPr>
          <w:rFonts w:ascii="Book Antiqua" w:hAnsi="Book Antiqua"/>
        </w:rPr>
      </w:pPr>
      <w:r w:rsidRPr="00E3232D">
        <w:rPr>
          <w:rFonts w:ascii="Book Antiqua" w:hAnsi="Book Antiqua"/>
        </w:rPr>
        <w:t xml:space="preserve">The contracting of services of contractors and the purchase of assets and office accessories should be in conformity with the Public Procurement Act, 2003, Act 663. Again, the management of these funds should be in accordance with the tenets of the Financial Administration Act, 2003, Act 654, The Financial Administration Regulations (FAR), 2004 and the Internal Audit, Year? Act 658. The Assembly is expected to institute internal control </w:t>
      </w:r>
      <w:r w:rsidRPr="00E3232D">
        <w:rPr>
          <w:rFonts w:ascii="Book Antiqua" w:hAnsi="Book Antiqua"/>
        </w:rPr>
        <w:lastRenderedPageBreak/>
        <w:t xml:space="preserve">measures to ensure its operations conform to these stated laws. </w:t>
      </w:r>
    </w:p>
    <w:p w14:paraId="424376A6" w14:textId="77777777" w:rsidR="00316C71" w:rsidRDefault="001B6607" w:rsidP="00245B5E">
      <w:pPr>
        <w:jc w:val="both"/>
        <w:rPr>
          <w:rFonts w:ascii="Book Antiqua" w:hAnsi="Book Antiqua"/>
        </w:rPr>
      </w:pPr>
      <w:r w:rsidRPr="00E3232D">
        <w:rPr>
          <w:rFonts w:ascii="Book Antiqua" w:hAnsi="Book Antiqua"/>
        </w:rPr>
        <w:t xml:space="preserve">However, a seemingly lack of internal control mechanisms at the Assembly’s procurement does not conform to the tenets of these laws especially the Public Procurement act, 2003, 663. to stakeholders of the Akuapem North District Assembly. The study is to assess the use of internal control practices in procurement at the Akuapem North district Assembly. </w:t>
      </w:r>
    </w:p>
    <w:p w14:paraId="312B9320" w14:textId="77777777" w:rsidR="00D51C0E" w:rsidRPr="00D51C0E" w:rsidRDefault="001B6607" w:rsidP="00245B5E">
      <w:pPr>
        <w:jc w:val="both"/>
        <w:rPr>
          <w:rFonts w:ascii="Book Antiqua" w:hAnsi="Book Antiqua"/>
        </w:rPr>
      </w:pPr>
      <w:r w:rsidRPr="00E3232D">
        <w:rPr>
          <w:rFonts w:ascii="Book Antiqua" w:hAnsi="Book Antiqua"/>
        </w:rPr>
        <w:t xml:space="preserve">The non-compliance with the tenets of the Public Procurement act has been a source of concern to stakeholders of the Akuapem North District Assembly. The study is to assess the use of internal control practices in procurement at the Akuapem North district Assembly. </w:t>
      </w:r>
    </w:p>
    <w:p w14:paraId="6FB7FDC7" w14:textId="77777777" w:rsidR="001B6607" w:rsidRPr="00E3232D" w:rsidRDefault="00481B23" w:rsidP="00245B5E">
      <w:pPr>
        <w:jc w:val="both"/>
        <w:rPr>
          <w:rFonts w:ascii="Book Antiqua" w:hAnsi="Book Antiqua"/>
          <w:b/>
        </w:rPr>
      </w:pPr>
      <w:r w:rsidRPr="00E3232D">
        <w:rPr>
          <w:rFonts w:ascii="Book Antiqua" w:hAnsi="Book Antiqua"/>
          <w:b/>
        </w:rPr>
        <w:t xml:space="preserve">Research Questions: </w:t>
      </w:r>
    </w:p>
    <w:p w14:paraId="008F9C41" w14:textId="77777777" w:rsidR="001B6607" w:rsidRPr="00E3232D" w:rsidRDefault="001B6607" w:rsidP="00E10ABB">
      <w:pPr>
        <w:spacing w:after="0"/>
        <w:jc w:val="both"/>
        <w:rPr>
          <w:rFonts w:ascii="Book Antiqua" w:hAnsi="Book Antiqua"/>
        </w:rPr>
      </w:pPr>
      <w:r w:rsidRPr="00E3232D">
        <w:rPr>
          <w:rFonts w:ascii="Book Antiqua" w:hAnsi="Book Antiqua"/>
        </w:rPr>
        <w:t xml:space="preserve">The questions that will guide the research are: </w:t>
      </w:r>
    </w:p>
    <w:p w14:paraId="206A1EE4" w14:textId="77777777" w:rsidR="001B6607" w:rsidRPr="00E3232D" w:rsidRDefault="001B6607" w:rsidP="00245B5E">
      <w:pPr>
        <w:pStyle w:val="ListParagraph"/>
        <w:numPr>
          <w:ilvl w:val="0"/>
          <w:numId w:val="16"/>
        </w:numPr>
        <w:jc w:val="both"/>
        <w:rPr>
          <w:rFonts w:ascii="Book Antiqua" w:hAnsi="Book Antiqua"/>
        </w:rPr>
      </w:pPr>
      <w:r w:rsidRPr="00E3232D">
        <w:rPr>
          <w:rFonts w:ascii="Book Antiqua" w:hAnsi="Book Antiqua"/>
        </w:rPr>
        <w:t xml:space="preserve">What are the internal control practices used in procurement in Akuapem North District Assembly? </w:t>
      </w:r>
    </w:p>
    <w:p w14:paraId="222FC9ED" w14:textId="77777777" w:rsidR="001B6607" w:rsidRPr="00E3232D" w:rsidRDefault="001B6607" w:rsidP="00245B5E">
      <w:pPr>
        <w:pStyle w:val="ListParagraph"/>
        <w:numPr>
          <w:ilvl w:val="0"/>
          <w:numId w:val="16"/>
        </w:numPr>
        <w:jc w:val="both"/>
        <w:rPr>
          <w:rFonts w:ascii="Book Antiqua" w:hAnsi="Book Antiqua"/>
        </w:rPr>
      </w:pPr>
      <w:r w:rsidRPr="00E3232D">
        <w:rPr>
          <w:rFonts w:ascii="Book Antiqua" w:hAnsi="Book Antiqua"/>
        </w:rPr>
        <w:t xml:space="preserve">To what extent can management implement internal control principles and practices and make them work? </w:t>
      </w:r>
    </w:p>
    <w:p w14:paraId="1E6257D0" w14:textId="77777777" w:rsidR="001B6607" w:rsidRPr="00E3232D" w:rsidRDefault="001B6607" w:rsidP="00245B5E">
      <w:pPr>
        <w:pStyle w:val="ListParagraph"/>
        <w:numPr>
          <w:ilvl w:val="0"/>
          <w:numId w:val="16"/>
        </w:numPr>
        <w:jc w:val="both"/>
        <w:rPr>
          <w:rFonts w:ascii="Book Antiqua" w:hAnsi="Book Antiqua"/>
        </w:rPr>
      </w:pPr>
      <w:r w:rsidRPr="00E3232D">
        <w:rPr>
          <w:rFonts w:ascii="Book Antiqua" w:hAnsi="Book Antiqua"/>
        </w:rPr>
        <w:t xml:space="preserve">To what extent are procurement processes of Akuapem North District Assembly in accordance with the Public Procurement Act, Act 663? </w:t>
      </w:r>
    </w:p>
    <w:p w14:paraId="3DCF8611" w14:textId="77777777" w:rsidR="001B6607" w:rsidRPr="00E3232D" w:rsidRDefault="001B6607" w:rsidP="00245B5E">
      <w:pPr>
        <w:pStyle w:val="ListParagraph"/>
        <w:numPr>
          <w:ilvl w:val="0"/>
          <w:numId w:val="16"/>
        </w:numPr>
        <w:jc w:val="both"/>
        <w:rPr>
          <w:rFonts w:ascii="Book Antiqua" w:hAnsi="Book Antiqua"/>
        </w:rPr>
      </w:pPr>
      <w:r w:rsidRPr="00E3232D">
        <w:rPr>
          <w:rFonts w:ascii="Book Antiqua" w:hAnsi="Book Antiqua"/>
        </w:rPr>
        <w:t xml:space="preserve">How are stakeholders informed about the financial position of the District Assembly? </w:t>
      </w:r>
    </w:p>
    <w:p w14:paraId="5D56FE8C" w14:textId="77777777" w:rsidR="00751699" w:rsidRPr="00787EFD" w:rsidRDefault="001B6607" w:rsidP="00245B5E">
      <w:pPr>
        <w:pStyle w:val="ListParagraph"/>
        <w:numPr>
          <w:ilvl w:val="0"/>
          <w:numId w:val="16"/>
        </w:numPr>
        <w:jc w:val="both"/>
        <w:rPr>
          <w:rFonts w:ascii="Book Antiqua" w:hAnsi="Book Antiqua"/>
        </w:rPr>
      </w:pPr>
      <w:r w:rsidRPr="00E3232D">
        <w:rPr>
          <w:rFonts w:ascii="Book Antiqua" w:hAnsi="Book Antiqua"/>
        </w:rPr>
        <w:t xml:space="preserve">How are the management of Akuapem North District Assembly able to levy non-tax revenue by the </w:t>
      </w:r>
      <w:r w:rsidRPr="00E3232D">
        <w:rPr>
          <w:rFonts w:ascii="Book Antiqua" w:hAnsi="Book Antiqua"/>
        </w:rPr>
        <w:t xml:space="preserve">powers conferred on it by the Local Government Act, Act 462? </w:t>
      </w:r>
    </w:p>
    <w:p w14:paraId="6D702436" w14:textId="77777777" w:rsidR="001B6607" w:rsidRPr="00E3232D" w:rsidRDefault="00787EFD" w:rsidP="00787EFD">
      <w:pPr>
        <w:spacing w:after="0"/>
        <w:jc w:val="both"/>
        <w:rPr>
          <w:rFonts w:ascii="Book Antiqua" w:hAnsi="Book Antiqua"/>
          <w:b/>
        </w:rPr>
      </w:pPr>
      <w:r>
        <w:rPr>
          <w:rFonts w:ascii="Book Antiqua" w:hAnsi="Book Antiqua"/>
          <w:b/>
          <w:sz w:val="26"/>
        </w:rPr>
        <w:t xml:space="preserve">2.0 </w:t>
      </w:r>
      <w:r w:rsidR="00481B23" w:rsidRPr="00751699">
        <w:rPr>
          <w:rFonts w:ascii="Book Antiqua" w:hAnsi="Book Antiqua"/>
          <w:b/>
          <w:sz w:val="26"/>
        </w:rPr>
        <w:t>Methodology</w:t>
      </w:r>
      <w:r w:rsidR="00481B23" w:rsidRPr="00E3232D">
        <w:rPr>
          <w:rFonts w:ascii="Book Antiqua" w:hAnsi="Book Antiqua"/>
          <w:b/>
        </w:rPr>
        <w:t xml:space="preserve">: </w:t>
      </w:r>
    </w:p>
    <w:p w14:paraId="022A2647" w14:textId="77777777" w:rsidR="001B6607" w:rsidRDefault="001B6607" w:rsidP="00D51C0E">
      <w:pPr>
        <w:spacing w:after="0"/>
        <w:jc w:val="both"/>
        <w:rPr>
          <w:rFonts w:ascii="Book Antiqua" w:hAnsi="Book Antiqua"/>
        </w:rPr>
      </w:pPr>
      <w:r w:rsidRPr="00E3232D">
        <w:rPr>
          <w:rFonts w:ascii="Book Antiqua" w:hAnsi="Book Antiqua"/>
        </w:rPr>
        <w:t xml:space="preserve">The Akuapem North District Assembly has almost all the departments represented in the Assembly. These decentralized departments take care of activities within the district that fall within their scope of operations. These departments are Finance, Work Administration, Stores, Internal Audit, Planning and Budget Unit, Information Service Department, Agric, National Service, Town and Country Planning, Births and Deaths, Social Welfare, Co-operatives, Non-Formal Education, Environmental Health, National Disaster and Management Organisation (NADMO), Parks and Gardens. These departments contribute to the running of the district as a whole. The population of the Akuapem North District Assembly is 101. </w:t>
      </w:r>
    </w:p>
    <w:p w14:paraId="260B329C" w14:textId="77777777" w:rsidR="00D51C0E" w:rsidRDefault="00D51C0E" w:rsidP="00787EFD">
      <w:pPr>
        <w:spacing w:after="0"/>
        <w:jc w:val="both"/>
        <w:rPr>
          <w:rFonts w:ascii="Book Antiqua" w:hAnsi="Book Antiqua"/>
          <w:b/>
        </w:rPr>
      </w:pPr>
    </w:p>
    <w:p w14:paraId="16A142B9" w14:textId="77777777" w:rsidR="00D51C0E" w:rsidRPr="00E3232D" w:rsidRDefault="00D51C0E" w:rsidP="00E10ABB">
      <w:pPr>
        <w:spacing w:after="0"/>
        <w:jc w:val="both"/>
        <w:rPr>
          <w:rFonts w:ascii="Book Antiqua" w:hAnsi="Book Antiqua"/>
        </w:rPr>
      </w:pPr>
      <w:r w:rsidRPr="00E3232D">
        <w:rPr>
          <w:rFonts w:ascii="Book Antiqua" w:hAnsi="Book Antiqua"/>
          <w:b/>
        </w:rPr>
        <w:t>Table1:</w:t>
      </w:r>
      <w:r w:rsidRPr="00E3232D">
        <w:rPr>
          <w:rFonts w:ascii="Book Antiqua" w:hAnsi="Book Antiqua"/>
        </w:rPr>
        <w:t xml:space="preserve"> Population of the Study </w:t>
      </w:r>
    </w:p>
    <w:tbl>
      <w:tblPr>
        <w:tblpPr w:leftFromText="180" w:rightFromText="180" w:vertAnchor="text" w:horzAnchor="margin" w:tblpXSpec="right" w:tblpY="99"/>
        <w:tblW w:w="4618" w:type="pct"/>
        <w:tblBorders>
          <w:top w:val="single" w:sz="8" w:space="0" w:color="000000"/>
          <w:bottom w:val="single" w:sz="8" w:space="0" w:color="000000"/>
        </w:tblBorders>
        <w:tblLook w:val="0660" w:firstRow="1" w:lastRow="1" w:firstColumn="0" w:lastColumn="0" w:noHBand="1" w:noVBand="1"/>
      </w:tblPr>
      <w:tblGrid>
        <w:gridCol w:w="2916"/>
        <w:gridCol w:w="1285"/>
      </w:tblGrid>
      <w:tr w:rsidR="00D51C0E" w:rsidRPr="00D12E59" w14:paraId="48D33B25" w14:textId="77777777" w:rsidTr="0076390A">
        <w:trPr>
          <w:trHeight w:val="272"/>
        </w:trPr>
        <w:tc>
          <w:tcPr>
            <w:tcW w:w="3471" w:type="pct"/>
            <w:tcBorders>
              <w:top w:val="single" w:sz="8" w:space="0" w:color="000000"/>
              <w:left w:val="nil"/>
              <w:bottom w:val="single" w:sz="8" w:space="0" w:color="000000"/>
              <w:right w:val="nil"/>
            </w:tcBorders>
            <w:noWrap/>
          </w:tcPr>
          <w:p w14:paraId="43897897" w14:textId="77777777" w:rsidR="00D51C0E" w:rsidRPr="0076390A" w:rsidRDefault="00D51C0E" w:rsidP="0076390A">
            <w:pPr>
              <w:spacing w:after="0" w:line="240" w:lineRule="auto"/>
              <w:rPr>
                <w:rFonts w:ascii="Book Antiqua" w:hAnsi="Book Antiqua"/>
                <w:b/>
                <w:bCs/>
                <w:color w:val="365F91"/>
              </w:rPr>
            </w:pPr>
            <w:r w:rsidRPr="0076390A">
              <w:rPr>
                <w:rFonts w:ascii="Book Antiqua" w:hAnsi="Book Antiqua"/>
                <w:b/>
                <w:bCs/>
                <w:color w:val="365F91"/>
              </w:rPr>
              <w:t>Department</w:t>
            </w:r>
          </w:p>
        </w:tc>
        <w:tc>
          <w:tcPr>
            <w:tcW w:w="1529" w:type="pct"/>
            <w:tcBorders>
              <w:top w:val="single" w:sz="8" w:space="0" w:color="000000"/>
              <w:left w:val="nil"/>
              <w:bottom w:val="single" w:sz="8" w:space="0" w:color="000000"/>
              <w:right w:val="nil"/>
            </w:tcBorders>
          </w:tcPr>
          <w:p w14:paraId="0BE41A57" w14:textId="77777777" w:rsidR="00D51C0E" w:rsidRPr="0076390A" w:rsidRDefault="00D51C0E" w:rsidP="0076390A">
            <w:pPr>
              <w:spacing w:after="0" w:line="240" w:lineRule="auto"/>
              <w:rPr>
                <w:rFonts w:ascii="Book Antiqua" w:hAnsi="Book Antiqua"/>
                <w:b/>
                <w:bCs/>
                <w:color w:val="365F91"/>
              </w:rPr>
            </w:pPr>
            <w:r w:rsidRPr="0076390A">
              <w:rPr>
                <w:rFonts w:ascii="Book Antiqua" w:hAnsi="Book Antiqua"/>
                <w:b/>
                <w:bCs/>
                <w:color w:val="365F91"/>
              </w:rPr>
              <w:t>Number</w:t>
            </w:r>
          </w:p>
        </w:tc>
      </w:tr>
      <w:tr w:rsidR="00D51C0E" w:rsidRPr="00D12E59" w14:paraId="108E4EBC" w14:textId="77777777" w:rsidTr="0076390A">
        <w:trPr>
          <w:trHeight w:val="3791"/>
        </w:trPr>
        <w:tc>
          <w:tcPr>
            <w:tcW w:w="3471" w:type="pct"/>
            <w:noWrap/>
          </w:tcPr>
          <w:p w14:paraId="6A90D57A"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Finance</w:t>
            </w:r>
          </w:p>
          <w:p w14:paraId="515A9DC2"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Works</w:t>
            </w:r>
          </w:p>
          <w:p w14:paraId="1C62FFA8"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Administration</w:t>
            </w:r>
          </w:p>
          <w:p w14:paraId="1CF6A441"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Stores</w:t>
            </w:r>
          </w:p>
          <w:p w14:paraId="3D080B62"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Internal Audit</w:t>
            </w:r>
          </w:p>
          <w:p w14:paraId="78A98A29"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Planning</w:t>
            </w:r>
          </w:p>
          <w:p w14:paraId="1B2645C0"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Information Service</w:t>
            </w:r>
          </w:p>
          <w:p w14:paraId="264E9E29"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Agric</w:t>
            </w:r>
          </w:p>
          <w:p w14:paraId="31164258"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National Service</w:t>
            </w:r>
          </w:p>
          <w:p w14:paraId="3DFBED54"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Town Planning</w:t>
            </w:r>
          </w:p>
          <w:p w14:paraId="04CC94AC"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Births and deaths</w:t>
            </w:r>
          </w:p>
          <w:p w14:paraId="37704634"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Co-operatives</w:t>
            </w:r>
          </w:p>
          <w:p w14:paraId="694209D0"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Social Welfare</w:t>
            </w:r>
          </w:p>
          <w:p w14:paraId="257F50FF" w14:textId="77777777" w:rsidR="00D51C0E" w:rsidRPr="0076390A" w:rsidRDefault="00D51C0E" w:rsidP="0076390A">
            <w:pPr>
              <w:spacing w:after="0" w:line="240" w:lineRule="auto"/>
              <w:rPr>
                <w:rFonts w:ascii="Book Antiqua" w:hAnsi="Book Antiqua"/>
                <w:color w:val="365F91"/>
              </w:rPr>
            </w:pPr>
            <w:r w:rsidRPr="0076390A">
              <w:rPr>
                <w:rFonts w:ascii="Book Antiqua" w:hAnsi="Book Antiqua"/>
                <w:color w:val="365F91"/>
              </w:rPr>
              <w:t>Non-formal Education</w:t>
            </w:r>
          </w:p>
        </w:tc>
        <w:tc>
          <w:tcPr>
            <w:tcW w:w="1529" w:type="pct"/>
          </w:tcPr>
          <w:p w14:paraId="205317B6"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8</w:t>
            </w:r>
          </w:p>
          <w:p w14:paraId="2EC16920"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11</w:t>
            </w:r>
          </w:p>
          <w:p w14:paraId="4CEAB974"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17</w:t>
            </w:r>
          </w:p>
          <w:p w14:paraId="63D98642"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2</w:t>
            </w:r>
          </w:p>
          <w:p w14:paraId="2B007A21"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2</w:t>
            </w:r>
          </w:p>
          <w:p w14:paraId="4C5A09E5"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5</w:t>
            </w:r>
          </w:p>
          <w:p w14:paraId="353A8217"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4</w:t>
            </w:r>
          </w:p>
          <w:p w14:paraId="209D756A"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10</w:t>
            </w:r>
          </w:p>
          <w:p w14:paraId="53AE1ACE"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2</w:t>
            </w:r>
          </w:p>
          <w:p w14:paraId="59472C9F"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4</w:t>
            </w:r>
          </w:p>
          <w:p w14:paraId="1A87BD29"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3</w:t>
            </w:r>
          </w:p>
          <w:p w14:paraId="647088DC"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12</w:t>
            </w:r>
          </w:p>
          <w:p w14:paraId="4C3F5E40"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2</w:t>
            </w:r>
          </w:p>
          <w:p w14:paraId="360FA088" w14:textId="77777777" w:rsidR="00D51C0E" w:rsidRPr="0076390A" w:rsidRDefault="00D51C0E" w:rsidP="0076390A">
            <w:pPr>
              <w:pStyle w:val="DecimalAligned"/>
              <w:spacing w:after="0" w:line="240" w:lineRule="auto"/>
              <w:rPr>
                <w:rFonts w:ascii="Book Antiqua" w:hAnsi="Book Antiqua"/>
                <w:color w:val="365F91"/>
              </w:rPr>
            </w:pPr>
            <w:r w:rsidRPr="0076390A">
              <w:rPr>
                <w:rFonts w:ascii="Book Antiqua" w:hAnsi="Book Antiqua"/>
                <w:color w:val="365F91"/>
              </w:rPr>
              <w:t>10</w:t>
            </w:r>
          </w:p>
        </w:tc>
      </w:tr>
      <w:tr w:rsidR="00D51C0E" w:rsidRPr="00D12E59" w14:paraId="6262E9F8" w14:textId="77777777" w:rsidTr="0076390A">
        <w:trPr>
          <w:trHeight w:val="287"/>
        </w:trPr>
        <w:tc>
          <w:tcPr>
            <w:tcW w:w="3471" w:type="pct"/>
            <w:tcBorders>
              <w:top w:val="single" w:sz="8" w:space="0" w:color="000000"/>
              <w:left w:val="nil"/>
              <w:bottom w:val="single" w:sz="8" w:space="0" w:color="000000"/>
              <w:right w:val="nil"/>
            </w:tcBorders>
            <w:noWrap/>
          </w:tcPr>
          <w:p w14:paraId="3E6F4728" w14:textId="77777777" w:rsidR="00D51C0E" w:rsidRPr="0076390A" w:rsidRDefault="00D51C0E" w:rsidP="0076390A">
            <w:pPr>
              <w:spacing w:after="0" w:line="240" w:lineRule="auto"/>
              <w:rPr>
                <w:rFonts w:ascii="Book Antiqua" w:hAnsi="Book Antiqua"/>
                <w:b/>
                <w:bCs/>
                <w:color w:val="365F91"/>
              </w:rPr>
            </w:pPr>
            <w:r w:rsidRPr="0076390A">
              <w:rPr>
                <w:rFonts w:ascii="Book Antiqua" w:hAnsi="Book Antiqua"/>
                <w:b/>
                <w:bCs/>
                <w:color w:val="365F91"/>
              </w:rPr>
              <w:t>Total</w:t>
            </w:r>
          </w:p>
        </w:tc>
        <w:tc>
          <w:tcPr>
            <w:tcW w:w="1529" w:type="pct"/>
            <w:tcBorders>
              <w:top w:val="single" w:sz="8" w:space="0" w:color="000000"/>
              <w:left w:val="nil"/>
              <w:bottom w:val="single" w:sz="8" w:space="0" w:color="000000"/>
              <w:right w:val="nil"/>
            </w:tcBorders>
          </w:tcPr>
          <w:p w14:paraId="4E09A099" w14:textId="77777777" w:rsidR="00D51C0E" w:rsidRPr="0076390A" w:rsidRDefault="00D51C0E" w:rsidP="0076390A">
            <w:pPr>
              <w:pStyle w:val="DecimalAligned"/>
              <w:spacing w:after="0" w:line="240" w:lineRule="auto"/>
              <w:rPr>
                <w:rFonts w:ascii="Book Antiqua" w:hAnsi="Book Antiqua"/>
                <w:b/>
                <w:bCs/>
                <w:color w:val="365F91"/>
              </w:rPr>
            </w:pPr>
            <w:r w:rsidRPr="0076390A">
              <w:rPr>
                <w:rFonts w:ascii="Book Antiqua" w:hAnsi="Book Antiqua"/>
                <w:b/>
                <w:bCs/>
                <w:color w:val="365F91"/>
              </w:rPr>
              <w:t>101</w:t>
            </w:r>
          </w:p>
        </w:tc>
      </w:tr>
    </w:tbl>
    <w:p w14:paraId="07B6A783" w14:textId="77777777" w:rsidR="001B6607" w:rsidRPr="00E3232D" w:rsidRDefault="001B6607" w:rsidP="00D51C0E">
      <w:pPr>
        <w:pStyle w:val="FootnoteText"/>
        <w:spacing w:line="276" w:lineRule="auto"/>
        <w:rPr>
          <w:rFonts w:ascii="Book Antiqua" w:hAnsi="Book Antiqua"/>
          <w:sz w:val="22"/>
          <w:szCs w:val="22"/>
        </w:rPr>
      </w:pPr>
      <w:r w:rsidRPr="00E3232D">
        <w:rPr>
          <w:rStyle w:val="SubtleEmphasis"/>
          <w:rFonts w:ascii="Book Antiqua" w:hAnsi="Book Antiqua"/>
          <w:b/>
          <w:i w:val="0"/>
          <w:sz w:val="22"/>
        </w:rPr>
        <w:t>Source</w:t>
      </w:r>
      <w:r w:rsidRPr="00E3232D">
        <w:rPr>
          <w:rStyle w:val="SubtleEmphasis"/>
          <w:rFonts w:ascii="Book Antiqua" w:hAnsi="Book Antiqua"/>
          <w:sz w:val="22"/>
        </w:rPr>
        <w:t>:</w:t>
      </w:r>
      <w:r w:rsidRPr="00E3232D">
        <w:rPr>
          <w:rFonts w:ascii="Book Antiqua" w:hAnsi="Book Antiqua"/>
          <w:sz w:val="22"/>
          <w:szCs w:val="22"/>
        </w:rPr>
        <w:t xml:space="preserve"> Akuapem North District Assembly Registry</w:t>
      </w:r>
    </w:p>
    <w:p w14:paraId="05450CF5" w14:textId="77777777" w:rsidR="00B17DBF" w:rsidRPr="00E3232D" w:rsidRDefault="00481B23" w:rsidP="008275E1">
      <w:pPr>
        <w:rPr>
          <w:rFonts w:ascii="Book Antiqua" w:hAnsi="Book Antiqua"/>
          <w:b/>
        </w:rPr>
      </w:pPr>
      <w:r w:rsidRPr="00E3232D">
        <w:rPr>
          <w:rFonts w:ascii="Book Antiqua" w:hAnsi="Book Antiqua"/>
          <w:b/>
        </w:rPr>
        <w:lastRenderedPageBreak/>
        <w:t xml:space="preserve">Sample </w:t>
      </w:r>
    </w:p>
    <w:p w14:paraId="450EC79B" w14:textId="77777777" w:rsidR="00E17D94" w:rsidRPr="00C41A4A" w:rsidRDefault="00B17DBF" w:rsidP="006F3F80">
      <w:pPr>
        <w:jc w:val="both"/>
        <w:rPr>
          <w:rFonts w:ascii="Book Antiqua" w:hAnsi="Book Antiqua"/>
        </w:rPr>
        <w:sectPr w:rsidR="00E17D94" w:rsidRPr="00C41A4A" w:rsidSect="00251D0D">
          <w:type w:val="continuous"/>
          <w:pgSz w:w="11907" w:h="16839" w:code="9"/>
          <w:pgMar w:top="1440" w:right="1440" w:bottom="1440" w:left="1440" w:header="720" w:footer="720" w:gutter="0"/>
          <w:cols w:num="2" w:space="360"/>
          <w:docGrid w:linePitch="360"/>
        </w:sectPr>
      </w:pPr>
      <w:r w:rsidRPr="00E3232D">
        <w:rPr>
          <w:rFonts w:ascii="Book Antiqua" w:hAnsi="Book Antiqua"/>
        </w:rPr>
        <w:t xml:space="preserve">The target of the study was the Finance, Administration, Works, Stores, Internal Audit and Planning and Budget </w:t>
      </w:r>
      <w:r w:rsidRPr="00E3232D">
        <w:rPr>
          <w:rFonts w:ascii="Book Antiqua" w:hAnsi="Book Antiqua"/>
        </w:rPr>
        <w:t>departments. The researcher worked with all the population in the target departments. The Purposive sampling method was used to select the sample out of the population for the study</w:t>
      </w:r>
      <w:r w:rsidR="006F3F80">
        <w:rPr>
          <w:rFonts w:ascii="Book Antiqua" w:hAnsi="Book Antiqua"/>
        </w:rPr>
        <w:t>.</w:t>
      </w:r>
    </w:p>
    <w:p w14:paraId="630C4C6A" w14:textId="77777777" w:rsidR="009441B8" w:rsidRDefault="009441B8" w:rsidP="008275E1">
      <w:pPr>
        <w:rPr>
          <w:rFonts w:ascii="Book Antiqua" w:hAnsi="Book Antiqua"/>
          <w:b/>
        </w:rPr>
      </w:pPr>
    </w:p>
    <w:p w14:paraId="69DC66CE" w14:textId="77777777" w:rsidR="00CB6E2B" w:rsidRDefault="00CB6E2B" w:rsidP="00251D0D">
      <w:pPr>
        <w:spacing w:after="0"/>
        <w:ind w:firstLine="450"/>
        <w:rPr>
          <w:rFonts w:ascii="Book Antiqua" w:hAnsi="Book Antiqua"/>
          <w:b/>
        </w:rPr>
      </w:pPr>
      <w:r w:rsidRPr="00E3232D">
        <w:rPr>
          <w:rFonts w:ascii="Book Antiqua" w:hAnsi="Book Antiqua"/>
          <w:b/>
        </w:rPr>
        <w:t xml:space="preserve">Table 2: Sample used in the study </w:t>
      </w:r>
    </w:p>
    <w:p w14:paraId="4760E70B" w14:textId="77777777" w:rsidR="00E17D94" w:rsidRDefault="00E17D94" w:rsidP="008275E1">
      <w:pPr>
        <w:rPr>
          <w:rFonts w:ascii="Book Antiqua" w:hAnsi="Book Antiqua"/>
          <w:b/>
        </w:rPr>
        <w:sectPr w:rsidR="00E17D94" w:rsidSect="00E17D94">
          <w:type w:val="continuous"/>
          <w:pgSz w:w="11907" w:h="16839" w:code="9"/>
          <w:pgMar w:top="1440" w:right="1440" w:bottom="1440" w:left="900" w:header="720" w:footer="720" w:gutter="0"/>
          <w:cols w:space="360"/>
          <w:docGrid w:linePitch="360"/>
        </w:sectPr>
      </w:pPr>
    </w:p>
    <w:p w14:paraId="6B8C74A6" w14:textId="77777777" w:rsidR="002742FF" w:rsidRDefault="002742FF" w:rsidP="00C41A4A">
      <w:pPr>
        <w:spacing w:after="0"/>
        <w:rPr>
          <w:rFonts w:ascii="Book Antiqua" w:hAnsi="Book Antiqua"/>
          <w:b/>
        </w:rPr>
      </w:pPr>
    </w:p>
    <w:tbl>
      <w:tblPr>
        <w:tblpPr w:leftFromText="180" w:rightFromText="180" w:vertAnchor="text" w:horzAnchor="margin" w:tblpY="-67"/>
        <w:tblW w:w="4314" w:type="pct"/>
        <w:tblBorders>
          <w:top w:val="single" w:sz="8" w:space="0" w:color="000000"/>
          <w:bottom w:val="single" w:sz="8" w:space="0" w:color="000000"/>
        </w:tblBorders>
        <w:tblLook w:val="0660" w:firstRow="1" w:lastRow="1" w:firstColumn="0" w:lastColumn="0" w:noHBand="1" w:noVBand="1"/>
      </w:tblPr>
      <w:tblGrid>
        <w:gridCol w:w="1718"/>
        <w:gridCol w:w="1060"/>
        <w:gridCol w:w="1524"/>
      </w:tblGrid>
      <w:tr w:rsidR="002742FF" w:rsidRPr="00D12E59" w14:paraId="154840A4" w14:textId="77777777" w:rsidTr="0076390A">
        <w:trPr>
          <w:trHeight w:val="320"/>
        </w:trPr>
        <w:tc>
          <w:tcPr>
            <w:tcW w:w="1997" w:type="pct"/>
            <w:tcBorders>
              <w:top w:val="single" w:sz="8" w:space="0" w:color="000000"/>
              <w:left w:val="nil"/>
              <w:bottom w:val="single" w:sz="8" w:space="0" w:color="000000"/>
              <w:right w:val="nil"/>
            </w:tcBorders>
            <w:noWrap/>
          </w:tcPr>
          <w:p w14:paraId="0663F47A" w14:textId="77777777" w:rsidR="002742FF" w:rsidRPr="0076390A" w:rsidRDefault="002742FF" w:rsidP="0076390A">
            <w:pPr>
              <w:spacing w:line="240" w:lineRule="auto"/>
              <w:rPr>
                <w:rFonts w:ascii="Book Antiqua" w:hAnsi="Book Antiqua"/>
                <w:b/>
                <w:bCs/>
                <w:color w:val="365F91"/>
              </w:rPr>
            </w:pPr>
            <w:r w:rsidRPr="0076390A">
              <w:rPr>
                <w:rFonts w:ascii="Book Antiqua" w:hAnsi="Book Antiqua"/>
                <w:b/>
                <w:bCs/>
                <w:color w:val="365F91"/>
              </w:rPr>
              <w:t>Response</w:t>
            </w:r>
          </w:p>
        </w:tc>
        <w:tc>
          <w:tcPr>
            <w:tcW w:w="1232" w:type="pct"/>
            <w:tcBorders>
              <w:top w:val="single" w:sz="8" w:space="0" w:color="000000"/>
              <w:left w:val="nil"/>
              <w:bottom w:val="single" w:sz="8" w:space="0" w:color="000000"/>
              <w:right w:val="nil"/>
            </w:tcBorders>
          </w:tcPr>
          <w:p w14:paraId="43A69CA6" w14:textId="77777777" w:rsidR="002742FF" w:rsidRPr="0076390A" w:rsidRDefault="002742FF" w:rsidP="0076390A">
            <w:pPr>
              <w:spacing w:line="240" w:lineRule="auto"/>
              <w:rPr>
                <w:rFonts w:ascii="Book Antiqua" w:hAnsi="Book Antiqua"/>
                <w:b/>
                <w:bCs/>
                <w:color w:val="365F91"/>
              </w:rPr>
            </w:pPr>
            <w:r w:rsidRPr="0076390A">
              <w:rPr>
                <w:rFonts w:ascii="Book Antiqua" w:hAnsi="Book Antiqua"/>
                <w:b/>
                <w:bCs/>
                <w:color w:val="365F91"/>
              </w:rPr>
              <w:t>Number</w:t>
            </w:r>
          </w:p>
        </w:tc>
        <w:tc>
          <w:tcPr>
            <w:tcW w:w="1771" w:type="pct"/>
            <w:tcBorders>
              <w:top w:val="single" w:sz="8" w:space="0" w:color="000000"/>
              <w:left w:val="nil"/>
              <w:bottom w:val="single" w:sz="8" w:space="0" w:color="000000"/>
              <w:right w:val="nil"/>
            </w:tcBorders>
          </w:tcPr>
          <w:p w14:paraId="69D46C36" w14:textId="77777777" w:rsidR="002742FF" w:rsidRPr="0076390A" w:rsidRDefault="002742FF" w:rsidP="0076390A">
            <w:pPr>
              <w:spacing w:line="240" w:lineRule="auto"/>
              <w:rPr>
                <w:rFonts w:ascii="Book Antiqua" w:hAnsi="Book Antiqua"/>
                <w:b/>
                <w:bCs/>
                <w:color w:val="365F91"/>
              </w:rPr>
            </w:pPr>
            <w:r w:rsidRPr="0076390A">
              <w:rPr>
                <w:rFonts w:ascii="Book Antiqua" w:hAnsi="Book Antiqua"/>
                <w:b/>
                <w:bCs/>
                <w:color w:val="365F91"/>
              </w:rPr>
              <w:t>Respondents</w:t>
            </w:r>
          </w:p>
        </w:tc>
      </w:tr>
      <w:tr w:rsidR="002742FF" w:rsidRPr="00D12E59" w14:paraId="265C5CC8" w14:textId="77777777" w:rsidTr="0076390A">
        <w:trPr>
          <w:trHeight w:val="1919"/>
        </w:trPr>
        <w:tc>
          <w:tcPr>
            <w:tcW w:w="1997" w:type="pct"/>
            <w:noWrap/>
          </w:tcPr>
          <w:p w14:paraId="0FE49212" w14:textId="77777777" w:rsidR="002742FF" w:rsidRPr="0076390A" w:rsidRDefault="002742FF" w:rsidP="0076390A">
            <w:pPr>
              <w:spacing w:line="240" w:lineRule="auto"/>
              <w:rPr>
                <w:rFonts w:ascii="Book Antiqua" w:hAnsi="Book Antiqua"/>
                <w:color w:val="365F91"/>
              </w:rPr>
            </w:pPr>
            <w:r w:rsidRPr="0076390A">
              <w:rPr>
                <w:rFonts w:ascii="Book Antiqua" w:hAnsi="Book Antiqua"/>
                <w:color w:val="365F91"/>
              </w:rPr>
              <w:t>Finance</w:t>
            </w:r>
          </w:p>
          <w:p w14:paraId="4EC482BF" w14:textId="77777777" w:rsidR="002742FF" w:rsidRPr="0076390A" w:rsidRDefault="002742FF" w:rsidP="0076390A">
            <w:pPr>
              <w:spacing w:line="240" w:lineRule="auto"/>
              <w:rPr>
                <w:rFonts w:ascii="Book Antiqua" w:hAnsi="Book Antiqua"/>
                <w:color w:val="365F91"/>
              </w:rPr>
            </w:pPr>
            <w:r w:rsidRPr="0076390A">
              <w:rPr>
                <w:rFonts w:ascii="Book Antiqua" w:hAnsi="Book Antiqua"/>
                <w:color w:val="365F91"/>
              </w:rPr>
              <w:t>Works</w:t>
            </w:r>
          </w:p>
          <w:p w14:paraId="63D8BACB" w14:textId="77777777" w:rsidR="002742FF" w:rsidRPr="0076390A" w:rsidRDefault="002742FF" w:rsidP="0076390A">
            <w:pPr>
              <w:spacing w:line="240" w:lineRule="auto"/>
              <w:rPr>
                <w:rFonts w:ascii="Book Antiqua" w:hAnsi="Book Antiqua"/>
                <w:color w:val="365F91"/>
              </w:rPr>
            </w:pPr>
            <w:r w:rsidRPr="0076390A">
              <w:rPr>
                <w:rFonts w:ascii="Book Antiqua" w:hAnsi="Book Antiqua"/>
                <w:color w:val="365F91"/>
              </w:rPr>
              <w:t>Administration</w:t>
            </w:r>
          </w:p>
          <w:p w14:paraId="0C82DCAF" w14:textId="77777777" w:rsidR="002742FF" w:rsidRPr="0076390A" w:rsidRDefault="002742FF" w:rsidP="0076390A">
            <w:pPr>
              <w:spacing w:line="240" w:lineRule="auto"/>
              <w:rPr>
                <w:rFonts w:ascii="Book Antiqua" w:hAnsi="Book Antiqua"/>
                <w:color w:val="365F91"/>
              </w:rPr>
            </w:pPr>
            <w:r w:rsidRPr="0076390A">
              <w:rPr>
                <w:rFonts w:ascii="Book Antiqua" w:hAnsi="Book Antiqua"/>
                <w:color w:val="365F91"/>
              </w:rPr>
              <w:t>Stores</w:t>
            </w:r>
          </w:p>
          <w:p w14:paraId="1358DE5F" w14:textId="77777777" w:rsidR="002742FF" w:rsidRPr="0076390A" w:rsidRDefault="002742FF" w:rsidP="0076390A">
            <w:pPr>
              <w:spacing w:line="240" w:lineRule="auto"/>
              <w:rPr>
                <w:rFonts w:ascii="Book Antiqua" w:hAnsi="Book Antiqua"/>
                <w:color w:val="365F91"/>
              </w:rPr>
            </w:pPr>
            <w:r w:rsidRPr="0076390A">
              <w:rPr>
                <w:rFonts w:ascii="Book Antiqua" w:hAnsi="Book Antiqua"/>
                <w:color w:val="365F91"/>
              </w:rPr>
              <w:t>Internal Audit</w:t>
            </w:r>
          </w:p>
          <w:p w14:paraId="5357B036" w14:textId="77777777" w:rsidR="002742FF" w:rsidRPr="0076390A" w:rsidRDefault="002742FF" w:rsidP="0076390A">
            <w:pPr>
              <w:spacing w:line="240" w:lineRule="auto"/>
              <w:rPr>
                <w:rFonts w:ascii="Book Antiqua" w:hAnsi="Book Antiqua"/>
                <w:color w:val="365F91"/>
              </w:rPr>
            </w:pPr>
            <w:r w:rsidRPr="0076390A">
              <w:rPr>
                <w:rFonts w:ascii="Book Antiqua" w:hAnsi="Book Antiqua"/>
                <w:color w:val="365F91"/>
              </w:rPr>
              <w:t>Planning</w:t>
            </w:r>
          </w:p>
        </w:tc>
        <w:tc>
          <w:tcPr>
            <w:tcW w:w="1232" w:type="pct"/>
          </w:tcPr>
          <w:p w14:paraId="660FEF51"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8</w:t>
            </w:r>
          </w:p>
          <w:p w14:paraId="0C5CDF41"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11</w:t>
            </w:r>
          </w:p>
          <w:p w14:paraId="61ED7882"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17</w:t>
            </w:r>
          </w:p>
          <w:p w14:paraId="6E350065"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2</w:t>
            </w:r>
          </w:p>
          <w:p w14:paraId="025D157C"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2</w:t>
            </w:r>
          </w:p>
          <w:p w14:paraId="480DF403"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5</w:t>
            </w:r>
          </w:p>
        </w:tc>
        <w:tc>
          <w:tcPr>
            <w:tcW w:w="1771" w:type="pct"/>
          </w:tcPr>
          <w:p w14:paraId="5A56F93F"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8</w:t>
            </w:r>
          </w:p>
          <w:p w14:paraId="55A4D4C8"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11</w:t>
            </w:r>
          </w:p>
          <w:p w14:paraId="2F83CFE7"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17</w:t>
            </w:r>
          </w:p>
          <w:p w14:paraId="6ECBA330"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2</w:t>
            </w:r>
          </w:p>
          <w:p w14:paraId="15405337"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2</w:t>
            </w:r>
          </w:p>
          <w:p w14:paraId="5FC5124F" w14:textId="77777777" w:rsidR="002742FF" w:rsidRPr="0076390A" w:rsidRDefault="002742FF" w:rsidP="0076390A">
            <w:pPr>
              <w:pStyle w:val="DecimalAligned"/>
              <w:spacing w:line="240" w:lineRule="auto"/>
              <w:rPr>
                <w:rFonts w:ascii="Book Antiqua" w:hAnsi="Book Antiqua"/>
                <w:color w:val="365F91"/>
              </w:rPr>
            </w:pPr>
            <w:r w:rsidRPr="0076390A">
              <w:rPr>
                <w:rFonts w:ascii="Book Antiqua" w:hAnsi="Book Antiqua"/>
                <w:color w:val="365F91"/>
              </w:rPr>
              <w:t>5</w:t>
            </w:r>
          </w:p>
        </w:tc>
      </w:tr>
      <w:tr w:rsidR="002742FF" w:rsidRPr="00D12E59" w14:paraId="688E16FE" w14:textId="77777777" w:rsidTr="0076390A">
        <w:trPr>
          <w:trHeight w:val="320"/>
        </w:trPr>
        <w:tc>
          <w:tcPr>
            <w:tcW w:w="1997" w:type="pct"/>
            <w:tcBorders>
              <w:top w:val="single" w:sz="8" w:space="0" w:color="000000"/>
              <w:left w:val="nil"/>
              <w:bottom w:val="single" w:sz="8" w:space="0" w:color="000000"/>
              <w:right w:val="nil"/>
            </w:tcBorders>
            <w:noWrap/>
          </w:tcPr>
          <w:p w14:paraId="406036B4" w14:textId="77777777" w:rsidR="002742FF" w:rsidRPr="0076390A" w:rsidRDefault="002742FF" w:rsidP="0076390A">
            <w:pPr>
              <w:spacing w:line="240" w:lineRule="auto"/>
              <w:rPr>
                <w:rFonts w:ascii="Book Antiqua" w:hAnsi="Book Antiqua"/>
                <w:b/>
                <w:bCs/>
                <w:color w:val="365F91"/>
              </w:rPr>
            </w:pPr>
            <w:r w:rsidRPr="0076390A">
              <w:rPr>
                <w:rFonts w:ascii="Book Antiqua" w:hAnsi="Book Antiqua"/>
                <w:b/>
                <w:bCs/>
                <w:color w:val="365F91"/>
              </w:rPr>
              <w:t>Total</w:t>
            </w:r>
          </w:p>
        </w:tc>
        <w:tc>
          <w:tcPr>
            <w:tcW w:w="1232" w:type="pct"/>
            <w:tcBorders>
              <w:top w:val="single" w:sz="8" w:space="0" w:color="000000"/>
              <w:left w:val="nil"/>
              <w:bottom w:val="single" w:sz="8" w:space="0" w:color="000000"/>
              <w:right w:val="nil"/>
            </w:tcBorders>
          </w:tcPr>
          <w:p w14:paraId="461F6D42" w14:textId="77777777" w:rsidR="002742FF" w:rsidRPr="0076390A" w:rsidRDefault="002742FF" w:rsidP="0076390A">
            <w:pPr>
              <w:pStyle w:val="DecimalAligned"/>
              <w:spacing w:line="240" w:lineRule="auto"/>
              <w:rPr>
                <w:rFonts w:ascii="Book Antiqua" w:hAnsi="Book Antiqua"/>
                <w:b/>
                <w:bCs/>
                <w:color w:val="365F91"/>
              </w:rPr>
            </w:pPr>
            <w:r w:rsidRPr="0076390A">
              <w:rPr>
                <w:rFonts w:ascii="Book Antiqua" w:hAnsi="Book Antiqua"/>
                <w:b/>
                <w:bCs/>
                <w:color w:val="365F91"/>
              </w:rPr>
              <w:t>45</w:t>
            </w:r>
          </w:p>
        </w:tc>
        <w:tc>
          <w:tcPr>
            <w:tcW w:w="1771" w:type="pct"/>
            <w:tcBorders>
              <w:top w:val="single" w:sz="8" w:space="0" w:color="000000"/>
              <w:left w:val="nil"/>
              <w:bottom w:val="single" w:sz="8" w:space="0" w:color="000000"/>
              <w:right w:val="nil"/>
            </w:tcBorders>
          </w:tcPr>
          <w:p w14:paraId="3EAF5CF6" w14:textId="77777777" w:rsidR="002742FF" w:rsidRPr="0076390A" w:rsidRDefault="002742FF" w:rsidP="0076390A">
            <w:pPr>
              <w:pStyle w:val="DecimalAligned"/>
              <w:spacing w:line="240" w:lineRule="auto"/>
              <w:rPr>
                <w:rFonts w:ascii="Book Antiqua" w:hAnsi="Book Antiqua"/>
                <w:b/>
                <w:bCs/>
                <w:color w:val="365F91"/>
              </w:rPr>
            </w:pPr>
            <w:r w:rsidRPr="0076390A">
              <w:rPr>
                <w:rFonts w:ascii="Book Antiqua" w:hAnsi="Book Antiqua"/>
                <w:b/>
                <w:bCs/>
                <w:color w:val="365F91"/>
              </w:rPr>
              <w:t>45</w:t>
            </w:r>
          </w:p>
        </w:tc>
      </w:tr>
    </w:tbl>
    <w:p w14:paraId="2E14EF02" w14:textId="77777777" w:rsidR="00CB6E2B" w:rsidRPr="006F3F80" w:rsidRDefault="00CB6E2B" w:rsidP="006F3F80">
      <w:pPr>
        <w:pStyle w:val="FootnoteText"/>
        <w:spacing w:line="276" w:lineRule="auto"/>
        <w:rPr>
          <w:rFonts w:ascii="Book Antiqua" w:hAnsi="Book Antiqua"/>
          <w:sz w:val="22"/>
          <w:szCs w:val="22"/>
        </w:rPr>
      </w:pPr>
      <w:r w:rsidRPr="001C41C2">
        <w:rPr>
          <w:rStyle w:val="SubtleEmphasis"/>
          <w:rFonts w:ascii="Book Antiqua" w:hAnsi="Book Antiqua"/>
          <w:b/>
          <w:sz w:val="22"/>
        </w:rPr>
        <w:t>Source:</w:t>
      </w:r>
      <w:r w:rsidRPr="00E3232D">
        <w:rPr>
          <w:rFonts w:ascii="Book Antiqua" w:hAnsi="Book Antiqua"/>
          <w:sz w:val="22"/>
          <w:szCs w:val="22"/>
        </w:rPr>
        <w:t xml:space="preserve"> Field Data, 2011</w:t>
      </w:r>
    </w:p>
    <w:p w14:paraId="7421E64E" w14:textId="77777777" w:rsidR="001B6607" w:rsidRPr="00E3232D" w:rsidRDefault="00481B23" w:rsidP="006F3F80">
      <w:pPr>
        <w:jc w:val="both"/>
        <w:rPr>
          <w:rFonts w:ascii="Book Antiqua" w:hAnsi="Book Antiqua"/>
          <w:b/>
        </w:rPr>
      </w:pPr>
      <w:r w:rsidRPr="00E3232D">
        <w:rPr>
          <w:rFonts w:ascii="Book Antiqua" w:hAnsi="Book Antiqua"/>
          <w:b/>
        </w:rPr>
        <w:t xml:space="preserve">Sampling Techniques </w:t>
      </w:r>
    </w:p>
    <w:p w14:paraId="538D4295" w14:textId="77777777" w:rsidR="001B6607" w:rsidRPr="00E3232D" w:rsidRDefault="001B6607" w:rsidP="006F3F80">
      <w:pPr>
        <w:jc w:val="both"/>
        <w:rPr>
          <w:rFonts w:ascii="Book Antiqua" w:hAnsi="Book Antiqua"/>
        </w:rPr>
      </w:pPr>
      <w:r w:rsidRPr="00E3232D">
        <w:rPr>
          <w:rFonts w:ascii="Book Antiqua" w:hAnsi="Book Antiqua"/>
        </w:rPr>
        <w:t xml:space="preserve">The non-probability sample was adopted in the selection of the sample from the population. Non-probability sampling is a sampling technique where the samples are gathered in a process that does not give all the individuals in the population equal chances of being selected.  The purposive sampling procedure was adopted in getting the sample out of the population. The purposive sampling is used by researchers to choose a sample based on who a researcher thinks would be appropriate for the study; it is primarily used when there are a limited number of people with expertise in the area being studied. The purposive sampling technique was </w:t>
      </w:r>
      <w:r w:rsidRPr="00E3232D">
        <w:rPr>
          <w:rFonts w:ascii="Book Antiqua" w:hAnsi="Book Antiqua"/>
        </w:rPr>
        <w:t xml:space="preserve">therefore adopted to select the sample size of 45 out of the population of 101. </w:t>
      </w:r>
    </w:p>
    <w:p w14:paraId="6D403EE5" w14:textId="77777777" w:rsidR="001B6607" w:rsidRPr="00E3232D" w:rsidRDefault="001B6607" w:rsidP="006F3F80">
      <w:pPr>
        <w:jc w:val="both"/>
        <w:rPr>
          <w:rFonts w:ascii="Book Antiqua" w:hAnsi="Book Antiqua"/>
          <w:b/>
        </w:rPr>
      </w:pPr>
      <w:r w:rsidRPr="00E3232D">
        <w:rPr>
          <w:rFonts w:ascii="Book Antiqua" w:hAnsi="Book Antiqua"/>
          <w:b/>
        </w:rPr>
        <w:t>PRE</w:t>
      </w:r>
      <w:r w:rsidR="00481B23" w:rsidRPr="00E3232D">
        <w:rPr>
          <w:rFonts w:ascii="Book Antiqua" w:hAnsi="Book Antiqua"/>
          <w:b/>
        </w:rPr>
        <w:t>-</w:t>
      </w:r>
      <w:r w:rsidRPr="00E3232D">
        <w:rPr>
          <w:rFonts w:ascii="Book Antiqua" w:hAnsi="Book Antiqua"/>
          <w:b/>
        </w:rPr>
        <w:t xml:space="preserve">TESTING OF QUESTIONNAIRES  </w:t>
      </w:r>
    </w:p>
    <w:p w14:paraId="54B9BF31" w14:textId="77777777" w:rsidR="001B6607" w:rsidRPr="00E3232D" w:rsidRDefault="001B6607" w:rsidP="006F3F80">
      <w:pPr>
        <w:jc w:val="both"/>
        <w:rPr>
          <w:rFonts w:ascii="Book Antiqua" w:hAnsi="Book Antiqua"/>
        </w:rPr>
      </w:pPr>
      <w:r w:rsidRPr="00E3232D">
        <w:rPr>
          <w:rFonts w:ascii="Book Antiqua" w:hAnsi="Book Antiqua"/>
        </w:rPr>
        <w:t xml:space="preserve">The questionnaires were pre-tested in the neighbouring District of Yilo Krobo, Somanya. Through the simple random procedure, 4 finance staff, 4 works department staff, 3 administration staff, 2 planning and budget unit staff, 1 internal audit staff and 1 stores staff were selected for the questionnaire to be pre-tested.  </w:t>
      </w:r>
    </w:p>
    <w:p w14:paraId="74E89922" w14:textId="77777777" w:rsidR="002742FF" w:rsidRDefault="001B6607" w:rsidP="006F3F80">
      <w:pPr>
        <w:jc w:val="both"/>
        <w:rPr>
          <w:rFonts w:ascii="Book Antiqua" w:hAnsi="Book Antiqua"/>
        </w:rPr>
      </w:pPr>
      <w:r w:rsidRPr="00E3232D">
        <w:rPr>
          <w:rFonts w:ascii="Book Antiqua" w:hAnsi="Book Antiqua"/>
        </w:rPr>
        <w:t>The Combach’s alpha co-efficient measure of internal consistency was used in determining the reliability of the questionnaire used for the study. As regards pre-testing, Donald (1990) stresses the need for pre-test because it helps the researcher to decide whether the study is feasible and worthwhile to continue. It also provides an opportunity to assess the appropriateness and practicality of the data collection instrument. The overall average of 7872 was considered good.</w:t>
      </w:r>
    </w:p>
    <w:p w14:paraId="1A47A17E" w14:textId="77777777" w:rsidR="006F3F80" w:rsidRDefault="001B6607" w:rsidP="006F3F80">
      <w:pPr>
        <w:jc w:val="both"/>
        <w:rPr>
          <w:rFonts w:ascii="Book Antiqua" w:hAnsi="Book Antiqua"/>
        </w:rPr>
      </w:pPr>
      <w:r w:rsidRPr="00E3232D">
        <w:rPr>
          <w:rFonts w:ascii="Book Antiqua" w:hAnsi="Book Antiqua"/>
        </w:rPr>
        <w:t xml:space="preserve">The results of the pre-testing showed that the Yilo Krobo District Assembly has a strong internal control mechanism in place and that the procurement of goods, services and works are done according to specifications  of the Assembly, The Assembly is also able to collect non-tax </w:t>
      </w:r>
      <w:r w:rsidRPr="00E3232D">
        <w:rPr>
          <w:rFonts w:ascii="Book Antiqua" w:hAnsi="Book Antiqua"/>
        </w:rPr>
        <w:lastRenderedPageBreak/>
        <w:t xml:space="preserve">revenue within the District for development project. </w:t>
      </w:r>
    </w:p>
    <w:p w14:paraId="490B273B" w14:textId="77777777" w:rsidR="0041601D" w:rsidRPr="00751699" w:rsidRDefault="00E10ABB" w:rsidP="008275E1">
      <w:pPr>
        <w:rPr>
          <w:rFonts w:ascii="Book Antiqua" w:hAnsi="Book Antiqua"/>
          <w:b/>
          <w:sz w:val="26"/>
        </w:rPr>
      </w:pPr>
      <w:r>
        <w:rPr>
          <w:rFonts w:ascii="Book Antiqua" w:hAnsi="Book Antiqua"/>
          <w:b/>
          <w:sz w:val="26"/>
        </w:rPr>
        <w:t xml:space="preserve">3.0 </w:t>
      </w:r>
      <w:r w:rsidR="00481B23" w:rsidRPr="00751699">
        <w:rPr>
          <w:rFonts w:ascii="Book Antiqua" w:hAnsi="Book Antiqua"/>
          <w:b/>
          <w:sz w:val="26"/>
        </w:rPr>
        <w:t>Results And Discussion</w:t>
      </w:r>
    </w:p>
    <w:tbl>
      <w:tblPr>
        <w:tblpPr w:leftFromText="180" w:rightFromText="180" w:vertAnchor="text" w:horzAnchor="margin" w:tblpY="733"/>
        <w:tblW w:w="4761" w:type="pct"/>
        <w:tblBorders>
          <w:top w:val="single" w:sz="8" w:space="0" w:color="000000"/>
          <w:bottom w:val="single" w:sz="8" w:space="0" w:color="000000"/>
        </w:tblBorders>
        <w:tblLook w:val="0660" w:firstRow="1" w:lastRow="1" w:firstColumn="0" w:lastColumn="0" w:noHBand="1" w:noVBand="1"/>
      </w:tblPr>
      <w:tblGrid>
        <w:gridCol w:w="1445"/>
        <w:gridCol w:w="1444"/>
        <w:gridCol w:w="1443"/>
      </w:tblGrid>
      <w:tr w:rsidR="00901C39" w:rsidRPr="00D12E59" w14:paraId="5EA18444" w14:textId="77777777" w:rsidTr="0076390A">
        <w:trPr>
          <w:trHeight w:val="610"/>
        </w:trPr>
        <w:tc>
          <w:tcPr>
            <w:tcW w:w="1667" w:type="pct"/>
            <w:tcBorders>
              <w:top w:val="single" w:sz="8" w:space="0" w:color="000000"/>
              <w:left w:val="nil"/>
              <w:bottom w:val="single" w:sz="8" w:space="0" w:color="000000"/>
              <w:right w:val="nil"/>
            </w:tcBorders>
            <w:noWrap/>
          </w:tcPr>
          <w:p w14:paraId="4BECCEB6" w14:textId="77777777" w:rsidR="00901C39" w:rsidRPr="0076390A" w:rsidRDefault="00901C39" w:rsidP="00E10ABB">
            <w:pPr>
              <w:spacing w:after="0" w:line="240" w:lineRule="auto"/>
              <w:rPr>
                <w:rFonts w:ascii="Book Antiqua" w:hAnsi="Book Antiqua"/>
                <w:b/>
                <w:bCs/>
                <w:color w:val="365F91"/>
              </w:rPr>
            </w:pPr>
            <w:r w:rsidRPr="0076390A">
              <w:rPr>
                <w:rFonts w:ascii="Book Antiqua" w:hAnsi="Book Antiqua"/>
                <w:b/>
                <w:bCs/>
                <w:color w:val="365F91"/>
              </w:rPr>
              <w:t>Response</w:t>
            </w:r>
          </w:p>
        </w:tc>
        <w:tc>
          <w:tcPr>
            <w:tcW w:w="1667" w:type="pct"/>
            <w:tcBorders>
              <w:top w:val="single" w:sz="8" w:space="0" w:color="000000"/>
              <w:left w:val="nil"/>
              <w:bottom w:val="single" w:sz="8" w:space="0" w:color="000000"/>
              <w:right w:val="nil"/>
            </w:tcBorders>
          </w:tcPr>
          <w:p w14:paraId="56C2F282" w14:textId="77777777" w:rsidR="00901C39" w:rsidRPr="0076390A" w:rsidRDefault="00901C39" w:rsidP="00E10ABB">
            <w:pPr>
              <w:spacing w:after="0" w:line="240" w:lineRule="auto"/>
              <w:rPr>
                <w:rFonts w:ascii="Book Antiqua" w:hAnsi="Book Antiqua"/>
                <w:b/>
                <w:bCs/>
                <w:color w:val="365F91"/>
              </w:rPr>
            </w:pPr>
            <w:r w:rsidRPr="0076390A">
              <w:rPr>
                <w:rFonts w:ascii="Book Antiqua" w:hAnsi="Book Antiqua"/>
                <w:b/>
                <w:bCs/>
                <w:color w:val="365F91"/>
              </w:rPr>
              <w:t>Frequency</w:t>
            </w:r>
          </w:p>
        </w:tc>
        <w:tc>
          <w:tcPr>
            <w:tcW w:w="1666" w:type="pct"/>
            <w:tcBorders>
              <w:top w:val="single" w:sz="8" w:space="0" w:color="000000"/>
              <w:left w:val="nil"/>
              <w:bottom w:val="single" w:sz="8" w:space="0" w:color="000000"/>
              <w:right w:val="nil"/>
            </w:tcBorders>
          </w:tcPr>
          <w:p w14:paraId="0FDE4FA1" w14:textId="77777777" w:rsidR="00901C39" w:rsidRPr="0076390A" w:rsidRDefault="00901C39" w:rsidP="00E10ABB">
            <w:pPr>
              <w:spacing w:after="0" w:line="240" w:lineRule="auto"/>
              <w:rPr>
                <w:rFonts w:ascii="Book Antiqua" w:hAnsi="Book Antiqua"/>
                <w:b/>
                <w:bCs/>
                <w:color w:val="365F91"/>
              </w:rPr>
            </w:pPr>
            <w:r w:rsidRPr="0076390A">
              <w:rPr>
                <w:rFonts w:ascii="Book Antiqua" w:hAnsi="Book Antiqua"/>
                <w:b/>
                <w:bCs/>
                <w:color w:val="365F91"/>
              </w:rPr>
              <w:t>Percentage (%)</w:t>
            </w:r>
          </w:p>
        </w:tc>
      </w:tr>
      <w:tr w:rsidR="00901C39" w:rsidRPr="00D12E59" w14:paraId="78C5DEAC" w14:textId="77777777" w:rsidTr="00E10ABB">
        <w:trPr>
          <w:trHeight w:val="512"/>
        </w:trPr>
        <w:tc>
          <w:tcPr>
            <w:tcW w:w="1667" w:type="pct"/>
            <w:noWrap/>
          </w:tcPr>
          <w:p w14:paraId="755C080E" w14:textId="77777777" w:rsidR="00901C39" w:rsidRPr="0076390A" w:rsidRDefault="00901C39" w:rsidP="00E10ABB">
            <w:pPr>
              <w:spacing w:after="0" w:line="240" w:lineRule="auto"/>
              <w:rPr>
                <w:rFonts w:ascii="Book Antiqua" w:hAnsi="Book Antiqua"/>
                <w:color w:val="365F91"/>
              </w:rPr>
            </w:pPr>
            <w:r w:rsidRPr="0076390A">
              <w:rPr>
                <w:rFonts w:ascii="Book Antiqua" w:hAnsi="Book Antiqua"/>
                <w:color w:val="365F91"/>
              </w:rPr>
              <w:t>Yes</w:t>
            </w:r>
          </w:p>
          <w:p w14:paraId="66ADFBBE" w14:textId="77777777" w:rsidR="00901C39" w:rsidRPr="0076390A" w:rsidRDefault="00901C39" w:rsidP="00E10ABB">
            <w:pPr>
              <w:spacing w:after="0" w:line="240" w:lineRule="auto"/>
              <w:rPr>
                <w:rFonts w:ascii="Book Antiqua" w:hAnsi="Book Antiqua"/>
                <w:color w:val="365F91"/>
              </w:rPr>
            </w:pPr>
            <w:r w:rsidRPr="0076390A">
              <w:rPr>
                <w:rFonts w:ascii="Book Antiqua" w:hAnsi="Book Antiqua"/>
                <w:color w:val="365F91"/>
              </w:rPr>
              <w:t>No</w:t>
            </w:r>
          </w:p>
        </w:tc>
        <w:tc>
          <w:tcPr>
            <w:tcW w:w="1667" w:type="pct"/>
          </w:tcPr>
          <w:p w14:paraId="3B9F8F33" w14:textId="77777777" w:rsidR="00901C39" w:rsidRPr="0076390A" w:rsidRDefault="00901C39" w:rsidP="00E10ABB">
            <w:pPr>
              <w:pStyle w:val="DecimalAligned"/>
              <w:spacing w:after="0" w:line="240" w:lineRule="auto"/>
              <w:rPr>
                <w:rFonts w:ascii="Book Antiqua" w:hAnsi="Book Antiqua"/>
                <w:color w:val="365F91"/>
              </w:rPr>
            </w:pPr>
            <w:r w:rsidRPr="0076390A">
              <w:rPr>
                <w:rFonts w:ascii="Book Antiqua" w:hAnsi="Book Antiqua"/>
                <w:color w:val="365F91"/>
              </w:rPr>
              <w:t>12</w:t>
            </w:r>
          </w:p>
          <w:p w14:paraId="734575EF" w14:textId="77777777" w:rsidR="00901C39" w:rsidRPr="0076390A" w:rsidRDefault="00901C39" w:rsidP="00E10ABB">
            <w:pPr>
              <w:pStyle w:val="DecimalAligned"/>
              <w:spacing w:after="0" w:line="240" w:lineRule="auto"/>
              <w:rPr>
                <w:rFonts w:ascii="Book Antiqua" w:hAnsi="Book Antiqua"/>
                <w:color w:val="365F91"/>
              </w:rPr>
            </w:pPr>
            <w:r w:rsidRPr="0076390A">
              <w:rPr>
                <w:rFonts w:ascii="Book Antiqua" w:hAnsi="Book Antiqua"/>
                <w:color w:val="365F91"/>
              </w:rPr>
              <w:t>33</w:t>
            </w:r>
          </w:p>
        </w:tc>
        <w:tc>
          <w:tcPr>
            <w:tcW w:w="1666" w:type="pct"/>
          </w:tcPr>
          <w:p w14:paraId="4ACA4CEE" w14:textId="77777777" w:rsidR="00901C39" w:rsidRPr="0076390A" w:rsidRDefault="00901C39" w:rsidP="00E10ABB">
            <w:pPr>
              <w:pStyle w:val="DecimalAligned"/>
              <w:spacing w:after="0" w:line="240" w:lineRule="auto"/>
              <w:rPr>
                <w:rFonts w:ascii="Book Antiqua" w:hAnsi="Book Antiqua"/>
                <w:color w:val="365F91"/>
              </w:rPr>
            </w:pPr>
            <w:r w:rsidRPr="0076390A">
              <w:rPr>
                <w:rFonts w:ascii="Book Antiqua" w:hAnsi="Book Antiqua"/>
                <w:color w:val="365F91"/>
              </w:rPr>
              <w:t>73.33</w:t>
            </w:r>
          </w:p>
          <w:p w14:paraId="4DF63115" w14:textId="77777777" w:rsidR="00901C39" w:rsidRPr="0076390A" w:rsidRDefault="00901C39" w:rsidP="00E10ABB">
            <w:pPr>
              <w:pStyle w:val="DecimalAligned"/>
              <w:spacing w:after="0" w:line="240" w:lineRule="auto"/>
              <w:rPr>
                <w:rFonts w:ascii="Book Antiqua" w:hAnsi="Book Antiqua"/>
                <w:color w:val="365F91"/>
              </w:rPr>
            </w:pPr>
            <w:r w:rsidRPr="0076390A">
              <w:rPr>
                <w:rFonts w:ascii="Book Antiqua" w:hAnsi="Book Antiqua"/>
                <w:color w:val="365F91"/>
              </w:rPr>
              <w:t>26.67</w:t>
            </w:r>
          </w:p>
        </w:tc>
      </w:tr>
      <w:tr w:rsidR="00901C39" w:rsidRPr="00D12E59" w14:paraId="13075D3A" w14:textId="77777777" w:rsidTr="0076390A">
        <w:trPr>
          <w:trHeight w:val="427"/>
        </w:trPr>
        <w:tc>
          <w:tcPr>
            <w:tcW w:w="1667" w:type="pct"/>
            <w:tcBorders>
              <w:top w:val="single" w:sz="8" w:space="0" w:color="000000"/>
              <w:left w:val="nil"/>
              <w:bottom w:val="single" w:sz="8" w:space="0" w:color="000000"/>
              <w:right w:val="nil"/>
            </w:tcBorders>
            <w:noWrap/>
          </w:tcPr>
          <w:p w14:paraId="59FC69D7" w14:textId="77777777" w:rsidR="00901C39" w:rsidRPr="0076390A" w:rsidRDefault="00901C39" w:rsidP="00E10ABB">
            <w:pPr>
              <w:spacing w:after="0" w:line="240" w:lineRule="auto"/>
              <w:rPr>
                <w:rFonts w:ascii="Book Antiqua" w:hAnsi="Book Antiqua"/>
                <w:b/>
                <w:bCs/>
                <w:color w:val="365F91"/>
              </w:rPr>
            </w:pPr>
            <w:r w:rsidRPr="0076390A">
              <w:rPr>
                <w:rFonts w:ascii="Book Antiqua" w:hAnsi="Book Antiqua"/>
                <w:b/>
                <w:bCs/>
                <w:color w:val="365F91"/>
              </w:rPr>
              <w:t>Total</w:t>
            </w:r>
          </w:p>
        </w:tc>
        <w:tc>
          <w:tcPr>
            <w:tcW w:w="1667" w:type="pct"/>
            <w:tcBorders>
              <w:top w:val="single" w:sz="8" w:space="0" w:color="000000"/>
              <w:left w:val="nil"/>
              <w:bottom w:val="single" w:sz="8" w:space="0" w:color="000000"/>
              <w:right w:val="nil"/>
            </w:tcBorders>
          </w:tcPr>
          <w:p w14:paraId="43753299" w14:textId="77777777" w:rsidR="00901C39" w:rsidRPr="0076390A" w:rsidRDefault="00901C39" w:rsidP="00E10ABB">
            <w:pPr>
              <w:pStyle w:val="DecimalAligned"/>
              <w:spacing w:after="0" w:line="240" w:lineRule="auto"/>
              <w:rPr>
                <w:rFonts w:ascii="Book Antiqua" w:hAnsi="Book Antiqua"/>
                <w:b/>
                <w:bCs/>
                <w:color w:val="365F91"/>
              </w:rPr>
            </w:pPr>
            <w:r w:rsidRPr="0076390A">
              <w:rPr>
                <w:rFonts w:ascii="Book Antiqua" w:hAnsi="Book Antiqua"/>
                <w:b/>
                <w:bCs/>
                <w:color w:val="365F91"/>
              </w:rPr>
              <w:t>45</w:t>
            </w:r>
          </w:p>
        </w:tc>
        <w:tc>
          <w:tcPr>
            <w:tcW w:w="1666" w:type="pct"/>
            <w:tcBorders>
              <w:top w:val="single" w:sz="8" w:space="0" w:color="000000"/>
              <w:left w:val="nil"/>
              <w:bottom w:val="single" w:sz="8" w:space="0" w:color="000000"/>
              <w:right w:val="nil"/>
            </w:tcBorders>
          </w:tcPr>
          <w:p w14:paraId="0222FB17" w14:textId="77777777" w:rsidR="00901C39" w:rsidRPr="0076390A" w:rsidRDefault="00901C39" w:rsidP="00E10ABB">
            <w:pPr>
              <w:pStyle w:val="DecimalAligned"/>
              <w:spacing w:after="0" w:line="240" w:lineRule="auto"/>
              <w:rPr>
                <w:rFonts w:ascii="Book Antiqua" w:hAnsi="Book Antiqua"/>
                <w:b/>
                <w:bCs/>
                <w:color w:val="365F91"/>
              </w:rPr>
            </w:pPr>
            <w:r w:rsidRPr="0076390A">
              <w:rPr>
                <w:rFonts w:ascii="Book Antiqua" w:hAnsi="Book Antiqua"/>
                <w:b/>
                <w:bCs/>
                <w:color w:val="365F91"/>
              </w:rPr>
              <w:t>100</w:t>
            </w:r>
          </w:p>
        </w:tc>
      </w:tr>
    </w:tbl>
    <w:p w14:paraId="1C903292" w14:textId="77777777" w:rsidR="00E17D94" w:rsidRDefault="001B6607" w:rsidP="00E10ABB">
      <w:pPr>
        <w:spacing w:after="0"/>
        <w:rPr>
          <w:rFonts w:ascii="Book Antiqua" w:hAnsi="Book Antiqua"/>
        </w:rPr>
      </w:pPr>
      <w:r w:rsidRPr="00E3232D">
        <w:rPr>
          <w:rFonts w:ascii="Book Antiqua" w:hAnsi="Book Antiqua"/>
          <w:b/>
        </w:rPr>
        <w:t>Table 3:</w:t>
      </w:r>
      <w:r w:rsidRPr="00E3232D">
        <w:rPr>
          <w:rFonts w:ascii="Book Antiqua" w:hAnsi="Book Antiqua"/>
        </w:rPr>
        <w:t xml:space="preserve"> Existence of a Procurement </w:t>
      </w:r>
    </w:p>
    <w:p w14:paraId="62F0D3DE" w14:textId="77777777" w:rsidR="0041601D" w:rsidRPr="006F3F80" w:rsidRDefault="001B6607" w:rsidP="006F3F80">
      <w:pPr>
        <w:spacing w:after="0" w:line="240" w:lineRule="auto"/>
        <w:rPr>
          <w:rStyle w:val="SubtleEmphasis"/>
          <w:rFonts w:ascii="Book Antiqua" w:eastAsia="Calibri" w:hAnsi="Book Antiqua"/>
          <w:i w:val="0"/>
          <w:iCs w:val="0"/>
        </w:rPr>
      </w:pPr>
      <w:r w:rsidRPr="00E3232D">
        <w:rPr>
          <w:rFonts w:ascii="Book Antiqua" w:hAnsi="Book Antiqua"/>
        </w:rPr>
        <w:t>Department</w:t>
      </w:r>
    </w:p>
    <w:p w14:paraId="4BFCDAC4" w14:textId="77777777" w:rsidR="001B6607" w:rsidRPr="00901C39" w:rsidRDefault="001B6607" w:rsidP="00901C39">
      <w:pPr>
        <w:pStyle w:val="FootnoteText"/>
        <w:spacing w:line="276" w:lineRule="auto"/>
        <w:rPr>
          <w:rFonts w:ascii="Book Antiqua" w:hAnsi="Book Antiqua"/>
          <w:sz w:val="22"/>
          <w:szCs w:val="22"/>
        </w:rPr>
      </w:pPr>
      <w:r w:rsidRPr="00E3232D">
        <w:rPr>
          <w:rStyle w:val="SubtleEmphasis"/>
          <w:rFonts w:ascii="Book Antiqua" w:hAnsi="Book Antiqua"/>
          <w:sz w:val="22"/>
        </w:rPr>
        <w:t>Source:</w:t>
      </w:r>
      <w:r w:rsidRPr="00E3232D">
        <w:rPr>
          <w:rFonts w:ascii="Book Antiqua" w:hAnsi="Book Antiqua"/>
          <w:sz w:val="22"/>
          <w:szCs w:val="22"/>
        </w:rPr>
        <w:t xml:space="preserve"> Field Data, 2011</w:t>
      </w:r>
    </w:p>
    <w:p w14:paraId="3E61795B" w14:textId="77777777" w:rsidR="006554BB" w:rsidRPr="006F3F80" w:rsidRDefault="001B6607" w:rsidP="005525C9">
      <w:pPr>
        <w:jc w:val="both"/>
        <w:rPr>
          <w:rFonts w:ascii="Book Antiqua" w:hAnsi="Book Antiqua"/>
        </w:rPr>
      </w:pPr>
      <w:r w:rsidRPr="00E3232D">
        <w:rPr>
          <w:rFonts w:ascii="Book Antiqua" w:hAnsi="Book Antiqua"/>
        </w:rPr>
        <w:t xml:space="preserve">The study found out from the respondents if the Assembly had a Procurement Department which takes full responsibility for procurement activities in the District. The data from the research showed that majority of the respondent, 33 respondents representing 73.33% responded that the Assembly does not have a procurement department whereas 12 respondents representing 26.67% responded that the Assembly has a Procurement Department in place that takes charge for all procurement activities in the Assembly. The absence of a procurement department meant that the procurement activities and programmes of the Assembly are ‘uncoordinated’ as there is no single department that takes charge of procurement. This often results in conflict between the works, finance, stores and planning departments as to who has authority over procurement. According to Penny, and Whittington (1997), the control environment sets the tone of an organization by influencing the control consciousness of people; it may be viewed as the foundation for other components of internal control. Control environment </w:t>
      </w:r>
      <w:r w:rsidRPr="00E3232D">
        <w:rPr>
          <w:rFonts w:ascii="Book Antiqua" w:hAnsi="Book Antiqua"/>
        </w:rPr>
        <w:t xml:space="preserve">factors include management’s philosophy and operating style, organizational structure and assignment of authority and responsibility.  </w:t>
      </w:r>
    </w:p>
    <w:p w14:paraId="3C795DF8" w14:textId="77777777" w:rsidR="001B6607" w:rsidRPr="00E3232D" w:rsidRDefault="001B6607" w:rsidP="008275E1">
      <w:pPr>
        <w:rPr>
          <w:rFonts w:ascii="Book Antiqua" w:hAnsi="Book Antiqua"/>
        </w:rPr>
      </w:pPr>
      <w:r w:rsidRPr="00E3232D">
        <w:rPr>
          <w:rFonts w:ascii="Book Antiqua" w:hAnsi="Book Antiqua"/>
          <w:b/>
        </w:rPr>
        <w:t>Table 4:</w:t>
      </w:r>
      <w:r w:rsidRPr="00E3232D">
        <w:rPr>
          <w:rFonts w:ascii="Book Antiqua" w:hAnsi="Book Antiqua"/>
        </w:rPr>
        <w:t xml:space="preserve"> Existence of a Monitoring Team</w:t>
      </w:r>
    </w:p>
    <w:tbl>
      <w:tblPr>
        <w:tblpPr w:leftFromText="180" w:rightFromText="180" w:vertAnchor="text" w:horzAnchor="margin" w:tblpXSpec="right" w:tblpY="16"/>
        <w:tblW w:w="4855" w:type="pct"/>
        <w:tblBorders>
          <w:top w:val="single" w:sz="8" w:space="0" w:color="000000"/>
          <w:bottom w:val="single" w:sz="8" w:space="0" w:color="000000"/>
        </w:tblBorders>
        <w:tblLook w:val="0660" w:firstRow="1" w:lastRow="1" w:firstColumn="0" w:lastColumn="0" w:noHBand="1" w:noVBand="1"/>
      </w:tblPr>
      <w:tblGrid>
        <w:gridCol w:w="1472"/>
        <w:gridCol w:w="1473"/>
        <w:gridCol w:w="1472"/>
      </w:tblGrid>
      <w:tr w:rsidR="00901C39" w:rsidRPr="00D12E59" w14:paraId="38EE0D52" w14:textId="77777777" w:rsidTr="00E10ABB">
        <w:trPr>
          <w:trHeight w:val="520"/>
        </w:trPr>
        <w:tc>
          <w:tcPr>
            <w:tcW w:w="1667" w:type="pct"/>
            <w:tcBorders>
              <w:top w:val="single" w:sz="8" w:space="0" w:color="000000"/>
              <w:left w:val="nil"/>
              <w:bottom w:val="single" w:sz="8" w:space="0" w:color="000000"/>
              <w:right w:val="nil"/>
            </w:tcBorders>
            <w:noWrap/>
          </w:tcPr>
          <w:p w14:paraId="1716B8A1" w14:textId="77777777" w:rsidR="00901C39" w:rsidRPr="0076390A" w:rsidRDefault="00901C39" w:rsidP="00E10ABB">
            <w:pPr>
              <w:spacing w:after="0" w:line="240" w:lineRule="auto"/>
              <w:rPr>
                <w:rFonts w:ascii="Book Antiqua" w:hAnsi="Book Antiqua"/>
                <w:b/>
                <w:bCs/>
                <w:color w:val="365F91"/>
              </w:rPr>
            </w:pPr>
            <w:r w:rsidRPr="0076390A">
              <w:rPr>
                <w:rFonts w:ascii="Book Antiqua" w:hAnsi="Book Antiqua"/>
                <w:b/>
                <w:bCs/>
                <w:color w:val="365F91"/>
              </w:rPr>
              <w:t>Response</w:t>
            </w:r>
          </w:p>
        </w:tc>
        <w:tc>
          <w:tcPr>
            <w:tcW w:w="1667" w:type="pct"/>
            <w:tcBorders>
              <w:top w:val="single" w:sz="8" w:space="0" w:color="000000"/>
              <w:left w:val="nil"/>
              <w:bottom w:val="single" w:sz="8" w:space="0" w:color="000000"/>
              <w:right w:val="nil"/>
            </w:tcBorders>
          </w:tcPr>
          <w:p w14:paraId="5DB5C18B" w14:textId="77777777" w:rsidR="00901C39" w:rsidRPr="0076390A" w:rsidRDefault="00901C39" w:rsidP="00E10ABB">
            <w:pPr>
              <w:spacing w:after="0" w:line="240" w:lineRule="auto"/>
              <w:rPr>
                <w:rFonts w:ascii="Book Antiqua" w:hAnsi="Book Antiqua"/>
                <w:b/>
                <w:bCs/>
                <w:color w:val="365F91"/>
              </w:rPr>
            </w:pPr>
            <w:r w:rsidRPr="0076390A">
              <w:rPr>
                <w:rFonts w:ascii="Book Antiqua" w:hAnsi="Book Antiqua"/>
                <w:b/>
                <w:bCs/>
                <w:color w:val="365F91"/>
              </w:rPr>
              <w:t>Frequency</w:t>
            </w:r>
          </w:p>
        </w:tc>
        <w:tc>
          <w:tcPr>
            <w:tcW w:w="1666" w:type="pct"/>
            <w:tcBorders>
              <w:top w:val="single" w:sz="8" w:space="0" w:color="000000"/>
              <w:left w:val="nil"/>
              <w:bottom w:val="single" w:sz="8" w:space="0" w:color="000000"/>
              <w:right w:val="nil"/>
            </w:tcBorders>
          </w:tcPr>
          <w:p w14:paraId="20CECF29" w14:textId="77777777" w:rsidR="00901C39" w:rsidRPr="0076390A" w:rsidRDefault="00901C39" w:rsidP="00E10ABB">
            <w:pPr>
              <w:spacing w:after="0" w:line="240" w:lineRule="auto"/>
              <w:rPr>
                <w:rFonts w:ascii="Book Antiqua" w:hAnsi="Book Antiqua"/>
                <w:b/>
                <w:bCs/>
                <w:color w:val="365F91"/>
              </w:rPr>
            </w:pPr>
            <w:r w:rsidRPr="0076390A">
              <w:rPr>
                <w:rFonts w:ascii="Book Antiqua" w:hAnsi="Book Antiqua"/>
                <w:b/>
                <w:bCs/>
                <w:color w:val="365F91"/>
              </w:rPr>
              <w:t>Percentage (%)</w:t>
            </w:r>
          </w:p>
        </w:tc>
      </w:tr>
      <w:tr w:rsidR="00901C39" w:rsidRPr="00D12E59" w14:paraId="0110FD34" w14:textId="77777777" w:rsidTr="00E10ABB">
        <w:trPr>
          <w:trHeight w:val="609"/>
        </w:trPr>
        <w:tc>
          <w:tcPr>
            <w:tcW w:w="1667" w:type="pct"/>
            <w:noWrap/>
          </w:tcPr>
          <w:p w14:paraId="1F81C9D3" w14:textId="77777777" w:rsidR="00901C39" w:rsidRPr="0076390A" w:rsidRDefault="00901C39" w:rsidP="00E10ABB">
            <w:pPr>
              <w:spacing w:after="0" w:line="240" w:lineRule="auto"/>
              <w:rPr>
                <w:rFonts w:ascii="Book Antiqua" w:hAnsi="Book Antiqua"/>
                <w:color w:val="365F91"/>
              </w:rPr>
            </w:pPr>
            <w:r w:rsidRPr="0076390A">
              <w:rPr>
                <w:rFonts w:ascii="Book Antiqua" w:hAnsi="Book Antiqua"/>
                <w:color w:val="365F91"/>
              </w:rPr>
              <w:t>Yes</w:t>
            </w:r>
          </w:p>
          <w:p w14:paraId="51285E9F" w14:textId="77777777" w:rsidR="00901C39" w:rsidRPr="0076390A" w:rsidRDefault="00901C39" w:rsidP="00E10ABB">
            <w:pPr>
              <w:spacing w:after="0" w:line="240" w:lineRule="auto"/>
              <w:rPr>
                <w:rFonts w:ascii="Book Antiqua" w:hAnsi="Book Antiqua"/>
                <w:color w:val="365F91"/>
              </w:rPr>
            </w:pPr>
            <w:r w:rsidRPr="0076390A">
              <w:rPr>
                <w:rFonts w:ascii="Book Antiqua" w:hAnsi="Book Antiqua"/>
                <w:color w:val="365F91"/>
              </w:rPr>
              <w:t>No</w:t>
            </w:r>
          </w:p>
        </w:tc>
        <w:tc>
          <w:tcPr>
            <w:tcW w:w="1667" w:type="pct"/>
          </w:tcPr>
          <w:p w14:paraId="14C2D1BB" w14:textId="77777777" w:rsidR="00901C39" w:rsidRPr="0076390A" w:rsidRDefault="00901C39" w:rsidP="00E10ABB">
            <w:pPr>
              <w:pStyle w:val="DecimalAligned"/>
              <w:spacing w:after="0" w:line="240" w:lineRule="auto"/>
              <w:rPr>
                <w:rFonts w:ascii="Book Antiqua" w:hAnsi="Book Antiqua"/>
                <w:color w:val="365F91"/>
              </w:rPr>
            </w:pPr>
            <w:r w:rsidRPr="0076390A">
              <w:rPr>
                <w:rFonts w:ascii="Book Antiqua" w:hAnsi="Book Antiqua"/>
                <w:color w:val="365F91"/>
              </w:rPr>
              <w:t>17</w:t>
            </w:r>
          </w:p>
          <w:p w14:paraId="10F4AFDA" w14:textId="77777777" w:rsidR="00901C39" w:rsidRPr="0076390A" w:rsidRDefault="00901C39" w:rsidP="00E10ABB">
            <w:pPr>
              <w:pStyle w:val="DecimalAligned"/>
              <w:spacing w:after="0" w:line="240" w:lineRule="auto"/>
              <w:rPr>
                <w:rFonts w:ascii="Book Antiqua" w:hAnsi="Book Antiqua"/>
                <w:color w:val="365F91"/>
              </w:rPr>
            </w:pPr>
            <w:r w:rsidRPr="0076390A">
              <w:rPr>
                <w:rFonts w:ascii="Book Antiqua" w:hAnsi="Book Antiqua"/>
                <w:color w:val="365F91"/>
              </w:rPr>
              <w:t>28</w:t>
            </w:r>
          </w:p>
        </w:tc>
        <w:tc>
          <w:tcPr>
            <w:tcW w:w="1666" w:type="pct"/>
          </w:tcPr>
          <w:p w14:paraId="160B0B86" w14:textId="77777777" w:rsidR="00901C39" w:rsidRPr="0076390A" w:rsidRDefault="00901C39" w:rsidP="00E10ABB">
            <w:pPr>
              <w:pStyle w:val="DecimalAligned"/>
              <w:spacing w:after="0" w:line="240" w:lineRule="auto"/>
              <w:rPr>
                <w:rFonts w:ascii="Book Antiqua" w:hAnsi="Book Antiqua"/>
                <w:color w:val="365F91"/>
              </w:rPr>
            </w:pPr>
            <w:r w:rsidRPr="0076390A">
              <w:rPr>
                <w:rFonts w:ascii="Book Antiqua" w:hAnsi="Book Antiqua"/>
                <w:color w:val="365F91"/>
              </w:rPr>
              <w:t>37.78</w:t>
            </w:r>
          </w:p>
          <w:p w14:paraId="40C5D88A" w14:textId="77777777" w:rsidR="00901C39" w:rsidRPr="0076390A" w:rsidRDefault="00901C39" w:rsidP="00E10ABB">
            <w:pPr>
              <w:pStyle w:val="DecimalAligned"/>
              <w:spacing w:after="0" w:line="240" w:lineRule="auto"/>
              <w:rPr>
                <w:rFonts w:ascii="Book Antiqua" w:hAnsi="Book Antiqua"/>
                <w:color w:val="365F91"/>
              </w:rPr>
            </w:pPr>
            <w:r w:rsidRPr="0076390A">
              <w:rPr>
                <w:rFonts w:ascii="Book Antiqua" w:hAnsi="Book Antiqua"/>
                <w:color w:val="365F91"/>
              </w:rPr>
              <w:t>62.22</w:t>
            </w:r>
          </w:p>
        </w:tc>
      </w:tr>
      <w:tr w:rsidR="00901C39" w:rsidRPr="00D12E59" w14:paraId="364C6579" w14:textId="77777777" w:rsidTr="0076390A">
        <w:trPr>
          <w:trHeight w:val="421"/>
        </w:trPr>
        <w:tc>
          <w:tcPr>
            <w:tcW w:w="1667" w:type="pct"/>
            <w:tcBorders>
              <w:top w:val="single" w:sz="8" w:space="0" w:color="000000"/>
              <w:left w:val="nil"/>
              <w:bottom w:val="single" w:sz="8" w:space="0" w:color="000000"/>
              <w:right w:val="nil"/>
            </w:tcBorders>
            <w:noWrap/>
          </w:tcPr>
          <w:p w14:paraId="03CE69EB" w14:textId="77777777" w:rsidR="00901C39" w:rsidRPr="0076390A" w:rsidRDefault="00901C39" w:rsidP="00E10ABB">
            <w:pPr>
              <w:spacing w:after="0" w:line="240" w:lineRule="auto"/>
              <w:rPr>
                <w:rFonts w:ascii="Book Antiqua" w:hAnsi="Book Antiqua"/>
                <w:b/>
                <w:bCs/>
                <w:color w:val="365F91"/>
              </w:rPr>
            </w:pPr>
            <w:r w:rsidRPr="0076390A">
              <w:rPr>
                <w:rFonts w:ascii="Book Antiqua" w:hAnsi="Book Antiqua"/>
                <w:b/>
                <w:bCs/>
                <w:color w:val="365F91"/>
              </w:rPr>
              <w:t>Total</w:t>
            </w:r>
          </w:p>
        </w:tc>
        <w:tc>
          <w:tcPr>
            <w:tcW w:w="1667" w:type="pct"/>
            <w:tcBorders>
              <w:top w:val="single" w:sz="8" w:space="0" w:color="000000"/>
              <w:left w:val="nil"/>
              <w:bottom w:val="single" w:sz="8" w:space="0" w:color="000000"/>
              <w:right w:val="nil"/>
            </w:tcBorders>
          </w:tcPr>
          <w:p w14:paraId="20C20E6D" w14:textId="77777777" w:rsidR="00901C39" w:rsidRPr="0076390A" w:rsidRDefault="00901C39" w:rsidP="00E10ABB">
            <w:pPr>
              <w:pStyle w:val="DecimalAligned"/>
              <w:spacing w:after="0" w:line="240" w:lineRule="auto"/>
              <w:rPr>
                <w:rFonts w:ascii="Book Antiqua" w:hAnsi="Book Antiqua"/>
                <w:b/>
                <w:bCs/>
                <w:color w:val="365F91"/>
              </w:rPr>
            </w:pPr>
            <w:r w:rsidRPr="0076390A">
              <w:rPr>
                <w:rFonts w:ascii="Book Antiqua" w:hAnsi="Book Antiqua"/>
                <w:b/>
                <w:bCs/>
                <w:color w:val="365F91"/>
              </w:rPr>
              <w:t>45</w:t>
            </w:r>
          </w:p>
        </w:tc>
        <w:tc>
          <w:tcPr>
            <w:tcW w:w="1666" w:type="pct"/>
            <w:tcBorders>
              <w:top w:val="single" w:sz="8" w:space="0" w:color="000000"/>
              <w:left w:val="nil"/>
              <w:bottom w:val="single" w:sz="8" w:space="0" w:color="000000"/>
              <w:right w:val="nil"/>
            </w:tcBorders>
          </w:tcPr>
          <w:p w14:paraId="4FB03775" w14:textId="77777777" w:rsidR="00901C39" w:rsidRPr="0076390A" w:rsidRDefault="00901C39" w:rsidP="00E10ABB">
            <w:pPr>
              <w:pStyle w:val="DecimalAligned"/>
              <w:spacing w:after="0" w:line="240" w:lineRule="auto"/>
              <w:rPr>
                <w:rFonts w:ascii="Book Antiqua" w:hAnsi="Book Antiqua"/>
                <w:b/>
                <w:bCs/>
                <w:color w:val="365F91"/>
              </w:rPr>
            </w:pPr>
            <w:r w:rsidRPr="0076390A">
              <w:rPr>
                <w:rFonts w:ascii="Book Antiqua" w:hAnsi="Book Antiqua"/>
                <w:b/>
                <w:bCs/>
                <w:color w:val="365F91"/>
              </w:rPr>
              <w:t>100</w:t>
            </w:r>
          </w:p>
        </w:tc>
      </w:tr>
    </w:tbl>
    <w:p w14:paraId="2BDDAC93" w14:textId="77777777" w:rsidR="00732563" w:rsidRPr="005525C9" w:rsidRDefault="001B6607" w:rsidP="00E10ABB">
      <w:pPr>
        <w:pStyle w:val="FootnoteText"/>
        <w:spacing w:after="0" w:line="276" w:lineRule="auto"/>
        <w:rPr>
          <w:rFonts w:ascii="Book Antiqua" w:hAnsi="Book Antiqua"/>
          <w:sz w:val="22"/>
          <w:szCs w:val="22"/>
        </w:rPr>
      </w:pPr>
      <w:r w:rsidRPr="00E3232D">
        <w:rPr>
          <w:rStyle w:val="SubtleEmphasis"/>
          <w:rFonts w:ascii="Book Antiqua" w:hAnsi="Book Antiqua"/>
          <w:sz w:val="22"/>
        </w:rPr>
        <w:t>Source:</w:t>
      </w:r>
      <w:r w:rsidRPr="00E3232D">
        <w:rPr>
          <w:rFonts w:ascii="Book Antiqua" w:hAnsi="Book Antiqua"/>
          <w:sz w:val="22"/>
          <w:szCs w:val="22"/>
        </w:rPr>
        <w:t xml:space="preserve"> Field Data, 2011</w:t>
      </w:r>
    </w:p>
    <w:p w14:paraId="7232402B" w14:textId="77777777" w:rsidR="001B6607" w:rsidRPr="00E3232D" w:rsidRDefault="001B6607" w:rsidP="005525C9">
      <w:pPr>
        <w:jc w:val="both"/>
        <w:rPr>
          <w:rFonts w:ascii="Book Antiqua" w:hAnsi="Book Antiqua"/>
        </w:rPr>
      </w:pPr>
      <w:r w:rsidRPr="00E3232D">
        <w:rPr>
          <w:rFonts w:ascii="Book Antiqua" w:hAnsi="Book Antiqua"/>
        </w:rPr>
        <w:t xml:space="preserve">The data from the study revealed that the Assembly does not have a monitoring team in place that monitors the progress of progress of work of contractors. The study revealed that 17 respondents representing 37.78% responded that there was a monitoring team whereas 28 respondents representing 62.22% responded that the Assembly does not have a monitoring team in place that monitor the progress of work in the District. This situation could lead to contractors using sub standard materials and ill-trained artisans in order to make more profit. </w:t>
      </w:r>
    </w:p>
    <w:p w14:paraId="0CD49761" w14:textId="77777777" w:rsidR="006554BB" w:rsidRPr="001B74CA" w:rsidRDefault="00732563" w:rsidP="001B74CA">
      <w:pPr>
        <w:jc w:val="both"/>
        <w:rPr>
          <w:rFonts w:ascii="Book Antiqua" w:hAnsi="Book Antiqua"/>
        </w:rPr>
      </w:pPr>
      <w:r>
        <w:rPr>
          <w:rFonts w:ascii="Book Antiqua" w:hAnsi="Book Antiqua"/>
        </w:rPr>
        <w:t>According to</w:t>
      </w:r>
      <w:r w:rsidR="001B6607" w:rsidRPr="00E3232D">
        <w:rPr>
          <w:rFonts w:ascii="Book Antiqua" w:hAnsi="Book Antiqua"/>
        </w:rPr>
        <w:t xml:space="preserve"> Gray and Manson (2007), monitoring should be done to assess the current performance of activities and to assess their adequacy over time. They posited that monitoring may be a special responsibility standard group, internal audit or even external audit. The monitoring process according to them should provide reasonable assurance that there are appropriate control procedures for all of an organization’s significant activities, these procedures should be followed at all times and a system should be in force to ensure timely monitoring reports are </w:t>
      </w:r>
      <w:r w:rsidR="001B6607" w:rsidRPr="00E3232D">
        <w:rPr>
          <w:rFonts w:ascii="Book Antiqua" w:hAnsi="Book Antiqua"/>
        </w:rPr>
        <w:lastRenderedPageBreak/>
        <w:t xml:space="preserve">prepared to enable corrective action to be taken.  </w:t>
      </w:r>
    </w:p>
    <w:p w14:paraId="52C00B20" w14:textId="77777777" w:rsidR="001B6607" w:rsidRDefault="001B6607" w:rsidP="00743382">
      <w:pPr>
        <w:spacing w:after="0"/>
        <w:rPr>
          <w:rFonts w:ascii="Book Antiqua" w:hAnsi="Book Antiqua"/>
        </w:rPr>
      </w:pPr>
      <w:r w:rsidRPr="00E3232D">
        <w:rPr>
          <w:rFonts w:ascii="Book Antiqua" w:hAnsi="Book Antiqua"/>
          <w:b/>
        </w:rPr>
        <w:t>Table 5:</w:t>
      </w:r>
      <w:r w:rsidRPr="00E3232D">
        <w:rPr>
          <w:rFonts w:ascii="Book Antiqua" w:hAnsi="Book Antiqua"/>
        </w:rPr>
        <w:t xml:space="preserve"> Internal Controls in the Operations of the Assembly</w:t>
      </w:r>
    </w:p>
    <w:tbl>
      <w:tblPr>
        <w:tblpPr w:leftFromText="180" w:rightFromText="180" w:vertAnchor="text" w:horzAnchor="margin" w:tblpY="309"/>
        <w:tblW w:w="5000" w:type="pct"/>
        <w:tblBorders>
          <w:top w:val="single" w:sz="8" w:space="0" w:color="000000"/>
          <w:bottom w:val="single" w:sz="8" w:space="0" w:color="000000"/>
        </w:tblBorders>
        <w:tblLook w:val="0660" w:firstRow="1" w:lastRow="1" w:firstColumn="0" w:lastColumn="0" w:noHBand="1" w:noVBand="1"/>
      </w:tblPr>
      <w:tblGrid>
        <w:gridCol w:w="1516"/>
        <w:gridCol w:w="1517"/>
        <w:gridCol w:w="1516"/>
      </w:tblGrid>
      <w:tr w:rsidR="00743382" w:rsidRPr="00D12E59" w14:paraId="1984F61D" w14:textId="77777777" w:rsidTr="00743382">
        <w:trPr>
          <w:trHeight w:val="700"/>
        </w:trPr>
        <w:tc>
          <w:tcPr>
            <w:tcW w:w="1666" w:type="pct"/>
            <w:noWrap/>
          </w:tcPr>
          <w:p w14:paraId="2C77AEE1" w14:textId="77777777" w:rsidR="00743382" w:rsidRPr="00743382" w:rsidRDefault="00743382" w:rsidP="00743382">
            <w:pPr>
              <w:spacing w:after="0" w:line="240" w:lineRule="auto"/>
              <w:rPr>
                <w:rFonts w:ascii="Book Antiqua" w:hAnsi="Book Antiqua"/>
                <w:b/>
                <w:bCs/>
                <w:color w:val="365F91"/>
              </w:rPr>
            </w:pPr>
            <w:r w:rsidRPr="00743382">
              <w:rPr>
                <w:rFonts w:ascii="Book Antiqua" w:hAnsi="Book Antiqua"/>
                <w:b/>
                <w:bCs/>
                <w:color w:val="365F91"/>
              </w:rPr>
              <w:t>Response</w:t>
            </w:r>
          </w:p>
        </w:tc>
        <w:tc>
          <w:tcPr>
            <w:tcW w:w="1667" w:type="pct"/>
          </w:tcPr>
          <w:p w14:paraId="067CC8EE" w14:textId="77777777" w:rsidR="00743382" w:rsidRPr="00743382" w:rsidRDefault="00743382" w:rsidP="00743382">
            <w:pPr>
              <w:spacing w:after="0" w:line="240" w:lineRule="auto"/>
              <w:rPr>
                <w:rFonts w:ascii="Book Antiqua" w:hAnsi="Book Antiqua"/>
                <w:b/>
                <w:bCs/>
                <w:color w:val="365F91"/>
              </w:rPr>
            </w:pPr>
            <w:r w:rsidRPr="00743382">
              <w:rPr>
                <w:rFonts w:ascii="Book Antiqua" w:hAnsi="Book Antiqua"/>
                <w:b/>
                <w:bCs/>
                <w:color w:val="365F91"/>
              </w:rPr>
              <w:t>Frequency</w:t>
            </w:r>
          </w:p>
        </w:tc>
        <w:tc>
          <w:tcPr>
            <w:tcW w:w="1666" w:type="pct"/>
          </w:tcPr>
          <w:p w14:paraId="7C35081B" w14:textId="77777777" w:rsidR="00743382" w:rsidRPr="00743382" w:rsidRDefault="00743382" w:rsidP="00743382">
            <w:pPr>
              <w:spacing w:after="0" w:line="240" w:lineRule="auto"/>
              <w:rPr>
                <w:rFonts w:ascii="Book Antiqua" w:hAnsi="Book Antiqua"/>
                <w:b/>
                <w:bCs/>
                <w:color w:val="365F91"/>
              </w:rPr>
            </w:pPr>
            <w:r w:rsidRPr="00743382">
              <w:rPr>
                <w:rFonts w:ascii="Book Antiqua" w:hAnsi="Book Antiqua"/>
                <w:b/>
                <w:bCs/>
                <w:color w:val="365F91"/>
              </w:rPr>
              <w:t>Percentage (%)</w:t>
            </w:r>
          </w:p>
        </w:tc>
      </w:tr>
      <w:tr w:rsidR="00743382" w:rsidRPr="00D12E59" w14:paraId="2673A887" w14:textId="77777777" w:rsidTr="00743382">
        <w:trPr>
          <w:trHeight w:val="700"/>
        </w:trPr>
        <w:tc>
          <w:tcPr>
            <w:tcW w:w="1666" w:type="pct"/>
            <w:noWrap/>
          </w:tcPr>
          <w:p w14:paraId="1CE26538" w14:textId="77777777" w:rsidR="00743382" w:rsidRPr="00743382" w:rsidRDefault="00743382" w:rsidP="00743382">
            <w:pPr>
              <w:spacing w:after="0" w:line="240" w:lineRule="auto"/>
              <w:rPr>
                <w:rFonts w:ascii="Book Antiqua" w:hAnsi="Book Antiqua"/>
                <w:color w:val="365F91"/>
              </w:rPr>
            </w:pPr>
            <w:r w:rsidRPr="00743382">
              <w:rPr>
                <w:rFonts w:ascii="Book Antiqua" w:hAnsi="Book Antiqua"/>
                <w:color w:val="365F91"/>
              </w:rPr>
              <w:t>Yes</w:t>
            </w:r>
          </w:p>
          <w:p w14:paraId="3451CF0A" w14:textId="77777777" w:rsidR="00743382" w:rsidRPr="00743382" w:rsidRDefault="00743382" w:rsidP="00743382">
            <w:pPr>
              <w:spacing w:after="0" w:line="240" w:lineRule="auto"/>
              <w:rPr>
                <w:rFonts w:ascii="Book Antiqua" w:hAnsi="Book Antiqua"/>
                <w:color w:val="365F91"/>
              </w:rPr>
            </w:pPr>
            <w:r w:rsidRPr="00743382">
              <w:rPr>
                <w:rFonts w:ascii="Book Antiqua" w:hAnsi="Book Antiqua"/>
                <w:color w:val="365F91"/>
              </w:rPr>
              <w:t>No</w:t>
            </w:r>
          </w:p>
        </w:tc>
        <w:tc>
          <w:tcPr>
            <w:tcW w:w="1667" w:type="pct"/>
          </w:tcPr>
          <w:p w14:paraId="4180873A" w14:textId="77777777" w:rsidR="00743382" w:rsidRPr="00743382" w:rsidRDefault="00743382" w:rsidP="00743382">
            <w:pPr>
              <w:pStyle w:val="DecimalAligned"/>
              <w:spacing w:after="0" w:line="240" w:lineRule="auto"/>
              <w:rPr>
                <w:rFonts w:ascii="Book Antiqua" w:hAnsi="Book Antiqua"/>
                <w:color w:val="365F91"/>
              </w:rPr>
            </w:pPr>
            <w:r w:rsidRPr="00743382">
              <w:rPr>
                <w:rFonts w:ascii="Book Antiqua" w:hAnsi="Book Antiqua"/>
                <w:color w:val="365F91"/>
              </w:rPr>
              <w:t>35</w:t>
            </w:r>
          </w:p>
          <w:p w14:paraId="7AD098AE" w14:textId="77777777" w:rsidR="00743382" w:rsidRPr="00743382" w:rsidRDefault="00743382" w:rsidP="00743382">
            <w:pPr>
              <w:pStyle w:val="DecimalAligned"/>
              <w:spacing w:after="0" w:line="240" w:lineRule="auto"/>
              <w:rPr>
                <w:rFonts w:ascii="Book Antiqua" w:hAnsi="Book Antiqua"/>
                <w:color w:val="365F91"/>
              </w:rPr>
            </w:pPr>
            <w:r w:rsidRPr="00743382">
              <w:rPr>
                <w:rFonts w:ascii="Book Antiqua" w:hAnsi="Book Antiqua"/>
                <w:color w:val="365F91"/>
              </w:rPr>
              <w:t>10</w:t>
            </w:r>
          </w:p>
        </w:tc>
        <w:tc>
          <w:tcPr>
            <w:tcW w:w="1666" w:type="pct"/>
          </w:tcPr>
          <w:p w14:paraId="2F7E3888" w14:textId="77777777" w:rsidR="00743382" w:rsidRPr="00743382" w:rsidRDefault="00743382" w:rsidP="00743382">
            <w:pPr>
              <w:pStyle w:val="DecimalAligned"/>
              <w:spacing w:after="0" w:line="240" w:lineRule="auto"/>
              <w:rPr>
                <w:rFonts w:ascii="Book Antiqua" w:hAnsi="Book Antiqua"/>
                <w:color w:val="365F91"/>
              </w:rPr>
            </w:pPr>
            <w:r w:rsidRPr="00743382">
              <w:rPr>
                <w:rFonts w:ascii="Book Antiqua" w:hAnsi="Book Antiqua"/>
                <w:color w:val="365F91"/>
              </w:rPr>
              <w:t>77.78</w:t>
            </w:r>
          </w:p>
          <w:p w14:paraId="184B93D9" w14:textId="77777777" w:rsidR="00743382" w:rsidRPr="00743382" w:rsidRDefault="00743382" w:rsidP="00743382">
            <w:pPr>
              <w:pStyle w:val="DecimalAligned"/>
              <w:spacing w:after="0" w:line="240" w:lineRule="auto"/>
              <w:rPr>
                <w:rFonts w:ascii="Book Antiqua" w:hAnsi="Book Antiqua"/>
                <w:color w:val="365F91"/>
              </w:rPr>
            </w:pPr>
            <w:r w:rsidRPr="00743382">
              <w:rPr>
                <w:rFonts w:ascii="Book Antiqua" w:hAnsi="Book Antiqua"/>
                <w:color w:val="365F91"/>
              </w:rPr>
              <w:t>22.22</w:t>
            </w:r>
          </w:p>
        </w:tc>
      </w:tr>
      <w:tr w:rsidR="00743382" w:rsidRPr="00D12E59" w14:paraId="3279A195" w14:textId="77777777" w:rsidTr="00743382">
        <w:trPr>
          <w:trHeight w:val="340"/>
        </w:trPr>
        <w:tc>
          <w:tcPr>
            <w:tcW w:w="1666" w:type="pct"/>
            <w:noWrap/>
          </w:tcPr>
          <w:p w14:paraId="3E14FB77" w14:textId="77777777" w:rsidR="00743382" w:rsidRPr="00743382" w:rsidRDefault="00743382" w:rsidP="00743382">
            <w:pPr>
              <w:spacing w:after="0" w:line="240" w:lineRule="auto"/>
              <w:rPr>
                <w:rFonts w:ascii="Book Antiqua" w:hAnsi="Book Antiqua"/>
                <w:b/>
                <w:bCs/>
                <w:color w:val="365F91"/>
              </w:rPr>
            </w:pPr>
            <w:r w:rsidRPr="00743382">
              <w:rPr>
                <w:rFonts w:ascii="Book Antiqua" w:hAnsi="Book Antiqua"/>
                <w:b/>
                <w:bCs/>
                <w:color w:val="365F91"/>
              </w:rPr>
              <w:t>Total</w:t>
            </w:r>
          </w:p>
        </w:tc>
        <w:tc>
          <w:tcPr>
            <w:tcW w:w="1667" w:type="pct"/>
          </w:tcPr>
          <w:p w14:paraId="45FFD574" w14:textId="77777777" w:rsidR="00743382" w:rsidRPr="00743382" w:rsidRDefault="00743382" w:rsidP="00743382">
            <w:pPr>
              <w:pStyle w:val="DecimalAligned"/>
              <w:spacing w:after="0" w:line="240" w:lineRule="auto"/>
              <w:rPr>
                <w:rFonts w:ascii="Book Antiqua" w:hAnsi="Book Antiqua"/>
                <w:b/>
                <w:bCs/>
                <w:color w:val="365F91"/>
              </w:rPr>
            </w:pPr>
            <w:r w:rsidRPr="00743382">
              <w:rPr>
                <w:rFonts w:ascii="Book Antiqua" w:hAnsi="Book Antiqua"/>
                <w:b/>
                <w:bCs/>
                <w:color w:val="365F91"/>
              </w:rPr>
              <w:t>45</w:t>
            </w:r>
          </w:p>
        </w:tc>
        <w:tc>
          <w:tcPr>
            <w:tcW w:w="1666" w:type="pct"/>
          </w:tcPr>
          <w:p w14:paraId="02AC9916" w14:textId="77777777" w:rsidR="00743382" w:rsidRPr="00743382" w:rsidRDefault="00743382" w:rsidP="00743382">
            <w:pPr>
              <w:pStyle w:val="DecimalAligned"/>
              <w:spacing w:after="0" w:line="240" w:lineRule="auto"/>
              <w:rPr>
                <w:rFonts w:ascii="Book Antiqua" w:hAnsi="Book Antiqua"/>
                <w:b/>
                <w:bCs/>
                <w:color w:val="365F91"/>
              </w:rPr>
            </w:pPr>
            <w:r w:rsidRPr="00743382">
              <w:rPr>
                <w:rFonts w:ascii="Book Antiqua" w:hAnsi="Book Antiqua"/>
                <w:b/>
                <w:bCs/>
                <w:color w:val="365F91"/>
              </w:rPr>
              <w:t>100</w:t>
            </w:r>
          </w:p>
        </w:tc>
      </w:tr>
    </w:tbl>
    <w:p w14:paraId="7F389AA2" w14:textId="77777777" w:rsidR="00B47C8A" w:rsidRDefault="001B6607" w:rsidP="001B74CA">
      <w:pPr>
        <w:pStyle w:val="FootnoteText"/>
        <w:spacing w:line="276" w:lineRule="auto"/>
        <w:rPr>
          <w:rFonts w:ascii="Book Antiqua" w:hAnsi="Book Antiqua"/>
          <w:sz w:val="22"/>
          <w:szCs w:val="22"/>
        </w:rPr>
      </w:pPr>
      <w:r w:rsidRPr="00E3232D">
        <w:rPr>
          <w:rStyle w:val="SubtleEmphasis"/>
          <w:rFonts w:ascii="Book Antiqua" w:hAnsi="Book Antiqua"/>
          <w:sz w:val="22"/>
        </w:rPr>
        <w:t>Source:</w:t>
      </w:r>
      <w:r w:rsidRPr="00E3232D">
        <w:rPr>
          <w:rFonts w:ascii="Book Antiqua" w:hAnsi="Book Antiqua"/>
          <w:sz w:val="22"/>
          <w:szCs w:val="22"/>
        </w:rPr>
        <w:t xml:space="preserve"> Field Data, 2011</w:t>
      </w:r>
    </w:p>
    <w:p w14:paraId="399130F6" w14:textId="77777777" w:rsidR="001B74CA" w:rsidRPr="001B74CA" w:rsidRDefault="001B74CA" w:rsidP="001B74CA">
      <w:pPr>
        <w:pStyle w:val="FootnoteText"/>
        <w:spacing w:line="276" w:lineRule="auto"/>
        <w:rPr>
          <w:rFonts w:ascii="Book Antiqua" w:hAnsi="Book Antiqua"/>
          <w:sz w:val="22"/>
          <w:szCs w:val="22"/>
        </w:rPr>
      </w:pPr>
    </w:p>
    <w:p w14:paraId="12102DCE" w14:textId="77777777" w:rsidR="001B6607" w:rsidRPr="00E3232D" w:rsidRDefault="001B6607" w:rsidP="008275E1">
      <w:pPr>
        <w:rPr>
          <w:rFonts w:ascii="Book Antiqua" w:hAnsi="Book Antiqua"/>
        </w:rPr>
      </w:pPr>
      <w:r w:rsidRPr="00E3232D">
        <w:rPr>
          <w:rFonts w:ascii="Book Antiqua" w:hAnsi="Book Antiqua"/>
          <w:b/>
        </w:rPr>
        <w:t>Table 6:</w:t>
      </w:r>
      <w:r w:rsidRPr="00E3232D">
        <w:rPr>
          <w:rFonts w:ascii="Book Antiqua" w:hAnsi="Book Antiqua"/>
        </w:rPr>
        <w:t xml:space="preserve"> Internal controls instituted by the Assembly</w:t>
      </w:r>
    </w:p>
    <w:tbl>
      <w:tblPr>
        <w:tblW w:w="4513" w:type="pct"/>
        <w:tblBorders>
          <w:top w:val="single" w:sz="8" w:space="0" w:color="000000"/>
          <w:bottom w:val="single" w:sz="8" w:space="0" w:color="000000"/>
        </w:tblBorders>
        <w:tblLook w:val="0660" w:firstRow="1" w:lastRow="1" w:firstColumn="0" w:lastColumn="0" w:noHBand="1" w:noVBand="1"/>
      </w:tblPr>
      <w:tblGrid>
        <w:gridCol w:w="1718"/>
        <w:gridCol w:w="2388"/>
      </w:tblGrid>
      <w:tr w:rsidR="001B6607" w:rsidRPr="00D12E59" w14:paraId="3E09F97B" w14:textId="77777777" w:rsidTr="0076390A">
        <w:tc>
          <w:tcPr>
            <w:tcW w:w="1856" w:type="pct"/>
            <w:tcBorders>
              <w:top w:val="single" w:sz="8" w:space="0" w:color="000000"/>
              <w:left w:val="nil"/>
              <w:bottom w:val="single" w:sz="8" w:space="0" w:color="000000"/>
              <w:right w:val="nil"/>
            </w:tcBorders>
            <w:noWrap/>
          </w:tcPr>
          <w:p w14:paraId="11B9E28C" w14:textId="77777777" w:rsidR="001B6607" w:rsidRPr="0076390A" w:rsidRDefault="001B6607" w:rsidP="0076390A">
            <w:pPr>
              <w:spacing w:after="0" w:line="240" w:lineRule="auto"/>
              <w:rPr>
                <w:rFonts w:ascii="Book Antiqua" w:hAnsi="Book Antiqua"/>
                <w:b/>
                <w:bCs/>
                <w:color w:val="365F91"/>
              </w:rPr>
            </w:pPr>
            <w:r w:rsidRPr="0076390A">
              <w:rPr>
                <w:rFonts w:ascii="Book Antiqua" w:hAnsi="Book Antiqua"/>
                <w:b/>
                <w:bCs/>
                <w:color w:val="365F91"/>
              </w:rPr>
              <w:t>Department</w:t>
            </w:r>
          </w:p>
        </w:tc>
        <w:tc>
          <w:tcPr>
            <w:tcW w:w="3144" w:type="pct"/>
            <w:tcBorders>
              <w:top w:val="single" w:sz="8" w:space="0" w:color="000000"/>
              <w:left w:val="nil"/>
              <w:bottom w:val="single" w:sz="8" w:space="0" w:color="000000"/>
              <w:right w:val="nil"/>
            </w:tcBorders>
          </w:tcPr>
          <w:p w14:paraId="2334DCDE" w14:textId="77777777" w:rsidR="001B6607" w:rsidRPr="0076390A" w:rsidRDefault="001B6607" w:rsidP="0076390A">
            <w:pPr>
              <w:spacing w:after="0" w:line="240" w:lineRule="auto"/>
              <w:rPr>
                <w:rFonts w:ascii="Book Antiqua" w:hAnsi="Book Antiqua"/>
                <w:b/>
                <w:bCs/>
                <w:color w:val="365F91"/>
              </w:rPr>
            </w:pPr>
            <w:r w:rsidRPr="0076390A">
              <w:rPr>
                <w:rFonts w:ascii="Book Antiqua" w:hAnsi="Book Antiqua"/>
                <w:b/>
                <w:bCs/>
                <w:color w:val="365F91"/>
              </w:rPr>
              <w:t>Frequency</w:t>
            </w:r>
          </w:p>
        </w:tc>
      </w:tr>
      <w:tr w:rsidR="001B6607" w:rsidRPr="00D12E59" w14:paraId="608B1DBC" w14:textId="77777777" w:rsidTr="0076390A">
        <w:tc>
          <w:tcPr>
            <w:tcW w:w="1856" w:type="pct"/>
            <w:noWrap/>
          </w:tcPr>
          <w:p w14:paraId="1FB4AC71" w14:textId="77777777" w:rsidR="001B6607" w:rsidRPr="0076390A" w:rsidRDefault="001B6607" w:rsidP="0076390A">
            <w:pPr>
              <w:spacing w:after="0" w:line="240" w:lineRule="auto"/>
              <w:rPr>
                <w:rFonts w:ascii="Book Antiqua" w:hAnsi="Book Antiqua"/>
                <w:color w:val="365F91"/>
              </w:rPr>
            </w:pPr>
            <w:r w:rsidRPr="0076390A">
              <w:rPr>
                <w:rFonts w:ascii="Book Antiqua" w:hAnsi="Book Antiqua"/>
                <w:color w:val="365F91"/>
              </w:rPr>
              <w:t>Finance</w:t>
            </w:r>
          </w:p>
          <w:p w14:paraId="71482CD6" w14:textId="77777777" w:rsidR="001B6607" w:rsidRPr="0076390A" w:rsidRDefault="001B6607" w:rsidP="0076390A">
            <w:pPr>
              <w:spacing w:after="0" w:line="240" w:lineRule="auto"/>
              <w:rPr>
                <w:rFonts w:ascii="Book Antiqua" w:hAnsi="Book Antiqua"/>
                <w:color w:val="365F91"/>
              </w:rPr>
            </w:pPr>
          </w:p>
          <w:p w14:paraId="78ECFA03" w14:textId="77777777" w:rsidR="001B6607" w:rsidRPr="0076390A" w:rsidRDefault="001B6607" w:rsidP="0076390A">
            <w:pPr>
              <w:spacing w:after="0" w:line="240" w:lineRule="auto"/>
              <w:rPr>
                <w:rFonts w:ascii="Book Antiqua" w:hAnsi="Book Antiqua"/>
                <w:color w:val="365F91"/>
              </w:rPr>
            </w:pPr>
          </w:p>
          <w:p w14:paraId="36403110" w14:textId="77777777" w:rsidR="001B6607" w:rsidRPr="0076390A" w:rsidRDefault="001B6607" w:rsidP="0076390A">
            <w:pPr>
              <w:spacing w:after="0" w:line="240" w:lineRule="auto"/>
              <w:rPr>
                <w:rFonts w:ascii="Book Antiqua" w:hAnsi="Book Antiqua"/>
                <w:color w:val="365F91"/>
              </w:rPr>
            </w:pPr>
            <w:r w:rsidRPr="0076390A">
              <w:rPr>
                <w:rFonts w:ascii="Book Antiqua" w:hAnsi="Book Antiqua"/>
                <w:color w:val="365F91"/>
              </w:rPr>
              <w:t>Works</w:t>
            </w:r>
          </w:p>
          <w:p w14:paraId="57A702E9" w14:textId="77777777" w:rsidR="001B6607" w:rsidRPr="0076390A" w:rsidRDefault="001B6607" w:rsidP="0076390A">
            <w:pPr>
              <w:spacing w:after="0" w:line="240" w:lineRule="auto"/>
              <w:rPr>
                <w:rFonts w:ascii="Book Antiqua" w:hAnsi="Book Antiqua"/>
                <w:color w:val="365F91"/>
              </w:rPr>
            </w:pPr>
            <w:r w:rsidRPr="0076390A">
              <w:rPr>
                <w:rFonts w:ascii="Book Antiqua" w:hAnsi="Book Antiqua"/>
                <w:color w:val="365F91"/>
              </w:rPr>
              <w:t>Planning</w:t>
            </w:r>
          </w:p>
          <w:p w14:paraId="3D278527" w14:textId="77777777" w:rsidR="001B6607" w:rsidRPr="0076390A" w:rsidRDefault="001B6607" w:rsidP="0076390A">
            <w:pPr>
              <w:spacing w:after="0" w:line="240" w:lineRule="auto"/>
              <w:rPr>
                <w:rFonts w:ascii="Book Antiqua" w:hAnsi="Book Antiqua"/>
                <w:color w:val="365F91"/>
              </w:rPr>
            </w:pPr>
            <w:r w:rsidRPr="0076390A">
              <w:rPr>
                <w:rFonts w:ascii="Book Antiqua" w:hAnsi="Book Antiqua"/>
                <w:color w:val="365F91"/>
              </w:rPr>
              <w:t>Internal Audit</w:t>
            </w:r>
          </w:p>
          <w:p w14:paraId="302C0136" w14:textId="77777777" w:rsidR="001B6607" w:rsidRPr="0076390A" w:rsidRDefault="001B6607" w:rsidP="0076390A">
            <w:pPr>
              <w:spacing w:after="0" w:line="240" w:lineRule="auto"/>
              <w:rPr>
                <w:rFonts w:ascii="Book Antiqua" w:hAnsi="Book Antiqua"/>
                <w:color w:val="365F91"/>
              </w:rPr>
            </w:pPr>
            <w:r w:rsidRPr="0076390A">
              <w:rPr>
                <w:rFonts w:ascii="Book Antiqua" w:hAnsi="Book Antiqua"/>
                <w:color w:val="365F91"/>
              </w:rPr>
              <w:t>Stores</w:t>
            </w:r>
          </w:p>
          <w:p w14:paraId="23373881" w14:textId="77777777" w:rsidR="001B6607" w:rsidRPr="0076390A" w:rsidRDefault="001B6607" w:rsidP="0076390A">
            <w:pPr>
              <w:spacing w:after="0" w:line="240" w:lineRule="auto"/>
              <w:rPr>
                <w:rFonts w:ascii="Book Antiqua" w:hAnsi="Book Antiqua"/>
                <w:color w:val="365F91"/>
              </w:rPr>
            </w:pPr>
            <w:r w:rsidRPr="0076390A">
              <w:rPr>
                <w:rFonts w:ascii="Book Antiqua" w:hAnsi="Book Antiqua"/>
                <w:color w:val="365F91"/>
              </w:rPr>
              <w:t>Administration</w:t>
            </w:r>
          </w:p>
        </w:tc>
        <w:tc>
          <w:tcPr>
            <w:tcW w:w="3144" w:type="pct"/>
          </w:tcPr>
          <w:p w14:paraId="187F7612" w14:textId="77777777" w:rsidR="001B6607" w:rsidRPr="0076390A" w:rsidRDefault="001B6607" w:rsidP="0076390A">
            <w:pPr>
              <w:pStyle w:val="DecimalAligned"/>
              <w:spacing w:after="0" w:line="240" w:lineRule="auto"/>
              <w:rPr>
                <w:rFonts w:ascii="Book Antiqua" w:hAnsi="Book Antiqua"/>
                <w:color w:val="365F91"/>
              </w:rPr>
            </w:pPr>
            <w:r w:rsidRPr="0076390A">
              <w:rPr>
                <w:rFonts w:ascii="Book Antiqua" w:hAnsi="Book Antiqua"/>
                <w:color w:val="365F91"/>
              </w:rPr>
              <w:t>Segregation of duties, lodgment of cash within 24</w:t>
            </w:r>
          </w:p>
          <w:p w14:paraId="6CE155C5" w14:textId="77777777" w:rsidR="001B6607" w:rsidRPr="0076390A" w:rsidRDefault="001B6607" w:rsidP="0076390A">
            <w:pPr>
              <w:pStyle w:val="DecimalAligned"/>
              <w:spacing w:after="0" w:line="240" w:lineRule="auto"/>
              <w:rPr>
                <w:rFonts w:ascii="Book Antiqua" w:hAnsi="Book Antiqua"/>
                <w:color w:val="365F91"/>
              </w:rPr>
            </w:pPr>
            <w:r w:rsidRPr="0076390A">
              <w:rPr>
                <w:rFonts w:ascii="Book Antiqua" w:hAnsi="Book Antiqua"/>
                <w:color w:val="365F91"/>
              </w:rPr>
              <w:t>No internal controls</w:t>
            </w:r>
          </w:p>
          <w:p w14:paraId="1BA4607A" w14:textId="77777777" w:rsidR="001B6607" w:rsidRPr="0076390A" w:rsidRDefault="001B6607" w:rsidP="0076390A">
            <w:pPr>
              <w:pStyle w:val="DecimalAligned"/>
              <w:spacing w:after="0" w:line="240" w:lineRule="auto"/>
              <w:rPr>
                <w:rFonts w:ascii="Book Antiqua" w:hAnsi="Book Antiqua"/>
                <w:color w:val="365F91"/>
              </w:rPr>
            </w:pPr>
            <w:r w:rsidRPr="0076390A">
              <w:rPr>
                <w:rFonts w:ascii="Book Antiqua" w:hAnsi="Book Antiqua"/>
                <w:color w:val="365F91"/>
              </w:rPr>
              <w:t>No internal controls</w:t>
            </w:r>
          </w:p>
          <w:p w14:paraId="0C15F02E" w14:textId="77777777" w:rsidR="001B6607" w:rsidRPr="0076390A" w:rsidRDefault="001B6607" w:rsidP="0076390A">
            <w:pPr>
              <w:pStyle w:val="DecimalAligned"/>
              <w:spacing w:after="0" w:line="240" w:lineRule="auto"/>
              <w:rPr>
                <w:rFonts w:ascii="Book Antiqua" w:hAnsi="Book Antiqua"/>
                <w:color w:val="365F91"/>
              </w:rPr>
            </w:pPr>
            <w:r w:rsidRPr="0076390A">
              <w:rPr>
                <w:rFonts w:ascii="Book Antiqua" w:hAnsi="Book Antiqua"/>
                <w:color w:val="365F91"/>
              </w:rPr>
              <w:t>No internal controls</w:t>
            </w:r>
          </w:p>
          <w:p w14:paraId="40ABCF9B" w14:textId="77777777" w:rsidR="001B6607" w:rsidRPr="0076390A" w:rsidRDefault="001B6607" w:rsidP="0076390A">
            <w:pPr>
              <w:pStyle w:val="DecimalAligned"/>
              <w:spacing w:after="0" w:line="240" w:lineRule="auto"/>
              <w:rPr>
                <w:rFonts w:ascii="Book Antiqua" w:hAnsi="Book Antiqua"/>
                <w:color w:val="365F91"/>
              </w:rPr>
            </w:pPr>
            <w:r w:rsidRPr="0076390A">
              <w:rPr>
                <w:rFonts w:ascii="Book Antiqua" w:hAnsi="Book Antiqua"/>
                <w:color w:val="365F91"/>
              </w:rPr>
              <w:t>No internal controls</w:t>
            </w:r>
          </w:p>
          <w:p w14:paraId="1A483E4F" w14:textId="77777777" w:rsidR="001B6607" w:rsidRPr="0076390A" w:rsidRDefault="001B6607" w:rsidP="0076390A">
            <w:pPr>
              <w:pStyle w:val="DecimalAligned"/>
              <w:spacing w:after="0" w:line="240" w:lineRule="auto"/>
              <w:rPr>
                <w:rFonts w:ascii="Book Antiqua" w:hAnsi="Book Antiqua"/>
                <w:color w:val="365F91"/>
              </w:rPr>
            </w:pPr>
            <w:r w:rsidRPr="0076390A">
              <w:rPr>
                <w:rFonts w:ascii="Book Antiqua" w:hAnsi="Book Antiqua"/>
                <w:color w:val="365F91"/>
              </w:rPr>
              <w:t>No internal controls</w:t>
            </w:r>
          </w:p>
        </w:tc>
      </w:tr>
      <w:tr w:rsidR="001B6607" w:rsidRPr="00D12E59" w14:paraId="2393692F" w14:textId="77777777" w:rsidTr="0076390A">
        <w:tc>
          <w:tcPr>
            <w:tcW w:w="1856" w:type="pct"/>
            <w:tcBorders>
              <w:top w:val="single" w:sz="8" w:space="0" w:color="000000"/>
              <w:left w:val="nil"/>
              <w:bottom w:val="single" w:sz="8" w:space="0" w:color="000000"/>
              <w:right w:val="nil"/>
            </w:tcBorders>
            <w:noWrap/>
          </w:tcPr>
          <w:p w14:paraId="5400A89C" w14:textId="77777777" w:rsidR="001B6607" w:rsidRPr="0076390A" w:rsidRDefault="001B6607" w:rsidP="0076390A">
            <w:pPr>
              <w:spacing w:after="0" w:line="240" w:lineRule="auto"/>
              <w:rPr>
                <w:rFonts w:ascii="Book Antiqua" w:hAnsi="Book Antiqua"/>
                <w:b/>
                <w:bCs/>
                <w:color w:val="365F91"/>
              </w:rPr>
            </w:pPr>
            <w:r w:rsidRPr="0076390A">
              <w:rPr>
                <w:rFonts w:ascii="Book Antiqua" w:hAnsi="Book Antiqua"/>
                <w:b/>
                <w:bCs/>
                <w:color w:val="365F91"/>
              </w:rPr>
              <w:t>Total</w:t>
            </w:r>
          </w:p>
        </w:tc>
        <w:tc>
          <w:tcPr>
            <w:tcW w:w="3144" w:type="pct"/>
            <w:tcBorders>
              <w:top w:val="single" w:sz="8" w:space="0" w:color="000000"/>
              <w:left w:val="nil"/>
              <w:bottom w:val="single" w:sz="8" w:space="0" w:color="000000"/>
              <w:right w:val="nil"/>
            </w:tcBorders>
          </w:tcPr>
          <w:p w14:paraId="3851576B" w14:textId="77777777" w:rsidR="001B6607" w:rsidRPr="0076390A" w:rsidRDefault="001B6607" w:rsidP="0076390A">
            <w:pPr>
              <w:pStyle w:val="DecimalAligned"/>
              <w:spacing w:after="0" w:line="240" w:lineRule="auto"/>
              <w:rPr>
                <w:rFonts w:ascii="Book Antiqua" w:hAnsi="Book Antiqua"/>
                <w:b/>
                <w:bCs/>
                <w:color w:val="365F91"/>
              </w:rPr>
            </w:pPr>
            <w:r w:rsidRPr="0076390A">
              <w:rPr>
                <w:rFonts w:ascii="Book Antiqua" w:hAnsi="Book Antiqua"/>
                <w:b/>
                <w:bCs/>
                <w:color w:val="365F91"/>
              </w:rPr>
              <w:t>45</w:t>
            </w:r>
          </w:p>
        </w:tc>
      </w:tr>
    </w:tbl>
    <w:p w14:paraId="6936E439" w14:textId="77777777" w:rsidR="001B6607" w:rsidRDefault="001B6607" w:rsidP="00743382">
      <w:pPr>
        <w:pStyle w:val="FootnoteText"/>
        <w:spacing w:after="0" w:line="276" w:lineRule="auto"/>
        <w:rPr>
          <w:rFonts w:ascii="Book Antiqua" w:hAnsi="Book Antiqua"/>
          <w:sz w:val="22"/>
          <w:szCs w:val="22"/>
        </w:rPr>
      </w:pPr>
      <w:r w:rsidRPr="00E3232D">
        <w:rPr>
          <w:rStyle w:val="SubtleEmphasis"/>
          <w:rFonts w:ascii="Book Antiqua" w:hAnsi="Book Antiqua"/>
          <w:sz w:val="22"/>
        </w:rPr>
        <w:t xml:space="preserve"> Source:</w:t>
      </w:r>
      <w:r w:rsidRPr="00E3232D">
        <w:rPr>
          <w:rFonts w:ascii="Book Antiqua" w:hAnsi="Book Antiqua"/>
          <w:sz w:val="22"/>
          <w:szCs w:val="22"/>
        </w:rPr>
        <w:t xml:space="preserve"> Field Data, 2011</w:t>
      </w:r>
    </w:p>
    <w:p w14:paraId="79DE48BA" w14:textId="77777777" w:rsidR="001B74CA" w:rsidRPr="00E3232D" w:rsidRDefault="001B74CA" w:rsidP="00743382">
      <w:pPr>
        <w:pStyle w:val="FootnoteText"/>
        <w:spacing w:after="0" w:line="276" w:lineRule="auto"/>
        <w:rPr>
          <w:rFonts w:ascii="Book Antiqua" w:hAnsi="Book Antiqua"/>
          <w:sz w:val="22"/>
          <w:szCs w:val="22"/>
        </w:rPr>
      </w:pPr>
    </w:p>
    <w:p w14:paraId="5F990898" w14:textId="77777777" w:rsidR="001B6607" w:rsidRPr="00E3232D" w:rsidRDefault="001B6607" w:rsidP="001B74CA">
      <w:pPr>
        <w:jc w:val="both"/>
        <w:rPr>
          <w:rFonts w:ascii="Book Antiqua" w:hAnsi="Book Antiqua"/>
        </w:rPr>
      </w:pPr>
      <w:r w:rsidRPr="00E3232D">
        <w:rPr>
          <w:rFonts w:ascii="Book Antiqua" w:hAnsi="Book Antiqua"/>
        </w:rPr>
        <w:t xml:space="preserve">The research also sought to find out from the Assembly of the internal control instituted by the Assembly. The data  from the study revealed that though majority of the respondents, 35 respondents representing 77.78% responded that the Assembly had internal control in its operations, the Assembly had not instituted well-laid down and effective internal control mechanisms especially with regard to procurement. Data indicated that segregation of duties and lodgement of cash received in the finance office within 24 </w:t>
      </w:r>
      <w:r w:rsidRPr="00E3232D">
        <w:rPr>
          <w:rFonts w:ascii="Book Antiqua" w:hAnsi="Book Antiqua"/>
        </w:rPr>
        <w:t xml:space="preserve">hours was the only internal control measures in place.  </w:t>
      </w:r>
    </w:p>
    <w:p w14:paraId="0CEBA755" w14:textId="77777777" w:rsidR="001B6607" w:rsidRPr="00E3232D" w:rsidRDefault="001B6607" w:rsidP="005B79DD">
      <w:pPr>
        <w:spacing w:after="0"/>
        <w:jc w:val="both"/>
        <w:rPr>
          <w:rFonts w:ascii="Book Antiqua" w:hAnsi="Book Antiqua"/>
        </w:rPr>
      </w:pPr>
      <w:r w:rsidRPr="00E3232D">
        <w:rPr>
          <w:rFonts w:ascii="Book Antiqua" w:hAnsi="Book Antiqua"/>
        </w:rPr>
        <w:t xml:space="preserve">There were no internal control mechanism such as the communication of the policies, laws and regulations governing the operations of the Assembly, risk assessment of the activities of the Assembly especially with regards to Procurement. The Control Environment, which encompasses the management style, culture and values shared by all employees were lacking. The Assembly does not have a comprehensive database of its assets which makes the assets susceptible to stealing. There was no performance review of the activities of the Assembly to find out areas that needed corrective action. </w:t>
      </w:r>
    </w:p>
    <w:p w14:paraId="477F21E0" w14:textId="77777777" w:rsidR="00316C71" w:rsidRDefault="00316C71" w:rsidP="00C54C81">
      <w:pPr>
        <w:spacing w:after="0"/>
        <w:rPr>
          <w:rFonts w:ascii="Book Antiqua" w:hAnsi="Book Antiqua"/>
        </w:rPr>
      </w:pPr>
    </w:p>
    <w:p w14:paraId="7343587A" w14:textId="77777777" w:rsidR="001B6607" w:rsidRPr="00E3232D" w:rsidRDefault="001B6607" w:rsidP="00C54C81">
      <w:pPr>
        <w:spacing w:after="0"/>
        <w:rPr>
          <w:rFonts w:ascii="Book Antiqua" w:hAnsi="Book Antiqua"/>
        </w:rPr>
      </w:pPr>
      <w:r w:rsidRPr="00E3232D">
        <w:rPr>
          <w:rFonts w:ascii="Book Antiqua" w:hAnsi="Book Antiqua"/>
        </w:rPr>
        <w:t xml:space="preserve">Wells (2002) in his article, occupational fraud; ‘the audit as a deterrent: who better to teach CPAs how to spot fraud than the perpetrators?’ stipulated that internal control plays a vital role in preventing and detecting and protecting an organization’s resources both physical e.g. machinery and intangible e.g. reputation. </w:t>
      </w:r>
    </w:p>
    <w:p w14:paraId="79A632CF" w14:textId="77777777" w:rsidR="00C54C81" w:rsidRDefault="00C54C81" w:rsidP="00251D0D">
      <w:pPr>
        <w:spacing w:after="0"/>
        <w:rPr>
          <w:rFonts w:ascii="Book Antiqua" w:hAnsi="Book Antiqua"/>
        </w:rPr>
      </w:pPr>
    </w:p>
    <w:p w14:paraId="77F81E04" w14:textId="77777777" w:rsidR="001B6607" w:rsidRPr="00E3232D" w:rsidRDefault="001B6607" w:rsidP="005B79DD">
      <w:pPr>
        <w:jc w:val="both"/>
        <w:rPr>
          <w:rFonts w:ascii="Book Antiqua" w:hAnsi="Book Antiqua"/>
        </w:rPr>
      </w:pPr>
      <w:r w:rsidRPr="00E3232D">
        <w:rPr>
          <w:rFonts w:ascii="Book Antiqua" w:hAnsi="Book Antiqua"/>
        </w:rPr>
        <w:t xml:space="preserve">The training manual for accounting staff of Ministries, Departments and Agencies prepared by the Controller and Accountant General’s Department also added that internal control is designed to address risk and provide reasonable assurance that in pursuit of an entity’s mission, the entity complies with applicable law and regulations and also safeguard resource against misuse and damage. </w:t>
      </w:r>
    </w:p>
    <w:p w14:paraId="04A4722C" w14:textId="77777777" w:rsidR="00C54C81" w:rsidRDefault="001B6607" w:rsidP="008275E1">
      <w:pPr>
        <w:rPr>
          <w:rFonts w:ascii="Book Antiqua" w:hAnsi="Book Antiqua"/>
        </w:rPr>
      </w:pPr>
      <w:r w:rsidRPr="00E3232D">
        <w:rPr>
          <w:rFonts w:ascii="Book Antiqua" w:hAnsi="Book Antiqua"/>
        </w:rPr>
        <w:t xml:space="preserve">Internal control is an indispensable tool in the operations any organization deducing from the writers.  </w:t>
      </w:r>
    </w:p>
    <w:p w14:paraId="33BCB90F" w14:textId="77777777" w:rsidR="001B6607" w:rsidRPr="00E3232D" w:rsidRDefault="00481B23" w:rsidP="008275E1">
      <w:pPr>
        <w:rPr>
          <w:rFonts w:ascii="Book Antiqua" w:hAnsi="Book Antiqua"/>
          <w:b/>
        </w:rPr>
      </w:pPr>
      <w:r>
        <w:rPr>
          <w:rFonts w:ascii="Book Antiqua" w:hAnsi="Book Antiqua"/>
          <w:b/>
        </w:rPr>
        <w:lastRenderedPageBreak/>
        <w:t>Preparation o</w:t>
      </w:r>
      <w:r w:rsidRPr="00E3232D">
        <w:rPr>
          <w:rFonts w:ascii="Book Antiqua" w:hAnsi="Book Antiqua"/>
          <w:b/>
        </w:rPr>
        <w:t xml:space="preserve">f </w:t>
      </w:r>
      <w:r>
        <w:rPr>
          <w:rFonts w:ascii="Book Antiqua" w:hAnsi="Book Antiqua"/>
          <w:b/>
        </w:rPr>
        <w:t>a</w:t>
      </w:r>
      <w:r w:rsidRPr="00E3232D">
        <w:rPr>
          <w:rFonts w:ascii="Book Antiqua" w:hAnsi="Book Antiqua"/>
          <w:b/>
        </w:rPr>
        <w:t xml:space="preserve"> Procurement Plan </w:t>
      </w:r>
    </w:p>
    <w:p w14:paraId="6A143B54" w14:textId="77777777" w:rsidR="001B6607" w:rsidRPr="00E3232D" w:rsidRDefault="001B6607" w:rsidP="008275E1">
      <w:pPr>
        <w:rPr>
          <w:rFonts w:ascii="Book Antiqua" w:hAnsi="Book Antiqua"/>
        </w:rPr>
      </w:pPr>
      <w:r w:rsidRPr="00E3232D">
        <w:rPr>
          <w:rFonts w:ascii="Book Antiqua" w:hAnsi="Book Antiqua"/>
          <w:b/>
        </w:rPr>
        <w:t xml:space="preserve">    Table 7:</w:t>
      </w:r>
      <w:r w:rsidRPr="00E3232D">
        <w:rPr>
          <w:rFonts w:ascii="Book Antiqua" w:hAnsi="Book Antiqua"/>
        </w:rPr>
        <w:t xml:space="preserve"> Preparation of a procurement plan</w:t>
      </w:r>
    </w:p>
    <w:tbl>
      <w:tblPr>
        <w:tblW w:w="4036" w:type="pct"/>
        <w:tblBorders>
          <w:top w:val="single" w:sz="8" w:space="0" w:color="000000"/>
          <w:bottom w:val="single" w:sz="8" w:space="0" w:color="000000"/>
        </w:tblBorders>
        <w:tblLook w:val="0660" w:firstRow="1" w:lastRow="1" w:firstColumn="0" w:lastColumn="0" w:noHBand="1" w:noVBand="1"/>
      </w:tblPr>
      <w:tblGrid>
        <w:gridCol w:w="1182"/>
        <w:gridCol w:w="1268"/>
        <w:gridCol w:w="1304"/>
      </w:tblGrid>
      <w:tr w:rsidR="001B6607" w:rsidRPr="00D12E59" w14:paraId="37B326D5" w14:textId="77777777" w:rsidTr="0076390A">
        <w:trPr>
          <w:trHeight w:val="727"/>
        </w:trPr>
        <w:tc>
          <w:tcPr>
            <w:tcW w:w="1667" w:type="pct"/>
            <w:tcBorders>
              <w:top w:val="single" w:sz="8" w:space="0" w:color="000000"/>
              <w:left w:val="nil"/>
              <w:bottom w:val="single" w:sz="8" w:space="0" w:color="000000"/>
              <w:right w:val="nil"/>
            </w:tcBorders>
            <w:noWrap/>
          </w:tcPr>
          <w:p w14:paraId="2534FF47" w14:textId="77777777" w:rsidR="001B6607" w:rsidRPr="0076390A" w:rsidRDefault="001B6607" w:rsidP="0076390A">
            <w:pPr>
              <w:spacing w:line="240" w:lineRule="auto"/>
              <w:rPr>
                <w:rFonts w:ascii="Book Antiqua" w:hAnsi="Book Antiqua"/>
                <w:b/>
                <w:bCs/>
                <w:color w:val="365F91"/>
              </w:rPr>
            </w:pPr>
            <w:r w:rsidRPr="0076390A">
              <w:rPr>
                <w:rFonts w:ascii="Book Antiqua" w:hAnsi="Book Antiqua"/>
                <w:b/>
                <w:bCs/>
                <w:color w:val="365F91"/>
              </w:rPr>
              <w:t>Response</w:t>
            </w:r>
          </w:p>
        </w:tc>
        <w:tc>
          <w:tcPr>
            <w:tcW w:w="1667" w:type="pct"/>
            <w:tcBorders>
              <w:top w:val="single" w:sz="8" w:space="0" w:color="000000"/>
              <w:left w:val="nil"/>
              <w:bottom w:val="single" w:sz="8" w:space="0" w:color="000000"/>
              <w:right w:val="nil"/>
            </w:tcBorders>
          </w:tcPr>
          <w:p w14:paraId="7D3200A2" w14:textId="77777777" w:rsidR="001B6607" w:rsidRPr="0076390A" w:rsidRDefault="001B6607" w:rsidP="0076390A">
            <w:pPr>
              <w:spacing w:line="240" w:lineRule="auto"/>
              <w:rPr>
                <w:rFonts w:ascii="Book Antiqua" w:hAnsi="Book Antiqua"/>
                <w:b/>
                <w:bCs/>
                <w:color w:val="365F91"/>
              </w:rPr>
            </w:pPr>
            <w:r w:rsidRPr="0076390A">
              <w:rPr>
                <w:rFonts w:ascii="Book Antiqua" w:hAnsi="Book Antiqua"/>
                <w:b/>
                <w:bCs/>
                <w:color w:val="365F91"/>
              </w:rPr>
              <w:t>Frequency</w:t>
            </w:r>
          </w:p>
        </w:tc>
        <w:tc>
          <w:tcPr>
            <w:tcW w:w="1666" w:type="pct"/>
            <w:tcBorders>
              <w:top w:val="single" w:sz="8" w:space="0" w:color="000000"/>
              <w:left w:val="nil"/>
              <w:bottom w:val="single" w:sz="8" w:space="0" w:color="000000"/>
              <w:right w:val="nil"/>
            </w:tcBorders>
          </w:tcPr>
          <w:p w14:paraId="024F4FC0" w14:textId="77777777" w:rsidR="001B6607" w:rsidRPr="0076390A" w:rsidRDefault="001B6607" w:rsidP="0076390A">
            <w:pPr>
              <w:spacing w:line="240" w:lineRule="auto"/>
              <w:rPr>
                <w:rFonts w:ascii="Book Antiqua" w:hAnsi="Book Antiqua"/>
                <w:b/>
                <w:bCs/>
                <w:color w:val="365F91"/>
              </w:rPr>
            </w:pPr>
            <w:r w:rsidRPr="0076390A">
              <w:rPr>
                <w:rFonts w:ascii="Book Antiqua" w:hAnsi="Book Antiqua"/>
                <w:b/>
                <w:bCs/>
                <w:color w:val="365F91"/>
              </w:rPr>
              <w:t>Percentage (%)</w:t>
            </w:r>
          </w:p>
        </w:tc>
      </w:tr>
      <w:tr w:rsidR="001B6607" w:rsidRPr="00D12E59" w14:paraId="56CE9E2E" w14:textId="77777777" w:rsidTr="0076390A">
        <w:trPr>
          <w:trHeight w:val="942"/>
        </w:trPr>
        <w:tc>
          <w:tcPr>
            <w:tcW w:w="1667" w:type="pct"/>
            <w:noWrap/>
          </w:tcPr>
          <w:p w14:paraId="6EE5880E" w14:textId="77777777" w:rsidR="001B6607" w:rsidRPr="0076390A" w:rsidRDefault="001B6607" w:rsidP="0076390A">
            <w:pPr>
              <w:spacing w:line="240" w:lineRule="auto"/>
              <w:rPr>
                <w:rFonts w:ascii="Book Antiqua" w:hAnsi="Book Antiqua"/>
                <w:color w:val="365F91"/>
              </w:rPr>
            </w:pPr>
            <w:r w:rsidRPr="0076390A">
              <w:rPr>
                <w:rFonts w:ascii="Book Antiqua" w:hAnsi="Book Antiqua"/>
                <w:color w:val="365F91"/>
              </w:rPr>
              <w:t>Yes</w:t>
            </w:r>
          </w:p>
          <w:p w14:paraId="76A16749" w14:textId="77777777" w:rsidR="001B6607" w:rsidRPr="0076390A" w:rsidRDefault="001B6607" w:rsidP="0076390A">
            <w:pPr>
              <w:spacing w:line="240" w:lineRule="auto"/>
              <w:rPr>
                <w:rFonts w:ascii="Book Antiqua" w:hAnsi="Book Antiqua"/>
                <w:color w:val="365F91"/>
              </w:rPr>
            </w:pPr>
            <w:r w:rsidRPr="0076390A">
              <w:rPr>
                <w:rFonts w:ascii="Book Antiqua" w:hAnsi="Book Antiqua"/>
                <w:color w:val="365F91"/>
              </w:rPr>
              <w:t>No</w:t>
            </w:r>
          </w:p>
        </w:tc>
        <w:tc>
          <w:tcPr>
            <w:tcW w:w="1667" w:type="pct"/>
          </w:tcPr>
          <w:p w14:paraId="2904526F" w14:textId="77777777" w:rsidR="001B6607" w:rsidRPr="0076390A" w:rsidRDefault="001B6607" w:rsidP="0076390A">
            <w:pPr>
              <w:pStyle w:val="DecimalAligned"/>
              <w:spacing w:line="240" w:lineRule="auto"/>
              <w:rPr>
                <w:rFonts w:ascii="Book Antiqua" w:hAnsi="Book Antiqua"/>
                <w:color w:val="365F91"/>
              </w:rPr>
            </w:pPr>
            <w:r w:rsidRPr="0076390A">
              <w:rPr>
                <w:rFonts w:ascii="Book Antiqua" w:hAnsi="Book Antiqua"/>
                <w:color w:val="365F91"/>
              </w:rPr>
              <w:t>15</w:t>
            </w:r>
          </w:p>
          <w:p w14:paraId="25DB29FE" w14:textId="77777777" w:rsidR="001B6607" w:rsidRPr="0076390A" w:rsidRDefault="001B6607" w:rsidP="0076390A">
            <w:pPr>
              <w:pStyle w:val="DecimalAligned"/>
              <w:spacing w:line="240" w:lineRule="auto"/>
              <w:rPr>
                <w:rFonts w:ascii="Book Antiqua" w:hAnsi="Book Antiqua"/>
                <w:color w:val="365F91"/>
              </w:rPr>
            </w:pPr>
            <w:r w:rsidRPr="0076390A">
              <w:rPr>
                <w:rFonts w:ascii="Book Antiqua" w:hAnsi="Book Antiqua"/>
                <w:color w:val="365F91"/>
              </w:rPr>
              <w:t>30</w:t>
            </w:r>
          </w:p>
        </w:tc>
        <w:tc>
          <w:tcPr>
            <w:tcW w:w="1666" w:type="pct"/>
          </w:tcPr>
          <w:p w14:paraId="63E6BB8E" w14:textId="77777777" w:rsidR="001B6607" w:rsidRPr="0076390A" w:rsidRDefault="001B6607" w:rsidP="0076390A">
            <w:pPr>
              <w:pStyle w:val="DecimalAligned"/>
              <w:spacing w:line="240" w:lineRule="auto"/>
              <w:rPr>
                <w:rFonts w:ascii="Book Antiqua" w:hAnsi="Book Antiqua"/>
                <w:color w:val="365F91"/>
              </w:rPr>
            </w:pPr>
            <w:r w:rsidRPr="0076390A">
              <w:rPr>
                <w:rFonts w:ascii="Book Antiqua" w:hAnsi="Book Antiqua"/>
                <w:color w:val="365F91"/>
              </w:rPr>
              <w:t>33.33</w:t>
            </w:r>
          </w:p>
          <w:p w14:paraId="25B61EF7" w14:textId="77777777" w:rsidR="001B6607" w:rsidRPr="0076390A" w:rsidRDefault="001B6607" w:rsidP="0076390A">
            <w:pPr>
              <w:pStyle w:val="DecimalAligned"/>
              <w:spacing w:line="240" w:lineRule="auto"/>
              <w:rPr>
                <w:rFonts w:ascii="Book Antiqua" w:hAnsi="Book Antiqua"/>
                <w:color w:val="365F91"/>
              </w:rPr>
            </w:pPr>
            <w:r w:rsidRPr="0076390A">
              <w:rPr>
                <w:rFonts w:ascii="Book Antiqua" w:hAnsi="Book Antiqua"/>
                <w:color w:val="365F91"/>
              </w:rPr>
              <w:t>66.67</w:t>
            </w:r>
          </w:p>
        </w:tc>
      </w:tr>
      <w:tr w:rsidR="001B6607" w:rsidRPr="00D12E59" w14:paraId="2F8DE9D7" w14:textId="77777777" w:rsidTr="0076390A">
        <w:trPr>
          <w:trHeight w:val="497"/>
        </w:trPr>
        <w:tc>
          <w:tcPr>
            <w:tcW w:w="1667" w:type="pct"/>
            <w:tcBorders>
              <w:top w:val="single" w:sz="8" w:space="0" w:color="000000"/>
              <w:left w:val="nil"/>
              <w:bottom w:val="single" w:sz="8" w:space="0" w:color="000000"/>
              <w:right w:val="nil"/>
            </w:tcBorders>
            <w:noWrap/>
          </w:tcPr>
          <w:p w14:paraId="4F972A3E" w14:textId="77777777" w:rsidR="001B6607" w:rsidRPr="0076390A" w:rsidRDefault="001B6607" w:rsidP="0076390A">
            <w:pPr>
              <w:spacing w:line="240" w:lineRule="auto"/>
              <w:rPr>
                <w:rFonts w:ascii="Book Antiqua" w:hAnsi="Book Antiqua"/>
                <w:b/>
                <w:bCs/>
                <w:color w:val="365F91"/>
              </w:rPr>
            </w:pPr>
            <w:r w:rsidRPr="0076390A">
              <w:rPr>
                <w:rFonts w:ascii="Book Antiqua" w:hAnsi="Book Antiqua"/>
                <w:b/>
                <w:bCs/>
                <w:color w:val="365F91"/>
              </w:rPr>
              <w:t>Total</w:t>
            </w:r>
          </w:p>
        </w:tc>
        <w:tc>
          <w:tcPr>
            <w:tcW w:w="1667" w:type="pct"/>
            <w:tcBorders>
              <w:top w:val="single" w:sz="8" w:space="0" w:color="000000"/>
              <w:left w:val="nil"/>
              <w:bottom w:val="single" w:sz="8" w:space="0" w:color="000000"/>
              <w:right w:val="nil"/>
            </w:tcBorders>
          </w:tcPr>
          <w:p w14:paraId="753C7D10" w14:textId="77777777" w:rsidR="001B6607" w:rsidRPr="0076390A" w:rsidRDefault="001B6607" w:rsidP="0076390A">
            <w:pPr>
              <w:pStyle w:val="DecimalAligned"/>
              <w:spacing w:line="240" w:lineRule="auto"/>
              <w:rPr>
                <w:rFonts w:ascii="Book Antiqua" w:hAnsi="Book Antiqua"/>
                <w:b/>
                <w:bCs/>
                <w:color w:val="365F91"/>
              </w:rPr>
            </w:pPr>
            <w:r w:rsidRPr="0076390A">
              <w:rPr>
                <w:rFonts w:ascii="Book Antiqua" w:hAnsi="Book Antiqua"/>
                <w:b/>
                <w:bCs/>
                <w:color w:val="365F91"/>
              </w:rPr>
              <w:t>45</w:t>
            </w:r>
          </w:p>
        </w:tc>
        <w:tc>
          <w:tcPr>
            <w:tcW w:w="1666" w:type="pct"/>
            <w:tcBorders>
              <w:top w:val="single" w:sz="8" w:space="0" w:color="000000"/>
              <w:left w:val="nil"/>
              <w:bottom w:val="single" w:sz="8" w:space="0" w:color="000000"/>
              <w:right w:val="nil"/>
            </w:tcBorders>
          </w:tcPr>
          <w:p w14:paraId="2C96C846" w14:textId="77777777" w:rsidR="001B6607" w:rsidRPr="0076390A" w:rsidRDefault="001B6607" w:rsidP="0076390A">
            <w:pPr>
              <w:pStyle w:val="DecimalAligned"/>
              <w:spacing w:line="240" w:lineRule="auto"/>
              <w:rPr>
                <w:rFonts w:ascii="Book Antiqua" w:hAnsi="Book Antiqua"/>
                <w:b/>
                <w:bCs/>
                <w:color w:val="365F91"/>
              </w:rPr>
            </w:pPr>
            <w:r w:rsidRPr="0076390A">
              <w:rPr>
                <w:rFonts w:ascii="Book Antiqua" w:hAnsi="Book Antiqua"/>
                <w:b/>
                <w:bCs/>
                <w:color w:val="365F91"/>
              </w:rPr>
              <w:t>100</w:t>
            </w:r>
          </w:p>
        </w:tc>
      </w:tr>
    </w:tbl>
    <w:p w14:paraId="7250B0B9" w14:textId="77777777" w:rsidR="001B6607" w:rsidRPr="00E3232D" w:rsidRDefault="00DD7F2E" w:rsidP="008275E1">
      <w:pPr>
        <w:pStyle w:val="FootnoteText"/>
        <w:spacing w:line="276" w:lineRule="auto"/>
        <w:rPr>
          <w:rFonts w:ascii="Book Antiqua" w:hAnsi="Book Antiqua"/>
          <w:sz w:val="22"/>
          <w:szCs w:val="22"/>
        </w:rPr>
      </w:pPr>
      <w:r w:rsidRPr="00E3232D">
        <w:rPr>
          <w:rStyle w:val="SubtleEmphasis"/>
          <w:rFonts w:ascii="Book Antiqua" w:hAnsi="Book Antiqua"/>
          <w:sz w:val="22"/>
        </w:rPr>
        <w:t xml:space="preserve">  </w:t>
      </w:r>
      <w:r w:rsidR="001B6607" w:rsidRPr="00E3232D">
        <w:rPr>
          <w:rStyle w:val="SubtleEmphasis"/>
          <w:rFonts w:ascii="Book Antiqua" w:hAnsi="Book Antiqua"/>
          <w:sz w:val="22"/>
        </w:rPr>
        <w:t>Source:</w:t>
      </w:r>
      <w:r w:rsidR="001B6607" w:rsidRPr="00E3232D">
        <w:rPr>
          <w:rFonts w:ascii="Book Antiqua" w:hAnsi="Book Antiqua"/>
          <w:sz w:val="22"/>
          <w:szCs w:val="22"/>
        </w:rPr>
        <w:t xml:space="preserve"> Field Data, 2011</w:t>
      </w:r>
    </w:p>
    <w:p w14:paraId="1C989E53" w14:textId="77777777" w:rsidR="001376BE" w:rsidRDefault="00A97EF5" w:rsidP="00A97EF5">
      <w:pPr>
        <w:jc w:val="both"/>
        <w:rPr>
          <w:rFonts w:ascii="Book Antiqua" w:hAnsi="Book Antiqua"/>
        </w:rPr>
      </w:pPr>
      <w:r>
        <w:rPr>
          <w:rFonts w:ascii="Book Antiqua" w:hAnsi="Book Antiqua"/>
        </w:rPr>
        <w:t xml:space="preserve">  </w:t>
      </w:r>
      <w:r w:rsidR="001B6607" w:rsidRPr="00E3232D">
        <w:rPr>
          <w:rFonts w:ascii="Book Antiqua" w:hAnsi="Book Antiqua"/>
        </w:rPr>
        <w:t xml:space="preserve">Data from the study brought to the fore the fact that the Assembly does not prepare procurement plan at the beginning of the year that it follows in its procurement activities. Majority of respondents, 30 representing 66.67% responded that the Assembly does not prepare a procurement plan at the beginning of the year whereas 15 respondents representing 33.33% responded that the Assembly prepares a procurement plan at the beginning of the year. This has led to the situation where the Assembly’s procurement activities do not follow any laid down plan. </w:t>
      </w:r>
    </w:p>
    <w:p w14:paraId="25FE8609" w14:textId="77777777" w:rsidR="001B6607" w:rsidRPr="00E3232D" w:rsidRDefault="001B6607" w:rsidP="00A97EF5">
      <w:pPr>
        <w:jc w:val="both"/>
        <w:rPr>
          <w:rFonts w:ascii="Book Antiqua" w:hAnsi="Book Antiqua"/>
        </w:rPr>
      </w:pPr>
      <w:r w:rsidRPr="00E3232D">
        <w:rPr>
          <w:rFonts w:ascii="Book Antiqua" w:hAnsi="Book Antiqua"/>
        </w:rPr>
        <w:t>Section 21 of the Public Procurement Act, 2003 (Act 663) stipulates that a procurement entity shall prepare a procurement plan to support its approved programme and the plan shall indicate:</w:t>
      </w:r>
    </w:p>
    <w:p w14:paraId="3068BD5E" w14:textId="77777777" w:rsidR="001B6607" w:rsidRPr="00E3232D" w:rsidRDefault="001B6607" w:rsidP="008275E1">
      <w:pPr>
        <w:pStyle w:val="ListParagraph"/>
        <w:numPr>
          <w:ilvl w:val="0"/>
          <w:numId w:val="17"/>
        </w:numPr>
        <w:rPr>
          <w:rFonts w:ascii="Book Antiqua" w:hAnsi="Book Antiqua"/>
        </w:rPr>
      </w:pPr>
      <w:r w:rsidRPr="00E3232D">
        <w:rPr>
          <w:rFonts w:ascii="Book Antiqua" w:hAnsi="Book Antiqua"/>
        </w:rPr>
        <w:t xml:space="preserve">Contract packages </w:t>
      </w:r>
    </w:p>
    <w:p w14:paraId="3D359E88" w14:textId="77777777" w:rsidR="001B6607" w:rsidRPr="00E3232D" w:rsidRDefault="001B6607" w:rsidP="00A97EF5">
      <w:pPr>
        <w:pStyle w:val="ListParagraph"/>
        <w:numPr>
          <w:ilvl w:val="0"/>
          <w:numId w:val="17"/>
        </w:numPr>
        <w:jc w:val="both"/>
        <w:rPr>
          <w:rFonts w:ascii="Book Antiqua" w:hAnsi="Book Antiqua"/>
        </w:rPr>
      </w:pPr>
      <w:r w:rsidRPr="00E3232D">
        <w:rPr>
          <w:rFonts w:ascii="Book Antiqua" w:hAnsi="Book Antiqua"/>
        </w:rPr>
        <w:t xml:space="preserve">Estimated cost for each package </w:t>
      </w:r>
    </w:p>
    <w:p w14:paraId="4D0FAA03" w14:textId="77777777" w:rsidR="001B6607" w:rsidRPr="00E3232D" w:rsidRDefault="001B6607" w:rsidP="008275E1">
      <w:pPr>
        <w:pStyle w:val="ListParagraph"/>
        <w:numPr>
          <w:ilvl w:val="0"/>
          <w:numId w:val="17"/>
        </w:numPr>
        <w:rPr>
          <w:rFonts w:ascii="Book Antiqua" w:hAnsi="Book Antiqua"/>
        </w:rPr>
      </w:pPr>
      <w:r w:rsidRPr="00E3232D">
        <w:rPr>
          <w:rFonts w:ascii="Book Antiqua" w:hAnsi="Book Antiqua"/>
        </w:rPr>
        <w:t xml:space="preserve">The procurement method  </w:t>
      </w:r>
    </w:p>
    <w:p w14:paraId="6CFA106D" w14:textId="77777777" w:rsidR="001B6607" w:rsidRPr="00E3232D" w:rsidRDefault="001B6607" w:rsidP="008275E1">
      <w:pPr>
        <w:pStyle w:val="ListParagraph"/>
        <w:numPr>
          <w:ilvl w:val="0"/>
          <w:numId w:val="17"/>
        </w:numPr>
        <w:rPr>
          <w:rFonts w:ascii="Book Antiqua" w:hAnsi="Book Antiqua"/>
        </w:rPr>
      </w:pPr>
      <w:r w:rsidRPr="00E3232D">
        <w:rPr>
          <w:rFonts w:ascii="Book Antiqua" w:hAnsi="Book Antiqua"/>
        </w:rPr>
        <w:t xml:space="preserve">Processing steps and times  </w:t>
      </w:r>
    </w:p>
    <w:p w14:paraId="50550F8C" w14:textId="77777777" w:rsidR="001B6607" w:rsidRPr="00A97EF5" w:rsidRDefault="001B6607" w:rsidP="00A97EF5">
      <w:pPr>
        <w:jc w:val="both"/>
        <w:rPr>
          <w:rFonts w:ascii="Book Antiqua" w:hAnsi="Book Antiqua"/>
        </w:rPr>
      </w:pPr>
      <w:r w:rsidRPr="00E3232D">
        <w:rPr>
          <w:rFonts w:ascii="Book Antiqua" w:hAnsi="Book Antiqua"/>
        </w:rPr>
        <w:t xml:space="preserve">The section goes on further to state that a procurement entity shall submit to its Tender Committee not later than one month </w:t>
      </w:r>
      <w:r w:rsidRPr="00E3232D">
        <w:rPr>
          <w:rFonts w:ascii="Book Antiqua" w:hAnsi="Book Antiqua"/>
        </w:rPr>
        <w:t xml:space="preserve">to the end of the financial year the procurement plan for the following for approval. Again, after budget approval and at quarterly intervals after that, each procurement entity shall submit an update of the procurement plan to the Tender Committee. </w:t>
      </w:r>
    </w:p>
    <w:p w14:paraId="6A4241B4" w14:textId="77777777" w:rsidR="001B6607" w:rsidRPr="00E3232D" w:rsidRDefault="00E10ABB" w:rsidP="008275E1">
      <w:pPr>
        <w:rPr>
          <w:rFonts w:ascii="Book Antiqua" w:hAnsi="Book Antiqua"/>
          <w:b/>
        </w:rPr>
      </w:pPr>
      <w:r>
        <w:rPr>
          <w:rFonts w:ascii="Book Antiqua" w:hAnsi="Book Antiqua"/>
          <w:b/>
          <w:sz w:val="26"/>
        </w:rPr>
        <w:t xml:space="preserve">4.0 </w:t>
      </w:r>
      <w:r w:rsidR="00481B23" w:rsidRPr="00E10ABB">
        <w:rPr>
          <w:rFonts w:ascii="Book Antiqua" w:hAnsi="Book Antiqua"/>
          <w:b/>
          <w:sz w:val="26"/>
        </w:rPr>
        <w:t>Conclusion</w:t>
      </w:r>
      <w:r w:rsidR="00481B23" w:rsidRPr="00E3232D">
        <w:rPr>
          <w:rFonts w:ascii="Book Antiqua" w:hAnsi="Book Antiqua"/>
          <w:b/>
        </w:rPr>
        <w:t xml:space="preserve"> </w:t>
      </w:r>
    </w:p>
    <w:p w14:paraId="0ADF7A0C" w14:textId="77777777" w:rsidR="001376BE" w:rsidRDefault="001B6607" w:rsidP="008275E1">
      <w:pPr>
        <w:rPr>
          <w:rFonts w:ascii="Book Antiqua" w:hAnsi="Book Antiqua"/>
        </w:rPr>
      </w:pPr>
      <w:r w:rsidRPr="00E3232D">
        <w:rPr>
          <w:rFonts w:ascii="Book Antiqua" w:hAnsi="Book Antiqua"/>
        </w:rPr>
        <w:t xml:space="preserve">What the researcher set out to do was to assess the internal control practices in procurement at the Akuapem North District Assembly. </w:t>
      </w:r>
    </w:p>
    <w:p w14:paraId="3A59E82A" w14:textId="77777777" w:rsidR="00A3447F" w:rsidRDefault="001B6607" w:rsidP="00A97EF5">
      <w:pPr>
        <w:jc w:val="both"/>
        <w:rPr>
          <w:rFonts w:ascii="Book Antiqua" w:hAnsi="Book Antiqua"/>
        </w:rPr>
      </w:pPr>
      <w:r w:rsidRPr="00E3232D">
        <w:rPr>
          <w:rFonts w:ascii="Book Antiqua" w:hAnsi="Book Antiqua"/>
        </w:rPr>
        <w:t xml:space="preserve">The researcher undertook the study by using questionnaires to solicit for information from the Finance, Works, Planning, Stores, Internal Audit and Administration Departments which were the target department for the study. The data for the study was analyzed using Microsoft Excel. The purposive sampling was adopted to select the sample from the population. </w:t>
      </w:r>
    </w:p>
    <w:p w14:paraId="262C69E0" w14:textId="77777777" w:rsidR="001B6607" w:rsidRPr="00E3232D" w:rsidRDefault="001B6607" w:rsidP="00A97EF5">
      <w:pPr>
        <w:jc w:val="both"/>
        <w:rPr>
          <w:rFonts w:ascii="Book Antiqua" w:hAnsi="Book Antiqua"/>
        </w:rPr>
      </w:pPr>
      <w:r w:rsidRPr="00E3232D">
        <w:rPr>
          <w:rFonts w:ascii="Book Antiqua" w:hAnsi="Book Antiqua"/>
        </w:rPr>
        <w:t>The study brought to the fore the fact that the Assembly does not have a procurement department headed by a qualified procurement person. This affects the procurement of goods, works and services of the Assembly due to the fact that there is always conflict between the stores, planning and finance departments as to who really is in charge of procurement of in the Assembly. Each department proceeds to do its own procurement when it needs things like stationery for official work.</w:t>
      </w:r>
    </w:p>
    <w:p w14:paraId="10E68F51" w14:textId="77777777" w:rsidR="001B6607" w:rsidRPr="00E3232D" w:rsidRDefault="001B6607" w:rsidP="00A97EF5">
      <w:pPr>
        <w:spacing w:after="0"/>
        <w:jc w:val="both"/>
        <w:rPr>
          <w:rFonts w:ascii="Book Antiqua" w:hAnsi="Book Antiqua"/>
        </w:rPr>
      </w:pPr>
      <w:r w:rsidRPr="00E3232D">
        <w:rPr>
          <w:rFonts w:ascii="Book Antiqua" w:hAnsi="Book Antiqua"/>
        </w:rPr>
        <w:t xml:space="preserve">The Assembly does not prepare any procurement plan at the beginning of the year as enshrined in the Public Procurement Act, 2003; the Assembly does its </w:t>
      </w:r>
      <w:r w:rsidRPr="00E3232D">
        <w:rPr>
          <w:rFonts w:ascii="Book Antiqua" w:hAnsi="Book Antiqua"/>
        </w:rPr>
        <w:lastRenderedPageBreak/>
        <w:t xml:space="preserve">procurement as and when the need arises. Because the Assembly does not prepare a procurement plan, it is not able to budget accurately for its procurement activities for the year and procurement is done in a haphazard manner without any laid down plan to follow. </w:t>
      </w:r>
    </w:p>
    <w:p w14:paraId="7814E133" w14:textId="77777777" w:rsidR="00C54C81" w:rsidRDefault="00C54C81" w:rsidP="00C54C81">
      <w:pPr>
        <w:spacing w:after="0"/>
        <w:rPr>
          <w:rFonts w:ascii="Book Antiqua" w:hAnsi="Book Antiqua"/>
        </w:rPr>
      </w:pPr>
    </w:p>
    <w:p w14:paraId="54106C5E" w14:textId="77777777" w:rsidR="001B6607" w:rsidRPr="00E3232D" w:rsidRDefault="001B6607" w:rsidP="00A97EF5">
      <w:pPr>
        <w:spacing w:after="0"/>
        <w:jc w:val="both"/>
        <w:rPr>
          <w:rFonts w:ascii="Book Antiqua" w:hAnsi="Book Antiqua"/>
        </w:rPr>
      </w:pPr>
      <w:r w:rsidRPr="00E3232D">
        <w:rPr>
          <w:rFonts w:ascii="Book Antiqua" w:hAnsi="Book Antiqua"/>
        </w:rPr>
        <w:t xml:space="preserve">The procurement procedure of the District is not uniform due to the absence of a procurement department to co-ordinate procurement and the absence of a procurement plan to be followed. </w:t>
      </w:r>
    </w:p>
    <w:p w14:paraId="151A4252" w14:textId="77777777" w:rsidR="00A97EF5" w:rsidRDefault="00A97EF5" w:rsidP="00C54C81">
      <w:pPr>
        <w:spacing w:after="0"/>
        <w:rPr>
          <w:rFonts w:ascii="Book Antiqua" w:hAnsi="Book Antiqua"/>
        </w:rPr>
      </w:pPr>
    </w:p>
    <w:p w14:paraId="2B6EF40B" w14:textId="77777777" w:rsidR="001B6607" w:rsidRPr="00E3232D" w:rsidRDefault="001B6607" w:rsidP="00A97EF5">
      <w:pPr>
        <w:spacing w:after="0"/>
        <w:jc w:val="both"/>
        <w:rPr>
          <w:rFonts w:ascii="Book Antiqua" w:hAnsi="Book Antiqua"/>
        </w:rPr>
      </w:pPr>
      <w:r w:rsidRPr="00E3232D">
        <w:rPr>
          <w:rFonts w:ascii="Book Antiqua" w:hAnsi="Book Antiqua"/>
        </w:rPr>
        <w:t xml:space="preserve">The analysis of data also revealed the Assembly does not organize training for its staff on procurement as enshrined in the Public Procurement Act, Act 663. </w:t>
      </w:r>
    </w:p>
    <w:p w14:paraId="5A9522EF" w14:textId="77777777" w:rsidR="001376BE" w:rsidRDefault="001376BE" w:rsidP="00C54C81">
      <w:pPr>
        <w:spacing w:after="0"/>
        <w:rPr>
          <w:rFonts w:ascii="Book Antiqua" w:hAnsi="Book Antiqua"/>
        </w:rPr>
      </w:pPr>
    </w:p>
    <w:p w14:paraId="266A1BF8" w14:textId="77777777" w:rsidR="00C54C81" w:rsidRDefault="001B6607" w:rsidP="00A97EF5">
      <w:pPr>
        <w:spacing w:after="0"/>
        <w:jc w:val="both"/>
        <w:rPr>
          <w:rFonts w:ascii="Book Antiqua" w:hAnsi="Book Antiqua"/>
        </w:rPr>
      </w:pPr>
      <w:r w:rsidRPr="00E3232D">
        <w:rPr>
          <w:rFonts w:ascii="Book Antiqua" w:hAnsi="Book Antiqua"/>
        </w:rPr>
        <w:t xml:space="preserve">Again another finding from the study was the fact that the Assembly does not have a monitoring team in place that monitors the progress of work on building and road sites. This situation makes the procurement of works fall short of the standard required from contractors who use sub-standard materials and also ill-trained artisans and obsolete equipments to execute the work in order to make more profit.  </w:t>
      </w:r>
    </w:p>
    <w:p w14:paraId="4FBFB735" w14:textId="77777777" w:rsidR="00A97EF5" w:rsidRDefault="00A97EF5" w:rsidP="00A97EF5">
      <w:pPr>
        <w:spacing w:after="0"/>
        <w:jc w:val="both"/>
        <w:rPr>
          <w:rFonts w:ascii="Book Antiqua" w:hAnsi="Book Antiqua"/>
        </w:rPr>
      </w:pPr>
    </w:p>
    <w:p w14:paraId="08E45C5A" w14:textId="77777777" w:rsidR="001B6607" w:rsidRPr="00E3232D" w:rsidRDefault="001B6607" w:rsidP="00A97EF5">
      <w:pPr>
        <w:jc w:val="both"/>
        <w:rPr>
          <w:rFonts w:ascii="Book Antiqua" w:hAnsi="Book Antiqua"/>
        </w:rPr>
      </w:pPr>
      <w:r w:rsidRPr="00E3232D">
        <w:rPr>
          <w:rFonts w:ascii="Book Antiqua" w:hAnsi="Book Antiqua"/>
        </w:rPr>
        <w:t xml:space="preserve">The researcher found from the study that the Assembly was able to collect NTR within the District by the powers conferred on it by the Local Government Act, Act 462. The Assembly had also put in place measures to ensure that the Assembly collects NTR in the District; this was a very good step as the measures has ensured that the Assembly was able to collect NTR to supplement what the Central Government brings for development in the District. </w:t>
      </w:r>
    </w:p>
    <w:p w14:paraId="3BB791FB" w14:textId="77777777" w:rsidR="001B6607" w:rsidRPr="00E3232D" w:rsidRDefault="001B6607" w:rsidP="00A97EF5">
      <w:pPr>
        <w:spacing w:after="0"/>
        <w:jc w:val="both"/>
        <w:rPr>
          <w:rFonts w:ascii="Book Antiqua" w:hAnsi="Book Antiqua"/>
        </w:rPr>
      </w:pPr>
      <w:r w:rsidRPr="00E3232D">
        <w:rPr>
          <w:rFonts w:ascii="Book Antiqua" w:hAnsi="Book Antiqua"/>
        </w:rPr>
        <w:t xml:space="preserve">The study also brought to light the fact that the assembly had not instituted detailed and well-laid down internal control in its operations especially the Assembly with regards to procurement of works, goods and services. Though majority of respondents responded that there are internal controls in the activities of the Assembly, the data from the study indicated that the Assembly has not instituted strong, detailed and well-laid down internal controls in its operations especially with regards to procurement. </w:t>
      </w:r>
    </w:p>
    <w:p w14:paraId="0C68273F" w14:textId="77777777" w:rsidR="001376BE" w:rsidRDefault="001376BE" w:rsidP="00C54C81">
      <w:pPr>
        <w:spacing w:after="0"/>
        <w:rPr>
          <w:rFonts w:ascii="Book Antiqua" w:hAnsi="Book Antiqua"/>
        </w:rPr>
      </w:pPr>
    </w:p>
    <w:p w14:paraId="12B6664B" w14:textId="77777777" w:rsidR="001B6607" w:rsidRPr="00E3232D" w:rsidRDefault="001B6607" w:rsidP="00A97EF5">
      <w:pPr>
        <w:spacing w:after="0"/>
        <w:jc w:val="both"/>
        <w:rPr>
          <w:rFonts w:ascii="Book Antiqua" w:hAnsi="Book Antiqua"/>
        </w:rPr>
      </w:pPr>
      <w:r w:rsidRPr="00E3232D">
        <w:rPr>
          <w:rFonts w:ascii="Book Antiqua" w:hAnsi="Book Antiqua"/>
        </w:rPr>
        <w:t xml:space="preserve">Finally, the data from the study indicated that the Assembly reports on the management of its funds to the various stakeholders though the preparation of various financial statements.  </w:t>
      </w:r>
    </w:p>
    <w:p w14:paraId="7A7F0CE1" w14:textId="77777777" w:rsidR="001B6607" w:rsidRPr="00E3232D" w:rsidRDefault="001B6607" w:rsidP="00251D0D">
      <w:pPr>
        <w:spacing w:after="0"/>
        <w:rPr>
          <w:rFonts w:ascii="Book Antiqua" w:hAnsi="Book Antiqua"/>
        </w:rPr>
      </w:pPr>
    </w:p>
    <w:p w14:paraId="771E186F" w14:textId="77777777" w:rsidR="001B6607" w:rsidRPr="00E3232D" w:rsidRDefault="00E10ABB" w:rsidP="008275E1">
      <w:pPr>
        <w:rPr>
          <w:rFonts w:ascii="Book Antiqua" w:hAnsi="Book Antiqua"/>
          <w:b/>
        </w:rPr>
      </w:pPr>
      <w:r>
        <w:rPr>
          <w:rFonts w:ascii="Book Antiqua" w:hAnsi="Book Antiqua"/>
          <w:b/>
          <w:sz w:val="26"/>
        </w:rPr>
        <w:t xml:space="preserve">5.0 </w:t>
      </w:r>
      <w:r w:rsidR="00481B23" w:rsidRPr="00751699">
        <w:rPr>
          <w:rFonts w:ascii="Book Antiqua" w:hAnsi="Book Antiqua"/>
          <w:b/>
          <w:sz w:val="26"/>
        </w:rPr>
        <w:t>Recommendations</w:t>
      </w:r>
      <w:r w:rsidR="001B6607" w:rsidRPr="00E3232D">
        <w:rPr>
          <w:rFonts w:ascii="Book Antiqua" w:hAnsi="Book Antiqua"/>
          <w:b/>
        </w:rPr>
        <w:t xml:space="preserve"> </w:t>
      </w:r>
    </w:p>
    <w:p w14:paraId="589C4E89" w14:textId="77777777" w:rsidR="001B6607" w:rsidRPr="00E3232D" w:rsidRDefault="001B6607" w:rsidP="00A97EF5">
      <w:pPr>
        <w:jc w:val="both"/>
        <w:rPr>
          <w:rFonts w:ascii="Book Antiqua" w:hAnsi="Book Antiqua"/>
        </w:rPr>
      </w:pPr>
      <w:r w:rsidRPr="00E3232D">
        <w:rPr>
          <w:rFonts w:ascii="Book Antiqua" w:hAnsi="Book Antiqua"/>
        </w:rPr>
        <w:t xml:space="preserve">First, the Assembly should establish a Procurement Department manned by well qualified personnel in Procurement. </w:t>
      </w:r>
    </w:p>
    <w:p w14:paraId="7F7DD37A" w14:textId="77777777" w:rsidR="001B6607" w:rsidRPr="00E3232D" w:rsidRDefault="001B6607" w:rsidP="00A97EF5">
      <w:pPr>
        <w:jc w:val="both"/>
        <w:rPr>
          <w:rFonts w:ascii="Book Antiqua" w:hAnsi="Book Antiqua"/>
        </w:rPr>
      </w:pPr>
      <w:r w:rsidRPr="00E3232D">
        <w:rPr>
          <w:rFonts w:ascii="Book Antiqua" w:hAnsi="Book Antiqua"/>
        </w:rPr>
        <w:t xml:space="preserve">Again, the Assembly should establish a monitoring a team that should be tasked with monitoring on-going projects and also monitor all procurement activities. </w:t>
      </w:r>
    </w:p>
    <w:p w14:paraId="1926FD3D" w14:textId="77777777" w:rsidR="001B6607" w:rsidRPr="00E3232D" w:rsidRDefault="001B6607" w:rsidP="00C54C81">
      <w:pPr>
        <w:spacing w:after="0"/>
        <w:rPr>
          <w:rFonts w:ascii="Book Antiqua" w:hAnsi="Book Antiqua"/>
        </w:rPr>
      </w:pPr>
      <w:r w:rsidRPr="00E3232D">
        <w:rPr>
          <w:rFonts w:ascii="Book Antiqua" w:hAnsi="Book Antiqua"/>
        </w:rPr>
        <w:t xml:space="preserve">The Assembly should prepare a procurement plan at the beginning of the year as enshrined in the Procurement Act. </w:t>
      </w:r>
    </w:p>
    <w:p w14:paraId="07CDC1D7" w14:textId="77777777" w:rsidR="00F16182" w:rsidRDefault="00F16182" w:rsidP="00C54C81">
      <w:pPr>
        <w:spacing w:after="0"/>
        <w:rPr>
          <w:rFonts w:ascii="Book Antiqua" w:hAnsi="Book Antiqua"/>
        </w:rPr>
      </w:pPr>
    </w:p>
    <w:p w14:paraId="7B91FCD0" w14:textId="77777777" w:rsidR="001B6607" w:rsidRPr="00E3232D" w:rsidRDefault="001B6607" w:rsidP="00A97EF5">
      <w:pPr>
        <w:spacing w:after="0"/>
        <w:jc w:val="both"/>
        <w:rPr>
          <w:rFonts w:ascii="Book Antiqua" w:hAnsi="Book Antiqua"/>
        </w:rPr>
      </w:pPr>
      <w:r w:rsidRPr="00E3232D">
        <w:rPr>
          <w:rFonts w:ascii="Book Antiqua" w:hAnsi="Book Antiqua"/>
        </w:rPr>
        <w:t xml:space="preserve">Furthermore, the Assembly should institute laid-down internal controls in its operations especially with regards to procurement. </w:t>
      </w:r>
    </w:p>
    <w:p w14:paraId="2A9CC21B" w14:textId="77777777" w:rsidR="001376BE" w:rsidRDefault="001B6607" w:rsidP="00A97EF5">
      <w:pPr>
        <w:jc w:val="both"/>
        <w:rPr>
          <w:rFonts w:ascii="Book Antiqua" w:hAnsi="Book Antiqua"/>
        </w:rPr>
      </w:pPr>
      <w:r w:rsidRPr="00E3232D">
        <w:rPr>
          <w:rFonts w:ascii="Book Antiqua" w:hAnsi="Book Antiqua"/>
        </w:rPr>
        <w:t xml:space="preserve">Moreover, the Assembly should intensify its education on the payment of taxes in the District so people become aware of the need to honour their tax obligation. </w:t>
      </w:r>
    </w:p>
    <w:p w14:paraId="5ACF5A1A" w14:textId="77777777" w:rsidR="001B6607" w:rsidRPr="00E3232D" w:rsidRDefault="001B6607" w:rsidP="00A97EF5">
      <w:pPr>
        <w:jc w:val="both"/>
        <w:rPr>
          <w:rFonts w:ascii="Book Antiqua" w:hAnsi="Book Antiqua"/>
        </w:rPr>
      </w:pPr>
      <w:r w:rsidRPr="00E3232D">
        <w:rPr>
          <w:rFonts w:ascii="Book Antiqua" w:hAnsi="Book Antiqua"/>
        </w:rPr>
        <w:lastRenderedPageBreak/>
        <w:t xml:space="preserve">The Assembly should widen its Non-Tax Revenue items in order to get more taxes for developments in the District. </w:t>
      </w:r>
    </w:p>
    <w:p w14:paraId="5FC07E8C" w14:textId="77777777" w:rsidR="00F16182" w:rsidRDefault="00F16182" w:rsidP="008275E1">
      <w:pPr>
        <w:rPr>
          <w:rFonts w:ascii="Book Antiqua" w:hAnsi="Book Antiqua"/>
        </w:rPr>
      </w:pPr>
    </w:p>
    <w:p w14:paraId="76C3984C" w14:textId="77777777" w:rsidR="002C58BB" w:rsidRPr="00A97EF5" w:rsidRDefault="001B6607" w:rsidP="00A97EF5">
      <w:pPr>
        <w:jc w:val="both"/>
        <w:rPr>
          <w:rFonts w:ascii="Book Antiqua" w:hAnsi="Book Antiqua"/>
        </w:rPr>
      </w:pPr>
      <w:r w:rsidRPr="00E3232D">
        <w:rPr>
          <w:rFonts w:ascii="Book Antiqua" w:hAnsi="Book Antiqua"/>
        </w:rPr>
        <w:t xml:space="preserve">Finally the Assembly employ the use of modern technology like the use of computerized receipts and train its revenue collector in their usage. </w:t>
      </w:r>
    </w:p>
    <w:p w14:paraId="48B69AD6" w14:textId="77777777" w:rsidR="001B6607" w:rsidRPr="00751699" w:rsidRDefault="00481B23" w:rsidP="00A97EF5">
      <w:pPr>
        <w:jc w:val="both"/>
        <w:rPr>
          <w:rFonts w:ascii="Book Antiqua" w:hAnsi="Book Antiqua"/>
          <w:b/>
          <w:sz w:val="24"/>
        </w:rPr>
      </w:pPr>
      <w:r w:rsidRPr="00751699">
        <w:rPr>
          <w:rFonts w:ascii="Book Antiqua" w:hAnsi="Book Antiqua"/>
          <w:b/>
          <w:sz w:val="26"/>
        </w:rPr>
        <w:t>References</w:t>
      </w:r>
    </w:p>
    <w:p w14:paraId="205EEE11" w14:textId="77777777" w:rsidR="001B6607" w:rsidRPr="00E3232D" w:rsidRDefault="001B6607" w:rsidP="00A97EF5">
      <w:pPr>
        <w:jc w:val="both"/>
        <w:rPr>
          <w:rFonts w:ascii="Book Antiqua" w:hAnsi="Book Antiqua"/>
        </w:rPr>
      </w:pPr>
      <w:r w:rsidRPr="00E3232D">
        <w:rPr>
          <w:rFonts w:ascii="Book Antiqua" w:hAnsi="Book Antiqua"/>
        </w:rPr>
        <w:t xml:space="preserve">Albrecht, W.S. and Albrecht, C.O. (2004). </w:t>
      </w:r>
      <w:r w:rsidRPr="00E3232D">
        <w:rPr>
          <w:rFonts w:ascii="Book Antiqua" w:hAnsi="Book Antiqua"/>
          <w:i/>
        </w:rPr>
        <w:t>Fraud Examination and Prevention</w:t>
      </w:r>
      <w:r w:rsidRPr="00E3232D">
        <w:rPr>
          <w:rFonts w:ascii="Book Antiqua" w:hAnsi="Book Antiqua"/>
        </w:rPr>
        <w:t>. Cincinnati:     South-Western Educational Publishing.</w:t>
      </w:r>
    </w:p>
    <w:p w14:paraId="74DFD259" w14:textId="77777777" w:rsidR="001B6607" w:rsidRPr="00E3232D" w:rsidRDefault="001B6607" w:rsidP="00A97EF5">
      <w:pPr>
        <w:jc w:val="both"/>
        <w:rPr>
          <w:rFonts w:ascii="Book Antiqua" w:hAnsi="Book Antiqua"/>
        </w:rPr>
      </w:pPr>
      <w:r w:rsidRPr="00E3232D">
        <w:rPr>
          <w:rFonts w:ascii="Book Antiqua" w:hAnsi="Book Antiqua"/>
        </w:rPr>
        <w:t xml:space="preserve">Branch, A. (2001). </w:t>
      </w:r>
      <w:r w:rsidRPr="00E3232D">
        <w:rPr>
          <w:rFonts w:ascii="Book Antiqua" w:hAnsi="Book Antiqua"/>
          <w:i/>
        </w:rPr>
        <w:t xml:space="preserve">International Purchasing and management. </w:t>
      </w:r>
      <w:r w:rsidRPr="00E3232D">
        <w:rPr>
          <w:rFonts w:ascii="Book Antiqua" w:hAnsi="Book Antiqua"/>
        </w:rPr>
        <w:t>New York: Amazon</w:t>
      </w:r>
    </w:p>
    <w:p w14:paraId="499587CF" w14:textId="77777777" w:rsidR="001B6607" w:rsidRPr="00E3232D" w:rsidRDefault="001B6607" w:rsidP="00A97EF5">
      <w:pPr>
        <w:jc w:val="both"/>
        <w:rPr>
          <w:rFonts w:ascii="Book Antiqua" w:hAnsi="Book Antiqua"/>
          <w:i/>
        </w:rPr>
      </w:pPr>
      <w:r w:rsidRPr="00E3232D">
        <w:rPr>
          <w:rFonts w:ascii="Book Antiqua" w:hAnsi="Book Antiqua"/>
        </w:rPr>
        <w:t xml:space="preserve">Committee of Sponsoring Organization of the Tread way Commission (1992). </w:t>
      </w:r>
      <w:r w:rsidRPr="00E3232D">
        <w:rPr>
          <w:rFonts w:ascii="Book Antiqua" w:hAnsi="Book Antiqua"/>
          <w:i/>
        </w:rPr>
        <w:t>Internal</w:t>
      </w:r>
    </w:p>
    <w:p w14:paraId="0887E433" w14:textId="77777777" w:rsidR="001B6607" w:rsidRPr="00E3232D" w:rsidRDefault="001B6607" w:rsidP="00A97EF5">
      <w:pPr>
        <w:jc w:val="both"/>
        <w:rPr>
          <w:rFonts w:ascii="Book Antiqua" w:hAnsi="Book Antiqua"/>
        </w:rPr>
      </w:pPr>
      <w:r w:rsidRPr="00E3232D">
        <w:rPr>
          <w:rFonts w:ascii="Book Antiqua" w:hAnsi="Book Antiqua"/>
          <w:i/>
        </w:rPr>
        <w:t>Control Integrated Framework</w:t>
      </w:r>
      <w:r w:rsidRPr="00E3232D">
        <w:rPr>
          <w:rFonts w:ascii="Book Antiqua" w:hAnsi="Book Antiqua"/>
        </w:rPr>
        <w:t>. [Online] available from: http:www.coso.org.[Accessed:20</w:t>
      </w:r>
      <w:r w:rsidRPr="00E3232D">
        <w:rPr>
          <w:rFonts w:ascii="Book Antiqua" w:hAnsi="Book Antiqua"/>
          <w:vertAlign w:val="superscript"/>
        </w:rPr>
        <w:t xml:space="preserve">th   </w:t>
      </w:r>
      <w:r w:rsidRPr="00E3232D">
        <w:rPr>
          <w:rFonts w:ascii="Book Antiqua" w:hAnsi="Book Antiqua"/>
        </w:rPr>
        <w:t xml:space="preserve"> April 2011] </w:t>
      </w:r>
    </w:p>
    <w:p w14:paraId="604A1D64" w14:textId="77777777" w:rsidR="001B6607" w:rsidRPr="00E3232D" w:rsidRDefault="001B6607" w:rsidP="00A97EF5">
      <w:pPr>
        <w:jc w:val="both"/>
        <w:rPr>
          <w:rFonts w:ascii="Book Antiqua" w:hAnsi="Book Antiqua"/>
          <w:i/>
        </w:rPr>
      </w:pPr>
      <w:r w:rsidRPr="00E3232D">
        <w:rPr>
          <w:rFonts w:ascii="Book Antiqua" w:hAnsi="Book Antiqua"/>
        </w:rPr>
        <w:t xml:space="preserve">Controller and Accountant General’s Department. (2010). </w:t>
      </w:r>
      <w:r w:rsidRPr="00E3232D">
        <w:rPr>
          <w:rFonts w:ascii="Book Antiqua" w:hAnsi="Book Antiqua"/>
          <w:i/>
        </w:rPr>
        <w:t xml:space="preserve">Training manual for finance  </w:t>
      </w:r>
    </w:p>
    <w:p w14:paraId="16566D42" w14:textId="77777777" w:rsidR="001B6607" w:rsidRPr="00E3232D" w:rsidRDefault="001B6607" w:rsidP="00A97EF5">
      <w:pPr>
        <w:jc w:val="both"/>
        <w:rPr>
          <w:rFonts w:ascii="Book Antiqua" w:hAnsi="Book Antiqua"/>
        </w:rPr>
      </w:pPr>
      <w:r w:rsidRPr="00E3232D">
        <w:rPr>
          <w:rFonts w:ascii="Book Antiqua" w:hAnsi="Book Antiqua"/>
          <w:i/>
        </w:rPr>
        <w:t>Officers of MMDAs</w:t>
      </w:r>
      <w:r w:rsidRPr="00E3232D">
        <w:rPr>
          <w:rFonts w:ascii="Book Antiqua" w:hAnsi="Book Antiqua"/>
        </w:rPr>
        <w:t xml:space="preserve">, Accra: Ghana Publishing Corporation. </w:t>
      </w:r>
    </w:p>
    <w:p w14:paraId="0CAA2DFC" w14:textId="77777777" w:rsidR="001B6607" w:rsidRPr="00E3232D" w:rsidRDefault="001B6607" w:rsidP="00A97EF5">
      <w:pPr>
        <w:jc w:val="both"/>
        <w:rPr>
          <w:rFonts w:ascii="Book Antiqua" w:hAnsi="Book Antiqua"/>
        </w:rPr>
      </w:pPr>
      <w:r w:rsidRPr="00E3232D">
        <w:rPr>
          <w:rFonts w:ascii="Book Antiqua" w:hAnsi="Book Antiqua"/>
        </w:rPr>
        <w:t>Dinapoli, T.P. (2009).</w:t>
      </w:r>
      <w:r w:rsidRPr="00E3232D">
        <w:rPr>
          <w:rFonts w:ascii="Book Antiqua" w:hAnsi="Book Antiqua"/>
          <w:i/>
        </w:rPr>
        <w:t xml:space="preserve"> Internal control over selected financial activities</w:t>
      </w:r>
      <w:r w:rsidRPr="00E3232D">
        <w:rPr>
          <w:rFonts w:ascii="Book Antiqua" w:hAnsi="Book Antiqua"/>
        </w:rPr>
        <w:t>. [Online].available</w:t>
      </w:r>
    </w:p>
    <w:p w14:paraId="77B2C814" w14:textId="77777777" w:rsidR="001B6607" w:rsidRPr="00E3232D" w:rsidRDefault="00850DC5" w:rsidP="00A97EF5">
      <w:pPr>
        <w:jc w:val="both"/>
        <w:rPr>
          <w:rFonts w:ascii="Book Antiqua" w:hAnsi="Book Antiqua"/>
        </w:rPr>
      </w:pPr>
      <w:hyperlink r:id="rId27" w:history="1">
        <w:r w:rsidR="001B6607" w:rsidRPr="00E3232D">
          <w:rPr>
            <w:rStyle w:val="Hyperlink"/>
            <w:rFonts w:ascii="Book Antiqua" w:hAnsi="Book Antiqua"/>
          </w:rPr>
          <w:t>http://www.wikipedia.com/internal</w:t>
        </w:r>
      </w:hyperlink>
      <w:r w:rsidR="001B6607" w:rsidRPr="00E3232D">
        <w:rPr>
          <w:rFonts w:ascii="Book Antiqua" w:hAnsi="Book Antiqua"/>
        </w:rPr>
        <w:t xml:space="preserve"> control.[Accessed :20th April 2011 ]</w:t>
      </w:r>
    </w:p>
    <w:p w14:paraId="20B29590" w14:textId="77777777" w:rsidR="001B6607" w:rsidRPr="00E3232D" w:rsidRDefault="001B6607" w:rsidP="00A97EF5">
      <w:pPr>
        <w:jc w:val="both"/>
        <w:rPr>
          <w:rFonts w:ascii="Book Antiqua" w:hAnsi="Book Antiqua"/>
        </w:rPr>
      </w:pPr>
      <w:r w:rsidRPr="00E3232D">
        <w:rPr>
          <w:rFonts w:ascii="Book Antiqua" w:hAnsi="Book Antiqua"/>
        </w:rPr>
        <w:t xml:space="preserve">Elliot, B and Elliot, J. (2003). </w:t>
      </w:r>
      <w:r w:rsidRPr="00E3232D">
        <w:rPr>
          <w:rFonts w:ascii="Book Antiqua" w:hAnsi="Book Antiqua"/>
          <w:i/>
        </w:rPr>
        <w:t>Financial Accounting and Reporting</w:t>
      </w:r>
      <w:r w:rsidRPr="00E3232D">
        <w:rPr>
          <w:rFonts w:ascii="Book Antiqua" w:hAnsi="Book Antiqua"/>
        </w:rPr>
        <w:t xml:space="preserve"> .7</w:t>
      </w:r>
      <w:r w:rsidRPr="00E3232D">
        <w:rPr>
          <w:rFonts w:ascii="Book Antiqua" w:hAnsi="Book Antiqua"/>
          <w:vertAlign w:val="superscript"/>
        </w:rPr>
        <w:t>th</w:t>
      </w:r>
      <w:r w:rsidRPr="00E3232D">
        <w:rPr>
          <w:rFonts w:ascii="Book Antiqua" w:hAnsi="Book Antiqua"/>
        </w:rPr>
        <w:t xml:space="preserve"> Ed London: Prentice</w:t>
      </w:r>
    </w:p>
    <w:p w14:paraId="7E20772C" w14:textId="77777777" w:rsidR="001B6607" w:rsidRPr="00E3232D" w:rsidRDefault="001B6607" w:rsidP="00A97EF5">
      <w:pPr>
        <w:jc w:val="both"/>
        <w:rPr>
          <w:rFonts w:ascii="Book Antiqua" w:hAnsi="Book Antiqua"/>
        </w:rPr>
      </w:pPr>
      <w:r w:rsidRPr="00E3232D">
        <w:rPr>
          <w:rFonts w:ascii="Book Antiqua" w:hAnsi="Book Antiqua"/>
        </w:rPr>
        <w:t>Hall.</w:t>
      </w:r>
    </w:p>
    <w:p w14:paraId="3E88C639" w14:textId="77777777" w:rsidR="001B6607" w:rsidRPr="00E3232D" w:rsidRDefault="001B6607" w:rsidP="00A97EF5">
      <w:pPr>
        <w:jc w:val="both"/>
        <w:rPr>
          <w:rFonts w:ascii="Book Antiqua" w:hAnsi="Book Antiqua"/>
        </w:rPr>
      </w:pPr>
      <w:r w:rsidRPr="00E3232D">
        <w:rPr>
          <w:rFonts w:ascii="Book Antiqua" w:hAnsi="Book Antiqua"/>
        </w:rPr>
        <w:t xml:space="preserve">Gray, L and Manson, S. (2007). </w:t>
      </w:r>
      <w:r w:rsidRPr="00E3232D">
        <w:rPr>
          <w:rFonts w:ascii="Book Antiqua" w:hAnsi="Book Antiqua"/>
          <w:i/>
        </w:rPr>
        <w:t>The</w:t>
      </w:r>
      <w:r w:rsidRPr="00E3232D">
        <w:rPr>
          <w:rFonts w:ascii="Book Antiqua" w:hAnsi="Book Antiqua"/>
        </w:rPr>
        <w:t xml:space="preserve"> </w:t>
      </w:r>
      <w:r w:rsidRPr="00E3232D">
        <w:rPr>
          <w:rFonts w:ascii="Book Antiqua" w:hAnsi="Book Antiqua"/>
          <w:i/>
        </w:rPr>
        <w:t>audit processes; principles and cases .</w:t>
      </w:r>
      <w:r w:rsidRPr="00E3232D">
        <w:rPr>
          <w:rFonts w:ascii="Book Antiqua" w:hAnsi="Book Antiqua"/>
        </w:rPr>
        <w:t>3</w:t>
      </w:r>
      <w:r w:rsidRPr="00E3232D">
        <w:rPr>
          <w:rFonts w:ascii="Book Antiqua" w:hAnsi="Book Antiqua"/>
          <w:vertAlign w:val="superscript"/>
        </w:rPr>
        <w:t>rd</w:t>
      </w:r>
      <w:r w:rsidRPr="00E3232D">
        <w:rPr>
          <w:rFonts w:ascii="Book Antiqua" w:hAnsi="Book Antiqua"/>
        </w:rPr>
        <w:t xml:space="preserve"> Ed.</w:t>
      </w:r>
    </w:p>
    <w:p w14:paraId="202960A3" w14:textId="77777777" w:rsidR="001B6607" w:rsidRPr="00E3232D" w:rsidRDefault="001B6607" w:rsidP="00A97EF5">
      <w:pPr>
        <w:jc w:val="both"/>
        <w:rPr>
          <w:rFonts w:ascii="Book Antiqua" w:hAnsi="Book Antiqua"/>
        </w:rPr>
      </w:pPr>
      <w:r w:rsidRPr="00E3232D">
        <w:rPr>
          <w:rFonts w:ascii="Book Antiqua" w:hAnsi="Book Antiqua"/>
        </w:rPr>
        <w:t>Kent: Gray Publishing.</w:t>
      </w:r>
    </w:p>
    <w:p w14:paraId="6E6CFE37" w14:textId="77777777" w:rsidR="001B6607" w:rsidRPr="00E3232D" w:rsidRDefault="001B6607" w:rsidP="00A97EF5">
      <w:pPr>
        <w:jc w:val="both"/>
        <w:rPr>
          <w:rFonts w:ascii="Book Antiqua" w:hAnsi="Book Antiqua"/>
        </w:rPr>
      </w:pPr>
      <w:r w:rsidRPr="00E3232D">
        <w:rPr>
          <w:rFonts w:ascii="Book Antiqua" w:hAnsi="Book Antiqua"/>
        </w:rPr>
        <w:t xml:space="preserve">Howard, L.T. (1993). </w:t>
      </w:r>
      <w:r w:rsidRPr="00E3232D">
        <w:rPr>
          <w:rFonts w:ascii="Book Antiqua" w:hAnsi="Book Antiqua"/>
          <w:i/>
        </w:rPr>
        <w:t>Industrial Purchasing.</w:t>
      </w:r>
      <w:r w:rsidRPr="00E3232D">
        <w:rPr>
          <w:rFonts w:ascii="Book Antiqua" w:hAnsi="Book Antiqua"/>
        </w:rPr>
        <w:t xml:space="preserve"> New Jersey: Prentice Hall.</w:t>
      </w:r>
    </w:p>
    <w:p w14:paraId="66617C3D" w14:textId="77777777" w:rsidR="001B6607" w:rsidRPr="00E3232D" w:rsidRDefault="001B6607" w:rsidP="00A97EF5">
      <w:pPr>
        <w:jc w:val="both"/>
        <w:rPr>
          <w:rFonts w:ascii="Book Antiqua" w:hAnsi="Book Antiqua"/>
          <w:i/>
        </w:rPr>
      </w:pPr>
      <w:r w:rsidRPr="00E3232D">
        <w:rPr>
          <w:rFonts w:ascii="Book Antiqua" w:hAnsi="Book Antiqua"/>
        </w:rPr>
        <w:t xml:space="preserve">International Organisation of Supreme Audit Institutions (1992). </w:t>
      </w:r>
      <w:r w:rsidRPr="00E3232D">
        <w:rPr>
          <w:rFonts w:ascii="Book Antiqua" w:hAnsi="Book Antiqua"/>
          <w:i/>
        </w:rPr>
        <w:t>Guidelines for Internal</w:t>
      </w:r>
    </w:p>
    <w:p w14:paraId="44E81E88" w14:textId="77777777" w:rsidR="001B6607" w:rsidRPr="00E3232D" w:rsidRDefault="001B6607" w:rsidP="00A97EF5">
      <w:pPr>
        <w:jc w:val="both"/>
        <w:rPr>
          <w:rFonts w:ascii="Book Antiqua" w:hAnsi="Book Antiqua"/>
        </w:rPr>
      </w:pPr>
      <w:r w:rsidRPr="00E3232D">
        <w:rPr>
          <w:rFonts w:ascii="Book Antiqua" w:hAnsi="Book Antiqua"/>
          <w:i/>
        </w:rPr>
        <w:t>Control Standards</w:t>
      </w:r>
      <w:r w:rsidRPr="00E3232D">
        <w:rPr>
          <w:rFonts w:ascii="Book Antiqua" w:hAnsi="Book Antiqua"/>
        </w:rPr>
        <w:t>. [Online] available: http//www.intosai.org.[Accessed: 30</w:t>
      </w:r>
      <w:r w:rsidRPr="00E3232D">
        <w:rPr>
          <w:rFonts w:ascii="Book Antiqua" w:hAnsi="Book Antiqua"/>
          <w:vertAlign w:val="superscript"/>
        </w:rPr>
        <w:t>th</w:t>
      </w:r>
      <w:r w:rsidRPr="00E3232D">
        <w:rPr>
          <w:rFonts w:ascii="Book Antiqua" w:hAnsi="Book Antiqua"/>
        </w:rPr>
        <w:t xml:space="preserve"> March 2011]</w:t>
      </w:r>
    </w:p>
    <w:p w14:paraId="17E8103D" w14:textId="77777777" w:rsidR="001B6607" w:rsidRPr="00E3232D" w:rsidRDefault="001B6607" w:rsidP="00A97EF5">
      <w:pPr>
        <w:jc w:val="both"/>
        <w:rPr>
          <w:rFonts w:ascii="Book Antiqua" w:hAnsi="Book Antiqua"/>
        </w:rPr>
      </w:pPr>
      <w:r w:rsidRPr="00E3232D">
        <w:rPr>
          <w:rFonts w:ascii="Book Antiqua" w:hAnsi="Book Antiqua"/>
        </w:rPr>
        <w:t xml:space="preserve">Isenhour, K and Hensley, L. (2009). </w:t>
      </w:r>
      <w:r w:rsidRPr="00E3232D">
        <w:rPr>
          <w:rFonts w:ascii="Book Antiqua" w:hAnsi="Book Antiqua"/>
          <w:i/>
        </w:rPr>
        <w:t>Developing an internal control plan for your local</w:t>
      </w:r>
    </w:p>
    <w:p w14:paraId="3CC3BCEB" w14:textId="77777777" w:rsidR="001B6607" w:rsidRPr="00E3232D" w:rsidRDefault="001B6607" w:rsidP="00A97EF5">
      <w:pPr>
        <w:jc w:val="both"/>
        <w:rPr>
          <w:rFonts w:ascii="Book Antiqua" w:hAnsi="Book Antiqua"/>
        </w:rPr>
      </w:pPr>
      <w:r w:rsidRPr="00E3232D">
        <w:rPr>
          <w:rFonts w:ascii="Book Antiqua" w:hAnsi="Book Antiqua"/>
          <w:i/>
        </w:rPr>
        <w:t xml:space="preserve">education agency. </w:t>
      </w:r>
      <w:r w:rsidRPr="00E3232D">
        <w:rPr>
          <w:rFonts w:ascii="Book Antiqua" w:hAnsi="Book Antiqua"/>
        </w:rPr>
        <w:t>[online] Available: http//www.wikipedia/internalcontrol.[Accessed:</w:t>
      </w:r>
    </w:p>
    <w:p w14:paraId="3C334529" w14:textId="77777777" w:rsidR="001B6607" w:rsidRPr="00E3232D" w:rsidRDefault="001B6607" w:rsidP="00A97EF5">
      <w:pPr>
        <w:jc w:val="both"/>
        <w:rPr>
          <w:rFonts w:ascii="Book Antiqua" w:hAnsi="Book Antiqua"/>
        </w:rPr>
      </w:pPr>
      <w:r w:rsidRPr="00E3232D">
        <w:rPr>
          <w:rFonts w:ascii="Book Antiqua" w:hAnsi="Book Antiqua"/>
        </w:rPr>
        <w:t>16</w:t>
      </w:r>
      <w:r w:rsidRPr="00E3232D">
        <w:rPr>
          <w:rFonts w:ascii="Book Antiqua" w:hAnsi="Book Antiqua"/>
          <w:vertAlign w:val="superscript"/>
        </w:rPr>
        <w:t>th</w:t>
      </w:r>
      <w:r w:rsidRPr="00E3232D">
        <w:rPr>
          <w:rFonts w:ascii="Book Antiqua" w:hAnsi="Book Antiqua"/>
        </w:rPr>
        <w:t xml:space="preserve"> May 2011]</w:t>
      </w:r>
    </w:p>
    <w:p w14:paraId="15F0FBCE" w14:textId="77777777" w:rsidR="001B6607" w:rsidRPr="00E3232D" w:rsidRDefault="001B6607" w:rsidP="00A97EF5">
      <w:pPr>
        <w:jc w:val="both"/>
        <w:rPr>
          <w:rFonts w:ascii="Book Antiqua" w:hAnsi="Book Antiqua"/>
        </w:rPr>
      </w:pPr>
      <w:r w:rsidRPr="00E3232D">
        <w:rPr>
          <w:rFonts w:ascii="Book Antiqua" w:hAnsi="Book Antiqua"/>
        </w:rPr>
        <w:t xml:space="preserve">Jones, R and Pendley, M. (2000). </w:t>
      </w:r>
      <w:r w:rsidRPr="00E3232D">
        <w:rPr>
          <w:rFonts w:ascii="Book Antiqua" w:hAnsi="Book Antiqua"/>
          <w:i/>
        </w:rPr>
        <w:t>Public Sector Accounting</w:t>
      </w:r>
      <w:r w:rsidRPr="00E3232D">
        <w:rPr>
          <w:rFonts w:ascii="Book Antiqua" w:hAnsi="Book Antiqua"/>
        </w:rPr>
        <w:t>. London: FT Prentice Hall</w:t>
      </w:r>
    </w:p>
    <w:p w14:paraId="58F8D35E" w14:textId="77777777" w:rsidR="001B6607" w:rsidRPr="00E3232D" w:rsidRDefault="001B6607" w:rsidP="00A97EF5">
      <w:pPr>
        <w:jc w:val="both"/>
        <w:rPr>
          <w:rFonts w:ascii="Book Antiqua" w:hAnsi="Book Antiqua"/>
        </w:rPr>
      </w:pPr>
      <w:r w:rsidRPr="00E3232D">
        <w:rPr>
          <w:rFonts w:ascii="Book Antiqua" w:hAnsi="Book Antiqua"/>
        </w:rPr>
        <w:t xml:space="preserve">Knechel, R.C. (1998). </w:t>
      </w:r>
      <w:r w:rsidRPr="00E3232D">
        <w:rPr>
          <w:rFonts w:ascii="Book Antiqua" w:hAnsi="Book Antiqua"/>
          <w:i/>
        </w:rPr>
        <w:t>Auditing text and cases</w:t>
      </w:r>
      <w:r w:rsidRPr="00E3232D">
        <w:rPr>
          <w:rFonts w:ascii="Book Antiqua" w:hAnsi="Book Antiqua"/>
        </w:rPr>
        <w:t xml:space="preserve">. Cincinnati:  South-Western College Publishing. </w:t>
      </w:r>
    </w:p>
    <w:p w14:paraId="5CD1AC91" w14:textId="77777777" w:rsidR="001B6607" w:rsidRPr="00E3232D" w:rsidRDefault="001B6607" w:rsidP="00A97EF5">
      <w:pPr>
        <w:jc w:val="both"/>
        <w:rPr>
          <w:rFonts w:ascii="Book Antiqua" w:hAnsi="Book Antiqua"/>
          <w:i/>
        </w:rPr>
      </w:pPr>
      <w:r w:rsidRPr="00E3232D">
        <w:rPr>
          <w:rFonts w:ascii="Book Antiqua" w:hAnsi="Book Antiqua"/>
        </w:rPr>
        <w:t xml:space="preserve">Local Government Service. (2010). </w:t>
      </w:r>
      <w:r w:rsidRPr="00E3232D">
        <w:rPr>
          <w:rFonts w:ascii="Book Antiqua" w:hAnsi="Book Antiqua"/>
          <w:i/>
        </w:rPr>
        <w:t xml:space="preserve">Training Manual for Accounting and Management of </w:t>
      </w:r>
    </w:p>
    <w:p w14:paraId="72D61455" w14:textId="77777777" w:rsidR="001B6607" w:rsidRPr="00E3232D" w:rsidRDefault="001B6607" w:rsidP="00A97EF5">
      <w:pPr>
        <w:jc w:val="both"/>
        <w:rPr>
          <w:rFonts w:ascii="Book Antiqua" w:hAnsi="Book Antiqua"/>
        </w:rPr>
      </w:pPr>
      <w:r w:rsidRPr="00E3232D">
        <w:rPr>
          <w:rFonts w:ascii="Book Antiqua" w:hAnsi="Book Antiqua"/>
          <w:i/>
        </w:rPr>
        <w:t>MMDAs Financial Resources</w:t>
      </w:r>
      <w:r w:rsidRPr="00E3232D">
        <w:rPr>
          <w:rFonts w:ascii="Book Antiqua" w:hAnsi="Book Antiqua"/>
        </w:rPr>
        <w:t>. Accra: Ghana Publishing Corporation.</w:t>
      </w:r>
    </w:p>
    <w:p w14:paraId="19D70308" w14:textId="77777777" w:rsidR="001B6607" w:rsidRPr="00E3232D" w:rsidRDefault="001B6607" w:rsidP="00A97EF5">
      <w:pPr>
        <w:jc w:val="both"/>
        <w:rPr>
          <w:rFonts w:ascii="Book Antiqua" w:hAnsi="Book Antiqua"/>
        </w:rPr>
      </w:pPr>
      <w:r w:rsidRPr="00E3232D">
        <w:rPr>
          <w:rFonts w:ascii="Book Antiqua" w:hAnsi="Book Antiqua"/>
        </w:rPr>
        <w:t xml:space="preserve">Pany, K. and Whittington, R. (1997). </w:t>
      </w:r>
      <w:r w:rsidRPr="00E3232D">
        <w:rPr>
          <w:rFonts w:ascii="Book Antiqua" w:hAnsi="Book Antiqua"/>
          <w:i/>
        </w:rPr>
        <w:t>Auditing</w:t>
      </w:r>
      <w:r w:rsidRPr="00E3232D">
        <w:rPr>
          <w:rFonts w:ascii="Book Antiqua" w:hAnsi="Book Antiqua"/>
        </w:rPr>
        <w:t>. San Diego: R. R. Donnelley and Sons Co.</w:t>
      </w:r>
    </w:p>
    <w:p w14:paraId="689C1103" w14:textId="77777777" w:rsidR="001B6607" w:rsidRPr="00E3232D" w:rsidRDefault="001B6607" w:rsidP="00A97EF5">
      <w:pPr>
        <w:jc w:val="both"/>
        <w:rPr>
          <w:rFonts w:ascii="Book Antiqua" w:hAnsi="Book Antiqua"/>
        </w:rPr>
      </w:pPr>
      <w:r w:rsidRPr="00E3232D">
        <w:rPr>
          <w:rFonts w:ascii="Book Antiqua" w:hAnsi="Book Antiqua"/>
        </w:rPr>
        <w:lastRenderedPageBreak/>
        <w:t xml:space="preserve">Republic of Ghana. (1992). </w:t>
      </w:r>
      <w:r w:rsidRPr="00E3232D">
        <w:rPr>
          <w:rFonts w:ascii="Book Antiqua" w:hAnsi="Book Antiqua"/>
          <w:i/>
        </w:rPr>
        <w:t>Constitution of the Republic of Ghana</w:t>
      </w:r>
      <w:r w:rsidRPr="00E3232D">
        <w:rPr>
          <w:rFonts w:ascii="Book Antiqua" w:hAnsi="Book Antiqua"/>
        </w:rPr>
        <w:t xml:space="preserve">. </w:t>
      </w:r>
      <w:r w:rsidRPr="00E3232D">
        <w:rPr>
          <w:rFonts w:ascii="Book Antiqua" w:hAnsi="Book Antiqua"/>
          <w:i/>
        </w:rPr>
        <w:t>Article</w:t>
      </w:r>
      <w:r w:rsidRPr="00E3232D">
        <w:rPr>
          <w:rFonts w:ascii="Book Antiqua" w:hAnsi="Book Antiqua"/>
        </w:rPr>
        <w:t xml:space="preserve"> </w:t>
      </w:r>
      <w:r w:rsidRPr="00E3232D">
        <w:rPr>
          <w:rFonts w:ascii="Book Antiqua" w:hAnsi="Book Antiqua"/>
          <w:i/>
        </w:rPr>
        <w:t>252</w:t>
      </w:r>
      <w:r w:rsidRPr="00E3232D">
        <w:rPr>
          <w:rFonts w:ascii="Book Antiqua" w:hAnsi="Book Antiqua"/>
        </w:rPr>
        <w:t>. Accra. Ghana Publishing Corporation.</w:t>
      </w:r>
    </w:p>
    <w:p w14:paraId="46458864" w14:textId="77777777" w:rsidR="001B6607" w:rsidRPr="00E3232D" w:rsidRDefault="001B6607" w:rsidP="00A97EF5">
      <w:pPr>
        <w:jc w:val="both"/>
        <w:rPr>
          <w:rFonts w:ascii="Book Antiqua" w:hAnsi="Book Antiqua"/>
        </w:rPr>
      </w:pPr>
      <w:r w:rsidRPr="00E3232D">
        <w:rPr>
          <w:rFonts w:ascii="Book Antiqua" w:hAnsi="Book Antiqua"/>
        </w:rPr>
        <w:t xml:space="preserve">Republic of Ghana. (2003). Financial Administration Act 2003.Act 654 </w:t>
      </w:r>
      <w:r w:rsidRPr="00E3232D">
        <w:rPr>
          <w:rFonts w:ascii="Book Antiqua" w:hAnsi="Book Antiqua"/>
          <w:i/>
        </w:rPr>
        <w:t>.Section</w:t>
      </w:r>
      <w:r w:rsidRPr="00E3232D">
        <w:rPr>
          <w:rFonts w:ascii="Book Antiqua" w:hAnsi="Book Antiqua"/>
        </w:rPr>
        <w:t xml:space="preserve"> </w:t>
      </w:r>
      <w:r w:rsidRPr="00E3232D">
        <w:rPr>
          <w:rFonts w:ascii="Book Antiqua" w:hAnsi="Book Antiqua"/>
          <w:i/>
        </w:rPr>
        <w:t>38 and 41</w:t>
      </w:r>
      <w:r w:rsidRPr="00E3232D">
        <w:rPr>
          <w:rFonts w:ascii="Book Antiqua" w:hAnsi="Book Antiqua"/>
        </w:rPr>
        <w:t>.</w:t>
      </w:r>
    </w:p>
    <w:p w14:paraId="748E382C" w14:textId="77777777" w:rsidR="001B6607" w:rsidRPr="00E3232D" w:rsidRDefault="001B6607" w:rsidP="00A97EF5">
      <w:pPr>
        <w:jc w:val="both"/>
        <w:rPr>
          <w:rFonts w:ascii="Book Antiqua" w:hAnsi="Book Antiqua"/>
        </w:rPr>
      </w:pPr>
      <w:r w:rsidRPr="00E3232D">
        <w:rPr>
          <w:rFonts w:ascii="Book Antiqua" w:hAnsi="Book Antiqua"/>
        </w:rPr>
        <w:t>Accra. Ghana Publishing Corporation.</w:t>
      </w:r>
    </w:p>
    <w:p w14:paraId="0F0DD3A4" w14:textId="77777777" w:rsidR="001B6607" w:rsidRPr="00E3232D" w:rsidRDefault="001B6607" w:rsidP="00A97EF5">
      <w:pPr>
        <w:jc w:val="both"/>
        <w:rPr>
          <w:rFonts w:ascii="Book Antiqua" w:hAnsi="Book Antiqua"/>
          <w:i/>
        </w:rPr>
      </w:pPr>
      <w:r w:rsidRPr="00E3232D">
        <w:rPr>
          <w:rFonts w:ascii="Book Antiqua" w:hAnsi="Book Antiqua"/>
        </w:rPr>
        <w:t>Republic of Ghana. (2003). Internal Audit Agency Act 2003.Act 658</w:t>
      </w:r>
      <w:r w:rsidRPr="00E3232D">
        <w:rPr>
          <w:rFonts w:ascii="Book Antiqua" w:hAnsi="Book Antiqua"/>
          <w:i/>
        </w:rPr>
        <w:t>.Section</w:t>
      </w:r>
      <w:r w:rsidRPr="00E3232D">
        <w:rPr>
          <w:rFonts w:ascii="Book Antiqua" w:hAnsi="Book Antiqua"/>
        </w:rPr>
        <w:t xml:space="preserve"> </w:t>
      </w:r>
      <w:r w:rsidRPr="00E3232D">
        <w:rPr>
          <w:rFonts w:ascii="Book Antiqua" w:hAnsi="Book Antiqua"/>
          <w:i/>
        </w:rPr>
        <w:t xml:space="preserve">16. </w:t>
      </w:r>
      <w:r w:rsidRPr="00E3232D">
        <w:rPr>
          <w:rFonts w:ascii="Book Antiqua" w:hAnsi="Book Antiqua"/>
        </w:rPr>
        <w:t>Accra. Ghana Publishing Corporation.</w:t>
      </w:r>
    </w:p>
    <w:p w14:paraId="207D0489" w14:textId="77777777" w:rsidR="001B6607" w:rsidRPr="00E3232D" w:rsidRDefault="001B6607" w:rsidP="00A97EF5">
      <w:pPr>
        <w:jc w:val="both"/>
        <w:rPr>
          <w:rFonts w:ascii="Book Antiqua" w:hAnsi="Book Antiqua"/>
        </w:rPr>
      </w:pPr>
      <w:r w:rsidRPr="00E3232D">
        <w:rPr>
          <w:rFonts w:ascii="Book Antiqua" w:hAnsi="Book Antiqua"/>
        </w:rPr>
        <w:t>Republic of Ghana. (1993). Local Government Act1993. Act 462</w:t>
      </w:r>
      <w:r w:rsidRPr="00E3232D">
        <w:rPr>
          <w:rFonts w:ascii="Book Antiqua" w:hAnsi="Book Antiqua"/>
          <w:i/>
        </w:rPr>
        <w:t xml:space="preserve">. Section 94 and 95. </w:t>
      </w:r>
    </w:p>
    <w:p w14:paraId="7723B9F5" w14:textId="77777777" w:rsidR="001B6607" w:rsidRPr="00E3232D" w:rsidRDefault="001B6607" w:rsidP="00A97EF5">
      <w:pPr>
        <w:jc w:val="both"/>
        <w:rPr>
          <w:rFonts w:ascii="Book Antiqua" w:hAnsi="Book Antiqua"/>
        </w:rPr>
      </w:pPr>
      <w:r w:rsidRPr="00E3232D">
        <w:rPr>
          <w:rFonts w:ascii="Book Antiqua" w:hAnsi="Book Antiqua"/>
        </w:rPr>
        <w:t>Accra. Ghana Publishing Corporation.</w:t>
      </w:r>
    </w:p>
    <w:p w14:paraId="30A1E311" w14:textId="77777777" w:rsidR="001B6607" w:rsidRPr="00E3232D" w:rsidRDefault="001B6607" w:rsidP="00A97EF5">
      <w:pPr>
        <w:jc w:val="both"/>
        <w:rPr>
          <w:rFonts w:ascii="Book Antiqua" w:hAnsi="Book Antiqua"/>
        </w:rPr>
      </w:pPr>
      <w:r w:rsidRPr="00E3232D">
        <w:rPr>
          <w:rFonts w:ascii="Book Antiqua" w:hAnsi="Book Antiqua"/>
        </w:rPr>
        <w:t>Republic of Ghana. (2003). Public Procurement Act 2003.Act 663.</w:t>
      </w:r>
      <w:r w:rsidRPr="00E3232D">
        <w:rPr>
          <w:rFonts w:ascii="Book Antiqua" w:hAnsi="Book Antiqua"/>
          <w:i/>
        </w:rPr>
        <w:t>Section15 and 21.</w:t>
      </w:r>
      <w:r w:rsidRPr="00E3232D">
        <w:rPr>
          <w:rFonts w:ascii="Book Antiqua" w:hAnsi="Book Antiqua"/>
        </w:rPr>
        <w:t xml:space="preserve"> Accra:</w:t>
      </w:r>
    </w:p>
    <w:p w14:paraId="4D90CEC7" w14:textId="77777777" w:rsidR="001B6607" w:rsidRPr="00E3232D" w:rsidRDefault="001B6607" w:rsidP="00A97EF5">
      <w:pPr>
        <w:jc w:val="both"/>
        <w:rPr>
          <w:rFonts w:ascii="Book Antiqua" w:hAnsi="Book Antiqua"/>
        </w:rPr>
      </w:pPr>
      <w:r w:rsidRPr="00E3232D">
        <w:rPr>
          <w:rFonts w:ascii="Book Antiqua" w:hAnsi="Book Antiqua"/>
        </w:rPr>
        <w:t xml:space="preserve">Republic of Ghana. Statistical Service. (2000). </w:t>
      </w:r>
      <w:r w:rsidRPr="00E3232D">
        <w:rPr>
          <w:rFonts w:ascii="Book Antiqua" w:hAnsi="Book Antiqua"/>
          <w:i/>
        </w:rPr>
        <w:t>Population and Housing Census</w:t>
      </w:r>
      <w:r w:rsidRPr="00E3232D">
        <w:rPr>
          <w:rFonts w:ascii="Book Antiqua" w:hAnsi="Book Antiqua"/>
        </w:rPr>
        <w:t>. Accra. Ghana Publishing Corporation.</w:t>
      </w:r>
    </w:p>
    <w:p w14:paraId="47598CB2" w14:textId="77777777" w:rsidR="001B6607" w:rsidRPr="00E3232D" w:rsidRDefault="001B6607" w:rsidP="00A97EF5">
      <w:pPr>
        <w:jc w:val="both"/>
        <w:rPr>
          <w:rFonts w:ascii="Book Antiqua" w:hAnsi="Book Antiqua"/>
        </w:rPr>
      </w:pPr>
      <w:r w:rsidRPr="00E3232D">
        <w:rPr>
          <w:rFonts w:ascii="Book Antiqua" w:hAnsi="Book Antiqua"/>
        </w:rPr>
        <w:t xml:space="preserve">Robertson, J.C. (1996). </w:t>
      </w:r>
      <w:r w:rsidRPr="00E3232D">
        <w:rPr>
          <w:rFonts w:ascii="Book Antiqua" w:hAnsi="Book Antiqua"/>
          <w:i/>
        </w:rPr>
        <w:t>Auditing</w:t>
      </w:r>
      <w:r w:rsidRPr="00E3232D">
        <w:rPr>
          <w:rFonts w:ascii="Book Antiqua" w:hAnsi="Book Antiqua"/>
        </w:rPr>
        <w:t>, 8</w:t>
      </w:r>
      <w:r w:rsidRPr="00E3232D">
        <w:rPr>
          <w:rFonts w:ascii="Book Antiqua" w:hAnsi="Book Antiqua"/>
          <w:vertAlign w:val="superscript"/>
        </w:rPr>
        <w:t>th</w:t>
      </w:r>
      <w:r w:rsidRPr="00E3232D">
        <w:rPr>
          <w:rFonts w:ascii="Book Antiqua" w:hAnsi="Book Antiqua"/>
        </w:rPr>
        <w:t xml:space="preserve"> Ed. Austin: R.R. Donnelley and Sons Co.</w:t>
      </w:r>
    </w:p>
    <w:p w14:paraId="517771CA" w14:textId="77777777" w:rsidR="001B6607" w:rsidRPr="00E3232D" w:rsidRDefault="001B6607" w:rsidP="00A97EF5">
      <w:pPr>
        <w:jc w:val="both"/>
        <w:rPr>
          <w:rFonts w:ascii="Book Antiqua" w:hAnsi="Book Antiqua"/>
        </w:rPr>
      </w:pPr>
      <w:r w:rsidRPr="00E3232D">
        <w:rPr>
          <w:rFonts w:ascii="Book Antiqua" w:hAnsi="Book Antiqua"/>
        </w:rPr>
        <w:t xml:space="preserve"> Robertson, J.C. and Louwers, T.J. (1996). </w:t>
      </w:r>
      <w:r w:rsidRPr="00E3232D">
        <w:rPr>
          <w:rFonts w:ascii="Book Antiqua" w:hAnsi="Book Antiqua"/>
          <w:i/>
        </w:rPr>
        <w:t>Auditing</w:t>
      </w:r>
      <w:r w:rsidRPr="00E3232D">
        <w:rPr>
          <w:rFonts w:ascii="Book Antiqua" w:hAnsi="Book Antiqua"/>
        </w:rPr>
        <w:t xml:space="preserve">, 9th Ed. Austin: R.R. Donnelley and Sons  </w:t>
      </w:r>
    </w:p>
    <w:p w14:paraId="6E552626" w14:textId="77777777" w:rsidR="001B6607" w:rsidRPr="00E3232D" w:rsidRDefault="001B6607" w:rsidP="00A97EF5">
      <w:pPr>
        <w:jc w:val="both"/>
        <w:rPr>
          <w:rFonts w:ascii="Book Antiqua" w:hAnsi="Book Antiqua"/>
        </w:rPr>
      </w:pPr>
      <w:r w:rsidRPr="00E3232D">
        <w:rPr>
          <w:rFonts w:ascii="Book Antiqua" w:hAnsi="Book Antiqua"/>
        </w:rPr>
        <w:t>Co.</w:t>
      </w:r>
    </w:p>
    <w:p w14:paraId="53A582DA" w14:textId="77777777" w:rsidR="001B6607" w:rsidRPr="00E3232D" w:rsidRDefault="001B6607" w:rsidP="00A97EF5">
      <w:pPr>
        <w:jc w:val="both"/>
        <w:rPr>
          <w:rFonts w:ascii="Book Antiqua" w:hAnsi="Book Antiqua"/>
        </w:rPr>
      </w:pPr>
      <w:r w:rsidRPr="00E3232D">
        <w:rPr>
          <w:rFonts w:ascii="Book Antiqua" w:hAnsi="Book Antiqua"/>
        </w:rPr>
        <w:t xml:space="preserve">Wells, J.T. (2002), Occupation Fraud-Audit as deterrent: who better to teach CPAs how to spot fraud than the perpetrators? </w:t>
      </w:r>
      <w:r w:rsidRPr="00E3232D">
        <w:rPr>
          <w:rFonts w:ascii="Book Antiqua" w:hAnsi="Book Antiqua"/>
          <w:i/>
        </w:rPr>
        <w:t>Journal of Accountancy</w:t>
      </w:r>
      <w:r w:rsidRPr="00E3232D">
        <w:rPr>
          <w:rFonts w:ascii="Book Antiqua" w:hAnsi="Book Antiqua"/>
        </w:rPr>
        <w:t>, 193, (4) p93-94.</w:t>
      </w:r>
    </w:p>
    <w:p w14:paraId="0F99D990" w14:textId="77777777" w:rsidR="001B6607" w:rsidRPr="00E3232D" w:rsidRDefault="001B6607" w:rsidP="00A97EF5">
      <w:pPr>
        <w:jc w:val="both"/>
        <w:rPr>
          <w:rFonts w:ascii="Book Antiqua" w:hAnsi="Book Antiqua"/>
        </w:rPr>
      </w:pPr>
      <w:r w:rsidRPr="00E3232D">
        <w:rPr>
          <w:rFonts w:ascii="Book Antiqua" w:hAnsi="Book Antiqua"/>
        </w:rPr>
        <w:t xml:space="preserve">Walters, D and Dunn, J (2000), </w:t>
      </w:r>
      <w:r w:rsidRPr="00E3232D">
        <w:rPr>
          <w:rFonts w:ascii="Book Antiqua" w:hAnsi="Book Antiqua"/>
          <w:i/>
        </w:rPr>
        <w:t>Student’s Manual of Auditing</w:t>
      </w:r>
      <w:r w:rsidRPr="00E3232D">
        <w:rPr>
          <w:rFonts w:ascii="Book Antiqua" w:hAnsi="Book Antiqua"/>
        </w:rPr>
        <w:t>, Cornwall: TJ International.</w:t>
      </w:r>
    </w:p>
    <w:p w14:paraId="1C3C202A" w14:textId="77777777" w:rsidR="001B6607" w:rsidRPr="00E3232D" w:rsidRDefault="001B6607" w:rsidP="00A97EF5">
      <w:pPr>
        <w:jc w:val="both"/>
        <w:rPr>
          <w:rFonts w:ascii="Book Antiqua" w:hAnsi="Book Antiqua"/>
        </w:rPr>
        <w:sectPr w:rsidR="001B6607" w:rsidRPr="00E3232D" w:rsidSect="00251D0D">
          <w:type w:val="continuous"/>
          <w:pgSz w:w="11907" w:h="16839" w:code="9"/>
          <w:pgMar w:top="1440" w:right="1440" w:bottom="1440" w:left="1440" w:header="720" w:footer="720" w:gutter="0"/>
          <w:cols w:num="2" w:space="360"/>
          <w:docGrid w:linePitch="360"/>
        </w:sectPr>
      </w:pPr>
    </w:p>
    <w:p w14:paraId="49AA9D3C" w14:textId="77777777" w:rsidR="001B6607" w:rsidRPr="00E3232D" w:rsidRDefault="001B6607" w:rsidP="00A97EF5">
      <w:pPr>
        <w:jc w:val="both"/>
        <w:rPr>
          <w:rFonts w:ascii="Book Antiqua" w:hAnsi="Book Antiqua"/>
        </w:rPr>
      </w:pPr>
    </w:p>
    <w:p w14:paraId="315EE68E" w14:textId="77777777" w:rsidR="002E0F7C" w:rsidRPr="00E3232D" w:rsidRDefault="002E0F7C" w:rsidP="00A97EF5">
      <w:pPr>
        <w:jc w:val="both"/>
        <w:rPr>
          <w:rFonts w:ascii="Book Antiqua" w:hAnsi="Book Antiqua"/>
        </w:rPr>
        <w:sectPr w:rsidR="002E0F7C" w:rsidRPr="00E3232D" w:rsidSect="008F6BC9">
          <w:type w:val="continuous"/>
          <w:pgSz w:w="11907" w:h="16839" w:code="9"/>
          <w:pgMar w:top="1350" w:right="1440" w:bottom="1440" w:left="1440" w:header="720" w:footer="720" w:gutter="0"/>
          <w:cols w:space="720"/>
          <w:docGrid w:linePitch="360"/>
        </w:sectPr>
      </w:pPr>
    </w:p>
    <w:p w14:paraId="20BFB4AC" w14:textId="77777777" w:rsidR="00A97EF5" w:rsidRDefault="00A97EF5" w:rsidP="008275E1">
      <w:pPr>
        <w:rPr>
          <w:rFonts w:ascii="Book Antiqua" w:hAnsi="Book Antiqua"/>
        </w:rPr>
      </w:pPr>
    </w:p>
    <w:p w14:paraId="7582F137" w14:textId="77777777" w:rsidR="00A97EF5" w:rsidRDefault="00A97EF5" w:rsidP="008275E1">
      <w:pPr>
        <w:rPr>
          <w:rFonts w:ascii="Book Antiqua" w:hAnsi="Book Antiqua"/>
        </w:rPr>
      </w:pPr>
    </w:p>
    <w:p w14:paraId="3B6CB6CE" w14:textId="77777777" w:rsidR="00A97EF5" w:rsidRDefault="00A97EF5" w:rsidP="008275E1">
      <w:pPr>
        <w:rPr>
          <w:rFonts w:ascii="Book Antiqua" w:hAnsi="Book Antiqua"/>
        </w:rPr>
      </w:pPr>
    </w:p>
    <w:p w14:paraId="54ADBEFF" w14:textId="77777777" w:rsidR="00B47C8A" w:rsidRDefault="00B47C8A" w:rsidP="008275E1">
      <w:pPr>
        <w:rPr>
          <w:rFonts w:ascii="Book Antiqua" w:hAnsi="Book Antiqua"/>
        </w:rPr>
      </w:pPr>
    </w:p>
    <w:p w14:paraId="28852563" w14:textId="77777777" w:rsidR="00E10ABB" w:rsidRDefault="00E10ABB" w:rsidP="008275E1">
      <w:pPr>
        <w:rPr>
          <w:rFonts w:ascii="Book Antiqua" w:hAnsi="Book Antiqua"/>
        </w:rPr>
      </w:pPr>
    </w:p>
    <w:p w14:paraId="16F81E42" w14:textId="77777777" w:rsidR="00E10ABB" w:rsidRDefault="00E10ABB" w:rsidP="008275E1">
      <w:pPr>
        <w:rPr>
          <w:rFonts w:ascii="Book Antiqua" w:hAnsi="Book Antiqua"/>
        </w:rPr>
      </w:pPr>
    </w:p>
    <w:p w14:paraId="47AD94E8" w14:textId="77777777" w:rsidR="00E10ABB" w:rsidRDefault="00E10ABB" w:rsidP="008275E1">
      <w:pPr>
        <w:rPr>
          <w:rFonts w:ascii="Book Antiqua" w:hAnsi="Book Antiqua"/>
        </w:rPr>
      </w:pPr>
    </w:p>
    <w:p w14:paraId="69365455" w14:textId="77777777" w:rsidR="00E10ABB" w:rsidRDefault="00E10ABB" w:rsidP="008275E1">
      <w:pPr>
        <w:rPr>
          <w:rFonts w:ascii="Book Antiqua" w:hAnsi="Book Antiqua"/>
        </w:rPr>
      </w:pPr>
    </w:p>
    <w:p w14:paraId="644E28BA" w14:textId="77777777" w:rsidR="00E10ABB" w:rsidRDefault="00E10ABB" w:rsidP="008275E1">
      <w:pPr>
        <w:rPr>
          <w:rFonts w:ascii="Book Antiqua" w:hAnsi="Book Antiqua"/>
        </w:rPr>
      </w:pPr>
    </w:p>
    <w:p w14:paraId="257D5E55" w14:textId="77777777" w:rsidR="00E10ABB" w:rsidRDefault="00E10ABB" w:rsidP="008275E1">
      <w:pPr>
        <w:rPr>
          <w:rFonts w:ascii="Book Antiqua" w:hAnsi="Book Antiqua"/>
        </w:rPr>
      </w:pPr>
    </w:p>
    <w:p w14:paraId="5598B8E5" w14:textId="77777777" w:rsidR="00B47C8A" w:rsidRDefault="00B47C8A" w:rsidP="008275E1">
      <w:pPr>
        <w:rPr>
          <w:rFonts w:ascii="Book Antiqua" w:hAnsi="Book Antiqua"/>
        </w:rPr>
      </w:pPr>
    </w:p>
    <w:p w14:paraId="5EFA171C" w14:textId="77777777" w:rsidR="00662838" w:rsidRPr="007C2580" w:rsidRDefault="00662838" w:rsidP="00C54C81">
      <w:pPr>
        <w:spacing w:after="0"/>
        <w:jc w:val="center"/>
        <w:rPr>
          <w:rFonts w:ascii="Book Antiqua" w:hAnsi="Book Antiqua"/>
          <w:b/>
          <w:sz w:val="26"/>
          <w:szCs w:val="26"/>
        </w:rPr>
      </w:pPr>
      <w:r w:rsidRPr="007C2580">
        <w:rPr>
          <w:rFonts w:ascii="Book Antiqua" w:hAnsi="Book Antiqua"/>
          <w:b/>
          <w:sz w:val="26"/>
          <w:szCs w:val="26"/>
        </w:rPr>
        <w:lastRenderedPageBreak/>
        <w:t>Potential Biogas Production from Organic Waste Generated in the Hospitality Kitchen of Koforidua Polytechnic</w:t>
      </w:r>
    </w:p>
    <w:p w14:paraId="3B5578EB" w14:textId="77777777" w:rsidR="007C2580" w:rsidRPr="007C2580" w:rsidRDefault="007C2580" w:rsidP="00E10ABB">
      <w:pPr>
        <w:spacing w:after="0" w:line="240" w:lineRule="auto"/>
        <w:jc w:val="center"/>
        <w:rPr>
          <w:rFonts w:ascii="Book Antiqua" w:hAnsi="Book Antiqua"/>
          <w:b/>
        </w:rPr>
      </w:pPr>
    </w:p>
    <w:p w14:paraId="590CB0DA" w14:textId="77777777" w:rsidR="00662838" w:rsidRPr="00E10ABB" w:rsidRDefault="002C58BB" w:rsidP="00C54C81">
      <w:pPr>
        <w:spacing w:after="0"/>
        <w:ind w:left="720" w:hanging="720"/>
        <w:jc w:val="center"/>
        <w:rPr>
          <w:rFonts w:ascii="Book Antiqua" w:hAnsi="Book Antiqua"/>
          <w:b/>
          <w:sz w:val="26"/>
        </w:rPr>
      </w:pPr>
      <w:r w:rsidRPr="00E10ABB">
        <w:rPr>
          <w:rFonts w:ascii="Book Antiqua" w:hAnsi="Book Antiqua"/>
          <w:b/>
          <w:sz w:val="26"/>
        </w:rPr>
        <w:t>Okoh A.</w:t>
      </w:r>
      <w:r w:rsidR="00251D0D" w:rsidRPr="00E10ABB">
        <w:rPr>
          <w:rFonts w:ascii="Book Antiqua" w:hAnsi="Book Antiqua"/>
          <w:b/>
          <w:sz w:val="26"/>
        </w:rPr>
        <w:t xml:space="preserve"> </w:t>
      </w:r>
      <w:r w:rsidRPr="00E10ABB">
        <w:rPr>
          <w:rFonts w:ascii="Book Antiqua" w:hAnsi="Book Antiqua"/>
          <w:b/>
          <w:sz w:val="26"/>
        </w:rPr>
        <w:t>E</w:t>
      </w:r>
      <w:r w:rsidR="00662838" w:rsidRPr="00E10ABB">
        <w:rPr>
          <w:rFonts w:ascii="Book Antiqua" w:hAnsi="Book Antiqua"/>
          <w:b/>
          <w:sz w:val="26"/>
        </w:rPr>
        <w:t>, Atsu</w:t>
      </w:r>
      <w:r w:rsidRPr="00E10ABB">
        <w:rPr>
          <w:rFonts w:ascii="Book Antiqua" w:hAnsi="Book Antiqua"/>
          <w:b/>
          <w:sz w:val="26"/>
        </w:rPr>
        <w:t xml:space="preserve"> D.</w:t>
      </w:r>
      <w:r w:rsidR="00662838" w:rsidRPr="00E10ABB">
        <w:rPr>
          <w:rFonts w:ascii="Book Antiqua" w:hAnsi="Book Antiqua"/>
          <w:b/>
          <w:sz w:val="26"/>
          <w:vertAlign w:val="superscript"/>
        </w:rPr>
        <w:t xml:space="preserve"> </w:t>
      </w:r>
      <w:r w:rsidR="00455541" w:rsidRPr="00E10ABB">
        <w:rPr>
          <w:rFonts w:ascii="Book Antiqua" w:hAnsi="Book Antiqua"/>
          <w:b/>
          <w:sz w:val="26"/>
        </w:rPr>
        <w:t>&amp;</w:t>
      </w:r>
      <w:r w:rsidR="00251D0D" w:rsidRPr="00E10ABB">
        <w:rPr>
          <w:rFonts w:ascii="Book Antiqua" w:hAnsi="Book Antiqua"/>
          <w:b/>
          <w:sz w:val="26"/>
        </w:rPr>
        <w:t xml:space="preserve"> </w:t>
      </w:r>
      <w:r w:rsidR="00662838" w:rsidRPr="00E10ABB">
        <w:rPr>
          <w:rFonts w:ascii="Book Antiqua" w:hAnsi="Book Antiqua"/>
          <w:b/>
          <w:sz w:val="26"/>
        </w:rPr>
        <w:t>Tsike</w:t>
      </w:r>
      <w:r w:rsidR="00F06FE5" w:rsidRPr="00E10ABB">
        <w:rPr>
          <w:rFonts w:ascii="Book Antiqua" w:hAnsi="Book Antiqua"/>
          <w:b/>
          <w:sz w:val="26"/>
        </w:rPr>
        <w:t xml:space="preserve"> S.</w:t>
      </w:r>
    </w:p>
    <w:p w14:paraId="56E98119" w14:textId="77777777" w:rsidR="00662838" w:rsidRPr="00E3232D" w:rsidRDefault="00662838" w:rsidP="00C54C81">
      <w:pPr>
        <w:spacing w:after="0"/>
        <w:ind w:left="720" w:hanging="720"/>
        <w:jc w:val="center"/>
        <w:rPr>
          <w:rFonts w:ascii="Book Antiqua" w:hAnsi="Book Antiqua"/>
        </w:rPr>
      </w:pPr>
      <w:r w:rsidRPr="00E3232D">
        <w:rPr>
          <w:rFonts w:ascii="Book Antiqua" w:hAnsi="Book Antiqua"/>
        </w:rPr>
        <w:t>Department of Renewable Energy Systems Engineering, Koforidua Polytechnic, Ghana.</w:t>
      </w:r>
    </w:p>
    <w:p w14:paraId="570A771E" w14:textId="77777777" w:rsidR="00662838" w:rsidRPr="00E43A0B" w:rsidRDefault="007C2580" w:rsidP="00E43A0B">
      <w:pPr>
        <w:ind w:left="720" w:hanging="720"/>
        <w:jc w:val="center"/>
        <w:rPr>
          <w:rFonts w:ascii="Book Antiqua" w:hAnsi="Book Antiqua"/>
        </w:rPr>
      </w:pPr>
      <w:r w:rsidRPr="00783DB0">
        <w:rPr>
          <w:rFonts w:ascii="Book Antiqua" w:hAnsi="Book Antiqua"/>
          <w:b/>
        </w:rPr>
        <w:t>E</w:t>
      </w:r>
      <w:r w:rsidR="00EA0DC2">
        <w:rPr>
          <w:rFonts w:ascii="Book Antiqua" w:hAnsi="Book Antiqua"/>
          <w:b/>
        </w:rPr>
        <w:t>-</w:t>
      </w:r>
      <w:r w:rsidRPr="00783DB0">
        <w:rPr>
          <w:rFonts w:ascii="Book Antiqua" w:hAnsi="Book Antiqua"/>
          <w:b/>
        </w:rPr>
        <w:t>mail</w:t>
      </w:r>
      <w:r>
        <w:rPr>
          <w:rFonts w:ascii="Book Antiqua" w:hAnsi="Book Antiqua"/>
        </w:rPr>
        <w:t>:</w:t>
      </w:r>
      <w:r w:rsidR="001C41C2">
        <w:rPr>
          <w:rFonts w:ascii="Book Antiqua" w:hAnsi="Book Antiqua"/>
        </w:rPr>
        <w:t xml:space="preserve"> </w:t>
      </w:r>
      <w:r w:rsidR="00662838" w:rsidRPr="00E3232D">
        <w:rPr>
          <w:rFonts w:ascii="Book Antiqua" w:hAnsi="Book Antiqua"/>
        </w:rPr>
        <w:t>doc.okohmet@yahoo.com,</w:t>
      </w:r>
    </w:p>
    <w:p w14:paraId="4788AE56" w14:textId="77777777" w:rsidR="00662838" w:rsidRPr="00E3232D" w:rsidRDefault="00662838" w:rsidP="008275E1">
      <w:pPr>
        <w:rPr>
          <w:rFonts w:ascii="Book Antiqua" w:hAnsi="Book Antiqua"/>
          <w:b/>
        </w:rPr>
      </w:pPr>
      <w:r w:rsidRPr="00751699">
        <w:rPr>
          <w:rFonts w:ascii="Book Antiqua" w:hAnsi="Book Antiqua"/>
          <w:b/>
          <w:sz w:val="24"/>
        </w:rPr>
        <w:t>Abstract</w:t>
      </w:r>
    </w:p>
    <w:p w14:paraId="6194FD6B" w14:textId="77777777" w:rsidR="00662838" w:rsidRPr="00E3232D" w:rsidRDefault="00662838" w:rsidP="00763B17">
      <w:pPr>
        <w:spacing w:after="0"/>
        <w:jc w:val="both"/>
        <w:rPr>
          <w:rFonts w:ascii="Book Antiqua" w:hAnsi="Book Antiqua"/>
        </w:rPr>
      </w:pPr>
      <w:r w:rsidRPr="00E3232D">
        <w:rPr>
          <w:rFonts w:ascii="Book Antiqua" w:hAnsi="Book Antiqua"/>
        </w:rPr>
        <w:t>Cattle manure, human excreta, agricultural residue and organic kitchen waste are used in anaerobic bioreactors in many parts of the world to generate methane gas, which is used for cooking and lighting. Since such waste materials are readily available, many developing countries have benefited from this technology. Besides, this technology is cheaper and simpler, thus, gaining more popularity throughout the world. This paper looks at determining the potential biogas generation of organic waste generated at the Hospitality Kitchen of Koforidua Polytechnic. Primary data on the daily masses of organic waste generated in the Hospitality Kitchen were collected for a period of four (4) months. These were characterized into four main individual waste fractions which include cassava peels, plantain peels, vegetable and food leftovers. On an average the kitchen generates about 500 kg of organic waste per month which has the potential of generating about 200 m</w:t>
      </w:r>
      <w:r w:rsidRPr="00E3232D">
        <w:rPr>
          <w:rFonts w:ascii="Book Antiqua" w:hAnsi="Book Antiqua"/>
          <w:vertAlign w:val="superscript"/>
        </w:rPr>
        <w:t>3</w:t>
      </w:r>
      <w:r w:rsidRPr="00E3232D">
        <w:rPr>
          <w:rFonts w:ascii="Book Antiqua" w:hAnsi="Book Antiqua"/>
        </w:rPr>
        <w:t xml:space="preserve"> per month of biogas to supply the fuel needs of the kitchen. The use of organic kitchen waste for biogas production will not only lead to the generation of energy but also ensure environmental sustainability which will promote the development of the country Ghana.</w:t>
      </w:r>
    </w:p>
    <w:p w14:paraId="2BCAEC75" w14:textId="77777777" w:rsidR="00455541" w:rsidRDefault="00455541" w:rsidP="00C54C81">
      <w:pPr>
        <w:spacing w:after="0"/>
        <w:rPr>
          <w:rFonts w:ascii="Book Antiqua" w:hAnsi="Book Antiqua"/>
          <w:b/>
        </w:rPr>
      </w:pPr>
    </w:p>
    <w:p w14:paraId="22DDFE47" w14:textId="77777777" w:rsidR="00662838" w:rsidRDefault="00662838" w:rsidP="00C54C81">
      <w:pPr>
        <w:spacing w:after="0"/>
        <w:rPr>
          <w:rFonts w:ascii="Book Antiqua" w:hAnsi="Book Antiqua"/>
        </w:rPr>
      </w:pPr>
      <w:r w:rsidRPr="00751699">
        <w:rPr>
          <w:rFonts w:ascii="Book Antiqua" w:hAnsi="Book Antiqua"/>
          <w:b/>
          <w:sz w:val="26"/>
        </w:rPr>
        <w:t>Keywords</w:t>
      </w:r>
      <w:r w:rsidRPr="00E3232D">
        <w:rPr>
          <w:rFonts w:ascii="Book Antiqua" w:hAnsi="Book Antiqua"/>
          <w:b/>
        </w:rPr>
        <w:t xml:space="preserve">: </w:t>
      </w:r>
      <w:r w:rsidRPr="00E3232D">
        <w:rPr>
          <w:rFonts w:ascii="Book Antiqua" w:hAnsi="Book Antiqua"/>
        </w:rPr>
        <w:t>Biogas; vegetables; energy; waste; generation</w:t>
      </w:r>
    </w:p>
    <w:p w14:paraId="39709EFE" w14:textId="77777777" w:rsidR="00E43A0B" w:rsidRPr="00E43A0B" w:rsidRDefault="00E43A0B" w:rsidP="00C54C81">
      <w:pPr>
        <w:spacing w:after="0"/>
        <w:rPr>
          <w:rFonts w:ascii="Book Antiqua" w:hAnsi="Book Antiqua"/>
        </w:rPr>
        <w:sectPr w:rsidR="00E43A0B" w:rsidRPr="00E43A0B" w:rsidSect="008F6BC9">
          <w:footerReference w:type="default" r:id="rId28"/>
          <w:type w:val="continuous"/>
          <w:pgSz w:w="11907" w:h="16839" w:code="9"/>
          <w:pgMar w:top="1440" w:right="1440" w:bottom="1440" w:left="1440" w:header="720" w:footer="720" w:gutter="0"/>
          <w:cols w:space="720"/>
          <w:docGrid w:linePitch="360"/>
        </w:sectPr>
      </w:pPr>
    </w:p>
    <w:p w14:paraId="30904EC4" w14:textId="77777777" w:rsidR="00455541" w:rsidRDefault="00455541" w:rsidP="00763B17">
      <w:pPr>
        <w:jc w:val="both"/>
        <w:rPr>
          <w:rFonts w:ascii="Book Antiqua" w:hAnsi="Book Antiqua"/>
          <w:b/>
        </w:rPr>
      </w:pPr>
    </w:p>
    <w:p w14:paraId="2B2A7C89" w14:textId="77777777" w:rsidR="00662838" w:rsidRPr="00E3232D" w:rsidRDefault="00662838" w:rsidP="00763B17">
      <w:pPr>
        <w:jc w:val="both"/>
        <w:rPr>
          <w:rFonts w:ascii="Book Antiqua" w:hAnsi="Book Antiqua"/>
          <w:b/>
        </w:rPr>
      </w:pPr>
      <w:r w:rsidRPr="00E3232D">
        <w:rPr>
          <w:rFonts w:ascii="Book Antiqua" w:hAnsi="Book Antiqua"/>
          <w:b/>
        </w:rPr>
        <w:t xml:space="preserve">1.0 </w:t>
      </w:r>
      <w:r w:rsidRPr="00751699">
        <w:rPr>
          <w:rFonts w:ascii="Book Antiqua" w:hAnsi="Book Antiqua"/>
          <w:b/>
          <w:sz w:val="26"/>
        </w:rPr>
        <w:t>Introduction</w:t>
      </w:r>
    </w:p>
    <w:p w14:paraId="17F86A9D" w14:textId="77777777" w:rsidR="00C54C81" w:rsidRDefault="00662838" w:rsidP="00763B17">
      <w:pPr>
        <w:jc w:val="both"/>
        <w:rPr>
          <w:rFonts w:ascii="Book Antiqua" w:hAnsi="Book Antiqua"/>
        </w:rPr>
      </w:pPr>
      <w:r w:rsidRPr="00E3232D">
        <w:rPr>
          <w:rFonts w:ascii="Book Antiqua" w:hAnsi="Book Antiqua"/>
        </w:rPr>
        <w:t xml:space="preserve">In this modern day energy and its use has become an important ingredient on which the daily activities of cities, industries, factories and transportation revolves, and should there be a shortage of energy supply, life on earth would not function properly (FAO, 1996). Energy is fundamental to the quality of life today, and we always find ourselves totally dependent on its supply for living and working (Qurashi and Tajammul, 2005). With the present situation of increasing </w:t>
      </w:r>
    </w:p>
    <w:p w14:paraId="301ED085" w14:textId="77777777" w:rsidR="00C54C81" w:rsidRDefault="00C54C81" w:rsidP="00763B17">
      <w:pPr>
        <w:jc w:val="both"/>
        <w:rPr>
          <w:rFonts w:ascii="Book Antiqua" w:hAnsi="Book Antiqua"/>
        </w:rPr>
      </w:pPr>
    </w:p>
    <w:p w14:paraId="29323CBC" w14:textId="77777777" w:rsidR="00E43A0B" w:rsidRDefault="00E43A0B" w:rsidP="00763B17">
      <w:pPr>
        <w:jc w:val="both"/>
        <w:rPr>
          <w:rFonts w:ascii="Book Antiqua" w:hAnsi="Book Antiqua"/>
        </w:rPr>
      </w:pPr>
    </w:p>
    <w:p w14:paraId="0750B78A" w14:textId="77777777" w:rsidR="00662838" w:rsidRPr="00E3232D" w:rsidRDefault="00662838" w:rsidP="00763B17">
      <w:pPr>
        <w:jc w:val="both"/>
        <w:rPr>
          <w:rFonts w:ascii="Book Antiqua" w:hAnsi="Book Antiqua"/>
        </w:rPr>
      </w:pPr>
      <w:r w:rsidRPr="00E3232D">
        <w:rPr>
          <w:rFonts w:ascii="Book Antiqua" w:hAnsi="Book Antiqua"/>
        </w:rPr>
        <w:t xml:space="preserve">energy demand, rising energy prices and reinforcement of counter measures for global warming, renewable energy sources </w:t>
      </w:r>
      <w:r w:rsidR="0096027C">
        <w:rPr>
          <w:rFonts w:ascii="Book Antiqua" w:hAnsi="Book Antiqua"/>
        </w:rPr>
        <w:t xml:space="preserve"> such as biofuels, solar </w:t>
      </w:r>
      <w:r w:rsidRPr="00E3232D">
        <w:rPr>
          <w:rFonts w:ascii="Book Antiqua" w:hAnsi="Book Antiqua"/>
        </w:rPr>
        <w:t>photovoltaics (PV) system, wind energy, have taken the spotlight and have been widely developed in recent years (Ahmed and Bansal, 2011).</w:t>
      </w:r>
    </w:p>
    <w:p w14:paraId="3E9DE84C" w14:textId="77777777" w:rsidR="00455541" w:rsidRDefault="00662838" w:rsidP="00763B17">
      <w:pPr>
        <w:spacing w:after="0"/>
        <w:jc w:val="both"/>
        <w:rPr>
          <w:rFonts w:ascii="Book Antiqua" w:hAnsi="Book Antiqua"/>
        </w:rPr>
      </w:pPr>
      <w:r w:rsidRPr="00E3232D">
        <w:rPr>
          <w:rFonts w:ascii="Book Antiqua" w:hAnsi="Book Antiqua"/>
        </w:rPr>
        <w:t xml:space="preserve"> As population across the globe increases, the demand for energy will continue to increase unabated and the world’s greatest challenge will be how to meet the rising energy demand. In order to understand the magnitude of the challenge, it is necessary to be aware of </w:t>
      </w:r>
      <w:r w:rsidRPr="00E3232D">
        <w:rPr>
          <w:rFonts w:ascii="Book Antiqua" w:hAnsi="Book Antiqua"/>
        </w:rPr>
        <w:lastRenderedPageBreak/>
        <w:t>the sources of energy come from, the technology for harnessing energy resources and the way to manage the available energy (FAO, 1996). Many of these technologies are well suited in specific areas based on the natural resources available in these locations. However, a common problem for the majority of these technologies is that they are often associated with very high initial capital cost and a dependency on foreign financing and expertise. One solution that has proven itself to be very useful in most rural areas in developing countries is the use of biogas (David, 2010).</w:t>
      </w:r>
    </w:p>
    <w:p w14:paraId="4AE58A2B" w14:textId="77777777" w:rsidR="0096027C" w:rsidRDefault="0096027C" w:rsidP="00763B17">
      <w:pPr>
        <w:spacing w:after="0"/>
        <w:jc w:val="both"/>
        <w:rPr>
          <w:rFonts w:ascii="Book Antiqua" w:hAnsi="Book Antiqua"/>
        </w:rPr>
      </w:pPr>
    </w:p>
    <w:p w14:paraId="62F2764D" w14:textId="77777777" w:rsidR="00A93590" w:rsidRDefault="00662838" w:rsidP="00E10ABB">
      <w:pPr>
        <w:spacing w:after="0"/>
        <w:jc w:val="both"/>
        <w:rPr>
          <w:rFonts w:ascii="Book Antiqua" w:hAnsi="Book Antiqua"/>
        </w:rPr>
      </w:pPr>
      <w:r w:rsidRPr="00E3232D">
        <w:rPr>
          <w:rFonts w:ascii="Book Antiqua" w:hAnsi="Book Antiqua"/>
        </w:rPr>
        <w:t>Anaerobic digestion is an effective process of producing fuel gas from organic waste, obtaining 50% to 60% of the total gas as combustible methane (Ahmed and Bansal, 2011). The natural generation of biogas is an important part of the biogeochemical carbon cycle (GTZ, 2007). Among the common feedstock for biogas generation are cow-dung, human excreta, poultry drops, grass and weeds, and kitchen waste including cassava peel, plantain/banana peel, and vegetables (David, 2010). Generally biogas has become more attractive as an alternative to fossil energy because of its plethora environmental benefits and the fact that its renewable in nature. Indeed for a deve</w:t>
      </w:r>
      <w:r w:rsidR="00466900" w:rsidRPr="00E3232D">
        <w:rPr>
          <w:rFonts w:ascii="Book Antiqua" w:hAnsi="Book Antiqua"/>
        </w:rPr>
        <w:t xml:space="preserve">loping country like Ghana, much </w:t>
      </w:r>
      <w:r w:rsidRPr="00E3232D">
        <w:rPr>
          <w:rFonts w:ascii="Book Antiqua" w:hAnsi="Book Antiqua"/>
        </w:rPr>
        <w:t xml:space="preserve">resources should be invested in research to exploiting other renewable and environmentally friendly sources of energy in order to reduce the importation of fossils so as achieve the Millennium Development Goal 7, thus ensuring a sustainable environment. The Hospitality department of Koforidua Polytechnic has </w:t>
      </w:r>
      <w:r w:rsidRPr="00E3232D">
        <w:rPr>
          <w:rFonts w:ascii="Book Antiqua" w:hAnsi="Book Antiqua"/>
        </w:rPr>
        <w:t>a 10 m</w:t>
      </w:r>
      <w:r w:rsidRPr="00E3232D">
        <w:rPr>
          <w:rFonts w:ascii="Book Antiqua" w:hAnsi="Book Antiqua"/>
          <w:vertAlign w:val="superscript"/>
        </w:rPr>
        <w:t>3</w:t>
      </w:r>
      <w:r w:rsidRPr="00E3232D">
        <w:rPr>
          <w:rFonts w:ascii="Book Antiqua" w:hAnsi="Book Antiqua"/>
        </w:rPr>
        <w:t xml:space="preserve"> biogas digester, installed to generate biogas for use in the kitchen. However, due to the potential feedstock availability, the digester is not operational. The department produces  an appreciable quantity of  organic waste including cassava peels, plantain peels, vegetables (cabbage, carrots, onions, etc.) and food leftovers on a daily basis. Organic kitchen waste is one of the major emitters of CH</w:t>
      </w:r>
      <w:r w:rsidRPr="00E3232D">
        <w:rPr>
          <w:rFonts w:ascii="Book Antiqua" w:hAnsi="Book Antiqua"/>
          <w:vertAlign w:val="subscript"/>
        </w:rPr>
        <w:t>4</w:t>
      </w:r>
      <w:r w:rsidRPr="00E3232D">
        <w:rPr>
          <w:rFonts w:ascii="Book Antiqua" w:hAnsi="Book Antiqua"/>
        </w:rPr>
        <w:t xml:space="preserve"> gas in an anaerobic digestion process which makes it a </w:t>
      </w:r>
      <w:r w:rsidR="00455541" w:rsidRPr="00E3232D">
        <w:rPr>
          <w:rFonts w:ascii="Book Antiqua" w:hAnsi="Book Antiqua"/>
        </w:rPr>
        <w:t>good feedstock</w:t>
      </w:r>
      <w:r w:rsidRPr="00E3232D">
        <w:rPr>
          <w:rFonts w:ascii="Book Antiqua" w:hAnsi="Book Antiqua"/>
        </w:rPr>
        <w:t xml:space="preserve"> for biogas production. The significance of the study therefore is to determine the potential amount of gas that can be generated from organic waste when used as a feedstock for biogas generation. </w:t>
      </w:r>
    </w:p>
    <w:p w14:paraId="0AB14A48" w14:textId="77777777" w:rsidR="00E10ABB" w:rsidRPr="00E10ABB" w:rsidRDefault="00E10ABB" w:rsidP="00E10ABB">
      <w:pPr>
        <w:spacing w:after="0"/>
        <w:jc w:val="both"/>
        <w:rPr>
          <w:rFonts w:ascii="Book Antiqua" w:hAnsi="Book Antiqua"/>
        </w:rPr>
      </w:pPr>
    </w:p>
    <w:p w14:paraId="4E7B6B9F" w14:textId="77777777" w:rsidR="00662838" w:rsidRPr="00E3232D" w:rsidRDefault="00662838" w:rsidP="00763B17">
      <w:pPr>
        <w:jc w:val="both"/>
        <w:rPr>
          <w:rFonts w:ascii="Book Antiqua" w:hAnsi="Book Antiqua"/>
          <w:b/>
        </w:rPr>
      </w:pPr>
      <w:r w:rsidRPr="00E3232D">
        <w:rPr>
          <w:rFonts w:ascii="Book Antiqua" w:hAnsi="Book Antiqua"/>
          <w:b/>
        </w:rPr>
        <w:t xml:space="preserve">2.0 </w:t>
      </w:r>
      <w:r w:rsidRPr="00751699">
        <w:rPr>
          <w:rFonts w:ascii="Book Antiqua" w:hAnsi="Book Antiqua"/>
          <w:b/>
          <w:sz w:val="26"/>
        </w:rPr>
        <w:t>Materials and Methods</w:t>
      </w:r>
    </w:p>
    <w:p w14:paraId="6FDC86D4" w14:textId="77777777" w:rsidR="00662838" w:rsidRPr="00763B17" w:rsidRDefault="00662838" w:rsidP="00E43A0B">
      <w:pPr>
        <w:spacing w:after="0"/>
        <w:jc w:val="both"/>
        <w:rPr>
          <w:rFonts w:ascii="Book Antiqua" w:hAnsi="Book Antiqua"/>
          <w:b/>
        </w:rPr>
      </w:pPr>
      <w:r w:rsidRPr="00763B17">
        <w:rPr>
          <w:rFonts w:ascii="Book Antiqua" w:hAnsi="Book Antiqua"/>
          <w:b/>
        </w:rPr>
        <w:t>Materials</w:t>
      </w:r>
    </w:p>
    <w:p w14:paraId="7A2D6B92" w14:textId="77777777" w:rsidR="001C41C2" w:rsidRDefault="00662838" w:rsidP="00763B17">
      <w:pPr>
        <w:jc w:val="both"/>
        <w:rPr>
          <w:rFonts w:ascii="Book Antiqua" w:hAnsi="Book Antiqua"/>
        </w:rPr>
      </w:pPr>
      <w:r w:rsidRPr="00E3232D">
        <w:rPr>
          <w:rFonts w:ascii="Book Antiqua" w:hAnsi="Book Antiqua"/>
        </w:rPr>
        <w:t xml:space="preserve">The organic waste from the kitchen was sorted into the following categories: (i) cassava peel (ii) plantain peels (iii) vegetables (cabbage, carrot, onion, etc) (iv) </w:t>
      </w:r>
    </w:p>
    <w:p w14:paraId="3B84CA48" w14:textId="77777777" w:rsidR="00662838" w:rsidRPr="00E3232D" w:rsidRDefault="00662838" w:rsidP="00763B17">
      <w:pPr>
        <w:jc w:val="both"/>
        <w:rPr>
          <w:rFonts w:ascii="Book Antiqua" w:hAnsi="Book Antiqua"/>
        </w:rPr>
      </w:pPr>
      <w:r w:rsidRPr="00E3232D">
        <w:rPr>
          <w:rFonts w:ascii="Book Antiqua" w:hAnsi="Book Antiqua"/>
        </w:rPr>
        <w:t>food leftover.</w:t>
      </w:r>
    </w:p>
    <w:p w14:paraId="70510AF0" w14:textId="77777777" w:rsidR="00662838" w:rsidRPr="00763B17" w:rsidRDefault="00662838" w:rsidP="00E43A0B">
      <w:pPr>
        <w:spacing w:after="0"/>
        <w:jc w:val="both"/>
        <w:rPr>
          <w:rFonts w:ascii="Book Antiqua" w:hAnsi="Book Antiqua"/>
          <w:b/>
        </w:rPr>
      </w:pPr>
      <w:r w:rsidRPr="00763B17">
        <w:rPr>
          <w:rFonts w:ascii="Book Antiqua" w:hAnsi="Book Antiqua"/>
          <w:b/>
        </w:rPr>
        <w:t>Equipments</w:t>
      </w:r>
    </w:p>
    <w:p w14:paraId="701D90C5" w14:textId="77777777" w:rsidR="00751699" w:rsidRPr="00E10ABB" w:rsidRDefault="00662838" w:rsidP="00763B17">
      <w:pPr>
        <w:jc w:val="both"/>
        <w:rPr>
          <w:rFonts w:ascii="Book Antiqua" w:hAnsi="Book Antiqua"/>
        </w:rPr>
      </w:pPr>
      <w:r w:rsidRPr="00E3232D">
        <w:rPr>
          <w:rFonts w:ascii="Book Antiqua" w:hAnsi="Book Antiqua"/>
        </w:rPr>
        <w:t>Equipments used in the study include a weighing scale of 50.00kg capacity, an 8.5L capacities containers (Dust bins), and hand gloves which were used for measuring the masses of the organic waste, storing the waste and to prevent direct contact with the waste respectively.</w:t>
      </w:r>
    </w:p>
    <w:p w14:paraId="3947D1E0" w14:textId="77777777" w:rsidR="00E10ABB" w:rsidRDefault="00E10ABB" w:rsidP="00763B17">
      <w:pPr>
        <w:jc w:val="both"/>
        <w:rPr>
          <w:rFonts w:ascii="Book Antiqua" w:hAnsi="Book Antiqua"/>
          <w:b/>
        </w:rPr>
      </w:pPr>
    </w:p>
    <w:p w14:paraId="134B3F0B" w14:textId="77777777" w:rsidR="00E10ABB" w:rsidRDefault="00E10ABB" w:rsidP="00763B17">
      <w:pPr>
        <w:jc w:val="both"/>
        <w:rPr>
          <w:rFonts w:ascii="Book Antiqua" w:hAnsi="Book Antiqua"/>
          <w:b/>
        </w:rPr>
      </w:pPr>
    </w:p>
    <w:p w14:paraId="48BE331B" w14:textId="77777777" w:rsidR="00662838" w:rsidRPr="00E3232D" w:rsidRDefault="00662838" w:rsidP="00763B17">
      <w:pPr>
        <w:jc w:val="both"/>
        <w:rPr>
          <w:rFonts w:ascii="Book Antiqua" w:hAnsi="Book Antiqua"/>
          <w:b/>
        </w:rPr>
      </w:pPr>
      <w:r w:rsidRPr="00E3232D">
        <w:rPr>
          <w:rFonts w:ascii="Book Antiqua" w:hAnsi="Book Antiqua"/>
          <w:b/>
        </w:rPr>
        <w:t>2.1 Data collection and organization</w:t>
      </w:r>
    </w:p>
    <w:p w14:paraId="43BB6FCB" w14:textId="77777777" w:rsidR="00662838" w:rsidRPr="00E3232D" w:rsidRDefault="00662838" w:rsidP="00763B17">
      <w:pPr>
        <w:spacing w:after="0"/>
        <w:jc w:val="both"/>
        <w:rPr>
          <w:rFonts w:ascii="Book Antiqua" w:hAnsi="Book Antiqua"/>
        </w:rPr>
      </w:pPr>
      <w:r w:rsidRPr="00E3232D">
        <w:rPr>
          <w:rFonts w:ascii="Book Antiqua" w:hAnsi="Book Antiqua"/>
        </w:rPr>
        <w:lastRenderedPageBreak/>
        <w:t>Data on the amount of organic waste generated were collected from the month of October 2011 to January 2012. The measuring process was done twice every day, morning and afternoon. Morning and afternoon measurements were taken at about 9:00 am and 4:00 pm respectively. Data collected were analyzed and are presented in the results and discussion section.</w:t>
      </w:r>
    </w:p>
    <w:p w14:paraId="08BCA88C" w14:textId="77777777" w:rsidR="00662838" w:rsidRPr="00E3232D" w:rsidRDefault="00662838" w:rsidP="00763B17">
      <w:pPr>
        <w:spacing w:after="0"/>
        <w:jc w:val="both"/>
        <w:rPr>
          <w:rFonts w:ascii="Book Antiqua" w:hAnsi="Book Antiqua"/>
          <w:b/>
        </w:rPr>
      </w:pPr>
      <w:r w:rsidRPr="00E3232D">
        <w:rPr>
          <w:rFonts w:ascii="Book Antiqua" w:hAnsi="Book Antiqua"/>
          <w:b/>
        </w:rPr>
        <w:t xml:space="preserve">         </w:t>
      </w:r>
      <w:r w:rsidRPr="00E3232D">
        <w:rPr>
          <w:rFonts w:ascii="Book Antiqua" w:hAnsi="Book Antiqua"/>
        </w:rPr>
        <w:tab/>
      </w:r>
    </w:p>
    <w:p w14:paraId="489AC89E" w14:textId="77777777" w:rsidR="00662838" w:rsidRPr="00E3232D" w:rsidRDefault="00662838" w:rsidP="00763B17">
      <w:pPr>
        <w:spacing w:after="0"/>
        <w:jc w:val="both"/>
        <w:rPr>
          <w:rFonts w:ascii="Book Antiqua" w:hAnsi="Book Antiqua"/>
        </w:rPr>
      </w:pPr>
      <w:r w:rsidRPr="00E3232D">
        <w:rPr>
          <w:rFonts w:ascii="Book Antiqua" w:hAnsi="Book Antiqua"/>
          <w:b/>
        </w:rPr>
        <w:t xml:space="preserve">3.0 </w:t>
      </w:r>
      <w:r w:rsidRPr="00751699">
        <w:rPr>
          <w:rFonts w:ascii="Book Antiqua" w:hAnsi="Book Antiqua"/>
          <w:b/>
          <w:sz w:val="26"/>
        </w:rPr>
        <w:t>Results and Discussion</w:t>
      </w:r>
    </w:p>
    <w:p w14:paraId="750F335B" w14:textId="77777777" w:rsidR="00662838" w:rsidRPr="00E3232D" w:rsidRDefault="00662838" w:rsidP="00763B17">
      <w:pPr>
        <w:spacing w:after="0"/>
        <w:jc w:val="both"/>
        <w:rPr>
          <w:rFonts w:ascii="Book Antiqua" w:hAnsi="Book Antiqua"/>
        </w:rPr>
      </w:pPr>
      <w:r w:rsidRPr="00E3232D">
        <w:rPr>
          <w:rFonts w:ascii="Book Antiqua" w:hAnsi="Book Antiqua"/>
        </w:rPr>
        <w:t>The month of November recorded the highest amount of waste generated with 597.30kg followed by December with about 500.00 kg. 469.30 kg and 441.00 kg were recorded for January and October respectively as indicated in Figure 1. In all, over 2000.00 kg of waste were generated by the end of the study period with a monthly averaged of 500.00 kg.</w:t>
      </w:r>
    </w:p>
    <w:p w14:paraId="633221B8" w14:textId="77777777" w:rsidR="00662838" w:rsidRPr="00E3232D" w:rsidRDefault="00662838" w:rsidP="00763B17">
      <w:pPr>
        <w:jc w:val="both"/>
        <w:rPr>
          <w:rFonts w:ascii="Book Antiqua" w:hAnsi="Book Antiqua"/>
        </w:rPr>
      </w:pPr>
    </w:p>
    <w:p w14:paraId="15446CD5" w14:textId="77777777" w:rsidR="00662838" w:rsidRPr="00E3232D" w:rsidRDefault="007005B1" w:rsidP="00763B17">
      <w:pPr>
        <w:jc w:val="both"/>
        <w:rPr>
          <w:rFonts w:ascii="Book Antiqua" w:hAnsi="Book Antiqua"/>
        </w:rPr>
      </w:pPr>
      <w:r>
        <w:rPr>
          <w:rFonts w:ascii="Book Antiqua" w:hAnsi="Book Antiqua"/>
          <w:noProof/>
          <w:lang w:bidi="ar-SA"/>
        </w:rPr>
        <w:drawing>
          <wp:inline distT="0" distB="0" distL="0" distR="0" wp14:anchorId="1280AACE" wp14:editId="6D256AA3">
            <wp:extent cx="2743950" cy="2459284"/>
            <wp:effectExtent l="12200" t="6096" r="6100" b="1595"/>
            <wp:docPr id="1"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D0FEAD0" w14:textId="77777777" w:rsidR="00A3447F" w:rsidRDefault="00662838" w:rsidP="00763B17">
      <w:pPr>
        <w:jc w:val="both"/>
        <w:rPr>
          <w:rFonts w:ascii="Book Antiqua" w:hAnsi="Book Antiqua"/>
        </w:rPr>
      </w:pPr>
      <w:r w:rsidRPr="00E3232D">
        <w:rPr>
          <w:rFonts w:ascii="Book Antiqua" w:hAnsi="Book Antiqua"/>
          <w:b/>
        </w:rPr>
        <w:t>Figure 1: Monthly organic waste generated</w:t>
      </w:r>
    </w:p>
    <w:p w14:paraId="66B019AF" w14:textId="77777777" w:rsidR="00662838" w:rsidRPr="00E3232D" w:rsidRDefault="00662838" w:rsidP="00763B17">
      <w:pPr>
        <w:jc w:val="both"/>
        <w:rPr>
          <w:rFonts w:ascii="Book Antiqua" w:hAnsi="Book Antiqua"/>
        </w:rPr>
      </w:pPr>
      <w:r w:rsidRPr="00E3232D">
        <w:rPr>
          <w:rFonts w:ascii="Book Antiqua" w:hAnsi="Book Antiqua"/>
        </w:rPr>
        <w:t xml:space="preserve">For the individual organic waste generated, food leftovers recorded the highest of about 820.45 kg. Cassava peels were the second recording 556.35 kg, </w:t>
      </w:r>
      <w:r w:rsidRPr="00E3232D">
        <w:rPr>
          <w:rFonts w:ascii="Book Antiqua" w:hAnsi="Book Antiqua"/>
        </w:rPr>
        <w:t>while plantain peels and vegetables recorded 383.4 kg and 248.65 kg respectively [Figure2]. Food leftovers were the most dominant in the overall waste generated. Food leftovers mainly consist of cooked rice, cooked cassava, cooked plantain etc. Cassava peels were the second dominant category followed by plantain peels and then vegetables.</w:t>
      </w:r>
    </w:p>
    <w:p w14:paraId="0CD62C9D" w14:textId="77777777" w:rsidR="00662838" w:rsidRPr="00E3232D" w:rsidRDefault="007005B1" w:rsidP="008275E1">
      <w:pPr>
        <w:rPr>
          <w:rFonts w:ascii="Book Antiqua" w:hAnsi="Book Antiqua"/>
          <w:b/>
        </w:rPr>
      </w:pPr>
      <w:r>
        <w:rPr>
          <w:rFonts w:ascii="Book Antiqua" w:hAnsi="Book Antiqua"/>
          <w:b/>
          <w:noProof/>
          <w:lang w:bidi="ar-SA"/>
        </w:rPr>
        <w:drawing>
          <wp:inline distT="0" distB="0" distL="0" distR="0" wp14:anchorId="4F78EC32" wp14:editId="6D0A131A">
            <wp:extent cx="2573635" cy="1963046"/>
            <wp:effectExtent l="11443" t="6112" r="5722" b="2517"/>
            <wp:docPr id="2"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F7A34F1" w14:textId="77777777" w:rsidR="00662838" w:rsidRPr="00E3232D" w:rsidRDefault="00662838" w:rsidP="008275E1">
      <w:pPr>
        <w:rPr>
          <w:rFonts w:ascii="Book Antiqua" w:hAnsi="Book Antiqua"/>
          <w:b/>
        </w:rPr>
      </w:pPr>
      <w:r w:rsidRPr="00E3232D">
        <w:rPr>
          <w:rFonts w:ascii="Book Antiqua" w:hAnsi="Book Antiqua"/>
          <w:b/>
        </w:rPr>
        <w:t>Figure 2: Percentage by composition of individual organic waste generated</w:t>
      </w:r>
    </w:p>
    <w:p w14:paraId="5E4DB3FA" w14:textId="77777777" w:rsidR="00662838" w:rsidRPr="00E3232D" w:rsidRDefault="00662838" w:rsidP="008275E1">
      <w:pPr>
        <w:rPr>
          <w:rFonts w:ascii="Book Antiqua" w:hAnsi="Book Antiqua"/>
          <w:b/>
        </w:rPr>
      </w:pPr>
      <w:r w:rsidRPr="00E3232D">
        <w:rPr>
          <w:rFonts w:ascii="Book Antiqua" w:hAnsi="Book Antiqua"/>
          <w:b/>
        </w:rPr>
        <w:t>Table 1: Biogas potential per kg of waste</w:t>
      </w:r>
    </w:p>
    <w:tbl>
      <w:tblPr>
        <w:tblW w:w="4698" w:type="dxa"/>
        <w:tblBorders>
          <w:top w:val="single" w:sz="8" w:space="0" w:color="000000"/>
          <w:bottom w:val="single" w:sz="8" w:space="0" w:color="000000"/>
        </w:tblBorders>
        <w:tblLook w:val="04A0" w:firstRow="1" w:lastRow="0" w:firstColumn="1" w:lastColumn="0" w:noHBand="0" w:noVBand="1"/>
      </w:tblPr>
      <w:tblGrid>
        <w:gridCol w:w="1329"/>
        <w:gridCol w:w="1121"/>
        <w:gridCol w:w="2248"/>
      </w:tblGrid>
      <w:tr w:rsidR="00662838" w:rsidRPr="00D12E59" w14:paraId="512F2365" w14:textId="77777777" w:rsidTr="0076390A">
        <w:trPr>
          <w:trHeight w:val="813"/>
        </w:trPr>
        <w:tc>
          <w:tcPr>
            <w:tcW w:w="1251" w:type="dxa"/>
            <w:tcBorders>
              <w:top w:val="single" w:sz="8" w:space="0" w:color="000000"/>
              <w:left w:val="nil"/>
              <w:bottom w:val="single" w:sz="8" w:space="0" w:color="000000"/>
              <w:right w:val="nil"/>
            </w:tcBorders>
            <w:shd w:val="clear" w:color="auto" w:fill="auto"/>
          </w:tcPr>
          <w:p w14:paraId="65FE6106" w14:textId="77777777" w:rsidR="00662838" w:rsidRPr="0076390A" w:rsidRDefault="00662838" w:rsidP="0076390A">
            <w:pPr>
              <w:spacing w:after="0" w:line="240" w:lineRule="auto"/>
              <w:rPr>
                <w:rFonts w:ascii="Book Antiqua" w:hAnsi="Book Antiqua"/>
                <w:b/>
                <w:bCs/>
                <w:color w:val="365F91"/>
              </w:rPr>
            </w:pPr>
            <w:r w:rsidRPr="0076390A">
              <w:rPr>
                <w:rFonts w:ascii="Book Antiqua" w:hAnsi="Book Antiqua"/>
                <w:b/>
                <w:bCs/>
                <w:color w:val="365F91"/>
              </w:rPr>
              <w:t>Organic waste</w:t>
            </w:r>
          </w:p>
        </w:tc>
        <w:tc>
          <w:tcPr>
            <w:tcW w:w="1095" w:type="dxa"/>
            <w:tcBorders>
              <w:top w:val="single" w:sz="8" w:space="0" w:color="000000"/>
              <w:left w:val="nil"/>
              <w:bottom w:val="single" w:sz="8" w:space="0" w:color="000000"/>
              <w:right w:val="nil"/>
            </w:tcBorders>
            <w:shd w:val="clear" w:color="auto" w:fill="auto"/>
          </w:tcPr>
          <w:p w14:paraId="6ADD0FE6" w14:textId="77777777" w:rsidR="00662838" w:rsidRPr="0076390A" w:rsidRDefault="00662838" w:rsidP="0076390A">
            <w:pPr>
              <w:spacing w:after="0" w:line="240" w:lineRule="auto"/>
              <w:rPr>
                <w:rFonts w:ascii="Book Antiqua" w:hAnsi="Book Antiqua"/>
                <w:b/>
                <w:bCs/>
                <w:color w:val="365F91"/>
              </w:rPr>
            </w:pPr>
            <w:r w:rsidRPr="0076390A">
              <w:rPr>
                <w:rFonts w:ascii="Book Antiqua" w:hAnsi="Book Antiqua"/>
                <w:b/>
                <w:bCs/>
                <w:color w:val="365F91"/>
              </w:rPr>
              <w:t>Biogas potential (m</w:t>
            </w:r>
            <w:r w:rsidRPr="0076390A">
              <w:rPr>
                <w:rFonts w:ascii="Book Antiqua" w:hAnsi="Book Antiqua"/>
                <w:b/>
                <w:bCs/>
                <w:color w:val="365F91"/>
                <w:vertAlign w:val="superscript"/>
              </w:rPr>
              <w:t>3</w:t>
            </w:r>
            <w:r w:rsidRPr="0076390A">
              <w:rPr>
                <w:rFonts w:ascii="Book Antiqua" w:hAnsi="Book Antiqua"/>
                <w:b/>
                <w:bCs/>
                <w:color w:val="365F91"/>
              </w:rPr>
              <w:t>/kg)</w:t>
            </w:r>
          </w:p>
        </w:tc>
        <w:tc>
          <w:tcPr>
            <w:tcW w:w="2352" w:type="dxa"/>
            <w:tcBorders>
              <w:top w:val="single" w:sz="8" w:space="0" w:color="000000"/>
              <w:left w:val="nil"/>
              <w:bottom w:val="single" w:sz="8" w:space="0" w:color="000000"/>
              <w:right w:val="nil"/>
            </w:tcBorders>
            <w:shd w:val="clear" w:color="auto" w:fill="auto"/>
          </w:tcPr>
          <w:p w14:paraId="3DB7D9E6" w14:textId="77777777" w:rsidR="00662838" w:rsidRPr="0076390A" w:rsidRDefault="00662838" w:rsidP="0076390A">
            <w:pPr>
              <w:spacing w:after="0" w:line="240" w:lineRule="auto"/>
              <w:jc w:val="center"/>
              <w:rPr>
                <w:rFonts w:ascii="Book Antiqua" w:hAnsi="Book Antiqua"/>
                <w:b/>
                <w:bCs/>
                <w:color w:val="365F91"/>
              </w:rPr>
            </w:pPr>
            <w:r w:rsidRPr="0076390A">
              <w:rPr>
                <w:rFonts w:ascii="Book Antiqua" w:hAnsi="Book Antiqua"/>
                <w:b/>
                <w:bCs/>
                <w:color w:val="365F91"/>
              </w:rPr>
              <w:t>References</w:t>
            </w:r>
          </w:p>
        </w:tc>
      </w:tr>
      <w:tr w:rsidR="00662838" w:rsidRPr="00D12E59" w14:paraId="4E43A365" w14:textId="77777777" w:rsidTr="0076390A">
        <w:trPr>
          <w:trHeight w:val="547"/>
        </w:trPr>
        <w:tc>
          <w:tcPr>
            <w:tcW w:w="1251" w:type="dxa"/>
            <w:tcBorders>
              <w:left w:val="nil"/>
              <w:right w:val="nil"/>
            </w:tcBorders>
            <w:shd w:val="clear" w:color="auto" w:fill="auto"/>
          </w:tcPr>
          <w:p w14:paraId="186DC78A" w14:textId="77777777" w:rsidR="00662838" w:rsidRPr="0076390A" w:rsidRDefault="00662838" w:rsidP="0076390A">
            <w:pPr>
              <w:spacing w:after="0" w:line="240" w:lineRule="auto"/>
              <w:rPr>
                <w:rFonts w:ascii="Book Antiqua" w:hAnsi="Book Antiqua"/>
                <w:b/>
                <w:bCs/>
                <w:color w:val="365F91"/>
              </w:rPr>
            </w:pPr>
            <w:r w:rsidRPr="0076390A">
              <w:rPr>
                <w:rFonts w:ascii="Book Antiqua" w:hAnsi="Book Antiqua"/>
                <w:b/>
                <w:bCs/>
                <w:color w:val="365F91"/>
              </w:rPr>
              <w:t>Cassava peel</w:t>
            </w:r>
          </w:p>
        </w:tc>
        <w:tc>
          <w:tcPr>
            <w:tcW w:w="1095" w:type="dxa"/>
            <w:tcBorders>
              <w:left w:val="nil"/>
              <w:right w:val="nil"/>
            </w:tcBorders>
            <w:shd w:val="clear" w:color="auto" w:fill="auto"/>
          </w:tcPr>
          <w:p w14:paraId="468CB78C" w14:textId="77777777" w:rsidR="00662838" w:rsidRPr="0076390A" w:rsidRDefault="00662838" w:rsidP="0076390A">
            <w:pPr>
              <w:spacing w:after="0" w:line="240" w:lineRule="auto"/>
              <w:jc w:val="center"/>
              <w:rPr>
                <w:rFonts w:ascii="Book Antiqua" w:hAnsi="Book Antiqua"/>
                <w:color w:val="365F91"/>
              </w:rPr>
            </w:pPr>
            <w:r w:rsidRPr="0076390A">
              <w:rPr>
                <w:rFonts w:ascii="Book Antiqua" w:hAnsi="Book Antiqua"/>
                <w:color w:val="365F91"/>
              </w:rPr>
              <w:t>0.661</w:t>
            </w:r>
          </w:p>
        </w:tc>
        <w:tc>
          <w:tcPr>
            <w:tcW w:w="2352" w:type="dxa"/>
            <w:tcBorders>
              <w:left w:val="nil"/>
              <w:right w:val="nil"/>
            </w:tcBorders>
            <w:shd w:val="clear" w:color="auto" w:fill="auto"/>
          </w:tcPr>
          <w:p w14:paraId="1F6A5B77" w14:textId="77777777" w:rsidR="00662838" w:rsidRPr="0076390A" w:rsidRDefault="00662838" w:rsidP="0076390A">
            <w:pPr>
              <w:spacing w:after="0" w:line="240" w:lineRule="auto"/>
              <w:rPr>
                <w:rFonts w:ascii="Book Antiqua" w:hAnsi="Book Antiqua"/>
                <w:color w:val="365F91"/>
              </w:rPr>
            </w:pPr>
            <w:r w:rsidRPr="0076390A">
              <w:rPr>
                <w:rFonts w:ascii="Book Antiqua" w:hAnsi="Book Antiqua"/>
                <w:color w:val="365F91"/>
              </w:rPr>
              <w:t>(Manomi</w:t>
            </w:r>
            <w:r w:rsidRPr="0076390A">
              <w:rPr>
                <w:rFonts w:ascii="Book Antiqua" w:hAnsi="Book Antiqua"/>
                <w:i/>
                <w:color w:val="365F91"/>
              </w:rPr>
              <w:t xml:space="preserve"> </w:t>
            </w:r>
            <w:r w:rsidRPr="0076390A">
              <w:rPr>
                <w:rFonts w:ascii="Book Antiqua" w:hAnsi="Book Antiqua"/>
                <w:color w:val="365F91"/>
              </w:rPr>
              <w:t>and Parawira, 2008)</w:t>
            </w:r>
          </w:p>
        </w:tc>
      </w:tr>
      <w:tr w:rsidR="00662838" w:rsidRPr="00D12E59" w14:paraId="0AB03A09" w14:textId="77777777" w:rsidTr="0076390A">
        <w:trPr>
          <w:trHeight w:val="532"/>
        </w:trPr>
        <w:tc>
          <w:tcPr>
            <w:tcW w:w="1251" w:type="dxa"/>
            <w:shd w:val="clear" w:color="auto" w:fill="auto"/>
          </w:tcPr>
          <w:p w14:paraId="13E03841" w14:textId="77777777" w:rsidR="00662838" w:rsidRPr="0076390A" w:rsidRDefault="00662838" w:rsidP="0076390A">
            <w:pPr>
              <w:spacing w:after="0" w:line="240" w:lineRule="auto"/>
              <w:rPr>
                <w:rFonts w:ascii="Book Antiqua" w:hAnsi="Book Antiqua"/>
                <w:b/>
                <w:bCs/>
                <w:color w:val="365F91"/>
              </w:rPr>
            </w:pPr>
            <w:r w:rsidRPr="0076390A">
              <w:rPr>
                <w:rFonts w:ascii="Book Antiqua" w:hAnsi="Book Antiqua"/>
                <w:b/>
                <w:bCs/>
                <w:color w:val="365F91"/>
              </w:rPr>
              <w:t>Plantain peel</w:t>
            </w:r>
          </w:p>
        </w:tc>
        <w:tc>
          <w:tcPr>
            <w:tcW w:w="1095" w:type="dxa"/>
            <w:shd w:val="clear" w:color="auto" w:fill="auto"/>
          </w:tcPr>
          <w:p w14:paraId="1BDAD1EF" w14:textId="77777777" w:rsidR="00662838" w:rsidRPr="0076390A" w:rsidRDefault="00662838" w:rsidP="0076390A">
            <w:pPr>
              <w:spacing w:after="0" w:line="240" w:lineRule="auto"/>
              <w:jc w:val="center"/>
              <w:rPr>
                <w:rFonts w:ascii="Book Antiqua" w:hAnsi="Book Antiqua"/>
                <w:color w:val="365F91"/>
              </w:rPr>
            </w:pPr>
            <w:r w:rsidRPr="0076390A">
              <w:rPr>
                <w:rFonts w:ascii="Book Antiqua" w:hAnsi="Book Antiqua"/>
                <w:color w:val="365F91"/>
              </w:rPr>
              <w:t>0.0024</w:t>
            </w:r>
          </w:p>
        </w:tc>
        <w:tc>
          <w:tcPr>
            <w:tcW w:w="2352" w:type="dxa"/>
            <w:shd w:val="clear" w:color="auto" w:fill="auto"/>
          </w:tcPr>
          <w:p w14:paraId="34B479C5" w14:textId="77777777" w:rsidR="00662838" w:rsidRPr="0076390A" w:rsidRDefault="00662838" w:rsidP="0076390A">
            <w:pPr>
              <w:spacing w:after="0" w:line="240" w:lineRule="auto"/>
              <w:jc w:val="center"/>
              <w:rPr>
                <w:rFonts w:ascii="Book Antiqua" w:hAnsi="Book Antiqua"/>
                <w:color w:val="365F91"/>
              </w:rPr>
            </w:pPr>
            <w:r w:rsidRPr="0076390A">
              <w:rPr>
                <w:rFonts w:ascii="Book Antiqua" w:hAnsi="Book Antiqua"/>
                <w:color w:val="365F91"/>
              </w:rPr>
              <w:t xml:space="preserve">(Mattew </w:t>
            </w:r>
            <w:r w:rsidRPr="0076390A">
              <w:rPr>
                <w:rFonts w:ascii="Book Antiqua" w:hAnsi="Book Antiqua"/>
                <w:i/>
                <w:color w:val="365F91"/>
              </w:rPr>
              <w:t>et al</w:t>
            </w:r>
            <w:r w:rsidRPr="0076390A">
              <w:rPr>
                <w:rFonts w:ascii="Book Antiqua" w:hAnsi="Book Antiqua"/>
                <w:color w:val="365F91"/>
              </w:rPr>
              <w:t>, 2007)</w:t>
            </w:r>
          </w:p>
        </w:tc>
      </w:tr>
      <w:tr w:rsidR="00662838" w:rsidRPr="00D12E59" w14:paraId="3016EDB8" w14:textId="77777777" w:rsidTr="0076390A">
        <w:trPr>
          <w:trHeight w:val="547"/>
        </w:trPr>
        <w:tc>
          <w:tcPr>
            <w:tcW w:w="1251" w:type="dxa"/>
            <w:tcBorders>
              <w:left w:val="nil"/>
              <w:right w:val="nil"/>
            </w:tcBorders>
            <w:shd w:val="clear" w:color="auto" w:fill="auto"/>
          </w:tcPr>
          <w:p w14:paraId="25AF18FA" w14:textId="77777777" w:rsidR="00662838" w:rsidRPr="0076390A" w:rsidRDefault="00662838" w:rsidP="0076390A">
            <w:pPr>
              <w:spacing w:after="0" w:line="240" w:lineRule="auto"/>
              <w:rPr>
                <w:rFonts w:ascii="Book Antiqua" w:hAnsi="Book Antiqua"/>
                <w:b/>
                <w:bCs/>
                <w:color w:val="365F91"/>
              </w:rPr>
            </w:pPr>
            <w:r w:rsidRPr="0076390A">
              <w:rPr>
                <w:rFonts w:ascii="Book Antiqua" w:hAnsi="Book Antiqua"/>
                <w:b/>
                <w:bCs/>
                <w:color w:val="365F91"/>
              </w:rPr>
              <w:t>Vegetables</w:t>
            </w:r>
          </w:p>
        </w:tc>
        <w:tc>
          <w:tcPr>
            <w:tcW w:w="1095" w:type="dxa"/>
            <w:tcBorders>
              <w:left w:val="nil"/>
              <w:right w:val="nil"/>
            </w:tcBorders>
            <w:shd w:val="clear" w:color="auto" w:fill="auto"/>
          </w:tcPr>
          <w:p w14:paraId="495E0104" w14:textId="77777777" w:rsidR="00662838" w:rsidRPr="0076390A" w:rsidRDefault="00662838" w:rsidP="0076390A">
            <w:pPr>
              <w:spacing w:after="0" w:line="240" w:lineRule="auto"/>
              <w:jc w:val="center"/>
              <w:rPr>
                <w:rFonts w:ascii="Book Antiqua" w:hAnsi="Book Antiqua"/>
                <w:color w:val="365F91"/>
              </w:rPr>
            </w:pPr>
            <w:r w:rsidRPr="0076390A">
              <w:rPr>
                <w:rFonts w:ascii="Book Antiqua" w:hAnsi="Book Antiqua"/>
                <w:color w:val="365F91"/>
              </w:rPr>
              <w:t>0.001</w:t>
            </w:r>
          </w:p>
        </w:tc>
        <w:tc>
          <w:tcPr>
            <w:tcW w:w="2352" w:type="dxa"/>
            <w:tcBorders>
              <w:left w:val="nil"/>
              <w:right w:val="nil"/>
            </w:tcBorders>
            <w:shd w:val="clear" w:color="auto" w:fill="auto"/>
          </w:tcPr>
          <w:p w14:paraId="3659DA42" w14:textId="77777777" w:rsidR="00662838" w:rsidRPr="0076390A" w:rsidRDefault="00662838" w:rsidP="0076390A">
            <w:pPr>
              <w:spacing w:after="0" w:line="240" w:lineRule="auto"/>
              <w:jc w:val="center"/>
              <w:rPr>
                <w:rFonts w:ascii="Book Antiqua" w:hAnsi="Book Antiqua"/>
                <w:color w:val="365F91"/>
              </w:rPr>
            </w:pPr>
            <w:r w:rsidRPr="0076390A">
              <w:rPr>
                <w:rFonts w:ascii="Book Antiqua" w:hAnsi="Book Antiqua"/>
                <w:color w:val="365F91"/>
              </w:rPr>
              <w:t>(Biogas Training Center, 2010)</w:t>
            </w:r>
          </w:p>
        </w:tc>
      </w:tr>
      <w:tr w:rsidR="00662838" w:rsidRPr="00D12E59" w14:paraId="5E9680F0" w14:textId="77777777" w:rsidTr="0076390A">
        <w:trPr>
          <w:trHeight w:val="547"/>
        </w:trPr>
        <w:tc>
          <w:tcPr>
            <w:tcW w:w="1251" w:type="dxa"/>
            <w:shd w:val="clear" w:color="auto" w:fill="auto"/>
          </w:tcPr>
          <w:p w14:paraId="7AAA7A37" w14:textId="77777777" w:rsidR="00662838" w:rsidRPr="0076390A" w:rsidRDefault="00662838" w:rsidP="0076390A">
            <w:pPr>
              <w:spacing w:after="0" w:line="240" w:lineRule="auto"/>
              <w:rPr>
                <w:rFonts w:ascii="Book Antiqua" w:hAnsi="Book Antiqua"/>
                <w:b/>
                <w:bCs/>
                <w:color w:val="365F91"/>
              </w:rPr>
            </w:pPr>
            <w:r w:rsidRPr="0076390A">
              <w:rPr>
                <w:rFonts w:ascii="Book Antiqua" w:hAnsi="Book Antiqua"/>
                <w:b/>
                <w:bCs/>
                <w:color w:val="365F91"/>
              </w:rPr>
              <w:t>Food leftover</w:t>
            </w:r>
          </w:p>
        </w:tc>
        <w:tc>
          <w:tcPr>
            <w:tcW w:w="1095" w:type="dxa"/>
            <w:shd w:val="clear" w:color="auto" w:fill="auto"/>
          </w:tcPr>
          <w:p w14:paraId="791F9008" w14:textId="77777777" w:rsidR="00662838" w:rsidRPr="0076390A" w:rsidRDefault="00662838" w:rsidP="0076390A">
            <w:pPr>
              <w:spacing w:after="0" w:line="240" w:lineRule="auto"/>
              <w:jc w:val="center"/>
              <w:rPr>
                <w:rFonts w:ascii="Book Antiqua" w:hAnsi="Book Antiqua"/>
                <w:color w:val="365F91"/>
              </w:rPr>
            </w:pPr>
            <w:r w:rsidRPr="0076390A">
              <w:rPr>
                <w:rFonts w:ascii="Book Antiqua" w:hAnsi="Book Antiqua"/>
                <w:color w:val="365F91"/>
              </w:rPr>
              <w:t>0.5</w:t>
            </w:r>
          </w:p>
        </w:tc>
        <w:tc>
          <w:tcPr>
            <w:tcW w:w="2352" w:type="dxa"/>
            <w:shd w:val="clear" w:color="auto" w:fill="auto"/>
          </w:tcPr>
          <w:p w14:paraId="4AE56D14" w14:textId="77777777" w:rsidR="00662838" w:rsidRPr="0076390A" w:rsidRDefault="00662838" w:rsidP="0076390A">
            <w:pPr>
              <w:spacing w:after="0" w:line="240" w:lineRule="auto"/>
              <w:jc w:val="center"/>
              <w:rPr>
                <w:rFonts w:ascii="Book Antiqua" w:hAnsi="Book Antiqua"/>
                <w:color w:val="365F91"/>
              </w:rPr>
            </w:pPr>
            <w:r w:rsidRPr="0076390A">
              <w:rPr>
                <w:rFonts w:ascii="Book Antiqua" w:hAnsi="Book Antiqua"/>
                <w:color w:val="365F91"/>
              </w:rPr>
              <w:t>(Manomi and Parawira, 2008)</w:t>
            </w:r>
          </w:p>
        </w:tc>
      </w:tr>
    </w:tbl>
    <w:p w14:paraId="4EDD6DE0" w14:textId="77777777" w:rsidR="00E43A0B" w:rsidRDefault="00E43A0B" w:rsidP="00E43A0B">
      <w:pPr>
        <w:spacing w:after="0"/>
        <w:jc w:val="both"/>
        <w:rPr>
          <w:rFonts w:ascii="Book Antiqua" w:hAnsi="Book Antiqua"/>
        </w:rPr>
      </w:pPr>
    </w:p>
    <w:p w14:paraId="1FCCF96D" w14:textId="77777777" w:rsidR="00A3447F" w:rsidRDefault="00662838" w:rsidP="00751699">
      <w:pPr>
        <w:spacing w:after="0"/>
        <w:jc w:val="both"/>
        <w:rPr>
          <w:rFonts w:ascii="Book Antiqua" w:hAnsi="Book Antiqua"/>
        </w:rPr>
      </w:pPr>
      <w:r w:rsidRPr="00E3232D">
        <w:rPr>
          <w:rFonts w:ascii="Book Antiqua" w:hAnsi="Book Antiqua"/>
        </w:rPr>
        <w:t>Using the biogas potentials of the individual waste considered in Table 1, the biogas potential of the individual waste fractions were computed and have been presented.</w:t>
      </w:r>
    </w:p>
    <w:p w14:paraId="15899647" w14:textId="77777777" w:rsidR="00751699" w:rsidRDefault="00751699" w:rsidP="00751699">
      <w:pPr>
        <w:spacing w:after="0"/>
        <w:jc w:val="both"/>
        <w:rPr>
          <w:rFonts w:ascii="Book Antiqua" w:hAnsi="Book Antiqua"/>
        </w:rPr>
      </w:pPr>
    </w:p>
    <w:p w14:paraId="5A56E6CD" w14:textId="77777777" w:rsidR="00662838" w:rsidRPr="00E3232D" w:rsidRDefault="00662838" w:rsidP="00660A00">
      <w:pPr>
        <w:spacing w:after="0"/>
        <w:jc w:val="both"/>
        <w:rPr>
          <w:rFonts w:ascii="Book Antiqua" w:hAnsi="Book Antiqua"/>
        </w:rPr>
      </w:pPr>
      <w:r w:rsidRPr="00E3232D">
        <w:rPr>
          <w:rFonts w:ascii="Book Antiqua" w:hAnsi="Book Antiqua"/>
        </w:rPr>
        <w:lastRenderedPageBreak/>
        <w:t>Figures 3 is the graphical representation of the amount of biogas that could be obtained from the total organic waste generated for the four (4) months of the study indicating the biogas potential of each individual waste considered for the months under study.</w:t>
      </w:r>
    </w:p>
    <w:p w14:paraId="52E12B7A" w14:textId="77777777" w:rsidR="00A3447F" w:rsidRDefault="00A3447F" w:rsidP="00C54C81">
      <w:pPr>
        <w:spacing w:after="0"/>
        <w:rPr>
          <w:rFonts w:ascii="Book Antiqua" w:hAnsi="Book Antiqua"/>
        </w:rPr>
      </w:pPr>
    </w:p>
    <w:p w14:paraId="234DBB78" w14:textId="77777777" w:rsidR="00662838" w:rsidRPr="00E3232D" w:rsidRDefault="00662838" w:rsidP="00660A00">
      <w:pPr>
        <w:spacing w:after="0"/>
        <w:jc w:val="both"/>
        <w:rPr>
          <w:rFonts w:ascii="Book Antiqua" w:hAnsi="Book Antiqua"/>
        </w:rPr>
      </w:pPr>
      <w:r w:rsidRPr="00E3232D">
        <w:rPr>
          <w:rFonts w:ascii="Book Antiqua" w:hAnsi="Book Antiqua"/>
        </w:rPr>
        <w:t>The results of the monthly biogas generation have been presented in figure 4. The monthly average biogas potential for the individual waste fractions are as follows: food leftovers recorded the highest with an average of 108 m</w:t>
      </w:r>
      <w:r w:rsidRPr="00E3232D">
        <w:rPr>
          <w:rFonts w:ascii="Book Antiqua" w:hAnsi="Book Antiqua"/>
          <w:vertAlign w:val="superscript"/>
        </w:rPr>
        <w:t>3</w:t>
      </w:r>
      <w:r w:rsidRPr="00E3232D">
        <w:rPr>
          <w:rFonts w:ascii="Book Antiqua" w:hAnsi="Book Antiqua"/>
        </w:rPr>
        <w:t xml:space="preserve"> of biogas. Cassava peels obtained an average of 91.9 m</w:t>
      </w:r>
      <w:r w:rsidRPr="00E3232D">
        <w:rPr>
          <w:rFonts w:ascii="Book Antiqua" w:hAnsi="Book Antiqua"/>
          <w:vertAlign w:val="superscript"/>
        </w:rPr>
        <w:t>3</w:t>
      </w:r>
      <w:r w:rsidRPr="00E3232D">
        <w:rPr>
          <w:rFonts w:ascii="Book Antiqua" w:hAnsi="Book Antiqua"/>
        </w:rPr>
        <w:t>, plantain peel had an average of 0.09226 m</w:t>
      </w:r>
      <w:r w:rsidRPr="00E3232D">
        <w:rPr>
          <w:rFonts w:ascii="Book Antiqua" w:hAnsi="Book Antiqua"/>
          <w:vertAlign w:val="superscript"/>
        </w:rPr>
        <w:t>3</w:t>
      </w:r>
      <w:r w:rsidRPr="00E3232D">
        <w:rPr>
          <w:rFonts w:ascii="Book Antiqua" w:hAnsi="Book Antiqua"/>
        </w:rPr>
        <w:t xml:space="preserve"> and vegetables 0.26 m</w:t>
      </w:r>
      <w:r w:rsidRPr="00E3232D">
        <w:rPr>
          <w:rFonts w:ascii="Book Antiqua" w:hAnsi="Book Antiqua"/>
          <w:vertAlign w:val="superscript"/>
        </w:rPr>
        <w:t>3</w:t>
      </w:r>
      <w:r w:rsidRPr="00E3232D">
        <w:rPr>
          <w:rFonts w:ascii="Book Antiqua" w:hAnsi="Book Antiqua"/>
        </w:rPr>
        <w:t xml:space="preserve">. </w:t>
      </w:r>
    </w:p>
    <w:p w14:paraId="781D9D64" w14:textId="77777777" w:rsidR="00662838" w:rsidRPr="00E3232D" w:rsidRDefault="00662838" w:rsidP="008275E1">
      <w:pPr>
        <w:rPr>
          <w:rFonts w:ascii="Book Antiqua" w:hAnsi="Book Antiqua"/>
          <w:b/>
        </w:rPr>
      </w:pPr>
    </w:p>
    <w:p w14:paraId="232C0B60" w14:textId="77777777" w:rsidR="00662838" w:rsidRPr="00E3232D" w:rsidRDefault="007005B1" w:rsidP="008275E1">
      <w:pPr>
        <w:rPr>
          <w:rFonts w:ascii="Book Antiqua" w:hAnsi="Book Antiqua"/>
          <w:b/>
        </w:rPr>
      </w:pPr>
      <w:r>
        <w:rPr>
          <w:rFonts w:ascii="Book Antiqua" w:hAnsi="Book Antiqua"/>
          <w:b/>
          <w:noProof/>
          <w:lang w:bidi="ar-SA"/>
        </w:rPr>
        <w:drawing>
          <wp:inline distT="0" distB="0" distL="0" distR="0" wp14:anchorId="368BBD97" wp14:editId="29F5081F">
            <wp:extent cx="2743950" cy="2251336"/>
            <wp:effectExtent l="12200" t="6089" r="6100" b="0"/>
            <wp:docPr id="3"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BBD3A10" w14:textId="77777777" w:rsidR="00662838" w:rsidRPr="00E3232D" w:rsidRDefault="00662838" w:rsidP="008275E1">
      <w:pPr>
        <w:rPr>
          <w:rFonts w:ascii="Book Antiqua" w:hAnsi="Book Antiqua"/>
          <w:b/>
        </w:rPr>
      </w:pPr>
      <w:r w:rsidRPr="00E3232D">
        <w:rPr>
          <w:rFonts w:ascii="Book Antiqua" w:hAnsi="Book Antiqua"/>
          <w:b/>
        </w:rPr>
        <w:t>Figure 3: Monthly individual biogas potentials</w:t>
      </w:r>
    </w:p>
    <w:p w14:paraId="55696FFF" w14:textId="77777777" w:rsidR="00662838" w:rsidRPr="00E3232D" w:rsidRDefault="007005B1" w:rsidP="008275E1">
      <w:pPr>
        <w:rPr>
          <w:rFonts w:ascii="Book Antiqua" w:hAnsi="Book Antiqua"/>
        </w:rPr>
      </w:pPr>
      <w:r>
        <w:rPr>
          <w:rFonts w:ascii="Book Antiqua" w:hAnsi="Book Antiqua"/>
          <w:noProof/>
          <w:lang w:bidi="ar-SA"/>
        </w:rPr>
        <w:drawing>
          <wp:inline distT="0" distB="0" distL="0" distR="0" wp14:anchorId="384564EE" wp14:editId="593DC5DE">
            <wp:extent cx="2743950" cy="2175133"/>
            <wp:effectExtent l="12200" t="6092" r="6100" b="0"/>
            <wp:docPr id="4"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8FA70F6" w14:textId="77777777" w:rsidR="00662838" w:rsidRPr="00E3232D" w:rsidRDefault="00662838" w:rsidP="00C54C81">
      <w:pPr>
        <w:spacing w:after="0"/>
        <w:rPr>
          <w:rFonts w:ascii="Book Antiqua" w:hAnsi="Book Antiqua"/>
          <w:b/>
        </w:rPr>
      </w:pPr>
      <w:r w:rsidRPr="00E3232D">
        <w:rPr>
          <w:rFonts w:ascii="Book Antiqua" w:hAnsi="Book Antiqua"/>
          <w:b/>
        </w:rPr>
        <w:t>Figure 4: Average monthly biogas potentials</w:t>
      </w:r>
    </w:p>
    <w:p w14:paraId="4ACC79B7" w14:textId="77777777" w:rsidR="00C54C81" w:rsidRDefault="00C54C81" w:rsidP="00C54C81">
      <w:pPr>
        <w:spacing w:after="0"/>
        <w:rPr>
          <w:rFonts w:ascii="Book Antiqua" w:hAnsi="Book Antiqua"/>
          <w:b/>
        </w:rPr>
      </w:pPr>
    </w:p>
    <w:p w14:paraId="21662DFC" w14:textId="77777777" w:rsidR="00662838" w:rsidRPr="00E10ABB" w:rsidRDefault="00662838" w:rsidP="00C54C81">
      <w:pPr>
        <w:spacing w:after="0"/>
        <w:rPr>
          <w:rFonts w:ascii="Book Antiqua" w:hAnsi="Book Antiqua"/>
          <w:b/>
          <w:sz w:val="24"/>
        </w:rPr>
      </w:pPr>
      <w:r w:rsidRPr="00E10ABB">
        <w:rPr>
          <w:rFonts w:ascii="Book Antiqua" w:hAnsi="Book Antiqua"/>
          <w:b/>
          <w:sz w:val="24"/>
        </w:rPr>
        <w:t>4.0 Conclusion and Recommendation</w:t>
      </w:r>
    </w:p>
    <w:p w14:paraId="67FEE17B" w14:textId="77777777" w:rsidR="00662838" w:rsidRPr="00E3232D" w:rsidRDefault="00662838" w:rsidP="00660A00">
      <w:pPr>
        <w:spacing w:after="0"/>
        <w:jc w:val="both"/>
        <w:rPr>
          <w:rFonts w:ascii="Book Antiqua" w:hAnsi="Book Antiqua"/>
        </w:rPr>
      </w:pPr>
      <w:r w:rsidRPr="00E3232D">
        <w:rPr>
          <w:rFonts w:ascii="Book Antiqua" w:hAnsi="Book Antiqua"/>
        </w:rPr>
        <w:t>The average monthly organic was generated is 500 kg and has a potential of generating about 200m</w:t>
      </w:r>
      <w:r w:rsidRPr="00E3232D">
        <w:rPr>
          <w:rFonts w:ascii="Book Antiqua" w:hAnsi="Book Antiqua"/>
          <w:vertAlign w:val="superscript"/>
        </w:rPr>
        <w:t>3</w:t>
      </w:r>
      <w:r w:rsidRPr="00E3232D">
        <w:rPr>
          <w:rFonts w:ascii="Book Antiqua" w:hAnsi="Book Antiqua"/>
        </w:rPr>
        <w:t xml:space="preserve"> of biogas per month, that can be harnessed and used by the hospitality department. The biogas potentials for plantain peels and vegetables are quite insignificant and can be neglected. From the information gathered, its possible for the department to generate biogas using the organic waste generated as feedstock in order to supplement the energy needs of the department. Furthermore, in case of low or no availability of the potential feedstock, cowdung, the department can make use of the available organic waste to generated gas.  To optimize biogas production, more cassava and food leftover must be produced consistently.</w:t>
      </w:r>
    </w:p>
    <w:p w14:paraId="381D09B8" w14:textId="77777777" w:rsidR="009F0117" w:rsidRDefault="009F0117" w:rsidP="008275E1">
      <w:pPr>
        <w:rPr>
          <w:rFonts w:ascii="Book Antiqua" w:hAnsi="Book Antiqua"/>
          <w:b/>
        </w:rPr>
      </w:pPr>
    </w:p>
    <w:p w14:paraId="4D0AB01C" w14:textId="77777777" w:rsidR="00662838" w:rsidRPr="00E3232D" w:rsidRDefault="00662838" w:rsidP="008275E1">
      <w:pPr>
        <w:rPr>
          <w:rFonts w:ascii="Book Antiqua" w:hAnsi="Book Antiqua"/>
          <w:b/>
        </w:rPr>
      </w:pPr>
      <w:r w:rsidRPr="00751699">
        <w:rPr>
          <w:rFonts w:ascii="Book Antiqua" w:hAnsi="Book Antiqua"/>
          <w:b/>
          <w:sz w:val="26"/>
        </w:rPr>
        <w:t>References</w:t>
      </w:r>
    </w:p>
    <w:p w14:paraId="2E12FAF7" w14:textId="77777777" w:rsidR="00662838" w:rsidRPr="00E3232D" w:rsidRDefault="00662838" w:rsidP="00E146E4">
      <w:pPr>
        <w:ind w:left="810" w:hanging="810"/>
        <w:jc w:val="both"/>
        <w:rPr>
          <w:rFonts w:ascii="Book Antiqua" w:hAnsi="Book Antiqua"/>
        </w:rPr>
      </w:pPr>
      <w:r w:rsidRPr="00E3232D">
        <w:rPr>
          <w:rFonts w:ascii="Book Antiqua" w:hAnsi="Book Antiqua"/>
        </w:rPr>
        <w:t xml:space="preserve">[1] FAO (1996), System approach to Biogas Technology-Session One Consolidated Management </w:t>
      </w:r>
      <w:r w:rsidRPr="00E3232D">
        <w:rPr>
          <w:rFonts w:ascii="Book Antiqua" w:hAnsi="Book Antiqua"/>
        </w:rPr>
        <w:lastRenderedPageBreak/>
        <w:t>Services. FAO/TCP/NEP/4415-T. Nepal.</w:t>
      </w:r>
    </w:p>
    <w:p w14:paraId="29329293" w14:textId="77777777" w:rsidR="00662838" w:rsidRPr="00E3232D" w:rsidRDefault="00662838" w:rsidP="00E146E4">
      <w:pPr>
        <w:ind w:left="810" w:hanging="810"/>
        <w:jc w:val="both"/>
        <w:rPr>
          <w:rFonts w:ascii="Book Antiqua" w:hAnsi="Book Antiqua"/>
        </w:rPr>
      </w:pPr>
      <w:r w:rsidRPr="00E3232D">
        <w:rPr>
          <w:rFonts w:ascii="Book Antiqua" w:hAnsi="Book Antiqua"/>
        </w:rPr>
        <w:t>[2] Qurashi M. M., Tajammul, A. (2005), Renewable Energy Technologies for Developing Countries now and to 2023, Islamic Educational, Scientific and Cultural Organization –ISESCO-1426A.H</w:t>
      </w:r>
    </w:p>
    <w:p w14:paraId="142DD7C3" w14:textId="77777777" w:rsidR="00662838" w:rsidRPr="00E3232D" w:rsidRDefault="00662838" w:rsidP="00E146E4">
      <w:pPr>
        <w:ind w:left="810" w:hanging="810"/>
        <w:jc w:val="both"/>
        <w:rPr>
          <w:rFonts w:ascii="Book Antiqua" w:hAnsi="Book Antiqua"/>
        </w:rPr>
      </w:pPr>
      <w:r w:rsidRPr="00E3232D">
        <w:rPr>
          <w:rFonts w:ascii="Book Antiqua" w:hAnsi="Book Antiqua"/>
        </w:rPr>
        <w:t>[3] Ahmed F. Z., Bansal C., (2011), Handbook of Renewable Energy Technologies, World Scientific Publishing Co. Pte. Ltd.,  pp.56.</w:t>
      </w:r>
    </w:p>
    <w:p w14:paraId="3DBB1CD2" w14:textId="77777777" w:rsidR="00662838" w:rsidRPr="00E3232D" w:rsidRDefault="00662838" w:rsidP="00E146E4">
      <w:pPr>
        <w:ind w:left="810" w:hanging="810"/>
        <w:jc w:val="both"/>
        <w:rPr>
          <w:rFonts w:ascii="Book Antiqua" w:hAnsi="Book Antiqua"/>
        </w:rPr>
      </w:pPr>
      <w:r w:rsidRPr="00E3232D">
        <w:rPr>
          <w:rFonts w:ascii="Book Antiqua" w:hAnsi="Book Antiqua"/>
        </w:rPr>
        <w:t>[4] David W., (2010) Biogas in developing rural areas. Department of Environmental and Energy Systems Studies. Scientific Publishers, China,  pp 36-60.</w:t>
      </w:r>
    </w:p>
    <w:p w14:paraId="4E4D7AFB" w14:textId="77777777" w:rsidR="00662838" w:rsidRPr="00E3232D" w:rsidRDefault="00662838" w:rsidP="00E146E4">
      <w:pPr>
        <w:ind w:left="810" w:hanging="810"/>
        <w:jc w:val="both"/>
        <w:rPr>
          <w:rFonts w:ascii="Book Antiqua" w:hAnsi="Book Antiqua"/>
        </w:rPr>
      </w:pPr>
      <w:r w:rsidRPr="00E3232D">
        <w:rPr>
          <w:rFonts w:ascii="Book Antiqua" w:hAnsi="Book Antiqua"/>
        </w:rPr>
        <w:t>[5] GTZ (2007), Biogas Digest-Volume 1. Biogas Basics. German Agency For Technical Cooperation (GTZ), pp 17-63.</w:t>
      </w:r>
    </w:p>
    <w:p w14:paraId="0D73CF18" w14:textId="77777777" w:rsidR="00662838" w:rsidRPr="00E3232D" w:rsidRDefault="00662838" w:rsidP="00E146E4">
      <w:pPr>
        <w:ind w:left="810" w:hanging="810"/>
        <w:jc w:val="both"/>
        <w:rPr>
          <w:rFonts w:ascii="Book Antiqua" w:hAnsi="Book Antiqua"/>
        </w:rPr>
      </w:pPr>
      <w:r w:rsidRPr="00E3232D">
        <w:rPr>
          <w:rFonts w:ascii="Book Antiqua" w:hAnsi="Book Antiqua"/>
        </w:rPr>
        <w:t>[6] Manoni M. A., Parawira W., (2008), Biogas technology research in selected sub-Saharan African countries review, BV publishing, Nepal, pp 23.</w:t>
      </w:r>
    </w:p>
    <w:p w14:paraId="2EDC9261" w14:textId="77777777" w:rsidR="00662838" w:rsidRPr="00E3232D" w:rsidRDefault="00662838" w:rsidP="00E146E4">
      <w:pPr>
        <w:ind w:left="810" w:hanging="810"/>
        <w:jc w:val="both"/>
        <w:rPr>
          <w:rFonts w:ascii="Book Antiqua" w:hAnsi="Book Antiqua"/>
        </w:rPr>
      </w:pPr>
      <w:r w:rsidRPr="00E3232D">
        <w:rPr>
          <w:rFonts w:ascii="Book Antiqua" w:hAnsi="Book Antiqua"/>
        </w:rPr>
        <w:t>[7] Mattew O. I., Adebusoye S. A., Oluwatoyin A. A., (2007), Production of Biogas from Banana and Plantain Peels, Am-Eurasian J. Sustain Agric., 1(1): 33-38.</w:t>
      </w:r>
    </w:p>
    <w:p w14:paraId="5EE851BA" w14:textId="77777777" w:rsidR="00662838" w:rsidRPr="00E3232D" w:rsidRDefault="00662838" w:rsidP="00E146E4">
      <w:pPr>
        <w:ind w:left="810" w:hanging="810"/>
        <w:jc w:val="both"/>
        <w:rPr>
          <w:rFonts w:ascii="Book Antiqua" w:hAnsi="Book Antiqua"/>
        </w:rPr>
      </w:pPr>
      <w:r w:rsidRPr="00E3232D">
        <w:rPr>
          <w:rFonts w:ascii="Book Antiqua" w:hAnsi="Book Antiqua"/>
        </w:rPr>
        <w:t>[8] Biogas Training Centre (2010), Design of biogas plants, Chendu Sichuan Publishers, China. pp 46-57.</w:t>
      </w:r>
    </w:p>
    <w:p w14:paraId="11943925" w14:textId="77777777" w:rsidR="0007176C" w:rsidRPr="00E3232D" w:rsidRDefault="0007176C" w:rsidP="00E146E4">
      <w:pPr>
        <w:ind w:left="810" w:hanging="810"/>
        <w:jc w:val="both"/>
        <w:rPr>
          <w:rFonts w:ascii="Book Antiqua" w:hAnsi="Book Antiqua"/>
        </w:rPr>
        <w:sectPr w:rsidR="0007176C" w:rsidRPr="00E3232D" w:rsidSect="008F6BC9">
          <w:type w:val="continuous"/>
          <w:pgSz w:w="11907" w:h="16839" w:code="9"/>
          <w:pgMar w:top="1350" w:right="1440" w:bottom="1440" w:left="1440" w:header="720" w:footer="720" w:gutter="0"/>
          <w:cols w:num="2" w:space="720"/>
          <w:docGrid w:linePitch="360"/>
        </w:sectPr>
      </w:pPr>
    </w:p>
    <w:p w14:paraId="7E60FB7B" w14:textId="77777777" w:rsidR="00B76C9A" w:rsidRDefault="00B76C9A" w:rsidP="007105D4">
      <w:pPr>
        <w:tabs>
          <w:tab w:val="left" w:pos="3868"/>
        </w:tabs>
        <w:rPr>
          <w:rFonts w:ascii="Book Antiqua" w:hAnsi="Book Antiqua"/>
          <w:b/>
        </w:rPr>
      </w:pPr>
    </w:p>
    <w:p w14:paraId="699CA2FB" w14:textId="77777777" w:rsidR="009F0117" w:rsidRDefault="009F0117" w:rsidP="007105D4">
      <w:pPr>
        <w:tabs>
          <w:tab w:val="left" w:pos="3868"/>
        </w:tabs>
        <w:rPr>
          <w:rFonts w:ascii="Book Antiqua" w:hAnsi="Book Antiqua"/>
          <w:b/>
        </w:rPr>
      </w:pPr>
    </w:p>
    <w:p w14:paraId="3925566B" w14:textId="77777777" w:rsidR="009F0117" w:rsidRDefault="009F0117" w:rsidP="007105D4">
      <w:pPr>
        <w:tabs>
          <w:tab w:val="left" w:pos="3868"/>
        </w:tabs>
        <w:rPr>
          <w:rFonts w:ascii="Book Antiqua" w:hAnsi="Book Antiqua"/>
          <w:b/>
        </w:rPr>
      </w:pPr>
    </w:p>
    <w:p w14:paraId="68711B8A" w14:textId="77777777" w:rsidR="009F0117" w:rsidRDefault="009F0117" w:rsidP="007105D4">
      <w:pPr>
        <w:tabs>
          <w:tab w:val="left" w:pos="3868"/>
        </w:tabs>
        <w:rPr>
          <w:rFonts w:ascii="Book Antiqua" w:hAnsi="Book Antiqua"/>
          <w:b/>
        </w:rPr>
      </w:pPr>
    </w:p>
    <w:p w14:paraId="563A60B6" w14:textId="77777777" w:rsidR="00C54C81" w:rsidRDefault="00C54C81" w:rsidP="007105D4">
      <w:pPr>
        <w:tabs>
          <w:tab w:val="left" w:pos="3868"/>
        </w:tabs>
        <w:rPr>
          <w:rFonts w:ascii="Book Antiqua" w:hAnsi="Book Antiqua"/>
          <w:b/>
        </w:rPr>
      </w:pPr>
    </w:p>
    <w:p w14:paraId="189D0F52" w14:textId="77777777" w:rsidR="00B47C8A" w:rsidRDefault="00B47C8A" w:rsidP="007105D4">
      <w:pPr>
        <w:tabs>
          <w:tab w:val="left" w:pos="3868"/>
        </w:tabs>
        <w:rPr>
          <w:rFonts w:ascii="Book Antiqua" w:hAnsi="Book Antiqua"/>
          <w:b/>
        </w:rPr>
      </w:pPr>
    </w:p>
    <w:p w14:paraId="5C61712A" w14:textId="77777777" w:rsidR="00B47C8A" w:rsidRDefault="00B47C8A" w:rsidP="007105D4">
      <w:pPr>
        <w:tabs>
          <w:tab w:val="left" w:pos="3868"/>
        </w:tabs>
        <w:rPr>
          <w:rFonts w:ascii="Book Antiqua" w:hAnsi="Book Antiqua"/>
          <w:b/>
        </w:rPr>
      </w:pPr>
    </w:p>
    <w:p w14:paraId="213F30D3" w14:textId="77777777" w:rsidR="00B47C8A" w:rsidRDefault="00B47C8A" w:rsidP="007105D4">
      <w:pPr>
        <w:tabs>
          <w:tab w:val="left" w:pos="3868"/>
        </w:tabs>
        <w:rPr>
          <w:rFonts w:ascii="Book Antiqua" w:hAnsi="Book Antiqua"/>
          <w:b/>
        </w:rPr>
      </w:pPr>
    </w:p>
    <w:p w14:paraId="1040DCF5" w14:textId="77777777" w:rsidR="00B47C8A" w:rsidRDefault="00B47C8A" w:rsidP="007105D4">
      <w:pPr>
        <w:tabs>
          <w:tab w:val="left" w:pos="3868"/>
        </w:tabs>
        <w:rPr>
          <w:rFonts w:ascii="Book Antiqua" w:hAnsi="Book Antiqua"/>
          <w:b/>
        </w:rPr>
      </w:pPr>
    </w:p>
    <w:p w14:paraId="23694F5D" w14:textId="77777777" w:rsidR="00B47C8A" w:rsidRDefault="00B47C8A" w:rsidP="007105D4">
      <w:pPr>
        <w:tabs>
          <w:tab w:val="left" w:pos="3868"/>
        </w:tabs>
        <w:rPr>
          <w:rFonts w:ascii="Book Antiqua" w:hAnsi="Book Antiqua"/>
          <w:b/>
        </w:rPr>
      </w:pPr>
    </w:p>
    <w:p w14:paraId="1A166AA5" w14:textId="77777777" w:rsidR="00B47C8A" w:rsidRDefault="00B47C8A" w:rsidP="007105D4">
      <w:pPr>
        <w:tabs>
          <w:tab w:val="left" w:pos="3868"/>
        </w:tabs>
        <w:rPr>
          <w:rFonts w:ascii="Book Antiqua" w:hAnsi="Book Antiqua"/>
          <w:b/>
        </w:rPr>
      </w:pPr>
    </w:p>
    <w:p w14:paraId="6905F6D5" w14:textId="77777777" w:rsidR="00B47C8A" w:rsidRDefault="00B47C8A" w:rsidP="007105D4">
      <w:pPr>
        <w:tabs>
          <w:tab w:val="left" w:pos="3868"/>
        </w:tabs>
        <w:rPr>
          <w:rFonts w:ascii="Book Antiqua" w:hAnsi="Book Antiqua"/>
          <w:b/>
        </w:rPr>
      </w:pPr>
    </w:p>
    <w:p w14:paraId="24DB40BE" w14:textId="77777777" w:rsidR="00B47C8A" w:rsidRDefault="00B47C8A" w:rsidP="007105D4">
      <w:pPr>
        <w:tabs>
          <w:tab w:val="left" w:pos="3868"/>
        </w:tabs>
        <w:rPr>
          <w:rFonts w:ascii="Book Antiqua" w:hAnsi="Book Antiqua"/>
          <w:b/>
        </w:rPr>
      </w:pPr>
    </w:p>
    <w:p w14:paraId="0A4F7A11" w14:textId="77777777" w:rsidR="00B47C8A" w:rsidRDefault="00B47C8A" w:rsidP="007105D4">
      <w:pPr>
        <w:tabs>
          <w:tab w:val="left" w:pos="3868"/>
        </w:tabs>
        <w:rPr>
          <w:rFonts w:ascii="Book Antiqua" w:hAnsi="Book Antiqua"/>
          <w:b/>
        </w:rPr>
      </w:pPr>
    </w:p>
    <w:p w14:paraId="260A84C4" w14:textId="77777777" w:rsidR="00B47C8A" w:rsidRDefault="00B47C8A" w:rsidP="007105D4">
      <w:pPr>
        <w:tabs>
          <w:tab w:val="left" w:pos="3868"/>
        </w:tabs>
        <w:rPr>
          <w:rFonts w:ascii="Book Antiqua" w:hAnsi="Book Antiqua"/>
          <w:b/>
        </w:rPr>
      </w:pPr>
    </w:p>
    <w:p w14:paraId="7C941B95" w14:textId="77777777" w:rsidR="00FD2B14" w:rsidRDefault="00FD2B14" w:rsidP="00410C1A">
      <w:pPr>
        <w:spacing w:after="0"/>
        <w:jc w:val="center"/>
        <w:rPr>
          <w:rFonts w:ascii="Book Antiqua" w:hAnsi="Book Antiqua"/>
          <w:b/>
          <w:sz w:val="26"/>
          <w:szCs w:val="26"/>
        </w:rPr>
      </w:pPr>
      <w:r w:rsidRPr="00EA0DC2">
        <w:rPr>
          <w:rFonts w:ascii="Book Antiqua" w:hAnsi="Book Antiqua"/>
          <w:b/>
          <w:sz w:val="26"/>
          <w:szCs w:val="26"/>
        </w:rPr>
        <w:t>Alternative Ways of Managing Waste on Campuses</w:t>
      </w:r>
    </w:p>
    <w:p w14:paraId="58F30ECD" w14:textId="77777777" w:rsidR="009F0117" w:rsidRPr="00EA0DC2" w:rsidRDefault="009F0117" w:rsidP="00410C1A">
      <w:pPr>
        <w:spacing w:after="0"/>
        <w:jc w:val="center"/>
        <w:rPr>
          <w:rFonts w:ascii="Book Antiqua" w:hAnsi="Book Antiqua"/>
          <w:b/>
          <w:sz w:val="26"/>
          <w:szCs w:val="26"/>
        </w:rPr>
      </w:pPr>
    </w:p>
    <w:p w14:paraId="7F8BA90F" w14:textId="77777777" w:rsidR="00FD2B14" w:rsidRPr="00F17E06" w:rsidRDefault="004D0D43" w:rsidP="00410C1A">
      <w:pPr>
        <w:spacing w:after="0"/>
        <w:jc w:val="center"/>
        <w:rPr>
          <w:rFonts w:ascii="Book Antiqua" w:hAnsi="Book Antiqua"/>
          <w:b/>
        </w:rPr>
      </w:pPr>
      <w:r w:rsidRPr="00F17E06">
        <w:rPr>
          <w:rFonts w:ascii="Book Antiqua" w:hAnsi="Book Antiqua"/>
          <w:b/>
        </w:rPr>
        <w:t xml:space="preserve"> Nyavor-Akporyo A. B; Mensah E.; Nyame T V</w:t>
      </w:r>
      <w:r w:rsidR="003F739D" w:rsidRPr="00F17E06">
        <w:rPr>
          <w:rFonts w:ascii="Book Antiqua" w:hAnsi="Book Antiqua"/>
          <w:b/>
        </w:rPr>
        <w:t>; Achio S</w:t>
      </w:r>
      <w:r w:rsidR="00914E8F" w:rsidRPr="00F17E06">
        <w:rPr>
          <w:rFonts w:ascii="Book Antiqua" w:hAnsi="Book Antiqua"/>
          <w:b/>
        </w:rPr>
        <w:t xml:space="preserve">, </w:t>
      </w:r>
      <w:r w:rsidR="003F739D" w:rsidRPr="00F17E06">
        <w:rPr>
          <w:rFonts w:ascii="Book Antiqua" w:hAnsi="Book Antiqua"/>
          <w:b/>
        </w:rPr>
        <w:t>Appiah G L</w:t>
      </w:r>
      <w:r w:rsidR="00BA7C71">
        <w:rPr>
          <w:rFonts w:ascii="Book Antiqua" w:hAnsi="Book Antiqua"/>
          <w:b/>
        </w:rPr>
        <w:t>.</w:t>
      </w:r>
      <w:r w:rsidR="00FD2B14" w:rsidRPr="00F17E06">
        <w:rPr>
          <w:rFonts w:ascii="Book Antiqua" w:hAnsi="Book Antiqua"/>
          <w:b/>
        </w:rPr>
        <w:t xml:space="preserve"> </w:t>
      </w:r>
      <w:r w:rsidR="00BA7C71">
        <w:rPr>
          <w:rFonts w:ascii="Book Antiqua" w:hAnsi="Book Antiqua"/>
          <w:b/>
        </w:rPr>
        <w:t>&amp;</w:t>
      </w:r>
      <w:r w:rsidR="00E10ABB">
        <w:rPr>
          <w:rFonts w:ascii="Book Antiqua" w:hAnsi="Book Antiqua"/>
          <w:b/>
        </w:rPr>
        <w:t xml:space="preserve"> </w:t>
      </w:r>
      <w:r w:rsidR="00FD2B14" w:rsidRPr="00F17E06">
        <w:rPr>
          <w:rFonts w:ascii="Book Antiqua" w:hAnsi="Book Antiqua"/>
          <w:b/>
        </w:rPr>
        <w:t>Kutsanedzie F</w:t>
      </w:r>
    </w:p>
    <w:p w14:paraId="2BE19571" w14:textId="77777777" w:rsidR="00FD2B14" w:rsidRPr="00E3232D" w:rsidRDefault="00FD2B14" w:rsidP="00410C1A">
      <w:pPr>
        <w:spacing w:after="0"/>
        <w:jc w:val="center"/>
        <w:rPr>
          <w:rFonts w:ascii="Book Antiqua" w:hAnsi="Book Antiqua"/>
        </w:rPr>
      </w:pPr>
      <w:r w:rsidRPr="00E3232D">
        <w:rPr>
          <w:rFonts w:ascii="Book Antiqua" w:hAnsi="Book Antiqua"/>
        </w:rPr>
        <w:t>Department of Fashion, Accra Polytechnic, P.O. Box GP 561, Accra Ghana.</w:t>
      </w:r>
    </w:p>
    <w:p w14:paraId="082EE699" w14:textId="77777777" w:rsidR="00FD2B14" w:rsidRPr="00E3232D" w:rsidRDefault="00FD2B14" w:rsidP="008275E1">
      <w:pPr>
        <w:jc w:val="center"/>
        <w:rPr>
          <w:rFonts w:ascii="Book Antiqua" w:hAnsi="Book Antiqua"/>
        </w:rPr>
      </w:pPr>
      <w:r w:rsidRPr="00EA0DC2">
        <w:rPr>
          <w:rFonts w:ascii="Book Antiqua" w:hAnsi="Book Antiqua"/>
          <w:b/>
        </w:rPr>
        <w:t>E-mail</w:t>
      </w:r>
      <w:r w:rsidRPr="00E3232D">
        <w:rPr>
          <w:rFonts w:ascii="Book Antiqua" w:hAnsi="Book Antiqua"/>
        </w:rPr>
        <w:t>: research@apoly.edu.gh</w:t>
      </w:r>
    </w:p>
    <w:p w14:paraId="0A512732" w14:textId="77777777" w:rsidR="00FD2B14" w:rsidRPr="00E3232D" w:rsidRDefault="00FD2B14" w:rsidP="008275E1">
      <w:pPr>
        <w:rPr>
          <w:rFonts w:ascii="Book Antiqua" w:hAnsi="Book Antiqua"/>
        </w:rPr>
      </w:pPr>
    </w:p>
    <w:p w14:paraId="665951B3" w14:textId="77777777" w:rsidR="00FD2B14" w:rsidRPr="00E3232D" w:rsidRDefault="00FD2B14" w:rsidP="001C1981">
      <w:pPr>
        <w:jc w:val="both"/>
        <w:rPr>
          <w:rFonts w:ascii="Book Antiqua" w:hAnsi="Book Antiqua"/>
          <w:b/>
        </w:rPr>
      </w:pPr>
      <w:r w:rsidRPr="00751699">
        <w:rPr>
          <w:rFonts w:ascii="Book Antiqua" w:hAnsi="Book Antiqua"/>
          <w:b/>
          <w:sz w:val="26"/>
        </w:rPr>
        <w:t>Abstract</w:t>
      </w:r>
    </w:p>
    <w:p w14:paraId="0BA02423" w14:textId="77777777" w:rsidR="00FD2B14" w:rsidRPr="00E3232D" w:rsidRDefault="00FD2B14" w:rsidP="001C1981">
      <w:pPr>
        <w:pStyle w:val="NoSpacing"/>
        <w:spacing w:line="276" w:lineRule="auto"/>
        <w:jc w:val="both"/>
        <w:rPr>
          <w:rFonts w:ascii="Book Antiqua" w:hAnsi="Book Antiqua"/>
        </w:rPr>
      </w:pPr>
      <w:r w:rsidRPr="00E3232D">
        <w:rPr>
          <w:rFonts w:ascii="Book Antiqua" w:hAnsi="Book Antiqua"/>
        </w:rPr>
        <w:t>Plastic waste in</w:t>
      </w:r>
      <w:r w:rsidRPr="00E3232D">
        <w:rPr>
          <w:rFonts w:ascii="Book Antiqua" w:hAnsi="Book Antiqua"/>
          <w:lang w:val="en-GB"/>
        </w:rPr>
        <w:t xml:space="preserve"> developing countries </w:t>
      </w:r>
      <w:r w:rsidRPr="00E3232D">
        <w:rPr>
          <w:rFonts w:ascii="Book Antiqua" w:hAnsi="Book Antiqua"/>
        </w:rPr>
        <w:t xml:space="preserve">has become problematic. Plastic </w:t>
      </w:r>
      <w:r w:rsidRPr="00E3232D">
        <w:rPr>
          <w:rFonts w:ascii="Book Antiqua" w:hAnsi="Book Antiqua"/>
          <w:strike/>
        </w:rPr>
        <w:t>bag</w:t>
      </w:r>
      <w:r w:rsidRPr="00E3232D">
        <w:rPr>
          <w:rFonts w:ascii="Book Antiqua" w:hAnsi="Book Antiqua"/>
        </w:rPr>
        <w:t xml:space="preserve"> waste has already become a serious environmental dilemma in Ghana in general and Accra in particular. Concerns have been expressed from many stakeholders including the past and present presidents of Ghana, organizations, environmental NGOs and public at large. This study is aimed at finding out how plastic waste can be recycled into reusable articles. Data for the study was collected using well-structured questionnaire. A sample size of hundred students from the University of Ghana Legon, University of Professional Studies, Accra Polytechnic, and University of Ghana - Accra City Campus were selected using simple random sampling technique for study. The results from the data collected revealed the possibility of using plastic waste to make useful products for reuse. Waste items-sachets of Milo, yoghurt and pure water were collected from the campuses of the academic tertiary institutions involved in the study and subsequently used in designing and developing items such student bags, dressing, shopping bags, and umbrellas as a creative and innovative antidote for waste management on campuses.</w:t>
      </w:r>
    </w:p>
    <w:p w14:paraId="1996F99B" w14:textId="77777777" w:rsidR="00FD2B14" w:rsidRPr="00E3232D" w:rsidRDefault="00FD2B14" w:rsidP="008275E1">
      <w:pPr>
        <w:pStyle w:val="NoSpacing"/>
        <w:spacing w:line="276" w:lineRule="auto"/>
        <w:rPr>
          <w:rFonts w:ascii="Book Antiqua" w:hAnsi="Book Antiqua"/>
        </w:rPr>
      </w:pPr>
    </w:p>
    <w:p w14:paraId="4FF26D33" w14:textId="77777777" w:rsidR="00FD2B14" w:rsidRPr="00E3232D" w:rsidRDefault="00FD2B14" w:rsidP="008275E1">
      <w:pPr>
        <w:pStyle w:val="NoSpacing"/>
        <w:spacing w:line="276" w:lineRule="auto"/>
        <w:rPr>
          <w:rFonts w:ascii="Book Antiqua" w:hAnsi="Book Antiqua"/>
        </w:rPr>
      </w:pPr>
      <w:r w:rsidRPr="00751699">
        <w:rPr>
          <w:rFonts w:ascii="Book Antiqua" w:hAnsi="Book Antiqua"/>
          <w:b/>
          <w:sz w:val="26"/>
        </w:rPr>
        <w:t>Keywords</w:t>
      </w:r>
      <w:r w:rsidRPr="00E3232D">
        <w:rPr>
          <w:rFonts w:ascii="Book Antiqua" w:hAnsi="Book Antiqua"/>
        </w:rPr>
        <w:t>: Sachets; waste; plastic; environment; campuses.</w:t>
      </w:r>
    </w:p>
    <w:p w14:paraId="225418B8" w14:textId="77777777" w:rsidR="00FD2B14" w:rsidRPr="00E3232D" w:rsidRDefault="00FD2B14" w:rsidP="008275E1">
      <w:pPr>
        <w:rPr>
          <w:rFonts w:ascii="Book Antiqua" w:hAnsi="Book Antiqua"/>
        </w:rPr>
      </w:pPr>
    </w:p>
    <w:p w14:paraId="0F45007F" w14:textId="77777777" w:rsidR="005F27C0" w:rsidRPr="00E3232D" w:rsidRDefault="005F27C0" w:rsidP="008D4E9B">
      <w:pPr>
        <w:jc w:val="both"/>
        <w:rPr>
          <w:rFonts w:ascii="Book Antiqua" w:hAnsi="Book Antiqua"/>
        </w:rPr>
        <w:sectPr w:rsidR="005F27C0" w:rsidRPr="00E3232D" w:rsidSect="008F6BC9">
          <w:type w:val="continuous"/>
          <w:pgSz w:w="11907" w:h="16839" w:code="9"/>
          <w:pgMar w:top="1350" w:right="1440" w:bottom="1440" w:left="1440" w:header="720" w:footer="720" w:gutter="0"/>
          <w:cols w:space="720"/>
          <w:docGrid w:linePitch="360"/>
        </w:sectPr>
      </w:pPr>
    </w:p>
    <w:p w14:paraId="6530BDB5" w14:textId="77777777" w:rsidR="008D4E9B" w:rsidRPr="004731AD" w:rsidRDefault="008D4E9B" w:rsidP="008D4E9B">
      <w:pPr>
        <w:jc w:val="both"/>
        <w:rPr>
          <w:rFonts w:ascii="Book Antiqua" w:hAnsi="Book Antiqua"/>
          <w:b/>
        </w:rPr>
      </w:pPr>
      <w:r w:rsidRPr="004731AD">
        <w:rPr>
          <w:rFonts w:ascii="Book Antiqua" w:hAnsi="Book Antiqua"/>
          <w:b/>
        </w:rPr>
        <w:t>1.</w:t>
      </w:r>
      <w:r w:rsidR="00E10ABB">
        <w:rPr>
          <w:rFonts w:ascii="Book Antiqua" w:hAnsi="Book Antiqua"/>
          <w:b/>
        </w:rPr>
        <w:t>0</w:t>
      </w:r>
      <w:r w:rsidRPr="004731AD">
        <w:rPr>
          <w:rFonts w:ascii="Book Antiqua" w:hAnsi="Book Antiqua"/>
          <w:b/>
        </w:rPr>
        <w:t xml:space="preserve"> </w:t>
      </w:r>
      <w:r w:rsidRPr="00751699">
        <w:rPr>
          <w:rFonts w:ascii="Book Antiqua" w:hAnsi="Book Antiqua"/>
          <w:b/>
          <w:sz w:val="26"/>
        </w:rPr>
        <w:t>Introduction</w:t>
      </w:r>
    </w:p>
    <w:p w14:paraId="19EAC417"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 xml:space="preserve">Sustainable solid waste management is a crucial problem not only for developing countries but for the developed countries as well. Enormous amount of waste is generated through-out the world and the most crucially posed question is how to manage these wastes effectively and efficiently to save the environment and the continuous existence of mankind. Many municipalities, cities, and towns continue to grapple with the problem of </w:t>
      </w:r>
      <w:r w:rsidRPr="004731AD">
        <w:rPr>
          <w:rFonts w:ascii="Book Antiqua" w:hAnsi="Book Antiqua"/>
        </w:rPr>
        <w:t>solid waste management and the Municipality of Accra, is no exception (Amankwah, 2005).</w:t>
      </w:r>
    </w:p>
    <w:p w14:paraId="5E715915"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 xml:space="preserve">The organic component of solid waste may not be too much of a problem since that is biodegradable. However, the plastic waste component of the solid waste is quite problematic because this is non-biodegradable and therefore can stay in the environment for a considerable length of time causing all sorts of health and environmental problems The management of plastic waste through </w:t>
      </w:r>
      <w:r w:rsidRPr="004731AD">
        <w:rPr>
          <w:rFonts w:ascii="Book Antiqua" w:hAnsi="Book Antiqua"/>
        </w:rPr>
        <w:lastRenderedPageBreak/>
        <w:t>combustion (incineration) is not environmentally friendly and sustainable since this may release carbon dioxide,(NO</w:t>
      </w:r>
      <w:r w:rsidRPr="004731AD">
        <w:rPr>
          <w:rFonts w:ascii="Book Antiqua" w:hAnsi="Book Antiqua"/>
          <w:vertAlign w:val="subscript"/>
        </w:rPr>
        <w:t>x</w:t>
      </w:r>
      <w:r w:rsidRPr="004731AD">
        <w:rPr>
          <w:rFonts w:ascii="Book Antiqua" w:hAnsi="Book Antiqua"/>
        </w:rPr>
        <w:t xml:space="preserve"> and Dioxins) a major contributor to global warming (greenhouse effect). Land filling with plastic waste is not also desirable since plastic is non-degradable and no economic value would have been derived from the waste in that case. The best option for sustainable plastic waste management is through recycling (Ziadat and Mott, 2005). This is because the benefits of recycling of plastic waste are numerous and also environmentally friendly compared to the other methods of waste disposal.</w:t>
      </w:r>
    </w:p>
    <w:p w14:paraId="3D735358"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Through recycling, waste can be use as materials for other product instead of regarding it as garbage or trash. According to a study conducted in Accra by GOPA Consultants in 1983, plastic waste accounts for 1-5% (of net weight) of the total amount of waste generated (Lardinois and Van de Klundert, 1995). Since then, there has been a tremendous increase in plastic waste particularly sachet water bags due to increase urbanization and consumption pattern.</w:t>
      </w:r>
    </w:p>
    <w:p w14:paraId="0C513335"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 xml:space="preserve">In Ghana, drinking water comes in plastic bags and bottles. The public have developed a strong taste for such sachet water since it is portable and can easily be carried from one place to another. There is also a perception that such sachet water is cleaner and more mineralized than tap water. After gulping down the liquid content, these bags are discarded indiscriminately thereby littering the whole environment (Boadi and Kuitunen, 2003). These bags now constitute a major proportion of the plastic waste generated </w:t>
      </w:r>
      <w:r w:rsidRPr="004731AD">
        <w:rPr>
          <w:rFonts w:ascii="Book Antiqua" w:hAnsi="Book Antiqua"/>
        </w:rPr>
        <w:t xml:space="preserve">throughout the country. Over the years, plastics have replaced leaves, glass and metals as a cheaper and more efficient means of packaging (IRIN, 2006). Soon after usage, these are randomly discarded. </w:t>
      </w:r>
    </w:p>
    <w:p w14:paraId="222642BC" w14:textId="77777777" w:rsidR="008D4E9B" w:rsidRPr="004731AD" w:rsidRDefault="008D4E9B" w:rsidP="008D4E9B">
      <w:pPr>
        <w:jc w:val="both"/>
        <w:rPr>
          <w:rFonts w:ascii="Book Antiqua" w:eastAsia="Calibri" w:hAnsi="Book Antiqua"/>
        </w:rPr>
      </w:pPr>
      <w:r w:rsidRPr="004731AD">
        <w:rPr>
          <w:rFonts w:ascii="Book Antiqua" w:hAnsi="Book Antiqua"/>
        </w:rPr>
        <w:t xml:space="preserve">Recent rapid expansion in the human communities on campuses in Ghana has resulted in increased plastic waste generation.. </w:t>
      </w:r>
    </w:p>
    <w:p w14:paraId="30DAEEE7" w14:textId="77777777" w:rsidR="008D4E9B" w:rsidRPr="004731AD" w:rsidRDefault="008D4E9B" w:rsidP="008D4E9B">
      <w:pPr>
        <w:pStyle w:val="NormalWeb"/>
        <w:spacing w:line="276" w:lineRule="auto"/>
        <w:jc w:val="both"/>
        <w:rPr>
          <w:rStyle w:val="Strong"/>
          <w:rFonts w:ascii="Book Antiqua" w:hAnsi="Book Antiqua"/>
          <w:sz w:val="22"/>
          <w:szCs w:val="22"/>
        </w:rPr>
      </w:pPr>
      <w:r w:rsidRPr="004731AD">
        <w:rPr>
          <w:rStyle w:val="Strong"/>
          <w:rFonts w:ascii="Book Antiqua" w:hAnsi="Book Antiqua"/>
          <w:sz w:val="22"/>
          <w:szCs w:val="22"/>
        </w:rPr>
        <w:t xml:space="preserve">Government and Private Partnership </w:t>
      </w:r>
    </w:p>
    <w:p w14:paraId="5A0BEE21" w14:textId="77777777" w:rsidR="008D4E9B" w:rsidRPr="004731AD" w:rsidRDefault="008D4E9B" w:rsidP="008D4E9B">
      <w:pPr>
        <w:pStyle w:val="NormalWeb"/>
        <w:spacing w:line="276" w:lineRule="auto"/>
        <w:jc w:val="both"/>
        <w:rPr>
          <w:rFonts w:ascii="Book Antiqua" w:hAnsi="Book Antiqua"/>
          <w:sz w:val="22"/>
          <w:szCs w:val="22"/>
        </w:rPr>
      </w:pPr>
      <w:r w:rsidRPr="004731AD">
        <w:rPr>
          <w:rStyle w:val="Strong"/>
          <w:rFonts w:ascii="Book Antiqua" w:hAnsi="Book Antiqua"/>
          <w:sz w:val="22"/>
          <w:szCs w:val="22"/>
        </w:rPr>
        <w:t xml:space="preserve">The Government of Ghana has partnered with various recycling companies such as Zoomlion Ghana Limited, </w:t>
      </w:r>
      <w:r w:rsidRPr="004731AD">
        <w:rPr>
          <w:rFonts w:ascii="Book Antiqua" w:hAnsi="Book Antiqua"/>
          <w:sz w:val="22"/>
          <w:szCs w:val="22"/>
        </w:rPr>
        <w:t>Blowplast</w:t>
      </w:r>
      <w:r w:rsidRPr="004731AD">
        <w:rPr>
          <w:rFonts w:ascii="Book Antiqua" w:hAnsi="Book Antiqua"/>
          <w:b/>
          <w:sz w:val="22"/>
          <w:szCs w:val="22"/>
        </w:rPr>
        <w:t xml:space="preserve"> </w:t>
      </w:r>
      <w:r w:rsidRPr="004731AD">
        <w:rPr>
          <w:rFonts w:ascii="Book Antiqua" w:hAnsi="Book Antiqua"/>
          <w:sz w:val="22"/>
          <w:szCs w:val="22"/>
        </w:rPr>
        <w:t xml:space="preserve">and </w:t>
      </w:r>
      <w:r w:rsidRPr="004731AD">
        <w:rPr>
          <w:rStyle w:val="Strong"/>
          <w:rFonts w:ascii="Book Antiqua" w:hAnsi="Book Antiqua"/>
          <w:sz w:val="22"/>
          <w:szCs w:val="22"/>
        </w:rPr>
        <w:t>Jospong Group of Companies to</w:t>
      </w:r>
      <w:r w:rsidRPr="004731AD">
        <w:rPr>
          <w:rFonts w:ascii="Book Antiqua" w:hAnsi="Book Antiqua"/>
          <w:sz w:val="22"/>
          <w:szCs w:val="22"/>
        </w:rPr>
        <w:t xml:space="preserve"> collect, sort, process and recycle solid and liquid waste. This is to be used in the production of organic manure, rubber sandals and polythene bags. The Accra Compost and Recycling Plant have also been established to address the problem of plastic and solid waste.  Apart from sharing its knowledge, technical and scientific experience in the field of waste management, the Accra Compost and Recycling Plant serves as the focal point for training and research in the provision of effective waste processing and recycling.</w:t>
      </w:r>
    </w:p>
    <w:p w14:paraId="16BB5C81" w14:textId="77777777" w:rsidR="008D4E9B" w:rsidRPr="004731AD" w:rsidRDefault="008D4E9B" w:rsidP="008D4E9B">
      <w:pPr>
        <w:jc w:val="both"/>
        <w:rPr>
          <w:rFonts w:ascii="Book Antiqua" w:hAnsi="Book Antiqua"/>
        </w:rPr>
      </w:pPr>
      <w:r w:rsidRPr="004731AD">
        <w:rPr>
          <w:rFonts w:ascii="Book Antiqua" w:hAnsi="Book Antiqua"/>
        </w:rPr>
        <w:t>It is very important to have a good and effective plastic waste management technique.</w:t>
      </w:r>
    </w:p>
    <w:p w14:paraId="2CD885A6"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 xml:space="preserve">It is therefore an important step to analyze the types of plastic waste produced by students on campuses in Ghana and how some of these plastic waste can be recycled into reusable articles in order to help decrease the quantity of plastic waste on campuses and to apply the results toward further recycling opportunities. </w:t>
      </w:r>
    </w:p>
    <w:p w14:paraId="098C0168" w14:textId="77777777" w:rsidR="00E10ABB" w:rsidRDefault="00E10ABB" w:rsidP="008D4E9B">
      <w:pPr>
        <w:pStyle w:val="NoSpacing"/>
        <w:spacing w:line="276" w:lineRule="auto"/>
        <w:jc w:val="both"/>
        <w:rPr>
          <w:rFonts w:ascii="Book Antiqua" w:hAnsi="Book Antiqua"/>
          <w:b/>
        </w:rPr>
      </w:pPr>
    </w:p>
    <w:p w14:paraId="5B1EACED"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b/>
        </w:rPr>
        <w:lastRenderedPageBreak/>
        <w:t>1.1 Purpose of the study</w:t>
      </w:r>
    </w:p>
    <w:p w14:paraId="42DCD823"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The study was conducted in two phases. Phase 1 was a survey of students. The purpose was to find out students’ opinion about the types and ways of handling the plastic waste produced on campuses of academic tertiary institutions. Phase 2 was recycling of plastic waste into usable articles. The purpose was to make useful products by using some of the plastic waste identified in phase 1 of the study.</w:t>
      </w:r>
    </w:p>
    <w:p w14:paraId="2D5CA0F7" w14:textId="77777777" w:rsidR="00751699" w:rsidRDefault="00751699" w:rsidP="008D4E9B">
      <w:pPr>
        <w:pStyle w:val="NoSpacing"/>
        <w:spacing w:line="276" w:lineRule="auto"/>
        <w:jc w:val="both"/>
        <w:rPr>
          <w:rFonts w:ascii="Book Antiqua" w:hAnsi="Book Antiqua"/>
          <w:b/>
        </w:rPr>
      </w:pPr>
    </w:p>
    <w:p w14:paraId="5597ECEF" w14:textId="77777777" w:rsidR="008D4E9B" w:rsidRPr="004731AD" w:rsidRDefault="008D4E9B" w:rsidP="008D4E9B">
      <w:pPr>
        <w:pStyle w:val="NoSpacing"/>
        <w:spacing w:line="276" w:lineRule="auto"/>
        <w:jc w:val="both"/>
        <w:rPr>
          <w:rFonts w:ascii="Book Antiqua" w:hAnsi="Book Antiqua"/>
          <w:b/>
        </w:rPr>
      </w:pPr>
      <w:r w:rsidRPr="004731AD">
        <w:rPr>
          <w:rFonts w:ascii="Book Antiqua" w:hAnsi="Book Antiqua"/>
          <w:b/>
        </w:rPr>
        <w:t>1.2 Research questions</w:t>
      </w:r>
    </w:p>
    <w:p w14:paraId="4069786C"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The phase 1 of the study was aimed at investigating the opinion of the students about plastic waste produced on campuses with an emphasis on the following research questions:</w:t>
      </w:r>
    </w:p>
    <w:p w14:paraId="293D9AC8" w14:textId="77777777" w:rsidR="008D4E9B" w:rsidRPr="004731AD" w:rsidRDefault="008D4E9B" w:rsidP="008D4E9B">
      <w:pPr>
        <w:pStyle w:val="NoSpacing"/>
        <w:spacing w:line="276" w:lineRule="auto"/>
        <w:ind w:left="630" w:hanging="630"/>
        <w:jc w:val="both"/>
        <w:rPr>
          <w:rFonts w:ascii="Book Antiqua" w:hAnsi="Book Antiqua"/>
        </w:rPr>
      </w:pPr>
      <w:r w:rsidRPr="004731AD">
        <w:rPr>
          <w:rFonts w:ascii="Book Antiqua" w:hAnsi="Book Antiqua"/>
          <w:i/>
        </w:rPr>
        <w:t>RQ1.</w:t>
      </w:r>
      <w:r w:rsidRPr="004731AD">
        <w:rPr>
          <w:rFonts w:ascii="Book Antiqua" w:hAnsi="Book Antiqua"/>
        </w:rPr>
        <w:t xml:space="preserve"> What are the students’ opinions about the types of plastic waste produced on campuses of academic tertiary institutions?</w:t>
      </w:r>
    </w:p>
    <w:p w14:paraId="3B67B270" w14:textId="77777777" w:rsidR="008D4E9B" w:rsidRPr="004731AD" w:rsidRDefault="008D4E9B" w:rsidP="008D4E9B">
      <w:pPr>
        <w:pStyle w:val="NoSpacing"/>
        <w:spacing w:line="276" w:lineRule="auto"/>
        <w:ind w:left="630" w:hanging="630"/>
        <w:jc w:val="both"/>
        <w:rPr>
          <w:rFonts w:ascii="Book Antiqua" w:hAnsi="Book Antiqua"/>
        </w:rPr>
      </w:pPr>
      <w:r w:rsidRPr="004731AD">
        <w:rPr>
          <w:rFonts w:ascii="Book Antiqua" w:hAnsi="Book Antiqua"/>
          <w:i/>
        </w:rPr>
        <w:t>RQ2.</w:t>
      </w:r>
      <w:r w:rsidRPr="004731AD">
        <w:rPr>
          <w:rFonts w:ascii="Book Antiqua" w:hAnsi="Book Antiqua"/>
        </w:rPr>
        <w:t xml:space="preserve"> What are the students’ opinions about ways of handling the plastic waste produced on campuses of academic tertiary institutions?</w:t>
      </w:r>
    </w:p>
    <w:p w14:paraId="14354CFB" w14:textId="77777777" w:rsidR="008D4E9B" w:rsidRPr="004731AD" w:rsidRDefault="008D4E9B" w:rsidP="008D4E9B">
      <w:pPr>
        <w:pStyle w:val="NoSpacing"/>
        <w:spacing w:line="276" w:lineRule="auto"/>
        <w:ind w:left="630" w:hanging="630"/>
        <w:jc w:val="both"/>
        <w:rPr>
          <w:rFonts w:ascii="Book Antiqua" w:hAnsi="Book Antiqua"/>
        </w:rPr>
      </w:pPr>
    </w:p>
    <w:p w14:paraId="5BD6E7F0" w14:textId="77777777" w:rsidR="008D4E9B" w:rsidRDefault="008D4E9B" w:rsidP="008D4E9B">
      <w:pPr>
        <w:pStyle w:val="NoSpacing"/>
        <w:spacing w:line="276" w:lineRule="auto"/>
        <w:ind w:left="630" w:hanging="630"/>
        <w:jc w:val="both"/>
        <w:rPr>
          <w:rFonts w:ascii="Book Antiqua" w:hAnsi="Book Antiqua"/>
          <w:b/>
        </w:rPr>
      </w:pPr>
      <w:r w:rsidRPr="004731AD">
        <w:rPr>
          <w:rFonts w:ascii="Book Antiqua" w:hAnsi="Book Antiqua"/>
          <w:b/>
        </w:rPr>
        <w:t>2.</w:t>
      </w:r>
      <w:r w:rsidR="00E10ABB">
        <w:rPr>
          <w:rFonts w:ascii="Book Antiqua" w:hAnsi="Book Antiqua"/>
          <w:b/>
        </w:rPr>
        <w:t>0</w:t>
      </w:r>
      <w:r w:rsidRPr="004731AD">
        <w:rPr>
          <w:rFonts w:ascii="Book Antiqua" w:hAnsi="Book Antiqua"/>
          <w:b/>
        </w:rPr>
        <w:t xml:space="preserve"> </w:t>
      </w:r>
      <w:r w:rsidRPr="00751699">
        <w:rPr>
          <w:rFonts w:ascii="Book Antiqua" w:hAnsi="Book Antiqua"/>
          <w:b/>
          <w:sz w:val="26"/>
        </w:rPr>
        <w:t>Methodology</w:t>
      </w:r>
    </w:p>
    <w:p w14:paraId="5E8CC936" w14:textId="77777777" w:rsidR="00751699" w:rsidRPr="004731AD" w:rsidRDefault="00751699" w:rsidP="008D4E9B">
      <w:pPr>
        <w:pStyle w:val="NoSpacing"/>
        <w:spacing w:line="276" w:lineRule="auto"/>
        <w:ind w:left="630" w:hanging="630"/>
        <w:jc w:val="both"/>
        <w:rPr>
          <w:rFonts w:ascii="Book Antiqua" w:hAnsi="Book Antiqua"/>
          <w:b/>
        </w:rPr>
      </w:pPr>
    </w:p>
    <w:p w14:paraId="5A101374" w14:textId="77777777" w:rsidR="008D4E9B" w:rsidRPr="004731AD" w:rsidRDefault="008D4E9B" w:rsidP="008D4E9B">
      <w:pPr>
        <w:pStyle w:val="NoSpacing"/>
        <w:spacing w:line="276" w:lineRule="auto"/>
        <w:ind w:left="630" w:hanging="630"/>
        <w:jc w:val="both"/>
        <w:rPr>
          <w:rFonts w:ascii="Book Antiqua" w:hAnsi="Book Antiqua"/>
          <w:b/>
        </w:rPr>
      </w:pPr>
      <w:r w:rsidRPr="004731AD">
        <w:rPr>
          <w:rFonts w:ascii="Book Antiqua" w:hAnsi="Book Antiqua"/>
          <w:b/>
        </w:rPr>
        <w:t>2.1 Sample of the study</w:t>
      </w:r>
    </w:p>
    <w:p w14:paraId="35C72621"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 xml:space="preserve">The study was conducted at four tertiary academic institutions in Accra. These include the University of Ghana Legon, Institute of Professional Studies, Accra Polytechnic, and University of Ghana - Accra City Campus. The population of the study consisted of the students from the Department of Linguistics at the University of Ghana, Department of Business Administration at the University of Professional Studies and the students from the Department of Fashion and </w:t>
      </w:r>
      <w:r w:rsidRPr="004731AD">
        <w:rPr>
          <w:rFonts w:ascii="Book Antiqua" w:hAnsi="Book Antiqua"/>
        </w:rPr>
        <w:t xml:space="preserve">Textiles at Accra Polytechnic. Cluster sampling was employed by grouping the academic institutions into four main clusters. A proportionate sample of 30 students allocated to each cluster, were selected for the study using simple random sampling technique. In total, a sample of 120 students was selected for the study.  </w:t>
      </w:r>
    </w:p>
    <w:p w14:paraId="340E836D" w14:textId="77777777" w:rsidR="008D4E9B" w:rsidRPr="004731AD" w:rsidRDefault="008D4E9B" w:rsidP="008D4E9B">
      <w:pPr>
        <w:pStyle w:val="NoSpacing"/>
        <w:spacing w:line="276" w:lineRule="auto"/>
        <w:jc w:val="both"/>
        <w:rPr>
          <w:rFonts w:ascii="Book Antiqua" w:hAnsi="Book Antiqua"/>
        </w:rPr>
      </w:pPr>
    </w:p>
    <w:p w14:paraId="2BD4B25C" w14:textId="77777777" w:rsidR="008D4E9B" w:rsidRPr="004731AD" w:rsidRDefault="008D4E9B" w:rsidP="008D4E9B">
      <w:pPr>
        <w:pStyle w:val="NoSpacing"/>
        <w:spacing w:line="276" w:lineRule="auto"/>
        <w:jc w:val="both"/>
        <w:rPr>
          <w:rFonts w:ascii="Book Antiqua" w:hAnsi="Book Antiqua"/>
          <w:b/>
        </w:rPr>
      </w:pPr>
      <w:r w:rsidRPr="004731AD">
        <w:rPr>
          <w:rFonts w:ascii="Book Antiqua" w:hAnsi="Book Antiqua"/>
          <w:b/>
        </w:rPr>
        <w:t>2.2 Questionnaire</w:t>
      </w:r>
    </w:p>
    <w:p w14:paraId="19CB2B05" w14:textId="77777777" w:rsidR="008D4E9B" w:rsidRPr="004731AD" w:rsidRDefault="008D4E9B" w:rsidP="008D4E9B">
      <w:pPr>
        <w:pStyle w:val="NoSpacing"/>
        <w:spacing w:line="276" w:lineRule="auto"/>
        <w:jc w:val="both"/>
        <w:rPr>
          <w:rFonts w:ascii="Book Antiqua" w:hAnsi="Book Antiqua"/>
        </w:rPr>
      </w:pPr>
    </w:p>
    <w:p w14:paraId="223E301E"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A questionnaire was used to collect data for this study. The method was used because of the advantages it has; it provides more responses than interviews and requires fewer skills to administer (Ndagi, 1999). The use of questionnaires also enables researchers to collect data on people’s knowledge, values, etc. (Obasi, 1999). A total of 120 questionnaires were administered among the students in the campuses of the four tertiary academic institutions in Accra. A total of 100 (83.3 percent) questionnaires were returned and used for the analysis.</w:t>
      </w:r>
    </w:p>
    <w:p w14:paraId="46C8A572"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 xml:space="preserve">   The questionnaire was pilot-tested using ten students who were not included in the actual survey. The questionnaire had the following four sections:</w:t>
      </w:r>
    </w:p>
    <w:p w14:paraId="1A7FE93F" w14:textId="77777777" w:rsidR="008D4E9B" w:rsidRPr="004731AD" w:rsidRDefault="008D4E9B" w:rsidP="008D4E9B">
      <w:pPr>
        <w:pStyle w:val="NoSpacing"/>
        <w:numPr>
          <w:ilvl w:val="0"/>
          <w:numId w:val="18"/>
        </w:numPr>
        <w:spacing w:line="276" w:lineRule="auto"/>
        <w:jc w:val="both"/>
        <w:rPr>
          <w:rFonts w:ascii="Book Antiqua" w:hAnsi="Book Antiqua"/>
          <w:i/>
        </w:rPr>
      </w:pPr>
      <w:r w:rsidRPr="004731AD">
        <w:rPr>
          <w:rFonts w:ascii="Book Antiqua" w:hAnsi="Book Antiqua"/>
          <w:i/>
        </w:rPr>
        <w:t>Personal information</w:t>
      </w:r>
      <w:r w:rsidRPr="004731AD">
        <w:rPr>
          <w:rFonts w:ascii="Book Antiqua" w:hAnsi="Book Antiqua"/>
        </w:rPr>
        <w:t>: this includes questions concerning gender, age, academic institution and level of course</w:t>
      </w:r>
    </w:p>
    <w:p w14:paraId="3823DFC4" w14:textId="77777777" w:rsidR="008D4E9B" w:rsidRPr="004731AD" w:rsidRDefault="008D4E9B" w:rsidP="008D4E9B">
      <w:pPr>
        <w:pStyle w:val="NoSpacing"/>
        <w:numPr>
          <w:ilvl w:val="0"/>
          <w:numId w:val="18"/>
        </w:numPr>
        <w:spacing w:line="276" w:lineRule="auto"/>
        <w:jc w:val="both"/>
        <w:rPr>
          <w:rFonts w:ascii="Book Antiqua" w:hAnsi="Book Antiqua"/>
          <w:i/>
        </w:rPr>
      </w:pPr>
      <w:r w:rsidRPr="004731AD">
        <w:rPr>
          <w:rFonts w:ascii="Book Antiqua" w:hAnsi="Book Antiqua"/>
          <w:i/>
        </w:rPr>
        <w:t>Types of plastic waste produced on campuses</w:t>
      </w:r>
      <w:r w:rsidRPr="004731AD">
        <w:rPr>
          <w:rFonts w:ascii="Book Antiqua" w:hAnsi="Book Antiqua"/>
        </w:rPr>
        <w:t>. The types of questions are: “What are the kinds of plastic waste students normally produce on campus?” and “Where are these plastic waste normally found on campus?”</w:t>
      </w:r>
    </w:p>
    <w:p w14:paraId="534C3FCA" w14:textId="77777777" w:rsidR="008D4E9B" w:rsidRPr="004731AD" w:rsidRDefault="008D4E9B" w:rsidP="008D4E9B">
      <w:pPr>
        <w:pStyle w:val="NoSpacing"/>
        <w:numPr>
          <w:ilvl w:val="0"/>
          <w:numId w:val="18"/>
        </w:numPr>
        <w:spacing w:line="276" w:lineRule="auto"/>
        <w:jc w:val="both"/>
        <w:rPr>
          <w:rFonts w:ascii="Book Antiqua" w:hAnsi="Book Antiqua"/>
          <w:i/>
        </w:rPr>
      </w:pPr>
      <w:r w:rsidRPr="004731AD">
        <w:rPr>
          <w:rFonts w:ascii="Book Antiqua" w:hAnsi="Book Antiqua"/>
          <w:i/>
        </w:rPr>
        <w:lastRenderedPageBreak/>
        <w:t xml:space="preserve">Ways of handling the plastic waste produced on campuses: </w:t>
      </w:r>
      <w:r w:rsidRPr="004731AD">
        <w:rPr>
          <w:rFonts w:ascii="Book Antiqua" w:hAnsi="Book Antiqua"/>
        </w:rPr>
        <w:t xml:space="preserve">this includes questions concerning knowledge on how the plastic wastes produced are disposed. The question includes: “How are the plastic wastes produced on campus disposed” and “What do you think would be the best way(s) of handling the plastic wastes produced on campus?” </w:t>
      </w:r>
    </w:p>
    <w:p w14:paraId="2F37FD34" w14:textId="77777777" w:rsidR="008D4E9B" w:rsidRPr="004731AD" w:rsidRDefault="008D4E9B" w:rsidP="008D4E9B">
      <w:pPr>
        <w:pStyle w:val="NoSpacing"/>
        <w:spacing w:line="276" w:lineRule="auto"/>
        <w:jc w:val="both"/>
        <w:rPr>
          <w:rFonts w:ascii="Book Antiqua" w:hAnsi="Book Antiqua"/>
        </w:rPr>
      </w:pPr>
    </w:p>
    <w:p w14:paraId="11F97F0C" w14:textId="77777777" w:rsidR="008D4E9B" w:rsidRPr="004731AD" w:rsidRDefault="008D4E9B" w:rsidP="008D4E9B">
      <w:pPr>
        <w:pStyle w:val="NoSpacing"/>
        <w:spacing w:line="276" w:lineRule="auto"/>
        <w:jc w:val="both"/>
        <w:rPr>
          <w:rFonts w:ascii="Book Antiqua" w:hAnsi="Book Antiqua"/>
          <w:b/>
        </w:rPr>
      </w:pPr>
      <w:r w:rsidRPr="004731AD">
        <w:rPr>
          <w:rFonts w:ascii="Book Antiqua" w:hAnsi="Book Antiqua"/>
          <w:b/>
        </w:rPr>
        <w:t>2.3 Data collection procedure</w:t>
      </w:r>
    </w:p>
    <w:p w14:paraId="2B8BA9F4"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 xml:space="preserve">The researcher with the help of research assistants from the Research and Innovation Centre, Accra Polytechnic, administered the questionnaire at the four tertiary academic institutions. The administration and collection of the questionnaire took a period of two weeks. The purpose of the study, potential risks and discomforts, confidentiality and anonymity, and the rights of the participants were explained to the sampled students. </w:t>
      </w:r>
    </w:p>
    <w:p w14:paraId="2803D121" w14:textId="77777777" w:rsidR="008D4E9B" w:rsidRPr="004731AD" w:rsidRDefault="008D4E9B" w:rsidP="008D4E9B">
      <w:pPr>
        <w:pStyle w:val="NoSpacing"/>
        <w:spacing w:line="276" w:lineRule="auto"/>
        <w:jc w:val="both"/>
        <w:rPr>
          <w:rFonts w:ascii="Book Antiqua" w:hAnsi="Book Antiqua"/>
        </w:rPr>
      </w:pPr>
    </w:p>
    <w:p w14:paraId="357AB083" w14:textId="77777777" w:rsidR="008D4E9B" w:rsidRPr="004731AD" w:rsidRDefault="008D4E9B" w:rsidP="008D4E9B">
      <w:pPr>
        <w:pStyle w:val="NoSpacing"/>
        <w:spacing w:line="276" w:lineRule="auto"/>
        <w:jc w:val="both"/>
        <w:rPr>
          <w:rFonts w:ascii="Book Antiqua" w:hAnsi="Book Antiqua"/>
          <w:b/>
        </w:rPr>
      </w:pPr>
      <w:r w:rsidRPr="004731AD">
        <w:rPr>
          <w:rFonts w:ascii="Book Antiqua" w:hAnsi="Book Antiqua"/>
          <w:b/>
        </w:rPr>
        <w:t>2.4 Data analysis</w:t>
      </w:r>
    </w:p>
    <w:p w14:paraId="3ED25D0B"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The data collected was analyzed using both descriptive statistics. The descriptive statistics included frequencies in tables. The SPSS program (SPSS® 17.0, 2008; SPSS Inc.,Wacker Drive, Chicago, USA) was used for data the analyses.</w:t>
      </w:r>
    </w:p>
    <w:p w14:paraId="27484577" w14:textId="77777777" w:rsidR="00751699" w:rsidRDefault="00751699" w:rsidP="008D4E9B">
      <w:pPr>
        <w:jc w:val="both"/>
        <w:rPr>
          <w:rFonts w:ascii="Book Antiqua" w:hAnsi="Book Antiqua"/>
          <w:b/>
        </w:rPr>
      </w:pPr>
    </w:p>
    <w:p w14:paraId="1A9DB13C" w14:textId="77777777" w:rsidR="008D4E9B" w:rsidRPr="004731AD" w:rsidRDefault="008D4E9B" w:rsidP="008D4E9B">
      <w:pPr>
        <w:jc w:val="both"/>
        <w:rPr>
          <w:rFonts w:ascii="Book Antiqua" w:hAnsi="Book Antiqua"/>
          <w:b/>
        </w:rPr>
      </w:pPr>
      <w:r w:rsidRPr="004731AD">
        <w:rPr>
          <w:rFonts w:ascii="Book Antiqua" w:hAnsi="Book Antiqua"/>
          <w:b/>
        </w:rPr>
        <w:t>3.</w:t>
      </w:r>
      <w:r w:rsidR="00E10ABB">
        <w:rPr>
          <w:rFonts w:ascii="Book Antiqua" w:hAnsi="Book Antiqua"/>
          <w:b/>
        </w:rPr>
        <w:t>0</w:t>
      </w:r>
      <w:r w:rsidRPr="004731AD">
        <w:rPr>
          <w:rFonts w:ascii="Book Antiqua" w:hAnsi="Book Antiqua"/>
          <w:b/>
        </w:rPr>
        <w:t xml:space="preserve"> </w:t>
      </w:r>
      <w:r w:rsidRPr="00751699">
        <w:rPr>
          <w:rFonts w:ascii="Book Antiqua" w:hAnsi="Book Antiqua"/>
          <w:b/>
          <w:sz w:val="26"/>
        </w:rPr>
        <w:t>Results</w:t>
      </w:r>
    </w:p>
    <w:p w14:paraId="2EA51DD2" w14:textId="77777777" w:rsidR="008D4E9B" w:rsidRPr="004731AD" w:rsidRDefault="008D4E9B" w:rsidP="008D4E9B">
      <w:pPr>
        <w:jc w:val="both"/>
        <w:rPr>
          <w:rFonts w:ascii="Book Antiqua" w:hAnsi="Book Antiqua"/>
          <w:b/>
        </w:rPr>
      </w:pPr>
      <w:r w:rsidRPr="004731AD">
        <w:rPr>
          <w:rFonts w:ascii="Book Antiqua" w:hAnsi="Book Antiqua"/>
          <w:b/>
        </w:rPr>
        <w:t>3.1 Participants</w:t>
      </w:r>
    </w:p>
    <w:p w14:paraId="0F75BEA9" w14:textId="77777777" w:rsidR="008D4E9B" w:rsidRPr="004731AD" w:rsidRDefault="008D4E9B" w:rsidP="008D4E9B">
      <w:pPr>
        <w:jc w:val="both"/>
        <w:rPr>
          <w:rFonts w:ascii="Book Antiqua" w:hAnsi="Book Antiqua"/>
        </w:rPr>
      </w:pPr>
      <w:r w:rsidRPr="004731AD">
        <w:rPr>
          <w:rFonts w:ascii="Book Antiqua" w:hAnsi="Book Antiqua"/>
        </w:rPr>
        <w:t xml:space="preserve">Of the 100 respondents, 25 percent were from University of Ghana city campus, 25 percent were from the Institute of Professional Studies, 30 percent were from Accra Polytechnic, and 20 percent were </w:t>
      </w:r>
      <w:r w:rsidRPr="004731AD">
        <w:rPr>
          <w:rFonts w:ascii="Book Antiqua" w:hAnsi="Book Antiqua"/>
        </w:rPr>
        <w:t>from the University of Ghana Legon. It was noted that majority of the students (54.0 percent were female (Table 1). Seventy percent of the students were aged 20-25 years, 25.0 percent were aged 26.30 years, while 5.0 percent were aged 31-35 years (Table 2). The study showed that 19.0 percent out of the total population of 100 students used for this study are level 100 students; similarly, 26.0 percent are level 200 students, 20.0 percent are level 300 students, while majority (35.0 percent) are level 400 students.</w:t>
      </w:r>
    </w:p>
    <w:p w14:paraId="332003CE" w14:textId="77777777" w:rsidR="008D4E9B" w:rsidRPr="004731AD" w:rsidRDefault="008D4E9B" w:rsidP="008D4E9B">
      <w:pPr>
        <w:jc w:val="both"/>
        <w:rPr>
          <w:rFonts w:ascii="Book Antiqua" w:hAnsi="Book Antiqua"/>
        </w:rPr>
      </w:pPr>
      <w:r w:rsidRPr="004731AD">
        <w:rPr>
          <w:rFonts w:ascii="Book Antiqua" w:hAnsi="Book Antiqua"/>
          <w:b/>
        </w:rPr>
        <w:t>Table 1.Gender of the students</w:t>
      </w:r>
      <w:r w:rsidRPr="004731AD">
        <w:rPr>
          <w:rFonts w:ascii="Book Antiqua" w:hAnsi="Book Antiqua"/>
        </w:rPr>
        <w:t>.</w:t>
      </w:r>
    </w:p>
    <w:tbl>
      <w:tblPr>
        <w:tblW w:w="4374" w:type="dxa"/>
        <w:tblBorders>
          <w:top w:val="single" w:sz="8" w:space="0" w:color="000000"/>
          <w:bottom w:val="single" w:sz="8" w:space="0" w:color="000000"/>
        </w:tblBorders>
        <w:tblLook w:val="0460" w:firstRow="1" w:lastRow="1" w:firstColumn="0" w:lastColumn="0" w:noHBand="0" w:noVBand="1"/>
      </w:tblPr>
      <w:tblGrid>
        <w:gridCol w:w="1646"/>
        <w:gridCol w:w="1766"/>
        <w:gridCol w:w="962"/>
      </w:tblGrid>
      <w:tr w:rsidR="008D4E9B" w:rsidRPr="0076390A" w14:paraId="1406BE30" w14:textId="77777777" w:rsidTr="0076390A">
        <w:trPr>
          <w:trHeight w:val="477"/>
        </w:trPr>
        <w:tc>
          <w:tcPr>
            <w:tcW w:w="1652" w:type="dxa"/>
            <w:tcBorders>
              <w:top w:val="single" w:sz="8" w:space="0" w:color="000000"/>
              <w:left w:val="nil"/>
              <w:bottom w:val="single" w:sz="8" w:space="0" w:color="000000"/>
              <w:right w:val="nil"/>
            </w:tcBorders>
            <w:shd w:val="clear" w:color="auto" w:fill="auto"/>
          </w:tcPr>
          <w:p w14:paraId="6E3EC854"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Gender</w:t>
            </w:r>
          </w:p>
        </w:tc>
        <w:tc>
          <w:tcPr>
            <w:tcW w:w="1771" w:type="dxa"/>
            <w:tcBorders>
              <w:top w:val="single" w:sz="8" w:space="0" w:color="000000"/>
              <w:left w:val="nil"/>
              <w:bottom w:val="single" w:sz="8" w:space="0" w:color="000000"/>
              <w:right w:val="nil"/>
            </w:tcBorders>
            <w:shd w:val="clear" w:color="auto" w:fill="auto"/>
          </w:tcPr>
          <w:p w14:paraId="79983E31"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Frequency</w:t>
            </w:r>
          </w:p>
        </w:tc>
        <w:tc>
          <w:tcPr>
            <w:tcW w:w="951" w:type="dxa"/>
            <w:tcBorders>
              <w:top w:val="single" w:sz="8" w:space="0" w:color="000000"/>
              <w:left w:val="nil"/>
              <w:bottom w:val="single" w:sz="8" w:space="0" w:color="000000"/>
              <w:right w:val="nil"/>
            </w:tcBorders>
            <w:shd w:val="clear" w:color="auto" w:fill="auto"/>
          </w:tcPr>
          <w:p w14:paraId="6096CB6B"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Percent</w:t>
            </w:r>
          </w:p>
        </w:tc>
      </w:tr>
      <w:tr w:rsidR="008D4E9B" w:rsidRPr="0076390A" w14:paraId="1D4E3E81" w14:textId="77777777" w:rsidTr="0076390A">
        <w:trPr>
          <w:trHeight w:val="491"/>
        </w:trPr>
        <w:tc>
          <w:tcPr>
            <w:tcW w:w="1652" w:type="dxa"/>
            <w:tcBorders>
              <w:left w:val="nil"/>
              <w:right w:val="nil"/>
            </w:tcBorders>
            <w:shd w:val="clear" w:color="auto" w:fill="auto"/>
          </w:tcPr>
          <w:p w14:paraId="61BAE3A5"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Male</w:t>
            </w:r>
          </w:p>
        </w:tc>
        <w:tc>
          <w:tcPr>
            <w:tcW w:w="1771" w:type="dxa"/>
            <w:tcBorders>
              <w:left w:val="nil"/>
              <w:right w:val="nil"/>
            </w:tcBorders>
            <w:shd w:val="clear" w:color="auto" w:fill="auto"/>
          </w:tcPr>
          <w:p w14:paraId="59BC1139"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46</w:t>
            </w:r>
          </w:p>
        </w:tc>
        <w:tc>
          <w:tcPr>
            <w:tcW w:w="951" w:type="dxa"/>
            <w:tcBorders>
              <w:left w:val="nil"/>
              <w:right w:val="nil"/>
            </w:tcBorders>
            <w:shd w:val="clear" w:color="auto" w:fill="auto"/>
          </w:tcPr>
          <w:p w14:paraId="1EEDA135"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46.0</w:t>
            </w:r>
          </w:p>
        </w:tc>
      </w:tr>
      <w:tr w:rsidR="008D4E9B" w:rsidRPr="0076390A" w14:paraId="0AD32310" w14:textId="77777777" w:rsidTr="0076390A">
        <w:trPr>
          <w:trHeight w:val="506"/>
        </w:trPr>
        <w:tc>
          <w:tcPr>
            <w:tcW w:w="1652" w:type="dxa"/>
            <w:shd w:val="clear" w:color="auto" w:fill="auto"/>
          </w:tcPr>
          <w:p w14:paraId="5DC0A2F1"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Female</w:t>
            </w:r>
          </w:p>
        </w:tc>
        <w:tc>
          <w:tcPr>
            <w:tcW w:w="1771" w:type="dxa"/>
            <w:shd w:val="clear" w:color="auto" w:fill="auto"/>
          </w:tcPr>
          <w:p w14:paraId="4237EDB6"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54</w:t>
            </w:r>
          </w:p>
        </w:tc>
        <w:tc>
          <w:tcPr>
            <w:tcW w:w="951" w:type="dxa"/>
            <w:shd w:val="clear" w:color="auto" w:fill="auto"/>
          </w:tcPr>
          <w:p w14:paraId="76A74A1D"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54.0</w:t>
            </w:r>
          </w:p>
        </w:tc>
      </w:tr>
      <w:tr w:rsidR="008D4E9B" w:rsidRPr="0076390A" w14:paraId="364BC59A" w14:textId="77777777" w:rsidTr="0076390A">
        <w:trPr>
          <w:trHeight w:val="199"/>
        </w:trPr>
        <w:tc>
          <w:tcPr>
            <w:tcW w:w="1652" w:type="dxa"/>
            <w:tcBorders>
              <w:top w:val="single" w:sz="8" w:space="0" w:color="000000"/>
              <w:left w:val="nil"/>
              <w:bottom w:val="single" w:sz="8" w:space="0" w:color="000000"/>
              <w:right w:val="nil"/>
            </w:tcBorders>
            <w:shd w:val="clear" w:color="auto" w:fill="auto"/>
          </w:tcPr>
          <w:p w14:paraId="60F4DF46"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Total</w:t>
            </w:r>
          </w:p>
        </w:tc>
        <w:tc>
          <w:tcPr>
            <w:tcW w:w="1771" w:type="dxa"/>
            <w:tcBorders>
              <w:top w:val="single" w:sz="8" w:space="0" w:color="000000"/>
              <w:left w:val="nil"/>
              <w:bottom w:val="single" w:sz="8" w:space="0" w:color="000000"/>
              <w:right w:val="nil"/>
            </w:tcBorders>
            <w:shd w:val="clear" w:color="auto" w:fill="auto"/>
          </w:tcPr>
          <w:p w14:paraId="2D265EB1"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100</w:t>
            </w:r>
          </w:p>
        </w:tc>
        <w:tc>
          <w:tcPr>
            <w:tcW w:w="951" w:type="dxa"/>
            <w:tcBorders>
              <w:top w:val="single" w:sz="8" w:space="0" w:color="000000"/>
              <w:left w:val="nil"/>
              <w:bottom w:val="single" w:sz="8" w:space="0" w:color="000000"/>
              <w:right w:val="nil"/>
            </w:tcBorders>
            <w:shd w:val="clear" w:color="auto" w:fill="auto"/>
          </w:tcPr>
          <w:p w14:paraId="340B731C"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100.0</w:t>
            </w:r>
          </w:p>
        </w:tc>
      </w:tr>
    </w:tbl>
    <w:p w14:paraId="13E862EA" w14:textId="77777777" w:rsidR="008D4E9B" w:rsidRDefault="008D4E9B" w:rsidP="00675801">
      <w:pPr>
        <w:spacing w:after="0"/>
        <w:jc w:val="both"/>
        <w:rPr>
          <w:rFonts w:ascii="Book Antiqua" w:hAnsi="Book Antiqua"/>
          <w:b/>
        </w:rPr>
      </w:pPr>
      <w:r w:rsidRPr="004731AD">
        <w:rPr>
          <w:rFonts w:ascii="Book Antiqua" w:hAnsi="Book Antiqua"/>
          <w:b/>
        </w:rPr>
        <w:t xml:space="preserve"> Source: Author’s field data</w:t>
      </w:r>
    </w:p>
    <w:p w14:paraId="552766CD" w14:textId="77777777" w:rsidR="00675801" w:rsidRPr="004731AD" w:rsidRDefault="00675801" w:rsidP="00675801">
      <w:pPr>
        <w:spacing w:after="0"/>
        <w:jc w:val="both"/>
        <w:rPr>
          <w:rFonts w:ascii="Book Antiqua" w:hAnsi="Book Antiqua"/>
          <w:b/>
        </w:rPr>
      </w:pPr>
    </w:p>
    <w:p w14:paraId="639F9E5D" w14:textId="77777777" w:rsidR="008D4E9B" w:rsidRPr="004731AD" w:rsidRDefault="008D4E9B" w:rsidP="008D4E9B">
      <w:pPr>
        <w:jc w:val="both"/>
        <w:rPr>
          <w:rFonts w:ascii="Book Antiqua" w:hAnsi="Book Antiqua"/>
          <w:b/>
        </w:rPr>
      </w:pPr>
      <w:r w:rsidRPr="004731AD">
        <w:rPr>
          <w:rFonts w:ascii="Book Antiqua" w:hAnsi="Book Antiqua"/>
          <w:b/>
        </w:rPr>
        <w:t>Table 2. Age distribution of students</w:t>
      </w:r>
    </w:p>
    <w:tbl>
      <w:tblPr>
        <w:tblW w:w="4566" w:type="dxa"/>
        <w:tblBorders>
          <w:top w:val="single" w:sz="8" w:space="0" w:color="000000"/>
          <w:bottom w:val="single" w:sz="8" w:space="0" w:color="000000"/>
        </w:tblBorders>
        <w:tblLook w:val="04E0" w:firstRow="1" w:lastRow="1" w:firstColumn="1" w:lastColumn="0" w:noHBand="0" w:noVBand="1"/>
      </w:tblPr>
      <w:tblGrid>
        <w:gridCol w:w="1522"/>
        <w:gridCol w:w="1522"/>
        <w:gridCol w:w="1522"/>
      </w:tblGrid>
      <w:tr w:rsidR="008D4E9B" w:rsidRPr="0076390A" w14:paraId="34D3604A" w14:textId="77777777" w:rsidTr="0076390A">
        <w:trPr>
          <w:trHeight w:val="258"/>
        </w:trPr>
        <w:tc>
          <w:tcPr>
            <w:tcW w:w="1522" w:type="dxa"/>
            <w:tcBorders>
              <w:top w:val="single" w:sz="8" w:space="0" w:color="000000"/>
              <w:left w:val="nil"/>
              <w:bottom w:val="single" w:sz="8" w:space="0" w:color="000000"/>
              <w:right w:val="nil"/>
            </w:tcBorders>
            <w:shd w:val="clear" w:color="auto" w:fill="auto"/>
          </w:tcPr>
          <w:p w14:paraId="7D8B3218"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Age (Years)</w:t>
            </w:r>
          </w:p>
        </w:tc>
        <w:tc>
          <w:tcPr>
            <w:tcW w:w="1522" w:type="dxa"/>
            <w:tcBorders>
              <w:top w:val="single" w:sz="8" w:space="0" w:color="000000"/>
              <w:left w:val="nil"/>
              <w:bottom w:val="single" w:sz="8" w:space="0" w:color="000000"/>
              <w:right w:val="nil"/>
            </w:tcBorders>
            <w:shd w:val="clear" w:color="auto" w:fill="auto"/>
          </w:tcPr>
          <w:p w14:paraId="600DBA87"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Frequency</w:t>
            </w:r>
          </w:p>
        </w:tc>
        <w:tc>
          <w:tcPr>
            <w:tcW w:w="1522" w:type="dxa"/>
            <w:tcBorders>
              <w:top w:val="single" w:sz="8" w:space="0" w:color="000000"/>
              <w:left w:val="nil"/>
              <w:bottom w:val="single" w:sz="8" w:space="0" w:color="000000"/>
              <w:right w:val="nil"/>
            </w:tcBorders>
            <w:shd w:val="clear" w:color="auto" w:fill="auto"/>
          </w:tcPr>
          <w:p w14:paraId="09B9B7F8"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Percent</w:t>
            </w:r>
          </w:p>
        </w:tc>
      </w:tr>
      <w:tr w:rsidR="008D4E9B" w:rsidRPr="0076390A" w14:paraId="7F7902E5" w14:textId="77777777" w:rsidTr="0076390A">
        <w:trPr>
          <w:trHeight w:val="258"/>
        </w:trPr>
        <w:tc>
          <w:tcPr>
            <w:tcW w:w="1522" w:type="dxa"/>
            <w:tcBorders>
              <w:left w:val="nil"/>
              <w:right w:val="nil"/>
            </w:tcBorders>
            <w:shd w:val="clear" w:color="auto" w:fill="auto"/>
          </w:tcPr>
          <w:p w14:paraId="2C21BD64"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20-25</w:t>
            </w:r>
          </w:p>
        </w:tc>
        <w:tc>
          <w:tcPr>
            <w:tcW w:w="1522" w:type="dxa"/>
            <w:tcBorders>
              <w:left w:val="nil"/>
              <w:right w:val="nil"/>
            </w:tcBorders>
            <w:shd w:val="clear" w:color="auto" w:fill="auto"/>
          </w:tcPr>
          <w:p w14:paraId="256B7C3F"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70</w:t>
            </w:r>
          </w:p>
        </w:tc>
        <w:tc>
          <w:tcPr>
            <w:tcW w:w="1522" w:type="dxa"/>
            <w:tcBorders>
              <w:left w:val="nil"/>
              <w:right w:val="nil"/>
            </w:tcBorders>
            <w:shd w:val="clear" w:color="auto" w:fill="auto"/>
          </w:tcPr>
          <w:p w14:paraId="278A4B57"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70.0</w:t>
            </w:r>
          </w:p>
        </w:tc>
      </w:tr>
      <w:tr w:rsidR="008D4E9B" w:rsidRPr="0076390A" w14:paraId="2E198750" w14:textId="77777777" w:rsidTr="0076390A">
        <w:trPr>
          <w:trHeight w:val="258"/>
        </w:trPr>
        <w:tc>
          <w:tcPr>
            <w:tcW w:w="1522" w:type="dxa"/>
            <w:shd w:val="clear" w:color="auto" w:fill="auto"/>
          </w:tcPr>
          <w:p w14:paraId="60711788"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26-30</w:t>
            </w:r>
          </w:p>
        </w:tc>
        <w:tc>
          <w:tcPr>
            <w:tcW w:w="1522" w:type="dxa"/>
            <w:shd w:val="clear" w:color="auto" w:fill="auto"/>
          </w:tcPr>
          <w:p w14:paraId="6DA09E7C"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25</w:t>
            </w:r>
          </w:p>
        </w:tc>
        <w:tc>
          <w:tcPr>
            <w:tcW w:w="1522" w:type="dxa"/>
            <w:shd w:val="clear" w:color="auto" w:fill="auto"/>
          </w:tcPr>
          <w:p w14:paraId="45ECF255"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25.0</w:t>
            </w:r>
          </w:p>
        </w:tc>
      </w:tr>
      <w:tr w:rsidR="008D4E9B" w:rsidRPr="0076390A" w14:paraId="003A7564" w14:textId="77777777" w:rsidTr="0076390A">
        <w:trPr>
          <w:trHeight w:val="258"/>
        </w:trPr>
        <w:tc>
          <w:tcPr>
            <w:tcW w:w="1522" w:type="dxa"/>
            <w:tcBorders>
              <w:left w:val="nil"/>
              <w:right w:val="nil"/>
            </w:tcBorders>
            <w:shd w:val="clear" w:color="auto" w:fill="auto"/>
          </w:tcPr>
          <w:p w14:paraId="2468D923"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31-35</w:t>
            </w:r>
          </w:p>
        </w:tc>
        <w:tc>
          <w:tcPr>
            <w:tcW w:w="1522" w:type="dxa"/>
            <w:tcBorders>
              <w:left w:val="nil"/>
              <w:right w:val="nil"/>
            </w:tcBorders>
            <w:shd w:val="clear" w:color="auto" w:fill="auto"/>
          </w:tcPr>
          <w:p w14:paraId="655EDBB8"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5</w:t>
            </w:r>
          </w:p>
        </w:tc>
        <w:tc>
          <w:tcPr>
            <w:tcW w:w="1522" w:type="dxa"/>
            <w:tcBorders>
              <w:left w:val="nil"/>
              <w:right w:val="nil"/>
            </w:tcBorders>
            <w:shd w:val="clear" w:color="auto" w:fill="auto"/>
          </w:tcPr>
          <w:p w14:paraId="0320110B" w14:textId="77777777" w:rsidR="008D4E9B" w:rsidRPr="0076390A" w:rsidRDefault="008D4E9B" w:rsidP="0076390A">
            <w:pPr>
              <w:spacing w:after="0"/>
              <w:jc w:val="both"/>
              <w:rPr>
                <w:rFonts w:ascii="Book Antiqua" w:hAnsi="Book Antiqua"/>
                <w:color w:val="000000"/>
              </w:rPr>
            </w:pPr>
            <w:r w:rsidRPr="0076390A">
              <w:rPr>
                <w:rFonts w:ascii="Book Antiqua" w:hAnsi="Book Antiqua"/>
                <w:color w:val="000000"/>
              </w:rPr>
              <w:t>5.0</w:t>
            </w:r>
          </w:p>
        </w:tc>
      </w:tr>
      <w:tr w:rsidR="008D4E9B" w:rsidRPr="0076390A" w14:paraId="0ED87111" w14:textId="77777777" w:rsidTr="0076390A">
        <w:trPr>
          <w:trHeight w:val="273"/>
        </w:trPr>
        <w:tc>
          <w:tcPr>
            <w:tcW w:w="1522" w:type="dxa"/>
            <w:tcBorders>
              <w:top w:val="single" w:sz="8" w:space="0" w:color="000000"/>
              <w:left w:val="nil"/>
              <w:bottom w:val="single" w:sz="8" w:space="0" w:color="000000"/>
              <w:right w:val="nil"/>
            </w:tcBorders>
            <w:shd w:val="clear" w:color="auto" w:fill="auto"/>
          </w:tcPr>
          <w:p w14:paraId="5DB63F1E"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Total</w:t>
            </w:r>
          </w:p>
        </w:tc>
        <w:tc>
          <w:tcPr>
            <w:tcW w:w="1522" w:type="dxa"/>
            <w:tcBorders>
              <w:top w:val="single" w:sz="8" w:space="0" w:color="000000"/>
              <w:left w:val="nil"/>
              <w:bottom w:val="single" w:sz="8" w:space="0" w:color="000000"/>
              <w:right w:val="nil"/>
            </w:tcBorders>
            <w:shd w:val="clear" w:color="auto" w:fill="auto"/>
          </w:tcPr>
          <w:p w14:paraId="33A03ECE"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100</w:t>
            </w:r>
          </w:p>
        </w:tc>
        <w:tc>
          <w:tcPr>
            <w:tcW w:w="1522" w:type="dxa"/>
            <w:tcBorders>
              <w:top w:val="single" w:sz="8" w:space="0" w:color="000000"/>
              <w:left w:val="nil"/>
              <w:bottom w:val="single" w:sz="8" w:space="0" w:color="000000"/>
              <w:right w:val="nil"/>
            </w:tcBorders>
            <w:shd w:val="clear" w:color="auto" w:fill="auto"/>
          </w:tcPr>
          <w:p w14:paraId="25963769" w14:textId="77777777" w:rsidR="008D4E9B" w:rsidRPr="0076390A" w:rsidRDefault="008D4E9B" w:rsidP="0076390A">
            <w:pPr>
              <w:spacing w:after="0"/>
              <w:jc w:val="both"/>
              <w:rPr>
                <w:rFonts w:ascii="Book Antiqua" w:hAnsi="Book Antiqua"/>
                <w:b/>
                <w:bCs/>
                <w:color w:val="000000"/>
              </w:rPr>
            </w:pPr>
            <w:r w:rsidRPr="0076390A">
              <w:rPr>
                <w:rFonts w:ascii="Book Antiqua" w:hAnsi="Book Antiqua"/>
                <w:b/>
                <w:bCs/>
                <w:color w:val="000000"/>
              </w:rPr>
              <w:t>100.0</w:t>
            </w:r>
          </w:p>
        </w:tc>
      </w:tr>
    </w:tbl>
    <w:p w14:paraId="20765C50" w14:textId="77777777" w:rsidR="008D4E9B" w:rsidRPr="004731AD" w:rsidRDefault="008D4E9B" w:rsidP="00675801">
      <w:pPr>
        <w:spacing w:after="0"/>
        <w:jc w:val="both"/>
        <w:rPr>
          <w:rFonts w:ascii="Book Antiqua" w:hAnsi="Book Antiqua"/>
          <w:b/>
        </w:rPr>
      </w:pPr>
      <w:r w:rsidRPr="004731AD">
        <w:rPr>
          <w:rFonts w:ascii="Book Antiqua" w:hAnsi="Book Antiqua"/>
          <w:b/>
        </w:rPr>
        <w:t>Source: Author’s field data</w:t>
      </w:r>
    </w:p>
    <w:p w14:paraId="77C0394F" w14:textId="77777777" w:rsidR="00751699" w:rsidRDefault="00751699" w:rsidP="008D4E9B">
      <w:pPr>
        <w:ind w:left="540" w:hanging="540"/>
        <w:jc w:val="both"/>
        <w:rPr>
          <w:rFonts w:ascii="Book Antiqua" w:hAnsi="Book Antiqua"/>
          <w:b/>
        </w:rPr>
      </w:pPr>
    </w:p>
    <w:p w14:paraId="24637A25" w14:textId="77777777" w:rsidR="008D4E9B" w:rsidRPr="004731AD" w:rsidRDefault="008D4E9B" w:rsidP="008D4E9B">
      <w:pPr>
        <w:ind w:left="540" w:hanging="540"/>
        <w:jc w:val="both"/>
        <w:rPr>
          <w:rFonts w:ascii="Book Antiqua" w:hAnsi="Book Antiqua"/>
          <w:b/>
        </w:rPr>
      </w:pPr>
      <w:r w:rsidRPr="004731AD">
        <w:rPr>
          <w:rFonts w:ascii="Book Antiqua" w:hAnsi="Book Antiqua"/>
          <w:b/>
        </w:rPr>
        <w:t>3.2 Types of plastic waste produced on campuses</w:t>
      </w:r>
    </w:p>
    <w:p w14:paraId="1751AD65" w14:textId="77777777" w:rsidR="00751699" w:rsidRDefault="008D4E9B" w:rsidP="008D4E9B">
      <w:pPr>
        <w:jc w:val="both"/>
        <w:rPr>
          <w:rFonts w:ascii="Book Antiqua" w:hAnsi="Book Antiqua"/>
        </w:rPr>
      </w:pPr>
      <w:r w:rsidRPr="004731AD">
        <w:rPr>
          <w:rFonts w:ascii="Book Antiqua" w:hAnsi="Book Antiqua"/>
        </w:rPr>
        <w:t xml:space="preserve">The students were asked to indicate the kinds of plastic waste usually produced by students on campus. The findings indicate that 10.0 percent of the plastic wastes produced on campus are empty </w:t>
      </w:r>
    </w:p>
    <w:p w14:paraId="3375A7E6" w14:textId="77777777" w:rsidR="00303CCC" w:rsidRDefault="00303CCC" w:rsidP="00303CCC">
      <w:pPr>
        <w:pStyle w:val="NoSpacing"/>
        <w:spacing w:line="276" w:lineRule="auto"/>
        <w:jc w:val="both"/>
        <w:rPr>
          <w:rFonts w:ascii="Book Antiqua" w:hAnsi="Book Antiqua"/>
          <w:b/>
        </w:rPr>
      </w:pPr>
      <w:r w:rsidRPr="004731AD">
        <w:rPr>
          <w:rFonts w:ascii="Book Antiqua" w:hAnsi="Book Antiqua"/>
          <w:b/>
        </w:rPr>
        <w:lastRenderedPageBreak/>
        <w:t>Table 4. Places where plastic waste are   found on campus</w:t>
      </w:r>
    </w:p>
    <w:p w14:paraId="43B702D6" w14:textId="77777777" w:rsidR="00303CCC" w:rsidRPr="004731AD" w:rsidRDefault="00303CCC" w:rsidP="00303CCC">
      <w:pPr>
        <w:pStyle w:val="NoSpacing"/>
        <w:jc w:val="both"/>
        <w:rPr>
          <w:rFonts w:ascii="Book Antiqua" w:hAnsi="Book Antiqua"/>
          <w:b/>
        </w:rPr>
      </w:pPr>
      <w:r w:rsidRPr="004731AD">
        <w:rPr>
          <w:rFonts w:ascii="Book Antiqua" w:hAnsi="Book Antiqua"/>
          <w:b/>
        </w:rPr>
        <w:t>Source: Author’s field data</w:t>
      </w:r>
    </w:p>
    <w:p w14:paraId="5EF4B53D" w14:textId="77777777" w:rsidR="00303CCC" w:rsidRDefault="00303CCC" w:rsidP="008D4E9B">
      <w:pPr>
        <w:jc w:val="both"/>
        <w:rPr>
          <w:rFonts w:ascii="Book Antiqua" w:hAnsi="Book Antiqua"/>
          <w:b/>
        </w:rPr>
      </w:pPr>
    </w:p>
    <w:p w14:paraId="6CD9DBC5" w14:textId="77777777" w:rsidR="00751699" w:rsidRDefault="00303CCC" w:rsidP="00303CCC">
      <w:pPr>
        <w:spacing w:after="0" w:line="240" w:lineRule="auto"/>
        <w:jc w:val="both"/>
        <w:rPr>
          <w:rFonts w:ascii="Book Antiqua" w:hAnsi="Book Antiqua"/>
        </w:rPr>
      </w:pPr>
      <w:r w:rsidRPr="004731AD">
        <w:rPr>
          <w:rFonts w:ascii="Book Antiqua" w:hAnsi="Book Antiqua"/>
          <w:b/>
        </w:rPr>
        <w:t>Table 3. Kinds of plastic waste on campus</w:t>
      </w:r>
    </w:p>
    <w:p w14:paraId="7CD10302" w14:textId="77777777" w:rsidR="00751699" w:rsidRPr="00303CCC" w:rsidRDefault="00303CCC" w:rsidP="008D4E9B">
      <w:pPr>
        <w:jc w:val="both"/>
        <w:rPr>
          <w:rFonts w:ascii="Book Antiqua" w:hAnsi="Book Antiqua"/>
          <w:b/>
        </w:rPr>
      </w:pPr>
      <w:r w:rsidRPr="00303CCC">
        <w:rPr>
          <w:rFonts w:ascii="Book Antiqua" w:hAnsi="Book Antiqua"/>
          <w:b/>
        </w:rPr>
        <w:t>Source: Author’s field data</w:t>
      </w:r>
    </w:p>
    <w:p w14:paraId="796D5A09" w14:textId="77777777" w:rsidR="008D4E9B" w:rsidRPr="004731AD" w:rsidRDefault="008D4E9B" w:rsidP="008D4E9B">
      <w:pPr>
        <w:jc w:val="both"/>
        <w:rPr>
          <w:rFonts w:ascii="Book Antiqua" w:hAnsi="Book Antiqua"/>
        </w:rPr>
      </w:pPr>
      <w:r w:rsidRPr="004731AD">
        <w:rPr>
          <w:rFonts w:ascii="Book Antiqua" w:hAnsi="Book Antiqua"/>
        </w:rPr>
        <w:t xml:space="preserve">plastic water bottles, 25.0 percent are empty polythene bags, 35.0 percent are empty water sachets, while 30.0 percent are empty fan yogo, fan choco, fan milk and milo bags (see Table 3). </w:t>
      </w:r>
    </w:p>
    <w:tbl>
      <w:tblPr>
        <w:tblpPr w:leftFromText="180" w:rightFromText="180" w:vertAnchor="text" w:horzAnchor="margin" w:tblpY="970"/>
        <w:tblW w:w="4338" w:type="dxa"/>
        <w:tblBorders>
          <w:top w:val="single" w:sz="8" w:space="0" w:color="000000"/>
          <w:bottom w:val="single" w:sz="8" w:space="0" w:color="000000"/>
        </w:tblBorders>
        <w:tblLayout w:type="fixed"/>
        <w:tblLook w:val="04E0" w:firstRow="1" w:lastRow="1" w:firstColumn="1" w:lastColumn="0" w:noHBand="0" w:noVBand="1"/>
      </w:tblPr>
      <w:tblGrid>
        <w:gridCol w:w="1919"/>
        <w:gridCol w:w="1296"/>
        <w:gridCol w:w="1123"/>
      </w:tblGrid>
      <w:tr w:rsidR="008B7047" w:rsidRPr="0076390A" w14:paraId="113E3343" w14:textId="77777777" w:rsidTr="00303CCC">
        <w:trPr>
          <w:trHeight w:val="360"/>
        </w:trPr>
        <w:tc>
          <w:tcPr>
            <w:tcW w:w="1919" w:type="dxa"/>
            <w:tcBorders>
              <w:top w:val="single" w:sz="8" w:space="0" w:color="000000"/>
              <w:left w:val="nil"/>
              <w:bottom w:val="single" w:sz="8" w:space="0" w:color="000000"/>
              <w:right w:val="nil"/>
            </w:tcBorders>
            <w:shd w:val="clear" w:color="auto" w:fill="auto"/>
          </w:tcPr>
          <w:p w14:paraId="73240447" w14:textId="77777777" w:rsidR="008B7047" w:rsidRPr="0076390A" w:rsidRDefault="008B7047" w:rsidP="00303CCC">
            <w:pPr>
              <w:spacing w:after="0"/>
              <w:jc w:val="both"/>
              <w:rPr>
                <w:rFonts w:ascii="Book Antiqua" w:hAnsi="Book Antiqua"/>
                <w:b/>
                <w:bCs/>
                <w:color w:val="000000"/>
              </w:rPr>
            </w:pPr>
            <w:r w:rsidRPr="0076390A">
              <w:rPr>
                <w:rFonts w:ascii="Book Antiqua" w:hAnsi="Book Antiqua"/>
                <w:b/>
                <w:bCs/>
                <w:color w:val="000000"/>
              </w:rPr>
              <w:t>Plastic waste</w:t>
            </w:r>
          </w:p>
        </w:tc>
        <w:tc>
          <w:tcPr>
            <w:tcW w:w="1296" w:type="dxa"/>
            <w:tcBorders>
              <w:top w:val="single" w:sz="8" w:space="0" w:color="000000"/>
              <w:left w:val="nil"/>
              <w:bottom w:val="single" w:sz="8" w:space="0" w:color="000000"/>
              <w:right w:val="nil"/>
            </w:tcBorders>
            <w:shd w:val="clear" w:color="auto" w:fill="auto"/>
          </w:tcPr>
          <w:p w14:paraId="47C4FF1E" w14:textId="77777777" w:rsidR="008B7047" w:rsidRPr="0076390A" w:rsidRDefault="008B7047" w:rsidP="00303CCC">
            <w:pPr>
              <w:spacing w:after="0"/>
              <w:jc w:val="both"/>
              <w:rPr>
                <w:rFonts w:ascii="Book Antiqua" w:hAnsi="Book Antiqua"/>
                <w:b/>
                <w:bCs/>
                <w:color w:val="000000"/>
              </w:rPr>
            </w:pPr>
            <w:r w:rsidRPr="0076390A">
              <w:rPr>
                <w:rFonts w:ascii="Book Antiqua" w:hAnsi="Book Antiqua"/>
                <w:b/>
                <w:bCs/>
                <w:color w:val="000000"/>
              </w:rPr>
              <w:t>Frequency</w:t>
            </w:r>
          </w:p>
        </w:tc>
        <w:tc>
          <w:tcPr>
            <w:tcW w:w="1123" w:type="dxa"/>
            <w:tcBorders>
              <w:top w:val="single" w:sz="8" w:space="0" w:color="000000"/>
              <w:left w:val="nil"/>
              <w:bottom w:val="single" w:sz="8" w:space="0" w:color="000000"/>
              <w:right w:val="nil"/>
            </w:tcBorders>
            <w:shd w:val="clear" w:color="auto" w:fill="auto"/>
          </w:tcPr>
          <w:p w14:paraId="6B7C0E51" w14:textId="77777777" w:rsidR="008B7047" w:rsidRPr="0076390A" w:rsidRDefault="008B7047" w:rsidP="00303CCC">
            <w:pPr>
              <w:spacing w:after="0"/>
              <w:jc w:val="both"/>
              <w:rPr>
                <w:rFonts w:ascii="Book Antiqua" w:hAnsi="Book Antiqua"/>
                <w:b/>
                <w:bCs/>
                <w:color w:val="000000"/>
              </w:rPr>
            </w:pPr>
            <w:r w:rsidRPr="0076390A">
              <w:rPr>
                <w:rFonts w:ascii="Book Antiqua" w:hAnsi="Book Antiqua"/>
                <w:b/>
                <w:bCs/>
                <w:color w:val="000000"/>
              </w:rPr>
              <w:t>Percent</w:t>
            </w:r>
          </w:p>
        </w:tc>
      </w:tr>
      <w:tr w:rsidR="008B7047" w:rsidRPr="0076390A" w14:paraId="2D22402E" w14:textId="77777777" w:rsidTr="00303CCC">
        <w:trPr>
          <w:trHeight w:val="287"/>
        </w:trPr>
        <w:tc>
          <w:tcPr>
            <w:tcW w:w="1919" w:type="dxa"/>
            <w:tcBorders>
              <w:left w:val="nil"/>
              <w:right w:val="nil"/>
            </w:tcBorders>
            <w:shd w:val="clear" w:color="auto" w:fill="auto"/>
          </w:tcPr>
          <w:p w14:paraId="1A41524E" w14:textId="77777777" w:rsidR="008B7047" w:rsidRPr="0076390A" w:rsidRDefault="008B7047" w:rsidP="00303CCC">
            <w:pPr>
              <w:spacing w:after="0"/>
              <w:rPr>
                <w:rFonts w:ascii="Book Antiqua" w:hAnsi="Book Antiqua"/>
                <w:b/>
                <w:bCs/>
                <w:color w:val="000000"/>
              </w:rPr>
            </w:pPr>
            <w:r w:rsidRPr="0076390A">
              <w:rPr>
                <w:rFonts w:ascii="Book Antiqua" w:hAnsi="Book Antiqua"/>
                <w:b/>
                <w:bCs/>
                <w:color w:val="000000"/>
              </w:rPr>
              <w:t>Empty plastic water bottles</w:t>
            </w:r>
          </w:p>
        </w:tc>
        <w:tc>
          <w:tcPr>
            <w:tcW w:w="1296" w:type="dxa"/>
            <w:tcBorders>
              <w:left w:val="nil"/>
              <w:right w:val="nil"/>
            </w:tcBorders>
            <w:shd w:val="clear" w:color="auto" w:fill="auto"/>
          </w:tcPr>
          <w:p w14:paraId="56FF4051" w14:textId="77777777" w:rsidR="008B7047" w:rsidRPr="0076390A" w:rsidRDefault="008B7047" w:rsidP="00303CCC">
            <w:pPr>
              <w:spacing w:after="0"/>
              <w:jc w:val="both"/>
              <w:rPr>
                <w:rFonts w:ascii="Book Antiqua" w:hAnsi="Book Antiqua"/>
                <w:color w:val="000000"/>
              </w:rPr>
            </w:pPr>
            <w:r w:rsidRPr="0076390A">
              <w:rPr>
                <w:rFonts w:ascii="Book Antiqua" w:hAnsi="Book Antiqua"/>
                <w:color w:val="000000"/>
              </w:rPr>
              <w:t>10</w:t>
            </w:r>
          </w:p>
        </w:tc>
        <w:tc>
          <w:tcPr>
            <w:tcW w:w="1123" w:type="dxa"/>
            <w:tcBorders>
              <w:left w:val="nil"/>
              <w:right w:val="nil"/>
            </w:tcBorders>
            <w:shd w:val="clear" w:color="auto" w:fill="auto"/>
          </w:tcPr>
          <w:p w14:paraId="1953564B" w14:textId="77777777" w:rsidR="008B7047" w:rsidRPr="0076390A" w:rsidRDefault="008B7047" w:rsidP="00303CCC">
            <w:pPr>
              <w:spacing w:after="0"/>
              <w:jc w:val="both"/>
              <w:rPr>
                <w:rFonts w:ascii="Book Antiqua" w:hAnsi="Book Antiqua"/>
                <w:color w:val="000000"/>
              </w:rPr>
            </w:pPr>
            <w:r w:rsidRPr="0076390A">
              <w:rPr>
                <w:rFonts w:ascii="Book Antiqua" w:hAnsi="Book Antiqua"/>
                <w:color w:val="000000"/>
              </w:rPr>
              <w:t>10.0</w:t>
            </w:r>
          </w:p>
        </w:tc>
      </w:tr>
      <w:tr w:rsidR="008B7047" w:rsidRPr="0076390A" w14:paraId="4E0CE7B5" w14:textId="77777777" w:rsidTr="00303CCC">
        <w:trPr>
          <w:trHeight w:val="287"/>
        </w:trPr>
        <w:tc>
          <w:tcPr>
            <w:tcW w:w="1919" w:type="dxa"/>
            <w:shd w:val="clear" w:color="auto" w:fill="auto"/>
          </w:tcPr>
          <w:p w14:paraId="160502C0" w14:textId="77777777" w:rsidR="008B7047" w:rsidRPr="0076390A" w:rsidRDefault="008B7047" w:rsidP="00303CCC">
            <w:pPr>
              <w:spacing w:after="0"/>
              <w:rPr>
                <w:rFonts w:ascii="Book Antiqua" w:hAnsi="Book Antiqua"/>
                <w:b/>
                <w:bCs/>
                <w:color w:val="000000"/>
              </w:rPr>
            </w:pPr>
            <w:r w:rsidRPr="0076390A">
              <w:rPr>
                <w:rFonts w:ascii="Book Antiqua" w:hAnsi="Book Antiqua"/>
                <w:b/>
                <w:bCs/>
                <w:color w:val="000000"/>
              </w:rPr>
              <w:t>Empty polythene bags</w:t>
            </w:r>
          </w:p>
        </w:tc>
        <w:tc>
          <w:tcPr>
            <w:tcW w:w="1296" w:type="dxa"/>
            <w:shd w:val="clear" w:color="auto" w:fill="auto"/>
          </w:tcPr>
          <w:p w14:paraId="594731A7" w14:textId="77777777" w:rsidR="008B7047" w:rsidRPr="0076390A" w:rsidRDefault="008B7047" w:rsidP="00303CCC">
            <w:pPr>
              <w:spacing w:after="0"/>
              <w:jc w:val="both"/>
              <w:rPr>
                <w:rFonts w:ascii="Book Antiqua" w:hAnsi="Book Antiqua"/>
                <w:color w:val="000000"/>
              </w:rPr>
            </w:pPr>
            <w:r w:rsidRPr="0076390A">
              <w:rPr>
                <w:rFonts w:ascii="Book Antiqua" w:hAnsi="Book Antiqua"/>
                <w:color w:val="000000"/>
              </w:rPr>
              <w:t>25</w:t>
            </w:r>
          </w:p>
        </w:tc>
        <w:tc>
          <w:tcPr>
            <w:tcW w:w="1123" w:type="dxa"/>
            <w:shd w:val="clear" w:color="auto" w:fill="auto"/>
          </w:tcPr>
          <w:p w14:paraId="1B48AC76" w14:textId="77777777" w:rsidR="008B7047" w:rsidRPr="0076390A" w:rsidRDefault="008B7047" w:rsidP="00303CCC">
            <w:pPr>
              <w:spacing w:after="0"/>
              <w:jc w:val="both"/>
              <w:rPr>
                <w:rFonts w:ascii="Book Antiqua" w:hAnsi="Book Antiqua"/>
                <w:color w:val="000000"/>
              </w:rPr>
            </w:pPr>
            <w:r w:rsidRPr="0076390A">
              <w:rPr>
                <w:rFonts w:ascii="Book Antiqua" w:hAnsi="Book Antiqua"/>
                <w:color w:val="000000"/>
              </w:rPr>
              <w:t>25.0</w:t>
            </w:r>
          </w:p>
        </w:tc>
      </w:tr>
      <w:tr w:rsidR="008B7047" w:rsidRPr="0076390A" w14:paraId="79D465AA" w14:textId="77777777" w:rsidTr="00303CCC">
        <w:trPr>
          <w:trHeight w:val="287"/>
        </w:trPr>
        <w:tc>
          <w:tcPr>
            <w:tcW w:w="1919" w:type="dxa"/>
            <w:tcBorders>
              <w:left w:val="nil"/>
              <w:right w:val="nil"/>
            </w:tcBorders>
            <w:shd w:val="clear" w:color="auto" w:fill="auto"/>
          </w:tcPr>
          <w:p w14:paraId="6021F779" w14:textId="77777777" w:rsidR="008B7047" w:rsidRPr="0076390A" w:rsidRDefault="008B7047" w:rsidP="00303CCC">
            <w:pPr>
              <w:spacing w:after="0"/>
              <w:rPr>
                <w:rFonts w:ascii="Book Antiqua" w:hAnsi="Book Antiqua"/>
                <w:b/>
                <w:bCs/>
                <w:color w:val="000000"/>
              </w:rPr>
            </w:pPr>
            <w:r w:rsidRPr="0076390A">
              <w:rPr>
                <w:rFonts w:ascii="Book Antiqua" w:hAnsi="Book Antiqua"/>
                <w:b/>
                <w:bCs/>
                <w:color w:val="000000"/>
              </w:rPr>
              <w:t>Empty water sachet</w:t>
            </w:r>
          </w:p>
        </w:tc>
        <w:tc>
          <w:tcPr>
            <w:tcW w:w="1296" w:type="dxa"/>
            <w:tcBorders>
              <w:left w:val="nil"/>
              <w:right w:val="nil"/>
            </w:tcBorders>
            <w:shd w:val="clear" w:color="auto" w:fill="auto"/>
          </w:tcPr>
          <w:p w14:paraId="121FCC4E" w14:textId="77777777" w:rsidR="008B7047" w:rsidRPr="0076390A" w:rsidRDefault="008B7047" w:rsidP="00303CCC">
            <w:pPr>
              <w:spacing w:after="0"/>
              <w:jc w:val="both"/>
              <w:rPr>
                <w:rFonts w:ascii="Book Antiqua" w:hAnsi="Book Antiqua"/>
                <w:color w:val="000000"/>
              </w:rPr>
            </w:pPr>
            <w:r w:rsidRPr="0076390A">
              <w:rPr>
                <w:rFonts w:ascii="Book Antiqua" w:hAnsi="Book Antiqua"/>
                <w:color w:val="000000"/>
              </w:rPr>
              <w:t>35</w:t>
            </w:r>
          </w:p>
        </w:tc>
        <w:tc>
          <w:tcPr>
            <w:tcW w:w="1123" w:type="dxa"/>
            <w:tcBorders>
              <w:left w:val="nil"/>
              <w:right w:val="nil"/>
            </w:tcBorders>
            <w:shd w:val="clear" w:color="auto" w:fill="auto"/>
          </w:tcPr>
          <w:p w14:paraId="68ED7CAA" w14:textId="77777777" w:rsidR="008B7047" w:rsidRPr="0076390A" w:rsidRDefault="008B7047" w:rsidP="00303CCC">
            <w:pPr>
              <w:spacing w:after="0"/>
              <w:jc w:val="both"/>
              <w:rPr>
                <w:rFonts w:ascii="Book Antiqua" w:hAnsi="Book Antiqua"/>
                <w:color w:val="000000"/>
              </w:rPr>
            </w:pPr>
            <w:r w:rsidRPr="0076390A">
              <w:rPr>
                <w:rFonts w:ascii="Book Antiqua" w:hAnsi="Book Antiqua"/>
                <w:color w:val="000000"/>
              </w:rPr>
              <w:t>35.0</w:t>
            </w:r>
          </w:p>
        </w:tc>
      </w:tr>
      <w:tr w:rsidR="008B7047" w:rsidRPr="0076390A" w14:paraId="27F7788A" w14:textId="77777777" w:rsidTr="00303CCC">
        <w:trPr>
          <w:trHeight w:val="302"/>
        </w:trPr>
        <w:tc>
          <w:tcPr>
            <w:tcW w:w="1919" w:type="dxa"/>
            <w:shd w:val="clear" w:color="auto" w:fill="auto"/>
          </w:tcPr>
          <w:p w14:paraId="644D17C7" w14:textId="77777777" w:rsidR="008B7047" w:rsidRPr="0076390A" w:rsidRDefault="008B7047" w:rsidP="00303CCC">
            <w:pPr>
              <w:spacing w:after="0"/>
              <w:rPr>
                <w:rFonts w:ascii="Book Antiqua" w:hAnsi="Book Antiqua"/>
                <w:b/>
                <w:bCs/>
                <w:color w:val="000000"/>
              </w:rPr>
            </w:pPr>
            <w:r w:rsidRPr="0076390A">
              <w:rPr>
                <w:rFonts w:ascii="Book Antiqua" w:hAnsi="Book Antiqua"/>
                <w:b/>
                <w:bCs/>
                <w:color w:val="000000"/>
              </w:rPr>
              <w:t>Empty fan yogo, fan choco, fan milk and milo bags</w:t>
            </w:r>
          </w:p>
        </w:tc>
        <w:tc>
          <w:tcPr>
            <w:tcW w:w="1296" w:type="dxa"/>
            <w:shd w:val="clear" w:color="auto" w:fill="auto"/>
          </w:tcPr>
          <w:p w14:paraId="7C961238" w14:textId="77777777" w:rsidR="008B7047" w:rsidRPr="0076390A" w:rsidRDefault="008B7047" w:rsidP="00303CCC">
            <w:pPr>
              <w:spacing w:after="0"/>
              <w:jc w:val="both"/>
              <w:rPr>
                <w:rFonts w:ascii="Book Antiqua" w:hAnsi="Book Antiqua"/>
                <w:color w:val="000000"/>
              </w:rPr>
            </w:pPr>
            <w:r w:rsidRPr="0076390A">
              <w:rPr>
                <w:rFonts w:ascii="Book Antiqua" w:hAnsi="Book Antiqua"/>
                <w:color w:val="000000"/>
              </w:rPr>
              <w:t>30</w:t>
            </w:r>
          </w:p>
        </w:tc>
        <w:tc>
          <w:tcPr>
            <w:tcW w:w="1123" w:type="dxa"/>
            <w:shd w:val="clear" w:color="auto" w:fill="auto"/>
          </w:tcPr>
          <w:p w14:paraId="2445E1E3" w14:textId="77777777" w:rsidR="008B7047" w:rsidRPr="0076390A" w:rsidRDefault="008B7047" w:rsidP="00303CCC">
            <w:pPr>
              <w:spacing w:after="0"/>
              <w:jc w:val="both"/>
              <w:rPr>
                <w:rFonts w:ascii="Book Antiqua" w:hAnsi="Book Antiqua"/>
                <w:color w:val="000000"/>
              </w:rPr>
            </w:pPr>
            <w:r w:rsidRPr="0076390A">
              <w:rPr>
                <w:rFonts w:ascii="Book Antiqua" w:hAnsi="Book Antiqua"/>
                <w:color w:val="000000"/>
              </w:rPr>
              <w:t>30.0</w:t>
            </w:r>
          </w:p>
        </w:tc>
      </w:tr>
      <w:tr w:rsidR="008B7047" w:rsidRPr="0076390A" w14:paraId="3E30202A" w14:textId="77777777" w:rsidTr="00303CCC">
        <w:trPr>
          <w:trHeight w:val="287"/>
        </w:trPr>
        <w:tc>
          <w:tcPr>
            <w:tcW w:w="1919" w:type="dxa"/>
            <w:tcBorders>
              <w:top w:val="single" w:sz="8" w:space="0" w:color="000000"/>
              <w:left w:val="nil"/>
              <w:bottom w:val="single" w:sz="8" w:space="0" w:color="000000"/>
              <w:right w:val="nil"/>
            </w:tcBorders>
            <w:shd w:val="clear" w:color="auto" w:fill="auto"/>
          </w:tcPr>
          <w:p w14:paraId="5BD80D03" w14:textId="77777777" w:rsidR="008B7047" w:rsidRPr="0076390A" w:rsidRDefault="008B7047" w:rsidP="00303CCC">
            <w:pPr>
              <w:spacing w:after="0"/>
              <w:jc w:val="both"/>
              <w:rPr>
                <w:rFonts w:ascii="Book Antiqua" w:hAnsi="Book Antiqua"/>
                <w:b/>
                <w:bCs/>
                <w:color w:val="000000"/>
              </w:rPr>
            </w:pPr>
            <w:r w:rsidRPr="0076390A">
              <w:rPr>
                <w:rFonts w:ascii="Book Antiqua" w:hAnsi="Book Antiqua"/>
                <w:b/>
                <w:bCs/>
                <w:color w:val="000000"/>
              </w:rPr>
              <w:t>Total</w:t>
            </w:r>
          </w:p>
        </w:tc>
        <w:tc>
          <w:tcPr>
            <w:tcW w:w="1296" w:type="dxa"/>
            <w:tcBorders>
              <w:top w:val="single" w:sz="8" w:space="0" w:color="000000"/>
              <w:left w:val="nil"/>
              <w:bottom w:val="single" w:sz="8" w:space="0" w:color="000000"/>
              <w:right w:val="nil"/>
            </w:tcBorders>
            <w:shd w:val="clear" w:color="auto" w:fill="auto"/>
          </w:tcPr>
          <w:p w14:paraId="0A7825DA" w14:textId="77777777" w:rsidR="008B7047" w:rsidRPr="0076390A" w:rsidRDefault="008B7047" w:rsidP="00303CCC">
            <w:pPr>
              <w:spacing w:after="0"/>
              <w:jc w:val="both"/>
              <w:rPr>
                <w:rFonts w:ascii="Book Antiqua" w:hAnsi="Book Antiqua"/>
                <w:b/>
                <w:bCs/>
                <w:color w:val="000000"/>
              </w:rPr>
            </w:pPr>
            <w:r w:rsidRPr="0076390A">
              <w:rPr>
                <w:rFonts w:ascii="Book Antiqua" w:hAnsi="Book Antiqua"/>
                <w:b/>
                <w:bCs/>
                <w:color w:val="000000"/>
              </w:rPr>
              <w:t>100</w:t>
            </w:r>
          </w:p>
        </w:tc>
        <w:tc>
          <w:tcPr>
            <w:tcW w:w="1123" w:type="dxa"/>
            <w:tcBorders>
              <w:top w:val="single" w:sz="8" w:space="0" w:color="000000"/>
              <w:left w:val="nil"/>
              <w:bottom w:val="single" w:sz="8" w:space="0" w:color="000000"/>
              <w:right w:val="nil"/>
            </w:tcBorders>
            <w:shd w:val="clear" w:color="auto" w:fill="auto"/>
          </w:tcPr>
          <w:p w14:paraId="3E50D60A" w14:textId="77777777" w:rsidR="008B7047" w:rsidRPr="0076390A" w:rsidRDefault="008B7047" w:rsidP="00303CCC">
            <w:pPr>
              <w:spacing w:after="0"/>
              <w:jc w:val="both"/>
              <w:rPr>
                <w:rFonts w:ascii="Book Antiqua" w:hAnsi="Book Antiqua"/>
                <w:b/>
                <w:bCs/>
                <w:color w:val="000000"/>
              </w:rPr>
            </w:pPr>
            <w:r w:rsidRPr="0076390A">
              <w:rPr>
                <w:rFonts w:ascii="Book Antiqua" w:hAnsi="Book Antiqua"/>
                <w:b/>
                <w:bCs/>
                <w:color w:val="000000"/>
              </w:rPr>
              <w:t>100.0</w:t>
            </w:r>
          </w:p>
        </w:tc>
      </w:tr>
    </w:tbl>
    <w:p w14:paraId="574EBFA0" w14:textId="77777777" w:rsidR="008B7047" w:rsidRPr="00675801" w:rsidRDefault="008B7047" w:rsidP="00F43D2D">
      <w:pPr>
        <w:spacing w:after="0" w:line="240" w:lineRule="auto"/>
        <w:jc w:val="both"/>
        <w:rPr>
          <w:rFonts w:ascii="Book Antiqua" w:hAnsi="Book Antiqua"/>
          <w:b/>
          <w:sz w:val="8"/>
        </w:rPr>
      </w:pPr>
    </w:p>
    <w:p w14:paraId="031A4B33" w14:textId="77777777" w:rsidR="00675801" w:rsidRDefault="00675801" w:rsidP="00675801">
      <w:pPr>
        <w:spacing w:after="0"/>
        <w:jc w:val="both"/>
        <w:rPr>
          <w:rFonts w:ascii="Book Antiqua" w:hAnsi="Book Antiqua"/>
        </w:rPr>
      </w:pPr>
    </w:p>
    <w:p w14:paraId="22C3907D" w14:textId="77777777" w:rsidR="008D4E9B" w:rsidRPr="004731AD" w:rsidRDefault="008D4E9B" w:rsidP="00675801">
      <w:pPr>
        <w:spacing w:after="0"/>
        <w:jc w:val="both"/>
        <w:rPr>
          <w:rFonts w:ascii="Book Antiqua" w:hAnsi="Book Antiqua"/>
        </w:rPr>
      </w:pPr>
      <w:r w:rsidRPr="004731AD">
        <w:rPr>
          <w:rFonts w:ascii="Book Antiqua" w:hAnsi="Book Antiqua"/>
        </w:rPr>
        <w:t xml:space="preserve">With regard to the places on campus where plastic wastes are usually found, as is evident in Table 4, 35.0 percent of the students indicated that they are found on campus surroundings, 30.0 percent </w:t>
      </w:r>
      <w:r w:rsidRPr="004731AD">
        <w:rPr>
          <w:rFonts w:ascii="Book Antiqua" w:hAnsi="Book Antiqua"/>
        </w:rPr>
        <w:t>indicated that they are found on campus cafeteria, 20.0 percent said they are found in lecture halls, while 15.0 percent said they are found in washrooms.</w:t>
      </w:r>
    </w:p>
    <w:p w14:paraId="438ABE4A" w14:textId="77777777" w:rsidR="00F43D2D" w:rsidRDefault="00F43D2D" w:rsidP="008D4E9B">
      <w:pPr>
        <w:pStyle w:val="NoSpacing"/>
        <w:spacing w:line="276" w:lineRule="auto"/>
        <w:jc w:val="both"/>
        <w:rPr>
          <w:rFonts w:ascii="Book Antiqua" w:hAnsi="Book Antiqua"/>
          <w:b/>
        </w:rPr>
      </w:pPr>
    </w:p>
    <w:tbl>
      <w:tblPr>
        <w:tblpPr w:leftFromText="180" w:rightFromText="180" w:vertAnchor="text" w:horzAnchor="margin" w:tblpY="722"/>
        <w:tblW w:w="4294" w:type="dxa"/>
        <w:tblBorders>
          <w:top w:val="single" w:sz="8" w:space="0" w:color="000000"/>
          <w:bottom w:val="single" w:sz="8" w:space="0" w:color="000000"/>
        </w:tblBorders>
        <w:tblLook w:val="05A0" w:firstRow="1" w:lastRow="0" w:firstColumn="1" w:lastColumn="1" w:noHBand="0" w:noVBand="1"/>
      </w:tblPr>
      <w:tblGrid>
        <w:gridCol w:w="1665"/>
        <w:gridCol w:w="1285"/>
        <w:gridCol w:w="1344"/>
      </w:tblGrid>
      <w:tr w:rsidR="00675801" w:rsidRPr="0076390A" w14:paraId="6CC4EE51" w14:textId="77777777" w:rsidTr="00303CCC">
        <w:trPr>
          <w:trHeight w:val="212"/>
        </w:trPr>
        <w:tc>
          <w:tcPr>
            <w:tcW w:w="1665" w:type="dxa"/>
            <w:tcBorders>
              <w:top w:val="single" w:sz="8" w:space="0" w:color="000000"/>
              <w:left w:val="nil"/>
              <w:bottom w:val="single" w:sz="8" w:space="0" w:color="000000"/>
              <w:right w:val="nil"/>
            </w:tcBorders>
            <w:shd w:val="clear" w:color="auto" w:fill="auto"/>
          </w:tcPr>
          <w:p w14:paraId="3CB2F42D" w14:textId="77777777" w:rsidR="00675801" w:rsidRPr="0076390A" w:rsidRDefault="00675801" w:rsidP="00303CCC">
            <w:pPr>
              <w:pStyle w:val="NoSpacing"/>
              <w:spacing w:line="240" w:lineRule="exact"/>
              <w:jc w:val="both"/>
              <w:rPr>
                <w:rFonts w:ascii="Book Antiqua" w:hAnsi="Book Antiqua"/>
                <w:b/>
                <w:bCs/>
                <w:color w:val="000000"/>
              </w:rPr>
            </w:pPr>
            <w:r w:rsidRPr="0076390A">
              <w:rPr>
                <w:rFonts w:ascii="Book Antiqua" w:hAnsi="Book Antiqua"/>
                <w:b/>
                <w:bCs/>
                <w:color w:val="000000"/>
              </w:rPr>
              <w:t>Place</w:t>
            </w:r>
          </w:p>
        </w:tc>
        <w:tc>
          <w:tcPr>
            <w:tcW w:w="1285" w:type="dxa"/>
            <w:tcBorders>
              <w:top w:val="single" w:sz="8" w:space="0" w:color="000000"/>
              <w:left w:val="nil"/>
              <w:bottom w:val="single" w:sz="8" w:space="0" w:color="000000"/>
              <w:right w:val="nil"/>
            </w:tcBorders>
            <w:shd w:val="clear" w:color="auto" w:fill="auto"/>
          </w:tcPr>
          <w:p w14:paraId="384E2D47" w14:textId="77777777" w:rsidR="00675801" w:rsidRPr="0076390A" w:rsidRDefault="00675801" w:rsidP="00303CCC">
            <w:pPr>
              <w:pStyle w:val="NoSpacing"/>
              <w:spacing w:line="240" w:lineRule="exact"/>
              <w:jc w:val="both"/>
              <w:rPr>
                <w:rFonts w:ascii="Book Antiqua" w:hAnsi="Book Antiqua"/>
                <w:b/>
                <w:bCs/>
                <w:color w:val="000000"/>
              </w:rPr>
            </w:pPr>
            <w:r w:rsidRPr="0076390A">
              <w:rPr>
                <w:rFonts w:ascii="Book Antiqua" w:hAnsi="Book Antiqua"/>
                <w:b/>
                <w:bCs/>
                <w:color w:val="000000"/>
              </w:rPr>
              <w:t>Frequency</w:t>
            </w:r>
          </w:p>
        </w:tc>
        <w:tc>
          <w:tcPr>
            <w:tcW w:w="1344" w:type="dxa"/>
            <w:tcBorders>
              <w:top w:val="single" w:sz="8" w:space="0" w:color="000000"/>
              <w:left w:val="nil"/>
              <w:bottom w:val="single" w:sz="8" w:space="0" w:color="000000"/>
              <w:right w:val="nil"/>
            </w:tcBorders>
            <w:shd w:val="clear" w:color="auto" w:fill="auto"/>
          </w:tcPr>
          <w:p w14:paraId="2A2BC8D9" w14:textId="77777777" w:rsidR="00675801" w:rsidRPr="0076390A" w:rsidRDefault="00675801" w:rsidP="00303CCC">
            <w:pPr>
              <w:pStyle w:val="NoSpacing"/>
              <w:spacing w:line="240" w:lineRule="exact"/>
              <w:jc w:val="both"/>
              <w:rPr>
                <w:rFonts w:ascii="Book Antiqua" w:hAnsi="Book Antiqua"/>
                <w:b/>
                <w:bCs/>
                <w:color w:val="000000"/>
              </w:rPr>
            </w:pPr>
            <w:r w:rsidRPr="0076390A">
              <w:rPr>
                <w:rFonts w:ascii="Book Antiqua" w:hAnsi="Book Antiqua"/>
                <w:b/>
                <w:bCs/>
                <w:color w:val="000000"/>
              </w:rPr>
              <w:t>Percent</w:t>
            </w:r>
          </w:p>
        </w:tc>
      </w:tr>
      <w:tr w:rsidR="00F43D2D" w:rsidRPr="0076390A" w14:paraId="0272F417" w14:textId="77777777" w:rsidTr="00303CCC">
        <w:trPr>
          <w:trHeight w:val="365"/>
        </w:trPr>
        <w:tc>
          <w:tcPr>
            <w:tcW w:w="1665" w:type="dxa"/>
            <w:tcBorders>
              <w:left w:val="nil"/>
              <w:right w:val="nil"/>
            </w:tcBorders>
            <w:shd w:val="clear" w:color="auto" w:fill="auto"/>
          </w:tcPr>
          <w:p w14:paraId="59F79030"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Lecture Halls</w:t>
            </w:r>
          </w:p>
        </w:tc>
        <w:tc>
          <w:tcPr>
            <w:tcW w:w="1285" w:type="dxa"/>
            <w:tcBorders>
              <w:left w:val="nil"/>
              <w:right w:val="nil"/>
            </w:tcBorders>
            <w:shd w:val="clear" w:color="auto" w:fill="auto"/>
          </w:tcPr>
          <w:p w14:paraId="09635789" w14:textId="77777777" w:rsidR="00675801" w:rsidRPr="0076390A" w:rsidRDefault="00675801" w:rsidP="00303CCC">
            <w:pPr>
              <w:spacing w:line="240" w:lineRule="exact"/>
              <w:jc w:val="both"/>
              <w:rPr>
                <w:rFonts w:ascii="Book Antiqua" w:hAnsi="Book Antiqua"/>
                <w:color w:val="000000"/>
              </w:rPr>
            </w:pPr>
            <w:r w:rsidRPr="0076390A">
              <w:rPr>
                <w:rFonts w:ascii="Book Antiqua" w:hAnsi="Book Antiqua"/>
                <w:color w:val="000000"/>
              </w:rPr>
              <w:t>20</w:t>
            </w:r>
          </w:p>
        </w:tc>
        <w:tc>
          <w:tcPr>
            <w:tcW w:w="1344" w:type="dxa"/>
            <w:tcBorders>
              <w:left w:val="nil"/>
              <w:right w:val="nil"/>
            </w:tcBorders>
            <w:shd w:val="clear" w:color="auto" w:fill="auto"/>
          </w:tcPr>
          <w:p w14:paraId="4321CAEE"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20.0</w:t>
            </w:r>
          </w:p>
        </w:tc>
      </w:tr>
      <w:tr w:rsidR="00675801" w:rsidRPr="0076390A" w14:paraId="49F892C1" w14:textId="77777777" w:rsidTr="00303CCC">
        <w:trPr>
          <w:trHeight w:val="285"/>
        </w:trPr>
        <w:tc>
          <w:tcPr>
            <w:tcW w:w="1665" w:type="dxa"/>
            <w:shd w:val="clear" w:color="auto" w:fill="auto"/>
          </w:tcPr>
          <w:p w14:paraId="0F0AD1DA"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Cafeteria</w:t>
            </w:r>
          </w:p>
        </w:tc>
        <w:tc>
          <w:tcPr>
            <w:tcW w:w="1285" w:type="dxa"/>
            <w:shd w:val="clear" w:color="auto" w:fill="auto"/>
          </w:tcPr>
          <w:p w14:paraId="2D215437" w14:textId="77777777" w:rsidR="00675801" w:rsidRPr="0076390A" w:rsidRDefault="00675801" w:rsidP="00303CCC">
            <w:pPr>
              <w:spacing w:line="240" w:lineRule="exact"/>
              <w:jc w:val="both"/>
              <w:rPr>
                <w:rFonts w:ascii="Book Antiqua" w:hAnsi="Book Antiqua"/>
                <w:color w:val="000000"/>
              </w:rPr>
            </w:pPr>
            <w:r w:rsidRPr="0076390A">
              <w:rPr>
                <w:rFonts w:ascii="Book Antiqua" w:hAnsi="Book Antiqua"/>
                <w:color w:val="000000"/>
              </w:rPr>
              <w:t>30</w:t>
            </w:r>
          </w:p>
        </w:tc>
        <w:tc>
          <w:tcPr>
            <w:tcW w:w="1344" w:type="dxa"/>
            <w:shd w:val="clear" w:color="auto" w:fill="auto"/>
          </w:tcPr>
          <w:p w14:paraId="72A89F6A"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30.0</w:t>
            </w:r>
          </w:p>
        </w:tc>
      </w:tr>
      <w:tr w:rsidR="00F43D2D" w:rsidRPr="0076390A" w14:paraId="2A639A56" w14:textId="77777777" w:rsidTr="00303CCC">
        <w:trPr>
          <w:trHeight w:val="303"/>
        </w:trPr>
        <w:tc>
          <w:tcPr>
            <w:tcW w:w="1665" w:type="dxa"/>
            <w:tcBorders>
              <w:left w:val="nil"/>
              <w:right w:val="nil"/>
            </w:tcBorders>
            <w:shd w:val="clear" w:color="auto" w:fill="auto"/>
          </w:tcPr>
          <w:p w14:paraId="6022C9A8"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Washrooms</w:t>
            </w:r>
          </w:p>
        </w:tc>
        <w:tc>
          <w:tcPr>
            <w:tcW w:w="1285" w:type="dxa"/>
            <w:tcBorders>
              <w:left w:val="nil"/>
              <w:right w:val="nil"/>
            </w:tcBorders>
            <w:shd w:val="clear" w:color="auto" w:fill="auto"/>
          </w:tcPr>
          <w:p w14:paraId="319F202D" w14:textId="77777777" w:rsidR="00675801" w:rsidRPr="0076390A" w:rsidRDefault="00675801" w:rsidP="00303CCC">
            <w:pPr>
              <w:spacing w:line="240" w:lineRule="exact"/>
              <w:jc w:val="both"/>
              <w:rPr>
                <w:rFonts w:ascii="Book Antiqua" w:hAnsi="Book Antiqua"/>
                <w:color w:val="000000"/>
              </w:rPr>
            </w:pPr>
            <w:r w:rsidRPr="0076390A">
              <w:rPr>
                <w:rFonts w:ascii="Book Antiqua" w:hAnsi="Book Antiqua"/>
                <w:color w:val="000000"/>
              </w:rPr>
              <w:t>15</w:t>
            </w:r>
          </w:p>
        </w:tc>
        <w:tc>
          <w:tcPr>
            <w:tcW w:w="1344" w:type="dxa"/>
            <w:tcBorders>
              <w:left w:val="nil"/>
              <w:right w:val="nil"/>
            </w:tcBorders>
            <w:shd w:val="clear" w:color="auto" w:fill="auto"/>
          </w:tcPr>
          <w:p w14:paraId="40A238A3"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15.0</w:t>
            </w:r>
          </w:p>
        </w:tc>
      </w:tr>
      <w:tr w:rsidR="00675801" w:rsidRPr="0076390A" w14:paraId="67D2CAF4" w14:textId="77777777" w:rsidTr="00303CCC">
        <w:trPr>
          <w:trHeight w:val="623"/>
        </w:trPr>
        <w:tc>
          <w:tcPr>
            <w:tcW w:w="1665" w:type="dxa"/>
            <w:shd w:val="clear" w:color="auto" w:fill="auto"/>
          </w:tcPr>
          <w:p w14:paraId="4A2495E8"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Campus surrounding</w:t>
            </w:r>
          </w:p>
        </w:tc>
        <w:tc>
          <w:tcPr>
            <w:tcW w:w="1285" w:type="dxa"/>
            <w:shd w:val="clear" w:color="auto" w:fill="auto"/>
          </w:tcPr>
          <w:p w14:paraId="7897B5C0" w14:textId="77777777" w:rsidR="00675801" w:rsidRPr="0076390A" w:rsidRDefault="00675801" w:rsidP="00303CCC">
            <w:pPr>
              <w:spacing w:line="240" w:lineRule="exact"/>
              <w:jc w:val="both"/>
              <w:rPr>
                <w:rFonts w:ascii="Book Antiqua" w:hAnsi="Book Antiqua"/>
                <w:color w:val="000000"/>
              </w:rPr>
            </w:pPr>
            <w:r w:rsidRPr="0076390A">
              <w:rPr>
                <w:rFonts w:ascii="Book Antiqua" w:hAnsi="Book Antiqua"/>
                <w:color w:val="000000"/>
              </w:rPr>
              <w:t>35</w:t>
            </w:r>
          </w:p>
        </w:tc>
        <w:tc>
          <w:tcPr>
            <w:tcW w:w="1344" w:type="dxa"/>
            <w:shd w:val="clear" w:color="auto" w:fill="auto"/>
          </w:tcPr>
          <w:p w14:paraId="6F248A19"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35.0</w:t>
            </w:r>
          </w:p>
        </w:tc>
      </w:tr>
      <w:tr w:rsidR="00F43D2D" w:rsidRPr="0076390A" w14:paraId="2DD4368A" w14:textId="77777777" w:rsidTr="00303CCC">
        <w:trPr>
          <w:trHeight w:val="299"/>
        </w:trPr>
        <w:tc>
          <w:tcPr>
            <w:tcW w:w="1665" w:type="dxa"/>
            <w:tcBorders>
              <w:left w:val="nil"/>
              <w:right w:val="nil"/>
            </w:tcBorders>
            <w:shd w:val="clear" w:color="auto" w:fill="auto"/>
          </w:tcPr>
          <w:p w14:paraId="1CC0E5CF"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Total</w:t>
            </w:r>
          </w:p>
        </w:tc>
        <w:tc>
          <w:tcPr>
            <w:tcW w:w="1285" w:type="dxa"/>
            <w:tcBorders>
              <w:left w:val="nil"/>
              <w:right w:val="nil"/>
            </w:tcBorders>
            <w:shd w:val="clear" w:color="auto" w:fill="auto"/>
          </w:tcPr>
          <w:p w14:paraId="2F3CF0A5" w14:textId="77777777" w:rsidR="00675801" w:rsidRPr="0076390A" w:rsidRDefault="00675801" w:rsidP="00303CCC">
            <w:pPr>
              <w:spacing w:line="240" w:lineRule="exact"/>
              <w:jc w:val="both"/>
              <w:rPr>
                <w:rFonts w:ascii="Book Antiqua" w:hAnsi="Book Antiqua"/>
                <w:color w:val="000000"/>
              </w:rPr>
            </w:pPr>
            <w:r w:rsidRPr="0076390A">
              <w:rPr>
                <w:rFonts w:ascii="Book Antiqua" w:hAnsi="Book Antiqua"/>
                <w:color w:val="000000"/>
              </w:rPr>
              <w:t>100</w:t>
            </w:r>
          </w:p>
        </w:tc>
        <w:tc>
          <w:tcPr>
            <w:tcW w:w="1344" w:type="dxa"/>
            <w:tcBorders>
              <w:left w:val="nil"/>
              <w:right w:val="nil"/>
            </w:tcBorders>
            <w:shd w:val="clear" w:color="auto" w:fill="auto"/>
          </w:tcPr>
          <w:p w14:paraId="4FE8B77E" w14:textId="77777777" w:rsidR="00675801" w:rsidRPr="0076390A" w:rsidRDefault="00675801" w:rsidP="00303CCC">
            <w:pPr>
              <w:spacing w:line="240" w:lineRule="exact"/>
              <w:jc w:val="both"/>
              <w:rPr>
                <w:rFonts w:ascii="Book Antiqua" w:hAnsi="Book Antiqua"/>
                <w:b/>
                <w:bCs/>
                <w:color w:val="000000"/>
              </w:rPr>
            </w:pPr>
            <w:r w:rsidRPr="0076390A">
              <w:rPr>
                <w:rFonts w:ascii="Book Antiqua" w:hAnsi="Book Antiqua"/>
                <w:b/>
                <w:bCs/>
                <w:color w:val="000000"/>
              </w:rPr>
              <w:t>100.0</w:t>
            </w:r>
          </w:p>
        </w:tc>
      </w:tr>
    </w:tbl>
    <w:p w14:paraId="413D16D6" w14:textId="77777777" w:rsidR="00751699" w:rsidRDefault="00751699" w:rsidP="008D4E9B">
      <w:pPr>
        <w:pStyle w:val="NoSpacing"/>
        <w:spacing w:line="276" w:lineRule="auto"/>
        <w:jc w:val="both"/>
        <w:rPr>
          <w:rFonts w:ascii="Book Antiqua" w:hAnsi="Book Antiqua"/>
          <w:b/>
        </w:rPr>
      </w:pPr>
    </w:p>
    <w:p w14:paraId="5FA1ED40" w14:textId="77777777" w:rsidR="008D4E9B" w:rsidRPr="004731AD" w:rsidRDefault="008D4E9B" w:rsidP="00F43D2D">
      <w:pPr>
        <w:jc w:val="both"/>
        <w:rPr>
          <w:rFonts w:ascii="Book Antiqua" w:hAnsi="Book Antiqua"/>
          <w:b/>
        </w:rPr>
      </w:pPr>
      <w:r w:rsidRPr="004731AD">
        <w:rPr>
          <w:rFonts w:ascii="Book Antiqua" w:hAnsi="Book Antiqua"/>
          <w:b/>
        </w:rPr>
        <w:t>3.3 Ways of handling the plastic waste produced on campuses</w:t>
      </w:r>
    </w:p>
    <w:p w14:paraId="6217A476" w14:textId="77777777" w:rsidR="00303CCC" w:rsidRDefault="008D4E9B" w:rsidP="00303CCC">
      <w:pPr>
        <w:spacing w:after="0" w:line="240" w:lineRule="auto"/>
        <w:jc w:val="both"/>
        <w:rPr>
          <w:rFonts w:ascii="Book Antiqua" w:hAnsi="Book Antiqua"/>
          <w:b/>
        </w:rPr>
      </w:pPr>
      <w:r w:rsidRPr="004731AD">
        <w:rPr>
          <w:rFonts w:ascii="Book Antiqua" w:hAnsi="Book Antiqua"/>
        </w:rPr>
        <w:t xml:space="preserve">The students were asked to indicate the ways in which the plastic wastes produced on their campuses are disposed. </w:t>
      </w:r>
    </w:p>
    <w:p w14:paraId="400D3881" w14:textId="77777777" w:rsidR="00675801" w:rsidRDefault="008D4E9B" w:rsidP="008D4E9B">
      <w:pPr>
        <w:jc w:val="both"/>
        <w:rPr>
          <w:rFonts w:ascii="Book Antiqua" w:hAnsi="Book Antiqua"/>
        </w:rPr>
      </w:pPr>
      <w:r w:rsidRPr="004731AD">
        <w:rPr>
          <w:rFonts w:ascii="Book Antiqua" w:hAnsi="Book Antiqua"/>
        </w:rPr>
        <w:t xml:space="preserve">Table 5 presents the findings the frequency and percentage of their responses. The analysis showed that collection and dumping the plastic wastes at the refuse dump is the custom practiced on campuses. </w:t>
      </w:r>
    </w:p>
    <w:p w14:paraId="563D8D72" w14:textId="77777777" w:rsidR="008D4E9B" w:rsidRPr="004731AD" w:rsidRDefault="008D4E9B" w:rsidP="003F5F3E">
      <w:pPr>
        <w:spacing w:after="0"/>
        <w:jc w:val="both"/>
        <w:rPr>
          <w:rFonts w:ascii="Book Antiqua" w:hAnsi="Book Antiqua"/>
        </w:rPr>
      </w:pPr>
      <w:r w:rsidRPr="004731AD">
        <w:rPr>
          <w:rFonts w:ascii="Book Antiqua" w:hAnsi="Book Antiqua"/>
          <w:b/>
        </w:rPr>
        <w:t>Table 5. Ways of disposing plastic waste on campus</w:t>
      </w:r>
    </w:p>
    <w:tbl>
      <w:tblPr>
        <w:tblpPr w:leftFromText="180" w:rightFromText="180" w:vertAnchor="page" w:horzAnchor="page" w:tblpX="6373" w:tblpY="9001"/>
        <w:tblW w:w="4446" w:type="dxa"/>
        <w:tblBorders>
          <w:top w:val="single" w:sz="8" w:space="0" w:color="000000"/>
          <w:bottom w:val="single" w:sz="8" w:space="0" w:color="000000"/>
        </w:tblBorders>
        <w:tblLook w:val="04E0" w:firstRow="1" w:lastRow="1" w:firstColumn="1" w:lastColumn="0" w:noHBand="0" w:noVBand="1"/>
      </w:tblPr>
      <w:tblGrid>
        <w:gridCol w:w="1559"/>
        <w:gridCol w:w="1413"/>
        <w:gridCol w:w="1474"/>
      </w:tblGrid>
      <w:tr w:rsidR="003F5F3E" w:rsidRPr="0076390A" w14:paraId="2ECD6ADD" w14:textId="77777777" w:rsidTr="003F5F3E">
        <w:trPr>
          <w:trHeight w:val="554"/>
        </w:trPr>
        <w:tc>
          <w:tcPr>
            <w:tcW w:w="1559" w:type="dxa"/>
            <w:tcBorders>
              <w:top w:val="single" w:sz="8" w:space="0" w:color="000000"/>
              <w:left w:val="nil"/>
              <w:bottom w:val="single" w:sz="8" w:space="0" w:color="000000"/>
              <w:right w:val="nil"/>
            </w:tcBorders>
            <w:shd w:val="clear" w:color="auto" w:fill="auto"/>
          </w:tcPr>
          <w:p w14:paraId="12682D6D" w14:textId="77777777" w:rsidR="003F5F3E" w:rsidRPr="0076390A" w:rsidRDefault="003F5F3E" w:rsidP="003F5F3E">
            <w:pPr>
              <w:spacing w:after="0"/>
              <w:jc w:val="both"/>
              <w:rPr>
                <w:rFonts w:ascii="Book Antiqua" w:hAnsi="Book Antiqua"/>
                <w:b/>
                <w:bCs/>
                <w:color w:val="000000"/>
              </w:rPr>
            </w:pPr>
            <w:r w:rsidRPr="0076390A">
              <w:rPr>
                <w:rFonts w:ascii="Book Antiqua" w:hAnsi="Book Antiqua"/>
                <w:b/>
                <w:bCs/>
                <w:color w:val="000000"/>
              </w:rPr>
              <w:t>Ways of disposal</w:t>
            </w:r>
          </w:p>
        </w:tc>
        <w:tc>
          <w:tcPr>
            <w:tcW w:w="1413" w:type="dxa"/>
            <w:tcBorders>
              <w:top w:val="single" w:sz="8" w:space="0" w:color="000000"/>
              <w:left w:val="nil"/>
              <w:bottom w:val="single" w:sz="8" w:space="0" w:color="000000"/>
              <w:right w:val="nil"/>
            </w:tcBorders>
            <w:shd w:val="clear" w:color="auto" w:fill="auto"/>
          </w:tcPr>
          <w:p w14:paraId="41A36E5D" w14:textId="77777777" w:rsidR="003F5F3E" w:rsidRPr="0076390A" w:rsidRDefault="003F5F3E" w:rsidP="003F5F3E">
            <w:pPr>
              <w:spacing w:after="0"/>
              <w:jc w:val="both"/>
              <w:rPr>
                <w:rFonts w:ascii="Book Antiqua" w:hAnsi="Book Antiqua"/>
                <w:b/>
                <w:bCs/>
                <w:color w:val="000000"/>
              </w:rPr>
            </w:pPr>
            <w:r w:rsidRPr="0076390A">
              <w:rPr>
                <w:rFonts w:ascii="Book Antiqua" w:hAnsi="Book Antiqua"/>
                <w:b/>
                <w:bCs/>
                <w:color w:val="000000"/>
              </w:rPr>
              <w:t>Frequency</w:t>
            </w:r>
          </w:p>
        </w:tc>
        <w:tc>
          <w:tcPr>
            <w:tcW w:w="1474" w:type="dxa"/>
            <w:tcBorders>
              <w:top w:val="single" w:sz="8" w:space="0" w:color="000000"/>
              <w:left w:val="nil"/>
              <w:bottom w:val="single" w:sz="8" w:space="0" w:color="000000"/>
              <w:right w:val="nil"/>
            </w:tcBorders>
            <w:shd w:val="clear" w:color="auto" w:fill="auto"/>
          </w:tcPr>
          <w:p w14:paraId="35CDAF5E" w14:textId="77777777" w:rsidR="003F5F3E" w:rsidRPr="0076390A" w:rsidRDefault="003F5F3E" w:rsidP="003F5F3E">
            <w:pPr>
              <w:spacing w:after="0"/>
              <w:jc w:val="both"/>
              <w:rPr>
                <w:rFonts w:ascii="Book Antiqua" w:hAnsi="Book Antiqua"/>
                <w:b/>
                <w:bCs/>
                <w:color w:val="000000"/>
              </w:rPr>
            </w:pPr>
            <w:r w:rsidRPr="0076390A">
              <w:rPr>
                <w:rFonts w:ascii="Book Antiqua" w:hAnsi="Book Antiqua"/>
                <w:b/>
                <w:bCs/>
                <w:color w:val="000000"/>
              </w:rPr>
              <w:t>Percent</w:t>
            </w:r>
          </w:p>
        </w:tc>
      </w:tr>
      <w:tr w:rsidR="003F5F3E" w:rsidRPr="0076390A" w14:paraId="45A1256F" w14:textId="77777777" w:rsidTr="003F5F3E">
        <w:trPr>
          <w:trHeight w:val="278"/>
        </w:trPr>
        <w:tc>
          <w:tcPr>
            <w:tcW w:w="1559" w:type="dxa"/>
            <w:tcBorders>
              <w:left w:val="nil"/>
              <w:right w:val="nil"/>
            </w:tcBorders>
            <w:shd w:val="clear" w:color="auto" w:fill="auto"/>
          </w:tcPr>
          <w:p w14:paraId="19895F3A" w14:textId="77777777" w:rsidR="003F5F3E" w:rsidRPr="0076390A" w:rsidRDefault="003F5F3E" w:rsidP="003F5F3E">
            <w:pPr>
              <w:spacing w:after="0"/>
              <w:jc w:val="both"/>
              <w:rPr>
                <w:rFonts w:ascii="Book Antiqua" w:hAnsi="Book Antiqua"/>
                <w:b/>
                <w:bCs/>
                <w:color w:val="000000"/>
              </w:rPr>
            </w:pPr>
            <w:r w:rsidRPr="0076390A">
              <w:rPr>
                <w:rFonts w:ascii="Book Antiqua" w:hAnsi="Book Antiqua"/>
                <w:b/>
                <w:bCs/>
                <w:color w:val="000000"/>
              </w:rPr>
              <w:t>Dumping</w:t>
            </w:r>
          </w:p>
        </w:tc>
        <w:tc>
          <w:tcPr>
            <w:tcW w:w="1413" w:type="dxa"/>
            <w:tcBorders>
              <w:left w:val="nil"/>
              <w:right w:val="nil"/>
            </w:tcBorders>
            <w:shd w:val="clear" w:color="auto" w:fill="auto"/>
          </w:tcPr>
          <w:p w14:paraId="4616FDBA" w14:textId="77777777" w:rsidR="003F5F3E" w:rsidRPr="0076390A" w:rsidRDefault="003F5F3E" w:rsidP="003F5F3E">
            <w:pPr>
              <w:spacing w:after="0"/>
              <w:jc w:val="both"/>
              <w:rPr>
                <w:rFonts w:ascii="Book Antiqua" w:hAnsi="Book Antiqua"/>
                <w:color w:val="000000"/>
              </w:rPr>
            </w:pPr>
            <w:r w:rsidRPr="0076390A">
              <w:rPr>
                <w:rFonts w:ascii="Book Antiqua" w:hAnsi="Book Antiqua"/>
                <w:color w:val="000000"/>
              </w:rPr>
              <w:t>75</w:t>
            </w:r>
          </w:p>
        </w:tc>
        <w:tc>
          <w:tcPr>
            <w:tcW w:w="1474" w:type="dxa"/>
            <w:tcBorders>
              <w:left w:val="nil"/>
              <w:right w:val="nil"/>
            </w:tcBorders>
            <w:shd w:val="clear" w:color="auto" w:fill="auto"/>
          </w:tcPr>
          <w:p w14:paraId="7B10913F" w14:textId="77777777" w:rsidR="003F5F3E" w:rsidRPr="0076390A" w:rsidRDefault="003F5F3E" w:rsidP="003F5F3E">
            <w:pPr>
              <w:spacing w:after="0"/>
              <w:jc w:val="both"/>
              <w:rPr>
                <w:rFonts w:ascii="Book Antiqua" w:hAnsi="Book Antiqua"/>
                <w:color w:val="000000"/>
              </w:rPr>
            </w:pPr>
            <w:r w:rsidRPr="0076390A">
              <w:rPr>
                <w:rFonts w:ascii="Book Antiqua" w:hAnsi="Book Antiqua"/>
                <w:color w:val="000000"/>
              </w:rPr>
              <w:t>75.0</w:t>
            </w:r>
          </w:p>
        </w:tc>
      </w:tr>
      <w:tr w:rsidR="003F5F3E" w:rsidRPr="0076390A" w14:paraId="4F37E2D7" w14:textId="77777777" w:rsidTr="003F5F3E">
        <w:trPr>
          <w:trHeight w:val="278"/>
        </w:trPr>
        <w:tc>
          <w:tcPr>
            <w:tcW w:w="1559" w:type="dxa"/>
            <w:shd w:val="clear" w:color="auto" w:fill="auto"/>
          </w:tcPr>
          <w:p w14:paraId="5225DD6D" w14:textId="77777777" w:rsidR="003F5F3E" w:rsidRPr="0076390A" w:rsidRDefault="003F5F3E" w:rsidP="003F5F3E">
            <w:pPr>
              <w:spacing w:after="0"/>
              <w:jc w:val="both"/>
              <w:rPr>
                <w:rFonts w:ascii="Book Antiqua" w:hAnsi="Book Antiqua"/>
                <w:b/>
                <w:bCs/>
                <w:color w:val="000000"/>
              </w:rPr>
            </w:pPr>
            <w:r w:rsidRPr="0076390A">
              <w:rPr>
                <w:rFonts w:ascii="Book Antiqua" w:hAnsi="Book Antiqua"/>
                <w:b/>
                <w:bCs/>
                <w:color w:val="000000"/>
              </w:rPr>
              <w:t>Burning</w:t>
            </w:r>
          </w:p>
        </w:tc>
        <w:tc>
          <w:tcPr>
            <w:tcW w:w="1413" w:type="dxa"/>
            <w:shd w:val="clear" w:color="auto" w:fill="auto"/>
          </w:tcPr>
          <w:p w14:paraId="11AC9117" w14:textId="77777777" w:rsidR="003F5F3E" w:rsidRPr="0076390A" w:rsidRDefault="003F5F3E" w:rsidP="003F5F3E">
            <w:pPr>
              <w:spacing w:after="0"/>
              <w:jc w:val="both"/>
              <w:rPr>
                <w:rFonts w:ascii="Book Antiqua" w:hAnsi="Book Antiqua"/>
                <w:color w:val="000000"/>
              </w:rPr>
            </w:pPr>
            <w:r w:rsidRPr="0076390A">
              <w:rPr>
                <w:rFonts w:ascii="Book Antiqua" w:hAnsi="Book Antiqua"/>
                <w:color w:val="000000"/>
              </w:rPr>
              <w:t>15</w:t>
            </w:r>
          </w:p>
        </w:tc>
        <w:tc>
          <w:tcPr>
            <w:tcW w:w="1474" w:type="dxa"/>
            <w:shd w:val="clear" w:color="auto" w:fill="auto"/>
          </w:tcPr>
          <w:p w14:paraId="2446E7D0" w14:textId="77777777" w:rsidR="003F5F3E" w:rsidRPr="0076390A" w:rsidRDefault="003F5F3E" w:rsidP="003F5F3E">
            <w:pPr>
              <w:spacing w:after="0"/>
              <w:jc w:val="both"/>
              <w:rPr>
                <w:rFonts w:ascii="Book Antiqua" w:hAnsi="Book Antiqua"/>
                <w:color w:val="000000"/>
              </w:rPr>
            </w:pPr>
            <w:r w:rsidRPr="0076390A">
              <w:rPr>
                <w:rFonts w:ascii="Book Antiqua" w:hAnsi="Book Antiqua"/>
                <w:color w:val="000000"/>
              </w:rPr>
              <w:t>15.0</w:t>
            </w:r>
          </w:p>
        </w:tc>
      </w:tr>
      <w:tr w:rsidR="003F5F3E" w:rsidRPr="0076390A" w14:paraId="0760BE01" w14:textId="77777777" w:rsidTr="003F5F3E">
        <w:trPr>
          <w:trHeight w:val="278"/>
        </w:trPr>
        <w:tc>
          <w:tcPr>
            <w:tcW w:w="1559" w:type="dxa"/>
            <w:tcBorders>
              <w:left w:val="nil"/>
              <w:right w:val="nil"/>
            </w:tcBorders>
            <w:shd w:val="clear" w:color="auto" w:fill="auto"/>
          </w:tcPr>
          <w:p w14:paraId="2E062880" w14:textId="77777777" w:rsidR="003F5F3E" w:rsidRPr="0076390A" w:rsidRDefault="003F5F3E" w:rsidP="003F5F3E">
            <w:pPr>
              <w:spacing w:after="0"/>
              <w:jc w:val="both"/>
              <w:rPr>
                <w:rFonts w:ascii="Book Antiqua" w:hAnsi="Book Antiqua"/>
                <w:b/>
                <w:bCs/>
                <w:color w:val="000000"/>
              </w:rPr>
            </w:pPr>
            <w:r w:rsidRPr="0076390A">
              <w:rPr>
                <w:rFonts w:ascii="Book Antiqua" w:hAnsi="Book Antiqua"/>
                <w:b/>
                <w:bCs/>
                <w:color w:val="000000"/>
              </w:rPr>
              <w:t>No idea</w:t>
            </w:r>
          </w:p>
        </w:tc>
        <w:tc>
          <w:tcPr>
            <w:tcW w:w="1413" w:type="dxa"/>
            <w:tcBorders>
              <w:left w:val="nil"/>
              <w:right w:val="nil"/>
            </w:tcBorders>
            <w:shd w:val="clear" w:color="auto" w:fill="auto"/>
          </w:tcPr>
          <w:p w14:paraId="3D4C7A89" w14:textId="77777777" w:rsidR="003F5F3E" w:rsidRPr="0076390A" w:rsidRDefault="003F5F3E" w:rsidP="003F5F3E">
            <w:pPr>
              <w:spacing w:after="0"/>
              <w:jc w:val="both"/>
              <w:rPr>
                <w:rFonts w:ascii="Book Antiqua" w:hAnsi="Book Antiqua"/>
                <w:color w:val="000000"/>
              </w:rPr>
            </w:pPr>
            <w:r w:rsidRPr="0076390A">
              <w:rPr>
                <w:rFonts w:ascii="Book Antiqua" w:hAnsi="Book Antiqua"/>
                <w:color w:val="000000"/>
              </w:rPr>
              <w:t>10</w:t>
            </w:r>
          </w:p>
        </w:tc>
        <w:tc>
          <w:tcPr>
            <w:tcW w:w="1474" w:type="dxa"/>
            <w:tcBorders>
              <w:left w:val="nil"/>
              <w:right w:val="nil"/>
            </w:tcBorders>
            <w:shd w:val="clear" w:color="auto" w:fill="auto"/>
          </w:tcPr>
          <w:p w14:paraId="3A05B0E9" w14:textId="77777777" w:rsidR="003F5F3E" w:rsidRPr="0076390A" w:rsidRDefault="003F5F3E" w:rsidP="003F5F3E">
            <w:pPr>
              <w:spacing w:after="0"/>
              <w:jc w:val="both"/>
              <w:rPr>
                <w:rFonts w:ascii="Book Antiqua" w:hAnsi="Book Antiqua"/>
                <w:color w:val="000000"/>
              </w:rPr>
            </w:pPr>
            <w:r w:rsidRPr="0076390A">
              <w:rPr>
                <w:rFonts w:ascii="Book Antiqua" w:hAnsi="Book Antiqua"/>
                <w:color w:val="000000"/>
              </w:rPr>
              <w:t>10.0</w:t>
            </w:r>
          </w:p>
        </w:tc>
      </w:tr>
      <w:tr w:rsidR="003F5F3E" w:rsidRPr="0076390A" w14:paraId="463063CB" w14:textId="77777777" w:rsidTr="003F5F3E">
        <w:trPr>
          <w:trHeight w:val="292"/>
        </w:trPr>
        <w:tc>
          <w:tcPr>
            <w:tcW w:w="1559" w:type="dxa"/>
            <w:tcBorders>
              <w:top w:val="single" w:sz="8" w:space="0" w:color="000000"/>
              <w:left w:val="nil"/>
              <w:bottom w:val="single" w:sz="8" w:space="0" w:color="000000"/>
              <w:right w:val="nil"/>
            </w:tcBorders>
            <w:shd w:val="clear" w:color="auto" w:fill="auto"/>
          </w:tcPr>
          <w:p w14:paraId="2565DA4C" w14:textId="77777777" w:rsidR="003F5F3E" w:rsidRPr="0076390A" w:rsidRDefault="003F5F3E" w:rsidP="003F5F3E">
            <w:pPr>
              <w:spacing w:after="0"/>
              <w:jc w:val="both"/>
              <w:rPr>
                <w:rFonts w:ascii="Book Antiqua" w:hAnsi="Book Antiqua"/>
                <w:b/>
                <w:bCs/>
                <w:color w:val="000000"/>
              </w:rPr>
            </w:pPr>
            <w:r w:rsidRPr="0076390A">
              <w:rPr>
                <w:rFonts w:ascii="Book Antiqua" w:hAnsi="Book Antiqua"/>
                <w:b/>
                <w:bCs/>
                <w:color w:val="000000"/>
              </w:rPr>
              <w:t>Total</w:t>
            </w:r>
          </w:p>
        </w:tc>
        <w:tc>
          <w:tcPr>
            <w:tcW w:w="1413" w:type="dxa"/>
            <w:tcBorders>
              <w:top w:val="single" w:sz="8" w:space="0" w:color="000000"/>
              <w:left w:val="nil"/>
              <w:bottom w:val="single" w:sz="8" w:space="0" w:color="000000"/>
              <w:right w:val="nil"/>
            </w:tcBorders>
            <w:shd w:val="clear" w:color="auto" w:fill="auto"/>
          </w:tcPr>
          <w:p w14:paraId="4F745659" w14:textId="77777777" w:rsidR="003F5F3E" w:rsidRPr="0076390A" w:rsidRDefault="003F5F3E" w:rsidP="003F5F3E">
            <w:pPr>
              <w:spacing w:after="0"/>
              <w:jc w:val="both"/>
              <w:rPr>
                <w:rFonts w:ascii="Book Antiqua" w:hAnsi="Book Antiqua"/>
                <w:b/>
                <w:bCs/>
                <w:color w:val="000000"/>
              </w:rPr>
            </w:pPr>
            <w:r w:rsidRPr="0076390A">
              <w:rPr>
                <w:rFonts w:ascii="Book Antiqua" w:hAnsi="Book Antiqua"/>
                <w:b/>
                <w:bCs/>
                <w:color w:val="000000"/>
              </w:rPr>
              <w:t>100</w:t>
            </w:r>
          </w:p>
        </w:tc>
        <w:tc>
          <w:tcPr>
            <w:tcW w:w="1474" w:type="dxa"/>
            <w:tcBorders>
              <w:top w:val="single" w:sz="8" w:space="0" w:color="000000"/>
              <w:left w:val="nil"/>
              <w:bottom w:val="single" w:sz="8" w:space="0" w:color="000000"/>
              <w:right w:val="nil"/>
            </w:tcBorders>
            <w:shd w:val="clear" w:color="auto" w:fill="auto"/>
          </w:tcPr>
          <w:p w14:paraId="3D216BC6" w14:textId="77777777" w:rsidR="003F5F3E" w:rsidRPr="0076390A" w:rsidRDefault="003F5F3E" w:rsidP="003F5F3E">
            <w:pPr>
              <w:spacing w:after="0"/>
              <w:jc w:val="both"/>
              <w:rPr>
                <w:rFonts w:ascii="Book Antiqua" w:hAnsi="Book Antiqua"/>
                <w:b/>
                <w:bCs/>
                <w:color w:val="000000"/>
              </w:rPr>
            </w:pPr>
            <w:r w:rsidRPr="0076390A">
              <w:rPr>
                <w:rFonts w:ascii="Book Antiqua" w:hAnsi="Book Antiqua"/>
                <w:b/>
                <w:bCs/>
                <w:color w:val="000000"/>
              </w:rPr>
              <w:t>100.0</w:t>
            </w:r>
          </w:p>
        </w:tc>
      </w:tr>
    </w:tbl>
    <w:p w14:paraId="49714CEB" w14:textId="77777777" w:rsidR="008D4E9B" w:rsidRPr="003F5F3E" w:rsidRDefault="008D4E9B" w:rsidP="008D4E9B">
      <w:pPr>
        <w:pStyle w:val="NoSpacing"/>
        <w:spacing w:line="276" w:lineRule="auto"/>
        <w:jc w:val="both"/>
        <w:rPr>
          <w:rFonts w:ascii="Book Antiqua" w:hAnsi="Book Antiqua"/>
          <w:b/>
          <w:sz w:val="16"/>
        </w:rPr>
      </w:pPr>
    </w:p>
    <w:p w14:paraId="1AA0BBF9" w14:textId="77777777" w:rsidR="003F5F3E" w:rsidRPr="004731AD" w:rsidRDefault="003F5F3E" w:rsidP="003F5F3E">
      <w:pPr>
        <w:pStyle w:val="NoSpacing"/>
        <w:spacing w:line="276" w:lineRule="auto"/>
        <w:jc w:val="both"/>
        <w:rPr>
          <w:rFonts w:ascii="Book Antiqua" w:hAnsi="Book Antiqua"/>
          <w:b/>
        </w:rPr>
      </w:pPr>
      <w:r w:rsidRPr="004731AD">
        <w:rPr>
          <w:rFonts w:ascii="Book Antiqua" w:hAnsi="Book Antiqua"/>
          <w:b/>
        </w:rPr>
        <w:t>Source: Author’s field data</w:t>
      </w:r>
    </w:p>
    <w:p w14:paraId="235808D0" w14:textId="77777777" w:rsidR="003F5F3E" w:rsidRDefault="003F5F3E" w:rsidP="008D4E9B">
      <w:pPr>
        <w:jc w:val="both"/>
        <w:rPr>
          <w:rFonts w:ascii="Book Antiqua" w:hAnsi="Book Antiqua"/>
        </w:rPr>
      </w:pPr>
    </w:p>
    <w:p w14:paraId="0356E6BD" w14:textId="77777777" w:rsidR="008D4E9B" w:rsidRPr="004731AD" w:rsidRDefault="008D4E9B" w:rsidP="008D4E9B">
      <w:pPr>
        <w:jc w:val="both"/>
        <w:rPr>
          <w:rFonts w:ascii="Book Antiqua" w:hAnsi="Book Antiqua"/>
        </w:rPr>
      </w:pPr>
      <w:r w:rsidRPr="004731AD">
        <w:rPr>
          <w:rFonts w:ascii="Book Antiqua" w:hAnsi="Book Antiqua"/>
        </w:rPr>
        <w:t>The students were also asked to indicate the best approach to handling the plastic waste produced on campus. Majority (80.0 percent) of the students indicated the option of recycling the plastic waste. However, 15.0 percent of the students consider the collection and dumping of the plastic waste at the refuse, while 5.0 percent think of burning plastic waste all the time.</w:t>
      </w:r>
    </w:p>
    <w:p w14:paraId="37DE859A" w14:textId="77777777" w:rsidR="00E146E4" w:rsidRDefault="00E146E4" w:rsidP="008D4E9B">
      <w:pPr>
        <w:jc w:val="both"/>
        <w:rPr>
          <w:rFonts w:ascii="Book Antiqua" w:hAnsi="Book Antiqua"/>
          <w:b/>
        </w:rPr>
      </w:pPr>
    </w:p>
    <w:p w14:paraId="6EB82D79" w14:textId="77777777" w:rsidR="008D4E9B" w:rsidRPr="004731AD" w:rsidRDefault="008D4E9B" w:rsidP="008D4E9B">
      <w:pPr>
        <w:jc w:val="both"/>
        <w:rPr>
          <w:rFonts w:ascii="Book Antiqua" w:hAnsi="Book Antiqua"/>
          <w:b/>
        </w:rPr>
      </w:pPr>
      <w:r w:rsidRPr="004731AD">
        <w:rPr>
          <w:rFonts w:ascii="Book Antiqua" w:hAnsi="Book Antiqua"/>
          <w:b/>
        </w:rPr>
        <w:lastRenderedPageBreak/>
        <w:t>4.</w:t>
      </w:r>
      <w:r w:rsidR="00E10ABB">
        <w:rPr>
          <w:rFonts w:ascii="Book Antiqua" w:hAnsi="Book Antiqua"/>
          <w:b/>
        </w:rPr>
        <w:t>0</w:t>
      </w:r>
      <w:r w:rsidRPr="004731AD">
        <w:rPr>
          <w:rFonts w:ascii="Book Antiqua" w:hAnsi="Book Antiqua"/>
          <w:b/>
        </w:rPr>
        <w:t xml:space="preserve"> </w:t>
      </w:r>
      <w:r w:rsidRPr="003F5F3E">
        <w:rPr>
          <w:rFonts w:ascii="Book Antiqua" w:hAnsi="Book Antiqua"/>
          <w:b/>
          <w:sz w:val="26"/>
        </w:rPr>
        <w:t>Discussion</w:t>
      </w:r>
    </w:p>
    <w:p w14:paraId="2AB57491" w14:textId="77777777" w:rsidR="008D4E9B" w:rsidRPr="004731AD" w:rsidRDefault="008D4E9B" w:rsidP="008D4E9B">
      <w:pPr>
        <w:jc w:val="both"/>
        <w:rPr>
          <w:rFonts w:ascii="Book Antiqua" w:hAnsi="Book Antiqua"/>
          <w:b/>
        </w:rPr>
      </w:pPr>
      <w:r w:rsidRPr="004731AD">
        <w:rPr>
          <w:rFonts w:ascii="Book Antiqua" w:hAnsi="Book Antiqua"/>
          <w:b/>
        </w:rPr>
        <w:t>4.1 Discussion of students’ survey</w:t>
      </w:r>
    </w:p>
    <w:p w14:paraId="0E45B106" w14:textId="77777777" w:rsidR="008D4E9B" w:rsidRPr="004731AD" w:rsidRDefault="008D4E9B" w:rsidP="008D4E9B">
      <w:pPr>
        <w:jc w:val="both"/>
        <w:rPr>
          <w:rFonts w:ascii="Book Antiqua" w:hAnsi="Book Antiqua"/>
        </w:rPr>
      </w:pPr>
      <w:r w:rsidRPr="004731AD">
        <w:rPr>
          <w:rFonts w:ascii="Book Antiqua" w:hAnsi="Book Antiqua"/>
        </w:rPr>
        <w:t>From the data collected it is evident that</w:t>
      </w:r>
      <w:r w:rsidRPr="004731AD">
        <w:rPr>
          <w:rFonts w:ascii="Book Antiqua" w:hAnsi="Book Antiqua"/>
          <w:strike/>
        </w:rPr>
        <w:t xml:space="preserve"> </w:t>
      </w:r>
      <w:r w:rsidRPr="004731AD">
        <w:rPr>
          <w:rFonts w:ascii="Book Antiqua" w:hAnsi="Book Antiqua"/>
        </w:rPr>
        <w:t xml:space="preserve">water sachets form the highest waste produced, followed by empty fan milk fan yogo and milo bag. </w:t>
      </w:r>
    </w:p>
    <w:p w14:paraId="22A4FE8F" w14:textId="77777777" w:rsidR="008D4E9B" w:rsidRPr="004731AD" w:rsidRDefault="008D4E9B" w:rsidP="008D4E9B">
      <w:pPr>
        <w:jc w:val="both"/>
        <w:rPr>
          <w:rFonts w:ascii="Book Antiqua" w:hAnsi="Book Antiqua"/>
          <w:b/>
        </w:rPr>
      </w:pPr>
      <w:r w:rsidRPr="004731AD">
        <w:rPr>
          <w:rFonts w:ascii="Book Antiqua" w:hAnsi="Book Antiqua"/>
          <w:b/>
        </w:rPr>
        <w:t>Table6 . Best way of handling plastic waste on campus</w:t>
      </w:r>
    </w:p>
    <w:tbl>
      <w:tblPr>
        <w:tblW w:w="0" w:type="auto"/>
        <w:tblBorders>
          <w:top w:val="single" w:sz="4" w:space="0" w:color="auto"/>
          <w:bottom w:val="single" w:sz="4" w:space="0" w:color="auto"/>
        </w:tblBorders>
        <w:tblLook w:val="04A0" w:firstRow="1" w:lastRow="0" w:firstColumn="1" w:lastColumn="0" w:noHBand="0" w:noVBand="1"/>
      </w:tblPr>
      <w:tblGrid>
        <w:gridCol w:w="1639"/>
        <w:gridCol w:w="1440"/>
        <w:gridCol w:w="1290"/>
      </w:tblGrid>
      <w:tr w:rsidR="008D4E9B" w:rsidRPr="008D4E9B" w14:paraId="6D2E9490" w14:textId="77777777" w:rsidTr="008D4E9B">
        <w:trPr>
          <w:trHeight w:val="284"/>
        </w:trPr>
        <w:tc>
          <w:tcPr>
            <w:tcW w:w="2099" w:type="dxa"/>
            <w:tcBorders>
              <w:top w:val="single" w:sz="4" w:space="0" w:color="auto"/>
              <w:bottom w:val="single" w:sz="4" w:space="0" w:color="auto"/>
            </w:tcBorders>
          </w:tcPr>
          <w:p w14:paraId="2EC68373" w14:textId="77777777" w:rsidR="008D4E9B" w:rsidRPr="008D4E9B" w:rsidRDefault="008D4E9B" w:rsidP="008D4E9B">
            <w:pPr>
              <w:jc w:val="both"/>
              <w:rPr>
                <w:rFonts w:ascii="Book Antiqua" w:hAnsi="Book Antiqua"/>
                <w:b/>
              </w:rPr>
            </w:pPr>
            <w:r w:rsidRPr="008D4E9B">
              <w:rPr>
                <w:rFonts w:ascii="Book Antiqua" w:hAnsi="Book Antiqua"/>
                <w:b/>
              </w:rPr>
              <w:t>Ways of handling</w:t>
            </w:r>
          </w:p>
        </w:tc>
        <w:tc>
          <w:tcPr>
            <w:tcW w:w="1607" w:type="dxa"/>
            <w:tcBorders>
              <w:top w:val="single" w:sz="4" w:space="0" w:color="auto"/>
              <w:bottom w:val="single" w:sz="4" w:space="0" w:color="auto"/>
            </w:tcBorders>
          </w:tcPr>
          <w:p w14:paraId="10ADA1E8" w14:textId="77777777" w:rsidR="008D4E9B" w:rsidRPr="008D4E9B" w:rsidRDefault="008D4E9B" w:rsidP="008D4E9B">
            <w:pPr>
              <w:jc w:val="both"/>
              <w:rPr>
                <w:rFonts w:ascii="Book Antiqua" w:hAnsi="Book Antiqua"/>
                <w:b/>
              </w:rPr>
            </w:pPr>
            <w:r w:rsidRPr="008D4E9B">
              <w:rPr>
                <w:rFonts w:ascii="Book Antiqua" w:hAnsi="Book Antiqua"/>
                <w:b/>
              </w:rPr>
              <w:t>Frequency</w:t>
            </w:r>
          </w:p>
        </w:tc>
        <w:tc>
          <w:tcPr>
            <w:tcW w:w="1607" w:type="dxa"/>
            <w:tcBorders>
              <w:top w:val="single" w:sz="4" w:space="0" w:color="auto"/>
              <w:bottom w:val="single" w:sz="4" w:space="0" w:color="auto"/>
            </w:tcBorders>
          </w:tcPr>
          <w:p w14:paraId="7028ED90" w14:textId="77777777" w:rsidR="008D4E9B" w:rsidRPr="008D4E9B" w:rsidRDefault="008D4E9B" w:rsidP="008D4E9B">
            <w:pPr>
              <w:jc w:val="both"/>
              <w:rPr>
                <w:rFonts w:ascii="Book Antiqua" w:hAnsi="Book Antiqua"/>
                <w:b/>
              </w:rPr>
            </w:pPr>
            <w:r w:rsidRPr="008D4E9B">
              <w:rPr>
                <w:rFonts w:ascii="Book Antiqua" w:hAnsi="Book Antiqua"/>
                <w:b/>
              </w:rPr>
              <w:t>Percent</w:t>
            </w:r>
          </w:p>
        </w:tc>
      </w:tr>
      <w:tr w:rsidR="008D4E9B" w:rsidRPr="008D4E9B" w14:paraId="3366F7E3" w14:textId="77777777" w:rsidTr="008D4E9B">
        <w:trPr>
          <w:trHeight w:val="284"/>
        </w:trPr>
        <w:tc>
          <w:tcPr>
            <w:tcW w:w="2099" w:type="dxa"/>
            <w:tcBorders>
              <w:top w:val="single" w:sz="4" w:space="0" w:color="auto"/>
            </w:tcBorders>
          </w:tcPr>
          <w:p w14:paraId="2F063DD7" w14:textId="77777777" w:rsidR="008D4E9B" w:rsidRPr="008D4E9B" w:rsidRDefault="008D4E9B" w:rsidP="008D4E9B">
            <w:pPr>
              <w:jc w:val="both"/>
              <w:rPr>
                <w:rFonts w:ascii="Book Antiqua" w:hAnsi="Book Antiqua"/>
              </w:rPr>
            </w:pPr>
            <w:r w:rsidRPr="008D4E9B">
              <w:rPr>
                <w:rFonts w:ascii="Book Antiqua" w:hAnsi="Book Antiqua"/>
              </w:rPr>
              <w:t>Dumping</w:t>
            </w:r>
          </w:p>
        </w:tc>
        <w:tc>
          <w:tcPr>
            <w:tcW w:w="1607" w:type="dxa"/>
            <w:tcBorders>
              <w:top w:val="single" w:sz="4" w:space="0" w:color="auto"/>
            </w:tcBorders>
          </w:tcPr>
          <w:p w14:paraId="1D7F3FBE" w14:textId="77777777" w:rsidR="008D4E9B" w:rsidRPr="008D4E9B" w:rsidRDefault="008D4E9B" w:rsidP="008D4E9B">
            <w:pPr>
              <w:jc w:val="both"/>
              <w:rPr>
                <w:rFonts w:ascii="Book Antiqua" w:hAnsi="Book Antiqua"/>
              </w:rPr>
            </w:pPr>
            <w:r w:rsidRPr="008D4E9B">
              <w:rPr>
                <w:rFonts w:ascii="Book Antiqua" w:hAnsi="Book Antiqua"/>
              </w:rPr>
              <w:t>15</w:t>
            </w:r>
          </w:p>
        </w:tc>
        <w:tc>
          <w:tcPr>
            <w:tcW w:w="1607" w:type="dxa"/>
            <w:tcBorders>
              <w:top w:val="single" w:sz="4" w:space="0" w:color="auto"/>
            </w:tcBorders>
          </w:tcPr>
          <w:p w14:paraId="35BD1F4F" w14:textId="77777777" w:rsidR="008D4E9B" w:rsidRPr="008D4E9B" w:rsidRDefault="008D4E9B" w:rsidP="008D4E9B">
            <w:pPr>
              <w:jc w:val="both"/>
              <w:rPr>
                <w:rFonts w:ascii="Book Antiqua" w:hAnsi="Book Antiqua"/>
              </w:rPr>
            </w:pPr>
            <w:r w:rsidRPr="008D4E9B">
              <w:rPr>
                <w:rFonts w:ascii="Book Antiqua" w:hAnsi="Book Antiqua"/>
              </w:rPr>
              <w:t>15.0</w:t>
            </w:r>
          </w:p>
        </w:tc>
      </w:tr>
      <w:tr w:rsidR="008D4E9B" w:rsidRPr="008D4E9B" w14:paraId="2A0E73C4" w14:textId="77777777" w:rsidTr="008D4E9B">
        <w:trPr>
          <w:trHeight w:val="284"/>
        </w:trPr>
        <w:tc>
          <w:tcPr>
            <w:tcW w:w="2099" w:type="dxa"/>
          </w:tcPr>
          <w:p w14:paraId="10407F4F" w14:textId="77777777" w:rsidR="008D4E9B" w:rsidRPr="008D4E9B" w:rsidRDefault="008D4E9B" w:rsidP="008D4E9B">
            <w:pPr>
              <w:jc w:val="both"/>
              <w:rPr>
                <w:rFonts w:ascii="Book Antiqua" w:hAnsi="Book Antiqua"/>
              </w:rPr>
            </w:pPr>
            <w:r w:rsidRPr="008D4E9B">
              <w:rPr>
                <w:rFonts w:ascii="Book Antiqua" w:hAnsi="Book Antiqua"/>
              </w:rPr>
              <w:t>Burning</w:t>
            </w:r>
          </w:p>
        </w:tc>
        <w:tc>
          <w:tcPr>
            <w:tcW w:w="1607" w:type="dxa"/>
          </w:tcPr>
          <w:p w14:paraId="1560A3E3" w14:textId="77777777" w:rsidR="008D4E9B" w:rsidRPr="008D4E9B" w:rsidRDefault="008D4E9B" w:rsidP="008D4E9B">
            <w:pPr>
              <w:jc w:val="both"/>
              <w:rPr>
                <w:rFonts w:ascii="Book Antiqua" w:hAnsi="Book Antiqua"/>
              </w:rPr>
            </w:pPr>
            <w:r w:rsidRPr="008D4E9B">
              <w:rPr>
                <w:rFonts w:ascii="Book Antiqua" w:hAnsi="Book Antiqua"/>
              </w:rPr>
              <w:t>5</w:t>
            </w:r>
          </w:p>
        </w:tc>
        <w:tc>
          <w:tcPr>
            <w:tcW w:w="1607" w:type="dxa"/>
          </w:tcPr>
          <w:p w14:paraId="377BF90F" w14:textId="77777777" w:rsidR="008D4E9B" w:rsidRPr="008D4E9B" w:rsidRDefault="008D4E9B" w:rsidP="008D4E9B">
            <w:pPr>
              <w:jc w:val="both"/>
              <w:rPr>
                <w:rFonts w:ascii="Book Antiqua" w:hAnsi="Book Antiqua"/>
              </w:rPr>
            </w:pPr>
            <w:r w:rsidRPr="008D4E9B">
              <w:rPr>
                <w:rFonts w:ascii="Book Antiqua" w:hAnsi="Book Antiqua"/>
              </w:rPr>
              <w:t>5.0</w:t>
            </w:r>
          </w:p>
        </w:tc>
      </w:tr>
      <w:tr w:rsidR="008D4E9B" w:rsidRPr="008D4E9B" w14:paraId="054C6E7E" w14:textId="77777777" w:rsidTr="008D4E9B">
        <w:trPr>
          <w:trHeight w:val="284"/>
        </w:trPr>
        <w:tc>
          <w:tcPr>
            <w:tcW w:w="2099" w:type="dxa"/>
          </w:tcPr>
          <w:p w14:paraId="077BEC57" w14:textId="77777777" w:rsidR="008D4E9B" w:rsidRPr="008D4E9B" w:rsidRDefault="008D4E9B" w:rsidP="008D4E9B">
            <w:pPr>
              <w:jc w:val="both"/>
              <w:rPr>
                <w:rFonts w:ascii="Book Antiqua" w:hAnsi="Book Antiqua"/>
              </w:rPr>
            </w:pPr>
            <w:r w:rsidRPr="008D4E9B">
              <w:rPr>
                <w:rFonts w:ascii="Book Antiqua" w:hAnsi="Book Antiqua"/>
              </w:rPr>
              <w:t>Recycling</w:t>
            </w:r>
          </w:p>
        </w:tc>
        <w:tc>
          <w:tcPr>
            <w:tcW w:w="1607" w:type="dxa"/>
          </w:tcPr>
          <w:p w14:paraId="382679AE" w14:textId="77777777" w:rsidR="008D4E9B" w:rsidRPr="008D4E9B" w:rsidRDefault="008D4E9B" w:rsidP="008D4E9B">
            <w:pPr>
              <w:jc w:val="both"/>
              <w:rPr>
                <w:rFonts w:ascii="Book Antiqua" w:hAnsi="Book Antiqua"/>
              </w:rPr>
            </w:pPr>
            <w:r w:rsidRPr="008D4E9B">
              <w:rPr>
                <w:rFonts w:ascii="Book Antiqua" w:hAnsi="Book Antiqua"/>
              </w:rPr>
              <w:t>80</w:t>
            </w:r>
          </w:p>
        </w:tc>
        <w:tc>
          <w:tcPr>
            <w:tcW w:w="1607" w:type="dxa"/>
          </w:tcPr>
          <w:p w14:paraId="3716EB44" w14:textId="77777777" w:rsidR="008D4E9B" w:rsidRPr="008D4E9B" w:rsidRDefault="008D4E9B" w:rsidP="008D4E9B">
            <w:pPr>
              <w:jc w:val="both"/>
              <w:rPr>
                <w:rFonts w:ascii="Book Antiqua" w:hAnsi="Book Antiqua"/>
              </w:rPr>
            </w:pPr>
            <w:r w:rsidRPr="008D4E9B">
              <w:rPr>
                <w:rFonts w:ascii="Book Antiqua" w:hAnsi="Book Antiqua"/>
              </w:rPr>
              <w:t>80.0</w:t>
            </w:r>
          </w:p>
        </w:tc>
      </w:tr>
      <w:tr w:rsidR="008D4E9B" w:rsidRPr="008D4E9B" w14:paraId="6684EC88" w14:textId="77777777" w:rsidTr="008D4E9B">
        <w:trPr>
          <w:trHeight w:val="284"/>
        </w:trPr>
        <w:tc>
          <w:tcPr>
            <w:tcW w:w="2099" w:type="dxa"/>
          </w:tcPr>
          <w:p w14:paraId="603782A1" w14:textId="77777777" w:rsidR="008D4E9B" w:rsidRPr="008D4E9B" w:rsidRDefault="008D4E9B" w:rsidP="008D4E9B">
            <w:pPr>
              <w:jc w:val="both"/>
              <w:rPr>
                <w:rFonts w:ascii="Book Antiqua" w:hAnsi="Book Antiqua"/>
              </w:rPr>
            </w:pPr>
            <w:r w:rsidRPr="008D4E9B">
              <w:rPr>
                <w:rFonts w:ascii="Book Antiqua" w:hAnsi="Book Antiqua"/>
              </w:rPr>
              <w:t>Total</w:t>
            </w:r>
          </w:p>
        </w:tc>
        <w:tc>
          <w:tcPr>
            <w:tcW w:w="1607" w:type="dxa"/>
          </w:tcPr>
          <w:p w14:paraId="4C9B56CB" w14:textId="77777777" w:rsidR="008D4E9B" w:rsidRPr="008D4E9B" w:rsidRDefault="008D4E9B" w:rsidP="008D4E9B">
            <w:pPr>
              <w:jc w:val="both"/>
              <w:rPr>
                <w:rFonts w:ascii="Book Antiqua" w:hAnsi="Book Antiqua"/>
              </w:rPr>
            </w:pPr>
            <w:r w:rsidRPr="008D4E9B">
              <w:rPr>
                <w:rFonts w:ascii="Book Antiqua" w:hAnsi="Book Antiqua"/>
              </w:rPr>
              <w:t>100</w:t>
            </w:r>
          </w:p>
        </w:tc>
        <w:tc>
          <w:tcPr>
            <w:tcW w:w="1607" w:type="dxa"/>
          </w:tcPr>
          <w:p w14:paraId="7E5D90B2" w14:textId="77777777" w:rsidR="008D4E9B" w:rsidRPr="008D4E9B" w:rsidRDefault="008D4E9B" w:rsidP="008D4E9B">
            <w:pPr>
              <w:jc w:val="both"/>
              <w:rPr>
                <w:rFonts w:ascii="Book Antiqua" w:hAnsi="Book Antiqua"/>
              </w:rPr>
            </w:pPr>
            <w:r w:rsidRPr="008D4E9B">
              <w:rPr>
                <w:rFonts w:ascii="Book Antiqua" w:hAnsi="Book Antiqua"/>
              </w:rPr>
              <w:t>100.0</w:t>
            </w:r>
          </w:p>
        </w:tc>
      </w:tr>
    </w:tbl>
    <w:p w14:paraId="1472FE97" w14:textId="77777777" w:rsidR="008D4E9B" w:rsidRPr="004731AD" w:rsidRDefault="008D4E9B" w:rsidP="008D4E9B">
      <w:pPr>
        <w:jc w:val="both"/>
        <w:rPr>
          <w:rFonts w:ascii="Book Antiqua" w:hAnsi="Book Antiqua"/>
          <w:b/>
        </w:rPr>
      </w:pPr>
      <w:r w:rsidRPr="004731AD">
        <w:rPr>
          <w:rFonts w:ascii="Book Antiqua" w:hAnsi="Book Antiqua"/>
          <w:b/>
        </w:rPr>
        <w:t>Source: Author’s field data</w:t>
      </w:r>
    </w:p>
    <w:p w14:paraId="1A9DB0E3" w14:textId="77777777" w:rsidR="008D4E9B" w:rsidRPr="004731AD" w:rsidRDefault="008D4E9B" w:rsidP="008D4E9B">
      <w:pPr>
        <w:jc w:val="both"/>
        <w:rPr>
          <w:rFonts w:ascii="Book Antiqua" w:hAnsi="Book Antiqua"/>
          <w:b/>
        </w:rPr>
      </w:pPr>
      <w:r w:rsidRPr="004731AD">
        <w:rPr>
          <w:rFonts w:ascii="Book Antiqua" w:hAnsi="Book Antiqua"/>
        </w:rPr>
        <w:t>.These plastic wastes are found on campus surroundings, cafeteria, lecture halls, and  washrooms. The findings in agreement with (Boadi and Kuitunen, 2003), that after gulping down the liquid content from these bags, they are discarded indiscriminately thereby littering the whole environment.</w:t>
      </w:r>
    </w:p>
    <w:p w14:paraId="2E97B9A0" w14:textId="77777777" w:rsidR="008D4E9B" w:rsidRPr="004731AD" w:rsidRDefault="008D4E9B" w:rsidP="008D4E9B">
      <w:pPr>
        <w:jc w:val="both"/>
        <w:rPr>
          <w:rFonts w:ascii="Book Antiqua" w:hAnsi="Book Antiqua"/>
        </w:rPr>
      </w:pPr>
      <w:r w:rsidRPr="004731AD">
        <w:rPr>
          <w:rFonts w:ascii="Book Antiqua" w:hAnsi="Book Antiqua"/>
        </w:rPr>
        <w:t>The findings reveal that dumping is the commonest way of disposing plastics academic tertiary institutions in Accra.</w:t>
      </w:r>
    </w:p>
    <w:p w14:paraId="0DB8FBB5" w14:textId="77777777" w:rsidR="008D4E9B" w:rsidRPr="004731AD" w:rsidRDefault="008D4E9B" w:rsidP="008D4E9B">
      <w:pPr>
        <w:autoSpaceDE w:val="0"/>
        <w:autoSpaceDN w:val="0"/>
        <w:adjustRightInd w:val="0"/>
        <w:spacing w:after="0"/>
        <w:jc w:val="both"/>
        <w:rPr>
          <w:rFonts w:ascii="Book Antiqua" w:hAnsi="Book Antiqua"/>
        </w:rPr>
      </w:pPr>
      <w:r w:rsidRPr="004731AD">
        <w:rPr>
          <w:rFonts w:ascii="Book Antiqua" w:hAnsi="Book Antiqua"/>
        </w:rPr>
        <w:t xml:space="preserve">In line with the findings of Ziadat and Mott, (2005), that recycling is, perhaps, the best and the most environmentally-sound method used in solid waste management for reducing quantities of solid waste disposed of in landfills, majority of the students indicated that the best approach to handling the plastic waste produced on </w:t>
      </w:r>
      <w:r w:rsidRPr="004731AD">
        <w:rPr>
          <w:rFonts w:ascii="Book Antiqua" w:hAnsi="Book Antiqua"/>
        </w:rPr>
        <w:t>campus should be recycling of the plastic waste for reuse.</w:t>
      </w:r>
    </w:p>
    <w:p w14:paraId="0C9CF44C" w14:textId="77777777" w:rsidR="008D4E9B" w:rsidRPr="004731AD" w:rsidRDefault="008D4E9B" w:rsidP="008D4E9B">
      <w:pPr>
        <w:pStyle w:val="NoSpacing"/>
        <w:spacing w:line="276" w:lineRule="auto"/>
        <w:jc w:val="both"/>
        <w:rPr>
          <w:rFonts w:ascii="Book Antiqua" w:hAnsi="Book Antiqua"/>
        </w:rPr>
      </w:pPr>
    </w:p>
    <w:p w14:paraId="7C54BB28" w14:textId="77777777" w:rsidR="008D4E9B" w:rsidRPr="004731AD" w:rsidRDefault="008D4E9B" w:rsidP="008D4E9B">
      <w:pPr>
        <w:autoSpaceDE w:val="0"/>
        <w:autoSpaceDN w:val="0"/>
        <w:adjustRightInd w:val="0"/>
        <w:spacing w:after="0"/>
        <w:jc w:val="both"/>
        <w:rPr>
          <w:rFonts w:ascii="Book Antiqua" w:hAnsi="Book Antiqua"/>
          <w:b/>
        </w:rPr>
      </w:pPr>
      <w:r w:rsidRPr="004731AD">
        <w:rPr>
          <w:rFonts w:ascii="Book Antiqua" w:hAnsi="Book Antiqua"/>
          <w:b/>
        </w:rPr>
        <w:t>4.2 Discussion of recycling of plastic waste</w:t>
      </w:r>
    </w:p>
    <w:p w14:paraId="599CEC89"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 xml:space="preserve">Phase 2 of the research was recycling of plastic waste into reusable articles. The purpose was to make useful products for reuse by using some of the plastic waste identified in phase 1 of the study. The recycling of the plastic waste was guided by the following leading questions: </w:t>
      </w:r>
    </w:p>
    <w:p w14:paraId="742B191C" w14:textId="77777777" w:rsidR="008D4E9B" w:rsidRPr="004731AD" w:rsidRDefault="008D4E9B" w:rsidP="008D4E9B">
      <w:pPr>
        <w:pStyle w:val="NoSpacing"/>
        <w:numPr>
          <w:ilvl w:val="0"/>
          <w:numId w:val="19"/>
        </w:numPr>
        <w:spacing w:line="276" w:lineRule="auto"/>
        <w:jc w:val="both"/>
        <w:rPr>
          <w:rFonts w:ascii="Book Antiqua" w:hAnsi="Book Antiqua"/>
        </w:rPr>
      </w:pPr>
      <w:r w:rsidRPr="004731AD">
        <w:rPr>
          <w:rFonts w:ascii="Book Antiqua" w:hAnsi="Book Antiqua"/>
        </w:rPr>
        <w:t>Which of the plastic wastes identified in Phase 1 can readily be recycled?</w:t>
      </w:r>
    </w:p>
    <w:p w14:paraId="346F431B" w14:textId="77777777" w:rsidR="008D4E9B" w:rsidRPr="004731AD" w:rsidRDefault="008D4E9B" w:rsidP="008D4E9B">
      <w:pPr>
        <w:pStyle w:val="NoSpacing"/>
        <w:numPr>
          <w:ilvl w:val="0"/>
          <w:numId w:val="19"/>
        </w:numPr>
        <w:spacing w:line="276" w:lineRule="auto"/>
        <w:jc w:val="both"/>
        <w:rPr>
          <w:rFonts w:ascii="Book Antiqua" w:hAnsi="Book Antiqua"/>
        </w:rPr>
      </w:pPr>
      <w:r w:rsidRPr="004731AD">
        <w:rPr>
          <w:rFonts w:ascii="Book Antiqua" w:hAnsi="Book Antiqua"/>
        </w:rPr>
        <w:t>What products can these plastic wastes be recycled into?</w:t>
      </w:r>
    </w:p>
    <w:p w14:paraId="2B6E2712" w14:textId="77777777" w:rsidR="008D4E9B" w:rsidRPr="004731AD" w:rsidRDefault="008D4E9B" w:rsidP="008D4E9B">
      <w:pPr>
        <w:pStyle w:val="NoSpacing"/>
        <w:numPr>
          <w:ilvl w:val="0"/>
          <w:numId w:val="19"/>
        </w:numPr>
        <w:spacing w:line="276" w:lineRule="auto"/>
        <w:jc w:val="both"/>
        <w:rPr>
          <w:rFonts w:ascii="Book Antiqua" w:hAnsi="Book Antiqua"/>
        </w:rPr>
      </w:pPr>
      <w:r w:rsidRPr="004731AD">
        <w:rPr>
          <w:rFonts w:ascii="Book Antiqua" w:hAnsi="Book Antiqua"/>
        </w:rPr>
        <w:t>What are the processes of recycling the plastic waste into reusable products?</w:t>
      </w:r>
    </w:p>
    <w:p w14:paraId="3BDDA339" w14:textId="77777777" w:rsidR="008D4E9B" w:rsidRPr="004731AD" w:rsidRDefault="008D4E9B" w:rsidP="008D4E9B">
      <w:pPr>
        <w:pStyle w:val="NoSpacing"/>
        <w:spacing w:line="276" w:lineRule="auto"/>
        <w:jc w:val="both"/>
        <w:rPr>
          <w:rFonts w:ascii="Book Antiqua" w:hAnsi="Book Antiqua"/>
          <w:b/>
        </w:rPr>
      </w:pPr>
      <w:r w:rsidRPr="004731AD">
        <w:rPr>
          <w:rFonts w:ascii="Book Antiqua" w:hAnsi="Book Antiqua"/>
          <w:b/>
        </w:rPr>
        <w:t>4.2.1 Which of the plastic wastes identified in Phase 1 can readily be recycled?</w:t>
      </w:r>
    </w:p>
    <w:p w14:paraId="40CB98B3" w14:textId="77777777" w:rsidR="008D4E9B" w:rsidRPr="004731AD" w:rsidRDefault="008D4E9B" w:rsidP="008D4E9B">
      <w:pPr>
        <w:tabs>
          <w:tab w:val="left" w:pos="3510"/>
        </w:tabs>
        <w:jc w:val="both"/>
        <w:rPr>
          <w:rFonts w:ascii="Book Antiqua" w:hAnsi="Book Antiqua"/>
        </w:rPr>
      </w:pPr>
      <w:r w:rsidRPr="004731AD">
        <w:rPr>
          <w:rFonts w:ascii="Book Antiqua" w:hAnsi="Book Antiqua"/>
        </w:rPr>
        <w:t>Based on the findings of the Phase 1 of the study, on the kinds of plastic waste usually produced by students on campuses, the researcher identified the possibility of recycling empty sachet water bags, empty fan yogo, fan choco, fan milk and milo bags, into useful products without much cost.</w:t>
      </w:r>
    </w:p>
    <w:p w14:paraId="5DADE072" w14:textId="77777777" w:rsidR="008D4E9B" w:rsidRPr="004731AD" w:rsidRDefault="008D4E9B" w:rsidP="008D4E9B">
      <w:pPr>
        <w:pStyle w:val="NoSpacing"/>
        <w:spacing w:line="276" w:lineRule="auto"/>
        <w:jc w:val="both"/>
        <w:rPr>
          <w:rFonts w:ascii="Book Antiqua" w:hAnsi="Book Antiqua"/>
          <w:b/>
        </w:rPr>
      </w:pPr>
      <w:r w:rsidRPr="004731AD">
        <w:rPr>
          <w:rFonts w:ascii="Book Antiqua" w:hAnsi="Book Antiqua"/>
          <w:b/>
        </w:rPr>
        <w:t>4.2.2 What products can these plastic wastes be recycled into?</w:t>
      </w:r>
    </w:p>
    <w:p w14:paraId="728851F3"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The researcher identified the use of the plastic waste in designing and developing products such as bags – student, dressing, shopping bags, dresses, and umbrellas</w:t>
      </w:r>
    </w:p>
    <w:p w14:paraId="72BCBDA0" w14:textId="77777777" w:rsidR="003F5F3E" w:rsidRPr="004731AD" w:rsidRDefault="003F5F3E" w:rsidP="008D4E9B">
      <w:pPr>
        <w:tabs>
          <w:tab w:val="left" w:pos="3510"/>
        </w:tabs>
        <w:jc w:val="both"/>
        <w:rPr>
          <w:rFonts w:ascii="Book Antiqua" w:hAnsi="Book Antiqua"/>
          <w:b/>
        </w:rPr>
      </w:pPr>
    </w:p>
    <w:p w14:paraId="4DC3A81F" w14:textId="77777777" w:rsidR="00E146E4" w:rsidRDefault="00E146E4" w:rsidP="008D4E9B">
      <w:pPr>
        <w:tabs>
          <w:tab w:val="left" w:pos="3510"/>
        </w:tabs>
        <w:jc w:val="both"/>
        <w:rPr>
          <w:rFonts w:ascii="Book Antiqua" w:hAnsi="Book Antiqua"/>
          <w:b/>
        </w:rPr>
      </w:pPr>
    </w:p>
    <w:p w14:paraId="661596FC" w14:textId="77777777" w:rsidR="00E146E4" w:rsidRDefault="00E146E4" w:rsidP="008D4E9B">
      <w:pPr>
        <w:tabs>
          <w:tab w:val="left" w:pos="3510"/>
        </w:tabs>
        <w:jc w:val="both"/>
        <w:rPr>
          <w:rFonts w:ascii="Book Antiqua" w:hAnsi="Book Antiqua"/>
          <w:b/>
        </w:rPr>
      </w:pPr>
    </w:p>
    <w:p w14:paraId="654E26B3" w14:textId="77777777" w:rsidR="008D4E9B" w:rsidRPr="004731AD" w:rsidRDefault="008D4E9B" w:rsidP="008D4E9B">
      <w:pPr>
        <w:tabs>
          <w:tab w:val="left" w:pos="3510"/>
        </w:tabs>
        <w:jc w:val="both"/>
        <w:rPr>
          <w:rFonts w:ascii="Book Antiqua" w:hAnsi="Book Antiqua"/>
          <w:b/>
        </w:rPr>
      </w:pPr>
      <w:r w:rsidRPr="004731AD">
        <w:rPr>
          <w:rFonts w:ascii="Book Antiqua" w:hAnsi="Book Antiqua"/>
          <w:b/>
        </w:rPr>
        <w:lastRenderedPageBreak/>
        <w:t>4.3 Acceptability of the Product</w:t>
      </w:r>
    </w:p>
    <w:p w14:paraId="022F831D" w14:textId="77777777" w:rsidR="008D4E9B" w:rsidRPr="004731AD" w:rsidRDefault="008D4E9B" w:rsidP="008D4E9B">
      <w:pPr>
        <w:tabs>
          <w:tab w:val="left" w:pos="3510"/>
        </w:tabs>
        <w:jc w:val="both"/>
        <w:rPr>
          <w:rFonts w:ascii="Book Antiqua" w:hAnsi="Book Antiqua"/>
          <w:b/>
        </w:rPr>
      </w:pPr>
      <w:r w:rsidRPr="004731AD">
        <w:rPr>
          <w:rFonts w:ascii="Book Antiqua" w:hAnsi="Book Antiqua"/>
        </w:rPr>
        <w:t>The product was exhibited at the sixth Ghana higher Education fair, southern Ghana at Ola Girls and over 300 people commended and commented that the product is good and nice.</w:t>
      </w:r>
    </w:p>
    <w:p w14:paraId="73C59A17" w14:textId="77777777" w:rsidR="008D4E9B" w:rsidRPr="004731AD" w:rsidRDefault="008D4E9B" w:rsidP="008D4E9B">
      <w:pPr>
        <w:tabs>
          <w:tab w:val="left" w:pos="3510"/>
        </w:tabs>
        <w:jc w:val="both"/>
        <w:rPr>
          <w:rFonts w:ascii="Book Antiqua" w:hAnsi="Book Antiqua"/>
        </w:rPr>
      </w:pPr>
      <w:r w:rsidRPr="004731AD">
        <w:rPr>
          <w:rFonts w:ascii="Book Antiqua" w:hAnsi="Book Antiqua"/>
          <w:b/>
        </w:rPr>
        <w:t>4.2.3What are the processes of recycling the plastic waste into reusable products?</w:t>
      </w:r>
    </w:p>
    <w:p w14:paraId="7EB56B26" w14:textId="77777777" w:rsidR="008D4E9B" w:rsidRDefault="008D4E9B" w:rsidP="00843572">
      <w:pPr>
        <w:tabs>
          <w:tab w:val="left" w:pos="3510"/>
        </w:tabs>
        <w:spacing w:line="240" w:lineRule="auto"/>
        <w:jc w:val="both"/>
        <w:rPr>
          <w:rFonts w:ascii="Book Antiqua" w:hAnsi="Book Antiqua"/>
        </w:rPr>
      </w:pPr>
      <w:r w:rsidRPr="004731AD">
        <w:rPr>
          <w:rFonts w:ascii="Book Antiqua" w:hAnsi="Book Antiqua"/>
        </w:rPr>
        <w:t xml:space="preserve">The researcher first collected, fan yogo, fan choco, fan milk and milo, from the academic institutions involved in the study.  The next processes are shown in </w:t>
      </w:r>
    </w:p>
    <w:p w14:paraId="10DC9F3F" w14:textId="77777777" w:rsidR="00843572" w:rsidRDefault="00843572" w:rsidP="00843572">
      <w:pPr>
        <w:tabs>
          <w:tab w:val="left" w:pos="3510"/>
        </w:tabs>
        <w:spacing w:line="240" w:lineRule="auto"/>
        <w:jc w:val="both"/>
        <w:rPr>
          <w:rFonts w:ascii="Book Antiqua" w:hAnsi="Book Antiqua"/>
        </w:rPr>
      </w:pPr>
      <w:r w:rsidRPr="004731AD">
        <w:rPr>
          <w:rFonts w:ascii="Book Antiqua" w:hAnsi="Book Antiqua"/>
        </w:rPr>
        <w:t>the figures below:</w:t>
      </w:r>
    </w:p>
    <w:p w14:paraId="7AD5F2E6" w14:textId="77777777" w:rsidR="00843572" w:rsidRPr="004731AD" w:rsidRDefault="00843572" w:rsidP="008D4E9B">
      <w:pPr>
        <w:tabs>
          <w:tab w:val="left" w:pos="3510"/>
        </w:tabs>
        <w:jc w:val="both"/>
        <w:rPr>
          <w:rFonts w:ascii="Book Antiqua" w:hAnsi="Book Antiqua"/>
        </w:rPr>
      </w:pPr>
    </w:p>
    <w:p w14:paraId="7CD4588A" w14:textId="77777777" w:rsidR="008D4E9B" w:rsidRPr="004731AD" w:rsidRDefault="008D4E9B" w:rsidP="003F5F3E">
      <w:pPr>
        <w:tabs>
          <w:tab w:val="left" w:pos="3510"/>
        </w:tabs>
        <w:spacing w:after="0"/>
        <w:jc w:val="both"/>
        <w:rPr>
          <w:rFonts w:ascii="Book Antiqua" w:hAnsi="Book Antiqua"/>
        </w:rPr>
      </w:pPr>
      <w:r w:rsidRPr="004731AD">
        <w:rPr>
          <w:rFonts w:ascii="Book Antiqua" w:hAnsi="Book Antiqua"/>
        </w:rPr>
        <w:t>Fig 1(a)</w:t>
      </w:r>
    </w:p>
    <w:p w14:paraId="7955910D" w14:textId="77777777" w:rsidR="008D4E9B" w:rsidRPr="00D55338" w:rsidRDefault="008D4E9B" w:rsidP="00D55338">
      <w:pPr>
        <w:pStyle w:val="NoSpacing"/>
        <w:spacing w:line="276" w:lineRule="auto"/>
        <w:jc w:val="both"/>
        <w:rPr>
          <w:rFonts w:ascii="Book Antiqua" w:hAnsi="Book Antiqua"/>
          <w:sz w:val="8"/>
        </w:rPr>
      </w:pPr>
    </w:p>
    <w:p w14:paraId="62AAA7B7" w14:textId="77777777" w:rsidR="008D4E9B" w:rsidRPr="004731AD" w:rsidRDefault="00BA2DD3" w:rsidP="008D4E9B">
      <w:pPr>
        <w:pStyle w:val="NoSpacing"/>
        <w:spacing w:line="276" w:lineRule="auto"/>
        <w:ind w:left="720" w:hanging="720"/>
        <w:jc w:val="both"/>
        <w:rPr>
          <w:rFonts w:ascii="Book Antiqua" w:hAnsi="Book Antiqua"/>
        </w:rPr>
      </w:pPr>
      <w:r>
        <w:rPr>
          <w:rFonts w:ascii="Book Antiqua" w:hAnsi="Book Antiqua"/>
          <w:noProof/>
          <w:lang w:bidi="ar-SA"/>
        </w:rPr>
        <w:drawing>
          <wp:anchor distT="0" distB="0" distL="114300" distR="114300" simplePos="0" relativeHeight="251853312" behindDoc="1" locked="0" layoutInCell="1" allowOverlap="1" wp14:anchorId="31DCB376" wp14:editId="7ADD7939">
            <wp:simplePos x="0" y="0"/>
            <wp:positionH relativeFrom="column">
              <wp:posOffset>3162300</wp:posOffset>
            </wp:positionH>
            <wp:positionV relativeFrom="paragraph">
              <wp:posOffset>-1270</wp:posOffset>
            </wp:positionV>
            <wp:extent cx="2571750" cy="1819275"/>
            <wp:effectExtent l="19050" t="0" r="0" b="0"/>
            <wp:wrapTight wrapText="bothSides">
              <wp:wrapPolygon edited="0">
                <wp:start x="-160" y="0"/>
                <wp:lineTo x="-160" y="21487"/>
                <wp:lineTo x="21600" y="21487"/>
                <wp:lineTo x="21600" y="0"/>
                <wp:lineTo x="-160" y="0"/>
              </wp:wrapPolygon>
            </wp:wrapTight>
            <wp:docPr id="19" name="Picture 35" descr="DSC0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2356.JPG"/>
                    <pic:cNvPicPr>
                      <a:picLocks noChangeAspect="1" noChangeArrowheads="1"/>
                    </pic:cNvPicPr>
                  </pic:nvPicPr>
                  <pic:blipFill>
                    <a:blip r:embed="rId33" cstate="print"/>
                    <a:srcRect/>
                    <a:stretch>
                      <a:fillRect/>
                    </a:stretch>
                  </pic:blipFill>
                  <pic:spPr bwMode="auto">
                    <a:xfrm>
                      <a:off x="0" y="0"/>
                      <a:ext cx="2571750" cy="1819275"/>
                    </a:xfrm>
                    <a:prstGeom prst="rect">
                      <a:avLst/>
                    </a:prstGeom>
                    <a:noFill/>
                    <a:ln w="9525">
                      <a:noFill/>
                      <a:miter lim="800000"/>
                      <a:headEnd/>
                      <a:tailEnd/>
                    </a:ln>
                  </pic:spPr>
                </pic:pic>
              </a:graphicData>
            </a:graphic>
          </wp:anchor>
        </w:drawing>
      </w:r>
      <w:r w:rsidR="007005B1">
        <w:rPr>
          <w:rFonts w:ascii="Book Antiqua" w:hAnsi="Book Antiqua"/>
          <w:noProof/>
          <w:lang w:bidi="ar-SA"/>
        </w:rPr>
        <w:drawing>
          <wp:inline distT="0" distB="0" distL="0" distR="0" wp14:anchorId="1D808B3A" wp14:editId="6769EBF0">
            <wp:extent cx="2609850" cy="1876425"/>
            <wp:effectExtent l="19050" t="0" r="0" b="0"/>
            <wp:docPr id="6" name="Picture 8" descr="Photo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oto0061.jpg"/>
                    <pic:cNvPicPr>
                      <a:picLocks noChangeAspect="1" noChangeArrowheads="1"/>
                    </pic:cNvPicPr>
                  </pic:nvPicPr>
                  <pic:blipFill>
                    <a:blip r:embed="rId34"/>
                    <a:srcRect/>
                    <a:stretch>
                      <a:fillRect/>
                    </a:stretch>
                  </pic:blipFill>
                  <pic:spPr bwMode="auto">
                    <a:xfrm>
                      <a:off x="0" y="0"/>
                      <a:ext cx="2609850" cy="1876425"/>
                    </a:xfrm>
                    <a:prstGeom prst="rect">
                      <a:avLst/>
                    </a:prstGeom>
                    <a:noFill/>
                    <a:ln w="9525">
                      <a:noFill/>
                      <a:miter lim="800000"/>
                      <a:headEnd/>
                      <a:tailEnd/>
                    </a:ln>
                  </pic:spPr>
                </pic:pic>
              </a:graphicData>
            </a:graphic>
          </wp:inline>
        </w:drawing>
      </w:r>
    </w:p>
    <w:p w14:paraId="47F10B65" w14:textId="77777777" w:rsidR="003F5F3E" w:rsidRPr="004731AD" w:rsidRDefault="003F5F3E" w:rsidP="003F5F3E">
      <w:pPr>
        <w:pStyle w:val="NoSpacing"/>
        <w:spacing w:line="276" w:lineRule="auto"/>
        <w:ind w:left="720" w:hanging="720"/>
        <w:jc w:val="both"/>
        <w:rPr>
          <w:rFonts w:ascii="Book Antiqua" w:hAnsi="Book Antiqua"/>
        </w:rPr>
      </w:pPr>
    </w:p>
    <w:p w14:paraId="054EFB76" w14:textId="77777777" w:rsidR="008D4E9B" w:rsidRPr="004731AD" w:rsidRDefault="00BA2DD3" w:rsidP="008D4E9B">
      <w:pPr>
        <w:pStyle w:val="NoSpacing"/>
        <w:spacing w:line="276" w:lineRule="auto"/>
        <w:ind w:left="720" w:hanging="720"/>
        <w:jc w:val="both"/>
        <w:rPr>
          <w:rFonts w:ascii="Book Antiqua" w:hAnsi="Book Antiqua"/>
        </w:rPr>
      </w:pPr>
      <w:r w:rsidRPr="004731AD">
        <w:rPr>
          <w:rFonts w:ascii="Book Antiqua" w:hAnsi="Book Antiqua"/>
        </w:rPr>
        <w:t>Fig 1(b)</w:t>
      </w:r>
    </w:p>
    <w:p w14:paraId="42118235" w14:textId="77777777" w:rsidR="008D4E9B" w:rsidRPr="004731AD" w:rsidRDefault="008D4E9B" w:rsidP="008D4E9B">
      <w:pPr>
        <w:pStyle w:val="NoSpacing"/>
        <w:spacing w:line="276" w:lineRule="auto"/>
        <w:ind w:left="720" w:hanging="720"/>
        <w:jc w:val="both"/>
        <w:rPr>
          <w:rFonts w:ascii="Book Antiqua" w:hAnsi="Book Antiqua"/>
        </w:rPr>
      </w:pPr>
    </w:p>
    <w:p w14:paraId="34BD08C4" w14:textId="77777777" w:rsidR="008D4E9B" w:rsidRPr="004731AD" w:rsidRDefault="007005B1" w:rsidP="008D4E9B">
      <w:pPr>
        <w:pStyle w:val="NoSpacing"/>
        <w:spacing w:line="276" w:lineRule="auto"/>
        <w:ind w:left="720" w:hanging="720"/>
        <w:jc w:val="both"/>
        <w:rPr>
          <w:rFonts w:ascii="Book Antiqua" w:hAnsi="Book Antiqua"/>
        </w:rPr>
      </w:pPr>
      <w:r>
        <w:rPr>
          <w:rFonts w:ascii="Book Antiqua" w:hAnsi="Book Antiqua"/>
          <w:noProof/>
          <w:lang w:bidi="ar-SA"/>
        </w:rPr>
        <w:drawing>
          <wp:inline distT="0" distB="0" distL="0" distR="0" wp14:anchorId="658D350B" wp14:editId="7538E58C">
            <wp:extent cx="2562225" cy="1819275"/>
            <wp:effectExtent l="19050" t="0" r="9525" b="0"/>
            <wp:docPr id="7" name="Picture 17" descr="DSC0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2335.JPG"/>
                    <pic:cNvPicPr>
                      <a:picLocks noChangeAspect="1" noChangeArrowheads="1"/>
                    </pic:cNvPicPr>
                  </pic:nvPicPr>
                  <pic:blipFill>
                    <a:blip r:embed="rId35"/>
                    <a:srcRect/>
                    <a:stretch>
                      <a:fillRect/>
                    </a:stretch>
                  </pic:blipFill>
                  <pic:spPr bwMode="auto">
                    <a:xfrm>
                      <a:off x="0" y="0"/>
                      <a:ext cx="2562225" cy="1819275"/>
                    </a:xfrm>
                    <a:prstGeom prst="rect">
                      <a:avLst/>
                    </a:prstGeom>
                    <a:noFill/>
                    <a:ln w="9525">
                      <a:noFill/>
                      <a:miter lim="800000"/>
                      <a:headEnd/>
                      <a:tailEnd/>
                    </a:ln>
                  </pic:spPr>
                </pic:pic>
              </a:graphicData>
            </a:graphic>
          </wp:inline>
        </w:drawing>
      </w:r>
    </w:p>
    <w:p w14:paraId="5306150E" w14:textId="77777777" w:rsidR="00695269" w:rsidRDefault="00695269" w:rsidP="00695269">
      <w:pPr>
        <w:pStyle w:val="NoSpacing"/>
        <w:spacing w:line="276" w:lineRule="auto"/>
        <w:ind w:left="720" w:hanging="720"/>
        <w:jc w:val="both"/>
        <w:rPr>
          <w:rFonts w:ascii="Book Antiqua" w:hAnsi="Book Antiqua"/>
        </w:rPr>
      </w:pPr>
      <w:r w:rsidRPr="004731AD">
        <w:rPr>
          <w:rFonts w:ascii="Book Antiqua" w:hAnsi="Book Antiqua"/>
        </w:rPr>
        <w:t>Fig 1 (c)</w:t>
      </w:r>
    </w:p>
    <w:p w14:paraId="2B62895D" w14:textId="77777777" w:rsidR="008D4E9B" w:rsidRDefault="008D4E9B" w:rsidP="008D4E9B">
      <w:pPr>
        <w:pStyle w:val="NoSpacing"/>
        <w:spacing w:line="276" w:lineRule="auto"/>
        <w:ind w:left="720" w:hanging="720"/>
        <w:jc w:val="both"/>
        <w:rPr>
          <w:rFonts w:ascii="Book Antiqua" w:hAnsi="Book Antiqua"/>
        </w:rPr>
      </w:pPr>
    </w:p>
    <w:p w14:paraId="7E3C6F00" w14:textId="77777777" w:rsidR="00D55338" w:rsidRPr="004731AD" w:rsidRDefault="00D55338" w:rsidP="00695269">
      <w:pPr>
        <w:pStyle w:val="NoSpacing"/>
        <w:jc w:val="both"/>
        <w:rPr>
          <w:rFonts w:ascii="Book Antiqua" w:hAnsi="Book Antiqua"/>
        </w:rPr>
      </w:pPr>
    </w:p>
    <w:p w14:paraId="6F7B585F" w14:textId="77777777" w:rsidR="008D4E9B" w:rsidRPr="004731AD" w:rsidRDefault="00BA2DD3" w:rsidP="008D4E9B">
      <w:pPr>
        <w:jc w:val="both"/>
        <w:rPr>
          <w:rFonts w:ascii="Book Antiqua" w:hAnsi="Book Antiqua"/>
        </w:rPr>
      </w:pPr>
      <w:r>
        <w:rPr>
          <w:rFonts w:ascii="Book Antiqua" w:hAnsi="Book Antiqua"/>
          <w:noProof/>
          <w:lang w:bidi="ar-SA"/>
        </w:rPr>
        <w:drawing>
          <wp:anchor distT="0" distB="0" distL="114300" distR="114300" simplePos="0" relativeHeight="251851264" behindDoc="1" locked="0" layoutInCell="1" allowOverlap="1" wp14:anchorId="22CB240C" wp14:editId="6632A152">
            <wp:simplePos x="0" y="0"/>
            <wp:positionH relativeFrom="column">
              <wp:posOffset>-3199130</wp:posOffset>
            </wp:positionH>
            <wp:positionV relativeFrom="paragraph">
              <wp:posOffset>2822575</wp:posOffset>
            </wp:positionV>
            <wp:extent cx="2543175" cy="1400175"/>
            <wp:effectExtent l="19050" t="0" r="9525" b="0"/>
            <wp:wrapTight wrapText="bothSides">
              <wp:wrapPolygon edited="0">
                <wp:start x="-162" y="0"/>
                <wp:lineTo x="-162" y="21453"/>
                <wp:lineTo x="21681" y="21453"/>
                <wp:lineTo x="21681" y="0"/>
                <wp:lineTo x="-162" y="0"/>
              </wp:wrapPolygon>
            </wp:wrapTight>
            <wp:docPr id="15" name="Picture 43" descr="DSC0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2414.JPG"/>
                    <pic:cNvPicPr>
                      <a:picLocks noChangeAspect="1" noChangeArrowheads="1"/>
                    </pic:cNvPicPr>
                  </pic:nvPicPr>
                  <pic:blipFill>
                    <a:blip r:embed="rId36"/>
                    <a:srcRect/>
                    <a:stretch>
                      <a:fillRect/>
                    </a:stretch>
                  </pic:blipFill>
                  <pic:spPr bwMode="auto">
                    <a:xfrm>
                      <a:off x="0" y="0"/>
                      <a:ext cx="2543175" cy="1400175"/>
                    </a:xfrm>
                    <a:prstGeom prst="rect">
                      <a:avLst/>
                    </a:prstGeom>
                    <a:noFill/>
                    <a:ln w="9525">
                      <a:noFill/>
                      <a:miter lim="800000"/>
                      <a:headEnd/>
                      <a:tailEnd/>
                    </a:ln>
                  </pic:spPr>
                </pic:pic>
              </a:graphicData>
            </a:graphic>
          </wp:anchor>
        </w:drawing>
      </w:r>
      <w:r w:rsidR="007005B1">
        <w:rPr>
          <w:rFonts w:ascii="Book Antiqua" w:hAnsi="Book Antiqua"/>
          <w:noProof/>
          <w:lang w:bidi="ar-SA"/>
        </w:rPr>
        <w:drawing>
          <wp:inline distT="0" distB="0" distL="0" distR="0" wp14:anchorId="3F63B323" wp14:editId="6EDC1237">
            <wp:extent cx="2638425" cy="1695450"/>
            <wp:effectExtent l="19050" t="0" r="9525" b="0"/>
            <wp:docPr id="8" name="Picture 86" descr="current pics 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rrent pics 364.JPG"/>
                    <pic:cNvPicPr>
                      <a:picLocks noChangeAspect="1" noChangeArrowheads="1"/>
                    </pic:cNvPicPr>
                  </pic:nvPicPr>
                  <pic:blipFill>
                    <a:blip r:embed="rId37" cstate="print"/>
                    <a:srcRect l="17973" r="19350"/>
                    <a:stretch>
                      <a:fillRect/>
                    </a:stretch>
                  </pic:blipFill>
                  <pic:spPr bwMode="auto">
                    <a:xfrm>
                      <a:off x="0" y="0"/>
                      <a:ext cx="2638425" cy="1695450"/>
                    </a:xfrm>
                    <a:prstGeom prst="rect">
                      <a:avLst/>
                    </a:prstGeom>
                    <a:noFill/>
                    <a:ln w="9525">
                      <a:noFill/>
                      <a:miter lim="800000"/>
                      <a:headEnd/>
                      <a:tailEnd/>
                    </a:ln>
                  </pic:spPr>
                </pic:pic>
              </a:graphicData>
            </a:graphic>
          </wp:inline>
        </w:drawing>
      </w:r>
    </w:p>
    <w:p w14:paraId="69FA1AA3" w14:textId="77777777" w:rsidR="00BA2DD3" w:rsidRDefault="00BA2DD3" w:rsidP="00BA2DD3">
      <w:pPr>
        <w:pStyle w:val="NoSpacing"/>
        <w:spacing w:line="276" w:lineRule="auto"/>
        <w:jc w:val="both"/>
        <w:rPr>
          <w:rFonts w:ascii="Book Antiqua" w:hAnsi="Book Antiqua"/>
        </w:rPr>
      </w:pPr>
      <w:r w:rsidRPr="004731AD">
        <w:rPr>
          <w:rFonts w:ascii="Book Antiqua" w:hAnsi="Book Antiqua"/>
        </w:rPr>
        <w:t>Fig 1 (d)</w:t>
      </w:r>
    </w:p>
    <w:p w14:paraId="3ADCCF3C" w14:textId="77777777" w:rsidR="00BA2DD3" w:rsidRDefault="00BA2DD3" w:rsidP="00BA2DD3">
      <w:pPr>
        <w:pStyle w:val="NoSpacing"/>
        <w:spacing w:line="276" w:lineRule="auto"/>
        <w:jc w:val="both"/>
        <w:rPr>
          <w:rFonts w:ascii="Book Antiqua" w:hAnsi="Book Antiqua"/>
        </w:rPr>
      </w:pPr>
    </w:p>
    <w:p w14:paraId="4406F97A" w14:textId="77777777" w:rsidR="00BA2DD3" w:rsidRDefault="00BA2DD3" w:rsidP="00BA2DD3">
      <w:pPr>
        <w:pStyle w:val="NoSpacing"/>
        <w:spacing w:line="276" w:lineRule="auto"/>
        <w:jc w:val="both"/>
        <w:rPr>
          <w:rFonts w:ascii="Book Antiqua" w:hAnsi="Book Antiqua"/>
        </w:rPr>
      </w:pPr>
    </w:p>
    <w:p w14:paraId="5A9D9E80" w14:textId="77777777" w:rsidR="00BA2DD3" w:rsidRDefault="00BA2DD3" w:rsidP="00BA2DD3">
      <w:pPr>
        <w:pStyle w:val="NoSpacing"/>
        <w:spacing w:line="276" w:lineRule="auto"/>
        <w:jc w:val="both"/>
        <w:rPr>
          <w:rFonts w:ascii="Book Antiqua" w:hAnsi="Book Antiqua"/>
        </w:rPr>
      </w:pPr>
    </w:p>
    <w:p w14:paraId="6BD684E4" w14:textId="77777777" w:rsidR="00BA2DD3" w:rsidRPr="004731AD" w:rsidRDefault="00BA2DD3" w:rsidP="00BA2DD3">
      <w:pPr>
        <w:pStyle w:val="NoSpacing"/>
        <w:spacing w:line="276" w:lineRule="auto"/>
        <w:jc w:val="both"/>
        <w:rPr>
          <w:rFonts w:ascii="Book Antiqua" w:hAnsi="Book Antiqua"/>
        </w:rPr>
      </w:pPr>
    </w:p>
    <w:p w14:paraId="1FB50A5A" w14:textId="77777777" w:rsidR="00843572" w:rsidRPr="004731AD" w:rsidRDefault="00843572" w:rsidP="00843572">
      <w:pPr>
        <w:jc w:val="both"/>
        <w:rPr>
          <w:rFonts w:ascii="Book Antiqua" w:hAnsi="Book Antiqua"/>
        </w:rPr>
      </w:pPr>
      <w:r w:rsidRPr="004731AD">
        <w:rPr>
          <w:rFonts w:ascii="Book Antiqua" w:hAnsi="Book Antiqua"/>
        </w:rPr>
        <w:t>Fig 1(e)</w:t>
      </w:r>
    </w:p>
    <w:p w14:paraId="7F5AEB58" w14:textId="77777777" w:rsidR="00BA2DD3" w:rsidRDefault="00BA2DD3" w:rsidP="00BA2DD3">
      <w:pPr>
        <w:jc w:val="both"/>
        <w:rPr>
          <w:rFonts w:ascii="Book Antiqua" w:hAnsi="Book Antiqua"/>
        </w:rPr>
      </w:pPr>
    </w:p>
    <w:p w14:paraId="5E038834" w14:textId="77777777" w:rsidR="00BA2DD3" w:rsidRDefault="00BA2DD3" w:rsidP="00BA2DD3">
      <w:pPr>
        <w:jc w:val="both"/>
        <w:rPr>
          <w:rFonts w:ascii="Book Antiqua" w:hAnsi="Book Antiqua"/>
        </w:rPr>
      </w:pPr>
    </w:p>
    <w:p w14:paraId="488D08D5" w14:textId="77777777" w:rsidR="00BA2DD3" w:rsidRDefault="00BA2DD3" w:rsidP="00BA2DD3">
      <w:pPr>
        <w:jc w:val="both"/>
        <w:rPr>
          <w:rFonts w:ascii="Book Antiqua" w:hAnsi="Book Antiqua"/>
        </w:rPr>
      </w:pPr>
    </w:p>
    <w:p w14:paraId="6598BA54" w14:textId="77777777" w:rsidR="00BA2DD3" w:rsidRDefault="00BA2DD3" w:rsidP="00BA2DD3">
      <w:pPr>
        <w:jc w:val="both"/>
        <w:rPr>
          <w:rFonts w:ascii="Book Antiqua" w:hAnsi="Book Antiqua"/>
        </w:rPr>
      </w:pPr>
      <w:r>
        <w:rPr>
          <w:rFonts w:ascii="Book Antiqua" w:hAnsi="Book Antiqua"/>
          <w:noProof/>
          <w:lang w:bidi="ar-SA"/>
        </w:rPr>
        <w:lastRenderedPageBreak/>
        <w:drawing>
          <wp:anchor distT="0" distB="0" distL="114300" distR="114300" simplePos="0" relativeHeight="251848192" behindDoc="1" locked="0" layoutInCell="1" allowOverlap="1" wp14:anchorId="0BB3B348" wp14:editId="07F188D5">
            <wp:simplePos x="0" y="0"/>
            <wp:positionH relativeFrom="column">
              <wp:posOffset>-600075</wp:posOffset>
            </wp:positionH>
            <wp:positionV relativeFrom="paragraph">
              <wp:posOffset>99695</wp:posOffset>
            </wp:positionV>
            <wp:extent cx="2762250" cy="2657475"/>
            <wp:effectExtent l="19050" t="0" r="0" b="0"/>
            <wp:wrapTight wrapText="bothSides">
              <wp:wrapPolygon edited="0">
                <wp:start x="-149" y="0"/>
                <wp:lineTo x="-149" y="21523"/>
                <wp:lineTo x="21600" y="21523"/>
                <wp:lineTo x="21600" y="0"/>
                <wp:lineTo x="-149" y="0"/>
              </wp:wrapPolygon>
            </wp:wrapTight>
            <wp:docPr id="833" name="Picture 83" descr="current pics 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rrent pics 467.JPG"/>
                    <pic:cNvPicPr>
                      <a:picLocks noChangeAspect="1" noChangeArrowheads="1"/>
                    </pic:cNvPicPr>
                  </pic:nvPicPr>
                  <pic:blipFill>
                    <a:blip r:embed="rId38"/>
                    <a:srcRect l="23003" r="18462"/>
                    <a:stretch>
                      <a:fillRect/>
                    </a:stretch>
                  </pic:blipFill>
                  <pic:spPr bwMode="auto">
                    <a:xfrm>
                      <a:off x="0" y="0"/>
                      <a:ext cx="2762250" cy="2657475"/>
                    </a:xfrm>
                    <a:prstGeom prst="rect">
                      <a:avLst/>
                    </a:prstGeom>
                    <a:noFill/>
                    <a:ln w="9525">
                      <a:noFill/>
                      <a:miter lim="800000"/>
                      <a:headEnd/>
                      <a:tailEnd/>
                    </a:ln>
                  </pic:spPr>
                </pic:pic>
              </a:graphicData>
            </a:graphic>
          </wp:anchor>
        </w:drawing>
      </w:r>
    </w:p>
    <w:p w14:paraId="2F311863" w14:textId="77777777" w:rsidR="00BA2DD3" w:rsidRDefault="00BA2DD3" w:rsidP="00BA2DD3">
      <w:pPr>
        <w:jc w:val="both"/>
        <w:rPr>
          <w:rFonts w:ascii="Book Antiqua" w:hAnsi="Book Antiqua"/>
        </w:rPr>
      </w:pPr>
    </w:p>
    <w:p w14:paraId="098148B6" w14:textId="77777777" w:rsidR="00BA2DD3" w:rsidRDefault="00BA2DD3" w:rsidP="00BA2DD3">
      <w:pPr>
        <w:jc w:val="both"/>
        <w:rPr>
          <w:rFonts w:ascii="Book Antiqua" w:hAnsi="Book Antiqua"/>
        </w:rPr>
      </w:pPr>
    </w:p>
    <w:p w14:paraId="3FCF312E" w14:textId="77777777" w:rsidR="00BA2DD3" w:rsidRDefault="00BA2DD3" w:rsidP="00BA2DD3">
      <w:pPr>
        <w:jc w:val="both"/>
        <w:rPr>
          <w:rFonts w:ascii="Book Antiqua" w:hAnsi="Book Antiqua"/>
        </w:rPr>
      </w:pPr>
    </w:p>
    <w:p w14:paraId="0A9E7AFF" w14:textId="77777777" w:rsidR="00BA2DD3" w:rsidRDefault="00BA2DD3" w:rsidP="00BA2DD3">
      <w:pPr>
        <w:jc w:val="both"/>
        <w:rPr>
          <w:rFonts w:ascii="Book Antiqua" w:hAnsi="Book Antiqua"/>
        </w:rPr>
      </w:pPr>
    </w:p>
    <w:p w14:paraId="7CE12E79" w14:textId="77777777" w:rsidR="00BA2DD3" w:rsidRDefault="00BA2DD3" w:rsidP="00BA2DD3">
      <w:pPr>
        <w:jc w:val="both"/>
        <w:rPr>
          <w:rFonts w:ascii="Book Antiqua" w:hAnsi="Book Antiqua"/>
        </w:rPr>
      </w:pPr>
    </w:p>
    <w:p w14:paraId="65C0CDBE" w14:textId="77777777" w:rsidR="00BA2DD3" w:rsidRDefault="00BA2DD3" w:rsidP="00BA2DD3">
      <w:pPr>
        <w:jc w:val="both"/>
        <w:rPr>
          <w:rFonts w:ascii="Book Antiqua" w:hAnsi="Book Antiqua"/>
        </w:rPr>
      </w:pPr>
    </w:p>
    <w:p w14:paraId="30A1E08B" w14:textId="77777777" w:rsidR="00BA2DD3" w:rsidRDefault="00BA2DD3" w:rsidP="00BA2DD3">
      <w:pPr>
        <w:jc w:val="both"/>
        <w:rPr>
          <w:rFonts w:ascii="Book Antiqua" w:hAnsi="Book Antiqua"/>
        </w:rPr>
      </w:pPr>
    </w:p>
    <w:p w14:paraId="4D300B43" w14:textId="77777777" w:rsidR="00BA2DD3" w:rsidRDefault="00BA2DD3" w:rsidP="00BA2DD3">
      <w:pPr>
        <w:jc w:val="both"/>
        <w:rPr>
          <w:rFonts w:ascii="Book Antiqua" w:hAnsi="Book Antiqua"/>
        </w:rPr>
      </w:pPr>
    </w:p>
    <w:p w14:paraId="472CF037" w14:textId="77777777" w:rsidR="00BA2DD3" w:rsidRDefault="00BA2DD3" w:rsidP="00BA2DD3">
      <w:pPr>
        <w:jc w:val="both"/>
        <w:rPr>
          <w:rFonts w:ascii="Book Antiqua" w:hAnsi="Book Antiqua"/>
        </w:rPr>
      </w:pPr>
      <w:r w:rsidRPr="004731AD">
        <w:rPr>
          <w:rFonts w:ascii="Book Antiqua" w:hAnsi="Book Antiqua"/>
        </w:rPr>
        <w:t>Fig 1 (f)</w:t>
      </w:r>
    </w:p>
    <w:p w14:paraId="220856E2" w14:textId="77777777" w:rsidR="00BA2DD3" w:rsidRDefault="00BA2DD3" w:rsidP="008D4E9B">
      <w:pPr>
        <w:jc w:val="both"/>
        <w:rPr>
          <w:rFonts w:ascii="Book Antiqua" w:hAnsi="Book Antiqua"/>
        </w:rPr>
      </w:pPr>
      <w:r>
        <w:rPr>
          <w:rFonts w:ascii="Book Antiqua" w:hAnsi="Book Antiqua"/>
          <w:noProof/>
          <w:lang w:bidi="ar-SA"/>
        </w:rPr>
        <w:drawing>
          <wp:anchor distT="0" distB="0" distL="114300" distR="114300" simplePos="0" relativeHeight="251845120" behindDoc="1" locked="0" layoutInCell="1" allowOverlap="1" wp14:anchorId="581B0548" wp14:editId="1FA673F3">
            <wp:simplePos x="0" y="0"/>
            <wp:positionH relativeFrom="column">
              <wp:posOffset>-534035</wp:posOffset>
            </wp:positionH>
            <wp:positionV relativeFrom="paragraph">
              <wp:posOffset>233680</wp:posOffset>
            </wp:positionV>
            <wp:extent cx="2771775" cy="1609725"/>
            <wp:effectExtent l="19050" t="0" r="9525" b="0"/>
            <wp:wrapTight wrapText="bothSides">
              <wp:wrapPolygon edited="0">
                <wp:start x="-148" y="0"/>
                <wp:lineTo x="-148" y="21472"/>
                <wp:lineTo x="21674" y="21472"/>
                <wp:lineTo x="21674" y="0"/>
                <wp:lineTo x="-148" y="0"/>
              </wp:wrapPolygon>
            </wp:wrapTight>
            <wp:docPr id="827" name="Picture 85" descr="current pics 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rrent pics 479.JPG"/>
                    <pic:cNvPicPr>
                      <a:picLocks noChangeAspect="1" noChangeArrowheads="1"/>
                    </pic:cNvPicPr>
                  </pic:nvPicPr>
                  <pic:blipFill>
                    <a:blip r:embed="rId39"/>
                    <a:srcRect l="2432" t="6810" r="11037"/>
                    <a:stretch>
                      <a:fillRect/>
                    </a:stretch>
                  </pic:blipFill>
                  <pic:spPr bwMode="auto">
                    <a:xfrm>
                      <a:off x="0" y="0"/>
                      <a:ext cx="2771775" cy="1609725"/>
                    </a:xfrm>
                    <a:prstGeom prst="rect">
                      <a:avLst/>
                    </a:prstGeom>
                    <a:noFill/>
                    <a:ln w="9525">
                      <a:noFill/>
                      <a:miter lim="800000"/>
                      <a:headEnd/>
                      <a:tailEnd/>
                    </a:ln>
                  </pic:spPr>
                </pic:pic>
              </a:graphicData>
            </a:graphic>
          </wp:anchor>
        </w:drawing>
      </w:r>
    </w:p>
    <w:p w14:paraId="34F9DAF8" w14:textId="77777777" w:rsidR="00BA2DD3" w:rsidRDefault="00BA2DD3" w:rsidP="008D4E9B">
      <w:pPr>
        <w:jc w:val="both"/>
        <w:rPr>
          <w:rFonts w:ascii="Book Antiqua" w:hAnsi="Book Antiqua"/>
        </w:rPr>
      </w:pPr>
    </w:p>
    <w:p w14:paraId="70521EC7" w14:textId="77777777" w:rsidR="00BA2DD3" w:rsidRDefault="00BA2DD3" w:rsidP="008D4E9B">
      <w:pPr>
        <w:jc w:val="both"/>
        <w:rPr>
          <w:rFonts w:ascii="Book Antiqua" w:hAnsi="Book Antiqua"/>
        </w:rPr>
      </w:pPr>
    </w:p>
    <w:p w14:paraId="1973AB76" w14:textId="77777777" w:rsidR="00BA2DD3" w:rsidRDefault="00BA2DD3" w:rsidP="008D4E9B">
      <w:pPr>
        <w:jc w:val="both"/>
        <w:rPr>
          <w:rFonts w:ascii="Book Antiqua" w:hAnsi="Book Antiqua"/>
        </w:rPr>
      </w:pPr>
    </w:p>
    <w:p w14:paraId="05858864" w14:textId="77777777" w:rsidR="00BA2DD3" w:rsidRDefault="00BA2DD3" w:rsidP="008D4E9B">
      <w:pPr>
        <w:jc w:val="both"/>
        <w:rPr>
          <w:rFonts w:ascii="Book Antiqua" w:hAnsi="Book Antiqua"/>
        </w:rPr>
      </w:pPr>
    </w:p>
    <w:p w14:paraId="6ECE127B" w14:textId="77777777" w:rsidR="00BA2DD3" w:rsidRDefault="00BA2DD3" w:rsidP="008D4E9B">
      <w:pPr>
        <w:jc w:val="both"/>
        <w:rPr>
          <w:rFonts w:ascii="Book Antiqua" w:hAnsi="Book Antiqua"/>
        </w:rPr>
      </w:pPr>
    </w:p>
    <w:p w14:paraId="72A7F4B0" w14:textId="77777777" w:rsidR="00843572" w:rsidRPr="004731AD" w:rsidRDefault="00843572" w:rsidP="00843572">
      <w:pPr>
        <w:jc w:val="both"/>
        <w:rPr>
          <w:rFonts w:ascii="Book Antiqua" w:hAnsi="Book Antiqua"/>
        </w:rPr>
      </w:pPr>
      <w:r w:rsidRPr="004731AD">
        <w:rPr>
          <w:rFonts w:ascii="Book Antiqua" w:hAnsi="Book Antiqua"/>
        </w:rPr>
        <w:t>Fig 1 (g)</w:t>
      </w:r>
    </w:p>
    <w:p w14:paraId="3062F575" w14:textId="77777777" w:rsidR="00976239" w:rsidRDefault="00976239" w:rsidP="008D4E9B">
      <w:pPr>
        <w:jc w:val="both"/>
        <w:rPr>
          <w:rFonts w:ascii="Book Antiqua" w:hAnsi="Book Antiqua"/>
        </w:rPr>
      </w:pPr>
    </w:p>
    <w:p w14:paraId="5F6F442C" w14:textId="77777777" w:rsidR="00C26090" w:rsidRPr="004731AD" w:rsidRDefault="00C26090" w:rsidP="008D4E9B">
      <w:pPr>
        <w:jc w:val="both"/>
        <w:rPr>
          <w:rFonts w:ascii="Book Antiqua" w:hAnsi="Book Antiqua"/>
        </w:rPr>
      </w:pPr>
    </w:p>
    <w:p w14:paraId="4A972E71" w14:textId="77777777" w:rsidR="008D4E9B" w:rsidRPr="004731AD" w:rsidRDefault="008D4E9B" w:rsidP="008D4E9B">
      <w:pPr>
        <w:jc w:val="both"/>
        <w:rPr>
          <w:rFonts w:ascii="Book Antiqua" w:hAnsi="Book Antiqua"/>
        </w:rPr>
      </w:pPr>
    </w:p>
    <w:p w14:paraId="24DD7274" w14:textId="77777777" w:rsidR="008D4E9B" w:rsidRDefault="008D4E9B" w:rsidP="008D4E9B">
      <w:pPr>
        <w:jc w:val="both"/>
        <w:rPr>
          <w:rFonts w:ascii="Book Antiqua" w:hAnsi="Book Antiqua"/>
        </w:rPr>
      </w:pPr>
    </w:p>
    <w:p w14:paraId="5E7C97F7" w14:textId="77777777" w:rsidR="00C26090" w:rsidRDefault="00C26090" w:rsidP="008D4E9B">
      <w:pPr>
        <w:jc w:val="both"/>
        <w:rPr>
          <w:rFonts w:ascii="Book Antiqua" w:hAnsi="Book Antiqua"/>
        </w:rPr>
      </w:pPr>
    </w:p>
    <w:p w14:paraId="6CDED809" w14:textId="77777777" w:rsidR="00C26090" w:rsidRDefault="00C26090" w:rsidP="008D4E9B">
      <w:pPr>
        <w:jc w:val="both"/>
        <w:rPr>
          <w:rFonts w:ascii="Book Antiqua" w:hAnsi="Book Antiqua"/>
        </w:rPr>
      </w:pPr>
    </w:p>
    <w:p w14:paraId="3C12D465" w14:textId="77777777" w:rsidR="00C26090" w:rsidRDefault="00C26090" w:rsidP="008D4E9B">
      <w:pPr>
        <w:jc w:val="both"/>
        <w:rPr>
          <w:rFonts w:ascii="Book Antiqua" w:hAnsi="Book Antiqua"/>
        </w:rPr>
      </w:pPr>
    </w:p>
    <w:p w14:paraId="396AFBBC" w14:textId="77777777" w:rsidR="00C26090" w:rsidRDefault="00C26090" w:rsidP="008D4E9B">
      <w:pPr>
        <w:jc w:val="both"/>
        <w:rPr>
          <w:rFonts w:ascii="Book Antiqua" w:hAnsi="Book Antiqua"/>
        </w:rPr>
      </w:pPr>
    </w:p>
    <w:p w14:paraId="58483B5B" w14:textId="77777777" w:rsidR="00C26090" w:rsidRDefault="007005B1" w:rsidP="008D4E9B">
      <w:pPr>
        <w:jc w:val="both"/>
        <w:rPr>
          <w:rFonts w:ascii="Book Antiqua" w:hAnsi="Book Antiqua"/>
        </w:rPr>
      </w:pPr>
      <w:r>
        <w:rPr>
          <w:rFonts w:ascii="Book Antiqua" w:hAnsi="Book Antiqua"/>
          <w:noProof/>
          <w:lang w:bidi="ar-SA"/>
        </w:rPr>
        <w:drawing>
          <wp:inline distT="0" distB="0" distL="0" distR="0" wp14:anchorId="4FBAEE1E" wp14:editId="514DE19E">
            <wp:extent cx="2581275" cy="1914525"/>
            <wp:effectExtent l="19050" t="0" r="9525" b="0"/>
            <wp:docPr id="9" name="Picture 89" descr="current pics 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rrent pics 334.JPG"/>
                    <pic:cNvPicPr>
                      <a:picLocks noChangeAspect="1" noChangeArrowheads="1"/>
                    </pic:cNvPicPr>
                  </pic:nvPicPr>
                  <pic:blipFill>
                    <a:blip r:embed="rId40"/>
                    <a:srcRect l="3157" t="3078"/>
                    <a:stretch>
                      <a:fillRect/>
                    </a:stretch>
                  </pic:blipFill>
                  <pic:spPr bwMode="auto">
                    <a:xfrm>
                      <a:off x="0" y="0"/>
                      <a:ext cx="2581275" cy="1914525"/>
                    </a:xfrm>
                    <a:prstGeom prst="rect">
                      <a:avLst/>
                    </a:prstGeom>
                    <a:noFill/>
                    <a:ln w="9525">
                      <a:noFill/>
                      <a:miter lim="800000"/>
                      <a:headEnd/>
                      <a:tailEnd/>
                    </a:ln>
                  </pic:spPr>
                </pic:pic>
              </a:graphicData>
            </a:graphic>
          </wp:inline>
        </w:drawing>
      </w:r>
    </w:p>
    <w:p w14:paraId="6619E6A7" w14:textId="77777777" w:rsidR="008D4E9B" w:rsidRPr="00C26090" w:rsidRDefault="008D4E9B" w:rsidP="008D4E9B">
      <w:pPr>
        <w:jc w:val="both"/>
        <w:rPr>
          <w:rFonts w:ascii="Book Antiqua" w:hAnsi="Book Antiqua"/>
        </w:rPr>
      </w:pPr>
      <w:r w:rsidRPr="004731AD">
        <w:rPr>
          <w:rFonts w:ascii="Book Antiqua" w:hAnsi="Book Antiqua"/>
          <w:lang w:val="sv-SE"/>
        </w:rPr>
        <w:t>Fig 1 (h)</w:t>
      </w:r>
    </w:p>
    <w:p w14:paraId="0AB27148" w14:textId="77777777" w:rsidR="008D4E9B" w:rsidRPr="004731AD" w:rsidRDefault="007005B1" w:rsidP="008D4E9B">
      <w:pPr>
        <w:jc w:val="both"/>
        <w:rPr>
          <w:rFonts w:ascii="Book Antiqua" w:hAnsi="Book Antiqua"/>
          <w:lang w:val="sv-SE"/>
        </w:rPr>
      </w:pPr>
      <w:r>
        <w:rPr>
          <w:rFonts w:ascii="Book Antiqua" w:hAnsi="Book Antiqua"/>
          <w:noProof/>
          <w:lang w:bidi="ar-SA"/>
        </w:rPr>
        <w:drawing>
          <wp:anchor distT="0" distB="0" distL="114300" distR="114300" simplePos="0" relativeHeight="251847168" behindDoc="1" locked="0" layoutInCell="1" allowOverlap="1" wp14:anchorId="33D559BE" wp14:editId="1AE0A4B8">
            <wp:simplePos x="0" y="0"/>
            <wp:positionH relativeFrom="column">
              <wp:posOffset>-87630</wp:posOffset>
            </wp:positionH>
            <wp:positionV relativeFrom="paragraph">
              <wp:posOffset>147320</wp:posOffset>
            </wp:positionV>
            <wp:extent cx="2619375" cy="2647950"/>
            <wp:effectExtent l="19050" t="0" r="9525" b="0"/>
            <wp:wrapTight wrapText="bothSides">
              <wp:wrapPolygon edited="0">
                <wp:start x="-157" y="0"/>
                <wp:lineTo x="-157" y="21445"/>
                <wp:lineTo x="21679" y="21445"/>
                <wp:lineTo x="21679" y="0"/>
                <wp:lineTo x="-157" y="0"/>
              </wp:wrapPolygon>
            </wp:wrapTight>
            <wp:docPr id="832" name="Picture 81" descr="current pics 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rrent pics 466.JPG"/>
                    <pic:cNvPicPr>
                      <a:picLocks noChangeAspect="1" noChangeArrowheads="1"/>
                    </pic:cNvPicPr>
                  </pic:nvPicPr>
                  <pic:blipFill>
                    <a:blip r:embed="rId41"/>
                    <a:srcRect l="30753" t="1701" r="15120" b="55"/>
                    <a:stretch>
                      <a:fillRect/>
                    </a:stretch>
                  </pic:blipFill>
                  <pic:spPr bwMode="auto">
                    <a:xfrm>
                      <a:off x="0" y="0"/>
                      <a:ext cx="2619375" cy="2647950"/>
                    </a:xfrm>
                    <a:prstGeom prst="rect">
                      <a:avLst/>
                    </a:prstGeom>
                    <a:noFill/>
                    <a:ln w="9525">
                      <a:noFill/>
                      <a:miter lim="800000"/>
                      <a:headEnd/>
                      <a:tailEnd/>
                    </a:ln>
                  </pic:spPr>
                </pic:pic>
              </a:graphicData>
            </a:graphic>
          </wp:anchor>
        </w:drawing>
      </w:r>
    </w:p>
    <w:p w14:paraId="7AB09E1C" w14:textId="77777777" w:rsidR="00C26090" w:rsidRPr="004731AD" w:rsidRDefault="00C26090" w:rsidP="00C26090">
      <w:pPr>
        <w:pStyle w:val="NoSpacing"/>
        <w:spacing w:line="276" w:lineRule="auto"/>
        <w:jc w:val="both"/>
        <w:rPr>
          <w:rFonts w:ascii="Book Antiqua" w:hAnsi="Book Antiqua"/>
          <w:lang w:val="sv-SE"/>
        </w:rPr>
      </w:pPr>
      <w:r>
        <w:rPr>
          <w:rFonts w:ascii="Book Antiqua" w:hAnsi="Book Antiqua"/>
          <w:lang w:val="sv-SE"/>
        </w:rPr>
        <w:t>Fig 1 (i</w:t>
      </w:r>
      <w:r w:rsidRPr="004731AD">
        <w:rPr>
          <w:rFonts w:ascii="Book Antiqua" w:hAnsi="Book Antiqua"/>
          <w:lang w:val="sv-SE"/>
        </w:rPr>
        <w:t xml:space="preserve">) </w:t>
      </w:r>
    </w:p>
    <w:p w14:paraId="64AE98E6" w14:textId="77777777" w:rsidR="00C26090" w:rsidRDefault="00C26090" w:rsidP="008D4E9B">
      <w:pPr>
        <w:pStyle w:val="NoSpacing"/>
        <w:spacing w:line="276" w:lineRule="auto"/>
        <w:jc w:val="both"/>
        <w:rPr>
          <w:rFonts w:ascii="Book Antiqua" w:hAnsi="Book Antiqua"/>
          <w:lang w:val="sv-SE"/>
        </w:rPr>
      </w:pPr>
    </w:p>
    <w:p w14:paraId="192C8BCB" w14:textId="77777777" w:rsidR="00C26090" w:rsidRDefault="00C26090" w:rsidP="008D4E9B">
      <w:pPr>
        <w:pStyle w:val="NoSpacing"/>
        <w:spacing w:line="276" w:lineRule="auto"/>
        <w:jc w:val="both"/>
        <w:rPr>
          <w:rFonts w:ascii="Book Antiqua" w:hAnsi="Book Antiqua"/>
          <w:lang w:val="sv-SE"/>
        </w:rPr>
      </w:pPr>
    </w:p>
    <w:p w14:paraId="5CFBB539" w14:textId="77777777" w:rsidR="00C26090" w:rsidRDefault="00C26090" w:rsidP="00C26090">
      <w:pPr>
        <w:pStyle w:val="NoSpacing"/>
        <w:spacing w:line="276" w:lineRule="auto"/>
        <w:jc w:val="both"/>
        <w:rPr>
          <w:rFonts w:ascii="Book Antiqua" w:hAnsi="Book Antiqua"/>
          <w:lang w:val="sv-SE"/>
        </w:rPr>
      </w:pPr>
      <w:r>
        <w:rPr>
          <w:rFonts w:ascii="Book Antiqua" w:hAnsi="Book Antiqua"/>
          <w:lang w:val="sv-SE"/>
        </w:rPr>
        <w:t>Fig 1(j)</w:t>
      </w:r>
    </w:p>
    <w:p w14:paraId="3F643AAD" w14:textId="77777777" w:rsidR="00C26090" w:rsidRPr="00C26090" w:rsidRDefault="00C26090" w:rsidP="00C26090">
      <w:pPr>
        <w:pStyle w:val="NoSpacing"/>
        <w:spacing w:line="276" w:lineRule="auto"/>
        <w:jc w:val="both"/>
        <w:rPr>
          <w:rFonts w:ascii="Book Antiqua" w:hAnsi="Book Antiqua"/>
          <w:lang w:val="sv-SE"/>
        </w:rPr>
      </w:pPr>
    </w:p>
    <w:p w14:paraId="032BD911" w14:textId="77777777" w:rsidR="008D4E9B" w:rsidRPr="004731AD" w:rsidRDefault="008D4E9B" w:rsidP="008D4E9B">
      <w:pPr>
        <w:jc w:val="both"/>
        <w:rPr>
          <w:rFonts w:ascii="Book Antiqua" w:hAnsi="Book Antiqua"/>
        </w:rPr>
      </w:pPr>
      <w:r w:rsidRPr="004731AD">
        <w:rPr>
          <w:rFonts w:ascii="Book Antiqua" w:hAnsi="Book Antiqua"/>
        </w:rPr>
        <w:t>Fig 1 (a) shows the washing of the empty water sachets, fan yogo, fan choco, fan milk and milo, collected on the campuses of the academic tertiary institutions of the study.</w:t>
      </w:r>
    </w:p>
    <w:p w14:paraId="443308F6" w14:textId="77777777" w:rsidR="008D4E9B" w:rsidRPr="004731AD" w:rsidRDefault="008D4E9B" w:rsidP="008D4E9B">
      <w:pPr>
        <w:jc w:val="both"/>
        <w:rPr>
          <w:rFonts w:ascii="Book Antiqua" w:hAnsi="Book Antiqua"/>
        </w:rPr>
      </w:pPr>
      <w:r w:rsidRPr="004731AD">
        <w:rPr>
          <w:rFonts w:ascii="Book Antiqua" w:hAnsi="Book Antiqua"/>
        </w:rPr>
        <w:t>Fig 1 (b) shows the drying of the empty sachet water, fan yogo, fan choco, fan milk and milo.</w:t>
      </w:r>
    </w:p>
    <w:p w14:paraId="74EBB084" w14:textId="77777777" w:rsidR="008D4E9B" w:rsidRPr="004731AD" w:rsidRDefault="008D4E9B" w:rsidP="008D4E9B">
      <w:pPr>
        <w:jc w:val="both"/>
        <w:rPr>
          <w:rFonts w:ascii="Book Antiqua" w:hAnsi="Book Antiqua"/>
        </w:rPr>
      </w:pPr>
      <w:r w:rsidRPr="004731AD">
        <w:rPr>
          <w:rFonts w:ascii="Book Antiqua" w:hAnsi="Book Antiqua"/>
        </w:rPr>
        <w:lastRenderedPageBreak/>
        <w:t>Fig 1 (c) shows the sorting of the empty sachets into various kinds.</w:t>
      </w:r>
    </w:p>
    <w:p w14:paraId="10DF9F0F" w14:textId="77777777" w:rsidR="008D4E9B" w:rsidRPr="004731AD" w:rsidRDefault="008D4E9B" w:rsidP="008D4E9B">
      <w:pPr>
        <w:jc w:val="both"/>
        <w:rPr>
          <w:rFonts w:ascii="Book Antiqua" w:hAnsi="Book Antiqua"/>
        </w:rPr>
      </w:pPr>
      <w:r w:rsidRPr="004731AD">
        <w:rPr>
          <w:rFonts w:ascii="Book Antiqua" w:hAnsi="Book Antiqua"/>
        </w:rPr>
        <w:t>Fig 1 (d) shows the laying-out and cutting of the empty sachets into different articles.</w:t>
      </w:r>
    </w:p>
    <w:p w14:paraId="6DE5B386" w14:textId="77777777" w:rsidR="008D4E9B" w:rsidRPr="004731AD" w:rsidRDefault="008D4E9B" w:rsidP="008D4E9B">
      <w:pPr>
        <w:jc w:val="both"/>
        <w:rPr>
          <w:rFonts w:ascii="Book Antiqua" w:hAnsi="Book Antiqua"/>
        </w:rPr>
      </w:pPr>
      <w:r w:rsidRPr="004731AD">
        <w:rPr>
          <w:rFonts w:ascii="Book Antiqua" w:hAnsi="Book Antiqua"/>
        </w:rPr>
        <w:t xml:space="preserve">Fig 1 (e) shows the joining of the empty sachets. </w:t>
      </w:r>
    </w:p>
    <w:p w14:paraId="20251AE9" w14:textId="77777777" w:rsidR="008D4E9B" w:rsidRPr="004731AD" w:rsidRDefault="008D4E9B" w:rsidP="008D4E9B">
      <w:pPr>
        <w:jc w:val="both"/>
        <w:rPr>
          <w:rFonts w:ascii="Book Antiqua" w:hAnsi="Book Antiqua"/>
        </w:rPr>
      </w:pPr>
      <w:r w:rsidRPr="004731AD">
        <w:rPr>
          <w:rFonts w:ascii="Book Antiqua" w:hAnsi="Book Antiqua"/>
        </w:rPr>
        <w:t>Fig 1 (f) and Fig 1 (g) shows the finished product of milo shopping bag and school bag.</w:t>
      </w:r>
    </w:p>
    <w:p w14:paraId="4A86209B" w14:textId="77777777" w:rsidR="008D4E9B" w:rsidRPr="004731AD" w:rsidRDefault="008D4E9B" w:rsidP="008D4E9B">
      <w:pPr>
        <w:jc w:val="both"/>
        <w:rPr>
          <w:rFonts w:ascii="Book Antiqua" w:hAnsi="Book Antiqua"/>
        </w:rPr>
      </w:pPr>
      <w:r w:rsidRPr="004731AD">
        <w:rPr>
          <w:rFonts w:ascii="Book Antiqua" w:hAnsi="Book Antiqua"/>
        </w:rPr>
        <w:t xml:space="preserve">Fig 1 (h) shows the finished product of water sachet umbrella. </w:t>
      </w:r>
    </w:p>
    <w:p w14:paraId="169DAA7C" w14:textId="77777777" w:rsidR="008D4E9B" w:rsidRPr="004731AD" w:rsidRDefault="008D4E9B" w:rsidP="008D4E9B">
      <w:pPr>
        <w:jc w:val="both"/>
        <w:rPr>
          <w:rFonts w:ascii="Book Antiqua" w:hAnsi="Book Antiqua"/>
        </w:rPr>
      </w:pPr>
      <w:r w:rsidRPr="004731AD">
        <w:rPr>
          <w:rFonts w:ascii="Book Antiqua" w:hAnsi="Book Antiqua"/>
        </w:rPr>
        <w:t xml:space="preserve">Fig 1 (i) and Fig (j) shows the finished product of fan yogo and chocolate garment. </w:t>
      </w:r>
    </w:p>
    <w:p w14:paraId="39A21829" w14:textId="77777777" w:rsidR="008D4E9B" w:rsidRPr="004731AD" w:rsidRDefault="008D4E9B" w:rsidP="00CA2555">
      <w:pPr>
        <w:spacing w:after="0"/>
        <w:jc w:val="both"/>
        <w:rPr>
          <w:rFonts w:ascii="Book Antiqua" w:hAnsi="Book Antiqua"/>
        </w:rPr>
      </w:pPr>
    </w:p>
    <w:p w14:paraId="1A85B0D1" w14:textId="77777777" w:rsidR="008D4E9B" w:rsidRPr="004731AD" w:rsidRDefault="008D4E9B" w:rsidP="008D4E9B">
      <w:pPr>
        <w:jc w:val="both"/>
        <w:rPr>
          <w:rFonts w:ascii="Book Antiqua" w:hAnsi="Book Antiqua"/>
          <w:b/>
        </w:rPr>
      </w:pPr>
      <w:r w:rsidRPr="004731AD">
        <w:rPr>
          <w:rFonts w:ascii="Book Antiqua" w:hAnsi="Book Antiqua"/>
          <w:b/>
        </w:rPr>
        <w:t>5.</w:t>
      </w:r>
      <w:r w:rsidR="00E10ABB">
        <w:rPr>
          <w:rFonts w:ascii="Book Antiqua" w:hAnsi="Book Antiqua"/>
          <w:b/>
        </w:rPr>
        <w:t>0</w:t>
      </w:r>
      <w:r w:rsidRPr="004731AD">
        <w:rPr>
          <w:rFonts w:ascii="Book Antiqua" w:hAnsi="Book Antiqua"/>
          <w:b/>
        </w:rPr>
        <w:t xml:space="preserve"> </w:t>
      </w:r>
      <w:r w:rsidRPr="00CA2555">
        <w:rPr>
          <w:rFonts w:ascii="Book Antiqua" w:hAnsi="Book Antiqua"/>
          <w:b/>
          <w:sz w:val="26"/>
        </w:rPr>
        <w:t>Conclusion</w:t>
      </w:r>
      <w:r w:rsidRPr="004731AD">
        <w:rPr>
          <w:rFonts w:ascii="Book Antiqua" w:hAnsi="Book Antiqua"/>
          <w:b/>
        </w:rPr>
        <w:t xml:space="preserve"> </w:t>
      </w:r>
    </w:p>
    <w:p w14:paraId="15DD0630" w14:textId="77777777" w:rsidR="008D4E9B" w:rsidRPr="004731AD" w:rsidRDefault="008D4E9B" w:rsidP="008D4E9B">
      <w:pPr>
        <w:pStyle w:val="NoSpacing"/>
        <w:spacing w:line="276" w:lineRule="auto"/>
        <w:jc w:val="both"/>
        <w:rPr>
          <w:rFonts w:ascii="Book Antiqua" w:hAnsi="Book Antiqua"/>
        </w:rPr>
      </w:pPr>
      <w:r w:rsidRPr="004731AD">
        <w:rPr>
          <w:rFonts w:ascii="Book Antiqua" w:hAnsi="Book Antiqua"/>
        </w:rPr>
        <w:t xml:space="preserve">The benefits of recycling plastic waste are numerous and also environmentally friendly compared to the other methods of waste management. As reported in Table 6, one of the best ways to tackle the menace of indiscriminate disposal of plastic wastes in lecture halls, washrooms, cafeteria and on campus surroundings is to recycle into less costly products for reuse, instead of collecting and dumping them at the refuse dump or burning them which are not environmentally friendly. </w:t>
      </w:r>
    </w:p>
    <w:p w14:paraId="5B43251F" w14:textId="77777777" w:rsidR="008D4E9B" w:rsidRPr="004731AD" w:rsidRDefault="008D4E9B" w:rsidP="008D4E9B">
      <w:pPr>
        <w:jc w:val="both"/>
        <w:rPr>
          <w:rFonts w:ascii="Book Antiqua" w:hAnsi="Book Antiqua"/>
        </w:rPr>
      </w:pPr>
      <w:r w:rsidRPr="004731AD">
        <w:rPr>
          <w:rFonts w:ascii="Book Antiqua" w:hAnsi="Book Antiqua"/>
        </w:rPr>
        <w:t xml:space="preserve">     In recognition of the importance of recycling of plastic waste in waste management in the metropolis as well as in the academic tertiary institutions, the study recommends the following:</w:t>
      </w:r>
    </w:p>
    <w:p w14:paraId="39F3ED41" w14:textId="77777777" w:rsidR="008D4E9B" w:rsidRPr="004731AD" w:rsidRDefault="008D4E9B" w:rsidP="008D4E9B">
      <w:pPr>
        <w:pStyle w:val="ListParagraph"/>
        <w:numPr>
          <w:ilvl w:val="0"/>
          <w:numId w:val="20"/>
        </w:numPr>
        <w:jc w:val="both"/>
        <w:rPr>
          <w:rFonts w:ascii="Book Antiqua" w:hAnsi="Book Antiqua"/>
        </w:rPr>
      </w:pPr>
      <w:r w:rsidRPr="004731AD">
        <w:rPr>
          <w:rFonts w:ascii="Book Antiqua" w:hAnsi="Book Antiqua"/>
        </w:rPr>
        <w:t>That more technical staff should be trained on how to recycle plastic waste into useful products.</w:t>
      </w:r>
    </w:p>
    <w:p w14:paraId="5DE1AC08" w14:textId="77777777" w:rsidR="008D4E9B" w:rsidRPr="004731AD" w:rsidRDefault="008D4E9B" w:rsidP="008D4E9B">
      <w:pPr>
        <w:pStyle w:val="ListParagraph"/>
        <w:numPr>
          <w:ilvl w:val="0"/>
          <w:numId w:val="20"/>
        </w:numPr>
        <w:jc w:val="both"/>
        <w:rPr>
          <w:rFonts w:ascii="Book Antiqua" w:hAnsi="Book Antiqua"/>
        </w:rPr>
      </w:pPr>
      <w:r w:rsidRPr="004731AD">
        <w:rPr>
          <w:rFonts w:ascii="Book Antiqua" w:hAnsi="Book Antiqua"/>
        </w:rPr>
        <w:t>The academic tertiary institutions can incorporate a short course training programme at low cost, teaching students and the general public how to recycle plastic waste – empty sachets, into useful products.</w:t>
      </w:r>
    </w:p>
    <w:p w14:paraId="35918B72" w14:textId="77777777" w:rsidR="008D4E9B" w:rsidRPr="004731AD" w:rsidRDefault="008D4E9B" w:rsidP="008D4E9B">
      <w:pPr>
        <w:pStyle w:val="ListParagraph"/>
        <w:numPr>
          <w:ilvl w:val="0"/>
          <w:numId w:val="20"/>
        </w:numPr>
        <w:jc w:val="both"/>
        <w:rPr>
          <w:rFonts w:ascii="Book Antiqua" w:hAnsi="Book Antiqua"/>
        </w:rPr>
      </w:pPr>
      <w:r w:rsidRPr="004731AD">
        <w:rPr>
          <w:rFonts w:ascii="Book Antiqua" w:hAnsi="Book Antiqua"/>
        </w:rPr>
        <w:t>The government could adopt recycling of plastic waste into useful products as part of its poverty reduction and youth employment strategy.</w:t>
      </w:r>
    </w:p>
    <w:p w14:paraId="2B9F5468" w14:textId="77777777" w:rsidR="008D4E9B" w:rsidRPr="004731AD" w:rsidRDefault="008D4E9B" w:rsidP="008D4E9B">
      <w:pPr>
        <w:pStyle w:val="NoSpacing"/>
        <w:spacing w:line="276" w:lineRule="auto"/>
        <w:jc w:val="both"/>
        <w:rPr>
          <w:rFonts w:ascii="Book Antiqua" w:hAnsi="Book Antiqua"/>
        </w:rPr>
      </w:pPr>
    </w:p>
    <w:p w14:paraId="1A75D1E8" w14:textId="77777777" w:rsidR="008D4E9B" w:rsidRPr="004731AD" w:rsidRDefault="008D4E9B" w:rsidP="008D4E9B">
      <w:pPr>
        <w:jc w:val="both"/>
        <w:rPr>
          <w:rFonts w:ascii="Book Antiqua" w:hAnsi="Book Antiqua"/>
          <w:b/>
        </w:rPr>
      </w:pPr>
      <w:r w:rsidRPr="00CA2555">
        <w:rPr>
          <w:rFonts w:ascii="Book Antiqua" w:hAnsi="Book Antiqua"/>
          <w:b/>
          <w:sz w:val="26"/>
        </w:rPr>
        <w:t>Acknowledgement</w:t>
      </w:r>
    </w:p>
    <w:p w14:paraId="350266A2" w14:textId="77777777" w:rsidR="008D4E9B" w:rsidRPr="004731AD" w:rsidRDefault="008D4E9B" w:rsidP="008D4E9B">
      <w:pPr>
        <w:jc w:val="both"/>
        <w:rPr>
          <w:rFonts w:ascii="Book Antiqua" w:hAnsi="Book Antiqua"/>
        </w:rPr>
      </w:pPr>
      <w:r w:rsidRPr="004731AD">
        <w:rPr>
          <w:rFonts w:ascii="Book Antiqua" w:hAnsi="Book Antiqua"/>
        </w:rPr>
        <w:t xml:space="preserve">I wish to acknowledge the support of research and innovation centre and Fashion Design and Textiles Department of Accra Polytechnic. </w:t>
      </w:r>
    </w:p>
    <w:p w14:paraId="382814EB" w14:textId="77777777" w:rsidR="008D4E9B" w:rsidRPr="004731AD" w:rsidRDefault="008D4E9B" w:rsidP="008D4E9B">
      <w:pPr>
        <w:jc w:val="both"/>
        <w:rPr>
          <w:rFonts w:ascii="Book Antiqua" w:hAnsi="Book Antiqua"/>
          <w:b/>
        </w:rPr>
      </w:pPr>
      <w:r w:rsidRPr="00CA2555">
        <w:rPr>
          <w:rFonts w:ascii="Book Antiqua" w:hAnsi="Book Antiqua"/>
          <w:b/>
          <w:sz w:val="26"/>
        </w:rPr>
        <w:t>References</w:t>
      </w:r>
    </w:p>
    <w:p w14:paraId="74B73A75" w14:textId="77777777" w:rsidR="008D4E9B" w:rsidRPr="004731AD" w:rsidRDefault="008D4E9B" w:rsidP="00993141">
      <w:pPr>
        <w:pStyle w:val="referencer"/>
        <w:spacing w:line="276" w:lineRule="auto"/>
        <w:ind w:left="630" w:hanging="630"/>
        <w:jc w:val="both"/>
        <w:rPr>
          <w:rFonts w:ascii="Book Antiqua" w:hAnsi="Book Antiqua"/>
          <w:sz w:val="22"/>
          <w:szCs w:val="22"/>
        </w:rPr>
      </w:pPr>
      <w:r w:rsidRPr="004731AD">
        <w:rPr>
          <w:rFonts w:ascii="Book Antiqua" w:hAnsi="Book Antiqua"/>
          <w:sz w:val="22"/>
          <w:szCs w:val="22"/>
        </w:rPr>
        <w:t xml:space="preserve">Amankwah, A. (2005). </w:t>
      </w:r>
      <w:r w:rsidRPr="004731AD">
        <w:rPr>
          <w:rFonts w:ascii="Book Antiqua" w:hAnsi="Book Antiqua"/>
          <w:i/>
          <w:sz w:val="22"/>
          <w:szCs w:val="22"/>
        </w:rPr>
        <w:t>Plastic Waste Wahala</w:t>
      </w:r>
      <w:r w:rsidRPr="004731AD">
        <w:rPr>
          <w:rFonts w:ascii="Book Antiqua" w:hAnsi="Book Antiqua"/>
          <w:sz w:val="22"/>
          <w:szCs w:val="22"/>
        </w:rPr>
        <w:t>.</w:t>
      </w:r>
    </w:p>
    <w:p w14:paraId="344A9876" w14:textId="77777777" w:rsidR="008D4E9B" w:rsidRPr="00993141" w:rsidRDefault="008D4E9B" w:rsidP="00993141">
      <w:pPr>
        <w:pStyle w:val="referencer"/>
        <w:tabs>
          <w:tab w:val="left" w:pos="450"/>
        </w:tabs>
        <w:spacing w:line="276" w:lineRule="auto"/>
        <w:ind w:left="630" w:hanging="630"/>
        <w:jc w:val="both"/>
        <w:rPr>
          <w:rFonts w:ascii="Book Antiqua" w:hAnsi="Book Antiqua"/>
          <w:sz w:val="22"/>
          <w:szCs w:val="22"/>
        </w:rPr>
      </w:pPr>
      <w:r w:rsidRPr="004731AD">
        <w:rPr>
          <w:rFonts w:ascii="Book Antiqua" w:hAnsi="Book Antiqua"/>
          <w:sz w:val="22"/>
          <w:szCs w:val="22"/>
        </w:rPr>
        <w:t>http:www.ghanaweb.com/public_agenda</w:t>
      </w:r>
      <w:r w:rsidR="00993141">
        <w:rPr>
          <w:rFonts w:ascii="Book Antiqua" w:hAnsi="Book Antiqua"/>
          <w:sz w:val="22"/>
          <w:szCs w:val="22"/>
        </w:rPr>
        <w:t xml:space="preserve">    </w:t>
      </w:r>
      <w:r w:rsidRPr="004731AD">
        <w:rPr>
          <w:rFonts w:ascii="Book Antiqua" w:hAnsi="Book Antiqua"/>
          <w:sz w:val="22"/>
          <w:szCs w:val="22"/>
        </w:rPr>
        <w:t>/arcticle (accessed on 08 June, 2012).</w:t>
      </w:r>
    </w:p>
    <w:p w14:paraId="2CC7A762" w14:textId="77777777" w:rsidR="008D4E9B" w:rsidRPr="004731AD" w:rsidRDefault="008D4E9B" w:rsidP="00993141">
      <w:pPr>
        <w:ind w:left="630" w:hanging="630"/>
        <w:jc w:val="both"/>
        <w:rPr>
          <w:rFonts w:ascii="Book Antiqua" w:hAnsi="Book Antiqua"/>
        </w:rPr>
      </w:pPr>
      <w:r w:rsidRPr="004731AD">
        <w:rPr>
          <w:rFonts w:ascii="Book Antiqua" w:hAnsi="Book Antiqua"/>
        </w:rPr>
        <w:t>Boadi K.O.; Kuitunen M. (2003).</w:t>
      </w:r>
      <w:hyperlink r:id="rId42" w:tooltip="The Environmentalist" w:history="1">
        <w:r w:rsidRPr="004731AD">
          <w:rPr>
            <w:rFonts w:ascii="Book Antiqua" w:hAnsi="Book Antiqua"/>
          </w:rPr>
          <w:t>The Environmentalist</w:t>
        </w:r>
      </w:hyperlink>
      <w:r w:rsidRPr="004731AD">
        <w:rPr>
          <w:rFonts w:ascii="Book Antiqua" w:hAnsi="Book Antiqua"/>
        </w:rPr>
        <w:t>, Volume 23, Number 3pp. 211-218(8)</w:t>
      </w:r>
    </w:p>
    <w:p w14:paraId="026D1D24" w14:textId="77777777" w:rsidR="008D4E9B" w:rsidRPr="004731AD" w:rsidRDefault="008D4E9B" w:rsidP="00993141">
      <w:pPr>
        <w:pStyle w:val="referencer"/>
        <w:spacing w:after="60" w:line="276" w:lineRule="auto"/>
        <w:ind w:left="630" w:hanging="630"/>
        <w:jc w:val="both"/>
        <w:rPr>
          <w:rFonts w:ascii="Book Antiqua" w:hAnsi="Book Antiqua"/>
          <w:sz w:val="22"/>
          <w:szCs w:val="22"/>
        </w:rPr>
      </w:pPr>
      <w:r w:rsidRPr="004731AD">
        <w:rPr>
          <w:rFonts w:ascii="Book Antiqua" w:hAnsi="Book Antiqua"/>
          <w:sz w:val="22"/>
          <w:szCs w:val="22"/>
        </w:rPr>
        <w:t>IRIN (2006). Government declares recycling war on plastic waste  http://www.irinnews.org (access on 08 June, 2012)</w:t>
      </w:r>
    </w:p>
    <w:p w14:paraId="2F03ACF2" w14:textId="77777777" w:rsidR="008D4E9B" w:rsidRPr="00993141" w:rsidRDefault="008D4E9B" w:rsidP="00993141">
      <w:pPr>
        <w:pStyle w:val="referencer"/>
        <w:spacing w:line="276" w:lineRule="auto"/>
        <w:ind w:left="630"/>
        <w:jc w:val="both"/>
        <w:rPr>
          <w:rFonts w:ascii="Book Antiqua" w:hAnsi="Book Antiqua"/>
          <w:sz w:val="22"/>
          <w:szCs w:val="22"/>
        </w:rPr>
      </w:pPr>
      <w:r w:rsidRPr="004731AD">
        <w:rPr>
          <w:rFonts w:ascii="Book Antiqua" w:hAnsi="Book Antiqua"/>
          <w:sz w:val="22"/>
          <w:szCs w:val="22"/>
        </w:rPr>
        <w:t>Lardinois, I. and Klundert, A. (1995). Plastic Waste: Options for Small Scale Recovery. The Netherlands: Waste Consultants.</w:t>
      </w:r>
    </w:p>
    <w:p w14:paraId="3B0E829A" w14:textId="77777777" w:rsidR="008D4E9B" w:rsidRPr="004731AD" w:rsidRDefault="008D4E9B" w:rsidP="00993141">
      <w:pPr>
        <w:pStyle w:val="NoSpacing"/>
        <w:spacing w:line="276" w:lineRule="auto"/>
        <w:ind w:left="630" w:hanging="630"/>
        <w:jc w:val="both"/>
        <w:rPr>
          <w:rFonts w:ascii="Book Antiqua" w:hAnsi="Book Antiqua"/>
        </w:rPr>
      </w:pPr>
      <w:r w:rsidRPr="004731AD">
        <w:rPr>
          <w:rFonts w:ascii="Book Antiqua" w:hAnsi="Book Antiqua"/>
        </w:rPr>
        <w:lastRenderedPageBreak/>
        <w:t xml:space="preserve">Ndagi, J.O.(1999). </w:t>
      </w:r>
      <w:r w:rsidRPr="004731AD">
        <w:rPr>
          <w:rFonts w:ascii="Book Antiqua" w:hAnsi="Book Antiqua"/>
          <w:i/>
        </w:rPr>
        <w:t>Essentials of Research Methodology for Educators</w:t>
      </w:r>
      <w:r w:rsidRPr="004731AD">
        <w:rPr>
          <w:rFonts w:ascii="Book Antiqua" w:hAnsi="Book Antiqua"/>
        </w:rPr>
        <w:t>, Ibadan Unviversity Press, Ibadan, pp.20, 60-7</w:t>
      </w:r>
    </w:p>
    <w:p w14:paraId="36B531C0" w14:textId="77777777" w:rsidR="008D4E9B" w:rsidRPr="004731AD" w:rsidRDefault="008D4E9B" w:rsidP="008D4E9B">
      <w:pPr>
        <w:pStyle w:val="NoSpacing"/>
        <w:spacing w:line="276" w:lineRule="auto"/>
        <w:jc w:val="both"/>
        <w:rPr>
          <w:rFonts w:ascii="Book Antiqua" w:hAnsi="Book Antiqua"/>
        </w:rPr>
      </w:pPr>
    </w:p>
    <w:p w14:paraId="60426A7D" w14:textId="77777777" w:rsidR="008D4E9B" w:rsidRPr="004731AD" w:rsidRDefault="008D4E9B" w:rsidP="0003329F">
      <w:pPr>
        <w:ind w:left="630" w:hanging="630"/>
        <w:jc w:val="both"/>
        <w:rPr>
          <w:rFonts w:ascii="Book Antiqua" w:hAnsi="Book Antiqua"/>
        </w:rPr>
      </w:pPr>
      <w:r w:rsidRPr="004731AD">
        <w:rPr>
          <w:rFonts w:ascii="Book Antiqua" w:hAnsi="Book Antiqua"/>
        </w:rPr>
        <w:t xml:space="preserve">Obasi, I.N. (1999). </w:t>
      </w:r>
      <w:r w:rsidRPr="004731AD">
        <w:rPr>
          <w:rFonts w:ascii="Book Antiqua" w:hAnsi="Book Antiqua"/>
          <w:i/>
        </w:rPr>
        <w:t>Research Methodology in Political Science</w:t>
      </w:r>
      <w:r w:rsidRPr="004731AD">
        <w:rPr>
          <w:rFonts w:ascii="Book Antiqua" w:hAnsi="Book Antiqua"/>
        </w:rPr>
        <w:t>, Academic Publishing, Enugu.</w:t>
      </w:r>
    </w:p>
    <w:p w14:paraId="6EFC3225" w14:textId="77777777" w:rsidR="008D4E9B" w:rsidRPr="0003329F" w:rsidRDefault="008D4E9B" w:rsidP="0003329F">
      <w:pPr>
        <w:autoSpaceDE w:val="0"/>
        <w:autoSpaceDN w:val="0"/>
        <w:adjustRightInd w:val="0"/>
        <w:spacing w:after="0"/>
        <w:ind w:left="630" w:hanging="630"/>
        <w:jc w:val="both"/>
        <w:rPr>
          <w:rFonts w:ascii="Book Antiqua" w:hAnsi="Book Antiqua"/>
        </w:rPr>
      </w:pPr>
      <w:r w:rsidRPr="004731AD">
        <w:rPr>
          <w:rFonts w:ascii="Book Antiqua" w:hAnsi="Book Antiqua"/>
        </w:rPr>
        <w:t>ZiadatAnf H. and Mott H. (2005). Assessing solid waste recycling opportunities for closed campuses, Management of Environmental Quality: An International Journal, Vol. 16, No. 3, 2005 pp. 250-256</w:t>
      </w:r>
    </w:p>
    <w:p w14:paraId="5C1CB57E" w14:textId="77777777" w:rsidR="008D4E9B" w:rsidRDefault="008D4E9B" w:rsidP="008D4E9B">
      <w:pPr>
        <w:jc w:val="both"/>
        <w:rPr>
          <w:rFonts w:ascii="Book Antiqua" w:hAnsi="Book Antiqua"/>
          <w:b/>
        </w:rPr>
        <w:sectPr w:rsidR="008D4E9B" w:rsidSect="008D4E9B">
          <w:type w:val="continuous"/>
          <w:pgSz w:w="11907" w:h="16839" w:code="9"/>
          <w:pgMar w:top="1350" w:right="1440" w:bottom="1440" w:left="1440" w:header="720" w:footer="720" w:gutter="0"/>
          <w:cols w:num="2" w:space="720"/>
          <w:docGrid w:linePitch="360"/>
        </w:sectPr>
      </w:pPr>
    </w:p>
    <w:p w14:paraId="546B8CF2" w14:textId="77777777" w:rsidR="00843572" w:rsidRDefault="00843572" w:rsidP="0003329F">
      <w:pPr>
        <w:spacing w:after="0"/>
        <w:jc w:val="center"/>
        <w:rPr>
          <w:rFonts w:ascii="Book Antiqua" w:hAnsi="Book Antiqua"/>
          <w:b/>
          <w:sz w:val="26"/>
          <w:szCs w:val="26"/>
        </w:rPr>
      </w:pPr>
    </w:p>
    <w:p w14:paraId="3D0B0884" w14:textId="77777777" w:rsidR="00843572" w:rsidRDefault="00843572" w:rsidP="0003329F">
      <w:pPr>
        <w:spacing w:after="0"/>
        <w:jc w:val="center"/>
        <w:rPr>
          <w:rFonts w:ascii="Book Antiqua" w:hAnsi="Book Antiqua"/>
          <w:b/>
          <w:sz w:val="26"/>
          <w:szCs w:val="26"/>
        </w:rPr>
      </w:pPr>
    </w:p>
    <w:p w14:paraId="6B52794E" w14:textId="77777777" w:rsidR="00843572" w:rsidRDefault="00843572" w:rsidP="0003329F">
      <w:pPr>
        <w:spacing w:after="0"/>
        <w:jc w:val="center"/>
        <w:rPr>
          <w:rFonts w:ascii="Book Antiqua" w:hAnsi="Book Antiqua"/>
          <w:b/>
          <w:sz w:val="26"/>
          <w:szCs w:val="26"/>
        </w:rPr>
      </w:pPr>
    </w:p>
    <w:p w14:paraId="56049EDE" w14:textId="77777777" w:rsidR="00843572" w:rsidRDefault="00843572" w:rsidP="0003329F">
      <w:pPr>
        <w:spacing w:after="0"/>
        <w:jc w:val="center"/>
        <w:rPr>
          <w:rFonts w:ascii="Book Antiqua" w:hAnsi="Book Antiqua"/>
          <w:b/>
          <w:sz w:val="26"/>
          <w:szCs w:val="26"/>
        </w:rPr>
      </w:pPr>
    </w:p>
    <w:p w14:paraId="0A4F9C78" w14:textId="77777777" w:rsidR="00843572" w:rsidRDefault="00843572" w:rsidP="0003329F">
      <w:pPr>
        <w:spacing w:after="0"/>
        <w:jc w:val="center"/>
        <w:rPr>
          <w:rFonts w:ascii="Book Antiqua" w:hAnsi="Book Antiqua"/>
          <w:b/>
          <w:sz w:val="26"/>
          <w:szCs w:val="26"/>
        </w:rPr>
      </w:pPr>
    </w:p>
    <w:p w14:paraId="2B3257B3" w14:textId="77777777" w:rsidR="00843572" w:rsidRDefault="00843572" w:rsidP="0003329F">
      <w:pPr>
        <w:spacing w:after="0"/>
        <w:jc w:val="center"/>
        <w:rPr>
          <w:rFonts w:ascii="Book Antiqua" w:hAnsi="Book Antiqua"/>
          <w:b/>
          <w:sz w:val="26"/>
          <w:szCs w:val="26"/>
        </w:rPr>
      </w:pPr>
    </w:p>
    <w:p w14:paraId="455B3908" w14:textId="77777777" w:rsidR="00843572" w:rsidRDefault="00843572" w:rsidP="0003329F">
      <w:pPr>
        <w:spacing w:after="0"/>
        <w:jc w:val="center"/>
        <w:rPr>
          <w:rFonts w:ascii="Book Antiqua" w:hAnsi="Book Antiqua"/>
          <w:b/>
          <w:sz w:val="26"/>
          <w:szCs w:val="26"/>
        </w:rPr>
      </w:pPr>
    </w:p>
    <w:p w14:paraId="57A7BAED" w14:textId="77777777" w:rsidR="00843572" w:rsidRDefault="00843572" w:rsidP="0003329F">
      <w:pPr>
        <w:spacing w:after="0"/>
        <w:jc w:val="center"/>
        <w:rPr>
          <w:rFonts w:ascii="Book Antiqua" w:hAnsi="Book Antiqua"/>
          <w:b/>
          <w:sz w:val="26"/>
          <w:szCs w:val="26"/>
        </w:rPr>
      </w:pPr>
    </w:p>
    <w:p w14:paraId="58BAF9D3" w14:textId="77777777" w:rsidR="00843572" w:rsidRDefault="00843572" w:rsidP="0003329F">
      <w:pPr>
        <w:spacing w:after="0"/>
        <w:jc w:val="center"/>
        <w:rPr>
          <w:rFonts w:ascii="Book Antiqua" w:hAnsi="Book Antiqua"/>
          <w:b/>
          <w:sz w:val="26"/>
          <w:szCs w:val="26"/>
        </w:rPr>
      </w:pPr>
    </w:p>
    <w:p w14:paraId="180F0ACB" w14:textId="77777777" w:rsidR="00843572" w:rsidRDefault="00843572" w:rsidP="0003329F">
      <w:pPr>
        <w:spacing w:after="0"/>
        <w:jc w:val="center"/>
        <w:rPr>
          <w:rFonts w:ascii="Book Antiqua" w:hAnsi="Book Antiqua"/>
          <w:b/>
          <w:sz w:val="26"/>
          <w:szCs w:val="26"/>
        </w:rPr>
      </w:pPr>
    </w:p>
    <w:p w14:paraId="141DB9E2" w14:textId="77777777" w:rsidR="00843572" w:rsidRDefault="00843572" w:rsidP="0003329F">
      <w:pPr>
        <w:spacing w:after="0"/>
        <w:jc w:val="center"/>
        <w:rPr>
          <w:rFonts w:ascii="Book Antiqua" w:hAnsi="Book Antiqua"/>
          <w:b/>
          <w:sz w:val="26"/>
          <w:szCs w:val="26"/>
        </w:rPr>
      </w:pPr>
    </w:p>
    <w:p w14:paraId="5370C60D" w14:textId="77777777" w:rsidR="00843572" w:rsidRDefault="00843572" w:rsidP="0003329F">
      <w:pPr>
        <w:spacing w:after="0"/>
        <w:jc w:val="center"/>
        <w:rPr>
          <w:rFonts w:ascii="Book Antiqua" w:hAnsi="Book Antiqua"/>
          <w:b/>
          <w:sz w:val="26"/>
          <w:szCs w:val="26"/>
        </w:rPr>
      </w:pPr>
    </w:p>
    <w:p w14:paraId="286ACE58" w14:textId="77777777" w:rsidR="00843572" w:rsidRDefault="00843572" w:rsidP="0003329F">
      <w:pPr>
        <w:spacing w:after="0"/>
        <w:jc w:val="center"/>
        <w:rPr>
          <w:rFonts w:ascii="Book Antiqua" w:hAnsi="Book Antiqua"/>
          <w:b/>
          <w:sz w:val="26"/>
          <w:szCs w:val="26"/>
        </w:rPr>
      </w:pPr>
    </w:p>
    <w:p w14:paraId="247AD5D8" w14:textId="77777777" w:rsidR="00843572" w:rsidRDefault="00843572" w:rsidP="0003329F">
      <w:pPr>
        <w:spacing w:after="0"/>
        <w:jc w:val="center"/>
        <w:rPr>
          <w:rFonts w:ascii="Book Antiqua" w:hAnsi="Book Antiqua"/>
          <w:b/>
          <w:sz w:val="26"/>
          <w:szCs w:val="26"/>
        </w:rPr>
      </w:pPr>
    </w:p>
    <w:p w14:paraId="176A8B13" w14:textId="77777777" w:rsidR="00843572" w:rsidRDefault="00843572" w:rsidP="0003329F">
      <w:pPr>
        <w:spacing w:after="0"/>
        <w:jc w:val="center"/>
        <w:rPr>
          <w:rFonts w:ascii="Book Antiqua" w:hAnsi="Book Antiqua"/>
          <w:b/>
          <w:sz w:val="26"/>
          <w:szCs w:val="26"/>
        </w:rPr>
      </w:pPr>
    </w:p>
    <w:p w14:paraId="6D6615F1" w14:textId="77777777" w:rsidR="00843572" w:rsidRDefault="00843572" w:rsidP="0003329F">
      <w:pPr>
        <w:spacing w:after="0"/>
        <w:jc w:val="center"/>
        <w:rPr>
          <w:rFonts w:ascii="Book Antiqua" w:hAnsi="Book Antiqua"/>
          <w:b/>
          <w:sz w:val="26"/>
          <w:szCs w:val="26"/>
        </w:rPr>
      </w:pPr>
    </w:p>
    <w:p w14:paraId="0064A7AE" w14:textId="77777777" w:rsidR="00843572" w:rsidRDefault="00843572" w:rsidP="0003329F">
      <w:pPr>
        <w:spacing w:after="0"/>
        <w:jc w:val="center"/>
        <w:rPr>
          <w:rFonts w:ascii="Book Antiqua" w:hAnsi="Book Antiqua"/>
          <w:b/>
          <w:sz w:val="26"/>
          <w:szCs w:val="26"/>
        </w:rPr>
      </w:pPr>
    </w:p>
    <w:p w14:paraId="30816BB2" w14:textId="77777777" w:rsidR="00843572" w:rsidRDefault="00843572" w:rsidP="0003329F">
      <w:pPr>
        <w:spacing w:after="0"/>
        <w:jc w:val="center"/>
        <w:rPr>
          <w:rFonts w:ascii="Book Antiqua" w:hAnsi="Book Antiqua"/>
          <w:b/>
          <w:sz w:val="26"/>
          <w:szCs w:val="26"/>
        </w:rPr>
      </w:pPr>
    </w:p>
    <w:p w14:paraId="700D48F4" w14:textId="77777777" w:rsidR="00843572" w:rsidRDefault="00843572" w:rsidP="0003329F">
      <w:pPr>
        <w:spacing w:after="0"/>
        <w:jc w:val="center"/>
        <w:rPr>
          <w:rFonts w:ascii="Book Antiqua" w:hAnsi="Book Antiqua"/>
          <w:b/>
          <w:sz w:val="26"/>
          <w:szCs w:val="26"/>
        </w:rPr>
      </w:pPr>
    </w:p>
    <w:p w14:paraId="48B4B732" w14:textId="77777777" w:rsidR="00843572" w:rsidRDefault="00843572" w:rsidP="0003329F">
      <w:pPr>
        <w:spacing w:after="0"/>
        <w:jc w:val="center"/>
        <w:rPr>
          <w:rFonts w:ascii="Book Antiqua" w:hAnsi="Book Antiqua"/>
          <w:b/>
          <w:sz w:val="26"/>
          <w:szCs w:val="26"/>
        </w:rPr>
      </w:pPr>
    </w:p>
    <w:p w14:paraId="57E4CB0F" w14:textId="77777777" w:rsidR="00843572" w:rsidRDefault="00843572" w:rsidP="0003329F">
      <w:pPr>
        <w:spacing w:after="0"/>
        <w:jc w:val="center"/>
        <w:rPr>
          <w:rFonts w:ascii="Book Antiqua" w:hAnsi="Book Antiqua"/>
          <w:b/>
          <w:sz w:val="26"/>
          <w:szCs w:val="26"/>
        </w:rPr>
      </w:pPr>
    </w:p>
    <w:p w14:paraId="7F4EECBD" w14:textId="77777777" w:rsidR="00843572" w:rsidRDefault="00843572" w:rsidP="0003329F">
      <w:pPr>
        <w:spacing w:after="0"/>
        <w:jc w:val="center"/>
        <w:rPr>
          <w:rFonts w:ascii="Book Antiqua" w:hAnsi="Book Antiqua"/>
          <w:b/>
          <w:sz w:val="26"/>
          <w:szCs w:val="26"/>
        </w:rPr>
      </w:pPr>
    </w:p>
    <w:p w14:paraId="11DD1D40" w14:textId="77777777" w:rsidR="00843572" w:rsidRDefault="00843572" w:rsidP="0003329F">
      <w:pPr>
        <w:spacing w:after="0"/>
        <w:jc w:val="center"/>
        <w:rPr>
          <w:rFonts w:ascii="Book Antiqua" w:hAnsi="Book Antiqua"/>
          <w:b/>
          <w:sz w:val="26"/>
          <w:szCs w:val="26"/>
        </w:rPr>
      </w:pPr>
    </w:p>
    <w:p w14:paraId="6AB7ED33" w14:textId="77777777" w:rsidR="00843572" w:rsidRDefault="00843572" w:rsidP="0003329F">
      <w:pPr>
        <w:spacing w:after="0"/>
        <w:jc w:val="center"/>
        <w:rPr>
          <w:rFonts w:ascii="Book Antiqua" w:hAnsi="Book Antiqua"/>
          <w:b/>
          <w:sz w:val="26"/>
          <w:szCs w:val="26"/>
        </w:rPr>
      </w:pPr>
    </w:p>
    <w:p w14:paraId="2D13AC46" w14:textId="77777777" w:rsidR="00843572" w:rsidRDefault="00843572" w:rsidP="0003329F">
      <w:pPr>
        <w:spacing w:after="0"/>
        <w:jc w:val="center"/>
        <w:rPr>
          <w:rFonts w:ascii="Book Antiqua" w:hAnsi="Book Antiqua"/>
          <w:b/>
          <w:sz w:val="26"/>
          <w:szCs w:val="26"/>
        </w:rPr>
      </w:pPr>
    </w:p>
    <w:p w14:paraId="66C4BEBC" w14:textId="77777777" w:rsidR="00843572" w:rsidRDefault="00843572" w:rsidP="0003329F">
      <w:pPr>
        <w:spacing w:after="0"/>
        <w:jc w:val="center"/>
        <w:rPr>
          <w:rFonts w:ascii="Book Antiqua" w:hAnsi="Book Antiqua"/>
          <w:b/>
          <w:sz w:val="26"/>
          <w:szCs w:val="26"/>
        </w:rPr>
      </w:pPr>
    </w:p>
    <w:p w14:paraId="24D6332D" w14:textId="77777777" w:rsidR="00843572" w:rsidRDefault="00843572" w:rsidP="0003329F">
      <w:pPr>
        <w:spacing w:after="0"/>
        <w:jc w:val="center"/>
        <w:rPr>
          <w:rFonts w:ascii="Book Antiqua" w:hAnsi="Book Antiqua"/>
          <w:b/>
          <w:sz w:val="26"/>
          <w:szCs w:val="26"/>
        </w:rPr>
      </w:pPr>
    </w:p>
    <w:p w14:paraId="48760902" w14:textId="77777777" w:rsidR="00843572" w:rsidRDefault="00843572" w:rsidP="0003329F">
      <w:pPr>
        <w:spacing w:after="0"/>
        <w:jc w:val="center"/>
        <w:rPr>
          <w:rFonts w:ascii="Book Antiqua" w:hAnsi="Book Antiqua"/>
          <w:b/>
          <w:sz w:val="26"/>
          <w:szCs w:val="26"/>
        </w:rPr>
      </w:pPr>
    </w:p>
    <w:p w14:paraId="73446C63" w14:textId="77777777" w:rsidR="00E146E4" w:rsidRDefault="00E146E4" w:rsidP="0003329F">
      <w:pPr>
        <w:spacing w:after="0"/>
        <w:jc w:val="center"/>
        <w:rPr>
          <w:rFonts w:ascii="Book Antiqua" w:hAnsi="Book Antiqua"/>
          <w:b/>
          <w:sz w:val="26"/>
          <w:szCs w:val="26"/>
        </w:rPr>
      </w:pPr>
    </w:p>
    <w:p w14:paraId="22FF09ED" w14:textId="77777777" w:rsidR="00C07BDF" w:rsidRDefault="004E78EE" w:rsidP="0003329F">
      <w:pPr>
        <w:spacing w:after="0"/>
        <w:jc w:val="center"/>
        <w:rPr>
          <w:rFonts w:ascii="Book Antiqua" w:hAnsi="Book Antiqua"/>
          <w:b/>
          <w:sz w:val="26"/>
          <w:szCs w:val="26"/>
        </w:rPr>
      </w:pPr>
      <w:r w:rsidRPr="004E78EE">
        <w:rPr>
          <w:rFonts w:ascii="Book Antiqua" w:hAnsi="Book Antiqua"/>
          <w:b/>
          <w:sz w:val="26"/>
          <w:szCs w:val="26"/>
        </w:rPr>
        <w:lastRenderedPageBreak/>
        <w:t xml:space="preserve">Frabrication of </w:t>
      </w:r>
      <w:r>
        <w:rPr>
          <w:rFonts w:ascii="Book Antiqua" w:hAnsi="Book Antiqua"/>
          <w:b/>
          <w:sz w:val="26"/>
          <w:szCs w:val="26"/>
        </w:rPr>
        <w:t>a</w:t>
      </w:r>
      <w:r w:rsidRPr="004E78EE">
        <w:rPr>
          <w:rFonts w:ascii="Book Antiqua" w:hAnsi="Book Antiqua"/>
          <w:b/>
          <w:sz w:val="26"/>
          <w:szCs w:val="26"/>
        </w:rPr>
        <w:t xml:space="preserve"> below</w:t>
      </w:r>
      <w:r>
        <w:rPr>
          <w:rFonts w:ascii="Book Antiqua" w:hAnsi="Book Antiqua"/>
          <w:b/>
          <w:sz w:val="26"/>
          <w:szCs w:val="26"/>
        </w:rPr>
        <w:t xml:space="preserve"> Knee Prosthesis f</w:t>
      </w:r>
      <w:r w:rsidRPr="004E78EE">
        <w:rPr>
          <w:rFonts w:ascii="Book Antiqua" w:hAnsi="Book Antiqua"/>
          <w:b/>
          <w:sz w:val="26"/>
          <w:szCs w:val="26"/>
        </w:rPr>
        <w:t>or Children Using Wooden Foot</w:t>
      </w:r>
    </w:p>
    <w:p w14:paraId="2D2C9B98" w14:textId="77777777" w:rsidR="00481B23" w:rsidRPr="004E78EE" w:rsidRDefault="00481B23" w:rsidP="004B39BB">
      <w:pPr>
        <w:spacing w:after="0"/>
        <w:jc w:val="center"/>
        <w:rPr>
          <w:rFonts w:ascii="Book Antiqua" w:hAnsi="Book Antiqua"/>
          <w:b/>
          <w:sz w:val="26"/>
          <w:szCs w:val="26"/>
        </w:rPr>
      </w:pPr>
    </w:p>
    <w:p w14:paraId="2359EF89" w14:textId="77777777" w:rsidR="00081CBF" w:rsidRPr="00C07BDF" w:rsidRDefault="00081CBF" w:rsidP="004B39BB">
      <w:pPr>
        <w:spacing w:after="0"/>
        <w:jc w:val="center"/>
        <w:rPr>
          <w:rFonts w:ascii="Book Antiqua" w:hAnsi="Book Antiqua"/>
          <w:b/>
        </w:rPr>
      </w:pPr>
      <w:r w:rsidRPr="00C07BDF">
        <w:rPr>
          <w:rFonts w:ascii="Book Antiqua" w:hAnsi="Book Antiqua"/>
          <w:b/>
        </w:rPr>
        <w:t>Danquah-Amoah</w:t>
      </w:r>
      <w:r w:rsidR="000A15EB">
        <w:rPr>
          <w:rFonts w:ascii="Book Antiqua" w:hAnsi="Book Antiqua"/>
          <w:b/>
        </w:rPr>
        <w:t xml:space="preserve"> </w:t>
      </w:r>
      <w:r w:rsidR="008D7C91">
        <w:rPr>
          <w:rFonts w:ascii="Book Antiqua" w:hAnsi="Book Antiqua"/>
          <w:b/>
        </w:rPr>
        <w:t>A</w:t>
      </w:r>
      <w:r w:rsidR="004001FF" w:rsidRPr="00C07BDF">
        <w:rPr>
          <w:rFonts w:ascii="Book Antiqua" w:hAnsi="Book Antiqua"/>
          <w:b/>
          <w:vertAlign w:val="superscript"/>
        </w:rPr>
        <w:t>1</w:t>
      </w:r>
      <w:r w:rsidR="008D7C91">
        <w:rPr>
          <w:rFonts w:ascii="Book Antiqua" w:hAnsi="Book Antiqua"/>
          <w:b/>
        </w:rPr>
        <w:t>.</w:t>
      </w:r>
      <w:r w:rsidR="00B45CD2">
        <w:rPr>
          <w:rFonts w:ascii="Book Antiqua" w:hAnsi="Book Antiqua"/>
          <w:b/>
        </w:rPr>
        <w:t xml:space="preserve"> </w:t>
      </w:r>
      <w:r w:rsidRPr="00C07BDF">
        <w:rPr>
          <w:rFonts w:ascii="Book Antiqua" w:hAnsi="Book Antiqua"/>
          <w:b/>
        </w:rPr>
        <w:t>,</w:t>
      </w:r>
      <w:r w:rsidR="004001FF" w:rsidRPr="00C07BDF">
        <w:rPr>
          <w:rFonts w:ascii="Book Antiqua" w:hAnsi="Book Antiqua"/>
          <w:b/>
        </w:rPr>
        <w:t xml:space="preserve"> </w:t>
      </w:r>
      <w:r w:rsidRPr="00C07BDF">
        <w:rPr>
          <w:rFonts w:ascii="Book Antiqua" w:hAnsi="Book Antiqua"/>
          <w:b/>
        </w:rPr>
        <w:t>Edusei</w:t>
      </w:r>
      <w:r w:rsidR="008D7C91">
        <w:rPr>
          <w:rFonts w:ascii="Book Antiqua" w:hAnsi="Book Antiqua"/>
          <w:b/>
        </w:rPr>
        <w:t xml:space="preserve"> M</w:t>
      </w:r>
      <w:r w:rsidR="00BC1BCA">
        <w:rPr>
          <w:rFonts w:ascii="Book Antiqua" w:hAnsi="Book Antiqua"/>
          <w:b/>
        </w:rPr>
        <w:t>.</w:t>
      </w:r>
      <w:r w:rsidRPr="00C07BDF">
        <w:rPr>
          <w:rFonts w:ascii="Book Antiqua" w:hAnsi="Book Antiqua"/>
          <w:b/>
          <w:vertAlign w:val="superscript"/>
        </w:rPr>
        <w:t>1</w:t>
      </w:r>
      <w:r w:rsidR="004001FF">
        <w:rPr>
          <w:rFonts w:ascii="Book Antiqua" w:hAnsi="Book Antiqua"/>
          <w:b/>
        </w:rPr>
        <w:t xml:space="preserve">, </w:t>
      </w:r>
      <w:r w:rsidRPr="00C07BDF">
        <w:rPr>
          <w:rFonts w:ascii="Book Antiqua" w:hAnsi="Book Antiqua"/>
          <w:b/>
        </w:rPr>
        <w:t>Loplem</w:t>
      </w:r>
      <w:r w:rsidR="00A0145E">
        <w:rPr>
          <w:rFonts w:ascii="Book Antiqua" w:hAnsi="Book Antiqua"/>
          <w:b/>
        </w:rPr>
        <w:t xml:space="preserve"> </w:t>
      </w:r>
      <w:r w:rsidR="00A0145E" w:rsidRPr="00C07BDF">
        <w:rPr>
          <w:rFonts w:ascii="Book Antiqua" w:hAnsi="Book Antiqua"/>
          <w:b/>
        </w:rPr>
        <w:t>A</w:t>
      </w:r>
      <w:r w:rsidR="00BC1BCA">
        <w:rPr>
          <w:rFonts w:ascii="Book Antiqua" w:hAnsi="Book Antiqua"/>
          <w:b/>
        </w:rPr>
        <w:t>.</w:t>
      </w:r>
      <w:r w:rsidR="004001FF" w:rsidRPr="00C07BDF">
        <w:rPr>
          <w:rFonts w:ascii="Book Antiqua" w:hAnsi="Book Antiqua"/>
          <w:b/>
          <w:vertAlign w:val="superscript"/>
        </w:rPr>
        <w:t>1</w:t>
      </w:r>
      <w:r w:rsidRPr="00C07BDF">
        <w:rPr>
          <w:rFonts w:ascii="Book Antiqua" w:hAnsi="Book Antiqua"/>
          <w:b/>
        </w:rPr>
        <w:t>,</w:t>
      </w:r>
      <w:r w:rsidR="00BC1BCA">
        <w:rPr>
          <w:rFonts w:ascii="Book Antiqua" w:hAnsi="Book Antiqua"/>
          <w:b/>
        </w:rPr>
        <w:t xml:space="preserve"> </w:t>
      </w:r>
      <w:r w:rsidR="00B45CD2">
        <w:rPr>
          <w:rFonts w:ascii="Book Antiqua" w:hAnsi="Book Antiqua"/>
          <w:b/>
        </w:rPr>
        <w:t xml:space="preserve">&amp; </w:t>
      </w:r>
      <w:r w:rsidRPr="00C07BDF">
        <w:rPr>
          <w:rFonts w:ascii="Book Antiqua" w:hAnsi="Book Antiqua"/>
          <w:b/>
        </w:rPr>
        <w:t>Ofori</w:t>
      </w:r>
      <w:r w:rsidR="00A0145E">
        <w:rPr>
          <w:rFonts w:ascii="Book Antiqua" w:hAnsi="Book Antiqua"/>
          <w:b/>
        </w:rPr>
        <w:t xml:space="preserve"> E.</w:t>
      </w:r>
      <w:r w:rsidRPr="00C07BDF">
        <w:rPr>
          <w:rFonts w:ascii="Book Antiqua" w:hAnsi="Book Antiqua"/>
          <w:b/>
          <w:vertAlign w:val="superscript"/>
        </w:rPr>
        <w:t>2</w:t>
      </w:r>
    </w:p>
    <w:p w14:paraId="4C472207" w14:textId="77777777" w:rsidR="00B45CD2" w:rsidRDefault="00081CBF" w:rsidP="004B39BB">
      <w:pPr>
        <w:spacing w:after="0"/>
        <w:jc w:val="center"/>
        <w:rPr>
          <w:rFonts w:ascii="Book Antiqua" w:hAnsi="Book Antiqua"/>
        </w:rPr>
      </w:pPr>
      <w:r w:rsidRPr="00C07BDF">
        <w:rPr>
          <w:rFonts w:ascii="Book Antiqua" w:hAnsi="Book Antiqua"/>
          <w:vertAlign w:val="superscript"/>
        </w:rPr>
        <w:t>1</w:t>
      </w:r>
      <w:r w:rsidRPr="00C07BDF">
        <w:rPr>
          <w:rFonts w:ascii="Book Antiqua" w:hAnsi="Book Antiqua"/>
        </w:rPr>
        <w:t>Department Of Biomedical Engineering All nations University.</w:t>
      </w:r>
    </w:p>
    <w:p w14:paraId="5FF1366A" w14:textId="77777777" w:rsidR="00081CBF" w:rsidRPr="00C07BDF" w:rsidRDefault="00081CBF" w:rsidP="0003329F">
      <w:pPr>
        <w:spacing w:after="0"/>
        <w:jc w:val="center"/>
        <w:rPr>
          <w:rFonts w:ascii="Book Antiqua" w:hAnsi="Book Antiqua"/>
        </w:rPr>
      </w:pPr>
      <w:r w:rsidRPr="00C07BDF">
        <w:rPr>
          <w:rFonts w:ascii="Book Antiqua" w:hAnsi="Book Antiqua"/>
          <w:vertAlign w:val="superscript"/>
        </w:rPr>
        <w:t>2</w:t>
      </w:r>
      <w:r w:rsidRPr="00C07BDF">
        <w:rPr>
          <w:rFonts w:ascii="Book Antiqua" w:hAnsi="Book Antiqua"/>
        </w:rPr>
        <w:t xml:space="preserve"> School Allied Health Sciences University of Ghana.</w:t>
      </w:r>
    </w:p>
    <w:p w14:paraId="43C17279" w14:textId="77777777" w:rsidR="00081CBF" w:rsidRPr="00C07BDF" w:rsidRDefault="00C07BDF" w:rsidP="00B45CD2">
      <w:pPr>
        <w:jc w:val="center"/>
        <w:rPr>
          <w:rFonts w:ascii="Book Antiqua" w:hAnsi="Book Antiqua"/>
        </w:rPr>
      </w:pPr>
      <w:r w:rsidRPr="00233167">
        <w:rPr>
          <w:rFonts w:ascii="Book Antiqua" w:hAnsi="Book Antiqua"/>
          <w:b/>
        </w:rPr>
        <w:t>E-mail</w:t>
      </w:r>
      <w:r w:rsidRPr="00233167">
        <w:rPr>
          <w:rFonts w:ascii="Book Antiqua" w:hAnsi="Book Antiqua"/>
        </w:rPr>
        <w:t xml:space="preserve">: </w:t>
      </w:r>
      <w:hyperlink r:id="rId43" w:history="1">
        <w:r w:rsidR="00081CBF" w:rsidRPr="00C07BDF">
          <w:rPr>
            <w:rStyle w:val="Hyperlink"/>
            <w:rFonts w:ascii="Book Antiqua" w:hAnsi="Book Antiqua"/>
          </w:rPr>
          <w:t>archimona@yahoo.com</w:t>
        </w:r>
      </w:hyperlink>
      <w:r w:rsidR="00BC1BCA">
        <w:rPr>
          <w:rFonts w:ascii="Book Antiqua" w:hAnsi="Book Antiqua"/>
        </w:rPr>
        <w:t xml:space="preserve">  &amp;</w:t>
      </w:r>
      <w:r w:rsidR="00081CBF" w:rsidRPr="00C07BDF">
        <w:rPr>
          <w:rFonts w:ascii="Book Antiqua" w:hAnsi="Book Antiqua"/>
        </w:rPr>
        <w:t xml:space="preserve"> erikof2</w:t>
      </w:r>
      <w:r w:rsidRPr="00C07BDF">
        <w:rPr>
          <w:rFonts w:ascii="Book Antiqua" w:hAnsi="Book Antiqua"/>
        </w:rPr>
        <w:t>001@yahoo.co.uk,</w:t>
      </w:r>
    </w:p>
    <w:p w14:paraId="6F51705C" w14:textId="77777777" w:rsidR="005A7792" w:rsidRPr="00481B23" w:rsidRDefault="005A7792" w:rsidP="008275E1">
      <w:pPr>
        <w:rPr>
          <w:rFonts w:ascii="Book Antiqua" w:hAnsi="Book Antiqua"/>
          <w:b/>
        </w:rPr>
      </w:pPr>
    </w:p>
    <w:p w14:paraId="2250628C" w14:textId="77777777" w:rsidR="005A7792" w:rsidRPr="00481B23" w:rsidRDefault="00481B23" w:rsidP="008275E1">
      <w:pPr>
        <w:rPr>
          <w:rFonts w:ascii="Book Antiqua" w:hAnsi="Book Antiqua"/>
          <w:b/>
        </w:rPr>
      </w:pPr>
      <w:r w:rsidRPr="00E10ABB">
        <w:rPr>
          <w:rFonts w:ascii="Book Antiqua" w:hAnsi="Book Antiqua"/>
          <w:b/>
          <w:sz w:val="26"/>
        </w:rPr>
        <w:t>Abstract</w:t>
      </w:r>
    </w:p>
    <w:p w14:paraId="00E168B5" w14:textId="77777777" w:rsidR="00481B23" w:rsidRPr="0003329F" w:rsidRDefault="005A7792" w:rsidP="0003329F">
      <w:pPr>
        <w:jc w:val="both"/>
        <w:rPr>
          <w:rFonts w:ascii="Book Antiqua" w:hAnsi="Book Antiqua"/>
        </w:rPr>
      </w:pPr>
      <w:r w:rsidRPr="00E3232D">
        <w:rPr>
          <w:rFonts w:ascii="Book Antiqua" w:hAnsi="Book Antiqua"/>
        </w:rPr>
        <w:t>The prosthesis is an artificial replacement for a missing body part commonly a missing arm, leg, tooth, facial bone, palate or joint. The below knee prosthesis (Lower limb prosthetics) is a device designed to replace the function or appearance of the missing lower limb as much as possible. Causes of amputation are accident, diseases and congenital disorders, of which congenital disorders are the major cause for children in Ghana. The below knee prosthesis (BKP) is removable.  There are two types of foot available that are prescribed based on function. They are the dynamic and non-dynamic response foot (e.g. solid ankle cushion heel). The non-dynamic foot is basic for appearance and function such as standing and walking, while the dynamic can be used for more sporting activities like running. This project is based on children BKP, to provide standing and walking functions as well as to make the appearance attractive. The solid ankle cushion heel (SACH) is used. The available below knee prosthesis device employs silicon material for the foot which is imported and expensive, hence the need to use a cost effective and locally available material (wood).. The Mahogany wood, reddish-brown in colour used is common in Ghana.. The mahogany wood is lighter in weight compared to the silicon foot, and it is also durable and easy to work with. The mahogany wood was acquired and with the measurement obtained from the patient, the wood is carved to the shape and size of the patient’s foot. The results we obtained from the gait cycle were overall satisfactory; the heel contact was very good as a cushion was used t</w:t>
      </w:r>
      <w:r w:rsidR="00D46075" w:rsidRPr="00E3232D">
        <w:rPr>
          <w:rFonts w:ascii="Book Antiqua" w:hAnsi="Book Antiqua"/>
        </w:rPr>
        <w:t>o absorb shock at heel contact.</w:t>
      </w:r>
    </w:p>
    <w:p w14:paraId="627AA50B" w14:textId="77777777" w:rsidR="007908F1" w:rsidRPr="00E3232D" w:rsidRDefault="005A7792" w:rsidP="008275E1">
      <w:pPr>
        <w:rPr>
          <w:rFonts w:ascii="Book Antiqua" w:hAnsi="Book Antiqua"/>
        </w:rPr>
        <w:sectPr w:rsidR="007908F1" w:rsidRPr="00E3232D" w:rsidSect="008F6BC9">
          <w:type w:val="continuous"/>
          <w:pgSz w:w="11907" w:h="16839" w:code="9"/>
          <w:pgMar w:top="1350" w:right="1440" w:bottom="1440" w:left="1440" w:header="720" w:footer="720" w:gutter="0"/>
          <w:cols w:space="720"/>
          <w:docGrid w:linePitch="360"/>
        </w:sectPr>
      </w:pPr>
      <w:r w:rsidRPr="00E3232D">
        <w:rPr>
          <w:rFonts w:ascii="Book Antiqua" w:hAnsi="Book Antiqua"/>
          <w:b/>
        </w:rPr>
        <w:t>Key words:</w:t>
      </w:r>
      <w:r w:rsidRPr="00E3232D">
        <w:rPr>
          <w:rFonts w:ascii="Book Antiqua" w:hAnsi="Book Antiqua"/>
        </w:rPr>
        <w:t xml:space="preserve"> Below Knee Prosthesis (BKP)</w:t>
      </w:r>
      <w:r w:rsidR="0003329F">
        <w:rPr>
          <w:rFonts w:ascii="Book Antiqua" w:hAnsi="Book Antiqua"/>
        </w:rPr>
        <w:t>;</w:t>
      </w:r>
      <w:r w:rsidRPr="00E3232D">
        <w:rPr>
          <w:rFonts w:ascii="Book Antiqua" w:hAnsi="Book Antiqua"/>
        </w:rPr>
        <w:t xml:space="preserve"> </w:t>
      </w:r>
      <w:r w:rsidR="0003329F">
        <w:rPr>
          <w:rFonts w:ascii="Book Antiqua" w:hAnsi="Book Antiqua"/>
        </w:rPr>
        <w:t>Solid Ankle Cushion Heel (SACH); Non-dynamic; Dynamic;</w:t>
      </w:r>
      <w:r w:rsidRPr="00E3232D">
        <w:rPr>
          <w:rFonts w:ascii="Book Antiqua" w:hAnsi="Book Antiqua"/>
        </w:rPr>
        <w:t xml:space="preserve"> Prosthesis Mahogany</w:t>
      </w:r>
    </w:p>
    <w:p w14:paraId="161A872B" w14:textId="77777777" w:rsidR="00E10ABB" w:rsidRDefault="00E10ABB" w:rsidP="008275E1">
      <w:pPr>
        <w:rPr>
          <w:rFonts w:ascii="Book Antiqua" w:hAnsi="Book Antiqua"/>
          <w:b/>
        </w:rPr>
      </w:pPr>
      <w:r>
        <w:rPr>
          <w:rFonts w:ascii="Book Antiqua" w:hAnsi="Book Antiqua"/>
          <w:b/>
        </w:rPr>
        <w:t xml:space="preserve">1.0 </w:t>
      </w:r>
      <w:r w:rsidRPr="00E10ABB">
        <w:rPr>
          <w:rFonts w:ascii="Book Antiqua" w:hAnsi="Book Antiqua"/>
          <w:b/>
          <w:sz w:val="26"/>
        </w:rPr>
        <w:t>Introduction</w:t>
      </w:r>
      <w:r>
        <w:rPr>
          <w:rFonts w:ascii="Book Antiqua" w:hAnsi="Book Antiqua"/>
          <w:b/>
        </w:rPr>
        <w:t xml:space="preserve"> </w:t>
      </w:r>
    </w:p>
    <w:p w14:paraId="12C03858" w14:textId="77777777" w:rsidR="000577A3" w:rsidRPr="00E3232D" w:rsidRDefault="00E146E4" w:rsidP="008275E1">
      <w:pPr>
        <w:rPr>
          <w:rFonts w:ascii="Book Antiqua" w:hAnsi="Book Antiqua"/>
          <w:b/>
        </w:rPr>
      </w:pPr>
      <w:r>
        <w:rPr>
          <w:rFonts w:ascii="Book Antiqua" w:hAnsi="Book Antiqua"/>
          <w:b/>
        </w:rPr>
        <w:t>1.1 Background o</w:t>
      </w:r>
      <w:r w:rsidR="00481B23" w:rsidRPr="00E3232D">
        <w:rPr>
          <w:rFonts w:ascii="Book Antiqua" w:hAnsi="Book Antiqua"/>
          <w:b/>
        </w:rPr>
        <w:t>f Study</w:t>
      </w:r>
    </w:p>
    <w:p w14:paraId="733E3286" w14:textId="77777777" w:rsidR="000577A3" w:rsidRPr="00E3232D" w:rsidRDefault="000577A3" w:rsidP="008275E1">
      <w:pPr>
        <w:spacing w:before="100" w:beforeAutospacing="1" w:after="100" w:afterAutospacing="1"/>
        <w:rPr>
          <w:rFonts w:ascii="Book Antiqua" w:hAnsi="Book Antiqua"/>
        </w:rPr>
        <w:sectPr w:rsidR="000577A3" w:rsidRPr="00E3232D" w:rsidSect="008F6BC9">
          <w:footerReference w:type="default" r:id="rId44"/>
          <w:type w:val="continuous"/>
          <w:pgSz w:w="11907" w:h="16839" w:code="9"/>
          <w:pgMar w:top="720" w:right="1440" w:bottom="360" w:left="1440" w:header="708" w:footer="708" w:gutter="0"/>
          <w:cols w:space="708"/>
          <w:docGrid w:linePitch="360"/>
        </w:sectPr>
      </w:pPr>
    </w:p>
    <w:p w14:paraId="3425457A" w14:textId="77777777" w:rsidR="000577A3" w:rsidRPr="00E3232D" w:rsidRDefault="000577A3" w:rsidP="001B5875">
      <w:pPr>
        <w:spacing w:before="100" w:beforeAutospacing="1" w:after="100" w:afterAutospacing="1"/>
        <w:jc w:val="both"/>
        <w:rPr>
          <w:rFonts w:ascii="Book Antiqua" w:hAnsi="Book Antiqua"/>
        </w:rPr>
      </w:pPr>
      <w:r w:rsidRPr="00E3232D">
        <w:rPr>
          <w:rFonts w:ascii="Book Antiqua" w:hAnsi="Book Antiqua"/>
        </w:rPr>
        <w:t xml:space="preserve">The prosthesis is an artificial replacement for a missing body part, commonly, a missing arm, leg, tooth, facial bone, palate, joint, etc. Lower limb prosthetics are devices designed to replace the function and appearance of the missing lower limb </w:t>
      </w:r>
      <w:r w:rsidRPr="00E3232D">
        <w:rPr>
          <w:rFonts w:ascii="Book Antiqua" w:hAnsi="Book Antiqua"/>
        </w:rPr>
        <w:t xml:space="preserve">as much as possible. Causes of amputation are accident, diseases and congenital disorders. Below knee prosthesis (BKP) is fitted for below knee amputee and the component is removable. Major design features of the below knee prosthesis are </w:t>
      </w:r>
      <w:r w:rsidRPr="00E3232D">
        <w:rPr>
          <w:rFonts w:ascii="Book Antiqua" w:hAnsi="Book Antiqua"/>
        </w:rPr>
        <w:lastRenderedPageBreak/>
        <w:t>socket, pylon, and foot. The available below knee prosthetic device employs silicon material for the foot which is imported and expensive, hence the need to use a cost effective material (wood). Children readily grow at a speedy rate therefore the need to change their prosthetic device between intervals of three to six months. (Orthopedic Training center, Nsawam, 2012)</w:t>
      </w:r>
    </w:p>
    <w:p w14:paraId="14E72A78" w14:textId="77777777" w:rsidR="000577A3" w:rsidRPr="00E3232D" w:rsidRDefault="000577A3" w:rsidP="001B5875">
      <w:pPr>
        <w:pStyle w:val="Heading4"/>
        <w:jc w:val="both"/>
        <w:rPr>
          <w:rFonts w:ascii="Book Antiqua" w:hAnsi="Book Antiqua"/>
          <w:b w:val="0"/>
        </w:rPr>
      </w:pPr>
      <w:r w:rsidRPr="00E3232D">
        <w:rPr>
          <w:rFonts w:ascii="Book Antiqua" w:hAnsi="Book Antiqua"/>
          <w:b w:val="0"/>
        </w:rPr>
        <w:t xml:space="preserve">The types of foot available are; Non-dynamic foot e.g. solid ankle cushion heel, single axis foot, and jaipur foot and Dynamic response foot e.g. multiaxial foot. (Muilenburg &amp; Wilson 996) </w:t>
      </w:r>
    </w:p>
    <w:p w14:paraId="03550C92" w14:textId="77777777" w:rsidR="000577A3" w:rsidRPr="00E3232D" w:rsidRDefault="000577A3" w:rsidP="001B5875">
      <w:pPr>
        <w:pStyle w:val="Heading4"/>
        <w:jc w:val="both"/>
        <w:rPr>
          <w:rFonts w:ascii="Book Antiqua" w:hAnsi="Book Antiqua"/>
          <w:b w:val="0"/>
        </w:rPr>
      </w:pPr>
      <w:r w:rsidRPr="00E3232D">
        <w:rPr>
          <w:rFonts w:ascii="Book Antiqua" w:hAnsi="Book Antiqua"/>
          <w:b w:val="0"/>
        </w:rPr>
        <w:t>In this project the foot type to be used is SACH foot. SACH is an acronym for "solid ankle, cushion heel," and refers to a compressible heel wedge that provides "pseudo-plantar flexion" after heel strike. The rigid wooden keel provides midstance stability but little lateral movement. The SACH is frequently prescribed because it is inexpensive, light, durable, and available in various heel heights so people can wear different shoes. When SACH feet are prescribed for people with bilateral amputations, they must have firm heel cushions, to prevent the tendency to fall backward that people experience with soft heel cushions.</w:t>
      </w:r>
    </w:p>
    <w:p w14:paraId="70D001BF" w14:textId="77777777" w:rsidR="000577A3" w:rsidRPr="00E3232D" w:rsidRDefault="000577A3" w:rsidP="00B1507D">
      <w:pPr>
        <w:spacing w:before="100" w:beforeAutospacing="1" w:after="100" w:afterAutospacing="1"/>
        <w:jc w:val="both"/>
        <w:rPr>
          <w:rFonts w:ascii="Book Antiqua" w:hAnsi="Book Antiqua"/>
        </w:rPr>
      </w:pPr>
      <w:r w:rsidRPr="00E3232D">
        <w:rPr>
          <w:rFonts w:ascii="Book Antiqua" w:hAnsi="Book Antiqua"/>
        </w:rPr>
        <w:t xml:space="preserve">The intention of this project is not necessarily to gather gait analysis from the prosthetics users and/or to transfer the technology to a prosthetics manufacturing company, but to make provision of a low-cost prosthetic components relevant to the paediatric amputee population because of a child’s need to make continuously </w:t>
      </w:r>
      <w:r w:rsidRPr="00E3232D">
        <w:rPr>
          <w:rFonts w:ascii="Book Antiqua" w:hAnsi="Book Antiqua"/>
        </w:rPr>
        <w:t xml:space="preserve">replacement of the  prosthesis as the child grows. </w:t>
      </w:r>
    </w:p>
    <w:p w14:paraId="76DFEBE1" w14:textId="77777777" w:rsidR="000577A3" w:rsidRPr="00E3232D" w:rsidRDefault="000577A3" w:rsidP="001B5875">
      <w:pPr>
        <w:spacing w:before="100" w:beforeAutospacing="1" w:after="100" w:afterAutospacing="1"/>
        <w:jc w:val="both"/>
        <w:rPr>
          <w:rFonts w:ascii="Book Antiqua" w:hAnsi="Book Antiqua"/>
        </w:rPr>
      </w:pPr>
      <w:r w:rsidRPr="00E3232D">
        <w:rPr>
          <w:rFonts w:ascii="Book Antiqua" w:hAnsi="Book Antiqua"/>
        </w:rPr>
        <w:t xml:space="preserve">The earliest known record of a prosthesis being used by man was made by the famous Greek historian, Herodotus. His classic </w:t>
      </w:r>
      <w:r w:rsidRPr="00E3232D">
        <w:rPr>
          <w:rFonts w:ascii="Book Antiqua" w:hAnsi="Book Antiqua"/>
          <w:i/>
          <w:iCs/>
        </w:rPr>
        <w:t xml:space="preserve">"History" </w:t>
      </w:r>
      <w:r w:rsidRPr="00E3232D">
        <w:rPr>
          <w:rFonts w:ascii="Book Antiqua" w:hAnsi="Book Antiqua"/>
        </w:rPr>
        <w:t>written about 484 B.C., contains the story of the Persian soldier, Hegistratus, who, when imprisoned in stocks by the enemy, escaped by cutting off part of his foot, and replaced it later with a wooden version. (Edwards et al. 1965)</w:t>
      </w:r>
    </w:p>
    <w:p w14:paraId="07691273" w14:textId="77777777" w:rsidR="00E71E35" w:rsidRDefault="000577A3" w:rsidP="00115BED">
      <w:pPr>
        <w:jc w:val="both"/>
        <w:rPr>
          <w:rFonts w:ascii="Book Antiqua" w:hAnsi="Book Antiqua"/>
        </w:rPr>
      </w:pPr>
      <w:r w:rsidRPr="00E3232D">
        <w:rPr>
          <w:rFonts w:ascii="Book Antiqua" w:hAnsi="Book Antiqua"/>
        </w:rPr>
        <w:t xml:space="preserve">Hammontree et.al (1965), reviewed on temporal below knee prosthesis used for elderly patients. Their clinical team was attempting to provide, "an inexpensive, temporary walking leg, that will not only give the elderly BK amputee an adequate socket for the purpose of limb shrinkage and shaping, but will also get the geriatric patient back on his feet within three to four weeks after operation." The authors also suggested the possible use of the prosthesis as a diagnostic tool with regard to further prosthetic rehabilitation. </w:t>
      </w:r>
    </w:p>
    <w:p w14:paraId="64F5750E" w14:textId="77777777" w:rsidR="00E10ABB" w:rsidRDefault="000577A3" w:rsidP="001B5875">
      <w:pPr>
        <w:jc w:val="both"/>
        <w:rPr>
          <w:rFonts w:ascii="Book Antiqua" w:hAnsi="Book Antiqua"/>
        </w:rPr>
        <w:sectPr w:rsidR="00E10ABB" w:rsidSect="008F6BC9">
          <w:type w:val="continuous"/>
          <w:pgSz w:w="11907" w:h="16839" w:code="9"/>
          <w:pgMar w:top="720" w:right="1440" w:bottom="360" w:left="1440" w:header="708" w:footer="708" w:gutter="0"/>
          <w:cols w:num="2" w:space="708"/>
          <w:docGrid w:linePitch="360"/>
        </w:sectPr>
      </w:pPr>
      <w:r w:rsidRPr="00E3232D">
        <w:rPr>
          <w:rFonts w:ascii="Book Antiqua" w:hAnsi="Book Antiqua"/>
        </w:rPr>
        <w:t xml:space="preserve"> Charles .H pritiam et.al (1976), reported on the use of thermoplastic component in temporary prosthesis. Their prosthesis utilizes either a standard plaster of Paris or a plastic PTB socket that is laminated into pieces of galvanized pipe strapping which is attached to a PVC nylon and ankle plug. The use of a plastic PTB socket with a pylon that can be continually adjusted has undoubtedly contributed to the success of this system. The authors report that with only a few exceptions, </w:t>
      </w:r>
    </w:p>
    <w:p w14:paraId="37988B87" w14:textId="77777777" w:rsidR="00812F3C" w:rsidRPr="00370CD7" w:rsidRDefault="00812F3C" w:rsidP="00812F3C">
      <w:pPr>
        <w:jc w:val="both"/>
        <w:rPr>
          <w:rFonts w:ascii="Book Antiqua" w:hAnsi="Book Antiqua"/>
        </w:rPr>
      </w:pPr>
      <w:r w:rsidRPr="00370CD7">
        <w:rPr>
          <w:rFonts w:ascii="Book Antiqua" w:hAnsi="Book Antiqua"/>
        </w:rPr>
        <w:t xml:space="preserve">their patients have been able to wear the temporary prosthesis up to and exceeding six months. </w:t>
      </w:r>
    </w:p>
    <w:p w14:paraId="722D9407" w14:textId="77777777" w:rsidR="00812F3C" w:rsidRPr="00370CD7" w:rsidRDefault="00812F3C" w:rsidP="00812F3C">
      <w:pPr>
        <w:jc w:val="both"/>
        <w:rPr>
          <w:rFonts w:ascii="Book Antiqua" w:hAnsi="Book Antiqua"/>
        </w:rPr>
      </w:pPr>
      <w:r w:rsidRPr="00370CD7">
        <w:rPr>
          <w:rFonts w:ascii="Book Antiqua" w:hAnsi="Book Antiqua"/>
        </w:rPr>
        <w:t xml:space="preserve">The concept of constructing a Below-knee prosthesis with side joints and a thigh lacer was set forth by the Dutch surgeon </w:t>
      </w:r>
      <w:r w:rsidRPr="00370CD7">
        <w:rPr>
          <w:rFonts w:ascii="Book Antiqua" w:hAnsi="Book Antiqua"/>
        </w:rPr>
        <w:lastRenderedPageBreak/>
        <w:t xml:space="preserve">Verduin in 1696 and followed universally until the advent of the patellar-tendon-bearing prosthesis in the late 1950's. Although other innovations such as contact over the distal end of the stump, suction suspension, and "muley" sockets were introduced from time to time, they were never widely used, possibly because principles governing their use were not set forth in a systematic manner. (Edwards. et al. June 1965) </w:t>
      </w:r>
    </w:p>
    <w:p w14:paraId="5994D683" w14:textId="77777777" w:rsidR="00812F3C" w:rsidRPr="00370CD7" w:rsidRDefault="00812F3C" w:rsidP="00812F3C">
      <w:pPr>
        <w:jc w:val="both"/>
        <w:rPr>
          <w:rFonts w:ascii="Book Antiqua" w:hAnsi="Book Antiqua"/>
        </w:rPr>
      </w:pPr>
      <w:r w:rsidRPr="00370CD7">
        <w:rPr>
          <w:rFonts w:ascii="Book Antiqua" w:hAnsi="Book Antiqua"/>
        </w:rPr>
        <w:t>on of this project will lead to a low-cost yet functional prosthetic wooden foot below knee prosthesis.</w:t>
      </w:r>
    </w:p>
    <w:p w14:paraId="3DF6571A" w14:textId="77777777" w:rsidR="00812F3C" w:rsidRPr="00370CD7" w:rsidRDefault="00812F3C" w:rsidP="00812F3C">
      <w:pPr>
        <w:jc w:val="both"/>
        <w:rPr>
          <w:rFonts w:ascii="Book Antiqua" w:hAnsi="Book Antiqua"/>
          <w:b/>
        </w:rPr>
      </w:pPr>
      <w:r w:rsidRPr="00370CD7">
        <w:rPr>
          <w:rFonts w:ascii="Book Antiqua" w:hAnsi="Book Antiqua"/>
        </w:rPr>
        <w:t xml:space="preserve">1.2 </w:t>
      </w:r>
      <w:r w:rsidRPr="00370CD7">
        <w:rPr>
          <w:rFonts w:ascii="Book Antiqua" w:hAnsi="Book Antiqua"/>
          <w:b/>
        </w:rPr>
        <w:t>Problem Statement</w:t>
      </w:r>
    </w:p>
    <w:p w14:paraId="2E784F6C" w14:textId="77777777" w:rsidR="00812F3C" w:rsidRPr="00370CD7" w:rsidRDefault="00812F3C" w:rsidP="00812F3C">
      <w:pPr>
        <w:pStyle w:val="ListParagraph"/>
        <w:ind w:left="0"/>
        <w:jc w:val="both"/>
        <w:rPr>
          <w:rFonts w:ascii="Book Antiqua" w:hAnsi="Book Antiqua"/>
        </w:rPr>
      </w:pPr>
      <w:r w:rsidRPr="00370CD7">
        <w:rPr>
          <w:rFonts w:ascii="Book Antiqua" w:hAnsi="Book Antiqua"/>
        </w:rPr>
        <w:t xml:space="preserve">The available Below Knee Prosthesis, BKP device employs silicone material for the foot which is imported and expensive, Children are readily growing at a speedy rate therefore the need to change their prosthetic device at three to six months intervals to keep up with their growth, hence the need to use a cost effective material (wood). (Orthopedic Training center, Nsawam, 2012) </w:t>
      </w:r>
      <w:r w:rsidRPr="00370CD7">
        <w:rPr>
          <w:rFonts w:ascii="Book Antiqua" w:hAnsi="Book Antiqua"/>
        </w:rPr>
        <w:tab/>
      </w:r>
    </w:p>
    <w:p w14:paraId="588BA6F1" w14:textId="77777777" w:rsidR="00812F3C" w:rsidRPr="00370CD7" w:rsidRDefault="00812F3C" w:rsidP="00812F3C">
      <w:pPr>
        <w:jc w:val="both"/>
        <w:rPr>
          <w:rFonts w:ascii="Book Antiqua" w:hAnsi="Book Antiqua"/>
          <w:b/>
          <w:bCs/>
        </w:rPr>
      </w:pPr>
      <w:r w:rsidRPr="00370CD7">
        <w:rPr>
          <w:rFonts w:ascii="Book Antiqua" w:hAnsi="Book Antiqua"/>
        </w:rPr>
        <w:t>1.3</w:t>
      </w:r>
      <w:r w:rsidRPr="00370CD7">
        <w:rPr>
          <w:rFonts w:ascii="Book Antiqua" w:hAnsi="Book Antiqua"/>
          <w:b/>
          <w:bCs/>
        </w:rPr>
        <w:t xml:space="preserve"> Aim</w:t>
      </w:r>
    </w:p>
    <w:p w14:paraId="00905B0C" w14:textId="77777777" w:rsidR="00812F3C" w:rsidRPr="00370CD7" w:rsidRDefault="00812F3C" w:rsidP="00812F3C">
      <w:pPr>
        <w:jc w:val="both"/>
        <w:rPr>
          <w:rFonts w:ascii="Book Antiqua" w:hAnsi="Book Antiqua"/>
        </w:rPr>
      </w:pPr>
      <w:r w:rsidRPr="00370CD7">
        <w:rPr>
          <w:rFonts w:ascii="Book Antiqua" w:hAnsi="Book Antiqua"/>
        </w:rPr>
        <w:t xml:space="preserve"> The aim of this project is to fabricate</w:t>
      </w:r>
      <w:r w:rsidRPr="00370CD7">
        <w:rPr>
          <w:rFonts w:ascii="Book Antiqua" w:hAnsi="Book Antiqua"/>
          <w:b/>
        </w:rPr>
        <w:t xml:space="preserve"> </w:t>
      </w:r>
      <w:r w:rsidRPr="00370CD7">
        <w:rPr>
          <w:rFonts w:ascii="Book Antiqua" w:hAnsi="Book Antiqua"/>
        </w:rPr>
        <w:t>a wooden foot below knee prosthesis for children</w:t>
      </w:r>
      <w:r w:rsidRPr="00370CD7">
        <w:rPr>
          <w:rFonts w:ascii="Book Antiqua" w:hAnsi="Book Antiqua"/>
          <w:b/>
        </w:rPr>
        <w:t>.</w:t>
      </w:r>
    </w:p>
    <w:p w14:paraId="3D0199A0" w14:textId="77777777" w:rsidR="00812F3C" w:rsidRPr="00370CD7" w:rsidRDefault="00812F3C" w:rsidP="00812F3C">
      <w:pPr>
        <w:jc w:val="both"/>
        <w:rPr>
          <w:rFonts w:ascii="Book Antiqua" w:hAnsi="Book Antiqua"/>
        </w:rPr>
      </w:pPr>
    </w:p>
    <w:p w14:paraId="016F66CC" w14:textId="77777777" w:rsidR="00812F3C" w:rsidRPr="00370CD7" w:rsidRDefault="00812F3C" w:rsidP="00812F3C">
      <w:pPr>
        <w:pStyle w:val="ListParagraph"/>
        <w:numPr>
          <w:ilvl w:val="1"/>
          <w:numId w:val="23"/>
        </w:numPr>
        <w:jc w:val="both"/>
        <w:rPr>
          <w:rFonts w:ascii="Book Antiqua" w:hAnsi="Book Antiqua"/>
          <w:b/>
          <w:bCs/>
        </w:rPr>
      </w:pPr>
      <w:r w:rsidRPr="00370CD7">
        <w:rPr>
          <w:rFonts w:ascii="Book Antiqua" w:hAnsi="Book Antiqua"/>
          <w:b/>
          <w:bCs/>
        </w:rPr>
        <w:t>objectives</w:t>
      </w:r>
    </w:p>
    <w:p w14:paraId="29C74C9E" w14:textId="77777777" w:rsidR="00812F3C" w:rsidRPr="00370CD7" w:rsidRDefault="00812F3C" w:rsidP="00812F3C">
      <w:pPr>
        <w:jc w:val="both"/>
        <w:rPr>
          <w:rFonts w:ascii="Book Antiqua" w:hAnsi="Book Antiqua"/>
          <w:bCs/>
        </w:rPr>
      </w:pPr>
      <w:r w:rsidRPr="00370CD7">
        <w:rPr>
          <w:rFonts w:ascii="Book Antiqua" w:hAnsi="Book Antiqua"/>
          <w:bCs/>
        </w:rPr>
        <w:t>The steps we took to achieve the set aim were:</w:t>
      </w:r>
    </w:p>
    <w:p w14:paraId="5DD31F31" w14:textId="77777777" w:rsidR="00812F3C" w:rsidRPr="00370CD7" w:rsidRDefault="00812F3C" w:rsidP="00812F3C">
      <w:pPr>
        <w:ind w:left="720" w:hanging="360"/>
        <w:jc w:val="both"/>
        <w:rPr>
          <w:rFonts w:ascii="Book Antiqua" w:hAnsi="Book Antiqua"/>
        </w:rPr>
      </w:pPr>
      <w:r w:rsidRPr="00370CD7">
        <w:rPr>
          <w:rFonts w:ascii="Book Antiqua" w:hAnsi="Book Antiqua"/>
        </w:rPr>
        <w:t>1. To substitute a foot made of silicon   material with a wooden material.</w:t>
      </w:r>
    </w:p>
    <w:p w14:paraId="07607F52" w14:textId="77777777" w:rsidR="00812F3C" w:rsidRPr="00370CD7" w:rsidRDefault="00812F3C" w:rsidP="00812F3C">
      <w:pPr>
        <w:ind w:left="720" w:hanging="360"/>
        <w:jc w:val="both"/>
        <w:rPr>
          <w:rFonts w:ascii="Book Antiqua" w:hAnsi="Book Antiqua"/>
        </w:rPr>
      </w:pPr>
      <w:r w:rsidRPr="00370CD7">
        <w:rPr>
          <w:rFonts w:ascii="Book Antiqua" w:hAnsi="Book Antiqua"/>
        </w:rPr>
        <w:t>2. To make a below knee prosthesis affordable for children amputees.</w:t>
      </w:r>
    </w:p>
    <w:p w14:paraId="1C0126C9" w14:textId="77777777" w:rsidR="00812F3C" w:rsidRPr="00370CD7" w:rsidRDefault="00812F3C" w:rsidP="00812F3C">
      <w:pPr>
        <w:ind w:left="720" w:hanging="360"/>
        <w:jc w:val="both"/>
        <w:rPr>
          <w:rFonts w:ascii="Book Antiqua" w:hAnsi="Book Antiqua"/>
        </w:rPr>
      </w:pPr>
      <w:r w:rsidRPr="00370CD7">
        <w:rPr>
          <w:rFonts w:ascii="Book Antiqua" w:hAnsi="Book Antiqua"/>
        </w:rPr>
        <w:t>3. To enhance psychological motivation for the patient (user) by use of cosmesis.</w:t>
      </w:r>
    </w:p>
    <w:p w14:paraId="7339B71F" w14:textId="77777777" w:rsidR="00812F3C" w:rsidRPr="00370CD7" w:rsidRDefault="00812F3C" w:rsidP="00812F3C">
      <w:pPr>
        <w:ind w:left="720" w:hanging="360"/>
        <w:jc w:val="both"/>
        <w:rPr>
          <w:rFonts w:ascii="Book Antiqua" w:hAnsi="Book Antiqua"/>
        </w:rPr>
      </w:pPr>
      <w:r w:rsidRPr="00370CD7">
        <w:rPr>
          <w:rFonts w:ascii="Book Antiqua" w:hAnsi="Book Antiqua"/>
        </w:rPr>
        <w:t>4. To make the socket comfortable, easy to put on and remove.</w:t>
      </w:r>
    </w:p>
    <w:p w14:paraId="083312C2" w14:textId="77777777" w:rsidR="00812F3C" w:rsidRPr="00370CD7" w:rsidRDefault="00812F3C" w:rsidP="00812F3C">
      <w:pPr>
        <w:ind w:left="720" w:hanging="360"/>
        <w:jc w:val="both"/>
        <w:rPr>
          <w:rFonts w:ascii="Book Antiqua" w:hAnsi="Book Antiqua"/>
        </w:rPr>
      </w:pPr>
      <w:r w:rsidRPr="00370CD7">
        <w:rPr>
          <w:rFonts w:ascii="Book Antiqua" w:hAnsi="Book Antiqua"/>
        </w:rPr>
        <w:t>5. To make the wooden foot light in weight and durable.</w:t>
      </w:r>
    </w:p>
    <w:p w14:paraId="2A633E92" w14:textId="77777777" w:rsidR="00812F3C" w:rsidRPr="00370CD7" w:rsidRDefault="00812F3C" w:rsidP="00812F3C">
      <w:pPr>
        <w:ind w:left="720" w:hanging="360"/>
        <w:jc w:val="both"/>
        <w:rPr>
          <w:rFonts w:ascii="Book Antiqua" w:hAnsi="Book Antiqua"/>
        </w:rPr>
      </w:pPr>
      <w:r w:rsidRPr="00370CD7">
        <w:rPr>
          <w:rFonts w:ascii="Book Antiqua" w:hAnsi="Book Antiqua"/>
        </w:rPr>
        <w:t xml:space="preserve">6. To make wooden foot shock absorbable. </w:t>
      </w:r>
    </w:p>
    <w:p w14:paraId="3C643351" w14:textId="77777777" w:rsidR="00812F3C" w:rsidRPr="00370CD7" w:rsidRDefault="00812F3C" w:rsidP="00812F3C">
      <w:pPr>
        <w:pStyle w:val="ListParagraph"/>
        <w:numPr>
          <w:ilvl w:val="1"/>
          <w:numId w:val="23"/>
        </w:numPr>
        <w:jc w:val="both"/>
        <w:rPr>
          <w:rFonts w:ascii="Book Antiqua" w:hAnsi="Book Antiqua"/>
          <w:b/>
        </w:rPr>
      </w:pPr>
      <w:r w:rsidRPr="00370CD7">
        <w:rPr>
          <w:rFonts w:ascii="Book Antiqua" w:hAnsi="Book Antiqua"/>
          <w:b/>
        </w:rPr>
        <w:t>Justification</w:t>
      </w:r>
    </w:p>
    <w:p w14:paraId="6B1180D1" w14:textId="77777777" w:rsidR="00B1507D" w:rsidRDefault="00812F3C" w:rsidP="001B5875">
      <w:pPr>
        <w:jc w:val="both"/>
        <w:rPr>
          <w:rFonts w:ascii="Book Antiqua" w:hAnsi="Book Antiqua"/>
        </w:rPr>
        <w:sectPr w:rsidR="00B1507D" w:rsidSect="008F6BC9">
          <w:type w:val="continuous"/>
          <w:pgSz w:w="11907" w:h="16839" w:code="9"/>
          <w:pgMar w:top="720" w:right="1440" w:bottom="360" w:left="1440" w:header="708" w:footer="708" w:gutter="0"/>
          <w:cols w:num="2" w:space="708"/>
          <w:docGrid w:linePitch="360"/>
        </w:sectPr>
      </w:pPr>
      <w:r w:rsidRPr="00370CD7">
        <w:rPr>
          <w:rFonts w:ascii="Book Antiqua" w:hAnsi="Book Antiqua"/>
        </w:rPr>
        <w:t xml:space="preserve">The foot made of silicon material is very expensive and also not common in Ghana since it is being imported and even with the imported ones it is difficult to get foot sizes of children. The prize for the silicone foot currently in Ghana market ranges from 700GHC to 1000GHC excluding the labor cost. Most parents therefore cannot afford to change their children’s prosthetic device within three to six month interval. This project is going to make the below knee prosthesis for children more affordable due to the use of low cost material (wood) and it is available in Ghana. Hence, parents can afford to make regular changes in other to keep up with their children’s growth. </w:t>
      </w:r>
    </w:p>
    <w:p w14:paraId="1987BC54" w14:textId="77777777" w:rsidR="00843572" w:rsidRDefault="00843572" w:rsidP="001B5875">
      <w:pPr>
        <w:jc w:val="both"/>
        <w:rPr>
          <w:rFonts w:ascii="Book Antiqua" w:hAnsi="Book Antiqua"/>
        </w:rPr>
        <w:sectPr w:rsidR="00843572" w:rsidSect="008F6BC9">
          <w:type w:val="continuous"/>
          <w:pgSz w:w="11907" w:h="16839" w:code="9"/>
          <w:pgMar w:top="720" w:right="1440" w:bottom="360" w:left="1440" w:header="708" w:footer="708" w:gutter="0"/>
          <w:cols w:num="2" w:space="708"/>
          <w:docGrid w:linePitch="360"/>
        </w:sectPr>
      </w:pPr>
    </w:p>
    <w:p w14:paraId="0750934C" w14:textId="77777777" w:rsidR="000577A3" w:rsidRPr="00E3232D" w:rsidRDefault="000577A3" w:rsidP="008275E1">
      <w:pPr>
        <w:rPr>
          <w:rFonts w:ascii="Book Antiqua" w:hAnsi="Book Antiqua"/>
        </w:rPr>
        <w:sectPr w:rsidR="000577A3" w:rsidRPr="00E3232D" w:rsidSect="008F6BC9">
          <w:type w:val="continuous"/>
          <w:pgSz w:w="11907" w:h="16839" w:code="9"/>
          <w:pgMar w:top="720" w:right="1440" w:bottom="360" w:left="1440" w:header="708" w:footer="708" w:gutter="0"/>
          <w:cols w:space="708"/>
          <w:docGrid w:linePitch="360"/>
        </w:sectPr>
      </w:pPr>
    </w:p>
    <w:p w14:paraId="392F879A" w14:textId="77777777" w:rsidR="00326851" w:rsidRPr="00326851" w:rsidRDefault="00D05804" w:rsidP="001B5875">
      <w:pPr>
        <w:jc w:val="both"/>
        <w:rPr>
          <w:rFonts w:ascii="Book Antiqua" w:hAnsi="Book Antiqua"/>
          <w:b/>
        </w:rPr>
      </w:pPr>
      <w:r>
        <w:rPr>
          <w:rFonts w:ascii="Book Antiqua" w:hAnsi="Book Antiqua"/>
          <w:b/>
        </w:rPr>
        <w:t xml:space="preserve">1.6 </w:t>
      </w:r>
      <w:r w:rsidR="00326851" w:rsidRPr="00326851">
        <w:rPr>
          <w:rFonts w:ascii="Book Antiqua" w:hAnsi="Book Antiqua"/>
          <w:b/>
        </w:rPr>
        <w:t xml:space="preserve">Cost Analysis </w:t>
      </w:r>
    </w:p>
    <w:tbl>
      <w:tblPr>
        <w:tblW w:w="0" w:type="auto"/>
        <w:tblBorders>
          <w:top w:val="single" w:sz="8" w:space="0" w:color="000000"/>
          <w:bottom w:val="single" w:sz="8" w:space="0" w:color="000000"/>
        </w:tblBorders>
        <w:tblLook w:val="04E0" w:firstRow="1" w:lastRow="1" w:firstColumn="1" w:lastColumn="0" w:noHBand="0" w:noVBand="1"/>
      </w:tblPr>
      <w:tblGrid>
        <w:gridCol w:w="1950"/>
        <w:gridCol w:w="889"/>
      </w:tblGrid>
      <w:tr w:rsidR="004018A8" w:rsidRPr="00370CD7" w14:paraId="2599ABC8" w14:textId="77777777" w:rsidTr="00AB79DE">
        <w:trPr>
          <w:trHeight w:val="377"/>
        </w:trPr>
        <w:tc>
          <w:tcPr>
            <w:tcW w:w="1950" w:type="dxa"/>
            <w:shd w:val="clear" w:color="auto" w:fill="auto"/>
          </w:tcPr>
          <w:p w14:paraId="6F71F33D" w14:textId="77777777" w:rsidR="004018A8" w:rsidRPr="00370CD7" w:rsidRDefault="004018A8" w:rsidP="00AB79DE">
            <w:pPr>
              <w:spacing w:after="0" w:line="240" w:lineRule="auto"/>
              <w:rPr>
                <w:rFonts w:ascii="Book Antiqua" w:hAnsi="Book Antiqua"/>
              </w:rPr>
            </w:pPr>
            <w:r w:rsidRPr="00370CD7">
              <w:rPr>
                <w:rFonts w:ascii="Book Antiqua" w:hAnsi="Book Antiqua"/>
                <w:b/>
              </w:rPr>
              <w:t>Material</w:t>
            </w:r>
            <w:r w:rsidRPr="00370CD7">
              <w:rPr>
                <w:rFonts w:ascii="Book Antiqua" w:hAnsi="Book Antiqua"/>
                <w:b/>
              </w:rPr>
              <w:tab/>
            </w:r>
            <w:r w:rsidRPr="00370CD7">
              <w:rPr>
                <w:rFonts w:ascii="Book Antiqua" w:hAnsi="Book Antiqua"/>
              </w:rPr>
              <w:lastRenderedPageBreak/>
              <w:tab/>
            </w:r>
            <w:r w:rsidRPr="00370CD7">
              <w:rPr>
                <w:rFonts w:ascii="Book Antiqua" w:hAnsi="Book Antiqua"/>
              </w:rPr>
              <w:tab/>
            </w:r>
          </w:p>
        </w:tc>
        <w:tc>
          <w:tcPr>
            <w:tcW w:w="889" w:type="dxa"/>
            <w:shd w:val="clear" w:color="auto" w:fill="auto"/>
          </w:tcPr>
          <w:p w14:paraId="018D5244" w14:textId="77777777" w:rsidR="004018A8" w:rsidRPr="00370CD7" w:rsidRDefault="004018A8" w:rsidP="00AB79DE">
            <w:pPr>
              <w:spacing w:after="0" w:line="240" w:lineRule="auto"/>
              <w:rPr>
                <w:rFonts w:ascii="Book Antiqua" w:hAnsi="Book Antiqua"/>
              </w:rPr>
            </w:pPr>
            <w:r w:rsidRPr="00370CD7">
              <w:rPr>
                <w:rFonts w:ascii="Book Antiqua" w:hAnsi="Book Antiqua"/>
                <w:b/>
              </w:rPr>
              <w:lastRenderedPageBreak/>
              <w:t>PRICE</w:t>
            </w:r>
            <w:r w:rsidRPr="00370CD7">
              <w:rPr>
                <w:rFonts w:ascii="Book Antiqua" w:hAnsi="Book Antiqua"/>
                <w:lang w:val="en-CA"/>
              </w:rPr>
              <w:t xml:space="preserve"> </w:t>
            </w:r>
            <w:r w:rsidRPr="00370CD7">
              <w:rPr>
                <w:rFonts w:ascii="Book Antiqua" w:hAnsi="Book Antiqua"/>
                <w:lang w:val="en-CA"/>
              </w:rPr>
              <w:lastRenderedPageBreak/>
              <w:t xml:space="preserve">GH¢  </w:t>
            </w:r>
          </w:p>
        </w:tc>
      </w:tr>
      <w:tr w:rsidR="004018A8" w:rsidRPr="00370CD7" w14:paraId="725AC828" w14:textId="77777777" w:rsidTr="00AB79DE">
        <w:tc>
          <w:tcPr>
            <w:tcW w:w="1950" w:type="dxa"/>
            <w:shd w:val="clear" w:color="auto" w:fill="auto"/>
          </w:tcPr>
          <w:p w14:paraId="135FF087" w14:textId="77777777" w:rsidR="004018A8" w:rsidRPr="00370CD7" w:rsidRDefault="004018A8" w:rsidP="00AB79DE">
            <w:pPr>
              <w:spacing w:after="0" w:line="240" w:lineRule="auto"/>
              <w:rPr>
                <w:rFonts w:ascii="Book Antiqua" w:hAnsi="Book Antiqua"/>
                <w:b/>
              </w:rPr>
            </w:pPr>
            <w:r w:rsidRPr="00370CD7">
              <w:rPr>
                <w:rFonts w:ascii="Book Antiqua" w:hAnsi="Book Antiqua"/>
                <w:b/>
              </w:rPr>
              <w:lastRenderedPageBreak/>
              <w:t>Foot:</w:t>
            </w:r>
          </w:p>
        </w:tc>
        <w:tc>
          <w:tcPr>
            <w:tcW w:w="889" w:type="dxa"/>
            <w:shd w:val="clear" w:color="auto" w:fill="auto"/>
          </w:tcPr>
          <w:p w14:paraId="629B13FD" w14:textId="77777777" w:rsidR="004018A8" w:rsidRPr="00370CD7" w:rsidRDefault="004018A8" w:rsidP="00AB79DE">
            <w:pPr>
              <w:spacing w:after="0" w:line="240" w:lineRule="auto"/>
              <w:rPr>
                <w:rFonts w:ascii="Book Antiqua" w:hAnsi="Book Antiqua"/>
                <w:b/>
              </w:rPr>
            </w:pPr>
          </w:p>
        </w:tc>
      </w:tr>
      <w:tr w:rsidR="004018A8" w:rsidRPr="00370CD7" w14:paraId="3AF653FE" w14:textId="77777777" w:rsidTr="00AB79DE">
        <w:tc>
          <w:tcPr>
            <w:tcW w:w="1950" w:type="dxa"/>
            <w:shd w:val="clear" w:color="auto" w:fill="auto"/>
          </w:tcPr>
          <w:p w14:paraId="1FBD96A0" w14:textId="77777777" w:rsidR="004018A8" w:rsidRPr="00370CD7" w:rsidRDefault="004018A8" w:rsidP="00AB79DE">
            <w:pPr>
              <w:spacing w:after="0" w:line="240" w:lineRule="auto"/>
              <w:rPr>
                <w:rFonts w:ascii="Book Antiqua" w:hAnsi="Book Antiqua"/>
              </w:rPr>
            </w:pPr>
            <w:r w:rsidRPr="00370CD7">
              <w:rPr>
                <w:rFonts w:ascii="Book Antiqua" w:hAnsi="Book Antiqua"/>
              </w:rPr>
              <w:t>Mahogany</w:t>
            </w:r>
            <w:r w:rsidRPr="00370CD7">
              <w:rPr>
                <w:rFonts w:ascii="Book Antiqua" w:hAnsi="Book Antiqua"/>
              </w:rPr>
              <w:tab/>
            </w:r>
          </w:p>
        </w:tc>
        <w:tc>
          <w:tcPr>
            <w:tcW w:w="889" w:type="dxa"/>
            <w:shd w:val="clear" w:color="auto" w:fill="auto"/>
          </w:tcPr>
          <w:p w14:paraId="474847C6" w14:textId="77777777" w:rsidR="004018A8" w:rsidRPr="00370CD7" w:rsidRDefault="004018A8" w:rsidP="00AB79DE">
            <w:pPr>
              <w:spacing w:after="0" w:line="240" w:lineRule="auto"/>
              <w:rPr>
                <w:rFonts w:ascii="Book Antiqua" w:hAnsi="Book Antiqua"/>
              </w:rPr>
            </w:pPr>
            <w:r w:rsidRPr="00370CD7">
              <w:rPr>
                <w:rFonts w:ascii="Book Antiqua" w:hAnsi="Book Antiqua"/>
              </w:rPr>
              <w:t xml:space="preserve">5.00 </w:t>
            </w:r>
          </w:p>
        </w:tc>
      </w:tr>
      <w:tr w:rsidR="004018A8" w:rsidRPr="00370CD7" w14:paraId="4847302B" w14:textId="77777777" w:rsidTr="00AB79DE">
        <w:tc>
          <w:tcPr>
            <w:tcW w:w="1950" w:type="dxa"/>
            <w:shd w:val="clear" w:color="auto" w:fill="auto"/>
          </w:tcPr>
          <w:p w14:paraId="170101AE" w14:textId="77777777" w:rsidR="004018A8" w:rsidRPr="00370CD7" w:rsidRDefault="004018A8" w:rsidP="00AB79DE">
            <w:pPr>
              <w:spacing w:after="0" w:line="240" w:lineRule="auto"/>
              <w:rPr>
                <w:rFonts w:ascii="Book Antiqua" w:hAnsi="Book Antiqua"/>
                <w:lang w:val="en-CA"/>
              </w:rPr>
            </w:pPr>
            <w:r w:rsidRPr="00370CD7">
              <w:rPr>
                <w:rFonts w:ascii="Book Antiqua" w:hAnsi="Book Antiqua"/>
              </w:rPr>
              <w:t>BKP leather</w:t>
            </w:r>
            <w:r w:rsidRPr="00370CD7">
              <w:rPr>
                <w:rFonts w:ascii="Book Antiqua" w:hAnsi="Book Antiqua"/>
              </w:rPr>
              <w:tab/>
            </w:r>
          </w:p>
        </w:tc>
        <w:tc>
          <w:tcPr>
            <w:tcW w:w="889" w:type="dxa"/>
            <w:shd w:val="clear" w:color="auto" w:fill="auto"/>
          </w:tcPr>
          <w:p w14:paraId="1CAA31DA" w14:textId="77777777" w:rsidR="004018A8" w:rsidRPr="00370CD7" w:rsidRDefault="004018A8" w:rsidP="00AB79DE">
            <w:pPr>
              <w:spacing w:after="0" w:line="240" w:lineRule="auto"/>
              <w:rPr>
                <w:rFonts w:ascii="Book Antiqua" w:hAnsi="Book Antiqua"/>
                <w:lang w:val="en-CA"/>
              </w:rPr>
            </w:pPr>
            <w:r w:rsidRPr="00370CD7">
              <w:rPr>
                <w:rFonts w:ascii="Book Antiqua" w:hAnsi="Book Antiqua"/>
              </w:rPr>
              <w:t xml:space="preserve">5.00 </w:t>
            </w:r>
          </w:p>
        </w:tc>
      </w:tr>
      <w:tr w:rsidR="004018A8" w:rsidRPr="00370CD7" w14:paraId="2E564234" w14:textId="77777777" w:rsidTr="00AB79DE">
        <w:tc>
          <w:tcPr>
            <w:tcW w:w="1950" w:type="dxa"/>
            <w:shd w:val="clear" w:color="auto" w:fill="auto"/>
          </w:tcPr>
          <w:p w14:paraId="6E0FAF65" w14:textId="77777777" w:rsidR="004018A8" w:rsidRPr="00370CD7" w:rsidRDefault="004018A8" w:rsidP="00AB79DE">
            <w:pPr>
              <w:spacing w:after="0" w:line="240" w:lineRule="auto"/>
              <w:rPr>
                <w:rFonts w:ascii="Book Antiqua" w:hAnsi="Book Antiqua"/>
                <w:lang w:val="en-CA"/>
              </w:rPr>
            </w:pPr>
            <w:r w:rsidRPr="00370CD7">
              <w:rPr>
                <w:rFonts w:ascii="Book Antiqua" w:hAnsi="Book Antiqua"/>
                <w:lang w:val="en-CA"/>
              </w:rPr>
              <w:t>Glue</w:t>
            </w:r>
            <w:r w:rsidRPr="00370CD7">
              <w:rPr>
                <w:rFonts w:ascii="Book Antiqua" w:hAnsi="Book Antiqua"/>
                <w:lang w:val="en-CA"/>
              </w:rPr>
              <w:tab/>
            </w:r>
            <w:r w:rsidRPr="00370CD7">
              <w:rPr>
                <w:rFonts w:ascii="Book Antiqua" w:hAnsi="Book Antiqua"/>
                <w:lang w:val="en-CA"/>
              </w:rPr>
              <w:tab/>
            </w:r>
          </w:p>
        </w:tc>
        <w:tc>
          <w:tcPr>
            <w:tcW w:w="889" w:type="dxa"/>
            <w:shd w:val="clear" w:color="auto" w:fill="auto"/>
          </w:tcPr>
          <w:p w14:paraId="6AC8A45C" w14:textId="77777777" w:rsidR="004018A8" w:rsidRPr="00370CD7" w:rsidRDefault="004018A8" w:rsidP="00AB79DE">
            <w:pPr>
              <w:spacing w:after="0" w:line="240" w:lineRule="auto"/>
              <w:rPr>
                <w:rFonts w:ascii="Book Antiqua" w:hAnsi="Book Antiqua"/>
                <w:lang w:val="en-CA"/>
              </w:rPr>
            </w:pPr>
            <w:r w:rsidRPr="00370CD7">
              <w:rPr>
                <w:rFonts w:ascii="Book Antiqua" w:hAnsi="Book Antiqua"/>
                <w:lang w:val="en-CA"/>
              </w:rPr>
              <w:t xml:space="preserve">2.00 </w:t>
            </w:r>
          </w:p>
        </w:tc>
      </w:tr>
      <w:tr w:rsidR="004018A8" w:rsidRPr="00370CD7" w14:paraId="190DCF68" w14:textId="77777777" w:rsidTr="00AB79DE">
        <w:tc>
          <w:tcPr>
            <w:tcW w:w="1950" w:type="dxa"/>
            <w:shd w:val="clear" w:color="auto" w:fill="auto"/>
          </w:tcPr>
          <w:p w14:paraId="3E368435" w14:textId="77777777" w:rsidR="004018A8" w:rsidRPr="00370CD7" w:rsidRDefault="004018A8" w:rsidP="00AB79DE">
            <w:pPr>
              <w:spacing w:after="0" w:line="240" w:lineRule="auto"/>
              <w:rPr>
                <w:rFonts w:ascii="Book Antiqua" w:hAnsi="Book Antiqua"/>
                <w:lang w:val="en-CA"/>
              </w:rPr>
            </w:pPr>
            <w:r w:rsidRPr="00370CD7">
              <w:rPr>
                <w:rFonts w:ascii="Book Antiqua" w:hAnsi="Book Antiqua"/>
                <w:lang w:val="en-CA"/>
              </w:rPr>
              <w:t>Sole, SACH Rubber</w:t>
            </w:r>
          </w:p>
        </w:tc>
        <w:tc>
          <w:tcPr>
            <w:tcW w:w="889" w:type="dxa"/>
            <w:shd w:val="clear" w:color="auto" w:fill="auto"/>
          </w:tcPr>
          <w:p w14:paraId="4C7AAB63" w14:textId="77777777" w:rsidR="004018A8" w:rsidRPr="00370CD7" w:rsidRDefault="004018A8" w:rsidP="00AB79DE">
            <w:pPr>
              <w:spacing w:after="0" w:line="240" w:lineRule="auto"/>
              <w:rPr>
                <w:rFonts w:ascii="Book Antiqua" w:hAnsi="Book Antiqua"/>
                <w:lang w:val="en-CA"/>
              </w:rPr>
            </w:pPr>
            <w:r w:rsidRPr="00370CD7">
              <w:rPr>
                <w:rFonts w:ascii="Book Antiqua" w:hAnsi="Book Antiqua"/>
                <w:lang w:val="en-CA"/>
              </w:rPr>
              <w:t xml:space="preserve">4.00 </w:t>
            </w:r>
          </w:p>
        </w:tc>
      </w:tr>
      <w:tr w:rsidR="004018A8" w:rsidRPr="00370CD7" w14:paraId="532FB73F" w14:textId="77777777" w:rsidTr="00AB79DE">
        <w:tc>
          <w:tcPr>
            <w:tcW w:w="1950" w:type="dxa"/>
            <w:shd w:val="clear" w:color="auto" w:fill="auto"/>
          </w:tcPr>
          <w:p w14:paraId="41DA8579" w14:textId="77777777" w:rsidR="004018A8" w:rsidRPr="00370CD7" w:rsidRDefault="004018A8" w:rsidP="00AB79DE">
            <w:pPr>
              <w:spacing w:after="0" w:line="240" w:lineRule="auto"/>
              <w:rPr>
                <w:rFonts w:ascii="Book Antiqua" w:hAnsi="Book Antiqua"/>
                <w:lang w:val="en-CA"/>
              </w:rPr>
            </w:pPr>
            <w:r w:rsidRPr="00370CD7">
              <w:rPr>
                <w:rFonts w:ascii="Book Antiqua" w:hAnsi="Book Antiqua"/>
                <w:lang w:val="en-CA"/>
              </w:rPr>
              <w:t>Acrylic paint</w:t>
            </w:r>
            <w:r w:rsidRPr="00370CD7">
              <w:rPr>
                <w:rFonts w:ascii="Book Antiqua" w:hAnsi="Book Antiqua"/>
                <w:lang w:val="en-CA"/>
              </w:rPr>
              <w:tab/>
              <w:t xml:space="preserve">                                              </w:t>
            </w:r>
          </w:p>
        </w:tc>
        <w:tc>
          <w:tcPr>
            <w:tcW w:w="889" w:type="dxa"/>
            <w:shd w:val="clear" w:color="auto" w:fill="auto"/>
          </w:tcPr>
          <w:p w14:paraId="773F51BD" w14:textId="77777777" w:rsidR="004018A8" w:rsidRPr="00370CD7" w:rsidRDefault="004018A8" w:rsidP="00AB79DE">
            <w:pPr>
              <w:spacing w:after="0" w:line="240" w:lineRule="auto"/>
              <w:rPr>
                <w:rFonts w:ascii="Book Antiqua" w:hAnsi="Book Antiqua"/>
                <w:lang w:val="en-CA"/>
              </w:rPr>
            </w:pPr>
            <w:r w:rsidRPr="00370CD7">
              <w:rPr>
                <w:rFonts w:ascii="Book Antiqua" w:hAnsi="Book Antiqua"/>
                <w:lang w:val="en-CA"/>
              </w:rPr>
              <w:t>15.00</w:t>
            </w:r>
          </w:p>
        </w:tc>
      </w:tr>
      <w:tr w:rsidR="004018A8" w:rsidRPr="00370CD7" w14:paraId="47DF9B99" w14:textId="77777777" w:rsidTr="00AB79DE">
        <w:tc>
          <w:tcPr>
            <w:tcW w:w="1950" w:type="dxa"/>
            <w:shd w:val="clear" w:color="auto" w:fill="auto"/>
          </w:tcPr>
          <w:p w14:paraId="6895C1D4" w14:textId="77777777" w:rsidR="004018A8" w:rsidRPr="00370CD7" w:rsidRDefault="004018A8" w:rsidP="00AB79DE">
            <w:pPr>
              <w:spacing w:after="0" w:line="240" w:lineRule="auto"/>
              <w:rPr>
                <w:rFonts w:ascii="Book Antiqua" w:hAnsi="Book Antiqua"/>
              </w:rPr>
            </w:pPr>
            <w:r w:rsidRPr="00370CD7">
              <w:rPr>
                <w:rFonts w:ascii="Book Antiqua" w:hAnsi="Book Antiqua"/>
              </w:rPr>
              <w:t>Aluminum bar for pylon</w:t>
            </w:r>
            <w:r w:rsidRPr="00370CD7">
              <w:rPr>
                <w:rFonts w:ascii="Book Antiqua" w:hAnsi="Book Antiqua"/>
              </w:rPr>
              <w:tab/>
            </w:r>
          </w:p>
        </w:tc>
        <w:tc>
          <w:tcPr>
            <w:tcW w:w="889" w:type="dxa"/>
            <w:shd w:val="clear" w:color="auto" w:fill="auto"/>
          </w:tcPr>
          <w:p w14:paraId="5439C8F7" w14:textId="77777777" w:rsidR="004018A8" w:rsidRPr="00370CD7" w:rsidRDefault="004018A8" w:rsidP="00AB79DE">
            <w:pPr>
              <w:spacing w:after="0" w:line="240" w:lineRule="auto"/>
              <w:rPr>
                <w:rFonts w:ascii="Book Antiqua" w:hAnsi="Book Antiqua"/>
              </w:rPr>
            </w:pPr>
            <w:r w:rsidRPr="00370CD7">
              <w:rPr>
                <w:rFonts w:ascii="Book Antiqua" w:hAnsi="Book Antiqua"/>
              </w:rPr>
              <w:t>15.00</w:t>
            </w:r>
          </w:p>
        </w:tc>
      </w:tr>
      <w:tr w:rsidR="004018A8" w:rsidRPr="00370CD7" w14:paraId="16DF0311" w14:textId="77777777" w:rsidTr="00AB79DE">
        <w:tc>
          <w:tcPr>
            <w:tcW w:w="1950" w:type="dxa"/>
            <w:shd w:val="clear" w:color="auto" w:fill="auto"/>
          </w:tcPr>
          <w:p w14:paraId="68611DB0" w14:textId="77777777" w:rsidR="004018A8" w:rsidRPr="00370CD7" w:rsidRDefault="004018A8" w:rsidP="00AB79DE">
            <w:pPr>
              <w:spacing w:after="0" w:line="240" w:lineRule="auto"/>
              <w:rPr>
                <w:rFonts w:ascii="Book Antiqua" w:hAnsi="Book Antiqua"/>
              </w:rPr>
            </w:pPr>
            <w:r w:rsidRPr="00370CD7">
              <w:rPr>
                <w:rFonts w:ascii="Book Antiqua" w:hAnsi="Book Antiqua"/>
                <w:b/>
              </w:rPr>
              <w:t>Socket:</w:t>
            </w:r>
            <w:r w:rsidRPr="00370CD7">
              <w:rPr>
                <w:rFonts w:ascii="Book Antiqua" w:hAnsi="Book Antiqua"/>
              </w:rPr>
              <w:tab/>
            </w:r>
          </w:p>
        </w:tc>
        <w:tc>
          <w:tcPr>
            <w:tcW w:w="889" w:type="dxa"/>
            <w:shd w:val="clear" w:color="auto" w:fill="auto"/>
          </w:tcPr>
          <w:p w14:paraId="70BCD25C" w14:textId="77777777" w:rsidR="004018A8" w:rsidRPr="00370CD7" w:rsidRDefault="004018A8" w:rsidP="00AB79DE">
            <w:pPr>
              <w:spacing w:after="0" w:line="240" w:lineRule="auto"/>
              <w:rPr>
                <w:rFonts w:ascii="Book Antiqua" w:hAnsi="Book Antiqua"/>
              </w:rPr>
            </w:pPr>
          </w:p>
        </w:tc>
      </w:tr>
      <w:tr w:rsidR="004018A8" w:rsidRPr="00370CD7" w14:paraId="406934B2" w14:textId="77777777" w:rsidTr="00AB79DE">
        <w:tc>
          <w:tcPr>
            <w:tcW w:w="1950" w:type="dxa"/>
            <w:shd w:val="clear" w:color="auto" w:fill="auto"/>
          </w:tcPr>
          <w:p w14:paraId="04856F88" w14:textId="77777777" w:rsidR="004018A8" w:rsidRPr="00370CD7" w:rsidRDefault="004018A8" w:rsidP="00AB79DE">
            <w:pPr>
              <w:spacing w:after="0" w:line="240" w:lineRule="auto"/>
              <w:rPr>
                <w:rFonts w:ascii="Book Antiqua" w:hAnsi="Book Antiqua"/>
              </w:rPr>
            </w:pPr>
            <w:r w:rsidRPr="00370CD7">
              <w:rPr>
                <w:rFonts w:ascii="Book Antiqua" w:hAnsi="Book Antiqua"/>
              </w:rPr>
              <w:t>Plaster of Powder</w:t>
            </w:r>
          </w:p>
        </w:tc>
        <w:tc>
          <w:tcPr>
            <w:tcW w:w="889" w:type="dxa"/>
            <w:shd w:val="clear" w:color="auto" w:fill="auto"/>
          </w:tcPr>
          <w:p w14:paraId="0E146B68" w14:textId="77777777" w:rsidR="004018A8" w:rsidRPr="00370CD7" w:rsidRDefault="004018A8" w:rsidP="00AB79DE">
            <w:pPr>
              <w:spacing w:after="0" w:line="240" w:lineRule="auto"/>
              <w:rPr>
                <w:rFonts w:ascii="Book Antiqua" w:hAnsi="Book Antiqua"/>
              </w:rPr>
            </w:pPr>
          </w:p>
        </w:tc>
      </w:tr>
      <w:tr w:rsidR="004018A8" w:rsidRPr="00370CD7" w14:paraId="2990968D" w14:textId="77777777" w:rsidTr="00AB79DE">
        <w:tc>
          <w:tcPr>
            <w:tcW w:w="1950" w:type="dxa"/>
            <w:shd w:val="clear" w:color="auto" w:fill="auto"/>
          </w:tcPr>
          <w:p w14:paraId="1F17682F" w14:textId="77777777" w:rsidR="004018A8" w:rsidRPr="00370CD7" w:rsidRDefault="004018A8" w:rsidP="00AB79DE">
            <w:pPr>
              <w:spacing w:after="0" w:line="240" w:lineRule="auto"/>
              <w:rPr>
                <w:rFonts w:ascii="Book Antiqua" w:hAnsi="Book Antiqua"/>
              </w:rPr>
            </w:pPr>
            <w:r w:rsidRPr="00370CD7">
              <w:rPr>
                <w:rFonts w:ascii="Book Antiqua" w:hAnsi="Book Antiqua"/>
              </w:rPr>
              <w:t>Plaster Of Paris bandage</w:t>
            </w:r>
          </w:p>
        </w:tc>
        <w:tc>
          <w:tcPr>
            <w:tcW w:w="889" w:type="dxa"/>
            <w:shd w:val="clear" w:color="auto" w:fill="auto"/>
          </w:tcPr>
          <w:p w14:paraId="60048C8B" w14:textId="77777777" w:rsidR="004018A8" w:rsidRPr="00370CD7" w:rsidRDefault="004018A8" w:rsidP="00AB79DE">
            <w:pPr>
              <w:spacing w:after="0" w:line="240" w:lineRule="auto"/>
              <w:rPr>
                <w:rFonts w:ascii="Book Antiqua" w:hAnsi="Book Antiqua"/>
              </w:rPr>
            </w:pPr>
          </w:p>
        </w:tc>
      </w:tr>
      <w:tr w:rsidR="004018A8" w:rsidRPr="00370CD7" w14:paraId="388C3055" w14:textId="77777777" w:rsidTr="00AB79DE">
        <w:tc>
          <w:tcPr>
            <w:tcW w:w="1950" w:type="dxa"/>
            <w:shd w:val="clear" w:color="auto" w:fill="auto"/>
          </w:tcPr>
          <w:p w14:paraId="2AEC61D6" w14:textId="77777777" w:rsidR="004018A8" w:rsidRPr="00370CD7" w:rsidRDefault="004018A8" w:rsidP="00AB79DE">
            <w:pPr>
              <w:spacing w:after="0" w:line="240" w:lineRule="auto"/>
              <w:rPr>
                <w:rFonts w:ascii="Book Antiqua" w:hAnsi="Book Antiqua"/>
              </w:rPr>
            </w:pPr>
            <w:r w:rsidRPr="00370CD7">
              <w:rPr>
                <w:rFonts w:ascii="Book Antiqua" w:hAnsi="Book Antiqua"/>
              </w:rPr>
              <w:t>Plastic resin</w:t>
            </w:r>
          </w:p>
        </w:tc>
        <w:tc>
          <w:tcPr>
            <w:tcW w:w="889" w:type="dxa"/>
            <w:shd w:val="clear" w:color="auto" w:fill="auto"/>
          </w:tcPr>
          <w:p w14:paraId="49721493" w14:textId="77777777" w:rsidR="004018A8" w:rsidRPr="00370CD7" w:rsidRDefault="004018A8" w:rsidP="00AB79DE">
            <w:pPr>
              <w:spacing w:after="0" w:line="240" w:lineRule="auto"/>
              <w:rPr>
                <w:rFonts w:ascii="Book Antiqua" w:hAnsi="Book Antiqua"/>
              </w:rPr>
            </w:pPr>
          </w:p>
        </w:tc>
      </w:tr>
      <w:tr w:rsidR="004018A8" w:rsidRPr="00370CD7" w14:paraId="703AC3E5" w14:textId="77777777" w:rsidTr="00AB79DE">
        <w:tc>
          <w:tcPr>
            <w:tcW w:w="1950" w:type="dxa"/>
            <w:shd w:val="clear" w:color="auto" w:fill="auto"/>
          </w:tcPr>
          <w:p w14:paraId="7526FA0D" w14:textId="77777777" w:rsidR="004018A8" w:rsidRPr="00370CD7" w:rsidRDefault="004018A8" w:rsidP="00AB79DE">
            <w:pPr>
              <w:spacing w:after="0" w:line="240" w:lineRule="auto"/>
              <w:rPr>
                <w:rFonts w:ascii="Book Antiqua" w:hAnsi="Book Antiqua"/>
              </w:rPr>
            </w:pPr>
            <w:r w:rsidRPr="00370CD7">
              <w:rPr>
                <w:rFonts w:ascii="Book Antiqua" w:hAnsi="Book Antiqua"/>
              </w:rPr>
              <w:t>PVA rubber</w:t>
            </w:r>
          </w:p>
        </w:tc>
        <w:tc>
          <w:tcPr>
            <w:tcW w:w="889" w:type="dxa"/>
            <w:shd w:val="clear" w:color="auto" w:fill="auto"/>
          </w:tcPr>
          <w:p w14:paraId="7353C85E" w14:textId="77777777" w:rsidR="004018A8" w:rsidRPr="00370CD7" w:rsidRDefault="004018A8" w:rsidP="00AB79DE">
            <w:pPr>
              <w:spacing w:after="0" w:line="240" w:lineRule="auto"/>
              <w:rPr>
                <w:rFonts w:ascii="Book Antiqua" w:hAnsi="Book Antiqua"/>
              </w:rPr>
            </w:pPr>
          </w:p>
        </w:tc>
      </w:tr>
      <w:tr w:rsidR="004018A8" w:rsidRPr="00370CD7" w14:paraId="6A8FBC1F" w14:textId="77777777" w:rsidTr="00AB79DE">
        <w:tc>
          <w:tcPr>
            <w:tcW w:w="1950" w:type="dxa"/>
            <w:shd w:val="clear" w:color="auto" w:fill="auto"/>
          </w:tcPr>
          <w:p w14:paraId="197A0AE0" w14:textId="77777777" w:rsidR="004018A8" w:rsidRPr="00370CD7" w:rsidRDefault="004018A8" w:rsidP="00AB79DE">
            <w:pPr>
              <w:spacing w:after="0" w:line="240" w:lineRule="auto"/>
              <w:rPr>
                <w:rFonts w:ascii="Book Antiqua" w:hAnsi="Book Antiqua"/>
              </w:rPr>
            </w:pPr>
            <w:r w:rsidRPr="00370CD7">
              <w:rPr>
                <w:rFonts w:ascii="Book Antiqua" w:hAnsi="Book Antiqua"/>
              </w:rPr>
              <w:t>Fiber glass</w:t>
            </w:r>
          </w:p>
        </w:tc>
        <w:tc>
          <w:tcPr>
            <w:tcW w:w="889" w:type="dxa"/>
            <w:shd w:val="clear" w:color="auto" w:fill="auto"/>
          </w:tcPr>
          <w:p w14:paraId="79FFEF64" w14:textId="77777777" w:rsidR="004018A8" w:rsidRPr="00370CD7" w:rsidRDefault="004018A8" w:rsidP="00AB79DE">
            <w:pPr>
              <w:spacing w:after="0" w:line="240" w:lineRule="auto"/>
              <w:rPr>
                <w:rFonts w:ascii="Book Antiqua" w:hAnsi="Book Antiqua"/>
              </w:rPr>
            </w:pPr>
          </w:p>
        </w:tc>
      </w:tr>
      <w:tr w:rsidR="004018A8" w:rsidRPr="00370CD7" w14:paraId="5C0164BD" w14:textId="77777777" w:rsidTr="00AB79DE">
        <w:tc>
          <w:tcPr>
            <w:tcW w:w="1950" w:type="dxa"/>
            <w:shd w:val="clear" w:color="auto" w:fill="auto"/>
          </w:tcPr>
          <w:p w14:paraId="2730E793" w14:textId="77777777" w:rsidR="004018A8" w:rsidRPr="00370CD7" w:rsidRDefault="004018A8" w:rsidP="00AB79DE">
            <w:pPr>
              <w:spacing w:after="0" w:line="240" w:lineRule="auto"/>
              <w:rPr>
                <w:rFonts w:ascii="Book Antiqua" w:hAnsi="Book Antiqua"/>
              </w:rPr>
            </w:pPr>
            <w:r w:rsidRPr="00370CD7">
              <w:rPr>
                <w:rFonts w:ascii="Book Antiqua" w:hAnsi="Book Antiqua"/>
              </w:rPr>
              <w:t>Total cost</w:t>
            </w:r>
            <w:r w:rsidRPr="00370CD7">
              <w:rPr>
                <w:rFonts w:ascii="Book Antiqua" w:hAnsi="Book Antiqua"/>
              </w:rPr>
              <w:tab/>
            </w:r>
          </w:p>
        </w:tc>
        <w:tc>
          <w:tcPr>
            <w:tcW w:w="889" w:type="dxa"/>
            <w:shd w:val="clear" w:color="auto" w:fill="auto"/>
          </w:tcPr>
          <w:p w14:paraId="1A30C4FA" w14:textId="77777777" w:rsidR="004018A8" w:rsidRPr="00370CD7" w:rsidRDefault="004018A8" w:rsidP="00AB79DE">
            <w:pPr>
              <w:spacing w:after="0" w:line="240" w:lineRule="auto"/>
              <w:rPr>
                <w:rFonts w:ascii="Book Antiqua" w:hAnsi="Book Antiqua"/>
              </w:rPr>
            </w:pPr>
            <w:r w:rsidRPr="00370CD7">
              <w:rPr>
                <w:rFonts w:ascii="Book Antiqua" w:hAnsi="Book Antiqua"/>
              </w:rPr>
              <w:t>50.00</w:t>
            </w:r>
          </w:p>
        </w:tc>
      </w:tr>
      <w:tr w:rsidR="004018A8" w:rsidRPr="00370CD7" w14:paraId="18266486" w14:textId="77777777" w:rsidTr="00AB79DE">
        <w:tc>
          <w:tcPr>
            <w:tcW w:w="1950" w:type="dxa"/>
            <w:shd w:val="clear" w:color="auto" w:fill="auto"/>
          </w:tcPr>
          <w:p w14:paraId="3C829029" w14:textId="77777777" w:rsidR="004018A8" w:rsidRPr="00370CD7" w:rsidRDefault="004018A8" w:rsidP="00AB79DE">
            <w:pPr>
              <w:spacing w:after="0" w:line="240" w:lineRule="auto"/>
              <w:rPr>
                <w:rFonts w:ascii="Book Antiqua" w:hAnsi="Book Antiqua"/>
              </w:rPr>
            </w:pPr>
            <w:r w:rsidRPr="00370CD7">
              <w:rPr>
                <w:rFonts w:ascii="Book Antiqua" w:hAnsi="Book Antiqua"/>
              </w:rPr>
              <w:t>Labour cost</w:t>
            </w:r>
          </w:p>
        </w:tc>
        <w:tc>
          <w:tcPr>
            <w:tcW w:w="889" w:type="dxa"/>
            <w:shd w:val="clear" w:color="auto" w:fill="auto"/>
          </w:tcPr>
          <w:p w14:paraId="77E14524" w14:textId="77777777" w:rsidR="004018A8" w:rsidRPr="00370CD7" w:rsidRDefault="004018A8" w:rsidP="00AB79DE">
            <w:pPr>
              <w:spacing w:after="0" w:line="240" w:lineRule="auto"/>
              <w:rPr>
                <w:rFonts w:ascii="Book Antiqua" w:hAnsi="Book Antiqua"/>
              </w:rPr>
            </w:pPr>
            <w:r w:rsidRPr="00370CD7">
              <w:rPr>
                <w:rFonts w:ascii="Book Antiqua" w:hAnsi="Book Antiqua"/>
              </w:rPr>
              <w:t>180.00</w:t>
            </w:r>
          </w:p>
        </w:tc>
      </w:tr>
      <w:tr w:rsidR="004018A8" w:rsidRPr="00370CD7" w14:paraId="07945EBC" w14:textId="77777777" w:rsidTr="00AB79DE">
        <w:tc>
          <w:tcPr>
            <w:tcW w:w="1950" w:type="dxa"/>
            <w:shd w:val="clear" w:color="auto" w:fill="auto"/>
          </w:tcPr>
          <w:p w14:paraId="13EB38A2" w14:textId="77777777" w:rsidR="004018A8" w:rsidRPr="00370CD7" w:rsidRDefault="004018A8" w:rsidP="00AB79DE">
            <w:pPr>
              <w:spacing w:after="0" w:line="240" w:lineRule="auto"/>
              <w:rPr>
                <w:rFonts w:ascii="Book Antiqua" w:hAnsi="Book Antiqua"/>
              </w:rPr>
            </w:pPr>
            <w:r w:rsidRPr="00370CD7">
              <w:rPr>
                <w:rFonts w:ascii="Book Antiqua" w:hAnsi="Book Antiqua"/>
              </w:rPr>
              <w:t>Miscellenous</w:t>
            </w:r>
          </w:p>
        </w:tc>
        <w:tc>
          <w:tcPr>
            <w:tcW w:w="889" w:type="dxa"/>
            <w:shd w:val="clear" w:color="auto" w:fill="auto"/>
          </w:tcPr>
          <w:p w14:paraId="41E84B0F" w14:textId="77777777" w:rsidR="004018A8" w:rsidRPr="00370CD7" w:rsidRDefault="004018A8" w:rsidP="00AB79DE">
            <w:pPr>
              <w:spacing w:after="0" w:line="240" w:lineRule="auto"/>
              <w:rPr>
                <w:rFonts w:ascii="Book Antiqua" w:hAnsi="Book Antiqua"/>
              </w:rPr>
            </w:pPr>
            <w:r w:rsidRPr="00370CD7">
              <w:rPr>
                <w:rFonts w:ascii="Book Antiqua" w:hAnsi="Book Antiqua"/>
              </w:rPr>
              <w:t>24.00</w:t>
            </w:r>
          </w:p>
        </w:tc>
      </w:tr>
      <w:tr w:rsidR="004018A8" w:rsidRPr="00370CD7" w14:paraId="39ADB67C" w14:textId="77777777" w:rsidTr="00AB79DE">
        <w:tc>
          <w:tcPr>
            <w:tcW w:w="1950" w:type="dxa"/>
            <w:shd w:val="clear" w:color="auto" w:fill="auto"/>
          </w:tcPr>
          <w:p w14:paraId="6203156E" w14:textId="77777777" w:rsidR="004018A8" w:rsidRPr="00370CD7" w:rsidRDefault="004018A8" w:rsidP="00AB79DE">
            <w:pPr>
              <w:spacing w:after="0" w:line="240" w:lineRule="auto"/>
              <w:rPr>
                <w:rFonts w:ascii="Book Antiqua" w:hAnsi="Book Antiqua"/>
              </w:rPr>
            </w:pPr>
            <w:r w:rsidRPr="00370CD7">
              <w:rPr>
                <w:rFonts w:ascii="Book Antiqua" w:hAnsi="Book Antiqua"/>
                <w:b/>
              </w:rPr>
              <w:t>Total Cost</w:t>
            </w:r>
          </w:p>
        </w:tc>
        <w:tc>
          <w:tcPr>
            <w:tcW w:w="889" w:type="dxa"/>
            <w:shd w:val="clear" w:color="auto" w:fill="auto"/>
          </w:tcPr>
          <w:p w14:paraId="2B5A1393" w14:textId="77777777" w:rsidR="004018A8" w:rsidRPr="00370CD7" w:rsidRDefault="004018A8" w:rsidP="00AB79DE">
            <w:pPr>
              <w:spacing w:after="0" w:line="240" w:lineRule="auto"/>
              <w:rPr>
                <w:rFonts w:ascii="Book Antiqua" w:hAnsi="Book Antiqua"/>
              </w:rPr>
            </w:pPr>
            <w:r w:rsidRPr="00370CD7">
              <w:rPr>
                <w:rFonts w:ascii="Book Antiqua" w:hAnsi="Book Antiqua"/>
                <w:b/>
              </w:rPr>
              <w:t>300.00</w:t>
            </w:r>
          </w:p>
        </w:tc>
      </w:tr>
    </w:tbl>
    <w:p w14:paraId="583E82D8" w14:textId="77777777" w:rsidR="004018A8" w:rsidRDefault="004018A8" w:rsidP="004018A8">
      <w:pPr>
        <w:jc w:val="both"/>
        <w:rPr>
          <w:rFonts w:ascii="Book Antiqua" w:hAnsi="Book Antiqua"/>
        </w:rPr>
      </w:pPr>
    </w:p>
    <w:p w14:paraId="712E8377" w14:textId="77777777" w:rsidR="00A25497" w:rsidRPr="00A25497" w:rsidRDefault="004018A8" w:rsidP="00A25497">
      <w:pPr>
        <w:jc w:val="both"/>
        <w:rPr>
          <w:rFonts w:ascii="Book Antiqua" w:hAnsi="Book Antiqua"/>
        </w:rPr>
      </w:pPr>
      <w:r w:rsidRPr="00F24AD5">
        <w:rPr>
          <w:rFonts w:ascii="Book Antiqua" w:hAnsi="Book Antiqua"/>
        </w:rPr>
        <w:t>From the breakdown of cost as shown above, the parent only need about 276.00 to 300.00 (GHC),to acquire a below knee prosthetic for their child and about only 31.00GHC for  a new wooden foot which also function similarly as the silicone foot</w:t>
      </w:r>
      <w:r>
        <w:rPr>
          <w:rFonts w:ascii="Book Antiqua" w:hAnsi="Book Antiqua"/>
        </w:rPr>
        <w:t>.</w:t>
      </w:r>
    </w:p>
    <w:p w14:paraId="207654C2" w14:textId="77777777" w:rsidR="00A25497" w:rsidRDefault="00A25497" w:rsidP="00A25497">
      <w:pPr>
        <w:jc w:val="both"/>
        <w:rPr>
          <w:rFonts w:ascii="Book Antiqua" w:hAnsi="Book Antiqua"/>
          <w:b/>
          <w:sz w:val="26"/>
        </w:rPr>
      </w:pPr>
      <w:r w:rsidRPr="00F24AD5">
        <w:rPr>
          <w:rFonts w:ascii="Book Antiqua" w:hAnsi="Book Antiqua"/>
          <w:b/>
          <w:sz w:val="26"/>
        </w:rPr>
        <w:t xml:space="preserve">2.0 </w:t>
      </w:r>
      <w:r>
        <w:rPr>
          <w:rFonts w:ascii="Book Antiqua" w:hAnsi="Book Antiqua"/>
          <w:b/>
          <w:sz w:val="26"/>
        </w:rPr>
        <w:t>Material and Methods</w:t>
      </w:r>
    </w:p>
    <w:p w14:paraId="769E58EF" w14:textId="77777777" w:rsidR="00A25497" w:rsidRPr="00A25497" w:rsidRDefault="00A25497" w:rsidP="00A25497">
      <w:pPr>
        <w:jc w:val="both"/>
        <w:rPr>
          <w:rFonts w:ascii="Book Antiqua" w:hAnsi="Book Antiqua"/>
          <w:b/>
        </w:rPr>
      </w:pPr>
      <w:r w:rsidRPr="00A25497">
        <w:rPr>
          <w:rFonts w:ascii="Book Antiqua" w:hAnsi="Book Antiqua"/>
          <w:b/>
        </w:rPr>
        <w:t xml:space="preserve">2.1 Materials </w:t>
      </w:r>
    </w:p>
    <w:p w14:paraId="33C6CD73" w14:textId="77777777" w:rsidR="00A25497" w:rsidRPr="00F24AD5" w:rsidRDefault="00A25497" w:rsidP="00A25497">
      <w:pPr>
        <w:jc w:val="both"/>
        <w:rPr>
          <w:rFonts w:ascii="Book Antiqua" w:hAnsi="Book Antiqua"/>
        </w:rPr>
      </w:pPr>
      <w:r w:rsidRPr="00F24AD5">
        <w:rPr>
          <w:rFonts w:ascii="Book Antiqua" w:hAnsi="Book Antiqua"/>
        </w:rPr>
        <w:t>The following materials were chosen to make the wooden foot below knee prosthesis appealing in appearance to children, light in weight, durable, low cost and to provide shock absorption. The materials chosen for the fabrication of the wooden foot are locally available in Ghana.</w:t>
      </w:r>
    </w:p>
    <w:p w14:paraId="6CC47BBB"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 xml:space="preserve">Mahogany Wood; it has even grain pattern, few voids, strength, durability and light weight. </w:t>
      </w:r>
      <w:r w:rsidRPr="00F24AD5">
        <w:rPr>
          <w:rFonts w:ascii="Book Antiqua" w:hAnsi="Book Antiqua"/>
        </w:rPr>
        <w:t>(Batefurniture.com/mahogany-furniture/, 2013)</w:t>
      </w:r>
    </w:p>
    <w:p w14:paraId="48CBB5A9"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Glue; to join the rubber toe to rest of the foot, forming the metatarsal joint.</w:t>
      </w:r>
    </w:p>
    <w:p w14:paraId="4A04F0A2"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Leather; to protect the wooden foot from soaking and it is easy to clean.</w:t>
      </w:r>
    </w:p>
    <w:p w14:paraId="3A904155"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 xml:space="preserve">Sole rubber; it is a thicker rubber used to make the sole of the foot </w:t>
      </w:r>
    </w:p>
    <w:p w14:paraId="4B27227C"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Rubber;  to make the cushion heel of the foot</w:t>
      </w:r>
    </w:p>
    <w:p w14:paraId="3762C943"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Acrylic paint; to paint the rubber toe to fit the colour of the leather</w:t>
      </w:r>
    </w:p>
    <w:p w14:paraId="63CFDD7D"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Fiber glass; to make the socket stronger.</w:t>
      </w:r>
    </w:p>
    <w:p w14:paraId="3870EF8F"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Plaster Of Paris bandage; to obtain the outline of the stump.</w:t>
      </w:r>
    </w:p>
    <w:p w14:paraId="5FA3110C" w14:textId="77777777" w:rsidR="00A25497" w:rsidRDefault="00A25497" w:rsidP="00A25497">
      <w:pPr>
        <w:numPr>
          <w:ilvl w:val="0"/>
          <w:numId w:val="21"/>
        </w:numPr>
        <w:jc w:val="both"/>
        <w:rPr>
          <w:rFonts w:ascii="Book Antiqua" w:hAnsi="Book Antiqua"/>
        </w:rPr>
      </w:pPr>
      <w:r w:rsidRPr="00F24AD5">
        <w:rPr>
          <w:rFonts w:ascii="Book Antiqua" w:hAnsi="Book Antiqua"/>
        </w:rPr>
        <w:t>Plaster Of Paris powder; to form the positive model of the stump.</w:t>
      </w:r>
    </w:p>
    <w:p w14:paraId="0DD1D9DF" w14:textId="77777777" w:rsidR="00326851" w:rsidRPr="00A25497" w:rsidRDefault="00A25497" w:rsidP="00A25497">
      <w:pPr>
        <w:numPr>
          <w:ilvl w:val="0"/>
          <w:numId w:val="21"/>
        </w:numPr>
        <w:jc w:val="both"/>
        <w:rPr>
          <w:rFonts w:ascii="Book Antiqua" w:hAnsi="Book Antiqua"/>
        </w:rPr>
      </w:pPr>
      <w:r w:rsidRPr="00A25497">
        <w:rPr>
          <w:rFonts w:ascii="Book Antiqua" w:hAnsi="Book Antiqua"/>
        </w:rPr>
        <w:t>Polyvinyl acetate rubber (P.V.A); to laminate the socket</w:t>
      </w:r>
    </w:p>
    <w:p w14:paraId="469FF1B0"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Cloth; it carries the picture of the cartoon character for the socket</w:t>
      </w:r>
    </w:p>
    <w:p w14:paraId="0107D731"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Water; to dissolve the Plaster of Paris when forming the positive mold</w:t>
      </w:r>
    </w:p>
    <w:p w14:paraId="24D715A5" w14:textId="77777777" w:rsidR="00A25497" w:rsidRPr="00F24AD5" w:rsidRDefault="00A25497" w:rsidP="00A25497">
      <w:pPr>
        <w:numPr>
          <w:ilvl w:val="0"/>
          <w:numId w:val="21"/>
        </w:numPr>
        <w:jc w:val="both"/>
        <w:rPr>
          <w:rFonts w:ascii="Book Antiqua" w:hAnsi="Book Antiqua"/>
        </w:rPr>
      </w:pPr>
      <w:r w:rsidRPr="00F24AD5">
        <w:rPr>
          <w:rFonts w:ascii="Book Antiqua" w:hAnsi="Book Antiqua"/>
        </w:rPr>
        <w:t>Polyester resin; it forms the laminated plastic socket when it hardens</w:t>
      </w:r>
    </w:p>
    <w:p w14:paraId="6A66202D" w14:textId="77777777" w:rsidR="00326851" w:rsidRPr="00A25497" w:rsidRDefault="00326851" w:rsidP="001B5875">
      <w:pPr>
        <w:jc w:val="both"/>
        <w:rPr>
          <w:rFonts w:ascii="Book Antiqua" w:hAnsi="Book Antiqua"/>
          <w:b/>
        </w:rPr>
      </w:pPr>
      <w:r w:rsidRPr="00A25497">
        <w:rPr>
          <w:rFonts w:ascii="Book Antiqua" w:hAnsi="Book Antiqua"/>
          <w:b/>
        </w:rPr>
        <w:t>2.</w:t>
      </w:r>
      <w:r w:rsidR="00A25497" w:rsidRPr="00A25497">
        <w:rPr>
          <w:rFonts w:ascii="Book Antiqua" w:hAnsi="Book Antiqua"/>
          <w:b/>
        </w:rPr>
        <w:t>2</w:t>
      </w:r>
      <w:r w:rsidR="00E146E4">
        <w:rPr>
          <w:rFonts w:ascii="Book Antiqua" w:hAnsi="Book Antiqua"/>
          <w:b/>
        </w:rPr>
        <w:t xml:space="preserve"> </w:t>
      </w:r>
      <w:r w:rsidR="00E146E4" w:rsidRPr="00E146E4">
        <w:rPr>
          <w:rFonts w:ascii="Book Antiqua" w:hAnsi="Book Antiqua"/>
          <w:b/>
          <w:sz w:val="26"/>
        </w:rPr>
        <w:t>Metho</w:t>
      </w:r>
      <w:r w:rsidRPr="00E146E4">
        <w:rPr>
          <w:rFonts w:ascii="Book Antiqua" w:hAnsi="Book Antiqua"/>
          <w:b/>
          <w:sz w:val="26"/>
        </w:rPr>
        <w:t>do</w:t>
      </w:r>
      <w:r w:rsidR="00E146E4" w:rsidRPr="00E146E4">
        <w:rPr>
          <w:rFonts w:ascii="Book Antiqua" w:hAnsi="Book Antiqua"/>
          <w:b/>
          <w:sz w:val="26"/>
        </w:rPr>
        <w:t>lo</w:t>
      </w:r>
      <w:r w:rsidRPr="00E146E4">
        <w:rPr>
          <w:rFonts w:ascii="Book Antiqua" w:hAnsi="Book Antiqua"/>
          <w:b/>
          <w:sz w:val="26"/>
        </w:rPr>
        <w:t>gy</w:t>
      </w:r>
      <w:r w:rsidRPr="00A25497">
        <w:rPr>
          <w:rFonts w:ascii="Book Antiqua" w:hAnsi="Book Antiqua"/>
          <w:b/>
        </w:rPr>
        <w:t xml:space="preserve"> </w:t>
      </w:r>
    </w:p>
    <w:p w14:paraId="6AED3D64" w14:textId="77777777" w:rsidR="000577A3" w:rsidRPr="00E3232D" w:rsidRDefault="000577A3" w:rsidP="001B5875">
      <w:pPr>
        <w:jc w:val="both"/>
        <w:rPr>
          <w:rFonts w:ascii="Book Antiqua" w:hAnsi="Book Antiqua"/>
        </w:rPr>
      </w:pPr>
      <w:r w:rsidRPr="00E3232D">
        <w:rPr>
          <w:rFonts w:ascii="Book Antiqua" w:hAnsi="Book Antiqua"/>
        </w:rPr>
        <w:t xml:space="preserve">The patient was made to feel welcome and comfortable by offering the patient a seat, and then we engaged her in a light </w:t>
      </w:r>
      <w:r w:rsidRPr="00E3232D">
        <w:rPr>
          <w:rFonts w:ascii="Book Antiqua" w:hAnsi="Book Antiqua"/>
        </w:rPr>
        <w:lastRenderedPageBreak/>
        <w:t xml:space="preserve">conversation while we obtained the measurement. The patient was amputated on the right leg, so we measured and traced the left foot on a white paper. The tracing and measurement was inverted on the mahogany wood to get the shape and size needed for the making of the left foot. The mahogany wood was acquired for the foot fabrication. The mahogany is a reddish-brown wood which is lighter in weight compared to the silicone material; it is also durable and easy to work with. </w:t>
      </w:r>
    </w:p>
    <w:p w14:paraId="2A592229" w14:textId="77777777" w:rsidR="000577A3" w:rsidRPr="00E3232D" w:rsidRDefault="000577A3" w:rsidP="001B5875">
      <w:pPr>
        <w:pStyle w:val="ListParagraph"/>
        <w:numPr>
          <w:ilvl w:val="0"/>
          <w:numId w:val="24"/>
        </w:numPr>
        <w:jc w:val="both"/>
        <w:rPr>
          <w:rFonts w:ascii="Book Antiqua" w:hAnsi="Book Antiqua"/>
        </w:rPr>
      </w:pPr>
      <w:r w:rsidRPr="00E3232D">
        <w:rPr>
          <w:rFonts w:ascii="Book Antiqua" w:hAnsi="Book Antiqua"/>
        </w:rPr>
        <w:t xml:space="preserve">The wood was carved to the shape and size obtained from the measurement of the patient’s left foot. </w:t>
      </w:r>
    </w:p>
    <w:p w14:paraId="38804A0C" w14:textId="77777777" w:rsidR="000577A3" w:rsidRPr="00E3232D" w:rsidRDefault="000577A3" w:rsidP="001B5875">
      <w:pPr>
        <w:pStyle w:val="ListParagraph"/>
        <w:numPr>
          <w:ilvl w:val="0"/>
          <w:numId w:val="24"/>
        </w:numPr>
        <w:jc w:val="both"/>
        <w:rPr>
          <w:rFonts w:ascii="Book Antiqua" w:hAnsi="Book Antiqua"/>
        </w:rPr>
      </w:pPr>
      <w:r w:rsidRPr="00E3232D">
        <w:rPr>
          <w:rFonts w:ascii="Book Antiqua" w:hAnsi="Book Antiqua"/>
        </w:rPr>
        <w:t>The toe was shaped to look like a real toe, with glue the toe was fitted to the foot at the metatarsal joint.</w:t>
      </w:r>
    </w:p>
    <w:p w14:paraId="2CA58F51" w14:textId="77777777" w:rsidR="000577A3" w:rsidRPr="00E3232D" w:rsidRDefault="000577A3" w:rsidP="001B5875">
      <w:pPr>
        <w:pStyle w:val="ListParagraph"/>
        <w:numPr>
          <w:ilvl w:val="0"/>
          <w:numId w:val="24"/>
        </w:numPr>
        <w:jc w:val="both"/>
        <w:rPr>
          <w:rFonts w:ascii="Book Antiqua" w:hAnsi="Book Antiqua"/>
        </w:rPr>
      </w:pPr>
      <w:r w:rsidRPr="00E3232D">
        <w:rPr>
          <w:rFonts w:ascii="Book Antiqua" w:hAnsi="Book Antiqua"/>
        </w:rPr>
        <w:t>The heel part of the wooden foot was carved out from SACH rubber, with glue the toe was fitted to the carved wood, the cushion heel was made for the purpose of shock absorption on heel contact.</w:t>
      </w:r>
    </w:p>
    <w:p w14:paraId="6677F1E9" w14:textId="77777777" w:rsidR="000577A3" w:rsidRPr="00E3232D" w:rsidRDefault="000577A3" w:rsidP="001B5875">
      <w:pPr>
        <w:pStyle w:val="ListParagraph"/>
        <w:numPr>
          <w:ilvl w:val="0"/>
          <w:numId w:val="24"/>
        </w:numPr>
        <w:jc w:val="both"/>
        <w:rPr>
          <w:rFonts w:ascii="Book Antiqua" w:hAnsi="Book Antiqua"/>
        </w:rPr>
      </w:pPr>
      <w:r w:rsidRPr="00E3232D">
        <w:rPr>
          <w:rFonts w:ascii="Book Antiqua" w:hAnsi="Book Antiqua"/>
        </w:rPr>
        <w:t xml:space="preserve">A negative mold of the stump was made by wrapping it with a wet plaster-of-Paris bandage; it was rubbed around the stump with the arm to make sure there is no space between the Plaster Of Paris bandage and the stump. </w:t>
      </w:r>
    </w:p>
    <w:p w14:paraId="22886F88" w14:textId="77777777" w:rsidR="000577A3" w:rsidRPr="00E3232D" w:rsidRDefault="000577A3" w:rsidP="001B5875">
      <w:pPr>
        <w:pStyle w:val="ListParagraph"/>
        <w:numPr>
          <w:ilvl w:val="0"/>
          <w:numId w:val="24"/>
        </w:numPr>
        <w:jc w:val="both"/>
        <w:rPr>
          <w:rFonts w:ascii="Book Antiqua" w:hAnsi="Book Antiqua"/>
        </w:rPr>
      </w:pPr>
      <w:r w:rsidRPr="00E3232D">
        <w:rPr>
          <w:rFonts w:ascii="Book Antiqua" w:hAnsi="Book Antiqua"/>
        </w:rPr>
        <w:t>A positive model of the stump was made by filling the cast with a mixture of plaster of Paris powder and water.</w:t>
      </w:r>
    </w:p>
    <w:p w14:paraId="672B7FDB" w14:textId="77777777" w:rsidR="000577A3" w:rsidRPr="00E3232D" w:rsidRDefault="000577A3" w:rsidP="001B5875">
      <w:pPr>
        <w:pStyle w:val="ListParagraph"/>
        <w:numPr>
          <w:ilvl w:val="0"/>
          <w:numId w:val="24"/>
        </w:numPr>
        <w:jc w:val="both"/>
        <w:rPr>
          <w:rFonts w:ascii="Book Antiqua" w:hAnsi="Book Antiqua"/>
        </w:rPr>
      </w:pPr>
      <w:r w:rsidRPr="00E3232D">
        <w:rPr>
          <w:rFonts w:ascii="Book Antiqua" w:hAnsi="Book Antiqua"/>
        </w:rPr>
        <w:t xml:space="preserve"> After the cast has solidified,</w:t>
      </w:r>
      <w:r w:rsidRPr="00E3232D">
        <w:rPr>
          <w:rFonts w:ascii="Book Antiqua" w:eastAsia="+mn-ea" w:hAnsi="Book Antiqua"/>
          <w:kern w:val="24"/>
          <w:lang w:eastAsia="en-GB"/>
        </w:rPr>
        <w:t xml:space="preserve"> </w:t>
      </w:r>
      <w:r w:rsidRPr="00E3232D">
        <w:rPr>
          <w:rFonts w:ascii="Book Antiqua" w:hAnsi="Book Antiqua"/>
        </w:rPr>
        <w:t xml:space="preserve">modifications were made to the model to make sure that the pressures points were marked correctly. </w:t>
      </w:r>
    </w:p>
    <w:p w14:paraId="0AD4F165" w14:textId="77777777" w:rsidR="000577A3" w:rsidRPr="00E3232D" w:rsidRDefault="000577A3" w:rsidP="001B5875">
      <w:pPr>
        <w:pStyle w:val="ListParagraph"/>
        <w:numPr>
          <w:ilvl w:val="0"/>
          <w:numId w:val="24"/>
        </w:numPr>
        <w:jc w:val="both"/>
        <w:rPr>
          <w:rFonts w:ascii="Book Antiqua" w:hAnsi="Book Antiqua"/>
        </w:rPr>
      </w:pPr>
      <w:r w:rsidRPr="00E3232D">
        <w:rPr>
          <w:rFonts w:ascii="Book Antiqua" w:hAnsi="Book Antiqua"/>
        </w:rPr>
        <w:t xml:space="preserve">The fiber glass, cloth and PVA rubber were wrapped around the positive model then a mixture of plastic resin and hardener was poured between the PVA rubber and cloth After the plastic resin hardens, a laminated picture of the cartoon characters was obtained as shown in Fig 2.2  </w:t>
      </w:r>
    </w:p>
    <w:p w14:paraId="263D5455" w14:textId="77777777" w:rsidR="000577A3" w:rsidRPr="00E3232D" w:rsidRDefault="000577A3" w:rsidP="001B5875">
      <w:pPr>
        <w:pStyle w:val="ListParagraph"/>
        <w:numPr>
          <w:ilvl w:val="0"/>
          <w:numId w:val="24"/>
        </w:numPr>
        <w:jc w:val="both"/>
        <w:rPr>
          <w:rFonts w:ascii="Book Antiqua" w:hAnsi="Book Antiqua"/>
        </w:rPr>
      </w:pPr>
      <w:r w:rsidRPr="00E3232D">
        <w:rPr>
          <w:rFonts w:ascii="Book Antiqua" w:hAnsi="Book Antiqua"/>
        </w:rPr>
        <w:t>The adjustable pylon was fitted into the foot at one end and at the other end it was attached to the socket by means of screws. The pylon has a nut and screw for the adjustment in different holes.</w:t>
      </w:r>
    </w:p>
    <w:p w14:paraId="19D913E7" w14:textId="77777777" w:rsidR="0027501E" w:rsidRPr="007F07C0" w:rsidRDefault="000577A3" w:rsidP="0027501E">
      <w:pPr>
        <w:pStyle w:val="ListParagraph"/>
        <w:numPr>
          <w:ilvl w:val="0"/>
          <w:numId w:val="24"/>
        </w:numPr>
        <w:jc w:val="both"/>
        <w:rPr>
          <w:rFonts w:ascii="Book Antiqua" w:hAnsi="Book Antiqua"/>
        </w:rPr>
      </w:pPr>
      <w:r w:rsidRPr="00233167">
        <w:rPr>
          <w:rFonts w:ascii="Book Antiqua" w:hAnsi="Book Antiqua"/>
        </w:rPr>
        <w:t xml:space="preserve">The stability of the prosthesis was checked using the bench alignment before conducting walking trials  </w:t>
      </w:r>
    </w:p>
    <w:p w14:paraId="37DD4249" w14:textId="77777777" w:rsidR="0027501E" w:rsidRDefault="007F07C0" w:rsidP="0027501E">
      <w:pPr>
        <w:jc w:val="both"/>
        <w:rPr>
          <w:rFonts w:ascii="Book Antiqua" w:hAnsi="Book Antiqua"/>
        </w:rPr>
      </w:pPr>
      <w:r w:rsidRPr="007F07C0">
        <w:rPr>
          <w:rFonts w:ascii="Book Antiqua" w:hAnsi="Book Antiqua"/>
          <w:noProof/>
          <w:lang w:bidi="ar-SA"/>
        </w:rPr>
        <w:drawing>
          <wp:inline distT="0" distB="0" distL="0" distR="0" wp14:anchorId="371BE064" wp14:editId="437C22FC">
            <wp:extent cx="2640965" cy="2284709"/>
            <wp:effectExtent l="19050" t="0" r="6985" b="0"/>
            <wp:docPr id="40" name="Picture 2" descr="the nagative mold of the st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nagative mold of the stump.jpg"/>
                    <pic:cNvPicPr>
                      <a:picLocks noChangeAspect="1" noChangeArrowheads="1"/>
                    </pic:cNvPicPr>
                  </pic:nvPicPr>
                  <pic:blipFill>
                    <a:blip r:embed="rId45" cstate="print"/>
                    <a:srcRect/>
                    <a:stretch>
                      <a:fillRect/>
                    </a:stretch>
                  </pic:blipFill>
                  <pic:spPr bwMode="auto">
                    <a:xfrm>
                      <a:off x="0" y="0"/>
                      <a:ext cx="2640965" cy="2284709"/>
                    </a:xfrm>
                    <a:prstGeom prst="rect">
                      <a:avLst/>
                    </a:prstGeom>
                    <a:noFill/>
                    <a:ln w="9525">
                      <a:noFill/>
                      <a:miter lim="800000"/>
                      <a:headEnd/>
                      <a:tailEnd/>
                    </a:ln>
                  </pic:spPr>
                </pic:pic>
              </a:graphicData>
            </a:graphic>
          </wp:inline>
        </w:drawing>
      </w:r>
    </w:p>
    <w:p w14:paraId="3E44BB4B" w14:textId="77777777" w:rsidR="007F07C0" w:rsidRPr="00E3232D" w:rsidRDefault="000577A3" w:rsidP="007F07C0">
      <w:pPr>
        <w:pStyle w:val="Caption"/>
        <w:spacing w:line="276" w:lineRule="auto"/>
        <w:rPr>
          <w:rFonts w:ascii="Book Antiqua" w:hAnsi="Book Antiqua"/>
          <w:sz w:val="22"/>
          <w:szCs w:val="22"/>
        </w:rPr>
      </w:pPr>
      <w:r w:rsidRPr="0027501E">
        <w:rPr>
          <w:rFonts w:ascii="Book Antiqua" w:hAnsi="Book Antiqua"/>
        </w:rPr>
        <w:t xml:space="preserve">  </w:t>
      </w:r>
      <w:r w:rsidR="007F07C0" w:rsidRPr="00E3232D">
        <w:rPr>
          <w:rFonts w:ascii="Book Antiqua" w:hAnsi="Book Antiqua"/>
          <w:sz w:val="22"/>
          <w:szCs w:val="22"/>
        </w:rPr>
        <w:t>Fig 2.0 marking of pressure points</w:t>
      </w:r>
    </w:p>
    <w:p w14:paraId="6DD1FEBD" w14:textId="77777777" w:rsidR="000577A3" w:rsidRPr="0027501E" w:rsidRDefault="000577A3" w:rsidP="0027501E">
      <w:pPr>
        <w:jc w:val="both"/>
        <w:rPr>
          <w:rFonts w:ascii="Book Antiqua" w:hAnsi="Book Antiqua"/>
        </w:rPr>
      </w:pPr>
      <w:r w:rsidRPr="0027501E">
        <w:rPr>
          <w:rFonts w:ascii="Book Antiqua" w:hAnsi="Book Antiqua"/>
        </w:rPr>
        <w:t xml:space="preserve">                                                                                                   </w:t>
      </w:r>
      <w:r w:rsidRPr="0027501E">
        <w:rPr>
          <w:rFonts w:ascii="Book Antiqua" w:hAnsi="Book Antiqua"/>
        </w:rPr>
        <w:br w:type="page"/>
      </w:r>
    </w:p>
    <w:p w14:paraId="2C269857" w14:textId="77777777" w:rsidR="000577A3" w:rsidRPr="00E3232D" w:rsidRDefault="007F07C0" w:rsidP="008275E1">
      <w:pPr>
        <w:pStyle w:val="Caption"/>
        <w:keepNext/>
        <w:spacing w:line="276" w:lineRule="auto"/>
        <w:rPr>
          <w:rFonts w:ascii="Book Antiqua" w:hAnsi="Book Antiqua"/>
          <w:sz w:val="22"/>
          <w:szCs w:val="22"/>
        </w:rPr>
      </w:pPr>
      <w:r>
        <w:rPr>
          <w:rFonts w:ascii="Book Antiqua" w:hAnsi="Book Antiqua"/>
          <w:noProof/>
          <w:lang w:eastAsia="en-US" w:bidi="ar-SA"/>
        </w:rPr>
        <w:lastRenderedPageBreak/>
        <w:drawing>
          <wp:inline distT="0" distB="0" distL="0" distR="0" wp14:anchorId="0C570267" wp14:editId="0103EFA1">
            <wp:extent cx="2562225" cy="3152775"/>
            <wp:effectExtent l="19050" t="0" r="9525" b="0"/>
            <wp:docPr id="41" name="Picture 7" descr="positive of st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itive of stump.JPG"/>
                    <pic:cNvPicPr>
                      <a:picLocks noChangeAspect="1" noChangeArrowheads="1"/>
                    </pic:cNvPicPr>
                  </pic:nvPicPr>
                  <pic:blipFill>
                    <a:blip r:embed="rId46" cstate="print"/>
                    <a:srcRect/>
                    <a:stretch>
                      <a:fillRect/>
                    </a:stretch>
                  </pic:blipFill>
                  <pic:spPr bwMode="auto">
                    <a:xfrm>
                      <a:off x="0" y="0"/>
                      <a:ext cx="2562225" cy="3152775"/>
                    </a:xfrm>
                    <a:prstGeom prst="rect">
                      <a:avLst/>
                    </a:prstGeom>
                    <a:noFill/>
                    <a:ln w="9525">
                      <a:noFill/>
                      <a:miter lim="800000"/>
                      <a:headEnd/>
                      <a:tailEnd/>
                    </a:ln>
                  </pic:spPr>
                </pic:pic>
              </a:graphicData>
            </a:graphic>
          </wp:inline>
        </w:drawing>
      </w:r>
    </w:p>
    <w:p w14:paraId="5FAF08DC" w14:textId="77777777" w:rsidR="000577A3" w:rsidRPr="00E3232D" w:rsidRDefault="000577A3" w:rsidP="008275E1">
      <w:pPr>
        <w:pStyle w:val="Caption"/>
        <w:spacing w:line="276" w:lineRule="auto"/>
        <w:rPr>
          <w:rFonts w:ascii="Book Antiqua" w:hAnsi="Book Antiqua"/>
          <w:sz w:val="22"/>
          <w:szCs w:val="22"/>
        </w:rPr>
      </w:pPr>
      <w:r w:rsidRPr="00E3232D">
        <w:rPr>
          <w:rFonts w:ascii="Book Antiqua" w:hAnsi="Book Antiqua"/>
          <w:sz w:val="22"/>
          <w:szCs w:val="22"/>
        </w:rPr>
        <w:t xml:space="preserve">Fig 2.1Positive of stump                                           </w:t>
      </w:r>
    </w:p>
    <w:p w14:paraId="58F3D628" w14:textId="77777777" w:rsidR="000577A3" w:rsidRPr="00E3232D" w:rsidRDefault="000577A3" w:rsidP="008275E1">
      <w:pPr>
        <w:keepNext/>
        <w:rPr>
          <w:rFonts w:ascii="Book Antiqua" w:hAnsi="Book Antiqua"/>
        </w:rPr>
      </w:pPr>
      <w:r w:rsidRPr="00E3232D">
        <w:rPr>
          <w:rFonts w:ascii="Book Antiqua" w:hAnsi="Book Antiqua"/>
        </w:rPr>
        <w:t xml:space="preserve"> </w:t>
      </w:r>
      <w:r w:rsidR="00843572">
        <w:rPr>
          <w:rFonts w:ascii="Book Antiqua" w:hAnsi="Book Antiqua"/>
          <w:noProof/>
          <w:lang w:bidi="ar-SA"/>
        </w:rPr>
        <w:drawing>
          <wp:inline distT="0" distB="0" distL="0" distR="0" wp14:anchorId="0F0CAE89" wp14:editId="74907657">
            <wp:extent cx="2634738" cy="2105025"/>
            <wp:effectExtent l="1905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a:stretch>
                      <a:fillRect/>
                    </a:stretch>
                  </pic:blipFill>
                  <pic:spPr bwMode="auto">
                    <a:xfrm>
                      <a:off x="0" y="0"/>
                      <a:ext cx="2634738" cy="2105025"/>
                    </a:xfrm>
                    <a:prstGeom prst="rect">
                      <a:avLst/>
                    </a:prstGeom>
                    <a:noFill/>
                    <a:ln w="9525">
                      <a:noFill/>
                      <a:miter lim="800000"/>
                      <a:headEnd/>
                      <a:tailEnd/>
                    </a:ln>
                  </pic:spPr>
                </pic:pic>
              </a:graphicData>
            </a:graphic>
          </wp:inline>
        </w:drawing>
      </w:r>
    </w:p>
    <w:p w14:paraId="1D6BAE80" w14:textId="77777777" w:rsidR="000577A3" w:rsidRPr="00E3232D" w:rsidRDefault="000577A3" w:rsidP="008275E1">
      <w:pPr>
        <w:keepNext/>
        <w:rPr>
          <w:rFonts w:ascii="Book Antiqua" w:hAnsi="Book Antiqua"/>
        </w:rPr>
      </w:pPr>
    </w:p>
    <w:p w14:paraId="4712228A" w14:textId="77777777" w:rsidR="000577A3" w:rsidRPr="00E3232D" w:rsidRDefault="000577A3" w:rsidP="008275E1">
      <w:pPr>
        <w:pStyle w:val="Caption"/>
        <w:spacing w:line="276" w:lineRule="auto"/>
        <w:rPr>
          <w:rFonts w:ascii="Book Antiqua" w:hAnsi="Book Antiqua"/>
          <w:sz w:val="22"/>
          <w:szCs w:val="22"/>
        </w:rPr>
      </w:pPr>
      <w:r w:rsidRPr="00E3232D">
        <w:rPr>
          <w:rFonts w:ascii="Book Antiqua" w:hAnsi="Book Antiqua"/>
          <w:sz w:val="22"/>
          <w:szCs w:val="22"/>
        </w:rPr>
        <w:t>Fig 2.2 the socket</w:t>
      </w:r>
    </w:p>
    <w:p w14:paraId="1DC3F142" w14:textId="77777777" w:rsidR="000577A3" w:rsidRPr="00E3232D" w:rsidRDefault="000577A3" w:rsidP="008275E1">
      <w:pPr>
        <w:rPr>
          <w:rFonts w:ascii="Book Antiqua" w:hAnsi="Book Antiqua"/>
        </w:rPr>
      </w:pPr>
    </w:p>
    <w:p w14:paraId="010B44C0" w14:textId="77777777" w:rsidR="000577A3" w:rsidRPr="00E3232D" w:rsidRDefault="007005B1" w:rsidP="008275E1">
      <w:pPr>
        <w:keepNext/>
        <w:rPr>
          <w:rFonts w:ascii="Book Antiqua" w:hAnsi="Book Antiqua"/>
        </w:rPr>
      </w:pPr>
      <w:r>
        <w:rPr>
          <w:rFonts w:ascii="Book Antiqua" w:hAnsi="Book Antiqua"/>
          <w:noProof/>
          <w:lang w:bidi="ar-SA"/>
        </w:rPr>
        <w:drawing>
          <wp:inline distT="0" distB="0" distL="0" distR="0" wp14:anchorId="6518D244" wp14:editId="04475718">
            <wp:extent cx="3295650" cy="3171825"/>
            <wp:effectExtent l="19050" t="0" r="0" b="0"/>
            <wp:docPr id="13" name="Picture 9" descr="foot measur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ot measurement.jpg"/>
                    <pic:cNvPicPr>
                      <a:picLocks noChangeAspect="1" noChangeArrowheads="1"/>
                    </pic:cNvPicPr>
                  </pic:nvPicPr>
                  <pic:blipFill>
                    <a:blip r:embed="rId48"/>
                    <a:srcRect/>
                    <a:stretch>
                      <a:fillRect/>
                    </a:stretch>
                  </pic:blipFill>
                  <pic:spPr bwMode="auto">
                    <a:xfrm>
                      <a:off x="0" y="0"/>
                      <a:ext cx="3295650" cy="3171825"/>
                    </a:xfrm>
                    <a:prstGeom prst="rect">
                      <a:avLst/>
                    </a:prstGeom>
                    <a:noFill/>
                    <a:ln w="9525">
                      <a:noFill/>
                      <a:miter lim="800000"/>
                      <a:headEnd/>
                      <a:tailEnd/>
                    </a:ln>
                  </pic:spPr>
                </pic:pic>
              </a:graphicData>
            </a:graphic>
          </wp:inline>
        </w:drawing>
      </w:r>
    </w:p>
    <w:p w14:paraId="28593013" w14:textId="77777777" w:rsidR="000577A3" w:rsidRPr="00E3232D" w:rsidRDefault="000577A3" w:rsidP="008275E1">
      <w:pPr>
        <w:pStyle w:val="Caption"/>
        <w:spacing w:line="276" w:lineRule="auto"/>
        <w:rPr>
          <w:rFonts w:ascii="Book Antiqua" w:hAnsi="Book Antiqua"/>
          <w:sz w:val="22"/>
          <w:szCs w:val="22"/>
        </w:rPr>
      </w:pPr>
      <w:r w:rsidRPr="00E3232D">
        <w:rPr>
          <w:rFonts w:ascii="Book Antiqua" w:hAnsi="Book Antiqua"/>
          <w:sz w:val="22"/>
          <w:szCs w:val="22"/>
        </w:rPr>
        <w:t>Fig 2.3 Measuring of the Left foot</w:t>
      </w:r>
    </w:p>
    <w:p w14:paraId="009616D5" w14:textId="77777777" w:rsidR="000577A3" w:rsidRPr="00E3232D" w:rsidRDefault="007F07C0" w:rsidP="008275E1">
      <w:pPr>
        <w:pStyle w:val="Caption"/>
        <w:spacing w:line="276" w:lineRule="auto"/>
        <w:rPr>
          <w:rFonts w:ascii="Book Antiqua" w:hAnsi="Book Antiqua"/>
          <w:sz w:val="22"/>
          <w:szCs w:val="22"/>
        </w:rPr>
      </w:pPr>
      <w:r w:rsidRPr="007F07C0">
        <w:rPr>
          <w:rFonts w:ascii="Book Antiqua" w:hAnsi="Book Antiqua"/>
          <w:noProof/>
          <w:sz w:val="22"/>
          <w:szCs w:val="22"/>
          <w:lang w:eastAsia="en-US" w:bidi="ar-SA"/>
        </w:rPr>
        <w:drawing>
          <wp:inline distT="0" distB="0" distL="0" distR="0" wp14:anchorId="3FE4E5C5" wp14:editId="4B4F9D4B">
            <wp:extent cx="2640965" cy="2535326"/>
            <wp:effectExtent l="19050" t="0" r="6985" b="0"/>
            <wp:docPr id="57" name="Picture 15" descr="the 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foot.JPG"/>
                    <pic:cNvPicPr>
                      <a:picLocks noChangeAspect="1" noChangeArrowheads="1"/>
                    </pic:cNvPicPr>
                  </pic:nvPicPr>
                  <pic:blipFill>
                    <a:blip r:embed="rId49" cstate="print"/>
                    <a:srcRect/>
                    <a:stretch>
                      <a:fillRect/>
                    </a:stretch>
                  </pic:blipFill>
                  <pic:spPr bwMode="auto">
                    <a:xfrm>
                      <a:off x="0" y="0"/>
                      <a:ext cx="2640965" cy="2535326"/>
                    </a:xfrm>
                    <a:prstGeom prst="rect">
                      <a:avLst/>
                    </a:prstGeom>
                    <a:noFill/>
                    <a:ln w="9525">
                      <a:noFill/>
                      <a:miter lim="800000"/>
                      <a:headEnd/>
                      <a:tailEnd/>
                    </a:ln>
                  </pic:spPr>
                </pic:pic>
              </a:graphicData>
            </a:graphic>
          </wp:inline>
        </w:drawing>
      </w:r>
    </w:p>
    <w:p w14:paraId="18F6A4C3" w14:textId="77777777" w:rsidR="007F07C0" w:rsidRPr="00E3232D" w:rsidRDefault="007F07C0" w:rsidP="007F07C0">
      <w:pPr>
        <w:pStyle w:val="Caption"/>
        <w:spacing w:line="276" w:lineRule="auto"/>
        <w:rPr>
          <w:rFonts w:ascii="Book Antiqua" w:hAnsi="Book Antiqua"/>
          <w:sz w:val="22"/>
          <w:szCs w:val="22"/>
        </w:rPr>
      </w:pPr>
      <w:r w:rsidRPr="00E3232D">
        <w:rPr>
          <w:rFonts w:ascii="Book Antiqua" w:hAnsi="Book Antiqua"/>
          <w:sz w:val="22"/>
          <w:szCs w:val="22"/>
        </w:rPr>
        <w:t>Fig 2.4 the SACH Foot</w:t>
      </w:r>
    </w:p>
    <w:p w14:paraId="491B9196" w14:textId="77777777" w:rsidR="000577A3" w:rsidRPr="00E3232D" w:rsidRDefault="000577A3" w:rsidP="008275E1">
      <w:pPr>
        <w:rPr>
          <w:rFonts w:ascii="Book Antiqua" w:hAnsi="Book Antiqua"/>
        </w:rPr>
      </w:pPr>
      <w:r w:rsidRPr="00E3232D">
        <w:rPr>
          <w:rFonts w:ascii="Book Antiqua" w:hAnsi="Book Antiqua"/>
        </w:rPr>
        <w:br w:type="page"/>
      </w:r>
    </w:p>
    <w:p w14:paraId="41AD12CA" w14:textId="77777777" w:rsidR="000577A3" w:rsidRPr="00E3232D" w:rsidRDefault="00850DC5" w:rsidP="008275E1">
      <w:pPr>
        <w:keepNext/>
        <w:rPr>
          <w:rFonts w:ascii="Book Antiqua" w:hAnsi="Book Antiqua"/>
        </w:rPr>
      </w:pPr>
      <w:r>
        <w:rPr>
          <w:rFonts w:ascii="Book Antiqua" w:hAnsi="Book Antiqua"/>
        </w:rPr>
      </w:r>
      <w:r>
        <w:rPr>
          <w:rFonts w:ascii="Book Antiqua" w:hAnsi="Book Antiqua"/>
        </w:rPr>
        <w:pict w14:anchorId="11D0DBBA">
          <v:group id="_x0000_s2006" editas="canvas" style="width:482.45pt;height:629pt;mso-position-horizontal-relative:char;mso-position-vertical-relative:line" coordsize="9649,1258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07" type="#_x0000_t75" style="position:absolute;width:9649;height:12580" o:preferrelative="f">
              <v:fill o:detectmouseclick="t"/>
              <v:path o:extrusionok="t" o:connecttype="none"/>
              <o:lock v:ext="edit" text="t"/>
            </v:shape>
            <v:group id="_x0000_s2008" style="position:absolute;left:2974;top:943;width:3714;height:656" coordorigin="2974,943" coordsize="3714,656">
              <v:rect id="_x0000_s2009" style="position:absolute;left:2974;top:943;width:3714;height:656" stroked="f"/>
              <v:rect id="_x0000_s2010" style="position:absolute;left:2974;top:943;width:3714;height:656" filled="f" strokeweight="39e-5mm">
                <v:stroke endcap="round"/>
              </v:rect>
            </v:group>
            <v:group id="_x0000_s2011" style="position:absolute;top:2290;width:3617;height:778" coordorigin=",2290" coordsize="3617,778">
              <v:rect id="_x0000_s2012" style="position:absolute;top:2290;width:3617;height:778" stroked="f"/>
              <v:rect id="_x0000_s2013" style="position:absolute;top:2290;width:3617;height:778" filled="f" strokeweight="39e-5mm">
                <v:stroke endcap="round"/>
              </v:rect>
            </v:group>
            <v:rect id="_x0000_s2014" style="position:absolute;left:621;top:2369;width:50;height:509;mso-wrap-style:none" filled="f" stroked="f">
              <v:textbox style="mso-next-textbox:#_x0000_s2014;mso-fit-shape-to-text:t" inset="0,0,0,0">
                <w:txbxContent>
                  <w:p w14:paraId="2527734A" w14:textId="77777777" w:rsidR="00E2396E" w:rsidRDefault="00E2396E" w:rsidP="007F07C0">
                    <w:r>
                      <w:rPr>
                        <w:rFonts w:cs="Calibri"/>
                        <w:color w:val="000000"/>
                      </w:rPr>
                      <w:t xml:space="preserve">  </w:t>
                    </w:r>
                  </w:p>
                </w:txbxContent>
              </v:textbox>
            </v:rect>
            <v:rect id="_x0000_s2015" style="position:absolute;left:718;top:2383;width:758;height:491;mso-wrap-style:none" filled="f" stroked="f">
              <v:textbox style="mso-next-textbox:#_x0000_s2015;mso-fit-shape-to-text:t" inset="0,0,0,0">
                <w:txbxContent>
                  <w:p w14:paraId="13C38649" w14:textId="77777777" w:rsidR="00E2396E" w:rsidRDefault="00E2396E" w:rsidP="007F07C0">
                    <w:r>
                      <w:rPr>
                        <w:rFonts w:ascii="Times New Roman" w:hAnsi="Times New Roman"/>
                        <w:color w:val="000000"/>
                      </w:rPr>
                      <w:t>Marking</w:t>
                    </w:r>
                  </w:p>
                </w:txbxContent>
              </v:textbox>
            </v:rect>
            <v:rect id="_x0000_s2016" style="position:absolute;left:1470;top:2383;width:56;height:509;mso-wrap-style:none" filled="f" stroked="f">
              <v:textbox style="mso-next-textbox:#_x0000_s2016;mso-fit-shape-to-text:t" inset="0,0,0,0">
                <w:txbxContent>
                  <w:p w14:paraId="5036553C" w14:textId="77777777" w:rsidR="00E2396E" w:rsidRDefault="00E2396E" w:rsidP="007F07C0">
                    <w:r>
                      <w:rPr>
                        <w:rFonts w:ascii="Times New Roman" w:hAnsi="Times New Roman"/>
                        <w:color w:val="000000"/>
                      </w:rPr>
                      <w:t xml:space="preserve"> </w:t>
                    </w:r>
                  </w:p>
                </w:txbxContent>
              </v:textbox>
            </v:rect>
            <v:rect id="_x0000_s2017" style="position:absolute;left:1527;top:2383;width:1082;height:491;mso-wrap-style:none" filled="f" stroked="f">
              <v:textbox style="mso-next-textbox:#_x0000_s2017;mso-fit-shape-to-text:t" inset="0,0,0,0">
                <w:txbxContent>
                  <w:p w14:paraId="3467BFDE" w14:textId="77777777" w:rsidR="00E2396E" w:rsidRDefault="00E2396E" w:rsidP="007F07C0">
                    <w:r>
                      <w:rPr>
                        <w:rFonts w:ascii="Times New Roman" w:hAnsi="Times New Roman"/>
                        <w:color w:val="000000"/>
                      </w:rPr>
                      <w:t xml:space="preserve">  of pressure</w:t>
                    </w:r>
                  </w:p>
                </w:txbxContent>
              </v:textbox>
            </v:rect>
            <v:rect id="_x0000_s2018" style="position:absolute;left:2490;top:2383;width:56;height:509;mso-wrap-style:none" filled="f" stroked="f">
              <v:textbox style="mso-next-textbox:#_x0000_s2018;mso-fit-shape-to-text:t" inset="0,0,0,0">
                <w:txbxContent>
                  <w:p w14:paraId="1108F2E1" w14:textId="77777777" w:rsidR="00E2396E" w:rsidRDefault="00E2396E" w:rsidP="007F07C0">
                    <w:r>
                      <w:rPr>
                        <w:rFonts w:ascii="Times New Roman" w:hAnsi="Times New Roman"/>
                        <w:color w:val="000000"/>
                      </w:rPr>
                      <w:t xml:space="preserve"> </w:t>
                    </w:r>
                  </w:p>
                </w:txbxContent>
              </v:textbox>
            </v:rect>
            <v:rect id="_x0000_s2019" style="position:absolute;left:2647;top:2383;width:713;height:491" filled="f" stroked="f">
              <v:textbox style="mso-next-textbox:#_x0000_s2019;mso-fit-shape-to-text:t" inset="0,0,0,0">
                <w:txbxContent>
                  <w:p w14:paraId="69331D40" w14:textId="77777777" w:rsidR="00E2396E" w:rsidRDefault="00E2396E" w:rsidP="007F07C0">
                    <w:r>
                      <w:rPr>
                        <w:rFonts w:ascii="Times New Roman" w:hAnsi="Times New Roman"/>
                        <w:color w:val="000000"/>
                      </w:rPr>
                      <w:t xml:space="preserve">  point</w:t>
                    </w:r>
                  </w:p>
                </w:txbxContent>
              </v:textbox>
            </v:rect>
            <v:rect id="_x0000_s2020" style="position:absolute;left:2997;top:2383;width:56;height:509;mso-wrap-style:none" filled="f" stroked="f">
              <v:textbox style="mso-next-textbox:#_x0000_s2020;mso-fit-shape-to-text:t" inset="0,0,0,0">
                <w:txbxContent>
                  <w:p w14:paraId="448FDC17" w14:textId="77777777" w:rsidR="00E2396E" w:rsidRDefault="00E2396E" w:rsidP="007F07C0">
                    <w:r>
                      <w:rPr>
                        <w:rFonts w:ascii="Times New Roman" w:hAnsi="Times New Roman"/>
                        <w:color w:val="000000"/>
                      </w:rPr>
                      <w:t xml:space="preserve"> </w:t>
                    </w:r>
                  </w:p>
                </w:txbxContent>
              </v:textbox>
            </v:rect>
            <v:rect id="_x0000_s2021" style="position:absolute;left:923;top:38;width:56;height:509;mso-wrap-style:none" filled="f" stroked="f">
              <v:textbox style="mso-next-textbox:#_x0000_s2021;mso-fit-shape-to-text:t" inset="0,0,0,0">
                <w:txbxContent>
                  <w:p w14:paraId="08DE70E4" w14:textId="77777777" w:rsidR="00E2396E" w:rsidRDefault="00E2396E" w:rsidP="007F07C0">
                    <w:r>
                      <w:rPr>
                        <w:rFonts w:ascii="Times New Roman" w:hAnsi="Times New Roman"/>
                        <w:color w:val="000000"/>
                      </w:rPr>
                      <w:t xml:space="preserve"> </w:t>
                    </w:r>
                  </w:p>
                </w:txbxContent>
              </v:textbox>
            </v:rect>
            <v:rect id="_x0000_s2022" style="position:absolute;left:2402;top:38;width:56;height:509;mso-wrap-style:none" filled="f" stroked="f">
              <v:textbox style="mso-next-textbox:#_x0000_s2022;mso-fit-shape-to-text:t" inset="0,0,0,0">
                <w:txbxContent>
                  <w:p w14:paraId="32547662" w14:textId="77777777" w:rsidR="00E2396E" w:rsidRDefault="00E2396E" w:rsidP="007F07C0">
                    <w:r>
                      <w:rPr>
                        <w:rFonts w:ascii="Times New Roman" w:hAnsi="Times New Roman"/>
                        <w:color w:val="000000"/>
                      </w:rPr>
                      <w:t xml:space="preserve"> </w:t>
                    </w:r>
                  </w:p>
                </w:txbxContent>
              </v:textbox>
            </v:rect>
            <v:rect id="_x0000_s2023" style="position:absolute;left:2892;top:5;width:4159;height:888;mso-wrap-style:none" filled="f" stroked="f">
              <v:textbox style="mso-next-textbox:#_x0000_s2023;mso-fit-shape-to-text:t" inset="0,0,0,0">
                <w:txbxContent>
                  <w:p w14:paraId="743967D7" w14:textId="77777777" w:rsidR="00E2396E" w:rsidRPr="00221285" w:rsidRDefault="00E2396E" w:rsidP="007F07C0">
                    <w:r w:rsidRPr="00221285">
                      <w:rPr>
                        <w:rFonts w:ascii="Times New Roman" w:hAnsi="Times New Roman"/>
                        <w:b/>
                        <w:bCs/>
                        <w:color w:val="000000"/>
                        <w:sz w:val="26"/>
                        <w:szCs w:val="28"/>
                      </w:rPr>
                      <w:t>SUMMARY OF THE METHODOLOGY</w:t>
                    </w:r>
                  </w:p>
                </w:txbxContent>
              </v:textbox>
            </v:rect>
            <v:rect id="_x0000_s2024" style="position:absolute;left:7451;top:5;width:71;height:509;mso-wrap-style:none" filled="f" stroked="f">
              <v:textbox style="mso-next-textbox:#_x0000_s2024;mso-fit-shape-to-text:t" inset="0,0,0,0">
                <w:txbxContent>
                  <w:p w14:paraId="2A99EEF7" w14:textId="77777777" w:rsidR="00E2396E" w:rsidRDefault="00E2396E" w:rsidP="007F07C0">
                    <w:r>
                      <w:rPr>
                        <w:rFonts w:ascii="Times New Roman" w:hAnsi="Times New Roman"/>
                        <w:b/>
                        <w:bCs/>
                        <w:color w:val="000000"/>
                        <w:sz w:val="28"/>
                        <w:szCs w:val="28"/>
                      </w:rPr>
                      <w:t xml:space="preserve"> </w:t>
                    </w:r>
                  </w:p>
                </w:txbxContent>
              </v:textbox>
            </v:rect>
            <v:rect id="_x0000_s2025" style="position:absolute;left:5036;top:564;width:56;height:509;mso-wrap-style:none" filled="f" stroked="f">
              <v:textbox style="mso-next-textbox:#_x0000_s2025;mso-fit-shape-to-text:t" inset="0,0,0,0">
                <w:txbxContent>
                  <w:p w14:paraId="0CF8F5B5" w14:textId="77777777" w:rsidR="00E2396E" w:rsidRDefault="00E2396E" w:rsidP="007F07C0">
                    <w:r>
                      <w:rPr>
                        <w:rFonts w:ascii="Times New Roman" w:hAnsi="Times New Roman"/>
                        <w:color w:val="000000"/>
                      </w:rPr>
                      <w:t xml:space="preserve"> </w:t>
                    </w:r>
                  </w:p>
                </w:txbxContent>
              </v:textbox>
            </v:rect>
            <v:rect id="_x0000_s2026" style="position:absolute;left:4620;top:1079;width:831;height:491;mso-wrap-style:none" filled="f" stroked="f">
              <v:textbox style="mso-next-textbox:#_x0000_s2026;mso-fit-shape-to-text:t" inset="0,0,0,0">
                <w:txbxContent>
                  <w:p w14:paraId="2744839C" w14:textId="77777777" w:rsidR="00E2396E" w:rsidRDefault="00E2396E" w:rsidP="007F07C0">
                    <w:r>
                      <w:rPr>
                        <w:rFonts w:ascii="Times New Roman" w:hAnsi="Times New Roman"/>
                        <w:color w:val="000000"/>
                      </w:rPr>
                      <w:t>Materials</w:t>
                    </w:r>
                  </w:p>
                </w:txbxContent>
              </v:textbox>
            </v:rect>
            <v:rect id="_x0000_s2027" style="position:absolute;left:5447;top:1079;width:56;height:509;mso-wrap-style:none" filled="f" stroked="f">
              <v:textbox style="mso-next-textbox:#_x0000_s2027;mso-fit-shape-to-text:t" inset="0,0,0,0">
                <w:txbxContent>
                  <w:p w14:paraId="7C8FF578" w14:textId="77777777" w:rsidR="00E2396E" w:rsidRDefault="00E2396E" w:rsidP="007F07C0">
                    <w:r>
                      <w:rPr>
                        <w:rFonts w:ascii="Times New Roman" w:hAnsi="Times New Roman"/>
                        <w:color w:val="000000"/>
                      </w:rPr>
                      <w:t xml:space="preserve"> </w:t>
                    </w:r>
                  </w:p>
                </w:txbxContent>
              </v:textbox>
            </v:rect>
            <v:rect id="_x0000_s2028" style="position:absolute;left:923;top:1590;width:56;height:509;mso-wrap-style:none" filled="f" stroked="f">
              <v:textbox style="mso-next-textbox:#_x0000_s2028;mso-fit-shape-to-text:t" inset="0,0,0,0">
                <w:txbxContent>
                  <w:p w14:paraId="6C5249FA" w14:textId="77777777" w:rsidR="00E2396E" w:rsidRDefault="00E2396E" w:rsidP="007F07C0">
                    <w:r>
                      <w:rPr>
                        <w:rFonts w:ascii="Times New Roman" w:hAnsi="Times New Roman"/>
                        <w:color w:val="000000"/>
                      </w:rPr>
                      <w:t xml:space="preserve"> </w:t>
                    </w:r>
                  </w:p>
                </w:txbxContent>
              </v:textbox>
            </v:rect>
            <v:rect id="_x0000_s2029" style="position:absolute;left:923;top:2106;width:56;height:509;mso-wrap-style:none" filled="f" stroked="f">
              <v:textbox style="mso-next-textbox:#_x0000_s2029;mso-fit-shape-to-text:t" inset="0,0,0,0">
                <w:txbxContent>
                  <w:p w14:paraId="3CCCAC84" w14:textId="77777777" w:rsidR="00E2396E" w:rsidRDefault="00E2396E" w:rsidP="007F07C0">
                    <w:r>
                      <w:rPr>
                        <w:rFonts w:ascii="Times New Roman" w:hAnsi="Times New Roman"/>
                        <w:color w:val="000000"/>
                      </w:rPr>
                      <w:t xml:space="preserve"> </w:t>
                    </w:r>
                  </w:p>
                </w:txbxContent>
              </v:textbox>
            </v:rect>
            <v:rect id="_x0000_s2030" style="position:absolute;left:2166;top:2106;width:56;height:509;mso-wrap-style:none" filled="f" stroked="f">
              <v:textbox style="mso-next-textbox:#_x0000_s2030;mso-fit-shape-to-text:t" inset="0,0,0,0">
                <w:txbxContent>
                  <w:p w14:paraId="7AABDA21" w14:textId="77777777" w:rsidR="00E2396E" w:rsidRDefault="00E2396E" w:rsidP="007F07C0">
                    <w:r>
                      <w:rPr>
                        <w:rFonts w:ascii="Times New Roman" w:hAnsi="Times New Roman"/>
                        <w:color w:val="000000"/>
                      </w:rPr>
                      <w:t xml:space="preserve">                                                                                                                      </w:t>
                    </w:r>
                  </w:p>
                </w:txbxContent>
              </v:textbox>
            </v:rect>
            <v:rect id="_x0000_s2031" style="position:absolute;left:8615;top:2106;width:56;height:509;mso-wrap-style:none" filled="f" stroked="f">
              <v:textbox style="mso-next-textbox:#_x0000_s2031;mso-fit-shape-to-text:t" inset="0,0,0,0">
                <w:txbxContent>
                  <w:p w14:paraId="70262BD3" w14:textId="77777777" w:rsidR="00E2396E" w:rsidRDefault="00E2396E" w:rsidP="007F07C0">
                    <w:r>
                      <w:rPr>
                        <w:rFonts w:ascii="Times New Roman" w:hAnsi="Times New Roman"/>
                        <w:color w:val="000000"/>
                      </w:rPr>
                      <w:t xml:space="preserve"> </w:t>
                    </w:r>
                  </w:p>
                </w:txbxContent>
              </v:textbox>
            </v:rect>
            <v:rect id="_x0000_s2032" style="position:absolute;left:923;top:2622;width:56;height:509;mso-wrap-style:none" filled="f" stroked="f">
              <v:textbox style="mso-next-textbox:#_x0000_s2032;mso-fit-shape-to-text:t" inset="0,0,0,0">
                <w:txbxContent>
                  <w:p w14:paraId="6A0C7233" w14:textId="77777777" w:rsidR="00E2396E" w:rsidRDefault="00E2396E" w:rsidP="007F07C0">
                    <w:r>
                      <w:rPr>
                        <w:rFonts w:ascii="Times New Roman" w:hAnsi="Times New Roman"/>
                        <w:color w:val="000000"/>
                      </w:rPr>
                      <w:t xml:space="preserve"> </w:t>
                    </w:r>
                  </w:p>
                </w:txbxContent>
              </v:textbox>
            </v:rect>
            <v:rect id="_x0000_s2033" style="position:absolute;left:3548;top:2622;width:56;height:509;mso-wrap-style:none" filled="f" stroked="f">
              <v:textbox style="mso-next-textbox:#_x0000_s2033;mso-fit-shape-to-text:t" inset="0,0,0,0">
                <w:txbxContent>
                  <w:p w14:paraId="7F414388" w14:textId="77777777" w:rsidR="00E2396E" w:rsidRDefault="00E2396E" w:rsidP="007F07C0">
                    <w:r>
                      <w:rPr>
                        <w:rFonts w:ascii="Times New Roman" w:hAnsi="Times New Roman"/>
                        <w:color w:val="000000"/>
                      </w:rPr>
                      <w:t xml:space="preserve"> </w:t>
                    </w:r>
                  </w:p>
                </w:txbxContent>
              </v:textbox>
            </v:rect>
            <v:shape id="_x0000_s2034" style="position:absolute;left:4720;top:1589;width:110;height:1016" coordsize="400,3404" path="m234,34r,3036hdc234,3089,219,3104,200,3104v-18,,-33,-15,-33,-34hal167,34hdc167,15,182,,200,v19,,34,15,34,34haxm400,3004l200,3404,,3004r400,xe" fillcolor="black" strokeweight="1e-4mm">
              <v:stroke joinstyle="bevel"/>
              <v:path arrowok="t"/>
              <o:lock v:ext="edit" verticies="t"/>
            </v:shape>
            <v:shape id="_x0000_s2035" style="position:absolute;left:3617;top:2505;width:2261;height:120" coordsize="8270,400" path="m7936,234r-7603,hdc315,234,300,219,300,200v,-18,15,-33,33,-33hal7936,167hdc7955,167,7970,182,7970,200v,19,-15,34,-34,34haxm7870,r400,200l7870,400,7870,xm400,400l,200,400,r,400xe" fillcolor="black" strokeweight="1e-4mm">
              <v:stroke joinstyle="bevel"/>
              <v:path arrowok="t"/>
              <o:lock v:ext="edit" verticies="t"/>
            </v:shape>
            <v:group id="_x0000_s2036" style="position:absolute;left:5878;top:2290;width:3771;height:778" coordorigin="5878,2290" coordsize="3771,778">
              <v:rect id="_x0000_s2037" style="position:absolute;left:5878;top:2290;width:3771;height:778" stroked="f"/>
              <v:rect id="_x0000_s2038" style="position:absolute;left:5878;top:2290;width:3771;height:778" filled="f" strokeweight="39e-5mm">
                <v:stroke endcap="round"/>
              </v:rect>
            </v:group>
            <v:rect id="_x0000_s2039" style="position:absolute;left:6957;top:2383;width:123;height:491;mso-wrap-style:none" filled="f" stroked="f">
              <v:textbox style="mso-next-textbox:#_x0000_s2039;mso-fit-shape-to-text:t" inset="0,0,0,0">
                <w:txbxContent>
                  <w:p w14:paraId="7F22D8A4" w14:textId="77777777" w:rsidR="00E2396E" w:rsidRDefault="00E2396E" w:rsidP="007F07C0">
                    <w:r>
                      <w:rPr>
                        <w:rFonts w:ascii="Times New Roman" w:hAnsi="Times New Roman"/>
                        <w:color w:val="000000"/>
                      </w:rPr>
                      <w:t>F</w:t>
                    </w:r>
                  </w:p>
                </w:txbxContent>
              </v:textbox>
            </v:rect>
            <v:rect id="_x0000_s2040" style="position:absolute;left:7075;top:2383;width:241;height:491" filled="f" stroked="f">
              <v:textbox style="mso-next-textbox:#_x0000_s2040;mso-fit-shape-to-text:t" inset="0,0,0,0">
                <w:txbxContent>
                  <w:p w14:paraId="3F62AA3C" w14:textId="77777777" w:rsidR="00E2396E" w:rsidRDefault="00E2396E" w:rsidP="007F07C0">
                    <w:r>
                      <w:rPr>
                        <w:rFonts w:ascii="Times New Roman" w:hAnsi="Times New Roman"/>
                        <w:color w:val="000000"/>
                      </w:rPr>
                      <w:t xml:space="preserve">oo                     </w:t>
                    </w:r>
                  </w:p>
                </w:txbxContent>
              </v:textbox>
            </v:rect>
            <v:rect id="_x0000_s2041" style="position:absolute;left:7298;top:2383;width:1407;height:491" filled="f" stroked="f">
              <v:textbox style="mso-next-textbox:#_x0000_s2041;mso-fit-shape-to-text:t" inset="0,0,0,0">
                <w:txbxContent>
                  <w:p w14:paraId="207C64F6" w14:textId="77777777" w:rsidR="00E2396E" w:rsidRDefault="00E2396E" w:rsidP="007F07C0">
                    <w:r>
                      <w:rPr>
                        <w:rFonts w:ascii="Times New Roman" w:hAnsi="Times New Roman"/>
                        <w:color w:val="000000"/>
                      </w:rPr>
                      <w:t>t measurement</w:t>
                    </w:r>
                  </w:p>
                </w:txbxContent>
              </v:textbox>
            </v:rect>
            <v:rect id="_x0000_s2042" style="position:absolute;left:8580;top:2383;width:56;height:509;mso-wrap-style:none" filled="f" stroked="f">
              <v:textbox style="mso-next-textbox:#_x0000_s2042;mso-fit-shape-to-text:t" inset="0,0,0,0">
                <w:txbxContent>
                  <w:p w14:paraId="4C043905" w14:textId="77777777" w:rsidR="00E2396E" w:rsidRDefault="00E2396E" w:rsidP="007F07C0">
                    <w:r>
                      <w:rPr>
                        <w:rFonts w:ascii="Times New Roman" w:hAnsi="Times New Roman"/>
                        <w:color w:val="000000"/>
                      </w:rPr>
                      <w:t xml:space="preserve"> </w:t>
                    </w:r>
                  </w:p>
                </w:txbxContent>
              </v:textbox>
            </v:rect>
            <v:shape id="_x0000_s2043" style="position:absolute;left:1677;top:3057;width:109;height:1017" coordsize="400,3404" path="m234,34r,3036hdc234,3089,219,3104,200,3104v-18,,-33,-15,-33,-34hal167,34hdc167,15,182,,200,v19,,34,15,34,34haxm400,3004l200,3404,,3004r400,xe" fillcolor="black" strokeweight="1e-4mm">
              <v:stroke joinstyle="bevel"/>
              <v:path arrowok="t"/>
              <o:lock v:ext="edit" verticies="t"/>
            </v:shape>
            <v:shape id="_x0000_s2044" style="position:absolute;left:7792;top:3057;width:110;height:1017" coordsize="400,3404" path="m233,34r,3036hdc233,3089,218,3104,200,3104v-19,,-34,-15,-34,-34hal166,34hdc166,15,181,,200,v18,,33,15,33,34haxm400,3004l200,3404,,3004r400,xe" fillcolor="black" strokeweight="1e-4mm">
              <v:stroke joinstyle="bevel"/>
              <v:path arrowok="t"/>
              <o:lock v:ext="edit" verticies="t"/>
            </v:shape>
            <v:group id="_x0000_s2045" style="position:absolute;top:4074;width:3617;height:777" coordorigin=",4074" coordsize="3617,777">
              <v:rect id="_x0000_s2046" style="position:absolute;top:4074;width:3617;height:777" stroked="f"/>
              <v:rect id="_x0000_s2047" style="position:absolute;top:4074;width:3617;height:777" filled="f" strokeweight="39e-5mm">
                <v:stroke endcap="round"/>
              </v:rect>
            </v:group>
            <v:rect id="_x0000_s73728" style="position:absolute;left:214;top:4155;width:838;height:491;mso-wrap-style:none" filled="f" stroked="f">
              <v:textbox style="mso-next-textbox:#_x0000_s73728;mso-fit-shape-to-text:t" inset="0,0,0,0">
                <w:txbxContent>
                  <w:p w14:paraId="46C26542" w14:textId="77777777" w:rsidR="00E2396E" w:rsidRDefault="00E2396E" w:rsidP="007F07C0">
                    <w:r>
                      <w:rPr>
                        <w:rFonts w:ascii="Times New Roman" w:hAnsi="Times New Roman"/>
                        <w:color w:val="000000"/>
                      </w:rPr>
                      <w:t>Casting n</w:t>
                    </w:r>
                  </w:p>
                </w:txbxContent>
              </v:textbox>
            </v:rect>
            <v:rect id="_x0000_s73729" style="position:absolute;left:1041;top:4155;width:2377;height:491;mso-wrap-style:none" filled="f" stroked="f">
              <v:textbox style="mso-next-textbox:#_x0000_s73729;mso-fit-shape-to-text:t" inset="0,0,0,0">
                <w:txbxContent>
                  <w:p w14:paraId="3F2DEAED" w14:textId="77777777" w:rsidR="00E2396E" w:rsidRDefault="00E2396E" w:rsidP="007F07C0">
                    <w:r>
                      <w:rPr>
                        <w:rFonts w:ascii="Times New Roman" w:hAnsi="Times New Roman"/>
                        <w:color w:val="000000"/>
                      </w:rPr>
                      <w:t>Ergative and positive mold</w:t>
                    </w:r>
                  </w:p>
                </w:txbxContent>
              </v:textbox>
            </v:rect>
            <v:rect id="_x0000_s73730" style="position:absolute;left:3128;top:4155;width:129;height:509;mso-wrap-style:none" filled="f" stroked="f">
              <v:textbox style="mso-next-textbox:#_x0000_s73730;mso-fit-shape-to-text:t" inset="0,0,0,0">
                <w:txbxContent>
                  <w:p w14:paraId="4292B283" w14:textId="77777777" w:rsidR="00E2396E" w:rsidRDefault="00E2396E" w:rsidP="007F07C0"/>
                </w:txbxContent>
              </v:textbox>
            </v:rect>
            <v:rect id="_x0000_s73731" style="position:absolute;left:1426;top:4466;width:826;height:491;mso-wrap-style:none" filled="f" stroked="f">
              <v:textbox style="mso-next-textbox:#_x0000_s73731;mso-fit-shape-to-text:t" inset="0,0,0,0">
                <w:txbxContent>
                  <w:p w14:paraId="28620308" w14:textId="77777777" w:rsidR="00E2396E" w:rsidRDefault="00E2396E" w:rsidP="007F07C0">
                    <w:r>
                      <w:rPr>
                        <w:rFonts w:ascii="Times New Roman" w:hAnsi="Times New Roman"/>
                        <w:color w:val="000000"/>
                      </w:rPr>
                      <w:t>Of stump</w:t>
                    </w:r>
                  </w:p>
                </w:txbxContent>
              </v:textbox>
            </v:rect>
            <v:rect id="_x0000_s73732" style="position:absolute;left:2196;top:4466;width:56;height:509;mso-wrap-style:none" filled="f" stroked="f">
              <v:textbox style="mso-next-textbox:#_x0000_s73732;mso-fit-shape-to-text:t" inset="0,0,0,0">
                <w:txbxContent>
                  <w:p w14:paraId="51263FDB" w14:textId="77777777" w:rsidR="00E2396E" w:rsidRDefault="00E2396E" w:rsidP="007F07C0">
                    <w:r>
                      <w:rPr>
                        <w:rFonts w:ascii="Times New Roman" w:hAnsi="Times New Roman"/>
                        <w:color w:val="000000"/>
                      </w:rPr>
                      <w:t xml:space="preserve"> </w:t>
                    </w:r>
                  </w:p>
                </w:txbxContent>
              </v:textbox>
            </v:rect>
            <v:group id="_x0000_s73733" style="position:absolute;left:5878;top:4074;width:3771;height:777" coordorigin="5878,4074" coordsize="3771,777">
              <v:rect id="_x0000_s73734" style="position:absolute;left:5878;top:4074;width:3771;height:777" stroked="f"/>
              <v:rect id="_x0000_s73735" style="position:absolute;left:5878;top:4074;width:3771;height:777" filled="f" strokeweight="39e-5mm">
                <v:stroke endcap="round"/>
              </v:rect>
            </v:group>
            <v:rect id="_x0000_s73736" style="position:absolute;left:7027;top:4165;width:1491;height:491;mso-wrap-style:none" filled="f" stroked="f">
              <v:textbox style="mso-next-textbox:#_x0000_s73736;mso-fit-shape-to-text:t" inset="0,0,0,0">
                <w:txbxContent>
                  <w:p w14:paraId="35358106" w14:textId="77777777" w:rsidR="00E2396E" w:rsidRDefault="00E2396E" w:rsidP="007F07C0">
                    <w:r>
                      <w:rPr>
                        <w:rFonts w:ascii="Times New Roman" w:hAnsi="Times New Roman"/>
                        <w:color w:val="000000"/>
                      </w:rPr>
                      <w:t>Carving of wood</w:t>
                    </w:r>
                  </w:p>
                </w:txbxContent>
              </v:textbox>
            </v:rect>
            <v:rect id="_x0000_s73737" style="position:absolute;left:8510;top:4165;width:56;height:509;mso-wrap-style:none" filled="f" stroked="f">
              <v:textbox style="mso-next-textbox:#_x0000_s73737;mso-fit-shape-to-text:t" inset="0,0,0,0">
                <w:txbxContent>
                  <w:p w14:paraId="7D0E3A0A" w14:textId="77777777" w:rsidR="00E2396E" w:rsidRDefault="00E2396E" w:rsidP="007F07C0">
                    <w:r>
                      <w:rPr>
                        <w:rFonts w:ascii="Times New Roman" w:hAnsi="Times New Roman"/>
                        <w:color w:val="000000"/>
                      </w:rPr>
                      <w:t xml:space="preserve"> </w:t>
                    </w:r>
                  </w:p>
                </w:txbxContent>
              </v:textbox>
            </v:rect>
            <v:shape id="_x0000_s73738" style="position:absolute;left:1677;top:4841;width:109;height:1016" coordsize="400,3403" path="m234,33r,3037hdc234,3088,219,3103,200,3103v-18,,-33,-15,-33,-33hal167,33hdc167,15,182,,200,v19,,34,15,34,33haxm400,3003l200,3403,,3003r400,xe" fillcolor="black" strokeweight="1e-4mm">
              <v:stroke joinstyle="bevel"/>
              <v:path arrowok="t"/>
              <o:lock v:ext="edit" verticies="t"/>
            </v:shape>
            <v:shape id="_x0000_s73739" style="position:absolute;left:7792;top:4841;width:110;height:1016" coordsize="400,3403" path="m233,33r,3037hdc233,3088,218,3103,200,3103v-19,,-34,-15,-34,-33hal166,33hdc166,15,181,,200,v18,,33,15,33,33haxm400,3003l200,3403,,3003r400,xe" fillcolor="black" strokeweight="1e-4mm">
              <v:stroke joinstyle="bevel"/>
              <v:path arrowok="t"/>
              <o:lock v:ext="edit" verticies="t"/>
            </v:shape>
            <v:group id="_x0000_s73740" style="position:absolute;left:70;top:5857;width:3547;height:777" coordorigin="70,5857" coordsize="3547,777">
              <v:rect id="_x0000_s73741" style="position:absolute;left:70;top:5857;width:3547;height:777" stroked="f"/>
              <v:rect id="_x0000_s73742" style="position:absolute;left:70;top:5857;width:3547;height:777" filled="f" strokeweight="39e-5mm">
                <v:stroke endcap="round"/>
              </v:rect>
            </v:group>
            <v:rect id="_x0000_s73743" style="position:absolute;left:473;top:5942;width:2646;height:491;mso-wrap-style:none" filled="f" stroked="f">
              <v:textbox style="mso-next-textbox:#_x0000_s73743;mso-fit-shape-to-text:t" inset="0,0,0,0">
                <w:txbxContent>
                  <w:p w14:paraId="0E6DC34D" w14:textId="77777777" w:rsidR="00E2396E" w:rsidRDefault="00E2396E" w:rsidP="007F07C0">
                    <w:r>
                      <w:rPr>
                        <w:rFonts w:ascii="Times New Roman" w:hAnsi="Times New Roman"/>
                        <w:color w:val="000000"/>
                      </w:rPr>
                      <w:t>Modification of positive mold</w:t>
                    </w:r>
                  </w:p>
                </w:txbxContent>
              </v:textbox>
            </v:rect>
            <v:rect id="_x0000_s73744" style="position:absolute;left:3211;top:5942;width:56;height:509;mso-wrap-style:none" filled="f" stroked="f">
              <v:textbox style="mso-next-textbox:#_x0000_s73744;mso-fit-shape-to-text:t" inset="0,0,0,0">
                <w:txbxContent>
                  <w:p w14:paraId="6758A35A" w14:textId="77777777" w:rsidR="00E2396E" w:rsidRDefault="00E2396E" w:rsidP="007F07C0">
                    <w:r>
                      <w:rPr>
                        <w:rFonts w:ascii="Times New Roman" w:hAnsi="Times New Roman"/>
                        <w:color w:val="000000"/>
                      </w:rPr>
                      <w:t xml:space="preserve"> </w:t>
                    </w:r>
                  </w:p>
                </w:txbxContent>
              </v:textbox>
            </v:rect>
            <v:group id="_x0000_s73745" style="position:absolute;left:5878;top:5857;width:3771;height:777" coordorigin="5878,5857" coordsize="3771,777">
              <v:rect id="_x0000_s73746" style="position:absolute;left:5878;top:5857;width:3771;height:777" stroked="f"/>
              <v:rect id="_x0000_s73747" style="position:absolute;left:5878;top:5857;width:3771;height:777" filled="f" strokeweight="39e-5mm">
                <v:stroke endcap="round"/>
              </v:rect>
            </v:group>
            <v:rect id="_x0000_s73748" style="position:absolute;left:7272;top:5942;width:587;height:491;mso-wrap-style:none" filled="f" stroked="f">
              <v:textbox style="mso-next-textbox:#_x0000_s73748;mso-fit-shape-to-text:t" inset="0,0,0,0">
                <w:txbxContent>
                  <w:p w14:paraId="10009FF3" w14:textId="77777777" w:rsidR="00E2396E" w:rsidRDefault="00E2396E" w:rsidP="007F07C0">
                    <w:r>
                      <w:rPr>
                        <w:rFonts w:ascii="Times New Roman" w:hAnsi="Times New Roman"/>
                        <w:color w:val="000000"/>
                      </w:rPr>
                      <w:t>SACH</w:t>
                    </w:r>
                  </w:p>
                </w:txbxContent>
              </v:textbox>
            </v:rect>
            <v:rect id="_x0000_s73749" style="position:absolute;left:7849;top:5942;width:56;height:509;mso-wrap-style:none" filled="f" stroked="f">
              <v:textbox style="mso-next-textbox:#_x0000_s73749;mso-fit-shape-to-text:t" inset="0,0,0,0">
                <w:txbxContent>
                  <w:p w14:paraId="70C9D445" w14:textId="77777777" w:rsidR="00E2396E" w:rsidRDefault="00E2396E" w:rsidP="007F07C0">
                    <w:r>
                      <w:rPr>
                        <w:rFonts w:ascii="Times New Roman" w:hAnsi="Times New Roman"/>
                        <w:color w:val="000000"/>
                      </w:rPr>
                      <w:t xml:space="preserve"> </w:t>
                    </w:r>
                  </w:p>
                </w:txbxContent>
              </v:textbox>
            </v:rect>
            <v:rect id="_x0000_s73750" style="position:absolute;left:8032;top:5942;width:644;height:491" filled="f" stroked="f">
              <v:textbox style="mso-next-textbox:#_x0000_s73750;mso-fit-shape-to-text:t" inset="0,0,0,0">
                <w:txbxContent>
                  <w:p w14:paraId="22A00F8A" w14:textId="77777777" w:rsidR="00E2396E" w:rsidRDefault="00E2396E" w:rsidP="007F07C0">
                    <w:r>
                      <w:rPr>
                        <w:rFonts w:ascii="Times New Roman" w:hAnsi="Times New Roman"/>
                        <w:color w:val="000000"/>
                      </w:rPr>
                      <w:t>Foot</w:t>
                    </w:r>
                  </w:p>
                </w:txbxContent>
              </v:textbox>
            </v:rect>
            <v:rect id="_x0000_s73751" style="position:absolute;left:8260;top:5942;width:56;height:509;mso-wrap-style:none" filled="f" stroked="f">
              <v:textbox style="mso-next-textbox:#_x0000_s73751;mso-fit-shape-to-text:t" inset="0,0,0,0">
                <w:txbxContent>
                  <w:p w14:paraId="770D0EF8" w14:textId="77777777" w:rsidR="00E2396E" w:rsidRDefault="00E2396E" w:rsidP="007F07C0">
                    <w:r>
                      <w:rPr>
                        <w:rFonts w:ascii="Times New Roman" w:hAnsi="Times New Roman"/>
                        <w:color w:val="000000"/>
                      </w:rPr>
                      <w:t xml:space="preserve"> </w:t>
                    </w:r>
                  </w:p>
                </w:txbxContent>
              </v:textbox>
            </v:rect>
            <v:group id="_x0000_s73752" style="position:absolute;left:70;top:7640;width:3547;height:777" coordorigin="70,7640" coordsize="3547,777">
              <v:rect id="_x0000_s73753" style="position:absolute;left:70;top:7640;width:3547;height:777" stroked="f"/>
              <v:rect id="_x0000_s73754" style="position:absolute;left:70;top:7640;width:3547;height:777" filled="f" strokeweight="39e-5mm">
                <v:stroke endcap="round"/>
              </v:rect>
            </v:group>
            <v:rect id="_x0000_s73755" style="position:absolute;left:914;top:7733;width:1870;height:491;mso-wrap-style:none" filled="f" stroked="f">
              <v:textbox style="mso-next-textbox:#_x0000_s73755;mso-fit-shape-to-text:t" inset="0,0,0,0">
                <w:txbxContent>
                  <w:p w14:paraId="7C5FFE26" w14:textId="77777777" w:rsidR="00E2396E" w:rsidRDefault="00E2396E" w:rsidP="007F07C0">
                    <w:r>
                      <w:rPr>
                        <w:rFonts w:ascii="Times New Roman" w:hAnsi="Times New Roman"/>
                        <w:color w:val="000000"/>
                      </w:rPr>
                      <w:t>Lamination of socket</w:t>
                    </w:r>
                  </w:p>
                </w:txbxContent>
              </v:textbox>
            </v:rect>
            <v:rect id="_x0000_s73756" style="position:absolute;left:2774;top:7733;width:56;height:509;mso-wrap-style:none" filled="f" stroked="f">
              <v:textbox style="mso-next-textbox:#_x0000_s73756;mso-fit-shape-to-text:t" inset="0,0,0,0">
                <w:txbxContent>
                  <w:p w14:paraId="3C22F956" w14:textId="77777777" w:rsidR="00E2396E" w:rsidRDefault="00E2396E" w:rsidP="007F07C0">
                    <w:r>
                      <w:rPr>
                        <w:rFonts w:ascii="Times New Roman" w:hAnsi="Times New Roman"/>
                        <w:color w:val="000000"/>
                      </w:rPr>
                      <w:t xml:space="preserve"> </w:t>
                    </w:r>
                  </w:p>
                </w:txbxContent>
              </v:textbox>
            </v:rect>
            <v:shape id="_x0000_s73757" style="position:absolute;left:1677;top:6624;width:109;height:1016" coordsize="400,3403" path="m234,33r,3037hdc234,3089,219,3103,200,3103v-18,,-33,-14,-33,-33hal167,33hdc167,15,182,,200,v19,,34,15,34,33haxm400,3003l200,3403,,3003r400,xe" fillcolor="black" strokeweight="1e-4mm">
              <v:stroke joinstyle="bevel"/>
              <v:path arrowok="t"/>
              <o:lock v:ext="edit" verticies="t"/>
            </v:shape>
            <v:line id="_x0000_s73758" style="position:absolute" from="7847,6634" to="7848,10232" strokeweight="39e-5mm">
              <v:stroke endcap="round"/>
            </v:line>
            <v:shape id="_x0000_s73759" style="position:absolute;left:6479;top:10172;width:1377;height:120" coordsize="2519,200" path="m2502,117r-2335,hdc158,117,150,109,150,100v,-9,8,-17,17,-17hal2502,83hdc2511,83,2519,91,2519,100v,9,-8,17,-17,17haxm200,200l,100,200,r,200xe" fillcolor="black" strokeweight="1e-4mm">
              <v:stroke joinstyle="bevel"/>
              <v:path arrowok="t"/>
              <o:lock v:ext="edit" verticies="t"/>
            </v:shape>
            <v:line id="_x0000_s73760" style="position:absolute" from="1732,8417" to="1733,10232" strokeweight="39e-5mm">
              <v:stroke endcap="round"/>
            </v:line>
            <v:rect id="_x0000_s73761" style="position:absolute;left:4559;top:9653;width:1510;height:491;mso-wrap-style:none" filled="f" stroked="f">
              <v:textbox style="mso-next-textbox:#_x0000_s73761;mso-fit-shape-to-text:t" inset="0,0,0,0">
                <w:txbxContent>
                  <w:p w14:paraId="172F30E1" w14:textId="77777777" w:rsidR="00E2396E" w:rsidRDefault="00E2396E" w:rsidP="007F07C0">
                    <w:r>
                      <w:rPr>
                        <w:rFonts w:ascii="Times New Roman" w:hAnsi="Times New Roman"/>
                        <w:color w:val="000000"/>
                      </w:rPr>
                      <w:t>Adjustable pylon</w:t>
                    </w:r>
                  </w:p>
                </w:txbxContent>
              </v:textbox>
            </v:rect>
            <v:rect id="_x0000_s73762" style="position:absolute;left:6060;top:9653;width:56;height:509;mso-wrap-style:none" filled="f" stroked="f">
              <v:textbox style="mso-next-textbox:#_x0000_s73762;mso-fit-shape-to-text:t" inset="0,0,0,0">
                <w:txbxContent>
                  <w:p w14:paraId="3B4D67C3" w14:textId="77777777" w:rsidR="00E2396E" w:rsidRDefault="00E2396E" w:rsidP="007F07C0">
                    <w:r>
                      <w:rPr>
                        <w:rFonts w:ascii="Times New Roman" w:hAnsi="Times New Roman"/>
                        <w:color w:val="000000"/>
                      </w:rPr>
                      <w:t xml:space="preserve"> </w:t>
                    </w:r>
                  </w:p>
                </w:txbxContent>
              </v:textbox>
            </v:rect>
            <v:shape id="_x0000_s73763" style="position:absolute;left:1723;top:10172;width:2409;height:120" coordsize="4406,200" path="m16,83r4224,hdc4249,83,4256,91,4256,100v,9,-7,17,-16,17hal16,117hdc7,117,,109,,100,,91,7,83,16,83haxm4206,r200,100l4206,200,4206,xe" fillcolor="black" strokeweight="1e-4mm">
              <v:stroke joinstyle="bevel"/>
              <v:path arrowok="t"/>
              <o:lock v:ext="edit" verticies="t"/>
            </v:shape>
            <v:shape id="_x0000_s73764" style="position:absolute;left:5167;top:10558;width:110;height:1016" coordsize="200,1702" path="m117,17r,1518hdc117,1544,109,1552,100,1552v-9,,-17,-8,-17,-17hal83,17hdc83,8,91,,100,v9,,17,8,17,17haxm200,1502l100,1702,,1502r200,xe" fillcolor="black" strokeweight="1e-4mm">
              <v:stroke joinstyle="bevel"/>
              <v:path arrowok="t"/>
              <o:lock v:ext="edit" verticies="t"/>
            </v:shape>
            <v:group id="_x0000_s73765" style="position:absolute;left:3114;top:11574;width:4147;height:1006" coordorigin="3114,11574" coordsize="4147,1006">
              <v:rect id="_x0000_s73766" style="position:absolute;left:3114;top:11574;width:4147;height:1006" stroked="f"/>
              <v:rect id="_x0000_s73767" style="position:absolute;left:3114;top:11574;width:4147;height:1006" filled="f" strokeweight="39e-5mm">
                <v:stroke endcap="round"/>
              </v:rect>
            </v:group>
            <v:rect id="_x0000_s73768" style="position:absolute;left:4205;top:11659;width:1980;height:491;mso-wrap-style:none" filled="f" stroked="f">
              <v:textbox style="mso-next-textbox:#_x0000_s73768;mso-fit-shape-to-text:t" inset="0,0,0,0">
                <w:txbxContent>
                  <w:p w14:paraId="45C6EF90" w14:textId="77777777" w:rsidR="00E2396E" w:rsidRDefault="00E2396E" w:rsidP="007F07C0">
                    <w:r>
                      <w:rPr>
                        <w:rFonts w:ascii="Times New Roman" w:hAnsi="Times New Roman"/>
                        <w:color w:val="000000"/>
                      </w:rPr>
                      <w:t>Below knee prosthesis</w:t>
                    </w:r>
                  </w:p>
                </w:txbxContent>
              </v:textbox>
            </v:rect>
            <v:rect id="_x0000_s73769" style="position:absolute;left:6173;top:11659;width:56;height:509;mso-wrap-style:none" filled="f" stroked="f">
              <v:textbox style="mso-next-textbox:#_x0000_s73769;mso-fit-shape-to-text:t" inset="0,0,0,0">
                <w:txbxContent>
                  <w:p w14:paraId="0DC38D5E" w14:textId="77777777" w:rsidR="00E2396E" w:rsidRDefault="00E2396E" w:rsidP="007F07C0">
                    <w:r>
                      <w:rPr>
                        <w:rFonts w:ascii="Times New Roman" w:hAnsi="Times New Roman"/>
                        <w:color w:val="000000"/>
                      </w:rPr>
                      <w:t xml:space="preserve"> </w:t>
                    </w:r>
                  </w:p>
                </w:txbxContent>
              </v:textbox>
            </v:rect>
            <w10:anchorlock/>
          </v:group>
        </w:pict>
      </w:r>
    </w:p>
    <w:p w14:paraId="27B6AD6B" w14:textId="77777777" w:rsidR="000577A3" w:rsidRPr="00E3232D" w:rsidRDefault="000577A3" w:rsidP="008275E1">
      <w:pPr>
        <w:rPr>
          <w:rFonts w:ascii="Book Antiqua" w:hAnsi="Book Antiqua"/>
        </w:rPr>
      </w:pPr>
      <w:r w:rsidRPr="00E3232D">
        <w:rPr>
          <w:rFonts w:ascii="Book Antiqua" w:hAnsi="Book Antiqua"/>
        </w:rPr>
        <w:t xml:space="preserve">                                                   </w:t>
      </w:r>
    </w:p>
    <w:p w14:paraId="2627BA23" w14:textId="77777777" w:rsidR="000577A3" w:rsidRPr="00E3232D" w:rsidRDefault="000577A3" w:rsidP="008275E1">
      <w:pPr>
        <w:rPr>
          <w:rFonts w:ascii="Book Antiqua" w:hAnsi="Book Antiqua"/>
        </w:rPr>
      </w:pPr>
      <w:r w:rsidRPr="00E3232D">
        <w:rPr>
          <w:rFonts w:ascii="Book Antiqua" w:hAnsi="Book Antiqua"/>
        </w:rPr>
        <w:t xml:space="preserve">     </w:t>
      </w:r>
    </w:p>
    <w:p w14:paraId="5D1CA981" w14:textId="77777777" w:rsidR="000577A3" w:rsidRPr="00E3232D" w:rsidRDefault="000577A3" w:rsidP="008275E1">
      <w:pPr>
        <w:rPr>
          <w:rFonts w:ascii="Book Antiqua" w:hAnsi="Book Antiqua"/>
        </w:rPr>
        <w:sectPr w:rsidR="000577A3" w:rsidRPr="00E3232D" w:rsidSect="008F6BC9">
          <w:type w:val="continuous"/>
          <w:pgSz w:w="11907" w:h="16839" w:code="9"/>
          <w:pgMar w:top="720" w:right="1440" w:bottom="360" w:left="1440" w:header="708" w:footer="708" w:gutter="0"/>
          <w:cols w:num="2" w:space="708"/>
          <w:docGrid w:linePitch="360"/>
        </w:sectPr>
      </w:pPr>
    </w:p>
    <w:p w14:paraId="2F9F9D12" w14:textId="77777777" w:rsidR="004B39BB" w:rsidRDefault="004B39BB" w:rsidP="008275E1">
      <w:pPr>
        <w:rPr>
          <w:rFonts w:ascii="Book Antiqua" w:hAnsi="Book Antiqua"/>
        </w:rPr>
        <w:sectPr w:rsidR="004B39BB" w:rsidSect="00EA19E3">
          <w:type w:val="continuous"/>
          <w:pgSz w:w="11907" w:h="16839" w:code="9"/>
          <w:pgMar w:top="720" w:right="1440" w:bottom="360" w:left="1440" w:header="708" w:footer="708" w:gutter="0"/>
          <w:cols w:num="2" w:space="708"/>
          <w:docGrid w:linePitch="360"/>
        </w:sectPr>
      </w:pPr>
    </w:p>
    <w:p w14:paraId="195981E6" w14:textId="77777777" w:rsidR="000577A3" w:rsidRPr="00E3232D" w:rsidRDefault="000577A3" w:rsidP="008275E1">
      <w:pPr>
        <w:rPr>
          <w:rFonts w:ascii="Book Antiqua" w:hAnsi="Book Antiqua"/>
        </w:rPr>
      </w:pPr>
      <w:r w:rsidRPr="00E3232D">
        <w:rPr>
          <w:rFonts w:ascii="Book Antiqua" w:hAnsi="Book Antiqua"/>
        </w:rPr>
        <w:lastRenderedPageBreak/>
        <w:t xml:space="preserve">DIMENSIONS OF THE BELOW KNEE </w:t>
      </w:r>
      <w:r w:rsidRPr="00E3232D">
        <w:rPr>
          <w:rFonts w:ascii="Book Antiqua" w:hAnsi="Book Antiqua"/>
        </w:rPr>
        <w:t>PROSTHESIS</w:t>
      </w:r>
    </w:p>
    <w:p w14:paraId="19D91D8A" w14:textId="77777777" w:rsidR="000577A3" w:rsidRPr="00E3232D" w:rsidRDefault="000577A3" w:rsidP="008275E1">
      <w:pPr>
        <w:rPr>
          <w:rFonts w:ascii="Book Antiqua" w:hAnsi="Book Antiqua"/>
        </w:rPr>
        <w:sectPr w:rsidR="000577A3" w:rsidRPr="00E3232D" w:rsidSect="004B39BB">
          <w:type w:val="continuous"/>
          <w:pgSz w:w="11907" w:h="16839" w:code="9"/>
          <w:pgMar w:top="720" w:right="1440" w:bottom="360" w:left="1440" w:header="708" w:footer="708" w:gutter="0"/>
          <w:cols w:num="2" w:space="708"/>
          <w:docGrid w:linePitch="360"/>
        </w:sectPr>
      </w:pPr>
    </w:p>
    <w:p w14:paraId="394EE776" w14:textId="77777777" w:rsidR="000577A3" w:rsidRPr="00E3232D" w:rsidRDefault="000577A3" w:rsidP="008275E1">
      <w:pPr>
        <w:rPr>
          <w:rFonts w:ascii="Book Antiqua" w:hAnsi="Book Antiqua"/>
        </w:rPr>
      </w:pPr>
    </w:p>
    <w:p w14:paraId="231279C7" w14:textId="77777777" w:rsidR="000577A3" w:rsidRPr="00E3232D" w:rsidRDefault="000577A3" w:rsidP="008F5CEC">
      <w:pPr>
        <w:jc w:val="both"/>
        <w:rPr>
          <w:rFonts w:ascii="Book Antiqua" w:hAnsi="Book Antiqua"/>
        </w:rPr>
      </w:pPr>
      <w:r w:rsidRPr="00E3232D">
        <w:rPr>
          <w:rFonts w:ascii="Book Antiqua" w:hAnsi="Book Antiqua"/>
        </w:rPr>
        <w:t>Height of heel = 4.4cm</w:t>
      </w:r>
    </w:p>
    <w:p w14:paraId="16D68DF4" w14:textId="77777777" w:rsidR="000577A3" w:rsidRPr="00E3232D" w:rsidRDefault="000577A3" w:rsidP="008F5CEC">
      <w:pPr>
        <w:jc w:val="both"/>
        <w:rPr>
          <w:rFonts w:ascii="Book Antiqua" w:hAnsi="Book Antiqua"/>
        </w:rPr>
      </w:pPr>
      <w:r w:rsidRPr="00E3232D">
        <w:rPr>
          <w:rFonts w:ascii="Book Antiqua" w:hAnsi="Book Antiqua"/>
        </w:rPr>
        <w:t>Width of foot = 6.6cm</w:t>
      </w:r>
    </w:p>
    <w:p w14:paraId="40108822" w14:textId="77777777" w:rsidR="000577A3" w:rsidRPr="00E3232D" w:rsidRDefault="000577A3" w:rsidP="008F5CEC">
      <w:pPr>
        <w:jc w:val="both"/>
        <w:rPr>
          <w:rFonts w:ascii="Book Antiqua" w:hAnsi="Book Antiqua"/>
        </w:rPr>
      </w:pPr>
      <w:r w:rsidRPr="00E3232D">
        <w:rPr>
          <w:rFonts w:ascii="Book Antiqua" w:hAnsi="Book Antiqua"/>
        </w:rPr>
        <w:t>Length of foot = 17.4cm</w:t>
      </w:r>
    </w:p>
    <w:p w14:paraId="5543468F" w14:textId="77777777" w:rsidR="000577A3" w:rsidRPr="00E3232D" w:rsidRDefault="000577A3" w:rsidP="008F5CEC">
      <w:pPr>
        <w:jc w:val="both"/>
        <w:rPr>
          <w:rFonts w:ascii="Book Antiqua" w:hAnsi="Book Antiqua"/>
        </w:rPr>
      </w:pPr>
      <w:r w:rsidRPr="00E3232D">
        <w:rPr>
          <w:rFonts w:ascii="Book Antiqua" w:hAnsi="Book Antiqua"/>
        </w:rPr>
        <w:t>Height of foot = 7.4cm</w:t>
      </w:r>
    </w:p>
    <w:p w14:paraId="10F6BD5C" w14:textId="77777777" w:rsidR="000577A3" w:rsidRPr="00E3232D" w:rsidRDefault="000577A3" w:rsidP="008F5CEC">
      <w:pPr>
        <w:jc w:val="both"/>
        <w:rPr>
          <w:rFonts w:ascii="Book Antiqua" w:hAnsi="Book Antiqua"/>
        </w:rPr>
      </w:pPr>
      <w:r w:rsidRPr="00E3232D">
        <w:rPr>
          <w:rFonts w:ascii="Book Antiqua" w:hAnsi="Book Antiqua"/>
        </w:rPr>
        <w:t>Distance between pylon adjustment = 2cm</w:t>
      </w:r>
    </w:p>
    <w:p w14:paraId="64CB2AFE" w14:textId="77777777" w:rsidR="000577A3" w:rsidRPr="00E3232D" w:rsidRDefault="000577A3" w:rsidP="008F5CEC">
      <w:pPr>
        <w:jc w:val="both"/>
        <w:rPr>
          <w:rFonts w:ascii="Book Antiqua" w:hAnsi="Book Antiqua"/>
        </w:rPr>
      </w:pPr>
      <w:r w:rsidRPr="00E3232D">
        <w:rPr>
          <w:rFonts w:ascii="Book Antiqua" w:hAnsi="Book Antiqua"/>
        </w:rPr>
        <w:t xml:space="preserve">Height of the Below Knee Prosthesis = 46cm </w:t>
      </w:r>
    </w:p>
    <w:p w14:paraId="613D316E" w14:textId="77777777" w:rsidR="000577A3" w:rsidRPr="00E3232D" w:rsidRDefault="000577A3" w:rsidP="008F5CEC">
      <w:pPr>
        <w:jc w:val="both"/>
        <w:rPr>
          <w:rFonts w:ascii="Book Antiqua" w:hAnsi="Book Antiqua"/>
        </w:rPr>
      </w:pPr>
      <w:r w:rsidRPr="00E3232D">
        <w:rPr>
          <w:rFonts w:ascii="Book Antiqua" w:hAnsi="Book Antiqua"/>
        </w:rPr>
        <w:t xml:space="preserve"> Weight of Prosthetic = 3kg</w:t>
      </w:r>
    </w:p>
    <w:p w14:paraId="039E3D07" w14:textId="77777777" w:rsidR="008F5CEC" w:rsidRDefault="008F5CEC" w:rsidP="008F5CEC">
      <w:pPr>
        <w:rPr>
          <w:rFonts w:ascii="Book Antiqua" w:hAnsi="Book Antiqua"/>
          <w:b/>
        </w:rPr>
      </w:pPr>
    </w:p>
    <w:p w14:paraId="6897F6E1" w14:textId="77777777" w:rsidR="008F5CEC" w:rsidRPr="00E3232D" w:rsidRDefault="008F5CEC" w:rsidP="008F5CEC">
      <w:pPr>
        <w:rPr>
          <w:rFonts w:ascii="Book Antiqua" w:hAnsi="Book Antiqua"/>
          <w:b/>
        </w:rPr>
      </w:pPr>
      <w:r w:rsidRPr="00E3232D">
        <w:rPr>
          <w:rFonts w:ascii="Book Antiqua" w:hAnsi="Book Antiqua"/>
          <w:b/>
        </w:rPr>
        <w:t>3.0 RESULTS AND ANALYSIS</w:t>
      </w:r>
    </w:p>
    <w:p w14:paraId="28E6FE91" w14:textId="77777777" w:rsidR="000577A3" w:rsidRPr="00E3232D" w:rsidRDefault="007005B1" w:rsidP="008275E1">
      <w:pPr>
        <w:rPr>
          <w:rFonts w:ascii="Book Antiqua" w:hAnsi="Book Antiqua"/>
          <w:b/>
        </w:rPr>
      </w:pPr>
      <w:r>
        <w:rPr>
          <w:noProof/>
          <w:lang w:bidi="ar-SA"/>
        </w:rPr>
        <w:drawing>
          <wp:anchor distT="0" distB="0" distL="114300" distR="114300" simplePos="0" relativeHeight="251849216" behindDoc="0" locked="0" layoutInCell="1" allowOverlap="1" wp14:anchorId="148A3083" wp14:editId="1473BF13">
            <wp:simplePos x="0" y="0"/>
            <wp:positionH relativeFrom="column">
              <wp:posOffset>466725</wp:posOffset>
            </wp:positionH>
            <wp:positionV relativeFrom="paragraph">
              <wp:posOffset>180975</wp:posOffset>
            </wp:positionV>
            <wp:extent cx="4781550" cy="2266950"/>
            <wp:effectExtent l="19050" t="0" r="0" b="0"/>
            <wp:wrapSquare wrapText="bothSides"/>
            <wp:docPr id="834" name="Picture 19" descr="Gai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it Analysis"/>
                    <pic:cNvPicPr>
                      <a:picLocks noChangeAspect="1" noChangeArrowheads="1"/>
                    </pic:cNvPicPr>
                  </pic:nvPicPr>
                  <pic:blipFill>
                    <a:blip r:embed="rId50"/>
                    <a:srcRect/>
                    <a:stretch>
                      <a:fillRect/>
                    </a:stretch>
                  </pic:blipFill>
                  <pic:spPr bwMode="auto">
                    <a:xfrm>
                      <a:off x="0" y="0"/>
                      <a:ext cx="4781550" cy="2266950"/>
                    </a:xfrm>
                    <a:prstGeom prst="rect">
                      <a:avLst/>
                    </a:prstGeom>
                    <a:noFill/>
                    <a:ln w="9525">
                      <a:noFill/>
                      <a:miter lim="800000"/>
                      <a:headEnd/>
                      <a:tailEnd/>
                    </a:ln>
                  </pic:spPr>
                </pic:pic>
              </a:graphicData>
            </a:graphic>
          </wp:anchor>
        </w:drawing>
      </w:r>
    </w:p>
    <w:p w14:paraId="40C0B893" w14:textId="77777777" w:rsidR="000577A3" w:rsidRPr="00E3232D" w:rsidRDefault="007005B1" w:rsidP="008275E1">
      <w:pPr>
        <w:keepNext/>
        <w:rPr>
          <w:rFonts w:ascii="Book Antiqua" w:hAnsi="Book Antiqua"/>
        </w:rPr>
      </w:pPr>
      <w:r>
        <w:rPr>
          <w:rFonts w:ascii="Book Antiqua" w:hAnsi="Book Antiqua"/>
          <w:b/>
          <w:noProof/>
          <w:lang w:bidi="ar-SA"/>
        </w:rPr>
        <w:drawing>
          <wp:inline distT="0" distB="0" distL="0" distR="0" wp14:anchorId="3775F932" wp14:editId="43E5BCF8">
            <wp:extent cx="3267075" cy="2981325"/>
            <wp:effectExtent l="19050" t="0" r="9525" b="0"/>
            <wp:docPr id="16" name="Picture 1" descr="C:\Users\loplem\Documents\dimension of 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plem\Documents\dimension of foot.jpg"/>
                    <pic:cNvPicPr>
                      <a:picLocks noChangeAspect="1" noChangeArrowheads="1"/>
                    </pic:cNvPicPr>
                  </pic:nvPicPr>
                  <pic:blipFill>
                    <a:blip r:embed="rId51" cstate="print"/>
                    <a:srcRect/>
                    <a:stretch>
                      <a:fillRect/>
                    </a:stretch>
                  </pic:blipFill>
                  <pic:spPr bwMode="auto">
                    <a:xfrm>
                      <a:off x="0" y="0"/>
                      <a:ext cx="3267075" cy="2981325"/>
                    </a:xfrm>
                    <a:prstGeom prst="rect">
                      <a:avLst/>
                    </a:prstGeom>
                    <a:noFill/>
                    <a:ln w="9525">
                      <a:noFill/>
                      <a:miter lim="800000"/>
                      <a:headEnd/>
                      <a:tailEnd/>
                    </a:ln>
                  </pic:spPr>
                </pic:pic>
              </a:graphicData>
            </a:graphic>
          </wp:inline>
        </w:drawing>
      </w:r>
    </w:p>
    <w:p w14:paraId="3C75A636" w14:textId="77777777" w:rsidR="000577A3" w:rsidRPr="00E3232D" w:rsidRDefault="000577A3" w:rsidP="008275E1">
      <w:pPr>
        <w:pStyle w:val="Caption"/>
        <w:spacing w:line="276" w:lineRule="auto"/>
        <w:rPr>
          <w:rFonts w:ascii="Book Antiqua" w:hAnsi="Book Antiqua"/>
          <w:sz w:val="22"/>
          <w:szCs w:val="22"/>
        </w:rPr>
      </w:pPr>
      <w:r w:rsidRPr="00E3232D">
        <w:rPr>
          <w:rFonts w:ascii="Book Antiqua" w:hAnsi="Book Antiqua"/>
          <w:sz w:val="22"/>
          <w:szCs w:val="22"/>
        </w:rPr>
        <w:t xml:space="preserve">      Fig 2.5 Dimensions of the BKP</w:t>
      </w:r>
    </w:p>
    <w:p w14:paraId="0876320C" w14:textId="77777777" w:rsidR="008F5CEC" w:rsidRDefault="008F5CEC" w:rsidP="008F5CEC">
      <w:pPr>
        <w:rPr>
          <w:rFonts w:ascii="Book Antiqua" w:hAnsi="Book Antiqua"/>
          <w:b/>
        </w:rPr>
      </w:pPr>
    </w:p>
    <w:p w14:paraId="396AB453" w14:textId="77777777" w:rsidR="008F5CEC" w:rsidRDefault="008F5CEC" w:rsidP="008F5CEC">
      <w:pPr>
        <w:rPr>
          <w:rFonts w:ascii="Book Antiqua" w:hAnsi="Book Antiqua"/>
          <w:b/>
        </w:rPr>
      </w:pPr>
    </w:p>
    <w:p w14:paraId="4D94B64F" w14:textId="77777777" w:rsidR="008F5CEC" w:rsidRDefault="008F5CEC" w:rsidP="008F5CEC">
      <w:pPr>
        <w:rPr>
          <w:rFonts w:ascii="Book Antiqua" w:hAnsi="Book Antiqua"/>
          <w:b/>
        </w:rPr>
      </w:pPr>
    </w:p>
    <w:p w14:paraId="5D22CC97" w14:textId="77777777" w:rsidR="000577A3" w:rsidRDefault="000577A3" w:rsidP="008275E1">
      <w:pPr>
        <w:rPr>
          <w:rFonts w:ascii="Book Antiqua" w:hAnsi="Book Antiqua"/>
          <w:b/>
          <w:noProof/>
          <w:lang w:val="en-GB" w:eastAsia="en-GB"/>
        </w:rPr>
      </w:pPr>
    </w:p>
    <w:p w14:paraId="1B0F992B" w14:textId="77777777" w:rsidR="008F5CEC" w:rsidRDefault="008F5CEC" w:rsidP="008275E1">
      <w:pPr>
        <w:rPr>
          <w:rFonts w:ascii="Book Antiqua" w:hAnsi="Book Antiqua"/>
          <w:b/>
          <w:noProof/>
          <w:lang w:val="en-GB" w:eastAsia="en-GB"/>
        </w:rPr>
      </w:pPr>
    </w:p>
    <w:p w14:paraId="4073D812" w14:textId="77777777" w:rsidR="008F5CEC" w:rsidRPr="00E3232D" w:rsidRDefault="008F5CEC" w:rsidP="008275E1">
      <w:pPr>
        <w:rPr>
          <w:rFonts w:ascii="Book Antiqua" w:hAnsi="Book Antiqua"/>
          <w:b/>
        </w:rPr>
        <w:sectPr w:rsidR="008F5CEC" w:rsidRPr="00E3232D" w:rsidSect="004B39BB">
          <w:type w:val="continuous"/>
          <w:pgSz w:w="11907" w:h="16839" w:code="9"/>
          <w:pgMar w:top="720" w:right="1440" w:bottom="360" w:left="1440" w:header="708" w:footer="708" w:gutter="0"/>
          <w:cols w:num="2" w:space="708"/>
          <w:docGrid w:linePitch="360"/>
        </w:sectPr>
      </w:pPr>
    </w:p>
    <w:p w14:paraId="3734EF06" w14:textId="77777777" w:rsidR="008F5CEC" w:rsidRDefault="008F5CEC" w:rsidP="008275E1">
      <w:pPr>
        <w:rPr>
          <w:rFonts w:ascii="Book Antiqua" w:hAnsi="Book Antiqua"/>
        </w:rPr>
      </w:pPr>
    </w:p>
    <w:p w14:paraId="04C293C6" w14:textId="77777777" w:rsidR="008F5CEC" w:rsidRDefault="008F5CEC" w:rsidP="008275E1">
      <w:pPr>
        <w:rPr>
          <w:rFonts w:ascii="Book Antiqua" w:hAnsi="Book Antiqua"/>
        </w:rPr>
      </w:pPr>
    </w:p>
    <w:p w14:paraId="37ABB732" w14:textId="77777777" w:rsidR="00843572" w:rsidRDefault="00843572" w:rsidP="008275E1">
      <w:pPr>
        <w:rPr>
          <w:rFonts w:ascii="Book Antiqua" w:hAnsi="Book Antiqua"/>
        </w:rPr>
      </w:pPr>
    </w:p>
    <w:p w14:paraId="519FCFB5" w14:textId="77777777" w:rsidR="000577A3" w:rsidRPr="00E3232D" w:rsidRDefault="000577A3" w:rsidP="008275E1">
      <w:pPr>
        <w:rPr>
          <w:rFonts w:ascii="Book Antiqua" w:hAnsi="Book Antiqua"/>
        </w:rPr>
      </w:pPr>
      <w:r w:rsidRPr="00E3232D">
        <w:rPr>
          <w:rFonts w:ascii="Book Antiqua" w:hAnsi="Book Antiqua"/>
        </w:rPr>
        <w:t>Fig 3.0 Gait cycle (2012)</w:t>
      </w:r>
    </w:p>
    <w:p w14:paraId="7AF024B9" w14:textId="77777777" w:rsidR="008F5CEC" w:rsidRPr="00E3232D" w:rsidRDefault="008F5CEC" w:rsidP="008F5CEC">
      <w:pPr>
        <w:rPr>
          <w:rFonts w:ascii="Book Antiqua" w:hAnsi="Book Antiqua"/>
          <w:b/>
        </w:rPr>
      </w:pPr>
      <w:r w:rsidRPr="00E3232D">
        <w:rPr>
          <w:rFonts w:ascii="Book Antiqua" w:hAnsi="Book Antiqua"/>
          <w:b/>
        </w:rPr>
        <w:t>BRIEF DEFINITIONS</w:t>
      </w:r>
    </w:p>
    <w:p w14:paraId="69BDC278" w14:textId="77777777" w:rsidR="008F5CEC" w:rsidRDefault="008F5CEC" w:rsidP="008F5CEC">
      <w:pPr>
        <w:numPr>
          <w:ilvl w:val="0"/>
          <w:numId w:val="22"/>
        </w:numPr>
        <w:rPr>
          <w:rFonts w:ascii="Book Antiqua" w:hAnsi="Book Antiqua"/>
        </w:rPr>
      </w:pPr>
      <w:r w:rsidRPr="00E3232D">
        <w:rPr>
          <w:rFonts w:ascii="Book Antiqua" w:hAnsi="Book Antiqua"/>
          <w:b/>
          <w:bCs/>
        </w:rPr>
        <w:t xml:space="preserve">HEEL STRIKE: </w:t>
      </w:r>
      <w:r w:rsidRPr="00E3232D">
        <w:rPr>
          <w:rFonts w:ascii="Book Antiqua" w:hAnsi="Book Antiqua"/>
        </w:rPr>
        <w:t>The point when the heel hits the floor.</w:t>
      </w:r>
    </w:p>
    <w:p w14:paraId="2FDA59C6" w14:textId="77777777" w:rsidR="00843572" w:rsidRPr="00843572" w:rsidRDefault="008F5CEC" w:rsidP="008F5CEC">
      <w:pPr>
        <w:numPr>
          <w:ilvl w:val="0"/>
          <w:numId w:val="22"/>
        </w:numPr>
        <w:rPr>
          <w:rFonts w:ascii="Book Antiqua" w:hAnsi="Book Antiqua"/>
        </w:rPr>
      </w:pPr>
      <w:r w:rsidRPr="00E3232D">
        <w:rPr>
          <w:rFonts w:ascii="Book Antiqua" w:hAnsi="Book Antiqua"/>
          <w:b/>
          <w:bCs/>
        </w:rPr>
        <w:t xml:space="preserve">TOTAL FLOOR </w:t>
      </w:r>
    </w:p>
    <w:p w14:paraId="66B2D526" w14:textId="77777777" w:rsidR="00843572" w:rsidRPr="00843572" w:rsidRDefault="00843572" w:rsidP="00843572">
      <w:pPr>
        <w:ind w:left="720"/>
        <w:rPr>
          <w:rFonts w:ascii="Book Antiqua" w:hAnsi="Book Antiqua"/>
        </w:rPr>
      </w:pPr>
    </w:p>
    <w:p w14:paraId="75A7F2EF" w14:textId="77777777" w:rsidR="00843572" w:rsidRPr="00843572" w:rsidRDefault="00843572" w:rsidP="00843572">
      <w:pPr>
        <w:ind w:left="720"/>
        <w:rPr>
          <w:rFonts w:ascii="Book Antiqua" w:hAnsi="Book Antiqua"/>
        </w:rPr>
      </w:pPr>
    </w:p>
    <w:p w14:paraId="471FBCC0" w14:textId="77777777" w:rsidR="00843572" w:rsidRPr="00843572" w:rsidRDefault="00843572" w:rsidP="00843572">
      <w:pPr>
        <w:ind w:left="720"/>
        <w:rPr>
          <w:rFonts w:ascii="Book Antiqua" w:hAnsi="Book Antiqua"/>
        </w:rPr>
      </w:pPr>
    </w:p>
    <w:p w14:paraId="2798EA64" w14:textId="77777777" w:rsidR="00843572" w:rsidRPr="00843572" w:rsidRDefault="00843572" w:rsidP="00843572">
      <w:pPr>
        <w:ind w:left="720"/>
        <w:rPr>
          <w:rFonts w:ascii="Book Antiqua" w:hAnsi="Book Antiqua"/>
        </w:rPr>
      </w:pPr>
    </w:p>
    <w:p w14:paraId="3064D399" w14:textId="77777777" w:rsidR="008F5CEC" w:rsidRDefault="008F5CEC" w:rsidP="008F5CEC">
      <w:pPr>
        <w:numPr>
          <w:ilvl w:val="0"/>
          <w:numId w:val="22"/>
        </w:numPr>
        <w:rPr>
          <w:rFonts w:ascii="Book Antiqua" w:hAnsi="Book Antiqua"/>
        </w:rPr>
      </w:pPr>
      <w:r w:rsidRPr="00E3232D">
        <w:rPr>
          <w:rFonts w:ascii="Book Antiqua" w:hAnsi="Book Antiqua"/>
          <w:b/>
          <w:bCs/>
        </w:rPr>
        <w:t xml:space="preserve">CONTACT: </w:t>
      </w:r>
      <w:r w:rsidRPr="00E3232D">
        <w:rPr>
          <w:rFonts w:ascii="Book Antiqua" w:hAnsi="Book Antiqua"/>
        </w:rPr>
        <w:t>The point where the whole foot comes into contact with the floor.</w:t>
      </w:r>
    </w:p>
    <w:p w14:paraId="2716632F" w14:textId="77777777" w:rsidR="008F5CEC" w:rsidRDefault="008F5CEC" w:rsidP="008F5CEC">
      <w:pPr>
        <w:rPr>
          <w:rFonts w:ascii="Book Antiqua" w:hAnsi="Book Antiqua"/>
        </w:rPr>
      </w:pPr>
    </w:p>
    <w:p w14:paraId="20E7CA4F" w14:textId="77777777" w:rsidR="00843572" w:rsidRDefault="00843572" w:rsidP="00843572">
      <w:pPr>
        <w:rPr>
          <w:rFonts w:ascii="Book Antiqua" w:hAnsi="Book Antiqua"/>
        </w:rPr>
        <w:sectPr w:rsidR="00843572" w:rsidSect="004B39BB">
          <w:type w:val="continuous"/>
          <w:pgSz w:w="11907" w:h="16839" w:code="9"/>
          <w:pgMar w:top="720" w:right="1440" w:bottom="360" w:left="1440" w:header="708" w:footer="708" w:gutter="0"/>
          <w:cols w:num="2" w:space="708"/>
          <w:docGrid w:linePitch="360"/>
        </w:sectPr>
      </w:pPr>
    </w:p>
    <w:p w14:paraId="7748F011" w14:textId="77777777" w:rsidR="008F5CEC" w:rsidRPr="008F5CEC" w:rsidRDefault="008F5CEC" w:rsidP="00843572">
      <w:pPr>
        <w:rPr>
          <w:rFonts w:ascii="Book Antiqua" w:hAnsi="Book Antiqua"/>
        </w:rPr>
      </w:pPr>
    </w:p>
    <w:p w14:paraId="442EC54B" w14:textId="77777777" w:rsidR="00DD7606" w:rsidRDefault="00DD7606" w:rsidP="00843572">
      <w:pPr>
        <w:numPr>
          <w:ilvl w:val="0"/>
          <w:numId w:val="22"/>
        </w:numPr>
        <w:rPr>
          <w:rFonts w:ascii="Book Antiqua" w:hAnsi="Book Antiqua"/>
          <w:b/>
          <w:bCs/>
        </w:rPr>
        <w:sectPr w:rsidR="00DD7606" w:rsidSect="00843572">
          <w:type w:val="continuous"/>
          <w:pgSz w:w="11907" w:h="16839" w:code="9"/>
          <w:pgMar w:top="720" w:right="1440" w:bottom="360" w:left="1440" w:header="708" w:footer="708" w:gutter="0"/>
          <w:cols w:space="708"/>
          <w:docGrid w:linePitch="360"/>
        </w:sectPr>
      </w:pPr>
    </w:p>
    <w:p w14:paraId="5153B7AB" w14:textId="77777777" w:rsidR="008F5CEC" w:rsidRDefault="008F5CEC" w:rsidP="00843572">
      <w:pPr>
        <w:numPr>
          <w:ilvl w:val="0"/>
          <w:numId w:val="22"/>
        </w:numPr>
        <w:rPr>
          <w:rFonts w:ascii="Book Antiqua" w:hAnsi="Book Antiqua"/>
        </w:rPr>
      </w:pPr>
      <w:r w:rsidRPr="00E3232D">
        <w:rPr>
          <w:rFonts w:ascii="Book Antiqua" w:hAnsi="Book Antiqua"/>
          <w:b/>
          <w:bCs/>
        </w:rPr>
        <w:t xml:space="preserve">HEEL OFF AND TOE OFF: </w:t>
      </w:r>
      <w:r w:rsidRPr="00E3232D">
        <w:rPr>
          <w:rFonts w:ascii="Book Antiqua" w:hAnsi="Book Antiqua"/>
        </w:rPr>
        <w:t>when the heel leaves the floor and the</w:t>
      </w:r>
      <w:r>
        <w:rPr>
          <w:rFonts w:ascii="Book Antiqua" w:hAnsi="Book Antiqua"/>
        </w:rPr>
        <w:t xml:space="preserve"> </w:t>
      </w:r>
      <w:r w:rsidRPr="00E3232D">
        <w:rPr>
          <w:rFonts w:ascii="Book Antiqua" w:hAnsi="Book Antiqua"/>
        </w:rPr>
        <w:t>toe pushes off to propel forward motion</w:t>
      </w:r>
    </w:p>
    <w:p w14:paraId="13BA0AC4" w14:textId="77777777" w:rsidR="00843572" w:rsidRDefault="00843572" w:rsidP="008F5CEC">
      <w:pPr>
        <w:ind w:left="720"/>
        <w:rPr>
          <w:rFonts w:ascii="Book Antiqua" w:hAnsi="Book Antiqua"/>
        </w:rPr>
        <w:sectPr w:rsidR="00843572" w:rsidSect="00DD7606">
          <w:type w:val="continuous"/>
          <w:pgSz w:w="11907" w:h="16839" w:code="9"/>
          <w:pgMar w:top="720" w:right="1440" w:bottom="360" w:left="1440" w:header="708" w:footer="708" w:gutter="0"/>
          <w:cols w:num="2" w:space="708"/>
          <w:docGrid w:linePitch="360"/>
        </w:sectPr>
      </w:pPr>
    </w:p>
    <w:p w14:paraId="633BCD67" w14:textId="77777777" w:rsidR="000577A3" w:rsidRPr="00E3232D" w:rsidRDefault="000577A3" w:rsidP="008F5CEC">
      <w:pPr>
        <w:numPr>
          <w:ilvl w:val="0"/>
          <w:numId w:val="22"/>
        </w:numPr>
        <w:jc w:val="both"/>
        <w:rPr>
          <w:rFonts w:ascii="Book Antiqua" w:hAnsi="Book Antiqua"/>
        </w:rPr>
      </w:pPr>
      <w:r w:rsidRPr="00E3232D">
        <w:rPr>
          <w:rFonts w:ascii="Book Antiqua" w:hAnsi="Book Antiqua"/>
          <w:b/>
          <w:bCs/>
        </w:rPr>
        <w:lastRenderedPageBreak/>
        <w:t xml:space="preserve">MID SWING: </w:t>
      </w:r>
      <w:r w:rsidRPr="00E3232D">
        <w:rPr>
          <w:rFonts w:ascii="Book Antiqua" w:hAnsi="Book Antiqua"/>
        </w:rPr>
        <w:t>The period between maximum knee flexion and the forward movement of the tibia (slim bone) to a vertical position.</w:t>
      </w:r>
    </w:p>
    <w:p w14:paraId="0843DE35" w14:textId="77777777" w:rsidR="000577A3" w:rsidRPr="00E3232D" w:rsidRDefault="000577A3" w:rsidP="008F5CEC">
      <w:pPr>
        <w:pStyle w:val="ListParagraph"/>
        <w:ind w:left="0"/>
        <w:jc w:val="both"/>
        <w:rPr>
          <w:rFonts w:ascii="Book Antiqua" w:hAnsi="Book Antiqua"/>
        </w:rPr>
      </w:pPr>
      <w:r w:rsidRPr="00E3232D">
        <w:rPr>
          <w:rFonts w:ascii="Book Antiqua" w:hAnsi="Book Antiqua"/>
        </w:rPr>
        <w:t>GAIT ANALYSIS</w:t>
      </w:r>
    </w:p>
    <w:p w14:paraId="2EB05F69" w14:textId="77777777" w:rsidR="000577A3" w:rsidRPr="00E3232D" w:rsidRDefault="000577A3" w:rsidP="008F5CEC">
      <w:pPr>
        <w:jc w:val="both"/>
        <w:rPr>
          <w:rFonts w:ascii="Book Antiqua" w:hAnsi="Book Antiqua"/>
        </w:rPr>
      </w:pPr>
      <w:r w:rsidRPr="00E3232D">
        <w:rPr>
          <w:rFonts w:ascii="Book Antiqua" w:hAnsi="Book Antiqua"/>
        </w:rPr>
        <w:t xml:space="preserve">Gait is the way in which we move our whole body from one point to another.  Gait is the pattern in which you walk or run: your personal step by step “cycle” </w:t>
      </w:r>
    </w:p>
    <w:p w14:paraId="3F4915E9" w14:textId="77777777" w:rsidR="000577A3" w:rsidRPr="00E3232D" w:rsidRDefault="000577A3" w:rsidP="008F5CEC">
      <w:pPr>
        <w:jc w:val="both"/>
        <w:rPr>
          <w:rFonts w:ascii="Book Antiqua" w:hAnsi="Book Antiqua"/>
        </w:rPr>
      </w:pPr>
      <w:r w:rsidRPr="00E3232D">
        <w:rPr>
          <w:rFonts w:ascii="Book Antiqua" w:hAnsi="Book Antiqua"/>
        </w:rPr>
        <w:t xml:space="preserve">Gait Analysis is a popular method for examining the “cycles”, looking for variations and possible abnormalities. </w:t>
      </w:r>
    </w:p>
    <w:p w14:paraId="71DA7285" w14:textId="77777777" w:rsidR="000577A3" w:rsidRPr="00E3232D" w:rsidRDefault="000577A3" w:rsidP="008F5CEC">
      <w:pPr>
        <w:jc w:val="both"/>
        <w:rPr>
          <w:rFonts w:ascii="Book Antiqua" w:hAnsi="Book Antiqua"/>
        </w:rPr>
      </w:pPr>
      <w:r w:rsidRPr="00E3232D">
        <w:rPr>
          <w:rFonts w:ascii="Book Antiqua" w:hAnsi="Book Antiqua"/>
        </w:rPr>
        <w:t xml:space="preserve">The gait cycle is walking, that is the continuous respective pattern of walking. </w:t>
      </w:r>
      <w:r w:rsidRPr="00E3232D">
        <w:rPr>
          <w:rFonts w:ascii="Book Antiqua" w:hAnsi="Book Antiqua"/>
        </w:rPr>
        <w:t>The gait cycle is split into two main phases. That is, the stance phases and the swing phases which make one complete gait cycle including both stance and swing phases.( . Pritham, and Knighton 1976)</w:t>
      </w:r>
    </w:p>
    <w:p w14:paraId="64684137" w14:textId="77777777" w:rsidR="00800B19" w:rsidRDefault="00800B19" w:rsidP="008275E1">
      <w:pPr>
        <w:rPr>
          <w:rFonts w:ascii="Book Antiqua" w:hAnsi="Book Antiqua"/>
        </w:rPr>
      </w:pPr>
    </w:p>
    <w:p w14:paraId="0E9AC036" w14:textId="77777777" w:rsidR="000577A3" w:rsidRPr="00E3232D" w:rsidRDefault="000577A3" w:rsidP="008F5CEC">
      <w:pPr>
        <w:jc w:val="both"/>
        <w:rPr>
          <w:rFonts w:ascii="Book Antiqua" w:hAnsi="Book Antiqua"/>
          <w:b/>
        </w:rPr>
      </w:pPr>
      <w:r w:rsidRPr="00E3232D">
        <w:rPr>
          <w:rFonts w:ascii="Book Antiqua" w:hAnsi="Book Antiqua"/>
        </w:rPr>
        <w:t>The stance phases are the period where the foot is in contact with the ground and equates to 60% of the gait cycle when walking and that of the swing phase makes up to the remaining 40%.The results for the gait cycle are as in the table. Positive (+) represents an outcome and negative (-) represents no outcome.</w:t>
      </w:r>
    </w:p>
    <w:p w14:paraId="61CC9A4D" w14:textId="77777777" w:rsidR="000577A3" w:rsidRPr="00E3232D" w:rsidRDefault="000577A3" w:rsidP="008275E1">
      <w:pPr>
        <w:rPr>
          <w:rFonts w:ascii="Book Antiqua" w:hAnsi="Book Antiqua"/>
          <w:b/>
        </w:rPr>
        <w:sectPr w:rsidR="000577A3" w:rsidRPr="00E3232D" w:rsidSect="008F6BC9">
          <w:type w:val="continuous"/>
          <w:pgSz w:w="11907" w:h="16839" w:code="9"/>
          <w:pgMar w:top="720" w:right="1440" w:bottom="360" w:left="1440" w:header="708" w:footer="708" w:gutter="0"/>
          <w:cols w:num="2" w:space="708"/>
          <w:docGrid w:linePitch="360"/>
        </w:sectPr>
      </w:pPr>
    </w:p>
    <w:p w14:paraId="01486F24" w14:textId="77777777" w:rsidR="00C07BDF" w:rsidRDefault="000577A3" w:rsidP="008275E1">
      <w:pPr>
        <w:rPr>
          <w:rFonts w:ascii="Book Antiqua" w:hAnsi="Book Antiqua"/>
          <w:b/>
        </w:rPr>
      </w:pPr>
      <w:r w:rsidRPr="00E3232D">
        <w:rPr>
          <w:rFonts w:ascii="Book Antiqua" w:hAnsi="Book Antiqua"/>
          <w:b/>
        </w:rPr>
        <w:t xml:space="preserve"> </w:t>
      </w:r>
    </w:p>
    <w:p w14:paraId="52DC7285" w14:textId="77777777" w:rsidR="00F34CC9" w:rsidRDefault="00F34CC9" w:rsidP="00170D3A">
      <w:pPr>
        <w:rPr>
          <w:rFonts w:ascii="Book Antiqua" w:hAnsi="Book Antiqua"/>
          <w:b/>
        </w:rPr>
        <w:sectPr w:rsidR="00F34CC9" w:rsidSect="008F6BC9">
          <w:type w:val="continuous"/>
          <w:pgSz w:w="11907" w:h="16839" w:code="9"/>
          <w:pgMar w:top="720" w:right="1440" w:bottom="360" w:left="1440" w:header="708" w:footer="708" w:gutter="0"/>
          <w:cols w:space="708"/>
          <w:docGrid w:linePitch="360"/>
        </w:sectPr>
      </w:pPr>
    </w:p>
    <w:p w14:paraId="6E224C3B" w14:textId="77777777" w:rsidR="00F34CC9" w:rsidRDefault="00F34CC9" w:rsidP="008275E1">
      <w:pPr>
        <w:rPr>
          <w:rFonts w:ascii="Book Antiqua" w:hAnsi="Book Antiqua"/>
          <w:b/>
        </w:rPr>
        <w:sectPr w:rsidR="00F34CC9" w:rsidSect="00F34CC9">
          <w:type w:val="continuous"/>
          <w:pgSz w:w="11907" w:h="16839" w:code="9"/>
          <w:pgMar w:top="720" w:right="1440" w:bottom="360" w:left="1440" w:header="708" w:footer="708" w:gutter="0"/>
          <w:cols w:num="2" w:space="708"/>
          <w:docGrid w:linePitch="360"/>
        </w:sectPr>
      </w:pPr>
      <w:r>
        <w:rPr>
          <w:rFonts w:ascii="Book Antiqua" w:hAnsi="Book Antiqua"/>
          <w:b/>
        </w:rPr>
        <w:t>The Table o</w:t>
      </w:r>
      <w:r w:rsidRPr="00E3232D">
        <w:rPr>
          <w:rFonts w:ascii="Book Antiqua" w:hAnsi="Book Antiqua"/>
          <w:b/>
        </w:rPr>
        <w:t>f Resu</w:t>
      </w:r>
      <w:r>
        <w:rPr>
          <w:rFonts w:ascii="Book Antiqua" w:hAnsi="Book Antiqua"/>
          <w:b/>
        </w:rPr>
        <w:t>lts Showing t</w:t>
      </w:r>
      <w:r w:rsidRPr="00E3232D">
        <w:rPr>
          <w:rFonts w:ascii="Book Antiqua" w:hAnsi="Book Antiqua"/>
          <w:b/>
        </w:rPr>
        <w:t>he Various Gait Patterns</w:t>
      </w:r>
      <w:r w:rsidRPr="00E3232D">
        <w:rPr>
          <w:rFonts w:ascii="Book Antiqua" w:hAnsi="Book Antiqua"/>
        </w:rPr>
        <w:t xml:space="preserve">                                 </w:t>
      </w:r>
    </w:p>
    <w:p w14:paraId="34D358AA" w14:textId="77777777" w:rsidR="00170D3A" w:rsidRDefault="00170D3A" w:rsidP="008275E1">
      <w:pPr>
        <w:rPr>
          <w:rFonts w:ascii="Book Antiqua" w:hAnsi="Book Antiqua"/>
          <w:b/>
        </w:rPr>
      </w:pPr>
    </w:p>
    <w:tbl>
      <w:tblPr>
        <w:tblW w:w="1577" w:type="dxa"/>
        <w:tblBorders>
          <w:top w:val="single" w:sz="8" w:space="0" w:color="000000"/>
          <w:bottom w:val="single" w:sz="8" w:space="0" w:color="000000"/>
        </w:tblBorders>
        <w:tblLook w:val="05A0" w:firstRow="1" w:lastRow="0" w:firstColumn="1" w:lastColumn="1" w:noHBand="0" w:noVBand="1"/>
      </w:tblPr>
      <w:tblGrid>
        <w:gridCol w:w="1231"/>
        <w:gridCol w:w="1378"/>
        <w:gridCol w:w="1524"/>
        <w:gridCol w:w="950"/>
        <w:gridCol w:w="950"/>
        <w:gridCol w:w="876"/>
      </w:tblGrid>
      <w:tr w:rsidR="002705DB" w:rsidRPr="00CB33F0" w14:paraId="49818A9D" w14:textId="77777777" w:rsidTr="002705DB">
        <w:trPr>
          <w:trHeight w:val="937"/>
        </w:trPr>
        <w:tc>
          <w:tcPr>
            <w:tcW w:w="231" w:type="dxa"/>
            <w:tcBorders>
              <w:top w:val="single" w:sz="8" w:space="0" w:color="000000"/>
              <w:left w:val="nil"/>
              <w:bottom w:val="single" w:sz="8" w:space="0" w:color="000000"/>
              <w:right w:val="nil"/>
            </w:tcBorders>
            <w:shd w:val="clear" w:color="auto" w:fill="auto"/>
            <w:hideMark/>
          </w:tcPr>
          <w:p w14:paraId="2AFD3485"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NUMBER OF TRIAL</w:t>
            </w:r>
          </w:p>
        </w:tc>
        <w:tc>
          <w:tcPr>
            <w:tcW w:w="338" w:type="dxa"/>
            <w:tcBorders>
              <w:top w:val="single" w:sz="8" w:space="0" w:color="000000"/>
              <w:left w:val="nil"/>
              <w:bottom w:val="single" w:sz="8" w:space="0" w:color="000000"/>
              <w:right w:val="nil"/>
            </w:tcBorders>
            <w:shd w:val="clear" w:color="auto" w:fill="auto"/>
            <w:hideMark/>
          </w:tcPr>
          <w:p w14:paraId="4ED4A616"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GAIT ANALYSIS</w:t>
            </w:r>
          </w:p>
        </w:tc>
        <w:tc>
          <w:tcPr>
            <w:tcW w:w="303" w:type="dxa"/>
            <w:tcBorders>
              <w:top w:val="single" w:sz="8" w:space="0" w:color="000000"/>
              <w:left w:val="nil"/>
              <w:bottom w:val="single" w:sz="8" w:space="0" w:color="000000"/>
              <w:right w:val="nil"/>
            </w:tcBorders>
            <w:shd w:val="clear" w:color="auto" w:fill="auto"/>
            <w:hideMark/>
          </w:tcPr>
          <w:p w14:paraId="4EF476AE"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EXCELLENT </w:t>
            </w:r>
          </w:p>
        </w:tc>
        <w:tc>
          <w:tcPr>
            <w:tcW w:w="302" w:type="dxa"/>
            <w:tcBorders>
              <w:top w:val="single" w:sz="8" w:space="0" w:color="000000"/>
              <w:left w:val="nil"/>
              <w:bottom w:val="single" w:sz="8" w:space="0" w:color="000000"/>
              <w:right w:val="nil"/>
            </w:tcBorders>
            <w:shd w:val="clear" w:color="auto" w:fill="auto"/>
            <w:hideMark/>
          </w:tcPr>
          <w:p w14:paraId="1379BF24"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VERY GOOD</w:t>
            </w:r>
          </w:p>
        </w:tc>
        <w:tc>
          <w:tcPr>
            <w:tcW w:w="220" w:type="dxa"/>
            <w:tcBorders>
              <w:top w:val="single" w:sz="8" w:space="0" w:color="000000"/>
              <w:left w:val="nil"/>
              <w:bottom w:val="single" w:sz="8" w:space="0" w:color="000000"/>
              <w:right w:val="nil"/>
            </w:tcBorders>
            <w:shd w:val="clear" w:color="auto" w:fill="auto"/>
            <w:hideMark/>
          </w:tcPr>
          <w:p w14:paraId="40A677F5"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GOOD</w:t>
            </w:r>
          </w:p>
        </w:tc>
        <w:tc>
          <w:tcPr>
            <w:tcW w:w="183" w:type="dxa"/>
            <w:tcBorders>
              <w:top w:val="single" w:sz="8" w:space="0" w:color="000000"/>
              <w:left w:val="nil"/>
              <w:bottom w:val="single" w:sz="8" w:space="0" w:color="000000"/>
              <w:right w:val="nil"/>
            </w:tcBorders>
            <w:shd w:val="clear" w:color="auto" w:fill="auto"/>
            <w:hideMark/>
          </w:tcPr>
          <w:p w14:paraId="4D54CE77"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POOR</w:t>
            </w:r>
          </w:p>
        </w:tc>
      </w:tr>
      <w:tr w:rsidR="002705DB" w:rsidRPr="00CB33F0" w14:paraId="656F0C15" w14:textId="77777777" w:rsidTr="002705DB">
        <w:trPr>
          <w:trHeight w:val="430"/>
        </w:trPr>
        <w:tc>
          <w:tcPr>
            <w:tcW w:w="231" w:type="dxa"/>
            <w:vMerge w:val="restart"/>
            <w:tcBorders>
              <w:left w:val="nil"/>
              <w:right w:val="nil"/>
            </w:tcBorders>
            <w:shd w:val="clear" w:color="auto" w:fill="auto"/>
            <w:hideMark/>
          </w:tcPr>
          <w:p w14:paraId="09AF8BA5"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1</w:t>
            </w:r>
          </w:p>
        </w:tc>
        <w:tc>
          <w:tcPr>
            <w:tcW w:w="338" w:type="dxa"/>
            <w:tcBorders>
              <w:left w:val="nil"/>
              <w:right w:val="nil"/>
            </w:tcBorders>
            <w:shd w:val="clear" w:color="auto" w:fill="auto"/>
            <w:hideMark/>
          </w:tcPr>
          <w:p w14:paraId="2E8CEDEB"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Heel strike</w:t>
            </w:r>
          </w:p>
        </w:tc>
        <w:tc>
          <w:tcPr>
            <w:tcW w:w="303" w:type="dxa"/>
            <w:tcBorders>
              <w:left w:val="nil"/>
              <w:right w:val="nil"/>
            </w:tcBorders>
            <w:shd w:val="clear" w:color="auto" w:fill="auto"/>
            <w:hideMark/>
          </w:tcPr>
          <w:p w14:paraId="6F9013F4"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302" w:type="dxa"/>
            <w:tcBorders>
              <w:left w:val="nil"/>
              <w:right w:val="nil"/>
            </w:tcBorders>
            <w:shd w:val="clear" w:color="auto" w:fill="auto"/>
            <w:hideMark/>
          </w:tcPr>
          <w:p w14:paraId="055A71B4"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220" w:type="dxa"/>
            <w:tcBorders>
              <w:left w:val="nil"/>
              <w:right w:val="nil"/>
            </w:tcBorders>
            <w:shd w:val="clear" w:color="auto" w:fill="auto"/>
            <w:hideMark/>
          </w:tcPr>
          <w:p w14:paraId="79C8B5D1"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w:t>
            </w:r>
          </w:p>
        </w:tc>
        <w:tc>
          <w:tcPr>
            <w:tcW w:w="183" w:type="dxa"/>
            <w:tcBorders>
              <w:left w:val="nil"/>
              <w:right w:val="nil"/>
            </w:tcBorders>
            <w:shd w:val="clear" w:color="auto" w:fill="auto"/>
            <w:hideMark/>
          </w:tcPr>
          <w:p w14:paraId="23F4124E"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1ACA9BC6" w14:textId="77777777" w:rsidTr="002705DB">
        <w:trPr>
          <w:trHeight w:val="585"/>
        </w:trPr>
        <w:tc>
          <w:tcPr>
            <w:tcW w:w="0" w:type="auto"/>
            <w:vMerge/>
            <w:shd w:val="clear" w:color="auto" w:fill="auto"/>
            <w:hideMark/>
          </w:tcPr>
          <w:p w14:paraId="702F61FC" w14:textId="77777777" w:rsidR="00AB182C" w:rsidRPr="00CB33F0" w:rsidRDefault="00AB182C" w:rsidP="002705DB">
            <w:pPr>
              <w:spacing w:after="0" w:line="240" w:lineRule="auto"/>
              <w:rPr>
                <w:rFonts w:ascii="Book Antiqua" w:hAnsi="Book Antiqua"/>
                <w:b/>
                <w:bCs/>
                <w:color w:val="000000"/>
              </w:rPr>
            </w:pPr>
          </w:p>
        </w:tc>
        <w:tc>
          <w:tcPr>
            <w:tcW w:w="338" w:type="dxa"/>
            <w:shd w:val="clear" w:color="auto" w:fill="auto"/>
            <w:hideMark/>
          </w:tcPr>
          <w:p w14:paraId="64CEF103"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Total floor contact</w:t>
            </w:r>
          </w:p>
        </w:tc>
        <w:tc>
          <w:tcPr>
            <w:tcW w:w="303" w:type="dxa"/>
            <w:shd w:val="clear" w:color="auto" w:fill="auto"/>
            <w:hideMark/>
          </w:tcPr>
          <w:p w14:paraId="7200F2A7"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302" w:type="dxa"/>
            <w:shd w:val="clear" w:color="auto" w:fill="auto"/>
            <w:hideMark/>
          </w:tcPr>
          <w:p w14:paraId="2969E675"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 </w:t>
            </w:r>
          </w:p>
        </w:tc>
        <w:tc>
          <w:tcPr>
            <w:tcW w:w="220" w:type="dxa"/>
            <w:shd w:val="clear" w:color="auto" w:fill="auto"/>
            <w:hideMark/>
          </w:tcPr>
          <w:p w14:paraId="5EBADEA9"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183" w:type="dxa"/>
            <w:shd w:val="clear" w:color="auto" w:fill="auto"/>
            <w:hideMark/>
          </w:tcPr>
          <w:p w14:paraId="41FCD029"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0D416F73" w14:textId="77777777" w:rsidTr="002705DB">
        <w:trPr>
          <w:trHeight w:val="477"/>
        </w:trPr>
        <w:tc>
          <w:tcPr>
            <w:tcW w:w="0" w:type="auto"/>
            <w:vMerge/>
            <w:tcBorders>
              <w:left w:val="nil"/>
              <w:right w:val="nil"/>
            </w:tcBorders>
            <w:shd w:val="clear" w:color="auto" w:fill="auto"/>
            <w:hideMark/>
          </w:tcPr>
          <w:p w14:paraId="69C6BD77" w14:textId="77777777" w:rsidR="00AB182C" w:rsidRPr="00CB33F0" w:rsidRDefault="00AB182C" w:rsidP="002705DB">
            <w:pPr>
              <w:spacing w:after="0" w:line="240" w:lineRule="auto"/>
              <w:rPr>
                <w:rFonts w:ascii="Book Antiqua" w:hAnsi="Book Antiqua"/>
                <w:b/>
                <w:bCs/>
                <w:color w:val="000000"/>
              </w:rPr>
            </w:pPr>
          </w:p>
        </w:tc>
        <w:tc>
          <w:tcPr>
            <w:tcW w:w="338" w:type="dxa"/>
            <w:tcBorders>
              <w:left w:val="nil"/>
              <w:right w:val="nil"/>
            </w:tcBorders>
            <w:shd w:val="clear" w:color="auto" w:fill="auto"/>
            <w:hideMark/>
          </w:tcPr>
          <w:p w14:paraId="085F6376"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Mid stance</w:t>
            </w:r>
          </w:p>
        </w:tc>
        <w:tc>
          <w:tcPr>
            <w:tcW w:w="303" w:type="dxa"/>
            <w:tcBorders>
              <w:left w:val="nil"/>
              <w:right w:val="nil"/>
            </w:tcBorders>
            <w:shd w:val="clear" w:color="auto" w:fill="auto"/>
            <w:hideMark/>
          </w:tcPr>
          <w:p w14:paraId="4E77688E"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w:t>
            </w:r>
          </w:p>
        </w:tc>
        <w:tc>
          <w:tcPr>
            <w:tcW w:w="302" w:type="dxa"/>
            <w:tcBorders>
              <w:left w:val="nil"/>
              <w:right w:val="nil"/>
            </w:tcBorders>
            <w:shd w:val="clear" w:color="auto" w:fill="auto"/>
            <w:hideMark/>
          </w:tcPr>
          <w:p w14:paraId="55F2DC63"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220" w:type="dxa"/>
            <w:tcBorders>
              <w:left w:val="nil"/>
              <w:right w:val="nil"/>
            </w:tcBorders>
            <w:shd w:val="clear" w:color="auto" w:fill="auto"/>
            <w:hideMark/>
          </w:tcPr>
          <w:p w14:paraId="60FDA2C5"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183" w:type="dxa"/>
            <w:tcBorders>
              <w:left w:val="nil"/>
              <w:right w:val="nil"/>
            </w:tcBorders>
            <w:shd w:val="clear" w:color="auto" w:fill="auto"/>
            <w:hideMark/>
          </w:tcPr>
          <w:p w14:paraId="7D5A537A"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091ED0FE" w14:textId="77777777" w:rsidTr="002705DB">
        <w:trPr>
          <w:trHeight w:val="779"/>
        </w:trPr>
        <w:tc>
          <w:tcPr>
            <w:tcW w:w="0" w:type="auto"/>
            <w:vMerge/>
            <w:shd w:val="clear" w:color="auto" w:fill="auto"/>
            <w:hideMark/>
          </w:tcPr>
          <w:p w14:paraId="225D59A2" w14:textId="77777777" w:rsidR="00AB182C" w:rsidRPr="00CB33F0" w:rsidRDefault="00AB182C" w:rsidP="002705DB">
            <w:pPr>
              <w:spacing w:after="0" w:line="240" w:lineRule="auto"/>
              <w:rPr>
                <w:rFonts w:ascii="Book Antiqua" w:hAnsi="Book Antiqua"/>
                <w:b/>
                <w:bCs/>
                <w:color w:val="000000"/>
              </w:rPr>
            </w:pPr>
          </w:p>
        </w:tc>
        <w:tc>
          <w:tcPr>
            <w:tcW w:w="338" w:type="dxa"/>
            <w:shd w:val="clear" w:color="auto" w:fill="auto"/>
            <w:hideMark/>
          </w:tcPr>
          <w:p w14:paraId="724460EF"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Heel off and toe off</w:t>
            </w:r>
          </w:p>
        </w:tc>
        <w:tc>
          <w:tcPr>
            <w:tcW w:w="303" w:type="dxa"/>
            <w:shd w:val="clear" w:color="auto" w:fill="auto"/>
            <w:hideMark/>
          </w:tcPr>
          <w:p w14:paraId="44479CCC"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 </w:t>
            </w:r>
          </w:p>
        </w:tc>
        <w:tc>
          <w:tcPr>
            <w:tcW w:w="302" w:type="dxa"/>
            <w:shd w:val="clear" w:color="auto" w:fill="auto"/>
            <w:hideMark/>
          </w:tcPr>
          <w:p w14:paraId="0A570E36"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220" w:type="dxa"/>
            <w:shd w:val="clear" w:color="auto" w:fill="auto"/>
            <w:hideMark/>
          </w:tcPr>
          <w:p w14:paraId="48C8E7C3"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183" w:type="dxa"/>
            <w:shd w:val="clear" w:color="auto" w:fill="auto"/>
            <w:hideMark/>
          </w:tcPr>
          <w:p w14:paraId="5E6FFBE1" w14:textId="77777777" w:rsidR="00AB182C" w:rsidRPr="00CB33F0" w:rsidRDefault="00AB182C" w:rsidP="002705DB">
            <w:pPr>
              <w:spacing w:after="0" w:line="240" w:lineRule="auto"/>
              <w:rPr>
                <w:rFonts w:ascii="Book Antiqua" w:hAnsi="Book Antiqua"/>
                <w:b/>
                <w:bCs/>
                <w:color w:val="000000"/>
              </w:rPr>
            </w:pPr>
          </w:p>
        </w:tc>
      </w:tr>
      <w:tr w:rsidR="002705DB" w:rsidRPr="00CB33F0" w14:paraId="4B4C93B5" w14:textId="77777777" w:rsidTr="002705DB">
        <w:trPr>
          <w:trHeight w:val="513"/>
        </w:trPr>
        <w:tc>
          <w:tcPr>
            <w:tcW w:w="0" w:type="auto"/>
            <w:vMerge/>
            <w:tcBorders>
              <w:left w:val="nil"/>
              <w:right w:val="nil"/>
            </w:tcBorders>
            <w:shd w:val="clear" w:color="auto" w:fill="auto"/>
            <w:hideMark/>
          </w:tcPr>
          <w:p w14:paraId="7E44431D" w14:textId="77777777" w:rsidR="00AB182C" w:rsidRPr="00CB33F0" w:rsidRDefault="00AB182C" w:rsidP="002705DB">
            <w:pPr>
              <w:spacing w:after="0" w:line="240" w:lineRule="auto"/>
              <w:rPr>
                <w:rFonts w:ascii="Book Antiqua" w:hAnsi="Book Antiqua"/>
                <w:b/>
                <w:bCs/>
                <w:color w:val="000000"/>
              </w:rPr>
            </w:pPr>
          </w:p>
        </w:tc>
        <w:tc>
          <w:tcPr>
            <w:tcW w:w="338" w:type="dxa"/>
            <w:tcBorders>
              <w:left w:val="nil"/>
              <w:right w:val="nil"/>
            </w:tcBorders>
            <w:shd w:val="clear" w:color="auto" w:fill="auto"/>
            <w:hideMark/>
          </w:tcPr>
          <w:p w14:paraId="1BCF9B22"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Mid swing</w:t>
            </w:r>
          </w:p>
        </w:tc>
        <w:tc>
          <w:tcPr>
            <w:tcW w:w="303" w:type="dxa"/>
            <w:tcBorders>
              <w:left w:val="nil"/>
              <w:right w:val="nil"/>
            </w:tcBorders>
            <w:shd w:val="clear" w:color="auto" w:fill="auto"/>
            <w:hideMark/>
          </w:tcPr>
          <w:p w14:paraId="067F3AE7"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302" w:type="dxa"/>
            <w:tcBorders>
              <w:left w:val="nil"/>
              <w:right w:val="nil"/>
            </w:tcBorders>
            <w:shd w:val="clear" w:color="auto" w:fill="auto"/>
            <w:hideMark/>
          </w:tcPr>
          <w:p w14:paraId="5A035156"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w:t>
            </w:r>
          </w:p>
        </w:tc>
        <w:tc>
          <w:tcPr>
            <w:tcW w:w="220" w:type="dxa"/>
            <w:tcBorders>
              <w:left w:val="nil"/>
              <w:right w:val="nil"/>
            </w:tcBorders>
            <w:shd w:val="clear" w:color="auto" w:fill="auto"/>
            <w:hideMark/>
          </w:tcPr>
          <w:p w14:paraId="4C542A88"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183" w:type="dxa"/>
            <w:tcBorders>
              <w:left w:val="nil"/>
              <w:right w:val="nil"/>
            </w:tcBorders>
            <w:shd w:val="clear" w:color="auto" w:fill="auto"/>
            <w:hideMark/>
          </w:tcPr>
          <w:p w14:paraId="53F07886"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3D4A6D8B" w14:textId="77777777" w:rsidTr="002705DB">
        <w:trPr>
          <w:trHeight w:val="432"/>
        </w:trPr>
        <w:tc>
          <w:tcPr>
            <w:tcW w:w="231" w:type="dxa"/>
            <w:vMerge w:val="restart"/>
            <w:shd w:val="clear" w:color="auto" w:fill="auto"/>
            <w:hideMark/>
          </w:tcPr>
          <w:p w14:paraId="53CB573A"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2</w:t>
            </w:r>
          </w:p>
        </w:tc>
        <w:tc>
          <w:tcPr>
            <w:tcW w:w="338" w:type="dxa"/>
            <w:shd w:val="clear" w:color="auto" w:fill="auto"/>
            <w:hideMark/>
          </w:tcPr>
          <w:p w14:paraId="3ADE290F"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Heel strike</w:t>
            </w:r>
          </w:p>
        </w:tc>
        <w:tc>
          <w:tcPr>
            <w:tcW w:w="303" w:type="dxa"/>
            <w:shd w:val="clear" w:color="auto" w:fill="auto"/>
            <w:hideMark/>
          </w:tcPr>
          <w:p w14:paraId="77D9E7E2"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w:t>
            </w:r>
          </w:p>
        </w:tc>
        <w:tc>
          <w:tcPr>
            <w:tcW w:w="302" w:type="dxa"/>
            <w:shd w:val="clear" w:color="auto" w:fill="auto"/>
            <w:hideMark/>
          </w:tcPr>
          <w:p w14:paraId="7DA1B538"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220" w:type="dxa"/>
            <w:shd w:val="clear" w:color="auto" w:fill="auto"/>
            <w:hideMark/>
          </w:tcPr>
          <w:p w14:paraId="3FB229BE"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183" w:type="dxa"/>
            <w:shd w:val="clear" w:color="auto" w:fill="auto"/>
            <w:hideMark/>
          </w:tcPr>
          <w:p w14:paraId="30F8365D"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70DB6A74" w14:textId="77777777" w:rsidTr="002705DB">
        <w:trPr>
          <w:trHeight w:val="540"/>
        </w:trPr>
        <w:tc>
          <w:tcPr>
            <w:tcW w:w="0" w:type="auto"/>
            <w:vMerge/>
            <w:tcBorders>
              <w:left w:val="nil"/>
              <w:right w:val="nil"/>
            </w:tcBorders>
            <w:shd w:val="clear" w:color="auto" w:fill="auto"/>
            <w:hideMark/>
          </w:tcPr>
          <w:p w14:paraId="6B594C94" w14:textId="77777777" w:rsidR="00AB182C" w:rsidRPr="00CB33F0" w:rsidRDefault="00AB182C" w:rsidP="002705DB">
            <w:pPr>
              <w:spacing w:after="0" w:line="240" w:lineRule="auto"/>
              <w:rPr>
                <w:rFonts w:ascii="Book Antiqua" w:hAnsi="Book Antiqua"/>
                <w:b/>
                <w:bCs/>
                <w:color w:val="000000"/>
              </w:rPr>
            </w:pPr>
          </w:p>
        </w:tc>
        <w:tc>
          <w:tcPr>
            <w:tcW w:w="338" w:type="dxa"/>
            <w:tcBorders>
              <w:left w:val="nil"/>
              <w:right w:val="nil"/>
            </w:tcBorders>
            <w:shd w:val="clear" w:color="auto" w:fill="auto"/>
            <w:hideMark/>
          </w:tcPr>
          <w:p w14:paraId="5BDBB6DC"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Total  floor contact</w:t>
            </w:r>
          </w:p>
        </w:tc>
        <w:tc>
          <w:tcPr>
            <w:tcW w:w="303" w:type="dxa"/>
            <w:tcBorders>
              <w:left w:val="nil"/>
              <w:right w:val="nil"/>
            </w:tcBorders>
            <w:shd w:val="clear" w:color="auto" w:fill="auto"/>
            <w:hideMark/>
          </w:tcPr>
          <w:p w14:paraId="170301BF"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 </w:t>
            </w:r>
          </w:p>
        </w:tc>
        <w:tc>
          <w:tcPr>
            <w:tcW w:w="302" w:type="dxa"/>
            <w:tcBorders>
              <w:left w:val="nil"/>
              <w:right w:val="nil"/>
            </w:tcBorders>
            <w:shd w:val="clear" w:color="auto" w:fill="auto"/>
            <w:hideMark/>
          </w:tcPr>
          <w:p w14:paraId="6966BE79"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220" w:type="dxa"/>
            <w:tcBorders>
              <w:left w:val="nil"/>
              <w:right w:val="nil"/>
            </w:tcBorders>
            <w:shd w:val="clear" w:color="auto" w:fill="auto"/>
            <w:hideMark/>
          </w:tcPr>
          <w:p w14:paraId="25A609BE"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183" w:type="dxa"/>
            <w:tcBorders>
              <w:left w:val="nil"/>
              <w:right w:val="nil"/>
            </w:tcBorders>
            <w:shd w:val="clear" w:color="auto" w:fill="auto"/>
            <w:hideMark/>
          </w:tcPr>
          <w:p w14:paraId="6DD07312"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168002BE" w14:textId="77777777" w:rsidTr="002705DB">
        <w:trPr>
          <w:trHeight w:val="612"/>
        </w:trPr>
        <w:tc>
          <w:tcPr>
            <w:tcW w:w="0" w:type="auto"/>
            <w:vMerge/>
            <w:shd w:val="clear" w:color="auto" w:fill="auto"/>
            <w:hideMark/>
          </w:tcPr>
          <w:p w14:paraId="2C8FDA27" w14:textId="77777777" w:rsidR="00AB182C" w:rsidRPr="00CB33F0" w:rsidRDefault="00AB182C" w:rsidP="002705DB">
            <w:pPr>
              <w:spacing w:after="0" w:line="240" w:lineRule="auto"/>
              <w:rPr>
                <w:rFonts w:ascii="Book Antiqua" w:hAnsi="Book Antiqua"/>
                <w:b/>
                <w:bCs/>
                <w:color w:val="000000"/>
              </w:rPr>
            </w:pPr>
          </w:p>
        </w:tc>
        <w:tc>
          <w:tcPr>
            <w:tcW w:w="338" w:type="dxa"/>
            <w:shd w:val="clear" w:color="auto" w:fill="auto"/>
            <w:hideMark/>
          </w:tcPr>
          <w:p w14:paraId="25B0E74E"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Mid stance</w:t>
            </w:r>
          </w:p>
        </w:tc>
        <w:tc>
          <w:tcPr>
            <w:tcW w:w="303" w:type="dxa"/>
            <w:shd w:val="clear" w:color="auto" w:fill="auto"/>
            <w:hideMark/>
          </w:tcPr>
          <w:p w14:paraId="0EA66CB6"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302" w:type="dxa"/>
            <w:shd w:val="clear" w:color="auto" w:fill="auto"/>
            <w:hideMark/>
          </w:tcPr>
          <w:p w14:paraId="21A53FA3"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 </w:t>
            </w:r>
          </w:p>
        </w:tc>
        <w:tc>
          <w:tcPr>
            <w:tcW w:w="220" w:type="dxa"/>
            <w:shd w:val="clear" w:color="auto" w:fill="auto"/>
            <w:hideMark/>
          </w:tcPr>
          <w:p w14:paraId="5B87088F"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183" w:type="dxa"/>
            <w:shd w:val="clear" w:color="auto" w:fill="auto"/>
            <w:hideMark/>
          </w:tcPr>
          <w:p w14:paraId="66604690"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7A662500" w14:textId="77777777" w:rsidTr="002705DB">
        <w:trPr>
          <w:trHeight w:val="702"/>
        </w:trPr>
        <w:tc>
          <w:tcPr>
            <w:tcW w:w="0" w:type="auto"/>
            <w:vMerge/>
            <w:tcBorders>
              <w:left w:val="nil"/>
              <w:right w:val="nil"/>
            </w:tcBorders>
            <w:shd w:val="clear" w:color="auto" w:fill="auto"/>
            <w:hideMark/>
          </w:tcPr>
          <w:p w14:paraId="47F5F33D" w14:textId="77777777" w:rsidR="00AB182C" w:rsidRPr="00CB33F0" w:rsidRDefault="00AB182C" w:rsidP="002705DB">
            <w:pPr>
              <w:spacing w:after="0" w:line="240" w:lineRule="auto"/>
              <w:rPr>
                <w:rFonts w:ascii="Book Antiqua" w:hAnsi="Book Antiqua"/>
                <w:b/>
                <w:bCs/>
                <w:color w:val="000000"/>
              </w:rPr>
            </w:pPr>
          </w:p>
        </w:tc>
        <w:tc>
          <w:tcPr>
            <w:tcW w:w="338" w:type="dxa"/>
            <w:tcBorders>
              <w:left w:val="nil"/>
              <w:right w:val="nil"/>
            </w:tcBorders>
            <w:shd w:val="clear" w:color="auto" w:fill="auto"/>
            <w:hideMark/>
          </w:tcPr>
          <w:p w14:paraId="41813830"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Heel off and toe off</w:t>
            </w:r>
          </w:p>
        </w:tc>
        <w:tc>
          <w:tcPr>
            <w:tcW w:w="303" w:type="dxa"/>
            <w:tcBorders>
              <w:left w:val="nil"/>
              <w:right w:val="nil"/>
            </w:tcBorders>
            <w:shd w:val="clear" w:color="auto" w:fill="auto"/>
            <w:hideMark/>
          </w:tcPr>
          <w:p w14:paraId="155558CA"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 </w:t>
            </w:r>
          </w:p>
        </w:tc>
        <w:tc>
          <w:tcPr>
            <w:tcW w:w="302" w:type="dxa"/>
            <w:tcBorders>
              <w:left w:val="nil"/>
              <w:right w:val="nil"/>
            </w:tcBorders>
            <w:shd w:val="clear" w:color="auto" w:fill="auto"/>
            <w:hideMark/>
          </w:tcPr>
          <w:p w14:paraId="063BFE93"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220" w:type="dxa"/>
            <w:tcBorders>
              <w:left w:val="nil"/>
              <w:right w:val="nil"/>
            </w:tcBorders>
            <w:shd w:val="clear" w:color="auto" w:fill="auto"/>
            <w:hideMark/>
          </w:tcPr>
          <w:p w14:paraId="46A201ED"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183" w:type="dxa"/>
            <w:tcBorders>
              <w:left w:val="nil"/>
              <w:right w:val="nil"/>
            </w:tcBorders>
            <w:shd w:val="clear" w:color="auto" w:fill="auto"/>
            <w:hideMark/>
          </w:tcPr>
          <w:p w14:paraId="5030C799"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3493AF6A" w14:textId="77777777" w:rsidTr="002705DB">
        <w:trPr>
          <w:trHeight w:val="522"/>
        </w:trPr>
        <w:tc>
          <w:tcPr>
            <w:tcW w:w="0" w:type="auto"/>
            <w:vMerge/>
            <w:shd w:val="clear" w:color="auto" w:fill="auto"/>
            <w:hideMark/>
          </w:tcPr>
          <w:p w14:paraId="3BA66AD6" w14:textId="77777777" w:rsidR="00AB182C" w:rsidRPr="00CB33F0" w:rsidRDefault="00AB182C" w:rsidP="002705DB">
            <w:pPr>
              <w:spacing w:after="0" w:line="240" w:lineRule="auto"/>
              <w:rPr>
                <w:rFonts w:ascii="Book Antiqua" w:hAnsi="Book Antiqua"/>
                <w:b/>
                <w:bCs/>
                <w:color w:val="000000"/>
              </w:rPr>
            </w:pPr>
          </w:p>
        </w:tc>
        <w:tc>
          <w:tcPr>
            <w:tcW w:w="338" w:type="dxa"/>
            <w:shd w:val="clear" w:color="auto" w:fill="auto"/>
            <w:hideMark/>
          </w:tcPr>
          <w:p w14:paraId="7A5D54B4"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Mid swing</w:t>
            </w:r>
          </w:p>
        </w:tc>
        <w:tc>
          <w:tcPr>
            <w:tcW w:w="303" w:type="dxa"/>
            <w:shd w:val="clear" w:color="auto" w:fill="auto"/>
            <w:hideMark/>
          </w:tcPr>
          <w:p w14:paraId="698769BC"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 </w:t>
            </w:r>
          </w:p>
        </w:tc>
        <w:tc>
          <w:tcPr>
            <w:tcW w:w="302" w:type="dxa"/>
            <w:shd w:val="clear" w:color="auto" w:fill="auto"/>
            <w:hideMark/>
          </w:tcPr>
          <w:p w14:paraId="0AF04451"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220" w:type="dxa"/>
            <w:shd w:val="clear" w:color="auto" w:fill="auto"/>
            <w:hideMark/>
          </w:tcPr>
          <w:p w14:paraId="3E7983EF" w14:textId="77777777" w:rsidR="00AB182C" w:rsidRPr="00CB33F0" w:rsidRDefault="00AB182C" w:rsidP="002705DB">
            <w:pPr>
              <w:spacing w:after="0" w:line="240" w:lineRule="auto"/>
              <w:rPr>
                <w:rFonts w:ascii="Book Antiqua" w:hAnsi="Book Antiqua"/>
                <w:color w:val="000000"/>
              </w:rPr>
            </w:pPr>
            <w:r w:rsidRPr="00CB33F0">
              <w:rPr>
                <w:rFonts w:ascii="Book Antiqua" w:hAnsi="Book Antiqua"/>
                <w:color w:val="000000"/>
              </w:rPr>
              <w:t xml:space="preserve">_ </w:t>
            </w:r>
          </w:p>
        </w:tc>
        <w:tc>
          <w:tcPr>
            <w:tcW w:w="183" w:type="dxa"/>
            <w:shd w:val="clear" w:color="auto" w:fill="auto"/>
            <w:hideMark/>
          </w:tcPr>
          <w:p w14:paraId="56C73D9E" w14:textId="77777777" w:rsidR="00AB182C" w:rsidRPr="00CB33F0" w:rsidRDefault="00AB182C" w:rsidP="002705DB">
            <w:pPr>
              <w:spacing w:after="0"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67440741" w14:textId="77777777" w:rsidTr="002705DB">
        <w:trPr>
          <w:trHeight w:val="630"/>
        </w:trPr>
        <w:tc>
          <w:tcPr>
            <w:tcW w:w="0" w:type="auto"/>
            <w:tcBorders>
              <w:left w:val="nil"/>
              <w:right w:val="nil"/>
            </w:tcBorders>
            <w:shd w:val="clear" w:color="auto" w:fill="auto"/>
            <w:hideMark/>
          </w:tcPr>
          <w:p w14:paraId="20BD4742"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lastRenderedPageBreak/>
              <w:t xml:space="preserve">3 </w:t>
            </w:r>
          </w:p>
        </w:tc>
        <w:tc>
          <w:tcPr>
            <w:tcW w:w="1328" w:type="dxa"/>
            <w:tcBorders>
              <w:left w:val="nil"/>
              <w:right w:val="nil"/>
            </w:tcBorders>
            <w:shd w:val="clear" w:color="auto" w:fill="auto"/>
            <w:hideMark/>
          </w:tcPr>
          <w:p w14:paraId="186368F9"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Heel strike </w:t>
            </w:r>
          </w:p>
        </w:tc>
        <w:tc>
          <w:tcPr>
            <w:tcW w:w="1509" w:type="dxa"/>
            <w:tcBorders>
              <w:left w:val="nil"/>
              <w:right w:val="nil"/>
            </w:tcBorders>
            <w:shd w:val="clear" w:color="auto" w:fill="auto"/>
            <w:hideMark/>
          </w:tcPr>
          <w:p w14:paraId="38BEE290"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w:t>
            </w:r>
          </w:p>
        </w:tc>
        <w:tc>
          <w:tcPr>
            <w:tcW w:w="901" w:type="dxa"/>
            <w:tcBorders>
              <w:left w:val="nil"/>
              <w:right w:val="nil"/>
            </w:tcBorders>
            <w:shd w:val="clear" w:color="auto" w:fill="auto"/>
            <w:hideMark/>
          </w:tcPr>
          <w:p w14:paraId="0E067A71"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tcBorders>
              <w:left w:val="nil"/>
              <w:right w:val="nil"/>
            </w:tcBorders>
            <w:shd w:val="clear" w:color="auto" w:fill="auto"/>
            <w:hideMark/>
          </w:tcPr>
          <w:p w14:paraId="29940982"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tcBorders>
              <w:left w:val="nil"/>
              <w:right w:val="nil"/>
            </w:tcBorders>
            <w:shd w:val="clear" w:color="auto" w:fill="auto"/>
            <w:hideMark/>
          </w:tcPr>
          <w:p w14:paraId="2F3D8C81"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030187B6" w14:textId="77777777" w:rsidTr="002705DB">
        <w:trPr>
          <w:trHeight w:val="630"/>
        </w:trPr>
        <w:tc>
          <w:tcPr>
            <w:tcW w:w="0" w:type="auto"/>
            <w:shd w:val="clear" w:color="auto" w:fill="auto"/>
          </w:tcPr>
          <w:p w14:paraId="37D73303" w14:textId="77777777" w:rsidR="00F34CC9" w:rsidRPr="00CB33F0" w:rsidRDefault="00F34CC9" w:rsidP="002705DB">
            <w:pPr>
              <w:spacing w:line="240" w:lineRule="auto"/>
              <w:rPr>
                <w:rFonts w:ascii="Book Antiqua" w:hAnsi="Book Antiqua"/>
                <w:b/>
                <w:bCs/>
                <w:color w:val="000000"/>
              </w:rPr>
            </w:pPr>
          </w:p>
        </w:tc>
        <w:tc>
          <w:tcPr>
            <w:tcW w:w="1328" w:type="dxa"/>
            <w:shd w:val="clear" w:color="auto" w:fill="auto"/>
          </w:tcPr>
          <w:p w14:paraId="55CCD13B"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Total floor contact </w:t>
            </w:r>
          </w:p>
        </w:tc>
        <w:tc>
          <w:tcPr>
            <w:tcW w:w="1509" w:type="dxa"/>
            <w:shd w:val="clear" w:color="auto" w:fill="auto"/>
          </w:tcPr>
          <w:p w14:paraId="2D83A7CA"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shd w:val="clear" w:color="auto" w:fill="auto"/>
          </w:tcPr>
          <w:p w14:paraId="2EC8C4AE"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 </w:t>
            </w:r>
          </w:p>
        </w:tc>
        <w:tc>
          <w:tcPr>
            <w:tcW w:w="901" w:type="dxa"/>
            <w:shd w:val="clear" w:color="auto" w:fill="auto"/>
          </w:tcPr>
          <w:p w14:paraId="672E07F2"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shd w:val="clear" w:color="auto" w:fill="auto"/>
          </w:tcPr>
          <w:p w14:paraId="6BF3CCB7"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109F3AB9" w14:textId="77777777" w:rsidTr="002705DB">
        <w:trPr>
          <w:trHeight w:val="612"/>
        </w:trPr>
        <w:tc>
          <w:tcPr>
            <w:tcW w:w="0" w:type="auto"/>
            <w:tcBorders>
              <w:left w:val="nil"/>
              <w:right w:val="nil"/>
            </w:tcBorders>
            <w:shd w:val="clear" w:color="auto" w:fill="auto"/>
          </w:tcPr>
          <w:p w14:paraId="6CC01513" w14:textId="77777777" w:rsidR="00F34CC9" w:rsidRPr="00CB33F0" w:rsidRDefault="00F34CC9" w:rsidP="002705DB">
            <w:pPr>
              <w:spacing w:line="240" w:lineRule="auto"/>
              <w:rPr>
                <w:rFonts w:ascii="Book Antiqua" w:hAnsi="Book Antiqua"/>
                <w:b/>
                <w:bCs/>
                <w:color w:val="000000"/>
              </w:rPr>
            </w:pPr>
          </w:p>
        </w:tc>
        <w:tc>
          <w:tcPr>
            <w:tcW w:w="1328" w:type="dxa"/>
            <w:tcBorders>
              <w:left w:val="nil"/>
              <w:right w:val="nil"/>
            </w:tcBorders>
            <w:shd w:val="clear" w:color="auto" w:fill="auto"/>
          </w:tcPr>
          <w:p w14:paraId="1FF57072"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Mid stance </w:t>
            </w:r>
          </w:p>
        </w:tc>
        <w:tc>
          <w:tcPr>
            <w:tcW w:w="1509" w:type="dxa"/>
            <w:tcBorders>
              <w:left w:val="nil"/>
              <w:right w:val="nil"/>
            </w:tcBorders>
            <w:shd w:val="clear" w:color="auto" w:fill="auto"/>
          </w:tcPr>
          <w:p w14:paraId="25E7773E"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tcBorders>
              <w:left w:val="nil"/>
              <w:right w:val="nil"/>
            </w:tcBorders>
            <w:shd w:val="clear" w:color="auto" w:fill="auto"/>
          </w:tcPr>
          <w:p w14:paraId="3BD65759"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w:t>
            </w:r>
          </w:p>
        </w:tc>
        <w:tc>
          <w:tcPr>
            <w:tcW w:w="901" w:type="dxa"/>
            <w:tcBorders>
              <w:left w:val="nil"/>
              <w:right w:val="nil"/>
            </w:tcBorders>
            <w:shd w:val="clear" w:color="auto" w:fill="auto"/>
          </w:tcPr>
          <w:p w14:paraId="28E1B24C"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tcBorders>
              <w:left w:val="nil"/>
              <w:right w:val="nil"/>
            </w:tcBorders>
            <w:shd w:val="clear" w:color="auto" w:fill="auto"/>
          </w:tcPr>
          <w:p w14:paraId="7581D397"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16EC3B7B" w14:textId="77777777" w:rsidTr="002705DB">
        <w:trPr>
          <w:trHeight w:val="761"/>
        </w:trPr>
        <w:tc>
          <w:tcPr>
            <w:tcW w:w="0" w:type="auto"/>
            <w:shd w:val="clear" w:color="auto" w:fill="auto"/>
          </w:tcPr>
          <w:p w14:paraId="479C9037" w14:textId="77777777" w:rsidR="00F34CC9" w:rsidRPr="00CB33F0" w:rsidRDefault="00F34CC9" w:rsidP="002705DB">
            <w:pPr>
              <w:spacing w:line="240" w:lineRule="auto"/>
              <w:rPr>
                <w:rFonts w:ascii="Book Antiqua" w:hAnsi="Book Antiqua"/>
                <w:b/>
                <w:bCs/>
                <w:color w:val="000000"/>
              </w:rPr>
            </w:pPr>
          </w:p>
        </w:tc>
        <w:tc>
          <w:tcPr>
            <w:tcW w:w="1328" w:type="dxa"/>
            <w:shd w:val="clear" w:color="auto" w:fill="auto"/>
          </w:tcPr>
          <w:p w14:paraId="5C5572FB"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Heel off and toe off </w:t>
            </w:r>
          </w:p>
        </w:tc>
        <w:tc>
          <w:tcPr>
            <w:tcW w:w="1509" w:type="dxa"/>
            <w:shd w:val="clear" w:color="auto" w:fill="auto"/>
          </w:tcPr>
          <w:p w14:paraId="552901B1"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 </w:t>
            </w:r>
          </w:p>
        </w:tc>
        <w:tc>
          <w:tcPr>
            <w:tcW w:w="901" w:type="dxa"/>
            <w:shd w:val="clear" w:color="auto" w:fill="auto"/>
          </w:tcPr>
          <w:p w14:paraId="2132BC78"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_</w:t>
            </w:r>
          </w:p>
        </w:tc>
        <w:tc>
          <w:tcPr>
            <w:tcW w:w="901" w:type="dxa"/>
            <w:shd w:val="clear" w:color="auto" w:fill="auto"/>
          </w:tcPr>
          <w:p w14:paraId="327500EA"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shd w:val="clear" w:color="auto" w:fill="auto"/>
          </w:tcPr>
          <w:p w14:paraId="4DB0E91F"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11A57D18" w14:textId="77777777" w:rsidTr="002705DB">
        <w:trPr>
          <w:trHeight w:val="761"/>
        </w:trPr>
        <w:tc>
          <w:tcPr>
            <w:tcW w:w="0" w:type="auto"/>
            <w:tcBorders>
              <w:left w:val="nil"/>
              <w:right w:val="nil"/>
            </w:tcBorders>
            <w:shd w:val="clear" w:color="auto" w:fill="auto"/>
          </w:tcPr>
          <w:p w14:paraId="7FB2A2C4" w14:textId="77777777" w:rsidR="00F34CC9" w:rsidRPr="00CB33F0" w:rsidRDefault="00F34CC9" w:rsidP="002705DB">
            <w:pPr>
              <w:spacing w:line="240" w:lineRule="auto"/>
              <w:rPr>
                <w:rFonts w:ascii="Book Antiqua" w:hAnsi="Book Antiqua"/>
                <w:b/>
                <w:bCs/>
                <w:color w:val="000000"/>
              </w:rPr>
            </w:pPr>
          </w:p>
        </w:tc>
        <w:tc>
          <w:tcPr>
            <w:tcW w:w="1328" w:type="dxa"/>
            <w:tcBorders>
              <w:left w:val="nil"/>
              <w:right w:val="nil"/>
            </w:tcBorders>
            <w:shd w:val="clear" w:color="auto" w:fill="auto"/>
          </w:tcPr>
          <w:p w14:paraId="031B252E"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Mid swing </w:t>
            </w:r>
          </w:p>
        </w:tc>
        <w:tc>
          <w:tcPr>
            <w:tcW w:w="1509" w:type="dxa"/>
            <w:tcBorders>
              <w:left w:val="nil"/>
              <w:right w:val="nil"/>
            </w:tcBorders>
            <w:shd w:val="clear" w:color="auto" w:fill="auto"/>
          </w:tcPr>
          <w:p w14:paraId="436DFF72"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 </w:t>
            </w:r>
          </w:p>
        </w:tc>
        <w:tc>
          <w:tcPr>
            <w:tcW w:w="901" w:type="dxa"/>
            <w:tcBorders>
              <w:left w:val="nil"/>
              <w:right w:val="nil"/>
            </w:tcBorders>
            <w:shd w:val="clear" w:color="auto" w:fill="auto"/>
          </w:tcPr>
          <w:p w14:paraId="6DED98EC"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tcBorders>
              <w:left w:val="nil"/>
              <w:right w:val="nil"/>
            </w:tcBorders>
            <w:shd w:val="clear" w:color="auto" w:fill="auto"/>
          </w:tcPr>
          <w:p w14:paraId="4F1084C7"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tcBorders>
              <w:left w:val="nil"/>
              <w:right w:val="nil"/>
            </w:tcBorders>
            <w:shd w:val="clear" w:color="auto" w:fill="auto"/>
          </w:tcPr>
          <w:p w14:paraId="47C2A7A0"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14ACCD77" w14:textId="77777777" w:rsidTr="002705DB">
        <w:trPr>
          <w:trHeight w:val="761"/>
        </w:trPr>
        <w:tc>
          <w:tcPr>
            <w:tcW w:w="0" w:type="auto"/>
            <w:shd w:val="clear" w:color="auto" w:fill="auto"/>
          </w:tcPr>
          <w:p w14:paraId="14BCBEA3"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4 </w:t>
            </w:r>
          </w:p>
        </w:tc>
        <w:tc>
          <w:tcPr>
            <w:tcW w:w="1328" w:type="dxa"/>
            <w:shd w:val="clear" w:color="auto" w:fill="auto"/>
          </w:tcPr>
          <w:p w14:paraId="27EA408B"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Heel strike </w:t>
            </w:r>
          </w:p>
        </w:tc>
        <w:tc>
          <w:tcPr>
            <w:tcW w:w="1509" w:type="dxa"/>
            <w:shd w:val="clear" w:color="auto" w:fill="auto"/>
          </w:tcPr>
          <w:p w14:paraId="60BAD95B"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 </w:t>
            </w:r>
          </w:p>
        </w:tc>
        <w:tc>
          <w:tcPr>
            <w:tcW w:w="901" w:type="dxa"/>
            <w:shd w:val="clear" w:color="auto" w:fill="auto"/>
          </w:tcPr>
          <w:p w14:paraId="7B314F1F"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shd w:val="clear" w:color="auto" w:fill="auto"/>
          </w:tcPr>
          <w:p w14:paraId="2DB55B03"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shd w:val="clear" w:color="auto" w:fill="auto"/>
          </w:tcPr>
          <w:p w14:paraId="21715A95"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2D1C3CBF" w14:textId="77777777" w:rsidTr="002705DB">
        <w:trPr>
          <w:trHeight w:val="761"/>
        </w:trPr>
        <w:tc>
          <w:tcPr>
            <w:tcW w:w="0" w:type="auto"/>
            <w:tcBorders>
              <w:left w:val="nil"/>
              <w:right w:val="nil"/>
            </w:tcBorders>
            <w:shd w:val="clear" w:color="auto" w:fill="auto"/>
          </w:tcPr>
          <w:p w14:paraId="4452FEB6" w14:textId="77777777" w:rsidR="00F34CC9" w:rsidRPr="00CB33F0" w:rsidRDefault="00F34CC9" w:rsidP="002705DB">
            <w:pPr>
              <w:spacing w:line="240" w:lineRule="auto"/>
              <w:rPr>
                <w:rFonts w:ascii="Book Antiqua" w:hAnsi="Book Antiqua"/>
                <w:b/>
                <w:bCs/>
                <w:color w:val="000000"/>
              </w:rPr>
            </w:pPr>
          </w:p>
        </w:tc>
        <w:tc>
          <w:tcPr>
            <w:tcW w:w="1328" w:type="dxa"/>
            <w:tcBorders>
              <w:left w:val="nil"/>
              <w:right w:val="nil"/>
            </w:tcBorders>
            <w:shd w:val="clear" w:color="auto" w:fill="auto"/>
          </w:tcPr>
          <w:p w14:paraId="3F025399"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Total  floor contact </w:t>
            </w:r>
          </w:p>
        </w:tc>
        <w:tc>
          <w:tcPr>
            <w:tcW w:w="1509" w:type="dxa"/>
            <w:tcBorders>
              <w:left w:val="nil"/>
              <w:right w:val="nil"/>
            </w:tcBorders>
            <w:shd w:val="clear" w:color="auto" w:fill="auto"/>
          </w:tcPr>
          <w:p w14:paraId="574DF95C"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 </w:t>
            </w:r>
          </w:p>
        </w:tc>
        <w:tc>
          <w:tcPr>
            <w:tcW w:w="901" w:type="dxa"/>
            <w:tcBorders>
              <w:left w:val="nil"/>
              <w:right w:val="nil"/>
            </w:tcBorders>
            <w:shd w:val="clear" w:color="auto" w:fill="auto"/>
          </w:tcPr>
          <w:p w14:paraId="65642406"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tcBorders>
              <w:left w:val="nil"/>
              <w:right w:val="nil"/>
            </w:tcBorders>
            <w:shd w:val="clear" w:color="auto" w:fill="auto"/>
          </w:tcPr>
          <w:p w14:paraId="4DC6DFB5"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tcBorders>
              <w:left w:val="nil"/>
              <w:right w:val="nil"/>
            </w:tcBorders>
            <w:shd w:val="clear" w:color="auto" w:fill="auto"/>
          </w:tcPr>
          <w:p w14:paraId="61810150"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4CFE6D48" w14:textId="77777777" w:rsidTr="002705DB">
        <w:trPr>
          <w:trHeight w:val="738"/>
        </w:trPr>
        <w:tc>
          <w:tcPr>
            <w:tcW w:w="0" w:type="auto"/>
            <w:shd w:val="clear" w:color="auto" w:fill="auto"/>
          </w:tcPr>
          <w:p w14:paraId="2F532755" w14:textId="77777777" w:rsidR="00F34CC9" w:rsidRPr="00CB33F0" w:rsidRDefault="00F34CC9" w:rsidP="002705DB">
            <w:pPr>
              <w:spacing w:line="240" w:lineRule="auto"/>
              <w:rPr>
                <w:rFonts w:ascii="Book Antiqua" w:hAnsi="Book Antiqua"/>
                <w:b/>
                <w:bCs/>
                <w:color w:val="000000"/>
              </w:rPr>
            </w:pPr>
          </w:p>
        </w:tc>
        <w:tc>
          <w:tcPr>
            <w:tcW w:w="1328" w:type="dxa"/>
            <w:shd w:val="clear" w:color="auto" w:fill="auto"/>
          </w:tcPr>
          <w:p w14:paraId="2418A758"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Mid stance </w:t>
            </w:r>
          </w:p>
        </w:tc>
        <w:tc>
          <w:tcPr>
            <w:tcW w:w="1509" w:type="dxa"/>
            <w:shd w:val="clear" w:color="auto" w:fill="auto"/>
          </w:tcPr>
          <w:p w14:paraId="60D8AF09"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w:t>
            </w:r>
          </w:p>
        </w:tc>
        <w:tc>
          <w:tcPr>
            <w:tcW w:w="901" w:type="dxa"/>
            <w:shd w:val="clear" w:color="auto" w:fill="auto"/>
          </w:tcPr>
          <w:p w14:paraId="73BFE4D4"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shd w:val="clear" w:color="auto" w:fill="auto"/>
          </w:tcPr>
          <w:p w14:paraId="23BA7CD2"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shd w:val="clear" w:color="auto" w:fill="auto"/>
          </w:tcPr>
          <w:p w14:paraId="44535C08"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4C34ACD7" w14:textId="77777777" w:rsidTr="002705DB">
        <w:trPr>
          <w:trHeight w:val="761"/>
        </w:trPr>
        <w:tc>
          <w:tcPr>
            <w:tcW w:w="0" w:type="auto"/>
            <w:tcBorders>
              <w:left w:val="nil"/>
              <w:right w:val="nil"/>
            </w:tcBorders>
            <w:shd w:val="clear" w:color="auto" w:fill="auto"/>
          </w:tcPr>
          <w:p w14:paraId="57B33CD8" w14:textId="77777777" w:rsidR="00F34CC9" w:rsidRPr="00CB33F0" w:rsidRDefault="00F34CC9" w:rsidP="002705DB">
            <w:pPr>
              <w:spacing w:line="240" w:lineRule="auto"/>
              <w:rPr>
                <w:rFonts w:ascii="Book Antiqua" w:hAnsi="Book Antiqua"/>
                <w:b/>
                <w:bCs/>
                <w:color w:val="000000"/>
              </w:rPr>
            </w:pPr>
          </w:p>
        </w:tc>
        <w:tc>
          <w:tcPr>
            <w:tcW w:w="1328" w:type="dxa"/>
            <w:tcBorders>
              <w:left w:val="nil"/>
              <w:right w:val="nil"/>
            </w:tcBorders>
            <w:shd w:val="clear" w:color="auto" w:fill="auto"/>
          </w:tcPr>
          <w:p w14:paraId="12321492"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Heel off and toe off </w:t>
            </w:r>
          </w:p>
        </w:tc>
        <w:tc>
          <w:tcPr>
            <w:tcW w:w="1509" w:type="dxa"/>
            <w:tcBorders>
              <w:left w:val="nil"/>
              <w:right w:val="nil"/>
            </w:tcBorders>
            <w:shd w:val="clear" w:color="auto" w:fill="auto"/>
          </w:tcPr>
          <w:p w14:paraId="264BE04F"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w:t>
            </w:r>
          </w:p>
        </w:tc>
        <w:tc>
          <w:tcPr>
            <w:tcW w:w="901" w:type="dxa"/>
            <w:tcBorders>
              <w:left w:val="nil"/>
              <w:right w:val="nil"/>
            </w:tcBorders>
            <w:shd w:val="clear" w:color="auto" w:fill="auto"/>
          </w:tcPr>
          <w:p w14:paraId="47E9042D"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tcBorders>
              <w:left w:val="nil"/>
              <w:right w:val="nil"/>
            </w:tcBorders>
            <w:shd w:val="clear" w:color="auto" w:fill="auto"/>
          </w:tcPr>
          <w:p w14:paraId="51520525"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tcBorders>
              <w:left w:val="nil"/>
              <w:right w:val="nil"/>
            </w:tcBorders>
            <w:shd w:val="clear" w:color="auto" w:fill="auto"/>
          </w:tcPr>
          <w:p w14:paraId="529C2B44"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49C5B36D" w14:textId="77777777" w:rsidTr="002705DB">
        <w:trPr>
          <w:trHeight w:val="761"/>
        </w:trPr>
        <w:tc>
          <w:tcPr>
            <w:tcW w:w="0" w:type="auto"/>
            <w:shd w:val="clear" w:color="auto" w:fill="auto"/>
          </w:tcPr>
          <w:p w14:paraId="1BD7857B" w14:textId="77777777" w:rsidR="00F34CC9" w:rsidRPr="00CB33F0" w:rsidRDefault="00F34CC9" w:rsidP="002705DB">
            <w:pPr>
              <w:spacing w:line="240" w:lineRule="auto"/>
              <w:rPr>
                <w:rFonts w:ascii="Book Antiqua" w:hAnsi="Book Antiqua"/>
                <w:b/>
                <w:bCs/>
                <w:color w:val="000000"/>
              </w:rPr>
            </w:pPr>
          </w:p>
        </w:tc>
        <w:tc>
          <w:tcPr>
            <w:tcW w:w="1328" w:type="dxa"/>
            <w:shd w:val="clear" w:color="auto" w:fill="auto"/>
          </w:tcPr>
          <w:p w14:paraId="36287D33"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Mid swing </w:t>
            </w:r>
          </w:p>
        </w:tc>
        <w:tc>
          <w:tcPr>
            <w:tcW w:w="1509" w:type="dxa"/>
            <w:shd w:val="clear" w:color="auto" w:fill="auto"/>
          </w:tcPr>
          <w:p w14:paraId="4A57EC3D"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shd w:val="clear" w:color="auto" w:fill="auto"/>
          </w:tcPr>
          <w:p w14:paraId="2A0EAA6A"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w:t>
            </w:r>
          </w:p>
        </w:tc>
        <w:tc>
          <w:tcPr>
            <w:tcW w:w="901" w:type="dxa"/>
            <w:shd w:val="clear" w:color="auto" w:fill="auto"/>
          </w:tcPr>
          <w:p w14:paraId="0FAC7E93"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shd w:val="clear" w:color="auto" w:fill="auto"/>
          </w:tcPr>
          <w:p w14:paraId="67808D9D"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2D83438F" w14:textId="77777777" w:rsidTr="002705DB">
        <w:trPr>
          <w:trHeight w:val="702"/>
        </w:trPr>
        <w:tc>
          <w:tcPr>
            <w:tcW w:w="0" w:type="auto"/>
            <w:tcBorders>
              <w:left w:val="nil"/>
              <w:right w:val="nil"/>
            </w:tcBorders>
            <w:shd w:val="clear" w:color="auto" w:fill="auto"/>
          </w:tcPr>
          <w:p w14:paraId="40812BF2"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5 </w:t>
            </w:r>
          </w:p>
        </w:tc>
        <w:tc>
          <w:tcPr>
            <w:tcW w:w="1328" w:type="dxa"/>
            <w:tcBorders>
              <w:left w:val="nil"/>
              <w:right w:val="nil"/>
            </w:tcBorders>
            <w:shd w:val="clear" w:color="auto" w:fill="auto"/>
          </w:tcPr>
          <w:p w14:paraId="367FCA77"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Heel strike </w:t>
            </w:r>
          </w:p>
        </w:tc>
        <w:tc>
          <w:tcPr>
            <w:tcW w:w="1509" w:type="dxa"/>
            <w:tcBorders>
              <w:left w:val="nil"/>
              <w:right w:val="nil"/>
            </w:tcBorders>
            <w:shd w:val="clear" w:color="auto" w:fill="auto"/>
          </w:tcPr>
          <w:p w14:paraId="5F87121E"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 </w:t>
            </w:r>
          </w:p>
        </w:tc>
        <w:tc>
          <w:tcPr>
            <w:tcW w:w="901" w:type="dxa"/>
            <w:tcBorders>
              <w:left w:val="nil"/>
              <w:right w:val="nil"/>
            </w:tcBorders>
            <w:shd w:val="clear" w:color="auto" w:fill="auto"/>
          </w:tcPr>
          <w:p w14:paraId="5BCEEF66"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c>
          <w:tcPr>
            <w:tcW w:w="901" w:type="dxa"/>
            <w:tcBorders>
              <w:left w:val="nil"/>
              <w:right w:val="nil"/>
            </w:tcBorders>
            <w:shd w:val="clear" w:color="auto" w:fill="auto"/>
          </w:tcPr>
          <w:p w14:paraId="2CC3087A"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c>
          <w:tcPr>
            <w:tcW w:w="842" w:type="dxa"/>
            <w:tcBorders>
              <w:left w:val="nil"/>
              <w:right w:val="nil"/>
            </w:tcBorders>
            <w:shd w:val="clear" w:color="auto" w:fill="auto"/>
          </w:tcPr>
          <w:p w14:paraId="512903CA"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01D57366" w14:textId="77777777" w:rsidTr="002705DB">
        <w:trPr>
          <w:trHeight w:val="761"/>
        </w:trPr>
        <w:tc>
          <w:tcPr>
            <w:tcW w:w="0" w:type="auto"/>
            <w:shd w:val="clear" w:color="auto" w:fill="auto"/>
          </w:tcPr>
          <w:p w14:paraId="1FC3A35C" w14:textId="77777777" w:rsidR="00F34CC9" w:rsidRPr="00CB33F0" w:rsidRDefault="00F34CC9" w:rsidP="002705DB">
            <w:pPr>
              <w:spacing w:line="240" w:lineRule="auto"/>
              <w:rPr>
                <w:rFonts w:ascii="Book Antiqua" w:hAnsi="Book Antiqua"/>
                <w:b/>
                <w:bCs/>
                <w:color w:val="000000"/>
              </w:rPr>
            </w:pPr>
          </w:p>
        </w:tc>
        <w:tc>
          <w:tcPr>
            <w:tcW w:w="1328" w:type="dxa"/>
            <w:shd w:val="clear" w:color="auto" w:fill="auto"/>
          </w:tcPr>
          <w:p w14:paraId="2F5ED52B"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Total floor contact </w:t>
            </w:r>
          </w:p>
        </w:tc>
        <w:tc>
          <w:tcPr>
            <w:tcW w:w="1509" w:type="dxa"/>
            <w:shd w:val="clear" w:color="auto" w:fill="auto"/>
          </w:tcPr>
          <w:p w14:paraId="642496CE"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shd w:val="clear" w:color="auto" w:fill="auto"/>
          </w:tcPr>
          <w:p w14:paraId="6ABA41E9"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 </w:t>
            </w:r>
          </w:p>
        </w:tc>
        <w:tc>
          <w:tcPr>
            <w:tcW w:w="901" w:type="dxa"/>
            <w:shd w:val="clear" w:color="auto" w:fill="auto"/>
          </w:tcPr>
          <w:p w14:paraId="067F8920"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shd w:val="clear" w:color="auto" w:fill="auto"/>
          </w:tcPr>
          <w:p w14:paraId="65BC3F4E"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7B878391" w14:textId="77777777" w:rsidTr="002705DB">
        <w:trPr>
          <w:trHeight w:val="450"/>
        </w:trPr>
        <w:tc>
          <w:tcPr>
            <w:tcW w:w="0" w:type="auto"/>
            <w:tcBorders>
              <w:left w:val="nil"/>
              <w:right w:val="nil"/>
            </w:tcBorders>
            <w:shd w:val="clear" w:color="auto" w:fill="auto"/>
          </w:tcPr>
          <w:p w14:paraId="74B8BE48" w14:textId="77777777" w:rsidR="00F34CC9" w:rsidRPr="00CB33F0" w:rsidRDefault="00F34CC9" w:rsidP="002705DB">
            <w:pPr>
              <w:spacing w:line="240" w:lineRule="auto"/>
              <w:rPr>
                <w:rFonts w:ascii="Book Antiqua" w:hAnsi="Book Antiqua"/>
                <w:b/>
                <w:bCs/>
                <w:color w:val="000000"/>
              </w:rPr>
            </w:pPr>
          </w:p>
        </w:tc>
        <w:tc>
          <w:tcPr>
            <w:tcW w:w="1328" w:type="dxa"/>
            <w:tcBorders>
              <w:left w:val="nil"/>
              <w:right w:val="nil"/>
            </w:tcBorders>
            <w:shd w:val="clear" w:color="auto" w:fill="auto"/>
          </w:tcPr>
          <w:p w14:paraId="6E68D321"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Mid stance </w:t>
            </w:r>
          </w:p>
        </w:tc>
        <w:tc>
          <w:tcPr>
            <w:tcW w:w="1509" w:type="dxa"/>
            <w:tcBorders>
              <w:left w:val="nil"/>
              <w:right w:val="nil"/>
            </w:tcBorders>
            <w:shd w:val="clear" w:color="auto" w:fill="auto"/>
          </w:tcPr>
          <w:p w14:paraId="46789D63"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 </w:t>
            </w:r>
          </w:p>
        </w:tc>
        <w:tc>
          <w:tcPr>
            <w:tcW w:w="901" w:type="dxa"/>
            <w:tcBorders>
              <w:left w:val="nil"/>
              <w:right w:val="nil"/>
            </w:tcBorders>
            <w:shd w:val="clear" w:color="auto" w:fill="auto"/>
          </w:tcPr>
          <w:p w14:paraId="1C3AB74F"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tcBorders>
              <w:left w:val="nil"/>
              <w:right w:val="nil"/>
            </w:tcBorders>
            <w:shd w:val="clear" w:color="auto" w:fill="auto"/>
          </w:tcPr>
          <w:p w14:paraId="13970B19"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tcBorders>
              <w:left w:val="nil"/>
              <w:right w:val="nil"/>
            </w:tcBorders>
            <w:shd w:val="clear" w:color="auto" w:fill="auto"/>
          </w:tcPr>
          <w:p w14:paraId="249176CE"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62D7F01C" w14:textId="77777777" w:rsidTr="002705DB">
        <w:trPr>
          <w:trHeight w:val="761"/>
        </w:trPr>
        <w:tc>
          <w:tcPr>
            <w:tcW w:w="0" w:type="auto"/>
            <w:shd w:val="clear" w:color="auto" w:fill="auto"/>
          </w:tcPr>
          <w:p w14:paraId="18CF3D80" w14:textId="77777777" w:rsidR="00F34CC9" w:rsidRPr="00CB33F0" w:rsidRDefault="00F34CC9" w:rsidP="002705DB">
            <w:pPr>
              <w:spacing w:line="240" w:lineRule="auto"/>
              <w:rPr>
                <w:rFonts w:ascii="Book Antiqua" w:hAnsi="Book Antiqua"/>
                <w:b/>
                <w:bCs/>
                <w:color w:val="000000"/>
              </w:rPr>
            </w:pPr>
          </w:p>
        </w:tc>
        <w:tc>
          <w:tcPr>
            <w:tcW w:w="1328" w:type="dxa"/>
            <w:shd w:val="clear" w:color="auto" w:fill="auto"/>
          </w:tcPr>
          <w:p w14:paraId="617719A9"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Heel off and toe off </w:t>
            </w:r>
          </w:p>
        </w:tc>
        <w:tc>
          <w:tcPr>
            <w:tcW w:w="1509" w:type="dxa"/>
            <w:shd w:val="clear" w:color="auto" w:fill="auto"/>
          </w:tcPr>
          <w:p w14:paraId="31205125"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 </w:t>
            </w:r>
          </w:p>
        </w:tc>
        <w:tc>
          <w:tcPr>
            <w:tcW w:w="901" w:type="dxa"/>
            <w:shd w:val="clear" w:color="auto" w:fill="auto"/>
          </w:tcPr>
          <w:p w14:paraId="3FD5CFBC"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shd w:val="clear" w:color="auto" w:fill="auto"/>
          </w:tcPr>
          <w:p w14:paraId="088F2A3B"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shd w:val="clear" w:color="auto" w:fill="auto"/>
          </w:tcPr>
          <w:p w14:paraId="7753BF1F"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r w:rsidR="002705DB" w:rsidRPr="00CB33F0" w14:paraId="16089079" w14:textId="77777777" w:rsidTr="002705DB">
        <w:trPr>
          <w:trHeight w:val="558"/>
        </w:trPr>
        <w:tc>
          <w:tcPr>
            <w:tcW w:w="0" w:type="auto"/>
            <w:tcBorders>
              <w:left w:val="nil"/>
              <w:right w:val="nil"/>
            </w:tcBorders>
            <w:shd w:val="clear" w:color="auto" w:fill="auto"/>
          </w:tcPr>
          <w:p w14:paraId="11235916" w14:textId="77777777" w:rsidR="00F34CC9" w:rsidRPr="00CB33F0" w:rsidRDefault="00F34CC9" w:rsidP="002705DB">
            <w:pPr>
              <w:spacing w:line="240" w:lineRule="auto"/>
              <w:rPr>
                <w:rFonts w:ascii="Book Antiqua" w:hAnsi="Book Antiqua"/>
                <w:b/>
                <w:bCs/>
                <w:color w:val="000000"/>
              </w:rPr>
            </w:pPr>
          </w:p>
        </w:tc>
        <w:tc>
          <w:tcPr>
            <w:tcW w:w="1328" w:type="dxa"/>
            <w:tcBorders>
              <w:left w:val="nil"/>
              <w:right w:val="nil"/>
            </w:tcBorders>
            <w:shd w:val="clear" w:color="auto" w:fill="auto"/>
          </w:tcPr>
          <w:p w14:paraId="141D5E96"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Mid swing </w:t>
            </w:r>
          </w:p>
        </w:tc>
        <w:tc>
          <w:tcPr>
            <w:tcW w:w="1509" w:type="dxa"/>
            <w:tcBorders>
              <w:left w:val="nil"/>
              <w:right w:val="nil"/>
            </w:tcBorders>
            <w:shd w:val="clear" w:color="auto" w:fill="auto"/>
          </w:tcPr>
          <w:p w14:paraId="45C25FCE"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 </w:t>
            </w:r>
          </w:p>
        </w:tc>
        <w:tc>
          <w:tcPr>
            <w:tcW w:w="901" w:type="dxa"/>
            <w:tcBorders>
              <w:left w:val="nil"/>
              <w:right w:val="nil"/>
            </w:tcBorders>
            <w:shd w:val="clear" w:color="auto" w:fill="auto"/>
          </w:tcPr>
          <w:p w14:paraId="4CE24E55"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901" w:type="dxa"/>
            <w:tcBorders>
              <w:left w:val="nil"/>
              <w:right w:val="nil"/>
            </w:tcBorders>
            <w:shd w:val="clear" w:color="auto" w:fill="auto"/>
          </w:tcPr>
          <w:p w14:paraId="20E3ED52" w14:textId="77777777" w:rsidR="00F34CC9" w:rsidRPr="00CB33F0" w:rsidRDefault="00F34CC9" w:rsidP="002705DB">
            <w:pPr>
              <w:spacing w:line="240" w:lineRule="auto"/>
              <w:rPr>
                <w:rFonts w:ascii="Book Antiqua" w:hAnsi="Book Antiqua"/>
                <w:color w:val="000000"/>
              </w:rPr>
            </w:pPr>
            <w:r w:rsidRPr="00CB33F0">
              <w:rPr>
                <w:rFonts w:ascii="Book Antiqua" w:hAnsi="Book Antiqua"/>
                <w:color w:val="000000"/>
              </w:rPr>
              <w:t xml:space="preserve">_ </w:t>
            </w:r>
          </w:p>
        </w:tc>
        <w:tc>
          <w:tcPr>
            <w:tcW w:w="842" w:type="dxa"/>
            <w:tcBorders>
              <w:left w:val="nil"/>
              <w:right w:val="nil"/>
            </w:tcBorders>
            <w:shd w:val="clear" w:color="auto" w:fill="auto"/>
          </w:tcPr>
          <w:p w14:paraId="63141F7B" w14:textId="77777777" w:rsidR="00F34CC9" w:rsidRPr="00CB33F0" w:rsidRDefault="00F34CC9" w:rsidP="002705DB">
            <w:pPr>
              <w:spacing w:line="240" w:lineRule="auto"/>
              <w:rPr>
                <w:rFonts w:ascii="Book Antiqua" w:hAnsi="Book Antiqua"/>
                <w:b/>
                <w:bCs/>
                <w:color w:val="000000"/>
              </w:rPr>
            </w:pPr>
            <w:r w:rsidRPr="00CB33F0">
              <w:rPr>
                <w:rFonts w:ascii="Book Antiqua" w:hAnsi="Book Antiqua"/>
                <w:b/>
                <w:bCs/>
                <w:color w:val="000000"/>
              </w:rPr>
              <w:t xml:space="preserve">_ </w:t>
            </w:r>
          </w:p>
        </w:tc>
      </w:tr>
    </w:tbl>
    <w:p w14:paraId="619B1CD0" w14:textId="77777777" w:rsidR="00C07BDF" w:rsidRPr="00E3232D" w:rsidRDefault="00C07BDF" w:rsidP="000A440D">
      <w:pPr>
        <w:spacing w:after="0"/>
        <w:rPr>
          <w:rFonts w:ascii="Book Antiqua" w:hAnsi="Book Antiqua"/>
          <w:b/>
        </w:rPr>
      </w:pPr>
    </w:p>
    <w:p w14:paraId="16AD53DF" w14:textId="77777777" w:rsidR="000A440D" w:rsidRDefault="000A440D" w:rsidP="008275E1">
      <w:pPr>
        <w:rPr>
          <w:rFonts w:ascii="Book Antiqua" w:hAnsi="Book Antiqua"/>
          <w:b/>
        </w:rPr>
      </w:pPr>
    </w:p>
    <w:p w14:paraId="1277529A" w14:textId="77777777" w:rsidR="00BE5E32" w:rsidRDefault="00BE5E32" w:rsidP="008275E1">
      <w:pPr>
        <w:rPr>
          <w:rFonts w:ascii="Book Antiqua" w:hAnsi="Book Antiqua"/>
          <w:b/>
        </w:rPr>
      </w:pPr>
    </w:p>
    <w:p w14:paraId="06A8A774" w14:textId="77777777" w:rsidR="000577A3" w:rsidRPr="00E3232D" w:rsidRDefault="0013126D" w:rsidP="008A0839">
      <w:pPr>
        <w:jc w:val="both"/>
        <w:rPr>
          <w:rFonts w:ascii="Book Antiqua" w:hAnsi="Book Antiqua"/>
        </w:rPr>
      </w:pPr>
      <w:r w:rsidRPr="00E3232D">
        <w:rPr>
          <w:rFonts w:ascii="Book Antiqua" w:hAnsi="Book Antiqua"/>
          <w:b/>
        </w:rPr>
        <w:t xml:space="preserve">4.0 </w:t>
      </w:r>
      <w:r w:rsidRPr="00CA2555">
        <w:rPr>
          <w:rFonts w:ascii="Book Antiqua" w:hAnsi="Book Antiqua"/>
          <w:b/>
          <w:sz w:val="26"/>
        </w:rPr>
        <w:t>Discussion</w:t>
      </w:r>
    </w:p>
    <w:p w14:paraId="0F2CC7E3" w14:textId="77777777" w:rsidR="000577A3" w:rsidRPr="00E3232D" w:rsidRDefault="000577A3" w:rsidP="008A0839">
      <w:pPr>
        <w:jc w:val="both"/>
        <w:rPr>
          <w:rFonts w:ascii="Book Antiqua" w:hAnsi="Book Antiqua"/>
        </w:rPr>
        <w:sectPr w:rsidR="000577A3" w:rsidRPr="00E3232D" w:rsidSect="008F6BC9">
          <w:type w:val="continuous"/>
          <w:pgSz w:w="11907" w:h="16839" w:code="9"/>
          <w:pgMar w:top="720" w:right="1440" w:bottom="360" w:left="1440" w:header="708" w:footer="708" w:gutter="0"/>
          <w:cols w:space="708"/>
          <w:docGrid w:linePitch="360"/>
        </w:sectPr>
      </w:pPr>
    </w:p>
    <w:p w14:paraId="43FD1287" w14:textId="77777777" w:rsidR="000577A3" w:rsidRPr="00E3232D" w:rsidRDefault="000577A3" w:rsidP="008A0839">
      <w:pPr>
        <w:jc w:val="both"/>
        <w:rPr>
          <w:rFonts w:ascii="Book Antiqua" w:hAnsi="Book Antiqua"/>
        </w:rPr>
      </w:pPr>
      <w:r w:rsidRPr="00E3232D">
        <w:rPr>
          <w:rFonts w:ascii="Book Antiqua" w:hAnsi="Book Antiqua"/>
        </w:rPr>
        <w:t xml:space="preserve">From our table of result, you can see that initial heel strike compared to other trials was not good enough. We added more </w:t>
      </w:r>
      <w:r w:rsidRPr="00E3232D">
        <w:rPr>
          <w:rFonts w:ascii="Book Antiqua" w:hAnsi="Book Antiqua"/>
        </w:rPr>
        <w:t xml:space="preserve">cushion to achieve the desired result. The overall outcome achieved is relatively very good as compared to the gait pattern </w:t>
      </w:r>
      <w:r w:rsidRPr="00E3232D">
        <w:rPr>
          <w:rFonts w:ascii="Book Antiqua" w:hAnsi="Book Antiqua"/>
        </w:rPr>
        <w:lastRenderedPageBreak/>
        <w:t xml:space="preserve">of a normal human foot and silicone foot which is expensive and not readily available for children. The gait analysis of the different phases (heel strike, total floor contact, mid stance, heel off and toe off, mid swing), and the metatarsal joint made toe off possible. We tested the total floor contact phase by using the bench alignment method and as the patient wore </w:t>
      </w:r>
      <w:r w:rsidRPr="00E3232D">
        <w:rPr>
          <w:rFonts w:ascii="Book Antiqua" w:hAnsi="Book Antiqua"/>
        </w:rPr>
        <w:t>the below knee prosthetic we obtain similar result and swing phase and stance phase was observed to be very good. We have been able to achieve the making of a cost effective below knee prosthesis, using some locally available material in Ghana, like mahogany for the foot and an adjustable aluminium pylon.</w:t>
      </w:r>
    </w:p>
    <w:p w14:paraId="5EBC8E52" w14:textId="77777777" w:rsidR="000577A3" w:rsidRPr="00E3232D" w:rsidRDefault="000577A3" w:rsidP="008A0839">
      <w:pPr>
        <w:jc w:val="both"/>
        <w:rPr>
          <w:rFonts w:ascii="Book Antiqua" w:hAnsi="Book Antiqua"/>
        </w:rPr>
        <w:sectPr w:rsidR="000577A3" w:rsidRPr="00E3232D" w:rsidSect="008F6BC9">
          <w:type w:val="continuous"/>
          <w:pgSz w:w="11907" w:h="16839" w:code="9"/>
          <w:pgMar w:top="720" w:right="1440" w:bottom="360" w:left="1440" w:header="708" w:footer="708" w:gutter="0"/>
          <w:cols w:num="2" w:space="708"/>
          <w:docGrid w:linePitch="360"/>
        </w:sectPr>
      </w:pPr>
    </w:p>
    <w:p w14:paraId="02ACD25C" w14:textId="77777777" w:rsidR="000577A3" w:rsidRPr="00E3232D" w:rsidRDefault="000577A3" w:rsidP="00CA2555">
      <w:pPr>
        <w:spacing w:after="0"/>
        <w:jc w:val="both"/>
        <w:rPr>
          <w:rFonts w:ascii="Book Antiqua" w:hAnsi="Book Antiqua"/>
          <w:b/>
        </w:rPr>
      </w:pPr>
    </w:p>
    <w:p w14:paraId="3B0EBC7C" w14:textId="77777777" w:rsidR="000577A3" w:rsidRPr="00E3232D" w:rsidRDefault="0013126D" w:rsidP="008A0839">
      <w:pPr>
        <w:jc w:val="both"/>
        <w:rPr>
          <w:rFonts w:ascii="Book Antiqua" w:hAnsi="Book Antiqua"/>
          <w:b/>
        </w:rPr>
      </w:pPr>
      <w:r w:rsidRPr="00E3232D">
        <w:rPr>
          <w:rFonts w:ascii="Book Antiqua" w:hAnsi="Book Antiqua"/>
          <w:b/>
        </w:rPr>
        <w:t xml:space="preserve">5.0 </w:t>
      </w:r>
      <w:r w:rsidRPr="00CA2555">
        <w:rPr>
          <w:rFonts w:ascii="Book Antiqua" w:hAnsi="Book Antiqua"/>
          <w:b/>
          <w:sz w:val="26"/>
        </w:rPr>
        <w:t>Conclusion</w:t>
      </w:r>
    </w:p>
    <w:p w14:paraId="3F61A935" w14:textId="77777777" w:rsidR="000577A3" w:rsidRPr="00E3232D" w:rsidRDefault="000577A3" w:rsidP="008A0839">
      <w:pPr>
        <w:jc w:val="both"/>
        <w:rPr>
          <w:rFonts w:ascii="Book Antiqua" w:hAnsi="Book Antiqua"/>
        </w:rPr>
        <w:sectPr w:rsidR="000577A3" w:rsidRPr="00E3232D" w:rsidSect="008F6BC9">
          <w:type w:val="continuous"/>
          <w:pgSz w:w="11907" w:h="16839" w:code="9"/>
          <w:pgMar w:top="720" w:right="1440" w:bottom="360" w:left="1440" w:header="708" w:footer="708" w:gutter="0"/>
          <w:cols w:space="708"/>
          <w:docGrid w:linePitch="360"/>
        </w:sectPr>
      </w:pPr>
    </w:p>
    <w:p w14:paraId="20A51DAA" w14:textId="77777777" w:rsidR="000577A3" w:rsidRPr="00E3232D" w:rsidRDefault="000577A3" w:rsidP="008A0839">
      <w:pPr>
        <w:jc w:val="both"/>
        <w:rPr>
          <w:rFonts w:ascii="Book Antiqua" w:hAnsi="Book Antiqua"/>
        </w:rPr>
      </w:pPr>
      <w:r w:rsidRPr="00E3232D">
        <w:rPr>
          <w:rFonts w:ascii="Book Antiqua" w:hAnsi="Book Antiqua"/>
        </w:rPr>
        <w:t xml:space="preserve">A low cost below knee prosthesis for children has been fabricated. The silicon foot was substituted with the fabricated wooden foot which was covered with leather and acrylic paint, and artificial toe nails were fixed on the nail beds of the toe </w:t>
      </w:r>
      <w:r w:rsidRPr="00E3232D">
        <w:rPr>
          <w:rFonts w:ascii="Book Antiqua" w:hAnsi="Book Antiqua"/>
        </w:rPr>
        <w:t>nails, and the socket was made attractive with pictures of lion king a cartoon character, all was to motivate children psychologically. The Ghanaian Parents can now afford to change the prosthesis for their children as at when due.</w:t>
      </w:r>
    </w:p>
    <w:p w14:paraId="796FBA34" w14:textId="77777777" w:rsidR="000577A3" w:rsidRPr="00E3232D" w:rsidRDefault="000577A3" w:rsidP="008A0839">
      <w:pPr>
        <w:jc w:val="both"/>
        <w:rPr>
          <w:rFonts w:ascii="Book Antiqua" w:hAnsi="Book Antiqua"/>
        </w:rPr>
        <w:sectPr w:rsidR="000577A3" w:rsidRPr="00E3232D" w:rsidSect="008F6BC9">
          <w:type w:val="continuous"/>
          <w:pgSz w:w="11907" w:h="16839" w:code="9"/>
          <w:pgMar w:top="720" w:right="1440" w:bottom="360" w:left="1440" w:header="708" w:footer="708" w:gutter="0"/>
          <w:cols w:num="2" w:space="708"/>
          <w:docGrid w:linePitch="360"/>
        </w:sectPr>
      </w:pPr>
    </w:p>
    <w:p w14:paraId="4E47469D" w14:textId="77777777" w:rsidR="00C07BDF" w:rsidRDefault="00C07BDF" w:rsidP="00CA2555">
      <w:pPr>
        <w:spacing w:after="0"/>
        <w:jc w:val="both"/>
        <w:rPr>
          <w:rFonts w:ascii="Book Antiqua" w:hAnsi="Book Antiqua"/>
          <w:b/>
        </w:rPr>
      </w:pPr>
    </w:p>
    <w:p w14:paraId="1F6CDA44" w14:textId="77777777" w:rsidR="000577A3" w:rsidRPr="00E3232D" w:rsidRDefault="0013126D" w:rsidP="008A0839">
      <w:pPr>
        <w:jc w:val="both"/>
        <w:rPr>
          <w:rFonts w:ascii="Book Antiqua" w:hAnsi="Book Antiqua"/>
          <w:b/>
        </w:rPr>
      </w:pPr>
      <w:r w:rsidRPr="00E3232D">
        <w:rPr>
          <w:rFonts w:ascii="Book Antiqua" w:hAnsi="Book Antiqua"/>
          <w:b/>
        </w:rPr>
        <w:t xml:space="preserve">5.1 </w:t>
      </w:r>
      <w:r w:rsidRPr="00CA2555">
        <w:rPr>
          <w:rFonts w:ascii="Book Antiqua" w:hAnsi="Book Antiqua"/>
          <w:b/>
          <w:sz w:val="26"/>
        </w:rPr>
        <w:t>Recommendation</w:t>
      </w:r>
    </w:p>
    <w:p w14:paraId="2DFE2564" w14:textId="77777777" w:rsidR="000577A3" w:rsidRPr="00E3232D" w:rsidRDefault="000577A3" w:rsidP="008A0839">
      <w:pPr>
        <w:jc w:val="both"/>
        <w:rPr>
          <w:rFonts w:ascii="Book Antiqua" w:hAnsi="Book Antiqua"/>
          <w:b/>
        </w:rPr>
        <w:sectPr w:rsidR="000577A3" w:rsidRPr="00E3232D" w:rsidSect="008F6BC9">
          <w:type w:val="continuous"/>
          <w:pgSz w:w="11907" w:h="16839" w:code="9"/>
          <w:pgMar w:top="720" w:right="1440" w:bottom="360" w:left="1440" w:header="708" w:footer="708" w:gutter="0"/>
          <w:cols w:space="708"/>
          <w:docGrid w:linePitch="360"/>
        </w:sectPr>
      </w:pPr>
    </w:p>
    <w:p w14:paraId="09ED3A22" w14:textId="77777777" w:rsidR="000577A3" w:rsidRPr="00E3232D" w:rsidRDefault="000577A3" w:rsidP="008A0839">
      <w:pPr>
        <w:jc w:val="both"/>
        <w:rPr>
          <w:rFonts w:ascii="Book Antiqua" w:hAnsi="Book Antiqua"/>
        </w:rPr>
      </w:pPr>
      <w:r w:rsidRPr="00E3232D">
        <w:rPr>
          <w:rFonts w:ascii="Book Antiqua" w:hAnsi="Book Antiqua"/>
        </w:rPr>
        <w:t xml:space="preserve">Based on the impressive result of this project, we advice that the prosthetics in Ghana should consider using this project as we have tested it and obtained results as shown in the table above. We appeal to the Government of Ghana, Non Governmental Organisations, and individuals to take advantage of this and </w:t>
      </w:r>
      <w:r w:rsidRPr="00E3232D">
        <w:rPr>
          <w:rFonts w:ascii="Book Antiqua" w:hAnsi="Book Antiqua"/>
        </w:rPr>
        <w:t>make the wooden foot below knee prosthesis for children readily available in the country, in the rehabilitation and orthopaedic centers. The foot for adult BKP should be researched on to make a substitute for silicon foot with cost effective, durable, strong, and light weight material.</w:t>
      </w:r>
    </w:p>
    <w:p w14:paraId="6CDBE4CB" w14:textId="77777777" w:rsidR="000577A3" w:rsidRPr="00E3232D" w:rsidRDefault="000577A3" w:rsidP="008A0839">
      <w:pPr>
        <w:tabs>
          <w:tab w:val="left" w:pos="1878"/>
        </w:tabs>
        <w:jc w:val="both"/>
        <w:rPr>
          <w:rFonts w:ascii="Book Antiqua" w:hAnsi="Book Antiqua"/>
        </w:rPr>
        <w:sectPr w:rsidR="000577A3" w:rsidRPr="00E3232D" w:rsidSect="008F6BC9">
          <w:type w:val="continuous"/>
          <w:pgSz w:w="11907" w:h="16839" w:code="9"/>
          <w:pgMar w:top="720" w:right="1440" w:bottom="360" w:left="1440" w:header="708" w:footer="708" w:gutter="0"/>
          <w:cols w:num="2" w:space="708"/>
          <w:docGrid w:linePitch="360"/>
        </w:sectPr>
      </w:pPr>
    </w:p>
    <w:p w14:paraId="4AE533A9" w14:textId="77777777" w:rsidR="0013126D" w:rsidRDefault="0013126D" w:rsidP="008A0839">
      <w:pPr>
        <w:tabs>
          <w:tab w:val="left" w:pos="1878"/>
        </w:tabs>
        <w:jc w:val="both"/>
        <w:rPr>
          <w:rFonts w:ascii="Book Antiqua" w:hAnsi="Book Antiqua"/>
        </w:rPr>
      </w:pPr>
    </w:p>
    <w:p w14:paraId="55FBB43C" w14:textId="77777777" w:rsidR="00800B19" w:rsidRDefault="00800B19" w:rsidP="008A0839">
      <w:pPr>
        <w:tabs>
          <w:tab w:val="left" w:pos="1878"/>
        </w:tabs>
        <w:jc w:val="both"/>
        <w:rPr>
          <w:rFonts w:ascii="Book Antiqua" w:hAnsi="Book Antiqua"/>
        </w:rPr>
      </w:pPr>
    </w:p>
    <w:p w14:paraId="343E3378" w14:textId="77777777" w:rsidR="00800B19" w:rsidRDefault="00800B19" w:rsidP="008A0839">
      <w:pPr>
        <w:tabs>
          <w:tab w:val="left" w:pos="1878"/>
        </w:tabs>
        <w:jc w:val="both"/>
        <w:rPr>
          <w:rFonts w:ascii="Book Antiqua" w:hAnsi="Book Antiqua"/>
        </w:rPr>
      </w:pPr>
    </w:p>
    <w:p w14:paraId="51495BFC" w14:textId="77777777" w:rsidR="000577A3" w:rsidRPr="00E3232D" w:rsidRDefault="000577A3" w:rsidP="008A0839">
      <w:pPr>
        <w:jc w:val="both"/>
        <w:rPr>
          <w:rFonts w:ascii="Book Antiqua" w:hAnsi="Book Antiqua"/>
        </w:rPr>
        <w:sectPr w:rsidR="000577A3" w:rsidRPr="00E3232D" w:rsidSect="008F6BC9">
          <w:type w:val="continuous"/>
          <w:pgSz w:w="11907" w:h="16839" w:code="9"/>
          <w:pgMar w:top="720" w:right="1440" w:bottom="360" w:left="1440" w:header="708" w:footer="708" w:gutter="0"/>
          <w:cols w:num="2" w:space="708"/>
          <w:docGrid w:linePitch="360"/>
        </w:sectPr>
      </w:pPr>
      <w:r w:rsidRPr="00E3232D">
        <w:rPr>
          <w:rFonts w:ascii="Book Antiqua" w:hAnsi="Book Antiqua"/>
        </w:rPr>
        <w:t>The transition phase between total floor contact and heel off and toe o</w:t>
      </w:r>
      <w:r w:rsidR="00B67CEF" w:rsidRPr="00E3232D">
        <w:rPr>
          <w:rFonts w:ascii="Book Antiqua" w:hAnsi="Book Antiqua"/>
        </w:rPr>
        <w:t>ff was observed to be rigid and</w:t>
      </w:r>
      <w:r w:rsidRPr="00E3232D">
        <w:rPr>
          <w:rFonts w:ascii="Book Antiqua" w:hAnsi="Book Antiqua"/>
        </w:rPr>
        <w:t>irregular</w:t>
      </w:r>
    </w:p>
    <w:p w14:paraId="065AA0C7" w14:textId="77777777" w:rsidR="000577A3" w:rsidRDefault="000577A3" w:rsidP="008A0839">
      <w:pPr>
        <w:jc w:val="both"/>
        <w:rPr>
          <w:rFonts w:ascii="Book Antiqua" w:hAnsi="Book Antiqua"/>
          <w:b/>
        </w:rPr>
      </w:pPr>
    </w:p>
    <w:p w14:paraId="5DD697AE" w14:textId="77777777" w:rsidR="00EA19E3" w:rsidRPr="00E3232D" w:rsidRDefault="00EA19E3" w:rsidP="008A0839">
      <w:pPr>
        <w:jc w:val="both"/>
        <w:rPr>
          <w:rFonts w:ascii="Book Antiqua" w:hAnsi="Book Antiqua"/>
          <w:b/>
        </w:rPr>
      </w:pPr>
    </w:p>
    <w:p w14:paraId="0C85E08E" w14:textId="77777777" w:rsidR="000577A3" w:rsidRPr="00E3232D" w:rsidRDefault="0013126D" w:rsidP="008A0839">
      <w:pPr>
        <w:jc w:val="both"/>
        <w:rPr>
          <w:rFonts w:ascii="Book Antiqua" w:hAnsi="Book Antiqua"/>
        </w:rPr>
      </w:pPr>
      <w:r w:rsidRPr="007F07C0">
        <w:rPr>
          <w:rFonts w:ascii="Book Antiqua" w:hAnsi="Book Antiqua"/>
          <w:b/>
          <w:sz w:val="26"/>
        </w:rPr>
        <w:t>References</w:t>
      </w:r>
    </w:p>
    <w:p w14:paraId="0704621C" w14:textId="77777777" w:rsidR="000577A3" w:rsidRPr="00E3232D" w:rsidRDefault="000577A3" w:rsidP="008A0839">
      <w:pPr>
        <w:pStyle w:val="ListParagraph"/>
        <w:ind w:left="0"/>
        <w:jc w:val="both"/>
        <w:rPr>
          <w:rFonts w:ascii="Book Antiqua" w:hAnsi="Book Antiqua"/>
        </w:rPr>
        <w:sectPr w:rsidR="000577A3" w:rsidRPr="00E3232D" w:rsidSect="008F6BC9">
          <w:type w:val="continuous"/>
          <w:pgSz w:w="11907" w:h="16839" w:code="9"/>
          <w:pgMar w:top="720" w:right="1440" w:bottom="360" w:left="1440" w:header="708" w:footer="708" w:gutter="0"/>
          <w:cols w:space="708"/>
          <w:docGrid w:linePitch="360"/>
        </w:sectPr>
      </w:pPr>
    </w:p>
    <w:p w14:paraId="4E347A54" w14:textId="77777777" w:rsidR="000577A3" w:rsidRPr="00E3232D" w:rsidRDefault="000577A3" w:rsidP="00E146E4">
      <w:pPr>
        <w:pStyle w:val="ListParagraph"/>
        <w:ind w:left="810" w:hanging="810"/>
        <w:jc w:val="both"/>
        <w:rPr>
          <w:rFonts w:ascii="Book Antiqua" w:hAnsi="Book Antiqua"/>
        </w:rPr>
      </w:pPr>
      <w:r w:rsidRPr="00E3232D">
        <w:rPr>
          <w:rFonts w:ascii="Book Antiqua" w:hAnsi="Book Antiqua"/>
        </w:rPr>
        <w:t xml:space="preserve">Charles H. Pritham, Ivan E. Letner, Jr., David Knighton (1976). </w:t>
      </w:r>
      <w:hyperlink r:id="rId52" w:history="1">
        <w:r w:rsidRPr="00E3232D">
          <w:rPr>
            <w:rStyle w:val="Hyperlink"/>
            <w:rFonts w:ascii="Book Antiqua" w:hAnsi="Book Antiqua"/>
          </w:rPr>
          <w:t>Use of Thermoplastic Components in Temporary Prostheses</w:t>
        </w:r>
      </w:hyperlink>
      <w:r w:rsidRPr="00E3232D">
        <w:rPr>
          <w:rFonts w:ascii="Book Antiqua" w:hAnsi="Book Antiqua"/>
        </w:rPr>
        <w:t xml:space="preserve">, a Progress </w:t>
      </w:r>
      <w:r w:rsidRPr="00E3232D">
        <w:rPr>
          <w:rFonts w:ascii="Book Antiqua" w:hAnsi="Book Antiqua"/>
        </w:rPr>
        <w:t xml:space="preserve">Report, </w:t>
      </w:r>
      <w:r w:rsidRPr="00E3232D">
        <w:rPr>
          <w:rFonts w:ascii="Book Antiqua" w:hAnsi="Book Antiqua"/>
          <w:iCs/>
        </w:rPr>
        <w:t>Orthotics and Prosthetics</w:t>
      </w:r>
      <w:r w:rsidRPr="00E3232D">
        <w:rPr>
          <w:rFonts w:ascii="Book Antiqua" w:hAnsi="Book Antiqua"/>
        </w:rPr>
        <w:t xml:space="preserve">, Vol. 30 </w:t>
      </w:r>
    </w:p>
    <w:p w14:paraId="4E45BE28" w14:textId="77777777" w:rsidR="000577A3" w:rsidRPr="00E3232D" w:rsidRDefault="000577A3" w:rsidP="00E146E4">
      <w:pPr>
        <w:pStyle w:val="ListParagraph"/>
        <w:ind w:left="810" w:hanging="810"/>
        <w:jc w:val="both"/>
        <w:rPr>
          <w:rFonts w:ascii="Book Antiqua" w:hAnsi="Book Antiqua"/>
        </w:rPr>
      </w:pPr>
    </w:p>
    <w:p w14:paraId="649CF5F9" w14:textId="77777777" w:rsidR="000577A3" w:rsidRPr="00E3232D" w:rsidRDefault="000577A3" w:rsidP="00E146E4">
      <w:pPr>
        <w:pStyle w:val="ListParagraph"/>
        <w:ind w:left="810" w:hanging="810"/>
        <w:jc w:val="both"/>
        <w:rPr>
          <w:rFonts w:ascii="Book Antiqua" w:hAnsi="Book Antiqua"/>
        </w:rPr>
      </w:pPr>
      <w:r w:rsidRPr="00E3232D">
        <w:rPr>
          <w:rFonts w:ascii="Book Antiqua" w:hAnsi="Book Antiqua"/>
        </w:rPr>
        <w:lastRenderedPageBreak/>
        <w:t xml:space="preserve">Fernanbez-Palazzi F, De Gutierrez DP, Paladino R (1991). The care of the limb deficient child in Venezuela </w:t>
      </w:r>
      <w:r w:rsidRPr="00E3232D">
        <w:rPr>
          <w:rFonts w:ascii="Book Antiqua" w:hAnsi="Book Antiqua"/>
          <w:iCs/>
        </w:rPr>
        <w:t>Prosthet Orthosis Int</w:t>
      </w:r>
      <w:r w:rsidRPr="00E3232D">
        <w:rPr>
          <w:rFonts w:ascii="Book Antiqua" w:hAnsi="Book Antiqua"/>
        </w:rPr>
        <w:t xml:space="preserve"> (</w:t>
      </w:r>
      <w:r w:rsidRPr="00E3232D">
        <w:rPr>
          <w:rFonts w:ascii="Book Antiqua" w:hAnsi="Book Antiqua"/>
          <w:bCs/>
        </w:rPr>
        <w:t>15)</w:t>
      </w:r>
      <w:r w:rsidRPr="00E3232D">
        <w:rPr>
          <w:rFonts w:ascii="Book Antiqua" w:hAnsi="Book Antiqua"/>
        </w:rPr>
        <w:t>: pp. 156-159</w:t>
      </w:r>
    </w:p>
    <w:p w14:paraId="74952B71" w14:textId="77777777" w:rsidR="000577A3" w:rsidRPr="00E3232D" w:rsidRDefault="000577A3" w:rsidP="00E146E4">
      <w:pPr>
        <w:ind w:left="810" w:hanging="810"/>
        <w:jc w:val="both"/>
        <w:rPr>
          <w:rFonts w:ascii="Book Antiqua" w:hAnsi="Book Antiqua"/>
        </w:rPr>
      </w:pPr>
      <w:r w:rsidRPr="00E3232D">
        <w:rPr>
          <w:rFonts w:ascii="Book Antiqua" w:hAnsi="Book Antiqua"/>
        </w:rPr>
        <w:t>Hanekon JM (1988). A survey of children attending a rehabilitation centre in Harare</w:t>
      </w:r>
    </w:p>
    <w:p w14:paraId="19B09406" w14:textId="77777777" w:rsidR="000577A3" w:rsidRPr="00E3232D" w:rsidRDefault="00E146E4" w:rsidP="00E146E4">
      <w:pPr>
        <w:ind w:left="810" w:hanging="810"/>
        <w:jc w:val="both"/>
        <w:rPr>
          <w:rFonts w:ascii="Book Antiqua" w:hAnsi="Book Antiqua"/>
        </w:rPr>
      </w:pPr>
      <w:r>
        <w:rPr>
          <w:rFonts w:ascii="Book Antiqua" w:hAnsi="Book Antiqua"/>
        </w:rPr>
        <w:t xml:space="preserve"> </w:t>
      </w:r>
      <w:r w:rsidR="000577A3" w:rsidRPr="00E3232D">
        <w:rPr>
          <w:rFonts w:ascii="Book Antiqua" w:hAnsi="Book Antiqua"/>
        </w:rPr>
        <w:t xml:space="preserve">Implications for rehabilitation </w:t>
      </w:r>
      <w:r w:rsidR="000577A3" w:rsidRPr="00E3232D">
        <w:rPr>
          <w:rFonts w:ascii="Book Antiqua" w:hAnsi="Book Antiqua"/>
          <w:iCs/>
        </w:rPr>
        <w:t>Centre Afro J Med</w:t>
      </w:r>
      <w:r w:rsidR="000577A3" w:rsidRPr="00E3232D">
        <w:rPr>
          <w:rFonts w:ascii="Book Antiqua" w:hAnsi="Book Antiqua"/>
        </w:rPr>
        <w:t xml:space="preserve"> (</w:t>
      </w:r>
      <w:r w:rsidR="000577A3" w:rsidRPr="00E3232D">
        <w:rPr>
          <w:rFonts w:ascii="Book Antiqua" w:hAnsi="Book Antiqua"/>
          <w:bCs/>
        </w:rPr>
        <w:t>34): pp</w:t>
      </w:r>
      <w:r w:rsidR="000577A3" w:rsidRPr="00E3232D">
        <w:rPr>
          <w:rFonts w:ascii="Book Antiqua" w:hAnsi="Book Antiqua"/>
        </w:rPr>
        <w:t xml:space="preserve">.149-153. </w:t>
      </w:r>
    </w:p>
    <w:p w14:paraId="262B7B54" w14:textId="77777777" w:rsidR="000577A3" w:rsidRPr="00E3232D" w:rsidRDefault="000577A3" w:rsidP="00E146E4">
      <w:pPr>
        <w:ind w:left="810" w:hanging="810"/>
        <w:jc w:val="both"/>
        <w:rPr>
          <w:rFonts w:ascii="Book Antiqua" w:hAnsi="Book Antiqua"/>
        </w:rPr>
      </w:pPr>
      <w:r w:rsidRPr="00E3232D">
        <w:rPr>
          <w:rFonts w:ascii="Book Antiqua" w:hAnsi="Book Antiqua"/>
        </w:rPr>
        <w:t xml:space="preserve">Kijkusol D (1986). Simplified, low cost below-knee prosthesis </w:t>
      </w:r>
      <w:r w:rsidRPr="00E3232D">
        <w:rPr>
          <w:rFonts w:ascii="Book Antiqua" w:hAnsi="Book Antiqua"/>
          <w:iCs/>
        </w:rPr>
        <w:t>Prosthetics Orthotics Int</w:t>
      </w:r>
      <w:r w:rsidRPr="00E3232D">
        <w:rPr>
          <w:rFonts w:ascii="Book Antiqua" w:hAnsi="Book Antiqua"/>
        </w:rPr>
        <w:t xml:space="preserve"> (</w:t>
      </w:r>
      <w:r w:rsidRPr="00E3232D">
        <w:rPr>
          <w:rFonts w:ascii="Book Antiqua" w:hAnsi="Book Antiqua"/>
          <w:bCs/>
        </w:rPr>
        <w:t>10)</w:t>
      </w:r>
      <w:r w:rsidRPr="00E3232D">
        <w:rPr>
          <w:rFonts w:ascii="Book Antiqua" w:hAnsi="Book Antiqua"/>
        </w:rPr>
        <w:t>:pp. 96-98</w:t>
      </w:r>
      <w:r w:rsidRPr="00E3232D">
        <w:rPr>
          <w:rFonts w:ascii="Book Antiqua" w:hAnsi="Book Antiqua"/>
          <w:bCs/>
        </w:rPr>
        <w:t>6. Muilenburg, A.L., &amp; Wilson, A.W. (1996). A Manual for Above-Knee Amputees Ankle-Foot Systems</w:t>
      </w:r>
      <w:r w:rsidR="00BE5E32">
        <w:rPr>
          <w:rFonts w:ascii="Book Antiqua" w:hAnsi="Book Antiqua"/>
          <w:bCs/>
        </w:rPr>
        <w:t xml:space="preserve"> </w:t>
      </w:r>
      <w:r w:rsidRPr="00E3232D">
        <w:rPr>
          <w:rFonts w:ascii="Book Antiqua" w:hAnsi="Book Antiqua"/>
        </w:rPr>
        <w:t>7. Orthopedic Training center, Nsawam (2012).</w:t>
      </w:r>
    </w:p>
    <w:p w14:paraId="6D27147D" w14:textId="77777777" w:rsidR="000577A3" w:rsidRPr="00E3232D" w:rsidRDefault="000577A3" w:rsidP="00E146E4">
      <w:pPr>
        <w:pStyle w:val="ListParagraph"/>
        <w:tabs>
          <w:tab w:val="left" w:pos="6687"/>
        </w:tabs>
        <w:ind w:left="810" w:hanging="810"/>
        <w:jc w:val="both"/>
        <w:rPr>
          <w:rFonts w:ascii="Book Antiqua" w:hAnsi="Book Antiqua"/>
        </w:rPr>
      </w:pPr>
      <w:r w:rsidRPr="00E3232D">
        <w:rPr>
          <w:rFonts w:ascii="Book Antiqua" w:hAnsi="Book Antiqua"/>
        </w:rPr>
        <w:tab/>
      </w:r>
    </w:p>
    <w:p w14:paraId="0F49EA7C" w14:textId="77777777" w:rsidR="000577A3" w:rsidRPr="00E3232D" w:rsidRDefault="00E146E4" w:rsidP="00E146E4">
      <w:pPr>
        <w:pStyle w:val="ListParagraph"/>
        <w:ind w:left="810" w:hanging="810"/>
        <w:jc w:val="both"/>
        <w:rPr>
          <w:rFonts w:ascii="Book Antiqua" w:hAnsi="Book Antiqua"/>
        </w:rPr>
      </w:pPr>
      <w:r>
        <w:rPr>
          <w:rFonts w:ascii="Book Antiqua" w:hAnsi="Book Antiqua"/>
          <w:bCs/>
        </w:rPr>
        <w:t xml:space="preserve"> </w:t>
      </w:r>
      <w:r w:rsidR="000577A3" w:rsidRPr="00E3232D">
        <w:rPr>
          <w:rFonts w:ascii="Book Antiqua" w:hAnsi="Book Antiqua"/>
        </w:rPr>
        <w:t>Sam E. Hammontree, Kurt Marschall, and D.G. Murray (1965) Temporary B.K. Prosthesis,</w:t>
      </w:r>
      <w:r w:rsidR="000577A3" w:rsidRPr="00E3232D">
        <w:rPr>
          <w:rFonts w:ascii="Book Antiqua" w:hAnsi="Book Antiqua"/>
          <w:iCs/>
        </w:rPr>
        <w:t xml:space="preserve"> Orthopaedic and Prosthetic Appliance Journal</w:t>
      </w:r>
      <w:r w:rsidR="000577A3" w:rsidRPr="00E3232D">
        <w:rPr>
          <w:rFonts w:ascii="Book Antiqua" w:hAnsi="Book Antiqua"/>
        </w:rPr>
        <w:t xml:space="preserve">, Vol. 29, No. 2, </w:t>
      </w:r>
    </w:p>
    <w:p w14:paraId="21B56041" w14:textId="77777777" w:rsidR="000577A3" w:rsidRPr="00E3232D" w:rsidRDefault="000577A3" w:rsidP="00E146E4">
      <w:pPr>
        <w:pStyle w:val="ListParagraph"/>
        <w:ind w:left="810" w:hanging="810"/>
        <w:jc w:val="both"/>
        <w:rPr>
          <w:rFonts w:ascii="Book Antiqua" w:hAnsi="Book Antiqua"/>
        </w:rPr>
      </w:pPr>
      <w:r w:rsidRPr="00E3232D">
        <w:rPr>
          <w:rFonts w:ascii="Book Antiqua" w:hAnsi="Book Antiqua"/>
        </w:rPr>
        <w:t xml:space="preserve"> </w:t>
      </w:r>
    </w:p>
    <w:p w14:paraId="463A62D9" w14:textId="77777777" w:rsidR="000577A3" w:rsidRPr="00E3232D" w:rsidRDefault="000577A3" w:rsidP="00E146E4">
      <w:pPr>
        <w:pStyle w:val="ListParagraph"/>
        <w:ind w:left="810" w:hanging="810"/>
        <w:jc w:val="both"/>
        <w:rPr>
          <w:rFonts w:ascii="Book Antiqua" w:hAnsi="Book Antiqua"/>
        </w:rPr>
      </w:pPr>
      <w:r w:rsidRPr="00E3232D">
        <w:rPr>
          <w:rFonts w:ascii="Book Antiqua" w:hAnsi="Book Antiqua"/>
        </w:rPr>
        <w:t>The American Academy of Orthopaedic Surgeons, (1965).</w:t>
      </w:r>
      <w:r w:rsidRPr="00E3232D">
        <w:rPr>
          <w:rFonts w:ascii="Book Antiqua" w:hAnsi="Book Antiqua"/>
          <w:iCs/>
        </w:rPr>
        <w:t xml:space="preserve"> Historical development of artificial limbs</w:t>
      </w:r>
      <w:r w:rsidRPr="00E3232D">
        <w:rPr>
          <w:rFonts w:ascii="Book Antiqua" w:hAnsi="Book Antiqua"/>
        </w:rPr>
        <w:t xml:space="preserve">, Chap. 1 in </w:t>
      </w:r>
      <w:r w:rsidRPr="00E3232D">
        <w:rPr>
          <w:rFonts w:ascii="Book Antiqua" w:hAnsi="Book Antiqua"/>
          <w:iCs/>
        </w:rPr>
        <w:t>Orthopaedic appliances atlas</w:t>
      </w:r>
      <w:r w:rsidRPr="00E3232D">
        <w:rPr>
          <w:rFonts w:ascii="Book Antiqua" w:hAnsi="Book Antiqua"/>
        </w:rPr>
        <w:t>, Vol. 2, J. W. Edwards, Ann Arbor, Mich.,</w:t>
      </w:r>
    </w:p>
    <w:p w14:paraId="48EEF260" w14:textId="77777777" w:rsidR="000577A3" w:rsidRPr="00E3232D" w:rsidRDefault="000577A3" w:rsidP="00E146E4">
      <w:pPr>
        <w:pStyle w:val="ListParagraph"/>
        <w:ind w:left="810" w:hanging="810"/>
        <w:jc w:val="both"/>
        <w:rPr>
          <w:rFonts w:ascii="Book Antiqua" w:hAnsi="Book Antiqua"/>
        </w:rPr>
      </w:pPr>
      <w:r w:rsidRPr="00E3232D">
        <w:rPr>
          <w:rFonts w:ascii="Book Antiqua" w:hAnsi="Book Antiqua"/>
        </w:rPr>
        <w:t xml:space="preserve"> </w:t>
      </w:r>
    </w:p>
    <w:p w14:paraId="11D53B06" w14:textId="77777777" w:rsidR="000577A3" w:rsidRDefault="000577A3" w:rsidP="00E146E4">
      <w:pPr>
        <w:pStyle w:val="ListParagraph"/>
        <w:ind w:left="810" w:hanging="810"/>
        <w:jc w:val="both"/>
        <w:rPr>
          <w:rFonts w:ascii="Book Antiqua" w:hAnsi="Book Antiqua"/>
        </w:rPr>
      </w:pPr>
      <w:r w:rsidRPr="00E3232D">
        <w:rPr>
          <w:rFonts w:ascii="Book Antiqua" w:hAnsi="Book Antiqua"/>
        </w:rPr>
        <w:t xml:space="preserve">William A. Tosber (1965).Temporary Prostheses, </w:t>
      </w:r>
      <w:r w:rsidRPr="00E3232D">
        <w:rPr>
          <w:rFonts w:ascii="Book Antiqua" w:hAnsi="Book Antiqua"/>
          <w:iCs/>
        </w:rPr>
        <w:t>Orthopedic and Prosthetic Appliance Journal</w:t>
      </w:r>
      <w:r w:rsidR="00E146E4">
        <w:rPr>
          <w:rFonts w:ascii="Book Antiqua" w:hAnsi="Book Antiqua"/>
        </w:rPr>
        <w:t>. Vol. 29, No. 2</w:t>
      </w:r>
    </w:p>
    <w:p w14:paraId="3C46091B" w14:textId="77777777" w:rsidR="00E146E4" w:rsidRPr="00E3232D" w:rsidRDefault="00E146E4" w:rsidP="00E146E4">
      <w:pPr>
        <w:pStyle w:val="ListParagraph"/>
        <w:ind w:left="810" w:hanging="810"/>
        <w:jc w:val="both"/>
        <w:rPr>
          <w:rFonts w:ascii="Book Antiqua" w:hAnsi="Book Antiqua"/>
        </w:rPr>
        <w:sectPr w:rsidR="00E146E4" w:rsidRPr="00E3232D" w:rsidSect="008F6BC9">
          <w:type w:val="continuous"/>
          <w:pgSz w:w="11907" w:h="16839" w:code="9"/>
          <w:pgMar w:top="720" w:right="1440" w:bottom="360" w:left="1440" w:header="708" w:footer="708" w:gutter="0"/>
          <w:cols w:num="2" w:space="708"/>
          <w:docGrid w:linePitch="360"/>
        </w:sectPr>
      </w:pPr>
    </w:p>
    <w:p w14:paraId="65D825ED" w14:textId="77777777" w:rsidR="00081CBF" w:rsidRPr="00E3232D" w:rsidRDefault="00081CBF" w:rsidP="008275E1">
      <w:pPr>
        <w:rPr>
          <w:rFonts w:ascii="Book Antiqua" w:hAnsi="Book Antiqua"/>
        </w:rPr>
        <w:sectPr w:rsidR="00081CBF" w:rsidRPr="00E3232D" w:rsidSect="008F6BC9">
          <w:type w:val="continuous"/>
          <w:pgSz w:w="11907" w:h="16839" w:code="9"/>
          <w:pgMar w:top="1350" w:right="1440" w:bottom="1440" w:left="1440" w:header="720" w:footer="720" w:gutter="0"/>
          <w:cols w:num="2" w:space="720"/>
          <w:docGrid w:linePitch="360"/>
        </w:sectPr>
      </w:pPr>
    </w:p>
    <w:p w14:paraId="3033DC20" w14:textId="77777777" w:rsidR="005F27C0" w:rsidRPr="00E3232D" w:rsidRDefault="005F27C0" w:rsidP="008275E1">
      <w:pPr>
        <w:rPr>
          <w:rFonts w:ascii="Book Antiqua" w:hAnsi="Book Antiqua"/>
        </w:rPr>
        <w:sectPr w:rsidR="005F27C0" w:rsidRPr="00E3232D" w:rsidSect="008F6BC9">
          <w:type w:val="continuous"/>
          <w:pgSz w:w="11907" w:h="16839" w:code="9"/>
          <w:pgMar w:top="1350" w:right="1440" w:bottom="1440" w:left="1440" w:header="720" w:footer="720" w:gutter="0"/>
          <w:cols w:num="2" w:space="720"/>
          <w:docGrid w:linePitch="360"/>
        </w:sectPr>
      </w:pPr>
    </w:p>
    <w:p w14:paraId="50908819" w14:textId="77777777" w:rsidR="002D1908" w:rsidRPr="00E3232D" w:rsidRDefault="002D1908" w:rsidP="008275E1">
      <w:pPr>
        <w:rPr>
          <w:rFonts w:ascii="Book Antiqua" w:hAnsi="Book Antiqua"/>
        </w:rPr>
        <w:sectPr w:rsidR="002D1908" w:rsidRPr="00E3232D" w:rsidSect="008F6BC9">
          <w:type w:val="continuous"/>
          <w:pgSz w:w="11907" w:h="16839" w:code="9"/>
          <w:pgMar w:top="1350" w:right="1440" w:bottom="1440" w:left="1440" w:header="720" w:footer="720" w:gutter="0"/>
          <w:cols w:num="2" w:space="720"/>
          <w:docGrid w:linePitch="360"/>
        </w:sectPr>
      </w:pPr>
    </w:p>
    <w:p w14:paraId="53C20411" w14:textId="77777777" w:rsidR="0007176C" w:rsidRPr="00E3232D" w:rsidRDefault="0007176C" w:rsidP="008275E1">
      <w:pPr>
        <w:rPr>
          <w:rFonts w:ascii="Book Antiqua" w:hAnsi="Book Antiqua"/>
        </w:rPr>
        <w:sectPr w:rsidR="0007176C" w:rsidRPr="00E3232D" w:rsidSect="008F6BC9">
          <w:type w:val="continuous"/>
          <w:pgSz w:w="11907" w:h="16839" w:code="9"/>
          <w:pgMar w:top="1350" w:right="1440" w:bottom="1440" w:left="1440" w:header="720" w:footer="720" w:gutter="0"/>
          <w:cols w:space="720"/>
          <w:docGrid w:linePitch="360"/>
        </w:sectPr>
      </w:pPr>
    </w:p>
    <w:p w14:paraId="5522E9F9" w14:textId="77777777" w:rsidR="00800B19" w:rsidRDefault="00800B19" w:rsidP="008275E1">
      <w:pPr>
        <w:rPr>
          <w:rFonts w:ascii="Book Antiqua" w:hAnsi="Book Antiqua"/>
        </w:rPr>
      </w:pPr>
    </w:p>
    <w:p w14:paraId="3776E194" w14:textId="77777777" w:rsidR="00800B19" w:rsidRDefault="00800B19" w:rsidP="008275E1">
      <w:pPr>
        <w:rPr>
          <w:rFonts w:ascii="Book Antiqua" w:hAnsi="Book Antiqua"/>
        </w:rPr>
      </w:pPr>
    </w:p>
    <w:p w14:paraId="66B8C8B9" w14:textId="77777777" w:rsidR="00800B19" w:rsidRDefault="00800B19" w:rsidP="008275E1">
      <w:pPr>
        <w:rPr>
          <w:rFonts w:ascii="Book Antiqua" w:hAnsi="Book Antiqua"/>
        </w:rPr>
      </w:pPr>
    </w:p>
    <w:p w14:paraId="59F958DE" w14:textId="77777777" w:rsidR="00800B19" w:rsidRDefault="00800B19" w:rsidP="008275E1">
      <w:pPr>
        <w:rPr>
          <w:rFonts w:ascii="Book Antiqua" w:hAnsi="Book Antiqua"/>
        </w:rPr>
      </w:pPr>
    </w:p>
    <w:p w14:paraId="4DD3198F" w14:textId="77777777" w:rsidR="00800B19" w:rsidRDefault="00800B19" w:rsidP="008275E1">
      <w:pPr>
        <w:rPr>
          <w:rFonts w:ascii="Book Antiqua" w:hAnsi="Book Antiqua"/>
        </w:rPr>
      </w:pPr>
    </w:p>
    <w:p w14:paraId="368865C8" w14:textId="77777777" w:rsidR="00800B19" w:rsidRDefault="00800B19" w:rsidP="008275E1">
      <w:pPr>
        <w:rPr>
          <w:rFonts w:ascii="Book Antiqua" w:hAnsi="Book Antiqua"/>
        </w:rPr>
      </w:pPr>
    </w:p>
    <w:p w14:paraId="29B5738A" w14:textId="77777777" w:rsidR="00C94856" w:rsidRDefault="00C94856" w:rsidP="00E146E4">
      <w:pPr>
        <w:spacing w:after="0"/>
        <w:jc w:val="center"/>
        <w:rPr>
          <w:rFonts w:ascii="Book Antiqua" w:hAnsi="Book Antiqua"/>
          <w:b/>
          <w:sz w:val="26"/>
          <w:szCs w:val="26"/>
        </w:rPr>
      </w:pPr>
    </w:p>
    <w:p w14:paraId="311E2C5B" w14:textId="77777777" w:rsidR="00C94856" w:rsidRDefault="00C94856" w:rsidP="00E146E4">
      <w:pPr>
        <w:spacing w:after="0"/>
        <w:jc w:val="center"/>
        <w:rPr>
          <w:rFonts w:ascii="Book Antiqua" w:hAnsi="Book Antiqua"/>
          <w:b/>
          <w:sz w:val="26"/>
          <w:szCs w:val="26"/>
        </w:rPr>
      </w:pPr>
    </w:p>
    <w:p w14:paraId="6D9873E0" w14:textId="77777777" w:rsidR="00C94856" w:rsidRDefault="00C94856" w:rsidP="00E146E4">
      <w:pPr>
        <w:spacing w:after="0"/>
        <w:jc w:val="center"/>
        <w:rPr>
          <w:rFonts w:ascii="Book Antiqua" w:hAnsi="Book Antiqua"/>
          <w:b/>
          <w:sz w:val="26"/>
          <w:szCs w:val="26"/>
        </w:rPr>
      </w:pPr>
    </w:p>
    <w:p w14:paraId="0CA249E5" w14:textId="77777777" w:rsidR="00C94856" w:rsidRDefault="00C94856" w:rsidP="00E146E4">
      <w:pPr>
        <w:spacing w:after="0"/>
        <w:jc w:val="center"/>
        <w:rPr>
          <w:rFonts w:ascii="Book Antiqua" w:hAnsi="Book Antiqua"/>
          <w:b/>
          <w:sz w:val="26"/>
          <w:szCs w:val="26"/>
        </w:rPr>
      </w:pPr>
    </w:p>
    <w:p w14:paraId="48F990DC" w14:textId="77777777" w:rsidR="00743D97" w:rsidRPr="007C2580" w:rsidRDefault="00743D97" w:rsidP="00E146E4">
      <w:pPr>
        <w:spacing w:after="0"/>
        <w:jc w:val="center"/>
        <w:rPr>
          <w:rFonts w:ascii="Book Antiqua" w:hAnsi="Book Antiqua"/>
          <w:b/>
          <w:sz w:val="26"/>
          <w:szCs w:val="26"/>
        </w:rPr>
      </w:pPr>
      <w:r w:rsidRPr="007C2580">
        <w:rPr>
          <w:rFonts w:ascii="Book Antiqua" w:hAnsi="Book Antiqua"/>
          <w:b/>
          <w:sz w:val="26"/>
          <w:szCs w:val="26"/>
        </w:rPr>
        <w:lastRenderedPageBreak/>
        <w:t>The Perceptions and Attitudes of Senior High School Students about Polytechnic Education, Eastern Region, Ghana.</w:t>
      </w:r>
    </w:p>
    <w:p w14:paraId="29372A61" w14:textId="77777777" w:rsidR="00743D97" w:rsidRPr="007C2580" w:rsidRDefault="00743D97" w:rsidP="0030511B">
      <w:pPr>
        <w:spacing w:after="0"/>
        <w:jc w:val="center"/>
        <w:rPr>
          <w:rFonts w:ascii="Book Antiqua" w:hAnsi="Book Antiqua"/>
          <w:b/>
          <w:sz w:val="26"/>
          <w:szCs w:val="26"/>
        </w:rPr>
      </w:pPr>
    </w:p>
    <w:p w14:paraId="446198A4" w14:textId="77777777" w:rsidR="00743D97" w:rsidRPr="00E146E4" w:rsidRDefault="00743D97" w:rsidP="0030511B">
      <w:pPr>
        <w:spacing w:after="0"/>
        <w:jc w:val="center"/>
        <w:rPr>
          <w:rFonts w:ascii="Book Antiqua" w:hAnsi="Book Antiqua"/>
          <w:b/>
          <w:sz w:val="26"/>
        </w:rPr>
      </w:pPr>
      <w:r w:rsidRPr="00E146E4">
        <w:rPr>
          <w:rFonts w:ascii="Book Antiqua" w:hAnsi="Book Antiqua"/>
          <w:b/>
          <w:sz w:val="26"/>
        </w:rPr>
        <w:t>Ayittah</w:t>
      </w:r>
      <w:r w:rsidR="00525B5E" w:rsidRPr="00E146E4">
        <w:rPr>
          <w:rFonts w:ascii="Book Antiqua" w:hAnsi="Book Antiqua"/>
          <w:b/>
          <w:sz w:val="26"/>
        </w:rPr>
        <w:t xml:space="preserve"> </w:t>
      </w:r>
      <w:r w:rsidR="006737C4" w:rsidRPr="00E146E4">
        <w:rPr>
          <w:rFonts w:ascii="Book Antiqua" w:hAnsi="Book Antiqua"/>
          <w:b/>
          <w:sz w:val="26"/>
        </w:rPr>
        <w:t>K. S.</w:t>
      </w:r>
      <w:r w:rsidRPr="00E146E4">
        <w:rPr>
          <w:rFonts w:ascii="Book Antiqua" w:hAnsi="Book Antiqua"/>
          <w:b/>
          <w:sz w:val="26"/>
        </w:rPr>
        <w:t>, Yaw</w:t>
      </w:r>
      <w:r w:rsidR="006737C4" w:rsidRPr="00E146E4">
        <w:rPr>
          <w:rFonts w:ascii="Book Antiqua" w:hAnsi="Book Antiqua"/>
          <w:b/>
          <w:sz w:val="26"/>
        </w:rPr>
        <w:t xml:space="preserve"> B.</w:t>
      </w:r>
      <w:r w:rsidRPr="00E146E4">
        <w:rPr>
          <w:rFonts w:ascii="Book Antiqua" w:hAnsi="Book Antiqua"/>
          <w:b/>
          <w:sz w:val="26"/>
        </w:rPr>
        <w:t xml:space="preserve">, </w:t>
      </w:r>
      <w:r w:rsidR="006737C4" w:rsidRPr="00E146E4">
        <w:rPr>
          <w:rFonts w:ascii="Book Antiqua" w:hAnsi="Book Antiqua"/>
          <w:b/>
          <w:sz w:val="26"/>
        </w:rPr>
        <w:t xml:space="preserve">&amp; </w:t>
      </w:r>
      <w:r w:rsidRPr="00E146E4">
        <w:rPr>
          <w:rFonts w:ascii="Book Antiqua" w:hAnsi="Book Antiqua"/>
          <w:b/>
          <w:sz w:val="26"/>
        </w:rPr>
        <w:t>Addae</w:t>
      </w:r>
      <w:r w:rsidR="00525B5E" w:rsidRPr="00E146E4">
        <w:rPr>
          <w:rFonts w:ascii="Book Antiqua" w:hAnsi="Book Antiqua"/>
          <w:b/>
          <w:sz w:val="26"/>
        </w:rPr>
        <w:t xml:space="preserve"> </w:t>
      </w:r>
      <w:r w:rsidRPr="00E146E4">
        <w:rPr>
          <w:rFonts w:ascii="Book Antiqua" w:hAnsi="Book Antiqua"/>
          <w:b/>
          <w:sz w:val="26"/>
        </w:rPr>
        <w:t>-</w:t>
      </w:r>
      <w:r w:rsidR="00525B5E" w:rsidRPr="00E146E4">
        <w:rPr>
          <w:rFonts w:ascii="Book Antiqua" w:hAnsi="Book Antiqua"/>
          <w:b/>
          <w:sz w:val="26"/>
        </w:rPr>
        <w:t xml:space="preserve"> </w:t>
      </w:r>
      <w:r w:rsidR="006737C4" w:rsidRPr="00E146E4">
        <w:rPr>
          <w:rFonts w:ascii="Book Antiqua" w:hAnsi="Book Antiqua"/>
          <w:b/>
          <w:sz w:val="26"/>
        </w:rPr>
        <w:t>Boateng S.</w:t>
      </w:r>
    </w:p>
    <w:p w14:paraId="6F299767" w14:textId="77777777" w:rsidR="00743D97" w:rsidRPr="00C07BDF" w:rsidRDefault="00C94856" w:rsidP="0030511B">
      <w:pPr>
        <w:spacing w:after="0"/>
        <w:jc w:val="center"/>
        <w:rPr>
          <w:rFonts w:ascii="Book Antiqua" w:hAnsi="Book Antiqua"/>
        </w:rPr>
      </w:pPr>
      <w:r w:rsidRPr="00C07BDF">
        <w:rPr>
          <w:rFonts w:ascii="Book Antiqua" w:hAnsi="Book Antiqua"/>
        </w:rPr>
        <w:t>Department of Marketing</w:t>
      </w:r>
      <w:r>
        <w:rPr>
          <w:rFonts w:ascii="Book Antiqua" w:hAnsi="Book Antiqua"/>
        </w:rPr>
        <w:t xml:space="preserve">, </w:t>
      </w:r>
      <w:r w:rsidR="00743D97" w:rsidRPr="00C07BDF">
        <w:rPr>
          <w:rFonts w:ascii="Book Antiqua" w:hAnsi="Book Antiqua"/>
        </w:rPr>
        <w:t>Koforidua Polytechnic,</w:t>
      </w:r>
      <w:r>
        <w:rPr>
          <w:rFonts w:ascii="Book Antiqua" w:hAnsi="Book Antiqua"/>
        </w:rPr>
        <w:t>Koforidua</w:t>
      </w:r>
      <w:r w:rsidR="00743D97" w:rsidRPr="00C07BDF">
        <w:rPr>
          <w:rFonts w:ascii="Book Antiqua" w:hAnsi="Book Antiqua"/>
        </w:rPr>
        <w:t xml:space="preserve"> </w:t>
      </w:r>
    </w:p>
    <w:p w14:paraId="29A243BB" w14:textId="77777777" w:rsidR="00C517A0" w:rsidRPr="00E3232D" w:rsidRDefault="00C517A0" w:rsidP="008275E1">
      <w:pPr>
        <w:rPr>
          <w:rFonts w:ascii="Book Antiqua" w:hAnsi="Book Antiqua"/>
          <w:b/>
        </w:rPr>
      </w:pPr>
    </w:p>
    <w:p w14:paraId="510D1368" w14:textId="77777777" w:rsidR="00C517A0" w:rsidRPr="00E3232D" w:rsidRDefault="00C517A0" w:rsidP="007455E9">
      <w:pPr>
        <w:jc w:val="both"/>
        <w:rPr>
          <w:rFonts w:ascii="Book Antiqua" w:hAnsi="Book Antiqua"/>
          <w:b/>
        </w:rPr>
      </w:pPr>
      <w:r w:rsidRPr="007F07C0">
        <w:rPr>
          <w:rFonts w:ascii="Book Antiqua" w:hAnsi="Book Antiqua"/>
          <w:b/>
          <w:sz w:val="26"/>
        </w:rPr>
        <w:t>Abstract</w:t>
      </w:r>
    </w:p>
    <w:p w14:paraId="7DAE58A4" w14:textId="77777777" w:rsidR="00A8170A" w:rsidRPr="00E3232D" w:rsidRDefault="00C517A0" w:rsidP="007455E9">
      <w:pPr>
        <w:jc w:val="both"/>
        <w:rPr>
          <w:rFonts w:ascii="Book Antiqua" w:hAnsi="Book Antiqua"/>
        </w:rPr>
      </w:pPr>
      <w:r w:rsidRPr="00E3232D">
        <w:rPr>
          <w:rFonts w:ascii="Book Antiqua" w:hAnsi="Book Antiqua"/>
        </w:rPr>
        <w:t xml:space="preserve">The survey investigated the perceptions, beliefs, and attitudes of Senior High School (SHS) students to polytechnic education. This is to serve as the basis for understanding their mind-set, needs and wants better to enable the polytechnics in Ghana mount programmes that better position them as tertiary institutions of choice rather than of last resort. The main objective of the study was to attempt to understand the perception, beliefs, and attitudes of the average Senior High School students to Higher National Diploma (HND) concept. Literature on related works was reviewed to define the conceptual framework for the study. 27-item questions, including Close-ended, open-ended, Likert 5-points </w:t>
      </w:r>
      <w:r w:rsidR="00A8170A">
        <w:rPr>
          <w:rFonts w:ascii="Book Antiqua" w:hAnsi="Book Antiqua"/>
        </w:rPr>
        <w:t xml:space="preserve">attitude measurement scale, and </w:t>
      </w:r>
      <w:r w:rsidR="00A8170A" w:rsidRPr="00E3232D">
        <w:rPr>
          <w:rFonts w:ascii="Book Antiqua" w:hAnsi="Book Antiqua"/>
        </w:rPr>
        <w:t>multiple choice questionnaires were purposively administered to a total of 1693, involving 818 female and 875 male 3</w:t>
      </w:r>
      <w:r w:rsidR="00A8170A" w:rsidRPr="00E3232D">
        <w:rPr>
          <w:rFonts w:ascii="Book Antiqua" w:hAnsi="Book Antiqua"/>
          <w:vertAlign w:val="superscript"/>
        </w:rPr>
        <w:t>rd</w:t>
      </w:r>
      <w:r w:rsidR="00A8170A" w:rsidRPr="00E3232D">
        <w:rPr>
          <w:rFonts w:ascii="Book Antiqua" w:hAnsi="Book Antiqua"/>
        </w:rPr>
        <w:t xml:space="preserve"> and final year students from 20 selected schools in the Eastern Region of Ghana. SPSS was used to analyze and present data. The study revealed that SHS students have a lot of misconceptions about Polytechnic concept. The study suggests strategies for rebranding polytechnic education in order that SHS students’ beliefs, perceptions, and attitudes to it will more positive. </w:t>
      </w:r>
    </w:p>
    <w:p w14:paraId="248B7FF2" w14:textId="77777777" w:rsidR="00C517A0" w:rsidRPr="00E3232D" w:rsidRDefault="00C517A0" w:rsidP="008275E1">
      <w:pPr>
        <w:rPr>
          <w:rFonts w:ascii="Book Antiqua" w:hAnsi="Book Antiqua"/>
        </w:rPr>
        <w:sectPr w:rsidR="00C517A0" w:rsidRPr="00E3232D" w:rsidSect="008F6BC9">
          <w:type w:val="continuous"/>
          <w:pgSz w:w="11907" w:h="16839" w:code="9"/>
          <w:pgMar w:top="1350" w:right="1440" w:bottom="1440" w:left="1440" w:header="720" w:footer="720" w:gutter="0"/>
          <w:cols w:space="720"/>
          <w:docGrid w:linePitch="360"/>
        </w:sectPr>
      </w:pPr>
    </w:p>
    <w:p w14:paraId="16B81DD7" w14:textId="77777777" w:rsidR="00B72982" w:rsidRPr="00E3232D" w:rsidRDefault="00B72982" w:rsidP="00A8170A">
      <w:pPr>
        <w:spacing w:after="0"/>
        <w:rPr>
          <w:rFonts w:ascii="Book Antiqua" w:hAnsi="Book Antiqua"/>
        </w:rPr>
      </w:pPr>
    </w:p>
    <w:p w14:paraId="305D7A0D" w14:textId="77777777" w:rsidR="00800B19" w:rsidRDefault="00C517A0" w:rsidP="007455E9">
      <w:pPr>
        <w:spacing w:after="0"/>
        <w:jc w:val="both"/>
        <w:rPr>
          <w:rFonts w:ascii="Book Antiqua" w:hAnsi="Book Antiqua"/>
        </w:rPr>
      </w:pPr>
      <w:r w:rsidRPr="00E3232D">
        <w:rPr>
          <w:rFonts w:ascii="Book Antiqua" w:hAnsi="Book Antiqua"/>
          <w:b/>
        </w:rPr>
        <w:t>Keywords</w:t>
      </w:r>
      <w:r w:rsidR="00B72982" w:rsidRPr="00E3232D">
        <w:rPr>
          <w:rFonts w:ascii="Book Antiqua" w:hAnsi="Book Antiqua"/>
        </w:rPr>
        <w:t>: Perceptions; Beliefs; Attitudes</w:t>
      </w:r>
      <w:r w:rsidR="008B1AAD" w:rsidRPr="00E3232D">
        <w:rPr>
          <w:rFonts w:ascii="Book Antiqua" w:hAnsi="Book Antiqua"/>
        </w:rPr>
        <w:t>;</w:t>
      </w:r>
      <w:r w:rsidR="00B72982" w:rsidRPr="00E3232D">
        <w:rPr>
          <w:rFonts w:ascii="Book Antiqua" w:hAnsi="Book Antiqua"/>
        </w:rPr>
        <w:t xml:space="preserve"> </w:t>
      </w:r>
      <w:r w:rsidR="008B1AAD" w:rsidRPr="00E3232D">
        <w:rPr>
          <w:rFonts w:ascii="Book Antiqua" w:hAnsi="Book Antiqua"/>
        </w:rPr>
        <w:t>Needs; Wants</w:t>
      </w:r>
    </w:p>
    <w:p w14:paraId="0D20205D" w14:textId="77777777" w:rsidR="00800B19" w:rsidRDefault="00800B19" w:rsidP="00A8170A">
      <w:pPr>
        <w:spacing w:after="0"/>
        <w:rPr>
          <w:rFonts w:ascii="Book Antiqua" w:hAnsi="Book Antiqua"/>
        </w:rPr>
      </w:pPr>
    </w:p>
    <w:p w14:paraId="248648E2" w14:textId="77777777" w:rsidR="00252D2F" w:rsidRDefault="00252D2F" w:rsidP="00A8170A">
      <w:pPr>
        <w:spacing w:after="0"/>
        <w:rPr>
          <w:rFonts w:ascii="Book Antiqua" w:hAnsi="Book Antiqua"/>
        </w:rPr>
        <w:sectPr w:rsidR="00252D2F" w:rsidSect="008F6BC9">
          <w:type w:val="continuous"/>
          <w:pgSz w:w="11907" w:h="16839" w:code="9"/>
          <w:pgMar w:top="1350" w:right="1440" w:bottom="1440" w:left="1440" w:header="720" w:footer="720" w:gutter="0"/>
          <w:cols w:space="720"/>
          <w:docGrid w:linePitch="360"/>
        </w:sectPr>
      </w:pPr>
    </w:p>
    <w:p w14:paraId="4EA6C950" w14:textId="77777777" w:rsidR="005600FC" w:rsidRPr="00E3232D" w:rsidRDefault="007F07C0" w:rsidP="007455E9">
      <w:pPr>
        <w:jc w:val="both"/>
        <w:rPr>
          <w:rFonts w:ascii="Book Antiqua" w:hAnsi="Book Antiqua"/>
          <w:b/>
        </w:rPr>
      </w:pPr>
      <w:r>
        <w:rPr>
          <w:rFonts w:ascii="Book Antiqua" w:hAnsi="Book Antiqua"/>
          <w:b/>
        </w:rPr>
        <w:t xml:space="preserve">1.0 </w:t>
      </w:r>
      <w:r w:rsidR="005600FC" w:rsidRPr="007F07C0">
        <w:rPr>
          <w:rFonts w:ascii="Book Antiqua" w:hAnsi="Book Antiqua"/>
          <w:b/>
          <w:sz w:val="26"/>
        </w:rPr>
        <w:t>Introduction</w:t>
      </w:r>
    </w:p>
    <w:p w14:paraId="6F85D947" w14:textId="77777777" w:rsidR="00A64C19" w:rsidRDefault="005600FC" w:rsidP="007455E9">
      <w:pPr>
        <w:jc w:val="both"/>
        <w:rPr>
          <w:rFonts w:ascii="Book Antiqua" w:hAnsi="Book Antiqua"/>
        </w:rPr>
      </w:pPr>
      <w:r w:rsidRPr="00E3232D">
        <w:rPr>
          <w:rFonts w:ascii="Book Antiqua" w:hAnsi="Book Antiqua"/>
        </w:rPr>
        <w:t xml:space="preserve">Polytechnics are higher educational institutions responsible for training middle-level-manpower for both the public and private sectors of the Ghanaian Economy. Since 1992, when Government directed polytechnics in Ghana to run tertiary programmes, significant achievements have been made in the output of the polytechnic graduate. The polytechnic provide technical and hands-on tertiary level education that focuses on application of principles and theory to practice. Polytechnic education also attempt to make entrepreneurs out the </w:t>
      </w:r>
      <w:r w:rsidRPr="00E3232D">
        <w:rPr>
          <w:rFonts w:ascii="Book Antiqua" w:hAnsi="Book Antiqua"/>
        </w:rPr>
        <w:t>Ghanaian youth as a way of reducing unemployment. This indicates that</w:t>
      </w:r>
    </w:p>
    <w:p w14:paraId="7CED631D" w14:textId="77777777" w:rsidR="00A64C19" w:rsidRPr="00A8170A" w:rsidRDefault="005600FC" w:rsidP="007455E9">
      <w:pPr>
        <w:jc w:val="both"/>
        <w:rPr>
          <w:rFonts w:ascii="Book Antiqua" w:hAnsi="Book Antiqua"/>
        </w:rPr>
      </w:pPr>
      <w:r w:rsidRPr="00E3232D">
        <w:rPr>
          <w:rFonts w:ascii="Book Antiqua" w:hAnsi="Book Antiqua"/>
        </w:rPr>
        <w:t xml:space="preserve"> polytechnic graduates play a key role in the development of the country.</w:t>
      </w:r>
    </w:p>
    <w:p w14:paraId="3A004626" w14:textId="77777777" w:rsidR="005600FC" w:rsidRPr="00E3232D" w:rsidRDefault="005600FC" w:rsidP="007455E9">
      <w:pPr>
        <w:jc w:val="both"/>
        <w:rPr>
          <w:rFonts w:ascii="Book Antiqua" w:hAnsi="Book Antiqua"/>
          <w:b/>
        </w:rPr>
      </w:pPr>
      <w:r w:rsidRPr="00E3232D">
        <w:rPr>
          <w:rFonts w:ascii="Book Antiqua" w:hAnsi="Book Antiqua"/>
          <w:b/>
        </w:rPr>
        <w:t>Perception</w:t>
      </w:r>
    </w:p>
    <w:p w14:paraId="378FE7F6" w14:textId="77777777" w:rsidR="00A8170A" w:rsidRPr="007455E9" w:rsidRDefault="005600FC" w:rsidP="007455E9">
      <w:pPr>
        <w:jc w:val="both"/>
        <w:rPr>
          <w:rFonts w:ascii="Book Antiqua" w:hAnsi="Book Antiqua"/>
        </w:rPr>
      </w:pPr>
      <w:r w:rsidRPr="00E3232D">
        <w:rPr>
          <w:rFonts w:ascii="Book Antiqua" w:hAnsi="Book Antiqua"/>
        </w:rPr>
        <w:t>Hilgard</w:t>
      </w:r>
      <w:r w:rsidRPr="00E3232D">
        <w:rPr>
          <w:rFonts w:ascii="Book Antiqua" w:hAnsi="Book Antiqua"/>
          <w:i/>
        </w:rPr>
        <w:t>et al.</w:t>
      </w:r>
      <w:r w:rsidRPr="00E3232D">
        <w:rPr>
          <w:rFonts w:ascii="Book Antiqua" w:hAnsi="Book Antiqua"/>
        </w:rPr>
        <w:t xml:space="preserve"> (1979) define perception as the process of becoming aware of objects, qualities, or relations by way of the sense organs. They explained that while sensory content (i.e. the five senses) is always present in perception, what is perceived is influenced by set and prior experience, so that perception is more than a passive </w:t>
      </w:r>
      <w:r w:rsidRPr="00E3232D">
        <w:rPr>
          <w:rFonts w:ascii="Book Antiqua" w:hAnsi="Book Antiqua"/>
        </w:rPr>
        <w:lastRenderedPageBreak/>
        <w:t>registration of stimuli impinging on the sense organs. Similarly, Berelson and Steiner (1964) define perception as the process by which we select, organize, and interpret inputs to create a meaningful picture of the world. Kotler and Keller (2009) explained that in marketing, perceptions are more important than the reality, because it is perception that affects the consumer’s actual behavior. They added that people’s perception about any object or subject depends not only on the physical stimuli but also on the stimuli relationship to the surrounding field and conditions within each of us.</w:t>
      </w:r>
    </w:p>
    <w:p w14:paraId="26C29F23" w14:textId="77777777" w:rsidR="005600FC" w:rsidRPr="00E3232D" w:rsidRDefault="005600FC" w:rsidP="007455E9">
      <w:pPr>
        <w:spacing w:after="0"/>
        <w:jc w:val="both"/>
        <w:rPr>
          <w:rFonts w:ascii="Book Antiqua" w:hAnsi="Book Antiqua"/>
          <w:b/>
        </w:rPr>
      </w:pPr>
      <w:r w:rsidRPr="00E3232D">
        <w:rPr>
          <w:rFonts w:ascii="Book Antiqua" w:hAnsi="Book Antiqua"/>
          <w:b/>
        </w:rPr>
        <w:t>Attitudes</w:t>
      </w:r>
    </w:p>
    <w:p w14:paraId="135FC23B" w14:textId="77777777" w:rsidR="00A8170A" w:rsidRDefault="005600FC" w:rsidP="007455E9">
      <w:pPr>
        <w:spacing w:after="0"/>
        <w:jc w:val="both"/>
        <w:rPr>
          <w:rFonts w:ascii="Book Antiqua" w:hAnsi="Book Antiqua"/>
        </w:rPr>
      </w:pPr>
      <w:r w:rsidRPr="00E3232D">
        <w:rPr>
          <w:rFonts w:ascii="Book Antiqua" w:hAnsi="Book Antiqua"/>
        </w:rPr>
        <w:t>According to Allport (1935) attitude is a mental and neutral state of readiness organized through experience, which exert a directive or dynamic upon the individual’s responses to all objects and situations. Boone and Kurtz (2004) explained that, perception of incoming stimuli is greatly affected by attitude. In other words, a consumer’s perception of a product or service is strongly influenced by his or her attitudes about the product quality, sales people, physical evidence, process, advertisement, distribution, customer service quality, etc. Boone and Kurtz (2004) explain further that attitude is a person’s enduring favorable or unfavorable evaluation, emotions, or action tendencies toward some object or idea. They added that as attitudes form over time through individual experiences and group contacts, they become highly resistant to change. The three key components of attitude that form the framework of the study are explained below.</w:t>
      </w:r>
    </w:p>
    <w:p w14:paraId="5BAB13F8" w14:textId="77777777" w:rsidR="007455E9" w:rsidRPr="007455E9" w:rsidRDefault="007455E9" w:rsidP="007455E9">
      <w:pPr>
        <w:spacing w:after="0"/>
        <w:jc w:val="both"/>
        <w:rPr>
          <w:rFonts w:ascii="Book Antiqua" w:hAnsi="Book Antiqua"/>
        </w:rPr>
      </w:pPr>
    </w:p>
    <w:p w14:paraId="4D29F652" w14:textId="77777777" w:rsidR="005600FC" w:rsidRPr="00E3232D" w:rsidRDefault="005600FC" w:rsidP="007455E9">
      <w:pPr>
        <w:jc w:val="both"/>
        <w:rPr>
          <w:rFonts w:ascii="Book Antiqua" w:hAnsi="Book Antiqua"/>
          <w:b/>
        </w:rPr>
      </w:pPr>
      <w:r w:rsidRPr="00E3232D">
        <w:rPr>
          <w:rFonts w:ascii="Book Antiqua" w:hAnsi="Book Antiqua"/>
          <w:b/>
        </w:rPr>
        <w:t xml:space="preserve">Three Components of attitude  </w:t>
      </w:r>
    </w:p>
    <w:p w14:paraId="5DDB90D6" w14:textId="77777777" w:rsidR="005600FC" w:rsidRPr="00E3232D" w:rsidRDefault="005600FC" w:rsidP="007455E9">
      <w:pPr>
        <w:jc w:val="both"/>
        <w:rPr>
          <w:rFonts w:ascii="Book Antiqua" w:hAnsi="Book Antiqua"/>
        </w:rPr>
      </w:pPr>
      <w:r w:rsidRPr="00E3232D">
        <w:rPr>
          <w:rFonts w:ascii="Book Antiqua" w:hAnsi="Book Antiqua"/>
        </w:rPr>
        <w:t>Batra</w:t>
      </w:r>
      <w:r w:rsidRPr="00E3232D">
        <w:rPr>
          <w:rFonts w:ascii="Book Antiqua" w:hAnsi="Book Antiqua"/>
          <w:i/>
        </w:rPr>
        <w:t>et al.</w:t>
      </w:r>
      <w:r w:rsidRPr="00E3232D">
        <w:rPr>
          <w:rFonts w:ascii="Book Antiqua" w:hAnsi="Book Antiqua"/>
        </w:rPr>
        <w:t xml:space="preserve"> (1996) are of the opinion that the mostly held view of the structure of an attitude is that it is made up of three closely interrelated components:</w:t>
      </w:r>
    </w:p>
    <w:p w14:paraId="4B5054E8" w14:textId="77777777" w:rsidR="005600FC" w:rsidRPr="00E3232D" w:rsidRDefault="005600FC" w:rsidP="00196385">
      <w:pPr>
        <w:pStyle w:val="ListParagraph"/>
        <w:numPr>
          <w:ilvl w:val="0"/>
          <w:numId w:val="30"/>
        </w:numPr>
        <w:jc w:val="both"/>
        <w:rPr>
          <w:rFonts w:ascii="Book Antiqua" w:hAnsi="Book Antiqua"/>
        </w:rPr>
      </w:pPr>
      <w:r w:rsidRPr="00E3232D">
        <w:rPr>
          <w:rFonts w:ascii="Book Antiqua" w:hAnsi="Book Antiqua"/>
          <w:i/>
        </w:rPr>
        <w:t>Cognitive</w:t>
      </w:r>
      <w:r w:rsidRPr="00E3232D">
        <w:rPr>
          <w:rFonts w:ascii="Book Antiqua" w:hAnsi="Book Antiqua"/>
        </w:rPr>
        <w:t xml:space="preserve"> (beliefs, awareness, comprehension, and knowledge about the object)</w:t>
      </w:r>
    </w:p>
    <w:p w14:paraId="63D62916" w14:textId="77777777" w:rsidR="005600FC" w:rsidRPr="00E3232D" w:rsidRDefault="005600FC" w:rsidP="00196385">
      <w:pPr>
        <w:pStyle w:val="ListParagraph"/>
        <w:numPr>
          <w:ilvl w:val="0"/>
          <w:numId w:val="30"/>
        </w:numPr>
        <w:jc w:val="both"/>
        <w:rPr>
          <w:rFonts w:ascii="Book Antiqua" w:hAnsi="Book Antiqua"/>
        </w:rPr>
      </w:pPr>
      <w:r w:rsidRPr="00E3232D">
        <w:rPr>
          <w:rFonts w:ascii="Book Antiqua" w:hAnsi="Book Antiqua"/>
          <w:i/>
        </w:rPr>
        <w:t>Affective</w:t>
      </w:r>
      <w:r w:rsidRPr="00E3232D">
        <w:rPr>
          <w:rFonts w:ascii="Book Antiqua" w:hAnsi="Book Antiqua"/>
        </w:rPr>
        <w:t xml:space="preserve"> (feelings and emotions such as liking and preferences for the object)</w:t>
      </w:r>
    </w:p>
    <w:p w14:paraId="29F324E8" w14:textId="77777777" w:rsidR="005600FC" w:rsidRDefault="005600FC" w:rsidP="00196385">
      <w:pPr>
        <w:pStyle w:val="ListParagraph"/>
        <w:numPr>
          <w:ilvl w:val="0"/>
          <w:numId w:val="30"/>
        </w:numPr>
        <w:jc w:val="both"/>
        <w:rPr>
          <w:rFonts w:ascii="Book Antiqua" w:hAnsi="Book Antiqua"/>
        </w:rPr>
      </w:pPr>
      <w:r w:rsidRPr="00E3232D">
        <w:rPr>
          <w:rFonts w:ascii="Book Antiqua" w:hAnsi="Book Antiqua"/>
          <w:i/>
        </w:rPr>
        <w:t>Conative</w:t>
      </w:r>
      <w:r w:rsidRPr="00E3232D">
        <w:rPr>
          <w:rFonts w:ascii="Book Antiqua" w:hAnsi="Book Antiqua"/>
        </w:rPr>
        <w:t xml:space="preserve"> or </w:t>
      </w:r>
      <w:r w:rsidRPr="00E3232D">
        <w:rPr>
          <w:rFonts w:ascii="Book Antiqua" w:hAnsi="Book Antiqua"/>
          <w:i/>
        </w:rPr>
        <w:t>behavioral</w:t>
      </w:r>
      <w:r w:rsidRPr="00E3232D">
        <w:rPr>
          <w:rFonts w:ascii="Book Antiqua" w:hAnsi="Book Antiqua"/>
        </w:rPr>
        <w:t xml:space="preserve"> (action tendencies such as intentions, trial, or purchase of the object)</w:t>
      </w:r>
    </w:p>
    <w:p w14:paraId="6FDBB20B" w14:textId="77777777" w:rsidR="007455E9" w:rsidRPr="007455E9" w:rsidRDefault="007455E9" w:rsidP="007455E9">
      <w:pPr>
        <w:pStyle w:val="ListParagraph"/>
        <w:jc w:val="both"/>
        <w:rPr>
          <w:rFonts w:ascii="Book Antiqua" w:hAnsi="Book Antiqua"/>
        </w:rPr>
      </w:pPr>
    </w:p>
    <w:p w14:paraId="5A4A4110" w14:textId="77777777" w:rsidR="005600FC" w:rsidRPr="007F07C0" w:rsidRDefault="005600FC" w:rsidP="00196385">
      <w:pPr>
        <w:pStyle w:val="ListParagraph"/>
        <w:numPr>
          <w:ilvl w:val="1"/>
          <w:numId w:val="170"/>
        </w:numPr>
        <w:spacing w:after="0"/>
        <w:jc w:val="both"/>
        <w:rPr>
          <w:rFonts w:ascii="Book Antiqua" w:hAnsi="Book Antiqua"/>
          <w:b/>
        </w:rPr>
      </w:pPr>
      <w:r w:rsidRPr="007F07C0">
        <w:rPr>
          <w:rFonts w:ascii="Book Antiqua" w:hAnsi="Book Antiqua"/>
          <w:b/>
        </w:rPr>
        <w:t>Historical Background</w:t>
      </w:r>
    </w:p>
    <w:p w14:paraId="6DAEE065" w14:textId="77777777" w:rsidR="00655B81" w:rsidRPr="00E3232D" w:rsidRDefault="005600FC" w:rsidP="007455E9">
      <w:pPr>
        <w:spacing w:after="0"/>
        <w:jc w:val="both"/>
        <w:rPr>
          <w:rFonts w:ascii="Book Antiqua" w:hAnsi="Book Antiqua"/>
        </w:rPr>
      </w:pPr>
      <w:r w:rsidRPr="00E3232D">
        <w:rPr>
          <w:rFonts w:ascii="Book Antiqua" w:hAnsi="Book Antiqua"/>
        </w:rPr>
        <w:t>The polytechnics in Ghana were first established as technical institutes that offered craft courses. In 1960, following the industrial development policy and rapid technological progress in a broad range of areas, technical education became necessary for the country. But because the technical institutions were offering seco</w:t>
      </w:r>
      <w:r>
        <w:rPr>
          <w:rFonts w:ascii="Book Antiqua" w:hAnsi="Book Antiqua"/>
        </w:rPr>
        <w:t>nd-cycle craft courses while the</w:t>
      </w:r>
      <w:r w:rsidR="00825158">
        <w:rPr>
          <w:rFonts w:ascii="Book Antiqua" w:hAnsi="Book Antiqua"/>
        </w:rPr>
        <w:t xml:space="preserve"> </w:t>
      </w:r>
      <w:r w:rsidR="00655B81" w:rsidRPr="00E3232D">
        <w:rPr>
          <w:rFonts w:ascii="Book Antiqua" w:hAnsi="Book Antiqua"/>
        </w:rPr>
        <w:t>universities were offering higher tertiary courses, there was a gap in the manpower supply needs of the country (Nsiah-Gyabaah, 2005). In response to this, Accra, Kumasi, Ho, Tamale, and Takoradi technical institutes were established to train lower and middle-level skilled manpower to fill the gap.</w:t>
      </w:r>
    </w:p>
    <w:p w14:paraId="68E37DDF" w14:textId="77777777" w:rsidR="00655B81" w:rsidRPr="00E3232D" w:rsidRDefault="00655B81" w:rsidP="007455E9">
      <w:pPr>
        <w:spacing w:after="0"/>
        <w:jc w:val="both"/>
        <w:rPr>
          <w:rFonts w:ascii="Book Antiqua" w:hAnsi="Book Antiqua"/>
        </w:rPr>
      </w:pPr>
    </w:p>
    <w:p w14:paraId="7A60C586" w14:textId="77777777" w:rsidR="00655B81" w:rsidRDefault="00655B81" w:rsidP="007455E9">
      <w:pPr>
        <w:spacing w:after="0"/>
        <w:jc w:val="both"/>
        <w:rPr>
          <w:rFonts w:ascii="Book Antiqua" w:hAnsi="Book Antiqua"/>
        </w:rPr>
      </w:pPr>
      <w:r w:rsidRPr="00E3232D">
        <w:rPr>
          <w:rFonts w:ascii="Book Antiqua" w:hAnsi="Book Antiqua"/>
        </w:rPr>
        <w:t xml:space="preserve">The Tamale and Ho technical institutes were elevated to polytechnic status in 1984 and 1986 respectively. The Cape Coast Polytechnic which was planned as a polytechnic was opened in 1986. In 1987, the government of Ghana constituted a University Rationalization Committee (URC) to develop proposals for reforming </w:t>
      </w:r>
      <w:r w:rsidRPr="00E3232D">
        <w:rPr>
          <w:rFonts w:ascii="Book Antiqua" w:hAnsi="Book Antiqua"/>
        </w:rPr>
        <w:lastRenderedPageBreak/>
        <w:t>the management, academic structure and funding of tertiary education in Ghana. Following the submission of the URC’s Report, the government issued a white paper in 1991 on the Reforms to the Tertiary Education System. The white paper gave prominence to polytechnic education and in 1993, following the promulgation of the Polytechnic Law, 1992 (PNDC Law 321), the polytechnics were upgraded to tertiary status. In line with government’s policy of making the polytechnics regionally based institutions, the Suny</w:t>
      </w:r>
      <w:r w:rsidR="00625F95">
        <w:rPr>
          <w:rFonts w:ascii="Book Antiqua" w:hAnsi="Book Antiqua"/>
        </w:rPr>
        <w:t>ani, Koforidua,</w:t>
      </w:r>
      <w:r w:rsidR="007346D3">
        <w:rPr>
          <w:rFonts w:ascii="Book Antiqua" w:hAnsi="Book Antiqua"/>
        </w:rPr>
        <w:t xml:space="preserve"> </w:t>
      </w:r>
      <w:r w:rsidRPr="00E3232D">
        <w:rPr>
          <w:rFonts w:ascii="Book Antiqua" w:hAnsi="Book Antiqua"/>
        </w:rPr>
        <w:t>Wa, and Bolgatanga polytechnics were also established in 1997.</w:t>
      </w:r>
    </w:p>
    <w:p w14:paraId="6D86ACFF" w14:textId="77777777" w:rsidR="007455E9" w:rsidRPr="007455E9" w:rsidRDefault="007455E9" w:rsidP="007455E9">
      <w:pPr>
        <w:spacing w:after="0"/>
        <w:jc w:val="both"/>
        <w:rPr>
          <w:rFonts w:ascii="Book Antiqua" w:hAnsi="Book Antiqua"/>
        </w:rPr>
      </w:pPr>
    </w:p>
    <w:p w14:paraId="62A7B4A3" w14:textId="77777777" w:rsidR="00655B81" w:rsidRPr="00E3232D" w:rsidRDefault="007F07C0" w:rsidP="007455E9">
      <w:pPr>
        <w:jc w:val="both"/>
        <w:rPr>
          <w:rFonts w:ascii="Book Antiqua" w:hAnsi="Book Antiqua"/>
          <w:b/>
        </w:rPr>
      </w:pPr>
      <w:r>
        <w:rPr>
          <w:rFonts w:ascii="Book Antiqua" w:hAnsi="Book Antiqua"/>
          <w:b/>
        </w:rPr>
        <w:t>1.2</w:t>
      </w:r>
      <w:r w:rsidR="00655B81" w:rsidRPr="00E3232D">
        <w:rPr>
          <w:rFonts w:ascii="Book Antiqua" w:hAnsi="Book Antiqua"/>
          <w:b/>
        </w:rPr>
        <w:t xml:space="preserve"> The Polytechnic Laws</w:t>
      </w:r>
    </w:p>
    <w:p w14:paraId="56C9B0BF" w14:textId="77777777" w:rsidR="00655B81" w:rsidRPr="00E3232D" w:rsidRDefault="00655B81" w:rsidP="007455E9">
      <w:pPr>
        <w:jc w:val="both"/>
        <w:rPr>
          <w:rFonts w:ascii="Book Antiqua" w:hAnsi="Book Antiqua"/>
        </w:rPr>
      </w:pPr>
      <w:r w:rsidRPr="00E3232D">
        <w:rPr>
          <w:rFonts w:ascii="Book Antiqua" w:hAnsi="Book Antiqua"/>
        </w:rPr>
        <w:t>The Polytechnic Law of 1992 (PNDC Law 321) which upgraded the polytechnics to tertiary institutions defined the objectives as follows:</w:t>
      </w:r>
    </w:p>
    <w:p w14:paraId="128E7FEF" w14:textId="77777777" w:rsidR="00655B81" w:rsidRPr="00E3232D" w:rsidRDefault="00655B81" w:rsidP="00196385">
      <w:pPr>
        <w:pStyle w:val="ListParagraph"/>
        <w:numPr>
          <w:ilvl w:val="0"/>
          <w:numId w:val="31"/>
        </w:numPr>
        <w:jc w:val="both"/>
        <w:rPr>
          <w:rFonts w:ascii="Book Antiqua" w:hAnsi="Book Antiqua"/>
        </w:rPr>
      </w:pPr>
      <w:r w:rsidRPr="00E3232D">
        <w:rPr>
          <w:rFonts w:ascii="Book Antiqua" w:hAnsi="Book Antiqua"/>
        </w:rPr>
        <w:t>To provide tertiary education through full time courses in the field of manufacturing, commerce, science, technology, applied social sciences, applied arts and such areas as may be determined by the authority for the time being responsible for higher education.</w:t>
      </w:r>
    </w:p>
    <w:p w14:paraId="7FCEA08E" w14:textId="77777777" w:rsidR="00655B81" w:rsidRPr="00E3232D" w:rsidRDefault="00655B81" w:rsidP="00196385">
      <w:pPr>
        <w:pStyle w:val="ListParagraph"/>
        <w:numPr>
          <w:ilvl w:val="0"/>
          <w:numId w:val="31"/>
        </w:numPr>
        <w:jc w:val="both"/>
        <w:rPr>
          <w:rFonts w:ascii="Book Antiqua" w:hAnsi="Book Antiqua"/>
        </w:rPr>
      </w:pPr>
      <w:r w:rsidRPr="00E3232D">
        <w:rPr>
          <w:rFonts w:ascii="Book Antiqua" w:hAnsi="Book Antiqua"/>
        </w:rPr>
        <w:t>To encourage study in technical subjects at tertiary level.</w:t>
      </w:r>
    </w:p>
    <w:p w14:paraId="34F25249" w14:textId="77777777" w:rsidR="00655B81" w:rsidRPr="00E3232D" w:rsidRDefault="00655B81" w:rsidP="00196385">
      <w:pPr>
        <w:pStyle w:val="ListParagraph"/>
        <w:numPr>
          <w:ilvl w:val="0"/>
          <w:numId w:val="31"/>
        </w:numPr>
        <w:jc w:val="both"/>
        <w:rPr>
          <w:rFonts w:ascii="Book Antiqua" w:hAnsi="Book Antiqua"/>
        </w:rPr>
      </w:pPr>
      <w:r w:rsidRPr="00E3232D">
        <w:rPr>
          <w:rFonts w:ascii="Book Antiqua" w:hAnsi="Book Antiqua"/>
        </w:rPr>
        <w:t>To provide opportunity for development, research and publication of research findings.</w:t>
      </w:r>
    </w:p>
    <w:p w14:paraId="4F4B872C" w14:textId="77777777" w:rsidR="0030511B" w:rsidRPr="00E3232D" w:rsidRDefault="00655B81" w:rsidP="007455E9">
      <w:pPr>
        <w:jc w:val="both"/>
        <w:rPr>
          <w:rFonts w:ascii="Book Antiqua" w:hAnsi="Book Antiqua"/>
        </w:rPr>
      </w:pPr>
      <w:r w:rsidRPr="00E3232D">
        <w:rPr>
          <w:rFonts w:ascii="Book Antiqua" w:hAnsi="Book Antiqua"/>
        </w:rPr>
        <w:t xml:space="preserve">These objectives indicates that polytechnic education in Ghana focuses on career-oriented training and has a more practical emphasis compared to what is offered in the university whose key mandate is to develop and disseminate new knowledge </w:t>
      </w:r>
      <w:r w:rsidRPr="00E3232D">
        <w:rPr>
          <w:rFonts w:ascii="Book Antiqua" w:hAnsi="Book Antiqua"/>
        </w:rPr>
        <w:t>through teaching, research and service. In a nutshell, the polytechnic’s key mandate is to develop highly skilled middle level manpower that is much needed in industry and other sectors of the Ghanaian economy. These objectives were retreated in the new Polytechnic Law (Act 745, 2007) which gives the polytechnics more powers and autonomy to facilitate growth among the polytechnics. This Law stresses the role of the polytechnics in the provision of practical tertiary education and training that is career focused, to prepare students for middle level supervisory and managerial positions in business and industry in Ghana (Ministry of Education, 1993). In spite of the legal backing, the perceptions and attitudes of SHS students’ to polytechnic education do not seem favourable.</w:t>
      </w:r>
    </w:p>
    <w:p w14:paraId="1F8D75DB" w14:textId="77777777" w:rsidR="00655B81" w:rsidRPr="007F07C0" w:rsidRDefault="00655B81" w:rsidP="00196385">
      <w:pPr>
        <w:pStyle w:val="ListParagraph"/>
        <w:numPr>
          <w:ilvl w:val="1"/>
          <w:numId w:val="171"/>
        </w:numPr>
        <w:jc w:val="both"/>
        <w:rPr>
          <w:rFonts w:ascii="Book Antiqua" w:hAnsi="Book Antiqua"/>
          <w:b/>
        </w:rPr>
      </w:pPr>
      <w:r w:rsidRPr="007F07C0">
        <w:rPr>
          <w:rFonts w:ascii="Book Antiqua" w:hAnsi="Book Antiqua"/>
          <w:b/>
        </w:rPr>
        <w:t>Statement of the Problem</w:t>
      </w:r>
    </w:p>
    <w:p w14:paraId="10EF285B" w14:textId="77777777" w:rsidR="00A64C19" w:rsidRPr="007455E9" w:rsidRDefault="00655B81" w:rsidP="007455E9">
      <w:pPr>
        <w:jc w:val="both"/>
        <w:rPr>
          <w:rFonts w:ascii="Book Antiqua" w:hAnsi="Book Antiqua"/>
        </w:rPr>
      </w:pPr>
      <w:r w:rsidRPr="00E3232D">
        <w:rPr>
          <w:rFonts w:ascii="Book Antiqua" w:hAnsi="Book Antiqua"/>
        </w:rPr>
        <w:t>Most Senior High School students shy away from polytechnic education until circumstances compel then to enrol. This phenomenon has given the opportunity to non-polytechnic tertiary institutions such as public, foreign, private (foreign and local) universities and professional institutions (foreign and local) to consistently extend their programmes and campuses across Ghana. This situation has negative implications for the image and future admissions into HND programmes in the polytechnics in Ghana. In view of this the perceptions and attitudes of Senior High School (SHS) students to polytechnic education do not appear favourable.  As a result, the polytechnics cannot be doing things the same way and expect to</w:t>
      </w:r>
      <w:r w:rsidR="00A64C19">
        <w:rPr>
          <w:rFonts w:ascii="Book Antiqua" w:hAnsi="Book Antiqua"/>
        </w:rPr>
        <w:t xml:space="preserve"> </w:t>
      </w:r>
      <w:r w:rsidR="00A64C19" w:rsidRPr="00E3232D">
        <w:rPr>
          <w:rFonts w:ascii="Book Antiqua" w:hAnsi="Book Antiqua"/>
        </w:rPr>
        <w:t xml:space="preserve">admit the expected number of Senior High School (SHS) applicants that will guarantee their long-term survival. They </w:t>
      </w:r>
      <w:r w:rsidR="00A64C19" w:rsidRPr="00E3232D">
        <w:rPr>
          <w:rFonts w:ascii="Book Antiqua" w:hAnsi="Book Antiqua"/>
        </w:rPr>
        <w:lastRenderedPageBreak/>
        <w:t>need relevant information to be more proactive to scale up their image among SHS students and the general public. In view of this, more periodic surveys need to be conducted among SHS students, who constitute more than 95% of polytechnic applicants to assess their current perceptions and attitudes to polytechnic education. The study therefore investigates the perceptions and attitudes of SHS students’ to polytechnic education to provide the information needed for the polytechnics to re-evaluate existing practices, strategies and academic programmes as the bases for re-strategizing to make the polytechnics higher educational institutions of choice; not higher institutions of last resort and gaining a competitive edge to improve and sustain enrolment in the polytechnics.</w:t>
      </w:r>
    </w:p>
    <w:p w14:paraId="41EBDDB6" w14:textId="77777777" w:rsidR="00A64C19" w:rsidRPr="00E3232D" w:rsidRDefault="00A64C19" w:rsidP="007455E9">
      <w:pPr>
        <w:jc w:val="both"/>
        <w:rPr>
          <w:rFonts w:ascii="Book Antiqua" w:hAnsi="Book Antiqua"/>
          <w:b/>
        </w:rPr>
      </w:pPr>
      <w:r w:rsidRPr="00E3232D">
        <w:rPr>
          <w:rFonts w:ascii="Book Antiqua" w:hAnsi="Book Antiqua"/>
          <w:b/>
        </w:rPr>
        <w:t>1.4</w:t>
      </w:r>
      <w:r w:rsidR="00585258">
        <w:rPr>
          <w:rFonts w:ascii="Book Antiqua" w:hAnsi="Book Antiqua"/>
          <w:b/>
        </w:rPr>
        <w:t xml:space="preserve"> </w:t>
      </w:r>
      <w:r w:rsidRPr="00E3232D">
        <w:rPr>
          <w:rFonts w:ascii="Book Antiqua" w:hAnsi="Book Antiqua"/>
          <w:b/>
        </w:rPr>
        <w:t>Specific Objectives</w:t>
      </w:r>
    </w:p>
    <w:p w14:paraId="10A560DE" w14:textId="77777777" w:rsidR="00A64C19" w:rsidRPr="00E3232D" w:rsidRDefault="00A64C19" w:rsidP="007455E9">
      <w:pPr>
        <w:jc w:val="both"/>
        <w:rPr>
          <w:rFonts w:ascii="Book Antiqua" w:hAnsi="Book Antiqua"/>
        </w:rPr>
      </w:pPr>
      <w:r w:rsidRPr="00E3232D">
        <w:rPr>
          <w:rFonts w:ascii="Book Antiqua" w:hAnsi="Book Antiqua"/>
        </w:rPr>
        <w:t>The specific objectives the survey sets to achieve are:</w:t>
      </w:r>
    </w:p>
    <w:p w14:paraId="3381DEA5" w14:textId="77777777" w:rsidR="00A64C19" w:rsidRPr="00E3232D" w:rsidRDefault="00A64C19" w:rsidP="007455E9">
      <w:pPr>
        <w:pStyle w:val="ListParagraph"/>
        <w:numPr>
          <w:ilvl w:val="0"/>
          <w:numId w:val="25"/>
        </w:numPr>
        <w:jc w:val="both"/>
        <w:rPr>
          <w:rFonts w:ascii="Book Antiqua" w:hAnsi="Book Antiqua"/>
        </w:rPr>
      </w:pPr>
      <w:r w:rsidRPr="00E3232D">
        <w:rPr>
          <w:rFonts w:ascii="Book Antiqua" w:hAnsi="Book Antiqua"/>
        </w:rPr>
        <w:t>To assess students’ cognitive component of attitude to polytechnic education</w:t>
      </w:r>
    </w:p>
    <w:p w14:paraId="18472A0C" w14:textId="77777777" w:rsidR="00A64C19" w:rsidRPr="00E3232D" w:rsidRDefault="00A64C19" w:rsidP="007455E9">
      <w:pPr>
        <w:pStyle w:val="ListParagraph"/>
        <w:numPr>
          <w:ilvl w:val="0"/>
          <w:numId w:val="25"/>
        </w:numPr>
        <w:jc w:val="both"/>
        <w:rPr>
          <w:rFonts w:ascii="Book Antiqua" w:hAnsi="Book Antiqua"/>
        </w:rPr>
      </w:pPr>
      <w:r w:rsidRPr="00E3232D">
        <w:rPr>
          <w:rFonts w:ascii="Book Antiqua" w:hAnsi="Book Antiqua"/>
        </w:rPr>
        <w:t>To identify students’ affective component attitude to  polytechnic education</w:t>
      </w:r>
    </w:p>
    <w:p w14:paraId="7D24DA7C" w14:textId="77777777" w:rsidR="00A64C19" w:rsidRPr="00E3232D" w:rsidRDefault="00A64C19" w:rsidP="007455E9">
      <w:pPr>
        <w:pStyle w:val="ListParagraph"/>
        <w:numPr>
          <w:ilvl w:val="0"/>
          <w:numId w:val="25"/>
        </w:numPr>
        <w:jc w:val="both"/>
        <w:rPr>
          <w:rFonts w:ascii="Book Antiqua" w:hAnsi="Book Antiqua"/>
        </w:rPr>
      </w:pPr>
      <w:r w:rsidRPr="00E3232D">
        <w:rPr>
          <w:rFonts w:ascii="Book Antiqua" w:hAnsi="Book Antiqua"/>
        </w:rPr>
        <w:t>To assess students’ cognative or behavioral component of attitude to polytechnic education</w:t>
      </w:r>
    </w:p>
    <w:p w14:paraId="09DEB5DF" w14:textId="77777777" w:rsidR="00A64C19" w:rsidRPr="007455E9" w:rsidRDefault="00A64C19" w:rsidP="007455E9">
      <w:pPr>
        <w:pStyle w:val="ListParagraph"/>
        <w:numPr>
          <w:ilvl w:val="0"/>
          <w:numId w:val="25"/>
        </w:numPr>
        <w:jc w:val="both"/>
        <w:rPr>
          <w:rFonts w:ascii="Book Antiqua" w:hAnsi="Book Antiqua"/>
        </w:rPr>
      </w:pPr>
      <w:r w:rsidRPr="00E3232D">
        <w:rPr>
          <w:rFonts w:ascii="Book Antiqua" w:hAnsi="Book Antiqua"/>
        </w:rPr>
        <w:t>To identify the expectations of students from polytechnic education.</w:t>
      </w:r>
    </w:p>
    <w:p w14:paraId="3FF3D200" w14:textId="77777777" w:rsidR="00A64C19" w:rsidRPr="00E3232D" w:rsidRDefault="00A64C19" w:rsidP="007455E9">
      <w:pPr>
        <w:jc w:val="both"/>
        <w:rPr>
          <w:rFonts w:ascii="Book Antiqua" w:hAnsi="Book Antiqua"/>
          <w:b/>
        </w:rPr>
      </w:pPr>
      <w:r w:rsidRPr="00E3232D">
        <w:rPr>
          <w:rFonts w:ascii="Book Antiqua" w:hAnsi="Book Antiqua"/>
          <w:b/>
        </w:rPr>
        <w:t>1.5</w:t>
      </w:r>
      <w:r w:rsidR="00585258">
        <w:rPr>
          <w:rFonts w:ascii="Book Antiqua" w:hAnsi="Book Antiqua"/>
          <w:b/>
        </w:rPr>
        <w:t xml:space="preserve"> </w:t>
      </w:r>
      <w:r w:rsidRPr="00E3232D">
        <w:rPr>
          <w:rFonts w:ascii="Book Antiqua" w:hAnsi="Book Antiqua"/>
          <w:b/>
        </w:rPr>
        <w:t>Significance of the Study</w:t>
      </w:r>
    </w:p>
    <w:p w14:paraId="07CC275D" w14:textId="77777777" w:rsidR="00A64C19" w:rsidRPr="00E3232D" w:rsidRDefault="00A64C19" w:rsidP="007455E9">
      <w:pPr>
        <w:jc w:val="both"/>
        <w:rPr>
          <w:rFonts w:ascii="Book Antiqua" w:hAnsi="Book Antiqua"/>
        </w:rPr>
      </w:pPr>
      <w:r w:rsidRPr="00E3232D">
        <w:rPr>
          <w:rFonts w:ascii="Book Antiqua" w:hAnsi="Book Antiqua"/>
        </w:rPr>
        <w:t>The findings of the study will make timely and relevant information available to managements of the polytechnics, for strategic competitive re-branding and re-</w:t>
      </w:r>
      <w:r w:rsidRPr="00E3232D">
        <w:rPr>
          <w:rFonts w:ascii="Book Antiqua" w:hAnsi="Book Antiqua"/>
        </w:rPr>
        <w:t>positioning. This way the polytechnics will be better able to match the non-polytechnic tertiary institutions in attracting adequate applicants for programmes in the polytechnics. The study will provide the empirical basis for developing relevant programmes and improving the image of the polytechnics in the minds of SHS students.</w:t>
      </w:r>
    </w:p>
    <w:p w14:paraId="3E0EDAB3" w14:textId="77777777" w:rsidR="00A64C19" w:rsidRPr="00E3232D" w:rsidRDefault="00A64C19" w:rsidP="007455E9">
      <w:pPr>
        <w:jc w:val="both"/>
        <w:rPr>
          <w:rFonts w:ascii="Book Antiqua" w:hAnsi="Book Antiqua"/>
          <w:b/>
        </w:rPr>
      </w:pPr>
      <w:r w:rsidRPr="00E3232D">
        <w:rPr>
          <w:rFonts w:ascii="Book Antiqua" w:hAnsi="Book Antiqua"/>
          <w:b/>
        </w:rPr>
        <w:t>2.</w:t>
      </w:r>
      <w:r w:rsidR="00190244">
        <w:rPr>
          <w:rFonts w:ascii="Book Antiqua" w:hAnsi="Book Antiqua"/>
          <w:b/>
        </w:rPr>
        <w:t>0</w:t>
      </w:r>
      <w:r w:rsidRPr="00E3232D">
        <w:rPr>
          <w:rFonts w:ascii="Book Antiqua" w:hAnsi="Book Antiqua"/>
          <w:b/>
        </w:rPr>
        <w:t xml:space="preserve"> </w:t>
      </w:r>
      <w:r w:rsidRPr="00CA2555">
        <w:rPr>
          <w:rFonts w:ascii="Book Antiqua" w:hAnsi="Book Antiqua"/>
          <w:b/>
          <w:sz w:val="26"/>
        </w:rPr>
        <w:t>Methods</w:t>
      </w:r>
    </w:p>
    <w:p w14:paraId="5AE8DC8B" w14:textId="77777777" w:rsidR="00A64C19" w:rsidRPr="00E3232D" w:rsidRDefault="00A64C19" w:rsidP="007455E9">
      <w:pPr>
        <w:spacing w:after="0"/>
        <w:jc w:val="both"/>
        <w:rPr>
          <w:rFonts w:ascii="Book Antiqua" w:hAnsi="Book Antiqua"/>
          <w:b/>
        </w:rPr>
      </w:pPr>
      <w:r w:rsidRPr="00E3232D">
        <w:rPr>
          <w:rFonts w:ascii="Book Antiqua" w:hAnsi="Book Antiqua"/>
          <w:b/>
        </w:rPr>
        <w:t xml:space="preserve">i. Target Population: </w:t>
      </w:r>
      <w:r w:rsidRPr="00E3232D">
        <w:rPr>
          <w:rFonts w:ascii="Book Antiqua" w:hAnsi="Book Antiqua"/>
        </w:rPr>
        <w:t>About 5,000 3</w:t>
      </w:r>
      <w:r w:rsidRPr="00E3232D">
        <w:rPr>
          <w:rFonts w:ascii="Book Antiqua" w:hAnsi="Book Antiqua"/>
          <w:vertAlign w:val="superscript"/>
        </w:rPr>
        <w:t>rd</w:t>
      </w:r>
      <w:r w:rsidRPr="00E3232D">
        <w:rPr>
          <w:rFonts w:ascii="Book Antiqua" w:hAnsi="Book Antiqua"/>
        </w:rPr>
        <w:t xml:space="preserve"> and 4</w:t>
      </w:r>
      <w:r w:rsidRPr="00E3232D">
        <w:rPr>
          <w:rFonts w:ascii="Book Antiqua" w:hAnsi="Book Antiqua"/>
          <w:vertAlign w:val="superscript"/>
        </w:rPr>
        <w:t>th</w:t>
      </w:r>
      <w:r w:rsidRPr="00E3232D">
        <w:rPr>
          <w:rFonts w:ascii="Book Antiqua" w:hAnsi="Book Antiqua"/>
        </w:rPr>
        <w:t>year students from 20 selected SHS schools in the Eastern Region in towns such as Koforidua, Tafo, Nkawkaw, Asamankese, Oda, Suhum, Kibi, Aburi, Nkwatia,Krobo-Odumasi and Nsawam was the population of the study.</w:t>
      </w:r>
    </w:p>
    <w:p w14:paraId="3261A055" w14:textId="77777777" w:rsidR="00A64C19" w:rsidRPr="00E3232D" w:rsidRDefault="00A64C19" w:rsidP="007455E9">
      <w:pPr>
        <w:spacing w:after="0"/>
        <w:jc w:val="both"/>
        <w:rPr>
          <w:rFonts w:ascii="Book Antiqua" w:hAnsi="Book Antiqua"/>
        </w:rPr>
      </w:pPr>
    </w:p>
    <w:p w14:paraId="66509C91" w14:textId="77777777" w:rsidR="00A64C19" w:rsidRDefault="00A64C19" w:rsidP="007455E9">
      <w:pPr>
        <w:spacing w:after="0"/>
        <w:jc w:val="both"/>
        <w:rPr>
          <w:rFonts w:ascii="Book Antiqua" w:hAnsi="Book Antiqua"/>
          <w:b/>
        </w:rPr>
      </w:pPr>
      <w:r w:rsidRPr="00E3232D">
        <w:rPr>
          <w:rFonts w:ascii="Book Antiqua" w:hAnsi="Book Antiqua"/>
          <w:b/>
        </w:rPr>
        <w:t xml:space="preserve">ii. Sample Size, Sampling Procedure and Instruments: </w:t>
      </w:r>
      <w:r w:rsidRPr="00E3232D">
        <w:rPr>
          <w:rFonts w:ascii="Book Antiqua" w:hAnsi="Book Antiqua"/>
        </w:rPr>
        <w:t>Literature on related works was reviewed to define the conceptual framework for the study. 27-item questions, including Close-ended, open-ended, Likert 5-points attitude measurement scale, and multiple choice questionnaires were purposively administered to a total of 1,693 comprising 818 female and 875 male 3</w:t>
      </w:r>
      <w:r w:rsidRPr="00E3232D">
        <w:rPr>
          <w:rFonts w:ascii="Book Antiqua" w:hAnsi="Book Antiqua"/>
          <w:vertAlign w:val="superscript"/>
        </w:rPr>
        <w:t>rd</w:t>
      </w:r>
      <w:r w:rsidRPr="00E3232D">
        <w:rPr>
          <w:rFonts w:ascii="Book Antiqua" w:hAnsi="Book Antiqua"/>
        </w:rPr>
        <w:t xml:space="preserve"> and 4</w:t>
      </w:r>
      <w:r w:rsidRPr="00E3232D">
        <w:rPr>
          <w:rFonts w:ascii="Book Antiqua" w:hAnsi="Book Antiqua"/>
          <w:vertAlign w:val="superscript"/>
        </w:rPr>
        <w:t>th</w:t>
      </w:r>
      <w:r w:rsidRPr="00E3232D">
        <w:rPr>
          <w:rFonts w:ascii="Book Antiqua" w:hAnsi="Book Antiqua"/>
        </w:rPr>
        <w:t xml:space="preserve"> year students conveniently selected from 20 schools in the Eastern Region. 3</w:t>
      </w:r>
      <w:r w:rsidRPr="00E3232D">
        <w:rPr>
          <w:rFonts w:ascii="Book Antiqua" w:hAnsi="Book Antiqua"/>
          <w:vertAlign w:val="superscript"/>
        </w:rPr>
        <w:t>rd</w:t>
      </w:r>
      <w:r w:rsidRPr="00E3232D">
        <w:rPr>
          <w:rFonts w:ascii="Book Antiqua" w:hAnsi="Book Antiqua"/>
        </w:rPr>
        <w:t xml:space="preserve"> and 4</w:t>
      </w:r>
      <w:r w:rsidRPr="00E3232D">
        <w:rPr>
          <w:rFonts w:ascii="Book Antiqua" w:hAnsi="Book Antiqua"/>
          <w:vertAlign w:val="superscript"/>
        </w:rPr>
        <w:t>th</w:t>
      </w:r>
      <w:r w:rsidRPr="00E3232D">
        <w:rPr>
          <w:rFonts w:ascii="Book Antiqua" w:hAnsi="Book Antiqua"/>
        </w:rPr>
        <w:t xml:space="preserve"> year students were used in the study because they are at the point of making on categories of tertiary institutions to attend after Senior High School. Personal interviews were conducted between 1 to 5 minutes for word-of-mouth testimonies from some students.</w:t>
      </w:r>
    </w:p>
    <w:p w14:paraId="3D934FA7" w14:textId="77777777" w:rsidR="007455E9" w:rsidRPr="007455E9" w:rsidRDefault="007455E9" w:rsidP="007455E9">
      <w:pPr>
        <w:spacing w:after="0"/>
        <w:jc w:val="both"/>
        <w:rPr>
          <w:rFonts w:ascii="Book Antiqua" w:hAnsi="Book Antiqua"/>
          <w:b/>
        </w:rPr>
      </w:pPr>
    </w:p>
    <w:p w14:paraId="57637F80" w14:textId="77777777" w:rsidR="00190244" w:rsidRDefault="00A64C19" w:rsidP="007455E9">
      <w:pPr>
        <w:jc w:val="both"/>
        <w:rPr>
          <w:rFonts w:ascii="Book Antiqua" w:hAnsi="Book Antiqua"/>
          <w:b/>
        </w:rPr>
      </w:pPr>
      <w:r w:rsidRPr="00E3232D">
        <w:rPr>
          <w:rFonts w:ascii="Book Antiqua" w:hAnsi="Book Antiqua"/>
          <w:b/>
        </w:rPr>
        <w:t xml:space="preserve">iii. Data Presentation and Analysis: </w:t>
      </w:r>
    </w:p>
    <w:p w14:paraId="1F1F366E" w14:textId="77777777" w:rsidR="00A64C19" w:rsidRPr="007455E9" w:rsidRDefault="00A64C19" w:rsidP="007455E9">
      <w:pPr>
        <w:jc w:val="both"/>
        <w:rPr>
          <w:rFonts w:ascii="Book Antiqua" w:hAnsi="Book Antiqua"/>
        </w:rPr>
      </w:pPr>
      <w:r w:rsidRPr="00E3232D">
        <w:rPr>
          <w:rFonts w:ascii="Book Antiqua" w:hAnsi="Book Antiqua"/>
        </w:rPr>
        <w:t xml:space="preserve">Data gathered were edited and coded. SPSS was used to analyse and present </w:t>
      </w:r>
      <w:r w:rsidRPr="00E3232D">
        <w:rPr>
          <w:rFonts w:ascii="Book Antiqua" w:hAnsi="Book Antiqua"/>
        </w:rPr>
        <w:lastRenderedPageBreak/>
        <w:t>information in form of percentages, bar charts</w:t>
      </w:r>
    </w:p>
    <w:p w14:paraId="0B77E724" w14:textId="77777777" w:rsidR="0030511B" w:rsidRDefault="00A64C19" w:rsidP="007455E9">
      <w:pPr>
        <w:jc w:val="both"/>
        <w:rPr>
          <w:rFonts w:ascii="Book Antiqua" w:hAnsi="Book Antiqua"/>
          <w:b/>
        </w:rPr>
      </w:pPr>
      <w:r w:rsidRPr="00E3232D">
        <w:rPr>
          <w:rFonts w:ascii="Book Antiqua" w:hAnsi="Book Antiqua"/>
          <w:b/>
        </w:rPr>
        <w:t xml:space="preserve">iv. Limitations: </w:t>
      </w:r>
      <w:r w:rsidRPr="00E3232D">
        <w:rPr>
          <w:rFonts w:ascii="Book Antiqua" w:hAnsi="Book Antiqua"/>
        </w:rPr>
        <w:t xml:space="preserve">For a study of this magnitude, a larger sample size should have been used; however, time and financial constraints limited the scope of the research to the Eastern Region with a sample size of 1,693 students selected from only 20 Senior High Schools. Also, convenient sampling, denied some students the chance of being selected for the study. </w:t>
      </w:r>
    </w:p>
    <w:p w14:paraId="11EB0701" w14:textId="77777777" w:rsidR="00A64C19" w:rsidRPr="00E3232D" w:rsidRDefault="00A64C19" w:rsidP="007455E9">
      <w:pPr>
        <w:autoSpaceDE w:val="0"/>
        <w:autoSpaceDN w:val="0"/>
        <w:adjustRightInd w:val="0"/>
        <w:jc w:val="both"/>
        <w:rPr>
          <w:rFonts w:ascii="Book Antiqua" w:hAnsi="Book Antiqua"/>
          <w:b/>
        </w:rPr>
      </w:pPr>
      <w:r w:rsidRPr="00E3232D">
        <w:rPr>
          <w:rFonts w:ascii="Book Antiqua" w:hAnsi="Book Antiqua"/>
          <w:b/>
        </w:rPr>
        <w:t>3.</w:t>
      </w:r>
      <w:r w:rsidR="00190244">
        <w:rPr>
          <w:rFonts w:ascii="Book Antiqua" w:hAnsi="Book Antiqua"/>
          <w:b/>
        </w:rPr>
        <w:t>0</w:t>
      </w:r>
      <w:r w:rsidRPr="00E3232D">
        <w:rPr>
          <w:rFonts w:ascii="Book Antiqua" w:hAnsi="Book Antiqua"/>
          <w:b/>
        </w:rPr>
        <w:t xml:space="preserve"> </w:t>
      </w:r>
      <w:r w:rsidRPr="007F07C0">
        <w:rPr>
          <w:rFonts w:ascii="Book Antiqua" w:hAnsi="Book Antiqua"/>
          <w:b/>
          <w:sz w:val="26"/>
        </w:rPr>
        <w:t>Findings and Discussions</w:t>
      </w:r>
    </w:p>
    <w:p w14:paraId="00786A50" w14:textId="77777777" w:rsidR="00A64C19" w:rsidRPr="00E3232D" w:rsidRDefault="00A64C19" w:rsidP="007455E9">
      <w:pPr>
        <w:autoSpaceDE w:val="0"/>
        <w:autoSpaceDN w:val="0"/>
        <w:adjustRightInd w:val="0"/>
        <w:jc w:val="both"/>
        <w:rPr>
          <w:rFonts w:ascii="Book Antiqua" w:hAnsi="Book Antiqua"/>
          <w:b/>
        </w:rPr>
      </w:pPr>
      <w:r w:rsidRPr="00E3232D">
        <w:rPr>
          <w:rFonts w:ascii="Book Antiqua" w:hAnsi="Book Antiqua"/>
          <w:b/>
        </w:rPr>
        <w:t>Section 1: General Information</w:t>
      </w:r>
    </w:p>
    <w:p w14:paraId="26933457" w14:textId="77777777" w:rsidR="00A64C19" w:rsidRPr="00E3232D" w:rsidRDefault="00A64C19" w:rsidP="007455E9">
      <w:pPr>
        <w:jc w:val="both"/>
        <w:rPr>
          <w:rFonts w:ascii="Book Antiqua" w:hAnsi="Book Antiqua"/>
          <w:lang w:eastAsia="en-GB"/>
        </w:rPr>
      </w:pPr>
      <w:r w:rsidRPr="00E3232D">
        <w:rPr>
          <w:rFonts w:ascii="Book Antiqua" w:hAnsi="Book Antiqua"/>
          <w:b/>
          <w:bCs/>
          <w:color w:val="000000"/>
        </w:rPr>
        <w:t xml:space="preserve">3.1.1: Gender </w:t>
      </w:r>
      <w:r w:rsidR="00190244" w:rsidRPr="00E3232D">
        <w:rPr>
          <w:rFonts w:ascii="Book Antiqua" w:hAnsi="Book Antiqua"/>
          <w:b/>
          <w:bCs/>
          <w:color w:val="000000"/>
        </w:rPr>
        <w:t>Distribution</w:t>
      </w:r>
    </w:p>
    <w:p w14:paraId="784BA6B3" w14:textId="77777777" w:rsidR="00DD7606" w:rsidRPr="00CA2555" w:rsidRDefault="00A64C19" w:rsidP="007455E9">
      <w:pPr>
        <w:jc w:val="both"/>
        <w:rPr>
          <w:rFonts w:ascii="Book Antiqua" w:hAnsi="Book Antiqua"/>
          <w:lang w:eastAsia="en-GB"/>
        </w:rPr>
      </w:pPr>
      <w:r w:rsidRPr="00E3232D">
        <w:rPr>
          <w:rFonts w:ascii="Book Antiqua" w:hAnsi="Book Antiqua"/>
          <w:lang w:eastAsia="en-GB"/>
        </w:rPr>
        <w:t>From Table 3.1.1, 51.7% were male while 48.3% were female. The gender difference of 3.4% underscores the fact that there are usually more males in SHSs than there are females.</w:t>
      </w:r>
    </w:p>
    <w:p w14:paraId="0947161B" w14:textId="77777777" w:rsidR="00A64C19" w:rsidRPr="00E3232D" w:rsidRDefault="00A64C19" w:rsidP="007455E9">
      <w:pPr>
        <w:jc w:val="both"/>
        <w:rPr>
          <w:rFonts w:ascii="Book Antiqua" w:hAnsi="Book Antiqua"/>
          <w:lang w:eastAsia="en-GB"/>
        </w:rPr>
      </w:pPr>
      <w:r w:rsidRPr="00E3232D">
        <w:rPr>
          <w:rFonts w:ascii="Book Antiqua" w:hAnsi="Book Antiqua"/>
          <w:b/>
          <w:bCs/>
          <w:color w:val="000000"/>
        </w:rPr>
        <w:t xml:space="preserve">3.1.2: Courses </w:t>
      </w:r>
      <w:r w:rsidR="00190244" w:rsidRPr="00E3232D">
        <w:rPr>
          <w:rFonts w:ascii="Book Antiqua" w:hAnsi="Book Antiqua"/>
          <w:b/>
          <w:bCs/>
          <w:color w:val="000000"/>
        </w:rPr>
        <w:t xml:space="preserve">Offered </w:t>
      </w:r>
      <w:r w:rsidRPr="00E3232D">
        <w:rPr>
          <w:rFonts w:ascii="Book Antiqua" w:hAnsi="Book Antiqua"/>
          <w:b/>
          <w:bCs/>
          <w:color w:val="000000"/>
        </w:rPr>
        <w:t xml:space="preserve">by </w:t>
      </w:r>
      <w:r w:rsidR="00190244" w:rsidRPr="00E3232D">
        <w:rPr>
          <w:rFonts w:ascii="Book Antiqua" w:hAnsi="Book Antiqua"/>
          <w:b/>
          <w:bCs/>
          <w:color w:val="000000"/>
        </w:rPr>
        <w:t>Respondents</w:t>
      </w:r>
    </w:p>
    <w:p w14:paraId="0727C96D" w14:textId="77777777" w:rsidR="00A64C19" w:rsidRPr="00E3232D" w:rsidRDefault="00A64C19" w:rsidP="007455E9">
      <w:pPr>
        <w:jc w:val="both"/>
        <w:rPr>
          <w:rFonts w:ascii="Book Antiqua" w:hAnsi="Book Antiqua"/>
          <w:lang w:eastAsia="en-GB"/>
        </w:rPr>
      </w:pPr>
      <w:r w:rsidRPr="00E3232D">
        <w:rPr>
          <w:rFonts w:ascii="Book Antiqua" w:hAnsi="Book Antiqua"/>
          <w:lang w:eastAsia="en-GB"/>
        </w:rPr>
        <w:t xml:space="preserve">From Table 3.1.2, 18.1% study Business, 22% study Science, 23.7% study General Arts, 12.9% study Technical courses while 13.7% study Home Economics and 9.6% are Visual Arts students. This means that most of the respondents were Science, Business and General Art students (63.7%) and it is because these courses are run by most of the schools. </w:t>
      </w:r>
    </w:p>
    <w:p w14:paraId="1C67163E" w14:textId="77777777" w:rsidR="00A64C19" w:rsidRPr="007455E9" w:rsidRDefault="00A64C19" w:rsidP="007455E9">
      <w:pPr>
        <w:autoSpaceDE w:val="0"/>
        <w:autoSpaceDN w:val="0"/>
        <w:adjustRightInd w:val="0"/>
        <w:jc w:val="both"/>
        <w:rPr>
          <w:rFonts w:ascii="Book Antiqua" w:hAnsi="Book Antiqua"/>
          <w:b/>
        </w:rPr>
      </w:pPr>
      <w:r w:rsidRPr="00E3232D">
        <w:rPr>
          <w:rFonts w:ascii="Book Antiqua" w:hAnsi="Book Antiqua"/>
          <w:b/>
        </w:rPr>
        <w:t>Section 2: Cognitive Component of Attitude, i.e. (SHS Students’ Beliefs, Information and Knowledge about Polytechnic Education)</w:t>
      </w:r>
    </w:p>
    <w:p w14:paraId="39CD127A" w14:textId="77777777" w:rsidR="00A64C19" w:rsidRPr="00E3232D" w:rsidRDefault="00A64C19" w:rsidP="007455E9">
      <w:pPr>
        <w:jc w:val="both"/>
        <w:rPr>
          <w:rFonts w:ascii="Book Antiqua" w:hAnsi="Book Antiqua"/>
          <w:lang w:eastAsia="en-GB"/>
        </w:rPr>
      </w:pPr>
      <w:r w:rsidRPr="00E3232D">
        <w:rPr>
          <w:rFonts w:ascii="Book Antiqua" w:hAnsi="Book Antiqua"/>
          <w:b/>
          <w:bCs/>
          <w:color w:val="000000"/>
        </w:rPr>
        <w:t xml:space="preserve">3.2.1: Students’ </w:t>
      </w:r>
      <w:r w:rsidR="00190244" w:rsidRPr="00E3232D">
        <w:rPr>
          <w:rFonts w:ascii="Book Antiqua" w:hAnsi="Book Antiqua"/>
          <w:b/>
          <w:bCs/>
          <w:color w:val="000000"/>
        </w:rPr>
        <w:t xml:space="preserve">Awareness </w:t>
      </w:r>
      <w:r w:rsidRPr="00E3232D">
        <w:rPr>
          <w:rFonts w:ascii="Book Antiqua" w:hAnsi="Book Antiqua"/>
          <w:b/>
          <w:bCs/>
          <w:color w:val="000000"/>
        </w:rPr>
        <w:t xml:space="preserve">of </w:t>
      </w:r>
      <w:r w:rsidR="00190244" w:rsidRPr="00E3232D">
        <w:rPr>
          <w:rFonts w:ascii="Book Antiqua" w:hAnsi="Book Antiqua"/>
          <w:b/>
          <w:bCs/>
          <w:color w:val="000000"/>
        </w:rPr>
        <w:t xml:space="preserve">Polytechnic </w:t>
      </w:r>
      <w:r w:rsidRPr="00E3232D">
        <w:rPr>
          <w:rFonts w:ascii="Book Antiqua" w:hAnsi="Book Antiqua"/>
          <w:b/>
          <w:bCs/>
          <w:color w:val="000000"/>
        </w:rPr>
        <w:t>Education</w:t>
      </w:r>
    </w:p>
    <w:p w14:paraId="0B4AB6E1" w14:textId="77777777" w:rsidR="00A64C19" w:rsidRPr="00E3232D" w:rsidRDefault="00A64C19" w:rsidP="007455E9">
      <w:pPr>
        <w:jc w:val="both"/>
        <w:rPr>
          <w:rFonts w:ascii="Book Antiqua" w:hAnsi="Book Antiqua"/>
          <w:lang w:eastAsia="en-GB"/>
        </w:rPr>
      </w:pPr>
      <w:r w:rsidRPr="00E3232D">
        <w:rPr>
          <w:rFonts w:ascii="Book Antiqua" w:hAnsi="Book Antiqua"/>
          <w:lang w:eastAsia="en-GB"/>
        </w:rPr>
        <w:t xml:space="preserve">Table 3.2.1 shows that 97.9% of them have heard or are aware of polytechnic institution, 2.3% of them have not heard about the polytechnic; 0.9% did not respond. This means about 3.1% of SHS Students in the Eastern Region have never heard of the polytechnic. </w:t>
      </w:r>
    </w:p>
    <w:p w14:paraId="4C568013" w14:textId="77777777" w:rsidR="00A64C19" w:rsidRPr="00E3232D" w:rsidRDefault="00A64C19" w:rsidP="007455E9">
      <w:pPr>
        <w:jc w:val="both"/>
        <w:rPr>
          <w:rFonts w:ascii="Book Antiqua" w:hAnsi="Book Antiqua"/>
          <w:lang w:eastAsia="en-GB"/>
        </w:rPr>
      </w:pPr>
      <w:r w:rsidRPr="00E3232D">
        <w:rPr>
          <w:rFonts w:ascii="Book Antiqua" w:hAnsi="Book Antiqua"/>
          <w:b/>
          <w:bCs/>
          <w:color w:val="000000"/>
        </w:rPr>
        <w:t xml:space="preserve">3.2.2: What </w:t>
      </w:r>
      <w:r w:rsidR="00190244" w:rsidRPr="00E3232D">
        <w:rPr>
          <w:rFonts w:ascii="Book Antiqua" w:hAnsi="Book Antiqua"/>
          <w:b/>
          <w:bCs/>
          <w:color w:val="000000"/>
        </w:rPr>
        <w:t xml:space="preserve">Level </w:t>
      </w:r>
      <w:r w:rsidRPr="00E3232D">
        <w:rPr>
          <w:rFonts w:ascii="Book Antiqua" w:hAnsi="Book Antiqua"/>
          <w:b/>
          <w:bCs/>
          <w:color w:val="000000"/>
        </w:rPr>
        <w:t xml:space="preserve">of </w:t>
      </w:r>
      <w:r w:rsidR="00190244" w:rsidRPr="00E3232D">
        <w:rPr>
          <w:rFonts w:ascii="Book Antiqua" w:hAnsi="Book Antiqua"/>
          <w:b/>
          <w:bCs/>
          <w:color w:val="000000"/>
        </w:rPr>
        <w:t xml:space="preserve">Education </w:t>
      </w:r>
      <w:r w:rsidRPr="00E3232D">
        <w:rPr>
          <w:rFonts w:ascii="Book Antiqua" w:hAnsi="Book Antiqua"/>
          <w:b/>
          <w:bCs/>
          <w:color w:val="000000"/>
        </w:rPr>
        <w:t xml:space="preserve">is the </w:t>
      </w:r>
      <w:r w:rsidR="00190244" w:rsidRPr="00E3232D">
        <w:rPr>
          <w:rFonts w:ascii="Book Antiqua" w:hAnsi="Book Antiqua"/>
          <w:b/>
          <w:bCs/>
          <w:color w:val="000000"/>
        </w:rPr>
        <w:t>Polytechnic</w:t>
      </w:r>
      <w:r w:rsidRPr="00E3232D">
        <w:rPr>
          <w:rFonts w:ascii="Book Antiqua" w:hAnsi="Book Antiqua"/>
          <w:b/>
          <w:bCs/>
          <w:color w:val="000000"/>
        </w:rPr>
        <w:t>?</w:t>
      </w:r>
    </w:p>
    <w:p w14:paraId="2D7C246E" w14:textId="77777777" w:rsidR="00A64C19" w:rsidRPr="007455E9" w:rsidRDefault="00A64C19" w:rsidP="007455E9">
      <w:pPr>
        <w:jc w:val="both"/>
        <w:rPr>
          <w:rFonts w:ascii="Book Antiqua" w:hAnsi="Book Antiqua"/>
          <w:lang w:eastAsia="en-GB"/>
        </w:rPr>
      </w:pPr>
      <w:r w:rsidRPr="00E3232D">
        <w:rPr>
          <w:rFonts w:ascii="Book Antiqua" w:hAnsi="Book Antiqua"/>
          <w:lang w:eastAsia="en-GB"/>
        </w:rPr>
        <w:t xml:space="preserve">From table 3.2.2, 91.8% of the students are aware that the polytechnic as a tertiary institution, 5.5% are not sure, 2.7% think thatit is a non-tertiary institution, while 1.4% did not respond. From the above analysis it can be deduced that 9.5% of the respondents do not know that the polytechnic is a tertiary institution. </w:t>
      </w:r>
    </w:p>
    <w:p w14:paraId="0E8E6D66"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b/>
          <w:bCs/>
          <w:color w:val="000000"/>
        </w:rPr>
        <w:t xml:space="preserve">3.2.3: Awareness of </w:t>
      </w:r>
      <w:r w:rsidR="00190244" w:rsidRPr="00E3232D">
        <w:rPr>
          <w:rFonts w:ascii="Book Antiqua" w:hAnsi="Book Antiqua"/>
          <w:b/>
          <w:bCs/>
          <w:color w:val="000000"/>
        </w:rPr>
        <w:t xml:space="preserve">Number </w:t>
      </w:r>
      <w:r w:rsidRPr="00E3232D">
        <w:rPr>
          <w:rFonts w:ascii="Book Antiqua" w:hAnsi="Book Antiqua"/>
          <w:b/>
          <w:bCs/>
          <w:color w:val="000000"/>
        </w:rPr>
        <w:t xml:space="preserve">of </w:t>
      </w:r>
      <w:r w:rsidR="00190244" w:rsidRPr="00E3232D">
        <w:rPr>
          <w:rFonts w:ascii="Book Antiqua" w:hAnsi="Book Antiqua"/>
          <w:b/>
          <w:bCs/>
          <w:color w:val="000000"/>
        </w:rPr>
        <w:t xml:space="preserve">Polytechnics </w:t>
      </w:r>
      <w:r w:rsidRPr="00E3232D">
        <w:rPr>
          <w:rFonts w:ascii="Book Antiqua" w:hAnsi="Book Antiqua"/>
          <w:b/>
          <w:bCs/>
          <w:color w:val="000000"/>
        </w:rPr>
        <w:t>in Ghana</w:t>
      </w:r>
    </w:p>
    <w:p w14:paraId="0907A8F1"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rPr>
        <w:t xml:space="preserve">Table 3.2.3 shows that 54.7% were not aware of the number of polytechnics in Ghana, whiles 45.3% were aware that there are ten (10) polytechnics in Ghana. </w:t>
      </w:r>
    </w:p>
    <w:p w14:paraId="05E8D296"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b/>
          <w:color w:val="000000"/>
        </w:rPr>
        <w:t>3.2.4: Four Programmes studied in the polytechnic</w:t>
      </w:r>
    </w:p>
    <w:p w14:paraId="4FE37E56" w14:textId="77777777" w:rsidR="00A64C19" w:rsidRPr="007455E9" w:rsidRDefault="00A64C19" w:rsidP="007455E9">
      <w:pPr>
        <w:autoSpaceDE w:val="0"/>
        <w:autoSpaceDN w:val="0"/>
        <w:adjustRightInd w:val="0"/>
        <w:jc w:val="both"/>
        <w:rPr>
          <w:rFonts w:ascii="Book Antiqua" w:hAnsi="Book Antiqua"/>
        </w:rPr>
      </w:pPr>
      <w:r w:rsidRPr="00E3232D">
        <w:rPr>
          <w:rFonts w:ascii="Book Antiqua" w:hAnsi="Book Antiqua"/>
        </w:rPr>
        <w:t>From Table 3.2.4, 37.2% could not name one programme studied at the polytechnic, 21.4% were able name one correct programme, 19.5% were able name two, 14.0% were able name three and only 7.9% were able to name  four.</w:t>
      </w:r>
    </w:p>
    <w:p w14:paraId="65728BC5"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b/>
          <w:bCs/>
          <w:color w:val="000000"/>
        </w:rPr>
        <w:t xml:space="preserve">3.2.5: Minimum entry requirement (WASSCE Aggregate)  </w:t>
      </w:r>
    </w:p>
    <w:p w14:paraId="7668FF4C" w14:textId="77777777" w:rsidR="00A8170A" w:rsidRPr="007455E9" w:rsidRDefault="00A64C19" w:rsidP="007455E9">
      <w:pPr>
        <w:autoSpaceDE w:val="0"/>
        <w:autoSpaceDN w:val="0"/>
        <w:adjustRightInd w:val="0"/>
        <w:jc w:val="both"/>
        <w:rPr>
          <w:rFonts w:ascii="Book Antiqua" w:hAnsi="Book Antiqua"/>
        </w:rPr>
      </w:pPr>
      <w:r w:rsidRPr="00E3232D">
        <w:rPr>
          <w:rFonts w:ascii="Book Antiqua" w:hAnsi="Book Antiqua"/>
        </w:rPr>
        <w:t xml:space="preserve">Table 3.2.5 shows that 92% do not know or are not sure of the minimum entry (WASSCE aggregate 36) into the polytechnic. Only 8 % provided the correct answer.  </w:t>
      </w:r>
    </w:p>
    <w:p w14:paraId="3516F4AE"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b/>
          <w:bCs/>
          <w:color w:val="000000"/>
        </w:rPr>
        <w:lastRenderedPageBreak/>
        <w:t>3.2.6: The main certificates awarded by the polytechnic</w:t>
      </w:r>
    </w:p>
    <w:p w14:paraId="4CB58A9B"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rPr>
        <w:t xml:space="preserve">Table 3.2.6 indicates that 6.8% thinkthe polytechnicaward NVTI, 60.4% think it is HND, 8% think it is DBS, 12.5% think it is PGD,12.3% are not sure. This mean 39.6% of the respondents do not know the correct certificates awarded by the polytechnic after successful completion of programme. </w:t>
      </w:r>
    </w:p>
    <w:p w14:paraId="6B933C84"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b/>
          <w:bCs/>
          <w:color w:val="000000"/>
        </w:rPr>
        <w:t xml:space="preserve">3.2.7: Duration (in years) of an HND programme </w:t>
      </w:r>
    </w:p>
    <w:p w14:paraId="0A85767D" w14:textId="77777777" w:rsidR="00A64C19" w:rsidRPr="007455E9" w:rsidRDefault="00A64C19" w:rsidP="007455E9">
      <w:pPr>
        <w:autoSpaceDE w:val="0"/>
        <w:autoSpaceDN w:val="0"/>
        <w:adjustRightInd w:val="0"/>
        <w:jc w:val="both"/>
        <w:rPr>
          <w:rFonts w:ascii="Book Antiqua" w:hAnsi="Book Antiqua"/>
        </w:rPr>
      </w:pPr>
      <w:r w:rsidRPr="00E3232D">
        <w:rPr>
          <w:rFonts w:ascii="Book Antiqua" w:hAnsi="Book Antiqua"/>
        </w:rPr>
        <w:t>From table 3.2.7, 0.5% think the number of years for completing HND is a year, 6.1% think it is two years, 51.6% say it is three years, 36.7% think it is four years while 5.1% are not sure of the duration. This means that 48.4% of respondents do not know the correct duration of an HND programme.</w:t>
      </w:r>
    </w:p>
    <w:p w14:paraId="3D1F477E"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b/>
          <w:bCs/>
          <w:color w:val="000000"/>
        </w:rPr>
        <w:t>3.2.8: Awareness of autonomy and the legal backing to award Bachelor of Technology degree by the polytechnics</w:t>
      </w:r>
    </w:p>
    <w:p w14:paraId="74067B72" w14:textId="77777777" w:rsidR="00A64C19" w:rsidRPr="007455E9" w:rsidRDefault="00A64C19" w:rsidP="007455E9">
      <w:pPr>
        <w:autoSpaceDE w:val="0"/>
        <w:autoSpaceDN w:val="0"/>
        <w:adjustRightInd w:val="0"/>
        <w:jc w:val="both"/>
        <w:rPr>
          <w:rFonts w:ascii="Book Antiqua" w:hAnsi="Book Antiqua"/>
        </w:rPr>
      </w:pPr>
      <w:r w:rsidRPr="00E3232D">
        <w:rPr>
          <w:rFonts w:ascii="Book Antiqua" w:hAnsi="Book Antiqua"/>
        </w:rPr>
        <w:t>Table 3.2.8 shows that 47% are aware that the polytechnics have the autonomy to mount and award Bachelor of Technology degree; 53% are not aware; 5.3% of them did not respond. This implies that as much as 63.3% are not aware that the polytechnics have the autonomy to mount and award Bachelor of Technology degrees.</w:t>
      </w:r>
    </w:p>
    <w:p w14:paraId="37BAB9FA"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b/>
          <w:bCs/>
          <w:color w:val="000000"/>
        </w:rPr>
        <w:t>3.2.9: Students suitable for polytechnic education</w:t>
      </w:r>
    </w:p>
    <w:p w14:paraId="117D8583"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rPr>
        <w:t xml:space="preserve">When asked which category of students are suitable for polytechnic education, Table 3.2.9 shows that 6.7% respondents think very brilliant students, 17.8% think above average students, 38.2% average students, while 3.0% think  below average, </w:t>
      </w:r>
      <w:r w:rsidRPr="00E3232D">
        <w:rPr>
          <w:rFonts w:ascii="Book Antiqua" w:hAnsi="Book Antiqua"/>
        </w:rPr>
        <w:t xml:space="preserve">34.3% think above. 3.9% of them did not respond. Some of the reasons given for these responses were the general notion in Ghana that polytechnic education is for average students.   </w:t>
      </w:r>
    </w:p>
    <w:p w14:paraId="1777B654" w14:textId="77777777" w:rsidR="00A64C19" w:rsidRPr="00E3232D" w:rsidRDefault="00A64C19" w:rsidP="007455E9">
      <w:pPr>
        <w:autoSpaceDE w:val="0"/>
        <w:autoSpaceDN w:val="0"/>
        <w:adjustRightInd w:val="0"/>
        <w:jc w:val="both"/>
        <w:rPr>
          <w:rFonts w:ascii="Book Antiqua" w:hAnsi="Book Antiqua"/>
        </w:rPr>
      </w:pPr>
      <w:r w:rsidRPr="00E3232D">
        <w:rPr>
          <w:rFonts w:ascii="Book Antiqua" w:hAnsi="Book Antiqua"/>
          <w:b/>
          <w:bCs/>
          <w:color w:val="000000"/>
        </w:rPr>
        <w:t>3.2.10: SHS Programmes suitable for polytechnic education</w:t>
      </w:r>
    </w:p>
    <w:p w14:paraId="669A6FC8" w14:textId="77777777" w:rsidR="00A64C19" w:rsidRDefault="00A64C19" w:rsidP="007455E9">
      <w:pPr>
        <w:autoSpaceDE w:val="0"/>
        <w:autoSpaceDN w:val="0"/>
        <w:adjustRightInd w:val="0"/>
        <w:jc w:val="both"/>
        <w:rPr>
          <w:rFonts w:ascii="Book Antiqua" w:hAnsi="Book Antiqua"/>
        </w:rPr>
      </w:pPr>
      <w:r w:rsidRPr="00E3232D">
        <w:rPr>
          <w:rFonts w:ascii="Book Antiqua" w:hAnsi="Book Antiqua"/>
        </w:rPr>
        <w:t xml:space="preserve">Table 3.2.10 shows that, 2.5% of respondent think Science is the suitable programme for polytechnic education, 41.8% think is Technical, 12.6% think is Business, 4.7% think is General Arts, 6.9% Home Economics and 14.1% are not sure. 17.4% think all the programmes listed are suitable.Some of the reasons given for the above responses were as follows: Courses are of more practical nature in the polytechnics.   </w:t>
      </w:r>
    </w:p>
    <w:p w14:paraId="4DBF3F7F" w14:textId="77777777" w:rsidR="00C94856" w:rsidRDefault="00C94856" w:rsidP="007455E9">
      <w:pPr>
        <w:autoSpaceDE w:val="0"/>
        <w:autoSpaceDN w:val="0"/>
        <w:adjustRightInd w:val="0"/>
        <w:spacing w:after="0"/>
        <w:jc w:val="both"/>
        <w:rPr>
          <w:rFonts w:ascii="Book Antiqua" w:hAnsi="Book Antiqua"/>
          <w:b/>
        </w:rPr>
      </w:pPr>
    </w:p>
    <w:p w14:paraId="3CF3BDEF" w14:textId="77777777" w:rsidR="00C94856" w:rsidRDefault="00C94856" w:rsidP="007455E9">
      <w:pPr>
        <w:autoSpaceDE w:val="0"/>
        <w:autoSpaceDN w:val="0"/>
        <w:adjustRightInd w:val="0"/>
        <w:spacing w:after="0"/>
        <w:jc w:val="both"/>
        <w:rPr>
          <w:rFonts w:ascii="Book Antiqua" w:hAnsi="Book Antiqua"/>
          <w:b/>
        </w:rPr>
      </w:pPr>
    </w:p>
    <w:p w14:paraId="6DCA48A5" w14:textId="77777777" w:rsidR="00C94856" w:rsidRDefault="00C94856" w:rsidP="007455E9">
      <w:pPr>
        <w:autoSpaceDE w:val="0"/>
        <w:autoSpaceDN w:val="0"/>
        <w:adjustRightInd w:val="0"/>
        <w:spacing w:after="0"/>
        <w:jc w:val="both"/>
        <w:rPr>
          <w:rFonts w:ascii="Book Antiqua" w:hAnsi="Book Antiqua"/>
          <w:b/>
        </w:rPr>
      </w:pPr>
    </w:p>
    <w:p w14:paraId="0451E572" w14:textId="77777777" w:rsidR="00C94856" w:rsidRDefault="00C94856" w:rsidP="007455E9">
      <w:pPr>
        <w:autoSpaceDE w:val="0"/>
        <w:autoSpaceDN w:val="0"/>
        <w:adjustRightInd w:val="0"/>
        <w:spacing w:after="0"/>
        <w:jc w:val="both"/>
        <w:rPr>
          <w:rFonts w:ascii="Book Antiqua" w:hAnsi="Book Antiqua"/>
          <w:b/>
        </w:rPr>
      </w:pPr>
    </w:p>
    <w:p w14:paraId="54DBF17F" w14:textId="77777777" w:rsidR="00C94856" w:rsidRDefault="00C94856" w:rsidP="007455E9">
      <w:pPr>
        <w:autoSpaceDE w:val="0"/>
        <w:autoSpaceDN w:val="0"/>
        <w:adjustRightInd w:val="0"/>
        <w:spacing w:after="0"/>
        <w:jc w:val="both"/>
        <w:rPr>
          <w:rFonts w:ascii="Book Antiqua" w:hAnsi="Book Antiqua"/>
          <w:b/>
        </w:rPr>
      </w:pPr>
    </w:p>
    <w:p w14:paraId="14CC7FFD" w14:textId="77777777" w:rsidR="00C94856" w:rsidRDefault="00C94856" w:rsidP="007455E9">
      <w:pPr>
        <w:autoSpaceDE w:val="0"/>
        <w:autoSpaceDN w:val="0"/>
        <w:adjustRightInd w:val="0"/>
        <w:spacing w:after="0"/>
        <w:jc w:val="both"/>
        <w:rPr>
          <w:rFonts w:ascii="Book Antiqua" w:hAnsi="Book Antiqua"/>
          <w:b/>
        </w:rPr>
      </w:pPr>
    </w:p>
    <w:p w14:paraId="0456C124" w14:textId="77777777" w:rsidR="00C94856" w:rsidRDefault="00C94856" w:rsidP="007455E9">
      <w:pPr>
        <w:autoSpaceDE w:val="0"/>
        <w:autoSpaceDN w:val="0"/>
        <w:adjustRightInd w:val="0"/>
        <w:spacing w:after="0"/>
        <w:jc w:val="both"/>
        <w:rPr>
          <w:rFonts w:ascii="Book Antiqua" w:hAnsi="Book Antiqua"/>
          <w:b/>
        </w:rPr>
      </w:pPr>
    </w:p>
    <w:p w14:paraId="0F3C2659" w14:textId="77777777" w:rsidR="00C94856" w:rsidRDefault="00C94856" w:rsidP="007455E9">
      <w:pPr>
        <w:autoSpaceDE w:val="0"/>
        <w:autoSpaceDN w:val="0"/>
        <w:adjustRightInd w:val="0"/>
        <w:spacing w:after="0"/>
        <w:jc w:val="both"/>
        <w:rPr>
          <w:rFonts w:ascii="Book Antiqua" w:hAnsi="Book Antiqua"/>
          <w:b/>
        </w:rPr>
      </w:pPr>
    </w:p>
    <w:p w14:paraId="1197D484" w14:textId="77777777" w:rsidR="00C94856" w:rsidRDefault="00C94856" w:rsidP="007455E9">
      <w:pPr>
        <w:autoSpaceDE w:val="0"/>
        <w:autoSpaceDN w:val="0"/>
        <w:adjustRightInd w:val="0"/>
        <w:spacing w:after="0"/>
        <w:jc w:val="both"/>
        <w:rPr>
          <w:rFonts w:ascii="Book Antiqua" w:hAnsi="Book Antiqua"/>
          <w:b/>
        </w:rPr>
      </w:pPr>
    </w:p>
    <w:p w14:paraId="08C07791" w14:textId="77777777" w:rsidR="00C94856" w:rsidRDefault="00C94856" w:rsidP="007455E9">
      <w:pPr>
        <w:autoSpaceDE w:val="0"/>
        <w:autoSpaceDN w:val="0"/>
        <w:adjustRightInd w:val="0"/>
        <w:spacing w:after="0"/>
        <w:jc w:val="both"/>
        <w:rPr>
          <w:rFonts w:ascii="Book Antiqua" w:hAnsi="Book Antiqua"/>
          <w:b/>
        </w:rPr>
      </w:pPr>
    </w:p>
    <w:p w14:paraId="5AB79E36" w14:textId="77777777" w:rsidR="00C94856" w:rsidRDefault="00C94856" w:rsidP="007455E9">
      <w:pPr>
        <w:autoSpaceDE w:val="0"/>
        <w:autoSpaceDN w:val="0"/>
        <w:adjustRightInd w:val="0"/>
        <w:spacing w:after="0"/>
        <w:jc w:val="both"/>
        <w:rPr>
          <w:rFonts w:ascii="Book Antiqua" w:hAnsi="Book Antiqua"/>
          <w:b/>
        </w:rPr>
      </w:pPr>
    </w:p>
    <w:p w14:paraId="513D61B8" w14:textId="77777777" w:rsidR="00C94856" w:rsidRDefault="00C94856" w:rsidP="007455E9">
      <w:pPr>
        <w:autoSpaceDE w:val="0"/>
        <w:autoSpaceDN w:val="0"/>
        <w:adjustRightInd w:val="0"/>
        <w:spacing w:after="0"/>
        <w:jc w:val="both"/>
        <w:rPr>
          <w:rFonts w:ascii="Book Antiqua" w:hAnsi="Book Antiqua"/>
          <w:b/>
        </w:rPr>
      </w:pPr>
    </w:p>
    <w:p w14:paraId="3ADAC375" w14:textId="77777777" w:rsidR="00C94856" w:rsidRDefault="00C94856" w:rsidP="007455E9">
      <w:pPr>
        <w:autoSpaceDE w:val="0"/>
        <w:autoSpaceDN w:val="0"/>
        <w:adjustRightInd w:val="0"/>
        <w:spacing w:after="0"/>
        <w:jc w:val="both"/>
        <w:rPr>
          <w:rFonts w:ascii="Book Antiqua" w:hAnsi="Book Antiqua"/>
          <w:b/>
        </w:rPr>
      </w:pPr>
    </w:p>
    <w:p w14:paraId="758943C1" w14:textId="77777777" w:rsidR="00C94856" w:rsidRDefault="00C94856" w:rsidP="007455E9">
      <w:pPr>
        <w:autoSpaceDE w:val="0"/>
        <w:autoSpaceDN w:val="0"/>
        <w:adjustRightInd w:val="0"/>
        <w:spacing w:after="0"/>
        <w:jc w:val="both"/>
        <w:rPr>
          <w:rFonts w:ascii="Book Antiqua" w:hAnsi="Book Antiqua"/>
          <w:b/>
        </w:rPr>
      </w:pPr>
    </w:p>
    <w:p w14:paraId="2DF944AA" w14:textId="77777777" w:rsidR="00C94856" w:rsidRDefault="00C94856" w:rsidP="007455E9">
      <w:pPr>
        <w:autoSpaceDE w:val="0"/>
        <w:autoSpaceDN w:val="0"/>
        <w:adjustRightInd w:val="0"/>
        <w:spacing w:after="0"/>
        <w:jc w:val="both"/>
        <w:rPr>
          <w:rFonts w:ascii="Book Antiqua" w:hAnsi="Book Antiqua"/>
          <w:b/>
        </w:rPr>
      </w:pPr>
    </w:p>
    <w:p w14:paraId="4ECC09D8" w14:textId="77777777" w:rsidR="00C94856" w:rsidRDefault="00C94856" w:rsidP="007455E9">
      <w:pPr>
        <w:autoSpaceDE w:val="0"/>
        <w:autoSpaceDN w:val="0"/>
        <w:adjustRightInd w:val="0"/>
        <w:spacing w:after="0"/>
        <w:jc w:val="both"/>
        <w:rPr>
          <w:rFonts w:ascii="Book Antiqua" w:hAnsi="Book Antiqua"/>
          <w:b/>
        </w:rPr>
      </w:pPr>
    </w:p>
    <w:p w14:paraId="04A28661" w14:textId="77777777" w:rsidR="00C94856" w:rsidRDefault="00C94856" w:rsidP="007455E9">
      <w:pPr>
        <w:autoSpaceDE w:val="0"/>
        <w:autoSpaceDN w:val="0"/>
        <w:adjustRightInd w:val="0"/>
        <w:spacing w:after="0"/>
        <w:jc w:val="both"/>
        <w:rPr>
          <w:rFonts w:ascii="Book Antiqua" w:hAnsi="Book Antiqua"/>
          <w:b/>
        </w:rPr>
      </w:pPr>
    </w:p>
    <w:p w14:paraId="6A09E1B8" w14:textId="77777777" w:rsidR="00C94856" w:rsidRDefault="00C94856" w:rsidP="007455E9">
      <w:pPr>
        <w:autoSpaceDE w:val="0"/>
        <w:autoSpaceDN w:val="0"/>
        <w:adjustRightInd w:val="0"/>
        <w:spacing w:after="0"/>
        <w:jc w:val="both"/>
        <w:rPr>
          <w:rFonts w:ascii="Book Antiqua" w:hAnsi="Book Antiqua"/>
          <w:b/>
        </w:rPr>
      </w:pPr>
    </w:p>
    <w:p w14:paraId="18254FAD" w14:textId="77777777" w:rsidR="00C94856" w:rsidRDefault="00C94856" w:rsidP="007455E9">
      <w:pPr>
        <w:autoSpaceDE w:val="0"/>
        <w:autoSpaceDN w:val="0"/>
        <w:adjustRightInd w:val="0"/>
        <w:spacing w:after="0"/>
        <w:jc w:val="both"/>
        <w:rPr>
          <w:rFonts w:ascii="Book Antiqua" w:hAnsi="Book Antiqua"/>
          <w:b/>
        </w:rPr>
      </w:pPr>
    </w:p>
    <w:p w14:paraId="6A6E4EAD" w14:textId="77777777" w:rsidR="00C94856" w:rsidRDefault="00C94856" w:rsidP="007455E9">
      <w:pPr>
        <w:autoSpaceDE w:val="0"/>
        <w:autoSpaceDN w:val="0"/>
        <w:adjustRightInd w:val="0"/>
        <w:spacing w:after="0"/>
        <w:jc w:val="both"/>
        <w:rPr>
          <w:rFonts w:ascii="Book Antiqua" w:hAnsi="Book Antiqua"/>
          <w:b/>
        </w:rPr>
      </w:pPr>
    </w:p>
    <w:p w14:paraId="24CD30D8" w14:textId="77777777" w:rsidR="00C94856" w:rsidRDefault="00C94856" w:rsidP="007455E9">
      <w:pPr>
        <w:autoSpaceDE w:val="0"/>
        <w:autoSpaceDN w:val="0"/>
        <w:adjustRightInd w:val="0"/>
        <w:spacing w:after="0"/>
        <w:jc w:val="both"/>
        <w:rPr>
          <w:rFonts w:ascii="Book Antiqua" w:hAnsi="Book Antiqua"/>
          <w:b/>
        </w:rPr>
      </w:pPr>
    </w:p>
    <w:p w14:paraId="6ED79AD1" w14:textId="77777777" w:rsidR="00C94856" w:rsidRDefault="00C94856" w:rsidP="007455E9">
      <w:pPr>
        <w:autoSpaceDE w:val="0"/>
        <w:autoSpaceDN w:val="0"/>
        <w:adjustRightInd w:val="0"/>
        <w:spacing w:after="0"/>
        <w:jc w:val="both"/>
        <w:rPr>
          <w:rFonts w:ascii="Book Antiqua" w:hAnsi="Book Antiqua"/>
          <w:b/>
        </w:rPr>
      </w:pPr>
    </w:p>
    <w:p w14:paraId="605B47A6" w14:textId="77777777" w:rsidR="00C94856" w:rsidRDefault="00C94856" w:rsidP="007455E9">
      <w:pPr>
        <w:autoSpaceDE w:val="0"/>
        <w:autoSpaceDN w:val="0"/>
        <w:adjustRightInd w:val="0"/>
        <w:spacing w:after="0"/>
        <w:jc w:val="both"/>
        <w:rPr>
          <w:rFonts w:ascii="Book Antiqua" w:hAnsi="Book Antiqua"/>
          <w:b/>
        </w:rPr>
      </w:pPr>
    </w:p>
    <w:p w14:paraId="28D891BC" w14:textId="77777777" w:rsidR="007455E9" w:rsidRDefault="007455E9" w:rsidP="007455E9">
      <w:pPr>
        <w:autoSpaceDE w:val="0"/>
        <w:autoSpaceDN w:val="0"/>
        <w:adjustRightInd w:val="0"/>
        <w:spacing w:after="0"/>
        <w:jc w:val="both"/>
        <w:rPr>
          <w:rFonts w:ascii="Book Antiqua" w:hAnsi="Book Antiqua"/>
          <w:b/>
        </w:rPr>
      </w:pPr>
      <w:r w:rsidRPr="007455E9">
        <w:rPr>
          <w:rFonts w:ascii="Book Antiqua" w:hAnsi="Book Antiqua"/>
          <w:b/>
        </w:rPr>
        <w:lastRenderedPageBreak/>
        <w:t xml:space="preserve">Section 3: Affective Component of Attitude (SHS Students feelings and </w:t>
      </w:r>
    </w:p>
    <w:p w14:paraId="175B9864" w14:textId="77777777" w:rsidR="007455E9" w:rsidRDefault="007455E9" w:rsidP="007455E9">
      <w:pPr>
        <w:autoSpaceDE w:val="0"/>
        <w:autoSpaceDN w:val="0"/>
        <w:adjustRightInd w:val="0"/>
        <w:jc w:val="both"/>
        <w:rPr>
          <w:rFonts w:ascii="Book Antiqua" w:hAnsi="Book Antiqua"/>
          <w:b/>
        </w:rPr>
      </w:pPr>
      <w:r w:rsidRPr="007455E9">
        <w:rPr>
          <w:rFonts w:ascii="Book Antiqua" w:hAnsi="Book Antiqua"/>
          <w:b/>
        </w:rPr>
        <w:t>emotions about Polytechnic Education</w:t>
      </w:r>
    </w:p>
    <w:p w14:paraId="2FF1E58F" w14:textId="77777777" w:rsidR="007455E9" w:rsidRDefault="007455E9" w:rsidP="007455E9">
      <w:pPr>
        <w:autoSpaceDE w:val="0"/>
        <w:autoSpaceDN w:val="0"/>
        <w:adjustRightInd w:val="0"/>
        <w:jc w:val="both"/>
        <w:rPr>
          <w:rFonts w:ascii="Book Antiqua" w:hAnsi="Book Antiqua"/>
          <w:b/>
        </w:rPr>
      </w:pPr>
    </w:p>
    <w:p w14:paraId="6E005F63" w14:textId="77777777" w:rsidR="00A64C19" w:rsidRDefault="00A64C19" w:rsidP="007455E9">
      <w:pPr>
        <w:autoSpaceDE w:val="0"/>
        <w:autoSpaceDN w:val="0"/>
        <w:adjustRightInd w:val="0"/>
        <w:jc w:val="both"/>
        <w:rPr>
          <w:rFonts w:ascii="Book Antiqua" w:hAnsi="Book Antiqua"/>
          <w:b/>
        </w:rPr>
      </w:pPr>
    </w:p>
    <w:p w14:paraId="1F583AE6" w14:textId="77777777" w:rsidR="007455E9" w:rsidRPr="00E3232D" w:rsidRDefault="007455E9" w:rsidP="007455E9">
      <w:pPr>
        <w:autoSpaceDE w:val="0"/>
        <w:autoSpaceDN w:val="0"/>
        <w:adjustRightInd w:val="0"/>
        <w:jc w:val="both"/>
        <w:rPr>
          <w:rFonts w:ascii="Book Antiqua" w:hAnsi="Book Antiqua"/>
          <w:b/>
        </w:rPr>
        <w:sectPr w:rsidR="007455E9" w:rsidRPr="00E3232D" w:rsidSect="007455E9">
          <w:type w:val="continuous"/>
          <w:pgSz w:w="11907" w:h="16839" w:code="9"/>
          <w:pgMar w:top="720" w:right="1377" w:bottom="720" w:left="1440" w:header="720" w:footer="720" w:gutter="0"/>
          <w:cols w:num="2" w:space="720"/>
          <w:noEndnote/>
        </w:sectPr>
      </w:pPr>
    </w:p>
    <w:p w14:paraId="16D84C9E" w14:textId="77777777" w:rsidR="0030511B" w:rsidRPr="00C16B00" w:rsidRDefault="0030511B" w:rsidP="00A64C19">
      <w:pPr>
        <w:autoSpaceDE w:val="0"/>
        <w:autoSpaceDN w:val="0"/>
        <w:adjustRightInd w:val="0"/>
        <w:rPr>
          <w:rFonts w:ascii="Book Antiqua" w:hAnsi="Book Antiqua"/>
          <w:b/>
          <w:sz w:val="2"/>
        </w:rPr>
      </w:pPr>
    </w:p>
    <w:p w14:paraId="030012AF" w14:textId="77777777" w:rsidR="00A64C19" w:rsidRPr="00E3232D" w:rsidRDefault="007005B1" w:rsidP="00A64C19">
      <w:pPr>
        <w:rPr>
          <w:rFonts w:ascii="Book Antiqua" w:hAnsi="Book Antiqua"/>
        </w:rPr>
      </w:pPr>
      <w:r>
        <w:rPr>
          <w:rFonts w:ascii="Book Antiqua" w:hAnsi="Book Antiqua"/>
          <w:noProof/>
          <w:lang w:bidi="ar-SA"/>
        </w:rPr>
        <w:drawing>
          <wp:inline distT="0" distB="0" distL="0" distR="0" wp14:anchorId="5F8F4CB6" wp14:editId="177EBB0F">
            <wp:extent cx="5800725" cy="2657475"/>
            <wp:effectExtent l="19050" t="0" r="9525"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a:stretch>
                      <a:fillRect/>
                    </a:stretch>
                  </pic:blipFill>
                  <pic:spPr bwMode="auto">
                    <a:xfrm>
                      <a:off x="0" y="0"/>
                      <a:ext cx="5800725" cy="2657475"/>
                    </a:xfrm>
                    <a:prstGeom prst="rect">
                      <a:avLst/>
                    </a:prstGeom>
                    <a:noFill/>
                    <a:ln w="9525">
                      <a:noFill/>
                      <a:miter lim="800000"/>
                      <a:headEnd/>
                      <a:tailEnd/>
                    </a:ln>
                  </pic:spPr>
                </pic:pic>
              </a:graphicData>
            </a:graphic>
          </wp:inline>
        </w:drawing>
      </w:r>
    </w:p>
    <w:p w14:paraId="34D9696A" w14:textId="77777777" w:rsidR="00A64C19" w:rsidRPr="00E3232D" w:rsidRDefault="00A64C19" w:rsidP="00A64C19">
      <w:pPr>
        <w:autoSpaceDE w:val="0"/>
        <w:autoSpaceDN w:val="0"/>
        <w:adjustRightInd w:val="0"/>
        <w:rPr>
          <w:rFonts w:ascii="Book Antiqua" w:hAnsi="Book Antiqua"/>
        </w:rPr>
        <w:sectPr w:rsidR="00A64C19" w:rsidRPr="00E3232D" w:rsidSect="007455E9">
          <w:type w:val="continuous"/>
          <w:pgSz w:w="11907" w:h="16839" w:code="9"/>
          <w:pgMar w:top="720" w:right="720" w:bottom="720" w:left="1440" w:header="720" w:footer="720" w:gutter="0"/>
          <w:cols w:space="720"/>
          <w:noEndnote/>
        </w:sectPr>
      </w:pPr>
    </w:p>
    <w:p w14:paraId="13ADD6F0" w14:textId="77777777" w:rsidR="00C16B00" w:rsidRPr="00C16B00" w:rsidRDefault="00C16B00" w:rsidP="007455E9">
      <w:pPr>
        <w:autoSpaceDE w:val="0"/>
        <w:autoSpaceDN w:val="0"/>
        <w:adjustRightInd w:val="0"/>
        <w:jc w:val="both"/>
        <w:rPr>
          <w:rFonts w:ascii="Book Antiqua" w:hAnsi="Book Antiqua"/>
          <w:b/>
        </w:rPr>
      </w:pPr>
      <w:r w:rsidRPr="00C16B00">
        <w:rPr>
          <w:rFonts w:ascii="Book Antiqua" w:hAnsi="Book Antiqua"/>
          <w:b/>
        </w:rPr>
        <w:t xml:space="preserve">Figure </w:t>
      </w:r>
      <w:r w:rsidR="00283D41">
        <w:rPr>
          <w:rFonts w:ascii="Book Antiqua" w:hAnsi="Book Antiqua"/>
          <w:b/>
        </w:rPr>
        <w:t>3.3.1 Opinion on whether the HND</w:t>
      </w:r>
      <w:r w:rsidRPr="00C16B00">
        <w:rPr>
          <w:rFonts w:ascii="Book Antiqua" w:hAnsi="Book Antiqua"/>
          <w:b/>
        </w:rPr>
        <w:t xml:space="preserve"> certificate is a tertiary qualification</w:t>
      </w:r>
    </w:p>
    <w:p w14:paraId="0F1B6DFD" w14:textId="77777777" w:rsidR="007455E9" w:rsidRPr="00E3232D" w:rsidRDefault="00C35BBE" w:rsidP="007455E9">
      <w:pPr>
        <w:autoSpaceDE w:val="0"/>
        <w:autoSpaceDN w:val="0"/>
        <w:adjustRightInd w:val="0"/>
        <w:jc w:val="both"/>
        <w:rPr>
          <w:rFonts w:ascii="Book Antiqua" w:hAnsi="Book Antiqua"/>
        </w:rPr>
      </w:pPr>
      <w:r>
        <w:rPr>
          <w:rFonts w:ascii="Book Antiqua" w:hAnsi="Book Antiqua"/>
        </w:rPr>
        <w:t xml:space="preserve">From the </w:t>
      </w:r>
      <w:r w:rsidR="007455E9" w:rsidRPr="00E3232D">
        <w:rPr>
          <w:rFonts w:ascii="Book Antiqua" w:hAnsi="Book Antiqua"/>
        </w:rPr>
        <w:t>above</w:t>
      </w:r>
      <w:r w:rsidR="00DF2F6E">
        <w:rPr>
          <w:rFonts w:ascii="Book Antiqua" w:hAnsi="Book Antiqua"/>
        </w:rPr>
        <w:t xml:space="preserve"> figure,</w:t>
      </w:r>
      <w:r w:rsidR="007455E9" w:rsidRPr="00E3232D">
        <w:rPr>
          <w:rFonts w:ascii="Book Antiqua" w:hAnsi="Book Antiqua"/>
        </w:rPr>
        <w:t xml:space="preserve"> 66.5% agree that HND certificates are well recognised, 23.1% are not sure; 10.4% disagree. 2.1% did not respond. This indicates that a significant percentage of 33.5% of the students are not sure of the </w:t>
      </w:r>
      <w:r w:rsidR="007455E9" w:rsidRPr="00E3232D">
        <w:rPr>
          <w:rFonts w:ascii="Book Antiqua" w:hAnsi="Book Antiqua"/>
        </w:rPr>
        <w:t>recognition of HND certificates in the country. See Figure 3.3.1 below.</w:t>
      </w:r>
    </w:p>
    <w:p w14:paraId="2A572A40" w14:textId="77777777" w:rsidR="00D860E2" w:rsidRPr="00E3232D" w:rsidRDefault="00D860E2" w:rsidP="00D860E2">
      <w:pPr>
        <w:autoSpaceDE w:val="0"/>
        <w:autoSpaceDN w:val="0"/>
        <w:adjustRightInd w:val="0"/>
        <w:rPr>
          <w:rFonts w:ascii="Book Antiqua" w:hAnsi="Book Antiqua"/>
        </w:rPr>
      </w:pPr>
      <w:r w:rsidRPr="00E3232D">
        <w:rPr>
          <w:rFonts w:ascii="Book Antiqua" w:hAnsi="Book Antiqua"/>
          <w:b/>
          <w:color w:val="000000"/>
        </w:rPr>
        <w:t xml:space="preserve">3.3.2:  Job prospects for HND graduates are high </w:t>
      </w:r>
    </w:p>
    <w:p w14:paraId="6CFC9A96" w14:textId="77777777" w:rsidR="00A64C19" w:rsidRPr="00E3232D" w:rsidRDefault="00A64C19" w:rsidP="00A64C19">
      <w:pPr>
        <w:autoSpaceDE w:val="0"/>
        <w:autoSpaceDN w:val="0"/>
        <w:adjustRightInd w:val="0"/>
        <w:rPr>
          <w:rFonts w:ascii="Book Antiqua" w:hAnsi="Book Antiqua"/>
          <w:b/>
        </w:rPr>
        <w:sectPr w:rsidR="00A64C19" w:rsidRPr="00E3232D" w:rsidSect="007455E9">
          <w:type w:val="continuous"/>
          <w:pgSz w:w="11907" w:h="16839" w:code="9"/>
          <w:pgMar w:top="720" w:right="720" w:bottom="720" w:left="1440" w:header="720" w:footer="720" w:gutter="0"/>
          <w:cols w:num="2" w:space="720"/>
          <w:noEndnote/>
        </w:sectPr>
      </w:pPr>
    </w:p>
    <w:p w14:paraId="31C35551" w14:textId="77777777" w:rsidR="00A8170A" w:rsidRPr="00CB33F0" w:rsidRDefault="00A8170A" w:rsidP="00A64C19">
      <w:pPr>
        <w:autoSpaceDE w:val="0"/>
        <w:autoSpaceDN w:val="0"/>
        <w:adjustRightInd w:val="0"/>
        <w:rPr>
          <w:rFonts w:ascii="Book Antiqua" w:hAnsi="Book Antiqua"/>
          <w:b/>
          <w:sz w:val="8"/>
        </w:rPr>
      </w:pPr>
    </w:p>
    <w:p w14:paraId="2DACE2C3" w14:textId="77777777" w:rsidR="0013126D" w:rsidRDefault="007005B1" w:rsidP="00D860E2">
      <w:pPr>
        <w:autoSpaceDE w:val="0"/>
        <w:autoSpaceDN w:val="0"/>
        <w:adjustRightInd w:val="0"/>
        <w:jc w:val="center"/>
        <w:rPr>
          <w:rFonts w:ascii="Book Antiqua" w:hAnsi="Book Antiqua"/>
          <w:b/>
          <w:bCs/>
          <w:color w:val="000000"/>
        </w:rPr>
      </w:pPr>
      <w:r>
        <w:rPr>
          <w:rFonts w:ascii="Book Antiqua" w:hAnsi="Book Antiqua"/>
          <w:noProof/>
          <w:lang w:bidi="ar-SA"/>
        </w:rPr>
        <w:drawing>
          <wp:inline distT="0" distB="0" distL="0" distR="0" wp14:anchorId="73DAF93A" wp14:editId="32980A8D">
            <wp:extent cx="4819650" cy="2619375"/>
            <wp:effectExtent l="1905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srcRect/>
                    <a:stretch>
                      <a:fillRect/>
                    </a:stretch>
                  </pic:blipFill>
                  <pic:spPr bwMode="auto">
                    <a:xfrm>
                      <a:off x="0" y="0"/>
                      <a:ext cx="4819650" cy="2619375"/>
                    </a:xfrm>
                    <a:prstGeom prst="rect">
                      <a:avLst/>
                    </a:prstGeom>
                    <a:noFill/>
                    <a:ln w="9525">
                      <a:noFill/>
                      <a:miter lim="800000"/>
                      <a:headEnd/>
                      <a:tailEnd/>
                    </a:ln>
                  </pic:spPr>
                </pic:pic>
              </a:graphicData>
            </a:graphic>
          </wp:inline>
        </w:drawing>
      </w:r>
    </w:p>
    <w:p w14:paraId="5C84209D" w14:textId="77777777" w:rsidR="00A60966" w:rsidRDefault="00A60966" w:rsidP="00A64C19">
      <w:pPr>
        <w:autoSpaceDE w:val="0"/>
        <w:autoSpaceDN w:val="0"/>
        <w:adjustRightInd w:val="0"/>
        <w:rPr>
          <w:rFonts w:ascii="Book Antiqua" w:hAnsi="Book Antiqua"/>
          <w:b/>
          <w:bCs/>
          <w:color w:val="000000"/>
        </w:rPr>
        <w:sectPr w:rsidR="00A60966" w:rsidSect="00A8170A">
          <w:type w:val="continuous"/>
          <w:pgSz w:w="11907" w:h="16839" w:code="9"/>
          <w:pgMar w:top="720" w:right="720" w:bottom="720" w:left="720" w:header="720" w:footer="720" w:gutter="0"/>
          <w:cols w:space="720"/>
          <w:noEndnote/>
        </w:sectPr>
      </w:pPr>
    </w:p>
    <w:p w14:paraId="53E415B4" w14:textId="77777777" w:rsidR="00C16B00" w:rsidRPr="00C16B00" w:rsidRDefault="00C16B00" w:rsidP="00130BAE">
      <w:pPr>
        <w:autoSpaceDE w:val="0"/>
        <w:autoSpaceDN w:val="0"/>
        <w:adjustRightInd w:val="0"/>
        <w:jc w:val="both"/>
        <w:rPr>
          <w:rFonts w:ascii="Book Antiqua" w:hAnsi="Book Antiqua"/>
          <w:b/>
        </w:rPr>
      </w:pPr>
      <w:r w:rsidRPr="00C16B00">
        <w:rPr>
          <w:rFonts w:ascii="Book Antiqua" w:hAnsi="Book Antiqua"/>
          <w:b/>
        </w:rPr>
        <w:t>Figure 3.3.2 Opinion on whether job prospects for HND graduates are high</w:t>
      </w:r>
    </w:p>
    <w:p w14:paraId="70217F17" w14:textId="77777777" w:rsidR="00DD7606" w:rsidRDefault="00A60966" w:rsidP="00130BAE">
      <w:pPr>
        <w:autoSpaceDE w:val="0"/>
        <w:autoSpaceDN w:val="0"/>
        <w:adjustRightInd w:val="0"/>
        <w:jc w:val="both"/>
        <w:rPr>
          <w:rFonts w:ascii="Book Antiqua" w:hAnsi="Book Antiqua"/>
        </w:rPr>
      </w:pPr>
      <w:r>
        <w:rPr>
          <w:rFonts w:ascii="Book Antiqua" w:hAnsi="Book Antiqua"/>
        </w:rPr>
        <w:t>The figure</w:t>
      </w:r>
      <w:r w:rsidR="00D92FCA">
        <w:rPr>
          <w:rFonts w:ascii="Book Antiqua" w:hAnsi="Book Antiqua"/>
        </w:rPr>
        <w:t xml:space="preserve"> 3.3.2</w:t>
      </w:r>
      <w:r w:rsidRPr="00E3232D">
        <w:rPr>
          <w:rFonts w:ascii="Book Antiqua" w:hAnsi="Book Antiqua"/>
        </w:rPr>
        <w:t xml:space="preserve"> above shows that 49% agree that HND graduates get employment </w:t>
      </w:r>
    </w:p>
    <w:p w14:paraId="50159A5A" w14:textId="77777777" w:rsidR="00190244" w:rsidRPr="00190244" w:rsidRDefault="00190244" w:rsidP="00C94856">
      <w:pPr>
        <w:autoSpaceDE w:val="0"/>
        <w:autoSpaceDN w:val="0"/>
        <w:adjustRightInd w:val="0"/>
        <w:spacing w:after="0" w:line="240" w:lineRule="auto"/>
        <w:jc w:val="both"/>
        <w:rPr>
          <w:rFonts w:ascii="Book Antiqua" w:hAnsi="Book Antiqua"/>
        </w:rPr>
      </w:pPr>
      <w:r w:rsidRPr="00190244">
        <w:rPr>
          <w:rFonts w:ascii="Book Antiqua" w:hAnsi="Book Antiqua" w:cs="Arial"/>
          <w:b/>
          <w:color w:val="000000"/>
        </w:rPr>
        <w:lastRenderedPageBreak/>
        <w:t xml:space="preserve">3.3.2: Job prospects for HND   graduates are high </w:t>
      </w:r>
    </w:p>
    <w:p w14:paraId="67CF586B" w14:textId="77777777" w:rsidR="00DD7606" w:rsidRDefault="00DD7606" w:rsidP="00190244">
      <w:pPr>
        <w:autoSpaceDE w:val="0"/>
        <w:autoSpaceDN w:val="0"/>
        <w:adjustRightInd w:val="0"/>
        <w:spacing w:after="0"/>
        <w:jc w:val="both"/>
        <w:rPr>
          <w:rFonts w:ascii="Book Antiqua" w:hAnsi="Book Antiqua"/>
        </w:rPr>
      </w:pPr>
    </w:p>
    <w:p w14:paraId="187FE607" w14:textId="77777777" w:rsidR="00D92FCA" w:rsidRDefault="00A60966" w:rsidP="00130BAE">
      <w:pPr>
        <w:autoSpaceDE w:val="0"/>
        <w:autoSpaceDN w:val="0"/>
        <w:adjustRightInd w:val="0"/>
        <w:jc w:val="both"/>
        <w:rPr>
          <w:rFonts w:ascii="Book Antiqua" w:hAnsi="Book Antiqua"/>
        </w:rPr>
      </w:pPr>
      <w:r w:rsidRPr="00E3232D">
        <w:rPr>
          <w:rFonts w:ascii="Book Antiqua" w:hAnsi="Book Antiqua"/>
        </w:rPr>
        <w:t xml:space="preserve">after school, 22.1% are not sure and 28.9% disagree. 1.3% did not respond. About 51% </w:t>
      </w:r>
      <w:r w:rsidRPr="00E3232D">
        <w:rPr>
          <w:rFonts w:ascii="Book Antiqua" w:hAnsi="Book Antiqua"/>
        </w:rPr>
        <w:t>of the students do not agree that job prospect for HND holders is high.</w:t>
      </w:r>
    </w:p>
    <w:p w14:paraId="7DA85642" w14:textId="77777777" w:rsidR="00130BAE" w:rsidRPr="00747426" w:rsidRDefault="00130BAE" w:rsidP="00D57BE3">
      <w:pPr>
        <w:autoSpaceDE w:val="0"/>
        <w:autoSpaceDN w:val="0"/>
        <w:adjustRightInd w:val="0"/>
        <w:jc w:val="both"/>
        <w:rPr>
          <w:rFonts w:ascii="Book Antiqua" w:hAnsi="Book Antiqua"/>
        </w:rPr>
      </w:pPr>
    </w:p>
    <w:p w14:paraId="3E021943" w14:textId="77777777" w:rsidR="00461BE0" w:rsidRPr="00461BE0" w:rsidRDefault="00461BE0" w:rsidP="00461BE0">
      <w:pPr>
        <w:autoSpaceDE w:val="0"/>
        <w:autoSpaceDN w:val="0"/>
        <w:adjustRightInd w:val="0"/>
        <w:spacing w:after="0"/>
        <w:jc w:val="both"/>
        <w:rPr>
          <w:rFonts w:ascii="Book Antiqua" w:hAnsi="Book Antiqua"/>
          <w:sz w:val="24"/>
        </w:rPr>
      </w:pPr>
    </w:p>
    <w:p w14:paraId="718FFFC5" w14:textId="77777777" w:rsidR="00747426" w:rsidRDefault="00747426" w:rsidP="00747426">
      <w:pPr>
        <w:autoSpaceDE w:val="0"/>
        <w:autoSpaceDN w:val="0"/>
        <w:adjustRightInd w:val="0"/>
        <w:rPr>
          <w:rFonts w:ascii="Book Antiqua" w:hAnsi="Book Antiqua"/>
        </w:rPr>
        <w:sectPr w:rsidR="00747426" w:rsidSect="007005B1">
          <w:type w:val="continuous"/>
          <w:pgSz w:w="11907" w:h="16839" w:code="9"/>
          <w:pgMar w:top="720" w:right="1197" w:bottom="720" w:left="1440" w:header="720" w:footer="720" w:gutter="0"/>
          <w:cols w:num="2" w:space="720"/>
          <w:noEndnote/>
        </w:sectPr>
      </w:pPr>
    </w:p>
    <w:tbl>
      <w:tblPr>
        <w:tblpPr w:leftFromText="180" w:rightFromText="180" w:vertAnchor="text" w:tblpY="1"/>
        <w:tblW w:w="7715" w:type="dxa"/>
        <w:tblBorders>
          <w:top w:val="single" w:sz="8" w:space="0" w:color="000000"/>
          <w:bottom w:val="single" w:sz="8" w:space="0" w:color="000000"/>
        </w:tblBorders>
        <w:tblLayout w:type="fixed"/>
        <w:tblLook w:val="00E0" w:firstRow="1" w:lastRow="1" w:firstColumn="1" w:lastColumn="0" w:noHBand="0" w:noVBand="0"/>
      </w:tblPr>
      <w:tblGrid>
        <w:gridCol w:w="1321"/>
        <w:gridCol w:w="672"/>
        <w:gridCol w:w="481"/>
        <w:gridCol w:w="840"/>
        <w:gridCol w:w="742"/>
        <w:gridCol w:w="411"/>
        <w:gridCol w:w="1255"/>
        <w:gridCol w:w="327"/>
        <w:gridCol w:w="1666"/>
      </w:tblGrid>
      <w:tr w:rsidR="00F97AE5" w:rsidRPr="00190244" w14:paraId="3A13F271" w14:textId="77777777" w:rsidTr="00C94856">
        <w:trPr>
          <w:trHeight w:val="627"/>
        </w:trPr>
        <w:tc>
          <w:tcPr>
            <w:tcW w:w="1993" w:type="dxa"/>
            <w:gridSpan w:val="2"/>
            <w:tcBorders>
              <w:top w:val="single" w:sz="8" w:space="0" w:color="000000"/>
              <w:left w:val="nil"/>
              <w:bottom w:val="single" w:sz="8" w:space="0" w:color="000000"/>
              <w:right w:val="nil"/>
            </w:tcBorders>
            <w:shd w:val="clear" w:color="auto" w:fill="auto"/>
          </w:tcPr>
          <w:p w14:paraId="3C542001" w14:textId="77777777" w:rsidR="00D57BE3" w:rsidRPr="00190244" w:rsidRDefault="00D57BE3" w:rsidP="00F97AE5">
            <w:pPr>
              <w:autoSpaceDE w:val="0"/>
              <w:autoSpaceDN w:val="0"/>
              <w:adjustRightInd w:val="0"/>
              <w:spacing w:after="0" w:line="240" w:lineRule="auto"/>
              <w:jc w:val="both"/>
              <w:rPr>
                <w:rFonts w:ascii="Book Antiqua" w:hAnsi="Book Antiqua"/>
                <w:b/>
                <w:bCs/>
                <w:color w:val="000000"/>
              </w:rPr>
            </w:pPr>
          </w:p>
        </w:tc>
        <w:tc>
          <w:tcPr>
            <w:tcW w:w="1321" w:type="dxa"/>
            <w:gridSpan w:val="2"/>
            <w:tcBorders>
              <w:top w:val="single" w:sz="8" w:space="0" w:color="000000"/>
              <w:left w:val="nil"/>
              <w:bottom w:val="single" w:sz="8" w:space="0" w:color="000000"/>
              <w:right w:val="nil"/>
            </w:tcBorders>
            <w:shd w:val="clear" w:color="auto" w:fill="auto"/>
          </w:tcPr>
          <w:p w14:paraId="025C8E86"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Frequency</w:t>
            </w:r>
          </w:p>
        </w:tc>
        <w:tc>
          <w:tcPr>
            <w:tcW w:w="1153" w:type="dxa"/>
            <w:gridSpan w:val="2"/>
            <w:tcBorders>
              <w:top w:val="single" w:sz="8" w:space="0" w:color="000000"/>
              <w:left w:val="nil"/>
              <w:bottom w:val="single" w:sz="8" w:space="0" w:color="000000"/>
              <w:right w:val="nil"/>
            </w:tcBorders>
            <w:shd w:val="clear" w:color="auto" w:fill="auto"/>
          </w:tcPr>
          <w:p w14:paraId="33D45B16"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Percent</w:t>
            </w:r>
          </w:p>
        </w:tc>
        <w:tc>
          <w:tcPr>
            <w:tcW w:w="1582" w:type="dxa"/>
            <w:gridSpan w:val="2"/>
            <w:tcBorders>
              <w:top w:val="single" w:sz="8" w:space="0" w:color="000000"/>
              <w:left w:val="nil"/>
              <w:bottom w:val="single" w:sz="8" w:space="0" w:color="000000"/>
              <w:right w:val="nil"/>
            </w:tcBorders>
            <w:shd w:val="clear" w:color="auto" w:fill="auto"/>
          </w:tcPr>
          <w:p w14:paraId="74B71B81"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Valid Percent</w:t>
            </w:r>
          </w:p>
        </w:tc>
        <w:tc>
          <w:tcPr>
            <w:tcW w:w="1666" w:type="dxa"/>
            <w:tcBorders>
              <w:top w:val="single" w:sz="8" w:space="0" w:color="000000"/>
              <w:left w:val="nil"/>
              <w:bottom w:val="single" w:sz="8" w:space="0" w:color="000000"/>
              <w:right w:val="nil"/>
            </w:tcBorders>
            <w:shd w:val="clear" w:color="auto" w:fill="auto"/>
          </w:tcPr>
          <w:p w14:paraId="2FA723C4"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Cumulative Percent</w:t>
            </w:r>
          </w:p>
        </w:tc>
      </w:tr>
      <w:tr w:rsidR="00F97AE5" w:rsidRPr="00190244" w14:paraId="671D6E69" w14:textId="77777777" w:rsidTr="00C94856">
        <w:trPr>
          <w:trHeight w:val="321"/>
        </w:trPr>
        <w:tc>
          <w:tcPr>
            <w:tcW w:w="1993" w:type="dxa"/>
            <w:gridSpan w:val="2"/>
            <w:tcBorders>
              <w:left w:val="nil"/>
              <w:right w:val="nil"/>
            </w:tcBorders>
            <w:shd w:val="clear" w:color="auto" w:fill="auto"/>
          </w:tcPr>
          <w:p w14:paraId="2A48A388"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Strongly agree</w:t>
            </w:r>
          </w:p>
        </w:tc>
        <w:tc>
          <w:tcPr>
            <w:tcW w:w="1321" w:type="dxa"/>
            <w:gridSpan w:val="2"/>
            <w:tcBorders>
              <w:left w:val="nil"/>
              <w:bottom w:val="nil"/>
              <w:right w:val="nil"/>
            </w:tcBorders>
            <w:shd w:val="clear" w:color="auto" w:fill="auto"/>
          </w:tcPr>
          <w:p w14:paraId="3FB66103"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773</w:t>
            </w:r>
          </w:p>
        </w:tc>
        <w:tc>
          <w:tcPr>
            <w:tcW w:w="1153" w:type="dxa"/>
            <w:gridSpan w:val="2"/>
            <w:tcBorders>
              <w:left w:val="nil"/>
              <w:right w:val="nil"/>
            </w:tcBorders>
            <w:shd w:val="clear" w:color="auto" w:fill="auto"/>
          </w:tcPr>
          <w:p w14:paraId="52B48A4D"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45.7</w:t>
            </w:r>
          </w:p>
        </w:tc>
        <w:tc>
          <w:tcPr>
            <w:tcW w:w="1582" w:type="dxa"/>
            <w:gridSpan w:val="2"/>
            <w:tcBorders>
              <w:left w:val="nil"/>
              <w:bottom w:val="nil"/>
              <w:right w:val="nil"/>
            </w:tcBorders>
            <w:shd w:val="clear" w:color="auto" w:fill="auto"/>
          </w:tcPr>
          <w:p w14:paraId="732AA07C"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46.4</w:t>
            </w:r>
          </w:p>
        </w:tc>
        <w:tc>
          <w:tcPr>
            <w:tcW w:w="1666" w:type="dxa"/>
            <w:tcBorders>
              <w:left w:val="nil"/>
              <w:right w:val="nil"/>
            </w:tcBorders>
            <w:shd w:val="clear" w:color="auto" w:fill="auto"/>
          </w:tcPr>
          <w:p w14:paraId="455BA032"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46.4</w:t>
            </w:r>
          </w:p>
        </w:tc>
      </w:tr>
      <w:tr w:rsidR="00F97AE5" w:rsidRPr="00190244" w14:paraId="3AEC36AB" w14:textId="77777777" w:rsidTr="00C94856">
        <w:trPr>
          <w:trHeight w:val="140"/>
        </w:trPr>
        <w:tc>
          <w:tcPr>
            <w:tcW w:w="1993" w:type="dxa"/>
            <w:gridSpan w:val="2"/>
            <w:shd w:val="clear" w:color="auto" w:fill="auto"/>
          </w:tcPr>
          <w:p w14:paraId="6F21A096"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Agree</w:t>
            </w:r>
          </w:p>
        </w:tc>
        <w:tc>
          <w:tcPr>
            <w:tcW w:w="1321" w:type="dxa"/>
            <w:gridSpan w:val="2"/>
            <w:tcBorders>
              <w:bottom w:val="nil"/>
            </w:tcBorders>
            <w:shd w:val="clear" w:color="auto" w:fill="auto"/>
          </w:tcPr>
          <w:p w14:paraId="781A90A7"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649</w:t>
            </w:r>
          </w:p>
        </w:tc>
        <w:tc>
          <w:tcPr>
            <w:tcW w:w="1153" w:type="dxa"/>
            <w:gridSpan w:val="2"/>
            <w:shd w:val="clear" w:color="auto" w:fill="auto"/>
          </w:tcPr>
          <w:p w14:paraId="2E2C41BE"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38.3</w:t>
            </w:r>
          </w:p>
        </w:tc>
        <w:tc>
          <w:tcPr>
            <w:tcW w:w="1582" w:type="dxa"/>
            <w:gridSpan w:val="2"/>
            <w:tcBorders>
              <w:bottom w:val="nil"/>
            </w:tcBorders>
            <w:shd w:val="clear" w:color="auto" w:fill="auto"/>
          </w:tcPr>
          <w:p w14:paraId="72E2DF3A"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38.9</w:t>
            </w:r>
          </w:p>
        </w:tc>
        <w:tc>
          <w:tcPr>
            <w:tcW w:w="1666" w:type="dxa"/>
            <w:shd w:val="clear" w:color="auto" w:fill="auto"/>
          </w:tcPr>
          <w:p w14:paraId="049A9FAC"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85.3</w:t>
            </w:r>
          </w:p>
        </w:tc>
      </w:tr>
      <w:tr w:rsidR="00F97AE5" w:rsidRPr="00190244" w14:paraId="2F6BCF4C" w14:textId="77777777" w:rsidTr="00C94856">
        <w:trPr>
          <w:trHeight w:val="140"/>
        </w:trPr>
        <w:tc>
          <w:tcPr>
            <w:tcW w:w="1993" w:type="dxa"/>
            <w:gridSpan w:val="2"/>
            <w:tcBorders>
              <w:left w:val="nil"/>
              <w:right w:val="nil"/>
            </w:tcBorders>
            <w:shd w:val="clear" w:color="auto" w:fill="auto"/>
          </w:tcPr>
          <w:p w14:paraId="12FA05E8"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Not sure</w:t>
            </w:r>
          </w:p>
        </w:tc>
        <w:tc>
          <w:tcPr>
            <w:tcW w:w="1321" w:type="dxa"/>
            <w:gridSpan w:val="2"/>
            <w:tcBorders>
              <w:left w:val="nil"/>
              <w:bottom w:val="nil"/>
              <w:right w:val="nil"/>
            </w:tcBorders>
            <w:shd w:val="clear" w:color="auto" w:fill="auto"/>
          </w:tcPr>
          <w:p w14:paraId="1CC14936"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169</w:t>
            </w:r>
          </w:p>
        </w:tc>
        <w:tc>
          <w:tcPr>
            <w:tcW w:w="1153" w:type="dxa"/>
            <w:gridSpan w:val="2"/>
            <w:tcBorders>
              <w:left w:val="nil"/>
              <w:right w:val="nil"/>
            </w:tcBorders>
            <w:shd w:val="clear" w:color="auto" w:fill="auto"/>
          </w:tcPr>
          <w:p w14:paraId="3E224B5F"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10.0</w:t>
            </w:r>
          </w:p>
        </w:tc>
        <w:tc>
          <w:tcPr>
            <w:tcW w:w="1582" w:type="dxa"/>
            <w:gridSpan w:val="2"/>
            <w:tcBorders>
              <w:left w:val="nil"/>
              <w:bottom w:val="nil"/>
              <w:right w:val="nil"/>
            </w:tcBorders>
            <w:shd w:val="clear" w:color="auto" w:fill="auto"/>
          </w:tcPr>
          <w:p w14:paraId="44B2628A"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10.1</w:t>
            </w:r>
          </w:p>
        </w:tc>
        <w:tc>
          <w:tcPr>
            <w:tcW w:w="1666" w:type="dxa"/>
            <w:tcBorders>
              <w:left w:val="nil"/>
              <w:right w:val="nil"/>
            </w:tcBorders>
            <w:shd w:val="clear" w:color="auto" w:fill="auto"/>
          </w:tcPr>
          <w:p w14:paraId="0A7B189C"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95.4</w:t>
            </w:r>
          </w:p>
        </w:tc>
      </w:tr>
      <w:tr w:rsidR="00F97AE5" w:rsidRPr="00190244" w14:paraId="6C5E5E71" w14:textId="77777777" w:rsidTr="00C94856">
        <w:trPr>
          <w:trHeight w:val="140"/>
        </w:trPr>
        <w:tc>
          <w:tcPr>
            <w:tcW w:w="1993" w:type="dxa"/>
            <w:gridSpan w:val="2"/>
            <w:shd w:val="clear" w:color="auto" w:fill="auto"/>
          </w:tcPr>
          <w:p w14:paraId="55FC5A0B"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Disagree</w:t>
            </w:r>
          </w:p>
        </w:tc>
        <w:tc>
          <w:tcPr>
            <w:tcW w:w="1321" w:type="dxa"/>
            <w:gridSpan w:val="2"/>
            <w:tcBorders>
              <w:bottom w:val="nil"/>
            </w:tcBorders>
            <w:shd w:val="clear" w:color="auto" w:fill="auto"/>
          </w:tcPr>
          <w:p w14:paraId="4D17441E"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55</w:t>
            </w:r>
          </w:p>
        </w:tc>
        <w:tc>
          <w:tcPr>
            <w:tcW w:w="1153" w:type="dxa"/>
            <w:gridSpan w:val="2"/>
            <w:shd w:val="clear" w:color="auto" w:fill="auto"/>
          </w:tcPr>
          <w:p w14:paraId="109D10DD"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3.2</w:t>
            </w:r>
          </w:p>
        </w:tc>
        <w:tc>
          <w:tcPr>
            <w:tcW w:w="1582" w:type="dxa"/>
            <w:gridSpan w:val="2"/>
            <w:tcBorders>
              <w:bottom w:val="nil"/>
            </w:tcBorders>
            <w:shd w:val="clear" w:color="auto" w:fill="auto"/>
          </w:tcPr>
          <w:p w14:paraId="749C9937"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3.3</w:t>
            </w:r>
          </w:p>
        </w:tc>
        <w:tc>
          <w:tcPr>
            <w:tcW w:w="1666" w:type="dxa"/>
            <w:shd w:val="clear" w:color="auto" w:fill="auto"/>
          </w:tcPr>
          <w:p w14:paraId="36AED641"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98.7</w:t>
            </w:r>
          </w:p>
        </w:tc>
      </w:tr>
      <w:tr w:rsidR="00F97AE5" w:rsidRPr="00190244" w14:paraId="7E03B20C" w14:textId="77777777" w:rsidTr="00C94856">
        <w:trPr>
          <w:trHeight w:val="140"/>
        </w:trPr>
        <w:tc>
          <w:tcPr>
            <w:tcW w:w="1993" w:type="dxa"/>
            <w:gridSpan w:val="2"/>
            <w:tcBorders>
              <w:left w:val="nil"/>
              <w:right w:val="nil"/>
            </w:tcBorders>
            <w:shd w:val="clear" w:color="auto" w:fill="auto"/>
          </w:tcPr>
          <w:p w14:paraId="7B5A054A"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Strongly disagree</w:t>
            </w:r>
          </w:p>
        </w:tc>
        <w:tc>
          <w:tcPr>
            <w:tcW w:w="1321" w:type="dxa"/>
            <w:gridSpan w:val="2"/>
            <w:tcBorders>
              <w:left w:val="nil"/>
              <w:bottom w:val="nil"/>
              <w:right w:val="nil"/>
            </w:tcBorders>
            <w:shd w:val="clear" w:color="auto" w:fill="auto"/>
          </w:tcPr>
          <w:p w14:paraId="4789EBFB"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21</w:t>
            </w:r>
          </w:p>
        </w:tc>
        <w:tc>
          <w:tcPr>
            <w:tcW w:w="1153" w:type="dxa"/>
            <w:gridSpan w:val="2"/>
            <w:tcBorders>
              <w:left w:val="nil"/>
              <w:right w:val="nil"/>
            </w:tcBorders>
            <w:shd w:val="clear" w:color="auto" w:fill="auto"/>
          </w:tcPr>
          <w:p w14:paraId="112EDF04"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1.2</w:t>
            </w:r>
          </w:p>
        </w:tc>
        <w:tc>
          <w:tcPr>
            <w:tcW w:w="1582" w:type="dxa"/>
            <w:gridSpan w:val="2"/>
            <w:tcBorders>
              <w:left w:val="nil"/>
              <w:bottom w:val="nil"/>
              <w:right w:val="nil"/>
            </w:tcBorders>
            <w:shd w:val="clear" w:color="auto" w:fill="auto"/>
          </w:tcPr>
          <w:p w14:paraId="4E2E6655"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1.3</w:t>
            </w:r>
          </w:p>
        </w:tc>
        <w:tc>
          <w:tcPr>
            <w:tcW w:w="1666" w:type="dxa"/>
            <w:tcBorders>
              <w:left w:val="nil"/>
              <w:right w:val="nil"/>
            </w:tcBorders>
            <w:shd w:val="clear" w:color="auto" w:fill="auto"/>
          </w:tcPr>
          <w:p w14:paraId="6518A876"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100.0</w:t>
            </w:r>
          </w:p>
        </w:tc>
      </w:tr>
      <w:tr w:rsidR="00F97AE5" w:rsidRPr="00190244" w14:paraId="46C7663A" w14:textId="77777777" w:rsidTr="00C94856">
        <w:trPr>
          <w:trHeight w:val="140"/>
        </w:trPr>
        <w:tc>
          <w:tcPr>
            <w:tcW w:w="1993" w:type="dxa"/>
            <w:gridSpan w:val="2"/>
            <w:shd w:val="clear" w:color="auto" w:fill="auto"/>
          </w:tcPr>
          <w:p w14:paraId="6ED267E0"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Total</w:t>
            </w:r>
          </w:p>
        </w:tc>
        <w:tc>
          <w:tcPr>
            <w:tcW w:w="1321" w:type="dxa"/>
            <w:gridSpan w:val="2"/>
            <w:tcBorders>
              <w:bottom w:val="nil"/>
            </w:tcBorders>
            <w:shd w:val="clear" w:color="auto" w:fill="auto"/>
          </w:tcPr>
          <w:p w14:paraId="18E7DD69"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1667</w:t>
            </w:r>
          </w:p>
        </w:tc>
        <w:tc>
          <w:tcPr>
            <w:tcW w:w="1153" w:type="dxa"/>
            <w:gridSpan w:val="2"/>
            <w:shd w:val="clear" w:color="auto" w:fill="auto"/>
          </w:tcPr>
          <w:p w14:paraId="1225C151"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98.5</w:t>
            </w:r>
          </w:p>
        </w:tc>
        <w:tc>
          <w:tcPr>
            <w:tcW w:w="1582" w:type="dxa"/>
            <w:gridSpan w:val="2"/>
            <w:tcBorders>
              <w:bottom w:val="nil"/>
            </w:tcBorders>
            <w:shd w:val="clear" w:color="auto" w:fill="auto"/>
          </w:tcPr>
          <w:p w14:paraId="4D75EE6E"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100.0</w:t>
            </w:r>
          </w:p>
        </w:tc>
        <w:tc>
          <w:tcPr>
            <w:tcW w:w="1666" w:type="dxa"/>
            <w:shd w:val="clear" w:color="auto" w:fill="auto"/>
          </w:tcPr>
          <w:p w14:paraId="4048E008" w14:textId="77777777" w:rsidR="00D57BE3" w:rsidRPr="00190244" w:rsidRDefault="00D57BE3" w:rsidP="00F97AE5">
            <w:pPr>
              <w:autoSpaceDE w:val="0"/>
              <w:autoSpaceDN w:val="0"/>
              <w:adjustRightInd w:val="0"/>
              <w:spacing w:after="0" w:line="240" w:lineRule="auto"/>
              <w:jc w:val="both"/>
              <w:rPr>
                <w:rFonts w:ascii="Book Antiqua" w:hAnsi="Book Antiqua"/>
                <w:color w:val="000000"/>
              </w:rPr>
            </w:pPr>
          </w:p>
        </w:tc>
      </w:tr>
      <w:tr w:rsidR="00F97AE5" w:rsidRPr="00190244" w14:paraId="7CD58975" w14:textId="77777777" w:rsidTr="00C94856">
        <w:trPr>
          <w:trHeight w:val="305"/>
        </w:trPr>
        <w:tc>
          <w:tcPr>
            <w:tcW w:w="1993" w:type="dxa"/>
            <w:gridSpan w:val="2"/>
            <w:tcBorders>
              <w:left w:val="nil"/>
              <w:right w:val="nil"/>
            </w:tcBorders>
            <w:shd w:val="clear" w:color="auto" w:fill="auto"/>
          </w:tcPr>
          <w:p w14:paraId="6AA9984F"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None Response</w:t>
            </w:r>
          </w:p>
        </w:tc>
        <w:tc>
          <w:tcPr>
            <w:tcW w:w="1321" w:type="dxa"/>
            <w:gridSpan w:val="2"/>
            <w:tcBorders>
              <w:left w:val="nil"/>
              <w:bottom w:val="nil"/>
              <w:right w:val="nil"/>
            </w:tcBorders>
            <w:shd w:val="clear" w:color="auto" w:fill="auto"/>
          </w:tcPr>
          <w:p w14:paraId="0744F55B"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26</w:t>
            </w:r>
          </w:p>
        </w:tc>
        <w:tc>
          <w:tcPr>
            <w:tcW w:w="1153" w:type="dxa"/>
            <w:gridSpan w:val="2"/>
            <w:tcBorders>
              <w:left w:val="nil"/>
              <w:right w:val="nil"/>
            </w:tcBorders>
            <w:shd w:val="clear" w:color="auto" w:fill="auto"/>
          </w:tcPr>
          <w:p w14:paraId="7B8551B0" w14:textId="77777777" w:rsidR="00D57BE3" w:rsidRPr="00190244" w:rsidRDefault="00D57BE3" w:rsidP="00F97AE5">
            <w:pPr>
              <w:autoSpaceDE w:val="0"/>
              <w:autoSpaceDN w:val="0"/>
              <w:adjustRightInd w:val="0"/>
              <w:spacing w:after="0" w:line="240" w:lineRule="auto"/>
              <w:jc w:val="both"/>
              <w:rPr>
                <w:rFonts w:ascii="Book Antiqua" w:hAnsi="Book Antiqua" w:cs="Arial"/>
                <w:color w:val="000000"/>
              </w:rPr>
            </w:pPr>
            <w:r w:rsidRPr="00190244">
              <w:rPr>
                <w:rFonts w:ascii="Book Antiqua" w:hAnsi="Book Antiqua" w:cs="Arial"/>
                <w:color w:val="000000"/>
              </w:rPr>
              <w:t>1.5</w:t>
            </w:r>
          </w:p>
        </w:tc>
        <w:tc>
          <w:tcPr>
            <w:tcW w:w="1582" w:type="dxa"/>
            <w:gridSpan w:val="2"/>
            <w:tcBorders>
              <w:left w:val="nil"/>
              <w:bottom w:val="nil"/>
              <w:right w:val="nil"/>
            </w:tcBorders>
            <w:shd w:val="clear" w:color="auto" w:fill="auto"/>
          </w:tcPr>
          <w:p w14:paraId="449BBE87" w14:textId="77777777" w:rsidR="00D57BE3" w:rsidRPr="00190244" w:rsidRDefault="00D57BE3" w:rsidP="00F97AE5">
            <w:pPr>
              <w:autoSpaceDE w:val="0"/>
              <w:autoSpaceDN w:val="0"/>
              <w:adjustRightInd w:val="0"/>
              <w:spacing w:after="0" w:line="240" w:lineRule="auto"/>
              <w:jc w:val="both"/>
              <w:rPr>
                <w:rFonts w:ascii="Book Antiqua" w:hAnsi="Book Antiqua"/>
                <w:color w:val="000000"/>
              </w:rPr>
            </w:pPr>
          </w:p>
        </w:tc>
        <w:tc>
          <w:tcPr>
            <w:tcW w:w="1666" w:type="dxa"/>
            <w:tcBorders>
              <w:left w:val="nil"/>
              <w:right w:val="nil"/>
            </w:tcBorders>
            <w:shd w:val="clear" w:color="auto" w:fill="auto"/>
          </w:tcPr>
          <w:p w14:paraId="25E928F8" w14:textId="77777777" w:rsidR="00D57BE3" w:rsidRPr="00190244" w:rsidRDefault="00D57BE3" w:rsidP="00F97AE5">
            <w:pPr>
              <w:autoSpaceDE w:val="0"/>
              <w:autoSpaceDN w:val="0"/>
              <w:adjustRightInd w:val="0"/>
              <w:spacing w:after="0" w:line="240" w:lineRule="auto"/>
              <w:jc w:val="both"/>
              <w:rPr>
                <w:rFonts w:ascii="Book Antiqua" w:hAnsi="Book Antiqua"/>
                <w:color w:val="000000"/>
              </w:rPr>
            </w:pPr>
          </w:p>
        </w:tc>
      </w:tr>
      <w:tr w:rsidR="00F97AE5" w:rsidRPr="00190244" w14:paraId="3B61B58F" w14:textId="77777777" w:rsidTr="00C94856">
        <w:trPr>
          <w:gridAfter w:val="2"/>
          <w:wAfter w:w="1993" w:type="dxa"/>
          <w:trHeight w:val="321"/>
        </w:trPr>
        <w:tc>
          <w:tcPr>
            <w:tcW w:w="1321" w:type="dxa"/>
            <w:tcBorders>
              <w:top w:val="single" w:sz="8" w:space="0" w:color="000000"/>
              <w:left w:val="nil"/>
              <w:bottom w:val="single" w:sz="8" w:space="0" w:color="000000"/>
              <w:right w:val="nil"/>
            </w:tcBorders>
            <w:shd w:val="clear" w:color="auto" w:fill="auto"/>
          </w:tcPr>
          <w:p w14:paraId="270745C4"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Total</w:t>
            </w:r>
          </w:p>
        </w:tc>
        <w:tc>
          <w:tcPr>
            <w:tcW w:w="1153" w:type="dxa"/>
            <w:gridSpan w:val="2"/>
            <w:tcBorders>
              <w:top w:val="single" w:sz="8" w:space="0" w:color="000000"/>
              <w:left w:val="nil"/>
              <w:bottom w:val="single" w:sz="8" w:space="0" w:color="000000"/>
              <w:right w:val="nil"/>
            </w:tcBorders>
            <w:shd w:val="clear" w:color="auto" w:fill="auto"/>
          </w:tcPr>
          <w:p w14:paraId="5D0C3835" w14:textId="77777777" w:rsidR="00D57BE3" w:rsidRPr="00190244" w:rsidRDefault="00D57BE3" w:rsidP="00F97AE5">
            <w:pPr>
              <w:autoSpaceDE w:val="0"/>
              <w:autoSpaceDN w:val="0"/>
              <w:adjustRightInd w:val="0"/>
              <w:spacing w:after="0" w:line="240" w:lineRule="auto"/>
              <w:jc w:val="both"/>
              <w:rPr>
                <w:rFonts w:ascii="Book Antiqua" w:hAnsi="Book Antiqua" w:cs="Arial"/>
                <w:b/>
                <w:bCs/>
                <w:color w:val="000000"/>
              </w:rPr>
            </w:pPr>
            <w:r w:rsidRPr="00190244">
              <w:rPr>
                <w:rFonts w:ascii="Book Antiqua" w:hAnsi="Book Antiqua" w:cs="Arial"/>
                <w:b/>
                <w:bCs/>
                <w:color w:val="000000"/>
              </w:rPr>
              <w:t xml:space="preserve">  1693</w:t>
            </w:r>
          </w:p>
        </w:tc>
        <w:tc>
          <w:tcPr>
            <w:tcW w:w="1582" w:type="dxa"/>
            <w:gridSpan w:val="2"/>
            <w:tcBorders>
              <w:top w:val="single" w:sz="8" w:space="0" w:color="000000"/>
              <w:left w:val="nil"/>
              <w:bottom w:val="single" w:sz="8" w:space="0" w:color="000000"/>
              <w:right w:val="nil"/>
            </w:tcBorders>
            <w:shd w:val="clear" w:color="auto" w:fill="auto"/>
          </w:tcPr>
          <w:p w14:paraId="38D53873" w14:textId="77777777" w:rsidR="00D57BE3" w:rsidRPr="00190244" w:rsidRDefault="00D57BE3" w:rsidP="00F97AE5">
            <w:pPr>
              <w:autoSpaceDE w:val="0"/>
              <w:autoSpaceDN w:val="0"/>
              <w:adjustRightInd w:val="0"/>
              <w:spacing w:after="0" w:line="240" w:lineRule="auto"/>
              <w:jc w:val="both"/>
              <w:rPr>
                <w:rFonts w:ascii="Book Antiqua" w:hAnsi="Book Antiqua"/>
                <w:b/>
                <w:bCs/>
                <w:color w:val="000000"/>
              </w:rPr>
            </w:pPr>
            <w:r w:rsidRPr="00190244">
              <w:rPr>
                <w:rFonts w:ascii="Book Antiqua" w:hAnsi="Book Antiqua" w:cs="Arial"/>
                <w:b/>
                <w:bCs/>
                <w:color w:val="000000"/>
              </w:rPr>
              <w:t xml:space="preserve">     100.0</w:t>
            </w:r>
          </w:p>
        </w:tc>
        <w:tc>
          <w:tcPr>
            <w:tcW w:w="1666" w:type="dxa"/>
            <w:gridSpan w:val="2"/>
            <w:tcBorders>
              <w:top w:val="single" w:sz="8" w:space="0" w:color="000000"/>
              <w:left w:val="nil"/>
              <w:bottom w:val="single" w:sz="8" w:space="0" w:color="000000"/>
              <w:right w:val="nil"/>
            </w:tcBorders>
            <w:shd w:val="clear" w:color="auto" w:fill="auto"/>
          </w:tcPr>
          <w:p w14:paraId="66E35C88" w14:textId="77777777" w:rsidR="00D57BE3" w:rsidRPr="00190244" w:rsidRDefault="00D57BE3" w:rsidP="00F97AE5">
            <w:pPr>
              <w:autoSpaceDE w:val="0"/>
              <w:autoSpaceDN w:val="0"/>
              <w:adjustRightInd w:val="0"/>
              <w:spacing w:after="0" w:line="240" w:lineRule="auto"/>
              <w:jc w:val="both"/>
              <w:rPr>
                <w:rFonts w:ascii="Book Antiqua" w:hAnsi="Book Antiqua"/>
                <w:b/>
                <w:bCs/>
                <w:color w:val="000000"/>
              </w:rPr>
            </w:pPr>
          </w:p>
        </w:tc>
      </w:tr>
    </w:tbl>
    <w:p w14:paraId="2E7EF4DC" w14:textId="77777777" w:rsidR="00130BAE" w:rsidRPr="00190244" w:rsidRDefault="00130BAE" w:rsidP="00130BAE">
      <w:pPr>
        <w:autoSpaceDE w:val="0"/>
        <w:autoSpaceDN w:val="0"/>
        <w:adjustRightInd w:val="0"/>
        <w:spacing w:line="240" w:lineRule="auto"/>
        <w:rPr>
          <w:rFonts w:ascii="Book Antiqua" w:hAnsi="Book Antiqua"/>
        </w:rPr>
      </w:pPr>
      <w:r w:rsidRPr="00190244">
        <w:rPr>
          <w:rFonts w:ascii="Book Antiqua" w:hAnsi="Book Antiqua"/>
        </w:rPr>
        <w:t>Source: Field Survey, 2012</w:t>
      </w:r>
    </w:p>
    <w:p w14:paraId="57846174" w14:textId="77777777" w:rsidR="009C02BF" w:rsidRPr="001F4E95" w:rsidRDefault="00130BAE" w:rsidP="00130BAE">
      <w:pPr>
        <w:autoSpaceDE w:val="0"/>
        <w:autoSpaceDN w:val="0"/>
        <w:adjustRightInd w:val="0"/>
        <w:spacing w:after="0"/>
        <w:jc w:val="both"/>
        <w:rPr>
          <w:rFonts w:ascii="Book Antiqua" w:hAnsi="Book Antiqua"/>
          <w:sz w:val="14"/>
        </w:rPr>
      </w:pPr>
      <w:r>
        <w:rPr>
          <w:rFonts w:ascii="Book Antiqua" w:hAnsi="Book Antiqua"/>
        </w:rPr>
        <w:t>Table 3.3.3 shows that 85.3% respondents agree that HND graduates can further their educations after school, 10.1% of them are not</w:t>
      </w:r>
      <w:r w:rsidRPr="0038437D">
        <w:rPr>
          <w:rFonts w:ascii="Book Antiqua" w:hAnsi="Book Antiqua"/>
        </w:rPr>
        <w:t xml:space="preserve"> </w:t>
      </w:r>
      <w:r w:rsidRPr="00E3232D">
        <w:rPr>
          <w:rFonts w:ascii="Book Antiqua" w:hAnsi="Book Antiqua"/>
        </w:rPr>
        <w:t xml:space="preserve">sure and 4.6% disagree. 1.5% did not respond. </w:t>
      </w:r>
    </w:p>
    <w:p w14:paraId="0C9B8E90" w14:textId="77777777" w:rsidR="007005B1" w:rsidRDefault="007005B1" w:rsidP="001F4E95">
      <w:pPr>
        <w:autoSpaceDE w:val="0"/>
        <w:autoSpaceDN w:val="0"/>
        <w:adjustRightInd w:val="0"/>
        <w:spacing w:after="0" w:line="240" w:lineRule="auto"/>
        <w:rPr>
          <w:rFonts w:ascii="Book Antiqua" w:hAnsi="Book Antiqua"/>
          <w:b/>
          <w:bCs/>
          <w:color w:val="000000"/>
        </w:rPr>
      </w:pPr>
    </w:p>
    <w:p w14:paraId="46B8E19C" w14:textId="77777777" w:rsidR="00283D41" w:rsidRDefault="00283D41" w:rsidP="001F4E95">
      <w:pPr>
        <w:autoSpaceDE w:val="0"/>
        <w:autoSpaceDN w:val="0"/>
        <w:adjustRightInd w:val="0"/>
        <w:spacing w:after="0" w:line="240" w:lineRule="auto"/>
        <w:rPr>
          <w:rFonts w:ascii="Book Antiqua" w:hAnsi="Book Antiqua"/>
          <w:b/>
          <w:bCs/>
          <w:color w:val="000000"/>
        </w:rPr>
      </w:pPr>
    </w:p>
    <w:p w14:paraId="3DB3F976" w14:textId="77777777" w:rsidR="00283D41" w:rsidRDefault="00283D41" w:rsidP="001F4E95">
      <w:pPr>
        <w:autoSpaceDE w:val="0"/>
        <w:autoSpaceDN w:val="0"/>
        <w:adjustRightInd w:val="0"/>
        <w:spacing w:after="0" w:line="240" w:lineRule="auto"/>
        <w:rPr>
          <w:rFonts w:ascii="Book Antiqua" w:hAnsi="Book Antiqua"/>
          <w:b/>
          <w:bCs/>
          <w:color w:val="000000"/>
        </w:rPr>
      </w:pPr>
    </w:p>
    <w:p w14:paraId="3C75EAE6" w14:textId="77777777" w:rsidR="00283D41" w:rsidRDefault="00283D41" w:rsidP="001F4E95">
      <w:pPr>
        <w:autoSpaceDE w:val="0"/>
        <w:autoSpaceDN w:val="0"/>
        <w:adjustRightInd w:val="0"/>
        <w:spacing w:after="0" w:line="240" w:lineRule="auto"/>
        <w:rPr>
          <w:rFonts w:ascii="Book Antiqua" w:hAnsi="Book Antiqua"/>
          <w:b/>
          <w:bCs/>
          <w:color w:val="000000"/>
        </w:rPr>
      </w:pPr>
    </w:p>
    <w:p w14:paraId="12C15AE4" w14:textId="77777777" w:rsidR="00DD7606" w:rsidRDefault="00DD7606" w:rsidP="00747426">
      <w:pPr>
        <w:autoSpaceDE w:val="0"/>
        <w:autoSpaceDN w:val="0"/>
        <w:adjustRightInd w:val="0"/>
        <w:rPr>
          <w:rFonts w:ascii="Book Antiqua" w:hAnsi="Book Antiqua"/>
        </w:rPr>
      </w:pPr>
    </w:p>
    <w:p w14:paraId="1EC88E6F" w14:textId="77777777" w:rsidR="00E82507" w:rsidRDefault="00E82507" w:rsidP="00747426">
      <w:pPr>
        <w:autoSpaceDE w:val="0"/>
        <w:autoSpaceDN w:val="0"/>
        <w:adjustRightInd w:val="0"/>
        <w:rPr>
          <w:rFonts w:ascii="Book Antiqua" w:hAnsi="Book Antiqua"/>
        </w:rPr>
      </w:pPr>
    </w:p>
    <w:p w14:paraId="0F0CF53F" w14:textId="77777777" w:rsidR="00E82507" w:rsidRDefault="00E82507" w:rsidP="00E82507">
      <w:pPr>
        <w:autoSpaceDE w:val="0"/>
        <w:autoSpaceDN w:val="0"/>
        <w:adjustRightInd w:val="0"/>
        <w:spacing w:line="240" w:lineRule="auto"/>
        <w:rPr>
          <w:rFonts w:ascii="Book Antiqua" w:hAnsi="Book Antiqua"/>
        </w:rPr>
      </w:pPr>
    </w:p>
    <w:p w14:paraId="7F2918D9" w14:textId="77777777" w:rsidR="007005B1" w:rsidRDefault="007005B1" w:rsidP="007005B1">
      <w:pPr>
        <w:autoSpaceDE w:val="0"/>
        <w:autoSpaceDN w:val="0"/>
        <w:adjustRightInd w:val="0"/>
        <w:spacing w:after="0"/>
        <w:jc w:val="both"/>
        <w:rPr>
          <w:rFonts w:ascii="Book Antiqua" w:hAnsi="Book Antiqua"/>
        </w:rPr>
      </w:pPr>
    </w:p>
    <w:p w14:paraId="66AB280D" w14:textId="77777777" w:rsidR="007005B1" w:rsidRPr="001F4E95" w:rsidRDefault="007005B1" w:rsidP="007005B1">
      <w:pPr>
        <w:autoSpaceDE w:val="0"/>
        <w:autoSpaceDN w:val="0"/>
        <w:adjustRightInd w:val="0"/>
        <w:spacing w:after="0"/>
        <w:jc w:val="both"/>
        <w:rPr>
          <w:rFonts w:ascii="Book Antiqua" w:hAnsi="Book Antiqua"/>
          <w:sz w:val="14"/>
        </w:rPr>
      </w:pPr>
    </w:p>
    <w:p w14:paraId="4F2C783A" w14:textId="77777777" w:rsidR="00130BAE" w:rsidRDefault="00130BAE" w:rsidP="00130BAE">
      <w:pPr>
        <w:autoSpaceDE w:val="0"/>
        <w:autoSpaceDN w:val="0"/>
        <w:adjustRightInd w:val="0"/>
        <w:spacing w:after="0"/>
        <w:jc w:val="both"/>
        <w:rPr>
          <w:rFonts w:ascii="Times New Roman" w:hAnsi="Times New Roman"/>
          <w:sz w:val="24"/>
          <w:szCs w:val="24"/>
        </w:rPr>
      </w:pPr>
    </w:p>
    <w:p w14:paraId="780D2C6C" w14:textId="77777777" w:rsidR="00283D41" w:rsidRDefault="00283D41" w:rsidP="00283D41">
      <w:pPr>
        <w:autoSpaceDE w:val="0"/>
        <w:autoSpaceDN w:val="0"/>
        <w:adjustRightInd w:val="0"/>
        <w:spacing w:after="0" w:line="240" w:lineRule="auto"/>
        <w:rPr>
          <w:rFonts w:ascii="Book Antiqua" w:hAnsi="Book Antiqua"/>
          <w:b/>
          <w:bCs/>
          <w:color w:val="000000"/>
        </w:rPr>
      </w:pPr>
    </w:p>
    <w:p w14:paraId="2C6E25E5" w14:textId="77777777" w:rsidR="00283D41" w:rsidRDefault="00283D41" w:rsidP="00283D41">
      <w:pPr>
        <w:autoSpaceDE w:val="0"/>
        <w:autoSpaceDN w:val="0"/>
        <w:adjustRightInd w:val="0"/>
        <w:spacing w:after="0" w:line="240" w:lineRule="auto"/>
        <w:rPr>
          <w:rFonts w:ascii="Book Antiqua" w:hAnsi="Book Antiqua"/>
          <w:b/>
          <w:bCs/>
          <w:color w:val="000000"/>
        </w:rPr>
      </w:pPr>
    </w:p>
    <w:p w14:paraId="18B08302" w14:textId="77777777" w:rsidR="00283D41" w:rsidRDefault="00283D41" w:rsidP="00283D41">
      <w:pPr>
        <w:autoSpaceDE w:val="0"/>
        <w:autoSpaceDN w:val="0"/>
        <w:adjustRightInd w:val="0"/>
        <w:spacing w:after="0" w:line="240" w:lineRule="auto"/>
        <w:rPr>
          <w:rFonts w:ascii="Book Antiqua" w:hAnsi="Book Antiqua"/>
          <w:b/>
          <w:bCs/>
          <w:color w:val="000000"/>
        </w:rPr>
      </w:pPr>
    </w:p>
    <w:p w14:paraId="469E9BC6" w14:textId="77777777" w:rsidR="00283D41" w:rsidRDefault="00283D41" w:rsidP="00283D41">
      <w:pPr>
        <w:autoSpaceDE w:val="0"/>
        <w:autoSpaceDN w:val="0"/>
        <w:adjustRightInd w:val="0"/>
        <w:spacing w:after="0" w:line="240" w:lineRule="auto"/>
        <w:rPr>
          <w:rFonts w:ascii="Book Antiqua" w:hAnsi="Book Antiqua"/>
          <w:b/>
          <w:bCs/>
          <w:color w:val="000000"/>
        </w:rPr>
      </w:pPr>
    </w:p>
    <w:p w14:paraId="4DCACFAC" w14:textId="77777777" w:rsidR="00283D41" w:rsidRDefault="00283D41" w:rsidP="00283D41">
      <w:pPr>
        <w:autoSpaceDE w:val="0"/>
        <w:autoSpaceDN w:val="0"/>
        <w:adjustRightInd w:val="0"/>
        <w:spacing w:after="0" w:line="240" w:lineRule="auto"/>
        <w:rPr>
          <w:rFonts w:ascii="Book Antiqua" w:hAnsi="Book Antiqua"/>
          <w:b/>
          <w:bCs/>
          <w:color w:val="000000"/>
        </w:rPr>
      </w:pPr>
    </w:p>
    <w:p w14:paraId="788DE407" w14:textId="77777777" w:rsidR="00283D41" w:rsidRDefault="00283D41" w:rsidP="00283D41">
      <w:pPr>
        <w:autoSpaceDE w:val="0"/>
        <w:autoSpaceDN w:val="0"/>
        <w:adjustRightInd w:val="0"/>
        <w:spacing w:after="0" w:line="240" w:lineRule="auto"/>
        <w:rPr>
          <w:rFonts w:ascii="Book Antiqua" w:hAnsi="Book Antiqua"/>
          <w:b/>
          <w:bCs/>
          <w:color w:val="000000"/>
        </w:rPr>
      </w:pPr>
    </w:p>
    <w:p w14:paraId="7671EBFB" w14:textId="77777777" w:rsidR="00283D41" w:rsidRDefault="00283D41" w:rsidP="00283D41">
      <w:pPr>
        <w:autoSpaceDE w:val="0"/>
        <w:autoSpaceDN w:val="0"/>
        <w:adjustRightInd w:val="0"/>
        <w:spacing w:after="0" w:line="240" w:lineRule="auto"/>
        <w:rPr>
          <w:rFonts w:ascii="Book Antiqua" w:hAnsi="Book Antiqua"/>
          <w:b/>
          <w:bCs/>
          <w:color w:val="000000"/>
        </w:rPr>
      </w:pPr>
    </w:p>
    <w:p w14:paraId="0B76FDBD" w14:textId="77777777" w:rsidR="00283D41" w:rsidRDefault="00283D41" w:rsidP="00283D41">
      <w:pPr>
        <w:autoSpaceDE w:val="0"/>
        <w:autoSpaceDN w:val="0"/>
        <w:adjustRightInd w:val="0"/>
        <w:spacing w:after="0" w:line="240" w:lineRule="auto"/>
        <w:rPr>
          <w:rFonts w:ascii="Book Antiqua" w:hAnsi="Book Antiqua"/>
          <w:b/>
          <w:bCs/>
          <w:color w:val="000000"/>
        </w:rPr>
      </w:pPr>
    </w:p>
    <w:p w14:paraId="6EF0F162" w14:textId="77777777" w:rsidR="00283D41" w:rsidRDefault="00283D41" w:rsidP="00283D41">
      <w:pPr>
        <w:autoSpaceDE w:val="0"/>
        <w:autoSpaceDN w:val="0"/>
        <w:adjustRightInd w:val="0"/>
        <w:spacing w:after="0" w:line="240" w:lineRule="auto"/>
        <w:rPr>
          <w:rFonts w:ascii="Book Antiqua" w:hAnsi="Book Antiqua"/>
          <w:b/>
          <w:bCs/>
          <w:color w:val="000000"/>
        </w:rPr>
      </w:pPr>
    </w:p>
    <w:p w14:paraId="2C691F82" w14:textId="77777777" w:rsidR="00283D41" w:rsidRDefault="00283D41" w:rsidP="00283D41">
      <w:pPr>
        <w:autoSpaceDE w:val="0"/>
        <w:autoSpaceDN w:val="0"/>
        <w:adjustRightInd w:val="0"/>
        <w:spacing w:after="0" w:line="240" w:lineRule="auto"/>
        <w:rPr>
          <w:rFonts w:ascii="Book Antiqua" w:hAnsi="Book Antiqua"/>
          <w:b/>
          <w:bCs/>
          <w:color w:val="000000"/>
        </w:rPr>
      </w:pPr>
    </w:p>
    <w:p w14:paraId="57EA8F13" w14:textId="77777777" w:rsidR="00283D41" w:rsidRDefault="00283D41" w:rsidP="00283D41">
      <w:pPr>
        <w:autoSpaceDE w:val="0"/>
        <w:autoSpaceDN w:val="0"/>
        <w:adjustRightInd w:val="0"/>
        <w:spacing w:after="0" w:line="240" w:lineRule="auto"/>
        <w:rPr>
          <w:rFonts w:ascii="Book Antiqua" w:hAnsi="Book Antiqua"/>
          <w:b/>
          <w:bCs/>
          <w:color w:val="000000"/>
        </w:rPr>
      </w:pPr>
    </w:p>
    <w:p w14:paraId="5C7FA55E" w14:textId="77777777" w:rsidR="004050BC" w:rsidRDefault="004050BC" w:rsidP="00283D41">
      <w:pPr>
        <w:autoSpaceDE w:val="0"/>
        <w:autoSpaceDN w:val="0"/>
        <w:adjustRightInd w:val="0"/>
        <w:spacing w:after="0" w:line="240" w:lineRule="auto"/>
        <w:rPr>
          <w:rFonts w:ascii="Book Antiqua" w:hAnsi="Book Antiqua"/>
          <w:b/>
          <w:bCs/>
          <w:color w:val="000000"/>
        </w:rPr>
      </w:pPr>
    </w:p>
    <w:p w14:paraId="27F7DC58" w14:textId="77777777" w:rsidR="004050BC" w:rsidRDefault="004050BC" w:rsidP="00283D41">
      <w:pPr>
        <w:autoSpaceDE w:val="0"/>
        <w:autoSpaceDN w:val="0"/>
        <w:adjustRightInd w:val="0"/>
        <w:spacing w:after="0" w:line="240" w:lineRule="auto"/>
        <w:rPr>
          <w:rFonts w:ascii="Book Antiqua" w:hAnsi="Book Antiqua"/>
          <w:b/>
          <w:bCs/>
          <w:color w:val="000000"/>
        </w:rPr>
      </w:pPr>
    </w:p>
    <w:p w14:paraId="6ACCE399" w14:textId="77777777" w:rsidR="004050BC" w:rsidRDefault="004050BC" w:rsidP="00283D41">
      <w:pPr>
        <w:autoSpaceDE w:val="0"/>
        <w:autoSpaceDN w:val="0"/>
        <w:adjustRightInd w:val="0"/>
        <w:spacing w:after="0" w:line="240" w:lineRule="auto"/>
        <w:rPr>
          <w:rFonts w:ascii="Book Antiqua" w:hAnsi="Book Antiqua"/>
          <w:b/>
          <w:bCs/>
          <w:color w:val="000000"/>
        </w:rPr>
      </w:pPr>
    </w:p>
    <w:p w14:paraId="5144574C" w14:textId="77777777" w:rsidR="004050BC" w:rsidRDefault="004050BC" w:rsidP="00283D41">
      <w:pPr>
        <w:autoSpaceDE w:val="0"/>
        <w:autoSpaceDN w:val="0"/>
        <w:adjustRightInd w:val="0"/>
        <w:spacing w:after="0" w:line="240" w:lineRule="auto"/>
        <w:rPr>
          <w:rFonts w:ascii="Book Antiqua" w:hAnsi="Book Antiqua"/>
          <w:b/>
          <w:bCs/>
          <w:color w:val="000000"/>
        </w:rPr>
      </w:pPr>
    </w:p>
    <w:p w14:paraId="45D5DC0C" w14:textId="77777777" w:rsidR="004050BC" w:rsidRDefault="004050BC" w:rsidP="00283D41">
      <w:pPr>
        <w:autoSpaceDE w:val="0"/>
        <w:autoSpaceDN w:val="0"/>
        <w:adjustRightInd w:val="0"/>
        <w:spacing w:after="0" w:line="240" w:lineRule="auto"/>
        <w:rPr>
          <w:rFonts w:ascii="Book Antiqua" w:hAnsi="Book Antiqua"/>
          <w:b/>
          <w:bCs/>
          <w:color w:val="000000"/>
        </w:rPr>
      </w:pPr>
    </w:p>
    <w:p w14:paraId="38677F3E" w14:textId="77777777" w:rsidR="00283D41" w:rsidRDefault="00283D41" w:rsidP="00283D41">
      <w:pPr>
        <w:autoSpaceDE w:val="0"/>
        <w:autoSpaceDN w:val="0"/>
        <w:adjustRightInd w:val="0"/>
        <w:spacing w:after="0" w:line="240" w:lineRule="auto"/>
        <w:rPr>
          <w:rFonts w:ascii="Book Antiqua" w:hAnsi="Book Antiqua"/>
          <w:b/>
          <w:bCs/>
          <w:color w:val="000000"/>
        </w:rPr>
      </w:pPr>
    </w:p>
    <w:p w14:paraId="758940EA" w14:textId="77777777" w:rsidR="00E26B19" w:rsidRDefault="00E26B19" w:rsidP="00283D41">
      <w:pPr>
        <w:autoSpaceDE w:val="0"/>
        <w:autoSpaceDN w:val="0"/>
        <w:adjustRightInd w:val="0"/>
        <w:spacing w:after="0" w:line="240" w:lineRule="auto"/>
        <w:rPr>
          <w:rFonts w:ascii="Book Antiqua" w:hAnsi="Book Antiqua"/>
          <w:b/>
          <w:bCs/>
          <w:color w:val="000000"/>
        </w:rPr>
        <w:sectPr w:rsidR="00E26B19" w:rsidSect="00130BAE">
          <w:type w:val="continuous"/>
          <w:pgSz w:w="11907" w:h="16839" w:code="9"/>
          <w:pgMar w:top="720" w:right="720" w:bottom="720" w:left="1440" w:header="720" w:footer="720" w:gutter="0"/>
          <w:cols w:num="2" w:space="720"/>
          <w:noEndnote/>
        </w:sectPr>
      </w:pPr>
    </w:p>
    <w:p w14:paraId="2D8C5795" w14:textId="77777777" w:rsidR="00DD7606" w:rsidRDefault="00DD7606" w:rsidP="00283D41">
      <w:pPr>
        <w:autoSpaceDE w:val="0"/>
        <w:autoSpaceDN w:val="0"/>
        <w:adjustRightInd w:val="0"/>
        <w:spacing w:after="0" w:line="240" w:lineRule="auto"/>
        <w:rPr>
          <w:rFonts w:ascii="Book Antiqua" w:hAnsi="Book Antiqua"/>
          <w:b/>
          <w:bCs/>
          <w:color w:val="000000"/>
        </w:rPr>
      </w:pPr>
    </w:p>
    <w:p w14:paraId="7C08AB4B" w14:textId="77777777" w:rsidR="00DD7606" w:rsidRDefault="00DD7606" w:rsidP="00283D41">
      <w:pPr>
        <w:autoSpaceDE w:val="0"/>
        <w:autoSpaceDN w:val="0"/>
        <w:adjustRightInd w:val="0"/>
        <w:spacing w:after="0" w:line="240" w:lineRule="auto"/>
        <w:rPr>
          <w:rFonts w:ascii="Book Antiqua" w:hAnsi="Book Antiqua"/>
          <w:b/>
          <w:bCs/>
          <w:color w:val="000000"/>
        </w:rPr>
      </w:pPr>
    </w:p>
    <w:p w14:paraId="73A056FA" w14:textId="77777777" w:rsidR="00DD7606" w:rsidRDefault="00DD7606" w:rsidP="00283D41">
      <w:pPr>
        <w:autoSpaceDE w:val="0"/>
        <w:autoSpaceDN w:val="0"/>
        <w:adjustRightInd w:val="0"/>
        <w:spacing w:after="0" w:line="240" w:lineRule="auto"/>
        <w:rPr>
          <w:rFonts w:ascii="Book Antiqua" w:hAnsi="Book Antiqua"/>
          <w:b/>
          <w:bCs/>
          <w:color w:val="000000"/>
        </w:rPr>
      </w:pPr>
    </w:p>
    <w:p w14:paraId="6935A30A" w14:textId="77777777" w:rsidR="00DD7606" w:rsidRDefault="00DD7606" w:rsidP="00283D41">
      <w:pPr>
        <w:autoSpaceDE w:val="0"/>
        <w:autoSpaceDN w:val="0"/>
        <w:adjustRightInd w:val="0"/>
        <w:spacing w:after="0" w:line="240" w:lineRule="auto"/>
        <w:rPr>
          <w:rFonts w:ascii="Book Antiqua" w:hAnsi="Book Antiqua"/>
          <w:b/>
          <w:bCs/>
          <w:color w:val="000000"/>
        </w:rPr>
      </w:pPr>
    </w:p>
    <w:p w14:paraId="49BC97F7" w14:textId="77777777" w:rsidR="00DD7606" w:rsidRDefault="00DD7606" w:rsidP="00283D41">
      <w:pPr>
        <w:autoSpaceDE w:val="0"/>
        <w:autoSpaceDN w:val="0"/>
        <w:adjustRightInd w:val="0"/>
        <w:spacing w:after="0" w:line="240" w:lineRule="auto"/>
        <w:rPr>
          <w:rFonts w:ascii="Book Antiqua" w:hAnsi="Book Antiqua"/>
          <w:b/>
          <w:bCs/>
          <w:color w:val="000000"/>
        </w:rPr>
      </w:pPr>
    </w:p>
    <w:p w14:paraId="631EB6B2" w14:textId="77777777" w:rsidR="00DD7606" w:rsidRDefault="00DD7606" w:rsidP="00283D41">
      <w:pPr>
        <w:autoSpaceDE w:val="0"/>
        <w:autoSpaceDN w:val="0"/>
        <w:adjustRightInd w:val="0"/>
        <w:spacing w:after="0" w:line="240" w:lineRule="auto"/>
        <w:rPr>
          <w:rFonts w:ascii="Book Antiqua" w:hAnsi="Book Antiqua"/>
          <w:b/>
          <w:bCs/>
          <w:color w:val="000000"/>
        </w:rPr>
      </w:pPr>
    </w:p>
    <w:p w14:paraId="2C53ADF2" w14:textId="77777777" w:rsidR="00DD7606" w:rsidRDefault="00DD7606" w:rsidP="00283D41">
      <w:pPr>
        <w:autoSpaceDE w:val="0"/>
        <w:autoSpaceDN w:val="0"/>
        <w:adjustRightInd w:val="0"/>
        <w:spacing w:after="0" w:line="240" w:lineRule="auto"/>
        <w:rPr>
          <w:rFonts w:ascii="Book Antiqua" w:hAnsi="Book Antiqua"/>
          <w:b/>
          <w:bCs/>
          <w:color w:val="000000"/>
        </w:rPr>
      </w:pPr>
    </w:p>
    <w:p w14:paraId="2144EA3E" w14:textId="77777777" w:rsidR="00DD7606" w:rsidRDefault="00DD7606" w:rsidP="00283D41">
      <w:pPr>
        <w:autoSpaceDE w:val="0"/>
        <w:autoSpaceDN w:val="0"/>
        <w:adjustRightInd w:val="0"/>
        <w:spacing w:after="0" w:line="240" w:lineRule="auto"/>
        <w:rPr>
          <w:rFonts w:ascii="Book Antiqua" w:hAnsi="Book Antiqua"/>
          <w:b/>
          <w:bCs/>
          <w:color w:val="000000"/>
        </w:rPr>
      </w:pPr>
    </w:p>
    <w:p w14:paraId="6BDB1161" w14:textId="77777777" w:rsidR="00C94856" w:rsidRDefault="00C94856" w:rsidP="00283D41">
      <w:pPr>
        <w:autoSpaceDE w:val="0"/>
        <w:autoSpaceDN w:val="0"/>
        <w:adjustRightInd w:val="0"/>
        <w:spacing w:after="0" w:line="240" w:lineRule="auto"/>
        <w:rPr>
          <w:rFonts w:ascii="Book Antiqua" w:hAnsi="Book Antiqua"/>
          <w:b/>
          <w:bCs/>
          <w:color w:val="000000"/>
        </w:rPr>
      </w:pPr>
    </w:p>
    <w:p w14:paraId="4E36B3AB" w14:textId="77777777" w:rsidR="00C94856" w:rsidRDefault="00C94856" w:rsidP="00283D41">
      <w:pPr>
        <w:autoSpaceDE w:val="0"/>
        <w:autoSpaceDN w:val="0"/>
        <w:adjustRightInd w:val="0"/>
        <w:spacing w:after="0" w:line="240" w:lineRule="auto"/>
        <w:rPr>
          <w:rFonts w:ascii="Book Antiqua" w:hAnsi="Book Antiqua"/>
          <w:b/>
          <w:bCs/>
          <w:color w:val="000000"/>
        </w:rPr>
      </w:pPr>
    </w:p>
    <w:p w14:paraId="239783A9" w14:textId="77777777" w:rsidR="00C94856" w:rsidRDefault="00C94856" w:rsidP="00283D41">
      <w:pPr>
        <w:autoSpaceDE w:val="0"/>
        <w:autoSpaceDN w:val="0"/>
        <w:adjustRightInd w:val="0"/>
        <w:spacing w:after="0" w:line="240" w:lineRule="auto"/>
        <w:rPr>
          <w:rFonts w:ascii="Book Antiqua" w:hAnsi="Book Antiqua"/>
          <w:b/>
          <w:bCs/>
          <w:color w:val="000000"/>
        </w:rPr>
      </w:pPr>
    </w:p>
    <w:p w14:paraId="06A2AA63" w14:textId="77777777" w:rsidR="00DD7606" w:rsidRDefault="00DD7606" w:rsidP="00283D41">
      <w:pPr>
        <w:autoSpaceDE w:val="0"/>
        <w:autoSpaceDN w:val="0"/>
        <w:adjustRightInd w:val="0"/>
        <w:spacing w:after="0" w:line="240" w:lineRule="auto"/>
        <w:rPr>
          <w:rFonts w:ascii="Book Antiqua" w:hAnsi="Book Antiqua"/>
          <w:b/>
          <w:bCs/>
          <w:color w:val="000000"/>
        </w:rPr>
      </w:pPr>
    </w:p>
    <w:p w14:paraId="296F5016" w14:textId="77777777" w:rsidR="00DD7606" w:rsidRDefault="00DD7606" w:rsidP="00283D41">
      <w:pPr>
        <w:autoSpaceDE w:val="0"/>
        <w:autoSpaceDN w:val="0"/>
        <w:adjustRightInd w:val="0"/>
        <w:spacing w:after="0" w:line="240" w:lineRule="auto"/>
        <w:rPr>
          <w:rFonts w:ascii="Book Antiqua" w:hAnsi="Book Antiqua"/>
          <w:b/>
          <w:bCs/>
          <w:color w:val="000000"/>
        </w:rPr>
      </w:pPr>
    </w:p>
    <w:p w14:paraId="2E6037B5" w14:textId="77777777" w:rsidR="00DD7606" w:rsidRDefault="00DD7606" w:rsidP="00283D41">
      <w:pPr>
        <w:autoSpaceDE w:val="0"/>
        <w:autoSpaceDN w:val="0"/>
        <w:adjustRightInd w:val="0"/>
        <w:spacing w:after="0" w:line="240" w:lineRule="auto"/>
        <w:rPr>
          <w:rFonts w:ascii="Book Antiqua" w:hAnsi="Book Antiqua"/>
          <w:b/>
          <w:bCs/>
          <w:color w:val="000000"/>
        </w:rPr>
      </w:pPr>
    </w:p>
    <w:p w14:paraId="3C45DAD1" w14:textId="77777777" w:rsidR="00DD7606" w:rsidRDefault="00DD7606" w:rsidP="00283D41">
      <w:pPr>
        <w:autoSpaceDE w:val="0"/>
        <w:autoSpaceDN w:val="0"/>
        <w:adjustRightInd w:val="0"/>
        <w:spacing w:after="0" w:line="240" w:lineRule="auto"/>
        <w:rPr>
          <w:rFonts w:ascii="Book Antiqua" w:hAnsi="Book Antiqua"/>
          <w:b/>
          <w:bCs/>
          <w:color w:val="000000"/>
        </w:rPr>
      </w:pPr>
    </w:p>
    <w:p w14:paraId="5EE86961" w14:textId="77777777" w:rsidR="00DD7606" w:rsidRDefault="00DD7606" w:rsidP="00283D41">
      <w:pPr>
        <w:autoSpaceDE w:val="0"/>
        <w:autoSpaceDN w:val="0"/>
        <w:adjustRightInd w:val="0"/>
        <w:spacing w:after="0" w:line="240" w:lineRule="auto"/>
        <w:rPr>
          <w:rFonts w:ascii="Book Antiqua" w:hAnsi="Book Antiqua"/>
          <w:b/>
          <w:bCs/>
          <w:color w:val="000000"/>
        </w:rPr>
      </w:pPr>
    </w:p>
    <w:p w14:paraId="151F85D5" w14:textId="77777777" w:rsidR="00C94856" w:rsidRDefault="00C94856" w:rsidP="00DD7606">
      <w:pPr>
        <w:autoSpaceDE w:val="0"/>
        <w:autoSpaceDN w:val="0"/>
        <w:adjustRightInd w:val="0"/>
        <w:spacing w:after="0" w:line="240" w:lineRule="auto"/>
        <w:rPr>
          <w:rFonts w:ascii="Book Antiqua" w:hAnsi="Book Antiqua"/>
          <w:b/>
          <w:bCs/>
          <w:color w:val="000000"/>
        </w:rPr>
      </w:pPr>
    </w:p>
    <w:p w14:paraId="755DFCD0" w14:textId="77777777" w:rsidR="00C94856" w:rsidRDefault="00C94856" w:rsidP="00DD7606">
      <w:pPr>
        <w:autoSpaceDE w:val="0"/>
        <w:autoSpaceDN w:val="0"/>
        <w:adjustRightInd w:val="0"/>
        <w:spacing w:after="0" w:line="240" w:lineRule="auto"/>
        <w:rPr>
          <w:rFonts w:ascii="Book Antiqua" w:hAnsi="Book Antiqua"/>
          <w:b/>
          <w:bCs/>
          <w:color w:val="000000"/>
        </w:rPr>
      </w:pPr>
    </w:p>
    <w:p w14:paraId="31B8BFDC" w14:textId="77777777" w:rsidR="00C94856" w:rsidRDefault="00C94856" w:rsidP="00DD7606">
      <w:pPr>
        <w:autoSpaceDE w:val="0"/>
        <w:autoSpaceDN w:val="0"/>
        <w:adjustRightInd w:val="0"/>
        <w:spacing w:after="0" w:line="240" w:lineRule="auto"/>
        <w:rPr>
          <w:rFonts w:ascii="Book Antiqua" w:hAnsi="Book Antiqua"/>
          <w:b/>
          <w:bCs/>
          <w:color w:val="000000"/>
        </w:rPr>
      </w:pPr>
    </w:p>
    <w:p w14:paraId="17A51DFC" w14:textId="77777777" w:rsidR="00C94856" w:rsidRDefault="00C94856" w:rsidP="00DD7606">
      <w:pPr>
        <w:autoSpaceDE w:val="0"/>
        <w:autoSpaceDN w:val="0"/>
        <w:adjustRightInd w:val="0"/>
        <w:spacing w:after="0" w:line="240" w:lineRule="auto"/>
        <w:rPr>
          <w:rFonts w:ascii="Book Antiqua" w:hAnsi="Book Antiqua"/>
          <w:b/>
          <w:bCs/>
          <w:color w:val="000000"/>
        </w:rPr>
      </w:pPr>
    </w:p>
    <w:p w14:paraId="347C15D4" w14:textId="77777777" w:rsidR="00DD7606" w:rsidRDefault="00DD7606" w:rsidP="00DD7606">
      <w:pPr>
        <w:autoSpaceDE w:val="0"/>
        <w:autoSpaceDN w:val="0"/>
        <w:adjustRightInd w:val="0"/>
        <w:spacing w:after="0" w:line="240" w:lineRule="auto"/>
        <w:rPr>
          <w:rFonts w:ascii="Book Antiqua" w:hAnsi="Book Antiqua"/>
          <w:b/>
          <w:bCs/>
          <w:color w:val="000000"/>
        </w:rPr>
        <w:sectPr w:rsidR="00DD7606" w:rsidSect="00E26B19">
          <w:type w:val="continuous"/>
          <w:pgSz w:w="11907" w:h="16839" w:code="9"/>
          <w:pgMar w:top="720" w:right="720" w:bottom="720" w:left="1440" w:header="720" w:footer="720" w:gutter="0"/>
          <w:cols w:space="720"/>
          <w:noEndnote/>
        </w:sectPr>
      </w:pPr>
      <w:r w:rsidRPr="00E3232D">
        <w:rPr>
          <w:rFonts w:ascii="Book Antiqua" w:hAnsi="Book Antiqua"/>
          <w:b/>
          <w:bCs/>
          <w:color w:val="000000"/>
        </w:rPr>
        <w:lastRenderedPageBreak/>
        <w:t>3.3.4: Management positions HND graduates</w:t>
      </w:r>
      <w:r w:rsidRPr="00E26B19">
        <w:rPr>
          <w:rFonts w:ascii="Book Antiqua" w:hAnsi="Book Antiqua"/>
          <w:b/>
          <w:bCs/>
          <w:color w:val="000000"/>
        </w:rPr>
        <w:t xml:space="preserve"> </w:t>
      </w:r>
      <w:r>
        <w:rPr>
          <w:rFonts w:ascii="Book Antiqua" w:hAnsi="Book Antiqua"/>
          <w:b/>
          <w:bCs/>
          <w:color w:val="000000"/>
        </w:rPr>
        <w:t>are trained for</w:t>
      </w:r>
    </w:p>
    <w:p w14:paraId="175E3238" w14:textId="77777777" w:rsidR="00DD7606" w:rsidRDefault="00DD7606" w:rsidP="00283D41">
      <w:pPr>
        <w:autoSpaceDE w:val="0"/>
        <w:autoSpaceDN w:val="0"/>
        <w:adjustRightInd w:val="0"/>
        <w:spacing w:after="0" w:line="240" w:lineRule="auto"/>
        <w:rPr>
          <w:rFonts w:ascii="Book Antiqua" w:hAnsi="Book Antiqua"/>
          <w:b/>
          <w:bCs/>
          <w:color w:val="000000"/>
        </w:rPr>
      </w:pPr>
    </w:p>
    <w:tbl>
      <w:tblPr>
        <w:tblpPr w:leftFromText="180" w:rightFromText="180" w:vertAnchor="page" w:horzAnchor="margin" w:tblpY="2568"/>
        <w:tblW w:w="8172" w:type="dxa"/>
        <w:tblBorders>
          <w:top w:val="single" w:sz="8" w:space="0" w:color="000000"/>
          <w:bottom w:val="single" w:sz="8" w:space="0" w:color="000000"/>
        </w:tblBorders>
        <w:tblLayout w:type="fixed"/>
        <w:tblLook w:val="01E0" w:firstRow="1" w:lastRow="1" w:firstColumn="1" w:lastColumn="1" w:noHBand="0" w:noVBand="0"/>
      </w:tblPr>
      <w:tblGrid>
        <w:gridCol w:w="1918"/>
        <w:gridCol w:w="1743"/>
        <w:gridCol w:w="1183"/>
        <w:gridCol w:w="1621"/>
        <w:gridCol w:w="1707"/>
      </w:tblGrid>
      <w:tr w:rsidR="00190244" w:rsidRPr="00AE6D8E" w14:paraId="37F27865" w14:textId="77777777" w:rsidTr="00190244">
        <w:trPr>
          <w:trHeight w:val="510"/>
        </w:trPr>
        <w:tc>
          <w:tcPr>
            <w:tcW w:w="1918" w:type="dxa"/>
            <w:tcBorders>
              <w:top w:val="single" w:sz="8" w:space="0" w:color="000000"/>
              <w:left w:val="nil"/>
              <w:bottom w:val="single" w:sz="8" w:space="0" w:color="000000"/>
              <w:right w:val="nil"/>
            </w:tcBorders>
            <w:shd w:val="clear" w:color="auto" w:fill="auto"/>
          </w:tcPr>
          <w:p w14:paraId="13B95DC5" w14:textId="77777777" w:rsidR="00190244" w:rsidRPr="00AE6D8E" w:rsidRDefault="00190244" w:rsidP="00190244">
            <w:pPr>
              <w:autoSpaceDE w:val="0"/>
              <w:autoSpaceDN w:val="0"/>
              <w:adjustRightInd w:val="0"/>
              <w:spacing w:after="0" w:line="240" w:lineRule="auto"/>
              <w:jc w:val="both"/>
              <w:rPr>
                <w:rFonts w:ascii="Book Antiqua" w:hAnsi="Book Antiqua"/>
                <w:b/>
                <w:bCs/>
                <w:color w:val="000000"/>
              </w:rPr>
            </w:pPr>
            <w:r w:rsidRPr="00AE6D8E">
              <w:rPr>
                <w:rFonts w:ascii="Book Antiqua" w:hAnsi="Book Antiqua"/>
                <w:b/>
                <w:bCs/>
                <w:color w:val="000000"/>
              </w:rPr>
              <w:t>Levels</w:t>
            </w:r>
          </w:p>
        </w:tc>
        <w:tc>
          <w:tcPr>
            <w:tcW w:w="1743" w:type="dxa"/>
            <w:tcBorders>
              <w:top w:val="single" w:sz="8" w:space="0" w:color="000000"/>
              <w:left w:val="nil"/>
              <w:bottom w:val="single" w:sz="8" w:space="0" w:color="000000"/>
              <w:right w:val="nil"/>
            </w:tcBorders>
            <w:shd w:val="clear" w:color="auto" w:fill="auto"/>
          </w:tcPr>
          <w:p w14:paraId="494F16B9"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Frequency</w:t>
            </w:r>
          </w:p>
        </w:tc>
        <w:tc>
          <w:tcPr>
            <w:tcW w:w="1183" w:type="dxa"/>
            <w:tcBorders>
              <w:top w:val="single" w:sz="8" w:space="0" w:color="000000"/>
              <w:left w:val="nil"/>
              <w:bottom w:val="single" w:sz="8" w:space="0" w:color="000000"/>
              <w:right w:val="nil"/>
            </w:tcBorders>
            <w:shd w:val="clear" w:color="auto" w:fill="auto"/>
          </w:tcPr>
          <w:p w14:paraId="7A278DF9"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Percent</w:t>
            </w:r>
          </w:p>
        </w:tc>
        <w:tc>
          <w:tcPr>
            <w:tcW w:w="1621" w:type="dxa"/>
            <w:tcBorders>
              <w:top w:val="single" w:sz="8" w:space="0" w:color="000000"/>
              <w:left w:val="nil"/>
              <w:bottom w:val="single" w:sz="8" w:space="0" w:color="000000"/>
              <w:right w:val="nil"/>
            </w:tcBorders>
            <w:shd w:val="clear" w:color="auto" w:fill="auto"/>
          </w:tcPr>
          <w:p w14:paraId="5A7E7055"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Valid Percent</w:t>
            </w:r>
          </w:p>
        </w:tc>
        <w:tc>
          <w:tcPr>
            <w:tcW w:w="1707" w:type="dxa"/>
            <w:tcBorders>
              <w:top w:val="single" w:sz="8" w:space="0" w:color="000000"/>
              <w:left w:val="nil"/>
              <w:bottom w:val="single" w:sz="8" w:space="0" w:color="000000"/>
              <w:right w:val="nil"/>
            </w:tcBorders>
            <w:shd w:val="clear" w:color="auto" w:fill="auto"/>
          </w:tcPr>
          <w:p w14:paraId="3FA855DB"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Cumulative Percent</w:t>
            </w:r>
          </w:p>
        </w:tc>
      </w:tr>
      <w:tr w:rsidR="00190244" w:rsidRPr="00AE6D8E" w14:paraId="158D951E" w14:textId="77777777" w:rsidTr="00190244">
        <w:trPr>
          <w:trHeight w:val="348"/>
        </w:trPr>
        <w:tc>
          <w:tcPr>
            <w:tcW w:w="1918" w:type="dxa"/>
            <w:tcBorders>
              <w:left w:val="nil"/>
              <w:right w:val="nil"/>
            </w:tcBorders>
            <w:shd w:val="clear" w:color="auto" w:fill="auto"/>
          </w:tcPr>
          <w:p w14:paraId="6C017941"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Top Management</w:t>
            </w:r>
          </w:p>
        </w:tc>
        <w:tc>
          <w:tcPr>
            <w:tcW w:w="1743" w:type="dxa"/>
            <w:tcBorders>
              <w:left w:val="nil"/>
              <w:bottom w:val="nil"/>
              <w:right w:val="nil"/>
            </w:tcBorders>
            <w:shd w:val="clear" w:color="auto" w:fill="auto"/>
          </w:tcPr>
          <w:p w14:paraId="0F95A628" w14:textId="77777777" w:rsidR="00190244" w:rsidRPr="00AE6D8E" w:rsidRDefault="00190244" w:rsidP="00190244">
            <w:pPr>
              <w:autoSpaceDE w:val="0"/>
              <w:autoSpaceDN w:val="0"/>
              <w:adjustRightInd w:val="0"/>
              <w:spacing w:after="0" w:line="240" w:lineRule="auto"/>
              <w:jc w:val="both"/>
              <w:rPr>
                <w:rFonts w:ascii="Book Antiqua" w:hAnsi="Book Antiqua" w:cs="Arial"/>
                <w:color w:val="000000"/>
              </w:rPr>
            </w:pPr>
            <w:r w:rsidRPr="00AE6D8E">
              <w:rPr>
                <w:rFonts w:ascii="Book Antiqua" w:hAnsi="Book Antiqua" w:cs="Arial"/>
                <w:color w:val="000000"/>
              </w:rPr>
              <w:t>5347</w:t>
            </w:r>
          </w:p>
        </w:tc>
        <w:tc>
          <w:tcPr>
            <w:tcW w:w="1183" w:type="dxa"/>
            <w:tcBorders>
              <w:left w:val="nil"/>
              <w:right w:val="nil"/>
            </w:tcBorders>
            <w:shd w:val="clear" w:color="auto" w:fill="auto"/>
          </w:tcPr>
          <w:p w14:paraId="7B14039A" w14:textId="77777777" w:rsidR="00190244" w:rsidRPr="00AE6D8E" w:rsidRDefault="00190244" w:rsidP="00190244">
            <w:pPr>
              <w:autoSpaceDE w:val="0"/>
              <w:autoSpaceDN w:val="0"/>
              <w:adjustRightInd w:val="0"/>
              <w:spacing w:after="0" w:line="240" w:lineRule="auto"/>
              <w:jc w:val="both"/>
              <w:rPr>
                <w:rFonts w:ascii="Book Antiqua" w:hAnsi="Book Antiqua" w:cs="Arial"/>
                <w:color w:val="000000"/>
              </w:rPr>
            </w:pPr>
            <w:r w:rsidRPr="00AE6D8E">
              <w:rPr>
                <w:rFonts w:ascii="Book Antiqua" w:hAnsi="Book Antiqua" w:cs="Arial"/>
                <w:color w:val="000000"/>
              </w:rPr>
              <w:t>31.5</w:t>
            </w:r>
          </w:p>
        </w:tc>
        <w:tc>
          <w:tcPr>
            <w:tcW w:w="1621" w:type="dxa"/>
            <w:tcBorders>
              <w:left w:val="nil"/>
              <w:bottom w:val="nil"/>
              <w:right w:val="nil"/>
            </w:tcBorders>
            <w:shd w:val="clear" w:color="auto" w:fill="auto"/>
          </w:tcPr>
          <w:p w14:paraId="49DB1831" w14:textId="77777777" w:rsidR="00190244" w:rsidRPr="00AE6D8E" w:rsidRDefault="00190244" w:rsidP="00190244">
            <w:pPr>
              <w:autoSpaceDE w:val="0"/>
              <w:autoSpaceDN w:val="0"/>
              <w:adjustRightInd w:val="0"/>
              <w:spacing w:after="0" w:line="240" w:lineRule="auto"/>
              <w:jc w:val="both"/>
              <w:rPr>
                <w:rFonts w:ascii="Book Antiqua" w:hAnsi="Book Antiqua" w:cs="Arial"/>
                <w:color w:val="000000"/>
              </w:rPr>
            </w:pPr>
            <w:r w:rsidRPr="00AE6D8E">
              <w:rPr>
                <w:rFonts w:ascii="Book Antiqua" w:hAnsi="Book Antiqua" w:cs="Arial"/>
                <w:color w:val="000000"/>
              </w:rPr>
              <w:t>31.5</w:t>
            </w:r>
          </w:p>
        </w:tc>
        <w:tc>
          <w:tcPr>
            <w:tcW w:w="1707" w:type="dxa"/>
            <w:tcBorders>
              <w:left w:val="nil"/>
              <w:right w:val="nil"/>
            </w:tcBorders>
            <w:shd w:val="clear" w:color="auto" w:fill="auto"/>
          </w:tcPr>
          <w:p w14:paraId="753BE358"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31.5</w:t>
            </w:r>
          </w:p>
        </w:tc>
      </w:tr>
      <w:tr w:rsidR="00190244" w:rsidRPr="00AE6D8E" w14:paraId="01345C8A" w14:textId="77777777" w:rsidTr="00190244">
        <w:trPr>
          <w:trHeight w:val="711"/>
        </w:trPr>
        <w:tc>
          <w:tcPr>
            <w:tcW w:w="1918" w:type="dxa"/>
            <w:shd w:val="clear" w:color="auto" w:fill="auto"/>
          </w:tcPr>
          <w:p w14:paraId="739E53F9"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Middle Management</w:t>
            </w:r>
          </w:p>
        </w:tc>
        <w:tc>
          <w:tcPr>
            <w:tcW w:w="1743" w:type="dxa"/>
            <w:tcBorders>
              <w:bottom w:val="nil"/>
            </w:tcBorders>
            <w:shd w:val="clear" w:color="auto" w:fill="auto"/>
          </w:tcPr>
          <w:p w14:paraId="1C085A84" w14:textId="77777777" w:rsidR="00190244" w:rsidRPr="00AE6D8E" w:rsidRDefault="00190244" w:rsidP="00190244">
            <w:pPr>
              <w:autoSpaceDE w:val="0"/>
              <w:autoSpaceDN w:val="0"/>
              <w:adjustRightInd w:val="0"/>
              <w:spacing w:after="0" w:line="240" w:lineRule="auto"/>
              <w:jc w:val="both"/>
              <w:rPr>
                <w:rFonts w:ascii="Book Antiqua" w:hAnsi="Book Antiqua" w:cs="Arial"/>
                <w:color w:val="000000"/>
              </w:rPr>
            </w:pPr>
            <w:r w:rsidRPr="00AE6D8E">
              <w:rPr>
                <w:rFonts w:ascii="Book Antiqua" w:hAnsi="Book Antiqua" w:cs="Arial"/>
                <w:color w:val="000000"/>
              </w:rPr>
              <w:t>6041</w:t>
            </w:r>
          </w:p>
        </w:tc>
        <w:tc>
          <w:tcPr>
            <w:tcW w:w="1183" w:type="dxa"/>
            <w:shd w:val="clear" w:color="auto" w:fill="auto"/>
          </w:tcPr>
          <w:p w14:paraId="07853287" w14:textId="77777777" w:rsidR="00190244" w:rsidRPr="00AE6D8E" w:rsidRDefault="00190244" w:rsidP="00190244">
            <w:pPr>
              <w:autoSpaceDE w:val="0"/>
              <w:autoSpaceDN w:val="0"/>
              <w:adjustRightInd w:val="0"/>
              <w:spacing w:after="0" w:line="240" w:lineRule="auto"/>
              <w:jc w:val="both"/>
              <w:rPr>
                <w:rFonts w:ascii="Book Antiqua" w:hAnsi="Book Antiqua" w:cs="Arial"/>
                <w:color w:val="000000"/>
              </w:rPr>
            </w:pPr>
            <w:r w:rsidRPr="00AE6D8E">
              <w:rPr>
                <w:rFonts w:ascii="Book Antiqua" w:hAnsi="Book Antiqua" w:cs="Arial"/>
                <w:color w:val="000000"/>
              </w:rPr>
              <w:t>35.6</w:t>
            </w:r>
          </w:p>
        </w:tc>
        <w:tc>
          <w:tcPr>
            <w:tcW w:w="1621" w:type="dxa"/>
            <w:tcBorders>
              <w:bottom w:val="nil"/>
            </w:tcBorders>
            <w:shd w:val="clear" w:color="auto" w:fill="auto"/>
          </w:tcPr>
          <w:p w14:paraId="1BF01DD7" w14:textId="77777777" w:rsidR="00190244" w:rsidRPr="00AE6D8E" w:rsidRDefault="00190244" w:rsidP="00190244">
            <w:pPr>
              <w:autoSpaceDE w:val="0"/>
              <w:autoSpaceDN w:val="0"/>
              <w:adjustRightInd w:val="0"/>
              <w:spacing w:after="0" w:line="240" w:lineRule="auto"/>
              <w:jc w:val="both"/>
              <w:rPr>
                <w:rFonts w:ascii="Book Antiqua" w:hAnsi="Book Antiqua" w:cs="Arial"/>
                <w:color w:val="000000"/>
              </w:rPr>
            </w:pPr>
            <w:r w:rsidRPr="00AE6D8E">
              <w:rPr>
                <w:rFonts w:ascii="Book Antiqua" w:hAnsi="Book Antiqua" w:cs="Arial"/>
                <w:color w:val="000000"/>
              </w:rPr>
              <w:t>35.6</w:t>
            </w:r>
          </w:p>
        </w:tc>
        <w:tc>
          <w:tcPr>
            <w:tcW w:w="1707" w:type="dxa"/>
            <w:shd w:val="clear" w:color="auto" w:fill="auto"/>
          </w:tcPr>
          <w:p w14:paraId="65B58ECE"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67.2</w:t>
            </w:r>
          </w:p>
        </w:tc>
      </w:tr>
      <w:tr w:rsidR="00190244" w:rsidRPr="00AE6D8E" w14:paraId="705712BC" w14:textId="77777777" w:rsidTr="00190244">
        <w:trPr>
          <w:trHeight w:val="696"/>
        </w:trPr>
        <w:tc>
          <w:tcPr>
            <w:tcW w:w="1918" w:type="dxa"/>
            <w:tcBorders>
              <w:left w:val="nil"/>
              <w:right w:val="nil"/>
            </w:tcBorders>
            <w:shd w:val="clear" w:color="auto" w:fill="auto"/>
          </w:tcPr>
          <w:p w14:paraId="50CEDC98"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Lower management</w:t>
            </w:r>
          </w:p>
        </w:tc>
        <w:tc>
          <w:tcPr>
            <w:tcW w:w="1743" w:type="dxa"/>
            <w:tcBorders>
              <w:left w:val="nil"/>
              <w:bottom w:val="nil"/>
              <w:right w:val="nil"/>
            </w:tcBorders>
            <w:shd w:val="clear" w:color="auto" w:fill="auto"/>
          </w:tcPr>
          <w:p w14:paraId="2AF1917B" w14:textId="77777777" w:rsidR="00190244" w:rsidRPr="00AE6D8E" w:rsidRDefault="00190244" w:rsidP="00190244">
            <w:pPr>
              <w:autoSpaceDE w:val="0"/>
              <w:autoSpaceDN w:val="0"/>
              <w:adjustRightInd w:val="0"/>
              <w:spacing w:after="0" w:line="240" w:lineRule="auto"/>
              <w:jc w:val="both"/>
              <w:rPr>
                <w:rFonts w:ascii="Book Antiqua" w:hAnsi="Book Antiqua" w:cs="Arial"/>
                <w:color w:val="000000"/>
              </w:rPr>
            </w:pPr>
            <w:r w:rsidRPr="00AE6D8E">
              <w:rPr>
                <w:rFonts w:ascii="Book Antiqua" w:hAnsi="Book Antiqua" w:cs="Arial"/>
                <w:color w:val="000000"/>
              </w:rPr>
              <w:t>5561</w:t>
            </w:r>
          </w:p>
        </w:tc>
        <w:tc>
          <w:tcPr>
            <w:tcW w:w="1183" w:type="dxa"/>
            <w:tcBorders>
              <w:left w:val="nil"/>
              <w:right w:val="nil"/>
            </w:tcBorders>
            <w:shd w:val="clear" w:color="auto" w:fill="auto"/>
          </w:tcPr>
          <w:p w14:paraId="1066EDF5" w14:textId="77777777" w:rsidR="00190244" w:rsidRPr="00AE6D8E" w:rsidRDefault="00190244" w:rsidP="00190244">
            <w:pPr>
              <w:autoSpaceDE w:val="0"/>
              <w:autoSpaceDN w:val="0"/>
              <w:adjustRightInd w:val="0"/>
              <w:spacing w:after="0" w:line="240" w:lineRule="auto"/>
              <w:jc w:val="both"/>
              <w:rPr>
                <w:rFonts w:ascii="Book Antiqua" w:hAnsi="Book Antiqua" w:cs="Arial"/>
                <w:color w:val="000000"/>
              </w:rPr>
            </w:pPr>
            <w:r w:rsidRPr="00AE6D8E">
              <w:rPr>
                <w:rFonts w:ascii="Book Antiqua" w:hAnsi="Book Antiqua" w:cs="Arial"/>
                <w:color w:val="000000"/>
              </w:rPr>
              <w:t>32.8</w:t>
            </w:r>
          </w:p>
        </w:tc>
        <w:tc>
          <w:tcPr>
            <w:tcW w:w="1621" w:type="dxa"/>
            <w:tcBorders>
              <w:left w:val="nil"/>
              <w:bottom w:val="nil"/>
              <w:right w:val="nil"/>
            </w:tcBorders>
            <w:shd w:val="clear" w:color="auto" w:fill="auto"/>
          </w:tcPr>
          <w:p w14:paraId="57C3946A" w14:textId="77777777" w:rsidR="00190244" w:rsidRPr="00AE6D8E" w:rsidRDefault="00190244" w:rsidP="00190244">
            <w:pPr>
              <w:autoSpaceDE w:val="0"/>
              <w:autoSpaceDN w:val="0"/>
              <w:adjustRightInd w:val="0"/>
              <w:spacing w:after="0" w:line="240" w:lineRule="auto"/>
              <w:jc w:val="both"/>
              <w:rPr>
                <w:rFonts w:ascii="Book Antiqua" w:hAnsi="Book Antiqua" w:cs="Arial"/>
                <w:color w:val="000000"/>
              </w:rPr>
            </w:pPr>
            <w:r w:rsidRPr="00AE6D8E">
              <w:rPr>
                <w:rFonts w:ascii="Book Antiqua" w:hAnsi="Book Antiqua" w:cs="Arial"/>
                <w:color w:val="000000"/>
              </w:rPr>
              <w:t>32.8</w:t>
            </w:r>
          </w:p>
        </w:tc>
        <w:tc>
          <w:tcPr>
            <w:tcW w:w="1707" w:type="dxa"/>
            <w:tcBorders>
              <w:left w:val="nil"/>
              <w:right w:val="nil"/>
            </w:tcBorders>
            <w:shd w:val="clear" w:color="auto" w:fill="auto"/>
          </w:tcPr>
          <w:p w14:paraId="05217A22"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100.0</w:t>
            </w:r>
          </w:p>
        </w:tc>
      </w:tr>
      <w:tr w:rsidR="00190244" w:rsidRPr="00AE6D8E" w14:paraId="1D849DC3" w14:textId="77777777" w:rsidTr="00190244">
        <w:trPr>
          <w:trHeight w:val="365"/>
        </w:trPr>
        <w:tc>
          <w:tcPr>
            <w:tcW w:w="1918" w:type="dxa"/>
            <w:tcBorders>
              <w:top w:val="single" w:sz="8" w:space="0" w:color="000000"/>
              <w:left w:val="nil"/>
              <w:bottom w:val="single" w:sz="8" w:space="0" w:color="000000"/>
              <w:right w:val="nil"/>
            </w:tcBorders>
            <w:shd w:val="clear" w:color="auto" w:fill="auto"/>
          </w:tcPr>
          <w:p w14:paraId="5776B2D4"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Total</w:t>
            </w:r>
          </w:p>
        </w:tc>
        <w:tc>
          <w:tcPr>
            <w:tcW w:w="1743" w:type="dxa"/>
            <w:tcBorders>
              <w:top w:val="single" w:sz="8" w:space="0" w:color="000000"/>
              <w:left w:val="nil"/>
              <w:bottom w:val="single" w:sz="8" w:space="0" w:color="000000"/>
              <w:right w:val="nil"/>
            </w:tcBorders>
            <w:shd w:val="clear" w:color="auto" w:fill="auto"/>
          </w:tcPr>
          <w:p w14:paraId="7FB744A8"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16949</w:t>
            </w:r>
          </w:p>
        </w:tc>
        <w:tc>
          <w:tcPr>
            <w:tcW w:w="1183" w:type="dxa"/>
            <w:tcBorders>
              <w:top w:val="single" w:sz="8" w:space="0" w:color="000000"/>
              <w:left w:val="nil"/>
              <w:bottom w:val="single" w:sz="8" w:space="0" w:color="000000"/>
              <w:right w:val="nil"/>
            </w:tcBorders>
            <w:shd w:val="clear" w:color="auto" w:fill="auto"/>
          </w:tcPr>
          <w:p w14:paraId="34D1D279"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100.0</w:t>
            </w:r>
          </w:p>
        </w:tc>
        <w:tc>
          <w:tcPr>
            <w:tcW w:w="1621" w:type="dxa"/>
            <w:tcBorders>
              <w:top w:val="single" w:sz="8" w:space="0" w:color="000000"/>
              <w:left w:val="nil"/>
              <w:bottom w:val="single" w:sz="8" w:space="0" w:color="000000"/>
              <w:right w:val="nil"/>
            </w:tcBorders>
            <w:shd w:val="clear" w:color="auto" w:fill="auto"/>
          </w:tcPr>
          <w:p w14:paraId="70844618" w14:textId="77777777" w:rsidR="00190244" w:rsidRPr="00AE6D8E" w:rsidRDefault="00190244" w:rsidP="00190244">
            <w:pPr>
              <w:autoSpaceDE w:val="0"/>
              <w:autoSpaceDN w:val="0"/>
              <w:adjustRightInd w:val="0"/>
              <w:spacing w:after="0" w:line="240" w:lineRule="auto"/>
              <w:jc w:val="both"/>
              <w:rPr>
                <w:rFonts w:ascii="Book Antiqua" w:hAnsi="Book Antiqua" w:cs="Arial"/>
                <w:b/>
                <w:bCs/>
                <w:color w:val="000000"/>
              </w:rPr>
            </w:pPr>
            <w:r w:rsidRPr="00AE6D8E">
              <w:rPr>
                <w:rFonts w:ascii="Book Antiqua" w:hAnsi="Book Antiqua" w:cs="Arial"/>
                <w:b/>
                <w:bCs/>
                <w:color w:val="000000"/>
              </w:rPr>
              <w:t>100.0</w:t>
            </w:r>
          </w:p>
        </w:tc>
        <w:tc>
          <w:tcPr>
            <w:tcW w:w="1707" w:type="dxa"/>
            <w:tcBorders>
              <w:top w:val="single" w:sz="8" w:space="0" w:color="000000"/>
              <w:left w:val="nil"/>
              <w:bottom w:val="single" w:sz="8" w:space="0" w:color="000000"/>
              <w:right w:val="nil"/>
            </w:tcBorders>
            <w:shd w:val="clear" w:color="auto" w:fill="auto"/>
          </w:tcPr>
          <w:p w14:paraId="1D81F444" w14:textId="77777777" w:rsidR="00190244" w:rsidRPr="00AE6D8E" w:rsidRDefault="00190244" w:rsidP="00190244">
            <w:pPr>
              <w:autoSpaceDE w:val="0"/>
              <w:autoSpaceDN w:val="0"/>
              <w:adjustRightInd w:val="0"/>
              <w:spacing w:after="0" w:line="240" w:lineRule="auto"/>
              <w:jc w:val="both"/>
              <w:rPr>
                <w:rFonts w:ascii="Book Antiqua" w:hAnsi="Book Antiqua"/>
                <w:b/>
                <w:bCs/>
                <w:color w:val="000000"/>
              </w:rPr>
            </w:pPr>
          </w:p>
        </w:tc>
      </w:tr>
    </w:tbl>
    <w:p w14:paraId="03A4F924" w14:textId="77777777" w:rsidR="00DD7606" w:rsidRDefault="00DD7606" w:rsidP="00283D41">
      <w:pPr>
        <w:autoSpaceDE w:val="0"/>
        <w:autoSpaceDN w:val="0"/>
        <w:adjustRightInd w:val="0"/>
        <w:spacing w:after="0" w:line="240" w:lineRule="auto"/>
        <w:rPr>
          <w:rFonts w:ascii="Book Antiqua" w:hAnsi="Book Antiqua"/>
          <w:b/>
          <w:bCs/>
          <w:color w:val="000000"/>
        </w:rPr>
      </w:pPr>
    </w:p>
    <w:p w14:paraId="6AF68F80" w14:textId="77777777" w:rsidR="00DD7606" w:rsidRDefault="00DD7606" w:rsidP="00283D41">
      <w:pPr>
        <w:autoSpaceDE w:val="0"/>
        <w:autoSpaceDN w:val="0"/>
        <w:adjustRightInd w:val="0"/>
        <w:spacing w:after="0" w:line="240" w:lineRule="auto"/>
        <w:rPr>
          <w:rFonts w:ascii="Book Antiqua" w:hAnsi="Book Antiqua"/>
          <w:b/>
          <w:bCs/>
          <w:color w:val="000000"/>
        </w:rPr>
      </w:pPr>
    </w:p>
    <w:p w14:paraId="0FEC0EE6" w14:textId="77777777" w:rsidR="00DD7606" w:rsidRDefault="00DD7606" w:rsidP="00283D41">
      <w:pPr>
        <w:autoSpaceDE w:val="0"/>
        <w:autoSpaceDN w:val="0"/>
        <w:adjustRightInd w:val="0"/>
        <w:spacing w:after="0" w:line="240" w:lineRule="auto"/>
        <w:rPr>
          <w:rFonts w:ascii="Book Antiqua" w:hAnsi="Book Antiqua"/>
          <w:b/>
          <w:bCs/>
          <w:color w:val="000000"/>
        </w:rPr>
      </w:pPr>
    </w:p>
    <w:p w14:paraId="6E044885" w14:textId="77777777" w:rsidR="00DD7606" w:rsidRDefault="00DD7606" w:rsidP="00283D41">
      <w:pPr>
        <w:autoSpaceDE w:val="0"/>
        <w:autoSpaceDN w:val="0"/>
        <w:adjustRightInd w:val="0"/>
        <w:spacing w:after="0" w:line="240" w:lineRule="auto"/>
        <w:rPr>
          <w:rFonts w:ascii="Book Antiqua" w:hAnsi="Book Antiqua"/>
          <w:b/>
          <w:bCs/>
          <w:color w:val="000000"/>
        </w:rPr>
      </w:pPr>
    </w:p>
    <w:p w14:paraId="355F14A6" w14:textId="77777777" w:rsidR="00DD7606" w:rsidRDefault="00DD7606" w:rsidP="00283D41">
      <w:pPr>
        <w:autoSpaceDE w:val="0"/>
        <w:autoSpaceDN w:val="0"/>
        <w:adjustRightInd w:val="0"/>
        <w:spacing w:after="0" w:line="240" w:lineRule="auto"/>
        <w:rPr>
          <w:rFonts w:ascii="Book Antiqua" w:hAnsi="Book Antiqua"/>
          <w:b/>
          <w:bCs/>
          <w:color w:val="000000"/>
        </w:rPr>
      </w:pPr>
    </w:p>
    <w:p w14:paraId="1BA7E160" w14:textId="77777777" w:rsidR="00DD7606" w:rsidRDefault="00DD7606" w:rsidP="00283D41">
      <w:pPr>
        <w:autoSpaceDE w:val="0"/>
        <w:autoSpaceDN w:val="0"/>
        <w:adjustRightInd w:val="0"/>
        <w:spacing w:after="0" w:line="240" w:lineRule="auto"/>
        <w:rPr>
          <w:rFonts w:ascii="Book Antiqua" w:hAnsi="Book Antiqua"/>
          <w:b/>
          <w:bCs/>
          <w:color w:val="000000"/>
        </w:rPr>
      </w:pPr>
    </w:p>
    <w:p w14:paraId="127DD4C7" w14:textId="77777777" w:rsidR="00DD7606" w:rsidRDefault="00DD7606" w:rsidP="00283D41">
      <w:pPr>
        <w:autoSpaceDE w:val="0"/>
        <w:autoSpaceDN w:val="0"/>
        <w:adjustRightInd w:val="0"/>
        <w:spacing w:after="0" w:line="240" w:lineRule="auto"/>
        <w:rPr>
          <w:rFonts w:ascii="Book Antiqua" w:hAnsi="Book Antiqua"/>
          <w:b/>
          <w:bCs/>
          <w:color w:val="000000"/>
        </w:rPr>
      </w:pPr>
    </w:p>
    <w:p w14:paraId="005892EA" w14:textId="77777777" w:rsidR="00DD7606" w:rsidRDefault="00DD7606" w:rsidP="00283D41">
      <w:pPr>
        <w:autoSpaceDE w:val="0"/>
        <w:autoSpaceDN w:val="0"/>
        <w:adjustRightInd w:val="0"/>
        <w:spacing w:after="0" w:line="240" w:lineRule="auto"/>
        <w:rPr>
          <w:rFonts w:ascii="Book Antiqua" w:hAnsi="Book Antiqua"/>
          <w:b/>
          <w:bCs/>
          <w:color w:val="000000"/>
        </w:rPr>
      </w:pPr>
    </w:p>
    <w:p w14:paraId="6108CC75" w14:textId="77777777" w:rsidR="00DD7606" w:rsidRDefault="00DD7606" w:rsidP="00283D41">
      <w:pPr>
        <w:autoSpaceDE w:val="0"/>
        <w:autoSpaceDN w:val="0"/>
        <w:adjustRightInd w:val="0"/>
        <w:spacing w:after="0" w:line="240" w:lineRule="auto"/>
        <w:rPr>
          <w:rFonts w:ascii="Book Antiqua" w:hAnsi="Book Antiqua"/>
          <w:b/>
          <w:bCs/>
          <w:color w:val="000000"/>
        </w:rPr>
      </w:pPr>
    </w:p>
    <w:p w14:paraId="2998A037" w14:textId="77777777" w:rsidR="00DD7606" w:rsidRDefault="00DD7606" w:rsidP="00283D41">
      <w:pPr>
        <w:autoSpaceDE w:val="0"/>
        <w:autoSpaceDN w:val="0"/>
        <w:adjustRightInd w:val="0"/>
        <w:spacing w:after="0" w:line="240" w:lineRule="auto"/>
        <w:rPr>
          <w:rFonts w:ascii="Book Antiqua" w:hAnsi="Book Antiqua"/>
          <w:b/>
          <w:bCs/>
          <w:color w:val="000000"/>
        </w:rPr>
      </w:pPr>
    </w:p>
    <w:p w14:paraId="5F471B92" w14:textId="77777777" w:rsidR="00DD7606" w:rsidRDefault="00DD7606" w:rsidP="00283D41">
      <w:pPr>
        <w:autoSpaceDE w:val="0"/>
        <w:autoSpaceDN w:val="0"/>
        <w:adjustRightInd w:val="0"/>
        <w:spacing w:after="0" w:line="240" w:lineRule="auto"/>
        <w:rPr>
          <w:rFonts w:ascii="Book Antiqua" w:hAnsi="Book Antiqua"/>
          <w:b/>
          <w:bCs/>
          <w:color w:val="000000"/>
        </w:rPr>
      </w:pPr>
    </w:p>
    <w:p w14:paraId="45F995B7" w14:textId="77777777" w:rsidR="00E26B19" w:rsidRPr="00E26B19" w:rsidRDefault="00E26B19" w:rsidP="00283D41">
      <w:pPr>
        <w:autoSpaceDE w:val="0"/>
        <w:autoSpaceDN w:val="0"/>
        <w:adjustRightInd w:val="0"/>
        <w:spacing w:after="0" w:line="240" w:lineRule="auto"/>
        <w:rPr>
          <w:rFonts w:ascii="Book Antiqua" w:hAnsi="Book Antiqua"/>
          <w:b/>
          <w:bCs/>
          <w:color w:val="000000"/>
          <w:sz w:val="8"/>
        </w:rPr>
        <w:sectPr w:rsidR="00E26B19" w:rsidRPr="00E26B19" w:rsidSect="00E26B19">
          <w:type w:val="continuous"/>
          <w:pgSz w:w="11907" w:h="16839" w:code="9"/>
          <w:pgMar w:top="720" w:right="720" w:bottom="720" w:left="1440" w:header="720" w:footer="720" w:gutter="0"/>
          <w:cols w:space="720"/>
          <w:noEndnote/>
        </w:sectPr>
      </w:pPr>
    </w:p>
    <w:p w14:paraId="12F179FB" w14:textId="77777777" w:rsidR="00AE6D8E" w:rsidRPr="004050BC" w:rsidRDefault="009C02BF" w:rsidP="004050BC">
      <w:pPr>
        <w:autoSpaceDE w:val="0"/>
        <w:autoSpaceDN w:val="0"/>
        <w:adjustRightInd w:val="0"/>
        <w:spacing w:after="0" w:line="240" w:lineRule="auto"/>
        <w:rPr>
          <w:rFonts w:ascii="Book Antiqua" w:hAnsi="Book Antiqua"/>
        </w:rPr>
        <w:sectPr w:rsidR="00AE6D8E" w:rsidRPr="004050BC" w:rsidSect="00747426">
          <w:type w:val="continuous"/>
          <w:pgSz w:w="11907" w:h="16839" w:code="9"/>
          <w:pgMar w:top="720" w:right="720" w:bottom="720" w:left="1440" w:header="720" w:footer="720" w:gutter="0"/>
          <w:cols w:space="720"/>
          <w:noEndnote/>
        </w:sectPr>
      </w:pPr>
      <w:r>
        <w:rPr>
          <w:rFonts w:ascii="Book Antiqua" w:hAnsi="Book Antiqua"/>
        </w:rPr>
        <w:t>Source: Field Survey, 2012</w:t>
      </w:r>
    </w:p>
    <w:p w14:paraId="54E14642" w14:textId="77777777" w:rsidR="00E26B19" w:rsidRPr="00E26B19" w:rsidRDefault="00E26B19" w:rsidP="00E26B19">
      <w:pPr>
        <w:autoSpaceDE w:val="0"/>
        <w:autoSpaceDN w:val="0"/>
        <w:adjustRightInd w:val="0"/>
        <w:spacing w:after="0" w:line="240" w:lineRule="auto"/>
        <w:ind w:left="720"/>
        <w:rPr>
          <w:rFonts w:ascii="Book Antiqua" w:hAnsi="Book Antiqua"/>
          <w:b/>
          <w:bCs/>
          <w:color w:val="000000"/>
          <w:sz w:val="14"/>
        </w:rPr>
      </w:pPr>
    </w:p>
    <w:p w14:paraId="61513508" w14:textId="77777777" w:rsidR="00283D41" w:rsidRDefault="00283D41" w:rsidP="00E26B19">
      <w:pPr>
        <w:autoSpaceDE w:val="0"/>
        <w:autoSpaceDN w:val="0"/>
        <w:adjustRightInd w:val="0"/>
        <w:spacing w:after="0"/>
        <w:ind w:left="720"/>
        <w:rPr>
          <w:rFonts w:ascii="Book Antiqua" w:hAnsi="Book Antiqua"/>
          <w:b/>
          <w:bCs/>
          <w:color w:val="000000"/>
        </w:rPr>
      </w:pPr>
      <w:r w:rsidRPr="00E3232D">
        <w:rPr>
          <w:rFonts w:ascii="Book Antiqua" w:hAnsi="Book Antiqua"/>
          <w:b/>
          <w:bCs/>
          <w:color w:val="000000"/>
        </w:rPr>
        <w:t>3.3.3: Polytechnic graduates can further their education</w:t>
      </w:r>
    </w:p>
    <w:p w14:paraId="036C52B2" w14:textId="77777777" w:rsidR="00283D41" w:rsidRPr="00190244" w:rsidRDefault="00283D41" w:rsidP="00283D41">
      <w:pPr>
        <w:autoSpaceDE w:val="0"/>
        <w:autoSpaceDN w:val="0"/>
        <w:adjustRightInd w:val="0"/>
        <w:spacing w:after="0"/>
        <w:ind w:firstLine="720"/>
        <w:jc w:val="both"/>
        <w:rPr>
          <w:rFonts w:ascii="Book Antiqua" w:hAnsi="Book Antiqua"/>
        </w:rPr>
      </w:pPr>
      <w:r w:rsidRPr="00190244">
        <w:rPr>
          <w:rFonts w:ascii="Book Antiqua" w:hAnsi="Book Antiqua"/>
        </w:rPr>
        <w:t>From table 3.3.4, 31% think that they are</w:t>
      </w:r>
    </w:p>
    <w:p w14:paraId="6DAD2185" w14:textId="77777777" w:rsidR="002F395F" w:rsidRPr="00190244" w:rsidRDefault="00283D41" w:rsidP="0002626E">
      <w:pPr>
        <w:autoSpaceDE w:val="0"/>
        <w:autoSpaceDN w:val="0"/>
        <w:adjustRightInd w:val="0"/>
        <w:spacing w:after="0"/>
        <w:ind w:left="720"/>
        <w:jc w:val="both"/>
        <w:rPr>
          <w:rFonts w:ascii="Book Antiqua" w:hAnsi="Book Antiqua"/>
        </w:rPr>
      </w:pPr>
      <w:r w:rsidRPr="00190244">
        <w:rPr>
          <w:rFonts w:ascii="Book Antiqua" w:hAnsi="Book Antiqua"/>
        </w:rPr>
        <w:t>trained for top management, 35.6% think it is middle management, 32.8% think it is lower management.</w:t>
      </w:r>
    </w:p>
    <w:p w14:paraId="25EBE7A0" w14:textId="77777777" w:rsidR="00283D41" w:rsidRPr="00E26B19" w:rsidRDefault="00E26B19" w:rsidP="00E26B19">
      <w:pPr>
        <w:autoSpaceDE w:val="0"/>
        <w:autoSpaceDN w:val="0"/>
        <w:adjustRightInd w:val="0"/>
        <w:spacing w:after="0" w:line="240" w:lineRule="auto"/>
        <w:ind w:firstLine="720"/>
        <w:rPr>
          <w:rFonts w:ascii="Book Antiqua" w:hAnsi="Book Antiqua"/>
        </w:rPr>
      </w:pPr>
      <w:r w:rsidRPr="00D12E59">
        <w:rPr>
          <w:rFonts w:ascii="Book Antiqua" w:hAnsi="Book Antiqua"/>
          <w:b/>
          <w:bCs/>
          <w:color w:val="000000"/>
        </w:rPr>
        <w:t>Section 4: Co</w:t>
      </w:r>
      <w:r>
        <w:rPr>
          <w:rFonts w:ascii="Book Antiqua" w:hAnsi="Book Antiqua"/>
          <w:b/>
          <w:bCs/>
          <w:color w:val="000000"/>
        </w:rPr>
        <w:t>g</w:t>
      </w:r>
      <w:r w:rsidRPr="00D12E59">
        <w:rPr>
          <w:rFonts w:ascii="Book Antiqua" w:hAnsi="Book Antiqua"/>
          <w:b/>
          <w:bCs/>
          <w:color w:val="000000"/>
        </w:rPr>
        <w:t xml:space="preserve">native or Behavioural </w:t>
      </w:r>
    </w:p>
    <w:p w14:paraId="6621A5C9" w14:textId="77777777" w:rsidR="004050BC" w:rsidRPr="00E26B19" w:rsidRDefault="004050BC" w:rsidP="00190244">
      <w:pPr>
        <w:autoSpaceDE w:val="0"/>
        <w:autoSpaceDN w:val="0"/>
        <w:adjustRightInd w:val="0"/>
        <w:spacing w:after="0" w:line="240" w:lineRule="auto"/>
        <w:jc w:val="both"/>
        <w:rPr>
          <w:rFonts w:ascii="Book Antiqua" w:hAnsi="Book Antiqua"/>
          <w:sz w:val="16"/>
        </w:rPr>
      </w:pPr>
    </w:p>
    <w:p w14:paraId="33E206DB" w14:textId="77777777" w:rsidR="0002626E" w:rsidRPr="00190244" w:rsidRDefault="004050BC" w:rsidP="00190244">
      <w:pPr>
        <w:autoSpaceDE w:val="0"/>
        <w:autoSpaceDN w:val="0"/>
        <w:adjustRightInd w:val="0"/>
        <w:spacing w:after="0"/>
        <w:ind w:right="463"/>
        <w:jc w:val="both"/>
        <w:rPr>
          <w:rFonts w:ascii="Book Antiqua" w:hAnsi="Book Antiqua"/>
        </w:rPr>
        <w:sectPr w:rsidR="0002626E" w:rsidRPr="00190244" w:rsidSect="006530EA">
          <w:type w:val="continuous"/>
          <w:pgSz w:w="11907" w:h="16839" w:code="9"/>
          <w:pgMar w:top="720" w:right="720" w:bottom="720" w:left="720" w:header="720" w:footer="720" w:gutter="0"/>
          <w:cols w:num="2" w:space="720"/>
          <w:noEndnote/>
        </w:sectPr>
      </w:pPr>
      <w:r w:rsidRPr="00E3232D">
        <w:rPr>
          <w:rFonts w:ascii="Book Antiqua" w:hAnsi="Book Antiqua"/>
        </w:rPr>
        <w:t>This indicates that most of them are aware of academ</w:t>
      </w:r>
      <w:r>
        <w:rPr>
          <w:rFonts w:ascii="Book Antiqua" w:hAnsi="Book Antiqua"/>
        </w:rPr>
        <w:t>ic progression for HND graduates.</w:t>
      </w:r>
    </w:p>
    <w:p w14:paraId="012DDC8C" w14:textId="77777777" w:rsidR="00747426" w:rsidRPr="00190244" w:rsidRDefault="00747426" w:rsidP="00D92FCA">
      <w:pPr>
        <w:autoSpaceDE w:val="0"/>
        <w:autoSpaceDN w:val="0"/>
        <w:adjustRightInd w:val="0"/>
        <w:rPr>
          <w:rFonts w:ascii="Book Antiqua" w:hAnsi="Book Antiqua"/>
          <w:sz w:val="14"/>
        </w:rPr>
        <w:sectPr w:rsidR="00747426" w:rsidRPr="00190244" w:rsidSect="0002626E">
          <w:type w:val="continuous"/>
          <w:pgSz w:w="11907" w:h="16839" w:code="9"/>
          <w:pgMar w:top="720" w:right="720" w:bottom="720" w:left="720" w:header="720" w:footer="720" w:gutter="0"/>
          <w:cols w:space="720"/>
          <w:noEndnote/>
        </w:sectPr>
      </w:pPr>
    </w:p>
    <w:p w14:paraId="5772AA4B" w14:textId="77777777" w:rsidR="006530EA" w:rsidRDefault="006530EA" w:rsidP="00190244">
      <w:pPr>
        <w:autoSpaceDE w:val="0"/>
        <w:autoSpaceDN w:val="0"/>
        <w:adjustRightInd w:val="0"/>
        <w:spacing w:after="0" w:line="240" w:lineRule="auto"/>
        <w:rPr>
          <w:rFonts w:ascii="Book Antiqua" w:hAnsi="Book Antiqua"/>
          <w:b/>
          <w:bCs/>
          <w:color w:val="000000"/>
        </w:rPr>
        <w:sectPr w:rsidR="006530EA" w:rsidSect="00E26B19">
          <w:type w:val="continuous"/>
          <w:pgSz w:w="11907" w:h="16839" w:code="9"/>
          <w:pgMar w:top="720" w:right="720" w:bottom="720" w:left="1440" w:header="720" w:footer="720" w:gutter="0"/>
          <w:cols w:space="720"/>
          <w:noEndnote/>
        </w:sectPr>
      </w:pPr>
      <w:r w:rsidRPr="00D12E59">
        <w:rPr>
          <w:rFonts w:ascii="Book Antiqua" w:hAnsi="Book Antiqua"/>
          <w:b/>
          <w:bCs/>
          <w:color w:val="000000"/>
        </w:rPr>
        <w:t>Component of Attitude</w:t>
      </w:r>
    </w:p>
    <w:p w14:paraId="64FBEB5E" w14:textId="77777777" w:rsidR="00E26B19" w:rsidRDefault="006530EA" w:rsidP="00190244">
      <w:pPr>
        <w:autoSpaceDE w:val="0"/>
        <w:autoSpaceDN w:val="0"/>
        <w:adjustRightInd w:val="0"/>
        <w:spacing w:after="0" w:line="240" w:lineRule="auto"/>
        <w:ind w:left="720"/>
        <w:rPr>
          <w:rFonts w:ascii="Book Antiqua" w:hAnsi="Book Antiqua"/>
          <w:b/>
          <w:bCs/>
          <w:color w:val="000000"/>
        </w:rPr>
      </w:pPr>
      <w:r w:rsidRPr="00D12E59">
        <w:rPr>
          <w:rFonts w:ascii="Book Antiqua" w:hAnsi="Book Antiqua"/>
          <w:b/>
          <w:bCs/>
          <w:color w:val="000000"/>
        </w:rPr>
        <w:t>Tab</w:t>
      </w:r>
      <w:r w:rsidR="00E26B19">
        <w:rPr>
          <w:rFonts w:ascii="Book Antiqua" w:hAnsi="Book Antiqua"/>
          <w:b/>
          <w:bCs/>
          <w:color w:val="000000"/>
        </w:rPr>
        <w:t xml:space="preserve">le 3.4.1: Respondents’ order of </w:t>
      </w:r>
      <w:r w:rsidRPr="00D12E59">
        <w:rPr>
          <w:rFonts w:ascii="Book Antiqua" w:hAnsi="Book Antiqua"/>
          <w:b/>
          <w:bCs/>
          <w:color w:val="000000"/>
        </w:rPr>
        <w:t>preference of tertiary institutio</w:t>
      </w:r>
      <w:r w:rsidR="00E26B19">
        <w:rPr>
          <w:rFonts w:ascii="Book Antiqua" w:hAnsi="Book Antiqua"/>
          <w:b/>
          <w:bCs/>
          <w:color w:val="000000"/>
        </w:rPr>
        <w:t xml:space="preserve">n </w:t>
      </w:r>
      <w:r w:rsidR="00E26B19" w:rsidRPr="00D12E59">
        <w:rPr>
          <w:rFonts w:ascii="Book Antiqua" w:hAnsi="Book Antiqua"/>
          <w:b/>
          <w:bCs/>
          <w:color w:val="000000"/>
        </w:rPr>
        <w:t>(SHS Students’ Action Tendencies About The Polytechnics)</w:t>
      </w:r>
    </w:p>
    <w:p w14:paraId="2F815E93" w14:textId="77777777" w:rsidR="006530EA" w:rsidRDefault="006530EA" w:rsidP="004050BC">
      <w:pPr>
        <w:autoSpaceDE w:val="0"/>
        <w:autoSpaceDN w:val="0"/>
        <w:adjustRightInd w:val="0"/>
        <w:spacing w:after="0" w:line="240" w:lineRule="auto"/>
        <w:ind w:left="720"/>
        <w:rPr>
          <w:rFonts w:ascii="Book Antiqua" w:hAnsi="Book Antiqua"/>
        </w:rPr>
        <w:sectPr w:rsidR="006530EA" w:rsidSect="00E26B19">
          <w:type w:val="continuous"/>
          <w:pgSz w:w="11907" w:h="16839" w:code="9"/>
          <w:pgMar w:top="720" w:right="720" w:bottom="720" w:left="720" w:header="720" w:footer="720" w:gutter="0"/>
          <w:cols w:space="720"/>
          <w:noEndnote/>
        </w:sectPr>
      </w:pPr>
    </w:p>
    <w:tbl>
      <w:tblPr>
        <w:tblpPr w:leftFromText="180" w:rightFromText="180" w:vertAnchor="text" w:horzAnchor="margin" w:tblpXSpec="center" w:tblpY="161"/>
        <w:tblW w:w="8558" w:type="dxa"/>
        <w:tblBorders>
          <w:top w:val="single" w:sz="8" w:space="0" w:color="4F81BD"/>
          <w:bottom w:val="single" w:sz="8" w:space="0" w:color="4F81BD"/>
        </w:tblBorders>
        <w:tblLayout w:type="fixed"/>
        <w:tblLook w:val="0000" w:firstRow="0" w:lastRow="0" w:firstColumn="0" w:lastColumn="0" w:noHBand="0" w:noVBand="0"/>
      </w:tblPr>
      <w:tblGrid>
        <w:gridCol w:w="248"/>
        <w:gridCol w:w="1249"/>
        <w:gridCol w:w="799"/>
        <w:gridCol w:w="589"/>
        <w:gridCol w:w="662"/>
        <w:gridCol w:w="871"/>
        <w:gridCol w:w="661"/>
        <w:gridCol w:w="661"/>
        <w:gridCol w:w="799"/>
        <w:gridCol w:w="993"/>
        <w:gridCol w:w="1026"/>
      </w:tblGrid>
      <w:tr w:rsidR="00E26B19" w:rsidRPr="00D12E59" w14:paraId="6DF198B7" w14:textId="77777777" w:rsidTr="00E26B19">
        <w:trPr>
          <w:trHeight w:val="152"/>
        </w:trPr>
        <w:tc>
          <w:tcPr>
            <w:tcW w:w="1497" w:type="dxa"/>
            <w:gridSpan w:val="2"/>
            <w:vMerge w:val="restart"/>
            <w:tcBorders>
              <w:left w:val="nil"/>
              <w:bottom w:val="nil"/>
              <w:right w:val="nil"/>
            </w:tcBorders>
            <w:shd w:val="clear" w:color="auto" w:fill="auto"/>
          </w:tcPr>
          <w:p w14:paraId="1115F6AF" w14:textId="77777777" w:rsidR="00E26B19" w:rsidRPr="00D12E59" w:rsidRDefault="00E26B19" w:rsidP="00E26B19">
            <w:pPr>
              <w:autoSpaceDE w:val="0"/>
              <w:autoSpaceDN w:val="0"/>
              <w:adjustRightInd w:val="0"/>
              <w:spacing w:after="0" w:line="240" w:lineRule="auto"/>
              <w:rPr>
                <w:rFonts w:ascii="Book Antiqua" w:hAnsi="Book Antiqua"/>
                <w:color w:val="365F91"/>
              </w:rPr>
            </w:pPr>
          </w:p>
        </w:tc>
        <w:tc>
          <w:tcPr>
            <w:tcW w:w="7061" w:type="dxa"/>
            <w:gridSpan w:val="9"/>
            <w:shd w:val="clear" w:color="auto" w:fill="auto"/>
          </w:tcPr>
          <w:p w14:paraId="12A563C8"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b/>
                <w:color w:val="000000"/>
              </w:rPr>
              <w:t>CHOICE</w:t>
            </w:r>
          </w:p>
        </w:tc>
      </w:tr>
      <w:tr w:rsidR="00E26B19" w:rsidRPr="00D12E59" w14:paraId="50BEEFB0" w14:textId="77777777" w:rsidTr="00E26B19">
        <w:trPr>
          <w:trHeight w:val="152"/>
        </w:trPr>
        <w:tc>
          <w:tcPr>
            <w:tcW w:w="1497" w:type="dxa"/>
            <w:gridSpan w:val="2"/>
            <w:vMerge/>
            <w:tcBorders>
              <w:left w:val="nil"/>
              <w:bottom w:val="nil"/>
              <w:right w:val="nil"/>
            </w:tcBorders>
            <w:shd w:val="clear" w:color="auto" w:fill="auto"/>
          </w:tcPr>
          <w:p w14:paraId="687C92FF" w14:textId="77777777" w:rsidR="00E26B19" w:rsidRPr="00D12E59" w:rsidRDefault="00E26B19" w:rsidP="00E26B19">
            <w:pPr>
              <w:autoSpaceDE w:val="0"/>
              <w:autoSpaceDN w:val="0"/>
              <w:adjustRightInd w:val="0"/>
              <w:spacing w:after="0" w:line="240" w:lineRule="auto"/>
              <w:rPr>
                <w:rFonts w:ascii="Book Antiqua" w:hAnsi="Book Antiqua"/>
                <w:color w:val="365F91"/>
              </w:rPr>
            </w:pPr>
          </w:p>
        </w:tc>
        <w:tc>
          <w:tcPr>
            <w:tcW w:w="2050" w:type="dxa"/>
            <w:gridSpan w:val="3"/>
            <w:tcBorders>
              <w:left w:val="nil"/>
              <w:right w:val="nil"/>
            </w:tcBorders>
            <w:shd w:val="clear" w:color="auto" w:fill="auto"/>
          </w:tcPr>
          <w:p w14:paraId="0E203DD8" w14:textId="77777777" w:rsidR="00E26B19" w:rsidRPr="00D12E59" w:rsidRDefault="00E26B19" w:rsidP="00E26B19">
            <w:pPr>
              <w:autoSpaceDE w:val="0"/>
              <w:autoSpaceDN w:val="0"/>
              <w:adjustRightInd w:val="0"/>
              <w:spacing w:after="0" w:line="240" w:lineRule="auto"/>
              <w:rPr>
                <w:rFonts w:ascii="Book Antiqua" w:hAnsi="Book Antiqua"/>
                <w:b/>
                <w:color w:val="000000"/>
              </w:rPr>
            </w:pPr>
            <w:r w:rsidRPr="00D12E59">
              <w:rPr>
                <w:rFonts w:ascii="Book Antiqua" w:hAnsi="Book Antiqua"/>
                <w:b/>
                <w:color w:val="000000"/>
              </w:rPr>
              <w:t>First</w:t>
            </w:r>
          </w:p>
        </w:tc>
        <w:tc>
          <w:tcPr>
            <w:tcW w:w="2193" w:type="dxa"/>
            <w:gridSpan w:val="3"/>
            <w:tcBorders>
              <w:left w:val="nil"/>
              <w:bottom w:val="nil"/>
              <w:right w:val="nil"/>
            </w:tcBorders>
            <w:shd w:val="clear" w:color="auto" w:fill="auto"/>
          </w:tcPr>
          <w:p w14:paraId="05F14EF4" w14:textId="77777777" w:rsidR="00E26B19" w:rsidRPr="00D12E59" w:rsidRDefault="00E26B19" w:rsidP="00E26B19">
            <w:pPr>
              <w:autoSpaceDE w:val="0"/>
              <w:autoSpaceDN w:val="0"/>
              <w:adjustRightInd w:val="0"/>
              <w:spacing w:after="0" w:line="240" w:lineRule="auto"/>
              <w:rPr>
                <w:rFonts w:ascii="Book Antiqua" w:hAnsi="Book Antiqua"/>
                <w:b/>
                <w:color w:val="000000"/>
              </w:rPr>
            </w:pPr>
            <w:r w:rsidRPr="00D12E59">
              <w:rPr>
                <w:rFonts w:ascii="Book Antiqua" w:hAnsi="Book Antiqua"/>
                <w:b/>
                <w:color w:val="000000"/>
              </w:rPr>
              <w:t xml:space="preserve">Second </w:t>
            </w:r>
          </w:p>
        </w:tc>
        <w:tc>
          <w:tcPr>
            <w:tcW w:w="2818" w:type="dxa"/>
            <w:gridSpan w:val="3"/>
            <w:tcBorders>
              <w:left w:val="nil"/>
              <w:right w:val="nil"/>
            </w:tcBorders>
            <w:shd w:val="clear" w:color="auto" w:fill="auto"/>
          </w:tcPr>
          <w:p w14:paraId="156EA50F" w14:textId="77777777" w:rsidR="00E26B19" w:rsidRPr="00D12E59" w:rsidRDefault="00E26B19" w:rsidP="00E26B19">
            <w:pPr>
              <w:autoSpaceDE w:val="0"/>
              <w:autoSpaceDN w:val="0"/>
              <w:adjustRightInd w:val="0"/>
              <w:spacing w:after="0" w:line="240" w:lineRule="auto"/>
              <w:rPr>
                <w:rFonts w:ascii="Book Antiqua" w:hAnsi="Book Antiqua"/>
                <w:b/>
                <w:color w:val="000000"/>
              </w:rPr>
            </w:pPr>
            <w:r w:rsidRPr="00D12E59">
              <w:rPr>
                <w:rFonts w:ascii="Book Antiqua" w:hAnsi="Book Antiqua"/>
                <w:b/>
                <w:color w:val="000000"/>
              </w:rPr>
              <w:t xml:space="preserve">Third </w:t>
            </w:r>
          </w:p>
        </w:tc>
      </w:tr>
      <w:tr w:rsidR="00E26B19" w:rsidRPr="00D12E59" w14:paraId="182964D1" w14:textId="77777777" w:rsidTr="00E26B19">
        <w:trPr>
          <w:trHeight w:val="206"/>
        </w:trPr>
        <w:tc>
          <w:tcPr>
            <w:tcW w:w="1497" w:type="dxa"/>
            <w:gridSpan w:val="2"/>
            <w:vMerge/>
            <w:tcBorders>
              <w:left w:val="nil"/>
              <w:bottom w:val="nil"/>
              <w:right w:val="nil"/>
            </w:tcBorders>
            <w:shd w:val="clear" w:color="auto" w:fill="auto"/>
          </w:tcPr>
          <w:p w14:paraId="47FE1877" w14:textId="77777777" w:rsidR="00E26B19" w:rsidRPr="00D12E59" w:rsidRDefault="00E26B19" w:rsidP="00E26B19">
            <w:pPr>
              <w:autoSpaceDE w:val="0"/>
              <w:autoSpaceDN w:val="0"/>
              <w:adjustRightInd w:val="0"/>
              <w:spacing w:after="0" w:line="240" w:lineRule="auto"/>
              <w:rPr>
                <w:rFonts w:ascii="Book Antiqua" w:hAnsi="Book Antiqua"/>
                <w:color w:val="365F91"/>
              </w:rPr>
            </w:pPr>
          </w:p>
        </w:tc>
        <w:tc>
          <w:tcPr>
            <w:tcW w:w="799" w:type="dxa"/>
            <w:shd w:val="clear" w:color="auto" w:fill="auto"/>
          </w:tcPr>
          <w:p w14:paraId="79FD6BC9"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Frequency</w:t>
            </w:r>
          </w:p>
        </w:tc>
        <w:tc>
          <w:tcPr>
            <w:tcW w:w="589" w:type="dxa"/>
            <w:tcBorders>
              <w:left w:val="nil"/>
              <w:bottom w:val="nil"/>
              <w:right w:val="nil"/>
            </w:tcBorders>
            <w:shd w:val="clear" w:color="auto" w:fill="auto"/>
          </w:tcPr>
          <w:p w14:paraId="0A1D0711"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Percent</w:t>
            </w:r>
          </w:p>
        </w:tc>
        <w:tc>
          <w:tcPr>
            <w:tcW w:w="662" w:type="dxa"/>
            <w:shd w:val="clear" w:color="auto" w:fill="auto"/>
          </w:tcPr>
          <w:p w14:paraId="16A4D332"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Valid Percent</w:t>
            </w:r>
          </w:p>
        </w:tc>
        <w:tc>
          <w:tcPr>
            <w:tcW w:w="871" w:type="dxa"/>
            <w:tcBorders>
              <w:left w:val="nil"/>
              <w:bottom w:val="nil"/>
              <w:right w:val="nil"/>
            </w:tcBorders>
            <w:shd w:val="clear" w:color="auto" w:fill="auto"/>
          </w:tcPr>
          <w:p w14:paraId="4C46EB99"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Frequency</w:t>
            </w:r>
          </w:p>
        </w:tc>
        <w:tc>
          <w:tcPr>
            <w:tcW w:w="661" w:type="dxa"/>
            <w:shd w:val="clear" w:color="auto" w:fill="auto"/>
          </w:tcPr>
          <w:p w14:paraId="57C91C88" w14:textId="77777777" w:rsidR="00E26B19" w:rsidRPr="00D12E59" w:rsidRDefault="00E26B19" w:rsidP="00E26B19">
            <w:pPr>
              <w:autoSpaceDE w:val="0"/>
              <w:autoSpaceDN w:val="0"/>
              <w:adjustRightInd w:val="0"/>
              <w:spacing w:after="0" w:line="240" w:lineRule="auto"/>
              <w:rPr>
                <w:rFonts w:ascii="Book Antiqua" w:hAnsi="Book Antiqua"/>
                <w:color w:val="000000"/>
              </w:rPr>
            </w:pPr>
          </w:p>
          <w:p w14:paraId="59585FFA"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Percent</w:t>
            </w:r>
          </w:p>
        </w:tc>
        <w:tc>
          <w:tcPr>
            <w:tcW w:w="661" w:type="dxa"/>
            <w:tcBorders>
              <w:left w:val="nil"/>
              <w:bottom w:val="nil"/>
              <w:right w:val="nil"/>
            </w:tcBorders>
            <w:shd w:val="clear" w:color="auto" w:fill="auto"/>
          </w:tcPr>
          <w:p w14:paraId="2E66DA1B"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Valid Percent</w:t>
            </w:r>
          </w:p>
        </w:tc>
        <w:tc>
          <w:tcPr>
            <w:tcW w:w="799" w:type="dxa"/>
            <w:shd w:val="clear" w:color="auto" w:fill="auto"/>
          </w:tcPr>
          <w:p w14:paraId="3ACA00F2" w14:textId="77777777" w:rsidR="00E26B19" w:rsidRPr="00D12E59" w:rsidRDefault="00E26B19" w:rsidP="00E26B19">
            <w:pPr>
              <w:autoSpaceDE w:val="0"/>
              <w:autoSpaceDN w:val="0"/>
              <w:adjustRightInd w:val="0"/>
              <w:spacing w:after="0" w:line="240" w:lineRule="auto"/>
              <w:rPr>
                <w:rFonts w:ascii="Book Antiqua" w:hAnsi="Book Antiqua"/>
                <w:color w:val="000000"/>
              </w:rPr>
            </w:pPr>
          </w:p>
          <w:p w14:paraId="72931429"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Frequency</w:t>
            </w:r>
          </w:p>
        </w:tc>
        <w:tc>
          <w:tcPr>
            <w:tcW w:w="993" w:type="dxa"/>
            <w:tcBorders>
              <w:left w:val="nil"/>
              <w:bottom w:val="nil"/>
              <w:right w:val="nil"/>
            </w:tcBorders>
            <w:shd w:val="clear" w:color="auto" w:fill="auto"/>
          </w:tcPr>
          <w:p w14:paraId="0F795758" w14:textId="77777777" w:rsidR="00E26B19" w:rsidRPr="00D12E59" w:rsidRDefault="00E26B19" w:rsidP="00E26B19">
            <w:pPr>
              <w:autoSpaceDE w:val="0"/>
              <w:autoSpaceDN w:val="0"/>
              <w:adjustRightInd w:val="0"/>
              <w:spacing w:after="0" w:line="240" w:lineRule="auto"/>
              <w:rPr>
                <w:rFonts w:ascii="Book Antiqua" w:hAnsi="Book Antiqua"/>
                <w:color w:val="000000"/>
              </w:rPr>
            </w:pPr>
          </w:p>
          <w:p w14:paraId="3D18748E"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Percent</w:t>
            </w:r>
          </w:p>
        </w:tc>
        <w:tc>
          <w:tcPr>
            <w:tcW w:w="1026" w:type="dxa"/>
            <w:shd w:val="clear" w:color="auto" w:fill="auto"/>
          </w:tcPr>
          <w:p w14:paraId="6E3C3E28"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Valid Percent</w:t>
            </w:r>
          </w:p>
        </w:tc>
      </w:tr>
      <w:tr w:rsidR="00E26B19" w:rsidRPr="00D12E59" w14:paraId="7F3974EE" w14:textId="77777777" w:rsidTr="00E26B19">
        <w:trPr>
          <w:trHeight w:val="167"/>
        </w:trPr>
        <w:tc>
          <w:tcPr>
            <w:tcW w:w="248" w:type="dxa"/>
            <w:vMerge w:val="restart"/>
            <w:tcBorders>
              <w:left w:val="nil"/>
              <w:bottom w:val="nil"/>
              <w:right w:val="nil"/>
            </w:tcBorders>
            <w:shd w:val="clear" w:color="auto" w:fill="auto"/>
          </w:tcPr>
          <w:p w14:paraId="070D6924" w14:textId="77777777" w:rsidR="00E26B19" w:rsidRPr="00D12E59" w:rsidRDefault="00E26B19" w:rsidP="00E26B19">
            <w:pPr>
              <w:autoSpaceDE w:val="0"/>
              <w:autoSpaceDN w:val="0"/>
              <w:adjustRightInd w:val="0"/>
              <w:spacing w:after="0" w:line="240" w:lineRule="auto"/>
              <w:rPr>
                <w:rFonts w:ascii="Book Antiqua" w:hAnsi="Book Antiqua"/>
                <w:color w:val="000000"/>
              </w:rPr>
            </w:pPr>
          </w:p>
        </w:tc>
        <w:tc>
          <w:tcPr>
            <w:tcW w:w="1249" w:type="dxa"/>
            <w:tcBorders>
              <w:left w:val="nil"/>
              <w:right w:val="nil"/>
            </w:tcBorders>
            <w:shd w:val="clear" w:color="auto" w:fill="auto"/>
          </w:tcPr>
          <w:p w14:paraId="28873AEF"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Public University</w:t>
            </w:r>
          </w:p>
        </w:tc>
        <w:tc>
          <w:tcPr>
            <w:tcW w:w="799" w:type="dxa"/>
            <w:tcBorders>
              <w:left w:val="nil"/>
              <w:bottom w:val="nil"/>
              <w:right w:val="nil"/>
            </w:tcBorders>
            <w:shd w:val="clear" w:color="auto" w:fill="auto"/>
          </w:tcPr>
          <w:p w14:paraId="66ECA6C8"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1299</w:t>
            </w:r>
          </w:p>
        </w:tc>
        <w:tc>
          <w:tcPr>
            <w:tcW w:w="589" w:type="dxa"/>
            <w:tcBorders>
              <w:left w:val="nil"/>
              <w:right w:val="nil"/>
            </w:tcBorders>
            <w:shd w:val="clear" w:color="auto" w:fill="auto"/>
          </w:tcPr>
          <w:p w14:paraId="1FC73D32"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76.7</w:t>
            </w:r>
          </w:p>
        </w:tc>
        <w:tc>
          <w:tcPr>
            <w:tcW w:w="662" w:type="dxa"/>
            <w:tcBorders>
              <w:left w:val="nil"/>
              <w:bottom w:val="nil"/>
              <w:right w:val="nil"/>
            </w:tcBorders>
            <w:shd w:val="clear" w:color="auto" w:fill="auto"/>
          </w:tcPr>
          <w:p w14:paraId="39836847"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78.1</w:t>
            </w:r>
          </w:p>
        </w:tc>
        <w:tc>
          <w:tcPr>
            <w:tcW w:w="871" w:type="dxa"/>
            <w:tcBorders>
              <w:left w:val="nil"/>
              <w:right w:val="nil"/>
            </w:tcBorders>
            <w:shd w:val="clear" w:color="auto" w:fill="auto"/>
          </w:tcPr>
          <w:p w14:paraId="01443FB8"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286</w:t>
            </w:r>
          </w:p>
        </w:tc>
        <w:tc>
          <w:tcPr>
            <w:tcW w:w="661" w:type="dxa"/>
            <w:tcBorders>
              <w:left w:val="nil"/>
              <w:bottom w:val="nil"/>
              <w:right w:val="nil"/>
            </w:tcBorders>
            <w:shd w:val="clear" w:color="auto" w:fill="auto"/>
          </w:tcPr>
          <w:p w14:paraId="324D13BE"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16.9</w:t>
            </w:r>
          </w:p>
        </w:tc>
        <w:tc>
          <w:tcPr>
            <w:tcW w:w="661" w:type="dxa"/>
            <w:tcBorders>
              <w:left w:val="nil"/>
              <w:right w:val="nil"/>
            </w:tcBorders>
            <w:shd w:val="clear" w:color="auto" w:fill="auto"/>
          </w:tcPr>
          <w:p w14:paraId="51FB25B5"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17.2</w:t>
            </w:r>
          </w:p>
        </w:tc>
        <w:tc>
          <w:tcPr>
            <w:tcW w:w="799" w:type="dxa"/>
            <w:tcBorders>
              <w:left w:val="nil"/>
              <w:bottom w:val="nil"/>
              <w:right w:val="nil"/>
            </w:tcBorders>
            <w:shd w:val="clear" w:color="auto" w:fill="auto"/>
          </w:tcPr>
          <w:p w14:paraId="2AE27340"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72</w:t>
            </w:r>
          </w:p>
        </w:tc>
        <w:tc>
          <w:tcPr>
            <w:tcW w:w="993" w:type="dxa"/>
            <w:tcBorders>
              <w:left w:val="nil"/>
              <w:right w:val="nil"/>
            </w:tcBorders>
            <w:shd w:val="clear" w:color="auto" w:fill="auto"/>
          </w:tcPr>
          <w:p w14:paraId="4C6C1BFE"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4.3</w:t>
            </w:r>
          </w:p>
        </w:tc>
        <w:tc>
          <w:tcPr>
            <w:tcW w:w="1026" w:type="dxa"/>
            <w:tcBorders>
              <w:left w:val="nil"/>
              <w:bottom w:val="nil"/>
              <w:right w:val="nil"/>
            </w:tcBorders>
            <w:shd w:val="clear" w:color="auto" w:fill="auto"/>
          </w:tcPr>
          <w:p w14:paraId="6A7AAC86"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4.4</w:t>
            </w:r>
          </w:p>
        </w:tc>
      </w:tr>
      <w:tr w:rsidR="00E26B19" w:rsidRPr="00D12E59" w14:paraId="51F3C514" w14:textId="77777777" w:rsidTr="00E26B19">
        <w:trPr>
          <w:trHeight w:val="69"/>
        </w:trPr>
        <w:tc>
          <w:tcPr>
            <w:tcW w:w="248" w:type="dxa"/>
            <w:vMerge/>
            <w:tcBorders>
              <w:left w:val="nil"/>
              <w:bottom w:val="nil"/>
              <w:right w:val="nil"/>
            </w:tcBorders>
            <w:shd w:val="clear" w:color="auto" w:fill="auto"/>
          </w:tcPr>
          <w:p w14:paraId="5A47D003" w14:textId="77777777" w:rsidR="00E26B19" w:rsidRPr="00D12E59" w:rsidRDefault="00E26B19" w:rsidP="00E26B19">
            <w:pPr>
              <w:autoSpaceDE w:val="0"/>
              <w:autoSpaceDN w:val="0"/>
              <w:adjustRightInd w:val="0"/>
              <w:spacing w:after="0" w:line="240" w:lineRule="auto"/>
              <w:rPr>
                <w:rFonts w:ascii="Book Antiqua" w:hAnsi="Book Antiqua"/>
                <w:color w:val="000000"/>
              </w:rPr>
            </w:pPr>
          </w:p>
        </w:tc>
        <w:tc>
          <w:tcPr>
            <w:tcW w:w="1249" w:type="dxa"/>
            <w:shd w:val="clear" w:color="auto" w:fill="auto"/>
          </w:tcPr>
          <w:p w14:paraId="1003DF2E"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Polytechnic</w:t>
            </w:r>
          </w:p>
        </w:tc>
        <w:tc>
          <w:tcPr>
            <w:tcW w:w="799" w:type="dxa"/>
            <w:tcBorders>
              <w:left w:val="nil"/>
              <w:bottom w:val="nil"/>
              <w:right w:val="nil"/>
            </w:tcBorders>
            <w:shd w:val="clear" w:color="auto" w:fill="auto"/>
          </w:tcPr>
          <w:p w14:paraId="7F95A440"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146</w:t>
            </w:r>
          </w:p>
        </w:tc>
        <w:tc>
          <w:tcPr>
            <w:tcW w:w="589" w:type="dxa"/>
            <w:shd w:val="clear" w:color="auto" w:fill="auto"/>
          </w:tcPr>
          <w:p w14:paraId="2ACB2276"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8.6</w:t>
            </w:r>
          </w:p>
        </w:tc>
        <w:tc>
          <w:tcPr>
            <w:tcW w:w="662" w:type="dxa"/>
            <w:tcBorders>
              <w:left w:val="nil"/>
              <w:bottom w:val="nil"/>
              <w:right w:val="nil"/>
            </w:tcBorders>
            <w:shd w:val="clear" w:color="auto" w:fill="auto"/>
          </w:tcPr>
          <w:p w14:paraId="4DF5E268"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8.8</w:t>
            </w:r>
          </w:p>
        </w:tc>
        <w:tc>
          <w:tcPr>
            <w:tcW w:w="871" w:type="dxa"/>
            <w:shd w:val="clear" w:color="auto" w:fill="auto"/>
          </w:tcPr>
          <w:p w14:paraId="6CFB8BF1"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578</w:t>
            </w:r>
          </w:p>
        </w:tc>
        <w:tc>
          <w:tcPr>
            <w:tcW w:w="661" w:type="dxa"/>
            <w:tcBorders>
              <w:left w:val="nil"/>
              <w:bottom w:val="nil"/>
              <w:right w:val="nil"/>
            </w:tcBorders>
            <w:shd w:val="clear" w:color="auto" w:fill="auto"/>
          </w:tcPr>
          <w:p w14:paraId="0934866E"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34.1</w:t>
            </w:r>
          </w:p>
        </w:tc>
        <w:tc>
          <w:tcPr>
            <w:tcW w:w="661" w:type="dxa"/>
            <w:shd w:val="clear" w:color="auto" w:fill="auto"/>
          </w:tcPr>
          <w:p w14:paraId="3F15D066"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34.8</w:t>
            </w:r>
          </w:p>
        </w:tc>
        <w:tc>
          <w:tcPr>
            <w:tcW w:w="799" w:type="dxa"/>
            <w:tcBorders>
              <w:left w:val="nil"/>
              <w:bottom w:val="nil"/>
              <w:right w:val="nil"/>
            </w:tcBorders>
            <w:shd w:val="clear" w:color="auto" w:fill="auto"/>
          </w:tcPr>
          <w:p w14:paraId="42E8B9DD"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936</w:t>
            </w:r>
          </w:p>
        </w:tc>
        <w:tc>
          <w:tcPr>
            <w:tcW w:w="993" w:type="dxa"/>
            <w:shd w:val="clear" w:color="auto" w:fill="auto"/>
          </w:tcPr>
          <w:p w14:paraId="752F20D5"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55.3</w:t>
            </w:r>
          </w:p>
        </w:tc>
        <w:tc>
          <w:tcPr>
            <w:tcW w:w="1026" w:type="dxa"/>
            <w:tcBorders>
              <w:left w:val="nil"/>
              <w:bottom w:val="nil"/>
              <w:right w:val="nil"/>
            </w:tcBorders>
            <w:shd w:val="clear" w:color="auto" w:fill="auto"/>
          </w:tcPr>
          <w:p w14:paraId="2C0B8B82"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56.6</w:t>
            </w:r>
          </w:p>
        </w:tc>
      </w:tr>
      <w:tr w:rsidR="00E26B19" w:rsidRPr="00D12E59" w14:paraId="6117D67E" w14:textId="77777777" w:rsidTr="00E26B19">
        <w:trPr>
          <w:trHeight w:val="69"/>
        </w:trPr>
        <w:tc>
          <w:tcPr>
            <w:tcW w:w="248" w:type="dxa"/>
            <w:vMerge/>
            <w:tcBorders>
              <w:left w:val="nil"/>
              <w:bottom w:val="nil"/>
              <w:right w:val="nil"/>
            </w:tcBorders>
            <w:shd w:val="clear" w:color="auto" w:fill="auto"/>
          </w:tcPr>
          <w:p w14:paraId="0FDC7BB7" w14:textId="77777777" w:rsidR="00E26B19" w:rsidRPr="00D12E59" w:rsidRDefault="00E26B19" w:rsidP="00E26B19">
            <w:pPr>
              <w:autoSpaceDE w:val="0"/>
              <w:autoSpaceDN w:val="0"/>
              <w:adjustRightInd w:val="0"/>
              <w:spacing w:after="0" w:line="240" w:lineRule="auto"/>
              <w:rPr>
                <w:rFonts w:ascii="Book Antiqua" w:hAnsi="Book Antiqua"/>
                <w:color w:val="000000"/>
              </w:rPr>
            </w:pPr>
          </w:p>
        </w:tc>
        <w:tc>
          <w:tcPr>
            <w:tcW w:w="1249" w:type="dxa"/>
            <w:tcBorders>
              <w:left w:val="nil"/>
              <w:right w:val="nil"/>
            </w:tcBorders>
            <w:shd w:val="clear" w:color="auto" w:fill="auto"/>
          </w:tcPr>
          <w:p w14:paraId="1882E117"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Private University</w:t>
            </w:r>
          </w:p>
        </w:tc>
        <w:tc>
          <w:tcPr>
            <w:tcW w:w="799" w:type="dxa"/>
            <w:tcBorders>
              <w:left w:val="nil"/>
              <w:bottom w:val="nil"/>
              <w:right w:val="nil"/>
            </w:tcBorders>
            <w:shd w:val="clear" w:color="auto" w:fill="auto"/>
          </w:tcPr>
          <w:p w14:paraId="7001FF60"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218</w:t>
            </w:r>
          </w:p>
        </w:tc>
        <w:tc>
          <w:tcPr>
            <w:tcW w:w="589" w:type="dxa"/>
            <w:tcBorders>
              <w:left w:val="nil"/>
              <w:right w:val="nil"/>
            </w:tcBorders>
            <w:shd w:val="clear" w:color="auto" w:fill="auto"/>
          </w:tcPr>
          <w:p w14:paraId="17AF05C8"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12.9</w:t>
            </w:r>
          </w:p>
        </w:tc>
        <w:tc>
          <w:tcPr>
            <w:tcW w:w="662" w:type="dxa"/>
            <w:tcBorders>
              <w:left w:val="nil"/>
              <w:bottom w:val="nil"/>
              <w:right w:val="nil"/>
            </w:tcBorders>
            <w:shd w:val="clear" w:color="auto" w:fill="auto"/>
          </w:tcPr>
          <w:p w14:paraId="307D7F88"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13.1</w:t>
            </w:r>
          </w:p>
        </w:tc>
        <w:tc>
          <w:tcPr>
            <w:tcW w:w="871" w:type="dxa"/>
            <w:tcBorders>
              <w:left w:val="nil"/>
              <w:right w:val="nil"/>
            </w:tcBorders>
            <w:shd w:val="clear" w:color="auto" w:fill="auto"/>
          </w:tcPr>
          <w:p w14:paraId="59924EE2"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796</w:t>
            </w:r>
          </w:p>
        </w:tc>
        <w:tc>
          <w:tcPr>
            <w:tcW w:w="661" w:type="dxa"/>
            <w:tcBorders>
              <w:left w:val="nil"/>
              <w:bottom w:val="nil"/>
              <w:right w:val="nil"/>
            </w:tcBorders>
            <w:shd w:val="clear" w:color="auto" w:fill="auto"/>
          </w:tcPr>
          <w:p w14:paraId="5CE92312"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47.0</w:t>
            </w:r>
          </w:p>
        </w:tc>
        <w:tc>
          <w:tcPr>
            <w:tcW w:w="661" w:type="dxa"/>
            <w:tcBorders>
              <w:left w:val="nil"/>
              <w:right w:val="nil"/>
            </w:tcBorders>
            <w:shd w:val="clear" w:color="auto" w:fill="auto"/>
          </w:tcPr>
          <w:p w14:paraId="76F343C0"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48.0</w:t>
            </w:r>
          </w:p>
        </w:tc>
        <w:tc>
          <w:tcPr>
            <w:tcW w:w="799" w:type="dxa"/>
            <w:tcBorders>
              <w:left w:val="nil"/>
              <w:bottom w:val="nil"/>
              <w:right w:val="nil"/>
            </w:tcBorders>
            <w:shd w:val="clear" w:color="auto" w:fill="auto"/>
          </w:tcPr>
          <w:p w14:paraId="6D7B1143"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646</w:t>
            </w:r>
          </w:p>
        </w:tc>
        <w:tc>
          <w:tcPr>
            <w:tcW w:w="993" w:type="dxa"/>
            <w:tcBorders>
              <w:left w:val="nil"/>
              <w:right w:val="nil"/>
            </w:tcBorders>
            <w:shd w:val="clear" w:color="auto" w:fill="auto"/>
          </w:tcPr>
          <w:p w14:paraId="25522290"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38.2</w:t>
            </w:r>
          </w:p>
        </w:tc>
        <w:tc>
          <w:tcPr>
            <w:tcW w:w="1026" w:type="dxa"/>
            <w:tcBorders>
              <w:left w:val="nil"/>
              <w:bottom w:val="nil"/>
              <w:right w:val="nil"/>
            </w:tcBorders>
            <w:shd w:val="clear" w:color="auto" w:fill="auto"/>
          </w:tcPr>
          <w:p w14:paraId="5B04C574"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39.1</w:t>
            </w:r>
          </w:p>
        </w:tc>
      </w:tr>
      <w:tr w:rsidR="00E26B19" w:rsidRPr="00D12E59" w14:paraId="0B75DF02" w14:textId="77777777" w:rsidTr="00E26B19">
        <w:trPr>
          <w:trHeight w:val="69"/>
        </w:trPr>
        <w:tc>
          <w:tcPr>
            <w:tcW w:w="248" w:type="dxa"/>
            <w:vMerge/>
            <w:tcBorders>
              <w:left w:val="nil"/>
              <w:bottom w:val="nil"/>
              <w:right w:val="nil"/>
            </w:tcBorders>
            <w:shd w:val="clear" w:color="auto" w:fill="auto"/>
          </w:tcPr>
          <w:p w14:paraId="6A8C9A6E" w14:textId="77777777" w:rsidR="00E26B19" w:rsidRPr="00D12E59" w:rsidRDefault="00E26B19" w:rsidP="00E26B19">
            <w:pPr>
              <w:autoSpaceDE w:val="0"/>
              <w:autoSpaceDN w:val="0"/>
              <w:adjustRightInd w:val="0"/>
              <w:spacing w:after="0" w:line="240" w:lineRule="auto"/>
              <w:rPr>
                <w:rFonts w:ascii="Book Antiqua" w:hAnsi="Book Antiqua"/>
                <w:color w:val="000000"/>
              </w:rPr>
            </w:pPr>
          </w:p>
        </w:tc>
        <w:tc>
          <w:tcPr>
            <w:tcW w:w="1249" w:type="dxa"/>
            <w:shd w:val="clear" w:color="auto" w:fill="auto"/>
          </w:tcPr>
          <w:p w14:paraId="2F0D5510"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Total</w:t>
            </w:r>
          </w:p>
        </w:tc>
        <w:tc>
          <w:tcPr>
            <w:tcW w:w="799" w:type="dxa"/>
            <w:tcBorders>
              <w:left w:val="nil"/>
              <w:bottom w:val="nil"/>
              <w:right w:val="nil"/>
            </w:tcBorders>
            <w:shd w:val="clear" w:color="auto" w:fill="auto"/>
          </w:tcPr>
          <w:p w14:paraId="2D851E41"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1663</w:t>
            </w:r>
          </w:p>
        </w:tc>
        <w:tc>
          <w:tcPr>
            <w:tcW w:w="589" w:type="dxa"/>
            <w:shd w:val="clear" w:color="auto" w:fill="auto"/>
          </w:tcPr>
          <w:p w14:paraId="66E67C7A"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98.2</w:t>
            </w:r>
          </w:p>
        </w:tc>
        <w:tc>
          <w:tcPr>
            <w:tcW w:w="662" w:type="dxa"/>
            <w:tcBorders>
              <w:left w:val="nil"/>
              <w:bottom w:val="nil"/>
              <w:right w:val="nil"/>
            </w:tcBorders>
            <w:shd w:val="clear" w:color="auto" w:fill="auto"/>
          </w:tcPr>
          <w:p w14:paraId="33423E7F"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100.0</w:t>
            </w:r>
          </w:p>
        </w:tc>
        <w:tc>
          <w:tcPr>
            <w:tcW w:w="871" w:type="dxa"/>
            <w:shd w:val="clear" w:color="auto" w:fill="auto"/>
          </w:tcPr>
          <w:p w14:paraId="0F645060"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1660</w:t>
            </w:r>
          </w:p>
        </w:tc>
        <w:tc>
          <w:tcPr>
            <w:tcW w:w="661" w:type="dxa"/>
            <w:tcBorders>
              <w:left w:val="nil"/>
              <w:bottom w:val="nil"/>
              <w:right w:val="nil"/>
            </w:tcBorders>
            <w:shd w:val="clear" w:color="auto" w:fill="auto"/>
          </w:tcPr>
          <w:p w14:paraId="166C3C3C"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98.1</w:t>
            </w:r>
          </w:p>
        </w:tc>
        <w:tc>
          <w:tcPr>
            <w:tcW w:w="661" w:type="dxa"/>
            <w:shd w:val="clear" w:color="auto" w:fill="auto"/>
          </w:tcPr>
          <w:p w14:paraId="514F769A"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100.0</w:t>
            </w:r>
          </w:p>
        </w:tc>
        <w:tc>
          <w:tcPr>
            <w:tcW w:w="799" w:type="dxa"/>
            <w:tcBorders>
              <w:left w:val="nil"/>
              <w:bottom w:val="nil"/>
              <w:right w:val="nil"/>
            </w:tcBorders>
            <w:shd w:val="clear" w:color="auto" w:fill="auto"/>
          </w:tcPr>
          <w:p w14:paraId="7085E39C"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1654</w:t>
            </w:r>
          </w:p>
        </w:tc>
        <w:tc>
          <w:tcPr>
            <w:tcW w:w="993" w:type="dxa"/>
            <w:shd w:val="clear" w:color="auto" w:fill="auto"/>
          </w:tcPr>
          <w:p w14:paraId="5B79C690"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97.7</w:t>
            </w:r>
          </w:p>
        </w:tc>
        <w:tc>
          <w:tcPr>
            <w:tcW w:w="1026" w:type="dxa"/>
            <w:tcBorders>
              <w:left w:val="nil"/>
              <w:bottom w:val="nil"/>
              <w:right w:val="nil"/>
            </w:tcBorders>
            <w:shd w:val="clear" w:color="auto" w:fill="auto"/>
          </w:tcPr>
          <w:p w14:paraId="69C37BEB"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100.0</w:t>
            </w:r>
          </w:p>
        </w:tc>
      </w:tr>
      <w:tr w:rsidR="00E26B19" w:rsidRPr="00D12E59" w14:paraId="0E71DADF" w14:textId="77777777" w:rsidTr="00E26B19">
        <w:trPr>
          <w:trHeight w:val="131"/>
        </w:trPr>
        <w:tc>
          <w:tcPr>
            <w:tcW w:w="248" w:type="dxa"/>
            <w:tcBorders>
              <w:left w:val="nil"/>
              <w:bottom w:val="nil"/>
              <w:right w:val="nil"/>
            </w:tcBorders>
            <w:shd w:val="clear" w:color="auto" w:fill="auto"/>
          </w:tcPr>
          <w:p w14:paraId="43F91423" w14:textId="77777777" w:rsidR="00E26B19" w:rsidRPr="00D12E59" w:rsidRDefault="00E26B19" w:rsidP="00E26B19">
            <w:pPr>
              <w:autoSpaceDE w:val="0"/>
              <w:autoSpaceDN w:val="0"/>
              <w:adjustRightInd w:val="0"/>
              <w:spacing w:after="0" w:line="240" w:lineRule="auto"/>
              <w:rPr>
                <w:rFonts w:ascii="Book Antiqua" w:hAnsi="Book Antiqua"/>
                <w:color w:val="000000"/>
              </w:rPr>
            </w:pPr>
          </w:p>
        </w:tc>
        <w:tc>
          <w:tcPr>
            <w:tcW w:w="1249" w:type="dxa"/>
            <w:tcBorders>
              <w:left w:val="nil"/>
              <w:right w:val="nil"/>
            </w:tcBorders>
            <w:shd w:val="clear" w:color="auto" w:fill="auto"/>
          </w:tcPr>
          <w:p w14:paraId="45865656"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None Response</w:t>
            </w:r>
          </w:p>
        </w:tc>
        <w:tc>
          <w:tcPr>
            <w:tcW w:w="799" w:type="dxa"/>
            <w:tcBorders>
              <w:left w:val="nil"/>
              <w:bottom w:val="nil"/>
              <w:right w:val="nil"/>
            </w:tcBorders>
            <w:shd w:val="clear" w:color="auto" w:fill="auto"/>
          </w:tcPr>
          <w:p w14:paraId="4DAAEFFE"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30</w:t>
            </w:r>
          </w:p>
        </w:tc>
        <w:tc>
          <w:tcPr>
            <w:tcW w:w="589" w:type="dxa"/>
            <w:tcBorders>
              <w:left w:val="nil"/>
              <w:right w:val="nil"/>
            </w:tcBorders>
            <w:shd w:val="clear" w:color="auto" w:fill="auto"/>
          </w:tcPr>
          <w:p w14:paraId="31C5B971"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1.8</w:t>
            </w:r>
          </w:p>
        </w:tc>
        <w:tc>
          <w:tcPr>
            <w:tcW w:w="662" w:type="dxa"/>
            <w:tcBorders>
              <w:left w:val="nil"/>
              <w:bottom w:val="nil"/>
              <w:right w:val="nil"/>
            </w:tcBorders>
            <w:shd w:val="clear" w:color="auto" w:fill="auto"/>
          </w:tcPr>
          <w:p w14:paraId="0967F98C" w14:textId="77777777" w:rsidR="00E26B19" w:rsidRPr="00D12E59" w:rsidRDefault="00E26B19" w:rsidP="00E26B19">
            <w:pPr>
              <w:autoSpaceDE w:val="0"/>
              <w:autoSpaceDN w:val="0"/>
              <w:adjustRightInd w:val="0"/>
              <w:spacing w:after="0" w:line="240" w:lineRule="auto"/>
              <w:rPr>
                <w:rFonts w:ascii="Book Antiqua" w:hAnsi="Book Antiqua"/>
                <w:color w:val="365F91"/>
              </w:rPr>
            </w:pPr>
          </w:p>
        </w:tc>
        <w:tc>
          <w:tcPr>
            <w:tcW w:w="871" w:type="dxa"/>
            <w:tcBorders>
              <w:left w:val="nil"/>
              <w:right w:val="nil"/>
            </w:tcBorders>
            <w:shd w:val="clear" w:color="auto" w:fill="auto"/>
          </w:tcPr>
          <w:p w14:paraId="74DD2CFF"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33</w:t>
            </w:r>
          </w:p>
        </w:tc>
        <w:tc>
          <w:tcPr>
            <w:tcW w:w="661" w:type="dxa"/>
            <w:tcBorders>
              <w:left w:val="nil"/>
              <w:bottom w:val="nil"/>
              <w:right w:val="nil"/>
            </w:tcBorders>
            <w:shd w:val="clear" w:color="auto" w:fill="auto"/>
          </w:tcPr>
          <w:p w14:paraId="64143B3B"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1.9</w:t>
            </w:r>
          </w:p>
        </w:tc>
        <w:tc>
          <w:tcPr>
            <w:tcW w:w="661" w:type="dxa"/>
            <w:tcBorders>
              <w:left w:val="nil"/>
              <w:right w:val="nil"/>
            </w:tcBorders>
            <w:shd w:val="clear" w:color="auto" w:fill="auto"/>
          </w:tcPr>
          <w:p w14:paraId="7731255D" w14:textId="77777777" w:rsidR="00E26B19" w:rsidRPr="00D12E59" w:rsidRDefault="00E26B19" w:rsidP="00E26B19">
            <w:pPr>
              <w:autoSpaceDE w:val="0"/>
              <w:autoSpaceDN w:val="0"/>
              <w:adjustRightInd w:val="0"/>
              <w:spacing w:after="0" w:line="240" w:lineRule="auto"/>
              <w:rPr>
                <w:rFonts w:ascii="Book Antiqua" w:hAnsi="Book Antiqua"/>
                <w:color w:val="365F91"/>
              </w:rPr>
            </w:pPr>
          </w:p>
        </w:tc>
        <w:tc>
          <w:tcPr>
            <w:tcW w:w="799" w:type="dxa"/>
            <w:tcBorders>
              <w:left w:val="nil"/>
              <w:bottom w:val="nil"/>
              <w:right w:val="nil"/>
            </w:tcBorders>
            <w:shd w:val="clear" w:color="auto" w:fill="auto"/>
          </w:tcPr>
          <w:p w14:paraId="3373664F"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39</w:t>
            </w:r>
          </w:p>
        </w:tc>
        <w:tc>
          <w:tcPr>
            <w:tcW w:w="993" w:type="dxa"/>
            <w:tcBorders>
              <w:left w:val="nil"/>
              <w:right w:val="nil"/>
            </w:tcBorders>
            <w:shd w:val="clear" w:color="auto" w:fill="auto"/>
          </w:tcPr>
          <w:p w14:paraId="6D28B28C"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2.3</w:t>
            </w:r>
          </w:p>
        </w:tc>
        <w:tc>
          <w:tcPr>
            <w:tcW w:w="1026" w:type="dxa"/>
            <w:tcBorders>
              <w:left w:val="nil"/>
              <w:bottom w:val="nil"/>
              <w:right w:val="nil"/>
            </w:tcBorders>
            <w:shd w:val="clear" w:color="auto" w:fill="auto"/>
          </w:tcPr>
          <w:p w14:paraId="4D569A7F" w14:textId="77777777" w:rsidR="00E26B19" w:rsidRPr="00D12E59" w:rsidRDefault="00E26B19" w:rsidP="00E26B19">
            <w:pPr>
              <w:autoSpaceDE w:val="0"/>
              <w:autoSpaceDN w:val="0"/>
              <w:adjustRightInd w:val="0"/>
              <w:spacing w:after="0" w:line="240" w:lineRule="auto"/>
              <w:rPr>
                <w:rFonts w:ascii="Book Antiqua" w:hAnsi="Book Antiqua"/>
                <w:color w:val="365F91"/>
              </w:rPr>
            </w:pPr>
          </w:p>
        </w:tc>
      </w:tr>
      <w:tr w:rsidR="00E26B19" w:rsidRPr="00D12E59" w14:paraId="684FEB69" w14:textId="77777777" w:rsidTr="00E26B19">
        <w:trPr>
          <w:trHeight w:val="158"/>
        </w:trPr>
        <w:tc>
          <w:tcPr>
            <w:tcW w:w="1497" w:type="dxa"/>
            <w:gridSpan w:val="2"/>
            <w:tcBorders>
              <w:left w:val="nil"/>
              <w:right w:val="nil"/>
            </w:tcBorders>
            <w:shd w:val="clear" w:color="auto" w:fill="auto"/>
          </w:tcPr>
          <w:p w14:paraId="40E66398"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Total</w:t>
            </w:r>
          </w:p>
        </w:tc>
        <w:tc>
          <w:tcPr>
            <w:tcW w:w="799" w:type="dxa"/>
            <w:shd w:val="clear" w:color="auto" w:fill="auto"/>
          </w:tcPr>
          <w:p w14:paraId="61879C1A"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1693</w:t>
            </w:r>
          </w:p>
        </w:tc>
        <w:tc>
          <w:tcPr>
            <w:tcW w:w="589" w:type="dxa"/>
            <w:tcBorders>
              <w:left w:val="nil"/>
              <w:right w:val="nil"/>
            </w:tcBorders>
            <w:shd w:val="clear" w:color="auto" w:fill="auto"/>
          </w:tcPr>
          <w:p w14:paraId="2A7C8224"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100.0</w:t>
            </w:r>
          </w:p>
        </w:tc>
        <w:tc>
          <w:tcPr>
            <w:tcW w:w="662" w:type="dxa"/>
            <w:shd w:val="clear" w:color="auto" w:fill="auto"/>
          </w:tcPr>
          <w:p w14:paraId="059959C0" w14:textId="77777777" w:rsidR="00E26B19" w:rsidRPr="00D12E59" w:rsidRDefault="00E26B19" w:rsidP="00E26B19">
            <w:pPr>
              <w:autoSpaceDE w:val="0"/>
              <w:autoSpaceDN w:val="0"/>
              <w:adjustRightInd w:val="0"/>
              <w:spacing w:after="0" w:line="240" w:lineRule="auto"/>
              <w:rPr>
                <w:rFonts w:ascii="Book Antiqua" w:hAnsi="Book Antiqua"/>
                <w:color w:val="365F91"/>
              </w:rPr>
            </w:pPr>
          </w:p>
        </w:tc>
        <w:tc>
          <w:tcPr>
            <w:tcW w:w="871" w:type="dxa"/>
            <w:tcBorders>
              <w:left w:val="nil"/>
              <w:right w:val="nil"/>
            </w:tcBorders>
            <w:shd w:val="clear" w:color="auto" w:fill="auto"/>
          </w:tcPr>
          <w:p w14:paraId="6714D6D7" w14:textId="77777777" w:rsidR="00E26B19" w:rsidRPr="00D12E59" w:rsidRDefault="00E26B19" w:rsidP="00E26B19">
            <w:pPr>
              <w:autoSpaceDE w:val="0"/>
              <w:autoSpaceDN w:val="0"/>
              <w:adjustRightInd w:val="0"/>
              <w:spacing w:after="0" w:line="240" w:lineRule="auto"/>
              <w:rPr>
                <w:rFonts w:ascii="Book Antiqua" w:hAnsi="Book Antiqua"/>
                <w:color w:val="000000"/>
              </w:rPr>
            </w:pPr>
          </w:p>
          <w:p w14:paraId="2582E9DF" w14:textId="77777777" w:rsidR="00E26B19" w:rsidRPr="00D12E59" w:rsidRDefault="00E26B19" w:rsidP="00E26B19">
            <w:pPr>
              <w:autoSpaceDE w:val="0"/>
              <w:autoSpaceDN w:val="0"/>
              <w:adjustRightInd w:val="0"/>
              <w:spacing w:after="0" w:line="240" w:lineRule="auto"/>
              <w:rPr>
                <w:rFonts w:ascii="Book Antiqua" w:hAnsi="Book Antiqua"/>
                <w:color w:val="365F91"/>
              </w:rPr>
            </w:pPr>
            <w:r w:rsidRPr="00D12E59">
              <w:rPr>
                <w:rFonts w:ascii="Book Antiqua" w:hAnsi="Book Antiqua"/>
                <w:color w:val="000000"/>
              </w:rPr>
              <w:t>1693</w:t>
            </w:r>
          </w:p>
        </w:tc>
        <w:tc>
          <w:tcPr>
            <w:tcW w:w="661" w:type="dxa"/>
            <w:shd w:val="clear" w:color="auto" w:fill="auto"/>
          </w:tcPr>
          <w:p w14:paraId="2A52DBD7"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100.0</w:t>
            </w:r>
          </w:p>
        </w:tc>
        <w:tc>
          <w:tcPr>
            <w:tcW w:w="661" w:type="dxa"/>
            <w:tcBorders>
              <w:left w:val="nil"/>
              <w:right w:val="nil"/>
            </w:tcBorders>
            <w:shd w:val="clear" w:color="auto" w:fill="auto"/>
          </w:tcPr>
          <w:p w14:paraId="47C89A0D" w14:textId="77777777" w:rsidR="00E26B19" w:rsidRPr="00D12E59" w:rsidRDefault="00E26B19" w:rsidP="00E26B19">
            <w:pPr>
              <w:autoSpaceDE w:val="0"/>
              <w:autoSpaceDN w:val="0"/>
              <w:adjustRightInd w:val="0"/>
              <w:spacing w:after="0" w:line="240" w:lineRule="auto"/>
              <w:rPr>
                <w:rFonts w:ascii="Book Antiqua" w:hAnsi="Book Antiqua"/>
                <w:color w:val="000000"/>
              </w:rPr>
            </w:pPr>
          </w:p>
        </w:tc>
        <w:tc>
          <w:tcPr>
            <w:tcW w:w="799" w:type="dxa"/>
            <w:shd w:val="clear" w:color="auto" w:fill="auto"/>
          </w:tcPr>
          <w:p w14:paraId="75CAC17B" w14:textId="77777777" w:rsidR="00E26B19" w:rsidRPr="00D12E59" w:rsidRDefault="00E26B19" w:rsidP="00E26B19">
            <w:pPr>
              <w:autoSpaceDE w:val="0"/>
              <w:autoSpaceDN w:val="0"/>
              <w:adjustRightInd w:val="0"/>
              <w:spacing w:after="0" w:line="240" w:lineRule="auto"/>
              <w:rPr>
                <w:rFonts w:ascii="Book Antiqua" w:hAnsi="Book Antiqua"/>
                <w:color w:val="000000"/>
              </w:rPr>
            </w:pPr>
          </w:p>
          <w:p w14:paraId="7E6D86F0" w14:textId="77777777" w:rsidR="00E26B19" w:rsidRPr="00D12E59" w:rsidRDefault="00E26B19" w:rsidP="00E26B19">
            <w:pPr>
              <w:autoSpaceDE w:val="0"/>
              <w:autoSpaceDN w:val="0"/>
              <w:adjustRightInd w:val="0"/>
              <w:spacing w:after="0" w:line="240" w:lineRule="auto"/>
              <w:rPr>
                <w:rFonts w:ascii="Book Antiqua" w:hAnsi="Book Antiqua"/>
                <w:color w:val="365F91"/>
              </w:rPr>
            </w:pPr>
            <w:r w:rsidRPr="00D12E59">
              <w:rPr>
                <w:rFonts w:ascii="Book Antiqua" w:hAnsi="Book Antiqua"/>
                <w:color w:val="000000"/>
              </w:rPr>
              <w:t>1693</w:t>
            </w:r>
          </w:p>
        </w:tc>
        <w:tc>
          <w:tcPr>
            <w:tcW w:w="993" w:type="dxa"/>
            <w:tcBorders>
              <w:left w:val="nil"/>
              <w:right w:val="nil"/>
            </w:tcBorders>
            <w:shd w:val="clear" w:color="auto" w:fill="auto"/>
          </w:tcPr>
          <w:p w14:paraId="4ADE9DBF" w14:textId="77777777" w:rsidR="00E26B19" w:rsidRPr="00D12E59" w:rsidRDefault="00E26B19" w:rsidP="00E26B19">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100.0</w:t>
            </w:r>
          </w:p>
        </w:tc>
        <w:tc>
          <w:tcPr>
            <w:tcW w:w="1026" w:type="dxa"/>
            <w:shd w:val="clear" w:color="auto" w:fill="auto"/>
          </w:tcPr>
          <w:p w14:paraId="59568C44" w14:textId="77777777" w:rsidR="00E26B19" w:rsidRPr="00D12E59" w:rsidRDefault="00E26B19" w:rsidP="00E26B19">
            <w:pPr>
              <w:autoSpaceDE w:val="0"/>
              <w:autoSpaceDN w:val="0"/>
              <w:adjustRightInd w:val="0"/>
              <w:spacing w:after="0" w:line="240" w:lineRule="auto"/>
              <w:rPr>
                <w:rFonts w:ascii="Book Antiqua" w:hAnsi="Book Antiqua"/>
                <w:color w:val="000000"/>
              </w:rPr>
            </w:pPr>
          </w:p>
        </w:tc>
      </w:tr>
    </w:tbl>
    <w:p w14:paraId="5D070BC3" w14:textId="77777777" w:rsidR="00E26B19" w:rsidRDefault="00E26B19" w:rsidP="00E26B19">
      <w:pPr>
        <w:autoSpaceDE w:val="0"/>
        <w:autoSpaceDN w:val="0"/>
        <w:adjustRightInd w:val="0"/>
        <w:spacing w:after="0" w:line="240" w:lineRule="auto"/>
        <w:rPr>
          <w:rFonts w:ascii="Book Antiqua" w:hAnsi="Book Antiqua"/>
          <w:b/>
          <w:bCs/>
          <w:color w:val="000000"/>
        </w:rPr>
        <w:sectPr w:rsidR="00E26B19" w:rsidSect="006530EA">
          <w:type w:val="continuous"/>
          <w:pgSz w:w="11907" w:h="16839" w:code="9"/>
          <w:pgMar w:top="720" w:right="720" w:bottom="720" w:left="720" w:header="720" w:footer="720" w:gutter="0"/>
          <w:cols w:space="720"/>
          <w:noEndnote/>
        </w:sectPr>
      </w:pPr>
    </w:p>
    <w:p w14:paraId="725B11E7" w14:textId="77777777" w:rsidR="00747426" w:rsidRDefault="00747426" w:rsidP="00D92FCA">
      <w:pPr>
        <w:autoSpaceDE w:val="0"/>
        <w:autoSpaceDN w:val="0"/>
        <w:adjustRightInd w:val="0"/>
        <w:rPr>
          <w:rFonts w:ascii="Book Antiqua" w:hAnsi="Book Antiqua"/>
        </w:rPr>
        <w:sectPr w:rsidR="00747426" w:rsidSect="006530EA">
          <w:type w:val="continuous"/>
          <w:pgSz w:w="11907" w:h="16839" w:code="9"/>
          <w:pgMar w:top="720" w:right="720" w:bottom="720" w:left="720" w:header="720" w:footer="720" w:gutter="0"/>
          <w:cols w:space="720"/>
          <w:noEndnote/>
        </w:sectPr>
      </w:pPr>
    </w:p>
    <w:p w14:paraId="2ACAB17F" w14:textId="77777777" w:rsidR="006530EA" w:rsidRDefault="006530EA" w:rsidP="00E26B19">
      <w:pPr>
        <w:autoSpaceDE w:val="0"/>
        <w:autoSpaceDN w:val="0"/>
        <w:adjustRightInd w:val="0"/>
        <w:rPr>
          <w:rFonts w:ascii="Book Antiqua" w:hAnsi="Book Antiqua"/>
          <w:b/>
          <w:bCs/>
          <w:color w:val="000000"/>
        </w:rPr>
        <w:sectPr w:rsidR="006530EA" w:rsidSect="006530EA">
          <w:type w:val="continuous"/>
          <w:pgSz w:w="11907" w:h="16839" w:code="9"/>
          <w:pgMar w:top="720" w:right="720" w:bottom="720" w:left="720" w:header="720" w:footer="720" w:gutter="0"/>
          <w:cols w:space="720"/>
          <w:noEndnote/>
        </w:sectPr>
      </w:pPr>
    </w:p>
    <w:p w14:paraId="3D08223D" w14:textId="77777777" w:rsidR="00190244" w:rsidRDefault="00190244" w:rsidP="00D92FCA">
      <w:pPr>
        <w:autoSpaceDE w:val="0"/>
        <w:autoSpaceDN w:val="0"/>
        <w:adjustRightInd w:val="0"/>
        <w:spacing w:after="0"/>
        <w:rPr>
          <w:rFonts w:ascii="Book Antiqua" w:hAnsi="Book Antiqua"/>
        </w:rPr>
      </w:pPr>
    </w:p>
    <w:p w14:paraId="7C165479" w14:textId="77777777" w:rsidR="00190244" w:rsidRDefault="00190244" w:rsidP="00D92FCA">
      <w:pPr>
        <w:autoSpaceDE w:val="0"/>
        <w:autoSpaceDN w:val="0"/>
        <w:adjustRightInd w:val="0"/>
        <w:spacing w:after="0"/>
        <w:rPr>
          <w:rFonts w:ascii="Book Antiqua" w:hAnsi="Book Antiqua"/>
        </w:rPr>
      </w:pPr>
    </w:p>
    <w:p w14:paraId="7FB3AFBF" w14:textId="77777777" w:rsidR="00190244" w:rsidRDefault="00190244" w:rsidP="00D92FCA">
      <w:pPr>
        <w:autoSpaceDE w:val="0"/>
        <w:autoSpaceDN w:val="0"/>
        <w:adjustRightInd w:val="0"/>
        <w:spacing w:after="0"/>
        <w:rPr>
          <w:rFonts w:ascii="Book Antiqua" w:hAnsi="Book Antiqua"/>
        </w:rPr>
      </w:pPr>
    </w:p>
    <w:p w14:paraId="2B6A3417" w14:textId="77777777" w:rsidR="00190244" w:rsidRDefault="00190244" w:rsidP="00D92FCA">
      <w:pPr>
        <w:autoSpaceDE w:val="0"/>
        <w:autoSpaceDN w:val="0"/>
        <w:adjustRightInd w:val="0"/>
        <w:spacing w:after="0"/>
        <w:rPr>
          <w:rFonts w:ascii="Book Antiqua" w:hAnsi="Book Antiqua"/>
        </w:rPr>
      </w:pPr>
    </w:p>
    <w:p w14:paraId="245D1A05" w14:textId="77777777" w:rsidR="00190244" w:rsidRDefault="00190244" w:rsidP="00D92FCA">
      <w:pPr>
        <w:autoSpaceDE w:val="0"/>
        <w:autoSpaceDN w:val="0"/>
        <w:adjustRightInd w:val="0"/>
        <w:spacing w:after="0"/>
        <w:rPr>
          <w:rFonts w:ascii="Book Antiqua" w:hAnsi="Book Antiqua"/>
        </w:rPr>
      </w:pPr>
    </w:p>
    <w:p w14:paraId="22BBE61E" w14:textId="77777777" w:rsidR="00190244" w:rsidRDefault="00190244" w:rsidP="00D92FCA">
      <w:pPr>
        <w:autoSpaceDE w:val="0"/>
        <w:autoSpaceDN w:val="0"/>
        <w:adjustRightInd w:val="0"/>
        <w:spacing w:after="0"/>
        <w:rPr>
          <w:rFonts w:ascii="Book Antiqua" w:hAnsi="Book Antiqua"/>
        </w:rPr>
      </w:pPr>
    </w:p>
    <w:p w14:paraId="1D77DE7F" w14:textId="77777777" w:rsidR="00190244" w:rsidRDefault="00190244" w:rsidP="00D92FCA">
      <w:pPr>
        <w:autoSpaceDE w:val="0"/>
        <w:autoSpaceDN w:val="0"/>
        <w:adjustRightInd w:val="0"/>
        <w:spacing w:after="0"/>
        <w:rPr>
          <w:rFonts w:ascii="Book Antiqua" w:hAnsi="Book Antiqua"/>
        </w:rPr>
      </w:pPr>
    </w:p>
    <w:p w14:paraId="1A9F808F" w14:textId="77777777" w:rsidR="00190244" w:rsidRDefault="00190244" w:rsidP="00D92FCA">
      <w:pPr>
        <w:autoSpaceDE w:val="0"/>
        <w:autoSpaceDN w:val="0"/>
        <w:adjustRightInd w:val="0"/>
        <w:spacing w:after="0"/>
        <w:rPr>
          <w:rFonts w:ascii="Book Antiqua" w:hAnsi="Book Antiqua"/>
        </w:rPr>
      </w:pPr>
    </w:p>
    <w:p w14:paraId="7413C04B" w14:textId="77777777" w:rsidR="00190244" w:rsidRDefault="00190244" w:rsidP="00D92FCA">
      <w:pPr>
        <w:autoSpaceDE w:val="0"/>
        <w:autoSpaceDN w:val="0"/>
        <w:adjustRightInd w:val="0"/>
        <w:spacing w:after="0"/>
        <w:rPr>
          <w:rFonts w:ascii="Book Antiqua" w:hAnsi="Book Antiqua"/>
        </w:rPr>
      </w:pPr>
    </w:p>
    <w:p w14:paraId="34C4EEFD" w14:textId="77777777" w:rsidR="00190244" w:rsidRDefault="00190244" w:rsidP="00D92FCA">
      <w:pPr>
        <w:autoSpaceDE w:val="0"/>
        <w:autoSpaceDN w:val="0"/>
        <w:adjustRightInd w:val="0"/>
        <w:spacing w:after="0"/>
        <w:rPr>
          <w:rFonts w:ascii="Book Antiqua" w:hAnsi="Book Antiqua"/>
        </w:rPr>
      </w:pPr>
    </w:p>
    <w:p w14:paraId="02112F90" w14:textId="77777777" w:rsidR="00190244" w:rsidRDefault="00190244" w:rsidP="00D92FCA">
      <w:pPr>
        <w:autoSpaceDE w:val="0"/>
        <w:autoSpaceDN w:val="0"/>
        <w:adjustRightInd w:val="0"/>
        <w:spacing w:after="0"/>
        <w:rPr>
          <w:rFonts w:ascii="Book Antiqua" w:hAnsi="Book Antiqua"/>
        </w:rPr>
      </w:pPr>
    </w:p>
    <w:p w14:paraId="685A5E02" w14:textId="77777777" w:rsidR="00190244" w:rsidRDefault="00190244" w:rsidP="00190244">
      <w:pPr>
        <w:autoSpaceDE w:val="0"/>
        <w:autoSpaceDN w:val="0"/>
        <w:adjustRightInd w:val="0"/>
        <w:spacing w:after="0" w:line="240" w:lineRule="auto"/>
        <w:rPr>
          <w:rFonts w:ascii="Book Antiqua" w:hAnsi="Book Antiqua"/>
        </w:rPr>
      </w:pPr>
    </w:p>
    <w:p w14:paraId="6DD5637E" w14:textId="77777777" w:rsidR="00190244" w:rsidRDefault="00190244" w:rsidP="00190244">
      <w:pPr>
        <w:autoSpaceDE w:val="0"/>
        <w:autoSpaceDN w:val="0"/>
        <w:adjustRightInd w:val="0"/>
        <w:spacing w:after="0" w:line="240" w:lineRule="auto"/>
        <w:rPr>
          <w:rFonts w:ascii="Book Antiqua" w:hAnsi="Book Antiqua"/>
        </w:rPr>
      </w:pPr>
    </w:p>
    <w:p w14:paraId="2E56D7C7" w14:textId="77777777" w:rsidR="00A64C19" w:rsidRDefault="00366AD5" w:rsidP="00190244">
      <w:pPr>
        <w:autoSpaceDE w:val="0"/>
        <w:autoSpaceDN w:val="0"/>
        <w:adjustRightInd w:val="0"/>
        <w:spacing w:after="0" w:line="240" w:lineRule="auto"/>
        <w:rPr>
          <w:rFonts w:ascii="Book Antiqua" w:hAnsi="Book Antiqua"/>
        </w:rPr>
      </w:pPr>
      <w:r>
        <w:rPr>
          <w:rFonts w:ascii="Book Antiqua" w:hAnsi="Book Antiqua"/>
        </w:rPr>
        <w:t xml:space="preserve">Source: Field Survey, 2012  </w:t>
      </w:r>
    </w:p>
    <w:p w14:paraId="54A0C2A3" w14:textId="77777777" w:rsidR="00B36BDC" w:rsidRDefault="00B36BDC" w:rsidP="00B36BDC">
      <w:pPr>
        <w:autoSpaceDE w:val="0"/>
        <w:autoSpaceDN w:val="0"/>
        <w:adjustRightInd w:val="0"/>
        <w:spacing w:after="0" w:line="240" w:lineRule="auto"/>
        <w:jc w:val="both"/>
        <w:rPr>
          <w:rFonts w:ascii="Times New Roman" w:hAnsi="Times New Roman"/>
          <w:sz w:val="24"/>
          <w:szCs w:val="24"/>
        </w:rPr>
      </w:pPr>
    </w:p>
    <w:p w14:paraId="3657BCC9" w14:textId="77777777" w:rsidR="003113BF" w:rsidRDefault="003113BF" w:rsidP="00B36BDC">
      <w:pPr>
        <w:autoSpaceDE w:val="0"/>
        <w:autoSpaceDN w:val="0"/>
        <w:adjustRightInd w:val="0"/>
        <w:spacing w:after="0" w:line="240" w:lineRule="auto"/>
        <w:jc w:val="both"/>
        <w:rPr>
          <w:rFonts w:ascii="Times New Roman" w:hAnsi="Times New Roman"/>
          <w:sz w:val="24"/>
          <w:szCs w:val="24"/>
        </w:rPr>
        <w:sectPr w:rsidR="003113BF" w:rsidSect="00B36BDC">
          <w:type w:val="continuous"/>
          <w:pgSz w:w="11907" w:h="16839" w:code="9"/>
          <w:pgMar w:top="720" w:right="720" w:bottom="720" w:left="1440" w:header="720" w:footer="720" w:gutter="0"/>
          <w:cols w:space="720"/>
          <w:noEndnote/>
        </w:sectPr>
      </w:pPr>
    </w:p>
    <w:p w14:paraId="5EF22F21" w14:textId="77777777" w:rsidR="00190244" w:rsidRDefault="00B36BDC" w:rsidP="00E26B19">
      <w:pPr>
        <w:autoSpaceDE w:val="0"/>
        <w:autoSpaceDN w:val="0"/>
        <w:adjustRightInd w:val="0"/>
        <w:spacing w:after="0"/>
        <w:jc w:val="both"/>
        <w:rPr>
          <w:rFonts w:ascii="Book Antiqua" w:hAnsi="Book Antiqua"/>
        </w:rPr>
        <w:sectPr w:rsidR="00190244" w:rsidSect="003113BF">
          <w:type w:val="continuous"/>
          <w:pgSz w:w="11907" w:h="16839" w:code="9"/>
          <w:pgMar w:top="720" w:right="720" w:bottom="720" w:left="1440" w:header="720" w:footer="720" w:gutter="0"/>
          <w:cols w:num="2" w:space="720"/>
          <w:noEndnote/>
        </w:sectPr>
      </w:pPr>
      <w:r w:rsidRPr="00E66310">
        <w:rPr>
          <w:rFonts w:ascii="Book Antiqua" w:hAnsi="Book Antiqua"/>
        </w:rPr>
        <w:t xml:space="preserve">Table 3.4.1 shows that, for first choice, public university came first with 78.1% followed by </w:t>
      </w:r>
      <w:r w:rsidRPr="00E66310">
        <w:rPr>
          <w:rFonts w:ascii="Book Antiqua" w:hAnsi="Book Antiqua"/>
        </w:rPr>
        <w:t xml:space="preserve">private university with 13.1% and polytechnic 8.8%. For second choice, private university </w:t>
      </w:r>
      <w:r w:rsidRPr="00E66310">
        <w:rPr>
          <w:rFonts w:ascii="Book Antiqua" w:hAnsi="Book Antiqua"/>
        </w:rPr>
        <w:lastRenderedPageBreak/>
        <w:t xml:space="preserve">came first with 48% followed by polytechnic with 34.8% and public university 17.2%. For third choice, thepolytechnic came first with 56.6% followed by private university with 39.1% and public university4.4%.This </w:t>
      </w:r>
      <w:r w:rsidRPr="00E66310">
        <w:rPr>
          <w:rFonts w:ascii="Book Antiqua" w:hAnsi="Book Antiqua"/>
        </w:rPr>
        <w:t>indicates that the most preferred tertiary education among SHS students is public university followed by private university, then the polytechnic.</w:t>
      </w:r>
    </w:p>
    <w:p w14:paraId="0C06E31A" w14:textId="77777777" w:rsidR="00366AD5" w:rsidRPr="00E3232D" w:rsidRDefault="00366AD5" w:rsidP="005C5162">
      <w:pPr>
        <w:spacing w:after="0" w:line="240" w:lineRule="auto"/>
        <w:rPr>
          <w:rFonts w:ascii="Book Antiqua" w:hAnsi="Book Antiqua"/>
        </w:rPr>
        <w:sectPr w:rsidR="00366AD5" w:rsidRPr="00E3232D" w:rsidSect="00E26B19">
          <w:type w:val="continuous"/>
          <w:pgSz w:w="11907" w:h="16839" w:code="9"/>
          <w:pgMar w:top="720" w:right="720" w:bottom="720" w:left="1440" w:header="720" w:footer="720" w:gutter="0"/>
          <w:cols w:num="2" w:space="720"/>
          <w:noEndnote/>
        </w:sectPr>
      </w:pPr>
    </w:p>
    <w:p w14:paraId="7F431550" w14:textId="77777777" w:rsidR="0099438A" w:rsidRDefault="0099438A" w:rsidP="00884C8C">
      <w:pPr>
        <w:tabs>
          <w:tab w:val="left" w:pos="-90"/>
        </w:tabs>
        <w:autoSpaceDE w:val="0"/>
        <w:autoSpaceDN w:val="0"/>
        <w:adjustRightInd w:val="0"/>
        <w:spacing w:after="0"/>
        <w:jc w:val="both"/>
        <w:rPr>
          <w:rFonts w:ascii="Book Antiqua" w:hAnsi="Book Antiqua"/>
          <w:b/>
          <w:bCs/>
          <w:color w:val="000000"/>
        </w:rPr>
        <w:sectPr w:rsidR="0099438A" w:rsidSect="00884C8C">
          <w:type w:val="continuous"/>
          <w:pgSz w:w="11907" w:h="16839" w:code="9"/>
          <w:pgMar w:top="720" w:right="720" w:bottom="720" w:left="1440" w:header="720" w:footer="720" w:gutter="0"/>
          <w:cols w:num="2" w:space="720"/>
          <w:noEndnote/>
        </w:sectPr>
      </w:pPr>
      <w:r w:rsidRPr="0099438A">
        <w:rPr>
          <w:rFonts w:ascii="Book Antiqua" w:hAnsi="Book Antiqua"/>
          <w:b/>
          <w:bCs/>
          <w:color w:val="000000"/>
        </w:rPr>
        <w:t xml:space="preserve">Table 3.4.2: One important reason that will </w:t>
      </w:r>
    </w:p>
    <w:p w14:paraId="4B959918" w14:textId="77777777" w:rsidR="0099438A" w:rsidRDefault="00884C8C" w:rsidP="00884C8C">
      <w:pPr>
        <w:autoSpaceDE w:val="0"/>
        <w:autoSpaceDN w:val="0"/>
        <w:adjustRightInd w:val="0"/>
        <w:spacing w:after="0"/>
        <w:jc w:val="both"/>
        <w:rPr>
          <w:rFonts w:ascii="Book Antiqua" w:hAnsi="Book Antiqua"/>
          <w:b/>
          <w:bCs/>
          <w:color w:val="000000"/>
        </w:rPr>
      </w:pPr>
      <w:r>
        <w:rPr>
          <w:rFonts w:ascii="Book Antiqua" w:hAnsi="Book Antiqua"/>
          <w:b/>
          <w:bCs/>
          <w:color w:val="000000"/>
        </w:rPr>
        <w:tab/>
        <w:t>Over other tertiary institutions</w:t>
      </w:r>
      <w:r w:rsidRPr="00884C8C">
        <w:rPr>
          <w:rFonts w:ascii="Book Antiqua" w:hAnsi="Book Antiqua"/>
          <w:b/>
          <w:bCs/>
          <w:color w:val="000000"/>
        </w:rPr>
        <w:t xml:space="preserve"> </w:t>
      </w:r>
      <w:r w:rsidRPr="0099438A">
        <w:rPr>
          <w:rFonts w:ascii="Book Antiqua" w:hAnsi="Book Antiqua"/>
          <w:b/>
          <w:bCs/>
          <w:color w:val="000000"/>
        </w:rPr>
        <w:t>make</w:t>
      </w:r>
      <w:r w:rsidRPr="00884C8C">
        <w:rPr>
          <w:rFonts w:ascii="Book Antiqua" w:hAnsi="Book Antiqua"/>
          <w:b/>
          <w:bCs/>
          <w:color w:val="000000"/>
        </w:rPr>
        <w:t xml:space="preserve"> </w:t>
      </w:r>
      <w:r w:rsidRPr="0099438A">
        <w:rPr>
          <w:rFonts w:ascii="Book Antiqua" w:hAnsi="Book Antiqua"/>
          <w:b/>
          <w:bCs/>
          <w:color w:val="000000"/>
        </w:rPr>
        <w:t>an</w:t>
      </w:r>
    </w:p>
    <w:p w14:paraId="451F1173" w14:textId="77777777" w:rsidR="00884C8C" w:rsidRDefault="00884C8C" w:rsidP="00884C8C">
      <w:pPr>
        <w:autoSpaceDE w:val="0"/>
        <w:autoSpaceDN w:val="0"/>
        <w:adjustRightInd w:val="0"/>
        <w:spacing w:after="0"/>
        <w:ind w:firstLine="720"/>
        <w:jc w:val="both"/>
        <w:rPr>
          <w:rFonts w:ascii="Book Antiqua" w:hAnsi="Book Antiqua"/>
          <w:b/>
          <w:bCs/>
          <w:color w:val="000000"/>
        </w:rPr>
      </w:pPr>
      <w:r>
        <w:rPr>
          <w:rFonts w:ascii="Book Antiqua" w:hAnsi="Book Antiqua"/>
          <w:b/>
          <w:bCs/>
          <w:color w:val="000000"/>
        </w:rPr>
        <w:t>SHS student choose polytechnic</w:t>
      </w:r>
    </w:p>
    <w:p w14:paraId="53ED398D" w14:textId="77777777" w:rsidR="00884C8C" w:rsidRDefault="00884C8C" w:rsidP="00DC5EB3">
      <w:pPr>
        <w:autoSpaceDE w:val="0"/>
        <w:autoSpaceDN w:val="0"/>
        <w:adjustRightInd w:val="0"/>
        <w:spacing w:after="0"/>
        <w:rPr>
          <w:rFonts w:ascii="Book Antiqua" w:hAnsi="Book Antiqua"/>
          <w:b/>
          <w:bCs/>
          <w:color w:val="000000"/>
        </w:rPr>
      </w:pPr>
    </w:p>
    <w:p w14:paraId="4EC5A8B8" w14:textId="77777777" w:rsidR="00884C8C" w:rsidRPr="0099438A" w:rsidRDefault="00884C8C" w:rsidP="00DC5EB3">
      <w:pPr>
        <w:autoSpaceDE w:val="0"/>
        <w:autoSpaceDN w:val="0"/>
        <w:adjustRightInd w:val="0"/>
        <w:spacing w:after="0"/>
        <w:rPr>
          <w:rFonts w:ascii="Book Antiqua" w:hAnsi="Book Antiqua"/>
          <w:b/>
          <w:bCs/>
          <w:color w:val="000000"/>
        </w:rPr>
      </w:pPr>
    </w:p>
    <w:p w14:paraId="0FE67429" w14:textId="77777777" w:rsidR="00AE52C0" w:rsidRDefault="00884C8C" w:rsidP="008275E1">
      <w:pPr>
        <w:autoSpaceDE w:val="0"/>
        <w:autoSpaceDN w:val="0"/>
        <w:adjustRightInd w:val="0"/>
        <w:rPr>
          <w:rFonts w:ascii="Book Antiqua" w:hAnsi="Book Antiqua"/>
        </w:rPr>
        <w:sectPr w:rsidR="00AE52C0" w:rsidSect="00884C8C">
          <w:type w:val="continuous"/>
          <w:pgSz w:w="11907" w:h="16839" w:code="9"/>
          <w:pgMar w:top="720" w:right="720" w:bottom="720" w:left="720" w:header="720" w:footer="720" w:gutter="0"/>
          <w:cols w:num="2" w:space="720"/>
          <w:noEndnote/>
        </w:sectPr>
      </w:pPr>
      <w:r>
        <w:rPr>
          <w:rFonts w:ascii="Book Antiqua" w:hAnsi="Book Antiqua"/>
        </w:rPr>
        <w:tab/>
      </w:r>
    </w:p>
    <w:tbl>
      <w:tblPr>
        <w:tblpPr w:leftFromText="180" w:rightFromText="180" w:vertAnchor="text" w:horzAnchor="page" w:tblpX="1273" w:tblpY="-72"/>
        <w:tblW w:w="7669" w:type="dxa"/>
        <w:tblBorders>
          <w:top w:val="single" w:sz="8" w:space="0" w:color="000000"/>
          <w:bottom w:val="single" w:sz="8" w:space="0" w:color="000000"/>
        </w:tblBorders>
        <w:tblLayout w:type="fixed"/>
        <w:tblLook w:val="01E0" w:firstRow="1" w:lastRow="1" w:firstColumn="1" w:lastColumn="1" w:noHBand="0" w:noVBand="0"/>
      </w:tblPr>
      <w:tblGrid>
        <w:gridCol w:w="1968"/>
        <w:gridCol w:w="1317"/>
        <w:gridCol w:w="1149"/>
        <w:gridCol w:w="1575"/>
        <w:gridCol w:w="1660"/>
      </w:tblGrid>
      <w:tr w:rsidR="00884C8C" w:rsidRPr="00D12E59" w14:paraId="1BC5A618" w14:textId="77777777" w:rsidTr="00AE6D8E">
        <w:trPr>
          <w:trHeight w:val="200"/>
        </w:trPr>
        <w:tc>
          <w:tcPr>
            <w:tcW w:w="1968" w:type="dxa"/>
            <w:shd w:val="clear" w:color="auto" w:fill="auto"/>
          </w:tcPr>
          <w:p w14:paraId="17031027" w14:textId="77777777" w:rsidR="00884C8C" w:rsidRPr="00884C8C" w:rsidRDefault="00884C8C" w:rsidP="00884C8C">
            <w:pPr>
              <w:autoSpaceDE w:val="0"/>
              <w:autoSpaceDN w:val="0"/>
              <w:adjustRightInd w:val="0"/>
              <w:spacing w:after="0"/>
              <w:rPr>
                <w:rFonts w:ascii="Book Antiqua" w:hAnsi="Book Antiqua"/>
                <w:b/>
                <w:bCs/>
                <w:color w:val="365F91"/>
              </w:rPr>
            </w:pPr>
          </w:p>
        </w:tc>
        <w:tc>
          <w:tcPr>
            <w:tcW w:w="1317" w:type="dxa"/>
            <w:shd w:val="clear" w:color="auto" w:fill="auto"/>
          </w:tcPr>
          <w:p w14:paraId="6B8F780A"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Frequency</w:t>
            </w:r>
          </w:p>
        </w:tc>
        <w:tc>
          <w:tcPr>
            <w:tcW w:w="1149" w:type="dxa"/>
            <w:shd w:val="clear" w:color="auto" w:fill="auto"/>
          </w:tcPr>
          <w:p w14:paraId="79FD0998"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Percent</w:t>
            </w:r>
          </w:p>
        </w:tc>
        <w:tc>
          <w:tcPr>
            <w:tcW w:w="1575" w:type="dxa"/>
            <w:shd w:val="clear" w:color="auto" w:fill="auto"/>
          </w:tcPr>
          <w:p w14:paraId="7B66170F"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Valid Percent</w:t>
            </w:r>
          </w:p>
        </w:tc>
        <w:tc>
          <w:tcPr>
            <w:tcW w:w="1660" w:type="dxa"/>
            <w:shd w:val="clear" w:color="auto" w:fill="auto"/>
          </w:tcPr>
          <w:p w14:paraId="168F8A9F"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Cumulative Percent</w:t>
            </w:r>
          </w:p>
        </w:tc>
      </w:tr>
      <w:tr w:rsidR="00884C8C" w:rsidRPr="00D12E59" w14:paraId="2F786C80" w14:textId="77777777" w:rsidTr="00AE6D8E">
        <w:trPr>
          <w:trHeight w:val="110"/>
        </w:trPr>
        <w:tc>
          <w:tcPr>
            <w:tcW w:w="1968" w:type="dxa"/>
            <w:shd w:val="clear" w:color="auto" w:fill="auto"/>
          </w:tcPr>
          <w:p w14:paraId="0881A044"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No reason</w:t>
            </w:r>
          </w:p>
        </w:tc>
        <w:tc>
          <w:tcPr>
            <w:tcW w:w="1317" w:type="dxa"/>
            <w:shd w:val="clear" w:color="auto" w:fill="auto"/>
          </w:tcPr>
          <w:p w14:paraId="6FEE175C"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406</w:t>
            </w:r>
          </w:p>
        </w:tc>
        <w:tc>
          <w:tcPr>
            <w:tcW w:w="1149" w:type="dxa"/>
            <w:shd w:val="clear" w:color="auto" w:fill="auto"/>
          </w:tcPr>
          <w:p w14:paraId="1C030947"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24.1</w:t>
            </w:r>
          </w:p>
        </w:tc>
        <w:tc>
          <w:tcPr>
            <w:tcW w:w="1575" w:type="dxa"/>
            <w:shd w:val="clear" w:color="auto" w:fill="auto"/>
          </w:tcPr>
          <w:p w14:paraId="3B87AF27"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24.1</w:t>
            </w:r>
          </w:p>
        </w:tc>
        <w:tc>
          <w:tcPr>
            <w:tcW w:w="1660" w:type="dxa"/>
            <w:shd w:val="clear" w:color="auto" w:fill="auto"/>
          </w:tcPr>
          <w:p w14:paraId="5F573426"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24.1</w:t>
            </w:r>
          </w:p>
        </w:tc>
      </w:tr>
      <w:tr w:rsidR="00884C8C" w:rsidRPr="00D12E59" w14:paraId="512A4CCD" w14:textId="77777777" w:rsidTr="00AE6D8E">
        <w:trPr>
          <w:trHeight w:val="46"/>
        </w:trPr>
        <w:tc>
          <w:tcPr>
            <w:tcW w:w="1968" w:type="dxa"/>
            <w:shd w:val="clear" w:color="auto" w:fill="auto"/>
          </w:tcPr>
          <w:p w14:paraId="39E7240C"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Financial</w:t>
            </w:r>
          </w:p>
        </w:tc>
        <w:tc>
          <w:tcPr>
            <w:tcW w:w="1317" w:type="dxa"/>
            <w:shd w:val="clear" w:color="auto" w:fill="auto"/>
          </w:tcPr>
          <w:p w14:paraId="735EA704"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286</w:t>
            </w:r>
          </w:p>
        </w:tc>
        <w:tc>
          <w:tcPr>
            <w:tcW w:w="1149" w:type="dxa"/>
            <w:shd w:val="clear" w:color="auto" w:fill="auto"/>
          </w:tcPr>
          <w:p w14:paraId="113A294F"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17.0</w:t>
            </w:r>
          </w:p>
        </w:tc>
        <w:tc>
          <w:tcPr>
            <w:tcW w:w="1575" w:type="dxa"/>
            <w:shd w:val="clear" w:color="auto" w:fill="auto"/>
          </w:tcPr>
          <w:p w14:paraId="7F4F820E"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17.0</w:t>
            </w:r>
          </w:p>
        </w:tc>
        <w:tc>
          <w:tcPr>
            <w:tcW w:w="1660" w:type="dxa"/>
            <w:shd w:val="clear" w:color="auto" w:fill="auto"/>
          </w:tcPr>
          <w:p w14:paraId="283D426E"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41.1</w:t>
            </w:r>
          </w:p>
        </w:tc>
      </w:tr>
      <w:tr w:rsidR="00884C8C" w:rsidRPr="00D12E59" w14:paraId="100E5D3D" w14:textId="77777777" w:rsidTr="00AE6D8E">
        <w:trPr>
          <w:trHeight w:val="46"/>
        </w:trPr>
        <w:tc>
          <w:tcPr>
            <w:tcW w:w="1968" w:type="dxa"/>
            <w:shd w:val="clear" w:color="auto" w:fill="auto"/>
          </w:tcPr>
          <w:p w14:paraId="5ED14251"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Practical oriented</w:t>
            </w:r>
          </w:p>
        </w:tc>
        <w:tc>
          <w:tcPr>
            <w:tcW w:w="1317" w:type="dxa"/>
            <w:shd w:val="clear" w:color="auto" w:fill="auto"/>
          </w:tcPr>
          <w:p w14:paraId="1CEA0235"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337</w:t>
            </w:r>
          </w:p>
        </w:tc>
        <w:tc>
          <w:tcPr>
            <w:tcW w:w="1149" w:type="dxa"/>
            <w:shd w:val="clear" w:color="auto" w:fill="auto"/>
          </w:tcPr>
          <w:p w14:paraId="58636A7E"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20.0</w:t>
            </w:r>
          </w:p>
        </w:tc>
        <w:tc>
          <w:tcPr>
            <w:tcW w:w="1575" w:type="dxa"/>
            <w:shd w:val="clear" w:color="auto" w:fill="auto"/>
          </w:tcPr>
          <w:p w14:paraId="78F9494C"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20.0</w:t>
            </w:r>
          </w:p>
        </w:tc>
        <w:tc>
          <w:tcPr>
            <w:tcW w:w="1660" w:type="dxa"/>
            <w:shd w:val="clear" w:color="auto" w:fill="auto"/>
          </w:tcPr>
          <w:p w14:paraId="0E7DED89"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61.1</w:t>
            </w:r>
          </w:p>
        </w:tc>
      </w:tr>
      <w:tr w:rsidR="00884C8C" w:rsidRPr="00D12E59" w14:paraId="0C2184F0" w14:textId="77777777" w:rsidTr="00AE6D8E">
        <w:trPr>
          <w:trHeight w:val="46"/>
        </w:trPr>
        <w:tc>
          <w:tcPr>
            <w:tcW w:w="1968" w:type="dxa"/>
            <w:shd w:val="clear" w:color="auto" w:fill="auto"/>
          </w:tcPr>
          <w:p w14:paraId="121BB70B"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Job prospect</w:t>
            </w:r>
          </w:p>
        </w:tc>
        <w:tc>
          <w:tcPr>
            <w:tcW w:w="1317" w:type="dxa"/>
            <w:shd w:val="clear" w:color="auto" w:fill="auto"/>
          </w:tcPr>
          <w:p w14:paraId="4C49D838"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123</w:t>
            </w:r>
          </w:p>
        </w:tc>
        <w:tc>
          <w:tcPr>
            <w:tcW w:w="1149" w:type="dxa"/>
            <w:shd w:val="clear" w:color="auto" w:fill="auto"/>
          </w:tcPr>
          <w:p w14:paraId="47F8B12A"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7.3</w:t>
            </w:r>
          </w:p>
        </w:tc>
        <w:tc>
          <w:tcPr>
            <w:tcW w:w="1575" w:type="dxa"/>
            <w:shd w:val="clear" w:color="auto" w:fill="auto"/>
          </w:tcPr>
          <w:p w14:paraId="2AB1636A"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7.3</w:t>
            </w:r>
          </w:p>
        </w:tc>
        <w:tc>
          <w:tcPr>
            <w:tcW w:w="1660" w:type="dxa"/>
            <w:shd w:val="clear" w:color="auto" w:fill="auto"/>
          </w:tcPr>
          <w:p w14:paraId="723F9419"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68.4</w:t>
            </w:r>
          </w:p>
        </w:tc>
      </w:tr>
      <w:tr w:rsidR="00884C8C" w:rsidRPr="00D12E59" w14:paraId="41265AB8" w14:textId="77777777" w:rsidTr="00AE6D8E">
        <w:trPr>
          <w:trHeight w:val="46"/>
        </w:trPr>
        <w:tc>
          <w:tcPr>
            <w:tcW w:w="1968" w:type="dxa"/>
            <w:shd w:val="clear" w:color="auto" w:fill="auto"/>
          </w:tcPr>
          <w:p w14:paraId="7CF5966B"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Last resort</w:t>
            </w:r>
          </w:p>
        </w:tc>
        <w:tc>
          <w:tcPr>
            <w:tcW w:w="1317" w:type="dxa"/>
            <w:shd w:val="clear" w:color="auto" w:fill="auto"/>
          </w:tcPr>
          <w:p w14:paraId="74987FA7"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101</w:t>
            </w:r>
          </w:p>
        </w:tc>
        <w:tc>
          <w:tcPr>
            <w:tcW w:w="1149" w:type="dxa"/>
            <w:shd w:val="clear" w:color="auto" w:fill="auto"/>
          </w:tcPr>
          <w:p w14:paraId="19662261"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6.0</w:t>
            </w:r>
          </w:p>
        </w:tc>
        <w:tc>
          <w:tcPr>
            <w:tcW w:w="1575" w:type="dxa"/>
            <w:shd w:val="clear" w:color="auto" w:fill="auto"/>
          </w:tcPr>
          <w:p w14:paraId="7E41AEB0"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6.0</w:t>
            </w:r>
          </w:p>
        </w:tc>
        <w:tc>
          <w:tcPr>
            <w:tcW w:w="1660" w:type="dxa"/>
            <w:shd w:val="clear" w:color="auto" w:fill="auto"/>
          </w:tcPr>
          <w:p w14:paraId="38D792C5"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74.4</w:t>
            </w:r>
          </w:p>
        </w:tc>
      </w:tr>
      <w:tr w:rsidR="00884C8C" w:rsidRPr="00D12E59" w14:paraId="28A90555" w14:textId="77777777" w:rsidTr="00AE6D8E">
        <w:trPr>
          <w:trHeight w:val="46"/>
        </w:trPr>
        <w:tc>
          <w:tcPr>
            <w:tcW w:w="1968" w:type="dxa"/>
            <w:shd w:val="clear" w:color="auto" w:fill="auto"/>
          </w:tcPr>
          <w:p w14:paraId="777325CC"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Other</w:t>
            </w:r>
          </w:p>
        </w:tc>
        <w:tc>
          <w:tcPr>
            <w:tcW w:w="1317" w:type="dxa"/>
            <w:shd w:val="clear" w:color="auto" w:fill="auto"/>
          </w:tcPr>
          <w:p w14:paraId="177E04F7"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431</w:t>
            </w:r>
          </w:p>
        </w:tc>
        <w:tc>
          <w:tcPr>
            <w:tcW w:w="1149" w:type="dxa"/>
            <w:shd w:val="clear" w:color="auto" w:fill="auto"/>
          </w:tcPr>
          <w:p w14:paraId="589122F7"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25.6</w:t>
            </w:r>
          </w:p>
        </w:tc>
        <w:tc>
          <w:tcPr>
            <w:tcW w:w="1575" w:type="dxa"/>
            <w:shd w:val="clear" w:color="auto" w:fill="auto"/>
          </w:tcPr>
          <w:p w14:paraId="52F73027" w14:textId="77777777" w:rsidR="00884C8C" w:rsidRPr="00884C8C" w:rsidRDefault="00884C8C" w:rsidP="00884C8C">
            <w:pPr>
              <w:autoSpaceDE w:val="0"/>
              <w:autoSpaceDN w:val="0"/>
              <w:adjustRightInd w:val="0"/>
              <w:spacing w:after="0"/>
              <w:rPr>
                <w:rFonts w:ascii="Book Antiqua" w:hAnsi="Book Antiqua"/>
                <w:color w:val="000000"/>
              </w:rPr>
            </w:pPr>
            <w:r w:rsidRPr="00884C8C">
              <w:rPr>
                <w:rFonts w:ascii="Book Antiqua" w:hAnsi="Book Antiqua"/>
                <w:color w:val="000000"/>
              </w:rPr>
              <w:t>25.6</w:t>
            </w:r>
          </w:p>
        </w:tc>
        <w:tc>
          <w:tcPr>
            <w:tcW w:w="1660" w:type="dxa"/>
            <w:shd w:val="clear" w:color="auto" w:fill="auto"/>
          </w:tcPr>
          <w:p w14:paraId="6FFF1A83"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100.0</w:t>
            </w:r>
          </w:p>
        </w:tc>
      </w:tr>
      <w:tr w:rsidR="00884C8C" w:rsidRPr="00D12E59" w14:paraId="5DA7EF38" w14:textId="77777777" w:rsidTr="00AE6D8E">
        <w:trPr>
          <w:trHeight w:val="46"/>
        </w:trPr>
        <w:tc>
          <w:tcPr>
            <w:tcW w:w="1968" w:type="dxa"/>
            <w:shd w:val="clear" w:color="auto" w:fill="auto"/>
          </w:tcPr>
          <w:p w14:paraId="773E5D86"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Total</w:t>
            </w:r>
          </w:p>
        </w:tc>
        <w:tc>
          <w:tcPr>
            <w:tcW w:w="1317" w:type="dxa"/>
            <w:shd w:val="clear" w:color="auto" w:fill="auto"/>
          </w:tcPr>
          <w:p w14:paraId="2E96E11B"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1684</w:t>
            </w:r>
          </w:p>
        </w:tc>
        <w:tc>
          <w:tcPr>
            <w:tcW w:w="1149" w:type="dxa"/>
            <w:shd w:val="clear" w:color="auto" w:fill="auto"/>
          </w:tcPr>
          <w:p w14:paraId="6D46935C"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100.0</w:t>
            </w:r>
          </w:p>
        </w:tc>
        <w:tc>
          <w:tcPr>
            <w:tcW w:w="1575" w:type="dxa"/>
            <w:shd w:val="clear" w:color="auto" w:fill="auto"/>
          </w:tcPr>
          <w:p w14:paraId="4790265C" w14:textId="77777777" w:rsidR="00884C8C" w:rsidRPr="00884C8C" w:rsidRDefault="00884C8C" w:rsidP="00884C8C">
            <w:pPr>
              <w:autoSpaceDE w:val="0"/>
              <w:autoSpaceDN w:val="0"/>
              <w:adjustRightInd w:val="0"/>
              <w:spacing w:after="0"/>
              <w:rPr>
                <w:rFonts w:ascii="Book Antiqua" w:hAnsi="Book Antiqua"/>
                <w:b/>
                <w:bCs/>
                <w:color w:val="000000"/>
              </w:rPr>
            </w:pPr>
            <w:r w:rsidRPr="00884C8C">
              <w:rPr>
                <w:rFonts w:ascii="Book Antiqua" w:hAnsi="Book Antiqua"/>
                <w:b/>
                <w:bCs/>
                <w:color w:val="000000"/>
              </w:rPr>
              <w:t>100.0</w:t>
            </w:r>
          </w:p>
        </w:tc>
        <w:tc>
          <w:tcPr>
            <w:tcW w:w="1660" w:type="dxa"/>
            <w:shd w:val="clear" w:color="auto" w:fill="auto"/>
          </w:tcPr>
          <w:p w14:paraId="001C6DAB" w14:textId="77777777" w:rsidR="00884C8C" w:rsidRPr="00884C8C" w:rsidRDefault="00884C8C" w:rsidP="00884C8C">
            <w:pPr>
              <w:autoSpaceDE w:val="0"/>
              <w:autoSpaceDN w:val="0"/>
              <w:adjustRightInd w:val="0"/>
              <w:spacing w:after="0"/>
              <w:rPr>
                <w:rFonts w:ascii="Book Antiqua" w:hAnsi="Book Antiqua"/>
                <w:b/>
                <w:bCs/>
                <w:color w:val="365F91"/>
              </w:rPr>
            </w:pPr>
          </w:p>
        </w:tc>
      </w:tr>
    </w:tbl>
    <w:p w14:paraId="0E9116BB" w14:textId="77777777" w:rsidR="00B27D46" w:rsidRPr="00E3232D" w:rsidRDefault="00B27D46" w:rsidP="008275E1">
      <w:pPr>
        <w:autoSpaceDE w:val="0"/>
        <w:autoSpaceDN w:val="0"/>
        <w:adjustRightInd w:val="0"/>
        <w:rPr>
          <w:rFonts w:ascii="Book Antiqua" w:hAnsi="Book Antiqua"/>
        </w:rPr>
        <w:sectPr w:rsidR="00B27D46" w:rsidRPr="00E3232D" w:rsidSect="008F6BC9">
          <w:type w:val="continuous"/>
          <w:pgSz w:w="11907" w:h="16839" w:code="9"/>
          <w:pgMar w:top="720" w:right="720" w:bottom="720" w:left="720" w:header="720" w:footer="720" w:gutter="0"/>
          <w:cols w:num="2" w:space="720"/>
          <w:noEndnote/>
        </w:sectPr>
      </w:pPr>
    </w:p>
    <w:p w14:paraId="6F21CE8F" w14:textId="77777777" w:rsidR="00DB3A2E" w:rsidRPr="00E3232D" w:rsidRDefault="00DB3A2E" w:rsidP="008275E1">
      <w:pPr>
        <w:autoSpaceDE w:val="0"/>
        <w:autoSpaceDN w:val="0"/>
        <w:adjustRightInd w:val="0"/>
        <w:rPr>
          <w:rFonts w:ascii="Book Antiqua" w:hAnsi="Book Antiqua"/>
        </w:rPr>
        <w:sectPr w:rsidR="00DB3A2E" w:rsidRPr="00E3232D" w:rsidSect="008F6BC9">
          <w:type w:val="continuous"/>
          <w:pgSz w:w="11907" w:h="16839" w:code="9"/>
          <w:pgMar w:top="720" w:right="720" w:bottom="720" w:left="720" w:header="720" w:footer="720" w:gutter="0"/>
          <w:cols w:num="2" w:space="720"/>
          <w:noEndnote/>
        </w:sectPr>
      </w:pPr>
    </w:p>
    <w:p w14:paraId="7EFE40DA" w14:textId="77777777" w:rsidR="00DB3A2E" w:rsidRDefault="00DB3A2E" w:rsidP="008275E1">
      <w:pPr>
        <w:autoSpaceDE w:val="0"/>
        <w:autoSpaceDN w:val="0"/>
        <w:adjustRightInd w:val="0"/>
        <w:rPr>
          <w:rFonts w:ascii="Book Antiqua" w:hAnsi="Book Antiqua"/>
        </w:rPr>
      </w:pPr>
    </w:p>
    <w:p w14:paraId="7B0AE39A" w14:textId="77777777" w:rsidR="00DB3A2E" w:rsidRDefault="00DB3A2E" w:rsidP="008275E1">
      <w:pPr>
        <w:autoSpaceDE w:val="0"/>
        <w:autoSpaceDN w:val="0"/>
        <w:adjustRightInd w:val="0"/>
        <w:rPr>
          <w:rFonts w:ascii="Book Antiqua" w:hAnsi="Book Antiqua"/>
        </w:rPr>
      </w:pPr>
    </w:p>
    <w:p w14:paraId="6BCA8740" w14:textId="77777777" w:rsidR="00DB3A2E" w:rsidRDefault="00DB3A2E" w:rsidP="008275E1">
      <w:pPr>
        <w:autoSpaceDE w:val="0"/>
        <w:autoSpaceDN w:val="0"/>
        <w:adjustRightInd w:val="0"/>
        <w:rPr>
          <w:rFonts w:ascii="Book Antiqua" w:hAnsi="Book Antiqua"/>
        </w:rPr>
      </w:pPr>
    </w:p>
    <w:p w14:paraId="53B38947" w14:textId="77777777" w:rsidR="009807C6" w:rsidRDefault="009807C6" w:rsidP="008275E1">
      <w:pPr>
        <w:autoSpaceDE w:val="0"/>
        <w:autoSpaceDN w:val="0"/>
        <w:adjustRightInd w:val="0"/>
        <w:rPr>
          <w:rFonts w:ascii="Book Antiqua" w:hAnsi="Book Antiqua"/>
          <w:b/>
          <w:bCs/>
          <w:color w:val="000000"/>
        </w:rPr>
        <w:sectPr w:rsidR="009807C6" w:rsidSect="008F6BC9">
          <w:type w:val="continuous"/>
          <w:pgSz w:w="11907" w:h="16839" w:code="9"/>
          <w:pgMar w:top="720" w:right="720" w:bottom="720" w:left="720" w:header="720" w:footer="720" w:gutter="0"/>
          <w:cols w:num="2" w:space="720"/>
          <w:noEndnote/>
        </w:sectPr>
      </w:pPr>
    </w:p>
    <w:p w14:paraId="29A63958" w14:textId="77777777" w:rsidR="009807C6" w:rsidRDefault="009807C6" w:rsidP="00CE5071">
      <w:pPr>
        <w:autoSpaceDE w:val="0"/>
        <w:autoSpaceDN w:val="0"/>
        <w:adjustRightInd w:val="0"/>
        <w:spacing w:after="0" w:line="240" w:lineRule="auto"/>
        <w:rPr>
          <w:rFonts w:ascii="Book Antiqua" w:hAnsi="Book Antiqua"/>
        </w:rPr>
        <w:sectPr w:rsidR="009807C6" w:rsidSect="008F6BC9">
          <w:type w:val="continuous"/>
          <w:pgSz w:w="11907" w:h="16839" w:code="9"/>
          <w:pgMar w:top="720" w:right="720" w:bottom="720" w:left="720" w:header="720" w:footer="720" w:gutter="0"/>
          <w:cols w:space="720"/>
          <w:noEndnote/>
        </w:sectPr>
      </w:pPr>
    </w:p>
    <w:p w14:paraId="68F2A28F" w14:textId="77777777" w:rsidR="00DC5EB3" w:rsidRDefault="00DC5EB3" w:rsidP="008275E1">
      <w:pPr>
        <w:autoSpaceDE w:val="0"/>
        <w:autoSpaceDN w:val="0"/>
        <w:adjustRightInd w:val="0"/>
        <w:rPr>
          <w:rFonts w:ascii="Book Antiqua" w:hAnsi="Book Antiqua"/>
        </w:rPr>
        <w:sectPr w:rsidR="00DC5EB3" w:rsidSect="008F6BC9">
          <w:type w:val="continuous"/>
          <w:pgSz w:w="11907" w:h="16839" w:code="9"/>
          <w:pgMar w:top="720" w:right="720" w:bottom="720" w:left="720" w:header="720" w:footer="720" w:gutter="0"/>
          <w:cols w:num="2" w:space="720"/>
          <w:noEndnote/>
        </w:sectPr>
      </w:pPr>
    </w:p>
    <w:p w14:paraId="3F532DA1" w14:textId="77777777" w:rsidR="00B27D46" w:rsidRPr="00E3232D" w:rsidRDefault="00B27D46" w:rsidP="00AE6D8E">
      <w:pPr>
        <w:autoSpaceDE w:val="0"/>
        <w:autoSpaceDN w:val="0"/>
        <w:adjustRightInd w:val="0"/>
        <w:ind w:firstLine="720"/>
        <w:rPr>
          <w:rFonts w:ascii="Book Antiqua" w:hAnsi="Book Antiqua"/>
        </w:rPr>
      </w:pPr>
      <w:r w:rsidRPr="00E3232D">
        <w:rPr>
          <w:rFonts w:ascii="Book Antiqua" w:hAnsi="Book Antiqua"/>
        </w:rPr>
        <w:t xml:space="preserve">Source: Field Survey, 2012 </w:t>
      </w:r>
    </w:p>
    <w:p w14:paraId="750A3F9E" w14:textId="77777777" w:rsidR="00366AD5" w:rsidRDefault="00366AD5" w:rsidP="008275E1">
      <w:pPr>
        <w:autoSpaceDE w:val="0"/>
        <w:autoSpaceDN w:val="0"/>
        <w:adjustRightInd w:val="0"/>
        <w:rPr>
          <w:rFonts w:ascii="Book Antiqua" w:hAnsi="Book Antiqua"/>
        </w:rPr>
        <w:sectPr w:rsidR="00366AD5" w:rsidSect="008F6BC9">
          <w:type w:val="continuous"/>
          <w:pgSz w:w="11907" w:h="16839" w:code="9"/>
          <w:pgMar w:top="720" w:right="720" w:bottom="720" w:left="720" w:header="720" w:footer="720" w:gutter="0"/>
          <w:cols w:space="720"/>
          <w:noEndnote/>
        </w:sectPr>
      </w:pPr>
    </w:p>
    <w:p w14:paraId="25379134" w14:textId="77777777" w:rsidR="00DC5EB3" w:rsidRDefault="00B27D46" w:rsidP="00DC5EB3">
      <w:pPr>
        <w:autoSpaceDE w:val="0"/>
        <w:autoSpaceDN w:val="0"/>
        <w:adjustRightInd w:val="0"/>
        <w:ind w:left="720"/>
        <w:jc w:val="both"/>
        <w:rPr>
          <w:rFonts w:ascii="Book Antiqua" w:hAnsi="Book Antiqua"/>
        </w:rPr>
      </w:pPr>
      <w:r w:rsidRPr="00E3232D">
        <w:rPr>
          <w:rFonts w:ascii="Book Antiqua" w:hAnsi="Book Antiqua"/>
        </w:rPr>
        <w:t xml:space="preserve">Table 3.4.2 shows that 24.1% gave no reason(s),17% cited financial, 20% cited they are practically oriented,7.3% cited job prospect, 6% will choose it as the last resort; while 25% will choose polytechnic over other tertiary institutions for other </w:t>
      </w:r>
      <w:r w:rsidR="00DC5EB3" w:rsidRPr="00E3232D">
        <w:rPr>
          <w:rFonts w:ascii="Book Antiqua" w:hAnsi="Book Antiqua"/>
        </w:rPr>
        <w:t>reasons</w:t>
      </w:r>
    </w:p>
    <w:p w14:paraId="5FCA34A8" w14:textId="77777777" w:rsidR="00E26B19" w:rsidRDefault="00E26B19" w:rsidP="00AE6D8E">
      <w:pPr>
        <w:autoSpaceDE w:val="0"/>
        <w:autoSpaceDN w:val="0"/>
        <w:adjustRightInd w:val="0"/>
        <w:ind w:left="720"/>
        <w:rPr>
          <w:rFonts w:ascii="Book Antiqua" w:hAnsi="Book Antiqua"/>
          <w:b/>
          <w:bCs/>
          <w:color w:val="365F91"/>
        </w:rPr>
      </w:pPr>
    </w:p>
    <w:p w14:paraId="6B52F6C8" w14:textId="77777777" w:rsidR="00E26B19" w:rsidRDefault="00E26B19" w:rsidP="00AE6D8E">
      <w:pPr>
        <w:autoSpaceDE w:val="0"/>
        <w:autoSpaceDN w:val="0"/>
        <w:adjustRightInd w:val="0"/>
        <w:ind w:left="720"/>
        <w:rPr>
          <w:rFonts w:ascii="Book Antiqua" w:hAnsi="Book Antiqua"/>
          <w:b/>
          <w:bCs/>
          <w:color w:val="365F91"/>
        </w:rPr>
      </w:pPr>
    </w:p>
    <w:p w14:paraId="68D24A1E" w14:textId="77777777" w:rsidR="00E26B19" w:rsidRDefault="00E26B19" w:rsidP="00AE6D8E">
      <w:pPr>
        <w:autoSpaceDE w:val="0"/>
        <w:autoSpaceDN w:val="0"/>
        <w:adjustRightInd w:val="0"/>
        <w:ind w:left="720"/>
        <w:rPr>
          <w:rFonts w:ascii="Book Antiqua" w:hAnsi="Book Antiqua"/>
          <w:b/>
          <w:bCs/>
          <w:color w:val="365F91"/>
        </w:rPr>
      </w:pPr>
    </w:p>
    <w:p w14:paraId="66725DA7" w14:textId="77777777" w:rsidR="00F546DB" w:rsidRDefault="00F546DB" w:rsidP="0002626E">
      <w:pPr>
        <w:autoSpaceDE w:val="0"/>
        <w:autoSpaceDN w:val="0"/>
        <w:adjustRightInd w:val="0"/>
        <w:rPr>
          <w:rFonts w:ascii="Book Antiqua" w:hAnsi="Book Antiqua"/>
          <w:b/>
          <w:bCs/>
          <w:color w:val="365F91"/>
        </w:rPr>
        <w:sectPr w:rsidR="00F546DB" w:rsidSect="008F6BC9">
          <w:type w:val="continuous"/>
          <w:pgSz w:w="11907" w:h="16839" w:code="9"/>
          <w:pgMar w:top="720" w:right="720" w:bottom="720" w:left="720" w:header="720" w:footer="720" w:gutter="0"/>
          <w:cols w:num="2" w:space="720"/>
          <w:noEndnote/>
        </w:sectPr>
      </w:pPr>
    </w:p>
    <w:p w14:paraId="4C7FBA11" w14:textId="77777777" w:rsidR="00190244" w:rsidRDefault="00190244" w:rsidP="00C94856">
      <w:pPr>
        <w:autoSpaceDE w:val="0"/>
        <w:autoSpaceDN w:val="0"/>
        <w:adjustRightInd w:val="0"/>
        <w:spacing w:after="0"/>
        <w:rPr>
          <w:rFonts w:ascii="Book Antiqua" w:hAnsi="Book Antiqua"/>
          <w:b/>
          <w:bCs/>
          <w:color w:val="365F91"/>
        </w:rPr>
      </w:pPr>
    </w:p>
    <w:p w14:paraId="5B11F551" w14:textId="77777777" w:rsidR="00F546DB" w:rsidRPr="00190244" w:rsidRDefault="00F546DB" w:rsidP="00C94856">
      <w:pPr>
        <w:autoSpaceDE w:val="0"/>
        <w:autoSpaceDN w:val="0"/>
        <w:adjustRightInd w:val="0"/>
        <w:spacing w:after="0" w:line="240" w:lineRule="auto"/>
        <w:ind w:firstLine="720"/>
        <w:rPr>
          <w:rFonts w:ascii="Book Antiqua" w:hAnsi="Book Antiqua"/>
          <w:b/>
          <w:bCs/>
        </w:rPr>
      </w:pPr>
      <w:r w:rsidRPr="00190244">
        <w:rPr>
          <w:rFonts w:ascii="Book Antiqua" w:hAnsi="Book Antiqua"/>
          <w:b/>
          <w:bCs/>
        </w:rPr>
        <w:t xml:space="preserve">Table 3.4.3  </w:t>
      </w:r>
      <w:r w:rsidR="00AE6D8E" w:rsidRPr="00190244">
        <w:rPr>
          <w:rFonts w:ascii="Book Antiqua" w:hAnsi="Book Antiqua"/>
          <w:b/>
          <w:bCs/>
        </w:rPr>
        <w:t>SH</w:t>
      </w:r>
      <w:r w:rsidRPr="00190244">
        <w:rPr>
          <w:rFonts w:ascii="Book Antiqua" w:hAnsi="Book Antiqua"/>
          <w:b/>
          <w:bCs/>
        </w:rPr>
        <w:t>S Students’ Overall Attitude a</w:t>
      </w:r>
      <w:r w:rsidR="00AE6D8E" w:rsidRPr="00190244">
        <w:rPr>
          <w:rFonts w:ascii="Book Antiqua" w:hAnsi="Book Antiqua"/>
          <w:b/>
          <w:bCs/>
        </w:rPr>
        <w:t>nd</w:t>
      </w:r>
      <w:r w:rsidRPr="00190244">
        <w:rPr>
          <w:rFonts w:ascii="Book Antiqua" w:hAnsi="Book Antiqua"/>
          <w:b/>
          <w:bCs/>
        </w:rPr>
        <w:t xml:space="preserve"> Feelings About Polytechnic Education</w:t>
      </w:r>
    </w:p>
    <w:tbl>
      <w:tblPr>
        <w:tblStyle w:val="LightShading2"/>
        <w:tblpPr w:leftFromText="180" w:rightFromText="180" w:vertAnchor="text" w:horzAnchor="margin" w:tblpXSpec="center" w:tblpY="298"/>
        <w:tblW w:w="9450" w:type="dxa"/>
        <w:tblLayout w:type="fixed"/>
        <w:tblLook w:val="00E0" w:firstRow="1" w:lastRow="1" w:firstColumn="1" w:lastColumn="0" w:noHBand="0" w:noVBand="0"/>
      </w:tblPr>
      <w:tblGrid>
        <w:gridCol w:w="374"/>
        <w:gridCol w:w="1559"/>
        <w:gridCol w:w="1143"/>
        <w:gridCol w:w="974"/>
        <w:gridCol w:w="1393"/>
        <w:gridCol w:w="4007"/>
      </w:tblGrid>
      <w:tr w:rsidR="00F546DB" w:rsidRPr="00D12E59" w14:paraId="75BE7080" w14:textId="77777777" w:rsidTr="00F546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 w:type="dxa"/>
            <w:shd w:val="clear" w:color="auto" w:fill="auto"/>
          </w:tcPr>
          <w:p w14:paraId="5AFD07C8" w14:textId="77777777" w:rsidR="00F546DB" w:rsidRPr="00D12E59" w:rsidRDefault="00F546DB" w:rsidP="00C94856">
            <w:pPr>
              <w:autoSpaceDE w:val="0"/>
              <w:autoSpaceDN w:val="0"/>
              <w:adjustRightInd w:val="0"/>
              <w:spacing w:after="0" w:line="240" w:lineRule="auto"/>
              <w:rPr>
                <w:rFonts w:ascii="Book Antiqua" w:hAnsi="Book Antiqua"/>
                <w:color w:val="365F91"/>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auto"/>
          </w:tcPr>
          <w:p w14:paraId="382057F4" w14:textId="77777777" w:rsidR="00F546DB" w:rsidRPr="00D12E59" w:rsidRDefault="00F546DB" w:rsidP="00C94856">
            <w:pPr>
              <w:autoSpaceDE w:val="0"/>
              <w:autoSpaceDN w:val="0"/>
              <w:adjustRightInd w:val="0"/>
              <w:spacing w:after="0" w:line="240" w:lineRule="auto"/>
              <w:rPr>
                <w:rFonts w:ascii="Book Antiqua" w:hAnsi="Book Antiqua"/>
                <w:color w:val="365F91"/>
              </w:rPr>
            </w:pPr>
          </w:p>
        </w:tc>
        <w:tc>
          <w:tcPr>
            <w:tcW w:w="1143" w:type="dxa"/>
            <w:shd w:val="clear" w:color="auto" w:fill="auto"/>
          </w:tcPr>
          <w:p w14:paraId="4BDAEC61" w14:textId="77777777" w:rsidR="00F546DB" w:rsidRPr="00D12E59" w:rsidRDefault="00F546DB" w:rsidP="00C94856">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Frequency</w:t>
            </w:r>
          </w:p>
        </w:tc>
        <w:tc>
          <w:tcPr>
            <w:cnfStyle w:val="000010000000" w:firstRow="0" w:lastRow="0" w:firstColumn="0" w:lastColumn="0" w:oddVBand="1" w:evenVBand="0" w:oddHBand="0" w:evenHBand="0" w:firstRowFirstColumn="0" w:firstRowLastColumn="0" w:lastRowFirstColumn="0" w:lastRowLastColumn="0"/>
            <w:tcW w:w="974" w:type="dxa"/>
            <w:shd w:val="clear" w:color="auto" w:fill="auto"/>
          </w:tcPr>
          <w:p w14:paraId="28AB1CAE"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Percent</w:t>
            </w:r>
          </w:p>
        </w:tc>
        <w:tc>
          <w:tcPr>
            <w:tcW w:w="1393" w:type="dxa"/>
            <w:shd w:val="clear" w:color="auto" w:fill="auto"/>
          </w:tcPr>
          <w:p w14:paraId="47781813" w14:textId="77777777" w:rsidR="00F546DB" w:rsidRPr="00D12E59" w:rsidRDefault="00F546DB" w:rsidP="00C94856">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Valid Percent</w:t>
            </w:r>
          </w:p>
        </w:tc>
        <w:tc>
          <w:tcPr>
            <w:cnfStyle w:val="000010000000" w:firstRow="0" w:lastRow="0" w:firstColumn="0" w:lastColumn="0" w:oddVBand="1" w:evenVBand="0" w:oddHBand="0" w:evenHBand="0" w:firstRowFirstColumn="0" w:firstRowLastColumn="0" w:lastRowFirstColumn="0" w:lastRowLastColumn="0"/>
            <w:tcW w:w="4007" w:type="dxa"/>
            <w:shd w:val="clear" w:color="auto" w:fill="auto"/>
          </w:tcPr>
          <w:p w14:paraId="65407B13"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Cumulative Percent</w:t>
            </w:r>
          </w:p>
        </w:tc>
      </w:tr>
      <w:tr w:rsidR="00F546DB" w:rsidRPr="00D12E59" w14:paraId="1B2E28C1" w14:textId="77777777" w:rsidTr="00F546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 w:type="dxa"/>
            <w:vMerge w:val="restart"/>
            <w:shd w:val="clear" w:color="auto" w:fill="auto"/>
          </w:tcPr>
          <w:p w14:paraId="25EECE38" w14:textId="77777777" w:rsidR="00F546DB" w:rsidRPr="00D12E59" w:rsidRDefault="00F546DB" w:rsidP="00C94856">
            <w:pPr>
              <w:autoSpaceDE w:val="0"/>
              <w:autoSpaceDN w:val="0"/>
              <w:adjustRightInd w:val="0"/>
              <w:spacing w:after="0" w:line="240" w:lineRule="auto"/>
              <w:rPr>
                <w:rFonts w:ascii="Book Antiqua" w:hAnsi="Book Antiqua"/>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auto"/>
          </w:tcPr>
          <w:p w14:paraId="556A0D97"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Enthusiastic</w:t>
            </w:r>
          </w:p>
        </w:tc>
        <w:tc>
          <w:tcPr>
            <w:tcW w:w="1143" w:type="dxa"/>
            <w:shd w:val="clear" w:color="auto" w:fill="auto"/>
          </w:tcPr>
          <w:p w14:paraId="60982C20" w14:textId="77777777" w:rsidR="00F546DB" w:rsidRPr="00D12E59" w:rsidRDefault="00F546DB" w:rsidP="00C9485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218</w:t>
            </w:r>
          </w:p>
        </w:tc>
        <w:tc>
          <w:tcPr>
            <w:cnfStyle w:val="000010000000" w:firstRow="0" w:lastRow="0" w:firstColumn="0" w:lastColumn="0" w:oddVBand="1" w:evenVBand="0" w:oddHBand="0" w:evenHBand="0" w:firstRowFirstColumn="0" w:firstRowLastColumn="0" w:lastRowFirstColumn="0" w:lastRowLastColumn="0"/>
            <w:tcW w:w="974" w:type="dxa"/>
            <w:shd w:val="clear" w:color="auto" w:fill="auto"/>
          </w:tcPr>
          <w:p w14:paraId="48E1B266"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12.9</w:t>
            </w:r>
          </w:p>
        </w:tc>
        <w:tc>
          <w:tcPr>
            <w:tcW w:w="1393" w:type="dxa"/>
            <w:shd w:val="clear" w:color="auto" w:fill="auto"/>
          </w:tcPr>
          <w:p w14:paraId="1585C6AD" w14:textId="77777777" w:rsidR="00F546DB" w:rsidRPr="00D12E59" w:rsidRDefault="00F546DB" w:rsidP="00C9485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14.2</w:t>
            </w:r>
          </w:p>
        </w:tc>
        <w:tc>
          <w:tcPr>
            <w:cnfStyle w:val="000010000000" w:firstRow="0" w:lastRow="0" w:firstColumn="0" w:lastColumn="0" w:oddVBand="1" w:evenVBand="0" w:oddHBand="0" w:evenHBand="0" w:firstRowFirstColumn="0" w:firstRowLastColumn="0" w:lastRowFirstColumn="0" w:lastRowLastColumn="0"/>
            <w:tcW w:w="4007" w:type="dxa"/>
            <w:shd w:val="clear" w:color="auto" w:fill="auto"/>
          </w:tcPr>
          <w:p w14:paraId="4823A999"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14.2</w:t>
            </w:r>
          </w:p>
        </w:tc>
      </w:tr>
      <w:tr w:rsidR="00F546DB" w:rsidRPr="00D12E59" w14:paraId="54FBE0D0" w14:textId="77777777" w:rsidTr="00F546DB">
        <w:tc>
          <w:tcPr>
            <w:cnfStyle w:val="001000000000" w:firstRow="0" w:lastRow="0" w:firstColumn="1" w:lastColumn="0" w:oddVBand="0" w:evenVBand="0" w:oddHBand="0" w:evenHBand="0" w:firstRowFirstColumn="0" w:firstRowLastColumn="0" w:lastRowFirstColumn="0" w:lastRowLastColumn="0"/>
            <w:tcW w:w="374" w:type="dxa"/>
            <w:vMerge/>
            <w:shd w:val="clear" w:color="auto" w:fill="auto"/>
          </w:tcPr>
          <w:p w14:paraId="54DE233E" w14:textId="77777777" w:rsidR="00F546DB" w:rsidRPr="00D12E59" w:rsidRDefault="00F546DB" w:rsidP="00C94856">
            <w:pPr>
              <w:autoSpaceDE w:val="0"/>
              <w:autoSpaceDN w:val="0"/>
              <w:adjustRightInd w:val="0"/>
              <w:spacing w:after="0" w:line="240" w:lineRule="auto"/>
              <w:rPr>
                <w:rFonts w:ascii="Book Antiqua" w:hAnsi="Book Antiqua"/>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auto"/>
          </w:tcPr>
          <w:p w14:paraId="68FAE507"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Positive</w:t>
            </w:r>
          </w:p>
        </w:tc>
        <w:tc>
          <w:tcPr>
            <w:tcW w:w="1143" w:type="dxa"/>
            <w:shd w:val="clear" w:color="auto" w:fill="auto"/>
          </w:tcPr>
          <w:p w14:paraId="7C311FC5" w14:textId="77777777" w:rsidR="00F546DB" w:rsidRPr="00D12E59" w:rsidRDefault="00F546DB" w:rsidP="00C9485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712</w:t>
            </w:r>
          </w:p>
        </w:tc>
        <w:tc>
          <w:tcPr>
            <w:cnfStyle w:val="000010000000" w:firstRow="0" w:lastRow="0" w:firstColumn="0" w:lastColumn="0" w:oddVBand="1" w:evenVBand="0" w:oddHBand="0" w:evenHBand="0" w:firstRowFirstColumn="0" w:firstRowLastColumn="0" w:lastRowFirstColumn="0" w:lastRowLastColumn="0"/>
            <w:tcW w:w="974" w:type="dxa"/>
            <w:shd w:val="clear" w:color="auto" w:fill="auto"/>
          </w:tcPr>
          <w:p w14:paraId="039CCDCB"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42.1</w:t>
            </w:r>
          </w:p>
        </w:tc>
        <w:tc>
          <w:tcPr>
            <w:tcW w:w="1393" w:type="dxa"/>
            <w:shd w:val="clear" w:color="auto" w:fill="auto"/>
          </w:tcPr>
          <w:p w14:paraId="318F96B9" w14:textId="77777777" w:rsidR="00F546DB" w:rsidRPr="00D12E59" w:rsidRDefault="00F546DB" w:rsidP="00C9485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46.4</w:t>
            </w:r>
          </w:p>
        </w:tc>
        <w:tc>
          <w:tcPr>
            <w:cnfStyle w:val="000010000000" w:firstRow="0" w:lastRow="0" w:firstColumn="0" w:lastColumn="0" w:oddVBand="1" w:evenVBand="0" w:oddHBand="0" w:evenHBand="0" w:firstRowFirstColumn="0" w:firstRowLastColumn="0" w:lastRowFirstColumn="0" w:lastRowLastColumn="0"/>
            <w:tcW w:w="4007" w:type="dxa"/>
            <w:shd w:val="clear" w:color="auto" w:fill="auto"/>
          </w:tcPr>
          <w:p w14:paraId="6C9616F7"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60.6</w:t>
            </w:r>
          </w:p>
        </w:tc>
      </w:tr>
      <w:tr w:rsidR="00F546DB" w:rsidRPr="00D12E59" w14:paraId="37B94728" w14:textId="77777777" w:rsidTr="00F546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 w:type="dxa"/>
            <w:vMerge/>
            <w:shd w:val="clear" w:color="auto" w:fill="auto"/>
          </w:tcPr>
          <w:p w14:paraId="5DEC78BB" w14:textId="77777777" w:rsidR="00F546DB" w:rsidRPr="00D12E59" w:rsidRDefault="00F546DB" w:rsidP="00C94856">
            <w:pPr>
              <w:autoSpaceDE w:val="0"/>
              <w:autoSpaceDN w:val="0"/>
              <w:adjustRightInd w:val="0"/>
              <w:spacing w:after="0" w:line="240" w:lineRule="auto"/>
              <w:rPr>
                <w:rFonts w:ascii="Book Antiqua" w:hAnsi="Book Antiqua"/>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auto"/>
          </w:tcPr>
          <w:p w14:paraId="53E090B9"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Indifferent</w:t>
            </w:r>
          </w:p>
        </w:tc>
        <w:tc>
          <w:tcPr>
            <w:tcW w:w="1143" w:type="dxa"/>
            <w:shd w:val="clear" w:color="auto" w:fill="auto"/>
          </w:tcPr>
          <w:p w14:paraId="691CED89" w14:textId="77777777" w:rsidR="00F546DB" w:rsidRPr="00D12E59" w:rsidRDefault="00F546DB" w:rsidP="00C9485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332</w:t>
            </w:r>
          </w:p>
        </w:tc>
        <w:tc>
          <w:tcPr>
            <w:cnfStyle w:val="000010000000" w:firstRow="0" w:lastRow="0" w:firstColumn="0" w:lastColumn="0" w:oddVBand="1" w:evenVBand="0" w:oddHBand="0" w:evenHBand="0" w:firstRowFirstColumn="0" w:firstRowLastColumn="0" w:lastRowFirstColumn="0" w:lastRowLastColumn="0"/>
            <w:tcW w:w="974" w:type="dxa"/>
            <w:shd w:val="clear" w:color="auto" w:fill="auto"/>
          </w:tcPr>
          <w:p w14:paraId="15D182EE"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19.6</w:t>
            </w:r>
          </w:p>
        </w:tc>
        <w:tc>
          <w:tcPr>
            <w:tcW w:w="1393" w:type="dxa"/>
            <w:shd w:val="clear" w:color="auto" w:fill="auto"/>
          </w:tcPr>
          <w:p w14:paraId="219895FE" w14:textId="77777777" w:rsidR="00F546DB" w:rsidRPr="00D12E59" w:rsidRDefault="00F546DB" w:rsidP="00C9485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21.6</w:t>
            </w:r>
          </w:p>
        </w:tc>
        <w:tc>
          <w:tcPr>
            <w:cnfStyle w:val="000010000000" w:firstRow="0" w:lastRow="0" w:firstColumn="0" w:lastColumn="0" w:oddVBand="1" w:evenVBand="0" w:oddHBand="0" w:evenHBand="0" w:firstRowFirstColumn="0" w:firstRowLastColumn="0" w:lastRowFirstColumn="0" w:lastRowLastColumn="0"/>
            <w:tcW w:w="4007" w:type="dxa"/>
            <w:shd w:val="clear" w:color="auto" w:fill="auto"/>
          </w:tcPr>
          <w:p w14:paraId="75BEE738"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82.3</w:t>
            </w:r>
          </w:p>
        </w:tc>
      </w:tr>
      <w:tr w:rsidR="00F546DB" w:rsidRPr="00D12E59" w14:paraId="71E900A8" w14:textId="77777777" w:rsidTr="00F546DB">
        <w:tc>
          <w:tcPr>
            <w:cnfStyle w:val="001000000000" w:firstRow="0" w:lastRow="0" w:firstColumn="1" w:lastColumn="0" w:oddVBand="0" w:evenVBand="0" w:oddHBand="0" w:evenHBand="0" w:firstRowFirstColumn="0" w:firstRowLastColumn="0" w:lastRowFirstColumn="0" w:lastRowLastColumn="0"/>
            <w:tcW w:w="374" w:type="dxa"/>
            <w:vMerge/>
            <w:shd w:val="clear" w:color="auto" w:fill="auto"/>
          </w:tcPr>
          <w:p w14:paraId="59EB8E17" w14:textId="77777777" w:rsidR="00F546DB" w:rsidRPr="00D12E59" w:rsidRDefault="00F546DB" w:rsidP="00C94856">
            <w:pPr>
              <w:autoSpaceDE w:val="0"/>
              <w:autoSpaceDN w:val="0"/>
              <w:adjustRightInd w:val="0"/>
              <w:spacing w:after="0" w:line="240" w:lineRule="auto"/>
              <w:rPr>
                <w:rFonts w:ascii="Book Antiqua" w:hAnsi="Book Antiqua"/>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auto"/>
          </w:tcPr>
          <w:p w14:paraId="3CB6E9EA"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Negative</w:t>
            </w:r>
          </w:p>
        </w:tc>
        <w:tc>
          <w:tcPr>
            <w:tcW w:w="1143" w:type="dxa"/>
            <w:shd w:val="clear" w:color="auto" w:fill="auto"/>
          </w:tcPr>
          <w:p w14:paraId="50387C84" w14:textId="77777777" w:rsidR="00F546DB" w:rsidRPr="00D12E59" w:rsidRDefault="00F546DB" w:rsidP="00C9485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99</w:t>
            </w:r>
          </w:p>
        </w:tc>
        <w:tc>
          <w:tcPr>
            <w:cnfStyle w:val="000010000000" w:firstRow="0" w:lastRow="0" w:firstColumn="0" w:lastColumn="0" w:oddVBand="1" w:evenVBand="0" w:oddHBand="0" w:evenHBand="0" w:firstRowFirstColumn="0" w:firstRowLastColumn="0" w:lastRowFirstColumn="0" w:lastRowLastColumn="0"/>
            <w:tcW w:w="974" w:type="dxa"/>
            <w:shd w:val="clear" w:color="auto" w:fill="auto"/>
          </w:tcPr>
          <w:p w14:paraId="220DAADF"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5.8</w:t>
            </w:r>
          </w:p>
        </w:tc>
        <w:tc>
          <w:tcPr>
            <w:tcW w:w="1393" w:type="dxa"/>
            <w:shd w:val="clear" w:color="auto" w:fill="auto"/>
          </w:tcPr>
          <w:p w14:paraId="0160FB77" w14:textId="77777777" w:rsidR="00F546DB" w:rsidRPr="00D12E59" w:rsidRDefault="00F546DB" w:rsidP="00C9485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6.5</w:t>
            </w:r>
          </w:p>
        </w:tc>
        <w:tc>
          <w:tcPr>
            <w:cnfStyle w:val="000010000000" w:firstRow="0" w:lastRow="0" w:firstColumn="0" w:lastColumn="0" w:oddVBand="1" w:evenVBand="0" w:oddHBand="0" w:evenHBand="0" w:firstRowFirstColumn="0" w:firstRowLastColumn="0" w:lastRowFirstColumn="0" w:lastRowLastColumn="0"/>
            <w:tcW w:w="4007" w:type="dxa"/>
            <w:shd w:val="clear" w:color="auto" w:fill="auto"/>
          </w:tcPr>
          <w:p w14:paraId="009BBE87"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88.7</w:t>
            </w:r>
          </w:p>
        </w:tc>
      </w:tr>
      <w:tr w:rsidR="00F546DB" w:rsidRPr="00D12E59" w14:paraId="0BDAD478" w14:textId="77777777" w:rsidTr="00F546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 w:type="dxa"/>
            <w:vMerge/>
            <w:shd w:val="clear" w:color="auto" w:fill="auto"/>
          </w:tcPr>
          <w:p w14:paraId="12CB1A8A" w14:textId="77777777" w:rsidR="00F546DB" w:rsidRPr="00D12E59" w:rsidRDefault="00F546DB" w:rsidP="00C94856">
            <w:pPr>
              <w:autoSpaceDE w:val="0"/>
              <w:autoSpaceDN w:val="0"/>
              <w:adjustRightInd w:val="0"/>
              <w:spacing w:after="0" w:line="240" w:lineRule="auto"/>
              <w:rPr>
                <w:rFonts w:ascii="Book Antiqua" w:hAnsi="Book Antiqua"/>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auto"/>
          </w:tcPr>
          <w:p w14:paraId="14C5E1D9"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Hostile</w:t>
            </w:r>
          </w:p>
        </w:tc>
        <w:tc>
          <w:tcPr>
            <w:tcW w:w="1143" w:type="dxa"/>
            <w:shd w:val="clear" w:color="auto" w:fill="auto"/>
          </w:tcPr>
          <w:p w14:paraId="067600C7" w14:textId="77777777" w:rsidR="00F546DB" w:rsidRPr="00D12E59" w:rsidRDefault="00F546DB" w:rsidP="00C9485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173</w:t>
            </w:r>
          </w:p>
        </w:tc>
        <w:tc>
          <w:tcPr>
            <w:cnfStyle w:val="000010000000" w:firstRow="0" w:lastRow="0" w:firstColumn="0" w:lastColumn="0" w:oddVBand="1" w:evenVBand="0" w:oddHBand="0" w:evenHBand="0" w:firstRowFirstColumn="0" w:firstRowLastColumn="0" w:lastRowFirstColumn="0" w:lastRowLastColumn="0"/>
            <w:tcW w:w="974" w:type="dxa"/>
            <w:shd w:val="clear" w:color="auto" w:fill="auto"/>
          </w:tcPr>
          <w:p w14:paraId="78087595"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10.2</w:t>
            </w:r>
          </w:p>
        </w:tc>
        <w:tc>
          <w:tcPr>
            <w:tcW w:w="1393" w:type="dxa"/>
            <w:shd w:val="clear" w:color="auto" w:fill="auto"/>
          </w:tcPr>
          <w:p w14:paraId="7793C42B" w14:textId="77777777" w:rsidR="00F546DB" w:rsidRPr="00D12E59" w:rsidRDefault="00F546DB" w:rsidP="00C9485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11.3</w:t>
            </w:r>
          </w:p>
        </w:tc>
        <w:tc>
          <w:tcPr>
            <w:cnfStyle w:val="000010000000" w:firstRow="0" w:lastRow="0" w:firstColumn="0" w:lastColumn="0" w:oddVBand="1" w:evenVBand="0" w:oddHBand="0" w:evenHBand="0" w:firstRowFirstColumn="0" w:firstRowLastColumn="0" w:lastRowFirstColumn="0" w:lastRowLastColumn="0"/>
            <w:tcW w:w="4007" w:type="dxa"/>
            <w:shd w:val="clear" w:color="auto" w:fill="auto"/>
          </w:tcPr>
          <w:p w14:paraId="7AD9AD50"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100.0</w:t>
            </w:r>
          </w:p>
        </w:tc>
      </w:tr>
      <w:tr w:rsidR="00F546DB" w:rsidRPr="00D12E59" w14:paraId="529F46FC" w14:textId="77777777" w:rsidTr="00F546DB">
        <w:tc>
          <w:tcPr>
            <w:cnfStyle w:val="001000000000" w:firstRow="0" w:lastRow="0" w:firstColumn="1" w:lastColumn="0" w:oddVBand="0" w:evenVBand="0" w:oddHBand="0" w:evenHBand="0" w:firstRowFirstColumn="0" w:firstRowLastColumn="0" w:lastRowFirstColumn="0" w:lastRowLastColumn="0"/>
            <w:tcW w:w="374" w:type="dxa"/>
            <w:vMerge/>
            <w:shd w:val="clear" w:color="auto" w:fill="auto"/>
          </w:tcPr>
          <w:p w14:paraId="6515C38D" w14:textId="77777777" w:rsidR="00F546DB" w:rsidRPr="00D12E59" w:rsidRDefault="00F546DB" w:rsidP="00C94856">
            <w:pPr>
              <w:autoSpaceDE w:val="0"/>
              <w:autoSpaceDN w:val="0"/>
              <w:adjustRightInd w:val="0"/>
              <w:spacing w:after="0" w:line="240" w:lineRule="auto"/>
              <w:rPr>
                <w:rFonts w:ascii="Book Antiqua" w:hAnsi="Book Antiqua"/>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auto"/>
          </w:tcPr>
          <w:p w14:paraId="0EFBEEC3"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Total</w:t>
            </w:r>
          </w:p>
        </w:tc>
        <w:tc>
          <w:tcPr>
            <w:tcW w:w="1143" w:type="dxa"/>
            <w:shd w:val="clear" w:color="auto" w:fill="auto"/>
          </w:tcPr>
          <w:p w14:paraId="72036FF3" w14:textId="77777777" w:rsidR="00F546DB" w:rsidRPr="00D12E59" w:rsidRDefault="00F546DB" w:rsidP="00C9485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1534</w:t>
            </w:r>
          </w:p>
        </w:tc>
        <w:tc>
          <w:tcPr>
            <w:cnfStyle w:val="000010000000" w:firstRow="0" w:lastRow="0" w:firstColumn="0" w:lastColumn="0" w:oddVBand="1" w:evenVBand="0" w:oddHBand="0" w:evenHBand="0" w:firstRowFirstColumn="0" w:firstRowLastColumn="0" w:lastRowFirstColumn="0" w:lastRowLastColumn="0"/>
            <w:tcW w:w="974" w:type="dxa"/>
            <w:shd w:val="clear" w:color="auto" w:fill="auto"/>
          </w:tcPr>
          <w:p w14:paraId="08EAB790"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90.6</w:t>
            </w:r>
          </w:p>
        </w:tc>
        <w:tc>
          <w:tcPr>
            <w:tcW w:w="1393" w:type="dxa"/>
            <w:shd w:val="clear" w:color="auto" w:fill="auto"/>
          </w:tcPr>
          <w:p w14:paraId="2F90D393" w14:textId="77777777" w:rsidR="00F546DB" w:rsidRPr="00D12E59" w:rsidRDefault="00F546DB" w:rsidP="00C9485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100.0</w:t>
            </w:r>
          </w:p>
        </w:tc>
        <w:tc>
          <w:tcPr>
            <w:cnfStyle w:val="000010000000" w:firstRow="0" w:lastRow="0" w:firstColumn="0" w:lastColumn="0" w:oddVBand="1" w:evenVBand="0" w:oddHBand="0" w:evenHBand="0" w:firstRowFirstColumn="0" w:firstRowLastColumn="0" w:lastRowFirstColumn="0" w:lastRowLastColumn="0"/>
            <w:tcW w:w="4007" w:type="dxa"/>
            <w:shd w:val="clear" w:color="auto" w:fill="auto"/>
          </w:tcPr>
          <w:p w14:paraId="62117415" w14:textId="77777777" w:rsidR="00F546DB" w:rsidRPr="00D12E59" w:rsidRDefault="00F546DB" w:rsidP="00C94856">
            <w:pPr>
              <w:autoSpaceDE w:val="0"/>
              <w:autoSpaceDN w:val="0"/>
              <w:adjustRightInd w:val="0"/>
              <w:spacing w:after="0" w:line="240" w:lineRule="auto"/>
              <w:rPr>
                <w:rFonts w:ascii="Book Antiqua" w:hAnsi="Book Antiqua"/>
                <w:color w:val="365F91"/>
              </w:rPr>
            </w:pPr>
          </w:p>
        </w:tc>
      </w:tr>
      <w:tr w:rsidR="00F546DB" w:rsidRPr="00D12E59" w14:paraId="2BF64BCD" w14:textId="77777777" w:rsidTr="00F546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 w:type="dxa"/>
            <w:shd w:val="clear" w:color="auto" w:fill="auto"/>
          </w:tcPr>
          <w:p w14:paraId="437306F7" w14:textId="77777777" w:rsidR="00F546DB" w:rsidRPr="00D12E59" w:rsidRDefault="00F546DB" w:rsidP="00C94856">
            <w:pPr>
              <w:autoSpaceDE w:val="0"/>
              <w:autoSpaceDN w:val="0"/>
              <w:adjustRightInd w:val="0"/>
              <w:spacing w:after="0" w:line="240" w:lineRule="auto"/>
              <w:rPr>
                <w:rFonts w:ascii="Book Antiqua" w:hAnsi="Book Antiqua"/>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auto"/>
          </w:tcPr>
          <w:p w14:paraId="2EDF0E45"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None Response</w:t>
            </w:r>
          </w:p>
        </w:tc>
        <w:tc>
          <w:tcPr>
            <w:tcW w:w="1143" w:type="dxa"/>
            <w:shd w:val="clear" w:color="auto" w:fill="auto"/>
          </w:tcPr>
          <w:p w14:paraId="3E332D0E" w14:textId="77777777" w:rsidR="00F546DB" w:rsidRPr="00D12E59" w:rsidRDefault="00F546DB" w:rsidP="00C9485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159</w:t>
            </w:r>
          </w:p>
        </w:tc>
        <w:tc>
          <w:tcPr>
            <w:cnfStyle w:val="000010000000" w:firstRow="0" w:lastRow="0" w:firstColumn="0" w:lastColumn="0" w:oddVBand="1" w:evenVBand="0" w:oddHBand="0" w:evenHBand="0" w:firstRowFirstColumn="0" w:firstRowLastColumn="0" w:lastRowFirstColumn="0" w:lastRowLastColumn="0"/>
            <w:tcW w:w="974" w:type="dxa"/>
            <w:shd w:val="clear" w:color="auto" w:fill="auto"/>
          </w:tcPr>
          <w:p w14:paraId="4C545092"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9.4</w:t>
            </w:r>
          </w:p>
        </w:tc>
        <w:tc>
          <w:tcPr>
            <w:tcW w:w="1393" w:type="dxa"/>
            <w:shd w:val="clear" w:color="auto" w:fill="auto"/>
          </w:tcPr>
          <w:p w14:paraId="59A3CCC0" w14:textId="77777777" w:rsidR="00F546DB" w:rsidRPr="00D12E59" w:rsidRDefault="00F546DB" w:rsidP="00C9485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olor w:val="365F91"/>
              </w:rPr>
            </w:pPr>
          </w:p>
        </w:tc>
        <w:tc>
          <w:tcPr>
            <w:cnfStyle w:val="000010000000" w:firstRow="0" w:lastRow="0" w:firstColumn="0" w:lastColumn="0" w:oddVBand="1" w:evenVBand="0" w:oddHBand="0" w:evenHBand="0" w:firstRowFirstColumn="0" w:firstRowLastColumn="0" w:lastRowFirstColumn="0" w:lastRowLastColumn="0"/>
            <w:tcW w:w="4007" w:type="dxa"/>
            <w:shd w:val="clear" w:color="auto" w:fill="auto"/>
          </w:tcPr>
          <w:p w14:paraId="7BF2C82C" w14:textId="77777777" w:rsidR="00F546DB" w:rsidRPr="00D12E59" w:rsidRDefault="00F546DB" w:rsidP="00C94856">
            <w:pPr>
              <w:autoSpaceDE w:val="0"/>
              <w:autoSpaceDN w:val="0"/>
              <w:adjustRightInd w:val="0"/>
              <w:spacing w:after="0" w:line="240" w:lineRule="auto"/>
              <w:rPr>
                <w:rFonts w:ascii="Book Antiqua" w:hAnsi="Book Antiqua"/>
                <w:color w:val="365F91"/>
              </w:rPr>
            </w:pPr>
          </w:p>
        </w:tc>
      </w:tr>
      <w:tr w:rsidR="00F546DB" w:rsidRPr="00D12E59" w14:paraId="3A532AB0" w14:textId="77777777" w:rsidTr="00F546DB">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3" w:type="dxa"/>
            <w:gridSpan w:val="2"/>
            <w:shd w:val="clear" w:color="auto" w:fill="auto"/>
          </w:tcPr>
          <w:p w14:paraId="22C6CF37"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Total</w:t>
            </w:r>
          </w:p>
        </w:tc>
        <w:tc>
          <w:tcPr>
            <w:cnfStyle w:val="000010000000" w:firstRow="0" w:lastRow="0" w:firstColumn="0" w:lastColumn="0" w:oddVBand="1" w:evenVBand="0" w:oddHBand="0" w:evenHBand="0" w:firstRowFirstColumn="0" w:firstRowLastColumn="0" w:lastRowFirstColumn="0" w:lastRowLastColumn="0"/>
            <w:tcW w:w="1143" w:type="dxa"/>
            <w:shd w:val="clear" w:color="auto" w:fill="auto"/>
          </w:tcPr>
          <w:p w14:paraId="40083F5B" w14:textId="77777777" w:rsidR="00F546DB" w:rsidRPr="00D12E59" w:rsidRDefault="00F546DB" w:rsidP="00C94856">
            <w:pPr>
              <w:autoSpaceDE w:val="0"/>
              <w:autoSpaceDN w:val="0"/>
              <w:adjustRightInd w:val="0"/>
              <w:spacing w:after="0" w:line="240" w:lineRule="auto"/>
              <w:rPr>
                <w:rFonts w:ascii="Book Antiqua" w:hAnsi="Book Antiqua"/>
              </w:rPr>
            </w:pPr>
            <w:r w:rsidRPr="00D12E59">
              <w:rPr>
                <w:rFonts w:ascii="Book Antiqua" w:hAnsi="Book Antiqua"/>
              </w:rPr>
              <w:t>1693</w:t>
            </w:r>
          </w:p>
        </w:tc>
        <w:tc>
          <w:tcPr>
            <w:tcW w:w="974" w:type="dxa"/>
            <w:shd w:val="clear" w:color="auto" w:fill="auto"/>
          </w:tcPr>
          <w:p w14:paraId="17735FC0" w14:textId="77777777" w:rsidR="00F546DB" w:rsidRPr="00D12E59" w:rsidRDefault="00F546DB" w:rsidP="00C94856">
            <w:pPr>
              <w:autoSpaceDE w:val="0"/>
              <w:autoSpaceDN w:val="0"/>
              <w:adjustRightInd w:val="0"/>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100.0</w:t>
            </w:r>
          </w:p>
        </w:tc>
        <w:tc>
          <w:tcPr>
            <w:cnfStyle w:val="000010000000" w:firstRow="0" w:lastRow="0" w:firstColumn="0" w:lastColumn="0" w:oddVBand="1" w:evenVBand="0" w:oddHBand="0" w:evenHBand="0" w:firstRowFirstColumn="0" w:firstRowLastColumn="0" w:lastRowFirstColumn="0" w:lastRowLastColumn="0"/>
            <w:tcW w:w="1393" w:type="dxa"/>
            <w:shd w:val="clear" w:color="auto" w:fill="auto"/>
          </w:tcPr>
          <w:p w14:paraId="402D0C7C" w14:textId="77777777" w:rsidR="00F546DB" w:rsidRPr="00D12E59" w:rsidRDefault="00F546DB" w:rsidP="00C94856">
            <w:pPr>
              <w:autoSpaceDE w:val="0"/>
              <w:autoSpaceDN w:val="0"/>
              <w:adjustRightInd w:val="0"/>
              <w:spacing w:after="0" w:line="240" w:lineRule="auto"/>
              <w:rPr>
                <w:rFonts w:ascii="Book Antiqua" w:hAnsi="Book Antiqua"/>
                <w:color w:val="365F91"/>
              </w:rPr>
            </w:pPr>
          </w:p>
        </w:tc>
        <w:tc>
          <w:tcPr>
            <w:tcW w:w="4007" w:type="dxa"/>
            <w:shd w:val="clear" w:color="auto" w:fill="auto"/>
          </w:tcPr>
          <w:p w14:paraId="1B44D2AE" w14:textId="77777777" w:rsidR="00F546DB" w:rsidRPr="00D12E59" w:rsidRDefault="00F546DB" w:rsidP="00C94856">
            <w:pPr>
              <w:autoSpaceDE w:val="0"/>
              <w:autoSpaceDN w:val="0"/>
              <w:adjustRightInd w:val="0"/>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color w:val="365F91"/>
              </w:rPr>
            </w:pPr>
          </w:p>
        </w:tc>
      </w:tr>
    </w:tbl>
    <w:p w14:paraId="239974BC" w14:textId="77777777" w:rsidR="00F546DB" w:rsidRDefault="00F546DB" w:rsidP="00E26B19">
      <w:pPr>
        <w:autoSpaceDE w:val="0"/>
        <w:autoSpaceDN w:val="0"/>
        <w:adjustRightInd w:val="0"/>
        <w:spacing w:after="0"/>
        <w:rPr>
          <w:rFonts w:ascii="Book Antiqua" w:hAnsi="Book Antiqua"/>
          <w:b/>
          <w:bCs/>
          <w:color w:val="365F91"/>
        </w:rPr>
        <w:sectPr w:rsidR="00F546DB" w:rsidSect="00F546DB">
          <w:type w:val="continuous"/>
          <w:pgSz w:w="11907" w:h="16839" w:code="9"/>
          <w:pgMar w:top="720" w:right="720" w:bottom="720" w:left="720" w:header="720" w:footer="720" w:gutter="0"/>
          <w:cols w:space="720"/>
          <w:noEndnote/>
        </w:sectPr>
      </w:pPr>
    </w:p>
    <w:p w14:paraId="51201F1F" w14:textId="77777777" w:rsidR="00E26B19" w:rsidRDefault="00E26B19" w:rsidP="00203019">
      <w:pPr>
        <w:autoSpaceDE w:val="0"/>
        <w:autoSpaceDN w:val="0"/>
        <w:adjustRightInd w:val="0"/>
        <w:rPr>
          <w:rFonts w:ascii="Book Antiqua" w:hAnsi="Book Antiqua"/>
          <w:b/>
          <w:bCs/>
          <w:color w:val="365F91"/>
        </w:rPr>
        <w:sectPr w:rsidR="00E26B19" w:rsidSect="008F6BC9">
          <w:type w:val="continuous"/>
          <w:pgSz w:w="11907" w:h="16839" w:code="9"/>
          <w:pgMar w:top="720" w:right="720" w:bottom="720" w:left="720" w:header="720" w:footer="720" w:gutter="0"/>
          <w:cols w:num="2" w:space="720"/>
          <w:noEndnote/>
        </w:sectPr>
      </w:pPr>
    </w:p>
    <w:p w14:paraId="5856C565" w14:textId="77777777" w:rsidR="00E26B19" w:rsidRDefault="00E26B19" w:rsidP="00203019">
      <w:pPr>
        <w:autoSpaceDE w:val="0"/>
        <w:autoSpaceDN w:val="0"/>
        <w:adjustRightInd w:val="0"/>
        <w:rPr>
          <w:rFonts w:ascii="Book Antiqua" w:hAnsi="Book Antiqua"/>
          <w:b/>
          <w:bCs/>
          <w:color w:val="365F91"/>
        </w:rPr>
        <w:sectPr w:rsidR="00E26B19" w:rsidSect="00E26B19">
          <w:type w:val="continuous"/>
          <w:pgSz w:w="11907" w:h="16839" w:code="9"/>
          <w:pgMar w:top="720" w:right="720" w:bottom="720" w:left="720" w:header="720" w:footer="720" w:gutter="0"/>
          <w:cols w:space="720"/>
          <w:noEndnote/>
        </w:sectPr>
      </w:pPr>
    </w:p>
    <w:p w14:paraId="13DFAB6E" w14:textId="77777777" w:rsidR="00F546DB" w:rsidRDefault="00F546DB" w:rsidP="00F546DB">
      <w:pPr>
        <w:autoSpaceDE w:val="0"/>
        <w:autoSpaceDN w:val="0"/>
        <w:adjustRightInd w:val="0"/>
        <w:spacing w:after="0" w:line="240" w:lineRule="auto"/>
        <w:ind w:firstLine="720"/>
        <w:rPr>
          <w:rFonts w:ascii="Book Antiqua" w:hAnsi="Book Antiqua"/>
        </w:rPr>
        <w:sectPr w:rsidR="00F546DB" w:rsidSect="00F546DB">
          <w:type w:val="continuous"/>
          <w:pgSz w:w="11907" w:h="16839" w:code="9"/>
          <w:pgMar w:top="720" w:right="720" w:bottom="720" w:left="720" w:header="720" w:footer="720" w:gutter="0"/>
          <w:cols w:space="720"/>
          <w:noEndnote/>
        </w:sectPr>
      </w:pPr>
      <w:r>
        <w:rPr>
          <w:rFonts w:ascii="Book Antiqua" w:hAnsi="Book Antiqua"/>
        </w:rPr>
        <w:t>Source: Field Survey, 2012</w:t>
      </w:r>
    </w:p>
    <w:p w14:paraId="06C0587B" w14:textId="77777777" w:rsidR="00F546DB" w:rsidRDefault="00F546DB" w:rsidP="00F546DB">
      <w:pPr>
        <w:autoSpaceDE w:val="0"/>
        <w:autoSpaceDN w:val="0"/>
        <w:adjustRightInd w:val="0"/>
        <w:ind w:left="720"/>
        <w:jc w:val="both"/>
        <w:rPr>
          <w:rFonts w:ascii="Book Antiqua" w:hAnsi="Book Antiqua"/>
        </w:rPr>
      </w:pPr>
    </w:p>
    <w:p w14:paraId="1C0F1F08" w14:textId="77777777" w:rsidR="00252D2F" w:rsidRDefault="00F546DB" w:rsidP="00F546DB">
      <w:pPr>
        <w:autoSpaceDE w:val="0"/>
        <w:autoSpaceDN w:val="0"/>
        <w:adjustRightInd w:val="0"/>
        <w:ind w:left="720"/>
        <w:jc w:val="both"/>
        <w:rPr>
          <w:rFonts w:ascii="Book Antiqua" w:hAnsi="Book Antiqua"/>
        </w:rPr>
      </w:pPr>
      <w:r w:rsidRPr="00E3232D">
        <w:rPr>
          <w:rFonts w:ascii="Book Antiqua" w:hAnsi="Book Antiqua"/>
        </w:rPr>
        <w:lastRenderedPageBreak/>
        <w:t xml:space="preserve">Table 3.4.3 shows that 14.2% are enthusiastic about polytechnic education, 46.4% are positive, 21.6% indifferent, 6.5% </w:t>
      </w:r>
      <w:r w:rsidRPr="00E3232D">
        <w:rPr>
          <w:rFonts w:ascii="Book Antiqua" w:hAnsi="Book Antiqua"/>
        </w:rPr>
        <w:t>feel negative and 11.3% feel</w:t>
      </w:r>
      <w:r w:rsidRPr="00F0349B">
        <w:rPr>
          <w:rFonts w:ascii="Book Antiqua" w:hAnsi="Book Antiqua"/>
        </w:rPr>
        <w:t xml:space="preserve"> </w:t>
      </w:r>
      <w:r w:rsidRPr="00E3232D">
        <w:rPr>
          <w:rFonts w:ascii="Book Antiqua" w:hAnsi="Book Antiqua"/>
        </w:rPr>
        <w:t>hostile about it. 9.4% did not respond.</w:t>
      </w:r>
    </w:p>
    <w:p w14:paraId="0B26402A" w14:textId="77777777" w:rsidR="00F546DB" w:rsidRDefault="00F546DB" w:rsidP="00F546DB">
      <w:pPr>
        <w:autoSpaceDE w:val="0"/>
        <w:autoSpaceDN w:val="0"/>
        <w:adjustRightInd w:val="0"/>
        <w:ind w:left="720"/>
        <w:jc w:val="both"/>
        <w:rPr>
          <w:rFonts w:ascii="Book Antiqua" w:hAnsi="Book Antiqua"/>
        </w:rPr>
        <w:sectPr w:rsidR="00F546DB" w:rsidSect="00F609D2">
          <w:type w:val="continuous"/>
          <w:pgSz w:w="11907" w:h="16839" w:code="9"/>
          <w:pgMar w:top="720" w:right="720" w:bottom="720" w:left="720" w:header="720" w:footer="720" w:gutter="0"/>
          <w:cols w:num="2" w:space="720"/>
          <w:noEndnote/>
        </w:sectPr>
      </w:pPr>
    </w:p>
    <w:p w14:paraId="55783EF5" w14:textId="77777777" w:rsidR="00F46A39" w:rsidRPr="00E3232D" w:rsidRDefault="00F46A39" w:rsidP="00F546DB">
      <w:pPr>
        <w:autoSpaceDE w:val="0"/>
        <w:autoSpaceDN w:val="0"/>
        <w:adjustRightInd w:val="0"/>
        <w:spacing w:after="0" w:line="240" w:lineRule="auto"/>
        <w:rPr>
          <w:rFonts w:ascii="Book Antiqua" w:hAnsi="Book Antiqua"/>
        </w:rPr>
        <w:sectPr w:rsidR="00F46A39" w:rsidRPr="00E3232D" w:rsidSect="00F546DB">
          <w:type w:val="continuous"/>
          <w:pgSz w:w="11907" w:h="16839" w:code="9"/>
          <w:pgMar w:top="720" w:right="720" w:bottom="720" w:left="720" w:header="720" w:footer="720" w:gutter="0"/>
          <w:cols w:space="720"/>
          <w:noEndnote/>
        </w:sectPr>
      </w:pPr>
    </w:p>
    <w:p w14:paraId="01142396" w14:textId="77777777" w:rsidR="00F546DB" w:rsidRPr="00F609D2" w:rsidRDefault="00F546DB" w:rsidP="00F609D2">
      <w:pPr>
        <w:autoSpaceDE w:val="0"/>
        <w:autoSpaceDN w:val="0"/>
        <w:adjustRightInd w:val="0"/>
        <w:spacing w:after="0"/>
        <w:ind w:firstLine="720"/>
        <w:rPr>
          <w:rFonts w:ascii="Book Antiqua" w:hAnsi="Book Antiqua"/>
          <w:b/>
          <w:bCs/>
          <w:color w:val="000000"/>
        </w:rPr>
      </w:pPr>
      <w:r w:rsidRPr="00D12E59">
        <w:rPr>
          <w:rFonts w:ascii="Book Antiqua" w:hAnsi="Book Antiqua"/>
          <w:b/>
          <w:bCs/>
          <w:color w:val="000000"/>
        </w:rPr>
        <w:t>Section 5:What the Polytechnics Should Do Differently To Attract More SHS Graduates</w:t>
      </w:r>
    </w:p>
    <w:p w14:paraId="7CA5D827" w14:textId="77777777" w:rsidR="00F546DB" w:rsidRDefault="00F546DB" w:rsidP="00F546DB">
      <w:pPr>
        <w:autoSpaceDE w:val="0"/>
        <w:autoSpaceDN w:val="0"/>
        <w:adjustRightInd w:val="0"/>
        <w:spacing w:after="0" w:line="240" w:lineRule="auto"/>
        <w:rPr>
          <w:rFonts w:ascii="Book Antiqua" w:hAnsi="Book Antiqua"/>
        </w:rPr>
        <w:sectPr w:rsidR="00F546DB" w:rsidSect="00F546DB">
          <w:type w:val="continuous"/>
          <w:pgSz w:w="11907" w:h="16839" w:code="9"/>
          <w:pgMar w:top="720" w:right="720" w:bottom="720" w:left="720" w:header="720" w:footer="720" w:gutter="0"/>
          <w:cols w:space="720"/>
          <w:noEndnote/>
        </w:sectPr>
      </w:pPr>
    </w:p>
    <w:p w14:paraId="016245E3" w14:textId="77777777" w:rsidR="00F609D2" w:rsidRDefault="00F609D2" w:rsidP="00F609D2">
      <w:pPr>
        <w:autoSpaceDE w:val="0"/>
        <w:autoSpaceDN w:val="0"/>
        <w:adjustRightInd w:val="0"/>
        <w:spacing w:after="0"/>
        <w:ind w:left="720"/>
        <w:rPr>
          <w:rFonts w:ascii="Book Antiqua" w:hAnsi="Book Antiqua"/>
          <w:b/>
          <w:bCs/>
          <w:color w:val="000000"/>
        </w:rPr>
      </w:pPr>
    </w:p>
    <w:p w14:paraId="321FBBE7" w14:textId="77777777" w:rsidR="00F609D2" w:rsidRPr="00E3232D" w:rsidRDefault="00F609D2" w:rsidP="00F609D2">
      <w:pPr>
        <w:autoSpaceDE w:val="0"/>
        <w:autoSpaceDN w:val="0"/>
        <w:adjustRightInd w:val="0"/>
        <w:ind w:left="720"/>
        <w:rPr>
          <w:rFonts w:ascii="Book Antiqua" w:hAnsi="Book Antiqua"/>
        </w:rPr>
      </w:pPr>
      <w:r w:rsidRPr="00D12E59">
        <w:rPr>
          <w:rFonts w:ascii="Book Antiqua" w:hAnsi="Book Antiqua"/>
          <w:b/>
          <w:bCs/>
          <w:color w:val="000000"/>
        </w:rPr>
        <w:t>Table 3.5.1: What polytechnics should do differently to attract more SHS graduates</w:t>
      </w:r>
    </w:p>
    <w:p w14:paraId="06786DBB" w14:textId="77777777" w:rsidR="00B27D46" w:rsidRPr="00E3232D" w:rsidRDefault="00B27D46" w:rsidP="008275E1">
      <w:pPr>
        <w:autoSpaceDE w:val="0"/>
        <w:autoSpaceDN w:val="0"/>
        <w:adjustRightInd w:val="0"/>
        <w:rPr>
          <w:rFonts w:ascii="Book Antiqua" w:hAnsi="Book Antiqua"/>
        </w:rPr>
        <w:sectPr w:rsidR="00B27D46" w:rsidRPr="00E3232D" w:rsidSect="00F546DB">
          <w:type w:val="continuous"/>
          <w:pgSz w:w="11907" w:h="16839" w:code="9"/>
          <w:pgMar w:top="720" w:right="720" w:bottom="720" w:left="720" w:header="720" w:footer="720" w:gutter="0"/>
          <w:cols w:space="720"/>
          <w:noEndnote/>
        </w:sectPr>
      </w:pPr>
    </w:p>
    <w:tbl>
      <w:tblPr>
        <w:tblStyle w:val="LightShading-Accent11"/>
        <w:tblpPr w:leftFromText="180" w:rightFromText="180" w:vertAnchor="text" w:horzAnchor="page" w:tblpX="1378" w:tblpY="255"/>
        <w:tblW w:w="8069" w:type="dxa"/>
        <w:tblLayout w:type="fixed"/>
        <w:tblLook w:val="0160" w:firstRow="1" w:lastRow="1" w:firstColumn="0" w:lastColumn="1" w:noHBand="0" w:noVBand="0"/>
      </w:tblPr>
      <w:tblGrid>
        <w:gridCol w:w="721"/>
        <w:gridCol w:w="2401"/>
        <w:gridCol w:w="1142"/>
        <w:gridCol w:w="998"/>
        <w:gridCol w:w="1367"/>
        <w:gridCol w:w="1440"/>
      </w:tblGrid>
      <w:tr w:rsidR="001F1426" w:rsidRPr="00D12E59" w14:paraId="0AD91746" w14:textId="77777777" w:rsidTr="001F1426">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21" w:type="dxa"/>
            <w:shd w:val="clear" w:color="auto" w:fill="auto"/>
          </w:tcPr>
          <w:p w14:paraId="5516519F" w14:textId="77777777" w:rsidR="001F1426" w:rsidRPr="00D12E59" w:rsidRDefault="001F1426" w:rsidP="001F1426">
            <w:pPr>
              <w:autoSpaceDE w:val="0"/>
              <w:autoSpaceDN w:val="0"/>
              <w:adjustRightInd w:val="0"/>
              <w:spacing w:after="0" w:line="240" w:lineRule="auto"/>
              <w:rPr>
                <w:rFonts w:ascii="Book Antiqua" w:hAnsi="Book Antiqua"/>
              </w:rPr>
            </w:pPr>
          </w:p>
        </w:tc>
        <w:tc>
          <w:tcPr>
            <w:tcW w:w="2401" w:type="dxa"/>
            <w:shd w:val="clear" w:color="auto" w:fill="auto"/>
          </w:tcPr>
          <w:p w14:paraId="5446292C" w14:textId="77777777" w:rsidR="001F1426" w:rsidRPr="00D12E59" w:rsidRDefault="001F1426" w:rsidP="001F1426">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rPr>
            </w:pPr>
          </w:p>
        </w:tc>
        <w:tc>
          <w:tcPr>
            <w:cnfStyle w:val="000010000000" w:firstRow="0" w:lastRow="0" w:firstColumn="0" w:lastColumn="0" w:oddVBand="1" w:evenVBand="0" w:oddHBand="0" w:evenHBand="0" w:firstRowFirstColumn="0" w:firstRowLastColumn="0" w:lastRowFirstColumn="0" w:lastRowLastColumn="0"/>
            <w:tcW w:w="1142" w:type="dxa"/>
            <w:shd w:val="clear" w:color="auto" w:fill="auto"/>
          </w:tcPr>
          <w:p w14:paraId="22A66E6E"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Frequency</w:t>
            </w:r>
          </w:p>
        </w:tc>
        <w:tc>
          <w:tcPr>
            <w:tcW w:w="998" w:type="dxa"/>
            <w:shd w:val="clear" w:color="auto" w:fill="auto"/>
          </w:tcPr>
          <w:p w14:paraId="65E72596" w14:textId="77777777" w:rsidR="001F1426" w:rsidRPr="00D12E59" w:rsidRDefault="001F1426" w:rsidP="001F1426">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000000"/>
              </w:rPr>
            </w:pPr>
            <w:r w:rsidRPr="00D12E59">
              <w:rPr>
                <w:rFonts w:ascii="Book Antiqua" w:hAnsi="Book Antiqua"/>
                <w:color w:val="000000"/>
              </w:rPr>
              <w:t>Percent</w:t>
            </w:r>
          </w:p>
        </w:tc>
        <w:tc>
          <w:tcPr>
            <w:cnfStyle w:val="000010000000" w:firstRow="0" w:lastRow="0" w:firstColumn="0" w:lastColumn="0" w:oddVBand="1" w:evenVBand="0" w:oddHBand="0" w:evenHBand="0" w:firstRowFirstColumn="0" w:firstRowLastColumn="0" w:lastRowFirstColumn="0" w:lastRowLastColumn="0"/>
            <w:tcW w:w="1367" w:type="dxa"/>
            <w:shd w:val="clear" w:color="auto" w:fill="auto"/>
          </w:tcPr>
          <w:p w14:paraId="6F99CB19"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Valid Percent</w:t>
            </w:r>
          </w:p>
        </w:tc>
        <w:tc>
          <w:tcPr>
            <w:cnfStyle w:val="000100000000" w:firstRow="0" w:lastRow="0" w:firstColumn="0" w:lastColumn="1" w:oddVBand="0" w:evenVBand="0" w:oddHBand="0" w:evenHBand="0" w:firstRowFirstColumn="0" w:firstRowLastColumn="0" w:lastRowFirstColumn="0" w:lastRowLastColumn="0"/>
            <w:tcW w:w="1440" w:type="dxa"/>
            <w:shd w:val="clear" w:color="auto" w:fill="auto"/>
          </w:tcPr>
          <w:p w14:paraId="7A117597"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Cumulative Percent</w:t>
            </w:r>
          </w:p>
        </w:tc>
      </w:tr>
      <w:tr w:rsidR="001F1426" w:rsidRPr="00D12E59" w14:paraId="700614DC" w14:textId="77777777" w:rsidTr="001F142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21" w:type="dxa"/>
            <w:vMerge w:val="restart"/>
            <w:shd w:val="clear" w:color="auto" w:fill="auto"/>
          </w:tcPr>
          <w:p w14:paraId="455E7DD2" w14:textId="77777777" w:rsidR="001F1426" w:rsidRPr="00D12E59" w:rsidRDefault="001F1426" w:rsidP="001F1426">
            <w:pPr>
              <w:autoSpaceDE w:val="0"/>
              <w:autoSpaceDN w:val="0"/>
              <w:adjustRightInd w:val="0"/>
              <w:spacing w:after="0" w:line="240" w:lineRule="auto"/>
              <w:rPr>
                <w:rFonts w:ascii="Book Antiqua" w:hAnsi="Book Antiqua"/>
                <w:color w:val="000000"/>
              </w:rPr>
            </w:pPr>
          </w:p>
        </w:tc>
        <w:tc>
          <w:tcPr>
            <w:tcW w:w="2401" w:type="dxa"/>
            <w:shd w:val="clear" w:color="auto" w:fill="auto"/>
          </w:tcPr>
          <w:p w14:paraId="550DAD44" w14:textId="77777777" w:rsidR="001F1426" w:rsidRPr="00D12E59" w:rsidRDefault="001F1426" w:rsidP="001F142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olor w:val="000000"/>
              </w:rPr>
            </w:pPr>
            <w:r w:rsidRPr="00D12E59">
              <w:rPr>
                <w:rFonts w:ascii="Book Antiqua" w:hAnsi="Book Antiqua"/>
                <w:color w:val="000000"/>
              </w:rPr>
              <w:t>No idea</w:t>
            </w:r>
          </w:p>
        </w:tc>
        <w:tc>
          <w:tcPr>
            <w:cnfStyle w:val="000010000000" w:firstRow="0" w:lastRow="0" w:firstColumn="0" w:lastColumn="0" w:oddVBand="1" w:evenVBand="0" w:oddHBand="0" w:evenHBand="0" w:firstRowFirstColumn="0" w:firstRowLastColumn="0" w:lastRowFirstColumn="0" w:lastRowLastColumn="0"/>
            <w:tcW w:w="1142" w:type="dxa"/>
            <w:shd w:val="clear" w:color="auto" w:fill="auto"/>
          </w:tcPr>
          <w:p w14:paraId="08BCEA97"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263</w:t>
            </w:r>
          </w:p>
        </w:tc>
        <w:tc>
          <w:tcPr>
            <w:tcW w:w="998" w:type="dxa"/>
            <w:shd w:val="clear" w:color="auto" w:fill="auto"/>
          </w:tcPr>
          <w:p w14:paraId="52805103" w14:textId="77777777" w:rsidR="001F1426" w:rsidRPr="00D12E59" w:rsidRDefault="001F1426" w:rsidP="001F142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olor w:val="000000"/>
              </w:rPr>
            </w:pPr>
            <w:r w:rsidRPr="00D12E59">
              <w:rPr>
                <w:rFonts w:ascii="Book Antiqua" w:hAnsi="Book Antiqua"/>
                <w:color w:val="000000"/>
              </w:rPr>
              <w:t>15.6</w:t>
            </w:r>
          </w:p>
        </w:tc>
        <w:tc>
          <w:tcPr>
            <w:cnfStyle w:val="000010000000" w:firstRow="0" w:lastRow="0" w:firstColumn="0" w:lastColumn="0" w:oddVBand="1" w:evenVBand="0" w:oddHBand="0" w:evenHBand="0" w:firstRowFirstColumn="0" w:firstRowLastColumn="0" w:lastRowFirstColumn="0" w:lastRowLastColumn="0"/>
            <w:tcW w:w="1367" w:type="dxa"/>
            <w:shd w:val="clear" w:color="auto" w:fill="auto"/>
          </w:tcPr>
          <w:p w14:paraId="1FB0B5BC"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15.6</w:t>
            </w:r>
          </w:p>
        </w:tc>
        <w:tc>
          <w:tcPr>
            <w:cnfStyle w:val="000100000000" w:firstRow="0" w:lastRow="0" w:firstColumn="0" w:lastColumn="1" w:oddVBand="0" w:evenVBand="0" w:oddHBand="0" w:evenHBand="0" w:firstRowFirstColumn="0" w:firstRowLastColumn="0" w:lastRowFirstColumn="0" w:lastRowLastColumn="0"/>
            <w:tcW w:w="1440" w:type="dxa"/>
            <w:shd w:val="clear" w:color="auto" w:fill="auto"/>
          </w:tcPr>
          <w:p w14:paraId="5938B860"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15.6</w:t>
            </w:r>
          </w:p>
        </w:tc>
      </w:tr>
      <w:tr w:rsidR="001F1426" w:rsidRPr="00D12E59" w14:paraId="19BA1D28" w14:textId="77777777" w:rsidTr="001F1426">
        <w:tc>
          <w:tcPr>
            <w:cnfStyle w:val="000010000000" w:firstRow="0" w:lastRow="0" w:firstColumn="0" w:lastColumn="0" w:oddVBand="1" w:evenVBand="0" w:oddHBand="0" w:evenHBand="0" w:firstRowFirstColumn="0" w:firstRowLastColumn="0" w:lastRowFirstColumn="0" w:lastRowLastColumn="0"/>
            <w:tcW w:w="721" w:type="dxa"/>
            <w:vMerge/>
            <w:shd w:val="clear" w:color="auto" w:fill="auto"/>
          </w:tcPr>
          <w:p w14:paraId="345B41E5" w14:textId="77777777" w:rsidR="001F1426" w:rsidRPr="00D12E59" w:rsidRDefault="001F1426" w:rsidP="001F1426">
            <w:pPr>
              <w:autoSpaceDE w:val="0"/>
              <w:autoSpaceDN w:val="0"/>
              <w:adjustRightInd w:val="0"/>
              <w:spacing w:after="0" w:line="240" w:lineRule="auto"/>
              <w:rPr>
                <w:rFonts w:ascii="Book Antiqua" w:hAnsi="Book Antiqua"/>
                <w:color w:val="000000"/>
              </w:rPr>
            </w:pPr>
          </w:p>
        </w:tc>
        <w:tc>
          <w:tcPr>
            <w:tcW w:w="2401" w:type="dxa"/>
            <w:shd w:val="clear" w:color="auto" w:fill="auto"/>
          </w:tcPr>
          <w:p w14:paraId="2BFBBF57" w14:textId="77777777" w:rsidR="001F1426" w:rsidRPr="00D12E59" w:rsidRDefault="001F1426" w:rsidP="001F142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olor w:val="000000"/>
              </w:rPr>
            </w:pPr>
            <w:r w:rsidRPr="00D12E59">
              <w:rPr>
                <w:rFonts w:ascii="Book Antiqua" w:hAnsi="Book Antiqua"/>
                <w:color w:val="000000"/>
              </w:rPr>
              <w:t>Educate SHS on their courses</w:t>
            </w:r>
          </w:p>
        </w:tc>
        <w:tc>
          <w:tcPr>
            <w:cnfStyle w:val="000010000000" w:firstRow="0" w:lastRow="0" w:firstColumn="0" w:lastColumn="0" w:oddVBand="1" w:evenVBand="0" w:oddHBand="0" w:evenHBand="0" w:firstRowFirstColumn="0" w:firstRowLastColumn="0" w:lastRowFirstColumn="0" w:lastRowLastColumn="0"/>
            <w:tcW w:w="1142" w:type="dxa"/>
            <w:shd w:val="clear" w:color="auto" w:fill="auto"/>
          </w:tcPr>
          <w:p w14:paraId="73E83B94"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255</w:t>
            </w:r>
          </w:p>
        </w:tc>
        <w:tc>
          <w:tcPr>
            <w:tcW w:w="998" w:type="dxa"/>
            <w:shd w:val="clear" w:color="auto" w:fill="auto"/>
          </w:tcPr>
          <w:p w14:paraId="2F4287D7" w14:textId="77777777" w:rsidR="001F1426" w:rsidRPr="00D12E59" w:rsidRDefault="001F1426" w:rsidP="001F142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olor w:val="000000"/>
              </w:rPr>
            </w:pPr>
            <w:r w:rsidRPr="00D12E59">
              <w:rPr>
                <w:rFonts w:ascii="Book Antiqua" w:hAnsi="Book Antiqua"/>
                <w:color w:val="000000"/>
              </w:rPr>
              <w:t>15.1</w:t>
            </w:r>
          </w:p>
        </w:tc>
        <w:tc>
          <w:tcPr>
            <w:cnfStyle w:val="000010000000" w:firstRow="0" w:lastRow="0" w:firstColumn="0" w:lastColumn="0" w:oddVBand="1" w:evenVBand="0" w:oddHBand="0" w:evenHBand="0" w:firstRowFirstColumn="0" w:firstRowLastColumn="0" w:lastRowFirstColumn="0" w:lastRowLastColumn="0"/>
            <w:tcW w:w="1367" w:type="dxa"/>
            <w:shd w:val="clear" w:color="auto" w:fill="auto"/>
          </w:tcPr>
          <w:p w14:paraId="26620C50"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15.1</w:t>
            </w:r>
          </w:p>
        </w:tc>
        <w:tc>
          <w:tcPr>
            <w:cnfStyle w:val="000100000000" w:firstRow="0" w:lastRow="0" w:firstColumn="0" w:lastColumn="1" w:oddVBand="0" w:evenVBand="0" w:oddHBand="0" w:evenHBand="0" w:firstRowFirstColumn="0" w:firstRowLastColumn="0" w:lastRowFirstColumn="0" w:lastRowLastColumn="0"/>
            <w:tcW w:w="1440" w:type="dxa"/>
            <w:shd w:val="clear" w:color="auto" w:fill="auto"/>
          </w:tcPr>
          <w:p w14:paraId="1A7F1E4D"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30.8</w:t>
            </w:r>
          </w:p>
        </w:tc>
      </w:tr>
      <w:tr w:rsidR="001F1426" w:rsidRPr="00D12E59" w14:paraId="6A80D54C" w14:textId="77777777" w:rsidTr="001F142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21" w:type="dxa"/>
            <w:vMerge/>
            <w:shd w:val="clear" w:color="auto" w:fill="auto"/>
          </w:tcPr>
          <w:p w14:paraId="13FD4F51" w14:textId="77777777" w:rsidR="001F1426" w:rsidRPr="00D12E59" w:rsidRDefault="001F1426" w:rsidP="001F1426">
            <w:pPr>
              <w:autoSpaceDE w:val="0"/>
              <w:autoSpaceDN w:val="0"/>
              <w:adjustRightInd w:val="0"/>
              <w:spacing w:after="0" w:line="240" w:lineRule="auto"/>
              <w:rPr>
                <w:rFonts w:ascii="Book Antiqua" w:hAnsi="Book Antiqua"/>
                <w:color w:val="000000"/>
              </w:rPr>
            </w:pPr>
          </w:p>
        </w:tc>
        <w:tc>
          <w:tcPr>
            <w:tcW w:w="2401" w:type="dxa"/>
            <w:shd w:val="clear" w:color="auto" w:fill="auto"/>
          </w:tcPr>
          <w:p w14:paraId="77D88A59" w14:textId="77777777" w:rsidR="001F1426" w:rsidRPr="00D12E59" w:rsidRDefault="001F1426" w:rsidP="001F142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olor w:val="000000"/>
              </w:rPr>
            </w:pPr>
            <w:r w:rsidRPr="00D12E59">
              <w:rPr>
                <w:rFonts w:ascii="Book Antiqua" w:hAnsi="Book Antiqua"/>
                <w:color w:val="000000"/>
              </w:rPr>
              <w:t>Run degree programs</w:t>
            </w:r>
          </w:p>
        </w:tc>
        <w:tc>
          <w:tcPr>
            <w:cnfStyle w:val="000010000000" w:firstRow="0" w:lastRow="0" w:firstColumn="0" w:lastColumn="0" w:oddVBand="1" w:evenVBand="0" w:oddHBand="0" w:evenHBand="0" w:firstRowFirstColumn="0" w:firstRowLastColumn="0" w:lastRowFirstColumn="0" w:lastRowLastColumn="0"/>
            <w:tcW w:w="1142" w:type="dxa"/>
            <w:shd w:val="clear" w:color="auto" w:fill="auto"/>
          </w:tcPr>
          <w:p w14:paraId="494073D0"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343</w:t>
            </w:r>
          </w:p>
        </w:tc>
        <w:tc>
          <w:tcPr>
            <w:tcW w:w="998" w:type="dxa"/>
            <w:shd w:val="clear" w:color="auto" w:fill="auto"/>
          </w:tcPr>
          <w:p w14:paraId="48A7D997" w14:textId="77777777" w:rsidR="001F1426" w:rsidRPr="00D12E59" w:rsidRDefault="001F1426" w:rsidP="001F142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olor w:val="000000"/>
              </w:rPr>
            </w:pPr>
            <w:r w:rsidRPr="00D12E59">
              <w:rPr>
                <w:rFonts w:ascii="Book Antiqua" w:hAnsi="Book Antiqua"/>
                <w:color w:val="000000"/>
              </w:rPr>
              <w:t>20.4</w:t>
            </w:r>
          </w:p>
        </w:tc>
        <w:tc>
          <w:tcPr>
            <w:cnfStyle w:val="000010000000" w:firstRow="0" w:lastRow="0" w:firstColumn="0" w:lastColumn="0" w:oddVBand="1" w:evenVBand="0" w:oddHBand="0" w:evenHBand="0" w:firstRowFirstColumn="0" w:firstRowLastColumn="0" w:lastRowFirstColumn="0" w:lastRowLastColumn="0"/>
            <w:tcW w:w="1367" w:type="dxa"/>
            <w:shd w:val="clear" w:color="auto" w:fill="auto"/>
          </w:tcPr>
          <w:p w14:paraId="6A534654"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20.4</w:t>
            </w:r>
          </w:p>
        </w:tc>
        <w:tc>
          <w:tcPr>
            <w:cnfStyle w:val="000100000000" w:firstRow="0" w:lastRow="0" w:firstColumn="0" w:lastColumn="1" w:oddVBand="0" w:evenVBand="0" w:oddHBand="0" w:evenHBand="0" w:firstRowFirstColumn="0" w:firstRowLastColumn="0" w:lastRowFirstColumn="0" w:lastRowLastColumn="0"/>
            <w:tcW w:w="1440" w:type="dxa"/>
            <w:shd w:val="clear" w:color="auto" w:fill="auto"/>
          </w:tcPr>
          <w:p w14:paraId="17BDE181"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51.1</w:t>
            </w:r>
          </w:p>
        </w:tc>
      </w:tr>
      <w:tr w:rsidR="001F1426" w:rsidRPr="00D12E59" w14:paraId="4BBF99AF" w14:textId="77777777" w:rsidTr="001F1426">
        <w:tc>
          <w:tcPr>
            <w:cnfStyle w:val="000010000000" w:firstRow="0" w:lastRow="0" w:firstColumn="0" w:lastColumn="0" w:oddVBand="1" w:evenVBand="0" w:oddHBand="0" w:evenHBand="0" w:firstRowFirstColumn="0" w:firstRowLastColumn="0" w:lastRowFirstColumn="0" w:lastRowLastColumn="0"/>
            <w:tcW w:w="721" w:type="dxa"/>
            <w:vMerge/>
            <w:shd w:val="clear" w:color="auto" w:fill="auto"/>
          </w:tcPr>
          <w:p w14:paraId="6B83B0BB" w14:textId="77777777" w:rsidR="001F1426" w:rsidRPr="00D12E59" w:rsidRDefault="001F1426" w:rsidP="001F1426">
            <w:pPr>
              <w:autoSpaceDE w:val="0"/>
              <w:autoSpaceDN w:val="0"/>
              <w:adjustRightInd w:val="0"/>
              <w:spacing w:after="0" w:line="240" w:lineRule="auto"/>
              <w:rPr>
                <w:rFonts w:ascii="Book Antiqua" w:hAnsi="Book Antiqua"/>
                <w:color w:val="000000"/>
              </w:rPr>
            </w:pPr>
          </w:p>
        </w:tc>
        <w:tc>
          <w:tcPr>
            <w:tcW w:w="2401" w:type="dxa"/>
            <w:shd w:val="clear" w:color="auto" w:fill="auto"/>
          </w:tcPr>
          <w:p w14:paraId="361FD3E5" w14:textId="77777777" w:rsidR="001F1426" w:rsidRPr="00D12E59" w:rsidRDefault="001F1426" w:rsidP="001F142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olor w:val="000000"/>
              </w:rPr>
            </w:pPr>
            <w:r w:rsidRPr="00D12E59">
              <w:rPr>
                <w:rFonts w:ascii="Book Antiqua" w:hAnsi="Book Antiqua"/>
                <w:color w:val="000000"/>
              </w:rPr>
              <w:t>More courses</w:t>
            </w:r>
          </w:p>
        </w:tc>
        <w:tc>
          <w:tcPr>
            <w:cnfStyle w:val="000010000000" w:firstRow="0" w:lastRow="0" w:firstColumn="0" w:lastColumn="0" w:oddVBand="1" w:evenVBand="0" w:oddHBand="0" w:evenHBand="0" w:firstRowFirstColumn="0" w:firstRowLastColumn="0" w:lastRowFirstColumn="0" w:lastRowLastColumn="0"/>
            <w:tcW w:w="1142" w:type="dxa"/>
            <w:shd w:val="clear" w:color="auto" w:fill="auto"/>
          </w:tcPr>
          <w:p w14:paraId="7E10C9A3"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281</w:t>
            </w:r>
          </w:p>
        </w:tc>
        <w:tc>
          <w:tcPr>
            <w:tcW w:w="998" w:type="dxa"/>
            <w:shd w:val="clear" w:color="auto" w:fill="auto"/>
          </w:tcPr>
          <w:p w14:paraId="65145D10" w14:textId="77777777" w:rsidR="001F1426" w:rsidRPr="00D12E59" w:rsidRDefault="001F1426" w:rsidP="001F142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olor w:val="000000"/>
              </w:rPr>
            </w:pPr>
            <w:r w:rsidRPr="00D12E59">
              <w:rPr>
                <w:rFonts w:ascii="Book Antiqua" w:hAnsi="Book Antiqua"/>
                <w:color w:val="000000"/>
              </w:rPr>
              <w:t>16.7</w:t>
            </w:r>
          </w:p>
        </w:tc>
        <w:tc>
          <w:tcPr>
            <w:cnfStyle w:val="000010000000" w:firstRow="0" w:lastRow="0" w:firstColumn="0" w:lastColumn="0" w:oddVBand="1" w:evenVBand="0" w:oddHBand="0" w:evenHBand="0" w:firstRowFirstColumn="0" w:firstRowLastColumn="0" w:lastRowFirstColumn="0" w:lastRowLastColumn="0"/>
            <w:tcW w:w="1367" w:type="dxa"/>
            <w:shd w:val="clear" w:color="auto" w:fill="auto"/>
          </w:tcPr>
          <w:p w14:paraId="5943098D"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16.7</w:t>
            </w:r>
          </w:p>
        </w:tc>
        <w:tc>
          <w:tcPr>
            <w:cnfStyle w:val="000100000000" w:firstRow="0" w:lastRow="0" w:firstColumn="0" w:lastColumn="1" w:oddVBand="0" w:evenVBand="0" w:oddHBand="0" w:evenHBand="0" w:firstRowFirstColumn="0" w:firstRowLastColumn="0" w:lastRowFirstColumn="0" w:lastRowLastColumn="0"/>
            <w:tcW w:w="1440" w:type="dxa"/>
            <w:shd w:val="clear" w:color="auto" w:fill="auto"/>
          </w:tcPr>
          <w:p w14:paraId="7BD23EC9"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67.8</w:t>
            </w:r>
          </w:p>
        </w:tc>
      </w:tr>
      <w:tr w:rsidR="001F1426" w:rsidRPr="00D12E59" w14:paraId="45CC0C14" w14:textId="77777777" w:rsidTr="001F142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21" w:type="dxa"/>
            <w:vMerge/>
            <w:shd w:val="clear" w:color="auto" w:fill="auto"/>
          </w:tcPr>
          <w:p w14:paraId="1077A160" w14:textId="77777777" w:rsidR="001F1426" w:rsidRPr="00D12E59" w:rsidRDefault="001F1426" w:rsidP="001F1426">
            <w:pPr>
              <w:autoSpaceDE w:val="0"/>
              <w:autoSpaceDN w:val="0"/>
              <w:adjustRightInd w:val="0"/>
              <w:spacing w:after="0" w:line="240" w:lineRule="auto"/>
              <w:rPr>
                <w:rFonts w:ascii="Book Antiqua" w:hAnsi="Book Antiqua"/>
                <w:color w:val="000000"/>
              </w:rPr>
            </w:pPr>
          </w:p>
        </w:tc>
        <w:tc>
          <w:tcPr>
            <w:tcW w:w="2401" w:type="dxa"/>
            <w:shd w:val="clear" w:color="auto" w:fill="auto"/>
          </w:tcPr>
          <w:p w14:paraId="58768856" w14:textId="77777777" w:rsidR="001F1426" w:rsidRPr="00D12E59" w:rsidRDefault="001F1426" w:rsidP="001F142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olor w:val="000000"/>
              </w:rPr>
            </w:pPr>
            <w:r w:rsidRPr="00D12E59">
              <w:rPr>
                <w:rFonts w:ascii="Book Antiqua" w:hAnsi="Book Antiqua"/>
                <w:color w:val="000000"/>
              </w:rPr>
              <w:t>Improve infrastructure</w:t>
            </w:r>
          </w:p>
        </w:tc>
        <w:tc>
          <w:tcPr>
            <w:cnfStyle w:val="000010000000" w:firstRow="0" w:lastRow="0" w:firstColumn="0" w:lastColumn="0" w:oddVBand="1" w:evenVBand="0" w:oddHBand="0" w:evenHBand="0" w:firstRowFirstColumn="0" w:firstRowLastColumn="0" w:lastRowFirstColumn="0" w:lastRowLastColumn="0"/>
            <w:tcW w:w="1142" w:type="dxa"/>
            <w:shd w:val="clear" w:color="auto" w:fill="auto"/>
          </w:tcPr>
          <w:p w14:paraId="56592861"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124</w:t>
            </w:r>
          </w:p>
        </w:tc>
        <w:tc>
          <w:tcPr>
            <w:tcW w:w="998" w:type="dxa"/>
            <w:shd w:val="clear" w:color="auto" w:fill="auto"/>
          </w:tcPr>
          <w:p w14:paraId="356EE29D" w14:textId="77777777" w:rsidR="001F1426" w:rsidRPr="00D12E59" w:rsidRDefault="001F1426" w:rsidP="001F1426">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olor w:val="000000"/>
              </w:rPr>
            </w:pPr>
            <w:r w:rsidRPr="00D12E59">
              <w:rPr>
                <w:rFonts w:ascii="Book Antiqua" w:hAnsi="Book Antiqua"/>
                <w:color w:val="000000"/>
              </w:rPr>
              <w:t>7.4</w:t>
            </w:r>
          </w:p>
        </w:tc>
        <w:tc>
          <w:tcPr>
            <w:cnfStyle w:val="000010000000" w:firstRow="0" w:lastRow="0" w:firstColumn="0" w:lastColumn="0" w:oddVBand="1" w:evenVBand="0" w:oddHBand="0" w:evenHBand="0" w:firstRowFirstColumn="0" w:firstRowLastColumn="0" w:lastRowFirstColumn="0" w:lastRowLastColumn="0"/>
            <w:tcW w:w="1367" w:type="dxa"/>
            <w:shd w:val="clear" w:color="auto" w:fill="auto"/>
          </w:tcPr>
          <w:p w14:paraId="79F85E8C"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7.4</w:t>
            </w:r>
          </w:p>
        </w:tc>
        <w:tc>
          <w:tcPr>
            <w:cnfStyle w:val="000100000000" w:firstRow="0" w:lastRow="0" w:firstColumn="0" w:lastColumn="1" w:oddVBand="0" w:evenVBand="0" w:oddHBand="0" w:evenHBand="0" w:firstRowFirstColumn="0" w:firstRowLastColumn="0" w:lastRowFirstColumn="0" w:lastRowLastColumn="0"/>
            <w:tcW w:w="1440" w:type="dxa"/>
            <w:shd w:val="clear" w:color="auto" w:fill="auto"/>
          </w:tcPr>
          <w:p w14:paraId="485025EF"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75.2</w:t>
            </w:r>
          </w:p>
        </w:tc>
      </w:tr>
      <w:tr w:rsidR="001F1426" w:rsidRPr="00D12E59" w14:paraId="227B6859" w14:textId="77777777" w:rsidTr="001F1426">
        <w:tc>
          <w:tcPr>
            <w:cnfStyle w:val="000010000000" w:firstRow="0" w:lastRow="0" w:firstColumn="0" w:lastColumn="0" w:oddVBand="1" w:evenVBand="0" w:oddHBand="0" w:evenHBand="0" w:firstRowFirstColumn="0" w:firstRowLastColumn="0" w:lastRowFirstColumn="0" w:lastRowLastColumn="0"/>
            <w:tcW w:w="721" w:type="dxa"/>
            <w:vMerge/>
            <w:shd w:val="clear" w:color="auto" w:fill="auto"/>
          </w:tcPr>
          <w:p w14:paraId="3FF83554" w14:textId="77777777" w:rsidR="001F1426" w:rsidRPr="00D12E59" w:rsidRDefault="001F1426" w:rsidP="001F1426">
            <w:pPr>
              <w:autoSpaceDE w:val="0"/>
              <w:autoSpaceDN w:val="0"/>
              <w:adjustRightInd w:val="0"/>
              <w:spacing w:after="0" w:line="240" w:lineRule="auto"/>
              <w:rPr>
                <w:rFonts w:ascii="Book Antiqua" w:hAnsi="Book Antiqua"/>
                <w:color w:val="000000"/>
              </w:rPr>
            </w:pPr>
          </w:p>
        </w:tc>
        <w:tc>
          <w:tcPr>
            <w:tcW w:w="2401" w:type="dxa"/>
            <w:shd w:val="clear" w:color="auto" w:fill="auto"/>
          </w:tcPr>
          <w:p w14:paraId="3022BE18" w14:textId="77777777" w:rsidR="001F1426" w:rsidRPr="00D12E59" w:rsidRDefault="001F1426" w:rsidP="001F142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olor w:val="000000"/>
              </w:rPr>
            </w:pPr>
            <w:r w:rsidRPr="00D12E59">
              <w:rPr>
                <w:rFonts w:ascii="Book Antiqua" w:hAnsi="Book Antiqua"/>
                <w:color w:val="000000"/>
              </w:rPr>
              <w:t>Others</w:t>
            </w:r>
          </w:p>
        </w:tc>
        <w:tc>
          <w:tcPr>
            <w:cnfStyle w:val="000010000000" w:firstRow="0" w:lastRow="0" w:firstColumn="0" w:lastColumn="0" w:oddVBand="1" w:evenVBand="0" w:oddHBand="0" w:evenHBand="0" w:firstRowFirstColumn="0" w:firstRowLastColumn="0" w:lastRowFirstColumn="0" w:lastRowLastColumn="0"/>
            <w:tcW w:w="1142" w:type="dxa"/>
            <w:shd w:val="clear" w:color="auto" w:fill="auto"/>
          </w:tcPr>
          <w:p w14:paraId="3FE36BBF"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418</w:t>
            </w:r>
          </w:p>
        </w:tc>
        <w:tc>
          <w:tcPr>
            <w:tcW w:w="998" w:type="dxa"/>
            <w:shd w:val="clear" w:color="auto" w:fill="auto"/>
          </w:tcPr>
          <w:p w14:paraId="12A94DBD" w14:textId="77777777" w:rsidR="001F1426" w:rsidRPr="00D12E59" w:rsidRDefault="001F1426" w:rsidP="001F1426">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olor w:val="000000"/>
              </w:rPr>
            </w:pPr>
            <w:r w:rsidRPr="00D12E59">
              <w:rPr>
                <w:rFonts w:ascii="Book Antiqua" w:hAnsi="Book Antiqua"/>
                <w:color w:val="000000"/>
              </w:rPr>
              <w:t>24.8</w:t>
            </w:r>
          </w:p>
        </w:tc>
        <w:tc>
          <w:tcPr>
            <w:cnfStyle w:val="000010000000" w:firstRow="0" w:lastRow="0" w:firstColumn="0" w:lastColumn="0" w:oddVBand="1" w:evenVBand="0" w:oddHBand="0" w:evenHBand="0" w:firstRowFirstColumn="0" w:firstRowLastColumn="0" w:lastRowFirstColumn="0" w:lastRowLastColumn="0"/>
            <w:tcW w:w="1367" w:type="dxa"/>
            <w:shd w:val="clear" w:color="auto" w:fill="auto"/>
          </w:tcPr>
          <w:p w14:paraId="04180CDA"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24.8</w:t>
            </w:r>
          </w:p>
        </w:tc>
        <w:tc>
          <w:tcPr>
            <w:cnfStyle w:val="000100000000" w:firstRow="0" w:lastRow="0" w:firstColumn="0" w:lastColumn="1" w:oddVBand="0" w:evenVBand="0" w:oddHBand="0" w:evenHBand="0" w:firstRowFirstColumn="0" w:firstRowLastColumn="0" w:lastRowFirstColumn="0" w:lastRowLastColumn="0"/>
            <w:tcW w:w="1440" w:type="dxa"/>
            <w:shd w:val="clear" w:color="auto" w:fill="auto"/>
          </w:tcPr>
          <w:p w14:paraId="29B1BBB9"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100.0</w:t>
            </w:r>
          </w:p>
        </w:tc>
      </w:tr>
      <w:tr w:rsidR="001F1426" w:rsidRPr="00D12E59" w14:paraId="38776A60" w14:textId="77777777" w:rsidTr="001F1426">
        <w:trPr>
          <w:cnfStyle w:val="010000000000" w:firstRow="0" w:lastRow="1"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21" w:type="dxa"/>
            <w:vMerge/>
            <w:shd w:val="clear" w:color="auto" w:fill="auto"/>
          </w:tcPr>
          <w:p w14:paraId="735EE463" w14:textId="77777777" w:rsidR="001F1426" w:rsidRPr="00D12E59" w:rsidRDefault="001F1426" w:rsidP="001F1426">
            <w:pPr>
              <w:autoSpaceDE w:val="0"/>
              <w:autoSpaceDN w:val="0"/>
              <w:adjustRightInd w:val="0"/>
              <w:spacing w:after="0" w:line="240" w:lineRule="auto"/>
              <w:rPr>
                <w:rFonts w:ascii="Book Antiqua" w:hAnsi="Book Antiqua"/>
                <w:color w:val="000000"/>
              </w:rPr>
            </w:pPr>
          </w:p>
        </w:tc>
        <w:tc>
          <w:tcPr>
            <w:tcW w:w="2401" w:type="dxa"/>
            <w:shd w:val="clear" w:color="auto" w:fill="auto"/>
          </w:tcPr>
          <w:p w14:paraId="1A6CA3CD" w14:textId="77777777" w:rsidR="001F1426" w:rsidRPr="00D12E59" w:rsidRDefault="001F1426" w:rsidP="001F1426">
            <w:pPr>
              <w:autoSpaceDE w:val="0"/>
              <w:autoSpaceDN w:val="0"/>
              <w:adjustRightInd w:val="0"/>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color w:val="000000"/>
              </w:rPr>
            </w:pPr>
            <w:r w:rsidRPr="00D12E59">
              <w:rPr>
                <w:rFonts w:ascii="Book Antiqua" w:hAnsi="Book Antiqua"/>
                <w:color w:val="000000"/>
              </w:rPr>
              <w:t>Total</w:t>
            </w:r>
          </w:p>
        </w:tc>
        <w:tc>
          <w:tcPr>
            <w:cnfStyle w:val="000010000000" w:firstRow="0" w:lastRow="0" w:firstColumn="0" w:lastColumn="0" w:oddVBand="1" w:evenVBand="0" w:oddHBand="0" w:evenHBand="0" w:firstRowFirstColumn="0" w:firstRowLastColumn="0" w:lastRowFirstColumn="0" w:lastRowLastColumn="0"/>
            <w:tcW w:w="1142" w:type="dxa"/>
            <w:shd w:val="clear" w:color="auto" w:fill="auto"/>
          </w:tcPr>
          <w:p w14:paraId="54D4B06F"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1684</w:t>
            </w:r>
          </w:p>
        </w:tc>
        <w:tc>
          <w:tcPr>
            <w:tcW w:w="998" w:type="dxa"/>
            <w:shd w:val="clear" w:color="auto" w:fill="auto"/>
          </w:tcPr>
          <w:p w14:paraId="7E817EAB" w14:textId="77777777" w:rsidR="001F1426" w:rsidRPr="00D12E59" w:rsidRDefault="001F1426" w:rsidP="001F1426">
            <w:pPr>
              <w:autoSpaceDE w:val="0"/>
              <w:autoSpaceDN w:val="0"/>
              <w:adjustRightInd w:val="0"/>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color w:val="000000"/>
              </w:rPr>
            </w:pPr>
            <w:r w:rsidRPr="00D12E59">
              <w:rPr>
                <w:rFonts w:ascii="Book Antiqua" w:hAnsi="Book Antiqua"/>
                <w:color w:val="000000"/>
              </w:rPr>
              <w:t>100.0</w:t>
            </w:r>
          </w:p>
        </w:tc>
        <w:tc>
          <w:tcPr>
            <w:cnfStyle w:val="000010000000" w:firstRow="0" w:lastRow="0" w:firstColumn="0" w:lastColumn="0" w:oddVBand="1" w:evenVBand="0" w:oddHBand="0" w:evenHBand="0" w:firstRowFirstColumn="0" w:firstRowLastColumn="0" w:lastRowFirstColumn="0" w:lastRowLastColumn="0"/>
            <w:tcW w:w="1367" w:type="dxa"/>
            <w:shd w:val="clear" w:color="auto" w:fill="auto"/>
          </w:tcPr>
          <w:p w14:paraId="48E558FC" w14:textId="77777777" w:rsidR="001F1426" w:rsidRPr="00D12E59" w:rsidRDefault="001F1426" w:rsidP="001F1426">
            <w:pPr>
              <w:autoSpaceDE w:val="0"/>
              <w:autoSpaceDN w:val="0"/>
              <w:adjustRightInd w:val="0"/>
              <w:spacing w:after="0" w:line="240" w:lineRule="auto"/>
              <w:rPr>
                <w:rFonts w:ascii="Book Antiqua" w:hAnsi="Book Antiqua"/>
                <w:color w:val="000000"/>
              </w:rPr>
            </w:pPr>
            <w:r w:rsidRPr="00D12E59">
              <w:rPr>
                <w:rFonts w:ascii="Book Antiqua" w:hAnsi="Book Antiqua"/>
                <w:color w:val="000000"/>
              </w:rPr>
              <w:t>100.0</w:t>
            </w:r>
          </w:p>
        </w:tc>
        <w:tc>
          <w:tcPr>
            <w:cnfStyle w:val="000100000000" w:firstRow="0" w:lastRow="0" w:firstColumn="0" w:lastColumn="1" w:oddVBand="0" w:evenVBand="0" w:oddHBand="0" w:evenHBand="0" w:firstRowFirstColumn="0" w:firstRowLastColumn="0" w:lastRowFirstColumn="0" w:lastRowLastColumn="0"/>
            <w:tcW w:w="1440" w:type="dxa"/>
            <w:shd w:val="clear" w:color="auto" w:fill="auto"/>
          </w:tcPr>
          <w:p w14:paraId="2193A6EC" w14:textId="77777777" w:rsidR="001F1426" w:rsidRPr="00D12E59" w:rsidRDefault="001F1426" w:rsidP="001F1426">
            <w:pPr>
              <w:autoSpaceDE w:val="0"/>
              <w:autoSpaceDN w:val="0"/>
              <w:adjustRightInd w:val="0"/>
              <w:spacing w:after="0" w:line="240" w:lineRule="auto"/>
              <w:rPr>
                <w:rFonts w:ascii="Book Antiqua" w:hAnsi="Book Antiqua"/>
              </w:rPr>
            </w:pPr>
          </w:p>
        </w:tc>
      </w:tr>
    </w:tbl>
    <w:p w14:paraId="5838B905" w14:textId="77777777" w:rsidR="00F546DB" w:rsidRDefault="00F546DB" w:rsidP="00F546DB">
      <w:pPr>
        <w:autoSpaceDE w:val="0"/>
        <w:autoSpaceDN w:val="0"/>
        <w:adjustRightInd w:val="0"/>
        <w:jc w:val="both"/>
        <w:rPr>
          <w:rFonts w:ascii="Book Antiqua" w:hAnsi="Book Antiqua"/>
        </w:rPr>
        <w:sectPr w:rsidR="00F546DB" w:rsidSect="00F546DB">
          <w:type w:val="continuous"/>
          <w:pgSz w:w="11907" w:h="16839" w:code="9"/>
          <w:pgMar w:top="720" w:right="720" w:bottom="720" w:left="720" w:header="720" w:footer="720" w:gutter="0"/>
          <w:cols w:space="720"/>
          <w:noEndnote/>
        </w:sectPr>
      </w:pPr>
    </w:p>
    <w:p w14:paraId="131ECDFC" w14:textId="77777777" w:rsidR="00176FFA" w:rsidRDefault="00F546DB" w:rsidP="00F546DB">
      <w:pPr>
        <w:tabs>
          <w:tab w:val="left" w:pos="2145"/>
        </w:tabs>
        <w:autoSpaceDE w:val="0"/>
        <w:autoSpaceDN w:val="0"/>
        <w:adjustRightInd w:val="0"/>
        <w:rPr>
          <w:rFonts w:ascii="Book Antiqua" w:hAnsi="Book Antiqua"/>
        </w:rPr>
      </w:pPr>
      <w:r>
        <w:rPr>
          <w:rFonts w:ascii="Book Antiqua" w:hAnsi="Book Antiqua"/>
        </w:rPr>
        <w:tab/>
      </w:r>
    </w:p>
    <w:p w14:paraId="1FD0F5DF" w14:textId="77777777" w:rsidR="00B27D46" w:rsidRPr="00E3232D" w:rsidRDefault="00B27D46" w:rsidP="008275E1">
      <w:pPr>
        <w:autoSpaceDE w:val="0"/>
        <w:autoSpaceDN w:val="0"/>
        <w:adjustRightInd w:val="0"/>
        <w:rPr>
          <w:rFonts w:ascii="Book Antiqua" w:hAnsi="Book Antiqua"/>
        </w:rPr>
        <w:sectPr w:rsidR="00B27D46" w:rsidRPr="00E3232D" w:rsidSect="00F546DB">
          <w:type w:val="continuous"/>
          <w:pgSz w:w="11907" w:h="16839" w:code="9"/>
          <w:pgMar w:top="720" w:right="720" w:bottom="720" w:left="720" w:header="720" w:footer="720" w:gutter="0"/>
          <w:cols w:space="720"/>
          <w:noEndnote/>
        </w:sectPr>
      </w:pPr>
    </w:p>
    <w:p w14:paraId="2E751DC4" w14:textId="77777777" w:rsidR="00203019" w:rsidRDefault="00203019" w:rsidP="008275E1">
      <w:pPr>
        <w:autoSpaceDE w:val="0"/>
        <w:autoSpaceDN w:val="0"/>
        <w:adjustRightInd w:val="0"/>
        <w:rPr>
          <w:rFonts w:ascii="Book Antiqua" w:hAnsi="Book Antiqua"/>
          <w:b/>
          <w:bCs/>
          <w:color w:val="000000"/>
        </w:rPr>
      </w:pPr>
    </w:p>
    <w:p w14:paraId="5E03B30E" w14:textId="77777777" w:rsidR="00F546DB" w:rsidRDefault="00F546DB" w:rsidP="008275E1">
      <w:pPr>
        <w:autoSpaceDE w:val="0"/>
        <w:autoSpaceDN w:val="0"/>
        <w:adjustRightInd w:val="0"/>
        <w:rPr>
          <w:rFonts w:ascii="Book Antiqua" w:hAnsi="Book Antiqua"/>
          <w:b/>
          <w:bCs/>
          <w:color w:val="000000"/>
        </w:rPr>
      </w:pPr>
    </w:p>
    <w:p w14:paraId="4EF90B88" w14:textId="77777777" w:rsidR="00F546DB" w:rsidRDefault="00F546DB" w:rsidP="008275E1">
      <w:pPr>
        <w:autoSpaceDE w:val="0"/>
        <w:autoSpaceDN w:val="0"/>
        <w:adjustRightInd w:val="0"/>
        <w:rPr>
          <w:rFonts w:ascii="Book Antiqua" w:hAnsi="Book Antiqua"/>
          <w:b/>
          <w:bCs/>
          <w:color w:val="000000"/>
        </w:rPr>
      </w:pPr>
    </w:p>
    <w:p w14:paraId="433C4C61" w14:textId="77777777" w:rsidR="00F546DB" w:rsidRDefault="00F546DB" w:rsidP="008275E1">
      <w:pPr>
        <w:autoSpaceDE w:val="0"/>
        <w:autoSpaceDN w:val="0"/>
        <w:adjustRightInd w:val="0"/>
        <w:rPr>
          <w:rFonts w:ascii="Book Antiqua" w:hAnsi="Book Antiqua"/>
          <w:b/>
          <w:bCs/>
          <w:color w:val="000000"/>
        </w:rPr>
      </w:pPr>
    </w:p>
    <w:p w14:paraId="7B4AF542" w14:textId="77777777" w:rsidR="00F546DB" w:rsidRDefault="00F546DB" w:rsidP="008275E1">
      <w:pPr>
        <w:autoSpaceDE w:val="0"/>
        <w:autoSpaceDN w:val="0"/>
        <w:adjustRightInd w:val="0"/>
        <w:rPr>
          <w:rFonts w:ascii="Book Antiqua" w:hAnsi="Book Antiqua"/>
          <w:b/>
          <w:bCs/>
          <w:color w:val="000000"/>
        </w:rPr>
      </w:pPr>
    </w:p>
    <w:p w14:paraId="05AFE4E2" w14:textId="77777777" w:rsidR="00F546DB" w:rsidRPr="001F1426" w:rsidRDefault="001F1426" w:rsidP="001F1426">
      <w:pPr>
        <w:autoSpaceDE w:val="0"/>
        <w:autoSpaceDN w:val="0"/>
        <w:adjustRightInd w:val="0"/>
        <w:ind w:left="720"/>
        <w:rPr>
          <w:rFonts w:ascii="Book Antiqua" w:hAnsi="Book Antiqua"/>
        </w:rPr>
        <w:sectPr w:rsidR="00F546DB" w:rsidRPr="001F1426" w:rsidSect="00F546DB">
          <w:type w:val="continuous"/>
          <w:pgSz w:w="11907" w:h="16839" w:code="9"/>
          <w:pgMar w:top="720" w:right="720" w:bottom="720" w:left="720" w:header="720" w:footer="720" w:gutter="0"/>
          <w:cols w:space="720"/>
          <w:noEndnote/>
        </w:sectPr>
      </w:pPr>
      <w:r w:rsidRPr="00E3232D">
        <w:rPr>
          <w:rFonts w:ascii="Book Antiqua" w:hAnsi="Book Antiqua"/>
        </w:rPr>
        <w:t>Source: Field Survey, 2012</w:t>
      </w:r>
    </w:p>
    <w:p w14:paraId="47EC67FA" w14:textId="77777777" w:rsidR="00F546DB" w:rsidRDefault="00F546DB" w:rsidP="00627EE8">
      <w:pPr>
        <w:autoSpaceDE w:val="0"/>
        <w:autoSpaceDN w:val="0"/>
        <w:adjustRightInd w:val="0"/>
        <w:rPr>
          <w:rFonts w:ascii="Book Antiqua" w:hAnsi="Book Antiqua"/>
          <w:b/>
          <w:bCs/>
        </w:rPr>
        <w:sectPr w:rsidR="00F546DB" w:rsidSect="00F546DB">
          <w:type w:val="continuous"/>
          <w:pgSz w:w="11907" w:h="16839" w:code="9"/>
          <w:pgMar w:top="720" w:right="720" w:bottom="720" w:left="720" w:header="720" w:footer="720" w:gutter="0"/>
          <w:cols w:space="720"/>
          <w:noEndnote/>
        </w:sectPr>
      </w:pPr>
    </w:p>
    <w:p w14:paraId="535DAC4C" w14:textId="77777777" w:rsidR="00F546DB" w:rsidRDefault="00F546DB" w:rsidP="00627EE8">
      <w:pPr>
        <w:autoSpaceDE w:val="0"/>
        <w:autoSpaceDN w:val="0"/>
        <w:adjustRightInd w:val="0"/>
        <w:rPr>
          <w:rFonts w:ascii="Book Antiqua" w:hAnsi="Book Antiqua"/>
          <w:b/>
          <w:bCs/>
        </w:rPr>
        <w:sectPr w:rsidR="00F546DB" w:rsidSect="008F6BC9">
          <w:type w:val="continuous"/>
          <w:pgSz w:w="11907" w:h="16839" w:code="9"/>
          <w:pgMar w:top="720" w:right="720" w:bottom="720" w:left="720" w:header="720" w:footer="720" w:gutter="0"/>
          <w:cols w:num="2" w:space="720"/>
          <w:noEndnote/>
        </w:sectPr>
      </w:pPr>
    </w:p>
    <w:p w14:paraId="4BA7CE94" w14:textId="77777777" w:rsidR="00A8170A" w:rsidRDefault="00A8170A" w:rsidP="008275E1">
      <w:pPr>
        <w:autoSpaceDE w:val="0"/>
        <w:autoSpaceDN w:val="0"/>
        <w:adjustRightInd w:val="0"/>
        <w:rPr>
          <w:rFonts w:ascii="Book Antiqua" w:hAnsi="Book Antiqua"/>
          <w:b/>
          <w:bCs/>
          <w:color w:val="000000"/>
        </w:rPr>
        <w:sectPr w:rsidR="00A8170A" w:rsidSect="008F6BC9">
          <w:type w:val="continuous"/>
          <w:pgSz w:w="11907" w:h="16839" w:code="9"/>
          <w:pgMar w:top="720" w:right="720" w:bottom="720" w:left="720" w:header="720" w:footer="720" w:gutter="0"/>
          <w:cols w:num="2" w:space="720"/>
          <w:noEndnote/>
        </w:sectPr>
      </w:pPr>
    </w:p>
    <w:p w14:paraId="7FACDDFA" w14:textId="77777777" w:rsidR="00FB5244" w:rsidRDefault="00FB5244" w:rsidP="008275E1">
      <w:pPr>
        <w:autoSpaceDE w:val="0"/>
        <w:autoSpaceDN w:val="0"/>
        <w:adjustRightInd w:val="0"/>
        <w:rPr>
          <w:rFonts w:ascii="Book Antiqua" w:hAnsi="Book Antiqua"/>
        </w:rPr>
        <w:sectPr w:rsidR="00FB5244" w:rsidSect="008F6BC9">
          <w:type w:val="continuous"/>
          <w:pgSz w:w="11907" w:h="16839" w:code="9"/>
          <w:pgMar w:top="720" w:right="720" w:bottom="720" w:left="720" w:header="720" w:footer="720" w:gutter="0"/>
          <w:cols w:space="720"/>
          <w:noEndnote/>
        </w:sectPr>
      </w:pPr>
    </w:p>
    <w:p w14:paraId="25CCB456" w14:textId="77777777" w:rsidR="00E32DE1" w:rsidRDefault="00E32DE1" w:rsidP="00E32DE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Table 3.5.1 shows that 15.1% of the respondents want SHS students to be educated on courses offered by polytechnics, 20.4% want degree programme, 16.7% want more courses, 7.4% want improved infrastructure, 15.6% have no idea and 24.8% provided different answers. </w:t>
      </w:r>
    </w:p>
    <w:p w14:paraId="392F0C1A" w14:textId="77777777" w:rsidR="00E32DE1" w:rsidRDefault="00E32DE1" w:rsidP="00E32DE1">
      <w:pPr>
        <w:spacing w:line="240" w:lineRule="auto"/>
        <w:jc w:val="both"/>
      </w:pPr>
    </w:p>
    <w:p w14:paraId="5CF01883" w14:textId="77777777" w:rsidR="001A7DBF" w:rsidRPr="00627EE8" w:rsidRDefault="001A7DBF" w:rsidP="00627EE8">
      <w:pPr>
        <w:pStyle w:val="ListParagraph"/>
        <w:numPr>
          <w:ilvl w:val="0"/>
          <w:numId w:val="15"/>
        </w:numPr>
        <w:tabs>
          <w:tab w:val="left" w:pos="0"/>
        </w:tabs>
        <w:spacing w:after="0"/>
        <w:ind w:left="0" w:firstLine="0"/>
        <w:jc w:val="both"/>
        <w:rPr>
          <w:rFonts w:ascii="Book Antiqua" w:hAnsi="Book Antiqua"/>
          <w:b/>
          <w:sz w:val="26"/>
        </w:rPr>
      </w:pPr>
      <w:r w:rsidRPr="00627EE8">
        <w:rPr>
          <w:rFonts w:ascii="Book Antiqua" w:hAnsi="Book Antiqua"/>
          <w:b/>
          <w:sz w:val="26"/>
        </w:rPr>
        <w:t>Conclusions</w:t>
      </w:r>
    </w:p>
    <w:p w14:paraId="01E935FB" w14:textId="77777777" w:rsidR="001A7DBF" w:rsidRPr="00627EE8" w:rsidRDefault="001A7DBF" w:rsidP="00627EE8">
      <w:pPr>
        <w:tabs>
          <w:tab w:val="left" w:pos="0"/>
        </w:tabs>
        <w:spacing w:after="0"/>
        <w:jc w:val="both"/>
        <w:rPr>
          <w:rFonts w:ascii="Book Antiqua" w:hAnsi="Book Antiqua"/>
        </w:rPr>
      </w:pPr>
      <w:r w:rsidRPr="00627EE8">
        <w:rPr>
          <w:rFonts w:ascii="Book Antiqua" w:hAnsi="Book Antiqua"/>
        </w:rPr>
        <w:t>From the results and discussions, the following conclusions were drawn:</w:t>
      </w:r>
    </w:p>
    <w:p w14:paraId="6AC8903C" w14:textId="77777777" w:rsidR="001A7DBF" w:rsidRPr="00627EE8" w:rsidRDefault="001A7DBF" w:rsidP="00627EE8">
      <w:pPr>
        <w:autoSpaceDE w:val="0"/>
        <w:autoSpaceDN w:val="0"/>
        <w:adjustRightInd w:val="0"/>
        <w:spacing w:after="0"/>
        <w:jc w:val="both"/>
        <w:rPr>
          <w:rFonts w:ascii="Book Antiqua" w:hAnsi="Book Antiqua"/>
          <w:b/>
        </w:rPr>
      </w:pPr>
      <w:r w:rsidRPr="00627EE8">
        <w:rPr>
          <w:rFonts w:ascii="Book Antiqua" w:hAnsi="Book Antiqua"/>
          <w:b/>
        </w:rPr>
        <w:t>Section 2: Cognitive Component of Attitude:</w:t>
      </w:r>
    </w:p>
    <w:p w14:paraId="2B523487" w14:textId="77777777" w:rsidR="001A7DBF" w:rsidRPr="00627EE8" w:rsidRDefault="001A7DBF" w:rsidP="00627EE8">
      <w:pPr>
        <w:autoSpaceDE w:val="0"/>
        <w:autoSpaceDN w:val="0"/>
        <w:adjustRightInd w:val="0"/>
        <w:spacing w:after="0"/>
        <w:jc w:val="both"/>
        <w:rPr>
          <w:rFonts w:ascii="Book Antiqua" w:hAnsi="Book Antiqua"/>
          <w:b/>
        </w:rPr>
      </w:pPr>
    </w:p>
    <w:p w14:paraId="0BB5EAA6" w14:textId="77777777" w:rsidR="001A7DBF" w:rsidRPr="00627EE8" w:rsidRDefault="001A7DBF" w:rsidP="00627EE8">
      <w:pPr>
        <w:autoSpaceDE w:val="0"/>
        <w:autoSpaceDN w:val="0"/>
        <w:adjustRightInd w:val="0"/>
        <w:spacing w:after="0"/>
        <w:jc w:val="both"/>
        <w:rPr>
          <w:rFonts w:ascii="Book Antiqua" w:hAnsi="Book Antiqua"/>
          <w:b/>
        </w:rPr>
      </w:pPr>
      <w:r w:rsidRPr="00627EE8">
        <w:rPr>
          <w:rFonts w:ascii="Book Antiqua" w:hAnsi="Book Antiqua"/>
          <w:b/>
        </w:rPr>
        <w:t xml:space="preserve">     (SHS students’ beliefs, information, and knowledge about the polytechnics)</w:t>
      </w:r>
    </w:p>
    <w:p w14:paraId="5CF7A058" w14:textId="77777777" w:rsidR="001A7DBF" w:rsidRPr="00627EE8" w:rsidRDefault="001A7DBF" w:rsidP="00196385">
      <w:pPr>
        <w:pStyle w:val="ListParagraph"/>
        <w:numPr>
          <w:ilvl w:val="0"/>
          <w:numId w:val="27"/>
        </w:numPr>
        <w:autoSpaceDE w:val="0"/>
        <w:autoSpaceDN w:val="0"/>
        <w:adjustRightInd w:val="0"/>
        <w:spacing w:after="0"/>
        <w:jc w:val="both"/>
        <w:rPr>
          <w:rFonts w:ascii="Book Antiqua" w:hAnsi="Book Antiqua"/>
          <w:b/>
        </w:rPr>
      </w:pPr>
      <w:r w:rsidRPr="00627EE8">
        <w:rPr>
          <w:rFonts w:ascii="Book Antiqua" w:hAnsi="Book Antiqua"/>
          <w:b/>
          <w:i/>
        </w:rPr>
        <w:t>Knowledge about polytechnic education:</w:t>
      </w:r>
      <w:r w:rsidR="00A80005">
        <w:rPr>
          <w:rFonts w:ascii="Book Antiqua" w:hAnsi="Book Antiqua"/>
          <w:b/>
          <w:i/>
        </w:rPr>
        <w:t xml:space="preserve"> </w:t>
      </w:r>
      <w:r w:rsidRPr="00627EE8">
        <w:rPr>
          <w:rFonts w:ascii="Book Antiqua" w:hAnsi="Book Antiqua"/>
          <w:lang w:eastAsia="en-GB"/>
        </w:rPr>
        <w:t>96.9%are surely aware. This means about 2.2% of SHS Students in the Eastern Region have never heard of the polytechnic. 0.9 did not respond.See Table 3.2.1</w:t>
      </w:r>
    </w:p>
    <w:p w14:paraId="22CF3918" w14:textId="77777777" w:rsidR="001A7DBF" w:rsidRPr="00627EE8" w:rsidRDefault="001A7DBF" w:rsidP="00627EE8">
      <w:pPr>
        <w:autoSpaceDE w:val="0"/>
        <w:autoSpaceDN w:val="0"/>
        <w:adjustRightInd w:val="0"/>
        <w:spacing w:after="0"/>
        <w:jc w:val="both"/>
        <w:rPr>
          <w:rFonts w:ascii="Book Antiqua" w:hAnsi="Book Antiqua"/>
          <w:i/>
        </w:rPr>
      </w:pPr>
    </w:p>
    <w:p w14:paraId="02CE217E" w14:textId="77777777" w:rsidR="001A7DBF" w:rsidRPr="00627EE8" w:rsidRDefault="001A7DBF" w:rsidP="00196385">
      <w:pPr>
        <w:pStyle w:val="ListParagraph"/>
        <w:numPr>
          <w:ilvl w:val="0"/>
          <w:numId w:val="27"/>
        </w:numPr>
        <w:autoSpaceDE w:val="0"/>
        <w:autoSpaceDN w:val="0"/>
        <w:adjustRightInd w:val="0"/>
        <w:spacing w:after="0"/>
        <w:jc w:val="both"/>
        <w:rPr>
          <w:rFonts w:ascii="Book Antiqua" w:hAnsi="Book Antiqua"/>
          <w:b/>
        </w:rPr>
      </w:pPr>
      <w:r w:rsidRPr="00627EE8">
        <w:rPr>
          <w:rFonts w:ascii="Book Antiqua" w:hAnsi="Book Antiqua"/>
          <w:b/>
          <w:bCs/>
          <w:i/>
          <w:color w:val="000000"/>
        </w:rPr>
        <w:t>What level of education is the polytechnic?</w:t>
      </w:r>
      <w:r w:rsidRPr="00627EE8">
        <w:rPr>
          <w:rFonts w:ascii="Book Antiqua" w:hAnsi="Book Antiqua"/>
          <w:lang w:eastAsia="en-GB"/>
        </w:rPr>
        <w:t xml:space="preserve"> 90.5% are aware that the polytechnics are tertiary institutions.From this, it can be deduced that 9.5% of them are not aware.See Table 3.2.2</w:t>
      </w:r>
    </w:p>
    <w:p w14:paraId="38E79519" w14:textId="77777777" w:rsidR="001A7DBF" w:rsidRPr="00627EE8" w:rsidRDefault="001A7DBF" w:rsidP="00627EE8">
      <w:pPr>
        <w:spacing w:after="0"/>
        <w:jc w:val="both"/>
        <w:rPr>
          <w:rFonts w:ascii="Book Antiqua" w:hAnsi="Book Antiqua"/>
        </w:rPr>
      </w:pPr>
    </w:p>
    <w:p w14:paraId="274FAE03" w14:textId="77777777" w:rsidR="001A7DBF" w:rsidRPr="00627EE8" w:rsidRDefault="001A7DBF" w:rsidP="00196385">
      <w:pPr>
        <w:pStyle w:val="ListParagraph"/>
        <w:numPr>
          <w:ilvl w:val="0"/>
          <w:numId w:val="27"/>
        </w:numPr>
        <w:autoSpaceDE w:val="0"/>
        <w:autoSpaceDN w:val="0"/>
        <w:adjustRightInd w:val="0"/>
        <w:spacing w:after="0"/>
        <w:jc w:val="both"/>
        <w:rPr>
          <w:rFonts w:ascii="Book Antiqua" w:hAnsi="Book Antiqua"/>
          <w:b/>
        </w:rPr>
      </w:pPr>
      <w:r w:rsidRPr="00627EE8">
        <w:rPr>
          <w:rFonts w:ascii="Book Antiqua" w:hAnsi="Book Antiqua"/>
          <w:b/>
          <w:bCs/>
          <w:i/>
          <w:color w:val="000000"/>
        </w:rPr>
        <w:t>Number of polytechnics in Ghana:</w:t>
      </w:r>
      <w:r w:rsidRPr="00627EE8">
        <w:rPr>
          <w:rFonts w:ascii="Book Antiqua" w:hAnsi="Book Antiqua"/>
        </w:rPr>
        <w:t xml:space="preserve"> 45.3% are aware that there are ten, whiles 54.7% are not aware that there are ten of them. </w:t>
      </w:r>
      <w:r w:rsidRPr="00627EE8">
        <w:rPr>
          <w:rFonts w:ascii="Book Antiqua" w:hAnsi="Book Antiqua"/>
          <w:lang w:eastAsia="en-GB"/>
        </w:rPr>
        <w:t>See Table 3.2.3</w:t>
      </w:r>
    </w:p>
    <w:p w14:paraId="36D36FF9" w14:textId="77777777" w:rsidR="001A7DBF" w:rsidRPr="00627EE8" w:rsidRDefault="001A7DBF" w:rsidP="00627EE8">
      <w:pPr>
        <w:autoSpaceDE w:val="0"/>
        <w:autoSpaceDN w:val="0"/>
        <w:adjustRightInd w:val="0"/>
        <w:spacing w:after="0"/>
        <w:jc w:val="both"/>
        <w:rPr>
          <w:rFonts w:ascii="Book Antiqua" w:hAnsi="Book Antiqua"/>
        </w:rPr>
      </w:pPr>
    </w:p>
    <w:p w14:paraId="687B76DA" w14:textId="77777777" w:rsidR="001A7DBF" w:rsidRPr="00627EE8" w:rsidRDefault="001A7DBF" w:rsidP="00196385">
      <w:pPr>
        <w:pStyle w:val="ListParagraph"/>
        <w:numPr>
          <w:ilvl w:val="0"/>
          <w:numId w:val="27"/>
        </w:numPr>
        <w:autoSpaceDE w:val="0"/>
        <w:autoSpaceDN w:val="0"/>
        <w:adjustRightInd w:val="0"/>
        <w:spacing w:after="0"/>
        <w:jc w:val="both"/>
        <w:rPr>
          <w:rFonts w:ascii="Book Antiqua" w:hAnsi="Book Antiqua"/>
          <w:b/>
        </w:rPr>
      </w:pPr>
      <w:r w:rsidRPr="00627EE8">
        <w:rPr>
          <w:rFonts w:ascii="Book Antiqua" w:hAnsi="Book Antiqua"/>
          <w:b/>
          <w:i/>
          <w:color w:val="000000"/>
        </w:rPr>
        <w:t>Four academicprogrammes in the Polytechnics:</w:t>
      </w:r>
      <w:r w:rsidRPr="00627EE8">
        <w:rPr>
          <w:rFonts w:ascii="Book Antiqua" w:hAnsi="Book Antiqua"/>
        </w:rPr>
        <w:t xml:space="preserve"> 7.9% were able to name four; the remaining 92.1% could not. </w:t>
      </w:r>
      <w:r w:rsidRPr="00627EE8">
        <w:rPr>
          <w:rFonts w:ascii="Book Antiqua" w:hAnsi="Book Antiqua"/>
          <w:lang w:eastAsia="en-GB"/>
        </w:rPr>
        <w:t>See Table 3.2.4</w:t>
      </w:r>
    </w:p>
    <w:p w14:paraId="638B6967" w14:textId="77777777" w:rsidR="001A7DBF" w:rsidRPr="00627EE8" w:rsidRDefault="001A7DBF" w:rsidP="00627EE8">
      <w:pPr>
        <w:tabs>
          <w:tab w:val="left" w:pos="1920"/>
        </w:tabs>
        <w:spacing w:after="0"/>
        <w:jc w:val="both"/>
        <w:rPr>
          <w:rFonts w:ascii="Book Antiqua" w:hAnsi="Book Antiqua"/>
        </w:rPr>
      </w:pPr>
    </w:p>
    <w:p w14:paraId="765776F2" w14:textId="77777777" w:rsidR="001A7DBF" w:rsidRPr="00627EE8" w:rsidRDefault="001A7DBF" w:rsidP="00196385">
      <w:pPr>
        <w:pStyle w:val="ListParagraph"/>
        <w:numPr>
          <w:ilvl w:val="0"/>
          <w:numId w:val="27"/>
        </w:numPr>
        <w:autoSpaceDE w:val="0"/>
        <w:autoSpaceDN w:val="0"/>
        <w:adjustRightInd w:val="0"/>
        <w:spacing w:after="0"/>
        <w:jc w:val="both"/>
        <w:rPr>
          <w:rFonts w:ascii="Book Antiqua" w:hAnsi="Book Antiqua"/>
          <w:b/>
        </w:rPr>
      </w:pPr>
      <w:r w:rsidRPr="00627EE8">
        <w:rPr>
          <w:rFonts w:ascii="Book Antiqua" w:hAnsi="Book Antiqua"/>
          <w:b/>
          <w:bCs/>
          <w:i/>
          <w:color w:val="000000"/>
        </w:rPr>
        <w:t>Minimum entry requirement (WASSCE Aggregate 36):</w:t>
      </w:r>
      <w:r w:rsidRPr="00627EE8">
        <w:rPr>
          <w:rFonts w:ascii="Book Antiqua" w:hAnsi="Book Antiqua"/>
        </w:rPr>
        <w:t xml:space="preserve"> 8 % provided the correct answer;92% could not.</w:t>
      </w:r>
      <w:r w:rsidRPr="00627EE8">
        <w:rPr>
          <w:rFonts w:ascii="Book Antiqua" w:hAnsi="Book Antiqua"/>
          <w:lang w:eastAsia="en-GB"/>
        </w:rPr>
        <w:t>See Table 3.2.5</w:t>
      </w:r>
    </w:p>
    <w:p w14:paraId="147B1CA6" w14:textId="77777777" w:rsidR="001A7DBF" w:rsidRPr="00627EE8" w:rsidRDefault="001A7DBF" w:rsidP="00627EE8">
      <w:pPr>
        <w:tabs>
          <w:tab w:val="left" w:pos="1920"/>
        </w:tabs>
        <w:spacing w:after="0"/>
        <w:jc w:val="both"/>
        <w:rPr>
          <w:rFonts w:ascii="Book Antiqua" w:hAnsi="Book Antiqua"/>
        </w:rPr>
      </w:pPr>
    </w:p>
    <w:p w14:paraId="5206D429" w14:textId="77777777" w:rsidR="001A7DBF" w:rsidRPr="00627EE8" w:rsidRDefault="001A7DBF" w:rsidP="00627EE8">
      <w:pPr>
        <w:tabs>
          <w:tab w:val="left" w:pos="3105"/>
        </w:tabs>
        <w:spacing w:after="0"/>
        <w:jc w:val="both"/>
        <w:rPr>
          <w:rFonts w:ascii="Book Antiqua" w:hAnsi="Book Antiqua"/>
        </w:rPr>
      </w:pPr>
      <w:r w:rsidRPr="00627EE8">
        <w:rPr>
          <w:rFonts w:ascii="Book Antiqua" w:hAnsi="Book Antiqua"/>
        </w:rPr>
        <w:tab/>
      </w:r>
    </w:p>
    <w:p w14:paraId="6B060A26" w14:textId="77777777" w:rsidR="001A7DBF" w:rsidRPr="00A80005" w:rsidRDefault="001A7DBF" w:rsidP="00196385">
      <w:pPr>
        <w:pStyle w:val="ListParagraph"/>
        <w:numPr>
          <w:ilvl w:val="0"/>
          <w:numId w:val="27"/>
        </w:numPr>
        <w:autoSpaceDE w:val="0"/>
        <w:autoSpaceDN w:val="0"/>
        <w:adjustRightInd w:val="0"/>
        <w:spacing w:after="0"/>
        <w:jc w:val="both"/>
        <w:rPr>
          <w:rFonts w:ascii="Book Antiqua" w:hAnsi="Book Antiqua"/>
          <w:b/>
        </w:rPr>
      </w:pPr>
      <w:r w:rsidRPr="00A80005">
        <w:rPr>
          <w:rFonts w:ascii="Book Antiqua" w:hAnsi="Book Antiqua"/>
          <w:b/>
          <w:bCs/>
          <w:i/>
        </w:rPr>
        <w:t>The main certificate awarded by the polytechnics:</w:t>
      </w:r>
      <w:r w:rsidRPr="00A80005">
        <w:rPr>
          <w:rFonts w:ascii="Book Antiqua" w:hAnsi="Book Antiqua"/>
        </w:rPr>
        <w:t>60.4% know it is HND. This mean 39.6% of themdo not know it.</w:t>
      </w:r>
      <w:r w:rsidRPr="00A80005">
        <w:rPr>
          <w:rFonts w:ascii="Book Antiqua" w:hAnsi="Book Antiqua"/>
          <w:lang w:eastAsia="en-GB"/>
        </w:rPr>
        <w:t>See Table 3.2.6</w:t>
      </w:r>
    </w:p>
    <w:p w14:paraId="61C04B2A" w14:textId="77777777" w:rsidR="001A7DBF" w:rsidRPr="00627EE8" w:rsidRDefault="001A7DBF" w:rsidP="00627EE8">
      <w:pPr>
        <w:autoSpaceDE w:val="0"/>
        <w:autoSpaceDN w:val="0"/>
        <w:adjustRightInd w:val="0"/>
        <w:spacing w:after="0"/>
        <w:jc w:val="both"/>
        <w:rPr>
          <w:rFonts w:ascii="Book Antiqua" w:hAnsi="Book Antiqua"/>
        </w:rPr>
      </w:pPr>
    </w:p>
    <w:p w14:paraId="291071BC" w14:textId="77777777" w:rsidR="001A7DBF" w:rsidRPr="00627EE8" w:rsidRDefault="001A7DBF" w:rsidP="00196385">
      <w:pPr>
        <w:pStyle w:val="ListParagraph"/>
        <w:numPr>
          <w:ilvl w:val="0"/>
          <w:numId w:val="27"/>
        </w:numPr>
        <w:autoSpaceDE w:val="0"/>
        <w:autoSpaceDN w:val="0"/>
        <w:adjustRightInd w:val="0"/>
        <w:spacing w:after="0"/>
        <w:jc w:val="both"/>
        <w:rPr>
          <w:rFonts w:ascii="Book Antiqua" w:hAnsi="Book Antiqua"/>
          <w:b/>
        </w:rPr>
      </w:pPr>
      <w:r w:rsidRPr="00627EE8">
        <w:rPr>
          <w:rFonts w:ascii="Book Antiqua" w:hAnsi="Book Antiqua"/>
          <w:b/>
          <w:bCs/>
          <w:i/>
          <w:color w:val="000000"/>
        </w:rPr>
        <w:t>Duration (in years) of an HND programme:</w:t>
      </w:r>
      <w:r w:rsidRPr="00627EE8">
        <w:rPr>
          <w:rFonts w:ascii="Book Antiqua" w:hAnsi="Book Antiqua"/>
        </w:rPr>
        <w:t>51.6% know it is three years; the remaining 48.4% of them do not know.</w:t>
      </w:r>
      <w:r w:rsidRPr="00627EE8">
        <w:rPr>
          <w:rFonts w:ascii="Book Antiqua" w:hAnsi="Book Antiqua"/>
          <w:lang w:eastAsia="en-GB"/>
        </w:rPr>
        <w:t>See Table 3.2.7</w:t>
      </w:r>
    </w:p>
    <w:p w14:paraId="76E80D37" w14:textId="77777777" w:rsidR="001A7DBF" w:rsidRPr="00627EE8" w:rsidRDefault="001A7DBF" w:rsidP="00627EE8">
      <w:pPr>
        <w:pStyle w:val="ListParagraph"/>
        <w:autoSpaceDE w:val="0"/>
        <w:autoSpaceDN w:val="0"/>
        <w:adjustRightInd w:val="0"/>
        <w:spacing w:after="0"/>
        <w:jc w:val="both"/>
        <w:rPr>
          <w:rFonts w:ascii="Book Antiqua" w:hAnsi="Book Antiqua"/>
          <w:b/>
        </w:rPr>
      </w:pPr>
    </w:p>
    <w:p w14:paraId="3F4FE19B" w14:textId="77777777" w:rsidR="001A7DBF" w:rsidRPr="00627EE8" w:rsidRDefault="001A7DBF" w:rsidP="00196385">
      <w:pPr>
        <w:pStyle w:val="ListParagraph"/>
        <w:numPr>
          <w:ilvl w:val="0"/>
          <w:numId w:val="27"/>
        </w:numPr>
        <w:autoSpaceDE w:val="0"/>
        <w:autoSpaceDN w:val="0"/>
        <w:adjustRightInd w:val="0"/>
        <w:spacing w:after="0"/>
        <w:jc w:val="both"/>
        <w:rPr>
          <w:rFonts w:ascii="Book Antiqua" w:hAnsi="Book Antiqua"/>
          <w:b/>
        </w:rPr>
      </w:pPr>
      <w:r w:rsidRPr="00627EE8">
        <w:rPr>
          <w:rFonts w:ascii="Book Antiqua" w:hAnsi="Book Antiqua"/>
          <w:b/>
          <w:bCs/>
          <w:i/>
          <w:color w:val="000000"/>
        </w:rPr>
        <w:t>Awareness of Act 745 (Polytechnics Act, 2007)--Legalizing the award of bachelor of technology and other higher degrees by the polytechnics:</w:t>
      </w:r>
      <w:r w:rsidRPr="00627EE8">
        <w:rPr>
          <w:rFonts w:ascii="Book Antiqua" w:hAnsi="Book Antiqua"/>
        </w:rPr>
        <w:t xml:space="preserve"> 47% are aware; 63.3% are not aware.</w:t>
      </w:r>
      <w:r w:rsidRPr="00627EE8">
        <w:rPr>
          <w:rFonts w:ascii="Book Antiqua" w:hAnsi="Book Antiqua"/>
          <w:lang w:eastAsia="en-GB"/>
        </w:rPr>
        <w:t>See Table 3.2.8</w:t>
      </w:r>
    </w:p>
    <w:p w14:paraId="768EBD10" w14:textId="77777777" w:rsidR="001A7DBF" w:rsidRPr="00627EE8" w:rsidRDefault="001A7DBF" w:rsidP="00627EE8">
      <w:pPr>
        <w:autoSpaceDE w:val="0"/>
        <w:autoSpaceDN w:val="0"/>
        <w:adjustRightInd w:val="0"/>
        <w:spacing w:after="0"/>
        <w:jc w:val="both"/>
        <w:rPr>
          <w:rFonts w:ascii="Book Antiqua" w:hAnsi="Book Antiqua"/>
        </w:rPr>
      </w:pPr>
    </w:p>
    <w:p w14:paraId="5CF81322" w14:textId="77777777" w:rsidR="001A7DBF" w:rsidRPr="00627EE8" w:rsidRDefault="001A7DBF" w:rsidP="00196385">
      <w:pPr>
        <w:pStyle w:val="ListParagraph"/>
        <w:numPr>
          <w:ilvl w:val="0"/>
          <w:numId w:val="27"/>
        </w:numPr>
        <w:autoSpaceDE w:val="0"/>
        <w:autoSpaceDN w:val="0"/>
        <w:adjustRightInd w:val="0"/>
        <w:spacing w:after="0"/>
        <w:jc w:val="both"/>
        <w:rPr>
          <w:rFonts w:ascii="Book Antiqua" w:hAnsi="Book Antiqua"/>
          <w:b/>
        </w:rPr>
      </w:pPr>
      <w:r w:rsidRPr="00627EE8">
        <w:rPr>
          <w:rFonts w:ascii="Book Antiqua" w:hAnsi="Book Antiqua"/>
          <w:b/>
          <w:bCs/>
          <w:i/>
        </w:rPr>
        <w:t>Students suitable for polytechnic education:</w:t>
      </w:r>
      <w:r w:rsidRPr="00627EE8">
        <w:rPr>
          <w:rFonts w:ascii="Book Antiqua" w:hAnsi="Book Antiqua"/>
        </w:rPr>
        <w:t xml:space="preserve">34.3% know that every student is suitable (whether above average, average, or below average); 65.7 do not know. The </w:t>
      </w:r>
      <w:r w:rsidRPr="00627EE8">
        <w:rPr>
          <w:rFonts w:ascii="Book Antiqua" w:hAnsi="Book Antiqua"/>
        </w:rPr>
        <w:t xml:space="preserve">general notion in Ghana is that polytechnic education is for average students. </w:t>
      </w:r>
      <w:r w:rsidRPr="00627EE8">
        <w:rPr>
          <w:rFonts w:ascii="Book Antiqua" w:hAnsi="Book Antiqua"/>
          <w:lang w:eastAsia="en-GB"/>
        </w:rPr>
        <w:t>See Table 3.2.9</w:t>
      </w:r>
    </w:p>
    <w:p w14:paraId="3402F72A" w14:textId="77777777" w:rsidR="001A7DBF" w:rsidRPr="00627EE8" w:rsidRDefault="001A7DBF" w:rsidP="00627EE8">
      <w:pPr>
        <w:autoSpaceDE w:val="0"/>
        <w:autoSpaceDN w:val="0"/>
        <w:adjustRightInd w:val="0"/>
        <w:spacing w:after="0"/>
        <w:jc w:val="both"/>
        <w:rPr>
          <w:rFonts w:ascii="Book Antiqua" w:hAnsi="Book Antiqua"/>
          <w:color w:val="FF0000"/>
        </w:rPr>
      </w:pPr>
    </w:p>
    <w:p w14:paraId="70D0CABD" w14:textId="77777777" w:rsidR="001A7DBF" w:rsidRPr="00627EE8" w:rsidRDefault="001A7DBF" w:rsidP="00196385">
      <w:pPr>
        <w:pStyle w:val="ListParagraph"/>
        <w:numPr>
          <w:ilvl w:val="0"/>
          <w:numId w:val="27"/>
        </w:numPr>
        <w:autoSpaceDE w:val="0"/>
        <w:autoSpaceDN w:val="0"/>
        <w:adjustRightInd w:val="0"/>
        <w:spacing w:after="0"/>
        <w:jc w:val="both"/>
        <w:rPr>
          <w:rFonts w:ascii="Book Antiqua" w:hAnsi="Book Antiqua"/>
          <w:b/>
        </w:rPr>
      </w:pPr>
      <w:r w:rsidRPr="00627EE8">
        <w:rPr>
          <w:rFonts w:ascii="Book Antiqua" w:hAnsi="Book Antiqua"/>
          <w:b/>
          <w:bCs/>
          <w:i/>
        </w:rPr>
        <w:t>SHS programmes suitable for polytechnic education:</w:t>
      </w:r>
      <w:r w:rsidRPr="00627EE8">
        <w:rPr>
          <w:rFonts w:ascii="Book Antiqua" w:hAnsi="Book Antiqua"/>
        </w:rPr>
        <w:t xml:space="preserve">17.4% know that all programmes are suitable, 82.6 do not know. </w:t>
      </w:r>
      <w:r w:rsidRPr="00627EE8">
        <w:rPr>
          <w:rFonts w:ascii="Book Antiqua" w:hAnsi="Book Antiqua"/>
          <w:lang w:eastAsia="en-GB"/>
        </w:rPr>
        <w:t>See Table 3.2.10</w:t>
      </w:r>
    </w:p>
    <w:p w14:paraId="14FEB59D" w14:textId="77777777" w:rsidR="001A7DBF" w:rsidRPr="00627EE8" w:rsidRDefault="001A7DBF" w:rsidP="00627EE8">
      <w:pPr>
        <w:tabs>
          <w:tab w:val="left" w:pos="1920"/>
        </w:tabs>
        <w:spacing w:after="0"/>
        <w:jc w:val="both"/>
        <w:rPr>
          <w:rFonts w:ascii="Book Antiqua" w:hAnsi="Book Antiqua"/>
          <w:color w:val="FF0000"/>
        </w:rPr>
      </w:pPr>
    </w:p>
    <w:p w14:paraId="0A8A12BE" w14:textId="77777777" w:rsidR="0002626E" w:rsidRDefault="0002626E" w:rsidP="00627EE8">
      <w:pPr>
        <w:tabs>
          <w:tab w:val="left" w:pos="1920"/>
        </w:tabs>
        <w:spacing w:after="0"/>
        <w:jc w:val="both"/>
        <w:rPr>
          <w:rFonts w:ascii="Book Antiqua" w:hAnsi="Book Antiqua"/>
          <w:b/>
        </w:rPr>
      </w:pPr>
    </w:p>
    <w:p w14:paraId="6DFDBA2B" w14:textId="77777777" w:rsidR="001A7DBF" w:rsidRPr="00627EE8" w:rsidRDefault="001A7DBF" w:rsidP="00627EE8">
      <w:pPr>
        <w:tabs>
          <w:tab w:val="left" w:pos="1920"/>
        </w:tabs>
        <w:spacing w:after="0"/>
        <w:jc w:val="both"/>
        <w:rPr>
          <w:rFonts w:ascii="Book Antiqua" w:hAnsi="Book Antiqua"/>
          <w:b/>
        </w:rPr>
      </w:pPr>
      <w:r w:rsidRPr="00627EE8">
        <w:rPr>
          <w:rFonts w:ascii="Book Antiqua" w:hAnsi="Book Antiqua"/>
          <w:b/>
        </w:rPr>
        <w:t>Section 3: Affective Component of Attitude</w:t>
      </w:r>
    </w:p>
    <w:p w14:paraId="39DBF7D6" w14:textId="77777777" w:rsidR="001A7DBF" w:rsidRPr="00627EE8" w:rsidRDefault="001A7DBF" w:rsidP="00627EE8">
      <w:pPr>
        <w:tabs>
          <w:tab w:val="left" w:pos="1920"/>
        </w:tabs>
        <w:spacing w:after="0"/>
        <w:jc w:val="both"/>
        <w:rPr>
          <w:rFonts w:ascii="Book Antiqua" w:hAnsi="Book Antiqua"/>
          <w:b/>
        </w:rPr>
      </w:pPr>
      <w:r w:rsidRPr="00627EE8">
        <w:rPr>
          <w:rFonts w:ascii="Book Antiqua" w:hAnsi="Book Antiqua"/>
          <w:b/>
        </w:rPr>
        <w:t>(SHS Students’ Feelings and emotions about the Polytechnics)</w:t>
      </w:r>
    </w:p>
    <w:p w14:paraId="46BF9C17" w14:textId="77777777" w:rsidR="00627EE8" w:rsidRPr="00627EE8" w:rsidRDefault="00627EE8" w:rsidP="00196385">
      <w:pPr>
        <w:pStyle w:val="ListParagraph"/>
        <w:numPr>
          <w:ilvl w:val="0"/>
          <w:numId w:val="26"/>
        </w:numPr>
        <w:autoSpaceDE w:val="0"/>
        <w:autoSpaceDN w:val="0"/>
        <w:adjustRightInd w:val="0"/>
        <w:spacing w:after="0"/>
        <w:jc w:val="both"/>
        <w:rPr>
          <w:rFonts w:ascii="Book Antiqua" w:hAnsi="Book Antiqua"/>
          <w:b/>
          <w:color w:val="000000"/>
        </w:rPr>
      </w:pPr>
      <w:r>
        <w:rPr>
          <w:rFonts w:ascii="Book Antiqua" w:hAnsi="Book Antiqua"/>
          <w:b/>
          <w:color w:val="000000"/>
        </w:rPr>
        <w:t>Perception about recognition of HND certificates</w:t>
      </w:r>
      <w:r w:rsidRPr="00627EE8">
        <w:rPr>
          <w:rFonts w:ascii="Book Antiqua" w:hAnsi="Book Antiqua"/>
          <w:b/>
          <w:bCs/>
          <w:color w:val="000000"/>
        </w:rPr>
        <w:t xml:space="preserve">: </w:t>
      </w:r>
      <w:r w:rsidRPr="00627EE8">
        <w:rPr>
          <w:rFonts w:ascii="Book Antiqua" w:hAnsi="Book Antiqua"/>
        </w:rPr>
        <w:t>66.5% agree that HND certificates are well recognized, 33.5% disagree.See Table 3.3.1</w:t>
      </w:r>
    </w:p>
    <w:p w14:paraId="3FD405E8" w14:textId="77777777" w:rsidR="001A7DBF" w:rsidRPr="00627EE8" w:rsidRDefault="001A7DBF" w:rsidP="00196385">
      <w:pPr>
        <w:pStyle w:val="ListParagraph"/>
        <w:numPr>
          <w:ilvl w:val="0"/>
          <w:numId w:val="26"/>
        </w:numPr>
        <w:autoSpaceDE w:val="0"/>
        <w:autoSpaceDN w:val="0"/>
        <w:adjustRightInd w:val="0"/>
        <w:spacing w:after="0"/>
        <w:jc w:val="both"/>
        <w:rPr>
          <w:rFonts w:ascii="Book Antiqua" w:hAnsi="Book Antiqua"/>
          <w:b/>
          <w:color w:val="000000"/>
        </w:rPr>
      </w:pPr>
      <w:r w:rsidRPr="00627EE8">
        <w:rPr>
          <w:rFonts w:ascii="Book Antiqua" w:hAnsi="Book Antiqua"/>
          <w:b/>
          <w:i/>
          <w:color w:val="000000"/>
        </w:rPr>
        <w:t>Job Prospects for HND Graduates are high:</w:t>
      </w:r>
      <w:r w:rsidRPr="00627EE8">
        <w:rPr>
          <w:rFonts w:ascii="Book Antiqua" w:hAnsi="Book Antiqua"/>
        </w:rPr>
        <w:t>49% agree that HND graduates gain employment after school, 51% disagree.See Table 3.3.2</w:t>
      </w:r>
    </w:p>
    <w:p w14:paraId="43F3702B" w14:textId="77777777" w:rsidR="001A7DBF" w:rsidRPr="00627EE8" w:rsidRDefault="001A7DBF" w:rsidP="00196385">
      <w:pPr>
        <w:pStyle w:val="ListParagraph"/>
        <w:numPr>
          <w:ilvl w:val="0"/>
          <w:numId w:val="26"/>
        </w:numPr>
        <w:autoSpaceDE w:val="0"/>
        <w:autoSpaceDN w:val="0"/>
        <w:adjustRightInd w:val="0"/>
        <w:spacing w:after="0"/>
        <w:jc w:val="both"/>
        <w:rPr>
          <w:rFonts w:ascii="Book Antiqua" w:hAnsi="Book Antiqua"/>
          <w:b/>
          <w:color w:val="000000"/>
        </w:rPr>
      </w:pPr>
      <w:r w:rsidRPr="00627EE8">
        <w:rPr>
          <w:rFonts w:ascii="Book Antiqua" w:hAnsi="Book Antiqua"/>
          <w:b/>
          <w:bCs/>
          <w:i/>
          <w:color w:val="000000"/>
        </w:rPr>
        <w:t>There is Academic Progression for Polytechnic Graduates:</w:t>
      </w:r>
      <w:r w:rsidRPr="00627EE8">
        <w:rPr>
          <w:rFonts w:ascii="Book Antiqua" w:hAnsi="Book Antiqua"/>
        </w:rPr>
        <w:t xml:space="preserve"> 85.3% agree that HND graduates can further their educations after school, 14.7% disagree.See Table 3.3.3</w:t>
      </w:r>
    </w:p>
    <w:p w14:paraId="6D23081F" w14:textId="77777777" w:rsidR="001A7DBF" w:rsidRPr="00627EE8" w:rsidRDefault="001A7DBF" w:rsidP="00196385">
      <w:pPr>
        <w:pStyle w:val="ListParagraph"/>
        <w:numPr>
          <w:ilvl w:val="0"/>
          <w:numId w:val="26"/>
        </w:numPr>
        <w:autoSpaceDE w:val="0"/>
        <w:autoSpaceDN w:val="0"/>
        <w:adjustRightInd w:val="0"/>
        <w:spacing w:after="0"/>
        <w:jc w:val="both"/>
        <w:rPr>
          <w:rFonts w:ascii="Book Antiqua" w:hAnsi="Book Antiqua"/>
          <w:b/>
          <w:color w:val="000000"/>
        </w:rPr>
      </w:pPr>
      <w:r w:rsidRPr="00627EE8">
        <w:rPr>
          <w:rFonts w:ascii="Book Antiqua" w:hAnsi="Book Antiqua"/>
          <w:b/>
          <w:bCs/>
          <w:i/>
          <w:color w:val="000000"/>
        </w:rPr>
        <w:t>Management Positions HND Graduates are trained for:</w:t>
      </w:r>
      <w:r w:rsidRPr="00627EE8">
        <w:rPr>
          <w:rFonts w:ascii="Book Antiqua" w:hAnsi="Book Antiqua"/>
        </w:rPr>
        <w:t>31.5% think that it is top management, 35.6% think it is middle management; 32.8% think it is lower management. See Table 3.3.4</w:t>
      </w:r>
    </w:p>
    <w:p w14:paraId="73FB79AE" w14:textId="77777777" w:rsidR="00704FBC" w:rsidRPr="00627EE8" w:rsidRDefault="00704FBC" w:rsidP="00627EE8">
      <w:pPr>
        <w:rPr>
          <w:rFonts w:ascii="Book Antiqua" w:hAnsi="Book Antiqua"/>
        </w:rPr>
      </w:pPr>
    </w:p>
    <w:p w14:paraId="1178021F" w14:textId="77777777" w:rsidR="005C5162" w:rsidRDefault="005C5162" w:rsidP="00627EE8">
      <w:pPr>
        <w:autoSpaceDE w:val="0"/>
        <w:autoSpaceDN w:val="0"/>
        <w:adjustRightInd w:val="0"/>
        <w:spacing w:after="0"/>
        <w:jc w:val="both"/>
        <w:rPr>
          <w:rFonts w:ascii="Book Antiqua" w:hAnsi="Book Antiqua"/>
          <w:b/>
          <w:bCs/>
          <w:color w:val="000000"/>
        </w:rPr>
      </w:pPr>
    </w:p>
    <w:p w14:paraId="43F6271E" w14:textId="77777777" w:rsidR="005C5162" w:rsidRDefault="005C5162" w:rsidP="00627EE8">
      <w:pPr>
        <w:autoSpaceDE w:val="0"/>
        <w:autoSpaceDN w:val="0"/>
        <w:adjustRightInd w:val="0"/>
        <w:spacing w:after="0"/>
        <w:jc w:val="both"/>
        <w:rPr>
          <w:rFonts w:ascii="Book Antiqua" w:hAnsi="Book Antiqua"/>
          <w:b/>
          <w:bCs/>
          <w:color w:val="000000"/>
        </w:rPr>
      </w:pPr>
    </w:p>
    <w:p w14:paraId="55478B28" w14:textId="77777777" w:rsidR="005C5162" w:rsidRDefault="005C5162" w:rsidP="00627EE8">
      <w:pPr>
        <w:autoSpaceDE w:val="0"/>
        <w:autoSpaceDN w:val="0"/>
        <w:adjustRightInd w:val="0"/>
        <w:spacing w:after="0"/>
        <w:jc w:val="both"/>
        <w:rPr>
          <w:rFonts w:ascii="Book Antiqua" w:hAnsi="Book Antiqua"/>
          <w:b/>
          <w:bCs/>
          <w:color w:val="000000"/>
        </w:rPr>
      </w:pPr>
    </w:p>
    <w:p w14:paraId="34B24E88" w14:textId="77777777" w:rsidR="001A7DBF" w:rsidRPr="00627EE8" w:rsidRDefault="001A7DBF" w:rsidP="00627EE8">
      <w:pPr>
        <w:autoSpaceDE w:val="0"/>
        <w:autoSpaceDN w:val="0"/>
        <w:adjustRightInd w:val="0"/>
        <w:spacing w:after="0"/>
        <w:jc w:val="both"/>
        <w:rPr>
          <w:rFonts w:ascii="Book Antiqua" w:hAnsi="Book Antiqua"/>
          <w:b/>
          <w:bCs/>
          <w:color w:val="000000"/>
        </w:rPr>
      </w:pPr>
      <w:r w:rsidRPr="00627EE8">
        <w:rPr>
          <w:rFonts w:ascii="Book Antiqua" w:hAnsi="Book Antiqua"/>
          <w:b/>
          <w:bCs/>
          <w:color w:val="000000"/>
        </w:rPr>
        <w:lastRenderedPageBreak/>
        <w:t>Section 4: Co</w:t>
      </w:r>
      <w:r w:rsidR="00704FBC">
        <w:rPr>
          <w:rFonts w:ascii="Book Antiqua" w:hAnsi="Book Antiqua"/>
          <w:b/>
          <w:bCs/>
          <w:color w:val="000000"/>
        </w:rPr>
        <w:t>g</w:t>
      </w:r>
      <w:r w:rsidRPr="00627EE8">
        <w:rPr>
          <w:rFonts w:ascii="Book Antiqua" w:hAnsi="Book Antiqua"/>
          <w:b/>
          <w:bCs/>
          <w:color w:val="000000"/>
        </w:rPr>
        <w:t>native or Behavioural Component of Attitude</w:t>
      </w:r>
    </w:p>
    <w:p w14:paraId="377B7872" w14:textId="77777777" w:rsidR="001A7DBF" w:rsidRPr="00627EE8" w:rsidRDefault="001A7DBF" w:rsidP="00627EE8">
      <w:pPr>
        <w:autoSpaceDE w:val="0"/>
        <w:autoSpaceDN w:val="0"/>
        <w:adjustRightInd w:val="0"/>
        <w:spacing w:after="0"/>
        <w:jc w:val="both"/>
        <w:rPr>
          <w:rFonts w:ascii="Book Antiqua" w:hAnsi="Book Antiqua"/>
          <w:b/>
          <w:bCs/>
          <w:color w:val="000000"/>
        </w:rPr>
      </w:pPr>
      <w:r w:rsidRPr="00627EE8">
        <w:rPr>
          <w:rFonts w:ascii="Book Antiqua" w:hAnsi="Book Antiqua"/>
          <w:b/>
          <w:bCs/>
          <w:color w:val="000000"/>
        </w:rPr>
        <w:t>(Action Tendencies of SHS Students to Polytechnic Education)</w:t>
      </w:r>
    </w:p>
    <w:p w14:paraId="16C87A5E" w14:textId="77777777" w:rsidR="001A7DBF" w:rsidRPr="00627EE8" w:rsidRDefault="001A7DBF" w:rsidP="00627EE8">
      <w:pPr>
        <w:autoSpaceDE w:val="0"/>
        <w:autoSpaceDN w:val="0"/>
        <w:adjustRightInd w:val="0"/>
        <w:spacing w:after="0"/>
        <w:jc w:val="both"/>
        <w:rPr>
          <w:rFonts w:ascii="Book Antiqua" w:hAnsi="Book Antiqua"/>
          <w:b/>
          <w:bCs/>
          <w:color w:val="000000"/>
        </w:rPr>
      </w:pPr>
    </w:p>
    <w:p w14:paraId="240B3088" w14:textId="77777777" w:rsidR="001A7DBF" w:rsidRDefault="001A7DBF" w:rsidP="00196385">
      <w:pPr>
        <w:pStyle w:val="ListParagraph"/>
        <w:numPr>
          <w:ilvl w:val="0"/>
          <w:numId w:val="28"/>
        </w:numPr>
        <w:autoSpaceDE w:val="0"/>
        <w:autoSpaceDN w:val="0"/>
        <w:adjustRightInd w:val="0"/>
        <w:spacing w:after="0"/>
        <w:jc w:val="both"/>
        <w:rPr>
          <w:rFonts w:ascii="Book Antiqua" w:hAnsi="Book Antiqua"/>
        </w:rPr>
      </w:pPr>
      <w:r w:rsidRPr="00627EE8">
        <w:rPr>
          <w:rFonts w:ascii="Book Antiqua" w:hAnsi="Book Antiqua"/>
          <w:b/>
          <w:bCs/>
          <w:i/>
        </w:rPr>
        <w:t>Respondents’ Order of Preference of Tertiary Institutions:</w:t>
      </w:r>
      <w:r w:rsidRPr="00627EE8">
        <w:rPr>
          <w:rFonts w:ascii="Book Antiqua" w:hAnsi="Book Antiqua"/>
        </w:rPr>
        <w:t xml:space="preserve"> For first choice, public university came first with 78.1%. For second choice, private university came first with 48%. For third choice, the polytechnic came first with 56.6%. This indicates that the most preferred tertiary education among SHS students is public university followed by private university, then the polytechnic. See Table 3.4.1</w:t>
      </w:r>
    </w:p>
    <w:p w14:paraId="5C5196B7" w14:textId="77777777" w:rsidR="00E97B99" w:rsidRPr="00627EE8" w:rsidRDefault="00E97B99" w:rsidP="00E97B99">
      <w:pPr>
        <w:pStyle w:val="ListParagraph"/>
        <w:autoSpaceDE w:val="0"/>
        <w:autoSpaceDN w:val="0"/>
        <w:adjustRightInd w:val="0"/>
        <w:spacing w:after="0"/>
        <w:jc w:val="both"/>
        <w:rPr>
          <w:rFonts w:ascii="Book Antiqua" w:hAnsi="Book Antiqua"/>
        </w:rPr>
      </w:pPr>
    </w:p>
    <w:p w14:paraId="410FC4FE" w14:textId="77777777" w:rsidR="00E97B99" w:rsidRDefault="00E97B99" w:rsidP="00196385">
      <w:pPr>
        <w:pStyle w:val="ListParagraph"/>
        <w:numPr>
          <w:ilvl w:val="0"/>
          <w:numId w:val="28"/>
        </w:numPr>
        <w:autoSpaceDE w:val="0"/>
        <w:autoSpaceDN w:val="0"/>
        <w:adjustRightInd w:val="0"/>
        <w:spacing w:after="0" w:line="240" w:lineRule="auto"/>
        <w:jc w:val="both"/>
        <w:rPr>
          <w:rFonts w:ascii="Times New Roman" w:hAnsi="Times New Roman"/>
          <w:sz w:val="24"/>
          <w:szCs w:val="24"/>
        </w:rPr>
      </w:pPr>
      <w:r w:rsidRPr="007473AD">
        <w:rPr>
          <w:rFonts w:ascii="Times New Roman" w:hAnsi="Times New Roman"/>
          <w:b/>
          <w:bCs/>
          <w:i/>
          <w:sz w:val="24"/>
          <w:szCs w:val="24"/>
        </w:rPr>
        <w:t>One Important Reason That Will Make A Student Choose A Polytechnic Over Other Tertiary Institutions:</w:t>
      </w:r>
      <w:r w:rsidRPr="007473AD">
        <w:rPr>
          <w:rFonts w:ascii="Times New Roman" w:hAnsi="Times New Roman"/>
          <w:sz w:val="24"/>
          <w:szCs w:val="24"/>
        </w:rPr>
        <w:t xml:space="preserve"> 24.1% indicated nothing will make them do that, 17% cited financial, 20% cited they are practically oriented, 7.3% cited job prospect, 6% will choose it as the last resort; while 25% will choose polytechnic over other tertiary institutions for other reasons. </w:t>
      </w:r>
      <w:r>
        <w:rPr>
          <w:rFonts w:ascii="Times New Roman" w:hAnsi="Times New Roman"/>
          <w:sz w:val="24"/>
          <w:szCs w:val="24"/>
        </w:rPr>
        <w:t>See Table 3.4.2</w:t>
      </w:r>
    </w:p>
    <w:p w14:paraId="15052E4D" w14:textId="77777777" w:rsidR="00E97B99" w:rsidRPr="00E97B99" w:rsidRDefault="00E97B99" w:rsidP="00E97B99">
      <w:pPr>
        <w:pStyle w:val="ListParagraph"/>
        <w:autoSpaceDE w:val="0"/>
        <w:autoSpaceDN w:val="0"/>
        <w:adjustRightInd w:val="0"/>
        <w:spacing w:after="0" w:line="240" w:lineRule="auto"/>
        <w:jc w:val="both"/>
        <w:rPr>
          <w:rFonts w:ascii="Times New Roman" w:hAnsi="Times New Roman"/>
          <w:sz w:val="24"/>
          <w:szCs w:val="24"/>
        </w:rPr>
      </w:pPr>
    </w:p>
    <w:p w14:paraId="02CDF447" w14:textId="77777777" w:rsidR="00E97B99" w:rsidRPr="00563AF2" w:rsidRDefault="00E97B99" w:rsidP="00196385">
      <w:pPr>
        <w:pStyle w:val="ListParagraph"/>
        <w:numPr>
          <w:ilvl w:val="0"/>
          <w:numId w:val="28"/>
        </w:numPr>
        <w:autoSpaceDE w:val="0"/>
        <w:autoSpaceDN w:val="0"/>
        <w:adjustRightInd w:val="0"/>
        <w:spacing w:after="0" w:line="240" w:lineRule="auto"/>
        <w:jc w:val="both"/>
        <w:rPr>
          <w:rFonts w:ascii="Times New Roman" w:hAnsi="Times New Roman"/>
          <w:sz w:val="24"/>
          <w:szCs w:val="24"/>
        </w:rPr>
      </w:pPr>
      <w:r w:rsidRPr="000629AC">
        <w:rPr>
          <w:rFonts w:ascii="Times New Roman" w:hAnsi="Times New Roman"/>
          <w:b/>
          <w:bCs/>
          <w:i/>
          <w:sz w:val="24"/>
          <w:szCs w:val="24"/>
        </w:rPr>
        <w:t>SHS Students’ Overall Attitude and Feelings about Polytechnic Education:</w:t>
      </w:r>
      <w:r w:rsidRPr="000629AC">
        <w:rPr>
          <w:rFonts w:ascii="Times New Roman" w:hAnsi="Times New Roman"/>
          <w:sz w:val="24"/>
          <w:szCs w:val="24"/>
        </w:rPr>
        <w:t xml:space="preserve"> 14.2% are enthusiastic about polytechnic education, 46.4% are positive, 21.6% indifferent, 6.5% feel negative and 11.3% feel hostile about it. 9.4% did not respond. </w:t>
      </w:r>
      <w:r>
        <w:rPr>
          <w:rFonts w:ascii="Times New Roman" w:hAnsi="Times New Roman"/>
          <w:sz w:val="24"/>
          <w:szCs w:val="24"/>
        </w:rPr>
        <w:t>See Table 3.4.3</w:t>
      </w:r>
    </w:p>
    <w:p w14:paraId="3220F307" w14:textId="77777777" w:rsidR="00E97B99" w:rsidRDefault="00E97B99" w:rsidP="00E97B99">
      <w:pPr>
        <w:pStyle w:val="ListParagraph"/>
        <w:rPr>
          <w:rFonts w:ascii="Book Antiqua" w:hAnsi="Book Antiqua"/>
        </w:rPr>
      </w:pPr>
    </w:p>
    <w:p w14:paraId="351825F8" w14:textId="77777777" w:rsidR="005C5162" w:rsidRDefault="005C5162" w:rsidP="00E97B99">
      <w:pPr>
        <w:pStyle w:val="ListParagraph"/>
        <w:rPr>
          <w:rFonts w:ascii="Book Antiqua" w:hAnsi="Book Antiqua"/>
        </w:rPr>
      </w:pPr>
    </w:p>
    <w:p w14:paraId="7A755E14" w14:textId="77777777" w:rsidR="005C5162" w:rsidRDefault="005C5162" w:rsidP="00E97B99">
      <w:pPr>
        <w:pStyle w:val="ListParagraph"/>
        <w:rPr>
          <w:rFonts w:ascii="Book Antiqua" w:hAnsi="Book Antiqua"/>
        </w:rPr>
      </w:pPr>
    </w:p>
    <w:p w14:paraId="03A70DF2" w14:textId="77777777" w:rsidR="005C5162" w:rsidRPr="00E97B99" w:rsidRDefault="005C5162" w:rsidP="00E97B99">
      <w:pPr>
        <w:pStyle w:val="ListParagraph"/>
        <w:rPr>
          <w:rFonts w:ascii="Book Antiqua" w:hAnsi="Book Antiqua"/>
        </w:rPr>
      </w:pPr>
    </w:p>
    <w:p w14:paraId="3ACEA6F3" w14:textId="77777777" w:rsidR="001A7DBF" w:rsidRPr="00E97B99" w:rsidRDefault="001A7DBF" w:rsidP="00410FBD">
      <w:pPr>
        <w:pStyle w:val="ListParagraph"/>
        <w:numPr>
          <w:ilvl w:val="0"/>
          <w:numId w:val="5"/>
        </w:numPr>
        <w:spacing w:after="0"/>
        <w:jc w:val="both"/>
        <w:rPr>
          <w:rFonts w:ascii="Book Antiqua" w:hAnsi="Book Antiqua"/>
          <w:b/>
          <w:sz w:val="26"/>
        </w:rPr>
      </w:pPr>
      <w:r w:rsidRPr="00E97B99">
        <w:rPr>
          <w:rFonts w:ascii="Book Antiqua" w:hAnsi="Book Antiqua"/>
          <w:b/>
          <w:sz w:val="26"/>
        </w:rPr>
        <w:t>Recommendations:</w:t>
      </w:r>
    </w:p>
    <w:p w14:paraId="24E78E4C" w14:textId="77777777" w:rsidR="001A7DBF" w:rsidRPr="00627EE8" w:rsidRDefault="001A7DBF" w:rsidP="00627EE8">
      <w:pPr>
        <w:pStyle w:val="ListParagraph"/>
        <w:tabs>
          <w:tab w:val="left" w:pos="1920"/>
        </w:tabs>
        <w:spacing w:after="0"/>
        <w:jc w:val="both"/>
        <w:rPr>
          <w:rFonts w:ascii="Book Antiqua" w:hAnsi="Book Antiqua"/>
        </w:rPr>
      </w:pPr>
      <w:r w:rsidRPr="00627EE8">
        <w:rPr>
          <w:rFonts w:ascii="Book Antiqua" w:hAnsi="Book Antiqua"/>
        </w:rPr>
        <w:t>From the conclusions drawn the following actions are recommended:</w:t>
      </w:r>
    </w:p>
    <w:p w14:paraId="624AC12A" w14:textId="77777777" w:rsidR="001A7DBF" w:rsidRPr="00627EE8" w:rsidRDefault="001A7DBF" w:rsidP="00196385">
      <w:pPr>
        <w:pStyle w:val="ListParagraph"/>
        <w:numPr>
          <w:ilvl w:val="0"/>
          <w:numId w:val="29"/>
        </w:numPr>
        <w:spacing w:after="0"/>
        <w:jc w:val="both"/>
        <w:rPr>
          <w:rFonts w:ascii="Book Antiqua" w:hAnsi="Book Antiqua"/>
        </w:rPr>
      </w:pPr>
      <w:r w:rsidRPr="00627EE8">
        <w:rPr>
          <w:rFonts w:ascii="Book Antiqua" w:hAnsi="Book Antiqua"/>
        </w:rPr>
        <w:t xml:space="preserve">Need for outreach programmes to reduce the level of ignorance and misconceptions among the students. </w:t>
      </w:r>
    </w:p>
    <w:p w14:paraId="68E15401" w14:textId="77777777" w:rsidR="001A7DBF" w:rsidRPr="00627EE8" w:rsidRDefault="001A7DBF" w:rsidP="00627EE8">
      <w:pPr>
        <w:pStyle w:val="ListParagraph"/>
        <w:spacing w:after="0"/>
        <w:jc w:val="both"/>
        <w:rPr>
          <w:rFonts w:ascii="Book Antiqua" w:hAnsi="Book Antiqua"/>
        </w:rPr>
      </w:pPr>
    </w:p>
    <w:p w14:paraId="27608BD9" w14:textId="77777777" w:rsidR="001A7DBF" w:rsidRPr="00627EE8" w:rsidRDefault="001A7DBF" w:rsidP="00196385">
      <w:pPr>
        <w:pStyle w:val="ListParagraph"/>
        <w:numPr>
          <w:ilvl w:val="0"/>
          <w:numId w:val="29"/>
        </w:numPr>
        <w:spacing w:after="0"/>
        <w:jc w:val="both"/>
        <w:rPr>
          <w:rFonts w:ascii="Book Antiqua" w:hAnsi="Book Antiqua"/>
        </w:rPr>
      </w:pPr>
      <w:r w:rsidRPr="00627EE8">
        <w:rPr>
          <w:rFonts w:ascii="Book Antiqua" w:hAnsi="Book Antiqua"/>
        </w:rPr>
        <w:t xml:space="preserve">Budget for PR and Corporate Social Responsibility (CSR) on Senior High Schools campusesto increase the students’ exposure to the Polytechnics. </w:t>
      </w:r>
    </w:p>
    <w:p w14:paraId="3DE1C35F" w14:textId="77777777" w:rsidR="001A7DBF" w:rsidRPr="00627EE8" w:rsidRDefault="001A7DBF" w:rsidP="00627EE8">
      <w:pPr>
        <w:pStyle w:val="ListParagraph"/>
        <w:spacing w:after="0"/>
        <w:ind w:firstLine="180"/>
        <w:jc w:val="both"/>
        <w:rPr>
          <w:rFonts w:ascii="Book Antiqua" w:hAnsi="Book Antiqua"/>
        </w:rPr>
      </w:pPr>
    </w:p>
    <w:p w14:paraId="1910EE8D" w14:textId="77777777" w:rsidR="001A7DBF" w:rsidRPr="00E97B99" w:rsidRDefault="00E97B99" w:rsidP="00196385">
      <w:pPr>
        <w:pStyle w:val="ListParagraph"/>
        <w:numPr>
          <w:ilvl w:val="0"/>
          <w:numId w:val="29"/>
        </w:numPr>
        <w:spacing w:after="0"/>
        <w:jc w:val="both"/>
        <w:rPr>
          <w:rFonts w:ascii="Book Antiqua" w:hAnsi="Book Antiqua"/>
        </w:rPr>
      </w:pPr>
      <w:r w:rsidRPr="00E97B99">
        <w:rPr>
          <w:rFonts w:ascii="Book Antiqua" w:hAnsi="Book Antiqua"/>
        </w:rPr>
        <w:t>Need for more care</w:t>
      </w:r>
      <w:r w:rsidR="001A7DBF" w:rsidRPr="00E97B99">
        <w:rPr>
          <w:rFonts w:ascii="Book Antiqua" w:hAnsi="Book Antiqua"/>
        </w:rPr>
        <w:t>er-centred HND and degree programmesto build their entrepreneurial capacity to start their own businesses confidently, since it is getting increasingly difficult to secure white colour jobs.</w:t>
      </w:r>
    </w:p>
    <w:p w14:paraId="399C654C" w14:textId="77777777" w:rsidR="001A7DBF" w:rsidRPr="00627EE8" w:rsidRDefault="001A7DBF" w:rsidP="00627EE8">
      <w:pPr>
        <w:spacing w:after="0"/>
        <w:jc w:val="both"/>
        <w:rPr>
          <w:rFonts w:ascii="Book Antiqua" w:hAnsi="Book Antiqua"/>
        </w:rPr>
      </w:pPr>
    </w:p>
    <w:p w14:paraId="3FE6F8CA" w14:textId="77777777" w:rsidR="001A7DBF" w:rsidRPr="00627EE8" w:rsidRDefault="001A7DBF" w:rsidP="00196385">
      <w:pPr>
        <w:pStyle w:val="ListParagraph"/>
        <w:numPr>
          <w:ilvl w:val="0"/>
          <w:numId w:val="29"/>
        </w:numPr>
        <w:spacing w:after="0"/>
        <w:jc w:val="both"/>
        <w:rPr>
          <w:rFonts w:ascii="Book Antiqua" w:hAnsi="Book Antiqua"/>
          <w:b/>
        </w:rPr>
      </w:pPr>
      <w:r w:rsidRPr="00627EE8">
        <w:rPr>
          <w:rFonts w:ascii="Book Antiqua" w:hAnsi="Book Antiqua"/>
        </w:rPr>
        <w:t>Need for continuous</w:t>
      </w:r>
      <w:r w:rsidR="00E97B99">
        <w:rPr>
          <w:rFonts w:ascii="Book Antiqua" w:hAnsi="Book Antiqua"/>
        </w:rPr>
        <w:t xml:space="preserve"> </w:t>
      </w:r>
      <w:r w:rsidRPr="00627EE8">
        <w:rPr>
          <w:rFonts w:ascii="Book Antiqua" w:hAnsi="Book Antiqua"/>
        </w:rPr>
        <w:t>improvement in staff development,ICT, and physical infrastructure to meet the rapidly changing requirement for effective and efficient modern teaching and learning.</w:t>
      </w:r>
    </w:p>
    <w:p w14:paraId="1AE3319B" w14:textId="77777777" w:rsidR="001A7DBF" w:rsidRPr="00627EE8" w:rsidRDefault="001A7DBF" w:rsidP="00627EE8">
      <w:pPr>
        <w:pStyle w:val="ListParagraph"/>
        <w:rPr>
          <w:rFonts w:ascii="Book Antiqua" w:hAnsi="Book Antiqua"/>
          <w:b/>
        </w:rPr>
      </w:pPr>
    </w:p>
    <w:p w14:paraId="18F2C115" w14:textId="77777777" w:rsidR="001A7DBF" w:rsidRPr="00627EE8" w:rsidRDefault="001A7DBF" w:rsidP="00196385">
      <w:pPr>
        <w:pStyle w:val="ListParagraph"/>
        <w:numPr>
          <w:ilvl w:val="0"/>
          <w:numId w:val="29"/>
        </w:numPr>
        <w:spacing w:after="0"/>
        <w:jc w:val="both"/>
        <w:rPr>
          <w:rFonts w:ascii="Book Antiqua" w:hAnsi="Book Antiqua"/>
        </w:rPr>
      </w:pPr>
      <w:r w:rsidRPr="00627EE8">
        <w:rPr>
          <w:rFonts w:ascii="Book Antiqua" w:hAnsi="Book Antiqua"/>
        </w:rPr>
        <w:t xml:space="preserve">To avoid playing second fiddle and being considered an appendage to the other Tertiary institutions,the Polytechnics should endeavor to carve a niche for themselves by developing practical-industry-relevant HND and degree progammes that will clearly distinguish them from the other tertiary institutions. </w:t>
      </w:r>
    </w:p>
    <w:p w14:paraId="33E5F7D4" w14:textId="77777777" w:rsidR="001A7DBF" w:rsidRPr="00627EE8" w:rsidRDefault="001A7DBF" w:rsidP="00627EE8">
      <w:pPr>
        <w:spacing w:after="0"/>
        <w:jc w:val="both"/>
        <w:rPr>
          <w:rFonts w:ascii="Book Antiqua" w:hAnsi="Book Antiqua"/>
        </w:rPr>
      </w:pPr>
    </w:p>
    <w:p w14:paraId="18615882" w14:textId="77777777" w:rsidR="001A7DBF" w:rsidRPr="00627EE8" w:rsidRDefault="001A7DBF" w:rsidP="00627EE8">
      <w:pPr>
        <w:spacing w:after="0"/>
        <w:jc w:val="both"/>
        <w:rPr>
          <w:rFonts w:ascii="Book Antiqua" w:hAnsi="Book Antiqua"/>
        </w:rPr>
      </w:pPr>
      <w:r w:rsidRPr="00627EE8">
        <w:rPr>
          <w:rFonts w:ascii="Book Antiqua" w:hAnsi="Book Antiqua"/>
        </w:rPr>
        <w:lastRenderedPageBreak/>
        <w:t>Once these recommendations are implemented the students’ cognitive, affective, and conative attitude to polytechnic education will be more positive thereby improving their perceptions about the Polytechnics in Ghana.</w:t>
      </w:r>
    </w:p>
    <w:p w14:paraId="698D3A8E" w14:textId="77777777" w:rsidR="001A7DBF" w:rsidRPr="00627EE8" w:rsidRDefault="001A7DBF" w:rsidP="00627EE8">
      <w:pPr>
        <w:spacing w:after="0"/>
        <w:jc w:val="both"/>
        <w:rPr>
          <w:rFonts w:ascii="Book Antiqua" w:hAnsi="Book Antiqua"/>
          <w:b/>
        </w:rPr>
      </w:pPr>
    </w:p>
    <w:p w14:paraId="6A0C56CA" w14:textId="77777777" w:rsidR="001A7DBF" w:rsidRPr="00627EE8" w:rsidRDefault="001A7DBF" w:rsidP="00627EE8">
      <w:pPr>
        <w:spacing w:after="0"/>
        <w:jc w:val="both"/>
        <w:rPr>
          <w:rFonts w:ascii="Book Antiqua" w:hAnsi="Book Antiqua"/>
          <w:b/>
        </w:rPr>
      </w:pPr>
    </w:p>
    <w:p w14:paraId="766A713A" w14:textId="77777777" w:rsidR="001A7DBF" w:rsidRPr="00A01965" w:rsidRDefault="001A7DBF" w:rsidP="00627EE8">
      <w:pPr>
        <w:spacing w:after="0"/>
        <w:jc w:val="both"/>
        <w:rPr>
          <w:rFonts w:ascii="Book Antiqua" w:hAnsi="Book Antiqua"/>
          <w:b/>
          <w:sz w:val="26"/>
        </w:rPr>
      </w:pPr>
      <w:r w:rsidRPr="00A01965">
        <w:rPr>
          <w:rFonts w:ascii="Book Antiqua" w:hAnsi="Book Antiqua"/>
          <w:b/>
          <w:sz w:val="26"/>
        </w:rPr>
        <w:t xml:space="preserve">References: </w:t>
      </w:r>
    </w:p>
    <w:p w14:paraId="6C86A2D9"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Allport G.W. (1954): The Nature of Prejudice, Reading MA: Addison-Wesley.</w:t>
      </w:r>
    </w:p>
    <w:p w14:paraId="04224484" w14:textId="77777777" w:rsidR="001A7DBF" w:rsidRPr="00627EE8" w:rsidRDefault="001A7DBF" w:rsidP="00AB79DE">
      <w:pPr>
        <w:spacing w:after="0"/>
        <w:ind w:left="810" w:hanging="810"/>
        <w:jc w:val="both"/>
        <w:rPr>
          <w:rFonts w:ascii="Book Antiqua" w:hAnsi="Book Antiqua"/>
        </w:rPr>
      </w:pPr>
    </w:p>
    <w:p w14:paraId="31AB1BCD"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Allport G.W. (1935), ‘’Attitudes’’, In C.M. Murchinson, ed., Handbook of Social Psychology, Worcester, MA: Clark University Press.</w:t>
      </w:r>
    </w:p>
    <w:p w14:paraId="0C564285" w14:textId="77777777" w:rsidR="001A7DBF" w:rsidRPr="00627EE8" w:rsidRDefault="001A7DBF" w:rsidP="00AB79DE">
      <w:pPr>
        <w:spacing w:after="0"/>
        <w:ind w:left="810" w:hanging="810"/>
        <w:jc w:val="both"/>
        <w:rPr>
          <w:rFonts w:ascii="Book Antiqua" w:hAnsi="Book Antiqua"/>
        </w:rPr>
      </w:pPr>
    </w:p>
    <w:p w14:paraId="6442A0E3"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Batra R., Myers J. G., and Aaker D. A. (1996): Advertising Management, 5</w:t>
      </w:r>
      <w:r w:rsidRPr="00AB79DE">
        <w:rPr>
          <w:rFonts w:ascii="Book Antiqua" w:hAnsi="Book Antiqua"/>
          <w:vertAlign w:val="superscript"/>
        </w:rPr>
        <w:t>th</w:t>
      </w:r>
      <w:r w:rsidRPr="00AB79DE">
        <w:rPr>
          <w:rFonts w:ascii="Book Antiqua" w:hAnsi="Book Antiqua"/>
        </w:rPr>
        <w:t xml:space="preserve"> ed., Upper Saddle River, New Jersey, USA, Prentice-Hall, Inc.</w:t>
      </w:r>
    </w:p>
    <w:p w14:paraId="6B23039F" w14:textId="77777777" w:rsidR="001A7DBF" w:rsidRPr="00627EE8" w:rsidRDefault="001A7DBF" w:rsidP="00AB79DE">
      <w:pPr>
        <w:spacing w:after="0"/>
        <w:ind w:left="810" w:hanging="810"/>
        <w:jc w:val="both"/>
        <w:rPr>
          <w:rFonts w:ascii="Book Antiqua" w:hAnsi="Book Antiqua"/>
        </w:rPr>
      </w:pPr>
    </w:p>
    <w:p w14:paraId="394EDED4"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Boone L. E. and Kurtz D.L. (2004); Contemporary Marketing, 11</w:t>
      </w:r>
      <w:r w:rsidRPr="00AB79DE">
        <w:rPr>
          <w:rFonts w:ascii="Book Antiqua" w:hAnsi="Book Antiqua"/>
          <w:vertAlign w:val="superscript"/>
        </w:rPr>
        <w:t>th</w:t>
      </w:r>
      <w:r w:rsidRPr="00AB79DE">
        <w:rPr>
          <w:rFonts w:ascii="Book Antiqua" w:hAnsi="Book Antiqua"/>
        </w:rPr>
        <w:t xml:space="preserve"> ed., Natorp Boulevard, Mason, Ohio, USA, Thomson South-Western.</w:t>
      </w:r>
    </w:p>
    <w:p w14:paraId="21C72C6E" w14:textId="77777777" w:rsidR="001A7DBF" w:rsidRPr="00627EE8" w:rsidRDefault="001A7DBF" w:rsidP="00AB79DE">
      <w:pPr>
        <w:spacing w:after="0"/>
        <w:ind w:left="810" w:hanging="810"/>
        <w:jc w:val="both"/>
        <w:rPr>
          <w:rFonts w:ascii="Book Antiqua" w:hAnsi="Book Antiqua"/>
        </w:rPr>
      </w:pPr>
    </w:p>
    <w:p w14:paraId="71004163"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Berelson B. and Steiner G.A., Human Behaviour: An Introductory of Scientific Findings (New York: Harcourt Brace Jovanovich, 1964), p. 88.</w:t>
      </w:r>
    </w:p>
    <w:p w14:paraId="31D97378" w14:textId="77777777" w:rsidR="001A7DBF" w:rsidRPr="00627EE8" w:rsidRDefault="001A7DBF" w:rsidP="00AB79DE">
      <w:pPr>
        <w:spacing w:after="0"/>
        <w:ind w:left="810" w:hanging="810"/>
        <w:jc w:val="both"/>
        <w:rPr>
          <w:rFonts w:ascii="Book Antiqua" w:hAnsi="Book Antiqua"/>
        </w:rPr>
      </w:pPr>
    </w:p>
    <w:p w14:paraId="7E2F89D9"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Hilgard E. R., Atkinson R., and Atkinson R.C. (1979): Introduction to Psychology, 7</w:t>
      </w:r>
      <w:r w:rsidRPr="00AB79DE">
        <w:rPr>
          <w:rFonts w:ascii="Book Antiqua" w:hAnsi="Book Antiqua"/>
          <w:vertAlign w:val="superscript"/>
        </w:rPr>
        <w:t>th</w:t>
      </w:r>
      <w:r w:rsidRPr="00AB79DE">
        <w:rPr>
          <w:rFonts w:ascii="Book Antiqua" w:hAnsi="Book Antiqua"/>
        </w:rPr>
        <w:t>ed. New York, Harcourt Brace Jovanovich.</w:t>
      </w:r>
    </w:p>
    <w:p w14:paraId="00C84013" w14:textId="77777777" w:rsidR="001A7DBF" w:rsidRPr="00627EE8" w:rsidRDefault="001A7DBF" w:rsidP="00AB79DE">
      <w:pPr>
        <w:spacing w:after="0"/>
        <w:ind w:left="810" w:hanging="810"/>
        <w:jc w:val="both"/>
        <w:rPr>
          <w:rFonts w:ascii="Book Antiqua" w:hAnsi="Book Antiqua"/>
        </w:rPr>
      </w:pPr>
    </w:p>
    <w:p w14:paraId="1D4EBE4B"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Kotler P. and Keller K. L. (2009): Marketing Management, 13</w:t>
      </w:r>
      <w:r w:rsidRPr="00AB79DE">
        <w:rPr>
          <w:rFonts w:ascii="Book Antiqua" w:hAnsi="Book Antiqua"/>
          <w:vertAlign w:val="superscript"/>
        </w:rPr>
        <w:t>th</w:t>
      </w:r>
      <w:r w:rsidRPr="00AB79DE">
        <w:rPr>
          <w:rFonts w:ascii="Book Antiqua" w:hAnsi="Book Antiqua"/>
        </w:rPr>
        <w:t xml:space="preserve"> ed., Upper Saddle River, New Jersey, USA, Prentice-Hall, Inc.</w:t>
      </w:r>
    </w:p>
    <w:p w14:paraId="70E70F39" w14:textId="77777777" w:rsidR="001A7DBF" w:rsidRPr="00627EE8" w:rsidRDefault="001A7DBF" w:rsidP="00AB79DE">
      <w:pPr>
        <w:spacing w:after="0"/>
        <w:ind w:left="810" w:hanging="810"/>
        <w:jc w:val="both"/>
        <w:rPr>
          <w:rFonts w:ascii="Book Antiqua" w:hAnsi="Book Antiqua"/>
        </w:rPr>
      </w:pPr>
    </w:p>
    <w:p w14:paraId="6B3FEA17"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Krech D. and Crutchfield R. (1948): Theory and Problems of Social Psychology. New York, McGraw-Hill.</w:t>
      </w:r>
    </w:p>
    <w:p w14:paraId="0E0457A4" w14:textId="77777777" w:rsidR="001A7DBF" w:rsidRPr="00627EE8" w:rsidRDefault="001A7DBF" w:rsidP="00AB79DE">
      <w:pPr>
        <w:spacing w:after="0"/>
        <w:ind w:left="810" w:hanging="810"/>
        <w:jc w:val="both"/>
        <w:rPr>
          <w:rFonts w:ascii="Book Antiqua" w:hAnsi="Book Antiqua"/>
        </w:rPr>
      </w:pPr>
    </w:p>
    <w:p w14:paraId="57A2D59D"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Longman Dictionary of Contemporary English (2001), 3</w:t>
      </w:r>
      <w:r w:rsidRPr="00AB79DE">
        <w:rPr>
          <w:rFonts w:ascii="Book Antiqua" w:hAnsi="Book Antiqua"/>
          <w:vertAlign w:val="superscript"/>
        </w:rPr>
        <w:t>rd</w:t>
      </w:r>
      <w:r w:rsidRPr="00AB79DE">
        <w:rPr>
          <w:rFonts w:ascii="Book Antiqua" w:hAnsi="Book Antiqua"/>
        </w:rPr>
        <w:t xml:space="preserve"> ed., England, Pearson Education Ltd.</w:t>
      </w:r>
    </w:p>
    <w:p w14:paraId="1CE9DA3A" w14:textId="77777777" w:rsidR="001A7DBF" w:rsidRPr="00627EE8" w:rsidRDefault="001A7DBF" w:rsidP="00AB79DE">
      <w:pPr>
        <w:spacing w:after="0"/>
        <w:ind w:left="810" w:hanging="810"/>
        <w:jc w:val="both"/>
        <w:rPr>
          <w:rFonts w:ascii="Book Antiqua" w:hAnsi="Book Antiqua"/>
        </w:rPr>
      </w:pPr>
    </w:p>
    <w:p w14:paraId="5265B604"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McDaniel C., Lamb C. W. Jr., and Hair J. F. (2006): Introduction to Marketing, 8</w:t>
      </w:r>
      <w:r w:rsidRPr="00AB79DE">
        <w:rPr>
          <w:rFonts w:ascii="Book Antiqua" w:hAnsi="Book Antiqua"/>
          <w:vertAlign w:val="superscript"/>
        </w:rPr>
        <w:t>th</w:t>
      </w:r>
      <w:r w:rsidRPr="00AB79DE">
        <w:rPr>
          <w:rFonts w:ascii="Book Antiqua" w:hAnsi="Book Antiqua"/>
        </w:rPr>
        <w:t xml:space="preserve"> ed., USA, Thomson South-Western.</w:t>
      </w:r>
    </w:p>
    <w:p w14:paraId="23049437" w14:textId="77777777" w:rsidR="001A7DBF" w:rsidRPr="00627EE8" w:rsidRDefault="001A7DBF" w:rsidP="00AB79DE">
      <w:pPr>
        <w:spacing w:after="0"/>
        <w:ind w:left="810" w:hanging="810"/>
        <w:jc w:val="both"/>
        <w:rPr>
          <w:rFonts w:ascii="Book Antiqua" w:hAnsi="Book Antiqua"/>
        </w:rPr>
      </w:pPr>
    </w:p>
    <w:p w14:paraId="01B6D6E1" w14:textId="77777777" w:rsidR="001A7DBF" w:rsidRPr="00AB79DE" w:rsidRDefault="001A7DBF" w:rsidP="00AB79DE">
      <w:pPr>
        <w:spacing w:after="0"/>
        <w:ind w:left="810" w:hanging="810"/>
        <w:jc w:val="both"/>
        <w:rPr>
          <w:rFonts w:ascii="Book Antiqua" w:hAnsi="Book Antiqua"/>
        </w:rPr>
      </w:pPr>
      <w:r w:rsidRPr="00AB79DE">
        <w:rPr>
          <w:rFonts w:ascii="Book Antiqua" w:hAnsi="Book Antiqua"/>
        </w:rPr>
        <w:t>Zajonc R. B., ‘’ Feeling and Thinking: Preferences Lead to Inferences’’, American Psychologist, 35 (1980), 151-175.</w:t>
      </w:r>
    </w:p>
    <w:p w14:paraId="5E5E217F" w14:textId="77777777" w:rsidR="001A7DBF" w:rsidRPr="00627EE8" w:rsidRDefault="001A7DBF" w:rsidP="00627EE8">
      <w:pPr>
        <w:spacing w:after="0"/>
        <w:rPr>
          <w:rFonts w:ascii="Book Antiqua" w:hAnsi="Book Antiqua"/>
          <w:b/>
        </w:rPr>
      </w:pPr>
    </w:p>
    <w:p w14:paraId="5C37E1F9" w14:textId="77777777" w:rsidR="00E32DE1" w:rsidRPr="00627EE8" w:rsidRDefault="00E32DE1" w:rsidP="00627EE8">
      <w:pPr>
        <w:autoSpaceDE w:val="0"/>
        <w:autoSpaceDN w:val="0"/>
        <w:adjustRightInd w:val="0"/>
        <w:rPr>
          <w:rFonts w:ascii="Book Antiqua" w:hAnsi="Book Antiqua"/>
        </w:rPr>
      </w:pPr>
    </w:p>
    <w:p w14:paraId="66E50052" w14:textId="77777777" w:rsidR="00E32DE1" w:rsidRPr="00627EE8" w:rsidRDefault="00E32DE1" w:rsidP="00627EE8">
      <w:pPr>
        <w:autoSpaceDE w:val="0"/>
        <w:autoSpaceDN w:val="0"/>
        <w:adjustRightInd w:val="0"/>
        <w:rPr>
          <w:rFonts w:ascii="Book Antiqua" w:hAnsi="Book Antiqua"/>
        </w:rPr>
      </w:pPr>
    </w:p>
    <w:p w14:paraId="7A4A3515" w14:textId="77777777" w:rsidR="00E32DE1" w:rsidRPr="00627EE8" w:rsidRDefault="00E32DE1" w:rsidP="00627EE8">
      <w:pPr>
        <w:autoSpaceDE w:val="0"/>
        <w:autoSpaceDN w:val="0"/>
        <w:adjustRightInd w:val="0"/>
        <w:rPr>
          <w:rFonts w:ascii="Book Antiqua" w:hAnsi="Book Antiqua"/>
        </w:rPr>
      </w:pPr>
    </w:p>
    <w:p w14:paraId="0BE36B08" w14:textId="77777777" w:rsidR="00E32DE1" w:rsidRPr="00627EE8" w:rsidRDefault="00E32DE1" w:rsidP="00627EE8">
      <w:pPr>
        <w:autoSpaceDE w:val="0"/>
        <w:autoSpaceDN w:val="0"/>
        <w:adjustRightInd w:val="0"/>
        <w:rPr>
          <w:rFonts w:ascii="Book Antiqua" w:hAnsi="Book Antiqua"/>
        </w:rPr>
      </w:pPr>
    </w:p>
    <w:p w14:paraId="2E8DC3E3" w14:textId="77777777" w:rsidR="00E32DE1" w:rsidRPr="00627EE8" w:rsidRDefault="00E32DE1" w:rsidP="00627EE8">
      <w:pPr>
        <w:autoSpaceDE w:val="0"/>
        <w:autoSpaceDN w:val="0"/>
        <w:adjustRightInd w:val="0"/>
        <w:rPr>
          <w:rFonts w:ascii="Book Antiqua" w:hAnsi="Book Antiqua"/>
        </w:rPr>
      </w:pPr>
    </w:p>
    <w:p w14:paraId="0FA094DD" w14:textId="77777777" w:rsidR="00E32DE1" w:rsidRPr="00627EE8" w:rsidRDefault="00E32DE1" w:rsidP="00627EE8">
      <w:pPr>
        <w:autoSpaceDE w:val="0"/>
        <w:autoSpaceDN w:val="0"/>
        <w:adjustRightInd w:val="0"/>
        <w:rPr>
          <w:rFonts w:ascii="Book Antiqua" w:hAnsi="Book Antiqua"/>
        </w:rPr>
      </w:pPr>
    </w:p>
    <w:p w14:paraId="1E7B9B02" w14:textId="77777777" w:rsidR="00E32DE1" w:rsidRPr="00627EE8" w:rsidRDefault="00E32DE1" w:rsidP="00627EE8">
      <w:pPr>
        <w:autoSpaceDE w:val="0"/>
        <w:autoSpaceDN w:val="0"/>
        <w:adjustRightInd w:val="0"/>
        <w:rPr>
          <w:rFonts w:ascii="Book Antiqua" w:hAnsi="Book Antiqua"/>
        </w:rPr>
      </w:pPr>
    </w:p>
    <w:p w14:paraId="06F66276" w14:textId="77777777" w:rsidR="00E32DE1" w:rsidRPr="00627EE8" w:rsidRDefault="00E32DE1" w:rsidP="00627EE8">
      <w:pPr>
        <w:autoSpaceDE w:val="0"/>
        <w:autoSpaceDN w:val="0"/>
        <w:adjustRightInd w:val="0"/>
        <w:rPr>
          <w:rFonts w:ascii="Book Antiqua" w:hAnsi="Book Antiqua"/>
        </w:rPr>
      </w:pPr>
    </w:p>
    <w:p w14:paraId="352C0E54" w14:textId="77777777" w:rsidR="00E32DE1" w:rsidRPr="00627EE8" w:rsidRDefault="00E32DE1" w:rsidP="00627EE8">
      <w:pPr>
        <w:autoSpaceDE w:val="0"/>
        <w:autoSpaceDN w:val="0"/>
        <w:adjustRightInd w:val="0"/>
        <w:rPr>
          <w:rFonts w:ascii="Book Antiqua" w:hAnsi="Book Antiqua"/>
        </w:rPr>
      </w:pPr>
    </w:p>
    <w:p w14:paraId="762E6E99" w14:textId="77777777" w:rsidR="00A8170A" w:rsidRPr="00627EE8" w:rsidRDefault="00A8170A" w:rsidP="00627EE8">
      <w:pPr>
        <w:framePr w:hSpace="180" w:wrap="around" w:hAnchor="page" w:x="1156" w:y="1"/>
        <w:autoSpaceDE w:val="0"/>
        <w:autoSpaceDN w:val="0"/>
        <w:adjustRightInd w:val="0"/>
        <w:rPr>
          <w:rFonts w:ascii="Book Antiqua" w:hAnsi="Book Antiqua"/>
          <w:b/>
          <w:bCs/>
          <w:color w:val="000000"/>
        </w:rPr>
      </w:pPr>
    </w:p>
    <w:p w14:paraId="6E55EBB9" w14:textId="77777777" w:rsidR="00DB3A2E" w:rsidRDefault="00DB3A2E" w:rsidP="00241465">
      <w:pPr>
        <w:rPr>
          <w:rFonts w:ascii="Book Antiqua" w:hAnsi="Book Antiqua"/>
          <w:b/>
          <w:sz w:val="26"/>
          <w:szCs w:val="26"/>
        </w:rPr>
        <w:sectPr w:rsidR="00DB3A2E" w:rsidSect="008F6BC9">
          <w:footerReference w:type="default" r:id="rId55"/>
          <w:type w:val="continuous"/>
          <w:pgSz w:w="11907" w:h="16839" w:code="9"/>
          <w:pgMar w:top="1440" w:right="1440" w:bottom="1440" w:left="1440" w:header="720" w:footer="720" w:gutter="0"/>
          <w:cols w:num="2" w:space="720"/>
          <w:docGrid w:linePitch="360"/>
        </w:sectPr>
      </w:pPr>
    </w:p>
    <w:p w14:paraId="71411A0E" w14:textId="77777777" w:rsidR="001F1426" w:rsidRDefault="001F1426" w:rsidP="005C5162">
      <w:pPr>
        <w:spacing w:after="0"/>
        <w:rPr>
          <w:rFonts w:ascii="Book Antiqua" w:hAnsi="Book Antiqua"/>
          <w:b/>
          <w:sz w:val="26"/>
          <w:szCs w:val="26"/>
        </w:rPr>
      </w:pPr>
    </w:p>
    <w:p w14:paraId="6991830B" w14:textId="77777777" w:rsidR="00820B2E" w:rsidRDefault="00820B2E" w:rsidP="00896017">
      <w:pPr>
        <w:spacing w:after="0"/>
        <w:jc w:val="center"/>
        <w:rPr>
          <w:rFonts w:ascii="Book Antiqua" w:hAnsi="Book Antiqua"/>
          <w:b/>
          <w:sz w:val="26"/>
          <w:szCs w:val="26"/>
        </w:rPr>
      </w:pPr>
      <w:r w:rsidRPr="007C2580">
        <w:rPr>
          <w:rFonts w:ascii="Book Antiqua" w:hAnsi="Book Antiqua"/>
          <w:b/>
          <w:sz w:val="26"/>
          <w:szCs w:val="26"/>
        </w:rPr>
        <w:t>Adoption of Virtual Laboratories as a Tool for Enhancing Teaching and Learning of Technical Courses: Case Study of Power System</w:t>
      </w:r>
    </w:p>
    <w:p w14:paraId="0E5D35DC" w14:textId="77777777" w:rsidR="007C2580" w:rsidRPr="00AB79DE" w:rsidRDefault="007C2580" w:rsidP="0046039D">
      <w:pPr>
        <w:spacing w:after="0"/>
        <w:jc w:val="center"/>
        <w:rPr>
          <w:rFonts w:ascii="Book Antiqua" w:hAnsi="Book Antiqua"/>
          <w:b/>
          <w:sz w:val="30"/>
          <w:szCs w:val="26"/>
        </w:rPr>
      </w:pPr>
    </w:p>
    <w:p w14:paraId="28E7EBE0" w14:textId="77777777" w:rsidR="00820B2E" w:rsidRPr="00AB79DE" w:rsidRDefault="00820B2E" w:rsidP="0046039D">
      <w:pPr>
        <w:spacing w:after="0"/>
        <w:jc w:val="center"/>
        <w:rPr>
          <w:rFonts w:ascii="Book Antiqua" w:hAnsi="Book Antiqua"/>
          <w:b/>
          <w:sz w:val="26"/>
        </w:rPr>
      </w:pPr>
      <w:r w:rsidRPr="00AB79DE">
        <w:rPr>
          <w:rFonts w:ascii="Book Antiqua" w:hAnsi="Book Antiqua"/>
          <w:b/>
          <w:sz w:val="26"/>
        </w:rPr>
        <w:t>Amevi A</w:t>
      </w:r>
      <w:r w:rsidR="002B0221" w:rsidRPr="00AB79DE">
        <w:rPr>
          <w:rFonts w:ascii="Book Antiqua" w:hAnsi="Book Antiqua"/>
          <w:b/>
          <w:sz w:val="26"/>
        </w:rPr>
        <w:t>.</w:t>
      </w:r>
      <w:r w:rsidRPr="00AB79DE">
        <w:rPr>
          <w:rFonts w:ascii="Book Antiqua" w:hAnsi="Book Antiqua"/>
          <w:b/>
          <w:sz w:val="26"/>
          <w:vertAlign w:val="superscript"/>
        </w:rPr>
        <w:t>1</w:t>
      </w:r>
      <w:r w:rsidRPr="00AB79DE">
        <w:rPr>
          <w:rFonts w:ascii="Book Antiqua" w:hAnsi="Book Antiqua"/>
          <w:b/>
          <w:sz w:val="26"/>
        </w:rPr>
        <w:t>, Olufemi O. F</w:t>
      </w:r>
      <w:r w:rsidR="002B0221" w:rsidRPr="00AB79DE">
        <w:rPr>
          <w:rFonts w:ascii="Book Antiqua" w:hAnsi="Book Antiqua"/>
          <w:b/>
          <w:sz w:val="26"/>
        </w:rPr>
        <w:t>.</w:t>
      </w:r>
      <w:r w:rsidRPr="00AB79DE">
        <w:rPr>
          <w:rFonts w:ascii="Book Antiqua" w:hAnsi="Book Antiqua"/>
          <w:b/>
          <w:sz w:val="26"/>
          <w:vertAlign w:val="superscript"/>
        </w:rPr>
        <w:t>2</w:t>
      </w:r>
      <w:r w:rsidR="002B0221" w:rsidRPr="00AB79DE">
        <w:rPr>
          <w:rFonts w:ascii="Book Antiqua" w:hAnsi="Book Antiqua"/>
          <w:b/>
          <w:sz w:val="26"/>
        </w:rPr>
        <w:t xml:space="preserve">, </w:t>
      </w:r>
      <w:r w:rsidRPr="00AB79DE">
        <w:rPr>
          <w:rFonts w:ascii="Book Antiqua" w:hAnsi="Book Antiqua"/>
          <w:b/>
          <w:sz w:val="26"/>
        </w:rPr>
        <w:t>Hatsu</w:t>
      </w:r>
      <w:r w:rsidR="002B0221" w:rsidRPr="00AB79DE">
        <w:rPr>
          <w:rFonts w:ascii="Book Antiqua" w:hAnsi="Book Antiqua"/>
          <w:b/>
          <w:sz w:val="26"/>
        </w:rPr>
        <w:t xml:space="preserve"> S.</w:t>
      </w:r>
      <w:r w:rsidRPr="00AB79DE">
        <w:rPr>
          <w:rFonts w:ascii="Book Antiqua" w:hAnsi="Book Antiqua"/>
          <w:b/>
          <w:sz w:val="26"/>
          <w:vertAlign w:val="superscript"/>
        </w:rPr>
        <w:t>3</w:t>
      </w:r>
      <w:r w:rsidRPr="00AB79DE">
        <w:rPr>
          <w:rFonts w:ascii="Book Antiqua" w:hAnsi="Book Antiqua"/>
          <w:b/>
          <w:sz w:val="26"/>
        </w:rPr>
        <w:t xml:space="preserve"> &amp; Osei K.</w:t>
      </w:r>
      <w:r w:rsidR="00216718" w:rsidRPr="00AB79DE">
        <w:rPr>
          <w:rFonts w:ascii="Book Antiqua" w:hAnsi="Book Antiqua"/>
          <w:b/>
          <w:sz w:val="26"/>
        </w:rPr>
        <w:t xml:space="preserve"> </w:t>
      </w:r>
      <w:r w:rsidRPr="00AB79DE">
        <w:rPr>
          <w:rFonts w:ascii="Book Antiqua" w:hAnsi="Book Antiqua"/>
          <w:b/>
          <w:sz w:val="26"/>
        </w:rPr>
        <w:t>D</w:t>
      </w:r>
      <w:r w:rsidRPr="00AB79DE">
        <w:rPr>
          <w:rFonts w:ascii="Book Antiqua" w:hAnsi="Book Antiqua"/>
          <w:b/>
          <w:sz w:val="26"/>
          <w:vertAlign w:val="superscript"/>
        </w:rPr>
        <w:t>4</w:t>
      </w:r>
    </w:p>
    <w:p w14:paraId="6450B7A1" w14:textId="77777777" w:rsidR="00820B2E" w:rsidRPr="007C2580" w:rsidRDefault="007C2580" w:rsidP="007C2580">
      <w:pPr>
        <w:jc w:val="center"/>
        <w:rPr>
          <w:rFonts w:ascii="Book Antiqua" w:hAnsi="Book Antiqua"/>
        </w:rPr>
      </w:pPr>
      <w:r>
        <w:rPr>
          <w:rFonts w:ascii="Book Antiqua" w:hAnsi="Book Antiqua"/>
          <w:vertAlign w:val="superscript"/>
        </w:rPr>
        <w:t>1,2&amp;3</w:t>
      </w:r>
      <w:r w:rsidR="00820B2E" w:rsidRPr="007C2580">
        <w:rPr>
          <w:rFonts w:ascii="Book Antiqua" w:hAnsi="Book Antiqua"/>
        </w:rPr>
        <w:t>Accra Poly</w:t>
      </w:r>
      <w:r w:rsidRPr="007C2580">
        <w:rPr>
          <w:rFonts w:ascii="Book Antiqua" w:hAnsi="Book Antiqua"/>
        </w:rPr>
        <w:t>technic, Ghana</w:t>
      </w:r>
    </w:p>
    <w:p w14:paraId="07A191BB" w14:textId="77777777" w:rsidR="007C2580" w:rsidRPr="007C2580" w:rsidRDefault="007C2580" w:rsidP="007C2580">
      <w:pPr>
        <w:jc w:val="center"/>
        <w:rPr>
          <w:rFonts w:ascii="Book Antiqua" w:hAnsi="Book Antiqua"/>
        </w:rPr>
      </w:pPr>
      <w:r w:rsidRPr="007C2580">
        <w:rPr>
          <w:rFonts w:ascii="Book Antiqua" w:hAnsi="Book Antiqua"/>
          <w:vertAlign w:val="superscript"/>
        </w:rPr>
        <w:t>4</w:t>
      </w:r>
      <w:r w:rsidRPr="007C2580">
        <w:rPr>
          <w:rFonts w:ascii="Book Antiqua" w:hAnsi="Book Antiqua"/>
        </w:rPr>
        <w:t>Ghana Technology University College, Ghana</w:t>
      </w:r>
    </w:p>
    <w:p w14:paraId="5C60582C" w14:textId="77777777" w:rsidR="00820B2E" w:rsidRPr="007C2580" w:rsidRDefault="007C2580" w:rsidP="007C2580">
      <w:pPr>
        <w:jc w:val="center"/>
        <w:rPr>
          <w:rFonts w:ascii="Book Antiqua" w:hAnsi="Book Antiqua"/>
          <w:vertAlign w:val="superscript"/>
        </w:rPr>
      </w:pPr>
      <w:r w:rsidRPr="007C2580">
        <w:rPr>
          <w:rFonts w:ascii="Book Antiqua" w:hAnsi="Book Antiqua"/>
          <w:b/>
        </w:rPr>
        <w:t>E-mail</w:t>
      </w:r>
      <w:r w:rsidR="00820B2E" w:rsidRPr="007C2580">
        <w:rPr>
          <w:rFonts w:ascii="Book Antiqua" w:hAnsi="Book Antiqua"/>
          <w:b/>
        </w:rPr>
        <w:t>:</w:t>
      </w:r>
      <w:r w:rsidR="00820B2E" w:rsidRPr="007C2580">
        <w:rPr>
          <w:rFonts w:ascii="Book Antiqua" w:hAnsi="Book Antiqua"/>
        </w:rPr>
        <w:t xml:space="preserve"> </w:t>
      </w:r>
      <w:r w:rsidRPr="007C2580">
        <w:rPr>
          <w:rFonts w:ascii="Book Antiqua" w:hAnsi="Book Antiqua"/>
        </w:rPr>
        <w:t>acakpovia@gmail.com</w:t>
      </w:r>
      <w:r>
        <w:rPr>
          <w:rFonts w:ascii="Book Antiqua" w:hAnsi="Book Antiqua"/>
          <w:vertAlign w:val="superscript"/>
        </w:rPr>
        <w:t>1</w:t>
      </w:r>
      <w:r>
        <w:rPr>
          <w:rFonts w:ascii="Book Antiqua" w:hAnsi="Book Antiqua"/>
        </w:rPr>
        <w:t>,</w:t>
      </w:r>
      <w:r w:rsidRPr="007C2580">
        <w:rPr>
          <w:rFonts w:ascii="Book Antiqua" w:hAnsi="Book Antiqua"/>
        </w:rPr>
        <w:t xml:space="preserve"> </w:t>
      </w:r>
      <w:hyperlink r:id="rId56" w:history="1">
        <w:r w:rsidR="00820B2E" w:rsidRPr="007C2580">
          <w:rPr>
            <w:rStyle w:val="Hyperlink"/>
            <w:rFonts w:ascii="Book Antiqua" w:hAnsi="Book Antiqua"/>
            <w:color w:val="auto"/>
            <w:u w:val="none"/>
          </w:rPr>
          <w:t>femodfat@yahoo.com</w:t>
        </w:r>
      </w:hyperlink>
      <w:r>
        <w:rPr>
          <w:rFonts w:ascii="Book Antiqua" w:hAnsi="Book Antiqua"/>
          <w:vertAlign w:val="superscript"/>
        </w:rPr>
        <w:t>2</w:t>
      </w:r>
      <w:r w:rsidR="00DB3A2E">
        <w:rPr>
          <w:rFonts w:ascii="Book Antiqua" w:hAnsi="Book Antiqua"/>
        </w:rPr>
        <w:t xml:space="preserve">, </w:t>
      </w:r>
      <w:hyperlink r:id="rId57" w:history="1">
        <w:r w:rsidR="00DB3A2E" w:rsidRPr="002D386A">
          <w:rPr>
            <w:rStyle w:val="Hyperlink"/>
            <w:rFonts w:ascii="Book Antiqua" w:hAnsi="Book Antiqua"/>
          </w:rPr>
          <w:t>slyhatsu@gmail.com</w:t>
        </w:r>
        <w:r w:rsidR="00DB3A2E" w:rsidRPr="002D386A">
          <w:rPr>
            <w:rStyle w:val="Hyperlink"/>
            <w:rFonts w:ascii="Book Antiqua" w:hAnsi="Book Antiqua"/>
            <w:vertAlign w:val="superscript"/>
          </w:rPr>
          <w:t>3</w:t>
        </w:r>
      </w:hyperlink>
      <w:r w:rsidR="00DB3A2E">
        <w:rPr>
          <w:rFonts w:ascii="Book Antiqua" w:hAnsi="Book Antiqua"/>
        </w:rPr>
        <w:t xml:space="preserve"> &amp;</w:t>
      </w:r>
      <w:r w:rsidRPr="007C2580">
        <w:rPr>
          <w:rFonts w:ascii="Book Antiqua" w:hAnsi="Book Antiqua"/>
        </w:rPr>
        <w:t xml:space="preserve"> </w:t>
      </w:r>
      <w:hyperlink r:id="rId58" w:history="1">
        <w:r w:rsidRPr="007C2580">
          <w:rPr>
            <w:rStyle w:val="Hyperlink"/>
            <w:rFonts w:ascii="Book Antiqua" w:hAnsi="Book Antiqua"/>
            <w:color w:val="auto"/>
            <w:u w:val="none"/>
          </w:rPr>
          <w:t>odarkwa@gtuc.edu.gh</w:t>
        </w:r>
      </w:hyperlink>
      <w:r>
        <w:rPr>
          <w:rFonts w:ascii="Book Antiqua" w:hAnsi="Book Antiqua"/>
          <w:vertAlign w:val="superscript"/>
        </w:rPr>
        <w:t>4</w:t>
      </w:r>
    </w:p>
    <w:p w14:paraId="77237463" w14:textId="77777777" w:rsidR="00DB3A2E" w:rsidRDefault="00DB3A2E" w:rsidP="0046039D">
      <w:pPr>
        <w:rPr>
          <w:rFonts w:ascii="Book Antiqua" w:hAnsi="Book Antiqua"/>
        </w:rPr>
        <w:sectPr w:rsidR="00DB3A2E" w:rsidSect="008F6BC9">
          <w:type w:val="continuous"/>
          <w:pgSz w:w="11907" w:h="16839" w:code="9"/>
          <w:pgMar w:top="1440" w:right="1440" w:bottom="1440" w:left="1440" w:header="720" w:footer="720" w:gutter="0"/>
          <w:cols w:space="720"/>
          <w:docGrid w:linePitch="360"/>
        </w:sectPr>
      </w:pPr>
    </w:p>
    <w:p w14:paraId="2634E317" w14:textId="77777777" w:rsidR="00820B2E" w:rsidRPr="007C2580" w:rsidRDefault="00820B2E" w:rsidP="0046039D">
      <w:pPr>
        <w:rPr>
          <w:rFonts w:ascii="Book Antiqua" w:hAnsi="Book Antiqua"/>
        </w:rPr>
      </w:pPr>
    </w:p>
    <w:p w14:paraId="55F8BD33" w14:textId="77777777" w:rsidR="00820B2E" w:rsidRPr="00AB79DE" w:rsidRDefault="00820B2E" w:rsidP="00AB79DE">
      <w:pPr>
        <w:rPr>
          <w:rFonts w:ascii="Book Antiqua" w:hAnsi="Book Antiqua"/>
          <w:b/>
        </w:rPr>
        <w:sectPr w:rsidR="00820B2E" w:rsidRPr="00AB79DE" w:rsidSect="008F6BC9">
          <w:type w:val="continuous"/>
          <w:pgSz w:w="11907" w:h="16839" w:code="9"/>
          <w:pgMar w:top="1440" w:right="1440" w:bottom="1440" w:left="1440" w:header="720" w:footer="720" w:gutter="0"/>
          <w:cols w:num="2" w:space="720"/>
          <w:docGrid w:linePitch="360"/>
        </w:sectPr>
      </w:pPr>
    </w:p>
    <w:p w14:paraId="427F312F" w14:textId="77777777" w:rsidR="00820B2E" w:rsidRPr="00E3232D" w:rsidRDefault="00820B2E" w:rsidP="00896017">
      <w:pPr>
        <w:pStyle w:val="ListParagraph"/>
        <w:ind w:left="0"/>
        <w:jc w:val="both"/>
        <w:rPr>
          <w:rFonts w:ascii="Book Antiqua" w:hAnsi="Book Antiqua"/>
          <w:b/>
        </w:rPr>
      </w:pPr>
      <w:r w:rsidRPr="00AB79DE">
        <w:rPr>
          <w:rFonts w:ascii="Book Antiqua" w:hAnsi="Book Antiqua"/>
          <w:b/>
          <w:sz w:val="26"/>
        </w:rPr>
        <w:t>Abstract</w:t>
      </w:r>
    </w:p>
    <w:p w14:paraId="248EA1E1" w14:textId="77777777" w:rsidR="00820B2E" w:rsidRPr="00896017" w:rsidRDefault="00820B2E" w:rsidP="00896017">
      <w:pPr>
        <w:jc w:val="both"/>
        <w:rPr>
          <w:rFonts w:ascii="Book Antiqua" w:hAnsi="Book Antiqua"/>
        </w:rPr>
      </w:pPr>
      <w:r w:rsidRPr="00E3232D">
        <w:rPr>
          <w:rFonts w:ascii="Book Antiqua" w:hAnsi="Book Antiqua"/>
        </w:rPr>
        <w:t>Education in engineering especially Power System requires much hands-on practical experiments. As the number of tertiary institutions gradually increases across the world, the setting of up-to-date laboratory facilities to enhance practical training has become a major challenge due to the unaffordable cost of equipment. As a result, many institutions have resorted to theoretical teaching of courses which rather should have been taught with practical as expected by industry which employs students. One fundamental approach widely adopted to overcome this problem is the Virtual Laboratories. It consists of integrating ICT in handling practical courses, mainly through simulations. This helps avoid the need to buy very expensive equipment in order to install a laboratory and which at the same time provides quality education to students. This paper, therefore, seeks to develop one basic virtual laboratory in Power System on the topic-“Three phase Asynchronous Motor Speed Control Using PWM”- using MATLAB/SimPowerSystems toolbox. The methodology dealt with the building and simulation of the system. The collection of data involves the use of instruments like oscilloscope, multi-meters etc. Performance Harmonic Analysis of data was done through a FFT tool. Findings from simulation using virtual laboratory related closely to that of the physical laboratory. It was found to be cheaper and more flexible.</w:t>
      </w:r>
    </w:p>
    <w:p w14:paraId="0EE50B5C" w14:textId="77777777" w:rsidR="00585258" w:rsidRDefault="00820B2E" w:rsidP="00585258">
      <w:pPr>
        <w:ind w:left="1350" w:hanging="1350"/>
        <w:rPr>
          <w:rFonts w:ascii="Book Antiqua" w:hAnsi="Book Antiqua"/>
        </w:rPr>
      </w:pPr>
      <w:r w:rsidRPr="00E3232D">
        <w:rPr>
          <w:rFonts w:ascii="Book Antiqua" w:hAnsi="Book Antiqua"/>
          <w:b/>
        </w:rPr>
        <w:t>Keywords</w:t>
      </w:r>
      <w:r w:rsidR="007C2580">
        <w:rPr>
          <w:rFonts w:ascii="Book Antiqua" w:hAnsi="Book Antiqua"/>
          <w:b/>
        </w:rPr>
        <w:t xml:space="preserve">: </w:t>
      </w:r>
      <w:r w:rsidR="007C2580">
        <w:rPr>
          <w:rFonts w:ascii="Book Antiqua" w:hAnsi="Book Antiqua"/>
        </w:rPr>
        <w:t>Virtual Laboratory; Simulation;</w:t>
      </w:r>
      <w:r w:rsidR="007C2580" w:rsidRPr="00E3232D">
        <w:rPr>
          <w:rFonts w:ascii="Book Antiqua" w:hAnsi="Book Antiqua"/>
        </w:rPr>
        <w:t xml:space="preserve"> Power System</w:t>
      </w:r>
      <w:r w:rsidR="007C2580">
        <w:rPr>
          <w:rFonts w:ascii="Book Antiqua" w:hAnsi="Book Antiqua"/>
        </w:rPr>
        <w:t>; PWM; Motor;</w:t>
      </w:r>
      <w:r w:rsidRPr="00E3232D">
        <w:rPr>
          <w:rFonts w:ascii="Book Antiqua" w:hAnsi="Book Antiqua"/>
        </w:rPr>
        <w:t xml:space="preserve"> Matlab</w:t>
      </w:r>
    </w:p>
    <w:p w14:paraId="03F17B01" w14:textId="77777777" w:rsidR="00820B2E" w:rsidRPr="00E3232D" w:rsidRDefault="00820B2E" w:rsidP="00FE26BE">
      <w:pPr>
        <w:spacing w:after="0"/>
        <w:ind w:left="1350" w:hanging="1350"/>
        <w:rPr>
          <w:rFonts w:ascii="Book Antiqua" w:hAnsi="Book Antiqua"/>
          <w:b/>
        </w:rPr>
        <w:sectPr w:rsidR="00820B2E" w:rsidRPr="00E3232D" w:rsidSect="008F6BC9">
          <w:type w:val="continuous"/>
          <w:pgSz w:w="11907" w:h="16839" w:code="9"/>
          <w:pgMar w:top="1440" w:right="1440" w:bottom="1440" w:left="1440" w:header="720" w:footer="720" w:gutter="0"/>
          <w:cols w:space="720"/>
          <w:docGrid w:linePitch="360"/>
        </w:sectPr>
      </w:pPr>
      <w:r w:rsidRPr="00E3232D">
        <w:rPr>
          <w:rFonts w:ascii="Book Antiqua" w:hAnsi="Book Antiqua"/>
        </w:rPr>
        <w:t>SimPowerSystem</w:t>
      </w:r>
    </w:p>
    <w:p w14:paraId="620879C7" w14:textId="77777777" w:rsidR="00DB3A2E" w:rsidRDefault="00DB3A2E" w:rsidP="00FE26BE">
      <w:pPr>
        <w:spacing w:after="0"/>
        <w:rPr>
          <w:rFonts w:ascii="Book Antiqua" w:hAnsi="Book Antiqua"/>
        </w:rPr>
        <w:sectPr w:rsidR="00DB3A2E" w:rsidSect="008F6BC9">
          <w:type w:val="continuous"/>
          <w:pgSz w:w="11907" w:h="16839" w:code="9"/>
          <w:pgMar w:top="1440" w:right="1440" w:bottom="1440" w:left="1440" w:header="720" w:footer="720" w:gutter="0"/>
          <w:cols w:num="2" w:space="720"/>
          <w:docGrid w:linePitch="360"/>
        </w:sectPr>
      </w:pPr>
    </w:p>
    <w:p w14:paraId="7A34ABC5" w14:textId="77777777" w:rsidR="00F54904" w:rsidRPr="00AB79DE" w:rsidRDefault="00F54904" w:rsidP="00196385">
      <w:pPr>
        <w:pStyle w:val="ListParagraph"/>
        <w:numPr>
          <w:ilvl w:val="0"/>
          <w:numId w:val="172"/>
        </w:numPr>
        <w:spacing w:after="0"/>
        <w:ind w:hanging="630"/>
        <w:jc w:val="both"/>
        <w:rPr>
          <w:rFonts w:ascii="Book Antiqua" w:hAnsi="Book Antiqua"/>
          <w:b/>
          <w:sz w:val="26"/>
        </w:rPr>
      </w:pPr>
      <w:r w:rsidRPr="00AB79DE">
        <w:rPr>
          <w:rFonts w:ascii="Book Antiqua" w:hAnsi="Book Antiqua"/>
          <w:b/>
          <w:sz w:val="26"/>
        </w:rPr>
        <w:t>Introduction</w:t>
      </w:r>
    </w:p>
    <w:p w14:paraId="51AE94A9" w14:textId="77777777" w:rsidR="00DB3A2E" w:rsidRDefault="00F54904" w:rsidP="00896017">
      <w:pPr>
        <w:spacing w:after="0"/>
        <w:jc w:val="both"/>
        <w:rPr>
          <w:rFonts w:ascii="Book Antiqua" w:hAnsi="Book Antiqua"/>
        </w:rPr>
      </w:pPr>
      <w:r w:rsidRPr="00E3232D">
        <w:rPr>
          <w:rFonts w:ascii="Book Antiqua" w:hAnsi="Book Antiqua"/>
        </w:rPr>
        <w:t xml:space="preserve">Industries, in general, fetch their technicians from recognized training centers. In Ghana, for instance, Polytechnics produce Higher National </w:t>
      </w:r>
      <w:r w:rsidRPr="00E3232D">
        <w:rPr>
          <w:rFonts w:ascii="Book Antiqua" w:hAnsi="Book Antiqua"/>
        </w:rPr>
        <w:t>Diploma graduates who serve most of the recognized industries in the co</w:t>
      </w:r>
      <w:r w:rsidR="00DB3A2E">
        <w:rPr>
          <w:rFonts w:ascii="Book Antiqua" w:hAnsi="Book Antiqua"/>
        </w:rPr>
        <w:t>untry. Unfortunately,</w:t>
      </w:r>
      <w:r w:rsidR="00DB3A2E" w:rsidRPr="00E3232D">
        <w:rPr>
          <w:rFonts w:ascii="Book Antiqua" w:hAnsi="Book Antiqua"/>
        </w:rPr>
        <w:t xml:space="preserve"> increasing</w:t>
      </w:r>
    </w:p>
    <w:p w14:paraId="3189E70B" w14:textId="77777777" w:rsidR="00F54904" w:rsidRPr="00E3232D" w:rsidRDefault="00F54904" w:rsidP="00896017">
      <w:pPr>
        <w:jc w:val="both"/>
        <w:rPr>
          <w:rFonts w:ascii="Book Antiqua" w:hAnsi="Book Antiqua"/>
        </w:rPr>
      </w:pPr>
      <w:r w:rsidRPr="00E3232D">
        <w:rPr>
          <w:rFonts w:ascii="Book Antiqua" w:hAnsi="Book Antiqua"/>
        </w:rPr>
        <w:t xml:space="preserve"> complaints related to practical skills have been coming from these companies of </w:t>
      </w:r>
      <w:r w:rsidRPr="00E3232D">
        <w:rPr>
          <w:rFonts w:ascii="Book Antiqua" w:hAnsi="Book Antiqua"/>
        </w:rPr>
        <w:lastRenderedPageBreak/>
        <w:t>recent. This situation was earlier presented by Afeti (2003) when he discussed the barriers to changes in polytechnics. Some industries have requested the Polytechnic to really address the gap in practical knowledge given to students in order to prepare them effectively for the world of work. Others have complained that most Polytechnic graduates have to undergo additional training in industry before meeting the minimum requirement for engagement.</w:t>
      </w:r>
    </w:p>
    <w:p w14:paraId="12716E0F" w14:textId="77777777" w:rsidR="00F54904" w:rsidRPr="00E3232D" w:rsidRDefault="00F54904" w:rsidP="00896017">
      <w:pPr>
        <w:spacing w:after="0"/>
        <w:jc w:val="both"/>
        <w:rPr>
          <w:rFonts w:ascii="Book Antiqua" w:hAnsi="Book Antiqua"/>
        </w:rPr>
      </w:pPr>
      <w:r w:rsidRPr="00E3232D">
        <w:rPr>
          <w:rFonts w:ascii="Book Antiqua" w:hAnsi="Book Antiqua"/>
        </w:rPr>
        <w:t xml:space="preserve">In fact, Education in some fields requires much hands-on practical experiments. In traditional academic settings, for example, students offering a lot of technical subjects such as physics and engineering subjects are required to do extensive experiments compared to their counterparts in the humanities (Chen et al., 2009; Gomes &amp; Garcia-Zubia, 2007). As ICTs kept developing more opportunities for education, virtual labs evolved as one of those technological mediums to afford technically oriented students the opportunity to conduct experiments, even from remote locations. This development has been in two approaches based on simulated laboratories and remote laboratories (Gomes &amp; Garcia-Zubia, 2007; Chen et al., 2009). </w:t>
      </w:r>
    </w:p>
    <w:p w14:paraId="2497FFDB" w14:textId="77777777" w:rsidR="00DB3A2E" w:rsidRDefault="00DB3A2E" w:rsidP="00896017">
      <w:pPr>
        <w:spacing w:after="0"/>
        <w:jc w:val="both"/>
        <w:rPr>
          <w:rFonts w:ascii="Book Antiqua" w:hAnsi="Book Antiqua"/>
        </w:rPr>
      </w:pPr>
    </w:p>
    <w:p w14:paraId="763F3631" w14:textId="77777777" w:rsidR="00F54904" w:rsidRPr="00E3232D" w:rsidRDefault="00F54904" w:rsidP="00896017">
      <w:pPr>
        <w:spacing w:after="0"/>
        <w:jc w:val="both"/>
        <w:rPr>
          <w:rFonts w:ascii="Book Antiqua" w:hAnsi="Book Antiqua"/>
        </w:rPr>
      </w:pPr>
      <w:r w:rsidRPr="00E3232D">
        <w:rPr>
          <w:rFonts w:ascii="Book Antiqua" w:hAnsi="Book Antiqua"/>
        </w:rPr>
        <w:t xml:space="preserve">Chen et al. (2009) postulate that “a simulated laboratory corresponds to one or more computer applications providing a graphical representation of both the instruments and objects under experimentation, and returning results according to a model description of the behavior and interaction of those elements”. They differentiate this from a </w:t>
      </w:r>
      <w:r w:rsidRPr="00E3232D">
        <w:rPr>
          <w:rFonts w:ascii="Book Antiqua" w:hAnsi="Book Antiqua"/>
        </w:rPr>
        <w:t xml:space="preserve">remote laboratory which “corresponds to the situation where the control and observation of the physical instruments and objects under experimentation is mediated through a computer, and adequate remote access to the computer is provided through a specific communication network” which in most cases is the internet (Gomes &amp; Garcia-Zubia, 2007; Chen et al., 2009). </w:t>
      </w:r>
    </w:p>
    <w:p w14:paraId="720EFA7F" w14:textId="77777777" w:rsidR="0007792C" w:rsidRDefault="0007792C" w:rsidP="00BC73F7">
      <w:pPr>
        <w:spacing w:after="0"/>
        <w:jc w:val="both"/>
        <w:rPr>
          <w:rFonts w:ascii="Book Antiqua" w:hAnsi="Book Antiqua"/>
        </w:rPr>
      </w:pPr>
    </w:p>
    <w:p w14:paraId="43ACCE5A" w14:textId="77777777" w:rsidR="00F54904" w:rsidRPr="00E3232D" w:rsidRDefault="00F54904" w:rsidP="00BC73F7">
      <w:pPr>
        <w:spacing w:after="0"/>
        <w:jc w:val="both"/>
        <w:rPr>
          <w:rFonts w:ascii="Book Antiqua" w:hAnsi="Book Antiqua"/>
        </w:rPr>
      </w:pPr>
      <w:r w:rsidRPr="00E3232D">
        <w:rPr>
          <w:rFonts w:ascii="Book Antiqua" w:hAnsi="Book Antiqua"/>
        </w:rPr>
        <w:t>Virtual labs are similar to simulated laboratories and therefore can enhance and improve teaching and learning of technical courses significantly. This paper investigates this fact by adopting a particular virtual lab on power system extracted from Matlab SymPowerSystem user’s guide (2012) and improved upon.</w:t>
      </w:r>
    </w:p>
    <w:p w14:paraId="5775220B" w14:textId="77777777" w:rsidR="00F54904" w:rsidRPr="00E3232D" w:rsidRDefault="00F54904" w:rsidP="00CA2555">
      <w:pPr>
        <w:spacing w:after="0"/>
        <w:jc w:val="both"/>
        <w:rPr>
          <w:rFonts w:ascii="Book Antiqua" w:hAnsi="Book Antiqua"/>
        </w:rPr>
      </w:pPr>
    </w:p>
    <w:p w14:paraId="43A7E78C" w14:textId="77777777" w:rsidR="00F54904" w:rsidRPr="00896017" w:rsidRDefault="00F54904" w:rsidP="00196385">
      <w:pPr>
        <w:pStyle w:val="ListParagraph"/>
        <w:numPr>
          <w:ilvl w:val="1"/>
          <w:numId w:val="38"/>
        </w:numPr>
        <w:ind w:hanging="540"/>
        <w:jc w:val="both"/>
        <w:rPr>
          <w:rFonts w:ascii="Book Antiqua" w:hAnsi="Book Antiqua"/>
          <w:b/>
          <w:sz w:val="26"/>
        </w:rPr>
      </w:pPr>
      <w:r w:rsidRPr="00CA2555">
        <w:rPr>
          <w:rFonts w:ascii="Book Antiqua" w:hAnsi="Book Antiqua"/>
          <w:b/>
        </w:rPr>
        <w:t>Problem</w:t>
      </w:r>
      <w:r w:rsidRPr="00896017">
        <w:rPr>
          <w:rFonts w:ascii="Book Antiqua" w:hAnsi="Book Antiqua"/>
          <w:b/>
          <w:sz w:val="26"/>
        </w:rPr>
        <w:t xml:space="preserve"> </w:t>
      </w:r>
    </w:p>
    <w:p w14:paraId="1B6AC0C0" w14:textId="77777777" w:rsidR="00F54904" w:rsidRDefault="00F54904" w:rsidP="00BC73F7">
      <w:pPr>
        <w:spacing w:after="0"/>
        <w:jc w:val="both"/>
        <w:rPr>
          <w:rFonts w:ascii="Book Antiqua" w:hAnsi="Book Antiqua"/>
        </w:rPr>
      </w:pPr>
      <w:r w:rsidRPr="00E3232D">
        <w:rPr>
          <w:rFonts w:ascii="Book Antiqua" w:hAnsi="Book Antiqua"/>
        </w:rPr>
        <w:t xml:space="preserve">The ever-increasing number of private and public universities, teaching technical courses in Ghana without necessarily meeting all the required laboratory facilities, has become a major challenge to the quality of education given to students. This has created a gap in the acquisition of necessary practical skills that meet industry requirements. It is not surprising to know universities and polytechnics offering both degree and Higher National Diploma Programmes in technical fields like Electrical Engineering, Mechanical Engineering, Telecommunications and others, without having any laboratory equipped with basic equipments for teaching and learning. To what quality of education, have the students attending those programmes been exposed to? This paper therefore explores virtual </w:t>
      </w:r>
      <w:r w:rsidRPr="00E3232D">
        <w:rPr>
          <w:rFonts w:ascii="Book Antiqua" w:hAnsi="Book Antiqua"/>
        </w:rPr>
        <w:lastRenderedPageBreak/>
        <w:t>laboratories as a key solution to improve upon quality of teaching and ensure effective learning for students offering technical courses.</w:t>
      </w:r>
    </w:p>
    <w:p w14:paraId="697145E3" w14:textId="77777777" w:rsidR="00CA2555" w:rsidRPr="00CA2555" w:rsidRDefault="00CA2555" w:rsidP="00CA2555">
      <w:pPr>
        <w:spacing w:after="0"/>
        <w:jc w:val="both"/>
        <w:rPr>
          <w:rFonts w:ascii="Book Antiqua" w:hAnsi="Book Antiqua"/>
        </w:rPr>
      </w:pPr>
    </w:p>
    <w:p w14:paraId="399301E3" w14:textId="77777777" w:rsidR="00F54904" w:rsidRPr="00896017" w:rsidRDefault="00F54904" w:rsidP="00196385">
      <w:pPr>
        <w:pStyle w:val="ListParagraph"/>
        <w:numPr>
          <w:ilvl w:val="1"/>
          <w:numId w:val="38"/>
        </w:numPr>
        <w:ind w:left="360"/>
        <w:jc w:val="both"/>
        <w:rPr>
          <w:rFonts w:ascii="Book Antiqua" w:hAnsi="Book Antiqua"/>
          <w:b/>
          <w:sz w:val="26"/>
        </w:rPr>
      </w:pPr>
      <w:r w:rsidRPr="00CA2555">
        <w:rPr>
          <w:rFonts w:ascii="Book Antiqua" w:hAnsi="Book Antiqua"/>
          <w:b/>
        </w:rPr>
        <w:t>Objective</w:t>
      </w:r>
    </w:p>
    <w:p w14:paraId="57BC34EF" w14:textId="77777777" w:rsidR="00F54904" w:rsidRPr="00E3232D" w:rsidRDefault="00F54904" w:rsidP="00896017">
      <w:pPr>
        <w:jc w:val="both"/>
        <w:rPr>
          <w:rFonts w:ascii="Book Antiqua" w:hAnsi="Book Antiqua"/>
        </w:rPr>
      </w:pPr>
      <w:r w:rsidRPr="00E3232D">
        <w:rPr>
          <w:rFonts w:ascii="Book Antiqua" w:hAnsi="Book Antiqua"/>
        </w:rPr>
        <w:t>The main objective of this work is to demonstrate through the setting-up of a virtual laboratory in Electrical Engineering, the impact of Virtual Laboratory on teaching of technical courses. Specifically the work will consist of:</w:t>
      </w:r>
    </w:p>
    <w:p w14:paraId="6A479C00" w14:textId="77777777" w:rsidR="00F54904" w:rsidRPr="00E3232D" w:rsidRDefault="00F54904" w:rsidP="00196385">
      <w:pPr>
        <w:pStyle w:val="ListParagraph"/>
        <w:numPr>
          <w:ilvl w:val="0"/>
          <w:numId w:val="36"/>
        </w:numPr>
        <w:jc w:val="both"/>
        <w:rPr>
          <w:rFonts w:ascii="Book Antiqua" w:hAnsi="Book Antiqua"/>
        </w:rPr>
      </w:pPr>
      <w:r w:rsidRPr="00E3232D">
        <w:rPr>
          <w:rFonts w:ascii="Book Antiqua" w:hAnsi="Book Antiqua"/>
        </w:rPr>
        <w:t>Designing and simulating an open loop speed control of a three phase asynchronous motor with PWM using Matlab SimPowerSystem software.</w:t>
      </w:r>
    </w:p>
    <w:p w14:paraId="58388A69" w14:textId="77777777" w:rsidR="00F54904" w:rsidRPr="00E3232D" w:rsidRDefault="00F54904" w:rsidP="00196385">
      <w:pPr>
        <w:pStyle w:val="ListParagraph"/>
        <w:numPr>
          <w:ilvl w:val="0"/>
          <w:numId w:val="36"/>
        </w:numPr>
        <w:jc w:val="both"/>
        <w:rPr>
          <w:rFonts w:ascii="Book Antiqua" w:hAnsi="Book Antiqua"/>
        </w:rPr>
      </w:pPr>
      <w:r w:rsidRPr="00E3232D">
        <w:rPr>
          <w:rFonts w:ascii="Book Antiqua" w:hAnsi="Book Antiqua"/>
        </w:rPr>
        <w:t>Recording various aspects of this simulation including time and frequency domains analysis</w:t>
      </w:r>
    </w:p>
    <w:p w14:paraId="0C22B2E4" w14:textId="77777777" w:rsidR="00F54904" w:rsidRDefault="00F54904" w:rsidP="00196385">
      <w:pPr>
        <w:pStyle w:val="ListParagraph"/>
        <w:numPr>
          <w:ilvl w:val="0"/>
          <w:numId w:val="36"/>
        </w:numPr>
        <w:jc w:val="both"/>
        <w:rPr>
          <w:rFonts w:ascii="Book Antiqua" w:hAnsi="Book Antiqua"/>
        </w:rPr>
      </w:pPr>
      <w:r w:rsidRPr="00E3232D">
        <w:rPr>
          <w:rFonts w:ascii="Book Antiqua" w:hAnsi="Book Antiqua"/>
        </w:rPr>
        <w:t xml:space="preserve">Comparing results with a real laboratory scenario including implementation costs. </w:t>
      </w:r>
    </w:p>
    <w:p w14:paraId="2A359904" w14:textId="77777777" w:rsidR="00896017" w:rsidRPr="00896017" w:rsidRDefault="00896017" w:rsidP="00896017">
      <w:pPr>
        <w:pStyle w:val="ListParagraph"/>
        <w:ind w:left="0"/>
        <w:jc w:val="both"/>
        <w:rPr>
          <w:rFonts w:ascii="Book Antiqua" w:hAnsi="Book Antiqua"/>
        </w:rPr>
      </w:pPr>
    </w:p>
    <w:p w14:paraId="653BED2B" w14:textId="77777777" w:rsidR="00F54904" w:rsidRPr="00AB79DE" w:rsidRDefault="00F54904" w:rsidP="00196385">
      <w:pPr>
        <w:pStyle w:val="ListParagraph"/>
        <w:numPr>
          <w:ilvl w:val="0"/>
          <w:numId w:val="172"/>
        </w:numPr>
        <w:ind w:hanging="720"/>
        <w:jc w:val="both"/>
        <w:rPr>
          <w:rFonts w:ascii="Book Antiqua" w:hAnsi="Book Antiqua"/>
          <w:b/>
        </w:rPr>
      </w:pPr>
      <w:r w:rsidRPr="00AB79DE">
        <w:rPr>
          <w:rFonts w:ascii="Book Antiqua" w:hAnsi="Book Antiqua"/>
          <w:b/>
          <w:sz w:val="26"/>
        </w:rPr>
        <w:t>Methodology</w:t>
      </w:r>
    </w:p>
    <w:p w14:paraId="470665BC" w14:textId="77777777" w:rsidR="00F54904" w:rsidRPr="00E3232D" w:rsidRDefault="00F54904" w:rsidP="00896017">
      <w:pPr>
        <w:jc w:val="both"/>
        <w:rPr>
          <w:rFonts w:ascii="Book Antiqua" w:hAnsi="Book Antiqua"/>
        </w:rPr>
      </w:pPr>
      <w:r w:rsidRPr="00E3232D">
        <w:rPr>
          <w:rFonts w:ascii="Book Antiqua" w:hAnsi="Book Antiqua"/>
        </w:rPr>
        <w:t xml:space="preserve">Asynchronous machines fed by pulse width modulation (PWM) are nowadays gradually replacing the DC motors and thyristor bridges. With PWM, combined with modern control techniques such as field-oriented control or direct torque control, the same flexibility in speed and torque control can be obtained as with DC machines. </w:t>
      </w:r>
    </w:p>
    <w:p w14:paraId="5B79B257" w14:textId="77777777" w:rsidR="00F54904" w:rsidRPr="00E3232D" w:rsidRDefault="00F54904" w:rsidP="00896017">
      <w:pPr>
        <w:jc w:val="both"/>
        <w:rPr>
          <w:rFonts w:ascii="Book Antiqua" w:hAnsi="Book Antiqua"/>
          <w:vertAlign w:val="subscript"/>
        </w:rPr>
      </w:pPr>
      <w:r w:rsidRPr="00E3232D">
        <w:rPr>
          <w:rFonts w:ascii="Book Antiqua" w:hAnsi="Book Antiqua"/>
        </w:rPr>
        <w:t xml:space="preserve">This paper shows how to build a simple open loop AC drive controlling an asynchronous machine. The design </w:t>
      </w:r>
      <w:r w:rsidRPr="00E3232D">
        <w:rPr>
          <w:rFonts w:ascii="Book Antiqua" w:hAnsi="Book Antiqua"/>
        </w:rPr>
        <w:t>consists of a three-phase squirrel cage motor powered by a DC source passing through a universal bridge made of IGBT as shown in figure 1. The simulation model can also be seen in figure 2 (Appendix). The outputs of the motor that will be monitored are the speed W</w:t>
      </w:r>
      <w:r w:rsidRPr="00E3232D">
        <w:rPr>
          <w:rFonts w:ascii="Book Antiqua" w:hAnsi="Book Antiqua"/>
          <w:vertAlign w:val="subscript"/>
        </w:rPr>
        <w:t>m</w:t>
      </w:r>
      <w:r w:rsidRPr="00E3232D">
        <w:rPr>
          <w:rFonts w:ascii="Book Antiqua" w:hAnsi="Book Antiqua"/>
        </w:rPr>
        <w:t>, the torque T</w:t>
      </w:r>
      <w:r w:rsidRPr="00E3232D">
        <w:rPr>
          <w:rFonts w:ascii="Book Antiqua" w:hAnsi="Book Antiqua"/>
          <w:vertAlign w:val="subscript"/>
        </w:rPr>
        <w:t>e</w:t>
      </w:r>
      <w:r w:rsidRPr="00E3232D">
        <w:rPr>
          <w:rFonts w:ascii="Book Antiqua" w:hAnsi="Book Antiqua"/>
        </w:rPr>
        <w:t xml:space="preserve"> and also the stator current Is</w:t>
      </w:r>
      <w:r w:rsidRPr="00E3232D">
        <w:rPr>
          <w:rFonts w:ascii="Book Antiqua" w:hAnsi="Book Antiqua"/>
          <w:vertAlign w:val="subscript"/>
        </w:rPr>
        <w:t>abc.</w:t>
      </w:r>
    </w:p>
    <w:p w14:paraId="66BB93A9" w14:textId="77777777" w:rsidR="00F54904" w:rsidRPr="00E3232D" w:rsidRDefault="00850DC5" w:rsidP="008275E1">
      <w:pPr>
        <w:rPr>
          <w:rFonts w:ascii="Book Antiqua" w:hAnsi="Book Antiqua"/>
          <w:b/>
        </w:rPr>
      </w:pPr>
      <w:r>
        <w:rPr>
          <w:rFonts w:ascii="Book Antiqua" w:hAnsi="Book Antiqua"/>
          <w:noProof/>
        </w:rPr>
        <w:pict w14:anchorId="0DD98D08">
          <v:group id="_x0000_s1124" style="position:absolute;margin-left:-12.7pt;margin-top:8.15pt;width:247.5pt;height:119.1pt;z-index:251479552" coordorigin="6720,3196" coordsize="5086,2445">
            <v:shapetype id="_x0000_t202" coordsize="21600,21600" o:spt="202" path="m,l,21600r21600,l21600,xe">
              <v:stroke joinstyle="miter"/>
              <v:path gradientshapeok="t" o:connecttype="rect"/>
            </v:shapetype>
            <v:shape id="_x0000_s1125" type="#_x0000_t202" style="position:absolute;left:6856;top:5086;width:4950;height:555" strokecolor="white">
              <v:textbox style="mso-next-textbox:#_x0000_s1125">
                <w:txbxContent>
                  <w:p w14:paraId="4D5B912D" w14:textId="77777777" w:rsidR="00E2396E" w:rsidRPr="000D73D6" w:rsidRDefault="00E2396E" w:rsidP="00F54904">
                    <w:pPr>
                      <w:rPr>
                        <w:rFonts w:ascii="Times New Roman" w:hAnsi="Times New Roman"/>
                        <w:sz w:val="24"/>
                        <w:szCs w:val="24"/>
                      </w:rPr>
                    </w:pPr>
                    <w:r w:rsidRPr="000D73D6">
                      <w:rPr>
                        <w:rFonts w:ascii="Times New Roman" w:hAnsi="Times New Roman"/>
                        <w:sz w:val="24"/>
                        <w:szCs w:val="24"/>
                      </w:rPr>
                      <w:t>Figure 1: Bloc</w:t>
                    </w:r>
                    <w:r>
                      <w:rPr>
                        <w:rFonts w:ascii="Times New Roman" w:hAnsi="Times New Roman"/>
                        <w:sz w:val="24"/>
                        <w:szCs w:val="24"/>
                      </w:rPr>
                      <w:t>k</w:t>
                    </w:r>
                    <w:r w:rsidRPr="000D73D6">
                      <w:rPr>
                        <w:rFonts w:ascii="Times New Roman" w:hAnsi="Times New Roman"/>
                        <w:sz w:val="24"/>
                        <w:szCs w:val="24"/>
                      </w:rPr>
                      <w:t xml:space="preserve"> diagram of Motor-PWM system</w:t>
                    </w:r>
                  </w:p>
                </w:txbxContent>
              </v:textbox>
            </v:shape>
            <v:shape id="_x0000_s1126" type="#_x0000_t32" style="position:absolute;left:6805;top:5086;width:4482;height:0" o:connectortype="straight"/>
            <v:shape id="_x0000_s1127" type="#_x0000_t202" style="position:absolute;left:6720;top:3511;width:907;height:371">
              <v:textbox style="mso-next-textbox:#_x0000_s1127">
                <w:txbxContent>
                  <w:p w14:paraId="623DB6E1" w14:textId="77777777" w:rsidR="00E2396E" w:rsidRDefault="00E2396E" w:rsidP="00F54904">
                    <w:r>
                      <w:t>DC Source</w:t>
                    </w:r>
                  </w:p>
                </w:txbxContent>
              </v:textbox>
            </v:shape>
            <v:shape id="_x0000_s1128" type="#_x0000_t202" style="position:absolute;left:7930;top:3511;width:907;height:371">
              <v:textbox style="mso-next-textbox:#_x0000_s1128">
                <w:txbxContent>
                  <w:p w14:paraId="647BE35C" w14:textId="77777777" w:rsidR="00E2396E" w:rsidRDefault="00E2396E" w:rsidP="00F54904">
                    <w:r>
                      <w:t>IGBT Block</w:t>
                    </w:r>
                  </w:p>
                </w:txbxContent>
              </v:textbox>
            </v:shape>
            <v:shape id="_x0000_s1129" type="#_x0000_t202" style="position:absolute;left:7770;top:4277;width:1213;height:694">
              <v:textbox style="mso-next-textbox:#_x0000_s1129">
                <w:txbxContent>
                  <w:p w14:paraId="25F1130B" w14:textId="77777777" w:rsidR="00E2396E" w:rsidRDefault="00E2396E" w:rsidP="00F54904">
                    <w:pPr>
                      <w:jc w:val="center"/>
                    </w:pPr>
                    <w:r>
                      <w:t>Timing Control circuit</w:t>
                    </w:r>
                  </w:p>
                </w:txbxContent>
              </v:textbox>
            </v:shape>
            <v:shape id="_x0000_s1130" type="#_x0000_t202" style="position:absolute;left:9132;top:3511;width:907;height:371">
              <v:textbox style="mso-next-textbox:#_x0000_s1130">
                <w:txbxContent>
                  <w:p w14:paraId="02E5B31E" w14:textId="77777777" w:rsidR="00E2396E" w:rsidRDefault="00E2396E" w:rsidP="00F54904">
                    <w:pPr>
                      <w:jc w:val="center"/>
                    </w:pPr>
                    <w:r>
                      <w:t>Motor</w:t>
                    </w:r>
                  </w:p>
                </w:txbxContent>
              </v:textbox>
            </v:shape>
            <v:shape id="_x0000_s1131" type="#_x0000_t202" style="position:absolute;left:10601;top:3196;width:1205;height:1081">
              <v:textbox style="mso-next-textbox:#_x0000_s1131">
                <w:txbxContent>
                  <w:p w14:paraId="63BD46C6" w14:textId="77777777" w:rsidR="00E2396E" w:rsidRDefault="00E2396E" w:rsidP="00F54904">
                    <w:pPr>
                      <w:jc w:val="center"/>
                    </w:pPr>
                    <w:r>
                      <w:t>Speed measurement</w:t>
                    </w:r>
                  </w:p>
                  <w:p w14:paraId="6F5114F6" w14:textId="77777777" w:rsidR="00E2396E" w:rsidRDefault="00E2396E" w:rsidP="00F54904">
                    <w:pPr>
                      <w:jc w:val="center"/>
                    </w:pPr>
                    <w:r>
                      <w:t>Torque measurement</w:t>
                    </w:r>
                  </w:p>
                </w:txbxContent>
              </v:textbox>
            </v:shape>
            <v:shape id="_x0000_s1132" type="#_x0000_t32" style="position:absolute;left:7627;top:3701;width:303;height:0" o:connectortype="straight">
              <v:stroke endarrow="block"/>
            </v:shape>
            <v:shape id="_x0000_s1133" type="#_x0000_t32" style="position:absolute;left:8837;top:3701;width:295;height:0" o:connectortype="straight">
              <v:stroke endarrow="block"/>
            </v:shape>
            <v:shape id="_x0000_s1134" type="#_x0000_t32" style="position:absolute;left:10039;top:3591;width:562;height:0" o:connectortype="straight">
              <v:stroke endarrow="block"/>
            </v:shape>
            <v:shape id="_x0000_s1135" type="#_x0000_t32" style="position:absolute;left:10039;top:3755;width:562;height:0" o:connectortype="straight">
              <v:stroke endarrow="block"/>
            </v:shape>
            <v:shape id="_x0000_s1136" type="#_x0000_t32" style="position:absolute;left:8365;top:3882;width:0;height:395;flip:y" o:connectortype="straight">
              <v:stroke endarrow="block"/>
            </v:shape>
          </v:group>
        </w:pict>
      </w:r>
    </w:p>
    <w:p w14:paraId="451CB55A" w14:textId="77777777" w:rsidR="00F54904" w:rsidRPr="00E3232D" w:rsidRDefault="00F54904" w:rsidP="008275E1">
      <w:pPr>
        <w:rPr>
          <w:rFonts w:ascii="Book Antiqua" w:hAnsi="Book Antiqua"/>
          <w:b/>
        </w:rPr>
      </w:pPr>
    </w:p>
    <w:p w14:paraId="79661A4E" w14:textId="77777777" w:rsidR="00F54904" w:rsidRPr="00E3232D" w:rsidRDefault="00F54904" w:rsidP="008275E1">
      <w:pPr>
        <w:rPr>
          <w:rFonts w:ascii="Book Antiqua" w:hAnsi="Book Antiqua"/>
          <w:b/>
        </w:rPr>
      </w:pPr>
    </w:p>
    <w:p w14:paraId="5D0C0FA8" w14:textId="77777777" w:rsidR="00F54904" w:rsidRPr="00E3232D" w:rsidRDefault="00F54904" w:rsidP="008275E1">
      <w:pPr>
        <w:rPr>
          <w:rFonts w:ascii="Book Antiqua" w:hAnsi="Book Antiqua"/>
          <w:b/>
        </w:rPr>
      </w:pPr>
    </w:p>
    <w:p w14:paraId="32C17A79" w14:textId="77777777" w:rsidR="00F54904" w:rsidRPr="00E3232D" w:rsidRDefault="00F54904" w:rsidP="008275E1">
      <w:pPr>
        <w:rPr>
          <w:rFonts w:ascii="Book Antiqua" w:hAnsi="Book Antiqua"/>
          <w:b/>
        </w:rPr>
      </w:pPr>
    </w:p>
    <w:p w14:paraId="438430A6" w14:textId="77777777" w:rsidR="00F54904" w:rsidRPr="00E3232D" w:rsidRDefault="00F54904" w:rsidP="008275E1">
      <w:pPr>
        <w:rPr>
          <w:rFonts w:ascii="Book Antiqua" w:hAnsi="Book Antiqua"/>
          <w:b/>
        </w:rPr>
      </w:pPr>
    </w:p>
    <w:p w14:paraId="414B2F17" w14:textId="77777777" w:rsidR="00F54904" w:rsidRPr="00E3232D" w:rsidRDefault="00F54904" w:rsidP="008275E1">
      <w:pPr>
        <w:rPr>
          <w:rFonts w:ascii="Book Antiqua" w:hAnsi="Book Antiqua"/>
          <w:b/>
        </w:rPr>
      </w:pPr>
      <w:r w:rsidRPr="00E3232D">
        <w:rPr>
          <w:rFonts w:ascii="Book Antiqua" w:hAnsi="Book Antiqua"/>
          <w:b/>
        </w:rPr>
        <w:t>NB:</w:t>
      </w:r>
    </w:p>
    <w:p w14:paraId="7C5A5693" w14:textId="77777777" w:rsidR="00F54904" w:rsidRPr="00E3232D" w:rsidRDefault="00F54904" w:rsidP="00196385">
      <w:pPr>
        <w:pStyle w:val="ListParagraph"/>
        <w:numPr>
          <w:ilvl w:val="0"/>
          <w:numId w:val="37"/>
        </w:numPr>
        <w:rPr>
          <w:rFonts w:ascii="Book Antiqua" w:hAnsi="Book Antiqua"/>
        </w:rPr>
      </w:pPr>
      <w:r w:rsidRPr="00E3232D">
        <w:rPr>
          <w:rFonts w:ascii="Book Antiqua" w:hAnsi="Book Antiqua"/>
        </w:rPr>
        <w:t>IGBT: Insulated-Gate Bipolar Transistor</w:t>
      </w:r>
    </w:p>
    <w:p w14:paraId="30B841B6" w14:textId="77777777" w:rsidR="00F54904" w:rsidRPr="00E3232D" w:rsidRDefault="00F54904" w:rsidP="00196385">
      <w:pPr>
        <w:pStyle w:val="ListParagraph"/>
        <w:numPr>
          <w:ilvl w:val="0"/>
          <w:numId w:val="37"/>
        </w:numPr>
        <w:rPr>
          <w:rFonts w:ascii="Book Antiqua" w:hAnsi="Book Antiqua"/>
        </w:rPr>
      </w:pPr>
      <w:r w:rsidRPr="00E3232D">
        <w:rPr>
          <w:rFonts w:ascii="Book Antiqua" w:hAnsi="Book Antiqua"/>
        </w:rPr>
        <w:t>FFT: Fast Fourier Transformation</w:t>
      </w:r>
    </w:p>
    <w:p w14:paraId="27BDA3C8" w14:textId="77777777" w:rsidR="00F54904" w:rsidRPr="00E3232D" w:rsidRDefault="00F54904" w:rsidP="00196385">
      <w:pPr>
        <w:pStyle w:val="ListParagraph"/>
        <w:numPr>
          <w:ilvl w:val="0"/>
          <w:numId w:val="37"/>
        </w:numPr>
        <w:rPr>
          <w:rFonts w:ascii="Book Antiqua" w:hAnsi="Book Antiqua"/>
        </w:rPr>
      </w:pPr>
      <w:r w:rsidRPr="00E3232D">
        <w:rPr>
          <w:rFonts w:ascii="Book Antiqua" w:hAnsi="Book Antiqua"/>
        </w:rPr>
        <w:t>PWM: Pulse Width Modulator</w:t>
      </w:r>
    </w:p>
    <w:p w14:paraId="31410021" w14:textId="77777777" w:rsidR="00F54904" w:rsidRPr="00E3232D" w:rsidRDefault="00F54904" w:rsidP="00896017">
      <w:pPr>
        <w:spacing w:after="0"/>
        <w:rPr>
          <w:rFonts w:ascii="Book Antiqua" w:hAnsi="Book Antiqua"/>
        </w:rPr>
      </w:pPr>
    </w:p>
    <w:p w14:paraId="25AECEFA" w14:textId="77777777" w:rsidR="00F54904" w:rsidRPr="00E3232D" w:rsidRDefault="00F54904" w:rsidP="00196385">
      <w:pPr>
        <w:pStyle w:val="ListParagraph"/>
        <w:numPr>
          <w:ilvl w:val="1"/>
          <w:numId w:val="172"/>
        </w:numPr>
        <w:rPr>
          <w:rFonts w:ascii="Book Antiqua" w:hAnsi="Book Antiqua"/>
          <w:b/>
        </w:rPr>
      </w:pPr>
      <w:r w:rsidRPr="00E3232D">
        <w:rPr>
          <w:rFonts w:ascii="Book Antiqua" w:hAnsi="Book Antiqua"/>
          <w:b/>
        </w:rPr>
        <w:t xml:space="preserve"> Mathematical Approach</w:t>
      </w:r>
    </w:p>
    <w:p w14:paraId="3E471042" w14:textId="77777777" w:rsidR="00F54904" w:rsidRPr="00E3232D" w:rsidRDefault="00F54904" w:rsidP="008275E1">
      <w:pPr>
        <w:rPr>
          <w:rFonts w:ascii="Book Antiqua" w:hAnsi="Book Antiqua"/>
        </w:rPr>
      </w:pPr>
      <w:r w:rsidRPr="00E3232D">
        <w:rPr>
          <w:rFonts w:ascii="Book Antiqua" w:hAnsi="Book Antiqua"/>
        </w:rPr>
        <w:t>For an induction motor, rotor speed, frequency of the voltage source, number of poles and slip are interrelated according to equation (1):</w:t>
      </w:r>
    </w:p>
    <w:p w14:paraId="474779BC" w14:textId="77777777" w:rsidR="00F54904" w:rsidRPr="00E3232D" w:rsidRDefault="00850DC5" w:rsidP="008275E1">
      <w:pPr>
        <w:rPr>
          <w:rFonts w:ascii="Book Antiqua" w:hAnsi="Book Antiqua"/>
        </w:rPr>
      </w:pPr>
      <m:oMathPara>
        <m:oMath>
          <m:sSub>
            <m:sSubPr>
              <m:ctrlPr>
                <w:rPr>
                  <w:rFonts w:ascii="Cambria Math" w:hAnsi="Cambria Math"/>
                  <w:i/>
                </w:rPr>
              </m:ctrlPr>
            </m:sSubPr>
            <m:e>
              <m:r>
                <w:rPr>
                  <w:rFonts w:ascii="Cambria Math" w:hAnsi="Cambria Math"/>
                </w:rPr>
                <m:t>W</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120∙</m:t>
              </m:r>
              <m:sSub>
                <m:sSubPr>
                  <m:ctrlPr>
                    <w:rPr>
                      <w:rFonts w:ascii="Cambria Math" w:hAnsi="Cambria Math"/>
                      <w:i/>
                    </w:rPr>
                  </m:ctrlPr>
                </m:sSubPr>
                <m:e>
                  <m:r>
                    <w:rPr>
                      <w:rFonts w:ascii="Cambria Math" w:hAnsi="Cambria Math"/>
                    </w:rPr>
                    <m:t>f</m:t>
                  </m:r>
                </m:e>
                <m:sub>
                  <m:r>
                    <w:rPr>
                      <w:rFonts w:ascii="Cambria Math" w:hAnsi="Cambria Math"/>
                    </w:rPr>
                    <m:t>1</m:t>
                  </m:r>
                </m:sub>
              </m:sSub>
            </m:num>
            <m:den>
              <m:r>
                <w:rPr>
                  <w:rFonts w:ascii="Cambria Math" w:hAnsi="Cambria Math"/>
                </w:rPr>
                <m:t>p</m:t>
              </m:r>
            </m:den>
          </m:f>
          <m:d>
            <m:dPr>
              <m:ctrlPr>
                <w:rPr>
                  <w:rFonts w:ascii="Cambria Math" w:hAnsi="Cambria Math"/>
                  <w:i/>
                </w:rPr>
              </m:ctrlPr>
            </m:dPr>
            <m:e>
              <m:r>
                <w:rPr>
                  <w:rFonts w:ascii="Cambria Math" w:hAnsi="Cambria Math"/>
                </w:rPr>
                <m:t>1-s</m:t>
              </m:r>
            </m:e>
          </m:d>
        </m:oMath>
      </m:oMathPara>
    </w:p>
    <w:p w14:paraId="1C15FF42" w14:textId="77777777" w:rsidR="00F54904" w:rsidRPr="00E3232D" w:rsidRDefault="00F54904" w:rsidP="00896017">
      <w:pPr>
        <w:spacing w:after="0"/>
        <w:rPr>
          <w:rFonts w:ascii="Book Antiqua" w:hAnsi="Book Antiqua"/>
        </w:rPr>
      </w:pPr>
      <w:r w:rsidRPr="00E3232D">
        <w:rPr>
          <w:rFonts w:ascii="Book Antiqua" w:hAnsi="Book Antiqua"/>
        </w:rPr>
        <w:t>where:</w:t>
      </w:r>
    </w:p>
    <w:p w14:paraId="12EE5847" w14:textId="77777777" w:rsidR="00F54904" w:rsidRPr="00E3232D" w:rsidRDefault="00F54904" w:rsidP="00196385">
      <w:pPr>
        <w:pStyle w:val="ListParagraph"/>
        <w:numPr>
          <w:ilvl w:val="0"/>
          <w:numId w:val="34"/>
        </w:numPr>
        <w:rPr>
          <w:rFonts w:ascii="Book Antiqua" w:hAnsi="Book Antiqua"/>
        </w:rPr>
      </w:pPr>
      <w:r w:rsidRPr="00E3232D">
        <w:rPr>
          <w:rFonts w:ascii="Book Antiqua" w:hAnsi="Book Antiqua"/>
        </w:rPr>
        <w:t xml:space="preserve">Wm: mechanical speed (rpm), </w:t>
      </w:r>
    </w:p>
    <w:p w14:paraId="5CBD5257" w14:textId="77777777" w:rsidR="00F54904" w:rsidRPr="00E3232D" w:rsidRDefault="00F54904" w:rsidP="00196385">
      <w:pPr>
        <w:pStyle w:val="ListParagraph"/>
        <w:numPr>
          <w:ilvl w:val="0"/>
          <w:numId w:val="34"/>
        </w:numPr>
        <w:rPr>
          <w:rFonts w:ascii="Book Antiqua" w:hAnsi="Book Antiqua"/>
        </w:rPr>
      </w:pPr>
      <w:r w:rsidRPr="00E3232D">
        <w:rPr>
          <w:rFonts w:ascii="Book Antiqua" w:hAnsi="Book Antiqua"/>
        </w:rPr>
        <w:t>f</w:t>
      </w:r>
      <w:r w:rsidRPr="00E3232D">
        <w:rPr>
          <w:rFonts w:ascii="Book Antiqua" w:hAnsi="Book Antiqua"/>
          <w:vertAlign w:val="subscript"/>
        </w:rPr>
        <w:t>1</w:t>
      </w:r>
      <w:r w:rsidRPr="00E3232D">
        <w:rPr>
          <w:rFonts w:ascii="Book Antiqua" w:hAnsi="Book Antiqua"/>
        </w:rPr>
        <w:t xml:space="preserve">:fundamental frequency of the input voltage (Hz ), </w:t>
      </w:r>
    </w:p>
    <w:p w14:paraId="660CB66F" w14:textId="77777777" w:rsidR="00F54904" w:rsidRPr="00E3232D" w:rsidRDefault="00F54904" w:rsidP="00196385">
      <w:pPr>
        <w:pStyle w:val="ListParagraph"/>
        <w:numPr>
          <w:ilvl w:val="0"/>
          <w:numId w:val="34"/>
        </w:numPr>
        <w:rPr>
          <w:rFonts w:ascii="Book Antiqua" w:hAnsi="Book Antiqua"/>
        </w:rPr>
      </w:pPr>
      <w:r w:rsidRPr="00E3232D">
        <w:rPr>
          <w:rFonts w:ascii="Book Antiqua" w:hAnsi="Book Antiqua"/>
        </w:rPr>
        <w:t xml:space="preserve">p: the number of poles </w:t>
      </w:r>
    </w:p>
    <w:p w14:paraId="10BFB092" w14:textId="77777777" w:rsidR="00F54904" w:rsidRPr="00E3232D" w:rsidRDefault="00F54904" w:rsidP="00196385">
      <w:pPr>
        <w:pStyle w:val="ListParagraph"/>
        <w:numPr>
          <w:ilvl w:val="0"/>
          <w:numId w:val="34"/>
        </w:numPr>
        <w:rPr>
          <w:rFonts w:ascii="Book Antiqua" w:hAnsi="Book Antiqua"/>
        </w:rPr>
      </w:pPr>
      <w:r w:rsidRPr="00E3232D">
        <w:rPr>
          <w:rFonts w:ascii="Book Antiqua" w:hAnsi="Book Antiqua"/>
        </w:rPr>
        <w:t xml:space="preserve">s: the slip. </w:t>
      </w:r>
    </w:p>
    <w:p w14:paraId="24E58843" w14:textId="77777777" w:rsidR="00F54904" w:rsidRPr="00E3232D" w:rsidRDefault="00F54904" w:rsidP="008275E1">
      <w:pPr>
        <w:rPr>
          <w:rFonts w:ascii="Book Antiqua" w:hAnsi="Book Antiqua"/>
        </w:rPr>
      </w:pPr>
      <w:r w:rsidRPr="00E3232D">
        <w:rPr>
          <w:rFonts w:ascii="Book Antiqua" w:hAnsi="Book Antiqua"/>
        </w:rPr>
        <w:lastRenderedPageBreak/>
        <w:t>The torque developed by the induction motor follows the equation (2) below:</w:t>
      </w:r>
    </w:p>
    <w:p w14:paraId="14A94729" w14:textId="77777777" w:rsidR="00F54904" w:rsidRPr="00E3232D" w:rsidRDefault="007005B1" w:rsidP="008275E1">
      <w:pPr>
        <w:rPr>
          <w:rFonts w:ascii="Book Antiqua" w:hAnsi="Book Antiqua"/>
        </w:rPr>
      </w:pPr>
      <m:oMathPara>
        <m:oMath>
          <m:r>
            <m:rPr>
              <m:sty m:val="p"/>
            </m:rPr>
            <w:rPr>
              <w:rFonts w:ascii="Cambria Math" w:hAnsi="Cambria Math"/>
            </w:rPr>
            <m:t>T=</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m</m:t>
              </m:r>
            </m:sub>
          </m:sSub>
          <m:sSub>
            <m:sSubPr>
              <m:ctrlPr>
                <w:rPr>
                  <w:rFonts w:ascii="Cambria Math" w:hAnsi="Cambria Math"/>
                </w:rPr>
              </m:ctrlPr>
            </m:sSubPr>
            <m:e>
              <m:r>
                <m:rPr>
                  <m:sty m:val="p"/>
                </m:rPr>
                <w:rPr>
                  <w:rFonts w:ascii="Cambria Math" w:hAnsi="Cambria Math"/>
                </w:rPr>
                <m:t>I</m:t>
              </m:r>
            </m:e>
            <m:sub>
              <m:r>
                <m:rPr>
                  <m:sty m:val="p"/>
                </m:rPr>
                <w:rPr>
                  <w:rFonts w:ascii="Cambria Math" w:hAnsi="Cambria Math"/>
                </w:rPr>
                <m:t>2</m:t>
              </m:r>
            </m:sub>
          </m:sSub>
        </m:oMath>
      </m:oMathPara>
    </w:p>
    <w:p w14:paraId="3D1BBB0C" w14:textId="77777777" w:rsidR="00F54904" w:rsidRPr="00E3232D" w:rsidRDefault="00F54904" w:rsidP="00896017">
      <w:pPr>
        <w:jc w:val="both"/>
        <w:rPr>
          <w:rFonts w:ascii="Book Antiqua" w:hAnsi="Book Antiqua"/>
        </w:rPr>
      </w:pPr>
      <w:r w:rsidRPr="00E3232D">
        <w:rPr>
          <w:rFonts w:ascii="Book Antiqua" w:hAnsi="Book Antiqua"/>
        </w:rPr>
        <w:t>Despite the voltage drop caused by the stator impedance, the magnetizing ﬂux is found to be:</w:t>
      </w:r>
    </w:p>
    <w:p w14:paraId="6BE39C50" w14:textId="77777777" w:rsidR="00F54904" w:rsidRPr="00E3232D" w:rsidRDefault="00850DC5" w:rsidP="008275E1">
      <w:pPr>
        <w:rPr>
          <w:rFonts w:ascii="Book Antiqua" w:hAnsi="Book Antiqua"/>
        </w:rPr>
      </w:pPr>
      <m:oMathPara>
        <m:oMath>
          <m:sSub>
            <m:sSubPr>
              <m:ctrlPr>
                <w:rPr>
                  <w:rFonts w:ascii="Cambria Math" w:hAnsi="Cambria Math"/>
                  <w:i/>
                </w:rPr>
              </m:ctrlPr>
            </m:sSubPr>
            <m:e>
              <m:r>
                <w:rPr>
                  <w:rFonts w:ascii="Cambria Math" w:hAnsi="Cambria Math"/>
                </w:rPr>
                <m:t>∅</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1</m:t>
                  </m:r>
                </m:sub>
              </m:sSub>
            </m:num>
            <m:den>
              <m:sSub>
                <m:sSubPr>
                  <m:ctrlPr>
                    <w:rPr>
                      <w:rFonts w:ascii="Cambria Math" w:hAnsi="Cambria Math"/>
                      <w:i/>
                    </w:rPr>
                  </m:ctrlPr>
                </m:sSubPr>
                <m:e>
                  <m:r>
                    <w:rPr>
                      <w:rFonts w:ascii="Cambria Math" w:hAnsi="Cambria Math"/>
                    </w:rPr>
                    <m:t>f</m:t>
                  </m:r>
                </m:e>
                <m:sub>
                  <m:r>
                    <w:rPr>
                      <w:rFonts w:ascii="Cambria Math" w:hAnsi="Cambria Math"/>
                    </w:rPr>
                    <m:t>1</m:t>
                  </m:r>
                </m:sub>
              </m:sSub>
            </m:den>
          </m:f>
        </m:oMath>
      </m:oMathPara>
    </w:p>
    <w:p w14:paraId="15F0AAEB" w14:textId="77777777" w:rsidR="00F54904" w:rsidRPr="00E3232D" w:rsidRDefault="00F54904" w:rsidP="008275E1">
      <w:pPr>
        <w:rPr>
          <w:rFonts w:ascii="Book Antiqua" w:hAnsi="Book Antiqua"/>
        </w:rPr>
      </w:pPr>
      <w:r w:rsidRPr="00E3232D">
        <w:rPr>
          <w:rFonts w:ascii="Book Antiqua" w:hAnsi="Book Antiqua"/>
        </w:rPr>
        <w:t xml:space="preserve">where: </w:t>
      </w:r>
    </w:p>
    <w:p w14:paraId="4CD9A49B" w14:textId="77777777" w:rsidR="00F54904" w:rsidRPr="00E3232D" w:rsidRDefault="00F54904" w:rsidP="00196385">
      <w:pPr>
        <w:pStyle w:val="ListParagraph"/>
        <w:numPr>
          <w:ilvl w:val="0"/>
          <w:numId w:val="35"/>
        </w:numPr>
        <w:jc w:val="both"/>
        <w:rPr>
          <w:rFonts w:ascii="Book Antiqua" w:hAnsi="Book Antiqua"/>
        </w:rPr>
      </w:pPr>
      <w:r w:rsidRPr="00E3232D">
        <w:rPr>
          <w:rFonts w:ascii="Book Antiqua" w:hAnsi="Book Antiqua"/>
        </w:rPr>
        <w:t xml:space="preserve">T is the torque available on the shaft (N.m), </w:t>
      </w:r>
    </w:p>
    <w:p w14:paraId="548CA0BB" w14:textId="77777777" w:rsidR="00F54904" w:rsidRPr="00E3232D" w:rsidRDefault="00850DC5" w:rsidP="00196385">
      <w:pPr>
        <w:pStyle w:val="ListParagraph"/>
        <w:numPr>
          <w:ilvl w:val="0"/>
          <w:numId w:val="35"/>
        </w:numPr>
        <w:jc w:val="both"/>
        <w:rPr>
          <w:rFonts w:ascii="Book Antiqua" w:hAnsi="Book Antiqua"/>
        </w:rPr>
      </w:pPr>
      <m:oMath>
        <m:sSub>
          <m:sSubPr>
            <m:ctrlPr>
              <w:rPr>
                <w:rFonts w:ascii="Cambria Math" w:hAnsi="Cambria Math"/>
                <w:i/>
              </w:rPr>
            </m:ctrlPr>
          </m:sSubPr>
          <m:e>
            <m:r>
              <w:rPr>
                <w:rFonts w:ascii="Cambria Math" w:hAnsi="Cambria Math"/>
              </w:rPr>
              <m:t>∅</m:t>
            </m:r>
          </m:e>
          <m:sub>
            <m:r>
              <w:rPr>
                <w:rFonts w:ascii="Cambria Math" w:hAnsi="Cambria Math"/>
              </w:rPr>
              <m:t>m</m:t>
            </m:r>
          </m:sub>
        </m:sSub>
      </m:oMath>
      <w:r w:rsidR="00F54904" w:rsidRPr="00E3232D">
        <w:rPr>
          <w:rFonts w:ascii="Book Antiqua" w:hAnsi="Book Antiqua"/>
        </w:rPr>
        <w:t xml:space="preserve"> is the magnetizing ﬂux (Wb), </w:t>
      </w:r>
    </w:p>
    <w:p w14:paraId="31FEF848" w14:textId="77777777" w:rsidR="00F54904" w:rsidRPr="00E3232D" w:rsidRDefault="00F54904" w:rsidP="00196385">
      <w:pPr>
        <w:pStyle w:val="ListParagraph"/>
        <w:numPr>
          <w:ilvl w:val="0"/>
          <w:numId w:val="35"/>
        </w:numPr>
        <w:jc w:val="both"/>
        <w:rPr>
          <w:rFonts w:ascii="Book Antiqua" w:hAnsi="Book Antiqua"/>
        </w:rPr>
      </w:pPr>
      <w:r w:rsidRPr="00E3232D">
        <w:rPr>
          <w:rFonts w:ascii="Book Antiqua" w:hAnsi="Book Antiqua"/>
        </w:rPr>
        <w:t>I</w:t>
      </w:r>
      <w:r w:rsidRPr="00E3232D">
        <w:rPr>
          <w:rFonts w:ascii="Book Antiqua" w:hAnsi="Book Antiqua"/>
          <w:vertAlign w:val="subscript"/>
        </w:rPr>
        <w:t xml:space="preserve">2 </w:t>
      </w:r>
      <w:r w:rsidRPr="00E3232D">
        <w:rPr>
          <w:rFonts w:ascii="Book Antiqua" w:hAnsi="Book Antiqua"/>
        </w:rPr>
        <w:t xml:space="preserve">is the rotor current (A), </w:t>
      </w:r>
    </w:p>
    <w:p w14:paraId="1D87AD89" w14:textId="77777777" w:rsidR="00F54904" w:rsidRPr="00E3232D" w:rsidRDefault="00F54904" w:rsidP="00196385">
      <w:pPr>
        <w:pStyle w:val="ListParagraph"/>
        <w:numPr>
          <w:ilvl w:val="0"/>
          <w:numId w:val="35"/>
        </w:numPr>
        <w:jc w:val="both"/>
        <w:rPr>
          <w:rFonts w:ascii="Book Antiqua" w:hAnsi="Book Antiqua"/>
        </w:rPr>
      </w:pPr>
      <w:r w:rsidRPr="00E3232D">
        <w:rPr>
          <w:rFonts w:ascii="Book Antiqua" w:hAnsi="Book Antiqua"/>
        </w:rPr>
        <w:t>V</w:t>
      </w:r>
      <w:r w:rsidRPr="00E3232D">
        <w:rPr>
          <w:rFonts w:ascii="Book Antiqua" w:hAnsi="Book Antiqua"/>
          <w:vertAlign w:val="subscript"/>
        </w:rPr>
        <w:t>1</w:t>
      </w:r>
      <w:r w:rsidRPr="00E3232D">
        <w:rPr>
          <w:rFonts w:ascii="Book Antiqua" w:hAnsi="Book Antiqua"/>
        </w:rPr>
        <w:t xml:space="preserve"> is the stator voltage (V), </w:t>
      </w:r>
    </w:p>
    <w:p w14:paraId="79193044" w14:textId="77777777" w:rsidR="00F54904" w:rsidRDefault="00F54904" w:rsidP="00196385">
      <w:pPr>
        <w:pStyle w:val="ListParagraph"/>
        <w:numPr>
          <w:ilvl w:val="0"/>
          <w:numId w:val="35"/>
        </w:numPr>
        <w:jc w:val="both"/>
        <w:rPr>
          <w:rFonts w:ascii="Book Antiqua" w:hAnsi="Book Antiqua"/>
        </w:rPr>
      </w:pPr>
      <w:r w:rsidRPr="00E3232D">
        <w:rPr>
          <w:rFonts w:ascii="Book Antiqua" w:hAnsi="Book Antiqua"/>
        </w:rPr>
        <w:t>K</w:t>
      </w:r>
      <w:r w:rsidRPr="00E3232D">
        <w:rPr>
          <w:rFonts w:ascii="Book Antiqua" w:hAnsi="Book Antiqua"/>
          <w:vertAlign w:val="subscript"/>
        </w:rPr>
        <w:t>1</w:t>
      </w:r>
      <w:r w:rsidRPr="00E3232D">
        <w:rPr>
          <w:rFonts w:ascii="Book Antiqua" w:hAnsi="Book Antiqua"/>
        </w:rPr>
        <w:t xml:space="preserve"> and K</w:t>
      </w:r>
      <w:r w:rsidRPr="00E3232D">
        <w:rPr>
          <w:rFonts w:ascii="Book Antiqua" w:hAnsi="Book Antiqua"/>
          <w:vertAlign w:val="subscript"/>
        </w:rPr>
        <w:t>2</w:t>
      </w:r>
      <w:r w:rsidRPr="00E3232D">
        <w:rPr>
          <w:rFonts w:ascii="Book Antiqua" w:hAnsi="Book Antiqua"/>
        </w:rPr>
        <w:t xml:space="preserve"> are the constants depending on the material and on the machine design.</w:t>
      </w:r>
    </w:p>
    <w:p w14:paraId="565D9631" w14:textId="77777777" w:rsidR="00CA2555" w:rsidRPr="00E3232D" w:rsidRDefault="00CA2555" w:rsidP="00CA2555">
      <w:pPr>
        <w:pStyle w:val="ListParagraph"/>
        <w:jc w:val="both"/>
        <w:rPr>
          <w:rFonts w:ascii="Book Antiqua" w:hAnsi="Book Antiqua"/>
        </w:rPr>
      </w:pPr>
    </w:p>
    <w:p w14:paraId="5F57A872" w14:textId="77777777" w:rsidR="00F54904" w:rsidRPr="00E3232D" w:rsidRDefault="00F54904" w:rsidP="00196385">
      <w:pPr>
        <w:pStyle w:val="ListParagraph"/>
        <w:numPr>
          <w:ilvl w:val="0"/>
          <w:numId w:val="172"/>
        </w:numPr>
        <w:ind w:hanging="720"/>
        <w:jc w:val="both"/>
        <w:rPr>
          <w:rFonts w:ascii="Book Antiqua" w:hAnsi="Book Antiqua"/>
          <w:b/>
        </w:rPr>
      </w:pPr>
      <w:r w:rsidRPr="00CA2555">
        <w:rPr>
          <w:rFonts w:ascii="Book Antiqua" w:hAnsi="Book Antiqua"/>
          <w:b/>
          <w:sz w:val="26"/>
        </w:rPr>
        <w:t>Results</w:t>
      </w:r>
    </w:p>
    <w:p w14:paraId="40E604AA" w14:textId="77777777" w:rsidR="00F54904" w:rsidRPr="00E3232D" w:rsidRDefault="00F54904" w:rsidP="00896017">
      <w:pPr>
        <w:jc w:val="both"/>
        <w:rPr>
          <w:rFonts w:ascii="Book Antiqua" w:hAnsi="Book Antiqua"/>
          <w:color w:val="000000"/>
        </w:rPr>
      </w:pPr>
      <w:r w:rsidRPr="00E3232D">
        <w:rPr>
          <w:rFonts w:ascii="Book Antiqua" w:hAnsi="Book Antiqua"/>
        </w:rPr>
        <w:t xml:space="preserve">For the simulation of the PWM motor, results were focused on the line-to-line voltage, current, speed and torque. Figure 2 shows that the motor starts and reaches its steady speed of 181 rad/s (1728 rpm) after 4s. </w:t>
      </w:r>
      <w:r w:rsidRPr="00E3232D">
        <w:rPr>
          <w:rFonts w:ascii="Book Antiqua" w:hAnsi="Book Antiqua"/>
          <w:color w:val="000000"/>
        </w:rPr>
        <w:t xml:space="preserve">At starting, the magnitude of the 60 Hz current reaches 48 A peak (64 A RMS) whereas its steady-state value is 10.5 A (7.4 A RMS). As expected, the magnitude of the 60 Hz voltage contained in the chopped wave stays at </w:t>
      </w:r>
      <m:oMath>
        <m:r>
          <w:rPr>
            <w:rFonts w:ascii="Cambria Math" w:hAnsi="Cambria Math"/>
            <w:color w:val="000000"/>
          </w:rPr>
          <m:t>220×</m:t>
        </m:r>
        <m:rad>
          <m:radPr>
            <m:degHide m:val="1"/>
            <m:ctrlPr>
              <w:rPr>
                <w:rFonts w:ascii="Cambria Math" w:hAnsi="Cambria Math"/>
                <w:i/>
                <w:color w:val="000000"/>
              </w:rPr>
            </m:ctrlPr>
          </m:radPr>
          <m:deg/>
          <m:e>
            <m:r>
              <w:rPr>
                <w:rFonts w:ascii="Cambria Math" w:hAnsi="Cambria Math"/>
                <w:color w:val="000000"/>
              </w:rPr>
              <m:t>2</m:t>
            </m:r>
          </m:e>
        </m:rad>
        <m:r>
          <w:rPr>
            <w:rFonts w:ascii="Cambria Math" w:hAnsi="Cambria Math"/>
            <w:color w:val="000000"/>
          </w:rPr>
          <m:t>=311V</m:t>
        </m:r>
      </m:oMath>
      <w:r w:rsidRPr="00E3232D">
        <w:rPr>
          <w:rFonts w:ascii="Book Antiqua" w:hAnsi="Book Antiqua"/>
          <w:color w:val="000000"/>
        </w:rPr>
        <w:t xml:space="preserve">. Strong oscillations of the electromagnetic torque were also noticed at the starting. </w:t>
      </w:r>
    </w:p>
    <w:p w14:paraId="534DD323" w14:textId="77777777" w:rsidR="00F54904" w:rsidRPr="00E3232D" w:rsidRDefault="00F54904" w:rsidP="00896017">
      <w:pPr>
        <w:jc w:val="both"/>
        <w:rPr>
          <w:rFonts w:ascii="Book Antiqua" w:hAnsi="Book Antiqua"/>
          <w:b/>
        </w:rPr>
      </w:pPr>
    </w:p>
    <w:p w14:paraId="6BA9B656" w14:textId="77777777" w:rsidR="00F54904" w:rsidRPr="00E3232D" w:rsidRDefault="00850DC5" w:rsidP="008275E1">
      <w:pPr>
        <w:rPr>
          <w:rFonts w:ascii="Book Antiqua" w:hAnsi="Book Antiqua"/>
          <w:b/>
        </w:rPr>
      </w:pPr>
      <w:r>
        <w:rPr>
          <w:rFonts w:ascii="Book Antiqua" w:hAnsi="Book Antiqua"/>
          <w:noProof/>
        </w:rPr>
        <w:pict w14:anchorId="6E041C28">
          <v:shape id="_x0000_s1121" type="#_x0000_t202" style="position:absolute;margin-left:12pt;margin-top:165.15pt;width:201.75pt;height:37.5pt;z-index:251476480" strokecolor="white">
            <v:textbox style="mso-next-textbox:#_x0000_s1121">
              <w:txbxContent>
                <w:p w14:paraId="0D30A131" w14:textId="77777777" w:rsidR="00E2396E" w:rsidRPr="000D73D6" w:rsidRDefault="00E2396E" w:rsidP="00F54904">
                  <w:pPr>
                    <w:rPr>
                      <w:rFonts w:ascii="Times New Roman" w:hAnsi="Times New Roman"/>
                      <w:sz w:val="24"/>
                      <w:szCs w:val="24"/>
                    </w:rPr>
                  </w:pPr>
                  <w:r>
                    <w:rPr>
                      <w:rFonts w:ascii="Times New Roman" w:hAnsi="Times New Roman"/>
                      <w:sz w:val="24"/>
                      <w:szCs w:val="24"/>
                    </w:rPr>
                    <w:t>Figure 2</w:t>
                  </w:r>
                  <w:r w:rsidRPr="000D73D6">
                    <w:rPr>
                      <w:rFonts w:ascii="Times New Roman" w:hAnsi="Times New Roman"/>
                      <w:sz w:val="24"/>
                      <w:szCs w:val="24"/>
                    </w:rPr>
                    <w:t xml:space="preserve">: </w:t>
                  </w:r>
                  <w:r>
                    <w:rPr>
                      <w:rFonts w:ascii="Times New Roman" w:hAnsi="Times New Roman"/>
                      <w:sz w:val="24"/>
                      <w:szCs w:val="24"/>
                    </w:rPr>
                    <w:t xml:space="preserve">Simulation result of the </w:t>
                  </w:r>
                  <w:r w:rsidRPr="000D73D6">
                    <w:rPr>
                      <w:rFonts w:ascii="Times New Roman" w:hAnsi="Times New Roman"/>
                      <w:sz w:val="24"/>
                      <w:szCs w:val="24"/>
                    </w:rPr>
                    <w:t>Motor-PWM system</w:t>
                  </w:r>
                </w:p>
              </w:txbxContent>
            </v:textbox>
          </v:shape>
        </w:pict>
      </w:r>
      <w:r w:rsidR="007005B1">
        <w:rPr>
          <w:rFonts w:ascii="Book Antiqua" w:hAnsi="Book Antiqua"/>
          <w:b/>
          <w:noProof/>
          <w:u w:val="single"/>
          <w:lang w:bidi="ar-SA"/>
        </w:rPr>
        <w:drawing>
          <wp:inline distT="0" distB="0" distL="0" distR="0" wp14:anchorId="2EB929D6" wp14:editId="1086C199">
            <wp:extent cx="3143250" cy="203835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a:stretch>
                      <a:fillRect/>
                    </a:stretch>
                  </pic:blipFill>
                  <pic:spPr bwMode="auto">
                    <a:xfrm>
                      <a:off x="0" y="0"/>
                      <a:ext cx="3143250" cy="2038350"/>
                    </a:xfrm>
                    <a:prstGeom prst="rect">
                      <a:avLst/>
                    </a:prstGeom>
                    <a:noFill/>
                    <a:ln w="9525">
                      <a:noFill/>
                      <a:miter lim="800000"/>
                      <a:headEnd/>
                      <a:tailEnd/>
                    </a:ln>
                  </pic:spPr>
                </pic:pic>
              </a:graphicData>
            </a:graphic>
          </wp:inline>
        </w:drawing>
      </w:r>
    </w:p>
    <w:p w14:paraId="68C4EC2A" w14:textId="77777777" w:rsidR="00F54904" w:rsidRPr="00E3232D" w:rsidRDefault="00F54904" w:rsidP="008275E1">
      <w:pPr>
        <w:autoSpaceDE w:val="0"/>
        <w:autoSpaceDN w:val="0"/>
        <w:adjustRightInd w:val="0"/>
        <w:rPr>
          <w:rFonts w:ascii="Book Antiqua" w:hAnsi="Book Antiqua"/>
        </w:rPr>
      </w:pPr>
    </w:p>
    <w:p w14:paraId="65A4E8E3" w14:textId="77777777" w:rsidR="00F54904" w:rsidRPr="00E3232D" w:rsidRDefault="00F54904" w:rsidP="008275E1">
      <w:pPr>
        <w:autoSpaceDE w:val="0"/>
        <w:autoSpaceDN w:val="0"/>
        <w:adjustRightInd w:val="0"/>
        <w:rPr>
          <w:rFonts w:ascii="Book Antiqua" w:hAnsi="Book Antiqua"/>
        </w:rPr>
      </w:pPr>
    </w:p>
    <w:p w14:paraId="0287404F" w14:textId="77777777" w:rsidR="00F54904" w:rsidRPr="00E3232D" w:rsidRDefault="00F54904" w:rsidP="00896017">
      <w:pPr>
        <w:autoSpaceDE w:val="0"/>
        <w:autoSpaceDN w:val="0"/>
        <w:adjustRightInd w:val="0"/>
        <w:jc w:val="both"/>
        <w:rPr>
          <w:rFonts w:ascii="Book Antiqua" w:hAnsi="Book Antiqua"/>
          <w:color w:val="000000"/>
        </w:rPr>
      </w:pPr>
      <w:r w:rsidRPr="00E3232D">
        <w:rPr>
          <w:rFonts w:ascii="Book Antiqua" w:hAnsi="Book Antiqua"/>
        </w:rPr>
        <w:t xml:space="preserve">Moreover figure 3 shows that </w:t>
      </w:r>
      <w:r w:rsidRPr="00E3232D">
        <w:rPr>
          <w:rFonts w:ascii="Book Antiqua" w:hAnsi="Book Antiqua"/>
          <w:color w:val="000000"/>
        </w:rPr>
        <w:t>the currents in switches 1 and 2 are complementary as expected. A positive current indicates a current flowing in the IGBT, whereas a negative current indicates a current in the anti parallel diode.</w:t>
      </w:r>
    </w:p>
    <w:p w14:paraId="19BAC322" w14:textId="77777777" w:rsidR="00F54904" w:rsidRPr="00E3232D" w:rsidRDefault="00850DC5" w:rsidP="008275E1">
      <w:pPr>
        <w:rPr>
          <w:rFonts w:ascii="Book Antiqua" w:hAnsi="Book Antiqua"/>
          <w:b/>
        </w:rPr>
      </w:pPr>
      <w:r>
        <w:rPr>
          <w:rFonts w:ascii="Book Antiqua" w:hAnsi="Book Antiqua"/>
          <w:noProof/>
        </w:rPr>
        <w:pict w14:anchorId="1CBDCFAB">
          <v:shape id="_x0000_s1122" type="#_x0000_t202" style="position:absolute;margin-left:0;margin-top:135.25pt;width:228pt;height:37.5pt;z-index:251477504" strokecolor="white">
            <v:textbox style="mso-next-textbox:#_x0000_s1122">
              <w:txbxContent>
                <w:p w14:paraId="4D3AAFE3" w14:textId="77777777" w:rsidR="00E2396E" w:rsidRPr="000D73D6" w:rsidRDefault="00E2396E" w:rsidP="00F54904">
                  <w:pPr>
                    <w:rPr>
                      <w:rFonts w:ascii="Times New Roman" w:hAnsi="Times New Roman"/>
                      <w:sz w:val="24"/>
                      <w:szCs w:val="24"/>
                    </w:rPr>
                  </w:pPr>
                  <w:r w:rsidRPr="000D73D6">
                    <w:rPr>
                      <w:rFonts w:ascii="Times New Roman" w:hAnsi="Times New Roman"/>
                      <w:sz w:val="24"/>
                      <w:szCs w:val="24"/>
                    </w:rPr>
                    <w:t xml:space="preserve">Figure </w:t>
                  </w:r>
                  <w:r>
                    <w:rPr>
                      <w:rFonts w:ascii="Times New Roman" w:hAnsi="Times New Roman"/>
                      <w:sz w:val="24"/>
                      <w:szCs w:val="24"/>
                    </w:rPr>
                    <w:t>3</w:t>
                  </w:r>
                  <w:r w:rsidRPr="000D73D6">
                    <w:rPr>
                      <w:rFonts w:ascii="Times New Roman" w:hAnsi="Times New Roman"/>
                      <w:sz w:val="24"/>
                      <w:szCs w:val="24"/>
                    </w:rPr>
                    <w:t xml:space="preserve">: </w:t>
                  </w:r>
                  <w:r>
                    <w:rPr>
                      <w:rFonts w:ascii="Times New Roman" w:hAnsi="Times New Roman"/>
                      <w:sz w:val="24"/>
                      <w:szCs w:val="24"/>
                    </w:rPr>
                    <w:t>Currents in IGBT/Diodes switches 1 and 2</w:t>
                  </w:r>
                </w:p>
              </w:txbxContent>
            </v:textbox>
          </v:shape>
        </w:pict>
      </w:r>
      <w:r w:rsidR="007005B1">
        <w:rPr>
          <w:rFonts w:ascii="Book Antiqua" w:hAnsi="Book Antiqua"/>
          <w:b/>
          <w:noProof/>
          <w:u w:val="single"/>
          <w:lang w:bidi="ar-SA"/>
        </w:rPr>
        <w:drawing>
          <wp:inline distT="0" distB="0" distL="0" distR="0" wp14:anchorId="38D498BB" wp14:editId="4EF40DF5">
            <wp:extent cx="3257550" cy="1685925"/>
            <wp:effectExtent l="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srcRect/>
                    <a:stretch>
                      <a:fillRect/>
                    </a:stretch>
                  </pic:blipFill>
                  <pic:spPr bwMode="auto">
                    <a:xfrm>
                      <a:off x="0" y="0"/>
                      <a:ext cx="3257550" cy="1685925"/>
                    </a:xfrm>
                    <a:prstGeom prst="rect">
                      <a:avLst/>
                    </a:prstGeom>
                    <a:noFill/>
                    <a:ln w="9525">
                      <a:noFill/>
                      <a:miter lim="800000"/>
                      <a:headEnd/>
                      <a:tailEnd/>
                    </a:ln>
                  </pic:spPr>
                </pic:pic>
              </a:graphicData>
            </a:graphic>
          </wp:inline>
        </w:drawing>
      </w:r>
    </w:p>
    <w:p w14:paraId="2CDCBE2E" w14:textId="77777777" w:rsidR="00F54904" w:rsidRPr="00E3232D" w:rsidRDefault="00F54904" w:rsidP="008275E1">
      <w:pPr>
        <w:rPr>
          <w:rFonts w:ascii="Book Antiqua" w:hAnsi="Book Antiqua"/>
        </w:rPr>
      </w:pPr>
    </w:p>
    <w:p w14:paraId="2B78B87D" w14:textId="77777777" w:rsidR="00F54904" w:rsidRPr="00E3232D" w:rsidRDefault="00F54904" w:rsidP="00FE26BE">
      <w:pPr>
        <w:spacing w:after="0"/>
        <w:rPr>
          <w:rFonts w:ascii="Book Antiqua" w:hAnsi="Book Antiqua"/>
        </w:rPr>
      </w:pPr>
    </w:p>
    <w:p w14:paraId="514A5BB7" w14:textId="77777777" w:rsidR="00F54904" w:rsidRPr="00E3232D" w:rsidRDefault="00F54904" w:rsidP="00896017">
      <w:pPr>
        <w:spacing w:after="0"/>
        <w:jc w:val="both"/>
        <w:rPr>
          <w:rFonts w:ascii="Book Antiqua" w:hAnsi="Book Antiqua"/>
          <w:color w:val="000000"/>
        </w:rPr>
      </w:pPr>
      <w:r w:rsidRPr="00E3232D">
        <w:rPr>
          <w:rFonts w:ascii="Book Antiqua" w:hAnsi="Book Antiqua"/>
        </w:rPr>
        <w:t xml:space="preserve">Frequency analysis of the voltage produced can also be carried out using spectrum analyzer which is represented in our design by FFT analyzer and visualizer. </w:t>
      </w:r>
      <w:r w:rsidRPr="00E3232D">
        <w:rPr>
          <w:rFonts w:ascii="Book Antiqua" w:hAnsi="Book Antiqua"/>
          <w:color w:val="000000"/>
        </w:rPr>
        <w:t xml:space="preserve">The fundamental component and </w:t>
      </w:r>
      <w:r w:rsidRPr="00E3232D">
        <w:rPr>
          <w:rFonts w:ascii="Book Antiqua" w:hAnsi="Book Antiqua"/>
          <w:i/>
          <w:iCs/>
          <w:color w:val="000000"/>
        </w:rPr>
        <w:t xml:space="preserve">total harmonic distortion </w:t>
      </w:r>
      <w:r w:rsidRPr="00E3232D">
        <w:rPr>
          <w:rFonts w:ascii="Book Antiqua" w:hAnsi="Book Antiqua"/>
          <w:color w:val="000000"/>
        </w:rPr>
        <w:t xml:space="preserve">(THD) of the Vab voltage are displayed above the spectrum window. The magnitude of the </w:t>
      </w:r>
      <w:r w:rsidRPr="00E3232D">
        <w:rPr>
          <w:rFonts w:ascii="Book Antiqua" w:hAnsi="Book Antiqua"/>
          <w:color w:val="000000"/>
        </w:rPr>
        <w:lastRenderedPageBreak/>
        <w:t>fundamental of the inverted voltage (312 V) compares well with the theoretical value (311 V for m=0.9).</w:t>
      </w:r>
    </w:p>
    <w:p w14:paraId="2CAD6030" w14:textId="77777777" w:rsidR="00F54904" w:rsidRPr="00E3232D" w:rsidRDefault="00850DC5" w:rsidP="008275E1">
      <w:pPr>
        <w:autoSpaceDE w:val="0"/>
        <w:autoSpaceDN w:val="0"/>
        <w:adjustRightInd w:val="0"/>
        <w:jc w:val="center"/>
        <w:rPr>
          <w:rFonts w:ascii="Book Antiqua" w:hAnsi="Book Antiqua"/>
        </w:rPr>
      </w:pPr>
      <w:r>
        <w:rPr>
          <w:rFonts w:ascii="Book Antiqua" w:hAnsi="Book Antiqua"/>
          <w:b/>
          <w:noProof/>
        </w:rPr>
        <w:pict w14:anchorId="03C8498C">
          <v:shape id="_x0000_s1123" type="#_x0000_t202" style="position:absolute;left:0;text-align:left;margin-left:1.5pt;margin-top:166.5pt;width:228.75pt;height:37.5pt;z-index:251478528" strokecolor="white">
            <v:textbox style="mso-next-textbox:#_x0000_s1123">
              <w:txbxContent>
                <w:p w14:paraId="75AD4246" w14:textId="77777777" w:rsidR="00E2396E" w:rsidRPr="000D73D6" w:rsidRDefault="00E2396E" w:rsidP="00F54904">
                  <w:pPr>
                    <w:rPr>
                      <w:rFonts w:ascii="Times New Roman" w:hAnsi="Times New Roman"/>
                      <w:sz w:val="24"/>
                      <w:szCs w:val="24"/>
                    </w:rPr>
                  </w:pPr>
                  <w:r w:rsidRPr="000D73D6">
                    <w:rPr>
                      <w:rFonts w:ascii="Times New Roman" w:hAnsi="Times New Roman"/>
                      <w:sz w:val="24"/>
                      <w:szCs w:val="24"/>
                    </w:rPr>
                    <w:t xml:space="preserve">Figure </w:t>
                  </w:r>
                  <w:r>
                    <w:rPr>
                      <w:rFonts w:ascii="Times New Roman" w:hAnsi="Times New Roman"/>
                      <w:sz w:val="24"/>
                      <w:szCs w:val="24"/>
                    </w:rPr>
                    <w:t>4</w:t>
                  </w:r>
                  <w:r w:rsidRPr="000D73D6">
                    <w:rPr>
                      <w:rFonts w:ascii="Times New Roman" w:hAnsi="Times New Roman"/>
                      <w:sz w:val="24"/>
                      <w:szCs w:val="24"/>
                    </w:rPr>
                    <w:t xml:space="preserve">: </w:t>
                  </w:r>
                  <w:r>
                    <w:rPr>
                      <w:rFonts w:ascii="Times New Roman" w:hAnsi="Times New Roman"/>
                      <w:sz w:val="24"/>
                      <w:szCs w:val="24"/>
                    </w:rPr>
                    <w:t>FFT analysis of the motor line-to-line voltage</w:t>
                  </w:r>
                </w:p>
              </w:txbxContent>
            </v:textbox>
          </v:shape>
        </w:pict>
      </w:r>
      <w:r w:rsidR="007005B1">
        <w:rPr>
          <w:rFonts w:ascii="Book Antiqua" w:hAnsi="Book Antiqua"/>
          <w:b/>
          <w:noProof/>
          <w:u w:val="single"/>
          <w:lang w:bidi="ar-SA"/>
        </w:rPr>
        <w:drawing>
          <wp:inline distT="0" distB="0" distL="0" distR="0" wp14:anchorId="35BA35A9" wp14:editId="43A957E8">
            <wp:extent cx="2943225" cy="2076450"/>
            <wp:effectExtent l="19050" t="0" r="9525" b="0"/>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srcRect/>
                    <a:stretch>
                      <a:fillRect/>
                    </a:stretch>
                  </pic:blipFill>
                  <pic:spPr bwMode="auto">
                    <a:xfrm>
                      <a:off x="0" y="0"/>
                      <a:ext cx="2943225" cy="2076450"/>
                    </a:xfrm>
                    <a:prstGeom prst="rect">
                      <a:avLst/>
                    </a:prstGeom>
                    <a:noFill/>
                    <a:ln w="9525">
                      <a:noFill/>
                      <a:miter lim="800000"/>
                      <a:headEnd/>
                      <a:tailEnd/>
                    </a:ln>
                  </pic:spPr>
                </pic:pic>
              </a:graphicData>
            </a:graphic>
          </wp:inline>
        </w:drawing>
      </w:r>
    </w:p>
    <w:p w14:paraId="124FC9B6" w14:textId="77777777" w:rsidR="00F54904" w:rsidRPr="00E3232D" w:rsidRDefault="00F54904" w:rsidP="008275E1">
      <w:pPr>
        <w:jc w:val="center"/>
        <w:rPr>
          <w:rFonts w:ascii="Book Antiqua" w:hAnsi="Book Antiqua"/>
          <w:b/>
        </w:rPr>
      </w:pPr>
    </w:p>
    <w:p w14:paraId="19FA0E68" w14:textId="77777777" w:rsidR="00F54904" w:rsidRPr="00E3232D" w:rsidRDefault="00F54904" w:rsidP="008275E1">
      <w:pPr>
        <w:rPr>
          <w:rFonts w:ascii="Book Antiqua" w:hAnsi="Book Antiqua"/>
          <w:b/>
        </w:rPr>
      </w:pPr>
    </w:p>
    <w:p w14:paraId="2907639B" w14:textId="77777777" w:rsidR="00F54904" w:rsidRPr="00E3232D" w:rsidRDefault="00F54904" w:rsidP="00196385">
      <w:pPr>
        <w:pStyle w:val="ListParagraph"/>
        <w:numPr>
          <w:ilvl w:val="0"/>
          <w:numId w:val="172"/>
        </w:numPr>
        <w:ind w:hanging="720"/>
        <w:jc w:val="both"/>
        <w:rPr>
          <w:rFonts w:ascii="Book Antiqua" w:hAnsi="Book Antiqua"/>
          <w:b/>
        </w:rPr>
      </w:pPr>
      <w:r w:rsidRPr="00CA2555">
        <w:rPr>
          <w:rFonts w:ascii="Book Antiqua" w:hAnsi="Book Antiqua"/>
          <w:b/>
          <w:sz w:val="26"/>
        </w:rPr>
        <w:t>Discussion</w:t>
      </w:r>
      <w:r w:rsidRPr="00E3232D">
        <w:rPr>
          <w:rFonts w:ascii="Book Antiqua" w:hAnsi="Book Antiqua"/>
          <w:b/>
        </w:rPr>
        <w:t xml:space="preserve"> </w:t>
      </w:r>
    </w:p>
    <w:p w14:paraId="1B84F126" w14:textId="77777777" w:rsidR="00F54904" w:rsidRPr="00E3232D" w:rsidRDefault="00F54904" w:rsidP="00896017">
      <w:pPr>
        <w:jc w:val="both"/>
        <w:rPr>
          <w:rFonts w:ascii="Book Antiqua" w:hAnsi="Book Antiqua"/>
        </w:rPr>
      </w:pPr>
      <w:r w:rsidRPr="00E3232D">
        <w:rPr>
          <w:rFonts w:ascii="Book Antiqua" w:hAnsi="Book Antiqua"/>
        </w:rPr>
        <w:t>A full simulation of Asynchronous motor driven by PWM has been covered in all aspects in this paper including the motor operation characteristics and the frequency analysis. Results show that the motor speed is related to the inverted voltage which also relies on the timing circuit set by the PWM circuit. This really responds to the V/f speed control for induction motor. Also the frequency analysis shows the harmonics and probable distortion that affect the fundamental frequency of the line-to-line voltage Vab. The speed can be better regulated by using a closed loop passing through a PID block with fuzzy logic. Also many other works do relate to the reduction of the Total Harmonics added to the fundamental voltage.</w:t>
      </w:r>
    </w:p>
    <w:p w14:paraId="56240F5A" w14:textId="77777777" w:rsidR="00F6233F" w:rsidRDefault="00F6233F" w:rsidP="00896017">
      <w:pPr>
        <w:jc w:val="both"/>
        <w:rPr>
          <w:rFonts w:ascii="Book Antiqua" w:hAnsi="Book Antiqua"/>
        </w:rPr>
      </w:pPr>
    </w:p>
    <w:p w14:paraId="406DD3A6" w14:textId="77777777" w:rsidR="00F54904" w:rsidRPr="00E3232D" w:rsidRDefault="00F54904" w:rsidP="00896017">
      <w:pPr>
        <w:spacing w:after="0"/>
        <w:jc w:val="both"/>
        <w:rPr>
          <w:rFonts w:ascii="Book Antiqua" w:hAnsi="Book Antiqua"/>
        </w:rPr>
      </w:pPr>
      <w:r w:rsidRPr="00E3232D">
        <w:rPr>
          <w:rFonts w:ascii="Book Antiqua" w:hAnsi="Book Antiqua"/>
        </w:rPr>
        <w:t xml:space="preserve">Emphasis can also be made on the flexibility afforded by using the simulation approach. Students can easily alter any parameter like the modulation index m and see the effect on the motor output characteristics. This takes less than a minute while the real physical lab may require more settings and therefore more time. </w:t>
      </w:r>
    </w:p>
    <w:p w14:paraId="505D6CFB" w14:textId="77777777" w:rsidR="00BE5E32" w:rsidRDefault="00BE5E32" w:rsidP="00896017">
      <w:pPr>
        <w:spacing w:after="0"/>
        <w:jc w:val="both"/>
        <w:rPr>
          <w:rFonts w:ascii="Book Antiqua" w:hAnsi="Book Antiqua"/>
        </w:rPr>
      </w:pPr>
    </w:p>
    <w:p w14:paraId="2B2AC5AE" w14:textId="77777777" w:rsidR="00F54904" w:rsidRPr="00E3232D" w:rsidRDefault="00F54904" w:rsidP="00896017">
      <w:pPr>
        <w:spacing w:after="0"/>
        <w:jc w:val="both"/>
        <w:rPr>
          <w:rFonts w:ascii="Book Antiqua" w:hAnsi="Book Antiqua"/>
        </w:rPr>
      </w:pPr>
      <w:r w:rsidRPr="00E3232D">
        <w:rPr>
          <w:rFonts w:ascii="Book Antiqua" w:hAnsi="Book Antiqua"/>
        </w:rPr>
        <w:t>In case of error in connecting components, the simulation will not succeed and will show error messages. However, the same error might end with several damages in case of a physical laboratory. In short, errors are permitted with the simulation design but are not tolerated with the physical one as this can lead to severe damages to physical lab components.</w:t>
      </w:r>
    </w:p>
    <w:p w14:paraId="22EE7EA7" w14:textId="77777777" w:rsidR="00BE5E32" w:rsidRDefault="00BE5E32" w:rsidP="00896017">
      <w:pPr>
        <w:jc w:val="both"/>
        <w:rPr>
          <w:rFonts w:ascii="Book Antiqua" w:hAnsi="Book Antiqua"/>
        </w:rPr>
      </w:pPr>
    </w:p>
    <w:p w14:paraId="327D895C" w14:textId="77777777" w:rsidR="00F54904" w:rsidRPr="00E3232D" w:rsidRDefault="00F54904" w:rsidP="00896017">
      <w:pPr>
        <w:jc w:val="both"/>
        <w:rPr>
          <w:rFonts w:ascii="Book Antiqua" w:hAnsi="Book Antiqua"/>
        </w:rPr>
      </w:pPr>
      <w:r w:rsidRPr="00E3232D">
        <w:rPr>
          <w:rFonts w:ascii="Book Antiqua" w:hAnsi="Book Antiqua"/>
        </w:rPr>
        <w:t>Moreover, the implementation cost is huge for the physical lab as compared to the virtual lab. For instance, if the virtual lab discussed in this paper were to be physically implemented, the cost estimate of the physical laboratory will be as shown in table 1:</w:t>
      </w:r>
    </w:p>
    <w:p w14:paraId="150B6D36" w14:textId="680907E2" w:rsidR="00F54904" w:rsidRPr="00E3232D" w:rsidRDefault="00F54904" w:rsidP="008275E1">
      <w:pPr>
        <w:pStyle w:val="Caption"/>
        <w:spacing w:line="276" w:lineRule="auto"/>
        <w:jc w:val="center"/>
        <w:rPr>
          <w:rFonts w:ascii="Book Antiqua" w:hAnsi="Book Antiqua"/>
          <w:b w:val="0"/>
          <w:sz w:val="22"/>
          <w:szCs w:val="22"/>
          <w:u w:val="single"/>
        </w:rPr>
      </w:pPr>
      <w:r w:rsidRPr="00E3232D">
        <w:rPr>
          <w:rFonts w:ascii="Book Antiqua" w:hAnsi="Book Antiqua"/>
          <w:sz w:val="22"/>
          <w:szCs w:val="22"/>
          <w:u w:val="single"/>
        </w:rPr>
        <w:t xml:space="preserve">Table </w:t>
      </w:r>
      <w:r w:rsidR="001815AD" w:rsidRPr="00E3232D">
        <w:rPr>
          <w:rFonts w:ascii="Book Antiqua" w:hAnsi="Book Antiqua"/>
          <w:sz w:val="22"/>
          <w:szCs w:val="22"/>
          <w:u w:val="single"/>
        </w:rPr>
        <w:fldChar w:fldCharType="begin"/>
      </w:r>
      <w:r w:rsidRPr="00E3232D">
        <w:rPr>
          <w:rFonts w:ascii="Book Antiqua" w:hAnsi="Book Antiqua"/>
          <w:sz w:val="22"/>
          <w:szCs w:val="22"/>
          <w:u w:val="single"/>
        </w:rPr>
        <w:instrText xml:space="preserve"> SEQ Table \* ARABIC </w:instrText>
      </w:r>
      <w:r w:rsidR="001815AD" w:rsidRPr="00E3232D">
        <w:rPr>
          <w:rFonts w:ascii="Book Antiqua" w:hAnsi="Book Antiqua"/>
          <w:sz w:val="22"/>
          <w:szCs w:val="22"/>
          <w:u w:val="single"/>
        </w:rPr>
        <w:fldChar w:fldCharType="separate"/>
      </w:r>
      <w:r w:rsidR="00850DC5">
        <w:rPr>
          <w:rFonts w:ascii="Book Antiqua" w:hAnsi="Book Antiqua"/>
          <w:noProof/>
          <w:sz w:val="22"/>
          <w:szCs w:val="22"/>
          <w:u w:val="single"/>
        </w:rPr>
        <w:t>1</w:t>
      </w:r>
      <w:r w:rsidR="001815AD" w:rsidRPr="00E3232D">
        <w:rPr>
          <w:rFonts w:ascii="Book Antiqua" w:hAnsi="Book Antiqua"/>
          <w:sz w:val="22"/>
          <w:szCs w:val="22"/>
          <w:u w:val="single"/>
        </w:rPr>
        <w:fldChar w:fldCharType="end"/>
      </w:r>
      <w:r w:rsidRPr="00E3232D">
        <w:rPr>
          <w:rFonts w:ascii="Book Antiqua" w:hAnsi="Book Antiqua"/>
          <w:sz w:val="22"/>
          <w:szCs w:val="22"/>
          <w:u w:val="single"/>
        </w:rPr>
        <w:t>: Cost estimate for a Physical Lab on Asynchronous Motor driven by PWM</w:t>
      </w:r>
    </w:p>
    <w:tbl>
      <w:tblPr>
        <w:tblStyle w:val="LightShading1"/>
        <w:tblW w:w="0" w:type="auto"/>
        <w:tblLook w:val="06E0" w:firstRow="1" w:lastRow="1" w:firstColumn="1" w:lastColumn="0" w:noHBand="1" w:noVBand="1"/>
      </w:tblPr>
      <w:tblGrid>
        <w:gridCol w:w="2353"/>
        <w:gridCol w:w="2016"/>
      </w:tblGrid>
      <w:tr w:rsidR="00F54904" w:rsidRPr="00D12E59" w14:paraId="15C04A5F" w14:textId="77777777" w:rsidTr="000D32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72695B79" w14:textId="77777777" w:rsidR="00F54904" w:rsidRPr="00D12E59" w:rsidRDefault="00F54904" w:rsidP="00896017">
            <w:pPr>
              <w:spacing w:after="0" w:line="240" w:lineRule="auto"/>
              <w:rPr>
                <w:rFonts w:ascii="Book Antiqua" w:hAnsi="Book Antiqua"/>
                <w:b w:val="0"/>
              </w:rPr>
            </w:pPr>
            <w:r w:rsidRPr="00D12E59">
              <w:rPr>
                <w:rFonts w:ascii="Book Antiqua" w:hAnsi="Book Antiqua"/>
                <w:b w:val="0"/>
              </w:rPr>
              <w:t>Material</w:t>
            </w:r>
          </w:p>
        </w:tc>
        <w:tc>
          <w:tcPr>
            <w:tcW w:w="3192" w:type="dxa"/>
          </w:tcPr>
          <w:p w14:paraId="4EE72D43" w14:textId="77777777" w:rsidR="00F54904" w:rsidRPr="00D12E59" w:rsidRDefault="00F54904" w:rsidP="00896017">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D12E59">
              <w:rPr>
                <w:rFonts w:ascii="Book Antiqua" w:hAnsi="Book Antiqua"/>
                <w:b w:val="0"/>
              </w:rPr>
              <w:t>Cost Estimate ($)</w:t>
            </w:r>
          </w:p>
        </w:tc>
      </w:tr>
      <w:tr w:rsidR="00F54904" w:rsidRPr="00D12E59" w14:paraId="4C1B812F" w14:textId="77777777" w:rsidTr="000D32B6">
        <w:tc>
          <w:tcPr>
            <w:cnfStyle w:val="001000000000" w:firstRow="0" w:lastRow="0" w:firstColumn="1" w:lastColumn="0" w:oddVBand="0" w:evenVBand="0" w:oddHBand="0" w:evenHBand="0" w:firstRowFirstColumn="0" w:firstRowLastColumn="0" w:lastRowFirstColumn="0" w:lastRowLastColumn="0"/>
            <w:tcW w:w="3192" w:type="dxa"/>
          </w:tcPr>
          <w:p w14:paraId="0CF1C8A0" w14:textId="77777777" w:rsidR="00F54904" w:rsidRPr="00D12E59" w:rsidRDefault="00F54904" w:rsidP="00896017">
            <w:pPr>
              <w:spacing w:after="0" w:line="240" w:lineRule="auto"/>
              <w:rPr>
                <w:rFonts w:ascii="Book Antiqua" w:hAnsi="Book Antiqua"/>
              </w:rPr>
            </w:pPr>
            <w:r w:rsidRPr="00D12E59">
              <w:rPr>
                <w:rFonts w:ascii="Book Antiqua" w:hAnsi="Book Antiqua"/>
              </w:rPr>
              <w:t xml:space="preserve">PWM Generator </w:t>
            </w:r>
          </w:p>
        </w:tc>
        <w:tc>
          <w:tcPr>
            <w:tcW w:w="3192" w:type="dxa"/>
          </w:tcPr>
          <w:p w14:paraId="32AA58C0" w14:textId="77777777" w:rsidR="00F54904" w:rsidRPr="00D12E59" w:rsidRDefault="00F54904" w:rsidP="008960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300</w:t>
            </w:r>
          </w:p>
        </w:tc>
      </w:tr>
      <w:tr w:rsidR="00F54904" w:rsidRPr="00D12E59" w14:paraId="0C787CED" w14:textId="77777777" w:rsidTr="000D32B6">
        <w:tc>
          <w:tcPr>
            <w:cnfStyle w:val="001000000000" w:firstRow="0" w:lastRow="0" w:firstColumn="1" w:lastColumn="0" w:oddVBand="0" w:evenVBand="0" w:oddHBand="0" w:evenHBand="0" w:firstRowFirstColumn="0" w:firstRowLastColumn="0" w:lastRowFirstColumn="0" w:lastRowLastColumn="0"/>
            <w:tcW w:w="3192" w:type="dxa"/>
          </w:tcPr>
          <w:p w14:paraId="5637D432" w14:textId="77777777" w:rsidR="00F54904" w:rsidRPr="00D12E59" w:rsidRDefault="00F54904" w:rsidP="00896017">
            <w:pPr>
              <w:spacing w:after="0" w:line="240" w:lineRule="auto"/>
              <w:rPr>
                <w:rFonts w:ascii="Book Antiqua" w:hAnsi="Book Antiqua"/>
              </w:rPr>
            </w:pPr>
            <w:r w:rsidRPr="00D12E59">
              <w:rPr>
                <w:rFonts w:ascii="Book Antiqua" w:hAnsi="Book Antiqua"/>
              </w:rPr>
              <w:t>DC Source (4kW, 400V)</w:t>
            </w:r>
          </w:p>
        </w:tc>
        <w:tc>
          <w:tcPr>
            <w:tcW w:w="3192" w:type="dxa"/>
          </w:tcPr>
          <w:p w14:paraId="36D46020" w14:textId="77777777" w:rsidR="00F54904" w:rsidRPr="00D12E59" w:rsidRDefault="00F54904" w:rsidP="008960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5000</w:t>
            </w:r>
          </w:p>
        </w:tc>
      </w:tr>
      <w:tr w:rsidR="00F54904" w:rsidRPr="00D12E59" w14:paraId="59E617CF" w14:textId="77777777" w:rsidTr="000D32B6">
        <w:tc>
          <w:tcPr>
            <w:cnfStyle w:val="001000000000" w:firstRow="0" w:lastRow="0" w:firstColumn="1" w:lastColumn="0" w:oddVBand="0" w:evenVBand="0" w:oddHBand="0" w:evenHBand="0" w:firstRowFirstColumn="0" w:firstRowLastColumn="0" w:lastRowFirstColumn="0" w:lastRowLastColumn="0"/>
            <w:tcW w:w="3192" w:type="dxa"/>
          </w:tcPr>
          <w:p w14:paraId="055D46A6" w14:textId="77777777" w:rsidR="00F54904" w:rsidRPr="00D12E59" w:rsidRDefault="00F54904" w:rsidP="00896017">
            <w:pPr>
              <w:spacing w:after="0" w:line="240" w:lineRule="auto"/>
              <w:rPr>
                <w:rFonts w:ascii="Book Antiqua" w:hAnsi="Book Antiqua"/>
              </w:rPr>
            </w:pPr>
            <w:r w:rsidRPr="00D12E59">
              <w:rPr>
                <w:rFonts w:ascii="Book Antiqua" w:hAnsi="Book Antiqua"/>
              </w:rPr>
              <w:t>IGBT/Diode (20 A 400V)</w:t>
            </w:r>
          </w:p>
        </w:tc>
        <w:tc>
          <w:tcPr>
            <w:tcW w:w="3192" w:type="dxa"/>
          </w:tcPr>
          <w:p w14:paraId="666C0AC5" w14:textId="77777777" w:rsidR="00F54904" w:rsidRPr="00D12E59" w:rsidRDefault="00F54904" w:rsidP="008960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10</w:t>
            </w:r>
          </w:p>
        </w:tc>
      </w:tr>
      <w:tr w:rsidR="00F54904" w:rsidRPr="00D12E59" w14:paraId="2B9E2F43" w14:textId="77777777" w:rsidTr="000D32B6">
        <w:tc>
          <w:tcPr>
            <w:cnfStyle w:val="001000000000" w:firstRow="0" w:lastRow="0" w:firstColumn="1" w:lastColumn="0" w:oddVBand="0" w:evenVBand="0" w:oddHBand="0" w:evenHBand="0" w:firstRowFirstColumn="0" w:firstRowLastColumn="0" w:lastRowFirstColumn="0" w:lastRowLastColumn="0"/>
            <w:tcW w:w="3192" w:type="dxa"/>
          </w:tcPr>
          <w:p w14:paraId="6B2C3DC8" w14:textId="77777777" w:rsidR="00F54904" w:rsidRPr="00D12E59" w:rsidRDefault="00F54904" w:rsidP="00896017">
            <w:pPr>
              <w:spacing w:after="0" w:line="240" w:lineRule="auto"/>
              <w:rPr>
                <w:rFonts w:ascii="Book Antiqua" w:hAnsi="Book Antiqua"/>
              </w:rPr>
            </w:pPr>
            <w:r w:rsidRPr="00D12E59">
              <w:rPr>
                <w:rFonts w:ascii="Book Antiqua" w:hAnsi="Book Antiqua"/>
              </w:rPr>
              <w:t>Asynchronous Motor</w:t>
            </w:r>
          </w:p>
        </w:tc>
        <w:tc>
          <w:tcPr>
            <w:tcW w:w="3192" w:type="dxa"/>
          </w:tcPr>
          <w:p w14:paraId="1B4B1CD7" w14:textId="77777777" w:rsidR="00F54904" w:rsidRPr="00D12E59" w:rsidRDefault="00F54904" w:rsidP="008960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1000</w:t>
            </w:r>
          </w:p>
        </w:tc>
      </w:tr>
      <w:tr w:rsidR="00F54904" w:rsidRPr="00D12E59" w14:paraId="30B219A9" w14:textId="77777777" w:rsidTr="000D32B6">
        <w:tc>
          <w:tcPr>
            <w:cnfStyle w:val="001000000000" w:firstRow="0" w:lastRow="0" w:firstColumn="1" w:lastColumn="0" w:oddVBand="0" w:evenVBand="0" w:oddHBand="0" w:evenHBand="0" w:firstRowFirstColumn="0" w:firstRowLastColumn="0" w:lastRowFirstColumn="0" w:lastRowLastColumn="0"/>
            <w:tcW w:w="3192" w:type="dxa"/>
          </w:tcPr>
          <w:p w14:paraId="6E87D7EE" w14:textId="77777777" w:rsidR="00F54904" w:rsidRPr="00D12E59" w:rsidRDefault="00F54904" w:rsidP="00896017">
            <w:pPr>
              <w:spacing w:after="0" w:line="240" w:lineRule="auto"/>
              <w:rPr>
                <w:rFonts w:ascii="Book Antiqua" w:hAnsi="Book Antiqua"/>
              </w:rPr>
            </w:pPr>
            <w:r w:rsidRPr="00D12E59">
              <w:rPr>
                <w:rFonts w:ascii="Book Antiqua" w:hAnsi="Book Antiqua"/>
              </w:rPr>
              <w:t>Oscilloscope</w:t>
            </w:r>
          </w:p>
        </w:tc>
        <w:tc>
          <w:tcPr>
            <w:tcW w:w="3192" w:type="dxa"/>
          </w:tcPr>
          <w:p w14:paraId="6C73C74F" w14:textId="77777777" w:rsidR="00F54904" w:rsidRPr="00D12E59" w:rsidRDefault="00F54904" w:rsidP="008960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400</w:t>
            </w:r>
          </w:p>
        </w:tc>
      </w:tr>
      <w:tr w:rsidR="00F54904" w:rsidRPr="00D12E59" w14:paraId="3D0550B3" w14:textId="77777777" w:rsidTr="000D32B6">
        <w:tc>
          <w:tcPr>
            <w:cnfStyle w:val="001000000000" w:firstRow="0" w:lastRow="0" w:firstColumn="1" w:lastColumn="0" w:oddVBand="0" w:evenVBand="0" w:oddHBand="0" w:evenHBand="0" w:firstRowFirstColumn="0" w:firstRowLastColumn="0" w:lastRowFirstColumn="0" w:lastRowLastColumn="0"/>
            <w:tcW w:w="3192" w:type="dxa"/>
          </w:tcPr>
          <w:p w14:paraId="3B8F3AE4" w14:textId="77777777" w:rsidR="00F54904" w:rsidRPr="00D12E59" w:rsidRDefault="00F54904" w:rsidP="00896017">
            <w:pPr>
              <w:spacing w:after="0" w:line="240" w:lineRule="auto"/>
              <w:rPr>
                <w:rFonts w:ascii="Book Antiqua" w:hAnsi="Book Antiqua"/>
              </w:rPr>
            </w:pPr>
            <w:r w:rsidRPr="00D12E59">
              <w:rPr>
                <w:rFonts w:ascii="Book Antiqua" w:hAnsi="Book Antiqua"/>
              </w:rPr>
              <w:t>Spectrum Analyzer</w:t>
            </w:r>
          </w:p>
        </w:tc>
        <w:tc>
          <w:tcPr>
            <w:tcW w:w="3192" w:type="dxa"/>
          </w:tcPr>
          <w:p w14:paraId="00D31626" w14:textId="77777777" w:rsidR="00F54904" w:rsidRPr="00D12E59" w:rsidRDefault="00F54904" w:rsidP="008960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700</w:t>
            </w:r>
          </w:p>
        </w:tc>
      </w:tr>
      <w:tr w:rsidR="00F54904" w:rsidRPr="00D12E59" w14:paraId="40FA85EF" w14:textId="77777777" w:rsidTr="000D32B6">
        <w:tc>
          <w:tcPr>
            <w:cnfStyle w:val="001000000000" w:firstRow="0" w:lastRow="0" w:firstColumn="1" w:lastColumn="0" w:oddVBand="0" w:evenVBand="0" w:oddHBand="0" w:evenHBand="0" w:firstRowFirstColumn="0" w:firstRowLastColumn="0" w:lastRowFirstColumn="0" w:lastRowLastColumn="0"/>
            <w:tcW w:w="3192" w:type="dxa"/>
          </w:tcPr>
          <w:p w14:paraId="0FF5B2E8" w14:textId="77777777" w:rsidR="00F54904" w:rsidRPr="00D12E59" w:rsidRDefault="00F54904" w:rsidP="00896017">
            <w:pPr>
              <w:spacing w:after="0" w:line="240" w:lineRule="auto"/>
              <w:rPr>
                <w:rFonts w:ascii="Book Antiqua" w:hAnsi="Book Antiqua"/>
              </w:rPr>
            </w:pPr>
            <w:r w:rsidRPr="00D12E59">
              <w:rPr>
                <w:rFonts w:ascii="Book Antiqua" w:hAnsi="Book Antiqua"/>
              </w:rPr>
              <w:t>Other materials</w:t>
            </w:r>
          </w:p>
        </w:tc>
        <w:tc>
          <w:tcPr>
            <w:tcW w:w="3192" w:type="dxa"/>
          </w:tcPr>
          <w:p w14:paraId="5FDD1EFC" w14:textId="77777777" w:rsidR="00F54904" w:rsidRPr="00D12E59" w:rsidRDefault="00F54904" w:rsidP="008960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200</w:t>
            </w:r>
          </w:p>
        </w:tc>
      </w:tr>
      <w:tr w:rsidR="00F54904" w:rsidRPr="00D12E59" w14:paraId="3072CB6E" w14:textId="77777777" w:rsidTr="000D32B6">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65F0FA3D" w14:textId="77777777" w:rsidR="00F54904" w:rsidRPr="00D12E59" w:rsidRDefault="00F54904" w:rsidP="00896017">
            <w:pPr>
              <w:spacing w:after="0" w:line="240" w:lineRule="auto"/>
              <w:rPr>
                <w:rFonts w:ascii="Book Antiqua" w:hAnsi="Book Antiqua"/>
              </w:rPr>
            </w:pPr>
            <w:r w:rsidRPr="00D12E59">
              <w:rPr>
                <w:rFonts w:ascii="Book Antiqua" w:hAnsi="Book Antiqua"/>
              </w:rPr>
              <w:t>Total</w:t>
            </w:r>
          </w:p>
        </w:tc>
        <w:tc>
          <w:tcPr>
            <w:tcW w:w="3192" w:type="dxa"/>
          </w:tcPr>
          <w:p w14:paraId="68BCDCE2" w14:textId="77777777" w:rsidR="00F54904" w:rsidRPr="00D12E59" w:rsidRDefault="00F54904" w:rsidP="00896017">
            <w:pPr>
              <w:spacing w:after="0" w:line="240" w:lineRule="auto"/>
              <w:jc w:val="center"/>
              <w:cnfStyle w:val="010000000000" w:firstRow="0" w:lastRow="1" w:firstColumn="0" w:lastColumn="0" w:oddVBand="0" w:evenVBand="0" w:oddHBand="0" w:evenHBand="0" w:firstRowFirstColumn="0" w:firstRowLastColumn="0" w:lastRowFirstColumn="0" w:lastRowLastColumn="0"/>
              <w:rPr>
                <w:rFonts w:ascii="Book Antiqua" w:hAnsi="Book Antiqua"/>
                <w:b w:val="0"/>
              </w:rPr>
            </w:pPr>
            <w:r w:rsidRPr="00D12E59">
              <w:rPr>
                <w:rFonts w:ascii="Book Antiqua" w:hAnsi="Book Antiqua"/>
                <w:b w:val="0"/>
              </w:rPr>
              <w:t>7610</w:t>
            </w:r>
          </w:p>
        </w:tc>
      </w:tr>
    </w:tbl>
    <w:p w14:paraId="3EF30211" w14:textId="77777777" w:rsidR="00F54904" w:rsidRPr="00E3232D" w:rsidRDefault="00F54904" w:rsidP="00896017">
      <w:pPr>
        <w:spacing w:after="0"/>
        <w:rPr>
          <w:rFonts w:ascii="Book Antiqua" w:hAnsi="Book Antiqua"/>
          <w:b/>
        </w:rPr>
      </w:pPr>
    </w:p>
    <w:p w14:paraId="0BA32E7B" w14:textId="77777777" w:rsidR="00F54904" w:rsidRPr="00E3232D" w:rsidRDefault="00F54904" w:rsidP="000D32B6">
      <w:pPr>
        <w:spacing w:after="0"/>
        <w:jc w:val="both"/>
        <w:rPr>
          <w:rFonts w:ascii="Book Antiqua" w:hAnsi="Book Antiqua"/>
        </w:rPr>
      </w:pPr>
      <w:r w:rsidRPr="00E3232D">
        <w:rPr>
          <w:rFonts w:ascii="Book Antiqua" w:hAnsi="Book Antiqua"/>
        </w:rPr>
        <w:lastRenderedPageBreak/>
        <w:t>For a simulation approach, however, one needs a computer with the Matlab software installed. Similarly the implementation cost of the same laboratory set-up with the approach of virtual laboratory is shown in table 2.</w:t>
      </w:r>
    </w:p>
    <w:p w14:paraId="0E3AD22B" w14:textId="77777777" w:rsidR="0013126D" w:rsidRDefault="0013126D" w:rsidP="000D32B6">
      <w:pPr>
        <w:pStyle w:val="Caption"/>
        <w:spacing w:after="0" w:line="276" w:lineRule="auto"/>
        <w:jc w:val="both"/>
        <w:rPr>
          <w:rFonts w:ascii="Book Antiqua" w:hAnsi="Book Antiqua"/>
          <w:sz w:val="22"/>
          <w:szCs w:val="22"/>
          <w:u w:val="single"/>
        </w:rPr>
      </w:pPr>
    </w:p>
    <w:p w14:paraId="019D78EB" w14:textId="0FAA47C9" w:rsidR="00F54904" w:rsidRPr="00E3232D" w:rsidRDefault="00F54904" w:rsidP="00FE26BE">
      <w:pPr>
        <w:pStyle w:val="Caption"/>
        <w:spacing w:after="0" w:line="276" w:lineRule="auto"/>
        <w:rPr>
          <w:rFonts w:ascii="Book Antiqua" w:hAnsi="Book Antiqua"/>
          <w:b w:val="0"/>
          <w:sz w:val="22"/>
          <w:szCs w:val="22"/>
          <w:u w:val="single"/>
        </w:rPr>
      </w:pPr>
      <w:r w:rsidRPr="00E3232D">
        <w:rPr>
          <w:rFonts w:ascii="Book Antiqua" w:hAnsi="Book Antiqua"/>
          <w:sz w:val="22"/>
          <w:szCs w:val="22"/>
          <w:u w:val="single"/>
        </w:rPr>
        <w:t xml:space="preserve">Table </w:t>
      </w:r>
      <w:r w:rsidR="001815AD" w:rsidRPr="00E3232D">
        <w:rPr>
          <w:rFonts w:ascii="Book Antiqua" w:hAnsi="Book Antiqua"/>
          <w:sz w:val="22"/>
          <w:szCs w:val="22"/>
          <w:u w:val="single"/>
        </w:rPr>
        <w:fldChar w:fldCharType="begin"/>
      </w:r>
      <w:r w:rsidRPr="00E3232D">
        <w:rPr>
          <w:rFonts w:ascii="Book Antiqua" w:hAnsi="Book Antiqua"/>
          <w:sz w:val="22"/>
          <w:szCs w:val="22"/>
          <w:u w:val="single"/>
        </w:rPr>
        <w:instrText xml:space="preserve"> SEQ Table \* ARABIC </w:instrText>
      </w:r>
      <w:r w:rsidR="001815AD" w:rsidRPr="00E3232D">
        <w:rPr>
          <w:rFonts w:ascii="Book Antiqua" w:hAnsi="Book Antiqua"/>
          <w:sz w:val="22"/>
          <w:szCs w:val="22"/>
          <w:u w:val="single"/>
        </w:rPr>
        <w:fldChar w:fldCharType="separate"/>
      </w:r>
      <w:r w:rsidR="00850DC5">
        <w:rPr>
          <w:rFonts w:ascii="Book Antiqua" w:hAnsi="Book Antiqua"/>
          <w:noProof/>
          <w:sz w:val="22"/>
          <w:szCs w:val="22"/>
          <w:u w:val="single"/>
        </w:rPr>
        <w:t>2</w:t>
      </w:r>
      <w:r w:rsidR="001815AD" w:rsidRPr="00E3232D">
        <w:rPr>
          <w:rFonts w:ascii="Book Antiqua" w:hAnsi="Book Antiqua"/>
          <w:sz w:val="22"/>
          <w:szCs w:val="22"/>
          <w:u w:val="single"/>
        </w:rPr>
        <w:fldChar w:fldCharType="end"/>
      </w:r>
      <w:r w:rsidRPr="00E3232D">
        <w:rPr>
          <w:rFonts w:ascii="Book Antiqua" w:hAnsi="Book Antiqua"/>
          <w:sz w:val="22"/>
          <w:szCs w:val="22"/>
          <w:u w:val="single"/>
        </w:rPr>
        <w:t>: Cost estimate for a Virtual Lab on Asynchronous Motor driven by PWM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4"/>
        <w:gridCol w:w="1605"/>
      </w:tblGrid>
      <w:tr w:rsidR="00F54904" w:rsidRPr="00D12E59" w14:paraId="4AB40527" w14:textId="77777777" w:rsidTr="008D6FB2">
        <w:trPr>
          <w:jc w:val="center"/>
        </w:trPr>
        <w:tc>
          <w:tcPr>
            <w:tcW w:w="0" w:type="auto"/>
            <w:tcBorders>
              <w:left w:val="nil"/>
              <w:bottom w:val="single" w:sz="4" w:space="0" w:color="auto"/>
              <w:right w:val="nil"/>
            </w:tcBorders>
          </w:tcPr>
          <w:p w14:paraId="113472D1" w14:textId="77777777" w:rsidR="00F54904" w:rsidRPr="00D12E59" w:rsidRDefault="00F54904" w:rsidP="008D6FB2">
            <w:pPr>
              <w:spacing w:line="240" w:lineRule="auto"/>
              <w:rPr>
                <w:rFonts w:ascii="Book Antiqua" w:hAnsi="Book Antiqua"/>
                <w:b/>
              </w:rPr>
            </w:pPr>
            <w:r w:rsidRPr="00D12E59">
              <w:rPr>
                <w:rFonts w:ascii="Book Antiqua" w:hAnsi="Book Antiqua"/>
                <w:b/>
              </w:rPr>
              <w:t>Material</w:t>
            </w:r>
          </w:p>
        </w:tc>
        <w:tc>
          <w:tcPr>
            <w:tcW w:w="0" w:type="auto"/>
            <w:tcBorders>
              <w:left w:val="nil"/>
              <w:bottom w:val="single" w:sz="4" w:space="0" w:color="auto"/>
              <w:right w:val="nil"/>
            </w:tcBorders>
          </w:tcPr>
          <w:p w14:paraId="24256C2F" w14:textId="77777777" w:rsidR="00F54904" w:rsidRPr="00D12E59" w:rsidRDefault="00F54904" w:rsidP="008D6FB2">
            <w:pPr>
              <w:spacing w:line="240" w:lineRule="auto"/>
              <w:rPr>
                <w:rFonts w:ascii="Book Antiqua" w:hAnsi="Book Antiqua"/>
                <w:b/>
              </w:rPr>
            </w:pPr>
            <w:r w:rsidRPr="00D12E59">
              <w:rPr>
                <w:rFonts w:ascii="Book Antiqua" w:hAnsi="Book Antiqua"/>
                <w:b/>
              </w:rPr>
              <w:t>Cost Estimate ($)</w:t>
            </w:r>
          </w:p>
        </w:tc>
      </w:tr>
      <w:tr w:rsidR="00F54904" w:rsidRPr="00D12E59" w14:paraId="18532D43" w14:textId="77777777" w:rsidTr="008D6FB2">
        <w:trPr>
          <w:jc w:val="center"/>
        </w:trPr>
        <w:tc>
          <w:tcPr>
            <w:tcW w:w="0" w:type="auto"/>
            <w:tcBorders>
              <w:left w:val="nil"/>
              <w:bottom w:val="nil"/>
              <w:right w:val="nil"/>
            </w:tcBorders>
          </w:tcPr>
          <w:p w14:paraId="77368298" w14:textId="77777777" w:rsidR="00F54904" w:rsidRPr="00D12E59" w:rsidRDefault="00F54904" w:rsidP="008D6FB2">
            <w:pPr>
              <w:spacing w:line="240" w:lineRule="auto"/>
              <w:rPr>
                <w:rFonts w:ascii="Book Antiqua" w:hAnsi="Book Antiqua"/>
              </w:rPr>
            </w:pPr>
            <w:r w:rsidRPr="00D12E59">
              <w:rPr>
                <w:rFonts w:ascii="Book Antiqua" w:hAnsi="Book Antiqua"/>
              </w:rPr>
              <w:t xml:space="preserve">Standard Computer </w:t>
            </w:r>
          </w:p>
        </w:tc>
        <w:tc>
          <w:tcPr>
            <w:tcW w:w="0" w:type="auto"/>
            <w:tcBorders>
              <w:left w:val="nil"/>
              <w:bottom w:val="nil"/>
              <w:right w:val="nil"/>
            </w:tcBorders>
          </w:tcPr>
          <w:p w14:paraId="013CE614" w14:textId="77777777" w:rsidR="00F54904" w:rsidRPr="00D12E59" w:rsidRDefault="00F54904" w:rsidP="008D6FB2">
            <w:pPr>
              <w:spacing w:line="240" w:lineRule="auto"/>
              <w:jc w:val="center"/>
              <w:rPr>
                <w:rFonts w:ascii="Book Antiqua" w:hAnsi="Book Antiqua"/>
                <w:b/>
              </w:rPr>
            </w:pPr>
            <w:r w:rsidRPr="00D12E59">
              <w:rPr>
                <w:rFonts w:ascii="Book Antiqua" w:hAnsi="Book Antiqua"/>
                <w:b/>
              </w:rPr>
              <w:t>1000</w:t>
            </w:r>
          </w:p>
        </w:tc>
      </w:tr>
      <w:tr w:rsidR="00F54904" w:rsidRPr="00D12E59" w14:paraId="4733B6C7" w14:textId="77777777" w:rsidTr="008D6FB2">
        <w:trPr>
          <w:jc w:val="center"/>
        </w:trPr>
        <w:tc>
          <w:tcPr>
            <w:tcW w:w="0" w:type="auto"/>
            <w:tcBorders>
              <w:top w:val="nil"/>
              <w:left w:val="nil"/>
              <w:bottom w:val="nil"/>
              <w:right w:val="nil"/>
            </w:tcBorders>
          </w:tcPr>
          <w:p w14:paraId="49FC2C52" w14:textId="77777777" w:rsidR="00F54904" w:rsidRPr="00D12E59" w:rsidRDefault="00F54904" w:rsidP="008D6FB2">
            <w:pPr>
              <w:spacing w:line="240" w:lineRule="auto"/>
              <w:rPr>
                <w:rFonts w:ascii="Book Antiqua" w:hAnsi="Book Antiqua"/>
              </w:rPr>
            </w:pPr>
            <w:r w:rsidRPr="00D12E59">
              <w:rPr>
                <w:rFonts w:ascii="Book Antiqua" w:hAnsi="Book Antiqua"/>
              </w:rPr>
              <w:t>Matlab Software (student Edition)</w:t>
            </w:r>
          </w:p>
        </w:tc>
        <w:tc>
          <w:tcPr>
            <w:tcW w:w="0" w:type="auto"/>
            <w:tcBorders>
              <w:top w:val="nil"/>
              <w:left w:val="nil"/>
              <w:bottom w:val="nil"/>
              <w:right w:val="nil"/>
            </w:tcBorders>
          </w:tcPr>
          <w:p w14:paraId="6A3D27FB" w14:textId="77777777" w:rsidR="00F54904" w:rsidRPr="00D12E59" w:rsidRDefault="00F54904" w:rsidP="008D6FB2">
            <w:pPr>
              <w:spacing w:line="240" w:lineRule="auto"/>
              <w:jc w:val="center"/>
              <w:rPr>
                <w:rFonts w:ascii="Book Antiqua" w:hAnsi="Book Antiqua"/>
                <w:b/>
              </w:rPr>
            </w:pPr>
            <w:r w:rsidRPr="00D12E59">
              <w:rPr>
                <w:rFonts w:ascii="Book Antiqua" w:hAnsi="Book Antiqua"/>
                <w:b/>
              </w:rPr>
              <w:t>625</w:t>
            </w:r>
          </w:p>
        </w:tc>
      </w:tr>
      <w:tr w:rsidR="00F54904" w:rsidRPr="00D12E59" w14:paraId="7548DDE1" w14:textId="77777777" w:rsidTr="008D6FB2">
        <w:trPr>
          <w:jc w:val="center"/>
        </w:trPr>
        <w:tc>
          <w:tcPr>
            <w:tcW w:w="0" w:type="auto"/>
            <w:tcBorders>
              <w:top w:val="nil"/>
              <w:left w:val="nil"/>
              <w:bottom w:val="nil"/>
              <w:right w:val="nil"/>
            </w:tcBorders>
          </w:tcPr>
          <w:p w14:paraId="25F7CE08" w14:textId="77777777" w:rsidR="00F54904" w:rsidRPr="00D12E59" w:rsidRDefault="00F54904" w:rsidP="008D6FB2">
            <w:pPr>
              <w:spacing w:line="240" w:lineRule="auto"/>
              <w:rPr>
                <w:rFonts w:ascii="Book Antiqua" w:hAnsi="Book Antiqua"/>
              </w:rPr>
            </w:pPr>
            <w:r w:rsidRPr="00D12E59">
              <w:rPr>
                <w:rFonts w:ascii="Book Antiqua" w:hAnsi="Book Antiqua"/>
              </w:rPr>
              <w:t>Others (Computer Accessories)</w:t>
            </w:r>
          </w:p>
        </w:tc>
        <w:tc>
          <w:tcPr>
            <w:tcW w:w="0" w:type="auto"/>
            <w:tcBorders>
              <w:top w:val="nil"/>
              <w:left w:val="nil"/>
              <w:bottom w:val="nil"/>
              <w:right w:val="nil"/>
            </w:tcBorders>
          </w:tcPr>
          <w:p w14:paraId="2EA7C54D" w14:textId="77777777" w:rsidR="00F54904" w:rsidRPr="00D12E59" w:rsidRDefault="00F54904" w:rsidP="008D6FB2">
            <w:pPr>
              <w:spacing w:line="240" w:lineRule="auto"/>
              <w:jc w:val="center"/>
              <w:rPr>
                <w:rFonts w:ascii="Book Antiqua" w:hAnsi="Book Antiqua"/>
                <w:b/>
              </w:rPr>
            </w:pPr>
            <w:r w:rsidRPr="00D12E59">
              <w:rPr>
                <w:rFonts w:ascii="Book Antiqua" w:hAnsi="Book Antiqua"/>
                <w:b/>
              </w:rPr>
              <w:t>100</w:t>
            </w:r>
          </w:p>
        </w:tc>
      </w:tr>
      <w:tr w:rsidR="00F54904" w:rsidRPr="00D12E59" w14:paraId="3614A59E" w14:textId="77777777" w:rsidTr="008D6FB2">
        <w:trPr>
          <w:jc w:val="center"/>
        </w:trPr>
        <w:tc>
          <w:tcPr>
            <w:tcW w:w="0" w:type="auto"/>
            <w:tcBorders>
              <w:top w:val="nil"/>
              <w:left w:val="nil"/>
              <w:right w:val="nil"/>
            </w:tcBorders>
          </w:tcPr>
          <w:p w14:paraId="077508D0" w14:textId="77777777" w:rsidR="00F54904" w:rsidRPr="00D12E59" w:rsidRDefault="00F54904" w:rsidP="008D6FB2">
            <w:pPr>
              <w:spacing w:line="240" w:lineRule="auto"/>
              <w:rPr>
                <w:rFonts w:ascii="Book Antiqua" w:hAnsi="Book Antiqua"/>
              </w:rPr>
            </w:pPr>
            <w:r w:rsidRPr="00D12E59">
              <w:rPr>
                <w:rFonts w:ascii="Book Antiqua" w:hAnsi="Book Antiqua"/>
              </w:rPr>
              <w:t>Total</w:t>
            </w:r>
          </w:p>
        </w:tc>
        <w:tc>
          <w:tcPr>
            <w:tcW w:w="0" w:type="auto"/>
            <w:tcBorders>
              <w:top w:val="nil"/>
              <w:left w:val="nil"/>
              <w:right w:val="nil"/>
            </w:tcBorders>
          </w:tcPr>
          <w:p w14:paraId="2FDFC1A5" w14:textId="77777777" w:rsidR="00F54904" w:rsidRPr="00D12E59" w:rsidRDefault="00F54904" w:rsidP="008D6FB2">
            <w:pPr>
              <w:spacing w:line="240" w:lineRule="auto"/>
              <w:jc w:val="center"/>
              <w:rPr>
                <w:rFonts w:ascii="Book Antiqua" w:hAnsi="Book Antiqua"/>
                <w:b/>
              </w:rPr>
            </w:pPr>
            <w:r w:rsidRPr="00D12E59">
              <w:rPr>
                <w:rFonts w:ascii="Book Antiqua" w:hAnsi="Book Antiqua"/>
                <w:b/>
              </w:rPr>
              <w:t>1725</w:t>
            </w:r>
          </w:p>
        </w:tc>
      </w:tr>
    </w:tbl>
    <w:p w14:paraId="51226D99" w14:textId="77777777" w:rsidR="00FE26BE" w:rsidRDefault="00FE26BE" w:rsidP="008275E1">
      <w:pPr>
        <w:rPr>
          <w:rFonts w:ascii="Book Antiqua" w:hAnsi="Book Antiqua"/>
        </w:rPr>
      </w:pPr>
    </w:p>
    <w:p w14:paraId="30D36033" w14:textId="77777777" w:rsidR="00F54904" w:rsidRPr="00E3232D" w:rsidRDefault="00F54904" w:rsidP="00340E76">
      <w:pPr>
        <w:jc w:val="both"/>
        <w:rPr>
          <w:rFonts w:ascii="Book Antiqua" w:hAnsi="Book Antiqua"/>
        </w:rPr>
      </w:pPr>
      <w:r w:rsidRPr="00E3232D">
        <w:rPr>
          <w:rFonts w:ascii="Book Antiqua" w:hAnsi="Book Antiqua"/>
        </w:rPr>
        <w:t>The approach by virtual laboratory costs $1725 and comparing it to $7610 of a physical lab, it is obvious that the simulation approach can considerably reduce the implementation cost while providing quality education.</w:t>
      </w:r>
    </w:p>
    <w:p w14:paraId="381E414C" w14:textId="77777777" w:rsidR="00F54904" w:rsidRPr="00E3232D" w:rsidRDefault="00F54904" w:rsidP="00CA2555">
      <w:pPr>
        <w:spacing w:after="0"/>
        <w:rPr>
          <w:rFonts w:ascii="Book Antiqua" w:hAnsi="Book Antiqua"/>
          <w:b/>
        </w:rPr>
      </w:pPr>
    </w:p>
    <w:p w14:paraId="7BBBBFFF" w14:textId="77777777" w:rsidR="00F54904" w:rsidRPr="00E3232D" w:rsidRDefault="00F54904" w:rsidP="00196385">
      <w:pPr>
        <w:pStyle w:val="ListParagraph"/>
        <w:numPr>
          <w:ilvl w:val="0"/>
          <w:numId w:val="172"/>
        </w:numPr>
        <w:rPr>
          <w:rFonts w:ascii="Book Antiqua" w:hAnsi="Book Antiqua"/>
          <w:b/>
        </w:rPr>
      </w:pPr>
      <w:r w:rsidRPr="000D32B6">
        <w:rPr>
          <w:rFonts w:ascii="Book Antiqua" w:hAnsi="Book Antiqua"/>
          <w:b/>
          <w:sz w:val="26"/>
        </w:rPr>
        <w:t>Conclusion</w:t>
      </w:r>
      <w:r w:rsidRPr="00E3232D">
        <w:rPr>
          <w:rFonts w:ascii="Book Antiqua" w:hAnsi="Book Antiqua"/>
          <w:b/>
        </w:rPr>
        <w:t xml:space="preserve"> </w:t>
      </w:r>
    </w:p>
    <w:p w14:paraId="6CC18D19" w14:textId="77777777" w:rsidR="00F54904" w:rsidRPr="00E3232D" w:rsidRDefault="00F54904" w:rsidP="00340E76">
      <w:pPr>
        <w:spacing w:after="0"/>
        <w:jc w:val="both"/>
        <w:rPr>
          <w:rFonts w:ascii="Book Antiqua" w:hAnsi="Book Antiqua"/>
        </w:rPr>
      </w:pPr>
      <w:r w:rsidRPr="00E3232D">
        <w:rPr>
          <w:rFonts w:ascii="Book Antiqua" w:hAnsi="Book Antiqua"/>
        </w:rPr>
        <w:t>In summary this article proposes the simulation of Asynchronous Motor Driven by PWM as a virtual laboratory to show the advantages of its adoption versus physical laboratory. The simulation was successfully done with MATLAB/SimPowerSystem and results in term of motor speed, torque related closely to those of the theory. Also the fundamental of the line-to-line voltage was analyzed with FFT tool.</w:t>
      </w:r>
    </w:p>
    <w:p w14:paraId="584EF4D6" w14:textId="77777777" w:rsidR="0007792C" w:rsidRDefault="0007792C" w:rsidP="00FE26BE">
      <w:pPr>
        <w:spacing w:after="0"/>
        <w:rPr>
          <w:rFonts w:ascii="Book Antiqua" w:hAnsi="Book Antiqua"/>
        </w:rPr>
      </w:pPr>
    </w:p>
    <w:p w14:paraId="6813A037" w14:textId="77777777" w:rsidR="00F54904" w:rsidRPr="00E3232D" w:rsidRDefault="00F54904" w:rsidP="000D32B6">
      <w:pPr>
        <w:spacing w:after="0"/>
        <w:jc w:val="both"/>
        <w:rPr>
          <w:rFonts w:ascii="Book Antiqua" w:hAnsi="Book Antiqua"/>
        </w:rPr>
      </w:pPr>
      <w:r w:rsidRPr="00E3232D">
        <w:rPr>
          <w:rFonts w:ascii="Book Antiqua" w:hAnsi="Book Antiqua"/>
        </w:rPr>
        <w:t>Furthermore, it was also shown that Virtual laboratories provide some benefits over physical laboratories in terms of flexibility in design manipulation, time constraints, capabilities to accept errors and finally, implementation cost.</w:t>
      </w:r>
    </w:p>
    <w:p w14:paraId="53F63C17" w14:textId="77777777" w:rsidR="00F54904" w:rsidRPr="00E3232D" w:rsidRDefault="00F54904" w:rsidP="00CA2555">
      <w:pPr>
        <w:spacing w:after="0"/>
        <w:jc w:val="both"/>
        <w:rPr>
          <w:rFonts w:ascii="Book Antiqua" w:hAnsi="Book Antiqua"/>
          <w:b/>
        </w:rPr>
      </w:pPr>
    </w:p>
    <w:p w14:paraId="286C1D97" w14:textId="77777777" w:rsidR="00F54904" w:rsidRPr="000D32B6" w:rsidRDefault="00F54904" w:rsidP="00196385">
      <w:pPr>
        <w:pStyle w:val="ListParagraph"/>
        <w:numPr>
          <w:ilvl w:val="0"/>
          <w:numId w:val="172"/>
        </w:numPr>
        <w:jc w:val="both"/>
        <w:rPr>
          <w:rFonts w:ascii="Book Antiqua" w:hAnsi="Book Antiqua"/>
          <w:b/>
          <w:sz w:val="26"/>
        </w:rPr>
      </w:pPr>
      <w:r w:rsidRPr="000D32B6">
        <w:rPr>
          <w:rFonts w:ascii="Book Antiqua" w:hAnsi="Book Antiqua"/>
          <w:b/>
          <w:sz w:val="26"/>
        </w:rPr>
        <w:t>Recommendations</w:t>
      </w:r>
    </w:p>
    <w:p w14:paraId="56B7FE86" w14:textId="77777777" w:rsidR="00F54904" w:rsidRPr="00E3232D" w:rsidRDefault="00F54904" w:rsidP="000D32B6">
      <w:pPr>
        <w:jc w:val="both"/>
        <w:rPr>
          <w:rFonts w:ascii="Book Antiqua" w:hAnsi="Book Antiqua"/>
        </w:rPr>
      </w:pPr>
      <w:r w:rsidRPr="00E3232D">
        <w:rPr>
          <w:rFonts w:ascii="Book Antiqua" w:hAnsi="Book Antiqua"/>
        </w:rPr>
        <w:t xml:space="preserve">The adoption of Virtual Laboratories can improve on students’ technical background significantly and prepare them to meet the quality requirement of industry in Power system and related fields in engineering and technology. </w:t>
      </w:r>
    </w:p>
    <w:p w14:paraId="6BAC3E42" w14:textId="77777777" w:rsidR="00F54904" w:rsidRPr="00E3232D" w:rsidRDefault="00F54904" w:rsidP="000D32B6">
      <w:pPr>
        <w:jc w:val="both"/>
        <w:rPr>
          <w:rFonts w:ascii="Book Antiqua" w:hAnsi="Book Antiqua"/>
        </w:rPr>
      </w:pPr>
      <w:r w:rsidRPr="00E3232D">
        <w:rPr>
          <w:rFonts w:ascii="Book Antiqua" w:hAnsi="Book Antiqua"/>
        </w:rPr>
        <w:t xml:space="preserve">Polytechnics therefore must create a platform to design a lot of laboratory activities related to each course in their syllabi with the concept of Virtual Laboratories. This can also help to address the gap in practical knowledge identified by industries. </w:t>
      </w:r>
    </w:p>
    <w:p w14:paraId="49DD532D" w14:textId="77777777" w:rsidR="00F54904" w:rsidRPr="00E3232D" w:rsidRDefault="00F54904" w:rsidP="00CA2555">
      <w:pPr>
        <w:spacing w:after="0"/>
        <w:rPr>
          <w:rFonts w:ascii="Book Antiqua" w:hAnsi="Book Antiqua"/>
        </w:rPr>
      </w:pPr>
    </w:p>
    <w:p w14:paraId="4ACCC016" w14:textId="77777777" w:rsidR="00F54904" w:rsidRPr="00AB79DE" w:rsidRDefault="00F54904" w:rsidP="00AB79DE">
      <w:pPr>
        <w:jc w:val="both"/>
        <w:rPr>
          <w:rFonts w:ascii="Book Antiqua" w:hAnsi="Book Antiqua"/>
          <w:sz w:val="26"/>
        </w:rPr>
      </w:pPr>
      <w:r w:rsidRPr="00AB79DE">
        <w:rPr>
          <w:rFonts w:ascii="Book Antiqua" w:hAnsi="Book Antiqua"/>
          <w:b/>
          <w:sz w:val="26"/>
        </w:rPr>
        <w:t xml:space="preserve">References </w:t>
      </w:r>
    </w:p>
    <w:p w14:paraId="2BF1E48F"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rPr>
        <w:t xml:space="preserve">Afeti, George. (2003). Promoting Change and Innovation in Tertiary Education: The Experience of Ho Polytechnic, Ghana. Proceeding </w:t>
      </w:r>
      <w:r w:rsidRPr="00E3232D">
        <w:rPr>
          <w:rFonts w:ascii="Book Antiqua" w:hAnsi="Book Antiqua"/>
          <w:i/>
        </w:rPr>
        <w:t>of Improving tertiary Education in Sub-Saharan Africa</w:t>
      </w:r>
      <w:r w:rsidRPr="00E3232D">
        <w:rPr>
          <w:rFonts w:ascii="Book Antiqua" w:hAnsi="Book Antiqua"/>
        </w:rPr>
        <w:t xml:space="preserve">: </w:t>
      </w:r>
      <w:r w:rsidRPr="00E3232D">
        <w:rPr>
          <w:rFonts w:ascii="Book Antiqua" w:hAnsi="Book Antiqua"/>
          <w:i/>
        </w:rPr>
        <w:t xml:space="preserve">Things That World, </w:t>
      </w:r>
      <w:r w:rsidRPr="00E3232D">
        <w:rPr>
          <w:rFonts w:ascii="Book Antiqua" w:hAnsi="Book Antiqua"/>
        </w:rPr>
        <w:t>23</w:t>
      </w:r>
      <w:r w:rsidRPr="00E3232D">
        <w:rPr>
          <w:rFonts w:ascii="Book Antiqua" w:hAnsi="Book Antiqua"/>
          <w:vertAlign w:val="superscript"/>
        </w:rPr>
        <w:t>rd</w:t>
      </w:r>
      <w:r w:rsidRPr="00E3232D">
        <w:rPr>
          <w:rFonts w:ascii="Book Antiqua" w:hAnsi="Book Antiqua"/>
        </w:rPr>
        <w:t>-25</w:t>
      </w:r>
      <w:r w:rsidRPr="00E3232D">
        <w:rPr>
          <w:rFonts w:ascii="Book Antiqua" w:hAnsi="Book Antiqua"/>
          <w:vertAlign w:val="superscript"/>
        </w:rPr>
        <w:t>th</w:t>
      </w:r>
      <w:r w:rsidRPr="00E3232D">
        <w:rPr>
          <w:rFonts w:ascii="Book Antiqua" w:hAnsi="Book Antiqua"/>
        </w:rPr>
        <w:t>, September, 2003.</w:t>
      </w:r>
    </w:p>
    <w:p w14:paraId="79DA103F"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rPr>
        <w:t>Barbara, A.S &amp; Robert, S. (2003). A Virtual Lab in Research Methods. Vol. 30 No.2, University of California</w:t>
      </w:r>
    </w:p>
    <w:p w14:paraId="3DAE39F9"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rPr>
        <w:t xml:space="preserve">Chen, X. Song, G. &amp; Zhang, Y. (2010). Virtual and Remote Laboratory Development: A Review. Earth </w:t>
      </w:r>
      <w:r w:rsidRPr="00E3232D">
        <w:rPr>
          <w:rFonts w:ascii="Book Antiqua" w:hAnsi="Book Antiqua"/>
        </w:rPr>
        <w:lastRenderedPageBreak/>
        <w:t>and Space 2010: Engineering, Science, Construction, and Operations in Challenging Environments, 2010 ASCE</w:t>
      </w:r>
    </w:p>
    <w:p w14:paraId="5FF2CD50"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lang w:val="fr-FR"/>
        </w:rPr>
        <w:t xml:space="preserve">Gomes, L. &amp; Garcia-Zubia, J. (2007). </w:t>
      </w:r>
      <w:r w:rsidRPr="00E3232D">
        <w:rPr>
          <w:rFonts w:ascii="Book Antiqua" w:hAnsi="Book Antiqua"/>
        </w:rPr>
        <w:t>Advances on Remote Labs and e-Learning Experiences. pp. 131-149. Univ. of Deusto.</w:t>
      </w:r>
    </w:p>
    <w:p w14:paraId="00BB5753"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rPr>
        <w:tab/>
        <w:t>Herrera, A.O. &amp; Fuller, A.D. (2011). Collaborative model for remote experimentation laboratories used by non-hierarchical distributed groups of engineering students. Australasian Journal of Educational Technology, 27(3), 428-445.</w:t>
      </w:r>
    </w:p>
    <w:p w14:paraId="2E11B5CA"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lang w:val="fr-FR"/>
        </w:rPr>
        <w:t xml:space="preserve">Jensen, N. Seipel, S. Von-Voigt, G. Raasch, S. Olbrich, S. &amp; Wolfgang, N. (2003). </w:t>
      </w:r>
      <w:r w:rsidRPr="00E3232D">
        <w:rPr>
          <w:rFonts w:ascii="Book Antiqua" w:hAnsi="Book Antiqua"/>
        </w:rPr>
        <w:t xml:space="preserve">Development of a Virtual Laboratory System for Science Education and the Study of Collaborative Action. University of Hanover. </w:t>
      </w:r>
    </w:p>
    <w:p w14:paraId="7877C76B"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rPr>
        <w:t xml:space="preserve">Kocijancic, S. &amp; O’Sullivan, C. (2004). Real or Virtual Laboratories in Science </w:t>
      </w:r>
      <w:r w:rsidRPr="00E3232D">
        <w:rPr>
          <w:rFonts w:ascii="Book Antiqua" w:hAnsi="Book Antiqua"/>
        </w:rPr>
        <w:t>Teaching – is this Actually a Dilemma?. Informatics in Education, Vol. 3, No. 2, 239–250.</w:t>
      </w:r>
    </w:p>
    <w:p w14:paraId="262A52B0"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rPr>
        <w:t xml:space="preserve">Lkhagva, O. Ulambayar, T. &amp; Enkhtsetseg, P. (2012). Virtual Laboratory for Physics Teaching, In Proceeding of International Conference on Management and Education Innovation. Vol. 37, ACSIT Press, Singapore </w:t>
      </w:r>
    </w:p>
    <w:p w14:paraId="40B30114"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lang w:val="fr-FR"/>
        </w:rPr>
        <w:t xml:space="preserve">Ma, J. &amp; Nickerson, J. V. (2006). </w:t>
      </w:r>
      <w:r w:rsidRPr="00E3232D">
        <w:rPr>
          <w:rFonts w:ascii="Book Antiqua" w:hAnsi="Book Antiqua"/>
        </w:rPr>
        <w:t xml:space="preserve">Hands-on, simulated and remote laboratories: A comparative literature review. ACM Computing Surveys, 38(3), 1-24. </w:t>
      </w:r>
    </w:p>
    <w:p w14:paraId="2E3D3F9F"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rPr>
        <w:t xml:space="preserve">Mathworks (2012). SimPower System User's Guide. Mathworks Inc, Hydro-Quebec </w:t>
      </w:r>
    </w:p>
    <w:p w14:paraId="7EBE8B0D" w14:textId="77777777" w:rsidR="00F54904" w:rsidRPr="00E3232D" w:rsidRDefault="00F54904" w:rsidP="00AB79DE">
      <w:pPr>
        <w:spacing w:after="240"/>
        <w:ind w:left="810" w:hanging="810"/>
        <w:jc w:val="both"/>
        <w:rPr>
          <w:rFonts w:ascii="Book Antiqua" w:hAnsi="Book Antiqua"/>
        </w:rPr>
      </w:pPr>
      <w:r w:rsidRPr="00E3232D">
        <w:rPr>
          <w:rFonts w:ascii="Book Antiqua" w:hAnsi="Book Antiqua"/>
        </w:rPr>
        <w:t>TÜYSÜZ C. (2010). The Effect of the Virtual Laboratory on Students’ Achievement and Attitude in Chemistry. International Online Journal of Educational Sciences, 2 (1), 3 7 – 53</w:t>
      </w:r>
    </w:p>
    <w:p w14:paraId="6EE97F2F" w14:textId="77777777" w:rsidR="00F54904" w:rsidRPr="00E3232D" w:rsidRDefault="00F54904" w:rsidP="00340E76">
      <w:pPr>
        <w:jc w:val="both"/>
        <w:rPr>
          <w:rFonts w:ascii="Book Antiqua" w:hAnsi="Book Antiqua"/>
        </w:rPr>
        <w:sectPr w:rsidR="00F54904" w:rsidRPr="00E3232D" w:rsidSect="008F6BC9">
          <w:type w:val="continuous"/>
          <w:pgSz w:w="11907" w:h="16839" w:code="9"/>
          <w:pgMar w:top="1440" w:right="1440" w:bottom="1440" w:left="1440" w:header="720" w:footer="720" w:gutter="0"/>
          <w:cols w:num="2" w:space="720"/>
          <w:docGrid w:linePitch="360"/>
        </w:sectPr>
      </w:pPr>
    </w:p>
    <w:p w14:paraId="0EC12BE2" w14:textId="77777777" w:rsidR="00914091" w:rsidRPr="00E3232D" w:rsidRDefault="00914091" w:rsidP="00340E76">
      <w:pPr>
        <w:tabs>
          <w:tab w:val="left" w:pos="2880"/>
        </w:tabs>
        <w:jc w:val="both"/>
        <w:rPr>
          <w:rFonts w:ascii="Book Antiqua" w:hAnsi="Book Antiqua"/>
          <w:b/>
        </w:rPr>
      </w:pPr>
    </w:p>
    <w:p w14:paraId="23BD2FAE" w14:textId="77777777" w:rsidR="0007792C" w:rsidRDefault="0007792C" w:rsidP="00340E76">
      <w:pPr>
        <w:tabs>
          <w:tab w:val="left" w:pos="2880"/>
        </w:tabs>
        <w:ind w:firstLine="720"/>
        <w:jc w:val="both"/>
        <w:rPr>
          <w:rFonts w:ascii="Book Antiqua" w:hAnsi="Book Antiqua"/>
          <w:b/>
        </w:rPr>
      </w:pPr>
    </w:p>
    <w:p w14:paraId="2BDAF0FE" w14:textId="77777777" w:rsidR="00F6233F" w:rsidRDefault="00F6233F" w:rsidP="00340E76">
      <w:pPr>
        <w:tabs>
          <w:tab w:val="left" w:pos="2880"/>
        </w:tabs>
        <w:ind w:firstLine="720"/>
        <w:jc w:val="both"/>
        <w:rPr>
          <w:rFonts w:ascii="Book Antiqua" w:hAnsi="Book Antiqua"/>
          <w:b/>
        </w:rPr>
      </w:pPr>
    </w:p>
    <w:p w14:paraId="095BFE65" w14:textId="77777777" w:rsidR="00F6233F" w:rsidRDefault="00F6233F" w:rsidP="00340E76">
      <w:pPr>
        <w:tabs>
          <w:tab w:val="left" w:pos="2880"/>
        </w:tabs>
        <w:jc w:val="both"/>
        <w:rPr>
          <w:rFonts w:ascii="Book Antiqua" w:hAnsi="Book Antiqua"/>
          <w:b/>
        </w:rPr>
      </w:pPr>
    </w:p>
    <w:p w14:paraId="293B0C0F" w14:textId="77777777" w:rsidR="00FE26BE" w:rsidRDefault="00FE26BE" w:rsidP="00340E76">
      <w:pPr>
        <w:tabs>
          <w:tab w:val="left" w:pos="2880"/>
        </w:tabs>
        <w:ind w:firstLine="720"/>
        <w:jc w:val="both"/>
        <w:rPr>
          <w:rFonts w:ascii="Book Antiqua" w:hAnsi="Book Antiqua"/>
          <w:b/>
        </w:rPr>
      </w:pPr>
    </w:p>
    <w:p w14:paraId="594A6B19" w14:textId="77777777" w:rsidR="00FE26BE" w:rsidRDefault="00FE26BE" w:rsidP="00340E76">
      <w:pPr>
        <w:tabs>
          <w:tab w:val="left" w:pos="2880"/>
        </w:tabs>
        <w:ind w:firstLine="720"/>
        <w:jc w:val="both"/>
        <w:rPr>
          <w:rFonts w:ascii="Book Antiqua" w:hAnsi="Book Antiqua"/>
          <w:b/>
        </w:rPr>
      </w:pPr>
    </w:p>
    <w:p w14:paraId="16FB7B25" w14:textId="77777777" w:rsidR="00FE26BE" w:rsidRDefault="00FE26BE" w:rsidP="00340E76">
      <w:pPr>
        <w:tabs>
          <w:tab w:val="left" w:pos="2880"/>
        </w:tabs>
        <w:ind w:firstLine="720"/>
        <w:jc w:val="both"/>
        <w:rPr>
          <w:rFonts w:ascii="Book Antiqua" w:hAnsi="Book Antiqua"/>
          <w:b/>
        </w:rPr>
      </w:pPr>
    </w:p>
    <w:p w14:paraId="48B004D8" w14:textId="77777777" w:rsidR="00FE26BE" w:rsidRDefault="00FE26BE" w:rsidP="00340E76">
      <w:pPr>
        <w:tabs>
          <w:tab w:val="left" w:pos="2880"/>
        </w:tabs>
        <w:ind w:firstLine="720"/>
        <w:jc w:val="both"/>
        <w:rPr>
          <w:rFonts w:ascii="Book Antiqua" w:hAnsi="Book Antiqua"/>
          <w:b/>
        </w:rPr>
      </w:pPr>
    </w:p>
    <w:p w14:paraId="23B6BA79" w14:textId="77777777" w:rsidR="00FE26BE" w:rsidRDefault="00FE26BE" w:rsidP="00340E76">
      <w:pPr>
        <w:tabs>
          <w:tab w:val="left" w:pos="2880"/>
        </w:tabs>
        <w:ind w:firstLine="720"/>
        <w:jc w:val="both"/>
        <w:rPr>
          <w:rFonts w:ascii="Book Antiqua" w:hAnsi="Book Antiqua"/>
          <w:b/>
        </w:rPr>
      </w:pPr>
    </w:p>
    <w:p w14:paraId="341C6BEE" w14:textId="77777777" w:rsidR="00FE26BE" w:rsidRDefault="00FE26BE" w:rsidP="00340E76">
      <w:pPr>
        <w:tabs>
          <w:tab w:val="left" w:pos="2880"/>
        </w:tabs>
        <w:ind w:firstLine="720"/>
        <w:jc w:val="both"/>
        <w:rPr>
          <w:rFonts w:ascii="Book Antiqua" w:hAnsi="Book Antiqua"/>
          <w:b/>
        </w:rPr>
      </w:pPr>
    </w:p>
    <w:p w14:paraId="4165573D" w14:textId="77777777" w:rsidR="00FE26BE" w:rsidRDefault="00FE26BE" w:rsidP="004616CF">
      <w:pPr>
        <w:tabs>
          <w:tab w:val="left" w:pos="2880"/>
        </w:tabs>
        <w:ind w:firstLine="720"/>
        <w:rPr>
          <w:rFonts w:ascii="Book Antiqua" w:hAnsi="Book Antiqua"/>
          <w:b/>
        </w:rPr>
      </w:pPr>
    </w:p>
    <w:p w14:paraId="67D08777" w14:textId="77777777" w:rsidR="00FE26BE" w:rsidRDefault="00FE26BE" w:rsidP="004616CF">
      <w:pPr>
        <w:tabs>
          <w:tab w:val="left" w:pos="2880"/>
        </w:tabs>
        <w:ind w:firstLine="720"/>
        <w:rPr>
          <w:rFonts w:ascii="Book Antiqua" w:hAnsi="Book Antiqua"/>
          <w:b/>
        </w:rPr>
      </w:pPr>
    </w:p>
    <w:p w14:paraId="45E9C4EF" w14:textId="77777777" w:rsidR="00FE26BE" w:rsidRDefault="00FE26BE" w:rsidP="004616CF">
      <w:pPr>
        <w:tabs>
          <w:tab w:val="left" w:pos="2880"/>
        </w:tabs>
        <w:ind w:firstLine="720"/>
        <w:rPr>
          <w:rFonts w:ascii="Book Antiqua" w:hAnsi="Book Antiqua"/>
          <w:b/>
        </w:rPr>
      </w:pPr>
    </w:p>
    <w:p w14:paraId="3434E376" w14:textId="77777777" w:rsidR="00FE26BE" w:rsidRDefault="00FE26BE" w:rsidP="004616CF">
      <w:pPr>
        <w:tabs>
          <w:tab w:val="left" w:pos="2880"/>
        </w:tabs>
        <w:ind w:firstLine="720"/>
        <w:rPr>
          <w:rFonts w:ascii="Book Antiqua" w:hAnsi="Book Antiqua"/>
          <w:b/>
        </w:rPr>
      </w:pPr>
    </w:p>
    <w:p w14:paraId="6C06E927" w14:textId="77777777" w:rsidR="00340E76" w:rsidRDefault="00340E76" w:rsidP="004616CF">
      <w:pPr>
        <w:tabs>
          <w:tab w:val="left" w:pos="2880"/>
        </w:tabs>
        <w:ind w:firstLine="720"/>
        <w:rPr>
          <w:rFonts w:ascii="Book Antiqua" w:hAnsi="Book Antiqua"/>
          <w:b/>
        </w:rPr>
      </w:pPr>
    </w:p>
    <w:p w14:paraId="602B5B5A" w14:textId="77777777" w:rsidR="00AB79DE" w:rsidRDefault="00AB79DE" w:rsidP="00AB79DE">
      <w:pPr>
        <w:tabs>
          <w:tab w:val="left" w:pos="2880"/>
        </w:tabs>
        <w:rPr>
          <w:rFonts w:ascii="Book Antiqua" w:hAnsi="Book Antiqua"/>
          <w:b/>
        </w:rPr>
      </w:pPr>
    </w:p>
    <w:p w14:paraId="7A5C71F8" w14:textId="77777777" w:rsidR="00914091" w:rsidRDefault="004616CF" w:rsidP="004616CF">
      <w:pPr>
        <w:tabs>
          <w:tab w:val="left" w:pos="2880"/>
        </w:tabs>
        <w:ind w:firstLine="720"/>
        <w:rPr>
          <w:rFonts w:ascii="Book Antiqua" w:hAnsi="Book Antiqua"/>
          <w:b/>
        </w:rPr>
      </w:pPr>
      <w:r w:rsidRPr="00E3232D">
        <w:rPr>
          <w:rFonts w:ascii="Book Antiqua" w:hAnsi="Book Antiqua"/>
          <w:b/>
        </w:rPr>
        <w:lastRenderedPageBreak/>
        <w:t>Appendix</w:t>
      </w:r>
    </w:p>
    <w:p w14:paraId="478D34F9" w14:textId="77777777" w:rsidR="00340E76" w:rsidRDefault="00850DC5" w:rsidP="004616CF">
      <w:pPr>
        <w:tabs>
          <w:tab w:val="left" w:pos="2880"/>
        </w:tabs>
        <w:ind w:firstLine="720"/>
        <w:rPr>
          <w:rFonts w:ascii="Book Antiqua" w:hAnsi="Book Antiqua"/>
          <w:b/>
        </w:rPr>
      </w:pPr>
      <w:r>
        <w:rPr>
          <w:rFonts w:ascii="Book Antiqua" w:hAnsi="Book Antiqua"/>
          <w:noProof/>
        </w:rPr>
        <w:pict w14:anchorId="529E2C02">
          <v:shape id="_x0000_s1137" type="#_x0000_t202" style="position:absolute;left:0;text-align:left;margin-left:32.15pt;margin-top:7.35pt;width:334.4pt;height:18.7pt;z-index:251480576" strokecolor="white">
            <v:textbox style="mso-next-textbox:#_x0000_s1137">
              <w:txbxContent>
                <w:p w14:paraId="7BF5B3E8" w14:textId="77777777" w:rsidR="00E2396E" w:rsidRPr="000D73D6" w:rsidRDefault="00E2396E" w:rsidP="00F54904">
                  <w:pPr>
                    <w:rPr>
                      <w:rFonts w:ascii="Times New Roman" w:hAnsi="Times New Roman"/>
                      <w:sz w:val="24"/>
                      <w:szCs w:val="24"/>
                    </w:rPr>
                  </w:pPr>
                  <w:r w:rsidRPr="000D73D6">
                    <w:rPr>
                      <w:rFonts w:ascii="Times New Roman" w:hAnsi="Times New Roman"/>
                      <w:sz w:val="24"/>
                      <w:szCs w:val="24"/>
                    </w:rPr>
                    <w:t xml:space="preserve">Figure </w:t>
                  </w:r>
                  <w:r>
                    <w:rPr>
                      <w:rFonts w:ascii="Times New Roman" w:hAnsi="Times New Roman"/>
                      <w:sz w:val="24"/>
                      <w:szCs w:val="24"/>
                    </w:rPr>
                    <w:t>2</w:t>
                  </w:r>
                  <w:r w:rsidRPr="000D73D6">
                    <w:rPr>
                      <w:rFonts w:ascii="Times New Roman" w:hAnsi="Times New Roman"/>
                      <w:sz w:val="24"/>
                      <w:szCs w:val="24"/>
                    </w:rPr>
                    <w:t xml:space="preserve">: </w:t>
                  </w:r>
                  <w:r>
                    <w:rPr>
                      <w:rFonts w:ascii="Times New Roman" w:hAnsi="Times New Roman"/>
                      <w:sz w:val="24"/>
                      <w:szCs w:val="24"/>
                    </w:rPr>
                    <w:t>Simulation diagram of the motor-PWM</w:t>
                  </w:r>
                </w:p>
              </w:txbxContent>
            </v:textbox>
          </v:shape>
        </w:pict>
      </w:r>
    </w:p>
    <w:p w14:paraId="0F36144B" w14:textId="77777777" w:rsidR="00340E76" w:rsidRDefault="00340E76" w:rsidP="004616CF">
      <w:pPr>
        <w:tabs>
          <w:tab w:val="left" w:pos="2880"/>
        </w:tabs>
        <w:ind w:firstLine="720"/>
        <w:rPr>
          <w:rFonts w:ascii="Book Antiqua" w:hAnsi="Book Antiqua"/>
          <w:b/>
        </w:rPr>
      </w:pPr>
      <w:r>
        <w:rPr>
          <w:rFonts w:ascii="Book Antiqua" w:hAnsi="Book Antiqua"/>
          <w:b/>
          <w:noProof/>
          <w:lang w:bidi="ar-SA"/>
        </w:rPr>
        <w:drawing>
          <wp:anchor distT="0" distB="0" distL="114300" distR="114300" simplePos="0" relativeHeight="251638784" behindDoc="0" locked="0" layoutInCell="1" allowOverlap="1" wp14:anchorId="190B2291" wp14:editId="5B39E659">
            <wp:simplePos x="0" y="0"/>
            <wp:positionH relativeFrom="column">
              <wp:posOffset>-171450</wp:posOffset>
            </wp:positionH>
            <wp:positionV relativeFrom="paragraph">
              <wp:posOffset>382270</wp:posOffset>
            </wp:positionV>
            <wp:extent cx="5553075" cy="4105275"/>
            <wp:effectExtent l="19050" t="19050" r="28575" b="28575"/>
            <wp:wrapSquare wrapText="bothSides"/>
            <wp:docPr id="7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srcRect/>
                    <a:stretch>
                      <a:fillRect/>
                    </a:stretch>
                  </pic:blipFill>
                  <pic:spPr bwMode="auto">
                    <a:xfrm>
                      <a:off x="0" y="0"/>
                      <a:ext cx="5553075" cy="4105275"/>
                    </a:xfrm>
                    <a:prstGeom prst="rect">
                      <a:avLst/>
                    </a:prstGeom>
                    <a:noFill/>
                    <a:ln w="9525">
                      <a:solidFill>
                        <a:srgbClr val="000000"/>
                      </a:solidFill>
                      <a:miter lim="800000"/>
                      <a:headEnd/>
                      <a:tailEnd/>
                    </a:ln>
                  </pic:spPr>
                </pic:pic>
              </a:graphicData>
            </a:graphic>
          </wp:anchor>
        </w:drawing>
      </w:r>
    </w:p>
    <w:p w14:paraId="28B540F0" w14:textId="77777777" w:rsidR="00914091" w:rsidRPr="00E3232D" w:rsidRDefault="00914091" w:rsidP="008275E1">
      <w:pPr>
        <w:tabs>
          <w:tab w:val="left" w:pos="2880"/>
        </w:tabs>
        <w:rPr>
          <w:rFonts w:ascii="Book Antiqua" w:hAnsi="Book Antiqua"/>
          <w:b/>
        </w:rPr>
      </w:pPr>
    </w:p>
    <w:p w14:paraId="4C88F9CC" w14:textId="77777777" w:rsidR="00EB6149" w:rsidRDefault="00EB6149" w:rsidP="00EB6149">
      <w:pPr>
        <w:jc w:val="center"/>
        <w:rPr>
          <w:rFonts w:ascii="Book Antiqua" w:hAnsi="Book Antiqua"/>
          <w:b/>
        </w:rPr>
      </w:pPr>
    </w:p>
    <w:p w14:paraId="3DE3F34E" w14:textId="77777777" w:rsidR="00EB6149" w:rsidRDefault="00EB6149" w:rsidP="00EB6149">
      <w:pPr>
        <w:jc w:val="center"/>
        <w:rPr>
          <w:rFonts w:ascii="Book Antiqua" w:hAnsi="Book Antiqua"/>
          <w:b/>
        </w:rPr>
      </w:pPr>
    </w:p>
    <w:p w14:paraId="6CF9DC43" w14:textId="77777777" w:rsidR="00EB6149" w:rsidRDefault="00EB6149" w:rsidP="00EB6149">
      <w:pPr>
        <w:jc w:val="center"/>
        <w:rPr>
          <w:rFonts w:ascii="Book Antiqua" w:hAnsi="Book Antiqua"/>
          <w:b/>
        </w:rPr>
      </w:pPr>
    </w:p>
    <w:p w14:paraId="4883E9E1" w14:textId="77777777" w:rsidR="00EB6149" w:rsidRDefault="00EB6149" w:rsidP="00EB6149">
      <w:pPr>
        <w:jc w:val="center"/>
        <w:rPr>
          <w:rFonts w:ascii="Book Antiqua" w:hAnsi="Book Antiqua"/>
          <w:b/>
        </w:rPr>
      </w:pPr>
    </w:p>
    <w:p w14:paraId="07B03A2D" w14:textId="77777777" w:rsidR="00EB6149" w:rsidRDefault="00EB6149" w:rsidP="00EB6149">
      <w:pPr>
        <w:jc w:val="center"/>
        <w:rPr>
          <w:rFonts w:ascii="Book Antiqua" w:hAnsi="Book Antiqua"/>
          <w:b/>
        </w:rPr>
      </w:pPr>
    </w:p>
    <w:p w14:paraId="0EB4973C" w14:textId="77777777" w:rsidR="00EB6149" w:rsidRDefault="00EB6149" w:rsidP="00EB6149">
      <w:pPr>
        <w:jc w:val="center"/>
        <w:rPr>
          <w:rFonts w:ascii="Book Antiqua" w:hAnsi="Book Antiqua"/>
          <w:b/>
        </w:rPr>
      </w:pPr>
    </w:p>
    <w:p w14:paraId="411A85D4" w14:textId="77777777" w:rsidR="00EB6149" w:rsidRDefault="00EB6149" w:rsidP="00EB6149">
      <w:pPr>
        <w:jc w:val="center"/>
        <w:rPr>
          <w:rFonts w:ascii="Book Antiqua" w:hAnsi="Book Antiqua"/>
          <w:b/>
        </w:rPr>
      </w:pPr>
    </w:p>
    <w:p w14:paraId="318CF63A" w14:textId="77777777" w:rsidR="00EB6149" w:rsidRDefault="00EB6149" w:rsidP="00EB6149">
      <w:pPr>
        <w:jc w:val="center"/>
        <w:rPr>
          <w:rFonts w:ascii="Book Antiqua" w:hAnsi="Book Antiqua"/>
          <w:b/>
        </w:rPr>
      </w:pPr>
    </w:p>
    <w:p w14:paraId="07CECB3E" w14:textId="77777777" w:rsidR="00EB6149" w:rsidRDefault="00EB6149" w:rsidP="00EB6149">
      <w:pPr>
        <w:jc w:val="center"/>
        <w:rPr>
          <w:rFonts w:ascii="Book Antiqua" w:hAnsi="Book Antiqua"/>
          <w:b/>
        </w:rPr>
      </w:pPr>
    </w:p>
    <w:p w14:paraId="2357B788" w14:textId="77777777" w:rsidR="00EB6149" w:rsidRDefault="00EB6149" w:rsidP="00EB6149">
      <w:pPr>
        <w:jc w:val="center"/>
        <w:rPr>
          <w:rFonts w:ascii="Book Antiqua" w:hAnsi="Book Antiqua"/>
          <w:b/>
        </w:rPr>
      </w:pPr>
    </w:p>
    <w:p w14:paraId="7728A41C" w14:textId="77777777" w:rsidR="00EB6149" w:rsidRDefault="00EB6149" w:rsidP="00EB6149">
      <w:pPr>
        <w:jc w:val="center"/>
        <w:rPr>
          <w:rFonts w:ascii="Book Antiqua" w:hAnsi="Book Antiqua"/>
          <w:b/>
        </w:rPr>
      </w:pPr>
    </w:p>
    <w:p w14:paraId="6D2CBFDA" w14:textId="77777777" w:rsidR="00EB6149" w:rsidRDefault="00EB6149" w:rsidP="00EB6149">
      <w:pPr>
        <w:jc w:val="center"/>
        <w:rPr>
          <w:rFonts w:ascii="Book Antiqua" w:hAnsi="Book Antiqua"/>
          <w:b/>
        </w:rPr>
      </w:pPr>
    </w:p>
    <w:p w14:paraId="68C90DCC" w14:textId="77777777" w:rsidR="00EB6149" w:rsidRDefault="00EB6149" w:rsidP="00EB6149">
      <w:pPr>
        <w:jc w:val="center"/>
        <w:rPr>
          <w:rFonts w:ascii="Book Antiqua" w:hAnsi="Book Antiqua"/>
          <w:b/>
        </w:rPr>
      </w:pPr>
    </w:p>
    <w:p w14:paraId="042331D7" w14:textId="77777777" w:rsidR="00EB6149" w:rsidRDefault="00EB6149" w:rsidP="00EB6149">
      <w:pPr>
        <w:jc w:val="center"/>
        <w:rPr>
          <w:rFonts w:ascii="Book Antiqua" w:hAnsi="Book Antiqua"/>
          <w:b/>
        </w:rPr>
      </w:pPr>
    </w:p>
    <w:p w14:paraId="553BB9B4" w14:textId="77777777" w:rsidR="00EB6149" w:rsidRDefault="00EB6149" w:rsidP="00EB6149">
      <w:pPr>
        <w:jc w:val="center"/>
        <w:rPr>
          <w:rFonts w:ascii="Book Antiqua" w:hAnsi="Book Antiqua"/>
          <w:b/>
        </w:rPr>
      </w:pPr>
    </w:p>
    <w:p w14:paraId="6F501BDC" w14:textId="77777777" w:rsidR="00EB6149" w:rsidRDefault="00EB6149" w:rsidP="00EB6149">
      <w:pPr>
        <w:jc w:val="center"/>
        <w:rPr>
          <w:rFonts w:ascii="Book Antiqua" w:hAnsi="Book Antiqua"/>
          <w:b/>
        </w:rPr>
      </w:pPr>
    </w:p>
    <w:p w14:paraId="6F49AF38" w14:textId="77777777" w:rsidR="00EB6149" w:rsidRDefault="00EB6149" w:rsidP="00EB6149">
      <w:pPr>
        <w:jc w:val="center"/>
        <w:rPr>
          <w:rFonts w:ascii="Book Antiqua" w:hAnsi="Book Antiqua"/>
          <w:b/>
        </w:rPr>
      </w:pPr>
    </w:p>
    <w:p w14:paraId="78D3F18C" w14:textId="77777777" w:rsidR="00EB6149" w:rsidRDefault="00EB6149" w:rsidP="00EB6149">
      <w:pPr>
        <w:jc w:val="center"/>
        <w:rPr>
          <w:rFonts w:ascii="Book Antiqua" w:hAnsi="Book Antiqua"/>
          <w:b/>
        </w:rPr>
      </w:pPr>
    </w:p>
    <w:p w14:paraId="75E691F3" w14:textId="77777777" w:rsidR="00EB6149" w:rsidRDefault="00EB6149" w:rsidP="00EB6149">
      <w:pPr>
        <w:jc w:val="center"/>
        <w:rPr>
          <w:rFonts w:ascii="Book Antiqua" w:hAnsi="Book Antiqua"/>
          <w:b/>
        </w:rPr>
      </w:pPr>
    </w:p>
    <w:p w14:paraId="297A0E7D" w14:textId="77777777" w:rsidR="00EB6149" w:rsidRDefault="00EB6149" w:rsidP="00EB6149">
      <w:pPr>
        <w:jc w:val="center"/>
        <w:rPr>
          <w:rFonts w:ascii="Book Antiqua" w:hAnsi="Book Antiqua"/>
          <w:b/>
        </w:rPr>
      </w:pPr>
    </w:p>
    <w:p w14:paraId="4A8AAAF3" w14:textId="77777777" w:rsidR="00EB6149" w:rsidRDefault="00EB6149" w:rsidP="00EB6149">
      <w:pPr>
        <w:jc w:val="center"/>
        <w:rPr>
          <w:rFonts w:ascii="Book Antiqua" w:hAnsi="Book Antiqua"/>
          <w:b/>
        </w:rPr>
      </w:pPr>
    </w:p>
    <w:p w14:paraId="44CD0870" w14:textId="77777777" w:rsidR="00EB6149" w:rsidRDefault="00EB6149" w:rsidP="00366AD5">
      <w:pPr>
        <w:rPr>
          <w:rFonts w:ascii="Book Antiqua" w:hAnsi="Book Antiqua"/>
          <w:b/>
        </w:rPr>
        <w:sectPr w:rsidR="00EB6149" w:rsidSect="008F6BC9">
          <w:footerReference w:type="default" r:id="rId63"/>
          <w:type w:val="continuous"/>
          <w:pgSz w:w="11907" w:h="16839" w:code="9"/>
          <w:pgMar w:top="1440" w:right="1440" w:bottom="1440" w:left="2160" w:header="720" w:footer="720" w:gutter="0"/>
          <w:pgNumType w:start="0"/>
          <w:cols w:num="2" w:space="720"/>
          <w:titlePg/>
          <w:docGrid w:linePitch="360"/>
        </w:sectPr>
      </w:pPr>
    </w:p>
    <w:p w14:paraId="08C99A91" w14:textId="77777777" w:rsidR="00EB6149" w:rsidRDefault="00EB6149" w:rsidP="00FE26BE">
      <w:pPr>
        <w:spacing w:after="0"/>
        <w:jc w:val="center"/>
        <w:rPr>
          <w:rFonts w:ascii="Book Antiqua" w:hAnsi="Book Antiqua"/>
          <w:b/>
          <w:sz w:val="26"/>
          <w:szCs w:val="26"/>
        </w:rPr>
      </w:pPr>
      <w:r w:rsidRPr="00EB6149">
        <w:rPr>
          <w:rFonts w:ascii="Book Antiqua" w:hAnsi="Book Antiqua"/>
          <w:b/>
          <w:sz w:val="26"/>
          <w:szCs w:val="26"/>
        </w:rPr>
        <w:lastRenderedPageBreak/>
        <w:t>Effect of Processing Method on Proximate Composition of “dawadawa” - soup or stew flavour intensifier for Industrial Use.</w:t>
      </w:r>
    </w:p>
    <w:p w14:paraId="393B530A" w14:textId="77777777" w:rsidR="00075F10" w:rsidRDefault="00075F10" w:rsidP="00FE26BE">
      <w:pPr>
        <w:spacing w:after="0"/>
        <w:jc w:val="center"/>
        <w:rPr>
          <w:rFonts w:ascii="Book Antiqua" w:hAnsi="Book Antiqua"/>
          <w:b/>
          <w:sz w:val="26"/>
          <w:szCs w:val="26"/>
        </w:rPr>
      </w:pPr>
    </w:p>
    <w:p w14:paraId="33ED8079" w14:textId="77777777" w:rsidR="00075F10" w:rsidRPr="00AB79DE" w:rsidRDefault="00075F10" w:rsidP="00FE26BE">
      <w:pPr>
        <w:spacing w:after="0"/>
        <w:jc w:val="center"/>
        <w:rPr>
          <w:rFonts w:ascii="Book Antiqua" w:hAnsi="Book Antiqua"/>
          <w:b/>
          <w:sz w:val="26"/>
        </w:rPr>
      </w:pPr>
      <w:r w:rsidRPr="00AB79DE">
        <w:rPr>
          <w:rFonts w:ascii="Book Antiqua" w:hAnsi="Book Antiqua"/>
          <w:b/>
          <w:sz w:val="26"/>
        </w:rPr>
        <w:t>Dari, L., Yawson, A., &amp; Duah, I.</w:t>
      </w:r>
    </w:p>
    <w:p w14:paraId="396673A1" w14:textId="77777777" w:rsidR="00CF3D01" w:rsidRPr="00AD1BE4" w:rsidRDefault="00CF3D01" w:rsidP="00FE26BE">
      <w:pPr>
        <w:spacing w:after="0"/>
        <w:jc w:val="center"/>
        <w:rPr>
          <w:rFonts w:ascii="Book Antiqua" w:hAnsi="Book Antiqua"/>
        </w:rPr>
      </w:pPr>
      <w:r w:rsidRPr="00AD1BE4">
        <w:rPr>
          <w:rFonts w:ascii="Book Antiqua" w:hAnsi="Book Antiqua"/>
        </w:rPr>
        <w:t>Department of Agricultural Mechanization and Irrigation Technology, University for Development Studies, Tamale</w:t>
      </w:r>
    </w:p>
    <w:p w14:paraId="2A6EC0E1" w14:textId="77777777" w:rsidR="00EB6149" w:rsidRPr="00F6233F" w:rsidRDefault="00CF3D01" w:rsidP="00F6233F">
      <w:pPr>
        <w:jc w:val="center"/>
        <w:rPr>
          <w:rFonts w:ascii="Book Antiqua" w:hAnsi="Book Antiqua"/>
        </w:rPr>
        <w:sectPr w:rsidR="00EB6149" w:rsidRPr="00F6233F" w:rsidSect="008F6BC9">
          <w:type w:val="continuous"/>
          <w:pgSz w:w="11907" w:h="16839" w:code="9"/>
          <w:pgMar w:top="1440" w:right="1440" w:bottom="1440" w:left="2160" w:header="720" w:footer="720" w:gutter="0"/>
          <w:pgNumType w:start="0"/>
          <w:cols w:space="720"/>
          <w:titlePg/>
          <w:docGrid w:linePitch="360"/>
        </w:sectPr>
      </w:pPr>
      <w:r w:rsidRPr="00AD1BE4">
        <w:rPr>
          <w:rFonts w:ascii="Book Antiqua" w:hAnsi="Book Antiqua"/>
          <w:b/>
        </w:rPr>
        <w:t>E</w:t>
      </w:r>
      <w:r w:rsidR="006D6991">
        <w:rPr>
          <w:rFonts w:ascii="Book Antiqua" w:hAnsi="Book Antiqua"/>
          <w:b/>
        </w:rPr>
        <w:t>-</w:t>
      </w:r>
      <w:r w:rsidRPr="00AD1BE4">
        <w:rPr>
          <w:rFonts w:ascii="Book Antiqua" w:hAnsi="Book Antiqua"/>
          <w:b/>
        </w:rPr>
        <w:t>mail:</w:t>
      </w:r>
      <w:r w:rsidRPr="00AD1BE4">
        <w:rPr>
          <w:rFonts w:ascii="Book Antiqua" w:hAnsi="Book Antiqua"/>
        </w:rPr>
        <w:t xml:space="preserve"> </w:t>
      </w:r>
      <w:hyperlink r:id="rId64" w:history="1">
        <w:r w:rsidRPr="00AD1BE4">
          <w:rPr>
            <w:rStyle w:val="Hyperlink"/>
            <w:rFonts w:ascii="Book Antiqua" w:hAnsi="Book Antiqua"/>
          </w:rPr>
          <w:t>linddari@yahoo.co.uk</w:t>
        </w:r>
      </w:hyperlink>
    </w:p>
    <w:p w14:paraId="75EA45F6" w14:textId="77777777" w:rsidR="0046039D" w:rsidRDefault="0046039D" w:rsidP="0046039D">
      <w:pPr>
        <w:spacing w:after="0"/>
        <w:rPr>
          <w:rFonts w:ascii="Book Antiqua" w:hAnsi="Book Antiqua"/>
          <w:b/>
        </w:rPr>
      </w:pPr>
    </w:p>
    <w:p w14:paraId="378AE07C" w14:textId="77777777" w:rsidR="00F6233F" w:rsidRPr="00E3232D" w:rsidRDefault="00F6233F" w:rsidP="00340E76">
      <w:pPr>
        <w:spacing w:after="0"/>
        <w:jc w:val="both"/>
        <w:rPr>
          <w:rFonts w:ascii="Book Antiqua" w:hAnsi="Book Antiqua"/>
          <w:b/>
        </w:rPr>
      </w:pPr>
      <w:r w:rsidRPr="00CA2555">
        <w:rPr>
          <w:rFonts w:ascii="Book Antiqua" w:hAnsi="Book Antiqua"/>
          <w:b/>
          <w:sz w:val="26"/>
        </w:rPr>
        <w:t>Abstract</w:t>
      </w:r>
    </w:p>
    <w:p w14:paraId="65D2C119" w14:textId="77777777" w:rsidR="00F6233F" w:rsidRPr="00AD6C07" w:rsidRDefault="00F6233F" w:rsidP="00340E76">
      <w:pPr>
        <w:tabs>
          <w:tab w:val="left" w:pos="2880"/>
        </w:tabs>
        <w:jc w:val="both"/>
        <w:rPr>
          <w:rFonts w:ascii="Book Antiqua" w:hAnsi="Book Antiqua"/>
          <w:b/>
        </w:rPr>
      </w:pPr>
      <w:r w:rsidRPr="00E3232D">
        <w:rPr>
          <w:rFonts w:ascii="Book Antiqua" w:hAnsi="Book Antiqua"/>
        </w:rPr>
        <w:t xml:space="preserve">African locust beans, seeds from the plant </w:t>
      </w:r>
      <w:r w:rsidRPr="00E3232D">
        <w:rPr>
          <w:rFonts w:ascii="Book Antiqua" w:hAnsi="Book Antiqua"/>
          <w:i/>
        </w:rPr>
        <w:t>Parkia biglobosa</w:t>
      </w:r>
      <w:r w:rsidRPr="00E3232D">
        <w:rPr>
          <w:rFonts w:ascii="Book Antiqua" w:hAnsi="Book Antiqua"/>
        </w:rPr>
        <w:t xml:space="preserve"> are fermented into a tasty food condiment called “Dawadawa” which is used as flavour intensifier for soups and stews, and for protein supplementation in meals. “Dawadawa” processing is a traditional agro processing activity mostly engaged in by women in many parts of Northern Ghana. The main objective of the study was to determine the effect of different processing methods on the nutrient</w:t>
      </w:r>
      <w:r>
        <w:rPr>
          <w:rFonts w:ascii="Book Antiqua" w:hAnsi="Book Antiqua"/>
          <w:b/>
        </w:rPr>
        <w:t xml:space="preserve"> </w:t>
      </w:r>
      <w:r w:rsidRPr="00E3232D">
        <w:rPr>
          <w:rFonts w:ascii="Book Antiqua" w:hAnsi="Book Antiqua"/>
        </w:rPr>
        <w:t xml:space="preserve">content of “dawadawa”. Raw locust beans and ”dawadawa” samples were taken from processors in Nyankpala, Kpachi and Cheshegu for proximate analysis on parameters such as moisture content, protein, fat, carbohydrate and ash. Results of laboratory analysis was analysed for significance (p≤ 0.05) using paired t-square. There was significant difference between sample treatments for moisture content except for between samples from Cheshegu and the raw beans which was not significant. There were no significance difference between samples for fat, carbohydrate and ash. There were however significant differences between all samples for protein with Cheshegu been the highest. The results indicate that “dawadawa” contain essential nutrients in varied proportions needed for proper growth and could augment nutrient supply for the maintenance of the body. For effective utilisation of nutrients in “dawadawa”, attention should be paid on the methods of preparation and duration of each method in use. </w:t>
      </w:r>
    </w:p>
    <w:p w14:paraId="6146C3EE" w14:textId="77777777" w:rsidR="00F6233F" w:rsidRPr="00E3232D" w:rsidRDefault="00F6233F" w:rsidP="00340E76">
      <w:pPr>
        <w:spacing w:after="0"/>
        <w:jc w:val="both"/>
        <w:rPr>
          <w:rFonts w:ascii="Book Antiqua" w:hAnsi="Book Antiqua"/>
          <w:b/>
        </w:rPr>
      </w:pPr>
    </w:p>
    <w:p w14:paraId="72D77838" w14:textId="77777777" w:rsidR="00F6233F" w:rsidRDefault="00F6233F" w:rsidP="00340E76">
      <w:pPr>
        <w:spacing w:after="0"/>
        <w:jc w:val="both"/>
        <w:rPr>
          <w:rFonts w:ascii="Book Antiqua" w:hAnsi="Book Antiqua"/>
        </w:rPr>
      </w:pPr>
      <w:r w:rsidRPr="00E3232D">
        <w:rPr>
          <w:rFonts w:ascii="Book Antiqua" w:hAnsi="Book Antiqua"/>
          <w:b/>
        </w:rPr>
        <w:t>Keywords:</w:t>
      </w:r>
      <w:r w:rsidRPr="00E3232D">
        <w:rPr>
          <w:rFonts w:ascii="Book Antiqua" w:hAnsi="Book Antiqua"/>
        </w:rPr>
        <w:t xml:space="preserve"> “Dawadawa”; proximate composition; processin</w:t>
      </w:r>
      <w:r>
        <w:rPr>
          <w:rFonts w:ascii="Book Antiqua" w:hAnsi="Book Antiqua"/>
        </w:rPr>
        <w:t>g; African locust bean; condime</w:t>
      </w:r>
    </w:p>
    <w:p w14:paraId="4F2BF8B9" w14:textId="77777777" w:rsidR="00F6233F" w:rsidRDefault="00F6233F" w:rsidP="00F6233F">
      <w:pPr>
        <w:rPr>
          <w:rFonts w:ascii="Book Antiqua" w:hAnsi="Book Antiqua"/>
        </w:rPr>
      </w:pPr>
    </w:p>
    <w:p w14:paraId="64F1BF20" w14:textId="77777777" w:rsidR="00F6233F" w:rsidRDefault="00F6233F" w:rsidP="00F6233F">
      <w:pPr>
        <w:rPr>
          <w:rFonts w:ascii="Book Antiqua" w:hAnsi="Book Antiqua"/>
        </w:rPr>
        <w:sectPr w:rsidR="00F6233F" w:rsidSect="00BC73F7">
          <w:type w:val="continuous"/>
          <w:pgSz w:w="11907" w:h="16839" w:code="9"/>
          <w:pgMar w:top="1440" w:right="1440" w:bottom="1440" w:left="1440" w:header="720" w:footer="720" w:gutter="0"/>
          <w:pgNumType w:start="0"/>
          <w:cols w:space="720"/>
          <w:titlePg/>
          <w:docGrid w:linePitch="360"/>
        </w:sectPr>
      </w:pPr>
    </w:p>
    <w:p w14:paraId="293E1A60" w14:textId="77777777" w:rsidR="00F6233F" w:rsidRPr="00E3232D" w:rsidRDefault="00F6233F" w:rsidP="00340E76">
      <w:pPr>
        <w:spacing w:before="240"/>
        <w:jc w:val="both"/>
        <w:rPr>
          <w:rFonts w:ascii="Book Antiqua" w:hAnsi="Book Antiqua"/>
          <w:b/>
        </w:rPr>
      </w:pPr>
      <w:r w:rsidRPr="00E3232D">
        <w:rPr>
          <w:rFonts w:ascii="Book Antiqua" w:hAnsi="Book Antiqua"/>
          <w:b/>
        </w:rPr>
        <w:t xml:space="preserve">1.0 </w:t>
      </w:r>
      <w:r w:rsidRPr="00CA2555">
        <w:rPr>
          <w:rFonts w:ascii="Book Antiqua" w:hAnsi="Book Antiqua"/>
          <w:b/>
          <w:sz w:val="26"/>
        </w:rPr>
        <w:t>Introduction</w:t>
      </w:r>
    </w:p>
    <w:p w14:paraId="4E868FFE" w14:textId="77777777" w:rsidR="00F6233F" w:rsidRPr="00E3232D" w:rsidRDefault="00F6233F" w:rsidP="00340E76">
      <w:pPr>
        <w:spacing w:before="240"/>
        <w:jc w:val="both"/>
        <w:rPr>
          <w:rFonts w:ascii="Book Antiqua" w:hAnsi="Book Antiqua"/>
          <w:b/>
        </w:rPr>
      </w:pPr>
      <w:r w:rsidRPr="00E3232D">
        <w:rPr>
          <w:rFonts w:ascii="Book Antiqua" w:hAnsi="Book Antiqua"/>
        </w:rPr>
        <w:t xml:space="preserve">African locust bean from the tree plant </w:t>
      </w:r>
      <w:r w:rsidRPr="00E3232D">
        <w:rPr>
          <w:rFonts w:ascii="Book Antiqua" w:hAnsi="Book Antiqua"/>
          <w:i/>
        </w:rPr>
        <w:t xml:space="preserve">Parkia biglobosa </w:t>
      </w:r>
      <w:r w:rsidRPr="00E3232D">
        <w:rPr>
          <w:rFonts w:ascii="Book Antiqua" w:hAnsi="Book Antiqua"/>
        </w:rPr>
        <w:t>is common in Savannah areas of West Africa and</w:t>
      </w:r>
      <w:r w:rsidRPr="00E3232D">
        <w:rPr>
          <w:rFonts w:ascii="Book Antiqua" w:hAnsi="Book Antiqua"/>
          <w:i/>
        </w:rPr>
        <w:t xml:space="preserve"> </w:t>
      </w:r>
      <w:r w:rsidRPr="00E3232D">
        <w:rPr>
          <w:rFonts w:ascii="Book Antiqua" w:hAnsi="Book Antiqua"/>
        </w:rPr>
        <w:t xml:space="preserve">often grows in the Guinea and Sudanian up to the edge of the Sahel in West and Central Africa (Mc Allan </w:t>
      </w:r>
      <w:r w:rsidRPr="00E3232D">
        <w:rPr>
          <w:rFonts w:ascii="Book Antiqua" w:hAnsi="Book Antiqua"/>
          <w:i/>
        </w:rPr>
        <w:t>et al.</w:t>
      </w:r>
      <w:r w:rsidRPr="00E3232D">
        <w:rPr>
          <w:rFonts w:ascii="Book Antiqua" w:hAnsi="Book Antiqua"/>
        </w:rPr>
        <w:t xml:space="preserve"> 1996).</w:t>
      </w:r>
    </w:p>
    <w:p w14:paraId="1B4EE92E" w14:textId="77777777" w:rsidR="00F6233F" w:rsidRDefault="00F6233F" w:rsidP="00340E76">
      <w:pPr>
        <w:spacing w:after="0"/>
        <w:jc w:val="both"/>
        <w:rPr>
          <w:rFonts w:ascii="Book Antiqua" w:hAnsi="Book Antiqua"/>
        </w:rPr>
      </w:pPr>
      <w:r w:rsidRPr="00E3232D">
        <w:rPr>
          <w:rFonts w:ascii="Book Antiqua" w:hAnsi="Book Antiqua"/>
        </w:rPr>
        <w:t xml:space="preserve">African locust bean seeds are fermented into a tasty food condiment called “Dawadawa” which is used as a flavour intensifier for soups and stews, and protein supplement to low protein diets (Ikenebomeh and Kok, 1984, Odunfa, 1986, </w:t>
      </w:r>
      <w:r w:rsidRPr="00AD6C07">
        <w:rPr>
          <w:rFonts w:ascii="Book Antiqua" w:hAnsi="Book Antiqua"/>
          <w:b/>
        </w:rPr>
        <w:t>Dike</w:t>
      </w:r>
      <w:r w:rsidRPr="00E3232D">
        <w:rPr>
          <w:rFonts w:ascii="Book Antiqua" w:hAnsi="Book Antiqua"/>
        </w:rPr>
        <w:t xml:space="preserve"> and Odunfa, 2003).</w:t>
      </w:r>
    </w:p>
    <w:p w14:paraId="3D543E63" w14:textId="77777777" w:rsidR="00F6233F" w:rsidRDefault="00F6233F" w:rsidP="00340E76">
      <w:pPr>
        <w:spacing w:after="0"/>
        <w:jc w:val="both"/>
        <w:rPr>
          <w:rFonts w:ascii="Book Antiqua" w:hAnsi="Book Antiqua"/>
        </w:rPr>
      </w:pPr>
    </w:p>
    <w:p w14:paraId="63EA2A0A" w14:textId="77777777" w:rsidR="00F6233F" w:rsidRPr="00E3232D" w:rsidRDefault="00F6233F" w:rsidP="00340E76">
      <w:pPr>
        <w:spacing w:after="0"/>
        <w:jc w:val="both"/>
        <w:rPr>
          <w:rFonts w:ascii="Book Antiqua" w:hAnsi="Book Antiqua"/>
        </w:rPr>
      </w:pPr>
      <w:r w:rsidRPr="00E3232D">
        <w:rPr>
          <w:rFonts w:ascii="Book Antiqua" w:hAnsi="Book Antiqua"/>
        </w:rPr>
        <w:lastRenderedPageBreak/>
        <w:t xml:space="preserve">“Dawadawa” processing is a traditional agro processing activity mostly engaged in by women in many parts of Northern Ghana. In recent years however, processors have also found other suitable seeds and nuts such as Soya bean for the production of”dawadawa”. The processing of locust bean seed into food condiment passes through different unit operations such as boiling, dehulling of bean cover, washing, fermentation, drying, pounding and moulding. All these unit operations are carried out manually. From an initial preliminary study, it was observed that processing techniques varied per community and sometimes between processors in the same community. It is however not clear whether the processing technique coupled with the duration of processing had an effect on the nutrient composition of the finished condiment. </w:t>
      </w:r>
    </w:p>
    <w:p w14:paraId="295BA5D0" w14:textId="77777777" w:rsidR="00F6233F" w:rsidRPr="00E3232D" w:rsidRDefault="00F6233F" w:rsidP="00340E76">
      <w:pPr>
        <w:jc w:val="both"/>
        <w:rPr>
          <w:rFonts w:ascii="Book Antiqua" w:hAnsi="Book Antiqua"/>
        </w:rPr>
      </w:pPr>
      <w:r w:rsidRPr="00E3232D">
        <w:rPr>
          <w:rFonts w:ascii="Book Antiqua" w:hAnsi="Book Antiqua"/>
        </w:rPr>
        <w:t>The main objective of the study was to determine the effect of different processing methods on the nutrient content of “dawadawa” in three communities namely Nyankpala, Kpachi and Cheshegu in the Tolon district.</w:t>
      </w:r>
    </w:p>
    <w:p w14:paraId="3BF4F0C8" w14:textId="77777777" w:rsidR="00BC73F7" w:rsidRDefault="00BC73F7" w:rsidP="00340E76">
      <w:pPr>
        <w:spacing w:after="0"/>
        <w:jc w:val="both"/>
        <w:rPr>
          <w:rFonts w:ascii="Book Antiqua" w:hAnsi="Book Antiqua"/>
          <w:b/>
        </w:rPr>
      </w:pPr>
    </w:p>
    <w:p w14:paraId="3EC608CA" w14:textId="77777777" w:rsidR="00BC73F7" w:rsidRDefault="00BC73F7" w:rsidP="00340E76">
      <w:pPr>
        <w:spacing w:after="0"/>
        <w:jc w:val="both"/>
        <w:rPr>
          <w:rFonts w:ascii="Book Antiqua" w:hAnsi="Book Antiqua"/>
          <w:b/>
        </w:rPr>
      </w:pPr>
    </w:p>
    <w:p w14:paraId="4E4C08F2" w14:textId="77777777" w:rsidR="00F6233F" w:rsidRDefault="00F6233F" w:rsidP="00340E76">
      <w:pPr>
        <w:spacing w:after="0"/>
        <w:jc w:val="both"/>
        <w:rPr>
          <w:rFonts w:ascii="Book Antiqua" w:hAnsi="Book Antiqua"/>
          <w:b/>
          <w:sz w:val="26"/>
        </w:rPr>
      </w:pPr>
      <w:r w:rsidRPr="00E3232D">
        <w:rPr>
          <w:rFonts w:ascii="Book Antiqua" w:hAnsi="Book Antiqua"/>
          <w:b/>
        </w:rPr>
        <w:t xml:space="preserve">2.0 </w:t>
      </w:r>
      <w:r w:rsidRPr="00CA2555">
        <w:rPr>
          <w:rFonts w:ascii="Book Antiqua" w:hAnsi="Book Antiqua"/>
          <w:b/>
          <w:sz w:val="26"/>
        </w:rPr>
        <w:t>Materials and Methods</w:t>
      </w:r>
    </w:p>
    <w:p w14:paraId="56000467" w14:textId="77777777" w:rsidR="00BC73F7" w:rsidRPr="00E3232D" w:rsidRDefault="00BC73F7" w:rsidP="00340E76">
      <w:pPr>
        <w:spacing w:after="0"/>
        <w:jc w:val="both"/>
        <w:rPr>
          <w:rFonts w:ascii="Book Antiqua" w:hAnsi="Book Antiqua"/>
          <w:b/>
        </w:rPr>
      </w:pPr>
    </w:p>
    <w:p w14:paraId="59B5D11D" w14:textId="77777777" w:rsidR="00F6233F" w:rsidRPr="00E3232D" w:rsidRDefault="00F6233F" w:rsidP="00340E76">
      <w:pPr>
        <w:autoSpaceDE w:val="0"/>
        <w:autoSpaceDN w:val="0"/>
        <w:adjustRightInd w:val="0"/>
        <w:jc w:val="both"/>
        <w:rPr>
          <w:rFonts w:ascii="Book Antiqua" w:hAnsi="Book Antiqua"/>
          <w:b/>
        </w:rPr>
      </w:pPr>
      <w:r w:rsidRPr="00E3232D">
        <w:rPr>
          <w:rFonts w:ascii="Book Antiqua" w:hAnsi="Book Antiqua"/>
          <w:b/>
        </w:rPr>
        <w:t>2.1 Study Sample and Data Collection</w:t>
      </w:r>
    </w:p>
    <w:p w14:paraId="2F241C61" w14:textId="77777777" w:rsidR="00F6233F" w:rsidRPr="00E3232D" w:rsidRDefault="00F6233F" w:rsidP="00340E76">
      <w:pPr>
        <w:spacing w:after="0"/>
        <w:jc w:val="both"/>
        <w:rPr>
          <w:rFonts w:ascii="Book Antiqua" w:hAnsi="Book Antiqua"/>
        </w:rPr>
      </w:pPr>
      <w:r w:rsidRPr="00E3232D">
        <w:rPr>
          <w:rFonts w:ascii="Book Antiqua" w:hAnsi="Book Antiqua"/>
        </w:rPr>
        <w:t>The study was conducted in three communities; Nyankpala, Kpachi and Cheshegu. Nyankpala is located 12 km South West of Tamale, the capital of Northern region at latitude 09° 25N and longitude 0°58W. Kpachi and Cheshegu are located 2 km and 4 km respectively from Nyankpala.  All communities are located in the Tolon District of the Northern Region of Ghana. The District is characterized by a unimodal rainfall of about 1000mm and mean daily annual temperature of 35°C with common indigenous trees such as Neem tree (</w:t>
      </w:r>
      <w:r w:rsidRPr="00E3232D">
        <w:rPr>
          <w:rFonts w:ascii="Book Antiqua" w:hAnsi="Book Antiqua"/>
          <w:i/>
        </w:rPr>
        <w:t>Azacdiracta indica</w:t>
      </w:r>
      <w:r w:rsidRPr="00E3232D">
        <w:rPr>
          <w:rFonts w:ascii="Book Antiqua" w:hAnsi="Book Antiqua"/>
        </w:rPr>
        <w:t xml:space="preserve">), Shea tree </w:t>
      </w:r>
      <w:r w:rsidRPr="00E3232D">
        <w:rPr>
          <w:rFonts w:ascii="Book Antiqua" w:hAnsi="Book Antiqua"/>
          <w:i/>
        </w:rPr>
        <w:t>(Vitellaria paradoxa</w:t>
      </w:r>
      <w:r w:rsidRPr="00E3232D">
        <w:rPr>
          <w:rFonts w:ascii="Book Antiqua" w:hAnsi="Book Antiqua"/>
        </w:rPr>
        <w:t xml:space="preserve">) and Africa locust tree </w:t>
      </w:r>
      <w:r w:rsidRPr="00E3232D">
        <w:rPr>
          <w:rFonts w:ascii="Book Antiqua" w:hAnsi="Book Antiqua"/>
          <w:i/>
        </w:rPr>
        <w:t>(Parkia biglobosa</w:t>
      </w:r>
      <w:r w:rsidRPr="00E3232D">
        <w:rPr>
          <w:rFonts w:ascii="Book Antiqua" w:hAnsi="Book Antiqua"/>
        </w:rPr>
        <w:t xml:space="preserve">).   </w:t>
      </w:r>
    </w:p>
    <w:p w14:paraId="17617CB9" w14:textId="77777777" w:rsidR="00F6233F" w:rsidRDefault="00F6233F" w:rsidP="00340E76">
      <w:pPr>
        <w:spacing w:after="0"/>
        <w:jc w:val="both"/>
        <w:rPr>
          <w:rFonts w:ascii="Book Antiqua" w:hAnsi="Book Antiqua"/>
        </w:rPr>
      </w:pPr>
    </w:p>
    <w:p w14:paraId="11FA83A0" w14:textId="77777777" w:rsidR="00F6233F" w:rsidRPr="00E3232D" w:rsidRDefault="00F6233F" w:rsidP="00340E76">
      <w:pPr>
        <w:spacing w:after="0"/>
        <w:jc w:val="both"/>
        <w:rPr>
          <w:rFonts w:ascii="Book Antiqua" w:hAnsi="Book Antiqua"/>
        </w:rPr>
      </w:pPr>
      <w:r w:rsidRPr="00E3232D">
        <w:rPr>
          <w:rFonts w:ascii="Book Antiqua" w:hAnsi="Book Antiqua"/>
        </w:rPr>
        <w:t xml:space="preserve">Dried raw locust beans were collected from cleaned </w:t>
      </w:r>
      <w:r w:rsidRPr="00E3232D">
        <w:rPr>
          <w:rFonts w:ascii="Book Antiqua" w:hAnsi="Book Antiqua"/>
          <w:i/>
        </w:rPr>
        <w:t>Parkia biglobosa</w:t>
      </w:r>
      <w:r w:rsidRPr="00E3232D">
        <w:rPr>
          <w:rFonts w:ascii="Book Antiqua" w:hAnsi="Book Antiqua"/>
        </w:rPr>
        <w:t xml:space="preserve"> fruits gathered from different trees in the three localities for processing. Samples of the dried locust beans were taken for proximate analyses to serve as control while the remaining beans were processed into the condiment using the process as depicted in Figure 1 below.</w:t>
      </w:r>
    </w:p>
    <w:p w14:paraId="5298505D" w14:textId="77777777" w:rsidR="00340E76" w:rsidRDefault="00340E76" w:rsidP="00F6233F">
      <w:pPr>
        <w:keepNext/>
        <w:rPr>
          <w:rFonts w:ascii="Book Antiqua" w:hAnsi="Book Antiqua"/>
        </w:rPr>
        <w:sectPr w:rsidR="00340E76" w:rsidSect="00F6233F">
          <w:headerReference w:type="default" r:id="rId65"/>
          <w:footerReference w:type="default" r:id="rId66"/>
          <w:type w:val="continuous"/>
          <w:pgSz w:w="11907" w:h="16839" w:code="9"/>
          <w:pgMar w:top="1440" w:right="1418" w:bottom="1440" w:left="1418" w:header="709" w:footer="709" w:gutter="0"/>
          <w:cols w:num="2" w:space="720"/>
          <w:docGrid w:linePitch="360"/>
        </w:sectPr>
      </w:pPr>
    </w:p>
    <w:p w14:paraId="384FE550" w14:textId="77777777" w:rsidR="00340E76" w:rsidRDefault="00340E76" w:rsidP="00F6233F">
      <w:pPr>
        <w:keepNext/>
        <w:rPr>
          <w:rFonts w:ascii="Book Antiqua" w:hAnsi="Book Antiqua"/>
        </w:rPr>
        <w:sectPr w:rsidR="00340E76" w:rsidSect="00340E76">
          <w:type w:val="continuous"/>
          <w:pgSz w:w="11907" w:h="16839" w:code="9"/>
          <w:pgMar w:top="1440" w:right="1418" w:bottom="1440" w:left="1418" w:header="709" w:footer="709" w:gutter="0"/>
          <w:cols w:space="720"/>
          <w:docGrid w:linePitch="360"/>
        </w:sectPr>
      </w:pPr>
      <w:r w:rsidRPr="00E3232D">
        <w:rPr>
          <w:rFonts w:ascii="Book Antiqua" w:hAnsi="Book Antiqua"/>
        </w:rPr>
        <w:object w:dxaOrig="8108" w:dyaOrig="12101" w14:anchorId="5746BDB8">
          <v:shape id="_x0000_i1026" type="#_x0000_t75" style="width:392.6pt;height:313.15pt" o:ole="">
            <v:imagedata r:id="rId67" o:title=""/>
          </v:shape>
          <o:OLEObject Type="Embed" ProgID="Visio.Drawing.11" ShapeID="_x0000_i1026" DrawAspect="Content" ObjectID="_1680958684" r:id="rId68"/>
        </w:object>
      </w:r>
    </w:p>
    <w:p w14:paraId="6C1D0C9F" w14:textId="77777777" w:rsidR="00F6233F" w:rsidRDefault="00F6233F" w:rsidP="00F6233F">
      <w:pPr>
        <w:keepNext/>
        <w:rPr>
          <w:rFonts w:ascii="Book Antiqua" w:hAnsi="Book Antiqua"/>
        </w:rPr>
      </w:pPr>
    </w:p>
    <w:p w14:paraId="317A1272" w14:textId="77777777" w:rsidR="00F6233F" w:rsidRPr="00E3232D" w:rsidRDefault="00F6233F" w:rsidP="00F6233F">
      <w:pPr>
        <w:pStyle w:val="Caption"/>
        <w:spacing w:line="276" w:lineRule="auto"/>
        <w:rPr>
          <w:rFonts w:ascii="Book Antiqua" w:hAnsi="Book Antiqua"/>
          <w:sz w:val="22"/>
          <w:szCs w:val="22"/>
        </w:rPr>
      </w:pPr>
      <w:r w:rsidRPr="00E3232D">
        <w:rPr>
          <w:rFonts w:ascii="Book Antiqua" w:hAnsi="Book Antiqua"/>
          <w:sz w:val="22"/>
          <w:szCs w:val="22"/>
        </w:rPr>
        <w:t>Figure 1: Procedure used in the processing of “dawadawa”</w:t>
      </w:r>
    </w:p>
    <w:p w14:paraId="33225B6F" w14:textId="77777777" w:rsidR="002E553D" w:rsidRDefault="002E553D" w:rsidP="00F6233F">
      <w:pPr>
        <w:rPr>
          <w:rFonts w:ascii="Book Antiqua" w:hAnsi="Book Antiqua"/>
        </w:rPr>
      </w:pPr>
    </w:p>
    <w:p w14:paraId="481A77C2" w14:textId="77777777" w:rsidR="00F6233F" w:rsidRDefault="00F6233F" w:rsidP="00340E76">
      <w:pPr>
        <w:jc w:val="both"/>
        <w:rPr>
          <w:rFonts w:ascii="Book Antiqua" w:hAnsi="Book Antiqua"/>
        </w:rPr>
      </w:pPr>
      <w:r w:rsidRPr="00E3232D">
        <w:rPr>
          <w:rFonts w:ascii="Book Antiqua" w:hAnsi="Book Antiqua"/>
        </w:rPr>
        <w:t>The recommended methods of analysis of the Association of Official Analytical Chemists ( A.O.A.C.,1997) was adopted for the determination of nutritional parameters such as crude protein, fats and oil, carbohydrate, ash, and moisture</w:t>
      </w:r>
      <w:r>
        <w:rPr>
          <w:rFonts w:ascii="Book Antiqua" w:hAnsi="Book Antiqua"/>
        </w:rPr>
        <w:t xml:space="preserve"> </w:t>
      </w:r>
      <w:r w:rsidRPr="00E3232D">
        <w:rPr>
          <w:rFonts w:ascii="Book Antiqua" w:hAnsi="Book Antiqua"/>
        </w:rPr>
        <w:t>content, and pH. All treatments were in duplicate.  Results from the laboratory analyses were analysed for significance (p≤ 0.05) using paired T-test analyses.</w:t>
      </w:r>
    </w:p>
    <w:p w14:paraId="3A711D6D" w14:textId="77777777" w:rsidR="00340E76" w:rsidRPr="00E3232D" w:rsidRDefault="00340E76" w:rsidP="00340E76">
      <w:pPr>
        <w:jc w:val="both"/>
        <w:rPr>
          <w:rFonts w:ascii="Book Antiqua" w:hAnsi="Book Antiqua"/>
        </w:rPr>
      </w:pPr>
    </w:p>
    <w:p w14:paraId="2082B12C" w14:textId="77777777" w:rsidR="00F6233F" w:rsidRPr="00E3232D" w:rsidRDefault="00F6233F" w:rsidP="00340E76">
      <w:pPr>
        <w:jc w:val="both"/>
        <w:rPr>
          <w:rFonts w:ascii="Book Antiqua" w:hAnsi="Book Antiqua"/>
          <w:b/>
        </w:rPr>
      </w:pPr>
    </w:p>
    <w:p w14:paraId="50D39EE7" w14:textId="77777777" w:rsidR="00F6233F" w:rsidRPr="00E3232D" w:rsidRDefault="00F6233F" w:rsidP="00340E76">
      <w:pPr>
        <w:jc w:val="both"/>
        <w:rPr>
          <w:rFonts w:ascii="Book Antiqua" w:hAnsi="Book Antiqua"/>
          <w:b/>
        </w:rPr>
      </w:pPr>
      <w:r w:rsidRPr="00E3232D">
        <w:rPr>
          <w:rFonts w:ascii="Book Antiqua" w:hAnsi="Book Antiqua"/>
          <w:b/>
        </w:rPr>
        <w:t>3.</w:t>
      </w:r>
      <w:r w:rsidRPr="00340E76">
        <w:rPr>
          <w:rFonts w:ascii="Book Antiqua" w:hAnsi="Book Antiqua"/>
          <w:b/>
          <w:sz w:val="26"/>
        </w:rPr>
        <w:t>0 Results and Discussion</w:t>
      </w:r>
    </w:p>
    <w:p w14:paraId="6183ED6A" w14:textId="77777777" w:rsidR="00F6233F" w:rsidRPr="00E3232D" w:rsidRDefault="00F6233F" w:rsidP="00340E76">
      <w:pPr>
        <w:jc w:val="both"/>
        <w:rPr>
          <w:rFonts w:ascii="Book Antiqua" w:hAnsi="Book Antiqua"/>
          <w:b/>
        </w:rPr>
      </w:pPr>
      <w:r w:rsidRPr="00E3232D">
        <w:rPr>
          <w:rFonts w:ascii="Book Antiqua" w:hAnsi="Book Antiqua"/>
          <w:b/>
        </w:rPr>
        <w:t>3.1 Processing Method of “dawadawa” in the selected communities</w:t>
      </w:r>
    </w:p>
    <w:p w14:paraId="1D37F21F" w14:textId="77777777" w:rsidR="00F6233F" w:rsidRPr="00E3232D" w:rsidRDefault="00F6233F" w:rsidP="00340E76">
      <w:pPr>
        <w:jc w:val="both"/>
        <w:rPr>
          <w:rFonts w:ascii="Book Antiqua" w:hAnsi="Book Antiqua"/>
          <w:b/>
        </w:rPr>
      </w:pPr>
      <w:r w:rsidRPr="00E3232D">
        <w:rPr>
          <w:rFonts w:ascii="Book Antiqua" w:hAnsi="Book Antiqua"/>
        </w:rPr>
        <w:t xml:space="preserve">From the results, processors in the three communities used similar operations with the main variant been the duration of each operation. Below in Table 1 is a summary of the description of methods used for the processing of “dawadawa” in the three communities. </w:t>
      </w:r>
    </w:p>
    <w:p w14:paraId="06505759" w14:textId="77777777" w:rsidR="00F6233F" w:rsidRDefault="00F6233F" w:rsidP="00F6233F">
      <w:pPr>
        <w:rPr>
          <w:rFonts w:ascii="Book Antiqua" w:hAnsi="Book Antiqua"/>
          <w:b/>
        </w:rPr>
      </w:pPr>
    </w:p>
    <w:p w14:paraId="53339AC4" w14:textId="77777777" w:rsidR="0046039D" w:rsidRDefault="0046039D" w:rsidP="00F6233F">
      <w:pPr>
        <w:rPr>
          <w:rFonts w:ascii="Book Antiqua" w:hAnsi="Book Antiqua"/>
          <w:b/>
        </w:rPr>
        <w:sectPr w:rsidR="0046039D" w:rsidSect="00F6233F">
          <w:type w:val="continuous"/>
          <w:pgSz w:w="11907" w:h="16839" w:code="9"/>
          <w:pgMar w:top="1440" w:right="1418" w:bottom="1440" w:left="1418" w:header="709" w:footer="709" w:gutter="0"/>
          <w:cols w:num="2" w:space="720"/>
          <w:docGrid w:linePitch="360"/>
        </w:sectPr>
      </w:pPr>
    </w:p>
    <w:p w14:paraId="7DC53C33" w14:textId="77777777" w:rsidR="00340E76" w:rsidRDefault="00340E76" w:rsidP="00F6233F">
      <w:pPr>
        <w:rPr>
          <w:rFonts w:ascii="Book Antiqua" w:hAnsi="Book Antiqua"/>
          <w:b/>
        </w:rPr>
      </w:pPr>
    </w:p>
    <w:p w14:paraId="12A3590E" w14:textId="77777777" w:rsidR="00340E76" w:rsidRDefault="00340E76" w:rsidP="00F6233F">
      <w:pPr>
        <w:rPr>
          <w:rFonts w:ascii="Book Antiqua" w:hAnsi="Book Antiqua"/>
          <w:b/>
        </w:rPr>
      </w:pPr>
    </w:p>
    <w:p w14:paraId="1F9C308D" w14:textId="77777777" w:rsidR="00F6233F" w:rsidRPr="00E3232D" w:rsidRDefault="00F6233F" w:rsidP="00F6233F">
      <w:pPr>
        <w:rPr>
          <w:rFonts w:ascii="Book Antiqua" w:hAnsi="Book Antiqua"/>
          <w:b/>
        </w:rPr>
      </w:pPr>
      <w:r w:rsidRPr="00E3232D">
        <w:rPr>
          <w:rFonts w:ascii="Book Antiqua" w:hAnsi="Book Antiqua"/>
          <w:b/>
        </w:rPr>
        <w:lastRenderedPageBreak/>
        <w:t>Table 1: Processing method of “dawadawa” used in the selected communities</w:t>
      </w:r>
    </w:p>
    <w:p w14:paraId="45FF491E" w14:textId="77777777" w:rsidR="0046039D" w:rsidRDefault="0046039D" w:rsidP="00D12E59">
      <w:pPr>
        <w:rPr>
          <w:rFonts w:ascii="Book Antiqua" w:hAnsi="Book Antiqua"/>
          <w:b/>
          <w:bCs/>
          <w:color w:val="000000"/>
          <w:lang w:eastAsia="en-GB"/>
        </w:rPr>
        <w:sectPr w:rsidR="0046039D" w:rsidSect="0046039D">
          <w:type w:val="continuous"/>
          <w:pgSz w:w="11907" w:h="16839" w:code="9"/>
          <w:pgMar w:top="1440" w:right="1418" w:bottom="1440" w:left="1418" w:header="709" w:footer="709" w:gutter="0"/>
          <w:cols w:space="720"/>
          <w:docGrid w:linePitch="360"/>
        </w:sectPr>
      </w:pPr>
    </w:p>
    <w:tbl>
      <w:tblPr>
        <w:tblW w:w="9276" w:type="dxa"/>
        <w:tblLook w:val="04A0" w:firstRow="1" w:lastRow="0" w:firstColumn="1" w:lastColumn="0" w:noHBand="0" w:noVBand="1"/>
      </w:tblPr>
      <w:tblGrid>
        <w:gridCol w:w="3427"/>
        <w:gridCol w:w="2331"/>
        <w:gridCol w:w="1681"/>
        <w:gridCol w:w="1837"/>
      </w:tblGrid>
      <w:tr w:rsidR="00F6233F" w:rsidRPr="00D12E59" w14:paraId="75604E11" w14:textId="77777777" w:rsidTr="00340E76">
        <w:trPr>
          <w:trHeight w:val="275"/>
        </w:trPr>
        <w:tc>
          <w:tcPr>
            <w:tcW w:w="3427" w:type="dxa"/>
            <w:tcBorders>
              <w:top w:val="single" w:sz="4" w:space="0" w:color="auto"/>
              <w:left w:val="nil"/>
              <w:bottom w:val="single" w:sz="4" w:space="0" w:color="auto"/>
              <w:right w:val="nil"/>
            </w:tcBorders>
            <w:shd w:val="clear" w:color="auto" w:fill="auto"/>
            <w:noWrap/>
            <w:vAlign w:val="bottom"/>
            <w:hideMark/>
          </w:tcPr>
          <w:p w14:paraId="6DA4F111" w14:textId="77777777" w:rsidR="00F6233F" w:rsidRPr="00D12E59" w:rsidRDefault="00F6233F" w:rsidP="00D12E59">
            <w:pPr>
              <w:rPr>
                <w:rFonts w:ascii="Book Antiqua" w:hAnsi="Book Antiqua"/>
                <w:b/>
                <w:bCs/>
                <w:color w:val="000000"/>
                <w:lang w:eastAsia="en-GB"/>
              </w:rPr>
            </w:pPr>
            <w:r w:rsidRPr="00D12E59">
              <w:rPr>
                <w:rFonts w:ascii="Book Antiqua" w:hAnsi="Book Antiqua"/>
                <w:b/>
                <w:bCs/>
                <w:color w:val="000000"/>
                <w:lang w:eastAsia="en-GB"/>
              </w:rPr>
              <w:t xml:space="preserve">Activities </w:t>
            </w:r>
          </w:p>
        </w:tc>
        <w:tc>
          <w:tcPr>
            <w:tcW w:w="2331" w:type="dxa"/>
            <w:tcBorders>
              <w:top w:val="single" w:sz="4" w:space="0" w:color="auto"/>
              <w:left w:val="nil"/>
              <w:bottom w:val="single" w:sz="4" w:space="0" w:color="auto"/>
              <w:right w:val="nil"/>
            </w:tcBorders>
            <w:shd w:val="clear" w:color="auto" w:fill="auto"/>
            <w:noWrap/>
            <w:vAlign w:val="bottom"/>
            <w:hideMark/>
          </w:tcPr>
          <w:p w14:paraId="6BC10BF7" w14:textId="77777777" w:rsidR="00F6233F" w:rsidRPr="00D12E59" w:rsidRDefault="00F6233F" w:rsidP="00D12E59">
            <w:pPr>
              <w:rPr>
                <w:rFonts w:ascii="Book Antiqua" w:hAnsi="Book Antiqua"/>
                <w:b/>
                <w:bCs/>
                <w:color w:val="000000"/>
                <w:lang w:eastAsia="en-GB"/>
              </w:rPr>
            </w:pPr>
            <w:r w:rsidRPr="00D12E59">
              <w:rPr>
                <w:rFonts w:ascii="Book Antiqua" w:hAnsi="Book Antiqua"/>
                <w:b/>
                <w:bCs/>
                <w:color w:val="000000"/>
                <w:lang w:eastAsia="en-GB"/>
              </w:rPr>
              <w:t>Nyankpala</w:t>
            </w:r>
          </w:p>
        </w:tc>
        <w:tc>
          <w:tcPr>
            <w:tcW w:w="1681" w:type="dxa"/>
            <w:tcBorders>
              <w:top w:val="single" w:sz="4" w:space="0" w:color="auto"/>
              <w:left w:val="nil"/>
              <w:bottom w:val="single" w:sz="4" w:space="0" w:color="auto"/>
              <w:right w:val="nil"/>
            </w:tcBorders>
            <w:shd w:val="clear" w:color="auto" w:fill="auto"/>
            <w:noWrap/>
            <w:vAlign w:val="bottom"/>
            <w:hideMark/>
          </w:tcPr>
          <w:p w14:paraId="67F4E70F" w14:textId="77777777" w:rsidR="00F6233F" w:rsidRPr="00D12E59" w:rsidRDefault="00F6233F" w:rsidP="00D12E59">
            <w:pPr>
              <w:rPr>
                <w:rFonts w:ascii="Book Antiqua" w:hAnsi="Book Antiqua"/>
                <w:b/>
                <w:bCs/>
                <w:color w:val="000000"/>
                <w:lang w:eastAsia="en-GB"/>
              </w:rPr>
            </w:pPr>
            <w:r w:rsidRPr="00D12E59">
              <w:rPr>
                <w:rFonts w:ascii="Book Antiqua" w:hAnsi="Book Antiqua"/>
                <w:b/>
                <w:bCs/>
                <w:color w:val="000000"/>
                <w:lang w:eastAsia="en-GB"/>
              </w:rPr>
              <w:t>Kpachi</w:t>
            </w:r>
          </w:p>
        </w:tc>
        <w:tc>
          <w:tcPr>
            <w:tcW w:w="1837" w:type="dxa"/>
            <w:tcBorders>
              <w:top w:val="single" w:sz="4" w:space="0" w:color="auto"/>
              <w:left w:val="nil"/>
              <w:bottom w:val="single" w:sz="4" w:space="0" w:color="auto"/>
              <w:right w:val="nil"/>
            </w:tcBorders>
            <w:shd w:val="clear" w:color="auto" w:fill="auto"/>
            <w:noWrap/>
            <w:vAlign w:val="bottom"/>
            <w:hideMark/>
          </w:tcPr>
          <w:p w14:paraId="39510CAE" w14:textId="77777777" w:rsidR="00F6233F" w:rsidRPr="00D12E59" w:rsidRDefault="00F6233F" w:rsidP="00D12E59">
            <w:pPr>
              <w:rPr>
                <w:rFonts w:ascii="Book Antiqua" w:hAnsi="Book Antiqua"/>
                <w:b/>
                <w:bCs/>
                <w:color w:val="000000"/>
                <w:lang w:eastAsia="en-GB"/>
              </w:rPr>
            </w:pPr>
            <w:r w:rsidRPr="00D12E59">
              <w:rPr>
                <w:rFonts w:ascii="Book Antiqua" w:hAnsi="Book Antiqua"/>
                <w:b/>
                <w:bCs/>
                <w:color w:val="000000"/>
                <w:lang w:eastAsia="en-GB"/>
              </w:rPr>
              <w:t>Cheshegu</w:t>
            </w:r>
          </w:p>
        </w:tc>
      </w:tr>
      <w:tr w:rsidR="00F6233F" w:rsidRPr="00D12E59" w14:paraId="270AF4FA" w14:textId="77777777" w:rsidTr="00340E76">
        <w:trPr>
          <w:trHeight w:val="275"/>
        </w:trPr>
        <w:tc>
          <w:tcPr>
            <w:tcW w:w="3427" w:type="dxa"/>
            <w:tcBorders>
              <w:top w:val="single" w:sz="4" w:space="0" w:color="auto"/>
              <w:left w:val="nil"/>
              <w:bottom w:val="nil"/>
              <w:right w:val="nil"/>
            </w:tcBorders>
            <w:shd w:val="clear" w:color="auto" w:fill="auto"/>
            <w:noWrap/>
            <w:vAlign w:val="bottom"/>
            <w:hideMark/>
          </w:tcPr>
          <w:p w14:paraId="0A9FE0BC"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1. First Boiling</w:t>
            </w:r>
          </w:p>
        </w:tc>
        <w:tc>
          <w:tcPr>
            <w:tcW w:w="2331" w:type="dxa"/>
            <w:tcBorders>
              <w:top w:val="single" w:sz="4" w:space="0" w:color="auto"/>
              <w:left w:val="nil"/>
              <w:bottom w:val="nil"/>
              <w:right w:val="nil"/>
            </w:tcBorders>
            <w:shd w:val="clear" w:color="auto" w:fill="auto"/>
            <w:noWrap/>
            <w:vAlign w:val="bottom"/>
            <w:hideMark/>
          </w:tcPr>
          <w:p w14:paraId="327D37D5"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Twelve hours</w:t>
            </w:r>
          </w:p>
        </w:tc>
        <w:tc>
          <w:tcPr>
            <w:tcW w:w="1681" w:type="dxa"/>
            <w:tcBorders>
              <w:top w:val="single" w:sz="4" w:space="0" w:color="auto"/>
              <w:left w:val="nil"/>
              <w:bottom w:val="nil"/>
              <w:right w:val="nil"/>
            </w:tcBorders>
            <w:shd w:val="clear" w:color="auto" w:fill="auto"/>
            <w:noWrap/>
            <w:vAlign w:val="bottom"/>
            <w:hideMark/>
          </w:tcPr>
          <w:p w14:paraId="08D3AE50"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Twelve hours</w:t>
            </w:r>
          </w:p>
        </w:tc>
        <w:tc>
          <w:tcPr>
            <w:tcW w:w="1837" w:type="dxa"/>
            <w:tcBorders>
              <w:top w:val="single" w:sz="4" w:space="0" w:color="auto"/>
              <w:left w:val="nil"/>
              <w:bottom w:val="nil"/>
              <w:right w:val="nil"/>
            </w:tcBorders>
            <w:shd w:val="clear" w:color="auto" w:fill="auto"/>
            <w:noWrap/>
            <w:vAlign w:val="bottom"/>
            <w:hideMark/>
          </w:tcPr>
          <w:p w14:paraId="3BD2F4ED"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Twelve hours</w:t>
            </w:r>
          </w:p>
        </w:tc>
      </w:tr>
      <w:tr w:rsidR="00F6233F" w:rsidRPr="00D12E59" w14:paraId="6BFDC960" w14:textId="77777777" w:rsidTr="00340E76">
        <w:trPr>
          <w:trHeight w:val="275"/>
        </w:trPr>
        <w:tc>
          <w:tcPr>
            <w:tcW w:w="3427" w:type="dxa"/>
            <w:tcBorders>
              <w:top w:val="nil"/>
              <w:left w:val="nil"/>
              <w:right w:val="nil"/>
            </w:tcBorders>
            <w:shd w:val="clear" w:color="auto" w:fill="auto"/>
            <w:noWrap/>
            <w:vAlign w:val="bottom"/>
            <w:hideMark/>
          </w:tcPr>
          <w:p w14:paraId="6A64DC3B"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2. Second boiling</w:t>
            </w:r>
          </w:p>
        </w:tc>
        <w:tc>
          <w:tcPr>
            <w:tcW w:w="2331" w:type="dxa"/>
            <w:tcBorders>
              <w:top w:val="nil"/>
              <w:left w:val="nil"/>
              <w:right w:val="nil"/>
            </w:tcBorders>
            <w:shd w:val="clear" w:color="auto" w:fill="auto"/>
            <w:noWrap/>
            <w:vAlign w:val="bottom"/>
            <w:hideMark/>
          </w:tcPr>
          <w:p w14:paraId="3A61B33A"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Five hours</w:t>
            </w:r>
          </w:p>
        </w:tc>
        <w:tc>
          <w:tcPr>
            <w:tcW w:w="1681" w:type="dxa"/>
            <w:tcBorders>
              <w:top w:val="nil"/>
              <w:left w:val="nil"/>
              <w:right w:val="nil"/>
            </w:tcBorders>
            <w:shd w:val="clear" w:color="auto" w:fill="auto"/>
            <w:noWrap/>
            <w:vAlign w:val="bottom"/>
            <w:hideMark/>
          </w:tcPr>
          <w:p w14:paraId="51259235"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Three hours</w:t>
            </w:r>
          </w:p>
        </w:tc>
        <w:tc>
          <w:tcPr>
            <w:tcW w:w="1837" w:type="dxa"/>
            <w:tcBorders>
              <w:top w:val="nil"/>
              <w:left w:val="nil"/>
              <w:right w:val="nil"/>
            </w:tcBorders>
            <w:shd w:val="clear" w:color="auto" w:fill="auto"/>
            <w:noWrap/>
            <w:vAlign w:val="bottom"/>
            <w:hideMark/>
          </w:tcPr>
          <w:p w14:paraId="2966E8CD"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Four hours</w:t>
            </w:r>
          </w:p>
        </w:tc>
      </w:tr>
      <w:tr w:rsidR="00F6233F" w:rsidRPr="00D12E59" w14:paraId="0F3D3883" w14:textId="77777777" w:rsidTr="00340E76">
        <w:trPr>
          <w:trHeight w:val="275"/>
        </w:trPr>
        <w:tc>
          <w:tcPr>
            <w:tcW w:w="3427" w:type="dxa"/>
            <w:shd w:val="clear" w:color="auto" w:fill="auto"/>
            <w:noWrap/>
            <w:vAlign w:val="bottom"/>
            <w:hideMark/>
          </w:tcPr>
          <w:p w14:paraId="02235DF7"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 xml:space="preserve">3. Fermentation </w:t>
            </w:r>
          </w:p>
        </w:tc>
        <w:tc>
          <w:tcPr>
            <w:tcW w:w="2331" w:type="dxa"/>
            <w:shd w:val="clear" w:color="auto" w:fill="auto"/>
            <w:noWrap/>
            <w:vAlign w:val="bottom"/>
            <w:hideMark/>
          </w:tcPr>
          <w:p w14:paraId="21D88A66"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Two days</w:t>
            </w:r>
          </w:p>
        </w:tc>
        <w:tc>
          <w:tcPr>
            <w:tcW w:w="1681" w:type="dxa"/>
            <w:shd w:val="clear" w:color="auto" w:fill="auto"/>
            <w:noWrap/>
            <w:vAlign w:val="bottom"/>
            <w:hideMark/>
          </w:tcPr>
          <w:p w14:paraId="0B423158"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Three days</w:t>
            </w:r>
          </w:p>
        </w:tc>
        <w:tc>
          <w:tcPr>
            <w:tcW w:w="1837" w:type="dxa"/>
            <w:shd w:val="clear" w:color="auto" w:fill="auto"/>
            <w:noWrap/>
            <w:vAlign w:val="bottom"/>
            <w:hideMark/>
          </w:tcPr>
          <w:p w14:paraId="056BAFA0"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Four days</w:t>
            </w:r>
          </w:p>
        </w:tc>
      </w:tr>
      <w:tr w:rsidR="00F6233F" w:rsidRPr="00D12E59" w14:paraId="6C09A1AD" w14:textId="77777777" w:rsidTr="00340E76">
        <w:trPr>
          <w:trHeight w:val="319"/>
        </w:trPr>
        <w:tc>
          <w:tcPr>
            <w:tcW w:w="3427" w:type="dxa"/>
            <w:shd w:val="clear" w:color="auto" w:fill="auto"/>
            <w:vAlign w:val="bottom"/>
            <w:hideMark/>
          </w:tcPr>
          <w:p w14:paraId="3AADB396"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4. Drying of fermented seeds</w:t>
            </w:r>
          </w:p>
        </w:tc>
        <w:tc>
          <w:tcPr>
            <w:tcW w:w="2331" w:type="dxa"/>
            <w:shd w:val="clear" w:color="auto" w:fill="auto"/>
            <w:noWrap/>
            <w:vAlign w:val="bottom"/>
            <w:hideMark/>
          </w:tcPr>
          <w:p w14:paraId="34CF4B99"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Three hours</w:t>
            </w:r>
          </w:p>
        </w:tc>
        <w:tc>
          <w:tcPr>
            <w:tcW w:w="1681" w:type="dxa"/>
            <w:shd w:val="clear" w:color="auto" w:fill="auto"/>
            <w:noWrap/>
            <w:vAlign w:val="bottom"/>
            <w:hideMark/>
          </w:tcPr>
          <w:p w14:paraId="0F93F8B6"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Two hours</w:t>
            </w:r>
          </w:p>
        </w:tc>
        <w:tc>
          <w:tcPr>
            <w:tcW w:w="1837" w:type="dxa"/>
            <w:shd w:val="clear" w:color="auto" w:fill="auto"/>
            <w:noWrap/>
            <w:vAlign w:val="bottom"/>
            <w:hideMark/>
          </w:tcPr>
          <w:p w14:paraId="3AB92693"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Two hours</w:t>
            </w:r>
          </w:p>
        </w:tc>
      </w:tr>
      <w:tr w:rsidR="00F6233F" w:rsidRPr="00D12E59" w14:paraId="2C27BB8B" w14:textId="77777777" w:rsidTr="00340E76">
        <w:trPr>
          <w:trHeight w:val="824"/>
        </w:trPr>
        <w:tc>
          <w:tcPr>
            <w:tcW w:w="3427" w:type="dxa"/>
            <w:tcBorders>
              <w:bottom w:val="single" w:sz="4" w:space="0" w:color="auto"/>
            </w:tcBorders>
            <w:shd w:val="clear" w:color="auto" w:fill="auto"/>
            <w:hideMark/>
          </w:tcPr>
          <w:p w14:paraId="488C669A" w14:textId="77777777" w:rsidR="00F6233F" w:rsidRPr="00D12E59" w:rsidRDefault="00F6233F" w:rsidP="00D12E59">
            <w:pPr>
              <w:ind w:left="175" w:hanging="175"/>
              <w:rPr>
                <w:rFonts w:ascii="Book Antiqua" w:hAnsi="Book Antiqua"/>
                <w:color w:val="000000"/>
                <w:lang w:eastAsia="en-GB"/>
              </w:rPr>
            </w:pPr>
            <w:r w:rsidRPr="00D12E59">
              <w:rPr>
                <w:rFonts w:ascii="Book Antiqua" w:hAnsi="Book Antiqua"/>
                <w:color w:val="000000"/>
                <w:lang w:eastAsia="en-GB"/>
              </w:rPr>
              <w:t>5. Pounding and moulding of   "dawadawa"</w:t>
            </w:r>
          </w:p>
        </w:tc>
        <w:tc>
          <w:tcPr>
            <w:tcW w:w="2331" w:type="dxa"/>
            <w:tcBorders>
              <w:bottom w:val="single" w:sz="4" w:space="0" w:color="auto"/>
            </w:tcBorders>
            <w:shd w:val="clear" w:color="auto" w:fill="auto"/>
            <w:hideMark/>
          </w:tcPr>
          <w:p w14:paraId="4D490C6B"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No pounding, water was sprinkled and moulded into balls.</w:t>
            </w:r>
          </w:p>
        </w:tc>
        <w:tc>
          <w:tcPr>
            <w:tcW w:w="1681" w:type="dxa"/>
            <w:tcBorders>
              <w:bottom w:val="single" w:sz="4" w:space="0" w:color="auto"/>
            </w:tcBorders>
            <w:shd w:val="clear" w:color="auto" w:fill="auto"/>
            <w:hideMark/>
          </w:tcPr>
          <w:p w14:paraId="066E42FC"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Pounding and moulding of "dawadawa".</w:t>
            </w:r>
          </w:p>
        </w:tc>
        <w:tc>
          <w:tcPr>
            <w:tcW w:w="1837" w:type="dxa"/>
            <w:tcBorders>
              <w:bottom w:val="single" w:sz="4" w:space="0" w:color="auto"/>
            </w:tcBorders>
            <w:shd w:val="clear" w:color="auto" w:fill="auto"/>
            <w:hideMark/>
          </w:tcPr>
          <w:p w14:paraId="4F0C766B" w14:textId="77777777" w:rsidR="00F6233F" w:rsidRPr="00D12E59" w:rsidRDefault="00F6233F" w:rsidP="00D12E59">
            <w:pPr>
              <w:rPr>
                <w:rFonts w:ascii="Book Antiqua" w:hAnsi="Book Antiqua"/>
                <w:color w:val="000000"/>
                <w:lang w:eastAsia="en-GB"/>
              </w:rPr>
            </w:pPr>
            <w:r w:rsidRPr="00D12E59">
              <w:rPr>
                <w:rFonts w:ascii="Book Antiqua" w:hAnsi="Book Antiqua"/>
                <w:color w:val="000000"/>
                <w:lang w:eastAsia="en-GB"/>
              </w:rPr>
              <w:t>Pounding and moulding of "dawadawa".</w:t>
            </w:r>
          </w:p>
        </w:tc>
      </w:tr>
    </w:tbl>
    <w:p w14:paraId="0B5280B7" w14:textId="77777777" w:rsidR="0046039D" w:rsidRDefault="0046039D" w:rsidP="00F6233F">
      <w:pPr>
        <w:tabs>
          <w:tab w:val="left" w:pos="1593"/>
        </w:tabs>
        <w:rPr>
          <w:rFonts w:ascii="Book Antiqua" w:hAnsi="Book Antiqua"/>
        </w:rPr>
        <w:sectPr w:rsidR="0046039D" w:rsidSect="0046039D">
          <w:type w:val="continuous"/>
          <w:pgSz w:w="11907" w:h="16839" w:code="9"/>
          <w:pgMar w:top="1440" w:right="1418" w:bottom="1440" w:left="1418" w:header="709" w:footer="709" w:gutter="0"/>
          <w:cols w:space="720"/>
          <w:docGrid w:linePitch="360"/>
        </w:sectPr>
      </w:pPr>
    </w:p>
    <w:p w14:paraId="7720AF50" w14:textId="77777777" w:rsidR="00F6233F" w:rsidRPr="00E3232D" w:rsidRDefault="00F6233F" w:rsidP="00F6233F">
      <w:pPr>
        <w:tabs>
          <w:tab w:val="left" w:pos="1593"/>
        </w:tabs>
        <w:rPr>
          <w:rFonts w:ascii="Book Antiqua" w:hAnsi="Book Antiqua"/>
        </w:rPr>
      </w:pPr>
    </w:p>
    <w:p w14:paraId="3BF2912A" w14:textId="77777777" w:rsidR="00F6233F" w:rsidRPr="00E3232D" w:rsidRDefault="00F6233F" w:rsidP="00340E76">
      <w:pPr>
        <w:jc w:val="both"/>
        <w:rPr>
          <w:rFonts w:ascii="Book Antiqua" w:hAnsi="Book Antiqua"/>
        </w:rPr>
      </w:pPr>
      <w:r w:rsidRPr="00E3232D">
        <w:rPr>
          <w:rFonts w:ascii="Book Antiqua" w:hAnsi="Book Antiqua"/>
        </w:rPr>
        <w:t>The methods per time used by processors resulted in a variation of nutrient composition although an initial result of the raw dried beans was same for all communities. Heat was applied through boiling to soften beans for easy dehulling and while aiding fermentation. Fermented seeds were dried to reduce the moisture content and prevent further activities by microorganisms in the fermentation process.</w:t>
      </w:r>
    </w:p>
    <w:p w14:paraId="63B7D0E5" w14:textId="77777777" w:rsidR="00F6233F" w:rsidRPr="00E3232D" w:rsidRDefault="00F6233F" w:rsidP="00340E76">
      <w:pPr>
        <w:tabs>
          <w:tab w:val="left" w:pos="1593"/>
        </w:tabs>
        <w:jc w:val="both"/>
        <w:rPr>
          <w:rFonts w:ascii="Book Antiqua" w:hAnsi="Book Antiqua"/>
        </w:rPr>
      </w:pPr>
      <w:r w:rsidRPr="00340E76">
        <w:rPr>
          <w:rFonts w:ascii="Book Antiqua" w:hAnsi="Book Antiqua"/>
        </w:rPr>
        <w:t>3.2</w:t>
      </w:r>
      <w:r w:rsidRPr="00340E76">
        <w:rPr>
          <w:rFonts w:ascii="Book Antiqua" w:hAnsi="Book Antiqua"/>
          <w:b/>
        </w:rPr>
        <w:t xml:space="preserve"> Proximate Composition of “Dawadawa”</w:t>
      </w:r>
    </w:p>
    <w:p w14:paraId="1DD5DCD3" w14:textId="77777777" w:rsidR="00340E76" w:rsidRDefault="00340E76" w:rsidP="00340E76">
      <w:pPr>
        <w:tabs>
          <w:tab w:val="left" w:pos="1593"/>
        </w:tabs>
        <w:jc w:val="both"/>
        <w:rPr>
          <w:rFonts w:ascii="Book Antiqua" w:hAnsi="Book Antiqua"/>
        </w:rPr>
      </w:pPr>
    </w:p>
    <w:p w14:paraId="30855941" w14:textId="77777777" w:rsidR="00F6233F" w:rsidRDefault="00F6233F" w:rsidP="00340E76">
      <w:pPr>
        <w:tabs>
          <w:tab w:val="left" w:pos="1593"/>
        </w:tabs>
        <w:jc w:val="both"/>
        <w:rPr>
          <w:rFonts w:ascii="Book Antiqua" w:hAnsi="Book Antiqua"/>
        </w:rPr>
      </w:pPr>
      <w:r w:rsidRPr="00E3232D">
        <w:rPr>
          <w:rFonts w:ascii="Book Antiqua" w:hAnsi="Book Antiqua"/>
        </w:rPr>
        <w:t>Results of the proximate composition are as indicated in Table 2 below. Dawadawa contained all essential nutrients in varied proportions for meal supplementations aside its use as flavour intensifier in soups and stews.</w:t>
      </w:r>
    </w:p>
    <w:p w14:paraId="06BDDAD9" w14:textId="77777777" w:rsidR="00F6233F" w:rsidRPr="00E3232D" w:rsidRDefault="00F6233F" w:rsidP="00340E76">
      <w:pPr>
        <w:tabs>
          <w:tab w:val="left" w:pos="1593"/>
        </w:tabs>
        <w:jc w:val="both"/>
        <w:rPr>
          <w:rFonts w:ascii="Book Antiqua" w:hAnsi="Book Antiqua"/>
        </w:rPr>
      </w:pPr>
    </w:p>
    <w:p w14:paraId="3C816E34" w14:textId="77777777" w:rsidR="00F6233F" w:rsidRPr="00E3232D" w:rsidRDefault="00F6233F" w:rsidP="00340E76">
      <w:pPr>
        <w:tabs>
          <w:tab w:val="left" w:pos="1593"/>
        </w:tabs>
        <w:jc w:val="both"/>
        <w:rPr>
          <w:rFonts w:ascii="Book Antiqua" w:hAnsi="Book Antiqua"/>
        </w:rPr>
      </w:pPr>
    </w:p>
    <w:p w14:paraId="4C6DA3A5" w14:textId="77777777" w:rsidR="00F6233F" w:rsidRDefault="00F6233F" w:rsidP="00340E76">
      <w:pPr>
        <w:tabs>
          <w:tab w:val="left" w:pos="1593"/>
        </w:tabs>
        <w:jc w:val="both"/>
        <w:rPr>
          <w:rFonts w:ascii="Book Antiqua" w:hAnsi="Book Antiqua"/>
        </w:rPr>
      </w:pPr>
    </w:p>
    <w:p w14:paraId="252BDA38" w14:textId="77777777" w:rsidR="00F6233F" w:rsidRDefault="00F6233F" w:rsidP="00F6233F">
      <w:pPr>
        <w:tabs>
          <w:tab w:val="left" w:pos="1593"/>
        </w:tabs>
        <w:rPr>
          <w:rFonts w:ascii="Book Antiqua" w:hAnsi="Book Antiqua"/>
        </w:rPr>
      </w:pPr>
    </w:p>
    <w:p w14:paraId="1E5F51B0" w14:textId="77777777" w:rsidR="00F6233F" w:rsidRDefault="00F6233F" w:rsidP="00F6233F">
      <w:pPr>
        <w:tabs>
          <w:tab w:val="left" w:pos="1593"/>
        </w:tabs>
        <w:rPr>
          <w:rFonts w:ascii="Book Antiqua" w:hAnsi="Book Antiqua"/>
        </w:rPr>
      </w:pPr>
    </w:p>
    <w:p w14:paraId="49CDA162" w14:textId="77777777" w:rsidR="00F6233F" w:rsidRDefault="00F6233F" w:rsidP="00F6233F">
      <w:pPr>
        <w:tabs>
          <w:tab w:val="left" w:pos="1593"/>
        </w:tabs>
        <w:rPr>
          <w:rFonts w:ascii="Book Antiqua" w:hAnsi="Book Antiqua"/>
        </w:rPr>
        <w:sectPr w:rsidR="00F6233F" w:rsidSect="00F6233F">
          <w:type w:val="continuous"/>
          <w:pgSz w:w="11907" w:h="16839" w:code="9"/>
          <w:pgMar w:top="1440" w:right="1418" w:bottom="1440" w:left="1418" w:header="709" w:footer="709" w:gutter="0"/>
          <w:cols w:num="2" w:space="720"/>
          <w:docGrid w:linePitch="360"/>
        </w:sectPr>
      </w:pPr>
    </w:p>
    <w:p w14:paraId="70B4FB46" w14:textId="77777777" w:rsidR="00F6233F" w:rsidRPr="00E3232D" w:rsidRDefault="00F6233F" w:rsidP="00F6233F">
      <w:pPr>
        <w:tabs>
          <w:tab w:val="left" w:pos="1593"/>
        </w:tabs>
        <w:rPr>
          <w:rFonts w:ascii="Book Antiqua" w:hAnsi="Book Antiqua"/>
        </w:rPr>
      </w:pPr>
      <w:r w:rsidRPr="00E3232D">
        <w:rPr>
          <w:rFonts w:ascii="Book Antiqua" w:hAnsi="Book Antiqua"/>
        </w:rPr>
        <w:t xml:space="preserve">Table 2: Mean proximate composition and pH of “Dawadawa”   </w:t>
      </w:r>
    </w:p>
    <w:p w14:paraId="6A18A1FD" w14:textId="77777777" w:rsidR="00F6233F" w:rsidRDefault="00F6233F" w:rsidP="00F6233F">
      <w:pPr>
        <w:rPr>
          <w:rFonts w:ascii="Book Antiqua" w:hAnsi="Book Antiqua"/>
          <w:color w:val="000000"/>
          <w:lang w:eastAsia="en-GB"/>
        </w:rPr>
        <w:sectPr w:rsidR="00F6233F" w:rsidSect="008F6BC9">
          <w:type w:val="continuous"/>
          <w:pgSz w:w="11907" w:h="16839" w:code="9"/>
          <w:pgMar w:top="1440" w:right="1418" w:bottom="1440" w:left="1418" w:header="709" w:footer="709" w:gutter="0"/>
          <w:cols w:space="720"/>
          <w:docGrid w:linePitch="360"/>
        </w:sectPr>
      </w:pPr>
    </w:p>
    <w:tbl>
      <w:tblPr>
        <w:tblStyle w:val="LightShading3"/>
        <w:tblW w:w="9409" w:type="dxa"/>
        <w:tblLook w:val="0620" w:firstRow="1" w:lastRow="0" w:firstColumn="0" w:lastColumn="0" w:noHBand="1" w:noVBand="1"/>
      </w:tblPr>
      <w:tblGrid>
        <w:gridCol w:w="1839"/>
        <w:gridCol w:w="1567"/>
        <w:gridCol w:w="1540"/>
        <w:gridCol w:w="1680"/>
        <w:gridCol w:w="2597"/>
        <w:gridCol w:w="222"/>
      </w:tblGrid>
      <w:tr w:rsidR="00F6233F" w:rsidRPr="00D12E59" w14:paraId="5F8D310A" w14:textId="77777777" w:rsidTr="00340E76">
        <w:trPr>
          <w:cnfStyle w:val="100000000000" w:firstRow="1" w:lastRow="0" w:firstColumn="0" w:lastColumn="0" w:oddVBand="0" w:evenVBand="0" w:oddHBand="0" w:evenHBand="0" w:firstRowFirstColumn="0" w:firstRowLastColumn="0" w:lastRowFirstColumn="0" w:lastRowLastColumn="0"/>
          <w:trHeight w:val="300"/>
        </w:trPr>
        <w:tc>
          <w:tcPr>
            <w:tcW w:w="1803" w:type="dxa"/>
            <w:noWrap/>
            <w:hideMark/>
          </w:tcPr>
          <w:p w14:paraId="4E0B66F6" w14:textId="77777777" w:rsidR="00F6233F" w:rsidRPr="00D12E59" w:rsidRDefault="00F6233F" w:rsidP="00C2716E">
            <w:pPr>
              <w:spacing w:after="0"/>
              <w:rPr>
                <w:rFonts w:ascii="Book Antiqua" w:hAnsi="Book Antiqua"/>
                <w:lang w:eastAsia="en-GB"/>
              </w:rPr>
            </w:pPr>
          </w:p>
        </w:tc>
        <w:tc>
          <w:tcPr>
            <w:tcW w:w="1567" w:type="dxa"/>
            <w:noWrap/>
            <w:hideMark/>
          </w:tcPr>
          <w:p w14:paraId="2679D578" w14:textId="77777777" w:rsidR="00F6233F" w:rsidRPr="00D12E59" w:rsidRDefault="00F6233F" w:rsidP="00C2716E">
            <w:pPr>
              <w:spacing w:after="0"/>
              <w:rPr>
                <w:rFonts w:ascii="Book Antiqua" w:hAnsi="Book Antiqua"/>
                <w:b w:val="0"/>
                <w:bCs w:val="0"/>
                <w:lang w:eastAsia="en-GB"/>
              </w:rPr>
            </w:pPr>
            <w:r w:rsidRPr="00D12E59">
              <w:rPr>
                <w:rFonts w:ascii="Book Antiqua" w:hAnsi="Book Antiqua"/>
                <w:b w:val="0"/>
                <w:bCs w:val="0"/>
                <w:lang w:eastAsia="en-GB"/>
              </w:rPr>
              <w:t>Nyankpala</w:t>
            </w:r>
          </w:p>
        </w:tc>
        <w:tc>
          <w:tcPr>
            <w:tcW w:w="1540" w:type="dxa"/>
            <w:noWrap/>
            <w:hideMark/>
          </w:tcPr>
          <w:p w14:paraId="2AFF17DD" w14:textId="77777777" w:rsidR="00F6233F" w:rsidRPr="00D12E59" w:rsidRDefault="00F6233F" w:rsidP="00C2716E">
            <w:pPr>
              <w:spacing w:after="0"/>
              <w:rPr>
                <w:rFonts w:ascii="Book Antiqua" w:hAnsi="Book Antiqua"/>
                <w:b w:val="0"/>
                <w:bCs w:val="0"/>
                <w:lang w:eastAsia="en-GB"/>
              </w:rPr>
            </w:pPr>
            <w:r w:rsidRPr="00D12E59">
              <w:rPr>
                <w:rFonts w:ascii="Book Antiqua" w:hAnsi="Book Antiqua"/>
                <w:b w:val="0"/>
                <w:bCs w:val="0"/>
                <w:lang w:eastAsia="en-GB"/>
              </w:rPr>
              <w:t>Kpachi</w:t>
            </w:r>
          </w:p>
        </w:tc>
        <w:tc>
          <w:tcPr>
            <w:tcW w:w="1680" w:type="dxa"/>
            <w:noWrap/>
            <w:hideMark/>
          </w:tcPr>
          <w:p w14:paraId="174346C4" w14:textId="77777777" w:rsidR="00F6233F" w:rsidRPr="00D12E59" w:rsidRDefault="00F6233F" w:rsidP="00C2716E">
            <w:pPr>
              <w:spacing w:after="0"/>
              <w:rPr>
                <w:rFonts w:ascii="Book Antiqua" w:hAnsi="Book Antiqua"/>
                <w:b w:val="0"/>
                <w:bCs w:val="0"/>
                <w:lang w:eastAsia="en-GB"/>
              </w:rPr>
            </w:pPr>
            <w:r w:rsidRPr="00D12E59">
              <w:rPr>
                <w:rFonts w:ascii="Book Antiqua" w:hAnsi="Book Antiqua"/>
                <w:b w:val="0"/>
                <w:bCs w:val="0"/>
                <w:lang w:eastAsia="en-GB"/>
              </w:rPr>
              <w:t>Cheshegu</w:t>
            </w:r>
          </w:p>
        </w:tc>
        <w:tc>
          <w:tcPr>
            <w:tcW w:w="2819" w:type="dxa"/>
            <w:gridSpan w:val="2"/>
            <w:noWrap/>
            <w:hideMark/>
          </w:tcPr>
          <w:p w14:paraId="0AFE79A4" w14:textId="77777777" w:rsidR="00F6233F" w:rsidRPr="00D12E59" w:rsidRDefault="00F6233F" w:rsidP="00C2716E">
            <w:pPr>
              <w:spacing w:after="0"/>
              <w:rPr>
                <w:rFonts w:ascii="Book Antiqua" w:hAnsi="Book Antiqua"/>
                <w:b w:val="0"/>
                <w:bCs w:val="0"/>
                <w:lang w:eastAsia="en-GB"/>
              </w:rPr>
            </w:pPr>
            <w:r w:rsidRPr="00D12E59">
              <w:rPr>
                <w:rFonts w:ascii="Book Antiqua" w:hAnsi="Book Antiqua"/>
                <w:b w:val="0"/>
                <w:bCs w:val="0"/>
                <w:lang w:eastAsia="en-GB"/>
              </w:rPr>
              <w:t>Dried locust beans</w:t>
            </w:r>
          </w:p>
        </w:tc>
      </w:tr>
      <w:tr w:rsidR="00F6233F" w:rsidRPr="00D12E59" w14:paraId="710E2F3E" w14:textId="77777777" w:rsidTr="00340E76">
        <w:trPr>
          <w:trHeight w:val="300"/>
        </w:trPr>
        <w:tc>
          <w:tcPr>
            <w:tcW w:w="1803" w:type="dxa"/>
            <w:noWrap/>
            <w:hideMark/>
          </w:tcPr>
          <w:p w14:paraId="469F29C5"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Moisture (g)</w:t>
            </w:r>
          </w:p>
        </w:tc>
        <w:tc>
          <w:tcPr>
            <w:tcW w:w="1567" w:type="dxa"/>
            <w:noWrap/>
            <w:hideMark/>
          </w:tcPr>
          <w:p w14:paraId="63123BF0"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19.65 ± 1.01</w:t>
            </w:r>
            <w:r w:rsidRPr="00D12E59">
              <w:rPr>
                <w:rFonts w:ascii="Book Antiqua" w:hAnsi="Book Antiqua"/>
                <w:vertAlign w:val="superscript"/>
                <w:lang w:eastAsia="en-GB"/>
              </w:rPr>
              <w:t>a</w:t>
            </w:r>
          </w:p>
        </w:tc>
        <w:tc>
          <w:tcPr>
            <w:tcW w:w="1540" w:type="dxa"/>
            <w:noWrap/>
            <w:hideMark/>
          </w:tcPr>
          <w:p w14:paraId="4D924A11"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13.00 ± 0.90</w:t>
            </w:r>
            <w:r w:rsidRPr="00D12E59">
              <w:rPr>
                <w:rFonts w:ascii="Book Antiqua" w:hAnsi="Book Antiqua"/>
                <w:vertAlign w:val="superscript"/>
                <w:lang w:eastAsia="en-GB"/>
              </w:rPr>
              <w:t>b</w:t>
            </w:r>
          </w:p>
        </w:tc>
        <w:tc>
          <w:tcPr>
            <w:tcW w:w="1680" w:type="dxa"/>
            <w:noWrap/>
            <w:hideMark/>
          </w:tcPr>
          <w:p w14:paraId="00304CE4"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5.51 ± 0.39</w:t>
            </w:r>
            <w:r w:rsidRPr="00D12E59">
              <w:rPr>
                <w:rFonts w:ascii="Book Antiqua" w:hAnsi="Book Antiqua"/>
                <w:vertAlign w:val="superscript"/>
                <w:lang w:eastAsia="en-GB"/>
              </w:rPr>
              <w:t>c</w:t>
            </w:r>
          </w:p>
        </w:tc>
        <w:tc>
          <w:tcPr>
            <w:tcW w:w="2597" w:type="dxa"/>
            <w:noWrap/>
            <w:hideMark/>
          </w:tcPr>
          <w:p w14:paraId="58026AB8"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6.95 ± 0.81</w:t>
            </w:r>
            <w:r w:rsidRPr="00D12E59">
              <w:rPr>
                <w:rFonts w:ascii="Book Antiqua" w:hAnsi="Book Antiqua"/>
                <w:vertAlign w:val="superscript"/>
                <w:lang w:eastAsia="en-GB"/>
              </w:rPr>
              <w:t>c</w:t>
            </w:r>
          </w:p>
        </w:tc>
        <w:tc>
          <w:tcPr>
            <w:tcW w:w="222" w:type="dxa"/>
            <w:noWrap/>
            <w:hideMark/>
          </w:tcPr>
          <w:p w14:paraId="6FC4EEE8" w14:textId="77777777" w:rsidR="00F6233F" w:rsidRPr="00D12E59" w:rsidRDefault="00F6233F" w:rsidP="00C2716E">
            <w:pPr>
              <w:spacing w:after="0"/>
              <w:rPr>
                <w:rFonts w:ascii="Book Antiqua" w:hAnsi="Book Antiqua"/>
                <w:lang w:eastAsia="en-GB"/>
              </w:rPr>
            </w:pPr>
          </w:p>
        </w:tc>
      </w:tr>
      <w:tr w:rsidR="00F6233F" w:rsidRPr="00D12E59" w14:paraId="6672EE2C" w14:textId="77777777" w:rsidTr="00340E76">
        <w:trPr>
          <w:trHeight w:val="300"/>
        </w:trPr>
        <w:tc>
          <w:tcPr>
            <w:tcW w:w="1803" w:type="dxa"/>
            <w:noWrap/>
            <w:hideMark/>
          </w:tcPr>
          <w:p w14:paraId="48374C31"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Fat (g)</w:t>
            </w:r>
          </w:p>
        </w:tc>
        <w:tc>
          <w:tcPr>
            <w:tcW w:w="1567" w:type="dxa"/>
            <w:noWrap/>
            <w:hideMark/>
          </w:tcPr>
          <w:p w14:paraId="0C72D895"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0.19 ± 0.15</w:t>
            </w:r>
            <w:r w:rsidRPr="00D12E59">
              <w:rPr>
                <w:rFonts w:ascii="Book Antiqua" w:hAnsi="Book Antiqua"/>
                <w:vertAlign w:val="superscript"/>
                <w:lang w:eastAsia="en-GB"/>
              </w:rPr>
              <w:t>a</w:t>
            </w:r>
          </w:p>
        </w:tc>
        <w:tc>
          <w:tcPr>
            <w:tcW w:w="1540" w:type="dxa"/>
            <w:noWrap/>
            <w:hideMark/>
          </w:tcPr>
          <w:p w14:paraId="2CEB8B5F"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0.50 ± 0.16</w:t>
            </w:r>
            <w:r w:rsidRPr="00D12E59">
              <w:rPr>
                <w:rFonts w:ascii="Book Antiqua" w:hAnsi="Book Antiqua"/>
                <w:vertAlign w:val="superscript"/>
                <w:lang w:eastAsia="en-GB"/>
              </w:rPr>
              <w:t>a</w:t>
            </w:r>
          </w:p>
        </w:tc>
        <w:tc>
          <w:tcPr>
            <w:tcW w:w="1680" w:type="dxa"/>
            <w:noWrap/>
            <w:hideMark/>
          </w:tcPr>
          <w:p w14:paraId="634E7AAD"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0.57 ± 0.57</w:t>
            </w:r>
            <w:r w:rsidRPr="00D12E59">
              <w:rPr>
                <w:rFonts w:ascii="Book Antiqua" w:hAnsi="Book Antiqua"/>
                <w:vertAlign w:val="superscript"/>
                <w:lang w:eastAsia="en-GB"/>
              </w:rPr>
              <w:t>a</w:t>
            </w:r>
          </w:p>
        </w:tc>
        <w:tc>
          <w:tcPr>
            <w:tcW w:w="2597" w:type="dxa"/>
            <w:noWrap/>
            <w:hideMark/>
          </w:tcPr>
          <w:p w14:paraId="54C51D68"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0.29 ± 0.04</w:t>
            </w:r>
            <w:r w:rsidRPr="00D12E59">
              <w:rPr>
                <w:rFonts w:ascii="Book Antiqua" w:hAnsi="Book Antiqua"/>
                <w:vertAlign w:val="superscript"/>
                <w:lang w:eastAsia="en-GB"/>
              </w:rPr>
              <w:t>a</w:t>
            </w:r>
          </w:p>
        </w:tc>
        <w:tc>
          <w:tcPr>
            <w:tcW w:w="222" w:type="dxa"/>
            <w:noWrap/>
            <w:hideMark/>
          </w:tcPr>
          <w:p w14:paraId="29060177" w14:textId="77777777" w:rsidR="00F6233F" w:rsidRPr="00D12E59" w:rsidRDefault="00F6233F" w:rsidP="00C2716E">
            <w:pPr>
              <w:spacing w:after="0"/>
              <w:rPr>
                <w:rFonts w:ascii="Book Antiqua" w:hAnsi="Book Antiqua"/>
                <w:lang w:eastAsia="en-GB"/>
              </w:rPr>
            </w:pPr>
          </w:p>
        </w:tc>
      </w:tr>
      <w:tr w:rsidR="00F6233F" w:rsidRPr="00D12E59" w14:paraId="2FAE1470" w14:textId="77777777" w:rsidTr="00340E76">
        <w:trPr>
          <w:trHeight w:val="300"/>
        </w:trPr>
        <w:tc>
          <w:tcPr>
            <w:tcW w:w="1803" w:type="dxa"/>
            <w:noWrap/>
            <w:hideMark/>
          </w:tcPr>
          <w:p w14:paraId="6227F3CF"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Protein (g)</w:t>
            </w:r>
          </w:p>
        </w:tc>
        <w:tc>
          <w:tcPr>
            <w:tcW w:w="1567" w:type="dxa"/>
            <w:noWrap/>
            <w:hideMark/>
          </w:tcPr>
          <w:p w14:paraId="31C146A2"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34.62 ± 4.30</w:t>
            </w:r>
            <w:r w:rsidRPr="00D12E59">
              <w:rPr>
                <w:rFonts w:ascii="Book Antiqua" w:hAnsi="Book Antiqua"/>
                <w:vertAlign w:val="superscript"/>
                <w:lang w:eastAsia="en-GB"/>
              </w:rPr>
              <w:t>a</w:t>
            </w:r>
          </w:p>
        </w:tc>
        <w:tc>
          <w:tcPr>
            <w:tcW w:w="1540" w:type="dxa"/>
            <w:noWrap/>
            <w:hideMark/>
          </w:tcPr>
          <w:p w14:paraId="5EBF870C"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37.45 ± 6.77</w:t>
            </w:r>
            <w:r w:rsidRPr="00D12E59">
              <w:rPr>
                <w:rFonts w:ascii="Book Antiqua" w:hAnsi="Book Antiqua"/>
                <w:vertAlign w:val="superscript"/>
                <w:lang w:eastAsia="en-GB"/>
              </w:rPr>
              <w:t>b</w:t>
            </w:r>
          </w:p>
        </w:tc>
        <w:tc>
          <w:tcPr>
            <w:tcW w:w="1680" w:type="dxa"/>
            <w:noWrap/>
            <w:hideMark/>
          </w:tcPr>
          <w:p w14:paraId="74ACBB29"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44.37 ± 2.16</w:t>
            </w:r>
            <w:r w:rsidRPr="00D12E59">
              <w:rPr>
                <w:rFonts w:ascii="Book Antiqua" w:hAnsi="Book Antiqua"/>
                <w:vertAlign w:val="superscript"/>
                <w:lang w:eastAsia="en-GB"/>
              </w:rPr>
              <w:t>c</w:t>
            </w:r>
          </w:p>
        </w:tc>
        <w:tc>
          <w:tcPr>
            <w:tcW w:w="2597" w:type="dxa"/>
            <w:noWrap/>
            <w:hideMark/>
          </w:tcPr>
          <w:p w14:paraId="21951200"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21.88 ± 6.67</w:t>
            </w:r>
            <w:r w:rsidRPr="00D12E59">
              <w:rPr>
                <w:rFonts w:ascii="Book Antiqua" w:hAnsi="Book Antiqua"/>
                <w:vertAlign w:val="superscript"/>
                <w:lang w:eastAsia="en-GB"/>
              </w:rPr>
              <w:t>d</w:t>
            </w:r>
          </w:p>
        </w:tc>
        <w:tc>
          <w:tcPr>
            <w:tcW w:w="222" w:type="dxa"/>
            <w:noWrap/>
            <w:hideMark/>
          </w:tcPr>
          <w:p w14:paraId="6EE05873" w14:textId="77777777" w:rsidR="00F6233F" w:rsidRPr="00D12E59" w:rsidRDefault="00F6233F" w:rsidP="00C2716E">
            <w:pPr>
              <w:spacing w:after="0"/>
              <w:rPr>
                <w:rFonts w:ascii="Book Antiqua" w:hAnsi="Book Antiqua"/>
                <w:lang w:eastAsia="en-GB"/>
              </w:rPr>
            </w:pPr>
          </w:p>
        </w:tc>
      </w:tr>
      <w:tr w:rsidR="00F6233F" w:rsidRPr="00D12E59" w14:paraId="3B2705D4" w14:textId="77777777" w:rsidTr="00340E76">
        <w:trPr>
          <w:trHeight w:val="300"/>
        </w:trPr>
        <w:tc>
          <w:tcPr>
            <w:tcW w:w="1803" w:type="dxa"/>
            <w:noWrap/>
            <w:hideMark/>
          </w:tcPr>
          <w:p w14:paraId="4452CC74"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Carbohydrate(g)</w:t>
            </w:r>
          </w:p>
        </w:tc>
        <w:tc>
          <w:tcPr>
            <w:tcW w:w="1567" w:type="dxa"/>
            <w:noWrap/>
            <w:hideMark/>
          </w:tcPr>
          <w:p w14:paraId="377A47B9"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5.02 ± 0.02</w:t>
            </w:r>
            <w:r w:rsidRPr="00D12E59">
              <w:rPr>
                <w:rFonts w:ascii="Book Antiqua" w:hAnsi="Book Antiqua"/>
                <w:vertAlign w:val="superscript"/>
                <w:lang w:eastAsia="en-GB"/>
              </w:rPr>
              <w:t>a</w:t>
            </w:r>
          </w:p>
        </w:tc>
        <w:tc>
          <w:tcPr>
            <w:tcW w:w="1540" w:type="dxa"/>
            <w:noWrap/>
            <w:hideMark/>
          </w:tcPr>
          <w:p w14:paraId="691E45EB"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6.45 ± 0.07</w:t>
            </w:r>
            <w:r w:rsidRPr="00D12E59">
              <w:rPr>
                <w:rFonts w:ascii="Book Antiqua" w:hAnsi="Book Antiqua"/>
                <w:vertAlign w:val="superscript"/>
                <w:lang w:eastAsia="en-GB"/>
              </w:rPr>
              <w:t>a</w:t>
            </w:r>
          </w:p>
        </w:tc>
        <w:tc>
          <w:tcPr>
            <w:tcW w:w="1680" w:type="dxa"/>
            <w:noWrap/>
            <w:hideMark/>
          </w:tcPr>
          <w:p w14:paraId="496D2DAD"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3.00 ± 0.00</w:t>
            </w:r>
            <w:r w:rsidRPr="00D12E59">
              <w:rPr>
                <w:rFonts w:ascii="Book Antiqua" w:hAnsi="Book Antiqua"/>
                <w:vertAlign w:val="superscript"/>
                <w:lang w:eastAsia="en-GB"/>
              </w:rPr>
              <w:t>a</w:t>
            </w:r>
          </w:p>
        </w:tc>
        <w:tc>
          <w:tcPr>
            <w:tcW w:w="2597" w:type="dxa"/>
            <w:noWrap/>
            <w:hideMark/>
          </w:tcPr>
          <w:p w14:paraId="7C7E0F80"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1.00 ± 0.00</w:t>
            </w:r>
            <w:r w:rsidRPr="00D12E59">
              <w:rPr>
                <w:rFonts w:ascii="Book Antiqua" w:hAnsi="Book Antiqua"/>
                <w:vertAlign w:val="superscript"/>
                <w:lang w:eastAsia="en-GB"/>
              </w:rPr>
              <w:t>a</w:t>
            </w:r>
          </w:p>
        </w:tc>
        <w:tc>
          <w:tcPr>
            <w:tcW w:w="222" w:type="dxa"/>
            <w:noWrap/>
            <w:hideMark/>
          </w:tcPr>
          <w:p w14:paraId="0B25908C" w14:textId="77777777" w:rsidR="00F6233F" w:rsidRPr="00D12E59" w:rsidRDefault="00F6233F" w:rsidP="00C2716E">
            <w:pPr>
              <w:spacing w:after="0"/>
              <w:rPr>
                <w:rFonts w:ascii="Book Antiqua" w:hAnsi="Book Antiqua"/>
                <w:lang w:eastAsia="en-GB"/>
              </w:rPr>
            </w:pPr>
          </w:p>
        </w:tc>
      </w:tr>
      <w:tr w:rsidR="00F6233F" w:rsidRPr="00D12E59" w14:paraId="7FBF20C4" w14:textId="77777777" w:rsidTr="00340E76">
        <w:trPr>
          <w:trHeight w:val="300"/>
        </w:trPr>
        <w:tc>
          <w:tcPr>
            <w:tcW w:w="1803" w:type="dxa"/>
            <w:noWrap/>
            <w:hideMark/>
          </w:tcPr>
          <w:p w14:paraId="63176DFB"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Ash(g)</w:t>
            </w:r>
          </w:p>
        </w:tc>
        <w:tc>
          <w:tcPr>
            <w:tcW w:w="1567" w:type="dxa"/>
            <w:noWrap/>
            <w:hideMark/>
          </w:tcPr>
          <w:p w14:paraId="14E31977"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0.90 ± 0.14</w:t>
            </w:r>
            <w:r w:rsidRPr="00D12E59">
              <w:rPr>
                <w:rFonts w:ascii="Book Antiqua" w:hAnsi="Book Antiqua"/>
                <w:vertAlign w:val="superscript"/>
                <w:lang w:eastAsia="en-GB"/>
              </w:rPr>
              <w:t>a</w:t>
            </w:r>
          </w:p>
        </w:tc>
        <w:tc>
          <w:tcPr>
            <w:tcW w:w="1540" w:type="dxa"/>
            <w:noWrap/>
            <w:hideMark/>
          </w:tcPr>
          <w:p w14:paraId="6754B78E"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0.75 ± 0.07</w:t>
            </w:r>
            <w:r w:rsidRPr="00D12E59">
              <w:rPr>
                <w:rFonts w:ascii="Book Antiqua" w:hAnsi="Book Antiqua"/>
                <w:vertAlign w:val="superscript"/>
                <w:lang w:eastAsia="en-GB"/>
              </w:rPr>
              <w:t>a</w:t>
            </w:r>
          </w:p>
        </w:tc>
        <w:tc>
          <w:tcPr>
            <w:tcW w:w="1680" w:type="dxa"/>
            <w:noWrap/>
            <w:hideMark/>
          </w:tcPr>
          <w:p w14:paraId="3812ADCF"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1.25 ± 1.06</w:t>
            </w:r>
            <w:r w:rsidRPr="00D12E59">
              <w:rPr>
                <w:rFonts w:ascii="Book Antiqua" w:hAnsi="Book Antiqua"/>
                <w:vertAlign w:val="superscript"/>
                <w:lang w:eastAsia="en-GB"/>
              </w:rPr>
              <w:t>a</w:t>
            </w:r>
          </w:p>
        </w:tc>
        <w:tc>
          <w:tcPr>
            <w:tcW w:w="2597" w:type="dxa"/>
            <w:noWrap/>
            <w:hideMark/>
          </w:tcPr>
          <w:p w14:paraId="3FA2B544"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0.85 ± 0.07</w:t>
            </w:r>
            <w:r w:rsidRPr="00D12E59">
              <w:rPr>
                <w:rFonts w:ascii="Book Antiqua" w:hAnsi="Book Antiqua"/>
                <w:vertAlign w:val="superscript"/>
                <w:lang w:eastAsia="en-GB"/>
              </w:rPr>
              <w:t>a</w:t>
            </w:r>
          </w:p>
        </w:tc>
        <w:tc>
          <w:tcPr>
            <w:tcW w:w="222" w:type="dxa"/>
            <w:noWrap/>
            <w:hideMark/>
          </w:tcPr>
          <w:p w14:paraId="6010CE17" w14:textId="77777777" w:rsidR="00F6233F" w:rsidRPr="00D12E59" w:rsidRDefault="00F6233F" w:rsidP="00C2716E">
            <w:pPr>
              <w:spacing w:after="0"/>
              <w:rPr>
                <w:rFonts w:ascii="Book Antiqua" w:hAnsi="Book Antiqua"/>
                <w:lang w:eastAsia="en-GB"/>
              </w:rPr>
            </w:pPr>
          </w:p>
        </w:tc>
      </w:tr>
      <w:tr w:rsidR="00F6233F" w:rsidRPr="00D12E59" w14:paraId="7159736E" w14:textId="77777777" w:rsidTr="00340E76">
        <w:trPr>
          <w:gridAfter w:val="1"/>
          <w:wAfter w:w="222" w:type="dxa"/>
          <w:trHeight w:val="300"/>
        </w:trPr>
        <w:tc>
          <w:tcPr>
            <w:tcW w:w="1803" w:type="dxa"/>
            <w:noWrap/>
            <w:hideMark/>
          </w:tcPr>
          <w:p w14:paraId="62590C4B"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Ph</w:t>
            </w:r>
          </w:p>
        </w:tc>
        <w:tc>
          <w:tcPr>
            <w:tcW w:w="1567" w:type="dxa"/>
            <w:noWrap/>
            <w:hideMark/>
          </w:tcPr>
          <w:p w14:paraId="0D39744A"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6.87 ± 0.01</w:t>
            </w:r>
          </w:p>
        </w:tc>
        <w:tc>
          <w:tcPr>
            <w:tcW w:w="1540" w:type="dxa"/>
            <w:noWrap/>
            <w:hideMark/>
          </w:tcPr>
          <w:p w14:paraId="702EE298"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6.22 ± 0.01</w:t>
            </w:r>
          </w:p>
        </w:tc>
        <w:tc>
          <w:tcPr>
            <w:tcW w:w="1680" w:type="dxa"/>
            <w:noWrap/>
            <w:hideMark/>
          </w:tcPr>
          <w:p w14:paraId="51B7C566"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6.24 ± 0.01</w:t>
            </w:r>
          </w:p>
        </w:tc>
        <w:tc>
          <w:tcPr>
            <w:tcW w:w="2597" w:type="dxa"/>
            <w:noWrap/>
            <w:hideMark/>
          </w:tcPr>
          <w:p w14:paraId="121CAE5A" w14:textId="77777777" w:rsidR="00F6233F" w:rsidRPr="00D12E59" w:rsidRDefault="00F6233F" w:rsidP="00C2716E">
            <w:pPr>
              <w:spacing w:after="0"/>
              <w:rPr>
                <w:rFonts w:ascii="Book Antiqua" w:hAnsi="Book Antiqua"/>
                <w:lang w:eastAsia="en-GB"/>
              </w:rPr>
            </w:pPr>
            <w:r w:rsidRPr="00D12E59">
              <w:rPr>
                <w:rFonts w:ascii="Book Antiqua" w:hAnsi="Book Antiqua"/>
                <w:lang w:eastAsia="en-GB"/>
              </w:rPr>
              <w:t>5.35 ± 0.00</w:t>
            </w:r>
          </w:p>
        </w:tc>
      </w:tr>
    </w:tbl>
    <w:p w14:paraId="0FAE40C5" w14:textId="77777777" w:rsidR="00F6233F" w:rsidRDefault="00F6233F" w:rsidP="00C2716E">
      <w:pPr>
        <w:tabs>
          <w:tab w:val="left" w:pos="1593"/>
        </w:tabs>
        <w:spacing w:after="0"/>
        <w:rPr>
          <w:rFonts w:ascii="Book Antiqua" w:hAnsi="Book Antiqua"/>
        </w:rPr>
        <w:sectPr w:rsidR="00F6233F" w:rsidSect="008F6BC9">
          <w:type w:val="continuous"/>
          <w:pgSz w:w="11907" w:h="16839" w:code="9"/>
          <w:pgMar w:top="1440" w:right="1418" w:bottom="1440" w:left="1418" w:header="709" w:footer="709" w:gutter="0"/>
          <w:cols w:space="720"/>
          <w:docGrid w:linePitch="360"/>
        </w:sectPr>
      </w:pPr>
    </w:p>
    <w:p w14:paraId="2AF77825" w14:textId="77777777" w:rsidR="00C2716E" w:rsidRDefault="00F6233F" w:rsidP="00340E76">
      <w:pPr>
        <w:tabs>
          <w:tab w:val="left" w:pos="1593"/>
        </w:tabs>
        <w:jc w:val="both"/>
        <w:rPr>
          <w:rFonts w:ascii="Book Antiqua" w:hAnsi="Book Antiqua"/>
        </w:rPr>
      </w:pPr>
      <w:r w:rsidRPr="00E3232D">
        <w:rPr>
          <w:rFonts w:ascii="Book Antiqua" w:hAnsi="Book Antiqua"/>
        </w:rPr>
        <w:t>* ± Standard deviation</w:t>
      </w:r>
    </w:p>
    <w:p w14:paraId="72C8EE38" w14:textId="77777777" w:rsidR="00F6233F" w:rsidRPr="00E3232D" w:rsidRDefault="00F6233F" w:rsidP="00AB79DE">
      <w:pPr>
        <w:tabs>
          <w:tab w:val="left" w:pos="-90"/>
        </w:tabs>
        <w:jc w:val="both"/>
        <w:rPr>
          <w:rFonts w:ascii="Book Antiqua" w:hAnsi="Book Antiqua"/>
        </w:rPr>
      </w:pPr>
      <w:r w:rsidRPr="00E3232D">
        <w:rPr>
          <w:rFonts w:ascii="Book Antiqua" w:hAnsi="Book Antiqua"/>
        </w:rPr>
        <w:t xml:space="preserve">*Same superscripts in rows are not significantly different while unlike </w:t>
      </w:r>
      <w:r w:rsidRPr="00E3232D">
        <w:rPr>
          <w:rFonts w:ascii="Book Antiqua" w:hAnsi="Book Antiqua"/>
        </w:rPr>
        <w:lastRenderedPageBreak/>
        <w:t>superscripts in rows are significantly different.</w:t>
      </w:r>
    </w:p>
    <w:p w14:paraId="2167BED3" w14:textId="77777777" w:rsidR="00F6233F" w:rsidRPr="00E3232D" w:rsidRDefault="00F6233F" w:rsidP="00340E76">
      <w:pPr>
        <w:jc w:val="both"/>
        <w:rPr>
          <w:rFonts w:ascii="Book Antiqua" w:hAnsi="Book Antiqua"/>
        </w:rPr>
      </w:pPr>
      <w:r w:rsidRPr="00E3232D">
        <w:rPr>
          <w:rFonts w:ascii="Book Antiqua" w:hAnsi="Book Antiqua"/>
        </w:rPr>
        <w:t>From the results there were significant difference between sample treatments for moisture content except for between samples from Cheshegu and the raw beans which were not significantly different.</w:t>
      </w:r>
    </w:p>
    <w:p w14:paraId="24106E75" w14:textId="77777777" w:rsidR="00F6233F" w:rsidRDefault="00F6233F" w:rsidP="00340E76">
      <w:pPr>
        <w:jc w:val="both"/>
        <w:rPr>
          <w:rFonts w:ascii="Book Antiqua" w:hAnsi="Book Antiqua"/>
        </w:rPr>
      </w:pPr>
      <w:r w:rsidRPr="00E3232D">
        <w:rPr>
          <w:rFonts w:ascii="Book Antiqua" w:hAnsi="Book Antiqua"/>
        </w:rPr>
        <w:t>Moisture content values for samples were low in samples but will require further drying to ensure an extended shelf life of condiments.</w:t>
      </w:r>
    </w:p>
    <w:p w14:paraId="256A551F" w14:textId="77777777" w:rsidR="00F6233F" w:rsidRPr="00E3232D" w:rsidRDefault="00F6233F" w:rsidP="00340E76">
      <w:pPr>
        <w:spacing w:after="0"/>
        <w:jc w:val="both"/>
        <w:rPr>
          <w:rFonts w:ascii="Book Antiqua" w:hAnsi="Book Antiqua"/>
        </w:rPr>
      </w:pPr>
      <w:r w:rsidRPr="00E3232D">
        <w:rPr>
          <w:rFonts w:ascii="Book Antiqua" w:hAnsi="Book Antiqua"/>
        </w:rPr>
        <w:t xml:space="preserve">There were no significance difference between samples for fat, carbohydrate, pH and ash at a significance level of (P≤ 0.05).  From Table 2 samples contained some appreciable amounts of protein and carbohydrate to help supplement consumers’ daily recommended nutritional requirements. </w:t>
      </w:r>
    </w:p>
    <w:p w14:paraId="7B505F33" w14:textId="77777777" w:rsidR="00F6233F" w:rsidRDefault="00F6233F" w:rsidP="00340E76">
      <w:pPr>
        <w:spacing w:after="0"/>
        <w:jc w:val="both"/>
        <w:rPr>
          <w:rFonts w:ascii="Book Antiqua" w:hAnsi="Book Antiqua"/>
        </w:rPr>
      </w:pPr>
    </w:p>
    <w:p w14:paraId="556118AB" w14:textId="77777777" w:rsidR="00F6233F" w:rsidRPr="00E3232D" w:rsidRDefault="00F6233F" w:rsidP="00340E76">
      <w:pPr>
        <w:spacing w:after="0"/>
        <w:jc w:val="both"/>
        <w:rPr>
          <w:rFonts w:ascii="Book Antiqua" w:hAnsi="Book Antiqua"/>
        </w:rPr>
      </w:pPr>
      <w:r w:rsidRPr="00E3232D">
        <w:rPr>
          <w:rFonts w:ascii="Book Antiqua" w:hAnsi="Book Antiqua"/>
        </w:rPr>
        <w:t>pH content for finished products had less acidity compared with the raw beans this could be attributed to the heat treatment samples subjected to during the processing phase. Heat treatments after the fermentation process in the form of drying was used to decrease the activities of organisms through the reduction in moisture content resulting in an enhanced shelf life.</w:t>
      </w:r>
    </w:p>
    <w:p w14:paraId="08FC3CC1" w14:textId="77777777" w:rsidR="00F6233F" w:rsidRDefault="00F6233F" w:rsidP="00340E76">
      <w:pPr>
        <w:spacing w:after="0"/>
        <w:jc w:val="both"/>
        <w:rPr>
          <w:rFonts w:ascii="Book Antiqua" w:hAnsi="Book Antiqua"/>
        </w:rPr>
      </w:pPr>
    </w:p>
    <w:p w14:paraId="4FB3696A" w14:textId="77777777" w:rsidR="00F6233F" w:rsidRPr="00E3232D" w:rsidRDefault="00F6233F" w:rsidP="00340E76">
      <w:pPr>
        <w:spacing w:after="0"/>
        <w:jc w:val="both"/>
        <w:rPr>
          <w:rFonts w:ascii="Book Antiqua" w:hAnsi="Book Antiqua"/>
        </w:rPr>
      </w:pPr>
      <w:r w:rsidRPr="00E3232D">
        <w:rPr>
          <w:rFonts w:ascii="Book Antiqua" w:hAnsi="Book Antiqua"/>
        </w:rPr>
        <w:t>There were however significant differences between all samples for protein. Protein content increased appreciably among samples compared with the raw beans. Protein content of samples from Cheshegu (</w:t>
      </w:r>
      <w:r w:rsidRPr="00E3232D">
        <w:rPr>
          <w:rFonts w:ascii="Book Antiqua" w:hAnsi="Book Antiqua"/>
          <w:color w:val="000000"/>
          <w:lang w:eastAsia="en-GB"/>
        </w:rPr>
        <w:t>44.37g</w:t>
      </w:r>
      <w:r w:rsidRPr="00E3232D">
        <w:rPr>
          <w:rFonts w:ascii="Book Antiqua" w:hAnsi="Book Antiqua"/>
        </w:rPr>
        <w:t xml:space="preserve">) was however double the protein content of the </w:t>
      </w:r>
      <w:r w:rsidRPr="00E3232D">
        <w:rPr>
          <w:rFonts w:ascii="Book Antiqua" w:hAnsi="Book Antiqua"/>
        </w:rPr>
        <w:t xml:space="preserve">raw beans and this could partially be attributed to the low moisture content of the finished condiment. The lower the moisture content of a product the higher the dry matter content.  This also affirms the assertion that Dawadawa condiment is very nutritious, because of its high protein content (Alabi and Akinsulir, 2005). Over boiling African locust bean seeds and overstoring of the fermented seeds however, can affect the nutritional content of the raw locust bean seeds and the finished Dawadawa. The protein content of Dawadawa from all the communities was adequate to augment the World Health Organisation (2007) and the United States recommended daily allowance (RDA) of 0.45 g (minimum) and 0.8 g (maximum) per kilogram of an ideal body weight per day.  </w:t>
      </w:r>
    </w:p>
    <w:p w14:paraId="30DFF547" w14:textId="77777777" w:rsidR="00F6233F" w:rsidRPr="00E3232D" w:rsidRDefault="00F6233F" w:rsidP="00340E76">
      <w:pPr>
        <w:jc w:val="both"/>
        <w:rPr>
          <w:rFonts w:ascii="Book Antiqua" w:hAnsi="Book Antiqua"/>
        </w:rPr>
      </w:pPr>
    </w:p>
    <w:p w14:paraId="1AD1829B" w14:textId="77777777" w:rsidR="00EA19E3" w:rsidRPr="00EA19E3" w:rsidRDefault="0002626E" w:rsidP="00EA19E3">
      <w:pPr>
        <w:pStyle w:val="ListParagraph"/>
        <w:numPr>
          <w:ilvl w:val="0"/>
          <w:numId w:val="39"/>
        </w:numPr>
        <w:jc w:val="both"/>
        <w:rPr>
          <w:rFonts w:ascii="Book Antiqua" w:hAnsi="Book Antiqua"/>
          <w:sz w:val="24"/>
        </w:rPr>
      </w:pPr>
      <w:r w:rsidRPr="00EA19E3">
        <w:rPr>
          <w:rFonts w:ascii="Book Antiqua" w:hAnsi="Book Antiqua"/>
          <w:b/>
          <w:sz w:val="26"/>
        </w:rPr>
        <w:t>Conclusion and</w:t>
      </w:r>
    </w:p>
    <w:p w14:paraId="728C37AB" w14:textId="77777777" w:rsidR="00641AED" w:rsidRPr="00EA19E3" w:rsidRDefault="00EA19E3" w:rsidP="00EA19E3">
      <w:pPr>
        <w:pStyle w:val="ListParagraph"/>
        <w:ind w:left="450"/>
        <w:jc w:val="both"/>
        <w:rPr>
          <w:rFonts w:ascii="Book Antiqua" w:hAnsi="Book Antiqua"/>
          <w:sz w:val="24"/>
        </w:rPr>
      </w:pPr>
      <w:r w:rsidRPr="00EA19E3">
        <w:rPr>
          <w:rFonts w:ascii="Book Antiqua" w:hAnsi="Book Antiqua"/>
          <w:b/>
          <w:sz w:val="26"/>
        </w:rPr>
        <w:t xml:space="preserve"> Recommendation</w:t>
      </w:r>
    </w:p>
    <w:p w14:paraId="08408047" w14:textId="77777777" w:rsidR="00F6233F" w:rsidRPr="00641AED" w:rsidRDefault="00F6233F" w:rsidP="00641AED">
      <w:pPr>
        <w:pStyle w:val="ListParagraph"/>
        <w:ind w:left="0"/>
        <w:jc w:val="both"/>
        <w:rPr>
          <w:rFonts w:ascii="Book Antiqua" w:hAnsi="Book Antiqua"/>
        </w:rPr>
      </w:pPr>
      <w:r w:rsidRPr="00641AED">
        <w:rPr>
          <w:rFonts w:ascii="Book Antiqua" w:hAnsi="Book Antiqua"/>
        </w:rPr>
        <w:t xml:space="preserve">Results from the study indicate that moisture content and heat treatment had positive attributes on the proximate content of Dawadawa for all communities but was clearly high in Cheshegu .  This thus suggests that the second boiling and fermentation duration should not exceed four days for the maximization of nutrients. The results also affirm that Dawadawa contains essential nutrients in different proportions for use depending on the duration of the processing method. The high protein content of “dawadawa” makes it a suitable supplement for protein poor diets and could be a substitute for meat in vegetarian diets. The use of dawadawa as food condiment would be </w:t>
      </w:r>
      <w:r w:rsidRPr="00641AED">
        <w:rPr>
          <w:rFonts w:ascii="Book Antiqua" w:hAnsi="Book Antiqua"/>
        </w:rPr>
        <w:lastRenderedPageBreak/>
        <w:t xml:space="preserve">beneficial to consumers compared with the many artificial condiments on the market. </w:t>
      </w:r>
    </w:p>
    <w:p w14:paraId="2D85DFAA" w14:textId="77777777" w:rsidR="007F2457" w:rsidRDefault="007F2457" w:rsidP="00BC73F7">
      <w:pPr>
        <w:spacing w:after="0"/>
        <w:jc w:val="both"/>
        <w:rPr>
          <w:rFonts w:ascii="Book Antiqua" w:hAnsi="Book Antiqua"/>
        </w:rPr>
      </w:pPr>
    </w:p>
    <w:p w14:paraId="03E23542" w14:textId="77777777" w:rsidR="00F6233F" w:rsidRPr="00641AED" w:rsidRDefault="00F6233F" w:rsidP="00340E76">
      <w:pPr>
        <w:jc w:val="both"/>
        <w:rPr>
          <w:rFonts w:ascii="Book Antiqua" w:hAnsi="Book Antiqua"/>
          <w:b/>
          <w:sz w:val="26"/>
        </w:rPr>
      </w:pPr>
      <w:r w:rsidRPr="00641AED">
        <w:rPr>
          <w:rFonts w:ascii="Book Antiqua" w:hAnsi="Book Antiqua"/>
          <w:b/>
          <w:sz w:val="26"/>
        </w:rPr>
        <w:t xml:space="preserve">References </w:t>
      </w:r>
    </w:p>
    <w:p w14:paraId="1821D6CE" w14:textId="77777777" w:rsidR="00F6233F" w:rsidRPr="00E3232D" w:rsidRDefault="00F6233F" w:rsidP="00340E76">
      <w:pPr>
        <w:ind w:left="630" w:hanging="630"/>
        <w:jc w:val="both"/>
        <w:rPr>
          <w:rFonts w:ascii="Book Antiqua" w:hAnsi="Book Antiqua"/>
        </w:rPr>
      </w:pPr>
      <w:r w:rsidRPr="00E3232D">
        <w:rPr>
          <w:rFonts w:ascii="Book Antiqua" w:hAnsi="Book Antiqua"/>
        </w:rPr>
        <w:t>Alabi, D. A, and Akinsulir, M. A. (2005). Qualitative determination of chemical nutritional composition of Parkia biglobosa (jacq) Benth. Afr. J. Biotechnology; 4(8) pp 812-815.</w:t>
      </w:r>
    </w:p>
    <w:p w14:paraId="653A6EA8" w14:textId="77777777" w:rsidR="00F6233F" w:rsidRPr="00E3232D" w:rsidRDefault="00F6233F" w:rsidP="00340E76">
      <w:pPr>
        <w:ind w:left="630" w:hanging="630"/>
        <w:jc w:val="both"/>
        <w:rPr>
          <w:rFonts w:ascii="Book Antiqua" w:hAnsi="Book Antiqua"/>
        </w:rPr>
      </w:pPr>
      <w:r w:rsidRPr="00E3232D">
        <w:rPr>
          <w:rFonts w:ascii="Book Antiqua" w:hAnsi="Book Antiqua"/>
        </w:rPr>
        <w:t>AOAC (1997).</w:t>
      </w:r>
      <w:r w:rsidRPr="00E3232D">
        <w:rPr>
          <w:rFonts w:ascii="Book Antiqua" w:hAnsi="Book Antiqua"/>
          <w:b/>
        </w:rPr>
        <w:t xml:space="preserve"> </w:t>
      </w:r>
      <w:r w:rsidRPr="00E3232D">
        <w:rPr>
          <w:rFonts w:ascii="Book Antiqua" w:hAnsi="Book Antiqua"/>
        </w:rPr>
        <w:t>Official Methods of Analyses. Association of Official</w:t>
      </w:r>
      <w:r>
        <w:rPr>
          <w:rFonts w:ascii="Book Antiqua" w:hAnsi="Book Antiqua"/>
        </w:rPr>
        <w:t xml:space="preserve"> </w:t>
      </w:r>
      <w:r w:rsidRPr="00E3232D">
        <w:rPr>
          <w:rFonts w:ascii="Book Antiqua" w:hAnsi="Book Antiqua"/>
        </w:rPr>
        <w:t>Analytical Chemists. Archington (VA), AOAC Publishers, Inc.</w:t>
      </w:r>
    </w:p>
    <w:p w14:paraId="0DB40A5C" w14:textId="77777777" w:rsidR="00F6233F" w:rsidRPr="00E3232D" w:rsidRDefault="00F6233F" w:rsidP="00C2716E">
      <w:pPr>
        <w:ind w:left="540" w:hanging="540"/>
        <w:jc w:val="both"/>
        <w:rPr>
          <w:rFonts w:ascii="Book Antiqua" w:hAnsi="Book Antiqua"/>
        </w:rPr>
      </w:pPr>
      <w:r w:rsidRPr="00E3232D">
        <w:rPr>
          <w:rFonts w:ascii="Book Antiqua" w:hAnsi="Book Antiqua"/>
        </w:rPr>
        <w:t>Dike, E. N. and Odunfa, S. A.  (2003).</w:t>
      </w:r>
      <w:r w:rsidRPr="00E3232D">
        <w:rPr>
          <w:rFonts w:ascii="Book Antiqua" w:hAnsi="Book Antiqua"/>
          <w:b/>
        </w:rPr>
        <w:t xml:space="preserve"> </w:t>
      </w:r>
      <w:r w:rsidRPr="00E3232D">
        <w:rPr>
          <w:rFonts w:ascii="Book Antiqua" w:hAnsi="Book Antiqua"/>
        </w:rPr>
        <w:t>Microbiological and biochemical evaluation of a fermented soybean product, J. Food Sci. Tech., 40 pp 606-610.</w:t>
      </w:r>
    </w:p>
    <w:p w14:paraId="4EFE3168" w14:textId="77777777" w:rsidR="00F6233F" w:rsidRPr="00E3232D" w:rsidRDefault="00F6233F" w:rsidP="00C2716E">
      <w:pPr>
        <w:ind w:left="540" w:hanging="540"/>
        <w:jc w:val="both"/>
        <w:rPr>
          <w:rFonts w:ascii="Book Antiqua" w:hAnsi="Book Antiqua"/>
        </w:rPr>
      </w:pPr>
      <w:r w:rsidRPr="00E3232D">
        <w:rPr>
          <w:rFonts w:ascii="Book Antiqua" w:hAnsi="Book Antiqua"/>
        </w:rPr>
        <w:t>Mac Allan, A., Aebischer, D.P., Tomlinson, H. F. and Hill, C. A. S.  (1996).</w:t>
      </w:r>
      <w:r w:rsidRPr="00E3232D">
        <w:rPr>
          <w:rFonts w:ascii="Book Antiqua" w:hAnsi="Book Antiqua"/>
          <w:b/>
        </w:rPr>
        <w:t xml:space="preserve"> </w:t>
      </w:r>
      <w:r w:rsidRPr="00E3232D">
        <w:rPr>
          <w:rFonts w:ascii="Book Antiqua" w:hAnsi="Book Antiqua"/>
        </w:rPr>
        <w:t xml:space="preserve">Parkia biglobosa and Vitellaria paradoxa : A hand book </w:t>
      </w:r>
      <w:r w:rsidRPr="00E3232D">
        <w:rPr>
          <w:rFonts w:ascii="Book Antiqua" w:hAnsi="Book Antiqua"/>
        </w:rPr>
        <w:t>for extension workers. School of Agriculture and Forest Science Publication 7, University of Wales, Bangor, Pp 30.</w:t>
      </w:r>
    </w:p>
    <w:p w14:paraId="08BA2F49" w14:textId="77777777" w:rsidR="00F6233F" w:rsidRPr="00E3232D" w:rsidRDefault="00F6233F" w:rsidP="00C2716E">
      <w:pPr>
        <w:ind w:left="540" w:hanging="540"/>
        <w:jc w:val="both"/>
        <w:rPr>
          <w:rFonts w:ascii="Book Antiqua" w:hAnsi="Book Antiqua"/>
          <w:color w:val="000000"/>
          <w:lang w:eastAsia="en-GB"/>
        </w:rPr>
      </w:pPr>
      <w:r w:rsidRPr="00E3232D">
        <w:rPr>
          <w:rFonts w:ascii="Book Antiqua" w:hAnsi="Book Antiqua"/>
          <w:color w:val="000000"/>
          <w:lang w:eastAsia="en-GB"/>
        </w:rPr>
        <w:t xml:space="preserve">Odunfa, S.A. (1986). Dawadawa. In; Reddy, N.R, Pierson, M. D, and Salunkhe, D.K. (eds.); legume-based fermentation foods. CRS Press; Boca Raton, Florida. Pp. 173-189. </w:t>
      </w:r>
    </w:p>
    <w:p w14:paraId="69B4C874" w14:textId="77777777" w:rsidR="00F6233F" w:rsidRPr="00E3232D" w:rsidRDefault="00F6233F" w:rsidP="00C2716E">
      <w:pPr>
        <w:ind w:left="540" w:hanging="540"/>
        <w:jc w:val="both"/>
        <w:rPr>
          <w:rFonts w:ascii="Book Antiqua" w:hAnsi="Book Antiqua"/>
        </w:rPr>
      </w:pPr>
      <w:r w:rsidRPr="00E3232D">
        <w:rPr>
          <w:rFonts w:ascii="Book Antiqua" w:hAnsi="Book Antiqua"/>
        </w:rPr>
        <w:t>Ikenebomeh, M. J., (1986). African locust bean: Some physicochemical parameters. Nig. Journal Applied Science, 4 Pp101-108.</w:t>
      </w:r>
    </w:p>
    <w:p w14:paraId="577AE82D" w14:textId="77777777" w:rsidR="00F6233F" w:rsidRPr="00E3232D" w:rsidRDefault="00F6233F" w:rsidP="00C2716E">
      <w:pPr>
        <w:tabs>
          <w:tab w:val="left" w:pos="540"/>
        </w:tabs>
        <w:ind w:left="540" w:hanging="540"/>
        <w:jc w:val="both"/>
        <w:rPr>
          <w:rFonts w:ascii="Book Antiqua" w:hAnsi="Book Antiqua"/>
        </w:rPr>
      </w:pPr>
      <w:r w:rsidRPr="00E3232D">
        <w:rPr>
          <w:rFonts w:ascii="Book Antiqua" w:hAnsi="Book Antiqua"/>
        </w:rPr>
        <w:t>Ikenebomeh, M.J. and Kok, R. (1984). Mass balance of the processing and fermentation of the African locust bean (Parkia filicoidea Welw.). Inst. food Sci Tech 17 (1) pp 48-50.</w:t>
      </w:r>
    </w:p>
    <w:p w14:paraId="2129DE9E" w14:textId="77777777" w:rsidR="00207B8D" w:rsidRDefault="00F6233F" w:rsidP="00C2716E">
      <w:pPr>
        <w:ind w:left="540" w:hanging="540"/>
        <w:jc w:val="both"/>
        <w:rPr>
          <w:rFonts w:ascii="Book Antiqua" w:hAnsi="Book Antiqua"/>
        </w:rPr>
      </w:pPr>
      <w:r w:rsidRPr="00E3232D">
        <w:rPr>
          <w:rFonts w:ascii="Book Antiqua" w:hAnsi="Book Antiqua"/>
        </w:rPr>
        <w:t>World Health Organisation (2007). Protein and Amino Acid Requirements in Human Nutrition: Report of a Joint WHO/ FAO/ UNU Expert Consultation, ISBN 978 92 4 120935 9 Sing</w:t>
      </w:r>
      <w:r w:rsidR="00207B8D">
        <w:rPr>
          <w:rFonts w:ascii="Book Antiqua" w:hAnsi="Book Antiqua"/>
        </w:rPr>
        <w:t>apore</w:t>
      </w:r>
    </w:p>
    <w:p w14:paraId="5E4E05D3" w14:textId="77777777" w:rsidR="00207B8D" w:rsidRDefault="00207B8D" w:rsidP="00340E76">
      <w:pPr>
        <w:jc w:val="both"/>
        <w:rPr>
          <w:rFonts w:ascii="Book Antiqua" w:hAnsi="Book Antiqua"/>
        </w:rPr>
        <w:sectPr w:rsidR="00207B8D" w:rsidSect="00AB79DE">
          <w:type w:val="continuous"/>
          <w:pgSz w:w="11907" w:h="16839" w:code="9"/>
          <w:pgMar w:top="1170" w:right="1440" w:bottom="1440" w:left="1440" w:header="720" w:footer="720" w:gutter="0"/>
          <w:pgNumType w:start="0"/>
          <w:cols w:num="2" w:space="720"/>
          <w:titlePg/>
          <w:docGrid w:linePitch="360"/>
        </w:sectPr>
      </w:pPr>
    </w:p>
    <w:p w14:paraId="724252DB" w14:textId="77777777" w:rsidR="00207B8D" w:rsidRPr="00E3232D" w:rsidRDefault="00207B8D" w:rsidP="00340E76">
      <w:pPr>
        <w:jc w:val="both"/>
        <w:rPr>
          <w:rFonts w:ascii="Book Antiqua" w:hAnsi="Book Antiqua"/>
        </w:rPr>
        <w:sectPr w:rsidR="00207B8D" w:rsidRPr="00E3232D" w:rsidSect="00207B8D">
          <w:type w:val="continuous"/>
          <w:pgSz w:w="11907" w:h="16839" w:code="9"/>
          <w:pgMar w:top="1440" w:right="1440" w:bottom="1440" w:left="2160" w:header="720" w:footer="720" w:gutter="0"/>
          <w:pgNumType w:start="0"/>
          <w:cols w:space="720"/>
          <w:titlePg/>
          <w:docGrid w:linePitch="360"/>
        </w:sectPr>
      </w:pPr>
    </w:p>
    <w:p w14:paraId="75718847" w14:textId="77777777" w:rsidR="00207B8D" w:rsidRPr="00753319" w:rsidRDefault="00207B8D" w:rsidP="002E553D">
      <w:pPr>
        <w:spacing w:after="0"/>
        <w:jc w:val="center"/>
        <w:rPr>
          <w:rFonts w:ascii="Book Antiqua" w:hAnsi="Book Antiqua"/>
          <w:b/>
          <w:sz w:val="26"/>
          <w:szCs w:val="26"/>
        </w:rPr>
      </w:pPr>
      <w:r w:rsidRPr="00753319">
        <w:rPr>
          <w:rFonts w:ascii="Book Antiqua" w:hAnsi="Book Antiqua"/>
          <w:b/>
          <w:sz w:val="26"/>
          <w:szCs w:val="26"/>
        </w:rPr>
        <w:lastRenderedPageBreak/>
        <w:t>Food Safety Practices Among Kitchen Staff in Selected Senior High Schools in Ho Township</w:t>
      </w:r>
    </w:p>
    <w:p w14:paraId="1F85FB37" w14:textId="77777777" w:rsidR="00207B8D" w:rsidRPr="00AB79DE" w:rsidRDefault="00207B8D" w:rsidP="002E553D">
      <w:pPr>
        <w:spacing w:after="0"/>
        <w:jc w:val="center"/>
        <w:rPr>
          <w:rFonts w:ascii="Book Antiqua" w:hAnsi="Book Antiqua"/>
          <w:b/>
          <w:sz w:val="30"/>
          <w:szCs w:val="26"/>
        </w:rPr>
      </w:pPr>
    </w:p>
    <w:p w14:paraId="7203245A" w14:textId="77777777" w:rsidR="00207B8D" w:rsidRPr="00AB79DE" w:rsidRDefault="00207B8D" w:rsidP="002E553D">
      <w:pPr>
        <w:spacing w:after="0"/>
        <w:jc w:val="center"/>
        <w:rPr>
          <w:rFonts w:ascii="Book Antiqua" w:hAnsi="Book Antiqua"/>
          <w:b/>
          <w:sz w:val="26"/>
        </w:rPr>
      </w:pPr>
      <w:r w:rsidRPr="00AB79DE">
        <w:rPr>
          <w:rFonts w:ascii="Book Antiqua" w:hAnsi="Book Antiqua"/>
          <w:b/>
          <w:sz w:val="26"/>
          <w:vertAlign w:val="superscript"/>
        </w:rPr>
        <w:t>1</w:t>
      </w:r>
      <w:r w:rsidRPr="00AB79DE">
        <w:rPr>
          <w:rFonts w:ascii="Book Antiqua" w:hAnsi="Book Antiqua"/>
          <w:b/>
          <w:sz w:val="26"/>
        </w:rPr>
        <w:t xml:space="preserve">Agbola-Appaw E.T. &amp; </w:t>
      </w:r>
      <w:r w:rsidRPr="00AB79DE">
        <w:rPr>
          <w:rFonts w:ascii="Book Antiqua" w:hAnsi="Book Antiqua"/>
          <w:b/>
          <w:sz w:val="26"/>
          <w:vertAlign w:val="superscript"/>
        </w:rPr>
        <w:t>2</w:t>
      </w:r>
      <w:r w:rsidRPr="00AB79DE">
        <w:rPr>
          <w:rFonts w:ascii="Book Antiqua" w:hAnsi="Book Antiqua"/>
          <w:b/>
          <w:sz w:val="26"/>
        </w:rPr>
        <w:t>Adzinyo O.A.</w:t>
      </w:r>
    </w:p>
    <w:p w14:paraId="7D967373" w14:textId="77777777" w:rsidR="00207B8D" w:rsidRPr="00E3232D" w:rsidRDefault="00207B8D" w:rsidP="00AB79DE">
      <w:pPr>
        <w:spacing w:after="0"/>
        <w:jc w:val="center"/>
        <w:rPr>
          <w:rFonts w:ascii="Book Antiqua" w:hAnsi="Book Antiqua"/>
        </w:rPr>
      </w:pPr>
      <w:r w:rsidRPr="00E3232D">
        <w:rPr>
          <w:rFonts w:ascii="Book Antiqua" w:hAnsi="Book Antiqua"/>
        </w:rPr>
        <w:t xml:space="preserve">Ho </w:t>
      </w:r>
      <w:r>
        <w:rPr>
          <w:rFonts w:ascii="Book Antiqua" w:hAnsi="Book Antiqua"/>
        </w:rPr>
        <w:t>Polytechnic</w:t>
      </w:r>
      <w:r w:rsidR="00AB79DE">
        <w:rPr>
          <w:rFonts w:ascii="Book Antiqua" w:hAnsi="Book Antiqua"/>
        </w:rPr>
        <w:t xml:space="preserve">, </w:t>
      </w:r>
      <w:r w:rsidRPr="00E3232D">
        <w:rPr>
          <w:rFonts w:ascii="Book Antiqua" w:hAnsi="Book Antiqua"/>
        </w:rPr>
        <w:t xml:space="preserve">Faculty </w:t>
      </w:r>
      <w:r w:rsidR="00AB79DE">
        <w:rPr>
          <w:rFonts w:ascii="Book Antiqua" w:hAnsi="Book Antiqua"/>
        </w:rPr>
        <w:t>o</w:t>
      </w:r>
      <w:r w:rsidRPr="00E3232D">
        <w:rPr>
          <w:rFonts w:ascii="Book Antiqua" w:hAnsi="Book Antiqua"/>
        </w:rPr>
        <w:t>f App</w:t>
      </w:r>
      <w:r>
        <w:rPr>
          <w:rFonts w:ascii="Book Antiqua" w:hAnsi="Book Antiqua"/>
        </w:rPr>
        <w:t xml:space="preserve">lied Sciences </w:t>
      </w:r>
      <w:r w:rsidRPr="00E3232D">
        <w:rPr>
          <w:rFonts w:ascii="Book Antiqua" w:hAnsi="Book Antiqua"/>
        </w:rPr>
        <w:t>Dept.</w:t>
      </w:r>
      <w:r w:rsidR="00AB79DE">
        <w:rPr>
          <w:rFonts w:ascii="Book Antiqua" w:hAnsi="Book Antiqua"/>
        </w:rPr>
        <w:t xml:space="preserve"> </w:t>
      </w:r>
      <w:r w:rsidRPr="00E3232D">
        <w:rPr>
          <w:rFonts w:ascii="Book Antiqua" w:hAnsi="Book Antiqua"/>
        </w:rPr>
        <w:t>Htm</w:t>
      </w:r>
      <w:r>
        <w:rPr>
          <w:rFonts w:ascii="Book Antiqua" w:hAnsi="Book Antiqua"/>
        </w:rPr>
        <w:t>,</w:t>
      </w:r>
      <w:r w:rsidRPr="00E3232D">
        <w:rPr>
          <w:rFonts w:ascii="Book Antiqua" w:hAnsi="Book Antiqua"/>
        </w:rPr>
        <w:t xml:space="preserve"> Box 217,Ho</w:t>
      </w:r>
      <w:r w:rsidRPr="00E3232D">
        <w:rPr>
          <w:rFonts w:ascii="Book Antiqua" w:hAnsi="Book Antiqua"/>
        </w:rPr>
        <w:tab/>
        <w:t xml:space="preserve">                                              </w:t>
      </w:r>
      <w:r>
        <w:rPr>
          <w:rFonts w:ascii="Book Antiqua" w:hAnsi="Book Antiqua"/>
        </w:rPr>
        <w:t xml:space="preserve">                    </w:t>
      </w:r>
      <w:r>
        <w:rPr>
          <w:rFonts w:ascii="Book Antiqua" w:hAnsi="Book Antiqua"/>
        </w:rPr>
        <w:tab/>
      </w:r>
      <w:r w:rsidRPr="00E3232D">
        <w:rPr>
          <w:rFonts w:ascii="Book Antiqua" w:hAnsi="Book Antiqua"/>
        </w:rPr>
        <w:tab/>
      </w:r>
      <w:r w:rsidRPr="008F171E">
        <w:rPr>
          <w:rFonts w:ascii="Book Antiqua" w:hAnsi="Book Antiqua"/>
          <w:b/>
        </w:rPr>
        <w:t>E-mail</w:t>
      </w:r>
      <w:r>
        <w:rPr>
          <w:rFonts w:ascii="Book Antiqua" w:hAnsi="Book Antiqua"/>
        </w:rPr>
        <w:t xml:space="preserve">: </w:t>
      </w:r>
      <w:r w:rsidRPr="00E3232D">
        <w:rPr>
          <w:rFonts w:ascii="Book Antiqua" w:hAnsi="Book Antiqua"/>
        </w:rPr>
        <w:t xml:space="preserve">appawth@yahoo.com  </w:t>
      </w:r>
      <w:r>
        <w:rPr>
          <w:rFonts w:ascii="Book Antiqua" w:hAnsi="Book Antiqua"/>
        </w:rPr>
        <w:t>&amp;</w:t>
      </w:r>
      <w:r w:rsidRPr="00E3232D">
        <w:rPr>
          <w:rFonts w:ascii="Book Antiqua" w:hAnsi="Book Antiqua"/>
        </w:rPr>
        <w:t xml:space="preserve"> </w:t>
      </w:r>
      <w:hyperlink r:id="rId69" w:history="1">
        <w:r w:rsidRPr="00AB79DE">
          <w:rPr>
            <w:rStyle w:val="Hyperlink"/>
            <w:rFonts w:ascii="Book Antiqua" w:hAnsi="Book Antiqua"/>
            <w:color w:val="auto"/>
            <w:u w:val="none"/>
          </w:rPr>
          <w:t>ablaadzinyo@yahoo.com</w:t>
        </w:r>
      </w:hyperlink>
    </w:p>
    <w:p w14:paraId="0FD7EC34" w14:textId="77777777" w:rsidR="00207B8D" w:rsidRPr="00E3232D" w:rsidRDefault="00207B8D" w:rsidP="00207B8D">
      <w:pPr>
        <w:jc w:val="both"/>
        <w:rPr>
          <w:rFonts w:ascii="Book Antiqua" w:hAnsi="Book Antiqua"/>
        </w:rPr>
      </w:pPr>
    </w:p>
    <w:p w14:paraId="698D503E" w14:textId="77777777" w:rsidR="00207B8D" w:rsidRPr="003B5519" w:rsidRDefault="003B5519" w:rsidP="00207B8D">
      <w:pPr>
        <w:rPr>
          <w:rFonts w:ascii="Book Antiqua" w:hAnsi="Book Antiqua"/>
          <w:b/>
        </w:rPr>
      </w:pPr>
      <w:r w:rsidRPr="00641AED">
        <w:rPr>
          <w:rFonts w:ascii="Book Antiqua" w:hAnsi="Book Antiqua"/>
          <w:b/>
          <w:sz w:val="26"/>
        </w:rPr>
        <w:t>Abstract</w:t>
      </w:r>
    </w:p>
    <w:p w14:paraId="6D4C540E" w14:textId="77777777" w:rsidR="00207B8D" w:rsidRPr="00641AED" w:rsidRDefault="00207B8D" w:rsidP="00641AED">
      <w:pPr>
        <w:pStyle w:val="Default"/>
        <w:rPr>
          <w:rFonts w:ascii="Book Antiqua" w:hAnsi="Book Antiqua"/>
          <w:sz w:val="22"/>
          <w:szCs w:val="22"/>
        </w:rPr>
      </w:pPr>
      <w:r w:rsidRPr="00E3232D">
        <w:rPr>
          <w:rFonts w:ascii="Book Antiqua" w:hAnsi="Book Antiqua"/>
          <w:sz w:val="22"/>
          <w:szCs w:val="22"/>
        </w:rPr>
        <w:t xml:space="preserve">Food Safety practices has become a topic of debate in recent times in Ghana due to outbreak of food borne related diseases.  Senior High Schools provide boarding facilities for students hence provision of meals.  </w:t>
      </w:r>
      <w:r w:rsidRPr="00E3232D">
        <w:rPr>
          <w:rFonts w:ascii="Book Antiqua" w:hAnsi="Book Antiqua"/>
          <w:iCs/>
          <w:sz w:val="22"/>
          <w:szCs w:val="22"/>
        </w:rPr>
        <w:t>Many studies have investigated food safety and food hygiene practices in other organizations.</w:t>
      </w:r>
      <w:r w:rsidRPr="00E3232D">
        <w:rPr>
          <w:rFonts w:ascii="Book Antiqua" w:hAnsi="Book Antiqua"/>
          <w:i/>
          <w:iCs/>
          <w:sz w:val="22"/>
          <w:szCs w:val="22"/>
        </w:rPr>
        <w:t xml:space="preserve"> </w:t>
      </w:r>
      <w:r w:rsidRPr="00E3232D">
        <w:rPr>
          <w:rFonts w:ascii="Book Antiqua" w:hAnsi="Book Antiqua"/>
          <w:sz w:val="22"/>
          <w:szCs w:val="22"/>
        </w:rPr>
        <w:t xml:space="preserve"> To date little or no studies has examined the level of food safety practices among food service providers in School kitchens in Second Cycle institutions in Ho Township. Thus the present study attempts to examine food safety practices among kitchen staff in selected Second Senior High Schools in Ho Township.  A total of eighty five 85 employees were selected for the study. It comprises cooks and matrons drawn from selected Senior High Schools in Ho township to establish their knowledge in food safety practices. Questionnaires and face to face interviews were used </w:t>
      </w:r>
      <w:r w:rsidRPr="00E3232D">
        <w:rPr>
          <w:rFonts w:ascii="Book Antiqua" w:eastAsia="AdvEPSTIM" w:hAnsi="Book Antiqua"/>
          <w:sz w:val="22"/>
          <w:szCs w:val="22"/>
        </w:rPr>
        <w:t>to obtain data on training, food storage and delivery, food handling, personal hygiene, cleaning, food preparation and knowledge of relevant bacterial pathogens.</w:t>
      </w:r>
      <w:r w:rsidRPr="00E3232D">
        <w:rPr>
          <w:rFonts w:ascii="Book Antiqua" w:hAnsi="Book Antiqua"/>
          <w:sz w:val="22"/>
          <w:szCs w:val="22"/>
        </w:rPr>
        <w:t xml:space="preserve">  SPSS version 18 was used to analyze the raw data. Results revealed that, most of the cooks do not have formal or no training nor thus have little knowledge in food safety practices. Also lack training in food safety practices  leading  to unsafe defrosting of frozen items as well as regulation of refrigerators or freezers thus causing damages to food stuff.</w:t>
      </w:r>
      <w:r w:rsidRPr="00E3232D">
        <w:rPr>
          <w:rFonts w:ascii="Book Antiqua" w:eastAsia="AdvEPSTIM" w:hAnsi="Book Antiqua"/>
          <w:sz w:val="22"/>
          <w:szCs w:val="22"/>
        </w:rPr>
        <w:t xml:space="preserve"> Further results also revealed that though some of the matrons and few cooks in School kitchens have fundamental knowledge of some aspects of food safety practices, significant gaps still remain, posing risks to student’s health. It is important that matrons, chief cooks and other cooks should be supported through training and routine inspection to ensure that appropriate knowledge in food safety is acquired and effectively applied.</w:t>
      </w:r>
    </w:p>
    <w:p w14:paraId="24418EC1" w14:textId="77777777" w:rsidR="00F6233F" w:rsidRDefault="00207B8D" w:rsidP="00207B8D">
      <w:pPr>
        <w:rPr>
          <w:rFonts w:ascii="Book Antiqua" w:hAnsi="Book Antiqua"/>
        </w:rPr>
      </w:pPr>
      <w:r w:rsidRPr="00641AED">
        <w:rPr>
          <w:rFonts w:ascii="Book Antiqua" w:hAnsi="Book Antiqua"/>
          <w:b/>
          <w:sz w:val="26"/>
        </w:rPr>
        <w:t>Keywords</w:t>
      </w:r>
      <w:r w:rsidRPr="00A45FAE">
        <w:rPr>
          <w:rFonts w:ascii="Book Antiqua" w:hAnsi="Book Antiqua"/>
          <w:b/>
        </w:rPr>
        <w:t>:</w:t>
      </w:r>
      <w:r w:rsidRPr="00E3232D">
        <w:rPr>
          <w:rFonts w:ascii="Book Antiqua" w:hAnsi="Book Antiqua"/>
        </w:rPr>
        <w:t xml:space="preserve"> Food </w:t>
      </w:r>
      <w:r w:rsidR="00AB79DE" w:rsidRPr="00E3232D">
        <w:rPr>
          <w:rFonts w:ascii="Book Antiqua" w:hAnsi="Book Antiqua"/>
        </w:rPr>
        <w:t>Safety</w:t>
      </w:r>
      <w:r w:rsidRPr="00E3232D">
        <w:rPr>
          <w:rFonts w:ascii="Book Antiqua" w:hAnsi="Book Antiqua"/>
        </w:rPr>
        <w:t xml:space="preserve">: </w:t>
      </w:r>
      <w:r w:rsidR="00AB79DE" w:rsidRPr="00E3232D">
        <w:rPr>
          <w:rFonts w:ascii="Book Antiqua" w:hAnsi="Book Antiqua"/>
        </w:rPr>
        <w:t>Bacterial Pathogens</w:t>
      </w:r>
      <w:r w:rsidRPr="00E3232D">
        <w:rPr>
          <w:rFonts w:ascii="Book Antiqua" w:hAnsi="Book Antiqua"/>
        </w:rPr>
        <w:t>; Salmonella; Hygiene; HACCP</w:t>
      </w:r>
    </w:p>
    <w:p w14:paraId="020E4AB9" w14:textId="77777777" w:rsidR="00207B8D" w:rsidRDefault="00207B8D" w:rsidP="00207B8D">
      <w:pPr>
        <w:rPr>
          <w:rFonts w:ascii="Book Antiqua" w:hAnsi="Book Antiqua"/>
        </w:rPr>
        <w:sectPr w:rsidR="00207B8D" w:rsidSect="00BC73F7">
          <w:pgSz w:w="11907" w:h="16839" w:code="9"/>
          <w:pgMar w:top="1440" w:right="1440" w:bottom="1440" w:left="1440" w:header="720" w:footer="720" w:gutter="0"/>
          <w:pgNumType w:start="0"/>
          <w:cols w:space="720"/>
          <w:titlePg/>
          <w:docGrid w:linePitch="360"/>
        </w:sectPr>
      </w:pPr>
    </w:p>
    <w:p w14:paraId="79554F0E" w14:textId="77777777" w:rsidR="00207B8D" w:rsidRDefault="00207B8D" w:rsidP="00207B8D">
      <w:pPr>
        <w:rPr>
          <w:rFonts w:ascii="Book Antiqua" w:hAnsi="Book Antiqua"/>
        </w:rPr>
      </w:pPr>
    </w:p>
    <w:p w14:paraId="58C6C09A" w14:textId="77777777" w:rsidR="00207B8D" w:rsidRDefault="00207B8D" w:rsidP="00207B8D">
      <w:pPr>
        <w:rPr>
          <w:rFonts w:ascii="Book Antiqua" w:hAnsi="Book Antiqua"/>
        </w:rPr>
        <w:sectPr w:rsidR="00207B8D" w:rsidSect="00207B8D">
          <w:type w:val="continuous"/>
          <w:pgSz w:w="11907" w:h="16839" w:code="9"/>
          <w:pgMar w:top="1440" w:right="1440" w:bottom="1440" w:left="2160" w:header="720" w:footer="720" w:gutter="0"/>
          <w:pgNumType w:start="0"/>
          <w:cols w:num="2" w:space="720"/>
          <w:titlePg/>
          <w:docGrid w:linePitch="360"/>
        </w:sectPr>
      </w:pPr>
    </w:p>
    <w:p w14:paraId="5BD7AFBB" w14:textId="77777777" w:rsidR="00A45FAE" w:rsidRDefault="00A45FAE" w:rsidP="00207B8D">
      <w:pPr>
        <w:jc w:val="both"/>
        <w:rPr>
          <w:rFonts w:ascii="Book Antiqua" w:hAnsi="Book Antiqua"/>
          <w:b/>
        </w:rPr>
      </w:pPr>
    </w:p>
    <w:p w14:paraId="7C7D8653" w14:textId="77777777" w:rsidR="00A45FAE" w:rsidRDefault="00A45FAE" w:rsidP="00207B8D">
      <w:pPr>
        <w:jc w:val="both"/>
        <w:rPr>
          <w:rFonts w:ascii="Book Antiqua" w:hAnsi="Book Antiqua"/>
          <w:b/>
        </w:rPr>
      </w:pPr>
    </w:p>
    <w:p w14:paraId="769725D8" w14:textId="77777777" w:rsidR="00641AED" w:rsidRDefault="00641AED" w:rsidP="00DC57D8">
      <w:pPr>
        <w:jc w:val="both"/>
        <w:rPr>
          <w:rFonts w:ascii="Book Antiqua" w:hAnsi="Book Antiqua"/>
          <w:b/>
        </w:rPr>
      </w:pPr>
    </w:p>
    <w:p w14:paraId="1F93CDE0" w14:textId="77777777" w:rsidR="00641AED" w:rsidRDefault="00641AED" w:rsidP="00DC57D8">
      <w:pPr>
        <w:jc w:val="both"/>
        <w:rPr>
          <w:rFonts w:ascii="Book Antiqua" w:hAnsi="Book Antiqua"/>
          <w:b/>
        </w:rPr>
      </w:pPr>
    </w:p>
    <w:p w14:paraId="044DCE57" w14:textId="77777777" w:rsidR="00BC73F7" w:rsidRDefault="00BC73F7" w:rsidP="00DC57D8">
      <w:pPr>
        <w:jc w:val="both"/>
        <w:rPr>
          <w:rFonts w:ascii="Book Antiqua" w:hAnsi="Book Antiqua"/>
          <w:b/>
          <w:sz w:val="26"/>
        </w:rPr>
      </w:pPr>
    </w:p>
    <w:p w14:paraId="37F1896B" w14:textId="77777777" w:rsidR="00BC73F7" w:rsidRDefault="00BC73F7" w:rsidP="00DC57D8">
      <w:pPr>
        <w:jc w:val="both"/>
        <w:rPr>
          <w:rFonts w:ascii="Book Antiqua" w:hAnsi="Book Antiqua"/>
          <w:b/>
          <w:sz w:val="26"/>
        </w:rPr>
      </w:pPr>
    </w:p>
    <w:p w14:paraId="48318EFC" w14:textId="77777777" w:rsidR="00207B8D" w:rsidRPr="00E3232D" w:rsidRDefault="00AB79DE" w:rsidP="00DC57D8">
      <w:pPr>
        <w:jc w:val="both"/>
        <w:rPr>
          <w:rFonts w:ascii="Book Antiqua" w:hAnsi="Book Antiqua"/>
          <w:b/>
        </w:rPr>
      </w:pPr>
      <w:r>
        <w:rPr>
          <w:rFonts w:ascii="Book Antiqua" w:hAnsi="Book Antiqua"/>
          <w:b/>
          <w:sz w:val="26"/>
        </w:rPr>
        <w:lastRenderedPageBreak/>
        <w:t xml:space="preserve">1.0 </w:t>
      </w:r>
      <w:r w:rsidR="00A45FAE" w:rsidRPr="00641AED">
        <w:rPr>
          <w:rFonts w:ascii="Book Antiqua" w:hAnsi="Book Antiqua"/>
          <w:b/>
          <w:sz w:val="26"/>
        </w:rPr>
        <w:t>Introduction</w:t>
      </w:r>
    </w:p>
    <w:p w14:paraId="30472D78" w14:textId="77777777" w:rsidR="00207B8D" w:rsidRPr="00E3232D" w:rsidRDefault="00AB79DE" w:rsidP="00BC73F7">
      <w:pPr>
        <w:jc w:val="both"/>
        <w:rPr>
          <w:rFonts w:ascii="Book Antiqua" w:hAnsi="Book Antiqua"/>
          <w:b/>
        </w:rPr>
      </w:pPr>
      <w:r>
        <w:rPr>
          <w:rFonts w:ascii="Book Antiqua" w:hAnsi="Book Antiqua"/>
          <w:b/>
        </w:rPr>
        <w:t xml:space="preserve">1.1 </w:t>
      </w:r>
      <w:r w:rsidR="00207B8D" w:rsidRPr="00E3232D">
        <w:rPr>
          <w:rFonts w:ascii="Book Antiqua" w:hAnsi="Book Antiqua"/>
          <w:b/>
        </w:rPr>
        <w:t>Background to the study</w:t>
      </w:r>
    </w:p>
    <w:p w14:paraId="35A818DB" w14:textId="77777777" w:rsidR="00207B8D" w:rsidRDefault="00207B8D" w:rsidP="00DC57D8">
      <w:pPr>
        <w:autoSpaceDE w:val="0"/>
        <w:autoSpaceDN w:val="0"/>
        <w:adjustRightInd w:val="0"/>
        <w:jc w:val="both"/>
        <w:rPr>
          <w:rFonts w:ascii="Book Antiqua" w:hAnsi="Book Antiqua"/>
          <w:lang w:val="en-GB"/>
        </w:rPr>
      </w:pPr>
      <w:r w:rsidRPr="00E3232D">
        <w:rPr>
          <w:rFonts w:ascii="Book Antiqua" w:hAnsi="Book Antiqua"/>
        </w:rPr>
        <w:t xml:space="preserve">In Ghana every year, a lot of people fall ill and many do suffer serious disorders, long-term complications or  die as a result of eating unsafe food (Food and Drug Board (2006).  </w:t>
      </w:r>
      <w:r w:rsidRPr="00E3232D">
        <w:rPr>
          <w:rFonts w:ascii="Book Antiqua" w:hAnsi="Book Antiqua"/>
          <w:lang w:val="en-GB"/>
        </w:rPr>
        <w:t xml:space="preserve"> The term food quality and food safety are interchangeably used but there are substantial differences especially when communicating with food manufacturers and consumers </w:t>
      </w:r>
    </w:p>
    <w:p w14:paraId="0CCE4F3F" w14:textId="77777777" w:rsidR="00207B8D" w:rsidRPr="00E3232D" w:rsidRDefault="00207B8D" w:rsidP="00DC57D8">
      <w:pPr>
        <w:autoSpaceDE w:val="0"/>
        <w:autoSpaceDN w:val="0"/>
        <w:adjustRightInd w:val="0"/>
        <w:jc w:val="both"/>
        <w:rPr>
          <w:rFonts w:ascii="Book Antiqua" w:hAnsi="Book Antiqua"/>
        </w:rPr>
      </w:pPr>
      <w:r w:rsidRPr="00E3232D">
        <w:rPr>
          <w:rFonts w:ascii="Book Antiqua" w:hAnsi="Book Antiqua"/>
          <w:lang w:val="en-GB"/>
        </w:rPr>
        <w:t>perceptions. Thus food safety</w:t>
      </w:r>
      <w:r w:rsidRPr="00E3232D">
        <w:rPr>
          <w:rFonts w:ascii="Book Antiqua" w:hAnsi="Book Antiqua"/>
        </w:rPr>
        <w:t xml:space="preserve"> is the assurance that food will not cause harm to the consumer when it is prepared and or eaten according t</w:t>
      </w:r>
      <w:r>
        <w:rPr>
          <w:rFonts w:ascii="Book Antiqua" w:hAnsi="Book Antiqua"/>
        </w:rPr>
        <w:t>o its intended use (Almaza,2004</w:t>
      </w:r>
      <w:r w:rsidRPr="00E3232D">
        <w:rPr>
          <w:rFonts w:ascii="Book Antiqua" w:hAnsi="Book Antiqua"/>
        </w:rPr>
        <w:t xml:space="preserve">). In recent times food safety issues have assumed wider dimensions because of the reliance on food preparation outside the home which the consumer has no control over.  Thus if food is not handled hygienically or not stored at the right temperature, food borne related diseases may occur. As a result of increasing number of food borne illnesses, Governments all over the world are intensifying efforts in food safety practices (Dryyan,1988 ). However, food safety issues vary from country to country. For instance, </w:t>
      </w:r>
      <w:r w:rsidRPr="00E3232D">
        <w:rPr>
          <w:rFonts w:ascii="Book Antiqua" w:eastAsia="AdvEPSTIM" w:hAnsi="Book Antiqua"/>
          <w:lang w:val="en-GB"/>
        </w:rPr>
        <w:t xml:space="preserve"> data from developed countries, most notably the UK and the USA,  suggest that 20–40% of such illness is associated with the consumption of contaminated food (</w:t>
      </w:r>
      <w:r w:rsidRPr="00E3232D">
        <w:rPr>
          <w:rFonts w:ascii="Book Antiqua" w:hAnsi="Book Antiqua"/>
        </w:rPr>
        <w:t>Harrison et al.,</w:t>
      </w:r>
      <w:r w:rsidRPr="00E3232D">
        <w:rPr>
          <w:rFonts w:ascii="Book Antiqua" w:eastAsia="AdvEPSTIM" w:hAnsi="Book Antiqua"/>
          <w:lang w:val="en-GB"/>
        </w:rPr>
        <w:t xml:space="preserve"> 2001).In Europe, approximately 22% of all food borne illness has been traced to food eaten in catering </w:t>
      </w:r>
      <w:r w:rsidRPr="00E3232D">
        <w:rPr>
          <w:rFonts w:ascii="Book Antiqua" w:hAnsi="Book Antiqua"/>
        </w:rPr>
        <w:t xml:space="preserve">establishments (Olsen et </w:t>
      </w:r>
      <w:r w:rsidRPr="00E3232D">
        <w:rPr>
          <w:rFonts w:ascii="Book Antiqua" w:hAnsi="Book Antiqua"/>
        </w:rPr>
        <w:t>al., 2001; Tirado  and Schmidt, 2001).Such</w:t>
      </w:r>
      <w:r w:rsidRPr="00E3232D">
        <w:rPr>
          <w:rFonts w:ascii="Book Antiqua" w:eastAsia="AdvEPSTIM" w:hAnsi="Book Antiqua"/>
          <w:lang w:val="en-GB"/>
        </w:rPr>
        <w:t xml:space="preserve"> significant incidence are matters of public health concern, especially as large quantities of food prepared in food outlet and or consumed outside the home. Catering and other establishments where meals are prepared are among the most frequent cited sources of sporadic outbreak foodborne </w:t>
      </w:r>
      <w:r w:rsidRPr="00E3232D">
        <w:rPr>
          <w:rFonts w:ascii="Book Antiqua" w:hAnsi="Book Antiqua"/>
        </w:rPr>
        <w:t>infections (Griffith, 2000; Griffith et al. 1994; Jin et al., 1997; Scott, 1996; Tarsitani et al., 1998). There is general agreement that risk based approach should be applied to the management of foodborne diseases (Clayton and Griffith, 2004).</w:t>
      </w:r>
      <w:r w:rsidRPr="00E3232D">
        <w:rPr>
          <w:rFonts w:ascii="Book Antiqua" w:eastAsia="AdvEPSTIM" w:hAnsi="Book Antiqua"/>
          <w:lang w:val="en-GB"/>
        </w:rPr>
        <w:t xml:space="preserve"> Several authors have also identified the relative importance of various food handling and food safety practices among food handlers and the effective application of such practices in ensuring the consistent production of safe food in food preparation </w:t>
      </w:r>
      <w:r w:rsidRPr="00E3232D">
        <w:rPr>
          <w:rFonts w:ascii="Book Antiqua" w:hAnsi="Book Antiqua"/>
        </w:rPr>
        <w:t>areas  (Mortlock et al,1999). To date little or no studies has examined the level of food safety practices among food service providers in School kitchens in Second Cycle institutions in Ho Township. Thus the present study attempts to examine food safety practices among kitchen staff in selected Second Senior High Schools in Ho Township.  Specific objectives are outlined below:</w:t>
      </w:r>
    </w:p>
    <w:p w14:paraId="61C2D483" w14:textId="77777777" w:rsidR="00F6233F" w:rsidRPr="008F6BC9" w:rsidRDefault="00207B8D" w:rsidP="00DC57D8">
      <w:pPr>
        <w:jc w:val="both"/>
        <w:rPr>
          <w:rFonts w:ascii="Book Antiqua" w:hAnsi="Book Antiqua"/>
        </w:rPr>
        <w:sectPr w:rsidR="00F6233F" w:rsidRPr="008F6BC9" w:rsidSect="00865A8D">
          <w:type w:val="continuous"/>
          <w:pgSz w:w="11907" w:h="16839" w:code="9"/>
          <w:pgMar w:top="1440" w:right="1440" w:bottom="1440" w:left="1440" w:header="720" w:footer="720" w:gutter="0"/>
          <w:pgNumType w:start="0"/>
          <w:cols w:num="2" w:space="720"/>
          <w:titlePg/>
          <w:docGrid w:linePitch="360"/>
        </w:sectPr>
      </w:pPr>
      <w:r w:rsidRPr="00E3232D">
        <w:rPr>
          <w:rFonts w:ascii="Book Antiqua" w:hAnsi="Book Antiqua"/>
        </w:rPr>
        <w:t xml:space="preserve">  To examine the knowledge level of food safety practices among cooks in selected </w:t>
      </w:r>
      <w:r>
        <w:rPr>
          <w:rFonts w:ascii="Book Antiqua" w:hAnsi="Book Antiqua"/>
        </w:rPr>
        <w:t xml:space="preserve">Senior </w:t>
      </w:r>
      <w:r w:rsidRPr="00E3232D">
        <w:rPr>
          <w:rFonts w:ascii="Book Antiqua" w:hAnsi="Book Antiqua"/>
        </w:rPr>
        <w:t>High Schools</w:t>
      </w:r>
      <w:r>
        <w:rPr>
          <w:rFonts w:ascii="Book Antiqua" w:hAnsi="Book Antiqua"/>
        </w:rPr>
        <w:t xml:space="preserve"> </w:t>
      </w:r>
      <w:r w:rsidRPr="00E3232D">
        <w:rPr>
          <w:rFonts w:ascii="Book Antiqua" w:hAnsi="Book Antiqua"/>
        </w:rPr>
        <w:t>kitchens in Ho Township.</w:t>
      </w:r>
      <w:r w:rsidR="002E553D">
        <w:rPr>
          <w:rFonts w:ascii="Book Antiqua" w:hAnsi="Book Antiqua"/>
        </w:rPr>
        <w:t xml:space="preserve"> </w:t>
      </w:r>
      <w:r w:rsidRPr="00E3232D">
        <w:rPr>
          <w:rFonts w:ascii="Book Antiqua" w:hAnsi="Book Antiqua"/>
        </w:rPr>
        <w:t xml:space="preserve">To assess food safety practices level among cooks and matrons in the selected   Senior High Schools Kitchens. </w:t>
      </w:r>
    </w:p>
    <w:p w14:paraId="0A5FA160" w14:textId="77777777" w:rsidR="00BC73F7" w:rsidRDefault="001762DC" w:rsidP="008275E1">
      <w:pPr>
        <w:rPr>
          <w:rFonts w:ascii="Book Antiqua" w:hAnsi="Book Antiqua"/>
        </w:rPr>
      </w:pPr>
      <w:r w:rsidRPr="00E3232D">
        <w:rPr>
          <w:rFonts w:ascii="Book Antiqua" w:hAnsi="Book Antiqua"/>
        </w:rPr>
        <w:lastRenderedPageBreak/>
        <w:t>To make recommendations as to food safety practices in the selected senior high schools Kitchen.</w:t>
      </w:r>
    </w:p>
    <w:p w14:paraId="11BE960D" w14:textId="77777777" w:rsidR="00BC73F7" w:rsidRDefault="00BC73F7" w:rsidP="00BC73F7">
      <w:pPr>
        <w:spacing w:after="0"/>
        <w:rPr>
          <w:rFonts w:ascii="Book Antiqua" w:hAnsi="Book Antiqua"/>
        </w:rPr>
      </w:pPr>
    </w:p>
    <w:p w14:paraId="578F30B6" w14:textId="77777777" w:rsidR="001762DC" w:rsidRPr="00E3232D" w:rsidRDefault="00AB79DE" w:rsidP="00DC57D8">
      <w:pPr>
        <w:jc w:val="both"/>
        <w:rPr>
          <w:rFonts w:ascii="Book Antiqua" w:hAnsi="Book Antiqua"/>
          <w:b/>
        </w:rPr>
      </w:pPr>
      <w:r>
        <w:rPr>
          <w:rFonts w:ascii="Book Antiqua" w:hAnsi="Book Antiqua"/>
          <w:b/>
          <w:sz w:val="26"/>
        </w:rPr>
        <w:t xml:space="preserve">2.0 </w:t>
      </w:r>
      <w:r w:rsidR="00A45FAE" w:rsidRPr="00BC73F7">
        <w:rPr>
          <w:rFonts w:ascii="Book Antiqua" w:hAnsi="Book Antiqua"/>
          <w:b/>
          <w:sz w:val="26"/>
        </w:rPr>
        <w:t>Methodology</w:t>
      </w:r>
    </w:p>
    <w:p w14:paraId="2B4C949A" w14:textId="77777777" w:rsidR="00451800" w:rsidRPr="002E553D" w:rsidRDefault="001762DC" w:rsidP="00DC57D8">
      <w:pPr>
        <w:autoSpaceDE w:val="0"/>
        <w:autoSpaceDN w:val="0"/>
        <w:adjustRightInd w:val="0"/>
        <w:jc w:val="both"/>
        <w:rPr>
          <w:rFonts w:ascii="Book Antiqua" w:eastAsia="AdvEPSTIM" w:hAnsi="Book Antiqua"/>
          <w:lang w:val="en-GB"/>
        </w:rPr>
      </w:pPr>
      <w:r w:rsidRPr="00E3232D">
        <w:rPr>
          <w:rFonts w:ascii="Book Antiqua" w:eastAsia="AdvEPSTIM" w:hAnsi="Book Antiqua"/>
          <w:lang w:val="en-GB"/>
        </w:rPr>
        <w:t>This study was conducted in Selected Senior High School Kitchens in Ho Township. C</w:t>
      </w:r>
      <w:r w:rsidR="002202B6">
        <w:rPr>
          <w:rFonts w:ascii="Book Antiqua" w:eastAsia="AdvEPSTIM" w:hAnsi="Book Antiqua"/>
          <w:lang w:val="en-GB"/>
        </w:rPr>
        <w:t xml:space="preserve">onvenience sampling method was </w:t>
      </w:r>
      <w:r w:rsidRPr="00E3232D">
        <w:rPr>
          <w:rFonts w:ascii="Book Antiqua" w:eastAsia="AdvEPSTIM" w:hAnsi="Book Antiqua"/>
          <w:lang w:val="en-GB"/>
        </w:rPr>
        <w:t xml:space="preserve">due to proximity.  Following consultation with Heads of schools and domestic bursars within each school the survey took the form of face-to-face interviews and filling of questionnaire specifically designed for the study.  </w:t>
      </w:r>
      <w:r w:rsidRPr="00E3232D">
        <w:rPr>
          <w:rStyle w:val="CommentReference"/>
          <w:rFonts w:ascii="Book Antiqua" w:hAnsi="Book Antiqua"/>
          <w:sz w:val="22"/>
          <w:szCs w:val="22"/>
        </w:rPr>
        <w:t xml:space="preserve"> </w:t>
      </w:r>
      <w:r w:rsidRPr="00E3232D">
        <w:rPr>
          <w:rFonts w:ascii="Book Antiqua" w:eastAsia="AdvEPSTIM" w:hAnsi="Book Antiqua"/>
          <w:lang w:val="en-GB"/>
        </w:rPr>
        <w:t xml:space="preserve">The questionnaire contained 30 questions, covering seven major areas: (1) demographics; (2) training; (3) food storage and delivery; (4) food handling; (5) personal hygiene/cleaning; (6) food preparation and (7) knowledge of foodborne pathogens.  </w:t>
      </w:r>
    </w:p>
    <w:p w14:paraId="33EDB3A9" w14:textId="77777777" w:rsidR="001762DC" w:rsidRPr="00E3232D" w:rsidRDefault="00AB79DE" w:rsidP="00DC57D8">
      <w:pPr>
        <w:autoSpaceDE w:val="0"/>
        <w:autoSpaceDN w:val="0"/>
        <w:adjustRightInd w:val="0"/>
        <w:jc w:val="both"/>
        <w:rPr>
          <w:rFonts w:ascii="Book Antiqua" w:hAnsi="Book Antiqua"/>
          <w:b/>
          <w:lang w:val="en-GB"/>
        </w:rPr>
      </w:pPr>
      <w:r>
        <w:rPr>
          <w:rFonts w:ascii="Book Antiqua" w:hAnsi="Book Antiqua"/>
          <w:b/>
          <w:lang w:val="en-GB"/>
        </w:rPr>
        <w:t xml:space="preserve">2.1 </w:t>
      </w:r>
      <w:r w:rsidR="001762DC" w:rsidRPr="00E3232D">
        <w:rPr>
          <w:rFonts w:ascii="Book Antiqua" w:hAnsi="Book Antiqua"/>
          <w:b/>
          <w:lang w:val="en-GB"/>
        </w:rPr>
        <w:t>Data analysis</w:t>
      </w:r>
    </w:p>
    <w:p w14:paraId="41121A75" w14:textId="77777777" w:rsidR="001762DC" w:rsidRPr="00E3232D" w:rsidRDefault="001762DC" w:rsidP="00DC57D8">
      <w:pPr>
        <w:jc w:val="both"/>
        <w:rPr>
          <w:rFonts w:ascii="Book Antiqua" w:hAnsi="Book Antiqua"/>
        </w:rPr>
      </w:pPr>
      <w:r w:rsidRPr="00E3232D">
        <w:rPr>
          <w:rFonts w:ascii="Book Antiqua" w:hAnsi="Book Antiqua"/>
        </w:rPr>
        <w:t>The data was analyzed using tables for easy presentations and interpretation of interviews. Descriptive methods of frequencies and percentages were applied.  In order to clearly identify the most salient food safety practices commonly adopted by the respondents, a further analysis was conducted. In addition correlation analysis was performed to identify the salient practices by respondents for possible grouping that may exist between the original practices.</w:t>
      </w:r>
    </w:p>
    <w:p w14:paraId="6E8DDFF4" w14:textId="77777777" w:rsidR="004E45D4" w:rsidRDefault="004E45D4" w:rsidP="008275E1">
      <w:pPr>
        <w:rPr>
          <w:rFonts w:ascii="Book Antiqua" w:hAnsi="Book Antiqua"/>
          <w:b/>
        </w:rPr>
      </w:pPr>
    </w:p>
    <w:p w14:paraId="53D59198" w14:textId="77777777" w:rsidR="00BC73F7" w:rsidRDefault="00BC73F7" w:rsidP="008275E1">
      <w:pPr>
        <w:rPr>
          <w:rFonts w:ascii="Book Antiqua" w:hAnsi="Book Antiqua"/>
          <w:b/>
        </w:rPr>
      </w:pPr>
    </w:p>
    <w:p w14:paraId="433F5B18" w14:textId="77777777" w:rsidR="00DC57D8" w:rsidRPr="00BC73F7" w:rsidRDefault="00AB79DE" w:rsidP="008275E1">
      <w:pPr>
        <w:rPr>
          <w:rFonts w:ascii="Book Antiqua" w:hAnsi="Book Antiqua"/>
          <w:b/>
          <w:sz w:val="26"/>
        </w:rPr>
      </w:pPr>
      <w:r>
        <w:rPr>
          <w:rFonts w:ascii="Book Antiqua" w:hAnsi="Book Antiqua"/>
          <w:b/>
          <w:sz w:val="26"/>
        </w:rPr>
        <w:t xml:space="preserve">3.0 </w:t>
      </w:r>
      <w:r w:rsidR="00A45FAE" w:rsidRPr="00BC73F7">
        <w:rPr>
          <w:rFonts w:ascii="Book Antiqua" w:hAnsi="Book Antiqua"/>
          <w:b/>
          <w:sz w:val="26"/>
        </w:rPr>
        <w:t>Results Of The Study</w:t>
      </w:r>
    </w:p>
    <w:p w14:paraId="7096909E" w14:textId="77777777" w:rsidR="001762DC" w:rsidRPr="00DC57D8" w:rsidRDefault="001762DC" w:rsidP="008275E1">
      <w:pPr>
        <w:rPr>
          <w:rFonts w:ascii="Book Antiqua" w:hAnsi="Book Antiqua"/>
          <w:b/>
        </w:rPr>
      </w:pPr>
      <w:r w:rsidRPr="00E3232D">
        <w:rPr>
          <w:rFonts w:ascii="Book Antiqua" w:hAnsi="Book Antiqua"/>
        </w:rPr>
        <w:t>Demographic</w:t>
      </w:r>
    </w:p>
    <w:tbl>
      <w:tblPr>
        <w:tblW w:w="4783" w:type="dxa"/>
        <w:jc w:val="center"/>
        <w:tblLayout w:type="fixed"/>
        <w:tblCellMar>
          <w:left w:w="30" w:type="dxa"/>
          <w:right w:w="30" w:type="dxa"/>
        </w:tblCellMar>
        <w:tblLook w:val="0000" w:firstRow="0" w:lastRow="0" w:firstColumn="0" w:lastColumn="0" w:noHBand="0" w:noVBand="0"/>
      </w:tblPr>
      <w:tblGrid>
        <w:gridCol w:w="2281"/>
        <w:gridCol w:w="1335"/>
        <w:gridCol w:w="1167"/>
      </w:tblGrid>
      <w:tr w:rsidR="001762DC" w:rsidRPr="00D12E59" w14:paraId="63A0FD3F" w14:textId="77777777" w:rsidTr="00655175">
        <w:trPr>
          <w:cantSplit/>
          <w:trHeight w:val="227"/>
          <w:tblHeader/>
          <w:jc w:val="center"/>
        </w:trPr>
        <w:tc>
          <w:tcPr>
            <w:tcW w:w="4783" w:type="dxa"/>
            <w:gridSpan w:val="3"/>
            <w:tcBorders>
              <w:bottom w:val="single" w:sz="4" w:space="0" w:color="auto"/>
            </w:tcBorders>
            <w:shd w:val="clear" w:color="auto" w:fill="FFFFFF"/>
            <w:tcMar>
              <w:top w:w="30" w:type="dxa"/>
              <w:left w:w="30" w:type="dxa"/>
              <w:bottom w:w="30" w:type="dxa"/>
              <w:right w:w="30" w:type="dxa"/>
            </w:tcMar>
            <w:vAlign w:val="center"/>
          </w:tcPr>
          <w:p w14:paraId="5B36E2A0" w14:textId="77777777" w:rsidR="001762DC" w:rsidRPr="00D12E59" w:rsidRDefault="001762DC" w:rsidP="008275E1">
            <w:pPr>
              <w:rPr>
                <w:rFonts w:ascii="Book Antiqua" w:hAnsi="Book Antiqua"/>
              </w:rPr>
            </w:pPr>
            <w:r w:rsidRPr="00D12E59">
              <w:rPr>
                <w:rFonts w:ascii="Book Antiqua" w:hAnsi="Book Antiqua"/>
                <w:b/>
                <w:bCs/>
              </w:rPr>
              <w:t xml:space="preserve">Table 1: </w:t>
            </w:r>
            <w:r w:rsidR="00BC73F7" w:rsidRPr="00D12E59">
              <w:rPr>
                <w:rFonts w:ascii="Book Antiqua" w:hAnsi="Book Antiqua"/>
                <w:b/>
                <w:bCs/>
              </w:rPr>
              <w:t xml:space="preserve">Gender </w:t>
            </w:r>
            <w:r w:rsidRPr="00D12E59">
              <w:rPr>
                <w:rFonts w:ascii="Book Antiqua" w:hAnsi="Book Antiqua"/>
                <w:b/>
                <w:bCs/>
              </w:rPr>
              <w:t>of respondents</w:t>
            </w:r>
          </w:p>
        </w:tc>
      </w:tr>
      <w:tr w:rsidR="001762DC" w:rsidRPr="00D12E59" w14:paraId="610095A0" w14:textId="77777777" w:rsidTr="00655175">
        <w:trPr>
          <w:cantSplit/>
          <w:trHeight w:val="214"/>
          <w:tblHeader/>
          <w:jc w:val="center"/>
        </w:trPr>
        <w:tc>
          <w:tcPr>
            <w:tcW w:w="2281" w:type="dxa"/>
            <w:tcBorders>
              <w:top w:val="single" w:sz="4" w:space="0" w:color="auto"/>
              <w:bottom w:val="single" w:sz="4" w:space="0" w:color="auto"/>
            </w:tcBorders>
            <w:shd w:val="clear" w:color="auto" w:fill="FFFFFF"/>
            <w:tcMar>
              <w:top w:w="30" w:type="dxa"/>
              <w:left w:w="30" w:type="dxa"/>
              <w:bottom w:w="30" w:type="dxa"/>
              <w:right w:w="30" w:type="dxa"/>
            </w:tcMar>
          </w:tcPr>
          <w:p w14:paraId="32205405" w14:textId="77777777" w:rsidR="001762DC" w:rsidRPr="00D12E59" w:rsidRDefault="001762DC" w:rsidP="008275E1">
            <w:pPr>
              <w:rPr>
                <w:rFonts w:ascii="Book Antiqua" w:hAnsi="Book Antiqua"/>
              </w:rPr>
            </w:pPr>
            <w:r w:rsidRPr="00D12E59">
              <w:rPr>
                <w:rFonts w:ascii="Book Antiqua" w:hAnsi="Book Antiqua"/>
              </w:rPr>
              <w:t>Gender</w:t>
            </w:r>
          </w:p>
        </w:tc>
        <w:tc>
          <w:tcPr>
            <w:tcW w:w="1335" w:type="dxa"/>
            <w:tcBorders>
              <w:top w:val="single" w:sz="4" w:space="0" w:color="auto"/>
              <w:bottom w:val="single" w:sz="4" w:space="0" w:color="auto"/>
            </w:tcBorders>
            <w:shd w:val="clear" w:color="auto" w:fill="FFFFFF"/>
            <w:tcMar>
              <w:top w:w="30" w:type="dxa"/>
              <w:left w:w="30" w:type="dxa"/>
              <w:bottom w:w="30" w:type="dxa"/>
              <w:right w:w="30" w:type="dxa"/>
            </w:tcMar>
            <w:vAlign w:val="bottom"/>
          </w:tcPr>
          <w:p w14:paraId="1D442081" w14:textId="77777777" w:rsidR="001762DC" w:rsidRPr="00D12E59" w:rsidRDefault="001762DC" w:rsidP="008275E1">
            <w:pPr>
              <w:rPr>
                <w:rFonts w:ascii="Book Antiqua" w:hAnsi="Book Antiqua"/>
              </w:rPr>
            </w:pPr>
            <w:r w:rsidRPr="00D12E59">
              <w:rPr>
                <w:rFonts w:ascii="Book Antiqua" w:hAnsi="Book Antiqua"/>
              </w:rPr>
              <w:t>Frequency</w:t>
            </w:r>
          </w:p>
        </w:tc>
        <w:tc>
          <w:tcPr>
            <w:tcW w:w="1166" w:type="dxa"/>
            <w:tcBorders>
              <w:top w:val="single" w:sz="4" w:space="0" w:color="auto"/>
              <w:bottom w:val="single" w:sz="4" w:space="0" w:color="auto"/>
            </w:tcBorders>
            <w:shd w:val="clear" w:color="auto" w:fill="FFFFFF"/>
            <w:tcMar>
              <w:top w:w="30" w:type="dxa"/>
              <w:left w:w="30" w:type="dxa"/>
              <w:bottom w:w="30" w:type="dxa"/>
              <w:right w:w="30" w:type="dxa"/>
            </w:tcMar>
            <w:vAlign w:val="bottom"/>
          </w:tcPr>
          <w:p w14:paraId="599FC2CA" w14:textId="77777777" w:rsidR="001762DC" w:rsidRPr="00D12E59" w:rsidRDefault="001762DC" w:rsidP="008275E1">
            <w:pPr>
              <w:rPr>
                <w:rFonts w:ascii="Book Antiqua" w:hAnsi="Book Antiqua"/>
              </w:rPr>
            </w:pPr>
            <w:r w:rsidRPr="00D12E59">
              <w:rPr>
                <w:rFonts w:ascii="Book Antiqua" w:hAnsi="Book Antiqua"/>
              </w:rPr>
              <w:t>Percent</w:t>
            </w:r>
          </w:p>
        </w:tc>
      </w:tr>
      <w:tr w:rsidR="001762DC" w:rsidRPr="00D12E59" w14:paraId="6CF1D364" w14:textId="77777777" w:rsidTr="00655175">
        <w:trPr>
          <w:cantSplit/>
          <w:trHeight w:val="227"/>
          <w:tblHeader/>
          <w:jc w:val="center"/>
        </w:trPr>
        <w:tc>
          <w:tcPr>
            <w:tcW w:w="2281" w:type="dxa"/>
            <w:tcBorders>
              <w:top w:val="single" w:sz="4" w:space="0" w:color="auto"/>
            </w:tcBorders>
            <w:shd w:val="clear" w:color="auto" w:fill="FFFFFF"/>
            <w:tcMar>
              <w:top w:w="30" w:type="dxa"/>
              <w:left w:w="30" w:type="dxa"/>
              <w:bottom w:w="30" w:type="dxa"/>
              <w:right w:w="30" w:type="dxa"/>
            </w:tcMar>
          </w:tcPr>
          <w:p w14:paraId="6E78F796" w14:textId="77777777" w:rsidR="001762DC" w:rsidRPr="00D12E59" w:rsidRDefault="001762DC" w:rsidP="008275E1">
            <w:pPr>
              <w:rPr>
                <w:rFonts w:ascii="Book Antiqua" w:hAnsi="Book Antiqua"/>
              </w:rPr>
            </w:pPr>
            <w:r w:rsidRPr="00D12E59">
              <w:rPr>
                <w:rFonts w:ascii="Book Antiqua" w:hAnsi="Book Antiqua"/>
              </w:rPr>
              <w:t>Male</w:t>
            </w:r>
          </w:p>
        </w:tc>
        <w:tc>
          <w:tcPr>
            <w:tcW w:w="1335" w:type="dxa"/>
            <w:tcBorders>
              <w:top w:val="single" w:sz="4" w:space="0" w:color="auto"/>
            </w:tcBorders>
            <w:shd w:val="clear" w:color="auto" w:fill="FFFFFF"/>
            <w:tcMar>
              <w:top w:w="30" w:type="dxa"/>
              <w:left w:w="30" w:type="dxa"/>
              <w:bottom w:w="30" w:type="dxa"/>
              <w:right w:w="30" w:type="dxa"/>
            </w:tcMar>
            <w:vAlign w:val="center"/>
          </w:tcPr>
          <w:p w14:paraId="31BF14E1" w14:textId="77777777" w:rsidR="001762DC" w:rsidRPr="00D12E59" w:rsidRDefault="001762DC" w:rsidP="008275E1">
            <w:pPr>
              <w:rPr>
                <w:rFonts w:ascii="Book Antiqua" w:hAnsi="Book Antiqua"/>
              </w:rPr>
            </w:pPr>
            <w:r w:rsidRPr="00D12E59">
              <w:rPr>
                <w:rFonts w:ascii="Book Antiqua" w:hAnsi="Book Antiqua"/>
              </w:rPr>
              <w:t>22</w:t>
            </w:r>
          </w:p>
        </w:tc>
        <w:tc>
          <w:tcPr>
            <w:tcW w:w="1166" w:type="dxa"/>
            <w:tcBorders>
              <w:top w:val="single" w:sz="4" w:space="0" w:color="auto"/>
            </w:tcBorders>
            <w:shd w:val="clear" w:color="auto" w:fill="FFFFFF"/>
            <w:tcMar>
              <w:top w:w="30" w:type="dxa"/>
              <w:left w:w="30" w:type="dxa"/>
              <w:bottom w:w="30" w:type="dxa"/>
              <w:right w:w="30" w:type="dxa"/>
            </w:tcMar>
            <w:vAlign w:val="center"/>
          </w:tcPr>
          <w:p w14:paraId="0A90B80F" w14:textId="77777777" w:rsidR="001762DC" w:rsidRPr="00D12E59" w:rsidRDefault="001762DC" w:rsidP="008275E1">
            <w:pPr>
              <w:rPr>
                <w:rFonts w:ascii="Book Antiqua" w:hAnsi="Book Antiqua"/>
              </w:rPr>
            </w:pPr>
            <w:r w:rsidRPr="00D12E59">
              <w:rPr>
                <w:rFonts w:ascii="Book Antiqua" w:hAnsi="Book Antiqua"/>
              </w:rPr>
              <w:t>36.7</w:t>
            </w:r>
          </w:p>
        </w:tc>
      </w:tr>
      <w:tr w:rsidR="001762DC" w:rsidRPr="00D12E59" w14:paraId="41C5CFC6" w14:textId="77777777" w:rsidTr="00655175">
        <w:trPr>
          <w:cantSplit/>
          <w:trHeight w:val="227"/>
          <w:tblHeader/>
          <w:jc w:val="center"/>
        </w:trPr>
        <w:tc>
          <w:tcPr>
            <w:tcW w:w="2281" w:type="dxa"/>
            <w:tcBorders>
              <w:bottom w:val="single" w:sz="4" w:space="0" w:color="auto"/>
            </w:tcBorders>
            <w:shd w:val="clear" w:color="auto" w:fill="FFFFFF"/>
            <w:tcMar>
              <w:top w:w="30" w:type="dxa"/>
              <w:left w:w="30" w:type="dxa"/>
              <w:bottom w:w="30" w:type="dxa"/>
              <w:right w:w="30" w:type="dxa"/>
            </w:tcMar>
          </w:tcPr>
          <w:p w14:paraId="14478929" w14:textId="77777777" w:rsidR="001762DC" w:rsidRPr="00D12E59" w:rsidRDefault="001762DC" w:rsidP="008275E1">
            <w:pPr>
              <w:rPr>
                <w:rFonts w:ascii="Book Antiqua" w:hAnsi="Book Antiqua"/>
              </w:rPr>
            </w:pPr>
            <w:r w:rsidRPr="00D12E59">
              <w:rPr>
                <w:rFonts w:ascii="Book Antiqua" w:hAnsi="Book Antiqua"/>
              </w:rPr>
              <w:t>Female</w:t>
            </w:r>
          </w:p>
        </w:tc>
        <w:tc>
          <w:tcPr>
            <w:tcW w:w="1335" w:type="dxa"/>
            <w:tcBorders>
              <w:bottom w:val="single" w:sz="4" w:space="0" w:color="auto"/>
            </w:tcBorders>
            <w:shd w:val="clear" w:color="auto" w:fill="FFFFFF"/>
            <w:tcMar>
              <w:top w:w="30" w:type="dxa"/>
              <w:left w:w="30" w:type="dxa"/>
              <w:bottom w:w="30" w:type="dxa"/>
              <w:right w:w="30" w:type="dxa"/>
            </w:tcMar>
            <w:vAlign w:val="center"/>
          </w:tcPr>
          <w:p w14:paraId="176597AE" w14:textId="77777777" w:rsidR="001762DC" w:rsidRPr="00D12E59" w:rsidRDefault="001762DC" w:rsidP="008275E1">
            <w:pPr>
              <w:rPr>
                <w:rFonts w:ascii="Book Antiqua" w:hAnsi="Book Antiqua"/>
              </w:rPr>
            </w:pPr>
            <w:r w:rsidRPr="00D12E59">
              <w:rPr>
                <w:rFonts w:ascii="Book Antiqua" w:hAnsi="Book Antiqua"/>
              </w:rPr>
              <w:t>63</w:t>
            </w:r>
          </w:p>
        </w:tc>
        <w:tc>
          <w:tcPr>
            <w:tcW w:w="1166" w:type="dxa"/>
            <w:tcBorders>
              <w:bottom w:val="single" w:sz="4" w:space="0" w:color="auto"/>
            </w:tcBorders>
            <w:shd w:val="clear" w:color="auto" w:fill="FFFFFF"/>
            <w:tcMar>
              <w:top w:w="30" w:type="dxa"/>
              <w:left w:w="30" w:type="dxa"/>
              <w:bottom w:w="30" w:type="dxa"/>
              <w:right w:w="30" w:type="dxa"/>
            </w:tcMar>
            <w:vAlign w:val="center"/>
          </w:tcPr>
          <w:p w14:paraId="2F78A103" w14:textId="77777777" w:rsidR="001762DC" w:rsidRPr="00D12E59" w:rsidRDefault="001762DC" w:rsidP="008275E1">
            <w:pPr>
              <w:rPr>
                <w:rFonts w:ascii="Book Antiqua" w:hAnsi="Book Antiqua"/>
              </w:rPr>
            </w:pPr>
            <w:r w:rsidRPr="00D12E59">
              <w:rPr>
                <w:rFonts w:ascii="Book Antiqua" w:hAnsi="Book Antiqua"/>
              </w:rPr>
              <w:t>63.3</w:t>
            </w:r>
          </w:p>
        </w:tc>
      </w:tr>
      <w:tr w:rsidR="001762DC" w:rsidRPr="00D12E59" w14:paraId="70CE8AC8" w14:textId="77777777" w:rsidTr="00655175">
        <w:trPr>
          <w:cantSplit/>
          <w:trHeight w:val="214"/>
          <w:jc w:val="center"/>
        </w:trPr>
        <w:tc>
          <w:tcPr>
            <w:tcW w:w="2281" w:type="dxa"/>
            <w:tcBorders>
              <w:top w:val="single" w:sz="4" w:space="0" w:color="auto"/>
              <w:bottom w:val="single" w:sz="4" w:space="0" w:color="auto"/>
            </w:tcBorders>
            <w:shd w:val="clear" w:color="auto" w:fill="FFFFFF"/>
            <w:tcMar>
              <w:top w:w="30" w:type="dxa"/>
              <w:left w:w="30" w:type="dxa"/>
              <w:bottom w:w="30" w:type="dxa"/>
              <w:right w:w="30" w:type="dxa"/>
            </w:tcMar>
          </w:tcPr>
          <w:p w14:paraId="5CC0B70B" w14:textId="77777777" w:rsidR="001762DC" w:rsidRPr="00D12E59" w:rsidRDefault="001762DC" w:rsidP="008275E1">
            <w:pPr>
              <w:rPr>
                <w:rFonts w:ascii="Book Antiqua" w:hAnsi="Book Antiqua"/>
              </w:rPr>
            </w:pPr>
            <w:r w:rsidRPr="00D12E59">
              <w:rPr>
                <w:rFonts w:ascii="Book Antiqua" w:hAnsi="Book Antiqua"/>
              </w:rPr>
              <w:t>Total</w:t>
            </w:r>
          </w:p>
        </w:tc>
        <w:tc>
          <w:tcPr>
            <w:tcW w:w="1335" w:type="dxa"/>
            <w:tcBorders>
              <w:top w:val="single" w:sz="4" w:space="0" w:color="auto"/>
              <w:bottom w:val="single" w:sz="4" w:space="0" w:color="auto"/>
            </w:tcBorders>
            <w:shd w:val="clear" w:color="auto" w:fill="FFFFFF"/>
            <w:tcMar>
              <w:top w:w="30" w:type="dxa"/>
              <w:left w:w="30" w:type="dxa"/>
              <w:bottom w:w="30" w:type="dxa"/>
              <w:right w:w="30" w:type="dxa"/>
            </w:tcMar>
            <w:vAlign w:val="center"/>
          </w:tcPr>
          <w:p w14:paraId="683B1236" w14:textId="77777777" w:rsidR="001762DC" w:rsidRPr="00D12E59" w:rsidRDefault="001762DC" w:rsidP="008275E1">
            <w:pPr>
              <w:rPr>
                <w:rFonts w:ascii="Book Antiqua" w:hAnsi="Book Antiqua"/>
              </w:rPr>
            </w:pPr>
            <w:r w:rsidRPr="00D12E59">
              <w:rPr>
                <w:rFonts w:ascii="Book Antiqua" w:hAnsi="Book Antiqua"/>
              </w:rPr>
              <w:t>85</w:t>
            </w:r>
          </w:p>
        </w:tc>
        <w:tc>
          <w:tcPr>
            <w:tcW w:w="1166" w:type="dxa"/>
            <w:tcBorders>
              <w:top w:val="single" w:sz="4" w:space="0" w:color="auto"/>
              <w:bottom w:val="single" w:sz="4" w:space="0" w:color="auto"/>
            </w:tcBorders>
            <w:shd w:val="clear" w:color="auto" w:fill="FFFFFF"/>
            <w:tcMar>
              <w:top w:w="30" w:type="dxa"/>
              <w:left w:w="30" w:type="dxa"/>
              <w:bottom w:w="30" w:type="dxa"/>
              <w:right w:w="30" w:type="dxa"/>
            </w:tcMar>
            <w:vAlign w:val="center"/>
          </w:tcPr>
          <w:p w14:paraId="3D368D11" w14:textId="77777777" w:rsidR="001762DC" w:rsidRPr="00D12E59" w:rsidRDefault="001762DC" w:rsidP="008275E1">
            <w:pPr>
              <w:rPr>
                <w:rFonts w:ascii="Book Antiqua" w:hAnsi="Book Antiqua"/>
              </w:rPr>
            </w:pPr>
            <w:r w:rsidRPr="00D12E59">
              <w:rPr>
                <w:rFonts w:ascii="Book Antiqua" w:hAnsi="Book Antiqua"/>
              </w:rPr>
              <w:t>100.0</w:t>
            </w:r>
          </w:p>
        </w:tc>
      </w:tr>
    </w:tbl>
    <w:p w14:paraId="3EAF110B" w14:textId="77777777" w:rsidR="001762DC" w:rsidRPr="00E3232D" w:rsidRDefault="001762DC" w:rsidP="008275E1">
      <w:pPr>
        <w:rPr>
          <w:rFonts w:ascii="Book Antiqua" w:hAnsi="Book Antiqua"/>
        </w:rPr>
      </w:pPr>
      <w:r w:rsidRPr="00E3232D">
        <w:rPr>
          <w:rFonts w:ascii="Book Antiqua" w:hAnsi="Book Antiqua"/>
        </w:rPr>
        <w:t>Source: Field Data, 2012</w:t>
      </w:r>
    </w:p>
    <w:p w14:paraId="5D2DAC89" w14:textId="77777777" w:rsidR="001762DC" w:rsidRPr="00E3232D" w:rsidRDefault="001762DC" w:rsidP="00DC57D8">
      <w:pPr>
        <w:jc w:val="both"/>
        <w:rPr>
          <w:rFonts w:ascii="Book Antiqua" w:hAnsi="Book Antiqua"/>
        </w:rPr>
      </w:pPr>
      <w:r w:rsidRPr="00E3232D">
        <w:rPr>
          <w:rFonts w:ascii="Book Antiqua" w:hAnsi="Book Antiqua"/>
        </w:rPr>
        <w:t xml:space="preserve">From table 1 above, Twenty two (22) representing 36.7% of the respondents were male and Thirty eight (63) representing 63.3% of the respondents were female. Majority of the respondents were female.  </w:t>
      </w:r>
    </w:p>
    <w:p w14:paraId="3C40DFEF" w14:textId="77777777" w:rsidR="001762DC" w:rsidRPr="00E3232D" w:rsidRDefault="001762DC" w:rsidP="008275E1">
      <w:pPr>
        <w:rPr>
          <w:rFonts w:ascii="Book Antiqua" w:hAnsi="Book Antiqua"/>
        </w:rPr>
      </w:pPr>
    </w:p>
    <w:p w14:paraId="1FDB9756" w14:textId="77777777" w:rsidR="001762DC" w:rsidRPr="00E3232D" w:rsidRDefault="001762DC" w:rsidP="00201DC4">
      <w:pPr>
        <w:spacing w:after="0" w:line="240" w:lineRule="auto"/>
        <w:rPr>
          <w:rFonts w:ascii="Book Antiqua" w:hAnsi="Book Antiqua"/>
          <w:b/>
        </w:rPr>
      </w:pPr>
      <w:r w:rsidRPr="00E3232D">
        <w:rPr>
          <w:rFonts w:ascii="Book Antiqua" w:hAnsi="Book Antiqua"/>
          <w:b/>
        </w:rPr>
        <w:t>Table 2. Level of education</w:t>
      </w:r>
    </w:p>
    <w:tbl>
      <w:tblPr>
        <w:tblStyle w:val="LightShading2"/>
        <w:tblW w:w="0" w:type="auto"/>
        <w:tblLook w:val="04E0" w:firstRow="1" w:lastRow="1" w:firstColumn="1" w:lastColumn="0" w:noHBand="0" w:noVBand="1"/>
      </w:tblPr>
      <w:tblGrid>
        <w:gridCol w:w="1366"/>
        <w:gridCol w:w="1268"/>
        <w:gridCol w:w="1735"/>
      </w:tblGrid>
      <w:tr w:rsidR="0052025E" w:rsidRPr="0052025E" w14:paraId="4891C887" w14:textId="77777777" w:rsidTr="0052025E">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46498AF8" w14:textId="77777777" w:rsidR="0052025E" w:rsidRPr="0052025E" w:rsidRDefault="0052025E" w:rsidP="0052025E">
            <w:pPr>
              <w:spacing w:after="0" w:line="240" w:lineRule="auto"/>
              <w:rPr>
                <w:rFonts w:ascii="Book Antiqua" w:hAnsi="Book Antiqua"/>
              </w:rPr>
            </w:pPr>
            <w:r w:rsidRPr="0052025E">
              <w:rPr>
                <w:rFonts w:ascii="Book Antiqua" w:hAnsi="Book Antiqua"/>
              </w:rPr>
              <w:t>Level</w:t>
            </w:r>
            <w:r w:rsidRPr="0052025E">
              <w:rPr>
                <w:rFonts w:ascii="Book Antiqua" w:hAnsi="Book Antiqua"/>
              </w:rPr>
              <w:tab/>
            </w:r>
          </w:p>
        </w:tc>
        <w:tc>
          <w:tcPr>
            <w:tcW w:w="1260" w:type="dxa"/>
            <w:shd w:val="clear" w:color="auto" w:fill="auto"/>
          </w:tcPr>
          <w:p w14:paraId="0E6525F0" w14:textId="77777777" w:rsidR="0052025E" w:rsidRPr="0052025E" w:rsidRDefault="0052025E" w:rsidP="00F332F0">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Frequency</w:t>
            </w:r>
          </w:p>
        </w:tc>
        <w:tc>
          <w:tcPr>
            <w:tcW w:w="1741" w:type="dxa"/>
            <w:shd w:val="clear" w:color="auto" w:fill="auto"/>
          </w:tcPr>
          <w:p w14:paraId="596D137F" w14:textId="77777777" w:rsidR="0052025E" w:rsidRPr="0052025E" w:rsidRDefault="0052025E" w:rsidP="00F332F0">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Percentage (%)</w:t>
            </w:r>
          </w:p>
        </w:tc>
      </w:tr>
      <w:tr w:rsidR="0052025E" w:rsidRPr="0052025E" w14:paraId="6BB0EC95" w14:textId="77777777" w:rsidTr="00520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1BC6B145" w14:textId="77777777" w:rsidR="0052025E" w:rsidRPr="0052025E" w:rsidRDefault="0052025E" w:rsidP="0052025E">
            <w:pPr>
              <w:spacing w:after="0" w:line="240" w:lineRule="auto"/>
              <w:rPr>
                <w:rFonts w:ascii="Book Antiqua" w:hAnsi="Book Antiqua"/>
              </w:rPr>
            </w:pPr>
            <w:r w:rsidRPr="0052025E">
              <w:rPr>
                <w:rFonts w:ascii="Book Antiqua" w:hAnsi="Book Antiqua"/>
              </w:rPr>
              <w:t>Senior high certificate</w:t>
            </w:r>
          </w:p>
        </w:tc>
        <w:tc>
          <w:tcPr>
            <w:tcW w:w="1260" w:type="dxa"/>
            <w:shd w:val="clear" w:color="auto" w:fill="auto"/>
          </w:tcPr>
          <w:p w14:paraId="308B6FD2" w14:textId="77777777" w:rsidR="0052025E" w:rsidRPr="0052025E" w:rsidRDefault="0052025E" w:rsidP="00F332F0">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52025E">
              <w:rPr>
                <w:rFonts w:ascii="Book Antiqua" w:hAnsi="Book Antiqua"/>
              </w:rPr>
              <w:t>23</w:t>
            </w:r>
          </w:p>
        </w:tc>
        <w:tc>
          <w:tcPr>
            <w:tcW w:w="1741" w:type="dxa"/>
            <w:shd w:val="clear" w:color="auto" w:fill="auto"/>
          </w:tcPr>
          <w:p w14:paraId="704D9744" w14:textId="77777777" w:rsidR="0052025E" w:rsidRPr="0052025E" w:rsidRDefault="0052025E" w:rsidP="00F332F0">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52025E">
              <w:rPr>
                <w:rFonts w:ascii="Book Antiqua" w:hAnsi="Book Antiqua"/>
              </w:rPr>
              <w:t>27.06</w:t>
            </w:r>
          </w:p>
        </w:tc>
      </w:tr>
      <w:tr w:rsidR="0052025E" w:rsidRPr="0052025E" w14:paraId="179F50E8" w14:textId="77777777" w:rsidTr="0052025E">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7D710B15" w14:textId="77777777" w:rsidR="0052025E" w:rsidRPr="0052025E" w:rsidRDefault="0052025E" w:rsidP="0052025E">
            <w:pPr>
              <w:spacing w:after="0" w:line="240" w:lineRule="auto"/>
              <w:rPr>
                <w:rFonts w:ascii="Book Antiqua" w:hAnsi="Book Antiqua"/>
              </w:rPr>
            </w:pPr>
            <w:r w:rsidRPr="0052025E">
              <w:rPr>
                <w:rFonts w:ascii="Book Antiqua" w:hAnsi="Book Antiqua"/>
              </w:rPr>
              <w:t>NVTI certificate</w:t>
            </w:r>
          </w:p>
        </w:tc>
        <w:tc>
          <w:tcPr>
            <w:tcW w:w="1260" w:type="dxa"/>
            <w:shd w:val="clear" w:color="auto" w:fill="auto"/>
          </w:tcPr>
          <w:p w14:paraId="74C327AD" w14:textId="77777777" w:rsidR="0052025E" w:rsidRPr="0052025E" w:rsidRDefault="0052025E" w:rsidP="00F332F0">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11</w:t>
            </w:r>
          </w:p>
        </w:tc>
        <w:tc>
          <w:tcPr>
            <w:tcW w:w="1741" w:type="dxa"/>
            <w:shd w:val="clear" w:color="auto" w:fill="auto"/>
          </w:tcPr>
          <w:p w14:paraId="7DD60C35" w14:textId="77777777" w:rsidR="0052025E" w:rsidRPr="0052025E" w:rsidRDefault="0052025E" w:rsidP="00F332F0">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12.94</w:t>
            </w:r>
          </w:p>
        </w:tc>
      </w:tr>
      <w:tr w:rsidR="0052025E" w:rsidRPr="0052025E" w14:paraId="16DFA166" w14:textId="77777777" w:rsidTr="00520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55EF8D4D" w14:textId="77777777" w:rsidR="0052025E" w:rsidRPr="0052025E" w:rsidRDefault="0052025E" w:rsidP="0052025E">
            <w:pPr>
              <w:spacing w:after="0" w:line="240" w:lineRule="auto"/>
              <w:rPr>
                <w:rFonts w:ascii="Book Antiqua" w:hAnsi="Book Antiqua"/>
              </w:rPr>
            </w:pPr>
            <w:r w:rsidRPr="0052025E">
              <w:rPr>
                <w:rFonts w:ascii="Book Antiqua" w:hAnsi="Book Antiqua"/>
              </w:rPr>
              <w:t xml:space="preserve">JHS </w:t>
            </w:r>
            <w:r w:rsidRPr="0052025E">
              <w:rPr>
                <w:rFonts w:ascii="Book Antiqua" w:hAnsi="Book Antiqua"/>
              </w:rPr>
              <w:tab/>
            </w:r>
          </w:p>
        </w:tc>
        <w:tc>
          <w:tcPr>
            <w:tcW w:w="1260" w:type="dxa"/>
            <w:shd w:val="clear" w:color="auto" w:fill="auto"/>
          </w:tcPr>
          <w:p w14:paraId="620CA594" w14:textId="77777777" w:rsidR="0052025E" w:rsidRPr="0052025E" w:rsidRDefault="0052025E" w:rsidP="00F332F0">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52025E">
              <w:rPr>
                <w:rFonts w:ascii="Book Antiqua" w:hAnsi="Book Antiqua"/>
              </w:rPr>
              <w:t>8</w:t>
            </w:r>
          </w:p>
        </w:tc>
        <w:tc>
          <w:tcPr>
            <w:tcW w:w="1741" w:type="dxa"/>
            <w:shd w:val="clear" w:color="auto" w:fill="auto"/>
          </w:tcPr>
          <w:p w14:paraId="1A38FA1B" w14:textId="77777777" w:rsidR="0052025E" w:rsidRPr="0052025E" w:rsidRDefault="0052025E" w:rsidP="00F332F0">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52025E">
              <w:rPr>
                <w:rFonts w:ascii="Book Antiqua" w:hAnsi="Book Antiqua"/>
              </w:rPr>
              <w:t>9.41</w:t>
            </w:r>
          </w:p>
        </w:tc>
      </w:tr>
      <w:tr w:rsidR="0052025E" w:rsidRPr="0052025E" w14:paraId="77032AA0" w14:textId="77777777" w:rsidTr="0052025E">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1C3F7364" w14:textId="77777777" w:rsidR="0052025E" w:rsidRPr="0052025E" w:rsidRDefault="0052025E" w:rsidP="0052025E">
            <w:pPr>
              <w:spacing w:after="0" w:line="240" w:lineRule="auto"/>
              <w:rPr>
                <w:rFonts w:ascii="Book Antiqua" w:hAnsi="Book Antiqua"/>
              </w:rPr>
            </w:pPr>
            <w:r w:rsidRPr="0052025E">
              <w:rPr>
                <w:rFonts w:ascii="Book Antiqua" w:hAnsi="Book Antiqua"/>
              </w:rPr>
              <w:t>Cookery part 1</w:t>
            </w:r>
            <w:r w:rsidRPr="0052025E">
              <w:rPr>
                <w:rFonts w:ascii="Book Antiqua" w:hAnsi="Book Antiqua"/>
              </w:rPr>
              <w:tab/>
            </w:r>
          </w:p>
        </w:tc>
        <w:tc>
          <w:tcPr>
            <w:tcW w:w="1260" w:type="dxa"/>
            <w:shd w:val="clear" w:color="auto" w:fill="auto"/>
          </w:tcPr>
          <w:p w14:paraId="493A72AF" w14:textId="77777777" w:rsidR="0052025E" w:rsidRPr="0052025E" w:rsidRDefault="0052025E" w:rsidP="00F332F0">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2</w:t>
            </w:r>
          </w:p>
        </w:tc>
        <w:tc>
          <w:tcPr>
            <w:tcW w:w="1741" w:type="dxa"/>
            <w:shd w:val="clear" w:color="auto" w:fill="auto"/>
          </w:tcPr>
          <w:p w14:paraId="624E759E" w14:textId="77777777" w:rsidR="0052025E" w:rsidRPr="0052025E" w:rsidRDefault="0052025E" w:rsidP="00F332F0">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2.3</w:t>
            </w:r>
          </w:p>
        </w:tc>
      </w:tr>
      <w:tr w:rsidR="0052025E" w:rsidRPr="0052025E" w14:paraId="30E723C2" w14:textId="77777777" w:rsidTr="00520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4F874279" w14:textId="77777777" w:rsidR="0052025E" w:rsidRPr="0052025E" w:rsidRDefault="0052025E" w:rsidP="0052025E">
            <w:pPr>
              <w:spacing w:after="0" w:line="240" w:lineRule="auto"/>
              <w:rPr>
                <w:rFonts w:ascii="Book Antiqua" w:hAnsi="Book Antiqua"/>
              </w:rPr>
            </w:pPr>
            <w:r w:rsidRPr="0052025E">
              <w:rPr>
                <w:rFonts w:ascii="Book Antiqua" w:hAnsi="Book Antiqua"/>
              </w:rPr>
              <w:t>Middle school leaving certificate</w:t>
            </w:r>
          </w:p>
        </w:tc>
        <w:tc>
          <w:tcPr>
            <w:tcW w:w="1260" w:type="dxa"/>
            <w:shd w:val="clear" w:color="auto" w:fill="auto"/>
          </w:tcPr>
          <w:p w14:paraId="130DE9A9" w14:textId="77777777" w:rsidR="0052025E" w:rsidRPr="0052025E" w:rsidRDefault="0052025E" w:rsidP="00F332F0">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52025E">
              <w:rPr>
                <w:rFonts w:ascii="Book Antiqua" w:hAnsi="Book Antiqua"/>
              </w:rPr>
              <w:t>34</w:t>
            </w:r>
          </w:p>
        </w:tc>
        <w:tc>
          <w:tcPr>
            <w:tcW w:w="1741" w:type="dxa"/>
            <w:shd w:val="clear" w:color="auto" w:fill="auto"/>
          </w:tcPr>
          <w:p w14:paraId="17C9B9BC" w14:textId="77777777" w:rsidR="0052025E" w:rsidRPr="0052025E" w:rsidRDefault="0052025E" w:rsidP="00F332F0">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52025E">
              <w:rPr>
                <w:rFonts w:ascii="Book Antiqua" w:hAnsi="Book Antiqua"/>
              </w:rPr>
              <w:t>48.09</w:t>
            </w:r>
          </w:p>
        </w:tc>
      </w:tr>
      <w:tr w:rsidR="0052025E" w:rsidRPr="0052025E" w14:paraId="3FC03025" w14:textId="77777777" w:rsidTr="0052025E">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2E53A7BD" w14:textId="77777777" w:rsidR="0052025E" w:rsidRPr="0052025E" w:rsidRDefault="0052025E" w:rsidP="0052025E">
            <w:pPr>
              <w:spacing w:after="0" w:line="240" w:lineRule="auto"/>
              <w:rPr>
                <w:rFonts w:ascii="Book Antiqua" w:hAnsi="Book Antiqua"/>
              </w:rPr>
            </w:pPr>
            <w:r>
              <w:rPr>
                <w:rFonts w:ascii="Book Antiqua" w:hAnsi="Book Antiqua"/>
              </w:rPr>
              <w:t>Cookery part 2</w:t>
            </w:r>
            <w:r w:rsidRPr="0052025E">
              <w:rPr>
                <w:rFonts w:ascii="Book Antiqua" w:hAnsi="Book Antiqua"/>
              </w:rPr>
              <w:tab/>
            </w:r>
          </w:p>
        </w:tc>
        <w:tc>
          <w:tcPr>
            <w:tcW w:w="1260" w:type="dxa"/>
            <w:shd w:val="clear" w:color="auto" w:fill="auto"/>
          </w:tcPr>
          <w:p w14:paraId="5A56C477" w14:textId="77777777" w:rsidR="0052025E" w:rsidRPr="0052025E" w:rsidRDefault="0052025E" w:rsidP="00F332F0">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7</w:t>
            </w:r>
          </w:p>
        </w:tc>
        <w:tc>
          <w:tcPr>
            <w:tcW w:w="1741" w:type="dxa"/>
            <w:shd w:val="clear" w:color="auto" w:fill="auto"/>
          </w:tcPr>
          <w:p w14:paraId="4DBBFC05" w14:textId="77777777" w:rsidR="0052025E" w:rsidRPr="0052025E" w:rsidRDefault="0052025E" w:rsidP="00F332F0">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8.24</w:t>
            </w:r>
          </w:p>
        </w:tc>
      </w:tr>
      <w:tr w:rsidR="0052025E" w:rsidRPr="0052025E" w14:paraId="644F6C83" w14:textId="77777777" w:rsidTr="0052025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4B03DD99" w14:textId="77777777" w:rsidR="0052025E" w:rsidRPr="0052025E" w:rsidRDefault="0052025E" w:rsidP="0052025E">
            <w:pPr>
              <w:spacing w:after="0" w:line="240" w:lineRule="auto"/>
              <w:rPr>
                <w:rFonts w:ascii="Book Antiqua" w:hAnsi="Book Antiqua"/>
              </w:rPr>
            </w:pPr>
            <w:r w:rsidRPr="0052025E">
              <w:rPr>
                <w:rFonts w:ascii="Book Antiqua" w:hAnsi="Book Antiqua"/>
              </w:rPr>
              <w:t>Total</w:t>
            </w:r>
            <w:r w:rsidRPr="0052025E">
              <w:rPr>
                <w:rFonts w:ascii="Book Antiqua" w:hAnsi="Book Antiqua"/>
              </w:rPr>
              <w:tab/>
            </w:r>
          </w:p>
        </w:tc>
        <w:tc>
          <w:tcPr>
            <w:tcW w:w="1260" w:type="dxa"/>
            <w:shd w:val="clear" w:color="auto" w:fill="auto"/>
          </w:tcPr>
          <w:p w14:paraId="6E590E78" w14:textId="77777777" w:rsidR="0052025E" w:rsidRPr="0052025E" w:rsidRDefault="0052025E" w:rsidP="00F332F0">
            <w:pPr>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85</w:t>
            </w:r>
          </w:p>
        </w:tc>
        <w:tc>
          <w:tcPr>
            <w:tcW w:w="1741" w:type="dxa"/>
            <w:shd w:val="clear" w:color="auto" w:fill="auto"/>
          </w:tcPr>
          <w:p w14:paraId="698D1444" w14:textId="77777777" w:rsidR="0052025E" w:rsidRPr="0052025E" w:rsidRDefault="0052025E" w:rsidP="00F332F0">
            <w:pPr>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rPr>
            </w:pPr>
            <w:r w:rsidRPr="0052025E">
              <w:rPr>
                <w:rFonts w:ascii="Book Antiqua" w:hAnsi="Book Antiqua"/>
              </w:rPr>
              <w:t>100</w:t>
            </w:r>
          </w:p>
        </w:tc>
      </w:tr>
    </w:tbl>
    <w:p w14:paraId="5602C870" w14:textId="77777777" w:rsidR="00526A4D" w:rsidRDefault="001762DC" w:rsidP="00526A4D">
      <w:pPr>
        <w:spacing w:after="0"/>
        <w:rPr>
          <w:rFonts w:ascii="Book Antiqua" w:hAnsi="Book Antiqua"/>
        </w:rPr>
      </w:pPr>
      <w:r w:rsidRPr="00E3232D">
        <w:rPr>
          <w:rFonts w:ascii="Book Antiqua" w:hAnsi="Book Antiqua"/>
        </w:rPr>
        <w:t>Source: Field Data 2012</w:t>
      </w:r>
    </w:p>
    <w:p w14:paraId="43D04B47" w14:textId="77777777" w:rsidR="001762DC" w:rsidRPr="00E3232D" w:rsidRDefault="001762DC" w:rsidP="00B94E15">
      <w:pPr>
        <w:spacing w:after="0"/>
        <w:jc w:val="both"/>
        <w:rPr>
          <w:rFonts w:ascii="Book Antiqua" w:hAnsi="Book Antiqua"/>
        </w:rPr>
      </w:pPr>
      <w:r w:rsidRPr="00E3232D">
        <w:rPr>
          <w:rFonts w:ascii="Book Antiqua" w:hAnsi="Book Antiqua"/>
        </w:rPr>
        <w:lastRenderedPageBreak/>
        <w:t>Considering the level of education attained by cooks, the study shows that twenty three (23) representing 27.06% had Senior High school education (SHS),eleven(11)  representing 12.97 %   had NVTI Certificate,(National Vocational and Technical Institute) eight(8)</w:t>
      </w:r>
      <w:r w:rsidR="004E45D4">
        <w:rPr>
          <w:rFonts w:ascii="Book Antiqua" w:hAnsi="Book Antiqua"/>
        </w:rPr>
        <w:t xml:space="preserve"> </w:t>
      </w:r>
      <w:r w:rsidR="00177B1C">
        <w:rPr>
          <w:rFonts w:ascii="Book Antiqua" w:hAnsi="Book Antiqua"/>
        </w:rPr>
        <w:t xml:space="preserve"> </w:t>
      </w:r>
      <w:r w:rsidRPr="00E3232D">
        <w:rPr>
          <w:rFonts w:ascii="Book Antiqua" w:hAnsi="Book Antiqua"/>
        </w:rPr>
        <w:t>representing 9.41% had JHS Certificate , two(2)representing</w:t>
      </w:r>
      <w:r w:rsidRPr="00E3232D">
        <w:rPr>
          <w:rFonts w:ascii="Book Antiqua" w:hAnsi="Book Antiqua"/>
          <w:b/>
        </w:rPr>
        <w:t xml:space="preserve"> </w:t>
      </w:r>
      <w:r w:rsidRPr="00E3232D">
        <w:rPr>
          <w:rFonts w:ascii="Book Antiqua" w:hAnsi="Book Antiqua"/>
        </w:rPr>
        <w:t xml:space="preserve">2.35% had their Cookery for the catering industry part one(812/1).Most of them (34) representing 40% have middle school leaving certificate.  The Domestic bursars and matrons have cookery for the catering industry part two (812/2) with long service and cookery for the catering industry part one (812/1) respectively. </w:t>
      </w:r>
    </w:p>
    <w:p w14:paraId="28E4AD6C" w14:textId="77777777" w:rsidR="00AB79DE" w:rsidRDefault="001762DC" w:rsidP="00AB79DE">
      <w:pPr>
        <w:spacing w:before="240"/>
        <w:jc w:val="both"/>
        <w:rPr>
          <w:rFonts w:ascii="Book Antiqua" w:hAnsi="Book Antiqua"/>
          <w:b/>
        </w:rPr>
      </w:pPr>
      <w:r w:rsidRPr="00E3232D">
        <w:rPr>
          <w:rFonts w:ascii="Book Antiqua" w:hAnsi="Book Antiqua"/>
          <w:b/>
        </w:rPr>
        <w:t>Age</w:t>
      </w:r>
    </w:p>
    <w:p w14:paraId="67DDDEC6" w14:textId="77777777" w:rsidR="001762DC" w:rsidRPr="00AB79DE" w:rsidRDefault="001762DC" w:rsidP="00526A4D">
      <w:pPr>
        <w:jc w:val="both"/>
        <w:rPr>
          <w:rFonts w:ascii="Book Antiqua" w:hAnsi="Book Antiqua"/>
          <w:b/>
        </w:rPr>
      </w:pPr>
      <w:r w:rsidRPr="00E3232D">
        <w:rPr>
          <w:rFonts w:ascii="Book Antiqua" w:hAnsi="Book Antiqua"/>
        </w:rPr>
        <w:t>The age distribution from the study shows that the highest number of respondents (modal age group) was between Forty (40)</w:t>
      </w:r>
      <w:r w:rsidRPr="00E3232D">
        <w:rPr>
          <w:rFonts w:ascii="Book Antiqua" w:hAnsi="Book Antiqua"/>
          <w:b/>
        </w:rPr>
        <w:t xml:space="preserve"> </w:t>
      </w:r>
      <w:r w:rsidRPr="00E3232D">
        <w:rPr>
          <w:rFonts w:ascii="Book Antiqua" w:hAnsi="Book Antiqua"/>
        </w:rPr>
        <w:t>and above years representing 38.3%, followed by twenty six- thirty (26- 30) years representing 23.3%, thirty one- thirty five (31-35) years representing 7%and under Twenty (20) years was 1 representing 1.7 % of the total respondents respectively.</w:t>
      </w:r>
    </w:p>
    <w:p w14:paraId="45B84A44" w14:textId="77777777" w:rsidR="006D6991" w:rsidRDefault="006D6991" w:rsidP="008275E1">
      <w:pPr>
        <w:rPr>
          <w:rFonts w:ascii="Book Antiqua" w:hAnsi="Book Antiqua"/>
          <w:b/>
        </w:rPr>
      </w:pPr>
    </w:p>
    <w:p w14:paraId="4A05E19A" w14:textId="77777777" w:rsidR="003B5519" w:rsidRDefault="003B5519" w:rsidP="008275E1">
      <w:pPr>
        <w:rPr>
          <w:rFonts w:ascii="Book Antiqua" w:hAnsi="Book Antiqua"/>
          <w:b/>
        </w:rPr>
        <w:sectPr w:rsidR="003B5519" w:rsidSect="008F6BC9">
          <w:footerReference w:type="default" r:id="rId70"/>
          <w:type w:val="continuous"/>
          <w:pgSz w:w="11907" w:h="16839" w:code="9"/>
          <w:pgMar w:top="1440" w:right="1440" w:bottom="1440" w:left="1440" w:header="720" w:footer="720" w:gutter="0"/>
          <w:cols w:num="2" w:space="720"/>
          <w:docGrid w:linePitch="360"/>
        </w:sectPr>
      </w:pPr>
    </w:p>
    <w:p w14:paraId="5EACB50C" w14:textId="77777777" w:rsidR="003B5519" w:rsidRPr="00B94E15" w:rsidRDefault="003B5519" w:rsidP="00B94E15">
      <w:pPr>
        <w:spacing w:after="0"/>
        <w:rPr>
          <w:rFonts w:ascii="Book Antiqua" w:hAnsi="Book Antiqua"/>
          <w:b/>
          <w:sz w:val="20"/>
        </w:rPr>
      </w:pPr>
    </w:p>
    <w:p w14:paraId="22AA80FA" w14:textId="77777777" w:rsidR="003B5519" w:rsidRDefault="001762DC" w:rsidP="00B94E15">
      <w:pPr>
        <w:spacing w:after="0" w:line="240" w:lineRule="auto"/>
        <w:contextualSpacing/>
        <w:rPr>
          <w:rFonts w:ascii="Book Antiqua" w:hAnsi="Book Antiqua"/>
        </w:rPr>
        <w:sectPr w:rsidR="003B5519" w:rsidSect="003B5519">
          <w:type w:val="continuous"/>
          <w:pgSz w:w="11907" w:h="16839" w:code="9"/>
          <w:pgMar w:top="1440" w:right="1440" w:bottom="1440" w:left="1440" w:header="720" w:footer="720" w:gutter="0"/>
          <w:cols w:space="720"/>
          <w:docGrid w:linePitch="360"/>
        </w:sectPr>
      </w:pPr>
      <w:r w:rsidRPr="00E3232D">
        <w:rPr>
          <w:rFonts w:ascii="Book Antiqua" w:hAnsi="Book Antiqua"/>
          <w:b/>
        </w:rPr>
        <w:t xml:space="preserve">Table 3: </w:t>
      </w:r>
      <w:r w:rsidRPr="00E3232D">
        <w:rPr>
          <w:rFonts w:ascii="Book Antiqua" w:hAnsi="Book Antiqua"/>
        </w:rPr>
        <w:t>Some survey questions with</w:t>
      </w:r>
      <w:r w:rsidR="00526A4D" w:rsidRPr="00526A4D">
        <w:rPr>
          <w:rFonts w:ascii="Book Antiqua" w:hAnsi="Book Antiqua"/>
        </w:rPr>
        <w:t xml:space="preserve"> </w:t>
      </w:r>
      <w:r w:rsidR="00526A4D" w:rsidRPr="00E3232D">
        <w:rPr>
          <w:rFonts w:ascii="Book Antiqua" w:hAnsi="Book Antiqua"/>
        </w:rPr>
        <w:t xml:space="preserve">regards to food safety practices and responses from cooks    </w:t>
      </w:r>
    </w:p>
    <w:tbl>
      <w:tblPr>
        <w:tblpPr w:leftFromText="180" w:rightFromText="180" w:vertAnchor="text" w:horzAnchor="margin" w:tblpY="148"/>
        <w:tblW w:w="0" w:type="auto"/>
        <w:tblLook w:val="04A0" w:firstRow="1" w:lastRow="0" w:firstColumn="1" w:lastColumn="0" w:noHBand="0" w:noVBand="1"/>
      </w:tblPr>
      <w:tblGrid>
        <w:gridCol w:w="4518"/>
        <w:gridCol w:w="1236"/>
        <w:gridCol w:w="1236"/>
        <w:gridCol w:w="1074"/>
      </w:tblGrid>
      <w:tr w:rsidR="00526A4D" w:rsidRPr="00D12E59" w14:paraId="7D6CF758" w14:textId="77777777" w:rsidTr="00526A4D">
        <w:tc>
          <w:tcPr>
            <w:tcW w:w="4518" w:type="dxa"/>
            <w:tcBorders>
              <w:top w:val="single" w:sz="4" w:space="0" w:color="auto"/>
              <w:left w:val="nil"/>
              <w:bottom w:val="single" w:sz="4" w:space="0" w:color="auto"/>
              <w:right w:val="nil"/>
            </w:tcBorders>
            <w:hideMark/>
          </w:tcPr>
          <w:p w14:paraId="0222B4B7" w14:textId="77777777" w:rsidR="00526A4D" w:rsidRPr="00D12E59" w:rsidRDefault="00526A4D" w:rsidP="00B94E15">
            <w:pPr>
              <w:spacing w:after="0" w:line="240" w:lineRule="auto"/>
              <w:rPr>
                <w:rFonts w:ascii="Book Antiqua" w:hAnsi="Book Antiqua"/>
              </w:rPr>
            </w:pPr>
            <w:r w:rsidRPr="00D12E59">
              <w:rPr>
                <w:rFonts w:ascii="Book Antiqua" w:hAnsi="Book Antiqua"/>
              </w:rPr>
              <w:t>Statement</w:t>
            </w:r>
          </w:p>
        </w:tc>
        <w:tc>
          <w:tcPr>
            <w:tcW w:w="1236" w:type="dxa"/>
            <w:tcBorders>
              <w:top w:val="single" w:sz="4" w:space="0" w:color="auto"/>
              <w:left w:val="nil"/>
              <w:bottom w:val="single" w:sz="4" w:space="0" w:color="auto"/>
              <w:right w:val="nil"/>
            </w:tcBorders>
            <w:hideMark/>
          </w:tcPr>
          <w:p w14:paraId="087B854F" w14:textId="77777777" w:rsidR="00526A4D" w:rsidRPr="00D12E59" w:rsidRDefault="00526A4D" w:rsidP="00526A4D">
            <w:pPr>
              <w:spacing w:after="0" w:line="240" w:lineRule="auto"/>
              <w:rPr>
                <w:rFonts w:ascii="Book Antiqua" w:hAnsi="Book Antiqua"/>
              </w:rPr>
            </w:pPr>
            <w:r w:rsidRPr="00D12E59">
              <w:rPr>
                <w:rFonts w:ascii="Book Antiqua" w:hAnsi="Book Antiqua"/>
              </w:rPr>
              <w:t>Agree</w:t>
            </w:r>
          </w:p>
        </w:tc>
        <w:tc>
          <w:tcPr>
            <w:tcW w:w="1236" w:type="dxa"/>
            <w:tcBorders>
              <w:top w:val="single" w:sz="4" w:space="0" w:color="auto"/>
              <w:left w:val="nil"/>
              <w:bottom w:val="single" w:sz="4" w:space="0" w:color="auto"/>
              <w:right w:val="nil"/>
            </w:tcBorders>
            <w:hideMark/>
          </w:tcPr>
          <w:p w14:paraId="05B5DD5B" w14:textId="77777777" w:rsidR="00526A4D" w:rsidRPr="00D12E59" w:rsidRDefault="00526A4D" w:rsidP="00526A4D">
            <w:pPr>
              <w:spacing w:after="0" w:line="240" w:lineRule="auto"/>
              <w:rPr>
                <w:rFonts w:ascii="Book Antiqua" w:hAnsi="Book Antiqua"/>
              </w:rPr>
            </w:pPr>
            <w:r w:rsidRPr="00D12E59">
              <w:rPr>
                <w:rFonts w:ascii="Book Antiqua" w:hAnsi="Book Antiqua"/>
              </w:rPr>
              <w:t>Not sure</w:t>
            </w:r>
          </w:p>
        </w:tc>
        <w:tc>
          <w:tcPr>
            <w:tcW w:w="1074" w:type="dxa"/>
            <w:tcBorders>
              <w:top w:val="single" w:sz="4" w:space="0" w:color="auto"/>
              <w:left w:val="nil"/>
              <w:bottom w:val="single" w:sz="4" w:space="0" w:color="auto"/>
              <w:right w:val="nil"/>
            </w:tcBorders>
            <w:hideMark/>
          </w:tcPr>
          <w:p w14:paraId="2CF99244" w14:textId="77777777" w:rsidR="00526A4D" w:rsidRPr="00D12E59" w:rsidRDefault="00526A4D" w:rsidP="00526A4D">
            <w:pPr>
              <w:spacing w:after="0" w:line="240" w:lineRule="auto"/>
              <w:rPr>
                <w:rFonts w:ascii="Book Antiqua" w:hAnsi="Book Antiqua"/>
              </w:rPr>
            </w:pPr>
            <w:r w:rsidRPr="00D12E59">
              <w:rPr>
                <w:rFonts w:ascii="Book Antiqua" w:hAnsi="Book Antiqua"/>
              </w:rPr>
              <w:t>Disagree</w:t>
            </w:r>
          </w:p>
        </w:tc>
      </w:tr>
      <w:tr w:rsidR="00526A4D" w:rsidRPr="00D12E59" w14:paraId="6B64E476" w14:textId="77777777" w:rsidTr="00526A4D">
        <w:tc>
          <w:tcPr>
            <w:tcW w:w="4518" w:type="dxa"/>
            <w:tcBorders>
              <w:top w:val="single" w:sz="4" w:space="0" w:color="auto"/>
              <w:left w:val="nil"/>
              <w:bottom w:val="nil"/>
              <w:right w:val="nil"/>
            </w:tcBorders>
            <w:hideMark/>
          </w:tcPr>
          <w:p w14:paraId="5859F091" w14:textId="77777777" w:rsidR="00526A4D" w:rsidRPr="00D12E59" w:rsidRDefault="00526A4D" w:rsidP="00526A4D">
            <w:pPr>
              <w:spacing w:after="0" w:line="240" w:lineRule="auto"/>
              <w:rPr>
                <w:rFonts w:ascii="Book Antiqua" w:hAnsi="Book Antiqua"/>
              </w:rPr>
            </w:pPr>
            <w:r w:rsidRPr="00D12E59">
              <w:rPr>
                <w:rFonts w:ascii="Book Antiqua" w:hAnsi="Book Antiqua"/>
              </w:rPr>
              <w:t>Proper hand washing before touching food</w:t>
            </w:r>
          </w:p>
        </w:tc>
        <w:tc>
          <w:tcPr>
            <w:tcW w:w="1236" w:type="dxa"/>
            <w:tcBorders>
              <w:top w:val="single" w:sz="4" w:space="0" w:color="auto"/>
              <w:left w:val="nil"/>
              <w:bottom w:val="nil"/>
              <w:right w:val="nil"/>
            </w:tcBorders>
            <w:hideMark/>
          </w:tcPr>
          <w:p w14:paraId="0D6EBF6C" w14:textId="77777777" w:rsidR="00526A4D" w:rsidRPr="00D12E59" w:rsidRDefault="00526A4D" w:rsidP="00526A4D">
            <w:pPr>
              <w:spacing w:after="0" w:line="240" w:lineRule="auto"/>
              <w:rPr>
                <w:rFonts w:ascii="Book Antiqua" w:hAnsi="Book Antiqua"/>
              </w:rPr>
            </w:pPr>
            <w:r w:rsidRPr="00D12E59">
              <w:rPr>
                <w:rFonts w:ascii="Book Antiqua" w:hAnsi="Book Antiqua"/>
              </w:rPr>
              <w:t>58(96.7%)</w:t>
            </w:r>
          </w:p>
        </w:tc>
        <w:tc>
          <w:tcPr>
            <w:tcW w:w="1236" w:type="dxa"/>
            <w:tcBorders>
              <w:top w:val="single" w:sz="4" w:space="0" w:color="auto"/>
              <w:left w:val="nil"/>
              <w:bottom w:val="nil"/>
              <w:right w:val="nil"/>
            </w:tcBorders>
            <w:hideMark/>
          </w:tcPr>
          <w:p w14:paraId="6CB2566B" w14:textId="77777777" w:rsidR="00526A4D" w:rsidRPr="00D12E59" w:rsidRDefault="00526A4D" w:rsidP="00526A4D">
            <w:pPr>
              <w:spacing w:after="0" w:line="240" w:lineRule="auto"/>
              <w:rPr>
                <w:rFonts w:ascii="Book Antiqua" w:hAnsi="Book Antiqua"/>
              </w:rPr>
            </w:pPr>
            <w:r w:rsidRPr="00D12E59">
              <w:rPr>
                <w:rFonts w:ascii="Book Antiqua" w:hAnsi="Book Antiqua"/>
              </w:rPr>
              <w:t>2(3.3%)</w:t>
            </w:r>
          </w:p>
        </w:tc>
        <w:tc>
          <w:tcPr>
            <w:tcW w:w="1074" w:type="dxa"/>
            <w:tcBorders>
              <w:top w:val="single" w:sz="4" w:space="0" w:color="auto"/>
              <w:left w:val="nil"/>
              <w:bottom w:val="nil"/>
              <w:right w:val="nil"/>
            </w:tcBorders>
            <w:hideMark/>
          </w:tcPr>
          <w:p w14:paraId="10AA2BF4" w14:textId="77777777" w:rsidR="00526A4D" w:rsidRPr="00D12E59" w:rsidRDefault="00526A4D" w:rsidP="00526A4D">
            <w:pPr>
              <w:spacing w:after="0" w:line="240" w:lineRule="auto"/>
              <w:rPr>
                <w:rFonts w:ascii="Book Antiqua" w:hAnsi="Book Antiqua"/>
              </w:rPr>
            </w:pPr>
            <w:r w:rsidRPr="00D12E59">
              <w:rPr>
                <w:rFonts w:ascii="Book Antiqua" w:hAnsi="Book Antiqua"/>
              </w:rPr>
              <w:t>0(0%)</w:t>
            </w:r>
          </w:p>
        </w:tc>
      </w:tr>
      <w:tr w:rsidR="00526A4D" w:rsidRPr="00D12E59" w14:paraId="7426B3D5" w14:textId="77777777" w:rsidTr="00526A4D">
        <w:tc>
          <w:tcPr>
            <w:tcW w:w="4518" w:type="dxa"/>
            <w:hideMark/>
          </w:tcPr>
          <w:p w14:paraId="189D853F" w14:textId="77777777" w:rsidR="00526A4D" w:rsidRPr="00D12E59" w:rsidRDefault="00526A4D" w:rsidP="00526A4D">
            <w:pPr>
              <w:spacing w:after="0" w:line="240" w:lineRule="auto"/>
              <w:rPr>
                <w:rFonts w:ascii="Book Antiqua" w:hAnsi="Book Antiqua"/>
              </w:rPr>
            </w:pPr>
            <w:r w:rsidRPr="00D12E59">
              <w:rPr>
                <w:rFonts w:ascii="Book Antiqua" w:hAnsi="Book Antiqua"/>
              </w:rPr>
              <w:t>Sterilizing of utensils before using</w:t>
            </w:r>
          </w:p>
        </w:tc>
        <w:tc>
          <w:tcPr>
            <w:tcW w:w="1236" w:type="dxa"/>
            <w:hideMark/>
          </w:tcPr>
          <w:p w14:paraId="6E0D7775" w14:textId="77777777" w:rsidR="00526A4D" w:rsidRPr="00D12E59" w:rsidRDefault="00526A4D" w:rsidP="00526A4D">
            <w:pPr>
              <w:spacing w:after="0" w:line="240" w:lineRule="auto"/>
              <w:rPr>
                <w:rFonts w:ascii="Book Antiqua" w:hAnsi="Book Antiqua"/>
              </w:rPr>
            </w:pPr>
            <w:r w:rsidRPr="00D12E59">
              <w:rPr>
                <w:rFonts w:ascii="Book Antiqua" w:hAnsi="Book Antiqua"/>
              </w:rPr>
              <w:t>56(93.3%)</w:t>
            </w:r>
          </w:p>
        </w:tc>
        <w:tc>
          <w:tcPr>
            <w:tcW w:w="1236" w:type="dxa"/>
            <w:hideMark/>
          </w:tcPr>
          <w:p w14:paraId="15ACBED7" w14:textId="77777777" w:rsidR="00526A4D" w:rsidRPr="00D12E59" w:rsidRDefault="00526A4D" w:rsidP="00526A4D">
            <w:pPr>
              <w:spacing w:after="0" w:line="240" w:lineRule="auto"/>
              <w:rPr>
                <w:rFonts w:ascii="Book Antiqua" w:hAnsi="Book Antiqua"/>
              </w:rPr>
            </w:pPr>
            <w:r w:rsidRPr="00D12E59">
              <w:rPr>
                <w:rFonts w:ascii="Book Antiqua" w:hAnsi="Book Antiqua"/>
              </w:rPr>
              <w:t>4(6.7%)</w:t>
            </w:r>
          </w:p>
        </w:tc>
        <w:tc>
          <w:tcPr>
            <w:tcW w:w="1074" w:type="dxa"/>
            <w:hideMark/>
          </w:tcPr>
          <w:p w14:paraId="1F21F0FC" w14:textId="77777777" w:rsidR="00526A4D" w:rsidRPr="00D12E59" w:rsidRDefault="00526A4D" w:rsidP="00526A4D">
            <w:pPr>
              <w:spacing w:after="0" w:line="240" w:lineRule="auto"/>
              <w:rPr>
                <w:rFonts w:ascii="Book Antiqua" w:hAnsi="Book Antiqua"/>
              </w:rPr>
            </w:pPr>
            <w:r w:rsidRPr="00D12E59">
              <w:rPr>
                <w:rFonts w:ascii="Book Antiqua" w:hAnsi="Book Antiqua"/>
              </w:rPr>
              <w:t>0(0%)</w:t>
            </w:r>
          </w:p>
        </w:tc>
      </w:tr>
      <w:tr w:rsidR="00526A4D" w:rsidRPr="00D12E59" w14:paraId="337BFED7" w14:textId="77777777" w:rsidTr="00526A4D">
        <w:tc>
          <w:tcPr>
            <w:tcW w:w="4518" w:type="dxa"/>
            <w:hideMark/>
          </w:tcPr>
          <w:p w14:paraId="0BCDECBE" w14:textId="77777777" w:rsidR="00526A4D" w:rsidRPr="00D12E59" w:rsidRDefault="00526A4D" w:rsidP="00526A4D">
            <w:pPr>
              <w:spacing w:after="0" w:line="240" w:lineRule="auto"/>
              <w:rPr>
                <w:rFonts w:ascii="Book Antiqua" w:hAnsi="Book Antiqua"/>
              </w:rPr>
            </w:pPr>
            <w:r w:rsidRPr="00D12E59">
              <w:rPr>
                <w:rFonts w:ascii="Book Antiqua" w:hAnsi="Book Antiqua"/>
              </w:rPr>
              <w:t>Cleaning and sanitizing knives, cutting board and wiping cloths</w:t>
            </w:r>
          </w:p>
        </w:tc>
        <w:tc>
          <w:tcPr>
            <w:tcW w:w="1236" w:type="dxa"/>
            <w:hideMark/>
          </w:tcPr>
          <w:p w14:paraId="75FFD9F6" w14:textId="77777777" w:rsidR="00526A4D" w:rsidRPr="00D12E59" w:rsidRDefault="00526A4D" w:rsidP="00526A4D">
            <w:pPr>
              <w:spacing w:after="0" w:line="240" w:lineRule="auto"/>
              <w:rPr>
                <w:rFonts w:ascii="Book Antiqua" w:hAnsi="Book Antiqua"/>
              </w:rPr>
            </w:pPr>
            <w:r w:rsidRPr="00D12E59">
              <w:rPr>
                <w:rFonts w:ascii="Book Antiqua" w:hAnsi="Book Antiqua"/>
              </w:rPr>
              <w:t>53(88.3%)</w:t>
            </w:r>
          </w:p>
        </w:tc>
        <w:tc>
          <w:tcPr>
            <w:tcW w:w="1236" w:type="dxa"/>
            <w:hideMark/>
          </w:tcPr>
          <w:p w14:paraId="7359A142" w14:textId="77777777" w:rsidR="00526A4D" w:rsidRPr="00D12E59" w:rsidRDefault="00526A4D" w:rsidP="00526A4D">
            <w:pPr>
              <w:spacing w:after="0" w:line="240" w:lineRule="auto"/>
              <w:rPr>
                <w:rFonts w:ascii="Book Antiqua" w:hAnsi="Book Antiqua"/>
              </w:rPr>
            </w:pPr>
            <w:r w:rsidRPr="00D12E59">
              <w:rPr>
                <w:rFonts w:ascii="Book Antiqua" w:hAnsi="Book Antiqua"/>
              </w:rPr>
              <w:t>5(8.3%)</w:t>
            </w:r>
          </w:p>
        </w:tc>
        <w:tc>
          <w:tcPr>
            <w:tcW w:w="1074" w:type="dxa"/>
            <w:hideMark/>
          </w:tcPr>
          <w:p w14:paraId="508C5A96" w14:textId="77777777" w:rsidR="00526A4D" w:rsidRPr="00D12E59" w:rsidRDefault="00526A4D" w:rsidP="00526A4D">
            <w:pPr>
              <w:spacing w:after="0" w:line="240" w:lineRule="auto"/>
              <w:rPr>
                <w:rFonts w:ascii="Book Antiqua" w:hAnsi="Book Antiqua"/>
              </w:rPr>
            </w:pPr>
            <w:r w:rsidRPr="00D12E59">
              <w:rPr>
                <w:rFonts w:ascii="Book Antiqua" w:hAnsi="Book Antiqua"/>
              </w:rPr>
              <w:t>2(3.3%)</w:t>
            </w:r>
          </w:p>
        </w:tc>
      </w:tr>
      <w:tr w:rsidR="00526A4D" w:rsidRPr="00D12E59" w14:paraId="36A81B0E" w14:textId="77777777" w:rsidTr="00526A4D">
        <w:tc>
          <w:tcPr>
            <w:tcW w:w="4518" w:type="dxa"/>
            <w:hideMark/>
          </w:tcPr>
          <w:p w14:paraId="36EC497C" w14:textId="77777777" w:rsidR="00526A4D" w:rsidRPr="00D12E59" w:rsidRDefault="00526A4D" w:rsidP="00526A4D">
            <w:pPr>
              <w:spacing w:after="0" w:line="240" w:lineRule="auto"/>
              <w:rPr>
                <w:rFonts w:ascii="Book Antiqua" w:hAnsi="Book Antiqua"/>
              </w:rPr>
            </w:pPr>
            <w:r w:rsidRPr="00D12E59">
              <w:rPr>
                <w:rFonts w:ascii="Book Antiqua" w:hAnsi="Book Antiqua"/>
              </w:rPr>
              <w:t>Cleaning and sanitizing shelving units for equipments and utensils after each use</w:t>
            </w:r>
          </w:p>
        </w:tc>
        <w:tc>
          <w:tcPr>
            <w:tcW w:w="1236" w:type="dxa"/>
            <w:hideMark/>
          </w:tcPr>
          <w:p w14:paraId="21CBE98C" w14:textId="77777777" w:rsidR="00526A4D" w:rsidRPr="00D12E59" w:rsidRDefault="00526A4D" w:rsidP="00526A4D">
            <w:pPr>
              <w:spacing w:after="0" w:line="240" w:lineRule="auto"/>
              <w:rPr>
                <w:rFonts w:ascii="Book Antiqua" w:hAnsi="Book Antiqua"/>
              </w:rPr>
            </w:pPr>
            <w:r w:rsidRPr="00D12E59">
              <w:rPr>
                <w:rFonts w:ascii="Book Antiqua" w:hAnsi="Book Antiqua"/>
              </w:rPr>
              <w:t>47(78.3%)</w:t>
            </w:r>
          </w:p>
        </w:tc>
        <w:tc>
          <w:tcPr>
            <w:tcW w:w="1236" w:type="dxa"/>
            <w:hideMark/>
          </w:tcPr>
          <w:p w14:paraId="26CB6EFC" w14:textId="77777777" w:rsidR="00526A4D" w:rsidRPr="00D12E59" w:rsidRDefault="00526A4D" w:rsidP="00526A4D">
            <w:pPr>
              <w:spacing w:after="0" w:line="240" w:lineRule="auto"/>
              <w:rPr>
                <w:rFonts w:ascii="Book Antiqua" w:hAnsi="Book Antiqua"/>
              </w:rPr>
            </w:pPr>
            <w:r w:rsidRPr="00D12E59">
              <w:rPr>
                <w:rFonts w:ascii="Book Antiqua" w:hAnsi="Book Antiqua"/>
              </w:rPr>
              <w:t>11(18.3%)</w:t>
            </w:r>
          </w:p>
        </w:tc>
        <w:tc>
          <w:tcPr>
            <w:tcW w:w="1074" w:type="dxa"/>
            <w:hideMark/>
          </w:tcPr>
          <w:p w14:paraId="656D8C31" w14:textId="77777777" w:rsidR="00526A4D" w:rsidRPr="00D12E59" w:rsidRDefault="00526A4D" w:rsidP="00526A4D">
            <w:pPr>
              <w:spacing w:after="0" w:line="240" w:lineRule="auto"/>
              <w:rPr>
                <w:rFonts w:ascii="Book Antiqua" w:hAnsi="Book Antiqua"/>
              </w:rPr>
            </w:pPr>
            <w:r w:rsidRPr="00D12E59">
              <w:rPr>
                <w:rFonts w:ascii="Book Antiqua" w:hAnsi="Book Antiqua"/>
              </w:rPr>
              <w:t>2(3.3%)</w:t>
            </w:r>
          </w:p>
        </w:tc>
      </w:tr>
      <w:tr w:rsidR="00526A4D" w:rsidRPr="00D12E59" w14:paraId="69EDCE3C" w14:textId="77777777" w:rsidTr="00526A4D">
        <w:tc>
          <w:tcPr>
            <w:tcW w:w="4518" w:type="dxa"/>
          </w:tcPr>
          <w:p w14:paraId="6A22A719" w14:textId="77777777" w:rsidR="00526A4D" w:rsidRPr="00D12E59" w:rsidRDefault="00526A4D" w:rsidP="00526A4D">
            <w:pPr>
              <w:spacing w:after="0" w:line="240" w:lineRule="auto"/>
              <w:rPr>
                <w:rFonts w:ascii="Book Antiqua" w:hAnsi="Book Antiqua"/>
              </w:rPr>
            </w:pPr>
            <w:r w:rsidRPr="00D12E59">
              <w:rPr>
                <w:rFonts w:ascii="Book Antiqua" w:hAnsi="Book Antiqua"/>
              </w:rPr>
              <w:t>Preventing cross contamination of food (from cutting board, gloves and knives)</w:t>
            </w:r>
          </w:p>
        </w:tc>
        <w:tc>
          <w:tcPr>
            <w:tcW w:w="1236" w:type="dxa"/>
            <w:hideMark/>
          </w:tcPr>
          <w:p w14:paraId="4E716111" w14:textId="77777777" w:rsidR="00526A4D" w:rsidRPr="00D12E59" w:rsidRDefault="00526A4D" w:rsidP="00526A4D">
            <w:pPr>
              <w:spacing w:after="0" w:line="240" w:lineRule="auto"/>
              <w:rPr>
                <w:rFonts w:ascii="Book Antiqua" w:hAnsi="Book Antiqua"/>
              </w:rPr>
            </w:pPr>
            <w:r w:rsidRPr="00D12E59">
              <w:rPr>
                <w:rFonts w:ascii="Book Antiqua" w:hAnsi="Book Antiqua"/>
              </w:rPr>
              <w:t>46(76.7%)</w:t>
            </w:r>
          </w:p>
        </w:tc>
        <w:tc>
          <w:tcPr>
            <w:tcW w:w="1236" w:type="dxa"/>
            <w:hideMark/>
          </w:tcPr>
          <w:p w14:paraId="6EA5B419" w14:textId="77777777" w:rsidR="00526A4D" w:rsidRPr="00D12E59" w:rsidRDefault="00526A4D" w:rsidP="00526A4D">
            <w:pPr>
              <w:spacing w:after="0" w:line="240" w:lineRule="auto"/>
              <w:rPr>
                <w:rFonts w:ascii="Book Antiqua" w:hAnsi="Book Antiqua"/>
              </w:rPr>
            </w:pPr>
            <w:r w:rsidRPr="00D12E59">
              <w:rPr>
                <w:rFonts w:ascii="Book Antiqua" w:hAnsi="Book Antiqua"/>
              </w:rPr>
              <w:t>10(16.7%)</w:t>
            </w:r>
          </w:p>
        </w:tc>
        <w:tc>
          <w:tcPr>
            <w:tcW w:w="1074" w:type="dxa"/>
            <w:hideMark/>
          </w:tcPr>
          <w:p w14:paraId="65FB04A3" w14:textId="77777777" w:rsidR="00526A4D" w:rsidRPr="00D12E59" w:rsidRDefault="00526A4D" w:rsidP="00526A4D">
            <w:pPr>
              <w:spacing w:after="0" w:line="240" w:lineRule="auto"/>
              <w:rPr>
                <w:rFonts w:ascii="Book Antiqua" w:hAnsi="Book Antiqua"/>
              </w:rPr>
            </w:pPr>
            <w:r w:rsidRPr="00D12E59">
              <w:rPr>
                <w:rFonts w:ascii="Book Antiqua" w:hAnsi="Book Antiqua"/>
              </w:rPr>
              <w:t>4(6.7%)</w:t>
            </w:r>
          </w:p>
        </w:tc>
      </w:tr>
      <w:tr w:rsidR="00526A4D" w:rsidRPr="00D12E59" w14:paraId="1B975104" w14:textId="77777777" w:rsidTr="00526A4D">
        <w:tc>
          <w:tcPr>
            <w:tcW w:w="4518" w:type="dxa"/>
            <w:hideMark/>
          </w:tcPr>
          <w:p w14:paraId="630DB8A6" w14:textId="77777777" w:rsidR="00526A4D" w:rsidRPr="00D12E59" w:rsidRDefault="00526A4D" w:rsidP="00526A4D">
            <w:pPr>
              <w:spacing w:after="0" w:line="240" w:lineRule="auto"/>
              <w:rPr>
                <w:rFonts w:ascii="Book Antiqua" w:hAnsi="Book Antiqua"/>
              </w:rPr>
            </w:pPr>
            <w:r w:rsidRPr="00D12E59">
              <w:rPr>
                <w:rFonts w:ascii="Book Antiqua" w:hAnsi="Book Antiqua"/>
              </w:rPr>
              <w:t>Preventing cross contamination of ready to eat foods from raw food.</w:t>
            </w:r>
          </w:p>
        </w:tc>
        <w:tc>
          <w:tcPr>
            <w:tcW w:w="1236" w:type="dxa"/>
            <w:hideMark/>
          </w:tcPr>
          <w:p w14:paraId="2071A4E1" w14:textId="77777777" w:rsidR="00526A4D" w:rsidRPr="00D12E59" w:rsidRDefault="00526A4D" w:rsidP="00526A4D">
            <w:pPr>
              <w:spacing w:after="0" w:line="240" w:lineRule="auto"/>
              <w:rPr>
                <w:rFonts w:ascii="Book Antiqua" w:hAnsi="Book Antiqua"/>
              </w:rPr>
            </w:pPr>
            <w:r w:rsidRPr="00D12E59">
              <w:rPr>
                <w:rFonts w:ascii="Book Antiqua" w:hAnsi="Book Antiqua"/>
              </w:rPr>
              <w:t>54(90.0%)</w:t>
            </w:r>
          </w:p>
        </w:tc>
        <w:tc>
          <w:tcPr>
            <w:tcW w:w="1236" w:type="dxa"/>
            <w:hideMark/>
          </w:tcPr>
          <w:p w14:paraId="42CF06C8" w14:textId="77777777" w:rsidR="00526A4D" w:rsidRPr="00D12E59" w:rsidRDefault="00526A4D" w:rsidP="00526A4D">
            <w:pPr>
              <w:spacing w:after="0" w:line="240" w:lineRule="auto"/>
              <w:rPr>
                <w:rFonts w:ascii="Book Antiqua" w:hAnsi="Book Antiqua"/>
              </w:rPr>
            </w:pPr>
            <w:r w:rsidRPr="00D12E59">
              <w:rPr>
                <w:rFonts w:ascii="Book Antiqua" w:hAnsi="Book Antiqua"/>
              </w:rPr>
              <w:t>5(833%)</w:t>
            </w:r>
          </w:p>
        </w:tc>
        <w:tc>
          <w:tcPr>
            <w:tcW w:w="1074" w:type="dxa"/>
            <w:hideMark/>
          </w:tcPr>
          <w:p w14:paraId="1B440598" w14:textId="77777777" w:rsidR="00526A4D" w:rsidRPr="00D12E59" w:rsidRDefault="00526A4D" w:rsidP="00526A4D">
            <w:pPr>
              <w:spacing w:after="0" w:line="240" w:lineRule="auto"/>
              <w:rPr>
                <w:rFonts w:ascii="Book Antiqua" w:hAnsi="Book Antiqua"/>
              </w:rPr>
            </w:pPr>
            <w:r w:rsidRPr="00D12E59">
              <w:rPr>
                <w:rFonts w:ascii="Book Antiqua" w:hAnsi="Book Antiqua"/>
              </w:rPr>
              <w:t>1(1.7%)</w:t>
            </w:r>
          </w:p>
        </w:tc>
      </w:tr>
      <w:tr w:rsidR="00526A4D" w:rsidRPr="00D12E59" w14:paraId="3D5C4F27" w14:textId="77777777" w:rsidTr="00526A4D">
        <w:tc>
          <w:tcPr>
            <w:tcW w:w="4518" w:type="dxa"/>
            <w:hideMark/>
          </w:tcPr>
          <w:p w14:paraId="170BD428" w14:textId="77777777" w:rsidR="00526A4D" w:rsidRPr="00D12E59" w:rsidRDefault="00526A4D" w:rsidP="00526A4D">
            <w:pPr>
              <w:spacing w:after="0" w:line="240" w:lineRule="auto"/>
              <w:rPr>
                <w:rFonts w:ascii="Book Antiqua" w:hAnsi="Book Antiqua"/>
              </w:rPr>
            </w:pPr>
            <w:r w:rsidRPr="00D12E59">
              <w:rPr>
                <w:rFonts w:ascii="Book Antiqua" w:hAnsi="Book Antiqua"/>
              </w:rPr>
              <w:t>Preventing cross contamination of foods picked from the floor</w:t>
            </w:r>
          </w:p>
        </w:tc>
        <w:tc>
          <w:tcPr>
            <w:tcW w:w="1236" w:type="dxa"/>
            <w:hideMark/>
          </w:tcPr>
          <w:p w14:paraId="3BD6C3DF" w14:textId="77777777" w:rsidR="00526A4D" w:rsidRPr="00D12E59" w:rsidRDefault="00526A4D" w:rsidP="00526A4D">
            <w:pPr>
              <w:spacing w:after="0" w:line="240" w:lineRule="auto"/>
              <w:rPr>
                <w:rFonts w:ascii="Book Antiqua" w:hAnsi="Book Antiqua"/>
              </w:rPr>
            </w:pPr>
            <w:r w:rsidRPr="00D12E59">
              <w:rPr>
                <w:rFonts w:ascii="Book Antiqua" w:hAnsi="Book Antiqua"/>
              </w:rPr>
              <w:t>49(81.7%)</w:t>
            </w:r>
          </w:p>
        </w:tc>
        <w:tc>
          <w:tcPr>
            <w:tcW w:w="1236" w:type="dxa"/>
            <w:hideMark/>
          </w:tcPr>
          <w:p w14:paraId="39250479" w14:textId="77777777" w:rsidR="00526A4D" w:rsidRPr="00D12E59" w:rsidRDefault="00526A4D" w:rsidP="00526A4D">
            <w:pPr>
              <w:spacing w:after="0" w:line="240" w:lineRule="auto"/>
              <w:rPr>
                <w:rFonts w:ascii="Book Antiqua" w:hAnsi="Book Antiqua"/>
              </w:rPr>
            </w:pPr>
            <w:r w:rsidRPr="00D12E59">
              <w:rPr>
                <w:rFonts w:ascii="Book Antiqua" w:hAnsi="Book Antiqua"/>
              </w:rPr>
              <w:t>7(11.7%)</w:t>
            </w:r>
          </w:p>
        </w:tc>
        <w:tc>
          <w:tcPr>
            <w:tcW w:w="1074" w:type="dxa"/>
            <w:hideMark/>
          </w:tcPr>
          <w:p w14:paraId="5C297437" w14:textId="77777777" w:rsidR="00526A4D" w:rsidRPr="00D12E59" w:rsidRDefault="00526A4D" w:rsidP="00526A4D">
            <w:pPr>
              <w:spacing w:after="0" w:line="240" w:lineRule="auto"/>
              <w:rPr>
                <w:rFonts w:ascii="Book Antiqua" w:hAnsi="Book Antiqua"/>
              </w:rPr>
            </w:pPr>
            <w:r w:rsidRPr="00D12E59">
              <w:rPr>
                <w:rFonts w:ascii="Book Antiqua" w:hAnsi="Book Antiqua"/>
              </w:rPr>
              <w:t>4(6.7%)</w:t>
            </w:r>
          </w:p>
        </w:tc>
      </w:tr>
      <w:tr w:rsidR="00526A4D" w:rsidRPr="00D12E59" w14:paraId="597EBC05" w14:textId="77777777" w:rsidTr="00526A4D">
        <w:tc>
          <w:tcPr>
            <w:tcW w:w="4518" w:type="dxa"/>
            <w:hideMark/>
          </w:tcPr>
          <w:p w14:paraId="19555799" w14:textId="77777777" w:rsidR="00526A4D" w:rsidRPr="00D12E59" w:rsidRDefault="00526A4D" w:rsidP="00526A4D">
            <w:pPr>
              <w:spacing w:after="0" w:line="240" w:lineRule="auto"/>
              <w:rPr>
                <w:rFonts w:ascii="Book Antiqua" w:hAnsi="Book Antiqua"/>
              </w:rPr>
            </w:pPr>
            <w:r w:rsidRPr="00D12E59">
              <w:rPr>
                <w:rFonts w:ascii="Book Antiqua" w:hAnsi="Book Antiqua"/>
              </w:rPr>
              <w:t>Keeping organized freezer refrigerator clean</w:t>
            </w:r>
          </w:p>
        </w:tc>
        <w:tc>
          <w:tcPr>
            <w:tcW w:w="1236" w:type="dxa"/>
            <w:hideMark/>
          </w:tcPr>
          <w:p w14:paraId="7A0E468B" w14:textId="77777777" w:rsidR="00526A4D" w:rsidRPr="00D12E59" w:rsidRDefault="00526A4D" w:rsidP="00526A4D">
            <w:pPr>
              <w:spacing w:after="0" w:line="240" w:lineRule="auto"/>
              <w:rPr>
                <w:rFonts w:ascii="Book Antiqua" w:hAnsi="Book Antiqua"/>
              </w:rPr>
            </w:pPr>
            <w:r w:rsidRPr="00D12E59">
              <w:rPr>
                <w:rFonts w:ascii="Book Antiqua" w:hAnsi="Book Antiqua"/>
              </w:rPr>
              <w:t>49(81.7%)</w:t>
            </w:r>
          </w:p>
        </w:tc>
        <w:tc>
          <w:tcPr>
            <w:tcW w:w="1236" w:type="dxa"/>
            <w:hideMark/>
          </w:tcPr>
          <w:p w14:paraId="10B54B05" w14:textId="77777777" w:rsidR="00526A4D" w:rsidRPr="00D12E59" w:rsidRDefault="00526A4D" w:rsidP="00526A4D">
            <w:pPr>
              <w:spacing w:after="0" w:line="240" w:lineRule="auto"/>
              <w:rPr>
                <w:rFonts w:ascii="Book Antiqua" w:hAnsi="Book Antiqua"/>
              </w:rPr>
            </w:pPr>
            <w:r w:rsidRPr="00D12E59">
              <w:rPr>
                <w:rFonts w:ascii="Book Antiqua" w:hAnsi="Book Antiqua"/>
              </w:rPr>
              <w:t>9(15.0%)</w:t>
            </w:r>
          </w:p>
        </w:tc>
        <w:tc>
          <w:tcPr>
            <w:tcW w:w="1074" w:type="dxa"/>
            <w:hideMark/>
          </w:tcPr>
          <w:p w14:paraId="160BB07F" w14:textId="77777777" w:rsidR="00526A4D" w:rsidRPr="00D12E59" w:rsidRDefault="00526A4D" w:rsidP="00526A4D">
            <w:pPr>
              <w:spacing w:after="0" w:line="240" w:lineRule="auto"/>
              <w:rPr>
                <w:rFonts w:ascii="Book Antiqua" w:hAnsi="Book Antiqua"/>
              </w:rPr>
            </w:pPr>
            <w:r w:rsidRPr="00D12E59">
              <w:rPr>
                <w:rFonts w:ascii="Book Antiqua" w:hAnsi="Book Antiqua"/>
              </w:rPr>
              <w:t>2(3.3%)</w:t>
            </w:r>
          </w:p>
        </w:tc>
      </w:tr>
      <w:tr w:rsidR="00526A4D" w:rsidRPr="00D12E59" w14:paraId="3DF21719" w14:textId="77777777" w:rsidTr="00526A4D">
        <w:tc>
          <w:tcPr>
            <w:tcW w:w="4518" w:type="dxa"/>
            <w:tcBorders>
              <w:top w:val="nil"/>
              <w:left w:val="nil"/>
              <w:bottom w:val="single" w:sz="4" w:space="0" w:color="auto"/>
              <w:right w:val="nil"/>
            </w:tcBorders>
            <w:hideMark/>
          </w:tcPr>
          <w:p w14:paraId="6DFFFB62" w14:textId="77777777" w:rsidR="00526A4D" w:rsidRPr="00D12E59" w:rsidRDefault="00526A4D" w:rsidP="00526A4D">
            <w:pPr>
              <w:spacing w:after="0" w:line="240" w:lineRule="auto"/>
              <w:rPr>
                <w:rFonts w:ascii="Book Antiqua" w:hAnsi="Book Antiqua"/>
              </w:rPr>
            </w:pPr>
            <w:r w:rsidRPr="00D12E59">
              <w:rPr>
                <w:rFonts w:ascii="Book Antiqua" w:hAnsi="Book Antiqua"/>
              </w:rPr>
              <w:t>Maintaining proper refrigerator below 5 degrees</w:t>
            </w:r>
          </w:p>
          <w:p w14:paraId="105BCA34" w14:textId="77777777" w:rsidR="00526A4D" w:rsidRPr="00D12E59" w:rsidRDefault="00526A4D" w:rsidP="00526A4D">
            <w:pPr>
              <w:spacing w:after="0" w:line="240" w:lineRule="auto"/>
              <w:rPr>
                <w:rFonts w:ascii="Book Antiqua" w:hAnsi="Book Antiqua"/>
              </w:rPr>
            </w:pPr>
            <w:r w:rsidRPr="00D12E59">
              <w:rPr>
                <w:rFonts w:ascii="Book Antiqua" w:hAnsi="Book Antiqua"/>
              </w:rPr>
              <w:t xml:space="preserve">Storing chemicals away from </w:t>
            </w:r>
          </w:p>
          <w:p w14:paraId="2C68DA13" w14:textId="77777777" w:rsidR="00526A4D" w:rsidRPr="00D12E59" w:rsidRDefault="00526A4D" w:rsidP="00526A4D">
            <w:pPr>
              <w:spacing w:after="0" w:line="240" w:lineRule="auto"/>
              <w:rPr>
                <w:rFonts w:ascii="Book Antiqua" w:hAnsi="Book Antiqua"/>
              </w:rPr>
            </w:pPr>
            <w:r w:rsidRPr="00D12E59">
              <w:rPr>
                <w:rFonts w:ascii="Book Antiqua" w:hAnsi="Book Antiqua"/>
              </w:rPr>
              <w:t xml:space="preserve">foods and food related supplies                    </w:t>
            </w:r>
          </w:p>
          <w:p w14:paraId="4D82D2AF" w14:textId="77777777" w:rsidR="00526A4D" w:rsidRPr="00D12E59" w:rsidRDefault="00526A4D" w:rsidP="00526A4D">
            <w:pPr>
              <w:spacing w:after="0" w:line="240" w:lineRule="auto"/>
              <w:rPr>
                <w:rFonts w:ascii="Book Antiqua" w:hAnsi="Book Antiqua"/>
              </w:rPr>
            </w:pPr>
            <w:r w:rsidRPr="00D12E59">
              <w:rPr>
                <w:rFonts w:ascii="Book Antiqua" w:hAnsi="Book Antiqua"/>
              </w:rPr>
              <w:t xml:space="preserve">Not handling of ready to eat food with bare hands                      </w:t>
            </w:r>
          </w:p>
        </w:tc>
        <w:tc>
          <w:tcPr>
            <w:tcW w:w="1236" w:type="dxa"/>
            <w:tcBorders>
              <w:top w:val="nil"/>
              <w:left w:val="nil"/>
              <w:bottom w:val="single" w:sz="4" w:space="0" w:color="auto"/>
              <w:right w:val="nil"/>
            </w:tcBorders>
            <w:hideMark/>
          </w:tcPr>
          <w:p w14:paraId="2ED95DDD" w14:textId="77777777" w:rsidR="00526A4D" w:rsidRPr="00D12E59" w:rsidRDefault="00526A4D" w:rsidP="00526A4D">
            <w:pPr>
              <w:spacing w:after="0" w:line="240" w:lineRule="auto"/>
              <w:rPr>
                <w:rFonts w:ascii="Book Antiqua" w:hAnsi="Book Antiqua"/>
              </w:rPr>
            </w:pPr>
            <w:r w:rsidRPr="00D12E59">
              <w:rPr>
                <w:rFonts w:ascii="Book Antiqua" w:hAnsi="Book Antiqua"/>
              </w:rPr>
              <w:t>42(70.0%)</w:t>
            </w:r>
          </w:p>
          <w:p w14:paraId="63F2BC67" w14:textId="77777777" w:rsidR="00526A4D" w:rsidRPr="00D12E59" w:rsidRDefault="00526A4D" w:rsidP="00526A4D">
            <w:pPr>
              <w:spacing w:after="0" w:line="240" w:lineRule="auto"/>
              <w:rPr>
                <w:rFonts w:ascii="Book Antiqua" w:hAnsi="Book Antiqua"/>
              </w:rPr>
            </w:pPr>
          </w:p>
          <w:p w14:paraId="7232A271" w14:textId="77777777" w:rsidR="00526A4D" w:rsidRPr="00D12E59" w:rsidRDefault="00526A4D" w:rsidP="00526A4D">
            <w:pPr>
              <w:spacing w:after="0" w:line="240" w:lineRule="auto"/>
              <w:rPr>
                <w:rFonts w:ascii="Book Antiqua" w:hAnsi="Book Antiqua"/>
              </w:rPr>
            </w:pPr>
            <w:r w:rsidRPr="00D12E59">
              <w:rPr>
                <w:rFonts w:ascii="Book Antiqua" w:hAnsi="Book Antiqua"/>
              </w:rPr>
              <w:t>50(83.3%)</w:t>
            </w:r>
          </w:p>
          <w:p w14:paraId="1B8EBFE4" w14:textId="77777777" w:rsidR="00526A4D" w:rsidRPr="00D12E59" w:rsidRDefault="00526A4D" w:rsidP="00526A4D">
            <w:pPr>
              <w:spacing w:after="0" w:line="240" w:lineRule="auto"/>
              <w:rPr>
                <w:rFonts w:ascii="Book Antiqua" w:hAnsi="Book Antiqua"/>
              </w:rPr>
            </w:pPr>
            <w:r w:rsidRPr="00D12E59">
              <w:rPr>
                <w:rFonts w:ascii="Book Antiqua" w:hAnsi="Book Antiqua"/>
              </w:rPr>
              <w:t xml:space="preserve">                       </w:t>
            </w:r>
          </w:p>
          <w:p w14:paraId="4E64449A" w14:textId="77777777" w:rsidR="00526A4D" w:rsidRPr="00D12E59" w:rsidRDefault="00526A4D" w:rsidP="00526A4D">
            <w:pPr>
              <w:spacing w:after="0" w:line="240" w:lineRule="auto"/>
              <w:rPr>
                <w:rFonts w:ascii="Book Antiqua" w:hAnsi="Book Antiqua"/>
              </w:rPr>
            </w:pPr>
            <w:r w:rsidRPr="00D12E59">
              <w:rPr>
                <w:rFonts w:ascii="Book Antiqua" w:hAnsi="Book Antiqua"/>
              </w:rPr>
              <w:t xml:space="preserve">42(70.0%)                             </w:t>
            </w:r>
          </w:p>
        </w:tc>
        <w:tc>
          <w:tcPr>
            <w:tcW w:w="1236" w:type="dxa"/>
            <w:tcBorders>
              <w:top w:val="nil"/>
              <w:left w:val="nil"/>
              <w:bottom w:val="single" w:sz="4" w:space="0" w:color="auto"/>
              <w:right w:val="nil"/>
            </w:tcBorders>
            <w:hideMark/>
          </w:tcPr>
          <w:p w14:paraId="77A89950" w14:textId="77777777" w:rsidR="00526A4D" w:rsidRPr="00D12E59" w:rsidRDefault="00526A4D" w:rsidP="00526A4D">
            <w:pPr>
              <w:spacing w:after="0" w:line="240" w:lineRule="auto"/>
              <w:rPr>
                <w:rFonts w:ascii="Book Antiqua" w:hAnsi="Book Antiqua"/>
              </w:rPr>
            </w:pPr>
            <w:r w:rsidRPr="00D12E59">
              <w:rPr>
                <w:rFonts w:ascii="Book Antiqua" w:hAnsi="Book Antiqua"/>
              </w:rPr>
              <w:t>15(25.0%)</w:t>
            </w:r>
          </w:p>
          <w:p w14:paraId="1A0E9C4F" w14:textId="77777777" w:rsidR="00526A4D" w:rsidRPr="00D12E59" w:rsidRDefault="00526A4D" w:rsidP="00526A4D">
            <w:pPr>
              <w:spacing w:after="0" w:line="240" w:lineRule="auto"/>
              <w:rPr>
                <w:rFonts w:ascii="Book Antiqua" w:hAnsi="Book Antiqua"/>
              </w:rPr>
            </w:pPr>
          </w:p>
          <w:p w14:paraId="3D8F3B1F" w14:textId="77777777" w:rsidR="00526A4D" w:rsidRPr="00D12E59" w:rsidRDefault="00526A4D" w:rsidP="00526A4D">
            <w:pPr>
              <w:spacing w:after="0" w:line="240" w:lineRule="auto"/>
              <w:rPr>
                <w:rFonts w:ascii="Book Antiqua" w:hAnsi="Book Antiqua"/>
              </w:rPr>
            </w:pPr>
            <w:r w:rsidRPr="00D12E59">
              <w:rPr>
                <w:rFonts w:ascii="Book Antiqua" w:hAnsi="Book Antiqua"/>
              </w:rPr>
              <w:t xml:space="preserve">17(28.3%)            </w:t>
            </w:r>
          </w:p>
          <w:p w14:paraId="3ADBE57C" w14:textId="77777777" w:rsidR="00526A4D" w:rsidRPr="00D12E59" w:rsidRDefault="00526A4D" w:rsidP="00526A4D">
            <w:pPr>
              <w:spacing w:after="0" w:line="240" w:lineRule="auto"/>
              <w:rPr>
                <w:rFonts w:ascii="Book Antiqua" w:hAnsi="Book Antiqua"/>
              </w:rPr>
            </w:pPr>
          </w:p>
          <w:p w14:paraId="20FF9BFE" w14:textId="77777777" w:rsidR="00526A4D" w:rsidRPr="00D12E59" w:rsidRDefault="00526A4D" w:rsidP="00526A4D">
            <w:pPr>
              <w:spacing w:after="0" w:line="240" w:lineRule="auto"/>
              <w:rPr>
                <w:rFonts w:ascii="Book Antiqua" w:hAnsi="Book Antiqua"/>
              </w:rPr>
            </w:pPr>
            <w:r w:rsidRPr="00D12E59">
              <w:rPr>
                <w:rFonts w:ascii="Book Antiqua" w:hAnsi="Book Antiqua"/>
              </w:rPr>
              <w:t xml:space="preserve">17(28.3%)          </w:t>
            </w:r>
          </w:p>
        </w:tc>
        <w:tc>
          <w:tcPr>
            <w:tcW w:w="1074" w:type="dxa"/>
            <w:tcBorders>
              <w:top w:val="nil"/>
              <w:left w:val="nil"/>
              <w:bottom w:val="single" w:sz="4" w:space="0" w:color="auto"/>
              <w:right w:val="nil"/>
            </w:tcBorders>
            <w:hideMark/>
          </w:tcPr>
          <w:p w14:paraId="09101FDE" w14:textId="77777777" w:rsidR="00526A4D" w:rsidRPr="00D12E59" w:rsidRDefault="00526A4D" w:rsidP="00526A4D">
            <w:pPr>
              <w:spacing w:after="0" w:line="240" w:lineRule="auto"/>
              <w:rPr>
                <w:rFonts w:ascii="Book Antiqua" w:hAnsi="Book Antiqua"/>
              </w:rPr>
            </w:pPr>
            <w:r w:rsidRPr="00D12E59">
              <w:rPr>
                <w:rFonts w:ascii="Book Antiqua" w:hAnsi="Book Antiqua"/>
              </w:rPr>
              <w:t>3(5.0%)</w:t>
            </w:r>
          </w:p>
          <w:p w14:paraId="4AA32ACA" w14:textId="77777777" w:rsidR="00526A4D" w:rsidRPr="00D12E59" w:rsidRDefault="00526A4D" w:rsidP="00526A4D">
            <w:pPr>
              <w:spacing w:after="0" w:line="240" w:lineRule="auto"/>
              <w:rPr>
                <w:rFonts w:ascii="Book Antiqua" w:hAnsi="Book Antiqua"/>
              </w:rPr>
            </w:pPr>
          </w:p>
          <w:p w14:paraId="70AD687D" w14:textId="77777777" w:rsidR="00526A4D" w:rsidRPr="00D12E59" w:rsidRDefault="00526A4D" w:rsidP="00526A4D">
            <w:pPr>
              <w:spacing w:after="0" w:line="240" w:lineRule="auto"/>
              <w:rPr>
                <w:rFonts w:ascii="Book Antiqua" w:hAnsi="Book Antiqua"/>
              </w:rPr>
            </w:pPr>
            <w:r w:rsidRPr="00D12E59">
              <w:rPr>
                <w:rFonts w:ascii="Book Antiqua" w:hAnsi="Book Antiqua"/>
              </w:rPr>
              <w:t>1(1.7%)</w:t>
            </w:r>
          </w:p>
          <w:p w14:paraId="478E6CD6" w14:textId="77777777" w:rsidR="00526A4D" w:rsidRPr="00D12E59" w:rsidRDefault="00526A4D" w:rsidP="00526A4D">
            <w:pPr>
              <w:spacing w:after="0" w:line="240" w:lineRule="auto"/>
              <w:rPr>
                <w:rFonts w:ascii="Book Antiqua" w:hAnsi="Book Antiqua"/>
              </w:rPr>
            </w:pPr>
            <w:r w:rsidRPr="00D12E59">
              <w:rPr>
                <w:rFonts w:ascii="Book Antiqua" w:hAnsi="Book Antiqua"/>
              </w:rPr>
              <w:t xml:space="preserve">                        1(1.7%)</w:t>
            </w:r>
          </w:p>
        </w:tc>
      </w:tr>
    </w:tbl>
    <w:p w14:paraId="0B6CED42" w14:textId="77777777" w:rsidR="003B5519" w:rsidRDefault="003B5519" w:rsidP="008275E1">
      <w:pPr>
        <w:rPr>
          <w:rFonts w:ascii="Book Antiqua" w:hAnsi="Book Antiqua"/>
        </w:rPr>
        <w:sectPr w:rsidR="003B5519" w:rsidSect="003B5519">
          <w:type w:val="continuous"/>
          <w:pgSz w:w="11907" w:h="16839" w:code="9"/>
          <w:pgMar w:top="1440" w:right="1440" w:bottom="1440" w:left="1440" w:header="720" w:footer="720" w:gutter="0"/>
          <w:cols w:space="720"/>
          <w:docGrid w:linePitch="360"/>
        </w:sectPr>
      </w:pPr>
    </w:p>
    <w:p w14:paraId="6CD6A1EA" w14:textId="77777777" w:rsidR="003B5519" w:rsidRDefault="003B5519" w:rsidP="00526A4D">
      <w:pPr>
        <w:spacing w:after="0"/>
        <w:rPr>
          <w:rFonts w:ascii="Book Antiqua" w:hAnsi="Book Antiqua"/>
        </w:rPr>
        <w:sectPr w:rsidR="003B5519" w:rsidSect="003B5519">
          <w:type w:val="continuous"/>
          <w:pgSz w:w="11907" w:h="16839" w:code="9"/>
          <w:pgMar w:top="1440" w:right="1440" w:bottom="1440" w:left="1440" w:header="720" w:footer="720" w:gutter="0"/>
          <w:cols w:space="720"/>
          <w:docGrid w:linePitch="360"/>
        </w:sectPr>
      </w:pPr>
    </w:p>
    <w:p w14:paraId="010E7CE8" w14:textId="77777777" w:rsidR="00B94E15" w:rsidRDefault="00B94E15" w:rsidP="00B94E15">
      <w:pPr>
        <w:rPr>
          <w:rFonts w:ascii="Book Antiqua" w:hAnsi="Book Antiqua"/>
        </w:rPr>
      </w:pPr>
      <w:r>
        <w:rPr>
          <w:rFonts w:ascii="Book Antiqua" w:hAnsi="Book Antiqua"/>
        </w:rPr>
        <w:t>Source:Field Data 2012</w:t>
      </w:r>
    </w:p>
    <w:p w14:paraId="23DA7D2A" w14:textId="77777777" w:rsidR="00B94E15" w:rsidRDefault="00B94E15" w:rsidP="008275E1">
      <w:pPr>
        <w:rPr>
          <w:rFonts w:ascii="Book Antiqua" w:hAnsi="Book Antiqua"/>
        </w:rPr>
      </w:pPr>
    </w:p>
    <w:p w14:paraId="10008689" w14:textId="77777777" w:rsidR="00B94E15" w:rsidRDefault="00B94E15" w:rsidP="008275E1">
      <w:pPr>
        <w:rPr>
          <w:rFonts w:ascii="Book Antiqua" w:hAnsi="Book Antiqua"/>
        </w:rPr>
      </w:pPr>
    </w:p>
    <w:p w14:paraId="7F35DF50" w14:textId="77777777" w:rsidR="00B94E15" w:rsidRDefault="00B94E15" w:rsidP="008275E1">
      <w:pPr>
        <w:rPr>
          <w:rFonts w:ascii="Book Antiqua" w:hAnsi="Book Antiqua"/>
        </w:rPr>
      </w:pPr>
    </w:p>
    <w:p w14:paraId="50C508B2" w14:textId="77777777" w:rsidR="00B94E15" w:rsidRDefault="00B94E15" w:rsidP="008275E1">
      <w:pPr>
        <w:rPr>
          <w:rFonts w:ascii="Book Antiqua" w:hAnsi="Book Antiqua"/>
        </w:rPr>
      </w:pPr>
    </w:p>
    <w:p w14:paraId="31EB63DD" w14:textId="77777777" w:rsidR="00B94E15" w:rsidRDefault="00B94E15" w:rsidP="008275E1">
      <w:pPr>
        <w:rPr>
          <w:rFonts w:ascii="Book Antiqua" w:hAnsi="Book Antiqua"/>
        </w:rPr>
      </w:pPr>
    </w:p>
    <w:p w14:paraId="2E62EEE7" w14:textId="77777777" w:rsidR="00B94E15" w:rsidRDefault="00B94E15" w:rsidP="008275E1">
      <w:pPr>
        <w:rPr>
          <w:rFonts w:ascii="Book Antiqua" w:hAnsi="Book Antiqua"/>
        </w:rPr>
      </w:pPr>
    </w:p>
    <w:p w14:paraId="2473D0B0" w14:textId="77777777" w:rsidR="00B94E15" w:rsidRDefault="00B94E15" w:rsidP="008275E1">
      <w:pPr>
        <w:rPr>
          <w:rFonts w:ascii="Book Antiqua" w:hAnsi="Book Antiqua"/>
        </w:rPr>
      </w:pPr>
    </w:p>
    <w:p w14:paraId="0A19AF55" w14:textId="77777777" w:rsidR="00B94E15" w:rsidRDefault="00B94E15" w:rsidP="008275E1">
      <w:pPr>
        <w:rPr>
          <w:rFonts w:ascii="Book Antiqua" w:hAnsi="Book Antiqua"/>
        </w:rPr>
      </w:pPr>
    </w:p>
    <w:p w14:paraId="1667F69F" w14:textId="77777777" w:rsidR="00B94E15" w:rsidRDefault="00B94E15" w:rsidP="008275E1">
      <w:pPr>
        <w:rPr>
          <w:rFonts w:ascii="Book Antiqua" w:hAnsi="Book Antiqua"/>
        </w:rPr>
      </w:pPr>
    </w:p>
    <w:p w14:paraId="2D6CE1B8" w14:textId="77777777" w:rsidR="00B94E15" w:rsidRDefault="00B94E15" w:rsidP="008275E1">
      <w:pPr>
        <w:rPr>
          <w:rFonts w:ascii="Book Antiqua" w:hAnsi="Book Antiqua"/>
        </w:rPr>
      </w:pPr>
    </w:p>
    <w:p w14:paraId="451C0CE9" w14:textId="77777777" w:rsidR="003B5519" w:rsidRDefault="001762DC" w:rsidP="000E392A">
      <w:pPr>
        <w:jc w:val="both"/>
        <w:rPr>
          <w:rFonts w:ascii="Book Antiqua" w:hAnsi="Book Antiqua"/>
        </w:rPr>
      </w:pPr>
      <w:r w:rsidRPr="00E3232D">
        <w:rPr>
          <w:rFonts w:ascii="Book Antiqua" w:hAnsi="Book Antiqua"/>
        </w:rPr>
        <w:lastRenderedPageBreak/>
        <w:t>The table 3 above shows that eighty five</w:t>
      </w:r>
      <w:r w:rsidR="000E392A">
        <w:rPr>
          <w:rFonts w:ascii="Book Antiqua" w:hAnsi="Book Antiqua"/>
        </w:rPr>
        <w:t xml:space="preserve">   </w:t>
      </w:r>
      <w:r w:rsidRPr="00E3232D">
        <w:rPr>
          <w:rFonts w:ascii="Book Antiqua" w:hAnsi="Book Antiqua"/>
        </w:rPr>
        <w:t xml:space="preserve"> ( 85) respondents responded to the various food safety  questions.  Fifty eight (58) representing 76.7% respondents agreed that they properly washed their hand before touching cook food.  (40) </w:t>
      </w:r>
    </w:p>
    <w:p w14:paraId="602821E8" w14:textId="77777777" w:rsidR="003B5519" w:rsidRDefault="003B5519" w:rsidP="00BC73F7">
      <w:pPr>
        <w:spacing w:after="0"/>
        <w:jc w:val="both"/>
        <w:rPr>
          <w:rFonts w:ascii="Book Antiqua" w:hAnsi="Book Antiqua"/>
        </w:rPr>
      </w:pPr>
    </w:p>
    <w:p w14:paraId="7EA9A442" w14:textId="77777777" w:rsidR="00085CA1" w:rsidRDefault="001762DC" w:rsidP="000E392A">
      <w:pPr>
        <w:jc w:val="both"/>
        <w:rPr>
          <w:rFonts w:ascii="Book Antiqua" w:hAnsi="Book Antiqua"/>
        </w:rPr>
      </w:pPr>
      <w:r w:rsidRPr="00E3232D">
        <w:rPr>
          <w:rFonts w:ascii="Book Antiqua" w:hAnsi="Book Antiqua"/>
        </w:rPr>
        <w:t>representing 66.3% of the respondents were not sure of   food safety practices in the selected senior high schools.  On the issue of sterilizing  utensils before using, fifty six (56) representing 93.3% agreed, four (4) representing</w:t>
      </w:r>
      <w:r w:rsidRPr="00E3232D">
        <w:rPr>
          <w:rFonts w:ascii="Book Antiqua" w:hAnsi="Book Antiqua"/>
          <w:b/>
        </w:rPr>
        <w:t xml:space="preserve"> </w:t>
      </w:r>
      <w:r w:rsidRPr="00E3232D">
        <w:rPr>
          <w:rFonts w:ascii="Book Antiqua" w:hAnsi="Book Antiqua"/>
        </w:rPr>
        <w:t>6.7% had no opinion of sterilizing utensils before using; twenty (20)  of the respondents disagreed. Five (5) of the respondents were not sure. On the issue of cleaning and sanitizing knives, cutting boards and wiping cloths, fifty three (53) representing  88.3% agreed  going through the sanitizing process, twenty five ( 25) representing 38% had no opinion, seven (7) representing  10.3% of the respondents disagreed. Furthermore, on the issue of cleaning and sanitizing shelving units before storing equipments and after daily use, forty seven (47) representing 78.3% of the</w:t>
      </w:r>
      <w:r w:rsidRPr="00E3232D">
        <w:rPr>
          <w:rFonts w:ascii="Book Antiqua" w:hAnsi="Book Antiqua"/>
          <w:b/>
        </w:rPr>
        <w:t xml:space="preserve"> </w:t>
      </w:r>
      <w:r w:rsidRPr="00E3232D">
        <w:rPr>
          <w:rFonts w:ascii="Book Antiqua" w:hAnsi="Book Antiqua"/>
        </w:rPr>
        <w:t xml:space="preserve">respondents agreed, eleven ( 11) representing 3% of the respondents had no opinion, two (2) representing  3.3% of them disagreed. Also, on the issue of  cross- contamination of food  items from  one cutting boards to the other , wearing of gloves and cleaning </w:t>
      </w:r>
    </w:p>
    <w:p w14:paraId="4D0F7628" w14:textId="77777777" w:rsidR="001762DC" w:rsidRPr="00E3232D" w:rsidRDefault="001762DC" w:rsidP="000E392A">
      <w:pPr>
        <w:jc w:val="both"/>
        <w:rPr>
          <w:rFonts w:ascii="Book Antiqua" w:hAnsi="Book Antiqua"/>
        </w:rPr>
      </w:pPr>
      <w:r w:rsidRPr="00E3232D">
        <w:rPr>
          <w:rFonts w:ascii="Book Antiqua" w:hAnsi="Book Antiqua"/>
        </w:rPr>
        <w:t xml:space="preserve">of  knives; out of the eighty five  (85) respondents, forty six (46 ) representing 86.7%  agreed on following  various steps to prevent cross contamination. Ten (10) representing 16.7% of the respondents </w:t>
      </w:r>
      <w:r w:rsidRPr="00E3232D">
        <w:rPr>
          <w:rFonts w:ascii="Book Antiqua" w:hAnsi="Book Antiqua"/>
        </w:rPr>
        <w:t xml:space="preserve">have no opinion on ways of preventing cross- contamination. Whilst (39) representing 76.7% of them disagreed. </w:t>
      </w:r>
    </w:p>
    <w:p w14:paraId="6534B1DF" w14:textId="77777777" w:rsidR="00792CC1" w:rsidRDefault="00792CC1" w:rsidP="00BC73F7">
      <w:pPr>
        <w:spacing w:after="0"/>
        <w:jc w:val="both"/>
        <w:rPr>
          <w:rFonts w:ascii="Book Antiqua" w:hAnsi="Book Antiqua"/>
        </w:rPr>
      </w:pPr>
    </w:p>
    <w:p w14:paraId="3198B3F2" w14:textId="77777777" w:rsidR="001762DC" w:rsidRPr="00E3232D" w:rsidRDefault="001762DC" w:rsidP="000E392A">
      <w:pPr>
        <w:jc w:val="both"/>
        <w:rPr>
          <w:rFonts w:ascii="Book Antiqua" w:hAnsi="Book Antiqua"/>
        </w:rPr>
      </w:pPr>
      <w:r w:rsidRPr="00E3232D">
        <w:rPr>
          <w:rFonts w:ascii="Book Antiqua" w:hAnsi="Book Antiqua"/>
        </w:rPr>
        <w:t xml:space="preserve">In case of  keeping freezer or refrigerator clean, fifty (50) representing 81.7% of the respondents agreed on keeping freezers and refrigerators clean, twenty (20) representing 35.0% of the respondents had no opinion of keeping freezer or refrigerator clean, fifteen (15) representing 23.3% disagreed. On the issue of maintaining  refrigerator below 5 degrees Celsius and freezer below negative -8 Celsius, forty two (42) representing 70.0%  agreed, seventeen (17) representing 28.3% of the respondents were not sure of maintaining proper refrigerator below 5 degree Celsius and freezer below negative -8, twenty six (26) respondents representing  45.0% disagreed. On the issue of storing chemicals away from foods and food related supplies, fifty (50)  representing  83.3% of the respondents agreed on storing chemicals away from foods and food related supplies Whilst (20) representing 40.7% of the respondents  were not sure. </w:t>
      </w:r>
    </w:p>
    <w:p w14:paraId="4A3C0F06" w14:textId="77777777" w:rsidR="001762DC" w:rsidRPr="00E3232D" w:rsidRDefault="001762DC" w:rsidP="000E392A">
      <w:pPr>
        <w:jc w:val="both"/>
        <w:rPr>
          <w:rFonts w:ascii="Book Antiqua" w:hAnsi="Book Antiqua"/>
        </w:rPr>
      </w:pPr>
      <w:r w:rsidRPr="00E3232D">
        <w:rPr>
          <w:rFonts w:ascii="Book Antiqua" w:hAnsi="Book Antiqua"/>
        </w:rPr>
        <w:t xml:space="preserve"> </w:t>
      </w:r>
    </w:p>
    <w:tbl>
      <w:tblPr>
        <w:tblpPr w:leftFromText="180" w:rightFromText="180" w:vertAnchor="text" w:horzAnchor="margin" w:tblpY="-385"/>
        <w:tblW w:w="4547" w:type="dxa"/>
        <w:tblLayout w:type="fixed"/>
        <w:tblCellMar>
          <w:left w:w="30" w:type="dxa"/>
          <w:right w:w="30" w:type="dxa"/>
        </w:tblCellMar>
        <w:tblLook w:val="0000" w:firstRow="0" w:lastRow="0" w:firstColumn="0" w:lastColumn="0" w:noHBand="0" w:noVBand="0"/>
      </w:tblPr>
      <w:tblGrid>
        <w:gridCol w:w="1143"/>
        <w:gridCol w:w="1817"/>
        <w:gridCol w:w="1587"/>
      </w:tblGrid>
      <w:tr w:rsidR="000E392A" w:rsidRPr="00D12E59" w14:paraId="4B6AF11E" w14:textId="77777777" w:rsidTr="000E392A">
        <w:trPr>
          <w:cantSplit/>
          <w:trHeight w:val="614"/>
          <w:tblHeader/>
        </w:trPr>
        <w:tc>
          <w:tcPr>
            <w:tcW w:w="4546" w:type="dxa"/>
            <w:gridSpan w:val="3"/>
            <w:tcBorders>
              <w:bottom w:val="single" w:sz="4" w:space="0" w:color="auto"/>
            </w:tcBorders>
            <w:shd w:val="clear" w:color="auto" w:fill="FFFFFF"/>
            <w:tcMar>
              <w:top w:w="30" w:type="dxa"/>
              <w:left w:w="30" w:type="dxa"/>
              <w:bottom w:w="30" w:type="dxa"/>
              <w:right w:w="30" w:type="dxa"/>
            </w:tcMar>
            <w:vAlign w:val="center"/>
          </w:tcPr>
          <w:p w14:paraId="7D193749" w14:textId="77777777" w:rsidR="000E392A" w:rsidRPr="00D12E59" w:rsidRDefault="000E392A" w:rsidP="000E392A">
            <w:pPr>
              <w:rPr>
                <w:rFonts w:ascii="Book Antiqua" w:hAnsi="Book Antiqua"/>
              </w:rPr>
            </w:pPr>
            <w:r w:rsidRPr="00D12E59">
              <w:rPr>
                <w:rFonts w:ascii="Book Antiqua" w:hAnsi="Book Antiqua"/>
                <w:b/>
                <w:bCs/>
              </w:rPr>
              <w:lastRenderedPageBreak/>
              <w:t>Table 4: Frequency  of   students falling sick as a result of eating unsafe food</w:t>
            </w:r>
          </w:p>
        </w:tc>
      </w:tr>
      <w:tr w:rsidR="000E392A" w:rsidRPr="00D12E59" w14:paraId="439F1294" w14:textId="77777777" w:rsidTr="000E392A">
        <w:trPr>
          <w:cantSplit/>
          <w:trHeight w:val="298"/>
          <w:tblHeader/>
        </w:trPr>
        <w:tc>
          <w:tcPr>
            <w:tcW w:w="1143" w:type="dxa"/>
            <w:tcBorders>
              <w:top w:val="single" w:sz="4" w:space="0" w:color="auto"/>
              <w:bottom w:val="single" w:sz="4" w:space="0" w:color="auto"/>
            </w:tcBorders>
            <w:shd w:val="clear" w:color="auto" w:fill="FFFFFF"/>
            <w:tcMar>
              <w:top w:w="30" w:type="dxa"/>
              <w:left w:w="30" w:type="dxa"/>
              <w:bottom w:w="30" w:type="dxa"/>
              <w:right w:w="30" w:type="dxa"/>
            </w:tcMar>
          </w:tcPr>
          <w:p w14:paraId="60B0E0A4" w14:textId="77777777" w:rsidR="000E392A" w:rsidRPr="00D12E59" w:rsidRDefault="000E392A" w:rsidP="000E392A">
            <w:pPr>
              <w:rPr>
                <w:rFonts w:ascii="Book Antiqua" w:hAnsi="Book Antiqua"/>
              </w:rPr>
            </w:pPr>
            <w:r w:rsidRPr="00D12E59">
              <w:rPr>
                <w:rFonts w:ascii="Book Antiqua" w:hAnsi="Book Antiqua"/>
              </w:rPr>
              <w:t>Response</w:t>
            </w:r>
          </w:p>
        </w:tc>
        <w:tc>
          <w:tcPr>
            <w:tcW w:w="1817" w:type="dxa"/>
            <w:tcBorders>
              <w:top w:val="single" w:sz="4" w:space="0" w:color="auto"/>
              <w:bottom w:val="single" w:sz="4" w:space="0" w:color="auto"/>
            </w:tcBorders>
            <w:shd w:val="clear" w:color="auto" w:fill="FFFFFF"/>
            <w:tcMar>
              <w:top w:w="30" w:type="dxa"/>
              <w:left w:w="30" w:type="dxa"/>
              <w:bottom w:w="30" w:type="dxa"/>
              <w:right w:w="30" w:type="dxa"/>
            </w:tcMar>
            <w:vAlign w:val="bottom"/>
          </w:tcPr>
          <w:p w14:paraId="7CA6DE1F" w14:textId="77777777" w:rsidR="000E392A" w:rsidRPr="00D12E59" w:rsidRDefault="000E392A" w:rsidP="000E392A">
            <w:pPr>
              <w:rPr>
                <w:rFonts w:ascii="Book Antiqua" w:hAnsi="Book Antiqua"/>
              </w:rPr>
            </w:pPr>
            <w:r w:rsidRPr="00D12E59">
              <w:rPr>
                <w:rFonts w:ascii="Book Antiqua" w:hAnsi="Book Antiqua"/>
              </w:rPr>
              <w:t>Frequency</w:t>
            </w:r>
          </w:p>
        </w:tc>
        <w:tc>
          <w:tcPr>
            <w:tcW w:w="1587" w:type="dxa"/>
            <w:tcBorders>
              <w:top w:val="single" w:sz="4" w:space="0" w:color="auto"/>
              <w:bottom w:val="single" w:sz="4" w:space="0" w:color="auto"/>
            </w:tcBorders>
            <w:shd w:val="clear" w:color="auto" w:fill="FFFFFF"/>
            <w:tcMar>
              <w:top w:w="30" w:type="dxa"/>
              <w:left w:w="30" w:type="dxa"/>
              <w:bottom w:w="30" w:type="dxa"/>
              <w:right w:w="30" w:type="dxa"/>
            </w:tcMar>
            <w:vAlign w:val="bottom"/>
          </w:tcPr>
          <w:p w14:paraId="28A456B4" w14:textId="77777777" w:rsidR="000E392A" w:rsidRPr="00D12E59" w:rsidRDefault="000E392A" w:rsidP="000E392A">
            <w:pPr>
              <w:rPr>
                <w:rFonts w:ascii="Book Antiqua" w:hAnsi="Book Antiqua"/>
              </w:rPr>
            </w:pPr>
            <w:r w:rsidRPr="00D12E59">
              <w:rPr>
                <w:rFonts w:ascii="Book Antiqua" w:hAnsi="Book Antiqua"/>
              </w:rPr>
              <w:t>Percent</w:t>
            </w:r>
          </w:p>
        </w:tc>
      </w:tr>
      <w:tr w:rsidR="000E392A" w:rsidRPr="00D12E59" w14:paraId="194F4183" w14:textId="77777777" w:rsidTr="000E392A">
        <w:trPr>
          <w:cantSplit/>
          <w:trHeight w:val="298"/>
          <w:tblHeader/>
        </w:trPr>
        <w:tc>
          <w:tcPr>
            <w:tcW w:w="1143" w:type="dxa"/>
            <w:tcBorders>
              <w:top w:val="single" w:sz="4" w:space="0" w:color="auto"/>
            </w:tcBorders>
            <w:shd w:val="clear" w:color="auto" w:fill="FFFFFF"/>
            <w:tcMar>
              <w:top w:w="30" w:type="dxa"/>
              <w:left w:w="30" w:type="dxa"/>
              <w:bottom w:w="30" w:type="dxa"/>
              <w:right w:w="30" w:type="dxa"/>
            </w:tcMar>
          </w:tcPr>
          <w:p w14:paraId="489893C7" w14:textId="77777777" w:rsidR="000E392A" w:rsidRPr="00D12E59" w:rsidRDefault="000E392A" w:rsidP="000E392A">
            <w:pPr>
              <w:rPr>
                <w:rFonts w:ascii="Book Antiqua" w:hAnsi="Book Antiqua"/>
              </w:rPr>
            </w:pPr>
            <w:r w:rsidRPr="00D12E59">
              <w:rPr>
                <w:rFonts w:ascii="Book Antiqua" w:hAnsi="Book Antiqua"/>
              </w:rPr>
              <w:t>Disagree</w:t>
            </w:r>
          </w:p>
        </w:tc>
        <w:tc>
          <w:tcPr>
            <w:tcW w:w="1817" w:type="dxa"/>
            <w:tcBorders>
              <w:top w:val="single" w:sz="4" w:space="0" w:color="auto"/>
            </w:tcBorders>
            <w:shd w:val="clear" w:color="auto" w:fill="FFFFFF"/>
            <w:tcMar>
              <w:top w:w="30" w:type="dxa"/>
              <w:left w:w="30" w:type="dxa"/>
              <w:bottom w:w="30" w:type="dxa"/>
              <w:right w:w="30" w:type="dxa"/>
            </w:tcMar>
            <w:vAlign w:val="center"/>
          </w:tcPr>
          <w:p w14:paraId="206A153B" w14:textId="77777777" w:rsidR="000E392A" w:rsidRPr="00D12E59" w:rsidRDefault="000E392A" w:rsidP="000E392A">
            <w:pPr>
              <w:rPr>
                <w:rFonts w:ascii="Book Antiqua" w:hAnsi="Book Antiqua"/>
              </w:rPr>
            </w:pPr>
            <w:r w:rsidRPr="00D12E59">
              <w:rPr>
                <w:rFonts w:ascii="Book Antiqua" w:hAnsi="Book Antiqua"/>
              </w:rPr>
              <w:t>35</w:t>
            </w:r>
          </w:p>
        </w:tc>
        <w:tc>
          <w:tcPr>
            <w:tcW w:w="1587" w:type="dxa"/>
            <w:tcBorders>
              <w:top w:val="single" w:sz="4" w:space="0" w:color="auto"/>
            </w:tcBorders>
            <w:shd w:val="clear" w:color="auto" w:fill="FFFFFF"/>
            <w:tcMar>
              <w:top w:w="30" w:type="dxa"/>
              <w:left w:w="30" w:type="dxa"/>
              <w:bottom w:w="30" w:type="dxa"/>
              <w:right w:w="30" w:type="dxa"/>
            </w:tcMar>
            <w:vAlign w:val="center"/>
          </w:tcPr>
          <w:p w14:paraId="20BD4D68" w14:textId="77777777" w:rsidR="000E392A" w:rsidRPr="00D12E59" w:rsidRDefault="000E392A" w:rsidP="000E392A">
            <w:pPr>
              <w:rPr>
                <w:rFonts w:ascii="Book Antiqua" w:hAnsi="Book Antiqua"/>
              </w:rPr>
            </w:pPr>
            <w:r w:rsidRPr="00D12E59">
              <w:rPr>
                <w:rFonts w:ascii="Book Antiqua" w:hAnsi="Book Antiqua"/>
              </w:rPr>
              <w:t>17.7</w:t>
            </w:r>
          </w:p>
        </w:tc>
      </w:tr>
      <w:tr w:rsidR="000E392A" w:rsidRPr="00D12E59" w14:paraId="04A98AE5" w14:textId="77777777" w:rsidTr="000E392A">
        <w:trPr>
          <w:cantSplit/>
          <w:trHeight w:val="315"/>
          <w:tblHeader/>
        </w:trPr>
        <w:tc>
          <w:tcPr>
            <w:tcW w:w="1143" w:type="dxa"/>
            <w:tcBorders>
              <w:bottom w:val="single" w:sz="4" w:space="0" w:color="auto"/>
            </w:tcBorders>
            <w:shd w:val="clear" w:color="auto" w:fill="FFFFFF"/>
            <w:tcMar>
              <w:top w:w="30" w:type="dxa"/>
              <w:left w:w="30" w:type="dxa"/>
              <w:bottom w:w="30" w:type="dxa"/>
              <w:right w:w="30" w:type="dxa"/>
            </w:tcMar>
          </w:tcPr>
          <w:p w14:paraId="1090F0F2" w14:textId="77777777" w:rsidR="000E392A" w:rsidRPr="00D12E59" w:rsidRDefault="000E392A" w:rsidP="000E392A">
            <w:pPr>
              <w:rPr>
                <w:rFonts w:ascii="Book Antiqua" w:hAnsi="Book Antiqua"/>
              </w:rPr>
            </w:pPr>
            <w:r w:rsidRPr="00D12E59">
              <w:rPr>
                <w:rFonts w:ascii="Book Antiqua" w:hAnsi="Book Antiqua"/>
              </w:rPr>
              <w:t>agree</w:t>
            </w:r>
          </w:p>
        </w:tc>
        <w:tc>
          <w:tcPr>
            <w:tcW w:w="1817" w:type="dxa"/>
            <w:tcBorders>
              <w:bottom w:val="single" w:sz="4" w:space="0" w:color="auto"/>
            </w:tcBorders>
            <w:shd w:val="clear" w:color="auto" w:fill="FFFFFF"/>
            <w:tcMar>
              <w:top w:w="30" w:type="dxa"/>
              <w:left w:w="30" w:type="dxa"/>
              <w:bottom w:w="30" w:type="dxa"/>
              <w:right w:w="30" w:type="dxa"/>
            </w:tcMar>
            <w:vAlign w:val="center"/>
          </w:tcPr>
          <w:p w14:paraId="237829CA" w14:textId="77777777" w:rsidR="000E392A" w:rsidRPr="00D12E59" w:rsidRDefault="000E392A" w:rsidP="000E392A">
            <w:pPr>
              <w:rPr>
                <w:rFonts w:ascii="Book Antiqua" w:hAnsi="Book Antiqua"/>
              </w:rPr>
            </w:pPr>
            <w:r w:rsidRPr="00D12E59">
              <w:rPr>
                <w:rFonts w:ascii="Book Antiqua" w:hAnsi="Book Antiqua"/>
              </w:rPr>
              <w:t>50</w:t>
            </w:r>
          </w:p>
        </w:tc>
        <w:tc>
          <w:tcPr>
            <w:tcW w:w="1587" w:type="dxa"/>
            <w:tcBorders>
              <w:bottom w:val="single" w:sz="4" w:space="0" w:color="auto"/>
            </w:tcBorders>
            <w:shd w:val="clear" w:color="auto" w:fill="FFFFFF"/>
            <w:tcMar>
              <w:top w:w="30" w:type="dxa"/>
              <w:left w:w="30" w:type="dxa"/>
              <w:bottom w:w="30" w:type="dxa"/>
              <w:right w:w="30" w:type="dxa"/>
            </w:tcMar>
            <w:vAlign w:val="center"/>
          </w:tcPr>
          <w:p w14:paraId="53E7F4DC" w14:textId="77777777" w:rsidR="000E392A" w:rsidRPr="00D12E59" w:rsidRDefault="000E392A" w:rsidP="000E392A">
            <w:pPr>
              <w:rPr>
                <w:rFonts w:ascii="Book Antiqua" w:hAnsi="Book Antiqua"/>
              </w:rPr>
            </w:pPr>
            <w:r w:rsidRPr="00D12E59">
              <w:rPr>
                <w:rFonts w:ascii="Book Antiqua" w:hAnsi="Book Antiqua"/>
              </w:rPr>
              <w:t>82.3</w:t>
            </w:r>
          </w:p>
        </w:tc>
      </w:tr>
      <w:tr w:rsidR="000E392A" w:rsidRPr="00D12E59" w14:paraId="4C1F05D3" w14:textId="77777777" w:rsidTr="000E392A">
        <w:trPr>
          <w:cantSplit/>
          <w:trHeight w:val="315"/>
        </w:trPr>
        <w:tc>
          <w:tcPr>
            <w:tcW w:w="1143" w:type="dxa"/>
            <w:tcBorders>
              <w:top w:val="single" w:sz="4" w:space="0" w:color="auto"/>
              <w:bottom w:val="single" w:sz="4" w:space="0" w:color="auto"/>
            </w:tcBorders>
            <w:shd w:val="clear" w:color="auto" w:fill="FFFFFF"/>
            <w:tcMar>
              <w:top w:w="30" w:type="dxa"/>
              <w:left w:w="30" w:type="dxa"/>
              <w:bottom w:w="30" w:type="dxa"/>
              <w:right w:w="30" w:type="dxa"/>
            </w:tcMar>
          </w:tcPr>
          <w:p w14:paraId="7742270A" w14:textId="77777777" w:rsidR="000E392A" w:rsidRPr="00D12E59" w:rsidRDefault="000E392A" w:rsidP="000E392A">
            <w:pPr>
              <w:rPr>
                <w:rFonts w:ascii="Book Antiqua" w:hAnsi="Book Antiqua"/>
              </w:rPr>
            </w:pPr>
            <w:r w:rsidRPr="00D12E59">
              <w:rPr>
                <w:rFonts w:ascii="Book Antiqua" w:hAnsi="Book Antiqua"/>
              </w:rPr>
              <w:t>Total</w:t>
            </w:r>
          </w:p>
        </w:tc>
        <w:tc>
          <w:tcPr>
            <w:tcW w:w="1817" w:type="dxa"/>
            <w:tcBorders>
              <w:top w:val="single" w:sz="4" w:space="0" w:color="auto"/>
              <w:bottom w:val="single" w:sz="4" w:space="0" w:color="auto"/>
            </w:tcBorders>
            <w:shd w:val="clear" w:color="auto" w:fill="FFFFFF"/>
            <w:tcMar>
              <w:top w:w="30" w:type="dxa"/>
              <w:left w:w="30" w:type="dxa"/>
              <w:bottom w:w="30" w:type="dxa"/>
              <w:right w:w="30" w:type="dxa"/>
            </w:tcMar>
            <w:vAlign w:val="center"/>
          </w:tcPr>
          <w:p w14:paraId="3FE09F26" w14:textId="77777777" w:rsidR="000E392A" w:rsidRPr="00D12E59" w:rsidRDefault="000E392A" w:rsidP="000E392A">
            <w:pPr>
              <w:rPr>
                <w:rFonts w:ascii="Book Antiqua" w:hAnsi="Book Antiqua"/>
              </w:rPr>
            </w:pPr>
            <w:r w:rsidRPr="00D12E59">
              <w:rPr>
                <w:rFonts w:ascii="Book Antiqua" w:hAnsi="Book Antiqua"/>
              </w:rPr>
              <w:t>60</w:t>
            </w:r>
          </w:p>
        </w:tc>
        <w:tc>
          <w:tcPr>
            <w:tcW w:w="1587" w:type="dxa"/>
            <w:tcBorders>
              <w:top w:val="single" w:sz="4" w:space="0" w:color="auto"/>
              <w:bottom w:val="single" w:sz="4" w:space="0" w:color="auto"/>
            </w:tcBorders>
            <w:shd w:val="clear" w:color="auto" w:fill="FFFFFF"/>
            <w:tcMar>
              <w:top w:w="30" w:type="dxa"/>
              <w:left w:w="30" w:type="dxa"/>
              <w:bottom w:w="30" w:type="dxa"/>
              <w:right w:w="30" w:type="dxa"/>
            </w:tcMar>
            <w:vAlign w:val="center"/>
          </w:tcPr>
          <w:p w14:paraId="274639AA" w14:textId="77777777" w:rsidR="000E392A" w:rsidRPr="00D12E59" w:rsidRDefault="000E392A" w:rsidP="000E392A">
            <w:pPr>
              <w:rPr>
                <w:rFonts w:ascii="Book Antiqua" w:hAnsi="Book Antiqua"/>
              </w:rPr>
            </w:pPr>
            <w:r w:rsidRPr="00D12E59">
              <w:rPr>
                <w:rFonts w:ascii="Book Antiqua" w:hAnsi="Book Antiqua"/>
              </w:rPr>
              <w:t>100.0</w:t>
            </w:r>
          </w:p>
        </w:tc>
      </w:tr>
    </w:tbl>
    <w:p w14:paraId="5D2F4C0A" w14:textId="77777777" w:rsidR="001762DC" w:rsidRPr="00E3232D" w:rsidRDefault="001762DC" w:rsidP="008275E1">
      <w:pPr>
        <w:rPr>
          <w:rFonts w:ascii="Book Antiqua" w:hAnsi="Book Antiqua"/>
        </w:rPr>
      </w:pPr>
      <w:r w:rsidRPr="00E3232D">
        <w:rPr>
          <w:rFonts w:ascii="Book Antiqua" w:hAnsi="Book Antiqua"/>
        </w:rPr>
        <w:t xml:space="preserve"> Source: Field Data, 2012</w:t>
      </w:r>
    </w:p>
    <w:p w14:paraId="7A84F40C" w14:textId="77777777" w:rsidR="001762DC" w:rsidRPr="00E3232D" w:rsidRDefault="001762DC" w:rsidP="000E392A">
      <w:pPr>
        <w:jc w:val="both"/>
        <w:rPr>
          <w:rFonts w:ascii="Book Antiqua" w:hAnsi="Book Antiqua"/>
        </w:rPr>
      </w:pPr>
      <w:r w:rsidRPr="00E3232D">
        <w:rPr>
          <w:rFonts w:ascii="Book Antiqua" w:hAnsi="Book Antiqua"/>
        </w:rPr>
        <w:t xml:space="preserve">Table 4 above shows that fifty (50) representing 82.3% of the total respondents  agree  that students do fall sick as a result of eating unsafe food whilst thirty five (35) representing 17.7% of the respondents disagree of students falling sick as a result of eating unsafe food. This indicates that the rate at which students fall ill due to eating unwholesome food is quite high. </w:t>
      </w:r>
    </w:p>
    <w:p w14:paraId="59935716" w14:textId="77777777" w:rsidR="00451800" w:rsidRDefault="001762DC" w:rsidP="00AB79DE">
      <w:pPr>
        <w:spacing w:after="0"/>
        <w:jc w:val="both"/>
        <w:rPr>
          <w:rFonts w:ascii="Book Antiqua" w:hAnsi="Book Antiqua"/>
          <w:b/>
        </w:rPr>
      </w:pPr>
      <w:r w:rsidRPr="00E3232D">
        <w:rPr>
          <w:rFonts w:ascii="Book Antiqua" w:hAnsi="Book Antiqua"/>
          <w:b/>
        </w:rPr>
        <w:t xml:space="preserve"> </w:t>
      </w:r>
    </w:p>
    <w:p w14:paraId="0480C209" w14:textId="77777777" w:rsidR="001762DC" w:rsidRPr="00E3232D" w:rsidRDefault="001762DC" w:rsidP="000E392A">
      <w:pPr>
        <w:jc w:val="both"/>
        <w:rPr>
          <w:rFonts w:ascii="Book Antiqua" w:hAnsi="Book Antiqua"/>
          <w:b/>
        </w:rPr>
      </w:pPr>
      <w:r w:rsidRPr="00E3232D">
        <w:rPr>
          <w:rFonts w:ascii="Book Antiqua" w:hAnsi="Book Antiqua"/>
          <w:b/>
        </w:rPr>
        <w:t>Further analysis of food safety practices and other findings on perception of food quality in terms of purchase criteria of food stuff.</w:t>
      </w:r>
    </w:p>
    <w:p w14:paraId="5AA07AFB" w14:textId="77777777" w:rsidR="006D2558" w:rsidRPr="00E3232D" w:rsidRDefault="001762DC" w:rsidP="000E392A">
      <w:pPr>
        <w:jc w:val="both"/>
        <w:rPr>
          <w:rFonts w:ascii="Book Antiqua" w:hAnsi="Book Antiqua"/>
        </w:rPr>
      </w:pPr>
      <w:r w:rsidRPr="00E3232D">
        <w:rPr>
          <w:rFonts w:ascii="Book Antiqua" w:hAnsi="Book Antiqua"/>
        </w:rPr>
        <w:t>Matrons and other purchasing officers were interviewed on the factors that influence their  purchasing criteria of food stuff and  were allowed to mention up to three . Price appears to be the most important purchase criterion. Seventy (70%) of the respondents mentioned price. Fifteen (15%) mentioned quality. The rest were not sure on the purchasing criteria.</w:t>
      </w:r>
    </w:p>
    <w:p w14:paraId="599AD35D" w14:textId="77777777" w:rsidR="000E392A" w:rsidRDefault="000E392A" w:rsidP="000E392A">
      <w:pPr>
        <w:jc w:val="both"/>
        <w:rPr>
          <w:rFonts w:ascii="Book Antiqua" w:hAnsi="Book Antiqua"/>
          <w:b/>
          <w:lang w:val="en-GB"/>
        </w:rPr>
      </w:pPr>
    </w:p>
    <w:p w14:paraId="23AB6B02" w14:textId="77777777" w:rsidR="00AB79DE" w:rsidRDefault="00AB79DE" w:rsidP="000E392A">
      <w:pPr>
        <w:jc w:val="both"/>
        <w:rPr>
          <w:rFonts w:ascii="Book Antiqua" w:hAnsi="Book Antiqua"/>
          <w:b/>
          <w:lang w:val="en-GB"/>
        </w:rPr>
      </w:pPr>
    </w:p>
    <w:p w14:paraId="0234E580" w14:textId="77777777" w:rsidR="001762DC" w:rsidRPr="00E3232D" w:rsidRDefault="001762DC" w:rsidP="000E392A">
      <w:pPr>
        <w:jc w:val="both"/>
        <w:rPr>
          <w:rFonts w:ascii="Book Antiqua" w:hAnsi="Book Antiqua"/>
        </w:rPr>
      </w:pPr>
      <w:r w:rsidRPr="00E3232D">
        <w:rPr>
          <w:rFonts w:ascii="Book Antiqua" w:hAnsi="Book Antiqua"/>
          <w:b/>
          <w:lang w:val="en-GB"/>
        </w:rPr>
        <w:t>Training</w:t>
      </w:r>
    </w:p>
    <w:p w14:paraId="425514B3" w14:textId="77777777" w:rsidR="001762DC" w:rsidRPr="00E3232D" w:rsidRDefault="001762DC" w:rsidP="000E392A">
      <w:pPr>
        <w:autoSpaceDE w:val="0"/>
        <w:autoSpaceDN w:val="0"/>
        <w:adjustRightInd w:val="0"/>
        <w:spacing w:after="0"/>
        <w:jc w:val="both"/>
        <w:rPr>
          <w:rFonts w:ascii="Book Antiqua" w:hAnsi="Book Antiqua"/>
          <w:lang w:val="en-GB"/>
        </w:rPr>
      </w:pPr>
      <w:r w:rsidRPr="00E3232D">
        <w:rPr>
          <w:rFonts w:ascii="Book Antiqua" w:hAnsi="Book Antiqua"/>
          <w:lang w:val="en-GB"/>
        </w:rPr>
        <w:t>On the issue of training in food preparation/compliance with legal obligation. Results revealed that, most of the cooks were trained on -the- job to update their skills for quite a long time. Fifteen (</w:t>
      </w:r>
      <w:r w:rsidRPr="00E3232D">
        <w:rPr>
          <w:rFonts w:ascii="Book Antiqua" w:eastAsia="AdvEPSTIM" w:hAnsi="Book Antiqua"/>
          <w:lang w:val="en-GB"/>
        </w:rPr>
        <w:t>15%) of the matrons have advance certificate in cookery for the catering industry part 2 (8/2/2), twenty (20% ) attended vocational schools   had certificate in cookery part one. Some of the cooks about 7.2% have completed vocational training courses. Thirty (30%) of the respondents have not received any formal training.</w:t>
      </w:r>
    </w:p>
    <w:p w14:paraId="5507EF85" w14:textId="77777777" w:rsidR="001762DC" w:rsidRPr="00E3232D" w:rsidRDefault="001762DC" w:rsidP="000E392A">
      <w:pPr>
        <w:autoSpaceDE w:val="0"/>
        <w:autoSpaceDN w:val="0"/>
        <w:adjustRightInd w:val="0"/>
        <w:spacing w:after="0"/>
        <w:jc w:val="both"/>
        <w:rPr>
          <w:rFonts w:ascii="Book Antiqua" w:eastAsia="AdvEPSTIM" w:hAnsi="Book Antiqua"/>
          <w:lang w:val="en-GB"/>
        </w:rPr>
      </w:pPr>
    </w:p>
    <w:p w14:paraId="2C7C9FA7" w14:textId="77777777" w:rsidR="001762DC" w:rsidRPr="00E3232D" w:rsidRDefault="001762DC" w:rsidP="000E392A">
      <w:pPr>
        <w:autoSpaceDE w:val="0"/>
        <w:autoSpaceDN w:val="0"/>
        <w:adjustRightInd w:val="0"/>
        <w:spacing w:after="0"/>
        <w:jc w:val="both"/>
        <w:rPr>
          <w:rFonts w:ascii="Book Antiqua" w:eastAsia="AdvEPSTIM" w:hAnsi="Book Antiqua"/>
          <w:lang w:val="en-GB"/>
        </w:rPr>
      </w:pPr>
      <w:r w:rsidRPr="00AB79DE">
        <w:rPr>
          <w:rFonts w:ascii="Book Antiqua" w:hAnsi="Book Antiqua"/>
          <w:b/>
          <w:lang w:val="en-GB"/>
        </w:rPr>
        <w:t>Training in food safety/hygiene</w:t>
      </w:r>
      <w:r w:rsidRPr="00AB79DE">
        <w:rPr>
          <w:rFonts w:ascii="Book Antiqua" w:eastAsia="AdvEPSTIM" w:hAnsi="Book Antiqua"/>
          <w:b/>
          <w:lang w:val="en-GB"/>
        </w:rPr>
        <w:t>:</w:t>
      </w:r>
      <w:r w:rsidRPr="00E3232D">
        <w:rPr>
          <w:rFonts w:ascii="Book Antiqua" w:eastAsia="AdvEPSTIM" w:hAnsi="Book Antiqua"/>
          <w:lang w:val="en-GB"/>
        </w:rPr>
        <w:t xml:space="preserve"> All the matrons 100% do not have any certificate in food hygiene, according them it was part of the programme they studied in the 70s and 80s respectively. All the cooks do not have hygiene certificate but health certificate from municipal assembly but was also outmoded.  </w:t>
      </w:r>
      <w:r w:rsidRPr="00E3232D">
        <w:rPr>
          <w:rFonts w:ascii="Book Antiqua" w:hAnsi="Book Antiqua"/>
          <w:i/>
          <w:lang w:val="en-GB"/>
        </w:rPr>
        <w:t xml:space="preserve"> For food safety legislation</w:t>
      </w:r>
      <w:r w:rsidRPr="00E3232D">
        <w:rPr>
          <w:rFonts w:ascii="Book Antiqua" w:eastAsia="AdvEPSTIM" w:hAnsi="Book Antiqua"/>
          <w:lang w:val="en-GB"/>
        </w:rPr>
        <w:t xml:space="preserve">, both matrons and cooks were not aware of any legislative requirements known as </w:t>
      </w:r>
      <w:r w:rsidRPr="00E3232D">
        <w:rPr>
          <w:rFonts w:ascii="Book Antiqua" w:hAnsi="Book Antiqua"/>
          <w:lang w:val="en-GB"/>
        </w:rPr>
        <w:t>Hazard Analysis and Critical Control Point (HACCP)</w:t>
      </w:r>
      <w:r w:rsidRPr="00E3232D">
        <w:rPr>
          <w:rFonts w:ascii="Book Antiqua" w:eastAsia="AdvEPSTIM" w:hAnsi="Book Antiqua"/>
          <w:lang w:val="en-GB"/>
        </w:rPr>
        <w:t xml:space="preserve">’ </w:t>
      </w:r>
    </w:p>
    <w:p w14:paraId="44059772" w14:textId="77777777" w:rsidR="001762DC" w:rsidRPr="00E3232D" w:rsidRDefault="001762DC" w:rsidP="00DF27DD">
      <w:pPr>
        <w:autoSpaceDE w:val="0"/>
        <w:autoSpaceDN w:val="0"/>
        <w:adjustRightInd w:val="0"/>
        <w:spacing w:after="0"/>
        <w:jc w:val="both"/>
        <w:rPr>
          <w:rFonts w:ascii="Book Antiqua" w:eastAsia="AdvEPSTIM" w:hAnsi="Book Antiqua"/>
          <w:lang w:val="en-GB"/>
        </w:rPr>
      </w:pPr>
    </w:p>
    <w:p w14:paraId="258FB8B9" w14:textId="77777777" w:rsidR="001762DC" w:rsidRPr="00E3232D" w:rsidRDefault="001762DC" w:rsidP="000E392A">
      <w:pPr>
        <w:autoSpaceDE w:val="0"/>
        <w:autoSpaceDN w:val="0"/>
        <w:adjustRightInd w:val="0"/>
        <w:spacing w:after="0"/>
        <w:jc w:val="both"/>
        <w:rPr>
          <w:rFonts w:ascii="Book Antiqua" w:eastAsia="AdvEPSTIM" w:hAnsi="Book Antiqua"/>
          <w:lang w:val="en-GB"/>
        </w:rPr>
      </w:pPr>
      <w:r w:rsidRPr="00AB79DE">
        <w:rPr>
          <w:rFonts w:ascii="Book Antiqua" w:eastAsia="AdvEPSTIM" w:hAnsi="Book Antiqua"/>
          <w:b/>
          <w:lang w:val="en-GB"/>
        </w:rPr>
        <w:t xml:space="preserve">  </w:t>
      </w:r>
      <w:r w:rsidRPr="00AB79DE">
        <w:rPr>
          <w:rFonts w:ascii="Book Antiqua" w:hAnsi="Book Antiqua"/>
          <w:b/>
          <w:lang w:val="en-GB"/>
        </w:rPr>
        <w:t>Food delivery, storage and inspection</w:t>
      </w:r>
      <w:r w:rsidRPr="00AB79DE">
        <w:rPr>
          <w:rFonts w:ascii="Book Antiqua" w:eastAsia="AdvEPSTIM" w:hAnsi="Book Antiqua"/>
          <w:b/>
          <w:lang w:val="en-GB"/>
        </w:rPr>
        <w:t>:</w:t>
      </w:r>
      <w:r w:rsidRPr="00E3232D">
        <w:rPr>
          <w:rFonts w:ascii="Book Antiqua" w:eastAsia="AdvEPSTIM" w:hAnsi="Book Antiqua"/>
          <w:lang w:val="en-GB"/>
        </w:rPr>
        <w:t xml:space="preserve"> This survey found that the inspection of raw</w:t>
      </w:r>
      <w:r w:rsidRPr="00E3232D">
        <w:rPr>
          <w:rFonts w:ascii="Book Antiqua" w:hAnsi="Book Antiqua"/>
          <w:lang w:val="en-GB"/>
        </w:rPr>
        <w:t xml:space="preserve"> </w:t>
      </w:r>
      <w:r w:rsidRPr="00E3232D">
        <w:rPr>
          <w:rFonts w:ascii="Book Antiqua" w:eastAsia="AdvEPSTIM" w:hAnsi="Book Antiqua"/>
          <w:lang w:val="en-GB"/>
        </w:rPr>
        <w:t xml:space="preserve">material/food deliveries varies from one school to the other. The senior Domestic bursar does the inspection in one of the schools whilst the matron does the inspection in other schools as well as the bursar.  It is very interesting to state that in one of the selected schools the study revealed that, purchasing and </w:t>
      </w:r>
      <w:r w:rsidRPr="00E3232D">
        <w:rPr>
          <w:rFonts w:ascii="Book Antiqua" w:eastAsia="AdvEPSTIM" w:hAnsi="Book Antiqua"/>
          <w:lang w:val="en-GB"/>
        </w:rPr>
        <w:lastRenderedPageBreak/>
        <w:t>delivery is done by the school bursar and others the proprietor.  Also inspections of food stuff are based on a standard developed internally in the various schools.</w:t>
      </w:r>
    </w:p>
    <w:p w14:paraId="15AE4F8D" w14:textId="77777777" w:rsidR="001762DC" w:rsidRPr="00E3232D" w:rsidRDefault="001762DC" w:rsidP="000E392A">
      <w:pPr>
        <w:autoSpaceDE w:val="0"/>
        <w:autoSpaceDN w:val="0"/>
        <w:adjustRightInd w:val="0"/>
        <w:spacing w:after="0"/>
        <w:jc w:val="both"/>
        <w:rPr>
          <w:rFonts w:ascii="Book Antiqua" w:eastAsia="AdvEPSTIM" w:hAnsi="Book Antiqua"/>
          <w:lang w:val="en-GB"/>
        </w:rPr>
      </w:pPr>
    </w:p>
    <w:p w14:paraId="5B2E8C7E" w14:textId="77777777" w:rsidR="001762DC" w:rsidRPr="00E3232D" w:rsidRDefault="001762DC" w:rsidP="000E392A">
      <w:pPr>
        <w:autoSpaceDE w:val="0"/>
        <w:autoSpaceDN w:val="0"/>
        <w:adjustRightInd w:val="0"/>
        <w:spacing w:after="0"/>
        <w:jc w:val="both"/>
        <w:rPr>
          <w:rFonts w:ascii="Book Antiqua" w:eastAsia="AdvEPSTIM" w:hAnsi="Book Antiqua"/>
          <w:lang w:val="en-GB"/>
        </w:rPr>
      </w:pPr>
      <w:r w:rsidRPr="00AB79DE">
        <w:rPr>
          <w:rFonts w:ascii="Book Antiqua" w:eastAsia="AdvEPSTIM" w:hAnsi="Book Antiqua"/>
          <w:b/>
          <w:lang w:val="en-GB"/>
        </w:rPr>
        <w:t>Chilled/frozen storage</w:t>
      </w:r>
      <w:r w:rsidRPr="00E3232D">
        <w:rPr>
          <w:rFonts w:ascii="Book Antiqua" w:eastAsia="AdvEPSTIM" w:hAnsi="Book Antiqua"/>
          <w:lang w:val="en-GB"/>
        </w:rPr>
        <w:t xml:space="preserve">: For chilling and freezing of food stuff  the findings revealed that,  the  interviewees do not know the recommended  temperature  for storage of food items in the fridge or the refrigerator and non-of them have </w:t>
      </w:r>
      <w:r w:rsidRPr="00E3232D">
        <w:rPr>
          <w:rFonts w:ascii="Book Antiqua" w:hAnsi="Book Antiqua"/>
          <w:lang w:val="en-GB"/>
        </w:rPr>
        <w:t xml:space="preserve"> thermometer in the freezer unit.  Temperature of food items was never checked.  Fish and meat products were stored in the same freezer with other food items and may lead to cross-contamination.</w:t>
      </w:r>
    </w:p>
    <w:p w14:paraId="23D0A76D" w14:textId="77777777" w:rsidR="002E553D" w:rsidRDefault="002E553D" w:rsidP="00DF27DD">
      <w:pPr>
        <w:autoSpaceDE w:val="0"/>
        <w:autoSpaceDN w:val="0"/>
        <w:adjustRightInd w:val="0"/>
        <w:spacing w:after="0"/>
        <w:jc w:val="both"/>
        <w:rPr>
          <w:rFonts w:ascii="Book Antiqua" w:eastAsia="AdvEPSTIM" w:hAnsi="Book Antiqua"/>
          <w:lang w:val="en-GB"/>
        </w:rPr>
      </w:pPr>
    </w:p>
    <w:p w14:paraId="16B3B86C" w14:textId="77777777" w:rsidR="001762DC" w:rsidRPr="00AB79DE" w:rsidRDefault="001762DC" w:rsidP="000E392A">
      <w:pPr>
        <w:autoSpaceDE w:val="0"/>
        <w:autoSpaceDN w:val="0"/>
        <w:adjustRightInd w:val="0"/>
        <w:jc w:val="both"/>
        <w:rPr>
          <w:rFonts w:ascii="Book Antiqua" w:hAnsi="Book Antiqua"/>
          <w:b/>
          <w:lang w:val="en-GB"/>
        </w:rPr>
      </w:pPr>
      <w:r w:rsidRPr="00AB79DE">
        <w:rPr>
          <w:rFonts w:ascii="Book Antiqua" w:hAnsi="Book Antiqua"/>
          <w:b/>
          <w:lang w:val="en-GB"/>
        </w:rPr>
        <w:t>Hygiene/cleaning</w:t>
      </w:r>
    </w:p>
    <w:p w14:paraId="07B6C714" w14:textId="77777777" w:rsidR="001762DC" w:rsidRPr="00E3232D" w:rsidRDefault="001762DC" w:rsidP="000E392A">
      <w:pPr>
        <w:autoSpaceDE w:val="0"/>
        <w:autoSpaceDN w:val="0"/>
        <w:adjustRightInd w:val="0"/>
        <w:jc w:val="both"/>
        <w:rPr>
          <w:rFonts w:ascii="Book Antiqua" w:eastAsia="AdvEPSTIM" w:hAnsi="Book Antiqua"/>
          <w:lang w:val="en-GB"/>
        </w:rPr>
      </w:pPr>
      <w:r w:rsidRPr="00E3232D">
        <w:rPr>
          <w:rFonts w:ascii="Book Antiqua" w:hAnsi="Book Antiqua"/>
          <w:lang w:val="en-GB"/>
        </w:rPr>
        <w:t xml:space="preserve"> The findings also revealed that, the same cutting boards</w:t>
      </w:r>
      <w:r w:rsidRPr="00E3232D">
        <w:rPr>
          <w:rFonts w:ascii="Book Antiqua" w:eastAsia="AdvEPSTIM" w:hAnsi="Book Antiqua"/>
          <w:lang w:val="en-GB"/>
        </w:rPr>
        <w:t xml:space="preserve"> are used for fresh fish, meat and other vegetables. For vegetables, boards are normally cleaned after using or the back turn. Chopping boards are not colour coded thus the risk of cross- contamination quite high.</w:t>
      </w:r>
      <w:r w:rsidRPr="00E3232D">
        <w:rPr>
          <w:rFonts w:ascii="Book Antiqua" w:hAnsi="Book Antiqua"/>
          <w:lang w:val="en-GB"/>
        </w:rPr>
        <w:t xml:space="preserve"> The same type of knife</w:t>
      </w:r>
      <w:r w:rsidRPr="00E3232D">
        <w:rPr>
          <w:rFonts w:ascii="Book Antiqua" w:eastAsia="AdvEPSTIM" w:hAnsi="Book Antiqua"/>
          <w:lang w:val="en-GB"/>
        </w:rPr>
        <w:t xml:space="preserve"> is used for cutting raw fish, meat and vegetable. Refrigerators and work tops are cleaned regularly with soap and in some cases detergents.  Almost all kitchens have   designated sink(s) for washing equipment. However, scrubbing of kitchen floors was   done with brooms and other detergent. Ordinary soaps are used to clean after handling raw fish, meat and egg product. Old rugs are used for minor cleaning with sponge.</w:t>
      </w:r>
      <w:r w:rsidRPr="00E3232D">
        <w:rPr>
          <w:rFonts w:ascii="Book Antiqua" w:eastAsia="AdvEPSTIM" w:hAnsi="Book Antiqua"/>
          <w:i/>
          <w:lang w:val="en-GB"/>
        </w:rPr>
        <w:t xml:space="preserve"> </w:t>
      </w:r>
      <w:r w:rsidRPr="00E3232D">
        <w:rPr>
          <w:rFonts w:ascii="Book Antiqua" w:eastAsia="AdvEPSTIM" w:hAnsi="Book Antiqua"/>
          <w:lang w:val="en-GB"/>
        </w:rPr>
        <w:t xml:space="preserve">The study also revealed that, meat and fish are </w:t>
      </w:r>
      <w:r w:rsidRPr="00E3232D">
        <w:rPr>
          <w:rFonts w:ascii="Book Antiqua" w:eastAsia="AdvEPSTIM" w:hAnsi="Book Antiqua"/>
          <w:lang w:val="en-GB"/>
        </w:rPr>
        <w:t xml:space="preserve">defrosted by immersion into water.  Boiling is a major cooking methods used in all the kitchens. </w:t>
      </w:r>
    </w:p>
    <w:p w14:paraId="09FFF474" w14:textId="77777777" w:rsidR="001762DC" w:rsidRPr="00AB79DE" w:rsidRDefault="001762DC" w:rsidP="000E392A">
      <w:pPr>
        <w:autoSpaceDE w:val="0"/>
        <w:autoSpaceDN w:val="0"/>
        <w:adjustRightInd w:val="0"/>
        <w:jc w:val="both"/>
        <w:rPr>
          <w:rFonts w:ascii="Book Antiqua" w:hAnsi="Book Antiqua"/>
          <w:b/>
          <w:lang w:val="en-GB"/>
        </w:rPr>
      </w:pPr>
      <w:r w:rsidRPr="00AB79DE">
        <w:rPr>
          <w:rFonts w:ascii="Book Antiqua" w:hAnsi="Book Antiqua"/>
          <w:b/>
          <w:lang w:val="en-GB"/>
        </w:rPr>
        <w:t>Knowledge of foodborne bacterial pathogens</w:t>
      </w:r>
    </w:p>
    <w:p w14:paraId="3B51C3BB" w14:textId="77777777" w:rsidR="00817ACF" w:rsidRPr="000E392A" w:rsidRDefault="001762DC" w:rsidP="000E392A">
      <w:pPr>
        <w:autoSpaceDE w:val="0"/>
        <w:autoSpaceDN w:val="0"/>
        <w:adjustRightInd w:val="0"/>
        <w:jc w:val="both"/>
        <w:rPr>
          <w:rFonts w:ascii="Book Antiqua" w:eastAsia="AdvEPSTIM" w:hAnsi="Book Antiqua"/>
          <w:lang w:val="en-GB"/>
        </w:rPr>
      </w:pPr>
      <w:r w:rsidRPr="00E3232D">
        <w:rPr>
          <w:rFonts w:ascii="Book Antiqua" w:eastAsia="AdvEPSTIM" w:hAnsi="Book Antiqua"/>
          <w:lang w:val="en-GB"/>
        </w:rPr>
        <w:t xml:space="preserve">Between 50 to 60% of the respondents are aware of </w:t>
      </w:r>
      <w:r w:rsidRPr="00E3232D">
        <w:rPr>
          <w:rFonts w:ascii="Book Antiqua" w:hAnsi="Book Antiqua"/>
          <w:lang w:val="en-GB"/>
        </w:rPr>
        <w:t>Salmonella,</w:t>
      </w:r>
      <w:r w:rsidRPr="00E3232D">
        <w:rPr>
          <w:rFonts w:ascii="Book Antiqua" w:eastAsia="AdvEPSTIM" w:hAnsi="Book Antiqua"/>
          <w:lang w:val="en-GB"/>
        </w:rPr>
        <w:t xml:space="preserve"> </w:t>
      </w:r>
      <w:r w:rsidRPr="00E3232D">
        <w:rPr>
          <w:rFonts w:ascii="Book Antiqua" w:hAnsi="Book Antiqua"/>
          <w:lang w:val="en-GB"/>
        </w:rPr>
        <w:t xml:space="preserve">Staphylococcus aureus </w:t>
      </w:r>
      <w:r w:rsidRPr="00E3232D">
        <w:rPr>
          <w:rFonts w:ascii="Book Antiqua" w:eastAsia="AdvEPSTIM" w:hAnsi="Book Antiqua"/>
          <w:lang w:val="en-GB"/>
        </w:rPr>
        <w:t>Clostridium</w:t>
      </w:r>
      <w:r w:rsidRPr="00E3232D">
        <w:rPr>
          <w:rFonts w:ascii="Book Antiqua" w:hAnsi="Book Antiqua"/>
          <w:lang w:val="en-GB"/>
        </w:rPr>
        <w:t xml:space="preserve"> botulinum. </w:t>
      </w:r>
      <w:r w:rsidRPr="00E3232D">
        <w:rPr>
          <w:rFonts w:ascii="Book Antiqua" w:eastAsia="AdvEPSTIM" w:hAnsi="Book Antiqua"/>
          <w:lang w:val="en-GB"/>
        </w:rPr>
        <w:t xml:space="preserve"> However, some of the respondents were not aware of </w:t>
      </w:r>
      <w:r w:rsidRPr="00E3232D">
        <w:rPr>
          <w:rFonts w:ascii="Book Antiqua" w:hAnsi="Book Antiqua"/>
          <w:lang w:val="en-GB"/>
        </w:rPr>
        <w:t>Bacillus cereus,</w:t>
      </w:r>
      <w:r w:rsidRPr="00E3232D">
        <w:rPr>
          <w:rFonts w:ascii="Book Antiqua" w:eastAsia="AdvEPSTIM" w:hAnsi="Book Antiqua"/>
          <w:lang w:val="en-GB"/>
        </w:rPr>
        <w:t xml:space="preserve"> </w:t>
      </w:r>
      <w:r w:rsidRPr="00E3232D">
        <w:rPr>
          <w:rFonts w:ascii="Book Antiqua" w:hAnsi="Book Antiqua"/>
          <w:lang w:val="en-GB"/>
        </w:rPr>
        <w:t xml:space="preserve">Campylobacter </w:t>
      </w:r>
      <w:r w:rsidRPr="00E3232D">
        <w:rPr>
          <w:rFonts w:ascii="Book Antiqua" w:eastAsia="AdvEPSTIM" w:hAnsi="Book Antiqua"/>
          <w:lang w:val="en-GB"/>
        </w:rPr>
        <w:t xml:space="preserve">and </w:t>
      </w:r>
      <w:r w:rsidRPr="00E3232D">
        <w:rPr>
          <w:rFonts w:ascii="Book Antiqua" w:hAnsi="Book Antiqua"/>
          <w:lang w:val="en-GB"/>
        </w:rPr>
        <w:t>Clostridium perfringens</w:t>
      </w:r>
      <w:r w:rsidRPr="00E3232D">
        <w:rPr>
          <w:rFonts w:ascii="Book Antiqua" w:eastAsia="AdvEPSTIM" w:hAnsi="Book Antiqua"/>
          <w:lang w:val="en-GB"/>
        </w:rPr>
        <w:t xml:space="preserve">. Less than 15% of respondents  have an idea of </w:t>
      </w:r>
      <w:r w:rsidRPr="00E3232D">
        <w:rPr>
          <w:rFonts w:ascii="Book Antiqua" w:hAnsi="Book Antiqua"/>
          <w:lang w:val="en-GB"/>
        </w:rPr>
        <w:t>Shigella.</w:t>
      </w:r>
      <w:r w:rsidRPr="00E3232D">
        <w:rPr>
          <w:rFonts w:ascii="Book Antiqua" w:eastAsia="AdvEPSTIM" w:hAnsi="Book Antiqua"/>
          <w:lang w:val="en-GB"/>
        </w:rPr>
        <w:t xml:space="preserve"> With the exception of </w:t>
      </w:r>
      <w:r w:rsidRPr="00E3232D">
        <w:rPr>
          <w:rFonts w:ascii="Book Antiqua" w:hAnsi="Book Antiqua"/>
          <w:lang w:val="en-GB"/>
        </w:rPr>
        <w:t xml:space="preserve">Salmonella </w:t>
      </w:r>
      <w:r w:rsidRPr="00E3232D">
        <w:rPr>
          <w:rFonts w:ascii="Book Antiqua" w:eastAsia="AdvEPSTIM" w:hAnsi="Book Antiqua"/>
          <w:lang w:val="en-GB"/>
        </w:rPr>
        <w:t>and poultry, matrons and chief cooks reported little knowledge of the association between particular bacterial pathogens and specific food.</w:t>
      </w:r>
    </w:p>
    <w:p w14:paraId="4ACEC29C" w14:textId="77777777" w:rsidR="001762DC" w:rsidRPr="00E3232D" w:rsidRDefault="001762DC" w:rsidP="008275E1">
      <w:pPr>
        <w:rPr>
          <w:rFonts w:ascii="Book Antiqua" w:hAnsi="Book Antiqua"/>
          <w:b/>
        </w:rPr>
      </w:pPr>
      <w:r w:rsidRPr="00E3232D">
        <w:rPr>
          <w:rFonts w:ascii="Book Antiqua" w:hAnsi="Book Antiqua"/>
          <w:b/>
        </w:rPr>
        <w:t>Descriptive statistics of food safety practices</w:t>
      </w:r>
    </w:p>
    <w:tbl>
      <w:tblPr>
        <w:tblW w:w="4602" w:type="dxa"/>
        <w:tblInd w:w="18" w:type="dxa"/>
        <w:tblBorders>
          <w:top w:val="single" w:sz="8" w:space="0" w:color="4F81BD"/>
          <w:bottom w:val="single" w:sz="8" w:space="0" w:color="4F81BD"/>
        </w:tblBorders>
        <w:tblLayout w:type="fixed"/>
        <w:tblLook w:val="0000" w:firstRow="0" w:lastRow="0" w:firstColumn="0" w:lastColumn="0" w:noHBand="0" w:noVBand="0"/>
      </w:tblPr>
      <w:tblGrid>
        <w:gridCol w:w="1045"/>
        <w:gridCol w:w="1476"/>
        <w:gridCol w:w="2081"/>
      </w:tblGrid>
      <w:tr w:rsidR="001762DC" w:rsidRPr="00D12E59" w14:paraId="41A8FC98" w14:textId="77777777" w:rsidTr="000E392A">
        <w:trPr>
          <w:trHeight w:val="333"/>
        </w:trPr>
        <w:tc>
          <w:tcPr>
            <w:tcW w:w="1045" w:type="dxa"/>
            <w:shd w:val="clear" w:color="auto" w:fill="auto"/>
          </w:tcPr>
          <w:p w14:paraId="790CC72A"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Practice</w:t>
            </w:r>
          </w:p>
        </w:tc>
        <w:tc>
          <w:tcPr>
            <w:tcW w:w="1476" w:type="dxa"/>
            <w:shd w:val="clear" w:color="auto" w:fill="auto"/>
          </w:tcPr>
          <w:p w14:paraId="7A41970E"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Mean</w:t>
            </w:r>
          </w:p>
        </w:tc>
        <w:tc>
          <w:tcPr>
            <w:tcW w:w="2081" w:type="dxa"/>
            <w:shd w:val="clear" w:color="auto" w:fill="auto"/>
          </w:tcPr>
          <w:p w14:paraId="414CFD94"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Std. Deviation</w:t>
            </w:r>
          </w:p>
        </w:tc>
      </w:tr>
      <w:tr w:rsidR="001762DC" w:rsidRPr="00D12E59" w14:paraId="4175B548" w14:textId="77777777" w:rsidTr="000E392A">
        <w:trPr>
          <w:trHeight w:val="333"/>
        </w:trPr>
        <w:tc>
          <w:tcPr>
            <w:tcW w:w="1045" w:type="dxa"/>
            <w:shd w:val="clear" w:color="auto" w:fill="auto"/>
          </w:tcPr>
          <w:p w14:paraId="0AEF274B"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v1</w:t>
            </w:r>
          </w:p>
        </w:tc>
        <w:tc>
          <w:tcPr>
            <w:tcW w:w="1476" w:type="dxa"/>
            <w:shd w:val="clear" w:color="auto" w:fill="auto"/>
          </w:tcPr>
          <w:p w14:paraId="13C31415"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1.03</w:t>
            </w:r>
          </w:p>
        </w:tc>
        <w:tc>
          <w:tcPr>
            <w:tcW w:w="2081" w:type="dxa"/>
            <w:shd w:val="clear" w:color="auto" w:fill="auto"/>
          </w:tcPr>
          <w:p w14:paraId="3DE62712"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.18</w:t>
            </w:r>
          </w:p>
        </w:tc>
      </w:tr>
      <w:tr w:rsidR="001762DC" w:rsidRPr="00D12E59" w14:paraId="693F7D8E" w14:textId="77777777" w:rsidTr="000E392A">
        <w:trPr>
          <w:trHeight w:val="333"/>
        </w:trPr>
        <w:tc>
          <w:tcPr>
            <w:tcW w:w="1045" w:type="dxa"/>
            <w:shd w:val="clear" w:color="auto" w:fill="auto"/>
          </w:tcPr>
          <w:p w14:paraId="5BB85988"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v2</w:t>
            </w:r>
          </w:p>
        </w:tc>
        <w:tc>
          <w:tcPr>
            <w:tcW w:w="1476" w:type="dxa"/>
            <w:shd w:val="clear" w:color="auto" w:fill="auto"/>
          </w:tcPr>
          <w:p w14:paraId="4A4F9018"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1.08</w:t>
            </w:r>
          </w:p>
        </w:tc>
        <w:tc>
          <w:tcPr>
            <w:tcW w:w="2081" w:type="dxa"/>
            <w:shd w:val="clear" w:color="auto" w:fill="auto"/>
          </w:tcPr>
          <w:p w14:paraId="6957D2D1"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.28</w:t>
            </w:r>
          </w:p>
        </w:tc>
      </w:tr>
      <w:tr w:rsidR="001762DC" w:rsidRPr="00D12E59" w14:paraId="415CCE17" w14:textId="77777777" w:rsidTr="000E392A">
        <w:trPr>
          <w:trHeight w:val="333"/>
        </w:trPr>
        <w:tc>
          <w:tcPr>
            <w:tcW w:w="1045" w:type="dxa"/>
            <w:shd w:val="clear" w:color="auto" w:fill="auto"/>
          </w:tcPr>
          <w:p w14:paraId="43C0A46D"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v3</w:t>
            </w:r>
          </w:p>
        </w:tc>
        <w:tc>
          <w:tcPr>
            <w:tcW w:w="1476" w:type="dxa"/>
            <w:shd w:val="clear" w:color="auto" w:fill="auto"/>
          </w:tcPr>
          <w:p w14:paraId="5070BC65"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1.13</w:t>
            </w:r>
          </w:p>
        </w:tc>
        <w:tc>
          <w:tcPr>
            <w:tcW w:w="2081" w:type="dxa"/>
            <w:shd w:val="clear" w:color="auto" w:fill="auto"/>
          </w:tcPr>
          <w:p w14:paraId="0FF83D85"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.34</w:t>
            </w:r>
          </w:p>
        </w:tc>
      </w:tr>
      <w:tr w:rsidR="001762DC" w:rsidRPr="00D12E59" w14:paraId="3D328FAA" w14:textId="77777777" w:rsidTr="000E392A">
        <w:trPr>
          <w:trHeight w:val="333"/>
        </w:trPr>
        <w:tc>
          <w:tcPr>
            <w:tcW w:w="1045" w:type="dxa"/>
            <w:shd w:val="clear" w:color="auto" w:fill="auto"/>
          </w:tcPr>
          <w:p w14:paraId="205B19BB"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v4</w:t>
            </w:r>
          </w:p>
        </w:tc>
        <w:tc>
          <w:tcPr>
            <w:tcW w:w="1476" w:type="dxa"/>
            <w:shd w:val="clear" w:color="auto" w:fill="auto"/>
          </w:tcPr>
          <w:p w14:paraId="61F6D873"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1.15</w:t>
            </w:r>
          </w:p>
        </w:tc>
        <w:tc>
          <w:tcPr>
            <w:tcW w:w="2081" w:type="dxa"/>
            <w:shd w:val="clear" w:color="auto" w:fill="auto"/>
          </w:tcPr>
          <w:p w14:paraId="55DA927C"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.44</w:t>
            </w:r>
          </w:p>
        </w:tc>
      </w:tr>
      <w:tr w:rsidR="001762DC" w:rsidRPr="00D12E59" w14:paraId="1A0C1533" w14:textId="77777777" w:rsidTr="000E392A">
        <w:trPr>
          <w:trHeight w:val="316"/>
        </w:trPr>
        <w:tc>
          <w:tcPr>
            <w:tcW w:w="1045" w:type="dxa"/>
            <w:shd w:val="clear" w:color="auto" w:fill="auto"/>
          </w:tcPr>
          <w:p w14:paraId="57BE46D2"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v5</w:t>
            </w:r>
          </w:p>
        </w:tc>
        <w:tc>
          <w:tcPr>
            <w:tcW w:w="1476" w:type="dxa"/>
            <w:shd w:val="clear" w:color="auto" w:fill="auto"/>
          </w:tcPr>
          <w:p w14:paraId="39AFCCDE"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1.25</w:t>
            </w:r>
          </w:p>
        </w:tc>
        <w:tc>
          <w:tcPr>
            <w:tcW w:w="2081" w:type="dxa"/>
            <w:shd w:val="clear" w:color="auto" w:fill="auto"/>
          </w:tcPr>
          <w:p w14:paraId="28532DAD"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.51</w:t>
            </w:r>
          </w:p>
        </w:tc>
      </w:tr>
      <w:tr w:rsidR="001762DC" w:rsidRPr="00D12E59" w14:paraId="730435BA" w14:textId="77777777" w:rsidTr="000E392A">
        <w:trPr>
          <w:trHeight w:val="333"/>
        </w:trPr>
        <w:tc>
          <w:tcPr>
            <w:tcW w:w="1045" w:type="dxa"/>
            <w:shd w:val="clear" w:color="auto" w:fill="auto"/>
          </w:tcPr>
          <w:p w14:paraId="5C9606B7"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v6</w:t>
            </w:r>
          </w:p>
        </w:tc>
        <w:tc>
          <w:tcPr>
            <w:tcW w:w="1476" w:type="dxa"/>
            <w:shd w:val="clear" w:color="auto" w:fill="auto"/>
          </w:tcPr>
          <w:p w14:paraId="028C755F"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1.30</w:t>
            </w:r>
          </w:p>
        </w:tc>
        <w:tc>
          <w:tcPr>
            <w:tcW w:w="2081" w:type="dxa"/>
            <w:shd w:val="clear" w:color="auto" w:fill="auto"/>
          </w:tcPr>
          <w:p w14:paraId="617F7DA6"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.59</w:t>
            </w:r>
          </w:p>
        </w:tc>
      </w:tr>
      <w:tr w:rsidR="001762DC" w:rsidRPr="00D12E59" w14:paraId="6E941E8E" w14:textId="77777777" w:rsidTr="000E392A">
        <w:trPr>
          <w:trHeight w:val="333"/>
        </w:trPr>
        <w:tc>
          <w:tcPr>
            <w:tcW w:w="1045" w:type="dxa"/>
            <w:shd w:val="clear" w:color="auto" w:fill="auto"/>
          </w:tcPr>
          <w:p w14:paraId="038E0B0C"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v7</w:t>
            </w:r>
          </w:p>
        </w:tc>
        <w:tc>
          <w:tcPr>
            <w:tcW w:w="1476" w:type="dxa"/>
            <w:shd w:val="clear" w:color="auto" w:fill="auto"/>
          </w:tcPr>
          <w:p w14:paraId="7B4A832D"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1.12</w:t>
            </w:r>
          </w:p>
        </w:tc>
        <w:tc>
          <w:tcPr>
            <w:tcW w:w="2081" w:type="dxa"/>
            <w:shd w:val="clear" w:color="auto" w:fill="auto"/>
          </w:tcPr>
          <w:p w14:paraId="749761E9"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.37</w:t>
            </w:r>
          </w:p>
        </w:tc>
      </w:tr>
      <w:tr w:rsidR="001762DC" w:rsidRPr="00D12E59" w14:paraId="7E9B8E31" w14:textId="77777777" w:rsidTr="000E392A">
        <w:trPr>
          <w:trHeight w:val="316"/>
        </w:trPr>
        <w:tc>
          <w:tcPr>
            <w:tcW w:w="1045" w:type="dxa"/>
            <w:shd w:val="clear" w:color="auto" w:fill="auto"/>
          </w:tcPr>
          <w:p w14:paraId="4365119E"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v8</w:t>
            </w:r>
          </w:p>
        </w:tc>
        <w:tc>
          <w:tcPr>
            <w:tcW w:w="1476" w:type="dxa"/>
            <w:shd w:val="clear" w:color="auto" w:fill="auto"/>
          </w:tcPr>
          <w:p w14:paraId="1761A0C2"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1.25</w:t>
            </w:r>
          </w:p>
        </w:tc>
        <w:tc>
          <w:tcPr>
            <w:tcW w:w="2081" w:type="dxa"/>
            <w:shd w:val="clear" w:color="auto" w:fill="auto"/>
          </w:tcPr>
          <w:p w14:paraId="1760FB76"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.57</w:t>
            </w:r>
          </w:p>
        </w:tc>
      </w:tr>
      <w:tr w:rsidR="001762DC" w:rsidRPr="00D12E59" w14:paraId="156D0A0C" w14:textId="77777777" w:rsidTr="000E392A">
        <w:trPr>
          <w:trHeight w:val="333"/>
        </w:trPr>
        <w:tc>
          <w:tcPr>
            <w:tcW w:w="1045" w:type="dxa"/>
            <w:shd w:val="clear" w:color="auto" w:fill="auto"/>
          </w:tcPr>
          <w:p w14:paraId="30AAF413"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v9</w:t>
            </w:r>
          </w:p>
        </w:tc>
        <w:tc>
          <w:tcPr>
            <w:tcW w:w="1476" w:type="dxa"/>
            <w:shd w:val="clear" w:color="auto" w:fill="auto"/>
          </w:tcPr>
          <w:p w14:paraId="29624390"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1.22</w:t>
            </w:r>
          </w:p>
        </w:tc>
        <w:tc>
          <w:tcPr>
            <w:tcW w:w="2081" w:type="dxa"/>
            <w:shd w:val="clear" w:color="auto" w:fill="auto"/>
          </w:tcPr>
          <w:p w14:paraId="39C6A9CE"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.49</w:t>
            </w:r>
          </w:p>
        </w:tc>
      </w:tr>
      <w:tr w:rsidR="001762DC" w:rsidRPr="00D12E59" w14:paraId="00DDB943" w14:textId="77777777" w:rsidTr="000E392A">
        <w:trPr>
          <w:trHeight w:val="333"/>
        </w:trPr>
        <w:tc>
          <w:tcPr>
            <w:tcW w:w="1045" w:type="dxa"/>
            <w:shd w:val="clear" w:color="auto" w:fill="auto"/>
          </w:tcPr>
          <w:p w14:paraId="13272968"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v10</w:t>
            </w:r>
          </w:p>
        </w:tc>
        <w:tc>
          <w:tcPr>
            <w:tcW w:w="1476" w:type="dxa"/>
            <w:shd w:val="clear" w:color="auto" w:fill="auto"/>
          </w:tcPr>
          <w:p w14:paraId="606C335A"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1.35</w:t>
            </w:r>
          </w:p>
        </w:tc>
        <w:tc>
          <w:tcPr>
            <w:tcW w:w="2081" w:type="dxa"/>
            <w:shd w:val="clear" w:color="auto" w:fill="auto"/>
          </w:tcPr>
          <w:p w14:paraId="31FAE2DB"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.58</w:t>
            </w:r>
          </w:p>
        </w:tc>
      </w:tr>
      <w:tr w:rsidR="001762DC" w:rsidRPr="00D12E59" w14:paraId="4F7E0368" w14:textId="77777777" w:rsidTr="000E392A">
        <w:trPr>
          <w:trHeight w:val="333"/>
        </w:trPr>
        <w:tc>
          <w:tcPr>
            <w:tcW w:w="1045" w:type="dxa"/>
            <w:shd w:val="clear" w:color="auto" w:fill="auto"/>
          </w:tcPr>
          <w:p w14:paraId="551900AD"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v11</w:t>
            </w:r>
          </w:p>
        </w:tc>
        <w:tc>
          <w:tcPr>
            <w:tcW w:w="1476" w:type="dxa"/>
            <w:shd w:val="clear" w:color="auto" w:fill="auto"/>
          </w:tcPr>
          <w:p w14:paraId="3B3BD5AD"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1.20</w:t>
            </w:r>
          </w:p>
        </w:tc>
        <w:tc>
          <w:tcPr>
            <w:tcW w:w="2081" w:type="dxa"/>
            <w:shd w:val="clear" w:color="auto" w:fill="auto"/>
          </w:tcPr>
          <w:p w14:paraId="01811136"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.48</w:t>
            </w:r>
          </w:p>
        </w:tc>
      </w:tr>
      <w:tr w:rsidR="001762DC" w:rsidRPr="00D12E59" w14:paraId="54F1D448" w14:textId="77777777" w:rsidTr="000E392A">
        <w:trPr>
          <w:trHeight w:val="316"/>
        </w:trPr>
        <w:tc>
          <w:tcPr>
            <w:tcW w:w="1045" w:type="dxa"/>
            <w:shd w:val="clear" w:color="auto" w:fill="auto"/>
          </w:tcPr>
          <w:p w14:paraId="30558EDD"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v12</w:t>
            </w:r>
          </w:p>
        </w:tc>
        <w:tc>
          <w:tcPr>
            <w:tcW w:w="1476" w:type="dxa"/>
            <w:shd w:val="clear" w:color="auto" w:fill="auto"/>
          </w:tcPr>
          <w:p w14:paraId="5D5690AC"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1.32</w:t>
            </w:r>
          </w:p>
        </w:tc>
        <w:tc>
          <w:tcPr>
            <w:tcW w:w="2081" w:type="dxa"/>
            <w:shd w:val="clear" w:color="auto" w:fill="auto"/>
          </w:tcPr>
          <w:p w14:paraId="5CF8EEE6" w14:textId="77777777" w:rsidR="001762DC" w:rsidRPr="00D12E59" w:rsidRDefault="001762DC" w:rsidP="00AB79DE">
            <w:pPr>
              <w:spacing w:after="0" w:line="240" w:lineRule="auto"/>
              <w:rPr>
                <w:rFonts w:ascii="Book Antiqua" w:hAnsi="Book Antiqua"/>
                <w:color w:val="365F91"/>
              </w:rPr>
            </w:pPr>
            <w:r w:rsidRPr="00D12E59">
              <w:rPr>
                <w:rFonts w:ascii="Book Antiqua" w:hAnsi="Book Antiqua"/>
                <w:color w:val="365F91"/>
              </w:rPr>
              <w:t>.50</w:t>
            </w:r>
          </w:p>
        </w:tc>
      </w:tr>
    </w:tbl>
    <w:p w14:paraId="5C69A91E" w14:textId="77777777" w:rsidR="000E392A" w:rsidRDefault="001762DC" w:rsidP="00AB79DE">
      <w:pPr>
        <w:spacing w:after="0"/>
        <w:rPr>
          <w:rFonts w:ascii="Book Antiqua" w:hAnsi="Book Antiqua"/>
        </w:rPr>
      </w:pPr>
      <w:r w:rsidRPr="00E3232D">
        <w:rPr>
          <w:rFonts w:ascii="Book Antiqua" w:hAnsi="Book Antiqua"/>
          <w:b/>
        </w:rPr>
        <w:t xml:space="preserve"> </w:t>
      </w:r>
      <w:r w:rsidRPr="00E3232D">
        <w:rPr>
          <w:rFonts w:ascii="Book Antiqua" w:hAnsi="Book Antiqua"/>
        </w:rPr>
        <w:t>Source Field Data, 2012</w:t>
      </w:r>
    </w:p>
    <w:p w14:paraId="5C89D15E" w14:textId="77777777" w:rsidR="001762DC" w:rsidRPr="00E3232D" w:rsidRDefault="001762DC" w:rsidP="000E392A">
      <w:pPr>
        <w:jc w:val="both"/>
        <w:rPr>
          <w:rFonts w:ascii="Book Antiqua" w:hAnsi="Book Antiqua"/>
        </w:rPr>
      </w:pPr>
      <w:r w:rsidRPr="00E3232D">
        <w:rPr>
          <w:rFonts w:ascii="Book Antiqua" w:hAnsi="Book Antiqua"/>
        </w:rPr>
        <w:t xml:space="preserve"> The descriptive statistics table of food safety practices showed the mean and standard deviation of the various practices. It was indicated that V1, V2, V7 </w:t>
      </w:r>
      <w:r w:rsidRPr="00E3232D">
        <w:rPr>
          <w:rFonts w:ascii="Book Antiqua" w:hAnsi="Book Antiqua"/>
        </w:rPr>
        <w:lastRenderedPageBreak/>
        <w:t>and V4 were having the least mean showing how important they are considered by the respondents respectively.V1 was highly rated among all the respondents while V10 was the least rated.</w:t>
      </w:r>
    </w:p>
    <w:p w14:paraId="2E31EB73" w14:textId="77777777" w:rsidR="00085CA1" w:rsidRDefault="001762DC" w:rsidP="000E392A">
      <w:pPr>
        <w:jc w:val="both"/>
        <w:rPr>
          <w:rFonts w:ascii="Book Antiqua" w:hAnsi="Book Antiqua"/>
          <w:b/>
        </w:rPr>
      </w:pPr>
      <w:r w:rsidRPr="00E3232D">
        <w:rPr>
          <w:rFonts w:ascii="Book Antiqua" w:hAnsi="Book Antiqua"/>
        </w:rPr>
        <w:t>The standard deviation also showed that there exist variations in the choice of practice adopted by the respondents. It was observed that, the variations in V1 among all the respondents were very insignificant but very significant when compared with other practices such as V4, V5, V6, V8, V9, V10, V11 and V12.</w:t>
      </w:r>
      <w:r w:rsidRPr="00E3232D">
        <w:rPr>
          <w:rFonts w:ascii="Book Antiqua" w:hAnsi="Book Antiqua"/>
        </w:rPr>
        <w:tab/>
      </w:r>
    </w:p>
    <w:p w14:paraId="4C226E9F" w14:textId="77777777" w:rsidR="00DF27DD" w:rsidRDefault="00DF27DD" w:rsidP="00DF27DD">
      <w:pPr>
        <w:spacing w:after="0"/>
        <w:jc w:val="both"/>
        <w:rPr>
          <w:rFonts w:ascii="Book Antiqua" w:hAnsi="Book Antiqua"/>
          <w:b/>
        </w:rPr>
      </w:pPr>
    </w:p>
    <w:p w14:paraId="5FFAAD6A" w14:textId="77777777" w:rsidR="001762DC" w:rsidRPr="00E3232D" w:rsidRDefault="001762DC" w:rsidP="000E392A">
      <w:pPr>
        <w:jc w:val="both"/>
        <w:rPr>
          <w:rFonts w:ascii="Book Antiqua" w:hAnsi="Book Antiqua"/>
        </w:rPr>
      </w:pPr>
      <w:r w:rsidRPr="00E3232D">
        <w:rPr>
          <w:rFonts w:ascii="Book Antiqua" w:hAnsi="Book Antiqua"/>
          <w:b/>
        </w:rPr>
        <w:t>Correlation analysis of food safety practices</w:t>
      </w:r>
      <w:r w:rsidRPr="00E3232D">
        <w:rPr>
          <w:rFonts w:ascii="Book Antiqua" w:hAnsi="Book Antiqua"/>
        </w:rPr>
        <w:t xml:space="preserve"> </w:t>
      </w:r>
    </w:p>
    <w:p w14:paraId="2EDBABAD" w14:textId="77777777" w:rsidR="001762DC" w:rsidRPr="00E3232D" w:rsidRDefault="001762DC" w:rsidP="000E392A">
      <w:pPr>
        <w:spacing w:after="0"/>
        <w:jc w:val="both"/>
        <w:rPr>
          <w:rFonts w:ascii="Book Antiqua" w:hAnsi="Book Antiqua"/>
        </w:rPr>
      </w:pPr>
      <w:r w:rsidRPr="00E3232D">
        <w:rPr>
          <w:rFonts w:ascii="Book Antiqua" w:hAnsi="Book Antiqua"/>
        </w:rPr>
        <w:t>It was demonstrated that the original factors are correlated and hence, the highest correlation being 0.63 and 0.62 showing that there is similarity in the food safety practices in V11 and V2</w:t>
      </w:r>
      <w:r w:rsidRPr="00E3232D">
        <w:rPr>
          <w:rFonts w:ascii="Book Antiqua" w:hAnsi="Book Antiqua"/>
          <w:b/>
        </w:rPr>
        <w:t>,</w:t>
      </w:r>
      <w:r w:rsidRPr="00E3232D">
        <w:rPr>
          <w:rFonts w:ascii="Book Antiqua" w:hAnsi="Book Antiqua"/>
        </w:rPr>
        <w:t xml:space="preserve"> V2 and V1 among the respondent.V7 and V5 also showed a substantial relationship of 0.56, meaning the same differences in the mode of practices.  </w:t>
      </w:r>
    </w:p>
    <w:p w14:paraId="3C55E277" w14:textId="77777777" w:rsidR="00451800" w:rsidRDefault="00451800" w:rsidP="000E392A">
      <w:pPr>
        <w:spacing w:after="0"/>
        <w:jc w:val="both"/>
        <w:rPr>
          <w:rFonts w:ascii="Book Antiqua" w:hAnsi="Book Antiqua"/>
        </w:rPr>
      </w:pPr>
    </w:p>
    <w:p w14:paraId="45DDC82C" w14:textId="77777777" w:rsidR="001762DC" w:rsidRPr="00E3232D" w:rsidRDefault="001762DC" w:rsidP="000E392A">
      <w:pPr>
        <w:spacing w:after="0"/>
        <w:jc w:val="both"/>
        <w:rPr>
          <w:rFonts w:ascii="Book Antiqua" w:hAnsi="Book Antiqua"/>
        </w:rPr>
      </w:pPr>
      <w:r w:rsidRPr="00E3232D">
        <w:rPr>
          <w:rFonts w:ascii="Book Antiqua" w:hAnsi="Book Antiqua"/>
        </w:rPr>
        <w:t xml:space="preserve">Also V5 and V6, V9 and V7, V11 and V10, V12 and V10, V12 and V11 showed that there exists an equal difference in food safety practices among the respondents with a marked relationship of 0.48, 0.42, 0.44 and 0.43. Therefore V2 and V1 share something in general. This implies that V2 and V11, V7 and V5, V11 and V12 could be grouped as having something in common. The following also have some similarities but not as strong as those </w:t>
      </w:r>
      <w:r w:rsidRPr="00E3232D">
        <w:rPr>
          <w:rFonts w:ascii="Book Antiqua" w:hAnsi="Book Antiqua"/>
        </w:rPr>
        <w:t>mentioned above. These include V1, V3, V4, V5 and V10.</w:t>
      </w:r>
    </w:p>
    <w:p w14:paraId="68550AC3" w14:textId="77777777" w:rsidR="003B5519" w:rsidRPr="002E553D" w:rsidRDefault="001762DC" w:rsidP="00DF27DD">
      <w:pPr>
        <w:spacing w:after="0"/>
        <w:jc w:val="both"/>
        <w:rPr>
          <w:rFonts w:ascii="Book Antiqua" w:hAnsi="Book Antiqua"/>
        </w:rPr>
      </w:pPr>
      <w:r w:rsidRPr="00E3232D">
        <w:rPr>
          <w:rFonts w:ascii="Book Antiqua" w:hAnsi="Book Antiqua"/>
        </w:rPr>
        <w:t xml:space="preserve"> </w:t>
      </w:r>
    </w:p>
    <w:p w14:paraId="218ABF52" w14:textId="77777777" w:rsidR="001762DC" w:rsidRPr="002E553D" w:rsidRDefault="00AB79DE" w:rsidP="000E392A">
      <w:pPr>
        <w:autoSpaceDE w:val="0"/>
        <w:autoSpaceDN w:val="0"/>
        <w:adjustRightInd w:val="0"/>
        <w:jc w:val="both"/>
        <w:rPr>
          <w:rFonts w:ascii="Book Antiqua" w:eastAsia="AdvEPSTIM" w:hAnsi="Book Antiqua"/>
          <w:b/>
          <w:lang w:val="en-GB"/>
        </w:rPr>
      </w:pPr>
      <w:r>
        <w:rPr>
          <w:rFonts w:ascii="Book Antiqua" w:eastAsia="AdvEPSTIM" w:hAnsi="Book Antiqua"/>
          <w:b/>
          <w:sz w:val="26"/>
          <w:lang w:val="en-GB"/>
        </w:rPr>
        <w:t xml:space="preserve">3.1 </w:t>
      </w:r>
      <w:r w:rsidR="000E392A" w:rsidRPr="000E392A">
        <w:rPr>
          <w:rFonts w:ascii="Book Antiqua" w:eastAsia="AdvEPSTIM" w:hAnsi="Book Antiqua"/>
          <w:b/>
          <w:sz w:val="26"/>
          <w:lang w:val="en-GB"/>
        </w:rPr>
        <w:t>Discussion</w:t>
      </w:r>
    </w:p>
    <w:p w14:paraId="62DA7684" w14:textId="77777777" w:rsidR="001762DC" w:rsidRPr="00E3232D" w:rsidRDefault="001762DC" w:rsidP="000E392A">
      <w:pPr>
        <w:spacing w:after="0"/>
        <w:jc w:val="both"/>
        <w:rPr>
          <w:rFonts w:ascii="Book Antiqua" w:hAnsi="Book Antiqua"/>
        </w:rPr>
      </w:pPr>
      <w:r w:rsidRPr="00E3232D">
        <w:rPr>
          <w:rFonts w:ascii="Book Antiqua" w:hAnsi="Book Antiqua"/>
        </w:rPr>
        <w:t xml:space="preserve"> The age distribution of respondents shows that the highest number of respondents (modal age group) was between forty (40)</w:t>
      </w:r>
      <w:r w:rsidRPr="00E3232D">
        <w:rPr>
          <w:rFonts w:ascii="Book Antiqua" w:hAnsi="Book Antiqua"/>
          <w:b/>
        </w:rPr>
        <w:t xml:space="preserve"> </w:t>
      </w:r>
      <w:r w:rsidRPr="00E3232D">
        <w:rPr>
          <w:rFonts w:ascii="Book Antiqua" w:hAnsi="Book Antiqua"/>
        </w:rPr>
        <w:t>and above years representing 38.3%, followed by twenty six-thirty (26 -30) years representing 23.3%, thirty one –thirty five (31-40) years ten.  One   representing 1.7 % of the total respondents respectively with female being in majority .</w:t>
      </w:r>
    </w:p>
    <w:p w14:paraId="72019BF6" w14:textId="77777777" w:rsidR="00451800" w:rsidRDefault="00451800" w:rsidP="000E392A">
      <w:pPr>
        <w:spacing w:after="0"/>
        <w:jc w:val="both"/>
        <w:rPr>
          <w:rFonts w:ascii="Book Antiqua" w:hAnsi="Book Antiqua"/>
        </w:rPr>
      </w:pPr>
    </w:p>
    <w:p w14:paraId="42C92FCB" w14:textId="77777777" w:rsidR="001762DC" w:rsidRPr="00E3232D" w:rsidRDefault="001762DC" w:rsidP="000E392A">
      <w:pPr>
        <w:spacing w:after="0"/>
        <w:jc w:val="both"/>
        <w:rPr>
          <w:rFonts w:ascii="Book Antiqua" w:hAnsi="Book Antiqua"/>
        </w:rPr>
      </w:pPr>
      <w:r w:rsidRPr="00E3232D">
        <w:rPr>
          <w:rFonts w:ascii="Book Antiqua" w:hAnsi="Book Antiqua"/>
        </w:rPr>
        <w:t xml:space="preserve">In addition 67 of the respondents work in the various areas of the kitchen ranging from the pantry, cooking, cleaning and other casual hands.  Ten (10) representing domestic bursars, both senior matrons and junior matrons. Eight (8) being chief cooks. </w:t>
      </w:r>
    </w:p>
    <w:p w14:paraId="3B3B494D" w14:textId="77777777" w:rsidR="001762DC" w:rsidRPr="00085CA1" w:rsidRDefault="001762DC" w:rsidP="000E392A">
      <w:pPr>
        <w:autoSpaceDE w:val="0"/>
        <w:autoSpaceDN w:val="0"/>
        <w:adjustRightInd w:val="0"/>
        <w:spacing w:after="0"/>
        <w:jc w:val="both"/>
        <w:rPr>
          <w:rFonts w:ascii="Book Antiqua" w:hAnsi="Book Antiqua"/>
        </w:rPr>
      </w:pPr>
      <w:r w:rsidRPr="00E3232D">
        <w:rPr>
          <w:rFonts w:ascii="Book Antiqua" w:hAnsi="Book Antiqua"/>
        </w:rPr>
        <w:t xml:space="preserve">  Considering the level of education attained the domestic bursars have cookery part two certificates   whilst others have cookery part one. Most of the cooks   have middle school certificates, NVTI Certificate, JHS Certificate and some do not have any certificate but employed based on experience.  </w:t>
      </w:r>
      <w:r w:rsidRPr="00E3232D">
        <w:rPr>
          <w:rFonts w:ascii="Book Antiqua" w:eastAsia="AdvEPSTIM" w:hAnsi="Book Antiqua"/>
          <w:lang w:val="en-GB"/>
        </w:rPr>
        <w:t>The survey found that 20% of chief cook in all the senior high schools do not have any formal training in food preparation and similarly had no hygiene training. This is a matter of public health concern, especially as human error has been suggested as a contributory factor  of food borne disease outbreaks (</w:t>
      </w:r>
      <w:r w:rsidRPr="00E3232D">
        <w:rPr>
          <w:rFonts w:ascii="Book Antiqua" w:hAnsi="Book Antiqua"/>
        </w:rPr>
        <w:t>Howes, McEwen,</w:t>
      </w:r>
      <w:r w:rsidRPr="00E3232D">
        <w:rPr>
          <w:rFonts w:ascii="Book Antiqua" w:eastAsia="AdvEPSTIM" w:hAnsi="Book Antiqua"/>
          <w:lang w:val="en-GB"/>
        </w:rPr>
        <w:t xml:space="preserve"> </w:t>
      </w:r>
      <w:r w:rsidRPr="00E3232D">
        <w:rPr>
          <w:rFonts w:ascii="Book Antiqua" w:hAnsi="Book Antiqua"/>
        </w:rPr>
        <w:t xml:space="preserve">Griffiths, &amp; Harris, 1996) and the frequency of human </w:t>
      </w:r>
      <w:r w:rsidRPr="00E3232D">
        <w:rPr>
          <w:rFonts w:ascii="Book Antiqua" w:hAnsi="Book Antiqua"/>
        </w:rPr>
        <w:lastRenderedPageBreak/>
        <w:t>error is increased by lack of training (Clayton &amp; Griffith, 2004).</w:t>
      </w:r>
      <w:r w:rsidRPr="00E3232D">
        <w:rPr>
          <w:rFonts w:ascii="Book Antiqua" w:eastAsia="AdvEPSTIM" w:hAnsi="Book Antiqua"/>
          <w:lang w:val="en-GB"/>
        </w:rPr>
        <w:t xml:space="preserve">   Training for cooks and other catering officers have been shown to improve food safety knowledge and hygiene awareness (</w:t>
      </w:r>
      <w:r w:rsidRPr="00E3232D">
        <w:rPr>
          <w:rFonts w:ascii="Book Antiqua" w:hAnsi="Book Antiqua"/>
        </w:rPr>
        <w:t>Tebbutt, 1984; Worsfold, 1993</w:t>
      </w:r>
      <w:r w:rsidRPr="00E3232D">
        <w:rPr>
          <w:rFonts w:ascii="Book Antiqua" w:eastAsia="AdvEPSTIM" w:hAnsi="Book Antiqua"/>
          <w:lang w:val="en-GB"/>
        </w:rPr>
        <w:t>) and</w:t>
      </w:r>
      <w:r w:rsidRPr="00E3232D">
        <w:rPr>
          <w:rFonts w:ascii="Book Antiqua" w:eastAsia="AdvEPSTIM" w:hAnsi="Book Antiqua"/>
          <w:b/>
          <w:lang w:val="en-GB"/>
        </w:rPr>
        <w:t xml:space="preserve"> </w:t>
      </w:r>
      <w:r w:rsidRPr="00E3232D">
        <w:rPr>
          <w:rFonts w:ascii="Book Antiqua" w:eastAsia="AdvEPSTIM" w:hAnsi="Book Antiqua"/>
          <w:lang w:val="en-GB"/>
        </w:rPr>
        <w:t>may result in improved food safety practices (Clayton 2004).  . Bearing in mind the central importance of consistent high quality food hygiene practice among catering establishments, it is essential that sustained efforts be made to guarantee that all  matrons, chief cooks’, senior cooks receive adequate effective hygiene training during their pre-employment training, undertake periodic refresher courses, and that their knowledge and/or practice should be confirmed by routine inspection. Ten (10%) of the respondents reported separating raw meat from other foods items during storage. Considering the risks and implications of cross contamination from raw meat to other cooked and uncooked foods, the fact that most of the respondents do not effectively separate such food items is disconcerting. Taken together such reports suggest that cross contamination during storage may be occurring in too many of the school kitchens. This study established that there is a high risk of cross contamination in kitchens via tools and work surfaces, because   matrons and other kitchen staff do not use colour coded knives and colour coded cutting boards.</w:t>
      </w:r>
      <w:r w:rsidRPr="00E3232D">
        <w:rPr>
          <w:rFonts w:ascii="Book Antiqua" w:hAnsi="Book Antiqua"/>
        </w:rPr>
        <w:t xml:space="preserve"> </w:t>
      </w:r>
      <w:r w:rsidRPr="00E3232D">
        <w:rPr>
          <w:rFonts w:ascii="Book Antiqua" w:eastAsia="AdvEPSTIM" w:hAnsi="Book Antiqua"/>
          <w:lang w:val="en-GB"/>
        </w:rPr>
        <w:t xml:space="preserve">In more general terms, the survey established that many school kitchens lack a clear understanding of the particular associations between bacterial pathogens and specific high risk foods. Such deficiencies are a matter of </w:t>
      </w:r>
      <w:r w:rsidRPr="00E3232D">
        <w:rPr>
          <w:rFonts w:ascii="Book Antiqua" w:eastAsia="AdvEPSTIM" w:hAnsi="Book Antiqua"/>
          <w:lang w:val="en-GB"/>
        </w:rPr>
        <w:t>public health concern as this information is essential to underpin effective risk reduction actions and interventions in school kitchens.   Thus food production and service training must include sufficient appropriate knowledge, procedures and strategies to establish and maintain effective food hygiene practice. This survey found that almost in all the kitchen meat is defrosted in an unsafe manner.  Unsafe defrosting, cooling or storage facilitates the growth of bacterial pathogens and incorrect holding temperature is the leading causative factor of B. cereus and Cl. Perfringens food borne outbreaks.</w:t>
      </w:r>
    </w:p>
    <w:p w14:paraId="6C77DE8B" w14:textId="77777777" w:rsidR="001762DC" w:rsidRPr="00E3232D" w:rsidRDefault="001762DC" w:rsidP="00DF27DD">
      <w:pPr>
        <w:autoSpaceDE w:val="0"/>
        <w:autoSpaceDN w:val="0"/>
        <w:adjustRightInd w:val="0"/>
        <w:spacing w:after="0"/>
        <w:jc w:val="both"/>
        <w:rPr>
          <w:rFonts w:ascii="Book Antiqua" w:eastAsia="AdvEPSTIM" w:hAnsi="Book Antiqua"/>
          <w:lang w:val="en-GB"/>
        </w:rPr>
      </w:pPr>
    </w:p>
    <w:p w14:paraId="4DA176F4" w14:textId="77777777" w:rsidR="001762DC" w:rsidRPr="00E3232D" w:rsidRDefault="00AB79DE" w:rsidP="000E392A">
      <w:pPr>
        <w:jc w:val="both"/>
        <w:rPr>
          <w:rFonts w:ascii="Book Antiqua" w:hAnsi="Book Antiqua"/>
          <w:b/>
        </w:rPr>
      </w:pPr>
      <w:r>
        <w:rPr>
          <w:rFonts w:ascii="Book Antiqua" w:hAnsi="Book Antiqua"/>
          <w:b/>
          <w:sz w:val="26"/>
        </w:rPr>
        <w:t xml:space="preserve">4.0 </w:t>
      </w:r>
      <w:r w:rsidR="00A45FAE" w:rsidRPr="000E392A">
        <w:rPr>
          <w:rFonts w:ascii="Book Antiqua" w:hAnsi="Book Antiqua"/>
          <w:b/>
          <w:sz w:val="26"/>
        </w:rPr>
        <w:t>Conclusion</w:t>
      </w:r>
    </w:p>
    <w:p w14:paraId="465D3D3E" w14:textId="77777777" w:rsidR="001762DC" w:rsidRPr="00E3232D" w:rsidRDefault="001762DC" w:rsidP="000E392A">
      <w:pPr>
        <w:jc w:val="both"/>
        <w:rPr>
          <w:rFonts w:ascii="Book Antiqua" w:hAnsi="Book Antiqua"/>
        </w:rPr>
      </w:pPr>
      <w:r w:rsidRPr="00E3232D">
        <w:rPr>
          <w:rFonts w:ascii="Book Antiqua" w:hAnsi="Book Antiqua"/>
        </w:rPr>
        <w:t xml:space="preserve">The provision of meals in Senior High Schools is a growing concern since students will continue to use boarding facilities. So there is the need for matrons and cooks to abide by food safety practices to prevent future outbreak of food borne related diseases in most of the school kitchens where meals are prepared. There is the need to adhere to high standards and good procedures of handling food items among cooks and matrons.  It is very clear that the provision of safe food would contribute to students well being. However, the findings revealed that, there are quite poor standard of food safety practices among cooks and matrons in most of these school kitchens. Therefore the research bear some policy implication. The research described here could be used as a starting point for a major assessment of food safety practices </w:t>
      </w:r>
      <w:r w:rsidRPr="00E3232D">
        <w:rPr>
          <w:rFonts w:ascii="Book Antiqua" w:hAnsi="Book Antiqua"/>
        </w:rPr>
        <w:lastRenderedPageBreak/>
        <w:t>in Senior High Schools. Revamping of procedures, methods and strategies to establish and maintain effective food hygiene practices.</w:t>
      </w:r>
      <w:r w:rsidRPr="00E3232D">
        <w:rPr>
          <w:rFonts w:ascii="Book Antiqua" w:eastAsia="AdvEPSTIM" w:hAnsi="Book Antiqua"/>
          <w:lang w:val="en-GB"/>
        </w:rPr>
        <w:t xml:space="preserve">  Formal training of cooks and matrons both on- the- job and off- the- job should be encouraged and proper monitoring and supervision enhanced.</w:t>
      </w:r>
    </w:p>
    <w:p w14:paraId="02033BC2" w14:textId="77777777" w:rsidR="00085CA1" w:rsidRDefault="00085CA1" w:rsidP="00DF27DD">
      <w:pPr>
        <w:spacing w:after="0"/>
        <w:jc w:val="both"/>
        <w:rPr>
          <w:rFonts w:ascii="Book Antiqua" w:hAnsi="Book Antiqua"/>
          <w:b/>
        </w:rPr>
      </w:pPr>
    </w:p>
    <w:p w14:paraId="511838D9" w14:textId="77777777" w:rsidR="001762DC" w:rsidRPr="00E3232D" w:rsidRDefault="00A45FAE" w:rsidP="000E392A">
      <w:pPr>
        <w:jc w:val="both"/>
        <w:rPr>
          <w:rFonts w:ascii="Book Antiqua" w:hAnsi="Book Antiqua"/>
          <w:b/>
        </w:rPr>
      </w:pPr>
      <w:r w:rsidRPr="000E392A">
        <w:rPr>
          <w:rFonts w:ascii="Book Antiqua" w:hAnsi="Book Antiqua"/>
          <w:b/>
          <w:sz w:val="26"/>
        </w:rPr>
        <w:t>References</w:t>
      </w:r>
    </w:p>
    <w:p w14:paraId="2949BF97"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 Almanza, BA  Nesmith, MS. 2004, ‘Food safety certification regulations in the UnitedStates’, </w:t>
      </w:r>
      <w:r w:rsidRPr="00E3232D">
        <w:rPr>
          <w:rFonts w:ascii="Book Antiqua" w:hAnsi="Book Antiqua"/>
          <w:i/>
        </w:rPr>
        <w:t>Journal of Environmental Health,</w:t>
      </w:r>
      <w:r w:rsidRPr="00E3232D">
        <w:rPr>
          <w:rFonts w:ascii="Book Antiqua" w:hAnsi="Book Antiqua"/>
        </w:rPr>
        <w:t xml:space="preserve"> vol.66, no.9, p. 10-14.</w:t>
      </w:r>
    </w:p>
    <w:p w14:paraId="0D47DDC6"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Bryan, F (1988), ‘Risks of practices, procedures, and process that lead to outbreaks of foodborne diseases’, </w:t>
      </w:r>
      <w:r w:rsidRPr="00E3232D">
        <w:rPr>
          <w:rFonts w:ascii="Book Antiqua" w:hAnsi="Book Antiqua"/>
          <w:i/>
        </w:rPr>
        <w:t>Journal of Food Protection</w:t>
      </w:r>
      <w:r w:rsidRPr="00E3232D">
        <w:rPr>
          <w:rFonts w:ascii="Book Antiqua" w:hAnsi="Book Antiqua"/>
        </w:rPr>
        <w:t>, vol.51, p. 498-508.</w:t>
      </w:r>
    </w:p>
    <w:p w14:paraId="1913A736"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Center for Disease Control (1999), ‘Food-related Illness and Death in the United States’, viewed 20 June 2012.,&lt;http://cdc/ncidod/eid/vol5no5/mead.htm&gt;.</w:t>
      </w:r>
    </w:p>
    <w:p w14:paraId="22027186"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Center for Disease Control (2005), ‘Preliminary Food Net Data on the Incidence of</w:t>
      </w:r>
    </w:p>
    <w:p w14:paraId="52C9F047"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 Infection with Pathogens Transmitted Commonly through Foods’ – Ten Sites, United</w:t>
      </w:r>
    </w:p>
    <w:p w14:paraId="2813C264"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States, 2004,&lt;http://gove/mmwr/preview/mmwrhtm/mm5414&gt; .Cregar, M. 1989, </w:t>
      </w:r>
    </w:p>
    <w:p w14:paraId="19152DB4"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‘Make your temp investment pay off’, </w:t>
      </w:r>
      <w:r w:rsidRPr="00E3232D">
        <w:rPr>
          <w:rFonts w:ascii="Book Antiqua" w:hAnsi="Book Antiqua"/>
          <w:i/>
        </w:rPr>
        <w:t>Management World</w:t>
      </w:r>
      <w:r w:rsidRPr="00E3232D">
        <w:rPr>
          <w:rFonts w:ascii="Book Antiqua" w:hAnsi="Book Antiqua"/>
        </w:rPr>
        <w:t>, vol.18, no.3,  p. 15-16.</w:t>
      </w:r>
    </w:p>
    <w:p w14:paraId="5C870EC8"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Curtis, V (2001), ‘Hygiene: how myths, monsters, and mothers-in-law can promote</w:t>
      </w:r>
    </w:p>
    <w:p w14:paraId="444EF7EE"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 behaviour change’, </w:t>
      </w:r>
      <w:r w:rsidRPr="00E3232D">
        <w:rPr>
          <w:rFonts w:ascii="Book Antiqua" w:hAnsi="Book Antiqua"/>
          <w:i/>
        </w:rPr>
        <w:t>Journal of Infection</w:t>
      </w:r>
      <w:r w:rsidRPr="00E3232D">
        <w:rPr>
          <w:rFonts w:ascii="Book Antiqua" w:hAnsi="Book Antiqua"/>
        </w:rPr>
        <w:t>, vol.43, p. 75-9.</w:t>
      </w:r>
    </w:p>
    <w:p w14:paraId="248A472B"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De Gilder, D (2003), ‘Commitment, trust and work behaviour: the case of contingent workers’ Personnel Review, vol. 32 no. 5, p. 588-60.</w:t>
      </w:r>
    </w:p>
    <w:p w14:paraId="67D91110"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Food Standards Agency (2002), Largest Ever Survey of Catering Staff Shows That One in Three do not Wash Their Hands after Visiting Lavatory, viewed   June 25, 2004. &lt;http://gov.uk/news/Pressreleases/2002/oct/handwash&gt;</w:t>
      </w:r>
    </w:p>
    <w:p w14:paraId="0D7087DB"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Foote, DA (2004), ‘Temporary workers: managing the problem of unscheduled</w:t>
      </w:r>
    </w:p>
    <w:p w14:paraId="31188565"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 turnover’, </w:t>
      </w:r>
      <w:r w:rsidRPr="00E3232D">
        <w:rPr>
          <w:rFonts w:ascii="Book Antiqua" w:hAnsi="Book Antiqua"/>
          <w:i/>
        </w:rPr>
        <w:t>Management Decision</w:t>
      </w:r>
      <w:r w:rsidRPr="00E3232D">
        <w:rPr>
          <w:rFonts w:ascii="Book Antiqua" w:hAnsi="Book Antiqua"/>
        </w:rPr>
        <w:t>, vol.42, no. 7/8, p. 79-96.</w:t>
      </w:r>
    </w:p>
    <w:p w14:paraId="14C24D4F"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Fransh, R Binkley, M Nelson, D and Almanza, B( 2006), ‘Transfer of training </w:t>
      </w:r>
    </w:p>
    <w:p w14:paraId="7D1C8C76"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efficacy in US food safety accreditation’, </w:t>
      </w:r>
      <w:r w:rsidRPr="00E3232D">
        <w:rPr>
          <w:rFonts w:ascii="Book Antiqua" w:hAnsi="Book Antiqua"/>
          <w:i/>
        </w:rPr>
        <w:t>Journal of Culinary Science and Technology</w:t>
      </w:r>
      <w:r w:rsidRPr="00E3232D">
        <w:rPr>
          <w:rFonts w:ascii="Book Antiqua" w:hAnsi="Book Antiqua"/>
        </w:rPr>
        <w:t>, vol. 4, no 2/3, p. 7-38.</w:t>
      </w:r>
    </w:p>
    <w:p w14:paraId="4B4596FC" w14:textId="77777777" w:rsidR="001762DC" w:rsidRPr="00E3232D" w:rsidRDefault="001762DC" w:rsidP="000E392A">
      <w:pPr>
        <w:autoSpaceDE w:val="0"/>
        <w:autoSpaceDN w:val="0"/>
        <w:adjustRightInd w:val="0"/>
        <w:ind w:left="990" w:hanging="990"/>
        <w:jc w:val="both"/>
        <w:rPr>
          <w:rFonts w:ascii="Book Antiqua" w:hAnsi="Book Antiqua"/>
        </w:rPr>
      </w:pPr>
      <w:r w:rsidRPr="00E3232D">
        <w:rPr>
          <w:rFonts w:ascii="Book Antiqua" w:hAnsi="Book Antiqua"/>
        </w:rPr>
        <w:t xml:space="preserve">Foods Standard Agency (2005), ‘Survey of hygiene standards in food </w:t>
      </w:r>
      <w:r w:rsidRPr="00E3232D">
        <w:rPr>
          <w:rFonts w:ascii="Book Antiqua" w:hAnsi="Book Antiqua"/>
        </w:rPr>
        <w:lastRenderedPageBreak/>
        <w:t>premises’,&lt;http://.www.food.gov.uk accessed December 2009&gt;</w:t>
      </w:r>
    </w:p>
    <w:p w14:paraId="47BE0ECC" w14:textId="77777777" w:rsidR="001762DC" w:rsidRPr="00E3232D" w:rsidRDefault="001762DC" w:rsidP="00B94E15">
      <w:pPr>
        <w:autoSpaceDE w:val="0"/>
        <w:autoSpaceDN w:val="0"/>
        <w:adjustRightInd w:val="0"/>
        <w:ind w:left="990" w:hanging="990"/>
        <w:jc w:val="both"/>
        <w:rPr>
          <w:rFonts w:ascii="Book Antiqua" w:eastAsia="AdvEPSTIM" w:hAnsi="Book Antiqua"/>
          <w:lang w:val="en-GB"/>
        </w:rPr>
      </w:pPr>
      <w:r w:rsidRPr="00E3232D">
        <w:rPr>
          <w:rFonts w:ascii="Book Antiqua" w:eastAsia="AdvEPSTIM" w:hAnsi="Book Antiqua"/>
          <w:lang w:val="en-GB"/>
        </w:rPr>
        <w:t>Griffith, C. J., &amp; Clayton, D. 2005. Food safety knowledge, attitudes and practices of caterers in the UK.  In B. Maunsell &amp; D. J. Bolton (Eds.) Restaurant and catering food safety. Dublin, Ireland: Teagasc.</w:t>
      </w:r>
    </w:p>
    <w:p w14:paraId="614A8C5D" w14:textId="77777777" w:rsidR="001762DC" w:rsidRPr="00E3232D" w:rsidRDefault="001762DC" w:rsidP="00B94E15">
      <w:pPr>
        <w:autoSpaceDE w:val="0"/>
        <w:autoSpaceDN w:val="0"/>
        <w:adjustRightInd w:val="0"/>
        <w:ind w:left="990" w:hanging="990"/>
        <w:jc w:val="both"/>
        <w:rPr>
          <w:rFonts w:ascii="Book Antiqua" w:eastAsia="AdvEPSTIM" w:hAnsi="Book Antiqua"/>
          <w:lang w:val="en-GB"/>
        </w:rPr>
      </w:pPr>
      <w:r w:rsidRPr="00E3232D">
        <w:rPr>
          <w:rFonts w:ascii="Book Antiqua" w:eastAsia="AdvEPSTIM" w:hAnsi="Book Antiqua"/>
          <w:lang w:val="en-GB"/>
        </w:rPr>
        <w:t>Griffith, J., Mullen, B., &amp; Price, P. E. (1994). Food safety: implications for food medical and behavioural scientists. British Food Journal, 97,23–28.</w:t>
      </w:r>
    </w:p>
    <w:p w14:paraId="03F7A6FA" w14:textId="77777777" w:rsidR="001762DC" w:rsidRPr="00E3232D" w:rsidRDefault="001762DC" w:rsidP="00B94E15">
      <w:pPr>
        <w:autoSpaceDE w:val="0"/>
        <w:autoSpaceDN w:val="0"/>
        <w:adjustRightInd w:val="0"/>
        <w:ind w:left="990" w:hanging="990"/>
        <w:jc w:val="both"/>
        <w:rPr>
          <w:rFonts w:ascii="Book Antiqua" w:eastAsia="AdvEPSTIM" w:hAnsi="Book Antiqua"/>
          <w:lang w:val="en-GB"/>
        </w:rPr>
      </w:pPr>
      <w:r w:rsidRPr="00E3232D">
        <w:rPr>
          <w:rFonts w:ascii="Book Antiqua" w:eastAsia="AdvEPSTIM" w:hAnsi="Book Antiqua"/>
          <w:lang w:val="en-GB"/>
        </w:rPr>
        <w:t>Harrison, W., Griffith, C. J., Tennant, D., &amp; Peters, A. C. (2001).Incidence of Salmonella and Campylobacter in poultry and poultry packaging. Letters in Applied Microbiology, 33, 1–5.</w:t>
      </w:r>
    </w:p>
    <w:p w14:paraId="4ECD7A78" w14:textId="77777777" w:rsidR="003B5519" w:rsidRDefault="001762DC" w:rsidP="00B94E15">
      <w:pPr>
        <w:autoSpaceDE w:val="0"/>
        <w:autoSpaceDN w:val="0"/>
        <w:adjustRightInd w:val="0"/>
        <w:ind w:left="990" w:hanging="990"/>
        <w:jc w:val="both"/>
        <w:rPr>
          <w:rFonts w:ascii="Book Antiqua" w:eastAsia="AdvEPSTIM" w:hAnsi="Book Antiqua"/>
          <w:lang w:val="en-GB"/>
        </w:rPr>
      </w:pPr>
      <w:r w:rsidRPr="00E3232D">
        <w:rPr>
          <w:rFonts w:ascii="Book Antiqua" w:eastAsia="AdvEPSTIM" w:hAnsi="Book Antiqua"/>
          <w:lang w:val="en-GB"/>
        </w:rPr>
        <w:t xml:space="preserve">Howes, M., McEwen, S., Griffiths, M., &amp; Harris, L. (1996). Food handlers certification by home study: measuring changes in knowledge and behavior. </w:t>
      </w:r>
    </w:p>
    <w:p w14:paraId="3BE02988" w14:textId="77777777" w:rsidR="001762DC" w:rsidRPr="00E3232D" w:rsidRDefault="001762DC" w:rsidP="00B94E15">
      <w:pPr>
        <w:autoSpaceDE w:val="0"/>
        <w:autoSpaceDN w:val="0"/>
        <w:adjustRightInd w:val="0"/>
        <w:ind w:left="990" w:hanging="990"/>
        <w:jc w:val="both"/>
        <w:rPr>
          <w:rFonts w:ascii="Book Antiqua" w:eastAsia="AdvEPSTIM" w:hAnsi="Book Antiqua"/>
          <w:lang w:val="en-GB"/>
        </w:rPr>
      </w:pPr>
      <w:r w:rsidRPr="00E3232D">
        <w:rPr>
          <w:rFonts w:ascii="Book Antiqua" w:eastAsia="AdvEPSTIM" w:hAnsi="Book Antiqua"/>
          <w:lang w:val="en-GB"/>
        </w:rPr>
        <w:t>Dairy, Food and Environmental Sanitation, 16, 737</w:t>
      </w:r>
    </w:p>
    <w:p w14:paraId="21A61B61" w14:textId="77777777" w:rsidR="001762DC" w:rsidRPr="00E3232D" w:rsidRDefault="001762DC" w:rsidP="000E392A">
      <w:pPr>
        <w:jc w:val="both"/>
        <w:rPr>
          <w:rFonts w:ascii="Book Antiqua" w:hAnsi="Book Antiqua"/>
        </w:rPr>
      </w:pPr>
      <w:r w:rsidRPr="00E3232D">
        <w:rPr>
          <w:rFonts w:ascii="Book Antiqua" w:hAnsi="Book Antiqua"/>
        </w:rPr>
        <w:t xml:space="preserve"> </w:t>
      </w:r>
    </w:p>
    <w:p w14:paraId="7C750AF6" w14:textId="77777777" w:rsidR="001762DC" w:rsidRDefault="001762DC" w:rsidP="008275E1">
      <w:pPr>
        <w:rPr>
          <w:rFonts w:ascii="Book Antiqua" w:hAnsi="Book Antiqua"/>
        </w:rPr>
      </w:pPr>
    </w:p>
    <w:p w14:paraId="31327E72" w14:textId="77777777" w:rsidR="00DF27DD" w:rsidRDefault="00DF27DD" w:rsidP="008275E1">
      <w:pPr>
        <w:rPr>
          <w:rFonts w:ascii="Book Antiqua" w:hAnsi="Book Antiqua"/>
        </w:rPr>
      </w:pPr>
    </w:p>
    <w:p w14:paraId="7929B7A6" w14:textId="77777777" w:rsidR="00DF27DD" w:rsidRDefault="00DF27DD" w:rsidP="008275E1">
      <w:pPr>
        <w:rPr>
          <w:rFonts w:ascii="Book Antiqua" w:hAnsi="Book Antiqua"/>
        </w:rPr>
      </w:pPr>
    </w:p>
    <w:p w14:paraId="50774C25" w14:textId="77777777" w:rsidR="00DF27DD" w:rsidRDefault="00DF27DD" w:rsidP="008275E1">
      <w:pPr>
        <w:rPr>
          <w:rFonts w:ascii="Book Antiqua" w:hAnsi="Book Antiqua"/>
        </w:rPr>
      </w:pPr>
    </w:p>
    <w:p w14:paraId="0BB11690" w14:textId="77777777" w:rsidR="00DF27DD" w:rsidRDefault="00DF27DD" w:rsidP="008275E1">
      <w:pPr>
        <w:rPr>
          <w:rFonts w:ascii="Book Antiqua" w:hAnsi="Book Antiqua"/>
        </w:rPr>
      </w:pPr>
    </w:p>
    <w:p w14:paraId="23BB541A" w14:textId="77777777" w:rsidR="00AB79DE" w:rsidRDefault="00AB79DE" w:rsidP="008275E1">
      <w:pPr>
        <w:rPr>
          <w:rFonts w:ascii="Book Antiqua" w:hAnsi="Book Antiqua"/>
        </w:rPr>
      </w:pPr>
    </w:p>
    <w:p w14:paraId="64962F5A" w14:textId="77777777" w:rsidR="00AB79DE" w:rsidRDefault="00AB79DE" w:rsidP="008275E1">
      <w:pPr>
        <w:rPr>
          <w:rFonts w:ascii="Book Antiqua" w:hAnsi="Book Antiqua"/>
        </w:rPr>
      </w:pPr>
    </w:p>
    <w:p w14:paraId="70A37B97" w14:textId="77777777" w:rsidR="00AB79DE" w:rsidRPr="00E3232D" w:rsidRDefault="00AB79DE" w:rsidP="008275E1">
      <w:pPr>
        <w:rPr>
          <w:rFonts w:ascii="Book Antiqua" w:hAnsi="Book Antiqua"/>
        </w:rPr>
      </w:pPr>
    </w:p>
    <w:p w14:paraId="4AC93F46" w14:textId="77777777" w:rsidR="001762DC" w:rsidRPr="00E3232D" w:rsidRDefault="001762DC" w:rsidP="008275E1">
      <w:pPr>
        <w:rPr>
          <w:rFonts w:ascii="Book Antiqua" w:hAnsi="Book Antiqua"/>
        </w:rPr>
      </w:pPr>
      <w:r w:rsidRPr="00E3232D">
        <w:rPr>
          <w:rFonts w:ascii="Book Antiqua" w:hAnsi="Book Antiqua"/>
          <w:b/>
        </w:rPr>
        <w:t xml:space="preserve"> </w:t>
      </w:r>
    </w:p>
    <w:p w14:paraId="258D3E2B" w14:textId="77777777" w:rsidR="000B7794" w:rsidRPr="00E3232D" w:rsidRDefault="000B7794" w:rsidP="008275E1">
      <w:pPr>
        <w:rPr>
          <w:rFonts w:ascii="Book Antiqua" w:hAnsi="Book Antiqua"/>
        </w:rPr>
      </w:pPr>
    </w:p>
    <w:p w14:paraId="3696B404" w14:textId="77777777" w:rsidR="00FF7C45" w:rsidRPr="00E3232D" w:rsidRDefault="00FF7C45" w:rsidP="008275E1">
      <w:pPr>
        <w:rPr>
          <w:rFonts w:ascii="Book Antiqua" w:hAnsi="Book Antiqua"/>
        </w:rPr>
      </w:pPr>
    </w:p>
    <w:p w14:paraId="4E84C05D" w14:textId="77777777" w:rsidR="00FF7C45" w:rsidRPr="00E3232D" w:rsidRDefault="00FF7C45" w:rsidP="008275E1">
      <w:pPr>
        <w:rPr>
          <w:rFonts w:ascii="Book Antiqua" w:hAnsi="Book Antiqua"/>
        </w:rPr>
      </w:pPr>
    </w:p>
    <w:p w14:paraId="55D4917E" w14:textId="77777777" w:rsidR="00FF7C45" w:rsidRPr="00E3232D" w:rsidRDefault="00FF7C45" w:rsidP="008275E1">
      <w:pPr>
        <w:rPr>
          <w:rFonts w:ascii="Book Antiqua" w:hAnsi="Book Antiqua"/>
        </w:rPr>
      </w:pPr>
    </w:p>
    <w:p w14:paraId="56DE6337" w14:textId="77777777" w:rsidR="00FF7C45" w:rsidRPr="00E3232D" w:rsidRDefault="00FF7C45" w:rsidP="008275E1">
      <w:pPr>
        <w:rPr>
          <w:rFonts w:ascii="Book Antiqua" w:hAnsi="Book Antiqua"/>
        </w:rPr>
      </w:pPr>
    </w:p>
    <w:p w14:paraId="2C912A05" w14:textId="77777777" w:rsidR="00FF7C45" w:rsidRPr="00E3232D" w:rsidRDefault="00FF7C45" w:rsidP="008275E1">
      <w:pPr>
        <w:rPr>
          <w:rFonts w:ascii="Book Antiqua" w:hAnsi="Book Antiqua"/>
        </w:rPr>
      </w:pPr>
    </w:p>
    <w:p w14:paraId="5805D104" w14:textId="77777777" w:rsidR="00FF7C45" w:rsidRPr="00E3232D" w:rsidRDefault="00FF7C45" w:rsidP="008275E1">
      <w:pPr>
        <w:rPr>
          <w:rFonts w:ascii="Book Antiqua" w:hAnsi="Book Antiqua"/>
        </w:rPr>
      </w:pPr>
    </w:p>
    <w:p w14:paraId="72306011" w14:textId="77777777" w:rsidR="00FF7C45" w:rsidRPr="00E3232D" w:rsidRDefault="00FF7C45" w:rsidP="008275E1">
      <w:pPr>
        <w:rPr>
          <w:rFonts w:ascii="Book Antiqua" w:hAnsi="Book Antiqua"/>
        </w:rPr>
      </w:pPr>
    </w:p>
    <w:p w14:paraId="44E24F4E" w14:textId="77777777" w:rsidR="00FF7C45" w:rsidRPr="00E3232D" w:rsidRDefault="00FF7C45" w:rsidP="008275E1">
      <w:pPr>
        <w:rPr>
          <w:rFonts w:ascii="Book Antiqua" w:hAnsi="Book Antiqua"/>
        </w:rPr>
      </w:pPr>
    </w:p>
    <w:p w14:paraId="3909492A" w14:textId="77777777" w:rsidR="00FF7C45" w:rsidRDefault="00FF7C45" w:rsidP="008275E1">
      <w:pPr>
        <w:rPr>
          <w:rFonts w:ascii="Book Antiqua" w:hAnsi="Book Antiqua"/>
        </w:rPr>
      </w:pPr>
    </w:p>
    <w:p w14:paraId="3448A454" w14:textId="77777777" w:rsidR="00917AD5" w:rsidRDefault="00917AD5" w:rsidP="008275E1">
      <w:pPr>
        <w:rPr>
          <w:rFonts w:ascii="Book Antiqua" w:hAnsi="Book Antiqua"/>
        </w:rPr>
      </w:pPr>
    </w:p>
    <w:p w14:paraId="61D4FCB6" w14:textId="77777777" w:rsidR="00917AD5" w:rsidRDefault="00917AD5" w:rsidP="008275E1">
      <w:pPr>
        <w:rPr>
          <w:rFonts w:ascii="Book Antiqua" w:hAnsi="Book Antiqua"/>
        </w:rPr>
      </w:pPr>
    </w:p>
    <w:p w14:paraId="42EFB5EC" w14:textId="77777777" w:rsidR="00917AD5" w:rsidRDefault="00917AD5" w:rsidP="008275E1">
      <w:pPr>
        <w:rPr>
          <w:rFonts w:ascii="Book Antiqua" w:hAnsi="Book Antiqua"/>
        </w:rPr>
      </w:pPr>
    </w:p>
    <w:p w14:paraId="0122F67B" w14:textId="77777777" w:rsidR="00917AD5" w:rsidRDefault="00917AD5" w:rsidP="008275E1">
      <w:pPr>
        <w:rPr>
          <w:rFonts w:ascii="Book Antiqua" w:hAnsi="Book Antiqua"/>
        </w:rPr>
      </w:pPr>
    </w:p>
    <w:p w14:paraId="355674B2" w14:textId="77777777" w:rsidR="00917AD5" w:rsidRDefault="00917AD5" w:rsidP="008275E1">
      <w:pPr>
        <w:rPr>
          <w:rFonts w:ascii="Book Antiqua" w:hAnsi="Book Antiqua"/>
        </w:rPr>
      </w:pPr>
    </w:p>
    <w:p w14:paraId="50C7AA5B" w14:textId="77777777" w:rsidR="00917AD5" w:rsidRDefault="00917AD5" w:rsidP="008275E1">
      <w:pPr>
        <w:rPr>
          <w:rFonts w:ascii="Book Antiqua" w:hAnsi="Book Antiqua"/>
        </w:rPr>
      </w:pPr>
    </w:p>
    <w:p w14:paraId="16DF344C" w14:textId="77777777" w:rsidR="00B64DE0" w:rsidRDefault="00B64DE0" w:rsidP="008275E1">
      <w:pPr>
        <w:rPr>
          <w:rFonts w:ascii="Book Antiqua" w:hAnsi="Book Antiqua"/>
        </w:rPr>
      </w:pPr>
    </w:p>
    <w:p w14:paraId="0BE6117E" w14:textId="77777777" w:rsidR="00B64DE0" w:rsidRDefault="00B64DE0" w:rsidP="008275E1">
      <w:pPr>
        <w:rPr>
          <w:rFonts w:ascii="Book Antiqua" w:hAnsi="Book Antiqua"/>
        </w:rPr>
      </w:pPr>
    </w:p>
    <w:p w14:paraId="1439C600" w14:textId="77777777" w:rsidR="00B64DE0" w:rsidRDefault="00B64DE0" w:rsidP="008275E1">
      <w:pPr>
        <w:rPr>
          <w:rFonts w:ascii="Book Antiqua" w:hAnsi="Book Antiqua"/>
        </w:rPr>
      </w:pPr>
    </w:p>
    <w:p w14:paraId="076D9C76" w14:textId="77777777" w:rsidR="000E392A" w:rsidRDefault="000E392A" w:rsidP="00451800">
      <w:pPr>
        <w:autoSpaceDE w:val="0"/>
        <w:autoSpaceDN w:val="0"/>
        <w:adjustRightInd w:val="0"/>
        <w:rPr>
          <w:rFonts w:ascii="Book Antiqua" w:hAnsi="Book Antiqua"/>
          <w:b/>
          <w:color w:val="000000"/>
          <w:sz w:val="26"/>
          <w:szCs w:val="26"/>
        </w:rPr>
        <w:sectPr w:rsidR="000E392A" w:rsidSect="008F6BC9">
          <w:type w:val="continuous"/>
          <w:pgSz w:w="11907" w:h="16839" w:code="9"/>
          <w:pgMar w:top="1440" w:right="1440" w:bottom="1440" w:left="1440" w:header="720" w:footer="720" w:gutter="0"/>
          <w:cols w:num="2" w:space="720"/>
          <w:docGrid w:linePitch="360"/>
        </w:sectPr>
      </w:pPr>
    </w:p>
    <w:p w14:paraId="1317FFA9" w14:textId="77777777" w:rsidR="00FF7C45" w:rsidRPr="002E553D" w:rsidRDefault="00FF7C45" w:rsidP="00B94E15">
      <w:pPr>
        <w:autoSpaceDE w:val="0"/>
        <w:autoSpaceDN w:val="0"/>
        <w:adjustRightInd w:val="0"/>
        <w:spacing w:after="0"/>
        <w:jc w:val="center"/>
        <w:rPr>
          <w:rFonts w:ascii="Book Antiqua" w:hAnsi="Book Antiqua"/>
          <w:b/>
          <w:color w:val="000000"/>
          <w:sz w:val="26"/>
          <w:szCs w:val="26"/>
        </w:rPr>
      </w:pPr>
      <w:r w:rsidRPr="00B64DE0">
        <w:rPr>
          <w:rFonts w:ascii="Book Antiqua" w:hAnsi="Book Antiqua"/>
          <w:b/>
          <w:color w:val="000000"/>
          <w:sz w:val="26"/>
          <w:szCs w:val="26"/>
        </w:rPr>
        <w:lastRenderedPageBreak/>
        <w:t>Banks an</w:t>
      </w:r>
      <w:r w:rsidRPr="00792CC1">
        <w:rPr>
          <w:rFonts w:ascii="Book Antiqua" w:hAnsi="Book Antiqua"/>
          <w:b/>
          <w:color w:val="000000"/>
          <w:sz w:val="26"/>
          <w:szCs w:val="26"/>
        </w:rPr>
        <w:t>d</w:t>
      </w:r>
      <w:r w:rsidRPr="00B64DE0">
        <w:rPr>
          <w:rFonts w:ascii="Book Antiqua" w:hAnsi="Book Antiqua"/>
          <w:b/>
          <w:color w:val="000000"/>
          <w:sz w:val="26"/>
          <w:szCs w:val="26"/>
        </w:rPr>
        <w:t xml:space="preserve"> Customer Service Delivery: Attracting and Retaining Customers in the Ghanaian Banking Sector</w:t>
      </w:r>
    </w:p>
    <w:p w14:paraId="1AB7B0FE" w14:textId="77777777" w:rsidR="00FF7C45" w:rsidRPr="00E3232D" w:rsidRDefault="00FF7C45" w:rsidP="002E553D">
      <w:pPr>
        <w:autoSpaceDE w:val="0"/>
        <w:autoSpaceDN w:val="0"/>
        <w:adjustRightInd w:val="0"/>
        <w:spacing w:after="0"/>
        <w:jc w:val="center"/>
        <w:rPr>
          <w:rFonts w:ascii="Book Antiqua" w:hAnsi="Book Antiqua"/>
          <w:b/>
          <w:i/>
        </w:rPr>
      </w:pPr>
    </w:p>
    <w:p w14:paraId="140DB567" w14:textId="77777777" w:rsidR="00FF7C45" w:rsidRPr="00AB79DE" w:rsidRDefault="002F7B5D" w:rsidP="002E553D">
      <w:pPr>
        <w:spacing w:after="0"/>
        <w:ind w:left="360"/>
        <w:jc w:val="center"/>
        <w:rPr>
          <w:rFonts w:ascii="Book Antiqua" w:hAnsi="Book Antiqua"/>
          <w:b/>
          <w:sz w:val="26"/>
          <w:lang w:val="en-GB"/>
        </w:rPr>
      </w:pPr>
      <w:r w:rsidRPr="00AB79DE">
        <w:rPr>
          <w:rFonts w:ascii="Book Antiqua" w:hAnsi="Book Antiqua"/>
          <w:b/>
          <w:sz w:val="26"/>
          <w:lang w:val="en-GB"/>
        </w:rPr>
        <w:t>Dzisah W. E.</w:t>
      </w:r>
      <w:r w:rsidR="00FF7C45" w:rsidRPr="00AB79DE">
        <w:rPr>
          <w:rFonts w:ascii="Book Antiqua" w:hAnsi="Book Antiqua"/>
          <w:b/>
          <w:sz w:val="26"/>
          <w:lang w:val="en-GB"/>
        </w:rPr>
        <w:t xml:space="preserve"> </w:t>
      </w:r>
      <w:r w:rsidR="000E392A" w:rsidRPr="00AB79DE">
        <w:rPr>
          <w:rFonts w:ascii="Book Antiqua" w:hAnsi="Book Antiqua"/>
          <w:b/>
          <w:sz w:val="26"/>
          <w:lang w:val="en-GB"/>
        </w:rPr>
        <w:t>&amp;</w:t>
      </w:r>
      <w:r w:rsidR="00161585" w:rsidRPr="00AB79DE">
        <w:rPr>
          <w:rFonts w:ascii="Book Antiqua" w:hAnsi="Book Antiqua"/>
          <w:b/>
          <w:sz w:val="26"/>
          <w:lang w:val="en-GB"/>
        </w:rPr>
        <w:t xml:space="preserve"> Elikem</w:t>
      </w:r>
      <w:r w:rsidRPr="00AB79DE">
        <w:rPr>
          <w:rFonts w:ascii="Book Antiqua" w:hAnsi="Book Antiqua"/>
          <w:b/>
          <w:sz w:val="26"/>
          <w:lang w:val="en-GB"/>
        </w:rPr>
        <w:t xml:space="preserve"> </w:t>
      </w:r>
      <w:r w:rsidR="004F2D65" w:rsidRPr="00AB79DE">
        <w:rPr>
          <w:rFonts w:ascii="Book Antiqua" w:hAnsi="Book Antiqua"/>
          <w:b/>
          <w:sz w:val="26"/>
          <w:lang w:val="en-GB"/>
        </w:rPr>
        <w:t>C. O</w:t>
      </w:r>
      <w:r w:rsidR="00472294" w:rsidRPr="00AB79DE">
        <w:rPr>
          <w:rFonts w:ascii="Book Antiqua" w:hAnsi="Book Antiqua"/>
          <w:b/>
          <w:sz w:val="26"/>
          <w:lang w:val="en-GB"/>
        </w:rPr>
        <w:t>.</w:t>
      </w:r>
    </w:p>
    <w:p w14:paraId="6CF4DB93" w14:textId="77777777" w:rsidR="00FF7C45" w:rsidRPr="00DA4395" w:rsidRDefault="00FF7C45" w:rsidP="002E553D">
      <w:pPr>
        <w:spacing w:after="0"/>
        <w:ind w:left="360"/>
        <w:jc w:val="center"/>
        <w:rPr>
          <w:rFonts w:ascii="Book Antiqua" w:hAnsi="Book Antiqua"/>
          <w:lang w:val="en-GB"/>
        </w:rPr>
      </w:pPr>
      <w:r w:rsidRPr="00DA4395">
        <w:rPr>
          <w:rFonts w:ascii="Book Antiqua" w:hAnsi="Book Antiqua"/>
          <w:lang w:val="en-GB"/>
        </w:rPr>
        <w:t>Accra Polytechnic</w:t>
      </w:r>
      <w:r w:rsidR="006941E7" w:rsidRPr="00DA4395">
        <w:rPr>
          <w:rFonts w:ascii="Book Antiqua" w:hAnsi="Book Antiqua"/>
          <w:lang w:val="en-GB"/>
        </w:rPr>
        <w:t xml:space="preserve"> </w:t>
      </w:r>
      <w:r w:rsidRPr="00DA4395">
        <w:rPr>
          <w:rFonts w:ascii="Book Antiqua" w:hAnsi="Book Antiqua"/>
          <w:lang w:val="en-GB"/>
        </w:rPr>
        <w:t>P. O. Box GP 561</w:t>
      </w:r>
      <w:r w:rsidR="00DA4395" w:rsidRPr="00DA4395">
        <w:rPr>
          <w:rFonts w:ascii="Book Antiqua" w:hAnsi="Book Antiqua"/>
          <w:lang w:val="en-GB"/>
        </w:rPr>
        <w:t>, Accra, Ghana</w:t>
      </w:r>
    </w:p>
    <w:p w14:paraId="08988839" w14:textId="77777777" w:rsidR="00FF7C45" w:rsidRPr="00DA4395" w:rsidRDefault="00A6245E" w:rsidP="001F1AB1">
      <w:pPr>
        <w:tabs>
          <w:tab w:val="left" w:pos="3011"/>
        </w:tabs>
        <w:ind w:left="360"/>
        <w:jc w:val="center"/>
        <w:rPr>
          <w:rFonts w:ascii="Book Antiqua" w:hAnsi="Book Antiqua"/>
          <w:lang w:val="en-GB"/>
        </w:rPr>
      </w:pPr>
      <w:r w:rsidRPr="00792CC1">
        <w:rPr>
          <w:rFonts w:ascii="Book Antiqua" w:hAnsi="Book Antiqua"/>
          <w:b/>
          <w:lang w:val="en-GB"/>
        </w:rPr>
        <w:t>E</w:t>
      </w:r>
      <w:r w:rsidR="00792CC1" w:rsidRPr="00792CC1">
        <w:rPr>
          <w:rFonts w:ascii="Book Antiqua" w:hAnsi="Book Antiqua"/>
          <w:b/>
          <w:lang w:val="en-GB"/>
        </w:rPr>
        <w:t>-</w:t>
      </w:r>
      <w:r w:rsidRPr="00792CC1">
        <w:rPr>
          <w:rFonts w:ascii="Book Antiqua" w:hAnsi="Book Antiqua"/>
          <w:b/>
          <w:lang w:val="en-GB"/>
        </w:rPr>
        <w:t>mail:</w:t>
      </w:r>
      <w:r w:rsidRPr="00DA4395">
        <w:rPr>
          <w:rFonts w:ascii="Book Antiqua" w:hAnsi="Book Antiqua"/>
          <w:lang w:val="en-GB"/>
        </w:rPr>
        <w:t xml:space="preserve"> </w:t>
      </w:r>
      <w:hyperlink r:id="rId71" w:history="1">
        <w:r w:rsidR="001F1AB1" w:rsidRPr="00DA4395">
          <w:rPr>
            <w:rStyle w:val="Hyperlink"/>
            <w:rFonts w:ascii="Book Antiqua" w:hAnsi="Book Antiqua"/>
            <w:lang w:val="en-GB"/>
          </w:rPr>
          <w:t>edzisah@yahoo.com</w:t>
        </w:r>
      </w:hyperlink>
      <w:r w:rsidR="001F1AB1" w:rsidRPr="00DA4395">
        <w:rPr>
          <w:rFonts w:ascii="Book Antiqua" w:hAnsi="Book Antiqua"/>
          <w:lang w:val="en-GB"/>
        </w:rPr>
        <w:t xml:space="preserve"> &amp; </w:t>
      </w:r>
      <w:hyperlink r:id="rId72" w:history="1">
        <w:r w:rsidR="00FF7C45" w:rsidRPr="00DA4395">
          <w:rPr>
            <w:rStyle w:val="Hyperlink"/>
            <w:rFonts w:ascii="Book Antiqua" w:hAnsi="Book Antiqua"/>
            <w:lang w:val="en-GB"/>
          </w:rPr>
          <w:t>elikem75@yahoo.co.uk</w:t>
        </w:r>
      </w:hyperlink>
    </w:p>
    <w:p w14:paraId="5EAEA2E2" w14:textId="77777777" w:rsidR="00FF7C45" w:rsidRPr="00E3232D" w:rsidRDefault="00FF7C45" w:rsidP="008275E1">
      <w:pPr>
        <w:autoSpaceDE w:val="0"/>
        <w:autoSpaceDN w:val="0"/>
        <w:adjustRightInd w:val="0"/>
        <w:jc w:val="center"/>
        <w:rPr>
          <w:rFonts w:ascii="Book Antiqua" w:hAnsi="Book Antiqua"/>
        </w:rPr>
      </w:pPr>
    </w:p>
    <w:p w14:paraId="6CABB06F" w14:textId="77777777" w:rsidR="00917AD5" w:rsidRPr="00DF27DD" w:rsidRDefault="00FF7C45" w:rsidP="008275E1">
      <w:pPr>
        <w:autoSpaceDE w:val="0"/>
        <w:autoSpaceDN w:val="0"/>
        <w:adjustRightInd w:val="0"/>
        <w:rPr>
          <w:rFonts w:ascii="Book Antiqua" w:hAnsi="Book Antiqua"/>
          <w:b/>
        </w:rPr>
      </w:pPr>
      <w:r w:rsidRPr="00AB79DE">
        <w:rPr>
          <w:rFonts w:ascii="Book Antiqua" w:hAnsi="Book Antiqua"/>
          <w:b/>
          <w:sz w:val="26"/>
        </w:rPr>
        <w:t>Abstract</w:t>
      </w:r>
    </w:p>
    <w:p w14:paraId="119C8797" w14:textId="77777777" w:rsidR="00FF7C45" w:rsidRPr="00E3232D" w:rsidRDefault="00FF7C45" w:rsidP="003A19DD">
      <w:pPr>
        <w:autoSpaceDE w:val="0"/>
        <w:autoSpaceDN w:val="0"/>
        <w:adjustRightInd w:val="0"/>
        <w:jc w:val="both"/>
        <w:rPr>
          <w:rFonts w:ascii="Book Antiqua" w:hAnsi="Book Antiqua"/>
        </w:rPr>
      </w:pPr>
      <w:r w:rsidRPr="00E3232D">
        <w:rPr>
          <w:rFonts w:ascii="Book Antiqua" w:hAnsi="Book Antiqua"/>
        </w:rPr>
        <w:t>The influx of foreign banks into Ghana has increased the competition in the banking sector. This study explores issues relating to making customer service effective as one important area of competitive advantage for banks within the financial sector. The study used a structured questionnaire as the main primary data collection tool. In addition, related works in this area were also reviewed and used as secondary data to support the primary data in the analysis. The study found three main issues confronting the banks. These are: provision of quick and efficient service, ability of the staffs to resolve problems, and privacy of customers in the process. It also found out that there is effective complaint system in place with frontline staffs tracking customer complaints and the branch and customer service managers enforcing their resolutions. However, most complaints were about pathetic attitude of tellers. The notable positive development has led to customer attraction and retention. The study recommended the discontinuation of the concept of specialization in dealing with specific customers, sufficient training and periodic orientation of staffs, enhancing the privacy of customers through seclusion of one-on-one discussions from the public eye and rewarding high performing staffs to promote good attitude towards customers.</w:t>
      </w:r>
    </w:p>
    <w:p w14:paraId="3D0A69AC" w14:textId="77777777" w:rsidR="00F82A53" w:rsidRDefault="00FF7C45" w:rsidP="008275E1">
      <w:pPr>
        <w:autoSpaceDE w:val="0"/>
        <w:autoSpaceDN w:val="0"/>
        <w:adjustRightInd w:val="0"/>
        <w:rPr>
          <w:rFonts w:ascii="Book Antiqua" w:hAnsi="Book Antiqua"/>
          <w:lang w:val="en-GB"/>
        </w:rPr>
        <w:sectPr w:rsidR="00F82A53" w:rsidSect="008F6BC9">
          <w:type w:val="continuous"/>
          <w:pgSz w:w="11907" w:h="16839" w:code="9"/>
          <w:pgMar w:top="1440" w:right="1440" w:bottom="1440" w:left="1440" w:header="720" w:footer="720" w:gutter="0"/>
          <w:cols w:space="720"/>
          <w:docGrid w:linePitch="360"/>
        </w:sectPr>
      </w:pPr>
      <w:r w:rsidRPr="00E3232D">
        <w:rPr>
          <w:rFonts w:ascii="Book Antiqua" w:hAnsi="Book Antiqua"/>
          <w:b/>
          <w:lang w:val="en-GB"/>
        </w:rPr>
        <w:t>Key Words:</w:t>
      </w:r>
      <w:r w:rsidRPr="00E3232D">
        <w:rPr>
          <w:rFonts w:ascii="Book Antiqua" w:hAnsi="Book Antiqua"/>
          <w:lang w:val="en-GB"/>
        </w:rPr>
        <w:t xml:space="preserve"> Customer </w:t>
      </w:r>
      <w:r w:rsidR="00BC73F7" w:rsidRPr="00E3232D">
        <w:rPr>
          <w:rFonts w:ascii="Book Antiqua" w:hAnsi="Book Antiqua"/>
          <w:lang w:val="en-GB"/>
        </w:rPr>
        <w:t>Service</w:t>
      </w:r>
      <w:r w:rsidRPr="00E3232D">
        <w:rPr>
          <w:rFonts w:ascii="Book Antiqua" w:hAnsi="Book Antiqua"/>
          <w:lang w:val="en-GB"/>
        </w:rPr>
        <w:t xml:space="preserve">; </w:t>
      </w:r>
      <w:r w:rsidR="00BC73F7" w:rsidRPr="00E3232D">
        <w:rPr>
          <w:rFonts w:ascii="Book Antiqua" w:hAnsi="Book Antiqua"/>
          <w:lang w:val="en-GB"/>
        </w:rPr>
        <w:t>Customer Attraction</w:t>
      </w:r>
      <w:r w:rsidRPr="00E3232D">
        <w:rPr>
          <w:rFonts w:ascii="Book Antiqua" w:hAnsi="Book Antiqua"/>
          <w:lang w:val="en-GB"/>
        </w:rPr>
        <w:t xml:space="preserve">; </w:t>
      </w:r>
      <w:r w:rsidR="00BC73F7" w:rsidRPr="00E3232D">
        <w:rPr>
          <w:rFonts w:ascii="Book Antiqua" w:hAnsi="Book Antiqua"/>
          <w:lang w:val="en-GB"/>
        </w:rPr>
        <w:t>Customer Retention</w:t>
      </w:r>
      <w:r w:rsidRPr="00E3232D">
        <w:rPr>
          <w:rFonts w:ascii="Book Antiqua" w:hAnsi="Book Antiqua"/>
          <w:lang w:val="en-GB"/>
        </w:rPr>
        <w:t xml:space="preserve">; </w:t>
      </w:r>
      <w:r w:rsidR="00BC73F7" w:rsidRPr="00E3232D">
        <w:rPr>
          <w:rFonts w:ascii="Book Antiqua" w:hAnsi="Book Antiqua"/>
          <w:lang w:val="en-GB"/>
        </w:rPr>
        <w:t>Customer Complaint System</w:t>
      </w:r>
    </w:p>
    <w:p w14:paraId="5384BFB4" w14:textId="77777777" w:rsidR="00FF7C45" w:rsidRPr="00E3232D" w:rsidRDefault="00FF7C45" w:rsidP="008275E1">
      <w:pPr>
        <w:rPr>
          <w:rFonts w:ascii="Book Antiqua" w:hAnsi="Book Antiqua"/>
          <w:b/>
          <w:color w:val="000000"/>
          <w:lang w:val="en-GB"/>
        </w:rPr>
        <w:sectPr w:rsidR="00FF7C45" w:rsidRPr="00E3232D" w:rsidSect="003B5519">
          <w:type w:val="continuous"/>
          <w:pgSz w:w="11907" w:h="16839" w:code="9"/>
          <w:pgMar w:top="1440" w:right="1440" w:bottom="1440" w:left="1440" w:header="720" w:footer="720" w:gutter="0"/>
          <w:cols w:num="2" w:space="720"/>
          <w:docGrid w:linePitch="360"/>
        </w:sectPr>
      </w:pPr>
    </w:p>
    <w:p w14:paraId="26BB3C87" w14:textId="77777777" w:rsidR="00FF7C45" w:rsidRPr="00E3232D" w:rsidRDefault="00FF7C45" w:rsidP="00040257">
      <w:pPr>
        <w:jc w:val="both"/>
        <w:rPr>
          <w:rFonts w:ascii="Book Antiqua" w:hAnsi="Book Antiqua"/>
          <w:b/>
          <w:color w:val="000000"/>
          <w:lang w:val="en-GB"/>
        </w:rPr>
      </w:pPr>
      <w:r w:rsidRPr="00E3232D">
        <w:rPr>
          <w:rFonts w:ascii="Book Antiqua" w:hAnsi="Book Antiqua"/>
          <w:b/>
          <w:color w:val="000000"/>
          <w:lang w:val="en-GB"/>
        </w:rPr>
        <w:t>1.</w:t>
      </w:r>
      <w:r w:rsidR="00AB79DE">
        <w:rPr>
          <w:rFonts w:ascii="Book Antiqua" w:hAnsi="Book Antiqua"/>
          <w:b/>
          <w:color w:val="000000"/>
          <w:lang w:val="en-GB"/>
        </w:rPr>
        <w:t>0</w:t>
      </w:r>
      <w:r w:rsidRPr="00E3232D">
        <w:rPr>
          <w:rFonts w:ascii="Book Antiqua" w:hAnsi="Book Antiqua"/>
          <w:b/>
          <w:color w:val="000000"/>
          <w:lang w:val="en-GB"/>
        </w:rPr>
        <w:t xml:space="preserve"> </w:t>
      </w:r>
      <w:r w:rsidRPr="003A19DD">
        <w:rPr>
          <w:rFonts w:ascii="Book Antiqua" w:hAnsi="Book Antiqua"/>
          <w:b/>
          <w:color w:val="000000"/>
          <w:sz w:val="26"/>
          <w:lang w:val="en-GB"/>
        </w:rPr>
        <w:t>Introduction</w:t>
      </w:r>
    </w:p>
    <w:p w14:paraId="780DBC3D" w14:textId="77777777" w:rsidR="002E553D" w:rsidRDefault="00FF7C45" w:rsidP="00040257">
      <w:pPr>
        <w:tabs>
          <w:tab w:val="left" w:pos="-90"/>
        </w:tabs>
        <w:jc w:val="both"/>
        <w:rPr>
          <w:rFonts w:ascii="Book Antiqua" w:hAnsi="Book Antiqua"/>
          <w:color w:val="000000"/>
          <w:lang w:val="en-GB"/>
        </w:rPr>
        <w:sectPr w:rsidR="002E553D" w:rsidSect="003B5519">
          <w:type w:val="continuous"/>
          <w:pgSz w:w="11907" w:h="16839" w:code="9"/>
          <w:pgMar w:top="1440" w:right="1440" w:bottom="1440" w:left="1440" w:header="720" w:footer="720" w:gutter="0"/>
          <w:cols w:num="2" w:space="720"/>
          <w:docGrid w:linePitch="360"/>
        </w:sectPr>
      </w:pPr>
      <w:r w:rsidRPr="00E3232D">
        <w:rPr>
          <w:rFonts w:ascii="Book Antiqua" w:hAnsi="Book Antiqua"/>
          <w:color w:val="000000"/>
          <w:lang w:val="en-GB"/>
        </w:rPr>
        <w:t xml:space="preserve">The global integration of markets has resurrected the important position of a customer to an organization. It is an undeniable fact that no organization can </w:t>
      </w:r>
      <w:r w:rsidRPr="00E3232D">
        <w:rPr>
          <w:rFonts w:ascii="Book Antiqua" w:hAnsi="Book Antiqua"/>
          <w:color w:val="000000"/>
          <w:lang w:val="en-GB"/>
        </w:rPr>
        <w:t xml:space="preserve">survive without a customer base, therefore, the long-term survival of an organization depends on the level of customer satisfaction. An organization’s determination to beat its competitors and stay in business is to promote a culture of </w:t>
      </w:r>
    </w:p>
    <w:p w14:paraId="41FB6F04" w14:textId="77777777" w:rsidR="00D704C5" w:rsidRDefault="00FF7C45" w:rsidP="00040257">
      <w:pPr>
        <w:tabs>
          <w:tab w:val="left" w:pos="-90"/>
        </w:tabs>
        <w:jc w:val="both"/>
        <w:rPr>
          <w:rFonts w:ascii="Book Antiqua" w:hAnsi="Book Antiqua"/>
          <w:color w:val="000000"/>
          <w:lang w:val="en-GB"/>
        </w:rPr>
        <w:sectPr w:rsidR="00D704C5" w:rsidSect="002E553D">
          <w:type w:val="continuous"/>
          <w:pgSz w:w="11907" w:h="16839" w:code="9"/>
          <w:pgMar w:top="1440" w:right="1440" w:bottom="1440" w:left="1440" w:header="720" w:footer="720" w:gutter="0"/>
          <w:cols w:num="2" w:space="720"/>
          <w:docGrid w:linePitch="360"/>
        </w:sectPr>
      </w:pPr>
      <w:r w:rsidRPr="00E3232D">
        <w:rPr>
          <w:rFonts w:ascii="Book Antiqua" w:hAnsi="Book Antiqua"/>
          <w:color w:val="000000"/>
          <w:lang w:val="en-GB"/>
        </w:rPr>
        <w:t xml:space="preserve">customer focus with satisfied customers.   Gronroos (2007) opined that many </w:t>
      </w:r>
      <w:r w:rsidRPr="00E3232D">
        <w:rPr>
          <w:rFonts w:ascii="Book Antiqua" w:hAnsi="Book Antiqua"/>
          <w:color w:val="000000"/>
          <w:lang w:val="en-GB"/>
        </w:rPr>
        <w:t xml:space="preserve">organizations put "excellent customer service or a similar tag in their vision or </w:t>
      </w:r>
    </w:p>
    <w:p w14:paraId="65DEB3DC" w14:textId="77777777" w:rsidR="00FF7C45" w:rsidRPr="00E3232D" w:rsidRDefault="00FF7C45" w:rsidP="00040257">
      <w:pPr>
        <w:tabs>
          <w:tab w:val="left" w:pos="-90"/>
        </w:tabs>
        <w:jc w:val="both"/>
        <w:rPr>
          <w:rFonts w:ascii="Book Antiqua" w:hAnsi="Book Antiqua"/>
          <w:color w:val="000000"/>
          <w:lang w:val="en-GB"/>
        </w:rPr>
      </w:pPr>
      <w:r w:rsidRPr="00E3232D">
        <w:rPr>
          <w:rFonts w:ascii="Book Antiqua" w:hAnsi="Book Antiqua"/>
          <w:color w:val="000000"/>
          <w:lang w:val="en-GB"/>
        </w:rPr>
        <w:lastRenderedPageBreak/>
        <w:t xml:space="preserve">mission statements, but most do not really mean what they say. Customer service is often viewed as an entry level position and the wages, attitude and experience of the staff reflects that”. </w:t>
      </w:r>
    </w:p>
    <w:p w14:paraId="2BA6DCBC" w14:textId="77777777" w:rsidR="00FF7C45" w:rsidRPr="00D742AA" w:rsidRDefault="00FF7C45" w:rsidP="00AB79DE">
      <w:pPr>
        <w:pStyle w:val="Heading3"/>
        <w:tabs>
          <w:tab w:val="left" w:pos="0"/>
        </w:tabs>
        <w:spacing w:before="0"/>
        <w:jc w:val="both"/>
        <w:rPr>
          <w:rFonts w:ascii="Book Antiqua" w:hAnsi="Book Antiqua"/>
          <w:b w:val="0"/>
          <w:color w:val="000000"/>
          <w:lang w:val="en-GB"/>
        </w:rPr>
      </w:pPr>
      <w:r w:rsidRPr="00D742AA">
        <w:rPr>
          <w:rFonts w:ascii="Book Antiqua" w:hAnsi="Book Antiqua"/>
          <w:b w:val="0"/>
          <w:color w:val="000000"/>
          <w:lang w:val="en-GB"/>
        </w:rPr>
        <w:t xml:space="preserve">Customer service is an organization’s ability to supply its customers what they want and need.  Customer service is achieved with effective management of customer perceptions and expectations. There is often a difference between customer perception and customer expectations. Before the service is experienced, customer expectations are </w:t>
      </w:r>
      <w:r w:rsidRPr="00D742AA">
        <w:rPr>
          <w:rFonts w:ascii="Book Antiqua" w:hAnsi="Book Antiqua"/>
          <w:b w:val="0"/>
          <w:color w:val="000000"/>
          <w:lang w:val="en-GB"/>
        </w:rPr>
        <w:t xml:space="preserve">formed from a company’s communication, which is the information provided in commercials, word of mouth from other service consumers, their experiences of the service from other organizations, and their personal needs. Service providers have to ensure that they deliver what is promised in their marketing communication, since perceived service must equal expected service. Anything short of this would lead to an unsatisfactory service experience (Hinson, 2004). </w:t>
      </w:r>
    </w:p>
    <w:p w14:paraId="3B6EDBA8" w14:textId="77777777" w:rsidR="00334F25" w:rsidRDefault="00334F25" w:rsidP="00040257">
      <w:pPr>
        <w:jc w:val="both"/>
        <w:rPr>
          <w:rFonts w:ascii="Book Antiqua" w:hAnsi="Book Antiqua"/>
          <w:color w:val="000000"/>
          <w:lang w:val="en-GB"/>
        </w:rPr>
        <w:sectPr w:rsidR="00334F25" w:rsidSect="00D704C5">
          <w:type w:val="continuous"/>
          <w:pgSz w:w="11907" w:h="16839" w:code="9"/>
          <w:pgMar w:top="1440" w:right="1440" w:bottom="1440" w:left="1440" w:header="720" w:footer="720" w:gutter="0"/>
          <w:cols w:num="2" w:space="720"/>
          <w:docGrid w:linePitch="360"/>
        </w:sectPr>
      </w:pPr>
    </w:p>
    <w:p w14:paraId="26EDA130" w14:textId="77777777" w:rsidR="00FF7C45" w:rsidRPr="00E3232D" w:rsidRDefault="00FF7C45" w:rsidP="00040257">
      <w:pPr>
        <w:pStyle w:val="NormalWeb"/>
        <w:spacing w:line="276" w:lineRule="auto"/>
        <w:jc w:val="both"/>
        <w:rPr>
          <w:rFonts w:ascii="Book Antiqua" w:hAnsi="Book Antiqua"/>
          <w:color w:val="000000"/>
          <w:sz w:val="22"/>
          <w:szCs w:val="22"/>
        </w:rPr>
      </w:pPr>
      <w:r w:rsidRPr="00E3232D">
        <w:rPr>
          <w:rFonts w:ascii="Book Antiqua" w:hAnsi="Book Antiqua"/>
          <w:color w:val="000000"/>
          <w:sz w:val="22"/>
          <w:szCs w:val="22"/>
        </w:rPr>
        <w:t>According to Ahmad and Buttle (2001) “</w:t>
      </w:r>
      <w:r w:rsidRPr="00E3232D">
        <w:rPr>
          <w:rFonts w:ascii="Book Antiqua" w:hAnsi="Book Antiqua"/>
          <w:iCs/>
          <w:color w:val="000000"/>
          <w:sz w:val="22"/>
          <w:szCs w:val="22"/>
        </w:rPr>
        <w:t>Handling customer complaints is one of the essential pillars of customer service and customer retention”. However, it is just smart business to try to understand why customers complain, so that you can prevent them. Understanding why customers complain, and addressing concerns before they happen saves time, and reduces the incidence of angry customers.</w:t>
      </w:r>
      <w:r w:rsidRPr="00E3232D">
        <w:rPr>
          <w:rFonts w:ascii="Book Antiqua" w:hAnsi="Book Antiqua"/>
          <w:color w:val="000000"/>
          <w:sz w:val="22"/>
          <w:szCs w:val="22"/>
        </w:rPr>
        <w:t xml:space="preserve"> </w:t>
      </w:r>
    </w:p>
    <w:p w14:paraId="054D6A29" w14:textId="77777777" w:rsidR="002E553D" w:rsidRDefault="00FF7C45" w:rsidP="00040257">
      <w:pPr>
        <w:shd w:val="clear" w:color="auto" w:fill="FFFFFF"/>
        <w:jc w:val="both"/>
        <w:rPr>
          <w:rFonts w:ascii="Book Antiqua" w:hAnsi="Book Antiqua"/>
          <w:color w:val="000000"/>
          <w:lang w:val="en-GB"/>
        </w:rPr>
      </w:pPr>
      <w:r w:rsidRPr="00E3232D">
        <w:rPr>
          <w:rFonts w:ascii="Book Antiqua" w:hAnsi="Book Antiqua"/>
          <w:color w:val="000000"/>
          <w:lang w:val="en-GB"/>
        </w:rPr>
        <w:t xml:space="preserve">One of the most important customer service skills necessary to be developed according to Gronroos (2007) is the ‘ability </w:t>
      </w:r>
      <w:r w:rsidRPr="00E3232D">
        <w:rPr>
          <w:rFonts w:ascii="Book Antiqua" w:hAnsi="Book Antiqua"/>
          <w:color w:val="000000"/>
          <w:lang w:val="en-GB"/>
        </w:rPr>
        <w:t>to understand and effectively respond to the customers’ needs and concerns’. Excellent customer service delivery starts by first taking the time to get to know the customer, his situation, h</w:t>
      </w:r>
      <w:r w:rsidR="00332DA2">
        <w:rPr>
          <w:rFonts w:ascii="Book Antiqua" w:hAnsi="Book Antiqua"/>
          <w:color w:val="000000"/>
          <w:lang w:val="en-GB"/>
        </w:rPr>
        <w:t>is vision, his frustrations and</w:t>
      </w:r>
      <w:r w:rsidR="002E553D">
        <w:rPr>
          <w:rFonts w:ascii="Book Antiqua" w:hAnsi="Book Antiqua"/>
          <w:color w:val="000000"/>
          <w:lang w:val="en-GB"/>
        </w:rPr>
        <w:t xml:space="preserve"> </w:t>
      </w:r>
      <w:r w:rsidR="002E553D" w:rsidRPr="00E3232D">
        <w:rPr>
          <w:rFonts w:ascii="Book Antiqua" w:hAnsi="Book Antiqua"/>
          <w:color w:val="000000"/>
          <w:lang w:val="en-GB"/>
        </w:rPr>
        <w:t>his goals (Vargo and Lusch, 2006).</w:t>
      </w:r>
    </w:p>
    <w:p w14:paraId="05EE5175" w14:textId="77777777" w:rsidR="002E553D" w:rsidRDefault="002E553D" w:rsidP="00040257">
      <w:pPr>
        <w:shd w:val="clear" w:color="auto" w:fill="FFFFFF"/>
        <w:jc w:val="both"/>
        <w:rPr>
          <w:rFonts w:ascii="Book Antiqua" w:hAnsi="Book Antiqua"/>
          <w:color w:val="000000"/>
          <w:lang w:val="en-GB"/>
        </w:rPr>
        <w:sectPr w:rsidR="002E553D" w:rsidSect="00D704C5">
          <w:type w:val="continuous"/>
          <w:pgSz w:w="11907" w:h="16839" w:code="9"/>
          <w:pgMar w:top="1440" w:right="1440" w:bottom="1440" w:left="1440" w:header="720" w:footer="720" w:gutter="0"/>
          <w:cols w:num="2" w:space="720"/>
          <w:docGrid w:linePitch="360"/>
        </w:sectPr>
      </w:pPr>
      <w:r w:rsidRPr="00E3232D">
        <w:rPr>
          <w:rFonts w:ascii="Book Antiqua" w:hAnsi="Book Antiqua"/>
          <w:color w:val="000000"/>
          <w:lang w:val="en-GB"/>
        </w:rPr>
        <w:t>This therefore means that customer service discipline must promote customer service principles, share information about customer service enhancements and recognize customer service needs in or</w:t>
      </w:r>
      <w:r>
        <w:rPr>
          <w:rFonts w:ascii="Book Antiqua" w:hAnsi="Book Antiqua"/>
          <w:color w:val="000000"/>
          <w:lang w:val="en-GB"/>
        </w:rPr>
        <w:t xml:space="preserve">der </w:t>
      </w:r>
      <w:r w:rsidRPr="00E3232D">
        <w:rPr>
          <w:rFonts w:ascii="Book Antiqua" w:hAnsi="Book Antiqua"/>
          <w:color w:val="000000"/>
          <w:lang w:val="en-GB"/>
        </w:rPr>
        <w:t xml:space="preserve">to help improve operations and deliver </w:t>
      </w:r>
      <w:r w:rsidR="00960602">
        <w:rPr>
          <w:rFonts w:ascii="Book Antiqua" w:hAnsi="Book Antiqua"/>
          <w:color w:val="000000"/>
          <w:lang w:val="en-GB"/>
        </w:rPr>
        <w:t>excell</w:t>
      </w:r>
      <w:r w:rsidR="00D704C5">
        <w:rPr>
          <w:rFonts w:ascii="Book Antiqua" w:hAnsi="Book Antiqua"/>
          <w:color w:val="000000"/>
          <w:lang w:val="en-GB"/>
        </w:rPr>
        <w:t>ent services to customers</w:t>
      </w:r>
    </w:p>
    <w:p w14:paraId="22B7AF93" w14:textId="77777777" w:rsidR="00332DA2" w:rsidRDefault="00332DA2" w:rsidP="00D704C5">
      <w:pPr>
        <w:shd w:val="clear" w:color="auto" w:fill="FFFFFF"/>
        <w:spacing w:after="0" w:line="240" w:lineRule="auto"/>
        <w:rPr>
          <w:rFonts w:ascii="Book Antiqua" w:hAnsi="Book Antiqua"/>
          <w:color w:val="000000"/>
          <w:lang w:val="en-GB"/>
        </w:rPr>
        <w:sectPr w:rsidR="00332DA2" w:rsidSect="00D704C5">
          <w:type w:val="continuous"/>
          <w:pgSz w:w="11907" w:h="16839" w:code="9"/>
          <w:pgMar w:top="1440" w:right="1440" w:bottom="1440" w:left="1440" w:header="720" w:footer="720" w:gutter="0"/>
          <w:cols w:num="2" w:space="720"/>
          <w:docGrid w:linePitch="360"/>
        </w:sectPr>
      </w:pPr>
    </w:p>
    <w:p w14:paraId="7BD76B79" w14:textId="77777777" w:rsidR="00451800" w:rsidRDefault="00451800" w:rsidP="00D704C5">
      <w:pPr>
        <w:spacing w:after="0" w:line="240" w:lineRule="auto"/>
        <w:rPr>
          <w:rFonts w:ascii="Book Antiqua" w:hAnsi="Book Antiqua"/>
          <w:b/>
          <w:color w:val="000000"/>
          <w:lang w:val="en-GB"/>
        </w:rPr>
        <w:sectPr w:rsidR="00451800" w:rsidSect="00D704C5">
          <w:type w:val="continuous"/>
          <w:pgSz w:w="11907" w:h="16839" w:code="9"/>
          <w:pgMar w:top="1440" w:right="1440" w:bottom="1440" w:left="1440" w:header="720" w:footer="720" w:gutter="0"/>
          <w:cols w:num="2" w:space="720"/>
          <w:docGrid w:linePitch="360"/>
        </w:sectPr>
      </w:pPr>
    </w:p>
    <w:p w14:paraId="1242EF54" w14:textId="77777777" w:rsidR="00451800" w:rsidRDefault="00D704C5" w:rsidP="00D704C5">
      <w:pPr>
        <w:spacing w:after="0" w:line="240" w:lineRule="auto"/>
        <w:rPr>
          <w:rFonts w:ascii="Book Antiqua" w:hAnsi="Book Antiqua"/>
          <w:b/>
          <w:color w:val="000000"/>
          <w:lang w:val="en-GB"/>
        </w:rPr>
      </w:pPr>
      <w:r>
        <w:rPr>
          <w:rFonts w:ascii="Book Antiqua" w:hAnsi="Book Antiqua"/>
          <w:b/>
          <w:color w:val="000000"/>
          <w:lang w:val="en-GB"/>
        </w:rPr>
        <w:t>1.1 Problem Statement</w:t>
      </w:r>
    </w:p>
    <w:p w14:paraId="2CE4326C" w14:textId="77777777" w:rsidR="00D704C5" w:rsidRPr="00D704C5" w:rsidRDefault="00D704C5" w:rsidP="00D704C5">
      <w:pPr>
        <w:spacing w:after="0" w:line="240" w:lineRule="auto"/>
        <w:rPr>
          <w:rFonts w:ascii="Book Antiqua" w:hAnsi="Book Antiqua"/>
          <w:b/>
          <w:color w:val="000000"/>
          <w:lang w:val="en-GB"/>
        </w:rPr>
        <w:sectPr w:rsidR="00D704C5" w:rsidRPr="00D704C5" w:rsidSect="00D704C5">
          <w:type w:val="continuous"/>
          <w:pgSz w:w="11907" w:h="16839" w:code="9"/>
          <w:pgMar w:top="1440" w:right="1440" w:bottom="1440" w:left="1440" w:header="720" w:footer="720" w:gutter="0"/>
          <w:cols w:num="2" w:space="720"/>
          <w:docGrid w:linePitch="360"/>
        </w:sectPr>
      </w:pPr>
    </w:p>
    <w:p w14:paraId="496F28F5" w14:textId="77777777" w:rsidR="002E553D" w:rsidRDefault="002E553D" w:rsidP="00D704C5">
      <w:pPr>
        <w:tabs>
          <w:tab w:val="left" w:pos="9270"/>
        </w:tabs>
        <w:spacing w:after="0" w:line="240" w:lineRule="auto"/>
        <w:ind w:right="5040"/>
        <w:rPr>
          <w:rFonts w:ascii="Book Antiqua" w:hAnsi="Book Antiqua"/>
          <w:color w:val="000000"/>
          <w:lang w:val="en-GB"/>
        </w:rPr>
        <w:sectPr w:rsidR="002E553D" w:rsidSect="00D704C5">
          <w:type w:val="continuous"/>
          <w:pgSz w:w="11907" w:h="16839" w:code="9"/>
          <w:pgMar w:top="1440" w:right="1440" w:bottom="1440" w:left="1440" w:header="720" w:footer="720" w:gutter="0"/>
          <w:cols w:num="2" w:space="720"/>
          <w:docGrid w:linePitch="360"/>
        </w:sectPr>
      </w:pPr>
    </w:p>
    <w:p w14:paraId="48832308" w14:textId="77777777" w:rsidR="00451800" w:rsidRDefault="00FF7C45" w:rsidP="00D704C5">
      <w:pPr>
        <w:tabs>
          <w:tab w:val="left" w:pos="9000"/>
        </w:tabs>
        <w:spacing w:after="0" w:line="240" w:lineRule="auto"/>
        <w:ind w:right="27"/>
        <w:rPr>
          <w:rFonts w:ascii="Book Antiqua" w:hAnsi="Book Antiqua"/>
          <w:color w:val="000000"/>
          <w:lang w:val="en-GB"/>
        </w:rPr>
        <w:sectPr w:rsidR="00451800" w:rsidSect="00D704C5">
          <w:type w:val="continuous"/>
          <w:pgSz w:w="11907" w:h="16839" w:code="9"/>
          <w:pgMar w:top="1440" w:right="1440" w:bottom="1440" w:left="1440" w:header="720" w:footer="720" w:gutter="0"/>
          <w:cols w:num="2" w:space="720"/>
          <w:docGrid w:linePitch="360"/>
        </w:sectPr>
      </w:pPr>
      <w:r w:rsidRPr="00E3232D">
        <w:rPr>
          <w:rFonts w:ascii="Book Antiqua" w:hAnsi="Book Antiqua"/>
          <w:color w:val="000000"/>
          <w:lang w:val="en-GB"/>
        </w:rPr>
        <w:t>omer service has been cited variously as a marketin</w:t>
      </w:r>
      <w:r w:rsidR="00451800">
        <w:rPr>
          <w:rFonts w:ascii="Book Antiqua" w:hAnsi="Book Antiqua"/>
          <w:color w:val="000000"/>
          <w:lang w:val="en-GB"/>
        </w:rPr>
        <w:t xml:space="preserve">g tool necessary for satisfying </w:t>
      </w:r>
      <w:r w:rsidR="00451800" w:rsidRPr="00E3232D">
        <w:rPr>
          <w:rFonts w:ascii="Book Antiqua" w:hAnsi="Book Antiqua"/>
          <w:color w:val="000000"/>
          <w:lang w:val="en-GB"/>
        </w:rPr>
        <w:t>customers to promote a long lasting relationship and ultimately retention.</w:t>
      </w:r>
    </w:p>
    <w:p w14:paraId="69E3D68D" w14:textId="77777777" w:rsidR="00D704C5" w:rsidRDefault="00D704C5" w:rsidP="00D704C5">
      <w:pPr>
        <w:spacing w:after="0" w:line="240" w:lineRule="auto"/>
        <w:rPr>
          <w:rFonts w:ascii="Book Antiqua" w:hAnsi="Book Antiqua"/>
          <w:color w:val="000000"/>
          <w:lang w:val="en-GB"/>
        </w:rPr>
        <w:sectPr w:rsidR="00D704C5" w:rsidSect="000B7F50">
          <w:type w:val="continuous"/>
          <w:pgSz w:w="11907" w:h="16839" w:code="9"/>
          <w:pgMar w:top="1440" w:right="1440" w:bottom="1440" w:left="1440" w:header="720" w:footer="720" w:gutter="0"/>
          <w:cols w:num="2" w:space="720"/>
          <w:docGrid w:linePitch="360"/>
        </w:sectPr>
      </w:pPr>
    </w:p>
    <w:p w14:paraId="64AAC799" w14:textId="77777777" w:rsidR="00D704C5" w:rsidRDefault="00D704C5" w:rsidP="00D704C5">
      <w:pPr>
        <w:spacing w:after="0"/>
        <w:jc w:val="both"/>
        <w:rPr>
          <w:rFonts w:ascii="Book Antiqua" w:hAnsi="Book Antiqua"/>
          <w:color w:val="000000"/>
          <w:lang w:val="en-GB"/>
        </w:rPr>
      </w:pPr>
    </w:p>
    <w:p w14:paraId="06B81366" w14:textId="77777777" w:rsidR="00D704C5" w:rsidRDefault="00D704C5" w:rsidP="00D704C5">
      <w:pPr>
        <w:spacing w:after="0"/>
        <w:jc w:val="both"/>
        <w:rPr>
          <w:rFonts w:ascii="Book Antiqua" w:hAnsi="Book Antiqua"/>
          <w:color w:val="000000"/>
          <w:lang w:val="en-GB"/>
        </w:rPr>
      </w:pPr>
    </w:p>
    <w:p w14:paraId="5ECCE939" w14:textId="77777777" w:rsidR="00D704C5" w:rsidRDefault="00D704C5" w:rsidP="00D704C5">
      <w:pPr>
        <w:spacing w:after="0"/>
        <w:jc w:val="both"/>
        <w:rPr>
          <w:rFonts w:ascii="Book Antiqua" w:hAnsi="Book Antiqua"/>
          <w:color w:val="000000"/>
          <w:lang w:val="en-GB"/>
        </w:rPr>
      </w:pPr>
    </w:p>
    <w:p w14:paraId="761C203F" w14:textId="77777777" w:rsidR="00D704C5" w:rsidRDefault="00D704C5" w:rsidP="00D704C5">
      <w:pPr>
        <w:spacing w:after="0"/>
        <w:jc w:val="both"/>
        <w:rPr>
          <w:rFonts w:ascii="Book Antiqua" w:hAnsi="Book Antiqua"/>
          <w:color w:val="000000"/>
          <w:lang w:val="en-GB"/>
        </w:rPr>
      </w:pPr>
    </w:p>
    <w:p w14:paraId="300E0A59" w14:textId="77777777" w:rsidR="00D704C5" w:rsidRDefault="00D704C5" w:rsidP="00D704C5">
      <w:pPr>
        <w:spacing w:after="0"/>
        <w:jc w:val="both"/>
        <w:rPr>
          <w:rFonts w:ascii="Book Antiqua" w:hAnsi="Book Antiqua"/>
          <w:color w:val="000000"/>
          <w:lang w:val="en-GB"/>
        </w:rPr>
      </w:pPr>
    </w:p>
    <w:p w14:paraId="25AFBCBE" w14:textId="77777777" w:rsidR="00D704C5" w:rsidRDefault="00D704C5" w:rsidP="00D704C5">
      <w:pPr>
        <w:spacing w:after="0"/>
        <w:jc w:val="both"/>
        <w:rPr>
          <w:rFonts w:ascii="Book Antiqua" w:hAnsi="Book Antiqua"/>
          <w:color w:val="000000"/>
          <w:lang w:val="en-GB"/>
        </w:rPr>
      </w:pPr>
    </w:p>
    <w:p w14:paraId="61E898A4" w14:textId="77777777" w:rsidR="00D704C5" w:rsidRDefault="00D704C5" w:rsidP="00D704C5">
      <w:pPr>
        <w:spacing w:after="0"/>
        <w:jc w:val="both"/>
        <w:rPr>
          <w:rFonts w:ascii="Book Antiqua" w:hAnsi="Book Antiqua"/>
          <w:color w:val="000000"/>
          <w:lang w:val="en-GB"/>
        </w:rPr>
      </w:pPr>
    </w:p>
    <w:p w14:paraId="3334C0B1" w14:textId="77777777" w:rsidR="00D704C5" w:rsidRDefault="00D704C5" w:rsidP="00D704C5">
      <w:pPr>
        <w:spacing w:after="0"/>
        <w:jc w:val="both"/>
        <w:rPr>
          <w:rFonts w:ascii="Book Antiqua" w:hAnsi="Book Antiqua"/>
          <w:color w:val="000000"/>
          <w:lang w:val="en-GB"/>
        </w:rPr>
      </w:pPr>
    </w:p>
    <w:p w14:paraId="09D11C79" w14:textId="77777777" w:rsidR="00451800" w:rsidRPr="00E3232D" w:rsidRDefault="00FF7C45" w:rsidP="00D704C5">
      <w:pPr>
        <w:spacing w:after="0"/>
        <w:jc w:val="both"/>
        <w:rPr>
          <w:rFonts w:ascii="Book Antiqua" w:hAnsi="Book Antiqua"/>
          <w:color w:val="000000"/>
          <w:lang w:val="en-GB"/>
        </w:rPr>
      </w:pPr>
      <w:r w:rsidRPr="00E3232D">
        <w:rPr>
          <w:rFonts w:ascii="Book Antiqua" w:hAnsi="Book Antiqua"/>
          <w:color w:val="000000"/>
          <w:lang w:val="en-GB"/>
        </w:rPr>
        <w:lastRenderedPageBreak/>
        <w:t xml:space="preserve">However, public and media discussions persistently point out poor customer service in the financial institutions in Ghana. It is an undeniable fact that from the ongoing public debate and the advertising messages of most of the banks in Ghana, there are issues to tackle despite a lot of talk on customer service.    </w:t>
      </w:r>
    </w:p>
    <w:p w14:paraId="363DFD16" w14:textId="77777777" w:rsidR="00FF7C45" w:rsidRPr="00E3232D" w:rsidRDefault="00FF7C45" w:rsidP="00040257">
      <w:pPr>
        <w:pStyle w:val="NormalWeb"/>
        <w:spacing w:line="276" w:lineRule="auto"/>
        <w:jc w:val="both"/>
        <w:rPr>
          <w:rFonts w:ascii="Book Antiqua" w:hAnsi="Book Antiqua"/>
          <w:color w:val="000000"/>
          <w:sz w:val="22"/>
          <w:szCs w:val="22"/>
        </w:rPr>
      </w:pPr>
      <w:r w:rsidRPr="00E3232D">
        <w:rPr>
          <w:rFonts w:ascii="Book Antiqua" w:hAnsi="Book Antiqua"/>
          <w:color w:val="000000"/>
          <w:sz w:val="22"/>
          <w:szCs w:val="22"/>
        </w:rPr>
        <w:t>Customer service complaints about the performance of Ghanaian banks are overwhelming. They range from products performing below customers’ expectation, longer waiting time, poor handling of telephone calls by staff, bad attitude, lack of adequate information on bank products by staff, unwillingness by staff to go the extra mile to assist customers, broken promises and bureaucratic procedures.</w:t>
      </w:r>
    </w:p>
    <w:p w14:paraId="03231880" w14:textId="77777777" w:rsidR="00FC0562" w:rsidRDefault="00FF7C45" w:rsidP="00960602">
      <w:pPr>
        <w:pStyle w:val="NormalWeb"/>
        <w:spacing w:after="0" w:afterAutospacing="0" w:line="276" w:lineRule="auto"/>
        <w:jc w:val="both"/>
        <w:rPr>
          <w:rFonts w:ascii="Book Antiqua" w:hAnsi="Book Antiqua"/>
          <w:color w:val="000000"/>
          <w:sz w:val="22"/>
          <w:szCs w:val="22"/>
        </w:rPr>
      </w:pPr>
      <w:r w:rsidRPr="00E3232D">
        <w:rPr>
          <w:rFonts w:ascii="Book Antiqua" w:hAnsi="Book Antiqua"/>
          <w:color w:val="000000"/>
          <w:sz w:val="22"/>
          <w:szCs w:val="22"/>
        </w:rPr>
        <w:t xml:space="preserve">The over growing criticisms of quality of customer service within banks in Ghana, has led sceptics undecided on whether a bank through its customer service scheme can build everlasting relationship with their customers leading to their retention. </w:t>
      </w:r>
    </w:p>
    <w:p w14:paraId="746FA25D" w14:textId="77777777" w:rsidR="00D742AA" w:rsidRPr="00E3232D" w:rsidRDefault="00D742AA" w:rsidP="00040257">
      <w:pPr>
        <w:spacing w:after="0"/>
        <w:jc w:val="both"/>
        <w:rPr>
          <w:rFonts w:ascii="Book Antiqua" w:hAnsi="Book Antiqua"/>
          <w:color w:val="000000"/>
          <w:lang w:val="en-GB"/>
        </w:rPr>
      </w:pPr>
    </w:p>
    <w:p w14:paraId="79B4CF02" w14:textId="77777777" w:rsidR="00FF7C45" w:rsidRPr="00E3232D" w:rsidRDefault="00FF7C45" w:rsidP="00040257">
      <w:pPr>
        <w:spacing w:after="0"/>
        <w:jc w:val="both"/>
        <w:rPr>
          <w:rFonts w:ascii="Book Antiqua" w:hAnsi="Book Antiqua"/>
          <w:b/>
          <w:lang w:val="en-GB"/>
        </w:rPr>
      </w:pPr>
      <w:r w:rsidRPr="00E3232D">
        <w:rPr>
          <w:rFonts w:ascii="Book Antiqua" w:hAnsi="Book Antiqua"/>
          <w:b/>
          <w:lang w:val="en-GB"/>
        </w:rPr>
        <w:t>1.3 Review of Related Literature</w:t>
      </w:r>
    </w:p>
    <w:p w14:paraId="28766EFF" w14:textId="77777777" w:rsidR="00960602" w:rsidRPr="00960602" w:rsidRDefault="00FF7C45" w:rsidP="00040257">
      <w:pPr>
        <w:jc w:val="both"/>
        <w:rPr>
          <w:rFonts w:ascii="Book Antiqua" w:hAnsi="Book Antiqua"/>
          <w:lang w:val="en-GB"/>
        </w:rPr>
        <w:sectPr w:rsidR="00960602" w:rsidRPr="00960602" w:rsidSect="000B7F50">
          <w:type w:val="continuous"/>
          <w:pgSz w:w="11907" w:h="16839" w:code="9"/>
          <w:pgMar w:top="1440" w:right="1440" w:bottom="1440" w:left="1440" w:header="720" w:footer="720" w:gutter="0"/>
          <w:cols w:num="2" w:space="720"/>
          <w:docGrid w:linePitch="360"/>
        </w:sectPr>
      </w:pPr>
      <w:r w:rsidRPr="00E3232D">
        <w:rPr>
          <w:rFonts w:ascii="Book Antiqua" w:hAnsi="Book Antiqua"/>
          <w:lang w:val="en-GB"/>
        </w:rPr>
        <w:t xml:space="preserve">A customer is defined by Webster (2004) as “a person or organization that buys goods or services from a shop or business”. Vargo and Lusch (2006) defined a customer as “an individual, groups, institutions, corporations or companies that buy goods or services of other individuals or institutions”. Webster (2004) differentiates between an internal and external customer. He says a service centres exist for the purpose of serving its customers. </w:t>
      </w:r>
    </w:p>
    <w:p w14:paraId="628CFC6F" w14:textId="77777777" w:rsidR="00D742AA" w:rsidRDefault="00D742AA" w:rsidP="00960602">
      <w:pPr>
        <w:spacing w:after="0"/>
        <w:jc w:val="both"/>
        <w:rPr>
          <w:rFonts w:ascii="Book Antiqua" w:hAnsi="Book Antiqua"/>
          <w:b/>
          <w:lang w:val="en-GB"/>
        </w:rPr>
      </w:pPr>
    </w:p>
    <w:p w14:paraId="55BD1952" w14:textId="77777777" w:rsidR="00FC0562" w:rsidRPr="00DE14CD" w:rsidRDefault="00FC0562" w:rsidP="00960602">
      <w:pPr>
        <w:pStyle w:val="NormalWeb"/>
        <w:spacing w:before="0" w:beforeAutospacing="0" w:line="276" w:lineRule="auto"/>
        <w:jc w:val="both"/>
        <w:rPr>
          <w:rFonts w:ascii="Book Antiqua" w:hAnsi="Book Antiqua"/>
          <w:color w:val="000000"/>
          <w:sz w:val="22"/>
          <w:szCs w:val="22"/>
        </w:rPr>
      </w:pPr>
      <w:r w:rsidRPr="00E3232D">
        <w:rPr>
          <w:rFonts w:ascii="Book Antiqua" w:hAnsi="Book Antiqua"/>
          <w:b/>
          <w:color w:val="000000"/>
        </w:rPr>
        <w:t>1.2 Objectives of the Study</w:t>
      </w:r>
    </w:p>
    <w:p w14:paraId="52814750" w14:textId="77777777" w:rsidR="00FC0562" w:rsidRPr="00E3232D" w:rsidRDefault="00FC0562" w:rsidP="00FC0562">
      <w:pPr>
        <w:jc w:val="both"/>
        <w:rPr>
          <w:rFonts w:ascii="Book Antiqua" w:hAnsi="Book Antiqua"/>
          <w:color w:val="000000"/>
          <w:lang w:val="en-GB"/>
        </w:rPr>
      </w:pPr>
      <w:r w:rsidRPr="00E3232D">
        <w:rPr>
          <w:rFonts w:ascii="Book Antiqua" w:hAnsi="Book Antiqua"/>
          <w:color w:val="000000"/>
          <w:lang w:val="en-GB"/>
        </w:rPr>
        <w:t>This study sought to:</w:t>
      </w:r>
    </w:p>
    <w:p w14:paraId="4499B0D0" w14:textId="77777777" w:rsidR="00FC0562" w:rsidRPr="00E3232D" w:rsidRDefault="00FC0562" w:rsidP="00196385">
      <w:pPr>
        <w:numPr>
          <w:ilvl w:val="0"/>
          <w:numId w:val="40"/>
        </w:numPr>
        <w:tabs>
          <w:tab w:val="clear" w:pos="1080"/>
          <w:tab w:val="num" w:pos="810"/>
        </w:tabs>
        <w:ind w:left="540" w:hanging="540"/>
        <w:jc w:val="both"/>
        <w:rPr>
          <w:rFonts w:ascii="Book Antiqua" w:hAnsi="Book Antiqua"/>
          <w:color w:val="000000"/>
          <w:lang w:val="en-GB"/>
        </w:rPr>
      </w:pPr>
      <w:r w:rsidRPr="00E3232D">
        <w:rPr>
          <w:rFonts w:ascii="Book Antiqua" w:hAnsi="Book Antiqua"/>
          <w:color w:val="000000"/>
          <w:lang w:val="en-GB"/>
        </w:rPr>
        <w:t>examine the factors that affect quality customer service delivery</w:t>
      </w:r>
    </w:p>
    <w:p w14:paraId="5720F2DA" w14:textId="77777777" w:rsidR="00FC0562" w:rsidRPr="00DF0AF5" w:rsidRDefault="00FC0562" w:rsidP="00196385">
      <w:pPr>
        <w:numPr>
          <w:ilvl w:val="0"/>
          <w:numId w:val="40"/>
        </w:numPr>
        <w:tabs>
          <w:tab w:val="clear" w:pos="1080"/>
          <w:tab w:val="num" w:pos="810"/>
        </w:tabs>
        <w:ind w:left="540" w:hanging="540"/>
        <w:jc w:val="both"/>
        <w:rPr>
          <w:rFonts w:ascii="Book Antiqua" w:hAnsi="Book Antiqua"/>
          <w:color w:val="000000"/>
          <w:lang w:val="en-GB"/>
        </w:rPr>
      </w:pPr>
      <w:r w:rsidRPr="00E3232D">
        <w:rPr>
          <w:rFonts w:ascii="Book Antiqua" w:hAnsi="Book Antiqua"/>
          <w:color w:val="000000"/>
          <w:lang w:val="en-GB"/>
        </w:rPr>
        <w:t>examine the nature of complaints and how they are handled</w:t>
      </w:r>
    </w:p>
    <w:p w14:paraId="2611867D" w14:textId="77777777" w:rsidR="00817ACF" w:rsidRDefault="00FC0562" w:rsidP="00196385">
      <w:pPr>
        <w:numPr>
          <w:ilvl w:val="0"/>
          <w:numId w:val="40"/>
        </w:numPr>
        <w:tabs>
          <w:tab w:val="clear" w:pos="1080"/>
          <w:tab w:val="num" w:pos="810"/>
        </w:tabs>
        <w:spacing w:after="0"/>
        <w:ind w:left="540" w:hanging="540"/>
        <w:jc w:val="both"/>
        <w:rPr>
          <w:rFonts w:ascii="Book Antiqua" w:hAnsi="Book Antiqua"/>
          <w:color w:val="000000"/>
          <w:lang w:val="en-GB"/>
        </w:rPr>
      </w:pPr>
      <w:r w:rsidRPr="00E3232D">
        <w:rPr>
          <w:rFonts w:ascii="Book Antiqua" w:hAnsi="Book Antiqua"/>
          <w:color w:val="000000"/>
          <w:lang w:val="en-GB"/>
        </w:rPr>
        <w:t>determine the influence of effecti</w:t>
      </w:r>
      <w:r>
        <w:rPr>
          <w:rFonts w:ascii="Book Antiqua" w:hAnsi="Book Antiqua"/>
          <w:color w:val="000000"/>
          <w:lang w:val="en-GB"/>
        </w:rPr>
        <w:t xml:space="preserve">ve customer service delivery on </w:t>
      </w:r>
      <w:r w:rsidRPr="00E3232D">
        <w:rPr>
          <w:rFonts w:ascii="Book Antiqua" w:hAnsi="Book Antiqua"/>
          <w:color w:val="000000"/>
          <w:lang w:val="en-GB"/>
        </w:rPr>
        <w:t>customer attraction and customer retention.</w:t>
      </w:r>
    </w:p>
    <w:p w14:paraId="09613577" w14:textId="77777777" w:rsidR="00FC0562" w:rsidRDefault="00FC0562" w:rsidP="00FC0562">
      <w:pPr>
        <w:spacing w:after="0"/>
        <w:ind w:left="810"/>
        <w:jc w:val="both"/>
        <w:rPr>
          <w:rFonts w:ascii="Book Antiqua" w:hAnsi="Book Antiqua"/>
          <w:color w:val="000000"/>
          <w:lang w:val="en-GB"/>
        </w:rPr>
      </w:pPr>
    </w:p>
    <w:p w14:paraId="714CD7B7" w14:textId="77777777" w:rsidR="00280548" w:rsidRDefault="00280548" w:rsidP="00FC0562">
      <w:pPr>
        <w:spacing w:after="0"/>
        <w:ind w:left="810"/>
        <w:jc w:val="both"/>
        <w:rPr>
          <w:rFonts w:ascii="Book Antiqua" w:hAnsi="Book Antiqua"/>
          <w:color w:val="000000"/>
          <w:lang w:val="en-GB"/>
        </w:rPr>
      </w:pPr>
    </w:p>
    <w:p w14:paraId="2BFC7E3E" w14:textId="77777777" w:rsidR="00280548" w:rsidRDefault="00280548" w:rsidP="00FC0562">
      <w:pPr>
        <w:spacing w:after="0"/>
        <w:ind w:left="810"/>
        <w:jc w:val="both"/>
        <w:rPr>
          <w:rFonts w:ascii="Book Antiqua" w:hAnsi="Book Antiqua"/>
          <w:color w:val="000000"/>
          <w:lang w:val="en-GB"/>
        </w:rPr>
      </w:pPr>
    </w:p>
    <w:p w14:paraId="1083E69F" w14:textId="77777777" w:rsidR="00960602" w:rsidRDefault="00960602" w:rsidP="00FC0562">
      <w:pPr>
        <w:spacing w:after="0"/>
        <w:ind w:left="810"/>
        <w:jc w:val="both"/>
        <w:rPr>
          <w:rFonts w:ascii="Book Antiqua" w:hAnsi="Book Antiqua"/>
          <w:color w:val="000000"/>
          <w:lang w:val="en-GB"/>
        </w:rPr>
      </w:pPr>
    </w:p>
    <w:p w14:paraId="2F3309ED" w14:textId="77777777" w:rsidR="00960602" w:rsidRDefault="00960602" w:rsidP="00FC0562">
      <w:pPr>
        <w:spacing w:after="0"/>
        <w:ind w:left="810"/>
        <w:jc w:val="both"/>
        <w:rPr>
          <w:rFonts w:ascii="Book Antiqua" w:hAnsi="Book Antiqua"/>
          <w:color w:val="000000"/>
          <w:lang w:val="en-GB"/>
        </w:rPr>
      </w:pPr>
    </w:p>
    <w:p w14:paraId="54108A5C" w14:textId="77777777" w:rsidR="00960602" w:rsidRPr="00FC0562" w:rsidRDefault="00960602" w:rsidP="00FC0562">
      <w:pPr>
        <w:spacing w:after="0"/>
        <w:ind w:left="810"/>
        <w:jc w:val="both"/>
        <w:rPr>
          <w:rFonts w:ascii="Book Antiqua" w:hAnsi="Book Antiqua"/>
          <w:color w:val="000000"/>
          <w:lang w:val="en-GB"/>
        </w:rPr>
      </w:pPr>
    </w:p>
    <w:p w14:paraId="1998CD48" w14:textId="77777777" w:rsidR="00DF27DD" w:rsidRDefault="00FF7C45" w:rsidP="00960602">
      <w:pPr>
        <w:spacing w:before="240"/>
        <w:jc w:val="both"/>
        <w:rPr>
          <w:rFonts w:ascii="Book Antiqua" w:hAnsi="Book Antiqua"/>
          <w:color w:val="002060"/>
          <w:lang w:val="en-GB"/>
        </w:rPr>
      </w:pPr>
      <w:r w:rsidRPr="00E3232D">
        <w:rPr>
          <w:rFonts w:ascii="Book Antiqua" w:hAnsi="Book Antiqua"/>
          <w:b/>
          <w:lang w:val="en-GB"/>
        </w:rPr>
        <w:t>1.3.1 Customer Service</w:t>
      </w:r>
    </w:p>
    <w:p w14:paraId="1607FF2D" w14:textId="77777777" w:rsidR="00FF7C45" w:rsidRPr="00DF27DD" w:rsidRDefault="00FF7C45" w:rsidP="00040257">
      <w:pPr>
        <w:jc w:val="both"/>
        <w:rPr>
          <w:rFonts w:ascii="Book Antiqua" w:hAnsi="Book Antiqua"/>
          <w:color w:val="002060"/>
          <w:lang w:val="en-GB"/>
        </w:rPr>
      </w:pPr>
      <w:r w:rsidRPr="00E3232D">
        <w:rPr>
          <w:rFonts w:ascii="Book Antiqua" w:hAnsi="Book Antiqua"/>
          <w:lang w:val="en-GB"/>
        </w:rPr>
        <w:t xml:space="preserve">One of the simplest definitions of a service provided by </w:t>
      </w:r>
      <w:r w:rsidRPr="00E3232D">
        <w:rPr>
          <w:rFonts w:ascii="Book Antiqua" w:hAnsi="Book Antiqua"/>
          <w:color w:val="000000"/>
          <w:lang w:val="en-GB"/>
        </w:rPr>
        <w:t xml:space="preserve">Zeithaml and Bitner, (2003) is that “a service is doing something for someone for a price”.  Gronross (2007) also defines a service as “an activity or series of activities of more or less intangible nature that normally, but not necessarily takes place in interactions between customer and service employees; or the physical resources or systems of the service provider which are provided as solutions to customer problems”. </w:t>
      </w:r>
      <w:r w:rsidRPr="00E3232D">
        <w:rPr>
          <w:rFonts w:ascii="Book Antiqua" w:hAnsi="Book Antiqua"/>
          <w:lang w:val="en-GB"/>
        </w:rPr>
        <w:t xml:space="preserve">A service is defined by Lovelock (2007) as “economic activities offered by one party to another, most commonly employing time-based performances to bring about desired results in recipients themselves or </w:t>
      </w:r>
      <w:r w:rsidRPr="00E3232D">
        <w:rPr>
          <w:rFonts w:ascii="Book Antiqua" w:hAnsi="Book Antiqua"/>
          <w:lang w:val="en-GB"/>
        </w:rPr>
        <w:lastRenderedPageBreak/>
        <w:t>in objects or other assets for which purchasers have responsibility”.</w:t>
      </w:r>
    </w:p>
    <w:p w14:paraId="4BD527C8" w14:textId="77777777" w:rsidR="00D742AA" w:rsidRDefault="00D742AA" w:rsidP="00960602">
      <w:pPr>
        <w:spacing w:after="0"/>
        <w:jc w:val="both"/>
        <w:rPr>
          <w:rFonts w:ascii="Book Antiqua" w:hAnsi="Book Antiqua"/>
          <w:b/>
          <w:lang w:val="en-GB"/>
        </w:rPr>
      </w:pPr>
    </w:p>
    <w:p w14:paraId="4B63F39B" w14:textId="77777777" w:rsidR="00FF7C45" w:rsidRPr="00E3232D" w:rsidRDefault="00FF7C45" w:rsidP="00040257">
      <w:pPr>
        <w:jc w:val="both"/>
        <w:rPr>
          <w:rFonts w:ascii="Book Antiqua" w:hAnsi="Book Antiqua"/>
          <w:b/>
          <w:lang w:val="en-GB"/>
        </w:rPr>
      </w:pPr>
      <w:r w:rsidRPr="00E3232D">
        <w:rPr>
          <w:rFonts w:ascii="Book Antiqua" w:hAnsi="Book Antiqua"/>
          <w:b/>
          <w:lang w:val="en-GB"/>
        </w:rPr>
        <w:t xml:space="preserve">1.3.2 Influence of Customer Service on Customer and Satisfaction </w:t>
      </w:r>
    </w:p>
    <w:p w14:paraId="548553E1" w14:textId="77777777" w:rsidR="00FF7C45" w:rsidRPr="00E3232D" w:rsidRDefault="00FF7C45" w:rsidP="00040257">
      <w:pPr>
        <w:ind w:right="57"/>
        <w:jc w:val="both"/>
        <w:rPr>
          <w:rFonts w:ascii="Book Antiqua" w:hAnsi="Book Antiqua"/>
          <w:lang w:val="en-GB"/>
        </w:rPr>
      </w:pPr>
      <w:r w:rsidRPr="00E3232D">
        <w:rPr>
          <w:rFonts w:ascii="Book Antiqua" w:hAnsi="Book Antiqua"/>
          <w:lang w:val="en-GB"/>
        </w:rPr>
        <w:t xml:space="preserve">The ultimate target of a customer is to derive satisfaction from any amount spent on a commodity or service.  The producer should ensure that the customer is influenced enough for a re-purchase to occur. Therefore whiles customer service is seen by Webster (2004) as the activities that are planned and executed in the interest or directed at a customer intended to make the customer satisfied for a continuous union”, customer satisfaction is seen by Harrell and Frazier (2007) as “a customer’s positive, neutral, or negative feeling about the value she/he received as a result of using a particular organization’s offering in specific use situations”   Herington </w:t>
      </w:r>
      <w:r w:rsidRPr="00E3232D">
        <w:rPr>
          <w:rFonts w:ascii="Book Antiqua" w:hAnsi="Book Antiqua"/>
          <w:iCs/>
          <w:lang w:val="en-GB"/>
        </w:rPr>
        <w:t>et al.</w:t>
      </w:r>
      <w:r w:rsidRPr="00E3232D">
        <w:rPr>
          <w:rFonts w:ascii="Book Antiqua" w:hAnsi="Book Antiqua"/>
          <w:lang w:val="en-GB"/>
        </w:rPr>
        <w:t xml:space="preserve"> (2006)  also indicate that satisfaction is merely a step towards the goal of customer retention, and that retention effects increase with the degree of satisfaction. In all these situations there is the element of expectation, which influences both sides of the service coin.</w:t>
      </w:r>
    </w:p>
    <w:p w14:paraId="19EFBF06" w14:textId="77777777" w:rsidR="00960602" w:rsidRDefault="00960602" w:rsidP="00040257">
      <w:pPr>
        <w:spacing w:after="0"/>
        <w:jc w:val="both"/>
        <w:rPr>
          <w:rFonts w:ascii="Book Antiqua" w:hAnsi="Book Antiqua"/>
          <w:lang w:val="en-GB"/>
        </w:rPr>
      </w:pPr>
    </w:p>
    <w:p w14:paraId="1D800C51" w14:textId="77777777" w:rsidR="00FF7C45" w:rsidRPr="00E3232D" w:rsidRDefault="00FF7C45" w:rsidP="00040257">
      <w:pPr>
        <w:spacing w:after="0"/>
        <w:jc w:val="both"/>
        <w:rPr>
          <w:rFonts w:ascii="Book Antiqua" w:hAnsi="Book Antiqua"/>
          <w:lang w:val="en-GB"/>
        </w:rPr>
      </w:pPr>
      <w:r w:rsidRPr="00E3232D">
        <w:rPr>
          <w:rFonts w:ascii="Book Antiqua" w:hAnsi="Book Antiqua"/>
          <w:lang w:val="en-GB"/>
        </w:rPr>
        <w:t xml:space="preserve">Customer expectations are beliefs about a product or service Olson and Dover, 1979 cited in Gronroos, (2007).  In the absence of any information, prior expectations of service will be completely diffused.  In reality, however, customers have many sources of information that lead to expectations about upcoming service </w:t>
      </w:r>
      <w:r w:rsidRPr="00E3232D">
        <w:rPr>
          <w:rFonts w:ascii="Book Antiqua" w:hAnsi="Book Antiqua"/>
          <w:lang w:val="en-GB"/>
        </w:rPr>
        <w:t>encounters with a particular company.  These sources include prior exposure to the services, word of mouth, expert opinion, publicity and communications controlled by the company (advertising, personal selling and price) as well as prior exposure to competitive services (Parasuraman et al, 1991).</w:t>
      </w:r>
    </w:p>
    <w:p w14:paraId="54654FAC" w14:textId="77777777" w:rsidR="00356ADB" w:rsidRDefault="00356ADB" w:rsidP="00040257">
      <w:pPr>
        <w:spacing w:after="0"/>
        <w:jc w:val="both"/>
        <w:rPr>
          <w:rFonts w:ascii="Book Antiqua" w:hAnsi="Book Antiqua"/>
          <w:lang w:val="en-GB"/>
        </w:rPr>
      </w:pPr>
    </w:p>
    <w:p w14:paraId="4DAE67EE" w14:textId="77777777" w:rsidR="00FF7C45" w:rsidRPr="00E3232D" w:rsidRDefault="00FF7C45" w:rsidP="00040257">
      <w:pPr>
        <w:spacing w:after="0"/>
        <w:jc w:val="both"/>
        <w:rPr>
          <w:rFonts w:ascii="Book Antiqua" w:hAnsi="Book Antiqua"/>
          <w:lang w:val="en-GB"/>
        </w:rPr>
      </w:pPr>
      <w:r w:rsidRPr="00E3232D">
        <w:rPr>
          <w:rFonts w:ascii="Book Antiqua" w:hAnsi="Book Antiqua"/>
          <w:lang w:val="en-GB"/>
        </w:rPr>
        <w:t>Customer expectations are not fixated, it changes as a result of what customers have been promised to expect by a service provider, as well as what the consumer views as reasonable and feasible on the basis of current offerings as against the actual product or service experience (Zeithaml and Bitner, 2003).</w:t>
      </w:r>
    </w:p>
    <w:p w14:paraId="36D5E543" w14:textId="77777777" w:rsidR="00DF0AF5" w:rsidRDefault="00DF0AF5" w:rsidP="00040257">
      <w:pPr>
        <w:jc w:val="both"/>
        <w:rPr>
          <w:rFonts w:ascii="Book Antiqua" w:hAnsi="Book Antiqua"/>
          <w:lang w:val="en-GB"/>
        </w:rPr>
      </w:pPr>
    </w:p>
    <w:p w14:paraId="46C8FFF9" w14:textId="77777777" w:rsidR="00FF7C45" w:rsidRPr="00E3232D" w:rsidRDefault="00FF7C45" w:rsidP="00040257">
      <w:pPr>
        <w:spacing w:after="0"/>
        <w:jc w:val="both"/>
        <w:rPr>
          <w:rFonts w:ascii="Book Antiqua" w:hAnsi="Book Antiqua"/>
          <w:lang w:val="en-GB"/>
        </w:rPr>
      </w:pPr>
      <w:r w:rsidRPr="00E3232D">
        <w:rPr>
          <w:rFonts w:ascii="Book Antiqua" w:hAnsi="Book Antiqua"/>
          <w:lang w:val="en-GB"/>
        </w:rPr>
        <w:t>Gummeson (2000) explained that after a service has been consumed, customers compare the perceived service with the expected service.  And if the perceived service meets or exceeds the expected service the customers are satisfied.  This is why it is important for the first law of service which states: Satisfaction = Perception – Expectations.</w:t>
      </w:r>
    </w:p>
    <w:p w14:paraId="2810DBFC" w14:textId="77777777" w:rsidR="00DF0AF5" w:rsidRDefault="00DF0AF5" w:rsidP="00040257">
      <w:pPr>
        <w:spacing w:after="0"/>
        <w:jc w:val="both"/>
        <w:rPr>
          <w:rFonts w:ascii="Book Antiqua" w:hAnsi="Book Antiqua"/>
          <w:lang w:val="en-GB"/>
        </w:rPr>
      </w:pPr>
    </w:p>
    <w:p w14:paraId="29D414EF" w14:textId="77777777" w:rsidR="00FF7C45" w:rsidRPr="00E3232D" w:rsidRDefault="00FF7C45" w:rsidP="00040257">
      <w:pPr>
        <w:spacing w:after="0"/>
        <w:jc w:val="both"/>
        <w:rPr>
          <w:rFonts w:ascii="Book Antiqua" w:hAnsi="Book Antiqua"/>
          <w:lang w:val="en-GB"/>
        </w:rPr>
      </w:pPr>
      <w:r w:rsidRPr="00E3232D">
        <w:rPr>
          <w:rFonts w:ascii="Book Antiqua" w:hAnsi="Book Antiqua"/>
          <w:lang w:val="en-GB"/>
        </w:rPr>
        <w:t>The knowledge about customer expectations is critical to service marketers.  According to Gronroos (2007) “Knowing what customers expect is the first and possibly the most critical step in delivering quality service”.</w:t>
      </w:r>
    </w:p>
    <w:p w14:paraId="4833EC1E" w14:textId="77777777" w:rsidR="00FF7C45" w:rsidRPr="00E3232D" w:rsidRDefault="00FF7C45" w:rsidP="00040257">
      <w:pPr>
        <w:spacing w:after="0"/>
        <w:jc w:val="both"/>
        <w:rPr>
          <w:rFonts w:ascii="Book Antiqua" w:hAnsi="Book Antiqua"/>
          <w:lang w:val="en-GB"/>
        </w:rPr>
      </w:pPr>
    </w:p>
    <w:p w14:paraId="0AF605D5" w14:textId="77777777" w:rsidR="00FF7C45" w:rsidRPr="00E3232D" w:rsidRDefault="00FF7C45" w:rsidP="00040257">
      <w:pPr>
        <w:spacing w:after="0"/>
        <w:jc w:val="both"/>
        <w:rPr>
          <w:rFonts w:ascii="Book Antiqua" w:hAnsi="Book Antiqua"/>
          <w:lang w:val="en-GB"/>
        </w:rPr>
      </w:pPr>
      <w:r w:rsidRPr="00E3232D">
        <w:rPr>
          <w:rFonts w:ascii="Book Antiqua" w:hAnsi="Book Antiqua"/>
          <w:lang w:val="en-GB"/>
        </w:rPr>
        <w:t xml:space="preserve">The dimensions of one’s customer service helps to really know what your customer service is to achieve. The knowledge of what your customer service is really helps </w:t>
      </w:r>
      <w:r w:rsidRPr="00E3232D">
        <w:rPr>
          <w:rFonts w:ascii="Book Antiqua" w:hAnsi="Book Antiqua"/>
          <w:lang w:val="en-GB"/>
        </w:rPr>
        <w:lastRenderedPageBreak/>
        <w:t>determine exactly what the bank should do to efficiently and cost-effectively deliver those expected quality services to its customer, in order to gain. According to Herington et al. (2006), all the things that a firm needs to build its customer service program will most likely are within the realm of the following dimensions: The customer, the service concept, the service process, the tools, the business plan and the team”. These are the dimensions that most banking institutions offer to assist them to gain competitive advantage.</w:t>
      </w:r>
    </w:p>
    <w:p w14:paraId="1B4A6212" w14:textId="77777777" w:rsidR="00FF7C45" w:rsidRPr="00E3232D" w:rsidRDefault="00FF7C45" w:rsidP="00040257">
      <w:pPr>
        <w:spacing w:after="0"/>
        <w:jc w:val="both"/>
        <w:rPr>
          <w:rFonts w:ascii="Book Antiqua" w:hAnsi="Book Antiqua"/>
          <w:lang w:val="en-GB"/>
        </w:rPr>
      </w:pPr>
      <w:r w:rsidRPr="00E3232D">
        <w:rPr>
          <w:rFonts w:ascii="Book Antiqua" w:hAnsi="Book Antiqua"/>
          <w:lang w:val="en-GB"/>
        </w:rPr>
        <w:br/>
        <w:t>Customer Service is a concept that is usually presented as a collection or patches of complementing activities done by an individual or a group of individuals. It is seldom presented as a process or a system that an organization manages to effectively deliver solutions (product or service) to customers (Herington et al, 2006).</w:t>
      </w:r>
      <w:r w:rsidRPr="00E3232D">
        <w:rPr>
          <w:rFonts w:ascii="Book Antiqua" w:hAnsi="Book Antiqua"/>
          <w:lang w:val="en-GB"/>
        </w:rPr>
        <w:br/>
      </w:r>
    </w:p>
    <w:p w14:paraId="0FA10E08" w14:textId="77777777" w:rsidR="00FF7C45" w:rsidRPr="00E3232D" w:rsidRDefault="00FF7C45" w:rsidP="00040257">
      <w:pPr>
        <w:spacing w:after="0"/>
        <w:jc w:val="both"/>
        <w:rPr>
          <w:rFonts w:ascii="Book Antiqua" w:hAnsi="Book Antiqua"/>
          <w:b/>
          <w:lang w:val="en-GB"/>
        </w:rPr>
      </w:pPr>
      <w:r w:rsidRPr="00E3232D">
        <w:rPr>
          <w:rFonts w:ascii="Book Antiqua" w:hAnsi="Book Antiqua"/>
          <w:lang w:val="en-GB"/>
        </w:rPr>
        <w:t xml:space="preserve">According to Herington et al, (2006) “The issue of effective customer service is beyond the conventional approach to teach employees to respond to customers using the telephone or handle person-to-person interaction during the banking period or situations within the period when there is a dissatisfied or complaining customer”. Most of the customer service programs are actually damage control or image protection ploys. Palmer (2005) opined that “I am also a customer for many services and most of these customer service programs are really just cheap scams or are shameful </w:t>
      </w:r>
      <w:r w:rsidRPr="00E3232D">
        <w:rPr>
          <w:rFonts w:ascii="Book Antiqua" w:hAnsi="Book Antiqua"/>
          <w:lang w:val="en-GB"/>
        </w:rPr>
        <w:t>tactics to evade doing additional after-sales commitments”.</w:t>
      </w:r>
      <w:r w:rsidRPr="00E3232D">
        <w:rPr>
          <w:rFonts w:ascii="Book Antiqua" w:hAnsi="Book Antiqua"/>
          <w:lang w:val="en-GB"/>
        </w:rPr>
        <w:br/>
      </w:r>
    </w:p>
    <w:p w14:paraId="30A3F2F1" w14:textId="77777777" w:rsidR="00FF7C45" w:rsidRPr="00E3232D" w:rsidRDefault="00FF7C45" w:rsidP="00040257">
      <w:pPr>
        <w:jc w:val="both"/>
        <w:rPr>
          <w:rFonts w:ascii="Book Antiqua" w:hAnsi="Book Antiqua"/>
          <w:lang w:val="en-GB"/>
        </w:rPr>
      </w:pPr>
      <w:r w:rsidRPr="00E3232D">
        <w:rPr>
          <w:rFonts w:ascii="Book Antiqua" w:hAnsi="Book Antiqua"/>
          <w:b/>
          <w:lang w:val="en-GB"/>
        </w:rPr>
        <w:t>1.3.3 Service Quality</w:t>
      </w:r>
    </w:p>
    <w:p w14:paraId="1CABDD92" w14:textId="77777777" w:rsidR="00FF7C45" w:rsidRPr="00E3232D" w:rsidRDefault="00FF7C45" w:rsidP="00040257">
      <w:pPr>
        <w:jc w:val="both"/>
        <w:rPr>
          <w:rFonts w:ascii="Book Antiqua" w:hAnsi="Book Antiqua"/>
          <w:lang w:val="en-GB"/>
        </w:rPr>
      </w:pPr>
      <w:r w:rsidRPr="00E3232D">
        <w:rPr>
          <w:rFonts w:ascii="Book Antiqua" w:hAnsi="Book Antiqua"/>
          <w:lang w:val="en-GB"/>
        </w:rPr>
        <w:t>The determinants of service quality were provided by Parasuraman et al (1991). They believed that “service quality is influenced by factors such as responsiveness, reliability, competence, communication, credibility, understanding the customer, empathy, accessibility, security and tangibles”. However, some marketing writers had refined the model to the useful acronym RATER: Reliability, Assurance, Tangibles, Empathy, and Responsiveness (Gronroos, 2007)</w:t>
      </w:r>
    </w:p>
    <w:p w14:paraId="085FF199" w14:textId="77777777" w:rsidR="00FC0562" w:rsidRPr="00960602" w:rsidRDefault="00FF7C45" w:rsidP="00960602">
      <w:pPr>
        <w:pStyle w:val="NormalWeb"/>
        <w:spacing w:line="276" w:lineRule="auto"/>
        <w:jc w:val="both"/>
        <w:rPr>
          <w:rFonts w:ascii="Book Antiqua" w:hAnsi="Book Antiqua"/>
          <w:sz w:val="22"/>
          <w:szCs w:val="22"/>
        </w:rPr>
      </w:pPr>
      <w:r w:rsidRPr="00E3232D">
        <w:rPr>
          <w:rFonts w:ascii="Book Antiqua" w:hAnsi="Book Antiqua"/>
          <w:sz w:val="22"/>
          <w:szCs w:val="22"/>
        </w:rPr>
        <w:t>SERVQUAL has its detractors and is considered overly complex, subjective and statistically unreliable. The simplified RATER model however is a simple and useful model for qualitatively exploring and assessing customers' service experiences and has been used widely by service delivery organizations. It is an efficient model in helping an organization shape up its efforts in bridging the gap between perceived and expected service. Service organizations need to have well dedicated front-line staff to deliver prompt and efficient service (Payne, 2008).</w:t>
      </w:r>
    </w:p>
    <w:p w14:paraId="63C43FF7" w14:textId="77777777" w:rsidR="00FF7C45" w:rsidRPr="00E3232D" w:rsidRDefault="00FF7C45" w:rsidP="00040257">
      <w:pPr>
        <w:tabs>
          <w:tab w:val="left" w:pos="567"/>
        </w:tabs>
        <w:jc w:val="both"/>
        <w:rPr>
          <w:rFonts w:ascii="Book Antiqua" w:hAnsi="Book Antiqua"/>
          <w:b/>
          <w:lang w:val="en-GB"/>
        </w:rPr>
      </w:pPr>
      <w:r w:rsidRPr="00E3232D">
        <w:rPr>
          <w:rFonts w:ascii="Book Antiqua" w:hAnsi="Book Antiqua"/>
          <w:b/>
          <w:lang w:val="en-GB"/>
        </w:rPr>
        <w:t>1.3.4 The “Gap” Model</w:t>
      </w:r>
    </w:p>
    <w:p w14:paraId="7AD6C835" w14:textId="77777777" w:rsidR="00356ADB" w:rsidRPr="00FC0562" w:rsidRDefault="00FF7C45" w:rsidP="00FC0562">
      <w:pPr>
        <w:tabs>
          <w:tab w:val="left" w:pos="567"/>
        </w:tabs>
        <w:jc w:val="both"/>
        <w:rPr>
          <w:rFonts w:ascii="Book Antiqua" w:hAnsi="Book Antiqua"/>
          <w:lang w:val="en-GB"/>
        </w:rPr>
      </w:pPr>
      <w:r w:rsidRPr="00E3232D">
        <w:rPr>
          <w:rFonts w:ascii="Book Antiqua" w:hAnsi="Book Antiqua"/>
          <w:lang w:val="en-GB"/>
        </w:rPr>
        <w:t xml:space="preserve">Based on the intricate issue of service quality, developed the “Gap Model” of perceived service quality. Based on exploratory studies of service such as executive interviews and focus groups in </w:t>
      </w:r>
      <w:r w:rsidRPr="00E3232D">
        <w:rPr>
          <w:rFonts w:ascii="Book Antiqua" w:hAnsi="Book Antiqua"/>
          <w:lang w:val="en-GB"/>
        </w:rPr>
        <w:lastRenderedPageBreak/>
        <w:t>four different service businesses the authors proposed a conceptual model of service quality indicating that consumers’ perception toward a service quality depends on the four gaps existing in organization – consumer environments. This model has five distinct identified gaps (Parasuraman, Zeithaml and Berry, 1991).</w:t>
      </w:r>
    </w:p>
    <w:p w14:paraId="1CCBA586" w14:textId="77777777" w:rsidR="00FF7C45" w:rsidRPr="00E3232D" w:rsidRDefault="00FF7C45" w:rsidP="00040257">
      <w:pPr>
        <w:jc w:val="both"/>
        <w:rPr>
          <w:rFonts w:ascii="Book Antiqua" w:hAnsi="Book Antiqua"/>
          <w:b/>
          <w:lang w:val="en-GB"/>
        </w:rPr>
      </w:pPr>
      <w:r w:rsidRPr="00E3232D">
        <w:rPr>
          <w:rFonts w:ascii="Book Antiqua" w:hAnsi="Book Antiqua"/>
          <w:b/>
          <w:lang w:val="en-GB"/>
        </w:rPr>
        <w:t>1.3.5 Service Recovery</w:t>
      </w:r>
    </w:p>
    <w:p w14:paraId="4B99BA5B" w14:textId="77777777" w:rsidR="00FF7C45" w:rsidRPr="00E3232D" w:rsidRDefault="00FF7C45" w:rsidP="00040257">
      <w:pPr>
        <w:jc w:val="both"/>
        <w:rPr>
          <w:rFonts w:ascii="Book Antiqua" w:hAnsi="Book Antiqua"/>
          <w:lang w:val="en-GB"/>
        </w:rPr>
      </w:pPr>
      <w:r w:rsidRPr="00E3232D">
        <w:rPr>
          <w:rFonts w:ascii="Book Antiqua" w:hAnsi="Book Antiqua"/>
          <w:color w:val="000000"/>
          <w:lang w:val="en-GB"/>
        </w:rPr>
        <w:t xml:space="preserve">The </w:t>
      </w:r>
      <w:r w:rsidRPr="00E3232D">
        <w:rPr>
          <w:rFonts w:ascii="Book Antiqua" w:hAnsi="Book Antiqua"/>
          <w:bCs/>
          <w:color w:val="000000"/>
          <w:lang w:val="en-GB"/>
        </w:rPr>
        <w:t>goal of service recovery</w:t>
      </w:r>
      <w:r w:rsidRPr="00E3232D">
        <w:rPr>
          <w:rFonts w:ascii="Book Antiqua" w:hAnsi="Book Antiqua"/>
          <w:color w:val="000000"/>
          <w:lang w:val="en-GB"/>
        </w:rPr>
        <w:t xml:space="preserve"> is to identify customers with issues and then try to address those issues to the satisfaction of the customer to promote customer retention.  To Herington et al, (2006), “service recovery does not just happen.  It is a systematic business process that must be designed properly and implemented in an organization”.  Perhaps more importantly, the organizational culture must be supportive of the idea that customers are important and their voices have value.  </w:t>
      </w:r>
    </w:p>
    <w:p w14:paraId="638F0322" w14:textId="77777777" w:rsidR="00FF7C45" w:rsidRPr="00E3232D" w:rsidRDefault="00FF7C45" w:rsidP="00040257">
      <w:pPr>
        <w:jc w:val="both"/>
        <w:rPr>
          <w:rFonts w:ascii="Book Antiqua" w:hAnsi="Book Antiqua"/>
          <w:color w:val="000000"/>
          <w:lang w:val="en-GB"/>
        </w:rPr>
      </w:pPr>
      <w:r w:rsidRPr="00E3232D">
        <w:rPr>
          <w:rFonts w:ascii="Book Antiqua" w:hAnsi="Book Antiqua"/>
          <w:color w:val="000000"/>
          <w:lang w:val="en-GB"/>
        </w:rPr>
        <w:t xml:space="preserve">According to Hansemark (2004) “every company employee who is involved in customer service of his/her organization needs to think about his/her own personal experiences with service or product problems and ask questions”. The questions should be “did I get a quick acknowledgement of the problem, speedy resolution of the problem, and perhaps compensation for my troubles?   Sincerely, if these questions have favourable responses, would it not be more likely to buy from that company again because of the employees’ confidence in the business practices of that company?   This </w:t>
      </w:r>
      <w:r w:rsidRPr="00E3232D">
        <w:rPr>
          <w:rFonts w:ascii="Book Antiqua" w:hAnsi="Book Antiqua"/>
          <w:color w:val="000000"/>
          <w:lang w:val="en-GB"/>
        </w:rPr>
        <w:t xml:space="preserve">according to Gronroos (2007) is the key value to effective service recovery and complaint handling and ultimately </w:t>
      </w:r>
      <w:r w:rsidRPr="00E3232D">
        <w:rPr>
          <w:rFonts w:ascii="Book Antiqua" w:hAnsi="Book Antiqua"/>
          <w:bCs/>
          <w:color w:val="000000"/>
          <w:lang w:val="en-GB"/>
        </w:rPr>
        <w:t>customer retention</w:t>
      </w:r>
      <w:r w:rsidRPr="00E3232D">
        <w:rPr>
          <w:rFonts w:ascii="Book Antiqua" w:hAnsi="Book Antiqua"/>
          <w:color w:val="000000"/>
          <w:lang w:val="en-GB"/>
        </w:rPr>
        <w:t>.  </w:t>
      </w:r>
    </w:p>
    <w:p w14:paraId="00781389" w14:textId="77777777" w:rsidR="00FF7C45" w:rsidRDefault="00FF7C45" w:rsidP="00040257">
      <w:pPr>
        <w:spacing w:after="0"/>
        <w:jc w:val="both"/>
        <w:rPr>
          <w:rFonts w:ascii="Book Antiqua" w:hAnsi="Book Antiqua"/>
          <w:lang w:val="en-GB"/>
        </w:rPr>
      </w:pPr>
      <w:r w:rsidRPr="00E3232D">
        <w:rPr>
          <w:rFonts w:ascii="Book Antiqua" w:hAnsi="Book Antiqua"/>
          <w:color w:val="000000"/>
          <w:lang w:val="en-GB"/>
        </w:rPr>
        <w:t xml:space="preserve">Gronroos (2007) opined that “one way to think about service recovery is that it is a </w:t>
      </w:r>
      <w:r w:rsidRPr="00E3232D">
        <w:rPr>
          <w:rFonts w:ascii="Book Antiqua" w:hAnsi="Book Antiqua"/>
          <w:bCs/>
          <w:color w:val="000000"/>
          <w:lang w:val="en-GB"/>
        </w:rPr>
        <w:t>positive approach to complaint handling.</w:t>
      </w:r>
      <w:r w:rsidRPr="00E3232D">
        <w:rPr>
          <w:rFonts w:ascii="Book Antiqua" w:hAnsi="Book Antiqua"/>
          <w:b/>
          <w:bCs/>
          <w:color w:val="000000"/>
          <w:lang w:val="en-GB"/>
        </w:rPr>
        <w:t xml:space="preserve">  </w:t>
      </w:r>
      <w:r w:rsidRPr="00E3232D">
        <w:rPr>
          <w:rFonts w:ascii="Book Antiqua" w:hAnsi="Book Antiqua"/>
          <w:color w:val="000000"/>
          <w:lang w:val="en-GB"/>
        </w:rPr>
        <w:t>Complaint handling has serious negative connotations; whereas, service recovery has positive connotations. Complaint handling is placating people, minimizing a negative impression.  Service recovery practices are a means to achieve the potential, latent value a customer holds for a company by fostering an ongoing positive relationship.  </w:t>
      </w:r>
    </w:p>
    <w:p w14:paraId="19921CA1" w14:textId="77777777" w:rsidR="00DF261C" w:rsidRPr="00DF261C" w:rsidRDefault="00DF261C" w:rsidP="00040257">
      <w:pPr>
        <w:spacing w:after="0"/>
        <w:jc w:val="both"/>
        <w:rPr>
          <w:rFonts w:ascii="Book Antiqua" w:hAnsi="Book Antiqua"/>
          <w:lang w:val="en-GB"/>
        </w:rPr>
      </w:pPr>
    </w:p>
    <w:p w14:paraId="15610643" w14:textId="77777777" w:rsidR="00FC0562" w:rsidRDefault="00FF7C45" w:rsidP="00FC0562">
      <w:pPr>
        <w:spacing w:after="0"/>
        <w:jc w:val="both"/>
        <w:rPr>
          <w:rFonts w:ascii="Book Antiqua" w:hAnsi="Book Antiqua"/>
          <w:b/>
          <w:lang w:val="en-GB"/>
        </w:rPr>
      </w:pPr>
      <w:r w:rsidRPr="00E3232D">
        <w:rPr>
          <w:rFonts w:ascii="Book Antiqua" w:hAnsi="Book Antiqua"/>
          <w:lang w:val="en-GB"/>
        </w:rPr>
        <w:t>Gronroos (2007) maintained that the success of any service programme is highly dependent on the attitudes, commitment and performance of</w:t>
      </w:r>
      <w:r w:rsidR="00DF261C">
        <w:rPr>
          <w:rFonts w:ascii="Book Antiqua" w:hAnsi="Book Antiqua"/>
          <w:lang w:val="en-GB"/>
        </w:rPr>
        <w:t xml:space="preserve"> </w:t>
      </w:r>
      <w:r w:rsidRPr="00E3232D">
        <w:rPr>
          <w:rFonts w:ascii="Book Antiqua" w:hAnsi="Book Antiqua"/>
          <w:lang w:val="en-GB"/>
        </w:rPr>
        <w:t xml:space="preserve">employees. To him, success in the external market place requires success internally in motivating employees and making them committed to the pursuit of an effective customer service based organization. </w:t>
      </w:r>
    </w:p>
    <w:p w14:paraId="4639F90A" w14:textId="77777777" w:rsidR="00FC0562" w:rsidRPr="00FC0562" w:rsidRDefault="00FC0562" w:rsidP="00FC0562">
      <w:pPr>
        <w:spacing w:after="0"/>
        <w:jc w:val="both"/>
        <w:rPr>
          <w:rFonts w:ascii="Book Antiqua" w:hAnsi="Book Antiqua"/>
          <w:b/>
          <w:lang w:val="en-GB"/>
        </w:rPr>
      </w:pPr>
    </w:p>
    <w:p w14:paraId="3913DBC6" w14:textId="77777777" w:rsidR="00FF7C45" w:rsidRPr="00E3232D" w:rsidRDefault="00FF7C45" w:rsidP="00040257">
      <w:pPr>
        <w:jc w:val="both"/>
        <w:rPr>
          <w:rFonts w:ascii="Book Antiqua" w:hAnsi="Book Antiqua"/>
          <w:b/>
          <w:lang w:val="en-GB"/>
        </w:rPr>
      </w:pPr>
      <w:r w:rsidRPr="00E3232D">
        <w:rPr>
          <w:rFonts w:ascii="Book Antiqua" w:hAnsi="Book Antiqua"/>
          <w:b/>
          <w:lang w:val="en-GB"/>
        </w:rPr>
        <w:t>2.</w:t>
      </w:r>
      <w:r w:rsidR="00D704C5">
        <w:rPr>
          <w:rFonts w:ascii="Book Antiqua" w:hAnsi="Book Antiqua"/>
          <w:b/>
          <w:lang w:val="en-GB"/>
        </w:rPr>
        <w:t>0</w:t>
      </w:r>
      <w:r w:rsidRPr="00E3232D">
        <w:rPr>
          <w:rFonts w:ascii="Book Antiqua" w:hAnsi="Book Antiqua"/>
          <w:b/>
          <w:lang w:val="en-GB"/>
        </w:rPr>
        <w:t xml:space="preserve"> </w:t>
      </w:r>
      <w:r w:rsidRPr="00960602">
        <w:rPr>
          <w:rFonts w:ascii="Book Antiqua" w:hAnsi="Book Antiqua"/>
          <w:b/>
          <w:sz w:val="26"/>
          <w:lang w:val="en-GB"/>
        </w:rPr>
        <w:t>Methodology</w:t>
      </w:r>
    </w:p>
    <w:p w14:paraId="49E302B6" w14:textId="77777777" w:rsidR="00FF7C45" w:rsidRPr="00E3232D" w:rsidRDefault="00FF7C45" w:rsidP="00040257">
      <w:pPr>
        <w:jc w:val="both"/>
        <w:rPr>
          <w:rFonts w:ascii="Book Antiqua" w:hAnsi="Book Antiqua"/>
          <w:b/>
          <w:lang w:val="en-GB"/>
        </w:rPr>
      </w:pPr>
      <w:r w:rsidRPr="00E3232D">
        <w:rPr>
          <w:rFonts w:ascii="Book Antiqua" w:hAnsi="Book Antiqua"/>
          <w:b/>
          <w:lang w:val="en-GB"/>
        </w:rPr>
        <w:t>2.1 Research Design</w:t>
      </w:r>
    </w:p>
    <w:p w14:paraId="24EBDA68" w14:textId="77777777" w:rsidR="00DF0AF5" w:rsidRPr="00FC0562" w:rsidRDefault="00FF7C45" w:rsidP="00FC0562">
      <w:pPr>
        <w:tabs>
          <w:tab w:val="left" w:pos="2430"/>
        </w:tabs>
        <w:jc w:val="both"/>
        <w:rPr>
          <w:rFonts w:ascii="Book Antiqua" w:hAnsi="Book Antiqua"/>
          <w:lang w:val="en-GB"/>
        </w:rPr>
      </w:pPr>
      <w:r w:rsidRPr="00E3232D">
        <w:rPr>
          <w:rFonts w:ascii="Book Antiqua" w:hAnsi="Book Antiqua"/>
          <w:lang w:val="en-GB"/>
        </w:rPr>
        <w:t xml:space="preserve">This study is a survey research which employs both qualitative and quantitative approaches. In the writings of Saunders et al (2007), “quality is the essential characteristics or the nature of something; quantity is the amount. Quality is the ‘what’; quantity is the ‘how much”. The study will consider the use of charts and other statistical tools that falls within the </w:t>
      </w:r>
      <w:r w:rsidRPr="00E3232D">
        <w:rPr>
          <w:rFonts w:ascii="Book Antiqua" w:hAnsi="Book Antiqua"/>
          <w:lang w:val="en-GB"/>
        </w:rPr>
        <w:lastRenderedPageBreak/>
        <w:t xml:space="preserve">ambit of quantitative research, hence the hybrid.   </w:t>
      </w:r>
    </w:p>
    <w:p w14:paraId="07269CE7" w14:textId="77777777" w:rsidR="00FF7C45" w:rsidRPr="00E3232D" w:rsidRDefault="00FF7C45" w:rsidP="00040257">
      <w:pPr>
        <w:jc w:val="both"/>
        <w:rPr>
          <w:rFonts w:ascii="Book Antiqua" w:hAnsi="Book Antiqua"/>
          <w:b/>
          <w:lang w:val="en-GB"/>
        </w:rPr>
      </w:pPr>
      <w:r w:rsidRPr="00E3232D">
        <w:rPr>
          <w:rFonts w:ascii="Book Antiqua" w:hAnsi="Book Antiqua"/>
          <w:b/>
          <w:lang w:val="en-GB"/>
        </w:rPr>
        <w:t>2.2 Sample and Sampling Procedures</w:t>
      </w:r>
    </w:p>
    <w:p w14:paraId="6F5E0A94" w14:textId="77777777" w:rsidR="00FF7C45" w:rsidRPr="00E3232D" w:rsidRDefault="00FF7C45" w:rsidP="00040257">
      <w:pPr>
        <w:tabs>
          <w:tab w:val="left" w:pos="0"/>
        </w:tabs>
        <w:jc w:val="both"/>
        <w:rPr>
          <w:rFonts w:ascii="Book Antiqua" w:hAnsi="Book Antiqua"/>
          <w:lang w:val="en-GB"/>
        </w:rPr>
      </w:pPr>
      <w:r w:rsidRPr="00E3232D">
        <w:rPr>
          <w:rFonts w:ascii="Book Antiqua" w:hAnsi="Book Antiqua"/>
          <w:lang w:val="en-GB"/>
        </w:rPr>
        <w:t xml:space="preserve">The population for this work is made up of the management and account holders of the selected banks in the Tema Metropolitan Area. Purposive and systematic simple random sampling techniques were used to sample respondents.  Purposive sampling according to Wimmer and Dominick (2003) is the most effective for this study because, “a purposive sample includes subjects or elements selected for specific characteristics or qualities and eliminates those who fail to meet those criteria”. </w:t>
      </w:r>
    </w:p>
    <w:p w14:paraId="05C8C69B" w14:textId="77777777" w:rsidR="00FF7C45" w:rsidRPr="00E3232D" w:rsidRDefault="00FF7C45" w:rsidP="00040257">
      <w:pPr>
        <w:tabs>
          <w:tab w:val="left" w:pos="0"/>
        </w:tabs>
        <w:spacing w:after="0"/>
        <w:jc w:val="both"/>
        <w:rPr>
          <w:rFonts w:ascii="Book Antiqua" w:hAnsi="Book Antiqua"/>
          <w:lang w:val="en-GB"/>
        </w:rPr>
      </w:pPr>
      <w:r w:rsidRPr="00E3232D">
        <w:rPr>
          <w:rFonts w:ascii="Book Antiqua" w:hAnsi="Book Antiqua"/>
          <w:lang w:val="en-GB"/>
        </w:rPr>
        <w:t>Systematic random sampling, a probability technique, was used first to select the banks used in the study, The selected banks were Ghana Commercial Bank; Agricultural Development Bank; Stanbic Bank Ghana Limited; Ecobank Ghana Limited; Fidelity Bank Ghana Limited; Zenith Bank Ghana Limited; United Bank for Africa; Societal Generale – Social Security Bank; Standard Chartered Bank.</w:t>
      </w:r>
    </w:p>
    <w:p w14:paraId="0277DF16" w14:textId="77777777" w:rsidR="00FF7C45" w:rsidRPr="00E3232D" w:rsidRDefault="00FF7C45" w:rsidP="00040257">
      <w:pPr>
        <w:spacing w:after="0"/>
        <w:jc w:val="both"/>
        <w:rPr>
          <w:rFonts w:ascii="Book Antiqua" w:hAnsi="Book Antiqua"/>
          <w:lang w:val="en-GB"/>
        </w:rPr>
      </w:pPr>
    </w:p>
    <w:p w14:paraId="4BB5FA00" w14:textId="77777777" w:rsidR="0078576B" w:rsidRPr="00FC0562" w:rsidRDefault="00FF7C45" w:rsidP="00FC0562">
      <w:pPr>
        <w:spacing w:after="0"/>
        <w:jc w:val="both"/>
        <w:rPr>
          <w:rFonts w:ascii="Book Antiqua" w:hAnsi="Book Antiqua"/>
          <w:lang w:val="en-GB"/>
        </w:rPr>
      </w:pPr>
      <w:r w:rsidRPr="00E3232D">
        <w:rPr>
          <w:rFonts w:ascii="Book Antiqua" w:hAnsi="Book Antiqua"/>
          <w:lang w:val="en-GB"/>
        </w:rPr>
        <w:t xml:space="preserve">The same technique was used to select 110 customers. Through a throw of dice, the most occurring number “3” was applied to select any third account holder of a selected bank at the banking premises on specific working days using trained research assistants. However, the fully answered and returned questionnaires reduced the customer sample to 80. The purposive sampling technique was used </w:t>
      </w:r>
      <w:r w:rsidRPr="00E3232D">
        <w:rPr>
          <w:rFonts w:ascii="Book Antiqua" w:hAnsi="Book Antiqua"/>
          <w:lang w:val="en-GB"/>
        </w:rPr>
        <w:t>to select 20 staff/management respondents based on the knowledge and association with customer service. Hence the sample size of this study is 100.</w:t>
      </w:r>
    </w:p>
    <w:p w14:paraId="1F44B5E2" w14:textId="77777777" w:rsidR="00FF7C45" w:rsidRPr="00E3232D" w:rsidRDefault="00FF7C45" w:rsidP="00960602">
      <w:pPr>
        <w:spacing w:before="240"/>
        <w:jc w:val="both"/>
        <w:rPr>
          <w:rFonts w:ascii="Book Antiqua" w:hAnsi="Book Antiqua"/>
          <w:b/>
          <w:lang w:val="en-GB"/>
        </w:rPr>
      </w:pPr>
      <w:r w:rsidRPr="00E3232D">
        <w:rPr>
          <w:rFonts w:ascii="Book Antiqua" w:hAnsi="Book Antiqua"/>
          <w:b/>
          <w:lang w:val="en-GB"/>
        </w:rPr>
        <w:t>2.3 Data Collection and Analysis</w:t>
      </w:r>
    </w:p>
    <w:p w14:paraId="2A026E74" w14:textId="77777777" w:rsidR="00FF7C45" w:rsidRPr="00E3232D" w:rsidRDefault="00FF7C45" w:rsidP="00040257">
      <w:pPr>
        <w:jc w:val="both"/>
        <w:rPr>
          <w:rFonts w:ascii="Book Antiqua" w:eastAsia="Arial Unicode MS" w:hAnsi="Book Antiqua"/>
          <w:lang w:val="en-GB"/>
        </w:rPr>
      </w:pPr>
      <w:r w:rsidRPr="00E3232D">
        <w:rPr>
          <w:rFonts w:ascii="Book Antiqua" w:hAnsi="Book Antiqua"/>
          <w:lang w:val="en-GB"/>
        </w:rPr>
        <w:t xml:space="preserve">The instrument used in gathering the information for study was the questionnaire.  The questionnaire was used to collect primary data whiles secondary data were collected from books, Ghana Banking Survey and the internet. Data was analysed using the Microsoft office 2007 suite. </w:t>
      </w:r>
    </w:p>
    <w:p w14:paraId="3A541954" w14:textId="77777777" w:rsidR="00FF7C45" w:rsidRPr="00E3232D" w:rsidRDefault="00FF7C45" w:rsidP="00040257">
      <w:pPr>
        <w:jc w:val="both"/>
        <w:rPr>
          <w:rFonts w:ascii="Book Antiqua" w:hAnsi="Book Antiqua"/>
          <w:b/>
          <w:lang w:val="en-GB"/>
        </w:rPr>
      </w:pPr>
      <w:r w:rsidRPr="00E3232D">
        <w:rPr>
          <w:rFonts w:ascii="Book Antiqua" w:hAnsi="Book Antiqua"/>
          <w:b/>
          <w:lang w:val="en-GB"/>
        </w:rPr>
        <w:t>3.</w:t>
      </w:r>
      <w:r w:rsidR="00D704C5">
        <w:rPr>
          <w:rFonts w:ascii="Book Antiqua" w:hAnsi="Book Antiqua"/>
          <w:b/>
          <w:lang w:val="en-GB"/>
        </w:rPr>
        <w:t>0</w:t>
      </w:r>
      <w:r w:rsidRPr="00E3232D">
        <w:rPr>
          <w:rFonts w:ascii="Book Antiqua" w:hAnsi="Book Antiqua"/>
          <w:b/>
          <w:lang w:val="en-GB"/>
        </w:rPr>
        <w:t xml:space="preserve"> </w:t>
      </w:r>
      <w:r w:rsidRPr="00FC0562">
        <w:rPr>
          <w:rFonts w:ascii="Book Antiqua" w:hAnsi="Book Antiqua"/>
          <w:b/>
          <w:sz w:val="26"/>
          <w:lang w:val="en-GB"/>
        </w:rPr>
        <w:t>Results and Discussion</w:t>
      </w:r>
    </w:p>
    <w:p w14:paraId="475C8667" w14:textId="77777777" w:rsidR="00FF7C45" w:rsidRPr="00E3232D" w:rsidRDefault="00FF7C45" w:rsidP="00040257">
      <w:pPr>
        <w:pStyle w:val="ListParagraph"/>
        <w:ind w:left="0"/>
        <w:jc w:val="both"/>
        <w:rPr>
          <w:rFonts w:ascii="Book Antiqua" w:hAnsi="Book Antiqua"/>
          <w:lang w:val="en-GB"/>
        </w:rPr>
      </w:pPr>
      <w:r w:rsidRPr="00E3232D">
        <w:rPr>
          <w:rFonts w:ascii="Book Antiqua" w:hAnsi="Book Antiqua"/>
          <w:lang w:val="en-GB"/>
        </w:rPr>
        <w:t xml:space="preserve">The reliability of every research finding depends a great deal on its methodology and more especially the quality of the responses retrieved from the respondents of the research. In this light, the characteristics of the respondents serve as an important yardstick in ensuring the credibility of the study. </w:t>
      </w:r>
    </w:p>
    <w:p w14:paraId="439D03EC" w14:textId="77777777" w:rsidR="0078576B" w:rsidRDefault="0078576B" w:rsidP="00040257">
      <w:pPr>
        <w:pStyle w:val="ListParagraph"/>
        <w:widowControl w:val="0"/>
        <w:autoSpaceDE w:val="0"/>
        <w:autoSpaceDN w:val="0"/>
        <w:adjustRightInd w:val="0"/>
        <w:ind w:left="0"/>
        <w:jc w:val="both"/>
        <w:rPr>
          <w:rFonts w:ascii="Book Antiqua" w:hAnsi="Book Antiqua"/>
          <w:b/>
          <w:color w:val="000000"/>
          <w:lang w:val="en-GB"/>
        </w:rPr>
      </w:pPr>
    </w:p>
    <w:p w14:paraId="79AC3ACA" w14:textId="77777777" w:rsidR="00FF7C45" w:rsidRPr="00E3232D" w:rsidRDefault="00FF7C45" w:rsidP="00040257">
      <w:pPr>
        <w:pStyle w:val="ListParagraph"/>
        <w:widowControl w:val="0"/>
        <w:autoSpaceDE w:val="0"/>
        <w:autoSpaceDN w:val="0"/>
        <w:adjustRightInd w:val="0"/>
        <w:ind w:left="0"/>
        <w:jc w:val="both"/>
        <w:rPr>
          <w:rFonts w:ascii="Book Antiqua" w:hAnsi="Book Antiqua"/>
          <w:b/>
          <w:color w:val="000000"/>
          <w:lang w:val="en-GB"/>
        </w:rPr>
      </w:pPr>
      <w:r w:rsidRPr="00E3232D">
        <w:rPr>
          <w:rFonts w:ascii="Book Antiqua" w:hAnsi="Book Antiqua"/>
          <w:b/>
          <w:color w:val="000000"/>
          <w:lang w:val="en-GB"/>
        </w:rPr>
        <w:t>3.1 Quality Service Delivery within the bank</w:t>
      </w:r>
    </w:p>
    <w:p w14:paraId="5F585137" w14:textId="77777777" w:rsidR="00FF7C45" w:rsidRPr="00E3232D" w:rsidRDefault="00FF7C45" w:rsidP="00040257">
      <w:pPr>
        <w:pStyle w:val="ListParagraph"/>
        <w:widowControl w:val="0"/>
        <w:autoSpaceDE w:val="0"/>
        <w:autoSpaceDN w:val="0"/>
        <w:adjustRightInd w:val="0"/>
        <w:ind w:left="0"/>
        <w:jc w:val="both"/>
        <w:rPr>
          <w:rFonts w:ascii="Book Antiqua" w:hAnsi="Book Antiqua"/>
          <w:color w:val="000000"/>
          <w:lang w:val="en-GB"/>
        </w:rPr>
      </w:pPr>
      <w:r w:rsidRPr="00E3232D">
        <w:rPr>
          <w:rFonts w:ascii="Book Antiqua" w:hAnsi="Book Antiqua"/>
          <w:color w:val="000000"/>
          <w:lang w:val="en-GB"/>
        </w:rPr>
        <w:t>The initial data presented is on the personal characteristics of the respondents to help justify their qualification to contribute significantly to this study.</w:t>
      </w:r>
    </w:p>
    <w:p w14:paraId="5A30924E" w14:textId="77777777" w:rsidR="00FF7C45" w:rsidRPr="00E3232D" w:rsidRDefault="007005B1" w:rsidP="008A06FE">
      <w:pPr>
        <w:spacing w:after="0"/>
        <w:jc w:val="both"/>
        <w:rPr>
          <w:rFonts w:ascii="Book Antiqua" w:hAnsi="Book Antiqua"/>
          <w:b/>
          <w:noProof/>
          <w:lang w:val="en-GB" w:eastAsia="en-GB"/>
        </w:rPr>
      </w:pPr>
      <w:r>
        <w:rPr>
          <w:rFonts w:ascii="Book Antiqua" w:hAnsi="Book Antiqua"/>
          <w:b/>
          <w:noProof/>
          <w:lang w:bidi="ar-SA"/>
        </w:rPr>
        <w:lastRenderedPageBreak/>
        <w:drawing>
          <wp:inline distT="0" distB="0" distL="0" distR="0" wp14:anchorId="4FE9306E" wp14:editId="3FF3DE14">
            <wp:extent cx="2841196" cy="1640026"/>
            <wp:effectExtent l="12200" t="6066" r="4104" b="1733"/>
            <wp:docPr id="3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469A6AF" w14:textId="77777777" w:rsidR="00FF7C45" w:rsidRPr="00E3232D" w:rsidRDefault="00FF7C45" w:rsidP="00040257">
      <w:pPr>
        <w:jc w:val="both"/>
        <w:rPr>
          <w:rFonts w:ascii="Book Antiqua" w:hAnsi="Book Antiqua"/>
          <w:b/>
          <w:noProof/>
          <w:lang w:val="en-GB" w:eastAsia="en-GB"/>
        </w:rPr>
      </w:pPr>
      <w:r w:rsidRPr="00E3232D">
        <w:rPr>
          <w:rFonts w:ascii="Book Antiqua" w:hAnsi="Book Antiqua"/>
          <w:b/>
          <w:noProof/>
          <w:lang w:val="en-GB" w:eastAsia="en-GB"/>
        </w:rPr>
        <w:t>Source: Present Research Work, 2012</w:t>
      </w:r>
    </w:p>
    <w:p w14:paraId="342C5414" w14:textId="77777777" w:rsidR="008A06FE" w:rsidRPr="00E3232D" w:rsidRDefault="008A06FE" w:rsidP="008A06FE">
      <w:pPr>
        <w:autoSpaceDE w:val="0"/>
        <w:autoSpaceDN w:val="0"/>
        <w:adjustRightInd w:val="0"/>
        <w:jc w:val="both"/>
        <w:rPr>
          <w:rFonts w:ascii="Book Antiqua" w:hAnsi="Book Antiqua"/>
          <w:b/>
          <w:lang w:val="en-GB"/>
        </w:rPr>
      </w:pPr>
      <w:r w:rsidRPr="00E3232D">
        <w:rPr>
          <w:rFonts w:ascii="Book Antiqua" w:hAnsi="Book Antiqua"/>
          <w:b/>
          <w:bCs/>
          <w:color w:val="000000"/>
          <w:u w:val="single"/>
          <w:lang w:val="en-GB"/>
        </w:rPr>
        <w:t>Figure 1</w:t>
      </w:r>
      <w:r w:rsidRPr="00E3232D">
        <w:rPr>
          <w:rFonts w:ascii="Book Antiqua" w:hAnsi="Book Antiqua"/>
          <w:b/>
          <w:bCs/>
          <w:color w:val="000000"/>
          <w:lang w:val="en-GB"/>
        </w:rPr>
        <w:t>: Customers period of involvement with their banks</w:t>
      </w:r>
    </w:p>
    <w:p w14:paraId="23A24834" w14:textId="77777777" w:rsidR="00FF7C45" w:rsidRPr="00E3232D" w:rsidRDefault="00FF7C45" w:rsidP="00960602">
      <w:pPr>
        <w:spacing w:after="0"/>
        <w:jc w:val="both"/>
        <w:rPr>
          <w:rFonts w:ascii="Book Antiqua" w:hAnsi="Book Antiqua"/>
          <w:lang w:val="en-GB"/>
        </w:rPr>
      </w:pPr>
      <w:r w:rsidRPr="00E3232D">
        <w:rPr>
          <w:rFonts w:ascii="Book Antiqua" w:hAnsi="Book Antiqua"/>
          <w:lang w:val="en-GB"/>
        </w:rPr>
        <w:t>The above diagram presents the duration for which the customers have been dealing with the bank be it frequently or not. 26 males and 8 females have been dealing with their banks for a period between 1 to 5 years; 28 of them for almost 10 years and 2 above 15 years. This statistics provides a proof of the depth of experience of the staff/management respondents.</w:t>
      </w:r>
    </w:p>
    <w:p w14:paraId="23B8AA90" w14:textId="77777777" w:rsidR="002C628F" w:rsidRDefault="002C628F" w:rsidP="00040257">
      <w:pPr>
        <w:pStyle w:val="ListParagraph"/>
        <w:widowControl w:val="0"/>
        <w:autoSpaceDE w:val="0"/>
        <w:autoSpaceDN w:val="0"/>
        <w:adjustRightInd w:val="0"/>
        <w:ind w:left="0"/>
        <w:jc w:val="both"/>
        <w:rPr>
          <w:rFonts w:ascii="Book Antiqua" w:hAnsi="Book Antiqua"/>
          <w:color w:val="000000"/>
          <w:lang w:val="en-GB"/>
        </w:rPr>
      </w:pPr>
    </w:p>
    <w:p w14:paraId="7E742E93" w14:textId="77777777" w:rsidR="00FF7C45" w:rsidRPr="00E3232D" w:rsidRDefault="00FF7C45" w:rsidP="00960602">
      <w:pPr>
        <w:pStyle w:val="ListParagraph"/>
        <w:widowControl w:val="0"/>
        <w:autoSpaceDE w:val="0"/>
        <w:autoSpaceDN w:val="0"/>
        <w:adjustRightInd w:val="0"/>
        <w:spacing w:after="0"/>
        <w:ind w:left="0"/>
        <w:jc w:val="both"/>
        <w:rPr>
          <w:rFonts w:ascii="Book Antiqua" w:hAnsi="Book Antiqua"/>
          <w:color w:val="000000"/>
          <w:lang w:val="en-GB"/>
        </w:rPr>
      </w:pPr>
      <w:r w:rsidRPr="00E3232D">
        <w:rPr>
          <w:rFonts w:ascii="Book Antiqua" w:hAnsi="Book Antiqua"/>
          <w:color w:val="000000"/>
          <w:lang w:val="en-GB"/>
        </w:rPr>
        <w:t>The secondary data also points to the importance of complaint mechanism in service delivery. In the diagram below, customers respond to the issue of whether they have complained at one time or not.</w:t>
      </w:r>
    </w:p>
    <w:p w14:paraId="4A2BBC8E" w14:textId="77777777" w:rsidR="00FC0562" w:rsidRDefault="00FC0562" w:rsidP="00960602">
      <w:pPr>
        <w:pStyle w:val="ListParagraph"/>
        <w:widowControl w:val="0"/>
        <w:autoSpaceDE w:val="0"/>
        <w:autoSpaceDN w:val="0"/>
        <w:adjustRightInd w:val="0"/>
        <w:spacing w:after="0"/>
        <w:ind w:left="0"/>
        <w:jc w:val="both"/>
        <w:rPr>
          <w:rFonts w:ascii="Book Antiqua" w:hAnsi="Book Antiqua"/>
          <w:b/>
          <w:color w:val="000000"/>
          <w:u w:val="single"/>
          <w:lang w:val="en-GB"/>
        </w:rPr>
      </w:pPr>
    </w:p>
    <w:p w14:paraId="0AED76DF" w14:textId="77777777" w:rsidR="00FF7C45" w:rsidRPr="00E3232D" w:rsidRDefault="007005B1" w:rsidP="00960602">
      <w:pPr>
        <w:spacing w:after="0"/>
        <w:jc w:val="both"/>
        <w:rPr>
          <w:rFonts w:ascii="Book Antiqua" w:hAnsi="Book Antiqua"/>
          <w:b/>
          <w:noProof/>
          <w:lang w:val="en-GB" w:eastAsia="en-GB"/>
        </w:rPr>
      </w:pPr>
      <w:r>
        <w:rPr>
          <w:rFonts w:ascii="Book Antiqua" w:hAnsi="Book Antiqua"/>
          <w:b/>
          <w:noProof/>
          <w:lang w:bidi="ar-SA"/>
        </w:rPr>
        <w:drawing>
          <wp:inline distT="0" distB="0" distL="0" distR="0" wp14:anchorId="099B713F" wp14:editId="2B543868">
            <wp:extent cx="2782570" cy="1581150"/>
            <wp:effectExtent l="19050" t="0" r="17780" b="0"/>
            <wp:docPr id="31"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2F5EFF9" w14:textId="77777777" w:rsidR="000B3274" w:rsidRPr="000B3274" w:rsidRDefault="000B3274" w:rsidP="008A06FE">
      <w:pPr>
        <w:spacing w:after="0" w:line="240" w:lineRule="auto"/>
        <w:jc w:val="both"/>
        <w:rPr>
          <w:rFonts w:ascii="Book Antiqua" w:hAnsi="Book Antiqua"/>
          <w:b/>
          <w:lang w:val="en-GB"/>
        </w:rPr>
      </w:pPr>
      <w:r w:rsidRPr="00E3232D">
        <w:rPr>
          <w:rFonts w:ascii="Book Antiqua" w:hAnsi="Book Antiqua"/>
          <w:b/>
          <w:noProof/>
          <w:lang w:val="en-GB" w:eastAsia="en-GB"/>
        </w:rPr>
        <w:t>Source: Present Research Work, 2012</w:t>
      </w:r>
    </w:p>
    <w:p w14:paraId="40040EAE" w14:textId="77777777" w:rsidR="00960602" w:rsidRPr="00E3232D" w:rsidRDefault="008A06FE" w:rsidP="00960602">
      <w:pPr>
        <w:pStyle w:val="ListParagraph"/>
        <w:widowControl w:val="0"/>
        <w:autoSpaceDE w:val="0"/>
        <w:autoSpaceDN w:val="0"/>
        <w:adjustRightInd w:val="0"/>
        <w:spacing w:after="0" w:line="240" w:lineRule="auto"/>
        <w:ind w:left="0"/>
        <w:jc w:val="both"/>
        <w:rPr>
          <w:rFonts w:ascii="Book Antiqua" w:hAnsi="Book Antiqua"/>
          <w:color w:val="000000"/>
          <w:lang w:val="en-GB"/>
        </w:rPr>
      </w:pPr>
      <w:r w:rsidRPr="008A06FE">
        <w:rPr>
          <w:rFonts w:ascii="Book Antiqua" w:hAnsi="Book Antiqua"/>
          <w:b/>
          <w:color w:val="000000"/>
          <w:sz w:val="20"/>
          <w:u w:val="single"/>
          <w:lang w:val="en-GB"/>
        </w:rPr>
        <w:t>Fig.</w:t>
      </w:r>
      <w:r w:rsidR="00960602" w:rsidRPr="008A06FE">
        <w:rPr>
          <w:rFonts w:ascii="Book Antiqua" w:hAnsi="Book Antiqua"/>
          <w:b/>
          <w:color w:val="000000"/>
          <w:sz w:val="20"/>
          <w:u w:val="single"/>
          <w:lang w:val="en-GB"/>
        </w:rPr>
        <w:t>2</w:t>
      </w:r>
      <w:r w:rsidR="00960602" w:rsidRPr="008A06FE">
        <w:rPr>
          <w:rFonts w:ascii="Book Antiqua" w:hAnsi="Book Antiqua"/>
          <w:b/>
          <w:color w:val="000000"/>
          <w:sz w:val="20"/>
          <w:lang w:val="en-GB"/>
        </w:rPr>
        <w:t xml:space="preserve">: </w:t>
      </w:r>
      <w:r w:rsidR="00960602" w:rsidRPr="008A06FE">
        <w:rPr>
          <w:rFonts w:ascii="Book Antiqua" w:hAnsi="Book Antiqua"/>
          <w:color w:val="000000"/>
          <w:sz w:val="20"/>
          <w:lang w:val="en-GB"/>
        </w:rPr>
        <w:t xml:space="preserve"> </w:t>
      </w:r>
      <w:r w:rsidR="00960602" w:rsidRPr="008A06FE">
        <w:rPr>
          <w:rFonts w:ascii="Book Antiqua" w:hAnsi="Book Antiqua"/>
          <w:b/>
          <w:color w:val="000000"/>
          <w:sz w:val="20"/>
          <w:lang w:val="en-GB"/>
        </w:rPr>
        <w:t>Percentage of customer respondents who complained to their banks</w:t>
      </w:r>
    </w:p>
    <w:p w14:paraId="76B40046" w14:textId="77777777" w:rsidR="000B7F50" w:rsidRPr="00FC0562" w:rsidRDefault="00FF7C45" w:rsidP="00FC0562">
      <w:pPr>
        <w:jc w:val="both"/>
        <w:rPr>
          <w:rFonts w:ascii="Book Antiqua" w:hAnsi="Book Antiqua"/>
          <w:lang w:val="en-GB"/>
        </w:rPr>
      </w:pPr>
      <w:r w:rsidRPr="00E3232D">
        <w:rPr>
          <w:rFonts w:ascii="Book Antiqua" w:hAnsi="Book Antiqua"/>
          <w:lang w:val="en-GB"/>
        </w:rPr>
        <w:t xml:space="preserve">From the figure 2, Almost 75% agreed to have at one time or the other complaint to their bank. A total of 15% of customers claimed they did not complain about their perception of the banks service, with 10% undecided. </w:t>
      </w:r>
    </w:p>
    <w:p w14:paraId="727B802D" w14:textId="77777777" w:rsidR="00FF7C45" w:rsidRPr="00E3232D" w:rsidRDefault="007005B1" w:rsidP="000B3274">
      <w:pPr>
        <w:spacing w:after="0"/>
        <w:jc w:val="center"/>
        <w:rPr>
          <w:rFonts w:ascii="Book Antiqua" w:hAnsi="Book Antiqua"/>
          <w:b/>
          <w:lang w:val="en-GB"/>
        </w:rPr>
      </w:pPr>
      <w:r>
        <w:rPr>
          <w:rFonts w:ascii="Book Antiqua" w:hAnsi="Book Antiqua"/>
          <w:b/>
          <w:noProof/>
          <w:lang w:bidi="ar-SA"/>
        </w:rPr>
        <w:drawing>
          <wp:inline distT="0" distB="0" distL="0" distR="0" wp14:anchorId="5904C24D" wp14:editId="269ED99E">
            <wp:extent cx="2789996" cy="1629702"/>
            <wp:effectExtent l="12181" t="6124" r="7698" b="2474"/>
            <wp:docPr id="32"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6F13D34" w14:textId="77777777" w:rsidR="00FF7C45" w:rsidRPr="00E3232D" w:rsidRDefault="00FF7C45" w:rsidP="000B3274">
      <w:pPr>
        <w:spacing w:after="0"/>
        <w:jc w:val="center"/>
        <w:rPr>
          <w:rFonts w:ascii="Book Antiqua" w:hAnsi="Book Antiqua"/>
          <w:b/>
          <w:noProof/>
          <w:lang w:val="en-GB" w:eastAsia="en-GB"/>
        </w:rPr>
      </w:pPr>
      <w:r w:rsidRPr="00E3232D">
        <w:rPr>
          <w:rFonts w:ascii="Book Antiqua" w:hAnsi="Book Antiqua"/>
          <w:b/>
          <w:noProof/>
          <w:lang w:val="en-GB" w:eastAsia="en-GB"/>
        </w:rPr>
        <w:t>Source: Present Research Work, 2012</w:t>
      </w:r>
    </w:p>
    <w:p w14:paraId="6FC5BB4B" w14:textId="77777777" w:rsidR="000B3274" w:rsidRDefault="000B3274" w:rsidP="000B3274">
      <w:pPr>
        <w:rPr>
          <w:rFonts w:ascii="Book Antiqua" w:hAnsi="Book Antiqua"/>
          <w:lang w:val="en-GB"/>
        </w:rPr>
      </w:pPr>
      <w:r w:rsidRPr="00E3232D">
        <w:rPr>
          <w:rFonts w:ascii="Book Antiqua" w:hAnsi="Book Antiqua"/>
          <w:b/>
          <w:u w:val="single"/>
          <w:lang w:val="en-GB"/>
        </w:rPr>
        <w:t>Figure 3</w:t>
      </w:r>
      <w:r w:rsidRPr="00E3232D">
        <w:rPr>
          <w:rFonts w:ascii="Book Antiqua" w:hAnsi="Book Antiqua"/>
          <w:b/>
          <w:lang w:val="en-GB"/>
        </w:rPr>
        <w:t>: Ranking three important factors that affect customers</w:t>
      </w:r>
    </w:p>
    <w:p w14:paraId="0FAF306C" w14:textId="77777777" w:rsidR="00FF7C45" w:rsidRPr="00E3232D" w:rsidRDefault="00FF7C45" w:rsidP="00040257">
      <w:pPr>
        <w:jc w:val="both"/>
        <w:rPr>
          <w:rFonts w:ascii="Book Antiqua" w:hAnsi="Book Antiqua"/>
          <w:noProof/>
          <w:lang w:val="en-GB" w:eastAsia="en-GB"/>
        </w:rPr>
      </w:pPr>
      <w:r w:rsidRPr="00E3232D">
        <w:rPr>
          <w:rFonts w:ascii="Book Antiqua" w:hAnsi="Book Antiqua"/>
          <w:noProof/>
          <w:lang w:val="en-GB" w:eastAsia="en-GB"/>
        </w:rPr>
        <w:t xml:space="preserve">The diagram above presents the three main factors considered to be a major determinants of service quality to the customers. In all, 15%, 25% and 22.5% rated the staffs’ ability to solve problem in the course of work, privacy for customers to discuss pertinent issues, and quick and efficient service provision respectively. However, the highest number of respondents 24, 14, and 24 respectively found these factors to be handled fairly. The divide seem to be to wide but with the numbers going for very good and good being very high, it supposes that these factors are not major constraints to bank customers although the situation is not full proof. </w:t>
      </w:r>
    </w:p>
    <w:p w14:paraId="4EE16298" w14:textId="77777777" w:rsidR="00FF7C45" w:rsidRPr="00E3232D" w:rsidRDefault="00FF7C45" w:rsidP="00040257">
      <w:pPr>
        <w:pStyle w:val="ListParagraph"/>
        <w:widowControl w:val="0"/>
        <w:autoSpaceDE w:val="0"/>
        <w:autoSpaceDN w:val="0"/>
        <w:adjustRightInd w:val="0"/>
        <w:ind w:left="0"/>
        <w:jc w:val="both"/>
        <w:rPr>
          <w:rFonts w:ascii="Book Antiqua" w:hAnsi="Book Antiqua"/>
          <w:b/>
          <w:color w:val="000000"/>
          <w:lang w:val="en-GB"/>
        </w:rPr>
      </w:pPr>
    </w:p>
    <w:p w14:paraId="3790465F" w14:textId="77777777" w:rsidR="00FF7C45" w:rsidRPr="00E3232D" w:rsidRDefault="00FF7C45" w:rsidP="00040257">
      <w:pPr>
        <w:pStyle w:val="ListParagraph"/>
        <w:widowControl w:val="0"/>
        <w:autoSpaceDE w:val="0"/>
        <w:autoSpaceDN w:val="0"/>
        <w:adjustRightInd w:val="0"/>
        <w:ind w:left="0"/>
        <w:jc w:val="both"/>
        <w:rPr>
          <w:rFonts w:ascii="Book Antiqua" w:hAnsi="Book Antiqua"/>
          <w:b/>
          <w:color w:val="000000"/>
          <w:lang w:val="en-GB"/>
        </w:rPr>
      </w:pPr>
      <w:r w:rsidRPr="00E3232D">
        <w:rPr>
          <w:rFonts w:ascii="Book Antiqua" w:hAnsi="Book Antiqua"/>
          <w:b/>
          <w:color w:val="000000"/>
          <w:lang w:val="en-GB"/>
        </w:rPr>
        <w:t>3.2 Handling of Complaints</w:t>
      </w:r>
    </w:p>
    <w:p w14:paraId="34E88C98" w14:textId="77777777" w:rsidR="00FF7C45" w:rsidRPr="00E3232D" w:rsidRDefault="00FF7C45" w:rsidP="00040257">
      <w:pPr>
        <w:pStyle w:val="ListParagraph"/>
        <w:widowControl w:val="0"/>
        <w:autoSpaceDE w:val="0"/>
        <w:autoSpaceDN w:val="0"/>
        <w:adjustRightInd w:val="0"/>
        <w:ind w:left="0"/>
        <w:jc w:val="both"/>
        <w:rPr>
          <w:rFonts w:ascii="Book Antiqua" w:hAnsi="Book Antiqua"/>
          <w:color w:val="000000"/>
          <w:lang w:val="en-GB"/>
        </w:rPr>
      </w:pPr>
      <w:r w:rsidRPr="00E3232D">
        <w:rPr>
          <w:rFonts w:ascii="Book Antiqua" w:hAnsi="Book Antiqua"/>
          <w:color w:val="000000"/>
          <w:lang w:val="en-GB"/>
        </w:rPr>
        <w:t xml:space="preserve">The nature of complaints by customers and as received by the officials of the bank </w:t>
      </w:r>
      <w:r w:rsidRPr="00E3232D">
        <w:rPr>
          <w:rFonts w:ascii="Book Antiqua" w:hAnsi="Book Antiqua"/>
          <w:color w:val="000000"/>
          <w:lang w:val="en-GB"/>
        </w:rPr>
        <w:lastRenderedPageBreak/>
        <w:t xml:space="preserve">are presented in the diagram below. </w:t>
      </w:r>
    </w:p>
    <w:p w14:paraId="58667424" w14:textId="77777777" w:rsidR="000B7F50" w:rsidRDefault="000B7F50" w:rsidP="00335A55">
      <w:pPr>
        <w:pStyle w:val="ListParagraph"/>
        <w:widowControl w:val="0"/>
        <w:autoSpaceDE w:val="0"/>
        <w:autoSpaceDN w:val="0"/>
        <w:adjustRightInd w:val="0"/>
        <w:spacing w:after="0" w:line="240" w:lineRule="auto"/>
        <w:ind w:left="0"/>
        <w:rPr>
          <w:rFonts w:ascii="Book Antiqua" w:hAnsi="Book Antiqua"/>
          <w:b/>
          <w:color w:val="000000"/>
          <w:u w:val="single"/>
          <w:lang w:val="en-GB"/>
        </w:rPr>
      </w:pPr>
    </w:p>
    <w:p w14:paraId="6D826982" w14:textId="77777777" w:rsidR="00FF7C45" w:rsidRPr="00E3232D" w:rsidRDefault="007005B1" w:rsidP="00335A55">
      <w:pPr>
        <w:spacing w:after="0"/>
        <w:jc w:val="center"/>
        <w:rPr>
          <w:rFonts w:ascii="Book Antiqua" w:hAnsi="Book Antiqua"/>
          <w:b/>
          <w:i/>
          <w:color w:val="000000"/>
          <w:lang w:val="en-GB"/>
        </w:rPr>
      </w:pPr>
      <w:r>
        <w:rPr>
          <w:rFonts w:ascii="Book Antiqua" w:hAnsi="Book Antiqua"/>
          <w:b/>
          <w:i/>
          <w:noProof/>
          <w:color w:val="000000"/>
          <w:lang w:bidi="ar-SA"/>
        </w:rPr>
        <w:drawing>
          <wp:inline distT="0" distB="0" distL="0" distR="0" wp14:anchorId="370F4D7A" wp14:editId="611C1B4F">
            <wp:extent cx="2703069" cy="1651249"/>
            <wp:effectExtent l="12183" t="6101" r="8898" b="0"/>
            <wp:docPr id="33"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F1697AA" w14:textId="77777777" w:rsidR="00FF7C45" w:rsidRPr="00E3232D" w:rsidRDefault="00FF7C45" w:rsidP="008275E1">
      <w:pPr>
        <w:jc w:val="center"/>
        <w:rPr>
          <w:rFonts w:ascii="Book Antiqua" w:hAnsi="Book Antiqua"/>
          <w:b/>
          <w:noProof/>
          <w:lang w:val="en-GB" w:eastAsia="en-GB"/>
        </w:rPr>
      </w:pPr>
      <w:r w:rsidRPr="00E3232D">
        <w:rPr>
          <w:rFonts w:ascii="Book Antiqua" w:hAnsi="Book Antiqua"/>
          <w:b/>
          <w:noProof/>
          <w:lang w:val="en-GB" w:eastAsia="en-GB"/>
        </w:rPr>
        <w:t>Source: Present Research Work, 2012</w:t>
      </w:r>
    </w:p>
    <w:p w14:paraId="60C51CE9" w14:textId="77777777" w:rsidR="00335A55" w:rsidRPr="00E3232D" w:rsidRDefault="00335A55" w:rsidP="00335A55">
      <w:pPr>
        <w:pStyle w:val="ListParagraph"/>
        <w:widowControl w:val="0"/>
        <w:autoSpaceDE w:val="0"/>
        <w:autoSpaceDN w:val="0"/>
        <w:adjustRightInd w:val="0"/>
        <w:ind w:left="0"/>
        <w:rPr>
          <w:rFonts w:ascii="Book Antiqua" w:hAnsi="Book Antiqua"/>
          <w:b/>
          <w:color w:val="000000"/>
          <w:lang w:val="en-GB"/>
        </w:rPr>
      </w:pPr>
      <w:r w:rsidRPr="00E3232D">
        <w:rPr>
          <w:rFonts w:ascii="Book Antiqua" w:hAnsi="Book Antiqua"/>
          <w:b/>
          <w:color w:val="000000"/>
          <w:u w:val="single"/>
          <w:lang w:val="en-GB"/>
        </w:rPr>
        <w:t>Figure 4</w:t>
      </w:r>
      <w:r w:rsidRPr="00E3232D">
        <w:rPr>
          <w:rFonts w:ascii="Book Antiqua" w:hAnsi="Book Antiqua"/>
          <w:b/>
          <w:color w:val="000000"/>
          <w:lang w:val="en-GB"/>
        </w:rPr>
        <w:t>: Admission of existence of complaint mechanism by the banks</w:t>
      </w:r>
    </w:p>
    <w:p w14:paraId="04F313C7" w14:textId="77777777" w:rsidR="00FF7C45" w:rsidRPr="00E3232D" w:rsidRDefault="00FF7C45" w:rsidP="00040257">
      <w:pPr>
        <w:spacing w:after="0"/>
        <w:jc w:val="both"/>
        <w:rPr>
          <w:rFonts w:ascii="Book Antiqua" w:hAnsi="Book Antiqua"/>
          <w:lang w:val="en-GB"/>
        </w:rPr>
      </w:pPr>
      <w:r w:rsidRPr="00E3232D">
        <w:rPr>
          <w:rFonts w:ascii="Book Antiqua" w:hAnsi="Book Antiqua"/>
          <w:lang w:val="en-GB"/>
        </w:rPr>
        <w:t>This figure above indicates the admittance by both management and customer respondents to tune of 100% and 95% respectively. This clears the doubt on the availability of mechanism to seek redress in term of failure of a service or ill-treatment.</w:t>
      </w:r>
    </w:p>
    <w:p w14:paraId="7C4A79CE" w14:textId="77777777" w:rsidR="00B44C03" w:rsidRDefault="00B44C03" w:rsidP="00B44C03">
      <w:pPr>
        <w:spacing w:after="0"/>
        <w:rPr>
          <w:rFonts w:ascii="Book Antiqua" w:hAnsi="Book Antiqua"/>
          <w:b/>
          <w:u w:val="single"/>
          <w:lang w:val="en-GB"/>
        </w:rPr>
      </w:pPr>
    </w:p>
    <w:p w14:paraId="502FBCBC" w14:textId="77777777" w:rsidR="00FF7C45" w:rsidRPr="00E3232D" w:rsidRDefault="007005B1" w:rsidP="00335A55">
      <w:pPr>
        <w:pStyle w:val="ListParagraph"/>
        <w:widowControl w:val="0"/>
        <w:autoSpaceDE w:val="0"/>
        <w:autoSpaceDN w:val="0"/>
        <w:adjustRightInd w:val="0"/>
        <w:spacing w:after="0"/>
        <w:ind w:left="0"/>
        <w:jc w:val="center"/>
        <w:rPr>
          <w:rFonts w:ascii="Book Antiqua" w:hAnsi="Book Antiqua"/>
          <w:b/>
          <w:i/>
          <w:color w:val="000000"/>
          <w:lang w:val="en-GB"/>
        </w:rPr>
      </w:pPr>
      <w:r>
        <w:rPr>
          <w:rFonts w:ascii="Book Antiqua" w:hAnsi="Book Antiqua"/>
          <w:b/>
          <w:i/>
          <w:noProof/>
          <w:color w:val="000000"/>
          <w:lang w:bidi="ar-SA"/>
        </w:rPr>
        <w:drawing>
          <wp:inline distT="0" distB="0" distL="0" distR="0" wp14:anchorId="0E508550" wp14:editId="4216F8D9">
            <wp:extent cx="2706559" cy="1457905"/>
            <wp:effectExtent l="12183" t="6099" r="5408" b="2846"/>
            <wp:docPr id="34"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2685D86" w14:textId="77777777" w:rsidR="00FF7C45" w:rsidRPr="00E3232D" w:rsidRDefault="00FF7C45" w:rsidP="008275E1">
      <w:pPr>
        <w:jc w:val="center"/>
        <w:rPr>
          <w:rFonts w:ascii="Book Antiqua" w:hAnsi="Book Antiqua"/>
          <w:b/>
          <w:noProof/>
          <w:lang w:val="en-GB" w:eastAsia="en-GB"/>
        </w:rPr>
      </w:pPr>
      <w:r w:rsidRPr="00E3232D">
        <w:rPr>
          <w:rFonts w:ascii="Book Antiqua" w:hAnsi="Book Antiqua"/>
          <w:b/>
          <w:noProof/>
          <w:lang w:val="en-GB" w:eastAsia="en-GB"/>
        </w:rPr>
        <w:t>Source: Present Research Work, 2012</w:t>
      </w:r>
    </w:p>
    <w:p w14:paraId="08D8C6BC" w14:textId="77777777" w:rsidR="00335A55" w:rsidRPr="00E3232D" w:rsidRDefault="00335A55" w:rsidP="00335A55">
      <w:pPr>
        <w:spacing w:after="0"/>
        <w:rPr>
          <w:rFonts w:ascii="Book Antiqua" w:hAnsi="Book Antiqua"/>
          <w:b/>
          <w:lang w:val="en-GB"/>
        </w:rPr>
      </w:pPr>
      <w:r w:rsidRPr="00E3232D">
        <w:rPr>
          <w:rFonts w:ascii="Book Antiqua" w:hAnsi="Book Antiqua"/>
          <w:b/>
          <w:u w:val="single"/>
          <w:lang w:val="en-GB"/>
        </w:rPr>
        <w:t>Figure 5</w:t>
      </w:r>
      <w:r w:rsidRPr="00E3232D">
        <w:rPr>
          <w:rFonts w:ascii="Book Antiqua" w:hAnsi="Book Antiqua"/>
          <w:b/>
          <w:lang w:val="en-GB"/>
        </w:rPr>
        <w:t>: Customers complaint types corroborated by management</w:t>
      </w:r>
    </w:p>
    <w:p w14:paraId="7F4CC0BB" w14:textId="77777777" w:rsidR="00335A55" w:rsidRDefault="00335A55" w:rsidP="00335A55">
      <w:pPr>
        <w:spacing w:after="0"/>
        <w:jc w:val="both"/>
        <w:rPr>
          <w:rFonts w:ascii="Book Antiqua" w:hAnsi="Book Antiqua"/>
          <w:lang w:val="en-GB"/>
        </w:rPr>
      </w:pPr>
    </w:p>
    <w:p w14:paraId="3E8ACD1B" w14:textId="77777777" w:rsidR="00FF7C45" w:rsidRPr="00E3232D" w:rsidRDefault="00FF7C45" w:rsidP="00040257">
      <w:pPr>
        <w:jc w:val="both"/>
        <w:rPr>
          <w:rFonts w:ascii="Book Antiqua" w:hAnsi="Book Antiqua"/>
          <w:lang w:val="en-GB"/>
        </w:rPr>
      </w:pPr>
      <w:r w:rsidRPr="00E3232D">
        <w:rPr>
          <w:rFonts w:ascii="Book Antiqua" w:hAnsi="Book Antiqua"/>
          <w:lang w:val="en-GB"/>
        </w:rPr>
        <w:t xml:space="preserve">From this diagram, 8 management against 11 customers give evidence on complaint about the rude attitude of Tellers, 10 against 32 provide evidence on longer waiting as well as inadequate seats for </w:t>
      </w:r>
      <w:r w:rsidRPr="00E3232D">
        <w:rPr>
          <w:rFonts w:ascii="Book Antiqua" w:hAnsi="Book Antiqua"/>
          <w:lang w:val="en-GB"/>
        </w:rPr>
        <w:t>customers whiles packing space attracts the lowest complaint. This evidences gives credence to the existence of customer complaint system being in place.</w:t>
      </w:r>
    </w:p>
    <w:p w14:paraId="6DEB525B" w14:textId="77777777" w:rsidR="00FF7C45" w:rsidRPr="00E3232D" w:rsidRDefault="007005B1" w:rsidP="00335A55">
      <w:pPr>
        <w:spacing w:after="0"/>
        <w:jc w:val="center"/>
        <w:rPr>
          <w:rFonts w:ascii="Book Antiqua" w:hAnsi="Book Antiqua"/>
          <w:b/>
          <w:lang w:val="en-GB"/>
        </w:rPr>
      </w:pPr>
      <w:r>
        <w:rPr>
          <w:rFonts w:ascii="Book Antiqua" w:hAnsi="Book Antiqua"/>
          <w:b/>
          <w:noProof/>
          <w:lang w:bidi="ar-SA"/>
        </w:rPr>
        <w:drawing>
          <wp:inline distT="0" distB="0" distL="0" distR="0" wp14:anchorId="06556BCF" wp14:editId="1615A8E9">
            <wp:extent cx="2751169" cy="1632206"/>
            <wp:effectExtent l="12167" t="6094" r="8439" b="0"/>
            <wp:docPr id="35"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7C36D2F" w14:textId="77777777" w:rsidR="00FF7C45" w:rsidRPr="00E3232D" w:rsidRDefault="00FF7C45" w:rsidP="008275E1">
      <w:pPr>
        <w:jc w:val="center"/>
        <w:rPr>
          <w:rFonts w:ascii="Book Antiqua" w:hAnsi="Book Antiqua"/>
          <w:b/>
          <w:lang w:val="en-GB"/>
        </w:rPr>
      </w:pPr>
      <w:r w:rsidRPr="00E3232D">
        <w:rPr>
          <w:rFonts w:ascii="Book Antiqua" w:hAnsi="Book Antiqua"/>
          <w:b/>
          <w:noProof/>
          <w:lang w:val="en-GB" w:eastAsia="en-GB"/>
        </w:rPr>
        <w:t>Source: Present Research Work, 2012</w:t>
      </w:r>
    </w:p>
    <w:p w14:paraId="1F40954B" w14:textId="77777777" w:rsidR="00335A55" w:rsidRPr="00E3232D" w:rsidRDefault="00335A55" w:rsidP="00335A55">
      <w:pPr>
        <w:rPr>
          <w:rFonts w:ascii="Book Antiqua" w:hAnsi="Book Antiqua"/>
          <w:b/>
          <w:lang w:val="en-GB"/>
        </w:rPr>
      </w:pPr>
      <w:r w:rsidRPr="00E3232D">
        <w:rPr>
          <w:rFonts w:ascii="Book Antiqua" w:hAnsi="Book Antiqua"/>
          <w:b/>
          <w:u w:val="single"/>
          <w:lang w:val="en-GB"/>
        </w:rPr>
        <w:t>Figure 6</w:t>
      </w:r>
      <w:r w:rsidRPr="00E3232D">
        <w:rPr>
          <w:rFonts w:ascii="Book Antiqua" w:hAnsi="Book Antiqua"/>
          <w:b/>
          <w:lang w:val="en-GB"/>
        </w:rPr>
        <w:t>: Nature of Complaint Resolution</w:t>
      </w:r>
    </w:p>
    <w:p w14:paraId="0BAC2369" w14:textId="77777777" w:rsidR="000B7F50" w:rsidRPr="00FC0562" w:rsidRDefault="00FF7C45" w:rsidP="00FC0562">
      <w:pPr>
        <w:jc w:val="both"/>
        <w:rPr>
          <w:rFonts w:ascii="Book Antiqua" w:hAnsi="Book Antiqua"/>
          <w:lang w:val="en-GB" w:eastAsia="en-GB"/>
        </w:rPr>
      </w:pPr>
      <w:r w:rsidRPr="00E3232D">
        <w:rPr>
          <w:rFonts w:ascii="Book Antiqua" w:hAnsi="Book Antiqua"/>
          <w:lang w:val="en-GB"/>
        </w:rPr>
        <w:t xml:space="preserve">From the figure above, 80% and 32.5% of the respondents rated focusing on the customer as one of the mechanisms used by the bank to resolve complaints. Instant resolution also has a very high rating perhaps the most used mechanism with two others depending on the nature of the complaint. A management respondent in an open-ended question wrote that they </w:t>
      </w:r>
      <w:r w:rsidRPr="00E3232D">
        <w:rPr>
          <w:rFonts w:ascii="Book Antiqua" w:hAnsi="Book Antiqua"/>
          <w:lang w:val="en-GB" w:eastAsia="en-GB"/>
        </w:rPr>
        <w:t xml:space="preserve">find out about customer dissatisfaction through two mechanisms: Voice and Exit. The use of “voice” in this case represents complaints, that is, the voice of the customer. “Exit” refers to when the customer stops buying or using the services. </w:t>
      </w:r>
    </w:p>
    <w:p w14:paraId="65D7195B" w14:textId="77777777" w:rsidR="000B3274" w:rsidRDefault="000B3274" w:rsidP="008275E1">
      <w:pPr>
        <w:rPr>
          <w:rFonts w:ascii="Book Antiqua" w:hAnsi="Book Antiqua"/>
          <w:b/>
          <w:noProof/>
          <w:u w:val="single"/>
          <w:lang w:val="en-GB" w:eastAsia="en-GB"/>
        </w:rPr>
      </w:pPr>
    </w:p>
    <w:p w14:paraId="07F4AA54" w14:textId="77777777" w:rsidR="000B3274" w:rsidRDefault="000B3274" w:rsidP="008275E1">
      <w:pPr>
        <w:rPr>
          <w:rFonts w:ascii="Book Antiqua" w:hAnsi="Book Antiqua"/>
          <w:b/>
          <w:noProof/>
          <w:u w:val="single"/>
          <w:lang w:val="en-GB" w:eastAsia="en-GB"/>
        </w:rPr>
      </w:pPr>
    </w:p>
    <w:p w14:paraId="50370C11" w14:textId="77777777" w:rsidR="000B3274" w:rsidRDefault="000B3274" w:rsidP="008275E1">
      <w:pPr>
        <w:rPr>
          <w:rFonts w:ascii="Book Antiqua" w:hAnsi="Book Antiqua"/>
          <w:b/>
          <w:noProof/>
          <w:u w:val="single"/>
          <w:lang w:val="en-GB" w:eastAsia="en-GB"/>
        </w:rPr>
      </w:pPr>
    </w:p>
    <w:p w14:paraId="6AD6C0D0" w14:textId="77777777" w:rsidR="00FF7C45" w:rsidRPr="00E3232D" w:rsidRDefault="007005B1" w:rsidP="008275E1">
      <w:pPr>
        <w:jc w:val="center"/>
        <w:rPr>
          <w:rFonts w:ascii="Book Antiqua" w:hAnsi="Book Antiqua"/>
          <w:lang w:val="en-GB"/>
        </w:rPr>
      </w:pPr>
      <w:r>
        <w:rPr>
          <w:rFonts w:ascii="Book Antiqua" w:hAnsi="Book Antiqua"/>
          <w:noProof/>
          <w:lang w:bidi="ar-SA"/>
        </w:rPr>
        <w:lastRenderedPageBreak/>
        <w:drawing>
          <wp:inline distT="0" distB="0" distL="0" distR="0" wp14:anchorId="57FDBBC6" wp14:editId="3C197F8F">
            <wp:extent cx="2656742" cy="1487952"/>
            <wp:effectExtent l="12204" t="6073" r="7579" b="1400"/>
            <wp:docPr id="36"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BAFE732" w14:textId="77777777" w:rsidR="000B3274" w:rsidRPr="00E3232D" w:rsidRDefault="00FF7C45" w:rsidP="000B3274">
      <w:pPr>
        <w:spacing w:after="0"/>
        <w:rPr>
          <w:rFonts w:ascii="Book Antiqua" w:hAnsi="Book Antiqua"/>
          <w:b/>
          <w:noProof/>
          <w:lang w:val="en-GB" w:eastAsia="en-GB"/>
        </w:rPr>
      </w:pPr>
      <w:r w:rsidRPr="00E3232D">
        <w:rPr>
          <w:rFonts w:ascii="Book Antiqua" w:hAnsi="Book Antiqua"/>
          <w:b/>
          <w:noProof/>
          <w:lang w:val="en-GB" w:eastAsia="en-GB"/>
        </w:rPr>
        <w:t>Source: Present Research Work, 2012</w:t>
      </w:r>
      <w:r w:rsidR="000B3274" w:rsidRPr="000B3274">
        <w:rPr>
          <w:rFonts w:ascii="Book Antiqua" w:hAnsi="Book Antiqua"/>
          <w:b/>
          <w:noProof/>
          <w:u w:val="single"/>
          <w:lang w:val="en-GB" w:eastAsia="en-GB"/>
        </w:rPr>
        <w:t xml:space="preserve"> </w:t>
      </w:r>
      <w:r w:rsidR="000B3274" w:rsidRPr="00E3232D">
        <w:rPr>
          <w:rFonts w:ascii="Book Antiqua" w:hAnsi="Book Antiqua"/>
          <w:b/>
          <w:noProof/>
          <w:u w:val="single"/>
          <w:lang w:val="en-GB" w:eastAsia="en-GB"/>
        </w:rPr>
        <w:t>Figure 7</w:t>
      </w:r>
      <w:r w:rsidR="000B3274" w:rsidRPr="00E3232D">
        <w:rPr>
          <w:rFonts w:ascii="Book Antiqua" w:hAnsi="Book Antiqua"/>
          <w:b/>
          <w:noProof/>
          <w:lang w:val="en-GB" w:eastAsia="en-GB"/>
        </w:rPr>
        <w:t>: Ratig of levels of satisfaction about how complaints were resolved</w:t>
      </w:r>
    </w:p>
    <w:p w14:paraId="364537EA" w14:textId="77777777" w:rsidR="00FF7C45" w:rsidRPr="00E3232D" w:rsidRDefault="00FF7C45" w:rsidP="008275E1">
      <w:pPr>
        <w:jc w:val="center"/>
        <w:rPr>
          <w:rFonts w:ascii="Book Antiqua" w:hAnsi="Book Antiqua"/>
          <w:b/>
          <w:lang w:val="en-GB"/>
        </w:rPr>
      </w:pPr>
    </w:p>
    <w:p w14:paraId="187EE22E" w14:textId="77777777" w:rsidR="00FF7C45" w:rsidRPr="00E3232D" w:rsidRDefault="00FF7C45" w:rsidP="00040257">
      <w:pPr>
        <w:jc w:val="both"/>
        <w:rPr>
          <w:rFonts w:ascii="Book Antiqua" w:hAnsi="Book Antiqua"/>
          <w:lang w:val="en-GB"/>
        </w:rPr>
      </w:pPr>
      <w:r w:rsidRPr="00E3232D">
        <w:rPr>
          <w:rFonts w:ascii="Book Antiqua" w:hAnsi="Book Antiqua"/>
          <w:lang w:val="en-GB"/>
        </w:rPr>
        <w:t xml:space="preserve">In this above diagram, 27.5% against 20% of the management/customers respondents respectively rate how customer complaints were resolved to be very good. Interestingly, 60% of management respondents viewed their own action in resolving problems as being excellent whereas only 7.5% of customer respondents consider it as being excellent. Since the customers are the complainants, their view in terms of satisfaction with the process is paramount and significant to this study. </w:t>
      </w:r>
    </w:p>
    <w:p w14:paraId="56B7ADD7" w14:textId="77777777" w:rsidR="00FC0562" w:rsidRDefault="00FC0562" w:rsidP="00040257">
      <w:pPr>
        <w:pStyle w:val="ListParagraph"/>
        <w:widowControl w:val="0"/>
        <w:autoSpaceDE w:val="0"/>
        <w:autoSpaceDN w:val="0"/>
        <w:adjustRightInd w:val="0"/>
        <w:ind w:left="0"/>
        <w:jc w:val="both"/>
        <w:rPr>
          <w:rFonts w:ascii="Book Antiqua" w:hAnsi="Book Antiqua"/>
          <w:b/>
          <w:color w:val="000000"/>
          <w:lang w:val="en-GB"/>
        </w:rPr>
      </w:pPr>
    </w:p>
    <w:p w14:paraId="5F94F49C" w14:textId="77777777" w:rsidR="00FF7C45" w:rsidRPr="00E3232D" w:rsidRDefault="00FF7C45" w:rsidP="00FC0562">
      <w:pPr>
        <w:pStyle w:val="ListParagraph"/>
        <w:widowControl w:val="0"/>
        <w:autoSpaceDE w:val="0"/>
        <w:autoSpaceDN w:val="0"/>
        <w:adjustRightInd w:val="0"/>
        <w:ind w:left="0"/>
        <w:jc w:val="both"/>
        <w:rPr>
          <w:rFonts w:ascii="Book Antiqua" w:hAnsi="Book Antiqua"/>
          <w:b/>
          <w:color w:val="000000"/>
          <w:lang w:val="en-GB"/>
        </w:rPr>
      </w:pPr>
      <w:r w:rsidRPr="00E3232D">
        <w:rPr>
          <w:rFonts w:ascii="Book Antiqua" w:hAnsi="Book Antiqua"/>
          <w:b/>
          <w:color w:val="000000"/>
          <w:lang w:val="en-GB"/>
        </w:rPr>
        <w:t>3.3 Customer Service’s Effect on Customer Attraction and Retention</w:t>
      </w:r>
    </w:p>
    <w:p w14:paraId="7078E6E6" w14:textId="77777777" w:rsidR="000B7F50" w:rsidRPr="00FC0562" w:rsidRDefault="00FF7C45" w:rsidP="00FC0562">
      <w:pPr>
        <w:jc w:val="both"/>
        <w:rPr>
          <w:rFonts w:ascii="Book Antiqua" w:hAnsi="Book Antiqua"/>
          <w:lang w:val="en-GB"/>
        </w:rPr>
      </w:pPr>
      <w:r w:rsidRPr="00E3232D">
        <w:rPr>
          <w:rFonts w:ascii="Book Antiqua" w:hAnsi="Book Antiqua"/>
          <w:lang w:val="en-GB"/>
        </w:rPr>
        <w:t xml:space="preserve">The favourable ratings and pieces of evidence of improving customer service delivery necessitate finding out the banks' stakes on customer attraction and retention. The results are depicted below. </w:t>
      </w:r>
    </w:p>
    <w:p w14:paraId="693F0AC6" w14:textId="77777777" w:rsidR="00FF7C45" w:rsidRPr="00E3232D" w:rsidRDefault="007005B1" w:rsidP="008A06FE">
      <w:pPr>
        <w:spacing w:after="0"/>
        <w:jc w:val="center"/>
        <w:rPr>
          <w:rFonts w:ascii="Book Antiqua" w:hAnsi="Book Antiqua"/>
          <w:noProof/>
          <w:lang w:val="en-GB" w:eastAsia="en-GB"/>
        </w:rPr>
      </w:pPr>
      <w:r>
        <w:rPr>
          <w:rFonts w:ascii="Book Antiqua" w:hAnsi="Book Antiqua"/>
          <w:noProof/>
          <w:lang w:bidi="ar-SA"/>
        </w:rPr>
        <w:drawing>
          <wp:inline distT="0" distB="0" distL="0" distR="0" wp14:anchorId="393F689E" wp14:editId="509D3CCE">
            <wp:extent cx="2669659" cy="1421793"/>
            <wp:effectExtent l="12206" t="6082" r="4185" b="875"/>
            <wp:docPr id="37"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28D4CA2" w14:textId="77777777" w:rsidR="00FF7C45" w:rsidRPr="00E3232D" w:rsidRDefault="00FF7C45" w:rsidP="008275E1">
      <w:pPr>
        <w:jc w:val="center"/>
        <w:rPr>
          <w:rFonts w:ascii="Book Antiqua" w:hAnsi="Book Antiqua"/>
          <w:b/>
          <w:lang w:val="en-GB"/>
        </w:rPr>
      </w:pPr>
      <w:r w:rsidRPr="00E3232D">
        <w:rPr>
          <w:rFonts w:ascii="Book Antiqua" w:hAnsi="Book Antiqua"/>
          <w:b/>
          <w:noProof/>
          <w:lang w:val="en-GB" w:eastAsia="en-GB"/>
        </w:rPr>
        <w:t>Source: Present Research Work, 2012</w:t>
      </w:r>
    </w:p>
    <w:p w14:paraId="71C1C29B" w14:textId="77777777" w:rsidR="008A06FE" w:rsidRPr="00E3232D" w:rsidRDefault="008A06FE" w:rsidP="008A06FE">
      <w:pPr>
        <w:rPr>
          <w:rFonts w:ascii="Book Antiqua" w:hAnsi="Book Antiqua"/>
          <w:b/>
          <w:lang w:val="en-GB"/>
        </w:rPr>
      </w:pPr>
      <w:r w:rsidRPr="00E3232D">
        <w:rPr>
          <w:rFonts w:ascii="Book Antiqua" w:hAnsi="Book Antiqua"/>
          <w:b/>
          <w:u w:val="single"/>
          <w:lang w:val="en-GB"/>
        </w:rPr>
        <w:t>Figure 8</w:t>
      </w:r>
      <w:r w:rsidRPr="00E3232D">
        <w:rPr>
          <w:rFonts w:ascii="Book Antiqua" w:hAnsi="Book Antiqua"/>
          <w:b/>
          <w:lang w:val="en-GB"/>
        </w:rPr>
        <w:t>: The banks' customer service contributes to customer acquisition</w:t>
      </w:r>
    </w:p>
    <w:p w14:paraId="3153B9C2" w14:textId="77777777" w:rsidR="00DF261C" w:rsidRDefault="00DF261C" w:rsidP="00DF261C">
      <w:pPr>
        <w:spacing w:after="0"/>
        <w:rPr>
          <w:rFonts w:ascii="Book Antiqua" w:hAnsi="Book Antiqua"/>
          <w:lang w:val="en-GB"/>
        </w:rPr>
      </w:pPr>
    </w:p>
    <w:p w14:paraId="740A0E48" w14:textId="77777777" w:rsidR="00FF7C45" w:rsidRPr="00E3232D" w:rsidRDefault="00FF7C45" w:rsidP="00040257">
      <w:pPr>
        <w:spacing w:after="0"/>
        <w:jc w:val="both"/>
        <w:rPr>
          <w:rFonts w:ascii="Book Antiqua" w:hAnsi="Book Antiqua"/>
          <w:lang w:val="en-GB"/>
        </w:rPr>
      </w:pPr>
      <w:r w:rsidRPr="00E3232D">
        <w:rPr>
          <w:rFonts w:ascii="Book Antiqua" w:hAnsi="Book Antiqua"/>
          <w:lang w:val="en-GB"/>
        </w:rPr>
        <w:t>The figure above contains ranking of respondent’s opinion on customer attraction as a result of the customer service delivery within the banks. A total of 80% of the management respondents agreed either strongly or otherwise to the assertion of attracting new customers through provision of satisfied customer service to their existing customers. This management position was corroborated by the customer respondents among which 75% believed they lure new customers to their banks because they found their services to be effective.</w:t>
      </w:r>
    </w:p>
    <w:p w14:paraId="40D2D2F2" w14:textId="77777777" w:rsidR="00FC0562" w:rsidRDefault="00FC0562" w:rsidP="00B44C03">
      <w:pPr>
        <w:spacing w:after="0"/>
        <w:rPr>
          <w:rFonts w:ascii="Book Antiqua" w:hAnsi="Book Antiqua"/>
          <w:b/>
          <w:noProof/>
          <w:u w:val="single"/>
          <w:lang w:val="en-GB" w:eastAsia="en-GB"/>
        </w:rPr>
      </w:pPr>
    </w:p>
    <w:p w14:paraId="72F3723E" w14:textId="77777777" w:rsidR="00FF7C45" w:rsidRPr="00E3232D" w:rsidRDefault="007005B1" w:rsidP="008275E1">
      <w:pPr>
        <w:jc w:val="center"/>
        <w:rPr>
          <w:rFonts w:ascii="Book Antiqua" w:hAnsi="Book Antiqua"/>
          <w:lang w:val="en-GB"/>
        </w:rPr>
      </w:pPr>
      <w:r>
        <w:rPr>
          <w:rFonts w:ascii="Book Antiqua" w:hAnsi="Book Antiqua"/>
          <w:noProof/>
          <w:lang w:bidi="ar-SA"/>
        </w:rPr>
        <w:drawing>
          <wp:inline distT="0" distB="0" distL="0" distR="0" wp14:anchorId="3B3288A6" wp14:editId="1CB10BAB">
            <wp:extent cx="2617300" cy="1421793"/>
            <wp:effectExtent l="12186" t="6082" r="8939" b="875"/>
            <wp:docPr id="38"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07296AF" w14:textId="77777777" w:rsidR="00FF7C45" w:rsidRPr="00E3232D" w:rsidRDefault="00FF7C45" w:rsidP="008275E1">
      <w:pPr>
        <w:jc w:val="center"/>
        <w:rPr>
          <w:rFonts w:ascii="Book Antiqua" w:hAnsi="Book Antiqua"/>
          <w:b/>
          <w:lang w:val="en-GB"/>
        </w:rPr>
      </w:pPr>
      <w:r w:rsidRPr="00E3232D">
        <w:rPr>
          <w:rFonts w:ascii="Book Antiqua" w:hAnsi="Book Antiqua"/>
          <w:b/>
          <w:noProof/>
          <w:lang w:val="en-GB" w:eastAsia="en-GB"/>
        </w:rPr>
        <w:t>Source: Present Research Work, 2012</w:t>
      </w:r>
    </w:p>
    <w:p w14:paraId="470B6940" w14:textId="77777777" w:rsidR="008A06FE" w:rsidRPr="00E3232D" w:rsidRDefault="008A06FE" w:rsidP="008A06FE">
      <w:pPr>
        <w:spacing w:after="0"/>
        <w:rPr>
          <w:rFonts w:ascii="Book Antiqua" w:hAnsi="Book Antiqua"/>
          <w:b/>
          <w:noProof/>
          <w:lang w:val="en-GB" w:eastAsia="en-GB"/>
        </w:rPr>
      </w:pPr>
      <w:r w:rsidRPr="00E3232D">
        <w:rPr>
          <w:rFonts w:ascii="Book Antiqua" w:hAnsi="Book Antiqua"/>
          <w:b/>
          <w:noProof/>
          <w:u w:val="single"/>
          <w:lang w:val="en-GB" w:eastAsia="en-GB"/>
        </w:rPr>
        <w:t>Figure 9</w:t>
      </w:r>
      <w:r w:rsidRPr="00E3232D">
        <w:rPr>
          <w:rFonts w:ascii="Book Antiqua" w:hAnsi="Book Antiqua"/>
          <w:b/>
          <w:noProof/>
          <w:lang w:val="en-GB" w:eastAsia="en-GB"/>
        </w:rPr>
        <w:t xml:space="preserve"> : My bank's customer service contribute to customer retention</w:t>
      </w:r>
    </w:p>
    <w:p w14:paraId="1BD1A681" w14:textId="77777777" w:rsidR="00FF7C45" w:rsidRPr="00E3232D" w:rsidRDefault="00FF7C45" w:rsidP="00040257">
      <w:pPr>
        <w:jc w:val="both"/>
        <w:rPr>
          <w:rFonts w:ascii="Book Antiqua" w:hAnsi="Book Antiqua"/>
          <w:b/>
          <w:lang w:val="en-GB"/>
        </w:rPr>
      </w:pPr>
      <w:r w:rsidRPr="00E3232D">
        <w:rPr>
          <w:rFonts w:ascii="Book Antiqua" w:hAnsi="Book Antiqua"/>
          <w:lang w:val="en-GB"/>
        </w:rPr>
        <w:lastRenderedPageBreak/>
        <w:t>From the figure above, the entire 100% of the management respondents and 95% of the customer respondents agreed either strongly or otherwise to the statement that the banks’ customer service contribute to their customer retention. In this direction both respondents unanimously responded in a positive direction. The management respondents’ contribution is very critical here since they have access to information on customers. The very high rating of the customers also implied that they were satisfied and ready to stick to their banks.</w:t>
      </w:r>
      <w:r w:rsidRPr="00E3232D">
        <w:rPr>
          <w:rFonts w:ascii="Book Antiqua" w:hAnsi="Book Antiqua"/>
          <w:b/>
          <w:lang w:val="en-GB"/>
        </w:rPr>
        <w:t xml:space="preserve"> </w:t>
      </w:r>
    </w:p>
    <w:p w14:paraId="54ED512B" w14:textId="77777777" w:rsidR="00FF7C45" w:rsidRPr="00E3232D" w:rsidRDefault="007005B1" w:rsidP="00335A55">
      <w:pPr>
        <w:spacing w:after="0"/>
        <w:jc w:val="center"/>
        <w:rPr>
          <w:rFonts w:ascii="Book Antiqua" w:hAnsi="Book Antiqua"/>
          <w:noProof/>
          <w:lang w:val="en-GB" w:eastAsia="en-GB"/>
        </w:rPr>
      </w:pPr>
      <w:r>
        <w:rPr>
          <w:rFonts w:ascii="Book Antiqua" w:hAnsi="Book Antiqua"/>
          <w:noProof/>
          <w:lang w:bidi="ar-SA"/>
        </w:rPr>
        <w:drawing>
          <wp:inline distT="0" distB="0" distL="0" distR="0" wp14:anchorId="4F195DE9" wp14:editId="1B3495BA">
            <wp:extent cx="2649934" cy="1394104"/>
            <wp:effectExtent l="12198" t="6071" r="4868" b="0"/>
            <wp:docPr id="39"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F4FC234" w14:textId="77777777" w:rsidR="00FF7C45" w:rsidRPr="00E3232D" w:rsidRDefault="00FF7C45" w:rsidP="008275E1">
      <w:pPr>
        <w:jc w:val="center"/>
        <w:rPr>
          <w:rFonts w:ascii="Book Antiqua" w:hAnsi="Book Antiqua"/>
          <w:b/>
          <w:lang w:val="en-GB"/>
        </w:rPr>
      </w:pPr>
      <w:r w:rsidRPr="00E3232D">
        <w:rPr>
          <w:rFonts w:ascii="Book Antiqua" w:hAnsi="Book Antiqua"/>
          <w:b/>
          <w:noProof/>
          <w:lang w:val="en-GB" w:eastAsia="en-GB"/>
        </w:rPr>
        <w:t>Source: Present Research Work, 2012</w:t>
      </w:r>
    </w:p>
    <w:p w14:paraId="21DA07BB" w14:textId="77777777" w:rsidR="00335A55" w:rsidRDefault="00335A55" w:rsidP="00335A55">
      <w:pPr>
        <w:spacing w:after="0" w:line="240" w:lineRule="auto"/>
        <w:rPr>
          <w:rFonts w:ascii="Book Antiqua" w:hAnsi="Book Antiqua"/>
          <w:b/>
          <w:lang w:val="en-GB"/>
        </w:rPr>
      </w:pPr>
      <w:r>
        <w:rPr>
          <w:rFonts w:ascii="Book Antiqua" w:hAnsi="Book Antiqua"/>
          <w:b/>
          <w:u w:val="single"/>
          <w:lang w:val="en-GB"/>
        </w:rPr>
        <w:t>Figure</w:t>
      </w:r>
      <w:r w:rsidRPr="00E3232D">
        <w:rPr>
          <w:rFonts w:ascii="Book Antiqua" w:hAnsi="Book Antiqua"/>
          <w:b/>
          <w:u w:val="single"/>
          <w:lang w:val="en-GB"/>
        </w:rPr>
        <w:t>10</w:t>
      </w:r>
      <w:r w:rsidRPr="00E3232D">
        <w:rPr>
          <w:rFonts w:ascii="Book Antiqua" w:hAnsi="Book Antiqua"/>
          <w:b/>
          <w:lang w:val="en-GB"/>
        </w:rPr>
        <w:t>: Customer response on</w:t>
      </w:r>
    </w:p>
    <w:p w14:paraId="4467454F" w14:textId="77777777" w:rsidR="00335A55" w:rsidRPr="00E3232D" w:rsidRDefault="00335A55" w:rsidP="00335A55">
      <w:pPr>
        <w:spacing w:after="0" w:line="240" w:lineRule="auto"/>
        <w:jc w:val="center"/>
        <w:rPr>
          <w:rFonts w:ascii="Book Antiqua" w:hAnsi="Book Antiqua"/>
          <w:b/>
          <w:lang w:val="en-GB"/>
        </w:rPr>
      </w:pPr>
      <w:r w:rsidRPr="00E3232D">
        <w:rPr>
          <w:rFonts w:ascii="Book Antiqua" w:hAnsi="Book Antiqua"/>
          <w:b/>
          <w:lang w:val="en-GB"/>
        </w:rPr>
        <w:t>recommending their bank to friends</w:t>
      </w:r>
    </w:p>
    <w:p w14:paraId="48DAC044" w14:textId="77777777" w:rsidR="002C628F" w:rsidRDefault="002C628F" w:rsidP="008275E1">
      <w:pPr>
        <w:rPr>
          <w:rFonts w:ascii="Book Antiqua" w:hAnsi="Book Antiqua"/>
          <w:lang w:val="en-GB"/>
        </w:rPr>
      </w:pPr>
    </w:p>
    <w:p w14:paraId="0B0EBF02" w14:textId="77777777" w:rsidR="00FF7C45" w:rsidRPr="00FC0562" w:rsidRDefault="00FF7C45" w:rsidP="00040257">
      <w:pPr>
        <w:jc w:val="both"/>
        <w:rPr>
          <w:rFonts w:ascii="Book Antiqua" w:hAnsi="Book Antiqua"/>
          <w:lang w:val="en-GB"/>
        </w:rPr>
      </w:pPr>
      <w:r w:rsidRPr="00E3232D">
        <w:rPr>
          <w:rFonts w:ascii="Book Antiqua" w:hAnsi="Book Antiqua"/>
          <w:lang w:val="en-GB"/>
        </w:rPr>
        <w:t xml:space="preserve">This figure above presents respondents response on whether they would recommend their bank to other people or not. The result as depicted above shows that 92% of the customer respondents agreed in the affirmative that they are ever ready to recommend their bank to others as a result of its effective customer service. These findings go with the contribution of Payne (2008) that understanding the consumer leads to knowing the customer.  It involves making the effort to understand the customer’s needs.  It involves learning the </w:t>
      </w:r>
      <w:r w:rsidRPr="00E3232D">
        <w:rPr>
          <w:rFonts w:ascii="Book Antiqua" w:hAnsi="Book Antiqua"/>
          <w:lang w:val="en-GB"/>
        </w:rPr>
        <w:t xml:space="preserve">customer’s specific requirement, providing individualized attention, and recognizing the regular customers. </w:t>
      </w:r>
    </w:p>
    <w:p w14:paraId="4FC25C15" w14:textId="77777777" w:rsidR="00FF7C45" w:rsidRPr="00E3232D" w:rsidRDefault="00FF7C45" w:rsidP="00040257">
      <w:pPr>
        <w:jc w:val="both"/>
        <w:rPr>
          <w:rFonts w:ascii="Book Antiqua" w:hAnsi="Book Antiqua"/>
          <w:b/>
          <w:lang w:val="en-GB"/>
        </w:rPr>
      </w:pPr>
      <w:r w:rsidRPr="00E3232D">
        <w:rPr>
          <w:rFonts w:ascii="Book Antiqua" w:hAnsi="Book Antiqua"/>
          <w:b/>
          <w:lang w:val="en-GB"/>
        </w:rPr>
        <w:t>4.</w:t>
      </w:r>
      <w:r w:rsidR="00D704C5">
        <w:rPr>
          <w:rFonts w:ascii="Book Antiqua" w:hAnsi="Book Antiqua"/>
          <w:b/>
          <w:lang w:val="en-GB"/>
        </w:rPr>
        <w:t>0</w:t>
      </w:r>
      <w:r w:rsidRPr="00E3232D">
        <w:rPr>
          <w:rFonts w:ascii="Book Antiqua" w:hAnsi="Book Antiqua"/>
          <w:b/>
          <w:lang w:val="en-GB"/>
        </w:rPr>
        <w:t xml:space="preserve"> </w:t>
      </w:r>
      <w:r w:rsidRPr="00040257">
        <w:rPr>
          <w:rFonts w:ascii="Book Antiqua" w:hAnsi="Book Antiqua"/>
          <w:b/>
          <w:sz w:val="26"/>
          <w:lang w:val="en-GB"/>
        </w:rPr>
        <w:t>Conclusion</w:t>
      </w:r>
    </w:p>
    <w:p w14:paraId="6E537FD9" w14:textId="77777777" w:rsidR="00FF7C45" w:rsidRPr="00E3232D" w:rsidRDefault="00FF7C45" w:rsidP="00040257">
      <w:pPr>
        <w:jc w:val="both"/>
        <w:rPr>
          <w:rFonts w:ascii="Book Antiqua" w:hAnsi="Book Antiqua"/>
          <w:lang w:val="en-GB"/>
        </w:rPr>
      </w:pPr>
      <w:r w:rsidRPr="00E3232D">
        <w:rPr>
          <w:rFonts w:ascii="Book Antiqua" w:hAnsi="Book Antiqua"/>
          <w:lang w:val="en-GB"/>
        </w:rPr>
        <w:t xml:space="preserve">From the result and the analysis, for the factors that affect service, it was found out that over 60% of the customers are more concerned about the </w:t>
      </w:r>
      <w:r w:rsidRPr="00E3232D">
        <w:rPr>
          <w:rFonts w:ascii="Book Antiqua" w:hAnsi="Book Antiqua"/>
          <w:noProof/>
          <w:lang w:val="en-GB" w:eastAsia="en-GB"/>
        </w:rPr>
        <w:t>staffs’ ability to solve problem in the course of work, privacy for customers to discuss pertinent issues, and quick and efficient service provision among others.</w:t>
      </w:r>
      <w:r w:rsidRPr="00E3232D">
        <w:rPr>
          <w:rFonts w:ascii="Book Antiqua" w:hAnsi="Book Antiqua"/>
          <w:lang w:val="en-GB"/>
        </w:rPr>
        <w:t xml:space="preserve"> One reason to explain this phenomenon may be insufficient staff and the seemingly specialization in a particular activity syndrome. The survey also clears the doubt on the availability of mechanism to seek redress in term of failure. </w:t>
      </w:r>
    </w:p>
    <w:p w14:paraId="145C8918" w14:textId="77777777" w:rsidR="00DF261C" w:rsidRDefault="00FF7C45" w:rsidP="00040257">
      <w:pPr>
        <w:jc w:val="both"/>
        <w:rPr>
          <w:rFonts w:ascii="Book Antiqua" w:hAnsi="Book Antiqua"/>
          <w:lang w:val="en-GB"/>
        </w:rPr>
      </w:pPr>
      <w:r w:rsidRPr="00E3232D">
        <w:rPr>
          <w:rFonts w:ascii="Book Antiqua" w:hAnsi="Book Antiqua"/>
          <w:lang w:val="en-GB"/>
        </w:rPr>
        <w:t xml:space="preserve">The notable customer service concern of customers corroborated by management respondents was about rude attitude of tellers, followed by longer waiting as well as inadequate seats for customers whiles packing space attracts the lowest complaint. This evidence gives credence to the existence of customer complaint system and also found that customer complaints resolution was above being good. The study overwhelmingly found that their bank’s new customers are attracted and retained through provision of satisfied customer service. </w:t>
      </w:r>
    </w:p>
    <w:p w14:paraId="3D040881" w14:textId="77777777" w:rsidR="00FF7C45" w:rsidRPr="00E3232D" w:rsidRDefault="00FF7C45" w:rsidP="00040257">
      <w:pPr>
        <w:jc w:val="both"/>
        <w:rPr>
          <w:rFonts w:ascii="Book Antiqua" w:hAnsi="Book Antiqua"/>
          <w:lang w:val="en-GB"/>
        </w:rPr>
      </w:pPr>
      <w:r w:rsidRPr="00E3232D">
        <w:rPr>
          <w:rFonts w:ascii="Book Antiqua" w:hAnsi="Book Antiqua"/>
          <w:lang w:val="en-GB"/>
        </w:rPr>
        <w:t xml:space="preserve">Based on the findings, it is recommended that the banks should provided in-service training to their staff in all aspects of the bank’s work so that they can perform any function or task when a schedule officer is </w:t>
      </w:r>
      <w:r w:rsidRPr="00E3232D">
        <w:rPr>
          <w:rFonts w:ascii="Book Antiqua" w:hAnsi="Book Antiqua"/>
          <w:lang w:val="en-GB"/>
        </w:rPr>
        <w:lastRenderedPageBreak/>
        <w:t xml:space="preserve">absent. Also, offices should be partitioned to allow customers who visit the offices to discuss their problems freely and in private. </w:t>
      </w:r>
    </w:p>
    <w:p w14:paraId="5EC70BD6" w14:textId="77777777" w:rsidR="00FF7C45" w:rsidRPr="00E3232D" w:rsidRDefault="00FF7C45" w:rsidP="00040257">
      <w:pPr>
        <w:jc w:val="both"/>
        <w:rPr>
          <w:rFonts w:ascii="Book Antiqua" w:hAnsi="Book Antiqua"/>
          <w:lang w:val="en-GB"/>
        </w:rPr>
      </w:pPr>
      <w:r w:rsidRPr="00E3232D">
        <w:rPr>
          <w:rFonts w:ascii="Book Antiqua" w:hAnsi="Book Antiqua"/>
          <w:lang w:val="en-GB"/>
        </w:rPr>
        <w:t>In conclusion, it should be noted that customer service concerns are not matters of smiling and being friendly but doing what is expected at the right time. Customers who are happy with the services will spread the word (positive word-of-mouth). This helps the company to save time and money on advertising and other promotional activities to find new customers and persistently retain and establish ever-lasting relationship with its customers.</w:t>
      </w:r>
    </w:p>
    <w:p w14:paraId="151DFBD1" w14:textId="77777777" w:rsidR="00DF0AF5" w:rsidRDefault="00DF0AF5" w:rsidP="00040257">
      <w:pPr>
        <w:jc w:val="both"/>
        <w:rPr>
          <w:rFonts w:ascii="Book Antiqua" w:hAnsi="Book Antiqua"/>
          <w:b/>
          <w:lang w:val="en-GB"/>
        </w:rPr>
      </w:pPr>
    </w:p>
    <w:p w14:paraId="3A524A0E" w14:textId="77777777" w:rsidR="00B12C32" w:rsidRPr="00E3232D" w:rsidRDefault="00B12C32" w:rsidP="00040257">
      <w:pPr>
        <w:jc w:val="both"/>
        <w:rPr>
          <w:rFonts w:ascii="Book Antiqua" w:hAnsi="Book Antiqua"/>
          <w:b/>
          <w:lang w:val="en-GB"/>
        </w:rPr>
      </w:pPr>
      <w:r w:rsidRPr="00040257">
        <w:rPr>
          <w:rFonts w:ascii="Book Antiqua" w:hAnsi="Book Antiqua"/>
          <w:b/>
          <w:sz w:val="26"/>
          <w:lang w:val="en-GB"/>
        </w:rPr>
        <w:t>References</w:t>
      </w:r>
    </w:p>
    <w:p w14:paraId="01EFDFB8" w14:textId="77777777" w:rsidR="00B12C32" w:rsidRPr="00E3232D" w:rsidRDefault="00B12C32" w:rsidP="00040257">
      <w:pPr>
        <w:ind w:left="810" w:hanging="810"/>
        <w:jc w:val="both"/>
        <w:rPr>
          <w:rFonts w:ascii="Book Antiqua" w:hAnsi="Book Antiqua"/>
          <w:lang w:val="en-GB"/>
        </w:rPr>
      </w:pPr>
      <w:r w:rsidRPr="00E3232D">
        <w:rPr>
          <w:rFonts w:ascii="Book Antiqua" w:hAnsi="Book Antiqua"/>
          <w:lang w:val="en-GB"/>
        </w:rPr>
        <w:t>Ahmad, R.,and Buttle, F. (2001). Retaining business customers through adaptation and bonding.  Journal of Business and Industrial Marketing, Vol 16, (7) 553-573</w:t>
      </w:r>
    </w:p>
    <w:p w14:paraId="6A664725"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rPr>
        <w:t>Gronroos, C. (2007). Service Management and Marketing: Customer Management in Service Competition. (3</w:t>
      </w:r>
      <w:r w:rsidRPr="00E3232D">
        <w:rPr>
          <w:rFonts w:ascii="Book Antiqua" w:hAnsi="Book Antiqua"/>
          <w:vertAlign w:val="superscript"/>
        </w:rPr>
        <w:t>rd</w:t>
      </w:r>
      <w:r w:rsidRPr="00E3232D">
        <w:rPr>
          <w:rFonts w:ascii="Book Antiqua" w:hAnsi="Book Antiqua"/>
        </w:rPr>
        <w:t xml:space="preserve"> ed.) Chichester: John Wiley and Sons Ltd. </w:t>
      </w:r>
    </w:p>
    <w:p w14:paraId="70C44436"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lang w:val="en-GB"/>
        </w:rPr>
        <w:t xml:space="preserve">Gummeson, E. (2000). Quality Management of Service Organisation. New York: International Service Press. </w:t>
      </w:r>
    </w:p>
    <w:p w14:paraId="3479C06E"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lang w:val="en-GB"/>
        </w:rPr>
        <w:t xml:space="preserve">Hansemark C. and Albinsson M. (2004) Customer Satisfaction and Retention: the Experiences of </w:t>
      </w:r>
      <w:r w:rsidRPr="00E3232D">
        <w:rPr>
          <w:rFonts w:ascii="Book Antiqua" w:hAnsi="Book Antiqua"/>
          <w:lang w:val="en-GB"/>
        </w:rPr>
        <w:t xml:space="preserve">Individual Employees, Managing Service Quality. Vol. 14(1), 40 - 57 </w:t>
      </w:r>
    </w:p>
    <w:p w14:paraId="3DD81CB2"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rPr>
        <w:t xml:space="preserve">Harrell, G. D. and Frazier, G. L. (2007). Marketing: Connecting with Customers. New Jersey: Prentice Hall. </w:t>
      </w:r>
    </w:p>
    <w:p w14:paraId="26D19F40"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lang w:val="en-GB"/>
        </w:rPr>
        <w:t>Herington</w:t>
      </w:r>
      <w:r w:rsidRPr="00E3232D">
        <w:rPr>
          <w:rFonts w:ascii="Book Antiqua" w:hAnsi="Book Antiqua"/>
          <w:b/>
          <w:lang w:val="en-GB"/>
        </w:rPr>
        <w:t xml:space="preserve"> </w:t>
      </w:r>
      <w:r w:rsidRPr="00E3232D">
        <w:rPr>
          <w:rFonts w:ascii="Book Antiqua" w:hAnsi="Book Antiqua"/>
          <w:lang w:val="en-GB"/>
        </w:rPr>
        <w:t>C., Johnson LW, Scott D. (2006). Internal Relationships – Linking Practitioner Literature and Relationship Marketing Theory. European Business Review. 18(5): 364-381.</w:t>
      </w:r>
    </w:p>
    <w:p w14:paraId="52D711C5"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rPr>
        <w:t xml:space="preserve">Hinson R. (2004). Marketing of Services: A Managerial Perspective. Sedco-Longman. </w:t>
      </w:r>
    </w:p>
    <w:p w14:paraId="1FD1A343" w14:textId="77777777" w:rsidR="00B12C32" w:rsidRPr="00E3232D" w:rsidRDefault="00B12C32" w:rsidP="00040257">
      <w:pPr>
        <w:widowControl w:val="0"/>
        <w:tabs>
          <w:tab w:val="left" w:pos="1459"/>
        </w:tabs>
        <w:autoSpaceDE w:val="0"/>
        <w:autoSpaceDN w:val="0"/>
        <w:adjustRightInd w:val="0"/>
        <w:ind w:right="-46"/>
        <w:jc w:val="both"/>
        <w:rPr>
          <w:rFonts w:ascii="Book Antiqua" w:eastAsia="Arial Unicode MS" w:hAnsi="Book Antiqua"/>
        </w:rPr>
      </w:pPr>
      <w:r w:rsidRPr="00E3232D">
        <w:rPr>
          <w:rFonts w:ascii="Book Antiqua" w:hAnsi="Book Antiqua"/>
        </w:rPr>
        <w:t xml:space="preserve">Lovelock, C. H. (2007). Services Marketing. New Jersey: Prentice Hall. </w:t>
      </w:r>
    </w:p>
    <w:p w14:paraId="4870FC02"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eastAsia="Arial Unicode MS" w:hAnsi="Book Antiqua"/>
        </w:rPr>
        <w:t>Payne, A. (2008). Handbook of CRM: Achieving Excellence in Customer Management. U.K. Butterworth-Heinemann.</w:t>
      </w:r>
    </w:p>
    <w:p w14:paraId="3180BB2F"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lang w:val="en-GB"/>
        </w:rPr>
        <w:t xml:space="preserve">Parasuarman A. Berry, L. L. Zeithaml, V.A  (1991). Refinement and Reassessment of the SERVQUAL Scale, Journal of Retailing. 61- 67 (4) </w:t>
      </w:r>
    </w:p>
    <w:p w14:paraId="3299C77A" w14:textId="77777777" w:rsidR="00B12C32" w:rsidRPr="00E3232D" w:rsidRDefault="00B12C32" w:rsidP="00040257">
      <w:pPr>
        <w:widowControl w:val="0"/>
        <w:tabs>
          <w:tab w:val="left" w:pos="1459"/>
        </w:tabs>
        <w:autoSpaceDE w:val="0"/>
        <w:autoSpaceDN w:val="0"/>
        <w:adjustRightInd w:val="0"/>
        <w:ind w:right="-46"/>
        <w:jc w:val="both"/>
        <w:rPr>
          <w:rFonts w:ascii="Book Antiqua" w:eastAsia="Arial Unicode MS" w:hAnsi="Book Antiqua"/>
        </w:rPr>
      </w:pPr>
      <w:r w:rsidRPr="00E3232D">
        <w:rPr>
          <w:rFonts w:ascii="Book Antiqua" w:hAnsi="Book Antiqua"/>
          <w:lang w:val="en-GB"/>
        </w:rPr>
        <w:t>Palmer, A. (2005). Principles of Services Marketing. New Jersey: McGraw Hill. Pp 87</w:t>
      </w:r>
    </w:p>
    <w:p w14:paraId="50865F26"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color w:val="000000"/>
          <w:spacing w:val="-4"/>
        </w:rPr>
        <w:t xml:space="preserve">Saunders, M., Lewis, P. and Thornhill, A. (2007). </w:t>
      </w:r>
      <w:r w:rsidRPr="00E3232D">
        <w:rPr>
          <w:rFonts w:ascii="Book Antiqua" w:hAnsi="Book Antiqua"/>
          <w:iCs/>
          <w:color w:val="000000"/>
          <w:spacing w:val="-4"/>
        </w:rPr>
        <w:t xml:space="preserve">Research Methods for Business Students. </w:t>
      </w:r>
      <w:r w:rsidRPr="00E3232D">
        <w:rPr>
          <w:rFonts w:ascii="Book Antiqua" w:hAnsi="Book Antiqua"/>
          <w:color w:val="000000"/>
          <w:spacing w:val="-4"/>
        </w:rPr>
        <w:t xml:space="preserve">London: Prentice Hall. </w:t>
      </w:r>
    </w:p>
    <w:p w14:paraId="4DFD07C0"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color w:val="000000"/>
          <w:lang w:val="en-GB"/>
        </w:rPr>
        <w:t xml:space="preserve">Vargo, S.L &amp; Lusch, R.F (2006) Evolving to </w:t>
      </w:r>
      <w:r w:rsidRPr="00E3232D">
        <w:rPr>
          <w:rFonts w:ascii="Book Antiqua" w:hAnsi="Book Antiqua"/>
          <w:color w:val="000000"/>
          <w:lang w:val="en-GB"/>
        </w:rPr>
        <w:lastRenderedPageBreak/>
        <w:t>a New Dominant Logic of Marketing. Journal of Marketing, 68 (Jan), 1 - 17</w:t>
      </w:r>
      <w:r w:rsidRPr="00E3232D">
        <w:rPr>
          <w:rFonts w:ascii="Book Antiqua" w:eastAsia="Arial Unicode MS" w:hAnsi="Book Antiqua"/>
        </w:rPr>
        <w:t xml:space="preserve"> </w:t>
      </w:r>
    </w:p>
    <w:p w14:paraId="7F1F2D82"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eastAsia="Arial Unicode MS" w:hAnsi="Book Antiqua"/>
        </w:rPr>
      </w:pPr>
      <w:r w:rsidRPr="00E3232D">
        <w:rPr>
          <w:rFonts w:ascii="Book Antiqua" w:hAnsi="Book Antiqua"/>
          <w:color w:val="000000"/>
          <w:spacing w:val="-5"/>
        </w:rPr>
        <w:t>Wimmer, R. and Dominick, J. (2003) Mass Media Research: An Introduction. (7</w:t>
      </w:r>
      <w:r w:rsidRPr="00E3232D">
        <w:rPr>
          <w:rFonts w:ascii="Book Antiqua" w:hAnsi="Book Antiqua"/>
          <w:color w:val="000000"/>
          <w:spacing w:val="-5"/>
          <w:vertAlign w:val="superscript"/>
        </w:rPr>
        <w:t>th</w:t>
      </w:r>
      <w:r w:rsidRPr="00E3232D">
        <w:rPr>
          <w:rFonts w:ascii="Book Antiqua" w:hAnsi="Book Antiqua"/>
          <w:color w:val="000000"/>
          <w:spacing w:val="-5"/>
        </w:rPr>
        <w:t xml:space="preserve"> ed) London, Wadsworth Printing Company.</w:t>
      </w:r>
    </w:p>
    <w:p w14:paraId="6A21CF7B" w14:textId="77777777" w:rsidR="00B12C32" w:rsidRPr="00E3232D" w:rsidRDefault="00B12C32" w:rsidP="00040257">
      <w:pPr>
        <w:widowControl w:val="0"/>
        <w:tabs>
          <w:tab w:val="left" w:pos="1459"/>
        </w:tabs>
        <w:autoSpaceDE w:val="0"/>
        <w:autoSpaceDN w:val="0"/>
        <w:adjustRightInd w:val="0"/>
        <w:ind w:left="810" w:right="-46" w:hanging="810"/>
        <w:jc w:val="both"/>
        <w:rPr>
          <w:rFonts w:ascii="Book Antiqua" w:hAnsi="Book Antiqua"/>
        </w:rPr>
      </w:pPr>
      <w:r w:rsidRPr="00E3232D">
        <w:rPr>
          <w:rFonts w:ascii="Book Antiqua" w:hAnsi="Book Antiqua"/>
        </w:rPr>
        <w:t xml:space="preserve">Zeithaml V. A., and Binter, M.J (2003). </w:t>
      </w:r>
      <w:r w:rsidRPr="00E3232D">
        <w:rPr>
          <w:rFonts w:ascii="Book Antiqua" w:hAnsi="Book Antiqua"/>
        </w:rPr>
        <w:t>Services Marketing: Integrating Customer Focus Across the Firm. (3</w:t>
      </w:r>
      <w:r w:rsidRPr="00E3232D">
        <w:rPr>
          <w:rFonts w:ascii="Book Antiqua" w:hAnsi="Book Antiqua"/>
          <w:vertAlign w:val="superscript"/>
        </w:rPr>
        <w:t>rd</w:t>
      </w:r>
      <w:r w:rsidRPr="00E3232D">
        <w:rPr>
          <w:rFonts w:ascii="Book Antiqua" w:hAnsi="Book Antiqua"/>
        </w:rPr>
        <w:t xml:space="preserve"> edn.), New York: McGraw-Hill. </w:t>
      </w:r>
    </w:p>
    <w:p w14:paraId="2E219A3F" w14:textId="77777777" w:rsidR="00B12C32" w:rsidRPr="00E3232D" w:rsidRDefault="00850DC5" w:rsidP="00040257">
      <w:pPr>
        <w:jc w:val="both"/>
        <w:rPr>
          <w:rFonts w:ascii="Book Antiqua" w:hAnsi="Book Antiqua"/>
          <w:lang w:val="en-GB"/>
        </w:rPr>
      </w:pPr>
      <w:hyperlink r:id="rId83" w:history="1">
        <w:r w:rsidR="00B12C32" w:rsidRPr="00E3232D">
          <w:rPr>
            <w:rStyle w:val="Hyperlink"/>
            <w:rFonts w:ascii="Book Antiqua" w:hAnsi="Book Antiqua"/>
          </w:rPr>
          <w:t>www.</w:t>
        </w:r>
        <w:r w:rsidR="00B12C32" w:rsidRPr="00E3232D">
          <w:rPr>
            <w:rStyle w:val="Hyperlink"/>
            <w:rFonts w:ascii="Book Antiqua" w:hAnsi="Book Antiqua"/>
            <w:bCs/>
          </w:rPr>
          <w:t>ghanaweb</w:t>
        </w:r>
        <w:r w:rsidR="00B12C32" w:rsidRPr="00E3232D">
          <w:rPr>
            <w:rStyle w:val="Hyperlink"/>
            <w:rFonts w:ascii="Book Antiqua" w:hAnsi="Book Antiqua"/>
          </w:rPr>
          <w:t>.com</w:t>
        </w:r>
      </w:hyperlink>
      <w:r w:rsidR="00B12C32" w:rsidRPr="00E3232D">
        <w:rPr>
          <w:rStyle w:val="HTMLCite"/>
          <w:rFonts w:ascii="Book Antiqua" w:hAnsi="Book Antiqua"/>
          <w:i w:val="0"/>
        </w:rPr>
        <w:tab/>
      </w:r>
      <w:r w:rsidR="00B12C32" w:rsidRPr="00E3232D">
        <w:rPr>
          <w:rStyle w:val="HTMLCite"/>
          <w:rFonts w:ascii="Book Antiqua" w:hAnsi="Book Antiqua"/>
          <w:i w:val="0"/>
        </w:rPr>
        <w:tab/>
      </w:r>
      <w:r w:rsidR="00B12C32" w:rsidRPr="00E3232D">
        <w:rPr>
          <w:rStyle w:val="HTMLCite"/>
          <w:rFonts w:ascii="Book Antiqua" w:hAnsi="Book Antiqua"/>
          <w:i w:val="0"/>
        </w:rPr>
        <w:tab/>
      </w:r>
      <w:r w:rsidR="00B12C32" w:rsidRPr="00E3232D">
        <w:rPr>
          <w:rFonts w:ascii="Book Antiqua" w:hAnsi="Book Antiqua"/>
        </w:rPr>
        <w:t>Accessed on the 18/08/2012</w:t>
      </w:r>
    </w:p>
    <w:p w14:paraId="5A272054" w14:textId="77777777" w:rsidR="00451800" w:rsidRDefault="00850DC5" w:rsidP="00040257">
      <w:pPr>
        <w:jc w:val="both"/>
        <w:rPr>
          <w:rFonts w:ascii="Book Antiqua" w:hAnsi="Book Antiqua"/>
        </w:rPr>
        <w:sectPr w:rsidR="00451800" w:rsidSect="003B5519">
          <w:type w:val="continuous"/>
          <w:pgSz w:w="11907" w:h="16839" w:code="9"/>
          <w:pgMar w:top="1440" w:right="1440" w:bottom="1440" w:left="1440" w:header="720" w:footer="720" w:gutter="0"/>
          <w:cols w:num="2" w:space="720"/>
          <w:docGrid w:linePitch="360"/>
        </w:sectPr>
      </w:pPr>
      <w:hyperlink r:id="rId84" w:history="1">
        <w:r w:rsidR="00B12C32" w:rsidRPr="00E3232D">
          <w:rPr>
            <w:rStyle w:val="Hyperlink"/>
            <w:rFonts w:ascii="Book Antiqua" w:hAnsi="Book Antiqua"/>
          </w:rPr>
          <w:t>www.</w:t>
        </w:r>
        <w:r w:rsidR="00B12C32" w:rsidRPr="00E3232D">
          <w:rPr>
            <w:rStyle w:val="Hyperlink"/>
            <w:rFonts w:ascii="Book Antiqua" w:hAnsi="Book Antiqua"/>
            <w:bCs/>
          </w:rPr>
          <w:t>ghanabusinessnews</w:t>
        </w:r>
        <w:r w:rsidR="00B12C32" w:rsidRPr="00E3232D">
          <w:rPr>
            <w:rStyle w:val="Hyperlink"/>
            <w:rFonts w:ascii="Book Antiqua" w:hAnsi="Book Antiqua"/>
          </w:rPr>
          <w:t>.com</w:t>
        </w:r>
      </w:hyperlink>
      <w:r w:rsidR="00B12C32" w:rsidRPr="00E3232D">
        <w:rPr>
          <w:rStyle w:val="HTMLCite"/>
          <w:rFonts w:ascii="Book Antiqua" w:hAnsi="Book Antiqua"/>
          <w:i w:val="0"/>
        </w:rPr>
        <w:tab/>
      </w:r>
      <w:r w:rsidR="00655175" w:rsidRPr="00E3232D">
        <w:rPr>
          <w:rFonts w:ascii="Book Antiqua" w:hAnsi="Book Antiqua"/>
        </w:rPr>
        <w:t>Acces</w:t>
      </w:r>
    </w:p>
    <w:p w14:paraId="2A100E42" w14:textId="77777777" w:rsidR="00B12C32" w:rsidRPr="00E3232D" w:rsidRDefault="00655175" w:rsidP="00040257">
      <w:pPr>
        <w:jc w:val="both"/>
        <w:rPr>
          <w:rFonts w:ascii="Book Antiqua" w:hAnsi="Book Antiqua"/>
        </w:rPr>
        <w:sectPr w:rsidR="00B12C32" w:rsidRPr="00E3232D" w:rsidSect="003B5519">
          <w:type w:val="continuous"/>
          <w:pgSz w:w="11907" w:h="16839" w:code="9"/>
          <w:pgMar w:top="1440" w:right="1440" w:bottom="1440" w:left="1440" w:header="720" w:footer="720" w:gutter="0"/>
          <w:cols w:num="2" w:space="720"/>
          <w:docGrid w:linePitch="360"/>
        </w:sectPr>
      </w:pPr>
      <w:r w:rsidRPr="00E3232D">
        <w:rPr>
          <w:rFonts w:ascii="Book Antiqua" w:hAnsi="Book Antiqua"/>
        </w:rPr>
        <w:t>sed on the 15/09/201</w:t>
      </w:r>
    </w:p>
    <w:p w14:paraId="44FFC85A" w14:textId="77777777" w:rsidR="00297DD4" w:rsidRDefault="00297DD4" w:rsidP="00040257">
      <w:pPr>
        <w:jc w:val="both"/>
        <w:rPr>
          <w:rFonts w:ascii="Book Antiqua" w:hAnsi="Book Antiqua"/>
          <w:b/>
          <w:sz w:val="26"/>
          <w:szCs w:val="26"/>
        </w:rPr>
      </w:pPr>
    </w:p>
    <w:p w14:paraId="23B5FE63" w14:textId="77777777" w:rsidR="00DF261C" w:rsidRDefault="00DF261C" w:rsidP="00040257">
      <w:pPr>
        <w:jc w:val="both"/>
        <w:rPr>
          <w:rFonts w:ascii="Book Antiqua" w:hAnsi="Book Antiqua"/>
          <w:b/>
          <w:sz w:val="26"/>
          <w:szCs w:val="26"/>
        </w:rPr>
      </w:pPr>
    </w:p>
    <w:p w14:paraId="17ECDFB4" w14:textId="77777777" w:rsidR="00DF261C" w:rsidRDefault="00DF261C" w:rsidP="00040257">
      <w:pPr>
        <w:jc w:val="both"/>
        <w:rPr>
          <w:rFonts w:ascii="Book Antiqua" w:hAnsi="Book Antiqua"/>
          <w:b/>
          <w:sz w:val="26"/>
          <w:szCs w:val="26"/>
        </w:rPr>
      </w:pPr>
    </w:p>
    <w:p w14:paraId="754EB7A8" w14:textId="77777777" w:rsidR="00FC0562" w:rsidRDefault="00FC0562" w:rsidP="00040257">
      <w:pPr>
        <w:jc w:val="both"/>
        <w:rPr>
          <w:rFonts w:ascii="Book Antiqua" w:hAnsi="Book Antiqua"/>
          <w:b/>
          <w:sz w:val="26"/>
          <w:szCs w:val="26"/>
        </w:rPr>
      </w:pPr>
    </w:p>
    <w:p w14:paraId="67E89BDE" w14:textId="77777777" w:rsidR="00FC0562" w:rsidRDefault="00FC0562" w:rsidP="00040257">
      <w:pPr>
        <w:jc w:val="both"/>
        <w:rPr>
          <w:rFonts w:ascii="Book Antiqua" w:hAnsi="Book Antiqua"/>
          <w:b/>
          <w:sz w:val="26"/>
          <w:szCs w:val="26"/>
        </w:rPr>
      </w:pPr>
    </w:p>
    <w:p w14:paraId="61B08CF5" w14:textId="77777777" w:rsidR="00FC0562" w:rsidRDefault="00FC0562" w:rsidP="00040257">
      <w:pPr>
        <w:jc w:val="both"/>
        <w:rPr>
          <w:rFonts w:ascii="Book Antiqua" w:hAnsi="Book Antiqua"/>
          <w:b/>
          <w:sz w:val="26"/>
          <w:szCs w:val="26"/>
        </w:rPr>
      </w:pPr>
    </w:p>
    <w:p w14:paraId="4D1C6FC4" w14:textId="77777777" w:rsidR="00FC0562" w:rsidRDefault="00FC0562" w:rsidP="00040257">
      <w:pPr>
        <w:jc w:val="both"/>
        <w:rPr>
          <w:rFonts w:ascii="Book Antiqua" w:hAnsi="Book Antiqua"/>
          <w:b/>
          <w:sz w:val="26"/>
          <w:szCs w:val="26"/>
        </w:rPr>
      </w:pPr>
    </w:p>
    <w:p w14:paraId="56F88719" w14:textId="77777777" w:rsidR="00FC0562" w:rsidRDefault="00FC0562" w:rsidP="00040257">
      <w:pPr>
        <w:jc w:val="both"/>
        <w:rPr>
          <w:rFonts w:ascii="Book Antiqua" w:hAnsi="Book Antiqua"/>
          <w:b/>
          <w:sz w:val="26"/>
          <w:szCs w:val="26"/>
        </w:rPr>
      </w:pPr>
    </w:p>
    <w:p w14:paraId="17639C35" w14:textId="77777777" w:rsidR="00FC0562" w:rsidRDefault="00FC0562" w:rsidP="00040257">
      <w:pPr>
        <w:jc w:val="both"/>
        <w:rPr>
          <w:rFonts w:ascii="Book Antiqua" w:hAnsi="Book Antiqua"/>
          <w:b/>
          <w:sz w:val="26"/>
          <w:szCs w:val="26"/>
        </w:rPr>
      </w:pPr>
    </w:p>
    <w:p w14:paraId="636C53BA" w14:textId="77777777" w:rsidR="00FC0562" w:rsidRDefault="00FC0562" w:rsidP="00040257">
      <w:pPr>
        <w:jc w:val="both"/>
        <w:rPr>
          <w:rFonts w:ascii="Book Antiqua" w:hAnsi="Book Antiqua"/>
          <w:b/>
          <w:sz w:val="26"/>
          <w:szCs w:val="26"/>
        </w:rPr>
      </w:pPr>
    </w:p>
    <w:p w14:paraId="4DD4E26F" w14:textId="77777777" w:rsidR="00FC0562" w:rsidRDefault="00FC0562" w:rsidP="00040257">
      <w:pPr>
        <w:jc w:val="both"/>
        <w:rPr>
          <w:rFonts w:ascii="Book Antiqua" w:hAnsi="Book Antiqua"/>
          <w:b/>
          <w:sz w:val="26"/>
          <w:szCs w:val="26"/>
        </w:rPr>
      </w:pPr>
    </w:p>
    <w:p w14:paraId="7AFF8A52" w14:textId="77777777" w:rsidR="00FC0562" w:rsidRDefault="00FC0562" w:rsidP="00040257">
      <w:pPr>
        <w:jc w:val="both"/>
        <w:rPr>
          <w:rFonts w:ascii="Book Antiqua" w:hAnsi="Book Antiqua"/>
          <w:b/>
          <w:sz w:val="26"/>
          <w:szCs w:val="26"/>
        </w:rPr>
      </w:pPr>
    </w:p>
    <w:p w14:paraId="386A6F5D" w14:textId="77777777" w:rsidR="00335A55" w:rsidRDefault="00335A55" w:rsidP="00040257">
      <w:pPr>
        <w:jc w:val="both"/>
        <w:rPr>
          <w:rFonts w:ascii="Book Antiqua" w:hAnsi="Book Antiqua"/>
          <w:b/>
          <w:sz w:val="26"/>
          <w:szCs w:val="26"/>
        </w:rPr>
      </w:pPr>
    </w:p>
    <w:p w14:paraId="663F1B20" w14:textId="77777777" w:rsidR="00335A55" w:rsidRDefault="00335A55" w:rsidP="00040257">
      <w:pPr>
        <w:jc w:val="both"/>
        <w:rPr>
          <w:rFonts w:ascii="Book Antiqua" w:hAnsi="Book Antiqua"/>
          <w:b/>
          <w:sz w:val="26"/>
          <w:szCs w:val="26"/>
        </w:rPr>
      </w:pPr>
    </w:p>
    <w:p w14:paraId="1E007A63" w14:textId="77777777" w:rsidR="00335A55" w:rsidRDefault="00335A55" w:rsidP="00040257">
      <w:pPr>
        <w:jc w:val="both"/>
        <w:rPr>
          <w:rFonts w:ascii="Book Antiqua" w:hAnsi="Book Antiqua"/>
          <w:b/>
          <w:sz w:val="26"/>
          <w:szCs w:val="26"/>
        </w:rPr>
      </w:pPr>
    </w:p>
    <w:p w14:paraId="1363E0B0" w14:textId="77777777" w:rsidR="00335A55" w:rsidRDefault="00335A55" w:rsidP="00040257">
      <w:pPr>
        <w:jc w:val="both"/>
        <w:rPr>
          <w:rFonts w:ascii="Book Antiqua" w:hAnsi="Book Antiqua"/>
          <w:b/>
          <w:sz w:val="26"/>
          <w:szCs w:val="26"/>
        </w:rPr>
      </w:pPr>
    </w:p>
    <w:p w14:paraId="79AF86AB" w14:textId="77777777" w:rsidR="00335A55" w:rsidRDefault="00335A55" w:rsidP="00040257">
      <w:pPr>
        <w:jc w:val="both"/>
        <w:rPr>
          <w:rFonts w:ascii="Book Antiqua" w:hAnsi="Book Antiqua"/>
          <w:b/>
          <w:sz w:val="26"/>
          <w:szCs w:val="26"/>
        </w:rPr>
      </w:pPr>
    </w:p>
    <w:p w14:paraId="5DCE39F1" w14:textId="77777777" w:rsidR="00335A55" w:rsidRDefault="00335A55" w:rsidP="00040257">
      <w:pPr>
        <w:jc w:val="both"/>
        <w:rPr>
          <w:rFonts w:ascii="Book Antiqua" w:hAnsi="Book Antiqua"/>
          <w:b/>
          <w:sz w:val="26"/>
          <w:szCs w:val="26"/>
        </w:rPr>
      </w:pPr>
    </w:p>
    <w:p w14:paraId="4B91BB13" w14:textId="77777777" w:rsidR="00335A55" w:rsidRDefault="00335A55" w:rsidP="00040257">
      <w:pPr>
        <w:jc w:val="both"/>
        <w:rPr>
          <w:rFonts w:ascii="Book Antiqua" w:hAnsi="Book Antiqua"/>
          <w:b/>
          <w:sz w:val="26"/>
          <w:szCs w:val="26"/>
        </w:rPr>
      </w:pPr>
    </w:p>
    <w:p w14:paraId="30C2B0A7" w14:textId="77777777" w:rsidR="00335A55" w:rsidRDefault="00335A55" w:rsidP="00040257">
      <w:pPr>
        <w:jc w:val="both"/>
        <w:rPr>
          <w:rFonts w:ascii="Book Antiqua" w:hAnsi="Book Antiqua"/>
          <w:b/>
          <w:sz w:val="26"/>
          <w:szCs w:val="26"/>
        </w:rPr>
      </w:pPr>
    </w:p>
    <w:p w14:paraId="37FFCDF6" w14:textId="77777777" w:rsidR="00FC0562" w:rsidRDefault="00FC0562" w:rsidP="00040257">
      <w:pPr>
        <w:jc w:val="both"/>
        <w:rPr>
          <w:rFonts w:ascii="Book Antiqua" w:hAnsi="Book Antiqua"/>
          <w:b/>
          <w:sz w:val="26"/>
          <w:szCs w:val="26"/>
        </w:rPr>
      </w:pPr>
    </w:p>
    <w:p w14:paraId="6B8D214B" w14:textId="77777777" w:rsidR="00FC0562" w:rsidRDefault="00FC0562" w:rsidP="00040257">
      <w:pPr>
        <w:jc w:val="both"/>
        <w:rPr>
          <w:rFonts w:ascii="Book Antiqua" w:hAnsi="Book Antiqua"/>
          <w:b/>
          <w:sz w:val="26"/>
          <w:szCs w:val="26"/>
        </w:rPr>
      </w:pPr>
    </w:p>
    <w:p w14:paraId="20432CAA" w14:textId="77777777" w:rsidR="00FC0562" w:rsidRDefault="00FC0562" w:rsidP="00040257">
      <w:pPr>
        <w:jc w:val="both"/>
        <w:rPr>
          <w:rFonts w:ascii="Book Antiqua" w:hAnsi="Book Antiqua"/>
          <w:b/>
          <w:sz w:val="26"/>
          <w:szCs w:val="26"/>
        </w:rPr>
      </w:pPr>
    </w:p>
    <w:p w14:paraId="4C153752" w14:textId="77777777" w:rsidR="00FC0562" w:rsidRDefault="00FC0562" w:rsidP="00040257">
      <w:pPr>
        <w:jc w:val="both"/>
        <w:rPr>
          <w:rFonts w:ascii="Book Antiqua" w:hAnsi="Book Antiqua"/>
          <w:b/>
          <w:sz w:val="26"/>
          <w:szCs w:val="26"/>
        </w:rPr>
      </w:pPr>
    </w:p>
    <w:p w14:paraId="64F81C27" w14:textId="77777777" w:rsidR="00FC0562" w:rsidRDefault="00FC0562" w:rsidP="00040257">
      <w:pPr>
        <w:jc w:val="both"/>
        <w:rPr>
          <w:rFonts w:ascii="Book Antiqua" w:hAnsi="Book Antiqua"/>
          <w:b/>
          <w:sz w:val="26"/>
          <w:szCs w:val="26"/>
        </w:rPr>
      </w:pPr>
    </w:p>
    <w:p w14:paraId="1D5CFC6E" w14:textId="77777777" w:rsidR="00FC0562" w:rsidRDefault="00FC0562" w:rsidP="00040257">
      <w:pPr>
        <w:jc w:val="both"/>
        <w:rPr>
          <w:rFonts w:ascii="Book Antiqua" w:hAnsi="Book Antiqua"/>
          <w:b/>
          <w:sz w:val="26"/>
          <w:szCs w:val="26"/>
        </w:rPr>
      </w:pPr>
    </w:p>
    <w:p w14:paraId="134CCFE5" w14:textId="77777777" w:rsidR="00B44C03" w:rsidRDefault="00B44C03" w:rsidP="00040257">
      <w:pPr>
        <w:jc w:val="both"/>
        <w:rPr>
          <w:rFonts w:ascii="Book Antiqua" w:hAnsi="Book Antiqua"/>
          <w:b/>
          <w:sz w:val="26"/>
          <w:szCs w:val="26"/>
        </w:rPr>
      </w:pPr>
    </w:p>
    <w:p w14:paraId="04D0460F" w14:textId="77777777" w:rsidR="00B44C03" w:rsidRDefault="00B44C03" w:rsidP="00040257">
      <w:pPr>
        <w:jc w:val="both"/>
        <w:rPr>
          <w:rFonts w:ascii="Book Antiqua" w:hAnsi="Book Antiqua"/>
          <w:b/>
          <w:sz w:val="26"/>
          <w:szCs w:val="26"/>
        </w:rPr>
      </w:pPr>
    </w:p>
    <w:p w14:paraId="451C53F6" w14:textId="77777777" w:rsidR="00B44C03" w:rsidRDefault="00B44C03" w:rsidP="00040257">
      <w:pPr>
        <w:jc w:val="both"/>
        <w:rPr>
          <w:rFonts w:ascii="Book Antiqua" w:hAnsi="Book Antiqua"/>
          <w:b/>
          <w:sz w:val="26"/>
          <w:szCs w:val="26"/>
        </w:rPr>
      </w:pPr>
    </w:p>
    <w:p w14:paraId="6ACDEC24" w14:textId="77777777" w:rsidR="00B44C03" w:rsidRDefault="00B44C03" w:rsidP="00040257">
      <w:pPr>
        <w:jc w:val="both"/>
        <w:rPr>
          <w:rFonts w:ascii="Book Antiqua" w:hAnsi="Book Antiqua"/>
          <w:b/>
          <w:sz w:val="26"/>
          <w:szCs w:val="26"/>
        </w:rPr>
      </w:pPr>
    </w:p>
    <w:p w14:paraId="78E910DE" w14:textId="77777777" w:rsidR="00DF261C" w:rsidRDefault="00DF261C" w:rsidP="00040257">
      <w:pPr>
        <w:jc w:val="both"/>
        <w:rPr>
          <w:rFonts w:ascii="Book Antiqua" w:hAnsi="Book Antiqua"/>
          <w:b/>
          <w:sz w:val="26"/>
          <w:szCs w:val="26"/>
        </w:rPr>
      </w:pPr>
    </w:p>
    <w:p w14:paraId="20391527" w14:textId="77777777" w:rsidR="00DF261C" w:rsidRDefault="00DF261C" w:rsidP="00040257">
      <w:pPr>
        <w:jc w:val="both"/>
        <w:rPr>
          <w:rFonts w:ascii="Book Antiqua" w:hAnsi="Book Antiqua"/>
          <w:b/>
          <w:sz w:val="26"/>
          <w:szCs w:val="26"/>
        </w:rPr>
        <w:sectPr w:rsidR="00DF261C" w:rsidSect="008F6BC9">
          <w:type w:val="continuous"/>
          <w:pgSz w:w="11907" w:h="16839" w:code="9"/>
          <w:pgMar w:top="1440" w:right="1440" w:bottom="1440" w:left="1440" w:header="720" w:footer="720" w:gutter="0"/>
          <w:cols w:num="2" w:space="720"/>
          <w:docGrid w:linePitch="360"/>
        </w:sectPr>
      </w:pPr>
    </w:p>
    <w:p w14:paraId="48ED406D" w14:textId="77777777" w:rsidR="00655175" w:rsidRPr="00C46225" w:rsidRDefault="00655175" w:rsidP="008275E1">
      <w:pPr>
        <w:jc w:val="center"/>
        <w:rPr>
          <w:rFonts w:ascii="Book Antiqua" w:hAnsi="Book Antiqua"/>
          <w:b/>
          <w:color w:val="FF0000"/>
          <w:sz w:val="26"/>
          <w:szCs w:val="26"/>
        </w:rPr>
      </w:pPr>
      <w:r w:rsidRPr="00C46225">
        <w:rPr>
          <w:rFonts w:ascii="Book Antiqua" w:hAnsi="Book Antiqua"/>
          <w:b/>
          <w:sz w:val="26"/>
          <w:szCs w:val="26"/>
        </w:rPr>
        <w:lastRenderedPageBreak/>
        <w:t xml:space="preserve">Triploid </w:t>
      </w:r>
      <w:r w:rsidR="00610BF3" w:rsidRPr="00C46225">
        <w:rPr>
          <w:rFonts w:ascii="Book Antiqua" w:hAnsi="Book Antiqua"/>
          <w:b/>
          <w:sz w:val="26"/>
          <w:szCs w:val="26"/>
        </w:rPr>
        <w:t xml:space="preserve">Induction </w:t>
      </w:r>
      <w:r w:rsidRPr="00C46225">
        <w:rPr>
          <w:rFonts w:ascii="Book Antiqua" w:hAnsi="Book Antiqua"/>
          <w:b/>
          <w:sz w:val="26"/>
          <w:szCs w:val="26"/>
        </w:rPr>
        <w:t xml:space="preserve">in the </w:t>
      </w:r>
      <w:r w:rsidR="00610BF3" w:rsidRPr="00C46225">
        <w:rPr>
          <w:rFonts w:ascii="Book Antiqua" w:hAnsi="Book Antiqua"/>
          <w:b/>
          <w:sz w:val="26"/>
          <w:szCs w:val="26"/>
        </w:rPr>
        <w:t xml:space="preserve">Local Catfish </w:t>
      </w:r>
      <w:r w:rsidRPr="00C46225">
        <w:rPr>
          <w:rFonts w:ascii="Book Antiqua" w:hAnsi="Book Antiqua"/>
          <w:b/>
          <w:sz w:val="26"/>
          <w:szCs w:val="26"/>
        </w:rPr>
        <w:t>(</w:t>
      </w:r>
      <w:r w:rsidRPr="00C46225">
        <w:rPr>
          <w:rFonts w:ascii="Book Antiqua" w:hAnsi="Book Antiqua"/>
          <w:b/>
          <w:i/>
          <w:sz w:val="26"/>
          <w:szCs w:val="26"/>
        </w:rPr>
        <w:t>Heterobranchus isopterus</w:t>
      </w:r>
      <w:r w:rsidRPr="00C46225">
        <w:rPr>
          <w:rFonts w:ascii="Book Antiqua" w:hAnsi="Book Antiqua"/>
          <w:b/>
          <w:sz w:val="26"/>
          <w:szCs w:val="26"/>
        </w:rPr>
        <w:t xml:space="preserve">) </w:t>
      </w:r>
      <w:r w:rsidR="00610BF3" w:rsidRPr="00C46225">
        <w:rPr>
          <w:rFonts w:ascii="Book Antiqua" w:hAnsi="Book Antiqua"/>
          <w:b/>
          <w:sz w:val="26"/>
          <w:szCs w:val="26"/>
        </w:rPr>
        <w:t>Using Temperature Shock Treatment</w:t>
      </w:r>
    </w:p>
    <w:p w14:paraId="50CD6578" w14:textId="77777777" w:rsidR="00655175" w:rsidRPr="00D704C5" w:rsidRDefault="00655175" w:rsidP="003D0295">
      <w:pPr>
        <w:pStyle w:val="Authorname"/>
        <w:spacing w:after="0"/>
        <w:rPr>
          <w:rFonts w:ascii="Book Antiqua" w:hAnsi="Book Antiqua"/>
          <w:sz w:val="26"/>
          <w:vertAlign w:val="superscript"/>
          <w:lang w:val="en-CA"/>
        </w:rPr>
      </w:pPr>
      <w:bookmarkStart w:id="15" w:name="Author_1"/>
      <w:r w:rsidRPr="00D704C5">
        <w:rPr>
          <w:rFonts w:ascii="Book Antiqua" w:hAnsi="Book Antiqua"/>
          <w:sz w:val="26"/>
          <w:lang w:val="en-CA"/>
        </w:rPr>
        <w:t xml:space="preserve">Tsike </w:t>
      </w:r>
      <w:r w:rsidR="00610BF3" w:rsidRPr="00D704C5">
        <w:rPr>
          <w:rFonts w:ascii="Book Antiqua" w:hAnsi="Book Antiqua"/>
          <w:sz w:val="26"/>
          <w:lang w:val="en-CA"/>
        </w:rPr>
        <w:t xml:space="preserve">S. </w:t>
      </w:r>
      <w:r w:rsidRPr="00D704C5">
        <w:rPr>
          <w:rFonts w:ascii="Book Antiqua" w:hAnsi="Book Antiqua"/>
          <w:sz w:val="26"/>
          <w:lang w:val="en-CA"/>
        </w:rPr>
        <w:t xml:space="preserve">A. K , </w:t>
      </w:r>
      <w:bookmarkEnd w:id="15"/>
      <w:r w:rsidRPr="00D704C5">
        <w:rPr>
          <w:rFonts w:ascii="Book Antiqua" w:hAnsi="Book Antiqua"/>
          <w:sz w:val="26"/>
          <w:lang w:val="en-CA"/>
        </w:rPr>
        <w:t>Agyemang</w:t>
      </w:r>
      <w:r w:rsidR="00610BF3" w:rsidRPr="00D704C5">
        <w:rPr>
          <w:rFonts w:ascii="Book Antiqua" w:hAnsi="Book Antiqua"/>
          <w:sz w:val="26"/>
          <w:lang w:val="en-CA"/>
        </w:rPr>
        <w:t xml:space="preserve"> O. E.</w:t>
      </w:r>
      <w:r w:rsidRPr="00D704C5">
        <w:rPr>
          <w:rFonts w:ascii="Book Antiqua" w:hAnsi="Book Antiqua"/>
          <w:sz w:val="26"/>
          <w:lang w:val="en-CA"/>
        </w:rPr>
        <w:t xml:space="preserve">, </w:t>
      </w:r>
      <w:r w:rsidR="00910C25" w:rsidRPr="00D704C5">
        <w:rPr>
          <w:rFonts w:ascii="Book Antiqua" w:hAnsi="Book Antiqua"/>
          <w:sz w:val="26"/>
          <w:lang w:val="en-CA"/>
        </w:rPr>
        <w:t>&amp;</w:t>
      </w:r>
      <w:r w:rsidRPr="00D704C5">
        <w:rPr>
          <w:rFonts w:ascii="Book Antiqua" w:hAnsi="Book Antiqua"/>
          <w:sz w:val="26"/>
          <w:lang w:val="en-CA"/>
        </w:rPr>
        <w:t xml:space="preserve"> Atsu</w:t>
      </w:r>
      <w:r w:rsidR="00610BF3" w:rsidRPr="00D704C5">
        <w:rPr>
          <w:rFonts w:ascii="Book Antiqua" w:hAnsi="Book Antiqua"/>
          <w:sz w:val="26"/>
          <w:lang w:val="en-CA"/>
        </w:rPr>
        <w:t xml:space="preserve"> D.</w:t>
      </w:r>
    </w:p>
    <w:p w14:paraId="72BA9E8F" w14:textId="77777777" w:rsidR="001B022D" w:rsidRDefault="00655175" w:rsidP="003D0295">
      <w:pPr>
        <w:spacing w:after="0"/>
        <w:ind w:left="720" w:hanging="720"/>
        <w:jc w:val="center"/>
        <w:rPr>
          <w:rFonts w:ascii="Book Antiqua" w:hAnsi="Book Antiqua"/>
        </w:rPr>
      </w:pPr>
      <w:r w:rsidRPr="00E3232D">
        <w:rPr>
          <w:rFonts w:ascii="Book Antiqua" w:hAnsi="Book Antiqua"/>
          <w:vertAlign w:val="superscript"/>
        </w:rPr>
        <w:t xml:space="preserve"> </w:t>
      </w:r>
      <w:r w:rsidRPr="00E3232D">
        <w:rPr>
          <w:rFonts w:ascii="Book Antiqua" w:hAnsi="Book Antiqua"/>
        </w:rPr>
        <w:t>Department of Renewable Energy Systems Engineering, Koforidua Polytechnic, Ghana.</w:t>
      </w:r>
      <w:r w:rsidR="00241A9D">
        <w:rPr>
          <w:rFonts w:ascii="Book Antiqua" w:hAnsi="Book Antiqua"/>
        </w:rPr>
        <w:t xml:space="preserve"> </w:t>
      </w:r>
    </w:p>
    <w:p w14:paraId="7C61B85A" w14:textId="77777777" w:rsidR="00655175" w:rsidRPr="00E3232D" w:rsidRDefault="00241A9D" w:rsidP="003D0295">
      <w:pPr>
        <w:spacing w:after="0"/>
        <w:ind w:left="720" w:hanging="720"/>
        <w:jc w:val="center"/>
        <w:rPr>
          <w:rFonts w:ascii="Book Antiqua" w:hAnsi="Book Antiqua"/>
        </w:rPr>
      </w:pPr>
      <w:r w:rsidRPr="00241A9D">
        <w:rPr>
          <w:rFonts w:ascii="Book Antiqua" w:hAnsi="Book Antiqua"/>
          <w:b/>
        </w:rPr>
        <w:t>E</w:t>
      </w:r>
      <w:r w:rsidR="001B022D">
        <w:rPr>
          <w:rFonts w:ascii="Book Antiqua" w:hAnsi="Book Antiqua"/>
          <w:b/>
        </w:rPr>
        <w:t>-</w:t>
      </w:r>
      <w:r w:rsidR="00655175" w:rsidRPr="00241A9D">
        <w:rPr>
          <w:rFonts w:ascii="Book Antiqua" w:hAnsi="Book Antiqua"/>
          <w:b/>
        </w:rPr>
        <w:t>mail</w:t>
      </w:r>
      <w:r w:rsidRPr="00241A9D">
        <w:rPr>
          <w:rFonts w:ascii="Book Antiqua" w:hAnsi="Book Antiqua"/>
          <w:b/>
        </w:rPr>
        <w:t>:</w:t>
      </w:r>
      <w:r w:rsidR="00655175" w:rsidRPr="00610BF3">
        <w:rPr>
          <w:rFonts w:ascii="Book Antiqua" w:hAnsi="Book Antiqua"/>
        </w:rPr>
        <w:t xml:space="preserve"> </w:t>
      </w:r>
      <w:hyperlink r:id="rId85" w:history="1">
        <w:r w:rsidR="00655175" w:rsidRPr="00610BF3">
          <w:rPr>
            <w:rStyle w:val="Hyperlink"/>
            <w:rFonts w:ascii="Book Antiqua" w:hAnsi="Book Antiqua"/>
            <w:color w:val="auto"/>
            <w:u w:val="none"/>
          </w:rPr>
          <w:t>stevetsike@yahoo.com</w:t>
        </w:r>
      </w:hyperlink>
    </w:p>
    <w:p w14:paraId="4BEA3DD2" w14:textId="77777777" w:rsidR="00655175" w:rsidRPr="00E3232D" w:rsidRDefault="00655175" w:rsidP="003D0295">
      <w:pPr>
        <w:spacing w:after="0"/>
        <w:ind w:left="720" w:hanging="720"/>
        <w:jc w:val="center"/>
        <w:rPr>
          <w:rFonts w:ascii="Book Antiqua" w:hAnsi="Book Antiqua"/>
        </w:rPr>
      </w:pPr>
    </w:p>
    <w:p w14:paraId="74527522" w14:textId="77777777" w:rsidR="00655175" w:rsidRPr="00E3232D" w:rsidRDefault="00A45FAE" w:rsidP="008275E1">
      <w:pPr>
        <w:pStyle w:val="Authorname"/>
        <w:jc w:val="both"/>
        <w:rPr>
          <w:rFonts w:ascii="Book Antiqua" w:hAnsi="Book Antiqua"/>
          <w:sz w:val="22"/>
          <w:lang w:val="en-CA"/>
        </w:rPr>
      </w:pPr>
      <w:r w:rsidRPr="00D704C5">
        <w:rPr>
          <w:rFonts w:ascii="Book Antiqua" w:hAnsi="Book Antiqua"/>
          <w:sz w:val="26"/>
        </w:rPr>
        <w:t>Abstract</w:t>
      </w:r>
    </w:p>
    <w:p w14:paraId="1A647D02" w14:textId="77777777" w:rsidR="004679EB" w:rsidRDefault="00655175" w:rsidP="00943F99">
      <w:pPr>
        <w:jc w:val="both"/>
        <w:rPr>
          <w:rFonts w:ascii="Book Antiqua" w:hAnsi="Book Antiqua"/>
          <w:b/>
          <w:bCs/>
        </w:rPr>
      </w:pPr>
      <w:r w:rsidRPr="00E3232D">
        <w:rPr>
          <w:rFonts w:ascii="Book Antiqua" w:hAnsi="Book Antiqua"/>
        </w:rPr>
        <w:t>The fisheries industry in Ghana has seen appreciable growth in recent years due to the introduction of cage culture as an aquaculture technology into the country. The major problem with catfish farming is their inability to reproduce in captivity.  Farmers also wish to produce fish with increased body size, improved disease-resistance and health conditions concomitant with increased in chromosome complement. The aim of this work was to carry out artificial insemination of female catfish, and then induce triploid in the fish. The optimum temperature range within which the highest triploid induction could be obtained and at the same time obtaining the highest number of eggs hatching is dependent on fish species and therefore another important factor for investigation in the study. Cold shock treatment was applied to the fertilized eggs at different temperatures of 0</w:t>
      </w:r>
      <w:r w:rsidRPr="00E3232D">
        <w:rPr>
          <w:rFonts w:ascii="Book Antiqua" w:hAnsi="Book Antiqua"/>
          <w:vertAlign w:val="superscript"/>
        </w:rPr>
        <w:t>0</w:t>
      </w:r>
      <w:r w:rsidRPr="00E3232D">
        <w:rPr>
          <w:rFonts w:ascii="Book Antiqua" w:hAnsi="Book Antiqua"/>
        </w:rPr>
        <w:t>C, 11</w:t>
      </w:r>
      <w:r w:rsidRPr="00E3232D">
        <w:rPr>
          <w:rFonts w:ascii="Book Antiqua" w:hAnsi="Book Antiqua"/>
          <w:vertAlign w:val="superscript"/>
        </w:rPr>
        <w:t>0</w:t>
      </w:r>
      <w:r w:rsidRPr="00E3232D">
        <w:rPr>
          <w:rFonts w:ascii="Book Antiqua" w:hAnsi="Book Antiqua"/>
        </w:rPr>
        <w:t>C and 16</w:t>
      </w:r>
      <w:r w:rsidRPr="00E3232D">
        <w:rPr>
          <w:rFonts w:ascii="Book Antiqua" w:hAnsi="Book Antiqua"/>
          <w:vertAlign w:val="superscript"/>
        </w:rPr>
        <w:t>0</w:t>
      </w:r>
      <w:r w:rsidRPr="00E3232D">
        <w:rPr>
          <w:rFonts w:ascii="Book Antiqua" w:hAnsi="Book Antiqua"/>
        </w:rPr>
        <w:t>C. Heat shock treatment was also applied to other batches of 200 eggs at temperatures of 42</w:t>
      </w:r>
      <w:r w:rsidRPr="00E3232D">
        <w:rPr>
          <w:rFonts w:ascii="Book Antiqua" w:hAnsi="Book Antiqua"/>
          <w:vertAlign w:val="superscript"/>
        </w:rPr>
        <w:t>0</w:t>
      </w:r>
      <w:r w:rsidRPr="00E3232D">
        <w:rPr>
          <w:rFonts w:ascii="Book Antiqua" w:hAnsi="Book Antiqua"/>
        </w:rPr>
        <w:t>C, 40</w:t>
      </w:r>
      <w:r w:rsidRPr="00E3232D">
        <w:rPr>
          <w:rFonts w:ascii="Book Antiqua" w:hAnsi="Book Antiqua"/>
          <w:vertAlign w:val="superscript"/>
        </w:rPr>
        <w:t>0</w:t>
      </w:r>
      <w:r w:rsidRPr="00E3232D">
        <w:rPr>
          <w:rFonts w:ascii="Book Antiqua" w:hAnsi="Book Antiqua"/>
        </w:rPr>
        <w:t>C and 38</w:t>
      </w:r>
      <w:r w:rsidRPr="00E3232D">
        <w:rPr>
          <w:rFonts w:ascii="Book Antiqua" w:hAnsi="Book Antiqua"/>
          <w:vertAlign w:val="superscript"/>
        </w:rPr>
        <w:t>0</w:t>
      </w:r>
      <w:r w:rsidRPr="00E3232D">
        <w:rPr>
          <w:rFonts w:ascii="Book Antiqua" w:hAnsi="Book Antiqua"/>
        </w:rPr>
        <w:t>C.  No or very low hatching of eggs were recorded when heat treatment was applied. Cold shock temperature of 11</w:t>
      </w:r>
      <w:r w:rsidRPr="00E3232D">
        <w:rPr>
          <w:rFonts w:ascii="Book Antiqua" w:hAnsi="Book Antiqua"/>
          <w:vertAlign w:val="superscript"/>
        </w:rPr>
        <w:t>0</w:t>
      </w:r>
      <w:r w:rsidRPr="00E3232D">
        <w:rPr>
          <w:rFonts w:ascii="Book Antiqua" w:hAnsi="Book Antiqua"/>
        </w:rPr>
        <w:t>C recorded the highest hatching of eggs. The Fisheries department in the Eastern region provided the team with lots of support in terms of fish stock and laboratory equipment for the study.  Therefore an effective collaboration of research institutions with the Fisheries department of the ministry of fisheries in future studies would help in sustainable aquaculture development in Ghana.  Again building a responsive tertiary education sector with effective collaboration with fishery industry is necessary for national development.</w:t>
      </w:r>
    </w:p>
    <w:p w14:paraId="1C1C7FAF" w14:textId="77777777" w:rsidR="00655175" w:rsidRPr="00297DD4" w:rsidRDefault="00655175" w:rsidP="008275E1">
      <w:pPr>
        <w:rPr>
          <w:rFonts w:ascii="Book Antiqua" w:hAnsi="Book Antiqua"/>
          <w:b/>
          <w:bCs/>
        </w:rPr>
      </w:pPr>
      <w:r w:rsidRPr="00E3232D">
        <w:rPr>
          <w:rFonts w:ascii="Book Antiqua" w:hAnsi="Book Antiqua"/>
          <w:b/>
          <w:bCs/>
        </w:rPr>
        <w:t xml:space="preserve">Keywords:  </w:t>
      </w:r>
      <w:r w:rsidRPr="00E3232D">
        <w:rPr>
          <w:rFonts w:ascii="Book Antiqua" w:hAnsi="Book Antiqua"/>
          <w:bCs/>
        </w:rPr>
        <w:t xml:space="preserve">Heterobranchus </w:t>
      </w:r>
      <w:r w:rsidR="00D704C5" w:rsidRPr="00E3232D">
        <w:rPr>
          <w:rFonts w:ascii="Book Antiqua" w:hAnsi="Book Antiqua"/>
          <w:bCs/>
        </w:rPr>
        <w:t>Isopterus</w:t>
      </w:r>
      <w:r w:rsidRPr="00E3232D">
        <w:rPr>
          <w:rFonts w:ascii="Book Antiqua" w:hAnsi="Book Antiqua"/>
          <w:bCs/>
        </w:rPr>
        <w:t xml:space="preserve">; Hatchability; </w:t>
      </w:r>
      <w:r w:rsidRPr="00E3232D">
        <w:rPr>
          <w:rFonts w:ascii="Book Antiqua" w:hAnsi="Book Antiqua"/>
        </w:rPr>
        <w:t xml:space="preserve">Triploidy; Cold; Heat </w:t>
      </w:r>
      <w:r w:rsidR="00D704C5" w:rsidRPr="00E3232D">
        <w:rPr>
          <w:rFonts w:ascii="Book Antiqua" w:hAnsi="Book Antiqua"/>
        </w:rPr>
        <w:t xml:space="preserve">Shock </w:t>
      </w:r>
    </w:p>
    <w:p w14:paraId="0C5B1AC5" w14:textId="77777777" w:rsidR="00655175" w:rsidRPr="00E3232D" w:rsidRDefault="00655175" w:rsidP="008275E1">
      <w:pPr>
        <w:rPr>
          <w:rFonts w:ascii="Book Antiqua" w:hAnsi="Book Antiqua"/>
          <w:lang w:val="en-GB"/>
        </w:rPr>
        <w:sectPr w:rsidR="00655175" w:rsidRPr="00E3232D" w:rsidSect="008F6BC9">
          <w:type w:val="continuous"/>
          <w:pgSz w:w="11907" w:h="16839" w:code="9"/>
          <w:pgMar w:top="1440" w:right="1440" w:bottom="1440" w:left="1440" w:header="720" w:footer="720" w:gutter="0"/>
          <w:cols w:space="720"/>
          <w:docGrid w:linePitch="360"/>
        </w:sectPr>
      </w:pPr>
    </w:p>
    <w:p w14:paraId="1E1EA1E7" w14:textId="77777777" w:rsidR="00655175" w:rsidRPr="00E3232D" w:rsidRDefault="00655175" w:rsidP="003D1971">
      <w:pPr>
        <w:jc w:val="both"/>
        <w:rPr>
          <w:rFonts w:ascii="Book Antiqua" w:hAnsi="Book Antiqua"/>
        </w:rPr>
      </w:pPr>
      <w:r w:rsidRPr="00E3232D">
        <w:rPr>
          <w:rFonts w:ascii="Book Antiqua" w:hAnsi="Book Antiqua"/>
          <w:b/>
        </w:rPr>
        <w:t xml:space="preserve">1.0 </w:t>
      </w:r>
      <w:r w:rsidRPr="00943F99">
        <w:rPr>
          <w:rFonts w:ascii="Book Antiqua" w:hAnsi="Book Antiqua"/>
          <w:b/>
          <w:sz w:val="26"/>
        </w:rPr>
        <w:t>Introduction</w:t>
      </w:r>
    </w:p>
    <w:p w14:paraId="1835E673" w14:textId="77777777" w:rsidR="00655175" w:rsidRPr="00E3232D" w:rsidRDefault="00655175" w:rsidP="003D1971">
      <w:pPr>
        <w:autoSpaceDE w:val="0"/>
        <w:autoSpaceDN w:val="0"/>
        <w:adjustRightInd w:val="0"/>
        <w:spacing w:after="0"/>
        <w:jc w:val="both"/>
        <w:rPr>
          <w:rFonts w:ascii="Book Antiqua" w:hAnsi="Book Antiqua"/>
        </w:rPr>
      </w:pPr>
      <w:r w:rsidRPr="00E3232D">
        <w:rPr>
          <w:rFonts w:ascii="Book Antiqua" w:hAnsi="Book Antiqua"/>
        </w:rPr>
        <w:t xml:space="preserve">The development of improved fish seed stocks that can contribute to increased fish production and at the same time ensuring protection of biodiversity and the environment is seen as one of the key solutions to securing future food requirement of the growing world </w:t>
      </w:r>
      <w:r w:rsidRPr="00E3232D">
        <w:rPr>
          <w:rFonts w:ascii="Book Antiqua" w:hAnsi="Book Antiqua"/>
        </w:rPr>
        <w:t xml:space="preserve">population (Lincoln, 1980). Genetics and the successful application of breeding programs in crops and livestock have provided the impetus for the governments in developing countries opportunities to easily and quickly increase food production (Wolters </w:t>
      </w:r>
      <w:r w:rsidRPr="00E3232D">
        <w:rPr>
          <w:rFonts w:ascii="Book Antiqua" w:hAnsi="Book Antiqua"/>
          <w:i/>
        </w:rPr>
        <w:t>et al,</w:t>
      </w:r>
      <w:r w:rsidRPr="00E3232D">
        <w:rPr>
          <w:rFonts w:ascii="Book Antiqua" w:hAnsi="Book Antiqua"/>
        </w:rPr>
        <w:t xml:space="preserve"> 1982).).</w:t>
      </w:r>
    </w:p>
    <w:p w14:paraId="66D680D9" w14:textId="77777777" w:rsidR="00655175" w:rsidRPr="00E3232D" w:rsidRDefault="00655175" w:rsidP="003D1971">
      <w:pPr>
        <w:autoSpaceDE w:val="0"/>
        <w:autoSpaceDN w:val="0"/>
        <w:adjustRightInd w:val="0"/>
        <w:spacing w:after="0"/>
        <w:jc w:val="both"/>
        <w:rPr>
          <w:rFonts w:ascii="Book Antiqua" w:hAnsi="Book Antiqua"/>
        </w:rPr>
      </w:pPr>
    </w:p>
    <w:p w14:paraId="4E19F214" w14:textId="77777777" w:rsidR="00087FDB" w:rsidRDefault="00655175" w:rsidP="003D1971">
      <w:pPr>
        <w:autoSpaceDE w:val="0"/>
        <w:autoSpaceDN w:val="0"/>
        <w:adjustRightInd w:val="0"/>
        <w:spacing w:after="0"/>
        <w:jc w:val="both"/>
        <w:rPr>
          <w:rFonts w:ascii="Book Antiqua" w:hAnsi="Book Antiqua"/>
        </w:rPr>
      </w:pPr>
      <w:r w:rsidRPr="00E3232D">
        <w:rPr>
          <w:rFonts w:ascii="Book Antiqua" w:hAnsi="Book Antiqua"/>
        </w:rPr>
        <w:lastRenderedPageBreak/>
        <w:t>Current interest in polyploidy induction is almost entirely due to its potential application in fish farming, for the production of triploid and tetraploid fish (Purdom, 1993). Induced triploidy is used to produce partially or completely sterile fish, whose three (3) chromosome sets impair the meiotic division involved in germ cell formation (Chourrout,1980</w:t>
      </w:r>
      <w:r w:rsidR="00A04078" w:rsidRPr="00E3232D">
        <w:rPr>
          <w:rFonts w:ascii="Book Antiqua" w:hAnsi="Book Antiqua"/>
        </w:rPr>
        <w:t>)</w:t>
      </w:r>
    </w:p>
    <w:p w14:paraId="5468BCA9" w14:textId="77777777" w:rsidR="00DF261C" w:rsidRDefault="00DF261C" w:rsidP="003D1971">
      <w:pPr>
        <w:autoSpaceDE w:val="0"/>
        <w:autoSpaceDN w:val="0"/>
        <w:adjustRightInd w:val="0"/>
        <w:spacing w:after="0"/>
        <w:jc w:val="both"/>
        <w:rPr>
          <w:rFonts w:ascii="Book Antiqua" w:hAnsi="Book Antiqua"/>
        </w:rPr>
      </w:pPr>
    </w:p>
    <w:p w14:paraId="511A7F9A" w14:textId="77777777" w:rsidR="000D4BF1" w:rsidRPr="00E3232D" w:rsidRDefault="000D4BF1" w:rsidP="003D1971">
      <w:pPr>
        <w:autoSpaceDE w:val="0"/>
        <w:autoSpaceDN w:val="0"/>
        <w:adjustRightInd w:val="0"/>
        <w:spacing w:after="0"/>
        <w:jc w:val="both"/>
        <w:rPr>
          <w:rFonts w:ascii="Book Antiqua" w:hAnsi="Book Antiqua"/>
        </w:rPr>
      </w:pPr>
      <w:r w:rsidRPr="00E3232D">
        <w:rPr>
          <w:rFonts w:ascii="Book Antiqua" w:hAnsi="Book Antiqua"/>
        </w:rPr>
        <w:t>Triploidy induction means the production of individuals with three sets of chromosomes and this can be induced in fish by blocking the second meiotic division followed by the extrusion of the second polar body. This is achieved by shocking eggs shortly after fertilization (Purdom, 1993).</w:t>
      </w:r>
    </w:p>
    <w:p w14:paraId="009E197B" w14:textId="77777777" w:rsidR="000D4BF1" w:rsidRPr="00E3232D" w:rsidRDefault="000D4BF1" w:rsidP="00335A55">
      <w:pPr>
        <w:autoSpaceDE w:val="0"/>
        <w:autoSpaceDN w:val="0"/>
        <w:adjustRightInd w:val="0"/>
        <w:spacing w:after="0"/>
        <w:jc w:val="both"/>
        <w:rPr>
          <w:rFonts w:ascii="Book Antiqua" w:hAnsi="Book Antiqua"/>
        </w:rPr>
      </w:pPr>
    </w:p>
    <w:p w14:paraId="4C4431B0" w14:textId="77777777" w:rsidR="000D4BF1" w:rsidRPr="00E3232D" w:rsidRDefault="000D4BF1" w:rsidP="00335A55">
      <w:pPr>
        <w:autoSpaceDE w:val="0"/>
        <w:autoSpaceDN w:val="0"/>
        <w:adjustRightInd w:val="0"/>
        <w:spacing w:after="0"/>
        <w:jc w:val="both"/>
        <w:rPr>
          <w:rFonts w:ascii="Book Antiqua" w:hAnsi="Book Antiqua"/>
        </w:rPr>
      </w:pPr>
      <w:r w:rsidRPr="00E3232D">
        <w:rPr>
          <w:rFonts w:ascii="Book Antiqua" w:hAnsi="Book Antiqua"/>
        </w:rPr>
        <w:t>The benefit of triploidy to Ghana’s aquaculture industry is very enormous. It will help to stem the incidence of breeding pressures on breeding stock resulting in stunted or deformed fish. Most importantly it has associated potential of improved growth in fish and better carcass quality for</w:t>
      </w:r>
      <w:r w:rsidR="00DF0AF5">
        <w:rPr>
          <w:rFonts w:ascii="Book Antiqua" w:hAnsi="Book Antiqua"/>
        </w:rPr>
        <w:t xml:space="preserve"> commercial farming enterprises </w:t>
      </w:r>
      <w:r w:rsidRPr="00E3232D">
        <w:rPr>
          <w:rFonts w:ascii="Book Antiqua" w:hAnsi="Book Antiqua"/>
        </w:rPr>
        <w:t>(Wolters et.al, 1982).</w:t>
      </w:r>
    </w:p>
    <w:p w14:paraId="6F331B01" w14:textId="77777777" w:rsidR="000D4BF1" w:rsidRPr="00E3232D" w:rsidRDefault="000D4BF1" w:rsidP="003D1971">
      <w:pPr>
        <w:spacing w:after="0"/>
        <w:jc w:val="both"/>
        <w:rPr>
          <w:rFonts w:ascii="Book Antiqua" w:hAnsi="Book Antiqua"/>
          <w:b/>
        </w:rPr>
      </w:pPr>
    </w:p>
    <w:p w14:paraId="169FFA84" w14:textId="77777777" w:rsidR="000D4BF1" w:rsidRPr="00E3232D" w:rsidRDefault="000D4BF1" w:rsidP="003D1971">
      <w:pPr>
        <w:jc w:val="both"/>
        <w:rPr>
          <w:rFonts w:ascii="Book Antiqua" w:hAnsi="Book Antiqua"/>
          <w:b/>
        </w:rPr>
      </w:pPr>
      <w:r w:rsidRPr="00E3232D">
        <w:rPr>
          <w:rFonts w:ascii="Book Antiqua" w:hAnsi="Book Antiqua"/>
        </w:rPr>
        <w:t xml:space="preserve">The objective of this study therefore, was to determine an optimum temperature range for achieving triploid production and at the same time obtaining the highest possible hatching occurring in the catfish species, </w:t>
      </w:r>
      <w:r w:rsidRPr="00E3232D">
        <w:rPr>
          <w:rFonts w:ascii="Book Antiqua" w:hAnsi="Book Antiqua"/>
          <w:i/>
          <w:u w:val="single"/>
        </w:rPr>
        <w:t>Heterobranchus</w:t>
      </w:r>
      <w:r w:rsidRPr="00E3232D">
        <w:rPr>
          <w:rFonts w:ascii="Book Antiqua" w:hAnsi="Book Antiqua"/>
          <w:i/>
        </w:rPr>
        <w:t xml:space="preserve"> </w:t>
      </w:r>
      <w:r w:rsidRPr="00E3232D">
        <w:rPr>
          <w:rFonts w:ascii="Book Antiqua" w:hAnsi="Book Antiqua"/>
          <w:i/>
          <w:u w:val="single"/>
        </w:rPr>
        <w:t>isopterus</w:t>
      </w:r>
      <w:r w:rsidRPr="00E3232D">
        <w:rPr>
          <w:rFonts w:ascii="Book Antiqua" w:hAnsi="Book Antiqua"/>
        </w:rPr>
        <w:t xml:space="preserve">Unfortunately, not much work has been done in Ghana in terms of inducing triploidy in this particular species. However, some work has been done in Nigeria on </w:t>
      </w:r>
      <w:r w:rsidRPr="00E3232D">
        <w:rPr>
          <w:rFonts w:ascii="Book Antiqua" w:hAnsi="Book Antiqua"/>
          <w:i/>
          <w:iCs/>
        </w:rPr>
        <w:t xml:space="preserve">Clarias gariepinus </w:t>
      </w:r>
      <w:r w:rsidRPr="00E3232D">
        <w:rPr>
          <w:rFonts w:ascii="Book Antiqua" w:hAnsi="Book Antiqua"/>
          <w:iCs/>
        </w:rPr>
        <w:t>(</w:t>
      </w:r>
      <w:r w:rsidRPr="00E3232D">
        <w:rPr>
          <w:rFonts w:ascii="Book Antiqua" w:hAnsi="Book Antiqua"/>
          <w:bCs/>
        </w:rPr>
        <w:t>Hammed A. M. et. al. 2010</w:t>
      </w:r>
    </w:p>
    <w:p w14:paraId="125A44E4" w14:textId="77777777" w:rsidR="000D4BF1" w:rsidRDefault="000D4BF1" w:rsidP="003D1971">
      <w:pPr>
        <w:spacing w:after="0"/>
        <w:jc w:val="both"/>
        <w:rPr>
          <w:rFonts w:ascii="Book Antiqua" w:hAnsi="Book Antiqua"/>
          <w:b/>
        </w:rPr>
      </w:pPr>
    </w:p>
    <w:p w14:paraId="2C119561" w14:textId="77777777" w:rsidR="000D4BF1" w:rsidRPr="003D1971" w:rsidRDefault="000D4BF1" w:rsidP="003D1971">
      <w:pPr>
        <w:spacing w:after="0"/>
        <w:jc w:val="both"/>
        <w:rPr>
          <w:rFonts w:ascii="Book Antiqua" w:hAnsi="Book Antiqua"/>
          <w:b/>
          <w:sz w:val="26"/>
        </w:rPr>
      </w:pPr>
      <w:r w:rsidRPr="00E3232D">
        <w:rPr>
          <w:rFonts w:ascii="Book Antiqua" w:hAnsi="Book Antiqua"/>
          <w:b/>
        </w:rPr>
        <w:t xml:space="preserve">2.0 </w:t>
      </w:r>
      <w:r w:rsidRPr="003D1971">
        <w:rPr>
          <w:rFonts w:ascii="Book Antiqua" w:hAnsi="Book Antiqua"/>
          <w:b/>
          <w:sz w:val="26"/>
        </w:rPr>
        <w:t>Materials and Methods</w:t>
      </w:r>
    </w:p>
    <w:p w14:paraId="399C66B5" w14:textId="77777777" w:rsidR="00D704C5" w:rsidRPr="00D704C5" w:rsidRDefault="00D704C5" w:rsidP="00D704C5">
      <w:pPr>
        <w:spacing w:after="0"/>
        <w:jc w:val="both"/>
        <w:rPr>
          <w:rFonts w:ascii="Book Antiqua" w:hAnsi="Book Antiqua"/>
          <w:b/>
          <w:sz w:val="8"/>
        </w:rPr>
      </w:pPr>
    </w:p>
    <w:p w14:paraId="401CF7A2" w14:textId="77777777" w:rsidR="000D4BF1" w:rsidRPr="00D704C5" w:rsidRDefault="00D704C5" w:rsidP="003D1971">
      <w:pPr>
        <w:jc w:val="both"/>
        <w:rPr>
          <w:rFonts w:ascii="Book Antiqua" w:hAnsi="Book Antiqua"/>
        </w:rPr>
      </w:pPr>
      <w:r w:rsidRPr="00D704C5">
        <w:rPr>
          <w:rFonts w:ascii="Book Antiqua" w:hAnsi="Book Antiqua"/>
          <w:b/>
        </w:rPr>
        <w:t xml:space="preserve">2.1 </w:t>
      </w:r>
      <w:r w:rsidR="000D4BF1" w:rsidRPr="00D704C5">
        <w:rPr>
          <w:rFonts w:ascii="Book Antiqua" w:hAnsi="Book Antiqua"/>
          <w:b/>
        </w:rPr>
        <w:t>Materials</w:t>
      </w:r>
      <w:r w:rsidR="000D4BF1" w:rsidRPr="00D704C5">
        <w:rPr>
          <w:rFonts w:ascii="Book Antiqua" w:hAnsi="Book Antiqua"/>
        </w:rPr>
        <w:t xml:space="preserve">:  </w:t>
      </w:r>
    </w:p>
    <w:p w14:paraId="3254DF70" w14:textId="77777777" w:rsidR="000D4BF1" w:rsidRPr="00D36E2A" w:rsidRDefault="000D4BF1" w:rsidP="003D1971">
      <w:pPr>
        <w:jc w:val="both"/>
        <w:rPr>
          <w:rFonts w:ascii="Book Antiqua" w:hAnsi="Book Antiqua"/>
        </w:rPr>
      </w:pPr>
      <w:r w:rsidRPr="00E3232D">
        <w:rPr>
          <w:rFonts w:ascii="Book Antiqua" w:hAnsi="Book Antiqua"/>
        </w:rPr>
        <w:t>The following materials were used in the study:</w:t>
      </w:r>
      <w:r w:rsidRPr="00D36E2A">
        <w:rPr>
          <w:rFonts w:ascii="Book Antiqua" w:hAnsi="Book Antiqua"/>
        </w:rPr>
        <w:t xml:space="preserve"> </w:t>
      </w:r>
    </w:p>
    <w:p w14:paraId="7D0CA081" w14:textId="77777777" w:rsidR="00DF261C" w:rsidRPr="00335A55" w:rsidRDefault="000D4BF1" w:rsidP="003D1971">
      <w:pPr>
        <w:jc w:val="both"/>
        <w:rPr>
          <w:rFonts w:ascii="Book Antiqua" w:hAnsi="Book Antiqua"/>
        </w:rPr>
      </w:pPr>
      <w:r w:rsidRPr="00E3232D">
        <w:rPr>
          <w:rFonts w:ascii="Book Antiqua" w:hAnsi="Book Antiqua"/>
        </w:rPr>
        <w:t>Materials used in the study include:</w:t>
      </w:r>
      <w:r w:rsidRPr="00E3232D">
        <w:rPr>
          <w:rFonts w:ascii="Book Antiqua" w:hAnsi="Book Antiqua"/>
          <w:i/>
        </w:rPr>
        <w:t xml:space="preserve">Plastic or metal Troughs ( incubators), Hypodermic needles, sodium chloride, Metal barrels, Mercury in glass thermometers, measuring tapes, weighing scale, measuring cylinders and test tubes, dissecting kits, hypodermic syringe and needle, Electronic microscope, stop watch., Ice flakes /blocks, male and female catfish, </w:t>
      </w:r>
      <w:r w:rsidRPr="00E3232D">
        <w:rPr>
          <w:rFonts w:ascii="Book Antiqua" w:hAnsi="Book Antiqua"/>
          <w:bCs/>
          <w:i/>
          <w:kern w:val="36"/>
        </w:rPr>
        <w:t xml:space="preserve">Whisper Fish Tank Air Pump, </w:t>
      </w:r>
      <w:r w:rsidRPr="00E3232D">
        <w:rPr>
          <w:rFonts w:ascii="Book Antiqua" w:hAnsi="Book Antiqua"/>
          <w:i/>
        </w:rPr>
        <w:t>HIAC 9703+ liquid particle counter</w:t>
      </w:r>
    </w:p>
    <w:p w14:paraId="68766661" w14:textId="77777777" w:rsidR="000D4BF1" w:rsidRPr="00D704C5" w:rsidRDefault="00D704C5" w:rsidP="003D1971">
      <w:pPr>
        <w:jc w:val="both"/>
        <w:rPr>
          <w:rFonts w:ascii="Book Antiqua" w:hAnsi="Book Antiqua"/>
          <w:i/>
          <w:sz w:val="20"/>
        </w:rPr>
      </w:pPr>
      <w:r w:rsidRPr="00D704C5">
        <w:rPr>
          <w:rFonts w:ascii="Book Antiqua" w:hAnsi="Book Antiqua"/>
          <w:b/>
        </w:rPr>
        <w:t xml:space="preserve">2.2 </w:t>
      </w:r>
      <w:r w:rsidR="000D4BF1" w:rsidRPr="00D704C5">
        <w:rPr>
          <w:rFonts w:ascii="Book Antiqua" w:hAnsi="Book Antiqua"/>
          <w:b/>
        </w:rPr>
        <w:t>Method</w:t>
      </w:r>
    </w:p>
    <w:p w14:paraId="21427846" w14:textId="77777777" w:rsidR="000D4BF1" w:rsidRPr="00E3232D" w:rsidRDefault="000D4BF1" w:rsidP="003D1971">
      <w:pPr>
        <w:tabs>
          <w:tab w:val="left" w:pos="0"/>
        </w:tabs>
        <w:jc w:val="both"/>
        <w:rPr>
          <w:rFonts w:ascii="Book Antiqua" w:hAnsi="Book Antiqua"/>
        </w:rPr>
      </w:pPr>
      <w:r w:rsidRPr="00E3232D">
        <w:rPr>
          <w:rFonts w:ascii="Book Antiqua" w:hAnsi="Book Antiqua"/>
        </w:rPr>
        <w:t>The fish were harvested from a private fishfarm at adawso, near Koforidua, with the assistance of the Eastern regional Fisheries officer. The fish were kept in metal barrels containing about fifty lit</w:t>
      </w:r>
      <w:r>
        <w:rPr>
          <w:rFonts w:ascii="Book Antiqua" w:hAnsi="Book Antiqua"/>
        </w:rPr>
        <w:t>res (50ml) of water overnight</w:t>
      </w:r>
      <w:r w:rsidRPr="00E3232D">
        <w:rPr>
          <w:rFonts w:ascii="Book Antiqua" w:hAnsi="Book Antiqua"/>
        </w:rPr>
        <w:t>. On each occasion, a male and a female each were used. Ripped eggs were obtained by pituitary injection of the female.  Pituitary was collected from the male. The donor was decapitated and the pituitary extracted from the brain by dissection of the head.</w:t>
      </w:r>
      <w:r w:rsidRPr="00E3232D">
        <w:rPr>
          <w:rFonts w:ascii="Book Antiqua" w:hAnsi="Book Antiqua"/>
          <w:color w:val="FF0000"/>
        </w:rPr>
        <w:t xml:space="preserve"> </w:t>
      </w:r>
      <w:r w:rsidRPr="00E3232D">
        <w:rPr>
          <w:rFonts w:ascii="Book Antiqua" w:hAnsi="Book Antiqua"/>
        </w:rPr>
        <w:t xml:space="preserve">This was ground in a mortar using a pestle. Two milliliters (2ml) of an isotonic salt solution, prepared by dissolving nine grams (9g) of table salt in a litre of water, was added to the pituitary extract. </w:t>
      </w:r>
    </w:p>
    <w:p w14:paraId="0E0CD187" w14:textId="77777777" w:rsidR="000D4BF1" w:rsidRDefault="000D4BF1" w:rsidP="002722D1">
      <w:pPr>
        <w:spacing w:after="0"/>
        <w:jc w:val="both"/>
        <w:rPr>
          <w:rFonts w:ascii="Book Antiqua" w:hAnsi="Book Antiqua"/>
        </w:rPr>
      </w:pPr>
    </w:p>
    <w:p w14:paraId="1CCECF15" w14:textId="77777777" w:rsidR="000D4BF1" w:rsidRDefault="000D4BF1" w:rsidP="00335A55">
      <w:pPr>
        <w:spacing w:after="0"/>
        <w:jc w:val="both"/>
        <w:rPr>
          <w:rFonts w:ascii="Book Antiqua" w:hAnsi="Book Antiqua"/>
        </w:rPr>
      </w:pPr>
      <w:r w:rsidRPr="00E3232D">
        <w:rPr>
          <w:rFonts w:ascii="Book Antiqua" w:hAnsi="Book Antiqua"/>
        </w:rPr>
        <w:t xml:space="preserve">The female was injected with 2ml of the pituitary extract to induce ovulation. After ovulation, eggs were stripped by stomach squeezing after six hours. Milt (semen) was obtained by dissecting and perforation of </w:t>
      </w:r>
      <w:r w:rsidRPr="00E3232D">
        <w:rPr>
          <w:rFonts w:ascii="Book Antiqua" w:hAnsi="Book Antiqua"/>
        </w:rPr>
        <w:lastRenderedPageBreak/>
        <w:t xml:space="preserve">the testes of the decapitated male, using a pair of scissors. This was stored in isotonic salt solution and placed in a refrigerator at a temperature of about 8-10 </w:t>
      </w:r>
      <w:r w:rsidRPr="00E3232D">
        <w:rPr>
          <w:rFonts w:ascii="Book Antiqua" w:hAnsi="Book Antiqua"/>
          <w:vertAlign w:val="superscript"/>
        </w:rPr>
        <w:t>0</w:t>
      </w:r>
      <w:r w:rsidRPr="00E3232D">
        <w:rPr>
          <w:rFonts w:ascii="Book Antiqua" w:hAnsi="Book Antiqua"/>
        </w:rPr>
        <w:t xml:space="preserve">C . This is kept in the refridgerator till maturation and stripping of the eggs. After stripping the eggs out of the female, fertilization was achieved by mixing egg with the milt in a test tube. The sperms were activated on coming into contact with water. </w:t>
      </w:r>
    </w:p>
    <w:p w14:paraId="44EB2475" w14:textId="77777777" w:rsidR="003D1971" w:rsidRPr="003D1971" w:rsidRDefault="003D1971" w:rsidP="003D1971">
      <w:pPr>
        <w:spacing w:after="0"/>
        <w:jc w:val="both"/>
        <w:rPr>
          <w:rFonts w:ascii="Book Antiqua" w:hAnsi="Book Antiqua"/>
        </w:rPr>
      </w:pPr>
    </w:p>
    <w:p w14:paraId="0BE26F74" w14:textId="77777777" w:rsidR="000D4BF1" w:rsidRPr="00E3232D" w:rsidRDefault="00D704C5" w:rsidP="003D1971">
      <w:pPr>
        <w:jc w:val="both"/>
        <w:rPr>
          <w:rFonts w:ascii="Book Antiqua" w:hAnsi="Book Antiqua"/>
          <w:b/>
        </w:rPr>
      </w:pPr>
      <w:r>
        <w:rPr>
          <w:rFonts w:ascii="Book Antiqua" w:hAnsi="Book Antiqua"/>
          <w:b/>
        </w:rPr>
        <w:t>2.2.1</w:t>
      </w:r>
      <w:r w:rsidR="000D4BF1" w:rsidRPr="00E3232D">
        <w:rPr>
          <w:rFonts w:ascii="Book Antiqua" w:hAnsi="Book Antiqua"/>
          <w:b/>
        </w:rPr>
        <w:t xml:space="preserve">Temperature </w:t>
      </w:r>
      <w:r w:rsidRPr="00E3232D">
        <w:rPr>
          <w:rFonts w:ascii="Book Antiqua" w:hAnsi="Book Antiqua"/>
          <w:b/>
        </w:rPr>
        <w:t>Shock Treatment</w:t>
      </w:r>
    </w:p>
    <w:p w14:paraId="08DA6B8B" w14:textId="77777777" w:rsidR="000D4BF1" w:rsidRPr="00E3232D" w:rsidRDefault="000D4BF1" w:rsidP="00D704C5">
      <w:pPr>
        <w:autoSpaceDE w:val="0"/>
        <w:autoSpaceDN w:val="0"/>
        <w:adjustRightInd w:val="0"/>
        <w:jc w:val="both"/>
        <w:rPr>
          <w:rFonts w:ascii="Book Antiqua" w:hAnsi="Book Antiqua"/>
        </w:rPr>
      </w:pPr>
      <w:r w:rsidRPr="00E3232D">
        <w:rPr>
          <w:rFonts w:ascii="Book Antiqua" w:hAnsi="Book Antiqua"/>
        </w:rPr>
        <w:t xml:space="preserve">The shock medium was prepared by using a mixture of 1 litre of water with 10 kg of ice flakes as water bath. 5 min old fertilized eggs were subjected to cold shock at 0°C, 11 </w:t>
      </w:r>
      <w:r w:rsidRPr="00E3232D">
        <w:rPr>
          <w:rFonts w:ascii="Book Antiqua" w:hAnsi="Book Antiqua"/>
          <w:vertAlign w:val="superscript"/>
        </w:rPr>
        <w:t>0</w:t>
      </w:r>
      <w:r w:rsidRPr="00E3232D">
        <w:rPr>
          <w:rFonts w:ascii="Book Antiqua" w:hAnsi="Book Antiqua"/>
        </w:rPr>
        <w:t xml:space="preserve">C and 16 </w:t>
      </w:r>
      <w:r w:rsidRPr="00E3232D">
        <w:rPr>
          <w:rFonts w:ascii="Book Antiqua" w:hAnsi="Book Antiqua"/>
          <w:vertAlign w:val="superscript"/>
        </w:rPr>
        <w:t>0</w:t>
      </w:r>
      <w:r w:rsidRPr="00E3232D">
        <w:rPr>
          <w:rFonts w:ascii="Book Antiqua" w:hAnsi="Book Antiqua"/>
        </w:rPr>
        <w:t xml:space="preserve">C , while heat shock is applied at 42 </w:t>
      </w:r>
      <w:r w:rsidRPr="00E3232D">
        <w:rPr>
          <w:rFonts w:ascii="Book Antiqua" w:hAnsi="Book Antiqua"/>
          <w:vertAlign w:val="superscript"/>
        </w:rPr>
        <w:t>0</w:t>
      </w:r>
      <w:r w:rsidRPr="00E3232D">
        <w:rPr>
          <w:rFonts w:ascii="Book Antiqua" w:hAnsi="Book Antiqua"/>
        </w:rPr>
        <w:t xml:space="preserve">C, 40 </w:t>
      </w:r>
      <w:r w:rsidRPr="00E3232D">
        <w:rPr>
          <w:rFonts w:ascii="Book Antiqua" w:hAnsi="Book Antiqua"/>
          <w:vertAlign w:val="superscript"/>
        </w:rPr>
        <w:t>0</w:t>
      </w:r>
      <w:r w:rsidRPr="00E3232D">
        <w:rPr>
          <w:rFonts w:ascii="Book Antiqua" w:hAnsi="Book Antiqua"/>
        </w:rPr>
        <w:t xml:space="preserve">C and 38 </w:t>
      </w:r>
      <w:r w:rsidRPr="00E3232D">
        <w:rPr>
          <w:rFonts w:ascii="Book Antiqua" w:hAnsi="Book Antiqua"/>
          <w:vertAlign w:val="superscript"/>
        </w:rPr>
        <w:t>0</w:t>
      </w:r>
      <w:r w:rsidRPr="00E3232D">
        <w:rPr>
          <w:rFonts w:ascii="Book Antiqua" w:hAnsi="Book Antiqua"/>
        </w:rPr>
        <w:t>C for a period of 1 hour as described below. Mercury in glass thermometer was used to determine the right temperature regime throughout the period of shock treatment. Each test tube in the shock medium was removed at the time regime of one hour. The eggs were distributed into the various assigned incubation tanks for normal incubation at</w:t>
      </w:r>
      <w:r w:rsidR="00D704C5">
        <w:rPr>
          <w:rFonts w:ascii="Book Antiqua" w:hAnsi="Book Antiqua"/>
        </w:rPr>
        <w:t xml:space="preserve"> </w:t>
      </w:r>
      <w:r w:rsidRPr="00E3232D">
        <w:rPr>
          <w:rFonts w:ascii="Book Antiqua" w:hAnsi="Book Antiqua"/>
        </w:rPr>
        <w:t>24°C, pH 7.0, DO 5 mg/L and salinity 0.0%</w:t>
      </w:r>
    </w:p>
    <w:p w14:paraId="3E5C6207" w14:textId="77777777" w:rsidR="000D4BF1" w:rsidRPr="00E3232D" w:rsidRDefault="000D4BF1" w:rsidP="003D1971">
      <w:pPr>
        <w:jc w:val="both"/>
        <w:rPr>
          <w:rFonts w:ascii="Book Antiqua" w:hAnsi="Book Antiqua"/>
        </w:rPr>
      </w:pPr>
      <w:r w:rsidRPr="00E3232D">
        <w:rPr>
          <w:rFonts w:ascii="Book Antiqua" w:hAnsi="Book Antiqua"/>
        </w:rPr>
        <w:t>Factors that were critical in this experiment were:</w:t>
      </w:r>
    </w:p>
    <w:p w14:paraId="792978A9" w14:textId="77777777" w:rsidR="000D4BF1" w:rsidRPr="00E3232D" w:rsidRDefault="000D4BF1" w:rsidP="00196385">
      <w:pPr>
        <w:pStyle w:val="ListParagraph"/>
        <w:numPr>
          <w:ilvl w:val="0"/>
          <w:numId w:val="41"/>
        </w:numPr>
        <w:ind w:left="360"/>
        <w:jc w:val="both"/>
        <w:rPr>
          <w:rFonts w:ascii="Book Antiqua" w:hAnsi="Book Antiqua"/>
        </w:rPr>
      </w:pPr>
      <w:r w:rsidRPr="00E3232D">
        <w:rPr>
          <w:rFonts w:ascii="Book Antiqua" w:hAnsi="Book Antiqua"/>
        </w:rPr>
        <w:t xml:space="preserve">Temperature of treatment </w:t>
      </w:r>
    </w:p>
    <w:p w14:paraId="4706EE98" w14:textId="77777777" w:rsidR="000D4BF1" w:rsidRPr="00E3232D" w:rsidRDefault="000D4BF1" w:rsidP="00196385">
      <w:pPr>
        <w:pStyle w:val="ListParagraph"/>
        <w:numPr>
          <w:ilvl w:val="0"/>
          <w:numId w:val="41"/>
        </w:numPr>
        <w:ind w:left="360"/>
        <w:jc w:val="both"/>
        <w:rPr>
          <w:rFonts w:ascii="Book Antiqua" w:hAnsi="Book Antiqua"/>
        </w:rPr>
      </w:pPr>
      <w:r w:rsidRPr="00E3232D">
        <w:rPr>
          <w:rFonts w:ascii="Book Antiqua" w:hAnsi="Book Antiqua"/>
        </w:rPr>
        <w:t xml:space="preserve">Time after fertilization before treatment was applied </w:t>
      </w:r>
    </w:p>
    <w:p w14:paraId="6FFC1927" w14:textId="77777777" w:rsidR="000D4BF1" w:rsidRPr="00335A55" w:rsidRDefault="000D4BF1" w:rsidP="00196385">
      <w:pPr>
        <w:pStyle w:val="ListParagraph"/>
        <w:numPr>
          <w:ilvl w:val="0"/>
          <w:numId w:val="41"/>
        </w:numPr>
        <w:ind w:left="360"/>
        <w:jc w:val="both"/>
        <w:rPr>
          <w:rFonts w:ascii="Book Antiqua" w:hAnsi="Book Antiqua"/>
        </w:rPr>
      </w:pPr>
      <w:r w:rsidRPr="00E3232D">
        <w:rPr>
          <w:rFonts w:ascii="Book Antiqua" w:hAnsi="Book Antiqua"/>
        </w:rPr>
        <w:t>Duration of treatment</w:t>
      </w:r>
    </w:p>
    <w:p w14:paraId="355DE880" w14:textId="77777777" w:rsidR="000D4BF1" w:rsidRPr="00E3232D" w:rsidRDefault="000D4BF1" w:rsidP="003D1971">
      <w:pPr>
        <w:spacing w:after="0"/>
        <w:jc w:val="both"/>
        <w:rPr>
          <w:rFonts w:ascii="Book Antiqua" w:hAnsi="Book Antiqua"/>
        </w:rPr>
      </w:pPr>
      <w:r w:rsidRPr="00E3232D">
        <w:rPr>
          <w:rFonts w:ascii="Book Antiqua" w:hAnsi="Book Antiqua"/>
        </w:rPr>
        <w:t>In the study, time after fertilization was kept at five minutes for all the treatment. Duration of treatment was kept at 3.5 minutes for heat shock treatment and at 1 hour for cold shock treatments.</w:t>
      </w:r>
    </w:p>
    <w:p w14:paraId="6EAD4FBD" w14:textId="77777777" w:rsidR="003D0295" w:rsidRDefault="003D0295" w:rsidP="003D1971">
      <w:pPr>
        <w:spacing w:after="0"/>
        <w:jc w:val="both"/>
        <w:rPr>
          <w:rFonts w:ascii="Book Antiqua" w:hAnsi="Book Antiqua"/>
          <w:b/>
        </w:rPr>
      </w:pPr>
    </w:p>
    <w:p w14:paraId="09D8EC51" w14:textId="77777777" w:rsidR="000D4BF1" w:rsidRPr="00E3232D" w:rsidRDefault="00D704C5" w:rsidP="003D1971">
      <w:pPr>
        <w:spacing w:after="0"/>
        <w:jc w:val="both"/>
        <w:rPr>
          <w:rFonts w:ascii="Book Antiqua" w:hAnsi="Book Antiqua"/>
          <w:b/>
        </w:rPr>
      </w:pPr>
      <w:r>
        <w:rPr>
          <w:rFonts w:ascii="Book Antiqua" w:hAnsi="Book Antiqua"/>
          <w:b/>
        </w:rPr>
        <w:t xml:space="preserve">2.2.2 </w:t>
      </w:r>
      <w:r w:rsidR="000D4BF1" w:rsidRPr="00E3232D">
        <w:rPr>
          <w:rFonts w:ascii="Book Antiqua" w:hAnsi="Book Antiqua"/>
          <w:b/>
        </w:rPr>
        <w:t xml:space="preserve">Heat </w:t>
      </w:r>
      <w:r w:rsidRPr="00E3232D">
        <w:rPr>
          <w:rFonts w:ascii="Book Antiqua" w:hAnsi="Book Antiqua"/>
          <w:b/>
        </w:rPr>
        <w:t>Shock Treatment</w:t>
      </w:r>
    </w:p>
    <w:p w14:paraId="61EE8D35" w14:textId="77777777" w:rsidR="003D1971" w:rsidRDefault="000D4BF1" w:rsidP="003D1971">
      <w:pPr>
        <w:spacing w:after="0"/>
        <w:jc w:val="both"/>
        <w:rPr>
          <w:rFonts w:ascii="Book Antiqua" w:hAnsi="Book Antiqua"/>
        </w:rPr>
      </w:pPr>
      <w:r w:rsidRPr="00E3232D">
        <w:rPr>
          <w:rFonts w:ascii="Book Antiqua" w:hAnsi="Book Antiqua"/>
        </w:rPr>
        <w:t>Heat shock was applied to the newly fertilized eggs after 5 minutes of fertilization. Temperatures of 42, 40, and 38</w:t>
      </w:r>
      <w:r w:rsidRPr="00E3232D">
        <w:rPr>
          <w:rFonts w:ascii="Book Antiqua" w:hAnsi="Book Antiqua"/>
          <w:vertAlign w:val="superscript"/>
        </w:rPr>
        <w:t>0</w:t>
      </w:r>
      <w:r w:rsidRPr="00E3232D">
        <w:rPr>
          <w:rFonts w:ascii="Book Antiqua" w:hAnsi="Book Antiqua"/>
        </w:rPr>
        <w:t>C were used for the first, second and third treatments, respectively in a test tube. The duration of shock was kept at 3.5 minutes (Shah and Beardmore 1984)</w:t>
      </w:r>
    </w:p>
    <w:p w14:paraId="17AC036C" w14:textId="77777777" w:rsidR="003D1971" w:rsidRDefault="003D1971" w:rsidP="003D1971">
      <w:pPr>
        <w:spacing w:after="0"/>
        <w:jc w:val="both"/>
        <w:rPr>
          <w:rFonts w:ascii="Book Antiqua" w:hAnsi="Book Antiqua"/>
        </w:rPr>
      </w:pPr>
    </w:p>
    <w:p w14:paraId="3D0BFF8E" w14:textId="77777777" w:rsidR="000D4BF1" w:rsidRPr="00E3232D" w:rsidRDefault="00D704C5" w:rsidP="003D1971">
      <w:pPr>
        <w:spacing w:after="0"/>
        <w:jc w:val="both"/>
        <w:rPr>
          <w:rFonts w:ascii="Book Antiqua" w:hAnsi="Book Antiqua"/>
          <w:b/>
        </w:rPr>
      </w:pPr>
      <w:r>
        <w:rPr>
          <w:rFonts w:ascii="Book Antiqua" w:hAnsi="Book Antiqua"/>
          <w:b/>
        </w:rPr>
        <w:t xml:space="preserve">2.2.3 </w:t>
      </w:r>
      <w:r w:rsidR="000D4BF1" w:rsidRPr="00E3232D">
        <w:rPr>
          <w:rFonts w:ascii="Book Antiqua" w:hAnsi="Book Antiqua"/>
          <w:b/>
        </w:rPr>
        <w:t xml:space="preserve">Cold </w:t>
      </w:r>
      <w:r w:rsidRPr="00E3232D">
        <w:rPr>
          <w:rFonts w:ascii="Book Antiqua" w:hAnsi="Book Antiqua"/>
          <w:b/>
        </w:rPr>
        <w:t>Shock Treatment</w:t>
      </w:r>
    </w:p>
    <w:p w14:paraId="1057C2B4" w14:textId="77777777" w:rsidR="000D4BF1" w:rsidRPr="00D704C5" w:rsidRDefault="000D4BF1" w:rsidP="003D1971">
      <w:pPr>
        <w:spacing w:after="0"/>
        <w:jc w:val="both"/>
        <w:rPr>
          <w:rFonts w:ascii="Book Antiqua" w:hAnsi="Book Antiqua"/>
        </w:rPr>
      </w:pPr>
    </w:p>
    <w:p w14:paraId="11D53E3F" w14:textId="77777777" w:rsidR="000D4BF1" w:rsidRPr="00D704C5" w:rsidRDefault="000D4BF1" w:rsidP="00D704C5">
      <w:pPr>
        <w:jc w:val="both"/>
        <w:rPr>
          <w:rFonts w:ascii="Book Antiqua" w:hAnsi="Book Antiqua"/>
        </w:rPr>
      </w:pPr>
      <w:r w:rsidRPr="00E3232D">
        <w:rPr>
          <w:rFonts w:ascii="Book Antiqua" w:hAnsi="Book Antiqua"/>
        </w:rPr>
        <w:t>The fertilized eggs were exposed to a cold shock of 0</w:t>
      </w:r>
      <w:r w:rsidRPr="00E3232D">
        <w:rPr>
          <w:rFonts w:ascii="Book Antiqua" w:hAnsi="Book Antiqua"/>
          <w:vertAlign w:val="superscript"/>
        </w:rPr>
        <w:t>0</w:t>
      </w:r>
      <w:r w:rsidRPr="00E3232D">
        <w:rPr>
          <w:rFonts w:ascii="Book Antiqua" w:hAnsi="Book Antiqua"/>
        </w:rPr>
        <w:t>C, 11</w:t>
      </w:r>
      <w:r w:rsidRPr="00E3232D">
        <w:rPr>
          <w:rFonts w:ascii="Book Antiqua" w:hAnsi="Book Antiqua"/>
          <w:vertAlign w:val="superscript"/>
        </w:rPr>
        <w:t>0</w:t>
      </w:r>
      <w:r w:rsidRPr="00E3232D">
        <w:rPr>
          <w:rFonts w:ascii="Book Antiqua" w:hAnsi="Book Antiqua"/>
        </w:rPr>
        <w:t>C and 16</w:t>
      </w:r>
      <w:r w:rsidRPr="00E3232D">
        <w:rPr>
          <w:rFonts w:ascii="Book Antiqua" w:hAnsi="Book Antiqua"/>
          <w:vertAlign w:val="superscript"/>
        </w:rPr>
        <w:t>0</w:t>
      </w:r>
      <w:r w:rsidRPr="00E3232D">
        <w:rPr>
          <w:rFonts w:ascii="Book Antiqua" w:hAnsi="Book Antiqua"/>
        </w:rPr>
        <w:t>C for duration of 1 hour and applied at 5 minutes after fertilization in a test tube, in that order. The number of eggs hatched from each treatment was determined by counting. Two hundred (200) eggs were used in each treatment. After shocking the eggs were incubated in troughs with an inlet and outlet which ensures a constant inflow and outflow of water which is conducive for the development of the larvae. Other parameters such P</w:t>
      </w:r>
      <w:r w:rsidRPr="00E3232D">
        <w:rPr>
          <w:rFonts w:ascii="Book Antiqua" w:hAnsi="Book Antiqua"/>
          <w:vertAlign w:val="superscript"/>
        </w:rPr>
        <w:t>H</w:t>
      </w:r>
      <w:r w:rsidRPr="00E3232D">
        <w:rPr>
          <w:rFonts w:ascii="Book Antiqua" w:hAnsi="Book Antiqua"/>
        </w:rPr>
        <w:t>, turbidity etc.were all monitored to ensure growth of larvae.</w:t>
      </w:r>
    </w:p>
    <w:p w14:paraId="3CC1BBF9" w14:textId="77777777" w:rsidR="000D4BF1" w:rsidRPr="00E3232D" w:rsidRDefault="000D4BF1" w:rsidP="003D1971">
      <w:pPr>
        <w:jc w:val="both"/>
        <w:rPr>
          <w:rFonts w:ascii="Book Antiqua" w:hAnsi="Book Antiqua"/>
          <w:b/>
        </w:rPr>
      </w:pPr>
      <w:r w:rsidRPr="00E3232D">
        <w:rPr>
          <w:rFonts w:ascii="Book Antiqua" w:hAnsi="Book Antiqua"/>
          <w:b/>
        </w:rPr>
        <w:t xml:space="preserve">Hatchability of </w:t>
      </w:r>
      <w:r w:rsidRPr="00E3232D">
        <w:rPr>
          <w:rFonts w:ascii="Book Antiqua" w:hAnsi="Book Antiqua"/>
          <w:b/>
          <w:u w:val="single"/>
        </w:rPr>
        <w:t>H</w:t>
      </w:r>
      <w:r w:rsidRPr="00E3232D">
        <w:rPr>
          <w:rFonts w:ascii="Book Antiqua" w:hAnsi="Book Antiqua"/>
          <w:b/>
        </w:rPr>
        <w:t xml:space="preserve"> </w:t>
      </w:r>
      <w:r w:rsidRPr="00E3232D">
        <w:rPr>
          <w:rFonts w:ascii="Book Antiqua" w:hAnsi="Book Antiqua"/>
          <w:b/>
          <w:u w:val="single"/>
        </w:rPr>
        <w:t>isopterous</w:t>
      </w:r>
      <w:r w:rsidRPr="00E3232D">
        <w:rPr>
          <w:rFonts w:ascii="Book Antiqua" w:hAnsi="Book Antiqua"/>
          <w:b/>
        </w:rPr>
        <w:t xml:space="preserve"> larvae of temperature shock</w:t>
      </w:r>
    </w:p>
    <w:p w14:paraId="6F550510" w14:textId="77777777" w:rsidR="000D4BF1" w:rsidRPr="00E3232D" w:rsidRDefault="000D4BF1" w:rsidP="00196385">
      <w:pPr>
        <w:pStyle w:val="ListParagraph"/>
        <w:numPr>
          <w:ilvl w:val="0"/>
          <w:numId w:val="42"/>
        </w:numPr>
        <w:tabs>
          <w:tab w:val="left" w:pos="450"/>
        </w:tabs>
        <w:ind w:hanging="720"/>
        <w:jc w:val="both"/>
        <w:rPr>
          <w:rFonts w:ascii="Book Antiqua" w:hAnsi="Book Antiqua"/>
          <w:b/>
          <w:bCs/>
        </w:rPr>
      </w:pPr>
      <w:r w:rsidRPr="00E3232D">
        <w:rPr>
          <w:rFonts w:ascii="Book Antiqua" w:hAnsi="Book Antiqua"/>
          <w:b/>
          <w:bCs/>
        </w:rPr>
        <w:t xml:space="preserve">Larval </w:t>
      </w:r>
      <w:r w:rsidR="00810C65" w:rsidRPr="00E3232D">
        <w:rPr>
          <w:rFonts w:ascii="Book Antiqua" w:hAnsi="Book Antiqua"/>
          <w:b/>
          <w:bCs/>
        </w:rPr>
        <w:t>Rearing</w:t>
      </w:r>
    </w:p>
    <w:p w14:paraId="2BB02D33" w14:textId="77777777" w:rsidR="00335A55" w:rsidRPr="00D704C5" w:rsidRDefault="000D4BF1" w:rsidP="00D704C5">
      <w:pPr>
        <w:tabs>
          <w:tab w:val="left" w:pos="0"/>
        </w:tabs>
        <w:jc w:val="both"/>
        <w:rPr>
          <w:rFonts w:ascii="Book Antiqua" w:hAnsi="Book Antiqua"/>
        </w:rPr>
      </w:pPr>
      <w:r w:rsidRPr="00E3232D">
        <w:rPr>
          <w:rFonts w:ascii="Book Antiqua" w:hAnsi="Book Antiqua"/>
        </w:rPr>
        <w:t xml:space="preserve">Larval rearing was carried out by placing hatchlings each in replicate plastic tanks. In the first 3 days, the healthy larval were nourished by the yolk deposit and subsequently fed with </w:t>
      </w:r>
      <w:r w:rsidRPr="00E3232D">
        <w:rPr>
          <w:rFonts w:ascii="Book Antiqua" w:hAnsi="Book Antiqua"/>
          <w:i/>
        </w:rPr>
        <w:t>artemia</w:t>
      </w:r>
      <w:r w:rsidRPr="00E3232D">
        <w:rPr>
          <w:rFonts w:ascii="Book Antiqua" w:hAnsi="Book Antiqua"/>
        </w:rPr>
        <w:t xml:space="preserve"> from the 4th day for 2 weeks.</w:t>
      </w:r>
    </w:p>
    <w:p w14:paraId="20C2D712" w14:textId="77777777" w:rsidR="000D4BF1" w:rsidRPr="00E3232D" w:rsidRDefault="000D4BF1" w:rsidP="003D1971">
      <w:pPr>
        <w:jc w:val="both"/>
        <w:rPr>
          <w:rFonts w:ascii="Book Antiqua" w:hAnsi="Book Antiqua"/>
          <w:b/>
          <w:bCs/>
        </w:rPr>
      </w:pPr>
      <w:r w:rsidRPr="00E3232D">
        <w:rPr>
          <w:rFonts w:ascii="Book Antiqua" w:hAnsi="Book Antiqua"/>
          <w:b/>
          <w:bCs/>
        </w:rPr>
        <w:t xml:space="preserve">Water </w:t>
      </w:r>
      <w:r w:rsidR="00810C65" w:rsidRPr="00E3232D">
        <w:rPr>
          <w:rFonts w:ascii="Book Antiqua" w:hAnsi="Book Antiqua"/>
          <w:b/>
          <w:bCs/>
        </w:rPr>
        <w:t>Quality Monitoring</w:t>
      </w:r>
    </w:p>
    <w:p w14:paraId="6DC18356" w14:textId="77777777" w:rsidR="000D4BF1" w:rsidRPr="00E3232D" w:rsidRDefault="000D4BF1" w:rsidP="003D1971">
      <w:pPr>
        <w:jc w:val="both"/>
        <w:rPr>
          <w:rFonts w:ascii="Book Antiqua" w:hAnsi="Book Antiqua"/>
        </w:rPr>
      </w:pPr>
      <w:r w:rsidRPr="00E3232D">
        <w:rPr>
          <w:rFonts w:ascii="Book Antiqua" w:hAnsi="Book Antiqua"/>
        </w:rPr>
        <w:t xml:space="preserve">Water quality parameters such as dissolved oxygen, pH, conductivity, salinity and temperature required for growth and other </w:t>
      </w:r>
      <w:r w:rsidRPr="00E3232D">
        <w:rPr>
          <w:rFonts w:ascii="Book Antiqua" w:hAnsi="Book Antiqua"/>
        </w:rPr>
        <w:lastRenderedPageBreak/>
        <w:t>biological processes were monitored weekly. Water in the culture receptacles was changed daily and aerated with with a 3W 220V Whisper Fish Tank Air Pump YT-301</w:t>
      </w:r>
      <w:r w:rsidRPr="00E3232D">
        <w:rPr>
          <w:rFonts w:ascii="Book Antiqua" w:hAnsi="Book Antiqua"/>
          <w:color w:val="FF0000"/>
        </w:rPr>
        <w:t xml:space="preserve"> </w:t>
      </w:r>
      <w:r w:rsidRPr="00E3232D">
        <w:rPr>
          <w:rFonts w:ascii="Book Antiqua" w:hAnsi="Book Antiqua"/>
        </w:rPr>
        <w:t xml:space="preserve">   throughout the period of the study to ensure high water quality and to prevent stress.</w:t>
      </w:r>
    </w:p>
    <w:p w14:paraId="33D8641E" w14:textId="77777777" w:rsidR="000D4BF1" w:rsidRDefault="000D4BF1" w:rsidP="00810C65">
      <w:pPr>
        <w:spacing w:after="0"/>
        <w:jc w:val="both"/>
        <w:rPr>
          <w:rFonts w:ascii="Book Antiqua" w:hAnsi="Book Antiqua"/>
          <w:b/>
        </w:rPr>
      </w:pPr>
    </w:p>
    <w:p w14:paraId="0F859FB4" w14:textId="77777777" w:rsidR="000D4BF1" w:rsidRPr="00E3232D" w:rsidRDefault="000D4BF1" w:rsidP="003D1971">
      <w:pPr>
        <w:jc w:val="both"/>
        <w:rPr>
          <w:rFonts w:ascii="Book Antiqua" w:hAnsi="Book Antiqua"/>
          <w:b/>
        </w:rPr>
      </w:pPr>
      <w:r w:rsidRPr="00E3232D">
        <w:rPr>
          <w:rFonts w:ascii="Book Antiqua" w:hAnsi="Book Antiqua"/>
          <w:b/>
        </w:rPr>
        <w:t xml:space="preserve">Method of </w:t>
      </w:r>
      <w:r w:rsidR="00810C65" w:rsidRPr="00E3232D">
        <w:rPr>
          <w:rFonts w:ascii="Book Antiqua" w:hAnsi="Book Antiqua"/>
          <w:b/>
        </w:rPr>
        <w:t>Triploid Verification</w:t>
      </w:r>
    </w:p>
    <w:p w14:paraId="144C76D6" w14:textId="77777777" w:rsidR="000D4BF1" w:rsidRPr="00E3232D" w:rsidRDefault="000D4BF1" w:rsidP="003D1971">
      <w:pPr>
        <w:pStyle w:val="ListParagraph"/>
        <w:tabs>
          <w:tab w:val="left" w:pos="360"/>
        </w:tabs>
        <w:ind w:left="90"/>
        <w:jc w:val="both"/>
        <w:rPr>
          <w:rFonts w:ascii="Book Antiqua" w:hAnsi="Book Antiqua"/>
        </w:rPr>
      </w:pPr>
      <w:r w:rsidRPr="00E3232D">
        <w:rPr>
          <w:rFonts w:ascii="Book Antiqua" w:hAnsi="Book Antiqua"/>
        </w:rPr>
        <w:t>Triploidy in fish was verified by taking a blood sample and analyzing the volume of red blood cells, using HIAC 9703+ liquid particle counter.. Blood samples were taken from fish greater than fifty millimeters (0.05mm) long. The blood sample was immediately placed in a vial containing an electrolyte solution The cell membrane of the red blood cells are dissolved (lysed) with a lysing agent (Hematall LA-Hgb Reagent™, Fisher Scientific®), leaving the nuclei Lysed blood cells were immediately scanned for ploidy determination with the HIAC 9703+ liquid particle counter, calibrated to read both diploid and triploid red blood cell nuclei volumes    . Bend in trunk of some of the fry indicated triploidy. This phenomenon is often associated with triploidy.</w:t>
      </w:r>
    </w:p>
    <w:p w14:paraId="5477BD4B" w14:textId="77777777" w:rsidR="000D4BF1" w:rsidRDefault="000D4BF1" w:rsidP="003D1971">
      <w:pPr>
        <w:jc w:val="both"/>
        <w:rPr>
          <w:rFonts w:ascii="Book Antiqua" w:hAnsi="Book Antiqua"/>
          <w:b/>
        </w:rPr>
      </w:pPr>
    </w:p>
    <w:p w14:paraId="10A5C003" w14:textId="77777777" w:rsidR="00810C65" w:rsidRDefault="00810C65" w:rsidP="003D1971">
      <w:pPr>
        <w:jc w:val="both"/>
        <w:rPr>
          <w:rFonts w:ascii="Book Antiqua" w:hAnsi="Book Antiqua"/>
          <w:b/>
        </w:rPr>
      </w:pPr>
    </w:p>
    <w:p w14:paraId="41C3FDCB" w14:textId="77777777" w:rsidR="00335A55" w:rsidRDefault="00335A55" w:rsidP="003D1971">
      <w:pPr>
        <w:jc w:val="both"/>
        <w:rPr>
          <w:rFonts w:ascii="Book Antiqua" w:hAnsi="Book Antiqua"/>
          <w:b/>
        </w:rPr>
      </w:pPr>
    </w:p>
    <w:p w14:paraId="16EC3242" w14:textId="77777777" w:rsidR="00D704C5" w:rsidRDefault="00D704C5" w:rsidP="003D1971">
      <w:pPr>
        <w:jc w:val="both"/>
        <w:rPr>
          <w:rFonts w:ascii="Book Antiqua" w:hAnsi="Book Antiqua"/>
          <w:b/>
        </w:rPr>
      </w:pPr>
    </w:p>
    <w:p w14:paraId="7E50DBD3" w14:textId="77777777" w:rsidR="00D704C5" w:rsidRDefault="00D704C5" w:rsidP="003D1971">
      <w:pPr>
        <w:jc w:val="both"/>
        <w:rPr>
          <w:rFonts w:ascii="Book Antiqua" w:hAnsi="Book Antiqua"/>
          <w:b/>
        </w:rPr>
      </w:pPr>
    </w:p>
    <w:p w14:paraId="7F0E2349" w14:textId="77777777" w:rsidR="00D704C5" w:rsidRDefault="00D704C5" w:rsidP="003D1971">
      <w:pPr>
        <w:jc w:val="both"/>
        <w:rPr>
          <w:rFonts w:ascii="Book Antiqua" w:hAnsi="Book Antiqua"/>
          <w:b/>
        </w:rPr>
      </w:pPr>
    </w:p>
    <w:p w14:paraId="5C6CAE9D" w14:textId="77777777" w:rsidR="00335A55" w:rsidRDefault="00335A55" w:rsidP="003D1971">
      <w:pPr>
        <w:jc w:val="both"/>
        <w:rPr>
          <w:rFonts w:ascii="Book Antiqua" w:hAnsi="Book Antiqua"/>
          <w:b/>
        </w:rPr>
      </w:pPr>
    </w:p>
    <w:p w14:paraId="5073AA0E" w14:textId="77777777" w:rsidR="000D4BF1" w:rsidRPr="00E3232D" w:rsidRDefault="000D4BF1" w:rsidP="003D1971">
      <w:pPr>
        <w:jc w:val="both"/>
        <w:rPr>
          <w:rFonts w:ascii="Book Antiqua" w:hAnsi="Book Antiqua"/>
          <w:b/>
        </w:rPr>
      </w:pPr>
      <w:r w:rsidRPr="00E3232D">
        <w:rPr>
          <w:rFonts w:ascii="Book Antiqua" w:hAnsi="Book Antiqua"/>
          <w:b/>
        </w:rPr>
        <w:t>Plate 1: Particle electronic counter</w:t>
      </w:r>
    </w:p>
    <w:p w14:paraId="004FBFF2" w14:textId="77777777" w:rsidR="000D4BF1" w:rsidRPr="00E3232D" w:rsidRDefault="000D4BF1" w:rsidP="00A56F27">
      <w:pPr>
        <w:tabs>
          <w:tab w:val="left" w:pos="450"/>
        </w:tabs>
        <w:spacing w:after="0"/>
        <w:rPr>
          <w:rFonts w:ascii="Book Antiqua" w:hAnsi="Book Antiqua"/>
          <w:b/>
        </w:rPr>
      </w:pPr>
      <w:r w:rsidRPr="00E3232D">
        <w:rPr>
          <w:rFonts w:ascii="Book Antiqua" w:hAnsi="Book Antiqua"/>
          <w:b/>
        </w:rPr>
        <w:t>Table 1: Triploidy Verification</w:t>
      </w:r>
    </w:p>
    <w:tbl>
      <w:tblPr>
        <w:tblStyle w:val="LightShading2"/>
        <w:tblW w:w="0" w:type="auto"/>
        <w:tblLook w:val="04A0" w:firstRow="1" w:lastRow="0" w:firstColumn="1" w:lastColumn="0" w:noHBand="0" w:noVBand="1"/>
      </w:tblPr>
      <w:tblGrid>
        <w:gridCol w:w="1879"/>
        <w:gridCol w:w="2378"/>
      </w:tblGrid>
      <w:tr w:rsidR="000D4BF1" w:rsidRPr="00D12E59" w14:paraId="3D3E0867" w14:textId="77777777" w:rsidTr="004105BC">
        <w:trPr>
          <w:cnfStyle w:val="100000000000" w:firstRow="1" w:lastRow="0" w:firstColumn="0" w:lastColumn="0" w:oddVBand="0" w:evenVBand="0" w:oddHBand="0"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0E8346C3" w14:textId="77777777" w:rsidR="000D4BF1" w:rsidRPr="00D12E59" w:rsidRDefault="000D4BF1" w:rsidP="004105BC">
            <w:pPr>
              <w:tabs>
                <w:tab w:val="left" w:pos="450"/>
              </w:tabs>
              <w:spacing w:after="0" w:line="240" w:lineRule="auto"/>
              <w:rPr>
                <w:rFonts w:ascii="Book Antiqua" w:hAnsi="Book Antiqua"/>
                <w:b w:val="0"/>
              </w:rPr>
            </w:pPr>
            <w:r w:rsidRPr="00D12E59">
              <w:rPr>
                <w:rFonts w:ascii="Book Antiqua" w:hAnsi="Book Antiqua"/>
              </w:rPr>
              <w:t xml:space="preserve">Temperature </w:t>
            </w:r>
          </w:p>
        </w:tc>
        <w:tc>
          <w:tcPr>
            <w:tcW w:w="2378" w:type="dxa"/>
            <w:shd w:val="clear" w:color="auto" w:fill="auto"/>
          </w:tcPr>
          <w:p w14:paraId="5D3E61E2" w14:textId="77777777" w:rsidR="000D4BF1" w:rsidRPr="00D12E59" w:rsidRDefault="000D4BF1" w:rsidP="004105BC">
            <w:pPr>
              <w:tabs>
                <w:tab w:val="left" w:pos="450"/>
              </w:tabs>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D12E59">
              <w:rPr>
                <w:rFonts w:ascii="Book Antiqua" w:hAnsi="Book Antiqua"/>
              </w:rPr>
              <w:t>Percentage (%) Triploidy</w:t>
            </w:r>
          </w:p>
        </w:tc>
      </w:tr>
      <w:tr w:rsidR="000D4BF1" w:rsidRPr="00D12E59" w14:paraId="72A24772" w14:textId="77777777" w:rsidTr="004105BC">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0FD539A7" w14:textId="77777777" w:rsidR="000D4BF1" w:rsidRPr="00D12E59" w:rsidRDefault="000D4BF1" w:rsidP="004105BC">
            <w:pPr>
              <w:tabs>
                <w:tab w:val="left" w:pos="450"/>
              </w:tabs>
              <w:spacing w:after="0" w:line="240" w:lineRule="auto"/>
              <w:jc w:val="center"/>
              <w:rPr>
                <w:rFonts w:ascii="Book Antiqua" w:hAnsi="Book Antiqua"/>
              </w:rPr>
            </w:pPr>
            <w:r w:rsidRPr="00D12E59">
              <w:rPr>
                <w:rFonts w:ascii="Book Antiqua" w:hAnsi="Book Antiqua"/>
              </w:rPr>
              <w:t>Control (28</w:t>
            </w:r>
            <w:r w:rsidRPr="00D12E59">
              <w:rPr>
                <w:rFonts w:ascii="Book Antiqua" w:hAnsi="Book Antiqua"/>
                <w:vertAlign w:val="superscript"/>
              </w:rPr>
              <w:t>o</w:t>
            </w:r>
            <w:r w:rsidRPr="00D12E59">
              <w:rPr>
                <w:rFonts w:ascii="Book Antiqua" w:hAnsi="Book Antiqua"/>
              </w:rPr>
              <w:t>C)</w:t>
            </w:r>
          </w:p>
        </w:tc>
        <w:tc>
          <w:tcPr>
            <w:tcW w:w="2378" w:type="dxa"/>
            <w:shd w:val="clear" w:color="auto" w:fill="auto"/>
          </w:tcPr>
          <w:p w14:paraId="0211742B" w14:textId="77777777" w:rsidR="000D4BF1" w:rsidRPr="00D12E59" w:rsidRDefault="000D4BF1" w:rsidP="004105BC">
            <w:pPr>
              <w:tabs>
                <w:tab w:val="left" w:pos="450"/>
              </w:tabs>
              <w:spacing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0</w:t>
            </w:r>
          </w:p>
        </w:tc>
      </w:tr>
      <w:tr w:rsidR="000D4BF1" w:rsidRPr="00D12E59" w14:paraId="02F5A4CD" w14:textId="77777777" w:rsidTr="004105BC">
        <w:trPr>
          <w:trHeight w:val="358"/>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569BD89A" w14:textId="77777777" w:rsidR="000D4BF1" w:rsidRPr="00D12E59" w:rsidRDefault="000D4BF1" w:rsidP="004105BC">
            <w:pPr>
              <w:tabs>
                <w:tab w:val="left" w:pos="450"/>
              </w:tabs>
              <w:spacing w:line="240" w:lineRule="auto"/>
              <w:jc w:val="center"/>
              <w:rPr>
                <w:rFonts w:ascii="Book Antiqua" w:hAnsi="Book Antiqua"/>
              </w:rPr>
            </w:pPr>
            <w:r w:rsidRPr="00D12E59">
              <w:rPr>
                <w:rFonts w:ascii="Book Antiqua" w:hAnsi="Book Antiqua"/>
              </w:rPr>
              <w:t>0 (</w:t>
            </w:r>
            <w:r w:rsidRPr="00D12E59">
              <w:rPr>
                <w:rFonts w:ascii="Book Antiqua" w:hAnsi="Book Antiqua"/>
                <w:vertAlign w:val="superscript"/>
              </w:rPr>
              <w:t>0</w:t>
            </w:r>
            <w:r w:rsidRPr="00D12E59">
              <w:rPr>
                <w:rFonts w:ascii="Book Antiqua" w:hAnsi="Book Antiqua"/>
              </w:rPr>
              <w:t>C)</w:t>
            </w:r>
          </w:p>
        </w:tc>
        <w:tc>
          <w:tcPr>
            <w:tcW w:w="2378" w:type="dxa"/>
            <w:shd w:val="clear" w:color="auto" w:fill="auto"/>
          </w:tcPr>
          <w:p w14:paraId="33D163FD" w14:textId="77777777" w:rsidR="000D4BF1" w:rsidRPr="00D12E59" w:rsidRDefault="000D4BF1" w:rsidP="004105BC">
            <w:pPr>
              <w:tabs>
                <w:tab w:val="left" w:pos="450"/>
              </w:tabs>
              <w:spacing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85</w:t>
            </w:r>
          </w:p>
        </w:tc>
      </w:tr>
      <w:tr w:rsidR="000D4BF1" w:rsidRPr="00D12E59" w14:paraId="04C82CF2" w14:textId="77777777" w:rsidTr="004105BC">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24BFEF51" w14:textId="77777777" w:rsidR="000D4BF1" w:rsidRPr="00D12E59" w:rsidRDefault="000D4BF1" w:rsidP="004105BC">
            <w:pPr>
              <w:tabs>
                <w:tab w:val="left" w:pos="450"/>
              </w:tabs>
              <w:spacing w:line="240" w:lineRule="auto"/>
              <w:jc w:val="center"/>
              <w:rPr>
                <w:rFonts w:ascii="Book Antiqua" w:hAnsi="Book Antiqua"/>
              </w:rPr>
            </w:pPr>
            <w:r w:rsidRPr="00D12E59">
              <w:rPr>
                <w:rFonts w:ascii="Book Antiqua" w:hAnsi="Book Antiqua"/>
              </w:rPr>
              <w:t>11 (</w:t>
            </w:r>
            <w:r w:rsidRPr="00D12E59">
              <w:rPr>
                <w:rFonts w:ascii="Book Antiqua" w:hAnsi="Book Antiqua"/>
                <w:vertAlign w:val="superscript"/>
              </w:rPr>
              <w:t>0</w:t>
            </w:r>
            <w:r w:rsidRPr="00D12E59">
              <w:rPr>
                <w:rFonts w:ascii="Book Antiqua" w:hAnsi="Book Antiqua"/>
              </w:rPr>
              <w:t>C)</w:t>
            </w:r>
          </w:p>
        </w:tc>
        <w:tc>
          <w:tcPr>
            <w:tcW w:w="2378" w:type="dxa"/>
            <w:shd w:val="clear" w:color="auto" w:fill="auto"/>
          </w:tcPr>
          <w:p w14:paraId="724CBBA9" w14:textId="77777777" w:rsidR="000D4BF1" w:rsidRPr="00D12E59" w:rsidRDefault="000D4BF1" w:rsidP="004105BC">
            <w:pPr>
              <w:tabs>
                <w:tab w:val="left" w:pos="450"/>
              </w:tabs>
              <w:spacing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50</w:t>
            </w:r>
          </w:p>
        </w:tc>
      </w:tr>
      <w:tr w:rsidR="000D4BF1" w:rsidRPr="00D12E59" w14:paraId="159F59C6" w14:textId="77777777" w:rsidTr="004105BC">
        <w:trPr>
          <w:trHeight w:val="358"/>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0E70FEC8" w14:textId="77777777" w:rsidR="000D4BF1" w:rsidRPr="00D12E59" w:rsidRDefault="000D4BF1" w:rsidP="004105BC">
            <w:pPr>
              <w:tabs>
                <w:tab w:val="left" w:pos="450"/>
              </w:tabs>
              <w:spacing w:line="240" w:lineRule="auto"/>
              <w:jc w:val="center"/>
              <w:rPr>
                <w:rFonts w:ascii="Book Antiqua" w:hAnsi="Book Antiqua"/>
              </w:rPr>
            </w:pPr>
            <w:r w:rsidRPr="00D12E59">
              <w:rPr>
                <w:rFonts w:ascii="Book Antiqua" w:hAnsi="Book Antiqua"/>
              </w:rPr>
              <w:t>16 (</w:t>
            </w:r>
            <w:r w:rsidRPr="00D12E59">
              <w:rPr>
                <w:rFonts w:ascii="Book Antiqua" w:hAnsi="Book Antiqua"/>
                <w:vertAlign w:val="superscript"/>
              </w:rPr>
              <w:t>0</w:t>
            </w:r>
            <w:r w:rsidRPr="00D12E59">
              <w:rPr>
                <w:rFonts w:ascii="Book Antiqua" w:hAnsi="Book Antiqua"/>
              </w:rPr>
              <w:t>C)</w:t>
            </w:r>
          </w:p>
        </w:tc>
        <w:tc>
          <w:tcPr>
            <w:tcW w:w="2378" w:type="dxa"/>
            <w:shd w:val="clear" w:color="auto" w:fill="auto"/>
          </w:tcPr>
          <w:p w14:paraId="1FEB0158" w14:textId="77777777" w:rsidR="000D4BF1" w:rsidRPr="00D12E59" w:rsidRDefault="000D4BF1" w:rsidP="004105BC">
            <w:pPr>
              <w:tabs>
                <w:tab w:val="left" w:pos="450"/>
              </w:tabs>
              <w:spacing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44</w:t>
            </w:r>
          </w:p>
        </w:tc>
      </w:tr>
      <w:tr w:rsidR="000D4BF1" w:rsidRPr="00D12E59" w14:paraId="7D5A725C" w14:textId="77777777" w:rsidTr="004105BC">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1D43BB60" w14:textId="77777777" w:rsidR="000D4BF1" w:rsidRPr="00D12E59" w:rsidRDefault="000D4BF1" w:rsidP="004105BC">
            <w:pPr>
              <w:tabs>
                <w:tab w:val="left" w:pos="450"/>
              </w:tabs>
              <w:spacing w:line="240" w:lineRule="auto"/>
              <w:jc w:val="center"/>
              <w:rPr>
                <w:rFonts w:ascii="Book Antiqua" w:hAnsi="Book Antiqua"/>
              </w:rPr>
            </w:pPr>
            <w:r w:rsidRPr="00D12E59">
              <w:rPr>
                <w:rFonts w:ascii="Book Antiqua" w:hAnsi="Book Antiqua"/>
              </w:rPr>
              <w:t>38 (</w:t>
            </w:r>
            <w:r w:rsidRPr="00D12E59">
              <w:rPr>
                <w:rFonts w:ascii="Book Antiqua" w:hAnsi="Book Antiqua"/>
                <w:vertAlign w:val="superscript"/>
              </w:rPr>
              <w:t>0</w:t>
            </w:r>
            <w:r w:rsidRPr="00D12E59">
              <w:rPr>
                <w:rFonts w:ascii="Book Antiqua" w:hAnsi="Book Antiqua"/>
              </w:rPr>
              <w:t>C)</w:t>
            </w:r>
          </w:p>
        </w:tc>
        <w:tc>
          <w:tcPr>
            <w:tcW w:w="2378" w:type="dxa"/>
            <w:shd w:val="clear" w:color="auto" w:fill="auto"/>
          </w:tcPr>
          <w:p w14:paraId="4A781F6D" w14:textId="77777777" w:rsidR="000D4BF1" w:rsidRPr="00D12E59" w:rsidRDefault="000D4BF1" w:rsidP="004105BC">
            <w:pPr>
              <w:tabs>
                <w:tab w:val="left" w:pos="450"/>
              </w:tabs>
              <w:spacing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2</w:t>
            </w:r>
          </w:p>
        </w:tc>
      </w:tr>
      <w:tr w:rsidR="000D4BF1" w:rsidRPr="00D12E59" w14:paraId="015F8776" w14:textId="77777777" w:rsidTr="004105BC">
        <w:trPr>
          <w:trHeight w:val="369"/>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11E2247E" w14:textId="77777777" w:rsidR="000D4BF1" w:rsidRPr="00D12E59" w:rsidRDefault="000D4BF1" w:rsidP="004105BC">
            <w:pPr>
              <w:tabs>
                <w:tab w:val="left" w:pos="450"/>
              </w:tabs>
              <w:spacing w:line="240" w:lineRule="auto"/>
              <w:jc w:val="center"/>
              <w:rPr>
                <w:rFonts w:ascii="Book Antiqua" w:hAnsi="Book Antiqua"/>
              </w:rPr>
            </w:pPr>
            <w:r w:rsidRPr="00D12E59">
              <w:rPr>
                <w:rFonts w:ascii="Book Antiqua" w:hAnsi="Book Antiqua"/>
              </w:rPr>
              <w:t>40 (</w:t>
            </w:r>
            <w:r w:rsidRPr="00D12E59">
              <w:rPr>
                <w:rFonts w:ascii="Book Antiqua" w:hAnsi="Book Antiqua"/>
                <w:vertAlign w:val="superscript"/>
              </w:rPr>
              <w:t>0</w:t>
            </w:r>
            <w:r w:rsidRPr="00D12E59">
              <w:rPr>
                <w:rFonts w:ascii="Book Antiqua" w:hAnsi="Book Antiqua"/>
              </w:rPr>
              <w:t>C)</w:t>
            </w:r>
          </w:p>
        </w:tc>
        <w:tc>
          <w:tcPr>
            <w:tcW w:w="2378" w:type="dxa"/>
            <w:shd w:val="clear" w:color="auto" w:fill="auto"/>
          </w:tcPr>
          <w:p w14:paraId="2B9EACFF" w14:textId="77777777" w:rsidR="000D4BF1" w:rsidRPr="00D12E59" w:rsidRDefault="000D4BF1" w:rsidP="004105BC">
            <w:pPr>
              <w:tabs>
                <w:tab w:val="left" w:pos="450"/>
              </w:tabs>
              <w:spacing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D12E59">
              <w:rPr>
                <w:rFonts w:ascii="Book Antiqua" w:hAnsi="Book Antiqua"/>
              </w:rPr>
              <w:t>0</w:t>
            </w:r>
          </w:p>
        </w:tc>
      </w:tr>
      <w:tr w:rsidR="000D4BF1" w:rsidRPr="00D12E59" w14:paraId="265F57DD" w14:textId="77777777" w:rsidTr="004105B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48DC5EA8" w14:textId="77777777" w:rsidR="000D4BF1" w:rsidRPr="00D12E59" w:rsidRDefault="000D4BF1" w:rsidP="004105BC">
            <w:pPr>
              <w:tabs>
                <w:tab w:val="left" w:pos="450"/>
              </w:tabs>
              <w:spacing w:line="240" w:lineRule="auto"/>
              <w:jc w:val="center"/>
              <w:rPr>
                <w:rFonts w:ascii="Book Antiqua" w:hAnsi="Book Antiqua"/>
              </w:rPr>
            </w:pPr>
            <w:r w:rsidRPr="00D12E59">
              <w:rPr>
                <w:rFonts w:ascii="Book Antiqua" w:hAnsi="Book Antiqua"/>
              </w:rPr>
              <w:t>42 (</w:t>
            </w:r>
            <w:r w:rsidRPr="00D12E59">
              <w:rPr>
                <w:rFonts w:ascii="Book Antiqua" w:hAnsi="Book Antiqua"/>
                <w:vertAlign w:val="superscript"/>
              </w:rPr>
              <w:t>0</w:t>
            </w:r>
            <w:r w:rsidRPr="00D12E59">
              <w:rPr>
                <w:rFonts w:ascii="Book Antiqua" w:hAnsi="Book Antiqua"/>
              </w:rPr>
              <w:t>C)</w:t>
            </w:r>
          </w:p>
        </w:tc>
        <w:tc>
          <w:tcPr>
            <w:tcW w:w="2378" w:type="dxa"/>
            <w:shd w:val="clear" w:color="auto" w:fill="auto"/>
          </w:tcPr>
          <w:p w14:paraId="492833FD" w14:textId="77777777" w:rsidR="000D4BF1" w:rsidRPr="00D12E59" w:rsidRDefault="000D4BF1" w:rsidP="004105BC">
            <w:pPr>
              <w:tabs>
                <w:tab w:val="left" w:pos="450"/>
              </w:tabs>
              <w:spacing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0</w:t>
            </w:r>
          </w:p>
        </w:tc>
      </w:tr>
    </w:tbl>
    <w:p w14:paraId="32BA82CA" w14:textId="77777777" w:rsidR="004105BC" w:rsidRDefault="004105BC" w:rsidP="00A56F27">
      <w:pPr>
        <w:spacing w:after="0"/>
        <w:rPr>
          <w:rFonts w:ascii="Book Antiqua" w:hAnsi="Book Antiqua"/>
          <w:b/>
        </w:rPr>
      </w:pPr>
    </w:p>
    <w:p w14:paraId="3838607E" w14:textId="77777777" w:rsidR="004105BC" w:rsidRPr="00E3232D" w:rsidRDefault="004105BC" w:rsidP="004105BC">
      <w:pPr>
        <w:rPr>
          <w:rFonts w:ascii="Book Antiqua" w:hAnsi="Book Antiqua"/>
          <w:b/>
        </w:rPr>
      </w:pPr>
      <w:r w:rsidRPr="00E3232D">
        <w:rPr>
          <w:rFonts w:ascii="Book Antiqua" w:hAnsi="Book Antiqua"/>
          <w:b/>
        </w:rPr>
        <w:t xml:space="preserve">Table 2: Hatchability of </w:t>
      </w:r>
      <w:r w:rsidRPr="00E3232D">
        <w:rPr>
          <w:rFonts w:ascii="Book Antiqua" w:hAnsi="Book Antiqua"/>
          <w:b/>
          <w:u w:val="single"/>
        </w:rPr>
        <w:t>H</w:t>
      </w:r>
      <w:r w:rsidRPr="00E3232D">
        <w:rPr>
          <w:rFonts w:ascii="Book Antiqua" w:hAnsi="Book Antiqua"/>
          <w:b/>
        </w:rPr>
        <w:t xml:space="preserve"> </w:t>
      </w:r>
      <w:r w:rsidRPr="00E3232D">
        <w:rPr>
          <w:rFonts w:ascii="Book Antiqua" w:hAnsi="Book Antiqua"/>
          <w:b/>
          <w:u w:val="single"/>
        </w:rPr>
        <w:t>isopterus</w:t>
      </w:r>
      <w:r w:rsidRPr="00E3232D">
        <w:rPr>
          <w:rFonts w:ascii="Book Antiqua" w:hAnsi="Book Antiqua"/>
          <w:b/>
        </w:rPr>
        <w:t xml:space="preserve"> larvae of temperature (Cold) shock treatment </w:t>
      </w:r>
    </w:p>
    <w:tbl>
      <w:tblPr>
        <w:tblStyle w:val="LightShading3"/>
        <w:tblpPr w:leftFromText="180" w:rightFromText="180" w:vertAnchor="text" w:horzAnchor="margin" w:tblpXSpec="right" w:tblpY="97"/>
        <w:tblW w:w="4698" w:type="dxa"/>
        <w:tblLayout w:type="fixed"/>
        <w:tblLook w:val="04A0" w:firstRow="1" w:lastRow="0" w:firstColumn="1" w:lastColumn="0" w:noHBand="0" w:noVBand="1"/>
      </w:tblPr>
      <w:tblGrid>
        <w:gridCol w:w="1098"/>
        <w:gridCol w:w="990"/>
        <w:gridCol w:w="630"/>
        <w:gridCol w:w="900"/>
        <w:gridCol w:w="1080"/>
      </w:tblGrid>
      <w:tr w:rsidR="00A56F27" w:rsidRPr="00D12E59" w14:paraId="50CCB006" w14:textId="77777777" w:rsidTr="00B35D3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098" w:type="dxa"/>
            <w:vMerge w:val="restart"/>
            <w:shd w:val="clear" w:color="auto" w:fill="auto"/>
          </w:tcPr>
          <w:p w14:paraId="65DA84D5" w14:textId="77777777" w:rsidR="00A56F27" w:rsidRPr="00D12E59" w:rsidRDefault="00A56F27" w:rsidP="00A56F27">
            <w:pPr>
              <w:spacing w:after="0" w:line="240" w:lineRule="auto"/>
              <w:rPr>
                <w:rFonts w:ascii="Book Antiqua" w:hAnsi="Book Antiqua"/>
              </w:rPr>
            </w:pPr>
          </w:p>
        </w:tc>
        <w:tc>
          <w:tcPr>
            <w:tcW w:w="990" w:type="dxa"/>
            <w:vMerge w:val="restart"/>
            <w:shd w:val="clear" w:color="auto" w:fill="auto"/>
          </w:tcPr>
          <w:p w14:paraId="0B26CF07" w14:textId="77777777" w:rsidR="00A56F27" w:rsidRPr="00D12E59" w:rsidRDefault="00A56F27" w:rsidP="00A56F27">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D12E59">
              <w:rPr>
                <w:rFonts w:ascii="Book Antiqua" w:hAnsi="Book Antiqua"/>
              </w:rPr>
              <w:t>NO TREATMENT</w:t>
            </w:r>
          </w:p>
        </w:tc>
        <w:tc>
          <w:tcPr>
            <w:tcW w:w="2610" w:type="dxa"/>
            <w:gridSpan w:val="3"/>
            <w:shd w:val="clear" w:color="auto" w:fill="auto"/>
          </w:tcPr>
          <w:p w14:paraId="6AE0E561" w14:textId="77777777" w:rsidR="00A56F27" w:rsidRPr="00D12E59" w:rsidRDefault="00A56F27" w:rsidP="00A56F27">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D12E59">
              <w:rPr>
                <w:rFonts w:ascii="Book Antiqua" w:hAnsi="Book Antiqua"/>
              </w:rPr>
              <w:t>Cold Shock Treatment</w:t>
            </w:r>
          </w:p>
        </w:tc>
      </w:tr>
      <w:tr w:rsidR="00A56F27" w:rsidRPr="00D12E59" w14:paraId="7BBDB7E2" w14:textId="77777777" w:rsidTr="00B35D3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98" w:type="dxa"/>
            <w:vMerge/>
            <w:shd w:val="clear" w:color="auto" w:fill="auto"/>
          </w:tcPr>
          <w:p w14:paraId="5789C4B3" w14:textId="77777777" w:rsidR="00A56F27" w:rsidRPr="00D12E59" w:rsidRDefault="00A56F27" w:rsidP="00A56F27">
            <w:pPr>
              <w:spacing w:after="0" w:line="240" w:lineRule="auto"/>
              <w:rPr>
                <w:rFonts w:ascii="Book Antiqua" w:hAnsi="Book Antiqua"/>
              </w:rPr>
            </w:pPr>
          </w:p>
        </w:tc>
        <w:tc>
          <w:tcPr>
            <w:tcW w:w="990" w:type="dxa"/>
            <w:vMerge/>
            <w:shd w:val="clear" w:color="auto" w:fill="auto"/>
          </w:tcPr>
          <w:p w14:paraId="5B4BDDCB"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p>
        </w:tc>
        <w:tc>
          <w:tcPr>
            <w:tcW w:w="630" w:type="dxa"/>
            <w:shd w:val="clear" w:color="auto" w:fill="auto"/>
          </w:tcPr>
          <w:p w14:paraId="08889BA0"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1</w:t>
            </w:r>
            <w:r w:rsidRPr="00D12E59">
              <w:rPr>
                <w:rFonts w:ascii="Book Antiqua" w:hAnsi="Book Antiqua"/>
                <w:b/>
                <w:vertAlign w:val="superscript"/>
              </w:rPr>
              <w:t>st</w:t>
            </w:r>
          </w:p>
        </w:tc>
        <w:tc>
          <w:tcPr>
            <w:tcW w:w="900" w:type="dxa"/>
            <w:shd w:val="clear" w:color="auto" w:fill="auto"/>
          </w:tcPr>
          <w:p w14:paraId="7BC70BA8"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w:t>
            </w:r>
            <w:r w:rsidRPr="00D12E59">
              <w:rPr>
                <w:rFonts w:ascii="Book Antiqua" w:hAnsi="Book Antiqua"/>
                <w:b/>
                <w:vertAlign w:val="superscript"/>
              </w:rPr>
              <w:t>nd</w:t>
            </w:r>
          </w:p>
        </w:tc>
        <w:tc>
          <w:tcPr>
            <w:tcW w:w="1080" w:type="dxa"/>
            <w:shd w:val="clear" w:color="auto" w:fill="auto"/>
          </w:tcPr>
          <w:p w14:paraId="1E1737A0"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3</w:t>
            </w:r>
            <w:r w:rsidRPr="00D12E59">
              <w:rPr>
                <w:rFonts w:ascii="Book Antiqua" w:hAnsi="Book Antiqua"/>
                <w:b/>
                <w:vertAlign w:val="superscript"/>
              </w:rPr>
              <w:t>rd</w:t>
            </w:r>
            <w:r w:rsidRPr="00D12E59">
              <w:rPr>
                <w:rFonts w:ascii="Book Antiqua" w:hAnsi="Book Antiqua"/>
                <w:b/>
              </w:rPr>
              <w:t xml:space="preserve"> </w:t>
            </w:r>
          </w:p>
        </w:tc>
      </w:tr>
      <w:tr w:rsidR="00A56F27" w:rsidRPr="00D12E59" w14:paraId="4C226D88" w14:textId="77777777" w:rsidTr="00B35D31">
        <w:trPr>
          <w:trHeight w:val="264"/>
        </w:trPr>
        <w:tc>
          <w:tcPr>
            <w:cnfStyle w:val="001000000000" w:firstRow="0" w:lastRow="0" w:firstColumn="1" w:lastColumn="0" w:oddVBand="0" w:evenVBand="0" w:oddHBand="0" w:evenHBand="0" w:firstRowFirstColumn="0" w:firstRowLastColumn="0" w:lastRowFirstColumn="0" w:lastRowLastColumn="0"/>
            <w:tcW w:w="1098" w:type="dxa"/>
            <w:vMerge/>
            <w:shd w:val="clear" w:color="auto" w:fill="auto"/>
          </w:tcPr>
          <w:p w14:paraId="3844533C" w14:textId="77777777" w:rsidR="00A56F27" w:rsidRPr="00D12E59" w:rsidRDefault="00A56F27" w:rsidP="00A56F27">
            <w:pPr>
              <w:spacing w:after="0" w:line="240" w:lineRule="auto"/>
              <w:rPr>
                <w:rFonts w:ascii="Book Antiqua" w:hAnsi="Book Antiqua"/>
              </w:rPr>
            </w:pPr>
          </w:p>
        </w:tc>
        <w:tc>
          <w:tcPr>
            <w:tcW w:w="990" w:type="dxa"/>
            <w:shd w:val="clear" w:color="auto" w:fill="auto"/>
          </w:tcPr>
          <w:p w14:paraId="303A01A2"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Control</w:t>
            </w:r>
          </w:p>
        </w:tc>
        <w:tc>
          <w:tcPr>
            <w:tcW w:w="630" w:type="dxa"/>
            <w:shd w:val="clear" w:color="auto" w:fill="auto"/>
          </w:tcPr>
          <w:p w14:paraId="3C5D7FB7"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COLD</w:t>
            </w:r>
          </w:p>
        </w:tc>
        <w:tc>
          <w:tcPr>
            <w:tcW w:w="900" w:type="dxa"/>
            <w:shd w:val="clear" w:color="auto" w:fill="auto"/>
          </w:tcPr>
          <w:p w14:paraId="69F95D7B"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COLD</w:t>
            </w:r>
          </w:p>
        </w:tc>
        <w:tc>
          <w:tcPr>
            <w:tcW w:w="1080" w:type="dxa"/>
            <w:shd w:val="clear" w:color="auto" w:fill="auto"/>
          </w:tcPr>
          <w:p w14:paraId="1E8414E6"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COLD</w:t>
            </w:r>
          </w:p>
        </w:tc>
      </w:tr>
      <w:tr w:rsidR="00A56F27" w:rsidRPr="00D12E59" w14:paraId="06EF5CF1" w14:textId="77777777" w:rsidTr="00B35D3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98" w:type="dxa"/>
            <w:shd w:val="clear" w:color="auto" w:fill="auto"/>
          </w:tcPr>
          <w:p w14:paraId="5FD0DA2A" w14:textId="77777777" w:rsidR="00A56F27" w:rsidRPr="00D12E59" w:rsidRDefault="00A56F27" w:rsidP="00A56F27">
            <w:pPr>
              <w:spacing w:after="0" w:line="240" w:lineRule="auto"/>
              <w:rPr>
                <w:rFonts w:ascii="Book Antiqua" w:hAnsi="Book Antiqua"/>
                <w:b w:val="0"/>
              </w:rPr>
            </w:pPr>
            <w:r w:rsidRPr="00D12E59">
              <w:rPr>
                <w:rFonts w:ascii="Book Antiqua" w:hAnsi="Book Antiqua"/>
              </w:rPr>
              <w:t>Temperature of treatment (</w:t>
            </w:r>
            <w:r w:rsidRPr="00D12E59">
              <w:rPr>
                <w:rFonts w:ascii="Book Antiqua" w:hAnsi="Book Antiqua"/>
                <w:vertAlign w:val="superscript"/>
              </w:rPr>
              <w:t>0</w:t>
            </w:r>
            <w:r w:rsidRPr="00D12E59">
              <w:rPr>
                <w:rFonts w:ascii="Book Antiqua" w:hAnsi="Book Antiqua"/>
              </w:rPr>
              <w:t>C)</w:t>
            </w:r>
          </w:p>
        </w:tc>
        <w:tc>
          <w:tcPr>
            <w:tcW w:w="990" w:type="dxa"/>
            <w:shd w:val="clear" w:color="auto" w:fill="auto"/>
          </w:tcPr>
          <w:p w14:paraId="6A4E5C57"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28</w:t>
            </w:r>
          </w:p>
        </w:tc>
        <w:tc>
          <w:tcPr>
            <w:tcW w:w="630" w:type="dxa"/>
            <w:shd w:val="clear" w:color="auto" w:fill="auto"/>
          </w:tcPr>
          <w:p w14:paraId="5B3962B3"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vertAlign w:val="superscript"/>
              </w:rPr>
            </w:pPr>
            <w:r w:rsidRPr="00D12E59">
              <w:rPr>
                <w:rFonts w:ascii="Book Antiqua" w:hAnsi="Book Antiqua"/>
                <w:b/>
              </w:rPr>
              <w:t>0</w:t>
            </w:r>
            <w:r w:rsidRPr="00D12E59">
              <w:rPr>
                <w:rFonts w:ascii="Book Antiqua" w:hAnsi="Book Antiqua"/>
                <w:b/>
                <w:vertAlign w:val="superscript"/>
              </w:rPr>
              <w:t>o</w:t>
            </w:r>
          </w:p>
        </w:tc>
        <w:tc>
          <w:tcPr>
            <w:tcW w:w="900" w:type="dxa"/>
            <w:shd w:val="clear" w:color="auto" w:fill="auto"/>
          </w:tcPr>
          <w:p w14:paraId="438C58D9"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11</w:t>
            </w:r>
          </w:p>
        </w:tc>
        <w:tc>
          <w:tcPr>
            <w:tcW w:w="1080" w:type="dxa"/>
            <w:shd w:val="clear" w:color="auto" w:fill="auto"/>
          </w:tcPr>
          <w:p w14:paraId="7A396547"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16</w:t>
            </w:r>
            <w:r w:rsidRPr="00D12E59">
              <w:rPr>
                <w:rFonts w:ascii="Book Antiqua" w:hAnsi="Book Antiqua"/>
                <w:b/>
                <w:vertAlign w:val="superscript"/>
              </w:rPr>
              <w:t>0</w:t>
            </w:r>
          </w:p>
        </w:tc>
      </w:tr>
      <w:tr w:rsidR="00A56F27" w:rsidRPr="00D12E59" w14:paraId="69BA586D" w14:textId="77777777" w:rsidTr="00B35D31">
        <w:trPr>
          <w:trHeight w:val="264"/>
        </w:trPr>
        <w:tc>
          <w:tcPr>
            <w:cnfStyle w:val="001000000000" w:firstRow="0" w:lastRow="0" w:firstColumn="1" w:lastColumn="0" w:oddVBand="0" w:evenVBand="0" w:oddHBand="0" w:evenHBand="0" w:firstRowFirstColumn="0" w:firstRowLastColumn="0" w:lastRowFirstColumn="0" w:lastRowLastColumn="0"/>
            <w:tcW w:w="1098" w:type="dxa"/>
            <w:shd w:val="clear" w:color="auto" w:fill="auto"/>
          </w:tcPr>
          <w:p w14:paraId="27CD3EAD" w14:textId="77777777" w:rsidR="00A56F27" w:rsidRPr="00D12E59" w:rsidRDefault="00A56F27" w:rsidP="00A56F27">
            <w:pPr>
              <w:spacing w:after="0" w:line="240" w:lineRule="auto"/>
              <w:rPr>
                <w:rFonts w:ascii="Book Antiqua" w:hAnsi="Book Antiqua"/>
                <w:b w:val="0"/>
              </w:rPr>
            </w:pPr>
            <w:r w:rsidRPr="00D12E59">
              <w:rPr>
                <w:rFonts w:ascii="Book Antiqua" w:hAnsi="Book Antiqua"/>
              </w:rPr>
              <w:t>Duration of treatment</w:t>
            </w:r>
          </w:p>
        </w:tc>
        <w:tc>
          <w:tcPr>
            <w:tcW w:w="990" w:type="dxa"/>
            <w:shd w:val="clear" w:color="auto" w:fill="auto"/>
          </w:tcPr>
          <w:p w14:paraId="07EA4460"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1h</w:t>
            </w:r>
          </w:p>
        </w:tc>
        <w:tc>
          <w:tcPr>
            <w:tcW w:w="630" w:type="dxa"/>
            <w:shd w:val="clear" w:color="auto" w:fill="auto"/>
          </w:tcPr>
          <w:p w14:paraId="414DBBF7"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1h</w:t>
            </w:r>
          </w:p>
        </w:tc>
        <w:tc>
          <w:tcPr>
            <w:tcW w:w="900" w:type="dxa"/>
            <w:shd w:val="clear" w:color="auto" w:fill="auto"/>
          </w:tcPr>
          <w:p w14:paraId="5E30C932"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1h</w:t>
            </w:r>
          </w:p>
        </w:tc>
        <w:tc>
          <w:tcPr>
            <w:tcW w:w="1080" w:type="dxa"/>
            <w:shd w:val="clear" w:color="auto" w:fill="auto"/>
          </w:tcPr>
          <w:p w14:paraId="10A37489"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1h</w:t>
            </w:r>
          </w:p>
        </w:tc>
      </w:tr>
      <w:tr w:rsidR="00A56F27" w:rsidRPr="00D12E59" w14:paraId="5BC43758" w14:textId="77777777" w:rsidTr="00B35D3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98" w:type="dxa"/>
            <w:shd w:val="clear" w:color="auto" w:fill="auto"/>
          </w:tcPr>
          <w:p w14:paraId="2CDF3154" w14:textId="77777777" w:rsidR="00A56F27" w:rsidRPr="00D12E59" w:rsidRDefault="00A56F27" w:rsidP="00A56F27">
            <w:pPr>
              <w:spacing w:after="0" w:line="240" w:lineRule="auto"/>
              <w:rPr>
                <w:rFonts w:ascii="Book Antiqua" w:hAnsi="Book Antiqua"/>
                <w:b w:val="0"/>
              </w:rPr>
            </w:pPr>
            <w:r w:rsidRPr="00D12E59">
              <w:rPr>
                <w:rFonts w:ascii="Book Antiqua" w:hAnsi="Book Antiqua"/>
              </w:rPr>
              <w:t xml:space="preserve">Egg fertilized </w:t>
            </w:r>
          </w:p>
        </w:tc>
        <w:tc>
          <w:tcPr>
            <w:tcW w:w="990" w:type="dxa"/>
            <w:shd w:val="clear" w:color="auto" w:fill="auto"/>
          </w:tcPr>
          <w:p w14:paraId="0974344B"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200</w:t>
            </w:r>
          </w:p>
        </w:tc>
        <w:tc>
          <w:tcPr>
            <w:tcW w:w="630" w:type="dxa"/>
            <w:shd w:val="clear" w:color="auto" w:fill="auto"/>
          </w:tcPr>
          <w:p w14:paraId="4A06CD61"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200</w:t>
            </w:r>
          </w:p>
        </w:tc>
        <w:tc>
          <w:tcPr>
            <w:tcW w:w="900" w:type="dxa"/>
            <w:shd w:val="clear" w:color="auto" w:fill="auto"/>
          </w:tcPr>
          <w:p w14:paraId="0201DB8F"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200</w:t>
            </w:r>
          </w:p>
        </w:tc>
        <w:tc>
          <w:tcPr>
            <w:tcW w:w="1080" w:type="dxa"/>
            <w:shd w:val="clear" w:color="auto" w:fill="auto"/>
          </w:tcPr>
          <w:p w14:paraId="1C509DD8"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200</w:t>
            </w:r>
          </w:p>
        </w:tc>
      </w:tr>
      <w:tr w:rsidR="00A56F27" w:rsidRPr="00D12E59" w14:paraId="59F300B2" w14:textId="77777777" w:rsidTr="00B35D31">
        <w:trPr>
          <w:trHeight w:val="264"/>
        </w:trPr>
        <w:tc>
          <w:tcPr>
            <w:cnfStyle w:val="001000000000" w:firstRow="0" w:lastRow="0" w:firstColumn="1" w:lastColumn="0" w:oddVBand="0" w:evenVBand="0" w:oddHBand="0" w:evenHBand="0" w:firstRowFirstColumn="0" w:firstRowLastColumn="0" w:lastRowFirstColumn="0" w:lastRowLastColumn="0"/>
            <w:tcW w:w="1098" w:type="dxa"/>
            <w:shd w:val="clear" w:color="auto" w:fill="auto"/>
          </w:tcPr>
          <w:p w14:paraId="118C0D94" w14:textId="77777777" w:rsidR="00A56F27" w:rsidRPr="00D12E59" w:rsidRDefault="00A56F27" w:rsidP="00A56F27">
            <w:pPr>
              <w:spacing w:after="0" w:line="240" w:lineRule="auto"/>
              <w:rPr>
                <w:rFonts w:ascii="Book Antiqua" w:hAnsi="Book Antiqua"/>
                <w:b w:val="0"/>
              </w:rPr>
            </w:pPr>
            <w:r w:rsidRPr="00D12E59">
              <w:rPr>
                <w:rFonts w:ascii="Book Antiqua" w:hAnsi="Book Antiqua"/>
              </w:rPr>
              <w:t xml:space="preserve">Time after fertilization </w:t>
            </w:r>
          </w:p>
        </w:tc>
        <w:tc>
          <w:tcPr>
            <w:tcW w:w="990" w:type="dxa"/>
            <w:shd w:val="clear" w:color="auto" w:fill="auto"/>
          </w:tcPr>
          <w:p w14:paraId="44F19BBD"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5min</w:t>
            </w:r>
          </w:p>
        </w:tc>
        <w:tc>
          <w:tcPr>
            <w:tcW w:w="630" w:type="dxa"/>
            <w:shd w:val="clear" w:color="auto" w:fill="auto"/>
          </w:tcPr>
          <w:p w14:paraId="03F08B9D"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5min</w:t>
            </w:r>
          </w:p>
        </w:tc>
        <w:tc>
          <w:tcPr>
            <w:tcW w:w="900" w:type="dxa"/>
            <w:shd w:val="clear" w:color="auto" w:fill="auto"/>
          </w:tcPr>
          <w:p w14:paraId="3E28B35E"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5min</w:t>
            </w:r>
          </w:p>
        </w:tc>
        <w:tc>
          <w:tcPr>
            <w:tcW w:w="1080" w:type="dxa"/>
            <w:shd w:val="clear" w:color="auto" w:fill="auto"/>
          </w:tcPr>
          <w:p w14:paraId="3A75F2DE"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5min</w:t>
            </w:r>
          </w:p>
        </w:tc>
      </w:tr>
      <w:tr w:rsidR="00A56F27" w:rsidRPr="00D12E59" w14:paraId="6FFA3C42" w14:textId="77777777" w:rsidTr="00B35D3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98" w:type="dxa"/>
            <w:shd w:val="clear" w:color="auto" w:fill="auto"/>
          </w:tcPr>
          <w:p w14:paraId="5A6E8288" w14:textId="77777777" w:rsidR="00A56F27" w:rsidRPr="00D12E59" w:rsidRDefault="00A56F27" w:rsidP="00A56F27">
            <w:pPr>
              <w:spacing w:after="0" w:line="240" w:lineRule="auto"/>
              <w:rPr>
                <w:rFonts w:ascii="Book Antiqua" w:hAnsi="Book Antiqua"/>
                <w:b w:val="0"/>
              </w:rPr>
            </w:pPr>
            <w:r w:rsidRPr="00D12E59">
              <w:rPr>
                <w:rFonts w:ascii="Book Antiqua" w:hAnsi="Book Antiqua"/>
              </w:rPr>
              <w:t xml:space="preserve">Eggs hatched </w:t>
            </w:r>
          </w:p>
        </w:tc>
        <w:tc>
          <w:tcPr>
            <w:tcW w:w="990" w:type="dxa"/>
            <w:shd w:val="clear" w:color="auto" w:fill="auto"/>
          </w:tcPr>
          <w:p w14:paraId="5C927B63"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170</w:t>
            </w:r>
          </w:p>
        </w:tc>
        <w:tc>
          <w:tcPr>
            <w:tcW w:w="630" w:type="dxa"/>
            <w:shd w:val="clear" w:color="auto" w:fill="auto"/>
          </w:tcPr>
          <w:p w14:paraId="7A9478F3"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120</w:t>
            </w:r>
          </w:p>
        </w:tc>
        <w:tc>
          <w:tcPr>
            <w:tcW w:w="900" w:type="dxa"/>
            <w:shd w:val="clear" w:color="auto" w:fill="auto"/>
          </w:tcPr>
          <w:p w14:paraId="2CF10960"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135</w:t>
            </w:r>
          </w:p>
        </w:tc>
        <w:tc>
          <w:tcPr>
            <w:tcW w:w="1080" w:type="dxa"/>
            <w:shd w:val="clear" w:color="auto" w:fill="auto"/>
          </w:tcPr>
          <w:p w14:paraId="36016E89" w14:textId="77777777" w:rsidR="00A56F27" w:rsidRPr="00D12E59" w:rsidRDefault="00A56F27" w:rsidP="00A56F2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110</w:t>
            </w:r>
          </w:p>
        </w:tc>
      </w:tr>
      <w:tr w:rsidR="00A56F27" w:rsidRPr="00D12E59" w14:paraId="5E300E8B" w14:textId="77777777" w:rsidTr="00B35D31">
        <w:trPr>
          <w:trHeight w:val="264"/>
        </w:trPr>
        <w:tc>
          <w:tcPr>
            <w:cnfStyle w:val="001000000000" w:firstRow="0" w:lastRow="0" w:firstColumn="1" w:lastColumn="0" w:oddVBand="0" w:evenVBand="0" w:oddHBand="0" w:evenHBand="0" w:firstRowFirstColumn="0" w:firstRowLastColumn="0" w:lastRowFirstColumn="0" w:lastRowLastColumn="0"/>
            <w:tcW w:w="1098" w:type="dxa"/>
            <w:shd w:val="clear" w:color="auto" w:fill="auto"/>
          </w:tcPr>
          <w:p w14:paraId="6DE69C8C" w14:textId="77777777" w:rsidR="00A56F27" w:rsidRPr="00D12E59" w:rsidRDefault="00A56F27" w:rsidP="00A56F27">
            <w:pPr>
              <w:spacing w:after="0" w:line="240" w:lineRule="auto"/>
              <w:rPr>
                <w:rFonts w:ascii="Book Antiqua" w:hAnsi="Book Antiqua"/>
                <w:b w:val="0"/>
              </w:rPr>
            </w:pPr>
            <w:r w:rsidRPr="00D12E59">
              <w:rPr>
                <w:rFonts w:ascii="Book Antiqua" w:hAnsi="Book Antiqua"/>
              </w:rPr>
              <w:t xml:space="preserve">Percentage eggs </w:t>
            </w:r>
          </w:p>
          <w:p w14:paraId="43108857" w14:textId="77777777" w:rsidR="00A56F27" w:rsidRPr="00D12E59" w:rsidRDefault="00A56F27" w:rsidP="00A56F27">
            <w:pPr>
              <w:spacing w:after="0" w:line="240" w:lineRule="auto"/>
              <w:rPr>
                <w:rFonts w:ascii="Book Antiqua" w:hAnsi="Book Antiqua"/>
                <w:b w:val="0"/>
              </w:rPr>
            </w:pPr>
            <w:r w:rsidRPr="00D12E59">
              <w:rPr>
                <w:rFonts w:ascii="Book Antiqua" w:hAnsi="Book Antiqua"/>
              </w:rPr>
              <w:t xml:space="preserve">Hatched </w:t>
            </w:r>
          </w:p>
        </w:tc>
        <w:tc>
          <w:tcPr>
            <w:tcW w:w="990" w:type="dxa"/>
            <w:shd w:val="clear" w:color="auto" w:fill="auto"/>
          </w:tcPr>
          <w:p w14:paraId="6C4B5795"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85</w:t>
            </w:r>
          </w:p>
        </w:tc>
        <w:tc>
          <w:tcPr>
            <w:tcW w:w="630" w:type="dxa"/>
            <w:shd w:val="clear" w:color="auto" w:fill="auto"/>
          </w:tcPr>
          <w:p w14:paraId="216BD123"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60</w:t>
            </w:r>
          </w:p>
        </w:tc>
        <w:tc>
          <w:tcPr>
            <w:tcW w:w="900" w:type="dxa"/>
            <w:shd w:val="clear" w:color="auto" w:fill="auto"/>
          </w:tcPr>
          <w:p w14:paraId="4042F5AB"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67.5</w:t>
            </w:r>
          </w:p>
        </w:tc>
        <w:tc>
          <w:tcPr>
            <w:tcW w:w="1080" w:type="dxa"/>
            <w:shd w:val="clear" w:color="auto" w:fill="auto"/>
          </w:tcPr>
          <w:p w14:paraId="63D785AC" w14:textId="77777777" w:rsidR="00A56F27" w:rsidRPr="00D12E59" w:rsidRDefault="00A56F27" w:rsidP="00A56F2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55</w:t>
            </w:r>
          </w:p>
        </w:tc>
      </w:tr>
    </w:tbl>
    <w:p w14:paraId="74AADC62" w14:textId="77777777" w:rsidR="00DF261C" w:rsidRDefault="00DF261C" w:rsidP="00A56F27">
      <w:pPr>
        <w:spacing w:after="0"/>
        <w:rPr>
          <w:rFonts w:ascii="Book Antiqua" w:hAnsi="Book Antiqua"/>
          <w:b/>
        </w:rPr>
        <w:sectPr w:rsidR="00DF261C" w:rsidSect="008F6BC9">
          <w:type w:val="continuous"/>
          <w:pgSz w:w="11907" w:h="16839" w:code="9"/>
          <w:pgMar w:top="1440" w:right="1152" w:bottom="-1152" w:left="1440" w:header="720" w:footer="720" w:gutter="0"/>
          <w:cols w:num="2" w:space="720"/>
          <w:docGrid w:linePitch="360"/>
        </w:sectPr>
      </w:pPr>
    </w:p>
    <w:p w14:paraId="59D59F66" w14:textId="77777777" w:rsidR="00DF261C" w:rsidRDefault="00DF261C" w:rsidP="004105BC">
      <w:pPr>
        <w:spacing w:after="0"/>
        <w:rPr>
          <w:rFonts w:ascii="Book Antiqua" w:hAnsi="Book Antiqua"/>
          <w:b/>
        </w:rPr>
        <w:sectPr w:rsidR="00DF261C" w:rsidSect="00DF261C">
          <w:type w:val="continuous"/>
          <w:pgSz w:w="11907" w:h="16839" w:code="9"/>
          <w:pgMar w:top="1440" w:right="1152" w:bottom="-1152" w:left="1440" w:header="720" w:footer="720" w:gutter="0"/>
          <w:cols w:space="720"/>
          <w:docGrid w:linePitch="360"/>
        </w:sectPr>
      </w:pPr>
    </w:p>
    <w:p w14:paraId="7350F95F" w14:textId="77777777" w:rsidR="000D4BF1" w:rsidRDefault="000D4BF1" w:rsidP="00EF25EF">
      <w:pPr>
        <w:spacing w:after="0"/>
        <w:rPr>
          <w:rFonts w:ascii="Book Antiqua" w:hAnsi="Book Antiqua"/>
          <w:b/>
        </w:rPr>
      </w:pPr>
      <w:r w:rsidRPr="00E3232D">
        <w:rPr>
          <w:rFonts w:ascii="Book Antiqua" w:hAnsi="Book Antiqua"/>
          <w:b/>
        </w:rPr>
        <w:lastRenderedPageBreak/>
        <w:t xml:space="preserve">Table 3: Hatchability of </w:t>
      </w:r>
      <w:r w:rsidRPr="00E3232D">
        <w:rPr>
          <w:rFonts w:ascii="Book Antiqua" w:hAnsi="Book Antiqua"/>
          <w:b/>
          <w:u w:val="single"/>
        </w:rPr>
        <w:t>H</w:t>
      </w:r>
      <w:r w:rsidRPr="00E3232D">
        <w:rPr>
          <w:rFonts w:ascii="Book Antiqua" w:hAnsi="Book Antiqua"/>
          <w:b/>
        </w:rPr>
        <w:t xml:space="preserve"> </w:t>
      </w:r>
      <w:r w:rsidRPr="00E3232D">
        <w:rPr>
          <w:rFonts w:ascii="Book Antiqua" w:hAnsi="Book Antiqua"/>
          <w:b/>
          <w:u w:val="single"/>
        </w:rPr>
        <w:t>isopterus</w:t>
      </w:r>
      <w:r w:rsidRPr="00E3232D">
        <w:rPr>
          <w:rFonts w:ascii="Book Antiqua" w:hAnsi="Book Antiqua"/>
          <w:b/>
        </w:rPr>
        <w:t xml:space="preserve"> larvae of temperature (Heat) shock treatment</w:t>
      </w:r>
    </w:p>
    <w:p w14:paraId="047BB23E" w14:textId="77777777" w:rsidR="00DF261C" w:rsidRPr="00E3232D" w:rsidRDefault="00DF261C" w:rsidP="00EF25EF">
      <w:pPr>
        <w:spacing w:after="0"/>
        <w:rPr>
          <w:rFonts w:ascii="Book Antiqua" w:hAnsi="Book Antiqua"/>
          <w:b/>
        </w:rPr>
      </w:pPr>
    </w:p>
    <w:p w14:paraId="1871AA66" w14:textId="77777777" w:rsidR="00B35D31" w:rsidRPr="00E3232D" w:rsidRDefault="00B35D31" w:rsidP="00B35D31">
      <w:pPr>
        <w:rPr>
          <w:rFonts w:ascii="Book Antiqua" w:hAnsi="Book Antiqua"/>
          <w:b/>
        </w:rPr>
      </w:pPr>
      <w:r w:rsidRPr="00E3232D">
        <w:rPr>
          <w:rFonts w:ascii="Book Antiqua" w:hAnsi="Book Antiqua"/>
          <w:b/>
        </w:rPr>
        <w:t>Table 4: Weights of females and males and the weights of eggs stripped from each female</w:t>
      </w:r>
    </w:p>
    <w:p w14:paraId="5BA2D588" w14:textId="77777777" w:rsidR="00B35D31" w:rsidRDefault="00B35D31" w:rsidP="00EF25EF">
      <w:pPr>
        <w:spacing w:after="0"/>
        <w:rPr>
          <w:rFonts w:ascii="Book Antiqua" w:hAnsi="Book Antiqua"/>
          <w:b/>
        </w:rPr>
        <w:sectPr w:rsidR="00B35D31" w:rsidSect="00B35D31">
          <w:type w:val="continuous"/>
          <w:pgSz w:w="11907" w:h="16839" w:code="9"/>
          <w:pgMar w:top="1440" w:right="1152" w:bottom="-1152" w:left="1440" w:header="720" w:footer="720" w:gutter="0"/>
          <w:cols w:num="2" w:space="720"/>
          <w:docGrid w:linePitch="360"/>
        </w:sectPr>
      </w:pPr>
    </w:p>
    <w:tbl>
      <w:tblPr>
        <w:tblStyle w:val="LightShading3"/>
        <w:tblpPr w:leftFromText="180" w:rightFromText="180" w:vertAnchor="text" w:horzAnchor="margin" w:tblpY="105"/>
        <w:tblW w:w="4698" w:type="dxa"/>
        <w:tblLayout w:type="fixed"/>
        <w:tblLook w:val="04A0" w:firstRow="1" w:lastRow="0" w:firstColumn="1" w:lastColumn="0" w:noHBand="0" w:noVBand="1"/>
      </w:tblPr>
      <w:tblGrid>
        <w:gridCol w:w="1008"/>
        <w:gridCol w:w="900"/>
        <w:gridCol w:w="810"/>
        <w:gridCol w:w="900"/>
        <w:gridCol w:w="1080"/>
      </w:tblGrid>
      <w:tr w:rsidR="00B35D31" w:rsidRPr="00D12E59" w14:paraId="32BCDA16" w14:textId="77777777" w:rsidTr="00B35D3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008" w:type="dxa"/>
            <w:vMerge w:val="restart"/>
            <w:shd w:val="clear" w:color="auto" w:fill="auto"/>
          </w:tcPr>
          <w:p w14:paraId="10E6B161" w14:textId="77777777" w:rsidR="00B35D31" w:rsidRPr="00D12E59" w:rsidRDefault="00B35D31" w:rsidP="00B35D31">
            <w:pPr>
              <w:spacing w:after="0" w:line="240" w:lineRule="auto"/>
              <w:rPr>
                <w:rFonts w:ascii="Book Antiqua" w:hAnsi="Book Antiqua"/>
              </w:rPr>
            </w:pPr>
          </w:p>
        </w:tc>
        <w:tc>
          <w:tcPr>
            <w:tcW w:w="900" w:type="dxa"/>
            <w:vMerge w:val="restart"/>
            <w:shd w:val="clear" w:color="auto" w:fill="auto"/>
          </w:tcPr>
          <w:p w14:paraId="7D2F8A16" w14:textId="77777777" w:rsidR="00B35D31" w:rsidRPr="00D12E59" w:rsidRDefault="00B35D31" w:rsidP="00B35D31">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D12E59">
              <w:rPr>
                <w:rFonts w:ascii="Book Antiqua" w:hAnsi="Book Antiqua"/>
              </w:rPr>
              <w:t>NO TREATMENT</w:t>
            </w:r>
          </w:p>
        </w:tc>
        <w:tc>
          <w:tcPr>
            <w:tcW w:w="2790" w:type="dxa"/>
            <w:gridSpan w:val="3"/>
            <w:shd w:val="clear" w:color="auto" w:fill="auto"/>
          </w:tcPr>
          <w:p w14:paraId="23D16282" w14:textId="77777777" w:rsidR="00B35D31" w:rsidRPr="00D12E59" w:rsidRDefault="00B35D31" w:rsidP="00B35D31">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D12E59">
              <w:rPr>
                <w:rFonts w:ascii="Book Antiqua" w:hAnsi="Book Antiqua"/>
              </w:rPr>
              <w:t xml:space="preserve"> Heat Shock Treatment</w:t>
            </w:r>
          </w:p>
        </w:tc>
      </w:tr>
      <w:tr w:rsidR="00B35D31" w:rsidRPr="00D12E59" w14:paraId="348A95F1" w14:textId="77777777" w:rsidTr="00B35D3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08" w:type="dxa"/>
            <w:vMerge/>
            <w:shd w:val="clear" w:color="auto" w:fill="auto"/>
          </w:tcPr>
          <w:p w14:paraId="12075510" w14:textId="77777777" w:rsidR="00B35D31" w:rsidRPr="00D12E59" w:rsidRDefault="00B35D31" w:rsidP="00B35D31">
            <w:pPr>
              <w:spacing w:after="0" w:line="240" w:lineRule="auto"/>
              <w:rPr>
                <w:rFonts w:ascii="Book Antiqua" w:hAnsi="Book Antiqua"/>
              </w:rPr>
            </w:pPr>
          </w:p>
        </w:tc>
        <w:tc>
          <w:tcPr>
            <w:tcW w:w="900" w:type="dxa"/>
            <w:vMerge/>
            <w:shd w:val="clear" w:color="auto" w:fill="auto"/>
          </w:tcPr>
          <w:p w14:paraId="3E56FCD6"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p>
        </w:tc>
        <w:tc>
          <w:tcPr>
            <w:tcW w:w="1710" w:type="dxa"/>
            <w:gridSpan w:val="2"/>
            <w:shd w:val="clear" w:color="auto" w:fill="auto"/>
          </w:tcPr>
          <w:p w14:paraId="2A2E7629"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 xml:space="preserve"> </w:t>
            </w:r>
          </w:p>
        </w:tc>
        <w:tc>
          <w:tcPr>
            <w:tcW w:w="1080" w:type="dxa"/>
            <w:shd w:val="clear" w:color="auto" w:fill="auto"/>
          </w:tcPr>
          <w:p w14:paraId="5377C342"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 xml:space="preserve"> </w:t>
            </w:r>
          </w:p>
        </w:tc>
      </w:tr>
      <w:tr w:rsidR="00B35D31" w:rsidRPr="00D12E59" w14:paraId="67580CDC" w14:textId="77777777" w:rsidTr="00B35D31">
        <w:trPr>
          <w:trHeight w:val="264"/>
        </w:trPr>
        <w:tc>
          <w:tcPr>
            <w:cnfStyle w:val="001000000000" w:firstRow="0" w:lastRow="0" w:firstColumn="1" w:lastColumn="0" w:oddVBand="0" w:evenVBand="0" w:oddHBand="0" w:evenHBand="0" w:firstRowFirstColumn="0" w:firstRowLastColumn="0" w:lastRowFirstColumn="0" w:lastRowLastColumn="0"/>
            <w:tcW w:w="1008" w:type="dxa"/>
            <w:vMerge/>
            <w:shd w:val="clear" w:color="auto" w:fill="auto"/>
          </w:tcPr>
          <w:p w14:paraId="43A705A8" w14:textId="77777777" w:rsidR="00B35D31" w:rsidRPr="00D12E59" w:rsidRDefault="00B35D31" w:rsidP="00B35D31">
            <w:pPr>
              <w:spacing w:after="0" w:line="240" w:lineRule="auto"/>
              <w:rPr>
                <w:rFonts w:ascii="Book Antiqua" w:hAnsi="Book Antiqua"/>
              </w:rPr>
            </w:pPr>
          </w:p>
        </w:tc>
        <w:tc>
          <w:tcPr>
            <w:tcW w:w="900" w:type="dxa"/>
            <w:shd w:val="clear" w:color="auto" w:fill="auto"/>
          </w:tcPr>
          <w:p w14:paraId="7990E654"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Control</w:t>
            </w:r>
          </w:p>
        </w:tc>
        <w:tc>
          <w:tcPr>
            <w:tcW w:w="810" w:type="dxa"/>
            <w:shd w:val="clear" w:color="auto" w:fill="auto"/>
          </w:tcPr>
          <w:p w14:paraId="46E11EB9"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1</w:t>
            </w:r>
            <w:r w:rsidRPr="00D12E59">
              <w:rPr>
                <w:rFonts w:ascii="Book Antiqua" w:hAnsi="Book Antiqua"/>
                <w:b/>
                <w:vertAlign w:val="superscript"/>
              </w:rPr>
              <w:t>st</w:t>
            </w:r>
            <w:r w:rsidRPr="00D12E59">
              <w:rPr>
                <w:rFonts w:ascii="Book Antiqua" w:hAnsi="Book Antiqua"/>
                <w:b/>
              </w:rPr>
              <w:t xml:space="preserve"> </w:t>
            </w:r>
          </w:p>
        </w:tc>
        <w:tc>
          <w:tcPr>
            <w:tcW w:w="900" w:type="dxa"/>
            <w:shd w:val="clear" w:color="auto" w:fill="auto"/>
          </w:tcPr>
          <w:p w14:paraId="456482F0"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2</w:t>
            </w:r>
            <w:r w:rsidRPr="00D12E59">
              <w:rPr>
                <w:rFonts w:ascii="Book Antiqua" w:hAnsi="Book Antiqua"/>
                <w:b/>
                <w:vertAlign w:val="superscript"/>
              </w:rPr>
              <w:t>nd</w:t>
            </w:r>
            <w:r w:rsidRPr="00D12E59">
              <w:rPr>
                <w:rFonts w:ascii="Book Antiqua" w:hAnsi="Book Antiqua"/>
                <w:b/>
              </w:rPr>
              <w:t xml:space="preserve">  </w:t>
            </w:r>
          </w:p>
        </w:tc>
        <w:tc>
          <w:tcPr>
            <w:tcW w:w="1080" w:type="dxa"/>
            <w:shd w:val="clear" w:color="auto" w:fill="auto"/>
          </w:tcPr>
          <w:p w14:paraId="3C0001F6"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3</w:t>
            </w:r>
            <w:r w:rsidRPr="00D12E59">
              <w:rPr>
                <w:rFonts w:ascii="Book Antiqua" w:hAnsi="Book Antiqua"/>
                <w:b/>
                <w:vertAlign w:val="superscript"/>
              </w:rPr>
              <w:t>rd</w:t>
            </w:r>
            <w:r w:rsidRPr="00D12E59">
              <w:rPr>
                <w:rFonts w:ascii="Book Antiqua" w:hAnsi="Book Antiqua"/>
                <w:b/>
              </w:rPr>
              <w:t xml:space="preserve">  </w:t>
            </w:r>
          </w:p>
        </w:tc>
      </w:tr>
      <w:tr w:rsidR="00B35D31" w:rsidRPr="00D12E59" w14:paraId="716F8248" w14:textId="77777777" w:rsidTr="00B35D3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08" w:type="dxa"/>
            <w:shd w:val="clear" w:color="auto" w:fill="auto"/>
          </w:tcPr>
          <w:p w14:paraId="37F2539A"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Temperature of treatment (</w:t>
            </w:r>
            <w:r w:rsidRPr="00D12E59">
              <w:rPr>
                <w:rFonts w:ascii="Book Antiqua" w:hAnsi="Book Antiqua"/>
                <w:vertAlign w:val="superscript"/>
              </w:rPr>
              <w:t>0</w:t>
            </w:r>
            <w:r w:rsidRPr="00D12E59">
              <w:rPr>
                <w:rFonts w:ascii="Book Antiqua" w:hAnsi="Book Antiqua"/>
              </w:rPr>
              <w:t>C)</w:t>
            </w:r>
          </w:p>
        </w:tc>
        <w:tc>
          <w:tcPr>
            <w:tcW w:w="900" w:type="dxa"/>
            <w:shd w:val="clear" w:color="auto" w:fill="auto"/>
          </w:tcPr>
          <w:p w14:paraId="667E0233"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28</w:t>
            </w:r>
          </w:p>
        </w:tc>
        <w:tc>
          <w:tcPr>
            <w:tcW w:w="810" w:type="dxa"/>
            <w:shd w:val="clear" w:color="auto" w:fill="auto"/>
          </w:tcPr>
          <w:p w14:paraId="0B2754C5"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42</w:t>
            </w:r>
          </w:p>
        </w:tc>
        <w:tc>
          <w:tcPr>
            <w:tcW w:w="900" w:type="dxa"/>
            <w:shd w:val="clear" w:color="auto" w:fill="auto"/>
          </w:tcPr>
          <w:p w14:paraId="7EEBAECD"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vertAlign w:val="superscript"/>
              </w:rPr>
            </w:pPr>
            <w:r w:rsidRPr="00D12E59">
              <w:rPr>
                <w:rFonts w:ascii="Book Antiqua" w:hAnsi="Book Antiqua"/>
                <w:b/>
              </w:rPr>
              <w:t>40</w:t>
            </w:r>
          </w:p>
        </w:tc>
        <w:tc>
          <w:tcPr>
            <w:tcW w:w="1080" w:type="dxa"/>
            <w:shd w:val="clear" w:color="auto" w:fill="auto"/>
          </w:tcPr>
          <w:p w14:paraId="329DF93E"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38</w:t>
            </w:r>
          </w:p>
        </w:tc>
      </w:tr>
      <w:tr w:rsidR="00B35D31" w:rsidRPr="00D12E59" w14:paraId="2DF0117F" w14:textId="77777777" w:rsidTr="00B35D31">
        <w:trPr>
          <w:trHeight w:val="264"/>
        </w:trPr>
        <w:tc>
          <w:tcPr>
            <w:cnfStyle w:val="001000000000" w:firstRow="0" w:lastRow="0" w:firstColumn="1" w:lastColumn="0" w:oddVBand="0" w:evenVBand="0" w:oddHBand="0" w:evenHBand="0" w:firstRowFirstColumn="0" w:firstRowLastColumn="0" w:lastRowFirstColumn="0" w:lastRowLastColumn="0"/>
            <w:tcW w:w="1008" w:type="dxa"/>
            <w:shd w:val="clear" w:color="auto" w:fill="auto"/>
          </w:tcPr>
          <w:p w14:paraId="5DE5FE4A"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Duration of treatment</w:t>
            </w:r>
          </w:p>
        </w:tc>
        <w:tc>
          <w:tcPr>
            <w:tcW w:w="900" w:type="dxa"/>
            <w:shd w:val="clear" w:color="auto" w:fill="auto"/>
          </w:tcPr>
          <w:p w14:paraId="5B5939B8"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3.5min</w:t>
            </w:r>
          </w:p>
        </w:tc>
        <w:tc>
          <w:tcPr>
            <w:tcW w:w="810" w:type="dxa"/>
            <w:shd w:val="clear" w:color="auto" w:fill="auto"/>
          </w:tcPr>
          <w:p w14:paraId="090823B6"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3.5min</w:t>
            </w:r>
          </w:p>
        </w:tc>
        <w:tc>
          <w:tcPr>
            <w:tcW w:w="900" w:type="dxa"/>
            <w:shd w:val="clear" w:color="auto" w:fill="auto"/>
          </w:tcPr>
          <w:p w14:paraId="184EA4C2"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3.5min</w:t>
            </w:r>
          </w:p>
        </w:tc>
        <w:tc>
          <w:tcPr>
            <w:tcW w:w="1080" w:type="dxa"/>
            <w:shd w:val="clear" w:color="auto" w:fill="auto"/>
          </w:tcPr>
          <w:p w14:paraId="1C135D54"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3.5min</w:t>
            </w:r>
          </w:p>
        </w:tc>
      </w:tr>
      <w:tr w:rsidR="00B35D31" w:rsidRPr="00D12E59" w14:paraId="63569029" w14:textId="77777777" w:rsidTr="00B35D3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08" w:type="dxa"/>
            <w:shd w:val="clear" w:color="auto" w:fill="auto"/>
          </w:tcPr>
          <w:p w14:paraId="6DDBEE88"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 xml:space="preserve">Egg fertilized </w:t>
            </w:r>
          </w:p>
        </w:tc>
        <w:tc>
          <w:tcPr>
            <w:tcW w:w="900" w:type="dxa"/>
            <w:shd w:val="clear" w:color="auto" w:fill="auto"/>
          </w:tcPr>
          <w:p w14:paraId="295AB67E"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200</w:t>
            </w:r>
          </w:p>
        </w:tc>
        <w:tc>
          <w:tcPr>
            <w:tcW w:w="810" w:type="dxa"/>
            <w:shd w:val="clear" w:color="auto" w:fill="auto"/>
          </w:tcPr>
          <w:p w14:paraId="1817C695"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200</w:t>
            </w:r>
          </w:p>
        </w:tc>
        <w:tc>
          <w:tcPr>
            <w:tcW w:w="900" w:type="dxa"/>
            <w:shd w:val="clear" w:color="auto" w:fill="auto"/>
          </w:tcPr>
          <w:p w14:paraId="632A0E8E"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200</w:t>
            </w:r>
          </w:p>
        </w:tc>
        <w:tc>
          <w:tcPr>
            <w:tcW w:w="1080" w:type="dxa"/>
            <w:shd w:val="clear" w:color="auto" w:fill="auto"/>
          </w:tcPr>
          <w:p w14:paraId="5F7D41EA"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200</w:t>
            </w:r>
          </w:p>
        </w:tc>
      </w:tr>
      <w:tr w:rsidR="00B35D31" w:rsidRPr="00D12E59" w14:paraId="0B68AD54" w14:textId="77777777" w:rsidTr="00B35D31">
        <w:trPr>
          <w:trHeight w:val="264"/>
        </w:trPr>
        <w:tc>
          <w:tcPr>
            <w:cnfStyle w:val="001000000000" w:firstRow="0" w:lastRow="0" w:firstColumn="1" w:lastColumn="0" w:oddVBand="0" w:evenVBand="0" w:oddHBand="0" w:evenHBand="0" w:firstRowFirstColumn="0" w:firstRowLastColumn="0" w:lastRowFirstColumn="0" w:lastRowLastColumn="0"/>
            <w:tcW w:w="1008" w:type="dxa"/>
            <w:shd w:val="clear" w:color="auto" w:fill="auto"/>
          </w:tcPr>
          <w:p w14:paraId="0AE57327"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 xml:space="preserve">Time after fertilization </w:t>
            </w:r>
          </w:p>
        </w:tc>
        <w:tc>
          <w:tcPr>
            <w:tcW w:w="900" w:type="dxa"/>
            <w:shd w:val="clear" w:color="auto" w:fill="auto"/>
          </w:tcPr>
          <w:p w14:paraId="1F7F551E"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5min.</w:t>
            </w:r>
          </w:p>
        </w:tc>
        <w:tc>
          <w:tcPr>
            <w:tcW w:w="810" w:type="dxa"/>
            <w:shd w:val="clear" w:color="auto" w:fill="auto"/>
          </w:tcPr>
          <w:p w14:paraId="72F13158"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5min</w:t>
            </w:r>
          </w:p>
        </w:tc>
        <w:tc>
          <w:tcPr>
            <w:tcW w:w="900" w:type="dxa"/>
            <w:shd w:val="clear" w:color="auto" w:fill="auto"/>
          </w:tcPr>
          <w:p w14:paraId="29FEE7D1"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5min</w:t>
            </w:r>
          </w:p>
        </w:tc>
        <w:tc>
          <w:tcPr>
            <w:tcW w:w="1080" w:type="dxa"/>
            <w:shd w:val="clear" w:color="auto" w:fill="auto"/>
          </w:tcPr>
          <w:p w14:paraId="331017AA"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5min</w:t>
            </w:r>
          </w:p>
        </w:tc>
      </w:tr>
      <w:tr w:rsidR="00B35D31" w:rsidRPr="00D12E59" w14:paraId="4F771ADC" w14:textId="77777777" w:rsidTr="00B35D3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08" w:type="dxa"/>
            <w:shd w:val="clear" w:color="auto" w:fill="auto"/>
          </w:tcPr>
          <w:p w14:paraId="49CE1774"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 xml:space="preserve">Eggs hatched </w:t>
            </w:r>
          </w:p>
        </w:tc>
        <w:tc>
          <w:tcPr>
            <w:tcW w:w="900" w:type="dxa"/>
            <w:shd w:val="clear" w:color="auto" w:fill="auto"/>
          </w:tcPr>
          <w:p w14:paraId="02668FDE"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170</w:t>
            </w:r>
          </w:p>
        </w:tc>
        <w:tc>
          <w:tcPr>
            <w:tcW w:w="810" w:type="dxa"/>
            <w:shd w:val="clear" w:color="auto" w:fill="auto"/>
          </w:tcPr>
          <w:p w14:paraId="33A9D924"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0</w:t>
            </w:r>
          </w:p>
        </w:tc>
        <w:tc>
          <w:tcPr>
            <w:tcW w:w="900" w:type="dxa"/>
            <w:shd w:val="clear" w:color="auto" w:fill="auto"/>
          </w:tcPr>
          <w:p w14:paraId="15FC1B57"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5</w:t>
            </w:r>
          </w:p>
        </w:tc>
        <w:tc>
          <w:tcPr>
            <w:tcW w:w="1080" w:type="dxa"/>
            <w:shd w:val="clear" w:color="auto" w:fill="auto"/>
          </w:tcPr>
          <w:p w14:paraId="03B19A3F"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45</w:t>
            </w:r>
          </w:p>
        </w:tc>
      </w:tr>
      <w:tr w:rsidR="00B35D31" w:rsidRPr="00D12E59" w14:paraId="380EA750" w14:textId="77777777" w:rsidTr="00B35D31">
        <w:trPr>
          <w:trHeight w:val="264"/>
        </w:trPr>
        <w:tc>
          <w:tcPr>
            <w:cnfStyle w:val="001000000000" w:firstRow="0" w:lastRow="0" w:firstColumn="1" w:lastColumn="0" w:oddVBand="0" w:evenVBand="0" w:oddHBand="0" w:evenHBand="0" w:firstRowFirstColumn="0" w:firstRowLastColumn="0" w:lastRowFirstColumn="0" w:lastRowLastColumn="0"/>
            <w:tcW w:w="1008" w:type="dxa"/>
            <w:shd w:val="clear" w:color="auto" w:fill="auto"/>
          </w:tcPr>
          <w:p w14:paraId="274E37B3"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 xml:space="preserve">Percentage eggs </w:t>
            </w:r>
          </w:p>
          <w:p w14:paraId="7EBB9654"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 xml:space="preserve">Hatchd </w:t>
            </w:r>
          </w:p>
        </w:tc>
        <w:tc>
          <w:tcPr>
            <w:tcW w:w="900" w:type="dxa"/>
            <w:shd w:val="clear" w:color="auto" w:fill="auto"/>
          </w:tcPr>
          <w:p w14:paraId="7D831F94"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85</w:t>
            </w:r>
          </w:p>
        </w:tc>
        <w:tc>
          <w:tcPr>
            <w:tcW w:w="810" w:type="dxa"/>
            <w:shd w:val="clear" w:color="auto" w:fill="auto"/>
          </w:tcPr>
          <w:p w14:paraId="2A5F75C4"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0</w:t>
            </w:r>
          </w:p>
        </w:tc>
        <w:tc>
          <w:tcPr>
            <w:tcW w:w="900" w:type="dxa"/>
            <w:shd w:val="clear" w:color="auto" w:fill="auto"/>
          </w:tcPr>
          <w:p w14:paraId="2B35A391"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2.5</w:t>
            </w:r>
          </w:p>
        </w:tc>
        <w:tc>
          <w:tcPr>
            <w:tcW w:w="1080" w:type="dxa"/>
            <w:shd w:val="clear" w:color="auto" w:fill="auto"/>
          </w:tcPr>
          <w:p w14:paraId="43D0B077"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22.5</w:t>
            </w:r>
          </w:p>
        </w:tc>
      </w:tr>
    </w:tbl>
    <w:tbl>
      <w:tblPr>
        <w:tblStyle w:val="LightShading2"/>
        <w:tblpPr w:leftFromText="180" w:rightFromText="180" w:vertAnchor="page" w:horzAnchor="margin" w:tblpXSpec="right" w:tblpY="3736"/>
        <w:tblW w:w="0" w:type="auto"/>
        <w:tblLook w:val="04A0" w:firstRow="1" w:lastRow="0" w:firstColumn="1" w:lastColumn="0" w:noHBand="0" w:noVBand="1"/>
      </w:tblPr>
      <w:tblGrid>
        <w:gridCol w:w="960"/>
        <w:gridCol w:w="1757"/>
        <w:gridCol w:w="608"/>
        <w:gridCol w:w="591"/>
        <w:gridCol w:w="605"/>
      </w:tblGrid>
      <w:tr w:rsidR="00B35D31" w:rsidRPr="00D12E59" w14:paraId="3AA0F4FC" w14:textId="77777777" w:rsidTr="00B35D31">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0" w:type="dxa"/>
            <w:vMerge w:val="restart"/>
            <w:shd w:val="clear" w:color="auto" w:fill="auto"/>
          </w:tcPr>
          <w:p w14:paraId="253578FD" w14:textId="77777777" w:rsidR="00B35D31" w:rsidRPr="00A56F27" w:rsidRDefault="00B35D31" w:rsidP="00B35D31">
            <w:pPr>
              <w:spacing w:after="0" w:line="240" w:lineRule="auto"/>
              <w:rPr>
                <w:rFonts w:ascii="Book Antiqua" w:hAnsi="Book Antiqua"/>
                <w:b w:val="0"/>
              </w:rPr>
            </w:pPr>
            <w:r w:rsidRPr="00A56F27">
              <w:rPr>
                <w:rFonts w:ascii="Book Antiqua" w:hAnsi="Book Antiqua"/>
                <w:b w:val="0"/>
              </w:rPr>
              <w:t xml:space="preserve">FISH </w:t>
            </w:r>
          </w:p>
        </w:tc>
        <w:tc>
          <w:tcPr>
            <w:tcW w:w="1757" w:type="dxa"/>
            <w:shd w:val="clear" w:color="auto" w:fill="auto"/>
          </w:tcPr>
          <w:p w14:paraId="0F6F3BFC" w14:textId="77777777" w:rsidR="00B35D31" w:rsidRPr="00A56F27" w:rsidRDefault="00B35D31" w:rsidP="00B35D31">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A56F27">
              <w:rPr>
                <w:rFonts w:ascii="Book Antiqua" w:hAnsi="Book Antiqua"/>
                <w:b w:val="0"/>
              </w:rPr>
              <w:t>NO TREATMENT</w:t>
            </w:r>
          </w:p>
        </w:tc>
        <w:tc>
          <w:tcPr>
            <w:tcW w:w="1804" w:type="dxa"/>
            <w:gridSpan w:val="3"/>
            <w:shd w:val="clear" w:color="auto" w:fill="auto"/>
          </w:tcPr>
          <w:p w14:paraId="395CDD42" w14:textId="77777777" w:rsidR="00B35D31" w:rsidRPr="00A56F27" w:rsidRDefault="00B35D31" w:rsidP="00B35D31">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A56F27">
              <w:rPr>
                <w:rFonts w:ascii="Book Antiqua" w:hAnsi="Book Antiqua"/>
                <w:b w:val="0"/>
              </w:rPr>
              <w:t>TREATMENT</w:t>
            </w:r>
          </w:p>
        </w:tc>
      </w:tr>
      <w:tr w:rsidR="00B35D31" w:rsidRPr="00D12E59" w14:paraId="6460DDE5" w14:textId="77777777" w:rsidTr="00B35D31">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960" w:type="dxa"/>
            <w:vMerge/>
            <w:shd w:val="clear" w:color="auto" w:fill="auto"/>
          </w:tcPr>
          <w:p w14:paraId="4BE33060" w14:textId="77777777" w:rsidR="00B35D31" w:rsidRPr="00D12E59" w:rsidRDefault="00B35D31" w:rsidP="00B35D31">
            <w:pPr>
              <w:spacing w:after="0" w:line="240" w:lineRule="auto"/>
              <w:rPr>
                <w:rFonts w:ascii="Book Antiqua" w:hAnsi="Book Antiqua"/>
              </w:rPr>
            </w:pPr>
          </w:p>
        </w:tc>
        <w:tc>
          <w:tcPr>
            <w:tcW w:w="1757" w:type="dxa"/>
            <w:shd w:val="clear" w:color="auto" w:fill="auto"/>
          </w:tcPr>
          <w:p w14:paraId="65C3C1FE"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TRIAL</w:t>
            </w:r>
          </w:p>
        </w:tc>
        <w:tc>
          <w:tcPr>
            <w:tcW w:w="608" w:type="dxa"/>
            <w:shd w:val="clear" w:color="auto" w:fill="auto"/>
          </w:tcPr>
          <w:p w14:paraId="21F6156D"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1</w:t>
            </w:r>
            <w:r w:rsidRPr="00D12E59">
              <w:rPr>
                <w:rFonts w:ascii="Book Antiqua" w:hAnsi="Book Antiqua"/>
                <w:b/>
                <w:vertAlign w:val="superscript"/>
              </w:rPr>
              <w:t>ST</w:t>
            </w:r>
          </w:p>
        </w:tc>
        <w:tc>
          <w:tcPr>
            <w:tcW w:w="591" w:type="dxa"/>
            <w:shd w:val="clear" w:color="auto" w:fill="auto"/>
          </w:tcPr>
          <w:p w14:paraId="78A0BC81"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2</w:t>
            </w:r>
            <w:r w:rsidRPr="00D12E59">
              <w:rPr>
                <w:rFonts w:ascii="Book Antiqua" w:hAnsi="Book Antiqua"/>
                <w:b/>
                <w:vertAlign w:val="superscript"/>
              </w:rPr>
              <w:t>ND</w:t>
            </w:r>
          </w:p>
        </w:tc>
        <w:tc>
          <w:tcPr>
            <w:tcW w:w="605" w:type="dxa"/>
            <w:shd w:val="clear" w:color="auto" w:fill="auto"/>
          </w:tcPr>
          <w:p w14:paraId="496C8CC3"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3</w:t>
            </w:r>
            <w:r w:rsidRPr="00D12E59">
              <w:rPr>
                <w:rFonts w:ascii="Book Antiqua" w:hAnsi="Book Antiqua"/>
                <w:b/>
                <w:vertAlign w:val="superscript"/>
              </w:rPr>
              <w:t>RD</w:t>
            </w:r>
          </w:p>
        </w:tc>
      </w:tr>
      <w:tr w:rsidR="00B35D31" w:rsidRPr="00D12E59" w14:paraId="34C1E4D8" w14:textId="77777777" w:rsidTr="00B35D31">
        <w:trPr>
          <w:trHeight w:val="779"/>
        </w:trPr>
        <w:tc>
          <w:tcPr>
            <w:cnfStyle w:val="001000000000" w:firstRow="0" w:lastRow="0" w:firstColumn="1" w:lastColumn="0" w:oddVBand="0" w:evenVBand="0" w:oddHBand="0" w:evenHBand="0" w:firstRowFirstColumn="0" w:firstRowLastColumn="0" w:lastRowFirstColumn="0" w:lastRowLastColumn="0"/>
            <w:tcW w:w="960" w:type="dxa"/>
            <w:shd w:val="clear" w:color="auto" w:fill="auto"/>
          </w:tcPr>
          <w:p w14:paraId="732D77D9"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Weight of male (gm)</w:t>
            </w:r>
          </w:p>
        </w:tc>
        <w:tc>
          <w:tcPr>
            <w:tcW w:w="1757" w:type="dxa"/>
            <w:shd w:val="clear" w:color="auto" w:fill="auto"/>
          </w:tcPr>
          <w:p w14:paraId="325BC1FC"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575</w:t>
            </w:r>
          </w:p>
        </w:tc>
        <w:tc>
          <w:tcPr>
            <w:tcW w:w="608" w:type="dxa"/>
            <w:shd w:val="clear" w:color="auto" w:fill="auto"/>
          </w:tcPr>
          <w:p w14:paraId="052DA7A8"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540</w:t>
            </w:r>
          </w:p>
        </w:tc>
        <w:tc>
          <w:tcPr>
            <w:tcW w:w="591" w:type="dxa"/>
            <w:shd w:val="clear" w:color="auto" w:fill="auto"/>
          </w:tcPr>
          <w:p w14:paraId="438599F8"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500</w:t>
            </w:r>
          </w:p>
        </w:tc>
        <w:tc>
          <w:tcPr>
            <w:tcW w:w="605" w:type="dxa"/>
            <w:shd w:val="clear" w:color="auto" w:fill="auto"/>
          </w:tcPr>
          <w:p w14:paraId="777092EF"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500</w:t>
            </w:r>
          </w:p>
        </w:tc>
      </w:tr>
      <w:tr w:rsidR="00B35D31" w:rsidRPr="00D12E59" w14:paraId="3FC4F5FA" w14:textId="77777777" w:rsidTr="00B35D31">
        <w:trPr>
          <w:cnfStyle w:val="000000100000" w:firstRow="0" w:lastRow="0" w:firstColumn="0" w:lastColumn="0" w:oddVBand="0" w:evenVBand="0" w:oddHBand="1" w:evenHBand="0" w:firstRowFirstColumn="0" w:firstRowLastColumn="0" w:lastRowFirstColumn="0" w:lastRowLastColumn="0"/>
          <w:trHeight w:val="992"/>
        </w:trPr>
        <w:tc>
          <w:tcPr>
            <w:cnfStyle w:val="001000000000" w:firstRow="0" w:lastRow="0" w:firstColumn="1" w:lastColumn="0" w:oddVBand="0" w:evenVBand="0" w:oddHBand="0" w:evenHBand="0" w:firstRowFirstColumn="0" w:firstRowLastColumn="0" w:lastRowFirstColumn="0" w:lastRowLastColumn="0"/>
            <w:tcW w:w="960" w:type="dxa"/>
            <w:shd w:val="clear" w:color="auto" w:fill="auto"/>
          </w:tcPr>
          <w:p w14:paraId="0D74FC6D"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Weight of Female (gm)</w:t>
            </w:r>
          </w:p>
        </w:tc>
        <w:tc>
          <w:tcPr>
            <w:tcW w:w="1757" w:type="dxa"/>
            <w:shd w:val="clear" w:color="auto" w:fill="auto"/>
          </w:tcPr>
          <w:p w14:paraId="5C049FC9"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600</w:t>
            </w:r>
          </w:p>
        </w:tc>
        <w:tc>
          <w:tcPr>
            <w:tcW w:w="608" w:type="dxa"/>
            <w:shd w:val="clear" w:color="auto" w:fill="auto"/>
          </w:tcPr>
          <w:p w14:paraId="3872D915"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400</w:t>
            </w:r>
          </w:p>
        </w:tc>
        <w:tc>
          <w:tcPr>
            <w:tcW w:w="591" w:type="dxa"/>
            <w:shd w:val="clear" w:color="auto" w:fill="auto"/>
          </w:tcPr>
          <w:p w14:paraId="28FEC629"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500</w:t>
            </w:r>
          </w:p>
        </w:tc>
        <w:tc>
          <w:tcPr>
            <w:tcW w:w="605" w:type="dxa"/>
            <w:shd w:val="clear" w:color="auto" w:fill="auto"/>
          </w:tcPr>
          <w:p w14:paraId="5104C9F7" w14:textId="77777777" w:rsidR="00B35D31" w:rsidRPr="00D12E59" w:rsidRDefault="00B35D31" w:rsidP="00B35D31">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D12E59">
              <w:rPr>
                <w:rFonts w:ascii="Book Antiqua" w:hAnsi="Book Antiqua"/>
                <w:b/>
              </w:rPr>
              <w:t>500</w:t>
            </w:r>
          </w:p>
        </w:tc>
      </w:tr>
      <w:tr w:rsidR="00B35D31" w:rsidRPr="00D12E59" w14:paraId="306D2CF1" w14:textId="77777777" w:rsidTr="00B35D31">
        <w:trPr>
          <w:trHeight w:val="779"/>
        </w:trPr>
        <w:tc>
          <w:tcPr>
            <w:cnfStyle w:val="001000000000" w:firstRow="0" w:lastRow="0" w:firstColumn="1" w:lastColumn="0" w:oddVBand="0" w:evenVBand="0" w:oddHBand="0" w:evenHBand="0" w:firstRowFirstColumn="0" w:firstRowLastColumn="0" w:lastRowFirstColumn="0" w:lastRowLastColumn="0"/>
            <w:tcW w:w="960" w:type="dxa"/>
            <w:shd w:val="clear" w:color="auto" w:fill="auto"/>
          </w:tcPr>
          <w:p w14:paraId="021D4B38" w14:textId="77777777" w:rsidR="00B35D31" w:rsidRPr="00D12E59" w:rsidRDefault="00B35D31" w:rsidP="00B35D31">
            <w:pPr>
              <w:spacing w:after="0" w:line="240" w:lineRule="auto"/>
              <w:rPr>
                <w:rFonts w:ascii="Book Antiqua" w:hAnsi="Book Antiqua"/>
                <w:b w:val="0"/>
              </w:rPr>
            </w:pPr>
            <w:r w:rsidRPr="00D12E59">
              <w:rPr>
                <w:rFonts w:ascii="Book Antiqua" w:hAnsi="Book Antiqua"/>
              </w:rPr>
              <w:t>Weight of eggs (gm)</w:t>
            </w:r>
          </w:p>
        </w:tc>
        <w:tc>
          <w:tcPr>
            <w:tcW w:w="1757" w:type="dxa"/>
            <w:shd w:val="clear" w:color="auto" w:fill="auto"/>
          </w:tcPr>
          <w:p w14:paraId="38DB5D30"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65</w:t>
            </w:r>
          </w:p>
        </w:tc>
        <w:tc>
          <w:tcPr>
            <w:tcW w:w="608" w:type="dxa"/>
            <w:shd w:val="clear" w:color="auto" w:fill="auto"/>
          </w:tcPr>
          <w:p w14:paraId="5292DCF8"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20</w:t>
            </w:r>
          </w:p>
        </w:tc>
        <w:tc>
          <w:tcPr>
            <w:tcW w:w="591" w:type="dxa"/>
            <w:shd w:val="clear" w:color="auto" w:fill="auto"/>
          </w:tcPr>
          <w:p w14:paraId="67340177"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40</w:t>
            </w:r>
          </w:p>
        </w:tc>
        <w:tc>
          <w:tcPr>
            <w:tcW w:w="605" w:type="dxa"/>
            <w:shd w:val="clear" w:color="auto" w:fill="auto"/>
          </w:tcPr>
          <w:p w14:paraId="5129173C" w14:textId="77777777" w:rsidR="00B35D31" w:rsidRPr="00D12E59" w:rsidRDefault="00B35D31" w:rsidP="00B35D31">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D12E59">
              <w:rPr>
                <w:rFonts w:ascii="Book Antiqua" w:hAnsi="Book Antiqua"/>
                <w:b/>
              </w:rPr>
              <w:t>50</w:t>
            </w:r>
          </w:p>
        </w:tc>
      </w:tr>
    </w:tbl>
    <w:p w14:paraId="6761F2B7" w14:textId="77777777" w:rsidR="00927001" w:rsidRDefault="00927001" w:rsidP="000D4BF1">
      <w:pPr>
        <w:rPr>
          <w:rFonts w:ascii="Book Antiqua" w:hAnsi="Book Antiqua"/>
          <w:b/>
        </w:rPr>
        <w:sectPr w:rsidR="00927001" w:rsidSect="00DF261C">
          <w:type w:val="continuous"/>
          <w:pgSz w:w="11907" w:h="16839" w:code="9"/>
          <w:pgMar w:top="1440" w:right="1152" w:bottom="-1152" w:left="1440" w:header="720" w:footer="720" w:gutter="0"/>
          <w:cols w:space="720"/>
          <w:docGrid w:linePitch="360"/>
        </w:sectPr>
      </w:pPr>
    </w:p>
    <w:p w14:paraId="33A9362A" w14:textId="77777777" w:rsidR="00927001" w:rsidRDefault="00927001" w:rsidP="000D4BF1">
      <w:pPr>
        <w:rPr>
          <w:rFonts w:ascii="Book Antiqua" w:hAnsi="Book Antiqua"/>
        </w:rPr>
        <w:sectPr w:rsidR="00927001" w:rsidSect="00927001">
          <w:type w:val="continuous"/>
          <w:pgSz w:w="11907" w:h="16839" w:code="9"/>
          <w:pgMar w:top="1440" w:right="1152" w:bottom="-1152" w:left="1440" w:header="720" w:footer="720" w:gutter="0"/>
          <w:cols w:space="720"/>
          <w:docGrid w:linePitch="360"/>
        </w:sectPr>
      </w:pPr>
    </w:p>
    <w:p w14:paraId="7D8FC15F" w14:textId="77777777" w:rsidR="00DF261C" w:rsidRDefault="00DF261C" w:rsidP="00A56F27">
      <w:pPr>
        <w:spacing w:after="0"/>
        <w:rPr>
          <w:rFonts w:ascii="Book Antiqua" w:hAnsi="Book Antiqua"/>
          <w:b/>
        </w:rPr>
        <w:sectPr w:rsidR="00DF261C" w:rsidSect="00DF261C">
          <w:type w:val="continuous"/>
          <w:pgSz w:w="11907" w:h="16839" w:code="9"/>
          <w:pgMar w:top="1440" w:right="1152" w:bottom="-1152" w:left="1440" w:header="720" w:footer="720" w:gutter="0"/>
          <w:cols w:space="720"/>
          <w:docGrid w:linePitch="360"/>
        </w:sectPr>
      </w:pPr>
    </w:p>
    <w:p w14:paraId="0EFA4ABB" w14:textId="77777777" w:rsidR="00B35D31" w:rsidRDefault="00B35D31" w:rsidP="000D4BF1">
      <w:pPr>
        <w:rPr>
          <w:rFonts w:ascii="Book Antiqua" w:hAnsi="Book Antiqua"/>
          <w:b/>
        </w:rPr>
      </w:pPr>
    </w:p>
    <w:p w14:paraId="3311AD18" w14:textId="77777777" w:rsidR="000D4BF1" w:rsidRPr="00E3232D" w:rsidRDefault="00D704C5" w:rsidP="00B35D31">
      <w:pPr>
        <w:jc w:val="both"/>
        <w:rPr>
          <w:rFonts w:ascii="Book Antiqua" w:hAnsi="Book Antiqua"/>
          <w:b/>
        </w:rPr>
      </w:pPr>
      <w:r>
        <w:rPr>
          <w:rFonts w:ascii="Book Antiqua" w:hAnsi="Book Antiqua"/>
          <w:b/>
          <w:sz w:val="26"/>
        </w:rPr>
        <w:t xml:space="preserve">3.0 </w:t>
      </w:r>
      <w:r w:rsidR="000D4BF1" w:rsidRPr="002722D1">
        <w:rPr>
          <w:rFonts w:ascii="Book Antiqua" w:hAnsi="Book Antiqua"/>
          <w:b/>
          <w:sz w:val="26"/>
        </w:rPr>
        <w:t>Results and Discussion</w:t>
      </w:r>
    </w:p>
    <w:p w14:paraId="482A3E4C" w14:textId="77777777" w:rsidR="000D4BF1" w:rsidRPr="00E3232D" w:rsidRDefault="000D4BF1" w:rsidP="00B35D31">
      <w:pPr>
        <w:jc w:val="both"/>
        <w:rPr>
          <w:rFonts w:ascii="Book Antiqua" w:hAnsi="Book Antiqua"/>
        </w:rPr>
      </w:pPr>
      <w:r w:rsidRPr="00E3232D">
        <w:rPr>
          <w:rFonts w:ascii="Book Antiqua" w:hAnsi="Book Antiqua"/>
        </w:rPr>
        <w:t xml:space="preserve">The weight of eggs, (Table 4) gives an indication of the maturity of the females as more mature females produces more and heavier eggs. The weight measurement also helped in the estimation of the 200 eggs used in each treatment. Total eggs produced could also be estimated from the eggs weight. </w:t>
      </w:r>
    </w:p>
    <w:p w14:paraId="17A4B584" w14:textId="77777777" w:rsidR="000D4BF1" w:rsidRDefault="000D4BF1" w:rsidP="00B35D31">
      <w:pPr>
        <w:jc w:val="both"/>
        <w:rPr>
          <w:rFonts w:ascii="Book Antiqua" w:hAnsi="Book Antiqua"/>
        </w:rPr>
      </w:pPr>
    </w:p>
    <w:p w14:paraId="24D43C81" w14:textId="77777777" w:rsidR="000D4BF1" w:rsidRPr="00E3232D" w:rsidRDefault="000D4BF1" w:rsidP="00B35D31">
      <w:pPr>
        <w:spacing w:after="0"/>
        <w:jc w:val="both"/>
        <w:rPr>
          <w:rFonts w:ascii="Book Antiqua" w:hAnsi="Book Antiqua"/>
        </w:rPr>
      </w:pPr>
      <w:r w:rsidRPr="00E3232D">
        <w:rPr>
          <w:rFonts w:ascii="Book Antiqua" w:hAnsi="Book Antiqua"/>
        </w:rPr>
        <w:t>It was observed that the control had the highest hatched fry (85%), while 60% was the highest from the cold shock treated group (Table 2). The highest hatching recorded in the heat shock treatment was 22.5% at 38</w:t>
      </w:r>
      <w:r w:rsidRPr="00E3232D">
        <w:rPr>
          <w:rFonts w:ascii="Book Antiqua" w:hAnsi="Book Antiqua"/>
          <w:vertAlign w:val="superscript"/>
        </w:rPr>
        <w:t>o</w:t>
      </w:r>
      <w:r w:rsidRPr="00E3232D">
        <w:rPr>
          <w:rFonts w:ascii="Book Antiqua" w:hAnsi="Book Antiqua"/>
        </w:rPr>
        <w:t>C (Table 3).  As the time after fertilization before treatment, as well as the duration of treatment was kept constant at 5minutes and 1 hour respectively their effect on triploidy induction and hatchability were not determined in this study.</w:t>
      </w:r>
    </w:p>
    <w:p w14:paraId="7D21F980" w14:textId="77777777" w:rsidR="000D4BF1" w:rsidRDefault="000D4BF1" w:rsidP="00B35D31">
      <w:pPr>
        <w:pStyle w:val="ListParagraph"/>
        <w:tabs>
          <w:tab w:val="left" w:pos="0"/>
        </w:tabs>
        <w:spacing w:after="0"/>
        <w:ind w:left="0"/>
        <w:jc w:val="both"/>
        <w:rPr>
          <w:rFonts w:ascii="Book Antiqua" w:hAnsi="Book Antiqua"/>
        </w:rPr>
      </w:pPr>
    </w:p>
    <w:p w14:paraId="1B6D9F22" w14:textId="77777777" w:rsidR="000D4BF1" w:rsidRPr="00E3232D" w:rsidRDefault="000D4BF1" w:rsidP="00B35D31">
      <w:pPr>
        <w:pStyle w:val="ListParagraph"/>
        <w:tabs>
          <w:tab w:val="left" w:pos="0"/>
        </w:tabs>
        <w:spacing w:after="0"/>
        <w:ind w:left="0"/>
        <w:jc w:val="both"/>
        <w:rPr>
          <w:rFonts w:ascii="Book Antiqua" w:hAnsi="Book Antiqua"/>
        </w:rPr>
      </w:pPr>
      <w:r w:rsidRPr="00E3232D">
        <w:rPr>
          <w:rFonts w:ascii="Book Antiqua" w:hAnsi="Book Antiqua"/>
        </w:rPr>
        <w:t>Observation of the presence of bend in trunks of some of the cold shocked fries gives an indication of triploidy. The few fries with this abnormality could not swim properly and died within a period of three weeks after hatching.</w:t>
      </w:r>
    </w:p>
    <w:p w14:paraId="577EAA1A" w14:textId="77777777" w:rsidR="000D4BF1" w:rsidRDefault="000D4BF1" w:rsidP="00B35D31">
      <w:pPr>
        <w:autoSpaceDE w:val="0"/>
        <w:autoSpaceDN w:val="0"/>
        <w:adjustRightInd w:val="0"/>
        <w:spacing w:after="0"/>
        <w:jc w:val="both"/>
        <w:rPr>
          <w:rFonts w:ascii="Book Antiqua" w:hAnsi="Book Antiqua"/>
        </w:rPr>
      </w:pPr>
      <w:r w:rsidRPr="00E3232D">
        <w:rPr>
          <w:rFonts w:ascii="Book Antiqua" w:hAnsi="Book Antiqua"/>
        </w:rPr>
        <w:t>The present experiment was successful in the induction of triploidy in local catfish (</w:t>
      </w:r>
      <w:r w:rsidRPr="00E3232D">
        <w:rPr>
          <w:rFonts w:ascii="Book Antiqua" w:hAnsi="Book Antiqua"/>
          <w:i/>
          <w:iCs/>
        </w:rPr>
        <w:t>H. isopterus</w:t>
      </w:r>
      <w:r w:rsidRPr="00E3232D">
        <w:rPr>
          <w:rFonts w:ascii="Book Antiqua" w:hAnsi="Book Antiqua"/>
        </w:rPr>
        <w:t>), achieving about 55 to 75% (Table 2) triploidy using cold shock  5 min after fertilization at a temperature  between 0°C -</w:t>
      </w:r>
      <w:r w:rsidRPr="00E3232D">
        <w:rPr>
          <w:rFonts w:ascii="Book Antiqua" w:hAnsi="Book Antiqua"/>
        </w:rPr>
        <w:lastRenderedPageBreak/>
        <w:t>16°C with duration of 1 hour. Post fertilization cold shock treatment was applied by using a mixture of ice and water as a waterbath. According to Purdom C.E (1993), it is easy to apply cold shock precisely by using a mixture of ice and water as a waterbath.</w:t>
      </w:r>
    </w:p>
    <w:p w14:paraId="31507D9D" w14:textId="77777777" w:rsidR="00DF261C" w:rsidRDefault="00DF261C" w:rsidP="00B35D31">
      <w:pPr>
        <w:autoSpaceDE w:val="0"/>
        <w:autoSpaceDN w:val="0"/>
        <w:adjustRightInd w:val="0"/>
        <w:spacing w:after="0"/>
        <w:jc w:val="both"/>
        <w:rPr>
          <w:rFonts w:ascii="Book Antiqua" w:hAnsi="Book Antiqua"/>
        </w:rPr>
      </w:pPr>
    </w:p>
    <w:p w14:paraId="77EFC586" w14:textId="77777777" w:rsidR="000D4BF1" w:rsidRPr="00E3232D" w:rsidRDefault="000D4BF1" w:rsidP="00B35D31">
      <w:pPr>
        <w:autoSpaceDE w:val="0"/>
        <w:autoSpaceDN w:val="0"/>
        <w:adjustRightInd w:val="0"/>
        <w:spacing w:after="0"/>
        <w:jc w:val="both"/>
        <w:rPr>
          <w:rFonts w:ascii="Book Antiqua" w:hAnsi="Book Antiqua"/>
        </w:rPr>
      </w:pPr>
      <w:r w:rsidRPr="00E3232D">
        <w:rPr>
          <w:rFonts w:ascii="Book Antiqua" w:hAnsi="Book Antiqua"/>
        </w:rPr>
        <w:t>It is generally thought that warm water species are more susceptible to cold shock than to heat shock, whereas heat shock is more effective for cold water species. The experiment verified this contention as local catfish (</w:t>
      </w:r>
      <w:r w:rsidRPr="00E3232D">
        <w:rPr>
          <w:rFonts w:ascii="Book Antiqua" w:hAnsi="Book Antiqua"/>
          <w:i/>
          <w:iCs/>
        </w:rPr>
        <w:t>H. isopterus</w:t>
      </w:r>
      <w:r w:rsidRPr="00E3232D">
        <w:rPr>
          <w:rFonts w:ascii="Book Antiqua" w:hAnsi="Book Antiqua"/>
        </w:rPr>
        <w:t>) is an inhabitant of warm climate and has been shown to be highly susceptible to cold shock treatments. (Chourrout, D. 1980).</w:t>
      </w:r>
    </w:p>
    <w:p w14:paraId="4479AF8C" w14:textId="77777777" w:rsidR="000D4BF1" w:rsidRPr="00E3232D" w:rsidRDefault="000D4BF1" w:rsidP="00B35D31">
      <w:pPr>
        <w:autoSpaceDE w:val="0"/>
        <w:autoSpaceDN w:val="0"/>
        <w:adjustRightInd w:val="0"/>
        <w:jc w:val="both"/>
        <w:rPr>
          <w:rFonts w:ascii="Book Antiqua" w:hAnsi="Book Antiqua"/>
        </w:rPr>
      </w:pPr>
    </w:p>
    <w:p w14:paraId="0B507018" w14:textId="77777777" w:rsidR="000D4BF1" w:rsidRPr="00E3232D" w:rsidRDefault="000D4BF1" w:rsidP="00B35D31">
      <w:pPr>
        <w:autoSpaceDE w:val="0"/>
        <w:autoSpaceDN w:val="0"/>
        <w:adjustRightInd w:val="0"/>
        <w:jc w:val="both"/>
        <w:rPr>
          <w:rFonts w:ascii="Book Antiqua" w:hAnsi="Book Antiqua"/>
        </w:rPr>
      </w:pPr>
      <w:r w:rsidRPr="00E3232D">
        <w:rPr>
          <w:rFonts w:ascii="Book Antiqua" w:hAnsi="Book Antiqua"/>
        </w:rPr>
        <w:t xml:space="preserve">Cold shock treatment was observed to have a detrimental effect on the fertilized egg of </w:t>
      </w:r>
      <w:r w:rsidRPr="00E3232D">
        <w:rPr>
          <w:rFonts w:ascii="Book Antiqua" w:hAnsi="Book Antiqua"/>
          <w:i/>
          <w:iCs/>
        </w:rPr>
        <w:t>H. isopterus</w:t>
      </w:r>
      <w:r w:rsidRPr="00E3232D">
        <w:rPr>
          <w:rFonts w:ascii="Book Antiqua" w:hAnsi="Book Antiqua"/>
        </w:rPr>
        <w:t>; the hatching and survival in cold shock treated groups were considerably lower than those of control group in this study (Table 2..).</w:t>
      </w:r>
    </w:p>
    <w:p w14:paraId="27E90137" w14:textId="77777777" w:rsidR="000D4BF1" w:rsidRPr="00E3232D" w:rsidRDefault="000D4BF1" w:rsidP="00B35D31">
      <w:pPr>
        <w:autoSpaceDE w:val="0"/>
        <w:autoSpaceDN w:val="0"/>
        <w:adjustRightInd w:val="0"/>
        <w:jc w:val="both"/>
        <w:rPr>
          <w:rFonts w:ascii="Book Antiqua" w:hAnsi="Book Antiqua"/>
        </w:rPr>
      </w:pPr>
    </w:p>
    <w:p w14:paraId="30E0732C" w14:textId="77777777" w:rsidR="000D4BF1" w:rsidRPr="00E3232D" w:rsidRDefault="000D4BF1" w:rsidP="00B35D31">
      <w:pPr>
        <w:autoSpaceDE w:val="0"/>
        <w:autoSpaceDN w:val="0"/>
        <w:adjustRightInd w:val="0"/>
        <w:jc w:val="both"/>
        <w:rPr>
          <w:rFonts w:ascii="Book Antiqua" w:hAnsi="Book Antiqua"/>
        </w:rPr>
      </w:pPr>
      <w:r w:rsidRPr="00E3232D">
        <w:rPr>
          <w:rFonts w:ascii="Book Antiqua" w:hAnsi="Book Antiqua"/>
        </w:rPr>
        <w:t>The team hopes to use this study as a basis for further work to test and develop standardized shock protocols for a commercial production of triploid H isopterus and other known species</w:t>
      </w:r>
      <w:r w:rsidRPr="00E3232D">
        <w:rPr>
          <w:rFonts w:ascii="Book Antiqua" w:hAnsi="Book Antiqua"/>
          <w:i/>
          <w:iCs/>
        </w:rPr>
        <w:t xml:space="preserve"> </w:t>
      </w:r>
      <w:r w:rsidRPr="00E3232D">
        <w:rPr>
          <w:rFonts w:ascii="Book Antiqua" w:hAnsi="Book Antiqua"/>
        </w:rPr>
        <w:t>in Ghana</w:t>
      </w:r>
    </w:p>
    <w:p w14:paraId="2DAF30CF" w14:textId="77777777" w:rsidR="00D704C5" w:rsidRPr="00D704C5" w:rsidRDefault="00D704C5" w:rsidP="00B35D31">
      <w:pPr>
        <w:autoSpaceDE w:val="0"/>
        <w:autoSpaceDN w:val="0"/>
        <w:adjustRightInd w:val="0"/>
        <w:jc w:val="both"/>
        <w:rPr>
          <w:rFonts w:ascii="Book Antiqua" w:hAnsi="Book Antiqua"/>
          <w:b/>
          <w:sz w:val="26"/>
        </w:rPr>
      </w:pPr>
      <w:r w:rsidRPr="00D704C5">
        <w:rPr>
          <w:rFonts w:ascii="Book Antiqua" w:hAnsi="Book Antiqua"/>
          <w:b/>
          <w:sz w:val="26"/>
        </w:rPr>
        <w:t xml:space="preserve">4.0 Conclusion </w:t>
      </w:r>
    </w:p>
    <w:p w14:paraId="34F0362A" w14:textId="77777777" w:rsidR="00927001" w:rsidRDefault="00D704C5" w:rsidP="00B35D31">
      <w:pPr>
        <w:autoSpaceDE w:val="0"/>
        <w:autoSpaceDN w:val="0"/>
        <w:adjustRightInd w:val="0"/>
        <w:jc w:val="both"/>
        <w:rPr>
          <w:rFonts w:ascii="Book Antiqua" w:hAnsi="Book Antiqua"/>
        </w:rPr>
      </w:pPr>
      <w:r w:rsidRPr="00E3232D">
        <w:rPr>
          <w:rFonts w:ascii="Book Antiqua" w:hAnsi="Book Antiqua"/>
        </w:rPr>
        <w:t xml:space="preserve">We </w:t>
      </w:r>
      <w:r w:rsidR="000D4BF1" w:rsidRPr="00E3232D">
        <w:rPr>
          <w:rFonts w:ascii="Book Antiqua" w:hAnsi="Book Antiqua"/>
        </w:rPr>
        <w:t>conclude that production of genetically sterile local catfish (</w:t>
      </w:r>
      <w:r w:rsidR="000D4BF1" w:rsidRPr="00E3232D">
        <w:rPr>
          <w:rFonts w:ascii="Book Antiqua" w:hAnsi="Book Antiqua"/>
          <w:i/>
        </w:rPr>
        <w:t>H isopterus</w:t>
      </w:r>
      <w:r w:rsidR="000D4BF1" w:rsidRPr="00E3232D">
        <w:rPr>
          <w:rFonts w:ascii="Book Antiqua" w:hAnsi="Book Antiqua"/>
          <w:i/>
          <w:iCs/>
        </w:rPr>
        <w:t xml:space="preserve"> </w:t>
      </w:r>
      <w:r w:rsidR="000D4BF1" w:rsidRPr="00E3232D">
        <w:rPr>
          <w:rFonts w:ascii="Book Antiqua" w:hAnsi="Book Antiqua"/>
        </w:rPr>
        <w:t xml:space="preserve">) using the ploidy techniques as in trout, tilapia and other fish would be of great benefit to aquaculture in Ghana by curbing </w:t>
      </w:r>
      <w:r w:rsidR="000D4BF1" w:rsidRPr="00E3232D">
        <w:rPr>
          <w:rFonts w:ascii="Book Antiqua" w:hAnsi="Book Antiqua"/>
        </w:rPr>
        <w:t>indiscriminate breeding on various farms in the country.</w:t>
      </w:r>
    </w:p>
    <w:p w14:paraId="7E5AAF3D" w14:textId="77777777" w:rsidR="000D4BF1" w:rsidRPr="00E3232D" w:rsidRDefault="000D4BF1" w:rsidP="00B35D31">
      <w:pPr>
        <w:jc w:val="both"/>
        <w:rPr>
          <w:rFonts w:ascii="Book Antiqua" w:hAnsi="Book Antiqua"/>
          <w:b/>
        </w:rPr>
      </w:pPr>
      <w:r w:rsidRPr="002722D1">
        <w:rPr>
          <w:rFonts w:ascii="Book Antiqua" w:hAnsi="Book Antiqua"/>
          <w:b/>
          <w:sz w:val="26"/>
        </w:rPr>
        <w:t>References</w:t>
      </w:r>
    </w:p>
    <w:p w14:paraId="7801AA06" w14:textId="77777777" w:rsidR="000D4BF1" w:rsidRPr="00E3232D" w:rsidRDefault="000D4BF1" w:rsidP="00B35D31">
      <w:pPr>
        <w:ind w:left="720" w:hanging="720"/>
        <w:jc w:val="both"/>
        <w:rPr>
          <w:rFonts w:ascii="Book Antiqua" w:hAnsi="Book Antiqua"/>
        </w:rPr>
      </w:pPr>
      <w:r w:rsidRPr="00E3232D">
        <w:rPr>
          <w:rFonts w:ascii="Book Antiqua" w:hAnsi="Book Antiqua"/>
        </w:rPr>
        <w:t>Chourrout, D. (1980), Thermal induction of diploid gemetogenesis and triploidy in eggs of rainbow trout (salmogaidneri, Richardson) Reprod. Nutr. Dev. 20: 727-733.</w:t>
      </w:r>
    </w:p>
    <w:p w14:paraId="72E4938D" w14:textId="77777777" w:rsidR="000D4BF1" w:rsidRPr="00E3232D" w:rsidRDefault="000D4BF1" w:rsidP="00B35D31">
      <w:pPr>
        <w:tabs>
          <w:tab w:val="left" w:pos="720"/>
        </w:tabs>
        <w:ind w:left="720" w:hanging="720"/>
        <w:jc w:val="both"/>
        <w:rPr>
          <w:rFonts w:ascii="Book Antiqua" w:hAnsi="Book Antiqua"/>
        </w:rPr>
      </w:pPr>
      <w:r w:rsidRPr="00E3232D">
        <w:rPr>
          <w:rFonts w:ascii="Book Antiqua" w:hAnsi="Book Antiqua"/>
        </w:rPr>
        <w:t xml:space="preserve">Lincoln R. F. (1980), </w:t>
      </w:r>
      <w:r w:rsidRPr="00E3232D">
        <w:rPr>
          <w:rFonts w:ascii="Book Antiqua" w:hAnsi="Book Antiqua"/>
          <w:i/>
        </w:rPr>
        <w:t>The growth of famle diploid and triploid plaice</w:t>
      </w:r>
      <w:r w:rsidRPr="00E3232D">
        <w:rPr>
          <w:rFonts w:ascii="Book Antiqua" w:hAnsi="Book Antiqua"/>
        </w:rPr>
        <w:t xml:space="preserve"> (Pleuronectus platessa) Fish farmer Vol. (4) 1980.</w:t>
      </w:r>
    </w:p>
    <w:p w14:paraId="45FD6D4D" w14:textId="77777777" w:rsidR="000D4BF1" w:rsidRPr="00E3232D" w:rsidRDefault="000D4BF1" w:rsidP="00B35D31">
      <w:pPr>
        <w:autoSpaceDE w:val="0"/>
        <w:autoSpaceDN w:val="0"/>
        <w:adjustRightInd w:val="0"/>
        <w:ind w:left="720" w:hanging="720"/>
        <w:jc w:val="both"/>
        <w:rPr>
          <w:rFonts w:ascii="Book Antiqua" w:hAnsi="Book Antiqua"/>
        </w:rPr>
      </w:pPr>
      <w:r w:rsidRPr="00E3232D">
        <w:rPr>
          <w:rFonts w:ascii="Book Antiqua" w:hAnsi="Book Antiqua"/>
        </w:rPr>
        <w:t xml:space="preserve"> Purdom C.E (1993). </w:t>
      </w:r>
      <w:r w:rsidRPr="00E3232D">
        <w:rPr>
          <w:rFonts w:ascii="Book Antiqua" w:hAnsi="Book Antiqua"/>
          <w:i/>
        </w:rPr>
        <w:t>Chromosome engineering. in Genetics and fish breeding</w:t>
      </w:r>
      <w:r w:rsidRPr="00E3232D">
        <w:rPr>
          <w:rFonts w:ascii="Book Antiqua" w:hAnsi="Book Antiqua"/>
        </w:rPr>
        <w:t>,</w:t>
      </w:r>
      <w:r w:rsidRPr="00E3232D">
        <w:rPr>
          <w:rFonts w:ascii="Book Antiqua" w:hAnsi="Book Antiqua"/>
          <w:i/>
          <w:iCs/>
        </w:rPr>
        <w:t xml:space="preserve"> </w:t>
      </w:r>
      <w:r w:rsidRPr="00E3232D">
        <w:rPr>
          <w:rFonts w:ascii="Book Antiqua" w:hAnsi="Book Antiqua"/>
        </w:rPr>
        <w:t>Chapman and Hall, London, pp. 204-222.</w:t>
      </w:r>
    </w:p>
    <w:p w14:paraId="2656FE2A" w14:textId="77777777" w:rsidR="000D4BF1" w:rsidRPr="00E3232D" w:rsidRDefault="000D4BF1" w:rsidP="00B35D31">
      <w:pPr>
        <w:jc w:val="both"/>
        <w:rPr>
          <w:rFonts w:ascii="Book Antiqua" w:hAnsi="Book Antiqua"/>
        </w:rPr>
      </w:pPr>
    </w:p>
    <w:p w14:paraId="726146E7" w14:textId="77777777" w:rsidR="00DF0AF5" w:rsidRDefault="000D4BF1" w:rsidP="00B35D31">
      <w:pPr>
        <w:ind w:left="720" w:hanging="720"/>
        <w:jc w:val="both"/>
        <w:rPr>
          <w:rFonts w:ascii="Book Antiqua" w:hAnsi="Book Antiqua"/>
        </w:rPr>
      </w:pPr>
      <w:r w:rsidRPr="00E3232D">
        <w:rPr>
          <w:rFonts w:ascii="Book Antiqua" w:hAnsi="Book Antiqua"/>
        </w:rPr>
        <w:t xml:space="preserve">Wolters, W.R., G.S. Libey and C.L. Chrisman. (1982). </w:t>
      </w:r>
      <w:r w:rsidRPr="00E3232D">
        <w:rPr>
          <w:rFonts w:ascii="Book Antiqua" w:hAnsi="Book Antiqua"/>
          <w:i/>
        </w:rPr>
        <w:t>Effect of triploidy on growth and gonad development of channel catfish</w:t>
      </w:r>
      <w:r w:rsidRPr="00E3232D">
        <w:rPr>
          <w:rFonts w:ascii="Book Antiqua" w:hAnsi="Book Antiqua"/>
        </w:rPr>
        <w:t>. Transactions of the American</w:t>
      </w:r>
      <w:r>
        <w:rPr>
          <w:rFonts w:ascii="Book Antiqua" w:hAnsi="Book Antiqua"/>
        </w:rPr>
        <w:t xml:space="preserve"> Fisheries Society 111:102-10</w:t>
      </w:r>
    </w:p>
    <w:p w14:paraId="18EA0E39" w14:textId="77777777" w:rsidR="00DF0AF5" w:rsidRDefault="00DF0AF5" w:rsidP="00B35D31">
      <w:pPr>
        <w:jc w:val="both"/>
        <w:rPr>
          <w:rFonts w:ascii="Book Antiqua" w:hAnsi="Book Antiqua"/>
        </w:rPr>
      </w:pPr>
    </w:p>
    <w:p w14:paraId="66304F63" w14:textId="77777777" w:rsidR="00927001" w:rsidRDefault="00927001" w:rsidP="00B35D31">
      <w:pPr>
        <w:jc w:val="both"/>
        <w:rPr>
          <w:rFonts w:ascii="Book Antiqua" w:hAnsi="Book Antiqua"/>
        </w:rPr>
      </w:pPr>
    </w:p>
    <w:p w14:paraId="66626905" w14:textId="77777777" w:rsidR="00927001" w:rsidRDefault="00927001" w:rsidP="00B35D31">
      <w:pPr>
        <w:jc w:val="both"/>
        <w:rPr>
          <w:rFonts w:ascii="Book Antiqua" w:hAnsi="Book Antiqua"/>
        </w:rPr>
      </w:pPr>
    </w:p>
    <w:p w14:paraId="6863DFC6" w14:textId="77777777" w:rsidR="00927001" w:rsidRDefault="00927001" w:rsidP="00B35D31">
      <w:pPr>
        <w:jc w:val="both"/>
        <w:rPr>
          <w:rFonts w:ascii="Book Antiqua" w:hAnsi="Book Antiqua"/>
        </w:rPr>
      </w:pPr>
    </w:p>
    <w:p w14:paraId="5A8C8B8A" w14:textId="77777777" w:rsidR="00927001" w:rsidRDefault="00927001" w:rsidP="00B35D31">
      <w:pPr>
        <w:jc w:val="both"/>
        <w:rPr>
          <w:rFonts w:ascii="Book Antiqua" w:hAnsi="Book Antiqua"/>
        </w:rPr>
      </w:pPr>
    </w:p>
    <w:p w14:paraId="5CD21A74" w14:textId="77777777" w:rsidR="00927001" w:rsidRDefault="00927001" w:rsidP="00B35D31">
      <w:pPr>
        <w:jc w:val="both"/>
        <w:rPr>
          <w:rFonts w:ascii="Book Antiqua" w:hAnsi="Book Antiqua"/>
        </w:rPr>
      </w:pPr>
    </w:p>
    <w:p w14:paraId="034DAE82" w14:textId="77777777" w:rsidR="00927001" w:rsidRDefault="00927001" w:rsidP="00B35D31">
      <w:pPr>
        <w:jc w:val="both"/>
        <w:rPr>
          <w:rFonts w:ascii="Book Antiqua" w:hAnsi="Book Antiqua"/>
        </w:rPr>
      </w:pPr>
    </w:p>
    <w:p w14:paraId="562C66F3" w14:textId="77777777" w:rsidR="00927001" w:rsidRDefault="00927001" w:rsidP="000D4BF1">
      <w:pPr>
        <w:rPr>
          <w:rFonts w:ascii="Book Antiqua" w:hAnsi="Book Antiqua"/>
        </w:rPr>
      </w:pPr>
    </w:p>
    <w:p w14:paraId="00765B30" w14:textId="77777777" w:rsidR="002722D1" w:rsidRDefault="002722D1" w:rsidP="000D4BF1">
      <w:pPr>
        <w:rPr>
          <w:rFonts w:ascii="Book Antiqua" w:hAnsi="Book Antiqua"/>
        </w:rPr>
      </w:pPr>
    </w:p>
    <w:p w14:paraId="579501EC" w14:textId="77777777" w:rsidR="002722D1" w:rsidRPr="00E3232D" w:rsidRDefault="002722D1" w:rsidP="000D4BF1">
      <w:pPr>
        <w:rPr>
          <w:rFonts w:ascii="Book Antiqua" w:hAnsi="Book Antiqua"/>
        </w:rPr>
        <w:sectPr w:rsidR="002722D1" w:rsidRPr="00E3232D" w:rsidSect="008F6BC9">
          <w:type w:val="continuous"/>
          <w:pgSz w:w="11907" w:h="16839" w:code="9"/>
          <w:pgMar w:top="1440" w:right="1152" w:bottom="-1152" w:left="1440" w:header="720" w:footer="720" w:gutter="0"/>
          <w:cols w:num="2" w:space="720"/>
          <w:docGrid w:linePitch="360"/>
        </w:sectPr>
      </w:pPr>
    </w:p>
    <w:p w14:paraId="0A77B180" w14:textId="77777777" w:rsidR="000F33A1" w:rsidRDefault="009A2899" w:rsidP="00927001">
      <w:pPr>
        <w:spacing w:after="0"/>
        <w:rPr>
          <w:rFonts w:ascii="Book Antiqua" w:hAnsi="Book Antiqua"/>
          <w:b/>
          <w:sz w:val="26"/>
          <w:szCs w:val="26"/>
        </w:rPr>
      </w:pPr>
      <w:r w:rsidRPr="002D3318">
        <w:rPr>
          <w:rFonts w:ascii="Book Antiqua" w:hAnsi="Book Antiqua"/>
          <w:b/>
          <w:sz w:val="26"/>
          <w:szCs w:val="26"/>
        </w:rPr>
        <w:lastRenderedPageBreak/>
        <w:t>An Investigation of Hotel Internet Marketing Strategies in Ghana</w:t>
      </w:r>
    </w:p>
    <w:p w14:paraId="2CE1369F" w14:textId="77777777" w:rsidR="00927001" w:rsidRPr="00927001" w:rsidRDefault="00927001" w:rsidP="00927001">
      <w:pPr>
        <w:spacing w:after="0"/>
        <w:rPr>
          <w:rFonts w:ascii="Book Antiqua" w:hAnsi="Book Antiqua"/>
          <w:b/>
          <w:sz w:val="26"/>
          <w:szCs w:val="26"/>
        </w:rPr>
      </w:pPr>
    </w:p>
    <w:p w14:paraId="56F9314D" w14:textId="77777777" w:rsidR="009A2899" w:rsidRPr="000B4A9B" w:rsidRDefault="007F3CE8" w:rsidP="00927001">
      <w:pPr>
        <w:spacing w:after="0"/>
        <w:jc w:val="center"/>
        <w:rPr>
          <w:rFonts w:ascii="Book Antiqua" w:hAnsi="Book Antiqua"/>
          <w:b/>
        </w:rPr>
      </w:pPr>
      <w:r w:rsidRPr="000B4A9B">
        <w:rPr>
          <w:rFonts w:ascii="Book Antiqua" w:hAnsi="Book Antiqua"/>
          <w:b/>
          <w:sz w:val="24"/>
          <w:vertAlign w:val="superscript"/>
        </w:rPr>
        <w:t>1</w:t>
      </w:r>
      <w:r w:rsidR="009A2899" w:rsidRPr="000B4A9B">
        <w:rPr>
          <w:rFonts w:ascii="Book Antiqua" w:hAnsi="Book Antiqua"/>
          <w:b/>
        </w:rPr>
        <w:t xml:space="preserve"> Ogbeh</w:t>
      </w:r>
      <w:r w:rsidR="000B4A9B">
        <w:rPr>
          <w:rFonts w:ascii="Book Antiqua" w:hAnsi="Book Antiqua"/>
          <w:b/>
        </w:rPr>
        <w:t xml:space="preserve"> C. </w:t>
      </w:r>
      <w:r w:rsidR="00597629">
        <w:rPr>
          <w:rFonts w:ascii="Book Antiqua" w:hAnsi="Book Antiqua"/>
          <w:b/>
        </w:rPr>
        <w:t>K.,</w:t>
      </w:r>
      <w:r w:rsidR="003E2CFE" w:rsidRPr="000B4A9B">
        <w:rPr>
          <w:rFonts w:ascii="Book Antiqua" w:hAnsi="Book Antiqua"/>
          <w:b/>
        </w:rPr>
        <w:t xml:space="preserve"> </w:t>
      </w:r>
      <w:r w:rsidR="00597629">
        <w:rPr>
          <w:rFonts w:ascii="Book Antiqua" w:hAnsi="Book Antiqua"/>
          <w:b/>
        </w:rPr>
        <w:t xml:space="preserve">&amp; </w:t>
      </w:r>
      <w:r w:rsidRPr="000B4A9B">
        <w:rPr>
          <w:rFonts w:ascii="Book Antiqua" w:hAnsi="Book Antiqua"/>
          <w:b/>
          <w:vertAlign w:val="superscript"/>
        </w:rPr>
        <w:t>2</w:t>
      </w:r>
      <w:r w:rsidR="000B4A9B">
        <w:rPr>
          <w:rFonts w:ascii="Book Antiqua" w:hAnsi="Book Antiqua"/>
          <w:b/>
        </w:rPr>
        <w:t>Deladem K. P.</w:t>
      </w:r>
    </w:p>
    <w:p w14:paraId="30E53203" w14:textId="77777777" w:rsidR="009A2899" w:rsidRDefault="007F3CE8" w:rsidP="00927001">
      <w:pPr>
        <w:spacing w:after="0"/>
        <w:jc w:val="center"/>
        <w:rPr>
          <w:rFonts w:ascii="Book Antiqua" w:hAnsi="Book Antiqua"/>
        </w:rPr>
      </w:pPr>
      <w:r>
        <w:rPr>
          <w:rFonts w:ascii="Book Antiqua" w:hAnsi="Book Antiqua"/>
          <w:vertAlign w:val="superscript"/>
        </w:rPr>
        <w:t>1</w:t>
      </w:r>
      <w:r w:rsidR="009A2899" w:rsidRPr="00E3232D">
        <w:rPr>
          <w:rFonts w:ascii="Book Antiqua" w:hAnsi="Book Antiqua"/>
        </w:rPr>
        <w:t>Studying member, Chartered Institute of Marketing-UK</w:t>
      </w:r>
    </w:p>
    <w:p w14:paraId="63BC6B2A" w14:textId="77777777" w:rsidR="007F3CE8" w:rsidRPr="003E2CFE" w:rsidRDefault="007F3CE8" w:rsidP="00927001">
      <w:pPr>
        <w:spacing w:after="0"/>
        <w:jc w:val="center"/>
        <w:rPr>
          <w:rFonts w:ascii="Book Antiqua" w:hAnsi="Book Antiqua"/>
        </w:rPr>
      </w:pPr>
      <w:r>
        <w:rPr>
          <w:rFonts w:ascii="Book Antiqua" w:hAnsi="Book Antiqua"/>
          <w:vertAlign w:val="superscript"/>
        </w:rPr>
        <w:t>2</w:t>
      </w:r>
      <w:r w:rsidRPr="00E3232D">
        <w:rPr>
          <w:rFonts w:ascii="Book Antiqua" w:hAnsi="Book Antiqua"/>
        </w:rPr>
        <w:t>Department of Management Studies, Ho Polytechnic</w:t>
      </w:r>
    </w:p>
    <w:p w14:paraId="4E680E70" w14:textId="77777777" w:rsidR="009A2899" w:rsidRPr="002D3318" w:rsidRDefault="002D3318" w:rsidP="00927001">
      <w:pPr>
        <w:spacing w:after="0"/>
        <w:jc w:val="center"/>
        <w:rPr>
          <w:rFonts w:ascii="Book Antiqua" w:hAnsi="Book Antiqua"/>
          <w:i/>
        </w:rPr>
      </w:pPr>
      <w:r w:rsidRPr="002D3318">
        <w:rPr>
          <w:b/>
        </w:rPr>
        <w:t>E</w:t>
      </w:r>
      <w:r w:rsidR="004679EB">
        <w:rPr>
          <w:b/>
        </w:rPr>
        <w:t>-</w:t>
      </w:r>
      <w:r w:rsidRPr="002D3318">
        <w:rPr>
          <w:b/>
        </w:rPr>
        <w:t>mail:</w:t>
      </w:r>
      <w:r>
        <w:t xml:space="preserve"> </w:t>
      </w:r>
      <w:r>
        <w:rPr>
          <w:vertAlign w:val="superscript"/>
        </w:rPr>
        <w:t>1</w:t>
      </w:r>
      <w:hyperlink r:id="rId86" w:history="1">
        <w:r w:rsidR="009A2899" w:rsidRPr="00E3232D">
          <w:rPr>
            <w:rStyle w:val="Hyperlink"/>
            <w:rFonts w:ascii="Book Antiqua" w:hAnsi="Book Antiqua"/>
            <w:i/>
          </w:rPr>
          <w:t>chaogbeh@yahoo.com</w:t>
        </w:r>
      </w:hyperlink>
      <w:r w:rsidR="009A2899" w:rsidRPr="00E3232D">
        <w:rPr>
          <w:rFonts w:ascii="Book Antiqua" w:hAnsi="Book Antiqua"/>
          <w:i/>
        </w:rPr>
        <w:t xml:space="preserve"> </w:t>
      </w:r>
      <w:r>
        <w:rPr>
          <w:rFonts w:ascii="Book Antiqua" w:hAnsi="Book Antiqua"/>
          <w:i/>
        </w:rPr>
        <w:t xml:space="preserve"> &amp;</w:t>
      </w:r>
      <w:r>
        <w:rPr>
          <w:rFonts w:ascii="Book Antiqua" w:hAnsi="Book Antiqua"/>
          <w:i/>
          <w:vertAlign w:val="superscript"/>
        </w:rPr>
        <w:t xml:space="preserve"> 2</w:t>
      </w:r>
      <w:r>
        <w:rPr>
          <w:rFonts w:ascii="Book Antiqua" w:hAnsi="Book Antiqua"/>
          <w:i/>
        </w:rPr>
        <w:t xml:space="preserve"> </w:t>
      </w:r>
      <w:hyperlink r:id="rId87" w:history="1">
        <w:r w:rsidR="009A2899" w:rsidRPr="00E3232D">
          <w:rPr>
            <w:rStyle w:val="Hyperlink"/>
            <w:rFonts w:ascii="Book Antiqua" w:hAnsi="Book Antiqua"/>
            <w:i/>
          </w:rPr>
          <w:t>edem33@juno.com</w:t>
        </w:r>
      </w:hyperlink>
    </w:p>
    <w:p w14:paraId="08FEB2E9" w14:textId="77777777" w:rsidR="009A2899" w:rsidRPr="00E3232D" w:rsidRDefault="009A2899" w:rsidP="00927001">
      <w:pPr>
        <w:spacing w:after="0"/>
        <w:jc w:val="center"/>
        <w:rPr>
          <w:rFonts w:ascii="Book Antiqua" w:hAnsi="Book Antiqua"/>
          <w:b/>
        </w:rPr>
      </w:pPr>
    </w:p>
    <w:p w14:paraId="2E224E6A" w14:textId="77777777" w:rsidR="009A2899" w:rsidRPr="00E3232D" w:rsidRDefault="009A2899" w:rsidP="00FA3EAE">
      <w:pPr>
        <w:jc w:val="both"/>
        <w:rPr>
          <w:rFonts w:ascii="Book Antiqua" w:hAnsi="Book Antiqua"/>
          <w:b/>
        </w:rPr>
      </w:pPr>
      <w:r w:rsidRPr="00D704C5">
        <w:rPr>
          <w:rFonts w:ascii="Book Antiqua" w:hAnsi="Book Antiqua"/>
          <w:b/>
          <w:sz w:val="26"/>
        </w:rPr>
        <w:t>Abstract</w:t>
      </w:r>
    </w:p>
    <w:p w14:paraId="75271411" w14:textId="77777777" w:rsidR="009A2899" w:rsidRPr="00FA3EAE" w:rsidRDefault="009A2899" w:rsidP="00FA3EAE">
      <w:pPr>
        <w:jc w:val="both"/>
        <w:rPr>
          <w:rFonts w:ascii="Book Antiqua" w:hAnsi="Book Antiqua"/>
          <w:color w:val="000000"/>
        </w:rPr>
      </w:pPr>
      <w:r w:rsidRPr="00E3232D">
        <w:rPr>
          <w:rFonts w:ascii="Book Antiqua" w:hAnsi="Book Antiqua"/>
          <w:color w:val="000000"/>
        </w:rPr>
        <w:t>This paper examines the Internet Marketing strategies in the hotel industry by using data collected from a sample of 87 hostels in Ghana with functional websites and the Internet Marketing Mix Model as the frame of reference. The results indicate that Hotels in Ghana have developed their marketing strategies along the five internet marketing mix dimension with the place and product having been fully developed. However, the degrees of transformation was generally low since hoteliers failed to utilised most  features classified as high sophistication and the use of them requires full exploitation of internet enabled capabilities (interactivity, connectivity, and convergence)</w:t>
      </w:r>
    </w:p>
    <w:p w14:paraId="7739CF07" w14:textId="77777777" w:rsidR="00DF0AF5" w:rsidRPr="00D704C5" w:rsidRDefault="009A2899" w:rsidP="00D704C5">
      <w:pPr>
        <w:jc w:val="both"/>
        <w:rPr>
          <w:rFonts w:ascii="Book Antiqua" w:hAnsi="Book Antiqua"/>
          <w:color w:val="000000"/>
        </w:rPr>
        <w:sectPr w:rsidR="00DF0AF5" w:rsidRPr="00D704C5" w:rsidSect="00BF580D">
          <w:footerReference w:type="default" r:id="rId88"/>
          <w:type w:val="continuous"/>
          <w:pgSz w:w="11907" w:h="16839" w:code="9"/>
          <w:pgMar w:top="552" w:right="1440" w:bottom="1440" w:left="1440" w:header="720" w:footer="720" w:gutter="0"/>
          <w:cols w:space="720"/>
          <w:docGrid w:linePitch="360"/>
        </w:sectPr>
      </w:pPr>
      <w:r w:rsidRPr="00E3232D">
        <w:rPr>
          <w:rFonts w:ascii="Book Antiqua" w:hAnsi="Book Antiqua"/>
          <w:b/>
          <w:color w:val="000000"/>
        </w:rPr>
        <w:t>Keywords:</w:t>
      </w:r>
      <w:r w:rsidRPr="00E3232D">
        <w:rPr>
          <w:rFonts w:ascii="Book Antiqua" w:hAnsi="Book Antiqua"/>
          <w:color w:val="000000"/>
        </w:rPr>
        <w:t xml:space="preserve"> Internet Marketing Mix; Internet Marketing; Strategies; Hotel; Internet; Websites </w:t>
      </w:r>
    </w:p>
    <w:p w14:paraId="7FC82D4F" w14:textId="77777777" w:rsidR="000F33A1" w:rsidRDefault="000F33A1" w:rsidP="008275E1">
      <w:pPr>
        <w:rPr>
          <w:rFonts w:ascii="Book Antiqua" w:hAnsi="Book Antiqua"/>
          <w:b/>
        </w:rPr>
        <w:sectPr w:rsidR="000F33A1" w:rsidSect="00BF580D">
          <w:type w:val="continuous"/>
          <w:pgSz w:w="11907" w:h="16839" w:code="9"/>
          <w:pgMar w:top="552" w:right="1274" w:bottom="1276" w:left="1276" w:header="708" w:footer="708" w:gutter="0"/>
          <w:cols w:num="2" w:space="720"/>
          <w:docGrid w:linePitch="360"/>
        </w:sectPr>
      </w:pPr>
    </w:p>
    <w:p w14:paraId="3D7F33F3" w14:textId="77777777" w:rsidR="00523650" w:rsidRPr="00E3232D" w:rsidRDefault="00523650" w:rsidP="00716CCE">
      <w:pPr>
        <w:jc w:val="both"/>
        <w:rPr>
          <w:rStyle w:val="peacecontenttext11"/>
          <w:rFonts w:ascii="Book Antiqua" w:hAnsi="Book Antiqua" w:cs="Times New Roman"/>
          <w:b/>
          <w:sz w:val="22"/>
          <w:szCs w:val="22"/>
        </w:rPr>
      </w:pPr>
      <w:r w:rsidRPr="00E3232D">
        <w:rPr>
          <w:rFonts w:ascii="Book Antiqua" w:hAnsi="Book Antiqua"/>
          <w:b/>
        </w:rPr>
        <w:t xml:space="preserve">  </w:t>
      </w:r>
      <w:r w:rsidR="00D704C5">
        <w:rPr>
          <w:rFonts w:ascii="Book Antiqua" w:hAnsi="Book Antiqua"/>
          <w:b/>
        </w:rPr>
        <w:t xml:space="preserve">1.0 </w:t>
      </w:r>
      <w:r w:rsidRPr="00FA3EAE">
        <w:rPr>
          <w:rFonts w:ascii="Book Antiqua" w:hAnsi="Book Antiqua"/>
          <w:b/>
          <w:sz w:val="26"/>
        </w:rPr>
        <w:t>Introduction</w:t>
      </w:r>
    </w:p>
    <w:p w14:paraId="53F8BBAE" w14:textId="77777777" w:rsidR="000D4BF1" w:rsidRDefault="00523650" w:rsidP="00716CCE">
      <w:pPr>
        <w:jc w:val="both"/>
        <w:rPr>
          <w:rStyle w:val="peacecontenttext11"/>
          <w:rFonts w:ascii="Book Antiqua" w:hAnsi="Book Antiqua" w:cs="Times New Roman"/>
          <w:sz w:val="22"/>
          <w:szCs w:val="22"/>
        </w:rPr>
      </w:pPr>
      <w:r w:rsidRPr="00E3232D">
        <w:rPr>
          <w:rStyle w:val="peacecontenttext11"/>
          <w:rFonts w:ascii="Book Antiqua" w:hAnsi="Book Antiqua" w:cs="Times New Roman"/>
          <w:sz w:val="22"/>
          <w:szCs w:val="22"/>
        </w:rPr>
        <w:t xml:space="preserve">Tourism is a very important sector to Ghana's economy as emphasized by the Ministry of Tourism. It is the fastest-growing sector of the economy and it is expected to grow at an average rate of 4.1 per cent per annum over the next two decades.  Furthermore, it is the fourth highest foreign exchange earner for Ghana - the country earned a total of US$1.3 billion in 2008 confirmed by a former Minister of Tourism, Mrs. Azumah Mensah in an interview with Ghana News Agency. </w:t>
      </w:r>
      <w:r w:rsidRPr="00E3232D">
        <w:rPr>
          <w:rFonts w:ascii="Book Antiqua" w:hAnsi="Book Antiqua"/>
        </w:rPr>
        <w:t xml:space="preserve">Tourist’s average expenditure also rose from 1,125 dollars in 2002 to 2,010 dollars in 2008. In 2002, expendable money was 1,125 dollars. In 2003, it was 1,344 dollars, 2004 expendable cash was 1,711 dollars, 2005 expenditure 1,950 dollars, 2006 was 1,985 </w:t>
      </w:r>
      <w:r w:rsidRPr="00E3232D">
        <w:rPr>
          <w:rFonts w:ascii="Book Antiqua" w:hAnsi="Book Antiqua"/>
        </w:rPr>
        <w:t xml:space="preserve">dollars and 2007 it was 1,998 dollars whereas 2008 was 2,010 dollars (GNA, 2010). </w:t>
      </w:r>
    </w:p>
    <w:p w14:paraId="0844EA37" w14:textId="77777777" w:rsidR="00927001" w:rsidRDefault="00523650" w:rsidP="00716CCE">
      <w:pPr>
        <w:jc w:val="both"/>
        <w:rPr>
          <w:rStyle w:val="peacecontenttext11"/>
          <w:rFonts w:ascii="Book Antiqua" w:hAnsi="Book Antiqua" w:cs="Times New Roman"/>
          <w:sz w:val="22"/>
          <w:szCs w:val="22"/>
        </w:rPr>
      </w:pPr>
      <w:r w:rsidRPr="00E3232D">
        <w:rPr>
          <w:rStyle w:val="peacecontenttext11"/>
          <w:rFonts w:ascii="Book Antiqua" w:hAnsi="Book Antiqua" w:cs="Times New Roman"/>
          <w:sz w:val="22"/>
          <w:szCs w:val="22"/>
        </w:rPr>
        <w:t>According to Luigi Cabrini, the Director, Sustainable Development of Tourism of World Tourism Organization (WTO); Ghana is the third most important tourist destination in West Africa. The San Francisco-based Ethical Traveller listed Ghana as the 4</w:t>
      </w:r>
      <w:r w:rsidRPr="00E3232D">
        <w:rPr>
          <w:rStyle w:val="peacecontenttext11"/>
          <w:rFonts w:ascii="Book Antiqua" w:hAnsi="Book Antiqua" w:cs="Times New Roman"/>
          <w:sz w:val="22"/>
          <w:szCs w:val="22"/>
          <w:vertAlign w:val="superscript"/>
        </w:rPr>
        <w:t>th</w:t>
      </w:r>
      <w:r w:rsidRPr="00E3232D">
        <w:rPr>
          <w:rStyle w:val="peacecontenttext11"/>
          <w:rFonts w:ascii="Book Antiqua" w:hAnsi="Book Antiqua" w:cs="Times New Roman"/>
          <w:sz w:val="22"/>
          <w:szCs w:val="22"/>
        </w:rPr>
        <w:t xml:space="preserve"> on its select list of 10 developing countries in 2010 that attract tourists based on ethical values (Greenwald &amp; Hoover, 2010).</w:t>
      </w:r>
    </w:p>
    <w:p w14:paraId="56D9F7F3" w14:textId="77777777" w:rsidR="00523650" w:rsidRPr="00E3232D" w:rsidRDefault="00523650" w:rsidP="00716CCE">
      <w:pPr>
        <w:jc w:val="both"/>
        <w:rPr>
          <w:rFonts w:ascii="Book Antiqua" w:hAnsi="Book Antiqua"/>
        </w:rPr>
      </w:pPr>
      <w:r w:rsidRPr="00E3232D">
        <w:rPr>
          <w:rStyle w:val="peacecontenttext11"/>
          <w:rFonts w:ascii="Book Antiqua" w:hAnsi="Book Antiqua" w:cs="Times New Roman"/>
          <w:sz w:val="22"/>
          <w:szCs w:val="22"/>
        </w:rPr>
        <w:t xml:space="preserve">There are major linkages between the tourism sector and the hotel industry. </w:t>
      </w:r>
      <w:r w:rsidRPr="00E3232D">
        <w:rPr>
          <w:rFonts w:ascii="Book Antiqua" w:hAnsi="Book Antiqua"/>
        </w:rPr>
        <w:t xml:space="preserve">The hotel industry in Ghana is a major beneficiary of the tourist expenditure. Boarding and lodging form a major part of </w:t>
      </w:r>
      <w:r w:rsidRPr="00E3232D">
        <w:rPr>
          <w:rFonts w:ascii="Book Antiqua" w:hAnsi="Book Antiqua"/>
        </w:rPr>
        <w:lastRenderedPageBreak/>
        <w:t xml:space="preserve">the expenses borne by the tourist. This means that all the positive signs in the tourism sector of the Ghanaian economy have a direct positive impact on the hotel sub-sector.  </w:t>
      </w:r>
    </w:p>
    <w:p w14:paraId="030A196C" w14:textId="77777777" w:rsidR="00523650" w:rsidRPr="00E3232D" w:rsidRDefault="00523650" w:rsidP="00716CCE">
      <w:pPr>
        <w:jc w:val="both"/>
        <w:rPr>
          <w:rFonts w:ascii="Book Antiqua" w:hAnsi="Book Antiqua"/>
        </w:rPr>
      </w:pPr>
      <w:r w:rsidRPr="00E3232D">
        <w:rPr>
          <w:rFonts w:ascii="Book Antiqua" w:hAnsi="Book Antiqua"/>
        </w:rPr>
        <w:t>Despite the goodwill that Ghana enjoys as a tourist destination, hoteliers need to market their facilities appropriately by taking advantage of the many technologies that exists – especially the internet.  The internet is a major platform for enhancing business processes especially marketing activities.  In Egypt, Syria and Lebanon, which are major tourism destinations in the Arab region, the Internet is used mainly as a marketing tool, mostly for promotional activities by the Hotels (El Said &amp; Hone, 2005).</w:t>
      </w:r>
    </w:p>
    <w:p w14:paraId="357DE62E" w14:textId="77777777" w:rsidR="000D4BF1" w:rsidRDefault="000D4BF1" w:rsidP="00716CCE">
      <w:pPr>
        <w:spacing w:after="0"/>
        <w:jc w:val="both"/>
        <w:rPr>
          <w:rFonts w:ascii="Book Antiqua" w:hAnsi="Book Antiqua"/>
        </w:rPr>
      </w:pPr>
    </w:p>
    <w:p w14:paraId="39F4310E" w14:textId="77777777" w:rsidR="00523650" w:rsidRPr="00E3232D" w:rsidRDefault="00523650" w:rsidP="00716CCE">
      <w:pPr>
        <w:spacing w:after="0"/>
        <w:jc w:val="both"/>
        <w:rPr>
          <w:rFonts w:ascii="Book Antiqua" w:hAnsi="Book Antiqua"/>
        </w:rPr>
      </w:pPr>
      <w:r w:rsidRPr="00E3232D">
        <w:rPr>
          <w:rFonts w:ascii="Book Antiqua" w:hAnsi="Book Antiqua"/>
        </w:rPr>
        <w:t>As competition becomes fierce in the hospitality industry many hotels in Ghana are taking to the internet as a means to facilitate their businesses. However, little is known about the internet marketing strategies being pursued by these hotels</w:t>
      </w:r>
      <w:r w:rsidRPr="00E3232D">
        <w:rPr>
          <w:rFonts w:ascii="Book Antiqua" w:hAnsi="Book Antiqua"/>
          <w:color w:val="000000"/>
        </w:rPr>
        <w:t xml:space="preserve">. </w:t>
      </w:r>
      <w:r w:rsidRPr="00E3232D">
        <w:rPr>
          <w:rFonts w:ascii="Book Antiqua" w:hAnsi="Book Antiqua"/>
        </w:rPr>
        <w:t>The internet is considered as relevant innovation that helps increase the competitiveness of the firms in the hospitality industry because it facilitates the relationship with customers, through better and easier information flow that helps them evaluate and contract the services (Rohm et al., 2004).</w:t>
      </w:r>
    </w:p>
    <w:p w14:paraId="680AB55C" w14:textId="77777777" w:rsidR="003D0295" w:rsidRDefault="003D0295" w:rsidP="00335A55">
      <w:pPr>
        <w:autoSpaceDE w:val="0"/>
        <w:autoSpaceDN w:val="0"/>
        <w:adjustRightInd w:val="0"/>
        <w:spacing w:after="0"/>
        <w:jc w:val="both"/>
        <w:rPr>
          <w:rFonts w:ascii="Book Antiqua" w:hAnsi="Book Antiqua"/>
          <w:b/>
        </w:rPr>
      </w:pPr>
    </w:p>
    <w:p w14:paraId="7DDC6B00" w14:textId="77777777" w:rsidR="00523650" w:rsidRPr="00E3232D" w:rsidRDefault="00523650" w:rsidP="00716CCE">
      <w:pPr>
        <w:autoSpaceDE w:val="0"/>
        <w:autoSpaceDN w:val="0"/>
        <w:adjustRightInd w:val="0"/>
        <w:jc w:val="both"/>
        <w:rPr>
          <w:rFonts w:ascii="Book Antiqua" w:hAnsi="Book Antiqua"/>
          <w:b/>
        </w:rPr>
      </w:pPr>
      <w:r w:rsidRPr="00E3232D">
        <w:rPr>
          <w:rFonts w:ascii="Book Antiqua" w:hAnsi="Book Antiqua"/>
          <w:b/>
        </w:rPr>
        <w:t xml:space="preserve">1.1   Hotel Industry and the Internet </w:t>
      </w:r>
    </w:p>
    <w:p w14:paraId="0C01E460" w14:textId="77777777" w:rsidR="00523650" w:rsidRPr="00E3232D" w:rsidRDefault="00523650" w:rsidP="00716CCE">
      <w:pPr>
        <w:autoSpaceDE w:val="0"/>
        <w:autoSpaceDN w:val="0"/>
        <w:adjustRightInd w:val="0"/>
        <w:jc w:val="both"/>
        <w:rPr>
          <w:rFonts w:ascii="Book Antiqua" w:hAnsi="Book Antiqua"/>
          <w:color w:val="000000"/>
        </w:rPr>
      </w:pPr>
      <w:r w:rsidRPr="00E3232D">
        <w:rPr>
          <w:rFonts w:ascii="Book Antiqua" w:hAnsi="Book Antiqua"/>
          <w:color w:val="000000"/>
        </w:rPr>
        <w:t xml:space="preserve">Currently, there are 1.96 billion Internet users in the world. From the year 2000 Africa has 110 million internet users while Ghana has 1.29 million users growing at 42.23% since the year 2000 (Internet World </w:t>
      </w:r>
      <w:r w:rsidRPr="00E3232D">
        <w:rPr>
          <w:rFonts w:ascii="Book Antiqua" w:hAnsi="Book Antiqua"/>
          <w:color w:val="000000"/>
        </w:rPr>
        <w:t xml:space="preserve">Stats, 2010). The internet has increased the productivity and efficiency of hotels’ marketing effort (Porter, 2001). Hotels will lose their competitive edge where they do not have a significant presence on the internet (Van Hoof &amp; Combrink, 1999). According to Anckar &amp; Walden, (2001) hotels that do not have a web presence cannot bridge the gap between their existing and potential customers.  It is argued by Migiro &amp; Ochalla, (2005) that the advantages that the internet offers such as cost reduction, improved efficiency among other things can be equally enjoyed by smaller accommodation facilities in developing countries. </w:t>
      </w:r>
    </w:p>
    <w:p w14:paraId="3FA2F6A4" w14:textId="77777777" w:rsidR="000D4BF1" w:rsidRDefault="000D4BF1" w:rsidP="00716CCE">
      <w:pPr>
        <w:autoSpaceDE w:val="0"/>
        <w:autoSpaceDN w:val="0"/>
        <w:adjustRightInd w:val="0"/>
        <w:spacing w:after="0"/>
        <w:jc w:val="both"/>
        <w:rPr>
          <w:rFonts w:ascii="Book Antiqua" w:hAnsi="Book Antiqua"/>
        </w:rPr>
      </w:pPr>
    </w:p>
    <w:p w14:paraId="69DCBB28" w14:textId="77777777" w:rsidR="00523650" w:rsidRPr="00E3232D" w:rsidRDefault="00523650" w:rsidP="00716CCE">
      <w:pPr>
        <w:autoSpaceDE w:val="0"/>
        <w:autoSpaceDN w:val="0"/>
        <w:adjustRightInd w:val="0"/>
        <w:spacing w:after="0"/>
        <w:jc w:val="both"/>
        <w:rPr>
          <w:rFonts w:ascii="Book Antiqua" w:hAnsi="Book Antiqua"/>
        </w:rPr>
      </w:pPr>
      <w:r w:rsidRPr="00E3232D">
        <w:rPr>
          <w:rFonts w:ascii="Book Antiqua" w:hAnsi="Book Antiqua"/>
        </w:rPr>
        <w:t>It is argued that e-commerce and information technology would be the most important competitive advantage for any hospitality company to compete successfully and create value for both the customer and the firm (Connolly &amp; Olsen, 2000; Dev &amp; Olsen, 2000). The use of the Internet is becoming a positive trend and an important core competency for hospitality businesses (Connolly, Olsen, &amp; Moore,1998; Vanucci &amp; Kerstetter, 2001).</w:t>
      </w:r>
    </w:p>
    <w:p w14:paraId="5404D59B" w14:textId="77777777" w:rsidR="003D0295" w:rsidRDefault="003D0295" w:rsidP="00335A55">
      <w:pPr>
        <w:autoSpaceDE w:val="0"/>
        <w:autoSpaceDN w:val="0"/>
        <w:adjustRightInd w:val="0"/>
        <w:spacing w:after="0"/>
        <w:jc w:val="both"/>
        <w:rPr>
          <w:rFonts w:ascii="Book Antiqua" w:hAnsi="Book Antiqua"/>
          <w:b/>
        </w:rPr>
      </w:pPr>
    </w:p>
    <w:p w14:paraId="5883809C" w14:textId="77777777" w:rsidR="00523650" w:rsidRPr="00E3232D" w:rsidRDefault="00523650" w:rsidP="00716CCE">
      <w:pPr>
        <w:autoSpaceDE w:val="0"/>
        <w:autoSpaceDN w:val="0"/>
        <w:adjustRightInd w:val="0"/>
        <w:jc w:val="both"/>
        <w:rPr>
          <w:rFonts w:ascii="Book Antiqua" w:hAnsi="Book Antiqua"/>
          <w:b/>
        </w:rPr>
      </w:pPr>
      <w:r w:rsidRPr="00E3232D">
        <w:rPr>
          <w:rFonts w:ascii="Book Antiqua" w:hAnsi="Book Antiqua"/>
          <w:b/>
        </w:rPr>
        <w:t>1.2   Effects of Internet on Marketing</w:t>
      </w:r>
    </w:p>
    <w:p w14:paraId="47E9D0B1" w14:textId="77777777" w:rsidR="00523650" w:rsidRPr="00E3232D" w:rsidRDefault="00523650" w:rsidP="00335A55">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The coming of the Internet and digitalization of information together with the spread of the use of personal computers created the context of e-commerce, in which the core marketing function has acquired new universal characteristics and directions, inducing the development of Internet Marketing as a concept (Watson et al., 2000; Pitt et al., 2002; Ngai, 2003). </w:t>
      </w:r>
      <w:r w:rsidRPr="00E3232D">
        <w:rPr>
          <w:rFonts w:ascii="Book Antiqua" w:hAnsi="Book Antiqua"/>
          <w:iCs/>
        </w:rPr>
        <w:t xml:space="preserve">According to Ngai, (2003) internet marketing is “The </w:t>
      </w:r>
      <w:r w:rsidRPr="00E3232D">
        <w:rPr>
          <w:rFonts w:ascii="Book Antiqua" w:hAnsi="Book Antiqua"/>
          <w:iCs/>
        </w:rPr>
        <w:lastRenderedPageBreak/>
        <w:t xml:space="preserve">process of building and maintaining customer relationships through online activities to facilitate the exchange of ideas, products, and services that satisfy the goals of both buyers and sellers”. </w:t>
      </w:r>
      <w:r w:rsidRPr="00E3232D">
        <w:rPr>
          <w:rFonts w:ascii="Book Antiqua" w:hAnsi="Book Antiqua"/>
        </w:rPr>
        <w:t>Today, the Internet not only offers tremendous opportunities for marketers, it brings about a new way of conducting marketing and approaching consumer markets (Walsh &amp; Godfrey, 2000; Rahman, 2003; Lichtenthal &amp; Eliaz, 2003).</w:t>
      </w:r>
    </w:p>
    <w:p w14:paraId="6FF7DEFB" w14:textId="77777777" w:rsidR="002D3318" w:rsidRDefault="00523650" w:rsidP="00716CCE">
      <w:pPr>
        <w:autoSpaceDE w:val="0"/>
        <w:autoSpaceDN w:val="0"/>
        <w:adjustRightInd w:val="0"/>
        <w:spacing w:after="0"/>
        <w:jc w:val="both"/>
        <w:rPr>
          <w:rFonts w:ascii="Book Antiqua" w:hAnsi="Book Antiqua"/>
        </w:rPr>
      </w:pPr>
      <w:r w:rsidRPr="00E3232D">
        <w:rPr>
          <w:rFonts w:ascii="Book Antiqua" w:hAnsi="Book Antiqua"/>
        </w:rPr>
        <w:t xml:space="preserve"> </w:t>
      </w:r>
    </w:p>
    <w:p w14:paraId="1332245E" w14:textId="77777777" w:rsidR="00523650" w:rsidRPr="00E3232D" w:rsidRDefault="00523650" w:rsidP="00716CCE">
      <w:pPr>
        <w:autoSpaceDE w:val="0"/>
        <w:autoSpaceDN w:val="0"/>
        <w:adjustRightInd w:val="0"/>
        <w:spacing w:after="0"/>
        <w:jc w:val="both"/>
        <w:rPr>
          <w:rFonts w:ascii="Book Antiqua" w:hAnsi="Book Antiqua"/>
        </w:rPr>
      </w:pPr>
      <w:r w:rsidRPr="00E3232D">
        <w:rPr>
          <w:rFonts w:ascii="Book Antiqua" w:hAnsi="Book Antiqua"/>
        </w:rPr>
        <w:t>The Internet gives access to a great number of people, as well as it offers the opportunity of building closer relationships with customers and provides the platform for advertising and marketing opportunities (Buhalis &amp; Licata, 2002; Wang et al., 2002; Baloglu &amp; Pekcan, 2006). The Internet is an exposure of property by which advertising and marketing opportunities occur (Baloglu &amp; Pekcan, 2006).</w:t>
      </w:r>
    </w:p>
    <w:p w14:paraId="05A9F442" w14:textId="77777777" w:rsidR="000D4BF1" w:rsidRDefault="000D4BF1" w:rsidP="00716CCE">
      <w:pPr>
        <w:autoSpaceDE w:val="0"/>
        <w:autoSpaceDN w:val="0"/>
        <w:adjustRightInd w:val="0"/>
        <w:spacing w:after="0"/>
        <w:jc w:val="both"/>
        <w:rPr>
          <w:rFonts w:ascii="Book Antiqua" w:hAnsi="Book Antiqua"/>
        </w:rPr>
      </w:pPr>
    </w:p>
    <w:p w14:paraId="640C2DBD" w14:textId="77777777" w:rsidR="00523650" w:rsidRPr="00E3232D" w:rsidRDefault="00523650" w:rsidP="00716CCE">
      <w:pPr>
        <w:autoSpaceDE w:val="0"/>
        <w:autoSpaceDN w:val="0"/>
        <w:adjustRightInd w:val="0"/>
        <w:spacing w:after="0"/>
        <w:jc w:val="both"/>
        <w:rPr>
          <w:rFonts w:ascii="Book Antiqua" w:hAnsi="Book Antiqua"/>
        </w:rPr>
      </w:pPr>
      <w:r w:rsidRPr="00E3232D">
        <w:rPr>
          <w:rFonts w:ascii="Book Antiqua" w:hAnsi="Book Antiqua"/>
        </w:rPr>
        <w:t>Through the Internet, the hospitality industry has been able to market services in a variety of methods ranging from mass-marketing to mass-customization where customers’ needs and wants are targeted individually (Ismail &amp; Mills, 2001; Paraskevas &amp; Buhalis, 2002). Furthermore, the Internet works in cyberspace, which brings the opportunity of being free from geographical and national borders (Anckar &amp; Walden, 2001). Finally, with its equalizing effect the Internet creates a level playing field where size does not matter (Sigala, 2003).</w:t>
      </w:r>
    </w:p>
    <w:p w14:paraId="42439A7B" w14:textId="77777777" w:rsidR="00623180" w:rsidRDefault="00623180" w:rsidP="00716CCE">
      <w:pPr>
        <w:autoSpaceDE w:val="0"/>
        <w:autoSpaceDN w:val="0"/>
        <w:adjustRightInd w:val="0"/>
        <w:jc w:val="both"/>
        <w:rPr>
          <w:rFonts w:ascii="Book Antiqua" w:hAnsi="Book Antiqua"/>
          <w:b/>
        </w:rPr>
      </w:pPr>
    </w:p>
    <w:p w14:paraId="368A2CF6" w14:textId="77777777" w:rsidR="00623180" w:rsidRDefault="00623180" w:rsidP="00716CCE">
      <w:pPr>
        <w:autoSpaceDE w:val="0"/>
        <w:autoSpaceDN w:val="0"/>
        <w:adjustRightInd w:val="0"/>
        <w:jc w:val="both"/>
        <w:rPr>
          <w:rFonts w:ascii="Book Antiqua" w:hAnsi="Book Antiqua"/>
          <w:b/>
        </w:rPr>
      </w:pPr>
    </w:p>
    <w:p w14:paraId="6DEBAFC2" w14:textId="77777777" w:rsidR="00523650" w:rsidRPr="00E3232D" w:rsidRDefault="00523650" w:rsidP="00716CCE">
      <w:pPr>
        <w:autoSpaceDE w:val="0"/>
        <w:autoSpaceDN w:val="0"/>
        <w:adjustRightInd w:val="0"/>
        <w:jc w:val="both"/>
        <w:rPr>
          <w:rFonts w:ascii="Book Antiqua" w:hAnsi="Book Antiqua"/>
          <w:b/>
        </w:rPr>
      </w:pPr>
      <w:r w:rsidRPr="00E3232D">
        <w:rPr>
          <w:rFonts w:ascii="Book Antiqua" w:hAnsi="Book Antiqua"/>
          <w:b/>
        </w:rPr>
        <w:t xml:space="preserve">1.3    Research Gap and Study Objectives Research </w:t>
      </w:r>
    </w:p>
    <w:p w14:paraId="05C28FE1" w14:textId="77777777" w:rsidR="000D4BF1" w:rsidRPr="00E7733E" w:rsidRDefault="00523650" w:rsidP="00716CCE">
      <w:pPr>
        <w:autoSpaceDE w:val="0"/>
        <w:autoSpaceDN w:val="0"/>
        <w:adjustRightInd w:val="0"/>
        <w:jc w:val="both"/>
        <w:rPr>
          <w:rFonts w:ascii="Book Antiqua" w:hAnsi="Book Antiqua"/>
          <w:b/>
        </w:rPr>
      </w:pPr>
      <w:r w:rsidRPr="00E3232D">
        <w:rPr>
          <w:rFonts w:ascii="Book Antiqua" w:hAnsi="Book Antiqua"/>
        </w:rPr>
        <w:t>The importance of ICTs, e-commerce, and internet applications in improving hotels productivity and competitiveness cannot be emphasised.</w:t>
      </w:r>
    </w:p>
    <w:p w14:paraId="14165B85" w14:textId="77777777" w:rsidR="00523650" w:rsidRPr="00E3232D" w:rsidRDefault="00523650" w:rsidP="00335A55">
      <w:pPr>
        <w:spacing w:after="0"/>
        <w:jc w:val="both"/>
        <w:rPr>
          <w:rFonts w:ascii="Book Antiqua" w:hAnsi="Book Antiqua"/>
        </w:rPr>
      </w:pPr>
      <w:r w:rsidRPr="00E3232D">
        <w:rPr>
          <w:rFonts w:ascii="Book Antiqua" w:hAnsi="Book Antiqua"/>
        </w:rPr>
        <w:t>Research on Online activities of tourism operators in Africa includes Mzumbe, 2005; Opoku and Hinson, 2006; and Wagner and Van Belle, 2005.  Also several research studies have focused on the use of Internet in the hotel sector in different countries (e.g., Sigala et al., 2000; Siguaw et al., 2000; Van Hoof et al., 1999, 2000; Yuan &amp; Fesenmaier, 2000). No data existed regarding the use of the Internet for marketing by hotels in Ghana. This lack of knowledge becomes more crucial because of the role hotels play in the tourism industry in Ghana as well as the enormous potential the Internet offers to hotel operators by providing them with an additional, much more efficient, and effective marketing and distribution channel (Sigala, 2000 cited in Sigala, 2003).</w:t>
      </w:r>
    </w:p>
    <w:p w14:paraId="38C1BA4F" w14:textId="77777777" w:rsidR="000D4BF1" w:rsidRDefault="000D4BF1" w:rsidP="00716CCE">
      <w:pPr>
        <w:spacing w:after="0"/>
        <w:jc w:val="both"/>
        <w:rPr>
          <w:rFonts w:ascii="Book Antiqua" w:hAnsi="Book Antiqua"/>
        </w:rPr>
      </w:pPr>
    </w:p>
    <w:p w14:paraId="7B153CFE" w14:textId="77777777" w:rsidR="00523650" w:rsidRPr="00E3232D" w:rsidRDefault="00523650" w:rsidP="00716CCE">
      <w:pPr>
        <w:spacing w:after="0"/>
        <w:jc w:val="both"/>
        <w:rPr>
          <w:rFonts w:ascii="Book Antiqua" w:hAnsi="Book Antiqua"/>
        </w:rPr>
      </w:pPr>
      <w:r w:rsidRPr="00E3232D">
        <w:rPr>
          <w:rFonts w:ascii="Book Antiqua" w:hAnsi="Book Antiqua"/>
        </w:rPr>
        <w:t xml:space="preserve">Thus, by investigating the current Internet marketing strategies of hotels operating in Ghana and identifying areas of improvement, this study first of all fills the gap in literature and is of great value for the academic, professional, and public community. </w:t>
      </w:r>
    </w:p>
    <w:p w14:paraId="78D1C35F" w14:textId="77777777" w:rsidR="00523650" w:rsidRPr="00E3232D" w:rsidRDefault="00523650" w:rsidP="00716CCE">
      <w:pPr>
        <w:jc w:val="both"/>
        <w:rPr>
          <w:rFonts w:ascii="Book Antiqua" w:hAnsi="Book Antiqua"/>
          <w:b/>
        </w:rPr>
      </w:pPr>
      <w:r w:rsidRPr="00E3232D">
        <w:rPr>
          <w:rFonts w:ascii="Book Antiqua" w:hAnsi="Book Antiqua"/>
        </w:rPr>
        <w:t>The main objectives/aims of this study were to</w:t>
      </w:r>
      <w:r w:rsidR="00D704C5">
        <w:rPr>
          <w:rFonts w:ascii="Book Antiqua" w:hAnsi="Book Antiqua"/>
        </w:rPr>
        <w:t>:</w:t>
      </w:r>
    </w:p>
    <w:p w14:paraId="22411152" w14:textId="77777777" w:rsidR="00523650" w:rsidRPr="00E3232D" w:rsidRDefault="00523650" w:rsidP="00196385">
      <w:pPr>
        <w:pStyle w:val="ListParagraph"/>
        <w:numPr>
          <w:ilvl w:val="0"/>
          <w:numId w:val="43"/>
        </w:numPr>
        <w:jc w:val="both"/>
        <w:rPr>
          <w:rFonts w:ascii="Book Antiqua" w:hAnsi="Book Antiqua"/>
          <w:b/>
        </w:rPr>
      </w:pPr>
      <w:r w:rsidRPr="00E3232D">
        <w:rPr>
          <w:rFonts w:ascii="Book Antiqua" w:hAnsi="Book Antiqua"/>
        </w:rPr>
        <w:t>Examine the composition/structure of hotels’ Internet Marketing Mix.</w:t>
      </w:r>
    </w:p>
    <w:p w14:paraId="3542295E" w14:textId="77777777" w:rsidR="00523650" w:rsidRPr="00E3232D" w:rsidRDefault="00523650" w:rsidP="00196385">
      <w:pPr>
        <w:pStyle w:val="ListParagraph"/>
        <w:numPr>
          <w:ilvl w:val="0"/>
          <w:numId w:val="43"/>
        </w:numPr>
        <w:jc w:val="both"/>
        <w:rPr>
          <w:rFonts w:ascii="Book Antiqua" w:hAnsi="Book Antiqua"/>
        </w:rPr>
      </w:pPr>
      <w:r w:rsidRPr="00E3232D">
        <w:rPr>
          <w:rFonts w:ascii="Book Antiqua" w:hAnsi="Book Antiqua"/>
        </w:rPr>
        <w:lastRenderedPageBreak/>
        <w:t xml:space="preserve"> Find out which dimensions of the Internet Marketing Mix are being transformed by Hotels in Ghana.</w:t>
      </w:r>
    </w:p>
    <w:p w14:paraId="4639C5ED" w14:textId="77777777" w:rsidR="002D3318" w:rsidRPr="00335A55" w:rsidRDefault="00523650" w:rsidP="00196385">
      <w:pPr>
        <w:pStyle w:val="ListParagraph"/>
        <w:numPr>
          <w:ilvl w:val="0"/>
          <w:numId w:val="43"/>
        </w:numPr>
        <w:jc w:val="both"/>
        <w:rPr>
          <w:rFonts w:ascii="Book Antiqua" w:hAnsi="Book Antiqua"/>
        </w:rPr>
      </w:pPr>
      <w:r w:rsidRPr="00E3232D">
        <w:rPr>
          <w:rFonts w:ascii="Book Antiqua" w:hAnsi="Book Antiqua"/>
        </w:rPr>
        <w:t>Determine the Internet marketing strategies being pursued by hotels in Ghana.</w:t>
      </w:r>
    </w:p>
    <w:p w14:paraId="316AF994" w14:textId="77777777" w:rsidR="00523650" w:rsidRPr="00E3232D" w:rsidRDefault="00523650" w:rsidP="00312FAA">
      <w:pPr>
        <w:autoSpaceDE w:val="0"/>
        <w:autoSpaceDN w:val="0"/>
        <w:adjustRightInd w:val="0"/>
        <w:ind w:left="720" w:hanging="720"/>
        <w:jc w:val="both"/>
        <w:rPr>
          <w:rFonts w:ascii="Book Antiqua" w:hAnsi="Book Antiqua"/>
          <w:b/>
        </w:rPr>
      </w:pPr>
      <w:r w:rsidRPr="00E3232D">
        <w:rPr>
          <w:rFonts w:ascii="Book Antiqua" w:hAnsi="Book Antiqua"/>
          <w:b/>
        </w:rPr>
        <w:t>1.4   Theoretical Approach to Internet Marketing Strategies</w:t>
      </w:r>
    </w:p>
    <w:p w14:paraId="6FF56C7E" w14:textId="77777777" w:rsidR="00523650" w:rsidRPr="00E3232D" w:rsidRDefault="00523650" w:rsidP="00312FAA">
      <w:pPr>
        <w:autoSpaceDE w:val="0"/>
        <w:autoSpaceDN w:val="0"/>
        <w:adjustRightInd w:val="0"/>
        <w:spacing w:after="0"/>
        <w:jc w:val="both"/>
        <w:rPr>
          <w:rFonts w:ascii="Book Antiqua" w:hAnsi="Book Antiqua"/>
        </w:rPr>
      </w:pPr>
      <w:r w:rsidRPr="00E3232D">
        <w:rPr>
          <w:rFonts w:ascii="Book Antiqua" w:hAnsi="Book Antiqua"/>
        </w:rPr>
        <w:t xml:space="preserve">In a study conducted to compare the Internet with other technological tools, Zott, Amit, &amp; Donlevy (2000) identified three major capabilities of the Internet: </w:t>
      </w:r>
      <w:r w:rsidRPr="00E3232D">
        <w:rPr>
          <w:rFonts w:ascii="Book Antiqua" w:hAnsi="Book Antiqua"/>
          <w:i/>
        </w:rPr>
        <w:t xml:space="preserve">Interactivity, Connectivity, </w:t>
      </w:r>
      <w:r w:rsidRPr="00E3232D">
        <w:rPr>
          <w:rFonts w:ascii="Book Antiqua" w:hAnsi="Book Antiqua"/>
        </w:rPr>
        <w:t xml:space="preserve">and </w:t>
      </w:r>
      <w:r w:rsidRPr="00E3232D">
        <w:rPr>
          <w:rFonts w:ascii="Book Antiqua" w:hAnsi="Book Antiqua"/>
          <w:i/>
        </w:rPr>
        <w:t xml:space="preserve">Convergence. </w:t>
      </w:r>
      <w:r w:rsidRPr="00E3232D">
        <w:rPr>
          <w:rFonts w:ascii="Book Antiqua" w:hAnsi="Book Antiqua"/>
        </w:rPr>
        <w:t>The unique capabilities of the internet are creating new marketing concepts and paradigms (Sigala, 2003). In view of this, some Authors like; Chen, (2001) and Hanson, (2000) are calling for the very principles of marketing to be changed.  Others strongly believed that the traditional 4Ps of marketing practices will not change; but what are changing are the ways by which the traditional marketing mix dimensions are utilized to exploit the enhanced and new capabilities of the internet (Brandy, et al., 1999; Mahajan &amp; Venkatesh, 2000; Leeflang &amp; Wittink, 2000). In a study, developing and benchmarking internet marketing strategies in the hotel sector in Greece, Sigala (2003) identified three models appropriate for measuring marketing activities on the Internet and the level of Web-site functionality.</w:t>
      </w:r>
    </w:p>
    <w:p w14:paraId="355013C9" w14:textId="77777777" w:rsidR="000D4BF1" w:rsidRDefault="000D4BF1" w:rsidP="00716CCE">
      <w:pPr>
        <w:tabs>
          <w:tab w:val="right" w:pos="9026"/>
        </w:tabs>
        <w:spacing w:after="0"/>
        <w:jc w:val="both"/>
        <w:rPr>
          <w:rFonts w:ascii="Book Antiqua" w:hAnsi="Book Antiqua"/>
        </w:rPr>
      </w:pPr>
    </w:p>
    <w:p w14:paraId="5C13E327" w14:textId="77777777" w:rsidR="00523650" w:rsidRPr="00E3232D" w:rsidRDefault="00523650" w:rsidP="00716CCE">
      <w:pPr>
        <w:tabs>
          <w:tab w:val="right" w:pos="9026"/>
        </w:tabs>
        <w:spacing w:after="0"/>
        <w:jc w:val="both"/>
        <w:rPr>
          <w:rFonts w:ascii="Book Antiqua" w:hAnsi="Book Antiqua"/>
        </w:rPr>
      </w:pPr>
      <w:r w:rsidRPr="00E3232D">
        <w:rPr>
          <w:rFonts w:ascii="Book Antiqua" w:hAnsi="Book Antiqua"/>
        </w:rPr>
        <w:t xml:space="preserve">Cronin (1995) developed value chain that followed Porter’s value chain thinking and was based on virtual principles. According to Sigala (2003) the Internet Value Chain model identifies three areas of internet marketing functionality, namely marketing </w:t>
      </w:r>
      <w:r w:rsidRPr="00E3232D">
        <w:rPr>
          <w:rFonts w:ascii="Book Antiqua" w:hAnsi="Book Antiqua"/>
        </w:rPr>
        <w:t>and product research, sales and distribution, and support and customer feedback. Zott et al., (2000) argued that, the internet value chain does not consider the three internet capabilities.</w:t>
      </w:r>
    </w:p>
    <w:p w14:paraId="01FE46E8" w14:textId="77777777" w:rsidR="002D3318" w:rsidRDefault="002D3318" w:rsidP="00335A55">
      <w:pPr>
        <w:tabs>
          <w:tab w:val="right" w:pos="9026"/>
        </w:tabs>
        <w:spacing w:after="0"/>
        <w:jc w:val="both"/>
        <w:rPr>
          <w:rFonts w:ascii="Book Antiqua" w:hAnsi="Book Antiqua"/>
        </w:rPr>
      </w:pPr>
    </w:p>
    <w:p w14:paraId="12F2EFCD" w14:textId="77777777" w:rsidR="00523650" w:rsidRPr="00E3232D" w:rsidRDefault="00523650" w:rsidP="00335A55">
      <w:pPr>
        <w:tabs>
          <w:tab w:val="right" w:pos="9026"/>
        </w:tabs>
        <w:spacing w:after="0"/>
        <w:jc w:val="both"/>
        <w:rPr>
          <w:rFonts w:ascii="Book Antiqua" w:hAnsi="Book Antiqua"/>
        </w:rPr>
      </w:pPr>
      <w:r w:rsidRPr="00E3232D">
        <w:rPr>
          <w:rFonts w:ascii="Book Antiqua" w:hAnsi="Book Antiqua"/>
        </w:rPr>
        <w:t>According to Sigala (2003) “the ecommerce service index framework overcame the limitations of the Internet Value Chain by incorporating customer service elements and sophisticated internet tools. However, Dussart (2000) and Zott et al., (2000) both argued that, the EC framework fails to mention how the internet’s capabilities have changed marketing strategies.</w:t>
      </w:r>
    </w:p>
    <w:p w14:paraId="0CE643D3" w14:textId="77777777" w:rsidR="002D3318" w:rsidRDefault="00523650" w:rsidP="00716CCE">
      <w:pPr>
        <w:tabs>
          <w:tab w:val="right" w:pos="9026"/>
        </w:tabs>
        <w:spacing w:after="0"/>
        <w:jc w:val="both"/>
        <w:rPr>
          <w:rFonts w:ascii="Book Antiqua" w:hAnsi="Book Antiqua"/>
        </w:rPr>
      </w:pPr>
      <w:r w:rsidRPr="00E3232D">
        <w:rPr>
          <w:rFonts w:ascii="Book Antiqua" w:hAnsi="Book Antiqua"/>
        </w:rPr>
        <w:t xml:space="preserve">         </w:t>
      </w:r>
    </w:p>
    <w:p w14:paraId="78C4B08B" w14:textId="77777777" w:rsidR="00523650" w:rsidRPr="00E3232D" w:rsidRDefault="00523650" w:rsidP="00716CCE">
      <w:pPr>
        <w:tabs>
          <w:tab w:val="right" w:pos="9026"/>
        </w:tabs>
        <w:spacing w:after="0"/>
        <w:jc w:val="both"/>
        <w:rPr>
          <w:rFonts w:ascii="Book Antiqua" w:hAnsi="Book Antiqua"/>
        </w:rPr>
      </w:pPr>
      <w:r w:rsidRPr="00E3232D">
        <w:rPr>
          <w:rFonts w:ascii="Book Antiqua" w:hAnsi="Book Antiqua"/>
        </w:rPr>
        <w:t xml:space="preserve">  Anghern (1997) developed a model for internet marketing strategies incorporating both the number and types of services and the level of sophistication of websites. The model was called ICDT - Information, Communication, Distribution and Transactional which describes four virtual market spaces. The virtual information space (VIS), the virtual communication space (VCS), the virtual distribution space (VDS) and the virtual transaction space (VTS). </w:t>
      </w:r>
    </w:p>
    <w:p w14:paraId="2CB5BBDC" w14:textId="77777777" w:rsidR="000D4BF1" w:rsidRDefault="000D4BF1" w:rsidP="00335A55">
      <w:pPr>
        <w:spacing w:after="0"/>
        <w:jc w:val="both"/>
        <w:rPr>
          <w:rFonts w:ascii="Book Antiqua" w:hAnsi="Book Antiqua"/>
        </w:rPr>
      </w:pPr>
    </w:p>
    <w:p w14:paraId="52F4A809" w14:textId="77777777" w:rsidR="00523650" w:rsidRPr="00E3232D" w:rsidRDefault="00523650" w:rsidP="00716CCE">
      <w:pPr>
        <w:spacing w:after="0"/>
        <w:jc w:val="both"/>
        <w:rPr>
          <w:rFonts w:ascii="Book Antiqua" w:hAnsi="Book Antiqua"/>
        </w:rPr>
      </w:pPr>
      <w:r w:rsidRPr="00E3232D">
        <w:rPr>
          <w:rFonts w:ascii="Book Antiqua" w:hAnsi="Book Antiqua"/>
        </w:rPr>
        <w:t xml:space="preserve">According to Sigala, (2003) the ICDT model provides the fundamentals of differentiating four separate types of marketing strategies. Businesses striving at increasing the visibility could achieve it by either internet based marketing initiatives – VIS or by influencing the business communication strategy – VCS. The VDS and VTS presence is aimed at reducing costs, lead times, improving quality and innovating product or services. Two further dimensions are considered; level of </w:t>
      </w:r>
      <w:r w:rsidRPr="00E3232D">
        <w:rPr>
          <w:rFonts w:ascii="Book Antiqua" w:hAnsi="Book Antiqua"/>
        </w:rPr>
        <w:lastRenderedPageBreak/>
        <w:t xml:space="preserve">sophistication in terms of technical sophistication (simple or advanced) and level of customization (low or high). </w:t>
      </w:r>
    </w:p>
    <w:p w14:paraId="0EDF3531" w14:textId="77777777" w:rsidR="000D4BF1" w:rsidRDefault="000D4BF1" w:rsidP="00716CCE">
      <w:pPr>
        <w:spacing w:after="0"/>
        <w:jc w:val="both"/>
        <w:rPr>
          <w:rFonts w:ascii="Book Antiqua" w:hAnsi="Book Antiqua"/>
        </w:rPr>
      </w:pPr>
    </w:p>
    <w:p w14:paraId="24085D10" w14:textId="77777777" w:rsidR="00523650" w:rsidRPr="00E3232D" w:rsidRDefault="00523650" w:rsidP="00716CCE">
      <w:pPr>
        <w:spacing w:after="0"/>
        <w:jc w:val="both"/>
        <w:rPr>
          <w:rFonts w:ascii="Book Antiqua" w:hAnsi="Book Antiqua"/>
        </w:rPr>
      </w:pPr>
      <w:r w:rsidRPr="00E3232D">
        <w:rPr>
          <w:rFonts w:ascii="Book Antiqua" w:hAnsi="Book Antiqua"/>
        </w:rPr>
        <w:t>In the research, Developing and Benchmarking Internet Marketing Strategies in the Hotel Sector in Greece, Sigala (2003) adopted the ICDT model and made some analysis and modifications discussed under frame of reference in this paper to come up with the Internet Marketing Mix Model (IMMM) For the purposes of analyzing the internet marketing strategies of hotels in Ghana, this research adopted the IMMM.</w:t>
      </w:r>
    </w:p>
    <w:p w14:paraId="6FE6F47E" w14:textId="77777777" w:rsidR="002D3318" w:rsidRDefault="002D3318" w:rsidP="00716CCE">
      <w:pPr>
        <w:autoSpaceDE w:val="0"/>
        <w:autoSpaceDN w:val="0"/>
        <w:adjustRightInd w:val="0"/>
        <w:jc w:val="both"/>
        <w:rPr>
          <w:rFonts w:ascii="Book Antiqua" w:hAnsi="Book Antiqua"/>
          <w:b/>
        </w:rPr>
      </w:pPr>
    </w:p>
    <w:p w14:paraId="0A3E8322" w14:textId="77777777" w:rsidR="00523650" w:rsidRPr="00E3232D" w:rsidRDefault="00523650" w:rsidP="00716CCE">
      <w:pPr>
        <w:autoSpaceDE w:val="0"/>
        <w:autoSpaceDN w:val="0"/>
        <w:adjustRightInd w:val="0"/>
        <w:jc w:val="both"/>
        <w:rPr>
          <w:rFonts w:ascii="Book Antiqua" w:hAnsi="Book Antiqua"/>
          <w:b/>
        </w:rPr>
      </w:pPr>
      <w:r w:rsidRPr="00E3232D">
        <w:rPr>
          <w:rFonts w:ascii="Book Antiqua" w:hAnsi="Book Antiqua"/>
          <w:b/>
        </w:rPr>
        <w:t>2</w:t>
      </w:r>
      <w:r w:rsidR="00312FAA">
        <w:rPr>
          <w:rFonts w:ascii="Book Antiqua" w:hAnsi="Book Antiqua"/>
          <w:b/>
        </w:rPr>
        <w:t>.0</w:t>
      </w:r>
      <w:r w:rsidRPr="00E3232D">
        <w:rPr>
          <w:rFonts w:ascii="Book Antiqua" w:hAnsi="Book Antiqua"/>
          <w:b/>
        </w:rPr>
        <w:t xml:space="preserve">     </w:t>
      </w:r>
      <w:r w:rsidRPr="00716CCE">
        <w:rPr>
          <w:rFonts w:ascii="Book Antiqua" w:hAnsi="Book Antiqua"/>
          <w:b/>
          <w:sz w:val="26"/>
        </w:rPr>
        <w:t>Methodology</w:t>
      </w:r>
    </w:p>
    <w:p w14:paraId="1B395E7C" w14:textId="77777777" w:rsidR="00523650" w:rsidRPr="00E3232D" w:rsidRDefault="00523650" w:rsidP="00716CCE">
      <w:pPr>
        <w:autoSpaceDE w:val="0"/>
        <w:autoSpaceDN w:val="0"/>
        <w:adjustRightInd w:val="0"/>
        <w:jc w:val="both"/>
        <w:rPr>
          <w:rFonts w:ascii="Book Antiqua" w:hAnsi="Book Antiqua"/>
          <w:b/>
        </w:rPr>
      </w:pPr>
      <w:r w:rsidRPr="00E3232D">
        <w:rPr>
          <w:rFonts w:ascii="Book Antiqua" w:hAnsi="Book Antiqua"/>
          <w:b/>
        </w:rPr>
        <w:t>2.1 Frame of Reference</w:t>
      </w:r>
    </w:p>
    <w:p w14:paraId="02EA7831" w14:textId="77777777" w:rsidR="00523650" w:rsidRPr="00E3232D" w:rsidRDefault="00523650" w:rsidP="00716CCE">
      <w:pPr>
        <w:jc w:val="both"/>
        <w:rPr>
          <w:rFonts w:ascii="Book Antiqua" w:hAnsi="Book Antiqua"/>
        </w:rPr>
      </w:pPr>
      <w:r w:rsidRPr="00E3232D">
        <w:rPr>
          <w:rFonts w:ascii="Book Antiqua" w:hAnsi="Book Antiqua"/>
        </w:rPr>
        <w:t xml:space="preserve">The traditional internet mix (4Ps) corresponds to each virtual space of the </w:t>
      </w:r>
      <w:r w:rsidRPr="00E3232D">
        <w:rPr>
          <w:rFonts w:ascii="Book Antiqua" w:hAnsi="Book Antiqua"/>
        </w:rPr>
        <w:t>ICDT model and the customer relation (C) is enabled by the emergence of new and sophisticated internet tools. The model also identified two areas of internet enabled marketing transformation: the type and the number of the internet marketing mix dimensions being transformed – indicating the type of business strategy being pursued by the organization and the level of sophistication of the transform</w:t>
      </w:r>
      <w:r w:rsidR="002D3318">
        <w:rPr>
          <w:rFonts w:ascii="Book Antiqua" w:hAnsi="Book Antiqua"/>
        </w:rPr>
        <w:t xml:space="preserve">ed dimensions    that </w:t>
      </w:r>
      <w:r w:rsidRPr="00E3232D">
        <w:rPr>
          <w:rFonts w:ascii="Book Antiqua" w:hAnsi="Book Antiqua"/>
        </w:rPr>
        <w:t>exploit the internet’s    customisation/aggregation capabilities –    indicating the level of the exploitation of the internet’s capabilities. (Sigala, 2003).</w:t>
      </w:r>
    </w:p>
    <w:p w14:paraId="7811ABAA" w14:textId="77777777" w:rsidR="000D4BF1" w:rsidRDefault="000D4BF1" w:rsidP="00716CCE">
      <w:pPr>
        <w:spacing w:after="0"/>
        <w:jc w:val="both"/>
        <w:rPr>
          <w:rFonts w:ascii="Book Antiqua" w:hAnsi="Book Antiqua"/>
        </w:rPr>
      </w:pPr>
    </w:p>
    <w:p w14:paraId="58F39DFB" w14:textId="77777777" w:rsidR="00523650" w:rsidRPr="00E3232D" w:rsidRDefault="00523650" w:rsidP="00716CCE">
      <w:pPr>
        <w:jc w:val="both"/>
        <w:rPr>
          <w:rFonts w:ascii="Book Antiqua" w:hAnsi="Book Antiqua"/>
        </w:rPr>
      </w:pPr>
      <w:r w:rsidRPr="00E3232D">
        <w:rPr>
          <w:rFonts w:ascii="Book Antiqua" w:hAnsi="Book Antiqua"/>
        </w:rPr>
        <w:t xml:space="preserve">Measuring internet marketing activities base on these five dimensions is argued to be an appropriate, effective and valuable tool that fully exploits the transformational capabilities of the internet (O’Connor, 1999; Sigala, Lockwood, &amp; Jones, 2001; Liu &amp; Arnett’s, 2000). </w:t>
      </w:r>
    </w:p>
    <w:p w14:paraId="15009574" w14:textId="77777777" w:rsidR="00523650" w:rsidRPr="00E3232D" w:rsidRDefault="00523650" w:rsidP="00716CCE">
      <w:pPr>
        <w:jc w:val="both"/>
        <w:rPr>
          <w:rFonts w:ascii="Book Antiqua" w:hAnsi="Book Antiqua"/>
        </w:rPr>
        <w:sectPr w:rsidR="00523650" w:rsidRPr="00E3232D" w:rsidSect="00BF580D">
          <w:type w:val="continuous"/>
          <w:pgSz w:w="11907" w:h="16839" w:code="9"/>
          <w:pgMar w:top="552" w:right="1274" w:bottom="1276" w:left="1276" w:header="708" w:footer="708" w:gutter="0"/>
          <w:cols w:num="2" w:space="720"/>
          <w:docGrid w:linePitch="360"/>
        </w:sectPr>
      </w:pPr>
    </w:p>
    <w:p w14:paraId="527252DD" w14:textId="77777777" w:rsidR="00363EF7" w:rsidRPr="00623180" w:rsidRDefault="00523650" w:rsidP="00716CCE">
      <w:pPr>
        <w:jc w:val="both"/>
        <w:rPr>
          <w:rFonts w:ascii="Book Antiqua" w:hAnsi="Book Antiqua"/>
        </w:rPr>
        <w:sectPr w:rsidR="00363EF7" w:rsidRPr="00623180" w:rsidSect="008F6BC9">
          <w:type w:val="continuous"/>
          <w:pgSz w:w="11907" w:h="16839" w:code="9"/>
          <w:pgMar w:top="1440" w:right="1274" w:bottom="1276" w:left="1276" w:header="708" w:footer="708" w:gutter="0"/>
          <w:cols w:num="2" w:space="720"/>
          <w:docGrid w:linePitch="360"/>
        </w:sectPr>
      </w:pPr>
      <w:r w:rsidRPr="00E3232D">
        <w:rPr>
          <w:rFonts w:ascii="Book Antiqua" w:hAnsi="Book Antiqua"/>
        </w:rPr>
        <w:t xml:space="preserve">              </w:t>
      </w:r>
    </w:p>
    <w:p w14:paraId="06E1CC51" w14:textId="77777777" w:rsidR="00523650" w:rsidRPr="00E3232D" w:rsidRDefault="00523650" w:rsidP="00716CCE">
      <w:pPr>
        <w:jc w:val="both"/>
        <w:rPr>
          <w:rFonts w:ascii="Book Antiqua" w:hAnsi="Book Antiqua"/>
          <w:b/>
        </w:rPr>
      </w:pPr>
      <w:r w:rsidRPr="00E3232D">
        <w:rPr>
          <w:rFonts w:ascii="Book Antiqua" w:hAnsi="Book Antiqua"/>
          <w:b/>
        </w:rPr>
        <w:t>Table 1: Conceptual Framework</w:t>
      </w:r>
    </w:p>
    <w:p w14:paraId="1F6805B6" w14:textId="77777777" w:rsidR="00363EF7" w:rsidRDefault="00363EF7" w:rsidP="008275E1">
      <w:pPr>
        <w:rPr>
          <w:rFonts w:ascii="Book Antiqua" w:hAnsi="Book Antiqua"/>
        </w:rPr>
        <w:sectPr w:rsidR="00363EF7" w:rsidSect="008F6BC9">
          <w:type w:val="continuous"/>
          <w:pgSz w:w="11907" w:h="16839" w:code="9"/>
          <w:pgMar w:top="1440" w:right="1274" w:bottom="1276" w:left="1276" w:header="708" w:footer="708" w:gutter="0"/>
          <w:cols w:space="720"/>
          <w:docGrid w:linePitch="360"/>
        </w:sectPr>
      </w:pPr>
    </w:p>
    <w:tbl>
      <w:tblPr>
        <w:tblW w:w="0" w:type="auto"/>
        <w:tblBorders>
          <w:top w:val="single" w:sz="8" w:space="0" w:color="4F81BD"/>
          <w:bottom w:val="single" w:sz="8" w:space="0" w:color="4F81BD"/>
        </w:tblBorders>
        <w:tblLook w:val="00A0" w:firstRow="1" w:lastRow="0" w:firstColumn="1" w:lastColumn="0" w:noHBand="0" w:noVBand="0"/>
      </w:tblPr>
      <w:tblGrid>
        <w:gridCol w:w="3878"/>
        <w:gridCol w:w="4498"/>
      </w:tblGrid>
      <w:tr w:rsidR="00523650" w:rsidRPr="00F332F0" w14:paraId="6D311501" w14:textId="77777777" w:rsidTr="00EA19E3">
        <w:trPr>
          <w:trHeight w:val="271"/>
        </w:trPr>
        <w:tc>
          <w:tcPr>
            <w:tcW w:w="3878" w:type="dxa"/>
            <w:tcBorders>
              <w:top w:val="single" w:sz="8" w:space="0" w:color="4F81BD"/>
              <w:left w:val="nil"/>
              <w:bottom w:val="single" w:sz="8" w:space="0" w:color="4F81BD"/>
              <w:right w:val="nil"/>
            </w:tcBorders>
            <w:shd w:val="clear" w:color="auto" w:fill="auto"/>
          </w:tcPr>
          <w:p w14:paraId="74AFD920" w14:textId="77777777" w:rsidR="00523650" w:rsidRPr="00F332F0" w:rsidRDefault="00523650" w:rsidP="00716CCE">
            <w:pPr>
              <w:spacing w:after="0" w:line="240" w:lineRule="auto"/>
              <w:rPr>
                <w:rFonts w:ascii="Book Antiqua" w:hAnsi="Book Antiqua"/>
                <w:b/>
                <w:bCs/>
              </w:rPr>
            </w:pPr>
            <w:r w:rsidRPr="00F332F0">
              <w:rPr>
                <w:rFonts w:ascii="Book Antiqua" w:hAnsi="Book Antiqua"/>
                <w:b/>
                <w:bCs/>
              </w:rPr>
              <w:t>Transformation of Product (VIS)</w:t>
            </w:r>
          </w:p>
        </w:tc>
        <w:tc>
          <w:tcPr>
            <w:tcW w:w="4498" w:type="dxa"/>
            <w:tcBorders>
              <w:top w:val="single" w:sz="8" w:space="0" w:color="4F81BD"/>
              <w:left w:val="nil"/>
              <w:bottom w:val="single" w:sz="8" w:space="0" w:color="4F81BD"/>
              <w:right w:val="nil"/>
            </w:tcBorders>
            <w:shd w:val="clear" w:color="auto" w:fill="auto"/>
          </w:tcPr>
          <w:p w14:paraId="1929A1CE" w14:textId="77777777" w:rsidR="00523650" w:rsidRPr="00F332F0" w:rsidRDefault="00523650" w:rsidP="00716CCE">
            <w:pPr>
              <w:spacing w:after="0" w:line="240" w:lineRule="auto"/>
              <w:rPr>
                <w:rFonts w:ascii="Book Antiqua" w:hAnsi="Book Antiqua"/>
                <w:b/>
                <w:bCs/>
              </w:rPr>
            </w:pPr>
            <w:r w:rsidRPr="00F332F0">
              <w:rPr>
                <w:rFonts w:ascii="Book Antiqua" w:hAnsi="Book Antiqua"/>
                <w:b/>
                <w:bCs/>
              </w:rPr>
              <w:t>Transformation of Pricing (VTS)</w:t>
            </w:r>
          </w:p>
        </w:tc>
      </w:tr>
      <w:tr w:rsidR="00523650" w:rsidRPr="00F332F0" w14:paraId="312430C0" w14:textId="77777777" w:rsidTr="00EA19E3">
        <w:trPr>
          <w:trHeight w:val="3742"/>
        </w:trPr>
        <w:tc>
          <w:tcPr>
            <w:tcW w:w="3878" w:type="dxa"/>
            <w:tcBorders>
              <w:left w:val="nil"/>
              <w:right w:val="nil"/>
            </w:tcBorders>
            <w:shd w:val="clear" w:color="auto" w:fill="auto"/>
          </w:tcPr>
          <w:p w14:paraId="0EFFB7E9" w14:textId="77777777" w:rsidR="00523650" w:rsidRPr="00F332F0" w:rsidRDefault="00523650" w:rsidP="00EA19E3">
            <w:pPr>
              <w:spacing w:after="0" w:line="240" w:lineRule="auto"/>
              <w:jc w:val="both"/>
              <w:rPr>
                <w:rFonts w:ascii="Book Antiqua" w:hAnsi="Book Antiqua"/>
                <w:b/>
                <w:bCs/>
              </w:rPr>
            </w:pPr>
            <w:r w:rsidRPr="00F332F0">
              <w:rPr>
                <w:rFonts w:ascii="Book Antiqua" w:hAnsi="Book Antiqua"/>
                <w:bCs/>
              </w:rPr>
              <w:t>Low sophistication:</w:t>
            </w:r>
          </w:p>
          <w:p w14:paraId="033F1288" w14:textId="77777777" w:rsidR="00523650" w:rsidRPr="00F332F0" w:rsidRDefault="00523650" w:rsidP="00EA19E3">
            <w:pPr>
              <w:pStyle w:val="ListParagraph"/>
              <w:numPr>
                <w:ilvl w:val="0"/>
                <w:numId w:val="47"/>
              </w:numPr>
              <w:spacing w:after="0" w:line="240" w:lineRule="auto"/>
              <w:jc w:val="both"/>
              <w:rPr>
                <w:rFonts w:ascii="Book Antiqua" w:hAnsi="Book Antiqua"/>
                <w:b/>
                <w:bCs/>
              </w:rPr>
            </w:pPr>
            <w:r w:rsidRPr="00F332F0">
              <w:rPr>
                <w:rFonts w:ascii="Book Antiqua" w:hAnsi="Book Antiqua"/>
                <w:b/>
                <w:bCs/>
              </w:rPr>
              <w:t xml:space="preserve">The availability of product-related   information online     </w:t>
            </w:r>
          </w:p>
          <w:p w14:paraId="25B69751" w14:textId="77777777" w:rsidR="00523650" w:rsidRPr="00F332F0" w:rsidRDefault="00523650" w:rsidP="00EA19E3">
            <w:pPr>
              <w:spacing w:after="0" w:line="240" w:lineRule="auto"/>
              <w:jc w:val="both"/>
              <w:rPr>
                <w:rFonts w:ascii="Book Antiqua" w:hAnsi="Book Antiqua"/>
                <w:b/>
                <w:bCs/>
                <w:sz w:val="4"/>
              </w:rPr>
            </w:pPr>
          </w:p>
          <w:p w14:paraId="68D7C2D6" w14:textId="77777777" w:rsidR="00523650" w:rsidRPr="00F332F0" w:rsidRDefault="00523650" w:rsidP="00EA19E3">
            <w:pPr>
              <w:spacing w:after="0" w:line="240" w:lineRule="auto"/>
              <w:jc w:val="both"/>
              <w:rPr>
                <w:rFonts w:ascii="Book Antiqua" w:hAnsi="Book Antiqua"/>
                <w:b/>
                <w:bCs/>
              </w:rPr>
            </w:pPr>
            <w:r w:rsidRPr="00F332F0">
              <w:rPr>
                <w:rFonts w:ascii="Book Antiqua" w:hAnsi="Book Antiqua"/>
                <w:bCs/>
              </w:rPr>
              <w:t>High sophistication:</w:t>
            </w:r>
            <w:r w:rsidRPr="00F332F0">
              <w:rPr>
                <w:rFonts w:ascii="Book Antiqua" w:hAnsi="Book Antiqua"/>
                <w:b/>
                <w:bCs/>
              </w:rPr>
              <w:t xml:space="preserve"> </w:t>
            </w:r>
          </w:p>
          <w:p w14:paraId="385A765E" w14:textId="77777777" w:rsidR="00523650" w:rsidRPr="00F332F0" w:rsidRDefault="00523650" w:rsidP="00EA19E3">
            <w:pPr>
              <w:autoSpaceDE w:val="0"/>
              <w:autoSpaceDN w:val="0"/>
              <w:adjustRightInd w:val="0"/>
              <w:spacing w:after="0" w:line="240" w:lineRule="auto"/>
              <w:jc w:val="both"/>
              <w:rPr>
                <w:rFonts w:ascii="Book Antiqua" w:hAnsi="Book Antiqua"/>
                <w:b/>
                <w:bCs/>
              </w:rPr>
            </w:pPr>
            <w:r w:rsidRPr="00F332F0">
              <w:rPr>
                <w:rFonts w:ascii="Book Antiqua" w:hAnsi="Book Antiqua"/>
                <w:b/>
                <w:bCs/>
              </w:rPr>
              <w:t xml:space="preserve">The availability of interactive entertainment  multimedia </w:t>
            </w:r>
          </w:p>
          <w:p w14:paraId="017BB9D6" w14:textId="77777777" w:rsidR="00523650" w:rsidRPr="00F332F0" w:rsidRDefault="00523650" w:rsidP="00EA19E3">
            <w:pPr>
              <w:spacing w:after="0" w:line="240" w:lineRule="auto"/>
              <w:jc w:val="both"/>
              <w:rPr>
                <w:rFonts w:ascii="Book Antiqua" w:hAnsi="Book Antiqua"/>
                <w:b/>
                <w:bCs/>
              </w:rPr>
            </w:pPr>
            <w:r w:rsidRPr="00F332F0">
              <w:rPr>
                <w:rFonts w:ascii="Book Antiqua" w:hAnsi="Book Antiqua"/>
                <w:b/>
                <w:bCs/>
              </w:rPr>
              <w:t>The customization of products/Web page for individual or groups of customers</w:t>
            </w:r>
          </w:p>
          <w:p w14:paraId="0294F760" w14:textId="77777777" w:rsidR="00523650" w:rsidRPr="00F332F0" w:rsidRDefault="00523650" w:rsidP="00EA19E3">
            <w:pPr>
              <w:spacing w:after="0" w:line="240" w:lineRule="auto"/>
              <w:jc w:val="both"/>
              <w:rPr>
                <w:rFonts w:ascii="Book Antiqua" w:hAnsi="Book Antiqua"/>
                <w:b/>
                <w:bCs/>
              </w:rPr>
            </w:pPr>
            <w:r w:rsidRPr="00F332F0">
              <w:rPr>
                <w:rFonts w:ascii="Book Antiqua" w:hAnsi="Book Antiqua"/>
                <w:b/>
                <w:bCs/>
              </w:rPr>
              <w:t>The participation of customers in the specification and design of itineraries, hotel  rooms, and/or amenities/services</w:t>
            </w:r>
          </w:p>
        </w:tc>
        <w:tc>
          <w:tcPr>
            <w:tcW w:w="4498" w:type="dxa"/>
            <w:tcBorders>
              <w:left w:val="nil"/>
              <w:bottom w:val="nil"/>
              <w:right w:val="nil"/>
            </w:tcBorders>
            <w:shd w:val="clear" w:color="auto" w:fill="auto"/>
          </w:tcPr>
          <w:p w14:paraId="27E2CCEF" w14:textId="77777777" w:rsidR="00523650" w:rsidRPr="00F332F0" w:rsidRDefault="00523650" w:rsidP="00EA19E3">
            <w:pPr>
              <w:spacing w:after="0" w:line="240" w:lineRule="auto"/>
              <w:jc w:val="both"/>
              <w:rPr>
                <w:rFonts w:ascii="Book Antiqua" w:hAnsi="Book Antiqua"/>
                <w:b/>
              </w:rPr>
            </w:pPr>
            <w:r w:rsidRPr="00F332F0">
              <w:rPr>
                <w:rFonts w:ascii="Book Antiqua" w:hAnsi="Book Antiqua"/>
                <w:b/>
              </w:rPr>
              <w:t>Low sophistication:</w:t>
            </w:r>
          </w:p>
          <w:p w14:paraId="42DCAE7F" w14:textId="77777777" w:rsidR="00523650" w:rsidRPr="00F332F0" w:rsidRDefault="00523650" w:rsidP="00EA19E3">
            <w:pPr>
              <w:pStyle w:val="ListParagraph"/>
              <w:numPr>
                <w:ilvl w:val="0"/>
                <w:numId w:val="47"/>
              </w:numPr>
              <w:spacing w:after="0" w:line="240" w:lineRule="auto"/>
              <w:jc w:val="both"/>
              <w:rPr>
                <w:rFonts w:ascii="Book Antiqua" w:hAnsi="Book Antiqua"/>
              </w:rPr>
            </w:pPr>
            <w:r w:rsidRPr="00F332F0">
              <w:rPr>
                <w:rFonts w:ascii="Book Antiqua" w:hAnsi="Book Antiqua"/>
              </w:rPr>
              <w:t>The availability of pricing information online</w:t>
            </w:r>
          </w:p>
          <w:p w14:paraId="271F1C23" w14:textId="77777777" w:rsidR="00523650" w:rsidRPr="00F332F0" w:rsidRDefault="00523650" w:rsidP="00EA19E3">
            <w:pPr>
              <w:spacing w:after="0" w:line="240" w:lineRule="auto"/>
              <w:jc w:val="both"/>
              <w:rPr>
                <w:rFonts w:ascii="Book Antiqua" w:hAnsi="Book Antiqua"/>
              </w:rPr>
            </w:pPr>
            <w:r w:rsidRPr="00F332F0">
              <w:rPr>
                <w:rFonts w:ascii="Book Antiqua" w:hAnsi="Book Antiqua"/>
                <w:b/>
              </w:rPr>
              <w:t>High sophistication:</w:t>
            </w:r>
            <w:r w:rsidRPr="00F332F0">
              <w:rPr>
                <w:rFonts w:ascii="Book Antiqua" w:hAnsi="Book Antiqua"/>
              </w:rPr>
              <w:t xml:space="preserve"> </w:t>
            </w:r>
          </w:p>
          <w:p w14:paraId="6F872C59" w14:textId="77777777" w:rsidR="00523650" w:rsidRPr="00F332F0" w:rsidRDefault="00523650" w:rsidP="00EA19E3">
            <w:pPr>
              <w:pStyle w:val="ListParagraph"/>
              <w:numPr>
                <w:ilvl w:val="0"/>
                <w:numId w:val="46"/>
              </w:numPr>
              <w:spacing w:after="0" w:line="240" w:lineRule="auto"/>
              <w:jc w:val="both"/>
              <w:rPr>
                <w:rFonts w:ascii="Book Antiqua" w:hAnsi="Book Antiqua"/>
              </w:rPr>
            </w:pPr>
            <w:r w:rsidRPr="00F332F0">
              <w:rPr>
                <w:rFonts w:ascii="Book Antiqua" w:hAnsi="Book Antiqua"/>
              </w:rPr>
              <w:t>The dynamic customization of prices based on either  personal information or on demand patterns</w:t>
            </w:r>
          </w:p>
          <w:p w14:paraId="2FBD5708" w14:textId="77777777" w:rsidR="00523650" w:rsidRPr="00F332F0" w:rsidRDefault="00523650" w:rsidP="00EA19E3">
            <w:pPr>
              <w:pStyle w:val="ListParagraph"/>
              <w:numPr>
                <w:ilvl w:val="0"/>
                <w:numId w:val="46"/>
              </w:numPr>
              <w:spacing w:after="0" w:line="240" w:lineRule="auto"/>
              <w:jc w:val="both"/>
              <w:rPr>
                <w:rFonts w:ascii="Book Antiqua" w:hAnsi="Book Antiqua"/>
              </w:rPr>
            </w:pPr>
            <w:r w:rsidRPr="00F332F0">
              <w:rPr>
                <w:rFonts w:ascii="Book Antiqua" w:hAnsi="Book Antiqua"/>
              </w:rPr>
              <w:t>The availability of online price negotiation either on property website or on partners Web site</w:t>
            </w:r>
          </w:p>
          <w:p w14:paraId="0DC09BC3" w14:textId="77777777" w:rsidR="00523650" w:rsidRPr="00F332F0" w:rsidRDefault="00523650" w:rsidP="00EA19E3">
            <w:pPr>
              <w:spacing w:after="0" w:line="240" w:lineRule="auto"/>
              <w:jc w:val="both"/>
              <w:rPr>
                <w:rFonts w:ascii="Book Antiqua" w:hAnsi="Book Antiqua"/>
              </w:rPr>
            </w:pPr>
          </w:p>
        </w:tc>
      </w:tr>
      <w:tr w:rsidR="00523650" w:rsidRPr="00F332F0" w14:paraId="78F47F97" w14:textId="77777777" w:rsidTr="00EA19E3">
        <w:trPr>
          <w:trHeight w:val="271"/>
        </w:trPr>
        <w:tc>
          <w:tcPr>
            <w:tcW w:w="3878" w:type="dxa"/>
            <w:shd w:val="clear" w:color="auto" w:fill="auto"/>
          </w:tcPr>
          <w:p w14:paraId="546F1655" w14:textId="77777777" w:rsidR="00523650" w:rsidRPr="00F332F0" w:rsidRDefault="00523650" w:rsidP="00EA19E3">
            <w:pPr>
              <w:spacing w:after="0" w:line="240" w:lineRule="auto"/>
              <w:jc w:val="both"/>
              <w:rPr>
                <w:rFonts w:ascii="Book Antiqua" w:hAnsi="Book Antiqua"/>
                <w:b/>
                <w:bCs/>
              </w:rPr>
            </w:pPr>
            <w:r w:rsidRPr="00F332F0">
              <w:rPr>
                <w:rFonts w:ascii="Book Antiqua" w:hAnsi="Book Antiqua"/>
                <w:b/>
                <w:bCs/>
              </w:rPr>
              <w:t>Transformation of Place (VDS)</w:t>
            </w:r>
          </w:p>
        </w:tc>
        <w:tc>
          <w:tcPr>
            <w:tcW w:w="4498" w:type="dxa"/>
            <w:tcBorders>
              <w:left w:val="nil"/>
              <w:bottom w:val="nil"/>
              <w:right w:val="nil"/>
            </w:tcBorders>
            <w:shd w:val="clear" w:color="auto" w:fill="auto"/>
          </w:tcPr>
          <w:p w14:paraId="44B899E3" w14:textId="77777777" w:rsidR="00523650" w:rsidRPr="00F332F0" w:rsidRDefault="00523650" w:rsidP="00EA19E3">
            <w:pPr>
              <w:spacing w:after="0" w:line="240" w:lineRule="auto"/>
              <w:jc w:val="both"/>
              <w:rPr>
                <w:rFonts w:ascii="Book Antiqua" w:hAnsi="Book Antiqua"/>
              </w:rPr>
            </w:pPr>
            <w:r w:rsidRPr="00F332F0">
              <w:rPr>
                <w:rFonts w:ascii="Book Antiqua" w:hAnsi="Book Antiqua"/>
              </w:rPr>
              <w:t>Transformation of Promotion (VCS)</w:t>
            </w:r>
          </w:p>
        </w:tc>
      </w:tr>
      <w:tr w:rsidR="00523650" w:rsidRPr="00F332F0" w14:paraId="25ADB000" w14:textId="77777777" w:rsidTr="00EA19E3">
        <w:trPr>
          <w:trHeight w:val="2116"/>
        </w:trPr>
        <w:tc>
          <w:tcPr>
            <w:tcW w:w="3878" w:type="dxa"/>
            <w:tcBorders>
              <w:left w:val="nil"/>
              <w:right w:val="nil"/>
            </w:tcBorders>
            <w:shd w:val="clear" w:color="auto" w:fill="auto"/>
          </w:tcPr>
          <w:p w14:paraId="56CFB3CC" w14:textId="77777777" w:rsidR="00523650" w:rsidRPr="00F332F0" w:rsidRDefault="00523650" w:rsidP="00EA19E3">
            <w:pPr>
              <w:spacing w:after="0" w:line="240" w:lineRule="auto"/>
              <w:jc w:val="both"/>
              <w:rPr>
                <w:rFonts w:ascii="Book Antiqua" w:hAnsi="Book Antiqua"/>
                <w:b/>
                <w:bCs/>
              </w:rPr>
            </w:pPr>
            <w:r w:rsidRPr="00F332F0">
              <w:rPr>
                <w:rFonts w:ascii="Book Antiqua" w:hAnsi="Book Antiqua"/>
                <w:bCs/>
              </w:rPr>
              <w:lastRenderedPageBreak/>
              <w:t>Low sophistication:</w:t>
            </w:r>
          </w:p>
          <w:p w14:paraId="79318155" w14:textId="77777777" w:rsidR="00523650" w:rsidRPr="00F332F0" w:rsidRDefault="00523650" w:rsidP="00EA19E3">
            <w:pPr>
              <w:pStyle w:val="ListParagraph"/>
              <w:numPr>
                <w:ilvl w:val="0"/>
                <w:numId w:val="45"/>
              </w:numPr>
              <w:spacing w:after="0" w:line="240" w:lineRule="auto"/>
              <w:jc w:val="both"/>
              <w:rPr>
                <w:rFonts w:ascii="Book Antiqua" w:hAnsi="Book Antiqua"/>
                <w:b/>
                <w:bCs/>
              </w:rPr>
            </w:pPr>
            <w:r w:rsidRPr="00F332F0">
              <w:rPr>
                <w:rFonts w:ascii="Book Antiqua" w:hAnsi="Book Antiqua"/>
                <w:b/>
                <w:bCs/>
              </w:rPr>
              <w:t>The availability of e-mail request for bookings</w:t>
            </w:r>
          </w:p>
          <w:p w14:paraId="7B3B8D1E" w14:textId="77777777" w:rsidR="00523650" w:rsidRPr="00F332F0" w:rsidRDefault="00523650" w:rsidP="00EA19E3">
            <w:pPr>
              <w:pStyle w:val="ListParagraph"/>
              <w:numPr>
                <w:ilvl w:val="0"/>
                <w:numId w:val="45"/>
              </w:numPr>
              <w:spacing w:after="0" w:line="240" w:lineRule="auto"/>
              <w:jc w:val="both"/>
              <w:rPr>
                <w:rFonts w:ascii="Book Antiqua" w:hAnsi="Book Antiqua"/>
                <w:b/>
                <w:bCs/>
              </w:rPr>
            </w:pPr>
            <w:r w:rsidRPr="00F332F0">
              <w:rPr>
                <w:rFonts w:ascii="Book Antiqua" w:hAnsi="Book Antiqua"/>
                <w:b/>
                <w:bCs/>
              </w:rPr>
              <w:t>The promotion of the Web site on the Internet</w:t>
            </w:r>
          </w:p>
          <w:p w14:paraId="36A19FD3" w14:textId="77777777" w:rsidR="00523650" w:rsidRPr="00F332F0" w:rsidRDefault="00523650" w:rsidP="00EA19E3">
            <w:pPr>
              <w:pStyle w:val="ListParagraph"/>
              <w:numPr>
                <w:ilvl w:val="0"/>
                <w:numId w:val="45"/>
              </w:numPr>
              <w:spacing w:after="0" w:line="240" w:lineRule="auto"/>
              <w:jc w:val="both"/>
              <w:rPr>
                <w:rFonts w:ascii="Book Antiqua" w:hAnsi="Book Antiqua"/>
                <w:b/>
                <w:bCs/>
              </w:rPr>
            </w:pPr>
            <w:r w:rsidRPr="00F332F0">
              <w:rPr>
                <w:rFonts w:ascii="Book Antiqua" w:hAnsi="Book Antiqua"/>
                <w:bCs/>
              </w:rPr>
              <w:t>High sophistication:</w:t>
            </w:r>
          </w:p>
          <w:p w14:paraId="717D3917" w14:textId="77777777" w:rsidR="00523650" w:rsidRPr="00F332F0" w:rsidRDefault="00523650" w:rsidP="00EA19E3">
            <w:pPr>
              <w:pStyle w:val="ListParagraph"/>
              <w:numPr>
                <w:ilvl w:val="0"/>
                <w:numId w:val="45"/>
              </w:numPr>
              <w:spacing w:after="0" w:line="240" w:lineRule="auto"/>
              <w:jc w:val="both"/>
              <w:rPr>
                <w:rFonts w:ascii="Book Antiqua" w:hAnsi="Book Antiqua"/>
                <w:b/>
                <w:bCs/>
              </w:rPr>
            </w:pPr>
            <w:r w:rsidRPr="00F332F0">
              <w:rPr>
                <w:rFonts w:ascii="Book Antiqua" w:hAnsi="Book Antiqua"/>
                <w:b/>
                <w:bCs/>
              </w:rPr>
              <w:t>The availability of online booking</w:t>
            </w:r>
          </w:p>
          <w:p w14:paraId="6C042695" w14:textId="77777777" w:rsidR="00523650" w:rsidRPr="00F332F0" w:rsidRDefault="00523650" w:rsidP="00EA19E3">
            <w:pPr>
              <w:pStyle w:val="ListParagraph"/>
              <w:numPr>
                <w:ilvl w:val="0"/>
                <w:numId w:val="45"/>
              </w:numPr>
              <w:spacing w:after="0" w:line="240" w:lineRule="auto"/>
              <w:jc w:val="both"/>
              <w:rPr>
                <w:rFonts w:ascii="Book Antiqua" w:hAnsi="Book Antiqua"/>
                <w:b/>
                <w:bCs/>
              </w:rPr>
            </w:pPr>
            <w:r w:rsidRPr="00F332F0">
              <w:rPr>
                <w:rFonts w:ascii="Book Antiqua" w:hAnsi="Book Antiqua"/>
                <w:b/>
                <w:bCs/>
              </w:rPr>
              <w:t>The availability of secured online payment</w:t>
            </w:r>
          </w:p>
        </w:tc>
        <w:tc>
          <w:tcPr>
            <w:tcW w:w="4498" w:type="dxa"/>
            <w:tcBorders>
              <w:left w:val="nil"/>
              <w:bottom w:val="nil"/>
              <w:right w:val="nil"/>
            </w:tcBorders>
            <w:shd w:val="clear" w:color="auto" w:fill="auto"/>
          </w:tcPr>
          <w:p w14:paraId="76490C73" w14:textId="77777777" w:rsidR="00523650" w:rsidRPr="00F332F0" w:rsidRDefault="00523650" w:rsidP="00EA19E3">
            <w:pPr>
              <w:spacing w:after="0" w:line="240" w:lineRule="auto"/>
              <w:jc w:val="both"/>
              <w:rPr>
                <w:rFonts w:ascii="Book Antiqua" w:hAnsi="Book Antiqua"/>
                <w:b/>
              </w:rPr>
            </w:pPr>
            <w:r w:rsidRPr="00F332F0">
              <w:rPr>
                <w:rFonts w:ascii="Book Antiqua" w:hAnsi="Book Antiqua"/>
                <w:b/>
              </w:rPr>
              <w:t>Low sophistication:</w:t>
            </w:r>
          </w:p>
          <w:p w14:paraId="6B6F8E63" w14:textId="77777777" w:rsidR="00523650" w:rsidRPr="00F332F0" w:rsidRDefault="00523650" w:rsidP="00EA19E3">
            <w:pPr>
              <w:pStyle w:val="ListParagraph"/>
              <w:numPr>
                <w:ilvl w:val="0"/>
                <w:numId w:val="48"/>
              </w:numPr>
              <w:autoSpaceDE w:val="0"/>
              <w:autoSpaceDN w:val="0"/>
              <w:adjustRightInd w:val="0"/>
              <w:spacing w:after="0" w:line="240" w:lineRule="auto"/>
              <w:jc w:val="both"/>
              <w:rPr>
                <w:rFonts w:ascii="Book Antiqua" w:hAnsi="Book Antiqua"/>
              </w:rPr>
            </w:pPr>
            <w:r w:rsidRPr="00F332F0">
              <w:rPr>
                <w:rFonts w:ascii="Book Antiqua" w:hAnsi="Book Antiqua"/>
              </w:rPr>
              <w:t xml:space="preserve">The use of online advertising </w:t>
            </w:r>
          </w:p>
          <w:p w14:paraId="31B65A7C" w14:textId="77777777" w:rsidR="00523650" w:rsidRPr="00F332F0" w:rsidRDefault="00523650" w:rsidP="00EA19E3">
            <w:pPr>
              <w:pStyle w:val="ListParagraph"/>
              <w:numPr>
                <w:ilvl w:val="0"/>
                <w:numId w:val="48"/>
              </w:numPr>
              <w:autoSpaceDE w:val="0"/>
              <w:autoSpaceDN w:val="0"/>
              <w:adjustRightInd w:val="0"/>
              <w:spacing w:after="0" w:line="240" w:lineRule="auto"/>
              <w:jc w:val="both"/>
              <w:rPr>
                <w:rFonts w:ascii="Book Antiqua" w:hAnsi="Book Antiqua"/>
              </w:rPr>
            </w:pPr>
            <w:r w:rsidRPr="00F332F0">
              <w:rPr>
                <w:rFonts w:ascii="Book Antiqua" w:hAnsi="Book Antiqua"/>
              </w:rPr>
              <w:t>The use of online promotions such as sales and discounts</w:t>
            </w:r>
          </w:p>
          <w:p w14:paraId="3BBA1DE4" w14:textId="77777777" w:rsidR="00523650" w:rsidRPr="00F332F0" w:rsidRDefault="00523650" w:rsidP="00EA19E3">
            <w:pPr>
              <w:spacing w:after="0" w:line="240" w:lineRule="auto"/>
              <w:jc w:val="both"/>
              <w:rPr>
                <w:rFonts w:ascii="Book Antiqua" w:hAnsi="Book Antiqua"/>
                <w:b/>
              </w:rPr>
            </w:pPr>
            <w:r w:rsidRPr="00F332F0">
              <w:rPr>
                <w:rFonts w:ascii="Book Antiqua" w:hAnsi="Book Antiqua"/>
                <w:b/>
              </w:rPr>
              <w:t>High sophistication:</w:t>
            </w:r>
          </w:p>
          <w:p w14:paraId="6E197B4F" w14:textId="77777777" w:rsidR="00523650" w:rsidRPr="00F332F0" w:rsidRDefault="00523650" w:rsidP="00EA19E3">
            <w:pPr>
              <w:pStyle w:val="ListParagraph"/>
              <w:numPr>
                <w:ilvl w:val="0"/>
                <w:numId w:val="49"/>
              </w:numPr>
              <w:autoSpaceDE w:val="0"/>
              <w:autoSpaceDN w:val="0"/>
              <w:adjustRightInd w:val="0"/>
              <w:spacing w:after="0" w:line="240" w:lineRule="auto"/>
              <w:jc w:val="both"/>
              <w:rPr>
                <w:rFonts w:ascii="Book Antiqua" w:hAnsi="Book Antiqua"/>
              </w:rPr>
            </w:pPr>
            <w:r w:rsidRPr="00F332F0">
              <w:rPr>
                <w:rFonts w:ascii="Book Antiqua" w:hAnsi="Book Antiqua"/>
              </w:rPr>
              <w:t>The customization of online promotions</w:t>
            </w:r>
          </w:p>
          <w:p w14:paraId="629C6A7A" w14:textId="77777777" w:rsidR="00523650" w:rsidRPr="00F332F0" w:rsidRDefault="00523650" w:rsidP="00EA19E3">
            <w:pPr>
              <w:pStyle w:val="ListParagraph"/>
              <w:numPr>
                <w:ilvl w:val="0"/>
                <w:numId w:val="49"/>
              </w:numPr>
              <w:autoSpaceDE w:val="0"/>
              <w:autoSpaceDN w:val="0"/>
              <w:adjustRightInd w:val="0"/>
              <w:spacing w:after="0" w:line="240" w:lineRule="auto"/>
              <w:jc w:val="both"/>
              <w:rPr>
                <w:rFonts w:ascii="Book Antiqua" w:hAnsi="Book Antiqua"/>
              </w:rPr>
            </w:pPr>
            <w:r w:rsidRPr="00F332F0">
              <w:rPr>
                <w:rFonts w:ascii="Book Antiqua" w:hAnsi="Book Antiqua"/>
              </w:rPr>
              <w:t>Links with other organizations in organizing online promotions</w:t>
            </w:r>
          </w:p>
        </w:tc>
      </w:tr>
      <w:tr w:rsidR="00523650" w:rsidRPr="00F332F0" w14:paraId="7DB5F86F" w14:textId="77777777" w:rsidTr="00EA19E3">
        <w:trPr>
          <w:trHeight w:val="543"/>
        </w:trPr>
        <w:tc>
          <w:tcPr>
            <w:tcW w:w="3878" w:type="dxa"/>
            <w:shd w:val="clear" w:color="auto" w:fill="auto"/>
          </w:tcPr>
          <w:p w14:paraId="1345B623" w14:textId="77777777" w:rsidR="00523650" w:rsidRPr="00F332F0" w:rsidRDefault="00523650" w:rsidP="00EA19E3">
            <w:pPr>
              <w:spacing w:after="0" w:line="240" w:lineRule="auto"/>
              <w:jc w:val="both"/>
              <w:rPr>
                <w:rFonts w:ascii="Book Antiqua" w:hAnsi="Book Antiqua"/>
                <w:b/>
                <w:bCs/>
              </w:rPr>
            </w:pPr>
            <w:r w:rsidRPr="00F332F0">
              <w:rPr>
                <w:rFonts w:ascii="Book Antiqua" w:hAnsi="Book Antiqua"/>
                <w:b/>
                <w:bCs/>
              </w:rPr>
              <w:t>Transformation of Customer Relations</w:t>
            </w:r>
          </w:p>
        </w:tc>
        <w:tc>
          <w:tcPr>
            <w:tcW w:w="4498" w:type="dxa"/>
            <w:tcBorders>
              <w:left w:val="nil"/>
              <w:bottom w:val="nil"/>
              <w:right w:val="nil"/>
            </w:tcBorders>
            <w:shd w:val="clear" w:color="auto" w:fill="auto"/>
          </w:tcPr>
          <w:p w14:paraId="746910CA" w14:textId="77777777" w:rsidR="00523650" w:rsidRPr="00F332F0" w:rsidRDefault="00523650" w:rsidP="00716CCE">
            <w:pPr>
              <w:spacing w:after="0" w:line="240" w:lineRule="auto"/>
              <w:rPr>
                <w:rFonts w:ascii="Book Antiqua" w:hAnsi="Book Antiqua"/>
              </w:rPr>
            </w:pPr>
          </w:p>
        </w:tc>
      </w:tr>
      <w:tr w:rsidR="00523650" w:rsidRPr="00F332F0" w14:paraId="46FAD8B8" w14:textId="77777777" w:rsidTr="00EA19E3">
        <w:trPr>
          <w:trHeight w:val="3815"/>
        </w:trPr>
        <w:tc>
          <w:tcPr>
            <w:tcW w:w="3878" w:type="dxa"/>
            <w:tcBorders>
              <w:left w:val="nil"/>
              <w:right w:val="nil"/>
            </w:tcBorders>
            <w:shd w:val="clear" w:color="auto" w:fill="auto"/>
          </w:tcPr>
          <w:p w14:paraId="4908BF9F" w14:textId="77777777" w:rsidR="00523650" w:rsidRPr="00F332F0" w:rsidRDefault="00523650" w:rsidP="00EA19E3">
            <w:pPr>
              <w:spacing w:after="0" w:line="240" w:lineRule="auto"/>
              <w:jc w:val="both"/>
              <w:rPr>
                <w:rFonts w:ascii="Book Antiqua" w:hAnsi="Book Antiqua"/>
                <w:b/>
                <w:bCs/>
              </w:rPr>
            </w:pPr>
            <w:r w:rsidRPr="00F332F0">
              <w:rPr>
                <w:rFonts w:ascii="Book Antiqua" w:hAnsi="Book Antiqua"/>
                <w:bCs/>
              </w:rPr>
              <w:t>Low sophistication: NULL</w:t>
            </w:r>
          </w:p>
          <w:p w14:paraId="6FAC15FE" w14:textId="77777777" w:rsidR="00523650" w:rsidRPr="00F332F0" w:rsidRDefault="00523650" w:rsidP="00EA19E3">
            <w:pPr>
              <w:spacing w:after="0" w:line="240" w:lineRule="auto"/>
              <w:jc w:val="both"/>
              <w:rPr>
                <w:rFonts w:ascii="Book Antiqua" w:hAnsi="Book Antiqua"/>
                <w:b/>
                <w:bCs/>
              </w:rPr>
            </w:pPr>
            <w:r w:rsidRPr="00F332F0">
              <w:rPr>
                <w:rFonts w:ascii="Book Antiqua" w:hAnsi="Book Antiqua"/>
                <w:bCs/>
              </w:rPr>
              <w:t>High sophistication:</w:t>
            </w:r>
          </w:p>
          <w:p w14:paraId="37D4AC4E" w14:textId="77777777" w:rsidR="00523650" w:rsidRPr="00F332F0" w:rsidRDefault="00523650" w:rsidP="00EA19E3">
            <w:pPr>
              <w:pStyle w:val="ListParagraph"/>
              <w:numPr>
                <w:ilvl w:val="0"/>
                <w:numId w:val="44"/>
              </w:numPr>
              <w:spacing w:after="0" w:line="240" w:lineRule="auto"/>
              <w:jc w:val="both"/>
              <w:rPr>
                <w:rFonts w:ascii="Book Antiqua" w:hAnsi="Book Antiqua"/>
                <w:b/>
                <w:bCs/>
              </w:rPr>
            </w:pPr>
            <w:r w:rsidRPr="00F332F0">
              <w:rPr>
                <w:rFonts w:ascii="Book Antiqua" w:hAnsi="Book Antiqua"/>
                <w:b/>
                <w:bCs/>
              </w:rPr>
              <w:t xml:space="preserve">The provision of online customer service </w:t>
            </w:r>
          </w:p>
          <w:p w14:paraId="74E31010" w14:textId="77777777" w:rsidR="00523650" w:rsidRPr="00F332F0" w:rsidRDefault="00523650" w:rsidP="00EA19E3">
            <w:pPr>
              <w:pStyle w:val="ListParagraph"/>
              <w:numPr>
                <w:ilvl w:val="0"/>
                <w:numId w:val="44"/>
              </w:numPr>
              <w:spacing w:after="0" w:line="240" w:lineRule="auto"/>
              <w:jc w:val="both"/>
              <w:rPr>
                <w:rFonts w:ascii="Book Antiqua" w:hAnsi="Book Antiqua"/>
                <w:b/>
                <w:bCs/>
              </w:rPr>
            </w:pPr>
            <w:r w:rsidRPr="00F332F0">
              <w:rPr>
                <w:rFonts w:ascii="Book Antiqua" w:hAnsi="Book Antiqua"/>
                <w:b/>
                <w:bCs/>
              </w:rPr>
              <w:t xml:space="preserve">The online identification and tracking of customers to provide customized services </w:t>
            </w:r>
          </w:p>
          <w:p w14:paraId="45EC2CF3" w14:textId="77777777" w:rsidR="00523650" w:rsidRPr="00F332F0" w:rsidRDefault="00523650" w:rsidP="00EA19E3">
            <w:pPr>
              <w:pStyle w:val="ListParagraph"/>
              <w:numPr>
                <w:ilvl w:val="0"/>
                <w:numId w:val="44"/>
              </w:numPr>
              <w:spacing w:after="0" w:line="240" w:lineRule="auto"/>
              <w:jc w:val="both"/>
              <w:rPr>
                <w:rFonts w:ascii="Book Antiqua" w:hAnsi="Book Antiqua"/>
                <w:b/>
                <w:bCs/>
              </w:rPr>
            </w:pPr>
            <w:r w:rsidRPr="00F332F0">
              <w:rPr>
                <w:rFonts w:ascii="Book Antiqua" w:hAnsi="Book Antiqua"/>
                <w:b/>
                <w:bCs/>
              </w:rPr>
              <w:t xml:space="preserve">The provision of online communications to customers </w:t>
            </w:r>
          </w:p>
          <w:p w14:paraId="108538ED" w14:textId="77777777" w:rsidR="00523650" w:rsidRPr="00F332F0" w:rsidRDefault="00523650" w:rsidP="00EA19E3">
            <w:pPr>
              <w:pStyle w:val="ListParagraph"/>
              <w:numPr>
                <w:ilvl w:val="0"/>
                <w:numId w:val="44"/>
              </w:numPr>
              <w:spacing w:after="0" w:line="240" w:lineRule="auto"/>
              <w:jc w:val="both"/>
              <w:rPr>
                <w:rFonts w:ascii="Book Antiqua" w:hAnsi="Book Antiqua"/>
                <w:b/>
                <w:bCs/>
              </w:rPr>
            </w:pPr>
            <w:r w:rsidRPr="00F332F0">
              <w:rPr>
                <w:rFonts w:ascii="Book Antiqua" w:hAnsi="Book Antiqua"/>
                <w:b/>
                <w:bCs/>
              </w:rPr>
              <w:t xml:space="preserve">The creation of online communities for customers </w:t>
            </w:r>
          </w:p>
          <w:p w14:paraId="61E59CFC" w14:textId="77777777" w:rsidR="00523650" w:rsidRPr="00F332F0" w:rsidRDefault="00523650" w:rsidP="00EA19E3">
            <w:pPr>
              <w:pStyle w:val="ListParagraph"/>
              <w:numPr>
                <w:ilvl w:val="0"/>
                <w:numId w:val="44"/>
              </w:numPr>
              <w:spacing w:after="0" w:line="240" w:lineRule="auto"/>
              <w:jc w:val="both"/>
              <w:rPr>
                <w:rFonts w:ascii="Book Antiqua" w:hAnsi="Book Antiqua"/>
                <w:b/>
                <w:bCs/>
              </w:rPr>
            </w:pPr>
            <w:r w:rsidRPr="00F332F0">
              <w:rPr>
                <w:rFonts w:ascii="Book Antiqua" w:hAnsi="Book Antiqua"/>
                <w:b/>
                <w:bCs/>
              </w:rPr>
              <w:t>The solicitation of online feedback from customers</w:t>
            </w:r>
          </w:p>
        </w:tc>
        <w:tc>
          <w:tcPr>
            <w:tcW w:w="4498" w:type="dxa"/>
            <w:tcBorders>
              <w:left w:val="nil"/>
              <w:right w:val="nil"/>
            </w:tcBorders>
            <w:shd w:val="clear" w:color="auto" w:fill="auto"/>
          </w:tcPr>
          <w:p w14:paraId="40C454ED" w14:textId="77777777" w:rsidR="00523650" w:rsidRPr="00F332F0" w:rsidRDefault="00523650" w:rsidP="00716CCE">
            <w:pPr>
              <w:spacing w:after="0" w:line="240" w:lineRule="auto"/>
              <w:rPr>
                <w:rFonts w:ascii="Book Antiqua" w:hAnsi="Book Antiqua"/>
              </w:rPr>
            </w:pPr>
          </w:p>
        </w:tc>
      </w:tr>
    </w:tbl>
    <w:p w14:paraId="2058F5C5" w14:textId="77777777" w:rsidR="00363EF7" w:rsidRDefault="00363EF7" w:rsidP="00716CCE">
      <w:pPr>
        <w:spacing w:after="0"/>
        <w:rPr>
          <w:rFonts w:ascii="Book Antiqua" w:hAnsi="Book Antiqua"/>
        </w:rPr>
        <w:sectPr w:rsidR="00363EF7" w:rsidSect="008F6BC9">
          <w:type w:val="continuous"/>
          <w:pgSz w:w="11907" w:h="16839" w:code="9"/>
          <w:pgMar w:top="1440" w:right="1274" w:bottom="1276" w:left="1276" w:header="708" w:footer="708" w:gutter="0"/>
          <w:cols w:space="720"/>
          <w:docGrid w:linePitch="360"/>
        </w:sectPr>
      </w:pPr>
    </w:p>
    <w:p w14:paraId="0FD941C3" w14:textId="77777777" w:rsidR="00523650" w:rsidRPr="00E3232D" w:rsidRDefault="00523650" w:rsidP="008275E1">
      <w:pPr>
        <w:rPr>
          <w:rFonts w:ascii="Book Antiqua" w:hAnsi="Book Antiqua"/>
        </w:rPr>
        <w:sectPr w:rsidR="00523650" w:rsidRPr="00E3232D" w:rsidSect="008F6BC9">
          <w:type w:val="continuous"/>
          <w:pgSz w:w="11907" w:h="16839" w:code="9"/>
          <w:pgMar w:top="1440" w:right="1274" w:bottom="1276" w:left="1276" w:header="708" w:footer="708" w:gutter="0"/>
          <w:cols w:num="2" w:space="720"/>
          <w:docGrid w:linePitch="360"/>
        </w:sectPr>
      </w:pPr>
      <w:r w:rsidRPr="00E3232D">
        <w:rPr>
          <w:rFonts w:ascii="Book Antiqua" w:hAnsi="Book Antiqua"/>
        </w:rPr>
        <w:t>Sources: Adopted from Sigala, (2003): The Internet Marketing Mix Model</w:t>
      </w:r>
    </w:p>
    <w:p w14:paraId="1CBC9C5A" w14:textId="77777777" w:rsidR="00623180" w:rsidRDefault="00623180" w:rsidP="00F332F0">
      <w:pPr>
        <w:jc w:val="both"/>
        <w:rPr>
          <w:rFonts w:ascii="Book Antiqua" w:hAnsi="Book Antiqua"/>
        </w:rPr>
      </w:pPr>
    </w:p>
    <w:p w14:paraId="0AC6D941" w14:textId="77777777" w:rsidR="00523650" w:rsidRPr="00E3232D" w:rsidRDefault="00523650" w:rsidP="00F332F0">
      <w:pPr>
        <w:jc w:val="both"/>
        <w:rPr>
          <w:rFonts w:ascii="Book Antiqua" w:hAnsi="Book Antiqua"/>
        </w:rPr>
      </w:pPr>
      <w:r w:rsidRPr="00E3232D">
        <w:rPr>
          <w:rFonts w:ascii="Book Antiqua" w:hAnsi="Book Antiqua"/>
        </w:rPr>
        <w:t xml:space="preserve">This model has been chosen because it indicates how each of the five dimensions in the internet marketing mix is analyzed; depicting the degree to which hotels have adopted sophisticated internet marketing strategies. </w:t>
      </w:r>
    </w:p>
    <w:p w14:paraId="09893AB4" w14:textId="77777777" w:rsidR="00523650" w:rsidRPr="00E3232D" w:rsidRDefault="00523650" w:rsidP="00335A55">
      <w:pPr>
        <w:spacing w:after="0"/>
        <w:jc w:val="both"/>
        <w:rPr>
          <w:rFonts w:ascii="Book Antiqua" w:hAnsi="Book Antiqua"/>
        </w:rPr>
      </w:pPr>
      <w:r w:rsidRPr="00E3232D">
        <w:rPr>
          <w:rFonts w:ascii="Book Antiqua" w:hAnsi="Book Antiqua"/>
        </w:rPr>
        <w:t>To measure the degree to which hotels in Ghana have adopted sophisticated internet strategies, each of the five dimensions are analysed in several features as shown in table 1 depending on the extent to which the interactivity and connectivity capabilities of the internet are exploited by the hotels (Sigala, 2003 &amp; Anghern, 1997)</w:t>
      </w:r>
    </w:p>
    <w:p w14:paraId="709DC5AF" w14:textId="77777777" w:rsidR="002D3318" w:rsidRDefault="002D3318" w:rsidP="00F332F0">
      <w:pPr>
        <w:spacing w:after="0"/>
        <w:jc w:val="both"/>
        <w:rPr>
          <w:rFonts w:ascii="Book Antiqua" w:hAnsi="Book Antiqua"/>
          <w:b/>
        </w:rPr>
      </w:pPr>
    </w:p>
    <w:p w14:paraId="6FB5B08D" w14:textId="77777777" w:rsidR="00623180" w:rsidRDefault="00623180" w:rsidP="00623180">
      <w:pPr>
        <w:spacing w:after="0" w:line="240" w:lineRule="auto"/>
        <w:jc w:val="both"/>
        <w:rPr>
          <w:rFonts w:ascii="Book Antiqua" w:hAnsi="Book Antiqua"/>
          <w:b/>
        </w:rPr>
      </w:pPr>
    </w:p>
    <w:p w14:paraId="2842F34E" w14:textId="77777777" w:rsidR="00523650" w:rsidRPr="00E3232D" w:rsidRDefault="00523650" w:rsidP="00F332F0">
      <w:pPr>
        <w:jc w:val="both"/>
        <w:rPr>
          <w:rFonts w:ascii="Book Antiqua" w:hAnsi="Book Antiqua"/>
        </w:rPr>
      </w:pPr>
      <w:r w:rsidRPr="00E3232D">
        <w:rPr>
          <w:rFonts w:ascii="Book Antiqua" w:hAnsi="Book Antiqua"/>
          <w:b/>
        </w:rPr>
        <w:t>2.2   Research Design</w:t>
      </w:r>
    </w:p>
    <w:p w14:paraId="2B7CC856" w14:textId="77777777" w:rsidR="00523650" w:rsidRPr="00E3232D" w:rsidRDefault="00523650" w:rsidP="00335A55">
      <w:pPr>
        <w:spacing w:after="0"/>
        <w:jc w:val="both"/>
        <w:rPr>
          <w:rFonts w:ascii="Book Antiqua" w:hAnsi="Book Antiqua"/>
        </w:rPr>
      </w:pPr>
      <w:r w:rsidRPr="00E3232D">
        <w:rPr>
          <w:rFonts w:ascii="Book Antiqua" w:hAnsi="Book Antiqua"/>
        </w:rPr>
        <w:t>Given the descriptive and exploratory nature of the research, quantitative research design was deemed appropriate for investigating the research issues. This research was concerned with providing a clear understanding and to portray a reality regarding internet marketing strategies among hotels in Ghana.  A questionnaire survey was the main method of data collection for this study.</w:t>
      </w:r>
    </w:p>
    <w:p w14:paraId="6D1E4C47" w14:textId="77777777" w:rsidR="00523650" w:rsidRPr="00E3232D" w:rsidRDefault="00523650" w:rsidP="00F332F0">
      <w:pPr>
        <w:spacing w:after="0"/>
        <w:jc w:val="both"/>
        <w:rPr>
          <w:rFonts w:ascii="Book Antiqua" w:hAnsi="Book Antiqua"/>
          <w:b/>
        </w:rPr>
      </w:pPr>
    </w:p>
    <w:p w14:paraId="3E61331C" w14:textId="77777777" w:rsidR="00623180" w:rsidRDefault="00623180" w:rsidP="00F332F0">
      <w:pPr>
        <w:jc w:val="both"/>
        <w:rPr>
          <w:rFonts w:ascii="Book Antiqua" w:hAnsi="Book Antiqua"/>
          <w:b/>
        </w:rPr>
      </w:pPr>
    </w:p>
    <w:p w14:paraId="31F281A1" w14:textId="77777777" w:rsidR="00523650" w:rsidRPr="00E3232D" w:rsidRDefault="00523650" w:rsidP="00F332F0">
      <w:pPr>
        <w:jc w:val="both"/>
        <w:rPr>
          <w:rFonts w:ascii="Book Antiqua" w:hAnsi="Book Antiqua"/>
          <w:b/>
        </w:rPr>
      </w:pPr>
      <w:r w:rsidRPr="00E3232D">
        <w:rPr>
          <w:rFonts w:ascii="Book Antiqua" w:hAnsi="Book Antiqua"/>
          <w:b/>
        </w:rPr>
        <w:lastRenderedPageBreak/>
        <w:t>2.3   Sample Design</w:t>
      </w:r>
    </w:p>
    <w:p w14:paraId="3F63C9C4" w14:textId="77777777" w:rsidR="00523650" w:rsidRPr="00E3232D" w:rsidRDefault="00523650" w:rsidP="00F332F0">
      <w:pPr>
        <w:jc w:val="both"/>
        <w:rPr>
          <w:rFonts w:ascii="Book Antiqua" w:hAnsi="Book Antiqua"/>
        </w:rPr>
      </w:pPr>
      <w:r w:rsidRPr="00E3232D">
        <w:rPr>
          <w:rFonts w:ascii="Book Antiqua" w:hAnsi="Book Antiqua"/>
        </w:rPr>
        <w:t xml:space="preserve">The sampling frame for this study was a complete list of all hotels in Ghana with web sites. However there were no existing lists of hotels in Ghana with web sites. To create this list; a web search using the key words Hotels and Ghana in two search engines (Google and Yahoo), three local directories (Yellow pages, hotel association of Ghana, Ghana tourism board ), two travel directories (Trip adviser and hotels in Ghana) was used. </w:t>
      </w:r>
    </w:p>
    <w:p w14:paraId="72403A98" w14:textId="77777777" w:rsidR="006C564E" w:rsidRDefault="006C564E" w:rsidP="00F332F0">
      <w:pPr>
        <w:spacing w:after="0"/>
        <w:jc w:val="both"/>
        <w:rPr>
          <w:rFonts w:ascii="Book Antiqua" w:hAnsi="Book Antiqua"/>
        </w:rPr>
      </w:pPr>
    </w:p>
    <w:p w14:paraId="2514C39E" w14:textId="77777777" w:rsidR="00523650" w:rsidRPr="00E3232D" w:rsidRDefault="00523650" w:rsidP="00335A55">
      <w:pPr>
        <w:spacing w:after="0"/>
        <w:jc w:val="both"/>
        <w:rPr>
          <w:rFonts w:ascii="Book Antiqua" w:hAnsi="Book Antiqua"/>
        </w:rPr>
      </w:pPr>
      <w:r w:rsidRPr="00E3232D">
        <w:rPr>
          <w:rFonts w:ascii="Book Antiqua" w:hAnsi="Book Antiqua"/>
        </w:rPr>
        <w:t xml:space="preserve">The Web search was conducted in May 2011 and after adding up the results from each search engine, and travel directories a total of 624 hotels with web addresses were found. The results of the Web search including hotels’ names, addresses, and URL were copied and pasted into a hotel database in a Microsoft Excel file. The remove duplicate tool in Microsoft Excel was used to eliminate multiple entries. Finally, we arrived at 226 hotels with Websites. All 226 Web sites were visited to investigate whether the Web sites existed and were functional. It was found that some of the Web sites were not functioning so we took them out of the database and arrived at 215. A careful examination of the database reveals that in some websites, the contact information provided were the same, because the hotel were chain hotels hence was managed under the same owner. Similar to Sigala (2003) we took out those multiple entries and finally arrived at 206 unique hotels with web site address and contacts information. Due financial and time constraints a systematic sampling </w:t>
      </w:r>
      <w:r w:rsidRPr="00E3232D">
        <w:rPr>
          <w:rFonts w:ascii="Book Antiqua" w:hAnsi="Book Antiqua"/>
        </w:rPr>
        <w:t xml:space="preserve">technique was used to sample 103 hotels for the study. </w:t>
      </w:r>
    </w:p>
    <w:p w14:paraId="28A15B8B" w14:textId="77777777" w:rsidR="006C564E" w:rsidRDefault="006C564E" w:rsidP="00F332F0">
      <w:pPr>
        <w:spacing w:after="0"/>
        <w:jc w:val="both"/>
        <w:rPr>
          <w:rFonts w:ascii="Book Antiqua" w:hAnsi="Book Antiqua"/>
          <w:b/>
        </w:rPr>
      </w:pPr>
    </w:p>
    <w:p w14:paraId="5141A07D" w14:textId="77777777" w:rsidR="00523650" w:rsidRPr="00E3232D" w:rsidRDefault="00523650" w:rsidP="00335A55">
      <w:pPr>
        <w:spacing w:after="0" w:line="240" w:lineRule="auto"/>
        <w:jc w:val="both"/>
        <w:rPr>
          <w:rFonts w:ascii="Book Antiqua" w:hAnsi="Book Antiqua"/>
          <w:b/>
        </w:rPr>
      </w:pPr>
      <w:r w:rsidRPr="00E3232D">
        <w:rPr>
          <w:rFonts w:ascii="Book Antiqua" w:hAnsi="Book Antiqua"/>
          <w:b/>
        </w:rPr>
        <w:t>2.4. Questionnaire design and</w:t>
      </w:r>
    </w:p>
    <w:p w14:paraId="5DB6AFB4" w14:textId="77777777" w:rsidR="00523650" w:rsidRPr="00E3232D" w:rsidRDefault="00523650" w:rsidP="00335A55">
      <w:pPr>
        <w:spacing w:after="0" w:line="240" w:lineRule="auto"/>
        <w:jc w:val="both"/>
        <w:rPr>
          <w:rFonts w:ascii="Book Antiqua" w:hAnsi="Book Antiqua"/>
          <w:b/>
        </w:rPr>
      </w:pPr>
      <w:r w:rsidRPr="00E3232D">
        <w:rPr>
          <w:rFonts w:ascii="Book Antiqua" w:hAnsi="Book Antiqua"/>
          <w:b/>
        </w:rPr>
        <w:t xml:space="preserve">       Administration</w:t>
      </w:r>
    </w:p>
    <w:p w14:paraId="447F737E" w14:textId="77777777" w:rsidR="00523650" w:rsidRPr="00E3232D" w:rsidRDefault="00523650" w:rsidP="00335A55">
      <w:pPr>
        <w:spacing w:after="0"/>
        <w:jc w:val="both"/>
        <w:rPr>
          <w:rFonts w:ascii="Book Antiqua" w:hAnsi="Book Antiqua"/>
        </w:rPr>
      </w:pPr>
      <w:r w:rsidRPr="00E3232D">
        <w:rPr>
          <w:rFonts w:ascii="Book Antiqua" w:hAnsi="Book Antiqua"/>
        </w:rPr>
        <w:t xml:space="preserve">The questionnaire was based the variables in the adopted conceptual framework. All the questions took close-ended Yes/No form. The questionnaire was pilot tested on 10 respondents. This was to ascertain the reliability as well as the generalisation of the instrument. Analysis of the result from the pilot study indicated that the Coefficient (Cronbach) alpha reliability for the data collection instrument was 0.91 which was above the acceptable figure of 0.7. </w:t>
      </w:r>
    </w:p>
    <w:p w14:paraId="687E8036" w14:textId="77777777" w:rsidR="00523650" w:rsidRPr="00E3232D" w:rsidRDefault="00523650" w:rsidP="00F332F0">
      <w:pPr>
        <w:ind w:firstLine="720"/>
        <w:jc w:val="both"/>
        <w:rPr>
          <w:rFonts w:ascii="Book Antiqua" w:hAnsi="Book Antiqua"/>
        </w:rPr>
      </w:pPr>
      <w:r w:rsidRPr="00E3232D">
        <w:rPr>
          <w:rFonts w:ascii="Book Antiqua" w:hAnsi="Book Antiqua"/>
        </w:rPr>
        <w:t>Data collection was led by the researchers due were assisted by five (5) trained research assistants - all students of the Catering and Hotel management department of Ho Polytechnic. To ensure the highest level of data integrity we restricted the interviews to only marketing/ICT managers in the various hotels because they possessed the best ability to deal with issues of internet marketing strategies</w:t>
      </w:r>
    </w:p>
    <w:p w14:paraId="580996D8" w14:textId="77777777" w:rsidR="00DF0AF5" w:rsidRPr="00E3232D" w:rsidRDefault="00523650" w:rsidP="00F332F0">
      <w:pPr>
        <w:jc w:val="both"/>
        <w:rPr>
          <w:rFonts w:ascii="Book Antiqua" w:hAnsi="Book Antiqua"/>
        </w:rPr>
      </w:pPr>
      <w:r w:rsidRPr="00E3232D">
        <w:rPr>
          <w:rFonts w:ascii="Book Antiqua" w:hAnsi="Book Antiqua"/>
        </w:rPr>
        <w:t xml:space="preserve">Out of the one hundred and three (103) questionnaires that were administered to the one hundred (103) hotels, eighty seven (87) completed questionnaire was obtained representing 84.50% response rate </w:t>
      </w:r>
    </w:p>
    <w:p w14:paraId="02ECC6A5" w14:textId="77777777" w:rsidR="00523650" w:rsidRPr="00312FAA" w:rsidRDefault="00523650" w:rsidP="00196385">
      <w:pPr>
        <w:pStyle w:val="ListParagraph"/>
        <w:numPr>
          <w:ilvl w:val="1"/>
          <w:numId w:val="50"/>
        </w:numPr>
        <w:autoSpaceDE w:val="0"/>
        <w:autoSpaceDN w:val="0"/>
        <w:adjustRightInd w:val="0"/>
        <w:jc w:val="both"/>
        <w:rPr>
          <w:rFonts w:ascii="Book Antiqua" w:hAnsi="Book Antiqua"/>
          <w:b/>
        </w:rPr>
      </w:pPr>
      <w:r w:rsidRPr="00312FAA">
        <w:rPr>
          <w:rFonts w:ascii="Book Antiqua" w:hAnsi="Book Antiqua"/>
          <w:b/>
          <w:sz w:val="26"/>
        </w:rPr>
        <w:t>Results</w:t>
      </w:r>
    </w:p>
    <w:p w14:paraId="508D6A2D" w14:textId="77777777" w:rsidR="00523650" w:rsidRPr="00E3232D" w:rsidRDefault="00523650" w:rsidP="00196385">
      <w:pPr>
        <w:pStyle w:val="ListParagraph"/>
        <w:numPr>
          <w:ilvl w:val="1"/>
          <w:numId w:val="50"/>
        </w:numPr>
        <w:autoSpaceDE w:val="0"/>
        <w:autoSpaceDN w:val="0"/>
        <w:adjustRightInd w:val="0"/>
        <w:jc w:val="both"/>
        <w:rPr>
          <w:rFonts w:ascii="Book Antiqua" w:hAnsi="Book Antiqua"/>
          <w:b/>
        </w:rPr>
      </w:pPr>
      <w:r w:rsidRPr="00E3232D">
        <w:rPr>
          <w:rFonts w:ascii="Book Antiqua" w:hAnsi="Book Antiqua"/>
          <w:b/>
        </w:rPr>
        <w:t>Composition/Structure of the Internet</w:t>
      </w:r>
    </w:p>
    <w:p w14:paraId="5C2F3011" w14:textId="77777777" w:rsidR="00523650" w:rsidRPr="00E3232D" w:rsidRDefault="00523650" w:rsidP="00F332F0">
      <w:pPr>
        <w:pStyle w:val="ListParagraph"/>
        <w:autoSpaceDE w:val="0"/>
        <w:autoSpaceDN w:val="0"/>
        <w:adjustRightInd w:val="0"/>
        <w:ind w:left="465"/>
        <w:jc w:val="both"/>
        <w:rPr>
          <w:rFonts w:ascii="Book Antiqua" w:hAnsi="Book Antiqua"/>
          <w:b/>
        </w:rPr>
      </w:pPr>
      <w:r w:rsidRPr="00E3232D">
        <w:rPr>
          <w:rFonts w:ascii="Book Antiqua" w:hAnsi="Book Antiqua"/>
          <w:b/>
        </w:rPr>
        <w:t>Marketing Mix</w:t>
      </w:r>
    </w:p>
    <w:p w14:paraId="1953E65A" w14:textId="77777777" w:rsidR="00F332F0" w:rsidRDefault="00523650" w:rsidP="00F332F0">
      <w:pPr>
        <w:jc w:val="both"/>
        <w:rPr>
          <w:rFonts w:ascii="Book Antiqua" w:hAnsi="Book Antiqua"/>
        </w:rPr>
      </w:pPr>
      <w:r w:rsidRPr="00E3232D">
        <w:rPr>
          <w:rFonts w:ascii="Book Antiqua" w:hAnsi="Book Antiqua"/>
        </w:rPr>
        <w:t xml:space="preserve">Table 2 shows the responses to the items in each of the five internet marketing dimensions. The responses were analysed in frequencies and percentages using the </w:t>
      </w:r>
      <w:r w:rsidRPr="00E3232D">
        <w:rPr>
          <w:rFonts w:ascii="Book Antiqua" w:hAnsi="Book Antiqua"/>
        </w:rPr>
        <w:lastRenderedPageBreak/>
        <w:t xml:space="preserve">multiple response tools of SPSS where the counted values are the “yes” responses to an item within each dimension. The frequencies and percentages are the number and percentages of hotels that answered “yes” to each of the items. Table 2 shows </w:t>
      </w:r>
      <w:r w:rsidRPr="00E3232D">
        <w:rPr>
          <w:rFonts w:ascii="Book Antiqua" w:hAnsi="Book Antiqua"/>
        </w:rPr>
        <w:t xml:space="preserve">that 100% of all the cases have written information about their facilities and 98.9% of the hotels have pictures of their facilities on their web sites whiles less than 24% of the hotels make use of the other items in the product dimensions. </w:t>
      </w:r>
    </w:p>
    <w:p w14:paraId="42B8CCEF" w14:textId="77777777" w:rsidR="00312FAA" w:rsidRPr="00E3232D" w:rsidRDefault="00312FAA" w:rsidP="00F332F0">
      <w:pPr>
        <w:jc w:val="both"/>
        <w:rPr>
          <w:rFonts w:ascii="Book Antiqua" w:hAnsi="Book Antiqua"/>
        </w:rPr>
        <w:sectPr w:rsidR="00312FAA" w:rsidRPr="00E3232D" w:rsidSect="008F6BC9">
          <w:type w:val="continuous"/>
          <w:pgSz w:w="11907" w:h="16839" w:code="9"/>
          <w:pgMar w:top="1440" w:right="1274" w:bottom="1276" w:left="1276" w:header="708" w:footer="708" w:gutter="0"/>
          <w:cols w:num="2" w:space="720"/>
          <w:docGrid w:linePitch="360"/>
        </w:sectPr>
      </w:pPr>
    </w:p>
    <w:p w14:paraId="469AB62E" w14:textId="77777777" w:rsidR="006C564E" w:rsidRDefault="006C564E" w:rsidP="008275E1">
      <w:pPr>
        <w:autoSpaceDE w:val="0"/>
        <w:autoSpaceDN w:val="0"/>
        <w:adjustRightInd w:val="0"/>
        <w:rPr>
          <w:rFonts w:ascii="Book Antiqua" w:hAnsi="Book Antiqua"/>
        </w:rPr>
      </w:pPr>
    </w:p>
    <w:p w14:paraId="384BD5E2" w14:textId="77777777" w:rsidR="001438F5" w:rsidRDefault="00523650" w:rsidP="003C5233">
      <w:pPr>
        <w:autoSpaceDE w:val="0"/>
        <w:autoSpaceDN w:val="0"/>
        <w:adjustRightInd w:val="0"/>
        <w:spacing w:after="0"/>
        <w:rPr>
          <w:rFonts w:ascii="Book Antiqua" w:hAnsi="Book Antiqua"/>
          <w:b/>
        </w:rPr>
      </w:pPr>
      <w:r w:rsidRPr="00E3232D">
        <w:rPr>
          <w:rFonts w:ascii="Book Antiqua" w:hAnsi="Book Antiqua"/>
          <w:b/>
        </w:rPr>
        <w:t>Table 2: The composition/Structure of hotels internet marketing mix</w:t>
      </w:r>
    </w:p>
    <w:p w14:paraId="50590A67" w14:textId="77777777" w:rsidR="001438F5" w:rsidRDefault="001438F5" w:rsidP="008275E1">
      <w:pPr>
        <w:autoSpaceDE w:val="0"/>
        <w:autoSpaceDN w:val="0"/>
        <w:adjustRightInd w:val="0"/>
        <w:rPr>
          <w:rFonts w:ascii="Book Antiqua" w:hAnsi="Book Antiqua"/>
          <w:b/>
        </w:rPr>
      </w:pPr>
    </w:p>
    <w:tbl>
      <w:tblPr>
        <w:tblpPr w:leftFromText="180" w:rightFromText="180" w:vertAnchor="text" w:horzAnchor="margin" w:tblpY="-28"/>
        <w:tblW w:w="6768" w:type="dxa"/>
        <w:tblBorders>
          <w:top w:val="single" w:sz="8" w:space="0" w:color="4F81BD"/>
          <w:bottom w:val="single" w:sz="8" w:space="0" w:color="4F81BD"/>
        </w:tblBorders>
        <w:tblLayout w:type="fixed"/>
        <w:tblLook w:val="04A0" w:firstRow="1" w:lastRow="0" w:firstColumn="1" w:lastColumn="0" w:noHBand="0" w:noVBand="1"/>
      </w:tblPr>
      <w:tblGrid>
        <w:gridCol w:w="2268"/>
        <w:gridCol w:w="1260"/>
        <w:gridCol w:w="1620"/>
        <w:gridCol w:w="1620"/>
      </w:tblGrid>
      <w:tr w:rsidR="001438F5" w:rsidRPr="00D12E59" w14:paraId="3AD783F2" w14:textId="77777777" w:rsidTr="00E86CED">
        <w:trPr>
          <w:gridAfter w:val="1"/>
          <w:wAfter w:w="1620" w:type="dxa"/>
        </w:trPr>
        <w:tc>
          <w:tcPr>
            <w:tcW w:w="2268" w:type="dxa"/>
            <w:tcBorders>
              <w:top w:val="single" w:sz="8" w:space="0" w:color="4F81BD"/>
              <w:left w:val="nil"/>
              <w:bottom w:val="single" w:sz="8" w:space="0" w:color="4F81BD"/>
              <w:right w:val="nil"/>
            </w:tcBorders>
            <w:shd w:val="clear" w:color="auto" w:fill="auto"/>
          </w:tcPr>
          <w:p w14:paraId="02F10051" w14:textId="77777777" w:rsidR="001438F5" w:rsidRPr="00D12E59" w:rsidRDefault="001438F5" w:rsidP="00F332F0">
            <w:pPr>
              <w:spacing w:after="0" w:line="240" w:lineRule="auto"/>
              <w:jc w:val="center"/>
              <w:rPr>
                <w:rFonts w:ascii="Book Antiqua" w:hAnsi="Book Antiqua"/>
                <w:b/>
                <w:bCs/>
                <w:color w:val="365F91"/>
              </w:rPr>
            </w:pPr>
            <w:r w:rsidRPr="00D12E59">
              <w:rPr>
                <w:rFonts w:ascii="Book Antiqua" w:hAnsi="Book Antiqua"/>
                <w:b/>
                <w:bCs/>
                <w:color w:val="365F91"/>
              </w:rPr>
              <w:t>Internet Marketing mix dimensions</w:t>
            </w:r>
          </w:p>
        </w:tc>
        <w:tc>
          <w:tcPr>
            <w:tcW w:w="1260" w:type="dxa"/>
            <w:tcBorders>
              <w:top w:val="single" w:sz="8" w:space="0" w:color="4F81BD"/>
              <w:left w:val="nil"/>
              <w:bottom w:val="single" w:sz="8" w:space="0" w:color="4F81BD"/>
              <w:right w:val="nil"/>
            </w:tcBorders>
            <w:shd w:val="clear" w:color="auto" w:fill="auto"/>
          </w:tcPr>
          <w:p w14:paraId="72A5D04E" w14:textId="77777777" w:rsidR="001438F5" w:rsidRPr="00D12E59" w:rsidRDefault="001438F5" w:rsidP="00F332F0">
            <w:pPr>
              <w:spacing w:after="0" w:line="240" w:lineRule="auto"/>
              <w:jc w:val="center"/>
              <w:rPr>
                <w:rFonts w:ascii="Book Antiqua" w:hAnsi="Book Antiqua"/>
                <w:b/>
                <w:bCs/>
                <w:color w:val="365F91"/>
              </w:rPr>
            </w:pPr>
            <w:r w:rsidRPr="00D12E59">
              <w:rPr>
                <w:rFonts w:ascii="Book Antiqua" w:hAnsi="Book Antiqua"/>
                <w:b/>
                <w:bCs/>
                <w:color w:val="365F91"/>
              </w:rPr>
              <w:t>Responses</w:t>
            </w:r>
          </w:p>
        </w:tc>
        <w:tc>
          <w:tcPr>
            <w:tcW w:w="1620" w:type="dxa"/>
            <w:tcBorders>
              <w:top w:val="single" w:sz="8" w:space="0" w:color="4F81BD"/>
              <w:left w:val="nil"/>
              <w:bottom w:val="single" w:sz="8" w:space="0" w:color="4F81BD"/>
              <w:right w:val="nil"/>
            </w:tcBorders>
            <w:shd w:val="clear" w:color="auto" w:fill="auto"/>
          </w:tcPr>
          <w:p w14:paraId="5E3538F9" w14:textId="77777777" w:rsidR="001438F5" w:rsidRPr="00D12E59" w:rsidRDefault="001438F5" w:rsidP="00F332F0">
            <w:pPr>
              <w:spacing w:after="0" w:line="240" w:lineRule="auto"/>
              <w:jc w:val="center"/>
              <w:rPr>
                <w:rFonts w:ascii="Book Antiqua" w:hAnsi="Book Antiqua"/>
                <w:b/>
                <w:bCs/>
                <w:color w:val="365F91"/>
              </w:rPr>
            </w:pPr>
            <w:r w:rsidRPr="00D12E59">
              <w:rPr>
                <w:rFonts w:ascii="Book Antiqua" w:hAnsi="Book Antiqua"/>
                <w:b/>
                <w:bCs/>
                <w:color w:val="365F91"/>
              </w:rPr>
              <w:t>Level of sophistication</w:t>
            </w:r>
          </w:p>
        </w:tc>
      </w:tr>
      <w:tr w:rsidR="00E86CED" w:rsidRPr="00D12E59" w14:paraId="1D478F33" w14:textId="77777777" w:rsidTr="00E86CED">
        <w:tc>
          <w:tcPr>
            <w:tcW w:w="2268" w:type="dxa"/>
            <w:tcBorders>
              <w:left w:val="nil"/>
              <w:right w:val="nil"/>
            </w:tcBorders>
            <w:shd w:val="clear" w:color="auto" w:fill="auto"/>
          </w:tcPr>
          <w:p w14:paraId="78EDAC6F" w14:textId="77777777" w:rsidR="001438F5" w:rsidRPr="00D12E59" w:rsidRDefault="001438F5" w:rsidP="00F332F0">
            <w:pPr>
              <w:spacing w:after="0" w:line="240" w:lineRule="auto"/>
              <w:jc w:val="center"/>
              <w:rPr>
                <w:rFonts w:ascii="Book Antiqua" w:hAnsi="Book Antiqua"/>
                <w:b/>
                <w:bCs/>
                <w:color w:val="365F91"/>
              </w:rPr>
            </w:pPr>
            <w:r w:rsidRPr="00D12E59">
              <w:rPr>
                <w:rFonts w:ascii="Book Antiqua" w:hAnsi="Book Antiqua"/>
                <w:b/>
                <w:bCs/>
                <w:color w:val="365F91"/>
              </w:rPr>
              <w:t>Transformation of Product</w:t>
            </w:r>
          </w:p>
        </w:tc>
        <w:tc>
          <w:tcPr>
            <w:tcW w:w="1260" w:type="dxa"/>
            <w:tcBorders>
              <w:left w:val="nil"/>
              <w:right w:val="nil"/>
            </w:tcBorders>
            <w:shd w:val="clear" w:color="auto" w:fill="auto"/>
          </w:tcPr>
          <w:p w14:paraId="50FD1024" w14:textId="77777777" w:rsidR="001438F5" w:rsidRPr="00D12E59" w:rsidRDefault="001438F5" w:rsidP="00F332F0">
            <w:pPr>
              <w:spacing w:after="0" w:line="240" w:lineRule="auto"/>
              <w:rPr>
                <w:rFonts w:ascii="Book Antiqua" w:hAnsi="Book Antiqua"/>
                <w:color w:val="365F91"/>
              </w:rPr>
            </w:pPr>
            <w:r w:rsidRPr="00D12E59">
              <w:rPr>
                <w:rFonts w:ascii="Book Antiqua" w:hAnsi="Book Antiqua"/>
                <w:color w:val="365F91"/>
              </w:rPr>
              <w:t xml:space="preserve">  N</w:t>
            </w:r>
          </w:p>
        </w:tc>
        <w:tc>
          <w:tcPr>
            <w:tcW w:w="1620" w:type="dxa"/>
            <w:tcBorders>
              <w:left w:val="nil"/>
              <w:right w:val="nil"/>
            </w:tcBorders>
            <w:shd w:val="clear" w:color="auto" w:fill="auto"/>
          </w:tcPr>
          <w:p w14:paraId="17610BA0" w14:textId="77777777" w:rsidR="001438F5" w:rsidRPr="00D12E59" w:rsidRDefault="001438F5" w:rsidP="00F332F0">
            <w:pPr>
              <w:spacing w:after="0" w:line="240" w:lineRule="auto"/>
              <w:rPr>
                <w:rFonts w:ascii="Book Antiqua" w:hAnsi="Book Antiqua"/>
                <w:color w:val="365F91"/>
              </w:rPr>
            </w:pPr>
            <w:r w:rsidRPr="00D12E59">
              <w:rPr>
                <w:rFonts w:ascii="Book Antiqua" w:hAnsi="Book Antiqua"/>
                <w:color w:val="365F91"/>
              </w:rPr>
              <w:t>%</w:t>
            </w:r>
          </w:p>
        </w:tc>
        <w:tc>
          <w:tcPr>
            <w:tcW w:w="1620" w:type="dxa"/>
            <w:tcBorders>
              <w:left w:val="nil"/>
              <w:right w:val="nil"/>
            </w:tcBorders>
            <w:shd w:val="clear" w:color="auto" w:fill="auto"/>
          </w:tcPr>
          <w:p w14:paraId="0107A4BD" w14:textId="77777777" w:rsidR="001438F5" w:rsidRPr="00D12E59" w:rsidRDefault="001438F5" w:rsidP="00F332F0">
            <w:pPr>
              <w:spacing w:after="0" w:line="240" w:lineRule="auto"/>
              <w:rPr>
                <w:rFonts w:ascii="Book Antiqua" w:hAnsi="Book Antiqua"/>
                <w:color w:val="365F91"/>
              </w:rPr>
            </w:pPr>
          </w:p>
        </w:tc>
      </w:tr>
      <w:tr w:rsidR="001438F5" w:rsidRPr="00D12E59" w14:paraId="5BBA3EE0" w14:textId="77777777" w:rsidTr="00E86CED">
        <w:tc>
          <w:tcPr>
            <w:tcW w:w="2268" w:type="dxa"/>
            <w:shd w:val="clear" w:color="auto" w:fill="auto"/>
          </w:tcPr>
          <w:p w14:paraId="5D4D5545" w14:textId="77777777" w:rsidR="001438F5" w:rsidRPr="00D12E59" w:rsidRDefault="001438F5" w:rsidP="00F332F0">
            <w:pPr>
              <w:spacing w:after="0" w:line="240" w:lineRule="auto"/>
              <w:rPr>
                <w:rFonts w:ascii="Book Antiqua" w:hAnsi="Book Antiqua"/>
                <w:b/>
                <w:bCs/>
                <w:color w:val="365F91"/>
              </w:rPr>
            </w:pPr>
            <w:r w:rsidRPr="00D12E59">
              <w:rPr>
                <w:rFonts w:ascii="Book Antiqua" w:hAnsi="Book Antiqua"/>
                <w:b/>
                <w:bCs/>
                <w:color w:val="365F91"/>
              </w:rPr>
              <w:t>Q1. Availability of written information on hotel website</w:t>
            </w:r>
          </w:p>
        </w:tc>
        <w:tc>
          <w:tcPr>
            <w:tcW w:w="1260" w:type="dxa"/>
            <w:shd w:val="clear" w:color="auto" w:fill="auto"/>
          </w:tcPr>
          <w:p w14:paraId="7ACD10D1" w14:textId="77777777" w:rsidR="001438F5" w:rsidRPr="00D12E59" w:rsidRDefault="001438F5" w:rsidP="00F332F0">
            <w:pPr>
              <w:spacing w:after="0" w:line="240" w:lineRule="auto"/>
              <w:rPr>
                <w:rFonts w:ascii="Book Antiqua" w:hAnsi="Book Antiqua"/>
                <w:color w:val="365F91"/>
              </w:rPr>
            </w:pPr>
            <w:r w:rsidRPr="00D12E59">
              <w:rPr>
                <w:rFonts w:ascii="Book Antiqua" w:hAnsi="Book Antiqua"/>
                <w:color w:val="365F91"/>
              </w:rPr>
              <w:t xml:space="preserve">    87</w:t>
            </w:r>
          </w:p>
        </w:tc>
        <w:tc>
          <w:tcPr>
            <w:tcW w:w="1620" w:type="dxa"/>
            <w:shd w:val="clear" w:color="auto" w:fill="auto"/>
          </w:tcPr>
          <w:p w14:paraId="280B14DE" w14:textId="77777777" w:rsidR="001438F5" w:rsidRPr="00D12E59" w:rsidRDefault="001438F5" w:rsidP="00F332F0">
            <w:pPr>
              <w:spacing w:after="0" w:line="240" w:lineRule="auto"/>
              <w:jc w:val="center"/>
              <w:rPr>
                <w:rFonts w:ascii="Book Antiqua" w:hAnsi="Book Antiqua"/>
                <w:color w:val="365F91"/>
              </w:rPr>
            </w:pPr>
            <w:r w:rsidRPr="00D12E59">
              <w:rPr>
                <w:rFonts w:ascii="Book Antiqua" w:hAnsi="Book Antiqua"/>
                <w:color w:val="365F91"/>
              </w:rPr>
              <w:t>100</w:t>
            </w:r>
          </w:p>
        </w:tc>
        <w:tc>
          <w:tcPr>
            <w:tcW w:w="1620" w:type="dxa"/>
            <w:shd w:val="clear" w:color="auto" w:fill="auto"/>
          </w:tcPr>
          <w:p w14:paraId="4C2C54B3" w14:textId="77777777" w:rsidR="001438F5" w:rsidRPr="00D12E59" w:rsidRDefault="001438F5" w:rsidP="00F332F0">
            <w:pPr>
              <w:spacing w:after="0" w:line="240" w:lineRule="auto"/>
              <w:rPr>
                <w:rFonts w:ascii="Book Antiqua" w:hAnsi="Book Antiqua"/>
                <w:color w:val="365F91"/>
              </w:rPr>
            </w:pPr>
            <w:r w:rsidRPr="00D12E59">
              <w:rPr>
                <w:rFonts w:ascii="Book Antiqua" w:hAnsi="Book Antiqua"/>
                <w:color w:val="365F91"/>
              </w:rPr>
              <w:t>Low Sophistication</w:t>
            </w:r>
          </w:p>
        </w:tc>
      </w:tr>
    </w:tbl>
    <w:p w14:paraId="130B0E24" w14:textId="77777777" w:rsidR="001438F5" w:rsidRDefault="001438F5" w:rsidP="00F332F0">
      <w:pPr>
        <w:autoSpaceDE w:val="0"/>
        <w:autoSpaceDN w:val="0"/>
        <w:adjustRightInd w:val="0"/>
        <w:spacing w:after="0"/>
        <w:rPr>
          <w:rFonts w:ascii="Book Antiqua" w:hAnsi="Book Antiqua"/>
          <w:b/>
        </w:rPr>
      </w:pPr>
    </w:p>
    <w:p w14:paraId="2A2A2ABC" w14:textId="77777777" w:rsidR="001438F5" w:rsidRDefault="001438F5" w:rsidP="008275E1">
      <w:pPr>
        <w:autoSpaceDE w:val="0"/>
        <w:autoSpaceDN w:val="0"/>
        <w:adjustRightInd w:val="0"/>
        <w:rPr>
          <w:rFonts w:ascii="Book Antiqua" w:hAnsi="Book Antiqua"/>
          <w:b/>
        </w:rPr>
      </w:pPr>
    </w:p>
    <w:p w14:paraId="2EB635DB" w14:textId="77777777" w:rsidR="001438F5" w:rsidRDefault="001438F5" w:rsidP="008275E1">
      <w:pPr>
        <w:autoSpaceDE w:val="0"/>
        <w:autoSpaceDN w:val="0"/>
        <w:adjustRightInd w:val="0"/>
        <w:rPr>
          <w:rFonts w:ascii="Book Antiqua" w:hAnsi="Book Antiqua"/>
          <w:b/>
        </w:rPr>
      </w:pPr>
    </w:p>
    <w:p w14:paraId="1F3CD7F2" w14:textId="77777777" w:rsidR="001438F5" w:rsidRDefault="001438F5" w:rsidP="008275E1">
      <w:pPr>
        <w:autoSpaceDE w:val="0"/>
        <w:autoSpaceDN w:val="0"/>
        <w:adjustRightInd w:val="0"/>
        <w:rPr>
          <w:rFonts w:ascii="Book Antiqua" w:hAnsi="Book Antiqua"/>
          <w:b/>
        </w:rPr>
      </w:pPr>
    </w:p>
    <w:p w14:paraId="7C351A07" w14:textId="77777777" w:rsidR="001438F5" w:rsidRDefault="001438F5" w:rsidP="008275E1">
      <w:pPr>
        <w:autoSpaceDE w:val="0"/>
        <w:autoSpaceDN w:val="0"/>
        <w:adjustRightInd w:val="0"/>
        <w:rPr>
          <w:rFonts w:ascii="Book Antiqua" w:hAnsi="Book Antiqua"/>
          <w:b/>
        </w:rPr>
      </w:pPr>
    </w:p>
    <w:p w14:paraId="1C348AD0" w14:textId="77777777" w:rsidR="001438F5" w:rsidRDefault="001438F5" w:rsidP="008275E1">
      <w:pPr>
        <w:autoSpaceDE w:val="0"/>
        <w:autoSpaceDN w:val="0"/>
        <w:adjustRightInd w:val="0"/>
        <w:rPr>
          <w:rFonts w:ascii="Book Antiqua" w:hAnsi="Book Antiqua"/>
          <w:b/>
        </w:rPr>
      </w:pPr>
    </w:p>
    <w:p w14:paraId="26BE023D" w14:textId="77777777" w:rsidR="001438F5" w:rsidRDefault="001438F5" w:rsidP="008275E1">
      <w:pPr>
        <w:autoSpaceDE w:val="0"/>
        <w:autoSpaceDN w:val="0"/>
        <w:adjustRightInd w:val="0"/>
        <w:rPr>
          <w:rFonts w:ascii="Book Antiqua" w:hAnsi="Book Antiqua"/>
          <w:b/>
        </w:rPr>
      </w:pPr>
    </w:p>
    <w:p w14:paraId="6268AC3C" w14:textId="77777777" w:rsidR="001438F5" w:rsidRDefault="001438F5" w:rsidP="008275E1">
      <w:pPr>
        <w:autoSpaceDE w:val="0"/>
        <w:autoSpaceDN w:val="0"/>
        <w:adjustRightInd w:val="0"/>
        <w:rPr>
          <w:rFonts w:ascii="Book Antiqua" w:hAnsi="Book Antiqua"/>
          <w:b/>
        </w:rPr>
      </w:pPr>
    </w:p>
    <w:p w14:paraId="64A45DF9" w14:textId="77777777" w:rsidR="001438F5" w:rsidRPr="00E3232D" w:rsidRDefault="001438F5" w:rsidP="008275E1">
      <w:pPr>
        <w:autoSpaceDE w:val="0"/>
        <w:autoSpaceDN w:val="0"/>
        <w:adjustRightInd w:val="0"/>
        <w:rPr>
          <w:rFonts w:ascii="Book Antiqua" w:hAnsi="Book Antiqua"/>
        </w:rPr>
        <w:sectPr w:rsidR="001438F5" w:rsidRPr="00E3232D" w:rsidSect="008F6BC9">
          <w:type w:val="continuous"/>
          <w:pgSz w:w="11907" w:h="16839" w:code="9"/>
          <w:pgMar w:top="1440" w:right="1274" w:bottom="1276" w:left="1276" w:header="708" w:footer="708" w:gutter="0"/>
          <w:cols w:num="2" w:space="720"/>
          <w:docGrid w:linePitch="360"/>
        </w:sectPr>
      </w:pPr>
    </w:p>
    <w:p w14:paraId="10B6140B" w14:textId="77777777" w:rsidR="001438F5" w:rsidRDefault="001438F5" w:rsidP="008275E1">
      <w:pPr>
        <w:rPr>
          <w:rFonts w:ascii="Book Antiqua" w:hAnsi="Book Antiqua"/>
        </w:rPr>
      </w:pPr>
    </w:p>
    <w:p w14:paraId="342BA3C4" w14:textId="77777777" w:rsidR="003C5233" w:rsidRDefault="003C5233" w:rsidP="008275E1">
      <w:pPr>
        <w:rPr>
          <w:rFonts w:ascii="Book Antiqua" w:hAnsi="Book Antiqua"/>
        </w:rPr>
      </w:pPr>
    </w:p>
    <w:p w14:paraId="093671C5" w14:textId="77777777" w:rsidR="001438F5" w:rsidRDefault="001438F5" w:rsidP="008275E1">
      <w:pPr>
        <w:rPr>
          <w:rFonts w:ascii="Book Antiqua" w:hAnsi="Book Antiqua"/>
        </w:rPr>
      </w:pPr>
    </w:p>
    <w:p w14:paraId="08B744B2" w14:textId="77777777" w:rsidR="001438F5" w:rsidRDefault="001438F5" w:rsidP="008275E1">
      <w:pPr>
        <w:rPr>
          <w:rFonts w:ascii="Book Antiqua" w:hAnsi="Book Antiqua"/>
        </w:rPr>
        <w:sectPr w:rsidR="001438F5" w:rsidSect="008F6BC9">
          <w:type w:val="continuous"/>
          <w:pgSz w:w="11907" w:h="16839" w:code="9"/>
          <w:pgMar w:top="1440" w:right="1274" w:bottom="1440" w:left="1276" w:header="708" w:footer="708" w:gutter="0"/>
          <w:cols w:num="2" w:space="720"/>
          <w:docGrid w:linePitch="360"/>
        </w:sectPr>
      </w:pPr>
    </w:p>
    <w:tbl>
      <w:tblPr>
        <w:tblpPr w:leftFromText="180" w:rightFromText="180" w:vertAnchor="text" w:tblpX="-54" w:tblpY="1"/>
        <w:tblW w:w="6858" w:type="dxa"/>
        <w:tblBorders>
          <w:top w:val="single" w:sz="8" w:space="0" w:color="4F81BD"/>
          <w:bottom w:val="single" w:sz="8" w:space="0" w:color="4F81BD"/>
        </w:tblBorders>
        <w:tblLayout w:type="fixed"/>
        <w:tblLook w:val="04A0" w:firstRow="1" w:lastRow="0" w:firstColumn="1" w:lastColumn="0" w:noHBand="0" w:noVBand="1"/>
      </w:tblPr>
      <w:tblGrid>
        <w:gridCol w:w="2268"/>
        <w:gridCol w:w="1350"/>
        <w:gridCol w:w="1620"/>
        <w:gridCol w:w="1620"/>
      </w:tblGrid>
      <w:tr w:rsidR="00E86CED" w:rsidRPr="00D12E59" w14:paraId="57B5F2B9" w14:textId="77777777" w:rsidTr="00E86CED">
        <w:tc>
          <w:tcPr>
            <w:tcW w:w="2196" w:type="dxa"/>
            <w:tcBorders>
              <w:top w:val="single" w:sz="8" w:space="0" w:color="4F81BD"/>
              <w:left w:val="nil"/>
              <w:bottom w:val="single" w:sz="8" w:space="0" w:color="4F81BD"/>
              <w:right w:val="nil"/>
            </w:tcBorders>
            <w:shd w:val="clear" w:color="auto" w:fill="auto"/>
          </w:tcPr>
          <w:p w14:paraId="79D327FE"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Q2. Availability of videos on hotel website</w:t>
            </w:r>
          </w:p>
          <w:p w14:paraId="34B2387B"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Q3. Availability of pictures on hotel website</w:t>
            </w:r>
          </w:p>
          <w:p w14:paraId="342D8E3E"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Q4. Availability of audio on hotel website</w:t>
            </w:r>
          </w:p>
          <w:p w14:paraId="52B6A5E8"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Q5. the customization of  product information on hotel</w:t>
            </w:r>
          </w:p>
          <w:p w14:paraId="440796C3"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website</w:t>
            </w:r>
          </w:p>
          <w:p w14:paraId="722F9CBD"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Q6. opportunity to participate in hotel </w:t>
            </w:r>
            <w:r w:rsidRPr="00D12E59">
              <w:rPr>
                <w:rFonts w:ascii="Book Antiqua" w:hAnsi="Book Antiqua"/>
                <w:b/>
                <w:bCs/>
                <w:color w:val="365F91"/>
              </w:rPr>
              <w:lastRenderedPageBreak/>
              <w:t>room design online</w:t>
            </w:r>
          </w:p>
          <w:p w14:paraId="279D0010"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Q7. opportunity to suggest services on offer by the hotel</w:t>
            </w:r>
          </w:p>
          <w:p w14:paraId="4D1833F6"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w:t>
            </w:r>
            <w:r w:rsidR="000D4BF1" w:rsidRPr="00D12E59">
              <w:rPr>
                <w:rFonts w:ascii="Book Antiqua" w:hAnsi="Book Antiqua"/>
                <w:b/>
                <w:bCs/>
                <w:color w:val="365F91"/>
              </w:rPr>
              <w:t>O</w:t>
            </w:r>
            <w:r w:rsidRPr="00D12E59">
              <w:rPr>
                <w:rFonts w:ascii="Book Antiqua" w:hAnsi="Book Antiqua"/>
                <w:b/>
                <w:bCs/>
                <w:color w:val="365F91"/>
              </w:rPr>
              <w:t>nline</w:t>
            </w:r>
          </w:p>
        </w:tc>
        <w:tc>
          <w:tcPr>
            <w:tcW w:w="1350" w:type="dxa"/>
            <w:tcBorders>
              <w:top w:val="single" w:sz="8" w:space="0" w:color="4F81BD"/>
              <w:left w:val="nil"/>
              <w:bottom w:val="single" w:sz="8" w:space="0" w:color="4F81BD"/>
              <w:right w:val="nil"/>
            </w:tcBorders>
            <w:shd w:val="clear" w:color="auto" w:fill="auto"/>
          </w:tcPr>
          <w:p w14:paraId="348E4F84"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lastRenderedPageBreak/>
              <w:t xml:space="preserve">    13</w:t>
            </w:r>
          </w:p>
          <w:p w14:paraId="528D4B0D"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86</w:t>
            </w:r>
          </w:p>
          <w:p w14:paraId="1185123C"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7</w:t>
            </w:r>
          </w:p>
          <w:p w14:paraId="3919397A"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w:t>
            </w:r>
          </w:p>
          <w:p w14:paraId="17BEC135"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17</w:t>
            </w:r>
          </w:p>
          <w:p w14:paraId="0C06D776"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7</w:t>
            </w:r>
          </w:p>
          <w:p w14:paraId="7D848F19"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w:t>
            </w:r>
          </w:p>
          <w:p w14:paraId="6172ABFD"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20</w:t>
            </w:r>
          </w:p>
        </w:tc>
        <w:tc>
          <w:tcPr>
            <w:tcW w:w="1620" w:type="dxa"/>
            <w:tcBorders>
              <w:top w:val="single" w:sz="8" w:space="0" w:color="4F81BD"/>
              <w:left w:val="nil"/>
              <w:bottom w:val="single" w:sz="8" w:space="0" w:color="4F81BD"/>
              <w:right w:val="nil"/>
            </w:tcBorders>
            <w:shd w:val="clear" w:color="auto" w:fill="auto"/>
          </w:tcPr>
          <w:p w14:paraId="073CF722"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14.9</w:t>
            </w:r>
          </w:p>
          <w:p w14:paraId="48E18E3F"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98.9</w:t>
            </w:r>
          </w:p>
          <w:p w14:paraId="101AD7E3"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8</w:t>
            </w:r>
          </w:p>
          <w:p w14:paraId="70D8E080" w14:textId="77777777" w:rsidR="00523650" w:rsidRPr="00D12E59" w:rsidRDefault="00523650" w:rsidP="00F332F0">
            <w:pPr>
              <w:spacing w:line="240" w:lineRule="auto"/>
              <w:jc w:val="center"/>
              <w:rPr>
                <w:rFonts w:ascii="Book Antiqua" w:hAnsi="Book Antiqua"/>
                <w:b/>
                <w:bCs/>
                <w:color w:val="365F91"/>
              </w:rPr>
            </w:pPr>
          </w:p>
          <w:p w14:paraId="4B2981D0"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19.5</w:t>
            </w:r>
          </w:p>
          <w:p w14:paraId="1265F762"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8</w:t>
            </w:r>
          </w:p>
          <w:p w14:paraId="6CD036E0" w14:textId="77777777" w:rsidR="00523650" w:rsidRPr="00D12E59" w:rsidRDefault="00523650" w:rsidP="00F332F0">
            <w:pPr>
              <w:spacing w:line="240" w:lineRule="auto"/>
              <w:jc w:val="center"/>
              <w:rPr>
                <w:rFonts w:ascii="Book Antiqua" w:hAnsi="Book Antiqua"/>
                <w:b/>
                <w:bCs/>
                <w:color w:val="365F91"/>
              </w:rPr>
            </w:pPr>
          </w:p>
          <w:p w14:paraId="0AD62C22"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23</w:t>
            </w:r>
          </w:p>
        </w:tc>
        <w:tc>
          <w:tcPr>
            <w:tcW w:w="1620" w:type="dxa"/>
            <w:tcBorders>
              <w:top w:val="single" w:sz="8" w:space="0" w:color="4F81BD"/>
              <w:left w:val="nil"/>
              <w:bottom w:val="single" w:sz="8" w:space="0" w:color="4F81BD"/>
              <w:right w:val="nil"/>
            </w:tcBorders>
            <w:shd w:val="clear" w:color="auto" w:fill="auto"/>
          </w:tcPr>
          <w:p w14:paraId="5567D876" w14:textId="77777777" w:rsidR="00523650" w:rsidRPr="00D12E59" w:rsidRDefault="00523650" w:rsidP="00F332F0">
            <w:pPr>
              <w:spacing w:line="240" w:lineRule="auto"/>
              <w:jc w:val="center"/>
              <w:rPr>
                <w:rFonts w:ascii="Book Antiqua" w:hAnsi="Book Antiqua"/>
                <w:b/>
                <w:bCs/>
                <w:color w:val="365F91"/>
              </w:rPr>
            </w:pPr>
          </w:p>
          <w:p w14:paraId="0BE804FB" w14:textId="77777777" w:rsidR="00523650" w:rsidRPr="00D12E59" w:rsidRDefault="00523650" w:rsidP="00F332F0">
            <w:pPr>
              <w:spacing w:line="240" w:lineRule="auto"/>
              <w:jc w:val="center"/>
              <w:rPr>
                <w:rFonts w:ascii="Book Antiqua" w:hAnsi="Book Antiqua"/>
                <w:b/>
                <w:bCs/>
                <w:color w:val="365F91"/>
              </w:rPr>
            </w:pPr>
          </w:p>
          <w:p w14:paraId="5F13CA0D" w14:textId="77777777" w:rsidR="00523650" w:rsidRPr="00D12E59" w:rsidRDefault="00523650" w:rsidP="00F332F0">
            <w:pPr>
              <w:spacing w:line="240" w:lineRule="auto"/>
              <w:jc w:val="center"/>
              <w:rPr>
                <w:rFonts w:ascii="Book Antiqua" w:hAnsi="Book Antiqua"/>
                <w:b/>
                <w:bCs/>
                <w:color w:val="365F91"/>
              </w:rPr>
            </w:pPr>
          </w:p>
          <w:p w14:paraId="153B4FC2" w14:textId="77777777" w:rsidR="00523650" w:rsidRPr="00D12E59" w:rsidRDefault="00523650" w:rsidP="00F332F0">
            <w:pPr>
              <w:spacing w:line="240" w:lineRule="auto"/>
              <w:jc w:val="center"/>
              <w:rPr>
                <w:rFonts w:ascii="Book Antiqua" w:hAnsi="Book Antiqua"/>
                <w:b/>
                <w:bCs/>
                <w:color w:val="365F91"/>
              </w:rPr>
            </w:pPr>
          </w:p>
          <w:p w14:paraId="1F6F82B2" w14:textId="77777777" w:rsidR="00523650" w:rsidRPr="00D12E59" w:rsidRDefault="00523650" w:rsidP="00F332F0">
            <w:pPr>
              <w:spacing w:line="240" w:lineRule="auto"/>
              <w:rPr>
                <w:rFonts w:ascii="Book Antiqua" w:hAnsi="Book Antiqua"/>
                <w:b/>
                <w:bCs/>
                <w:color w:val="365F91"/>
              </w:rPr>
            </w:pPr>
          </w:p>
          <w:p w14:paraId="13F5A981"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High Sophistication</w:t>
            </w:r>
          </w:p>
          <w:p w14:paraId="52746E3D" w14:textId="77777777" w:rsidR="00523650" w:rsidRPr="00D12E59" w:rsidRDefault="00523650" w:rsidP="00F332F0">
            <w:pPr>
              <w:spacing w:line="240" w:lineRule="auto"/>
              <w:jc w:val="center"/>
              <w:rPr>
                <w:rFonts w:ascii="Book Antiqua" w:hAnsi="Book Antiqua"/>
                <w:b/>
                <w:bCs/>
                <w:color w:val="365F91"/>
              </w:rPr>
            </w:pPr>
          </w:p>
        </w:tc>
      </w:tr>
      <w:tr w:rsidR="00E86CED" w:rsidRPr="00D12E59" w14:paraId="39346799" w14:textId="77777777" w:rsidTr="00E86CED">
        <w:tc>
          <w:tcPr>
            <w:tcW w:w="2250" w:type="dxa"/>
            <w:tcBorders>
              <w:left w:val="nil"/>
              <w:right w:val="nil"/>
            </w:tcBorders>
            <w:shd w:val="clear" w:color="auto" w:fill="auto"/>
          </w:tcPr>
          <w:p w14:paraId="7A2D97DE"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Transformation of price</w:t>
            </w:r>
          </w:p>
        </w:tc>
        <w:tc>
          <w:tcPr>
            <w:tcW w:w="1350" w:type="dxa"/>
            <w:tcBorders>
              <w:left w:val="nil"/>
              <w:right w:val="nil"/>
            </w:tcBorders>
            <w:shd w:val="clear" w:color="auto" w:fill="auto"/>
          </w:tcPr>
          <w:p w14:paraId="422818BC"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N</w:t>
            </w:r>
          </w:p>
        </w:tc>
        <w:tc>
          <w:tcPr>
            <w:tcW w:w="1620" w:type="dxa"/>
            <w:tcBorders>
              <w:left w:val="nil"/>
              <w:right w:val="nil"/>
            </w:tcBorders>
            <w:shd w:val="clear" w:color="auto" w:fill="auto"/>
          </w:tcPr>
          <w:p w14:paraId="1749AC28"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w:t>
            </w:r>
          </w:p>
        </w:tc>
        <w:tc>
          <w:tcPr>
            <w:tcW w:w="1620" w:type="dxa"/>
            <w:tcBorders>
              <w:left w:val="nil"/>
              <w:right w:val="nil"/>
            </w:tcBorders>
            <w:shd w:val="clear" w:color="auto" w:fill="auto"/>
          </w:tcPr>
          <w:p w14:paraId="005E356E" w14:textId="77777777" w:rsidR="00523650" w:rsidRPr="00D12E59" w:rsidRDefault="00523650" w:rsidP="00F332F0">
            <w:pPr>
              <w:spacing w:line="240" w:lineRule="auto"/>
              <w:rPr>
                <w:rFonts w:ascii="Book Antiqua" w:hAnsi="Book Antiqua"/>
                <w:color w:val="365F91"/>
              </w:rPr>
            </w:pPr>
          </w:p>
        </w:tc>
      </w:tr>
      <w:tr w:rsidR="00523650" w:rsidRPr="00D12E59" w14:paraId="4BB39CAA" w14:textId="77777777" w:rsidTr="00E86CED">
        <w:tc>
          <w:tcPr>
            <w:tcW w:w="2268" w:type="dxa"/>
            <w:shd w:val="clear" w:color="auto" w:fill="auto"/>
          </w:tcPr>
          <w:p w14:paraId="2A77199F"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Q8.  Availability of price information on hotel website</w:t>
            </w:r>
          </w:p>
        </w:tc>
        <w:tc>
          <w:tcPr>
            <w:tcW w:w="1350" w:type="dxa"/>
            <w:shd w:val="clear" w:color="auto" w:fill="auto"/>
          </w:tcPr>
          <w:p w14:paraId="361EC41A"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56</w:t>
            </w:r>
          </w:p>
        </w:tc>
        <w:tc>
          <w:tcPr>
            <w:tcW w:w="1620" w:type="dxa"/>
            <w:shd w:val="clear" w:color="auto" w:fill="auto"/>
          </w:tcPr>
          <w:p w14:paraId="5555DD08"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64.4</w:t>
            </w:r>
          </w:p>
        </w:tc>
        <w:tc>
          <w:tcPr>
            <w:tcW w:w="1620" w:type="dxa"/>
            <w:shd w:val="clear" w:color="auto" w:fill="auto"/>
          </w:tcPr>
          <w:p w14:paraId="5A0D4F9A"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Low sophistication</w:t>
            </w:r>
          </w:p>
        </w:tc>
      </w:tr>
      <w:tr w:rsidR="00E86CED" w:rsidRPr="00D12E59" w14:paraId="7A41EFE1" w14:textId="77777777" w:rsidTr="00E86CED">
        <w:tc>
          <w:tcPr>
            <w:tcW w:w="2268" w:type="dxa"/>
            <w:tcBorders>
              <w:left w:val="nil"/>
              <w:right w:val="nil"/>
            </w:tcBorders>
            <w:shd w:val="clear" w:color="auto" w:fill="auto"/>
          </w:tcPr>
          <w:p w14:paraId="448DF7CE"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Q9.   Dynamic customization of  prices based on personal</w:t>
            </w:r>
          </w:p>
          <w:p w14:paraId="15686FB5"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information</w:t>
            </w:r>
          </w:p>
          <w:p w14:paraId="62922C5F"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Q10. Dynam8ic customization of prices based on demand</w:t>
            </w:r>
          </w:p>
          <w:p w14:paraId="1CBD2C81"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patterns</w:t>
            </w:r>
          </w:p>
          <w:p w14:paraId="20610B3C"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Q11. Provision of price negotiation for prospective</w:t>
            </w:r>
          </w:p>
          <w:p w14:paraId="45F8C361"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clients</w:t>
            </w:r>
          </w:p>
          <w:p w14:paraId="736C3E1F"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Q12. Partnering with other websites to provide price</w:t>
            </w:r>
          </w:p>
          <w:p w14:paraId="1A981BF5"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negotiation</w:t>
            </w:r>
          </w:p>
        </w:tc>
        <w:tc>
          <w:tcPr>
            <w:tcW w:w="1350" w:type="dxa"/>
            <w:tcBorders>
              <w:left w:val="nil"/>
              <w:right w:val="nil"/>
            </w:tcBorders>
            <w:shd w:val="clear" w:color="auto" w:fill="auto"/>
          </w:tcPr>
          <w:p w14:paraId="587540AC"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10</w:t>
            </w:r>
          </w:p>
          <w:p w14:paraId="253EE8F1" w14:textId="77777777" w:rsidR="00523650" w:rsidRPr="00D12E59" w:rsidRDefault="00523650" w:rsidP="00F332F0">
            <w:pPr>
              <w:spacing w:line="240" w:lineRule="auto"/>
              <w:rPr>
                <w:rFonts w:ascii="Book Antiqua" w:hAnsi="Book Antiqua"/>
                <w:color w:val="365F91"/>
              </w:rPr>
            </w:pPr>
          </w:p>
          <w:p w14:paraId="797B32F3"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12</w:t>
            </w:r>
          </w:p>
          <w:p w14:paraId="065E8679" w14:textId="77777777" w:rsidR="00523650" w:rsidRPr="00D12E59" w:rsidRDefault="00523650" w:rsidP="00F332F0">
            <w:pPr>
              <w:spacing w:line="240" w:lineRule="auto"/>
              <w:rPr>
                <w:rFonts w:ascii="Book Antiqua" w:hAnsi="Book Antiqua"/>
                <w:color w:val="365F91"/>
              </w:rPr>
            </w:pPr>
          </w:p>
          <w:p w14:paraId="73597C89"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3</w:t>
            </w:r>
          </w:p>
          <w:p w14:paraId="4B0B96E5" w14:textId="77777777" w:rsidR="00523650" w:rsidRPr="00D12E59" w:rsidRDefault="00523650" w:rsidP="00F332F0">
            <w:pPr>
              <w:spacing w:line="240" w:lineRule="auto"/>
              <w:rPr>
                <w:rFonts w:ascii="Book Antiqua" w:hAnsi="Book Antiqua"/>
                <w:color w:val="365F91"/>
              </w:rPr>
            </w:pPr>
          </w:p>
          <w:p w14:paraId="16A8A43D"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7</w:t>
            </w:r>
          </w:p>
        </w:tc>
        <w:tc>
          <w:tcPr>
            <w:tcW w:w="1620" w:type="dxa"/>
            <w:tcBorders>
              <w:left w:val="nil"/>
              <w:right w:val="nil"/>
            </w:tcBorders>
            <w:shd w:val="clear" w:color="auto" w:fill="auto"/>
          </w:tcPr>
          <w:p w14:paraId="5EB171DA"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11.5</w:t>
            </w:r>
          </w:p>
          <w:p w14:paraId="5869B327" w14:textId="77777777" w:rsidR="00523650" w:rsidRPr="00D12E59" w:rsidRDefault="00523650" w:rsidP="00F332F0">
            <w:pPr>
              <w:spacing w:line="240" w:lineRule="auto"/>
              <w:rPr>
                <w:rFonts w:ascii="Book Antiqua" w:hAnsi="Book Antiqua"/>
                <w:color w:val="365F91"/>
              </w:rPr>
            </w:pPr>
          </w:p>
          <w:p w14:paraId="6A0ABBC7"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13.8</w:t>
            </w:r>
          </w:p>
          <w:p w14:paraId="38D2AE9D" w14:textId="77777777" w:rsidR="00523650" w:rsidRPr="00D12E59" w:rsidRDefault="00523650" w:rsidP="00F332F0">
            <w:pPr>
              <w:spacing w:line="240" w:lineRule="auto"/>
              <w:rPr>
                <w:rFonts w:ascii="Book Antiqua" w:hAnsi="Book Antiqua"/>
                <w:color w:val="365F91"/>
              </w:rPr>
            </w:pPr>
          </w:p>
          <w:p w14:paraId="05819767"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3.4</w:t>
            </w:r>
          </w:p>
          <w:p w14:paraId="579A0024" w14:textId="77777777" w:rsidR="00523650" w:rsidRPr="00D12E59" w:rsidRDefault="00523650" w:rsidP="00F332F0">
            <w:pPr>
              <w:spacing w:line="240" w:lineRule="auto"/>
              <w:rPr>
                <w:rFonts w:ascii="Book Antiqua" w:hAnsi="Book Antiqua"/>
                <w:color w:val="365F91"/>
              </w:rPr>
            </w:pPr>
          </w:p>
          <w:p w14:paraId="4A0447FC"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8</w:t>
            </w:r>
          </w:p>
        </w:tc>
        <w:tc>
          <w:tcPr>
            <w:tcW w:w="1620" w:type="dxa"/>
            <w:tcBorders>
              <w:left w:val="nil"/>
              <w:right w:val="nil"/>
            </w:tcBorders>
            <w:shd w:val="clear" w:color="auto" w:fill="auto"/>
          </w:tcPr>
          <w:p w14:paraId="214A5F66" w14:textId="77777777" w:rsidR="00523650" w:rsidRPr="00D12E59" w:rsidRDefault="00523650" w:rsidP="00F332F0">
            <w:pPr>
              <w:spacing w:line="240" w:lineRule="auto"/>
              <w:rPr>
                <w:rFonts w:ascii="Book Antiqua" w:hAnsi="Book Antiqua"/>
                <w:color w:val="365F91"/>
              </w:rPr>
            </w:pPr>
          </w:p>
          <w:p w14:paraId="3D3A7F28" w14:textId="77777777" w:rsidR="00523650" w:rsidRPr="00D12E59" w:rsidRDefault="00523650" w:rsidP="00F332F0">
            <w:pPr>
              <w:spacing w:line="240" w:lineRule="auto"/>
              <w:rPr>
                <w:rFonts w:ascii="Book Antiqua" w:hAnsi="Book Antiqua"/>
                <w:color w:val="365F91"/>
              </w:rPr>
            </w:pPr>
          </w:p>
          <w:p w14:paraId="082CF6BA"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w:t>
            </w:r>
          </w:p>
          <w:p w14:paraId="40020534" w14:textId="77777777" w:rsidR="00523650" w:rsidRPr="00D12E59" w:rsidRDefault="00523650" w:rsidP="00F332F0">
            <w:pPr>
              <w:spacing w:line="240" w:lineRule="auto"/>
              <w:rPr>
                <w:rFonts w:ascii="Book Antiqua" w:hAnsi="Book Antiqua"/>
                <w:color w:val="365F91"/>
              </w:rPr>
            </w:pPr>
          </w:p>
          <w:p w14:paraId="288E683F"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High Sophistication</w:t>
            </w:r>
          </w:p>
        </w:tc>
      </w:tr>
      <w:tr w:rsidR="00523650" w:rsidRPr="00D12E59" w14:paraId="0840ABEA" w14:textId="77777777" w:rsidTr="00E86CED">
        <w:tc>
          <w:tcPr>
            <w:tcW w:w="2268" w:type="dxa"/>
            <w:shd w:val="clear" w:color="auto" w:fill="auto"/>
          </w:tcPr>
          <w:p w14:paraId="4E9C9761"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Transformation of place</w:t>
            </w:r>
          </w:p>
        </w:tc>
        <w:tc>
          <w:tcPr>
            <w:tcW w:w="1350" w:type="dxa"/>
            <w:shd w:val="clear" w:color="auto" w:fill="auto"/>
          </w:tcPr>
          <w:p w14:paraId="68683BD4"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N</w:t>
            </w:r>
          </w:p>
        </w:tc>
        <w:tc>
          <w:tcPr>
            <w:tcW w:w="1620" w:type="dxa"/>
            <w:shd w:val="clear" w:color="auto" w:fill="auto"/>
          </w:tcPr>
          <w:p w14:paraId="01CC1AD2"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w:t>
            </w:r>
          </w:p>
        </w:tc>
        <w:tc>
          <w:tcPr>
            <w:tcW w:w="1620" w:type="dxa"/>
            <w:shd w:val="clear" w:color="auto" w:fill="auto"/>
          </w:tcPr>
          <w:p w14:paraId="0E2DA5DC" w14:textId="77777777" w:rsidR="00523650" w:rsidRPr="00D12E59" w:rsidRDefault="00523650" w:rsidP="00F332F0">
            <w:pPr>
              <w:spacing w:line="240" w:lineRule="auto"/>
              <w:rPr>
                <w:rFonts w:ascii="Book Antiqua" w:hAnsi="Book Antiqua"/>
                <w:color w:val="365F91"/>
              </w:rPr>
            </w:pPr>
          </w:p>
        </w:tc>
      </w:tr>
      <w:tr w:rsidR="00E86CED" w:rsidRPr="00D12E59" w14:paraId="1303601E" w14:textId="77777777" w:rsidTr="00E86CED">
        <w:tc>
          <w:tcPr>
            <w:tcW w:w="2268" w:type="dxa"/>
            <w:tcBorders>
              <w:left w:val="nil"/>
              <w:right w:val="nil"/>
            </w:tcBorders>
            <w:shd w:val="clear" w:color="auto" w:fill="auto"/>
          </w:tcPr>
          <w:p w14:paraId="340FE2F6"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Q13  The availability of email request for booking</w:t>
            </w:r>
          </w:p>
          <w:p w14:paraId="6082BE9F"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Q14  The promotion of the Web site on the Internet</w:t>
            </w:r>
          </w:p>
        </w:tc>
        <w:tc>
          <w:tcPr>
            <w:tcW w:w="1350" w:type="dxa"/>
            <w:tcBorders>
              <w:left w:val="nil"/>
              <w:right w:val="nil"/>
            </w:tcBorders>
            <w:shd w:val="clear" w:color="auto" w:fill="auto"/>
          </w:tcPr>
          <w:p w14:paraId="12D7D000"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87</w:t>
            </w:r>
          </w:p>
          <w:p w14:paraId="7C535B99"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50</w:t>
            </w:r>
          </w:p>
        </w:tc>
        <w:tc>
          <w:tcPr>
            <w:tcW w:w="1620" w:type="dxa"/>
            <w:tcBorders>
              <w:left w:val="nil"/>
              <w:right w:val="nil"/>
            </w:tcBorders>
            <w:shd w:val="clear" w:color="auto" w:fill="auto"/>
          </w:tcPr>
          <w:p w14:paraId="24EE075A"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100</w:t>
            </w:r>
          </w:p>
          <w:p w14:paraId="5A9CCA75"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57.5</w:t>
            </w:r>
          </w:p>
        </w:tc>
        <w:tc>
          <w:tcPr>
            <w:tcW w:w="1620" w:type="dxa"/>
            <w:tcBorders>
              <w:left w:val="nil"/>
              <w:right w:val="nil"/>
            </w:tcBorders>
            <w:shd w:val="clear" w:color="auto" w:fill="auto"/>
          </w:tcPr>
          <w:p w14:paraId="4C0FBE46"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Low sophistication</w:t>
            </w:r>
          </w:p>
        </w:tc>
      </w:tr>
      <w:tr w:rsidR="00523650" w:rsidRPr="00D12E59" w14:paraId="22EE116B" w14:textId="77777777" w:rsidTr="00E86CED">
        <w:tc>
          <w:tcPr>
            <w:tcW w:w="2268" w:type="dxa"/>
            <w:shd w:val="clear" w:color="auto" w:fill="auto"/>
          </w:tcPr>
          <w:p w14:paraId="038B2CD4"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lastRenderedPageBreak/>
              <w:t>Q15  The availability of online booking</w:t>
            </w:r>
          </w:p>
          <w:p w14:paraId="0D4370E6"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Q16  The availability secure online payment</w:t>
            </w:r>
          </w:p>
        </w:tc>
        <w:tc>
          <w:tcPr>
            <w:tcW w:w="1350" w:type="dxa"/>
            <w:shd w:val="clear" w:color="auto" w:fill="auto"/>
          </w:tcPr>
          <w:p w14:paraId="6F4EDDA6"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63</w:t>
            </w:r>
          </w:p>
          <w:p w14:paraId="3F9A2F0D"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8</w:t>
            </w:r>
          </w:p>
        </w:tc>
        <w:tc>
          <w:tcPr>
            <w:tcW w:w="1620" w:type="dxa"/>
            <w:shd w:val="clear" w:color="auto" w:fill="auto"/>
          </w:tcPr>
          <w:p w14:paraId="190BE868"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72.4</w:t>
            </w:r>
          </w:p>
          <w:p w14:paraId="78DF99B9"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9.2</w:t>
            </w:r>
          </w:p>
        </w:tc>
        <w:tc>
          <w:tcPr>
            <w:tcW w:w="1620" w:type="dxa"/>
            <w:shd w:val="clear" w:color="auto" w:fill="auto"/>
          </w:tcPr>
          <w:p w14:paraId="35193409"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High Sophistication</w:t>
            </w:r>
          </w:p>
        </w:tc>
      </w:tr>
      <w:tr w:rsidR="00E86CED" w:rsidRPr="00D12E59" w14:paraId="5F6C0D09" w14:textId="77777777" w:rsidTr="00E86CED">
        <w:tc>
          <w:tcPr>
            <w:tcW w:w="2268" w:type="dxa"/>
            <w:tcBorders>
              <w:left w:val="nil"/>
              <w:right w:val="nil"/>
            </w:tcBorders>
            <w:shd w:val="clear" w:color="auto" w:fill="auto"/>
          </w:tcPr>
          <w:p w14:paraId="221EE8AD"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Transformation of Promotion</w:t>
            </w:r>
          </w:p>
        </w:tc>
        <w:tc>
          <w:tcPr>
            <w:tcW w:w="1350" w:type="dxa"/>
            <w:tcBorders>
              <w:left w:val="nil"/>
              <w:right w:val="nil"/>
            </w:tcBorders>
            <w:shd w:val="clear" w:color="auto" w:fill="auto"/>
          </w:tcPr>
          <w:p w14:paraId="16D0EE2C"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N</w:t>
            </w:r>
          </w:p>
        </w:tc>
        <w:tc>
          <w:tcPr>
            <w:tcW w:w="1620" w:type="dxa"/>
            <w:tcBorders>
              <w:left w:val="nil"/>
              <w:right w:val="nil"/>
            </w:tcBorders>
            <w:shd w:val="clear" w:color="auto" w:fill="auto"/>
          </w:tcPr>
          <w:p w14:paraId="684DBFBC"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w:t>
            </w:r>
          </w:p>
        </w:tc>
        <w:tc>
          <w:tcPr>
            <w:tcW w:w="1620" w:type="dxa"/>
            <w:tcBorders>
              <w:left w:val="nil"/>
              <w:right w:val="nil"/>
            </w:tcBorders>
            <w:shd w:val="clear" w:color="auto" w:fill="auto"/>
          </w:tcPr>
          <w:p w14:paraId="09C18084" w14:textId="77777777" w:rsidR="00523650" w:rsidRPr="00D12E59" w:rsidRDefault="00523650" w:rsidP="00F332F0">
            <w:pPr>
              <w:spacing w:line="240" w:lineRule="auto"/>
              <w:rPr>
                <w:rFonts w:ascii="Book Antiqua" w:hAnsi="Book Antiqua"/>
                <w:color w:val="365F91"/>
              </w:rPr>
            </w:pPr>
          </w:p>
        </w:tc>
      </w:tr>
      <w:tr w:rsidR="00523650" w:rsidRPr="00D12E59" w14:paraId="3108F023" w14:textId="77777777" w:rsidTr="00E86CED">
        <w:tc>
          <w:tcPr>
            <w:tcW w:w="2268" w:type="dxa"/>
            <w:shd w:val="clear" w:color="auto" w:fill="auto"/>
          </w:tcPr>
          <w:p w14:paraId="4F3CFE3E"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Q17  The use of online advertising</w:t>
            </w:r>
          </w:p>
          <w:p w14:paraId="71F2608B"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Q18. The use of online promotions such as sales and</w:t>
            </w:r>
          </w:p>
          <w:p w14:paraId="7A6EB465"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discounts</w:t>
            </w:r>
          </w:p>
        </w:tc>
        <w:tc>
          <w:tcPr>
            <w:tcW w:w="1350" w:type="dxa"/>
            <w:shd w:val="clear" w:color="auto" w:fill="auto"/>
          </w:tcPr>
          <w:p w14:paraId="040B894C"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52</w:t>
            </w:r>
          </w:p>
          <w:p w14:paraId="499ECCCD" w14:textId="77777777" w:rsidR="00523650" w:rsidRPr="00D12E59" w:rsidRDefault="00523650" w:rsidP="00F332F0">
            <w:pPr>
              <w:spacing w:line="240" w:lineRule="auto"/>
              <w:rPr>
                <w:rFonts w:ascii="Book Antiqua" w:hAnsi="Book Antiqua"/>
                <w:color w:val="365F91"/>
              </w:rPr>
            </w:pPr>
          </w:p>
          <w:p w14:paraId="6C23A40B"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16</w:t>
            </w:r>
          </w:p>
        </w:tc>
        <w:tc>
          <w:tcPr>
            <w:tcW w:w="1620" w:type="dxa"/>
            <w:shd w:val="clear" w:color="auto" w:fill="auto"/>
          </w:tcPr>
          <w:p w14:paraId="2E593674"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59.8</w:t>
            </w:r>
          </w:p>
          <w:p w14:paraId="2F8ACEBE" w14:textId="77777777" w:rsidR="00523650" w:rsidRPr="00D12E59" w:rsidRDefault="00523650" w:rsidP="00F332F0">
            <w:pPr>
              <w:spacing w:line="240" w:lineRule="auto"/>
              <w:rPr>
                <w:rFonts w:ascii="Book Antiqua" w:hAnsi="Book Antiqua"/>
                <w:color w:val="365F91"/>
              </w:rPr>
            </w:pPr>
          </w:p>
          <w:p w14:paraId="7B2A1740"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18.4</w:t>
            </w:r>
          </w:p>
        </w:tc>
        <w:tc>
          <w:tcPr>
            <w:tcW w:w="1620" w:type="dxa"/>
            <w:shd w:val="clear" w:color="auto" w:fill="auto"/>
          </w:tcPr>
          <w:p w14:paraId="18CAF65A" w14:textId="77777777" w:rsidR="00523650" w:rsidRPr="00D12E59" w:rsidRDefault="00523650" w:rsidP="00F332F0">
            <w:pPr>
              <w:spacing w:line="240" w:lineRule="auto"/>
              <w:rPr>
                <w:rFonts w:ascii="Book Antiqua" w:hAnsi="Book Antiqua"/>
                <w:color w:val="365F91"/>
              </w:rPr>
            </w:pPr>
          </w:p>
          <w:p w14:paraId="3D59972A"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Low sophistication</w:t>
            </w:r>
          </w:p>
        </w:tc>
      </w:tr>
      <w:tr w:rsidR="00E86CED" w:rsidRPr="00D12E59" w14:paraId="16365BBE" w14:textId="77777777" w:rsidTr="00E86CED">
        <w:tc>
          <w:tcPr>
            <w:tcW w:w="2268" w:type="dxa"/>
            <w:tcBorders>
              <w:left w:val="nil"/>
              <w:right w:val="nil"/>
            </w:tcBorders>
            <w:shd w:val="clear" w:color="auto" w:fill="auto"/>
          </w:tcPr>
          <w:p w14:paraId="3EF14C4D"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Q19  The participation of customers in online promotions</w:t>
            </w:r>
          </w:p>
          <w:p w14:paraId="4A08FACB"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Q20   Links with other organizations in organizing online</w:t>
            </w:r>
          </w:p>
          <w:p w14:paraId="558A08E6"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promotions</w:t>
            </w:r>
          </w:p>
        </w:tc>
        <w:tc>
          <w:tcPr>
            <w:tcW w:w="1350" w:type="dxa"/>
            <w:tcBorders>
              <w:left w:val="nil"/>
              <w:right w:val="nil"/>
            </w:tcBorders>
            <w:shd w:val="clear" w:color="auto" w:fill="auto"/>
          </w:tcPr>
          <w:p w14:paraId="2B844083"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16</w:t>
            </w:r>
          </w:p>
          <w:p w14:paraId="0BABBD15" w14:textId="77777777" w:rsidR="00523650" w:rsidRPr="00D12E59" w:rsidRDefault="00523650" w:rsidP="00F332F0">
            <w:pPr>
              <w:spacing w:line="240" w:lineRule="auto"/>
              <w:rPr>
                <w:rFonts w:ascii="Book Antiqua" w:hAnsi="Book Antiqua"/>
                <w:color w:val="365F91"/>
              </w:rPr>
            </w:pPr>
          </w:p>
          <w:p w14:paraId="568179C9"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5</w:t>
            </w:r>
          </w:p>
        </w:tc>
        <w:tc>
          <w:tcPr>
            <w:tcW w:w="1620" w:type="dxa"/>
            <w:tcBorders>
              <w:left w:val="nil"/>
              <w:right w:val="nil"/>
            </w:tcBorders>
            <w:shd w:val="clear" w:color="auto" w:fill="auto"/>
          </w:tcPr>
          <w:p w14:paraId="402A05D6"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18.4</w:t>
            </w:r>
          </w:p>
          <w:p w14:paraId="272EB936" w14:textId="77777777" w:rsidR="00523650" w:rsidRPr="00D12E59" w:rsidRDefault="00523650" w:rsidP="00F332F0">
            <w:pPr>
              <w:spacing w:line="240" w:lineRule="auto"/>
              <w:rPr>
                <w:rFonts w:ascii="Book Antiqua" w:hAnsi="Book Antiqua"/>
                <w:color w:val="365F91"/>
              </w:rPr>
            </w:pPr>
          </w:p>
          <w:p w14:paraId="4684179F"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5.7</w:t>
            </w:r>
          </w:p>
        </w:tc>
        <w:tc>
          <w:tcPr>
            <w:tcW w:w="1620" w:type="dxa"/>
            <w:tcBorders>
              <w:left w:val="nil"/>
              <w:right w:val="nil"/>
            </w:tcBorders>
            <w:shd w:val="clear" w:color="auto" w:fill="auto"/>
          </w:tcPr>
          <w:p w14:paraId="548B01C8" w14:textId="77777777" w:rsidR="00523650" w:rsidRPr="00D12E59" w:rsidRDefault="00523650" w:rsidP="00F332F0">
            <w:pPr>
              <w:spacing w:line="240" w:lineRule="auto"/>
              <w:rPr>
                <w:rFonts w:ascii="Book Antiqua" w:hAnsi="Book Antiqua"/>
                <w:color w:val="365F91"/>
              </w:rPr>
            </w:pPr>
          </w:p>
          <w:p w14:paraId="73D03962"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High Sophistication</w:t>
            </w:r>
          </w:p>
        </w:tc>
      </w:tr>
      <w:tr w:rsidR="00523650" w:rsidRPr="00D12E59" w14:paraId="06AE9EC7" w14:textId="77777777" w:rsidTr="00E86CED">
        <w:tc>
          <w:tcPr>
            <w:tcW w:w="2268" w:type="dxa"/>
            <w:shd w:val="clear" w:color="auto" w:fill="auto"/>
          </w:tcPr>
          <w:p w14:paraId="3E6A344E" w14:textId="77777777" w:rsidR="00523650" w:rsidRPr="00D12E59" w:rsidRDefault="00523650" w:rsidP="00F332F0">
            <w:pPr>
              <w:spacing w:line="240" w:lineRule="auto"/>
              <w:jc w:val="center"/>
              <w:rPr>
                <w:rFonts w:ascii="Book Antiqua" w:hAnsi="Book Antiqua"/>
                <w:b/>
                <w:bCs/>
                <w:color w:val="365F91"/>
              </w:rPr>
            </w:pPr>
            <w:r w:rsidRPr="00D12E59">
              <w:rPr>
                <w:rFonts w:ascii="Book Antiqua" w:hAnsi="Book Antiqua"/>
                <w:b/>
                <w:bCs/>
                <w:color w:val="365F91"/>
              </w:rPr>
              <w:t>Transformation of Customer relation</w:t>
            </w:r>
          </w:p>
        </w:tc>
        <w:tc>
          <w:tcPr>
            <w:tcW w:w="1350" w:type="dxa"/>
            <w:shd w:val="clear" w:color="auto" w:fill="auto"/>
          </w:tcPr>
          <w:p w14:paraId="0B657B97"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N</w:t>
            </w:r>
          </w:p>
        </w:tc>
        <w:tc>
          <w:tcPr>
            <w:tcW w:w="1620" w:type="dxa"/>
            <w:shd w:val="clear" w:color="auto" w:fill="auto"/>
          </w:tcPr>
          <w:p w14:paraId="4F430EDF"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w:t>
            </w:r>
          </w:p>
        </w:tc>
        <w:tc>
          <w:tcPr>
            <w:tcW w:w="1620" w:type="dxa"/>
            <w:shd w:val="clear" w:color="auto" w:fill="auto"/>
          </w:tcPr>
          <w:p w14:paraId="5A9E51A2" w14:textId="77777777" w:rsidR="00523650" w:rsidRPr="00D12E59" w:rsidRDefault="00523650" w:rsidP="00F332F0">
            <w:pPr>
              <w:spacing w:line="240" w:lineRule="auto"/>
              <w:rPr>
                <w:rFonts w:ascii="Book Antiqua" w:hAnsi="Book Antiqua"/>
                <w:color w:val="365F91"/>
              </w:rPr>
            </w:pPr>
          </w:p>
        </w:tc>
      </w:tr>
      <w:tr w:rsidR="00E86CED" w:rsidRPr="00D12E59" w14:paraId="6824F55A" w14:textId="77777777" w:rsidTr="00E86CED">
        <w:tc>
          <w:tcPr>
            <w:tcW w:w="2268" w:type="dxa"/>
            <w:tcBorders>
              <w:left w:val="nil"/>
              <w:right w:val="nil"/>
            </w:tcBorders>
            <w:shd w:val="clear" w:color="auto" w:fill="auto"/>
          </w:tcPr>
          <w:p w14:paraId="740DF37C"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Q21  The provision of online customer service </w:t>
            </w:r>
          </w:p>
          <w:p w14:paraId="5642C8EB"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Q22. The online identification and tracking of customers</w:t>
            </w:r>
          </w:p>
          <w:p w14:paraId="5B22B65D"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         to provide customized services </w:t>
            </w:r>
          </w:p>
          <w:p w14:paraId="5DBAE334"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Q23  The provision of online communications to</w:t>
            </w:r>
          </w:p>
          <w:p w14:paraId="65AB1E6D"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lastRenderedPageBreak/>
              <w:t xml:space="preserve">         customers </w:t>
            </w:r>
          </w:p>
          <w:p w14:paraId="70BB21F2"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 xml:space="preserve">Q24  The creation of online communities for customers </w:t>
            </w:r>
          </w:p>
          <w:p w14:paraId="561245C3" w14:textId="77777777" w:rsidR="00523650" w:rsidRPr="00D12E59" w:rsidRDefault="00523650" w:rsidP="00F332F0">
            <w:pPr>
              <w:spacing w:line="240" w:lineRule="auto"/>
              <w:rPr>
                <w:rFonts w:ascii="Book Antiqua" w:hAnsi="Book Antiqua"/>
                <w:b/>
                <w:bCs/>
                <w:color w:val="365F91"/>
              </w:rPr>
            </w:pPr>
            <w:r w:rsidRPr="00D12E59">
              <w:rPr>
                <w:rFonts w:ascii="Book Antiqua" w:hAnsi="Book Antiqua"/>
                <w:b/>
                <w:bCs/>
                <w:color w:val="365F91"/>
              </w:rPr>
              <w:t>Q25  The solicitation of online feedback from customers</w:t>
            </w:r>
          </w:p>
        </w:tc>
        <w:tc>
          <w:tcPr>
            <w:tcW w:w="1350" w:type="dxa"/>
            <w:tcBorders>
              <w:left w:val="nil"/>
              <w:right w:val="nil"/>
            </w:tcBorders>
            <w:shd w:val="clear" w:color="auto" w:fill="auto"/>
          </w:tcPr>
          <w:p w14:paraId="160B25A1"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lastRenderedPageBreak/>
              <w:t xml:space="preserve">   36</w:t>
            </w:r>
          </w:p>
          <w:p w14:paraId="44AF5885" w14:textId="77777777" w:rsidR="00523650" w:rsidRPr="00D12E59" w:rsidRDefault="00523650" w:rsidP="00F332F0">
            <w:pPr>
              <w:spacing w:line="240" w:lineRule="auto"/>
              <w:rPr>
                <w:rFonts w:ascii="Book Antiqua" w:hAnsi="Book Antiqua"/>
                <w:color w:val="365F91"/>
              </w:rPr>
            </w:pPr>
          </w:p>
          <w:p w14:paraId="15E3C7A7"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9</w:t>
            </w:r>
          </w:p>
          <w:p w14:paraId="5E6F0345" w14:textId="77777777" w:rsidR="00523650" w:rsidRPr="00D12E59" w:rsidRDefault="00523650" w:rsidP="00F332F0">
            <w:pPr>
              <w:spacing w:line="240" w:lineRule="auto"/>
              <w:rPr>
                <w:rFonts w:ascii="Book Antiqua" w:hAnsi="Book Antiqua"/>
                <w:color w:val="365F91"/>
              </w:rPr>
            </w:pPr>
          </w:p>
          <w:p w14:paraId="63DD5158"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17</w:t>
            </w:r>
          </w:p>
          <w:p w14:paraId="3C8690A9"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13</w:t>
            </w:r>
          </w:p>
          <w:p w14:paraId="11686842"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 xml:space="preserve">   34</w:t>
            </w:r>
          </w:p>
          <w:p w14:paraId="6D745CAD" w14:textId="77777777" w:rsidR="00523650" w:rsidRPr="00D12E59" w:rsidRDefault="00523650" w:rsidP="00F332F0">
            <w:pPr>
              <w:spacing w:line="240" w:lineRule="auto"/>
              <w:rPr>
                <w:rFonts w:ascii="Book Antiqua" w:hAnsi="Book Antiqua"/>
                <w:color w:val="365F91"/>
              </w:rPr>
            </w:pPr>
          </w:p>
        </w:tc>
        <w:tc>
          <w:tcPr>
            <w:tcW w:w="1620" w:type="dxa"/>
            <w:tcBorders>
              <w:left w:val="nil"/>
              <w:right w:val="nil"/>
            </w:tcBorders>
            <w:shd w:val="clear" w:color="auto" w:fill="auto"/>
          </w:tcPr>
          <w:p w14:paraId="24145B99"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41.4</w:t>
            </w:r>
          </w:p>
          <w:p w14:paraId="3C0AD513" w14:textId="77777777" w:rsidR="00523650" w:rsidRPr="00D12E59" w:rsidRDefault="00523650" w:rsidP="00F332F0">
            <w:pPr>
              <w:spacing w:line="240" w:lineRule="auto"/>
              <w:rPr>
                <w:rFonts w:ascii="Book Antiqua" w:hAnsi="Book Antiqua"/>
                <w:color w:val="365F91"/>
              </w:rPr>
            </w:pPr>
          </w:p>
          <w:p w14:paraId="069D013D"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10.3</w:t>
            </w:r>
          </w:p>
          <w:p w14:paraId="504531A3" w14:textId="77777777" w:rsidR="00523650" w:rsidRPr="00D12E59" w:rsidRDefault="00523650" w:rsidP="00F332F0">
            <w:pPr>
              <w:spacing w:line="240" w:lineRule="auto"/>
              <w:rPr>
                <w:rFonts w:ascii="Book Antiqua" w:hAnsi="Book Antiqua"/>
                <w:color w:val="365F91"/>
              </w:rPr>
            </w:pPr>
          </w:p>
          <w:p w14:paraId="098E2810"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19.5</w:t>
            </w:r>
          </w:p>
          <w:p w14:paraId="2DA3AC3B"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14.9</w:t>
            </w:r>
          </w:p>
          <w:p w14:paraId="7B1312AB"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39.1</w:t>
            </w:r>
          </w:p>
          <w:p w14:paraId="25C03604" w14:textId="77777777" w:rsidR="00523650" w:rsidRPr="00D12E59" w:rsidRDefault="00523650" w:rsidP="00F332F0">
            <w:pPr>
              <w:spacing w:line="240" w:lineRule="auto"/>
              <w:rPr>
                <w:rFonts w:ascii="Book Antiqua" w:hAnsi="Book Antiqua"/>
                <w:color w:val="365F91"/>
              </w:rPr>
            </w:pPr>
          </w:p>
        </w:tc>
        <w:tc>
          <w:tcPr>
            <w:tcW w:w="1620" w:type="dxa"/>
            <w:tcBorders>
              <w:left w:val="nil"/>
              <w:right w:val="nil"/>
            </w:tcBorders>
            <w:shd w:val="clear" w:color="auto" w:fill="auto"/>
          </w:tcPr>
          <w:p w14:paraId="59E4EFB9" w14:textId="77777777" w:rsidR="00523650" w:rsidRPr="00D12E59" w:rsidRDefault="00523650" w:rsidP="00F332F0">
            <w:pPr>
              <w:spacing w:line="240" w:lineRule="auto"/>
              <w:rPr>
                <w:rFonts w:ascii="Book Antiqua" w:hAnsi="Book Antiqua"/>
                <w:color w:val="365F91"/>
              </w:rPr>
            </w:pPr>
          </w:p>
          <w:p w14:paraId="3ECD75DB" w14:textId="77777777" w:rsidR="00523650" w:rsidRPr="00D12E59" w:rsidRDefault="00523650" w:rsidP="00F332F0">
            <w:pPr>
              <w:spacing w:line="240" w:lineRule="auto"/>
              <w:rPr>
                <w:rFonts w:ascii="Book Antiqua" w:hAnsi="Book Antiqua"/>
                <w:color w:val="365F91"/>
              </w:rPr>
            </w:pPr>
          </w:p>
          <w:p w14:paraId="6B2F30BE" w14:textId="77777777" w:rsidR="00523650" w:rsidRPr="00D12E59" w:rsidRDefault="00523650" w:rsidP="00F332F0">
            <w:pPr>
              <w:spacing w:line="240" w:lineRule="auto"/>
              <w:rPr>
                <w:rFonts w:ascii="Book Antiqua" w:hAnsi="Book Antiqua"/>
                <w:color w:val="365F91"/>
              </w:rPr>
            </w:pPr>
          </w:p>
          <w:p w14:paraId="0C6DCF3B" w14:textId="77777777" w:rsidR="00523650" w:rsidRPr="00D12E59" w:rsidRDefault="00523650" w:rsidP="00F332F0">
            <w:pPr>
              <w:spacing w:line="240" w:lineRule="auto"/>
              <w:rPr>
                <w:rFonts w:ascii="Book Antiqua" w:hAnsi="Book Antiqua"/>
                <w:color w:val="365F91"/>
              </w:rPr>
            </w:pPr>
          </w:p>
          <w:p w14:paraId="6BB3B49E" w14:textId="77777777" w:rsidR="00523650" w:rsidRPr="00D12E59" w:rsidRDefault="00523650" w:rsidP="00F332F0">
            <w:pPr>
              <w:spacing w:line="240" w:lineRule="auto"/>
              <w:rPr>
                <w:rFonts w:ascii="Book Antiqua" w:hAnsi="Book Antiqua"/>
                <w:color w:val="365F91"/>
              </w:rPr>
            </w:pPr>
            <w:r w:rsidRPr="00D12E59">
              <w:rPr>
                <w:rFonts w:ascii="Book Antiqua" w:hAnsi="Book Antiqua"/>
                <w:color w:val="365F91"/>
              </w:rPr>
              <w:t>High Sophistication</w:t>
            </w:r>
          </w:p>
        </w:tc>
      </w:tr>
    </w:tbl>
    <w:p w14:paraId="6CE56385" w14:textId="77777777" w:rsidR="00523650" w:rsidRPr="00E3232D" w:rsidRDefault="00523650" w:rsidP="00F332F0">
      <w:pPr>
        <w:autoSpaceDE w:val="0"/>
        <w:autoSpaceDN w:val="0"/>
        <w:adjustRightInd w:val="0"/>
        <w:rPr>
          <w:rFonts w:ascii="Book Antiqua" w:hAnsi="Book Antiqua"/>
        </w:rPr>
        <w:sectPr w:rsidR="00523650" w:rsidRPr="00E3232D" w:rsidSect="008F6BC9">
          <w:type w:val="continuous"/>
          <w:pgSz w:w="11907" w:h="16839" w:code="9"/>
          <w:pgMar w:top="1440" w:right="1274" w:bottom="1440" w:left="1276" w:header="708" w:footer="708" w:gutter="0"/>
          <w:cols w:space="720"/>
          <w:docGrid w:linePitch="360"/>
        </w:sectPr>
      </w:pPr>
      <w:r w:rsidRPr="00E3232D">
        <w:rPr>
          <w:rFonts w:ascii="Book Antiqua" w:hAnsi="Book Antiqua"/>
        </w:rPr>
        <w:br w:type="textWrapping" w:clear="all"/>
      </w:r>
    </w:p>
    <w:p w14:paraId="3727DFC0" w14:textId="77777777" w:rsidR="00523650" w:rsidRPr="00E3232D" w:rsidRDefault="00523650" w:rsidP="008275E1">
      <w:pPr>
        <w:autoSpaceDE w:val="0"/>
        <w:autoSpaceDN w:val="0"/>
        <w:adjustRightInd w:val="0"/>
        <w:rPr>
          <w:rFonts w:ascii="Book Antiqua" w:hAnsi="Book Antiqua"/>
        </w:rPr>
      </w:pPr>
      <w:r w:rsidRPr="00E3232D">
        <w:rPr>
          <w:rFonts w:ascii="Book Antiqua" w:hAnsi="Book Antiqua"/>
        </w:rPr>
        <w:t>Source: Data drawn from survey questionnaire</w:t>
      </w:r>
    </w:p>
    <w:p w14:paraId="0FBF9B19" w14:textId="77777777" w:rsidR="00523650" w:rsidRPr="00E3232D" w:rsidRDefault="00523650" w:rsidP="008275E1">
      <w:pPr>
        <w:autoSpaceDE w:val="0"/>
        <w:autoSpaceDN w:val="0"/>
        <w:adjustRightInd w:val="0"/>
        <w:rPr>
          <w:rFonts w:ascii="Book Antiqua" w:hAnsi="Book Antiqua"/>
        </w:rPr>
      </w:pPr>
    </w:p>
    <w:p w14:paraId="44ADD976" w14:textId="77777777" w:rsidR="00523650" w:rsidRPr="00E3232D" w:rsidRDefault="00523650" w:rsidP="008275E1">
      <w:pPr>
        <w:ind w:firstLine="567"/>
        <w:rPr>
          <w:rFonts w:ascii="Book Antiqua" w:hAnsi="Book Antiqua"/>
        </w:rPr>
        <w:sectPr w:rsidR="00523650" w:rsidRPr="00E3232D" w:rsidSect="008F6BC9">
          <w:type w:val="continuous"/>
          <w:pgSz w:w="11907" w:h="16839" w:code="9"/>
          <w:pgMar w:top="1440" w:right="1274" w:bottom="1440" w:left="1276" w:header="708" w:footer="708" w:gutter="0"/>
          <w:cols w:space="720"/>
          <w:docGrid w:linePitch="360"/>
        </w:sectPr>
      </w:pPr>
    </w:p>
    <w:p w14:paraId="5C7C535D" w14:textId="77777777" w:rsidR="00523650" w:rsidRPr="00E3232D" w:rsidRDefault="00523650" w:rsidP="00F332F0">
      <w:pPr>
        <w:jc w:val="both"/>
        <w:rPr>
          <w:rFonts w:ascii="Book Antiqua" w:hAnsi="Book Antiqua"/>
        </w:rPr>
      </w:pPr>
      <w:r w:rsidRPr="00E3232D">
        <w:rPr>
          <w:rFonts w:ascii="Book Antiqua" w:hAnsi="Book Antiqua"/>
        </w:rPr>
        <w:t>The results also shows that Out of the total respondents, 56 (64.4%) have price information on their hotel website. A little less than 14% of the hotels make use of the other aspects within the price dimension characterised as features which are of high sophistication. All the hotels have transformed the Place Dimension with all the 87 (100%) of the surveyed hotels providing email request for hotel booking online.</w:t>
      </w:r>
      <w:r w:rsidRPr="00E3232D">
        <w:rPr>
          <w:rFonts w:ascii="Book Antiqua" w:hAnsi="Book Antiqua"/>
          <w:b/>
        </w:rPr>
        <w:t xml:space="preserve"> </w:t>
      </w:r>
      <w:r w:rsidRPr="00E3232D">
        <w:rPr>
          <w:rFonts w:ascii="Book Antiqua" w:hAnsi="Book Antiqua"/>
        </w:rPr>
        <w:t xml:space="preserve">50 (57.5%) of the hotels carryout promotions of their website on the internet. Furthermore, out of 63 (72.4%) of respondents that allow online booking on their web site only 8 (9.2%) of them provide secure online payment. The responses of the surveyed hotels on aspects of the promotion dimension indicates that 52 (59.8%) out of the total respondents are engaged in online advertising which also forms 98.1% of all the cases in the promotion dimension. 16 (18.4%) of respondents uses their web sites to offer sales promotion as well as customizes promotion depending on their guest profile. 5 (5.7%) of the respondents links with other organizations to offer online promotion. With respect to the customer relation dimension, 36 (41.4%) of </w:t>
      </w:r>
      <w:r w:rsidRPr="00E3232D">
        <w:rPr>
          <w:rFonts w:ascii="Book Antiqua" w:hAnsi="Book Antiqua"/>
        </w:rPr>
        <w:t>the hotels use the internet to provide customer service. 17 (19.5%) have websites that provide online communication with customers. 34 (39.1%) solicit feedback from customers by the use of the hotel website.  13 (14.9%) of the have created online communities for customers  while only 9 hotels use the internet to identify and track customers online with the aimed of providing customized services.</w:t>
      </w:r>
    </w:p>
    <w:p w14:paraId="28970C46" w14:textId="77777777" w:rsidR="004E2212" w:rsidRPr="00E3232D" w:rsidRDefault="00523650" w:rsidP="003C5233">
      <w:pPr>
        <w:spacing w:after="0"/>
        <w:ind w:left="567" w:hanging="567"/>
        <w:jc w:val="both"/>
        <w:rPr>
          <w:rFonts w:ascii="Book Antiqua" w:hAnsi="Book Antiqua"/>
          <w:b/>
        </w:rPr>
      </w:pPr>
      <w:r w:rsidRPr="00E3232D">
        <w:rPr>
          <w:rFonts w:ascii="Book Antiqua" w:hAnsi="Book Antiqua"/>
          <w:b/>
        </w:rPr>
        <w:t xml:space="preserve">     </w:t>
      </w:r>
    </w:p>
    <w:p w14:paraId="45BEAC13" w14:textId="77777777" w:rsidR="00523650" w:rsidRPr="00E3232D" w:rsidRDefault="00523650" w:rsidP="00F332F0">
      <w:pPr>
        <w:ind w:left="567" w:hanging="567"/>
        <w:jc w:val="both"/>
        <w:rPr>
          <w:rFonts w:ascii="Book Antiqua" w:hAnsi="Book Antiqua"/>
          <w:b/>
        </w:rPr>
      </w:pPr>
      <w:r w:rsidRPr="00E3232D">
        <w:rPr>
          <w:rFonts w:ascii="Book Antiqua" w:hAnsi="Book Antiqua"/>
          <w:b/>
        </w:rPr>
        <w:t>3.2. Dimension of Hotels’ Internet</w:t>
      </w:r>
    </w:p>
    <w:p w14:paraId="3EDC3C27" w14:textId="77777777" w:rsidR="00523650" w:rsidRPr="00E3232D" w:rsidRDefault="00523650" w:rsidP="00F332F0">
      <w:pPr>
        <w:ind w:left="567" w:hanging="567"/>
        <w:jc w:val="both"/>
        <w:rPr>
          <w:rFonts w:ascii="Book Antiqua" w:hAnsi="Book Antiqua"/>
          <w:b/>
        </w:rPr>
      </w:pPr>
      <w:r w:rsidRPr="00E3232D">
        <w:rPr>
          <w:rFonts w:ascii="Book Antiqua" w:hAnsi="Book Antiqua"/>
          <w:b/>
        </w:rPr>
        <w:t xml:space="preserve">           Marketing Mix and their Degree of Transformation</w:t>
      </w:r>
    </w:p>
    <w:p w14:paraId="21FC898C" w14:textId="77777777" w:rsidR="00523650" w:rsidRPr="00E3232D" w:rsidRDefault="00523650" w:rsidP="00F332F0">
      <w:pPr>
        <w:ind w:firstLine="567"/>
        <w:jc w:val="both"/>
        <w:rPr>
          <w:rFonts w:ascii="Book Antiqua" w:hAnsi="Book Antiqua"/>
        </w:rPr>
      </w:pPr>
      <w:r w:rsidRPr="00E3232D">
        <w:rPr>
          <w:rFonts w:ascii="Book Antiqua" w:hAnsi="Book Antiqua"/>
        </w:rPr>
        <w:t>The degrees of transformation as well as the number of the dimensions of the surveyed hotels along the internet marketing mix were also analyzed. The degree of transformation of a dimension is calculated using the frequency of each of the aspects within the dimensions. The transformation degree of each aspect and the overall transformation degree of a dimension as show in table 3 of Appendix A is calculated using the formula below:</w:t>
      </w:r>
    </w:p>
    <w:p w14:paraId="7035907B" w14:textId="77777777" w:rsidR="00523650" w:rsidRPr="00E3232D" w:rsidRDefault="00523650" w:rsidP="00F332F0">
      <w:pPr>
        <w:jc w:val="both"/>
        <w:rPr>
          <w:rFonts w:ascii="Book Antiqua" w:hAnsi="Book Antiqua"/>
          <w:i/>
        </w:rPr>
      </w:pPr>
      <w:r w:rsidRPr="00E3232D">
        <w:rPr>
          <w:rFonts w:ascii="Book Antiqua" w:hAnsi="Book Antiqua"/>
          <w:i/>
        </w:rPr>
        <w:lastRenderedPageBreak/>
        <w:t>Transformation Degree of a Dimension (%) =</w:t>
      </w:r>
      <m:oMath>
        <m:r>
          <w:rPr>
            <w:rFonts w:ascii="Cambria Math" w:hAnsi="Cambria Math"/>
          </w:rPr>
          <m:t xml:space="preserve"> </m:t>
        </m:r>
        <m:f>
          <m:fPr>
            <m:ctrlPr>
              <w:rPr>
                <w:rFonts w:ascii="Cambria Math" w:hAnsi="Cambria Math"/>
                <w:i/>
              </w:rPr>
            </m:ctrlPr>
          </m:fPr>
          <m:num>
            <m:r>
              <w:rPr>
                <w:rFonts w:ascii="Cambria Math" w:hAnsi="Cambria Math"/>
              </w:rPr>
              <m:t>sum of used aspects</m:t>
            </m:r>
          </m:num>
          <m:den>
            <m:r>
              <w:rPr>
                <w:rFonts w:ascii="Cambria Math" w:hAnsi="Cambria Math"/>
              </w:rPr>
              <m:t>Total No.of aspects</m:t>
            </m:r>
          </m:den>
        </m:f>
        <m:r>
          <w:rPr>
            <w:rFonts w:ascii="Cambria Math" w:hAnsi="Cambria Math"/>
          </w:rPr>
          <m:t>*100</m:t>
        </m:r>
      </m:oMath>
    </w:p>
    <w:p w14:paraId="51F4A99B" w14:textId="77777777" w:rsidR="00523650" w:rsidRPr="00E3232D" w:rsidRDefault="00523650" w:rsidP="00F332F0">
      <w:pPr>
        <w:autoSpaceDE w:val="0"/>
        <w:autoSpaceDN w:val="0"/>
        <w:adjustRightInd w:val="0"/>
        <w:jc w:val="both"/>
        <w:rPr>
          <w:rFonts w:ascii="Book Antiqua" w:hAnsi="Book Antiqua"/>
        </w:rPr>
      </w:pPr>
      <w:r w:rsidRPr="00E3232D">
        <w:rPr>
          <w:rFonts w:ascii="Book Antiqua" w:hAnsi="Book Antiqua"/>
        </w:rPr>
        <w:t xml:space="preserve">The percentages of hotels with transformed dimensions are the valid percentages of the case summary of the multiple responses analysis of each dimension as shown in table 4 of Appendix A. Figure 1 shows the overall degree of transformation of the surveyed hotels and the percentages of hotels with transformed dimensions along the internet marketing mix dimension. It indicates that out of the five dimensions it is only place that recorded a transformation degree of 59.8%. The rest of the dimensions </w:t>
      </w:r>
      <w:r w:rsidRPr="00E3232D">
        <w:rPr>
          <w:rFonts w:ascii="Book Antiqua" w:hAnsi="Book Antiqua"/>
        </w:rPr>
        <w:t>have a transformation degree less than 50%. Product has a transformation degree of 38.9% while hotels have transformed 25.6% of the promotion dimension. Customer relation and price have the least transformation degree of 25.1% and 20.2% respectively. The results also indicate that all the hotels (100%) use the internet in the product and place dimensions. 64.4% of the hotels have transformed the price dimension whiles 59.8% use the internet to promote their facilities. 41.1 % of the hotels use the internet in the customer relation dimension</w:t>
      </w:r>
    </w:p>
    <w:p w14:paraId="321B80F1" w14:textId="77777777" w:rsidR="00523650" w:rsidRPr="00E3232D" w:rsidRDefault="00523650" w:rsidP="00F332F0">
      <w:pPr>
        <w:jc w:val="both"/>
        <w:rPr>
          <w:rFonts w:ascii="Book Antiqua" w:hAnsi="Book Antiqua"/>
          <w:b/>
        </w:rPr>
        <w:sectPr w:rsidR="00523650" w:rsidRPr="00E3232D" w:rsidSect="008F6BC9">
          <w:type w:val="continuous"/>
          <w:pgSz w:w="11907" w:h="16839" w:code="9"/>
          <w:pgMar w:top="1440" w:right="1274" w:bottom="1440" w:left="1276" w:header="708" w:footer="708" w:gutter="0"/>
          <w:cols w:num="2" w:space="720"/>
          <w:docGrid w:linePitch="360"/>
        </w:sectPr>
      </w:pPr>
    </w:p>
    <w:p w14:paraId="642E6B06" w14:textId="77777777" w:rsidR="00D56FA8" w:rsidRDefault="00D56FA8" w:rsidP="008275E1">
      <w:pPr>
        <w:jc w:val="center"/>
        <w:rPr>
          <w:rFonts w:ascii="Book Antiqua" w:hAnsi="Book Antiqua"/>
          <w:b/>
        </w:rPr>
      </w:pPr>
    </w:p>
    <w:p w14:paraId="63CCBE56" w14:textId="77777777" w:rsidR="00DF0AF5" w:rsidRDefault="00DF0AF5" w:rsidP="008275E1">
      <w:pPr>
        <w:jc w:val="center"/>
        <w:rPr>
          <w:rFonts w:ascii="Book Antiqua" w:hAnsi="Book Antiqua"/>
          <w:b/>
        </w:rPr>
      </w:pPr>
    </w:p>
    <w:p w14:paraId="40AEDE6E" w14:textId="77777777" w:rsidR="00817ACF" w:rsidRDefault="00817ACF" w:rsidP="00F332F0">
      <w:pPr>
        <w:rPr>
          <w:rFonts w:ascii="Book Antiqua" w:hAnsi="Book Antiqua"/>
          <w:b/>
        </w:rPr>
      </w:pPr>
    </w:p>
    <w:p w14:paraId="0F97FF1A" w14:textId="77777777" w:rsidR="00F332F0" w:rsidRPr="00E3232D" w:rsidRDefault="00F332F0" w:rsidP="00F332F0">
      <w:pPr>
        <w:rPr>
          <w:rFonts w:ascii="Book Antiqua" w:hAnsi="Book Antiqua"/>
          <w:b/>
        </w:rPr>
      </w:pPr>
    </w:p>
    <w:p w14:paraId="55223374" w14:textId="77777777" w:rsidR="00523650" w:rsidRPr="00E3232D" w:rsidRDefault="00523650" w:rsidP="008275E1">
      <w:pPr>
        <w:jc w:val="center"/>
        <w:rPr>
          <w:rFonts w:ascii="Book Antiqua" w:hAnsi="Book Antiqua"/>
          <w:b/>
          <w:bCs/>
        </w:rPr>
      </w:pPr>
      <w:r w:rsidRPr="00E3232D">
        <w:rPr>
          <w:rFonts w:ascii="Book Antiqua" w:hAnsi="Book Antiqua"/>
          <w:b/>
        </w:rPr>
        <w:t xml:space="preserve">Figure 1: </w:t>
      </w:r>
      <w:r w:rsidRPr="00E3232D">
        <w:rPr>
          <w:rFonts w:ascii="Book Antiqua" w:hAnsi="Book Antiqua"/>
          <w:b/>
          <w:bCs/>
        </w:rPr>
        <w:t>Dimensions of Hotels’ Internet Marketing Mix and Their Degree of</w:t>
      </w:r>
    </w:p>
    <w:p w14:paraId="1C1CCD06" w14:textId="77777777" w:rsidR="00523650" w:rsidRPr="00E3232D" w:rsidRDefault="00523650" w:rsidP="008275E1">
      <w:pPr>
        <w:autoSpaceDE w:val="0"/>
        <w:autoSpaceDN w:val="0"/>
        <w:adjustRightInd w:val="0"/>
        <w:jc w:val="center"/>
        <w:rPr>
          <w:rFonts w:ascii="Book Antiqua" w:hAnsi="Book Antiqua"/>
        </w:rPr>
      </w:pPr>
      <w:r w:rsidRPr="00E3232D">
        <w:rPr>
          <w:rFonts w:ascii="Book Antiqua" w:hAnsi="Book Antiqua"/>
          <w:b/>
          <w:bCs/>
        </w:rPr>
        <w:t>Transformation</w:t>
      </w:r>
    </w:p>
    <w:p w14:paraId="17F21787" w14:textId="77777777" w:rsidR="00523650" w:rsidRPr="00E3232D" w:rsidRDefault="007005B1" w:rsidP="008275E1">
      <w:pPr>
        <w:autoSpaceDE w:val="0"/>
        <w:autoSpaceDN w:val="0"/>
        <w:adjustRightInd w:val="0"/>
        <w:rPr>
          <w:rFonts w:ascii="Book Antiqua" w:hAnsi="Book Antiqua"/>
        </w:rPr>
      </w:pPr>
      <w:r>
        <w:rPr>
          <w:rFonts w:ascii="Book Antiqua" w:hAnsi="Book Antiqua"/>
          <w:noProof/>
          <w:lang w:bidi="ar-SA"/>
        </w:rPr>
        <w:drawing>
          <wp:inline distT="0" distB="0" distL="0" distR="0" wp14:anchorId="4B60D17E" wp14:editId="5C51AF34">
            <wp:extent cx="5050219" cy="2727580"/>
            <wp:effectExtent l="12201" t="6095" r="4880" b="0"/>
            <wp:docPr id="4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D7D604C" w14:textId="77777777" w:rsidR="009C4636" w:rsidRDefault="009C4636" w:rsidP="008275E1">
      <w:pPr>
        <w:rPr>
          <w:rFonts w:ascii="Book Antiqua" w:hAnsi="Book Antiqua"/>
          <w:b/>
        </w:rPr>
        <w:sectPr w:rsidR="009C4636" w:rsidSect="008F6BC9">
          <w:type w:val="continuous"/>
          <w:pgSz w:w="11907" w:h="16839" w:code="9"/>
          <w:pgMar w:top="1440" w:right="1274" w:bottom="1440" w:left="1276" w:header="708" w:footer="708" w:gutter="0"/>
          <w:cols w:space="720"/>
          <w:docGrid w:linePitch="360"/>
        </w:sectPr>
      </w:pPr>
    </w:p>
    <w:p w14:paraId="0DE41DAD" w14:textId="77777777" w:rsidR="00523650" w:rsidRPr="00E3232D" w:rsidRDefault="00523650" w:rsidP="003C5233">
      <w:pPr>
        <w:spacing w:after="0"/>
        <w:jc w:val="both"/>
        <w:rPr>
          <w:rFonts w:ascii="Book Antiqua" w:hAnsi="Book Antiqua"/>
          <w:b/>
        </w:rPr>
        <w:sectPr w:rsidR="00523650" w:rsidRPr="00E3232D" w:rsidSect="008F6BC9">
          <w:type w:val="continuous"/>
          <w:pgSz w:w="11907" w:h="16839" w:code="9"/>
          <w:pgMar w:top="1440" w:right="1274" w:bottom="1440" w:left="1276" w:header="708" w:footer="708" w:gutter="0"/>
          <w:cols w:num="2" w:space="720"/>
          <w:docGrid w:linePitch="360"/>
        </w:sectPr>
      </w:pPr>
    </w:p>
    <w:p w14:paraId="03533611" w14:textId="77777777" w:rsidR="00523650" w:rsidRPr="00312FAA" w:rsidRDefault="00523650" w:rsidP="00196385">
      <w:pPr>
        <w:pStyle w:val="ListParagraph"/>
        <w:numPr>
          <w:ilvl w:val="1"/>
          <w:numId w:val="161"/>
        </w:numPr>
        <w:ind w:hanging="720"/>
        <w:jc w:val="both"/>
        <w:rPr>
          <w:rFonts w:ascii="Book Antiqua" w:hAnsi="Book Antiqua"/>
          <w:b/>
        </w:rPr>
      </w:pPr>
      <w:r w:rsidRPr="00312FAA">
        <w:rPr>
          <w:rFonts w:ascii="Book Antiqua" w:hAnsi="Book Antiqua"/>
          <w:b/>
          <w:sz w:val="26"/>
        </w:rPr>
        <w:lastRenderedPageBreak/>
        <w:t>Discussions</w:t>
      </w:r>
    </w:p>
    <w:p w14:paraId="2A4DD0D7" w14:textId="77777777" w:rsidR="00523650" w:rsidRPr="00E3232D" w:rsidRDefault="00523650" w:rsidP="003C5233">
      <w:pPr>
        <w:spacing w:after="0"/>
        <w:jc w:val="both"/>
        <w:rPr>
          <w:rFonts w:ascii="Book Antiqua" w:hAnsi="Book Antiqua"/>
        </w:rPr>
      </w:pPr>
      <w:r w:rsidRPr="00E3232D">
        <w:rPr>
          <w:rFonts w:ascii="Book Antiqua" w:hAnsi="Book Antiqua"/>
        </w:rPr>
        <w:t>The results from the statistical analysis reveals that hotels internet marketing mix is made up of all the  five (5) broad dimensions of the Internet marketing mix although in varying degrees. Out of the 5 dimensions, only 2 dimensions i.e., place and product dimensions have been developed by all the hotels surveyed in Ghana. This indicates that all the hotels are concentrating their efforts on having a presence in the information and distribution virtual spaces. A little more than half of the hotels have developed the promotion and price dimensions.  Less than half of the hotels use the internet in the customer relations dimension. This implies that hotels in Ghana were still at early stage in developing the technologies and websites for their internet marketing activities. These findings are in agreement with online activities and web development literature that found that Web-sites development follows an evolutionary path from a communication (i.e., dissemination of information from business to consumers) to a transaction phase (i.e., online purchases) during which practices evolve from mono-directional simple communications to bi-directional interactive communications (Azzone, Blanchi, &amp; Noel’s, 2000; Sigala, 2003)</w:t>
      </w:r>
      <w:r w:rsidR="003C5233">
        <w:rPr>
          <w:rFonts w:ascii="Book Antiqua" w:hAnsi="Book Antiqua"/>
        </w:rPr>
        <w:t>.</w:t>
      </w:r>
    </w:p>
    <w:p w14:paraId="06519776" w14:textId="77777777" w:rsidR="002F73CF" w:rsidRDefault="002F73CF" w:rsidP="00F332F0">
      <w:pPr>
        <w:spacing w:after="0"/>
        <w:jc w:val="both"/>
        <w:rPr>
          <w:rFonts w:ascii="Book Antiqua" w:hAnsi="Book Antiqua"/>
        </w:rPr>
      </w:pPr>
    </w:p>
    <w:p w14:paraId="032C3BB3" w14:textId="77777777" w:rsidR="00D56FA8" w:rsidRDefault="00523650" w:rsidP="00F332F0">
      <w:pPr>
        <w:spacing w:after="0"/>
        <w:jc w:val="both"/>
        <w:rPr>
          <w:rFonts w:ascii="Book Antiqua" w:hAnsi="Book Antiqua"/>
        </w:rPr>
      </w:pPr>
      <w:r w:rsidRPr="00E3232D">
        <w:rPr>
          <w:rFonts w:ascii="Book Antiqua" w:hAnsi="Book Antiqua"/>
        </w:rPr>
        <w:t xml:space="preserve">In terms of the dimensions that are being transformed, the research shows that all the five dimensions of the internet marketing mix are being transformed at varying degrees with price being the least transformed and place the most transformed.  All the dimensions except </w:t>
      </w:r>
      <w:r w:rsidRPr="00E3232D">
        <w:rPr>
          <w:rFonts w:ascii="Book Antiqua" w:hAnsi="Book Antiqua"/>
        </w:rPr>
        <w:t>place has a transformation degree less than 50% meaning hotels in Ghana are not implementing even one half of all the features  of the aspects within the other dimensions dimension</w:t>
      </w:r>
    </w:p>
    <w:p w14:paraId="52FAED7C" w14:textId="77777777" w:rsidR="00D56FA8" w:rsidRDefault="00D56FA8" w:rsidP="003C5233">
      <w:pPr>
        <w:spacing w:after="0"/>
        <w:ind w:firstLine="720"/>
        <w:jc w:val="both"/>
        <w:rPr>
          <w:rFonts w:ascii="Book Antiqua" w:hAnsi="Book Antiqua"/>
        </w:rPr>
      </w:pPr>
    </w:p>
    <w:p w14:paraId="7F75955F" w14:textId="77777777" w:rsidR="00523650" w:rsidRPr="00E3232D" w:rsidRDefault="00523650" w:rsidP="003C5233">
      <w:pPr>
        <w:spacing w:after="0"/>
        <w:jc w:val="both"/>
        <w:rPr>
          <w:rFonts w:ascii="Book Antiqua" w:hAnsi="Book Antiqua"/>
        </w:rPr>
      </w:pPr>
      <w:r w:rsidRPr="00E3232D">
        <w:rPr>
          <w:rFonts w:ascii="Book Antiqua" w:hAnsi="Book Antiqua"/>
        </w:rPr>
        <w:t>Analysis of internet marketing strategies of hotels with respects to the number and type of dimension of the Internet Marketing Mix reveals that, place and product dimensions are the most transformed dimensions meaning most hotels in Ghana had focus the use of their websites on having presence in the information and distributions  virtual spaces. All the surveyed hotels use the internet in the product and place dimensions indicating hotels are following a strategy mainly aim at increasing their distribution channels and visibility in the virtual space. With VIS presence, hotels are pursuing globalization strategy; aim at increasing the visibility and improving perception of products and services as well as making product and services available at any time (Angehrn, 1997; Sigala, 2003). VDS presence reflects a strategy aim at cutting cost and lead time, improving quality and innovating product and services by distributing them directly to customers through the internet fostering disintermediation.</w:t>
      </w:r>
    </w:p>
    <w:p w14:paraId="5CF060DC" w14:textId="77777777" w:rsidR="00D56FA8" w:rsidRDefault="00D56FA8" w:rsidP="00F332F0">
      <w:pPr>
        <w:spacing w:after="0"/>
        <w:jc w:val="both"/>
        <w:rPr>
          <w:rFonts w:ascii="Book Antiqua" w:hAnsi="Book Antiqua"/>
        </w:rPr>
      </w:pPr>
    </w:p>
    <w:p w14:paraId="0CC0C1CD" w14:textId="77777777" w:rsidR="00523650" w:rsidRPr="00E3232D" w:rsidRDefault="00523650" w:rsidP="00F332F0">
      <w:pPr>
        <w:spacing w:after="0"/>
        <w:jc w:val="both"/>
        <w:rPr>
          <w:rFonts w:ascii="Book Antiqua" w:hAnsi="Book Antiqua"/>
        </w:rPr>
      </w:pPr>
      <w:r w:rsidRPr="00E3232D">
        <w:rPr>
          <w:rFonts w:ascii="Book Antiqua" w:hAnsi="Book Antiqua"/>
        </w:rPr>
        <w:t xml:space="preserve">The findings are consistent with Argehrn and Meyer (1997) assertions that; in terms of engaging the virtual space, the VIS and the VDS are the spaces that have attracted the most attentions by organization. A little more than half of the hotels have developed strategies along the promotion and pricing dimensions. This shows that a substantial </w:t>
      </w:r>
      <w:r w:rsidRPr="00E3232D">
        <w:rPr>
          <w:rFonts w:ascii="Book Antiqua" w:hAnsi="Book Antiqua"/>
        </w:rPr>
        <w:lastRenderedPageBreak/>
        <w:t>number have design web sites for marketing activities to complement the efforts of their product (VIS) and place (VDS) strategies. The results also shows that hotels in Ghana are pursuing mass marketing on the internet  as less emphasis is being placed on customization and personalization of their services.</w:t>
      </w:r>
    </w:p>
    <w:p w14:paraId="59D77BD6" w14:textId="77777777" w:rsidR="00D56FA8" w:rsidRDefault="00D56FA8" w:rsidP="003C5233">
      <w:pPr>
        <w:spacing w:after="0"/>
        <w:jc w:val="both"/>
        <w:rPr>
          <w:rFonts w:ascii="Book Antiqua" w:hAnsi="Book Antiqua"/>
          <w:b/>
        </w:rPr>
      </w:pPr>
    </w:p>
    <w:p w14:paraId="3AB69A95" w14:textId="77777777" w:rsidR="00523650" w:rsidRPr="00D56FA8" w:rsidRDefault="000B4A9B" w:rsidP="00F332F0">
      <w:pPr>
        <w:jc w:val="both"/>
        <w:rPr>
          <w:rFonts w:ascii="Book Antiqua" w:hAnsi="Book Antiqua"/>
          <w:b/>
        </w:rPr>
      </w:pPr>
      <w:r>
        <w:rPr>
          <w:rFonts w:ascii="Book Antiqua" w:hAnsi="Book Antiqua"/>
          <w:b/>
        </w:rPr>
        <w:t>4.1.1 I</w:t>
      </w:r>
      <w:r w:rsidR="00523650" w:rsidRPr="00D56FA8">
        <w:rPr>
          <w:rFonts w:ascii="Book Antiqua" w:hAnsi="Book Antiqua"/>
          <w:b/>
        </w:rPr>
        <w:t xml:space="preserve">mplications and Recommendation </w:t>
      </w:r>
    </w:p>
    <w:p w14:paraId="0A5517CE" w14:textId="77777777" w:rsidR="00523650" w:rsidRPr="00E3232D" w:rsidRDefault="00523650" w:rsidP="00F332F0">
      <w:pPr>
        <w:jc w:val="both"/>
        <w:rPr>
          <w:rFonts w:ascii="Book Antiqua" w:hAnsi="Book Antiqua"/>
        </w:rPr>
      </w:pPr>
      <w:r w:rsidRPr="00E3232D">
        <w:rPr>
          <w:rFonts w:ascii="Book Antiqua" w:hAnsi="Book Antiqua"/>
        </w:rPr>
        <w:t>This study has provided evidence that the Internet Marketing Mix Model (IMMM) is a valuable tool in measuring internet marketing activities in the context of Ghana’s hotel industry. The IMMM provides guidance for hoteliers to evaluate and improve the use of Internet and Web based marketing activities.</w:t>
      </w:r>
    </w:p>
    <w:p w14:paraId="7D7EECDC" w14:textId="77777777" w:rsidR="00DF0AF5" w:rsidRDefault="00DF0AF5" w:rsidP="00F332F0">
      <w:pPr>
        <w:tabs>
          <w:tab w:val="left" w:pos="7088"/>
        </w:tabs>
        <w:spacing w:after="0"/>
        <w:jc w:val="both"/>
        <w:rPr>
          <w:rFonts w:ascii="Book Antiqua" w:hAnsi="Book Antiqua"/>
        </w:rPr>
      </w:pPr>
    </w:p>
    <w:p w14:paraId="0951A884" w14:textId="77777777" w:rsidR="00523650" w:rsidRPr="00E3232D" w:rsidRDefault="00D56FA8" w:rsidP="00F332F0">
      <w:pPr>
        <w:tabs>
          <w:tab w:val="left" w:pos="7088"/>
        </w:tabs>
        <w:spacing w:after="0"/>
        <w:jc w:val="both"/>
        <w:rPr>
          <w:rFonts w:ascii="Book Antiqua" w:hAnsi="Book Antiqua"/>
        </w:rPr>
      </w:pPr>
      <w:r>
        <w:rPr>
          <w:rFonts w:ascii="Book Antiqua" w:hAnsi="Book Antiqua"/>
        </w:rPr>
        <w:t xml:space="preserve"> </w:t>
      </w:r>
      <w:r w:rsidR="00523650" w:rsidRPr="00E3232D">
        <w:rPr>
          <w:rFonts w:ascii="Book Antiqua" w:hAnsi="Book Antiqua"/>
        </w:rPr>
        <w:t>For industry regulators and Associations of hoteliers, the focus must be directed on liaising with the banking sector to open up online payment platforms to enhance electronic payment for online transactions which has hitherto been absent. The government should be a leader in the tourism industry by increasing its attention on improving IT infrastructure in the sector for industries to connect together for greater implementation of internet marketing strategies</w:t>
      </w:r>
      <w:r w:rsidR="003C5233">
        <w:rPr>
          <w:rFonts w:ascii="Book Antiqua" w:hAnsi="Book Antiqua"/>
        </w:rPr>
        <w:t>.</w:t>
      </w:r>
      <w:r w:rsidR="00523650" w:rsidRPr="00E3232D">
        <w:rPr>
          <w:rFonts w:ascii="Book Antiqua" w:hAnsi="Book Antiqua"/>
        </w:rPr>
        <w:t xml:space="preserve"> </w:t>
      </w:r>
    </w:p>
    <w:p w14:paraId="1CBA7558" w14:textId="77777777" w:rsidR="00D56FA8" w:rsidRDefault="00523650" w:rsidP="003C5233">
      <w:pPr>
        <w:tabs>
          <w:tab w:val="left" w:pos="7088"/>
        </w:tabs>
        <w:spacing w:after="0"/>
        <w:jc w:val="both"/>
        <w:rPr>
          <w:rFonts w:ascii="Book Antiqua" w:hAnsi="Book Antiqua"/>
        </w:rPr>
      </w:pPr>
      <w:r w:rsidRPr="00E3232D">
        <w:rPr>
          <w:rFonts w:ascii="Book Antiqua" w:hAnsi="Book Antiqua"/>
        </w:rPr>
        <w:t xml:space="preserve">           </w:t>
      </w:r>
    </w:p>
    <w:p w14:paraId="38347CF2" w14:textId="77777777" w:rsidR="00523650" w:rsidRPr="00E3232D" w:rsidRDefault="00523650" w:rsidP="003C5233">
      <w:pPr>
        <w:tabs>
          <w:tab w:val="left" w:pos="7088"/>
        </w:tabs>
        <w:spacing w:after="0"/>
        <w:jc w:val="both"/>
        <w:rPr>
          <w:rFonts w:ascii="Book Antiqua" w:hAnsi="Book Antiqua"/>
        </w:rPr>
      </w:pPr>
      <w:r w:rsidRPr="00E3232D">
        <w:rPr>
          <w:rFonts w:ascii="Book Antiqua" w:hAnsi="Book Antiqua"/>
        </w:rPr>
        <w:t xml:space="preserve"> For hotel managers, it must be noted that, simply creating a Web site does little to stimulate interest. It only establishes contact but if the aim is to connect with customers and other economic agents then the information and other online activities must be relevant. Relevance can be enhanced by </w:t>
      </w:r>
      <w:r w:rsidRPr="00E3232D">
        <w:rPr>
          <w:rFonts w:ascii="Book Antiqua" w:hAnsi="Book Antiqua"/>
        </w:rPr>
        <w:t>customising the channel, so that the pages are tailored to user groups. Also the VCS presence of most hotels in Ghana remains underdeveloped because hotels are still not sure what objectives it might serve. They are</w:t>
      </w:r>
      <w:r w:rsidRPr="00E3232D">
        <w:rPr>
          <w:rFonts w:ascii="Book Antiqua" w:hAnsi="Book Antiqua"/>
          <w:color w:val="231F20"/>
        </w:rPr>
        <w:t xml:space="preserve"> </w:t>
      </w:r>
      <w:r w:rsidRPr="00E3232D">
        <w:rPr>
          <w:rFonts w:ascii="Book Antiqua" w:hAnsi="Book Antiqua"/>
        </w:rPr>
        <w:t xml:space="preserve">still following the traditional broadcasting (one-to-many) as opposed to exploiting the narrow casting (one-to-one) communication potential of the Internet.  The VCS provides an opportunity for Hotels to exchange information and opinions through e-mail, in on-line forum discussions, or more advanced 3D- and virtual reality interaction spaces. </w:t>
      </w:r>
    </w:p>
    <w:p w14:paraId="50AA30CC" w14:textId="77777777" w:rsidR="00D56FA8" w:rsidRDefault="00D56FA8" w:rsidP="00F332F0">
      <w:pPr>
        <w:spacing w:after="0"/>
        <w:jc w:val="both"/>
        <w:rPr>
          <w:rFonts w:ascii="Book Antiqua" w:hAnsi="Book Antiqua"/>
        </w:rPr>
      </w:pPr>
    </w:p>
    <w:p w14:paraId="2C1ED6A1" w14:textId="77777777" w:rsidR="00523650" w:rsidRPr="00E3232D" w:rsidRDefault="00523650" w:rsidP="00F332F0">
      <w:pPr>
        <w:spacing w:after="0"/>
        <w:jc w:val="both"/>
        <w:rPr>
          <w:rFonts w:ascii="Book Antiqua" w:hAnsi="Book Antiqua"/>
        </w:rPr>
      </w:pPr>
      <w:r w:rsidRPr="00E3232D">
        <w:rPr>
          <w:rFonts w:ascii="Book Antiqua" w:hAnsi="Book Antiqua"/>
        </w:rPr>
        <w:t>The study mainly investigated internet marketing strategies being followed by hotels in Ghana. It used a questionnaire in a survey and took quantitative approach. Similar area of study but different methodology could be used. Further research is also required to investigate in depth how hotels in Ghana are restructuring their management and organizational practices and policies to successfully adopt internet strategies.</w:t>
      </w:r>
    </w:p>
    <w:p w14:paraId="361CB422" w14:textId="77777777" w:rsidR="00D56FA8" w:rsidRDefault="00D56FA8" w:rsidP="003C5233">
      <w:pPr>
        <w:spacing w:after="0"/>
        <w:jc w:val="both"/>
        <w:rPr>
          <w:rFonts w:ascii="Book Antiqua" w:hAnsi="Book Antiqua"/>
          <w:b/>
        </w:rPr>
      </w:pPr>
    </w:p>
    <w:p w14:paraId="0637476F" w14:textId="77777777" w:rsidR="00523650" w:rsidRPr="00D56FA8" w:rsidRDefault="00D56FA8" w:rsidP="00F332F0">
      <w:pPr>
        <w:jc w:val="both"/>
        <w:rPr>
          <w:rFonts w:ascii="Book Antiqua" w:hAnsi="Book Antiqua"/>
          <w:b/>
        </w:rPr>
      </w:pPr>
      <w:r>
        <w:rPr>
          <w:rFonts w:ascii="Book Antiqua" w:hAnsi="Book Antiqua"/>
          <w:b/>
        </w:rPr>
        <w:t>5.</w:t>
      </w:r>
      <w:r w:rsidR="00312FAA">
        <w:rPr>
          <w:rFonts w:ascii="Book Antiqua" w:hAnsi="Book Antiqua"/>
          <w:b/>
        </w:rPr>
        <w:t>0</w:t>
      </w:r>
      <w:r>
        <w:rPr>
          <w:rFonts w:ascii="Book Antiqua" w:hAnsi="Book Antiqua"/>
          <w:b/>
        </w:rPr>
        <w:t xml:space="preserve"> </w:t>
      </w:r>
      <w:r w:rsidR="00523650" w:rsidRPr="00F332F0">
        <w:rPr>
          <w:rFonts w:ascii="Book Antiqua" w:hAnsi="Book Antiqua"/>
          <w:b/>
          <w:sz w:val="26"/>
        </w:rPr>
        <w:t>Conclusion</w:t>
      </w:r>
    </w:p>
    <w:p w14:paraId="11BC20F4" w14:textId="77777777" w:rsidR="00523650" w:rsidRPr="00E3232D" w:rsidRDefault="00523650" w:rsidP="00F332F0">
      <w:pPr>
        <w:jc w:val="both"/>
        <w:rPr>
          <w:rFonts w:ascii="Book Antiqua" w:hAnsi="Book Antiqua"/>
          <w:color w:val="FF0000"/>
        </w:rPr>
      </w:pPr>
      <w:r w:rsidRPr="00E3232D">
        <w:rPr>
          <w:rFonts w:ascii="Book Antiqua" w:hAnsi="Book Antiqua"/>
        </w:rPr>
        <w:t xml:space="preserve">The findings from this study show that hotels in Ghana understand the need to put their businesses on the internet.  As a result, many hotels have websites although their functionality is mainly skewed towards providing information about their facilities and services. It concludes that the hotel industry in Ghana has concentrated most of its internet marketing efforts towards generating transactions by using the internet as a publishing medium rather than putting in place internet tools aimed at </w:t>
      </w:r>
      <w:r w:rsidRPr="00E3232D">
        <w:rPr>
          <w:rFonts w:ascii="Book Antiqua" w:hAnsi="Book Antiqua"/>
        </w:rPr>
        <w:lastRenderedPageBreak/>
        <w:t>building long term relationships with the customer. These hotels have simply transformed their existing business strategy in their brick and mortar businesses to the internet.</w:t>
      </w:r>
      <w:r w:rsidRPr="00E3232D">
        <w:rPr>
          <w:rFonts w:ascii="Book Antiqua" w:hAnsi="Book Antiqua"/>
          <w:color w:val="FF0000"/>
        </w:rPr>
        <w:t xml:space="preserve"> </w:t>
      </w:r>
    </w:p>
    <w:p w14:paraId="7948E9E2" w14:textId="77777777" w:rsidR="00523650" w:rsidRPr="00E3232D" w:rsidRDefault="00523650" w:rsidP="00F332F0">
      <w:pPr>
        <w:spacing w:after="0"/>
        <w:jc w:val="both"/>
        <w:rPr>
          <w:rFonts w:ascii="Book Antiqua" w:hAnsi="Book Antiqua"/>
          <w:color w:val="FF0000"/>
        </w:rPr>
      </w:pPr>
      <w:r w:rsidRPr="00E3232D">
        <w:rPr>
          <w:rFonts w:ascii="Book Antiqua" w:hAnsi="Book Antiqua"/>
        </w:rPr>
        <w:t>The application of the Internet Marketing Mix model to the current internet marketing strategies of hotels in this study reveal that all the hotels have focused their internet strategies on a massive but relatively simple and generic transformation of the product and place dimensions (i.e., simple and generic VIS and VDS presence). In that regard most Ghanaian hotels have failed to exploit the interactivity and connectivity capabilities as well as the transformational impact of the internet to model their internet strategies for competitive advantage. This situation presents opportunity for improving on their internet marketing strategies in order to attract a bigger share of the hospitality market globally.</w:t>
      </w:r>
    </w:p>
    <w:p w14:paraId="7D417A9C" w14:textId="77777777" w:rsidR="000B4A9B" w:rsidRDefault="000B4A9B" w:rsidP="00F332F0">
      <w:pPr>
        <w:spacing w:after="0"/>
        <w:jc w:val="both"/>
        <w:rPr>
          <w:rFonts w:ascii="Book Antiqua" w:hAnsi="Book Antiqua"/>
        </w:rPr>
      </w:pPr>
    </w:p>
    <w:p w14:paraId="5409A815" w14:textId="77777777" w:rsidR="00523650" w:rsidRPr="00E3232D" w:rsidRDefault="00523650" w:rsidP="00F332F0">
      <w:pPr>
        <w:spacing w:after="0"/>
        <w:jc w:val="both"/>
        <w:rPr>
          <w:rFonts w:ascii="Book Antiqua" w:hAnsi="Book Antiqua"/>
        </w:rPr>
      </w:pPr>
      <w:r w:rsidRPr="00E3232D">
        <w:rPr>
          <w:rFonts w:ascii="Book Antiqua" w:hAnsi="Book Antiqua"/>
        </w:rPr>
        <w:t>In all, as customers demand for customize products and services, transparent on line transactions as well as superior customer services online, this coupled with influx of international hotels brands that significantly dominate the online market with their sophisticated and more extended internet marketing strategies; hotels in Ghana should seriously think of developing sophisticated internet marketing strategies to stay in competition.</w:t>
      </w:r>
    </w:p>
    <w:p w14:paraId="11821FBF" w14:textId="77777777" w:rsidR="00D56FA8" w:rsidRDefault="00D56FA8" w:rsidP="00F332F0">
      <w:pPr>
        <w:autoSpaceDE w:val="0"/>
        <w:autoSpaceDN w:val="0"/>
        <w:adjustRightInd w:val="0"/>
        <w:jc w:val="both"/>
        <w:rPr>
          <w:rFonts w:ascii="Book Antiqua" w:hAnsi="Book Antiqua"/>
          <w:b/>
        </w:rPr>
      </w:pPr>
    </w:p>
    <w:p w14:paraId="4808AE5D" w14:textId="77777777" w:rsidR="00312FAA" w:rsidRDefault="00312FAA" w:rsidP="00F332F0">
      <w:pPr>
        <w:autoSpaceDE w:val="0"/>
        <w:autoSpaceDN w:val="0"/>
        <w:adjustRightInd w:val="0"/>
        <w:spacing w:after="0"/>
        <w:jc w:val="both"/>
        <w:rPr>
          <w:rFonts w:ascii="Book Antiqua" w:hAnsi="Book Antiqua"/>
          <w:b/>
          <w:sz w:val="26"/>
        </w:rPr>
      </w:pPr>
    </w:p>
    <w:p w14:paraId="101606AC" w14:textId="77777777" w:rsidR="00312FAA" w:rsidRDefault="00312FAA" w:rsidP="00F332F0">
      <w:pPr>
        <w:autoSpaceDE w:val="0"/>
        <w:autoSpaceDN w:val="0"/>
        <w:adjustRightInd w:val="0"/>
        <w:spacing w:after="0"/>
        <w:jc w:val="both"/>
        <w:rPr>
          <w:rFonts w:ascii="Book Antiqua" w:hAnsi="Book Antiqua"/>
          <w:b/>
          <w:sz w:val="26"/>
        </w:rPr>
      </w:pPr>
    </w:p>
    <w:p w14:paraId="380AA2A4" w14:textId="77777777" w:rsidR="00623180" w:rsidRDefault="00623180" w:rsidP="00F332F0">
      <w:pPr>
        <w:autoSpaceDE w:val="0"/>
        <w:autoSpaceDN w:val="0"/>
        <w:adjustRightInd w:val="0"/>
        <w:spacing w:after="0"/>
        <w:jc w:val="both"/>
        <w:rPr>
          <w:rFonts w:ascii="Book Antiqua" w:hAnsi="Book Antiqua"/>
          <w:b/>
          <w:sz w:val="26"/>
        </w:rPr>
      </w:pPr>
    </w:p>
    <w:p w14:paraId="0B0E433A" w14:textId="77777777" w:rsidR="00523650" w:rsidRPr="00E3232D" w:rsidRDefault="00523650" w:rsidP="00F332F0">
      <w:pPr>
        <w:autoSpaceDE w:val="0"/>
        <w:autoSpaceDN w:val="0"/>
        <w:adjustRightInd w:val="0"/>
        <w:spacing w:after="0"/>
        <w:jc w:val="both"/>
        <w:rPr>
          <w:rFonts w:ascii="Book Antiqua" w:hAnsi="Book Antiqua"/>
          <w:b/>
        </w:rPr>
      </w:pPr>
      <w:r w:rsidRPr="00F332F0">
        <w:rPr>
          <w:rFonts w:ascii="Book Antiqua" w:hAnsi="Book Antiqua"/>
          <w:b/>
          <w:sz w:val="26"/>
        </w:rPr>
        <w:t>References</w:t>
      </w:r>
    </w:p>
    <w:p w14:paraId="3D35ACC9"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Anckar, B., &amp; Walden, P., (2001).</w:t>
      </w:r>
    </w:p>
    <w:p w14:paraId="4F327502" w14:textId="77777777" w:rsidR="00523650" w:rsidRPr="00E3232D" w:rsidRDefault="00523650" w:rsidP="00F332F0">
      <w:pPr>
        <w:autoSpaceDE w:val="0"/>
        <w:autoSpaceDN w:val="0"/>
        <w:adjustRightInd w:val="0"/>
        <w:spacing w:after="0"/>
        <w:ind w:firstLine="720"/>
        <w:jc w:val="both"/>
        <w:rPr>
          <w:rFonts w:ascii="Book Antiqua" w:hAnsi="Book Antiqua"/>
        </w:rPr>
      </w:pPr>
      <w:r w:rsidRPr="00E3232D">
        <w:rPr>
          <w:rFonts w:ascii="Book Antiqua" w:hAnsi="Book Antiqua"/>
        </w:rPr>
        <w:t>Introducing web technology in small</w:t>
      </w:r>
    </w:p>
    <w:p w14:paraId="5DBFAD55" w14:textId="77777777" w:rsidR="00523650" w:rsidRPr="00E3232D" w:rsidRDefault="00523650" w:rsidP="00F332F0">
      <w:pPr>
        <w:autoSpaceDE w:val="0"/>
        <w:autoSpaceDN w:val="0"/>
        <w:adjustRightInd w:val="0"/>
        <w:spacing w:after="0"/>
        <w:ind w:firstLine="720"/>
        <w:jc w:val="both"/>
        <w:rPr>
          <w:rFonts w:ascii="Book Antiqua" w:hAnsi="Book Antiqua"/>
        </w:rPr>
      </w:pPr>
      <w:r w:rsidRPr="00E3232D">
        <w:rPr>
          <w:rFonts w:ascii="Book Antiqua" w:hAnsi="Book Antiqua"/>
        </w:rPr>
        <w:t>peripheral hospitality organizations,</w:t>
      </w:r>
    </w:p>
    <w:p w14:paraId="1D698D64" w14:textId="77777777" w:rsidR="00523650" w:rsidRPr="00E3232D" w:rsidRDefault="00523650" w:rsidP="00F332F0">
      <w:pPr>
        <w:autoSpaceDE w:val="0"/>
        <w:autoSpaceDN w:val="0"/>
        <w:adjustRightInd w:val="0"/>
        <w:spacing w:after="0"/>
        <w:ind w:firstLine="720"/>
        <w:jc w:val="both"/>
        <w:rPr>
          <w:rFonts w:ascii="Book Antiqua" w:hAnsi="Book Antiqua"/>
          <w:i/>
        </w:rPr>
      </w:pPr>
      <w:r w:rsidRPr="00E3232D">
        <w:rPr>
          <w:rFonts w:ascii="Book Antiqua" w:hAnsi="Book Antiqua"/>
          <w:i/>
        </w:rPr>
        <w:t>International Journal of</w:t>
      </w:r>
    </w:p>
    <w:p w14:paraId="7562044D" w14:textId="77777777" w:rsidR="00523650" w:rsidRPr="00E3232D" w:rsidRDefault="00523650" w:rsidP="00F332F0">
      <w:pPr>
        <w:autoSpaceDE w:val="0"/>
        <w:autoSpaceDN w:val="0"/>
        <w:adjustRightInd w:val="0"/>
        <w:spacing w:after="0"/>
        <w:ind w:firstLine="720"/>
        <w:jc w:val="both"/>
        <w:rPr>
          <w:rFonts w:ascii="Book Antiqua" w:hAnsi="Book Antiqua"/>
          <w:i/>
        </w:rPr>
      </w:pPr>
      <w:r w:rsidRPr="00E3232D">
        <w:rPr>
          <w:rFonts w:ascii="Book Antiqua" w:hAnsi="Book Antiqua"/>
          <w:i/>
        </w:rPr>
        <w:t>Contemporary Hospitality</w:t>
      </w:r>
    </w:p>
    <w:p w14:paraId="4C4BE90B" w14:textId="77777777" w:rsidR="00523650" w:rsidRDefault="00523650" w:rsidP="00F332F0">
      <w:pPr>
        <w:autoSpaceDE w:val="0"/>
        <w:autoSpaceDN w:val="0"/>
        <w:adjustRightInd w:val="0"/>
        <w:spacing w:after="0"/>
        <w:ind w:firstLine="720"/>
        <w:jc w:val="both"/>
        <w:rPr>
          <w:rFonts w:ascii="Book Antiqua" w:hAnsi="Book Antiqua"/>
        </w:rPr>
      </w:pPr>
      <w:r w:rsidRPr="00E3232D">
        <w:rPr>
          <w:rFonts w:ascii="Book Antiqua" w:hAnsi="Book Antiqua"/>
          <w:i/>
        </w:rPr>
        <w:t xml:space="preserve">Management, </w:t>
      </w:r>
      <w:r w:rsidRPr="00E3232D">
        <w:rPr>
          <w:rFonts w:ascii="Book Antiqua" w:hAnsi="Book Antiqua"/>
        </w:rPr>
        <w:t>13(5), pp. 241-   250</w:t>
      </w:r>
    </w:p>
    <w:p w14:paraId="17383A91" w14:textId="77777777" w:rsidR="00F332F0" w:rsidRPr="00E3232D" w:rsidRDefault="00F332F0" w:rsidP="00F332F0">
      <w:pPr>
        <w:autoSpaceDE w:val="0"/>
        <w:autoSpaceDN w:val="0"/>
        <w:adjustRightInd w:val="0"/>
        <w:spacing w:after="0"/>
        <w:ind w:firstLine="720"/>
        <w:jc w:val="both"/>
        <w:rPr>
          <w:rFonts w:ascii="Book Antiqua" w:hAnsi="Book Antiqua"/>
          <w:i/>
        </w:rPr>
      </w:pPr>
    </w:p>
    <w:p w14:paraId="632B91E8"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Angehrn, A. (1997). Designing mature</w:t>
      </w:r>
    </w:p>
    <w:p w14:paraId="19896B31" w14:textId="77777777" w:rsidR="00523650" w:rsidRPr="00E3232D" w:rsidRDefault="00523650" w:rsidP="00F332F0">
      <w:pPr>
        <w:autoSpaceDE w:val="0"/>
        <w:autoSpaceDN w:val="0"/>
        <w:adjustRightInd w:val="0"/>
        <w:spacing w:after="0"/>
        <w:ind w:firstLine="720"/>
        <w:jc w:val="both"/>
        <w:rPr>
          <w:rFonts w:ascii="Book Antiqua" w:hAnsi="Book Antiqua"/>
        </w:rPr>
      </w:pPr>
      <w:r w:rsidRPr="00E3232D">
        <w:rPr>
          <w:rFonts w:ascii="Book Antiqua" w:hAnsi="Book Antiqua"/>
        </w:rPr>
        <w:t>Internet business strategies: The</w:t>
      </w:r>
    </w:p>
    <w:p w14:paraId="47E1FE95" w14:textId="77777777" w:rsidR="00523650" w:rsidRPr="00E3232D" w:rsidRDefault="00523650" w:rsidP="00F332F0">
      <w:pPr>
        <w:autoSpaceDE w:val="0"/>
        <w:autoSpaceDN w:val="0"/>
        <w:adjustRightInd w:val="0"/>
        <w:spacing w:after="0"/>
        <w:ind w:firstLine="720"/>
        <w:jc w:val="both"/>
        <w:rPr>
          <w:rFonts w:ascii="Book Antiqua" w:hAnsi="Book Antiqua"/>
          <w:i/>
          <w:iCs/>
        </w:rPr>
      </w:pPr>
      <w:r w:rsidRPr="00E3232D">
        <w:rPr>
          <w:rFonts w:ascii="Book Antiqua" w:hAnsi="Book Antiqua"/>
        </w:rPr>
        <w:t xml:space="preserve">ICDT model, </w:t>
      </w:r>
      <w:r w:rsidRPr="00E3232D">
        <w:rPr>
          <w:rFonts w:ascii="Book Antiqua" w:hAnsi="Book Antiqua"/>
          <w:i/>
          <w:iCs/>
        </w:rPr>
        <w:t>European Management</w:t>
      </w:r>
    </w:p>
    <w:p w14:paraId="43F0746B" w14:textId="77777777" w:rsidR="00523650" w:rsidRDefault="00523650" w:rsidP="00F332F0">
      <w:pPr>
        <w:autoSpaceDE w:val="0"/>
        <w:autoSpaceDN w:val="0"/>
        <w:adjustRightInd w:val="0"/>
        <w:spacing w:after="0"/>
        <w:ind w:firstLine="720"/>
        <w:jc w:val="both"/>
        <w:rPr>
          <w:rFonts w:ascii="Book Antiqua" w:hAnsi="Book Antiqua"/>
        </w:rPr>
      </w:pPr>
      <w:r w:rsidRPr="00E3232D">
        <w:rPr>
          <w:rFonts w:ascii="Book Antiqua" w:hAnsi="Book Antiqua"/>
          <w:i/>
          <w:iCs/>
        </w:rPr>
        <w:t>Journal</w:t>
      </w:r>
      <w:r w:rsidRPr="00E3232D">
        <w:rPr>
          <w:rFonts w:ascii="Book Antiqua" w:hAnsi="Book Antiqua"/>
          <w:i/>
        </w:rPr>
        <w:t>,</w:t>
      </w:r>
      <w:r w:rsidRPr="00E3232D">
        <w:rPr>
          <w:rFonts w:ascii="Book Antiqua" w:hAnsi="Book Antiqua"/>
        </w:rPr>
        <w:t xml:space="preserve"> </w:t>
      </w:r>
      <w:r w:rsidRPr="00E3232D">
        <w:rPr>
          <w:rFonts w:ascii="Book Antiqua" w:hAnsi="Book Antiqua"/>
          <w:i/>
          <w:iCs/>
        </w:rPr>
        <w:t>15</w:t>
      </w:r>
      <w:r w:rsidRPr="00E3232D">
        <w:rPr>
          <w:rFonts w:ascii="Book Antiqua" w:hAnsi="Book Antiqua"/>
        </w:rPr>
        <w:t>(4), 361-369.</w:t>
      </w:r>
    </w:p>
    <w:p w14:paraId="7AAF01FD" w14:textId="77777777" w:rsidR="00F332F0" w:rsidRPr="00E3232D" w:rsidRDefault="00F332F0" w:rsidP="00F332F0">
      <w:pPr>
        <w:autoSpaceDE w:val="0"/>
        <w:autoSpaceDN w:val="0"/>
        <w:adjustRightInd w:val="0"/>
        <w:spacing w:after="0"/>
        <w:ind w:firstLine="720"/>
        <w:jc w:val="both"/>
        <w:rPr>
          <w:rFonts w:ascii="Book Antiqua" w:hAnsi="Book Antiqua"/>
        </w:rPr>
      </w:pPr>
    </w:p>
    <w:p w14:paraId="26EC2DF0"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Angehrn, A.A. and Meyer J.F., (1997).</w:t>
      </w:r>
    </w:p>
    <w:p w14:paraId="4DAB20BC"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Internet Strategies: Insights from the Banking Sector, </w:t>
      </w:r>
      <w:r w:rsidRPr="00E3232D">
        <w:rPr>
          <w:rFonts w:ascii="Book Antiqua" w:hAnsi="Book Antiqua"/>
          <w:i/>
        </w:rPr>
        <w:t>Information Systems Management,</w:t>
      </w:r>
      <w:r w:rsidRPr="00E3232D">
        <w:rPr>
          <w:rFonts w:ascii="Book Antiqua" w:hAnsi="Book Antiqua"/>
        </w:rPr>
        <w:t xml:space="preserve"> 14, 3,.</w:t>
      </w:r>
    </w:p>
    <w:p w14:paraId="3913B041" w14:textId="77777777" w:rsidR="00F332F0" w:rsidRPr="00E3232D" w:rsidRDefault="00F332F0" w:rsidP="00F332F0">
      <w:pPr>
        <w:autoSpaceDE w:val="0"/>
        <w:autoSpaceDN w:val="0"/>
        <w:adjustRightInd w:val="0"/>
        <w:spacing w:after="0"/>
        <w:ind w:left="720"/>
        <w:jc w:val="both"/>
        <w:rPr>
          <w:rFonts w:ascii="Book Antiqua" w:hAnsi="Book Antiqua"/>
        </w:rPr>
      </w:pPr>
    </w:p>
    <w:p w14:paraId="435D6CEE"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Azzone G., Blanchi, R.,&amp; Noel, G. (2000).</w:t>
      </w:r>
    </w:p>
    <w:p w14:paraId="7228AC97"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The company’sWeb site: Different configurations, evolutionary path. </w:t>
      </w:r>
      <w:r w:rsidRPr="00E3232D">
        <w:rPr>
          <w:rFonts w:ascii="Book Antiqua" w:hAnsi="Book Antiqua"/>
          <w:i/>
          <w:iCs/>
        </w:rPr>
        <w:t>Management Decision</w:t>
      </w:r>
      <w:r w:rsidRPr="00E3232D">
        <w:rPr>
          <w:rFonts w:ascii="Book Antiqua" w:hAnsi="Book Antiqua"/>
        </w:rPr>
        <w:t xml:space="preserve">, </w:t>
      </w:r>
      <w:r w:rsidRPr="00E3232D">
        <w:rPr>
          <w:rFonts w:ascii="Book Antiqua" w:hAnsi="Book Antiqua"/>
          <w:i/>
          <w:iCs/>
        </w:rPr>
        <w:t>38</w:t>
      </w:r>
      <w:r w:rsidRPr="00E3232D">
        <w:rPr>
          <w:rFonts w:ascii="Book Antiqua" w:hAnsi="Book Antiqua"/>
        </w:rPr>
        <w:t>(7), 470-479.</w:t>
      </w:r>
    </w:p>
    <w:p w14:paraId="1D721DA9" w14:textId="77777777" w:rsidR="00F332F0" w:rsidRPr="00E3232D" w:rsidRDefault="00F332F0" w:rsidP="00F332F0">
      <w:pPr>
        <w:autoSpaceDE w:val="0"/>
        <w:autoSpaceDN w:val="0"/>
        <w:adjustRightInd w:val="0"/>
        <w:spacing w:after="0"/>
        <w:ind w:left="720"/>
        <w:jc w:val="both"/>
        <w:rPr>
          <w:rFonts w:ascii="Book Antiqua" w:hAnsi="Book Antiqua"/>
        </w:rPr>
      </w:pPr>
    </w:p>
    <w:p w14:paraId="3DE89929"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Baloglu, S., &amp; Pekcan, Y. A. (2006), “The</w:t>
      </w:r>
    </w:p>
    <w:p w14:paraId="1F489FA6" w14:textId="77777777" w:rsidR="00523650" w:rsidRPr="00E3232D" w:rsidRDefault="00523650" w:rsidP="00F332F0">
      <w:pPr>
        <w:autoSpaceDE w:val="0"/>
        <w:autoSpaceDN w:val="0"/>
        <w:adjustRightInd w:val="0"/>
        <w:spacing w:after="0"/>
        <w:ind w:firstLine="720"/>
        <w:jc w:val="both"/>
        <w:rPr>
          <w:rFonts w:ascii="Book Antiqua" w:hAnsi="Book Antiqua"/>
        </w:rPr>
      </w:pPr>
      <w:r w:rsidRPr="00E3232D">
        <w:rPr>
          <w:rFonts w:ascii="Book Antiqua" w:hAnsi="Book Antiqua"/>
        </w:rPr>
        <w:t>website design and Internet site</w:t>
      </w:r>
    </w:p>
    <w:p w14:paraId="40217068" w14:textId="77777777" w:rsidR="00523650" w:rsidRPr="00E3232D"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marketing practices of upscale and luxury hotels in Turkey,” Tourism Management, 27(1), pp. 171–176.</w:t>
      </w:r>
    </w:p>
    <w:p w14:paraId="5DE21C19" w14:textId="77777777" w:rsidR="00F332F0" w:rsidRDefault="00F332F0" w:rsidP="00F332F0">
      <w:pPr>
        <w:autoSpaceDE w:val="0"/>
        <w:autoSpaceDN w:val="0"/>
        <w:adjustRightInd w:val="0"/>
        <w:spacing w:after="0"/>
        <w:jc w:val="both"/>
        <w:rPr>
          <w:rFonts w:ascii="Book Antiqua" w:hAnsi="Book Antiqua"/>
        </w:rPr>
      </w:pPr>
    </w:p>
    <w:p w14:paraId="465CCE83"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Brady, M., Saren, M., &amp; Tzokas, N. (1999),</w:t>
      </w:r>
    </w:p>
    <w:p w14:paraId="716B52DA" w14:textId="77777777" w:rsidR="00523650" w:rsidRPr="00E3232D"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“The impact of IT on marketing: An evaluation”, </w:t>
      </w:r>
      <w:r w:rsidRPr="00E3232D">
        <w:rPr>
          <w:rFonts w:ascii="Book Antiqua" w:hAnsi="Book Antiqua"/>
          <w:iCs/>
        </w:rPr>
        <w:t>Management Decision</w:t>
      </w:r>
      <w:r w:rsidRPr="00E3232D">
        <w:rPr>
          <w:rFonts w:ascii="Book Antiqua" w:hAnsi="Book Antiqua"/>
        </w:rPr>
        <w:t xml:space="preserve">, </w:t>
      </w:r>
      <w:r w:rsidRPr="00E3232D">
        <w:rPr>
          <w:rFonts w:ascii="Book Antiqua" w:hAnsi="Book Antiqua"/>
          <w:iCs/>
        </w:rPr>
        <w:t>37</w:t>
      </w:r>
      <w:r w:rsidRPr="00E3232D">
        <w:rPr>
          <w:rFonts w:ascii="Book Antiqua" w:hAnsi="Book Antiqua"/>
        </w:rPr>
        <w:t>(10), 758-766.</w:t>
      </w:r>
    </w:p>
    <w:p w14:paraId="3D56582D" w14:textId="77777777" w:rsidR="00F332F0" w:rsidRDefault="00F332F0" w:rsidP="00F332F0">
      <w:pPr>
        <w:autoSpaceDE w:val="0"/>
        <w:autoSpaceDN w:val="0"/>
        <w:adjustRightInd w:val="0"/>
        <w:spacing w:after="0"/>
        <w:jc w:val="both"/>
        <w:rPr>
          <w:rFonts w:ascii="Book Antiqua" w:hAnsi="Book Antiqua"/>
        </w:rPr>
      </w:pPr>
    </w:p>
    <w:p w14:paraId="34818E3D"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Buhalis, D., &amp; Licata, M. C., (2002), “The</w:t>
      </w:r>
    </w:p>
    <w:p w14:paraId="693A9678"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Future E-Tourism Intermediaries”, TourismManagement, 23, No. 3, pp. 207-220</w:t>
      </w:r>
    </w:p>
    <w:p w14:paraId="07AB7168" w14:textId="77777777" w:rsidR="00F332F0" w:rsidRPr="00E3232D" w:rsidRDefault="00F332F0" w:rsidP="00F332F0">
      <w:pPr>
        <w:autoSpaceDE w:val="0"/>
        <w:autoSpaceDN w:val="0"/>
        <w:adjustRightInd w:val="0"/>
        <w:spacing w:after="0"/>
        <w:ind w:left="720"/>
        <w:jc w:val="both"/>
        <w:rPr>
          <w:rFonts w:ascii="Book Antiqua" w:hAnsi="Book Antiqua"/>
        </w:rPr>
      </w:pPr>
    </w:p>
    <w:p w14:paraId="572A6744"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Chen, S. (2001). Assessing the impact of the</w:t>
      </w:r>
    </w:p>
    <w:p w14:paraId="10C8764B" w14:textId="77777777" w:rsidR="00523650" w:rsidRPr="00E3232D" w:rsidRDefault="00523650" w:rsidP="00F332F0">
      <w:pPr>
        <w:autoSpaceDE w:val="0"/>
        <w:autoSpaceDN w:val="0"/>
        <w:adjustRightInd w:val="0"/>
        <w:spacing w:after="0"/>
        <w:ind w:firstLine="720"/>
        <w:jc w:val="both"/>
        <w:rPr>
          <w:rFonts w:ascii="Book Antiqua" w:hAnsi="Book Antiqua"/>
          <w:i/>
          <w:iCs/>
        </w:rPr>
      </w:pPr>
      <w:r w:rsidRPr="00E3232D">
        <w:rPr>
          <w:rFonts w:ascii="Book Antiqua" w:hAnsi="Book Antiqua"/>
        </w:rPr>
        <w:lastRenderedPageBreak/>
        <w:t xml:space="preserve">Internet on brands. </w:t>
      </w:r>
      <w:r w:rsidRPr="00E3232D">
        <w:rPr>
          <w:rFonts w:ascii="Book Antiqua" w:hAnsi="Book Antiqua"/>
          <w:i/>
          <w:iCs/>
        </w:rPr>
        <w:t>Journal of Brand</w:t>
      </w:r>
    </w:p>
    <w:p w14:paraId="756EE5DF" w14:textId="77777777" w:rsidR="00523650" w:rsidRDefault="00523650" w:rsidP="00F332F0">
      <w:pPr>
        <w:autoSpaceDE w:val="0"/>
        <w:autoSpaceDN w:val="0"/>
        <w:adjustRightInd w:val="0"/>
        <w:spacing w:after="0"/>
        <w:ind w:firstLine="720"/>
        <w:jc w:val="both"/>
        <w:rPr>
          <w:rFonts w:ascii="Book Antiqua" w:hAnsi="Book Antiqua"/>
        </w:rPr>
      </w:pPr>
      <w:r w:rsidRPr="00E3232D">
        <w:rPr>
          <w:rFonts w:ascii="Book Antiqua" w:hAnsi="Book Antiqua"/>
          <w:i/>
          <w:iCs/>
        </w:rPr>
        <w:t>Management</w:t>
      </w:r>
      <w:r w:rsidRPr="00E3232D">
        <w:rPr>
          <w:rFonts w:ascii="Book Antiqua" w:hAnsi="Book Antiqua"/>
        </w:rPr>
        <w:t xml:space="preserve">, </w:t>
      </w:r>
      <w:r w:rsidRPr="00E3232D">
        <w:rPr>
          <w:rFonts w:ascii="Book Antiqua" w:hAnsi="Book Antiqua"/>
          <w:i/>
          <w:iCs/>
        </w:rPr>
        <w:t>8</w:t>
      </w:r>
      <w:r w:rsidRPr="00E3232D">
        <w:rPr>
          <w:rFonts w:ascii="Book Antiqua" w:hAnsi="Book Antiqua"/>
        </w:rPr>
        <w:t>(415), 288-302.</w:t>
      </w:r>
    </w:p>
    <w:p w14:paraId="3A7598EB" w14:textId="77777777" w:rsidR="00F332F0" w:rsidRPr="00E3232D" w:rsidRDefault="00F332F0" w:rsidP="00F332F0">
      <w:pPr>
        <w:autoSpaceDE w:val="0"/>
        <w:autoSpaceDN w:val="0"/>
        <w:adjustRightInd w:val="0"/>
        <w:spacing w:after="0"/>
        <w:ind w:firstLine="720"/>
        <w:jc w:val="both"/>
        <w:rPr>
          <w:rFonts w:ascii="Book Antiqua" w:hAnsi="Book Antiqua"/>
        </w:rPr>
      </w:pPr>
    </w:p>
    <w:p w14:paraId="4C78416B" w14:textId="77777777" w:rsidR="00523650" w:rsidRPr="00E3232D" w:rsidRDefault="00523650" w:rsidP="00F332F0">
      <w:pPr>
        <w:autoSpaceDE w:val="0"/>
        <w:autoSpaceDN w:val="0"/>
        <w:adjustRightInd w:val="0"/>
        <w:spacing w:after="0"/>
        <w:jc w:val="both"/>
        <w:rPr>
          <w:rFonts w:ascii="Book Antiqua" w:hAnsi="Book Antiqua"/>
          <w:bCs/>
        </w:rPr>
      </w:pPr>
      <w:r w:rsidRPr="00E3232D">
        <w:rPr>
          <w:rFonts w:ascii="Book Antiqua" w:hAnsi="Book Antiqua"/>
        </w:rPr>
        <w:t>Greenwald J., Hoover C., (2010), “</w:t>
      </w:r>
      <w:r w:rsidRPr="00E3232D">
        <w:rPr>
          <w:rFonts w:ascii="Book Antiqua" w:hAnsi="Book Antiqua"/>
          <w:bCs/>
        </w:rPr>
        <w:t>The</w:t>
      </w:r>
    </w:p>
    <w:p w14:paraId="3C727BBD" w14:textId="77777777" w:rsidR="00523650" w:rsidRDefault="00523650" w:rsidP="00F332F0">
      <w:pPr>
        <w:autoSpaceDE w:val="0"/>
        <w:autoSpaceDN w:val="0"/>
        <w:adjustRightInd w:val="0"/>
        <w:spacing w:after="0"/>
        <w:ind w:left="720"/>
        <w:jc w:val="both"/>
        <w:rPr>
          <w:rFonts w:ascii="Book Antiqua" w:hAnsi="Book Antiqua"/>
          <w:bCs/>
        </w:rPr>
      </w:pPr>
      <w:r w:rsidRPr="00E3232D">
        <w:rPr>
          <w:rFonts w:ascii="Book Antiqua" w:hAnsi="Book Antiqua"/>
          <w:bCs/>
        </w:rPr>
        <w:t>World's Best Ethical Travel Destinations (ethicaldestinations.org)</w:t>
      </w:r>
    </w:p>
    <w:p w14:paraId="0F01E1A6" w14:textId="77777777" w:rsidR="00F332F0" w:rsidRPr="00E3232D" w:rsidRDefault="00F332F0" w:rsidP="00F332F0">
      <w:pPr>
        <w:autoSpaceDE w:val="0"/>
        <w:autoSpaceDN w:val="0"/>
        <w:adjustRightInd w:val="0"/>
        <w:spacing w:after="0"/>
        <w:ind w:left="720"/>
        <w:jc w:val="both"/>
        <w:rPr>
          <w:rFonts w:ascii="Book Antiqua" w:hAnsi="Book Antiqua"/>
          <w:bCs/>
        </w:rPr>
      </w:pPr>
    </w:p>
    <w:p w14:paraId="563A4491"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Hanson, W., (2000), “</w:t>
      </w:r>
      <w:r w:rsidRPr="00E3232D">
        <w:rPr>
          <w:rFonts w:ascii="Book Antiqua" w:hAnsi="Book Antiqua"/>
          <w:iCs/>
        </w:rPr>
        <w:t>Internet marketing”</w:t>
      </w:r>
      <w:r w:rsidRPr="00E3232D">
        <w:rPr>
          <w:rFonts w:ascii="Book Antiqua" w:hAnsi="Book Antiqua"/>
        </w:rPr>
        <w:t>,</w:t>
      </w:r>
    </w:p>
    <w:p w14:paraId="14654F69"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Cincinnati, OH: South-Western CollegePublishing</w:t>
      </w:r>
    </w:p>
    <w:p w14:paraId="0DA435BB" w14:textId="77777777" w:rsidR="00F332F0" w:rsidRPr="00E3232D" w:rsidRDefault="00F332F0" w:rsidP="00F332F0">
      <w:pPr>
        <w:autoSpaceDE w:val="0"/>
        <w:autoSpaceDN w:val="0"/>
        <w:adjustRightInd w:val="0"/>
        <w:spacing w:after="0"/>
        <w:ind w:left="720"/>
        <w:jc w:val="both"/>
        <w:rPr>
          <w:rFonts w:ascii="Book Antiqua" w:hAnsi="Book Antiqua"/>
        </w:rPr>
      </w:pPr>
    </w:p>
    <w:p w14:paraId="6FADFE74"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Ismail, J. A., &amp; Mills, J. E. (2001), “Contract</w:t>
      </w:r>
    </w:p>
    <w:p w14:paraId="010798D6" w14:textId="77777777" w:rsidR="00523650" w:rsidRPr="00E3232D"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disputes in travel and tourism: When the online deal goes bad”. Journal of Travel and Tourism Marketing, 11(2–3), pp. 63-83.</w:t>
      </w:r>
    </w:p>
    <w:p w14:paraId="1B7F046A"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Leeflang, P.S.H., &amp; Wittink, D. R. (2000),</w:t>
      </w:r>
    </w:p>
    <w:p w14:paraId="72D91299"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“Building models for marketing decisions: Past, presentand future”, International Journal of Research in Marketing, 17, pp. 105-126</w:t>
      </w:r>
    </w:p>
    <w:p w14:paraId="0CAB76DA" w14:textId="77777777" w:rsidR="00F332F0" w:rsidRPr="00E3232D" w:rsidRDefault="00F332F0" w:rsidP="00F332F0">
      <w:pPr>
        <w:autoSpaceDE w:val="0"/>
        <w:autoSpaceDN w:val="0"/>
        <w:adjustRightInd w:val="0"/>
        <w:spacing w:after="0"/>
        <w:ind w:left="720"/>
        <w:jc w:val="both"/>
        <w:rPr>
          <w:rFonts w:ascii="Book Antiqua" w:hAnsi="Book Antiqua"/>
        </w:rPr>
      </w:pPr>
    </w:p>
    <w:p w14:paraId="28FB3D6C"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Lichtenthal, J. D. and Eliaz, S., (2003).</w:t>
      </w:r>
    </w:p>
    <w:p w14:paraId="497022DD"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“Internet integration in business marketing tactics”, Industrial Marketing Management, 32, pp.3-13</w:t>
      </w:r>
    </w:p>
    <w:p w14:paraId="6DF64ED3" w14:textId="77777777" w:rsidR="00F332F0" w:rsidRPr="00E3232D" w:rsidRDefault="00F332F0" w:rsidP="00F332F0">
      <w:pPr>
        <w:autoSpaceDE w:val="0"/>
        <w:autoSpaceDN w:val="0"/>
        <w:adjustRightInd w:val="0"/>
        <w:spacing w:after="0"/>
        <w:ind w:left="720"/>
        <w:jc w:val="both"/>
        <w:rPr>
          <w:rFonts w:ascii="Book Antiqua" w:hAnsi="Book Antiqua"/>
        </w:rPr>
      </w:pPr>
    </w:p>
    <w:p w14:paraId="1D3AECFD" w14:textId="77777777" w:rsidR="00523650" w:rsidRPr="00E3232D" w:rsidRDefault="00523650" w:rsidP="00F332F0">
      <w:pPr>
        <w:spacing w:after="0"/>
        <w:jc w:val="both"/>
        <w:rPr>
          <w:rFonts w:ascii="Book Antiqua" w:hAnsi="Book Antiqua"/>
        </w:rPr>
      </w:pPr>
      <w:r w:rsidRPr="00E3232D">
        <w:rPr>
          <w:rFonts w:ascii="Book Antiqua" w:hAnsi="Book Antiqua"/>
        </w:rPr>
        <w:t>Mahajan, V., &amp; Venkatesh, R. (2000),</w:t>
      </w:r>
    </w:p>
    <w:p w14:paraId="78A274F5" w14:textId="77777777" w:rsidR="00523650" w:rsidRDefault="00523650" w:rsidP="00F332F0">
      <w:pPr>
        <w:spacing w:after="0"/>
        <w:ind w:left="720"/>
        <w:jc w:val="both"/>
        <w:rPr>
          <w:rFonts w:ascii="Book Antiqua" w:hAnsi="Book Antiqua"/>
        </w:rPr>
      </w:pPr>
      <w:r w:rsidRPr="00E3232D">
        <w:rPr>
          <w:rFonts w:ascii="Book Antiqua" w:hAnsi="Book Antiqua"/>
        </w:rPr>
        <w:t>“Marketing modelling for e business”, International Journal of Research in Marketing, 17, pp. 215-225</w:t>
      </w:r>
    </w:p>
    <w:p w14:paraId="0B6DCD0C" w14:textId="77777777" w:rsidR="00F332F0" w:rsidRPr="00E3232D" w:rsidRDefault="00F332F0" w:rsidP="00F332F0">
      <w:pPr>
        <w:spacing w:after="0"/>
        <w:ind w:left="720"/>
        <w:jc w:val="both"/>
        <w:rPr>
          <w:rFonts w:ascii="Book Antiqua" w:hAnsi="Book Antiqua"/>
        </w:rPr>
      </w:pPr>
    </w:p>
    <w:p w14:paraId="0E600A86" w14:textId="77777777" w:rsidR="00523650" w:rsidRPr="00E3232D" w:rsidRDefault="00523650" w:rsidP="00F332F0">
      <w:pPr>
        <w:spacing w:after="0"/>
        <w:jc w:val="both"/>
        <w:rPr>
          <w:rFonts w:ascii="Book Antiqua" w:hAnsi="Book Antiqua"/>
        </w:rPr>
      </w:pPr>
      <w:r w:rsidRPr="00E3232D">
        <w:rPr>
          <w:rFonts w:ascii="Book Antiqua" w:hAnsi="Book Antiqua"/>
        </w:rPr>
        <w:t>Migiro, S. O., &amp; Ocholla, D. N., (2005),</w:t>
      </w:r>
    </w:p>
    <w:p w14:paraId="15805CE5" w14:textId="77777777" w:rsidR="00523650" w:rsidRDefault="00523650" w:rsidP="00F332F0">
      <w:pPr>
        <w:spacing w:after="0"/>
        <w:ind w:left="720"/>
        <w:jc w:val="both"/>
        <w:rPr>
          <w:rFonts w:ascii="Book Antiqua" w:hAnsi="Book Antiqua"/>
        </w:rPr>
      </w:pPr>
      <w:r w:rsidRPr="00E3232D">
        <w:rPr>
          <w:rFonts w:ascii="Book Antiqua" w:hAnsi="Book Antiqua"/>
        </w:rPr>
        <w:t>“Information and communication technologies in small and medium scale tourism enterprises in Durban, South Africa”, Information Development, 21(4), pp. 283-294.</w:t>
      </w:r>
    </w:p>
    <w:p w14:paraId="78788917" w14:textId="77777777" w:rsidR="00F332F0" w:rsidRPr="00E3232D" w:rsidRDefault="00F332F0" w:rsidP="00F332F0">
      <w:pPr>
        <w:spacing w:after="0"/>
        <w:ind w:left="720"/>
        <w:jc w:val="both"/>
        <w:rPr>
          <w:rFonts w:ascii="Book Antiqua" w:hAnsi="Book Antiqua"/>
        </w:rPr>
      </w:pPr>
    </w:p>
    <w:p w14:paraId="433037A2" w14:textId="77777777" w:rsidR="00523650" w:rsidRPr="00E3232D" w:rsidRDefault="00523650" w:rsidP="00F332F0">
      <w:pPr>
        <w:spacing w:after="0"/>
        <w:jc w:val="both"/>
        <w:rPr>
          <w:rFonts w:ascii="Book Antiqua" w:hAnsi="Book Antiqua"/>
        </w:rPr>
      </w:pPr>
      <w:r w:rsidRPr="00E3232D">
        <w:rPr>
          <w:rFonts w:ascii="Book Antiqua" w:hAnsi="Book Antiqua"/>
        </w:rPr>
        <w:t>Mzumbe, K. (2005) eTourism for</w:t>
      </w:r>
    </w:p>
    <w:p w14:paraId="2BD31A7E" w14:textId="77777777" w:rsidR="00523650" w:rsidRDefault="00523650" w:rsidP="00F332F0">
      <w:pPr>
        <w:spacing w:after="0"/>
        <w:ind w:left="720"/>
        <w:jc w:val="both"/>
        <w:rPr>
          <w:rFonts w:ascii="Book Antiqua" w:hAnsi="Book Antiqua"/>
        </w:rPr>
      </w:pPr>
      <w:r w:rsidRPr="00E3232D">
        <w:rPr>
          <w:rFonts w:ascii="Book Antiqua" w:hAnsi="Book Antiqua"/>
        </w:rPr>
        <w:t xml:space="preserve">Empowering Small and Medium Enterprises in Poverty Eradication in Tanzania, </w:t>
      </w:r>
      <w:r w:rsidRPr="00E3232D">
        <w:rPr>
          <w:rFonts w:ascii="Book Antiqua" w:hAnsi="Book Antiqua"/>
          <w:i/>
        </w:rPr>
        <w:t>IAABD 2005 Conference Proceedings,</w:t>
      </w:r>
      <w:r w:rsidRPr="00E3232D">
        <w:rPr>
          <w:rFonts w:ascii="Book Antiqua" w:hAnsi="Book Antiqua"/>
        </w:rPr>
        <w:t xml:space="preserve"> VI, 363-371.</w:t>
      </w:r>
    </w:p>
    <w:p w14:paraId="5CAC290A" w14:textId="77777777" w:rsidR="00F332F0" w:rsidRPr="00E3232D" w:rsidRDefault="00F332F0" w:rsidP="00F332F0">
      <w:pPr>
        <w:spacing w:after="0"/>
        <w:ind w:left="720"/>
        <w:jc w:val="both"/>
        <w:rPr>
          <w:rFonts w:ascii="Book Antiqua" w:hAnsi="Book Antiqua"/>
        </w:rPr>
      </w:pPr>
    </w:p>
    <w:p w14:paraId="53AF5998"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Ngai, E.W.T., (2003). “Commentary; Internet</w:t>
      </w:r>
    </w:p>
    <w:p w14:paraId="090D0AD1"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marketing research (1987-2000): a literature review and classification”. </w:t>
      </w:r>
      <w:r w:rsidRPr="00E3232D">
        <w:rPr>
          <w:rFonts w:ascii="Book Antiqua" w:hAnsi="Book Antiqua"/>
          <w:iCs/>
        </w:rPr>
        <w:t xml:space="preserve">European Journal of Marketing, 37 </w:t>
      </w:r>
      <w:r w:rsidRPr="00E3232D">
        <w:rPr>
          <w:rFonts w:ascii="Book Antiqua" w:hAnsi="Book Antiqua"/>
        </w:rPr>
        <w:t>(1/2), 24-49.</w:t>
      </w:r>
    </w:p>
    <w:p w14:paraId="5464AB4C" w14:textId="77777777" w:rsidR="00F332F0" w:rsidRPr="00E3232D" w:rsidRDefault="00F332F0" w:rsidP="00F332F0">
      <w:pPr>
        <w:autoSpaceDE w:val="0"/>
        <w:autoSpaceDN w:val="0"/>
        <w:adjustRightInd w:val="0"/>
        <w:spacing w:after="0"/>
        <w:ind w:left="720"/>
        <w:jc w:val="both"/>
        <w:rPr>
          <w:rFonts w:ascii="Book Antiqua" w:hAnsi="Book Antiqua"/>
        </w:rPr>
      </w:pPr>
    </w:p>
    <w:p w14:paraId="350C655E" w14:textId="77777777" w:rsidR="00523650" w:rsidRPr="00E3232D" w:rsidRDefault="00523650" w:rsidP="00F332F0">
      <w:pPr>
        <w:spacing w:after="0"/>
        <w:jc w:val="both"/>
        <w:rPr>
          <w:rFonts w:ascii="Book Antiqua" w:hAnsi="Book Antiqua"/>
        </w:rPr>
      </w:pPr>
      <w:r w:rsidRPr="00E3232D">
        <w:rPr>
          <w:rFonts w:ascii="Book Antiqua" w:hAnsi="Book Antiqua"/>
        </w:rPr>
        <w:t>Olsen, M. D., &amp; Connolly, D. J. (2000),</w:t>
      </w:r>
    </w:p>
    <w:p w14:paraId="37998A0F" w14:textId="77777777" w:rsidR="00523650" w:rsidRDefault="00523650" w:rsidP="00F332F0">
      <w:pPr>
        <w:spacing w:after="0"/>
        <w:ind w:left="720"/>
        <w:jc w:val="both"/>
        <w:rPr>
          <w:rFonts w:ascii="Book Antiqua" w:hAnsi="Book Antiqua"/>
        </w:rPr>
      </w:pPr>
      <w:r w:rsidRPr="00E3232D">
        <w:rPr>
          <w:rFonts w:ascii="Book Antiqua" w:hAnsi="Book Antiqua"/>
        </w:rPr>
        <w:t xml:space="preserve">“Experience-based travel: How technology is changing the hospitality industry”, </w:t>
      </w:r>
      <w:r w:rsidRPr="00E3232D">
        <w:rPr>
          <w:rFonts w:ascii="Book Antiqua" w:hAnsi="Book Antiqua"/>
          <w:iCs/>
        </w:rPr>
        <w:t>Cornell Hotel &amp; Restaurant Administration Quarterly,</w:t>
      </w:r>
      <w:r w:rsidRPr="00E3232D">
        <w:rPr>
          <w:rFonts w:ascii="Book Antiqua" w:hAnsi="Book Antiqua"/>
        </w:rPr>
        <w:t xml:space="preserve"> </w:t>
      </w:r>
      <w:r w:rsidRPr="00E3232D">
        <w:rPr>
          <w:rFonts w:ascii="Book Antiqua" w:hAnsi="Book Antiqua"/>
          <w:iCs/>
        </w:rPr>
        <w:t>41</w:t>
      </w:r>
      <w:r w:rsidRPr="00E3232D">
        <w:rPr>
          <w:rFonts w:ascii="Book Antiqua" w:hAnsi="Book Antiqua"/>
        </w:rPr>
        <w:t>(1), 30–40</w:t>
      </w:r>
    </w:p>
    <w:p w14:paraId="18524329" w14:textId="77777777" w:rsidR="00F332F0" w:rsidRPr="00E3232D" w:rsidRDefault="00F332F0" w:rsidP="00F332F0">
      <w:pPr>
        <w:spacing w:after="0"/>
        <w:ind w:left="720"/>
        <w:jc w:val="both"/>
        <w:rPr>
          <w:rFonts w:ascii="Book Antiqua" w:hAnsi="Book Antiqua"/>
        </w:rPr>
      </w:pPr>
    </w:p>
    <w:p w14:paraId="26E729FA" w14:textId="77777777" w:rsidR="00523650" w:rsidRPr="00E3232D" w:rsidRDefault="00523650" w:rsidP="00F332F0">
      <w:pPr>
        <w:spacing w:after="0"/>
        <w:jc w:val="both"/>
        <w:rPr>
          <w:rFonts w:ascii="Book Antiqua" w:hAnsi="Book Antiqua"/>
        </w:rPr>
      </w:pPr>
      <w:r w:rsidRPr="00E3232D">
        <w:rPr>
          <w:rFonts w:ascii="Book Antiqua" w:hAnsi="Book Antiqua"/>
        </w:rPr>
        <w:t>O’Connor, P., &amp; Horan, P., (1999), “An</w:t>
      </w:r>
    </w:p>
    <w:p w14:paraId="0D422A80" w14:textId="77777777" w:rsidR="00523650" w:rsidRDefault="00523650" w:rsidP="00F332F0">
      <w:pPr>
        <w:spacing w:after="0"/>
        <w:ind w:left="720"/>
        <w:jc w:val="both"/>
        <w:rPr>
          <w:rFonts w:ascii="Book Antiqua" w:hAnsi="Book Antiqua"/>
        </w:rPr>
      </w:pPr>
      <w:r w:rsidRPr="00E3232D">
        <w:rPr>
          <w:rFonts w:ascii="Book Antiqua" w:hAnsi="Book Antiqua"/>
        </w:rPr>
        <w:t xml:space="preserve">analysis of web reservation facilities in the top 50 international hotel chains”, </w:t>
      </w:r>
      <w:r w:rsidRPr="00E3232D">
        <w:rPr>
          <w:rFonts w:ascii="Book Antiqua" w:hAnsi="Book Antiqua"/>
          <w:iCs/>
        </w:rPr>
        <w:t>International Journal of Hospitality Information</w:t>
      </w:r>
      <w:r w:rsidRPr="00E3232D">
        <w:rPr>
          <w:rFonts w:ascii="Book Antiqua" w:hAnsi="Book Antiqua"/>
        </w:rPr>
        <w:t xml:space="preserve"> </w:t>
      </w:r>
      <w:r w:rsidRPr="00E3232D">
        <w:rPr>
          <w:rFonts w:ascii="Book Antiqua" w:hAnsi="Book Antiqua"/>
          <w:iCs/>
        </w:rPr>
        <w:t>Technology</w:t>
      </w:r>
      <w:r w:rsidRPr="00E3232D">
        <w:rPr>
          <w:rFonts w:ascii="Book Antiqua" w:hAnsi="Book Antiqua"/>
        </w:rPr>
        <w:t xml:space="preserve">, </w:t>
      </w:r>
      <w:r w:rsidRPr="00E3232D">
        <w:rPr>
          <w:rFonts w:ascii="Book Antiqua" w:hAnsi="Book Antiqua"/>
          <w:iCs/>
        </w:rPr>
        <w:t>1</w:t>
      </w:r>
      <w:r w:rsidRPr="00E3232D">
        <w:rPr>
          <w:rFonts w:ascii="Book Antiqua" w:hAnsi="Book Antiqua"/>
        </w:rPr>
        <w:t>(1), pp. 77-85</w:t>
      </w:r>
    </w:p>
    <w:p w14:paraId="3E651956" w14:textId="77777777" w:rsidR="00F332F0" w:rsidRPr="00E3232D" w:rsidRDefault="00F332F0" w:rsidP="00F332F0">
      <w:pPr>
        <w:spacing w:after="0"/>
        <w:ind w:left="720"/>
        <w:jc w:val="both"/>
        <w:rPr>
          <w:rFonts w:ascii="Book Antiqua" w:hAnsi="Book Antiqua"/>
        </w:rPr>
      </w:pPr>
    </w:p>
    <w:p w14:paraId="4789D1DB" w14:textId="77777777" w:rsidR="00523650" w:rsidRPr="00E3232D" w:rsidRDefault="00523650" w:rsidP="00F332F0">
      <w:pPr>
        <w:spacing w:after="0"/>
        <w:jc w:val="both"/>
        <w:rPr>
          <w:rFonts w:ascii="Book Antiqua" w:hAnsi="Book Antiqua"/>
        </w:rPr>
      </w:pPr>
      <w:r w:rsidRPr="00E3232D">
        <w:rPr>
          <w:rFonts w:ascii="Book Antiqua" w:hAnsi="Book Antiqua"/>
        </w:rPr>
        <w:t>Opoku, R. and Hinson, R. (2006). Online</w:t>
      </w:r>
    </w:p>
    <w:p w14:paraId="0D44A1B1" w14:textId="77777777" w:rsidR="00523650" w:rsidRDefault="00523650" w:rsidP="00F332F0">
      <w:pPr>
        <w:spacing w:after="0"/>
        <w:ind w:left="720"/>
        <w:jc w:val="both"/>
        <w:rPr>
          <w:rFonts w:ascii="Book Antiqua" w:hAnsi="Book Antiqua"/>
        </w:rPr>
      </w:pPr>
      <w:r w:rsidRPr="00E3232D">
        <w:rPr>
          <w:rFonts w:ascii="Book Antiqua" w:hAnsi="Book Antiqua"/>
        </w:rPr>
        <w:t xml:space="preserve">Brand Personalities: An Exploratory Analysis of selected African countries, </w:t>
      </w:r>
      <w:r w:rsidRPr="00E3232D">
        <w:rPr>
          <w:rFonts w:ascii="Book Antiqua" w:hAnsi="Book Antiqua"/>
          <w:i/>
        </w:rPr>
        <w:t>Place Branding Journal, 2, 2</w:t>
      </w:r>
      <w:r w:rsidRPr="00E3232D">
        <w:rPr>
          <w:rFonts w:ascii="Book Antiqua" w:hAnsi="Book Antiqua"/>
        </w:rPr>
        <w:t>, 118-129</w:t>
      </w:r>
    </w:p>
    <w:p w14:paraId="1CFBC2B1" w14:textId="77777777" w:rsidR="00F332F0" w:rsidRPr="00E3232D" w:rsidRDefault="00F332F0" w:rsidP="00F332F0">
      <w:pPr>
        <w:spacing w:after="0"/>
        <w:ind w:left="720"/>
        <w:jc w:val="both"/>
        <w:rPr>
          <w:rFonts w:ascii="Book Antiqua" w:hAnsi="Book Antiqua"/>
        </w:rPr>
      </w:pPr>
    </w:p>
    <w:p w14:paraId="0168CD68" w14:textId="77777777" w:rsidR="00523650" w:rsidRPr="00E3232D" w:rsidRDefault="00523650" w:rsidP="00F332F0">
      <w:pPr>
        <w:spacing w:after="0"/>
        <w:jc w:val="both"/>
        <w:rPr>
          <w:rFonts w:ascii="Book Antiqua" w:hAnsi="Book Antiqua"/>
        </w:rPr>
      </w:pPr>
      <w:r w:rsidRPr="00E3232D">
        <w:rPr>
          <w:rFonts w:ascii="Book Antiqua" w:hAnsi="Book Antiqua"/>
        </w:rPr>
        <w:t>Paraskevas, A., &amp; Buhalis, D., (2002),</w:t>
      </w:r>
    </w:p>
    <w:p w14:paraId="2C9CBEBD" w14:textId="77777777" w:rsidR="00523650" w:rsidRPr="00E3232D" w:rsidRDefault="00523650" w:rsidP="00F332F0">
      <w:pPr>
        <w:spacing w:after="0"/>
        <w:ind w:firstLine="720"/>
        <w:jc w:val="both"/>
        <w:rPr>
          <w:rFonts w:ascii="Book Antiqua" w:hAnsi="Book Antiqua"/>
        </w:rPr>
      </w:pPr>
      <w:r w:rsidRPr="00E3232D">
        <w:rPr>
          <w:rFonts w:ascii="Book Antiqua" w:hAnsi="Book Antiqua"/>
        </w:rPr>
        <w:t>“Outsourcing IT for small hotels: The</w:t>
      </w:r>
    </w:p>
    <w:p w14:paraId="144E15BB" w14:textId="77777777" w:rsidR="00523650" w:rsidRDefault="00523650" w:rsidP="00F332F0">
      <w:pPr>
        <w:spacing w:after="0"/>
        <w:ind w:left="720"/>
        <w:jc w:val="both"/>
        <w:rPr>
          <w:rFonts w:ascii="Book Antiqua" w:hAnsi="Book Antiqua"/>
        </w:rPr>
      </w:pPr>
      <w:r w:rsidRPr="00E3232D">
        <w:rPr>
          <w:rFonts w:ascii="Book Antiqua" w:hAnsi="Book Antiqua"/>
        </w:rPr>
        <w:t xml:space="preserve">opportunities and challenges of using application service providers”, Cornell Hotel and Restaurant </w:t>
      </w:r>
      <w:r w:rsidRPr="00E3232D">
        <w:rPr>
          <w:rFonts w:ascii="Book Antiqua" w:hAnsi="Book Antiqua"/>
        </w:rPr>
        <w:lastRenderedPageBreak/>
        <w:t>Administration Quarterly, 43(2), 27 39.</w:t>
      </w:r>
    </w:p>
    <w:p w14:paraId="12A46756" w14:textId="77777777" w:rsidR="00F332F0" w:rsidRPr="00E3232D" w:rsidRDefault="00F332F0" w:rsidP="00F332F0">
      <w:pPr>
        <w:spacing w:after="0"/>
        <w:ind w:left="720"/>
        <w:jc w:val="both"/>
        <w:rPr>
          <w:rFonts w:ascii="Book Antiqua" w:hAnsi="Book Antiqua"/>
        </w:rPr>
      </w:pPr>
    </w:p>
    <w:p w14:paraId="481D1982"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Pitt, L. F., Berthon, P. R., &amp; Zinkhan, G. M.,</w:t>
      </w:r>
    </w:p>
    <w:p w14:paraId="1F686875"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(2002), “The Internet and the birth of real consumer power”, </w:t>
      </w:r>
      <w:r w:rsidRPr="00E3232D">
        <w:rPr>
          <w:rFonts w:ascii="Book Antiqua" w:hAnsi="Book Antiqua"/>
          <w:iCs/>
        </w:rPr>
        <w:t xml:space="preserve">Business Horizons, 45 </w:t>
      </w:r>
      <w:r w:rsidRPr="00E3232D">
        <w:rPr>
          <w:rFonts w:ascii="Book Antiqua" w:hAnsi="Book Antiqua"/>
        </w:rPr>
        <w:t>(4), pp. 7-14</w:t>
      </w:r>
    </w:p>
    <w:p w14:paraId="037C1298" w14:textId="77777777" w:rsidR="00F332F0" w:rsidRPr="00E3232D" w:rsidRDefault="00F332F0" w:rsidP="00F332F0">
      <w:pPr>
        <w:autoSpaceDE w:val="0"/>
        <w:autoSpaceDN w:val="0"/>
        <w:adjustRightInd w:val="0"/>
        <w:spacing w:after="0"/>
        <w:ind w:left="720"/>
        <w:jc w:val="both"/>
        <w:rPr>
          <w:rFonts w:ascii="Book Antiqua" w:hAnsi="Book Antiqua"/>
        </w:rPr>
      </w:pPr>
    </w:p>
    <w:p w14:paraId="49E20CA3"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Rahman, Z., (2003), “Internet-based supply</w:t>
      </w:r>
    </w:p>
    <w:p w14:paraId="000BA4A2"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chain management: using the Internetto revolutionise your business”</w:t>
      </w:r>
      <w:r w:rsidRPr="00E3232D">
        <w:rPr>
          <w:rFonts w:ascii="Book Antiqua" w:hAnsi="Book Antiqua"/>
          <w:i/>
        </w:rPr>
        <w:t>,</w:t>
      </w:r>
      <w:r w:rsidRPr="00E3232D">
        <w:rPr>
          <w:rFonts w:ascii="Book Antiqua" w:hAnsi="Book Antiqua"/>
        </w:rPr>
        <w:t xml:space="preserve"> </w:t>
      </w:r>
      <w:r w:rsidRPr="00E3232D">
        <w:rPr>
          <w:rFonts w:ascii="Book Antiqua" w:hAnsi="Book Antiqua"/>
          <w:iCs/>
        </w:rPr>
        <w:t>International Journal of Information Management,</w:t>
      </w:r>
      <w:r w:rsidRPr="00E3232D">
        <w:rPr>
          <w:rFonts w:ascii="Book Antiqua" w:hAnsi="Book Antiqua"/>
        </w:rPr>
        <w:t xml:space="preserve"> </w:t>
      </w:r>
      <w:r w:rsidRPr="00E3232D">
        <w:rPr>
          <w:rFonts w:ascii="Book Antiqua" w:hAnsi="Book Antiqua"/>
          <w:iCs/>
        </w:rPr>
        <w:t>23</w:t>
      </w:r>
      <w:r w:rsidRPr="00E3232D">
        <w:rPr>
          <w:rFonts w:ascii="Book Antiqua" w:hAnsi="Book Antiqua"/>
        </w:rPr>
        <w:t>,493-505</w:t>
      </w:r>
    </w:p>
    <w:p w14:paraId="59B77F0A" w14:textId="77777777" w:rsidR="00F332F0" w:rsidRPr="00E3232D" w:rsidRDefault="00F332F0" w:rsidP="00F332F0">
      <w:pPr>
        <w:autoSpaceDE w:val="0"/>
        <w:autoSpaceDN w:val="0"/>
        <w:adjustRightInd w:val="0"/>
        <w:spacing w:after="0"/>
        <w:ind w:left="720"/>
        <w:jc w:val="both"/>
        <w:rPr>
          <w:rFonts w:ascii="Book Antiqua" w:hAnsi="Book Antiqua"/>
        </w:rPr>
      </w:pPr>
    </w:p>
    <w:p w14:paraId="6F919892" w14:textId="77777777" w:rsidR="00523650" w:rsidRPr="00E3232D" w:rsidRDefault="00523650" w:rsidP="00F332F0">
      <w:pPr>
        <w:autoSpaceDE w:val="0"/>
        <w:autoSpaceDN w:val="0"/>
        <w:adjustRightInd w:val="0"/>
        <w:spacing w:after="0"/>
        <w:jc w:val="both"/>
        <w:rPr>
          <w:rFonts w:ascii="Book Antiqua" w:hAnsi="Book Antiqua"/>
          <w:lang w:val="sv-SE"/>
        </w:rPr>
      </w:pPr>
      <w:r w:rsidRPr="00E3232D">
        <w:rPr>
          <w:rFonts w:ascii="Book Antiqua" w:hAnsi="Book Antiqua"/>
          <w:lang w:val="sv-SE"/>
        </w:rPr>
        <w:t>Sigala, M., Lockwood, A., &amp; Jones, P.</w:t>
      </w:r>
    </w:p>
    <w:p w14:paraId="3F96FCC5"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lang w:val="sv-SE"/>
        </w:rPr>
        <w:t>(2001).  ”</w:t>
      </w:r>
      <w:r w:rsidRPr="00E3232D">
        <w:rPr>
          <w:rFonts w:ascii="Book Antiqua" w:hAnsi="Book Antiqua"/>
        </w:rPr>
        <w:t>Strategic implementation and IT: Gaining competitive advantage from the hotel reservation process”</w:t>
      </w:r>
      <w:r w:rsidRPr="00E3232D">
        <w:rPr>
          <w:rFonts w:ascii="Book Antiqua" w:hAnsi="Book Antiqua"/>
          <w:i/>
        </w:rPr>
        <w:t>,</w:t>
      </w:r>
      <w:r w:rsidRPr="00E3232D">
        <w:rPr>
          <w:rFonts w:ascii="Book Antiqua" w:hAnsi="Book Antiqua"/>
        </w:rPr>
        <w:t xml:space="preserve"> </w:t>
      </w:r>
      <w:r w:rsidRPr="00E3232D">
        <w:rPr>
          <w:rFonts w:ascii="Book Antiqua" w:hAnsi="Book Antiqua"/>
          <w:iCs/>
        </w:rPr>
        <w:t>International Journal of</w:t>
      </w:r>
      <w:r w:rsidR="00F332F0">
        <w:rPr>
          <w:rFonts w:ascii="Book Antiqua" w:hAnsi="Book Antiqua"/>
        </w:rPr>
        <w:t xml:space="preserve"> </w:t>
      </w:r>
      <w:r w:rsidRPr="00E3232D">
        <w:rPr>
          <w:rFonts w:ascii="Book Antiqua" w:hAnsi="Book Antiqua"/>
          <w:iCs/>
        </w:rPr>
        <w:t>Contemporary Hospitality Management</w:t>
      </w:r>
      <w:r w:rsidRPr="00E3232D">
        <w:rPr>
          <w:rFonts w:ascii="Book Antiqua" w:hAnsi="Book Antiqua"/>
        </w:rPr>
        <w:t xml:space="preserve">, </w:t>
      </w:r>
      <w:r w:rsidRPr="00E3232D">
        <w:rPr>
          <w:rFonts w:ascii="Book Antiqua" w:hAnsi="Book Antiqua"/>
          <w:iCs/>
        </w:rPr>
        <w:t>17</w:t>
      </w:r>
      <w:r w:rsidRPr="00E3232D">
        <w:rPr>
          <w:rFonts w:ascii="Book Antiqua" w:hAnsi="Book Antiqua"/>
        </w:rPr>
        <w:t>(3), pp. 364-371</w:t>
      </w:r>
    </w:p>
    <w:p w14:paraId="1E6BE26B" w14:textId="77777777" w:rsidR="00F332F0" w:rsidRPr="00E3232D" w:rsidRDefault="00F332F0" w:rsidP="00F332F0">
      <w:pPr>
        <w:autoSpaceDE w:val="0"/>
        <w:autoSpaceDN w:val="0"/>
        <w:adjustRightInd w:val="0"/>
        <w:spacing w:after="0"/>
        <w:ind w:left="720"/>
        <w:jc w:val="both"/>
        <w:rPr>
          <w:rFonts w:ascii="Book Antiqua" w:hAnsi="Book Antiqua"/>
        </w:rPr>
      </w:pPr>
    </w:p>
    <w:p w14:paraId="2BD9D5F9"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Sigala, M., (2003), “Developing and</w:t>
      </w:r>
    </w:p>
    <w:p w14:paraId="5EF286A6"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Benchmarking Internet Marketing Strategies in the Hotel Sector in Greece”, Journal of Hospitality &amp; Tourism Research 27(4), pp. 375-401</w:t>
      </w:r>
    </w:p>
    <w:p w14:paraId="19247C4D" w14:textId="77777777" w:rsidR="00F332F0" w:rsidRPr="00E3232D" w:rsidRDefault="00F332F0" w:rsidP="00F332F0">
      <w:pPr>
        <w:autoSpaceDE w:val="0"/>
        <w:autoSpaceDN w:val="0"/>
        <w:adjustRightInd w:val="0"/>
        <w:spacing w:after="0"/>
        <w:ind w:left="720"/>
        <w:jc w:val="both"/>
        <w:rPr>
          <w:rFonts w:ascii="Book Antiqua" w:hAnsi="Book Antiqua"/>
        </w:rPr>
      </w:pPr>
    </w:p>
    <w:p w14:paraId="27C16254"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Sigala, M. (2002). Investigating the ICT</w:t>
      </w:r>
    </w:p>
    <w:p w14:paraId="40E5E783" w14:textId="77777777" w:rsidR="00523650" w:rsidRPr="00E3232D"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productivity paradox: Evidence from the UK hotel sector, </w:t>
      </w:r>
      <w:r w:rsidRPr="00E3232D">
        <w:rPr>
          <w:rFonts w:ascii="Book Antiqua" w:hAnsi="Book Antiqua"/>
          <w:i/>
          <w:iCs/>
        </w:rPr>
        <w:t>Information and communication technologiesin tourism 2002</w:t>
      </w:r>
      <w:r w:rsidRPr="00E3232D">
        <w:rPr>
          <w:rFonts w:ascii="Book Antiqua" w:hAnsi="Book Antiqua"/>
          <w:iCs/>
        </w:rPr>
        <w:t xml:space="preserve"> </w:t>
      </w:r>
      <w:r w:rsidRPr="00E3232D">
        <w:rPr>
          <w:rFonts w:ascii="Book Antiqua" w:hAnsi="Book Antiqua"/>
        </w:rPr>
        <w:t xml:space="preserve">(pp. 417-426). </w:t>
      </w:r>
    </w:p>
    <w:p w14:paraId="4EEF72DE"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Siguaw, J. A., Enz, C. A.,&amp;Namasivayam, K.</w:t>
      </w:r>
    </w:p>
    <w:p w14:paraId="5316862A"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(2000). Adoption of information technology in U.S. hotels: Strategically driven objectives. </w:t>
      </w:r>
      <w:r w:rsidRPr="00E3232D">
        <w:rPr>
          <w:rFonts w:ascii="Book Antiqua" w:hAnsi="Book Antiqua"/>
          <w:i/>
          <w:iCs/>
        </w:rPr>
        <w:t>Journal of Travel Research</w:t>
      </w:r>
      <w:r w:rsidRPr="00E3232D">
        <w:rPr>
          <w:rFonts w:ascii="Book Antiqua" w:hAnsi="Book Antiqua"/>
        </w:rPr>
        <w:t xml:space="preserve">, </w:t>
      </w:r>
      <w:r w:rsidRPr="00E3232D">
        <w:rPr>
          <w:rFonts w:ascii="Book Antiqua" w:hAnsi="Book Antiqua"/>
          <w:i/>
          <w:iCs/>
        </w:rPr>
        <w:t>39</w:t>
      </w:r>
      <w:r w:rsidRPr="00E3232D">
        <w:rPr>
          <w:rFonts w:ascii="Book Antiqua" w:hAnsi="Book Antiqua"/>
        </w:rPr>
        <w:t>, 192-201.</w:t>
      </w:r>
    </w:p>
    <w:p w14:paraId="2225D918" w14:textId="77777777" w:rsidR="00F332F0" w:rsidRPr="00E3232D" w:rsidRDefault="00F332F0" w:rsidP="00F332F0">
      <w:pPr>
        <w:autoSpaceDE w:val="0"/>
        <w:autoSpaceDN w:val="0"/>
        <w:adjustRightInd w:val="0"/>
        <w:spacing w:after="0"/>
        <w:ind w:left="720"/>
        <w:jc w:val="both"/>
        <w:rPr>
          <w:rFonts w:ascii="Book Antiqua" w:hAnsi="Book Antiqua"/>
        </w:rPr>
      </w:pPr>
    </w:p>
    <w:p w14:paraId="21062D69"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Van Hoof, H., Ruys, H., &amp; Combrink, T. E.</w:t>
      </w:r>
    </w:p>
    <w:p w14:paraId="0508D7C2" w14:textId="77777777" w:rsidR="00523650" w:rsidRPr="00E3232D"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(1999). The use of the Internet in the Queensland accommodation industry. </w:t>
      </w:r>
      <w:r w:rsidRPr="00E3232D">
        <w:rPr>
          <w:rFonts w:ascii="Book Antiqua" w:hAnsi="Book Antiqua"/>
          <w:i/>
          <w:iCs/>
        </w:rPr>
        <w:t>Australian Journal of Hospitality Management</w:t>
      </w:r>
      <w:r w:rsidRPr="00E3232D">
        <w:rPr>
          <w:rFonts w:ascii="Book Antiqua" w:hAnsi="Book Antiqua"/>
        </w:rPr>
        <w:t xml:space="preserve">, </w:t>
      </w:r>
      <w:r w:rsidRPr="00E3232D">
        <w:rPr>
          <w:rFonts w:ascii="Book Antiqua" w:hAnsi="Book Antiqua"/>
          <w:i/>
          <w:iCs/>
        </w:rPr>
        <w:t>6</w:t>
      </w:r>
      <w:r w:rsidRPr="00E3232D">
        <w:rPr>
          <w:rFonts w:ascii="Book Antiqua" w:hAnsi="Book Antiqua"/>
        </w:rPr>
        <w:t>(1), 11-24.</w:t>
      </w:r>
    </w:p>
    <w:p w14:paraId="3F49F34F" w14:textId="77777777" w:rsidR="00523650" w:rsidRPr="00E3232D" w:rsidRDefault="00523650" w:rsidP="00F332F0">
      <w:pPr>
        <w:autoSpaceDE w:val="0"/>
        <w:autoSpaceDN w:val="0"/>
        <w:adjustRightInd w:val="0"/>
        <w:spacing w:after="0"/>
        <w:jc w:val="both"/>
        <w:rPr>
          <w:rFonts w:ascii="Book Antiqua" w:hAnsi="Book Antiqua"/>
        </w:rPr>
      </w:pPr>
    </w:p>
    <w:p w14:paraId="130802A1"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Van Hoof, H., Ruys, H. F.,&amp;Combrink, T. E.</w:t>
      </w:r>
    </w:p>
    <w:p w14:paraId="3559A7AA"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(2000). Global hoteliers and the Internet: Use and perceptions. </w:t>
      </w:r>
      <w:r w:rsidRPr="00E3232D">
        <w:rPr>
          <w:rFonts w:ascii="Book Antiqua" w:hAnsi="Book Antiqua"/>
          <w:i/>
          <w:iCs/>
        </w:rPr>
        <w:t>International Journal of Hospitality Information Technology</w:t>
      </w:r>
      <w:r w:rsidRPr="00E3232D">
        <w:rPr>
          <w:rFonts w:ascii="Book Antiqua" w:hAnsi="Book Antiqua"/>
        </w:rPr>
        <w:t xml:space="preserve">, </w:t>
      </w:r>
      <w:r w:rsidRPr="00E3232D">
        <w:rPr>
          <w:rFonts w:ascii="Book Antiqua" w:hAnsi="Book Antiqua"/>
          <w:i/>
          <w:iCs/>
        </w:rPr>
        <w:t>1</w:t>
      </w:r>
      <w:r w:rsidRPr="00E3232D">
        <w:rPr>
          <w:rFonts w:ascii="Book Antiqua" w:hAnsi="Book Antiqua"/>
        </w:rPr>
        <w:t>(1), 45-61.</w:t>
      </w:r>
    </w:p>
    <w:p w14:paraId="4B82020B" w14:textId="77777777" w:rsidR="00F332F0" w:rsidRPr="00E3232D" w:rsidRDefault="00F332F0" w:rsidP="00F332F0">
      <w:pPr>
        <w:autoSpaceDE w:val="0"/>
        <w:autoSpaceDN w:val="0"/>
        <w:adjustRightInd w:val="0"/>
        <w:spacing w:after="0"/>
        <w:ind w:left="720"/>
        <w:jc w:val="both"/>
        <w:rPr>
          <w:rFonts w:ascii="Book Antiqua" w:hAnsi="Book Antiqua"/>
        </w:rPr>
      </w:pPr>
    </w:p>
    <w:p w14:paraId="55953F4E"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Vanucci, C. L., &amp; Kerstetter, D. L. (2001),</w:t>
      </w:r>
    </w:p>
    <w:p w14:paraId="59AA6EF9"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“Meeting planners’ use of the Internet to plan group  Meetings,” </w:t>
      </w:r>
      <w:r w:rsidRPr="00E3232D">
        <w:rPr>
          <w:rFonts w:ascii="Book Antiqua" w:hAnsi="Book Antiqua"/>
          <w:iCs/>
        </w:rPr>
        <w:t>Journal of Convention &amp; Exhibition Management</w:t>
      </w:r>
      <w:r w:rsidRPr="00E3232D">
        <w:rPr>
          <w:rFonts w:ascii="Book Antiqua" w:hAnsi="Book Antiqua"/>
        </w:rPr>
        <w:t xml:space="preserve">, </w:t>
      </w:r>
      <w:r w:rsidRPr="00E3232D">
        <w:rPr>
          <w:rFonts w:ascii="Book Antiqua" w:hAnsi="Book Antiqua"/>
          <w:iCs/>
        </w:rPr>
        <w:t>2</w:t>
      </w:r>
      <w:r w:rsidRPr="00E3232D">
        <w:rPr>
          <w:rFonts w:ascii="Book Antiqua" w:hAnsi="Book Antiqua"/>
        </w:rPr>
        <w:t>(4), pp. 23-36.</w:t>
      </w:r>
    </w:p>
    <w:p w14:paraId="7A7025EA" w14:textId="77777777" w:rsidR="00F332F0" w:rsidRPr="00E3232D" w:rsidRDefault="00F332F0" w:rsidP="00F332F0">
      <w:pPr>
        <w:autoSpaceDE w:val="0"/>
        <w:autoSpaceDN w:val="0"/>
        <w:adjustRightInd w:val="0"/>
        <w:spacing w:after="0"/>
        <w:ind w:left="720"/>
        <w:jc w:val="both"/>
        <w:rPr>
          <w:rFonts w:ascii="Book Antiqua" w:hAnsi="Book Antiqua"/>
        </w:rPr>
      </w:pPr>
    </w:p>
    <w:p w14:paraId="3B6B6B95"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Wagner, L. and Van Belle, J. (2005) Web</w:t>
      </w:r>
    </w:p>
    <w:p w14:paraId="230B0A6C"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Mining for Strategic Intelligence in South Africa, </w:t>
      </w:r>
      <w:r w:rsidRPr="00E3232D">
        <w:rPr>
          <w:rFonts w:ascii="Book Antiqua" w:hAnsi="Book Antiqua"/>
          <w:i/>
        </w:rPr>
        <w:t>IAABD 2005 Conference Proceedings,</w:t>
      </w:r>
      <w:r w:rsidRPr="00E3232D">
        <w:rPr>
          <w:rFonts w:ascii="Book Antiqua" w:hAnsi="Book Antiqua"/>
        </w:rPr>
        <w:t>VI, 372-381</w:t>
      </w:r>
    </w:p>
    <w:p w14:paraId="799B9C29" w14:textId="77777777" w:rsidR="00F332F0" w:rsidRPr="00E3232D" w:rsidRDefault="00F332F0" w:rsidP="00F332F0">
      <w:pPr>
        <w:autoSpaceDE w:val="0"/>
        <w:autoSpaceDN w:val="0"/>
        <w:adjustRightInd w:val="0"/>
        <w:spacing w:after="0"/>
        <w:ind w:left="720"/>
        <w:jc w:val="both"/>
        <w:rPr>
          <w:rFonts w:ascii="Book Antiqua" w:hAnsi="Book Antiqua"/>
        </w:rPr>
      </w:pPr>
    </w:p>
    <w:p w14:paraId="61C2C34F" w14:textId="77777777" w:rsidR="00523650" w:rsidRPr="00E3232D" w:rsidRDefault="00523650" w:rsidP="00F332F0">
      <w:pPr>
        <w:spacing w:after="0"/>
        <w:jc w:val="both"/>
        <w:rPr>
          <w:rFonts w:ascii="Book Antiqua" w:hAnsi="Book Antiqua"/>
        </w:rPr>
      </w:pPr>
      <w:r w:rsidRPr="00E3232D">
        <w:rPr>
          <w:rFonts w:ascii="Book Antiqua" w:hAnsi="Book Antiqua"/>
        </w:rPr>
        <w:t>Walsh, J. &amp; Godfrey, S. (2000), “The</w:t>
      </w:r>
    </w:p>
    <w:p w14:paraId="07CB95A1" w14:textId="77777777" w:rsidR="00523650" w:rsidRPr="00E3232D" w:rsidRDefault="00523650" w:rsidP="00F332F0">
      <w:pPr>
        <w:spacing w:after="0"/>
        <w:ind w:firstLine="720"/>
        <w:jc w:val="both"/>
        <w:rPr>
          <w:rFonts w:ascii="Book Antiqua" w:hAnsi="Book Antiqua"/>
        </w:rPr>
      </w:pPr>
      <w:r w:rsidRPr="00E3232D">
        <w:rPr>
          <w:rFonts w:ascii="Book Antiqua" w:hAnsi="Book Antiqua"/>
        </w:rPr>
        <w:t>Internet: a new era in customer</w:t>
      </w:r>
    </w:p>
    <w:p w14:paraId="2837F27E" w14:textId="77777777" w:rsidR="00523650" w:rsidRDefault="00523650" w:rsidP="00F332F0">
      <w:pPr>
        <w:spacing w:after="0"/>
        <w:ind w:left="720"/>
        <w:jc w:val="both"/>
        <w:rPr>
          <w:rFonts w:ascii="Book Antiqua" w:hAnsi="Book Antiqua"/>
        </w:rPr>
      </w:pPr>
      <w:r w:rsidRPr="00E3232D">
        <w:rPr>
          <w:rFonts w:ascii="Book Antiqua" w:hAnsi="Book Antiqua"/>
        </w:rPr>
        <w:t>service”, European Management Journal, 18 (1), pp. 85-92.</w:t>
      </w:r>
    </w:p>
    <w:p w14:paraId="055E9DAD" w14:textId="77777777" w:rsidR="00F332F0" w:rsidRPr="00E3232D" w:rsidRDefault="00F332F0" w:rsidP="00F332F0">
      <w:pPr>
        <w:spacing w:after="0"/>
        <w:ind w:left="720"/>
        <w:jc w:val="both"/>
        <w:rPr>
          <w:rFonts w:ascii="Book Antiqua" w:hAnsi="Book Antiqua"/>
        </w:rPr>
      </w:pPr>
    </w:p>
    <w:p w14:paraId="19D3976B"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Wang, Y., Yu, Q., &amp; Fesenmaier, R. D.</w:t>
      </w:r>
    </w:p>
    <w:p w14:paraId="6564A5BB"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(2002), “Defining the virtual tourist community; Implications for tourism marketing”. Tourism Management, 23(4), pp. 407–417.</w:t>
      </w:r>
    </w:p>
    <w:p w14:paraId="6136EA2C" w14:textId="77777777" w:rsidR="00F332F0" w:rsidRPr="00E3232D" w:rsidRDefault="00F332F0" w:rsidP="00F332F0">
      <w:pPr>
        <w:autoSpaceDE w:val="0"/>
        <w:autoSpaceDN w:val="0"/>
        <w:adjustRightInd w:val="0"/>
        <w:spacing w:after="0"/>
        <w:ind w:left="720"/>
        <w:jc w:val="both"/>
        <w:rPr>
          <w:rFonts w:ascii="Book Antiqua" w:hAnsi="Book Antiqua"/>
        </w:rPr>
      </w:pPr>
    </w:p>
    <w:p w14:paraId="12C281C3"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Watson, R. T., Zinkhan, G. M., &amp; Pitt, L. F.,</w:t>
      </w:r>
    </w:p>
    <w:p w14:paraId="4AF8DF45" w14:textId="77777777" w:rsidR="00523650" w:rsidRPr="00E3232D" w:rsidRDefault="00523650" w:rsidP="00F332F0">
      <w:pPr>
        <w:autoSpaceDE w:val="0"/>
        <w:autoSpaceDN w:val="0"/>
        <w:adjustRightInd w:val="0"/>
        <w:spacing w:after="0"/>
        <w:ind w:firstLine="720"/>
        <w:jc w:val="both"/>
        <w:rPr>
          <w:rFonts w:ascii="Book Antiqua" w:hAnsi="Book Antiqua"/>
        </w:rPr>
      </w:pPr>
      <w:r w:rsidRPr="00E3232D">
        <w:rPr>
          <w:rFonts w:ascii="Book Antiqua" w:hAnsi="Book Antiqua"/>
        </w:rPr>
        <w:t>(2000), “Integrated Internet</w:t>
      </w:r>
    </w:p>
    <w:p w14:paraId="489A3434"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Marketing”, </w:t>
      </w:r>
      <w:r w:rsidRPr="00E3232D">
        <w:rPr>
          <w:rFonts w:ascii="Book Antiqua" w:hAnsi="Book Antiqua"/>
          <w:iCs/>
        </w:rPr>
        <w:t xml:space="preserve">Communications of the ACM, 43 </w:t>
      </w:r>
      <w:r w:rsidRPr="00E3232D">
        <w:rPr>
          <w:rFonts w:ascii="Book Antiqua" w:hAnsi="Book Antiqua"/>
        </w:rPr>
        <w:t>(6), pp. 97-102.</w:t>
      </w:r>
    </w:p>
    <w:p w14:paraId="5ED19C6F" w14:textId="77777777" w:rsidR="00F332F0" w:rsidRPr="00E3232D" w:rsidRDefault="00F332F0" w:rsidP="00F332F0">
      <w:pPr>
        <w:autoSpaceDE w:val="0"/>
        <w:autoSpaceDN w:val="0"/>
        <w:adjustRightInd w:val="0"/>
        <w:spacing w:after="0"/>
        <w:ind w:left="720"/>
        <w:jc w:val="both"/>
        <w:rPr>
          <w:rFonts w:ascii="Book Antiqua" w:hAnsi="Book Antiqua"/>
        </w:rPr>
      </w:pPr>
    </w:p>
    <w:p w14:paraId="2A6B3D98"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Yuan, Y. L.,&amp;Fesenmaier, D. R. (2000).</w:t>
      </w:r>
    </w:p>
    <w:p w14:paraId="6F26BFF1" w14:textId="77777777" w:rsidR="00523650"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lastRenderedPageBreak/>
        <w:t xml:space="preserve">Preparing for the new tourism economy: The use of the Internet and Intranet in American convention and visitor bureaus. </w:t>
      </w:r>
      <w:r w:rsidRPr="00E3232D">
        <w:rPr>
          <w:rFonts w:ascii="Book Antiqua" w:hAnsi="Book Antiqua"/>
          <w:i/>
          <w:iCs/>
        </w:rPr>
        <w:t>Information</w:t>
      </w:r>
      <w:r w:rsidRPr="00E3232D">
        <w:rPr>
          <w:rFonts w:ascii="Book Antiqua" w:hAnsi="Book Antiqua"/>
        </w:rPr>
        <w:t xml:space="preserve"> </w:t>
      </w:r>
      <w:r w:rsidRPr="00E3232D">
        <w:rPr>
          <w:rFonts w:ascii="Book Antiqua" w:hAnsi="Book Antiqua"/>
          <w:i/>
          <w:iCs/>
        </w:rPr>
        <w:t>Technology &amp; Tourism</w:t>
      </w:r>
      <w:r w:rsidRPr="00E3232D">
        <w:rPr>
          <w:rFonts w:ascii="Book Antiqua" w:hAnsi="Book Antiqua"/>
        </w:rPr>
        <w:t xml:space="preserve">, </w:t>
      </w:r>
      <w:r w:rsidRPr="00E3232D">
        <w:rPr>
          <w:rFonts w:ascii="Book Antiqua" w:hAnsi="Book Antiqua"/>
          <w:i/>
          <w:iCs/>
        </w:rPr>
        <w:t>3</w:t>
      </w:r>
      <w:r w:rsidRPr="00E3232D">
        <w:rPr>
          <w:rFonts w:ascii="Book Antiqua" w:hAnsi="Book Antiqua"/>
        </w:rPr>
        <w:t>, 71-85.</w:t>
      </w:r>
    </w:p>
    <w:p w14:paraId="3C9E6495" w14:textId="77777777" w:rsidR="00F332F0" w:rsidRPr="00E3232D" w:rsidRDefault="00F332F0" w:rsidP="00F332F0">
      <w:pPr>
        <w:autoSpaceDE w:val="0"/>
        <w:autoSpaceDN w:val="0"/>
        <w:adjustRightInd w:val="0"/>
        <w:spacing w:after="0"/>
        <w:ind w:left="720"/>
        <w:jc w:val="both"/>
        <w:rPr>
          <w:rFonts w:ascii="Book Antiqua" w:hAnsi="Book Antiqua"/>
        </w:rPr>
      </w:pPr>
    </w:p>
    <w:p w14:paraId="23856E7D" w14:textId="77777777" w:rsidR="00523650" w:rsidRPr="00E3232D" w:rsidRDefault="00523650" w:rsidP="00F332F0">
      <w:pPr>
        <w:autoSpaceDE w:val="0"/>
        <w:autoSpaceDN w:val="0"/>
        <w:adjustRightInd w:val="0"/>
        <w:spacing w:after="0"/>
        <w:jc w:val="both"/>
        <w:rPr>
          <w:rFonts w:ascii="Book Antiqua" w:hAnsi="Book Antiqua"/>
        </w:rPr>
      </w:pPr>
      <w:r w:rsidRPr="00E3232D">
        <w:rPr>
          <w:rFonts w:ascii="Book Antiqua" w:hAnsi="Book Antiqua"/>
        </w:rPr>
        <w:t>Zott, C., Amit, R.,&amp;Donlevy, J. (2000).</w:t>
      </w:r>
    </w:p>
    <w:p w14:paraId="50EC7A64" w14:textId="77777777" w:rsidR="00523650" w:rsidRPr="00C02B51" w:rsidRDefault="00523650" w:rsidP="00F332F0">
      <w:pPr>
        <w:autoSpaceDE w:val="0"/>
        <w:autoSpaceDN w:val="0"/>
        <w:adjustRightInd w:val="0"/>
        <w:spacing w:after="0"/>
        <w:ind w:left="720"/>
        <w:jc w:val="both"/>
        <w:rPr>
          <w:rFonts w:ascii="Book Antiqua" w:hAnsi="Book Antiqua"/>
        </w:rPr>
      </w:pPr>
      <w:r w:rsidRPr="00E3232D">
        <w:rPr>
          <w:rFonts w:ascii="Book Antiqua" w:hAnsi="Book Antiqua"/>
        </w:rPr>
        <w:t xml:space="preserve">Strategies for value creation in e-commerce: Best practices in Europe. </w:t>
      </w:r>
      <w:r w:rsidRPr="00E3232D">
        <w:rPr>
          <w:rFonts w:ascii="Book Antiqua" w:hAnsi="Book Antiqua"/>
          <w:i/>
          <w:iCs/>
        </w:rPr>
        <w:t>European Management Journal</w:t>
      </w:r>
      <w:r w:rsidRPr="00E3232D">
        <w:rPr>
          <w:rFonts w:ascii="Book Antiqua" w:hAnsi="Book Antiqua"/>
        </w:rPr>
        <w:t xml:space="preserve">, </w:t>
      </w:r>
      <w:r w:rsidRPr="00E3232D">
        <w:rPr>
          <w:rFonts w:ascii="Book Antiqua" w:hAnsi="Book Antiqua"/>
          <w:i/>
          <w:iCs/>
        </w:rPr>
        <w:t>18</w:t>
      </w:r>
      <w:r w:rsidRPr="00E3232D">
        <w:rPr>
          <w:rFonts w:ascii="Book Antiqua" w:hAnsi="Book Antiqua"/>
        </w:rPr>
        <w:t>(5), 463-475.</w:t>
      </w:r>
    </w:p>
    <w:p w14:paraId="1B202506" w14:textId="77777777" w:rsidR="00523650" w:rsidRPr="00E3232D" w:rsidRDefault="00523650" w:rsidP="00F332F0">
      <w:pPr>
        <w:spacing w:after="0"/>
        <w:rPr>
          <w:rFonts w:ascii="Book Antiqua" w:hAnsi="Book Antiqua"/>
          <w:highlight w:val="yellow"/>
        </w:rPr>
      </w:pPr>
    </w:p>
    <w:p w14:paraId="3B3910BA" w14:textId="77777777" w:rsidR="00523650" w:rsidRPr="00E3232D" w:rsidRDefault="00523650" w:rsidP="00FD6F87">
      <w:pPr>
        <w:rPr>
          <w:rFonts w:ascii="Book Antiqua" w:hAnsi="Book Antiqua"/>
          <w:b/>
        </w:rPr>
        <w:sectPr w:rsidR="00523650" w:rsidRPr="00E3232D" w:rsidSect="008F6BC9">
          <w:type w:val="continuous"/>
          <w:pgSz w:w="11907" w:h="16839" w:code="9"/>
          <w:pgMar w:top="1440" w:right="1274" w:bottom="1440" w:left="1276" w:header="708" w:footer="708" w:gutter="0"/>
          <w:cols w:num="2" w:space="720"/>
          <w:docGrid w:linePitch="360"/>
        </w:sectPr>
      </w:pPr>
    </w:p>
    <w:p w14:paraId="1743763B" w14:textId="77777777" w:rsidR="00F332F0" w:rsidRDefault="00F332F0" w:rsidP="00FD6F87">
      <w:pPr>
        <w:rPr>
          <w:rFonts w:ascii="Book Antiqua" w:hAnsi="Book Antiqua"/>
          <w:b/>
        </w:rPr>
      </w:pPr>
    </w:p>
    <w:p w14:paraId="121B73ED" w14:textId="77777777" w:rsidR="00F332F0" w:rsidRDefault="00F332F0" w:rsidP="00FD6F87">
      <w:pPr>
        <w:rPr>
          <w:rFonts w:ascii="Book Antiqua" w:hAnsi="Book Antiqua"/>
          <w:b/>
        </w:rPr>
      </w:pPr>
    </w:p>
    <w:p w14:paraId="423B114E" w14:textId="77777777" w:rsidR="001B1B96" w:rsidRDefault="001B1B96" w:rsidP="00FD6F87">
      <w:pPr>
        <w:rPr>
          <w:rFonts w:ascii="Book Antiqua" w:hAnsi="Book Antiqua"/>
          <w:b/>
        </w:rPr>
      </w:pPr>
    </w:p>
    <w:p w14:paraId="6F13BEBD" w14:textId="77777777" w:rsidR="001B1B96" w:rsidRDefault="001B1B96" w:rsidP="00FD6F87">
      <w:pPr>
        <w:rPr>
          <w:rFonts w:ascii="Book Antiqua" w:hAnsi="Book Antiqua"/>
          <w:b/>
        </w:rPr>
      </w:pPr>
    </w:p>
    <w:p w14:paraId="63895DF5" w14:textId="77777777" w:rsidR="001B1B96" w:rsidRDefault="001B1B96" w:rsidP="00FD6F87">
      <w:pPr>
        <w:rPr>
          <w:rFonts w:ascii="Book Antiqua" w:hAnsi="Book Antiqua"/>
          <w:b/>
        </w:rPr>
      </w:pPr>
    </w:p>
    <w:p w14:paraId="27E65F3D" w14:textId="77777777" w:rsidR="001B1B96" w:rsidRDefault="001B1B96" w:rsidP="00FD6F87">
      <w:pPr>
        <w:rPr>
          <w:rFonts w:ascii="Book Antiqua" w:hAnsi="Book Antiqua"/>
          <w:b/>
        </w:rPr>
      </w:pPr>
    </w:p>
    <w:p w14:paraId="4BE07BD4" w14:textId="77777777" w:rsidR="001B1B96" w:rsidRDefault="001B1B96" w:rsidP="00FD6F87">
      <w:pPr>
        <w:rPr>
          <w:rFonts w:ascii="Book Antiqua" w:hAnsi="Book Antiqua"/>
          <w:b/>
        </w:rPr>
      </w:pPr>
    </w:p>
    <w:p w14:paraId="7DFB5798" w14:textId="77777777" w:rsidR="001B1B96" w:rsidRDefault="001B1B96" w:rsidP="00FD6F87">
      <w:pPr>
        <w:rPr>
          <w:rFonts w:ascii="Book Antiqua" w:hAnsi="Book Antiqua"/>
          <w:b/>
        </w:rPr>
      </w:pPr>
    </w:p>
    <w:p w14:paraId="2E5C4B6B" w14:textId="77777777" w:rsidR="00623180" w:rsidRDefault="00623180" w:rsidP="00FD6F87">
      <w:pPr>
        <w:rPr>
          <w:rFonts w:ascii="Book Antiqua" w:hAnsi="Book Antiqua"/>
          <w:b/>
        </w:rPr>
      </w:pPr>
    </w:p>
    <w:p w14:paraId="25C6229C" w14:textId="77777777" w:rsidR="00623180" w:rsidRDefault="00623180" w:rsidP="00FD6F87">
      <w:pPr>
        <w:rPr>
          <w:rFonts w:ascii="Book Antiqua" w:hAnsi="Book Antiqua"/>
          <w:b/>
        </w:rPr>
      </w:pPr>
    </w:p>
    <w:p w14:paraId="3D2A933D" w14:textId="77777777" w:rsidR="00623180" w:rsidRDefault="00623180" w:rsidP="00FD6F87">
      <w:pPr>
        <w:rPr>
          <w:rFonts w:ascii="Book Antiqua" w:hAnsi="Book Antiqua"/>
          <w:b/>
        </w:rPr>
      </w:pPr>
    </w:p>
    <w:p w14:paraId="255F5976" w14:textId="77777777" w:rsidR="00623180" w:rsidRDefault="00623180" w:rsidP="00FD6F87">
      <w:pPr>
        <w:rPr>
          <w:rFonts w:ascii="Book Antiqua" w:hAnsi="Book Antiqua"/>
          <w:b/>
        </w:rPr>
      </w:pPr>
    </w:p>
    <w:p w14:paraId="55F7D696" w14:textId="77777777" w:rsidR="00623180" w:rsidRDefault="00623180" w:rsidP="00FD6F87">
      <w:pPr>
        <w:rPr>
          <w:rFonts w:ascii="Book Antiqua" w:hAnsi="Book Antiqua"/>
          <w:b/>
        </w:rPr>
      </w:pPr>
    </w:p>
    <w:p w14:paraId="1FF026B7" w14:textId="77777777" w:rsidR="00623180" w:rsidRDefault="00623180" w:rsidP="00FD6F87">
      <w:pPr>
        <w:rPr>
          <w:rFonts w:ascii="Book Antiqua" w:hAnsi="Book Antiqua"/>
          <w:b/>
        </w:rPr>
      </w:pPr>
    </w:p>
    <w:p w14:paraId="5B09F55F" w14:textId="77777777" w:rsidR="00623180" w:rsidRDefault="00623180" w:rsidP="00FD6F87">
      <w:pPr>
        <w:rPr>
          <w:rFonts w:ascii="Book Antiqua" w:hAnsi="Book Antiqua"/>
          <w:b/>
        </w:rPr>
      </w:pPr>
    </w:p>
    <w:p w14:paraId="281734E0" w14:textId="77777777" w:rsidR="00623180" w:rsidRDefault="00623180" w:rsidP="00FD6F87">
      <w:pPr>
        <w:rPr>
          <w:rFonts w:ascii="Book Antiqua" w:hAnsi="Book Antiqua"/>
          <w:b/>
        </w:rPr>
      </w:pPr>
    </w:p>
    <w:p w14:paraId="1D54366A" w14:textId="77777777" w:rsidR="00623180" w:rsidRDefault="00623180" w:rsidP="00FD6F87">
      <w:pPr>
        <w:rPr>
          <w:rFonts w:ascii="Book Antiqua" w:hAnsi="Book Antiqua"/>
          <w:b/>
        </w:rPr>
      </w:pPr>
    </w:p>
    <w:p w14:paraId="42B84D76" w14:textId="77777777" w:rsidR="00623180" w:rsidRDefault="00623180" w:rsidP="00FD6F87">
      <w:pPr>
        <w:rPr>
          <w:rFonts w:ascii="Book Antiqua" w:hAnsi="Book Antiqua"/>
          <w:b/>
        </w:rPr>
      </w:pPr>
    </w:p>
    <w:p w14:paraId="33807040" w14:textId="77777777" w:rsidR="00623180" w:rsidRDefault="00623180" w:rsidP="00FD6F87">
      <w:pPr>
        <w:rPr>
          <w:rFonts w:ascii="Book Antiqua" w:hAnsi="Book Antiqua"/>
          <w:b/>
        </w:rPr>
      </w:pPr>
    </w:p>
    <w:p w14:paraId="615F0C8F" w14:textId="77777777" w:rsidR="00623180" w:rsidRDefault="00623180" w:rsidP="00FD6F87">
      <w:pPr>
        <w:rPr>
          <w:rFonts w:ascii="Book Antiqua" w:hAnsi="Book Antiqua"/>
          <w:b/>
        </w:rPr>
      </w:pPr>
    </w:p>
    <w:p w14:paraId="1671A477" w14:textId="77777777" w:rsidR="00623180" w:rsidRDefault="00623180" w:rsidP="00FD6F87">
      <w:pPr>
        <w:rPr>
          <w:rFonts w:ascii="Book Antiqua" w:hAnsi="Book Antiqua"/>
          <w:b/>
        </w:rPr>
      </w:pPr>
    </w:p>
    <w:p w14:paraId="20BF2CE5" w14:textId="77777777" w:rsidR="00523650" w:rsidRPr="00E3232D" w:rsidRDefault="00523650" w:rsidP="00FD6F87">
      <w:pPr>
        <w:rPr>
          <w:rFonts w:ascii="Book Antiqua" w:hAnsi="Book Antiqua"/>
          <w:b/>
        </w:rPr>
      </w:pPr>
      <w:r w:rsidRPr="00E3232D">
        <w:rPr>
          <w:rFonts w:ascii="Book Antiqua" w:hAnsi="Book Antiqua"/>
          <w:b/>
        </w:rPr>
        <w:lastRenderedPageBreak/>
        <w:t>Appendix A</w:t>
      </w:r>
    </w:p>
    <w:p w14:paraId="612A017D" w14:textId="77777777" w:rsidR="00523650" w:rsidRPr="00E3232D" w:rsidRDefault="00523650" w:rsidP="009C4636">
      <w:pPr>
        <w:rPr>
          <w:rFonts w:ascii="Book Antiqua" w:hAnsi="Book Antiqua"/>
        </w:rPr>
      </w:pPr>
      <w:r w:rsidRPr="00E3232D">
        <w:rPr>
          <w:rFonts w:ascii="Book Antiqua" w:hAnsi="Book Antiqua"/>
        </w:rPr>
        <w:t>Table 3   Frequency and Degree of Transformation of each of the five Internet</w:t>
      </w:r>
    </w:p>
    <w:p w14:paraId="2388105F" w14:textId="77777777" w:rsidR="00523650" w:rsidRPr="00E3232D" w:rsidRDefault="00523650" w:rsidP="009C4636">
      <w:pPr>
        <w:rPr>
          <w:rFonts w:ascii="Book Antiqua" w:hAnsi="Book Antiqua"/>
        </w:rPr>
      </w:pPr>
      <w:r w:rsidRPr="00E3232D">
        <w:rPr>
          <w:rFonts w:ascii="Book Antiqua" w:hAnsi="Book Antiqua"/>
        </w:rPr>
        <w:t>Marketing Dimension</w:t>
      </w:r>
    </w:p>
    <w:tbl>
      <w:tblPr>
        <w:tblW w:w="0" w:type="auto"/>
        <w:jc w:val="center"/>
        <w:tblLayout w:type="fixed"/>
        <w:tblLook w:val="04A0" w:firstRow="1" w:lastRow="0" w:firstColumn="1" w:lastColumn="0" w:noHBand="0" w:noVBand="1"/>
      </w:tblPr>
      <w:tblGrid>
        <w:gridCol w:w="1760"/>
        <w:gridCol w:w="1981"/>
        <w:gridCol w:w="1650"/>
        <w:gridCol w:w="1874"/>
        <w:gridCol w:w="1481"/>
      </w:tblGrid>
      <w:tr w:rsidR="00523650" w:rsidRPr="00D12E59" w14:paraId="15ACE85D" w14:textId="77777777" w:rsidTr="003951D1">
        <w:trPr>
          <w:trHeight w:val="110"/>
          <w:jc w:val="center"/>
        </w:trPr>
        <w:tc>
          <w:tcPr>
            <w:tcW w:w="8746" w:type="dxa"/>
            <w:gridSpan w:val="5"/>
          </w:tcPr>
          <w:p w14:paraId="35E8DEEF" w14:textId="77777777" w:rsidR="00523650" w:rsidRPr="00D12E59" w:rsidRDefault="00523650" w:rsidP="00F332F0">
            <w:pPr>
              <w:autoSpaceDE w:val="0"/>
              <w:autoSpaceDN w:val="0"/>
              <w:adjustRightInd w:val="0"/>
              <w:spacing w:after="0"/>
              <w:jc w:val="right"/>
              <w:rPr>
                <w:rFonts w:ascii="Book Antiqua" w:hAnsi="Book Antiqua"/>
                <w:color w:val="000000"/>
              </w:rPr>
            </w:pPr>
          </w:p>
          <w:p w14:paraId="41BD492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Overall Degrees of Transformation of each of the Internet Marketing Dimension</w:t>
            </w:r>
          </w:p>
        </w:tc>
      </w:tr>
      <w:tr w:rsidR="00523650" w:rsidRPr="00D12E59" w14:paraId="673CB51D" w14:textId="77777777" w:rsidTr="003951D1">
        <w:trPr>
          <w:trHeight w:val="698"/>
          <w:jc w:val="center"/>
        </w:trPr>
        <w:tc>
          <w:tcPr>
            <w:tcW w:w="1760" w:type="dxa"/>
          </w:tcPr>
          <w:p w14:paraId="255B074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Dimensions</w:t>
            </w:r>
          </w:p>
        </w:tc>
        <w:tc>
          <w:tcPr>
            <w:tcW w:w="1981" w:type="dxa"/>
          </w:tcPr>
          <w:p w14:paraId="30334AA5"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Variable Name</w:t>
            </w:r>
          </w:p>
        </w:tc>
        <w:tc>
          <w:tcPr>
            <w:tcW w:w="1650" w:type="dxa"/>
          </w:tcPr>
          <w:p w14:paraId="3AC36E97"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No. used aspect/items</w:t>
            </w:r>
          </w:p>
        </w:tc>
        <w:tc>
          <w:tcPr>
            <w:tcW w:w="1874" w:type="dxa"/>
          </w:tcPr>
          <w:p w14:paraId="767657BE"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Expected No. of items/Aspects</w:t>
            </w:r>
          </w:p>
        </w:tc>
        <w:tc>
          <w:tcPr>
            <w:tcW w:w="1481" w:type="dxa"/>
          </w:tcPr>
          <w:p w14:paraId="3510F967"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Degree of transformation (%)</w:t>
            </w:r>
          </w:p>
        </w:tc>
      </w:tr>
      <w:tr w:rsidR="00523650" w:rsidRPr="00D12E59" w14:paraId="32217EB7" w14:textId="77777777" w:rsidTr="003951D1">
        <w:trPr>
          <w:trHeight w:val="236"/>
          <w:jc w:val="center"/>
        </w:trPr>
        <w:tc>
          <w:tcPr>
            <w:tcW w:w="1760" w:type="dxa"/>
            <w:vMerge w:val="restart"/>
          </w:tcPr>
          <w:p w14:paraId="1EFD0B6E" w14:textId="77777777" w:rsidR="00523650" w:rsidRPr="00D12E59" w:rsidRDefault="00523650" w:rsidP="00F332F0">
            <w:pPr>
              <w:autoSpaceDE w:val="0"/>
              <w:autoSpaceDN w:val="0"/>
              <w:adjustRightInd w:val="0"/>
              <w:spacing w:after="0"/>
              <w:jc w:val="right"/>
              <w:rPr>
                <w:rFonts w:ascii="Book Antiqua" w:hAnsi="Book Antiqua"/>
                <w:color w:val="000000"/>
              </w:rPr>
            </w:pPr>
          </w:p>
          <w:p w14:paraId="6CAC3208" w14:textId="77777777" w:rsidR="00523650" w:rsidRPr="00D12E59" w:rsidRDefault="00523650" w:rsidP="00F332F0">
            <w:pPr>
              <w:autoSpaceDE w:val="0"/>
              <w:autoSpaceDN w:val="0"/>
              <w:adjustRightInd w:val="0"/>
              <w:spacing w:after="0"/>
              <w:jc w:val="right"/>
              <w:rPr>
                <w:rFonts w:ascii="Book Antiqua" w:hAnsi="Book Antiqua"/>
                <w:color w:val="000000"/>
              </w:rPr>
            </w:pPr>
          </w:p>
          <w:p w14:paraId="25084A27" w14:textId="77777777" w:rsidR="00523650" w:rsidRPr="00D12E59" w:rsidRDefault="00523650" w:rsidP="00F332F0">
            <w:pPr>
              <w:autoSpaceDE w:val="0"/>
              <w:autoSpaceDN w:val="0"/>
              <w:adjustRightInd w:val="0"/>
              <w:spacing w:after="0"/>
              <w:jc w:val="right"/>
              <w:rPr>
                <w:rFonts w:ascii="Book Antiqua" w:hAnsi="Book Antiqua"/>
                <w:color w:val="000000"/>
              </w:rPr>
            </w:pPr>
          </w:p>
          <w:p w14:paraId="4A118DB6"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Product</w:t>
            </w:r>
          </w:p>
        </w:tc>
        <w:tc>
          <w:tcPr>
            <w:tcW w:w="1981" w:type="dxa"/>
          </w:tcPr>
          <w:p w14:paraId="1E766D44"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Q1</w:t>
            </w:r>
          </w:p>
        </w:tc>
        <w:tc>
          <w:tcPr>
            <w:tcW w:w="1650" w:type="dxa"/>
          </w:tcPr>
          <w:p w14:paraId="404A7DA1"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874" w:type="dxa"/>
          </w:tcPr>
          <w:p w14:paraId="04C25E9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2FB44756"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14.29</w:t>
            </w:r>
          </w:p>
        </w:tc>
      </w:tr>
      <w:tr w:rsidR="00523650" w:rsidRPr="00D12E59" w14:paraId="25718EFE" w14:textId="77777777" w:rsidTr="003951D1">
        <w:trPr>
          <w:trHeight w:val="92"/>
          <w:jc w:val="center"/>
        </w:trPr>
        <w:tc>
          <w:tcPr>
            <w:tcW w:w="1760" w:type="dxa"/>
            <w:vMerge/>
          </w:tcPr>
          <w:p w14:paraId="4A070F77"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0BE9320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Q2</w:t>
            </w:r>
          </w:p>
        </w:tc>
        <w:tc>
          <w:tcPr>
            <w:tcW w:w="1650" w:type="dxa"/>
          </w:tcPr>
          <w:p w14:paraId="0C3122AB"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13</w:t>
            </w:r>
          </w:p>
        </w:tc>
        <w:tc>
          <w:tcPr>
            <w:tcW w:w="1874" w:type="dxa"/>
          </w:tcPr>
          <w:p w14:paraId="540BB1B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5FADB124"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2.13</w:t>
            </w:r>
          </w:p>
        </w:tc>
      </w:tr>
      <w:tr w:rsidR="00523650" w:rsidRPr="00D12E59" w14:paraId="4102689A" w14:textId="77777777" w:rsidTr="003951D1">
        <w:trPr>
          <w:trHeight w:val="110"/>
          <w:jc w:val="center"/>
        </w:trPr>
        <w:tc>
          <w:tcPr>
            <w:tcW w:w="1760" w:type="dxa"/>
            <w:vMerge/>
          </w:tcPr>
          <w:p w14:paraId="108762BE"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34E3DCE7"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Q3</w:t>
            </w:r>
          </w:p>
        </w:tc>
        <w:tc>
          <w:tcPr>
            <w:tcW w:w="1650" w:type="dxa"/>
          </w:tcPr>
          <w:p w14:paraId="249E6781"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86</w:t>
            </w:r>
          </w:p>
        </w:tc>
        <w:tc>
          <w:tcPr>
            <w:tcW w:w="1874" w:type="dxa"/>
          </w:tcPr>
          <w:p w14:paraId="6BF594AE"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4755C8BA"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14.12</w:t>
            </w:r>
          </w:p>
        </w:tc>
      </w:tr>
      <w:tr w:rsidR="00523650" w:rsidRPr="00D12E59" w14:paraId="6388EA53" w14:textId="77777777" w:rsidTr="003951D1">
        <w:trPr>
          <w:trHeight w:val="119"/>
          <w:jc w:val="center"/>
        </w:trPr>
        <w:tc>
          <w:tcPr>
            <w:tcW w:w="1760" w:type="dxa"/>
            <w:vMerge/>
          </w:tcPr>
          <w:p w14:paraId="1473BE67"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375C42D2"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Q4</w:t>
            </w:r>
          </w:p>
        </w:tc>
        <w:tc>
          <w:tcPr>
            <w:tcW w:w="1650" w:type="dxa"/>
          </w:tcPr>
          <w:p w14:paraId="697C3E1D"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7</w:t>
            </w:r>
          </w:p>
        </w:tc>
        <w:tc>
          <w:tcPr>
            <w:tcW w:w="1874" w:type="dxa"/>
          </w:tcPr>
          <w:p w14:paraId="5E67D7D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50D0563B"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1.15</w:t>
            </w:r>
          </w:p>
        </w:tc>
      </w:tr>
      <w:tr w:rsidR="00523650" w:rsidRPr="00D12E59" w14:paraId="029FBBE4" w14:textId="77777777" w:rsidTr="003951D1">
        <w:trPr>
          <w:trHeight w:val="92"/>
          <w:jc w:val="center"/>
        </w:trPr>
        <w:tc>
          <w:tcPr>
            <w:tcW w:w="1760" w:type="dxa"/>
            <w:vMerge/>
          </w:tcPr>
          <w:p w14:paraId="16926AA4"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0A11CC0E"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Q5</w:t>
            </w:r>
          </w:p>
        </w:tc>
        <w:tc>
          <w:tcPr>
            <w:tcW w:w="1650" w:type="dxa"/>
          </w:tcPr>
          <w:p w14:paraId="67CDEA95"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17</w:t>
            </w:r>
          </w:p>
        </w:tc>
        <w:tc>
          <w:tcPr>
            <w:tcW w:w="1874" w:type="dxa"/>
          </w:tcPr>
          <w:p w14:paraId="61AD4A7E"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500FA0F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2.79</w:t>
            </w:r>
          </w:p>
        </w:tc>
      </w:tr>
      <w:tr w:rsidR="00523650" w:rsidRPr="00D12E59" w14:paraId="44E78BF7" w14:textId="77777777" w:rsidTr="003951D1">
        <w:trPr>
          <w:trHeight w:val="110"/>
          <w:jc w:val="center"/>
        </w:trPr>
        <w:tc>
          <w:tcPr>
            <w:tcW w:w="1760" w:type="dxa"/>
            <w:vMerge/>
          </w:tcPr>
          <w:p w14:paraId="44F7D339"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726F10CA"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Q6</w:t>
            </w:r>
          </w:p>
        </w:tc>
        <w:tc>
          <w:tcPr>
            <w:tcW w:w="1650" w:type="dxa"/>
          </w:tcPr>
          <w:p w14:paraId="29E4197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7</w:t>
            </w:r>
          </w:p>
        </w:tc>
        <w:tc>
          <w:tcPr>
            <w:tcW w:w="1874" w:type="dxa"/>
          </w:tcPr>
          <w:p w14:paraId="2EB26684"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0D139FD6"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1.15</w:t>
            </w:r>
          </w:p>
        </w:tc>
      </w:tr>
      <w:tr w:rsidR="00523650" w:rsidRPr="00D12E59" w14:paraId="32B359DF" w14:textId="77777777" w:rsidTr="003951D1">
        <w:trPr>
          <w:trHeight w:val="101"/>
          <w:jc w:val="center"/>
        </w:trPr>
        <w:tc>
          <w:tcPr>
            <w:tcW w:w="1760" w:type="dxa"/>
            <w:vMerge/>
          </w:tcPr>
          <w:p w14:paraId="01F1578E"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22B88761"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Q7</w:t>
            </w:r>
          </w:p>
        </w:tc>
        <w:tc>
          <w:tcPr>
            <w:tcW w:w="1650" w:type="dxa"/>
          </w:tcPr>
          <w:p w14:paraId="1C2E4ED6"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20</w:t>
            </w:r>
          </w:p>
        </w:tc>
        <w:tc>
          <w:tcPr>
            <w:tcW w:w="1874" w:type="dxa"/>
          </w:tcPr>
          <w:p w14:paraId="379333DF"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2539BA7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3.28</w:t>
            </w:r>
          </w:p>
        </w:tc>
      </w:tr>
      <w:tr w:rsidR="00523650" w:rsidRPr="00D12E59" w14:paraId="7CA7E004" w14:textId="77777777" w:rsidTr="003951D1">
        <w:trPr>
          <w:trHeight w:val="101"/>
          <w:jc w:val="center"/>
        </w:trPr>
        <w:tc>
          <w:tcPr>
            <w:tcW w:w="1760" w:type="dxa"/>
            <w:vMerge/>
          </w:tcPr>
          <w:p w14:paraId="258B9668"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shd w:val="clear" w:color="auto" w:fill="D6E3BC"/>
          </w:tcPr>
          <w:p w14:paraId="7715D7D0" w14:textId="77777777" w:rsidR="00523650" w:rsidRPr="00D12E59" w:rsidRDefault="00523650" w:rsidP="00F332F0">
            <w:pPr>
              <w:autoSpaceDE w:val="0"/>
              <w:autoSpaceDN w:val="0"/>
              <w:adjustRightInd w:val="0"/>
              <w:spacing w:after="0"/>
              <w:jc w:val="right"/>
              <w:rPr>
                <w:rFonts w:ascii="Book Antiqua" w:hAnsi="Book Antiqua"/>
                <w:b/>
                <w:color w:val="000000"/>
              </w:rPr>
            </w:pPr>
            <w:r w:rsidRPr="00D12E59">
              <w:rPr>
                <w:rFonts w:ascii="Book Antiqua" w:hAnsi="Book Antiqua"/>
                <w:b/>
                <w:color w:val="000000"/>
              </w:rPr>
              <w:t>Total</w:t>
            </w:r>
          </w:p>
        </w:tc>
        <w:tc>
          <w:tcPr>
            <w:tcW w:w="1650" w:type="dxa"/>
            <w:shd w:val="clear" w:color="auto" w:fill="D6E3BC"/>
          </w:tcPr>
          <w:p w14:paraId="1C054412" w14:textId="77777777" w:rsidR="00523650" w:rsidRPr="00D12E59" w:rsidRDefault="00523650" w:rsidP="00F332F0">
            <w:pPr>
              <w:autoSpaceDE w:val="0"/>
              <w:autoSpaceDN w:val="0"/>
              <w:adjustRightInd w:val="0"/>
              <w:spacing w:after="0"/>
              <w:jc w:val="right"/>
              <w:rPr>
                <w:rFonts w:ascii="Book Antiqua" w:hAnsi="Book Antiqua"/>
                <w:b/>
                <w:color w:val="000000"/>
              </w:rPr>
            </w:pPr>
            <w:r w:rsidRPr="00D12E59">
              <w:rPr>
                <w:rFonts w:ascii="Book Antiqua" w:hAnsi="Book Antiqua"/>
                <w:b/>
                <w:color w:val="000000"/>
              </w:rPr>
              <w:t>237</w:t>
            </w:r>
          </w:p>
        </w:tc>
        <w:tc>
          <w:tcPr>
            <w:tcW w:w="1874" w:type="dxa"/>
            <w:shd w:val="clear" w:color="auto" w:fill="D6E3BC"/>
          </w:tcPr>
          <w:p w14:paraId="1111239C" w14:textId="77777777" w:rsidR="00523650" w:rsidRPr="00D12E59" w:rsidRDefault="00523650" w:rsidP="00F332F0">
            <w:pPr>
              <w:autoSpaceDE w:val="0"/>
              <w:autoSpaceDN w:val="0"/>
              <w:adjustRightInd w:val="0"/>
              <w:spacing w:after="0"/>
              <w:jc w:val="right"/>
              <w:rPr>
                <w:rFonts w:ascii="Book Antiqua" w:hAnsi="Book Antiqua"/>
                <w:b/>
                <w:color w:val="000000"/>
              </w:rPr>
            </w:pPr>
            <w:r w:rsidRPr="00D12E59">
              <w:rPr>
                <w:rFonts w:ascii="Book Antiqua" w:hAnsi="Book Antiqua"/>
                <w:b/>
                <w:color w:val="000000"/>
              </w:rPr>
              <w:t>609</w:t>
            </w:r>
          </w:p>
        </w:tc>
        <w:tc>
          <w:tcPr>
            <w:tcW w:w="1481" w:type="dxa"/>
            <w:shd w:val="clear" w:color="auto" w:fill="D6E3BC"/>
          </w:tcPr>
          <w:p w14:paraId="598FCC92" w14:textId="77777777" w:rsidR="00523650" w:rsidRPr="00D12E59" w:rsidRDefault="00523650" w:rsidP="00F332F0">
            <w:pPr>
              <w:autoSpaceDE w:val="0"/>
              <w:autoSpaceDN w:val="0"/>
              <w:adjustRightInd w:val="0"/>
              <w:spacing w:after="0"/>
              <w:jc w:val="right"/>
              <w:rPr>
                <w:rFonts w:ascii="Book Antiqua" w:hAnsi="Book Antiqua"/>
                <w:b/>
                <w:color w:val="000000"/>
              </w:rPr>
            </w:pPr>
            <w:r w:rsidRPr="00D12E59">
              <w:rPr>
                <w:rFonts w:ascii="Book Antiqua" w:hAnsi="Book Antiqua"/>
                <w:b/>
                <w:color w:val="000000"/>
              </w:rPr>
              <w:t>38.92</w:t>
            </w:r>
          </w:p>
        </w:tc>
      </w:tr>
      <w:tr w:rsidR="00523650" w:rsidRPr="00D12E59" w14:paraId="00654344" w14:textId="77777777" w:rsidTr="003951D1">
        <w:trPr>
          <w:trHeight w:val="110"/>
          <w:jc w:val="center"/>
        </w:trPr>
        <w:tc>
          <w:tcPr>
            <w:tcW w:w="1760" w:type="dxa"/>
            <w:vMerge w:val="restart"/>
          </w:tcPr>
          <w:p w14:paraId="4F49F7A2" w14:textId="77777777" w:rsidR="00523650" w:rsidRPr="00D12E59" w:rsidRDefault="00523650" w:rsidP="00F332F0">
            <w:pPr>
              <w:autoSpaceDE w:val="0"/>
              <w:autoSpaceDN w:val="0"/>
              <w:adjustRightInd w:val="0"/>
              <w:spacing w:after="0"/>
              <w:jc w:val="right"/>
              <w:rPr>
                <w:rFonts w:ascii="Book Antiqua" w:hAnsi="Book Antiqua"/>
                <w:color w:val="000000"/>
              </w:rPr>
            </w:pPr>
          </w:p>
          <w:p w14:paraId="63ADD731" w14:textId="77777777" w:rsidR="00523650" w:rsidRPr="00D12E59" w:rsidRDefault="00523650" w:rsidP="00F332F0">
            <w:pPr>
              <w:autoSpaceDE w:val="0"/>
              <w:autoSpaceDN w:val="0"/>
              <w:adjustRightInd w:val="0"/>
              <w:spacing w:after="0"/>
              <w:jc w:val="right"/>
              <w:rPr>
                <w:rFonts w:ascii="Book Antiqua" w:hAnsi="Book Antiqua"/>
                <w:color w:val="000000"/>
              </w:rPr>
            </w:pPr>
          </w:p>
          <w:p w14:paraId="1F256EB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Price</w:t>
            </w:r>
          </w:p>
        </w:tc>
        <w:tc>
          <w:tcPr>
            <w:tcW w:w="1981" w:type="dxa"/>
          </w:tcPr>
          <w:p w14:paraId="7A15E667"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Q8</w:t>
            </w:r>
          </w:p>
        </w:tc>
        <w:tc>
          <w:tcPr>
            <w:tcW w:w="1650" w:type="dxa"/>
          </w:tcPr>
          <w:p w14:paraId="353501E4"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56</w:t>
            </w:r>
          </w:p>
        </w:tc>
        <w:tc>
          <w:tcPr>
            <w:tcW w:w="1874" w:type="dxa"/>
          </w:tcPr>
          <w:p w14:paraId="4D966710"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1DFCA57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12.87</w:t>
            </w:r>
          </w:p>
        </w:tc>
      </w:tr>
      <w:tr w:rsidR="00523650" w:rsidRPr="00D12E59" w14:paraId="18D64158" w14:textId="77777777" w:rsidTr="003951D1">
        <w:trPr>
          <w:trHeight w:val="128"/>
          <w:jc w:val="center"/>
        </w:trPr>
        <w:tc>
          <w:tcPr>
            <w:tcW w:w="1760" w:type="dxa"/>
            <w:vMerge/>
          </w:tcPr>
          <w:p w14:paraId="47D24A8A"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69826ADF"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Q9</w:t>
            </w:r>
          </w:p>
        </w:tc>
        <w:tc>
          <w:tcPr>
            <w:tcW w:w="1650" w:type="dxa"/>
          </w:tcPr>
          <w:p w14:paraId="4B4AD3F6"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10</w:t>
            </w:r>
          </w:p>
        </w:tc>
        <w:tc>
          <w:tcPr>
            <w:tcW w:w="1874" w:type="dxa"/>
          </w:tcPr>
          <w:p w14:paraId="10B2743D"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292202E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2.30</w:t>
            </w:r>
          </w:p>
        </w:tc>
      </w:tr>
      <w:tr w:rsidR="00523650" w:rsidRPr="00D12E59" w14:paraId="05673E49" w14:textId="77777777" w:rsidTr="003951D1">
        <w:trPr>
          <w:trHeight w:val="74"/>
          <w:jc w:val="center"/>
        </w:trPr>
        <w:tc>
          <w:tcPr>
            <w:tcW w:w="1760" w:type="dxa"/>
            <w:vMerge/>
          </w:tcPr>
          <w:p w14:paraId="6E95963F"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7BB1E173"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Q10</w:t>
            </w:r>
          </w:p>
        </w:tc>
        <w:tc>
          <w:tcPr>
            <w:tcW w:w="1650" w:type="dxa"/>
          </w:tcPr>
          <w:p w14:paraId="7222EEA3"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12</w:t>
            </w:r>
          </w:p>
        </w:tc>
        <w:tc>
          <w:tcPr>
            <w:tcW w:w="1874" w:type="dxa"/>
          </w:tcPr>
          <w:p w14:paraId="4129D8C7"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7D6E23FB"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2.76</w:t>
            </w:r>
          </w:p>
        </w:tc>
      </w:tr>
      <w:tr w:rsidR="00523650" w:rsidRPr="00D12E59" w14:paraId="0E00486D" w14:textId="77777777" w:rsidTr="003951D1">
        <w:trPr>
          <w:trHeight w:val="119"/>
          <w:jc w:val="center"/>
        </w:trPr>
        <w:tc>
          <w:tcPr>
            <w:tcW w:w="1760" w:type="dxa"/>
            <w:vMerge/>
          </w:tcPr>
          <w:p w14:paraId="64CD31C9"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2EFBDFD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Q11</w:t>
            </w:r>
          </w:p>
        </w:tc>
        <w:tc>
          <w:tcPr>
            <w:tcW w:w="1650" w:type="dxa"/>
          </w:tcPr>
          <w:p w14:paraId="0FC7CDB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3</w:t>
            </w:r>
          </w:p>
        </w:tc>
        <w:tc>
          <w:tcPr>
            <w:tcW w:w="1874" w:type="dxa"/>
          </w:tcPr>
          <w:p w14:paraId="7F2BDAAA"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5070AF42"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0.69</w:t>
            </w:r>
          </w:p>
        </w:tc>
      </w:tr>
      <w:tr w:rsidR="00523650" w:rsidRPr="00D12E59" w14:paraId="7B05AB5A" w14:textId="77777777" w:rsidTr="003951D1">
        <w:trPr>
          <w:trHeight w:val="83"/>
          <w:jc w:val="center"/>
        </w:trPr>
        <w:tc>
          <w:tcPr>
            <w:tcW w:w="1760" w:type="dxa"/>
            <w:vMerge/>
          </w:tcPr>
          <w:p w14:paraId="3BE74215"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31DEFA3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Q12</w:t>
            </w:r>
          </w:p>
        </w:tc>
        <w:tc>
          <w:tcPr>
            <w:tcW w:w="1650" w:type="dxa"/>
          </w:tcPr>
          <w:p w14:paraId="523200F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7</w:t>
            </w:r>
          </w:p>
        </w:tc>
        <w:tc>
          <w:tcPr>
            <w:tcW w:w="1874" w:type="dxa"/>
          </w:tcPr>
          <w:p w14:paraId="635C26FF"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6150FCF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1.61</w:t>
            </w:r>
          </w:p>
        </w:tc>
      </w:tr>
      <w:tr w:rsidR="00523650" w:rsidRPr="00D12E59" w14:paraId="6725FF1D" w14:textId="77777777" w:rsidTr="003951D1">
        <w:trPr>
          <w:trHeight w:val="119"/>
          <w:jc w:val="center"/>
        </w:trPr>
        <w:tc>
          <w:tcPr>
            <w:tcW w:w="1760" w:type="dxa"/>
            <w:vMerge/>
          </w:tcPr>
          <w:p w14:paraId="238BA62A"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shd w:val="clear" w:color="auto" w:fill="D6E3BC"/>
          </w:tcPr>
          <w:p w14:paraId="3F726682" w14:textId="77777777" w:rsidR="00523650" w:rsidRPr="00D12E59" w:rsidRDefault="00523650" w:rsidP="00F332F0">
            <w:pPr>
              <w:autoSpaceDE w:val="0"/>
              <w:autoSpaceDN w:val="0"/>
              <w:adjustRightInd w:val="0"/>
              <w:spacing w:after="0"/>
              <w:jc w:val="right"/>
              <w:rPr>
                <w:rFonts w:ascii="Book Antiqua" w:hAnsi="Book Antiqua"/>
                <w:b/>
                <w:color w:val="000000"/>
              </w:rPr>
            </w:pPr>
            <w:r w:rsidRPr="00D12E59">
              <w:rPr>
                <w:rFonts w:ascii="Book Antiqua" w:hAnsi="Book Antiqua"/>
                <w:b/>
                <w:color w:val="000000"/>
              </w:rPr>
              <w:t>Total</w:t>
            </w:r>
          </w:p>
        </w:tc>
        <w:tc>
          <w:tcPr>
            <w:tcW w:w="1650" w:type="dxa"/>
            <w:shd w:val="clear" w:color="auto" w:fill="D6E3BC"/>
          </w:tcPr>
          <w:p w14:paraId="22D36D7C" w14:textId="77777777" w:rsidR="00523650" w:rsidRPr="00D12E59" w:rsidRDefault="00523650" w:rsidP="00F332F0">
            <w:pPr>
              <w:autoSpaceDE w:val="0"/>
              <w:autoSpaceDN w:val="0"/>
              <w:adjustRightInd w:val="0"/>
              <w:spacing w:after="0"/>
              <w:jc w:val="right"/>
              <w:rPr>
                <w:rFonts w:ascii="Book Antiqua" w:hAnsi="Book Antiqua"/>
                <w:b/>
                <w:color w:val="000000"/>
              </w:rPr>
            </w:pPr>
            <w:r w:rsidRPr="00D12E59">
              <w:rPr>
                <w:rFonts w:ascii="Book Antiqua" w:hAnsi="Book Antiqua"/>
                <w:b/>
                <w:color w:val="000000"/>
              </w:rPr>
              <w:t>88</w:t>
            </w:r>
          </w:p>
        </w:tc>
        <w:tc>
          <w:tcPr>
            <w:tcW w:w="1874" w:type="dxa"/>
            <w:shd w:val="clear" w:color="auto" w:fill="D6E3BC"/>
          </w:tcPr>
          <w:p w14:paraId="241BE2E0" w14:textId="77777777" w:rsidR="00523650" w:rsidRPr="00D12E59" w:rsidRDefault="00523650" w:rsidP="00F332F0">
            <w:pPr>
              <w:autoSpaceDE w:val="0"/>
              <w:autoSpaceDN w:val="0"/>
              <w:adjustRightInd w:val="0"/>
              <w:spacing w:after="0"/>
              <w:jc w:val="right"/>
              <w:rPr>
                <w:rFonts w:ascii="Book Antiqua" w:hAnsi="Book Antiqua"/>
                <w:b/>
                <w:color w:val="000000"/>
              </w:rPr>
            </w:pPr>
            <w:r w:rsidRPr="00D12E59">
              <w:rPr>
                <w:rFonts w:ascii="Book Antiqua" w:hAnsi="Book Antiqua"/>
                <w:b/>
                <w:color w:val="000000"/>
              </w:rPr>
              <w:t>435</w:t>
            </w:r>
          </w:p>
        </w:tc>
        <w:tc>
          <w:tcPr>
            <w:tcW w:w="1481" w:type="dxa"/>
            <w:shd w:val="clear" w:color="auto" w:fill="D6E3BC"/>
          </w:tcPr>
          <w:p w14:paraId="5CDB6106" w14:textId="77777777" w:rsidR="00523650" w:rsidRPr="00D12E59" w:rsidRDefault="00523650" w:rsidP="00F332F0">
            <w:pPr>
              <w:autoSpaceDE w:val="0"/>
              <w:autoSpaceDN w:val="0"/>
              <w:adjustRightInd w:val="0"/>
              <w:spacing w:after="0"/>
              <w:jc w:val="right"/>
              <w:rPr>
                <w:rFonts w:ascii="Book Antiqua" w:hAnsi="Book Antiqua"/>
                <w:b/>
                <w:color w:val="000000"/>
              </w:rPr>
            </w:pPr>
            <w:r w:rsidRPr="00D12E59">
              <w:rPr>
                <w:rFonts w:ascii="Book Antiqua" w:hAnsi="Book Antiqua"/>
                <w:b/>
                <w:color w:val="000000"/>
              </w:rPr>
              <w:t>20.23</w:t>
            </w:r>
          </w:p>
        </w:tc>
      </w:tr>
      <w:tr w:rsidR="00523650" w:rsidRPr="00D12E59" w14:paraId="72E0F28F" w14:textId="77777777" w:rsidTr="003951D1">
        <w:trPr>
          <w:trHeight w:val="138"/>
          <w:jc w:val="center"/>
        </w:trPr>
        <w:tc>
          <w:tcPr>
            <w:tcW w:w="1760" w:type="dxa"/>
            <w:vMerge w:val="restart"/>
          </w:tcPr>
          <w:p w14:paraId="37B8F6DE" w14:textId="77777777" w:rsidR="00523650" w:rsidRPr="00D12E59" w:rsidRDefault="00523650" w:rsidP="00F332F0">
            <w:pPr>
              <w:autoSpaceDE w:val="0"/>
              <w:autoSpaceDN w:val="0"/>
              <w:adjustRightInd w:val="0"/>
              <w:spacing w:after="0"/>
              <w:jc w:val="right"/>
              <w:rPr>
                <w:rFonts w:ascii="Book Antiqua" w:hAnsi="Book Antiqua"/>
                <w:color w:val="000000"/>
              </w:rPr>
            </w:pPr>
          </w:p>
          <w:p w14:paraId="4DE37BBD" w14:textId="77777777" w:rsidR="00523650" w:rsidRPr="00D12E59" w:rsidRDefault="00523650" w:rsidP="00F332F0">
            <w:pPr>
              <w:autoSpaceDE w:val="0"/>
              <w:autoSpaceDN w:val="0"/>
              <w:adjustRightInd w:val="0"/>
              <w:spacing w:after="0"/>
              <w:jc w:val="right"/>
              <w:rPr>
                <w:rFonts w:ascii="Book Antiqua" w:hAnsi="Book Antiqua"/>
                <w:color w:val="000000"/>
              </w:rPr>
            </w:pPr>
          </w:p>
          <w:p w14:paraId="2B0EDA60"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Place</w:t>
            </w:r>
          </w:p>
        </w:tc>
        <w:tc>
          <w:tcPr>
            <w:tcW w:w="1981" w:type="dxa"/>
          </w:tcPr>
          <w:p w14:paraId="73DC711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TPla1L</w:t>
            </w:r>
          </w:p>
        </w:tc>
        <w:tc>
          <w:tcPr>
            <w:tcW w:w="1650" w:type="dxa"/>
          </w:tcPr>
          <w:p w14:paraId="6AEC3003"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874" w:type="dxa"/>
          </w:tcPr>
          <w:p w14:paraId="01FAD236"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0E5F237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25.00</w:t>
            </w:r>
          </w:p>
        </w:tc>
      </w:tr>
      <w:tr w:rsidR="00523650" w:rsidRPr="00D12E59" w14:paraId="61A33DE3" w14:textId="77777777" w:rsidTr="003951D1">
        <w:trPr>
          <w:trHeight w:val="99"/>
          <w:jc w:val="center"/>
        </w:trPr>
        <w:tc>
          <w:tcPr>
            <w:tcW w:w="1760" w:type="dxa"/>
            <w:vMerge/>
          </w:tcPr>
          <w:p w14:paraId="3AC656BB"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65FA044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TPla2L</w:t>
            </w:r>
          </w:p>
        </w:tc>
        <w:tc>
          <w:tcPr>
            <w:tcW w:w="1650" w:type="dxa"/>
          </w:tcPr>
          <w:p w14:paraId="4383B293"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50</w:t>
            </w:r>
          </w:p>
        </w:tc>
        <w:tc>
          <w:tcPr>
            <w:tcW w:w="1874" w:type="dxa"/>
          </w:tcPr>
          <w:p w14:paraId="2E667883"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2C29FB87"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14.37</w:t>
            </w:r>
          </w:p>
        </w:tc>
      </w:tr>
      <w:tr w:rsidR="00523650" w:rsidRPr="00D12E59" w14:paraId="41DA3CF6" w14:textId="77777777" w:rsidTr="003951D1">
        <w:trPr>
          <w:trHeight w:val="99"/>
          <w:jc w:val="center"/>
        </w:trPr>
        <w:tc>
          <w:tcPr>
            <w:tcW w:w="1760" w:type="dxa"/>
            <w:vMerge/>
          </w:tcPr>
          <w:p w14:paraId="4E8A111E"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21BF9C11"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TPla3H</w:t>
            </w:r>
          </w:p>
        </w:tc>
        <w:tc>
          <w:tcPr>
            <w:tcW w:w="1650" w:type="dxa"/>
          </w:tcPr>
          <w:p w14:paraId="4ED30ECB"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63</w:t>
            </w:r>
          </w:p>
        </w:tc>
        <w:tc>
          <w:tcPr>
            <w:tcW w:w="1874" w:type="dxa"/>
          </w:tcPr>
          <w:p w14:paraId="11EB5AB0"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0D02DCB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18.10</w:t>
            </w:r>
          </w:p>
        </w:tc>
      </w:tr>
      <w:tr w:rsidR="00523650" w:rsidRPr="00D12E59" w14:paraId="16B3E26F" w14:textId="77777777" w:rsidTr="003951D1">
        <w:trPr>
          <w:trHeight w:val="101"/>
          <w:jc w:val="center"/>
        </w:trPr>
        <w:tc>
          <w:tcPr>
            <w:tcW w:w="1760" w:type="dxa"/>
            <w:vMerge/>
          </w:tcPr>
          <w:p w14:paraId="6C617318"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718955BA"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TPla4H</w:t>
            </w:r>
          </w:p>
        </w:tc>
        <w:tc>
          <w:tcPr>
            <w:tcW w:w="1650" w:type="dxa"/>
          </w:tcPr>
          <w:p w14:paraId="3CAAC412"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w:t>
            </w:r>
          </w:p>
        </w:tc>
        <w:tc>
          <w:tcPr>
            <w:tcW w:w="1874" w:type="dxa"/>
          </w:tcPr>
          <w:p w14:paraId="7E30B7F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2E0F2965"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2.30</w:t>
            </w:r>
          </w:p>
        </w:tc>
      </w:tr>
      <w:tr w:rsidR="00523650" w:rsidRPr="00D12E59" w14:paraId="5B439061" w14:textId="77777777" w:rsidTr="003951D1">
        <w:trPr>
          <w:trHeight w:val="119"/>
          <w:jc w:val="center"/>
        </w:trPr>
        <w:tc>
          <w:tcPr>
            <w:tcW w:w="1760" w:type="dxa"/>
            <w:vMerge/>
          </w:tcPr>
          <w:p w14:paraId="0E026E88"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shd w:val="clear" w:color="auto" w:fill="D6E3BC"/>
          </w:tcPr>
          <w:p w14:paraId="0E56FF5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Total</w:t>
            </w:r>
          </w:p>
        </w:tc>
        <w:tc>
          <w:tcPr>
            <w:tcW w:w="1650" w:type="dxa"/>
            <w:shd w:val="clear" w:color="auto" w:fill="D6E3BC"/>
          </w:tcPr>
          <w:p w14:paraId="3A8EA5B1"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208</w:t>
            </w:r>
          </w:p>
        </w:tc>
        <w:tc>
          <w:tcPr>
            <w:tcW w:w="1874" w:type="dxa"/>
            <w:shd w:val="clear" w:color="auto" w:fill="D6E3BC"/>
          </w:tcPr>
          <w:p w14:paraId="0D773F2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348</w:t>
            </w:r>
          </w:p>
        </w:tc>
        <w:tc>
          <w:tcPr>
            <w:tcW w:w="1481" w:type="dxa"/>
            <w:shd w:val="clear" w:color="auto" w:fill="D6E3BC"/>
          </w:tcPr>
          <w:p w14:paraId="32BEC2CA"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59.77</w:t>
            </w:r>
          </w:p>
        </w:tc>
      </w:tr>
      <w:tr w:rsidR="00523650" w:rsidRPr="00D12E59" w14:paraId="3D19E942" w14:textId="77777777" w:rsidTr="003951D1">
        <w:trPr>
          <w:trHeight w:val="119"/>
          <w:jc w:val="center"/>
        </w:trPr>
        <w:tc>
          <w:tcPr>
            <w:tcW w:w="1760" w:type="dxa"/>
            <w:vMerge w:val="restart"/>
          </w:tcPr>
          <w:p w14:paraId="4A06C0A4" w14:textId="77777777" w:rsidR="00523650" w:rsidRPr="00D12E59" w:rsidRDefault="00523650" w:rsidP="00F332F0">
            <w:pPr>
              <w:autoSpaceDE w:val="0"/>
              <w:autoSpaceDN w:val="0"/>
              <w:adjustRightInd w:val="0"/>
              <w:spacing w:after="0"/>
              <w:jc w:val="right"/>
              <w:rPr>
                <w:rFonts w:ascii="Book Antiqua" w:hAnsi="Book Antiqua"/>
                <w:color w:val="000000"/>
              </w:rPr>
            </w:pPr>
          </w:p>
          <w:p w14:paraId="0019208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Promotion</w:t>
            </w:r>
          </w:p>
        </w:tc>
        <w:tc>
          <w:tcPr>
            <w:tcW w:w="1981" w:type="dxa"/>
          </w:tcPr>
          <w:p w14:paraId="5F01C9C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TPromo1L</w:t>
            </w:r>
          </w:p>
        </w:tc>
        <w:tc>
          <w:tcPr>
            <w:tcW w:w="1650" w:type="dxa"/>
          </w:tcPr>
          <w:p w14:paraId="62A70FB1"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52</w:t>
            </w:r>
          </w:p>
        </w:tc>
        <w:tc>
          <w:tcPr>
            <w:tcW w:w="1874" w:type="dxa"/>
          </w:tcPr>
          <w:p w14:paraId="3E11E174"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4F02E50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14.94</w:t>
            </w:r>
          </w:p>
        </w:tc>
      </w:tr>
      <w:tr w:rsidR="00523650" w:rsidRPr="00D12E59" w14:paraId="723A6186" w14:textId="77777777" w:rsidTr="003951D1">
        <w:trPr>
          <w:trHeight w:val="119"/>
          <w:jc w:val="center"/>
        </w:trPr>
        <w:tc>
          <w:tcPr>
            <w:tcW w:w="1760" w:type="dxa"/>
            <w:vMerge/>
          </w:tcPr>
          <w:p w14:paraId="26165209"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4155DA91"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TPromo2L</w:t>
            </w:r>
          </w:p>
        </w:tc>
        <w:tc>
          <w:tcPr>
            <w:tcW w:w="1650" w:type="dxa"/>
          </w:tcPr>
          <w:p w14:paraId="15AEC877"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16</w:t>
            </w:r>
          </w:p>
        </w:tc>
        <w:tc>
          <w:tcPr>
            <w:tcW w:w="1874" w:type="dxa"/>
          </w:tcPr>
          <w:p w14:paraId="6D4D4443"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48409FA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4.60</w:t>
            </w:r>
          </w:p>
        </w:tc>
      </w:tr>
      <w:tr w:rsidR="00523650" w:rsidRPr="00D12E59" w14:paraId="05A8D663" w14:textId="77777777" w:rsidTr="003951D1">
        <w:trPr>
          <w:trHeight w:val="83"/>
          <w:jc w:val="center"/>
        </w:trPr>
        <w:tc>
          <w:tcPr>
            <w:tcW w:w="1760" w:type="dxa"/>
            <w:vMerge/>
          </w:tcPr>
          <w:p w14:paraId="44BC3BEE"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0453E2D2"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TPromo3H</w:t>
            </w:r>
          </w:p>
        </w:tc>
        <w:tc>
          <w:tcPr>
            <w:tcW w:w="1650" w:type="dxa"/>
          </w:tcPr>
          <w:p w14:paraId="21313F1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16</w:t>
            </w:r>
          </w:p>
        </w:tc>
        <w:tc>
          <w:tcPr>
            <w:tcW w:w="1874" w:type="dxa"/>
          </w:tcPr>
          <w:p w14:paraId="794E6D62"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50C7377F"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4.60</w:t>
            </w:r>
          </w:p>
        </w:tc>
      </w:tr>
      <w:tr w:rsidR="00523650" w:rsidRPr="00D12E59" w14:paraId="239BAF38" w14:textId="77777777" w:rsidTr="003951D1">
        <w:trPr>
          <w:trHeight w:val="90"/>
          <w:jc w:val="center"/>
        </w:trPr>
        <w:tc>
          <w:tcPr>
            <w:tcW w:w="1760" w:type="dxa"/>
            <w:vMerge/>
          </w:tcPr>
          <w:p w14:paraId="39353FE0"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4AE038C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TPromo4H</w:t>
            </w:r>
          </w:p>
        </w:tc>
        <w:tc>
          <w:tcPr>
            <w:tcW w:w="1650" w:type="dxa"/>
          </w:tcPr>
          <w:p w14:paraId="16EF4AA4"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5</w:t>
            </w:r>
          </w:p>
        </w:tc>
        <w:tc>
          <w:tcPr>
            <w:tcW w:w="1874" w:type="dxa"/>
          </w:tcPr>
          <w:p w14:paraId="750F4453"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65BD20AE"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1.44</w:t>
            </w:r>
          </w:p>
        </w:tc>
      </w:tr>
      <w:tr w:rsidR="00523650" w:rsidRPr="00D12E59" w14:paraId="6955A518" w14:textId="77777777" w:rsidTr="003951D1">
        <w:trPr>
          <w:trHeight w:val="119"/>
          <w:jc w:val="center"/>
        </w:trPr>
        <w:tc>
          <w:tcPr>
            <w:tcW w:w="1760" w:type="dxa"/>
            <w:vMerge/>
          </w:tcPr>
          <w:p w14:paraId="269DC26C"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shd w:val="clear" w:color="auto" w:fill="D6E3BC"/>
          </w:tcPr>
          <w:p w14:paraId="0D38833A"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Total</w:t>
            </w:r>
          </w:p>
        </w:tc>
        <w:tc>
          <w:tcPr>
            <w:tcW w:w="1650" w:type="dxa"/>
            <w:shd w:val="clear" w:color="auto" w:fill="D6E3BC"/>
          </w:tcPr>
          <w:p w14:paraId="4C0F0151"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89</w:t>
            </w:r>
          </w:p>
        </w:tc>
        <w:tc>
          <w:tcPr>
            <w:tcW w:w="1874" w:type="dxa"/>
            <w:shd w:val="clear" w:color="auto" w:fill="D6E3BC"/>
          </w:tcPr>
          <w:p w14:paraId="76B25192"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348</w:t>
            </w:r>
          </w:p>
        </w:tc>
        <w:tc>
          <w:tcPr>
            <w:tcW w:w="1481" w:type="dxa"/>
            <w:shd w:val="clear" w:color="auto" w:fill="D6E3BC"/>
          </w:tcPr>
          <w:p w14:paraId="31F04361"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25.57</w:t>
            </w:r>
          </w:p>
        </w:tc>
      </w:tr>
      <w:tr w:rsidR="00523650" w:rsidRPr="00D12E59" w14:paraId="794E539B" w14:textId="77777777" w:rsidTr="003951D1">
        <w:trPr>
          <w:trHeight w:val="128"/>
          <w:jc w:val="center"/>
        </w:trPr>
        <w:tc>
          <w:tcPr>
            <w:tcW w:w="1760" w:type="dxa"/>
            <w:vMerge w:val="restart"/>
          </w:tcPr>
          <w:p w14:paraId="15AB8727" w14:textId="77777777" w:rsidR="00523650" w:rsidRPr="00D12E59" w:rsidRDefault="00523650" w:rsidP="00F332F0">
            <w:pPr>
              <w:autoSpaceDE w:val="0"/>
              <w:autoSpaceDN w:val="0"/>
              <w:adjustRightInd w:val="0"/>
              <w:spacing w:after="0"/>
              <w:jc w:val="right"/>
              <w:rPr>
                <w:rFonts w:ascii="Book Antiqua" w:hAnsi="Book Antiqua"/>
                <w:color w:val="000000"/>
              </w:rPr>
            </w:pPr>
          </w:p>
          <w:p w14:paraId="706C9930" w14:textId="77777777" w:rsidR="00523650" w:rsidRPr="00D12E59" w:rsidRDefault="00523650" w:rsidP="00F332F0">
            <w:pPr>
              <w:autoSpaceDE w:val="0"/>
              <w:autoSpaceDN w:val="0"/>
              <w:adjustRightInd w:val="0"/>
              <w:spacing w:after="0"/>
              <w:jc w:val="right"/>
              <w:rPr>
                <w:rFonts w:ascii="Book Antiqua" w:hAnsi="Book Antiqua"/>
                <w:color w:val="000000"/>
              </w:rPr>
            </w:pPr>
          </w:p>
          <w:p w14:paraId="113DC53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Customer Relation</w:t>
            </w:r>
          </w:p>
        </w:tc>
        <w:tc>
          <w:tcPr>
            <w:tcW w:w="1981" w:type="dxa"/>
          </w:tcPr>
          <w:p w14:paraId="09C3B5B6"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CR1H</w:t>
            </w:r>
          </w:p>
        </w:tc>
        <w:tc>
          <w:tcPr>
            <w:tcW w:w="1650" w:type="dxa"/>
          </w:tcPr>
          <w:p w14:paraId="341EBBB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36</w:t>
            </w:r>
          </w:p>
        </w:tc>
        <w:tc>
          <w:tcPr>
            <w:tcW w:w="1874" w:type="dxa"/>
          </w:tcPr>
          <w:p w14:paraId="1A1448F4"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173F7A95"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8.28</w:t>
            </w:r>
          </w:p>
        </w:tc>
      </w:tr>
      <w:tr w:rsidR="00523650" w:rsidRPr="00D12E59" w14:paraId="55946643" w14:textId="77777777" w:rsidTr="003951D1">
        <w:trPr>
          <w:trHeight w:val="128"/>
          <w:jc w:val="center"/>
        </w:trPr>
        <w:tc>
          <w:tcPr>
            <w:tcW w:w="1760" w:type="dxa"/>
            <w:vMerge/>
          </w:tcPr>
          <w:p w14:paraId="4CEA6B53"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58243F78"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CR2H</w:t>
            </w:r>
          </w:p>
        </w:tc>
        <w:tc>
          <w:tcPr>
            <w:tcW w:w="1650" w:type="dxa"/>
          </w:tcPr>
          <w:p w14:paraId="01A3C327"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9</w:t>
            </w:r>
          </w:p>
        </w:tc>
        <w:tc>
          <w:tcPr>
            <w:tcW w:w="1874" w:type="dxa"/>
          </w:tcPr>
          <w:p w14:paraId="02825982"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5DB07564"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2.07</w:t>
            </w:r>
          </w:p>
        </w:tc>
      </w:tr>
      <w:tr w:rsidR="00523650" w:rsidRPr="00D12E59" w14:paraId="4DDF9FBE" w14:textId="77777777" w:rsidTr="003951D1">
        <w:trPr>
          <w:trHeight w:val="65"/>
          <w:jc w:val="center"/>
        </w:trPr>
        <w:tc>
          <w:tcPr>
            <w:tcW w:w="1760" w:type="dxa"/>
            <w:vMerge/>
          </w:tcPr>
          <w:p w14:paraId="3923FD45"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34B80D3E"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CR3H</w:t>
            </w:r>
          </w:p>
        </w:tc>
        <w:tc>
          <w:tcPr>
            <w:tcW w:w="1650" w:type="dxa"/>
          </w:tcPr>
          <w:p w14:paraId="13E0E0D0"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17</w:t>
            </w:r>
          </w:p>
        </w:tc>
        <w:tc>
          <w:tcPr>
            <w:tcW w:w="1874" w:type="dxa"/>
          </w:tcPr>
          <w:p w14:paraId="351D4482"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3EDA0ADD"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3.91</w:t>
            </w:r>
          </w:p>
        </w:tc>
      </w:tr>
      <w:tr w:rsidR="00523650" w:rsidRPr="00D12E59" w14:paraId="03DDCB00" w14:textId="77777777" w:rsidTr="003951D1">
        <w:trPr>
          <w:trHeight w:val="138"/>
          <w:jc w:val="center"/>
        </w:trPr>
        <w:tc>
          <w:tcPr>
            <w:tcW w:w="1760" w:type="dxa"/>
            <w:vMerge/>
          </w:tcPr>
          <w:p w14:paraId="1700259A"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7BAF35C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CR4H</w:t>
            </w:r>
          </w:p>
        </w:tc>
        <w:tc>
          <w:tcPr>
            <w:tcW w:w="1650" w:type="dxa"/>
          </w:tcPr>
          <w:p w14:paraId="0BAFBD70"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13</w:t>
            </w:r>
          </w:p>
        </w:tc>
        <w:tc>
          <w:tcPr>
            <w:tcW w:w="1874" w:type="dxa"/>
          </w:tcPr>
          <w:p w14:paraId="70031B92"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42459E7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2.99</w:t>
            </w:r>
          </w:p>
        </w:tc>
      </w:tr>
      <w:tr w:rsidR="00523650" w:rsidRPr="00D12E59" w14:paraId="53FD7E4D" w14:textId="77777777" w:rsidTr="003951D1">
        <w:trPr>
          <w:trHeight w:val="92"/>
          <w:jc w:val="center"/>
        </w:trPr>
        <w:tc>
          <w:tcPr>
            <w:tcW w:w="1760" w:type="dxa"/>
            <w:vMerge/>
          </w:tcPr>
          <w:p w14:paraId="6EC16B35"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tcPr>
          <w:p w14:paraId="0D3AB08A"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CR5H</w:t>
            </w:r>
          </w:p>
        </w:tc>
        <w:tc>
          <w:tcPr>
            <w:tcW w:w="1650" w:type="dxa"/>
          </w:tcPr>
          <w:p w14:paraId="1F936159"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34</w:t>
            </w:r>
          </w:p>
        </w:tc>
        <w:tc>
          <w:tcPr>
            <w:tcW w:w="1874" w:type="dxa"/>
          </w:tcPr>
          <w:p w14:paraId="740A442F"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87</w:t>
            </w:r>
          </w:p>
        </w:tc>
        <w:tc>
          <w:tcPr>
            <w:tcW w:w="1481" w:type="dxa"/>
          </w:tcPr>
          <w:p w14:paraId="48E6A966"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7.82</w:t>
            </w:r>
          </w:p>
        </w:tc>
      </w:tr>
      <w:tr w:rsidR="00523650" w:rsidRPr="00D12E59" w14:paraId="699849D6" w14:textId="77777777" w:rsidTr="003951D1">
        <w:trPr>
          <w:trHeight w:val="110"/>
          <w:jc w:val="center"/>
        </w:trPr>
        <w:tc>
          <w:tcPr>
            <w:tcW w:w="1760" w:type="dxa"/>
            <w:vMerge/>
          </w:tcPr>
          <w:p w14:paraId="3EE33E6B" w14:textId="77777777" w:rsidR="00523650" w:rsidRPr="00D12E59" w:rsidRDefault="00523650" w:rsidP="00F332F0">
            <w:pPr>
              <w:autoSpaceDE w:val="0"/>
              <w:autoSpaceDN w:val="0"/>
              <w:adjustRightInd w:val="0"/>
              <w:spacing w:after="0"/>
              <w:jc w:val="right"/>
              <w:rPr>
                <w:rFonts w:ascii="Book Antiqua" w:hAnsi="Book Antiqua"/>
                <w:color w:val="000000"/>
              </w:rPr>
            </w:pPr>
          </w:p>
        </w:tc>
        <w:tc>
          <w:tcPr>
            <w:tcW w:w="1981" w:type="dxa"/>
            <w:shd w:val="clear" w:color="auto" w:fill="D6E3BC"/>
          </w:tcPr>
          <w:p w14:paraId="2EDE5EA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Total</w:t>
            </w:r>
          </w:p>
        </w:tc>
        <w:tc>
          <w:tcPr>
            <w:tcW w:w="1650" w:type="dxa"/>
            <w:shd w:val="clear" w:color="auto" w:fill="D6E3BC"/>
          </w:tcPr>
          <w:p w14:paraId="23E2B11F"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109</w:t>
            </w:r>
          </w:p>
        </w:tc>
        <w:tc>
          <w:tcPr>
            <w:tcW w:w="1874" w:type="dxa"/>
            <w:shd w:val="clear" w:color="auto" w:fill="D6E3BC"/>
          </w:tcPr>
          <w:p w14:paraId="4AB1B46C"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435</w:t>
            </w:r>
          </w:p>
        </w:tc>
        <w:tc>
          <w:tcPr>
            <w:tcW w:w="1481" w:type="dxa"/>
            <w:shd w:val="clear" w:color="auto" w:fill="D6E3BC"/>
          </w:tcPr>
          <w:p w14:paraId="1E637BFD" w14:textId="77777777" w:rsidR="00523650" w:rsidRPr="00D12E59" w:rsidRDefault="00523650" w:rsidP="00F332F0">
            <w:pPr>
              <w:autoSpaceDE w:val="0"/>
              <w:autoSpaceDN w:val="0"/>
              <w:adjustRightInd w:val="0"/>
              <w:spacing w:after="0"/>
              <w:jc w:val="right"/>
              <w:rPr>
                <w:rFonts w:ascii="Book Antiqua" w:hAnsi="Book Antiqua"/>
                <w:color w:val="000000"/>
              </w:rPr>
            </w:pPr>
            <w:r w:rsidRPr="00D12E59">
              <w:rPr>
                <w:rFonts w:ascii="Book Antiqua" w:hAnsi="Book Antiqua"/>
                <w:color w:val="000000"/>
              </w:rPr>
              <w:t>25.06</w:t>
            </w:r>
          </w:p>
        </w:tc>
      </w:tr>
    </w:tbl>
    <w:p w14:paraId="12558809" w14:textId="77777777" w:rsidR="00623180" w:rsidRDefault="00623180" w:rsidP="003951D1">
      <w:pPr>
        <w:rPr>
          <w:rFonts w:ascii="Book Antiqua" w:hAnsi="Book Antiqua"/>
        </w:rPr>
      </w:pPr>
    </w:p>
    <w:p w14:paraId="76508D52" w14:textId="77777777" w:rsidR="003951D1" w:rsidRPr="00E3232D" w:rsidRDefault="003951D1" w:rsidP="003951D1">
      <w:pPr>
        <w:rPr>
          <w:rFonts w:ascii="Book Antiqua" w:hAnsi="Book Antiqua"/>
        </w:rPr>
      </w:pPr>
      <w:r w:rsidRPr="00E3232D">
        <w:rPr>
          <w:rFonts w:ascii="Book Antiqua" w:hAnsi="Book Antiqua"/>
        </w:rPr>
        <w:lastRenderedPageBreak/>
        <w:t>Table 4   Case summary statistics of the Hotels Internet Marketing Mix</w:t>
      </w:r>
    </w:p>
    <w:p w14:paraId="0B4A6AA5" w14:textId="77777777" w:rsidR="003951D1" w:rsidRPr="00E3232D" w:rsidRDefault="003951D1" w:rsidP="00623180">
      <w:pPr>
        <w:autoSpaceDE w:val="0"/>
        <w:autoSpaceDN w:val="0"/>
        <w:adjustRightInd w:val="0"/>
        <w:spacing w:after="0" w:line="240" w:lineRule="auto"/>
        <w:rPr>
          <w:rFonts w:ascii="Book Antiqua" w:hAnsi="Book Antiqua"/>
          <w:color w:val="000000"/>
          <w:lang w:eastAsia="sv-SE"/>
        </w:rPr>
      </w:pPr>
      <w:r w:rsidRPr="00E3232D">
        <w:rPr>
          <w:rFonts w:ascii="Book Antiqua" w:hAnsi="Book Antiqua"/>
          <w:color w:val="000000"/>
          <w:lang w:eastAsia="sv-SE"/>
        </w:rPr>
        <w:t>Dichotomy group tabulated at value 1</w:t>
      </w:r>
    </w:p>
    <w:tbl>
      <w:tblPr>
        <w:tblpPr w:leftFromText="180" w:rightFromText="180" w:vertAnchor="page" w:horzAnchor="margin" w:tblpY="3961"/>
        <w:tblW w:w="8776" w:type="dxa"/>
        <w:tblBorders>
          <w:top w:val="single" w:sz="8" w:space="0" w:color="4F81BD"/>
          <w:bottom w:val="single" w:sz="8" w:space="0" w:color="4F81BD"/>
        </w:tblBorders>
        <w:tblLayout w:type="fixed"/>
        <w:tblLook w:val="0000" w:firstRow="0" w:lastRow="0" w:firstColumn="0" w:lastColumn="0" w:noHBand="0" w:noVBand="0"/>
      </w:tblPr>
      <w:tblGrid>
        <w:gridCol w:w="2194"/>
        <w:gridCol w:w="842"/>
        <w:gridCol w:w="1184"/>
        <w:gridCol w:w="1007"/>
        <w:gridCol w:w="1019"/>
        <w:gridCol w:w="1349"/>
        <w:gridCol w:w="1181"/>
      </w:tblGrid>
      <w:tr w:rsidR="00311945" w:rsidRPr="00D12E59" w14:paraId="50FD3C71" w14:textId="77777777" w:rsidTr="00311945">
        <w:trPr>
          <w:trHeight w:val="374"/>
        </w:trPr>
        <w:tc>
          <w:tcPr>
            <w:tcW w:w="2194" w:type="dxa"/>
            <w:vMerge w:val="restart"/>
            <w:tcBorders>
              <w:left w:val="nil"/>
              <w:bottom w:val="nil"/>
              <w:right w:val="nil"/>
            </w:tcBorders>
            <w:shd w:val="clear" w:color="auto" w:fill="auto"/>
          </w:tcPr>
          <w:p w14:paraId="40E9E620"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Internet Marketing Mix Dimensions</w:t>
            </w:r>
          </w:p>
        </w:tc>
        <w:tc>
          <w:tcPr>
            <w:tcW w:w="6582" w:type="dxa"/>
            <w:gridSpan w:val="6"/>
            <w:tcBorders>
              <w:left w:val="nil"/>
              <w:right w:val="nil"/>
            </w:tcBorders>
            <w:shd w:val="clear" w:color="auto" w:fill="auto"/>
          </w:tcPr>
          <w:p w14:paraId="682E3D94"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Cases</w:t>
            </w:r>
          </w:p>
        </w:tc>
      </w:tr>
      <w:tr w:rsidR="00311945" w:rsidRPr="00D12E59" w14:paraId="5AEB13B8" w14:textId="77777777" w:rsidTr="00311945">
        <w:trPr>
          <w:trHeight w:val="374"/>
        </w:trPr>
        <w:tc>
          <w:tcPr>
            <w:tcW w:w="2194" w:type="dxa"/>
            <w:vMerge/>
            <w:tcBorders>
              <w:left w:val="nil"/>
              <w:bottom w:val="nil"/>
              <w:right w:val="nil"/>
            </w:tcBorders>
            <w:shd w:val="clear" w:color="auto" w:fill="auto"/>
          </w:tcPr>
          <w:p w14:paraId="1E04A78D"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p>
        </w:tc>
        <w:tc>
          <w:tcPr>
            <w:tcW w:w="2026" w:type="dxa"/>
            <w:gridSpan w:val="2"/>
            <w:shd w:val="clear" w:color="auto" w:fill="auto"/>
          </w:tcPr>
          <w:p w14:paraId="339C804D"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Valid</w:t>
            </w:r>
          </w:p>
        </w:tc>
        <w:tc>
          <w:tcPr>
            <w:tcW w:w="2026" w:type="dxa"/>
            <w:gridSpan w:val="2"/>
            <w:tcBorders>
              <w:left w:val="nil"/>
              <w:bottom w:val="nil"/>
              <w:right w:val="nil"/>
            </w:tcBorders>
            <w:shd w:val="clear" w:color="auto" w:fill="auto"/>
          </w:tcPr>
          <w:p w14:paraId="15F2C6AB"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Missing</w:t>
            </w:r>
          </w:p>
        </w:tc>
        <w:tc>
          <w:tcPr>
            <w:tcW w:w="2530" w:type="dxa"/>
            <w:gridSpan w:val="2"/>
            <w:shd w:val="clear" w:color="auto" w:fill="auto"/>
          </w:tcPr>
          <w:p w14:paraId="1DBC468B"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Total</w:t>
            </w:r>
          </w:p>
        </w:tc>
      </w:tr>
      <w:tr w:rsidR="00311945" w:rsidRPr="00D12E59" w14:paraId="4DFAEBC2" w14:textId="77777777" w:rsidTr="00311945">
        <w:trPr>
          <w:trHeight w:val="374"/>
        </w:trPr>
        <w:tc>
          <w:tcPr>
            <w:tcW w:w="2194" w:type="dxa"/>
            <w:vMerge/>
            <w:tcBorders>
              <w:left w:val="nil"/>
              <w:bottom w:val="nil"/>
              <w:right w:val="nil"/>
            </w:tcBorders>
            <w:shd w:val="clear" w:color="auto" w:fill="auto"/>
          </w:tcPr>
          <w:p w14:paraId="07604FCA"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p>
        </w:tc>
        <w:tc>
          <w:tcPr>
            <w:tcW w:w="842" w:type="dxa"/>
            <w:tcBorders>
              <w:left w:val="nil"/>
              <w:right w:val="nil"/>
            </w:tcBorders>
            <w:shd w:val="clear" w:color="auto" w:fill="auto"/>
          </w:tcPr>
          <w:p w14:paraId="14E1B8F9"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N</w:t>
            </w:r>
          </w:p>
        </w:tc>
        <w:tc>
          <w:tcPr>
            <w:tcW w:w="1184" w:type="dxa"/>
            <w:tcBorders>
              <w:left w:val="nil"/>
              <w:bottom w:val="nil"/>
              <w:right w:val="nil"/>
            </w:tcBorders>
            <w:shd w:val="clear" w:color="auto" w:fill="auto"/>
          </w:tcPr>
          <w:p w14:paraId="3281F1F6"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Percent</w:t>
            </w:r>
          </w:p>
        </w:tc>
        <w:tc>
          <w:tcPr>
            <w:tcW w:w="1007" w:type="dxa"/>
            <w:tcBorders>
              <w:left w:val="nil"/>
              <w:right w:val="nil"/>
            </w:tcBorders>
            <w:shd w:val="clear" w:color="auto" w:fill="auto"/>
          </w:tcPr>
          <w:p w14:paraId="3E2C4B7A"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N</w:t>
            </w:r>
          </w:p>
        </w:tc>
        <w:tc>
          <w:tcPr>
            <w:tcW w:w="1019" w:type="dxa"/>
            <w:tcBorders>
              <w:left w:val="nil"/>
              <w:bottom w:val="nil"/>
              <w:right w:val="nil"/>
            </w:tcBorders>
            <w:shd w:val="clear" w:color="auto" w:fill="auto"/>
          </w:tcPr>
          <w:p w14:paraId="44584A62"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Percent</w:t>
            </w:r>
          </w:p>
        </w:tc>
        <w:tc>
          <w:tcPr>
            <w:tcW w:w="1349" w:type="dxa"/>
            <w:tcBorders>
              <w:left w:val="nil"/>
              <w:right w:val="nil"/>
            </w:tcBorders>
            <w:shd w:val="clear" w:color="auto" w:fill="auto"/>
          </w:tcPr>
          <w:p w14:paraId="0A2A5AE3"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N</w:t>
            </w:r>
          </w:p>
        </w:tc>
        <w:tc>
          <w:tcPr>
            <w:tcW w:w="1181" w:type="dxa"/>
            <w:tcBorders>
              <w:left w:val="nil"/>
              <w:bottom w:val="nil"/>
              <w:right w:val="nil"/>
            </w:tcBorders>
            <w:shd w:val="clear" w:color="auto" w:fill="auto"/>
          </w:tcPr>
          <w:p w14:paraId="15ED5C4E"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Percent</w:t>
            </w:r>
          </w:p>
        </w:tc>
      </w:tr>
      <w:tr w:rsidR="00311945" w:rsidRPr="00D12E59" w14:paraId="06C9C8D5" w14:textId="77777777" w:rsidTr="00311945">
        <w:trPr>
          <w:trHeight w:val="374"/>
        </w:trPr>
        <w:tc>
          <w:tcPr>
            <w:tcW w:w="2194" w:type="dxa"/>
            <w:tcBorders>
              <w:left w:val="nil"/>
              <w:bottom w:val="nil"/>
              <w:right w:val="nil"/>
            </w:tcBorders>
            <w:shd w:val="clear" w:color="auto" w:fill="auto"/>
          </w:tcPr>
          <w:p w14:paraId="2E335FFF"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Product</w:t>
            </w:r>
          </w:p>
        </w:tc>
        <w:tc>
          <w:tcPr>
            <w:tcW w:w="842" w:type="dxa"/>
            <w:shd w:val="clear" w:color="auto" w:fill="auto"/>
          </w:tcPr>
          <w:p w14:paraId="03F69068"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87</w:t>
            </w:r>
          </w:p>
        </w:tc>
        <w:tc>
          <w:tcPr>
            <w:tcW w:w="1184" w:type="dxa"/>
            <w:tcBorders>
              <w:left w:val="nil"/>
              <w:bottom w:val="nil"/>
              <w:right w:val="nil"/>
            </w:tcBorders>
            <w:shd w:val="clear" w:color="auto" w:fill="auto"/>
          </w:tcPr>
          <w:p w14:paraId="250EA64C"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100.0%</w:t>
            </w:r>
          </w:p>
        </w:tc>
        <w:tc>
          <w:tcPr>
            <w:tcW w:w="1007" w:type="dxa"/>
            <w:shd w:val="clear" w:color="auto" w:fill="auto"/>
          </w:tcPr>
          <w:p w14:paraId="3E0E7425"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0</w:t>
            </w:r>
          </w:p>
        </w:tc>
        <w:tc>
          <w:tcPr>
            <w:tcW w:w="1019" w:type="dxa"/>
            <w:tcBorders>
              <w:left w:val="nil"/>
              <w:bottom w:val="nil"/>
              <w:right w:val="nil"/>
            </w:tcBorders>
            <w:shd w:val="clear" w:color="auto" w:fill="auto"/>
          </w:tcPr>
          <w:p w14:paraId="4B8A94AB"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.0%</w:t>
            </w:r>
          </w:p>
        </w:tc>
        <w:tc>
          <w:tcPr>
            <w:tcW w:w="1349" w:type="dxa"/>
            <w:shd w:val="clear" w:color="auto" w:fill="auto"/>
          </w:tcPr>
          <w:p w14:paraId="1E764D2C"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87</w:t>
            </w:r>
          </w:p>
        </w:tc>
        <w:tc>
          <w:tcPr>
            <w:tcW w:w="1181" w:type="dxa"/>
            <w:tcBorders>
              <w:left w:val="nil"/>
              <w:bottom w:val="nil"/>
              <w:right w:val="nil"/>
            </w:tcBorders>
            <w:shd w:val="clear" w:color="auto" w:fill="auto"/>
          </w:tcPr>
          <w:p w14:paraId="3B7B5DC9"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100.0%</w:t>
            </w:r>
          </w:p>
        </w:tc>
      </w:tr>
      <w:tr w:rsidR="00311945" w:rsidRPr="00D12E59" w14:paraId="51BACAFB" w14:textId="77777777" w:rsidTr="00311945">
        <w:trPr>
          <w:trHeight w:val="374"/>
        </w:trPr>
        <w:tc>
          <w:tcPr>
            <w:tcW w:w="2194" w:type="dxa"/>
            <w:tcBorders>
              <w:left w:val="nil"/>
              <w:bottom w:val="nil"/>
              <w:right w:val="nil"/>
            </w:tcBorders>
            <w:shd w:val="clear" w:color="auto" w:fill="auto"/>
          </w:tcPr>
          <w:p w14:paraId="062A3A92"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Price</w:t>
            </w:r>
          </w:p>
        </w:tc>
        <w:tc>
          <w:tcPr>
            <w:tcW w:w="842" w:type="dxa"/>
            <w:tcBorders>
              <w:left w:val="nil"/>
              <w:right w:val="nil"/>
            </w:tcBorders>
            <w:shd w:val="clear" w:color="auto" w:fill="auto"/>
          </w:tcPr>
          <w:p w14:paraId="1D15A671"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56</w:t>
            </w:r>
          </w:p>
        </w:tc>
        <w:tc>
          <w:tcPr>
            <w:tcW w:w="1184" w:type="dxa"/>
            <w:tcBorders>
              <w:left w:val="nil"/>
              <w:bottom w:val="nil"/>
              <w:right w:val="nil"/>
            </w:tcBorders>
            <w:shd w:val="clear" w:color="auto" w:fill="auto"/>
          </w:tcPr>
          <w:p w14:paraId="629F07C1"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64.4%</w:t>
            </w:r>
          </w:p>
        </w:tc>
        <w:tc>
          <w:tcPr>
            <w:tcW w:w="1007" w:type="dxa"/>
            <w:tcBorders>
              <w:left w:val="nil"/>
              <w:right w:val="nil"/>
            </w:tcBorders>
            <w:shd w:val="clear" w:color="auto" w:fill="auto"/>
          </w:tcPr>
          <w:p w14:paraId="09F954A1"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31</w:t>
            </w:r>
          </w:p>
        </w:tc>
        <w:tc>
          <w:tcPr>
            <w:tcW w:w="1019" w:type="dxa"/>
            <w:tcBorders>
              <w:left w:val="nil"/>
              <w:bottom w:val="nil"/>
              <w:right w:val="nil"/>
            </w:tcBorders>
            <w:shd w:val="clear" w:color="auto" w:fill="auto"/>
          </w:tcPr>
          <w:p w14:paraId="3D304BFA"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35.6%</w:t>
            </w:r>
          </w:p>
        </w:tc>
        <w:tc>
          <w:tcPr>
            <w:tcW w:w="1349" w:type="dxa"/>
            <w:tcBorders>
              <w:left w:val="nil"/>
              <w:right w:val="nil"/>
            </w:tcBorders>
            <w:shd w:val="clear" w:color="auto" w:fill="auto"/>
          </w:tcPr>
          <w:p w14:paraId="00DF8519"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87</w:t>
            </w:r>
          </w:p>
        </w:tc>
        <w:tc>
          <w:tcPr>
            <w:tcW w:w="1181" w:type="dxa"/>
            <w:tcBorders>
              <w:left w:val="nil"/>
              <w:bottom w:val="nil"/>
              <w:right w:val="nil"/>
            </w:tcBorders>
            <w:shd w:val="clear" w:color="auto" w:fill="auto"/>
          </w:tcPr>
          <w:p w14:paraId="1A01CA4E"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100.0%</w:t>
            </w:r>
          </w:p>
        </w:tc>
      </w:tr>
      <w:tr w:rsidR="00311945" w:rsidRPr="00D12E59" w14:paraId="71332C0F" w14:textId="77777777" w:rsidTr="00311945">
        <w:trPr>
          <w:trHeight w:val="374"/>
        </w:trPr>
        <w:tc>
          <w:tcPr>
            <w:tcW w:w="2194" w:type="dxa"/>
            <w:tcBorders>
              <w:left w:val="nil"/>
              <w:bottom w:val="nil"/>
              <w:right w:val="nil"/>
            </w:tcBorders>
            <w:shd w:val="clear" w:color="auto" w:fill="auto"/>
          </w:tcPr>
          <w:p w14:paraId="0609F0D1"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Place</w:t>
            </w:r>
          </w:p>
        </w:tc>
        <w:tc>
          <w:tcPr>
            <w:tcW w:w="842" w:type="dxa"/>
            <w:shd w:val="clear" w:color="auto" w:fill="auto"/>
          </w:tcPr>
          <w:p w14:paraId="466833D4"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87</w:t>
            </w:r>
          </w:p>
        </w:tc>
        <w:tc>
          <w:tcPr>
            <w:tcW w:w="1184" w:type="dxa"/>
            <w:tcBorders>
              <w:left w:val="nil"/>
              <w:bottom w:val="nil"/>
              <w:right w:val="nil"/>
            </w:tcBorders>
            <w:shd w:val="clear" w:color="auto" w:fill="auto"/>
          </w:tcPr>
          <w:p w14:paraId="269924CF"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100.0%</w:t>
            </w:r>
          </w:p>
        </w:tc>
        <w:tc>
          <w:tcPr>
            <w:tcW w:w="1007" w:type="dxa"/>
            <w:shd w:val="clear" w:color="auto" w:fill="auto"/>
          </w:tcPr>
          <w:p w14:paraId="5C25D60A"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0</w:t>
            </w:r>
          </w:p>
        </w:tc>
        <w:tc>
          <w:tcPr>
            <w:tcW w:w="1019" w:type="dxa"/>
            <w:tcBorders>
              <w:left w:val="nil"/>
              <w:bottom w:val="nil"/>
              <w:right w:val="nil"/>
            </w:tcBorders>
            <w:shd w:val="clear" w:color="auto" w:fill="auto"/>
          </w:tcPr>
          <w:p w14:paraId="32912A5B"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.0%</w:t>
            </w:r>
          </w:p>
        </w:tc>
        <w:tc>
          <w:tcPr>
            <w:tcW w:w="1349" w:type="dxa"/>
            <w:shd w:val="clear" w:color="auto" w:fill="auto"/>
          </w:tcPr>
          <w:p w14:paraId="0612AE0B"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87</w:t>
            </w:r>
          </w:p>
        </w:tc>
        <w:tc>
          <w:tcPr>
            <w:tcW w:w="1181" w:type="dxa"/>
            <w:tcBorders>
              <w:left w:val="nil"/>
              <w:bottom w:val="nil"/>
              <w:right w:val="nil"/>
            </w:tcBorders>
            <w:shd w:val="clear" w:color="auto" w:fill="auto"/>
          </w:tcPr>
          <w:p w14:paraId="15AB8C54"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100.0%</w:t>
            </w:r>
          </w:p>
        </w:tc>
      </w:tr>
      <w:tr w:rsidR="00311945" w:rsidRPr="00D12E59" w14:paraId="6F0E4ED0" w14:textId="77777777" w:rsidTr="00311945">
        <w:trPr>
          <w:trHeight w:val="374"/>
        </w:trPr>
        <w:tc>
          <w:tcPr>
            <w:tcW w:w="2194" w:type="dxa"/>
            <w:tcBorders>
              <w:left w:val="nil"/>
              <w:bottom w:val="nil"/>
              <w:right w:val="nil"/>
            </w:tcBorders>
            <w:shd w:val="clear" w:color="auto" w:fill="auto"/>
          </w:tcPr>
          <w:p w14:paraId="532E2878"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Promotion</w:t>
            </w:r>
          </w:p>
        </w:tc>
        <w:tc>
          <w:tcPr>
            <w:tcW w:w="842" w:type="dxa"/>
            <w:tcBorders>
              <w:left w:val="nil"/>
              <w:right w:val="nil"/>
            </w:tcBorders>
            <w:shd w:val="clear" w:color="auto" w:fill="auto"/>
          </w:tcPr>
          <w:p w14:paraId="2CD36886"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53</w:t>
            </w:r>
          </w:p>
        </w:tc>
        <w:tc>
          <w:tcPr>
            <w:tcW w:w="1184" w:type="dxa"/>
            <w:tcBorders>
              <w:left w:val="nil"/>
              <w:bottom w:val="nil"/>
              <w:right w:val="nil"/>
            </w:tcBorders>
            <w:shd w:val="clear" w:color="auto" w:fill="auto"/>
          </w:tcPr>
          <w:p w14:paraId="455DA9DB"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60.9%</w:t>
            </w:r>
          </w:p>
        </w:tc>
        <w:tc>
          <w:tcPr>
            <w:tcW w:w="1007" w:type="dxa"/>
            <w:tcBorders>
              <w:left w:val="nil"/>
              <w:right w:val="nil"/>
            </w:tcBorders>
            <w:shd w:val="clear" w:color="auto" w:fill="auto"/>
          </w:tcPr>
          <w:p w14:paraId="354A13D8"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34</w:t>
            </w:r>
          </w:p>
        </w:tc>
        <w:tc>
          <w:tcPr>
            <w:tcW w:w="1019" w:type="dxa"/>
            <w:tcBorders>
              <w:left w:val="nil"/>
              <w:bottom w:val="nil"/>
              <w:right w:val="nil"/>
            </w:tcBorders>
            <w:shd w:val="clear" w:color="auto" w:fill="auto"/>
          </w:tcPr>
          <w:p w14:paraId="75E824C6"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39.1%</w:t>
            </w:r>
          </w:p>
        </w:tc>
        <w:tc>
          <w:tcPr>
            <w:tcW w:w="1349" w:type="dxa"/>
            <w:tcBorders>
              <w:left w:val="nil"/>
              <w:right w:val="nil"/>
            </w:tcBorders>
            <w:shd w:val="clear" w:color="auto" w:fill="auto"/>
          </w:tcPr>
          <w:p w14:paraId="65D7C1EE"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87</w:t>
            </w:r>
          </w:p>
        </w:tc>
        <w:tc>
          <w:tcPr>
            <w:tcW w:w="1181" w:type="dxa"/>
            <w:tcBorders>
              <w:left w:val="nil"/>
              <w:bottom w:val="nil"/>
              <w:right w:val="nil"/>
            </w:tcBorders>
            <w:shd w:val="clear" w:color="auto" w:fill="auto"/>
          </w:tcPr>
          <w:p w14:paraId="2137A6FF"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100.0%</w:t>
            </w:r>
          </w:p>
        </w:tc>
      </w:tr>
      <w:tr w:rsidR="00311945" w:rsidRPr="00D12E59" w14:paraId="1B724390" w14:textId="77777777" w:rsidTr="00311945">
        <w:trPr>
          <w:trHeight w:val="927"/>
        </w:trPr>
        <w:tc>
          <w:tcPr>
            <w:tcW w:w="2194" w:type="dxa"/>
            <w:tcBorders>
              <w:left w:val="nil"/>
              <w:right w:val="nil"/>
            </w:tcBorders>
            <w:shd w:val="clear" w:color="auto" w:fill="auto"/>
          </w:tcPr>
          <w:p w14:paraId="12F27B06"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Customer Relations</w:t>
            </w:r>
          </w:p>
        </w:tc>
        <w:tc>
          <w:tcPr>
            <w:tcW w:w="842" w:type="dxa"/>
            <w:shd w:val="clear" w:color="auto" w:fill="auto"/>
          </w:tcPr>
          <w:p w14:paraId="7B665996"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41</w:t>
            </w:r>
          </w:p>
        </w:tc>
        <w:tc>
          <w:tcPr>
            <w:tcW w:w="1184" w:type="dxa"/>
            <w:tcBorders>
              <w:left w:val="nil"/>
              <w:right w:val="nil"/>
            </w:tcBorders>
            <w:shd w:val="clear" w:color="auto" w:fill="auto"/>
          </w:tcPr>
          <w:p w14:paraId="2087C97A"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47.1%</w:t>
            </w:r>
          </w:p>
        </w:tc>
        <w:tc>
          <w:tcPr>
            <w:tcW w:w="1007" w:type="dxa"/>
            <w:shd w:val="clear" w:color="auto" w:fill="auto"/>
          </w:tcPr>
          <w:p w14:paraId="14491C13"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46</w:t>
            </w:r>
          </w:p>
        </w:tc>
        <w:tc>
          <w:tcPr>
            <w:tcW w:w="1019" w:type="dxa"/>
            <w:tcBorders>
              <w:left w:val="nil"/>
              <w:right w:val="nil"/>
            </w:tcBorders>
            <w:shd w:val="clear" w:color="auto" w:fill="auto"/>
          </w:tcPr>
          <w:p w14:paraId="53C6B4B5"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52.9%</w:t>
            </w:r>
          </w:p>
        </w:tc>
        <w:tc>
          <w:tcPr>
            <w:tcW w:w="1349" w:type="dxa"/>
            <w:shd w:val="clear" w:color="auto" w:fill="auto"/>
          </w:tcPr>
          <w:p w14:paraId="090F5940"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87</w:t>
            </w:r>
          </w:p>
        </w:tc>
        <w:tc>
          <w:tcPr>
            <w:tcW w:w="1181" w:type="dxa"/>
            <w:tcBorders>
              <w:left w:val="nil"/>
              <w:right w:val="nil"/>
            </w:tcBorders>
            <w:shd w:val="clear" w:color="auto" w:fill="auto"/>
          </w:tcPr>
          <w:p w14:paraId="2CDFA965" w14:textId="77777777" w:rsidR="00311945" w:rsidRPr="00D12E59" w:rsidRDefault="00311945" w:rsidP="00311945">
            <w:pPr>
              <w:autoSpaceDE w:val="0"/>
              <w:autoSpaceDN w:val="0"/>
              <w:adjustRightInd w:val="0"/>
              <w:spacing w:line="240" w:lineRule="auto"/>
              <w:jc w:val="right"/>
              <w:rPr>
                <w:rFonts w:ascii="Book Antiqua" w:hAnsi="Book Antiqua"/>
                <w:color w:val="000000"/>
                <w:lang w:eastAsia="sv-SE"/>
              </w:rPr>
            </w:pPr>
            <w:r w:rsidRPr="00D12E59">
              <w:rPr>
                <w:rFonts w:ascii="Book Antiqua" w:hAnsi="Book Antiqua"/>
                <w:color w:val="000000"/>
                <w:lang w:eastAsia="sv-SE"/>
              </w:rPr>
              <w:t>100.0%</w:t>
            </w:r>
          </w:p>
        </w:tc>
      </w:tr>
    </w:tbl>
    <w:p w14:paraId="0996A3D0" w14:textId="77777777" w:rsidR="003951D1" w:rsidRDefault="003951D1" w:rsidP="00623180">
      <w:pPr>
        <w:tabs>
          <w:tab w:val="left" w:pos="0"/>
        </w:tabs>
        <w:autoSpaceDE w:val="0"/>
        <w:autoSpaceDN w:val="0"/>
        <w:adjustRightInd w:val="0"/>
        <w:spacing w:after="0" w:line="240" w:lineRule="auto"/>
        <w:rPr>
          <w:rFonts w:ascii="Book Antiqua" w:hAnsi="Book Antiqua"/>
        </w:rPr>
      </w:pPr>
    </w:p>
    <w:p w14:paraId="73171463" w14:textId="77777777" w:rsidR="003951D1" w:rsidRDefault="003951D1" w:rsidP="009C4636">
      <w:pPr>
        <w:autoSpaceDE w:val="0"/>
        <w:autoSpaceDN w:val="0"/>
        <w:adjustRightInd w:val="0"/>
        <w:jc w:val="right"/>
        <w:rPr>
          <w:rFonts w:ascii="Book Antiqua" w:hAnsi="Book Antiqua"/>
        </w:rPr>
      </w:pPr>
    </w:p>
    <w:p w14:paraId="57761226" w14:textId="77777777" w:rsidR="003951D1" w:rsidRDefault="003951D1" w:rsidP="003951D1">
      <w:pPr>
        <w:autoSpaceDE w:val="0"/>
        <w:autoSpaceDN w:val="0"/>
        <w:adjustRightInd w:val="0"/>
        <w:ind w:right="-3"/>
        <w:jc w:val="right"/>
        <w:rPr>
          <w:rFonts w:ascii="Book Antiqua" w:hAnsi="Book Antiqua"/>
        </w:rPr>
      </w:pPr>
    </w:p>
    <w:p w14:paraId="67A32321" w14:textId="77777777" w:rsidR="003951D1" w:rsidRDefault="003951D1" w:rsidP="009C4636">
      <w:pPr>
        <w:autoSpaceDE w:val="0"/>
        <w:autoSpaceDN w:val="0"/>
        <w:adjustRightInd w:val="0"/>
        <w:jc w:val="right"/>
        <w:rPr>
          <w:rFonts w:ascii="Book Antiqua" w:hAnsi="Book Antiqua"/>
        </w:rPr>
      </w:pPr>
    </w:p>
    <w:p w14:paraId="78879555" w14:textId="77777777" w:rsidR="003951D1" w:rsidRPr="00E3232D" w:rsidRDefault="003951D1" w:rsidP="009C4636">
      <w:pPr>
        <w:autoSpaceDE w:val="0"/>
        <w:autoSpaceDN w:val="0"/>
        <w:adjustRightInd w:val="0"/>
        <w:jc w:val="right"/>
        <w:rPr>
          <w:rFonts w:ascii="Book Antiqua" w:hAnsi="Book Antiqua"/>
          <w:color w:val="000000"/>
          <w:lang w:eastAsia="sv-SE"/>
        </w:rPr>
      </w:pPr>
    </w:p>
    <w:p w14:paraId="0478D0BF" w14:textId="77777777" w:rsidR="009C4636" w:rsidRDefault="009C4636" w:rsidP="009C4636">
      <w:pPr>
        <w:autoSpaceDE w:val="0"/>
        <w:autoSpaceDN w:val="0"/>
        <w:adjustRightInd w:val="0"/>
        <w:jc w:val="right"/>
        <w:rPr>
          <w:rFonts w:ascii="Book Antiqua" w:hAnsi="Book Antiqua"/>
          <w:color w:val="000000"/>
          <w:lang w:eastAsia="sv-SE"/>
        </w:rPr>
      </w:pPr>
    </w:p>
    <w:p w14:paraId="29ECF466" w14:textId="77777777" w:rsidR="009C4636" w:rsidRDefault="009C4636" w:rsidP="009C4636">
      <w:pPr>
        <w:autoSpaceDE w:val="0"/>
        <w:autoSpaceDN w:val="0"/>
        <w:adjustRightInd w:val="0"/>
        <w:jc w:val="right"/>
        <w:rPr>
          <w:rFonts w:ascii="Book Antiqua" w:hAnsi="Book Antiqua"/>
          <w:color w:val="000000"/>
          <w:lang w:eastAsia="sv-SE"/>
        </w:rPr>
      </w:pPr>
    </w:p>
    <w:p w14:paraId="0268ABB3" w14:textId="77777777" w:rsidR="00FD6F87" w:rsidRDefault="00FD6F87" w:rsidP="009C4636">
      <w:pPr>
        <w:autoSpaceDE w:val="0"/>
        <w:autoSpaceDN w:val="0"/>
        <w:adjustRightInd w:val="0"/>
        <w:rPr>
          <w:rFonts w:ascii="Book Antiqua" w:hAnsi="Book Antiqua"/>
          <w:color w:val="000000"/>
          <w:lang w:eastAsia="sv-SE"/>
        </w:rPr>
      </w:pPr>
    </w:p>
    <w:p w14:paraId="048F9FD0" w14:textId="77777777" w:rsidR="00311945" w:rsidRDefault="00311945" w:rsidP="009C4636">
      <w:pPr>
        <w:autoSpaceDE w:val="0"/>
        <w:autoSpaceDN w:val="0"/>
        <w:adjustRightInd w:val="0"/>
        <w:rPr>
          <w:rFonts w:ascii="Book Antiqua" w:hAnsi="Book Antiqua"/>
          <w:color w:val="000000"/>
          <w:lang w:eastAsia="sv-SE"/>
        </w:rPr>
      </w:pPr>
    </w:p>
    <w:p w14:paraId="14F2A15F" w14:textId="77777777" w:rsidR="00311945" w:rsidRDefault="00311945" w:rsidP="009C4636">
      <w:pPr>
        <w:autoSpaceDE w:val="0"/>
        <w:autoSpaceDN w:val="0"/>
        <w:adjustRightInd w:val="0"/>
        <w:rPr>
          <w:rFonts w:ascii="Book Antiqua" w:hAnsi="Book Antiqua"/>
          <w:color w:val="000000"/>
          <w:lang w:eastAsia="sv-SE"/>
        </w:rPr>
      </w:pPr>
    </w:p>
    <w:p w14:paraId="3B256376" w14:textId="77777777" w:rsidR="009C4636" w:rsidRPr="00E3232D" w:rsidRDefault="009C4636" w:rsidP="009C4636">
      <w:pPr>
        <w:autoSpaceDE w:val="0"/>
        <w:autoSpaceDN w:val="0"/>
        <w:adjustRightInd w:val="0"/>
        <w:rPr>
          <w:rFonts w:ascii="Book Antiqua" w:hAnsi="Book Antiqua"/>
          <w:color w:val="000000"/>
          <w:lang w:eastAsia="sv-SE"/>
        </w:rPr>
      </w:pPr>
      <w:r w:rsidRPr="00E3232D">
        <w:rPr>
          <w:rFonts w:ascii="Book Antiqua" w:hAnsi="Book Antiqua"/>
          <w:color w:val="000000"/>
          <w:lang w:eastAsia="sv-SE"/>
        </w:rPr>
        <w:t>Source: Field data</w:t>
      </w:r>
    </w:p>
    <w:p w14:paraId="24658C09" w14:textId="77777777" w:rsidR="004E2212" w:rsidRPr="00E3232D" w:rsidRDefault="004E2212" w:rsidP="009C4636">
      <w:pPr>
        <w:tabs>
          <w:tab w:val="left" w:pos="435"/>
        </w:tabs>
        <w:rPr>
          <w:rFonts w:ascii="Book Antiqua" w:hAnsi="Book Antiqua"/>
          <w:lang w:eastAsia="sv-SE"/>
        </w:rPr>
      </w:pPr>
    </w:p>
    <w:p w14:paraId="66B9EF1D" w14:textId="77777777" w:rsidR="004E2212" w:rsidRPr="00E3232D" w:rsidRDefault="004E2212" w:rsidP="009C4636">
      <w:pPr>
        <w:jc w:val="right"/>
        <w:rPr>
          <w:rFonts w:ascii="Book Antiqua" w:hAnsi="Book Antiqua"/>
          <w:lang w:eastAsia="sv-SE"/>
        </w:rPr>
      </w:pPr>
    </w:p>
    <w:p w14:paraId="06170E12" w14:textId="77777777" w:rsidR="004E2212" w:rsidRPr="00E3232D" w:rsidRDefault="004E2212" w:rsidP="009C4636">
      <w:pPr>
        <w:jc w:val="right"/>
        <w:rPr>
          <w:rFonts w:ascii="Book Antiqua" w:hAnsi="Book Antiqua"/>
          <w:lang w:eastAsia="sv-SE"/>
        </w:rPr>
      </w:pPr>
    </w:p>
    <w:p w14:paraId="3D83768C" w14:textId="77777777" w:rsidR="009C4636" w:rsidRDefault="009C4636" w:rsidP="004E2212">
      <w:pPr>
        <w:rPr>
          <w:rFonts w:ascii="Book Antiqua" w:hAnsi="Book Antiqua"/>
          <w:lang w:eastAsia="sv-SE"/>
        </w:rPr>
        <w:sectPr w:rsidR="009C4636" w:rsidSect="008F6BC9">
          <w:type w:val="continuous"/>
          <w:pgSz w:w="11907" w:h="16839" w:code="9"/>
          <w:pgMar w:top="1440" w:right="1274" w:bottom="1440" w:left="1276" w:header="708" w:footer="708" w:gutter="0"/>
          <w:cols w:space="720"/>
          <w:docGrid w:linePitch="360"/>
        </w:sectPr>
      </w:pPr>
    </w:p>
    <w:p w14:paraId="7767A090" w14:textId="77777777" w:rsidR="004E2212" w:rsidRPr="00E3232D" w:rsidRDefault="004E2212" w:rsidP="004E2212">
      <w:pPr>
        <w:rPr>
          <w:rFonts w:ascii="Book Antiqua" w:hAnsi="Book Antiqua"/>
          <w:lang w:eastAsia="sv-SE"/>
        </w:rPr>
      </w:pPr>
    </w:p>
    <w:p w14:paraId="5D87ADFF" w14:textId="77777777" w:rsidR="004E2212" w:rsidRPr="00E3232D" w:rsidRDefault="004E2212" w:rsidP="004E2212">
      <w:pPr>
        <w:rPr>
          <w:rFonts w:ascii="Book Antiqua" w:hAnsi="Book Antiqua"/>
          <w:lang w:eastAsia="sv-SE"/>
        </w:rPr>
      </w:pPr>
    </w:p>
    <w:p w14:paraId="392AE8E1" w14:textId="77777777" w:rsidR="004E2212" w:rsidRPr="00E3232D" w:rsidRDefault="004E2212" w:rsidP="004E2212">
      <w:pPr>
        <w:rPr>
          <w:rFonts w:ascii="Book Antiqua" w:hAnsi="Book Antiqua"/>
          <w:lang w:eastAsia="sv-SE"/>
        </w:rPr>
      </w:pPr>
    </w:p>
    <w:p w14:paraId="3E34C007" w14:textId="77777777" w:rsidR="004E2212" w:rsidRPr="00E3232D" w:rsidRDefault="004E2212" w:rsidP="004E2212">
      <w:pPr>
        <w:rPr>
          <w:rFonts w:ascii="Book Antiqua" w:hAnsi="Book Antiqua"/>
          <w:lang w:eastAsia="sv-SE"/>
        </w:rPr>
      </w:pPr>
    </w:p>
    <w:p w14:paraId="08B7A08B" w14:textId="77777777" w:rsidR="004E2212" w:rsidRPr="00E3232D" w:rsidRDefault="004E2212" w:rsidP="004E2212">
      <w:pPr>
        <w:rPr>
          <w:rFonts w:ascii="Book Antiqua" w:hAnsi="Book Antiqua"/>
          <w:lang w:eastAsia="sv-SE"/>
        </w:rPr>
      </w:pPr>
    </w:p>
    <w:p w14:paraId="0796995D" w14:textId="77777777" w:rsidR="009C4636" w:rsidRDefault="009C4636" w:rsidP="004E2212">
      <w:pPr>
        <w:rPr>
          <w:rFonts w:ascii="Book Antiqua" w:hAnsi="Book Antiqua"/>
          <w:lang w:eastAsia="sv-SE"/>
        </w:rPr>
        <w:sectPr w:rsidR="009C4636" w:rsidSect="008F6BC9">
          <w:type w:val="continuous"/>
          <w:pgSz w:w="11907" w:h="16839" w:code="9"/>
          <w:pgMar w:top="1440" w:right="1274" w:bottom="1440" w:left="1276" w:header="708" w:footer="708" w:gutter="0"/>
          <w:cols w:num="2" w:space="720"/>
          <w:docGrid w:linePitch="360"/>
        </w:sectPr>
      </w:pPr>
    </w:p>
    <w:p w14:paraId="37864659" w14:textId="77777777" w:rsidR="004E2212" w:rsidRPr="00E3232D" w:rsidRDefault="004E2212" w:rsidP="004E2212">
      <w:pPr>
        <w:rPr>
          <w:rFonts w:ascii="Book Antiqua" w:hAnsi="Book Antiqua"/>
          <w:lang w:eastAsia="sv-SE"/>
        </w:rPr>
      </w:pPr>
    </w:p>
    <w:p w14:paraId="35459BB3" w14:textId="77777777" w:rsidR="00020858" w:rsidRDefault="00020858" w:rsidP="004E2212">
      <w:pPr>
        <w:rPr>
          <w:rFonts w:ascii="Book Antiqua" w:hAnsi="Book Antiqua"/>
          <w:lang w:eastAsia="sv-SE"/>
        </w:rPr>
      </w:pPr>
    </w:p>
    <w:p w14:paraId="4A72F3EC" w14:textId="77777777" w:rsidR="00C02B51" w:rsidRDefault="00C02B51" w:rsidP="004E2212">
      <w:pPr>
        <w:rPr>
          <w:rFonts w:ascii="Book Antiqua" w:hAnsi="Book Antiqua"/>
          <w:lang w:eastAsia="sv-SE"/>
        </w:rPr>
      </w:pPr>
    </w:p>
    <w:p w14:paraId="37049308" w14:textId="77777777" w:rsidR="00C02B51" w:rsidRDefault="00C02B51" w:rsidP="004E2212">
      <w:pPr>
        <w:rPr>
          <w:rFonts w:ascii="Book Antiqua" w:hAnsi="Book Antiqua"/>
          <w:lang w:eastAsia="sv-SE"/>
        </w:rPr>
      </w:pPr>
    </w:p>
    <w:p w14:paraId="45895BC5" w14:textId="77777777" w:rsidR="00C02B51" w:rsidRDefault="00C02B51" w:rsidP="004E2212">
      <w:pPr>
        <w:rPr>
          <w:rFonts w:ascii="Book Antiqua" w:hAnsi="Book Antiqua"/>
          <w:lang w:eastAsia="sv-SE"/>
        </w:rPr>
      </w:pPr>
    </w:p>
    <w:p w14:paraId="41926171" w14:textId="77777777" w:rsidR="00C02B51" w:rsidRDefault="00C02B51" w:rsidP="004E2212">
      <w:pPr>
        <w:rPr>
          <w:rFonts w:ascii="Book Antiqua" w:hAnsi="Book Antiqua"/>
          <w:lang w:eastAsia="sv-SE"/>
        </w:rPr>
      </w:pPr>
    </w:p>
    <w:p w14:paraId="27B113D4" w14:textId="77777777" w:rsidR="00C02B51" w:rsidRPr="00E3232D" w:rsidRDefault="00C02B51" w:rsidP="004E2212">
      <w:pPr>
        <w:rPr>
          <w:rFonts w:ascii="Book Antiqua" w:hAnsi="Book Antiqua"/>
          <w:lang w:eastAsia="sv-SE"/>
        </w:rPr>
        <w:sectPr w:rsidR="00C02B51" w:rsidRPr="00E3232D" w:rsidSect="008F6BC9">
          <w:type w:val="continuous"/>
          <w:pgSz w:w="11907" w:h="16839" w:code="9"/>
          <w:pgMar w:top="1440" w:right="1274" w:bottom="1440" w:left="1276" w:header="708" w:footer="708" w:gutter="0"/>
          <w:cols w:space="720"/>
          <w:docGrid w:linePitch="360"/>
        </w:sectPr>
      </w:pPr>
    </w:p>
    <w:p w14:paraId="4F527572" w14:textId="77777777" w:rsidR="00344D9B" w:rsidRPr="000B4A9B" w:rsidRDefault="008D5739" w:rsidP="00C02B51">
      <w:pPr>
        <w:spacing w:after="0"/>
        <w:jc w:val="center"/>
        <w:rPr>
          <w:rFonts w:ascii="Book Antiqua" w:hAnsi="Book Antiqua"/>
          <w:b/>
          <w:sz w:val="26"/>
          <w:szCs w:val="26"/>
        </w:rPr>
      </w:pPr>
      <w:r w:rsidRPr="000B4A9B">
        <w:rPr>
          <w:rFonts w:ascii="Book Antiqua" w:hAnsi="Book Antiqua"/>
          <w:b/>
          <w:sz w:val="26"/>
          <w:szCs w:val="26"/>
        </w:rPr>
        <w:lastRenderedPageBreak/>
        <w:t xml:space="preserve">HIV/AIDS </w:t>
      </w:r>
      <w:r>
        <w:rPr>
          <w:rFonts w:ascii="Book Antiqua" w:hAnsi="Book Antiqua"/>
          <w:b/>
          <w:sz w:val="26"/>
          <w:szCs w:val="26"/>
        </w:rPr>
        <w:t>Related Knowledge, Attitude and Sexual Behavoirs o</w:t>
      </w:r>
      <w:r w:rsidR="000B4A9B" w:rsidRPr="000B4A9B">
        <w:rPr>
          <w:rFonts w:ascii="Book Antiqua" w:hAnsi="Book Antiqua"/>
          <w:b/>
          <w:sz w:val="26"/>
          <w:szCs w:val="26"/>
        </w:rPr>
        <w:t xml:space="preserve">f Students </w:t>
      </w:r>
      <w:r>
        <w:rPr>
          <w:rFonts w:ascii="Book Antiqua" w:hAnsi="Book Antiqua"/>
          <w:b/>
          <w:sz w:val="26"/>
          <w:szCs w:val="26"/>
        </w:rPr>
        <w:t>o</w:t>
      </w:r>
      <w:r w:rsidR="000B4A9B" w:rsidRPr="000B4A9B">
        <w:rPr>
          <w:rFonts w:ascii="Book Antiqua" w:hAnsi="Book Antiqua"/>
          <w:b/>
          <w:sz w:val="26"/>
          <w:szCs w:val="26"/>
        </w:rPr>
        <w:t>f</w:t>
      </w:r>
      <w:r>
        <w:rPr>
          <w:rFonts w:ascii="Book Antiqua" w:hAnsi="Book Antiqua"/>
          <w:b/>
          <w:sz w:val="26"/>
          <w:szCs w:val="26"/>
        </w:rPr>
        <w:t xml:space="preserve"> </w:t>
      </w:r>
      <w:r w:rsidR="000B4A9B" w:rsidRPr="000B4A9B">
        <w:rPr>
          <w:rFonts w:ascii="Book Antiqua" w:hAnsi="Book Antiqua"/>
          <w:b/>
          <w:sz w:val="26"/>
          <w:szCs w:val="26"/>
        </w:rPr>
        <w:t xml:space="preserve">a Tertiary Institution </w:t>
      </w:r>
      <w:r w:rsidRPr="000B4A9B">
        <w:rPr>
          <w:rFonts w:ascii="Book Antiqua" w:hAnsi="Book Antiqua"/>
          <w:b/>
          <w:sz w:val="26"/>
          <w:szCs w:val="26"/>
        </w:rPr>
        <w:t>in</w:t>
      </w:r>
      <w:r w:rsidR="000B4A9B" w:rsidRPr="000B4A9B">
        <w:rPr>
          <w:rFonts w:ascii="Book Antiqua" w:hAnsi="Book Antiqua"/>
          <w:b/>
          <w:sz w:val="26"/>
          <w:szCs w:val="26"/>
        </w:rPr>
        <w:t xml:space="preserve"> Ghana.</w:t>
      </w:r>
    </w:p>
    <w:p w14:paraId="2970708E" w14:textId="77777777" w:rsidR="00E5561C" w:rsidRPr="000B4A9B" w:rsidRDefault="00E5561C" w:rsidP="00C02B51">
      <w:pPr>
        <w:spacing w:after="0"/>
        <w:jc w:val="center"/>
        <w:rPr>
          <w:rFonts w:ascii="Book Antiqua" w:hAnsi="Book Antiqua"/>
          <w:sz w:val="26"/>
          <w:szCs w:val="26"/>
        </w:rPr>
      </w:pPr>
    </w:p>
    <w:p w14:paraId="599ABEC4" w14:textId="77777777" w:rsidR="00A36441" w:rsidRPr="000B4A9B" w:rsidRDefault="00344D9B" w:rsidP="00C02B51">
      <w:pPr>
        <w:spacing w:after="0"/>
        <w:jc w:val="center"/>
        <w:rPr>
          <w:rFonts w:ascii="Book Antiqua" w:hAnsi="Book Antiqua"/>
          <w:b/>
        </w:rPr>
      </w:pPr>
      <w:r w:rsidRPr="000B4A9B">
        <w:rPr>
          <w:rFonts w:ascii="Book Antiqua" w:hAnsi="Book Antiqua"/>
          <w:b/>
        </w:rPr>
        <w:t xml:space="preserve"> </w:t>
      </w:r>
      <w:r w:rsidRPr="000B4A9B">
        <w:rPr>
          <w:rFonts w:ascii="Book Antiqua" w:hAnsi="Book Antiqua"/>
          <w:b/>
          <w:vertAlign w:val="superscript"/>
        </w:rPr>
        <w:t>1</w:t>
      </w:r>
      <w:r w:rsidRPr="000B4A9B">
        <w:rPr>
          <w:rFonts w:ascii="Book Antiqua" w:hAnsi="Book Antiqua"/>
          <w:b/>
        </w:rPr>
        <w:t xml:space="preserve"> Abruquah</w:t>
      </w:r>
      <w:r w:rsidR="000B4A9B" w:rsidRPr="000B4A9B">
        <w:rPr>
          <w:rFonts w:ascii="Book Antiqua" w:hAnsi="Book Antiqua"/>
          <w:b/>
        </w:rPr>
        <w:t xml:space="preserve"> A. A &amp; </w:t>
      </w:r>
      <w:r w:rsidR="00A36441" w:rsidRPr="000B4A9B">
        <w:rPr>
          <w:rFonts w:ascii="Book Antiqua" w:hAnsi="Book Antiqua"/>
          <w:b/>
          <w:vertAlign w:val="superscript"/>
        </w:rPr>
        <w:t>2</w:t>
      </w:r>
      <w:r w:rsidR="00A36441" w:rsidRPr="000B4A9B">
        <w:rPr>
          <w:rFonts w:ascii="Book Antiqua" w:hAnsi="Book Antiqua"/>
          <w:b/>
        </w:rPr>
        <w:t xml:space="preserve"> Solaga</w:t>
      </w:r>
      <w:r w:rsidR="000B4A9B" w:rsidRPr="000B4A9B">
        <w:rPr>
          <w:rFonts w:ascii="Book Antiqua" w:hAnsi="Book Antiqua"/>
          <w:b/>
        </w:rPr>
        <w:t xml:space="preserve"> D.</w:t>
      </w:r>
    </w:p>
    <w:p w14:paraId="20955479" w14:textId="77777777" w:rsidR="00344D9B" w:rsidRPr="00E3232D" w:rsidRDefault="00875E2F" w:rsidP="00C02B51">
      <w:pPr>
        <w:spacing w:after="0"/>
        <w:jc w:val="center"/>
        <w:rPr>
          <w:rFonts w:ascii="Book Antiqua" w:hAnsi="Book Antiqua"/>
        </w:rPr>
      </w:pPr>
      <w:r w:rsidRPr="00E3232D">
        <w:rPr>
          <w:rFonts w:ascii="Book Antiqua" w:hAnsi="Book Antiqua"/>
        </w:rPr>
        <w:t>Department of Pharmaceutical Sciences, Kumasi Polytechnic, Kumasi.</w:t>
      </w:r>
    </w:p>
    <w:p w14:paraId="1BD675AF" w14:textId="77777777" w:rsidR="00EA4A41" w:rsidRDefault="00344D9B" w:rsidP="0020411C">
      <w:pPr>
        <w:jc w:val="center"/>
        <w:rPr>
          <w:rFonts w:ascii="Book Antiqua" w:hAnsi="Book Antiqua"/>
        </w:rPr>
        <w:sectPr w:rsidR="00EA4A41" w:rsidSect="008F6BC9">
          <w:footerReference w:type="default" r:id="rId90"/>
          <w:type w:val="continuous"/>
          <w:pgSz w:w="11907" w:h="16839" w:code="9"/>
          <w:pgMar w:top="1440" w:right="1440" w:bottom="1440" w:left="1440" w:header="720" w:footer="720" w:gutter="0"/>
          <w:cols w:space="720"/>
          <w:docGrid w:linePitch="360"/>
        </w:sectPr>
      </w:pPr>
      <w:r w:rsidRPr="0020411C">
        <w:rPr>
          <w:rFonts w:ascii="Book Antiqua" w:hAnsi="Book Antiqua"/>
          <w:b/>
        </w:rPr>
        <w:t>E-mail:</w:t>
      </w:r>
      <w:r w:rsidRPr="00E3232D">
        <w:rPr>
          <w:rFonts w:ascii="Book Antiqua" w:hAnsi="Book Antiqua"/>
        </w:rPr>
        <w:t xml:space="preserve"> </w:t>
      </w:r>
      <w:r w:rsidR="0020411C">
        <w:rPr>
          <w:rFonts w:ascii="Book Antiqua" w:hAnsi="Book Antiqua"/>
          <w:vertAlign w:val="superscript"/>
        </w:rPr>
        <w:t>1</w:t>
      </w:r>
      <w:hyperlink r:id="rId91" w:history="1">
        <w:r w:rsidRPr="00E3232D">
          <w:rPr>
            <w:rStyle w:val="Hyperlink"/>
            <w:rFonts w:ascii="Book Antiqua" w:hAnsi="Book Antiqua"/>
          </w:rPr>
          <w:t>akua.abruquah@gmail.com</w:t>
        </w:r>
      </w:hyperlink>
      <w:r w:rsidRPr="00E3232D">
        <w:rPr>
          <w:rFonts w:ascii="Book Antiqua" w:hAnsi="Book Antiqua"/>
        </w:rPr>
        <w:t>.</w:t>
      </w:r>
      <w:r w:rsidR="00066C42">
        <w:rPr>
          <w:rFonts w:ascii="Book Antiqua" w:hAnsi="Book Antiqua"/>
        </w:rPr>
        <w:t xml:space="preserve"> &amp;</w:t>
      </w:r>
      <w:r w:rsidR="0020411C">
        <w:rPr>
          <w:rFonts w:ascii="Book Antiqua" w:hAnsi="Book Antiqua"/>
        </w:rPr>
        <w:t xml:space="preserve"> </w:t>
      </w:r>
      <w:r w:rsidR="0020411C">
        <w:rPr>
          <w:rFonts w:ascii="Book Antiqua" w:hAnsi="Book Antiqua"/>
          <w:vertAlign w:val="superscript"/>
        </w:rPr>
        <w:t>2</w:t>
      </w:r>
      <w:r w:rsidRPr="00E3232D">
        <w:rPr>
          <w:rFonts w:ascii="Book Antiqua" w:hAnsi="Book Antiqua"/>
        </w:rPr>
        <w:t>dannysolaga@yahoo.com</w:t>
      </w:r>
    </w:p>
    <w:p w14:paraId="0D6D783E" w14:textId="77777777" w:rsidR="00344D9B" w:rsidRPr="00E3232D" w:rsidRDefault="00344D9B" w:rsidP="0002626E">
      <w:pPr>
        <w:spacing w:before="100" w:beforeAutospacing="1" w:after="100" w:afterAutospacing="1"/>
        <w:jc w:val="both"/>
        <w:outlineLvl w:val="3"/>
        <w:rPr>
          <w:rFonts w:ascii="Book Antiqua" w:hAnsi="Book Antiqua"/>
          <w:b/>
          <w:bCs/>
          <w:lang w:val="en-GB"/>
        </w:rPr>
      </w:pPr>
      <w:r w:rsidRPr="00311945">
        <w:rPr>
          <w:rFonts w:ascii="Book Antiqua" w:hAnsi="Book Antiqua"/>
          <w:b/>
          <w:bCs/>
          <w:sz w:val="26"/>
          <w:lang w:val="en-GB"/>
        </w:rPr>
        <w:t>Abstract</w:t>
      </w:r>
    </w:p>
    <w:p w14:paraId="3BAAA8CF" w14:textId="77777777" w:rsidR="00344D9B" w:rsidRPr="00E3232D" w:rsidRDefault="00344D9B" w:rsidP="00311945">
      <w:pPr>
        <w:spacing w:before="100" w:beforeAutospacing="1" w:after="100" w:afterAutospacing="1"/>
        <w:jc w:val="both"/>
        <w:rPr>
          <w:rFonts w:ascii="Book Antiqua" w:hAnsi="Book Antiqua"/>
          <w:lang w:val="en-GB"/>
        </w:rPr>
      </w:pPr>
      <w:r w:rsidRPr="00E3232D">
        <w:rPr>
          <w:rFonts w:ascii="Book Antiqua" w:hAnsi="Book Antiqua"/>
          <w:lang w:val="en-GB"/>
        </w:rPr>
        <w:t xml:space="preserve">Young adults worldwide are particularly affected by the HIV/AIDS menace because they are most sexually active and adventurous members of the population. Due to the associated morbidity, complications and mortality associated with HIV/AIDS, governments and non-governmental organisations (NGO) worldwide have put in place pragmatic and gold standard interventions to curb the menace. This study sought to assess the knowledge, attitude and sexual behaviour of students of a tertiary institution in Ghana in relation to HIV/AIDS. Through a stratified-sampling technique, 492 students </w:t>
      </w:r>
      <w:r w:rsidR="003D221E" w:rsidRPr="00E3232D">
        <w:rPr>
          <w:rFonts w:ascii="Book Antiqua" w:hAnsi="Book Antiqua"/>
          <w:lang w:val="en-GB"/>
        </w:rPr>
        <w:t xml:space="preserve">were assessed by </w:t>
      </w:r>
      <w:r w:rsidRPr="00E3232D">
        <w:rPr>
          <w:rFonts w:ascii="Book Antiqua" w:hAnsi="Book Antiqua"/>
          <w:lang w:val="en-GB"/>
        </w:rPr>
        <w:t>self-administered questionnaires in March 2012.  Sixty-seven percent (67%) of students identified “television” as their most important source of information about HIV/AIDS. There were a lot of identified misconceptions about HIV/AIDS modes of transmission including Mosquito bites (31%) and public toilets (33%). Forty one percent (41%) thought that HIV positive people should not be admitted into mainstream schools whiles 30%would not sit close to an HIV positive student. Majority of students wanted to know more about HIV/AIDS. In this study knowledge level was associated with students' attitudes towards the disease. Although knowledge level seemed quite high, misconceptions about modes of disease transmission and intolerant attitude towards HIV/AIDS infected people were common. We recommend that strategies for HIV/AIDS prevention be emphasized more in tertiary institutions.</w:t>
      </w:r>
    </w:p>
    <w:p w14:paraId="1D1ACF37" w14:textId="77777777" w:rsidR="00947357" w:rsidRDefault="00344D9B" w:rsidP="00311945">
      <w:pPr>
        <w:autoSpaceDE w:val="0"/>
        <w:autoSpaceDN w:val="0"/>
        <w:adjustRightInd w:val="0"/>
        <w:jc w:val="both"/>
        <w:rPr>
          <w:rFonts w:ascii="Book Antiqua" w:hAnsi="Book Antiqua"/>
          <w:b/>
        </w:rPr>
      </w:pPr>
      <w:r w:rsidRPr="00E3232D">
        <w:rPr>
          <w:rFonts w:ascii="Book Antiqua" w:hAnsi="Book Antiqua"/>
          <w:b/>
        </w:rPr>
        <w:t xml:space="preserve">Keywords: </w:t>
      </w:r>
      <w:r w:rsidR="00311945" w:rsidRPr="00E3232D">
        <w:rPr>
          <w:rFonts w:ascii="Book Antiqua" w:hAnsi="Book Antiqua"/>
          <w:b/>
        </w:rPr>
        <w:t xml:space="preserve">Morbidity; Mortality; Complications; Stratified-Sampling Technique; </w:t>
      </w:r>
    </w:p>
    <w:p w14:paraId="288C256F" w14:textId="77777777" w:rsidR="00344D9B" w:rsidRPr="00E3232D" w:rsidRDefault="00311945" w:rsidP="00311945">
      <w:pPr>
        <w:autoSpaceDE w:val="0"/>
        <w:autoSpaceDN w:val="0"/>
        <w:adjustRightInd w:val="0"/>
        <w:jc w:val="both"/>
        <w:rPr>
          <w:rFonts w:ascii="Book Antiqua" w:hAnsi="Book Antiqua"/>
          <w:b/>
        </w:rPr>
        <w:sectPr w:rsidR="00344D9B" w:rsidRPr="00E3232D" w:rsidSect="008F6BC9">
          <w:type w:val="continuous"/>
          <w:pgSz w:w="11907" w:h="16839" w:code="9"/>
          <w:pgMar w:top="1440" w:right="1440" w:bottom="1440" w:left="1440" w:header="720" w:footer="720" w:gutter="0"/>
          <w:cols w:space="720"/>
          <w:docGrid w:linePitch="360"/>
        </w:sectPr>
      </w:pPr>
      <w:r w:rsidRPr="00E3232D">
        <w:rPr>
          <w:rFonts w:ascii="Book Antiqua" w:hAnsi="Book Antiqua"/>
          <w:b/>
        </w:rPr>
        <w:t>Misconceptions.</w:t>
      </w:r>
    </w:p>
    <w:p w14:paraId="2384CC7F" w14:textId="77777777" w:rsidR="001D1BD3" w:rsidRPr="00312FAA" w:rsidRDefault="001D1BD3" w:rsidP="00196385">
      <w:pPr>
        <w:pStyle w:val="ListParagraph"/>
        <w:numPr>
          <w:ilvl w:val="0"/>
          <w:numId w:val="173"/>
        </w:numPr>
        <w:autoSpaceDE w:val="0"/>
        <w:autoSpaceDN w:val="0"/>
        <w:adjustRightInd w:val="0"/>
        <w:jc w:val="both"/>
        <w:rPr>
          <w:rFonts w:ascii="Book Antiqua" w:hAnsi="Book Antiqua"/>
          <w:b/>
        </w:rPr>
      </w:pPr>
      <w:r w:rsidRPr="00312FAA">
        <w:rPr>
          <w:rFonts w:ascii="Book Antiqua" w:hAnsi="Book Antiqua"/>
          <w:b/>
          <w:sz w:val="26"/>
        </w:rPr>
        <w:t>Introduction</w:t>
      </w:r>
    </w:p>
    <w:p w14:paraId="38A5EE51"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AIDS and HIV now clearly represent one of the most dramatic challenges to the public health system worldwide particularly in many developing countries </w:t>
      </w:r>
      <w:r w:rsidR="001815AD" w:rsidRPr="00E3232D">
        <w:rPr>
          <w:rFonts w:ascii="Book Antiqua" w:hAnsi="Book Antiqua"/>
        </w:rPr>
        <w:fldChar w:fldCharType="begin">
          <w:fldData xml:space="preserve">PEVuZE5vdGU+PENpdGU+PEF1dGhvcj5GYWlyY2hpbGQ8L0F1dGhvcj48WWVhcj4yMDAyPC9ZZWFy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PEVuZE5vdGU+PENpdGU+PEF1dGhvcj5GYWlyY2hpbGQ8L0F1dGhvcj48WWVhcj4yMDAyPC9ZZWFy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(Fairchild and Bayer, 2002)</w:t>
      </w:r>
      <w:r w:rsidR="001815AD" w:rsidRPr="00E3232D">
        <w:rPr>
          <w:rFonts w:ascii="Book Antiqua" w:hAnsi="Book Antiqua"/>
        </w:rPr>
        <w:fldChar w:fldCharType="end"/>
      </w:r>
      <w:r w:rsidRPr="00E3232D">
        <w:rPr>
          <w:rFonts w:ascii="Book Antiqua" w:hAnsi="Book Antiqua"/>
        </w:rPr>
        <w:t xml:space="preserve">. The Human Immunodeficiency virus (HIV) was first identified by the medical community and </w:t>
      </w:r>
      <w:r w:rsidRPr="00E3232D">
        <w:rPr>
          <w:rFonts w:ascii="Book Antiqua" w:hAnsi="Book Antiqua"/>
        </w:rPr>
        <w:t xml:space="preserve">documented by the Center for Disease Control (CDC) in 1981 </w:t>
      </w:r>
      <w:r w:rsidR="001815AD" w:rsidRPr="00E3232D">
        <w:rPr>
          <w:rFonts w:ascii="Book Antiqua" w:hAnsi="Book Antiqua"/>
        </w:rPr>
        <w:fldChar w:fldCharType="begin">
          <w:fldData xml:space="preserve">PEVuZE5vdGU+PENpdGU+PEF1dGhvcj5HYWxicmFpdGg8L0F1dGhvcj48WWVhcj4yMDExPC9ZZWFy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PEVuZE5vdGU+PENpdGU+PEF1dGhvcj5HYWxicmFpdGg8L0F1dGhvcj48WWVhcj4yMDExPC9ZZWFy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(Galbraith et al., 2011)</w:t>
      </w:r>
      <w:r w:rsidR="001815AD" w:rsidRPr="00E3232D">
        <w:rPr>
          <w:rFonts w:ascii="Book Antiqua" w:hAnsi="Book Antiqua"/>
        </w:rPr>
        <w:fldChar w:fldCharType="end"/>
      </w:r>
      <w:r w:rsidRPr="00E3232D">
        <w:rPr>
          <w:rFonts w:ascii="Book Antiqua" w:hAnsi="Book Antiqua"/>
        </w:rPr>
        <w:t xml:space="preserve"> as the cause of widespread epidemic of severe immunosuppression called Acquired Immunodeficiency Syndrome (AIDS) </w:t>
      </w:r>
      <w:r w:rsidR="001815AD" w:rsidRPr="00E3232D">
        <w:rPr>
          <w:rFonts w:ascii="Book Antiqua" w:hAnsi="Book Antiqua"/>
        </w:rPr>
        <w:fldChar w:fldCharType="begin"/>
      </w:r>
      <w:r w:rsidRPr="00E3232D">
        <w:rPr>
          <w:rFonts w:ascii="Book Antiqua" w:hAnsi="Book Antiqua"/>
        </w:rPr>
        <w:instrText xml:space="preserve"> ADDIN EN.CITE &lt;EndNote&gt;&lt;Cite&gt;&lt;Author&gt;Gottlieb&lt;/Author&gt;&lt;Year&gt;2000&lt;/Year&gt;&lt;RecNum&gt;7&lt;/RecNum&gt;&lt;record&gt;&lt;rec-number&gt;7&lt;/rec-number&gt;&lt;foreign-keys&gt;&lt;key app="EN" db-id="05wpze2fk5fresed2vkpw0zu20z0d5wwpfar"&gt;7&lt;/key&gt;&lt;/foreign-keys&gt;&lt;ref-type name="Journal Article"&gt;17&lt;/ref-type&gt;&lt;contributors&gt;&lt;authors&gt;&lt;author&gt;Gottlieb, S.&lt;/author&gt;&lt;/authors&gt;&lt;/contributors&gt;&lt;titles&gt;&lt;title&gt;Oral sex may be important risk factor for HIV infection&lt;/title&gt;&lt;secondary-title&gt;BMJ&lt;/secondary-title&gt;&lt;/titles&gt;&lt;periodical&gt;&lt;full-title&gt;BMJ&lt;/full-title&gt;&lt;/periodical&gt;&lt;pages&gt;400&lt;/pages&gt;&lt;volume&gt;320&lt;/volume&gt;&lt;number&gt;7232&lt;/number&gt;&lt;edition&gt;2000/02/11&lt;/edition&gt;&lt;keywords&gt;&lt;keyword&gt;HIV Infections/*transmission&lt;/keyword&gt;&lt;keyword&gt;*Homosexuality, Male&lt;/keyword&gt;&lt;keyword&gt;Humans&lt;/keyword&gt;&lt;keyword&gt;Male&lt;/keyword&gt;&lt;keyword&gt;Risk Factors&lt;/keyword&gt;&lt;keyword&gt;*Sexual Behavior&lt;/keyword&gt;&lt;/keywords&gt;&lt;dates&gt;&lt;year&gt;2000&lt;/year&gt;&lt;pub-dates&gt;&lt;date&gt;Feb 12&lt;/date&gt;&lt;/pub-dates&gt;&lt;/dates&gt;&lt;isbn&gt;0959-8138 (Print)&amp;#xD;0959-535X (Linking)&lt;/isbn&gt;&lt;accession-num&gt;10669434&lt;/accession-num&gt;&lt;urls&gt;&lt;related-urls&gt;&lt;url&gt;http://www.ncbi.nlm.nih.gov/entrez/query.fcgi?cmd=Retrieve&amp;amp;db=PubMed&amp;amp;dopt=Citation&amp;amp;list_uids=10669434&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(Gottlieb, 2000)</w:t>
      </w:r>
      <w:r w:rsidR="001815AD" w:rsidRPr="00E3232D">
        <w:rPr>
          <w:rFonts w:ascii="Book Antiqua" w:hAnsi="Book Antiqua"/>
        </w:rPr>
        <w:fldChar w:fldCharType="end"/>
      </w:r>
      <w:r w:rsidRPr="00E3232D">
        <w:rPr>
          <w:rFonts w:ascii="Book Antiqua" w:hAnsi="Book Antiqua"/>
        </w:rPr>
        <w:t xml:space="preserve">. </w:t>
      </w:r>
    </w:p>
    <w:p w14:paraId="50B46C85" w14:textId="77777777" w:rsidR="001D1BD3" w:rsidRPr="00E3232D" w:rsidRDefault="001D1BD3" w:rsidP="00311945">
      <w:pPr>
        <w:autoSpaceDE w:val="0"/>
        <w:autoSpaceDN w:val="0"/>
        <w:adjustRightInd w:val="0"/>
        <w:jc w:val="both"/>
        <w:rPr>
          <w:rFonts w:ascii="Book Antiqua" w:hAnsi="Book Antiqua"/>
        </w:rPr>
      </w:pPr>
    </w:p>
    <w:p w14:paraId="34B41504"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b/>
        </w:rPr>
        <w:lastRenderedPageBreak/>
        <w:t>1.</w:t>
      </w:r>
      <w:r w:rsidRPr="001B1B96">
        <w:rPr>
          <w:rFonts w:ascii="Book Antiqua" w:hAnsi="Book Antiqua"/>
          <w:b/>
        </w:rPr>
        <w:t>1Epidemiology of HIV/AIDS</w:t>
      </w:r>
    </w:p>
    <w:p w14:paraId="7B97071A" w14:textId="77777777" w:rsidR="001D1BD3" w:rsidRPr="00E3232D" w:rsidRDefault="001D1BD3" w:rsidP="00311945">
      <w:pPr>
        <w:jc w:val="both"/>
        <w:rPr>
          <w:rFonts w:ascii="Book Antiqua" w:hAnsi="Book Antiqua"/>
        </w:rPr>
      </w:pPr>
      <w:r w:rsidRPr="00E3232D">
        <w:rPr>
          <w:rFonts w:ascii="Book Antiqua" w:hAnsi="Book Antiqua"/>
        </w:rPr>
        <w:t xml:space="preserve">According to the 2012United Nations Program on HIV/AIDS (UNAIDS) report, globally there were more than 700,000 fewer new HIV infections in 2011 than in 2001and that Africa has cut AIDS related deaths by one third in the past six years </w:t>
      </w:r>
      <w:r w:rsidR="001815AD" w:rsidRPr="00E3232D">
        <w:rPr>
          <w:rFonts w:ascii="Book Antiqua" w:hAnsi="Book Antiqua"/>
        </w:rPr>
        <w:fldChar w:fldCharType="begin"/>
      </w:r>
      <w:r w:rsidRPr="00E3232D">
        <w:rPr>
          <w:rFonts w:ascii="Book Antiqua" w:hAnsi="Book Antiqua"/>
        </w:rPr>
        <w:instrText xml:space="preserve"> ADDIN EN.CITE &lt;EndNote&gt;&lt;Cite&gt;&lt;Author&gt;Bao&lt;/Author&gt;&lt;Year&gt;2012&lt;/Year&gt;&lt;RecNum&gt;80&lt;/RecNum&gt;&lt;record&gt;&lt;rec-number&gt;80&lt;/rec-number&gt;&lt;foreign-keys&gt;&lt;key app="EN" db-id="05wpze2fk5fresed2vkpw0zu20z0d5wwpfar"&gt;80&lt;/key&gt;&lt;/foreign-keys&gt;&lt;ref-type name="Journal Article"&gt;17&lt;/ref-type&gt;&lt;contributors&gt;&lt;authors&gt;&lt;author&gt;Bao, L.&lt;/author&gt;&lt;author&gt;Salomon, J. A.&lt;/author&gt;&lt;author&gt;Brown, T.&lt;/author&gt;&lt;author&gt;Raftery, A. E.&lt;/author&gt;&lt;author&gt;Hogan, D. R.&lt;/author&gt;&lt;/authors&gt;&lt;/contributors&gt;&lt;auth-address&gt;Department of Statistics, The Pennsylvania State University, University Park, 323 Thomas Building, PA 16802, USA. lebao@psu.edu&lt;/auth-address&gt;&lt;titles&gt;&lt;title&gt;Modelling national HIV/AIDS epidemics: revised approach in the UNAIDS Estimation and Projection Package 2011&lt;/title&gt;&lt;secondary-title&gt;Sex Transm Infect&lt;/secondary-title&gt;&lt;/titles&gt;&lt;periodical&gt;&lt;full-title&gt;Sex Transm Infect&lt;/full-title&gt;&lt;/periodical&gt;&lt;pages&gt;i3-10&lt;/pages&gt;&lt;volume&gt;88 Suppl 2&lt;/volume&gt;&lt;edition&gt;2012/10/10&lt;/edition&gt;&lt;keywords&gt;&lt;keyword&gt;*Epidemics&lt;/keyword&gt;&lt;keyword&gt;*Epidemiologic Methods&lt;/keyword&gt;&lt;keyword&gt;Female&lt;/keyword&gt;&lt;keyword&gt;HIV Infections/*epidemiology&lt;/keyword&gt;&lt;keyword&gt;Humans&lt;/keyword&gt;&lt;keyword&gt;Incidence&lt;/keyword&gt;&lt;keyword&gt;Male&lt;/keyword&gt;&lt;keyword&gt;Models, Statistical&lt;/keyword&gt;&lt;keyword&gt;Prevalence&lt;/keyword&gt;&lt;keyword&gt;Uganda/epidemiology&lt;/keyword&gt;&lt;/keywords&gt;&lt;dates&gt;&lt;year&gt;2012&lt;/year&gt;&lt;pub-dates&gt;&lt;date&gt;Dec&lt;/date&gt;&lt;/pub-dates&gt;&lt;/dates&gt;&lt;isbn&gt;1472-3263 (Electronic)&amp;#xD;1368-4973 (Linking)&lt;/isbn&gt;&lt;accession-num&gt;23044436&lt;/accession-num&gt;&lt;urls&gt;&lt;related-urls&gt;&lt;url&gt;http://www.ncbi.nlm.nih.gov/entrez/query.fcgi?cmd=Retrieve&amp;amp;db=PubMed&amp;amp;dopt=Citation&amp;amp;list_uids=23044436&lt;/url&gt;&lt;/related-urls&gt;&lt;/urls&gt;&lt;electronic-resource-num&gt;sextrans-2012-050637 [pii]&amp;#xD;10.1136/sextrans-2012-050637&lt;/electronic-resource-num&gt;&lt;language&gt;eng&lt;/language&gt;&lt;/record&gt;&lt;/Cite&gt;&lt;/EndNote&gt;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(Bao et al., 2012)</w:t>
      </w:r>
      <w:r w:rsidR="001815AD" w:rsidRPr="00E3232D">
        <w:rPr>
          <w:rFonts w:ascii="Book Antiqua" w:hAnsi="Book Antiqua"/>
        </w:rPr>
        <w:fldChar w:fldCharType="end"/>
      </w:r>
      <w:r w:rsidRPr="00E3232D">
        <w:rPr>
          <w:rFonts w:ascii="Book Antiqua" w:hAnsi="Book Antiqua"/>
        </w:rPr>
        <w:t>.</w:t>
      </w:r>
    </w:p>
    <w:p w14:paraId="6BF869AD" w14:textId="77777777" w:rsidR="001D1BD3" w:rsidRPr="00E3232D" w:rsidRDefault="001D1BD3" w:rsidP="00311945">
      <w:pPr>
        <w:jc w:val="both"/>
        <w:rPr>
          <w:rFonts w:ascii="Book Antiqua" w:hAnsi="Book Antiqua"/>
        </w:rPr>
      </w:pPr>
      <w:r w:rsidRPr="00E3232D">
        <w:rPr>
          <w:rFonts w:ascii="Book Antiqua" w:hAnsi="Book Antiqua"/>
          <w:lang w:val="en-GB"/>
        </w:rPr>
        <w:t xml:space="preserve">Notwithstanding these achievements however, statistics has shown that for five patients affected by AIDS, one is in his/her 20s </w:t>
      </w:r>
      <w:bookmarkStart w:id="16" w:name="d19504e172"/>
      <w:bookmarkStart w:id="17" w:name="d19504e174"/>
      <w:bookmarkEnd w:id="16"/>
      <w:bookmarkEnd w:id="17"/>
      <w:r w:rsidR="001815AD" w:rsidRPr="00E3232D">
        <w:rPr>
          <w:rFonts w:ascii="Book Antiqua" w:hAnsi="Book Antiqua"/>
          <w:lang w:val="en-GB"/>
        </w:rPr>
        <w:fldChar w:fldCharType="begin"/>
      </w:r>
      <w:r w:rsidRPr="00E3232D">
        <w:rPr>
          <w:rFonts w:ascii="Book Antiqua" w:hAnsi="Book Antiqua"/>
          <w:lang w:val="en-GB"/>
        </w:rPr>
        <w:instrText xml:space="preserve"> ADDIN EN.CITE &lt;EndNote&gt;&lt;Cite&gt;&lt;Author&gt;Hogan&lt;/Author&gt;&lt;Year&gt;2012&lt;/Year&gt;&lt;RecNum&gt;81&lt;/RecNum&gt;&lt;record&gt;&lt;rec-number&gt;81&lt;/rec-number&gt;&lt;foreign-keys&gt;&lt;key app="EN" db-id="05wpze2fk5fresed2vkpw0zu20z0d5wwpfar"&gt;81&lt;/key&gt;&lt;/foreign-keys&gt;&lt;ref-type name="Journal Article"&gt;17&lt;/ref-type&gt;&lt;contributors&gt;&lt;authors&gt;&lt;author&gt;Hogan, D. R.&lt;/author&gt;&lt;author&gt;Salomon, J. A.&lt;/author&gt;&lt;author&gt;Canning, D.&lt;/author&gt;&lt;author&gt;Hammitt, J. K.&lt;/author&gt;&lt;author&gt;Zaslavsky, A. M.&lt;/author&gt;&lt;author&gt;Barnighausen, T.&lt;/author&gt;&lt;/authors&gt;&lt;/contributors&gt;&lt;auth-address&gt;Harvard School of Public Health, Department of Global Health and Population, 665 Huntington Ave, Building 1, Boston, MA 02115, USA. dhogan@hsph.harvard.edu&lt;/auth-address&gt;&lt;titles&gt;&lt;title&gt;National HIV prevalence estimates for sub-Saharan Africa: controlling selection bias with Heckman-type selection models&lt;/title&gt;&lt;secondary-title&gt;Sex Transm Infect&lt;/secondary-title&gt;&lt;/titles&gt;&lt;periodical&gt;&lt;full-title&gt;Sex Transm Infect&lt;/full-title&gt;&lt;/periodical&gt;&lt;pages&gt;i17-23&lt;/pages&gt;&lt;volume&gt;88 Suppl 2&lt;/volume&gt;&lt;edition&gt;2012/11/28&lt;/edition&gt;&lt;keywords&gt;&lt;keyword&gt;Adolescent&lt;/keyword&gt;&lt;keyword&gt;Adult&lt;/keyword&gt;&lt;keyword&gt;Africa South of the Sahara/epidemiology&lt;/keyword&gt;&lt;keyword&gt;*Epidemiologic Methods&lt;/keyword&gt;&lt;keyword&gt;Female&lt;/keyword&gt;&lt;keyword&gt;HIV Infections/*epidemiology&lt;/keyword&gt;&lt;keyword&gt;Humans&lt;/keyword&gt;&lt;keyword&gt;Male&lt;/keyword&gt;&lt;keyword&gt;Middle Aged&lt;/keyword&gt;&lt;keyword&gt;Prevalence&lt;/keyword&gt;&lt;keyword&gt;*Selection Bias&lt;/keyword&gt;&lt;keyword&gt;Young Adult&lt;/keyword&gt;&lt;/keywords&gt;&lt;dates&gt;&lt;year&gt;2012&lt;/year&gt;&lt;pub-dates&gt;&lt;date&gt;Dec&lt;/date&gt;&lt;/pub-dates&gt;&lt;/dates&gt;&lt;isbn&gt;1472-3263 (Electronic)&amp;#xD;1368-4973 (Linking)&lt;/isbn&gt;&lt;accession-num&gt;23172342&lt;/accession-num&gt;&lt;urls&gt;&lt;related-urls&gt;&lt;url&gt;http://www.ncbi.nlm.nih.gov/entrez/query.fcgi?cmd=Retrieve&amp;amp;db=PubMed&amp;amp;dopt=Citation&amp;amp;list_uids=23172342&lt;/url&gt;&lt;/related-urls&gt;&lt;/urls&gt;&lt;electronic-resource-num&gt;sextrans-2012-050636 [pii]&amp;#xD;10.1136/sextrans-2012-050636&lt;/electronic-resource-num&gt;&lt;language&gt;eng&lt;/language&gt;&lt;/record&gt;&lt;/Cite&gt;&lt;/EndNote&gt;</w:instrText>
      </w:r>
      <w:r w:rsidR="001815AD" w:rsidRPr="00E3232D">
        <w:rPr>
          <w:rFonts w:ascii="Book Antiqua" w:hAnsi="Book Antiqua"/>
          <w:lang w:val="en-GB"/>
        </w:rPr>
        <w:fldChar w:fldCharType="separate"/>
      </w:r>
      <w:r w:rsidRPr="00E3232D">
        <w:rPr>
          <w:rFonts w:ascii="Book Antiqua" w:hAnsi="Book Antiqua"/>
          <w:lang w:val="en-GB"/>
        </w:rPr>
        <w:t>(Hogan  et al., 2012)</w:t>
      </w:r>
      <w:r w:rsidR="001815AD" w:rsidRPr="00E3232D">
        <w:rPr>
          <w:rFonts w:ascii="Book Antiqua" w:hAnsi="Book Antiqua"/>
          <w:lang w:val="en-GB"/>
        </w:rPr>
        <w:fldChar w:fldCharType="end"/>
      </w:r>
      <w:r w:rsidRPr="00E3232D">
        <w:rPr>
          <w:rFonts w:ascii="Book Antiqua" w:hAnsi="Book Antiqua"/>
        </w:rPr>
        <w:t>.</w:t>
      </w:r>
    </w:p>
    <w:p w14:paraId="33FB0E28" w14:textId="77777777" w:rsidR="001D1BD3" w:rsidRDefault="001D1BD3" w:rsidP="001B1B96">
      <w:pPr>
        <w:spacing w:after="0"/>
        <w:jc w:val="both"/>
        <w:rPr>
          <w:rFonts w:ascii="Book Antiqua" w:hAnsi="Book Antiqua"/>
        </w:rPr>
      </w:pPr>
      <w:r w:rsidRPr="00E3232D">
        <w:rPr>
          <w:rFonts w:ascii="Book Antiqua" w:hAnsi="Book Antiqua"/>
        </w:rPr>
        <w:t xml:space="preserve">Sub –Saharan Africa is by far the most affected region with the highest HIV prevalence rates occurring in the eastern and southern parts of the continent </w:t>
      </w:r>
      <w:r w:rsidR="001815AD" w:rsidRPr="00E3232D">
        <w:rPr>
          <w:rFonts w:ascii="Book Antiqua" w:hAnsi="Book Antiqua"/>
        </w:rPr>
        <w:fldChar w:fldCharType="begin"/>
      </w:r>
      <w:r w:rsidRPr="00E3232D">
        <w:rPr>
          <w:rFonts w:ascii="Book Antiqua" w:hAnsi="Book Antiqua"/>
        </w:rPr>
        <w:instrText xml:space="preserve"> ADDIN EN.CITE &lt;EndNote&gt;&lt;Cite&gt;&lt;Author&gt;Hogan&lt;/Author&gt;&lt;Year&gt;2012&lt;/Year&gt;&lt;RecNum&gt;81&lt;/RecNum&gt;&lt;record&gt;&lt;rec-number&gt;81&lt;/rec-number&gt;&lt;foreign-keys&gt;&lt;key app="EN" db-id="05wpze2fk5fresed2vkpw0zu20z0d5wwpfar"&gt;81&lt;/key&gt;&lt;/foreign-keys&gt;&lt;ref-type name="Journal Article"&gt;17&lt;/ref-type&gt;&lt;contributors&gt;&lt;authors&gt;&lt;author&gt;Hogan, D. R.&lt;/author&gt;&lt;author&gt;Salomon, J. A.&lt;/author&gt;&lt;author&gt;Canning, D.&lt;/author&gt;&lt;author&gt;Hammitt, J. K.&lt;/author&gt;&lt;author&gt;Zaslavsky, A. M.&lt;/author&gt;&lt;author&gt;Barnighausen, T.&lt;/author&gt;&lt;/authors&gt;&lt;/contributors&gt;&lt;auth-address&gt;Harvard School of Public Health, Department of Global Health and Population, 665 Huntington Ave, Building 1, Boston, MA 02115, USA. dhogan@hsph.harvard.edu&lt;/auth-address&gt;&lt;titles&gt;&lt;title&gt;National HIV prevalence estimates for sub-Saharan Africa: controlling selection bias with Heckman-type selection models&lt;/title&gt;&lt;secondary-title&gt;Sex Transm Infect&lt;/secondary-title&gt;&lt;/titles&gt;&lt;periodical&gt;&lt;full-title&gt;Sex Transm Infect&lt;/full-title&gt;&lt;/periodical&gt;&lt;pages&gt;i17-23&lt;/pages&gt;&lt;volume&gt;88 Suppl 2&lt;/volume&gt;&lt;edition&gt;2012/11/28&lt;/edition&gt;&lt;keywords&gt;&lt;keyword&gt;Adolescent&lt;/keyword&gt;&lt;keyword&gt;Adult&lt;/keyword&gt;&lt;keyword&gt;Africa South of the Sahara/epidemiology&lt;/keyword&gt;&lt;keyword&gt;*Epidemiologic Methods&lt;/keyword&gt;&lt;keyword&gt;Female&lt;/keyword&gt;&lt;keyword&gt;HIV Infections/*epidemiology&lt;/keyword&gt;&lt;keyword&gt;Humans&lt;/keyword&gt;&lt;keyword&gt;Male&lt;/keyword&gt;&lt;keyword&gt;Middle Aged&lt;/keyword&gt;&lt;keyword&gt;Prevalence&lt;/keyword&gt;&lt;keyword&gt;*Selection Bias&lt;/keyword&gt;&lt;keyword&gt;Young Adult&lt;/keyword&gt;&lt;/keywords&gt;&lt;dates&gt;&lt;year&gt;2012&lt;/year&gt;&lt;pub-dates&gt;&lt;date&gt;Dec&lt;/date&gt;&lt;/pub-dates&gt;&lt;/dates&gt;&lt;isbn&gt;1472-3263 (Electronic)&amp;#xD;1368-4973 (Linking)&lt;/isbn&gt;&lt;accession-num&gt;23172342&lt;/accession-num&gt;&lt;urls&gt;&lt;related-urls&gt;&lt;url&gt;http://www.ncbi.nlm.nih.gov/entrez/query.fcgi?cmd=Retrieve&amp;amp;db=PubMed&amp;amp;dopt=Citation&amp;amp;list_uids=23172342&lt;/url&gt;&lt;/related-urls&gt;&lt;/urls&gt;&lt;electronic-resource-num&gt;sextrans-2012-050636 [pii]&amp;#xD;10.1136/sextrans-2012-050636&lt;/electronic-resource-num&gt;&lt;language&gt;eng&lt;/language&gt;&lt;/record&gt;&lt;/Cite&gt;&lt;/EndNote&gt;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(Hogan et al., 2012)</w:t>
      </w:r>
      <w:r w:rsidR="001815AD" w:rsidRPr="00E3232D">
        <w:rPr>
          <w:rFonts w:ascii="Book Antiqua" w:hAnsi="Book Antiqua"/>
        </w:rPr>
        <w:fldChar w:fldCharType="end"/>
      </w:r>
      <w:r w:rsidRPr="00E3232D">
        <w:rPr>
          <w:rFonts w:ascii="Book Antiqua" w:hAnsi="Book Antiqua"/>
        </w:rPr>
        <w:t xml:space="preserve">. In major cities of South, East and Central Africa, AIDS patients make up at least 50% of hospitalized patients </w:t>
      </w:r>
      <w:r w:rsidR="001815AD" w:rsidRPr="00E3232D">
        <w:rPr>
          <w:rFonts w:ascii="Book Antiqua" w:hAnsi="Book Antiqua"/>
        </w:rPr>
        <w:fldChar w:fldCharType="begin">
          <w:fldData xml:space="preserve">PEVuZE5vdGU+PENpdGU+PEF1dGhvcj5Mb25naW5pPC9BdXRob3I+PFllYXI+MTk5NDwvWWVhcj48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PEVuZE5vdGU+PENpdGU+PEF1dGhvcj5Mb25naW5pPC9BdXRob3I+PFllYXI+MTk5NDwvWWVhcj48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(Dorrington and Moultrie, 2008; Longini, 1994;  Udjo, 2008)</w:t>
      </w:r>
      <w:r w:rsidR="001815AD" w:rsidRPr="00E3232D">
        <w:rPr>
          <w:rFonts w:ascii="Book Antiqua" w:hAnsi="Book Antiqua"/>
        </w:rPr>
        <w:fldChar w:fldCharType="end"/>
      </w:r>
      <w:r w:rsidRPr="00E3232D">
        <w:rPr>
          <w:rFonts w:ascii="Book Antiqua" w:hAnsi="Book Antiqua"/>
        </w:rPr>
        <w:t xml:space="preserve">. </w:t>
      </w:r>
    </w:p>
    <w:p w14:paraId="415AD532" w14:textId="77777777" w:rsidR="002B3482" w:rsidRPr="00E3232D" w:rsidRDefault="002B3482" w:rsidP="001B1B96">
      <w:pPr>
        <w:spacing w:after="0"/>
        <w:jc w:val="both"/>
        <w:rPr>
          <w:rFonts w:ascii="Book Antiqua" w:hAnsi="Book Antiqua"/>
        </w:rPr>
      </w:pPr>
    </w:p>
    <w:p w14:paraId="54B1AFA3" w14:textId="77777777" w:rsidR="001D1BD3" w:rsidRPr="00E3232D" w:rsidRDefault="001D1BD3" w:rsidP="00196385">
      <w:pPr>
        <w:pStyle w:val="ListParagraph"/>
        <w:numPr>
          <w:ilvl w:val="1"/>
          <w:numId w:val="51"/>
        </w:numPr>
        <w:ind w:hanging="720"/>
        <w:jc w:val="both"/>
        <w:rPr>
          <w:rFonts w:ascii="Book Antiqua" w:hAnsi="Book Antiqua"/>
        </w:rPr>
      </w:pPr>
      <w:r w:rsidRPr="00E3232D">
        <w:rPr>
          <w:rFonts w:ascii="Book Antiqua" w:hAnsi="Book Antiqua"/>
          <w:b/>
        </w:rPr>
        <w:t xml:space="preserve"> Origin of HIV/AIDS</w:t>
      </w:r>
    </w:p>
    <w:p w14:paraId="3FABDD34" w14:textId="77777777" w:rsidR="001D1BD3" w:rsidRPr="00E3232D" w:rsidRDefault="001D1BD3" w:rsidP="00311945">
      <w:pPr>
        <w:jc w:val="both"/>
        <w:rPr>
          <w:rFonts w:ascii="Book Antiqua" w:hAnsi="Book Antiqua"/>
        </w:rPr>
      </w:pPr>
      <w:r w:rsidRPr="00E3232D">
        <w:rPr>
          <w:rFonts w:ascii="Book Antiqua" w:hAnsi="Book Antiqua"/>
        </w:rPr>
        <w:t xml:space="preserve">Two closely related viruses  namely HIV-1 and HIV-2 have been identified as causing AIDS in man </w:t>
      </w:r>
      <w:r w:rsidR="001815AD" w:rsidRPr="00E3232D">
        <w:rPr>
          <w:rFonts w:ascii="Book Antiqua" w:hAnsi="Book Antiqua"/>
        </w:rPr>
        <w:fldChar w:fldCharType="begin">
          <w:fldData xml:space="preserve">PEVuZE5vdGU+PENpdGU+PEF1dGhvcj5NYW5zc29uPC9BdXRob3I+PFllYXI+MjAwOTwvWWVhcj48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PEVuZE5vdGU+PENpdGU+PEF1dGhvcj5NYW5zc29uPC9BdXRob3I+PFllYXI+MjAwOTwvWWVhcj48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(Mansson et al., 2007; Mansson et al., 2009)</w:t>
      </w:r>
      <w:r w:rsidR="001815AD" w:rsidRPr="00E3232D">
        <w:rPr>
          <w:rFonts w:ascii="Book Antiqua" w:hAnsi="Book Antiqua"/>
        </w:rPr>
        <w:fldChar w:fldCharType="end"/>
      </w:r>
      <w:r w:rsidRPr="00E3232D">
        <w:rPr>
          <w:rFonts w:ascii="Book Antiqua" w:hAnsi="Book Antiqua"/>
        </w:rPr>
        <w:t xml:space="preserve">. HIV-1 is predominant in Europe, Asia, Central, South and East Africa </w:t>
      </w:r>
      <w:r w:rsidR="001815AD" w:rsidRPr="00E3232D">
        <w:rPr>
          <w:rFonts w:ascii="Book Antiqua" w:hAnsi="Book Antiqua"/>
        </w:rPr>
        <w:fldChar w:fldCharType="begin">
          <w:fldData xml:space="preserve">PEVuZE5vdGU+PENpdGU+PEF1dGhvcj5DYXJvbjwvQXV0aG9yPjxZZWFyPjIwMTI8L1llYXI+PFJl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=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PEVuZE5vdGU+PENpdGU+PEF1dGhvcj5DYXJvbjwvQXV0aG9yPjxZZWFyPjIwMTI8L1llYXI+PFJl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=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(Burrell et al., 2010; Caron  et al., 2012)</w:t>
      </w:r>
      <w:r w:rsidR="001815AD" w:rsidRPr="00E3232D">
        <w:rPr>
          <w:rFonts w:ascii="Book Antiqua" w:hAnsi="Book Antiqua"/>
        </w:rPr>
        <w:fldChar w:fldCharType="end"/>
      </w:r>
      <w:r w:rsidRPr="00E3232D">
        <w:rPr>
          <w:rFonts w:ascii="Book Antiqua" w:hAnsi="Book Antiqua"/>
        </w:rPr>
        <w:t xml:space="preserve">. HIV-2 is the principal agent of AIDS in West Africa and to a limited extent in Angola and Mozambique and appears to be less  infectious than HIV-1 </w:t>
      </w:r>
      <w:r w:rsidR="001815AD" w:rsidRPr="00E3232D">
        <w:rPr>
          <w:rFonts w:ascii="Book Antiqua" w:hAnsi="Book Antiqua"/>
        </w:rPr>
        <w:fldChar w:fldCharType="begin">
          <w:fldData xml:space="preserve">PEVuZE5vdGU+PENpdGU+PEF1dGhvcj5OZWVxdWF5ZTwvQXV0aG9yPjxZZWFyPjE5OTc8L1llYXI+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PEVuZE5vdGU+PENpdGU+PEF1dGhvcj5OZWVxdWF5ZTwvQXV0aG9yPjxZZWFyPjE5OTc8L1llYXI+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(Neequaye et al., 1997)</w:t>
      </w:r>
      <w:r w:rsidR="001815AD" w:rsidRPr="00E3232D">
        <w:rPr>
          <w:rFonts w:ascii="Book Antiqua" w:hAnsi="Book Antiqua"/>
        </w:rPr>
        <w:fldChar w:fldCharType="end"/>
      </w:r>
      <w:r w:rsidRPr="00E3232D">
        <w:rPr>
          <w:rFonts w:ascii="Book Antiqua" w:hAnsi="Book Antiqua"/>
        </w:rPr>
        <w:t xml:space="preserve">. </w:t>
      </w:r>
    </w:p>
    <w:p w14:paraId="3F51D754" w14:textId="77777777" w:rsidR="001D1BD3" w:rsidRPr="00E3232D" w:rsidRDefault="001D1BD3" w:rsidP="00311945">
      <w:pPr>
        <w:jc w:val="both"/>
        <w:rPr>
          <w:rFonts w:ascii="Book Antiqua" w:hAnsi="Book Antiqua"/>
        </w:rPr>
      </w:pPr>
      <w:r w:rsidRPr="00E3232D">
        <w:rPr>
          <w:rFonts w:ascii="Book Antiqua" w:hAnsi="Book Antiqua"/>
        </w:rPr>
        <w:t xml:space="preserve">All retroviruses contain an enzyme called reverse transcriptase which converts viral Ribonucleic acid (RNA) into  latent viral </w:t>
      </w:r>
      <w:r w:rsidRPr="00E3232D">
        <w:rPr>
          <w:rFonts w:ascii="Book Antiqua" w:hAnsi="Book Antiqua"/>
        </w:rPr>
        <w:t xml:space="preserve">Deoxyribonucleic acid (DNA)which becomes integrated into the host cell DNA </w:t>
      </w:r>
      <w:r w:rsidR="001815AD" w:rsidRPr="00E3232D">
        <w:rPr>
          <w:rFonts w:ascii="Book Antiqua" w:hAnsi="Book Antiqua"/>
        </w:rPr>
        <w:fldChar w:fldCharType="begin"/>
      </w:r>
      <w:r w:rsidRPr="00E3232D">
        <w:rPr>
          <w:rFonts w:ascii="Book Antiqua" w:hAnsi="Book Antiqua"/>
        </w:rPr>
        <w:instrText xml:space="preserve"> ADDIN EN.CITE &lt;EndNote&gt;&lt;Cite&gt;&lt;Author&gt;Saravanan&lt;/Author&gt;&lt;Year&gt;2011&lt;/Year&gt;&lt;RecNum&gt;34&lt;/RecNum&gt;&lt;record&gt;&lt;rec-number&gt;34&lt;/rec-number&gt;&lt;foreign-keys&gt;&lt;key app="EN" db-id="05wpze2fk5fresed2vkpw0zu20z0d5wwpfar"&gt;34&lt;/key&gt;&lt;/foreign-keys&gt;&lt;ref-type name="Journal Article"&gt;17&lt;/ref-type&gt;&lt;contributors&gt;&lt;authors&gt;&lt;author&gt;Saravanan, S.&lt;/author&gt;&lt;author&gt;Madhavan, V.&lt;/author&gt;&lt;author&gt;Balakrishnan, P.&lt;/author&gt;&lt;author&gt;Solomon, S. S.&lt;/author&gt;&lt;author&gt;Kumarasamy, N.&lt;/author&gt;&lt;author&gt;Mayer, K. H.&lt;/author&gt;&lt;author&gt;Waldrop, G.&lt;/author&gt;&lt;author&gt;Solomon, S.&lt;/author&gt;&lt;author&gt;Smith, D. M.&lt;/author&gt;&lt;/authors&gt;&lt;/contributors&gt;&lt;titles&gt;&lt;title&gt;HIV-1 reverse transcriptase nucleotide substitutions in subtype C-infected, drug-naive, and treatment-experienced patients in South India&lt;/title&gt;&lt;secondary-title&gt;J Acquir Immune Defic Syndr&lt;/secondary-title&gt;&lt;/titles&gt;&lt;periodical&gt;&lt;full-title&gt;J Acquir Immune Defic Syndr&lt;/full-title&gt;&lt;/periodical&gt;&lt;pages&gt;e94-5&lt;/pages&gt;&lt;volume&gt;58&lt;/volume&gt;&lt;number&gt;3&lt;/number&gt;&lt;edition&gt;2011/08/31&lt;/edition&gt;&lt;keywords&gt;&lt;keyword&gt;Amino Acid Substitution&lt;/keyword&gt;&lt;keyword&gt;Drug Resistance, Viral&lt;/keyword&gt;&lt;keyword&gt;Genotype&lt;/keyword&gt;&lt;keyword&gt;HIV Infections/*virology&lt;/keyword&gt;&lt;keyword&gt;HIV Reverse Transcriptase/*genetics&lt;/keyword&gt;&lt;keyword&gt;HIV-1/*genetics/isolation &amp;amp; purification&lt;/keyword&gt;&lt;keyword&gt;Humans&lt;/keyword&gt;&lt;keyword&gt;India&lt;/keyword&gt;&lt;keyword&gt;*Point Mutation&lt;/keyword&gt;&lt;/keywords&gt;&lt;dates&gt;&lt;year&gt;2011&lt;/year&gt;&lt;pub-dates&gt;&lt;date&gt;Nov 1&lt;/date&gt;&lt;/pub-dates&gt;&lt;/dates&gt;&lt;isbn&gt;1944-7884 (Electronic)&amp;#xD;1525-4135 (Linking)&lt;/isbn&gt;&lt;accession-num&gt;21876445&lt;/accession-num&gt;&lt;urls&gt;&lt;related-urls&gt;&lt;url&gt;http://www.ncbi.nlm.nih.gov/entrez/query.fcgi?cmd=Retrieve&amp;amp;db=PubMed&amp;amp;dopt=Citation&amp;amp;list_uids=21876445&lt;/url&gt;&lt;/related-urls&gt;&lt;/urls&gt;&lt;electronic-resource-num&gt;10.1097/QAI.0b013e318232a13c&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(Saravanan et al., 2011)</w:t>
      </w:r>
      <w:r w:rsidR="001815AD" w:rsidRPr="00E3232D">
        <w:rPr>
          <w:rFonts w:ascii="Book Antiqua" w:hAnsi="Book Antiqua"/>
        </w:rPr>
        <w:fldChar w:fldCharType="end"/>
      </w:r>
      <w:r w:rsidRPr="00E3232D">
        <w:rPr>
          <w:rFonts w:ascii="Book Antiqua" w:hAnsi="Book Antiqua"/>
        </w:rPr>
        <w:t xml:space="preserve">. </w:t>
      </w:r>
    </w:p>
    <w:p w14:paraId="41BE7746" w14:textId="77777777" w:rsidR="001D1BD3" w:rsidRPr="00E3232D" w:rsidRDefault="001D1BD3" w:rsidP="00311945">
      <w:pPr>
        <w:jc w:val="both"/>
        <w:rPr>
          <w:rFonts w:ascii="Book Antiqua" w:hAnsi="Book Antiqua"/>
        </w:rPr>
      </w:pPr>
      <w:r w:rsidRPr="00E3232D">
        <w:rPr>
          <w:rFonts w:ascii="Book Antiqua" w:hAnsi="Book Antiqua"/>
        </w:rPr>
        <w:t xml:space="preserve">HIV which causes AIDS and other disorders may be transmitted from an infected to an uninfected person through blood, semen, breast milk, saliva and vaginal fluid </w:t>
      </w:r>
      <w:r w:rsidR="001815AD" w:rsidRPr="00E3232D">
        <w:rPr>
          <w:rFonts w:ascii="Book Antiqua" w:hAnsi="Book Antiqua"/>
        </w:rPr>
        <w:fldChar w:fldCharType="begin">
          <w:fldData xml:space="preserve">PEVuZE5vdGU+PENpdGU+PEF1dGhvcj5DaG91dGV0PC9BdXRob3I+PFllYXI+MTk5NDwvWWVhcj48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PEVuZE5vdGU+PENpdGU+PEF1dGhvcj5DaG91dGV0PC9BdXRob3I+PFllYXI+MTk5NDwvWWVhcj48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(Choutet and Besnier, 1994; Smith, 2002)</w:t>
      </w:r>
      <w:r w:rsidR="001815AD" w:rsidRPr="00E3232D">
        <w:rPr>
          <w:rFonts w:ascii="Book Antiqua" w:hAnsi="Book Antiqua"/>
        </w:rPr>
        <w:fldChar w:fldCharType="end"/>
      </w:r>
      <w:r w:rsidRPr="00E3232D">
        <w:rPr>
          <w:rFonts w:ascii="Book Antiqua" w:hAnsi="Book Antiqua"/>
        </w:rPr>
        <w:t xml:space="preserve">. There are several case reports which indicate the likely transmission of HIV through oral sex </w:t>
      </w:r>
      <w:r w:rsidR="001815AD" w:rsidRPr="00E3232D">
        <w:rPr>
          <w:rFonts w:ascii="Book Antiqua" w:hAnsi="Book Antiqua"/>
        </w:rPr>
        <w:fldChar w:fldCharType="begin">
          <w:fldData xml:space="preserve">PEVuZE5vdGU+PENpdGU+PEF1dGhvcj5CZXJyZXk8L0F1dGhvcj48WWVhcj4xOTk3PC9ZZWFyPjxS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PEVuZE5vdGU+PENpdGU+PEF1dGhvcj5CZXJyZXk8L0F1dGhvcj48WWVhcj4xOTk3PC9ZZWFyPjxS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(Berrey and Shea, 1997; Gottlieb, 2000; Hawkins, 2001)</w:t>
      </w:r>
      <w:r w:rsidR="001815AD" w:rsidRPr="00E3232D">
        <w:rPr>
          <w:rFonts w:ascii="Book Antiqua" w:hAnsi="Book Antiqua"/>
        </w:rPr>
        <w:fldChar w:fldCharType="end"/>
      </w:r>
      <w:r w:rsidRPr="00E3232D">
        <w:rPr>
          <w:rFonts w:ascii="Book Antiqua" w:hAnsi="Book Antiqua"/>
        </w:rPr>
        <w:t xml:space="preserve">, intravenous drug use </w:t>
      </w:r>
      <w:r w:rsidR="001815AD" w:rsidRPr="00E3232D">
        <w:rPr>
          <w:rFonts w:ascii="Book Antiqua" w:hAnsi="Book Antiqua"/>
        </w:rPr>
        <w:fldChar w:fldCharType="begin">
          <w:fldData xml:space="preserve">PEVuZE5vdGU+PENpdGU+PEF1dGhvcj5SdWFuPC9BdXRob3I+PFllYXI+MjAwNDwvWWVhcj48UmVj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PEVuZE5vdGU+PENpdGU+PEF1dGhvcj5SdWFuPC9BdXRob3I+PFllYXI+MjAwNDwvWWVhcj48UmVj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(Ruan et al., 2004)</w:t>
      </w:r>
      <w:r w:rsidR="001815AD" w:rsidRPr="00E3232D">
        <w:rPr>
          <w:rFonts w:ascii="Book Antiqua" w:hAnsi="Book Antiqua"/>
        </w:rPr>
        <w:fldChar w:fldCharType="end"/>
      </w:r>
      <w:r w:rsidRPr="00E3232D">
        <w:rPr>
          <w:rFonts w:ascii="Book Antiqua" w:hAnsi="Book Antiqua"/>
        </w:rPr>
        <w:t xml:space="preserve">, mother-to-child transmission </w:t>
      </w:r>
      <w:r w:rsidR="001815AD" w:rsidRPr="00E3232D">
        <w:rPr>
          <w:rFonts w:ascii="Book Antiqua" w:hAnsi="Book Antiqua"/>
        </w:rPr>
        <w:fldChar w:fldCharType="begin"/>
      </w:r>
      <w:r w:rsidRPr="00E3232D">
        <w:rPr>
          <w:rFonts w:ascii="Book Antiqua" w:hAnsi="Book Antiqua"/>
        </w:rPr>
        <w:instrText xml:space="preserve"> ADDIN EN.CITE &lt;EndNote&gt;&lt;Cite&gt;&lt;Author&gt;Santmyire&lt;/Author&gt;&lt;Year&gt;2001&lt;/Year&gt;&lt;RecNum&gt;40&lt;/RecNum&gt;&lt;record&gt;&lt;rec-number&gt;40&lt;/rec-number&gt;&lt;foreign-keys&gt;&lt;key app="EN" db-id="05wpze2fk5fresed2vkpw0zu20z0d5wwpfar"&gt;40&lt;/key&gt;&lt;/foreign-keys&gt;&lt;ref-type name="Journal Article"&gt;17&lt;/ref-type&gt;&lt;contributors&gt;&lt;authors&gt;&lt;author&gt;Santmyire, B. R.&lt;/author&gt;&lt;/authors&gt;&lt;/contributors&gt;&lt;auth-address&gt;West Virginia University School of Medicine, Morgantown, USA. santimyi@hotmail.com&lt;/auth-address&gt;&lt;titles&gt;&lt;title&gt;Vertical transmission of HIV from mother to child in sub-Saharan Africa: modes of transmission and methods for prevention&lt;/title&gt;&lt;secondary-title&gt;Obstet Gynecol Surv&lt;/secondary-title&gt;&lt;/titles&gt;&lt;periodical&gt;&lt;full-title&gt;Obstet Gynecol Surv&lt;/full-title&gt;&lt;/periodical&gt;&lt;pages&gt;306-12&lt;/pages&gt;&lt;volume&gt;56&lt;/volume&gt;&lt;number&gt;5&lt;/number&gt;&lt;edition&gt;2001/05/03&lt;/edition&gt;&lt;keywords&gt;&lt;keyword&gt;Adult&lt;/keyword&gt;&lt;keyword&gt;Africa&lt;/keyword&gt;&lt;keyword&gt;Anti-HIV Agents/*therapeutic use&lt;/keyword&gt;&lt;keyword&gt;Clinical Trials as Topic&lt;/keyword&gt;&lt;keyword&gt;Delivery, Obstetric&lt;/keyword&gt;&lt;keyword&gt;Ethics, Medical&lt;/keyword&gt;&lt;keyword&gt;Female&lt;/keyword&gt;&lt;keyword&gt;HIV Infections/*transmission&lt;/keyword&gt;&lt;keyword&gt;Humans&lt;/keyword&gt;&lt;keyword&gt;Infant, Newborn&lt;/keyword&gt;&lt;keyword&gt;Infectious Disease Transmission, Vertical/*prevention &amp;amp; control&lt;/keyword&gt;&lt;keyword&gt;Labor, Obstetric&lt;/keyword&gt;&lt;keyword&gt;Politics&lt;/keyword&gt;&lt;keyword&gt;Pregnancy&lt;/keyword&gt;&lt;keyword&gt;Public Health&lt;/keyword&gt;&lt;keyword&gt;Social Conditions&lt;/keyword&gt;&lt;/keywords&gt;&lt;dates&gt;&lt;year&gt;2001&lt;/year&gt;&lt;pub-dates&gt;&lt;date&gt;May&lt;/date&gt;&lt;/pub-dates&gt;&lt;/dates&gt;&lt;isbn&gt;0029-7828 (Print)&amp;#xD;0029-7828 (Linking)&lt;/isbn&gt;&lt;accession-num&gt;11333377&lt;/accession-num&gt;&lt;urls&gt;&lt;related-urls&gt;&lt;url&gt;http://www.ncbi.nlm.nih.gov/entrez/query.fcgi?cmd=Retrieve&amp;amp;db=PubMed&amp;amp;dopt=Citation&amp;amp;list_uids=11333377&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(Santmyire, 2001)</w:t>
      </w:r>
      <w:r w:rsidR="001815AD" w:rsidRPr="00E3232D">
        <w:rPr>
          <w:rFonts w:ascii="Book Antiqua" w:hAnsi="Book Antiqua"/>
        </w:rPr>
        <w:fldChar w:fldCharType="end"/>
      </w:r>
      <w:r w:rsidR="001815AD" w:rsidRPr="00E3232D">
        <w:rPr>
          <w:rFonts w:ascii="Book Antiqua" w:hAnsi="Book Antiqua"/>
        </w:rPr>
        <w:fldChar w:fldCharType="begin">
          <w:fldData xml:space="preserve">PEVuZE5vdGU+PENpdGU+PEF1dGhvcj5QYWR1YTwvQXV0aG9yPjxZZWFyPjIwMDk8L1llYXI+PFJl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PEVuZE5vdGU+PENpdGU+PEF1dGhvcj5QYWR1YTwvQXV0aG9yPjxZZWFyPjIwMDk8L1llYXI+PFJl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(Padua et al., 2009)</w:t>
      </w:r>
      <w:r w:rsidR="001815AD" w:rsidRPr="00E3232D">
        <w:rPr>
          <w:rFonts w:ascii="Book Antiqua" w:hAnsi="Book Antiqua"/>
        </w:rPr>
        <w:fldChar w:fldCharType="end"/>
      </w:r>
      <w:r w:rsidRPr="00E3232D">
        <w:rPr>
          <w:rFonts w:ascii="Book Antiqua" w:hAnsi="Book Antiqua"/>
        </w:rPr>
        <w:t xml:space="preserve"> blood transfusion </w:t>
      </w:r>
      <w:r w:rsidR="001815AD" w:rsidRPr="00E3232D">
        <w:rPr>
          <w:rFonts w:ascii="Book Antiqua" w:hAnsi="Book Antiqua"/>
        </w:rPr>
        <w:fldChar w:fldCharType="begin">
          <w:fldData xml:space="preserve">PEVuZE5vdGU+PENpdGU+PEF1dGhvcj5MYWNrcml0ejwvQXV0aG9yPjxZZWFyPjE5OTg8L1llYXI+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PEVuZE5vdGU+PENpdGU+PEF1dGhvcj5MYWNrcml0ejwvQXV0aG9yPjxZZWFyPjE5OTg8L1llYXI+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(Lackritz, 1998; Raufu, 2000)</w:t>
      </w:r>
      <w:r w:rsidR="001815AD" w:rsidRPr="00E3232D">
        <w:rPr>
          <w:rFonts w:ascii="Book Antiqua" w:hAnsi="Book Antiqua"/>
        </w:rPr>
        <w:fldChar w:fldCharType="end"/>
      </w:r>
      <w:r w:rsidRPr="00E3232D">
        <w:rPr>
          <w:rFonts w:ascii="Book Antiqua" w:hAnsi="Book Antiqua"/>
        </w:rPr>
        <w:t xml:space="preserve"> needle-stick injury </w:t>
      </w:r>
      <w:r w:rsidR="001815AD" w:rsidRPr="00E3232D">
        <w:rPr>
          <w:rFonts w:ascii="Book Antiqua" w:hAnsi="Book Antiqua"/>
        </w:rPr>
        <w:fldChar w:fldCharType="begin"/>
      </w:r>
      <w:r w:rsidRPr="00E3232D">
        <w:rPr>
          <w:rFonts w:ascii="Book Antiqua" w:hAnsi="Book Antiqua"/>
        </w:rPr>
        <w:instrText xml:space="preserve"> ADDIN EN.CITE &lt;EndNote&gt;&lt;Cite&gt;&lt;Author&gt;Feldt&lt;/Author&gt;&lt;Year&gt;2004&lt;/Year&gt;&lt;RecNum&gt;5&lt;/RecNum&gt;&lt;record&gt;&lt;rec-number&gt;5&lt;/rec-number&gt;&lt;foreign-keys&gt;&lt;key app="EN" db-id="05wpze2fk5fresed2vkpw0zu20z0d5wwpfar"&gt;5&lt;/key&gt;&lt;/foreign-keys&gt;&lt;ref-type name="Journal Article"&gt;17&lt;/ref-type&gt;&lt;contributors&gt;&lt;authors&gt;&lt;author&gt;Feldt, T.&lt;/author&gt;&lt;author&gt;Oette, M.&lt;/author&gt;&lt;author&gt;Goebels, K.&lt;/author&gt;&lt;author&gt;Wenning, M.&lt;/author&gt;&lt;author&gt;Kroidl, A.&lt;/author&gt;&lt;author&gt;Haussinger, D.&lt;/author&gt;&lt;/authors&gt;&lt;/contributors&gt;&lt;auth-address&gt;Department of Gastroenterology, Hepatology and Infectiology, Heinrich Heine University, Dusseldorf, Germany. Feldt@med.uni-duesseldorf.de&lt;/auth-address&gt;&lt;titles&gt;&lt;title&gt;Haemodynamic crisis and reversible multiorgan failure caused by HIV post-exposure prophylaxis after needle-stick injury in a health care worker&lt;/title&gt;&lt;secondary-title&gt;HIV Med&lt;/secondary-title&gt;&lt;/titles&gt;&lt;periodical&gt;&lt;full-title&gt;HIV Med&lt;/full-title&gt;&lt;/periodical&gt;&lt;pages&gt;125-7&lt;/pages&gt;&lt;volume&gt;5&lt;/volume&gt;&lt;number&gt;2&lt;/number&gt;&lt;edition&gt;2004/03/12&lt;/edition&gt;&lt;keywords&gt;&lt;keyword&gt;Antiretroviral Therapy, Highly Active/*adverse effects&lt;/keyword&gt;&lt;keyword&gt;Diabetes Mellitus, Type 2/complications/*drug therapy&lt;/keyword&gt;&lt;keyword&gt;Drug Interactions&lt;/keyword&gt;&lt;keyword&gt;Female&lt;/keyword&gt;&lt;keyword&gt;HIV Infections/prevention &amp;amp; control&lt;/keyword&gt;&lt;keyword&gt;Humans&lt;/keyword&gt;&lt;keyword&gt;*Infectious Disease Transmission, Patient-to-Professional&lt;/keyword&gt;&lt;keyword&gt;Middle Aged&lt;/keyword&gt;&lt;keyword&gt;Multiple Organ Failure/complications&lt;/keyword&gt;&lt;keyword&gt;Needlestick Injuries/*complications&lt;/keyword&gt;&lt;keyword&gt;Nurses&lt;/keyword&gt;&lt;keyword&gt;Occupational Exposure/*adverse effects&lt;/keyword&gt;&lt;/keywords&gt;&lt;dates&gt;&lt;year&gt;2004&lt;/year&gt;&lt;pub-dates&gt;&lt;date&gt;Mar&lt;/date&gt;&lt;/pub-dates&gt;&lt;/dates&gt;&lt;isbn&gt;1464-2662 (Print)&amp;#xD;1464-2662 (Linking)&lt;/isbn&gt;&lt;accession-num&gt;15012653&lt;/accession-num&gt;&lt;urls&gt;&lt;related-urls&gt;&lt;url&gt;http://www.ncbi.nlm.nih.gov/entrez/query.fcgi?cmd=Retrieve&amp;amp;db=PubMed&amp;amp;dopt=Citation&amp;amp;list_uids=15012653&lt;/url&gt;&lt;/related-urls&gt;&lt;/urls&gt;&lt;electronic-resource-num&gt;189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(Feldt et al., 2004)</w:t>
      </w:r>
      <w:r w:rsidR="001815AD" w:rsidRPr="00E3232D">
        <w:rPr>
          <w:rFonts w:ascii="Book Antiqua" w:hAnsi="Book Antiqua"/>
        </w:rPr>
        <w:fldChar w:fldCharType="end"/>
      </w:r>
      <w:r w:rsidRPr="00E3232D">
        <w:rPr>
          <w:rFonts w:ascii="Book Antiqua" w:hAnsi="Book Antiqua"/>
        </w:rPr>
        <w:t xml:space="preserve"> and wound exudates </w:t>
      </w:r>
      <w:r w:rsidR="001815AD" w:rsidRPr="00E3232D">
        <w:rPr>
          <w:rFonts w:ascii="Book Antiqua" w:hAnsi="Book Antiqua"/>
        </w:rPr>
        <w:fldChar w:fldCharType="begin"/>
      </w:r>
      <w:r w:rsidRPr="00E3232D">
        <w:rPr>
          <w:rFonts w:ascii="Book Antiqua" w:hAnsi="Book Antiqua"/>
        </w:rPr>
        <w:instrText xml:space="preserve"> ADDIN EN.CITE &lt;EndNote&gt;&lt;Cite&gt;&lt;Author&gt;Gershon&lt;/Author&gt;&lt;Year&gt;1990&lt;/Year&gt;&lt;RecNum&gt;36&lt;/RecNum&gt;&lt;record&gt;&lt;rec-number&gt;36&lt;/rec-number&gt;&lt;foreign-keys&gt;&lt;key app="EN" db-id="05wpze2fk5fresed2vkpw0zu20z0d5wwpfar"&gt;36&lt;/key&gt;&lt;/foreign-keys&gt;&lt;ref-type name="Journal Article"&gt;17&lt;/ref-type&gt;&lt;contributors&gt;&lt;authors&gt;&lt;author&gt;Gershon, R. R.&lt;/author&gt;&lt;author&gt;Vlahov, D.&lt;/author&gt;&lt;author&gt;Nelson, K. E.&lt;/author&gt;&lt;/authors&gt;&lt;/contributors&gt;&lt;auth-address&gt;Department of Environmental Health Sciences, Johns Hopkins University School of Hygiene and Public Health, Baltimore, Maryland 21205.&lt;/auth-address&gt;&lt;titles&gt;&lt;title&gt;The risk of transmission of HIV-1 through non-percutaneous, non-sexual modes--a review&lt;/title&gt;&lt;secondary-title&gt;AIDS&lt;/secondary-title&gt;&lt;/titles&gt;&lt;periodical&gt;&lt;full-title&gt;AIDS&lt;/full-title&gt;&lt;/periodical&gt;&lt;pages&gt;645-50&lt;/pages&gt;&lt;volume&gt;4&lt;/volume&gt;&lt;number&gt;7&lt;/number&gt;&lt;edition&gt;1990/07/01&lt;/edition&gt;&lt;keywords&gt;&lt;keyword&gt;Epidemiologic Methods&lt;/keyword&gt;&lt;keyword&gt;Female&lt;/keyword&gt;&lt;keyword&gt;HIV Infections/epidemiology/*transmission&lt;/keyword&gt;&lt;keyword&gt;*Hiv-1&lt;/keyword&gt;&lt;keyword&gt;Humans&lt;/keyword&gt;&lt;keyword&gt;Male&lt;/keyword&gt;&lt;keyword&gt;Occupations&lt;/keyword&gt;&lt;keyword&gt;Risk Factors&lt;/keyword&gt;&lt;keyword&gt;Sexual Behavior&lt;/keyword&gt;&lt;keyword&gt;Skin&lt;/keyword&gt;&lt;/keywords&gt;&lt;dates&gt;&lt;year&gt;1990&lt;/year&gt;&lt;pub-dates&gt;&lt;date&gt;Jul&lt;/date&gt;&lt;/pub-dates&gt;&lt;/dates&gt;&lt;isbn&gt;0269-9370 (Print)&amp;#xD;0269-9370 (Linking)&lt;/isbn&gt;&lt;accession-num&gt;2204358&lt;/accession-num&gt;&lt;urls&gt;&lt;related-urls&gt;&lt;url&gt;http://www.ncbi.nlm.nih.gov/entrez/query.fcgi?cmd=Retrieve&amp;amp;db=PubMed&amp;amp;dopt=Citation&amp;amp;list_uids=2204358&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(Gershon et al., 1990)</w:t>
      </w:r>
      <w:r w:rsidR="001815AD" w:rsidRPr="00E3232D">
        <w:rPr>
          <w:rFonts w:ascii="Book Antiqua" w:hAnsi="Book Antiqua"/>
        </w:rPr>
        <w:fldChar w:fldCharType="end"/>
      </w:r>
      <w:r w:rsidRPr="00E3232D">
        <w:rPr>
          <w:rFonts w:ascii="Book Antiqua" w:hAnsi="Book Antiqua"/>
        </w:rPr>
        <w:t xml:space="preserve">. </w:t>
      </w:r>
    </w:p>
    <w:p w14:paraId="42F29664" w14:textId="77777777" w:rsidR="001D1BD3" w:rsidRPr="00E3232D" w:rsidRDefault="001D1BD3" w:rsidP="001B1B96">
      <w:pPr>
        <w:autoSpaceDE w:val="0"/>
        <w:autoSpaceDN w:val="0"/>
        <w:adjustRightInd w:val="0"/>
        <w:spacing w:after="0"/>
        <w:jc w:val="both"/>
        <w:rPr>
          <w:rFonts w:ascii="Book Antiqua" w:hAnsi="Book Antiqua"/>
        </w:rPr>
      </w:pPr>
      <w:r w:rsidRPr="00E3232D">
        <w:rPr>
          <w:rFonts w:ascii="Book Antiqua" w:hAnsi="Book Antiqua"/>
        </w:rPr>
        <w:t xml:space="preserve">Exposure to infected fluid increases the risk of contracting HIV infection which is dependent on the integrity of the exposed site, the type and volume of body fluid and viral load </w:t>
      </w:r>
      <w:r w:rsidR="001815AD" w:rsidRPr="00E3232D">
        <w:rPr>
          <w:rFonts w:ascii="Book Antiqua" w:hAnsi="Book Antiqua"/>
        </w:rPr>
        <w:fldChar w:fldCharType="begin"/>
      </w:r>
      <w:r w:rsidRPr="00E3232D">
        <w:rPr>
          <w:rFonts w:ascii="Book Antiqua" w:hAnsi="Book Antiqua"/>
        </w:rPr>
        <w:instrText xml:space="preserve"> ADDIN EN.CITE &lt;EndNote&gt;&lt;Cite&gt;&lt;Author&gt;Brewer&lt;/Author&gt;&lt;Year&gt;2006&lt;/Year&gt;&lt;RecNum&gt;581&lt;/RecNum&gt;&lt;record&gt;&lt;rec-number&gt;581&lt;/rec-number&gt;&lt;foreign-keys&gt;&lt;key app="EN" db-id="dt0sz05v6ftaspe9szqp0d5hz90vz5xdp92a"&gt;581&lt;/key&gt;&lt;/foreign-keys&gt;&lt;ref-type name="Journal Article"&gt;17&lt;/ref-type&gt;&lt;contributors&gt;&lt;authors&gt;&lt;author&gt;Brewer, D. D.&lt;/author&gt;&lt;author&gt;Potterat, J. J.&lt;/author&gt;&lt;author&gt;Brody, S.&lt;/author&gt;&lt;/authors&gt;&lt;/contributors&gt;&lt;titles&gt;&lt;title&gt;Research design determines what can be known about modes of HIV transmission&lt;/title&gt;&lt;secondary-title&gt;AIDS&lt;/secondary-title&gt;&lt;/titles&gt;&lt;periodical&gt;&lt;full-title&gt;AIDS&lt;/full-title&gt;&lt;/periodical&gt;&lt;pages&gt;1208-9; author reply 1209&lt;/pages&gt;&lt;volume&gt;20&lt;/volume&gt;&lt;number&gt;8&lt;/number&gt;&lt;edition&gt;2006/05/13&lt;/edition&gt;&lt;keywords&gt;&lt;keyword&gt;Equipment Contamination&lt;/keyword&gt;&lt;keyword&gt;HIV Infections/*transmission&lt;/keyword&gt;&lt;keyword&gt;Humans&lt;/keyword&gt;&lt;keyword&gt;Injections/adverse effects&lt;/keyword&gt;&lt;keyword&gt;Research Design&lt;/keyword&gt;&lt;keyword&gt;Sexual Behavior&lt;/keyword&gt;&lt;/keywords&gt;&lt;dates&gt;&lt;year&gt;2006&lt;/year&gt;&lt;pub-dates&gt;&lt;date&gt;May 12&lt;/date&gt;&lt;/pub-dates&gt;&lt;/dates&gt;&lt;isbn&gt;0269-9370 (Print)&amp;#xD;0269-9370 (Linking)&lt;/isbn&gt;&lt;accession-num&gt;16691077&lt;/accession-num&gt;&lt;urls&gt;&lt;related-urls&gt;&lt;url&gt;http://www.ncbi.nlm.nih.gov/entrez/query.fcgi?cmd=Retrieve&amp;amp;db=PubMed&amp;amp;dopt=Citation&amp;amp;list_uids=16691077&lt;/url&gt;&lt;/related-urls&gt;&lt;/urls&gt;&lt;electronic-resource-num&gt;10.1097/01.aids.0000226966.12128.73&amp;#xD;00002030-200605120-00019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(Brewer  et al., 2006)</w:t>
      </w:r>
      <w:r w:rsidR="001815AD" w:rsidRPr="00E3232D">
        <w:rPr>
          <w:rFonts w:ascii="Book Antiqua" w:hAnsi="Book Antiqua"/>
        </w:rPr>
        <w:fldChar w:fldCharType="end"/>
      </w:r>
      <w:r w:rsidRPr="00E3232D">
        <w:rPr>
          <w:rFonts w:ascii="Book Antiqua" w:hAnsi="Book Antiqua"/>
        </w:rPr>
        <w:t>. HIV is however not transmitted by casual contact with infected persons or by mosquito bite.</w:t>
      </w:r>
    </w:p>
    <w:p w14:paraId="6F804B9F" w14:textId="77777777" w:rsidR="001D1BD3" w:rsidRPr="00E3232D" w:rsidRDefault="001D1BD3" w:rsidP="00311945">
      <w:pPr>
        <w:autoSpaceDE w:val="0"/>
        <w:autoSpaceDN w:val="0"/>
        <w:adjustRightInd w:val="0"/>
        <w:spacing w:after="0"/>
        <w:jc w:val="both"/>
        <w:rPr>
          <w:rFonts w:ascii="Book Antiqua" w:hAnsi="Book Antiqua"/>
        </w:rPr>
      </w:pPr>
    </w:p>
    <w:p w14:paraId="27E2160A"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b/>
        </w:rPr>
        <w:t xml:space="preserve">1.3 Mode of </w:t>
      </w:r>
      <w:r w:rsidR="00312FAA" w:rsidRPr="00E3232D">
        <w:rPr>
          <w:rFonts w:ascii="Book Antiqua" w:hAnsi="Book Antiqua"/>
          <w:b/>
        </w:rPr>
        <w:t xml:space="preserve">Development </w:t>
      </w:r>
      <w:r w:rsidRPr="00E3232D">
        <w:rPr>
          <w:rFonts w:ascii="Book Antiqua" w:hAnsi="Book Antiqua"/>
          <w:b/>
        </w:rPr>
        <w:t>of HIV and AIDS</w:t>
      </w:r>
    </w:p>
    <w:p w14:paraId="27743A1A"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The  mode of development of HIV infection and AIDS is not fully understood </w:t>
      </w:r>
      <w:r w:rsidR="001815AD" w:rsidRPr="00E3232D">
        <w:rPr>
          <w:rFonts w:ascii="Book Antiqua" w:hAnsi="Book Antiqua"/>
        </w:rPr>
        <w:fldChar w:fldCharType="begin"/>
      </w:r>
      <w:r w:rsidRPr="00E3232D">
        <w:rPr>
          <w:rFonts w:ascii="Book Antiqua" w:hAnsi="Book Antiqua"/>
        </w:rPr>
        <w:instrText xml:space="preserve"> ADDIN EN.CITE &lt;EndNote&gt;&lt;Cite&gt;&lt;Author&gt;Stevenson&lt;/Author&gt;&lt;Year&gt;2003&lt;/Year&gt;&lt;RecNum&gt;12&lt;/RecNum&gt;&lt;record&gt;&lt;rec-number&gt;12&lt;/rec-number&gt;&lt;foreign-keys&gt;&lt;key app="EN" db-id="05wpze2fk5fresed2vkpw0zu20z0d5wwpfar"&gt;12&lt;/key&gt;&lt;/foreign-keys&gt;&lt;ref-type name="Journal Article"&gt;17&lt;/ref-type&gt;&lt;contributors&gt;&lt;authors&gt;&lt;author&gt;Stevenson, M.&lt;/author&gt;&lt;/authors&gt;&lt;/contributors&gt;&lt;auth-address&gt;Program in Molecular Medicine, University of Massachusetts Medical School, 373 Plantation Street, Biotech 2, Suite 319, Worcester, Massachusetts 01605, USA. Mario.Stevenson@umassmed.edu&lt;/auth-address&gt;&lt;titles&gt;&lt;title&gt;HIV-1 pathogenesis&lt;/title&gt;&lt;secondary-title&gt;Nat Med&lt;/secondary-title&gt;&lt;/titles&gt;&lt;periodical&gt;&lt;full-title&gt;Nat Med&lt;/full-title&gt;&lt;/periodical&gt;&lt;pages&gt;853-60&lt;/pages&gt;&lt;volume&gt;9&lt;/volume&gt;&lt;number&gt;7&lt;/number&gt;&lt;edition&gt;2003/07/02&lt;/edition&gt;&lt;keywords&gt;&lt;keyword&gt;Animals&lt;/keyword&gt;&lt;keyword&gt;CD4-Positive T-Lymphocytes/*virology&lt;/keyword&gt;&lt;keyword&gt;Dendritic Cells/virology&lt;/keyword&gt;&lt;keyword&gt;HIV Infections/pathology/virology&lt;/keyword&gt;&lt;keyword&gt;HIV-1/*pathogenicity/physiology&lt;/keyword&gt;&lt;keyword&gt;Host-Parasite Interactions&lt;/keyword&gt;&lt;keyword&gt;Humans&lt;/keyword&gt;&lt;keyword&gt;Macrophages/virology&lt;/keyword&gt;&lt;keyword&gt;Simian immunodeficiency virus/pathogenicity&lt;/keyword&gt;&lt;keyword&gt;Virus Replication/*physiology&lt;/keyword&gt;&lt;/keywords&gt;&lt;dates&gt;&lt;year&gt;2003&lt;/year&gt;&lt;pub-dates&gt;&lt;date&gt;Jul&lt;/date&gt;&lt;/pub-dates&gt;&lt;/dates&gt;&lt;isbn&gt;1078-8956 (Print)&amp;#xD;1078-8956 (Linking)&lt;/isbn&gt;&lt;accession-num&gt;12835705&lt;/accession-num&gt;&lt;urls&gt;&lt;related-urls&gt;&lt;url&gt;http://www.ncbi.nlm.nih.gov/entrez/query.fcgi?cmd=Retrieve&amp;amp;db=PubMed&amp;amp;dopt=Citation&amp;amp;list_uids=12835705&lt;/url&gt;&lt;/related-urls&gt;&lt;/urls&gt;&lt;electronic-resource-num&gt;10.1038/nm0703-853&amp;#xD;nm0703-853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(Stevenson, 2003)</w:t>
      </w:r>
      <w:r w:rsidR="001815AD" w:rsidRPr="00E3232D">
        <w:rPr>
          <w:rFonts w:ascii="Book Antiqua" w:hAnsi="Book Antiqua"/>
        </w:rPr>
        <w:fldChar w:fldCharType="end"/>
      </w:r>
      <w:r w:rsidRPr="00E3232D">
        <w:rPr>
          <w:rFonts w:ascii="Book Antiqua" w:hAnsi="Book Antiqua"/>
        </w:rPr>
        <w:t xml:space="preserve">. During the early period after primary infection, there is widespread dissemination of virus and a sharp decrease in the number of Cluster of differentiation 4 (CD4)T helper cells in peripheral blood </w:t>
      </w:r>
      <w:r w:rsidR="001815AD" w:rsidRPr="00E3232D">
        <w:rPr>
          <w:rFonts w:ascii="Book Antiqua" w:hAnsi="Book Antiqua"/>
        </w:rPr>
        <w:fldChar w:fldCharType="begin"/>
      </w:r>
      <w:r w:rsidRPr="00E3232D">
        <w:rPr>
          <w:rFonts w:ascii="Book Antiqua" w:hAnsi="Book Antiqua"/>
        </w:rPr>
        <w:instrText xml:space="preserve"> ADDIN EN.CITE &lt;EndNote&gt;&lt;Cite&gt;&lt;Author&gt;Rowland-Jones&lt;/Author&gt;&lt;Year&gt;2003&lt;/Year&gt;&lt;RecNum&gt;14&lt;/RecNum&gt;&lt;record&gt;&lt;rec-number&gt;14&lt;/rec-number&gt;&lt;foreign-keys&gt;&lt;key app="EN" db-id="05wpze2fk5fresed2vkpw0zu20z0d5wwpfar"&gt;14&lt;/key&gt;&lt;/foreign-keys&gt;&lt;ref-type name="Journal Article"&gt;17&lt;/ref-type&gt;&lt;contributors&gt;&lt;authors&gt;&lt;author&gt;Rowland-Jones, S. L.&lt;/author&gt;&lt;/authors&gt;&lt;/contributors&gt;&lt;auth-address&gt;MRC Human Immunology Unit, Weatherall Institute of Molecular Medicine, John Radcliffe Hospital, Headington, Oxford OX3 0DW, UK. sarah.rowland-jones@ndm.ox.ac.uk&lt;/auth-address&gt;&lt;titles&gt;&lt;title&gt;Timeline: AIDS pathogenesis: what have two decades of HIV research taught us?&lt;/title&gt;&lt;secondary-title&gt;Nat Rev Immunol&lt;/secondary-title&gt;&lt;/titles&gt;&lt;periodical&gt;&lt;full-title&gt;Nat Rev Immunol&lt;/full-title&gt;&lt;/periodical&gt;&lt;pages&gt;343-8&lt;/pages&gt;&lt;volume&gt;3&lt;/volume&gt;&lt;number&gt;4&lt;/number&gt;&lt;edition&gt;2003/04/02&lt;/edition&gt;&lt;keywords&gt;&lt;keyword&gt;Acquired Immunodeficiency Syndrome/epidemiology/etiology/*history/immunology&lt;/keyword&gt;&lt;keyword&gt;Biomedical Research/history&lt;/keyword&gt;&lt;keyword&gt;CD4-Positive T-Lymphocytes/immunology&lt;/keyword&gt;&lt;keyword&gt;CD8-Positive T-Lymphocytes/immunology&lt;/keyword&gt;&lt;keyword&gt;Disease Outbreaks&lt;/keyword&gt;&lt;keyword&gt;Female&lt;/keyword&gt;&lt;keyword&gt;HIV-1/isolation &amp;amp; purification/pathogenicity&lt;/keyword&gt;&lt;keyword&gt;History, 20th Century&lt;/keyword&gt;&lt;keyword&gt;History, 21st Century&lt;/keyword&gt;&lt;keyword&gt;Humans&lt;/keyword&gt;&lt;keyword&gt;Male&lt;/keyword&gt;&lt;keyword&gt;Time Factors&lt;/keyword&gt;&lt;/keywords&gt;&lt;dates&gt;&lt;year&gt;2003&lt;/year&gt;&lt;pub-dates&gt;&lt;date&gt;Apr&lt;/date&gt;&lt;/pub-dates&gt;&lt;/dates&gt;&lt;isbn&gt;1474-1733 (Print)&amp;#xD;1474-1733 (Linking)&lt;/isbn&gt;&lt;accession-num&gt;12669024&lt;/accession-num&gt;&lt;urls&gt;&lt;related-urls&gt;&lt;url&gt;http://www.ncbi.nlm.nih.gov/entrez/query.fcgi?cmd=Retrieve&amp;amp;db=PubMed&amp;amp;dopt=Citation&amp;amp;list_uids=12669024&lt;/url&gt;&lt;/related-urls&gt;&lt;/urls&gt;&lt;electronic-resource-num&gt;10.1038/nri1058&amp;#xD;nri1058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(Rowland-Jones, 2003)</w:t>
      </w:r>
      <w:r w:rsidR="001815AD" w:rsidRPr="00E3232D">
        <w:rPr>
          <w:rFonts w:ascii="Book Antiqua" w:hAnsi="Book Antiqua"/>
        </w:rPr>
        <w:fldChar w:fldCharType="end"/>
      </w:r>
      <w:r w:rsidRPr="00E3232D">
        <w:rPr>
          <w:rFonts w:ascii="Book Antiqua" w:hAnsi="Book Antiqua"/>
        </w:rPr>
        <w:t xml:space="preserve">. Patients may develop an acute illness </w:t>
      </w:r>
      <w:r w:rsidRPr="00E3232D">
        <w:rPr>
          <w:rFonts w:ascii="Book Antiqua" w:hAnsi="Book Antiqua"/>
        </w:rPr>
        <w:lastRenderedPageBreak/>
        <w:t xml:space="preserve">characterized by mononucleosis-like signs and symptoms  including fatigue, diarrhea, fever and swollen lymph nodes </w:t>
      </w:r>
      <w:r w:rsidR="001815AD" w:rsidRPr="00E3232D">
        <w:rPr>
          <w:rFonts w:ascii="Book Antiqua" w:hAnsi="Book Antiqua"/>
        </w:rPr>
        <w:fldChar w:fldCharType="begin"/>
      </w:r>
      <w:r w:rsidRPr="00E3232D">
        <w:rPr>
          <w:rFonts w:ascii="Book Antiqua" w:hAnsi="Book Antiqua"/>
        </w:rPr>
        <w:instrText xml:space="preserve"> ADDIN EN.CITE &lt;EndNote&gt;&lt;Cite&gt;&lt;Author&gt;Rappaport&lt;/Author&gt;&lt;Year&gt;2003&lt;/Year&gt;&lt;RecNum&gt;15&lt;/RecNum&gt;&lt;record&gt;&lt;rec-number&gt;15&lt;/rec-number&gt;&lt;foreign-keys&gt;&lt;key app="EN" db-id="05wpze2fk5fresed2vkpw0zu20z0d5wwpfar"&gt;15&lt;/key&gt;&lt;/foreign-keys&gt;&lt;ref-type name="Journal Article"&gt;17&lt;/ref-type&gt;&lt;contributors&gt;&lt;authors&gt;&lt;author&gt;Rappaport, J.&lt;/author&gt;&lt;/authors&gt;&lt;/contributors&gt;&lt;titles&gt;&lt;title&gt;Perspectives in HIV pathogenesis, treatment, and prevention&lt;/title&gt;&lt;secondary-title&gt;Biomed Pharmacother&lt;/secondary-title&gt;&lt;/titles&gt;&lt;periodical&gt;&lt;full-title&gt;Biomed Pharmacother&lt;/full-title&gt;&lt;/periodical&gt;&lt;pages&gt;1-3&lt;/pages&gt;&lt;volume&gt;57&lt;/volume&gt;&lt;number&gt;1&lt;/number&gt;&lt;edition&gt;2003/03/19&lt;/edition&gt;&lt;keywords&gt;&lt;keyword&gt;Acquired Immunodeficiency Syndrome/drug therapy/prevention &amp;amp; control/virology&lt;/keyword&gt;&lt;keyword&gt;Anti-HIV Agents/therapeutic use&lt;/keyword&gt;&lt;keyword&gt;Gene Products, tat/genetics/immunology&lt;/keyword&gt;&lt;keyword&gt;Gene Products, vpr/genetics/immunology&lt;/keyword&gt;&lt;keyword&gt;HIV/genetics/immunology/*pathogenicity&lt;/keyword&gt;&lt;keyword&gt;*HIV Infections/drug therapy/prevention &amp;amp; control&lt;/keyword&gt;&lt;keyword&gt;Humans&lt;/keyword&gt;&lt;keyword&gt;tat Gene Products, Human Immunodeficiency Virus&lt;/keyword&gt;&lt;keyword&gt;vpr Gene Products, Human Immunodeficiency Virus&lt;/keyword&gt;&lt;/keywords&gt;&lt;dates&gt;&lt;year&gt;2003&lt;/year&gt;&lt;pub-dates&gt;&lt;date&gt;Jan&lt;/date&gt;&lt;/pub-dates&gt;&lt;/dates&gt;&lt;isbn&gt;0753-3322 (Print)&amp;#xD;0753-3322 (Linking)&lt;/isbn&gt;&lt;accession-num&gt;12642030&lt;/accession-num&gt;&lt;urls&gt;&lt;related-urls&gt;&lt;url&gt;http://www.ncbi.nlm.nih.gov/entrez/query.fcgi?cmd=Retrieve&amp;amp;db=PubMed&amp;amp;dopt=Citation&amp;amp;list_uids=12642030&lt;/url&gt;&lt;/related-urls&gt;&lt;/urls&gt;&lt;electronic-resource-num&gt;S0753332202000021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(Rappaport, 2003)</w:t>
      </w:r>
      <w:r w:rsidR="001815AD" w:rsidRPr="00E3232D">
        <w:rPr>
          <w:rFonts w:ascii="Book Antiqua" w:hAnsi="Book Antiqua"/>
        </w:rPr>
        <w:fldChar w:fldCharType="end"/>
      </w:r>
      <w:r w:rsidRPr="00E3232D">
        <w:rPr>
          <w:rFonts w:ascii="Book Antiqua" w:hAnsi="Book Antiqua"/>
        </w:rPr>
        <w:t>.</w:t>
      </w:r>
    </w:p>
    <w:p w14:paraId="30E5C153" w14:textId="77777777" w:rsidR="001D1BD3" w:rsidRPr="00E3232D" w:rsidRDefault="001D1BD3" w:rsidP="001B1B96">
      <w:pPr>
        <w:autoSpaceDE w:val="0"/>
        <w:autoSpaceDN w:val="0"/>
        <w:adjustRightInd w:val="0"/>
        <w:spacing w:after="0"/>
        <w:jc w:val="both"/>
        <w:rPr>
          <w:rFonts w:ascii="Book Antiqua" w:hAnsi="Book Antiqua"/>
        </w:rPr>
      </w:pPr>
      <w:r w:rsidRPr="00E3232D">
        <w:rPr>
          <w:rFonts w:ascii="Book Antiqua" w:hAnsi="Book Antiqua"/>
        </w:rPr>
        <w:t xml:space="preserve">Latent virus infection may last for at least 10 years after initial viral acquisition. There is evidence to support the fact that disease progression among HIV-infected individuals is 10-12 years in the industrialized world and more rapidly in Africa </w:t>
      </w:r>
      <w:r w:rsidR="001815AD" w:rsidRPr="00E3232D">
        <w:rPr>
          <w:rFonts w:ascii="Book Antiqua" w:hAnsi="Book Antiqua"/>
        </w:rPr>
        <w:fldChar w:fldCharType="begin">
          <w:fldData xml:space="preserve">PEVuZE5vdGU+PENpdGU+PEF1dGhvcj5Sb3dsYW5kLUpvbmVzPC9BdXRob3I+PFllYXI+MjAwMzwv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PEVuZE5vdGU+PENpdGU+PEF1dGhvcj5Sb3dsYW5kLUpvbmVzPC9BdXRob3I+PFllYXI+MjAwMzwv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(Strecker et al., 1993; Rowland-Jones, 2003)</w:t>
      </w:r>
      <w:r w:rsidR="001815AD" w:rsidRPr="00E3232D">
        <w:rPr>
          <w:rFonts w:ascii="Book Antiqua" w:hAnsi="Book Antiqua"/>
        </w:rPr>
        <w:fldChar w:fldCharType="end"/>
      </w:r>
      <w:r w:rsidRPr="00E3232D">
        <w:rPr>
          <w:rFonts w:ascii="Book Antiqua" w:hAnsi="Book Antiqua"/>
        </w:rPr>
        <w:t xml:space="preserve">. During this latent period, the patient is infective and HIV can be detected in various body fluids </w:t>
      </w:r>
      <w:r w:rsidR="001815AD" w:rsidRPr="00E3232D">
        <w:rPr>
          <w:rFonts w:ascii="Book Antiqua" w:hAnsi="Book Antiqua"/>
        </w:rPr>
        <w:fldChar w:fldCharType="begin"/>
      </w:r>
      <w:r w:rsidRPr="00E3232D">
        <w:rPr>
          <w:rFonts w:ascii="Book Antiqua" w:hAnsi="Book Antiqua"/>
        </w:rPr>
        <w:instrText xml:space="preserve"> ADDIN EN.CITE &lt;EndNote&gt;&lt;Cite&gt;&lt;Author&gt;Gallo&lt;/Author&gt;&lt;Year&gt;2001&lt;/Year&gt;&lt;RecNum&gt;16&lt;/RecNum&gt;&lt;record&gt;&lt;rec-number&gt;16&lt;/rec-number&gt;&lt;foreign-keys&gt;&lt;key app="EN" db-id="05wpze2fk5fresed2vkpw0zu20z0d5wwpfar"&gt;16&lt;/key&gt;&lt;/foreign-keys&gt;&lt;ref-type name="Journal Article"&gt;17&lt;/ref-type&gt;&lt;contributors&gt;&lt;authors&gt;&lt;author&gt;Gallo, R. C.&lt;/author&gt;&lt;author&gt;Garzino-Demo, A.&lt;/author&gt;&lt;/authors&gt;&lt;/contributors&gt;&lt;auth-address&gt;Institute of Human Virology, University of Maryland Biotechnology Institute, Baltimore 21201, USA. cline@umbi.umd.edu&lt;/auth-address&gt;&lt;titles&gt;&lt;title&gt;Some recent results on HIV pathogenesis with implications for therapy and vaccines&lt;/title&gt;&lt;secondary-title&gt;Cell Mol Biol (Noisy-le-grand)&lt;/secondary-title&gt;&lt;/titles&gt;&lt;periodical&gt;&lt;full-title&gt;Cell Mol Biol (Noisy-le-grand)&lt;/full-title&gt;&lt;/periodical&gt;&lt;pages&gt;1101-4&lt;/pages&gt;&lt;volume&gt;47&lt;/volume&gt;&lt;number&gt;7&lt;/number&gt;&lt;edition&gt;2002/02/13&lt;/edition&gt;&lt;keywords&gt;&lt;keyword&gt;AIDS Vaccines/*immunology&lt;/keyword&gt;&lt;keyword&gt;Gene Products, tat/immunology/metabolism&lt;/keyword&gt;&lt;keyword&gt;HIV/immunology/*pathogenicity&lt;/keyword&gt;&lt;keyword&gt;HIV Infections/*immunology/*therapy&lt;/keyword&gt;&lt;keyword&gt;Humans&lt;/keyword&gt;&lt;keyword&gt;Suppressor Factors, Immunologic&lt;/keyword&gt;&lt;keyword&gt;tat Gene Products, Human Immunodeficiency Virus&lt;/keyword&gt;&lt;/keywords&gt;&lt;dates&gt;&lt;year&gt;2001&lt;/year&gt;&lt;pub-dates&gt;&lt;date&gt;Nov&lt;/date&gt;&lt;/pub-dates&gt;&lt;/dates&gt;&lt;isbn&gt;0145-5680 (Print)&amp;#xD;0145-5680 (Linking)&lt;/isbn&gt;&lt;accession-num&gt;11838957&lt;/accession-num&gt;&lt;urls&gt;&lt;related-urls&gt;&lt;url&gt;http://www.ncbi.nlm.nih.gov/entrez/query.fcgi?cmd=Retrieve&amp;amp;db=PubMed&amp;amp;dopt=Citation&amp;amp;list_uids=11838957&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(Gallo and Garzino-Demo, 2001)</w:t>
      </w:r>
      <w:r w:rsidR="001815AD" w:rsidRPr="00E3232D">
        <w:rPr>
          <w:rFonts w:ascii="Book Antiqua" w:hAnsi="Book Antiqua"/>
        </w:rPr>
        <w:fldChar w:fldCharType="end"/>
      </w:r>
      <w:r w:rsidRPr="00E3232D">
        <w:rPr>
          <w:rFonts w:ascii="Book Antiqua" w:hAnsi="Book Antiqua"/>
        </w:rPr>
        <w:t>.</w:t>
      </w:r>
    </w:p>
    <w:p w14:paraId="79366ABC" w14:textId="77777777" w:rsidR="001D1BD3" w:rsidRPr="00E3232D" w:rsidRDefault="001D1BD3" w:rsidP="00311945">
      <w:pPr>
        <w:autoSpaceDE w:val="0"/>
        <w:autoSpaceDN w:val="0"/>
        <w:adjustRightInd w:val="0"/>
        <w:spacing w:after="0"/>
        <w:jc w:val="both"/>
        <w:rPr>
          <w:rFonts w:ascii="Book Antiqua" w:hAnsi="Book Antiqua"/>
        </w:rPr>
      </w:pPr>
    </w:p>
    <w:p w14:paraId="37A9A97B"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b/>
        </w:rPr>
        <w:t>1.4 Signs and Symptoms of HIV and AIDS</w:t>
      </w:r>
    </w:p>
    <w:p w14:paraId="02D79ED7" w14:textId="77777777" w:rsidR="001D1BD3" w:rsidRPr="00E3232D" w:rsidRDefault="001D1BD3" w:rsidP="00311945">
      <w:pPr>
        <w:autoSpaceDE w:val="0"/>
        <w:autoSpaceDN w:val="0"/>
        <w:adjustRightInd w:val="0"/>
        <w:spacing w:before="240"/>
        <w:jc w:val="both"/>
        <w:rPr>
          <w:rFonts w:ascii="Book Antiqua" w:hAnsi="Book Antiqua"/>
        </w:rPr>
      </w:pPr>
      <w:r w:rsidRPr="00E3232D">
        <w:rPr>
          <w:rFonts w:ascii="Book Antiqua" w:hAnsi="Book Antiqua"/>
        </w:rPr>
        <w:t xml:space="preserve">Weight loss, tuberculosis and weakness (asthenia) are the most common  signs and symptoms in patients with HIV infection in Africa </w:t>
      </w:r>
      <w:r w:rsidR="001815AD" w:rsidRPr="00E3232D">
        <w:rPr>
          <w:rFonts w:ascii="Book Antiqua" w:hAnsi="Book Antiqua"/>
        </w:rPr>
        <w:fldChar w:fldCharType="begin">
          <w:fldData xml:space="preserve">PEVuZE5vdGU+PENpdGU+PEF1dGhvcj5MYXVyZTwvQXV0aG9yPjxZZWFyPjE5ODc8L1llYXI+PFJl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PEVuZE5vdGU+PENpdGU+PEF1dGhvcj5MYXVyZTwvQXV0aG9yPjxZZWFyPjE5ODc8L1llYXI+PFJl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(Laure et al., 1987; Strecker et al., 1994)</w:t>
      </w:r>
      <w:r w:rsidR="001815AD" w:rsidRPr="00E3232D">
        <w:rPr>
          <w:rFonts w:ascii="Book Antiqua" w:hAnsi="Book Antiqua"/>
        </w:rPr>
        <w:fldChar w:fldCharType="end"/>
      </w:r>
      <w:r w:rsidRPr="00E3232D">
        <w:rPr>
          <w:rFonts w:ascii="Book Antiqua" w:hAnsi="Book Antiqua"/>
        </w:rPr>
        <w:t xml:space="preserve">. Other signs and symptoms  include swollen lymph nodes, recurrent  herpes simplex infections, and oral yeast infections (candidiasis) in the absence of antimicrobial therapy or an immunosuppressive illness, neurological abnormalities and cough </w:t>
      </w:r>
      <w:r w:rsidR="001815AD" w:rsidRPr="00E3232D">
        <w:rPr>
          <w:rFonts w:ascii="Book Antiqua" w:hAnsi="Book Antiqua"/>
        </w:rPr>
        <w:fldChar w:fldCharType="begin">
          <w:fldData xml:space="preserve">PEVuZE5vdGU+PENpdGU+PEF1dGhvcj5PbG9wb2VuaWE8L0F1dGhvcj48WWVhcj4xOTkyPC9ZZWFy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PEVuZE5vdGU+PENpdGU+PEF1dGhvcj5PbG9wb2VuaWE8L0F1dGhvcj48WWVhcj4xOTkyPC9ZZWFy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(Olopoenia et al., 1992; Strecker et al., 1993; Strecker et al., 1994)</w:t>
      </w:r>
      <w:r w:rsidR="001815AD" w:rsidRPr="00E3232D">
        <w:rPr>
          <w:rFonts w:ascii="Book Antiqua" w:hAnsi="Book Antiqua"/>
        </w:rPr>
        <w:fldChar w:fldCharType="end"/>
      </w:r>
      <w:r w:rsidRPr="00E3232D">
        <w:rPr>
          <w:rFonts w:ascii="Book Antiqua" w:hAnsi="Book Antiqua"/>
        </w:rPr>
        <w:t>.</w:t>
      </w:r>
    </w:p>
    <w:p w14:paraId="24F558B4"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Continuous high-level replication of HIV  leads to AIDS. Almost all untreated HIV-infected persons will eventually develop AIDS </w:t>
      </w:r>
      <w:r w:rsidR="001815AD" w:rsidRPr="00E3232D">
        <w:rPr>
          <w:rFonts w:ascii="Book Antiqua" w:hAnsi="Book Antiqua"/>
        </w:rPr>
        <w:fldChar w:fldCharType="begin"/>
      </w:r>
      <w:r w:rsidRPr="00E3232D">
        <w:rPr>
          <w:rFonts w:ascii="Book Antiqua" w:hAnsi="Book Antiqua"/>
        </w:rPr>
        <w:instrText xml:space="preserve"> ADDIN EN.CITE &lt;EndNote&gt;&lt;Cite&gt;&lt;Author&gt;Strecker&lt;/Author&gt;&lt;Year&gt;1993&lt;/Year&gt;&lt;RecNum&gt;19&lt;/RecNum&gt;&lt;record&gt;&lt;rec-number&gt;19&lt;/rec-number&gt;&lt;foreign-keys&gt;&lt;key app="EN" db-id="05wpze2fk5fresed2vkpw0zu20z0d5wwpfar"&gt;19&lt;/key&gt;&lt;/foreign-keys&gt;&lt;ref-type name="Journal Article"&gt;17&lt;/ref-type&gt;&lt;contributors&gt;&lt;authors&gt;&lt;author&gt;Strecker, W.&lt;/author&gt;&lt;author&gt;Gurtler, L.&lt;/author&gt;&lt;author&gt;Binibangili, M.&lt;/author&gt;&lt;author&gt;Strecker, K.&lt;/author&gt;&lt;/authors&gt;&lt;/contributors&gt;&lt;titles&gt;&lt;title&gt;Clinical manifestation of HIV infection in northern Zaire&lt;/title&gt;&lt;secondary-title&gt;AIDS&lt;/secondary-title&gt;&lt;/titles&gt;&lt;periodical&gt;&lt;full-title&gt;AIDS&lt;/full-title&gt;&lt;/periodical&gt;&lt;pages&gt;597-8&lt;/pages&gt;&lt;volume&gt;7&lt;/volume&gt;&lt;number&gt;4&lt;/number&gt;&lt;edition&gt;1993/04/01&lt;/edition&gt;&lt;keywords&gt;&lt;keyword&gt;Democratic Republic of the Congo/epidemiology&lt;/keyword&gt;&lt;keyword&gt;Female&lt;/keyword&gt;&lt;keyword&gt;HIV Infections/diagnosis/*epidemiology&lt;/keyword&gt;&lt;keyword&gt;HIV Seroprevalence&lt;/keyword&gt;&lt;keyword&gt;Hiv-1&lt;/keyword&gt;&lt;keyword&gt;Hiv-2&lt;/keyword&gt;&lt;keyword&gt;Humans&lt;/keyword&gt;&lt;keyword&gt;Male&lt;/keyword&gt;&lt;/keywords&gt;&lt;dates&gt;&lt;year&gt;1993&lt;/year&gt;&lt;pub-dates&gt;&lt;date&gt;Apr&lt;/date&gt;&lt;/pub-dates&gt;&lt;/dates&gt;&lt;isbn&gt;0269-9370 (Print)&amp;#xD;0269-9370 (Linking)&lt;/isbn&gt;&lt;accession-num&gt;8507428&lt;/accession-num&gt;&lt;urls&gt;&lt;related-urls&gt;&lt;url&gt;http://www.ncbi.nlm.nih.gov/entrez/query.fcgi?cmd=Retrieve&amp;amp;db=PubMed&amp;amp;dopt=Citation&amp;amp;list_uids=8507428&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(Strecker et al., 1993)</w:t>
      </w:r>
      <w:r w:rsidR="001815AD" w:rsidRPr="00E3232D">
        <w:rPr>
          <w:rFonts w:ascii="Book Antiqua" w:hAnsi="Book Antiqua"/>
        </w:rPr>
        <w:fldChar w:fldCharType="end"/>
      </w:r>
      <w:r w:rsidRPr="00E3232D">
        <w:rPr>
          <w:rFonts w:ascii="Book Antiqua" w:hAnsi="Book Antiqua"/>
        </w:rPr>
        <w:t>.</w:t>
      </w:r>
    </w:p>
    <w:p w14:paraId="7358A684"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Most HIV-positive individuals first become aware of their status when </w:t>
      </w:r>
      <w:r w:rsidRPr="00E3232D">
        <w:rPr>
          <w:rFonts w:ascii="Book Antiqua" w:hAnsi="Book Antiqua"/>
        </w:rPr>
        <w:t xml:space="preserve">diagnosed with life-threatening opportunistic infections (OIs) or  cancers without having experienced preceding chronic symptoms. The best predictors of the onset of serious OIs which define AIDS are the decreased total number of CD4 count and the level of HIV RNA in plasma (viral load) </w:t>
      </w:r>
      <w:r w:rsidR="001815AD" w:rsidRPr="00E3232D">
        <w:rPr>
          <w:rFonts w:ascii="Book Antiqua" w:hAnsi="Book Antiqua"/>
        </w:rPr>
        <w:fldChar w:fldCharType="begin">
          <w:fldData xml:space="preserve">PEVuZE5vdGU+PENpdGU+PEF1dGhvcj5LZWtpdGlpbndhPC9BdXRob3I+PFllYXI+MjAwODwvWWVh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PEVuZE5vdGU+PENpdGU+PEF1dGhvcj5LZWtpdGlpbndhPC9BdXRob3I+PFllYXI+MjAwODwvWWVh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(Kekitiinwaet al., 2008)</w:t>
      </w:r>
      <w:r w:rsidR="001815AD" w:rsidRPr="00E3232D">
        <w:rPr>
          <w:rFonts w:ascii="Book Antiqua" w:hAnsi="Book Antiqua"/>
        </w:rPr>
        <w:fldChar w:fldCharType="end"/>
      </w:r>
      <w:r w:rsidRPr="00E3232D">
        <w:rPr>
          <w:rFonts w:ascii="Book Antiqua" w:hAnsi="Book Antiqua"/>
        </w:rPr>
        <w:t xml:space="preserve">. </w:t>
      </w:r>
    </w:p>
    <w:p w14:paraId="2AF8FE7B"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CD4 count is therefore one of the most important  predictive factors for progression of HIV infection and forms the basis for international recommendations for antiretroviral treatment and prophylaxis of HIV</w:t>
      </w:r>
      <w:r w:rsidR="001815AD" w:rsidRPr="00E3232D">
        <w:rPr>
          <w:rFonts w:ascii="Book Antiqua" w:hAnsi="Book Antiqua"/>
        </w:rPr>
        <w:fldChar w:fldCharType="begin"/>
      </w:r>
      <w:r w:rsidRPr="00E3232D">
        <w:rPr>
          <w:rFonts w:ascii="Book Antiqua" w:hAnsi="Book Antiqua"/>
        </w:rPr>
        <w:instrText xml:space="preserve"> ADDIN EN.CITE &lt;EndNote&gt;&lt;Cite&gt;&lt;Author&gt;Nakanjako&lt;/Author&gt;&lt;Year&gt;2008&lt;/Year&gt;&lt;RecNum&gt;44&lt;/RecNum&gt;&lt;record&gt;&lt;rec-number&gt;44&lt;/rec-number&gt;&lt;foreign-keys&gt;&lt;key app="EN" db-id="05wpze2fk5fresed2vkpw0zu20z0d5wwpfar"&gt;44&lt;/key&gt;&lt;/foreign-keys&gt;&lt;ref-type name="Journal Article"&gt;17&lt;/ref-type&gt;&lt;contributors&gt;&lt;authors&gt;&lt;author&gt;Nakanjako, D.&lt;/author&gt;&lt;author&gt;Kiragga, A.&lt;/author&gt;&lt;author&gt;Ibrahim, F.&lt;/author&gt;&lt;author&gt;Castelnuovo, B.&lt;/author&gt;&lt;author&gt;Kamya, M. R.&lt;/author&gt;&lt;author&gt;Easterbrook, P. J.&lt;/author&gt;&lt;/authors&gt;&lt;/contributors&gt;&lt;auth-address&gt;Infectious Diseases Institute, Facluty of Medicine, Makerere University Kampala, Uganda. drdamalie@yahoo.com&lt;/auth-address&gt;&lt;titles&gt;&lt;title&gt;Sub-optimal CD4 reconstitution despite viral suppression in an urban cohort on antiretroviral therapy (ART) in sub-Saharan Africa: frequency and clinical significance&lt;/title&gt;&lt;secondary-title&gt;AIDS Res Ther&lt;/secondary-title&gt;&lt;/titles&gt;&lt;periodical&gt;&lt;full-title&gt;AIDS Res Ther&lt;/full-title&gt;&lt;/periodical&gt;&lt;pages&gt;23&lt;/pages&gt;&lt;volume&gt;5&lt;/volume&gt;&lt;edition&gt;2008/10/30&lt;/edition&gt;&lt;dates&gt;&lt;year&gt;2008&lt;/year&gt;&lt;/dates&gt;&lt;isbn&gt;1742-6405 (Electronic)&amp;#xD;1742-6405 (Linking)&lt;/isbn&gt;&lt;accession-num&gt;18957083&lt;/accession-num&gt;&lt;urls&gt;&lt;related-urls&gt;&lt;url&gt;http://www.ncbi.nlm.nih.gov/entrez/query.fcgi?cmd=Retrieve&amp;amp;db=PubMed&amp;amp;dopt=Citation&amp;amp;list_uids=18957083&lt;/url&gt;&lt;/related-urls&gt;&lt;/urls&gt;&lt;electronic-resource-num&gt;1742-6405-5-23 [pii]&amp;#xD;10.1186/1742-6405-5-23&lt;/electronic-resource-num&gt;&lt;language&gt;eng&lt;/language&gt;&lt;/record&gt;&lt;/Cite&gt;&lt;/EndNote&gt;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(Nakanjako et al., 2008)</w:t>
      </w:r>
      <w:r w:rsidR="001815AD" w:rsidRPr="00E3232D">
        <w:rPr>
          <w:rFonts w:ascii="Book Antiqua" w:hAnsi="Book Antiqua"/>
        </w:rPr>
        <w:fldChar w:fldCharType="end"/>
      </w:r>
      <w:r w:rsidRPr="00E3232D">
        <w:rPr>
          <w:rFonts w:ascii="Book Antiqua" w:hAnsi="Book Antiqua"/>
        </w:rPr>
        <w:t xml:space="preserve">. Normal CD4 counts are about 750 ± 250 cells/ µL, but levels are usually reduced by about 40 to 50% in early HIV infection </w:t>
      </w:r>
      <w:r w:rsidR="001815AD" w:rsidRPr="00E3232D">
        <w:rPr>
          <w:rFonts w:ascii="Book Antiqua" w:hAnsi="Book Antiqua"/>
        </w:rPr>
        <w:fldChar w:fldCharType="begin"/>
      </w:r>
      <w:r w:rsidRPr="00E3232D">
        <w:rPr>
          <w:rFonts w:ascii="Book Antiqua" w:hAnsi="Book Antiqua"/>
        </w:rPr>
        <w:instrText xml:space="preserve"> ADDIN EN.CITE &lt;EndNote&gt;&lt;Cite&gt;&lt;Author&gt;Wood&lt;/Author&gt;&lt;Year&gt;2009&lt;/Year&gt;&lt;RecNum&gt;43&lt;/RecNum&gt;&lt;record&gt;&lt;rec-number&gt;43&lt;/rec-number&gt;&lt;foreign-keys&gt;&lt;key app="EN" db-id="05wpze2fk5fresed2vkpw0zu20z0d5wwpfar"&gt;43&lt;/key&gt;&lt;/foreign-keys&gt;&lt;ref-type name="Journal Article"&gt;17&lt;/ref-type&gt;&lt;contributors&gt;&lt;authors&gt;&lt;author&gt;Wood, R.&lt;/author&gt;&lt;author&gt;Lawn, S. D.&lt;/author&gt;&lt;/authors&gt;&lt;/contributors&gt;&lt;auth-address&gt;Desmond Tutu HIV Centre, Institute for Infectious Disease and Molecular Medicine, Faculty of Health Sciences, University of Cape Town, Cape Town, Observatory 7925, South Africa.&lt;/auth-address&gt;&lt;titles&gt;&lt;title&gt;Should the CD4 threshold for starting ART be raised?&lt;/title&gt;&lt;secondary-title&gt;Lancet&lt;/secondary-title&gt;&lt;/titles&gt;&lt;periodical&gt;&lt;full-title&gt;Lancet&lt;/full-title&gt;&lt;/periodical&gt;&lt;pages&gt;1314-6&lt;/pages&gt;&lt;volume&gt;373&lt;/volume&gt;&lt;number&gt;9672&lt;/number&gt;&lt;edition&gt;2009/04/14&lt;/edition&gt;&lt;keywords&gt;&lt;keyword&gt;Antiretroviral Therapy, Highly Active/*methods/standards&lt;/keyword&gt;&lt;keyword&gt;*CD4 Lymphocyte Count&lt;/keyword&gt;&lt;keyword&gt;Cohort Studies&lt;/keyword&gt;&lt;keyword&gt;Drug Administration Schedule&lt;/keyword&gt;&lt;keyword&gt;Europe/epidemiology&lt;/keyword&gt;&lt;keyword&gt;HIV Infections/*drug therapy/immunology/mortality&lt;/keyword&gt;&lt;keyword&gt;Humans&lt;/keyword&gt;&lt;keyword&gt;North America/epidemiology&lt;/keyword&gt;&lt;keyword&gt;*Patient Selection&lt;/keyword&gt;&lt;keyword&gt;*Practice Guidelines as Topic&lt;/keyword&gt;&lt;keyword&gt;Time Factors&lt;/keyword&gt;&lt;/keywords&gt;&lt;dates&gt;&lt;year&gt;2009&lt;/year&gt;&lt;pub-dates&gt;&lt;date&gt;Apr 18&lt;/date&gt;&lt;/pub-dates&gt;&lt;/dates&gt;&lt;isbn&gt;1474-547X (Electronic)&amp;#xD;0140-6736 (Linking)&lt;/isbn&gt;&lt;accession-num&gt;19361856&lt;/accession-num&gt;&lt;urls&gt;&lt;related-urls&gt;&lt;url&gt;http://www.ncbi.nlm.nih.gov/entrez/query.fcgi?cmd=Retrieve&amp;amp;db=PubMed&amp;amp;dopt=Citation&amp;amp;list_uids=19361856&lt;/url&gt;&lt;/related-urls&gt;&lt;/urls&gt;&lt;electronic-resource-num&gt;S0140-6736(09)60654-1 [pii]&amp;#xD;10.1016/S0140-6736(09)60654-1&lt;/electronic-resource-num&gt;&lt;language&gt;eng&lt;/language&gt;&lt;/record&gt;&lt;/Cite&gt;&lt;/EndNote&gt;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(Wood and Lawn, 2009)</w:t>
      </w:r>
      <w:r w:rsidR="001815AD" w:rsidRPr="00E3232D">
        <w:rPr>
          <w:rFonts w:ascii="Book Antiqua" w:hAnsi="Book Antiqua"/>
        </w:rPr>
        <w:fldChar w:fldCharType="end"/>
      </w:r>
      <w:r w:rsidRPr="00E3232D">
        <w:rPr>
          <w:rFonts w:ascii="Book Antiqua" w:hAnsi="Book Antiqua"/>
        </w:rPr>
        <w:t xml:space="preserve">. Vulnerability to OIsincrease when CD4 counts are </w:t>
      </w:r>
      <w:r w:rsidRPr="00E3232D">
        <w:rPr>
          <w:rFonts w:ascii="Times New Roman" w:hAnsi="Times New Roman"/>
        </w:rPr>
        <w:t>˂</w:t>
      </w:r>
      <w:r w:rsidRPr="00E3232D">
        <w:rPr>
          <w:rFonts w:ascii="Book Antiqua" w:hAnsi="Book Antiqua" w:cs="Book Antiqua"/>
        </w:rPr>
        <w:t xml:space="preserve"> 200 cells/ µL.</w:t>
      </w:r>
    </w:p>
    <w:p w14:paraId="2D477725" w14:textId="77777777" w:rsidR="001D1BD3" w:rsidRPr="00E3232D" w:rsidRDefault="001D1BD3" w:rsidP="001B1B96">
      <w:pPr>
        <w:autoSpaceDE w:val="0"/>
        <w:autoSpaceDN w:val="0"/>
        <w:adjustRightInd w:val="0"/>
        <w:spacing w:after="0"/>
        <w:jc w:val="both"/>
        <w:rPr>
          <w:rFonts w:ascii="Book Antiqua" w:hAnsi="Book Antiqua"/>
        </w:rPr>
      </w:pPr>
      <w:r w:rsidRPr="00E3232D">
        <w:rPr>
          <w:rFonts w:ascii="Book Antiqua" w:hAnsi="Book Antiqua"/>
        </w:rPr>
        <w:t xml:space="preserve">Viral load however provides a useful indication of future clinical course of disease and measurement of responses to antiretroviral therapy </w:t>
      </w:r>
      <w:r w:rsidR="001815AD" w:rsidRPr="00E3232D">
        <w:rPr>
          <w:rFonts w:ascii="Book Antiqua" w:hAnsi="Book Antiqua"/>
        </w:rPr>
        <w:fldChar w:fldCharType="begin">
          <w:fldData xml:space="preserve">PEVuZE5vdGU+PENpdGU+PEF1dGhvcj5LZWtpdGlpbndhPC9BdXRob3I+PFllYXI+MjAwODwvWWVh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PEVuZE5vdGU+PENpdGU+PEF1dGhvcj5LZWtpdGlpbndhPC9BdXRob3I+PFllYXI+MjAwODwvWWVh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(Kekitiinwa et al., 2008)</w:t>
      </w:r>
      <w:r w:rsidR="001815AD" w:rsidRPr="00E3232D">
        <w:rPr>
          <w:rFonts w:ascii="Book Antiqua" w:hAnsi="Book Antiqua"/>
        </w:rPr>
        <w:fldChar w:fldCharType="end"/>
      </w:r>
      <w:r w:rsidRPr="00E3232D">
        <w:rPr>
          <w:rFonts w:ascii="Book Antiqua" w:hAnsi="Book Antiqua"/>
        </w:rPr>
        <w:t>.</w:t>
      </w:r>
    </w:p>
    <w:p w14:paraId="29B2A4B4" w14:textId="77777777" w:rsidR="001D1BD3" w:rsidRPr="00E3232D" w:rsidRDefault="001D1BD3" w:rsidP="00311945">
      <w:pPr>
        <w:autoSpaceDE w:val="0"/>
        <w:autoSpaceDN w:val="0"/>
        <w:adjustRightInd w:val="0"/>
        <w:spacing w:after="0"/>
        <w:jc w:val="both"/>
        <w:rPr>
          <w:rFonts w:ascii="Book Antiqua" w:hAnsi="Book Antiqua"/>
        </w:rPr>
      </w:pPr>
    </w:p>
    <w:p w14:paraId="45655433" w14:textId="77777777" w:rsidR="001D1BD3" w:rsidRPr="00E3232D" w:rsidRDefault="001D1BD3" w:rsidP="00311945">
      <w:pPr>
        <w:autoSpaceDE w:val="0"/>
        <w:autoSpaceDN w:val="0"/>
        <w:adjustRightInd w:val="0"/>
        <w:jc w:val="both"/>
        <w:rPr>
          <w:rFonts w:ascii="Book Antiqua" w:hAnsi="Book Antiqua"/>
          <w:b/>
        </w:rPr>
      </w:pPr>
      <w:r w:rsidRPr="00E3232D">
        <w:rPr>
          <w:rFonts w:ascii="Book Antiqua" w:hAnsi="Book Antiqua"/>
          <w:b/>
        </w:rPr>
        <w:t>1.5 Diagnosis of HIV and AIDS</w:t>
      </w:r>
    </w:p>
    <w:p w14:paraId="5B5BF4F4"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Generally, antibody detection to HIV is sensitive, specific, inexpensive and widely available </w:t>
      </w:r>
      <w:r w:rsidR="001815AD" w:rsidRPr="00E3232D">
        <w:rPr>
          <w:rFonts w:ascii="Book Antiqua" w:hAnsi="Book Antiqua"/>
        </w:rPr>
        <w:fldChar w:fldCharType="begin">
          <w:fldData xml:space="preserve">PEVuZE5vdGU+PENpdGU+PEF1dGhvcj5MdTwvQXV0aG9yPjxZZWFyPjE5OTQ8L1llYXI+PFJlY051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PEVuZE5vdGU+PENpdGU+PEF1dGhvcj5MdTwvQXV0aG9yPjxZZWFyPjE5OTQ8L1llYXI+PFJlY051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(Lu et al., 1994)</w:t>
      </w:r>
      <w:r w:rsidR="001815AD" w:rsidRPr="00E3232D">
        <w:rPr>
          <w:rFonts w:ascii="Book Antiqua" w:hAnsi="Book Antiqua"/>
        </w:rPr>
        <w:fldChar w:fldCharType="end"/>
      </w:r>
      <w:r w:rsidRPr="00E3232D">
        <w:rPr>
          <w:rFonts w:ascii="Book Antiqua" w:hAnsi="Book Antiqua"/>
        </w:rPr>
        <w:t xml:space="preserve">. Rapid (10 min) serum tests, home collections systems and HIV antibody tests in oral secretions and urine are useful in some situations but they require confirmation by standard serum testing </w:t>
      </w:r>
      <w:r w:rsidR="001815AD" w:rsidRPr="00E3232D">
        <w:rPr>
          <w:rFonts w:ascii="Book Antiqua" w:hAnsi="Book Antiqua"/>
        </w:rPr>
        <w:fldChar w:fldCharType="begin">
          <w:fldData xml:space="preserve">PEVuZE5vdGU+PENpdGU+PEF1dGhvcj5EZXNhaTwvQXV0aG9yPjxZZWFyPjE5OTE8L1llYXI+PFJl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PEVuZE5vdGU+PENpdGU+PEF1dGhvcj5EZXNhaTwvQXV0aG9yPjxZZWFyPjE5OTE8L1llYXI+PFJl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(Desai et al., 1991; Granade et al., 2004)</w:t>
      </w:r>
      <w:r w:rsidR="001815AD" w:rsidRPr="00E3232D">
        <w:rPr>
          <w:rFonts w:ascii="Book Antiqua" w:hAnsi="Book Antiqua"/>
        </w:rPr>
        <w:fldChar w:fldCharType="end"/>
      </w:r>
      <w:r w:rsidRPr="00E3232D">
        <w:rPr>
          <w:rFonts w:ascii="Book Antiqua" w:hAnsi="Book Antiqua"/>
        </w:rPr>
        <w:t xml:space="preserve">. Detection of HIV RNA in the serum provides a sensitive and specific </w:t>
      </w:r>
      <w:r w:rsidRPr="00E3232D">
        <w:rPr>
          <w:rFonts w:ascii="Book Antiqua" w:hAnsi="Book Antiqua"/>
        </w:rPr>
        <w:lastRenderedPageBreak/>
        <w:t xml:space="preserve">diagnosis of HIV infection in patients in the very early stages of infection when antibodies may not be yet detectable. </w:t>
      </w:r>
    </w:p>
    <w:p w14:paraId="71D118F8" w14:textId="77777777" w:rsidR="001D1BD3" w:rsidRPr="00E3232D" w:rsidRDefault="001D1BD3" w:rsidP="001B1B96">
      <w:pPr>
        <w:autoSpaceDE w:val="0"/>
        <w:autoSpaceDN w:val="0"/>
        <w:adjustRightInd w:val="0"/>
        <w:spacing w:after="0"/>
        <w:jc w:val="both"/>
        <w:rPr>
          <w:rFonts w:ascii="Book Antiqua" w:hAnsi="Book Antiqua"/>
        </w:rPr>
      </w:pPr>
      <w:r w:rsidRPr="00E3232D">
        <w:rPr>
          <w:rFonts w:ascii="Book Antiqua" w:hAnsi="Book Antiqua"/>
        </w:rPr>
        <w:t xml:space="preserve">Enzyme linked immunosorbent assay (ELISA) among other tests is most widely used for the detection of antibodies to HIV proteins and is recommended because of its sensitivity and specificity </w:t>
      </w:r>
      <w:r w:rsidR="001815AD" w:rsidRPr="00E3232D">
        <w:rPr>
          <w:rFonts w:ascii="Book Antiqua" w:hAnsi="Book Antiqua"/>
        </w:rPr>
        <w:fldChar w:fldCharType="begin"/>
      </w:r>
      <w:r w:rsidRPr="00E3232D">
        <w:rPr>
          <w:rFonts w:ascii="Book Antiqua" w:hAnsi="Book Antiqua"/>
        </w:rPr>
        <w:instrText xml:space="preserve"> ADDIN EN.CITE &lt;EndNote&gt;&lt;Cite&gt;&lt;Author&gt;Torane&lt;/Author&gt;&lt;Year&gt;2008&lt;/Year&gt;&lt;RecNum&gt;49&lt;/RecNum&gt;&lt;record&gt;&lt;rec-number&gt;49&lt;/rec-number&gt;&lt;foreign-keys&gt;&lt;key app="EN" db-id="05wpze2fk5fresed2vkpw0zu20z0d5wwpfar"&gt;49&lt;/key&gt;&lt;/foreign-keys&gt;&lt;ref-type name="Journal Article"&gt;17&lt;/ref-type&gt;&lt;contributors&gt;&lt;authors&gt;&lt;author&gt;Torane, V. P.&lt;/author&gt;&lt;author&gt;Shastri, J. S.&lt;/author&gt;&lt;/authors&gt;&lt;/contributors&gt;&lt;titles&gt;&lt;title&gt;Comparison of ELISA and rapid screening tests for the diagnosis of HIV, Hepatitis B and Hepatitis C among healthy blood donors in a tertiary care hospital in Mumbai&lt;/title&gt;&lt;secondary-title&gt;Indian J Med Microbiol&lt;/secondary-title&gt;&lt;/titles&gt;&lt;periodical&gt;&lt;full-title&gt;Indian J Med Microbiol&lt;/full-title&gt;&lt;/periodical&gt;&lt;pages&gt;284-5&lt;/pages&gt;&lt;volume&gt;26&lt;/volume&gt;&lt;number&gt;3&lt;/number&gt;&lt;edition&gt;2008/08/13&lt;/edition&gt;&lt;keywords&gt;&lt;keyword&gt;*Blood Donors&lt;/keyword&gt;&lt;keyword&gt;Enzyme-Linked Immunosorbent Assay&lt;/keyword&gt;&lt;keyword&gt;HIV Infections/*diagnosis&lt;/keyword&gt;&lt;keyword&gt;Hepatitis B/*diagnosis&lt;/keyword&gt;&lt;keyword&gt;Hepatitis C/*diagnosis&lt;/keyword&gt;&lt;keyword&gt;Hospitals&lt;/keyword&gt;&lt;keyword&gt;Humans&lt;/keyword&gt;&lt;keyword&gt;Mass Screening/*methods&lt;/keyword&gt;&lt;keyword&gt;*Molecular Diagnostic Techniques&lt;/keyword&gt;&lt;/keywords&gt;&lt;dates&gt;&lt;year&gt;2008&lt;/year&gt;&lt;pub-dates&gt;&lt;date&gt;Jul-Sep&lt;/date&gt;&lt;/pub-dates&gt;&lt;/dates&gt;&lt;isbn&gt;0255-0857 (Print)&amp;#xD;0255-0857 (Linking)&lt;/isbn&gt;&lt;accession-num&gt;18695340&lt;/accession-num&gt;&lt;urls&gt;&lt;related-urls&gt;&lt;url&gt;http://www.ncbi.nlm.nih.gov/entrez/query.fcgi?cmd=Retrieve&amp;amp;db=PubMed&amp;amp;dopt=Citation&amp;amp;list_uids=18695340&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(Torane and Shastri, 2008)</w:t>
      </w:r>
      <w:r w:rsidR="001815AD" w:rsidRPr="00E3232D">
        <w:rPr>
          <w:rFonts w:ascii="Book Antiqua" w:hAnsi="Book Antiqua"/>
        </w:rPr>
        <w:fldChar w:fldCharType="end"/>
      </w:r>
      <w:r w:rsidRPr="00E3232D">
        <w:rPr>
          <w:rFonts w:ascii="Book Antiqua" w:hAnsi="Book Antiqua"/>
        </w:rPr>
        <w:t xml:space="preserve">. </w:t>
      </w:r>
    </w:p>
    <w:p w14:paraId="7DB7C43F" w14:textId="77777777" w:rsidR="001D1BD3" w:rsidRPr="00E3232D" w:rsidRDefault="001D1BD3" w:rsidP="00311945">
      <w:pPr>
        <w:autoSpaceDE w:val="0"/>
        <w:autoSpaceDN w:val="0"/>
        <w:adjustRightInd w:val="0"/>
        <w:spacing w:after="0"/>
        <w:jc w:val="both"/>
        <w:rPr>
          <w:rFonts w:ascii="Book Antiqua" w:hAnsi="Book Antiqua"/>
        </w:rPr>
      </w:pPr>
    </w:p>
    <w:p w14:paraId="0DF0A34B"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1.6 </w:t>
      </w:r>
      <w:r w:rsidRPr="00E3232D">
        <w:rPr>
          <w:rFonts w:ascii="Book Antiqua" w:hAnsi="Book Antiqua"/>
          <w:b/>
        </w:rPr>
        <w:t>Sexual behaviors and HIV/AIDS transmission</w:t>
      </w:r>
    </w:p>
    <w:p w14:paraId="63B53834" w14:textId="77777777" w:rsidR="00311945" w:rsidRDefault="001D1BD3" w:rsidP="00311945">
      <w:pPr>
        <w:autoSpaceDE w:val="0"/>
        <w:autoSpaceDN w:val="0"/>
        <w:adjustRightInd w:val="0"/>
        <w:jc w:val="both"/>
        <w:rPr>
          <w:rFonts w:ascii="Book Antiqua" w:hAnsi="Book Antiqua"/>
        </w:rPr>
      </w:pPr>
      <w:r w:rsidRPr="00E3232D">
        <w:rPr>
          <w:rFonts w:ascii="Book Antiqua" w:hAnsi="Book Antiqua"/>
        </w:rPr>
        <w:t xml:space="preserve">In Sub-Saharan Africa, different cultural, social and behavioral aspects determine the regional characteristics of HIV/AIDS </w:t>
      </w:r>
      <w:r w:rsidR="001815AD" w:rsidRPr="00E3232D">
        <w:rPr>
          <w:rFonts w:ascii="Book Antiqua" w:hAnsi="Book Antiqua"/>
        </w:rPr>
        <w:fldChar w:fldCharType="begin">
          <w:fldData xml:space="preserve">PEVuZE5vdGU+PENpdGU+PEF1dGhvcj5CdXJyZWxsPC9BdXRob3I+PFllYXI+MjAxMDwvWWVhcj48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PEVuZE5vdGU+PENpdGU+PEF1dGhvcj5CdXJyZWxsPC9BdXRob3I+PFllYXI+MjAxMDwvWWVhcj48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(Burrell et al., 2010)</w:t>
      </w:r>
      <w:r w:rsidR="001815AD" w:rsidRPr="00E3232D">
        <w:rPr>
          <w:rFonts w:ascii="Book Antiqua" w:hAnsi="Book Antiqua"/>
        </w:rPr>
        <w:fldChar w:fldCharType="end"/>
      </w:r>
      <w:r w:rsidRPr="00E3232D">
        <w:rPr>
          <w:rFonts w:ascii="Book Antiqua" w:hAnsi="Book Antiqua"/>
        </w:rPr>
        <w:t xml:space="preserve">. The ability of individuals to be aware of, initiate, and sustain safer sexual behaviors may largely depend upon societal sexual norms and practices, and not just self-perceived susceptibility to HIV infection </w:t>
      </w:r>
      <w:r w:rsidR="001815AD" w:rsidRPr="00E3232D">
        <w:rPr>
          <w:rFonts w:ascii="Book Antiqua" w:hAnsi="Book Antiqua"/>
        </w:rPr>
        <w:fldChar w:fldCharType="begin">
          <w:fldData xml:space="preserve">PEVuZE5vdGU+PENpdGU+PEF1dGhvcj5CdXJyZWxsPC9BdXRob3I+PFllYXI+MjAxMDwvWWVhcj48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=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PEVuZE5vdGU+PENpdGU+PEF1dGhvcj5CdXJyZWxsPC9BdXRob3I+PFllYXI+MjAxMDwvWWVhcj48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=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(Nahom et al., 2001; Burrell et al., 2010)</w:t>
      </w:r>
      <w:r w:rsidR="001815AD" w:rsidRPr="00E3232D">
        <w:rPr>
          <w:rFonts w:ascii="Book Antiqua" w:hAnsi="Book Antiqua"/>
        </w:rPr>
        <w:fldChar w:fldCharType="end"/>
      </w:r>
      <w:r w:rsidRPr="00E3232D">
        <w:rPr>
          <w:rFonts w:ascii="Book Antiqua" w:hAnsi="Book Antiqua"/>
        </w:rPr>
        <w:t xml:space="preserve">. Sexual practices such as fellatio and cunnilingus appear to be but are not absolutely safe </w:t>
      </w:r>
      <w:r w:rsidR="001815AD" w:rsidRPr="00E3232D">
        <w:rPr>
          <w:rFonts w:ascii="Book Antiqua" w:hAnsi="Book Antiqua"/>
        </w:rPr>
        <w:fldChar w:fldCharType="begin"/>
      </w:r>
      <w:r w:rsidRPr="00E3232D">
        <w:rPr>
          <w:rFonts w:ascii="Book Antiqua" w:hAnsi="Book Antiqua"/>
        </w:rPr>
        <w:instrText xml:space="preserve"> ADDIN EN.CITE &lt;EndNote&gt;&lt;Cite&gt;&lt;Author&gt;Bay-Cheng&lt;/Author&gt;&lt;Year&gt;2010&lt;/Year&gt;&lt;RecNum&gt;51&lt;/RecNum&gt;&lt;record&gt;&lt;rec-number&gt;51&lt;/rec-number&gt;&lt;foreign-keys&gt;&lt;key app="EN" db-id="05wpze2fk5fresed2vkpw0zu20z0d5wwpfar"&gt;51&lt;/key&gt;&lt;/foreign-keys&gt;&lt;ref-type name="Journal Article"&gt;17&lt;/ref-type&gt;&lt;contributors&gt;&lt;authors&gt;&lt;author&gt;Bay-Cheng, L. Y.&lt;/author&gt;&lt;author&gt;Fava, N. M.&lt;/author&gt;&lt;/authors&gt;&lt;/contributors&gt;&lt;auth-address&gt;School of Social Work, University at Buffalo, Buffalo, NY 14260-1050, USA.&lt;/auth-address&gt;&lt;titles&gt;&lt;title&gt;Young women&amp;apos;s experiences and perceptions of cunnilingus during adolescence&lt;/title&gt;&lt;secondary-title&gt;J Sex Res&lt;/secondary-title&gt;&lt;/titles&gt;&lt;periodical&gt;&lt;full-title&gt;J Sex Res&lt;/full-title&gt;&lt;/periodical&gt;&lt;pages&gt;531-42&lt;/pages&gt;&lt;volume&gt;48&lt;/volume&gt;&lt;number&gt;6&lt;/number&gt;&lt;edition&gt;2010/12/04&lt;/edition&gt;&lt;keywords&gt;&lt;keyword&gt;Adolescent&lt;/keyword&gt;&lt;keyword&gt;Adult&lt;/keyword&gt;&lt;keyword&gt;*Attitude to Health&lt;/keyword&gt;&lt;keyword&gt;Cross-Sectional Studies&lt;/keyword&gt;&lt;keyword&gt;Ethnic Groups&lt;/keyword&gt;&lt;keyword&gt;Female&lt;/keyword&gt;&lt;keyword&gt;Humans&lt;/keyword&gt;&lt;keyword&gt;Male&lt;/keyword&gt;&lt;keyword&gt;Mid-Atlantic Region/epidemiology&lt;/keyword&gt;&lt;keyword&gt;Regression Analysis&lt;/keyword&gt;&lt;keyword&gt;Sexual Behavior/*psychology/*statistics &amp;amp; numerical data&lt;/keyword&gt;&lt;keyword&gt;*Sexual Partners&lt;/keyword&gt;&lt;keyword&gt;Young Adult&lt;/keyword&gt;&lt;/keywords&gt;&lt;dates&gt;&lt;year&gt;2010&lt;/year&gt;&lt;pub-dates&gt;&lt;date&gt;Nov-Dec&lt;/date&gt;&lt;/pub-dates&gt;&lt;/dates&gt;&lt;isbn&gt;1559-8519 (Electronic)&amp;#xD;0022-4499 (Linking)&lt;/isbn&gt;&lt;accession-num&gt;21128154&lt;/accession-num&gt;&lt;urls&gt;&lt;related-urls&gt;&lt;url&gt;http://www.ncbi.nlm.nih.gov/entrez/query.fcgi?cmd=Retrieve&amp;amp;db=PubMed&amp;amp;dopt=Citation&amp;amp;list_uids=21128154&lt;/url&gt;&lt;/related-urls&gt;&lt;/urls&gt;&lt;electronic-resource-num&gt;930479154 [pii]&amp;#xD;10.1080/00224499.2010.535221&lt;/electronic-resource-num&gt;&lt;language&gt;eng&lt;/language&gt;&lt;/record&gt;&lt;/Cite&gt;&lt;/EndNote&gt;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(Bay-Cheng and Fava, 2010)</w:t>
      </w:r>
      <w:r w:rsidR="001815AD" w:rsidRPr="00E3232D">
        <w:rPr>
          <w:rFonts w:ascii="Book Antiqua" w:hAnsi="Book Antiqua"/>
        </w:rPr>
        <w:fldChar w:fldCharType="end"/>
      </w:r>
      <w:r w:rsidRPr="00E3232D">
        <w:rPr>
          <w:rFonts w:ascii="Book Antiqua" w:hAnsi="Book Antiqua"/>
        </w:rPr>
        <w:t>. The greatest risk of HIV/AIDS transmission is through genital intercourse especially anal-receptive intercourse. Use of condoms or vaginal barriers decreases but does not eliminate the risk of disease acquisition.</w:t>
      </w:r>
    </w:p>
    <w:p w14:paraId="3A3A196E"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1.7 </w:t>
      </w:r>
      <w:r w:rsidRPr="00E3232D">
        <w:rPr>
          <w:rFonts w:ascii="Book Antiqua" w:hAnsi="Book Antiqua"/>
          <w:b/>
        </w:rPr>
        <w:t>HIV/AIDS Preventive measures</w:t>
      </w:r>
    </w:p>
    <w:p w14:paraId="61EE5212" w14:textId="77777777" w:rsidR="001D1BD3" w:rsidRPr="00E3232D" w:rsidRDefault="001D1BD3" w:rsidP="00311945">
      <w:pPr>
        <w:jc w:val="both"/>
        <w:rPr>
          <w:rFonts w:ascii="Book Antiqua" w:hAnsi="Book Antiqua"/>
        </w:rPr>
      </w:pPr>
      <w:r w:rsidRPr="00E3232D">
        <w:rPr>
          <w:rFonts w:ascii="Book Antiqua" w:hAnsi="Book Antiqua"/>
        </w:rPr>
        <w:t xml:space="preserve">Rates of new infections in Africa have not dropped dramatically since 1997 </w:t>
      </w:r>
      <w:r w:rsidR="001815AD" w:rsidRPr="00E3232D">
        <w:rPr>
          <w:rFonts w:ascii="Book Antiqua" w:hAnsi="Book Antiqua"/>
        </w:rPr>
        <w:fldChar w:fldCharType="begin"/>
      </w:r>
      <w:r w:rsidRPr="00E3232D">
        <w:rPr>
          <w:rFonts w:ascii="Book Antiqua" w:hAnsi="Book Antiqua"/>
        </w:rPr>
        <w:instrText xml:space="preserve"> ADDIN EN.CITE &lt;EndNote&gt;&lt;Cite&gt;&lt;Author&gt;Kigotho&lt;/Author&gt;&lt;Year&gt;1997&lt;/Year&gt;&lt;RecNum&gt;25&lt;/RecNum&gt;&lt;record&gt;&lt;rec-number&gt;25&lt;/rec-number&gt;&lt;foreign-keys&gt;&lt;key app="EN" db-id="05wpze2fk5fresed2vkpw0zu20z0d5wwpfar"&gt;25&lt;/key&gt;&lt;/foreign-keys&gt;&lt;ref-type name="Journal Article"&gt;17&lt;/ref-type&gt;&lt;contributors&gt;&lt;authors&gt;&lt;author&gt;Kigotho, A. W.&lt;/author&gt;&lt;/authors&gt;&lt;/contributors&gt;&lt;titles&gt;&lt;title&gt;HIV-1 statistics bring good news for Uganda&lt;/title&gt;&lt;secondary-title&gt;Lancet&lt;/secondary-title&gt;&lt;/titles&gt;&lt;periodical&gt;&lt;full-title&gt;Lancet&lt;/full-title&gt;&lt;/periodical&gt;&lt;pages&gt;1456&lt;/pages&gt;&lt;volume&gt;350&lt;/volume&gt;&lt;number&gt;9089&lt;/number&gt;&lt;edition&gt;1997/11/26&lt;/edition&gt;&lt;keywords&gt;&lt;keyword&gt;Adolescent&lt;/keyword&gt;&lt;keyword&gt;Adult&lt;/keyword&gt;&lt;keyword&gt;Female&lt;/keyword&gt;&lt;keyword&gt;HIV Infections/*epidemiology&lt;/keyword&gt;&lt;keyword&gt;*Hiv-1&lt;/keyword&gt;&lt;keyword&gt;Humans&lt;/keyword&gt;&lt;keyword&gt;Male&lt;/keyword&gt;&lt;keyword&gt;Pregnancy&lt;/keyword&gt;&lt;keyword&gt;Uganda/epidemiology&lt;/keyword&gt;&lt;/keywords&gt;&lt;dates&gt;&lt;year&gt;1997&lt;/year&gt;&lt;pub-dates&gt;&lt;date&gt;Nov 15&lt;/date&gt;&lt;/pub-dates&gt;&lt;/dates&gt;&lt;isbn&gt;0140-6736 (Print)&amp;#xD;0140-6736 (Linking)&lt;/isbn&gt;&lt;accession-num&gt;9371180&lt;/accession-num&gt;&lt;urls&gt;&lt;related-urls&gt;&lt;url&gt;http://www.ncbi.nlm.nih.gov/entrez/query.fcgi?cmd=Retrieve&amp;amp;db=PubMed&amp;amp;dopt=Citation&amp;amp;list_uids=9371180&lt;/url&gt;&lt;/related-urls&gt;&lt;/urls&gt;&lt;electronic-resource-num&gt;S0140-6736(05)64230-4 [pii]&amp;#xD;10.1016/S0140-6736(05)64230-4&lt;/electronic-resource-num&gt;&lt;language&gt;eng&lt;/language&gt;&lt;/record&gt;&lt;/Cite&gt;&lt;/EndNote&gt;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(Kigotho, 1997)</w:t>
      </w:r>
      <w:r w:rsidR="001815AD" w:rsidRPr="00E3232D">
        <w:rPr>
          <w:rFonts w:ascii="Book Antiqua" w:hAnsi="Book Antiqua"/>
        </w:rPr>
        <w:fldChar w:fldCharType="end"/>
      </w:r>
      <w:r w:rsidRPr="00E3232D">
        <w:rPr>
          <w:rFonts w:ascii="Book Antiqua" w:hAnsi="Book Antiqua"/>
        </w:rPr>
        <w:t xml:space="preserve">. Even with current efforts, approximately 2.5 million persons are infected with HIV each year </w:t>
      </w:r>
      <w:r w:rsidR="001815AD" w:rsidRPr="00E3232D">
        <w:rPr>
          <w:rFonts w:ascii="Book Antiqua" w:hAnsi="Book Antiqua"/>
        </w:rPr>
        <w:fldChar w:fldCharType="begin"/>
      </w:r>
      <w:r w:rsidRPr="00E3232D">
        <w:rPr>
          <w:rFonts w:ascii="Book Antiqua" w:hAnsi="Book Antiqua"/>
        </w:rPr>
        <w:instrText xml:space="preserve"> ADDIN EN.CITE &lt;EndNote&gt;&lt;Cite&gt;&lt;Author&gt;Longini&lt;/Author&gt;&lt;Year&gt;1994&lt;/Year&gt;&lt;RecNum&gt;26&lt;/RecNum&gt;&lt;record&gt;&lt;rec-number&gt;26&lt;/rec-number&gt;&lt;foreign-keys&gt;&lt;key app="EN" db-id="05wpze2fk5fresed2vkpw0zu20z0d5wwpfar"&gt;26&lt;/key&gt;&lt;/foreign-keys&gt;&lt;ref-type name="Journal Article"&gt;17&lt;/ref-type&gt;&lt;contributors&gt;&lt;authors&gt;&lt;author&gt;Longini, I. M., Jr.&lt;/author&gt;&lt;/authors&gt;&lt;/contributors&gt;&lt;titles&gt;&lt;title&gt;The Statistics of HIV&lt;/title&gt;&lt;secondary-title&gt;Science&lt;/secondary-title&gt;&lt;/titles&gt;&lt;periodical&gt;&lt;full-title&gt;Science&lt;/full-title&gt;&lt;/periodical&gt;&lt;pages&gt;1602-3&lt;/pages&gt;&lt;volume&gt;265&lt;/volume&gt;&lt;number&gt;5178&lt;/number&gt;&lt;edition&gt;1994/09/09&lt;/edition&gt;&lt;dates&gt;&lt;year&gt;1994&lt;/year&gt;&lt;pub-dates&gt;&lt;date&gt;Sep 9&lt;/date&gt;&lt;/pub-dates&gt;&lt;/dates&gt;&lt;isbn&gt;0036-8075 (Print)&amp;#xD;0036-8075 (Linking)&lt;/isbn&gt;&lt;accession-num&gt;17801538&lt;/accession-num&gt;&lt;urls&gt;&lt;related-urls&gt;&lt;url&gt;http://www.ncbi.nlm.nih.gov/entrez/query.fcgi?cmd=Retrieve&amp;amp;db=PubMed&amp;amp;dopt=Citation&amp;amp;list_uids=17801538&lt;/url&gt;&lt;/related-urls&gt;&lt;/urls&gt;&lt;electronic-resource-num&gt;265/5178/1602 [pii]&amp;#xD;10.1126/science.265.5178.1602&lt;/electronic-resource-num&gt;&lt;language&gt;eng&lt;/language&gt;&lt;/record&gt;&lt;/Cite&gt;&lt;/EndNote&gt;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(Longini, 1994)</w:t>
      </w:r>
      <w:r w:rsidR="001815AD" w:rsidRPr="00E3232D">
        <w:rPr>
          <w:rFonts w:ascii="Book Antiqua" w:hAnsi="Book Antiqua"/>
        </w:rPr>
        <w:fldChar w:fldCharType="end"/>
      </w:r>
      <w:r w:rsidRPr="00E3232D">
        <w:rPr>
          <w:rFonts w:ascii="Book Antiqua" w:hAnsi="Book Antiqua"/>
        </w:rPr>
        <w:t xml:space="preserve">. AIDS does not only affect infected </w:t>
      </w:r>
      <w:r w:rsidRPr="00E3232D">
        <w:rPr>
          <w:rFonts w:ascii="Book Antiqua" w:hAnsi="Book Antiqua"/>
        </w:rPr>
        <w:t xml:space="preserve">individuals, their relatives and friends but also the health sector and the economy at large </w:t>
      </w:r>
      <w:r w:rsidR="001815AD" w:rsidRPr="00E3232D">
        <w:rPr>
          <w:rFonts w:ascii="Book Antiqua" w:hAnsi="Book Antiqua"/>
        </w:rPr>
        <w:fldChar w:fldCharType="begin">
          <w:fldData xml:space="preserve">PEVuZE5vdGU+PENpdGU+PEF1dGhvcj5EcnVtbW9uZDwvQXV0aG9yPjxZZWFyPjE5ODk8L1llYXI+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PEVuZE5vdGU+PENpdGU+PEF1dGhvcj5EcnVtbW9uZDwvQXV0aG9yPjxZZWFyPjE5ODk8L1llYXI+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(Drummond, 1989; Johnson, 1989)</w:t>
      </w:r>
      <w:r w:rsidR="001815AD" w:rsidRPr="00E3232D">
        <w:rPr>
          <w:rFonts w:ascii="Book Antiqua" w:hAnsi="Book Antiqua"/>
        </w:rPr>
        <w:fldChar w:fldCharType="end"/>
      </w:r>
      <w:r w:rsidRPr="00E3232D">
        <w:rPr>
          <w:rFonts w:ascii="Book Antiqua" w:hAnsi="Book Antiqua"/>
        </w:rPr>
        <w:t>.</w:t>
      </w:r>
    </w:p>
    <w:p w14:paraId="0ECF76D3" w14:textId="77777777" w:rsidR="001D1BD3" w:rsidRPr="00E3232D" w:rsidRDefault="001D1BD3" w:rsidP="001B1B96">
      <w:pPr>
        <w:spacing w:after="0"/>
        <w:jc w:val="both"/>
        <w:rPr>
          <w:rFonts w:ascii="Book Antiqua" w:hAnsi="Book Antiqua"/>
        </w:rPr>
      </w:pPr>
      <w:r w:rsidRPr="00E3232D">
        <w:rPr>
          <w:rFonts w:ascii="Book Antiqua" w:hAnsi="Book Antiqua"/>
        </w:rPr>
        <w:t xml:space="preserve">The 2002 UNICEF report strongly suggested that appropriate education regarding HIV transmission and safe sexual practices in young people can prevent HIV infection and stop the AIDS epidemic </w:t>
      </w:r>
      <w:r w:rsidR="001815AD" w:rsidRPr="00E3232D">
        <w:rPr>
          <w:rFonts w:ascii="Book Antiqua" w:hAnsi="Book Antiqua"/>
        </w:rPr>
        <w:fldChar w:fldCharType="begin"/>
      </w:r>
      <w:r w:rsidRPr="00E3232D">
        <w:rPr>
          <w:rFonts w:ascii="Book Antiqua" w:hAnsi="Book Antiqua"/>
        </w:rPr>
        <w:instrText xml:space="preserve"> ADDIN EN.CITE &lt;EndNote&gt;&lt;Cite&gt;&lt;Author&gt;UNICEF&lt;/Author&gt;&lt;Year&gt;2002&lt;/Year&gt;&lt;RecNum&gt;22&lt;/RecNum&gt;&lt;record&gt;&lt;rec-number&gt;22&lt;/rec-number&gt;&lt;foreign-keys&gt;&lt;key app="EN" db-id="05wpze2fk5fresed2vkpw0zu20z0d5wwpfar"&gt;22&lt;/key&gt;&lt;/foreign-keys&gt;&lt;ref-type name="Journal Article"&gt;17&lt;/ref-type&gt;&lt;contributors&gt;&lt;authors&gt;&lt;author&gt;UNICEF&lt;/author&gt;&lt;/authors&gt;&lt;/contributors&gt;&lt;titles&gt;&lt;title&gt;WHO, UNICEF, UNAIDS, World Bank, UNESCO, and UNFPA report on response to infectious diseases&lt;/title&gt;&lt;secondary-title&gt;Public Health Rep&lt;/secondary-title&gt;&lt;/titles&gt;&lt;periodical&gt;&lt;full-title&gt;Public Health Rep&lt;/full-title&gt;&lt;/periodical&gt;&lt;pages&gt;84-5&lt;/pages&gt;&lt;volume&gt;117&lt;/volume&gt;&lt;number&gt;1&lt;/number&gt;&lt;edition&gt;2002/11/06&lt;/edition&gt;&lt;keywords&gt;&lt;keyword&gt;*Communicable Disease Control&lt;/keyword&gt;&lt;keyword&gt;Communicable Diseases/*economics&lt;/keyword&gt;&lt;keyword&gt;Humans&lt;/keyword&gt;&lt;keyword&gt;International Agencies&lt;/keyword&gt;&lt;keyword&gt;*Poverty&lt;/keyword&gt;&lt;keyword&gt;*World Health&lt;/keyword&gt;&lt;/keywords&gt;&lt;dates&gt;&lt;year&gt;2002&lt;/year&gt;&lt;pub-dates&gt;&lt;date&gt;Jan-Feb&lt;/date&gt;&lt;/pub-dates&gt;&lt;/dates&gt;&lt;isbn&gt;0033-3549 (Print)&amp;#xD;0033-3549 (Linking)&lt;/isbn&gt;&lt;accession-num&gt;12418048&lt;/accession-num&gt;&lt;urls&gt;&lt;related-urls&gt;&lt;url&gt;http://www.ncbi.nlm.nih.gov/entrez/query.fcgi?cmd=Retrieve&amp;amp;db=PubMed&amp;amp;dopt=Citation&amp;amp;list_uids=12418048&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(UNICEF, 2002)</w:t>
      </w:r>
      <w:r w:rsidR="001815AD" w:rsidRPr="00E3232D">
        <w:rPr>
          <w:rFonts w:ascii="Book Antiqua" w:hAnsi="Book Antiqua"/>
        </w:rPr>
        <w:fldChar w:fldCharType="end"/>
      </w:r>
      <w:r w:rsidRPr="00E3232D">
        <w:rPr>
          <w:rFonts w:ascii="Book Antiqua" w:hAnsi="Book Antiqua"/>
        </w:rPr>
        <w:t xml:space="preserve">. Educational interventions to rectify misconceptions, provide correct information on HIV/AIDS transmission and development of safe sexual practices should be put into practice </w:t>
      </w:r>
      <w:r w:rsidR="001815AD" w:rsidRPr="00E3232D">
        <w:rPr>
          <w:rFonts w:ascii="Book Antiqua" w:hAnsi="Book Antiqua"/>
        </w:rPr>
        <w:fldChar w:fldCharType="begin">
          <w:fldData xml:space="preserve">PEVuZE5vdGU+PENpdGU+PEF1dGhvcj5HdXJ0bGVyPC9BdXRob3I+PFllYXI+MjAwNzwvWWVhcj48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PEVuZE5vdGU+PENpdGU+PEF1dGhvcj5HdXJ0bGVyPC9BdXRob3I+PFllYXI+MjAwNzwvWWVhcj48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(Gurtler, 2007; Nagamatsu et al., 2011)</w:t>
      </w:r>
      <w:r w:rsidR="001815AD" w:rsidRPr="00E3232D">
        <w:rPr>
          <w:rFonts w:ascii="Book Antiqua" w:hAnsi="Book Antiqua"/>
        </w:rPr>
        <w:fldChar w:fldCharType="end"/>
      </w:r>
      <w:r w:rsidRPr="00E3232D">
        <w:rPr>
          <w:rFonts w:ascii="Book Antiqua" w:hAnsi="Book Antiqua"/>
        </w:rPr>
        <w:t xml:space="preserve">. </w:t>
      </w:r>
    </w:p>
    <w:p w14:paraId="480E40E9" w14:textId="77777777" w:rsidR="00B80AC1" w:rsidRDefault="00B80AC1" w:rsidP="00311945">
      <w:pPr>
        <w:autoSpaceDE w:val="0"/>
        <w:autoSpaceDN w:val="0"/>
        <w:adjustRightInd w:val="0"/>
        <w:spacing w:after="0"/>
        <w:jc w:val="both"/>
        <w:rPr>
          <w:rFonts w:ascii="Book Antiqua" w:hAnsi="Book Antiqua"/>
        </w:rPr>
      </w:pPr>
    </w:p>
    <w:p w14:paraId="65DD16B0"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 xml:space="preserve">Fakolade et al (2009) showed that education through the mass media can change health-related beliefs and behavior, especially when supplemented with interpersonal communication </w:t>
      </w:r>
      <w:r w:rsidR="001815AD" w:rsidRPr="00E3232D">
        <w:rPr>
          <w:rFonts w:ascii="Book Antiqua" w:hAnsi="Book Antiqua"/>
        </w:rPr>
        <w:fldChar w:fldCharType="begin"/>
      </w:r>
      <w:r w:rsidRPr="00E3232D">
        <w:rPr>
          <w:rFonts w:ascii="Book Antiqua" w:hAnsi="Book Antiqua"/>
        </w:rPr>
        <w:instrText xml:space="preserve"> ADDIN EN.CITE &lt;EndNote&gt;&lt;Cite&gt;&lt;Author&gt;Fakolade&lt;/Author&gt;&lt;Year&gt;2009&lt;/Year&gt;&lt;RecNum&gt;58&lt;/RecNum&gt;&lt;record&gt;&lt;rec-number&gt;58&lt;/rec-number&gt;&lt;foreign-keys&gt;&lt;key app="EN" db-id="05wpze2fk5fresed2vkpw0zu20z0d5wwpfar"&gt;58&lt;/key&gt;&lt;/foreign-keys&gt;&lt;ref-type name="Journal Article"&gt;17&lt;/ref-type&gt;&lt;contributors&gt;&lt;authors&gt;&lt;author&gt;Fakolade, R.&lt;/author&gt;&lt;author&gt;Adebayo, S. B.&lt;/author&gt;&lt;author&gt;Anyanti, J.&lt;/author&gt;&lt;author&gt;Ankomah, A.&lt;/author&gt;&lt;/authors&gt;&lt;/contributors&gt;&lt;auth-address&gt;The Society for Family Health, Garki, Abuja, Nigeria.&lt;/auth-address&gt;&lt;titles&gt;&lt;title&gt;The impact of exposure to mass media campaigns and social support on levels and trends of HIV-related stigma and discrimination in Nigeria: tools for enhancing effective HIV prevention programmes&lt;/title&gt;&lt;secondary-title&gt;J Biosoc Sci&lt;/secondary-title&gt;&lt;/titles&gt;&lt;periodical&gt;&lt;full-title&gt;J Biosoc Sci&lt;/full-title&gt;&lt;/periodical&gt;&lt;pages&gt;395-407&lt;/pages&gt;&lt;volume&gt;42&lt;/volume&gt;&lt;number&gt;3&lt;/number&gt;&lt;edition&gt;2009/12/19&lt;/edition&gt;&lt;keywords&gt;&lt;keyword&gt;Adolescent&lt;/keyword&gt;&lt;keyword&gt;Adult&lt;/keyword&gt;&lt;keyword&gt;Female&lt;/keyword&gt;&lt;keyword&gt;*HIV Infections/epidemiology/prevention &amp;amp; control/psychology&lt;/keyword&gt;&lt;keyword&gt;Health Promotion&lt;/keyword&gt;&lt;keyword&gt;Humans&lt;/keyword&gt;&lt;keyword&gt;Male&lt;/keyword&gt;&lt;keyword&gt;*Mass Media&lt;/keyword&gt;&lt;keyword&gt;Middle Aged&lt;/keyword&gt;&lt;keyword&gt;Nigeria/epidemiology&lt;/keyword&gt;&lt;keyword&gt;*Prejudice&lt;/keyword&gt;&lt;keyword&gt;Preventive Health Services/*organization &amp;amp; administration/standards&lt;/keyword&gt;&lt;keyword&gt;Program Development&lt;/keyword&gt;&lt;keyword&gt;*Social Support&lt;/keyword&gt;&lt;keyword&gt;*Stereotyping&lt;/keyword&gt;&lt;keyword&gt;Young Adult&lt;/keyword&gt;&lt;/keywords&gt;&lt;dates&gt;&lt;year&gt;2009&lt;/year&gt;&lt;pub-dates&gt;&lt;date&gt;May&lt;/date&gt;&lt;/pub-dates&gt;&lt;/dates&gt;&lt;isbn&gt;1469-7599 (Electronic)&amp;#xD;0021-9320 (Linking)&lt;/isbn&gt;&lt;accession-num&gt;20018118&lt;/accession-num&gt;&lt;urls&gt;&lt;related-urls&gt;&lt;url&gt;http://www.ncbi.nlm.nih.gov/entrez/query.fcgi?cmd=Retrieve&amp;amp;db=PubMed&amp;amp;dopt=Citation&amp;amp;list_uids=20018118&lt;/url&gt;&lt;/related-urls&gt;&lt;/urls&gt;&lt;electronic-resource-num&gt;S0021932009990538 [pii]&amp;#xD;10.1017/S0021932009990538&lt;/electronic-resource-num&gt;&lt;language&gt;eng&lt;/language&gt;&lt;/record&gt;&lt;/Cite&gt;&lt;/EndNote&gt;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(Fakolade et al., 2009)</w:t>
      </w:r>
      <w:r w:rsidR="001815AD" w:rsidRPr="00E3232D">
        <w:rPr>
          <w:rFonts w:ascii="Book Antiqua" w:hAnsi="Book Antiqua"/>
        </w:rPr>
        <w:fldChar w:fldCharType="end"/>
      </w:r>
      <w:r w:rsidRPr="00E3232D">
        <w:rPr>
          <w:rFonts w:ascii="Book Antiqua" w:hAnsi="Book Antiqua"/>
        </w:rPr>
        <w:t xml:space="preserve">. AIDS education research has shown that the mass media can set a social agenda by heightening public awareness of the AIDS epidemic and stimulate discussions </w:t>
      </w:r>
      <w:r w:rsidR="001815AD" w:rsidRPr="00E3232D">
        <w:rPr>
          <w:rFonts w:ascii="Book Antiqua" w:hAnsi="Book Antiqua"/>
        </w:rPr>
        <w:fldChar w:fldCharType="begin">
          <w:fldData xml:space="preserve">PEVuZE5vdGU+PENpdGU+PEF1dGhvcj5Sb21lcjwvQXV0aG9yPjxZZWFyPjIwMDk8L1llYXI+PFJl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PEVuZE5vdGU+PENpdGU+PEF1dGhvcj5Sb21lcjwvQXV0aG9yPjxZZWFyPjIwMDk8L1llYXI+PFJl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(Romer et al., 2009)</w:t>
      </w:r>
      <w:r w:rsidR="001815AD" w:rsidRPr="00E3232D">
        <w:rPr>
          <w:rFonts w:ascii="Book Antiqua" w:hAnsi="Book Antiqua"/>
        </w:rPr>
        <w:fldChar w:fldCharType="end"/>
      </w:r>
      <w:r w:rsidRPr="00E3232D">
        <w:rPr>
          <w:rFonts w:ascii="Book Antiqua" w:hAnsi="Book Antiqua"/>
        </w:rPr>
        <w:t xml:space="preserve">. Factual HIV/AIDS information from the media can reduce misconceptions and fears about HIV transmission, reduce HIV/AIDS related stigma and alert high-risk groups to their susceptibility to the disease acquisition </w:t>
      </w:r>
      <w:r w:rsidR="001815AD" w:rsidRPr="00E3232D">
        <w:rPr>
          <w:rFonts w:ascii="Book Antiqua" w:hAnsi="Book Antiqua"/>
        </w:rPr>
        <w:fldChar w:fldCharType="begin"/>
      </w:r>
      <w:r w:rsidRPr="00E3232D">
        <w:rPr>
          <w:rFonts w:ascii="Book Antiqua" w:hAnsi="Book Antiqua"/>
        </w:rPr>
        <w:instrText xml:space="preserve"> ADDIN EN.CITE &lt;EndNote&gt;&lt;Cite&gt;&lt;Author&gt;Fakolade&lt;/Author&gt;&lt;Year&gt;2009&lt;/Year&gt;&lt;RecNum&gt;1101&lt;/RecNum&gt;&lt;record&gt;&lt;rec-number&gt;1101&lt;/rec-number&gt;&lt;foreign-keys&gt;&lt;key app="EN" db-id="dt0sz05v6ftaspe9szqp0d5hz90vz5xdp92a"&gt;1101&lt;/key&gt;&lt;/foreign-keys&gt;&lt;ref-type name="Journal Article"&gt;17&lt;/ref-type&gt;&lt;contributors&gt;&lt;authors&gt;&lt;author&gt;Fakolade, R.&lt;/author&gt;&lt;author&gt;Adebayo, S. B.&lt;/author&gt;&lt;author&gt;Anyanti, J.&lt;/author&gt;&lt;author&gt;Ankomah, A.&lt;/author&gt;&lt;/authors&gt;&lt;/contributors&gt;&lt;auth-address&gt;The Society for Family Health, Garki, Abuja, Nigeria.&lt;/auth-address&gt;&lt;titles&gt;&lt;title&gt;The impact of exposure to mass media campaigns and social support on levels and trends of HIV-related stigma and discrimination in Nigeria: tools for enhancing effective HIV prevention programmes&lt;/title&gt;&lt;secondary-title&gt;J Biosoc Sci&lt;/secondary-title&gt;&lt;/titles&gt;&lt;periodical&gt;&lt;full-title&gt;J Biosoc Sci&lt;/full-title&gt;&lt;/periodical&gt;&lt;pages&gt;395-407&lt;/pages&gt;&lt;volume&gt;42&lt;/volume&gt;&lt;number&gt;3&lt;/number&gt;&lt;edition&gt;2009/12/19&lt;/edition&gt;&lt;keywords&gt;&lt;keyword&gt;Adolescent&lt;/keyword&gt;&lt;keyword&gt;Adult&lt;/keyword&gt;&lt;keyword&gt;Female&lt;/keyword&gt;&lt;keyword&gt;*HIV Infections/epidemiology/prevention &amp;amp; control/psychology&lt;/keyword&gt;&lt;keyword&gt;Health Promotion&lt;/keyword&gt;&lt;keyword&gt;Humans&lt;/keyword&gt;&lt;keyword&gt;Male&lt;/keyword&gt;&lt;keyword&gt;*Mass Media&lt;/keyword&gt;&lt;keyword&gt;Middle Aged&lt;/keyword&gt;&lt;keyword&gt;Nigeria/epidemiology&lt;/keyword&gt;&lt;keyword&gt;*Prejudice&lt;/keyword&gt;&lt;keyword&gt;Preventive Health Services/*organization &amp;amp; administration/standards&lt;/keyword&gt;&lt;keyword&gt;Program Development&lt;/keyword&gt;&lt;keyword&gt;*Social Support&lt;/keyword&gt;&lt;keyword&gt;*Stereotyping&lt;/keyword&gt;&lt;keyword&gt;Young Adult&lt;/keyword&gt;&lt;/keywords&gt;&lt;dates&gt;&lt;year&gt;2009&lt;/year&gt;&lt;pub-dates&gt;&lt;date&gt;May&lt;/date&gt;&lt;/pub-dates&gt;&lt;/dates&gt;&lt;isbn&gt;1469-7599 (Electronic)&amp;#xD;0021-9320 (Linking)&lt;/isbn&gt;&lt;accession-num&gt;20018118&lt;/accession-num&gt;&lt;urls&gt;&lt;related-urls&gt;&lt;url&gt;http://www.ncbi.nlm.nih.gov/entrez/query.fcgi?cmd=Retrieve&amp;amp;db=PubMed&amp;amp;dopt=Citation&amp;amp;list_uids=20018118&lt;/url&gt;&lt;/related-urls&gt;&lt;/urls&gt;&lt;electronic-resource-num&gt;S0021932009990538 [pii]&amp;#xD;10.1017/S0021932009990538&lt;/electronic-resource-num&gt;&lt;language&gt;eng&lt;/language&gt;&lt;/record&gt;&lt;/Cite&gt;&lt;/EndNote&gt;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(Fakolade et al., 2009)</w:t>
      </w:r>
      <w:r w:rsidR="001815AD" w:rsidRPr="00E3232D">
        <w:rPr>
          <w:rFonts w:ascii="Book Antiqua" w:hAnsi="Book Antiqua"/>
        </w:rPr>
        <w:fldChar w:fldCharType="end"/>
      </w:r>
      <w:r w:rsidRPr="00E3232D">
        <w:rPr>
          <w:rFonts w:ascii="Book Antiqua" w:hAnsi="Book Antiqua"/>
        </w:rPr>
        <w:t xml:space="preserve">. Since an effective therapy or vaccine for HIV may be a long way off, it is imperative that we maintain a focus on disease prevention </w:t>
      </w:r>
      <w:r w:rsidR="001815AD" w:rsidRPr="00E3232D">
        <w:rPr>
          <w:rFonts w:ascii="Book Antiqua" w:hAnsi="Book Antiqua"/>
        </w:rPr>
        <w:fldChar w:fldCharType="begin"/>
      </w:r>
      <w:r w:rsidRPr="00E3232D">
        <w:rPr>
          <w:rFonts w:ascii="Book Antiqua" w:hAnsi="Book Antiqua"/>
        </w:rPr>
        <w:instrText xml:space="preserve"> ADDIN EN.CITE &lt;EndNote&gt;&lt;Cite&gt;&lt;Author&gt;Goldrick&lt;/Author&gt;&lt;Year&gt;2003&lt;/Year&gt;&lt;RecNum&gt;60&lt;/RecNum&gt;&lt;record&gt;&lt;rec-number&gt;60&lt;/rec-number&gt;&lt;foreign-keys&gt;&lt;key app="EN" db-id="05wpze2fk5fresed2vkpw0zu20z0d5wwpfar"&gt;60&lt;/key&gt;&lt;/foreign-keys&gt;&lt;ref-type name="Journal Article"&gt;17&lt;/ref-type&gt;&lt;contributors&gt;&lt;authors&gt;&lt;author&gt;Goldrick, B. A.&lt;/author&gt;&lt;/authors&gt;&lt;/contributors&gt;&lt;auth-address&gt;bagoldrick@fastdial.net&lt;/auth-address&gt;&lt;titles&gt;&lt;title&gt;Prevention of HIV: vaccine trials show only limited success&lt;/title&gt;&lt;secondary-title&gt;Am J Nurs&lt;/secondary-title&gt;&lt;/titles&gt;&lt;periodical&gt;&lt;full-title&gt;Am J Nurs&lt;/full-title&gt;&lt;/periodical&gt;&lt;pages&gt;27&lt;/pages&gt;&lt;volume&gt;103&lt;/volume&gt;&lt;number&gt;5&lt;/number&gt;&lt;edition&gt;2003/05/24&lt;/edition&gt;&lt;keywords&gt;&lt;keyword&gt;*AIDS Vaccines&lt;/keyword&gt;&lt;keyword&gt;Clinical Trials, Phase III as Topic&lt;/keyword&gt;&lt;keyword&gt;Female&lt;/keyword&gt;&lt;keyword&gt;HIV Infections/*prevention &amp;amp; control&lt;/keyword&gt;&lt;keyword&gt;Humans&lt;/keyword&gt;&lt;keyword&gt;Male&lt;/keyword&gt;&lt;/keywords&gt;&lt;dates&gt;&lt;year&gt;2003&lt;/year&gt;&lt;pub-dates&gt;&lt;date&gt;May&lt;/date&gt;&lt;/pub-dates&gt;&lt;/dates&gt;&lt;isbn&gt;0002-936X (Print)&amp;#xD;0002-936X (Linking)&lt;/isbn&gt;&lt;accession-num&gt;12762319&lt;/accession-num&gt;&lt;urls&gt;&lt;related-urls&gt;&lt;url&gt;http://www.ncbi.nlm.nih.gov/entrez/query.fcgi?cmd=Retrieve&amp;amp;db=PubMed&amp;amp;dopt=Citation&amp;amp;list_uids=12762319&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(Goldrick, 2003)</w:t>
      </w:r>
      <w:r w:rsidR="001815AD" w:rsidRPr="00E3232D">
        <w:rPr>
          <w:rFonts w:ascii="Book Antiqua" w:hAnsi="Book Antiqua"/>
        </w:rPr>
        <w:fldChar w:fldCharType="end"/>
      </w:r>
      <w:r w:rsidRPr="00E3232D">
        <w:rPr>
          <w:rFonts w:ascii="Book Antiqua" w:hAnsi="Book Antiqua"/>
        </w:rPr>
        <w:t xml:space="preserve">. HIV prevention is usually complicated by social, economic and political constraints in many developing </w:t>
      </w:r>
      <w:r w:rsidRPr="00E3232D">
        <w:rPr>
          <w:rFonts w:ascii="Book Antiqua" w:hAnsi="Book Antiqua"/>
        </w:rPr>
        <w:lastRenderedPageBreak/>
        <w:t xml:space="preserve">countries; however there is evidence that prevention works </w:t>
      </w:r>
      <w:r w:rsidR="001815AD" w:rsidRPr="00E3232D">
        <w:rPr>
          <w:rFonts w:ascii="Book Antiqua" w:hAnsi="Book Antiqua"/>
        </w:rPr>
        <w:fldChar w:fldCharType="begin">
          <w:fldData xml:space="preserve">PEVuZE5vdGU+PENpdGU+PEF1dGhvcj5Kb2huc29uPC9BdXRob3I+PFllYXI+MTk4OTwvWWVhcj48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PEVuZE5vdGU+PENpdGU+PEF1dGhvcj5Kb2huc29uPC9BdXRob3I+PFllYXI+MTk4OTwvWWVhcj48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(Drummond, 1989; Johnson, 1989)</w:t>
      </w:r>
      <w:r w:rsidR="001815AD" w:rsidRPr="00E3232D">
        <w:rPr>
          <w:rFonts w:ascii="Book Antiqua" w:hAnsi="Book Antiqua"/>
        </w:rPr>
        <w:fldChar w:fldCharType="end"/>
      </w:r>
      <w:r w:rsidRPr="00E3232D">
        <w:rPr>
          <w:rFonts w:ascii="Book Antiqua" w:hAnsi="Book Antiqua"/>
        </w:rPr>
        <w:t xml:space="preserve">. </w:t>
      </w:r>
    </w:p>
    <w:p w14:paraId="6DBC5B4A" w14:textId="77777777" w:rsidR="00947357" w:rsidRDefault="00947357" w:rsidP="001B1B96">
      <w:pPr>
        <w:autoSpaceDE w:val="0"/>
        <w:autoSpaceDN w:val="0"/>
        <w:adjustRightInd w:val="0"/>
        <w:spacing w:after="0"/>
        <w:jc w:val="both"/>
        <w:rPr>
          <w:rFonts w:ascii="Book Antiqua" w:hAnsi="Book Antiqua"/>
        </w:rPr>
      </w:pPr>
    </w:p>
    <w:p w14:paraId="6E0721A9" w14:textId="77777777" w:rsidR="002B3482" w:rsidRPr="001B1B96" w:rsidRDefault="001D1BD3" w:rsidP="00311945">
      <w:pPr>
        <w:autoSpaceDE w:val="0"/>
        <w:autoSpaceDN w:val="0"/>
        <w:adjustRightInd w:val="0"/>
        <w:jc w:val="both"/>
        <w:rPr>
          <w:rFonts w:ascii="Book Antiqua" w:hAnsi="Book Antiqua"/>
        </w:rPr>
      </w:pPr>
      <w:r w:rsidRPr="00E3232D">
        <w:rPr>
          <w:rFonts w:ascii="Book Antiqua" w:hAnsi="Book Antiqua"/>
        </w:rPr>
        <w:t xml:space="preserve">Katsidzira et al (2011) estimated that several hundred thousand potential cases of HIV/AIDS infections have not occurred due to prevention efforts in Southern Africa </w:t>
      </w:r>
      <w:r w:rsidR="001815AD" w:rsidRPr="00E3232D">
        <w:rPr>
          <w:rFonts w:ascii="Book Antiqua" w:hAnsi="Book Antiqua"/>
        </w:rPr>
        <w:fldChar w:fldCharType="begin">
          <w:fldData xml:space="preserve">PEVuZE5vdGU+PENpdGU+PEF1dGhvcj5LYXRzaWR6aXJhPC9BdXRob3I+PFllYXI+MjAxMTwvWWVh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=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PEVuZE5vdGU+PENpdGU+PEF1dGhvcj5LYXRzaWR6aXJhPC9BdXRob3I+PFllYXI+MjAxMTwvWWVh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=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(Katsidzira and Hakim, 2011)</w:t>
      </w:r>
      <w:r w:rsidR="001815AD" w:rsidRPr="00E3232D">
        <w:rPr>
          <w:rFonts w:ascii="Book Antiqua" w:hAnsi="Book Antiqua"/>
        </w:rPr>
        <w:fldChar w:fldCharType="end"/>
      </w:r>
      <w:r w:rsidRPr="00E3232D">
        <w:rPr>
          <w:rFonts w:ascii="Book Antiqua" w:hAnsi="Book Antiqua"/>
        </w:rPr>
        <w:t xml:space="preserve">. Current preventive interventions include voluntary HIV testing and counseling, preventive programs for people at risk of acquiring HIV ( referred to as primary prevention), preventive programs for people living with HIV (also called secondary prevention), partner notification, antiretroviral therapy for people infected with HIV , substance abuse treatment and access to condoms </w:t>
      </w:r>
      <w:r w:rsidR="001815AD" w:rsidRPr="00E3232D">
        <w:rPr>
          <w:rFonts w:ascii="Book Antiqua" w:hAnsi="Book Antiqua"/>
        </w:rPr>
        <w:fldChar w:fldCharType="begin">
          <w:fldData xml:space="preserve">PEVuZE5vdGU+PENpdGU+PEF1dGhvcj5KYW5zc2VuPC9BdXRob3I+PFllYXI+MjAwMTwvWWVhcj48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PEVuZE5vdGU+PENpdGU+PEF1dGhvcj5KYW5zc2VuPC9BdXRob3I+PFllYXI+MjAwMTwvWWVhcj48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(Baeten, 2008; Gome</w:t>
      </w:r>
      <w:r w:rsidR="00DE73E8">
        <w:rPr>
          <w:rFonts w:ascii="Book Antiqua" w:hAnsi="Book Antiqua"/>
        </w:rPr>
        <w:t>z, 2008; Janssen et al., 2001;</w:t>
      </w:r>
      <w:r w:rsidRPr="00E3232D">
        <w:rPr>
          <w:rFonts w:ascii="Book Antiqua" w:hAnsi="Book Antiqua"/>
        </w:rPr>
        <w:t>)</w:t>
      </w:r>
      <w:r w:rsidR="001815AD" w:rsidRPr="00E3232D">
        <w:rPr>
          <w:rFonts w:ascii="Book Antiqua" w:hAnsi="Book Antiqua"/>
        </w:rPr>
        <w:fldChar w:fldCharType="end"/>
      </w:r>
      <w:r w:rsidRPr="00E3232D">
        <w:rPr>
          <w:rFonts w:ascii="Book Antiqua" w:hAnsi="Book Antiqua"/>
        </w:rPr>
        <w:t xml:space="preserve">. Transmission through blood transfusion is currently reduced drastically by screening blood donors for HIV antibody </w:t>
      </w:r>
      <w:r w:rsidR="001815AD" w:rsidRPr="00E3232D">
        <w:rPr>
          <w:rFonts w:ascii="Book Antiqua" w:hAnsi="Book Antiqua"/>
        </w:rPr>
        <w:fldChar w:fldCharType="begin"/>
      </w:r>
      <w:r w:rsidRPr="00E3232D">
        <w:rPr>
          <w:rFonts w:ascii="Book Antiqua" w:hAnsi="Book Antiqua"/>
        </w:rPr>
        <w:instrText xml:space="preserve"> ADDIN EN.CITE &lt;EndNote&gt;&lt;Cite&gt;&lt;Author&gt;Lackritz&lt;/Author&gt;&lt;Year&gt;1998&lt;/Year&gt;&lt;RecNum&gt;4&lt;/RecNum&gt;&lt;record&gt;&lt;rec-number&gt;4&lt;/rec-number&gt;&lt;foreign-keys&gt;&lt;key app="EN" db-id="05wpze2fk5fresed2vkpw0zu20z0d5wwpfar"&gt;4&lt;/key&gt;&lt;/foreign-keys&gt;&lt;ref-type name="Journal Article"&gt;17&lt;/ref-type&gt;&lt;contributors&gt;&lt;authors&gt;&lt;author&gt;Lackritz, E. M.&lt;/author&gt;&lt;/authors&gt;&lt;/contributors&gt;&lt;auth-address&gt;International Activities Branch, Centers for Disease Control and Prevention, Atlanta, GA 30333, USA.&lt;/auth-address&gt;&lt;titles&gt;&lt;title&gt;Prevention of HIV transmission by blood transfusion in the developing world: achievements and continuing challenges&lt;/title&gt;&lt;secondary-title&gt;AIDS&lt;/secondary-title&gt;&lt;/titles&gt;&lt;periodical&gt;&lt;full-title&gt;AIDS&lt;/full-title&gt;&lt;/periodical&gt;&lt;pages&gt;S81-6&lt;/pages&gt;&lt;volume&gt;12 Suppl A&lt;/volume&gt;&lt;edition&gt;1998/06/20&lt;/edition&gt;&lt;keywords&gt;&lt;keyword&gt;Anemia/prevention &amp;amp; control&lt;/keyword&gt;&lt;keyword&gt;Blood Banks/standards&lt;/keyword&gt;&lt;keyword&gt;Blood Donors&lt;/keyword&gt;&lt;keyword&gt;Blood Transfusion/*adverse effects/standards&lt;/keyword&gt;&lt;keyword&gt;Developing Countries&lt;/keyword&gt;&lt;keyword&gt;HIV Antibodies/blood&lt;/keyword&gt;&lt;keyword&gt;HIV Infections/*prevention &amp;amp; control/*transmission&lt;/keyword&gt;&lt;keyword&gt;Humans&lt;/keyword&gt;&lt;/keywords&gt;&lt;dates&gt;&lt;year&gt;1998&lt;/year&gt;&lt;/dates&gt;&lt;isbn&gt;0269-9370 (Print)&amp;#xD;0269-9370 (Linking)&lt;/isbn&gt;&lt;accession-num&gt;9632988&lt;/accession-num&gt;&lt;urls&gt;&lt;related-urls&gt;&lt;url&gt;http://www.ncbi.nlm.nih.gov/entrez/query.fcgi?cmd=Retrieve&amp;amp;db=PubMed&amp;amp;dopt=Citation&amp;amp;list_uids=9632988&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(Lackritz, 1998)</w:t>
      </w:r>
      <w:r w:rsidR="001815AD" w:rsidRPr="00E3232D">
        <w:rPr>
          <w:rFonts w:ascii="Book Antiqua" w:hAnsi="Book Antiqua"/>
        </w:rPr>
        <w:fldChar w:fldCharType="end"/>
      </w:r>
      <w:r w:rsidRPr="00E3232D">
        <w:rPr>
          <w:rFonts w:ascii="Book Antiqua" w:hAnsi="Book Antiqua"/>
        </w:rPr>
        <w:t xml:space="preserve">. Disposable or properly sterilized needles and syringes are used during venipuncture and blood transfusions </w:t>
      </w:r>
      <w:r w:rsidR="001815AD" w:rsidRPr="00E3232D">
        <w:rPr>
          <w:rFonts w:ascii="Book Antiqua" w:hAnsi="Book Antiqua"/>
        </w:rPr>
        <w:fldChar w:fldCharType="begin"/>
      </w:r>
      <w:r w:rsidRPr="00E3232D">
        <w:rPr>
          <w:rFonts w:ascii="Book Antiqua" w:hAnsi="Book Antiqua"/>
        </w:rPr>
        <w:instrText xml:space="preserve"> ADDIN EN.CITE &lt;EndNote&gt;&lt;Cite&gt;&lt;Author&gt;Feldt&lt;/Author&gt;&lt;Year&gt;2004&lt;/Year&gt;&lt;RecNum&gt;5&lt;/RecNum&gt;&lt;record&gt;&lt;rec-number&gt;5&lt;/rec-number&gt;&lt;foreign-keys&gt;&lt;key app="EN" db-id="05wpze2fk5fresed2vkpw0zu20z0d5wwpfar"&gt;5&lt;/key&gt;&lt;/foreign-keys&gt;&lt;ref-type name="Journal Article"&gt;17&lt;/ref-type&gt;&lt;contributors&gt;&lt;authors&gt;&lt;author&gt;Feldt, T.&lt;/author&gt;&lt;author&gt;Oette, M.&lt;/author&gt;&lt;author&gt;Goebels, K.&lt;/author&gt;&lt;author&gt;Wenning, M.&lt;/author&gt;&lt;author&gt;Kroidl, A.&lt;/author&gt;&lt;author&gt;Haussinger, D.&lt;/author&gt;&lt;/authors&gt;&lt;/contributors&gt;&lt;auth-address&gt;Department of Gastroenterology, Hepatology and Infectiology, Heinrich Heine University, Dusseldorf, Germany. Feldt@med.uni-duesseldorf.de&lt;/auth-address&gt;&lt;titles&gt;&lt;title&gt;Haemodynamic crisis and reversible multiorgan failure caused by HIV post-exposure prophylaxis after needle-stick injury in a health care worker&lt;/title&gt;&lt;secondary-title&gt;HIV Med&lt;/secondary-title&gt;&lt;/titles&gt;&lt;periodical&gt;&lt;full-title&gt;HIV Med&lt;/full-title&gt;&lt;/periodical&gt;&lt;pages&gt;125-7&lt;/pages&gt;&lt;volume&gt;5&lt;/volume&gt;&lt;number&gt;2&lt;/number&gt;&lt;edition&gt;2004/03/12&lt;/edition&gt;&lt;keywords&gt;&lt;keyword&gt;Antiretroviral Therapy, Highly Active/*adverse effects&lt;/keyword&gt;&lt;keyword&gt;Diabetes Mellitus, Type 2/complications/*drug therapy&lt;/keyword&gt;&lt;keyword&gt;Drug Interactions&lt;/keyword&gt;&lt;keyword&gt;Female&lt;/keyword&gt;&lt;keyword&gt;HIV Infections/prevention &amp;amp; control&lt;/keyword&gt;&lt;keyword&gt;Humans&lt;/keyword&gt;&lt;keyword&gt;*Infectious Disease Transmission, Patient-to-Professional&lt;/keyword&gt;&lt;keyword&gt;Middle Aged&lt;/keyword&gt;&lt;keyword&gt;Multiple Organ Failure/complications&lt;/keyword&gt;&lt;keyword&gt;Needlestick Injuries/*complications&lt;/keyword&gt;&lt;keyword&gt;Nurses&lt;/keyword&gt;&lt;keyword&gt;Occupational Exposure/*adverse effects&lt;/keyword&gt;&lt;/keywords&gt;&lt;dates&gt;&lt;year&gt;2004&lt;/year&gt;&lt;pub-dates&gt;&lt;date&gt;Mar&lt;/date&gt;&lt;/pub-dates&gt;&lt;/dates&gt;&lt;isbn&gt;1464-2662 (Print)&amp;#xD;1464-2662 (Linking)&lt;/isbn&gt;&lt;accession-num&gt;15012653&lt;/accession-num&gt;&lt;urls&gt;&lt;related-urls&gt;&lt;url&gt;http://www.ncbi.nlm.nih.gov/entrez/query.fcgi?cmd=Retrieve&amp;amp;db=PubMed&amp;amp;dopt=Citation&amp;amp;list_uids=15012653&lt;/url&gt;&lt;/related-urls&gt;&lt;/urls&gt;&lt;electronic-resource-num&gt;189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(Feldt et al., 2004)</w:t>
      </w:r>
      <w:r w:rsidR="001815AD" w:rsidRPr="00E3232D">
        <w:rPr>
          <w:rFonts w:ascii="Book Antiqua" w:hAnsi="Book Antiqua"/>
        </w:rPr>
        <w:fldChar w:fldCharType="end"/>
      </w:r>
      <w:r w:rsidR="001B1B96">
        <w:rPr>
          <w:rFonts w:ascii="Book Antiqua" w:hAnsi="Book Antiqua"/>
        </w:rPr>
        <w:t>.</w:t>
      </w:r>
    </w:p>
    <w:p w14:paraId="22A3534C"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b/>
        </w:rPr>
        <w:t>1.8 Management of HIV/AIDS</w:t>
      </w:r>
    </w:p>
    <w:p w14:paraId="6EBF4AAC"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The management of patients with HIV/AIDS represents one of the most complex issues that health care workers have to deal with. In addition to complicated diagnostic and therapeutic problems, clinicians, relatives and friends have to offer psychological and social support. It is essential that clinical follow-up is organized in collaboration with community-based initiatives </w:t>
      </w:r>
      <w:r w:rsidR="001815AD" w:rsidRPr="00E3232D">
        <w:rPr>
          <w:rFonts w:ascii="Book Antiqua" w:hAnsi="Book Antiqua"/>
        </w:rPr>
        <w:fldChar w:fldCharType="begin">
          <w:fldData xml:space="preserve">PEVuZE5vdGU+PENpdGU+PEF1dGhvcj5Bc3RoYW5hPC9BdXRob3I+PFllYXI+MTk5NjwvWWVhcj48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PEVuZE5vdGU+PENpdGU+PEF1dGhvcj5Bc3RoYW5hPC9BdXRob3I+PFllYXI+MTk5NjwvWWVhcj48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(Asthana and Oostvogels, 1996; Barrington et al., 2011</w:t>
      </w:r>
    </w:p>
    <w:p w14:paraId="3BA08DF0"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w:t>
      </w:r>
      <w:r w:rsidR="001815AD" w:rsidRPr="00E3232D">
        <w:rPr>
          <w:rFonts w:ascii="Book Antiqua" w:hAnsi="Book Antiqua"/>
        </w:rPr>
        <w:fldChar w:fldCharType="end"/>
      </w:r>
      <w:r w:rsidRPr="00E3232D">
        <w:rPr>
          <w:rFonts w:ascii="Book Antiqua" w:hAnsi="Book Antiqua"/>
        </w:rPr>
        <w:t xml:space="preserve">There is ample evidence to show that recent advances in surveillance and treatment of HIV have improved survival rates for those infected with the virus </w:t>
      </w:r>
      <w:r w:rsidR="001815AD" w:rsidRPr="00E3232D">
        <w:rPr>
          <w:rFonts w:ascii="Book Antiqua" w:hAnsi="Book Antiqua"/>
        </w:rPr>
        <w:fldChar w:fldCharType="begin"/>
      </w:r>
      <w:r w:rsidRPr="00E3232D">
        <w:rPr>
          <w:rFonts w:ascii="Book Antiqua" w:hAnsi="Book Antiqua"/>
        </w:rPr>
        <w:instrText xml:space="preserve"> ADDIN EN.CITE &lt;EndNote&gt;&lt;Cite&gt;&lt;Author&gt;Fairchild&lt;/Author&gt;&lt;Year&gt;2002&lt;/Year&gt;&lt;RecNum&gt;21&lt;/RecNum&gt;&lt;record&gt;&lt;rec-number&gt;21&lt;/rec-number&gt;&lt;foreign-keys&gt;&lt;key app="EN" db-id="05wpze2fk5fresed2vkpw0zu20z0d5wwpfar"&gt;21&lt;/key&gt;&lt;/foreign-keys&gt;&lt;ref-type name="Journal Article"&gt;17&lt;/ref-type&gt;&lt;contributors&gt;&lt;authors&gt;&lt;author&gt;Fairchild, A. L.&lt;/author&gt;&lt;author&gt;Bayer, R.&lt;/author&gt;&lt;/authors&gt;&lt;/contributors&gt;&lt;auth-address&gt;Center for the History and Ethics of Public Health, Department of Sociomedical Sciences, Mailman School of Public Health, Columbia University, New York, USA.&lt;/auth-address&gt;&lt;titles&gt;&lt;title&gt;HIV surveillance, public health, and clinical medicine--will the walls come tumbling down?&lt;/title&gt;&lt;secondary-title&gt;N Engl J Med&lt;/secondary-title&gt;&lt;/titles&gt;&lt;periodical&gt;&lt;full-title&gt;N Engl J Med&lt;/full-title&gt;&lt;/periodical&gt;&lt;pages&gt;685-7&lt;/pages&gt;&lt;volume&gt;365&lt;/volume&gt;&lt;number&gt;8&lt;/number&gt;&lt;edition&gt;2011/08/26&lt;/edition&gt;&lt;keywords&gt;&lt;keyword&gt;Anti-Retroviral Agents/pharmacology/*therapeutic use&lt;/keyword&gt;&lt;keyword&gt;CD4 Lymphocyte Count&lt;/keyword&gt;&lt;keyword&gt;*Confidentiality&lt;/keyword&gt;&lt;keyword&gt;*Disease Notification/legislation &amp;amp; jurisprudence&lt;/keyword&gt;&lt;keyword&gt;Electronic Health Records&lt;/keyword&gt;&lt;keyword&gt;Epidemics&lt;/keyword&gt;&lt;keyword&gt;HIV Infections/*drug therapy/epidemiology/virology&lt;/keyword&gt;&lt;keyword&gt;Humans&lt;/keyword&gt;&lt;keyword&gt;Population Surveillance/*methods&lt;/keyword&gt;&lt;keyword&gt;Registries/*ethics&lt;/keyword&gt;&lt;keyword&gt;United States/epidemiology&lt;/keyword&gt;&lt;keyword&gt;Viral Load/drug effects&lt;/keyword&gt;&lt;/keywords&gt;&lt;dates&gt;&lt;year&gt;2002&lt;/year&gt;&lt;pub-dates&gt;&lt;date&gt;Aug 25&lt;/date&gt;&lt;/pub-dates&gt;&lt;/dates&gt;&lt;isbn&gt;1533-4406 (Electronic)&amp;#xD;0028-4793 (Linking)&lt;/isbn&gt;&lt;accession-num&gt;21864165&lt;/accession-num&gt;&lt;urls&gt;&lt;related-urls&gt;&lt;url&gt;http://www.ncbi.nlm.nih.gov/entrez/query.fcgi?cmd=Retrieve&amp;amp;db=PubMed&amp;amp;dopt=Citation&amp;amp;list_uids=21864165&lt;/url&gt;&lt;/related-urls&gt;&lt;/urls&gt;&lt;electronic-resource-num&gt;10.1056/NEJMp1107294&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(Fairchild and Bayer, 2002)</w:t>
      </w:r>
      <w:r w:rsidR="001815AD" w:rsidRPr="00E3232D">
        <w:rPr>
          <w:rFonts w:ascii="Book Antiqua" w:hAnsi="Book Antiqua"/>
        </w:rPr>
        <w:fldChar w:fldCharType="end"/>
      </w:r>
      <w:r w:rsidRPr="00E3232D">
        <w:rPr>
          <w:rFonts w:ascii="Book Antiqua" w:hAnsi="Book Antiqua"/>
        </w:rPr>
        <w:t xml:space="preserve">. Researchers now understand HIV and its pathogenesis, can rapidly and specifically diagnose HIV infection, and profoundly suppress HIV replication with highly effective antiretroviral therapy (ART) </w:t>
      </w:r>
      <w:r w:rsidR="001815AD" w:rsidRPr="00E3232D">
        <w:rPr>
          <w:rFonts w:ascii="Book Antiqua" w:hAnsi="Book Antiqua"/>
        </w:rPr>
        <w:fldChar w:fldCharType="begin">
          <w:fldData xml:space="preserve">PEVuZE5vdGU+PENpdGU+PEF1dGhvcj5CdWNoYmluZGVyPC9BdXRob3I+PFllYXI+MjAxMDwvWWVh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==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PEVuZE5vdGU+PENpdGU+PEF1dGhvcj5CdWNoYmluZGVyPC9BdXRob3I+PFllYXI+MjAxMDwvWWVh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==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(Buchbinder, 2010; Stevenson, 2003 )</w:t>
      </w:r>
      <w:r w:rsidR="001815AD" w:rsidRPr="00E3232D">
        <w:rPr>
          <w:rFonts w:ascii="Book Antiqua" w:hAnsi="Book Antiqua"/>
        </w:rPr>
        <w:fldChar w:fldCharType="end"/>
      </w:r>
      <w:r w:rsidRPr="00E3232D">
        <w:rPr>
          <w:rFonts w:ascii="Book Antiqua" w:hAnsi="Book Antiqua"/>
        </w:rPr>
        <w:t xml:space="preserve">. Research advances have identified strategies that have nearly eliminated mother-to-child transmission of HIV infection in many parts of the developed world and reduced the incidence of HIV infection in some developing-world settings </w:t>
      </w:r>
      <w:r w:rsidR="001815AD" w:rsidRPr="00E3232D">
        <w:rPr>
          <w:rFonts w:ascii="Book Antiqua" w:hAnsi="Book Antiqua"/>
        </w:rPr>
        <w:fldChar w:fldCharType="begin">
          <w:fldData xml:space="preserve">PEVuZE5vdGU+PENpdGU+PEF1dGhvcj5TYW50bXlpcmU8L0F1dGhvcj48WWVhcj4yMDAxPC9ZZWFy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PEVuZE5vdGU+PENpdGU+PEF1dGhvcj5TYW50bXlpcmU8L0F1dGhvcj48WWVhcj4yMDAxPC9ZZWFy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(Luo, 2000; Santmyire, 2001; Read, 2010)</w:t>
      </w:r>
      <w:r w:rsidR="001815AD" w:rsidRPr="00E3232D">
        <w:rPr>
          <w:rFonts w:ascii="Book Antiqua" w:hAnsi="Book Antiqua"/>
        </w:rPr>
        <w:fldChar w:fldCharType="end"/>
      </w:r>
      <w:r w:rsidRPr="00E3232D">
        <w:rPr>
          <w:rFonts w:ascii="Book Antiqua" w:hAnsi="Book Antiqua"/>
        </w:rPr>
        <w:t>.</w:t>
      </w:r>
    </w:p>
    <w:p w14:paraId="197207EE" w14:textId="77777777" w:rsidR="001D1BD3" w:rsidRPr="00E3232D" w:rsidRDefault="001D1BD3" w:rsidP="00311945">
      <w:pPr>
        <w:autoSpaceDE w:val="0"/>
        <w:autoSpaceDN w:val="0"/>
        <w:adjustRightInd w:val="0"/>
        <w:spacing w:after="0"/>
        <w:jc w:val="both"/>
        <w:rPr>
          <w:rFonts w:ascii="Book Antiqua" w:hAnsi="Book Antiqua"/>
        </w:rPr>
      </w:pPr>
    </w:p>
    <w:p w14:paraId="46A703D6"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 xml:space="preserve">WHO and many countries have published guidelines for standardized case management </w:t>
      </w:r>
      <w:r w:rsidR="001815AD" w:rsidRPr="00E3232D">
        <w:rPr>
          <w:rFonts w:ascii="Book Antiqua" w:hAnsi="Book Antiqua"/>
        </w:rPr>
        <w:fldChar w:fldCharType="begin">
          <w:fldData xml:space="preserve">PEVuZE5vdGU+PENpdGU+PEF1dGhvcj5XSE88L0F1dGhvcj48WWVhcj4yMDAzPC9ZZWFyPjxSZWNO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PEVuZE5vdGU+PENpdGU+PEF1dGhvcj5XSE88L0F1dGhvcj48WWVhcj4yMDAzPC9ZZWFyPjxSZWNO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(Ciaranello et al., 2011; WHO, 2003)</w:t>
      </w:r>
      <w:r w:rsidR="001815AD" w:rsidRPr="00E3232D">
        <w:rPr>
          <w:rFonts w:ascii="Book Antiqua" w:hAnsi="Book Antiqua"/>
        </w:rPr>
        <w:fldChar w:fldCharType="end"/>
      </w:r>
      <w:r w:rsidRPr="00E3232D">
        <w:rPr>
          <w:rFonts w:ascii="Book Antiqua" w:hAnsi="Book Antiqua"/>
        </w:rPr>
        <w:t>. These are usually based on a syndromic approach using flow charts.</w:t>
      </w:r>
    </w:p>
    <w:p w14:paraId="104B026F"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 xml:space="preserve">To get a clear understanding of the enormity of the effect of ART on the lives of HIV-infected persons, it is important to consider that in the early years of the AIDS epidemic before the availability of ARTs, the median survival after an AIDS diagnosis was measured in weeks to months and patient care was confined to diagnosing and treating complex opportunistic infections and AIDS-related types of cancer </w:t>
      </w:r>
      <w:r w:rsidR="001815AD" w:rsidRPr="00E3232D">
        <w:rPr>
          <w:rFonts w:ascii="Book Antiqua" w:hAnsi="Book Antiqua"/>
        </w:rPr>
        <w:fldChar w:fldCharType="begin"/>
      </w:r>
      <w:r w:rsidRPr="00E3232D">
        <w:rPr>
          <w:rFonts w:ascii="Book Antiqua" w:hAnsi="Book Antiqua"/>
        </w:rPr>
        <w:instrText xml:space="preserve"> ADDIN EN.CITE &lt;EndNote&gt;&lt;Cite&gt;&lt;Author&gt;Wang&lt;/Author&gt;&lt;Year&gt;2009&lt;/Year&gt;&lt;RecNum&gt;42&lt;/RecNum&gt;&lt;record&gt;&lt;rec-number&gt;42&lt;/rec-number&gt;&lt;foreign-keys&gt;&lt;key app="EN" db-id="05wpze2fk5fresed2vkpw0zu20z0d5wwpfar"&gt;42&lt;/key&gt;&lt;/foreign-keys&gt;&lt;ref-type name="Journal Article"&gt;17&lt;/ref-type&gt;&lt;contributors&gt;&lt;authors&gt;&lt;author&gt;Wang, H.&lt;/author&gt;&lt;author&gt;Zhou, J.&lt;/author&gt;&lt;author&gt;He, G.&lt;/author&gt;&lt;author&gt;Luo, Y.&lt;/author&gt;&lt;author&gt;Li, X.&lt;/author&gt;&lt;author&gt;Yang, A.&lt;/author&gt;&lt;author&gt;Fennie, K.&lt;/author&gt;&lt;author&gt;Williams, A. B.&lt;/author&gt;&lt;/authors&gt;&lt;/contributors&gt;&lt;auth-address&gt;School of Nursing, Central South University , Changsha 410013, Hunan, China. honghong_wang@tom.com&lt;/auth-address&gt;&lt;titles&gt;&lt;title&gt;Consistent ART adherence is associated with improved quality of Life, CD4 counts, and reduced hospital costs in central China&lt;/title&gt;&lt;secondary-title&gt;AIDS Res Hum Retroviruses&lt;/secondary-title&gt;&lt;/titles&gt;&lt;periodical&gt;&lt;full-title&gt;AIDS Res Hum Retroviruses&lt;/full-title&gt;&lt;/periodical&gt;&lt;pages&gt;757-63&lt;/pages&gt;&lt;volume&gt;25&lt;/volume&gt;&lt;number&gt;8&lt;/number&gt;&lt;edition&gt;2009/07/22&lt;/edition&gt;&lt;keywords&gt;&lt;keyword&gt;Adult&lt;/keyword&gt;&lt;keyword&gt;Aged&lt;/keyword&gt;&lt;keyword&gt;Anti-Retroviral Agents/*therapeutic use&lt;/keyword&gt;&lt;keyword&gt;CD4 Lymphocyte Count&lt;/keyword&gt;&lt;keyword&gt;China&lt;/keyword&gt;&lt;keyword&gt;Female&lt;/keyword&gt;&lt;keyword&gt;HIV/*drug effects&lt;/keyword&gt;&lt;keyword&gt;HIV Infections/*drug therapy/economics/immunology/psychology&lt;/keyword&gt;&lt;keyword&gt;*Hospital Costs&lt;/keyword&gt;&lt;keyword&gt;Humans&lt;/keyword&gt;&lt;keyword&gt;Male&lt;/keyword&gt;&lt;keyword&gt;*Medication Adherence&lt;/keyword&gt;&lt;keyword&gt;Middle Aged&lt;/keyword&gt;&lt;keyword&gt;*Quality of Life&lt;/keyword&gt;&lt;keyword&gt;Time Factors&lt;/keyword&gt;&lt;/keywords&gt;&lt;dates&gt;&lt;year&gt;2009&lt;/year&gt;&lt;pub-dates&gt;&lt;date&gt;Aug&lt;/date&gt;&lt;/pub-dates&gt;&lt;/dates&gt;&lt;isbn&gt;1931-8405 (Electronic)&amp;#xD;0889-2229 (Linking)&lt;/isbn&gt;&lt;accession-num&gt;19618996&lt;/accession-num&gt;&lt;urls&gt;&lt;related-urls&gt;&lt;url&gt;http://www.ncbi.nlm.nih.gov/entrez/query.fcgi?cmd=Retrieve&amp;amp;db=PubMed&amp;amp;dopt=Citation&amp;amp;list_uids=19618996&lt;/url&gt;&lt;/related-urls&gt;&lt;/urls&gt;&lt;electronic-resource-num&gt;10.1089/aid.2008.0173&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(Wang et al., 2009)</w:t>
      </w:r>
      <w:r w:rsidR="001815AD" w:rsidRPr="00E3232D">
        <w:rPr>
          <w:rFonts w:ascii="Book Antiqua" w:hAnsi="Book Antiqua"/>
        </w:rPr>
        <w:fldChar w:fldCharType="end"/>
      </w:r>
      <w:r w:rsidRPr="00E3232D">
        <w:rPr>
          <w:rFonts w:ascii="Book Antiqua" w:hAnsi="Book Antiqua"/>
        </w:rPr>
        <w:t>.</w:t>
      </w:r>
    </w:p>
    <w:p w14:paraId="28A92010" w14:textId="77777777" w:rsidR="00DE73E8" w:rsidRDefault="00DE73E8" w:rsidP="00311945">
      <w:pPr>
        <w:autoSpaceDE w:val="0"/>
        <w:autoSpaceDN w:val="0"/>
        <w:adjustRightInd w:val="0"/>
        <w:spacing w:after="0"/>
        <w:jc w:val="both"/>
        <w:rPr>
          <w:rFonts w:ascii="Book Antiqua" w:hAnsi="Book Antiqua"/>
        </w:rPr>
      </w:pPr>
    </w:p>
    <w:p w14:paraId="7B3FC114"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 xml:space="preserve">Beginning with the use of zidovudine monotherapy in 1987, five classes of antiretroviral drugs have been developed </w:t>
      </w:r>
      <w:r w:rsidR="001815AD" w:rsidRPr="00E3232D">
        <w:rPr>
          <w:rFonts w:ascii="Book Antiqua" w:hAnsi="Book Antiqua"/>
        </w:rPr>
        <w:lastRenderedPageBreak/>
        <w:fldChar w:fldCharType="begin"/>
      </w:r>
      <w:r w:rsidRPr="00E3232D">
        <w:rPr>
          <w:rFonts w:ascii="Book Antiqua" w:hAnsi="Book Antiqua"/>
        </w:rPr>
        <w:instrText xml:space="preserve"> ADDIN EN.CITE &lt;EndNote&gt;&lt;Cite&gt;&lt;Author&gt;Iurin&lt;/Author&gt;&lt;Year&gt;2007&lt;/Year&gt;&lt;RecNum&gt;73&lt;/RecNum&gt;&lt;record&gt;&lt;rec-number&gt;73&lt;/rec-number&gt;&lt;foreign-keys&gt;&lt;key app="EN" db-id="05wpze2fk5fresed2vkpw0zu20z0d5wwpfar"&gt;73&lt;/key&gt;&lt;/foreign-keys&gt;&lt;ref-type name="Journal Article"&gt;17&lt;/ref-type&gt;&lt;contributors&gt;&lt;authors&gt;&lt;author&gt;Iurin, O. G.&lt;/author&gt;&lt;/authors&gt;&lt;/contributors&gt;&lt;titles&gt;&lt;title&gt;[Indications for initiation of antiretroviral therapy in patients with HIV infection. Choice of first-line drugs and schemes of therapy]&lt;/title&gt;&lt;secondary-title&gt;Ter Arkh&lt;/secondary-title&gt;&lt;/titles&gt;&lt;periodical&gt;&lt;full-title&gt;Ter Arkh&lt;/full-title&gt;&lt;/periodical&gt;&lt;pages&gt;67-9&lt;/pages&gt;&lt;volume&gt;79&lt;/volume&gt;&lt;number&gt;11&lt;/number&gt;&lt;edition&gt;2008/01/29&lt;/edition&gt;&lt;keywords&gt;&lt;keyword&gt;Anti-Retroviral Agents/classification/*therapeutic use&lt;/keyword&gt;&lt;keyword&gt;Drug Therapy/*methods&lt;/keyword&gt;&lt;keyword&gt;HIV Infections/*drug therapy/physiopathology/virology&lt;/keyword&gt;&lt;keyword&gt;Humans&lt;/keyword&gt;&lt;/keywords&gt;&lt;dates&gt;&lt;year&gt;2007&lt;/year&gt;&lt;/dates&gt;&lt;isbn&gt;0040-3660 (Print)&amp;#xD;0040-3660 (Linking)&lt;/isbn&gt;&lt;accession-num&gt;18219979&lt;/accession-num&gt;&lt;urls&gt;&lt;related-urls&gt;&lt;url&gt;http://www.ncbi.nlm.nih.gov/entrez/query.fcgi?cmd=Retrieve&amp;amp;db=PubMed&amp;amp;dopt=Citation&amp;amp;list_uids=18219979&lt;/url&gt;&lt;/related-urls&gt;&lt;/urls&gt;&lt;language&gt;rus&lt;/language&gt;&lt;/record&gt;&lt;/Cite&gt;&lt;/EndNote&gt;</w:instrText>
      </w:r>
      <w:r w:rsidR="001815AD" w:rsidRPr="00E3232D">
        <w:rPr>
          <w:rFonts w:ascii="Book Antiqua" w:hAnsi="Book Antiqua"/>
        </w:rPr>
        <w:fldChar w:fldCharType="separate"/>
      </w:r>
      <w:r w:rsidRPr="00E3232D">
        <w:rPr>
          <w:rFonts w:ascii="Book Antiqua" w:hAnsi="Book Antiqua"/>
        </w:rPr>
        <w:t>(Iurin, 2007)</w:t>
      </w:r>
      <w:r w:rsidR="001815AD" w:rsidRPr="00E3232D">
        <w:rPr>
          <w:rFonts w:ascii="Book Antiqua" w:hAnsi="Book Antiqua"/>
        </w:rPr>
        <w:fldChar w:fldCharType="end"/>
      </w:r>
      <w:r w:rsidRPr="00E3232D">
        <w:rPr>
          <w:rFonts w:ascii="Book Antiqua" w:hAnsi="Book Antiqua"/>
        </w:rPr>
        <w:t xml:space="preserve">. Combinations of these agents safely and reliably suppress HIV replication in the body below detectable limits in most HIV-infected persons receiving this therapy </w:t>
      </w:r>
      <w:r w:rsidR="001815AD" w:rsidRPr="00E3232D">
        <w:rPr>
          <w:rFonts w:ascii="Book Antiqua" w:hAnsi="Book Antiqua"/>
        </w:rPr>
        <w:fldChar w:fldCharType="begin"/>
      </w:r>
      <w:r w:rsidRPr="00E3232D">
        <w:rPr>
          <w:rFonts w:ascii="Book Antiqua" w:hAnsi="Book Antiqua"/>
        </w:rPr>
        <w:instrText xml:space="preserve"> ADDIN EN.CITE &lt;EndNote&gt;&lt;Cite&gt;&lt;Author&gt;El-Khatib&lt;/Author&gt;&lt;Year&gt;2011&lt;/Year&gt;&lt;RecNum&gt;35&lt;/RecNum&gt;&lt;record&gt;&lt;rec-number&gt;35&lt;/rec-number&gt;&lt;foreign-keys&gt;&lt;key app="EN" db-id="epfez505yr00x2e9te6pp0zwrzpsvvrwr9re"&gt;35&lt;/key&gt;&lt;/foreign-keys&gt;&lt;ref-type name="Journal Article"&gt;17&lt;/ref-type&gt;&lt;contributors&gt;&lt;authors&gt;&lt;author&gt;El-Khatib, Z.&lt;/author&gt;&lt;author&gt;Ekstrom, A. M.&lt;/author&gt;&lt;author&gt;Coovadia, A.&lt;/author&gt;&lt;author&gt;Abrams, E. J.&lt;/author&gt;&lt;author&gt;Petzold, M.&lt;/author&gt;&lt;author&gt;Katzenstein, D.&lt;/author&gt;&lt;author&gt;Morris, L.&lt;/author&gt;&lt;author&gt;Kuhn, L.&lt;/author&gt;&lt;/authors&gt;&lt;/contributors&gt;&lt;auth-address&gt;Nordic School of Public Health (NHV), Gothenburg, Sweden.&lt;/auth-address&gt;&lt;titles&gt;&lt;title&gt;Adherence and virologic suppression during the first 24 weeks on antiretroviral therapy among women in Johannesburg, South Africa - a prospective cohort study&lt;/title&gt;&lt;secondary-title&gt;BMC Public Health&lt;/secondary-title&gt;&lt;/titles&gt;&lt;periodical&gt;&lt;full-title&gt;BMC Public Health&lt;/full-title&gt;&lt;/periodical&gt;&lt;pages&gt;88&lt;/pages&gt;&lt;volume&gt;11&lt;/volume&gt;&lt;edition&gt;2011/02/10&lt;/edition&gt;&lt;keywords&gt;&lt;keyword&gt;Adult&lt;/keyword&gt;&lt;keyword&gt;Anti-Retroviral Agents/administration &amp;amp; dosage/pharmacology/*therapeutic use&lt;/keyword&gt;&lt;keyword&gt;Cohort Studies&lt;/keyword&gt;&lt;keyword&gt;Female&lt;/keyword&gt;&lt;keyword&gt;HIV Infections/drug therapy/virology&lt;/keyword&gt;&lt;keyword&gt;HIV-1/*drug effects&lt;/keyword&gt;&lt;keyword&gt;Humans&lt;/keyword&gt;&lt;keyword&gt;*Patient Compliance&lt;/keyword&gt;&lt;keyword&gt;Prospective Studies&lt;/keyword&gt;&lt;keyword&gt;Risk Factors&lt;/keyword&gt;&lt;keyword&gt;South Africa&lt;/keyword&gt;&lt;keyword&gt;Viral Load/*drug effects&lt;/keyword&gt;&lt;/keywords&gt;&lt;dates&gt;&lt;year&gt;2011&lt;/year&gt;&lt;/dates&gt;&lt;isbn&gt;1471-2458 (Electronic)&amp;#xD;1471-2458 (Linking)&lt;/isbn&gt;&lt;accession-num&gt;21303548&lt;/accession-num&gt;&lt;urls&gt;&lt;related-urls&gt;&lt;url&gt;http://www.ncbi.nlm.nih.gov/entrez/query.fcgi?cmd=Retrieve&amp;amp;db=PubMed&amp;amp;dopt=Citation&amp;amp;list_uids=21303548&lt;/url&gt;&lt;/related-urls&gt;&lt;/urls&gt;&lt;electronic-resource-num&gt;1471-2458-11-88 [pii]&amp;#xD;10.1186/1471-2458-11-88&lt;/electronic-resource-num&gt;&lt;language&gt;eng&lt;/language&gt;&lt;/record&gt;&lt;/Cite&gt;&lt;/EndNote&gt;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(El-Khatib et al., 2011)</w:t>
      </w:r>
      <w:r w:rsidR="001815AD" w:rsidRPr="00E3232D">
        <w:rPr>
          <w:rFonts w:ascii="Book Antiqua" w:hAnsi="Book Antiqua"/>
        </w:rPr>
        <w:fldChar w:fldCharType="end"/>
      </w:r>
      <w:r w:rsidRPr="00E3232D">
        <w:rPr>
          <w:rFonts w:ascii="Book Antiqua" w:hAnsi="Book Antiqua"/>
        </w:rPr>
        <w:t>.</w:t>
      </w:r>
    </w:p>
    <w:p w14:paraId="57DF101B" w14:textId="77777777" w:rsidR="00DE73E8" w:rsidRDefault="00DE73E8" w:rsidP="00311945">
      <w:pPr>
        <w:autoSpaceDE w:val="0"/>
        <w:autoSpaceDN w:val="0"/>
        <w:adjustRightInd w:val="0"/>
        <w:spacing w:after="0"/>
        <w:jc w:val="both"/>
        <w:rPr>
          <w:rFonts w:ascii="Book Antiqua" w:hAnsi="Book Antiqua"/>
        </w:rPr>
      </w:pPr>
    </w:p>
    <w:p w14:paraId="2379AEC2"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 xml:space="preserve">Limitations of ARTs include the fact that successful treatment of HIV infection requires daily dosing regimen of agents for the remainder of the patient's life </w:t>
      </w:r>
      <w:r w:rsidR="001815AD" w:rsidRPr="00E3232D">
        <w:rPr>
          <w:rFonts w:ascii="Book Antiqua" w:hAnsi="Book Antiqua"/>
        </w:rPr>
        <w:fldChar w:fldCharType="begin"/>
      </w:r>
      <w:r w:rsidRPr="00E3232D">
        <w:rPr>
          <w:rFonts w:ascii="Book Antiqua" w:hAnsi="Book Antiqua"/>
        </w:rPr>
        <w:instrText xml:space="preserve"> ADDIN EN.CITE &lt;EndNote&gt;&lt;Cite&gt;&lt;Author&gt;Chan&lt;/Author&gt;&lt;Year&gt;2007&lt;/Year&gt;&lt;RecNum&gt;74&lt;/RecNum&gt;&lt;record&gt;&lt;rec-number&gt;74&lt;/rec-number&gt;&lt;foreign-keys&gt;&lt;key app="EN" db-id="05wpze2fk5fresed2vkpw0zu20z0d5wwpfar"&gt;74&lt;/key&gt;&lt;/foreign-keys&gt;&lt;ref-type name="Journal Article"&gt;17&lt;/ref-type&gt;&lt;contributors&gt;&lt;authors&gt;&lt;author&gt;Chan, D. J.&lt;/author&gt;&lt;author&gt;Ray, J. E.&lt;/author&gt;&lt;/authors&gt;&lt;/contributors&gt;&lt;auth-address&gt;Division of Sexual Health, Albion Street Centre, Sydney, Australia. Derek.chan2@sesiahs.health.nsw.gov.au&lt;/auth-address&gt;&lt;titles&gt;&lt;title&gt;Quantification of antiretroviral drugs for HIV-1 in the male genital tract: current data, limitations and implications for laboratory analysis&lt;/title&gt;&lt;secondary-title&gt;J Pharm Pharmacol&lt;/secondary-title&gt;&lt;/titles&gt;&lt;periodical&gt;&lt;full-title&gt;J Pharm Pharmacol&lt;/full-title&gt;&lt;/periodical&gt;&lt;pages&gt;1451-62&lt;/pages&gt;&lt;volume&gt;59&lt;/volume&gt;&lt;number&gt;11&lt;/number&gt;&lt;edition&gt;2007/11/03&lt;/edition&gt;&lt;keywords&gt;&lt;keyword&gt;Anti-HIV Agents/analysis/*pharmacokinetics&lt;/keyword&gt;&lt;keyword&gt;Biological Transport&lt;/keyword&gt;&lt;keyword&gt;Diffusion&lt;/keyword&gt;&lt;keyword&gt;Genitalia, Male/metabolism/virology&lt;/keyword&gt;&lt;keyword&gt;HIV Infections/*drug therapy/transmission&lt;/keyword&gt;&lt;keyword&gt;*Hiv-1&lt;/keyword&gt;&lt;keyword&gt;Humans&lt;/keyword&gt;&lt;keyword&gt;Male&lt;/keyword&gt;&lt;keyword&gt;Permeability&lt;/keyword&gt;&lt;keyword&gt;Reproducibility of Results&lt;/keyword&gt;&lt;keyword&gt;Semen/*chemistry&lt;/keyword&gt;&lt;/keywords&gt;&lt;dates&gt;&lt;year&gt;2007&lt;/year&gt;&lt;pub-dates&gt;&lt;date&gt;Nov&lt;/date&gt;&lt;/pub-dates&gt;&lt;/dates&gt;&lt;isbn&gt;0022-3573 (Print)&amp;#xD;0022-3573 (Linking)&lt;/isbn&gt;&lt;accession-num&gt;17976255&lt;/accession-num&gt;&lt;urls&gt;&lt;related-urls&gt;&lt;url&gt;http://www.ncbi.nlm.nih.gov/entrez/query.fcgi?cmd=Retrieve&amp;amp;db=PubMed&amp;amp;dopt=Citation&amp;amp;list_uids=17976255&lt;/url&gt;&lt;/related-urls&gt;&lt;/urls&gt;&lt;electronic-resource-num&gt;10.1211/jpp.59.11.0001&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(Chan and Ray, 2007)</w:t>
      </w:r>
      <w:r w:rsidR="001815AD" w:rsidRPr="00E3232D">
        <w:rPr>
          <w:rFonts w:ascii="Book Antiqua" w:hAnsi="Book Antiqua"/>
        </w:rPr>
        <w:fldChar w:fldCharType="end"/>
      </w:r>
      <w:r w:rsidRPr="00E3232D">
        <w:rPr>
          <w:rFonts w:ascii="Book Antiqua" w:hAnsi="Book Antiqua"/>
        </w:rPr>
        <w:t xml:space="preserve">. In this regard, HIV infection becomes more like a chronic disease, where long-term follow-up fosters patient adherence. AIDS patients do not require special facilities or quarantine except patients with concomitant tuberculosis who may be highly contagious </w:t>
      </w:r>
      <w:r w:rsidR="001815AD" w:rsidRPr="00E3232D">
        <w:rPr>
          <w:rFonts w:ascii="Book Antiqua" w:hAnsi="Book Antiqua"/>
        </w:rPr>
        <w:fldChar w:fldCharType="begin"/>
      </w:r>
      <w:r w:rsidRPr="00E3232D">
        <w:rPr>
          <w:rFonts w:ascii="Book Antiqua" w:hAnsi="Book Antiqua"/>
        </w:rPr>
        <w:instrText xml:space="preserve"> ADDIN EN.CITE &lt;EndNote&gt;&lt;Cite&gt;&lt;Author&gt;El-Khatib&lt;/Author&gt;&lt;Year&gt;2011&lt;/Year&gt;&lt;RecNum&gt;72&lt;/RecNum&gt;&lt;record&gt;&lt;rec-number&gt;72&lt;/rec-number&gt;&lt;foreign-keys&gt;&lt;key app="EN" db-id="05wpze2fk5fresed2vkpw0zu20z0d5wwpfar"&gt;72&lt;/key&gt;&lt;/foreign-keys&gt;&lt;ref-type name="Journal Article"&gt;17&lt;/ref-type&gt;&lt;contributors&gt;&lt;authors&gt;&lt;author&gt;El-Khatib, Z.&lt;/author&gt;&lt;author&gt;Ekstrom, A. M.&lt;/author&gt;&lt;author&gt;Coovadia, A.&lt;/author&gt;&lt;author&gt;Abrams, E. J.&lt;/author&gt;&lt;author&gt;Petzold, M.&lt;/author&gt;&lt;author&gt;Katzenstein, D.&lt;/author&gt;&lt;author&gt;Morris, L.&lt;/author&gt;&lt;author&gt;Kuhn, L.&lt;/author&gt;&lt;/authors&gt;&lt;/contributors&gt;&lt;auth-address&gt;Nordic School of Public Health (NHV), Gothenburg, Sweden.&lt;/auth-address&gt;&lt;titles&gt;&lt;title&gt;Adherence and virologic suppression during the first 24 weeks on antiretroviral therapy among women in Johannesburg, South Africa - a prospective cohort study&lt;/title&gt;&lt;secondary-title&gt;BMC Public Health&lt;/secondary-title&gt;&lt;/titles&gt;&lt;periodical&gt;&lt;full-title&gt;BMC Public Health&lt;/full-title&gt;&lt;/periodical&gt;&lt;pages&gt;88&lt;/pages&gt;&lt;volume&gt;11&lt;/volume&gt;&lt;edition&gt;2011/02/10&lt;/edition&gt;&lt;keywords&gt;&lt;keyword&gt;Adult&lt;/keyword&gt;&lt;keyword&gt;Anti-Retroviral Agents/administration &amp;amp; dosage/pharmacology/*therapeutic use&lt;/keyword&gt;&lt;keyword&gt;Cohort Studies&lt;/keyword&gt;&lt;keyword&gt;Female&lt;/keyword&gt;&lt;keyword&gt;HIV Infections/drug therapy/virology&lt;/keyword&gt;&lt;keyword&gt;HIV-1/*drug effects&lt;/keyword&gt;&lt;keyword&gt;Humans&lt;/keyword&gt;&lt;keyword&gt;*Patient Compliance&lt;/keyword&gt;&lt;keyword&gt;Prospective Studies&lt;/keyword&gt;&lt;keyword&gt;Risk Factors&lt;/keyword&gt;&lt;keyword&gt;South Africa&lt;/keyword&gt;&lt;keyword&gt;Viral Load/*drug effects&lt;/keyword&gt;&lt;/keywords&gt;&lt;dates&gt;&lt;year&gt;2011&lt;/year&gt;&lt;/dates&gt;&lt;isbn&gt;1471-2458 (Electronic)&amp;#xD;1471-2458 (Linking)&lt;/isbn&gt;&lt;accession-num&gt;21303548&lt;/accession-num&gt;&lt;urls&gt;&lt;related-urls&gt;&lt;url&gt;http://www.ncbi.nlm.nih.gov/entrez/query.fcgi?cmd=Retrieve&amp;amp;db=PubMed&amp;amp;dopt=Citation&amp;amp;list_uids=21303548&lt;/url&gt;&lt;/related-urls&gt;&lt;/urls&gt;&lt;electronic-resource-num&gt;1471-2458-11-88 [pii]&amp;#xD;10.1186/1471-2458-11-88&lt;/electronic-resource-num&gt;&lt;language&gt;eng&lt;/language&gt;&lt;/record&gt;&lt;/Cite&gt;&lt;/EndNote&gt;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(El-Khatib et al., 2011)</w:t>
      </w:r>
      <w:r w:rsidR="001815AD" w:rsidRPr="00E3232D">
        <w:rPr>
          <w:rFonts w:ascii="Book Antiqua" w:hAnsi="Book Antiqua"/>
        </w:rPr>
        <w:fldChar w:fldCharType="end"/>
      </w:r>
      <w:r w:rsidRPr="00E3232D">
        <w:rPr>
          <w:rFonts w:ascii="Book Antiqua" w:hAnsi="Book Antiqua"/>
        </w:rPr>
        <w:t>.</w:t>
      </w:r>
    </w:p>
    <w:p w14:paraId="0E31FEE1" w14:textId="77777777" w:rsidR="001D1BD3" w:rsidRPr="00E3232D" w:rsidRDefault="001D1BD3" w:rsidP="001B1B96">
      <w:pPr>
        <w:autoSpaceDE w:val="0"/>
        <w:autoSpaceDN w:val="0"/>
        <w:adjustRightInd w:val="0"/>
        <w:spacing w:after="0"/>
        <w:jc w:val="both"/>
        <w:rPr>
          <w:rFonts w:ascii="Book Antiqua" w:hAnsi="Book Antiqua"/>
        </w:rPr>
      </w:pPr>
    </w:p>
    <w:p w14:paraId="2F0BAC45"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b/>
        </w:rPr>
        <w:t>1.9 Role of Governmental and Non-governmental Organizations</w:t>
      </w:r>
    </w:p>
    <w:p w14:paraId="6DDCA52F"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 xml:space="preserve">The government of Ghana since the outbreak of the HIV/AIDS epidemic in Ghana, has evolved specific and innovative strategies to lighten the disease burden and reach high risk groups such as the youth, uniform personnel (police, immigration and the military), commercial sex workers, mobile populations such as long distance truck drivers and itinerant traders </w:t>
      </w:r>
      <w:r w:rsidR="001815AD" w:rsidRPr="00E3232D">
        <w:rPr>
          <w:rFonts w:ascii="Book Antiqua" w:hAnsi="Book Antiqua"/>
        </w:rPr>
        <w:fldChar w:fldCharType="begin"/>
      </w:r>
      <w:r w:rsidRPr="00E3232D">
        <w:rPr>
          <w:rFonts w:ascii="Book Antiqua" w:hAnsi="Book Antiqua"/>
        </w:rPr>
        <w:instrText xml:space="preserve"> ADDIN EN.CITE &lt;EndNote&gt;&lt;Cite&gt;&lt;Author&gt;Anarfi&lt;/Author&gt;&lt;Year&gt;1997&lt;/Year&gt;&lt;RecNum&gt;95&lt;/RecNum&gt;&lt;record&gt;&lt;rec-number&gt;95&lt;/rec-number&gt;&lt;foreign-keys&gt;&lt;key app="EN" db-id="var20a9v7szs9rev9sop0awiz95sdwx5rfvr"&gt;95&lt;/key&gt;&lt;/foreign-keys&gt;&lt;ref-type name="Journal Article"&gt;17&lt;/ref-type&gt;&lt;contributors&gt;&lt;authors&gt;&lt;author&gt;Anarfi, J. K.&lt;/author&gt;&lt;author&gt;Appiah, E. N.&lt;/author&gt;&lt;author&gt;Awusabo-Asare, K.&lt;/author&gt;&lt;/authors&gt;&lt;/contributors&gt;&lt;auth-address&gt;Institute of Statistical, Social and Economic Research, University of Ghana, Legon.&lt;/auth-address&gt;&lt;titles&gt;&lt;title&gt;Livelihood and the risk of HIV/AIDS infection in Ghana: the case of female itinerant traders&lt;/title&gt;&lt;secondary-title&gt;Health Transit Rev&lt;/secondary-title&gt;&lt;/titles&gt;&lt;periodical&gt;&lt;full-title&gt;Health Transit Rev&lt;/full-title&gt;&lt;/periodical&gt;&lt;pages&gt;225-42&lt;/pages&gt;&lt;volume&gt;7 Suppl&lt;/volume&gt;&lt;edition&gt;1996/12/08&lt;/edition&gt;&lt;keywords&gt;&lt;keyword&gt;Adolescent&lt;/keyword&gt;&lt;keyword&gt;Adult&lt;/keyword&gt;&lt;keyword&gt;*Commerce&lt;/keyword&gt;&lt;keyword&gt;*Emigration and Immigration&lt;/keyword&gt;&lt;keyword&gt;Female&lt;/keyword&gt;&lt;keyword&gt;Ghana/epidemiology&lt;/keyword&gt;&lt;keyword&gt;HIV Infections/*epidemiology/prevention &amp;amp; control&lt;/keyword&gt;&lt;keyword&gt;Humans&lt;/keyword&gt;&lt;keyword&gt;Male&lt;/keyword&gt;&lt;keyword&gt;Middle Aged&lt;/keyword&gt;&lt;keyword&gt;Risk Factors&lt;/keyword&gt;&lt;keyword&gt;Sexual Behavior&lt;/keyword&gt;&lt;keyword&gt;Socioeconomic Factors&lt;/keyword&gt;&lt;/keywords&gt;&lt;dates&gt;&lt;year&gt;1997&lt;/year&gt;&lt;/dates&gt;&lt;isbn&gt;1036-4005 (Print)&amp;#xD;1036-4005 (Linking)&lt;/isbn&gt;&lt;accession-num&gt;10169646&lt;/accession-num&gt;&lt;urls&gt;&lt;related-urls&gt;&lt;url&gt;http://www.ncbi.nlm.nih.gov/entrez/query.fcgi?cmd=Retrieve&amp;amp;db=PubMed&amp;amp;dopt=Citation&amp;amp;list_uids=10169646&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(Anarfi et al. 1997)</w:t>
      </w:r>
      <w:r w:rsidR="001815AD" w:rsidRPr="00E3232D">
        <w:rPr>
          <w:rFonts w:ascii="Book Antiqua" w:hAnsi="Book Antiqua"/>
        </w:rPr>
        <w:fldChar w:fldCharType="end"/>
      </w:r>
      <w:r w:rsidRPr="00E3232D">
        <w:rPr>
          <w:rFonts w:ascii="Book Antiqua" w:hAnsi="Book Antiqua"/>
        </w:rPr>
        <w:t xml:space="preserve">. It is on this premise that the Ghana AIDS Commission and the Tripartite committee were established. Some strategies adopted by the Government of Ghana include increasing condom usage rate ≥90% among high-risk groups and more HIV positive mothers receiving </w:t>
      </w:r>
      <w:r w:rsidRPr="00E3232D">
        <w:rPr>
          <w:rFonts w:ascii="Book Antiqua" w:hAnsi="Book Antiqua"/>
        </w:rPr>
        <w:t xml:space="preserve">Prevention of Mother-To-Child Transmission (PMTCT) services </w:t>
      </w:r>
      <w:r w:rsidR="001815AD" w:rsidRPr="00E3232D">
        <w:rPr>
          <w:rFonts w:ascii="Book Antiqua" w:hAnsi="Book Antiqua"/>
        </w:rPr>
        <w:fldChar w:fldCharType="begin"/>
      </w:r>
      <w:r w:rsidRPr="00E3232D">
        <w:rPr>
          <w:rFonts w:ascii="Book Antiqua" w:hAnsi="Book Antiqua"/>
        </w:rPr>
        <w:instrText xml:space="preserve"> ADDIN EN.CITE &lt;EndNote&gt;&lt;Cite&gt;&lt;Author&gt;Agyei-Mensah&lt;/Author&gt;&lt;Year&gt;2001&lt;/Year&gt;&lt;RecNum&gt;60&lt;/RecNum&gt;&lt;record&gt;&lt;rec-number&gt;60&lt;/rec-number&gt;&lt;foreign-keys&gt;&lt;key app="EN" db-id="var20a9v7szs9rev9sop0awiz95sdwx5rfvr"&gt;60&lt;/key&gt;&lt;/foreign-keys&gt;&lt;ref-type name="Journal Article"&gt;17&lt;/ref-type&gt;&lt;contributors&gt;&lt;authors&gt;&lt;author&gt;Agyei-Mensah, S.&lt;/author&gt;&lt;/authors&gt;&lt;/contributors&gt;&lt;titles&gt;&lt;title&gt;Twelve years of HIV/AIDS in Ghana: puzzles of interpretation&lt;/title&gt;&lt;secondary-title&gt;Can J Afr Stud&lt;/secondary-title&gt;&lt;/titles&gt;&lt;periodical&gt;&lt;full-title&gt;Can J Afr Stud&lt;/full-title&gt;&lt;/periodical&gt;&lt;pages&gt;441-72&lt;/pages&gt;&lt;volume&gt;35&lt;/volume&gt;&lt;number&gt;3&lt;/number&gt;&lt;edition&gt;2007/10/12&lt;/edition&gt;&lt;keywords&gt;&lt;keyword&gt;*Acquired Immunodeficiency Syndrome/ethnology/history&lt;/keyword&gt;&lt;keyword&gt;Ghana/ethnology&lt;/keyword&gt;&lt;keyword&gt;HIV/physiology&lt;/keyword&gt;&lt;keyword&gt;History, 20th Century&lt;/keyword&gt;&lt;keyword&gt;Marriage/ethnology/history/legislation &amp;amp; jurisprudence/psychology&lt;/keyword&gt;&lt;keyword&gt;Prostitution/ethnology/history/psychology&lt;/keyword&gt;&lt;keyword&gt;*Public Health/history&lt;/keyword&gt;&lt;keyword&gt;*Sexual Behavior/ethnology/history/physiology&lt;/keyword&gt;&lt;keyword&gt;Socioeconomic Factors&lt;/keyword&gt;&lt;keyword&gt;Transients and Migrants/history/psychology&lt;/keyword&gt;&lt;keyword&gt;Women/history/psychology&lt;/keyword&gt;&lt;/keywords&gt;&lt;dates&gt;&lt;year&gt;2001&lt;/year&gt;&lt;/dates&gt;&lt;isbn&gt;0008-3968 (Print)&amp;#xD;0008-3968 (Linking)&lt;/isbn&gt;&lt;accession-num&gt;17926372&lt;/accession-num&gt;&lt;urls&gt;&lt;related-urls&gt;&lt;url&gt;http://www.ncbi.nlm.nih.gov/entrez/query.fcgi?cmd=Retrieve&amp;amp;db=PubMed&amp;amp;dopt=Citation&amp;amp;list_uids=17926372&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(Agyei-Mensah, 2001)</w:t>
      </w:r>
      <w:r w:rsidR="001815AD" w:rsidRPr="00E3232D">
        <w:rPr>
          <w:rFonts w:ascii="Book Antiqua" w:hAnsi="Book Antiqua"/>
        </w:rPr>
        <w:fldChar w:fldCharType="end"/>
      </w:r>
      <w:r w:rsidRPr="00E3232D">
        <w:rPr>
          <w:rFonts w:ascii="Book Antiqua" w:hAnsi="Book Antiqua"/>
        </w:rPr>
        <w:t xml:space="preserve">. </w:t>
      </w:r>
    </w:p>
    <w:p w14:paraId="44B9FF46" w14:textId="77777777" w:rsidR="00DE73E8" w:rsidRDefault="00DE73E8" w:rsidP="00311945">
      <w:pPr>
        <w:autoSpaceDE w:val="0"/>
        <w:autoSpaceDN w:val="0"/>
        <w:adjustRightInd w:val="0"/>
        <w:spacing w:after="0"/>
        <w:jc w:val="both"/>
        <w:rPr>
          <w:rFonts w:ascii="Book Antiqua" w:hAnsi="Book Antiqua"/>
        </w:rPr>
      </w:pPr>
    </w:p>
    <w:p w14:paraId="2E82FC5E"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 xml:space="preserve">Several organized groups such as churches and schools as well as Non-Governmental Organizations (NGOs) have taken up the challenge to help the government of Ghana to eradicate the HIV/AIDS menace. A typical example is the United States President's Emergency Plan for AIDS Relief (PEPFAR), initiated in 2003 by former President George W. Bush; the multilateral Global Fund to Fight AIDS, Tuberculosis and Malaria. Other NGOs such as the Bill and Melinda Gates Foundation, the Clinton Foundation, and Médecins Sans Frontières, among others, have transformed the fate of countless HIV/AIDS-infected persons in the developing world, particularly Africa, by providing treatment and care for those who are infected and prevention services for those at risk of infection </w:t>
      </w:r>
      <w:r w:rsidR="001815AD" w:rsidRPr="00E3232D">
        <w:rPr>
          <w:rFonts w:ascii="Book Antiqua" w:hAnsi="Book Antiqua"/>
        </w:rPr>
        <w:fldChar w:fldCharType="begin">
          <w:fldData xml:space="preserve">PEVuZE5vdGU+PENpdGU+PEF1dGhvcj5LYW13aTwvQXV0aG9yPjxZZWFyPjIwMDY8L1llYXI+PFJl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PEVuZE5vdGU+PENpdGU+PEF1dGhvcj5LYW13aTwvQXV0aG9yPjxZZWFyPjIwMDY8L1llYXI+PFJl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(Dolinsky, 2008; Kamwi et al., 2006; Kerr, 2006)</w:t>
      </w:r>
      <w:r w:rsidR="001815AD" w:rsidRPr="00E3232D">
        <w:rPr>
          <w:rFonts w:ascii="Book Antiqua" w:hAnsi="Book Antiqua"/>
        </w:rPr>
        <w:fldChar w:fldCharType="end"/>
      </w:r>
      <w:r w:rsidRPr="00E3232D">
        <w:rPr>
          <w:rFonts w:ascii="Book Antiqua" w:hAnsi="Book Antiqua"/>
        </w:rPr>
        <w:t>.</w:t>
      </w:r>
    </w:p>
    <w:p w14:paraId="7218771D"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Problem statement</w:t>
      </w:r>
    </w:p>
    <w:p w14:paraId="2F9E92FD"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The mortality, morbidity and complications associated with HIV/AIDS remain as somber remainders of the devastation caused by the HIV/AIDS epidemic. Due to fact that, HIV/AIDS affects mostly the youth who are the most sexually active and adventurous members of the population, it is imperative that HIV/AIDS education be targeted towards the youth hence the need for this study.</w:t>
      </w:r>
    </w:p>
    <w:p w14:paraId="7179CCB3" w14:textId="77777777" w:rsidR="001D1BD3" w:rsidRPr="00311945" w:rsidRDefault="001D1BD3" w:rsidP="00311945">
      <w:pPr>
        <w:autoSpaceDE w:val="0"/>
        <w:autoSpaceDN w:val="0"/>
        <w:adjustRightInd w:val="0"/>
        <w:spacing w:after="0"/>
        <w:jc w:val="both"/>
        <w:rPr>
          <w:rFonts w:ascii="Book Antiqua" w:hAnsi="Book Antiqua"/>
          <w:sz w:val="26"/>
        </w:rPr>
      </w:pPr>
    </w:p>
    <w:p w14:paraId="68AED23B" w14:textId="77777777" w:rsidR="001D1BD3" w:rsidRPr="00312FAA" w:rsidRDefault="00A45FAE" w:rsidP="00196385">
      <w:pPr>
        <w:pStyle w:val="ListParagraph"/>
        <w:numPr>
          <w:ilvl w:val="0"/>
          <w:numId w:val="173"/>
        </w:numPr>
        <w:autoSpaceDE w:val="0"/>
        <w:autoSpaceDN w:val="0"/>
        <w:adjustRightInd w:val="0"/>
        <w:jc w:val="both"/>
        <w:rPr>
          <w:rFonts w:ascii="Book Antiqua" w:hAnsi="Book Antiqua"/>
          <w:sz w:val="26"/>
        </w:rPr>
      </w:pPr>
      <w:r w:rsidRPr="00312FAA">
        <w:rPr>
          <w:rFonts w:ascii="Book Antiqua" w:hAnsi="Book Antiqua"/>
          <w:b/>
          <w:sz w:val="26"/>
        </w:rPr>
        <w:lastRenderedPageBreak/>
        <w:t>Materials And Methods</w:t>
      </w:r>
    </w:p>
    <w:p w14:paraId="15C40E28"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Kumasi Polytechnic has a student population of about 9,000 with about 18 departments. Stratified sampling technique was employed in the selection of 500 students based on year groups by departments.</w:t>
      </w:r>
    </w:p>
    <w:p w14:paraId="1D5FDD84" w14:textId="77777777" w:rsidR="00DE73E8" w:rsidRDefault="00DE73E8" w:rsidP="00311945">
      <w:pPr>
        <w:autoSpaceDE w:val="0"/>
        <w:autoSpaceDN w:val="0"/>
        <w:adjustRightInd w:val="0"/>
        <w:spacing w:after="0"/>
        <w:jc w:val="both"/>
        <w:rPr>
          <w:rFonts w:ascii="Book Antiqua" w:hAnsi="Book Antiqua"/>
        </w:rPr>
      </w:pPr>
    </w:p>
    <w:p w14:paraId="01C1C149"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Each year group thus had 166 students selected on the average (3000/18). 166 multiplied by 3 (year one through to year three) giving 498 which when rounded to the closest whole figure gives 500.</w:t>
      </w:r>
    </w:p>
    <w:p w14:paraId="0120C712"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Anonymous questionnaires in English language were self-administered to 500 students at the Kumasi Polytechnic in the Ashanti region of Ghana. Due to the self-report nature of this type of study, the integrity of respondents responses may be questioned hence the use of anonymous questionnaires to encourage accurate and honest self-disclosure on HIV/AIDS. A total of 492 completed questionnaires were returned representing a response rate of 98.4%.Questionnaires were developed to sample </w:t>
      </w:r>
      <w:r w:rsidRPr="00E3232D">
        <w:rPr>
          <w:rStyle w:val="Strong"/>
          <w:rFonts w:ascii="Book Antiqua" w:hAnsi="Book Antiqua"/>
        </w:rPr>
        <w:t>students' knowledge</w:t>
      </w:r>
      <w:r w:rsidRPr="00E3232D">
        <w:rPr>
          <w:rFonts w:ascii="Book Antiqua" w:hAnsi="Book Antiqua"/>
        </w:rPr>
        <w:t xml:space="preserve"> of HIV/AIDS, their current </w:t>
      </w:r>
      <w:r w:rsidRPr="00E3232D">
        <w:rPr>
          <w:rStyle w:val="Strong"/>
          <w:rFonts w:ascii="Book Antiqua" w:hAnsi="Book Antiqua"/>
        </w:rPr>
        <w:t>sexual</w:t>
      </w:r>
      <w:r w:rsidRPr="00E3232D">
        <w:rPr>
          <w:rFonts w:ascii="Book Antiqua" w:hAnsi="Book Antiqua"/>
        </w:rPr>
        <w:t xml:space="preserve"> practices, </w:t>
      </w:r>
      <w:r w:rsidRPr="00E3232D">
        <w:rPr>
          <w:rStyle w:val="Strong"/>
          <w:rFonts w:ascii="Book Antiqua" w:hAnsi="Book Antiqua"/>
        </w:rPr>
        <w:t>attitude towards people living with HIV/AIDS (PLWHAs) and sources of information on HIV/AIDS</w:t>
      </w:r>
      <w:r w:rsidRPr="00E3232D">
        <w:rPr>
          <w:rFonts w:ascii="Book Antiqua" w:hAnsi="Book Antiqua"/>
        </w:rPr>
        <w:t xml:space="preserve">. Questionnaires contained multiple choice and yes/no type of questions on respondent’s demographic information, disease </w:t>
      </w:r>
      <w:r w:rsidRPr="00E3232D">
        <w:rPr>
          <w:rStyle w:val="Strong"/>
          <w:rFonts w:ascii="Book Antiqua" w:hAnsi="Book Antiqua"/>
        </w:rPr>
        <w:t>knowledge</w:t>
      </w:r>
      <w:r w:rsidRPr="00E3232D">
        <w:rPr>
          <w:rFonts w:ascii="Book Antiqua" w:hAnsi="Book Antiqua"/>
        </w:rPr>
        <w:t xml:space="preserve"> including modes of transmission, measures to reduce spread of HIV infection and identification of high risk groups. The questionnaires also contained questions which evaluated </w:t>
      </w:r>
      <w:r w:rsidRPr="00E3232D">
        <w:rPr>
          <w:rStyle w:val="Strong"/>
          <w:rFonts w:ascii="Book Antiqua" w:hAnsi="Book Antiqua"/>
        </w:rPr>
        <w:t>students' sexual</w:t>
      </w:r>
      <w:r w:rsidRPr="00E3232D">
        <w:rPr>
          <w:rFonts w:ascii="Book Antiqua" w:hAnsi="Book Antiqua"/>
        </w:rPr>
        <w:t xml:space="preserve"> risk-taking </w:t>
      </w:r>
      <w:r w:rsidRPr="00E3232D">
        <w:rPr>
          <w:rStyle w:val="Strong"/>
          <w:rFonts w:ascii="Book Antiqua" w:hAnsi="Book Antiqua"/>
        </w:rPr>
        <w:t>behavior</w:t>
      </w:r>
      <w:r w:rsidRPr="00E3232D">
        <w:rPr>
          <w:rFonts w:ascii="Book Antiqua" w:hAnsi="Book Antiqua"/>
        </w:rPr>
        <w:t xml:space="preserve">s, </w:t>
      </w:r>
      <w:r w:rsidRPr="00E3232D">
        <w:rPr>
          <w:rFonts w:ascii="Book Antiqua" w:hAnsi="Book Antiqua"/>
        </w:rPr>
        <w:t xml:space="preserve">their awareness of risk to themselves and condom usage. Various responses given by students were recorded and data analyzed using Microsoft Excel 2010. </w:t>
      </w:r>
    </w:p>
    <w:p w14:paraId="61819DD5" w14:textId="77777777" w:rsidR="00066C42" w:rsidRPr="00E3232D" w:rsidRDefault="00066C42" w:rsidP="00311945">
      <w:pPr>
        <w:autoSpaceDE w:val="0"/>
        <w:autoSpaceDN w:val="0"/>
        <w:adjustRightInd w:val="0"/>
        <w:spacing w:after="0"/>
        <w:jc w:val="both"/>
        <w:rPr>
          <w:rFonts w:ascii="Book Antiqua" w:hAnsi="Book Antiqua"/>
        </w:rPr>
      </w:pPr>
    </w:p>
    <w:p w14:paraId="4490F03B" w14:textId="77777777" w:rsidR="001D1BD3" w:rsidRPr="00311945" w:rsidRDefault="00312FAA" w:rsidP="00196385">
      <w:pPr>
        <w:pStyle w:val="ListParagraph"/>
        <w:numPr>
          <w:ilvl w:val="0"/>
          <w:numId w:val="173"/>
        </w:numPr>
        <w:autoSpaceDE w:val="0"/>
        <w:autoSpaceDN w:val="0"/>
        <w:adjustRightInd w:val="0"/>
        <w:jc w:val="both"/>
        <w:rPr>
          <w:rFonts w:ascii="Book Antiqua" w:hAnsi="Book Antiqua"/>
          <w:b/>
          <w:sz w:val="26"/>
        </w:rPr>
      </w:pPr>
      <w:r>
        <w:rPr>
          <w:rFonts w:ascii="Book Antiqua" w:hAnsi="Book Antiqua"/>
          <w:b/>
          <w:sz w:val="26"/>
        </w:rPr>
        <w:t xml:space="preserve"> </w:t>
      </w:r>
      <w:r w:rsidR="00A45FAE" w:rsidRPr="00311945">
        <w:rPr>
          <w:rFonts w:ascii="Book Antiqua" w:hAnsi="Book Antiqua"/>
          <w:b/>
          <w:sz w:val="26"/>
        </w:rPr>
        <w:t>Results</w:t>
      </w:r>
    </w:p>
    <w:p w14:paraId="075CD7D6" w14:textId="77777777" w:rsidR="001D1BD3" w:rsidRPr="00E3232D" w:rsidRDefault="001D1BD3" w:rsidP="00311945">
      <w:pPr>
        <w:autoSpaceDE w:val="0"/>
        <w:autoSpaceDN w:val="0"/>
        <w:adjustRightInd w:val="0"/>
        <w:jc w:val="both"/>
        <w:rPr>
          <w:rFonts w:ascii="Book Antiqua" w:hAnsi="Book Antiqua"/>
          <w:lang w:val="en-GB"/>
        </w:rPr>
      </w:pPr>
      <w:r w:rsidRPr="00E3232D">
        <w:rPr>
          <w:rFonts w:ascii="Book Antiqua" w:hAnsi="Book Antiqua"/>
          <w:lang w:val="en-GB"/>
        </w:rPr>
        <w:t>Fifty nine percent (59%) of respondents were males whiles forty one percent (41%) were females. Respondents were also categorized according to age groups. Sixty five percent (65%) of respondents were between the ages of 15-25, Twenty three percent (23%) were between the ages of 26-35, nine percent (9%) were between the ages of 36-45 and four percent (4%) were above 45 years.</w:t>
      </w:r>
    </w:p>
    <w:p w14:paraId="0FD0DC66" w14:textId="77777777" w:rsidR="001D1BD3" w:rsidRPr="00E3232D" w:rsidRDefault="001D1BD3" w:rsidP="00311945">
      <w:pPr>
        <w:autoSpaceDE w:val="0"/>
        <w:autoSpaceDN w:val="0"/>
        <w:adjustRightInd w:val="0"/>
        <w:spacing w:after="0"/>
        <w:jc w:val="both"/>
        <w:rPr>
          <w:rFonts w:ascii="Book Antiqua" w:hAnsi="Book Antiqua"/>
          <w:lang w:val="en-GB"/>
        </w:rPr>
      </w:pPr>
      <w:r w:rsidRPr="00E3232D">
        <w:rPr>
          <w:rFonts w:ascii="Book Antiqua" w:hAnsi="Book Antiqua"/>
          <w:lang w:val="en-GB"/>
        </w:rPr>
        <w:t>Eighty percent (80%) of respondents were single whiles twenty percent (20%) were married.</w:t>
      </w:r>
    </w:p>
    <w:p w14:paraId="5AA3FC9C" w14:textId="77777777" w:rsidR="00E31EF3" w:rsidRDefault="00E31EF3" w:rsidP="00311945">
      <w:pPr>
        <w:autoSpaceDE w:val="0"/>
        <w:autoSpaceDN w:val="0"/>
        <w:adjustRightInd w:val="0"/>
        <w:spacing w:after="0"/>
        <w:jc w:val="both"/>
        <w:rPr>
          <w:rFonts w:ascii="Book Antiqua" w:hAnsi="Book Antiqua"/>
          <w:lang w:val="en-GB"/>
        </w:rPr>
      </w:pPr>
    </w:p>
    <w:p w14:paraId="601ED86B" w14:textId="77777777" w:rsidR="001D1BD3" w:rsidRPr="00E3232D" w:rsidRDefault="001D1BD3" w:rsidP="00311945">
      <w:pPr>
        <w:autoSpaceDE w:val="0"/>
        <w:autoSpaceDN w:val="0"/>
        <w:adjustRightInd w:val="0"/>
        <w:spacing w:after="0"/>
        <w:jc w:val="both"/>
        <w:rPr>
          <w:rFonts w:ascii="Book Antiqua" w:hAnsi="Book Antiqua"/>
          <w:lang w:val="en-GB"/>
        </w:rPr>
      </w:pPr>
      <w:r w:rsidRPr="00E3232D">
        <w:rPr>
          <w:rFonts w:ascii="Book Antiqua" w:hAnsi="Book Antiqua"/>
          <w:lang w:val="en-GB"/>
        </w:rPr>
        <w:t xml:space="preserve">Ninety two percent (92%) of  respondents expressed a desire to know more about HIV/AIDS. </w:t>
      </w:r>
    </w:p>
    <w:p w14:paraId="1A61625B" w14:textId="77777777" w:rsidR="001D1BD3" w:rsidRPr="00E3232D" w:rsidRDefault="001D1BD3" w:rsidP="00311945">
      <w:pPr>
        <w:autoSpaceDE w:val="0"/>
        <w:autoSpaceDN w:val="0"/>
        <w:adjustRightInd w:val="0"/>
        <w:jc w:val="both"/>
        <w:rPr>
          <w:rFonts w:ascii="Book Antiqua" w:hAnsi="Book Antiqua"/>
          <w:lang w:val="en-GB"/>
        </w:rPr>
      </w:pPr>
      <w:r w:rsidRPr="00E3232D">
        <w:rPr>
          <w:rFonts w:ascii="Book Antiqua" w:hAnsi="Book Antiqua"/>
          <w:lang w:val="en-GB"/>
        </w:rPr>
        <w:t>"Television and radio" were the main sources of HIV/AIDS related information Sixty seven percent (67%) of respondents stated the “television” whiles fifteen percent (15%) cited the “radio” as their main source of HIV/AIDS related information. Six percent (6%) cited “newspapers”; four percent (4%) cited the “internet” whiles eight percent (8%) cited others. For the purposes of data analysis,  “magazines”, “books”, “friends” and “family” were called others (Fig. 1).</w:t>
      </w:r>
    </w:p>
    <w:p w14:paraId="2506FC9A" w14:textId="77777777" w:rsidR="001D1BD3" w:rsidRPr="00E3232D" w:rsidRDefault="001D1BD3" w:rsidP="00311945">
      <w:pPr>
        <w:autoSpaceDE w:val="0"/>
        <w:autoSpaceDN w:val="0"/>
        <w:adjustRightInd w:val="0"/>
        <w:jc w:val="both"/>
        <w:rPr>
          <w:rFonts w:ascii="Book Antiqua" w:hAnsi="Book Antiqua"/>
          <w:lang w:val="en-GB"/>
        </w:rPr>
      </w:pPr>
    </w:p>
    <w:p w14:paraId="1815549F" w14:textId="77777777" w:rsidR="001D1BD3" w:rsidRPr="00E3232D" w:rsidRDefault="001D1BD3" w:rsidP="00311945">
      <w:pPr>
        <w:autoSpaceDE w:val="0"/>
        <w:autoSpaceDN w:val="0"/>
        <w:adjustRightInd w:val="0"/>
        <w:jc w:val="both"/>
        <w:rPr>
          <w:rFonts w:ascii="Book Antiqua" w:hAnsi="Book Antiqua"/>
          <w:lang w:val="en-GB"/>
        </w:rPr>
      </w:pPr>
      <w:r w:rsidRPr="00E3232D">
        <w:rPr>
          <w:rFonts w:ascii="Book Antiqua" w:hAnsi="Book Antiqua"/>
          <w:lang w:val="en-GB"/>
        </w:rPr>
        <w:lastRenderedPageBreak/>
        <w:t>Fig. 1 Respondents sources of HIV/AIDS information</w:t>
      </w:r>
    </w:p>
    <w:p w14:paraId="055C25D7" w14:textId="77777777" w:rsidR="001D1BD3" w:rsidRPr="00E3232D" w:rsidRDefault="007005B1" w:rsidP="00311945">
      <w:pPr>
        <w:autoSpaceDE w:val="0"/>
        <w:autoSpaceDN w:val="0"/>
        <w:adjustRightInd w:val="0"/>
        <w:jc w:val="both"/>
        <w:rPr>
          <w:rFonts w:ascii="Book Antiqua" w:hAnsi="Book Antiqua"/>
          <w:lang w:val="en-GB"/>
        </w:rPr>
      </w:pPr>
      <w:r>
        <w:rPr>
          <w:rFonts w:ascii="Book Antiqua" w:hAnsi="Book Antiqua"/>
          <w:noProof/>
          <w:lang w:bidi="ar-SA"/>
        </w:rPr>
        <w:drawing>
          <wp:inline distT="0" distB="0" distL="0" distR="0" wp14:anchorId="44BB5554" wp14:editId="61C53F85">
            <wp:extent cx="2832164" cy="1594087"/>
            <wp:effectExtent l="12197" t="6113" r="3614" b="0"/>
            <wp:docPr id="43"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B2466EC" w14:textId="77777777" w:rsidR="00E31EF3" w:rsidRDefault="001D1BD3" w:rsidP="00311945">
      <w:pPr>
        <w:autoSpaceDE w:val="0"/>
        <w:autoSpaceDN w:val="0"/>
        <w:adjustRightInd w:val="0"/>
        <w:jc w:val="both"/>
        <w:rPr>
          <w:rFonts w:ascii="Book Antiqua" w:hAnsi="Book Antiqua"/>
          <w:lang w:val="en-GB"/>
        </w:rPr>
      </w:pPr>
      <w:r w:rsidRPr="00E3232D">
        <w:rPr>
          <w:rFonts w:ascii="Book Antiqua" w:hAnsi="Book Antiqua"/>
          <w:lang w:val="en-GB"/>
        </w:rPr>
        <w:t>In response to the question “in which of the following ways can HIV/AIDS be transmitted?” different responses were given. In general, respondents had a fair idea of the different routes of transmission of the disease. Ninety five percent (95%) of respondents said sexual contact could transmit the disease, ninety percent (90%) said blood transfusion, ninety one percent (91%) said sharing of needles, sixty six percent (66%) said tattoos whiles eighty five percent (85%) said mother-to-child transmission can transmit the disease causing virus.</w:t>
      </w:r>
    </w:p>
    <w:p w14:paraId="7E8D3FF3" w14:textId="77777777" w:rsidR="001D1BD3" w:rsidRPr="00E3232D" w:rsidRDefault="001D1BD3" w:rsidP="00311945">
      <w:pPr>
        <w:autoSpaceDE w:val="0"/>
        <w:autoSpaceDN w:val="0"/>
        <w:adjustRightInd w:val="0"/>
        <w:spacing w:after="0"/>
        <w:jc w:val="both"/>
        <w:rPr>
          <w:rFonts w:ascii="Book Antiqua" w:hAnsi="Book Antiqua"/>
          <w:lang w:val="en-GB"/>
        </w:rPr>
      </w:pPr>
      <w:r w:rsidRPr="00E3232D">
        <w:rPr>
          <w:rFonts w:ascii="Book Antiqua" w:hAnsi="Book Antiqua"/>
          <w:lang w:val="en-GB"/>
        </w:rPr>
        <w:t>Eighty eight percent (88%) of respondents said the existence of HIV/AIDS did not affect their sexual behaviour in any way. Thirty three percent (33%) said they engage in oral or anal sex irrespective of the HIV/AIDS menace.</w:t>
      </w:r>
    </w:p>
    <w:p w14:paraId="0BDB53C7" w14:textId="77777777" w:rsidR="00E31EF3" w:rsidRDefault="00E31EF3" w:rsidP="00311945">
      <w:pPr>
        <w:autoSpaceDE w:val="0"/>
        <w:autoSpaceDN w:val="0"/>
        <w:adjustRightInd w:val="0"/>
        <w:spacing w:after="0"/>
        <w:jc w:val="both"/>
        <w:rPr>
          <w:rFonts w:ascii="Book Antiqua" w:hAnsi="Book Antiqua"/>
          <w:lang w:val="en-GB"/>
        </w:rPr>
      </w:pPr>
    </w:p>
    <w:p w14:paraId="7829AE90"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lang w:val="en-GB"/>
        </w:rPr>
        <w:t xml:space="preserve">Sixty three percent (63%) of respondents did not know that there was drug treatment to control the replication of the HIV virus whiles thirty seven percent (37%) knew of drug treatments. Out those who knew about drug treatment, only twelve percent (12%) could mention the </w:t>
      </w:r>
      <w:r w:rsidRPr="00E3232D">
        <w:rPr>
          <w:rFonts w:ascii="Book Antiqua" w:hAnsi="Book Antiqua"/>
          <w:lang w:val="en-GB"/>
        </w:rPr>
        <w:t>name of either a generic or brand name drug for the treatment of the disease.</w:t>
      </w:r>
    </w:p>
    <w:p w14:paraId="721AD022" w14:textId="77777777" w:rsidR="000B4A9B" w:rsidRDefault="000B4A9B" w:rsidP="00311945">
      <w:pPr>
        <w:autoSpaceDE w:val="0"/>
        <w:autoSpaceDN w:val="0"/>
        <w:adjustRightInd w:val="0"/>
        <w:jc w:val="both"/>
        <w:rPr>
          <w:rFonts w:ascii="Book Antiqua" w:hAnsi="Book Antiqua"/>
          <w:lang w:val="en-GB"/>
        </w:rPr>
      </w:pPr>
    </w:p>
    <w:p w14:paraId="09AF9214" w14:textId="77777777" w:rsidR="001D1BD3" w:rsidRPr="00E3232D" w:rsidRDefault="001D1BD3" w:rsidP="00311945">
      <w:pPr>
        <w:autoSpaceDE w:val="0"/>
        <w:autoSpaceDN w:val="0"/>
        <w:adjustRightInd w:val="0"/>
        <w:jc w:val="both"/>
        <w:rPr>
          <w:rFonts w:ascii="Book Antiqua" w:hAnsi="Book Antiqua"/>
          <w:lang w:val="en-GB"/>
        </w:rPr>
      </w:pPr>
      <w:r w:rsidRPr="00E3232D">
        <w:rPr>
          <w:rFonts w:ascii="Book Antiqua" w:hAnsi="Book Antiqua"/>
          <w:lang w:val="en-GB"/>
        </w:rPr>
        <w:t>In response to a question about the best way of fighting the HIV/AIDS epidemic in terms of preventive strategies, seventy seven percent (77%) of  respondents believed that education is the best approach respondents.  whiles fifteen percent (15%) said condom use was the most effective preventive strategy (Fig. 2).</w:t>
      </w:r>
    </w:p>
    <w:p w14:paraId="2F83C822" w14:textId="77777777" w:rsidR="0059383C" w:rsidRDefault="0059383C" w:rsidP="00311945">
      <w:pPr>
        <w:autoSpaceDE w:val="0"/>
        <w:autoSpaceDN w:val="0"/>
        <w:adjustRightInd w:val="0"/>
        <w:jc w:val="both"/>
        <w:rPr>
          <w:rFonts w:ascii="Book Antiqua" w:hAnsi="Book Antiqua"/>
          <w:lang w:val="en-GB"/>
        </w:rPr>
      </w:pPr>
    </w:p>
    <w:p w14:paraId="6DA18309" w14:textId="77777777" w:rsidR="001D1BD3" w:rsidRPr="00E3232D" w:rsidRDefault="001D1BD3" w:rsidP="00311945">
      <w:pPr>
        <w:autoSpaceDE w:val="0"/>
        <w:autoSpaceDN w:val="0"/>
        <w:adjustRightInd w:val="0"/>
        <w:jc w:val="both"/>
        <w:rPr>
          <w:rFonts w:ascii="Book Antiqua" w:hAnsi="Book Antiqua"/>
          <w:lang w:val="en-GB"/>
        </w:rPr>
      </w:pPr>
      <w:r w:rsidRPr="00E3232D">
        <w:rPr>
          <w:rFonts w:ascii="Book Antiqua" w:hAnsi="Book Antiqua"/>
          <w:lang w:val="en-GB"/>
        </w:rPr>
        <w:t>Fig. 2 Respondents choices of HIV/AIDS preventive strategies</w:t>
      </w:r>
    </w:p>
    <w:p w14:paraId="682CE36F" w14:textId="77777777" w:rsidR="001D1BD3" w:rsidRPr="00E3232D" w:rsidRDefault="007005B1" w:rsidP="00311945">
      <w:pPr>
        <w:autoSpaceDE w:val="0"/>
        <w:autoSpaceDN w:val="0"/>
        <w:adjustRightInd w:val="0"/>
        <w:jc w:val="both"/>
        <w:rPr>
          <w:rFonts w:ascii="Book Antiqua" w:hAnsi="Book Antiqua"/>
          <w:lang w:val="en-GB"/>
        </w:rPr>
      </w:pPr>
      <w:r>
        <w:rPr>
          <w:rFonts w:ascii="Book Antiqua" w:hAnsi="Book Antiqua"/>
          <w:noProof/>
          <w:lang w:bidi="ar-SA"/>
        </w:rPr>
        <w:drawing>
          <wp:inline distT="0" distB="0" distL="0" distR="0" wp14:anchorId="6722C082" wp14:editId="3B402A59">
            <wp:extent cx="2578735" cy="2604135"/>
            <wp:effectExtent l="19050" t="0" r="12065" b="5715"/>
            <wp:docPr id="44"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D1DFA35" w14:textId="77777777" w:rsidR="001D1BD3" w:rsidRPr="00E3232D" w:rsidRDefault="001D1BD3" w:rsidP="00311945">
      <w:pPr>
        <w:autoSpaceDE w:val="0"/>
        <w:autoSpaceDN w:val="0"/>
        <w:adjustRightInd w:val="0"/>
        <w:jc w:val="both"/>
        <w:rPr>
          <w:rFonts w:ascii="Book Antiqua" w:hAnsi="Book Antiqua"/>
          <w:lang w:val="en-GB"/>
        </w:rPr>
      </w:pPr>
      <w:r w:rsidRPr="00E3232D">
        <w:rPr>
          <w:rFonts w:ascii="Book Antiqua" w:hAnsi="Book Antiqua"/>
          <w:lang w:val="en-GB"/>
        </w:rPr>
        <w:t>Forty seven percent (47%) of respondents answered “yes” when asked whether they had already tested for HIV whiles fifty two percent (52%) said they had not tested yet.</w:t>
      </w:r>
    </w:p>
    <w:p w14:paraId="221497C6" w14:textId="77777777" w:rsidR="0059383C" w:rsidRDefault="00E31EF3" w:rsidP="00311945">
      <w:pPr>
        <w:autoSpaceDE w:val="0"/>
        <w:autoSpaceDN w:val="0"/>
        <w:adjustRightInd w:val="0"/>
        <w:jc w:val="both"/>
        <w:rPr>
          <w:rFonts w:ascii="Book Antiqua" w:hAnsi="Book Antiqua"/>
          <w:lang w:val="en-GB"/>
        </w:rPr>
      </w:pPr>
      <w:r>
        <w:rPr>
          <w:rFonts w:ascii="Book Antiqua" w:hAnsi="Book Antiqua"/>
          <w:lang w:val="en-GB"/>
        </w:rPr>
        <w:t xml:space="preserve">Many misconceptions were </w:t>
      </w:r>
      <w:r w:rsidR="001D1BD3" w:rsidRPr="00E3232D">
        <w:rPr>
          <w:rFonts w:ascii="Book Antiqua" w:hAnsi="Book Antiqua"/>
          <w:lang w:val="en-GB"/>
        </w:rPr>
        <w:t>identified relating to HIV/AID</w:t>
      </w:r>
      <w:r>
        <w:rPr>
          <w:rFonts w:ascii="Book Antiqua" w:hAnsi="Book Antiqua"/>
          <w:lang w:val="en-GB"/>
        </w:rPr>
        <w:t>S, with eleven percent (11%) of</w:t>
      </w:r>
      <w:r w:rsidR="001D1BD3" w:rsidRPr="00E3232D">
        <w:rPr>
          <w:rFonts w:ascii="Book Antiqua" w:hAnsi="Book Antiqua"/>
          <w:lang w:val="en-GB"/>
        </w:rPr>
        <w:t xml:space="preserve"> respondents believing that young people can never be affected </w:t>
      </w:r>
      <w:r w:rsidR="001D1BD3" w:rsidRPr="00E3232D">
        <w:rPr>
          <w:rFonts w:ascii="Book Antiqua" w:hAnsi="Book Antiqua"/>
          <w:lang w:val="en-GB"/>
        </w:rPr>
        <w:lastRenderedPageBreak/>
        <w:t>by HIV/AIDS, twenty percent (20%) believing that HIV-positive people can be recognized by their appearance. Thirty three percent (33%) of  respondents thought that HIV/AIDS can be transmitted by sharing toilet with infected individuals  whiles thirty one percent (31%) of  respondents thought mosquitoes can transmit the disease (Fig. 3).</w:t>
      </w:r>
    </w:p>
    <w:p w14:paraId="0B0F5C94" w14:textId="77777777" w:rsidR="001D1BD3" w:rsidRPr="00E3232D" w:rsidRDefault="007005B1" w:rsidP="00311945">
      <w:pPr>
        <w:autoSpaceDE w:val="0"/>
        <w:autoSpaceDN w:val="0"/>
        <w:adjustRightInd w:val="0"/>
        <w:jc w:val="both"/>
        <w:rPr>
          <w:rFonts w:ascii="Book Antiqua" w:hAnsi="Book Antiqua"/>
        </w:rPr>
      </w:pPr>
      <w:r>
        <w:rPr>
          <w:rFonts w:ascii="Book Antiqua" w:hAnsi="Book Antiqua"/>
          <w:noProof/>
          <w:lang w:bidi="ar-SA"/>
        </w:rPr>
        <w:drawing>
          <wp:inline distT="0" distB="0" distL="0" distR="0" wp14:anchorId="27A55A1F" wp14:editId="0D7F1D2C">
            <wp:extent cx="2781300" cy="2743200"/>
            <wp:effectExtent l="0" t="0" r="0" b="0"/>
            <wp:docPr id="45"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75F3E7A" w14:textId="77777777" w:rsidR="001B1B96" w:rsidRPr="00E3232D" w:rsidRDefault="001B1B96" w:rsidP="001B1B96">
      <w:pPr>
        <w:autoSpaceDE w:val="0"/>
        <w:autoSpaceDN w:val="0"/>
        <w:adjustRightInd w:val="0"/>
        <w:jc w:val="both"/>
        <w:rPr>
          <w:rFonts w:ascii="Book Antiqua" w:hAnsi="Book Antiqua"/>
          <w:lang w:val="en-GB"/>
        </w:rPr>
      </w:pPr>
      <w:r w:rsidRPr="00E3232D">
        <w:rPr>
          <w:rFonts w:ascii="Book Antiqua" w:hAnsi="Book Antiqua"/>
          <w:lang w:val="en-GB"/>
        </w:rPr>
        <w:t>Fig. 3 Identified HIV/AIDS misconceptions among respondents</w:t>
      </w:r>
    </w:p>
    <w:p w14:paraId="4BECCEAC" w14:textId="77777777" w:rsidR="001D1BD3" w:rsidRPr="00E3232D" w:rsidRDefault="001D1BD3" w:rsidP="00311945">
      <w:pPr>
        <w:autoSpaceDE w:val="0"/>
        <w:autoSpaceDN w:val="0"/>
        <w:adjustRightInd w:val="0"/>
        <w:jc w:val="both"/>
        <w:rPr>
          <w:rFonts w:ascii="Book Antiqua" w:hAnsi="Book Antiqua"/>
          <w:lang w:val="en-GB"/>
        </w:rPr>
      </w:pPr>
      <w:r w:rsidRPr="00E3232D">
        <w:rPr>
          <w:rFonts w:ascii="Book Antiqua" w:hAnsi="Book Antiqua"/>
          <w:lang w:val="en-GB"/>
        </w:rPr>
        <w:t xml:space="preserve">Negative attitudes toward HIV-infected individuals were found to be common. Forty one percent (41%) of respondents thought that an HIV infected person should not be allowed to enter main stream educational institutions. Boys and girls were found to be the same for this attitude (49% vs. 48% respectively). Thirty percent (30%) of respondents stated that they would not sit in the same classroom with an HIV positive student. There was no significant difference between boys and girls (35% vs. 38%). Twenty nine </w:t>
      </w:r>
      <w:r w:rsidRPr="00E3232D">
        <w:rPr>
          <w:rFonts w:ascii="Book Antiqua" w:hAnsi="Book Antiqua"/>
          <w:lang w:val="en-GB"/>
        </w:rPr>
        <w:t>percent (29%) of respondents indicated that they would not shake hands with an HIV-infected person if they knew about his or her status (Fig. 4). There were significant differences in relation to boys and girls [52% of boys vs. 30% of girls]. Attitude was significantly correlated with knowledge. Generally, students with less knowledge scores had more negative attitude towards HIV-infected persons.</w:t>
      </w:r>
    </w:p>
    <w:p w14:paraId="56C17C18" w14:textId="77777777" w:rsidR="001D1BD3" w:rsidRPr="00E3232D" w:rsidRDefault="007005B1" w:rsidP="00311945">
      <w:pPr>
        <w:autoSpaceDE w:val="0"/>
        <w:autoSpaceDN w:val="0"/>
        <w:adjustRightInd w:val="0"/>
        <w:jc w:val="both"/>
        <w:rPr>
          <w:rFonts w:ascii="Book Antiqua" w:hAnsi="Book Antiqua"/>
        </w:rPr>
      </w:pPr>
      <w:r>
        <w:rPr>
          <w:rFonts w:ascii="Book Antiqua" w:hAnsi="Book Antiqua"/>
          <w:noProof/>
          <w:lang w:bidi="ar-SA"/>
        </w:rPr>
        <w:drawing>
          <wp:inline distT="0" distB="0" distL="0" distR="0" wp14:anchorId="608EE684" wp14:editId="652E455F">
            <wp:extent cx="2916170" cy="2746628"/>
            <wp:effectExtent l="12195" t="6097" r="5335" b="0"/>
            <wp:docPr id="46"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7C275DD" w14:textId="77777777" w:rsidR="001B1B96" w:rsidRPr="00E3232D" w:rsidRDefault="001B1B96" w:rsidP="001B1B96">
      <w:pPr>
        <w:autoSpaceDE w:val="0"/>
        <w:autoSpaceDN w:val="0"/>
        <w:adjustRightInd w:val="0"/>
        <w:jc w:val="both"/>
        <w:rPr>
          <w:rFonts w:ascii="Book Antiqua" w:hAnsi="Book Antiqua"/>
          <w:lang w:val="en-GB"/>
        </w:rPr>
      </w:pPr>
      <w:r w:rsidRPr="00E3232D">
        <w:rPr>
          <w:rFonts w:ascii="Book Antiqua" w:hAnsi="Book Antiqua"/>
          <w:lang w:val="en-GB"/>
        </w:rPr>
        <w:t>Fig.4 Respondents Negative Attitude towards PLWHAs</w:t>
      </w:r>
    </w:p>
    <w:p w14:paraId="5A30949F" w14:textId="77777777" w:rsidR="001D1BD3" w:rsidRPr="00E3232D" w:rsidRDefault="001D1BD3" w:rsidP="00311945">
      <w:pPr>
        <w:autoSpaceDE w:val="0"/>
        <w:autoSpaceDN w:val="0"/>
        <w:adjustRightInd w:val="0"/>
        <w:jc w:val="both"/>
        <w:rPr>
          <w:rFonts w:ascii="Book Antiqua" w:hAnsi="Book Antiqua"/>
          <w:lang w:val="en-GB"/>
        </w:rPr>
      </w:pPr>
      <w:r w:rsidRPr="00E3232D">
        <w:rPr>
          <w:rFonts w:ascii="Book Antiqua" w:hAnsi="Book Antiqua"/>
          <w:lang w:val="en-GB"/>
        </w:rPr>
        <w:t>As a supplemental question, respondents  were asked to express their feeling towards an HIV positive person. Seventy percent (70%) of respondents said they would be compassionate towards an infected person, eleven percent (11%) said they would be indifferent whiles nineteen percent (19%) said they would be bitter towards an HIV positive person (Fig. 5). These feelings were diff</w:t>
      </w:r>
      <w:r w:rsidR="00066C42">
        <w:rPr>
          <w:rFonts w:ascii="Book Antiqua" w:hAnsi="Book Antiqua"/>
          <w:lang w:val="en-GB"/>
        </w:rPr>
        <w:t xml:space="preserve">erent </w:t>
      </w:r>
      <w:r w:rsidRPr="00E3232D">
        <w:rPr>
          <w:rFonts w:ascii="Book Antiqua" w:hAnsi="Book Antiqua"/>
          <w:lang w:val="en-GB"/>
        </w:rPr>
        <w:t>for boys and girls.</w:t>
      </w:r>
      <w:bookmarkStart w:id="18" w:name="d19504e567"/>
      <w:bookmarkEnd w:id="18"/>
      <w:r w:rsidRPr="00E3232D">
        <w:rPr>
          <w:rFonts w:ascii="Book Antiqua" w:hAnsi="Book Antiqua"/>
          <w:lang w:val="en-GB"/>
        </w:rPr>
        <w:t xml:space="preserve"> Girls were more compassionate towards HIV/ AIDS patients than boys </w:t>
      </w:r>
      <w:r w:rsidRPr="00E3232D">
        <w:rPr>
          <w:rFonts w:ascii="Book Antiqua" w:hAnsi="Book Antiqua"/>
          <w:lang w:val="en-GB"/>
        </w:rPr>
        <w:lastRenderedPageBreak/>
        <w:t xml:space="preserve">(63% of girls vs. 37% of boys).This finding is not surprising as boys/men naturally hide their emotions or feelings and may appear less compassionate than girls/women. Eighty three percent (83%) of respondents thought PLWHAs should be given the necessary support. </w:t>
      </w:r>
    </w:p>
    <w:p w14:paraId="14C282D6" w14:textId="77777777" w:rsidR="001D1BD3" w:rsidRPr="00E3232D" w:rsidRDefault="007005B1" w:rsidP="001B1B96">
      <w:pPr>
        <w:autoSpaceDE w:val="0"/>
        <w:autoSpaceDN w:val="0"/>
        <w:adjustRightInd w:val="0"/>
        <w:spacing w:after="0"/>
        <w:jc w:val="both"/>
        <w:rPr>
          <w:rFonts w:ascii="Book Antiqua" w:hAnsi="Book Antiqua"/>
        </w:rPr>
      </w:pPr>
      <w:r>
        <w:rPr>
          <w:rFonts w:ascii="Book Antiqua" w:hAnsi="Book Antiqua"/>
          <w:noProof/>
          <w:lang w:bidi="ar-SA"/>
        </w:rPr>
        <w:drawing>
          <wp:inline distT="0" distB="0" distL="0" distR="0" wp14:anchorId="3B282B2C" wp14:editId="0F0D12C6">
            <wp:extent cx="2763750" cy="2746628"/>
            <wp:effectExtent l="12209" t="6097" r="5341" b="0"/>
            <wp:docPr id="47"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52214E0" w14:textId="77777777" w:rsidR="001B1B96" w:rsidRPr="00E3232D" w:rsidRDefault="001B1B96" w:rsidP="001B1B96">
      <w:pPr>
        <w:autoSpaceDE w:val="0"/>
        <w:autoSpaceDN w:val="0"/>
        <w:adjustRightInd w:val="0"/>
        <w:spacing w:after="0"/>
        <w:jc w:val="both"/>
        <w:rPr>
          <w:rFonts w:ascii="Book Antiqua" w:hAnsi="Book Antiqua"/>
          <w:lang w:val="en-GB"/>
        </w:rPr>
      </w:pPr>
      <w:r w:rsidRPr="00E3232D">
        <w:rPr>
          <w:rFonts w:ascii="Book Antiqua" w:hAnsi="Book Antiqua"/>
          <w:lang w:val="en-GB"/>
        </w:rPr>
        <w:t>Fig. 5 Respondents feelings towards PLWHAs</w:t>
      </w:r>
    </w:p>
    <w:p w14:paraId="078793A5" w14:textId="77777777" w:rsidR="001D1BD3" w:rsidRPr="00E3232D" w:rsidRDefault="001D1BD3" w:rsidP="00311945">
      <w:pPr>
        <w:autoSpaceDE w:val="0"/>
        <w:autoSpaceDN w:val="0"/>
        <w:adjustRightInd w:val="0"/>
        <w:jc w:val="both"/>
        <w:rPr>
          <w:rFonts w:ascii="Book Antiqua" w:hAnsi="Book Antiqua"/>
        </w:rPr>
      </w:pPr>
    </w:p>
    <w:p w14:paraId="7737D23E" w14:textId="77777777" w:rsidR="001D1BD3" w:rsidRPr="00E3232D" w:rsidRDefault="00A45FAE" w:rsidP="00196385">
      <w:pPr>
        <w:pStyle w:val="ListParagraph"/>
        <w:numPr>
          <w:ilvl w:val="0"/>
          <w:numId w:val="173"/>
        </w:numPr>
        <w:autoSpaceDE w:val="0"/>
        <w:autoSpaceDN w:val="0"/>
        <w:adjustRightInd w:val="0"/>
        <w:jc w:val="both"/>
        <w:rPr>
          <w:rFonts w:ascii="Book Antiqua" w:hAnsi="Book Antiqua"/>
          <w:b/>
        </w:rPr>
      </w:pPr>
      <w:r w:rsidRPr="00311945">
        <w:rPr>
          <w:rFonts w:ascii="Book Antiqua" w:hAnsi="Book Antiqua"/>
          <w:b/>
          <w:sz w:val="26"/>
        </w:rPr>
        <w:t>Discussion</w:t>
      </w:r>
    </w:p>
    <w:p w14:paraId="3389824B" w14:textId="77777777" w:rsidR="001D1BD3" w:rsidRPr="00E3232D" w:rsidRDefault="001D1BD3" w:rsidP="00311945">
      <w:pPr>
        <w:autoSpaceDE w:val="0"/>
        <w:autoSpaceDN w:val="0"/>
        <w:adjustRightInd w:val="0"/>
        <w:spacing w:after="0"/>
        <w:jc w:val="both"/>
        <w:rPr>
          <w:rFonts w:ascii="Book Antiqua" w:hAnsi="Book Antiqua"/>
        </w:rPr>
      </w:pPr>
      <w:r w:rsidRPr="00E3232D">
        <w:rPr>
          <w:rFonts w:ascii="Book Antiqua" w:hAnsi="Book Antiqua"/>
        </w:rPr>
        <w:t>S</w:t>
      </w:r>
      <w:r w:rsidRPr="00E3232D">
        <w:rPr>
          <w:rStyle w:val="Strong"/>
          <w:rFonts w:ascii="Book Antiqua" w:hAnsi="Book Antiqua"/>
        </w:rPr>
        <w:t>tudents</w:t>
      </w:r>
      <w:r w:rsidRPr="00E3232D">
        <w:rPr>
          <w:rFonts w:ascii="Book Antiqua" w:hAnsi="Book Antiqua"/>
        </w:rPr>
        <w:t xml:space="preserve"> attending a tertiary institution have excellent access to public health education regarding HIV and AIDS transmission, and so may be a barometer of the effectiveness of public health education campaigns.</w:t>
      </w:r>
    </w:p>
    <w:p w14:paraId="3D585522" w14:textId="77777777" w:rsidR="00066C42" w:rsidRDefault="00066C42" w:rsidP="00311945">
      <w:pPr>
        <w:autoSpaceDE w:val="0"/>
        <w:autoSpaceDN w:val="0"/>
        <w:adjustRightInd w:val="0"/>
        <w:spacing w:after="0"/>
        <w:jc w:val="both"/>
        <w:rPr>
          <w:rFonts w:ascii="Book Antiqua" w:hAnsi="Book Antiqua"/>
          <w:lang w:val="en-GB"/>
        </w:rPr>
      </w:pPr>
    </w:p>
    <w:p w14:paraId="00C6C3AF" w14:textId="77777777" w:rsidR="001D1BD3" w:rsidRPr="00E3232D" w:rsidRDefault="001D1BD3" w:rsidP="00311945">
      <w:pPr>
        <w:autoSpaceDE w:val="0"/>
        <w:autoSpaceDN w:val="0"/>
        <w:adjustRightInd w:val="0"/>
        <w:spacing w:after="0"/>
        <w:jc w:val="both"/>
        <w:rPr>
          <w:rFonts w:ascii="Book Antiqua" w:hAnsi="Book Antiqua"/>
          <w:lang w:val="en-GB"/>
        </w:rPr>
      </w:pPr>
      <w:r w:rsidRPr="00E3232D">
        <w:rPr>
          <w:rFonts w:ascii="Book Antiqua" w:hAnsi="Book Antiqua"/>
          <w:lang w:val="en-GB"/>
        </w:rPr>
        <w:t xml:space="preserve">Various reports concerning the rapid spread of HIV/AIDS worldwide particularly in Sub-Saharan Africa have increased the level of anxiety over the spread of the disease especially among adolescents. This may therefore explain </w:t>
      </w:r>
      <w:r w:rsidRPr="00E3232D">
        <w:rPr>
          <w:rFonts w:ascii="Book Antiqua" w:hAnsi="Book Antiqua"/>
          <w:lang w:val="en-GB"/>
        </w:rPr>
        <w:t xml:space="preserve">why about 92% of respondents expressed a desire to obtain more information about HIV/AIDS. This finding is similar to that of American and European investigators a decade ago, when the AIDS epidemic was emerging </w:t>
      </w:r>
      <w:bookmarkStart w:id="19" w:name="d19504e660"/>
      <w:bookmarkStart w:id="20" w:name="d19504e662"/>
      <w:bookmarkStart w:id="21" w:name="d19504e664"/>
      <w:bookmarkEnd w:id="19"/>
      <w:bookmarkEnd w:id="20"/>
      <w:bookmarkEnd w:id="21"/>
      <w:r w:rsidR="001815AD" w:rsidRPr="00E3232D">
        <w:rPr>
          <w:rFonts w:ascii="Book Antiqua" w:hAnsi="Book Antiqua"/>
          <w:lang w:val="en-GB"/>
        </w:rPr>
        <w:fldChar w:fldCharType="begin">
          <w:fldData xml:space="preserve">PEVuZE5vdGU+PENpdGU+PEF1dGhvcj5Mb25naW5pPC9BdXRob3I+PFllYXI+MTk5NDwvWWVhcj48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</w:fldData>
        </w:fldChar>
      </w:r>
      <w:r w:rsidRPr="00E3232D">
        <w:rPr>
          <w:rFonts w:ascii="Book Antiqua" w:hAnsi="Book Antiqua"/>
          <w:lang w:val="en-GB"/>
        </w:rPr>
        <w:instrText xml:space="preserve"> ADDIN EN.CITE </w:instrText>
      </w:r>
      <w:r w:rsidR="001815AD" w:rsidRPr="00E3232D">
        <w:rPr>
          <w:rFonts w:ascii="Book Antiqua" w:hAnsi="Book Antiqua"/>
          <w:lang w:val="en-GB"/>
        </w:rPr>
        <w:fldChar w:fldCharType="begin">
          <w:fldData xml:space="preserve">PEVuZE5vdGU+PENpdGU+PEF1dGhvcj5Mb25naW5pPC9BdXRob3I+PFllYXI+MTk5NDwvWWVhcj48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</w:fldData>
        </w:fldChar>
      </w:r>
      <w:r w:rsidRPr="00E3232D">
        <w:rPr>
          <w:rFonts w:ascii="Book Antiqua" w:hAnsi="Book Antiqua"/>
          <w:lang w:val="en-GB"/>
        </w:rPr>
        <w:instrText xml:space="preserve"> ADDIN EN.CITE.DATA </w:instrText>
      </w:r>
      <w:r w:rsidR="001815AD" w:rsidRPr="00E3232D">
        <w:rPr>
          <w:rFonts w:ascii="Book Antiqua" w:hAnsi="Book Antiqua"/>
          <w:lang w:val="en-GB"/>
        </w:rPr>
      </w:r>
      <w:r w:rsidR="001815AD" w:rsidRPr="00E3232D">
        <w:rPr>
          <w:rFonts w:ascii="Book Antiqua" w:hAnsi="Book Antiqua"/>
          <w:lang w:val="en-GB"/>
        </w:rPr>
        <w:fldChar w:fldCharType="end"/>
      </w:r>
      <w:r w:rsidR="001815AD" w:rsidRPr="00E3232D">
        <w:rPr>
          <w:rFonts w:ascii="Book Antiqua" w:hAnsi="Book Antiqua"/>
          <w:lang w:val="en-GB"/>
        </w:rPr>
      </w:r>
      <w:r w:rsidR="001815AD" w:rsidRPr="00E3232D">
        <w:rPr>
          <w:rFonts w:ascii="Book Antiqua" w:hAnsi="Book Antiqua"/>
          <w:lang w:val="en-GB"/>
        </w:rPr>
        <w:fldChar w:fldCharType="separate"/>
      </w:r>
      <w:r w:rsidRPr="00E3232D">
        <w:rPr>
          <w:rFonts w:ascii="Book Antiqua" w:hAnsi="Book Antiqua"/>
          <w:lang w:val="en-GB"/>
        </w:rPr>
        <w:t>(Strecker et al., 1993; Longini, 1994)</w:t>
      </w:r>
      <w:r w:rsidR="001815AD" w:rsidRPr="00E3232D">
        <w:rPr>
          <w:rFonts w:ascii="Book Antiqua" w:hAnsi="Book Antiqua"/>
          <w:lang w:val="en-GB"/>
        </w:rPr>
        <w:fldChar w:fldCharType="end"/>
      </w:r>
      <w:r w:rsidRPr="00E3232D">
        <w:rPr>
          <w:rFonts w:ascii="Book Antiqua" w:hAnsi="Book Antiqua"/>
          <w:lang w:val="en-GB"/>
        </w:rPr>
        <w:t>.</w:t>
      </w:r>
    </w:p>
    <w:p w14:paraId="644DCB3E" w14:textId="77777777" w:rsidR="001D1BD3" w:rsidRPr="00E3232D" w:rsidRDefault="001D1BD3" w:rsidP="00311945">
      <w:pPr>
        <w:pStyle w:val="NormalWeb"/>
        <w:spacing w:line="276" w:lineRule="auto"/>
        <w:jc w:val="both"/>
        <w:rPr>
          <w:rFonts w:ascii="Book Antiqua" w:hAnsi="Book Antiqua"/>
          <w:sz w:val="22"/>
          <w:szCs w:val="22"/>
        </w:rPr>
      </w:pPr>
      <w:r w:rsidRPr="00E3232D">
        <w:rPr>
          <w:rFonts w:ascii="Book Antiqua" w:hAnsi="Book Antiqua"/>
          <w:sz w:val="22"/>
          <w:szCs w:val="22"/>
        </w:rPr>
        <w:t>The mass media plays a vital role in the dissemination of important health related information such as HIV/AIDS related information. The Television (67%) and radio (15%) were respondents most common means of obtaining information about HIV/AIDS which  is consistent with the findings of a similar study conducted by Brooks and Klosinki in 1999</w:t>
      </w:r>
      <w:bookmarkStart w:id="22" w:name="d19504e682"/>
      <w:bookmarkEnd w:id="22"/>
      <w:r w:rsidRPr="00E3232D">
        <w:rPr>
          <w:rFonts w:ascii="Book Antiqua" w:hAnsi="Book Antiqua"/>
          <w:sz w:val="22"/>
          <w:szCs w:val="22"/>
        </w:rPr>
        <w:t xml:space="preserve"> </w:t>
      </w:r>
      <w:r w:rsidR="001815AD" w:rsidRPr="00E3232D">
        <w:rPr>
          <w:rFonts w:ascii="Book Antiqua" w:hAnsi="Book Antiqua"/>
          <w:sz w:val="22"/>
          <w:szCs w:val="22"/>
        </w:rPr>
        <w:fldChar w:fldCharType="begin"/>
      </w:r>
      <w:r w:rsidRPr="00E3232D">
        <w:rPr>
          <w:rFonts w:ascii="Book Antiqua" w:hAnsi="Book Antiqua"/>
          <w:sz w:val="22"/>
          <w:szCs w:val="22"/>
        </w:rPr>
        <w:instrText xml:space="preserve"> ADDIN EN.CITE &lt;EndNote&gt;&lt;Cite&gt;&lt;Author&gt;Brooks&lt;/Author&gt;&lt;Year&gt;1999&lt;/Year&gt;&lt;RecNum&gt;83&lt;/RecNum&gt;&lt;record&gt;&lt;rec-number&gt;83&lt;/rec-number&gt;&lt;foreign-keys&gt;&lt;key app="EN" db-id="05wpze2fk5fresed2vkpw0zu20z0d5wwpfar"&gt;83&lt;/key&gt;&lt;/foreign-keys&gt;&lt;ref-type name="Journal Article"&gt;17&lt;/ref-type&gt;&lt;contributors&gt;&lt;authors&gt;&lt;author&gt;Brooks, R. A.&lt;/author&gt;&lt;author&gt;Klosinski, L. E.&lt;/author&gt;&lt;/authors&gt;&lt;/contributors&gt;&lt;auth-address&gt;AIDS Project Los Angeles, CA 90028, USA.&lt;/auth-address&gt;&lt;titles&gt;&lt;title&gt;Assisting persons living with HIV/AIDS to return to work: programmatic steps for AIDS service organizations&lt;/title&gt;&lt;secondary-title&gt;AIDS Educ Prev&lt;/secondary-title&gt;&lt;/titles&gt;&lt;periodical&gt;&lt;full-title&gt;AIDS Educ Prev&lt;/full-title&gt;&lt;/periodical&gt;&lt;pages&gt;212-23&lt;/pages&gt;&lt;volume&gt;11&lt;/volume&gt;&lt;number&gt;3&lt;/number&gt;&lt;edition&gt;1999/07/17&lt;/edition&gt;&lt;keywords&gt;&lt;keyword&gt;Acquired Immunodeficiency Syndrome/rehabilitation&lt;/keyword&gt;&lt;keyword&gt;Adult&lt;/keyword&gt;&lt;keyword&gt;Age Factors&lt;/keyword&gt;&lt;keyword&gt;Counseling&lt;/keyword&gt;&lt;keyword&gt;Education&lt;/keyword&gt;&lt;keyword&gt;Ethnic Groups&lt;/keyword&gt;&lt;keyword&gt;HIV Infections/*rehabilitation&lt;/keyword&gt;&lt;keyword&gt;Humans&lt;/keyword&gt;&lt;keyword&gt;Income&lt;/keyword&gt;&lt;keyword&gt;Insurance, Health&lt;/keyword&gt;&lt;keyword&gt;Middle Aged&lt;/keyword&gt;&lt;keyword&gt;*Rehabilitation, Vocational/psychology&lt;/keyword&gt;&lt;keyword&gt;Social Security&lt;/keyword&gt;&lt;/keywords&gt;&lt;dates&gt;&lt;year&gt;1999&lt;/year&gt;&lt;pub-dates&gt;&lt;date&gt;Jun&lt;/date&gt;&lt;/pub-dates&gt;&lt;/dates&gt;&lt;isbn&gt;0899-9546 (Print)&amp;#xD;0899-9546 (Linking)&lt;/isbn&gt;&lt;accession-num&gt;10407455&lt;/accession-num&gt;&lt;urls&gt;&lt;related-urls&gt;&lt;url&gt;http://www.ncbi.nlm.nih.gov/entrez/query.fcgi?cmd=Retrieve&amp;amp;db=PubMed&amp;amp;dopt=Citation&amp;amp;list_uids=10407455&lt;/url&gt;&lt;/related-urls&gt;&lt;/urls&gt;&lt;language&gt;eng&lt;/language&gt;&lt;/record&gt;&lt;/Cite&gt;&lt;/EndNote&gt;</w:instrText>
      </w:r>
      <w:r w:rsidR="001815AD" w:rsidRPr="00E3232D">
        <w:rPr>
          <w:rFonts w:ascii="Book Antiqua" w:hAnsi="Book Antiqua"/>
          <w:sz w:val="22"/>
          <w:szCs w:val="22"/>
        </w:rPr>
        <w:fldChar w:fldCharType="separate"/>
      </w:r>
      <w:r w:rsidRPr="00E3232D">
        <w:rPr>
          <w:rFonts w:ascii="Book Antiqua" w:hAnsi="Book Antiqua"/>
          <w:sz w:val="22"/>
          <w:szCs w:val="22"/>
        </w:rPr>
        <w:t>(Brooks and Klosinski, 1999)</w:t>
      </w:r>
      <w:r w:rsidR="001815AD" w:rsidRPr="00E3232D">
        <w:rPr>
          <w:rFonts w:ascii="Book Antiqua" w:hAnsi="Book Antiqua"/>
          <w:sz w:val="22"/>
          <w:szCs w:val="22"/>
        </w:rPr>
        <w:fldChar w:fldCharType="end"/>
      </w:r>
      <w:r w:rsidRPr="00E3232D">
        <w:rPr>
          <w:rFonts w:ascii="Book Antiqua" w:hAnsi="Book Antiqua"/>
          <w:sz w:val="22"/>
          <w:szCs w:val="22"/>
        </w:rPr>
        <w:t>. Newspapers (6%) and the internet (4%) were cited as accurate sources of information abo</w:t>
      </w:r>
      <w:r w:rsidR="000B4A9B">
        <w:rPr>
          <w:rFonts w:ascii="Book Antiqua" w:hAnsi="Book Antiqua"/>
          <w:sz w:val="22"/>
          <w:szCs w:val="22"/>
        </w:rPr>
        <w:t>ut HIV/AIDS by some respondents</w:t>
      </w:r>
      <w:r w:rsidRPr="00E3232D">
        <w:rPr>
          <w:rFonts w:ascii="Book Antiqua" w:hAnsi="Book Antiqua"/>
          <w:sz w:val="22"/>
          <w:szCs w:val="22"/>
        </w:rPr>
        <w:t>. Others (8%) also cited “magazines”, “books”, “friends” and “family” as accurate sources of information. Considering the fact that tertiary level students have excellent reading skills, the print media such as newspapers, magazines and books were expected to be popular among this category of respondents. Unfortunately, the print media was not popular among respondents probably because respondents have a lot of course materials to read or the fact that inadequate HIV/AIDS information is provided in the print media.</w:t>
      </w:r>
    </w:p>
    <w:p w14:paraId="177AEBFC" w14:textId="77777777" w:rsidR="001D1BD3" w:rsidRPr="00E3232D" w:rsidRDefault="001D1BD3" w:rsidP="00311945">
      <w:pPr>
        <w:pStyle w:val="NormalWeb"/>
        <w:spacing w:line="276" w:lineRule="auto"/>
        <w:jc w:val="both"/>
        <w:rPr>
          <w:rFonts w:ascii="Book Antiqua" w:hAnsi="Book Antiqua"/>
          <w:sz w:val="22"/>
          <w:szCs w:val="22"/>
        </w:rPr>
      </w:pPr>
      <w:r w:rsidRPr="00E3232D">
        <w:rPr>
          <w:rFonts w:ascii="Book Antiqua" w:hAnsi="Book Antiqua"/>
          <w:sz w:val="22"/>
          <w:szCs w:val="22"/>
        </w:rPr>
        <w:t xml:space="preserve">Previous studies in Southeast Asia showed that the mass media did little to change existing cultural values and prejudice about the sexuality and the </w:t>
      </w:r>
      <w:r w:rsidRPr="00E3232D">
        <w:rPr>
          <w:rFonts w:ascii="Book Antiqua" w:hAnsi="Book Antiqua"/>
          <w:sz w:val="22"/>
          <w:szCs w:val="22"/>
        </w:rPr>
        <w:lastRenderedPageBreak/>
        <w:t xml:space="preserve">conditions of people living with HIV or AIDS </w:t>
      </w:r>
      <w:r w:rsidR="001815AD" w:rsidRPr="00E3232D">
        <w:rPr>
          <w:rFonts w:ascii="Book Antiqua" w:hAnsi="Book Antiqua"/>
          <w:sz w:val="22"/>
          <w:szCs w:val="22"/>
        </w:rPr>
        <w:fldChar w:fldCharType="begin"/>
      </w:r>
      <w:r w:rsidRPr="00E3232D">
        <w:rPr>
          <w:rFonts w:ascii="Book Antiqua" w:hAnsi="Book Antiqua"/>
          <w:sz w:val="22"/>
          <w:szCs w:val="22"/>
        </w:rPr>
        <w:instrText xml:space="preserve"> ADDIN EN.CITE &lt;EndNote&gt;&lt;Cite&gt;&lt;Author&gt;Wolffers&lt;/Author&gt;&lt;Year&gt;1997&lt;/Year&gt;&lt;RecNum&gt;84&lt;/RecNum&gt;&lt;record&gt;&lt;rec-number&gt;84&lt;/rec-number&gt;&lt;foreign-keys&gt;&lt;key app="EN" db-id="05wpze2fk5fresed2vkpw0zu20z0d5wwpfar"&gt;84&lt;/key&gt;&lt;/foreign-keys&gt;&lt;ref-type name="Journal Article"&gt;17&lt;/ref-type&gt;&lt;contributors&gt;&lt;authors&gt;&lt;author&gt;Wolffers, I.&lt;/author&gt;&lt;/authors&gt;&lt;/contributors&gt;&lt;auth-address&gt;Section Health Care in Developing Countries, Medical Faculty, VU-University, Amsterdam, Netherlands.&lt;/auth-address&gt;&lt;titles&gt;&lt;title&gt;Culture, media, and HIV/AIDS in Asia&lt;/title&gt;&lt;secondary-title&gt;Lancet&lt;/secondary-title&gt;&lt;/titles&gt;&lt;periodical&gt;&lt;full-title&gt;Lancet&lt;/full-title&gt;&lt;/periodical&gt;&lt;pages&gt;52-4&lt;/pages&gt;&lt;volume&gt;349&lt;/volume&gt;&lt;number&gt;9044&lt;/number&gt;&lt;edition&gt;1997/01/04&lt;/edition&gt;&lt;keywords&gt;&lt;keyword&gt;*Acquired Immunodeficiency Syndrome/prevention &amp;amp; control&lt;/keyword&gt;&lt;keyword&gt;Asia&lt;/keyword&gt;&lt;keyword&gt;Cross-Cultural Comparison&lt;/keyword&gt;&lt;keyword&gt;*Culture&lt;/keyword&gt;&lt;keyword&gt;*HIV Infections/prevention &amp;amp; control&lt;/keyword&gt;&lt;keyword&gt;Humans&lt;/keyword&gt;&lt;keyword&gt;*Mass Media&lt;/keyword&gt;&lt;keyword&gt;Sex Education&lt;/keyword&gt;&lt;keyword&gt;Sexual Behavior&lt;/keyword&gt;&lt;/keywords&gt;&lt;dates&gt;&lt;year&gt;1997&lt;/year&gt;&lt;pub-dates&gt;&lt;date&gt;Jan 4&lt;/date&gt;&lt;/pub-dates&gt;&lt;/dates&gt;&lt;isbn&gt;0140-6736 (Print)&amp;#xD;0140-6736 (Linking)&lt;/isbn&gt;&lt;accession-num&gt;8988132&lt;/accession-num&gt;&lt;urls&gt;&lt;related-urls&gt;&lt;url&gt;http://www.ncbi.nlm.nih.gov/entrez/query.fcgi?cmd=Retrieve&amp;amp;db=PubMed&amp;amp;dopt=Citation&amp;amp;list_uids=8988132&lt;/url&gt;&lt;/related-urls&gt;&lt;/urls&gt;&lt;electronic-resource-num&gt;S0140-6736(96)07032-8 [pii]&amp;#xD;10.1016/S0140-6736(96)07032-8&lt;/electronic-resource-num&gt;&lt;language&gt;eng&lt;/language&gt;&lt;/record&gt;&lt;/Cite&gt;&lt;/EndNote&gt;</w:instrText>
      </w:r>
      <w:r w:rsidR="001815AD" w:rsidRPr="00E3232D">
        <w:rPr>
          <w:rFonts w:ascii="Book Antiqua" w:hAnsi="Book Antiqua"/>
          <w:sz w:val="22"/>
          <w:szCs w:val="22"/>
        </w:rPr>
        <w:fldChar w:fldCharType="separate"/>
      </w:r>
      <w:r w:rsidRPr="00E3232D">
        <w:rPr>
          <w:rFonts w:ascii="Book Antiqua" w:hAnsi="Book Antiqua"/>
          <w:sz w:val="22"/>
          <w:szCs w:val="22"/>
        </w:rPr>
        <w:t>(Wolffers, 1997)</w:t>
      </w:r>
      <w:r w:rsidR="001815AD" w:rsidRPr="00E3232D">
        <w:rPr>
          <w:rFonts w:ascii="Book Antiqua" w:hAnsi="Book Antiqua"/>
          <w:sz w:val="22"/>
          <w:szCs w:val="22"/>
        </w:rPr>
        <w:fldChar w:fldCharType="end"/>
      </w:r>
      <w:bookmarkStart w:id="23" w:name="d19504e686"/>
      <w:bookmarkEnd w:id="23"/>
      <w:r w:rsidRPr="00E3232D">
        <w:rPr>
          <w:rFonts w:ascii="Book Antiqua" w:hAnsi="Book Antiqua"/>
          <w:sz w:val="22"/>
          <w:szCs w:val="22"/>
        </w:rPr>
        <w:t>. This study has however shown the imperative role played by the mass media in disseminating information about HIV/AIDS, The media should however be empowered to bring on board new programs and fortify existing ones to improve public knowledge and rectify misconceptions about HIV/AIDS.</w:t>
      </w:r>
    </w:p>
    <w:p w14:paraId="61BBD50C" w14:textId="77777777" w:rsidR="001D1BD3" w:rsidRPr="00E3232D" w:rsidRDefault="001D1BD3" w:rsidP="00311945">
      <w:pPr>
        <w:pStyle w:val="NormalWeb"/>
        <w:spacing w:line="276" w:lineRule="auto"/>
        <w:jc w:val="both"/>
        <w:rPr>
          <w:rFonts w:ascii="Book Antiqua" w:hAnsi="Book Antiqua"/>
          <w:sz w:val="22"/>
          <w:szCs w:val="22"/>
        </w:rPr>
      </w:pPr>
      <w:r w:rsidRPr="00E3232D">
        <w:rPr>
          <w:rFonts w:ascii="Book Antiqua" w:hAnsi="Book Antiqua"/>
          <w:sz w:val="22"/>
          <w:szCs w:val="22"/>
        </w:rPr>
        <w:t xml:space="preserve">Overall, there were a lot of identified misconceptions about HIV/AIDS modes of transmission among respondents such as shaking hands, hugging and sharing public toilets with HIV-infected individuals, mosquito bites, etc. Previous investigators such as Akande et al studied misconceptions about HIV/AIDS modes of transmission among tertiary level students in three public universities in Lagos, Nigeria </w:t>
      </w:r>
      <w:r w:rsidR="001815AD" w:rsidRPr="00E3232D">
        <w:rPr>
          <w:rFonts w:ascii="Book Antiqua" w:hAnsi="Book Antiqua"/>
          <w:sz w:val="22"/>
          <w:szCs w:val="22"/>
        </w:rPr>
        <w:fldChar w:fldCharType="begin">
          <w:fldData xml:space="preserve">PEVuZE5vdGU+PENpdGU+PEF1dGhvcj5Ba2FuZGU8L0F1dGhvcj48WWVhcj4yMDExPC9ZZWFyPjxS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</w:fldData>
        </w:fldChar>
      </w:r>
      <w:r w:rsidRPr="00E3232D">
        <w:rPr>
          <w:rFonts w:ascii="Book Antiqua" w:hAnsi="Book Antiqua"/>
          <w:sz w:val="22"/>
          <w:szCs w:val="22"/>
        </w:rPr>
        <w:instrText xml:space="preserve"> ADDIN EN.CITE </w:instrText>
      </w:r>
      <w:r w:rsidR="001815AD" w:rsidRPr="00E3232D">
        <w:rPr>
          <w:rFonts w:ascii="Book Antiqua" w:hAnsi="Book Antiqua"/>
          <w:sz w:val="22"/>
          <w:szCs w:val="22"/>
        </w:rPr>
        <w:fldChar w:fldCharType="begin">
          <w:fldData xml:space="preserve">PEVuZE5vdGU+PENpdGU+PEF1dGhvcj5Ba2FuZGU8L0F1dGhvcj48WWVhcj4yMDExPC9ZZWFyPjxS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</w:fldData>
        </w:fldChar>
      </w:r>
      <w:r w:rsidRPr="00E3232D">
        <w:rPr>
          <w:rFonts w:ascii="Book Antiqua" w:hAnsi="Book Antiqua"/>
          <w:sz w:val="22"/>
          <w:szCs w:val="22"/>
        </w:rPr>
        <w:instrText xml:space="preserve"> ADDIN EN.CITE.DATA </w:instrText>
      </w:r>
      <w:r w:rsidR="001815AD" w:rsidRPr="00E3232D">
        <w:rPr>
          <w:rFonts w:ascii="Book Antiqua" w:hAnsi="Book Antiqua"/>
          <w:sz w:val="22"/>
          <w:szCs w:val="22"/>
        </w:rPr>
      </w:r>
      <w:r w:rsidR="001815AD" w:rsidRPr="00E3232D">
        <w:rPr>
          <w:rFonts w:ascii="Book Antiqua" w:hAnsi="Book Antiqua"/>
          <w:sz w:val="22"/>
          <w:szCs w:val="22"/>
        </w:rPr>
        <w:fldChar w:fldCharType="end"/>
      </w:r>
      <w:r w:rsidR="001815AD" w:rsidRPr="00E3232D">
        <w:rPr>
          <w:rFonts w:ascii="Book Antiqua" w:hAnsi="Book Antiqua"/>
          <w:sz w:val="22"/>
          <w:szCs w:val="22"/>
        </w:rPr>
      </w:r>
      <w:r w:rsidR="001815AD" w:rsidRPr="00E3232D">
        <w:rPr>
          <w:rFonts w:ascii="Book Antiqua" w:hAnsi="Book Antiqua"/>
          <w:sz w:val="22"/>
          <w:szCs w:val="22"/>
        </w:rPr>
        <w:fldChar w:fldCharType="separate"/>
      </w:r>
      <w:r w:rsidRPr="00E3232D">
        <w:rPr>
          <w:rFonts w:ascii="Book Antiqua" w:hAnsi="Book Antiqua"/>
          <w:sz w:val="22"/>
          <w:szCs w:val="22"/>
        </w:rPr>
        <w:t>(Akande et al., 2011)</w:t>
      </w:r>
      <w:r w:rsidR="001815AD" w:rsidRPr="00E3232D">
        <w:rPr>
          <w:rFonts w:ascii="Book Antiqua" w:hAnsi="Book Antiqua"/>
          <w:sz w:val="22"/>
          <w:szCs w:val="22"/>
        </w:rPr>
        <w:fldChar w:fldCharType="end"/>
      </w:r>
      <w:r w:rsidRPr="00E3232D">
        <w:rPr>
          <w:rFonts w:ascii="Book Antiqua" w:hAnsi="Book Antiqua"/>
          <w:sz w:val="22"/>
          <w:szCs w:val="22"/>
        </w:rPr>
        <w:t xml:space="preserve"> and made observations consistent with the results of this study.</w:t>
      </w:r>
      <w:bookmarkStart w:id="24" w:name="d19504e692"/>
      <w:bookmarkStart w:id="25" w:name="d19504e694"/>
      <w:bookmarkStart w:id="26" w:name="d19504e698"/>
      <w:bookmarkEnd w:id="24"/>
      <w:bookmarkEnd w:id="25"/>
      <w:bookmarkEnd w:id="26"/>
      <w:r w:rsidRPr="00E3232D">
        <w:rPr>
          <w:rFonts w:ascii="Book Antiqua" w:hAnsi="Book Antiqua"/>
          <w:sz w:val="22"/>
          <w:szCs w:val="22"/>
        </w:rPr>
        <w:t xml:space="preserve"> Akande et al further established a relationship between HIV/AIDS misconceptions, discrimination and stigmatization. Future research can thus study this association among tertiary level students in Ghana.</w:t>
      </w:r>
    </w:p>
    <w:p w14:paraId="7DE91788" w14:textId="77777777" w:rsidR="001D1BD3" w:rsidRPr="00E3232D" w:rsidRDefault="001D1BD3" w:rsidP="00311945">
      <w:pPr>
        <w:pStyle w:val="NormalWeb"/>
        <w:spacing w:line="276" w:lineRule="auto"/>
        <w:jc w:val="both"/>
        <w:rPr>
          <w:rFonts w:ascii="Book Antiqua" w:hAnsi="Book Antiqua"/>
          <w:sz w:val="22"/>
          <w:szCs w:val="22"/>
        </w:rPr>
      </w:pPr>
      <w:r w:rsidRPr="00E3232D">
        <w:rPr>
          <w:rFonts w:ascii="Book Antiqua" w:hAnsi="Book Antiqua"/>
          <w:sz w:val="22"/>
          <w:szCs w:val="22"/>
        </w:rPr>
        <w:t xml:space="preserve">Globally, there have been several recent advances in an attempt at finding a total cure for the eradication of HIV/AIDS by exploring various possible viral and hosts targets. Notable among these efforts are the discovery and approval by the Food and Drugs Administration (FDA) of Maraviroc [a C-C motif Receptor five (CCR5) antagonist], raltegravir (an integrase inhitor) and </w:t>
      </w:r>
      <w:r w:rsidRPr="00E3232D">
        <w:rPr>
          <w:rFonts w:ascii="Book Antiqua" w:hAnsi="Book Antiqua"/>
          <w:sz w:val="22"/>
          <w:szCs w:val="22"/>
        </w:rPr>
        <w:t>etravirine/rilpivirine which are both Non-Nucleoside Reverse Transcriptase Inhibitors (NNRTIs). It is therefore not surprising that in this study a considerable proportion of respondents thought that there was a total cure for HIV/AIDS.</w:t>
      </w:r>
      <w:bookmarkStart w:id="27" w:name="d19504e706"/>
      <w:bookmarkEnd w:id="27"/>
    </w:p>
    <w:p w14:paraId="7238A501" w14:textId="77777777" w:rsidR="001D1BD3" w:rsidRPr="00E3232D" w:rsidRDefault="001D1BD3" w:rsidP="00311945">
      <w:pPr>
        <w:autoSpaceDE w:val="0"/>
        <w:autoSpaceDN w:val="0"/>
        <w:adjustRightInd w:val="0"/>
        <w:jc w:val="both"/>
        <w:rPr>
          <w:rFonts w:ascii="Book Antiqua" w:hAnsi="Book Antiqua"/>
        </w:rPr>
      </w:pPr>
      <w:r w:rsidRPr="00E3232D">
        <w:rPr>
          <w:rFonts w:ascii="Book Antiqua" w:hAnsi="Book Antiqua"/>
        </w:rPr>
        <w:t xml:space="preserve">The questions dealing with </w:t>
      </w:r>
      <w:r w:rsidRPr="00E3232D">
        <w:rPr>
          <w:rStyle w:val="Strong"/>
          <w:rFonts w:ascii="Book Antiqua" w:hAnsi="Book Antiqua"/>
        </w:rPr>
        <w:t>sexual behavior</w:t>
      </w:r>
      <w:r w:rsidRPr="00E3232D">
        <w:rPr>
          <w:rFonts w:ascii="Book Antiqua" w:hAnsi="Book Antiqua"/>
        </w:rPr>
        <w:t xml:space="preserve"> ought to be interpreted with care since the accuracy of answers is subject to respondents’ willingness or not to report sexual </w:t>
      </w:r>
      <w:r w:rsidRPr="00E3232D">
        <w:rPr>
          <w:rStyle w:val="Strong"/>
          <w:rFonts w:ascii="Book Antiqua" w:hAnsi="Book Antiqua"/>
        </w:rPr>
        <w:t>behavior</w:t>
      </w:r>
      <w:r w:rsidRPr="00E3232D">
        <w:rPr>
          <w:rFonts w:ascii="Book Antiqua" w:hAnsi="Book Antiqua"/>
        </w:rPr>
        <w:t xml:space="preserve"> which is very private. </w:t>
      </w:r>
      <w:r w:rsidRPr="00E3232D">
        <w:rPr>
          <w:rFonts w:ascii="Book Antiqua" w:hAnsi="Book Antiqua"/>
          <w:lang w:val="en-GB"/>
        </w:rPr>
        <w:t xml:space="preserve">Brown in 1988 observed that better knowledge on HIV/AIDS transmission does not necessarily lead to behavioural changes </w:t>
      </w:r>
      <w:r w:rsidR="001815AD" w:rsidRPr="00E3232D">
        <w:rPr>
          <w:rFonts w:ascii="Book Antiqua" w:hAnsi="Book Antiqua"/>
          <w:lang w:val="en-GB"/>
        </w:rPr>
        <w:fldChar w:fldCharType="begin"/>
      </w:r>
      <w:r w:rsidRPr="00E3232D">
        <w:rPr>
          <w:rFonts w:ascii="Book Antiqua" w:hAnsi="Book Antiqua"/>
          <w:lang w:val="en-GB"/>
        </w:rPr>
        <w:instrText xml:space="preserve"> ADDIN EN.CITE &lt;EndNote&gt;&lt;Cite&gt;&lt;Author&gt;Brown&lt;/Author&gt;&lt;Year&gt;1988&lt;/Year&gt;&lt;RecNum&gt;110&lt;/RecNum&gt;&lt;record&gt;&lt;rec-number&gt;110&lt;/rec-number&gt;&lt;foreign-keys&gt;&lt;key app="EN" db-id="var20a9v7szs9rev9sop0awiz95sdwx5rfvr"&gt;110&lt;/key&gt;&lt;/foreign-keys&gt;&lt;ref-type name="Journal Article"&gt;17&lt;/ref-type&gt;&lt;contributors&gt;&lt;authors&gt;&lt;author&gt;Brown, L. S., Jr.&lt;/author&gt;&lt;/authors&gt;&lt;/contributors&gt;&lt;titles&gt;&lt;title&gt;Seroepidemiology of HIV infection in two cohorts of intravenous drug users in New York City&lt;/title&gt;&lt;secondary-title&gt;J Natl Med Assoc&lt;/secondary-title&gt;&lt;/titles&gt;&lt;periodical&gt;&lt;full-title&gt;J Natl Med Assoc&lt;/full-title&gt;&lt;/periodical&gt;&lt;pages&gt;1313-7&lt;/pages&gt;&lt;volume&gt;80&lt;/volume&gt;&lt;number&gt;12&lt;/number&gt;&lt;edition&gt;1988/12/01&lt;/edition&gt;&lt;keywords&gt;&lt;keyword&gt;Acquired Immunodeficiency Syndrome/*epidemiology/ethnology/etiology&lt;/keyword&gt;&lt;keyword&gt;Adolescent&lt;/keyword&gt;&lt;keyword&gt;Adult&lt;/keyword&gt;&lt;keyword&gt;African Americans&lt;/keyword&gt;&lt;keyword&gt;Cohort Studies&lt;/keyword&gt;&lt;keyword&gt;Female&lt;/keyword&gt;&lt;keyword&gt;*Hiv-1&lt;/keyword&gt;&lt;keyword&gt;Hispanic Americans&lt;/keyword&gt;&lt;keyword&gt;Humans&lt;/keyword&gt;&lt;keyword&gt;Injections, Intravenous/*adverse effects&lt;/keyword&gt;&lt;keyword&gt;Male&lt;/keyword&gt;&lt;keyword&gt;Middle Aged&lt;/keyword&gt;&lt;keyword&gt;Needles&lt;/keyword&gt;&lt;keyword&gt;New York City&lt;/keyword&gt;&lt;keyword&gt;*Substance-Related Disorders&lt;/keyword&gt;&lt;/keywords&gt;&lt;dates&gt;&lt;year&gt;1988&lt;/year&gt;&lt;pub-dates&gt;&lt;date&gt;Dec&lt;/date&gt;&lt;/pub-dates&gt;&lt;/dates&gt;&lt;isbn&gt;0027-9684 (Print)&amp;#xD;0027-9684 (Linking)&lt;/isbn&gt;&lt;accession-num&gt;3249335&lt;/accession-num&gt;&lt;urls&gt;&lt;related-urls&gt;&lt;url&gt;http://www.ncbi.nlm.nih.gov/entrez/query.fcgi?cmd=Retrieve&amp;amp;db=PubMed&amp;amp;dopt=Citation&amp;amp;list_uids=3249335&lt;/url&gt;&lt;/related-urls&gt;&lt;/urls&gt;&lt;language&gt;eng&lt;/language&gt;&lt;/record&gt;&lt;/Cite&gt;&lt;/EndNote&gt;</w:instrText>
      </w:r>
      <w:r w:rsidR="001815AD" w:rsidRPr="00E3232D">
        <w:rPr>
          <w:rFonts w:ascii="Book Antiqua" w:hAnsi="Book Antiqua"/>
          <w:lang w:val="en-GB"/>
        </w:rPr>
        <w:fldChar w:fldCharType="separate"/>
      </w:r>
      <w:r w:rsidRPr="00E3232D">
        <w:rPr>
          <w:rFonts w:ascii="Book Antiqua" w:hAnsi="Book Antiqua"/>
          <w:lang w:val="en-GB"/>
        </w:rPr>
        <w:t>(Brown, 1988)</w:t>
      </w:r>
      <w:r w:rsidR="001815AD" w:rsidRPr="00E3232D">
        <w:rPr>
          <w:rFonts w:ascii="Book Antiqua" w:hAnsi="Book Antiqua"/>
          <w:lang w:val="en-GB"/>
        </w:rPr>
        <w:fldChar w:fldCharType="end"/>
      </w:r>
      <w:bookmarkStart w:id="28" w:name="d19504e712"/>
      <w:bookmarkStart w:id="29" w:name="d19504e714"/>
      <w:bookmarkStart w:id="30" w:name="d19504e716"/>
      <w:bookmarkEnd w:id="28"/>
      <w:bookmarkEnd w:id="29"/>
      <w:bookmarkEnd w:id="30"/>
      <w:r w:rsidRPr="00E3232D">
        <w:rPr>
          <w:rFonts w:ascii="Book Antiqua" w:hAnsi="Book Antiqua"/>
          <w:lang w:val="en-GB"/>
        </w:rPr>
        <w:t xml:space="preserve"> which is consistent with the findings of this study as eighty eight percent (88%) of respondents said the existence of HIV/AIDS did not affect their sexual behaviour. Several documented reports have linked the likely transmission of HIV/AIDS and the practice of oral and anal sex </w:t>
      </w:r>
      <w:r w:rsidR="001815AD" w:rsidRPr="00E3232D">
        <w:rPr>
          <w:rFonts w:ascii="Book Antiqua" w:hAnsi="Book Antiqua"/>
          <w:lang w:val="en-GB"/>
        </w:rPr>
        <w:fldChar w:fldCharType="begin">
          <w:fldData xml:space="preserve">PEVuZE5vdGU+PENpdGU+PEF1dGhvcj5IYXdraW5zPC9BdXRob3I+PFllYXI+MjAwMTwvWWVhcj48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</w:fldData>
        </w:fldChar>
      </w:r>
      <w:r w:rsidRPr="00E3232D">
        <w:rPr>
          <w:rFonts w:ascii="Book Antiqua" w:hAnsi="Book Antiqua"/>
          <w:lang w:val="en-GB"/>
        </w:rPr>
        <w:instrText xml:space="preserve"> ADDIN EN.CITE </w:instrText>
      </w:r>
      <w:r w:rsidR="001815AD" w:rsidRPr="00E3232D">
        <w:rPr>
          <w:rFonts w:ascii="Book Antiqua" w:hAnsi="Book Antiqua"/>
          <w:lang w:val="en-GB"/>
        </w:rPr>
        <w:fldChar w:fldCharType="begin">
          <w:fldData xml:space="preserve">PEVuZE5vdGU+PENpdGU+PEF1dGhvcj5IYXdraW5zPC9BdXRob3I+PFllYXI+MjAwMTwvWWVhcj48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</w:fldData>
        </w:fldChar>
      </w:r>
      <w:r w:rsidRPr="00E3232D">
        <w:rPr>
          <w:rFonts w:ascii="Book Antiqua" w:hAnsi="Book Antiqua"/>
          <w:lang w:val="en-GB"/>
        </w:rPr>
        <w:instrText xml:space="preserve"> ADDIN EN.CITE.DATA </w:instrText>
      </w:r>
      <w:r w:rsidR="001815AD" w:rsidRPr="00E3232D">
        <w:rPr>
          <w:rFonts w:ascii="Book Antiqua" w:hAnsi="Book Antiqua"/>
          <w:lang w:val="en-GB"/>
        </w:rPr>
      </w:r>
      <w:r w:rsidR="001815AD" w:rsidRPr="00E3232D">
        <w:rPr>
          <w:rFonts w:ascii="Book Antiqua" w:hAnsi="Book Antiqua"/>
          <w:lang w:val="en-GB"/>
        </w:rPr>
        <w:fldChar w:fldCharType="end"/>
      </w:r>
      <w:r w:rsidR="001815AD" w:rsidRPr="00E3232D">
        <w:rPr>
          <w:rFonts w:ascii="Book Antiqua" w:hAnsi="Book Antiqua"/>
          <w:lang w:val="en-GB"/>
        </w:rPr>
      </w:r>
      <w:r w:rsidR="001815AD" w:rsidRPr="00E3232D">
        <w:rPr>
          <w:rFonts w:ascii="Book Antiqua" w:hAnsi="Book Antiqua"/>
          <w:lang w:val="en-GB"/>
        </w:rPr>
        <w:fldChar w:fldCharType="separate"/>
      </w:r>
      <w:r w:rsidRPr="00E3232D">
        <w:rPr>
          <w:rFonts w:ascii="Book Antiqua" w:hAnsi="Book Antiqua"/>
          <w:lang w:val="en-GB"/>
        </w:rPr>
        <w:t>(Gershon et al., 1990; Hawkins, 2001)</w:t>
      </w:r>
      <w:r w:rsidR="001815AD" w:rsidRPr="00E3232D">
        <w:rPr>
          <w:rFonts w:ascii="Book Antiqua" w:hAnsi="Book Antiqua"/>
          <w:lang w:val="en-GB"/>
        </w:rPr>
        <w:fldChar w:fldCharType="end"/>
      </w:r>
      <w:r w:rsidRPr="00E3232D">
        <w:rPr>
          <w:rFonts w:ascii="Book Antiqua" w:hAnsi="Book Antiqua"/>
          <w:lang w:val="en-GB"/>
        </w:rPr>
        <w:t xml:space="preserve">. The fact that a significant proportion of respondents (33%) said they practice oral or anal sex regardless of the HIV/AIDS epidemic calls for more emphases on non-sexual modes of HIV/AIDS transmission such as anal and oral sex in addition to well-known modes of transmission as heterosexual sex, blood transfusion and a de-emphasis on spiritual mythologies and folk conceptualizations. </w:t>
      </w:r>
      <w:r w:rsidRPr="00E3232D">
        <w:rPr>
          <w:rFonts w:ascii="Book Antiqua" w:hAnsi="Book Antiqua"/>
        </w:rPr>
        <w:t xml:space="preserve">An assessment of people’s sexual behavoir is important in understanding how people relate their sexual experiences to the risk of disease acquisition. Also, evaluating the </w:t>
      </w:r>
      <w:r w:rsidRPr="00E3232D">
        <w:rPr>
          <w:rFonts w:ascii="Book Antiqua" w:hAnsi="Book Antiqua"/>
        </w:rPr>
        <w:lastRenderedPageBreak/>
        <w:t>association between sexual behavior and HIV/AIDS acquisition may facilitate the design of effective HIV/AIDS preventive measures necessary to check the spread of the disease.</w:t>
      </w:r>
    </w:p>
    <w:p w14:paraId="021F0716" w14:textId="77777777" w:rsidR="001D1BD3" w:rsidRPr="00E3232D" w:rsidRDefault="00312FAA" w:rsidP="00196385">
      <w:pPr>
        <w:pStyle w:val="NormalWeb"/>
        <w:numPr>
          <w:ilvl w:val="0"/>
          <w:numId w:val="173"/>
        </w:numPr>
        <w:spacing w:line="276" w:lineRule="auto"/>
        <w:jc w:val="both"/>
        <w:rPr>
          <w:rFonts w:ascii="Book Antiqua" w:hAnsi="Book Antiqua"/>
          <w:b/>
          <w:sz w:val="22"/>
          <w:szCs w:val="22"/>
        </w:rPr>
      </w:pPr>
      <w:r>
        <w:rPr>
          <w:rFonts w:ascii="Book Antiqua" w:hAnsi="Book Antiqua"/>
          <w:b/>
          <w:sz w:val="26"/>
          <w:szCs w:val="22"/>
        </w:rPr>
        <w:t xml:space="preserve"> </w:t>
      </w:r>
      <w:r w:rsidR="00A45FAE" w:rsidRPr="00311945">
        <w:rPr>
          <w:rFonts w:ascii="Book Antiqua" w:hAnsi="Book Antiqua"/>
          <w:b/>
          <w:sz w:val="26"/>
          <w:szCs w:val="22"/>
        </w:rPr>
        <w:t>Conclusion</w:t>
      </w:r>
    </w:p>
    <w:p w14:paraId="7B5F83DF" w14:textId="77777777" w:rsidR="001D1BD3" w:rsidRPr="00E3232D" w:rsidRDefault="001D1BD3" w:rsidP="00311945">
      <w:pPr>
        <w:pStyle w:val="NormalWeb"/>
        <w:spacing w:line="276" w:lineRule="auto"/>
        <w:jc w:val="both"/>
        <w:rPr>
          <w:rFonts w:ascii="Book Antiqua" w:hAnsi="Book Antiqua"/>
          <w:sz w:val="22"/>
          <w:szCs w:val="22"/>
        </w:rPr>
      </w:pPr>
      <w:r w:rsidRPr="00E3232D">
        <w:rPr>
          <w:rFonts w:ascii="Book Antiqua" w:hAnsi="Book Antiqua"/>
          <w:sz w:val="22"/>
          <w:szCs w:val="22"/>
        </w:rPr>
        <w:t>Students selected for the study were found to have some knowledge about HIV/AIDS although knowledge levels were quiet low in some students.</w:t>
      </w:r>
    </w:p>
    <w:p w14:paraId="1A52FAA7" w14:textId="77777777" w:rsidR="001D1BD3" w:rsidRPr="00E3232D" w:rsidRDefault="001D1BD3" w:rsidP="00311945">
      <w:pPr>
        <w:pStyle w:val="NormalWeb"/>
        <w:spacing w:line="276" w:lineRule="auto"/>
        <w:jc w:val="both"/>
        <w:rPr>
          <w:rFonts w:ascii="Book Antiqua" w:hAnsi="Book Antiqua"/>
          <w:sz w:val="22"/>
          <w:szCs w:val="22"/>
        </w:rPr>
      </w:pPr>
      <w:r w:rsidRPr="00E3232D">
        <w:rPr>
          <w:rFonts w:ascii="Book Antiqua" w:hAnsi="Book Antiqua"/>
          <w:sz w:val="22"/>
          <w:szCs w:val="22"/>
        </w:rPr>
        <w:t>Some respondents were also found to have bad attitude towards PLWHAs. There were still some identified misconceptions among some respondents.</w:t>
      </w:r>
    </w:p>
    <w:p w14:paraId="7C668DCA" w14:textId="77777777" w:rsidR="002A714F" w:rsidRPr="00066C42" w:rsidRDefault="001D1BD3" w:rsidP="00311945">
      <w:pPr>
        <w:pStyle w:val="NormalWeb"/>
        <w:spacing w:line="276" w:lineRule="auto"/>
        <w:jc w:val="both"/>
        <w:rPr>
          <w:rFonts w:ascii="Book Antiqua" w:hAnsi="Book Antiqua"/>
          <w:sz w:val="22"/>
          <w:szCs w:val="22"/>
        </w:rPr>
      </w:pPr>
      <w:r w:rsidRPr="00E3232D">
        <w:rPr>
          <w:rFonts w:ascii="Book Antiqua" w:hAnsi="Book Antiqua"/>
          <w:sz w:val="22"/>
          <w:szCs w:val="22"/>
        </w:rPr>
        <w:t xml:space="preserve">Respondents’s sexual behaviour was found not to have a direct association with their perception of HIV/AIDS acquisition. </w:t>
      </w:r>
    </w:p>
    <w:p w14:paraId="055A7646" w14:textId="77777777" w:rsidR="001D1BD3" w:rsidRPr="00E3232D" w:rsidRDefault="00A45FAE" w:rsidP="00311945">
      <w:pPr>
        <w:pStyle w:val="NormalWeb"/>
        <w:spacing w:line="276" w:lineRule="auto"/>
        <w:jc w:val="both"/>
        <w:rPr>
          <w:rFonts w:ascii="Book Antiqua" w:hAnsi="Book Antiqua"/>
          <w:b/>
          <w:sz w:val="22"/>
          <w:szCs w:val="22"/>
        </w:rPr>
      </w:pPr>
      <w:r w:rsidRPr="00311945">
        <w:rPr>
          <w:rFonts w:ascii="Book Antiqua" w:hAnsi="Book Antiqua"/>
          <w:b/>
          <w:sz w:val="26"/>
          <w:szCs w:val="22"/>
        </w:rPr>
        <w:t>Recommendations</w:t>
      </w:r>
    </w:p>
    <w:p w14:paraId="7A780084" w14:textId="77777777" w:rsidR="001D1BD3" w:rsidRPr="00E3232D" w:rsidRDefault="001D1BD3" w:rsidP="00311945">
      <w:pPr>
        <w:pStyle w:val="NormalWeb"/>
        <w:spacing w:line="276" w:lineRule="auto"/>
        <w:jc w:val="both"/>
        <w:rPr>
          <w:rFonts w:ascii="Book Antiqua" w:hAnsi="Book Antiqua"/>
          <w:sz w:val="22"/>
          <w:szCs w:val="22"/>
        </w:rPr>
      </w:pPr>
      <w:r w:rsidRPr="00E3232D">
        <w:rPr>
          <w:rFonts w:ascii="Book Antiqua" w:hAnsi="Book Antiqua"/>
          <w:sz w:val="22"/>
          <w:szCs w:val="22"/>
        </w:rPr>
        <w:t>The general public as well as tertiary level students should be educated on all aspects of HIV/AIDS through a collaboration of various stakeholders such as the Ministry of Health, the Ministry of Education, the Ministry of Information, politicians, NGOs, religious groups and the media particularly the television and radio in order to emphasise behavioural change and reduce discrimination and stigmatization associated with HIV/AIDS.</w:t>
      </w:r>
    </w:p>
    <w:p w14:paraId="68B8C4C8" w14:textId="77777777" w:rsidR="0059383C" w:rsidRPr="00311945" w:rsidRDefault="001D1BD3" w:rsidP="00311945">
      <w:pPr>
        <w:pStyle w:val="NormalWeb"/>
        <w:spacing w:line="276" w:lineRule="auto"/>
        <w:jc w:val="both"/>
        <w:rPr>
          <w:rFonts w:ascii="Book Antiqua" w:hAnsi="Book Antiqua"/>
          <w:sz w:val="22"/>
          <w:szCs w:val="22"/>
        </w:rPr>
      </w:pPr>
      <w:r w:rsidRPr="00E3232D">
        <w:rPr>
          <w:rFonts w:ascii="Book Antiqua" w:hAnsi="Book Antiqua"/>
          <w:sz w:val="22"/>
          <w:szCs w:val="22"/>
        </w:rPr>
        <w:t xml:space="preserve">In view of the findings of this study, there is considerable rationale to include HIV/AIDS education as an integral part of school curricula. There should therefore </w:t>
      </w:r>
      <w:r w:rsidRPr="00E3232D">
        <w:rPr>
          <w:rFonts w:ascii="Book Antiqua" w:hAnsi="Book Antiqua"/>
          <w:sz w:val="22"/>
          <w:szCs w:val="22"/>
        </w:rPr>
        <w:t>be a big push by the Ministry of Education to inculcate and increase the teaching of all aspects of the disease in school curricula from primary through to tertiary level.</w:t>
      </w:r>
      <w:bookmarkStart w:id="31" w:name="d19504e770"/>
      <w:bookmarkEnd w:id="31"/>
    </w:p>
    <w:p w14:paraId="13621E2D" w14:textId="77777777" w:rsidR="001D1BD3" w:rsidRPr="00E3232D" w:rsidRDefault="00A45FAE" w:rsidP="00311945">
      <w:pPr>
        <w:autoSpaceDE w:val="0"/>
        <w:autoSpaceDN w:val="0"/>
        <w:adjustRightInd w:val="0"/>
        <w:jc w:val="both"/>
        <w:rPr>
          <w:rFonts w:ascii="Book Antiqua" w:hAnsi="Book Antiqua"/>
          <w:b/>
        </w:rPr>
      </w:pPr>
      <w:r w:rsidRPr="00311945">
        <w:rPr>
          <w:rFonts w:ascii="Book Antiqua" w:hAnsi="Book Antiqua"/>
          <w:b/>
          <w:sz w:val="26"/>
        </w:rPr>
        <w:t>References</w:t>
      </w:r>
      <w:bookmarkStart w:id="32" w:name="B4"/>
      <w:bookmarkStart w:id="33" w:name="B8"/>
      <w:bookmarkStart w:id="34" w:name="B14"/>
      <w:bookmarkStart w:id="35" w:name="B13"/>
      <w:bookmarkStart w:id="36" w:name="B15"/>
      <w:bookmarkStart w:id="37" w:name="B16"/>
      <w:bookmarkStart w:id="38" w:name="B20"/>
      <w:bookmarkEnd w:id="32"/>
      <w:bookmarkEnd w:id="33"/>
      <w:bookmarkEnd w:id="34"/>
      <w:bookmarkEnd w:id="35"/>
      <w:bookmarkEnd w:id="36"/>
      <w:bookmarkEnd w:id="37"/>
      <w:bookmarkEnd w:id="38"/>
    </w:p>
    <w:p w14:paraId="362C5EF1" w14:textId="77777777" w:rsidR="001D1BD3" w:rsidRPr="00E3232D" w:rsidRDefault="001815AD" w:rsidP="00311945">
      <w:pPr>
        <w:ind w:left="720" w:hanging="720"/>
        <w:jc w:val="both"/>
        <w:rPr>
          <w:rFonts w:ascii="Book Antiqua" w:hAnsi="Book Antiqua"/>
        </w:rPr>
      </w:pPr>
      <w:r w:rsidRPr="00E3232D">
        <w:rPr>
          <w:rFonts w:ascii="Book Antiqua" w:hAnsi="Book Antiqua"/>
        </w:rPr>
        <w:fldChar w:fldCharType="begin"/>
      </w:r>
      <w:r w:rsidR="001D1BD3" w:rsidRPr="00E3232D">
        <w:rPr>
          <w:rFonts w:ascii="Book Antiqua" w:hAnsi="Book Antiqua"/>
        </w:rPr>
        <w:instrText xml:space="preserve"> ADDIN EN.REFLIST </w:instrText>
      </w:r>
      <w:r w:rsidRPr="00E3232D">
        <w:rPr>
          <w:rFonts w:ascii="Book Antiqua" w:hAnsi="Book Antiqua"/>
        </w:rPr>
        <w:fldChar w:fldCharType="separate"/>
      </w:r>
      <w:r w:rsidR="001D1BD3" w:rsidRPr="00E3232D">
        <w:rPr>
          <w:rFonts w:ascii="Book Antiqua" w:hAnsi="Book Antiqua"/>
        </w:rPr>
        <w:t xml:space="preserve">Agyei-Mensah, S. (2001). "Twelve years of HIV/AIDS in Ghana: puzzles of interpretation." </w:t>
      </w:r>
      <w:r w:rsidR="001D1BD3" w:rsidRPr="00E3232D">
        <w:rPr>
          <w:rFonts w:ascii="Book Antiqua" w:hAnsi="Book Antiqua"/>
          <w:u w:val="single"/>
        </w:rPr>
        <w:t xml:space="preserve">Can J Afr Stud </w:t>
      </w:r>
      <w:r w:rsidR="001D1BD3" w:rsidRPr="00E3232D">
        <w:rPr>
          <w:rFonts w:ascii="Book Antiqua" w:hAnsi="Book Antiqua"/>
          <w:b/>
        </w:rPr>
        <w:t>35</w:t>
      </w:r>
      <w:r w:rsidR="001D1BD3" w:rsidRPr="00E3232D">
        <w:rPr>
          <w:rFonts w:ascii="Book Antiqua" w:hAnsi="Book Antiqua"/>
        </w:rPr>
        <w:t>(3): 441-72.</w:t>
      </w:r>
    </w:p>
    <w:p w14:paraId="5F431F09"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Akande, W., M. Tserere, Adewuyi, M., Akande, E.T. and Adetoun, B. (2011). "The Blame Game: Stigma and HIV/AIDS in an African Metropolis." </w:t>
      </w:r>
      <w:r w:rsidRPr="00E3232D">
        <w:rPr>
          <w:rFonts w:ascii="Book Antiqua" w:hAnsi="Book Antiqua"/>
          <w:u w:val="single"/>
        </w:rPr>
        <w:t xml:space="preserve">Iran J Public Health </w:t>
      </w:r>
      <w:r w:rsidRPr="00E3232D">
        <w:rPr>
          <w:rFonts w:ascii="Book Antiqua" w:hAnsi="Book Antiqua"/>
          <w:b/>
        </w:rPr>
        <w:t>40</w:t>
      </w:r>
      <w:r w:rsidRPr="00E3232D">
        <w:rPr>
          <w:rFonts w:ascii="Book Antiqua" w:hAnsi="Book Antiqua"/>
        </w:rPr>
        <w:t>(1): 32-40.</w:t>
      </w:r>
    </w:p>
    <w:p w14:paraId="2D0A9428"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Anarfi, J. K., E. N. Appiah and Awusabo-Asare, K. (1997). "Livelihood and the risk of HIV/AIDS infection in Ghana: the case of female itinerant traders." </w:t>
      </w:r>
      <w:r w:rsidRPr="00E3232D">
        <w:rPr>
          <w:rFonts w:ascii="Book Antiqua" w:hAnsi="Book Antiqua"/>
          <w:u w:val="single"/>
        </w:rPr>
        <w:t xml:space="preserve">Health Transit Rev </w:t>
      </w:r>
      <w:r w:rsidRPr="00E3232D">
        <w:rPr>
          <w:rFonts w:ascii="Book Antiqua" w:hAnsi="Book Antiqua"/>
          <w:b/>
        </w:rPr>
        <w:t>7 Suppl</w:t>
      </w:r>
      <w:r w:rsidRPr="00E3232D">
        <w:rPr>
          <w:rFonts w:ascii="Book Antiqua" w:hAnsi="Book Antiqua"/>
        </w:rPr>
        <w:t>: 225-42.</w:t>
      </w:r>
    </w:p>
    <w:p w14:paraId="09E28DFD"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Asthana, S. and R. Oostvogels (1996). "Community participation in HIV prevention: problems and prospects for community-based strategies among female sex workers in Madras." </w:t>
      </w:r>
      <w:r w:rsidRPr="00E3232D">
        <w:rPr>
          <w:rFonts w:ascii="Book Antiqua" w:hAnsi="Book Antiqua"/>
          <w:u w:val="single"/>
        </w:rPr>
        <w:t xml:space="preserve">Soc Sci Med </w:t>
      </w:r>
      <w:r w:rsidRPr="00E3232D">
        <w:rPr>
          <w:rFonts w:ascii="Book Antiqua" w:hAnsi="Book Antiqua"/>
          <w:b/>
        </w:rPr>
        <w:t>43</w:t>
      </w:r>
      <w:r w:rsidRPr="00E3232D">
        <w:rPr>
          <w:rFonts w:ascii="Book Antiqua" w:hAnsi="Book Antiqua"/>
        </w:rPr>
        <w:t>(2): 133-48.</w:t>
      </w:r>
    </w:p>
    <w:p w14:paraId="536DD303"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Baeten, J. M. (2008). "New biomedical strategies for HIV-1 prevention in women." </w:t>
      </w:r>
      <w:r w:rsidRPr="00E3232D">
        <w:rPr>
          <w:rFonts w:ascii="Book Antiqua" w:hAnsi="Book Antiqua"/>
          <w:u w:val="single"/>
        </w:rPr>
        <w:t xml:space="preserve">Curr Infect Dis Rep </w:t>
      </w:r>
      <w:r w:rsidRPr="00E3232D">
        <w:rPr>
          <w:rFonts w:ascii="Book Antiqua" w:hAnsi="Book Antiqua"/>
          <w:b/>
        </w:rPr>
        <w:t>10</w:t>
      </w:r>
      <w:r w:rsidRPr="00E3232D">
        <w:rPr>
          <w:rFonts w:ascii="Book Antiqua" w:hAnsi="Book Antiqua"/>
        </w:rPr>
        <w:t>(6): 490-8.</w:t>
      </w:r>
    </w:p>
    <w:p w14:paraId="37450B75"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Bao, L., J. A. Salomon, Brown, T., Raftery, A. E. and Hogan, D. R. (2012). </w:t>
      </w:r>
      <w:r w:rsidRPr="00E3232D">
        <w:rPr>
          <w:rFonts w:ascii="Book Antiqua" w:hAnsi="Book Antiqua"/>
        </w:rPr>
        <w:lastRenderedPageBreak/>
        <w:t xml:space="preserve">"Modelling national HIV/AIDS epidemics: revised approach in the UNAIDS Estimation and Projection Package 2011." </w:t>
      </w:r>
      <w:r w:rsidRPr="00E3232D">
        <w:rPr>
          <w:rFonts w:ascii="Book Antiqua" w:hAnsi="Book Antiqua"/>
          <w:u w:val="single"/>
        </w:rPr>
        <w:t xml:space="preserve">Sex Transm Infect </w:t>
      </w:r>
      <w:r w:rsidRPr="00E3232D">
        <w:rPr>
          <w:rFonts w:ascii="Book Antiqua" w:hAnsi="Book Antiqua"/>
          <w:b/>
        </w:rPr>
        <w:t>88 Suppl 2</w:t>
      </w:r>
      <w:r w:rsidRPr="00E3232D">
        <w:rPr>
          <w:rFonts w:ascii="Book Antiqua" w:hAnsi="Book Antiqua"/>
        </w:rPr>
        <w:t>: i3-10.</w:t>
      </w:r>
    </w:p>
    <w:p w14:paraId="6ED55A86" w14:textId="77777777" w:rsidR="001D1BD3" w:rsidRPr="00E3232D" w:rsidRDefault="001D1BD3" w:rsidP="00311945">
      <w:pPr>
        <w:ind w:left="720" w:hanging="720"/>
        <w:jc w:val="both"/>
        <w:rPr>
          <w:rFonts w:ascii="Book Antiqua" w:hAnsi="Book Antiqua"/>
        </w:rPr>
      </w:pPr>
      <w:r w:rsidRPr="00E3232D">
        <w:rPr>
          <w:rFonts w:ascii="Book Antiqua" w:hAnsi="Book Antiqua"/>
        </w:rPr>
        <w:t>Barrington, C., C. Wejnert and Razark, E. (2011</w:t>
      </w:r>
    </w:p>
    <w:p w14:paraId="09FEAA6A"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 "Social network characteristics and HIV vulnerability among transgender persons in San Salvador: identifying opportunities for HIV prevention strategies." </w:t>
      </w:r>
      <w:r w:rsidRPr="00E3232D">
        <w:rPr>
          <w:rFonts w:ascii="Book Antiqua" w:hAnsi="Book Antiqua"/>
          <w:u w:val="single"/>
        </w:rPr>
        <w:t xml:space="preserve">AIDS Behav </w:t>
      </w:r>
      <w:r w:rsidRPr="00E3232D">
        <w:rPr>
          <w:rFonts w:ascii="Book Antiqua" w:hAnsi="Book Antiqua"/>
          <w:b/>
        </w:rPr>
        <w:t>16</w:t>
      </w:r>
      <w:r w:rsidRPr="00E3232D">
        <w:rPr>
          <w:rFonts w:ascii="Book Antiqua" w:hAnsi="Book Antiqua"/>
        </w:rPr>
        <w:t>(1): 214-24.</w:t>
      </w:r>
    </w:p>
    <w:p w14:paraId="09DC4EFF"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Bay-Cheng, L. Y. and N. M. Fava (2010). "Young women's experiences and perceptions of cunnilingus during adolescence." </w:t>
      </w:r>
      <w:r w:rsidRPr="00E3232D">
        <w:rPr>
          <w:rFonts w:ascii="Book Antiqua" w:hAnsi="Book Antiqua"/>
          <w:u w:val="single"/>
        </w:rPr>
        <w:t xml:space="preserve">J Sex Res </w:t>
      </w:r>
      <w:r w:rsidRPr="00E3232D">
        <w:rPr>
          <w:rFonts w:ascii="Book Antiqua" w:hAnsi="Book Antiqua"/>
          <w:b/>
        </w:rPr>
        <w:t>48</w:t>
      </w:r>
      <w:r w:rsidRPr="00E3232D">
        <w:rPr>
          <w:rFonts w:ascii="Book Antiqua" w:hAnsi="Book Antiqua"/>
        </w:rPr>
        <w:t>(6): 531-42.</w:t>
      </w:r>
    </w:p>
    <w:p w14:paraId="63CF3FBC"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Berrey, M. M. and T. Shea (1997). "Oral sex and HIV transmission." </w:t>
      </w:r>
      <w:r w:rsidRPr="00E3232D">
        <w:rPr>
          <w:rFonts w:ascii="Book Antiqua" w:hAnsi="Book Antiqua"/>
          <w:u w:val="single"/>
        </w:rPr>
        <w:t>J Acquir Immune Defic Syndr Hum Retroviro l</w:t>
      </w:r>
      <w:r w:rsidRPr="00E3232D">
        <w:rPr>
          <w:rFonts w:ascii="Book Antiqua" w:hAnsi="Book Antiqua"/>
          <w:b/>
        </w:rPr>
        <w:t>14</w:t>
      </w:r>
      <w:r w:rsidRPr="00E3232D">
        <w:rPr>
          <w:rFonts w:ascii="Book Antiqua" w:hAnsi="Book Antiqua"/>
        </w:rPr>
        <w:t>(5): 475.</w:t>
      </w:r>
    </w:p>
    <w:p w14:paraId="20CD0ADB"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Brewer, D. D., J. J. Potterat and S, Brody (2006). "Research design determines what can be known about modes of HIV transmission." </w:t>
      </w:r>
      <w:r w:rsidRPr="00E3232D">
        <w:rPr>
          <w:rFonts w:ascii="Book Antiqua" w:hAnsi="Book Antiqua"/>
          <w:u w:val="single"/>
        </w:rPr>
        <w:t xml:space="preserve">AIDS </w:t>
      </w:r>
      <w:r w:rsidRPr="00E3232D">
        <w:rPr>
          <w:rFonts w:ascii="Book Antiqua" w:hAnsi="Book Antiqua"/>
          <w:b/>
        </w:rPr>
        <w:t>20</w:t>
      </w:r>
      <w:r w:rsidRPr="00E3232D">
        <w:rPr>
          <w:rFonts w:ascii="Book Antiqua" w:hAnsi="Book Antiqua"/>
        </w:rPr>
        <w:t>(8): 1208-9; author reply 1209.</w:t>
      </w:r>
    </w:p>
    <w:p w14:paraId="75263B30"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Brooks, R. A. and L. E. Klosinski (1999). "Assisting persons living with HIV/AIDS to return to work: programmatic steps for AIDS service organizations." </w:t>
      </w:r>
      <w:r w:rsidRPr="00E3232D">
        <w:rPr>
          <w:rFonts w:ascii="Book Antiqua" w:hAnsi="Book Antiqua"/>
          <w:u w:val="single"/>
        </w:rPr>
        <w:t xml:space="preserve">AIDS Educ Prev </w:t>
      </w:r>
      <w:r w:rsidRPr="00E3232D">
        <w:rPr>
          <w:rFonts w:ascii="Book Antiqua" w:hAnsi="Book Antiqua"/>
          <w:b/>
        </w:rPr>
        <w:t>11</w:t>
      </w:r>
      <w:r w:rsidRPr="00E3232D">
        <w:rPr>
          <w:rFonts w:ascii="Book Antiqua" w:hAnsi="Book Antiqua"/>
        </w:rPr>
        <w:t>(3): 212-23.</w:t>
      </w:r>
    </w:p>
    <w:p w14:paraId="56B99327"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Brown, L. S., Jr. (1988). "Seroepidemiology of HIV infection in two cohorts of intravenous drug users in New York City." </w:t>
      </w:r>
      <w:r w:rsidRPr="00E3232D">
        <w:rPr>
          <w:rFonts w:ascii="Book Antiqua" w:hAnsi="Book Antiqua"/>
          <w:u w:val="single"/>
        </w:rPr>
        <w:t xml:space="preserve">J Natl Med Assoc </w:t>
      </w:r>
      <w:r w:rsidRPr="00E3232D">
        <w:rPr>
          <w:rFonts w:ascii="Book Antiqua" w:hAnsi="Book Antiqua"/>
          <w:b/>
        </w:rPr>
        <w:t>80</w:t>
      </w:r>
      <w:r w:rsidRPr="00E3232D">
        <w:rPr>
          <w:rFonts w:ascii="Book Antiqua" w:hAnsi="Book Antiqua"/>
        </w:rPr>
        <w:t>(12): 1313-7.</w:t>
      </w:r>
    </w:p>
    <w:p w14:paraId="284F1C9B"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Buchbinder, S. (2010). "HIV epidemiology, testing strategies, and prevention interventions." </w:t>
      </w:r>
      <w:r w:rsidRPr="00E3232D">
        <w:rPr>
          <w:rFonts w:ascii="Book Antiqua" w:hAnsi="Book Antiqua"/>
          <w:u w:val="single"/>
        </w:rPr>
        <w:t>Top HIV Med</w:t>
      </w:r>
      <w:r w:rsidRPr="00E3232D">
        <w:rPr>
          <w:rFonts w:ascii="Book Antiqua" w:hAnsi="Book Antiqua"/>
          <w:b/>
        </w:rPr>
        <w:t>18</w:t>
      </w:r>
      <w:r w:rsidRPr="00E3232D">
        <w:rPr>
          <w:rFonts w:ascii="Book Antiqua" w:hAnsi="Book Antiqua"/>
        </w:rPr>
        <w:t>(2): 38-44.</w:t>
      </w:r>
    </w:p>
    <w:p w14:paraId="7E092D30"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Burrell, E., D. Mark, Grant, R., Wood, R. and Bekker, L. G. (2010). "Sexual risk behaviours and HIV-1 prevalence among urban men who have sex with men in Cape Town, South Africa." </w:t>
      </w:r>
      <w:r w:rsidRPr="00E3232D">
        <w:rPr>
          <w:rFonts w:ascii="Book Antiqua" w:hAnsi="Book Antiqua"/>
          <w:u w:val="single"/>
        </w:rPr>
        <w:t xml:space="preserve">Sex Health </w:t>
      </w:r>
      <w:r w:rsidRPr="00E3232D">
        <w:rPr>
          <w:rFonts w:ascii="Book Antiqua" w:hAnsi="Book Antiqua"/>
          <w:b/>
        </w:rPr>
        <w:t>7</w:t>
      </w:r>
      <w:r w:rsidRPr="00E3232D">
        <w:rPr>
          <w:rFonts w:ascii="Book Antiqua" w:hAnsi="Book Antiqua"/>
        </w:rPr>
        <w:t>(2): 149-53.</w:t>
      </w:r>
    </w:p>
    <w:p w14:paraId="41178432"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Caron, M., S. Etenna Lekana-Douki, M. Makuwa, G.P. Obiang-Ndong, O. Biba, D. Nkonghe, M. Kazanji (2012). "Prevalence, genetic diversity and antiretroviral drugs resistance-associated mutations among untreated HIV-1-infected pregnant women in Gabon, central Africa." </w:t>
      </w:r>
      <w:r w:rsidRPr="00E3232D">
        <w:rPr>
          <w:rFonts w:ascii="Book Antiqua" w:hAnsi="Book Antiqua"/>
          <w:u w:val="single"/>
        </w:rPr>
        <w:t xml:space="preserve">BMC Infect Dis </w:t>
      </w:r>
      <w:r w:rsidRPr="00E3232D">
        <w:rPr>
          <w:rFonts w:ascii="Book Antiqua" w:hAnsi="Book Antiqua"/>
          <w:b/>
        </w:rPr>
        <w:t>12</w:t>
      </w:r>
      <w:r w:rsidRPr="00E3232D">
        <w:rPr>
          <w:rFonts w:ascii="Book Antiqua" w:hAnsi="Book Antiqua"/>
        </w:rPr>
        <w:t>(1): 64.</w:t>
      </w:r>
    </w:p>
    <w:p w14:paraId="3E375273"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Chan, D. J. and J. E. Ray (2007). "Quantification of antiretroviral drugs for HIV-1 in the male genital tract: current data, limitations and implications for laboratory analysis." </w:t>
      </w:r>
      <w:r w:rsidRPr="00E3232D">
        <w:rPr>
          <w:rFonts w:ascii="Book Antiqua" w:hAnsi="Book Antiqua"/>
          <w:u w:val="single"/>
        </w:rPr>
        <w:t>J Pharm Pharmaco l</w:t>
      </w:r>
      <w:r w:rsidRPr="00E3232D">
        <w:rPr>
          <w:rFonts w:ascii="Book Antiqua" w:hAnsi="Book Antiqua"/>
          <w:b/>
        </w:rPr>
        <w:t>59</w:t>
      </w:r>
      <w:r w:rsidRPr="00E3232D">
        <w:rPr>
          <w:rFonts w:ascii="Book Antiqua" w:hAnsi="Book Antiqua"/>
        </w:rPr>
        <w:t>(11): 1451-62.</w:t>
      </w:r>
    </w:p>
    <w:p w14:paraId="6B62C8E9"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Choutet, P. and J. M. Besnier (1994). "[HIV infection. Modes of transmission, etiology, detection, prevention, treatment]." </w:t>
      </w:r>
      <w:r w:rsidRPr="00E3232D">
        <w:rPr>
          <w:rFonts w:ascii="Book Antiqua" w:hAnsi="Book Antiqua"/>
          <w:u w:val="single"/>
        </w:rPr>
        <w:t xml:space="preserve">Rev Prat </w:t>
      </w:r>
      <w:r w:rsidRPr="00E3232D">
        <w:rPr>
          <w:rFonts w:ascii="Book Antiqua" w:hAnsi="Book Antiqua"/>
          <w:b/>
        </w:rPr>
        <w:t>44</w:t>
      </w:r>
      <w:r w:rsidRPr="00E3232D">
        <w:rPr>
          <w:rFonts w:ascii="Book Antiqua" w:hAnsi="Book Antiqua"/>
        </w:rPr>
        <w:t>(9): 1263-71.</w:t>
      </w:r>
    </w:p>
    <w:p w14:paraId="47C28942" w14:textId="77777777" w:rsidR="001D1BD3" w:rsidRPr="00E3232D" w:rsidRDefault="001D1BD3" w:rsidP="00311945">
      <w:pPr>
        <w:ind w:left="720" w:hanging="720"/>
        <w:jc w:val="both"/>
        <w:rPr>
          <w:rFonts w:ascii="Book Antiqua" w:hAnsi="Book Antiqua"/>
        </w:rPr>
      </w:pPr>
      <w:r w:rsidRPr="00E3232D">
        <w:rPr>
          <w:rFonts w:ascii="Book Antiqua" w:hAnsi="Book Antiqua"/>
        </w:rPr>
        <w:lastRenderedPageBreak/>
        <w:t xml:space="preserve">Ciaranello, A. L., F. Perez, Maruva, M., Chu, J. Englesmann, B., Keatinge, J. Walensky, R.P., Mushavi, A., Mugwagwa, R., Dabis, F. Freedberg, K. A. (2011). "WHO 2010 guidelines for prevention of mother-to-child HIV transmission in Zimbabwe: modeling clinical outcomes in infants and mothers." </w:t>
      </w:r>
      <w:r w:rsidRPr="00E3232D">
        <w:rPr>
          <w:rFonts w:ascii="Book Antiqua" w:hAnsi="Book Antiqua"/>
          <w:u w:val="single"/>
        </w:rPr>
        <w:t xml:space="preserve">PLoS One </w:t>
      </w:r>
      <w:r w:rsidRPr="00E3232D">
        <w:rPr>
          <w:rFonts w:ascii="Book Antiqua" w:hAnsi="Book Antiqua"/>
          <w:b/>
        </w:rPr>
        <w:t>6</w:t>
      </w:r>
      <w:r w:rsidRPr="00E3232D">
        <w:rPr>
          <w:rFonts w:ascii="Book Antiqua" w:hAnsi="Book Antiqua"/>
        </w:rPr>
        <w:t>(6): e20224.</w:t>
      </w:r>
    </w:p>
    <w:p w14:paraId="0D187123"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Desai, S., H. Bates and Michalski, F.J. (1991). "Detection of antibody to HIV-1 in urine." </w:t>
      </w:r>
      <w:r w:rsidRPr="00E3232D">
        <w:rPr>
          <w:rFonts w:ascii="Book Antiqua" w:hAnsi="Book Antiqua"/>
          <w:u w:val="single"/>
        </w:rPr>
        <w:t>Lancet</w:t>
      </w:r>
      <w:r w:rsidRPr="00E3232D">
        <w:rPr>
          <w:rFonts w:ascii="Book Antiqua" w:hAnsi="Book Antiqua"/>
          <w:b/>
        </w:rPr>
        <w:t>337</w:t>
      </w:r>
      <w:r w:rsidRPr="00E3232D">
        <w:rPr>
          <w:rFonts w:ascii="Book Antiqua" w:hAnsi="Book Antiqua"/>
        </w:rPr>
        <w:t>(8734): 183-4.</w:t>
      </w:r>
    </w:p>
    <w:p w14:paraId="7DB8FC1D"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Dolinsky, A. (2008). "U.S.: PEPFAR reauthorization bills pass House, Senate committee." </w:t>
      </w:r>
      <w:r w:rsidRPr="00E3232D">
        <w:rPr>
          <w:rFonts w:ascii="Book Antiqua" w:hAnsi="Book Antiqua"/>
          <w:u w:val="single"/>
        </w:rPr>
        <w:t xml:space="preserve">HIV AIDS Policy Law Rev </w:t>
      </w:r>
      <w:r w:rsidRPr="00E3232D">
        <w:rPr>
          <w:rFonts w:ascii="Book Antiqua" w:hAnsi="Book Antiqua"/>
          <w:b/>
        </w:rPr>
        <w:t>13</w:t>
      </w:r>
      <w:r w:rsidRPr="00E3232D">
        <w:rPr>
          <w:rFonts w:ascii="Book Antiqua" w:hAnsi="Book Antiqua"/>
        </w:rPr>
        <w:t>(1): 38-9.</w:t>
      </w:r>
    </w:p>
    <w:p w14:paraId="3CACF1C7"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Dorrington, R. and T. A. Moultrie (2008). "A careful look at "A re-look at recent statistics on mortality in the context of HIV/AIDS with particular reference to South Africa"." </w:t>
      </w:r>
      <w:r w:rsidRPr="00E3232D">
        <w:rPr>
          <w:rFonts w:ascii="Book Antiqua" w:hAnsi="Book Antiqua"/>
          <w:u w:val="single"/>
        </w:rPr>
        <w:t xml:space="preserve">Curr HIV Res </w:t>
      </w:r>
      <w:r w:rsidRPr="00E3232D">
        <w:rPr>
          <w:rFonts w:ascii="Book Antiqua" w:hAnsi="Book Antiqua"/>
          <w:b/>
        </w:rPr>
        <w:t>6</w:t>
      </w:r>
      <w:r w:rsidRPr="00E3232D">
        <w:rPr>
          <w:rFonts w:ascii="Book Antiqua" w:hAnsi="Book Antiqua"/>
        </w:rPr>
        <w:t>(4): 279-85.</w:t>
      </w:r>
    </w:p>
    <w:p w14:paraId="51C421E7"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Drummond, M. F. (1989). "The economic impact of AIDS." </w:t>
      </w:r>
      <w:r w:rsidRPr="00E3232D">
        <w:rPr>
          <w:rFonts w:ascii="Book Antiqua" w:hAnsi="Book Antiqua"/>
          <w:u w:val="single"/>
        </w:rPr>
        <w:t xml:space="preserve">AIDS Care </w:t>
      </w:r>
      <w:r w:rsidRPr="00E3232D">
        <w:rPr>
          <w:rFonts w:ascii="Book Antiqua" w:hAnsi="Book Antiqua"/>
          <w:b/>
        </w:rPr>
        <w:t>1</w:t>
      </w:r>
      <w:r w:rsidRPr="00E3232D">
        <w:rPr>
          <w:rFonts w:ascii="Book Antiqua" w:hAnsi="Book Antiqua"/>
        </w:rPr>
        <w:t>(2): 216-8.</w:t>
      </w:r>
    </w:p>
    <w:p w14:paraId="6C55871D"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El-Khatib, Z., A. M. Ekstrom, Coovadia, A., Abrams, E.J., Petzold, M., Katzenstein, D., Morris, L. and Kuhn, L. (2011). "Adherence and virologic suppression during the first 24 weeks on antiretroviral therapy among women in Johannesburg, South Africa - a prospective cohort study." </w:t>
      </w:r>
      <w:r w:rsidRPr="00E3232D">
        <w:rPr>
          <w:rFonts w:ascii="Book Antiqua" w:hAnsi="Book Antiqua"/>
          <w:u w:val="single"/>
        </w:rPr>
        <w:t xml:space="preserve">BMC Public Health </w:t>
      </w:r>
      <w:r w:rsidRPr="00E3232D">
        <w:rPr>
          <w:rFonts w:ascii="Book Antiqua" w:hAnsi="Book Antiqua"/>
          <w:b/>
        </w:rPr>
        <w:t>11</w:t>
      </w:r>
      <w:r w:rsidRPr="00E3232D">
        <w:rPr>
          <w:rFonts w:ascii="Book Antiqua" w:hAnsi="Book Antiqua"/>
        </w:rPr>
        <w:t>: 88.</w:t>
      </w:r>
    </w:p>
    <w:p w14:paraId="282D4877"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Fairchild, A. L. and R. Bayer (2002). "HIV surveillance, public health, and clinical medicine--will the walls come tumbling down?" </w:t>
      </w:r>
      <w:r w:rsidRPr="00E3232D">
        <w:rPr>
          <w:rFonts w:ascii="Book Antiqua" w:hAnsi="Book Antiqua"/>
          <w:u w:val="single"/>
        </w:rPr>
        <w:t xml:space="preserve">N Engl J Med </w:t>
      </w:r>
      <w:r w:rsidRPr="00E3232D">
        <w:rPr>
          <w:rFonts w:ascii="Book Antiqua" w:hAnsi="Book Antiqua"/>
          <w:b/>
        </w:rPr>
        <w:t>365</w:t>
      </w:r>
      <w:r w:rsidRPr="00E3232D">
        <w:rPr>
          <w:rFonts w:ascii="Book Antiqua" w:hAnsi="Book Antiqua"/>
        </w:rPr>
        <w:t>(8): 685-7.</w:t>
      </w:r>
    </w:p>
    <w:p w14:paraId="6C41CA7B"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Fakolade, R., S. B. Adebayo, Anyanti, J. and Ankomah, A. (2009). "The impact of exposure to mass media campaigns and social support on levels and trends of HIV-related stigma and discrimination in Nigeria: tools for enhancing effective HIV prevention programmes." </w:t>
      </w:r>
      <w:r w:rsidRPr="00E3232D">
        <w:rPr>
          <w:rFonts w:ascii="Book Antiqua" w:hAnsi="Book Antiqua"/>
          <w:u w:val="single"/>
        </w:rPr>
        <w:t xml:space="preserve">J Biosoc Sci </w:t>
      </w:r>
      <w:r w:rsidRPr="00E3232D">
        <w:rPr>
          <w:rFonts w:ascii="Book Antiqua" w:hAnsi="Book Antiqua"/>
          <w:b/>
        </w:rPr>
        <w:t>42</w:t>
      </w:r>
      <w:r w:rsidRPr="00E3232D">
        <w:rPr>
          <w:rFonts w:ascii="Book Antiqua" w:hAnsi="Book Antiqua"/>
        </w:rPr>
        <w:t>(3): 395-407.</w:t>
      </w:r>
    </w:p>
    <w:p w14:paraId="3301B4F0"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Feldt, T., M. Oette, Goebels, K., Wenning, M., Kroidi, A. and Haussinger, D. (2004). "Haemodynamic crisis and reversible multiorgan failure caused by HIV post-exposure prophylaxis after needle-stick injury in a health care worker." </w:t>
      </w:r>
      <w:r w:rsidRPr="00E3232D">
        <w:rPr>
          <w:rFonts w:ascii="Book Antiqua" w:hAnsi="Book Antiqua"/>
          <w:u w:val="single"/>
        </w:rPr>
        <w:t xml:space="preserve">HIV Med </w:t>
      </w:r>
      <w:r w:rsidRPr="00E3232D">
        <w:rPr>
          <w:rFonts w:ascii="Book Antiqua" w:hAnsi="Book Antiqua"/>
          <w:b/>
        </w:rPr>
        <w:t>5</w:t>
      </w:r>
      <w:r w:rsidRPr="00E3232D">
        <w:rPr>
          <w:rFonts w:ascii="Book Antiqua" w:hAnsi="Book Antiqua"/>
        </w:rPr>
        <w:t>(2): 125-7.</w:t>
      </w:r>
    </w:p>
    <w:p w14:paraId="63873686"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Galbraith, J. S., J. H. Herbst, Whittier, D.K., Jones, P.L., Smith, B.D., Uhl, G. and Fisher, H.H. (2011). "Taxonomy for strengthening the identification of core elements for evidence-based behavioral interventions for HIV/AIDS prevention." </w:t>
      </w:r>
      <w:r w:rsidRPr="00E3232D">
        <w:rPr>
          <w:rFonts w:ascii="Book Antiqua" w:hAnsi="Book Antiqua"/>
          <w:u w:val="single"/>
        </w:rPr>
        <w:t xml:space="preserve">Health Educ Res </w:t>
      </w:r>
      <w:r w:rsidRPr="00E3232D">
        <w:rPr>
          <w:rFonts w:ascii="Book Antiqua" w:hAnsi="Book Antiqua"/>
          <w:b/>
        </w:rPr>
        <w:t>26</w:t>
      </w:r>
      <w:r w:rsidRPr="00E3232D">
        <w:rPr>
          <w:rFonts w:ascii="Book Antiqua" w:hAnsi="Book Antiqua"/>
        </w:rPr>
        <w:t>(5): 872-85.</w:t>
      </w:r>
    </w:p>
    <w:p w14:paraId="55439CA1"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Gallo, R. C. and A. Garzino-Demo (2001). "Some recent results on HIV pathogenesis with implications for therapy and vaccines." </w:t>
      </w:r>
      <w:r w:rsidRPr="00E3232D">
        <w:rPr>
          <w:rFonts w:ascii="Book Antiqua" w:hAnsi="Book Antiqua"/>
          <w:u w:val="single"/>
        </w:rPr>
        <w:t>Cell Mol Biol (Noisy-le-grand)</w:t>
      </w:r>
      <w:r w:rsidRPr="00E3232D">
        <w:rPr>
          <w:rFonts w:ascii="Book Antiqua" w:hAnsi="Book Antiqua"/>
          <w:b/>
        </w:rPr>
        <w:t>47</w:t>
      </w:r>
      <w:r w:rsidRPr="00E3232D">
        <w:rPr>
          <w:rFonts w:ascii="Book Antiqua" w:hAnsi="Book Antiqua"/>
        </w:rPr>
        <w:t>(7): 1101-4.</w:t>
      </w:r>
    </w:p>
    <w:p w14:paraId="1DDCA030" w14:textId="77777777" w:rsidR="001D1BD3" w:rsidRPr="00E3232D" w:rsidRDefault="001D1BD3" w:rsidP="00311945">
      <w:pPr>
        <w:ind w:left="720" w:hanging="720"/>
        <w:jc w:val="both"/>
        <w:rPr>
          <w:rFonts w:ascii="Book Antiqua" w:hAnsi="Book Antiqua"/>
        </w:rPr>
      </w:pPr>
      <w:r w:rsidRPr="00E3232D">
        <w:rPr>
          <w:rFonts w:ascii="Book Antiqua" w:hAnsi="Book Antiqua"/>
        </w:rPr>
        <w:lastRenderedPageBreak/>
        <w:t xml:space="preserve">Gershon, R. R., D. Vlahov and Nelson, K.E. (1990). "The risk of transmission of HIV-1 through non-percutaneous, non-sexual modes--a review." </w:t>
      </w:r>
      <w:r w:rsidRPr="00E3232D">
        <w:rPr>
          <w:rFonts w:ascii="Book Antiqua" w:hAnsi="Book Antiqua"/>
          <w:u w:val="single"/>
        </w:rPr>
        <w:t>AIDS</w:t>
      </w:r>
      <w:r w:rsidRPr="00E3232D">
        <w:rPr>
          <w:rFonts w:ascii="Book Antiqua" w:hAnsi="Book Antiqua"/>
          <w:b/>
        </w:rPr>
        <w:t>4</w:t>
      </w:r>
      <w:r w:rsidRPr="00E3232D">
        <w:rPr>
          <w:rFonts w:ascii="Book Antiqua" w:hAnsi="Book Antiqua"/>
        </w:rPr>
        <w:t>(7): 645-50.</w:t>
      </w:r>
    </w:p>
    <w:p w14:paraId="33FA00CB"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Goldrick, B. A. (2003). "Prevention of HIV: vaccine trials show only limited success." </w:t>
      </w:r>
      <w:r w:rsidRPr="00E3232D">
        <w:rPr>
          <w:rFonts w:ascii="Book Antiqua" w:hAnsi="Book Antiqua"/>
          <w:u w:val="single"/>
        </w:rPr>
        <w:t>Am J Nurs</w:t>
      </w:r>
      <w:r w:rsidRPr="00E3232D">
        <w:rPr>
          <w:rFonts w:ascii="Book Antiqua" w:hAnsi="Book Antiqua"/>
          <w:b/>
        </w:rPr>
        <w:t>103</w:t>
      </w:r>
      <w:r w:rsidRPr="00E3232D">
        <w:rPr>
          <w:rFonts w:ascii="Book Antiqua" w:hAnsi="Book Antiqua"/>
        </w:rPr>
        <w:t>(5): 27.</w:t>
      </w:r>
    </w:p>
    <w:p w14:paraId="18FD3DCC"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Gomez, M. (2008). "[A comparison of three screening strategies for prevention of perinatal HIV infection in Colombia: a decision analysis model]." </w:t>
      </w:r>
      <w:r w:rsidRPr="00E3232D">
        <w:rPr>
          <w:rFonts w:ascii="Book Antiqua" w:hAnsi="Book Antiqua"/>
          <w:u w:val="single"/>
        </w:rPr>
        <w:t>Rev Panam Salud Publica</w:t>
      </w:r>
      <w:r w:rsidRPr="00E3232D">
        <w:rPr>
          <w:rFonts w:ascii="Book Antiqua" w:hAnsi="Book Antiqua"/>
          <w:b/>
        </w:rPr>
        <w:t>24</w:t>
      </w:r>
      <w:r w:rsidRPr="00E3232D">
        <w:rPr>
          <w:rFonts w:ascii="Book Antiqua" w:hAnsi="Book Antiqua"/>
        </w:rPr>
        <w:t>(4): 256-64.</w:t>
      </w:r>
    </w:p>
    <w:p w14:paraId="46386A9D"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Gottlieb, S. (2000). "Oral sex may be important risk factor for HIV infection." </w:t>
      </w:r>
      <w:r w:rsidRPr="00E3232D">
        <w:rPr>
          <w:rFonts w:ascii="Book Antiqua" w:hAnsi="Book Antiqua"/>
          <w:u w:val="single"/>
        </w:rPr>
        <w:t>BMJ</w:t>
      </w:r>
      <w:r w:rsidRPr="00E3232D">
        <w:rPr>
          <w:rFonts w:ascii="Book Antiqua" w:hAnsi="Book Antiqua"/>
          <w:b/>
        </w:rPr>
        <w:t>320</w:t>
      </w:r>
      <w:r w:rsidRPr="00E3232D">
        <w:rPr>
          <w:rFonts w:ascii="Book Antiqua" w:hAnsi="Book Antiqua"/>
        </w:rPr>
        <w:t>(7232): 400.</w:t>
      </w:r>
    </w:p>
    <w:p w14:paraId="7D5EE904"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Granade, T. C., B. S. Parekh, Phillips, S. K. and McDougal, J. S. (2004). "Performance of the OraQuick and Hema-Strip rapid HIV antibody detection assays by non-laboratorians." </w:t>
      </w:r>
      <w:r w:rsidRPr="00E3232D">
        <w:rPr>
          <w:rFonts w:ascii="Book Antiqua" w:hAnsi="Book Antiqua"/>
          <w:u w:val="single"/>
        </w:rPr>
        <w:t>J Clin Virol</w:t>
      </w:r>
      <w:r w:rsidRPr="00E3232D">
        <w:rPr>
          <w:rFonts w:ascii="Book Antiqua" w:hAnsi="Book Antiqua"/>
          <w:b/>
        </w:rPr>
        <w:t>30</w:t>
      </w:r>
      <w:r w:rsidRPr="00E3232D">
        <w:rPr>
          <w:rFonts w:ascii="Book Antiqua" w:hAnsi="Book Antiqua"/>
        </w:rPr>
        <w:t>(3): 229-32.</w:t>
      </w:r>
    </w:p>
    <w:p w14:paraId="3D1E3271"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Gurtler, L. (2007). "[HIV: prevention and education]." </w:t>
      </w:r>
      <w:r w:rsidRPr="00E3232D">
        <w:rPr>
          <w:rFonts w:ascii="Book Antiqua" w:hAnsi="Book Antiqua"/>
          <w:u w:val="single"/>
        </w:rPr>
        <w:t xml:space="preserve">Bundesgesundheitsblatt Gesundheitsforschung Gesundheitsschutz </w:t>
      </w:r>
      <w:r w:rsidRPr="00E3232D">
        <w:rPr>
          <w:rFonts w:ascii="Book Antiqua" w:hAnsi="Book Antiqua"/>
          <w:b/>
        </w:rPr>
        <w:t>50</w:t>
      </w:r>
      <w:r w:rsidRPr="00E3232D">
        <w:rPr>
          <w:rFonts w:ascii="Book Antiqua" w:hAnsi="Book Antiqua"/>
        </w:rPr>
        <w:t>(4): 397-8.</w:t>
      </w:r>
    </w:p>
    <w:p w14:paraId="4A81F9C8"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Hawkins, D. A. (2001). "Oral sex and HIV transmission." </w:t>
      </w:r>
      <w:r w:rsidRPr="00E3232D">
        <w:rPr>
          <w:rFonts w:ascii="Book Antiqua" w:hAnsi="Book Antiqua"/>
          <w:u w:val="single"/>
        </w:rPr>
        <w:t xml:space="preserve">Sex Transm Infect </w:t>
      </w:r>
      <w:r w:rsidRPr="00E3232D">
        <w:rPr>
          <w:rFonts w:ascii="Book Antiqua" w:hAnsi="Book Antiqua"/>
          <w:b/>
        </w:rPr>
        <w:t>77</w:t>
      </w:r>
      <w:r w:rsidRPr="00E3232D">
        <w:rPr>
          <w:rFonts w:ascii="Book Antiqua" w:hAnsi="Book Antiqua"/>
        </w:rPr>
        <w:t>(5): 307-8.</w:t>
      </w:r>
    </w:p>
    <w:p w14:paraId="77585A99"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Hogan, D. R., J. A. Salomon, Canning, D., Hammitt, J.K., Zaslavsky, A.M. </w:t>
      </w:r>
      <w:r w:rsidRPr="00E3232D">
        <w:rPr>
          <w:rFonts w:ascii="Book Antiqua" w:hAnsi="Book Antiqua"/>
        </w:rPr>
        <w:t xml:space="preserve">and Barnighausen, T. (2012). "National HIV prevalence estimates for sub-Saharan Africa: controlling selection bias with Heckman-type selection models." </w:t>
      </w:r>
      <w:r w:rsidRPr="00E3232D">
        <w:rPr>
          <w:rFonts w:ascii="Book Antiqua" w:hAnsi="Book Antiqua"/>
          <w:u w:val="single"/>
        </w:rPr>
        <w:t xml:space="preserve">Sex Transm Infect </w:t>
      </w:r>
      <w:r w:rsidRPr="00E3232D">
        <w:rPr>
          <w:rFonts w:ascii="Book Antiqua" w:hAnsi="Book Antiqua"/>
          <w:b/>
        </w:rPr>
        <w:t>88 Suppl 2</w:t>
      </w:r>
      <w:r w:rsidRPr="00E3232D">
        <w:rPr>
          <w:rFonts w:ascii="Book Antiqua" w:hAnsi="Book Antiqua"/>
        </w:rPr>
        <w:t>: i17-23.</w:t>
      </w:r>
    </w:p>
    <w:p w14:paraId="1398A3D5"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Iurin, O. G. (2007). "[Indications for initiation of antiretroviral therapy in patients with HIV infection. Choice of first-line drugs and schemes of therapy]." </w:t>
      </w:r>
      <w:r w:rsidRPr="00E3232D">
        <w:rPr>
          <w:rFonts w:ascii="Book Antiqua" w:hAnsi="Book Antiqua"/>
          <w:u w:val="single"/>
        </w:rPr>
        <w:t xml:space="preserve">Ter Arkh </w:t>
      </w:r>
      <w:r w:rsidRPr="00E3232D">
        <w:rPr>
          <w:rFonts w:ascii="Book Antiqua" w:hAnsi="Book Antiqua"/>
          <w:b/>
        </w:rPr>
        <w:t>79</w:t>
      </w:r>
      <w:r w:rsidRPr="00E3232D">
        <w:rPr>
          <w:rFonts w:ascii="Book Antiqua" w:hAnsi="Book Antiqua"/>
        </w:rPr>
        <w:t>(11): 67-9.</w:t>
      </w:r>
    </w:p>
    <w:p w14:paraId="61D1ECC8"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Janssen, R. S., D. R. Holtgrave, Valdiserri, R.O., Shepherd, M., Gayle, H.D. and De Cock, K.M. (2001). "The Serostatus Approach to Fighting the HIV Epidemic: prevention strategies for infected individuals." </w:t>
      </w:r>
      <w:r w:rsidRPr="00E3232D">
        <w:rPr>
          <w:rFonts w:ascii="Book Antiqua" w:hAnsi="Book Antiqua"/>
          <w:u w:val="single"/>
        </w:rPr>
        <w:t xml:space="preserve">Am J Public Health </w:t>
      </w:r>
      <w:r w:rsidRPr="00E3232D">
        <w:rPr>
          <w:rFonts w:ascii="Book Antiqua" w:hAnsi="Book Antiqua"/>
          <w:b/>
        </w:rPr>
        <w:t>91</w:t>
      </w:r>
      <w:r w:rsidRPr="00E3232D">
        <w:rPr>
          <w:rFonts w:ascii="Book Antiqua" w:hAnsi="Book Antiqua"/>
        </w:rPr>
        <w:t>(7): 1019-24.</w:t>
      </w:r>
    </w:p>
    <w:p w14:paraId="4D759CA8"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Johnson, S. S. (1989). "AIDS' economic, social impact heightens concern." </w:t>
      </w:r>
      <w:r w:rsidRPr="00E3232D">
        <w:rPr>
          <w:rFonts w:ascii="Book Antiqua" w:hAnsi="Book Antiqua"/>
          <w:u w:val="single"/>
        </w:rPr>
        <w:t xml:space="preserve">JAMA </w:t>
      </w:r>
      <w:r w:rsidRPr="00E3232D">
        <w:rPr>
          <w:rFonts w:ascii="Book Antiqua" w:hAnsi="Book Antiqua"/>
          <w:b/>
        </w:rPr>
        <w:t>261</w:t>
      </w:r>
      <w:r w:rsidRPr="00E3232D">
        <w:rPr>
          <w:rFonts w:ascii="Book Antiqua" w:hAnsi="Book Antiqua"/>
        </w:rPr>
        <w:t>(1): 17.</w:t>
      </w:r>
    </w:p>
    <w:p w14:paraId="3407B75E"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Kamwi, R., T. Kenyon and Newton, G. (2006). "PEPFAR and HIV prevention in Africa." </w:t>
      </w:r>
      <w:r w:rsidRPr="00E3232D">
        <w:rPr>
          <w:rFonts w:ascii="Book Antiqua" w:hAnsi="Book Antiqua"/>
          <w:u w:val="single"/>
        </w:rPr>
        <w:t xml:space="preserve">Lancet </w:t>
      </w:r>
      <w:r w:rsidRPr="00E3232D">
        <w:rPr>
          <w:rFonts w:ascii="Book Antiqua" w:hAnsi="Book Antiqua"/>
          <w:b/>
        </w:rPr>
        <w:t>367</w:t>
      </w:r>
      <w:r w:rsidRPr="00E3232D">
        <w:rPr>
          <w:rFonts w:ascii="Book Antiqua" w:hAnsi="Book Antiqua"/>
        </w:rPr>
        <w:t>(9527): 1978-9.</w:t>
      </w:r>
    </w:p>
    <w:p w14:paraId="27125EED"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Katsidzira, L. and J. G. Hakim (2011). "HIV prevention in southern Africa: why we must reassess our strategies?" </w:t>
      </w:r>
      <w:r w:rsidRPr="00E3232D">
        <w:rPr>
          <w:rFonts w:ascii="Book Antiqua" w:hAnsi="Book Antiqua"/>
          <w:u w:val="single"/>
        </w:rPr>
        <w:t xml:space="preserve">Trop Med Int Health </w:t>
      </w:r>
      <w:r w:rsidRPr="00E3232D">
        <w:rPr>
          <w:rFonts w:ascii="Book Antiqua" w:hAnsi="Book Antiqua"/>
          <w:b/>
        </w:rPr>
        <w:t>16</w:t>
      </w:r>
      <w:r w:rsidRPr="00E3232D">
        <w:rPr>
          <w:rFonts w:ascii="Book Antiqua" w:hAnsi="Book Antiqua"/>
        </w:rPr>
        <w:t>(9): 1120-30.</w:t>
      </w:r>
    </w:p>
    <w:p w14:paraId="06D07268"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Kekitiinwa, A., K. J. Lee, Walker, A.S., Maganda, A., Doerholt, K., Kitaka, S.B, Asiimwe, A., Judd, A., Musoke, P. and Gibb, D. M. (2008). </w:t>
      </w:r>
      <w:r w:rsidRPr="00E3232D">
        <w:rPr>
          <w:rFonts w:ascii="Book Antiqua" w:hAnsi="Book Antiqua"/>
        </w:rPr>
        <w:lastRenderedPageBreak/>
        <w:t xml:space="preserve">"Differences in factors associated with initial growth, CD4, and viral load responses to ART in HIV-infected children in Kampala, Uganda, and the United Kingdom/Ireland." </w:t>
      </w:r>
      <w:r w:rsidRPr="00E3232D">
        <w:rPr>
          <w:rFonts w:ascii="Book Antiqua" w:hAnsi="Book Antiqua"/>
          <w:u w:val="single"/>
        </w:rPr>
        <w:t xml:space="preserve">J Acquir Immune Defic Syndr </w:t>
      </w:r>
      <w:r w:rsidRPr="00E3232D">
        <w:rPr>
          <w:rFonts w:ascii="Book Antiqua" w:hAnsi="Book Antiqua"/>
          <w:b/>
        </w:rPr>
        <w:t>49</w:t>
      </w:r>
      <w:r w:rsidRPr="00E3232D">
        <w:rPr>
          <w:rFonts w:ascii="Book Antiqua" w:hAnsi="Book Antiqua"/>
        </w:rPr>
        <w:t>(4): 384-92.</w:t>
      </w:r>
    </w:p>
    <w:p w14:paraId="05C1BE20"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Kerr, C. (2006). "Clinton Foundation to help Ethiopian HIV/AIDS plan." </w:t>
      </w:r>
      <w:r w:rsidRPr="00E3232D">
        <w:rPr>
          <w:rFonts w:ascii="Book Antiqua" w:hAnsi="Book Antiqua"/>
          <w:u w:val="single"/>
        </w:rPr>
        <w:t xml:space="preserve">Lancet Infect Dis </w:t>
      </w:r>
      <w:r w:rsidRPr="00E3232D">
        <w:rPr>
          <w:rFonts w:ascii="Book Antiqua" w:hAnsi="Book Antiqua"/>
          <w:b/>
        </w:rPr>
        <w:t>6</w:t>
      </w:r>
      <w:r w:rsidRPr="00E3232D">
        <w:rPr>
          <w:rFonts w:ascii="Book Antiqua" w:hAnsi="Book Antiqua"/>
        </w:rPr>
        <w:t>(3): 132.</w:t>
      </w:r>
    </w:p>
    <w:p w14:paraId="74A789E5"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Kigotho, A. W. (1997). "HIV-1 statistics bring good news for Uganda." </w:t>
      </w:r>
      <w:r w:rsidRPr="00E3232D">
        <w:rPr>
          <w:rFonts w:ascii="Book Antiqua" w:hAnsi="Book Antiqua"/>
          <w:u w:val="single"/>
        </w:rPr>
        <w:t xml:space="preserve">Lancet </w:t>
      </w:r>
      <w:r w:rsidRPr="00E3232D">
        <w:rPr>
          <w:rFonts w:ascii="Book Antiqua" w:hAnsi="Book Antiqua"/>
          <w:b/>
        </w:rPr>
        <w:t>350</w:t>
      </w:r>
      <w:r w:rsidRPr="00E3232D">
        <w:rPr>
          <w:rFonts w:ascii="Book Antiqua" w:hAnsi="Book Antiqua"/>
        </w:rPr>
        <w:t>(9089): 1456.</w:t>
      </w:r>
    </w:p>
    <w:p w14:paraId="5A61FFD7"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Lackritz, E. M. (1998). "Prevention of HIV transmission by blood transfusion in the developing world: achievements and continuing challenges." </w:t>
      </w:r>
      <w:r w:rsidRPr="00E3232D">
        <w:rPr>
          <w:rFonts w:ascii="Book Antiqua" w:hAnsi="Book Antiqua"/>
          <w:u w:val="single"/>
        </w:rPr>
        <w:t xml:space="preserve">AIDS </w:t>
      </w:r>
      <w:r w:rsidRPr="00E3232D">
        <w:rPr>
          <w:rFonts w:ascii="Book Antiqua" w:hAnsi="Book Antiqua"/>
          <w:b/>
        </w:rPr>
        <w:t>12 Suppl A</w:t>
      </w:r>
      <w:r w:rsidRPr="00E3232D">
        <w:rPr>
          <w:rFonts w:ascii="Book Antiqua" w:hAnsi="Book Antiqua"/>
        </w:rPr>
        <w:t>: S81-6.</w:t>
      </w:r>
    </w:p>
    <w:p w14:paraId="7CA0B970"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Laure, F., R. Leonard, Mbayo, K., Lurhuma, Z., Kayembe, N., Brechot, C. Sarin, P.S., Samgadharan,M., Wong-Staal,F. and Gallo, R.C. (1987). "Genomic diversity of Zairian HIV isolates: biological characteristics and clinical manifestation of HIV infection." </w:t>
      </w:r>
      <w:r w:rsidRPr="00E3232D">
        <w:rPr>
          <w:rFonts w:ascii="Book Antiqua" w:hAnsi="Book Antiqua"/>
          <w:u w:val="single"/>
        </w:rPr>
        <w:t>AIDS Res Hum Retroviruses</w:t>
      </w:r>
      <w:r w:rsidRPr="00E3232D">
        <w:rPr>
          <w:rFonts w:ascii="Book Antiqua" w:hAnsi="Book Antiqua"/>
          <w:b/>
        </w:rPr>
        <w:t>3</w:t>
      </w:r>
      <w:r w:rsidRPr="00E3232D">
        <w:rPr>
          <w:rFonts w:ascii="Book Antiqua" w:hAnsi="Book Antiqua"/>
        </w:rPr>
        <w:t>(4): 343-53.</w:t>
      </w:r>
    </w:p>
    <w:p w14:paraId="3CF6F1D4"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Longini, I. M., Jr. (1994). "The Statistics of HIV." </w:t>
      </w:r>
      <w:r w:rsidRPr="00E3232D">
        <w:rPr>
          <w:rFonts w:ascii="Book Antiqua" w:hAnsi="Book Antiqua"/>
          <w:u w:val="single"/>
        </w:rPr>
        <w:t xml:space="preserve">Science </w:t>
      </w:r>
      <w:r w:rsidRPr="00E3232D">
        <w:rPr>
          <w:rFonts w:ascii="Book Antiqua" w:hAnsi="Book Antiqua"/>
          <w:b/>
        </w:rPr>
        <w:t>265</w:t>
      </w:r>
      <w:r w:rsidRPr="00E3232D">
        <w:rPr>
          <w:rFonts w:ascii="Book Antiqua" w:hAnsi="Book Antiqua"/>
        </w:rPr>
        <w:t>(5178): 1602-3.</w:t>
      </w:r>
    </w:p>
    <w:p w14:paraId="68A81A78"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Lu, X. S., J. F. Delfraissy, Grangeot-Keros, L., Rannou, M.T. and Pillot, J (1994). "Rapid and constant detection of HIV antibody response in saliva of HIV-infected </w:t>
      </w:r>
      <w:r w:rsidRPr="00E3232D">
        <w:rPr>
          <w:rFonts w:ascii="Book Antiqua" w:hAnsi="Book Antiqua"/>
        </w:rPr>
        <w:t xml:space="preserve">patients; selective distribution of anti-HIV activity in the IgG isotype." </w:t>
      </w:r>
      <w:r w:rsidRPr="00E3232D">
        <w:rPr>
          <w:rFonts w:ascii="Book Antiqua" w:hAnsi="Book Antiqua"/>
          <w:u w:val="single"/>
        </w:rPr>
        <w:t xml:space="preserve">Res Virol </w:t>
      </w:r>
      <w:r w:rsidRPr="00E3232D">
        <w:rPr>
          <w:rFonts w:ascii="Book Antiqua" w:hAnsi="Book Antiqua"/>
          <w:b/>
        </w:rPr>
        <w:t>145</w:t>
      </w:r>
      <w:r w:rsidRPr="00E3232D">
        <w:rPr>
          <w:rFonts w:ascii="Book Antiqua" w:hAnsi="Book Antiqua"/>
        </w:rPr>
        <w:t>(6): 369-77.</w:t>
      </w:r>
    </w:p>
    <w:p w14:paraId="140C603D"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Luo, C. (2000). "Strategies for prevention of mother-to-child transmission of HIV." </w:t>
      </w:r>
      <w:r w:rsidRPr="00E3232D">
        <w:rPr>
          <w:rFonts w:ascii="Book Antiqua" w:hAnsi="Book Antiqua"/>
          <w:u w:val="single"/>
        </w:rPr>
        <w:t xml:space="preserve">Reprod Health Matters </w:t>
      </w:r>
      <w:r w:rsidRPr="00E3232D">
        <w:rPr>
          <w:rFonts w:ascii="Book Antiqua" w:hAnsi="Book Antiqua"/>
          <w:b/>
        </w:rPr>
        <w:t>8</w:t>
      </w:r>
      <w:r w:rsidRPr="00E3232D">
        <w:rPr>
          <w:rFonts w:ascii="Book Antiqua" w:hAnsi="Book Antiqua"/>
        </w:rPr>
        <w:t>(16): 144-55.</w:t>
      </w:r>
    </w:p>
    <w:p w14:paraId="39D4B431"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Mansson, F., A. Alves, Silva, Z.J., Dias, F., Andersson, S., Biberfeld, G., Fenyo, E.M. and Norrgren, H. (2007). "Trends of HIV-1 and HIV-2 prevalence among pregnant women in Guinea-Bissau, West Africa: possible effect of the civil war 1998 1999." </w:t>
      </w:r>
      <w:r w:rsidRPr="00E3232D">
        <w:rPr>
          <w:rFonts w:ascii="Book Antiqua" w:hAnsi="Book Antiqua"/>
          <w:u w:val="single"/>
        </w:rPr>
        <w:t xml:space="preserve">Sex Transm Infect </w:t>
      </w:r>
      <w:r w:rsidRPr="00E3232D">
        <w:rPr>
          <w:rFonts w:ascii="Book Antiqua" w:hAnsi="Book Antiqua"/>
          <w:b/>
        </w:rPr>
        <w:t>83</w:t>
      </w:r>
      <w:r w:rsidRPr="00E3232D">
        <w:rPr>
          <w:rFonts w:ascii="Book Antiqua" w:hAnsi="Book Antiqua"/>
        </w:rPr>
        <w:t>(6): 463-7.</w:t>
      </w:r>
    </w:p>
    <w:p w14:paraId="30117FD6"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Mansson, F., A. Biague, da Silva, Z.J., Dias, F., Nilsson, L.A., Andersson, S., Fenyo, E. M. and Norrgren, H. (2009). "Prevalence and incidence of HIV-1 and HIV-2 before, during and after a civil war in an occupational cohort in Guinea-Bissau, West Africa." </w:t>
      </w:r>
      <w:r w:rsidRPr="00E3232D">
        <w:rPr>
          <w:rFonts w:ascii="Book Antiqua" w:hAnsi="Book Antiqua"/>
          <w:u w:val="single"/>
        </w:rPr>
        <w:t xml:space="preserve">AIDS </w:t>
      </w:r>
      <w:r w:rsidRPr="00E3232D">
        <w:rPr>
          <w:rFonts w:ascii="Book Antiqua" w:hAnsi="Book Antiqua"/>
          <w:b/>
        </w:rPr>
        <w:t>23</w:t>
      </w:r>
      <w:r w:rsidRPr="00E3232D">
        <w:rPr>
          <w:rFonts w:ascii="Book Antiqua" w:hAnsi="Book Antiqua"/>
        </w:rPr>
        <w:t>(12): 1575-82.</w:t>
      </w:r>
    </w:p>
    <w:p w14:paraId="2A620BE3"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Nagamatsu, M., T. Sato, Nakagawa, A. and Saito, H. (2011). "HIV prevention through extended education encompassing students, parents, and teachers in Japan." </w:t>
      </w:r>
      <w:r w:rsidRPr="00E3232D">
        <w:rPr>
          <w:rFonts w:ascii="Book Antiqua" w:hAnsi="Book Antiqua"/>
          <w:u w:val="single"/>
        </w:rPr>
        <w:t xml:space="preserve">Environ Health Prev Med </w:t>
      </w:r>
      <w:r w:rsidRPr="00E3232D">
        <w:rPr>
          <w:rFonts w:ascii="Book Antiqua" w:hAnsi="Book Antiqua"/>
          <w:b/>
        </w:rPr>
        <w:t>16</w:t>
      </w:r>
      <w:r w:rsidRPr="00E3232D">
        <w:rPr>
          <w:rFonts w:ascii="Book Antiqua" w:hAnsi="Book Antiqua"/>
        </w:rPr>
        <w:t>(6): 350-62.</w:t>
      </w:r>
    </w:p>
    <w:p w14:paraId="0E6EC076"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Nahom, D., E. Wells, Gilmore, M.R., Hoppe, M., Morrison, D.M., Archibald, M., Murowchick, E., Wilsdon, A. and Graham, L. (2001). "Differences by gender and </w:t>
      </w:r>
      <w:r w:rsidRPr="00E3232D">
        <w:rPr>
          <w:rFonts w:ascii="Book Antiqua" w:hAnsi="Book Antiqua"/>
        </w:rPr>
        <w:lastRenderedPageBreak/>
        <w:t xml:space="preserve">sexual experience in adolescent sexual behavior: implications for education and HIV prevention." </w:t>
      </w:r>
      <w:r w:rsidRPr="00E3232D">
        <w:rPr>
          <w:rFonts w:ascii="Book Antiqua" w:hAnsi="Book Antiqua"/>
          <w:u w:val="single"/>
        </w:rPr>
        <w:t xml:space="preserve">J Sch Health </w:t>
      </w:r>
      <w:r w:rsidRPr="00E3232D">
        <w:rPr>
          <w:rFonts w:ascii="Book Antiqua" w:hAnsi="Book Antiqua"/>
          <w:b/>
        </w:rPr>
        <w:t>71</w:t>
      </w:r>
      <w:r w:rsidRPr="00E3232D">
        <w:rPr>
          <w:rFonts w:ascii="Book Antiqua" w:hAnsi="Book Antiqua"/>
        </w:rPr>
        <w:t>(4): 153-8.</w:t>
      </w:r>
    </w:p>
    <w:p w14:paraId="49DA1CCC"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Nakanjako, D., A. Kiragga, Ibrahim, F., Castelnuovo, B., Kamya, M. r., and Easterbrook, P. J. (2008). "Sub-optimal CD4 reconstitution despite viral suppression in an urban cohort on antiretroviral therapy (ART) in sub-Saharan Africa: frequency and clinical significance." </w:t>
      </w:r>
      <w:r w:rsidRPr="00E3232D">
        <w:rPr>
          <w:rFonts w:ascii="Book Antiqua" w:hAnsi="Book Antiqua"/>
          <w:u w:val="single"/>
        </w:rPr>
        <w:t xml:space="preserve">AIDS Res Ther </w:t>
      </w:r>
      <w:r w:rsidRPr="00E3232D">
        <w:rPr>
          <w:rFonts w:ascii="Book Antiqua" w:hAnsi="Book Antiqua"/>
          <w:b/>
        </w:rPr>
        <w:t>5</w:t>
      </w:r>
      <w:r w:rsidRPr="00E3232D">
        <w:rPr>
          <w:rFonts w:ascii="Book Antiqua" w:hAnsi="Book Antiqua"/>
        </w:rPr>
        <w:t>: 23.</w:t>
      </w:r>
    </w:p>
    <w:p w14:paraId="4F8FA536"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Neequaye, A. R., J. E. Neequaye, Biggar, R. J., Mingle, J.A., Drummond, J. and Waters, D. (1997). "HIV-1 and HIV-2 in Ghana, west Africa: community surveys compared to surveys of pregnant women." </w:t>
      </w:r>
      <w:r w:rsidRPr="00E3232D">
        <w:rPr>
          <w:rFonts w:ascii="Book Antiqua" w:hAnsi="Book Antiqua"/>
          <w:u w:val="single"/>
        </w:rPr>
        <w:t xml:space="preserve">West Afr J Med </w:t>
      </w:r>
      <w:r w:rsidRPr="00E3232D">
        <w:rPr>
          <w:rFonts w:ascii="Book Antiqua" w:hAnsi="Book Antiqua"/>
          <w:b/>
        </w:rPr>
        <w:t>16</w:t>
      </w:r>
      <w:r w:rsidRPr="00E3232D">
        <w:rPr>
          <w:rFonts w:ascii="Book Antiqua" w:hAnsi="Book Antiqua"/>
        </w:rPr>
        <w:t>(2): 102-8.</w:t>
      </w:r>
    </w:p>
    <w:p w14:paraId="54C1E00F"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Olopoenia, L., A. Jayam-Trouth, Barnes, S., Young, M. and Varshney, N. (1992). "Clinical apnea as an early manifestation of Pneumocystis carinii pneumonia in an infant with perinatal HIV-1 infection." </w:t>
      </w:r>
      <w:r w:rsidRPr="00E3232D">
        <w:rPr>
          <w:rFonts w:ascii="Book Antiqua" w:hAnsi="Book Antiqua"/>
          <w:u w:val="single"/>
        </w:rPr>
        <w:t xml:space="preserve">J Natl Med Assoc </w:t>
      </w:r>
      <w:r w:rsidRPr="00E3232D">
        <w:rPr>
          <w:rFonts w:ascii="Book Antiqua" w:hAnsi="Book Antiqua"/>
          <w:b/>
        </w:rPr>
        <w:t>84</w:t>
      </w:r>
      <w:r w:rsidRPr="00E3232D">
        <w:rPr>
          <w:rFonts w:ascii="Book Antiqua" w:hAnsi="Book Antiqua"/>
        </w:rPr>
        <w:t>(1): 79-80.</w:t>
      </w:r>
    </w:p>
    <w:p w14:paraId="2CBD7851"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Padua, E., C. Almeida, Nunes, B., Cortes Martins, H., Castela, J., Neves, C. and Paixao, M.T. (2009). "Assessment of mother-to-child HIV-1 and HIV-2 transmission: an AIDS reference laboratory collaborative study." </w:t>
      </w:r>
      <w:r w:rsidRPr="00E3232D">
        <w:rPr>
          <w:rFonts w:ascii="Book Antiqua" w:hAnsi="Book Antiqua"/>
          <w:u w:val="single"/>
        </w:rPr>
        <w:t xml:space="preserve">HIV Med </w:t>
      </w:r>
      <w:r w:rsidRPr="00E3232D">
        <w:rPr>
          <w:rFonts w:ascii="Book Antiqua" w:hAnsi="Book Antiqua"/>
          <w:b/>
        </w:rPr>
        <w:t>10</w:t>
      </w:r>
      <w:r w:rsidRPr="00E3232D">
        <w:rPr>
          <w:rFonts w:ascii="Book Antiqua" w:hAnsi="Book Antiqua"/>
        </w:rPr>
        <w:t>(3): 182-90.</w:t>
      </w:r>
    </w:p>
    <w:p w14:paraId="7BBD7F3C"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Rappaport, J. (2003). "Perspectives in HIV pathogenesis, treatment, and </w:t>
      </w:r>
      <w:r w:rsidRPr="00E3232D">
        <w:rPr>
          <w:rFonts w:ascii="Book Antiqua" w:hAnsi="Book Antiqua"/>
        </w:rPr>
        <w:t xml:space="preserve">prevention." </w:t>
      </w:r>
      <w:r w:rsidRPr="00E3232D">
        <w:rPr>
          <w:rFonts w:ascii="Book Antiqua" w:hAnsi="Book Antiqua"/>
          <w:u w:val="single"/>
        </w:rPr>
        <w:t>Biomed Pharmacother</w:t>
      </w:r>
      <w:r w:rsidRPr="00E3232D">
        <w:rPr>
          <w:rFonts w:ascii="Book Antiqua" w:hAnsi="Book Antiqua"/>
          <w:b/>
        </w:rPr>
        <w:t>57</w:t>
      </w:r>
      <w:r w:rsidRPr="00E3232D">
        <w:rPr>
          <w:rFonts w:ascii="Book Antiqua" w:hAnsi="Book Antiqua"/>
        </w:rPr>
        <w:t>(1): 1-3.</w:t>
      </w:r>
    </w:p>
    <w:p w14:paraId="2FC70966"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Raufu, A. (2000). "Rising HIV infection through blood transfusion worries Nigerian health experts." </w:t>
      </w:r>
      <w:r w:rsidRPr="00E3232D">
        <w:rPr>
          <w:rFonts w:ascii="Book Antiqua" w:hAnsi="Book Antiqua"/>
          <w:u w:val="single"/>
        </w:rPr>
        <w:t xml:space="preserve">AIDS Anal Afr </w:t>
      </w:r>
      <w:r w:rsidRPr="00E3232D">
        <w:rPr>
          <w:rFonts w:ascii="Book Antiqua" w:hAnsi="Book Antiqua"/>
          <w:b/>
        </w:rPr>
        <w:t>11</w:t>
      </w:r>
      <w:r w:rsidRPr="00E3232D">
        <w:rPr>
          <w:rFonts w:ascii="Book Antiqua" w:hAnsi="Book Antiqua"/>
        </w:rPr>
        <w:t>(1): 15.</w:t>
      </w:r>
    </w:p>
    <w:p w14:paraId="01C0576A"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Read, J. S. (2010). "Prevention of mother-to-child transmission of HIV: antiretroviral strategies." </w:t>
      </w:r>
      <w:r w:rsidRPr="00E3232D">
        <w:rPr>
          <w:rFonts w:ascii="Book Antiqua" w:hAnsi="Book Antiqua"/>
          <w:u w:val="single"/>
        </w:rPr>
        <w:t>Clin Perinato l</w:t>
      </w:r>
      <w:r w:rsidRPr="00E3232D">
        <w:rPr>
          <w:rFonts w:ascii="Book Antiqua" w:hAnsi="Book Antiqua"/>
          <w:b/>
        </w:rPr>
        <w:t>37</w:t>
      </w:r>
      <w:r w:rsidRPr="00E3232D">
        <w:rPr>
          <w:rFonts w:ascii="Book Antiqua" w:hAnsi="Book Antiqua"/>
        </w:rPr>
        <w:t>(4): 765-76, viii.</w:t>
      </w:r>
    </w:p>
    <w:p w14:paraId="4AE62A51"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Romer, D., S. Sznitman, DiClemente, R., Salazar, L.F., Vanable, P.A., Carey, M.P., Hennessy, M., Brown, L.K., Valois, R. F., Stanton, B.F., Fortune, T and Juzang, I (2009). "Mass media as an HIV-prevention strategy: using culturally sensitive messages to reduce HIV-associated sexual behavior of at-risk African American youth." </w:t>
      </w:r>
      <w:r w:rsidRPr="00E3232D">
        <w:rPr>
          <w:rFonts w:ascii="Book Antiqua" w:hAnsi="Book Antiqua"/>
          <w:u w:val="single"/>
        </w:rPr>
        <w:t xml:space="preserve">Am J Public Health </w:t>
      </w:r>
      <w:r w:rsidRPr="00E3232D">
        <w:rPr>
          <w:rFonts w:ascii="Book Antiqua" w:hAnsi="Book Antiqua"/>
          <w:b/>
        </w:rPr>
        <w:t>99</w:t>
      </w:r>
      <w:r w:rsidRPr="00E3232D">
        <w:rPr>
          <w:rFonts w:ascii="Book Antiqua" w:hAnsi="Book Antiqua"/>
        </w:rPr>
        <w:t>(12): 2150-9.</w:t>
      </w:r>
    </w:p>
    <w:p w14:paraId="7AF230BA"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Rowland-Jones, S. L. (2003). "Timeline: AIDS pathogenesis: what have two decades of HIV research taught us?" </w:t>
      </w:r>
      <w:r w:rsidRPr="00E3232D">
        <w:rPr>
          <w:rFonts w:ascii="Book Antiqua" w:hAnsi="Book Antiqua"/>
          <w:u w:val="single"/>
        </w:rPr>
        <w:t>Nat Rev Immuno l</w:t>
      </w:r>
      <w:r w:rsidRPr="00E3232D">
        <w:rPr>
          <w:rFonts w:ascii="Book Antiqua" w:hAnsi="Book Antiqua"/>
          <w:b/>
        </w:rPr>
        <w:t>3</w:t>
      </w:r>
      <w:r w:rsidRPr="00E3232D">
        <w:rPr>
          <w:rFonts w:ascii="Book Antiqua" w:hAnsi="Book Antiqua"/>
        </w:rPr>
        <w:t>(4): 343-8.</w:t>
      </w:r>
    </w:p>
    <w:p w14:paraId="38445578"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Ruan, Y., K. Chen, et al. (2004). "Community-based survey of HIV transmission modes among intravenous drug users in Sichuan, China." </w:t>
      </w:r>
      <w:r w:rsidRPr="00E3232D">
        <w:rPr>
          <w:rFonts w:ascii="Book Antiqua" w:hAnsi="Book Antiqua"/>
          <w:u w:val="single"/>
        </w:rPr>
        <w:t xml:space="preserve">Sex Transm Dis </w:t>
      </w:r>
      <w:r w:rsidRPr="00E3232D">
        <w:rPr>
          <w:rFonts w:ascii="Book Antiqua" w:hAnsi="Book Antiqua"/>
          <w:b/>
        </w:rPr>
        <w:t>31</w:t>
      </w:r>
      <w:r w:rsidRPr="00E3232D">
        <w:rPr>
          <w:rFonts w:ascii="Book Antiqua" w:hAnsi="Book Antiqua"/>
        </w:rPr>
        <w:t>(10): 623-7.</w:t>
      </w:r>
    </w:p>
    <w:p w14:paraId="308FA6D9"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Santmyire, B. R. (2001). "Vertical transmission of HIV from mother to child in sub-Saharan Africa: modes of transmission and </w:t>
      </w:r>
      <w:r w:rsidRPr="00E3232D">
        <w:rPr>
          <w:rFonts w:ascii="Book Antiqua" w:hAnsi="Book Antiqua"/>
        </w:rPr>
        <w:lastRenderedPageBreak/>
        <w:t xml:space="preserve">methods for prevention." </w:t>
      </w:r>
      <w:r w:rsidRPr="00E3232D">
        <w:rPr>
          <w:rFonts w:ascii="Book Antiqua" w:hAnsi="Book Antiqua"/>
          <w:u w:val="single"/>
        </w:rPr>
        <w:t xml:space="preserve">Obstet Gynecol Surv </w:t>
      </w:r>
      <w:r w:rsidRPr="00E3232D">
        <w:rPr>
          <w:rFonts w:ascii="Book Antiqua" w:hAnsi="Book Antiqua"/>
          <w:b/>
        </w:rPr>
        <w:t>56</w:t>
      </w:r>
      <w:r w:rsidRPr="00E3232D">
        <w:rPr>
          <w:rFonts w:ascii="Book Antiqua" w:hAnsi="Book Antiqua"/>
        </w:rPr>
        <w:t>(5): 306-12.</w:t>
      </w:r>
    </w:p>
    <w:p w14:paraId="1200ACE6"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Saravanan, S., V. Madhavan, Balakrishnan, P, Solomon, S.S., Kumarasamy, N., Mayer, K. H., Waldrop, G., Solomon, S. and Smith,D.M. (2011). "HIV-1 reverse transcriptase nucleotide substitutions in subtype C-infected, drug-naive, and treatment-experienced patients in South India." </w:t>
      </w:r>
      <w:r w:rsidRPr="00E3232D">
        <w:rPr>
          <w:rFonts w:ascii="Book Antiqua" w:hAnsi="Book Antiqua"/>
          <w:u w:val="single"/>
        </w:rPr>
        <w:t xml:space="preserve">J Acquir Immune Defic Syndr </w:t>
      </w:r>
      <w:r w:rsidRPr="00E3232D">
        <w:rPr>
          <w:rFonts w:ascii="Book Antiqua" w:hAnsi="Book Antiqua"/>
          <w:b/>
        </w:rPr>
        <w:t>58</w:t>
      </w:r>
      <w:r w:rsidRPr="00E3232D">
        <w:rPr>
          <w:rFonts w:ascii="Book Antiqua" w:hAnsi="Book Antiqua"/>
        </w:rPr>
        <w:t>(3): e94-5.</w:t>
      </w:r>
    </w:p>
    <w:p w14:paraId="3EF5B3C5"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Smith, U. (2002). "HIV and AIDS. 2. Modes of transmission, testing for HIV antibodies, and occupational exposure to HIV." </w:t>
      </w:r>
      <w:r w:rsidRPr="00E3232D">
        <w:rPr>
          <w:rFonts w:ascii="Book Antiqua" w:hAnsi="Book Antiqua"/>
          <w:u w:val="single"/>
        </w:rPr>
        <w:t xml:space="preserve">Nurs Times </w:t>
      </w:r>
      <w:r w:rsidRPr="00E3232D">
        <w:rPr>
          <w:rFonts w:ascii="Book Antiqua" w:hAnsi="Book Antiqua"/>
          <w:b/>
        </w:rPr>
        <w:t>98</w:t>
      </w:r>
      <w:r w:rsidRPr="00E3232D">
        <w:rPr>
          <w:rFonts w:ascii="Book Antiqua" w:hAnsi="Book Antiqua"/>
        </w:rPr>
        <w:t>(6): 41-4.</w:t>
      </w:r>
    </w:p>
    <w:p w14:paraId="72FE5997"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Stevenson, M. (2003). "HIV-1 pathogenesis." </w:t>
      </w:r>
      <w:r w:rsidRPr="00E3232D">
        <w:rPr>
          <w:rFonts w:ascii="Book Antiqua" w:hAnsi="Book Antiqua"/>
          <w:u w:val="single"/>
        </w:rPr>
        <w:t>Nat Med</w:t>
      </w:r>
      <w:r w:rsidRPr="00E3232D">
        <w:rPr>
          <w:rFonts w:ascii="Book Antiqua" w:hAnsi="Book Antiqua"/>
          <w:b/>
        </w:rPr>
        <w:t>9</w:t>
      </w:r>
      <w:r w:rsidRPr="00E3232D">
        <w:rPr>
          <w:rFonts w:ascii="Book Antiqua" w:hAnsi="Book Antiqua"/>
        </w:rPr>
        <w:t>(7): 853-60.</w:t>
      </w:r>
    </w:p>
    <w:p w14:paraId="22BFEB92"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Strecker, W., L. Gurtler, Binibangili, M. and Strecker, K. (1993). "Clinical manifestation of HIV infection in northern Zaire." </w:t>
      </w:r>
      <w:r w:rsidRPr="00E3232D">
        <w:rPr>
          <w:rFonts w:ascii="Book Antiqua" w:hAnsi="Book Antiqua"/>
          <w:u w:val="single"/>
        </w:rPr>
        <w:t xml:space="preserve">AIDS </w:t>
      </w:r>
      <w:r w:rsidRPr="00E3232D">
        <w:rPr>
          <w:rFonts w:ascii="Book Antiqua" w:hAnsi="Book Antiqua"/>
          <w:b/>
        </w:rPr>
        <w:t>7</w:t>
      </w:r>
      <w:r w:rsidRPr="00E3232D">
        <w:rPr>
          <w:rFonts w:ascii="Book Antiqua" w:hAnsi="Book Antiqua"/>
        </w:rPr>
        <w:t>(4): 597-8.</w:t>
      </w:r>
    </w:p>
    <w:p w14:paraId="37BD014D"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Strecker, W., L. Gurtler, Schilling, M., Binibangili, M and Strecker, K. (1994). "Epidemiology and clinical manifestation of HIV infection in northern Zaire." </w:t>
      </w:r>
      <w:r w:rsidRPr="00E3232D">
        <w:rPr>
          <w:rFonts w:ascii="Book Antiqua" w:hAnsi="Book Antiqua"/>
          <w:u w:val="single"/>
        </w:rPr>
        <w:t xml:space="preserve">Eur J Epidemiol </w:t>
      </w:r>
      <w:r w:rsidRPr="00E3232D">
        <w:rPr>
          <w:rFonts w:ascii="Book Antiqua" w:hAnsi="Book Antiqua"/>
          <w:b/>
        </w:rPr>
        <w:t>10</w:t>
      </w:r>
      <w:r w:rsidRPr="00E3232D">
        <w:rPr>
          <w:rFonts w:ascii="Book Antiqua" w:hAnsi="Book Antiqua"/>
        </w:rPr>
        <w:t>(1): 95-8.</w:t>
      </w:r>
    </w:p>
    <w:p w14:paraId="68E7C8D4"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Torane, V. P. and J. S. Shastri (2008). "Comparison of ELISA and rapid screening tests for the diagnosis of HIV, Hepatitis B and Hepatitis C among healthy blood donors in a </w:t>
      </w:r>
      <w:r w:rsidRPr="00E3232D">
        <w:rPr>
          <w:rFonts w:ascii="Book Antiqua" w:hAnsi="Book Antiqua"/>
        </w:rPr>
        <w:t xml:space="preserve">tertiary care hospital in Mumbai." </w:t>
      </w:r>
      <w:r w:rsidRPr="00E3232D">
        <w:rPr>
          <w:rFonts w:ascii="Book Antiqua" w:hAnsi="Book Antiqua"/>
          <w:u w:val="single"/>
        </w:rPr>
        <w:t>Indian J Med Microbio l</w:t>
      </w:r>
      <w:r w:rsidRPr="00E3232D">
        <w:rPr>
          <w:rFonts w:ascii="Book Antiqua" w:hAnsi="Book Antiqua"/>
          <w:b/>
        </w:rPr>
        <w:t>26</w:t>
      </w:r>
      <w:r w:rsidRPr="00E3232D">
        <w:rPr>
          <w:rFonts w:ascii="Book Antiqua" w:hAnsi="Book Antiqua"/>
        </w:rPr>
        <w:t>(3): 284-5.</w:t>
      </w:r>
    </w:p>
    <w:p w14:paraId="1F104F66"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Udjo, E. O. (2008). "A re-look at recent statistics on mortality in the context of HIV/AIDS with particular reference to South Africa." </w:t>
      </w:r>
      <w:r w:rsidRPr="00E3232D">
        <w:rPr>
          <w:rFonts w:ascii="Book Antiqua" w:hAnsi="Book Antiqua"/>
          <w:u w:val="single"/>
        </w:rPr>
        <w:t xml:space="preserve">Curr HIV Res </w:t>
      </w:r>
      <w:r w:rsidRPr="00E3232D">
        <w:rPr>
          <w:rFonts w:ascii="Book Antiqua" w:hAnsi="Book Antiqua"/>
          <w:b/>
        </w:rPr>
        <w:t>6</w:t>
      </w:r>
      <w:r w:rsidRPr="00E3232D">
        <w:rPr>
          <w:rFonts w:ascii="Book Antiqua" w:hAnsi="Book Antiqua"/>
        </w:rPr>
        <w:t>(2): 143-51.</w:t>
      </w:r>
    </w:p>
    <w:p w14:paraId="4FC2C27D"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UNICEF (2002). "WHO, UNICEF, UNAIDS, World Bank, UNESCO, and UNFPA report on response to infectious diseases." </w:t>
      </w:r>
      <w:r w:rsidRPr="00E3232D">
        <w:rPr>
          <w:rFonts w:ascii="Book Antiqua" w:hAnsi="Book Antiqua"/>
          <w:u w:val="single"/>
        </w:rPr>
        <w:t xml:space="preserve">Public Health Rep </w:t>
      </w:r>
      <w:r w:rsidRPr="00E3232D">
        <w:rPr>
          <w:rFonts w:ascii="Book Antiqua" w:hAnsi="Book Antiqua"/>
          <w:b/>
        </w:rPr>
        <w:t>117</w:t>
      </w:r>
      <w:r w:rsidRPr="00E3232D">
        <w:rPr>
          <w:rFonts w:ascii="Book Antiqua" w:hAnsi="Book Antiqua"/>
        </w:rPr>
        <w:t>(1): 84-5.</w:t>
      </w:r>
    </w:p>
    <w:p w14:paraId="7DAC055B"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Wang, H., J. Zhou, He, G., Luo, Y., Li, X., Yang, A., Fennie, K. and Williams, A.B. (2009). "Consistent ART adherence is associated with improved quality of Life, CD4 counts, and reduced hospital costs in central China." </w:t>
      </w:r>
      <w:r w:rsidRPr="00E3232D">
        <w:rPr>
          <w:rFonts w:ascii="Book Antiqua" w:hAnsi="Book Antiqua"/>
          <w:u w:val="single"/>
        </w:rPr>
        <w:t xml:space="preserve">AIDS Res Hum Retroviruses </w:t>
      </w:r>
      <w:r w:rsidRPr="00E3232D">
        <w:rPr>
          <w:rFonts w:ascii="Book Antiqua" w:hAnsi="Book Antiqua"/>
          <w:b/>
        </w:rPr>
        <w:t>25</w:t>
      </w:r>
      <w:r w:rsidRPr="00E3232D">
        <w:rPr>
          <w:rFonts w:ascii="Book Antiqua" w:hAnsi="Book Antiqua"/>
        </w:rPr>
        <w:t>(8): 757-63.</w:t>
      </w:r>
    </w:p>
    <w:p w14:paraId="4B566CFE"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WHO (2003). "WHO launches guidelines to speed up delivery of antiretroviral drugs to HIV/AIDS patients." </w:t>
      </w:r>
      <w:r w:rsidRPr="00E3232D">
        <w:rPr>
          <w:rFonts w:ascii="Book Antiqua" w:hAnsi="Book Antiqua"/>
          <w:u w:val="single"/>
        </w:rPr>
        <w:t xml:space="preserve">Bull World Health Organ </w:t>
      </w:r>
      <w:r w:rsidRPr="00E3232D">
        <w:rPr>
          <w:rFonts w:ascii="Book Antiqua" w:hAnsi="Book Antiqua"/>
          <w:b/>
        </w:rPr>
        <w:t>81</w:t>
      </w:r>
      <w:r w:rsidRPr="00E3232D">
        <w:rPr>
          <w:rFonts w:ascii="Book Antiqua" w:hAnsi="Book Antiqua"/>
        </w:rPr>
        <w:t>(11): 852-3.</w:t>
      </w:r>
    </w:p>
    <w:p w14:paraId="4DA02CB5"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Wolffers, I. (1997). "Culture, media, and HIV/AIDS in Asia." </w:t>
      </w:r>
      <w:r w:rsidRPr="00E3232D">
        <w:rPr>
          <w:rFonts w:ascii="Book Antiqua" w:hAnsi="Book Antiqua"/>
          <w:u w:val="single"/>
        </w:rPr>
        <w:t xml:space="preserve">Lancet </w:t>
      </w:r>
      <w:r w:rsidRPr="00E3232D">
        <w:rPr>
          <w:rFonts w:ascii="Book Antiqua" w:hAnsi="Book Antiqua"/>
          <w:b/>
        </w:rPr>
        <w:t>349</w:t>
      </w:r>
      <w:r w:rsidRPr="00E3232D">
        <w:rPr>
          <w:rFonts w:ascii="Book Antiqua" w:hAnsi="Book Antiqua"/>
        </w:rPr>
        <w:t>(9044): 52-4.</w:t>
      </w:r>
    </w:p>
    <w:p w14:paraId="14DFECD4" w14:textId="77777777" w:rsidR="001D1BD3" w:rsidRPr="00E3232D" w:rsidRDefault="001D1BD3" w:rsidP="00311945">
      <w:pPr>
        <w:ind w:left="720" w:hanging="720"/>
        <w:jc w:val="both"/>
        <w:rPr>
          <w:rFonts w:ascii="Book Antiqua" w:hAnsi="Book Antiqua"/>
        </w:rPr>
      </w:pPr>
      <w:r w:rsidRPr="00E3232D">
        <w:rPr>
          <w:rFonts w:ascii="Book Antiqua" w:hAnsi="Book Antiqua"/>
        </w:rPr>
        <w:t xml:space="preserve">Wood, R. and S. D. Lawn (2009). "Should the CD4 threshold for starting ART be raised?" </w:t>
      </w:r>
      <w:r w:rsidRPr="00E3232D">
        <w:rPr>
          <w:rFonts w:ascii="Book Antiqua" w:hAnsi="Book Antiqua"/>
          <w:u w:val="single"/>
        </w:rPr>
        <w:t xml:space="preserve">Lancet </w:t>
      </w:r>
      <w:r w:rsidRPr="00E3232D">
        <w:rPr>
          <w:rFonts w:ascii="Book Antiqua" w:hAnsi="Book Antiqua"/>
          <w:b/>
        </w:rPr>
        <w:t>373</w:t>
      </w:r>
      <w:r w:rsidRPr="00E3232D">
        <w:rPr>
          <w:rFonts w:ascii="Book Antiqua" w:hAnsi="Book Antiqua"/>
        </w:rPr>
        <w:t>(9672): 1314-6.</w:t>
      </w:r>
    </w:p>
    <w:p w14:paraId="6D8D4905" w14:textId="77777777" w:rsidR="001D1BD3" w:rsidRPr="00E3232D" w:rsidRDefault="001D1BD3" w:rsidP="00311945">
      <w:pPr>
        <w:jc w:val="both"/>
        <w:rPr>
          <w:rFonts w:ascii="Book Antiqua" w:hAnsi="Book Antiqua"/>
        </w:rPr>
      </w:pPr>
    </w:p>
    <w:p w14:paraId="60373402" w14:textId="77777777" w:rsidR="00947357" w:rsidRDefault="001815AD" w:rsidP="00311945">
      <w:pPr>
        <w:ind w:left="720" w:hanging="720"/>
        <w:jc w:val="both"/>
        <w:rPr>
          <w:rFonts w:ascii="Book Antiqua" w:hAnsi="Book Antiqua"/>
        </w:rPr>
        <w:sectPr w:rsidR="00947357" w:rsidSect="008F6BC9">
          <w:type w:val="continuous"/>
          <w:pgSz w:w="11907" w:h="16839" w:code="9"/>
          <w:pgMar w:top="1350" w:right="1440" w:bottom="1440" w:left="1440" w:header="720" w:footer="720" w:gutter="0"/>
          <w:cols w:num="2" w:space="720"/>
          <w:docGrid w:linePitch="360"/>
        </w:sectPr>
      </w:pPr>
      <w:r w:rsidRPr="00E3232D">
        <w:rPr>
          <w:rFonts w:ascii="Book Antiqua" w:hAnsi="Book Antiqua"/>
        </w:rPr>
        <w:fldChar w:fldCharType="end"/>
      </w:r>
    </w:p>
    <w:p w14:paraId="40D31FD8" w14:textId="77777777" w:rsidR="0059383C" w:rsidRDefault="0059383C" w:rsidP="00FD6F87">
      <w:pPr>
        <w:rPr>
          <w:rFonts w:ascii="Book Antiqua" w:hAnsi="Book Antiqua"/>
          <w:b/>
          <w:sz w:val="26"/>
          <w:szCs w:val="26"/>
        </w:rPr>
        <w:sectPr w:rsidR="0059383C" w:rsidSect="008F6BC9">
          <w:type w:val="continuous"/>
          <w:pgSz w:w="11907" w:h="16839" w:code="9"/>
          <w:pgMar w:top="1350" w:right="1440" w:bottom="1440" w:left="1440" w:header="720" w:footer="720" w:gutter="0"/>
          <w:cols w:space="720"/>
          <w:docGrid w:linePitch="360"/>
        </w:sectPr>
      </w:pPr>
    </w:p>
    <w:p w14:paraId="7E79899E" w14:textId="77777777" w:rsidR="00093EAB" w:rsidRPr="000B4A9B" w:rsidRDefault="00093EAB" w:rsidP="001B1B96">
      <w:pPr>
        <w:spacing w:after="0"/>
        <w:jc w:val="center"/>
        <w:rPr>
          <w:rFonts w:ascii="Book Antiqua" w:hAnsi="Book Antiqua"/>
          <w:b/>
          <w:sz w:val="26"/>
          <w:szCs w:val="26"/>
        </w:rPr>
      </w:pPr>
      <w:r w:rsidRPr="000B4A9B">
        <w:rPr>
          <w:rFonts w:ascii="Book Antiqua" w:hAnsi="Book Antiqua"/>
          <w:b/>
          <w:sz w:val="26"/>
          <w:szCs w:val="26"/>
        </w:rPr>
        <w:lastRenderedPageBreak/>
        <w:t>Corporate Social Responsibility in Ghana: A Comparative Analysis and Business Imperative</w:t>
      </w:r>
    </w:p>
    <w:p w14:paraId="17A15EAC" w14:textId="77777777" w:rsidR="000B4A9B" w:rsidRPr="000B4A9B" w:rsidRDefault="000B4A9B" w:rsidP="002B3482">
      <w:pPr>
        <w:spacing w:after="0"/>
        <w:jc w:val="center"/>
        <w:rPr>
          <w:rFonts w:ascii="Book Antiqua" w:hAnsi="Book Antiqua"/>
          <w:b/>
          <w:sz w:val="26"/>
          <w:szCs w:val="26"/>
        </w:rPr>
      </w:pPr>
    </w:p>
    <w:p w14:paraId="24B9B218" w14:textId="77777777" w:rsidR="000B4A9B" w:rsidRPr="00457A92" w:rsidRDefault="000B4A9B" w:rsidP="002B3482">
      <w:pPr>
        <w:spacing w:after="0"/>
        <w:jc w:val="center"/>
        <w:rPr>
          <w:rFonts w:ascii="Book Antiqua" w:hAnsi="Book Antiqua"/>
          <w:b/>
          <w:sz w:val="26"/>
        </w:rPr>
      </w:pPr>
      <w:r w:rsidRPr="00457A92">
        <w:rPr>
          <w:rFonts w:ascii="Book Antiqua" w:hAnsi="Book Antiqua"/>
          <w:b/>
          <w:sz w:val="26"/>
        </w:rPr>
        <w:t>Ansah O.M</w:t>
      </w:r>
    </w:p>
    <w:p w14:paraId="02F212BF" w14:textId="77777777" w:rsidR="00D140A8" w:rsidRPr="00B72C39" w:rsidRDefault="00D140A8" w:rsidP="002B3482">
      <w:pPr>
        <w:spacing w:after="0"/>
        <w:jc w:val="center"/>
        <w:rPr>
          <w:rFonts w:ascii="Times New Roman" w:hAnsi="Times New Roman"/>
          <w:sz w:val="24"/>
          <w:szCs w:val="24"/>
        </w:rPr>
      </w:pPr>
      <w:r w:rsidRPr="00230718">
        <w:rPr>
          <w:rFonts w:ascii="Times New Roman" w:hAnsi="Times New Roman"/>
          <w:sz w:val="24"/>
          <w:szCs w:val="24"/>
        </w:rPr>
        <w:t>Adventist Senior High School, Bantama-Kumasi</w:t>
      </w:r>
    </w:p>
    <w:p w14:paraId="1BC5DC91" w14:textId="77777777" w:rsidR="00D140A8" w:rsidRPr="00230718" w:rsidRDefault="00D140A8" w:rsidP="00D140A8">
      <w:pPr>
        <w:jc w:val="center"/>
        <w:rPr>
          <w:rFonts w:ascii="Times New Roman" w:hAnsi="Times New Roman"/>
          <w:sz w:val="24"/>
          <w:szCs w:val="24"/>
        </w:rPr>
      </w:pPr>
      <w:r w:rsidRPr="00D140A8">
        <w:rPr>
          <w:rFonts w:ascii="Times New Roman" w:hAnsi="Times New Roman"/>
          <w:b/>
          <w:sz w:val="24"/>
          <w:szCs w:val="24"/>
        </w:rPr>
        <w:t>E-mail</w:t>
      </w:r>
      <w:r w:rsidRPr="00230718">
        <w:rPr>
          <w:rFonts w:ascii="Times New Roman" w:hAnsi="Times New Roman"/>
          <w:sz w:val="24"/>
          <w:szCs w:val="24"/>
        </w:rPr>
        <w:t xml:space="preserve">: </w:t>
      </w:r>
      <w:hyperlink r:id="rId97" w:history="1">
        <w:r w:rsidRPr="00230718">
          <w:rPr>
            <w:rStyle w:val="Hyperlink"/>
            <w:rFonts w:ascii="Times New Roman" w:hAnsi="Times New Roman"/>
            <w:sz w:val="24"/>
            <w:szCs w:val="24"/>
          </w:rPr>
          <w:t>owusumartin97@yahoo.co.uk</w:t>
        </w:r>
      </w:hyperlink>
    </w:p>
    <w:p w14:paraId="10AB5C7B" w14:textId="77777777" w:rsidR="00D140A8" w:rsidRPr="000B4A9B" w:rsidRDefault="00D140A8" w:rsidP="004B5CA2">
      <w:pPr>
        <w:jc w:val="center"/>
        <w:rPr>
          <w:rFonts w:ascii="Book Antiqua" w:hAnsi="Book Antiqua"/>
          <w:b/>
        </w:rPr>
      </w:pPr>
    </w:p>
    <w:p w14:paraId="19078ED6" w14:textId="77777777" w:rsidR="00093EAB" w:rsidRPr="00E3232D" w:rsidRDefault="00093EAB" w:rsidP="00311945">
      <w:pPr>
        <w:jc w:val="both"/>
        <w:rPr>
          <w:rFonts w:ascii="Book Antiqua" w:hAnsi="Book Antiqua"/>
          <w:b/>
        </w:rPr>
      </w:pPr>
      <w:r w:rsidRPr="001B1B96">
        <w:rPr>
          <w:rFonts w:ascii="Book Antiqua" w:hAnsi="Book Antiqua"/>
          <w:b/>
          <w:sz w:val="26"/>
        </w:rPr>
        <w:t>Abstract</w:t>
      </w:r>
    </w:p>
    <w:p w14:paraId="51FF6B67" w14:textId="77777777" w:rsidR="00093EAB" w:rsidRPr="00E3232D" w:rsidRDefault="00093EAB" w:rsidP="00311945">
      <w:pPr>
        <w:spacing w:after="0"/>
        <w:jc w:val="both"/>
        <w:rPr>
          <w:rFonts w:ascii="Book Antiqua" w:hAnsi="Book Antiqua"/>
          <w:b/>
        </w:rPr>
      </w:pPr>
      <w:r w:rsidRPr="00E3232D">
        <w:rPr>
          <w:rFonts w:ascii="Book Antiqua" w:hAnsi="Book Antiqua"/>
        </w:rPr>
        <w:t>The reasons underpinning companies resorting to different Corporate Social Responsibility (CSR) practices are not obvious. Rationally, the profit making motive is at the front position of the companies’ goals as well as regulations from the government. Companies have been criticized as being driven by motives that militate against concern for the common good. This has led to a keen interest in promoting CSR among companies in Ghana. Through observations, document analysis and conduction of interviews of managers among the selected organizations, this paper sought to examine the CSR policies of five companies in Ghana and the associated benefits enjoyed by Ghanaians. Specifically, the paper aimed at determining the nature and impact – present and potential - of the selected companies’ CSR policies in Ghana and examined the assumptions behind the practice of CSR among the chosen companies. The methods used comprised primary data and secondary data sources. Purposive and convenient sampling techniques were used for the study. The data were collected, collated and analyzed using charts and diagrams for easy interpretation .It was revealed from the research that, CSR programmes were community-focus initiatives, income generated activities. Companies also practised CSR for economic benefits due to stakeholder pressure and as a policy of the organizations. It was therefore concluded that, there should be a law on CSR in Ghana and a course on CSR must also be introduced at the polytechnics to train experts in that area.</w:t>
      </w:r>
    </w:p>
    <w:p w14:paraId="4EC82915" w14:textId="77777777" w:rsidR="000B4A9B" w:rsidRDefault="000B4A9B" w:rsidP="0059383C">
      <w:pPr>
        <w:autoSpaceDE w:val="0"/>
        <w:autoSpaceDN w:val="0"/>
        <w:adjustRightInd w:val="0"/>
        <w:spacing w:after="0"/>
        <w:rPr>
          <w:rFonts w:ascii="Book Antiqua" w:hAnsi="Book Antiqua"/>
          <w:b/>
        </w:rPr>
      </w:pPr>
    </w:p>
    <w:p w14:paraId="6FDCDC39" w14:textId="77777777" w:rsidR="00093EAB" w:rsidRPr="00E3232D" w:rsidRDefault="00093EAB" w:rsidP="00311945">
      <w:pPr>
        <w:autoSpaceDE w:val="0"/>
        <w:autoSpaceDN w:val="0"/>
        <w:adjustRightInd w:val="0"/>
        <w:spacing w:after="0"/>
        <w:jc w:val="both"/>
        <w:rPr>
          <w:rFonts w:ascii="Book Antiqua" w:hAnsi="Book Antiqua"/>
        </w:rPr>
      </w:pPr>
      <w:r w:rsidRPr="00E3232D">
        <w:rPr>
          <w:rFonts w:ascii="Book Antiqua" w:hAnsi="Book Antiqua"/>
          <w:b/>
        </w:rPr>
        <w:t>Keywords:</w:t>
      </w:r>
      <w:r w:rsidRPr="00E3232D">
        <w:rPr>
          <w:rFonts w:ascii="Book Antiqua" w:hAnsi="Book Antiqua"/>
        </w:rPr>
        <w:t xml:space="preserve"> Corporate </w:t>
      </w:r>
      <w:r w:rsidR="001B1B96" w:rsidRPr="00E3232D">
        <w:rPr>
          <w:rFonts w:ascii="Book Antiqua" w:hAnsi="Book Antiqua"/>
        </w:rPr>
        <w:t>Social Responsibility</w:t>
      </w:r>
      <w:r w:rsidRPr="00E3232D">
        <w:rPr>
          <w:rFonts w:ascii="Book Antiqua" w:hAnsi="Book Antiqua"/>
        </w:rPr>
        <w:t>; Stakeholders; Perception.</w:t>
      </w:r>
    </w:p>
    <w:p w14:paraId="06F96F7F" w14:textId="77777777" w:rsidR="00093EAB" w:rsidRPr="00E3232D" w:rsidRDefault="00093EAB" w:rsidP="0059383C">
      <w:pPr>
        <w:spacing w:after="0"/>
        <w:rPr>
          <w:rFonts w:ascii="Book Antiqua" w:hAnsi="Book Antiqua"/>
        </w:rPr>
        <w:sectPr w:rsidR="00093EAB" w:rsidRPr="00E3232D" w:rsidSect="008F6BC9">
          <w:type w:val="continuous"/>
          <w:pgSz w:w="11907" w:h="16839" w:code="9"/>
          <w:pgMar w:top="1350" w:right="1440" w:bottom="1440" w:left="1440" w:header="720" w:footer="720" w:gutter="0"/>
          <w:cols w:space="720"/>
          <w:docGrid w:linePitch="360"/>
        </w:sectPr>
      </w:pPr>
    </w:p>
    <w:p w14:paraId="2A37071F" w14:textId="77777777" w:rsidR="001929EC" w:rsidRPr="00E3232D" w:rsidRDefault="001929EC" w:rsidP="0059383C">
      <w:pPr>
        <w:spacing w:after="0"/>
        <w:rPr>
          <w:rFonts w:ascii="Book Antiqua" w:hAnsi="Book Antiqua"/>
        </w:rPr>
      </w:pPr>
    </w:p>
    <w:p w14:paraId="1C18FBA4" w14:textId="77777777" w:rsidR="00FD0CF1" w:rsidRDefault="00FD0CF1" w:rsidP="0059383C">
      <w:pPr>
        <w:autoSpaceDE w:val="0"/>
        <w:autoSpaceDN w:val="0"/>
        <w:adjustRightInd w:val="0"/>
        <w:spacing w:after="0"/>
        <w:rPr>
          <w:rFonts w:ascii="Book Antiqua" w:hAnsi="Book Antiqua"/>
          <w:b/>
        </w:rPr>
        <w:sectPr w:rsidR="00FD0CF1" w:rsidSect="008F6BC9">
          <w:type w:val="continuous"/>
          <w:pgSz w:w="11907" w:h="16839" w:code="9"/>
          <w:pgMar w:top="1350" w:right="1440" w:bottom="1440" w:left="1440" w:header="720" w:footer="720" w:gutter="0"/>
          <w:cols w:space="720"/>
          <w:docGrid w:linePitch="360"/>
        </w:sectPr>
      </w:pPr>
    </w:p>
    <w:p w14:paraId="057A9215" w14:textId="77777777" w:rsidR="00B749F6" w:rsidRPr="00E3232D" w:rsidRDefault="00FD0CF1" w:rsidP="00C810CC">
      <w:pPr>
        <w:autoSpaceDE w:val="0"/>
        <w:autoSpaceDN w:val="0"/>
        <w:adjustRightInd w:val="0"/>
        <w:spacing w:after="0"/>
        <w:jc w:val="both"/>
        <w:rPr>
          <w:rFonts w:ascii="Book Antiqua" w:hAnsi="Book Antiqua"/>
          <w:b/>
        </w:rPr>
      </w:pPr>
      <w:r>
        <w:rPr>
          <w:rFonts w:ascii="Book Antiqua" w:hAnsi="Book Antiqua"/>
          <w:b/>
        </w:rPr>
        <w:t>1.</w:t>
      </w:r>
      <w:r w:rsidR="00B749F6" w:rsidRPr="00E3232D">
        <w:rPr>
          <w:rFonts w:ascii="Book Antiqua" w:hAnsi="Book Antiqua"/>
          <w:b/>
        </w:rPr>
        <w:t xml:space="preserve">0 </w:t>
      </w:r>
      <w:r w:rsidR="00B749F6" w:rsidRPr="00311945">
        <w:rPr>
          <w:rFonts w:ascii="Book Antiqua" w:hAnsi="Book Antiqua"/>
          <w:b/>
          <w:sz w:val="26"/>
        </w:rPr>
        <w:t>Introduction</w:t>
      </w:r>
    </w:p>
    <w:p w14:paraId="4A42D864" w14:textId="77777777" w:rsidR="00B749F6" w:rsidRPr="00E3232D" w:rsidRDefault="00B749F6" w:rsidP="00C810CC">
      <w:pPr>
        <w:autoSpaceDE w:val="0"/>
        <w:autoSpaceDN w:val="0"/>
        <w:adjustRightInd w:val="0"/>
        <w:spacing w:after="0"/>
        <w:jc w:val="both"/>
        <w:rPr>
          <w:rFonts w:ascii="Book Antiqua" w:hAnsi="Book Antiqua"/>
        </w:rPr>
      </w:pPr>
      <w:r w:rsidRPr="00E3232D">
        <w:rPr>
          <w:rFonts w:ascii="Book Antiqua" w:hAnsi="Book Antiqua"/>
        </w:rPr>
        <w:t xml:space="preserve">Businesses are important part of the communities in which they operate. Good executives know that their long-term triumph is based on continued good relations with a wide range of individuals, groups and institutions. Smart firms know that businesses will not succeed in </w:t>
      </w:r>
      <w:r w:rsidRPr="00E3232D">
        <w:rPr>
          <w:rFonts w:ascii="Book Antiqua" w:hAnsi="Book Antiqua"/>
        </w:rPr>
        <w:t xml:space="preserve">societies that they are failing—whether this is due to social or environmental challenges, or governance problems. The general public has high expectations of the private sector in terms of responsible behaviour. Consumers expect goods and services to be socially and environmentally responsible. Companies </w:t>
      </w:r>
      <w:r w:rsidRPr="00E3232D">
        <w:rPr>
          <w:rFonts w:ascii="Book Antiqua" w:hAnsi="Book Antiqua"/>
        </w:rPr>
        <w:lastRenderedPageBreak/>
        <w:t>have different motives but the idea of getting profit after business activities tend to become a prime motive among firms. Rationally, the profit- making motive is at the forefront of the companies’ goals and government regulations in societies have also been motivating factor in compelling companies to change in their corporate behavior.</w:t>
      </w:r>
    </w:p>
    <w:p w14:paraId="017446FA"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There is no one-size-fits-all method for pursuing a CSR approach. Each firm has unique characteristics and circumstances that will affect how it views its operational context and its defining social responsibilities. Each will vary in its awareness of CSR issues and how much work it has already done towards implementing a CSR approach.</w:t>
      </w:r>
    </w:p>
    <w:p w14:paraId="64D3A5B5"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 xml:space="preserve">A firm is said to be socially responsible when it accepts that its roles in the society is to operate in terms of improving the environment and the locality. CSR is a way of ensuring that businesses are “more responsive to the environmental and social concerns” of the society in which they operate (Utting, 2000). </w:t>
      </w:r>
    </w:p>
    <w:p w14:paraId="2688F623" w14:textId="77777777" w:rsidR="00B749F6" w:rsidRPr="00E3232D" w:rsidRDefault="00B749F6" w:rsidP="001B1B96">
      <w:pPr>
        <w:autoSpaceDE w:val="0"/>
        <w:autoSpaceDN w:val="0"/>
        <w:adjustRightInd w:val="0"/>
        <w:spacing w:after="0"/>
        <w:jc w:val="both"/>
        <w:rPr>
          <w:rFonts w:ascii="Book Antiqua" w:hAnsi="Book Antiqua"/>
        </w:rPr>
      </w:pPr>
      <w:r w:rsidRPr="00E3232D">
        <w:rPr>
          <w:rFonts w:ascii="Book Antiqua" w:hAnsi="Book Antiqua"/>
        </w:rPr>
        <w:t xml:space="preserve">A firm does not become socially responsible when it complies with the environmental laws at where it operates. Complying with laws does not amount to being socially responsible; compliance is a way of tackling issues in a temporary manner. Improving the environment enhances the reputation of the organization in a positive sense which could serve as a source of competitive advantage. Some companies see CSR as ‘the right thing to do’; while others see it </w:t>
      </w:r>
      <w:r w:rsidRPr="00E3232D">
        <w:rPr>
          <w:rFonts w:ascii="Book Antiqua" w:hAnsi="Book Antiqua"/>
        </w:rPr>
        <w:t>as a calculated differentiator for their companies and a means to achieving greater business value.</w:t>
      </w:r>
    </w:p>
    <w:p w14:paraId="6F575270" w14:textId="77777777" w:rsidR="002B3482" w:rsidRDefault="002B3482" w:rsidP="00C810CC">
      <w:pPr>
        <w:autoSpaceDE w:val="0"/>
        <w:autoSpaceDN w:val="0"/>
        <w:adjustRightInd w:val="0"/>
        <w:spacing w:after="0"/>
        <w:jc w:val="both"/>
        <w:rPr>
          <w:rFonts w:ascii="Book Antiqua" w:hAnsi="Book Antiqua"/>
          <w:b/>
          <w:color w:val="000000"/>
        </w:rPr>
      </w:pPr>
    </w:p>
    <w:p w14:paraId="04027599" w14:textId="77777777" w:rsidR="00B749F6" w:rsidRPr="00E3232D" w:rsidRDefault="00B749F6" w:rsidP="00C810CC">
      <w:pPr>
        <w:autoSpaceDE w:val="0"/>
        <w:autoSpaceDN w:val="0"/>
        <w:adjustRightInd w:val="0"/>
        <w:jc w:val="both"/>
        <w:rPr>
          <w:rFonts w:ascii="Book Antiqua" w:hAnsi="Book Antiqua"/>
          <w:b/>
          <w:color w:val="000000"/>
        </w:rPr>
      </w:pPr>
      <w:r w:rsidRPr="00E3232D">
        <w:rPr>
          <w:rFonts w:ascii="Book Antiqua" w:hAnsi="Book Antiqua"/>
          <w:b/>
          <w:color w:val="000000"/>
        </w:rPr>
        <w:t>1.1 Problem Statement</w:t>
      </w:r>
    </w:p>
    <w:p w14:paraId="6D661910" w14:textId="77777777" w:rsidR="002A714F" w:rsidRDefault="00B749F6" w:rsidP="001B1B96">
      <w:pPr>
        <w:autoSpaceDE w:val="0"/>
        <w:autoSpaceDN w:val="0"/>
        <w:adjustRightInd w:val="0"/>
        <w:spacing w:after="0"/>
        <w:jc w:val="both"/>
        <w:rPr>
          <w:rFonts w:ascii="Book Antiqua" w:hAnsi="Book Antiqua"/>
          <w:b/>
        </w:rPr>
      </w:pPr>
      <w:r w:rsidRPr="00E3232D">
        <w:rPr>
          <w:rFonts w:ascii="Book Antiqua" w:hAnsi="Book Antiqua"/>
          <w:color w:val="000000"/>
        </w:rPr>
        <w:t>Numerous studies and literature with varied results have been conducted in the area of CSR’s in Ghana using single organization in their studies. However, there must be more case studies that draw comparisons between different types of CSR practice among companies in Ghana. The uncertainty surrounding that gap has necessitated this research.</w:t>
      </w:r>
      <w:r w:rsidRPr="00E3232D">
        <w:rPr>
          <w:rFonts w:ascii="Book Antiqua" w:hAnsi="Book Antiqua"/>
          <w:b/>
        </w:rPr>
        <w:t xml:space="preserve">   </w:t>
      </w:r>
    </w:p>
    <w:p w14:paraId="00DC7AA5" w14:textId="77777777" w:rsidR="00B749F6" w:rsidRPr="00FD6F87" w:rsidRDefault="00B749F6" w:rsidP="00C810CC">
      <w:pPr>
        <w:autoSpaceDE w:val="0"/>
        <w:autoSpaceDN w:val="0"/>
        <w:adjustRightInd w:val="0"/>
        <w:spacing w:after="0"/>
        <w:jc w:val="both"/>
        <w:rPr>
          <w:rFonts w:ascii="Book Antiqua" w:hAnsi="Book Antiqua"/>
          <w:b/>
        </w:rPr>
      </w:pPr>
      <w:r w:rsidRPr="00E3232D">
        <w:rPr>
          <w:rFonts w:ascii="Book Antiqua" w:hAnsi="Book Antiqua"/>
          <w:b/>
        </w:rPr>
        <w:t xml:space="preserve">                                           </w:t>
      </w:r>
      <w:r w:rsidR="00FD6F87">
        <w:rPr>
          <w:rFonts w:ascii="Book Antiqua" w:hAnsi="Book Antiqua"/>
          <w:b/>
        </w:rPr>
        <w:t xml:space="preserve">       </w:t>
      </w:r>
      <w:r w:rsidRPr="00E3232D">
        <w:rPr>
          <w:rFonts w:ascii="Book Antiqua" w:hAnsi="Book Antiqua"/>
          <w:b/>
        </w:rPr>
        <w:t xml:space="preserve">  </w:t>
      </w:r>
    </w:p>
    <w:p w14:paraId="2559BAEC" w14:textId="77777777" w:rsidR="00B749F6" w:rsidRPr="00E3232D" w:rsidRDefault="00B749F6" w:rsidP="00196385">
      <w:pPr>
        <w:pStyle w:val="ListParagraph"/>
        <w:numPr>
          <w:ilvl w:val="1"/>
          <w:numId w:val="62"/>
        </w:numPr>
        <w:autoSpaceDE w:val="0"/>
        <w:autoSpaceDN w:val="0"/>
        <w:adjustRightInd w:val="0"/>
        <w:jc w:val="both"/>
        <w:rPr>
          <w:rFonts w:ascii="Book Antiqua" w:hAnsi="Book Antiqua"/>
        </w:rPr>
      </w:pPr>
      <w:r w:rsidRPr="00E3232D">
        <w:rPr>
          <w:rFonts w:ascii="Book Antiqua" w:hAnsi="Book Antiqua"/>
          <w:b/>
        </w:rPr>
        <w:t>Research Aims and Objectives</w:t>
      </w:r>
    </w:p>
    <w:p w14:paraId="7E64C54D"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 xml:space="preserve">The overall research aim was to develop a better understanding of CSR policies of different companies in Ghana, analyze their outcome and their eventual benefits to Ghanaians. To address the aims, the research objectives were to: </w:t>
      </w:r>
    </w:p>
    <w:p w14:paraId="7AF210F2" w14:textId="77777777" w:rsidR="00B749F6" w:rsidRPr="00E3232D" w:rsidRDefault="00B749F6" w:rsidP="00196385">
      <w:pPr>
        <w:pStyle w:val="ListParagraph"/>
        <w:numPr>
          <w:ilvl w:val="0"/>
          <w:numId w:val="52"/>
        </w:numPr>
        <w:autoSpaceDE w:val="0"/>
        <w:autoSpaceDN w:val="0"/>
        <w:adjustRightInd w:val="0"/>
        <w:jc w:val="both"/>
        <w:rPr>
          <w:rFonts w:ascii="Book Antiqua" w:hAnsi="Book Antiqua"/>
        </w:rPr>
      </w:pPr>
      <w:r w:rsidRPr="00E3232D">
        <w:rPr>
          <w:rFonts w:ascii="Book Antiqua" w:hAnsi="Book Antiqua"/>
        </w:rPr>
        <w:t>analyze the nature of CSR policies of the selected companies.</w:t>
      </w:r>
    </w:p>
    <w:p w14:paraId="338100C9" w14:textId="77777777" w:rsidR="00B749F6" w:rsidRPr="00E3232D" w:rsidRDefault="00B749F6" w:rsidP="00196385">
      <w:pPr>
        <w:pStyle w:val="ListParagraph"/>
        <w:numPr>
          <w:ilvl w:val="0"/>
          <w:numId w:val="52"/>
        </w:numPr>
        <w:autoSpaceDE w:val="0"/>
        <w:autoSpaceDN w:val="0"/>
        <w:adjustRightInd w:val="0"/>
        <w:jc w:val="both"/>
        <w:rPr>
          <w:rFonts w:ascii="Book Antiqua" w:hAnsi="Book Antiqua"/>
        </w:rPr>
      </w:pPr>
      <w:r w:rsidRPr="00E3232D">
        <w:rPr>
          <w:rFonts w:ascii="Book Antiqua" w:hAnsi="Book Antiqua"/>
        </w:rPr>
        <w:t>examine the assumptions behind the practice of CSR among the selected companies</w:t>
      </w:r>
    </w:p>
    <w:p w14:paraId="7707F602" w14:textId="77777777" w:rsidR="002A714F" w:rsidRPr="001B1B96" w:rsidRDefault="00B749F6" w:rsidP="00196385">
      <w:pPr>
        <w:pStyle w:val="ListParagraph"/>
        <w:numPr>
          <w:ilvl w:val="0"/>
          <w:numId w:val="52"/>
        </w:numPr>
        <w:autoSpaceDE w:val="0"/>
        <w:autoSpaceDN w:val="0"/>
        <w:adjustRightInd w:val="0"/>
        <w:jc w:val="both"/>
        <w:rPr>
          <w:rFonts w:ascii="Book Antiqua" w:hAnsi="Book Antiqua"/>
        </w:rPr>
      </w:pPr>
      <w:r w:rsidRPr="00E3232D">
        <w:rPr>
          <w:rFonts w:ascii="Book Antiqua" w:hAnsi="Book Antiqua"/>
        </w:rPr>
        <w:t>determine the outcome of the CSR policies of the selected companies.</w:t>
      </w:r>
    </w:p>
    <w:p w14:paraId="0775A683" w14:textId="77777777" w:rsidR="00B749F6" w:rsidRPr="00E3232D" w:rsidRDefault="00B749F6" w:rsidP="00C810CC">
      <w:pPr>
        <w:autoSpaceDE w:val="0"/>
        <w:autoSpaceDN w:val="0"/>
        <w:adjustRightInd w:val="0"/>
        <w:ind w:left="360"/>
        <w:jc w:val="both"/>
        <w:rPr>
          <w:rFonts w:ascii="Book Antiqua" w:hAnsi="Book Antiqua"/>
          <w:b/>
        </w:rPr>
      </w:pPr>
      <w:r w:rsidRPr="00E3232D">
        <w:rPr>
          <w:rFonts w:ascii="Book Antiqua" w:hAnsi="Book Antiqua"/>
          <w:b/>
        </w:rPr>
        <w:t>1.3 Research Questions</w:t>
      </w:r>
    </w:p>
    <w:p w14:paraId="4781A5C3" w14:textId="77777777" w:rsidR="00B749F6" w:rsidRPr="00E3232D" w:rsidRDefault="00B749F6" w:rsidP="00C810CC">
      <w:pPr>
        <w:autoSpaceDE w:val="0"/>
        <w:autoSpaceDN w:val="0"/>
        <w:adjustRightInd w:val="0"/>
        <w:ind w:left="360"/>
        <w:jc w:val="both"/>
        <w:rPr>
          <w:rFonts w:ascii="Book Antiqua" w:hAnsi="Book Antiqua"/>
        </w:rPr>
      </w:pPr>
      <w:r w:rsidRPr="00E3232D">
        <w:rPr>
          <w:rFonts w:ascii="Book Antiqua" w:hAnsi="Book Antiqua"/>
        </w:rPr>
        <w:t>The research was guided by the following questions:</w:t>
      </w:r>
    </w:p>
    <w:p w14:paraId="53C11031" w14:textId="77777777" w:rsidR="00B749F6" w:rsidRPr="00E3232D" w:rsidRDefault="00B749F6" w:rsidP="00C810CC">
      <w:pPr>
        <w:autoSpaceDE w:val="0"/>
        <w:autoSpaceDN w:val="0"/>
        <w:adjustRightInd w:val="0"/>
        <w:ind w:left="360"/>
        <w:jc w:val="both"/>
        <w:rPr>
          <w:rFonts w:ascii="Book Antiqua" w:hAnsi="Book Antiqua"/>
        </w:rPr>
      </w:pPr>
      <w:r w:rsidRPr="00E3232D">
        <w:rPr>
          <w:rFonts w:ascii="Book Antiqua" w:hAnsi="Book Antiqua"/>
        </w:rPr>
        <w:t>1. What is the nature of  CSR policies of the selected companies?</w:t>
      </w:r>
    </w:p>
    <w:p w14:paraId="30970649" w14:textId="77777777" w:rsidR="00B749F6" w:rsidRPr="00E3232D" w:rsidRDefault="00B749F6" w:rsidP="00C810CC">
      <w:pPr>
        <w:autoSpaceDE w:val="0"/>
        <w:autoSpaceDN w:val="0"/>
        <w:adjustRightInd w:val="0"/>
        <w:ind w:left="360"/>
        <w:jc w:val="both"/>
        <w:rPr>
          <w:rFonts w:ascii="Book Antiqua" w:hAnsi="Book Antiqua"/>
        </w:rPr>
      </w:pPr>
      <w:r w:rsidRPr="00E3232D">
        <w:rPr>
          <w:rFonts w:ascii="Book Antiqua" w:hAnsi="Book Antiqua"/>
        </w:rPr>
        <w:lastRenderedPageBreak/>
        <w:t>2. What are the assumptions behind the practice of CSR among the selected companies?</w:t>
      </w:r>
    </w:p>
    <w:p w14:paraId="2CD8FA3C" w14:textId="77777777" w:rsidR="00B749F6" w:rsidRPr="00E3232D" w:rsidRDefault="00B749F6" w:rsidP="00C810CC">
      <w:pPr>
        <w:autoSpaceDE w:val="0"/>
        <w:autoSpaceDN w:val="0"/>
        <w:adjustRightInd w:val="0"/>
        <w:ind w:left="360"/>
        <w:jc w:val="both"/>
        <w:rPr>
          <w:rFonts w:ascii="Book Antiqua" w:hAnsi="Book Antiqua"/>
        </w:rPr>
      </w:pPr>
      <w:r w:rsidRPr="00E3232D">
        <w:rPr>
          <w:rFonts w:ascii="Book Antiqua" w:hAnsi="Book Antiqua"/>
        </w:rPr>
        <w:t>3. How do you determine the outcome of the CSR policies of the selected companies?</w:t>
      </w:r>
    </w:p>
    <w:p w14:paraId="1B048FDD" w14:textId="77777777" w:rsidR="00B749F6" w:rsidRPr="00E3232D" w:rsidRDefault="00B749F6" w:rsidP="00C810CC">
      <w:pPr>
        <w:autoSpaceDE w:val="0"/>
        <w:autoSpaceDN w:val="0"/>
        <w:adjustRightInd w:val="0"/>
        <w:spacing w:after="0"/>
        <w:jc w:val="both"/>
        <w:rPr>
          <w:rFonts w:ascii="Book Antiqua" w:hAnsi="Book Antiqua"/>
          <w:b/>
        </w:rPr>
      </w:pPr>
    </w:p>
    <w:p w14:paraId="190FD061"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1.4 Literature Review</w:t>
      </w:r>
    </w:p>
    <w:p w14:paraId="0EB9CA78"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The World Bank defined CSR as the commitment of businesses to behave ethically and to contribute to sustainable economic development by working with all relevant stakeholders to improve their lives in ways that are good for business, the sustainable development agenda and society at large. (CSR) has become part of management practice and theory up to a point where it is seen as the latest management alternative (Guthey et al, 2006), which is compelling firms in adopting CSR activities.  Hockerts et al (2008), posit that most firms use CSR primarily as a tool to reduce risks and operational cost with few firms using CSR as a means to drive innovation. Waddock (2004) revealed that, public pressure was a factor in changing organization’s behaviour towards their environment and customers. McShane et al (2000) also asserted that, CSR is the organization’s moral obligation towards others who are affected by the actions of the organization; that the organization is socially responsible to stakeholders, creditors, employees, customers, suppliers, governments, unions, local communities and general public.</w:t>
      </w:r>
    </w:p>
    <w:p w14:paraId="08991E09"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 xml:space="preserve">2.0 </w:t>
      </w:r>
      <w:r w:rsidRPr="00C810CC">
        <w:rPr>
          <w:rFonts w:ascii="Book Antiqua" w:hAnsi="Book Antiqua"/>
          <w:b/>
          <w:sz w:val="26"/>
        </w:rPr>
        <w:t>Research Methodology</w:t>
      </w:r>
    </w:p>
    <w:p w14:paraId="7521FAD6" w14:textId="77777777" w:rsidR="002A714F" w:rsidRPr="001B1B96" w:rsidRDefault="00B749F6" w:rsidP="001B1B96">
      <w:pPr>
        <w:autoSpaceDE w:val="0"/>
        <w:autoSpaceDN w:val="0"/>
        <w:adjustRightInd w:val="0"/>
        <w:jc w:val="both"/>
        <w:rPr>
          <w:rFonts w:ascii="Book Antiqua" w:hAnsi="Book Antiqua"/>
        </w:rPr>
      </w:pPr>
      <w:r w:rsidRPr="00E3232D">
        <w:rPr>
          <w:rFonts w:ascii="Book Antiqua" w:hAnsi="Book Antiqua"/>
        </w:rPr>
        <w:t>This section covers the methods and procedures that were used in collecting the data</w:t>
      </w:r>
    </w:p>
    <w:p w14:paraId="33A0CD18" w14:textId="77777777" w:rsidR="00B749F6" w:rsidRPr="00E3232D" w:rsidRDefault="00B749F6" w:rsidP="00C810CC">
      <w:pPr>
        <w:ind w:right="-513"/>
        <w:jc w:val="both"/>
        <w:rPr>
          <w:rFonts w:ascii="Book Antiqua" w:hAnsi="Book Antiqua"/>
          <w:b/>
        </w:rPr>
      </w:pPr>
      <w:r w:rsidRPr="00E3232D">
        <w:rPr>
          <w:rFonts w:ascii="Book Antiqua" w:hAnsi="Book Antiqua"/>
          <w:b/>
        </w:rPr>
        <w:t xml:space="preserve">2.1 Introduction   </w:t>
      </w:r>
    </w:p>
    <w:p w14:paraId="3AE8D42E" w14:textId="77777777" w:rsidR="00B749F6" w:rsidRPr="00E3232D" w:rsidRDefault="00B749F6" w:rsidP="00C810CC">
      <w:pPr>
        <w:ind w:right="-513"/>
        <w:jc w:val="both"/>
        <w:rPr>
          <w:rFonts w:ascii="Book Antiqua" w:hAnsi="Book Antiqua"/>
          <w:b/>
        </w:rPr>
      </w:pPr>
      <w:r w:rsidRPr="00E3232D">
        <w:rPr>
          <w:rFonts w:ascii="Book Antiqua" w:hAnsi="Book Antiqua"/>
        </w:rPr>
        <w:t xml:space="preserve"> It contains the research design, population and sample size, research approach and strategy, sources of data and sampling techniques, pre –testing of the instrument, procedure for data collection and data analysis plan.</w:t>
      </w:r>
    </w:p>
    <w:p w14:paraId="1120C6F9" w14:textId="77777777" w:rsidR="002A714F" w:rsidRDefault="002A714F" w:rsidP="00C810CC">
      <w:pPr>
        <w:autoSpaceDE w:val="0"/>
        <w:autoSpaceDN w:val="0"/>
        <w:adjustRightInd w:val="0"/>
        <w:spacing w:after="0"/>
        <w:jc w:val="both"/>
        <w:rPr>
          <w:rFonts w:ascii="Book Antiqua" w:hAnsi="Book Antiqua"/>
          <w:b/>
        </w:rPr>
      </w:pPr>
    </w:p>
    <w:p w14:paraId="317E0544"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b/>
        </w:rPr>
        <w:t>2.2.</w:t>
      </w:r>
      <w:r w:rsidRPr="00E3232D">
        <w:rPr>
          <w:rFonts w:ascii="Book Antiqua" w:hAnsi="Book Antiqua"/>
        </w:rPr>
        <w:t xml:space="preserve"> </w:t>
      </w:r>
      <w:r w:rsidRPr="00E3232D">
        <w:rPr>
          <w:rFonts w:ascii="Book Antiqua" w:hAnsi="Book Antiqua"/>
          <w:b/>
        </w:rPr>
        <w:t>Research Design</w:t>
      </w:r>
    </w:p>
    <w:p w14:paraId="4A9CCE21"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The research was based primarily on a multiple case study of the selected companies in Ghana. The purpose of selecting five companies from different background was to get better understanding of the CSR practices of the companies and the motivation for adopting CSR programmes. The aim of the case study was to generate an intensive examination of a multiple case and then engage in a theoretical analysis as posited by Bryman (2004).</w:t>
      </w:r>
    </w:p>
    <w:p w14:paraId="7C9CAC50" w14:textId="77777777" w:rsidR="002A714F" w:rsidRDefault="002A714F" w:rsidP="00C810CC">
      <w:pPr>
        <w:autoSpaceDE w:val="0"/>
        <w:autoSpaceDN w:val="0"/>
        <w:adjustRightInd w:val="0"/>
        <w:spacing w:after="0"/>
        <w:jc w:val="both"/>
        <w:rPr>
          <w:rFonts w:ascii="Book Antiqua" w:hAnsi="Book Antiqua"/>
          <w:b/>
        </w:rPr>
      </w:pPr>
    </w:p>
    <w:p w14:paraId="218B8196"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2.3 Population and Sample Size</w:t>
      </w:r>
    </w:p>
    <w:p w14:paraId="7FF7092B"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The population comprised companies that have been practising CSR as part of their activities through newspapers, radio, television and other media organizations. Five of the companies were selected based on their frequent practice of CSR policies in the country.</w:t>
      </w:r>
    </w:p>
    <w:p w14:paraId="4327A0DF" w14:textId="77777777" w:rsidR="002B3482" w:rsidRDefault="002B3482" w:rsidP="00C810CC">
      <w:pPr>
        <w:autoSpaceDE w:val="0"/>
        <w:autoSpaceDN w:val="0"/>
        <w:adjustRightInd w:val="0"/>
        <w:spacing w:after="0"/>
        <w:jc w:val="both"/>
        <w:rPr>
          <w:rFonts w:ascii="Book Antiqua" w:hAnsi="Book Antiqua"/>
          <w:b/>
        </w:rPr>
      </w:pPr>
    </w:p>
    <w:p w14:paraId="6253545D" w14:textId="77777777" w:rsidR="001B1B96" w:rsidRDefault="001B1B96" w:rsidP="00C810CC">
      <w:pPr>
        <w:autoSpaceDE w:val="0"/>
        <w:autoSpaceDN w:val="0"/>
        <w:adjustRightInd w:val="0"/>
        <w:jc w:val="both"/>
        <w:rPr>
          <w:rFonts w:ascii="Book Antiqua" w:hAnsi="Book Antiqua"/>
          <w:b/>
        </w:rPr>
      </w:pPr>
    </w:p>
    <w:p w14:paraId="31D86D52"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lastRenderedPageBreak/>
        <w:t>2.4 Research Approach and Strategy</w:t>
      </w:r>
    </w:p>
    <w:p w14:paraId="56E6AE17"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The study adopted a qualitative research approach as result of its discovering nature. It is focused on getting a better understanding of different companies’ CSR policies, their outcome as well as their benefits to Ghanaians. Qualitative research approach is more useful approach for discovering as revealed by Hair et al (2007).</w:t>
      </w:r>
    </w:p>
    <w:p w14:paraId="6AB1973F"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A case study strategy was used in the research because it deals with many variables of interest and also relies on multiple data sources.</w:t>
      </w:r>
    </w:p>
    <w:p w14:paraId="3A04457F" w14:textId="77777777" w:rsidR="002B3482" w:rsidRDefault="002B3482" w:rsidP="00C810CC">
      <w:pPr>
        <w:spacing w:after="0"/>
        <w:ind w:right="27"/>
        <w:jc w:val="both"/>
        <w:rPr>
          <w:rFonts w:ascii="Book Antiqua" w:hAnsi="Book Antiqua"/>
          <w:b/>
          <w:bCs/>
        </w:rPr>
      </w:pPr>
    </w:p>
    <w:p w14:paraId="50EAEB68" w14:textId="77777777" w:rsidR="00B749F6" w:rsidRPr="00E3232D" w:rsidRDefault="00B749F6" w:rsidP="00C810CC">
      <w:pPr>
        <w:ind w:right="27"/>
        <w:jc w:val="both"/>
        <w:rPr>
          <w:rFonts w:ascii="Book Antiqua" w:hAnsi="Book Antiqua"/>
        </w:rPr>
      </w:pPr>
      <w:r w:rsidRPr="00E3232D">
        <w:rPr>
          <w:rFonts w:ascii="Book Antiqua" w:hAnsi="Book Antiqua"/>
          <w:b/>
          <w:bCs/>
        </w:rPr>
        <w:t xml:space="preserve">2.5 Sources of Data and Sampling Techniques </w:t>
      </w:r>
    </w:p>
    <w:p w14:paraId="5F55DF8D" w14:textId="77777777" w:rsidR="00B749F6" w:rsidRPr="00E3232D" w:rsidRDefault="00B749F6" w:rsidP="00C810CC">
      <w:pPr>
        <w:ind w:right="27"/>
        <w:jc w:val="both"/>
        <w:rPr>
          <w:rFonts w:ascii="Book Antiqua" w:hAnsi="Book Antiqua"/>
        </w:rPr>
      </w:pPr>
      <w:r w:rsidRPr="00E3232D">
        <w:rPr>
          <w:rFonts w:ascii="Book Antiqua" w:hAnsi="Book Antiqua"/>
        </w:rPr>
        <w:t xml:space="preserve">Both primary and secondary sources of data were used for the study. In-depth Interview was used in collecting the primary data while the secondary data were also sourced from the internet, copies of journals from the selected organizations as well as information from libraries. </w:t>
      </w:r>
    </w:p>
    <w:p w14:paraId="7C6E1E34" w14:textId="77777777" w:rsidR="00B749F6" w:rsidRPr="00E3232D" w:rsidRDefault="00B749F6" w:rsidP="00C810CC">
      <w:pPr>
        <w:ind w:right="27"/>
        <w:jc w:val="both"/>
        <w:rPr>
          <w:rFonts w:ascii="Book Antiqua" w:hAnsi="Book Antiqua"/>
        </w:rPr>
      </w:pPr>
      <w:r w:rsidRPr="00E3232D">
        <w:rPr>
          <w:rFonts w:ascii="Book Antiqua" w:hAnsi="Book Antiqua"/>
        </w:rPr>
        <w:t>The sampling techniques used were purposive and convenient sampling techniques.</w:t>
      </w:r>
    </w:p>
    <w:p w14:paraId="2789A601" w14:textId="77777777" w:rsidR="00B749F6" w:rsidRPr="00E3232D" w:rsidRDefault="00B749F6" w:rsidP="00C810CC">
      <w:pPr>
        <w:ind w:right="-513"/>
        <w:jc w:val="both"/>
        <w:rPr>
          <w:rFonts w:ascii="Book Antiqua" w:hAnsi="Book Antiqua"/>
          <w:b/>
        </w:rPr>
      </w:pPr>
      <w:r w:rsidRPr="00E3232D">
        <w:rPr>
          <w:rFonts w:ascii="Book Antiqua" w:hAnsi="Book Antiqua"/>
          <w:b/>
        </w:rPr>
        <w:t>2.6. Pre – Testing of the Instrument</w:t>
      </w:r>
    </w:p>
    <w:p w14:paraId="66B24A9B" w14:textId="77777777" w:rsidR="002A714F" w:rsidRPr="001B1B96" w:rsidRDefault="00B749F6" w:rsidP="001B1B96">
      <w:pPr>
        <w:autoSpaceDE w:val="0"/>
        <w:autoSpaceDN w:val="0"/>
        <w:adjustRightInd w:val="0"/>
        <w:jc w:val="both"/>
        <w:rPr>
          <w:rFonts w:ascii="Book Antiqua" w:hAnsi="Book Antiqua"/>
        </w:rPr>
      </w:pPr>
      <w:r w:rsidRPr="00E3232D">
        <w:rPr>
          <w:rFonts w:ascii="Book Antiqua" w:hAnsi="Book Antiqua"/>
        </w:rPr>
        <w:t xml:space="preserve">To enable the researcher test the validity and the reliability of the data, pre-testing of the instrument was conducted. Ten copies of sample questionnaires were pre – tested; using some selected managers from the selected companies in Kumasi. </w:t>
      </w:r>
      <w:r w:rsidRPr="00E3232D">
        <w:rPr>
          <w:rFonts w:ascii="Book Antiqua" w:hAnsi="Book Antiqua"/>
        </w:rPr>
        <w:t xml:space="preserve">After that, corrections were made to prepare the final questionnaire for the data collection process. It was after the pre-testing that, the researcher decided to use an interview only in collecting the final data for the study. </w:t>
      </w:r>
    </w:p>
    <w:p w14:paraId="60E4F8C5" w14:textId="77777777" w:rsidR="00B749F6" w:rsidRPr="00E3232D" w:rsidRDefault="00B749F6" w:rsidP="00C810CC">
      <w:pPr>
        <w:ind w:right="-513"/>
        <w:jc w:val="both"/>
        <w:rPr>
          <w:rFonts w:ascii="Book Antiqua" w:hAnsi="Book Antiqua"/>
          <w:b/>
        </w:rPr>
      </w:pPr>
      <w:r w:rsidRPr="00E3232D">
        <w:rPr>
          <w:rFonts w:ascii="Book Antiqua" w:hAnsi="Book Antiqua"/>
          <w:b/>
        </w:rPr>
        <w:t>2.7. Procedure for Data Collection</w:t>
      </w:r>
    </w:p>
    <w:p w14:paraId="4B287CF3" w14:textId="77777777" w:rsidR="00B749F6" w:rsidRPr="00E3232D" w:rsidRDefault="00B749F6" w:rsidP="001B1B96">
      <w:pPr>
        <w:spacing w:after="0"/>
        <w:ind w:right="-360"/>
        <w:jc w:val="both"/>
        <w:rPr>
          <w:rFonts w:ascii="Book Antiqua" w:hAnsi="Book Antiqua"/>
        </w:rPr>
      </w:pPr>
      <w:r w:rsidRPr="00E3232D">
        <w:rPr>
          <w:rFonts w:ascii="Book Antiqua" w:hAnsi="Book Antiqua"/>
        </w:rPr>
        <w:t xml:space="preserve">The researcher made a request for an appointment date and time with a manager each from the selected companies. An In- depth Interview was conducted with the managers based on their appointment time until the final data were obtained for the study </w:t>
      </w:r>
    </w:p>
    <w:p w14:paraId="6B4E58E1" w14:textId="77777777" w:rsidR="00FD6F87" w:rsidRDefault="00FD6F87" w:rsidP="00C810CC">
      <w:pPr>
        <w:spacing w:after="0"/>
        <w:ind w:right="-513"/>
        <w:jc w:val="both"/>
        <w:rPr>
          <w:rFonts w:ascii="Book Antiqua" w:hAnsi="Book Antiqua"/>
          <w:b/>
        </w:rPr>
      </w:pPr>
    </w:p>
    <w:p w14:paraId="37B4B171" w14:textId="77777777" w:rsidR="00B749F6" w:rsidRPr="00E3232D" w:rsidRDefault="00B749F6" w:rsidP="00C810CC">
      <w:pPr>
        <w:ind w:right="-513"/>
        <w:jc w:val="both"/>
        <w:rPr>
          <w:rFonts w:ascii="Book Antiqua" w:hAnsi="Book Antiqua"/>
          <w:b/>
        </w:rPr>
      </w:pPr>
      <w:r w:rsidRPr="00E3232D">
        <w:rPr>
          <w:rFonts w:ascii="Book Antiqua" w:hAnsi="Book Antiqua"/>
          <w:b/>
        </w:rPr>
        <w:t>2.8. Data Analysis Plan</w:t>
      </w:r>
    </w:p>
    <w:p w14:paraId="2A07FFB6" w14:textId="77777777" w:rsidR="00B749F6" w:rsidRPr="00E3232D" w:rsidRDefault="00B749F6" w:rsidP="001B1B96">
      <w:pPr>
        <w:spacing w:after="0"/>
        <w:ind w:right="27"/>
        <w:jc w:val="both"/>
        <w:rPr>
          <w:rFonts w:ascii="Book Antiqua" w:hAnsi="Book Antiqua"/>
        </w:rPr>
      </w:pPr>
      <w:r w:rsidRPr="00E3232D">
        <w:rPr>
          <w:rFonts w:ascii="Book Antiqua" w:hAnsi="Book Antiqua"/>
        </w:rPr>
        <w:t xml:space="preserve">The collected data were analyzed using tables to ensure easy and quick interpretation of the data. The Data were analyzed qualitatively based on the feedback from the managers. </w:t>
      </w:r>
    </w:p>
    <w:p w14:paraId="0FE9C3C9" w14:textId="77777777" w:rsidR="002B3482" w:rsidRDefault="002B3482" w:rsidP="00C810CC">
      <w:pPr>
        <w:autoSpaceDE w:val="0"/>
        <w:autoSpaceDN w:val="0"/>
        <w:adjustRightInd w:val="0"/>
        <w:spacing w:after="0"/>
        <w:jc w:val="both"/>
        <w:rPr>
          <w:rFonts w:ascii="Book Antiqua" w:hAnsi="Book Antiqua"/>
          <w:b/>
        </w:rPr>
      </w:pPr>
    </w:p>
    <w:p w14:paraId="1608A142"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 xml:space="preserve">3.0 </w:t>
      </w:r>
      <w:r w:rsidRPr="00C810CC">
        <w:rPr>
          <w:rFonts w:ascii="Book Antiqua" w:hAnsi="Book Antiqua"/>
          <w:b/>
          <w:sz w:val="26"/>
        </w:rPr>
        <w:t>Results</w:t>
      </w:r>
    </w:p>
    <w:p w14:paraId="641F0D08"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This chapter focuses on the results of the data that were collected for the study.</w:t>
      </w:r>
    </w:p>
    <w:p w14:paraId="1643E49E"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3.1 Findings on companies CSR policies.</w:t>
      </w:r>
    </w:p>
    <w:p w14:paraId="45A64CC7"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The various policies of the selected companies were revealed from the research as follows:</w:t>
      </w:r>
    </w:p>
    <w:p w14:paraId="17DC3DCB" w14:textId="77777777" w:rsidR="00B749F6" w:rsidRPr="00E3232D" w:rsidRDefault="00B749F6" w:rsidP="00C810CC">
      <w:pPr>
        <w:spacing w:before="120" w:after="168"/>
        <w:jc w:val="both"/>
        <w:rPr>
          <w:rFonts w:ascii="Book Antiqua" w:hAnsi="Book Antiqua"/>
          <w:b/>
        </w:rPr>
      </w:pPr>
      <w:r w:rsidRPr="00E3232D">
        <w:rPr>
          <w:rFonts w:ascii="Book Antiqua" w:hAnsi="Book Antiqua"/>
          <w:b/>
        </w:rPr>
        <w:t xml:space="preserve">3.1.1 Vodafone Ghana </w:t>
      </w:r>
    </w:p>
    <w:p w14:paraId="773B63DE" w14:textId="77777777" w:rsidR="00B749F6" w:rsidRPr="00E3232D" w:rsidRDefault="00B749F6" w:rsidP="00C810CC">
      <w:pPr>
        <w:spacing w:before="120" w:after="168"/>
        <w:jc w:val="both"/>
        <w:rPr>
          <w:rFonts w:ascii="Book Antiqua" w:hAnsi="Book Antiqua"/>
          <w:color w:val="000000"/>
        </w:rPr>
      </w:pPr>
      <w:r w:rsidRPr="00E3232D">
        <w:rPr>
          <w:rFonts w:ascii="Book Antiqua" w:hAnsi="Book Antiqua"/>
          <w:color w:val="000000"/>
        </w:rPr>
        <w:t xml:space="preserve">Vodafone has the idea of reducing carbon emissions to ensure compliance with all environmental requirements. It was also revealed that the company has been embarking on educational activities by </w:t>
      </w:r>
      <w:r w:rsidRPr="00E3232D">
        <w:rPr>
          <w:rFonts w:ascii="Book Antiqua" w:hAnsi="Book Antiqua"/>
          <w:color w:val="000000"/>
        </w:rPr>
        <w:lastRenderedPageBreak/>
        <w:t>collaborating with all units to cut down on energy use in offices; turning air conditioners off when out of office; ride staff bus instead of driving to work; use conference calling instead of travelling physically to attend meetings.</w:t>
      </w:r>
    </w:p>
    <w:p w14:paraId="3C7334A8" w14:textId="77777777" w:rsidR="00B749F6" w:rsidRPr="00E3232D" w:rsidRDefault="00B749F6" w:rsidP="00C810CC">
      <w:pPr>
        <w:spacing w:before="120" w:after="168"/>
        <w:jc w:val="both"/>
        <w:rPr>
          <w:rFonts w:ascii="Book Antiqua" w:hAnsi="Book Antiqua"/>
          <w:color w:val="000000"/>
        </w:rPr>
      </w:pPr>
      <w:r w:rsidRPr="00E3232D">
        <w:rPr>
          <w:rFonts w:ascii="Book Antiqua" w:hAnsi="Book Antiqua"/>
          <w:color w:val="000000"/>
        </w:rPr>
        <w:t xml:space="preserve">The company upholds the highest ethical standards in all of its business practices through: responsible network deployment; responsible marketing; legal compliance staff, who will work with rules and regulations in communities. </w:t>
      </w:r>
    </w:p>
    <w:p w14:paraId="2AB7F85C" w14:textId="77777777" w:rsidR="00B80AC1" w:rsidRPr="00EA796D" w:rsidRDefault="00B749F6" w:rsidP="00EA796D">
      <w:pPr>
        <w:spacing w:before="120" w:after="168"/>
        <w:jc w:val="both"/>
        <w:rPr>
          <w:rFonts w:ascii="Book Antiqua" w:hAnsi="Book Antiqua"/>
          <w:color w:val="000000"/>
        </w:rPr>
      </w:pPr>
      <w:r w:rsidRPr="00E3232D">
        <w:rPr>
          <w:rFonts w:ascii="Book Antiqua" w:hAnsi="Book Antiqua"/>
          <w:color w:val="000000"/>
        </w:rPr>
        <w:t>The company also strives to make it possible for all people in the countries in which they operate to have access to communications through the V School booth project, which gives Phone Booths to 400 Senior High Schools, as well as lower tariffs for the disabled and the elderly.</w:t>
      </w:r>
    </w:p>
    <w:p w14:paraId="6EBFA767" w14:textId="77777777" w:rsidR="00B749F6" w:rsidRPr="002A714F" w:rsidRDefault="00B749F6" w:rsidP="00C810CC">
      <w:pPr>
        <w:spacing w:before="120" w:after="168"/>
        <w:jc w:val="both"/>
        <w:rPr>
          <w:rFonts w:ascii="Book Antiqua" w:hAnsi="Book Antiqua"/>
          <w:b/>
          <w:color w:val="333333"/>
        </w:rPr>
      </w:pPr>
      <w:r w:rsidRPr="002A714F">
        <w:rPr>
          <w:rFonts w:ascii="Book Antiqua" w:hAnsi="Book Antiqua"/>
          <w:b/>
          <w:color w:val="333333"/>
        </w:rPr>
        <w:t>3.1.2 Barclays Bank (GH)</w:t>
      </w:r>
    </w:p>
    <w:p w14:paraId="49860D48" w14:textId="77777777" w:rsidR="00B749F6" w:rsidRPr="00E3232D" w:rsidRDefault="00B749F6" w:rsidP="00C810CC">
      <w:pPr>
        <w:spacing w:before="100" w:beforeAutospacing="1" w:after="100" w:afterAutospacing="1"/>
        <w:jc w:val="both"/>
        <w:rPr>
          <w:rFonts w:ascii="Book Antiqua" w:hAnsi="Book Antiqua"/>
        </w:rPr>
      </w:pPr>
      <w:r w:rsidRPr="00E3232D">
        <w:rPr>
          <w:rFonts w:ascii="Book Antiqua" w:hAnsi="Book Antiqua"/>
        </w:rPr>
        <w:t>The research revealed that the following areas were used by the bank as part of its CSR: Banking on Brighter Futures, Charity Begins at Work, and Looking after local communities.</w:t>
      </w:r>
    </w:p>
    <w:p w14:paraId="36B86E88" w14:textId="77777777" w:rsidR="00B749F6" w:rsidRPr="00E3232D" w:rsidRDefault="00B749F6" w:rsidP="00C810CC">
      <w:pPr>
        <w:spacing w:before="100" w:beforeAutospacing="1" w:after="100" w:afterAutospacing="1"/>
        <w:jc w:val="both"/>
        <w:rPr>
          <w:rFonts w:ascii="Book Antiqua" w:hAnsi="Book Antiqua"/>
        </w:rPr>
      </w:pPr>
      <w:r w:rsidRPr="00E3232D">
        <w:rPr>
          <w:rFonts w:ascii="Book Antiqua" w:hAnsi="Book Antiqua"/>
        </w:rPr>
        <w:t>They aimed at:</w:t>
      </w:r>
    </w:p>
    <w:p w14:paraId="5C75160B" w14:textId="77777777" w:rsidR="00B749F6" w:rsidRPr="00E3232D" w:rsidRDefault="00B749F6" w:rsidP="00196385">
      <w:pPr>
        <w:numPr>
          <w:ilvl w:val="0"/>
          <w:numId w:val="53"/>
        </w:numPr>
        <w:spacing w:before="100" w:beforeAutospacing="1" w:after="100" w:afterAutospacing="1"/>
        <w:jc w:val="both"/>
        <w:rPr>
          <w:rFonts w:ascii="Book Antiqua" w:hAnsi="Book Antiqua"/>
        </w:rPr>
      </w:pPr>
      <w:r w:rsidRPr="00E3232D">
        <w:rPr>
          <w:rFonts w:ascii="Book Antiqua" w:hAnsi="Book Antiqua"/>
        </w:rPr>
        <w:t xml:space="preserve"> making a real and positive impact on the communities in which they operate; </w:t>
      </w:r>
    </w:p>
    <w:p w14:paraId="12DB9E82" w14:textId="77777777" w:rsidR="00B749F6" w:rsidRPr="00E3232D" w:rsidRDefault="00B749F6" w:rsidP="00196385">
      <w:pPr>
        <w:numPr>
          <w:ilvl w:val="0"/>
          <w:numId w:val="53"/>
        </w:numPr>
        <w:spacing w:before="100" w:beforeAutospacing="1" w:after="100" w:afterAutospacing="1"/>
        <w:jc w:val="both"/>
        <w:rPr>
          <w:rFonts w:ascii="Book Antiqua" w:hAnsi="Book Antiqua"/>
        </w:rPr>
      </w:pPr>
      <w:r w:rsidRPr="00E3232D">
        <w:rPr>
          <w:rFonts w:ascii="Book Antiqua" w:hAnsi="Book Antiqua"/>
        </w:rPr>
        <w:t xml:space="preserve">supporting their aspiration to become one of the most respected, trusted and admired universal global banks. </w:t>
      </w:r>
    </w:p>
    <w:p w14:paraId="0E5C9408" w14:textId="77777777" w:rsidR="00B749F6" w:rsidRPr="00E3232D" w:rsidRDefault="00B749F6" w:rsidP="00196385">
      <w:pPr>
        <w:numPr>
          <w:ilvl w:val="0"/>
          <w:numId w:val="53"/>
        </w:numPr>
        <w:spacing w:before="100" w:beforeAutospacing="1" w:after="100" w:afterAutospacing="1"/>
        <w:jc w:val="both"/>
        <w:rPr>
          <w:rFonts w:ascii="Book Antiqua" w:hAnsi="Book Antiqua"/>
        </w:rPr>
      </w:pPr>
      <w:r w:rsidRPr="00E3232D">
        <w:rPr>
          <w:rFonts w:ascii="Book Antiqua" w:hAnsi="Book Antiqua"/>
        </w:rPr>
        <w:t xml:space="preserve">enhancing Barclays brand and reputation and engaging their stakeholders and  </w:t>
      </w:r>
    </w:p>
    <w:p w14:paraId="10A7B03B" w14:textId="77777777" w:rsidR="002B3482" w:rsidRPr="00EA796D" w:rsidRDefault="00B749F6" w:rsidP="00196385">
      <w:pPr>
        <w:numPr>
          <w:ilvl w:val="0"/>
          <w:numId w:val="53"/>
        </w:numPr>
        <w:spacing w:before="100" w:beforeAutospacing="1" w:after="100" w:afterAutospacing="1"/>
        <w:jc w:val="both"/>
        <w:rPr>
          <w:rFonts w:ascii="Book Antiqua" w:hAnsi="Book Antiqua"/>
        </w:rPr>
      </w:pPr>
      <w:r w:rsidRPr="00E3232D">
        <w:rPr>
          <w:rFonts w:ascii="Book Antiqua" w:hAnsi="Book Antiqua"/>
        </w:rPr>
        <w:t xml:space="preserve">increasing colleague participation and facilitating skills development. </w:t>
      </w:r>
    </w:p>
    <w:p w14:paraId="0C207931" w14:textId="77777777" w:rsidR="00B749F6" w:rsidRPr="00E3232D" w:rsidRDefault="00B749F6" w:rsidP="00BC54B9">
      <w:pPr>
        <w:spacing w:before="100" w:beforeAutospacing="1" w:after="100" w:afterAutospacing="1"/>
        <w:jc w:val="both"/>
        <w:rPr>
          <w:rFonts w:ascii="Book Antiqua" w:hAnsi="Book Antiqua"/>
          <w:b/>
        </w:rPr>
      </w:pPr>
      <w:r w:rsidRPr="00E3232D">
        <w:rPr>
          <w:rFonts w:ascii="Book Antiqua" w:hAnsi="Book Antiqua"/>
          <w:b/>
        </w:rPr>
        <w:t>3.1.3 Guinness Ghana Breweries Limited</w:t>
      </w:r>
    </w:p>
    <w:p w14:paraId="54D5F14A" w14:textId="77777777" w:rsidR="00B749F6" w:rsidRPr="00E3232D" w:rsidRDefault="00B749F6" w:rsidP="00C810CC">
      <w:pPr>
        <w:spacing w:before="100" w:beforeAutospacing="1" w:after="100" w:afterAutospacing="1"/>
        <w:jc w:val="both"/>
        <w:rPr>
          <w:rFonts w:ascii="Book Antiqua" w:hAnsi="Book Antiqua"/>
        </w:rPr>
      </w:pPr>
      <w:r w:rsidRPr="00E3232D">
        <w:rPr>
          <w:rFonts w:ascii="Book Antiqua" w:hAnsi="Book Antiqua"/>
        </w:rPr>
        <w:t xml:space="preserve">It was shown from the research that </w:t>
      </w:r>
    </w:p>
    <w:p w14:paraId="2E968F55" w14:textId="77777777" w:rsidR="00B749F6" w:rsidRPr="00E3232D" w:rsidRDefault="00B749F6" w:rsidP="00196385">
      <w:pPr>
        <w:pStyle w:val="ListParagraph"/>
        <w:numPr>
          <w:ilvl w:val="0"/>
          <w:numId w:val="54"/>
        </w:numPr>
        <w:spacing w:before="100" w:beforeAutospacing="1" w:after="100" w:afterAutospacing="1"/>
        <w:jc w:val="both"/>
        <w:rPr>
          <w:rFonts w:ascii="Book Antiqua" w:hAnsi="Book Antiqua"/>
        </w:rPr>
      </w:pPr>
      <w:r w:rsidRPr="00E3232D">
        <w:rPr>
          <w:rFonts w:ascii="Book Antiqua" w:hAnsi="Book Antiqua"/>
        </w:rPr>
        <w:t>Guiness Ghana Breweries Limited  (GGBL) supported more than 7000 farmers and families in the North namely : Upper West and East of Ghana to improve on their skills</w:t>
      </w:r>
    </w:p>
    <w:p w14:paraId="6105757C" w14:textId="77777777" w:rsidR="00B749F6" w:rsidRPr="00E3232D" w:rsidRDefault="00B749F6" w:rsidP="00196385">
      <w:pPr>
        <w:pStyle w:val="ListParagraph"/>
        <w:numPr>
          <w:ilvl w:val="0"/>
          <w:numId w:val="54"/>
        </w:numPr>
        <w:spacing w:before="100" w:beforeAutospacing="1" w:after="100" w:afterAutospacing="1"/>
        <w:jc w:val="both"/>
        <w:rPr>
          <w:rFonts w:ascii="Book Antiqua" w:hAnsi="Book Antiqua"/>
        </w:rPr>
      </w:pPr>
      <w:r w:rsidRPr="00E3232D">
        <w:rPr>
          <w:rFonts w:ascii="Book Antiqua" w:hAnsi="Book Antiqua"/>
        </w:rPr>
        <w:t>The company also has ‘water of life programme’ which has provided 50 boreholes and water projects to more than 150,000 people across the country.</w:t>
      </w:r>
    </w:p>
    <w:p w14:paraId="29790C6F" w14:textId="77777777" w:rsidR="0059383C" w:rsidRPr="00EA796D" w:rsidRDefault="00B749F6" w:rsidP="00196385">
      <w:pPr>
        <w:pStyle w:val="ListParagraph"/>
        <w:numPr>
          <w:ilvl w:val="0"/>
          <w:numId w:val="54"/>
        </w:numPr>
        <w:spacing w:before="100" w:beforeAutospacing="1" w:after="100" w:afterAutospacing="1"/>
        <w:jc w:val="both"/>
        <w:rPr>
          <w:rFonts w:ascii="Book Antiqua" w:hAnsi="Book Antiqua"/>
        </w:rPr>
      </w:pPr>
      <w:r w:rsidRPr="00E3232D">
        <w:rPr>
          <w:rFonts w:ascii="Book Antiqua" w:hAnsi="Book Antiqua"/>
        </w:rPr>
        <w:t>The company gives education on the use of alcohol through responsible drinking campaign, interactive drink IQ training programme.</w:t>
      </w:r>
    </w:p>
    <w:p w14:paraId="23DED7DE" w14:textId="77777777" w:rsidR="00B749F6" w:rsidRPr="00E3232D" w:rsidRDefault="00B749F6" w:rsidP="00C810CC">
      <w:pPr>
        <w:spacing w:before="100" w:beforeAutospacing="1" w:after="100" w:afterAutospacing="1"/>
        <w:jc w:val="both"/>
        <w:rPr>
          <w:rFonts w:ascii="Book Antiqua" w:hAnsi="Book Antiqua"/>
          <w:b/>
        </w:rPr>
      </w:pPr>
      <w:r w:rsidRPr="00E3232D">
        <w:rPr>
          <w:rFonts w:ascii="Book Antiqua" w:hAnsi="Book Antiqua"/>
          <w:b/>
        </w:rPr>
        <w:t>3.1.4 Vanguard Assurance Limited</w:t>
      </w:r>
    </w:p>
    <w:p w14:paraId="370C1573" w14:textId="77777777" w:rsidR="00B749F6" w:rsidRPr="00E3232D" w:rsidRDefault="00B749F6" w:rsidP="00BC54B9">
      <w:pPr>
        <w:spacing w:before="100" w:beforeAutospacing="1" w:after="100" w:afterAutospacing="1"/>
        <w:jc w:val="both"/>
        <w:rPr>
          <w:rFonts w:ascii="Book Antiqua" w:hAnsi="Book Antiqua"/>
        </w:rPr>
      </w:pPr>
      <w:r w:rsidRPr="00E3232D">
        <w:rPr>
          <w:rFonts w:ascii="Book Antiqua" w:hAnsi="Book Antiqua"/>
        </w:rPr>
        <w:t>It was revealed from the research that:</w:t>
      </w:r>
    </w:p>
    <w:p w14:paraId="659FA049" w14:textId="77777777" w:rsidR="00B749F6" w:rsidRPr="00E3232D" w:rsidRDefault="00B749F6" w:rsidP="00196385">
      <w:pPr>
        <w:pStyle w:val="ListParagraph"/>
        <w:numPr>
          <w:ilvl w:val="0"/>
          <w:numId w:val="55"/>
        </w:numPr>
        <w:spacing w:before="100" w:beforeAutospacing="1" w:after="100" w:afterAutospacing="1"/>
        <w:jc w:val="both"/>
        <w:rPr>
          <w:rFonts w:ascii="Book Antiqua" w:hAnsi="Book Antiqua"/>
        </w:rPr>
      </w:pPr>
      <w:r w:rsidRPr="00E3232D">
        <w:rPr>
          <w:rFonts w:ascii="Book Antiqua" w:hAnsi="Book Antiqua"/>
        </w:rPr>
        <w:t>The company has an eye screening exercise as part of its activities in deprived communities in Ghana.</w:t>
      </w:r>
    </w:p>
    <w:p w14:paraId="37D5039C" w14:textId="77777777" w:rsidR="00B749F6" w:rsidRPr="00E3232D" w:rsidRDefault="00B749F6" w:rsidP="00196385">
      <w:pPr>
        <w:pStyle w:val="ListParagraph"/>
        <w:numPr>
          <w:ilvl w:val="0"/>
          <w:numId w:val="55"/>
        </w:numPr>
        <w:spacing w:before="100" w:beforeAutospacing="1" w:after="100" w:afterAutospacing="1"/>
        <w:jc w:val="both"/>
        <w:rPr>
          <w:rFonts w:ascii="Book Antiqua" w:hAnsi="Book Antiqua"/>
        </w:rPr>
      </w:pPr>
      <w:r w:rsidRPr="00E3232D">
        <w:rPr>
          <w:rFonts w:ascii="Book Antiqua" w:hAnsi="Book Antiqua"/>
        </w:rPr>
        <w:t>The company has a policy of building schools in communities</w:t>
      </w:r>
    </w:p>
    <w:p w14:paraId="01F85184" w14:textId="77777777" w:rsidR="00B749F6" w:rsidRPr="00E3232D" w:rsidRDefault="00B749F6" w:rsidP="00196385">
      <w:pPr>
        <w:pStyle w:val="ListParagraph"/>
        <w:numPr>
          <w:ilvl w:val="0"/>
          <w:numId w:val="55"/>
        </w:numPr>
        <w:spacing w:before="100" w:beforeAutospacing="1" w:after="100" w:afterAutospacing="1"/>
        <w:jc w:val="both"/>
        <w:rPr>
          <w:rFonts w:ascii="Book Antiqua" w:hAnsi="Book Antiqua"/>
        </w:rPr>
      </w:pPr>
      <w:r w:rsidRPr="00E3232D">
        <w:rPr>
          <w:rFonts w:ascii="Book Antiqua" w:hAnsi="Book Antiqua"/>
        </w:rPr>
        <w:t>There was also an awareness scheme for Taxi drivers</w:t>
      </w:r>
    </w:p>
    <w:p w14:paraId="2E5BE043" w14:textId="77777777" w:rsidR="00B749F6" w:rsidRPr="00E3232D" w:rsidRDefault="00B749F6" w:rsidP="00C810CC">
      <w:pPr>
        <w:spacing w:before="100" w:beforeAutospacing="1" w:after="100" w:afterAutospacing="1"/>
        <w:jc w:val="both"/>
        <w:rPr>
          <w:rFonts w:ascii="Book Antiqua" w:hAnsi="Book Antiqua"/>
          <w:b/>
        </w:rPr>
      </w:pPr>
      <w:r w:rsidRPr="00E3232D">
        <w:rPr>
          <w:rFonts w:ascii="Book Antiqua" w:hAnsi="Book Antiqua"/>
          <w:b/>
        </w:rPr>
        <w:t>3.1.5 Unilever Ghana Limited</w:t>
      </w:r>
    </w:p>
    <w:p w14:paraId="15B743BC" w14:textId="77777777" w:rsidR="00B749F6" w:rsidRPr="00E3232D" w:rsidRDefault="00B749F6" w:rsidP="00C810CC">
      <w:pPr>
        <w:spacing w:before="100" w:beforeAutospacing="1" w:after="100" w:afterAutospacing="1"/>
        <w:jc w:val="both"/>
        <w:rPr>
          <w:rFonts w:ascii="Book Antiqua" w:hAnsi="Book Antiqua"/>
        </w:rPr>
      </w:pPr>
      <w:r w:rsidRPr="00E3232D">
        <w:rPr>
          <w:rFonts w:ascii="Book Antiqua" w:hAnsi="Book Antiqua"/>
        </w:rPr>
        <w:t>The company’s CSR policies were:</w:t>
      </w:r>
    </w:p>
    <w:p w14:paraId="32AE422A" w14:textId="77777777" w:rsidR="00B749F6" w:rsidRPr="00E3232D" w:rsidRDefault="00B749F6" w:rsidP="00196385">
      <w:pPr>
        <w:pStyle w:val="ListParagraph"/>
        <w:numPr>
          <w:ilvl w:val="0"/>
          <w:numId w:val="60"/>
        </w:numPr>
        <w:spacing w:before="100" w:beforeAutospacing="1" w:after="100" w:afterAutospacing="1"/>
        <w:jc w:val="both"/>
        <w:rPr>
          <w:rFonts w:ascii="Book Antiqua" w:hAnsi="Book Antiqua"/>
        </w:rPr>
      </w:pPr>
      <w:r w:rsidRPr="00E3232D">
        <w:rPr>
          <w:rFonts w:ascii="Book Antiqua" w:hAnsi="Book Antiqua"/>
        </w:rPr>
        <w:lastRenderedPageBreak/>
        <w:t>Hygiene – encouraging proper sanitation in the communities through education programme.</w:t>
      </w:r>
    </w:p>
    <w:p w14:paraId="622D07F1" w14:textId="77777777" w:rsidR="00B749F6" w:rsidRPr="00E3232D" w:rsidRDefault="00B749F6" w:rsidP="00196385">
      <w:pPr>
        <w:pStyle w:val="ListParagraph"/>
        <w:numPr>
          <w:ilvl w:val="0"/>
          <w:numId w:val="60"/>
        </w:numPr>
        <w:spacing w:before="100" w:beforeAutospacing="1" w:after="100" w:afterAutospacing="1"/>
        <w:jc w:val="both"/>
        <w:rPr>
          <w:rFonts w:ascii="Book Antiqua" w:hAnsi="Book Antiqua"/>
        </w:rPr>
      </w:pPr>
      <w:r w:rsidRPr="00E3232D">
        <w:rPr>
          <w:rFonts w:ascii="Book Antiqua" w:hAnsi="Book Antiqua"/>
        </w:rPr>
        <w:t>Health – construction of bore holes in communities to provide potable drinking water</w:t>
      </w:r>
    </w:p>
    <w:p w14:paraId="74969BB6" w14:textId="77777777" w:rsidR="00B749F6" w:rsidRPr="00E3232D" w:rsidRDefault="00B749F6" w:rsidP="00196385">
      <w:pPr>
        <w:pStyle w:val="ListParagraph"/>
        <w:numPr>
          <w:ilvl w:val="0"/>
          <w:numId w:val="60"/>
        </w:numPr>
        <w:spacing w:before="100" w:beforeAutospacing="1" w:after="100" w:afterAutospacing="1"/>
        <w:jc w:val="both"/>
        <w:rPr>
          <w:rFonts w:ascii="Book Antiqua" w:hAnsi="Book Antiqua"/>
        </w:rPr>
      </w:pPr>
      <w:r w:rsidRPr="00E3232D">
        <w:rPr>
          <w:rFonts w:ascii="Book Antiqua" w:hAnsi="Book Antiqua"/>
        </w:rPr>
        <w:t>Empowering women in the communities</w:t>
      </w:r>
    </w:p>
    <w:p w14:paraId="50E09C4A" w14:textId="77777777" w:rsidR="00B749F6" w:rsidRPr="00E3232D" w:rsidRDefault="00B749F6" w:rsidP="00196385">
      <w:pPr>
        <w:pStyle w:val="ListParagraph"/>
        <w:numPr>
          <w:ilvl w:val="0"/>
          <w:numId w:val="60"/>
        </w:numPr>
        <w:spacing w:before="100" w:beforeAutospacing="1" w:after="100" w:afterAutospacing="1"/>
        <w:jc w:val="both"/>
        <w:rPr>
          <w:rFonts w:ascii="Book Antiqua" w:hAnsi="Book Antiqua"/>
          <w:color w:val="000000"/>
        </w:rPr>
      </w:pPr>
      <w:r w:rsidRPr="00E3232D">
        <w:rPr>
          <w:rFonts w:ascii="Book Antiqua" w:hAnsi="Book Antiqua"/>
          <w:color w:val="000000"/>
        </w:rPr>
        <w:t>Supporting World Food Programmes to help end hunger in the world.</w:t>
      </w:r>
    </w:p>
    <w:p w14:paraId="53D8906F"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 xml:space="preserve">3.2 Rationale behind the practice of CSR policies of the selected companies </w:t>
      </w:r>
    </w:p>
    <w:p w14:paraId="3629CC17"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 xml:space="preserve">The research revealed that: </w:t>
      </w:r>
    </w:p>
    <w:p w14:paraId="7C87590E" w14:textId="77777777" w:rsidR="00B749F6" w:rsidRPr="00E3232D" w:rsidRDefault="00B749F6" w:rsidP="00196385">
      <w:pPr>
        <w:pStyle w:val="ListParagraph"/>
        <w:numPr>
          <w:ilvl w:val="0"/>
          <w:numId w:val="59"/>
        </w:numPr>
        <w:autoSpaceDE w:val="0"/>
        <w:autoSpaceDN w:val="0"/>
        <w:adjustRightInd w:val="0"/>
        <w:jc w:val="both"/>
        <w:rPr>
          <w:rFonts w:ascii="Book Antiqua" w:hAnsi="Book Antiqua"/>
        </w:rPr>
      </w:pPr>
      <w:r w:rsidRPr="00E3232D">
        <w:rPr>
          <w:rFonts w:ascii="Book Antiqua" w:hAnsi="Book Antiqua"/>
        </w:rPr>
        <w:t>Stakeholder / Community Pressure forced the selected companies to practise CSR</w:t>
      </w:r>
    </w:p>
    <w:p w14:paraId="6F7071F5" w14:textId="77777777" w:rsidR="00B749F6" w:rsidRPr="00E3232D" w:rsidRDefault="00B749F6" w:rsidP="00196385">
      <w:pPr>
        <w:pStyle w:val="ListParagraph"/>
        <w:numPr>
          <w:ilvl w:val="0"/>
          <w:numId w:val="56"/>
        </w:numPr>
        <w:autoSpaceDE w:val="0"/>
        <w:autoSpaceDN w:val="0"/>
        <w:adjustRightInd w:val="0"/>
        <w:jc w:val="both"/>
        <w:rPr>
          <w:rFonts w:ascii="Book Antiqua" w:hAnsi="Book Antiqua"/>
        </w:rPr>
      </w:pPr>
      <w:r w:rsidRPr="00E3232D">
        <w:rPr>
          <w:rFonts w:ascii="Book Antiqua" w:hAnsi="Book Antiqua"/>
        </w:rPr>
        <w:t>Companies’ perception of economic benefit was also a factor in compelling the selected companies to embark on CSR.</w:t>
      </w:r>
    </w:p>
    <w:p w14:paraId="47D0B838" w14:textId="77777777" w:rsidR="00B749F6" w:rsidRPr="00EA796D" w:rsidRDefault="00B749F6" w:rsidP="00196385">
      <w:pPr>
        <w:pStyle w:val="ListParagraph"/>
        <w:numPr>
          <w:ilvl w:val="0"/>
          <w:numId w:val="56"/>
        </w:numPr>
        <w:autoSpaceDE w:val="0"/>
        <w:autoSpaceDN w:val="0"/>
        <w:adjustRightInd w:val="0"/>
        <w:jc w:val="both"/>
        <w:rPr>
          <w:rFonts w:ascii="Book Antiqua" w:hAnsi="Book Antiqua"/>
          <w:b/>
        </w:rPr>
      </w:pPr>
      <w:r w:rsidRPr="00E3232D">
        <w:rPr>
          <w:rFonts w:ascii="Book Antiqua" w:hAnsi="Book Antiqua"/>
        </w:rPr>
        <w:t>Social and Environmental values or policies of the companies compel them to adopt CSR policies.</w:t>
      </w:r>
    </w:p>
    <w:p w14:paraId="2D380BB2"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3.3 CSR policies and their outcome</w:t>
      </w:r>
    </w:p>
    <w:p w14:paraId="5A256CDA" w14:textId="77777777" w:rsidR="00B749F6" w:rsidRDefault="00B749F6" w:rsidP="00C810CC">
      <w:pPr>
        <w:autoSpaceDE w:val="0"/>
        <w:autoSpaceDN w:val="0"/>
        <w:adjustRightInd w:val="0"/>
        <w:jc w:val="both"/>
        <w:rPr>
          <w:rFonts w:ascii="Book Antiqua" w:hAnsi="Book Antiqua"/>
        </w:rPr>
      </w:pPr>
      <w:r w:rsidRPr="00E3232D">
        <w:rPr>
          <w:rFonts w:ascii="Book Antiqua" w:hAnsi="Book Antiqua"/>
        </w:rPr>
        <w:t>The table below shows the present CSR policies of the selected companies and their outcome.</w:t>
      </w:r>
    </w:p>
    <w:p w14:paraId="68CDC215" w14:textId="77777777" w:rsidR="001B1B96" w:rsidRDefault="001B1B96" w:rsidP="00C810CC">
      <w:pPr>
        <w:autoSpaceDE w:val="0"/>
        <w:autoSpaceDN w:val="0"/>
        <w:adjustRightInd w:val="0"/>
        <w:jc w:val="both"/>
        <w:rPr>
          <w:rFonts w:ascii="Book Antiqua" w:hAnsi="Book Antiqua"/>
        </w:rPr>
      </w:pPr>
    </w:p>
    <w:p w14:paraId="389B8622" w14:textId="77777777" w:rsidR="001B1B96" w:rsidRDefault="001B1B96" w:rsidP="00C810CC">
      <w:pPr>
        <w:autoSpaceDE w:val="0"/>
        <w:autoSpaceDN w:val="0"/>
        <w:adjustRightInd w:val="0"/>
        <w:jc w:val="both"/>
        <w:rPr>
          <w:rFonts w:ascii="Book Antiqua" w:hAnsi="Book Antiqua"/>
        </w:rPr>
      </w:pPr>
    </w:p>
    <w:p w14:paraId="41758C69" w14:textId="77777777" w:rsidR="001B1B96" w:rsidRPr="00E3232D" w:rsidRDefault="001B1B96" w:rsidP="00C810CC">
      <w:pPr>
        <w:autoSpaceDE w:val="0"/>
        <w:autoSpaceDN w:val="0"/>
        <w:adjustRightInd w:val="0"/>
        <w:jc w:val="both"/>
        <w:rPr>
          <w:rFonts w:ascii="Book Antiqua" w:hAnsi="Book Antiqua"/>
        </w:rPr>
      </w:pPr>
    </w:p>
    <w:tbl>
      <w:tblPr>
        <w:tblW w:w="0" w:type="auto"/>
        <w:tblLook w:val="04A0" w:firstRow="1" w:lastRow="0" w:firstColumn="1" w:lastColumn="0" w:noHBand="0" w:noVBand="1"/>
      </w:tblPr>
      <w:tblGrid>
        <w:gridCol w:w="1156"/>
        <w:gridCol w:w="1580"/>
        <w:gridCol w:w="1633"/>
      </w:tblGrid>
      <w:tr w:rsidR="00B749F6" w:rsidRPr="00D12E59" w14:paraId="7CA1869E" w14:textId="77777777" w:rsidTr="00EA19E3">
        <w:trPr>
          <w:trHeight w:val="872"/>
        </w:trPr>
        <w:tc>
          <w:tcPr>
            <w:tcW w:w="1915" w:type="dxa"/>
            <w:tcBorders>
              <w:top w:val="single" w:sz="4" w:space="0" w:color="auto"/>
              <w:bottom w:val="single" w:sz="4" w:space="0" w:color="auto"/>
            </w:tcBorders>
          </w:tcPr>
          <w:p w14:paraId="55986B9D" w14:textId="77777777" w:rsidR="00B749F6" w:rsidRPr="00D12E59" w:rsidRDefault="00B749F6" w:rsidP="00EA796D">
            <w:pPr>
              <w:autoSpaceDE w:val="0"/>
              <w:autoSpaceDN w:val="0"/>
              <w:adjustRightInd w:val="0"/>
              <w:spacing w:after="0" w:line="240" w:lineRule="auto"/>
              <w:rPr>
                <w:rFonts w:ascii="Book Antiqua" w:hAnsi="Book Antiqua"/>
                <w:b/>
              </w:rPr>
            </w:pPr>
          </w:p>
          <w:p w14:paraId="53654D36" w14:textId="77777777" w:rsidR="00B749F6" w:rsidRPr="00D12E59" w:rsidRDefault="00B749F6" w:rsidP="00EA796D">
            <w:pPr>
              <w:autoSpaceDE w:val="0"/>
              <w:autoSpaceDN w:val="0"/>
              <w:adjustRightInd w:val="0"/>
              <w:spacing w:after="0" w:line="240" w:lineRule="auto"/>
              <w:rPr>
                <w:rFonts w:ascii="Book Antiqua" w:hAnsi="Book Antiqua"/>
                <w:b/>
              </w:rPr>
            </w:pPr>
            <w:r w:rsidRPr="00D12E59">
              <w:rPr>
                <w:rFonts w:ascii="Book Antiqua" w:hAnsi="Book Antiqua"/>
                <w:b/>
              </w:rPr>
              <w:t>Company</w:t>
            </w:r>
          </w:p>
        </w:tc>
        <w:tc>
          <w:tcPr>
            <w:tcW w:w="3233" w:type="dxa"/>
            <w:tcBorders>
              <w:top w:val="single" w:sz="4" w:space="0" w:color="auto"/>
              <w:bottom w:val="single" w:sz="4" w:space="0" w:color="auto"/>
            </w:tcBorders>
          </w:tcPr>
          <w:p w14:paraId="704FEF06" w14:textId="77777777" w:rsidR="00B749F6" w:rsidRPr="00D12E59" w:rsidRDefault="00B749F6" w:rsidP="00EA796D">
            <w:pPr>
              <w:autoSpaceDE w:val="0"/>
              <w:autoSpaceDN w:val="0"/>
              <w:adjustRightInd w:val="0"/>
              <w:spacing w:after="0" w:line="240" w:lineRule="auto"/>
              <w:rPr>
                <w:rFonts w:ascii="Book Antiqua" w:hAnsi="Book Antiqua"/>
                <w:b/>
              </w:rPr>
            </w:pPr>
            <w:r w:rsidRPr="00D12E59">
              <w:rPr>
                <w:rFonts w:ascii="Book Antiqua" w:hAnsi="Book Antiqua"/>
                <w:b/>
              </w:rPr>
              <w:t xml:space="preserve">            Present </w:t>
            </w:r>
          </w:p>
          <w:p w14:paraId="4591B449" w14:textId="77777777" w:rsidR="00B749F6" w:rsidRPr="00D12E59" w:rsidRDefault="00B749F6" w:rsidP="00EA796D">
            <w:pPr>
              <w:autoSpaceDE w:val="0"/>
              <w:autoSpaceDN w:val="0"/>
              <w:adjustRightInd w:val="0"/>
              <w:spacing w:after="0" w:line="240" w:lineRule="auto"/>
              <w:rPr>
                <w:rFonts w:ascii="Book Antiqua" w:hAnsi="Book Antiqua"/>
                <w:b/>
              </w:rPr>
            </w:pPr>
            <w:r w:rsidRPr="00D12E59">
              <w:rPr>
                <w:rFonts w:ascii="Book Antiqua" w:hAnsi="Book Antiqua"/>
                <w:b/>
              </w:rPr>
              <w:t xml:space="preserve">            Projects</w:t>
            </w:r>
          </w:p>
        </w:tc>
        <w:tc>
          <w:tcPr>
            <w:tcW w:w="3600" w:type="dxa"/>
            <w:tcBorders>
              <w:top w:val="single" w:sz="4" w:space="0" w:color="auto"/>
              <w:bottom w:val="single" w:sz="4" w:space="0" w:color="auto"/>
            </w:tcBorders>
          </w:tcPr>
          <w:p w14:paraId="01BE3F26" w14:textId="77777777" w:rsidR="00B749F6" w:rsidRPr="00D12E59" w:rsidRDefault="00B749F6" w:rsidP="00EA796D">
            <w:pPr>
              <w:autoSpaceDE w:val="0"/>
              <w:autoSpaceDN w:val="0"/>
              <w:adjustRightInd w:val="0"/>
              <w:spacing w:after="0" w:line="240" w:lineRule="auto"/>
              <w:rPr>
                <w:rFonts w:ascii="Book Antiqua" w:hAnsi="Book Antiqua"/>
                <w:b/>
              </w:rPr>
            </w:pPr>
          </w:p>
          <w:p w14:paraId="7A89341F" w14:textId="77777777" w:rsidR="00B749F6" w:rsidRPr="00D12E59" w:rsidRDefault="00B749F6" w:rsidP="00EA796D">
            <w:pPr>
              <w:autoSpaceDE w:val="0"/>
              <w:autoSpaceDN w:val="0"/>
              <w:adjustRightInd w:val="0"/>
              <w:spacing w:after="0" w:line="240" w:lineRule="auto"/>
              <w:rPr>
                <w:rFonts w:ascii="Book Antiqua" w:hAnsi="Book Antiqua"/>
                <w:b/>
              </w:rPr>
            </w:pPr>
            <w:r w:rsidRPr="00D12E59">
              <w:rPr>
                <w:rFonts w:ascii="Book Antiqua" w:hAnsi="Book Antiqua"/>
                <w:b/>
              </w:rPr>
              <w:t xml:space="preserve">           Outcome</w:t>
            </w:r>
          </w:p>
        </w:tc>
      </w:tr>
      <w:tr w:rsidR="00B749F6" w:rsidRPr="00D12E59" w14:paraId="57CF0A1E" w14:textId="77777777" w:rsidTr="00EA19E3">
        <w:trPr>
          <w:trHeight w:val="935"/>
        </w:trPr>
        <w:tc>
          <w:tcPr>
            <w:tcW w:w="1915" w:type="dxa"/>
            <w:tcBorders>
              <w:top w:val="single" w:sz="4" w:space="0" w:color="auto"/>
            </w:tcBorders>
          </w:tcPr>
          <w:p w14:paraId="5BB647D1"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Vodafone</w:t>
            </w:r>
          </w:p>
        </w:tc>
        <w:tc>
          <w:tcPr>
            <w:tcW w:w="3233" w:type="dxa"/>
            <w:tcBorders>
              <w:top w:val="single" w:sz="4" w:space="0" w:color="auto"/>
            </w:tcBorders>
          </w:tcPr>
          <w:p w14:paraId="7AEE16D5"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1.Healthline</w:t>
            </w:r>
          </w:p>
        </w:tc>
        <w:tc>
          <w:tcPr>
            <w:tcW w:w="3600" w:type="dxa"/>
            <w:tcBorders>
              <w:top w:val="single" w:sz="4" w:space="0" w:color="auto"/>
            </w:tcBorders>
          </w:tcPr>
          <w:p w14:paraId="1AEED787"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1.Financial support to people who were sick and poor</w:t>
            </w:r>
          </w:p>
        </w:tc>
      </w:tr>
      <w:tr w:rsidR="00B749F6" w:rsidRPr="00D12E59" w14:paraId="3D56523B" w14:textId="77777777" w:rsidTr="00EA19E3">
        <w:trPr>
          <w:trHeight w:val="980"/>
        </w:trPr>
        <w:tc>
          <w:tcPr>
            <w:tcW w:w="1915" w:type="dxa"/>
          </w:tcPr>
          <w:p w14:paraId="3CC403F4"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GGBL</w:t>
            </w:r>
          </w:p>
        </w:tc>
        <w:tc>
          <w:tcPr>
            <w:tcW w:w="3233" w:type="dxa"/>
          </w:tcPr>
          <w:p w14:paraId="46D8866D"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1.Water of life program</w:t>
            </w:r>
          </w:p>
        </w:tc>
        <w:tc>
          <w:tcPr>
            <w:tcW w:w="3600" w:type="dxa"/>
          </w:tcPr>
          <w:p w14:paraId="7BA9D4D1"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1.Benefitted 100,000 people across the ten regions with potable water</w:t>
            </w:r>
          </w:p>
        </w:tc>
      </w:tr>
      <w:tr w:rsidR="00B749F6" w:rsidRPr="00D12E59" w14:paraId="4AD32DCA" w14:textId="77777777" w:rsidTr="00EA19E3">
        <w:trPr>
          <w:trHeight w:val="890"/>
        </w:trPr>
        <w:tc>
          <w:tcPr>
            <w:tcW w:w="1915" w:type="dxa"/>
          </w:tcPr>
          <w:p w14:paraId="339D8876"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Unilever</w:t>
            </w:r>
          </w:p>
        </w:tc>
        <w:tc>
          <w:tcPr>
            <w:tcW w:w="3233" w:type="dxa"/>
          </w:tcPr>
          <w:p w14:paraId="3D88E757"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1.Health,</w:t>
            </w:r>
          </w:p>
          <w:p w14:paraId="481FD197"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 xml:space="preserve">Hygiene and women empowerment </w:t>
            </w:r>
          </w:p>
        </w:tc>
        <w:tc>
          <w:tcPr>
            <w:tcW w:w="3600" w:type="dxa"/>
          </w:tcPr>
          <w:p w14:paraId="07B877A8"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 Improved sanitation and is still working on women empowerment.</w:t>
            </w:r>
          </w:p>
        </w:tc>
      </w:tr>
      <w:tr w:rsidR="00B749F6" w:rsidRPr="00D12E59" w14:paraId="594C57DD" w14:textId="77777777" w:rsidTr="00EA19E3">
        <w:trPr>
          <w:trHeight w:val="980"/>
        </w:trPr>
        <w:tc>
          <w:tcPr>
            <w:tcW w:w="1915" w:type="dxa"/>
          </w:tcPr>
          <w:p w14:paraId="22907C58"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Vanguard</w:t>
            </w:r>
          </w:p>
        </w:tc>
        <w:tc>
          <w:tcPr>
            <w:tcW w:w="3233" w:type="dxa"/>
          </w:tcPr>
          <w:p w14:paraId="1BFF0D45"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1.Donation of books to university students</w:t>
            </w:r>
          </w:p>
        </w:tc>
        <w:tc>
          <w:tcPr>
            <w:tcW w:w="3600" w:type="dxa"/>
          </w:tcPr>
          <w:p w14:paraId="22ACC69E"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1.Improved academic activities at the universities</w:t>
            </w:r>
          </w:p>
        </w:tc>
      </w:tr>
      <w:tr w:rsidR="00B749F6" w:rsidRPr="00D12E59" w14:paraId="22C1C7DB" w14:textId="77777777" w:rsidTr="00EA19E3">
        <w:trPr>
          <w:trHeight w:val="980"/>
        </w:trPr>
        <w:tc>
          <w:tcPr>
            <w:tcW w:w="1915" w:type="dxa"/>
            <w:tcBorders>
              <w:bottom w:val="single" w:sz="4" w:space="0" w:color="auto"/>
            </w:tcBorders>
          </w:tcPr>
          <w:p w14:paraId="60D3A987"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Barclays</w:t>
            </w:r>
          </w:p>
        </w:tc>
        <w:tc>
          <w:tcPr>
            <w:tcW w:w="3233" w:type="dxa"/>
            <w:tcBorders>
              <w:bottom w:val="single" w:sz="4" w:space="0" w:color="auto"/>
            </w:tcBorders>
          </w:tcPr>
          <w:p w14:paraId="331B7DA1"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1.Financial Literacy program</w:t>
            </w:r>
          </w:p>
        </w:tc>
        <w:tc>
          <w:tcPr>
            <w:tcW w:w="3600" w:type="dxa"/>
            <w:tcBorders>
              <w:bottom w:val="single" w:sz="4" w:space="0" w:color="auto"/>
            </w:tcBorders>
          </w:tcPr>
          <w:p w14:paraId="40AF5E4F" w14:textId="77777777" w:rsidR="00B749F6" w:rsidRPr="00D12E59" w:rsidRDefault="00B749F6" w:rsidP="00EA796D">
            <w:pPr>
              <w:autoSpaceDE w:val="0"/>
              <w:autoSpaceDN w:val="0"/>
              <w:adjustRightInd w:val="0"/>
              <w:spacing w:after="0" w:line="240" w:lineRule="auto"/>
              <w:rPr>
                <w:rFonts w:ascii="Book Antiqua" w:hAnsi="Book Antiqua"/>
              </w:rPr>
            </w:pPr>
            <w:r w:rsidRPr="00D12E59">
              <w:rPr>
                <w:rFonts w:ascii="Book Antiqua" w:hAnsi="Book Antiqua"/>
              </w:rPr>
              <w:t>1.Educated the public on basic financial management.</w:t>
            </w:r>
          </w:p>
        </w:tc>
      </w:tr>
    </w:tbl>
    <w:p w14:paraId="7F1CD726" w14:textId="77777777" w:rsidR="00B749F6" w:rsidRPr="00E3232D" w:rsidRDefault="00B749F6" w:rsidP="00EA796D">
      <w:pPr>
        <w:autoSpaceDE w:val="0"/>
        <w:autoSpaceDN w:val="0"/>
        <w:adjustRightInd w:val="0"/>
        <w:spacing w:after="0"/>
        <w:rPr>
          <w:rFonts w:ascii="Book Antiqua" w:hAnsi="Book Antiqua"/>
        </w:rPr>
      </w:pPr>
      <w:r w:rsidRPr="00E3232D">
        <w:rPr>
          <w:rFonts w:ascii="Book Antiqua" w:hAnsi="Book Antiqua"/>
        </w:rPr>
        <w:t>Source: Field survey,2012.</w:t>
      </w:r>
    </w:p>
    <w:p w14:paraId="1076CEA9" w14:textId="77777777" w:rsidR="00EA796D" w:rsidRDefault="00EA796D" w:rsidP="00C810CC">
      <w:pPr>
        <w:autoSpaceDE w:val="0"/>
        <w:autoSpaceDN w:val="0"/>
        <w:adjustRightInd w:val="0"/>
        <w:jc w:val="both"/>
        <w:rPr>
          <w:rFonts w:ascii="Book Antiqua" w:hAnsi="Book Antiqua"/>
          <w:b/>
        </w:rPr>
      </w:pPr>
    </w:p>
    <w:p w14:paraId="38E2D4A1"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 xml:space="preserve">4.0 </w:t>
      </w:r>
      <w:r w:rsidRPr="00C810CC">
        <w:rPr>
          <w:rFonts w:ascii="Book Antiqua" w:hAnsi="Book Antiqua"/>
          <w:b/>
          <w:sz w:val="26"/>
        </w:rPr>
        <w:t>Discussions</w:t>
      </w:r>
    </w:p>
    <w:p w14:paraId="7103F6E8" w14:textId="77777777" w:rsidR="000B4A9B" w:rsidRPr="00EA796D" w:rsidRDefault="00B749F6" w:rsidP="00C810CC">
      <w:pPr>
        <w:autoSpaceDE w:val="0"/>
        <w:autoSpaceDN w:val="0"/>
        <w:adjustRightInd w:val="0"/>
        <w:jc w:val="both"/>
        <w:rPr>
          <w:rFonts w:ascii="Book Antiqua" w:hAnsi="Book Antiqua"/>
        </w:rPr>
      </w:pPr>
      <w:r w:rsidRPr="00E3232D">
        <w:rPr>
          <w:rFonts w:ascii="Book Antiqua" w:hAnsi="Book Antiqua"/>
        </w:rPr>
        <w:t xml:space="preserve">This section discusses the results from the study </w:t>
      </w:r>
    </w:p>
    <w:p w14:paraId="40241AFE"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4.1 Discussion on the CSR policies of the selected companies.</w:t>
      </w:r>
    </w:p>
    <w:p w14:paraId="442C4DBA" w14:textId="77777777" w:rsidR="000B4A9B" w:rsidRPr="00E3232D" w:rsidRDefault="00B749F6" w:rsidP="00C810CC">
      <w:pPr>
        <w:autoSpaceDE w:val="0"/>
        <w:autoSpaceDN w:val="0"/>
        <w:adjustRightInd w:val="0"/>
        <w:jc w:val="both"/>
        <w:rPr>
          <w:rFonts w:ascii="Book Antiqua" w:hAnsi="Book Antiqua"/>
        </w:rPr>
      </w:pPr>
      <w:r w:rsidRPr="00E3232D">
        <w:rPr>
          <w:rFonts w:ascii="Book Antiqua" w:hAnsi="Book Antiqua"/>
        </w:rPr>
        <w:t xml:space="preserve">The research revealed that all the selected companies have strong CSR policies towards the development of the various </w:t>
      </w:r>
      <w:r w:rsidRPr="00E3232D">
        <w:rPr>
          <w:rFonts w:ascii="Book Antiqua" w:hAnsi="Book Antiqua"/>
        </w:rPr>
        <w:lastRenderedPageBreak/>
        <w:t xml:space="preserve">communities in the regions of the country apart from the policies of the organizations. It demonstrates how companies are developing the communities they are operating.  </w:t>
      </w:r>
    </w:p>
    <w:p w14:paraId="72AEAF09" w14:textId="77777777" w:rsidR="00B749F6" w:rsidRPr="00E3232D" w:rsidRDefault="00B749F6" w:rsidP="00196385">
      <w:pPr>
        <w:pStyle w:val="ListParagraph"/>
        <w:numPr>
          <w:ilvl w:val="1"/>
          <w:numId w:val="58"/>
        </w:numPr>
        <w:autoSpaceDE w:val="0"/>
        <w:autoSpaceDN w:val="0"/>
        <w:adjustRightInd w:val="0"/>
        <w:jc w:val="both"/>
        <w:rPr>
          <w:rFonts w:ascii="Book Antiqua" w:hAnsi="Book Antiqua"/>
          <w:b/>
        </w:rPr>
      </w:pPr>
      <w:r w:rsidRPr="00E3232D">
        <w:rPr>
          <w:rFonts w:ascii="Book Antiqua" w:hAnsi="Book Antiqua"/>
          <w:b/>
        </w:rPr>
        <w:t>Discussion on the rationale behind the practice of CSR policies.</w:t>
      </w:r>
    </w:p>
    <w:p w14:paraId="327DDDA3"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 xml:space="preserve"> It was observed that community pressure was a factor that forced the selected companies to engage in CSR. The revelation was in consonance with Waddock (2004) who posited that public pressure has shown to be changing corporate behaviour of organizations.</w:t>
      </w:r>
    </w:p>
    <w:p w14:paraId="21AC8950"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There was also the issue of managers’ perception of economic benefit where the decision of managers’ perception of economic benefit of CSR activities played an important role in their decision to adopt CSR. The perception of the managers were in consistent with the research findings of Tina (2002) who disclosed that, CSR has become a corporate strategy for many large multinational because negative publicity was observed to be affecting their brand names.</w:t>
      </w:r>
    </w:p>
    <w:p w14:paraId="731C8665" w14:textId="77777777" w:rsidR="00B749F6" w:rsidRPr="00EA796D" w:rsidRDefault="00B749F6" w:rsidP="00C810CC">
      <w:pPr>
        <w:autoSpaceDE w:val="0"/>
        <w:autoSpaceDN w:val="0"/>
        <w:adjustRightInd w:val="0"/>
        <w:jc w:val="both"/>
        <w:rPr>
          <w:rFonts w:ascii="Book Antiqua" w:hAnsi="Book Antiqua"/>
        </w:rPr>
      </w:pPr>
      <w:r w:rsidRPr="00E3232D">
        <w:rPr>
          <w:rFonts w:ascii="Book Antiqua" w:hAnsi="Book Antiqua"/>
        </w:rPr>
        <w:t>The policies of corporate entities to give back to communities, customers as well as the general public also motivated the selected companies to embark on CSR policies.</w:t>
      </w:r>
    </w:p>
    <w:p w14:paraId="285CC3B5"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4.3 CSR policies and their outcome</w:t>
      </w:r>
    </w:p>
    <w:p w14:paraId="09CCC9B4"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 xml:space="preserve">The activities of the companies had shown that companies concentrate more on </w:t>
      </w:r>
      <w:r w:rsidRPr="00E3232D">
        <w:rPr>
          <w:rFonts w:ascii="Book Antiqua" w:hAnsi="Book Antiqua"/>
        </w:rPr>
        <w:t>community based activities as part of their CSR policies.</w:t>
      </w:r>
    </w:p>
    <w:p w14:paraId="1062B4CB" w14:textId="77777777" w:rsidR="000B4A9B" w:rsidRDefault="00B749F6" w:rsidP="00C810CC">
      <w:pPr>
        <w:autoSpaceDE w:val="0"/>
        <w:autoSpaceDN w:val="0"/>
        <w:adjustRightInd w:val="0"/>
        <w:jc w:val="both"/>
        <w:rPr>
          <w:rFonts w:ascii="Book Antiqua" w:hAnsi="Book Antiqua"/>
        </w:rPr>
      </w:pPr>
      <w:r w:rsidRPr="00E3232D">
        <w:rPr>
          <w:rFonts w:ascii="Book Antiqua" w:hAnsi="Book Antiqua"/>
        </w:rPr>
        <w:t>It was observed from the collected data that Vodafone has a policy of helping people in the deprived communities who were affected with some degrees of ailment without any finance to take care of themselves.</w:t>
      </w:r>
    </w:p>
    <w:p w14:paraId="35BE7E47"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GGBL has also supported as many as 10,000 Ghanaians in deprived communities across the ten regions of the country with potable water.</w:t>
      </w:r>
    </w:p>
    <w:p w14:paraId="67FF3BEA"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Unilever Ghana Limited has also improved sanitation conditions across the regions in the country through their policies on hygiene and sanitation.</w:t>
      </w:r>
    </w:p>
    <w:p w14:paraId="45AA5CD8" w14:textId="77777777" w:rsidR="000B4A9B" w:rsidRDefault="00B749F6" w:rsidP="00EA796D">
      <w:pPr>
        <w:autoSpaceDE w:val="0"/>
        <w:autoSpaceDN w:val="0"/>
        <w:adjustRightInd w:val="0"/>
        <w:jc w:val="both"/>
        <w:rPr>
          <w:rFonts w:ascii="Book Antiqua" w:hAnsi="Book Antiqua"/>
        </w:rPr>
      </w:pPr>
      <w:r w:rsidRPr="00E3232D">
        <w:rPr>
          <w:rFonts w:ascii="Book Antiqua" w:hAnsi="Book Antiqua"/>
        </w:rPr>
        <w:t>Vanguard Assurance Limited has also helped in academic activities at the various universities in the country through the donation of books to help uplift academic activities.</w:t>
      </w:r>
    </w:p>
    <w:p w14:paraId="33B8A655"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Barclays Bank Ghana has helped in educating the general public on basic financial management to the general public.</w:t>
      </w:r>
    </w:p>
    <w:p w14:paraId="4DD1D8E1" w14:textId="77777777" w:rsidR="00C452BC" w:rsidRPr="00EA796D" w:rsidRDefault="00B749F6" w:rsidP="00EA796D">
      <w:pPr>
        <w:autoSpaceDE w:val="0"/>
        <w:autoSpaceDN w:val="0"/>
        <w:adjustRightInd w:val="0"/>
        <w:jc w:val="both"/>
        <w:rPr>
          <w:rFonts w:ascii="Book Antiqua" w:hAnsi="Book Antiqua"/>
        </w:rPr>
      </w:pPr>
      <w:r w:rsidRPr="00E3232D">
        <w:rPr>
          <w:rFonts w:ascii="Book Antiqua" w:hAnsi="Book Antiqua"/>
        </w:rPr>
        <w:t xml:space="preserve">The policies of the selected companies and the outcome of their CSR activities have demonstrated that companies were using CSR policies as a tool in creating a positive picture about themselves to the general public while reducing the problems that confront the society. This is in consonance with the findings of Fox et al ( 2002) who revealed that companies must provide a framework which will encourage business activities and minimize social and </w:t>
      </w:r>
      <w:r w:rsidRPr="00E3232D">
        <w:rPr>
          <w:rFonts w:ascii="Book Antiqua" w:hAnsi="Book Antiqua"/>
        </w:rPr>
        <w:lastRenderedPageBreak/>
        <w:t xml:space="preserve">negative impacts on communities that they operate. </w:t>
      </w:r>
    </w:p>
    <w:p w14:paraId="067A0CF4"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Implications</w:t>
      </w:r>
    </w:p>
    <w:p w14:paraId="134F9E9F" w14:textId="77777777" w:rsidR="00B749F6" w:rsidRPr="00E3232D" w:rsidRDefault="00B749F6" w:rsidP="00196385">
      <w:pPr>
        <w:pStyle w:val="ListParagraph"/>
        <w:numPr>
          <w:ilvl w:val="0"/>
          <w:numId w:val="61"/>
        </w:numPr>
        <w:autoSpaceDE w:val="0"/>
        <w:autoSpaceDN w:val="0"/>
        <w:adjustRightInd w:val="0"/>
        <w:jc w:val="both"/>
        <w:rPr>
          <w:rFonts w:ascii="Book Antiqua" w:hAnsi="Book Antiqua"/>
        </w:rPr>
      </w:pPr>
      <w:r w:rsidRPr="00E3232D">
        <w:rPr>
          <w:rFonts w:ascii="Book Antiqua" w:hAnsi="Book Antiqua"/>
        </w:rPr>
        <w:t>CSR as concept must be made a policy and a law which could be under the ministry of trade and industry serving as its department.</w:t>
      </w:r>
    </w:p>
    <w:p w14:paraId="7084F327" w14:textId="77777777" w:rsidR="00B749F6" w:rsidRPr="00E3232D" w:rsidRDefault="00B749F6" w:rsidP="00196385">
      <w:pPr>
        <w:pStyle w:val="ListParagraph"/>
        <w:numPr>
          <w:ilvl w:val="0"/>
          <w:numId w:val="61"/>
        </w:numPr>
        <w:autoSpaceDE w:val="0"/>
        <w:autoSpaceDN w:val="0"/>
        <w:adjustRightInd w:val="0"/>
        <w:jc w:val="both"/>
        <w:rPr>
          <w:rFonts w:ascii="Book Antiqua" w:hAnsi="Book Antiqua"/>
        </w:rPr>
      </w:pPr>
      <w:r w:rsidRPr="00E3232D">
        <w:rPr>
          <w:rFonts w:ascii="Book Antiqua" w:hAnsi="Book Antiqua"/>
        </w:rPr>
        <w:t>Institutions must also introduce CSR as a course for it to be treated as pure academic discipline, so as to train experts in the area of CSR.</w:t>
      </w:r>
    </w:p>
    <w:p w14:paraId="3771249E" w14:textId="77777777" w:rsidR="00B749F6" w:rsidRPr="00EA796D" w:rsidRDefault="00B749F6" w:rsidP="00196385">
      <w:pPr>
        <w:pStyle w:val="ListParagraph"/>
        <w:numPr>
          <w:ilvl w:val="0"/>
          <w:numId w:val="61"/>
        </w:numPr>
        <w:autoSpaceDE w:val="0"/>
        <w:autoSpaceDN w:val="0"/>
        <w:adjustRightInd w:val="0"/>
        <w:jc w:val="both"/>
        <w:rPr>
          <w:rFonts w:ascii="Book Antiqua" w:hAnsi="Book Antiqua"/>
        </w:rPr>
      </w:pPr>
      <w:r w:rsidRPr="00E3232D">
        <w:rPr>
          <w:rFonts w:ascii="Book Antiqua" w:hAnsi="Book Antiqua"/>
        </w:rPr>
        <w:t xml:space="preserve">Institutions must also collaborate with the multinational companies by sending students on attachment in learning certain appropriate practices from other places on different global operations towards CSR polices. </w:t>
      </w:r>
    </w:p>
    <w:p w14:paraId="0A968836" w14:textId="77777777" w:rsidR="00B749F6" w:rsidRPr="00E3232D" w:rsidRDefault="00B749F6" w:rsidP="00C810CC">
      <w:pPr>
        <w:autoSpaceDE w:val="0"/>
        <w:autoSpaceDN w:val="0"/>
        <w:adjustRightInd w:val="0"/>
        <w:jc w:val="both"/>
        <w:rPr>
          <w:rFonts w:ascii="Book Antiqua" w:hAnsi="Book Antiqua"/>
          <w:b/>
        </w:rPr>
      </w:pPr>
      <w:r w:rsidRPr="00E3232D">
        <w:rPr>
          <w:rFonts w:ascii="Book Antiqua" w:hAnsi="Book Antiqua"/>
          <w:b/>
        </w:rPr>
        <w:t xml:space="preserve">5.0 </w:t>
      </w:r>
      <w:r w:rsidRPr="00C810CC">
        <w:rPr>
          <w:rFonts w:ascii="Book Antiqua" w:hAnsi="Book Antiqua"/>
          <w:b/>
          <w:sz w:val="26"/>
        </w:rPr>
        <w:t>Conclusion</w:t>
      </w:r>
    </w:p>
    <w:p w14:paraId="4BF425AE" w14:textId="77777777" w:rsidR="00B749F6" w:rsidRPr="00E3232D" w:rsidRDefault="00B749F6" w:rsidP="00C810CC">
      <w:pPr>
        <w:autoSpaceDE w:val="0"/>
        <w:autoSpaceDN w:val="0"/>
        <w:adjustRightInd w:val="0"/>
        <w:jc w:val="both"/>
        <w:rPr>
          <w:rFonts w:ascii="Book Antiqua" w:hAnsi="Book Antiqua"/>
        </w:rPr>
      </w:pPr>
      <w:r w:rsidRPr="00E3232D">
        <w:rPr>
          <w:rFonts w:ascii="Book Antiqua" w:hAnsi="Book Antiqua"/>
        </w:rPr>
        <w:t>The study concluded that:</w:t>
      </w:r>
    </w:p>
    <w:p w14:paraId="7056688A" w14:textId="77777777" w:rsidR="00B749F6" w:rsidRPr="00E3232D" w:rsidRDefault="00B749F6" w:rsidP="00196385">
      <w:pPr>
        <w:pStyle w:val="ListParagraph"/>
        <w:numPr>
          <w:ilvl w:val="0"/>
          <w:numId w:val="57"/>
        </w:numPr>
        <w:autoSpaceDE w:val="0"/>
        <w:autoSpaceDN w:val="0"/>
        <w:adjustRightInd w:val="0"/>
        <w:jc w:val="both"/>
        <w:rPr>
          <w:rFonts w:ascii="Book Antiqua" w:hAnsi="Book Antiqua"/>
        </w:rPr>
      </w:pPr>
      <w:r w:rsidRPr="00E3232D">
        <w:rPr>
          <w:rFonts w:ascii="Book Antiqua" w:hAnsi="Book Antiqua"/>
        </w:rPr>
        <w:t>CSR guidelines and laws are needed to eliminate some imbalances in the practice of CSR among the selected companies and other companies in the country.</w:t>
      </w:r>
    </w:p>
    <w:p w14:paraId="3DF5584A" w14:textId="77777777" w:rsidR="00B749F6" w:rsidRPr="00E3232D" w:rsidRDefault="00B749F6" w:rsidP="00196385">
      <w:pPr>
        <w:pStyle w:val="ListParagraph"/>
        <w:numPr>
          <w:ilvl w:val="0"/>
          <w:numId w:val="57"/>
        </w:numPr>
        <w:autoSpaceDE w:val="0"/>
        <w:autoSpaceDN w:val="0"/>
        <w:adjustRightInd w:val="0"/>
        <w:jc w:val="both"/>
        <w:rPr>
          <w:rFonts w:ascii="Book Antiqua" w:hAnsi="Book Antiqua"/>
        </w:rPr>
      </w:pPr>
      <w:r w:rsidRPr="00E3232D">
        <w:rPr>
          <w:rFonts w:ascii="Book Antiqua" w:hAnsi="Book Antiqua"/>
        </w:rPr>
        <w:t>Responses of managers from the selected organizations most especially the multinationals revealed that all the selected multinationals had standardized CSR policies from their parent companies outside the country.</w:t>
      </w:r>
    </w:p>
    <w:p w14:paraId="0848E6ED" w14:textId="77777777" w:rsidR="00B749F6" w:rsidRPr="00E3232D" w:rsidRDefault="00B749F6" w:rsidP="00196385">
      <w:pPr>
        <w:pStyle w:val="ListParagraph"/>
        <w:numPr>
          <w:ilvl w:val="0"/>
          <w:numId w:val="57"/>
        </w:numPr>
        <w:autoSpaceDE w:val="0"/>
        <w:autoSpaceDN w:val="0"/>
        <w:adjustRightInd w:val="0"/>
        <w:jc w:val="both"/>
        <w:rPr>
          <w:rFonts w:ascii="Book Antiqua" w:hAnsi="Book Antiqua"/>
        </w:rPr>
      </w:pPr>
      <w:r w:rsidRPr="00E3232D">
        <w:rPr>
          <w:rFonts w:ascii="Book Antiqua" w:hAnsi="Book Antiqua"/>
        </w:rPr>
        <w:t xml:space="preserve">There was also a revelation of companies not interested in government involvement in the </w:t>
      </w:r>
      <w:r w:rsidRPr="00E3232D">
        <w:rPr>
          <w:rFonts w:ascii="Book Antiqua" w:hAnsi="Book Antiqua"/>
        </w:rPr>
        <w:t>CSR policies as it will interfere into their activities.</w:t>
      </w:r>
    </w:p>
    <w:p w14:paraId="6FCFD5FB" w14:textId="77777777" w:rsidR="00B749F6" w:rsidRPr="001B1B96" w:rsidRDefault="00B749F6" w:rsidP="00196385">
      <w:pPr>
        <w:pStyle w:val="ListParagraph"/>
        <w:numPr>
          <w:ilvl w:val="0"/>
          <w:numId w:val="57"/>
        </w:numPr>
        <w:autoSpaceDE w:val="0"/>
        <w:autoSpaceDN w:val="0"/>
        <w:adjustRightInd w:val="0"/>
        <w:jc w:val="both"/>
        <w:rPr>
          <w:rFonts w:ascii="Book Antiqua" w:hAnsi="Book Antiqua"/>
        </w:rPr>
      </w:pPr>
      <w:r w:rsidRPr="00E3232D">
        <w:rPr>
          <w:rFonts w:ascii="Book Antiqua" w:hAnsi="Book Antiqua"/>
        </w:rPr>
        <w:t>There was also a difference in the adoption of CSR among the selected companies. One that creates dependency and one that develops communities.</w:t>
      </w:r>
    </w:p>
    <w:p w14:paraId="1350EDC1" w14:textId="77777777" w:rsidR="00B749F6" w:rsidRPr="00E3232D" w:rsidRDefault="00B749F6" w:rsidP="00C810CC">
      <w:pPr>
        <w:pStyle w:val="Default"/>
        <w:rPr>
          <w:rFonts w:ascii="Book Antiqua" w:hAnsi="Book Antiqua"/>
          <w:b/>
          <w:sz w:val="22"/>
          <w:szCs w:val="22"/>
        </w:rPr>
      </w:pPr>
      <w:r w:rsidRPr="00E3232D">
        <w:rPr>
          <w:rFonts w:ascii="Book Antiqua" w:hAnsi="Book Antiqua"/>
          <w:b/>
          <w:sz w:val="22"/>
          <w:szCs w:val="22"/>
        </w:rPr>
        <w:t xml:space="preserve">            Acknowledgement</w:t>
      </w:r>
    </w:p>
    <w:p w14:paraId="22BDCA6D" w14:textId="77777777" w:rsidR="00B749F6" w:rsidRPr="00E3232D" w:rsidRDefault="00B749F6" w:rsidP="00C810CC">
      <w:pPr>
        <w:pStyle w:val="Default"/>
        <w:ind w:left="720"/>
        <w:rPr>
          <w:rFonts w:ascii="Book Antiqua" w:hAnsi="Book Antiqua"/>
          <w:sz w:val="22"/>
          <w:szCs w:val="22"/>
        </w:rPr>
      </w:pPr>
      <w:r w:rsidRPr="00E3232D">
        <w:rPr>
          <w:rFonts w:ascii="Book Antiqua" w:hAnsi="Book Antiqua"/>
          <w:sz w:val="22"/>
          <w:szCs w:val="22"/>
        </w:rPr>
        <w:t>First, special thanks to the Conference Coordinators and the anonymous reviewers towards organizing and reviewing the papers for the conference respectively.</w:t>
      </w:r>
    </w:p>
    <w:p w14:paraId="660B6BBF" w14:textId="77777777" w:rsidR="00B749F6" w:rsidRDefault="00B749F6" w:rsidP="00EA796D">
      <w:pPr>
        <w:pStyle w:val="ListParagraph"/>
        <w:widowControl w:val="0"/>
        <w:autoSpaceDE w:val="0"/>
        <w:autoSpaceDN w:val="0"/>
        <w:adjustRightInd w:val="0"/>
        <w:jc w:val="both"/>
        <w:rPr>
          <w:rFonts w:ascii="Book Antiqua" w:hAnsi="Book Antiqua"/>
        </w:rPr>
      </w:pPr>
      <w:r w:rsidRPr="00E3232D">
        <w:rPr>
          <w:rFonts w:ascii="Book Antiqua" w:hAnsi="Book Antiqua"/>
        </w:rPr>
        <w:t xml:space="preserve">Finally, my heartiest thanks go to the Sponsors and the entire Polytechnic staff for supporting the coordinators for the conference. </w:t>
      </w:r>
    </w:p>
    <w:p w14:paraId="5F316869" w14:textId="77777777" w:rsidR="00EA796D" w:rsidRPr="00E3232D" w:rsidRDefault="00EA796D" w:rsidP="00EA796D">
      <w:pPr>
        <w:pStyle w:val="ListParagraph"/>
        <w:widowControl w:val="0"/>
        <w:autoSpaceDE w:val="0"/>
        <w:autoSpaceDN w:val="0"/>
        <w:adjustRightInd w:val="0"/>
        <w:jc w:val="both"/>
        <w:rPr>
          <w:rFonts w:ascii="Book Antiqua" w:hAnsi="Book Antiqua"/>
        </w:rPr>
      </w:pPr>
    </w:p>
    <w:p w14:paraId="057F5ED0" w14:textId="77777777" w:rsidR="00B749F6" w:rsidRPr="00312FAA" w:rsidRDefault="00B749F6" w:rsidP="00312FAA">
      <w:pPr>
        <w:widowControl w:val="0"/>
        <w:autoSpaceDE w:val="0"/>
        <w:autoSpaceDN w:val="0"/>
        <w:adjustRightInd w:val="0"/>
        <w:jc w:val="both"/>
        <w:rPr>
          <w:rFonts w:ascii="Book Antiqua" w:hAnsi="Book Antiqua"/>
          <w:b/>
          <w:bCs/>
          <w:color w:val="000000"/>
        </w:rPr>
      </w:pPr>
      <w:r w:rsidRPr="00312FAA">
        <w:rPr>
          <w:rFonts w:ascii="Book Antiqua" w:hAnsi="Book Antiqua"/>
          <w:b/>
          <w:sz w:val="28"/>
        </w:rPr>
        <w:t>References</w:t>
      </w:r>
    </w:p>
    <w:p w14:paraId="0264FCCD" w14:textId="77777777" w:rsidR="00B749F6" w:rsidRPr="00312FAA" w:rsidRDefault="00B749F6" w:rsidP="00312FAA">
      <w:pPr>
        <w:autoSpaceDE w:val="0"/>
        <w:autoSpaceDN w:val="0"/>
        <w:adjustRightInd w:val="0"/>
        <w:ind w:left="990" w:hanging="990"/>
        <w:jc w:val="both"/>
        <w:rPr>
          <w:rFonts w:ascii="Book Antiqua" w:hAnsi="Book Antiqua"/>
          <w:b/>
        </w:rPr>
      </w:pPr>
      <w:r w:rsidRPr="00312FAA">
        <w:rPr>
          <w:rFonts w:ascii="Book Antiqua" w:hAnsi="Book Antiqua"/>
        </w:rPr>
        <w:t>Waddock, S. (2004),Creating corporate accountability, fundamental principles to make corporate citizenship real, Journal of Business Ethics, Vol 50 pp 310 -320.</w:t>
      </w:r>
    </w:p>
    <w:p w14:paraId="7742F087" w14:textId="77777777" w:rsidR="00B749F6" w:rsidRPr="00312FAA" w:rsidRDefault="00B749F6" w:rsidP="00312FAA">
      <w:pPr>
        <w:autoSpaceDE w:val="0"/>
        <w:autoSpaceDN w:val="0"/>
        <w:adjustRightInd w:val="0"/>
        <w:ind w:left="990" w:hanging="990"/>
        <w:jc w:val="both"/>
        <w:rPr>
          <w:rFonts w:ascii="Book Antiqua" w:hAnsi="Book Antiqua"/>
          <w:b/>
        </w:rPr>
      </w:pPr>
      <w:r w:rsidRPr="00312FAA">
        <w:rPr>
          <w:rFonts w:ascii="Book Antiqua" w:hAnsi="Book Antiqua"/>
        </w:rPr>
        <w:t xml:space="preserve">Tina, P. (2002), Different shades of corporate social responsibility, motivation for and implementation of CSR(Unpublished Masters thesis) MIT,MA,USA </w:t>
      </w:r>
    </w:p>
    <w:p w14:paraId="5E1263C1" w14:textId="77777777" w:rsidR="00B749F6" w:rsidRPr="00312FAA" w:rsidRDefault="00B749F6" w:rsidP="00312FAA">
      <w:pPr>
        <w:autoSpaceDE w:val="0"/>
        <w:autoSpaceDN w:val="0"/>
        <w:adjustRightInd w:val="0"/>
        <w:ind w:left="990" w:hanging="990"/>
        <w:jc w:val="both"/>
        <w:rPr>
          <w:rFonts w:ascii="Book Antiqua" w:hAnsi="Book Antiqua"/>
          <w:b/>
        </w:rPr>
      </w:pPr>
      <w:r w:rsidRPr="00312FAA">
        <w:rPr>
          <w:rFonts w:ascii="Book Antiqua" w:hAnsi="Book Antiqua"/>
        </w:rPr>
        <w:t xml:space="preserve">Fox,T, Ward, I,T. and Howard, B (2002),Public sector roles in </w:t>
      </w:r>
      <w:r w:rsidRPr="00312FAA">
        <w:rPr>
          <w:rFonts w:ascii="Book Antiqua" w:hAnsi="Book Antiqua"/>
        </w:rPr>
        <w:lastRenderedPageBreak/>
        <w:t xml:space="preserve">strengthening corporate social responsibility, Institute for environment and development, Prentice Hall Inc. </w:t>
      </w:r>
    </w:p>
    <w:p w14:paraId="0289C580" w14:textId="77777777" w:rsidR="00B749F6" w:rsidRPr="00E3232D" w:rsidRDefault="00B749F6" w:rsidP="00312FAA">
      <w:pPr>
        <w:pStyle w:val="Default"/>
        <w:ind w:left="990" w:hanging="990"/>
        <w:rPr>
          <w:rFonts w:ascii="Book Antiqua" w:hAnsi="Book Antiqua"/>
          <w:sz w:val="22"/>
          <w:szCs w:val="22"/>
        </w:rPr>
      </w:pPr>
      <w:r w:rsidRPr="00E3232D">
        <w:rPr>
          <w:rFonts w:ascii="Book Antiqua" w:hAnsi="Book Antiqua"/>
          <w:sz w:val="22"/>
          <w:szCs w:val="22"/>
        </w:rPr>
        <w:t>Hockerts, K. and Morsing, M. (2008). A Literature review on corporate social responsibility in the innovation process. København: Copenhagen Business School CBS Center for corporate social responsibility.</w:t>
      </w:r>
    </w:p>
    <w:p w14:paraId="7A6A5F91" w14:textId="77777777" w:rsidR="00B749F6" w:rsidRPr="00623180" w:rsidRDefault="00B749F6" w:rsidP="00623180">
      <w:pPr>
        <w:autoSpaceDE w:val="0"/>
        <w:autoSpaceDN w:val="0"/>
        <w:adjustRightInd w:val="0"/>
        <w:ind w:left="990" w:hanging="990"/>
        <w:jc w:val="both"/>
        <w:rPr>
          <w:rFonts w:ascii="Book Antiqua" w:hAnsi="Book Antiqua"/>
        </w:rPr>
      </w:pPr>
      <w:r w:rsidRPr="00312FAA">
        <w:rPr>
          <w:rFonts w:ascii="Book Antiqua" w:hAnsi="Book Antiqua"/>
        </w:rPr>
        <w:t>Bryman, A. (2004),Social research methods, 2nd Ed. New York: Oxford</w:t>
      </w:r>
      <w:r w:rsidR="00623180">
        <w:rPr>
          <w:rFonts w:ascii="Book Antiqua" w:hAnsi="Book Antiqua"/>
        </w:rPr>
        <w:t xml:space="preserve"> </w:t>
      </w:r>
      <w:r w:rsidRPr="00623180">
        <w:rPr>
          <w:rFonts w:ascii="Book Antiqua" w:hAnsi="Book Antiqua"/>
        </w:rPr>
        <w:t>University Press Inc.</w:t>
      </w:r>
    </w:p>
    <w:p w14:paraId="5DE133FD" w14:textId="77777777" w:rsidR="00B749F6" w:rsidRPr="00312FAA" w:rsidRDefault="00B749F6" w:rsidP="00312FAA">
      <w:pPr>
        <w:autoSpaceDE w:val="0"/>
        <w:autoSpaceDN w:val="0"/>
        <w:adjustRightInd w:val="0"/>
        <w:ind w:left="990" w:hanging="990"/>
        <w:jc w:val="both"/>
        <w:rPr>
          <w:rFonts w:ascii="Book Antiqua" w:hAnsi="Book Antiqua"/>
          <w:i/>
          <w:iCs/>
        </w:rPr>
      </w:pPr>
      <w:r w:rsidRPr="00312FAA">
        <w:rPr>
          <w:rFonts w:ascii="Book Antiqua" w:hAnsi="Book Antiqua"/>
        </w:rPr>
        <w:t>Utting, P. (2000),Business responsibility for sustainable development, UNRISD Occasional Paper No. 2, Geneva: United Nations research institute for social development.</w:t>
      </w:r>
    </w:p>
    <w:p w14:paraId="23945A7C" w14:textId="77777777" w:rsidR="00B749F6" w:rsidRPr="00312FAA" w:rsidRDefault="00B749F6" w:rsidP="00312FAA">
      <w:pPr>
        <w:autoSpaceDE w:val="0"/>
        <w:autoSpaceDN w:val="0"/>
        <w:adjustRightInd w:val="0"/>
        <w:ind w:left="990" w:hanging="990"/>
        <w:jc w:val="both"/>
        <w:rPr>
          <w:rFonts w:ascii="Book Antiqua" w:hAnsi="Book Antiqua"/>
          <w:b/>
        </w:rPr>
      </w:pPr>
      <w:r w:rsidRPr="00312FAA">
        <w:rPr>
          <w:rFonts w:ascii="Book Antiqua" w:hAnsi="Book Antiqua"/>
        </w:rPr>
        <w:t>Guthey, E, .Langer, R. and Morsing M. (2006), Corporate social responsibility is a management fashion. So what? In strategic CSR communication, Morsing M, Beckmann, DJOF Publishing: Copenhagen, pp 39–60.</w:t>
      </w:r>
    </w:p>
    <w:p w14:paraId="0D601E44" w14:textId="77777777" w:rsidR="00B749F6" w:rsidRPr="00312FAA" w:rsidRDefault="00B749F6" w:rsidP="00312FAA">
      <w:pPr>
        <w:autoSpaceDE w:val="0"/>
        <w:autoSpaceDN w:val="0"/>
        <w:adjustRightInd w:val="0"/>
        <w:ind w:left="990" w:hanging="990"/>
        <w:jc w:val="both"/>
        <w:rPr>
          <w:rFonts w:ascii="Book Antiqua" w:hAnsi="Book Antiqua"/>
          <w:b/>
        </w:rPr>
      </w:pPr>
      <w:r w:rsidRPr="00312FAA">
        <w:rPr>
          <w:rFonts w:ascii="Book Antiqua" w:hAnsi="Book Antiqua"/>
        </w:rPr>
        <w:t>Hair ,J ,F .Money, A,H. Page, M .and Samuel, P.(2007), Research methods for business, Chichester ,England, Hoboken, N,J. John Wiley and sons Ltd.</w:t>
      </w:r>
    </w:p>
    <w:p w14:paraId="3B75DAAA" w14:textId="77777777" w:rsidR="00B749F6" w:rsidRPr="00312FAA" w:rsidRDefault="00B749F6" w:rsidP="00312FAA">
      <w:pPr>
        <w:autoSpaceDE w:val="0"/>
        <w:autoSpaceDN w:val="0"/>
        <w:adjustRightInd w:val="0"/>
        <w:ind w:left="990" w:hanging="990"/>
        <w:jc w:val="both"/>
        <w:rPr>
          <w:rFonts w:ascii="Book Antiqua" w:hAnsi="Book Antiqua"/>
          <w:b/>
        </w:rPr>
      </w:pPr>
      <w:r w:rsidRPr="00312FAA">
        <w:rPr>
          <w:rFonts w:ascii="Book Antiqua" w:hAnsi="Book Antiqua"/>
        </w:rPr>
        <w:t>Kitzmueller, M. (2010), Economic perspective on corporate social responsibility, DOI: 10.2870/16517.</w:t>
      </w:r>
    </w:p>
    <w:p w14:paraId="33527BEF" w14:textId="77777777" w:rsidR="00B749F6" w:rsidRPr="00312FAA" w:rsidRDefault="00B749F6" w:rsidP="00312FAA">
      <w:pPr>
        <w:autoSpaceDE w:val="0"/>
        <w:autoSpaceDN w:val="0"/>
        <w:adjustRightInd w:val="0"/>
        <w:ind w:left="990" w:hanging="990"/>
        <w:jc w:val="both"/>
        <w:rPr>
          <w:rFonts w:ascii="Book Antiqua" w:hAnsi="Book Antiqua"/>
          <w:b/>
        </w:rPr>
      </w:pPr>
      <w:r w:rsidRPr="00312FAA">
        <w:rPr>
          <w:rFonts w:ascii="Book Antiqua" w:hAnsi="Book Antiqua"/>
        </w:rPr>
        <w:t>McShane, S. and Von Glinow, M. (2000) Organizational Behavior. Irwin McGraw-Hill, the U.S.A.</w:t>
      </w:r>
    </w:p>
    <w:p w14:paraId="7E6940EF" w14:textId="77777777" w:rsidR="00B749F6" w:rsidRPr="00E3232D" w:rsidRDefault="00B749F6" w:rsidP="00312FAA">
      <w:pPr>
        <w:rPr>
          <w:rFonts w:ascii="Book Antiqua" w:hAnsi="Book Antiqua"/>
        </w:rPr>
      </w:pPr>
    </w:p>
    <w:p w14:paraId="26ED0B1C" w14:textId="77777777" w:rsidR="00FD0CF1" w:rsidRDefault="00FD0CF1" w:rsidP="008275E1">
      <w:pPr>
        <w:rPr>
          <w:rFonts w:ascii="Book Antiqua" w:hAnsi="Book Antiqua"/>
        </w:rPr>
        <w:sectPr w:rsidR="00FD0CF1" w:rsidSect="008F6BC9">
          <w:type w:val="continuous"/>
          <w:pgSz w:w="11907" w:h="16839" w:code="9"/>
          <w:pgMar w:top="1350" w:right="1440" w:bottom="1440" w:left="1440" w:header="720" w:footer="720" w:gutter="0"/>
          <w:cols w:num="2" w:space="720"/>
          <w:docGrid w:linePitch="360"/>
        </w:sectPr>
      </w:pPr>
    </w:p>
    <w:p w14:paraId="6ECFF56E" w14:textId="77777777" w:rsidR="00130D81" w:rsidRPr="00E3232D" w:rsidRDefault="00130D81" w:rsidP="002A714F">
      <w:pPr>
        <w:spacing w:before="240" w:after="120"/>
        <w:rPr>
          <w:rFonts w:ascii="Book Antiqua" w:hAnsi="Book Antiqua"/>
          <w:b/>
        </w:rPr>
        <w:sectPr w:rsidR="00130D81" w:rsidRPr="00E3232D" w:rsidSect="008F6BC9">
          <w:type w:val="continuous"/>
          <w:pgSz w:w="11907" w:h="16839" w:code="9"/>
          <w:pgMar w:top="1350" w:right="1440" w:bottom="1440" w:left="1440" w:header="720" w:footer="720" w:gutter="0"/>
          <w:cols w:space="720"/>
          <w:docGrid w:linePitch="360"/>
        </w:sectPr>
      </w:pPr>
    </w:p>
    <w:p w14:paraId="3B076902" w14:textId="77777777" w:rsidR="00F47334" w:rsidRDefault="00F47334" w:rsidP="00C452BC">
      <w:pPr>
        <w:spacing w:after="0"/>
        <w:jc w:val="center"/>
        <w:rPr>
          <w:rFonts w:ascii="Book Antiqua" w:hAnsi="Book Antiqua"/>
          <w:b/>
          <w:sz w:val="26"/>
          <w:szCs w:val="26"/>
        </w:rPr>
      </w:pPr>
    </w:p>
    <w:p w14:paraId="265448DF" w14:textId="77777777" w:rsidR="00F47334" w:rsidRDefault="00F47334" w:rsidP="00C452BC">
      <w:pPr>
        <w:spacing w:after="0"/>
        <w:jc w:val="center"/>
        <w:rPr>
          <w:rFonts w:ascii="Book Antiqua" w:hAnsi="Book Antiqua"/>
          <w:b/>
          <w:sz w:val="26"/>
          <w:szCs w:val="26"/>
        </w:rPr>
      </w:pPr>
    </w:p>
    <w:p w14:paraId="0A7C5002" w14:textId="77777777" w:rsidR="00F47334" w:rsidRDefault="00F47334" w:rsidP="00C452BC">
      <w:pPr>
        <w:spacing w:after="0"/>
        <w:jc w:val="center"/>
        <w:rPr>
          <w:rFonts w:ascii="Book Antiqua" w:hAnsi="Book Antiqua"/>
          <w:b/>
          <w:sz w:val="26"/>
          <w:szCs w:val="26"/>
        </w:rPr>
      </w:pPr>
    </w:p>
    <w:p w14:paraId="5E160AA8" w14:textId="77777777" w:rsidR="00D66459" w:rsidRDefault="00D66459" w:rsidP="00C452BC">
      <w:pPr>
        <w:spacing w:after="0"/>
        <w:jc w:val="center"/>
        <w:rPr>
          <w:rFonts w:ascii="Book Antiqua" w:hAnsi="Book Antiqua"/>
          <w:b/>
          <w:sz w:val="26"/>
          <w:szCs w:val="26"/>
        </w:rPr>
      </w:pPr>
    </w:p>
    <w:p w14:paraId="0EA3B623" w14:textId="77777777" w:rsidR="00EA796D" w:rsidRDefault="00EA796D" w:rsidP="00C452BC">
      <w:pPr>
        <w:spacing w:after="0"/>
        <w:jc w:val="center"/>
        <w:rPr>
          <w:rFonts w:ascii="Book Antiqua" w:hAnsi="Book Antiqua"/>
          <w:b/>
          <w:sz w:val="26"/>
          <w:szCs w:val="26"/>
        </w:rPr>
      </w:pPr>
    </w:p>
    <w:p w14:paraId="398F0DCB" w14:textId="77777777" w:rsidR="00EA796D" w:rsidRDefault="00EA796D" w:rsidP="00C452BC">
      <w:pPr>
        <w:spacing w:after="0"/>
        <w:jc w:val="center"/>
        <w:rPr>
          <w:rFonts w:ascii="Book Antiqua" w:hAnsi="Book Antiqua"/>
          <w:b/>
          <w:sz w:val="26"/>
          <w:szCs w:val="26"/>
        </w:rPr>
      </w:pPr>
    </w:p>
    <w:p w14:paraId="4010FD9D" w14:textId="77777777" w:rsidR="00EA796D" w:rsidRDefault="00EA796D" w:rsidP="00C452BC">
      <w:pPr>
        <w:spacing w:after="0"/>
        <w:jc w:val="center"/>
        <w:rPr>
          <w:rFonts w:ascii="Book Antiqua" w:hAnsi="Book Antiqua"/>
          <w:b/>
          <w:sz w:val="26"/>
          <w:szCs w:val="26"/>
        </w:rPr>
      </w:pPr>
    </w:p>
    <w:p w14:paraId="66DE33D8" w14:textId="77777777" w:rsidR="00EA796D" w:rsidRDefault="00EA796D" w:rsidP="00C452BC">
      <w:pPr>
        <w:spacing w:after="0"/>
        <w:jc w:val="center"/>
        <w:rPr>
          <w:rFonts w:ascii="Book Antiqua" w:hAnsi="Book Antiqua"/>
          <w:b/>
          <w:sz w:val="26"/>
          <w:szCs w:val="26"/>
        </w:rPr>
      </w:pPr>
    </w:p>
    <w:p w14:paraId="7577CE11" w14:textId="77777777" w:rsidR="00EA796D" w:rsidRDefault="00EA796D" w:rsidP="00C452BC">
      <w:pPr>
        <w:spacing w:after="0"/>
        <w:jc w:val="center"/>
        <w:rPr>
          <w:rFonts w:ascii="Book Antiqua" w:hAnsi="Book Antiqua"/>
          <w:b/>
          <w:sz w:val="26"/>
          <w:szCs w:val="26"/>
        </w:rPr>
      </w:pPr>
    </w:p>
    <w:p w14:paraId="102951E6" w14:textId="77777777" w:rsidR="00EA796D" w:rsidRDefault="00EA796D" w:rsidP="00C452BC">
      <w:pPr>
        <w:spacing w:after="0"/>
        <w:jc w:val="center"/>
        <w:rPr>
          <w:rFonts w:ascii="Book Antiqua" w:hAnsi="Book Antiqua"/>
          <w:b/>
          <w:sz w:val="26"/>
          <w:szCs w:val="26"/>
        </w:rPr>
      </w:pPr>
    </w:p>
    <w:p w14:paraId="1C379170" w14:textId="77777777" w:rsidR="00EA796D" w:rsidRDefault="00EA796D" w:rsidP="00C452BC">
      <w:pPr>
        <w:spacing w:after="0"/>
        <w:jc w:val="center"/>
        <w:rPr>
          <w:rFonts w:ascii="Book Antiqua" w:hAnsi="Book Antiqua"/>
          <w:b/>
          <w:sz w:val="26"/>
          <w:szCs w:val="26"/>
        </w:rPr>
      </w:pPr>
    </w:p>
    <w:p w14:paraId="1AD347F6" w14:textId="77777777" w:rsidR="00EA796D" w:rsidRDefault="00EA796D" w:rsidP="00C452BC">
      <w:pPr>
        <w:spacing w:after="0"/>
        <w:jc w:val="center"/>
        <w:rPr>
          <w:rFonts w:ascii="Book Antiqua" w:hAnsi="Book Antiqua"/>
          <w:b/>
          <w:sz w:val="26"/>
          <w:szCs w:val="26"/>
        </w:rPr>
      </w:pPr>
    </w:p>
    <w:p w14:paraId="367C6CC7" w14:textId="77777777" w:rsidR="00EA796D" w:rsidRDefault="00EA796D" w:rsidP="00312FAA">
      <w:pPr>
        <w:spacing w:after="0"/>
        <w:rPr>
          <w:rFonts w:ascii="Book Antiqua" w:hAnsi="Book Antiqua"/>
          <w:b/>
          <w:sz w:val="26"/>
          <w:szCs w:val="26"/>
        </w:rPr>
      </w:pPr>
    </w:p>
    <w:p w14:paraId="5E65E1E9" w14:textId="77777777" w:rsidR="000B4A9B" w:rsidRDefault="00996D56" w:rsidP="00C452BC">
      <w:pPr>
        <w:spacing w:after="0"/>
        <w:jc w:val="center"/>
        <w:rPr>
          <w:rFonts w:ascii="Book Antiqua" w:hAnsi="Book Antiqua"/>
          <w:b/>
          <w:sz w:val="26"/>
          <w:szCs w:val="26"/>
        </w:rPr>
      </w:pPr>
      <w:r w:rsidRPr="000B4A9B">
        <w:rPr>
          <w:rFonts w:ascii="Book Antiqua" w:hAnsi="Book Antiqua"/>
          <w:b/>
          <w:sz w:val="26"/>
          <w:szCs w:val="26"/>
        </w:rPr>
        <w:lastRenderedPageBreak/>
        <w:t>Marketing Channels and Channel Strategies: An Inference for Economic Efficiency of Coca Cola in the Tamale Metropolis.</w:t>
      </w:r>
    </w:p>
    <w:p w14:paraId="05989CC3" w14:textId="77777777" w:rsidR="00A908B8" w:rsidRPr="000B4A9B" w:rsidRDefault="00A908B8" w:rsidP="00C452BC">
      <w:pPr>
        <w:spacing w:after="0"/>
        <w:jc w:val="center"/>
        <w:rPr>
          <w:rFonts w:ascii="Book Antiqua" w:hAnsi="Book Antiqua"/>
          <w:b/>
          <w:sz w:val="26"/>
          <w:szCs w:val="26"/>
        </w:rPr>
      </w:pPr>
    </w:p>
    <w:p w14:paraId="4AC294A5" w14:textId="77777777" w:rsidR="00996D56" w:rsidRPr="00EA796D" w:rsidRDefault="00EA796D" w:rsidP="00C452BC">
      <w:pPr>
        <w:spacing w:after="0"/>
        <w:jc w:val="center"/>
        <w:rPr>
          <w:rFonts w:ascii="Book Antiqua" w:hAnsi="Book Antiqua"/>
          <w:b/>
          <w:sz w:val="26"/>
        </w:rPr>
      </w:pPr>
      <w:r>
        <w:rPr>
          <w:rFonts w:ascii="Book Antiqua" w:hAnsi="Book Antiqua"/>
          <w:b/>
          <w:sz w:val="26"/>
        </w:rPr>
        <w:t>Abdul</w:t>
      </w:r>
      <w:r w:rsidR="00A908B8" w:rsidRPr="00EA796D">
        <w:rPr>
          <w:rFonts w:ascii="Book Antiqua" w:hAnsi="Book Antiqua"/>
          <w:b/>
          <w:sz w:val="26"/>
        </w:rPr>
        <w:t>-Razak A</w:t>
      </w:r>
      <w:r>
        <w:rPr>
          <w:rFonts w:ascii="Book Antiqua" w:hAnsi="Book Antiqua"/>
          <w:b/>
          <w:sz w:val="26"/>
          <w:vertAlign w:val="superscript"/>
        </w:rPr>
        <w:t>1</w:t>
      </w:r>
      <w:r w:rsidR="00A908B8" w:rsidRPr="00EA796D">
        <w:rPr>
          <w:rFonts w:ascii="Book Antiqua" w:hAnsi="Book Antiqua"/>
          <w:b/>
          <w:sz w:val="26"/>
        </w:rPr>
        <w:t>.</w:t>
      </w:r>
      <w:r w:rsidR="00996D56" w:rsidRPr="00EA796D">
        <w:rPr>
          <w:rFonts w:ascii="Book Antiqua" w:hAnsi="Book Antiqua"/>
          <w:b/>
          <w:sz w:val="26"/>
        </w:rPr>
        <w:t xml:space="preserve"> </w:t>
      </w:r>
      <w:r w:rsidR="000B4A9B" w:rsidRPr="00EA796D">
        <w:rPr>
          <w:rFonts w:ascii="Book Antiqua" w:hAnsi="Book Antiqua"/>
          <w:b/>
          <w:sz w:val="26"/>
        </w:rPr>
        <w:t>&amp;</w:t>
      </w:r>
      <w:r w:rsidR="00996D56" w:rsidRPr="00EA796D">
        <w:rPr>
          <w:rFonts w:ascii="Book Antiqua" w:hAnsi="Book Antiqua"/>
          <w:b/>
          <w:sz w:val="26"/>
        </w:rPr>
        <w:t xml:space="preserve"> </w:t>
      </w:r>
      <w:r w:rsidR="00996D56" w:rsidRPr="00EA796D">
        <w:rPr>
          <w:rFonts w:ascii="Book Antiqua" w:hAnsi="Book Antiqua"/>
          <w:b/>
          <w:sz w:val="26"/>
          <w:vertAlign w:val="superscript"/>
        </w:rPr>
        <w:t>2</w:t>
      </w:r>
      <w:r w:rsidR="00A908B8" w:rsidRPr="00EA796D">
        <w:rPr>
          <w:rFonts w:ascii="Book Antiqua" w:hAnsi="Book Antiqua"/>
          <w:b/>
          <w:sz w:val="26"/>
        </w:rPr>
        <w:t>Jamal M.</w:t>
      </w:r>
    </w:p>
    <w:p w14:paraId="25CD5370" w14:textId="77777777" w:rsidR="00A06CEC" w:rsidRPr="00CC70B9" w:rsidRDefault="00996D56" w:rsidP="00C452BC">
      <w:pPr>
        <w:spacing w:after="0"/>
        <w:jc w:val="center"/>
        <w:rPr>
          <w:rFonts w:ascii="Book Antiqua" w:hAnsi="Book Antiqua"/>
        </w:rPr>
      </w:pPr>
      <w:r w:rsidRPr="00CC70B9">
        <w:rPr>
          <w:rFonts w:ascii="Book Antiqua" w:hAnsi="Book Antiqua"/>
          <w:vertAlign w:val="superscript"/>
        </w:rPr>
        <w:t>1</w:t>
      </w:r>
      <w:r w:rsidRPr="00CC70B9">
        <w:rPr>
          <w:rFonts w:ascii="Book Antiqua" w:hAnsi="Book Antiqua"/>
        </w:rPr>
        <w:t>Department of Accountancy, Tamale Polytechnic, Box 3 E/R, Tamale, Northern Region.</w:t>
      </w:r>
    </w:p>
    <w:p w14:paraId="5106ACD4" w14:textId="77777777" w:rsidR="00A06CEC" w:rsidRPr="00CC70B9" w:rsidRDefault="00A06CEC" w:rsidP="0059383C">
      <w:pPr>
        <w:spacing w:after="0"/>
        <w:jc w:val="center"/>
        <w:rPr>
          <w:rFonts w:ascii="Book Antiqua" w:hAnsi="Book Antiqua"/>
        </w:rPr>
      </w:pPr>
      <w:r w:rsidRPr="00CC70B9">
        <w:rPr>
          <w:rFonts w:ascii="Book Antiqua" w:hAnsi="Book Antiqua"/>
          <w:vertAlign w:val="superscript"/>
        </w:rPr>
        <w:t>2</w:t>
      </w:r>
      <w:r w:rsidRPr="00CC70B9">
        <w:rPr>
          <w:rFonts w:ascii="Book Antiqua" w:hAnsi="Book Antiqua"/>
        </w:rPr>
        <w:t>Department of Liberal Studies, Koforidua Polytechnic, Box 981, Koforidua, Eastern Region.</w:t>
      </w:r>
    </w:p>
    <w:p w14:paraId="08212340" w14:textId="77777777" w:rsidR="005726E2" w:rsidRPr="00CC70B9" w:rsidRDefault="00996D56" w:rsidP="0059383C">
      <w:pPr>
        <w:spacing w:after="0"/>
        <w:jc w:val="center"/>
        <w:rPr>
          <w:rFonts w:ascii="Book Antiqua" w:hAnsi="Book Antiqua"/>
          <w:b/>
        </w:rPr>
        <w:sectPr w:rsidR="005726E2" w:rsidRPr="00CC70B9" w:rsidSect="008F6BC9">
          <w:type w:val="continuous"/>
          <w:pgSz w:w="11907" w:h="16839" w:code="9"/>
          <w:pgMar w:top="1135" w:right="1183" w:bottom="1276" w:left="1440" w:header="720" w:footer="720" w:gutter="0"/>
          <w:cols w:space="720"/>
          <w:docGrid w:linePitch="360"/>
        </w:sectPr>
      </w:pPr>
      <w:r w:rsidRPr="00CC70B9">
        <w:rPr>
          <w:rFonts w:ascii="Book Antiqua" w:hAnsi="Book Antiqua"/>
          <w:b/>
        </w:rPr>
        <w:t>E-mail</w:t>
      </w:r>
      <w:r w:rsidRPr="00CC70B9">
        <w:rPr>
          <w:rFonts w:ascii="Book Antiqua" w:hAnsi="Book Antiqua"/>
        </w:rPr>
        <w:t xml:space="preserve">: </w:t>
      </w:r>
      <w:r w:rsidR="00B71E72" w:rsidRPr="00CC70B9">
        <w:rPr>
          <w:rFonts w:ascii="Book Antiqua" w:hAnsi="Book Antiqua"/>
          <w:vertAlign w:val="superscript"/>
        </w:rPr>
        <w:t>1</w:t>
      </w:r>
      <w:hyperlink r:id="rId98" w:history="1">
        <w:r w:rsidRPr="00CC70B9">
          <w:rPr>
            <w:rStyle w:val="Hyperlink"/>
            <w:rFonts w:ascii="Book Antiqua" w:hAnsi="Book Antiqua"/>
          </w:rPr>
          <w:t>kpanvomc@yahoo.com</w:t>
        </w:r>
      </w:hyperlink>
      <w:r w:rsidR="000B4A9B" w:rsidRPr="00CC70B9">
        <w:rPr>
          <w:rStyle w:val="Hyperlink"/>
          <w:rFonts w:ascii="Book Antiqua" w:hAnsi="Book Antiqua"/>
        </w:rPr>
        <w:t xml:space="preserve">, </w:t>
      </w:r>
      <w:r w:rsidR="000B4A9B">
        <w:rPr>
          <w:rStyle w:val="Hyperlink"/>
          <w:rFonts w:ascii="Book Antiqua" w:hAnsi="Book Antiqua"/>
        </w:rPr>
        <w:t>&amp;</w:t>
      </w:r>
      <w:r w:rsidRPr="00CC70B9">
        <w:rPr>
          <w:rStyle w:val="Hyperlink"/>
          <w:rFonts w:ascii="Book Antiqua" w:hAnsi="Book Antiqua"/>
        </w:rPr>
        <w:t xml:space="preserve"> </w:t>
      </w:r>
      <w:r w:rsidR="00A06CEC" w:rsidRPr="00CC70B9">
        <w:rPr>
          <w:rFonts w:ascii="Book Antiqua" w:hAnsi="Book Antiqua"/>
        </w:rPr>
        <w:t xml:space="preserve"> </w:t>
      </w:r>
      <w:r w:rsidR="00B71E72" w:rsidRPr="00CC70B9">
        <w:rPr>
          <w:rFonts w:ascii="Book Antiqua" w:hAnsi="Book Antiqua"/>
          <w:vertAlign w:val="superscript"/>
        </w:rPr>
        <w:t>2</w:t>
      </w:r>
      <w:r w:rsidRPr="00CC70B9">
        <w:rPr>
          <w:rFonts w:ascii="Book Antiqua" w:hAnsi="Book Antiqua"/>
          <w:color w:val="0070C0"/>
          <w:u w:val="single"/>
        </w:rPr>
        <w:t>nakohinaa@gmail.com</w:t>
      </w:r>
    </w:p>
    <w:p w14:paraId="7A5206BE" w14:textId="77777777" w:rsidR="00996D56" w:rsidRPr="00E3232D" w:rsidRDefault="00996D56" w:rsidP="0059383C">
      <w:pPr>
        <w:spacing w:after="0"/>
        <w:jc w:val="center"/>
        <w:rPr>
          <w:rFonts w:ascii="Book Antiqua" w:hAnsi="Book Antiqua"/>
          <w:b/>
        </w:rPr>
      </w:pPr>
    </w:p>
    <w:p w14:paraId="37D9A594" w14:textId="77777777" w:rsidR="000B4A9B" w:rsidRDefault="000B4A9B" w:rsidP="008275E1">
      <w:pPr>
        <w:pStyle w:val="Heading1"/>
        <w:spacing w:after="120"/>
        <w:rPr>
          <w:rFonts w:ascii="Book Antiqua" w:hAnsi="Book Antiqua"/>
          <w:color w:val="000000"/>
          <w:sz w:val="22"/>
          <w:szCs w:val="22"/>
        </w:rPr>
        <w:sectPr w:rsidR="000B4A9B" w:rsidSect="008F6BC9">
          <w:type w:val="continuous"/>
          <w:pgSz w:w="11907" w:h="16839" w:code="9"/>
          <w:pgMar w:top="1135" w:right="1183" w:bottom="1276" w:left="1440" w:header="720" w:footer="720" w:gutter="0"/>
          <w:cols w:space="720"/>
          <w:docGrid w:linePitch="360"/>
        </w:sectPr>
      </w:pPr>
      <w:bookmarkStart w:id="39" w:name="_Toc318037591"/>
    </w:p>
    <w:p w14:paraId="33B1F0AA" w14:textId="77777777" w:rsidR="00996D56" w:rsidRPr="00C452BC" w:rsidRDefault="00996D56" w:rsidP="00B76FD2">
      <w:pPr>
        <w:pStyle w:val="Heading1"/>
        <w:tabs>
          <w:tab w:val="left" w:pos="7710"/>
        </w:tabs>
        <w:spacing w:after="120"/>
        <w:jc w:val="both"/>
        <w:rPr>
          <w:rFonts w:ascii="Book Antiqua" w:hAnsi="Book Antiqua"/>
          <w:color w:val="000000"/>
          <w:sz w:val="22"/>
          <w:szCs w:val="22"/>
        </w:rPr>
      </w:pPr>
      <w:r w:rsidRPr="001B1B96">
        <w:rPr>
          <w:rFonts w:ascii="Book Antiqua" w:hAnsi="Book Antiqua"/>
          <w:color w:val="000000"/>
          <w:sz w:val="26"/>
          <w:szCs w:val="22"/>
        </w:rPr>
        <w:t>Abstract</w:t>
      </w:r>
      <w:r w:rsidR="00C810CC">
        <w:rPr>
          <w:rFonts w:ascii="Book Antiqua" w:hAnsi="Book Antiqua"/>
          <w:color w:val="000000"/>
          <w:sz w:val="22"/>
          <w:szCs w:val="22"/>
        </w:rPr>
        <w:tab/>
      </w:r>
    </w:p>
    <w:p w14:paraId="4C6A71B0" w14:textId="77777777" w:rsidR="00996D56" w:rsidRPr="00E3232D" w:rsidRDefault="00996D56" w:rsidP="00B76FD2">
      <w:pPr>
        <w:jc w:val="both"/>
        <w:rPr>
          <w:rFonts w:ascii="Book Antiqua" w:hAnsi="Book Antiqua"/>
        </w:rPr>
      </w:pPr>
      <w:r w:rsidRPr="00E3232D">
        <w:rPr>
          <w:rFonts w:ascii="Book Antiqua" w:hAnsi="Book Antiqua"/>
        </w:rPr>
        <w:t>Distribution is an important aspect of marketing mix elements and is therefore indispensable. This paper evaluated the effectiveness of channel structure, channel strategies and economic efficiency of Coca Cola Ghana Limited in Tamale Metropolis.  A survey was conducted on 70 respondents, thus 65 retailers and 5 wholesalers and it was found that the dominant channel structure that Coca Cola uses is the link: producer, wholesaler, retailer, and consumer. All the channel members have been effectively carrying out their roles and the channel strategies adopted by Coca Cola is very effective. As the company’s channel members play their roles effectively and with appropriate strategies in place, Coca Cola Ghana Limited should be able to sustain its competitive advantage in the beverage market in Tamale Metropolis.</w:t>
      </w:r>
    </w:p>
    <w:p w14:paraId="2A98552A" w14:textId="77777777" w:rsidR="00996D56" w:rsidRPr="00E3232D" w:rsidRDefault="00996D56" w:rsidP="00B76FD2">
      <w:pPr>
        <w:spacing w:before="240" w:after="120"/>
        <w:jc w:val="both"/>
        <w:rPr>
          <w:rFonts w:ascii="Book Antiqua" w:hAnsi="Book Antiqua"/>
        </w:rPr>
      </w:pPr>
      <w:r w:rsidRPr="00E3232D">
        <w:rPr>
          <w:rFonts w:ascii="Book Antiqua" w:hAnsi="Book Antiqua"/>
          <w:b/>
        </w:rPr>
        <w:t>Keywords</w:t>
      </w:r>
      <w:r w:rsidRPr="00E3232D">
        <w:rPr>
          <w:rFonts w:ascii="Book Antiqua" w:hAnsi="Book Antiqua"/>
        </w:rPr>
        <w:t>: Evaluation; Marketing Channels; Channel Strategies; Economic Efficiency; Tamale Metropolis</w:t>
      </w:r>
    </w:p>
    <w:bookmarkEnd w:id="39"/>
    <w:p w14:paraId="3107F923" w14:textId="77777777" w:rsidR="00FD7437" w:rsidRDefault="00FD7437" w:rsidP="008275E1">
      <w:pPr>
        <w:rPr>
          <w:rFonts w:ascii="Book Antiqua" w:hAnsi="Book Antiqua"/>
        </w:rPr>
        <w:sectPr w:rsidR="00FD7437" w:rsidSect="008F6BC9">
          <w:type w:val="continuous"/>
          <w:pgSz w:w="11907" w:h="16839" w:code="9"/>
          <w:pgMar w:top="1135" w:right="1183" w:bottom="1276" w:left="1440" w:header="720" w:footer="720" w:gutter="0"/>
          <w:cols w:space="720"/>
          <w:docGrid w:linePitch="360"/>
        </w:sectPr>
      </w:pPr>
    </w:p>
    <w:p w14:paraId="19ED7521" w14:textId="77777777" w:rsidR="00996D56" w:rsidRPr="00E3232D" w:rsidRDefault="00996D56" w:rsidP="008275E1">
      <w:pPr>
        <w:rPr>
          <w:rFonts w:ascii="Book Antiqua" w:hAnsi="Book Antiqua"/>
        </w:rPr>
      </w:pPr>
    </w:p>
    <w:p w14:paraId="45B33C6B" w14:textId="77777777" w:rsidR="000B4A9B" w:rsidRDefault="000B4A9B" w:rsidP="00196385">
      <w:pPr>
        <w:pStyle w:val="Heading2"/>
        <w:keepLines/>
        <w:numPr>
          <w:ilvl w:val="0"/>
          <w:numId w:val="64"/>
        </w:numPr>
        <w:spacing w:after="120"/>
        <w:jc w:val="both"/>
        <w:rPr>
          <w:rStyle w:val="Strong"/>
          <w:rFonts w:ascii="Book Antiqua" w:hAnsi="Book Antiqua"/>
          <w:b/>
          <w:i/>
          <w:sz w:val="22"/>
          <w:szCs w:val="22"/>
        </w:rPr>
        <w:sectPr w:rsidR="000B4A9B" w:rsidSect="008F6BC9">
          <w:type w:val="continuous"/>
          <w:pgSz w:w="11907" w:h="16839" w:code="9"/>
          <w:pgMar w:top="1135" w:right="1183" w:bottom="1276" w:left="1440" w:header="720" w:footer="720" w:gutter="0"/>
          <w:cols w:space="720"/>
          <w:docGrid w:linePitch="360"/>
        </w:sectPr>
      </w:pPr>
    </w:p>
    <w:p w14:paraId="0821AF03" w14:textId="77777777" w:rsidR="00DB7EFB" w:rsidRPr="00A45FAE" w:rsidRDefault="00DB7EFB" w:rsidP="00196385">
      <w:pPr>
        <w:pStyle w:val="Heading2"/>
        <w:keepLines/>
        <w:numPr>
          <w:ilvl w:val="1"/>
          <w:numId w:val="64"/>
        </w:numPr>
        <w:spacing w:after="120"/>
        <w:jc w:val="both"/>
        <w:rPr>
          <w:rStyle w:val="Strong"/>
          <w:rFonts w:ascii="Book Antiqua" w:hAnsi="Book Antiqua"/>
          <w:b/>
          <w:sz w:val="22"/>
          <w:szCs w:val="22"/>
        </w:rPr>
      </w:pPr>
      <w:r w:rsidRPr="001B1B96">
        <w:rPr>
          <w:rStyle w:val="Strong"/>
          <w:rFonts w:ascii="Book Antiqua" w:hAnsi="Book Antiqua"/>
          <w:b/>
          <w:szCs w:val="22"/>
        </w:rPr>
        <w:t>Introduction</w:t>
      </w:r>
    </w:p>
    <w:p w14:paraId="0F43CD46" w14:textId="77777777" w:rsidR="00DB7EFB" w:rsidRPr="00E3232D" w:rsidRDefault="00DB7EFB" w:rsidP="00B76FD2">
      <w:pPr>
        <w:spacing w:before="240" w:after="120"/>
        <w:jc w:val="both"/>
        <w:rPr>
          <w:rFonts w:ascii="Book Antiqua" w:hAnsi="Book Antiqua"/>
        </w:rPr>
      </w:pPr>
      <w:r w:rsidRPr="00E3232D">
        <w:rPr>
          <w:rFonts w:ascii="Book Antiqua" w:hAnsi="Book Antiqua"/>
        </w:rPr>
        <w:t xml:space="preserve">Kotler and Armstrong (2008) defined marketing channel as “a set of independent organizations that help make a product or service available for use or consumption by the consumer or business user” (p.335). This means that it might not necessarily be the direct role of the producer to make the commodity available to the ultimate consumers. There is the need for relevant intermediaries who significantly play roles in making the products available to the customer or the ultimate consumer in the right quantities, at the right places, at the prices and at the right time. </w:t>
      </w:r>
    </w:p>
    <w:p w14:paraId="3726BF56" w14:textId="77777777" w:rsidR="00DB7EFB" w:rsidRPr="00E3232D" w:rsidRDefault="00DB7EFB" w:rsidP="00B76FD2">
      <w:pPr>
        <w:spacing w:before="240" w:after="120"/>
        <w:jc w:val="both"/>
        <w:rPr>
          <w:rFonts w:ascii="Book Antiqua" w:hAnsi="Book Antiqua"/>
        </w:rPr>
      </w:pPr>
      <w:r w:rsidRPr="00E3232D">
        <w:rPr>
          <w:rFonts w:ascii="Book Antiqua" w:hAnsi="Book Antiqua"/>
        </w:rPr>
        <w:t xml:space="preserve">Every global firm determines how many intermediaries or independent agencies influence the distribution of its products from the production point to the ultimate consumer of the product. Becoming successful global players requires that firms get the right blends of the marketing mix elements. A company’s vision and mission have to be carefully founded on the right marketing mix elements towards realizing the customers’ expectations for a sustained competitive advantage. Thus, a good product needs be complemented with the right pricing, promotion and placing. Pranulis et al. (2008), as cited in Jurate et al. (2011), puts it that, the necessity of the </w:t>
      </w:r>
      <w:r w:rsidRPr="00E3232D">
        <w:rPr>
          <w:rFonts w:ascii="Book Antiqua" w:hAnsi="Book Antiqua"/>
        </w:rPr>
        <w:lastRenderedPageBreak/>
        <w:t xml:space="preserve">distribution as a specific economic activity arises from the gap, mismatch between the production of products and consumption place, time quantity and quality (Product range)”.  </w:t>
      </w:r>
    </w:p>
    <w:p w14:paraId="648715F7"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According to Farrell (1957), economic efficiency would be decomposed into allocative and technical efficiency. This therefore means that, the broader focus of this economic efficiency is tilted towards allocative efficiency as an inference for channel structure and channel strategies.</w:t>
      </w:r>
    </w:p>
    <w:p w14:paraId="2D6288C3"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As Debreu (1951) puts it, the ability to measure product prices accurately enough depends on the economic efficiency. This condition is further strengthened by adequate information provision and to reduce barriers in communication (information asymmetry) and channel structure and less price variation.</w:t>
      </w:r>
    </w:p>
    <w:p w14:paraId="38256720"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 xml:space="preserve">The economic efficiency can be realised if a firm adopts a “channel strategy in the global marketing programme that must fit the company’s competitive position and overall marketing objectives in each national market” (Keegan &amp; Green, 2011.p406). Related to this Hill (2011) contends that the choice of a distribution strategy determines which channel the firm will used to reach potential consumers. Further, Hill puts it the optimal strategy is determined by the relative costs and benefits of each alternative which vary from country to country depending on four factors retail concentration, channel length, channel exclusivity, and channel quality. </w:t>
      </w:r>
    </w:p>
    <w:p w14:paraId="0DF1F8A4"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Arnold (2000) has outlined seven rules for international distribution to be effective. Thus, elect distributers and do not let them select you; look for distributers capable of developing markets, rather than those with a few good customer contacts; treat local distributers as long term partners, not temporary market entry vehicles; support market entry by committing money, managers, and proven market ideas; from the start, maintain control over marketing strategy; make sure distributers provide you with detailed market and financial performance data; and build links among national distributors at the earliest opportunity. These are strategies that will enhance a company’s channel quality for effective distribution.</w:t>
      </w:r>
    </w:p>
    <w:p w14:paraId="16DC6008"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 xml:space="preserve"> Undoubtedly, Coca Cola has carved a niche on the global market as being among the lead global brands. The nature and quality of the channel structure and the channel strategies can have a role of enhancing the patronage of the company’s products and further pronounce their efficiency and effectiveness. Answers to the following questions were sought in a bid to realize the research objectives. What are the intermediaries in the Coca Cola channel structure and what roles do they play? are Channel Strategies adopted effectively? ; and is there a means of enhancing the channel strategies of the Coca Cola Company? </w:t>
      </w:r>
    </w:p>
    <w:p w14:paraId="1F5CCC14"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In reference to the research problem studied, the following objectives were being researched on.</w:t>
      </w:r>
    </w:p>
    <w:p w14:paraId="460DE572" w14:textId="77777777" w:rsidR="00DB7EFB" w:rsidRPr="00E3232D" w:rsidRDefault="00DB7EFB" w:rsidP="00B76FD2">
      <w:pPr>
        <w:pStyle w:val="ListParagraph"/>
        <w:tabs>
          <w:tab w:val="left" w:pos="7185"/>
        </w:tabs>
        <w:spacing w:before="240" w:after="120"/>
        <w:ind w:left="0"/>
        <w:contextualSpacing w:val="0"/>
        <w:jc w:val="both"/>
        <w:rPr>
          <w:rFonts w:ascii="Book Antiqua" w:hAnsi="Book Antiqua"/>
        </w:rPr>
      </w:pPr>
      <w:r w:rsidRPr="00E3232D">
        <w:rPr>
          <w:rFonts w:ascii="Book Antiqua" w:hAnsi="Book Antiqua"/>
        </w:rPr>
        <w:lastRenderedPageBreak/>
        <w:t xml:space="preserve">The general objective of the research was to assess the effectiveness of the marketing channel structure and strategies and economic efficiency of Coca Cola products in the Tamale Metropolis.  </w:t>
      </w:r>
    </w:p>
    <w:p w14:paraId="1E281983"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Specifically the general objective would be realized through the following operational objectives:</w:t>
      </w:r>
    </w:p>
    <w:p w14:paraId="03677AEE" w14:textId="77777777" w:rsidR="00DB7EFB" w:rsidRPr="00E3232D" w:rsidRDefault="00DB7EFB" w:rsidP="00196385">
      <w:pPr>
        <w:numPr>
          <w:ilvl w:val="0"/>
          <w:numId w:val="63"/>
        </w:numPr>
        <w:spacing w:before="240" w:after="120"/>
        <w:jc w:val="both"/>
        <w:rPr>
          <w:rFonts w:ascii="Book Antiqua" w:hAnsi="Book Antiqua"/>
        </w:rPr>
      </w:pPr>
      <w:r w:rsidRPr="00E3232D">
        <w:rPr>
          <w:rFonts w:ascii="Book Antiqua" w:hAnsi="Book Antiqua"/>
        </w:rPr>
        <w:t xml:space="preserve">to identify and evaluate the channel intermediaries and their roles; </w:t>
      </w:r>
    </w:p>
    <w:p w14:paraId="33E3A2C0" w14:textId="77777777" w:rsidR="00DB7EFB" w:rsidRPr="00E3232D" w:rsidRDefault="00DB7EFB" w:rsidP="00196385">
      <w:pPr>
        <w:numPr>
          <w:ilvl w:val="0"/>
          <w:numId w:val="63"/>
        </w:numPr>
        <w:spacing w:before="240" w:after="120"/>
        <w:jc w:val="both"/>
        <w:rPr>
          <w:rFonts w:ascii="Book Antiqua" w:hAnsi="Book Antiqua"/>
        </w:rPr>
      </w:pPr>
      <w:r w:rsidRPr="00E3232D">
        <w:rPr>
          <w:rFonts w:ascii="Book Antiqua" w:hAnsi="Book Antiqua"/>
        </w:rPr>
        <w:t>to determine and evaluate the channel strategies that are in place; and</w:t>
      </w:r>
    </w:p>
    <w:p w14:paraId="3EE7729F" w14:textId="77777777" w:rsidR="00DB7EFB" w:rsidRPr="00E3232D" w:rsidRDefault="00DB7EFB" w:rsidP="00196385">
      <w:pPr>
        <w:numPr>
          <w:ilvl w:val="0"/>
          <w:numId w:val="63"/>
        </w:numPr>
        <w:spacing w:before="240" w:after="120"/>
        <w:jc w:val="both"/>
        <w:rPr>
          <w:rFonts w:ascii="Book Antiqua" w:hAnsi="Book Antiqua"/>
        </w:rPr>
      </w:pPr>
      <w:r w:rsidRPr="00E3232D">
        <w:rPr>
          <w:rFonts w:ascii="Book Antiqua" w:hAnsi="Book Antiqua"/>
        </w:rPr>
        <w:t xml:space="preserve">to explore more enhanced strategies for the effective and efficient delivering of Coca Cola products  and economic efficiency.   </w:t>
      </w:r>
    </w:p>
    <w:p w14:paraId="5025138E"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 xml:space="preserve">The research is intended to unravel the potential strategies to enhance the channel quality of the distribution of Coca Cola products in the Tamale Metropolis. Thus, findings and the recommendations made will influence the channel decisions of the Coca Cola Company. All intermediaries in the channel structure will also benefit from the outcome of the study as they will have an evaluative report on the channel effectiveness of the Coca Cola Company in Tamale metropolis. </w:t>
      </w:r>
    </w:p>
    <w:p w14:paraId="396C079A"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 xml:space="preserve">The researchers also are exposed to the practical realities on the channel structure, strategies and the way they influence the distribution of Coca Cola Products. The Research therefore made useful </w:t>
      </w:r>
      <w:r w:rsidRPr="00E3232D">
        <w:rPr>
          <w:rFonts w:ascii="Book Antiqua" w:hAnsi="Book Antiqua"/>
        </w:rPr>
        <w:t xml:space="preserve">recommendation on which subsequent researches can be conducted. </w:t>
      </w:r>
    </w:p>
    <w:p w14:paraId="006C70B2" w14:textId="77777777" w:rsidR="00DB7EFB" w:rsidRPr="00E3232D" w:rsidRDefault="00312FAA" w:rsidP="00196385">
      <w:pPr>
        <w:pStyle w:val="Heading2"/>
        <w:keepLines/>
        <w:numPr>
          <w:ilvl w:val="1"/>
          <w:numId w:val="159"/>
        </w:numPr>
        <w:spacing w:after="120"/>
        <w:jc w:val="both"/>
        <w:rPr>
          <w:rFonts w:ascii="Book Antiqua" w:hAnsi="Book Antiqua"/>
          <w:sz w:val="22"/>
          <w:szCs w:val="22"/>
        </w:rPr>
      </w:pPr>
      <w:r>
        <w:rPr>
          <w:rFonts w:ascii="Book Antiqua" w:hAnsi="Book Antiqua"/>
          <w:szCs w:val="22"/>
        </w:rPr>
        <w:t xml:space="preserve"> </w:t>
      </w:r>
      <w:r w:rsidR="00DB7EFB" w:rsidRPr="00B76FD2">
        <w:rPr>
          <w:rFonts w:ascii="Book Antiqua" w:hAnsi="Book Antiqua"/>
          <w:szCs w:val="22"/>
        </w:rPr>
        <w:t>Methodology</w:t>
      </w:r>
    </w:p>
    <w:p w14:paraId="5B2C16A8"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 xml:space="preserve">The survey approach was used in collecting data from the field, specifically from Tamale Metropolis. The research is basically on evaluating the channel structure and channel strategies of Coca Cola products in the Tamale Metropolis. A cross section of all the intermediaries in the channel structure was studied. The research was conducted in a period of three month. </w:t>
      </w:r>
    </w:p>
    <w:p w14:paraId="456E1B80"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 xml:space="preserve">Coca Cola is chosen because it is a major company in the country that has sustainably managed its chain of distribution in Ghana and Tamale Metropolis is chosen because it is the biggest city in Northern Ghana and has about eighty per cent of the population to be Muslims who would prefer soft drinks to alcoholic drinks.  </w:t>
      </w:r>
    </w:p>
    <w:p w14:paraId="2C21D518"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A case study method was adopted because the choice of channel structure and strategies are phenomena that affect contemporary business practices and there is the need to study the application of effective channel structure and channel strategy and economic efficiency to distribution of the Coca Cola products in the Tamale Metropolis.</w:t>
      </w:r>
    </w:p>
    <w:p w14:paraId="28F8BA29"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 xml:space="preserve">Mainly primary data was sought from the intermediaries in the channel structure and the unit of analysis is therefore the wholesalers and retailers in the channel structure. Primary data was sought from the Regional Sales Office of the Company in </w:t>
      </w:r>
      <w:r w:rsidRPr="00E3232D">
        <w:rPr>
          <w:rFonts w:ascii="Book Antiqua" w:hAnsi="Book Antiqua"/>
        </w:rPr>
        <w:lastRenderedPageBreak/>
        <w:t xml:space="preserve">Tamale, and selected distribution outlets within the metropolis. Secondary data was got from relevant journal articles, textbooks as well as internet sources. All wholesalers and retailers in Tamale metropolis are the target population and a sample was drawn from that on which the research was conducted. Purposive sampling method was used in getting information from the respondent. A total sample of seventy (70) channel members of Coca Cola in Tamale metropolis was research on. Five (5) wholesalers and sixty five (65) retailers were researched on. The Coca Cola Company has five micro distribution centres which play the role of wholesalers. A Questionnaire was used in collecting the data. The statistical package for social sciences (SPSS) version 15 was used in processing and presenting data. Simple frequency tables and charts are used in presenting and analyzing the Data.  </w:t>
      </w:r>
    </w:p>
    <w:p w14:paraId="690A7276" w14:textId="77777777" w:rsidR="00DB7EFB" w:rsidRPr="00E3232D" w:rsidRDefault="00806674" w:rsidP="00196385">
      <w:pPr>
        <w:pStyle w:val="Heading2"/>
        <w:keepLines/>
        <w:numPr>
          <w:ilvl w:val="0"/>
          <w:numId w:val="174"/>
        </w:numPr>
        <w:spacing w:after="120"/>
        <w:jc w:val="both"/>
        <w:rPr>
          <w:rFonts w:ascii="Book Antiqua" w:hAnsi="Book Antiqua"/>
          <w:sz w:val="22"/>
          <w:szCs w:val="22"/>
        </w:rPr>
      </w:pPr>
      <w:r>
        <w:rPr>
          <w:rFonts w:ascii="Book Antiqua" w:hAnsi="Book Antiqua"/>
          <w:szCs w:val="22"/>
        </w:rPr>
        <w:t xml:space="preserve"> </w:t>
      </w:r>
      <w:r w:rsidR="00DB7EFB" w:rsidRPr="00B76FD2">
        <w:rPr>
          <w:rFonts w:ascii="Book Antiqua" w:hAnsi="Book Antiqua"/>
          <w:szCs w:val="22"/>
        </w:rPr>
        <w:t>Results</w:t>
      </w:r>
    </w:p>
    <w:p w14:paraId="50D60237" w14:textId="77777777" w:rsidR="00DB7EFB" w:rsidRPr="00E3232D" w:rsidRDefault="00DB7EFB" w:rsidP="00B76FD2">
      <w:pPr>
        <w:tabs>
          <w:tab w:val="left" w:pos="7185"/>
        </w:tabs>
        <w:spacing w:before="240" w:after="120"/>
        <w:jc w:val="both"/>
        <w:rPr>
          <w:rFonts w:ascii="Book Antiqua" w:hAnsi="Book Antiqua"/>
        </w:rPr>
      </w:pPr>
      <w:r w:rsidRPr="00E3232D">
        <w:rPr>
          <w:rFonts w:ascii="Book Antiqua" w:hAnsi="Book Antiqua"/>
        </w:rPr>
        <w:t xml:space="preserve">From the data processed, it is realized that dominant structure is the one that links producers to wholesalers through retailers and then to final consumers. For, 63% of the respondents identified that link among the producer, wholesaler, retailers and consumers as the most dominant channel structure. Another structure identified is the link among the producer, retailers and the consumers, 20% of the respondent identified that as another structure used. Only one (1) percent of the respondents identified a direct link between the producer and the ultimate consumers. This, </w:t>
      </w:r>
      <w:r w:rsidRPr="00E3232D">
        <w:rPr>
          <w:rFonts w:ascii="Book Antiqua" w:hAnsi="Book Antiqua"/>
        </w:rPr>
        <w:t xml:space="preserve">they explained, is the direct link or sale to the hotels and restaurants in Tamale Metropolis. This implies that Coca Cola uses the common model of involving a number of intermediaries in distributing their products. It however, uses the Vertical Marketing System (VMS) where it has an appreciable level of control over all the other channel members. This is in line with Kotler and Keller (2009) disposition on the VMS. Data on Figure 1 illustrates the channel structure and channel members of Coca Cola in Tamale Metropolis.   </w:t>
      </w:r>
    </w:p>
    <w:p w14:paraId="3D1FE0A8" w14:textId="63C7AD56" w:rsidR="00DB7EFB" w:rsidRPr="00E3232D" w:rsidRDefault="00DB7EFB" w:rsidP="00B76FD2">
      <w:pPr>
        <w:spacing w:before="240" w:after="120"/>
        <w:jc w:val="both"/>
        <w:rPr>
          <w:rFonts w:ascii="Book Antiqua" w:hAnsi="Book Antiqua"/>
          <w:b/>
        </w:rPr>
      </w:pPr>
      <w:r w:rsidRPr="00E3232D">
        <w:rPr>
          <w:rFonts w:ascii="Book Antiqua" w:hAnsi="Book Antiqua"/>
          <w:b/>
        </w:rPr>
        <w:t xml:space="preserve">Figure </w:t>
      </w:r>
      <w:r w:rsidR="001815AD" w:rsidRPr="00E3232D">
        <w:rPr>
          <w:rFonts w:ascii="Book Antiqua" w:hAnsi="Book Antiqua"/>
          <w:b/>
        </w:rPr>
        <w:fldChar w:fldCharType="begin"/>
      </w:r>
      <w:r w:rsidRPr="00E3232D">
        <w:rPr>
          <w:rFonts w:ascii="Book Antiqua" w:hAnsi="Book Antiqua"/>
          <w:b/>
        </w:rPr>
        <w:instrText xml:space="preserve"> SEQ Figure \* ARABIC </w:instrText>
      </w:r>
      <w:r w:rsidR="001815AD" w:rsidRPr="00E3232D">
        <w:rPr>
          <w:rFonts w:ascii="Book Antiqua" w:hAnsi="Book Antiqua"/>
          <w:b/>
        </w:rPr>
        <w:fldChar w:fldCharType="separate"/>
      </w:r>
      <w:r w:rsidR="00850DC5">
        <w:rPr>
          <w:rFonts w:ascii="Book Antiqua" w:hAnsi="Book Antiqua"/>
          <w:b/>
          <w:noProof/>
        </w:rPr>
        <w:t>1</w:t>
      </w:r>
      <w:r w:rsidR="001815AD" w:rsidRPr="00E3232D">
        <w:rPr>
          <w:rFonts w:ascii="Book Antiqua" w:hAnsi="Book Antiqua"/>
          <w:b/>
        </w:rPr>
        <w:fldChar w:fldCharType="end"/>
      </w:r>
      <w:r w:rsidRPr="00E3232D">
        <w:rPr>
          <w:rFonts w:ascii="Book Antiqua" w:hAnsi="Book Antiqua"/>
          <w:b/>
        </w:rPr>
        <w:t>: The Channel Structure of Coca Cola</w:t>
      </w:r>
      <w:r w:rsidR="007005B1">
        <w:rPr>
          <w:rFonts w:ascii="Book Antiqua" w:hAnsi="Book Antiqua"/>
          <w:b/>
          <w:noProof/>
          <w:lang w:bidi="ar-SA"/>
        </w:rPr>
        <w:drawing>
          <wp:inline distT="0" distB="0" distL="0" distR="0" wp14:anchorId="0395FCF7" wp14:editId="2C164AB3">
            <wp:extent cx="3000375" cy="2981325"/>
            <wp:effectExtent l="19050" t="0" r="9525"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srcRect/>
                    <a:stretch>
                      <a:fillRect/>
                    </a:stretch>
                  </pic:blipFill>
                  <pic:spPr bwMode="auto">
                    <a:xfrm>
                      <a:off x="0" y="0"/>
                      <a:ext cx="3000375" cy="2981325"/>
                    </a:xfrm>
                    <a:prstGeom prst="rect">
                      <a:avLst/>
                    </a:prstGeom>
                    <a:noFill/>
                    <a:ln w="9525">
                      <a:noFill/>
                      <a:miter lim="800000"/>
                      <a:headEnd/>
                      <a:tailEnd/>
                    </a:ln>
                  </pic:spPr>
                </pic:pic>
              </a:graphicData>
            </a:graphic>
          </wp:inline>
        </w:drawing>
      </w:r>
    </w:p>
    <w:p w14:paraId="0AFA5D5C" w14:textId="77777777" w:rsidR="00DB7EFB" w:rsidRPr="005F7A6E" w:rsidRDefault="00DB7EFB" w:rsidP="005F7A6E">
      <w:pPr>
        <w:tabs>
          <w:tab w:val="left" w:pos="7185"/>
        </w:tabs>
        <w:spacing w:before="240" w:after="120"/>
        <w:jc w:val="both"/>
        <w:rPr>
          <w:rFonts w:ascii="Book Antiqua" w:hAnsi="Book Antiqua"/>
          <w:b/>
        </w:rPr>
      </w:pPr>
      <w:r w:rsidRPr="00E3232D">
        <w:rPr>
          <w:rFonts w:ascii="Book Antiqua" w:hAnsi="Book Antiqua"/>
          <w:b/>
        </w:rPr>
        <w:t xml:space="preserve">        Source: Field Survey, February 2012</w:t>
      </w:r>
      <w:r w:rsidRPr="00E3232D">
        <w:rPr>
          <w:rFonts w:ascii="Book Antiqua" w:hAnsi="Book Antiqua"/>
          <w:b/>
          <w:bCs/>
        </w:rPr>
        <w:t>The Role of Channel Members in the Channel Structure of Coca Cola in Tamale Metropolis</w:t>
      </w:r>
    </w:p>
    <w:p w14:paraId="41DC3B1C" w14:textId="77777777" w:rsidR="00DB7EFB" w:rsidRPr="00E3232D" w:rsidRDefault="00457A92" w:rsidP="00B76FD2">
      <w:pPr>
        <w:spacing w:before="240" w:after="120"/>
        <w:jc w:val="both"/>
        <w:rPr>
          <w:rFonts w:ascii="Book Antiqua" w:hAnsi="Book Antiqua"/>
          <w:bCs/>
        </w:rPr>
      </w:pPr>
      <w:r>
        <w:rPr>
          <w:rFonts w:ascii="Book Antiqua" w:hAnsi="Book Antiqua"/>
          <w:bCs/>
          <w:noProof/>
          <w:lang w:bidi="ar-SA"/>
        </w:rPr>
        <w:lastRenderedPageBreak/>
        <w:drawing>
          <wp:anchor distT="0" distB="0" distL="114300" distR="114300" simplePos="0" relativeHeight="251642880" behindDoc="1" locked="0" layoutInCell="1" allowOverlap="1" wp14:anchorId="6E3C8CFE" wp14:editId="23F9CF8E">
            <wp:simplePos x="0" y="0"/>
            <wp:positionH relativeFrom="column">
              <wp:posOffset>1752600</wp:posOffset>
            </wp:positionH>
            <wp:positionV relativeFrom="paragraph">
              <wp:posOffset>30480</wp:posOffset>
            </wp:positionV>
            <wp:extent cx="4314825" cy="4076700"/>
            <wp:effectExtent l="19050" t="0" r="9525" b="0"/>
            <wp:wrapTight wrapText="bothSides">
              <wp:wrapPolygon edited="0">
                <wp:start x="-95" y="101"/>
                <wp:lineTo x="-95" y="21398"/>
                <wp:lineTo x="21648" y="21398"/>
                <wp:lineTo x="21648" y="101"/>
                <wp:lineTo x="-95" y="101"/>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srcRect/>
                    <a:stretch>
                      <a:fillRect/>
                    </a:stretch>
                  </pic:blipFill>
                  <pic:spPr bwMode="auto">
                    <a:xfrm>
                      <a:off x="0" y="0"/>
                      <a:ext cx="4314825" cy="4076700"/>
                    </a:xfrm>
                    <a:prstGeom prst="rect">
                      <a:avLst/>
                    </a:prstGeom>
                    <a:noFill/>
                    <a:ln w="9525">
                      <a:noFill/>
                      <a:miter lim="800000"/>
                      <a:headEnd/>
                      <a:tailEnd/>
                    </a:ln>
                  </pic:spPr>
                </pic:pic>
              </a:graphicData>
            </a:graphic>
          </wp:anchor>
        </w:drawing>
      </w:r>
      <w:r w:rsidR="00DB7EFB" w:rsidRPr="00E3232D">
        <w:rPr>
          <w:rFonts w:ascii="Book Antiqua" w:hAnsi="Book Antiqua"/>
          <w:bCs/>
        </w:rPr>
        <w:t xml:space="preserve">Table 1 presents data on the roles of producers of Coca Cola and how they have effectively delivered these roles. Among the key roles of Coca Cola such as: Marketing the product; developing marketing strategies; adopting sustainable best practices; linking the firm with other intermediaries; and conducting market surveys, 42.9% summatively responded that these roles are effectively carried out, also in sum 32% responded these roles are very effectively carried out and 11% in sum said these roles are exceptionally carried out. About 11% however, said these roles are not effectively carried out.  </w:t>
      </w:r>
    </w:p>
    <w:p w14:paraId="38D46CDA" w14:textId="77777777" w:rsidR="001B1B96" w:rsidRDefault="00DB7EFB" w:rsidP="001B1B96">
      <w:pPr>
        <w:tabs>
          <w:tab w:val="left" w:pos="7185"/>
        </w:tabs>
        <w:spacing w:before="240" w:after="120"/>
        <w:jc w:val="both"/>
        <w:rPr>
          <w:rFonts w:ascii="Book Antiqua" w:hAnsi="Book Antiqua"/>
          <w:bCs/>
        </w:rPr>
      </w:pPr>
      <w:r w:rsidRPr="00E3232D">
        <w:rPr>
          <w:rFonts w:ascii="Book Antiqua" w:hAnsi="Book Antiqua"/>
          <w:bCs/>
        </w:rPr>
        <w:t>Specific roles that have featured prominently in being effectively carried out are: linking the firm with other intermediaries (57%); developing market strategies (35.7%) and conducting market research on the products. It is remarkable to note that 50% of respondents said all roles are exceptionally carried out and 50% also indicated all the roles are very exceptionally carried out. This implies that producers of Coca Cola remain very effective in their role of ensuring competitive advantage and sustaining their greater market share. Producers do not</w:t>
      </w:r>
      <w:r w:rsidR="001B1B96">
        <w:rPr>
          <w:rFonts w:ascii="Book Antiqua" w:hAnsi="Book Antiqua"/>
          <w:bCs/>
        </w:rPr>
        <w:t xml:space="preserve"> </w:t>
      </w:r>
    </w:p>
    <w:p w14:paraId="4860AC34" w14:textId="77777777" w:rsidR="001B1B96" w:rsidRDefault="001B1B96" w:rsidP="001B1B96">
      <w:pPr>
        <w:tabs>
          <w:tab w:val="left" w:pos="7185"/>
        </w:tabs>
        <w:spacing w:before="240" w:after="120"/>
        <w:jc w:val="both"/>
        <w:rPr>
          <w:rFonts w:ascii="Book Antiqua" w:hAnsi="Book Antiqua"/>
          <w:b/>
        </w:rPr>
      </w:pPr>
      <w:r w:rsidRPr="00E3232D">
        <w:rPr>
          <w:rFonts w:ascii="Book Antiqua" w:hAnsi="Book Antiqua"/>
          <w:b/>
        </w:rPr>
        <w:t>Source</w:t>
      </w:r>
      <w:r>
        <w:rPr>
          <w:rFonts w:ascii="Book Antiqua" w:hAnsi="Book Antiqua"/>
          <w:b/>
        </w:rPr>
        <w:t>:</w:t>
      </w:r>
      <w:r w:rsidRPr="00E3232D">
        <w:rPr>
          <w:rFonts w:ascii="Book Antiqua" w:hAnsi="Book Antiqua"/>
          <w:b/>
        </w:rPr>
        <w:t xml:space="preserve"> Field Survey, February 2012</w:t>
      </w:r>
    </w:p>
    <w:p w14:paraId="3FBB2BE5" w14:textId="77777777" w:rsidR="001B1B96" w:rsidRPr="00E3232D" w:rsidRDefault="001B1B96" w:rsidP="001B1B96">
      <w:pPr>
        <w:tabs>
          <w:tab w:val="left" w:pos="7185"/>
        </w:tabs>
        <w:spacing w:before="240" w:after="120"/>
        <w:jc w:val="both"/>
        <w:rPr>
          <w:rFonts w:ascii="Book Antiqua" w:hAnsi="Book Antiqua"/>
          <w:b/>
        </w:rPr>
      </w:pPr>
      <w:r>
        <w:rPr>
          <w:rFonts w:ascii="Book Antiqua" w:hAnsi="Book Antiqua"/>
          <w:bCs/>
        </w:rPr>
        <w:t xml:space="preserve">need </w:t>
      </w:r>
      <w:r w:rsidR="00DB7EFB" w:rsidRPr="00E3232D">
        <w:rPr>
          <w:rFonts w:ascii="Book Antiqua" w:hAnsi="Book Antiqua"/>
          <w:bCs/>
        </w:rPr>
        <w:t xml:space="preserve">to rest on their oars but urge on to </w:t>
      </w:r>
    </w:p>
    <w:p w14:paraId="0A8FC457" w14:textId="77777777" w:rsidR="00DB7EFB" w:rsidRPr="00E3232D" w:rsidRDefault="00DB7EFB" w:rsidP="00B76FD2">
      <w:pPr>
        <w:spacing w:before="240" w:after="120"/>
        <w:jc w:val="both"/>
        <w:rPr>
          <w:rFonts w:ascii="Book Antiqua" w:hAnsi="Book Antiqua"/>
          <w:bCs/>
        </w:rPr>
      </w:pPr>
      <w:r w:rsidRPr="00E3232D">
        <w:rPr>
          <w:rFonts w:ascii="Book Antiqua" w:hAnsi="Book Antiqua"/>
          <w:bCs/>
        </w:rPr>
        <w:t xml:space="preserve">sustain their competitive advantage on the market. </w:t>
      </w:r>
    </w:p>
    <w:p w14:paraId="486BF068" w14:textId="77777777" w:rsidR="00DB7EFB" w:rsidRPr="00E3232D" w:rsidRDefault="00DB7EFB" w:rsidP="00B76FD2">
      <w:pPr>
        <w:spacing w:before="240" w:after="120"/>
        <w:jc w:val="both"/>
        <w:rPr>
          <w:rFonts w:ascii="Book Antiqua" w:hAnsi="Book Antiqua"/>
          <w:bCs/>
        </w:rPr>
      </w:pPr>
      <w:r w:rsidRPr="00E3232D">
        <w:rPr>
          <w:rFonts w:ascii="Book Antiqua" w:hAnsi="Book Antiqua"/>
          <w:bCs/>
        </w:rPr>
        <w:t xml:space="preserve">On the roles of the wholesalers: creating market opportunities ; clearing the producers’ warehouse; establishing a sustained link between the producer and the retailers and providing logistics for distribution were all said to be very effectively carried out by the respondents. Of the 70 respondents, 75% said wholesalers provide logistics for distribution of Coca Cola products very effectively. Also 65% responded that wholesalers very effectively clear the producers’ warehouse and 46.7% said </w:t>
      </w:r>
      <w:r w:rsidRPr="00E3232D">
        <w:rPr>
          <w:rFonts w:ascii="Book Antiqua" w:hAnsi="Book Antiqua"/>
          <w:bCs/>
        </w:rPr>
        <w:lastRenderedPageBreak/>
        <w:t>wholesalers create market opportunities for Coca Cola products very effectively. It is however worthy of note that 12.5% and 9.5% respectively of the respondents have concerns that logistics provision and establishing sustained link with other channel members have not been carried out effectively. Thus, notwithstanding the commendable role of the wholesalers, much needs to be done.</w:t>
      </w:r>
    </w:p>
    <w:p w14:paraId="6FF2A576" w14:textId="77777777" w:rsidR="00DB7EFB" w:rsidRPr="00E3232D" w:rsidRDefault="007005B1" w:rsidP="00B76FD2">
      <w:pPr>
        <w:jc w:val="both"/>
        <w:rPr>
          <w:rFonts w:ascii="Book Antiqua" w:hAnsi="Book Antiqua"/>
          <w:bCs/>
        </w:rPr>
      </w:pPr>
      <w:r>
        <w:rPr>
          <w:rFonts w:ascii="Book Antiqua" w:hAnsi="Book Antiqua"/>
          <w:noProof/>
          <w:lang w:bidi="ar-SA"/>
        </w:rPr>
        <w:drawing>
          <wp:anchor distT="0" distB="0" distL="114300" distR="114300" simplePos="0" relativeHeight="251644928" behindDoc="1" locked="0" layoutInCell="1" allowOverlap="1" wp14:anchorId="419C47FD" wp14:editId="238280BD">
            <wp:simplePos x="0" y="0"/>
            <wp:positionH relativeFrom="column">
              <wp:posOffset>19050</wp:posOffset>
            </wp:positionH>
            <wp:positionV relativeFrom="paragraph">
              <wp:posOffset>-3810</wp:posOffset>
            </wp:positionV>
            <wp:extent cx="4572000" cy="3789680"/>
            <wp:effectExtent l="19050" t="0" r="0" b="0"/>
            <wp:wrapTight wrapText="bothSides">
              <wp:wrapPolygon edited="0">
                <wp:start x="-90" y="1737"/>
                <wp:lineTo x="-90" y="21390"/>
                <wp:lineTo x="21600" y="21390"/>
                <wp:lineTo x="21600" y="2280"/>
                <wp:lineTo x="13590" y="1737"/>
                <wp:lineTo x="-90" y="1737"/>
              </wp:wrapPolygon>
            </wp:wrapTight>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srcRect/>
                    <a:stretch>
                      <a:fillRect/>
                    </a:stretch>
                  </pic:blipFill>
                  <pic:spPr bwMode="auto">
                    <a:xfrm>
                      <a:off x="0" y="0"/>
                      <a:ext cx="4572000" cy="3789680"/>
                    </a:xfrm>
                    <a:prstGeom prst="rect">
                      <a:avLst/>
                    </a:prstGeom>
                    <a:noFill/>
                    <a:ln w="9525">
                      <a:noFill/>
                      <a:miter lim="800000"/>
                      <a:headEnd/>
                      <a:tailEnd/>
                    </a:ln>
                  </pic:spPr>
                </pic:pic>
              </a:graphicData>
            </a:graphic>
          </wp:anchor>
        </w:drawing>
      </w:r>
    </w:p>
    <w:p w14:paraId="4AC29E59" w14:textId="77777777" w:rsidR="00DB7EFB" w:rsidRPr="00E3232D" w:rsidRDefault="00DB7EFB" w:rsidP="00B76FD2">
      <w:pPr>
        <w:tabs>
          <w:tab w:val="left" w:pos="7185"/>
        </w:tabs>
        <w:spacing w:before="240" w:after="120"/>
        <w:jc w:val="both"/>
        <w:rPr>
          <w:rFonts w:ascii="Book Antiqua" w:hAnsi="Book Antiqua"/>
          <w:b/>
        </w:rPr>
      </w:pPr>
      <w:r w:rsidRPr="00E3232D">
        <w:rPr>
          <w:rFonts w:ascii="Book Antiqua" w:hAnsi="Book Antiqua"/>
          <w:b/>
        </w:rPr>
        <w:t>Source: Field Survey, February 2012</w:t>
      </w:r>
    </w:p>
    <w:p w14:paraId="27418730" w14:textId="77777777" w:rsidR="00107D6D" w:rsidRDefault="00DB7EFB" w:rsidP="00B76FD2">
      <w:pPr>
        <w:spacing w:before="240" w:after="120"/>
        <w:jc w:val="both"/>
        <w:rPr>
          <w:rFonts w:ascii="Book Antiqua" w:hAnsi="Book Antiqua"/>
        </w:rPr>
      </w:pPr>
      <w:r w:rsidRPr="00E3232D">
        <w:rPr>
          <w:rFonts w:ascii="Book Antiqua" w:hAnsi="Book Antiqua"/>
        </w:rPr>
        <w:t xml:space="preserve">Conspicuously, the role of retailers and the effective execution of these roles are in tandem with the effectiveness of the roles of the producer, and wholesalers discussed above. Of the 70 respondents, 77.8% said retailers roles are effectively carried out in terms of taking consumers’ concerns and 11% said the retailer’s roles are very effectively executed in terms of taking consumers’ concerns for feedback to the value added services to consumers, 13.3 % said that role is exceptionally carried out and 26.7% said it is effectively carried out. Clearing the stock of wholesalers recorded 23% very effective and 70% effective and breaking bulk for consumers recorded 19.2% exceptionally effectively carried, 27% said it is very effectively carried out and said breaking bulk is effectively carried out. The only deviations in terms of the retailer role poorly carried out are: breaking bulk for consumers 7.7%, and providing value added services 6.7%. Aside these deviations, the retailers have very effective mechanism of exacting their roles just as the producers and the wholesalers. This undoubtedly implies that Coca Cola has a very good channel structure and channel quality. This confirms Jurate et al. (2011) that “by using their relationship, experience, specialization and economies of scale, intermediaries create value added to the product to be sold”. This may be a replication of the value the company presents at the Global level. Table 3 illustrates data on the roles of the retailers </w:t>
      </w:r>
      <w:r w:rsidRPr="00E3232D">
        <w:rPr>
          <w:rFonts w:ascii="Book Antiqua" w:hAnsi="Book Antiqua"/>
        </w:rPr>
        <w:lastRenderedPageBreak/>
        <w:t xml:space="preserve">of Coca Cola and their effectiveness of the execution of these roles. </w:t>
      </w:r>
    </w:p>
    <w:p w14:paraId="17EC0186" w14:textId="77777777" w:rsidR="00DB7EFB" w:rsidRPr="00E3232D" w:rsidRDefault="00DB7EFB" w:rsidP="00B76FD2">
      <w:pPr>
        <w:spacing w:before="240" w:after="120"/>
        <w:jc w:val="both"/>
        <w:rPr>
          <w:rFonts w:ascii="Book Antiqua" w:hAnsi="Book Antiqua"/>
        </w:rPr>
      </w:pPr>
    </w:p>
    <w:p w14:paraId="5403374A" w14:textId="77777777" w:rsidR="00C452BC" w:rsidRDefault="00DB7EFB" w:rsidP="00457A92">
      <w:pPr>
        <w:tabs>
          <w:tab w:val="left" w:pos="7185"/>
        </w:tabs>
        <w:spacing w:before="240" w:after="120"/>
        <w:jc w:val="both"/>
        <w:rPr>
          <w:rFonts w:ascii="Book Antiqua" w:hAnsi="Book Antiqua"/>
          <w:b/>
        </w:rPr>
      </w:pPr>
      <w:r w:rsidRPr="00E3232D">
        <w:rPr>
          <w:rFonts w:ascii="Book Antiqua" w:hAnsi="Book Antiqua"/>
          <w:b/>
        </w:rPr>
        <w:t>Source: Field Survey, February 2012</w:t>
      </w:r>
    </w:p>
    <w:p w14:paraId="1A6CE1E9" w14:textId="77777777" w:rsidR="00DB7EFB" w:rsidRPr="00E3232D" w:rsidRDefault="00DB7EFB" w:rsidP="00B76FD2">
      <w:pPr>
        <w:tabs>
          <w:tab w:val="left" w:pos="2099"/>
        </w:tabs>
        <w:spacing w:before="240" w:after="120"/>
        <w:jc w:val="both"/>
        <w:rPr>
          <w:rFonts w:ascii="Book Antiqua" w:hAnsi="Book Antiqua"/>
          <w:b/>
        </w:rPr>
      </w:pPr>
      <w:r w:rsidRPr="00E3232D">
        <w:rPr>
          <w:rFonts w:ascii="Book Antiqua" w:hAnsi="Book Antiqua"/>
          <w:b/>
        </w:rPr>
        <w:t>Channel Strategies</w:t>
      </w:r>
    </w:p>
    <w:p w14:paraId="5E235AD2" w14:textId="77777777" w:rsidR="00DB7EFB" w:rsidRPr="00E3232D" w:rsidRDefault="001B1B96" w:rsidP="00B76FD2">
      <w:pPr>
        <w:tabs>
          <w:tab w:val="left" w:pos="2099"/>
        </w:tabs>
        <w:spacing w:before="240" w:after="120"/>
        <w:jc w:val="both"/>
        <w:rPr>
          <w:rFonts w:ascii="Book Antiqua" w:hAnsi="Book Antiqua"/>
        </w:rPr>
      </w:pPr>
      <w:r>
        <w:rPr>
          <w:rFonts w:ascii="Book Antiqua" w:hAnsi="Book Antiqua"/>
          <w:noProof/>
          <w:lang w:bidi="ar-SA"/>
        </w:rPr>
        <w:drawing>
          <wp:anchor distT="0" distB="0" distL="114300" distR="114300" simplePos="0" relativeHeight="251646976" behindDoc="1" locked="0" layoutInCell="1" allowOverlap="1" wp14:anchorId="6091A59B" wp14:editId="4E8B0812">
            <wp:simplePos x="0" y="0"/>
            <wp:positionH relativeFrom="column">
              <wp:posOffset>19050</wp:posOffset>
            </wp:positionH>
            <wp:positionV relativeFrom="paragraph">
              <wp:posOffset>-965200</wp:posOffset>
            </wp:positionV>
            <wp:extent cx="4486275" cy="3484245"/>
            <wp:effectExtent l="19050" t="0" r="9525" b="0"/>
            <wp:wrapTight wrapText="bothSides">
              <wp:wrapPolygon edited="0">
                <wp:start x="-92" y="590"/>
                <wp:lineTo x="-92" y="21376"/>
                <wp:lineTo x="21646" y="21376"/>
                <wp:lineTo x="21646" y="1417"/>
                <wp:lineTo x="20912" y="1181"/>
                <wp:lineTo x="16418" y="590"/>
                <wp:lineTo x="-92" y="590"/>
              </wp:wrapPolygon>
            </wp:wrapTight>
            <wp:docPr id="5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2"/>
                    <a:srcRect/>
                    <a:stretch>
                      <a:fillRect/>
                    </a:stretch>
                  </pic:blipFill>
                  <pic:spPr bwMode="auto">
                    <a:xfrm>
                      <a:off x="0" y="0"/>
                      <a:ext cx="4486275" cy="3484245"/>
                    </a:xfrm>
                    <a:prstGeom prst="rect">
                      <a:avLst/>
                    </a:prstGeom>
                    <a:noFill/>
                    <a:ln w="9525">
                      <a:noFill/>
                      <a:miter lim="800000"/>
                      <a:headEnd/>
                      <a:tailEnd/>
                    </a:ln>
                  </pic:spPr>
                </pic:pic>
              </a:graphicData>
            </a:graphic>
          </wp:anchor>
        </w:drawing>
      </w:r>
      <w:r w:rsidR="00DB7EFB" w:rsidRPr="00E3232D">
        <w:rPr>
          <w:rFonts w:ascii="Book Antiqua" w:hAnsi="Book Antiqua"/>
        </w:rPr>
        <w:t>This section of the paper is on the channel strategies that the intermediaries used in enhancing distribution of Coca Cola products in Tamale Metropolis. As the channel structure provides a framework around which the intermediaries of the channel execute their roles, the channel strategies are the significant “hows” of delivering on the structure. Thus, strategies are levers with which the roles of the channel intermediaries are carried out.  Among the factors that influence the choice of a channel strategy, perishability features significantly. About 56% of the respondents said perishability of the products influences the choice of channel strategies. Service requirement and bulkiness of a product also influence the choice of a channel strategy. About 17% and 14% respectively responded that service requirement and bulkiness influence the choice of channel strategy. Thus, once products of Coca Cola and consumables, they serve a better purpose if they reach the consumers in time. Not only that but also the service requirement such as cleaning, chilling should be done effectively to guarantee sustained consumers interest. This explains why the wholesalers provide logistics for distribution of the Coca Cola products. These are usually fridges and ice chest in which the retailers sell the Coca Cola products. Convenience in handling through the breaking of bulk is also a factor that influences the choice of channel strategies. Thus there should be right blends of factors that influence the choice channel strategies. Table 4 provides data on product characteristics’ influence on channel strategy.</w:t>
      </w:r>
    </w:p>
    <w:p w14:paraId="0D600674" w14:textId="77777777" w:rsidR="00107D6D" w:rsidRDefault="00107D6D" w:rsidP="00B76FD2">
      <w:pPr>
        <w:tabs>
          <w:tab w:val="left" w:pos="2099"/>
        </w:tabs>
        <w:spacing w:before="240" w:after="120"/>
        <w:jc w:val="both"/>
        <w:rPr>
          <w:rFonts w:ascii="Book Antiqua" w:hAnsi="Book Antiqua"/>
          <w:b/>
        </w:rPr>
      </w:pPr>
    </w:p>
    <w:p w14:paraId="37E453A7" w14:textId="77777777" w:rsidR="001B1B96" w:rsidRDefault="001B1B96" w:rsidP="00B76FD2">
      <w:pPr>
        <w:tabs>
          <w:tab w:val="left" w:pos="2099"/>
        </w:tabs>
        <w:spacing w:before="240" w:after="120"/>
        <w:jc w:val="both"/>
        <w:rPr>
          <w:rFonts w:ascii="Book Antiqua" w:hAnsi="Book Antiqua"/>
          <w:b/>
        </w:rPr>
      </w:pPr>
    </w:p>
    <w:p w14:paraId="4D69FA65" w14:textId="77777777" w:rsidR="001B1B96" w:rsidRDefault="001B1B96" w:rsidP="00B76FD2">
      <w:pPr>
        <w:tabs>
          <w:tab w:val="left" w:pos="2099"/>
        </w:tabs>
        <w:spacing w:before="240" w:after="120"/>
        <w:jc w:val="both"/>
        <w:rPr>
          <w:rFonts w:ascii="Book Antiqua" w:hAnsi="Book Antiqua"/>
          <w:b/>
        </w:rPr>
      </w:pPr>
    </w:p>
    <w:p w14:paraId="75B7CE87" w14:textId="77777777" w:rsidR="001B1B96" w:rsidRPr="00E3232D" w:rsidRDefault="001B1B96" w:rsidP="001B1B96">
      <w:pPr>
        <w:tabs>
          <w:tab w:val="left" w:pos="7185"/>
        </w:tabs>
        <w:spacing w:before="240" w:after="120"/>
        <w:jc w:val="both"/>
        <w:rPr>
          <w:rFonts w:ascii="Book Antiqua" w:hAnsi="Book Antiqua"/>
          <w:b/>
        </w:rPr>
      </w:pPr>
      <w:r w:rsidRPr="00E3232D">
        <w:rPr>
          <w:rFonts w:ascii="Book Antiqua" w:hAnsi="Book Antiqua"/>
          <w:b/>
        </w:rPr>
        <w:t>Source: Field Survey, February 2012</w:t>
      </w:r>
    </w:p>
    <w:p w14:paraId="277B0914" w14:textId="77777777" w:rsidR="00DB7EFB" w:rsidRPr="00E3232D" w:rsidRDefault="001B1B96" w:rsidP="00457A92">
      <w:pPr>
        <w:tabs>
          <w:tab w:val="left" w:pos="2099"/>
        </w:tabs>
        <w:spacing w:before="240" w:after="120"/>
        <w:jc w:val="both"/>
        <w:rPr>
          <w:rFonts w:ascii="Book Antiqua" w:hAnsi="Book Antiqua"/>
          <w:b/>
        </w:rPr>
      </w:pPr>
      <w:r>
        <w:rPr>
          <w:rFonts w:ascii="Book Antiqua" w:hAnsi="Book Antiqua"/>
          <w:b/>
        </w:rPr>
        <w:t>Fi</w:t>
      </w:r>
      <w:r w:rsidR="00DB7EFB" w:rsidRPr="00E3232D">
        <w:rPr>
          <w:rFonts w:ascii="Book Antiqua" w:hAnsi="Book Antiqua"/>
          <w:b/>
        </w:rPr>
        <w:t>gure 2: What product characteristic influence the choice of a channel</w:t>
      </w:r>
    </w:p>
    <w:p w14:paraId="36181DCE" w14:textId="77777777" w:rsidR="00DB7EFB" w:rsidRPr="00E3232D" w:rsidRDefault="00DB7EFB" w:rsidP="00B76FD2">
      <w:pPr>
        <w:tabs>
          <w:tab w:val="left" w:pos="7185"/>
        </w:tabs>
        <w:spacing w:before="240" w:after="120"/>
        <w:jc w:val="both"/>
        <w:rPr>
          <w:rFonts w:ascii="Book Antiqua" w:hAnsi="Book Antiqua"/>
          <w:b/>
        </w:rPr>
      </w:pPr>
      <w:r w:rsidRPr="00E3232D">
        <w:rPr>
          <w:rFonts w:ascii="Book Antiqua" w:hAnsi="Book Antiqua"/>
          <w:b/>
        </w:rPr>
        <w:t>Source: Field Survey, February 2012</w:t>
      </w:r>
    </w:p>
    <w:p w14:paraId="563C43FF" w14:textId="77777777" w:rsidR="00DB7EFB" w:rsidRPr="00E3232D" w:rsidRDefault="001B1B96" w:rsidP="009E7AAE">
      <w:pPr>
        <w:spacing w:after="0"/>
        <w:jc w:val="both"/>
        <w:rPr>
          <w:rFonts w:ascii="Book Antiqua" w:hAnsi="Book Antiqua"/>
        </w:rPr>
      </w:pPr>
      <w:r>
        <w:rPr>
          <w:rFonts w:ascii="Book Antiqua" w:hAnsi="Book Antiqua"/>
          <w:noProof/>
          <w:lang w:bidi="ar-SA"/>
        </w:rPr>
        <w:drawing>
          <wp:anchor distT="0" distB="0" distL="114300" distR="114300" simplePos="0" relativeHeight="251669504" behindDoc="1" locked="0" layoutInCell="1" allowOverlap="1" wp14:anchorId="46C16F6F" wp14:editId="05DCC773">
            <wp:simplePos x="0" y="0"/>
            <wp:positionH relativeFrom="column">
              <wp:posOffset>19050</wp:posOffset>
            </wp:positionH>
            <wp:positionV relativeFrom="paragraph">
              <wp:posOffset>-1604645</wp:posOffset>
            </wp:positionV>
            <wp:extent cx="3314700" cy="2600325"/>
            <wp:effectExtent l="19050" t="0" r="0" b="0"/>
            <wp:wrapTight wrapText="bothSides">
              <wp:wrapPolygon edited="0">
                <wp:start x="-124" y="0"/>
                <wp:lineTo x="-124" y="21521"/>
                <wp:lineTo x="21600" y="21521"/>
                <wp:lineTo x="21600" y="0"/>
                <wp:lineTo x="-124" y="0"/>
              </wp:wrapPolygon>
            </wp:wrapTight>
            <wp:docPr id="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3"/>
                    <a:srcRect/>
                    <a:stretch>
                      <a:fillRect/>
                    </a:stretch>
                  </pic:blipFill>
                  <pic:spPr bwMode="auto">
                    <a:xfrm>
                      <a:off x="0" y="0"/>
                      <a:ext cx="3314700" cy="2600325"/>
                    </a:xfrm>
                    <a:prstGeom prst="rect">
                      <a:avLst/>
                    </a:prstGeom>
                    <a:noFill/>
                    <a:ln w="9525">
                      <a:noFill/>
                      <a:miter lim="800000"/>
                      <a:headEnd/>
                      <a:tailEnd/>
                    </a:ln>
                  </pic:spPr>
                </pic:pic>
              </a:graphicData>
            </a:graphic>
          </wp:anchor>
        </w:drawing>
      </w:r>
      <w:r w:rsidR="00DB7EFB" w:rsidRPr="00E3232D">
        <w:rPr>
          <w:rFonts w:ascii="Book Antiqua" w:hAnsi="Book Antiqua"/>
        </w:rPr>
        <w:t xml:space="preserve">Apart from product characteristics, other significant factors influence the choice of channel strategies. Ease and Convenience is a very important factor to be considered in the choice of channel strategies, as 24.3% of the respondents identified that as a factor. Reliability of the strategy, economy of the adoption of the strategy and channel length are also important factors that the channel members of Coca Cola have identified. For Reliability, 25% of the respondents said is a determine factor, 5.7% said channel length is a factor and economy in use 18.6%. Data on this is shown on Table 5.  </w:t>
      </w:r>
    </w:p>
    <w:p w14:paraId="61097782" w14:textId="77777777" w:rsidR="00DB7EFB" w:rsidRPr="00E3232D" w:rsidRDefault="00DB7EFB" w:rsidP="00B76FD2">
      <w:pPr>
        <w:spacing w:before="240" w:after="120"/>
        <w:jc w:val="both"/>
        <w:rPr>
          <w:rFonts w:ascii="Book Antiqua" w:hAnsi="Book Antiqua"/>
          <w:b/>
        </w:rPr>
      </w:pPr>
      <w:r w:rsidRPr="00E3232D">
        <w:rPr>
          <w:rFonts w:ascii="Book Antiqua" w:hAnsi="Book Antiqua"/>
          <w:b/>
        </w:rPr>
        <w:t xml:space="preserve">Effectiveness of Coca Cola Strategies </w:t>
      </w:r>
    </w:p>
    <w:p w14:paraId="433AA951" w14:textId="77777777" w:rsidR="00DB7EFB" w:rsidRPr="00E3232D" w:rsidRDefault="00DB7EFB" w:rsidP="00B76FD2">
      <w:pPr>
        <w:spacing w:before="240" w:after="120"/>
        <w:jc w:val="both"/>
        <w:rPr>
          <w:rFonts w:ascii="Book Antiqua" w:hAnsi="Book Antiqua"/>
          <w:bCs/>
        </w:rPr>
      </w:pPr>
      <w:r w:rsidRPr="00E3232D">
        <w:rPr>
          <w:rFonts w:ascii="Book Antiqua" w:hAnsi="Book Antiqua"/>
        </w:rPr>
        <w:t xml:space="preserve">This section of the paper is on the effectiveness of the Coca Cola channel strategies. About 45.7% said the channel strategies are very effective, 34% said the strategies are effective and 11.4% said that strategies are exceptionally effective. Only about 4% said the strategies are poorly effective or worse effective. Despite this deviation, Coca Cola is seen to have best practices when it gets to strategies of delivering their products on the market. This may be attributable to the channel quality in place and the brand equity the product has over a period of time. This may explain why it is always rated among the best products with the best distribution strategies on the globe. </w:t>
      </w:r>
      <w:r w:rsidRPr="00E3232D">
        <w:rPr>
          <w:rFonts w:ascii="Book Antiqua" w:hAnsi="Book Antiqua"/>
          <w:bCs/>
        </w:rPr>
        <w:t xml:space="preserve">Data on the effectiveness of Coca Cola channel Strategies in Tamale Metropolis is presented in Table 6. </w:t>
      </w:r>
    </w:p>
    <w:p w14:paraId="3C7E6244" w14:textId="77777777" w:rsidR="00DB7EFB" w:rsidRPr="00E3232D" w:rsidRDefault="00457A92" w:rsidP="00B76FD2">
      <w:pPr>
        <w:jc w:val="both"/>
        <w:rPr>
          <w:rFonts w:ascii="Book Antiqua" w:hAnsi="Book Antiqua"/>
          <w:b/>
          <w:bCs/>
        </w:rPr>
      </w:pPr>
      <w:r>
        <w:rPr>
          <w:rFonts w:ascii="Book Antiqua" w:hAnsi="Book Antiqua"/>
          <w:noProof/>
          <w:lang w:bidi="ar-SA"/>
        </w:rPr>
        <w:drawing>
          <wp:anchor distT="0" distB="0" distL="114300" distR="114300" simplePos="0" relativeHeight="251649024" behindDoc="1" locked="0" layoutInCell="1" allowOverlap="1" wp14:anchorId="01DC3D41" wp14:editId="79269C1C">
            <wp:simplePos x="0" y="0"/>
            <wp:positionH relativeFrom="column">
              <wp:posOffset>-3252470</wp:posOffset>
            </wp:positionH>
            <wp:positionV relativeFrom="paragraph">
              <wp:posOffset>2618740</wp:posOffset>
            </wp:positionV>
            <wp:extent cx="2962275" cy="2162175"/>
            <wp:effectExtent l="19050" t="0" r="9525" b="0"/>
            <wp:wrapTight wrapText="bothSides">
              <wp:wrapPolygon edited="0">
                <wp:start x="-139" y="1142"/>
                <wp:lineTo x="-139" y="21315"/>
                <wp:lineTo x="21669" y="21315"/>
                <wp:lineTo x="21669" y="3426"/>
                <wp:lineTo x="19725" y="1142"/>
                <wp:lineTo x="19030" y="1142"/>
                <wp:lineTo x="-139" y="1142"/>
              </wp:wrapPolygon>
            </wp:wrapTight>
            <wp:docPr id="5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a:srcRect/>
                    <a:stretch>
                      <a:fillRect/>
                    </a:stretch>
                  </pic:blipFill>
                  <pic:spPr bwMode="auto">
                    <a:xfrm>
                      <a:off x="0" y="0"/>
                      <a:ext cx="2962275" cy="2162175"/>
                    </a:xfrm>
                    <a:prstGeom prst="rect">
                      <a:avLst/>
                    </a:prstGeom>
                    <a:noFill/>
                    <a:ln w="9525">
                      <a:noFill/>
                      <a:miter lim="800000"/>
                      <a:headEnd/>
                      <a:tailEnd/>
                    </a:ln>
                  </pic:spPr>
                </pic:pic>
              </a:graphicData>
            </a:graphic>
          </wp:anchor>
        </w:drawing>
      </w:r>
      <w:r w:rsidR="007005B1">
        <w:rPr>
          <w:rFonts w:ascii="Book Antiqua" w:hAnsi="Book Antiqua"/>
          <w:noProof/>
          <w:lang w:bidi="ar-SA"/>
        </w:rPr>
        <w:drawing>
          <wp:inline distT="0" distB="0" distL="0" distR="0" wp14:anchorId="593FD289" wp14:editId="007CC5FD">
            <wp:extent cx="2733675" cy="1704975"/>
            <wp:effectExtent l="19050" t="0" r="9525" b="0"/>
            <wp:docPr id="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a:srcRect/>
                    <a:stretch>
                      <a:fillRect/>
                    </a:stretch>
                  </pic:blipFill>
                  <pic:spPr bwMode="auto">
                    <a:xfrm>
                      <a:off x="0" y="0"/>
                      <a:ext cx="2733675" cy="1704975"/>
                    </a:xfrm>
                    <a:prstGeom prst="rect">
                      <a:avLst/>
                    </a:prstGeom>
                    <a:noFill/>
                    <a:ln w="9525">
                      <a:noFill/>
                      <a:miter lim="800000"/>
                      <a:headEnd/>
                      <a:tailEnd/>
                    </a:ln>
                  </pic:spPr>
                </pic:pic>
              </a:graphicData>
            </a:graphic>
          </wp:inline>
        </w:drawing>
      </w:r>
    </w:p>
    <w:p w14:paraId="578C9C60" w14:textId="77777777" w:rsidR="00DB7EFB" w:rsidRPr="00E3232D" w:rsidRDefault="00DB7EFB" w:rsidP="00B76FD2">
      <w:pPr>
        <w:spacing w:before="240" w:after="120"/>
        <w:jc w:val="both"/>
        <w:rPr>
          <w:rFonts w:ascii="Book Antiqua" w:hAnsi="Book Antiqua"/>
          <w:b/>
          <w:bCs/>
        </w:rPr>
      </w:pPr>
      <w:r w:rsidRPr="00E3232D">
        <w:rPr>
          <w:rFonts w:ascii="Book Antiqua" w:hAnsi="Book Antiqua"/>
          <w:b/>
        </w:rPr>
        <w:t>Source: Field Survey, February 2012</w:t>
      </w:r>
    </w:p>
    <w:p w14:paraId="4857E844" w14:textId="77777777" w:rsidR="00DB7EFB" w:rsidRPr="00E3232D" w:rsidRDefault="00DB7EFB" w:rsidP="00B76FD2">
      <w:pPr>
        <w:spacing w:before="240" w:after="120"/>
        <w:jc w:val="both"/>
        <w:rPr>
          <w:rFonts w:ascii="Book Antiqua" w:hAnsi="Book Antiqua"/>
          <w:b/>
        </w:rPr>
      </w:pPr>
      <w:r w:rsidRPr="00E3232D">
        <w:rPr>
          <w:rFonts w:ascii="Book Antiqua" w:hAnsi="Book Antiqua"/>
          <w:b/>
        </w:rPr>
        <w:t>The Way Forward in Enhancing the Channel Quality of Coca Cola</w:t>
      </w:r>
    </w:p>
    <w:p w14:paraId="6F7646ED" w14:textId="77777777" w:rsidR="00DB7EFB" w:rsidRPr="00E3232D" w:rsidRDefault="00DB7EFB" w:rsidP="00B76FD2">
      <w:pPr>
        <w:spacing w:before="240" w:after="120"/>
        <w:jc w:val="both"/>
        <w:rPr>
          <w:rFonts w:ascii="Book Antiqua" w:hAnsi="Book Antiqua"/>
        </w:rPr>
      </w:pPr>
      <w:r w:rsidRPr="00E3232D">
        <w:rPr>
          <w:rFonts w:ascii="Book Antiqua" w:hAnsi="Book Antiqua"/>
        </w:rPr>
        <w:lastRenderedPageBreak/>
        <w:t xml:space="preserve">Irrespective of the nature of the effectiveness channel of a firm, it requires to work out more strategies to ensuring that the best is realized in terms of benefits from the channel at hand. Different strategies are abound. From the research, about 26% of the respondents proposed conducting of regular and routine monitoring of channel intermediaries, 20% suggested the need to enhance the competencies and skills of the intermediaries, about 18% said there is the need for market surveys and customer rating opportunities, and 17%  proposed the need to invest in logistics and transportation. This confirms the need to enhance the channel strategies to be able to sustain the competitive advantages of the Coca Cola Company. This is in line with (Hill, 2011; Keegan and Green 2011; and Arnold, 2000) positions on enhancing channel quality for effective distribution.  It requires the collective role of all stakeholders or channel members to ensure that the channel quality is enhanced and appropriate strategies adapted to deepening the benefits associated with the channel. Though this the company can realized sustained advantage of enhancing its competitive edge. </w:t>
      </w:r>
    </w:p>
    <w:p w14:paraId="278BE437" w14:textId="77777777" w:rsidR="00DB7EFB" w:rsidRPr="00E3232D" w:rsidRDefault="007005B1" w:rsidP="00B76FD2">
      <w:pPr>
        <w:spacing w:before="240" w:after="120"/>
        <w:jc w:val="both"/>
        <w:rPr>
          <w:rFonts w:ascii="Book Antiqua" w:hAnsi="Book Antiqua"/>
          <w:noProof/>
          <w:lang w:val="en-GB" w:eastAsia="en-GB"/>
        </w:rPr>
      </w:pPr>
      <w:r>
        <w:rPr>
          <w:rFonts w:ascii="Book Antiqua" w:hAnsi="Book Antiqua"/>
          <w:noProof/>
          <w:lang w:bidi="ar-SA"/>
        </w:rPr>
        <w:drawing>
          <wp:inline distT="0" distB="0" distL="0" distR="0" wp14:anchorId="4DC423D2" wp14:editId="789F0FDF">
            <wp:extent cx="2413443" cy="2458528"/>
            <wp:effectExtent l="19050" t="0" r="24957" b="0"/>
            <wp:docPr id="5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CBEDE09" w14:textId="77777777" w:rsidR="00457A92" w:rsidRPr="00E3232D" w:rsidRDefault="00DB7EFB" w:rsidP="00457A92">
      <w:pPr>
        <w:spacing w:before="240" w:after="120"/>
        <w:jc w:val="both"/>
        <w:rPr>
          <w:rFonts w:ascii="Book Antiqua" w:hAnsi="Book Antiqua"/>
          <w:b/>
        </w:rPr>
      </w:pPr>
      <w:r w:rsidRPr="00E3232D">
        <w:rPr>
          <w:rFonts w:ascii="Book Antiqua" w:hAnsi="Book Antiqua"/>
          <w:b/>
        </w:rPr>
        <w:t xml:space="preserve">Field </w:t>
      </w:r>
      <w:r w:rsidR="00457A92" w:rsidRPr="00E3232D">
        <w:rPr>
          <w:rFonts w:ascii="Book Antiqua" w:hAnsi="Book Antiqua"/>
          <w:b/>
        </w:rPr>
        <w:t>Figure 3: Establishing things Coca Cola needs to do to enhance its channel quality in Tamale Metropolis</w:t>
      </w:r>
    </w:p>
    <w:p w14:paraId="0158C0C3" w14:textId="77777777" w:rsidR="00DB7EFB" w:rsidRPr="00E3232D" w:rsidRDefault="00457A92" w:rsidP="00B76FD2">
      <w:pPr>
        <w:spacing w:before="240" w:after="120"/>
        <w:jc w:val="both"/>
        <w:rPr>
          <w:rFonts w:ascii="Book Antiqua" w:hAnsi="Book Antiqua"/>
          <w:b/>
        </w:rPr>
      </w:pPr>
      <w:r w:rsidRPr="00E3232D">
        <w:rPr>
          <w:rFonts w:ascii="Book Antiqua" w:hAnsi="Book Antiqua"/>
          <w:b/>
        </w:rPr>
        <w:t xml:space="preserve">Source: </w:t>
      </w:r>
      <w:r w:rsidR="00DB7EFB" w:rsidRPr="00E3232D">
        <w:rPr>
          <w:rFonts w:ascii="Book Antiqua" w:hAnsi="Book Antiqua"/>
          <w:b/>
        </w:rPr>
        <w:t>Survey, February 2012</w:t>
      </w:r>
    </w:p>
    <w:p w14:paraId="44E7A2E0" w14:textId="77777777" w:rsidR="00DB7EFB" w:rsidRPr="00E3232D" w:rsidRDefault="00DB7EFB" w:rsidP="00196385">
      <w:pPr>
        <w:pStyle w:val="Heading2"/>
        <w:keepLines/>
        <w:numPr>
          <w:ilvl w:val="0"/>
          <w:numId w:val="174"/>
        </w:numPr>
        <w:spacing w:after="120"/>
        <w:jc w:val="both"/>
        <w:rPr>
          <w:rFonts w:ascii="Book Antiqua" w:hAnsi="Book Antiqua"/>
          <w:sz w:val="22"/>
          <w:szCs w:val="22"/>
        </w:rPr>
      </w:pPr>
      <w:r w:rsidRPr="00457A92">
        <w:rPr>
          <w:rFonts w:ascii="Book Antiqua" w:hAnsi="Book Antiqua"/>
          <w:szCs w:val="22"/>
        </w:rPr>
        <w:t>Discussion</w:t>
      </w:r>
    </w:p>
    <w:p w14:paraId="05604166" w14:textId="77777777" w:rsidR="00DB7EFB" w:rsidRPr="00E3232D" w:rsidRDefault="00DB7EFB" w:rsidP="00B76FD2">
      <w:pPr>
        <w:spacing w:before="240" w:after="120"/>
        <w:jc w:val="both"/>
        <w:rPr>
          <w:rFonts w:ascii="Book Antiqua" w:hAnsi="Book Antiqua"/>
        </w:rPr>
      </w:pPr>
      <w:r w:rsidRPr="00E3232D">
        <w:rPr>
          <w:rFonts w:ascii="Book Antiqua" w:hAnsi="Book Antiqua"/>
        </w:rPr>
        <w:t xml:space="preserve">From the foregoing analysis of the data, the following notable key findings are made.  The dominant channel structure that Coca Cola uses in the distribution of its products in the Tamale Metropolis is the link with a flow from: the producer to the wholesaler and then to the retailer and finally to the consumer. Also the structure that is least used is the one from the producer directly to the consumer. Mainly, Coca Cola sells directly in this case to the restaurants and Hotels. The firm has established a common model of distribution that links all the channel members. Thus Coca Cola uses the Vertical Marketing System as it has an appreciable level of control over all the channel members. </w:t>
      </w:r>
    </w:p>
    <w:p w14:paraId="58B992B6" w14:textId="77777777" w:rsidR="00DB7EFB" w:rsidRPr="00E3232D" w:rsidRDefault="00DB7EFB" w:rsidP="00B76FD2">
      <w:pPr>
        <w:spacing w:before="240" w:after="120"/>
        <w:jc w:val="both"/>
        <w:rPr>
          <w:rFonts w:ascii="Book Antiqua" w:hAnsi="Book Antiqua"/>
        </w:rPr>
      </w:pPr>
      <w:r w:rsidRPr="00E3232D">
        <w:rPr>
          <w:rFonts w:ascii="Book Antiqua" w:hAnsi="Book Antiqua"/>
        </w:rPr>
        <w:t xml:space="preserve">Among the roles of the producer in the channel structure are: linking the firm with </w:t>
      </w:r>
      <w:r w:rsidRPr="00E3232D">
        <w:rPr>
          <w:rFonts w:ascii="Book Antiqua" w:hAnsi="Book Antiqua"/>
        </w:rPr>
        <w:lastRenderedPageBreak/>
        <w:t xml:space="preserve">other intermediaries; developing market strategies; and conducting market research on the products feature very prominently area are effectively carried out. Thus, producers of Coca Cola remain very effective in their roles of ensuring their competitive advantage and sustaining their greater share of the beverage market in Tamale Metropolis. Wholesalers of Coca Cola in Tamale Metropolis very effectively provide logistics for the distribution of its products. Also they very effectively clear the warehouse of producers as well as create or provide opportunities for the distribution of the Coca Cola Products.  The retailers of Coca Cola Channel structure are notably very effective: in clearing the warehouse of the wholesalers; in taking customer/consumers’ concerns and exceptionally very effective in breaking bulk for the final consumers. Coca Cola has a very effective channel structure and channel quality.  Perishability, Service requirements and the bulkiness of Coca Cola products influence the choice of channel strategies. The Perishability in this context refers to the notable possibility of breakages, especially of the paper packs and the bottle packages of the products. The service requirements emphasize is the cleaning of bottles and the freezing of the products to provide the taste expected of the products. These product characteristics remain the dominant factors that influence the choice of channel strategies for the distribution of Coca Cola. </w:t>
      </w:r>
    </w:p>
    <w:p w14:paraId="623E33D8" w14:textId="77777777" w:rsidR="00DB7EFB" w:rsidRPr="00E3232D" w:rsidRDefault="00DB7EFB" w:rsidP="00B76FD2">
      <w:pPr>
        <w:spacing w:before="240" w:after="120"/>
        <w:jc w:val="both"/>
        <w:rPr>
          <w:rFonts w:ascii="Book Antiqua" w:hAnsi="Book Antiqua"/>
        </w:rPr>
      </w:pPr>
      <w:r w:rsidRPr="00E3232D">
        <w:rPr>
          <w:rFonts w:ascii="Book Antiqua" w:hAnsi="Book Antiqua"/>
        </w:rPr>
        <w:t xml:space="preserve">Apart from Product Characteristics: reliability of the product; economy of adoption of a strategy and channel length </w:t>
      </w:r>
      <w:r w:rsidRPr="00E3232D">
        <w:rPr>
          <w:rFonts w:ascii="Book Antiqua" w:hAnsi="Book Antiqua"/>
        </w:rPr>
        <w:t xml:space="preserve">are important factors that influence the choice of channel strategies of Coca Cola in Tamale Metropolis. </w:t>
      </w:r>
    </w:p>
    <w:p w14:paraId="0757DC9C" w14:textId="77777777" w:rsidR="00DB7EFB" w:rsidRPr="00E3232D" w:rsidRDefault="00DB7EFB" w:rsidP="00196385">
      <w:pPr>
        <w:pStyle w:val="Heading2"/>
        <w:keepLines/>
        <w:numPr>
          <w:ilvl w:val="0"/>
          <w:numId w:val="174"/>
        </w:numPr>
        <w:spacing w:after="120"/>
        <w:jc w:val="both"/>
        <w:rPr>
          <w:rFonts w:ascii="Book Antiqua" w:hAnsi="Book Antiqua"/>
          <w:sz w:val="22"/>
          <w:szCs w:val="22"/>
        </w:rPr>
      </w:pPr>
      <w:r w:rsidRPr="00457A92">
        <w:rPr>
          <w:rFonts w:ascii="Book Antiqua" w:hAnsi="Book Antiqua"/>
          <w:szCs w:val="22"/>
        </w:rPr>
        <w:t>Conclusion</w:t>
      </w:r>
    </w:p>
    <w:p w14:paraId="50B6F8CE" w14:textId="77777777" w:rsidR="00DB7EFB" w:rsidRPr="00E3232D" w:rsidRDefault="00DB7EFB" w:rsidP="00B76FD2">
      <w:pPr>
        <w:spacing w:before="240" w:after="120"/>
        <w:jc w:val="both"/>
        <w:rPr>
          <w:rFonts w:ascii="Book Antiqua" w:hAnsi="Book Antiqua"/>
        </w:rPr>
      </w:pPr>
      <w:r w:rsidRPr="00E3232D">
        <w:rPr>
          <w:rFonts w:ascii="Book Antiqua" w:hAnsi="Book Antiqua"/>
        </w:rPr>
        <w:t xml:space="preserve">An indispensable aspect of the marketing is distribution. For, this links the producer to the consumer for every product produced, distribution also facilitates forward feed into and backward feedback into channel structure of the firm in question. Coca Cola notably is a company that has emphasized the essence of distribution and particularly the channel structure and channel strategies adopted in the distribution of its products. In a survey conducted on Coca Cola in Tamale metropolis, the channel structure adopted by Coca Cola was found as one of the link among: the producers; the wholesalers; retailers and consumers. Each of these channel members effectively played their roles on the channel structure and the company also adopted effective channel strategies. </w:t>
      </w:r>
    </w:p>
    <w:p w14:paraId="1673D027" w14:textId="77777777" w:rsidR="00DB7EFB" w:rsidRPr="00E3232D" w:rsidRDefault="00DB7EFB" w:rsidP="00B76FD2">
      <w:pPr>
        <w:spacing w:before="240" w:after="120"/>
        <w:jc w:val="both"/>
        <w:rPr>
          <w:rFonts w:ascii="Book Antiqua" w:hAnsi="Book Antiqua"/>
        </w:rPr>
      </w:pPr>
      <w:r w:rsidRPr="00E3232D">
        <w:rPr>
          <w:rFonts w:ascii="Book Antiqua" w:hAnsi="Book Antiqua"/>
        </w:rPr>
        <w:t xml:space="preserve">Several product characteristics influence the choice of product channel strategies. Perishability, service requirements and the bulkiness of the product influence the choice of channel strategy of Coca Cola. Also Product channel reliability, economy in use of the channel and the channel length influenced the choice of Coca Cola Channel Strategies. </w:t>
      </w:r>
    </w:p>
    <w:p w14:paraId="74052F6C" w14:textId="77777777" w:rsidR="00DB7EFB" w:rsidRPr="00E3232D" w:rsidRDefault="00DB7EFB" w:rsidP="00B76FD2">
      <w:pPr>
        <w:spacing w:before="240" w:after="120"/>
        <w:jc w:val="both"/>
        <w:rPr>
          <w:rFonts w:ascii="Book Antiqua" w:hAnsi="Book Antiqua"/>
        </w:rPr>
      </w:pPr>
      <w:r w:rsidRPr="00E3232D">
        <w:rPr>
          <w:rFonts w:ascii="Book Antiqua" w:hAnsi="Book Antiqua"/>
        </w:rPr>
        <w:t xml:space="preserve">Coca Cola distribution strategies were seen to be very effective in Tamale Metropolis. This is attributable the channel quality and the effective channel strategies adopted in the distribution process. </w:t>
      </w:r>
    </w:p>
    <w:p w14:paraId="05F9387A" w14:textId="77777777" w:rsidR="00DB7EFB" w:rsidRPr="00E3232D" w:rsidRDefault="00DB7EFB" w:rsidP="00B76FD2">
      <w:pPr>
        <w:spacing w:before="240" w:after="120"/>
        <w:jc w:val="both"/>
        <w:rPr>
          <w:rFonts w:ascii="Book Antiqua" w:hAnsi="Book Antiqua"/>
        </w:rPr>
      </w:pPr>
      <w:r w:rsidRPr="00E3232D">
        <w:rPr>
          <w:rFonts w:ascii="Book Antiqua" w:hAnsi="Book Antiqua"/>
        </w:rPr>
        <w:lastRenderedPageBreak/>
        <w:t xml:space="preserve">Coca Cola needs to work out appropriate strategies to ensure that the dominant channel structure adopted in Tamale Metropolis works effectively and efficiently in sustaining the companies competitive advantage in Tamale Metropolis. Therefore each member of the channel structure needs to be given adequate resourcing in terms of the skills and competencies required to deliver on the channel link each is placed. Through this, the efficiency of each channel member would be enhanced and this would in turn influence the </w:t>
      </w:r>
      <w:r w:rsidRPr="00E3232D">
        <w:rPr>
          <w:rFonts w:ascii="Book Antiqua" w:hAnsi="Book Antiqua"/>
        </w:rPr>
        <w:t xml:space="preserve">channel quality of the Coca Cola Company in Tamale Metropolis. </w:t>
      </w:r>
    </w:p>
    <w:p w14:paraId="44F845B6" w14:textId="77777777" w:rsidR="00DB7EFB" w:rsidRPr="00E3232D" w:rsidRDefault="00DB7EFB" w:rsidP="00B76FD2">
      <w:pPr>
        <w:spacing w:before="240" w:after="120"/>
        <w:jc w:val="both"/>
        <w:rPr>
          <w:rFonts w:ascii="Book Antiqua" w:hAnsi="Book Antiqua"/>
          <w:b/>
        </w:rPr>
      </w:pPr>
      <w:r w:rsidRPr="00E3232D">
        <w:rPr>
          <w:rFonts w:ascii="Book Antiqua" w:hAnsi="Book Antiqua"/>
        </w:rPr>
        <w:t xml:space="preserve">Related to enhancing the competencies of the channel members, there is the need for integrative seminars and workings for all the channel members to ensure that each member has goal know ledged on the role each plays in ensuring a good link of relations on the structure. This would influence the appreciation of the extent to which the schedules or role of each element influences the other. </w:t>
      </w:r>
    </w:p>
    <w:p w14:paraId="03972319" w14:textId="77777777" w:rsidR="00DB7EFB" w:rsidRPr="00E3232D" w:rsidRDefault="00DB7EFB" w:rsidP="00B76FD2">
      <w:pPr>
        <w:spacing w:before="240" w:after="120"/>
        <w:jc w:val="both"/>
        <w:rPr>
          <w:rFonts w:ascii="Book Antiqua" w:hAnsi="Book Antiqua"/>
          <w:b/>
          <w:bCs/>
        </w:rPr>
        <w:sectPr w:rsidR="00DB7EFB" w:rsidRPr="00E3232D" w:rsidSect="008F6BC9">
          <w:type w:val="continuous"/>
          <w:pgSz w:w="11907" w:h="16839" w:code="9"/>
          <w:pgMar w:top="1135" w:right="1183" w:bottom="1276" w:left="1440" w:header="720" w:footer="720" w:gutter="0"/>
          <w:cols w:num="2" w:space="720"/>
          <w:docGrid w:linePitch="360"/>
        </w:sectPr>
      </w:pPr>
    </w:p>
    <w:p w14:paraId="582A309A" w14:textId="77777777" w:rsidR="00930306" w:rsidRDefault="00930306" w:rsidP="00B76FD2">
      <w:pPr>
        <w:spacing w:before="240" w:after="120"/>
        <w:jc w:val="both"/>
        <w:rPr>
          <w:rFonts w:ascii="Book Antiqua" w:hAnsi="Book Antiqua"/>
          <w:b/>
          <w:bCs/>
        </w:rPr>
      </w:pPr>
    </w:p>
    <w:p w14:paraId="65975876" w14:textId="77777777" w:rsidR="004546B3" w:rsidRPr="00E3232D" w:rsidRDefault="004546B3" w:rsidP="00B76FD2">
      <w:pPr>
        <w:spacing w:before="240" w:after="120"/>
        <w:jc w:val="both"/>
        <w:rPr>
          <w:rFonts w:ascii="Book Antiqua" w:hAnsi="Book Antiqua"/>
          <w:b/>
          <w:bCs/>
        </w:rPr>
      </w:pPr>
      <w:r w:rsidRPr="00457A92">
        <w:rPr>
          <w:rFonts w:ascii="Book Antiqua" w:hAnsi="Book Antiqua"/>
          <w:b/>
          <w:bCs/>
          <w:sz w:val="26"/>
        </w:rPr>
        <w:t>References</w:t>
      </w:r>
    </w:p>
    <w:p w14:paraId="7A29A2DF" w14:textId="77777777" w:rsidR="004546B3" w:rsidRPr="00E3232D" w:rsidRDefault="004546B3" w:rsidP="00806674">
      <w:pPr>
        <w:spacing w:before="240" w:after="120"/>
        <w:ind w:left="720" w:hanging="720"/>
        <w:jc w:val="both"/>
        <w:rPr>
          <w:rFonts w:ascii="Book Antiqua" w:hAnsi="Book Antiqua"/>
        </w:rPr>
      </w:pPr>
      <w:r w:rsidRPr="00E3232D">
        <w:rPr>
          <w:rFonts w:ascii="Book Antiqua" w:hAnsi="Book Antiqua"/>
        </w:rPr>
        <w:t>Arnold, D. (2000) Seven Rules of International Distribution. Harvard Business Review 78, no.6 (November to December). 131-137</w:t>
      </w:r>
    </w:p>
    <w:p w14:paraId="2A5A3674" w14:textId="77777777" w:rsidR="004546B3" w:rsidRPr="00E3232D" w:rsidRDefault="004546B3" w:rsidP="00806674">
      <w:pPr>
        <w:spacing w:before="240" w:after="120"/>
        <w:ind w:left="720" w:hanging="720"/>
        <w:jc w:val="both"/>
        <w:rPr>
          <w:rFonts w:ascii="Book Antiqua" w:hAnsi="Book Antiqua"/>
        </w:rPr>
      </w:pPr>
      <w:r w:rsidRPr="00E3232D">
        <w:rPr>
          <w:rFonts w:ascii="Book Antiqua" w:hAnsi="Book Antiqua"/>
        </w:rPr>
        <w:t xml:space="preserve">Debreu, G. (1951). The Coefficient of the Resource Utilization, </w:t>
      </w:r>
      <w:r w:rsidRPr="00E3232D">
        <w:rPr>
          <w:rFonts w:ascii="Book Antiqua" w:hAnsi="Book Antiqua"/>
          <w:i/>
        </w:rPr>
        <w:t>Econometrica</w:t>
      </w:r>
      <w:r w:rsidRPr="00E3232D">
        <w:rPr>
          <w:rFonts w:ascii="Book Antiqua" w:hAnsi="Book Antiqua"/>
        </w:rPr>
        <w:t xml:space="preserve"> 19(3), 273-292.</w:t>
      </w:r>
    </w:p>
    <w:p w14:paraId="61E7DA47" w14:textId="77777777" w:rsidR="004546B3" w:rsidRPr="00E3232D" w:rsidRDefault="004546B3" w:rsidP="00B76FD2">
      <w:pPr>
        <w:spacing w:before="240" w:after="120"/>
        <w:ind w:left="720" w:hanging="720"/>
        <w:jc w:val="both"/>
        <w:rPr>
          <w:rFonts w:ascii="Book Antiqua" w:hAnsi="Book Antiqua"/>
        </w:rPr>
      </w:pPr>
      <w:r w:rsidRPr="00E3232D">
        <w:rPr>
          <w:rFonts w:ascii="Book Antiqua" w:hAnsi="Book Antiqua"/>
        </w:rPr>
        <w:t xml:space="preserve">Farrell, M.J. (1957). The measurement of product Efficiency, </w:t>
      </w:r>
      <w:r w:rsidRPr="00E3232D">
        <w:rPr>
          <w:rFonts w:ascii="Book Antiqua" w:hAnsi="Book Antiqua"/>
          <w:i/>
        </w:rPr>
        <w:t xml:space="preserve">Journal of the Royal Statistical Society Series A </w:t>
      </w:r>
      <w:r w:rsidRPr="00E3232D">
        <w:rPr>
          <w:rFonts w:ascii="Book Antiqua" w:hAnsi="Book Antiqua"/>
        </w:rPr>
        <w:t>120 (3), 253-281.</w:t>
      </w:r>
    </w:p>
    <w:p w14:paraId="16ADC357" w14:textId="77777777" w:rsidR="004546B3" w:rsidRPr="00E3232D" w:rsidRDefault="004546B3" w:rsidP="00B76FD2">
      <w:pPr>
        <w:spacing w:before="240" w:after="120"/>
        <w:ind w:left="720" w:hanging="720"/>
        <w:jc w:val="both"/>
        <w:rPr>
          <w:rFonts w:ascii="Book Antiqua" w:hAnsi="Book Antiqua"/>
        </w:rPr>
      </w:pPr>
      <w:r w:rsidRPr="00E3232D">
        <w:rPr>
          <w:rFonts w:ascii="Book Antiqua" w:hAnsi="Book Antiqua"/>
        </w:rPr>
        <w:t>Hill, L.C.W (2011) International business: Competing in the global market place (8</w:t>
      </w:r>
      <w:r w:rsidRPr="00E3232D">
        <w:rPr>
          <w:rFonts w:ascii="Book Antiqua" w:hAnsi="Book Antiqua"/>
          <w:vertAlign w:val="superscript"/>
        </w:rPr>
        <w:t>th</w:t>
      </w:r>
      <w:r w:rsidRPr="00E3232D">
        <w:rPr>
          <w:rFonts w:ascii="Book Antiqua" w:hAnsi="Book Antiqua"/>
        </w:rPr>
        <w:t xml:space="preserve"> ed.) New York. McGraw-Hill Irwan. 578</w:t>
      </w:r>
    </w:p>
    <w:p w14:paraId="232BA983" w14:textId="77777777" w:rsidR="004546B3" w:rsidRPr="00E3232D" w:rsidRDefault="004546B3" w:rsidP="00B76FD2">
      <w:pPr>
        <w:spacing w:before="240" w:after="120"/>
        <w:ind w:left="720" w:hanging="720"/>
        <w:jc w:val="both"/>
        <w:rPr>
          <w:rFonts w:ascii="Book Antiqua" w:hAnsi="Book Antiqua"/>
          <w:i/>
        </w:rPr>
      </w:pPr>
      <w:r w:rsidRPr="00E3232D">
        <w:rPr>
          <w:rFonts w:ascii="Book Antiqua" w:hAnsi="Book Antiqua"/>
        </w:rPr>
        <w:t xml:space="preserve">Jurate, B., Rasa, G., Darius G. (2011). Changes in marketing channel formation.  </w:t>
      </w:r>
      <w:r w:rsidRPr="00E3232D">
        <w:rPr>
          <w:rFonts w:ascii="Book Antiqua" w:hAnsi="Book Antiqua"/>
          <w:i/>
        </w:rPr>
        <w:t>InzinerineEkonomica-Engineering Economics.</w:t>
      </w:r>
    </w:p>
    <w:p w14:paraId="5D12D650" w14:textId="77777777" w:rsidR="004546B3" w:rsidRPr="00E3232D" w:rsidRDefault="004546B3" w:rsidP="00B76FD2">
      <w:pPr>
        <w:spacing w:before="240" w:after="120"/>
        <w:ind w:left="720" w:hanging="720"/>
        <w:jc w:val="both"/>
        <w:rPr>
          <w:rFonts w:ascii="Book Antiqua" w:hAnsi="Book Antiqua"/>
        </w:rPr>
      </w:pPr>
      <w:r w:rsidRPr="00E3232D">
        <w:rPr>
          <w:rFonts w:ascii="Book Antiqua" w:hAnsi="Book Antiqua"/>
        </w:rPr>
        <w:t>Keegan, J. W., &amp; Green, C. M. (2011) Global marketing. New Jersey. Pearson. 406-407</w:t>
      </w:r>
    </w:p>
    <w:p w14:paraId="36B49F18" w14:textId="77777777" w:rsidR="004546B3" w:rsidRPr="00E3232D" w:rsidRDefault="004546B3" w:rsidP="00B76FD2">
      <w:pPr>
        <w:spacing w:before="240" w:after="120"/>
        <w:jc w:val="both"/>
        <w:rPr>
          <w:rFonts w:ascii="Book Antiqua" w:hAnsi="Book Antiqua"/>
        </w:rPr>
      </w:pPr>
      <w:r w:rsidRPr="00E3232D">
        <w:rPr>
          <w:rFonts w:ascii="Book Antiqua" w:hAnsi="Book Antiqua"/>
        </w:rPr>
        <w:t xml:space="preserve">Kotler, P., &amp;Keller, K. (2009). Marketing Management, </w:t>
      </w:r>
      <w:r w:rsidRPr="00E3232D">
        <w:rPr>
          <w:rFonts w:ascii="Book Antiqua" w:hAnsi="Book Antiqua"/>
          <w:i/>
        </w:rPr>
        <w:t>(13th ed)</w:t>
      </w:r>
      <w:r w:rsidRPr="00E3232D">
        <w:rPr>
          <w:rFonts w:ascii="Book Antiqua" w:hAnsi="Book Antiqua"/>
        </w:rPr>
        <w:t xml:space="preserve">. New Jersey. Prentice Hall. </w:t>
      </w:r>
    </w:p>
    <w:p w14:paraId="4A482200" w14:textId="77777777" w:rsidR="004546B3" w:rsidRPr="00E3232D" w:rsidRDefault="004546B3" w:rsidP="00B76FD2">
      <w:pPr>
        <w:spacing w:before="240" w:after="120"/>
        <w:ind w:left="720" w:hanging="720"/>
        <w:jc w:val="both"/>
        <w:rPr>
          <w:rFonts w:ascii="Book Antiqua" w:hAnsi="Book Antiqua"/>
        </w:rPr>
      </w:pPr>
      <w:r w:rsidRPr="00E3232D">
        <w:rPr>
          <w:rFonts w:ascii="Book Antiqua" w:hAnsi="Book Antiqua"/>
        </w:rPr>
        <w:t>Kotler, Philip &amp; Armstrong G.(2008) Principles of marketing. Pearson Prentice Hall. New Jersey.</w:t>
      </w:r>
    </w:p>
    <w:p w14:paraId="4C4D4260" w14:textId="77777777" w:rsidR="00FD0CF1" w:rsidRPr="00457A92" w:rsidRDefault="004546B3" w:rsidP="00B76FD2">
      <w:pPr>
        <w:spacing w:before="240" w:after="120"/>
        <w:jc w:val="both"/>
        <w:rPr>
          <w:rFonts w:ascii="Book Antiqua" w:hAnsi="Book Antiqua"/>
        </w:rPr>
        <w:sectPr w:rsidR="00FD0CF1" w:rsidRPr="00457A92" w:rsidSect="008F6BC9">
          <w:type w:val="continuous"/>
          <w:pgSz w:w="11907" w:h="16839" w:code="9"/>
          <w:pgMar w:top="1350" w:right="1440" w:bottom="1440" w:left="1440" w:header="720" w:footer="720" w:gutter="0"/>
          <w:cols w:num="2" w:space="720"/>
          <w:docGrid w:linePitch="360"/>
        </w:sectPr>
      </w:pPr>
      <w:r w:rsidRPr="00E3232D">
        <w:rPr>
          <w:rFonts w:ascii="Book Antiqua" w:hAnsi="Book Antiqua"/>
        </w:rPr>
        <w:t xml:space="preserve"> Pranulis, V., Pajuodis, A., Urbonavicius, S., Virvilaite, R. (2008). Marketing </w:t>
      </w:r>
    </w:p>
    <w:p w14:paraId="4AF837B0" w14:textId="77777777" w:rsidR="00FD0CF1" w:rsidRDefault="00FD0CF1" w:rsidP="00B76FD2">
      <w:pPr>
        <w:jc w:val="both"/>
        <w:rPr>
          <w:rFonts w:ascii="Book Antiqua" w:hAnsi="Book Antiqua"/>
        </w:rPr>
        <w:sectPr w:rsidR="00FD0CF1" w:rsidSect="008F6BC9">
          <w:type w:val="continuous"/>
          <w:pgSz w:w="11907" w:h="16839" w:code="9"/>
          <w:pgMar w:top="1350" w:right="1440" w:bottom="1440" w:left="1440" w:header="720" w:footer="720" w:gutter="0"/>
          <w:cols w:space="720"/>
          <w:docGrid w:linePitch="360"/>
        </w:sectPr>
      </w:pPr>
    </w:p>
    <w:p w14:paraId="2F7D3A79" w14:textId="77777777" w:rsidR="00D861F3" w:rsidRPr="00E3232D" w:rsidRDefault="00D861F3" w:rsidP="00B76FD2">
      <w:pPr>
        <w:jc w:val="both"/>
        <w:rPr>
          <w:rFonts w:ascii="Book Antiqua" w:hAnsi="Book Antiqua"/>
          <w:b/>
          <w:color w:val="000000"/>
        </w:rPr>
        <w:sectPr w:rsidR="00D861F3" w:rsidRPr="00E3232D" w:rsidSect="008F6BC9">
          <w:type w:val="continuous"/>
          <w:pgSz w:w="11907" w:h="16839" w:code="9"/>
          <w:pgMar w:top="1350" w:right="1440" w:bottom="1440" w:left="1440" w:header="720" w:footer="720" w:gutter="0"/>
          <w:cols w:space="720"/>
          <w:docGrid w:linePitch="360"/>
        </w:sectPr>
      </w:pPr>
    </w:p>
    <w:p w14:paraId="7238FE22" w14:textId="77777777" w:rsidR="00930306" w:rsidRDefault="00930306" w:rsidP="00930306">
      <w:pPr>
        <w:rPr>
          <w:rFonts w:ascii="Book Antiqua" w:hAnsi="Book Antiqua"/>
          <w:b/>
          <w:color w:val="000000"/>
          <w:sz w:val="26"/>
          <w:szCs w:val="26"/>
        </w:rPr>
        <w:sectPr w:rsidR="00930306" w:rsidSect="008F6BC9">
          <w:type w:val="continuous"/>
          <w:pgSz w:w="11907" w:h="16839" w:code="9"/>
          <w:pgMar w:top="1350" w:right="1440" w:bottom="1440" w:left="1440" w:header="720" w:footer="720" w:gutter="0"/>
          <w:cols w:space="720"/>
          <w:docGrid w:linePitch="360"/>
        </w:sectPr>
      </w:pPr>
    </w:p>
    <w:p w14:paraId="0F7A57D0" w14:textId="77777777" w:rsidR="00D861F3" w:rsidRPr="007D2433" w:rsidRDefault="00D861F3" w:rsidP="00457A92">
      <w:pPr>
        <w:spacing w:after="0"/>
        <w:jc w:val="center"/>
        <w:rPr>
          <w:rFonts w:ascii="Book Antiqua" w:hAnsi="Book Antiqua"/>
          <w:b/>
          <w:color w:val="000000"/>
          <w:sz w:val="26"/>
          <w:szCs w:val="26"/>
        </w:rPr>
      </w:pPr>
      <w:r w:rsidRPr="007D2433">
        <w:rPr>
          <w:rFonts w:ascii="Book Antiqua" w:hAnsi="Book Antiqua"/>
          <w:b/>
          <w:color w:val="000000"/>
          <w:sz w:val="26"/>
          <w:szCs w:val="26"/>
        </w:rPr>
        <w:lastRenderedPageBreak/>
        <w:t xml:space="preserve">Probability </w:t>
      </w:r>
      <w:r w:rsidR="009E7AAE" w:rsidRPr="007D2433">
        <w:rPr>
          <w:rFonts w:ascii="Book Antiqua" w:hAnsi="Book Antiqua"/>
          <w:b/>
          <w:color w:val="000000"/>
          <w:sz w:val="26"/>
          <w:szCs w:val="26"/>
        </w:rPr>
        <w:t xml:space="preserve">Modeling </w:t>
      </w:r>
      <w:r w:rsidRPr="007D2433">
        <w:rPr>
          <w:rFonts w:ascii="Book Antiqua" w:hAnsi="Book Antiqua"/>
          <w:b/>
          <w:color w:val="000000"/>
          <w:sz w:val="26"/>
          <w:szCs w:val="26"/>
        </w:rPr>
        <w:t xml:space="preserve">and </w:t>
      </w:r>
      <w:r w:rsidR="009E7AAE" w:rsidRPr="007D2433">
        <w:rPr>
          <w:rFonts w:ascii="Book Antiqua" w:hAnsi="Book Antiqua"/>
          <w:b/>
          <w:color w:val="000000"/>
          <w:sz w:val="26"/>
          <w:szCs w:val="26"/>
        </w:rPr>
        <w:t xml:space="preserve">Simulation </w:t>
      </w:r>
      <w:r w:rsidRPr="007D2433">
        <w:rPr>
          <w:rFonts w:ascii="Book Antiqua" w:hAnsi="Book Antiqua"/>
          <w:b/>
          <w:color w:val="000000"/>
          <w:sz w:val="26"/>
          <w:szCs w:val="26"/>
        </w:rPr>
        <w:t xml:space="preserve">of </w:t>
      </w:r>
      <w:r w:rsidR="009E7AAE" w:rsidRPr="007D2433">
        <w:rPr>
          <w:rFonts w:ascii="Book Antiqua" w:hAnsi="Book Antiqua"/>
          <w:b/>
          <w:color w:val="000000"/>
          <w:sz w:val="26"/>
          <w:szCs w:val="26"/>
        </w:rPr>
        <w:t>Insurance Claim</w:t>
      </w:r>
    </w:p>
    <w:p w14:paraId="63878AF8" w14:textId="77777777" w:rsidR="00D861F3" w:rsidRPr="00E3232D" w:rsidRDefault="00D861F3" w:rsidP="00930306">
      <w:pPr>
        <w:spacing w:after="0"/>
        <w:jc w:val="center"/>
        <w:rPr>
          <w:rFonts w:ascii="Book Antiqua" w:hAnsi="Book Antiqua"/>
          <w:color w:val="000000"/>
        </w:rPr>
      </w:pPr>
    </w:p>
    <w:p w14:paraId="61EB4613" w14:textId="77777777" w:rsidR="00D861F3" w:rsidRPr="00457A92" w:rsidRDefault="007D2433" w:rsidP="00930306">
      <w:pPr>
        <w:spacing w:after="0"/>
        <w:jc w:val="center"/>
        <w:rPr>
          <w:rFonts w:ascii="Book Antiqua" w:hAnsi="Book Antiqua"/>
          <w:b/>
          <w:color w:val="000000"/>
          <w:sz w:val="26"/>
        </w:rPr>
      </w:pPr>
      <w:r w:rsidRPr="00457A92">
        <w:rPr>
          <w:rFonts w:ascii="Book Antiqua" w:hAnsi="Book Antiqua"/>
          <w:b/>
          <w:color w:val="000000"/>
          <w:sz w:val="26"/>
        </w:rPr>
        <w:t>Dadey E.</w:t>
      </w:r>
      <w:r w:rsidR="00D861F3" w:rsidRPr="00457A92">
        <w:rPr>
          <w:rFonts w:ascii="Book Antiqua" w:hAnsi="Book Antiqua"/>
          <w:b/>
          <w:color w:val="000000"/>
          <w:sz w:val="26"/>
        </w:rPr>
        <w:t>, Abledu</w:t>
      </w:r>
      <w:r w:rsidRPr="00457A92">
        <w:rPr>
          <w:rFonts w:ascii="Book Antiqua" w:hAnsi="Book Antiqua"/>
          <w:b/>
          <w:color w:val="000000"/>
          <w:sz w:val="26"/>
        </w:rPr>
        <w:t xml:space="preserve"> G. K</w:t>
      </w:r>
      <w:r w:rsidR="00D861F3" w:rsidRPr="00457A92">
        <w:rPr>
          <w:rFonts w:ascii="Book Antiqua" w:hAnsi="Book Antiqua"/>
          <w:b/>
          <w:color w:val="000000"/>
          <w:sz w:val="26"/>
        </w:rPr>
        <w:t xml:space="preserve"> </w:t>
      </w:r>
      <w:r w:rsidRPr="00457A92">
        <w:rPr>
          <w:rFonts w:ascii="Book Antiqua" w:hAnsi="Book Antiqua"/>
          <w:b/>
          <w:color w:val="000000"/>
          <w:sz w:val="26"/>
        </w:rPr>
        <w:t>&amp;</w:t>
      </w:r>
      <w:r w:rsidR="009E7AAE">
        <w:rPr>
          <w:rFonts w:ascii="Book Antiqua" w:hAnsi="Book Antiqua"/>
          <w:b/>
          <w:color w:val="000000"/>
          <w:sz w:val="26"/>
        </w:rPr>
        <w:t xml:space="preserve"> </w:t>
      </w:r>
      <w:r w:rsidR="004655F9">
        <w:rPr>
          <w:rFonts w:ascii="Book Antiqua" w:hAnsi="Book Antiqua"/>
          <w:b/>
          <w:color w:val="000000"/>
          <w:sz w:val="26"/>
        </w:rPr>
        <w:t>Agbodah K.</w:t>
      </w:r>
    </w:p>
    <w:p w14:paraId="19EC3C05" w14:textId="77777777" w:rsidR="00457A92" w:rsidRDefault="00457A92" w:rsidP="00457A92">
      <w:pPr>
        <w:spacing w:after="0"/>
        <w:ind w:left="360"/>
        <w:jc w:val="center"/>
        <w:outlineLvl w:val="0"/>
        <w:rPr>
          <w:rFonts w:ascii="Book Antiqua" w:hAnsi="Book Antiqua"/>
          <w:b/>
          <w:bCs/>
          <w:color w:val="000000"/>
        </w:rPr>
      </w:pPr>
      <w:r>
        <w:rPr>
          <w:rFonts w:ascii="Book Antiqua" w:hAnsi="Book Antiqua"/>
          <w:b/>
          <w:bCs/>
          <w:color w:val="000000"/>
        </w:rPr>
        <w:t>Department of Applied Mathematics, Koforidua Polytehnic, koforidua</w:t>
      </w:r>
    </w:p>
    <w:p w14:paraId="16C73BA0" w14:textId="77777777" w:rsidR="00D861F3" w:rsidRPr="00E3232D" w:rsidRDefault="00D861F3" w:rsidP="00930306">
      <w:pPr>
        <w:spacing w:after="0"/>
        <w:ind w:left="360"/>
        <w:jc w:val="center"/>
        <w:outlineLvl w:val="0"/>
        <w:rPr>
          <w:rFonts w:ascii="Book Antiqua" w:hAnsi="Book Antiqua"/>
          <w:bCs/>
          <w:color w:val="000000"/>
        </w:rPr>
      </w:pPr>
      <w:r w:rsidRPr="00B03C48">
        <w:rPr>
          <w:rFonts w:ascii="Book Antiqua" w:hAnsi="Book Antiqua"/>
          <w:b/>
          <w:bCs/>
          <w:color w:val="000000"/>
        </w:rPr>
        <w:t>E-</w:t>
      </w:r>
      <w:r w:rsidR="00222FA4" w:rsidRPr="00B03C48">
        <w:rPr>
          <w:rFonts w:ascii="Book Antiqua" w:hAnsi="Book Antiqua"/>
          <w:b/>
          <w:bCs/>
          <w:color w:val="000000"/>
        </w:rPr>
        <w:t>mail</w:t>
      </w:r>
      <w:r w:rsidRPr="00B03C48">
        <w:rPr>
          <w:rFonts w:ascii="Book Antiqua" w:hAnsi="Book Antiqua"/>
          <w:b/>
          <w:bCs/>
          <w:color w:val="000000"/>
        </w:rPr>
        <w:t>:</w:t>
      </w:r>
      <w:r w:rsidRPr="00E3232D">
        <w:rPr>
          <w:rFonts w:ascii="Book Antiqua" w:hAnsi="Book Antiqua"/>
          <w:bCs/>
          <w:color w:val="000000"/>
        </w:rPr>
        <w:t xml:space="preserve"> </w:t>
      </w:r>
      <w:hyperlink r:id="rId107" w:history="1">
        <w:r w:rsidRPr="00E3232D">
          <w:rPr>
            <w:rStyle w:val="Hyperlink"/>
            <w:rFonts w:ascii="Book Antiqua" w:hAnsi="Book Antiqua"/>
            <w:bCs/>
            <w:color w:val="000000"/>
          </w:rPr>
          <w:t>godfredabledu@gmail.com</w:t>
        </w:r>
      </w:hyperlink>
    </w:p>
    <w:p w14:paraId="74471841" w14:textId="77777777" w:rsidR="00D861F3" w:rsidRPr="00E3232D" w:rsidRDefault="00D861F3" w:rsidP="008275E1">
      <w:pPr>
        <w:jc w:val="center"/>
        <w:rPr>
          <w:rFonts w:ascii="Book Antiqua" w:hAnsi="Book Antiqua"/>
          <w:b/>
          <w:color w:val="000000"/>
        </w:rPr>
      </w:pPr>
    </w:p>
    <w:p w14:paraId="667A591E" w14:textId="77777777" w:rsidR="00D861F3" w:rsidRPr="00E3232D" w:rsidRDefault="00222FA4" w:rsidP="00B05DFA">
      <w:pPr>
        <w:jc w:val="both"/>
        <w:rPr>
          <w:rFonts w:ascii="Book Antiqua" w:hAnsi="Book Antiqua"/>
          <w:b/>
          <w:color w:val="000000"/>
        </w:rPr>
      </w:pPr>
      <w:r w:rsidRPr="009E7AAE">
        <w:rPr>
          <w:rFonts w:ascii="Book Antiqua" w:hAnsi="Book Antiqua"/>
          <w:b/>
          <w:color w:val="000000"/>
          <w:sz w:val="26"/>
        </w:rPr>
        <w:t>Abstract</w:t>
      </w:r>
    </w:p>
    <w:p w14:paraId="7EB9B620" w14:textId="77777777" w:rsidR="00D861F3" w:rsidRPr="00E3232D" w:rsidRDefault="00D861F3" w:rsidP="00B05DFA">
      <w:pPr>
        <w:spacing w:before="240"/>
        <w:jc w:val="both"/>
        <w:rPr>
          <w:rFonts w:ascii="Book Antiqua" w:hAnsi="Book Antiqua"/>
          <w:color w:val="000000"/>
        </w:rPr>
      </w:pPr>
      <w:r w:rsidRPr="00E3232D">
        <w:rPr>
          <w:rFonts w:ascii="Book Antiqua" w:hAnsi="Book Antiqua"/>
          <w:color w:val="000000"/>
        </w:rPr>
        <w:t xml:space="preserve">Probability modeling has a wide range of applications in the field of insurance and finance. Over the years, its applications have been modified to include simulation techniques which in most cases are engaged to enhanced or validate the desired estimates.  This study investigates the probability distributions that best fit a number of insurance claims. In particular, it compares the Poisson distribution and the negative binomial distribution models to determine which distribution best fits insurance claim data obtained from two Insurance Companies in Ghana. Data on number of claims of a funeral policy spanning from 2006 to 2010 were used for the study. Probability distribution models and the parametric bootstrap methods were employed in analyzing the data collected. The result of the study revealed that on the average, the number of claims tends to increase as the year go by. Also the Negative Binomial Distribution was found to be superior to the Poisson distribution in fitting the claims data. Finally, a comparison between the estimates obtained by the probability models and that of the parametric bootstrap estimates revealed no significant difference. </w:t>
      </w:r>
    </w:p>
    <w:p w14:paraId="358CEED9" w14:textId="77777777" w:rsidR="00D861F3" w:rsidRDefault="00D861F3" w:rsidP="00B05DFA">
      <w:pPr>
        <w:spacing w:before="240"/>
        <w:ind w:left="1260" w:hanging="1260"/>
        <w:jc w:val="both"/>
        <w:rPr>
          <w:rFonts w:ascii="Book Antiqua" w:hAnsi="Book Antiqua"/>
          <w:color w:val="000000"/>
        </w:rPr>
      </w:pPr>
      <w:r w:rsidRPr="00E3232D">
        <w:rPr>
          <w:rFonts w:ascii="Book Antiqua" w:hAnsi="Book Antiqua"/>
          <w:b/>
          <w:color w:val="000000"/>
        </w:rPr>
        <w:t>Key words:</w:t>
      </w:r>
      <w:r w:rsidRPr="00E3232D">
        <w:rPr>
          <w:rFonts w:ascii="Book Antiqua" w:hAnsi="Book Antiqua"/>
          <w:color w:val="000000"/>
        </w:rPr>
        <w:t xml:space="preserve"> </w:t>
      </w:r>
      <w:r w:rsidR="00457A92">
        <w:rPr>
          <w:rFonts w:ascii="Book Antiqua" w:hAnsi="Book Antiqua"/>
          <w:color w:val="000000"/>
        </w:rPr>
        <w:t>Parametric Bootstrap;</w:t>
      </w:r>
      <w:r w:rsidR="00457A92" w:rsidRPr="00E3232D">
        <w:rPr>
          <w:rFonts w:ascii="Book Antiqua" w:hAnsi="Book Antiqua"/>
          <w:color w:val="000000"/>
        </w:rPr>
        <w:t xml:space="preserve"> Insurance Claims</w:t>
      </w:r>
      <w:r w:rsidR="00457A92">
        <w:rPr>
          <w:rFonts w:ascii="Book Antiqua" w:hAnsi="Book Antiqua"/>
          <w:color w:val="000000"/>
        </w:rPr>
        <w:t>;</w:t>
      </w:r>
      <w:r w:rsidR="00457A92" w:rsidRPr="00E3232D">
        <w:rPr>
          <w:rFonts w:ascii="Book Antiqua" w:hAnsi="Book Antiqua"/>
          <w:color w:val="000000"/>
        </w:rPr>
        <w:t xml:space="preserve"> Simulation Techniques</w:t>
      </w:r>
      <w:r w:rsidR="00457A92">
        <w:rPr>
          <w:rFonts w:ascii="Book Antiqua" w:hAnsi="Book Antiqua"/>
          <w:color w:val="000000"/>
        </w:rPr>
        <w:t>;</w:t>
      </w:r>
      <w:r w:rsidR="00457A92" w:rsidRPr="00E3232D">
        <w:rPr>
          <w:rFonts w:ascii="Book Antiqua" w:hAnsi="Book Antiqua"/>
          <w:color w:val="000000"/>
        </w:rPr>
        <w:t xml:space="preserve"> Negative</w:t>
      </w:r>
      <w:r w:rsidR="00457A92">
        <w:rPr>
          <w:rFonts w:ascii="Book Antiqua" w:hAnsi="Book Antiqua"/>
          <w:color w:val="000000"/>
        </w:rPr>
        <w:t>;</w:t>
      </w:r>
      <w:r w:rsidR="00457A92" w:rsidRPr="00E3232D">
        <w:rPr>
          <w:rFonts w:ascii="Book Antiqua" w:hAnsi="Book Antiqua"/>
          <w:color w:val="000000"/>
        </w:rPr>
        <w:t xml:space="preserve"> Binomial Distribution</w:t>
      </w:r>
      <w:r w:rsidR="00457A92">
        <w:rPr>
          <w:rFonts w:ascii="Book Antiqua" w:hAnsi="Book Antiqua"/>
          <w:color w:val="000000"/>
        </w:rPr>
        <w:t>;</w:t>
      </w:r>
      <w:r w:rsidR="00457A92" w:rsidRPr="00E3232D">
        <w:rPr>
          <w:rFonts w:ascii="Book Antiqua" w:hAnsi="Book Antiqua"/>
          <w:color w:val="000000"/>
        </w:rPr>
        <w:t xml:space="preserve"> </w:t>
      </w:r>
      <w:r w:rsidRPr="00E3232D">
        <w:rPr>
          <w:rFonts w:ascii="Book Antiqua" w:hAnsi="Book Antiqua"/>
        </w:rPr>
        <w:t>P</w:t>
      </w:r>
      <w:r w:rsidRPr="00E3232D">
        <w:rPr>
          <w:rFonts w:ascii="Book Antiqua" w:hAnsi="Book Antiqua"/>
          <w:color w:val="000000"/>
        </w:rPr>
        <w:t xml:space="preserve">oisson </w:t>
      </w:r>
      <w:r w:rsidR="00457A92" w:rsidRPr="00E3232D">
        <w:rPr>
          <w:rFonts w:ascii="Book Antiqua" w:hAnsi="Book Antiqua"/>
          <w:color w:val="000000"/>
        </w:rPr>
        <w:t>Distribution</w:t>
      </w:r>
    </w:p>
    <w:p w14:paraId="7AB3D32B" w14:textId="77777777" w:rsidR="00B05DFA" w:rsidRPr="00930306" w:rsidRDefault="00B05DFA" w:rsidP="00B05DFA">
      <w:pPr>
        <w:spacing w:before="240"/>
        <w:ind w:left="1260" w:hanging="1260"/>
        <w:jc w:val="both"/>
        <w:rPr>
          <w:rFonts w:ascii="Book Antiqua" w:hAnsi="Book Antiqua"/>
          <w:color w:val="000000"/>
        </w:rPr>
        <w:sectPr w:rsidR="00B05DFA" w:rsidRPr="00930306" w:rsidSect="008F6BC9">
          <w:type w:val="continuous"/>
          <w:pgSz w:w="11907" w:h="16839" w:code="9"/>
          <w:pgMar w:top="1350" w:right="1440" w:bottom="1440" w:left="1440" w:header="720" w:footer="720" w:gutter="0"/>
          <w:cols w:space="720"/>
          <w:docGrid w:linePitch="360"/>
        </w:sectPr>
      </w:pPr>
    </w:p>
    <w:p w14:paraId="5FB91EBE" w14:textId="77777777" w:rsidR="00FD0CF1" w:rsidRDefault="00FD0CF1" w:rsidP="00B05DFA">
      <w:pPr>
        <w:autoSpaceDE w:val="0"/>
        <w:autoSpaceDN w:val="0"/>
        <w:adjustRightInd w:val="0"/>
        <w:jc w:val="both"/>
        <w:rPr>
          <w:rFonts w:ascii="Book Antiqua" w:hAnsi="Book Antiqua"/>
          <w:b/>
          <w:color w:val="000000"/>
        </w:rPr>
        <w:sectPr w:rsidR="00FD0CF1" w:rsidSect="008F6BC9">
          <w:type w:val="continuous"/>
          <w:pgSz w:w="11907" w:h="16839" w:code="9"/>
          <w:pgMar w:top="1350" w:right="1440" w:bottom="1440" w:left="1440" w:header="720" w:footer="720" w:gutter="0"/>
          <w:cols w:space="720"/>
          <w:docGrid w:linePitch="360"/>
        </w:sectPr>
      </w:pPr>
    </w:p>
    <w:p w14:paraId="5BDD3E42" w14:textId="77777777" w:rsidR="004D4AB5" w:rsidRPr="00E3232D" w:rsidRDefault="00806674" w:rsidP="00B05DFA">
      <w:pPr>
        <w:autoSpaceDE w:val="0"/>
        <w:autoSpaceDN w:val="0"/>
        <w:adjustRightInd w:val="0"/>
        <w:jc w:val="both"/>
        <w:rPr>
          <w:rFonts w:ascii="Book Antiqua" w:hAnsi="Book Antiqua"/>
          <w:b/>
          <w:color w:val="000000"/>
        </w:rPr>
      </w:pPr>
      <w:r>
        <w:rPr>
          <w:rFonts w:ascii="Book Antiqua" w:hAnsi="Book Antiqua"/>
          <w:b/>
          <w:color w:val="000000"/>
          <w:sz w:val="26"/>
        </w:rPr>
        <w:t xml:space="preserve">1.0 </w:t>
      </w:r>
      <w:r w:rsidR="004D4AB5" w:rsidRPr="00B05DFA">
        <w:rPr>
          <w:rFonts w:ascii="Book Antiqua" w:hAnsi="Book Antiqua"/>
          <w:b/>
          <w:color w:val="000000"/>
          <w:sz w:val="26"/>
        </w:rPr>
        <w:t>Introduction</w:t>
      </w:r>
    </w:p>
    <w:p w14:paraId="51AA3EA5"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The risk involved in allocating insurance funds has boosted the need for statistical methods and principles. Insurance funds may be invested in several asset categories, which include bonds, equities and others with the aim of increasing investment real returns to meet claim payment demands and other financial obligations.</w:t>
      </w:r>
    </w:p>
    <w:p w14:paraId="0B322386" w14:textId="77777777" w:rsidR="00CC130F" w:rsidRDefault="00CC130F" w:rsidP="00B05DFA">
      <w:pPr>
        <w:autoSpaceDE w:val="0"/>
        <w:autoSpaceDN w:val="0"/>
        <w:adjustRightInd w:val="0"/>
        <w:jc w:val="both"/>
        <w:rPr>
          <w:rFonts w:ascii="Book Antiqua" w:hAnsi="Book Antiqua"/>
          <w:color w:val="000000"/>
        </w:rPr>
      </w:pPr>
    </w:p>
    <w:p w14:paraId="1D898E85"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 xml:space="preserve">The puzzle of percentage allocation of insurance fund into investment portfolios is subject to insurance liabilities of which part is systematic and the other stochastic. Insurance liability relating to stochastic constraints, which is of much concern to this research work forms comparatively huge part of the total liability of insurance companies. It is solely linked to claim demands and uncertainties relating to it by which the policy contract mandates the insurer to forfeit. Insurance companies </w:t>
      </w:r>
      <w:r w:rsidRPr="00E3232D">
        <w:rPr>
          <w:rFonts w:ascii="Book Antiqua" w:hAnsi="Book Antiqua"/>
          <w:color w:val="000000"/>
        </w:rPr>
        <w:lastRenderedPageBreak/>
        <w:t>employ statistical methods of estimation to acquire concrete information about these uncertain liabilities with which decisions pertaining to assets allocation, expected monthly claims and payment targets as well as future insurance pricing can be ascertained. This is known in insurance administration as the expected claim liability estimation problem.</w:t>
      </w:r>
    </w:p>
    <w:p w14:paraId="412D38B1"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The roots of insurance might be traced to Babylonia, where traders were encouraged to assume the risks of the caravan trade through loans with interest that were rapid only after the goods had arrived safely. The Phoenicians and the Greeks applied a similar system to their seaborne commerce. The Romans used burial clubs as a form of life insurance, providing funeral expenses for members and later payments to the survivors.</w:t>
      </w:r>
    </w:p>
    <w:p w14:paraId="7EE4B6DD"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w:t>
      </w:r>
      <w:hyperlink r:id="rId108" w:history="1">
        <w:r w:rsidRPr="00E3232D">
          <w:rPr>
            <w:rStyle w:val="Hyperlink"/>
            <w:rFonts w:ascii="Book Antiqua" w:hAnsi="Book Antiqua"/>
            <w:color w:val="000000"/>
          </w:rPr>
          <w:t>http://www.infoplease.com/business/insurance.html</w:t>
        </w:r>
      </w:hyperlink>
      <w:r w:rsidRPr="00E3232D">
        <w:rPr>
          <w:rFonts w:ascii="Book Antiqua" w:hAnsi="Book Antiqua"/>
          <w:color w:val="000000"/>
        </w:rPr>
        <w:t>)</w:t>
      </w:r>
    </w:p>
    <w:p w14:paraId="274830F3"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Insurance developed rapidly with the growth of British commerce in the 17</w:t>
      </w:r>
      <w:r w:rsidRPr="00E3232D">
        <w:rPr>
          <w:rFonts w:ascii="Book Antiqua" w:hAnsi="Book Antiqua"/>
          <w:color w:val="000000"/>
          <w:vertAlign w:val="superscript"/>
        </w:rPr>
        <w:t>th</w:t>
      </w:r>
      <w:r w:rsidRPr="00E3232D">
        <w:rPr>
          <w:rFonts w:ascii="Book Antiqua" w:hAnsi="Book Antiqua"/>
          <w:color w:val="000000"/>
        </w:rPr>
        <w:t xml:space="preserve"> and 18</w:t>
      </w:r>
      <w:r w:rsidRPr="00E3232D">
        <w:rPr>
          <w:rFonts w:ascii="Book Antiqua" w:hAnsi="Book Antiqua"/>
          <w:color w:val="000000"/>
          <w:vertAlign w:val="superscript"/>
        </w:rPr>
        <w:t>th</w:t>
      </w:r>
      <w:r w:rsidRPr="00E3232D">
        <w:rPr>
          <w:rFonts w:ascii="Book Antiqua" w:hAnsi="Book Antiqua"/>
          <w:color w:val="000000"/>
        </w:rPr>
        <w:t xml:space="preserve"> centuries. Prior to the formation of corporations devoted solely to the business of writing insurance, policies were signed by a number of individuals, each of whom wrote his name and the amount of risk he was assuming underneath the insurance proposal. </w:t>
      </w:r>
    </w:p>
    <w:p w14:paraId="178AAD13"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w:t>
      </w:r>
      <w:hyperlink r:id="rId109" w:history="1">
        <w:r w:rsidRPr="00E3232D">
          <w:rPr>
            <w:rStyle w:val="Hyperlink"/>
            <w:rFonts w:ascii="Book Antiqua" w:hAnsi="Book Antiqua"/>
            <w:color w:val="000000"/>
          </w:rPr>
          <w:t>http://encyclopedia2.thefreedictionary.com/Insurance</w:t>
        </w:r>
      </w:hyperlink>
      <w:r w:rsidRPr="00E3232D">
        <w:rPr>
          <w:rFonts w:ascii="Book Antiqua" w:hAnsi="Book Antiqua"/>
          <w:color w:val="000000"/>
        </w:rPr>
        <w:t>).</w:t>
      </w:r>
    </w:p>
    <w:p w14:paraId="3E1E80BA"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 xml:space="preserve">The first stock companies to engage in insurance were chartered in England in 1720 and 1735. Fire insurance corporations were formed in New York City in 1787 </w:t>
      </w:r>
      <w:r w:rsidRPr="00E3232D">
        <w:rPr>
          <w:rFonts w:ascii="Book Antiqua" w:hAnsi="Book Antiqua"/>
          <w:color w:val="000000"/>
        </w:rPr>
        <w:t>and at Philadelphia in 1794. The Presbyterian synod of Philadelphia sponsored the first life insurance corporation in America for the benefits of Presbyterian ministers and their dependants. After 1840, with the decline of religious prejudice against the practice, life insurance entered a boom period. In the 1830s the practice of classifying risks began.</w:t>
      </w:r>
    </w:p>
    <w:p w14:paraId="333D3CB5"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w:t>
      </w:r>
      <w:hyperlink r:id="rId110" w:history="1">
        <w:r w:rsidRPr="00E3232D">
          <w:rPr>
            <w:rStyle w:val="Hyperlink"/>
            <w:rFonts w:ascii="Book Antiqua" w:hAnsi="Book Antiqua"/>
            <w:color w:val="000000"/>
          </w:rPr>
          <w:t>http://www.infoplease.com/encyclopedia/business/insurance.html</w:t>
        </w:r>
      </w:hyperlink>
      <w:r w:rsidRPr="00E3232D">
        <w:rPr>
          <w:rFonts w:ascii="Book Antiqua" w:hAnsi="Book Antiqua"/>
          <w:color w:val="000000"/>
        </w:rPr>
        <w:t>).</w:t>
      </w:r>
    </w:p>
    <w:p w14:paraId="4F4EBD20"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In the 19th century, many friendly societies were founded to insure the life and health of their members. Similarly, fraternal orders and most labour organizations continued to provide insurance coverage for its members. Currently, many employers sponsor Group Insurance Policies for their employees. Such policies generally include not only life insurance but sickness, accident benefits and old-age pensions. The employees usually contribute a certain percentage of the premium. Since the 19th century, there has been a growing tendency for the state to enter the field of insurance, especially with respect to safeguarding workers against sickness and disability, either temporary or permanent, destitute old age and unemployment</w:t>
      </w:r>
    </w:p>
    <w:p w14:paraId="1ABA5882"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w:t>
      </w:r>
      <w:hyperlink r:id="rId111" w:history="1">
        <w:r w:rsidRPr="00E3232D">
          <w:rPr>
            <w:rStyle w:val="Hyperlink"/>
            <w:rFonts w:ascii="Book Antiqua" w:hAnsi="Book Antiqua"/>
            <w:color w:val="000000"/>
          </w:rPr>
          <w:t>http://www.infoplease.com/encyclopedia/business/insurance.html</w:t>
        </w:r>
      </w:hyperlink>
      <w:r w:rsidRPr="00E3232D">
        <w:rPr>
          <w:rFonts w:ascii="Book Antiqua" w:hAnsi="Book Antiqua"/>
          <w:color w:val="000000"/>
        </w:rPr>
        <w:t>).</w:t>
      </w:r>
    </w:p>
    <w:p w14:paraId="79E22B92" w14:textId="77777777" w:rsidR="009E7AAE" w:rsidRDefault="009E7AAE" w:rsidP="00B05DFA">
      <w:pPr>
        <w:autoSpaceDE w:val="0"/>
        <w:autoSpaceDN w:val="0"/>
        <w:adjustRightInd w:val="0"/>
        <w:jc w:val="both"/>
        <w:rPr>
          <w:rFonts w:ascii="Book Antiqua" w:hAnsi="Book Antiqua"/>
          <w:b/>
          <w:color w:val="000000"/>
        </w:rPr>
      </w:pPr>
    </w:p>
    <w:p w14:paraId="74AE70A7" w14:textId="77777777" w:rsidR="00EA19E3" w:rsidRDefault="00EA19E3" w:rsidP="00B05DFA">
      <w:pPr>
        <w:autoSpaceDE w:val="0"/>
        <w:autoSpaceDN w:val="0"/>
        <w:adjustRightInd w:val="0"/>
        <w:jc w:val="both"/>
        <w:rPr>
          <w:rFonts w:ascii="Book Antiqua" w:hAnsi="Book Antiqua"/>
          <w:b/>
          <w:color w:val="000000"/>
        </w:rPr>
      </w:pPr>
    </w:p>
    <w:p w14:paraId="6324B72B" w14:textId="77777777" w:rsidR="004D4AB5" w:rsidRPr="00E3232D" w:rsidRDefault="00806674" w:rsidP="00B05DFA">
      <w:pPr>
        <w:autoSpaceDE w:val="0"/>
        <w:autoSpaceDN w:val="0"/>
        <w:adjustRightInd w:val="0"/>
        <w:jc w:val="both"/>
        <w:rPr>
          <w:rFonts w:ascii="Book Antiqua" w:hAnsi="Book Antiqua"/>
          <w:b/>
          <w:color w:val="000000"/>
        </w:rPr>
      </w:pPr>
      <w:r>
        <w:rPr>
          <w:rFonts w:ascii="Book Antiqua" w:hAnsi="Book Antiqua"/>
          <w:b/>
          <w:color w:val="000000"/>
        </w:rPr>
        <w:lastRenderedPageBreak/>
        <w:t>1.1</w:t>
      </w:r>
      <w:r w:rsidR="004D4AB5" w:rsidRPr="00E3232D">
        <w:rPr>
          <w:rFonts w:ascii="Book Antiqua" w:hAnsi="Book Antiqua"/>
          <w:b/>
          <w:color w:val="000000"/>
        </w:rPr>
        <w:t xml:space="preserve"> Classification</w:t>
      </w:r>
    </w:p>
    <w:p w14:paraId="1293DA3F"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Insurance policy may be classified into two types namely, Life Insurance policy and Non-Life Insurance policy. Life insurance policy is originally conceived to protect a man's family when his death left them without income. This has developed into variety of policy plans. For example, In a Whole Life insurance policy, fixed premiums are paid throughout the insured's life time; this accumulated amount, augmented by compound interests, is paid to a beneficiary in a lump sum upon the insured's death; the benefits are paid even if the insured had terminated the policy. </w:t>
      </w:r>
    </w:p>
    <w:p w14:paraId="4D284C66" w14:textId="77777777" w:rsidR="00CC130F" w:rsidRDefault="00CC130F" w:rsidP="00B05DFA">
      <w:pPr>
        <w:autoSpaceDE w:val="0"/>
        <w:autoSpaceDN w:val="0"/>
        <w:adjustRightInd w:val="0"/>
        <w:spacing w:after="0"/>
        <w:jc w:val="both"/>
        <w:rPr>
          <w:rFonts w:ascii="Book Antiqua" w:hAnsi="Book Antiqua"/>
          <w:color w:val="000000"/>
        </w:rPr>
      </w:pPr>
    </w:p>
    <w:p w14:paraId="1E07B0A9"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Universal life insurance was created to provide more flexibility than whole life insurance by allowing the policy owner to shift money between the insurance and savings components of the policy. Premiums, which are variable, are broken down by the insurance company into insurance and savings, allowing the policy owner to make adjustments based on their individual circumstances. For example, if the savings portion is earning a low return, it can be used instead of external funds to pay the premiums. Unlike whole life insurance, universal life allows the cash value of investments to grow at a variable rate that is adjusted monthly.</w:t>
      </w:r>
    </w:p>
    <w:p w14:paraId="28110170"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w:t>
      </w:r>
      <w:hyperlink r:id="rId112" w:history="1">
        <w:r w:rsidRPr="00E3232D">
          <w:rPr>
            <w:rStyle w:val="Hyperlink"/>
            <w:rFonts w:ascii="Book Antiqua" w:hAnsi="Book Antiqua"/>
            <w:color w:val="000000"/>
          </w:rPr>
          <w:t>http://www.investopedia.com/terms/u/universallife.asp</w:t>
        </w:r>
      </w:hyperlink>
      <w:r w:rsidRPr="00E3232D">
        <w:rPr>
          <w:rFonts w:ascii="Book Antiqua" w:hAnsi="Book Antiqua"/>
          <w:color w:val="000000"/>
        </w:rPr>
        <w:t xml:space="preserve">). </w:t>
      </w:r>
    </w:p>
    <w:p w14:paraId="2F70E873" w14:textId="77777777" w:rsidR="00222FA4" w:rsidRDefault="00222FA4" w:rsidP="00B05DFA">
      <w:pPr>
        <w:autoSpaceDE w:val="0"/>
        <w:autoSpaceDN w:val="0"/>
        <w:adjustRightInd w:val="0"/>
        <w:spacing w:after="0"/>
        <w:jc w:val="both"/>
        <w:rPr>
          <w:rFonts w:ascii="Book Antiqua" w:hAnsi="Book Antiqua"/>
          <w:color w:val="000000"/>
        </w:rPr>
      </w:pPr>
    </w:p>
    <w:p w14:paraId="1992578D"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A typical example of a Non Life Insurance policy is Fire Insurance. This includes damage from lightning, hails, tornado, </w:t>
      </w:r>
      <w:r w:rsidRPr="00E3232D">
        <w:rPr>
          <w:rFonts w:ascii="Book Antiqua" w:hAnsi="Book Antiqua"/>
          <w:color w:val="000000"/>
        </w:rPr>
        <w:t>flood and drought. Complete automobile insurance includes not only insurance against _re and theft but also against compensation for damage to a car and for personal injury to the victim of an accident (liability insurance); many car owners; however carry only partial insurance (</w:t>
      </w:r>
      <w:hyperlink r:id="rId113" w:history="1">
        <w:r w:rsidRPr="00E3232D">
          <w:rPr>
            <w:rStyle w:val="Hyperlink"/>
            <w:rFonts w:ascii="Book Antiqua" w:hAnsi="Book Antiqua"/>
            <w:color w:val="000000"/>
          </w:rPr>
          <w:t>http://encyclopedia2.thefreedictionary.com/Insurance</w:t>
        </w:r>
      </w:hyperlink>
      <w:r w:rsidRPr="00E3232D">
        <w:rPr>
          <w:rFonts w:ascii="Book Antiqua" w:hAnsi="Book Antiqua"/>
          <w:color w:val="000000"/>
        </w:rPr>
        <w:t xml:space="preserve">). </w:t>
      </w:r>
    </w:p>
    <w:p w14:paraId="1E35728C" w14:textId="77777777" w:rsidR="00CC130F"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In many countries, liability insurance is compulsory. Bonding or fidelity insurance is designed to protect an employer against dishonesty on the part of an employee. Title insurance is aimed at protecting purchasers of real estate from loss by reason of defective title. Credit insurance safeguards business against loss from the failure of customers to meet their obligations. Marine insurance protects shipping companies against the loss of a ship or its cargo, as well as many other items (</w:t>
      </w:r>
      <w:hyperlink r:id="rId114" w:history="1">
        <w:r w:rsidRPr="00E3232D">
          <w:rPr>
            <w:rStyle w:val="Hyperlink"/>
            <w:rFonts w:ascii="Book Antiqua" w:hAnsi="Book Antiqua"/>
            <w:color w:val="000000"/>
          </w:rPr>
          <w:t>http://encyclopedia2.thefreedictionary.com/Insurance</w:t>
        </w:r>
      </w:hyperlink>
      <w:r w:rsidRPr="00E3232D">
        <w:rPr>
          <w:rFonts w:ascii="Book Antiqua" w:hAnsi="Book Antiqua"/>
          <w:color w:val="000000"/>
        </w:rPr>
        <w:t xml:space="preserve">). </w:t>
      </w:r>
    </w:p>
    <w:p w14:paraId="037832CA" w14:textId="77777777" w:rsidR="00930306" w:rsidRDefault="004D4AB5" w:rsidP="00B05DFA">
      <w:pPr>
        <w:autoSpaceDE w:val="0"/>
        <w:autoSpaceDN w:val="0"/>
        <w:adjustRightInd w:val="0"/>
        <w:jc w:val="both"/>
        <w:rPr>
          <w:rFonts w:ascii="Book Antiqua" w:hAnsi="Book Antiqua"/>
          <w:b/>
          <w:color w:val="000000"/>
        </w:rPr>
      </w:pPr>
      <w:r w:rsidRPr="00E3232D">
        <w:rPr>
          <w:rFonts w:ascii="Book Antiqua" w:hAnsi="Book Antiqua"/>
          <w:color w:val="000000"/>
        </w:rPr>
        <w:t>In recent years, the insurance industry has broadened to guard against almost any conceivable risk; companies will insure a dancer's legs, a pianist fingers or an outdoor event against loss from rain on a specified day. A hybrid type of insurance is what we call composite insurance policy, which combines both life and non life insurance.</w:t>
      </w:r>
      <w:r w:rsidRPr="00E3232D">
        <w:rPr>
          <w:rFonts w:ascii="Book Antiqua" w:hAnsi="Book Antiqua"/>
          <w:b/>
          <w:color w:val="000000"/>
        </w:rPr>
        <w:t xml:space="preserve"> </w:t>
      </w:r>
    </w:p>
    <w:p w14:paraId="35411F43" w14:textId="77777777" w:rsidR="004D4AB5" w:rsidRPr="00E3232D" w:rsidRDefault="00806674" w:rsidP="00B05DFA">
      <w:pPr>
        <w:autoSpaceDE w:val="0"/>
        <w:autoSpaceDN w:val="0"/>
        <w:adjustRightInd w:val="0"/>
        <w:jc w:val="both"/>
        <w:rPr>
          <w:rFonts w:ascii="Book Antiqua" w:hAnsi="Book Antiqua"/>
          <w:b/>
          <w:color w:val="000000"/>
        </w:rPr>
      </w:pPr>
      <w:r>
        <w:rPr>
          <w:rFonts w:ascii="Book Antiqua" w:hAnsi="Book Antiqua"/>
          <w:b/>
          <w:color w:val="000000"/>
        </w:rPr>
        <w:t>1.2</w:t>
      </w:r>
      <w:r w:rsidR="004D4AB5" w:rsidRPr="00E3232D">
        <w:rPr>
          <w:rFonts w:ascii="Book Antiqua" w:hAnsi="Book Antiqua"/>
          <w:b/>
          <w:color w:val="000000"/>
        </w:rPr>
        <w:t xml:space="preserve"> Insurance in Ghana</w:t>
      </w:r>
    </w:p>
    <w:p w14:paraId="1E5929CE"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Insurance in Ghana began in the colonial era - 1924, with the establishment of the Royal Guardian Enterprise now known as </w:t>
      </w:r>
      <w:r w:rsidRPr="00E3232D">
        <w:rPr>
          <w:rFonts w:ascii="Book Antiqua" w:hAnsi="Book Antiqua"/>
          <w:color w:val="000000"/>
        </w:rPr>
        <w:lastRenderedPageBreak/>
        <w:t>the Enterprise Insurance Company Limited. The first indigenous private insurance company, the Gold Coast Insurance Company was established in 1955. In 1962, the State Insurance Company of Ghana (SIC) was set up. Eleven (11) more companies were established in 1971. Five years later seven (7) more insurance companies, one (1) reinsurance industry and insurance brokerage firms were established.</w:t>
      </w:r>
    </w:p>
    <w:p w14:paraId="5DA57CDB" w14:textId="77777777" w:rsidR="00222FA4" w:rsidRDefault="00222FA4" w:rsidP="00B05DFA">
      <w:pPr>
        <w:autoSpaceDE w:val="0"/>
        <w:autoSpaceDN w:val="0"/>
        <w:adjustRightInd w:val="0"/>
        <w:spacing w:after="0"/>
        <w:jc w:val="both"/>
        <w:rPr>
          <w:rFonts w:ascii="Book Antiqua" w:hAnsi="Book Antiqua"/>
          <w:color w:val="000000"/>
        </w:rPr>
      </w:pPr>
    </w:p>
    <w:p w14:paraId="30B3C02A"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The 1989 insurance law, </w:t>
      </w:r>
      <w:r w:rsidRPr="00E3232D">
        <w:rPr>
          <w:rFonts w:ascii="Book Antiqua" w:hAnsi="Book Antiqua"/>
        </w:rPr>
        <w:t>PNDC</w:t>
      </w:r>
      <w:r w:rsidRPr="00E3232D">
        <w:rPr>
          <w:rFonts w:ascii="Book Antiqua" w:hAnsi="Book Antiqua"/>
          <w:color w:val="000000"/>
        </w:rPr>
        <w:t xml:space="preserve"> Law 229 led to the establishment of the National Insurance Commission. The National Insurance Commission (NIC) remains the sole institution that has been mandated to regulate and supervise insurance activities within the country. The insurance industry is thriving so much that the business is quite common across the globe. The major insurance companies in Ghana can be grouped into:</w:t>
      </w:r>
    </w:p>
    <w:p w14:paraId="7ADFE698"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(i) Life Insurance</w:t>
      </w:r>
    </w:p>
    <w:p w14:paraId="7A9E3F2A"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(ii) Non-Life Insurance</w:t>
      </w:r>
    </w:p>
    <w:p w14:paraId="23EA2878"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(iii) Composite Insurance (a combination of Life and Non-Life insurance).</w:t>
      </w:r>
    </w:p>
    <w:p w14:paraId="691F40F5" w14:textId="77777777" w:rsidR="00222FA4" w:rsidRDefault="00222FA4" w:rsidP="00B05DFA">
      <w:pPr>
        <w:autoSpaceDE w:val="0"/>
        <w:autoSpaceDN w:val="0"/>
        <w:adjustRightInd w:val="0"/>
        <w:spacing w:after="0"/>
        <w:jc w:val="both"/>
        <w:rPr>
          <w:rFonts w:ascii="Book Antiqua" w:hAnsi="Book Antiqua"/>
          <w:color w:val="000000"/>
        </w:rPr>
      </w:pPr>
    </w:p>
    <w:p w14:paraId="6F0BEE23"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The insurance industry as of 2010 statistics was made up of the following: 23 Non-</w:t>
      </w:r>
    </w:p>
    <w:p w14:paraId="37BBAD93"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Life companies, 17 Life companies, 2 Reinsurance companies with over 40 Broking companies, one reinsurance broking company, one loss adjusting company and about 4,000 insurance agents.</w:t>
      </w:r>
    </w:p>
    <w:p w14:paraId="35FEB9CB" w14:textId="77777777" w:rsidR="00222FA4" w:rsidRDefault="00222FA4" w:rsidP="00B05DFA">
      <w:pPr>
        <w:autoSpaceDE w:val="0"/>
        <w:autoSpaceDN w:val="0"/>
        <w:adjustRightInd w:val="0"/>
        <w:spacing w:after="0"/>
        <w:jc w:val="both"/>
        <w:rPr>
          <w:rFonts w:ascii="Book Antiqua" w:hAnsi="Book Antiqua"/>
          <w:color w:val="000000"/>
        </w:rPr>
      </w:pPr>
    </w:p>
    <w:p w14:paraId="082A6EFA"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In Ghana, insurance is an accepted thing to do, as everyone must protect themselves against risks in life. The needs of insurance in Ghana for example cuts across travel insurance, fire insurance, motor insurance, marine insurance etc. Though quite competitive, the governing laws of insurance have also increased with time. For example: In Ghana, Insurance Act 58 stipulates that all car owners insure their vehicles against unintended risks and damages. Despite the many posing questions asked on insurance, Ghanaians are gradually accepting the fact of paying premiums to protect themselves and their loved ones in case of loss and damage.</w:t>
      </w:r>
    </w:p>
    <w:p w14:paraId="5EF01235" w14:textId="77777777" w:rsidR="00222FA4" w:rsidRDefault="00222FA4" w:rsidP="00B05DFA">
      <w:pPr>
        <w:autoSpaceDE w:val="0"/>
        <w:autoSpaceDN w:val="0"/>
        <w:adjustRightInd w:val="0"/>
        <w:spacing w:after="0"/>
        <w:jc w:val="both"/>
        <w:rPr>
          <w:rFonts w:ascii="Book Antiqua" w:hAnsi="Book Antiqua"/>
          <w:color w:val="000000"/>
        </w:rPr>
      </w:pPr>
    </w:p>
    <w:p w14:paraId="3AF76D98"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This can be attributed to the rude awakening of the Great Fire of London in 1966 destroying over 13,200 houses and lives as well as other Ghanaians properties (houses and market buildings) that were damaged by fire and flood in the early years without the owners insuring them. To a greater extent the problems faced by the insurance industry lies in risk management in the wake of financial crisis, that is maintaining adequate capital and surplus in support of continuous operations. Poor public perception of insurance has also resulted in lack of confidence in insurance. Again changes in sales and distribution as a result of decline in business</w:t>
      </w:r>
    </w:p>
    <w:p w14:paraId="4134411A"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 xml:space="preserve">volumes and changes in customer focus and related operating modules posses as a threat to the industry. Ineffective international financial reporting standards and ineffective investment management </w:t>
      </w:r>
      <w:r w:rsidRPr="00E3232D">
        <w:rPr>
          <w:rFonts w:ascii="Book Antiqua" w:hAnsi="Book Antiqua"/>
          <w:color w:val="000000"/>
        </w:rPr>
        <w:lastRenderedPageBreak/>
        <w:t>procedures are just a few to highlight within the industry.</w:t>
      </w:r>
    </w:p>
    <w:p w14:paraId="0CB256F8"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w:t>
      </w:r>
      <w:hyperlink r:id="rId115" w:history="1">
        <w:r w:rsidRPr="00E3232D">
          <w:rPr>
            <w:rStyle w:val="Hyperlink"/>
            <w:rFonts w:ascii="Book Antiqua" w:hAnsi="Book Antiqua"/>
            <w:color w:val="000000"/>
          </w:rPr>
          <w:t>http://mybusinessweekafrica.com/topheadlines-detail.php</w:t>
        </w:r>
      </w:hyperlink>
      <w:r w:rsidRPr="00E3232D">
        <w:rPr>
          <w:rFonts w:ascii="Book Antiqua" w:hAnsi="Book Antiqua"/>
          <w:color w:val="000000"/>
        </w:rPr>
        <w:t>).</w:t>
      </w:r>
    </w:p>
    <w:p w14:paraId="30BF1760" w14:textId="77777777" w:rsidR="004D4AB5" w:rsidRPr="00E3232D" w:rsidRDefault="00806674" w:rsidP="00B05DFA">
      <w:pPr>
        <w:autoSpaceDE w:val="0"/>
        <w:autoSpaceDN w:val="0"/>
        <w:adjustRightInd w:val="0"/>
        <w:jc w:val="both"/>
        <w:rPr>
          <w:rFonts w:ascii="Book Antiqua" w:hAnsi="Book Antiqua"/>
          <w:b/>
          <w:color w:val="000000"/>
        </w:rPr>
      </w:pPr>
      <w:r>
        <w:rPr>
          <w:rFonts w:ascii="Book Antiqua" w:hAnsi="Book Antiqua"/>
          <w:b/>
          <w:color w:val="000000"/>
        </w:rPr>
        <w:t xml:space="preserve">1.3 </w:t>
      </w:r>
      <w:r w:rsidR="004D4AB5" w:rsidRPr="00E3232D">
        <w:rPr>
          <w:rFonts w:ascii="Book Antiqua" w:hAnsi="Book Antiqua"/>
          <w:b/>
          <w:color w:val="000000"/>
        </w:rPr>
        <w:t>Statement of the Problem</w:t>
      </w:r>
    </w:p>
    <w:p w14:paraId="2DF088F4" w14:textId="77777777" w:rsidR="004D4AB5" w:rsidRPr="00E3232D" w:rsidRDefault="004D4AB5" w:rsidP="00B05DFA">
      <w:pPr>
        <w:autoSpaceDE w:val="0"/>
        <w:autoSpaceDN w:val="0"/>
        <w:adjustRightInd w:val="0"/>
        <w:spacing w:after="0"/>
        <w:ind w:right="-144"/>
        <w:jc w:val="both"/>
        <w:rPr>
          <w:rFonts w:ascii="Book Antiqua" w:hAnsi="Book Antiqua"/>
          <w:color w:val="000000"/>
        </w:rPr>
      </w:pPr>
      <w:r w:rsidRPr="00E3232D">
        <w:rPr>
          <w:rFonts w:ascii="Book Antiqua" w:hAnsi="Book Antiqua"/>
          <w:color w:val="000000"/>
        </w:rPr>
        <w:t>The statistics on industries in Ghana revealed that insurance companies have increased appreciably over the last five (5) years and the demand of Ghanaians to secure insurance policies for their business and households is overwhelming (</w:t>
      </w:r>
      <w:hyperlink r:id="rId116" w:history="1">
        <w:r w:rsidRPr="00E3232D">
          <w:rPr>
            <w:rStyle w:val="Hyperlink"/>
            <w:rFonts w:ascii="Book Antiqua" w:hAnsi="Book Antiqua"/>
            <w:color w:val="000000"/>
          </w:rPr>
          <w:t>http://www.nicgh.org/live/en/?pg=104.pp</w:t>
        </w:r>
      </w:hyperlink>
      <w:r w:rsidRPr="00E3232D">
        <w:rPr>
          <w:rFonts w:ascii="Book Antiqua" w:hAnsi="Book Antiqua"/>
          <w:color w:val="000000"/>
        </w:rPr>
        <w:t xml:space="preserve">). To this end, Insurance Companies are repositioning themselves to meet the future challenges of demand for Insurance Policies, Risk Management and Investments as well as Claim Payment Demands. In view of the fact that every policy holder expects a cushion in the event of his/her economic loss as stipulated in an Insurance Contract, the challenge of meeting the payment terms becomes an issue of much concern to the Insurer. </w:t>
      </w:r>
    </w:p>
    <w:p w14:paraId="7FC2D2A0" w14:textId="77777777" w:rsidR="00222FA4" w:rsidRDefault="00222FA4" w:rsidP="00B05DFA">
      <w:pPr>
        <w:autoSpaceDE w:val="0"/>
        <w:autoSpaceDN w:val="0"/>
        <w:adjustRightInd w:val="0"/>
        <w:spacing w:after="0"/>
        <w:jc w:val="both"/>
        <w:rPr>
          <w:rFonts w:ascii="Book Antiqua" w:hAnsi="Book Antiqua"/>
          <w:color w:val="000000"/>
        </w:rPr>
      </w:pPr>
    </w:p>
    <w:p w14:paraId="70174A18"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The estimation of Expected Claim Liabilities of the Insurance Policies enables decisions on asset allocation and claim payment to be taken without much error thereby rising above the said challenges. The aim of this research is to explore probability models to model a number of Insurance Claim and to estimate the expected claim Liabilities of Insurance Policies.</w:t>
      </w:r>
    </w:p>
    <w:p w14:paraId="4882723B" w14:textId="77777777" w:rsidR="005E00A4" w:rsidRDefault="005E00A4" w:rsidP="005E00A4">
      <w:pPr>
        <w:autoSpaceDE w:val="0"/>
        <w:autoSpaceDN w:val="0"/>
        <w:adjustRightInd w:val="0"/>
        <w:spacing w:after="0"/>
        <w:jc w:val="both"/>
        <w:rPr>
          <w:rFonts w:ascii="Book Antiqua" w:hAnsi="Book Antiqua"/>
          <w:b/>
          <w:color w:val="000000"/>
        </w:rPr>
      </w:pPr>
    </w:p>
    <w:p w14:paraId="4F65107B" w14:textId="77777777" w:rsidR="005F7EA7" w:rsidRDefault="005F7EA7" w:rsidP="00B05DFA">
      <w:pPr>
        <w:autoSpaceDE w:val="0"/>
        <w:autoSpaceDN w:val="0"/>
        <w:adjustRightInd w:val="0"/>
        <w:jc w:val="both"/>
        <w:rPr>
          <w:rFonts w:ascii="Book Antiqua" w:hAnsi="Book Antiqua"/>
          <w:b/>
          <w:color w:val="000000"/>
        </w:rPr>
      </w:pPr>
    </w:p>
    <w:p w14:paraId="733630B9" w14:textId="77777777" w:rsidR="005F7EA7" w:rsidRDefault="005F7EA7" w:rsidP="00B05DFA">
      <w:pPr>
        <w:autoSpaceDE w:val="0"/>
        <w:autoSpaceDN w:val="0"/>
        <w:adjustRightInd w:val="0"/>
        <w:jc w:val="both"/>
        <w:rPr>
          <w:rFonts w:ascii="Book Antiqua" w:hAnsi="Book Antiqua"/>
          <w:b/>
          <w:color w:val="000000"/>
        </w:rPr>
      </w:pPr>
    </w:p>
    <w:p w14:paraId="00F81495" w14:textId="77777777" w:rsidR="004D4AB5" w:rsidRPr="00E3232D" w:rsidRDefault="00806674" w:rsidP="00B05DFA">
      <w:pPr>
        <w:autoSpaceDE w:val="0"/>
        <w:autoSpaceDN w:val="0"/>
        <w:adjustRightInd w:val="0"/>
        <w:jc w:val="both"/>
        <w:rPr>
          <w:rFonts w:ascii="Book Antiqua" w:hAnsi="Book Antiqua"/>
          <w:b/>
          <w:color w:val="000000"/>
        </w:rPr>
      </w:pPr>
      <w:r>
        <w:rPr>
          <w:rFonts w:ascii="Book Antiqua" w:hAnsi="Book Antiqua"/>
          <w:b/>
          <w:color w:val="000000"/>
        </w:rPr>
        <w:t xml:space="preserve">1.4 </w:t>
      </w:r>
      <w:r w:rsidR="004D4AB5" w:rsidRPr="00E3232D">
        <w:rPr>
          <w:rFonts w:ascii="Book Antiqua" w:hAnsi="Book Antiqua"/>
          <w:b/>
          <w:color w:val="000000"/>
        </w:rPr>
        <w:t>Research Objectives</w:t>
      </w:r>
    </w:p>
    <w:p w14:paraId="483A56D8"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The main objective of the study was to explore probability models that would model adequately the number of claims occurring under funeral insurance policies in Ghana to estimate the expected number of claims.</w:t>
      </w:r>
    </w:p>
    <w:p w14:paraId="01227796" w14:textId="77777777" w:rsidR="00222FA4" w:rsidRDefault="00222FA4" w:rsidP="00B05DFA">
      <w:pPr>
        <w:autoSpaceDE w:val="0"/>
        <w:autoSpaceDN w:val="0"/>
        <w:adjustRightInd w:val="0"/>
        <w:spacing w:after="0"/>
        <w:jc w:val="both"/>
        <w:rPr>
          <w:rFonts w:ascii="Book Antiqua" w:hAnsi="Book Antiqua"/>
          <w:color w:val="000000"/>
        </w:rPr>
      </w:pPr>
    </w:p>
    <w:p w14:paraId="22526FA4"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The specific objectives of the study are to: </w:t>
      </w:r>
    </w:p>
    <w:p w14:paraId="4F919842"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(i) Identify and explain seasonal variation within the number of claims.</w:t>
      </w:r>
    </w:p>
    <w:p w14:paraId="1F8AEB5E"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(ii) Compare the Probability distribution estimates of the number of claims.</w:t>
      </w:r>
    </w:p>
    <w:p w14:paraId="2F74269A"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(iii) Derive the Probability distribution model that best fits the number of Claims for the funeral policies.</w:t>
      </w:r>
    </w:p>
    <w:p w14:paraId="15F9B74B"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(iv) Construct bootstrap confidence intervals for the Expected Number of Claims and compare with that of the estimates obtained from the models.</w:t>
      </w:r>
    </w:p>
    <w:p w14:paraId="27F96774" w14:textId="77777777" w:rsidR="004D4AB5" w:rsidRPr="00E3232D" w:rsidRDefault="004D4AB5" w:rsidP="00B05DFA">
      <w:pPr>
        <w:autoSpaceDE w:val="0"/>
        <w:autoSpaceDN w:val="0"/>
        <w:adjustRightInd w:val="0"/>
        <w:jc w:val="both"/>
        <w:rPr>
          <w:rFonts w:ascii="Book Antiqua" w:hAnsi="Book Antiqua"/>
          <w:b/>
          <w:color w:val="000000"/>
        </w:rPr>
      </w:pPr>
      <w:r w:rsidRPr="00E3232D">
        <w:rPr>
          <w:rFonts w:ascii="Book Antiqua" w:hAnsi="Book Antiqua"/>
          <w:b/>
          <w:color w:val="000000"/>
        </w:rPr>
        <w:t xml:space="preserve">  </w:t>
      </w:r>
      <w:r w:rsidR="00806674">
        <w:rPr>
          <w:rFonts w:ascii="Book Antiqua" w:hAnsi="Book Antiqua"/>
          <w:b/>
          <w:color w:val="000000"/>
        </w:rPr>
        <w:t xml:space="preserve">1.4 </w:t>
      </w:r>
      <w:r w:rsidRPr="00E3232D">
        <w:rPr>
          <w:rFonts w:ascii="Book Antiqua" w:hAnsi="Book Antiqua"/>
          <w:b/>
          <w:color w:val="000000"/>
        </w:rPr>
        <w:t>Literature Review</w:t>
      </w:r>
    </w:p>
    <w:p w14:paraId="26029141" w14:textId="77777777" w:rsidR="00222FA4"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Probability models of count data provide</w:t>
      </w:r>
      <w:r w:rsidRPr="00E3232D">
        <w:rPr>
          <w:rFonts w:ascii="Book Antiqua" w:hAnsi="Book Antiqua"/>
          <w:color w:val="FF0000"/>
        </w:rPr>
        <w:t xml:space="preserve"> </w:t>
      </w:r>
      <w:r w:rsidRPr="00E3232D">
        <w:rPr>
          <w:rFonts w:ascii="Book Antiqua" w:hAnsi="Book Antiqua"/>
          <w:color w:val="000000"/>
        </w:rPr>
        <w:t>essential information for Insurance Pricing, Insurance Liability Estimation and Investment Decision Making. Claims and unexpired risks provisions in insurance companies are determined based on previous claims experience, knowledge of the events and the terms and conditions of the relevant policies and on interpretation of circumstances.</w:t>
      </w:r>
    </w:p>
    <w:p w14:paraId="4B8B225C"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Most insurance companies set claim payment targets by considering the estimates obtained by predicting the number of claims for some unforeseen </w:t>
      </w:r>
      <w:r w:rsidRPr="00E3232D">
        <w:rPr>
          <w:rFonts w:ascii="Book Antiqua" w:hAnsi="Book Antiqua"/>
          <w:color w:val="000000"/>
        </w:rPr>
        <w:lastRenderedPageBreak/>
        <w:t>periods. Insurance claim liability estimation is a sub problem of insurance liability estimation. Most insurance companies prefer to tackle the problem holistically, but all the same the claim liability is estimated somehow. An example is the Bornhuetter- Ferguson loss reserve method of i</w:t>
      </w:r>
      <w:r w:rsidR="001C3A0A" w:rsidRPr="00E3232D">
        <w:rPr>
          <w:rFonts w:ascii="Book Antiqua" w:hAnsi="Book Antiqua"/>
          <w:color w:val="000000"/>
        </w:rPr>
        <w:t>nsurance liability estimation (</w:t>
      </w:r>
      <w:r w:rsidRPr="00E3232D">
        <w:rPr>
          <w:rFonts w:ascii="Book Antiqua" w:hAnsi="Book Antiqua"/>
          <w:color w:val="000000"/>
        </w:rPr>
        <w:t>Asmussen and Kliippelberg, 2008)</w:t>
      </w:r>
    </w:p>
    <w:p w14:paraId="33B202A8" w14:textId="77777777" w:rsidR="00222FA4" w:rsidRDefault="00222FA4" w:rsidP="00B05DFA">
      <w:pPr>
        <w:autoSpaceDE w:val="0"/>
        <w:autoSpaceDN w:val="0"/>
        <w:adjustRightInd w:val="0"/>
        <w:spacing w:after="0"/>
        <w:jc w:val="both"/>
        <w:rPr>
          <w:rFonts w:ascii="Book Antiqua" w:hAnsi="Book Antiqua"/>
          <w:color w:val="000000"/>
        </w:rPr>
      </w:pPr>
    </w:p>
    <w:p w14:paraId="4F1CBBB3"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The product of the expected number of claim and the benefit paid under the policy is essentially the expected claim liability when the policy is a fixed benefit policy and all economic factors such as inflation, interest rates etc are all held constant. It is noteworthy that a good estimate of the probability distribution model may lead to a good estimate of the claim liability that will improve on other estimates and the overall insurance liability estimate. </w:t>
      </w:r>
    </w:p>
    <w:p w14:paraId="1C59A59C" w14:textId="77777777" w:rsidR="00930306" w:rsidRDefault="00930306" w:rsidP="005E00A4">
      <w:pPr>
        <w:autoSpaceDE w:val="0"/>
        <w:autoSpaceDN w:val="0"/>
        <w:adjustRightInd w:val="0"/>
        <w:spacing w:after="0"/>
        <w:jc w:val="both"/>
        <w:rPr>
          <w:rFonts w:ascii="Book Antiqua" w:hAnsi="Book Antiqua"/>
          <w:color w:val="000000"/>
        </w:rPr>
      </w:pPr>
    </w:p>
    <w:p w14:paraId="36331482"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 xml:space="preserve">In statistics, stochastic count data refers to data in which the observations are uncertain and can take only non-negative integer values, i.e. {0, 1, 2, 3,…}. These integers arise from counting rather than ranking and that the statistical treatment of such data is distinct from that of binary data, in which the observations can take only two values, usually represented by 0 and 1. The methodology of stochastic count data modeling also known as Probability Modeling evolved from just an assumption and parameter estimation to modeling and has grown considerably in the past years with a lot of new procedures and methods. </w:t>
      </w:r>
    </w:p>
    <w:p w14:paraId="60A699F7"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This evolution has taken place in both discrete and continuous probability modeling in diverse field of the sciences with most effects felt in the Statistics and Engineering Sciences (Yaacob et al., 2010).</w:t>
      </w:r>
    </w:p>
    <w:p w14:paraId="726D714B" w14:textId="77777777" w:rsidR="00CC130F" w:rsidRDefault="00CC130F" w:rsidP="00B05DFA">
      <w:pPr>
        <w:autoSpaceDE w:val="0"/>
        <w:autoSpaceDN w:val="0"/>
        <w:adjustRightInd w:val="0"/>
        <w:spacing w:after="0"/>
        <w:jc w:val="both"/>
        <w:rPr>
          <w:rFonts w:ascii="Book Antiqua" w:hAnsi="Book Antiqua"/>
          <w:color w:val="000000"/>
        </w:rPr>
      </w:pPr>
    </w:p>
    <w:p w14:paraId="6BA03EE8" w14:textId="77777777" w:rsidR="004D4AB5" w:rsidRPr="00E3232D" w:rsidRDefault="004D4AB5" w:rsidP="00B05DFA">
      <w:pPr>
        <w:autoSpaceDE w:val="0"/>
        <w:autoSpaceDN w:val="0"/>
        <w:adjustRightInd w:val="0"/>
        <w:spacing w:after="0"/>
        <w:jc w:val="both"/>
        <w:rPr>
          <w:rFonts w:ascii="Book Antiqua" w:hAnsi="Book Antiqua"/>
          <w:b/>
          <w:color w:val="000000"/>
        </w:rPr>
      </w:pPr>
      <w:r w:rsidRPr="00E3232D">
        <w:rPr>
          <w:rFonts w:ascii="Book Antiqua" w:hAnsi="Book Antiqua"/>
          <w:color w:val="000000"/>
        </w:rPr>
        <w:t xml:space="preserve">An appreciable amount of work have being done, making up theories and methods that have added to the Modeling body of knowledge. The theories and methods invented dealt proficiently with the complexities and has rendered the resolutions mechanic. The Poisson distribution model of stochastic count data requires strong independence assumptions with regards to the underlining stochastic process and any violation of these assumptions invalidates the Model. One important features of the Poisson distribution that has justified its inadequacy in stochastic count data modeling is the variance-to-mean ratio, also called Fisher dispersion index, which is equal to one (1) whatever the value of </w:t>
      </w:r>
      <w:r w:rsidRPr="00E3232D">
        <w:rPr>
          <w:rFonts w:ascii="Book Antiqua" w:hAnsi="Book Antiqua"/>
          <w:color w:val="000000"/>
          <w:position w:val="-6"/>
        </w:rPr>
        <w:object w:dxaOrig="200" w:dyaOrig="279" w14:anchorId="0930C87D">
          <v:shape id="_x0000_i1027" type="#_x0000_t75" style="width:11.55pt;height:14.25pt" o:ole="">
            <v:imagedata r:id="rId117" o:title=""/>
          </v:shape>
          <o:OLEObject Type="Embed" ProgID="Equation.DSMT4" ShapeID="_x0000_i1027" DrawAspect="Content" ObjectID="_1680958685" r:id="rId118"/>
        </w:object>
      </w:r>
      <w:r w:rsidRPr="00E3232D">
        <w:rPr>
          <w:rFonts w:ascii="Book Antiqua" w:hAnsi="Book Antiqua"/>
          <w:color w:val="000000"/>
        </w:rPr>
        <w:t>. This inappropriateness of modeling count data with the Poisson distribution has long been recognized, and collectively risk algorithms have being developed that works just as well as other frequency distributions, in particular the  Negative Binomial Distribution (Asmussen, and Kliippelberg, 2008; Mikosch and Nagaev,2007).</w:t>
      </w:r>
    </w:p>
    <w:p w14:paraId="7D9A4370" w14:textId="77777777" w:rsidR="00222FA4" w:rsidRDefault="00222FA4" w:rsidP="005E00A4">
      <w:pPr>
        <w:autoSpaceDE w:val="0"/>
        <w:autoSpaceDN w:val="0"/>
        <w:adjustRightInd w:val="0"/>
        <w:spacing w:after="0"/>
        <w:jc w:val="both"/>
        <w:rPr>
          <w:rFonts w:ascii="Book Antiqua" w:hAnsi="Book Antiqua"/>
          <w:color w:val="000000"/>
        </w:rPr>
      </w:pPr>
    </w:p>
    <w:p w14:paraId="221A14F4"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In this regards various test for detecting over dispersion have also been developed. Again more general models have been proposed that allow for over dispersion; furthermore, its effect has been analyzed and corrected for within the maintained </w:t>
      </w:r>
      <w:r w:rsidRPr="00E3232D">
        <w:rPr>
          <w:rFonts w:ascii="Book Antiqua" w:hAnsi="Book Antiqua"/>
          <w:color w:val="000000"/>
        </w:rPr>
        <w:lastRenderedPageBreak/>
        <w:t>Poisson model Schlegel(1998). Other research works</w:t>
      </w:r>
      <w:r w:rsidRPr="00E3232D">
        <w:rPr>
          <w:rFonts w:ascii="Book Antiqua" w:hAnsi="Book Antiqua"/>
        </w:rPr>
        <w:t>(</w:t>
      </w:r>
      <w:r w:rsidRPr="00E3232D">
        <w:rPr>
          <w:rStyle w:val="medium-font"/>
          <w:rFonts w:ascii="Book Antiqua" w:hAnsi="Book Antiqua"/>
          <w:color w:val="000000"/>
          <w:bdr w:val="none" w:sz="0" w:space="0" w:color="auto" w:frame="1"/>
        </w:rPr>
        <w:t>Terceño, and  Gil, 2012</w:t>
      </w:r>
      <w:r w:rsidRPr="00E3232D">
        <w:rPr>
          <w:rFonts w:ascii="Book Antiqua" w:hAnsi="Book Antiqua"/>
          <w:color w:val="000000"/>
          <w:shd w:val="clear" w:color="auto" w:fill="FFFFFF"/>
        </w:rPr>
        <w:t xml:space="preserve">; </w:t>
      </w:r>
      <w:r w:rsidRPr="00E3232D">
        <w:rPr>
          <w:rFonts w:ascii="Book Antiqua" w:hAnsi="Book Antiqua"/>
          <w:color w:val="000000"/>
        </w:rPr>
        <w:t xml:space="preserve">Osgood, 2000) have ascribed this inappropriateness to the under dispersion and over dispersion in count data with the later being the specific case of the count data for insurance claims. The authors consequently defined </w:t>
      </w:r>
      <w:r w:rsidRPr="00E3232D">
        <w:rPr>
          <w:rFonts w:ascii="Book Antiqua" w:hAnsi="Book Antiqua"/>
        </w:rPr>
        <w:t>o</w:t>
      </w:r>
      <w:r w:rsidRPr="00E3232D">
        <w:rPr>
          <w:rFonts w:ascii="Book Antiqua" w:hAnsi="Book Antiqua"/>
          <w:color w:val="000000"/>
        </w:rPr>
        <w:t xml:space="preserve">ver dispersion with respect to Insurance claims modeling as the case where there is evidence that the observed random variation is greater than the expected random variation under the Poison model while under dispersion means that the expected variation is greater than the observed variation. </w:t>
      </w:r>
    </w:p>
    <w:p w14:paraId="5DA29274" w14:textId="77777777" w:rsidR="00222FA4" w:rsidRDefault="00222FA4" w:rsidP="00B05DFA">
      <w:pPr>
        <w:autoSpaceDE w:val="0"/>
        <w:autoSpaceDN w:val="0"/>
        <w:adjustRightInd w:val="0"/>
        <w:spacing w:after="0"/>
        <w:jc w:val="both"/>
        <w:rPr>
          <w:rFonts w:ascii="Book Antiqua" w:hAnsi="Book Antiqua"/>
          <w:color w:val="000000"/>
        </w:rPr>
      </w:pPr>
    </w:p>
    <w:p w14:paraId="40D966B9"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Konstantinides et al., (2002 ) compared the adequacies of the Poisson model to each of the mixed Poisson models as well as the mixed Poisson models with the Belgian motor third party insurance portfolio observed during the year 1997 and concluded that the mixed Poisson models fits better than the Poisson model. Again the comparison amongst the mixed Poisson Models, which include the Poisson-Normal, Poisson-Lognormal and the Poisson-Inverse Gaussian model revealed no significant difference.</w:t>
      </w:r>
    </w:p>
    <w:p w14:paraId="6F46A756" w14:textId="77777777" w:rsidR="00222FA4" w:rsidRDefault="00222FA4" w:rsidP="00B05DFA">
      <w:pPr>
        <w:autoSpaceDE w:val="0"/>
        <w:autoSpaceDN w:val="0"/>
        <w:adjustRightInd w:val="0"/>
        <w:spacing w:after="0"/>
        <w:jc w:val="both"/>
        <w:rPr>
          <w:rFonts w:ascii="Book Antiqua" w:hAnsi="Book Antiqua"/>
          <w:color w:val="000000"/>
        </w:rPr>
      </w:pPr>
    </w:p>
    <w:p w14:paraId="048E902C"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Mikosch</w:t>
      </w:r>
      <w:r w:rsidRPr="00E3232D">
        <w:rPr>
          <w:rFonts w:ascii="Book Antiqua" w:hAnsi="Book Antiqua"/>
          <w:color w:val="FF0000"/>
        </w:rPr>
        <w:t>,</w:t>
      </w:r>
      <w:r w:rsidRPr="00E3232D">
        <w:rPr>
          <w:rFonts w:ascii="Book Antiqua" w:hAnsi="Book Antiqua"/>
          <w:color w:val="000000"/>
        </w:rPr>
        <w:t xml:space="preserve"> and Nagaev (2007) in their quest to model count data employed the negative binomial distribution resulting from Poisson-Gamma mixture to investigate small sample properties of the likelihood-based test and compared their performances to those of the Wilcoxon and T-test. The authors established the inefficiencies of the Poisson model and illustrated procedures used to compute </w:t>
      </w:r>
      <w:r w:rsidRPr="00E3232D">
        <w:rPr>
          <w:rFonts w:ascii="Book Antiqua" w:hAnsi="Book Antiqua"/>
          <w:color w:val="000000"/>
        </w:rPr>
        <w:t>power and sample sizes to design studies with response variables that are over dispersed.</w:t>
      </w:r>
    </w:p>
    <w:p w14:paraId="6C3D9A42" w14:textId="77777777" w:rsidR="00222FA4" w:rsidRDefault="00222FA4" w:rsidP="00B05DFA">
      <w:pPr>
        <w:autoSpaceDE w:val="0"/>
        <w:autoSpaceDN w:val="0"/>
        <w:adjustRightInd w:val="0"/>
        <w:spacing w:after="0"/>
        <w:jc w:val="both"/>
        <w:rPr>
          <w:rFonts w:ascii="Book Antiqua" w:hAnsi="Book Antiqua"/>
        </w:rPr>
      </w:pPr>
    </w:p>
    <w:p w14:paraId="1253D19D"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rPr>
        <w:t>Konstantin ides et al.,</w:t>
      </w:r>
      <w:r w:rsidRPr="00E3232D">
        <w:rPr>
          <w:rFonts w:ascii="Book Antiqua" w:hAnsi="Book Antiqua"/>
          <w:color w:val="000000"/>
        </w:rPr>
        <w:t>(2002) and Hall and Yao (2003)</w:t>
      </w:r>
      <w:r w:rsidRPr="00E3232D">
        <w:rPr>
          <w:rFonts w:ascii="Book Antiqua" w:hAnsi="Book Antiqua"/>
          <w:color w:val="FF0000"/>
        </w:rPr>
        <w:t>.</w:t>
      </w:r>
      <w:r w:rsidRPr="00E3232D">
        <w:rPr>
          <w:rFonts w:ascii="Book Antiqua" w:hAnsi="Book Antiqua"/>
          <w:color w:val="000000"/>
        </w:rPr>
        <w:t xml:space="preserve">  modeled crush count data with the object to propose an approach to compare the techniques of count data modeling. The authors proposed a simulation approach that used Negative Binomial Regression Mean Estimate (NB), Negative Binomial Empirical Bayesian Estimate (NBEB) and Pearson regression residuals to rank sites and to identify hot sports. The results deduced showed that a small fraction of the artificial site can be successfully identified regardless of the methodology and Pearson regression led to the best results. </w:t>
      </w:r>
    </w:p>
    <w:p w14:paraId="349D1C6C" w14:textId="77777777" w:rsidR="00930306" w:rsidRDefault="00930306" w:rsidP="00B05DFA">
      <w:pPr>
        <w:autoSpaceDE w:val="0"/>
        <w:autoSpaceDN w:val="0"/>
        <w:adjustRightInd w:val="0"/>
        <w:jc w:val="both"/>
        <w:rPr>
          <w:rFonts w:ascii="Book Antiqua" w:hAnsi="Book Antiqua"/>
          <w:color w:val="000000"/>
        </w:rPr>
      </w:pPr>
    </w:p>
    <w:p w14:paraId="0A583168" w14:textId="77777777" w:rsidR="004D4AB5" w:rsidRPr="00E3232D" w:rsidRDefault="004D4AB5" w:rsidP="00B05DFA">
      <w:pPr>
        <w:autoSpaceDE w:val="0"/>
        <w:autoSpaceDN w:val="0"/>
        <w:adjustRightInd w:val="0"/>
        <w:spacing w:after="0"/>
        <w:jc w:val="both"/>
        <w:rPr>
          <w:rFonts w:ascii="Book Antiqua" w:hAnsi="Book Antiqua"/>
          <w:color w:val="00B050"/>
        </w:rPr>
      </w:pPr>
      <w:r w:rsidRPr="00E3232D">
        <w:rPr>
          <w:rFonts w:ascii="Book Antiqua" w:hAnsi="Book Antiqua"/>
          <w:color w:val="000000"/>
        </w:rPr>
        <w:t xml:space="preserve">Alternative model expressions in the family of the Mixed Poisson models were proposed by </w:t>
      </w:r>
      <w:r w:rsidRPr="00E3232D">
        <w:rPr>
          <w:rStyle w:val="medium-font"/>
          <w:rFonts w:ascii="Book Antiqua" w:hAnsi="Book Antiqua"/>
          <w:color w:val="000000"/>
          <w:bdr w:val="none" w:sz="0" w:space="0" w:color="auto" w:frame="1"/>
        </w:rPr>
        <w:t>Asmussen</w:t>
      </w:r>
      <w:r w:rsidRPr="00E3232D">
        <w:rPr>
          <w:rFonts w:ascii="Book Antiqua" w:hAnsi="Book Antiqua"/>
          <w:color w:val="000000"/>
        </w:rPr>
        <w:t xml:space="preserve"> and </w:t>
      </w:r>
      <w:r w:rsidRPr="00E3232D">
        <w:rPr>
          <w:rStyle w:val="medium-font"/>
          <w:rFonts w:ascii="Book Antiqua" w:hAnsi="Book Antiqua"/>
          <w:color w:val="000000"/>
          <w:bdr w:val="none" w:sz="0" w:space="0" w:color="auto" w:frame="1"/>
        </w:rPr>
        <w:t>Albrecher</w:t>
      </w:r>
      <w:r w:rsidRPr="00E3232D">
        <w:rPr>
          <w:rFonts w:ascii="Book Antiqua" w:hAnsi="Book Antiqua"/>
          <w:color w:val="000000"/>
        </w:rPr>
        <w:t xml:space="preserve"> (2010) by introducing an additive and multiplicative random effect Poisson model. The author modeled injected random effects with the Gamma and Inverse Gaussian distributions, which yielded both univariate and multivariate models in a form of mathematical expressions. The idea was that count data often exhibit dispersion and unobserved heterogeneity, which renders the usual Poisson model ineffective thereby soliciting for other appropriate  models. This idea was also evident in the research paper by Asmussen and Kliippelberg(1996) when they intended to fit a distribution to a data set on claim size </w:t>
      </w:r>
      <w:r w:rsidRPr="00E3232D">
        <w:rPr>
          <w:rFonts w:ascii="Book Antiqua" w:hAnsi="Book Antiqua"/>
          <w:color w:val="000000"/>
        </w:rPr>
        <w:lastRenderedPageBreak/>
        <w:t xml:space="preserve">in other to obtain rough estimate of risk premiums. </w:t>
      </w:r>
    </w:p>
    <w:p w14:paraId="746C11E9" w14:textId="77777777" w:rsidR="00222FA4" w:rsidRDefault="00222FA4" w:rsidP="00B05DFA">
      <w:pPr>
        <w:autoSpaceDE w:val="0"/>
        <w:autoSpaceDN w:val="0"/>
        <w:adjustRightInd w:val="0"/>
        <w:spacing w:after="0"/>
        <w:jc w:val="both"/>
        <w:rPr>
          <w:rFonts w:ascii="Book Antiqua" w:hAnsi="Book Antiqua"/>
          <w:color w:val="000000"/>
        </w:rPr>
      </w:pPr>
    </w:p>
    <w:p w14:paraId="70F7FB26"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Random effect models, which provided the best fits were recommended by </w:t>
      </w:r>
      <w:r w:rsidRPr="00E3232D">
        <w:rPr>
          <w:rFonts w:ascii="Book Antiqua" w:hAnsi="Book Antiqua"/>
          <w:color w:val="000000"/>
          <w:shd w:val="clear" w:color="auto" w:fill="FFFFFF"/>
        </w:rPr>
        <w:t>Ridout et al.(2001)</w:t>
      </w:r>
      <w:r w:rsidRPr="00E3232D">
        <w:rPr>
          <w:rFonts w:ascii="Book Antiqua" w:hAnsi="Book Antiqua"/>
          <w:color w:val="000000"/>
        </w:rPr>
        <w:t xml:space="preserve"> and Migue and Olave (1999b) in their investigation into models of time dependent insurance claim count based on Generalized Poisson and Negative binomial distributions. The recommendations were based on model fitting and comparisons by statistical specification test for nested and non nested models. Further deductions suggested that these random effect models can applied on other claim count distributions such as Hurdle or Zero-inflated model that provided good fits for cross-sectional data. </w:t>
      </w:r>
    </w:p>
    <w:p w14:paraId="746AC308" w14:textId="77777777" w:rsidR="00222FA4" w:rsidRDefault="00222FA4" w:rsidP="005E00A4">
      <w:pPr>
        <w:autoSpaceDE w:val="0"/>
        <w:autoSpaceDN w:val="0"/>
        <w:adjustRightInd w:val="0"/>
        <w:spacing w:after="0"/>
        <w:jc w:val="both"/>
        <w:rPr>
          <w:rFonts w:ascii="Book Antiqua" w:hAnsi="Book Antiqua"/>
          <w:color w:val="000000"/>
        </w:rPr>
      </w:pPr>
    </w:p>
    <w:p w14:paraId="3EC90F34"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Yue</w:t>
      </w:r>
      <w:r w:rsidRPr="00E3232D">
        <w:rPr>
          <w:rFonts w:ascii="Book Antiqua" w:hAnsi="Book Antiqua"/>
          <w:color w:val="FF0000"/>
        </w:rPr>
        <w:t>(</w:t>
      </w:r>
      <w:r w:rsidRPr="00E3232D">
        <w:rPr>
          <w:rFonts w:ascii="Book Antiqua" w:hAnsi="Book Antiqua"/>
          <w:color w:val="000000"/>
        </w:rPr>
        <w:t xml:space="preserve">2003) Thombs and Schucany (1990) used a nonparametric bootstrap method to obtain the prediction interval of the autoregressive model. </w:t>
      </w:r>
      <w:r w:rsidRPr="00E3232D">
        <w:rPr>
          <w:rFonts w:ascii="Book Antiqua" w:hAnsi="Book Antiqua"/>
          <w:color w:val="FF0000"/>
        </w:rPr>
        <w:t>{</w:t>
      </w:r>
      <w:r w:rsidRPr="00E3232D">
        <w:rPr>
          <w:rFonts w:ascii="Book Antiqua" w:hAnsi="Book Antiqua"/>
          <w:color w:val="000000"/>
        </w:rPr>
        <w:t xml:space="preserve">Migue and Olave (1999a) applied this method to the ARCH model. Rodriguez and Ruiz (2008) proposed using the bootstrap method for state space models, to evaluate estimation errors. However, while developing prediction intervals, there were usually two limitations: </w:t>
      </w:r>
      <w:r w:rsidRPr="00E3232D">
        <w:rPr>
          <w:rFonts w:ascii="Book Antiqua" w:hAnsi="Book Antiqua"/>
        </w:rPr>
        <w:t>(1) how</w:t>
      </w:r>
      <w:r w:rsidRPr="00E3232D">
        <w:rPr>
          <w:rFonts w:ascii="Book Antiqua" w:hAnsi="Book Antiqua"/>
          <w:color w:val="000000"/>
        </w:rPr>
        <w:t xml:space="preserve"> the uncertainty of parametric estimation can be combined for the prediction interval. </w:t>
      </w:r>
      <w:r w:rsidRPr="00E3232D">
        <w:rPr>
          <w:rFonts w:ascii="Book Antiqua" w:hAnsi="Book Antiqua"/>
        </w:rPr>
        <w:t>(2) the</w:t>
      </w:r>
      <w:r w:rsidRPr="00E3232D">
        <w:rPr>
          <w:rFonts w:ascii="Book Antiqua" w:hAnsi="Book Antiqua"/>
          <w:color w:val="000000"/>
        </w:rPr>
        <w:t xml:space="preserve"> assumption of error may not be accurate. To overcome these limitations, Pascual et al. (2006) proposed that, for the GARCH model, the bootstrap method used to create the prediction interval to combine with the uncertainty of parametric estimation and assumptions that are </w:t>
      </w:r>
      <w:r w:rsidRPr="00E3232D">
        <w:rPr>
          <w:rFonts w:ascii="Book Antiqua" w:hAnsi="Book Antiqua"/>
          <w:color w:val="000000"/>
        </w:rPr>
        <w:t xml:space="preserve">independent of </w:t>
      </w:r>
      <w:r w:rsidRPr="00E3232D">
        <w:rPr>
          <w:rFonts w:ascii="Book Antiqua" w:hAnsi="Book Antiqua"/>
          <w:color w:val="000000"/>
          <w:position w:val="-12"/>
        </w:rPr>
        <w:object w:dxaOrig="220" w:dyaOrig="360" w14:anchorId="2F881B3C">
          <v:shape id="_x0000_i1028" type="#_x0000_t75" style="width:11.55pt;height:19pt" o:ole="">
            <v:imagedata r:id="rId119" o:title=""/>
          </v:shape>
          <o:OLEObject Type="Embed" ProgID="Equation.DSMT4" ShapeID="_x0000_i1028" DrawAspect="Content" ObjectID="_1680958686" r:id="rId120"/>
        </w:object>
      </w:r>
      <w:r w:rsidRPr="00E3232D">
        <w:rPr>
          <w:rFonts w:ascii="Book Antiqua" w:hAnsi="Book Antiqua"/>
          <w:color w:val="000000"/>
        </w:rPr>
        <w:t xml:space="preserve">. However, when </w:t>
      </w:r>
      <w:r w:rsidRPr="00E3232D">
        <w:rPr>
          <w:rFonts w:ascii="Book Antiqua" w:hAnsi="Book Antiqua"/>
          <w:color w:val="000000"/>
          <w:position w:val="-12"/>
        </w:rPr>
        <w:object w:dxaOrig="220" w:dyaOrig="360" w14:anchorId="13898CA4">
          <v:shape id="_x0000_i1029" type="#_x0000_t75" style="width:11.55pt;height:19pt" o:ole="">
            <v:imagedata r:id="rId121" o:title=""/>
          </v:shape>
          <o:OLEObject Type="Embed" ProgID="Equation.DSMT4" ShapeID="_x0000_i1029" DrawAspect="Content" ObjectID="_1680958687" r:id="rId122"/>
        </w:object>
      </w:r>
      <w:r w:rsidRPr="00E3232D">
        <w:rPr>
          <w:rFonts w:ascii="Book Antiqua" w:hAnsi="Book Antiqua"/>
          <w:color w:val="000000"/>
        </w:rPr>
        <w:t xml:space="preserve"> had heavy-tailed distribution, this study expanded Pascual et al.,(2006) method and added the concept of the sub-sample bootstrap method proposed by Hall and Yao (2003) and created the prediction interval in the GARCH model that had heavy-tailed distribution.   </w:t>
      </w:r>
    </w:p>
    <w:p w14:paraId="42591D20" w14:textId="77777777" w:rsidR="00222FA4" w:rsidRDefault="00222FA4" w:rsidP="00B05DFA">
      <w:pPr>
        <w:autoSpaceDE w:val="0"/>
        <w:autoSpaceDN w:val="0"/>
        <w:adjustRightInd w:val="0"/>
        <w:spacing w:after="0"/>
        <w:jc w:val="both"/>
        <w:rPr>
          <w:rFonts w:ascii="Book Antiqua" w:hAnsi="Book Antiqua"/>
          <w:color w:val="000000"/>
        </w:rPr>
      </w:pPr>
    </w:p>
    <w:p w14:paraId="6FBF294B"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Lee (2009) applied the bootstrap strategy proposed by Pascual et al. (2006) to study listed daily stock returns in Taiwan. The results showed that the volatility intervals created using the bootstrap method could appropriately manage the changes of volatility returns.</w:t>
      </w:r>
    </w:p>
    <w:p w14:paraId="13A005D4" w14:textId="77777777" w:rsidR="00222FA4" w:rsidRDefault="00222FA4" w:rsidP="005E00A4">
      <w:pPr>
        <w:autoSpaceDE w:val="0"/>
        <w:autoSpaceDN w:val="0"/>
        <w:adjustRightInd w:val="0"/>
        <w:spacing w:after="0"/>
        <w:jc w:val="both"/>
        <w:rPr>
          <w:rFonts w:ascii="Book Antiqua" w:hAnsi="Book Antiqua"/>
          <w:color w:val="000000"/>
        </w:rPr>
      </w:pPr>
    </w:p>
    <w:p w14:paraId="7D0C58EC" w14:textId="77777777" w:rsidR="00930306" w:rsidRPr="005E00A4"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These and other studies are the many studies conducted in the field of probability modeling. Today, the results obtained from stochastic data modeling are rarely applied without some simulation due to unidentified stochastic shocks. In this regards, results obtained from these models are subjected to Monte Carlo simulation comprising bootstrapping, jackknifing etc in other to further perceive the results for adequate industrial decision to be made.</w:t>
      </w:r>
    </w:p>
    <w:p w14:paraId="5DBC5DCD" w14:textId="77777777" w:rsidR="004D4AB5" w:rsidRPr="00E3232D" w:rsidRDefault="00806674" w:rsidP="00B05DFA">
      <w:pPr>
        <w:autoSpaceDE w:val="0"/>
        <w:autoSpaceDN w:val="0"/>
        <w:adjustRightInd w:val="0"/>
        <w:jc w:val="both"/>
        <w:rPr>
          <w:rFonts w:ascii="Book Antiqua" w:hAnsi="Book Antiqua"/>
          <w:b/>
          <w:color w:val="000000"/>
        </w:rPr>
      </w:pPr>
      <w:r>
        <w:rPr>
          <w:rFonts w:ascii="Book Antiqua" w:hAnsi="Book Antiqua"/>
          <w:b/>
          <w:color w:val="000000"/>
        </w:rPr>
        <w:t>2.0</w:t>
      </w:r>
      <w:r w:rsidR="004D4AB5" w:rsidRPr="00E3232D">
        <w:rPr>
          <w:rFonts w:ascii="Book Antiqua" w:hAnsi="Book Antiqua"/>
          <w:b/>
          <w:color w:val="000000"/>
        </w:rPr>
        <w:t xml:space="preserve"> </w:t>
      </w:r>
      <w:r w:rsidR="004D4AB5" w:rsidRPr="005E00A4">
        <w:rPr>
          <w:rFonts w:ascii="Book Antiqua" w:hAnsi="Book Antiqua"/>
          <w:b/>
          <w:color w:val="000000"/>
          <w:sz w:val="26"/>
        </w:rPr>
        <w:t>Methodology</w:t>
      </w:r>
    </w:p>
    <w:p w14:paraId="1E677C48"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 xml:space="preserve">The study focused on estimating the expected number of claims under funeral insurance policies sold by two insurance companies namely StarLife and MetLife insurance company. Data for the study included monthly number of claims filed under the policies spanning for a period of sixty (60) months (January, 2006 to </w:t>
      </w:r>
      <w:r w:rsidRPr="00E3232D">
        <w:rPr>
          <w:rFonts w:ascii="Book Antiqua" w:hAnsi="Book Antiqua"/>
          <w:color w:val="000000"/>
        </w:rPr>
        <w:lastRenderedPageBreak/>
        <w:t xml:space="preserve">December, 2010). Mathworks Inc.'s Technical programming Language MatLab, version 7.10.0.499 (R2010a) and the SAS Institute Inc.'s software, version 1.0.0.80 were the main statistical softwares used to perform the analyses. Microsoft Office Excel 2007 and R software version 2.13.0 were used to organize the data and produce graphs for the analysis. The final report was written using the Jonathan Kew, Stefan Loffer version 0.4.0 r. 759 (MikTeX) of TeXworks and TeXnicCenter version 1 Beta 7.50. It is a simple environment for editing, typesetting and previewing TeX documents. </w:t>
      </w:r>
    </w:p>
    <w:p w14:paraId="0317A4D6"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Descriptive statistics of the data wase generated to study the distribution of the number of claims for the entire period and on annual basis; Shapiro-Wilk test of normality and two sided Kolmogorov-Smirnov test were performed to draw conclusion on the nature of the distributions of the claims. Poisson probability distribution (PoisDis) and Negative Binomial distribution (NegBin) was used to fit the number of Claims and the distribution which produced a better fit was subjected to an asymptotic chi-square test as a confirmatory analysis.</w:t>
      </w:r>
    </w:p>
    <w:p w14:paraId="3D1B4E94"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Finally the estimated distribution was simulated to obtain 100 re-samples of artificial data sets for monthly number of claims and the desired statistics recalculated. This was followed by Comparative analysis to address the study objectives.</w:t>
      </w:r>
    </w:p>
    <w:p w14:paraId="5BA25D61" w14:textId="77777777" w:rsidR="005F7EA7" w:rsidRDefault="005F7EA7" w:rsidP="00B05DFA">
      <w:pPr>
        <w:autoSpaceDE w:val="0"/>
        <w:autoSpaceDN w:val="0"/>
        <w:adjustRightInd w:val="0"/>
        <w:jc w:val="both"/>
        <w:rPr>
          <w:rFonts w:ascii="Book Antiqua" w:hAnsi="Book Antiqua"/>
          <w:b/>
          <w:color w:val="000000"/>
        </w:rPr>
      </w:pPr>
    </w:p>
    <w:p w14:paraId="7EE54C5E" w14:textId="77777777" w:rsidR="004D4AB5" w:rsidRPr="005E00A4" w:rsidRDefault="00806674" w:rsidP="00B05DFA">
      <w:pPr>
        <w:autoSpaceDE w:val="0"/>
        <w:autoSpaceDN w:val="0"/>
        <w:adjustRightInd w:val="0"/>
        <w:jc w:val="both"/>
        <w:rPr>
          <w:rFonts w:ascii="Book Antiqua" w:hAnsi="Book Antiqua"/>
          <w:b/>
          <w:color w:val="000000"/>
        </w:rPr>
      </w:pPr>
      <w:r>
        <w:rPr>
          <w:rFonts w:ascii="Book Antiqua" w:hAnsi="Book Antiqua"/>
          <w:b/>
          <w:color w:val="000000"/>
        </w:rPr>
        <w:t xml:space="preserve">2.1 </w:t>
      </w:r>
      <w:r w:rsidR="004D4AB5" w:rsidRPr="005E00A4">
        <w:rPr>
          <w:rFonts w:ascii="Book Antiqua" w:hAnsi="Book Antiqua"/>
          <w:b/>
          <w:color w:val="000000"/>
        </w:rPr>
        <w:t>Data Analysis</w:t>
      </w:r>
    </w:p>
    <w:p w14:paraId="3DAFB533"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The data used for the research were solely secondary data obtained from Star Life and Metropolitan life Insurance Companies. The data consisted of monthly recorded number of claims under a Family Funeral Insurance Policy for a period of Five years (2006 - 2010). The analyses were conducted in two folds, which included preliminary analyses and some further detailed analyses.</w:t>
      </w:r>
    </w:p>
    <w:p w14:paraId="18C73388" w14:textId="77777777" w:rsidR="00C73368" w:rsidRDefault="00C73368" w:rsidP="00B05DFA">
      <w:pPr>
        <w:autoSpaceDE w:val="0"/>
        <w:autoSpaceDN w:val="0"/>
        <w:adjustRightInd w:val="0"/>
        <w:spacing w:after="0"/>
        <w:jc w:val="both"/>
        <w:rPr>
          <w:rFonts w:ascii="Book Antiqua" w:hAnsi="Book Antiqua"/>
          <w:color w:val="000000"/>
        </w:rPr>
      </w:pPr>
    </w:p>
    <w:p w14:paraId="2D109F41" w14:textId="77777777" w:rsidR="004D4AB5" w:rsidRPr="00E3232D" w:rsidRDefault="004D4AB5" w:rsidP="00B05DFA">
      <w:pPr>
        <w:autoSpaceDE w:val="0"/>
        <w:autoSpaceDN w:val="0"/>
        <w:adjustRightInd w:val="0"/>
        <w:spacing w:after="0"/>
        <w:jc w:val="both"/>
        <w:rPr>
          <w:rFonts w:ascii="Book Antiqua" w:hAnsi="Book Antiqua"/>
          <w:color w:val="000000"/>
        </w:rPr>
      </w:pPr>
      <w:r w:rsidRPr="00E3232D">
        <w:rPr>
          <w:rFonts w:ascii="Book Antiqua" w:hAnsi="Book Antiqua"/>
          <w:color w:val="000000"/>
        </w:rPr>
        <w:t>Exploratory and Confirmatory data analyses were the main techniques employed in the Preliminary Analysis. First of all, the number of claims of both StarLife and MetLife insurance companies were summarized with relevant summary statistics and compared to observe the nature of similarities or otherwise. The number of claims were analyzed on annual basis to measure the seasonal variations or otherwise that existed within and between the number of claims for both portfolios.</w:t>
      </w:r>
    </w:p>
    <w:p w14:paraId="71BA58F3" w14:textId="77777777" w:rsidR="00C73368" w:rsidRDefault="00C73368" w:rsidP="00B05DFA">
      <w:pPr>
        <w:autoSpaceDE w:val="0"/>
        <w:autoSpaceDN w:val="0"/>
        <w:adjustRightInd w:val="0"/>
        <w:jc w:val="both"/>
        <w:rPr>
          <w:rFonts w:ascii="Book Antiqua" w:hAnsi="Book Antiqua"/>
          <w:color w:val="000000"/>
        </w:rPr>
      </w:pPr>
    </w:p>
    <w:p w14:paraId="14F36867"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 xml:space="preserve"> Again, visual representations in the form of Bar Graph, Histogram, Box Plots, QQ Plots and Density Plots were inspected in other to compare the underlining distribution of the number of claims to the empirical normal distribution. Finally, the results of the preliminary analysis were confirmed accordingly with the Shapiro Wilk test of normality and two sided Kolmogorov-smirnov test of similarity of distribution. The Shapiro-Wilk Test  tests the null hypothesis that a sample </w:t>
      </w:r>
      <w:r w:rsidRPr="00E3232D">
        <w:rPr>
          <w:rFonts w:ascii="Book Antiqua" w:hAnsi="Book Antiqua"/>
          <w:i/>
          <w:color w:val="000000"/>
        </w:rPr>
        <w:t>x</w:t>
      </w:r>
      <w:r w:rsidRPr="00E3232D">
        <w:rPr>
          <w:rFonts w:ascii="Book Antiqua" w:hAnsi="Book Antiqua"/>
          <w:i/>
          <w:color w:val="000000"/>
          <w:vertAlign w:val="subscript"/>
        </w:rPr>
        <w:t xml:space="preserve">1, </w:t>
      </w:r>
      <w:r w:rsidRPr="00E3232D">
        <w:rPr>
          <w:rFonts w:ascii="Book Antiqua" w:hAnsi="Book Antiqua"/>
          <w:i/>
          <w:color w:val="000000"/>
        </w:rPr>
        <w:t>x</w:t>
      </w:r>
      <w:r w:rsidRPr="00E3232D">
        <w:rPr>
          <w:rFonts w:ascii="Book Antiqua" w:hAnsi="Book Antiqua"/>
          <w:i/>
          <w:color w:val="000000"/>
          <w:vertAlign w:val="subscript"/>
        </w:rPr>
        <w:t>2</w:t>
      </w:r>
      <w:r w:rsidRPr="00E3232D">
        <w:rPr>
          <w:rFonts w:ascii="Book Antiqua" w:hAnsi="Book Antiqua"/>
          <w:i/>
          <w:color w:val="000000"/>
        </w:rPr>
        <w:t xml:space="preserve">, </w:t>
      </w:r>
      <w:r w:rsidRPr="00E3232D">
        <w:rPr>
          <w:rFonts w:ascii="Book Antiqua" w:hAnsi="Book Antiqua"/>
          <w:i/>
          <w:color w:val="000000"/>
        </w:rPr>
        <w:lastRenderedPageBreak/>
        <w:t>x</w:t>
      </w:r>
      <w:r w:rsidRPr="00E3232D">
        <w:rPr>
          <w:rFonts w:ascii="Book Antiqua" w:hAnsi="Book Antiqua"/>
          <w:i/>
          <w:color w:val="000000"/>
          <w:vertAlign w:val="subscript"/>
        </w:rPr>
        <w:t>3</w:t>
      </w:r>
      <w:r w:rsidRPr="00E3232D">
        <w:rPr>
          <w:rFonts w:ascii="Book Antiqua" w:hAnsi="Book Antiqua"/>
          <w:i/>
          <w:color w:val="000000"/>
        </w:rPr>
        <w:t>,…</w:t>
      </w:r>
      <w:r w:rsidRPr="00E3232D">
        <w:rPr>
          <w:rFonts w:ascii="Book Antiqua" w:hAnsi="Book Antiqua"/>
          <w:color w:val="000000"/>
        </w:rPr>
        <w:t xml:space="preserve"> came from a normally distributed population. The test statistic is given by:</w:t>
      </w:r>
    </w:p>
    <w:p w14:paraId="58F8F04A" w14:textId="77777777" w:rsidR="004D4AB5" w:rsidRPr="00E3232D" w:rsidRDefault="004D4AB5" w:rsidP="00B05DFA">
      <w:pPr>
        <w:autoSpaceDE w:val="0"/>
        <w:autoSpaceDN w:val="0"/>
        <w:adjustRightInd w:val="0"/>
        <w:ind w:firstLine="720"/>
        <w:jc w:val="both"/>
        <w:rPr>
          <w:rFonts w:ascii="Book Antiqua" w:hAnsi="Book Antiqua"/>
          <w:color w:val="000000"/>
        </w:rPr>
      </w:pPr>
      <w:r w:rsidRPr="00E3232D">
        <w:rPr>
          <w:rFonts w:ascii="Book Antiqua" w:hAnsi="Book Antiqua"/>
          <w:color w:val="000000"/>
          <w:position w:val="-40"/>
        </w:rPr>
        <w:object w:dxaOrig="1780" w:dyaOrig="1040" w14:anchorId="1EE519C4">
          <v:shape id="_x0000_i1030" type="#_x0000_t75" style="width:89pt;height:51.6pt" o:ole="">
            <v:imagedata r:id="rId123" o:title=""/>
          </v:shape>
          <o:OLEObject Type="Embed" ProgID="Equation.DSMT4" ShapeID="_x0000_i1030" DrawAspect="Content" ObjectID="_1680958688" r:id="rId124"/>
        </w:object>
      </w:r>
    </w:p>
    <w:p w14:paraId="61271B8D"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where:</w:t>
      </w:r>
    </w:p>
    <w:p w14:paraId="3458D3CE" w14:textId="77777777" w:rsidR="004D4AB5" w:rsidRPr="00E3232D" w:rsidRDefault="004D4AB5" w:rsidP="00196385">
      <w:pPr>
        <w:numPr>
          <w:ilvl w:val="0"/>
          <w:numId w:val="65"/>
        </w:numPr>
        <w:autoSpaceDE w:val="0"/>
        <w:autoSpaceDN w:val="0"/>
        <w:adjustRightInd w:val="0"/>
        <w:jc w:val="both"/>
        <w:rPr>
          <w:rFonts w:ascii="Book Antiqua" w:hAnsi="Book Antiqua"/>
          <w:color w:val="000000"/>
        </w:rPr>
      </w:pPr>
      <w:r w:rsidRPr="00E3232D">
        <w:rPr>
          <w:rFonts w:ascii="Book Antiqua" w:hAnsi="Book Antiqua"/>
          <w:color w:val="000000"/>
          <w:position w:val="-18"/>
        </w:rPr>
        <w:object w:dxaOrig="320" w:dyaOrig="420" w14:anchorId="561A31CB">
          <v:shape id="_x0000_i1031" type="#_x0000_t75" style="width:15.6pt;height:20.4pt" o:ole="">
            <v:imagedata r:id="rId125" o:title=""/>
          </v:shape>
          <o:OLEObject Type="Embed" ProgID="Equation.DSMT4" ShapeID="_x0000_i1031" DrawAspect="Content" ObjectID="_1680958689" r:id="rId126"/>
        </w:object>
      </w:r>
      <w:r w:rsidRPr="00E3232D">
        <w:rPr>
          <w:rFonts w:ascii="Book Antiqua" w:hAnsi="Book Antiqua"/>
          <w:color w:val="000000"/>
        </w:rPr>
        <w:t xml:space="preserve"> is the </w:t>
      </w:r>
      <w:r w:rsidRPr="00E3232D">
        <w:rPr>
          <w:rFonts w:ascii="Book Antiqua" w:hAnsi="Book Antiqua"/>
          <w:color w:val="000000"/>
          <w:position w:val="-6"/>
        </w:rPr>
        <w:object w:dxaOrig="320" w:dyaOrig="279" w14:anchorId="45F51E6C">
          <v:shape id="_x0000_i1032" type="#_x0000_t75" style="width:15.6pt;height:14.25pt" o:ole="">
            <v:imagedata r:id="rId127" o:title=""/>
          </v:shape>
          <o:OLEObject Type="Embed" ProgID="Equation.DSMT4" ShapeID="_x0000_i1032" DrawAspect="Content" ObjectID="_1680958690" r:id="rId128"/>
        </w:object>
      </w:r>
      <w:r w:rsidRPr="00E3232D">
        <w:rPr>
          <w:rFonts w:ascii="Book Antiqua" w:hAnsi="Book Antiqua"/>
          <w:color w:val="000000"/>
        </w:rPr>
        <w:t>order statistic, that is, the smallest number in the sample</w:t>
      </w:r>
    </w:p>
    <w:p w14:paraId="4EC248AC" w14:textId="77777777" w:rsidR="004D4AB5" w:rsidRPr="00E3232D" w:rsidRDefault="004D4AB5" w:rsidP="00196385">
      <w:pPr>
        <w:numPr>
          <w:ilvl w:val="0"/>
          <w:numId w:val="65"/>
        </w:numPr>
        <w:autoSpaceDE w:val="0"/>
        <w:autoSpaceDN w:val="0"/>
        <w:adjustRightInd w:val="0"/>
        <w:jc w:val="both"/>
        <w:rPr>
          <w:rFonts w:ascii="Book Antiqua" w:hAnsi="Book Antiqua"/>
          <w:color w:val="000000"/>
        </w:rPr>
      </w:pPr>
      <w:r w:rsidRPr="00E3232D">
        <w:rPr>
          <w:rFonts w:ascii="Book Antiqua" w:hAnsi="Book Antiqua"/>
          <w:color w:val="000000"/>
          <w:position w:val="-24"/>
        </w:rPr>
        <w:object w:dxaOrig="1640" w:dyaOrig="639" w14:anchorId="679D01BA">
          <v:shape id="_x0000_i1033" type="#_x0000_t75" style="width:83.55pt;height:31.25pt" o:ole="">
            <v:imagedata r:id="rId129" o:title=""/>
          </v:shape>
          <o:OLEObject Type="Embed" ProgID="Equation.DSMT4" ShapeID="_x0000_i1033" DrawAspect="Content" ObjectID="_1680958691" r:id="rId130"/>
        </w:object>
      </w:r>
    </w:p>
    <w:p w14:paraId="0E6AC93A" w14:textId="77777777" w:rsidR="004D4AB5" w:rsidRPr="005E00A4" w:rsidRDefault="004D4AB5" w:rsidP="00196385">
      <w:pPr>
        <w:numPr>
          <w:ilvl w:val="0"/>
          <w:numId w:val="65"/>
        </w:numPr>
        <w:autoSpaceDE w:val="0"/>
        <w:autoSpaceDN w:val="0"/>
        <w:adjustRightInd w:val="0"/>
        <w:jc w:val="both"/>
        <w:rPr>
          <w:rFonts w:ascii="Book Antiqua" w:hAnsi="Book Antiqua"/>
          <w:color w:val="000000"/>
        </w:rPr>
      </w:pPr>
      <w:r w:rsidRPr="00E3232D">
        <w:rPr>
          <w:rFonts w:ascii="Book Antiqua" w:hAnsi="Book Antiqua"/>
          <w:color w:val="000000"/>
        </w:rPr>
        <w:t xml:space="preserve">the constants </w:t>
      </w:r>
      <w:r w:rsidRPr="00E3232D">
        <w:rPr>
          <w:rFonts w:ascii="Book Antiqua" w:hAnsi="Book Antiqua"/>
          <w:i/>
          <w:color w:val="000000"/>
        </w:rPr>
        <w:t>a</w:t>
      </w:r>
      <w:r w:rsidRPr="00E3232D">
        <w:rPr>
          <w:rFonts w:ascii="Book Antiqua" w:hAnsi="Book Antiqua"/>
          <w:i/>
          <w:color w:val="000000"/>
          <w:vertAlign w:val="subscript"/>
        </w:rPr>
        <w:t xml:space="preserve">i </w:t>
      </w:r>
      <w:r w:rsidRPr="00E3232D">
        <w:rPr>
          <w:rFonts w:ascii="Book Antiqua" w:hAnsi="Book Antiqua"/>
          <w:color w:val="000000"/>
        </w:rPr>
        <w:t>are given by</w:t>
      </w:r>
      <w:r w:rsidRPr="00E3232D">
        <w:rPr>
          <w:rFonts w:ascii="Book Antiqua" w:hAnsi="Book Antiqua"/>
          <w:i/>
          <w:color w:val="000000"/>
          <w:vertAlign w:val="subscript"/>
        </w:rPr>
        <w:t xml:space="preserve"> </w:t>
      </w:r>
    </w:p>
    <w:p w14:paraId="31B66846" w14:textId="77777777" w:rsidR="004D4AB5" w:rsidRPr="00E3232D" w:rsidRDefault="004D4AB5" w:rsidP="00B05DFA">
      <w:pPr>
        <w:autoSpaceDE w:val="0"/>
        <w:autoSpaceDN w:val="0"/>
        <w:adjustRightInd w:val="0"/>
        <w:ind w:firstLine="720"/>
        <w:jc w:val="both"/>
        <w:rPr>
          <w:rFonts w:ascii="Book Antiqua" w:hAnsi="Book Antiqua"/>
          <w:color w:val="000000"/>
        </w:rPr>
      </w:pPr>
      <w:r w:rsidRPr="00E3232D">
        <w:rPr>
          <w:rFonts w:ascii="Book Antiqua" w:hAnsi="Book Antiqua"/>
          <w:color w:val="000000"/>
          <w:position w:val="-46"/>
        </w:rPr>
        <w:object w:dxaOrig="2600" w:dyaOrig="880" w14:anchorId="0D583D60">
          <v:shape id="_x0000_i1034" type="#_x0000_t75" style="width:129.75pt;height:44.15pt" o:ole="">
            <v:imagedata r:id="rId131" o:title=""/>
          </v:shape>
          <o:OLEObject Type="Embed" ProgID="Equation.DSMT4" ShapeID="_x0000_i1034" DrawAspect="Content" ObjectID="_1680958692" r:id="rId132"/>
        </w:object>
      </w:r>
    </w:p>
    <w:p w14:paraId="3DCB13BB"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 xml:space="preserve">here </w:t>
      </w:r>
      <w:r w:rsidRPr="00E3232D">
        <w:rPr>
          <w:rFonts w:ascii="Book Antiqua" w:hAnsi="Book Antiqua"/>
          <w:i/>
          <w:color w:val="000000"/>
        </w:rPr>
        <w:t>m</w:t>
      </w:r>
      <w:r w:rsidRPr="00E3232D">
        <w:rPr>
          <w:rFonts w:ascii="Book Antiqua" w:hAnsi="Book Antiqua"/>
          <w:i/>
          <w:color w:val="000000"/>
          <w:vertAlign w:val="subscript"/>
        </w:rPr>
        <w:t xml:space="preserve">1, </w:t>
      </w:r>
      <w:r w:rsidRPr="00E3232D">
        <w:rPr>
          <w:rFonts w:ascii="Book Antiqua" w:hAnsi="Book Antiqua"/>
          <w:i/>
          <w:color w:val="000000"/>
        </w:rPr>
        <w:t>…,m</w:t>
      </w:r>
      <w:r w:rsidRPr="00E3232D">
        <w:rPr>
          <w:rFonts w:ascii="Book Antiqua" w:hAnsi="Book Antiqua"/>
          <w:i/>
          <w:color w:val="000000"/>
          <w:vertAlign w:val="subscript"/>
        </w:rPr>
        <w:t>n</w:t>
      </w:r>
      <w:r w:rsidRPr="00E3232D">
        <w:rPr>
          <w:rFonts w:ascii="Book Antiqua" w:hAnsi="Book Antiqua"/>
          <w:color w:val="000000"/>
        </w:rPr>
        <w:t xml:space="preserve"> are the expected values of the order statistics of independent and </w:t>
      </w:r>
      <w:r w:rsidRPr="00E3232D">
        <w:rPr>
          <w:rFonts w:ascii="Book Antiqua" w:hAnsi="Book Antiqua"/>
          <w:color w:val="000000"/>
        </w:rPr>
        <w:t xml:space="preserve">identically distributed random variables sampled from the standard normal distribution and the </w:t>
      </w:r>
      <w:r w:rsidRPr="00E3232D">
        <w:rPr>
          <w:rFonts w:ascii="Book Antiqua" w:hAnsi="Book Antiqua"/>
          <w:i/>
          <w:color w:val="000000"/>
        </w:rPr>
        <w:t xml:space="preserve">V </w:t>
      </w:r>
      <w:r w:rsidRPr="00E3232D">
        <w:rPr>
          <w:rFonts w:ascii="Book Antiqua" w:hAnsi="Book Antiqua"/>
          <w:color w:val="000000"/>
        </w:rPr>
        <w:t xml:space="preserve">is the covariance matrix of those order statistics. The Null hypothesis is rejected if the test statistic </w:t>
      </w:r>
      <w:r w:rsidRPr="00E3232D">
        <w:rPr>
          <w:rFonts w:ascii="Book Antiqua" w:hAnsi="Book Antiqua"/>
          <w:i/>
          <w:color w:val="000000"/>
        </w:rPr>
        <w:t>W</w:t>
      </w:r>
      <w:r w:rsidRPr="00E3232D">
        <w:rPr>
          <w:rFonts w:ascii="Book Antiqua" w:hAnsi="Book Antiqua"/>
          <w:color w:val="000000"/>
        </w:rPr>
        <w:t xml:space="preserve"> is too small or the p-value is less than the significance level, </w:t>
      </w:r>
      <w:r w:rsidRPr="00E3232D">
        <w:rPr>
          <w:rFonts w:ascii="Book Antiqua" w:hAnsi="Book Antiqua"/>
          <w:color w:val="000000"/>
          <w:position w:val="-6"/>
        </w:rPr>
        <w:object w:dxaOrig="260" w:dyaOrig="220" w14:anchorId="0D374892">
          <v:shape id="_x0000_i1035" type="#_x0000_t75" style="width:12.25pt;height:11.55pt" o:ole="">
            <v:imagedata r:id="rId133" o:title=""/>
          </v:shape>
          <o:OLEObject Type="Embed" ProgID="Equation.DSMT4" ShapeID="_x0000_i1035" DrawAspect="Content" ObjectID="_1680958693" r:id="rId134"/>
        </w:object>
      </w:r>
    </w:p>
    <w:p w14:paraId="32C0BFA8" w14:textId="77777777" w:rsidR="004D4AB5" w:rsidRPr="00E3232D" w:rsidRDefault="004D4AB5" w:rsidP="00B05DFA">
      <w:pPr>
        <w:autoSpaceDE w:val="0"/>
        <w:autoSpaceDN w:val="0"/>
        <w:adjustRightInd w:val="0"/>
        <w:jc w:val="both"/>
        <w:rPr>
          <w:rFonts w:ascii="Book Antiqua" w:hAnsi="Book Antiqua"/>
          <w:b/>
          <w:color w:val="000000"/>
        </w:rPr>
      </w:pPr>
      <w:r w:rsidRPr="00E3232D">
        <w:rPr>
          <w:rFonts w:ascii="Book Antiqua" w:hAnsi="Book Antiqua"/>
          <w:b/>
          <w:color w:val="000000"/>
        </w:rPr>
        <w:t xml:space="preserve"> </w:t>
      </w:r>
      <w:r w:rsidR="00806674">
        <w:rPr>
          <w:rFonts w:ascii="Book Antiqua" w:hAnsi="Book Antiqua"/>
          <w:b/>
          <w:color w:val="000000"/>
        </w:rPr>
        <w:t xml:space="preserve">3.0 </w:t>
      </w:r>
      <w:r w:rsidRPr="005E00A4">
        <w:rPr>
          <w:rFonts w:ascii="Book Antiqua" w:hAnsi="Book Antiqua"/>
          <w:b/>
          <w:color w:val="000000"/>
          <w:sz w:val="26"/>
        </w:rPr>
        <w:t>Results and Discussions</w:t>
      </w:r>
    </w:p>
    <w:p w14:paraId="278557E4"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 xml:space="preserve">The analysis focused on modeling the number of claims under the funeral policies sold by StarLife and MetLife insurance companies. The paramount purpose was to fit an appropriate probability distribution model to the sixty (60) data points of monthly recorded claims observed from the beginning of 2006 to the end of 2010 in order to estimate the expected number of claims to aid investment allocation. </w:t>
      </w:r>
    </w:p>
    <w:p w14:paraId="418980B9" w14:textId="77777777" w:rsidR="00C73368" w:rsidRDefault="00C73368" w:rsidP="00B05DFA">
      <w:pPr>
        <w:autoSpaceDE w:val="0"/>
        <w:autoSpaceDN w:val="0"/>
        <w:adjustRightInd w:val="0"/>
        <w:jc w:val="both"/>
        <w:rPr>
          <w:rFonts w:ascii="Book Antiqua" w:hAnsi="Book Antiqua"/>
          <w:color w:val="000000"/>
        </w:rPr>
      </w:pPr>
    </w:p>
    <w:p w14:paraId="531C0A34" w14:textId="77777777" w:rsidR="00FD0CF1" w:rsidRDefault="00FD0CF1" w:rsidP="00B05DFA">
      <w:pPr>
        <w:autoSpaceDE w:val="0"/>
        <w:autoSpaceDN w:val="0"/>
        <w:adjustRightInd w:val="0"/>
        <w:jc w:val="both"/>
        <w:rPr>
          <w:rFonts w:ascii="Book Antiqua" w:hAnsi="Book Antiqua"/>
          <w:color w:val="000000"/>
        </w:rPr>
        <w:sectPr w:rsidR="00FD0CF1" w:rsidSect="008F6BC9">
          <w:type w:val="continuous"/>
          <w:pgSz w:w="11907" w:h="16839" w:code="9"/>
          <w:pgMar w:top="1350" w:right="1440" w:bottom="1440" w:left="1440" w:header="720" w:footer="720" w:gutter="0"/>
          <w:cols w:num="2" w:space="720"/>
          <w:docGrid w:linePitch="360"/>
        </w:sectPr>
      </w:pPr>
    </w:p>
    <w:p w14:paraId="75C0544A" w14:textId="77777777" w:rsidR="0059383C" w:rsidRDefault="0059383C" w:rsidP="00B05DFA">
      <w:pPr>
        <w:autoSpaceDE w:val="0"/>
        <w:autoSpaceDN w:val="0"/>
        <w:adjustRightInd w:val="0"/>
        <w:jc w:val="both"/>
        <w:rPr>
          <w:rFonts w:ascii="Book Antiqua" w:hAnsi="Book Antiqua"/>
          <w:color w:val="000000"/>
        </w:rPr>
      </w:pPr>
    </w:p>
    <w:p w14:paraId="6E6E8E32" w14:textId="77777777" w:rsidR="00BC54B9" w:rsidRPr="005E00A4"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The Poisson and Negative binomial distributions are considered for modeling whereas the simulation method employed was bootstrapping. The Pearson chi square test together with the scaled deviance test informed the adequacy of the models.</w:t>
      </w:r>
    </w:p>
    <w:p w14:paraId="225202FC" w14:textId="77777777" w:rsidR="004D4AB5" w:rsidRPr="00A45FAE" w:rsidRDefault="00806674" w:rsidP="00B05DFA">
      <w:pPr>
        <w:autoSpaceDE w:val="0"/>
        <w:autoSpaceDN w:val="0"/>
        <w:adjustRightInd w:val="0"/>
        <w:jc w:val="both"/>
        <w:rPr>
          <w:rFonts w:ascii="Book Antiqua" w:hAnsi="Book Antiqua"/>
          <w:color w:val="000000"/>
        </w:rPr>
      </w:pPr>
      <w:r>
        <w:rPr>
          <w:rFonts w:ascii="Book Antiqua" w:hAnsi="Book Antiqua"/>
          <w:b/>
          <w:color w:val="000000"/>
        </w:rPr>
        <w:t xml:space="preserve">2.2 </w:t>
      </w:r>
      <w:r w:rsidR="004D4AB5" w:rsidRPr="00E3232D">
        <w:rPr>
          <w:rFonts w:ascii="Book Antiqua" w:hAnsi="Book Antiqua"/>
          <w:b/>
          <w:color w:val="000000"/>
        </w:rPr>
        <w:t>Summary Statistics</w:t>
      </w:r>
    </w:p>
    <w:p w14:paraId="3F4949E6" w14:textId="77777777" w:rsidR="004D4AB5" w:rsidRPr="00E3232D"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 xml:space="preserve">Figure 1 presents a bar plot of the number of claims for MetLife and StarLife Insurance companies on funeral policy for the period (2006 - 2010). A glance at Figure 1 reveals heavy-tailedness and </w:t>
      </w:r>
      <w:r w:rsidRPr="00E3232D">
        <w:rPr>
          <w:rFonts w:ascii="Book Antiqua" w:hAnsi="Book Antiqua"/>
          <w:color w:val="000000"/>
        </w:rPr>
        <w:t xml:space="preserve">skewness to the right of number of Claims for both companies. This distribution is typical of number of insurance claims. The number of claims fluctuates increasingly within the period for both claims with Metlife experiencing claims between zero (no claim) and sixty-four (64) claims and StarLife between zero (no claims) and ninety 90 claims. </w:t>
      </w:r>
    </w:p>
    <w:p w14:paraId="79A4D9EA" w14:textId="77777777" w:rsidR="00FD0CF1" w:rsidRDefault="004D4AB5" w:rsidP="00B05DFA">
      <w:pPr>
        <w:autoSpaceDE w:val="0"/>
        <w:autoSpaceDN w:val="0"/>
        <w:adjustRightInd w:val="0"/>
        <w:jc w:val="both"/>
        <w:rPr>
          <w:rFonts w:ascii="Book Antiqua" w:hAnsi="Book Antiqua"/>
          <w:color w:val="000000"/>
        </w:rPr>
      </w:pPr>
      <w:r w:rsidRPr="00E3232D">
        <w:rPr>
          <w:rFonts w:ascii="Book Antiqua" w:hAnsi="Book Antiqua"/>
          <w:color w:val="000000"/>
        </w:rPr>
        <w:t>The mean number of claims for MetLife and StarLife over the period (2006 - 2010) was seventeen (17) and thirteen (13) claims respectively; refer to Table 1 for summary statistics.</w:t>
      </w:r>
    </w:p>
    <w:p w14:paraId="4448CC49" w14:textId="77777777" w:rsidR="00FD0CF1" w:rsidRDefault="00FD0CF1" w:rsidP="008275E1">
      <w:pPr>
        <w:autoSpaceDE w:val="0"/>
        <w:autoSpaceDN w:val="0"/>
        <w:adjustRightInd w:val="0"/>
        <w:ind w:firstLine="720"/>
        <w:rPr>
          <w:rFonts w:ascii="Book Antiqua" w:hAnsi="Book Antiqua"/>
          <w:color w:val="000000"/>
        </w:rPr>
      </w:pPr>
    </w:p>
    <w:p w14:paraId="37D1E41D" w14:textId="77777777" w:rsidR="00FD0CF1" w:rsidRDefault="00FD0CF1" w:rsidP="008275E1">
      <w:pPr>
        <w:autoSpaceDE w:val="0"/>
        <w:autoSpaceDN w:val="0"/>
        <w:adjustRightInd w:val="0"/>
        <w:ind w:firstLine="720"/>
        <w:rPr>
          <w:rFonts w:ascii="Book Antiqua" w:hAnsi="Book Antiqua"/>
          <w:color w:val="000000"/>
        </w:rPr>
        <w:sectPr w:rsidR="00FD0CF1" w:rsidSect="008F6BC9">
          <w:type w:val="continuous"/>
          <w:pgSz w:w="11907" w:h="16839" w:code="9"/>
          <w:pgMar w:top="1350" w:right="1440" w:bottom="1440" w:left="1440" w:header="720" w:footer="720" w:gutter="0"/>
          <w:cols w:num="2" w:space="720"/>
          <w:docGrid w:linePitch="360"/>
        </w:sectPr>
      </w:pPr>
    </w:p>
    <w:p w14:paraId="0A28ECFA" w14:textId="77777777" w:rsidR="004D4AB5" w:rsidRPr="00E3232D" w:rsidRDefault="007005B1" w:rsidP="008275E1">
      <w:pPr>
        <w:autoSpaceDE w:val="0"/>
        <w:autoSpaceDN w:val="0"/>
        <w:adjustRightInd w:val="0"/>
        <w:ind w:firstLine="720"/>
        <w:rPr>
          <w:rFonts w:ascii="Book Antiqua" w:hAnsi="Book Antiqua"/>
          <w:color w:val="000000"/>
          <w:shd w:val="clear" w:color="auto" w:fill="F9F9F9"/>
        </w:rPr>
      </w:pPr>
      <w:r>
        <w:rPr>
          <w:rFonts w:ascii="Book Antiqua" w:hAnsi="Book Antiqua"/>
          <w:noProof/>
          <w:color w:val="000000"/>
          <w:shd w:val="clear" w:color="auto" w:fill="F9F9F9"/>
          <w:lang w:bidi="ar-SA"/>
        </w:rPr>
        <w:lastRenderedPageBreak/>
        <w:drawing>
          <wp:inline distT="0" distB="0" distL="0" distR="0" wp14:anchorId="1CE7C176" wp14:editId="01F59D18">
            <wp:extent cx="3524250" cy="2476500"/>
            <wp:effectExtent l="19050" t="0" r="0" b="0"/>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srcRect/>
                    <a:stretch>
                      <a:fillRect/>
                    </a:stretch>
                  </pic:blipFill>
                  <pic:spPr bwMode="auto">
                    <a:xfrm>
                      <a:off x="0" y="0"/>
                      <a:ext cx="3524250" cy="2476500"/>
                    </a:xfrm>
                    <a:prstGeom prst="rect">
                      <a:avLst/>
                    </a:prstGeom>
                    <a:noFill/>
                    <a:ln w="9525">
                      <a:noFill/>
                      <a:miter lim="800000"/>
                      <a:headEnd/>
                      <a:tailEnd/>
                    </a:ln>
                  </pic:spPr>
                </pic:pic>
              </a:graphicData>
            </a:graphic>
          </wp:inline>
        </w:drawing>
      </w:r>
    </w:p>
    <w:p w14:paraId="5F17EE63" w14:textId="77777777" w:rsidR="004D4AB5" w:rsidRPr="00E3232D" w:rsidRDefault="004D4AB5" w:rsidP="008275E1">
      <w:pPr>
        <w:autoSpaceDE w:val="0"/>
        <w:autoSpaceDN w:val="0"/>
        <w:adjustRightInd w:val="0"/>
        <w:rPr>
          <w:rFonts w:ascii="Book Antiqua" w:hAnsi="Book Antiqua"/>
          <w:b/>
          <w:color w:val="000000"/>
          <w:shd w:val="clear" w:color="auto" w:fill="F9F9F9"/>
        </w:rPr>
      </w:pPr>
      <w:r w:rsidRPr="00E3232D">
        <w:rPr>
          <w:rFonts w:ascii="Book Antiqua" w:hAnsi="Book Antiqua"/>
          <w:b/>
          <w:color w:val="000000"/>
        </w:rPr>
        <w:t>Figure 1: Bar plot of Number of Claims on Funeral Policy from StarLife and MetLife.</w:t>
      </w:r>
    </w:p>
    <w:p w14:paraId="34213551" w14:textId="77777777" w:rsidR="004D4AB5" w:rsidRPr="00E3232D" w:rsidRDefault="004D4AB5" w:rsidP="008275E1">
      <w:pPr>
        <w:autoSpaceDE w:val="0"/>
        <w:autoSpaceDN w:val="0"/>
        <w:adjustRightInd w:val="0"/>
        <w:ind w:firstLine="720"/>
        <w:rPr>
          <w:rFonts w:ascii="Book Antiqua" w:hAnsi="Book Antiqua"/>
          <w:b/>
          <w:color w:val="000000"/>
        </w:rPr>
      </w:pPr>
    </w:p>
    <w:p w14:paraId="790726BC" w14:textId="77777777" w:rsidR="00DA4940" w:rsidRDefault="00DA4940" w:rsidP="008275E1">
      <w:pPr>
        <w:autoSpaceDE w:val="0"/>
        <w:autoSpaceDN w:val="0"/>
        <w:adjustRightInd w:val="0"/>
        <w:rPr>
          <w:rFonts w:ascii="Book Antiqua" w:hAnsi="Book Antiqua"/>
          <w:b/>
          <w:color w:val="000000"/>
        </w:rPr>
        <w:sectPr w:rsidR="00DA4940" w:rsidSect="008F6BC9">
          <w:type w:val="continuous"/>
          <w:pgSz w:w="11907" w:h="16839" w:code="9"/>
          <w:pgMar w:top="1350" w:right="1440" w:bottom="1440" w:left="1440" w:header="720" w:footer="720" w:gutter="0"/>
          <w:cols w:space="720"/>
          <w:docGrid w:linePitch="360"/>
        </w:sectPr>
      </w:pPr>
    </w:p>
    <w:p w14:paraId="2265F0FC" w14:textId="77777777" w:rsidR="004D4AB5" w:rsidRPr="00E3232D" w:rsidRDefault="004D4AB5" w:rsidP="008275E1">
      <w:pPr>
        <w:autoSpaceDE w:val="0"/>
        <w:autoSpaceDN w:val="0"/>
        <w:adjustRightInd w:val="0"/>
        <w:rPr>
          <w:rFonts w:ascii="Book Antiqua" w:hAnsi="Book Antiqua"/>
          <w:color w:val="000000"/>
        </w:rPr>
      </w:pPr>
      <w:r w:rsidRPr="00E3232D">
        <w:rPr>
          <w:rFonts w:ascii="Book Antiqua" w:hAnsi="Book Antiqua"/>
          <w:b/>
          <w:color w:val="000000"/>
        </w:rPr>
        <w:t>Table 1: Summary Statistics of Number of Claims of Funeral Policy from Starlife and MetLife</w:t>
      </w:r>
      <w:r w:rsidRPr="00E3232D">
        <w:rPr>
          <w:rFonts w:ascii="Book Antiqua" w:hAnsi="Book Antiqua"/>
          <w:color w:val="000000"/>
        </w:rPr>
        <w:t>.</w:t>
      </w:r>
    </w:p>
    <w:tbl>
      <w:tblPr>
        <w:tblW w:w="3336" w:type="dxa"/>
        <w:tblInd w:w="97" w:type="dxa"/>
        <w:tblBorders>
          <w:top w:val="single" w:sz="4" w:space="0" w:color="auto"/>
          <w:bottom w:val="single" w:sz="4" w:space="0" w:color="auto"/>
        </w:tblBorders>
        <w:tblLook w:val="04A0" w:firstRow="1" w:lastRow="0" w:firstColumn="1" w:lastColumn="0" w:noHBand="0" w:noVBand="1"/>
      </w:tblPr>
      <w:tblGrid>
        <w:gridCol w:w="1210"/>
        <w:gridCol w:w="1070"/>
        <w:gridCol w:w="1056"/>
      </w:tblGrid>
      <w:tr w:rsidR="004D4AB5" w:rsidRPr="00D12E59" w14:paraId="03947957" w14:textId="77777777" w:rsidTr="009E3C72">
        <w:trPr>
          <w:trHeight w:val="300"/>
        </w:trPr>
        <w:tc>
          <w:tcPr>
            <w:tcW w:w="1210" w:type="dxa"/>
            <w:tcBorders>
              <w:top w:val="single" w:sz="4" w:space="0" w:color="auto"/>
              <w:bottom w:val="single" w:sz="4" w:space="0" w:color="auto"/>
            </w:tcBorders>
            <w:shd w:val="clear" w:color="auto" w:fill="auto"/>
            <w:noWrap/>
            <w:vAlign w:val="bottom"/>
            <w:hideMark/>
          </w:tcPr>
          <w:p w14:paraId="3BDAC299" w14:textId="77777777" w:rsidR="004D4AB5" w:rsidRPr="00D12E59" w:rsidRDefault="004D4AB5" w:rsidP="008275E1">
            <w:pPr>
              <w:rPr>
                <w:rFonts w:ascii="Book Antiqua" w:hAnsi="Book Antiqua"/>
                <w:b/>
                <w:color w:val="000000"/>
              </w:rPr>
            </w:pPr>
            <w:r w:rsidRPr="00D12E59">
              <w:rPr>
                <w:rFonts w:ascii="Book Antiqua" w:hAnsi="Book Antiqua"/>
                <w:b/>
                <w:color w:val="000000"/>
              </w:rPr>
              <w:t>Year</w:t>
            </w:r>
          </w:p>
        </w:tc>
        <w:tc>
          <w:tcPr>
            <w:tcW w:w="1070" w:type="dxa"/>
            <w:tcBorders>
              <w:top w:val="single" w:sz="4" w:space="0" w:color="auto"/>
              <w:bottom w:val="single" w:sz="4" w:space="0" w:color="auto"/>
            </w:tcBorders>
            <w:shd w:val="clear" w:color="auto" w:fill="auto"/>
            <w:noWrap/>
            <w:vAlign w:val="bottom"/>
            <w:hideMark/>
          </w:tcPr>
          <w:p w14:paraId="52683342"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rPr>
              <w:t>StarLife</w:t>
            </w:r>
          </w:p>
        </w:tc>
        <w:tc>
          <w:tcPr>
            <w:tcW w:w="1056" w:type="dxa"/>
            <w:tcBorders>
              <w:top w:val="single" w:sz="4" w:space="0" w:color="auto"/>
              <w:bottom w:val="single" w:sz="4" w:space="0" w:color="auto"/>
            </w:tcBorders>
            <w:shd w:val="clear" w:color="auto" w:fill="auto"/>
            <w:noWrap/>
            <w:vAlign w:val="bottom"/>
            <w:hideMark/>
          </w:tcPr>
          <w:p w14:paraId="0283565A"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rPr>
              <w:t>MetLife</w:t>
            </w:r>
            <w:r w:rsidRPr="00D12E59">
              <w:rPr>
                <w:rFonts w:ascii="Book Antiqua" w:hAnsi="Book Antiqua"/>
                <w:b/>
                <w:color w:val="000000"/>
                <w:position w:val="-6"/>
              </w:rPr>
              <w:t xml:space="preserve"> </w:t>
            </w:r>
          </w:p>
        </w:tc>
      </w:tr>
      <w:tr w:rsidR="004D4AB5" w:rsidRPr="00D12E59" w14:paraId="4C9D49CA" w14:textId="77777777" w:rsidTr="009E3C72">
        <w:trPr>
          <w:trHeight w:val="300"/>
        </w:trPr>
        <w:tc>
          <w:tcPr>
            <w:tcW w:w="1210" w:type="dxa"/>
            <w:tcBorders>
              <w:top w:val="single" w:sz="4" w:space="0" w:color="auto"/>
            </w:tcBorders>
            <w:shd w:val="clear" w:color="auto" w:fill="auto"/>
            <w:noWrap/>
            <w:vAlign w:val="bottom"/>
            <w:hideMark/>
          </w:tcPr>
          <w:p w14:paraId="71FFAC63" w14:textId="77777777" w:rsidR="004D4AB5" w:rsidRPr="00D12E59" w:rsidRDefault="004D4AB5" w:rsidP="008275E1">
            <w:pPr>
              <w:rPr>
                <w:rFonts w:ascii="Book Antiqua" w:hAnsi="Book Antiqua"/>
                <w:color w:val="000000"/>
              </w:rPr>
            </w:pPr>
            <w:r w:rsidRPr="00D12E59">
              <w:rPr>
                <w:rFonts w:ascii="Book Antiqua" w:hAnsi="Book Antiqua"/>
                <w:color w:val="000000"/>
              </w:rPr>
              <w:t>Mean</w:t>
            </w:r>
          </w:p>
        </w:tc>
        <w:tc>
          <w:tcPr>
            <w:tcW w:w="1070" w:type="dxa"/>
            <w:tcBorders>
              <w:top w:val="single" w:sz="4" w:space="0" w:color="auto"/>
            </w:tcBorders>
            <w:shd w:val="clear" w:color="auto" w:fill="auto"/>
            <w:noWrap/>
            <w:vAlign w:val="bottom"/>
            <w:hideMark/>
          </w:tcPr>
          <w:p w14:paraId="7885421F"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13.05</w:t>
            </w:r>
          </w:p>
        </w:tc>
        <w:tc>
          <w:tcPr>
            <w:tcW w:w="1056" w:type="dxa"/>
            <w:tcBorders>
              <w:top w:val="single" w:sz="4" w:space="0" w:color="auto"/>
            </w:tcBorders>
            <w:shd w:val="clear" w:color="auto" w:fill="auto"/>
            <w:noWrap/>
            <w:vAlign w:val="bottom"/>
            <w:hideMark/>
          </w:tcPr>
          <w:p w14:paraId="2B468D09"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16.65</w:t>
            </w:r>
          </w:p>
        </w:tc>
      </w:tr>
      <w:tr w:rsidR="004D4AB5" w:rsidRPr="00D12E59" w14:paraId="5917868E" w14:textId="77777777" w:rsidTr="009E3C72">
        <w:trPr>
          <w:trHeight w:val="300"/>
        </w:trPr>
        <w:tc>
          <w:tcPr>
            <w:tcW w:w="1210" w:type="dxa"/>
            <w:shd w:val="clear" w:color="auto" w:fill="auto"/>
            <w:noWrap/>
            <w:vAlign w:val="bottom"/>
            <w:hideMark/>
          </w:tcPr>
          <w:p w14:paraId="4924BB13" w14:textId="77777777" w:rsidR="004D4AB5" w:rsidRPr="00D12E59" w:rsidRDefault="004D4AB5" w:rsidP="008275E1">
            <w:pPr>
              <w:rPr>
                <w:rFonts w:ascii="Book Antiqua" w:hAnsi="Book Antiqua"/>
                <w:color w:val="000000"/>
              </w:rPr>
            </w:pPr>
            <w:r w:rsidRPr="00D12E59">
              <w:rPr>
                <w:rFonts w:ascii="Book Antiqua" w:hAnsi="Book Antiqua"/>
                <w:color w:val="000000"/>
              </w:rPr>
              <w:t>Median</w:t>
            </w:r>
          </w:p>
        </w:tc>
        <w:tc>
          <w:tcPr>
            <w:tcW w:w="1070" w:type="dxa"/>
            <w:shd w:val="clear" w:color="auto" w:fill="auto"/>
            <w:noWrap/>
            <w:vAlign w:val="bottom"/>
            <w:hideMark/>
          </w:tcPr>
          <w:p w14:paraId="2129A8F0"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7.00</w:t>
            </w:r>
          </w:p>
        </w:tc>
        <w:tc>
          <w:tcPr>
            <w:tcW w:w="1056" w:type="dxa"/>
            <w:shd w:val="clear" w:color="auto" w:fill="auto"/>
            <w:noWrap/>
            <w:vAlign w:val="bottom"/>
            <w:hideMark/>
          </w:tcPr>
          <w:p w14:paraId="5642BB47"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11.50</w:t>
            </w:r>
          </w:p>
        </w:tc>
      </w:tr>
      <w:tr w:rsidR="004D4AB5" w:rsidRPr="00D12E59" w14:paraId="53CF227F" w14:textId="77777777" w:rsidTr="009E3C72">
        <w:trPr>
          <w:trHeight w:val="300"/>
        </w:trPr>
        <w:tc>
          <w:tcPr>
            <w:tcW w:w="1210" w:type="dxa"/>
            <w:shd w:val="clear" w:color="auto" w:fill="auto"/>
            <w:noWrap/>
            <w:vAlign w:val="bottom"/>
            <w:hideMark/>
          </w:tcPr>
          <w:p w14:paraId="7691E7C6" w14:textId="77777777" w:rsidR="004D4AB5" w:rsidRPr="00D12E59" w:rsidRDefault="004D4AB5" w:rsidP="008275E1">
            <w:pPr>
              <w:rPr>
                <w:rFonts w:ascii="Book Antiqua" w:hAnsi="Book Antiqua"/>
                <w:color w:val="000000"/>
              </w:rPr>
            </w:pPr>
            <w:r w:rsidRPr="00D12E59">
              <w:rPr>
                <w:rFonts w:ascii="Book Antiqua" w:hAnsi="Book Antiqua"/>
                <w:color w:val="000000"/>
              </w:rPr>
              <w:t>SD</w:t>
            </w:r>
          </w:p>
        </w:tc>
        <w:tc>
          <w:tcPr>
            <w:tcW w:w="1070" w:type="dxa"/>
            <w:shd w:val="clear" w:color="auto" w:fill="auto"/>
            <w:noWrap/>
            <w:vAlign w:val="bottom"/>
            <w:hideMark/>
          </w:tcPr>
          <w:p w14:paraId="5675903D"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16.82</w:t>
            </w:r>
          </w:p>
        </w:tc>
        <w:tc>
          <w:tcPr>
            <w:tcW w:w="1056" w:type="dxa"/>
            <w:shd w:val="clear" w:color="auto" w:fill="auto"/>
            <w:noWrap/>
            <w:vAlign w:val="bottom"/>
            <w:hideMark/>
          </w:tcPr>
          <w:p w14:paraId="772B50FE"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15.98</w:t>
            </w:r>
          </w:p>
        </w:tc>
      </w:tr>
      <w:tr w:rsidR="004D4AB5" w:rsidRPr="00D12E59" w14:paraId="584E3FAB" w14:textId="77777777" w:rsidTr="009E3C72">
        <w:trPr>
          <w:trHeight w:val="300"/>
        </w:trPr>
        <w:tc>
          <w:tcPr>
            <w:tcW w:w="1210" w:type="dxa"/>
            <w:shd w:val="clear" w:color="auto" w:fill="auto"/>
            <w:noWrap/>
            <w:vAlign w:val="bottom"/>
            <w:hideMark/>
          </w:tcPr>
          <w:p w14:paraId="4C6B56A6" w14:textId="77777777" w:rsidR="004D4AB5" w:rsidRPr="00D12E59" w:rsidRDefault="004D4AB5" w:rsidP="008275E1">
            <w:pPr>
              <w:rPr>
                <w:rFonts w:ascii="Book Antiqua" w:hAnsi="Book Antiqua"/>
                <w:color w:val="000000"/>
              </w:rPr>
            </w:pPr>
            <w:r w:rsidRPr="00D12E59">
              <w:rPr>
                <w:rFonts w:ascii="Book Antiqua" w:hAnsi="Book Antiqua"/>
                <w:color w:val="000000"/>
              </w:rPr>
              <w:t>Skewness</w:t>
            </w:r>
          </w:p>
        </w:tc>
        <w:tc>
          <w:tcPr>
            <w:tcW w:w="1070" w:type="dxa"/>
            <w:shd w:val="clear" w:color="auto" w:fill="auto"/>
            <w:noWrap/>
            <w:vAlign w:val="bottom"/>
            <w:hideMark/>
          </w:tcPr>
          <w:p w14:paraId="4CE80974"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2.07</w:t>
            </w:r>
          </w:p>
        </w:tc>
        <w:tc>
          <w:tcPr>
            <w:tcW w:w="1056" w:type="dxa"/>
            <w:shd w:val="clear" w:color="auto" w:fill="auto"/>
            <w:noWrap/>
            <w:vAlign w:val="bottom"/>
            <w:hideMark/>
          </w:tcPr>
          <w:p w14:paraId="7CBF773C"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0.89</w:t>
            </w:r>
          </w:p>
        </w:tc>
      </w:tr>
      <w:tr w:rsidR="004D4AB5" w:rsidRPr="00D12E59" w14:paraId="1F0AB78A" w14:textId="77777777" w:rsidTr="009E3C72">
        <w:trPr>
          <w:trHeight w:val="300"/>
        </w:trPr>
        <w:tc>
          <w:tcPr>
            <w:tcW w:w="1210" w:type="dxa"/>
            <w:shd w:val="clear" w:color="auto" w:fill="auto"/>
            <w:noWrap/>
            <w:vAlign w:val="bottom"/>
            <w:hideMark/>
          </w:tcPr>
          <w:p w14:paraId="4CED5B29" w14:textId="77777777" w:rsidR="004D4AB5" w:rsidRPr="00D12E59" w:rsidRDefault="004D4AB5" w:rsidP="008275E1">
            <w:pPr>
              <w:rPr>
                <w:rFonts w:ascii="Book Antiqua" w:hAnsi="Book Antiqua"/>
                <w:color w:val="000000"/>
              </w:rPr>
            </w:pPr>
            <w:r w:rsidRPr="00D12E59">
              <w:rPr>
                <w:rFonts w:ascii="Book Antiqua" w:hAnsi="Book Antiqua"/>
                <w:color w:val="000000"/>
              </w:rPr>
              <w:t>Kurtosis</w:t>
            </w:r>
          </w:p>
        </w:tc>
        <w:tc>
          <w:tcPr>
            <w:tcW w:w="1070" w:type="dxa"/>
            <w:shd w:val="clear" w:color="auto" w:fill="auto"/>
            <w:noWrap/>
            <w:vAlign w:val="bottom"/>
            <w:hideMark/>
          </w:tcPr>
          <w:p w14:paraId="48CF1E25"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6.11</w:t>
            </w:r>
          </w:p>
        </w:tc>
        <w:tc>
          <w:tcPr>
            <w:tcW w:w="1056" w:type="dxa"/>
            <w:shd w:val="clear" w:color="auto" w:fill="auto"/>
            <w:noWrap/>
            <w:vAlign w:val="bottom"/>
            <w:hideMark/>
          </w:tcPr>
          <w:p w14:paraId="4CC43AA5"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0.07</w:t>
            </w:r>
          </w:p>
        </w:tc>
      </w:tr>
    </w:tbl>
    <w:p w14:paraId="792FFCAD" w14:textId="77777777" w:rsidR="0059383C" w:rsidRDefault="0059383C" w:rsidP="008275E1">
      <w:pPr>
        <w:autoSpaceDE w:val="0"/>
        <w:autoSpaceDN w:val="0"/>
        <w:adjustRightInd w:val="0"/>
        <w:rPr>
          <w:rFonts w:ascii="Book Antiqua" w:hAnsi="Book Antiqua"/>
          <w:b/>
          <w:color w:val="000000"/>
        </w:rPr>
      </w:pPr>
    </w:p>
    <w:p w14:paraId="40FD66FE" w14:textId="77777777" w:rsidR="004D4AB5" w:rsidRPr="00E3232D" w:rsidRDefault="004D4AB5" w:rsidP="008275E1">
      <w:pPr>
        <w:autoSpaceDE w:val="0"/>
        <w:autoSpaceDN w:val="0"/>
        <w:adjustRightInd w:val="0"/>
        <w:rPr>
          <w:rFonts w:ascii="Book Antiqua" w:hAnsi="Book Antiqua"/>
          <w:b/>
          <w:color w:val="000000"/>
        </w:rPr>
      </w:pPr>
      <w:r w:rsidRPr="00E3232D">
        <w:rPr>
          <w:rFonts w:ascii="Book Antiqua" w:hAnsi="Book Antiqua"/>
          <w:b/>
          <w:color w:val="000000"/>
        </w:rPr>
        <w:t>Seasonal Analysis</w:t>
      </w:r>
    </w:p>
    <w:p w14:paraId="5464F8B6"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 xml:space="preserve">A study of the seasonal changes in the occurrence of the number of claims revealed an increasing pattern for both Portfolios along the period. The highest number of claims was observed in July and March, 2010 for StarLife and MetLife respectively. Several months between </w:t>
      </w:r>
      <w:r w:rsidRPr="00E3232D">
        <w:rPr>
          <w:rFonts w:ascii="Book Antiqua" w:hAnsi="Book Antiqua"/>
          <w:color w:val="000000"/>
        </w:rPr>
        <w:t>2006 and 2007 recorded no claims (zero claims), that was linked to the reason that the policy was introduced in 2005 and as at the end of 2006, not much of the policies had being sold.</w:t>
      </w:r>
    </w:p>
    <w:p w14:paraId="40A6412C" w14:textId="77777777" w:rsidR="004D4AB5" w:rsidRPr="00E3232D" w:rsidRDefault="007005B1" w:rsidP="008275E1">
      <w:pPr>
        <w:autoSpaceDE w:val="0"/>
        <w:autoSpaceDN w:val="0"/>
        <w:adjustRightInd w:val="0"/>
        <w:rPr>
          <w:rFonts w:ascii="Book Antiqua" w:hAnsi="Book Antiqua"/>
          <w:color w:val="000000"/>
        </w:rPr>
      </w:pPr>
      <w:r>
        <w:rPr>
          <w:rFonts w:ascii="Book Antiqua" w:hAnsi="Book Antiqua"/>
          <w:noProof/>
          <w:color w:val="000000"/>
          <w:lang w:bidi="ar-SA"/>
        </w:rPr>
        <w:drawing>
          <wp:inline distT="0" distB="0" distL="0" distR="0" wp14:anchorId="4698514C" wp14:editId="5C73B790">
            <wp:extent cx="3000375" cy="2552700"/>
            <wp:effectExtent l="19050" t="0" r="9525" b="0"/>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srcRect b="2417"/>
                    <a:stretch>
                      <a:fillRect/>
                    </a:stretch>
                  </pic:blipFill>
                  <pic:spPr bwMode="auto">
                    <a:xfrm>
                      <a:off x="0" y="0"/>
                      <a:ext cx="3000375" cy="2552700"/>
                    </a:xfrm>
                    <a:prstGeom prst="rect">
                      <a:avLst/>
                    </a:prstGeom>
                    <a:noFill/>
                    <a:ln w="9525">
                      <a:noFill/>
                      <a:miter lim="800000"/>
                      <a:headEnd/>
                      <a:tailEnd/>
                    </a:ln>
                  </pic:spPr>
                </pic:pic>
              </a:graphicData>
            </a:graphic>
          </wp:inline>
        </w:drawing>
      </w:r>
    </w:p>
    <w:p w14:paraId="451F13C5" w14:textId="77777777" w:rsidR="004D4AB5" w:rsidRPr="00E3232D" w:rsidRDefault="004D4AB5" w:rsidP="008275E1">
      <w:pPr>
        <w:autoSpaceDE w:val="0"/>
        <w:autoSpaceDN w:val="0"/>
        <w:adjustRightInd w:val="0"/>
        <w:rPr>
          <w:rFonts w:ascii="Book Antiqua" w:hAnsi="Book Antiqua"/>
          <w:color w:val="000000"/>
        </w:rPr>
      </w:pPr>
      <w:r w:rsidRPr="00E3232D">
        <w:rPr>
          <w:rFonts w:ascii="Book Antiqua" w:hAnsi="Book Antiqua"/>
          <w:b/>
          <w:color w:val="000000"/>
        </w:rPr>
        <w:t>Figure 2: Boxplot of Yearly Number of Claims on Funeral Policy from StarLife and MetLife</w:t>
      </w:r>
      <w:r w:rsidRPr="00E3232D">
        <w:rPr>
          <w:rFonts w:ascii="Book Antiqua" w:hAnsi="Book Antiqua"/>
          <w:color w:val="000000"/>
        </w:rPr>
        <w:t>.</w:t>
      </w:r>
    </w:p>
    <w:p w14:paraId="54463DCA" w14:textId="77777777" w:rsidR="00C73368" w:rsidRDefault="00C73368" w:rsidP="00C73368">
      <w:pPr>
        <w:autoSpaceDE w:val="0"/>
        <w:autoSpaceDN w:val="0"/>
        <w:adjustRightInd w:val="0"/>
        <w:rPr>
          <w:rFonts w:ascii="Book Antiqua" w:hAnsi="Book Antiqua"/>
          <w:color w:val="000000"/>
        </w:rPr>
      </w:pPr>
    </w:p>
    <w:p w14:paraId="25BD4454"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lastRenderedPageBreak/>
        <w:t>Figure 2 is a box plot of the monthly recorded number of claims on yearly basis for the underlying years (2006 - 2010). The yearly distributions of the number of claims were all tailed and skewed to either the left or right in the various years. The annual distributions of number of claims for MetLife were skewed to the right while those of StarLife were skewed to the left in 2010 but in the other years under review they were all skewed to the right (2006 - 2009). This revealed that the annual distributions were not conventionally bell shaped (normally distributed) in any of the years but were all tailed and skewed.</w:t>
      </w:r>
    </w:p>
    <w:p w14:paraId="68F30B1A"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 xml:space="preserve">Considering, the annual distributions during the active years (2008 - 2010) where much of the policies had been sold, the year 2008 distribution of the number of claims from MetLife was heavily tailed, right skewed and flat arched (platykurtic) while that of StarLife was slightly tailed, right skewed and slender arched (leptokurtic). Furthermore, year 2009 distribution depicted a tailed, right skewed and slender arched (leptokurtic) for MetLife and tailed, right skewed and normally peaked (mesokurtic) for StarLife. </w:t>
      </w:r>
    </w:p>
    <w:p w14:paraId="4EFDD450" w14:textId="77777777" w:rsidR="006B4668" w:rsidRDefault="006B4668" w:rsidP="006B4668">
      <w:pPr>
        <w:autoSpaceDE w:val="0"/>
        <w:autoSpaceDN w:val="0"/>
        <w:adjustRightInd w:val="0"/>
        <w:rPr>
          <w:rFonts w:ascii="Book Antiqua" w:hAnsi="Book Antiqua"/>
          <w:color w:val="000000"/>
        </w:rPr>
      </w:pPr>
    </w:p>
    <w:p w14:paraId="7AC6E22B"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Finally in year 2010, the distributions for both portfolios were similar, tailed, asymmetric and slender arched (leptokurtic). Overall, the number of claims depicted increasing patterns across the years with rising annual averages (see Table  2 for details).</w:t>
      </w:r>
    </w:p>
    <w:p w14:paraId="3ADF750C" w14:textId="77777777" w:rsidR="004D4AB5" w:rsidRPr="00E3232D" w:rsidRDefault="004D4AB5" w:rsidP="008275E1">
      <w:pPr>
        <w:autoSpaceDE w:val="0"/>
        <w:autoSpaceDN w:val="0"/>
        <w:adjustRightInd w:val="0"/>
        <w:rPr>
          <w:rFonts w:ascii="Book Antiqua" w:hAnsi="Book Antiqua"/>
          <w:b/>
          <w:color w:val="000000"/>
        </w:rPr>
      </w:pPr>
      <w:r w:rsidRPr="00E3232D">
        <w:rPr>
          <w:rFonts w:ascii="Book Antiqua" w:hAnsi="Book Antiqua"/>
          <w:b/>
          <w:color w:val="000000"/>
        </w:rPr>
        <w:t>Table 2: Trend of Annual Averages of Number of Claims from Starlife and MetLife</w:t>
      </w:r>
    </w:p>
    <w:tbl>
      <w:tblPr>
        <w:tblW w:w="4204" w:type="dxa"/>
        <w:tblInd w:w="97" w:type="dxa"/>
        <w:tblBorders>
          <w:top w:val="single" w:sz="4" w:space="0" w:color="auto"/>
          <w:bottom w:val="single" w:sz="4" w:space="0" w:color="auto"/>
        </w:tblBorders>
        <w:tblLook w:val="04A0" w:firstRow="1" w:lastRow="0" w:firstColumn="1" w:lastColumn="0" w:noHBand="0" w:noVBand="1"/>
      </w:tblPr>
      <w:tblGrid>
        <w:gridCol w:w="941"/>
        <w:gridCol w:w="635"/>
        <w:gridCol w:w="635"/>
        <w:gridCol w:w="687"/>
        <w:gridCol w:w="687"/>
        <w:gridCol w:w="687"/>
      </w:tblGrid>
      <w:tr w:rsidR="004D4AB5" w:rsidRPr="00D12E59" w14:paraId="37670A1E" w14:textId="77777777" w:rsidTr="002F3160">
        <w:trPr>
          <w:trHeight w:val="300"/>
        </w:trPr>
        <w:tc>
          <w:tcPr>
            <w:tcW w:w="893" w:type="dxa"/>
            <w:tcBorders>
              <w:top w:val="single" w:sz="4" w:space="0" w:color="auto"/>
              <w:bottom w:val="single" w:sz="4" w:space="0" w:color="auto"/>
            </w:tcBorders>
            <w:shd w:val="clear" w:color="auto" w:fill="auto"/>
            <w:noWrap/>
            <w:vAlign w:val="bottom"/>
            <w:hideMark/>
          </w:tcPr>
          <w:p w14:paraId="299A16B7" w14:textId="77777777" w:rsidR="004D4AB5" w:rsidRPr="00D12E59" w:rsidRDefault="004D4AB5" w:rsidP="008275E1">
            <w:pPr>
              <w:rPr>
                <w:rFonts w:ascii="Book Antiqua" w:hAnsi="Book Antiqua"/>
                <w:b/>
                <w:color w:val="000000"/>
              </w:rPr>
            </w:pPr>
            <w:r w:rsidRPr="00D12E59">
              <w:rPr>
                <w:rFonts w:ascii="Book Antiqua" w:hAnsi="Book Antiqua"/>
                <w:b/>
                <w:color w:val="000000"/>
              </w:rPr>
              <w:t>Year</w:t>
            </w:r>
          </w:p>
        </w:tc>
        <w:tc>
          <w:tcPr>
            <w:tcW w:w="651" w:type="dxa"/>
            <w:tcBorders>
              <w:top w:val="single" w:sz="4" w:space="0" w:color="auto"/>
              <w:bottom w:val="single" w:sz="4" w:space="0" w:color="auto"/>
            </w:tcBorders>
            <w:shd w:val="clear" w:color="auto" w:fill="auto"/>
            <w:noWrap/>
            <w:vAlign w:val="bottom"/>
            <w:hideMark/>
          </w:tcPr>
          <w:p w14:paraId="17663DA7"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position w:val="-6"/>
              </w:rPr>
              <w:t xml:space="preserve"> 2006</w:t>
            </w:r>
          </w:p>
        </w:tc>
        <w:tc>
          <w:tcPr>
            <w:tcW w:w="651" w:type="dxa"/>
            <w:tcBorders>
              <w:top w:val="single" w:sz="4" w:space="0" w:color="auto"/>
              <w:bottom w:val="single" w:sz="4" w:space="0" w:color="auto"/>
            </w:tcBorders>
            <w:shd w:val="clear" w:color="auto" w:fill="auto"/>
            <w:noWrap/>
            <w:vAlign w:val="bottom"/>
            <w:hideMark/>
          </w:tcPr>
          <w:p w14:paraId="4857FAF9"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position w:val="-6"/>
              </w:rPr>
              <w:t>2007</w:t>
            </w:r>
          </w:p>
        </w:tc>
        <w:tc>
          <w:tcPr>
            <w:tcW w:w="677" w:type="dxa"/>
            <w:tcBorders>
              <w:top w:val="single" w:sz="4" w:space="0" w:color="auto"/>
              <w:bottom w:val="single" w:sz="4" w:space="0" w:color="auto"/>
            </w:tcBorders>
            <w:shd w:val="clear" w:color="auto" w:fill="auto"/>
            <w:noWrap/>
            <w:vAlign w:val="bottom"/>
            <w:hideMark/>
          </w:tcPr>
          <w:p w14:paraId="7243EAFC"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rPr>
              <w:t>2008</w:t>
            </w:r>
          </w:p>
        </w:tc>
        <w:tc>
          <w:tcPr>
            <w:tcW w:w="666" w:type="dxa"/>
            <w:tcBorders>
              <w:top w:val="single" w:sz="4" w:space="0" w:color="auto"/>
              <w:bottom w:val="single" w:sz="4" w:space="0" w:color="auto"/>
            </w:tcBorders>
            <w:shd w:val="clear" w:color="auto" w:fill="auto"/>
            <w:noWrap/>
            <w:vAlign w:val="bottom"/>
            <w:hideMark/>
          </w:tcPr>
          <w:p w14:paraId="329ABF28"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position w:val="-6"/>
              </w:rPr>
              <w:t>2009</w:t>
            </w:r>
          </w:p>
        </w:tc>
        <w:tc>
          <w:tcPr>
            <w:tcW w:w="666" w:type="dxa"/>
            <w:tcBorders>
              <w:top w:val="single" w:sz="4" w:space="0" w:color="auto"/>
              <w:bottom w:val="single" w:sz="4" w:space="0" w:color="auto"/>
            </w:tcBorders>
            <w:shd w:val="clear" w:color="auto" w:fill="auto"/>
            <w:noWrap/>
            <w:vAlign w:val="bottom"/>
            <w:hideMark/>
          </w:tcPr>
          <w:p w14:paraId="75A433E0"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position w:val="-6"/>
              </w:rPr>
              <w:t>2010</w:t>
            </w:r>
          </w:p>
        </w:tc>
      </w:tr>
      <w:tr w:rsidR="004D4AB5" w:rsidRPr="00D12E59" w14:paraId="1352FFB3" w14:textId="77777777" w:rsidTr="002F3160">
        <w:trPr>
          <w:trHeight w:val="300"/>
        </w:trPr>
        <w:tc>
          <w:tcPr>
            <w:tcW w:w="893" w:type="dxa"/>
            <w:tcBorders>
              <w:top w:val="single" w:sz="4" w:space="0" w:color="auto"/>
            </w:tcBorders>
            <w:shd w:val="clear" w:color="auto" w:fill="auto"/>
            <w:noWrap/>
            <w:vAlign w:val="bottom"/>
            <w:hideMark/>
          </w:tcPr>
          <w:p w14:paraId="06FBF08D" w14:textId="77777777" w:rsidR="004D4AB5" w:rsidRPr="00D12E59" w:rsidRDefault="004D4AB5" w:rsidP="008275E1">
            <w:pPr>
              <w:rPr>
                <w:rFonts w:ascii="Book Antiqua" w:hAnsi="Book Antiqua"/>
                <w:color w:val="000000"/>
              </w:rPr>
            </w:pPr>
            <w:r w:rsidRPr="00D12E59">
              <w:rPr>
                <w:rFonts w:ascii="Book Antiqua" w:hAnsi="Book Antiqua"/>
                <w:color w:val="000000"/>
              </w:rPr>
              <w:t>StarLife</w:t>
            </w:r>
          </w:p>
        </w:tc>
        <w:tc>
          <w:tcPr>
            <w:tcW w:w="651" w:type="dxa"/>
            <w:tcBorders>
              <w:top w:val="single" w:sz="4" w:space="0" w:color="auto"/>
            </w:tcBorders>
            <w:shd w:val="clear" w:color="auto" w:fill="auto"/>
            <w:noWrap/>
            <w:vAlign w:val="bottom"/>
            <w:hideMark/>
          </w:tcPr>
          <w:p w14:paraId="0A4807ED"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0.33</w:t>
            </w:r>
          </w:p>
        </w:tc>
        <w:tc>
          <w:tcPr>
            <w:tcW w:w="651" w:type="dxa"/>
            <w:tcBorders>
              <w:top w:val="single" w:sz="4" w:space="0" w:color="auto"/>
            </w:tcBorders>
            <w:shd w:val="clear" w:color="auto" w:fill="auto"/>
            <w:noWrap/>
            <w:vAlign w:val="bottom"/>
            <w:hideMark/>
          </w:tcPr>
          <w:p w14:paraId="0864B324"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2.08</w:t>
            </w:r>
          </w:p>
        </w:tc>
        <w:tc>
          <w:tcPr>
            <w:tcW w:w="677" w:type="dxa"/>
            <w:tcBorders>
              <w:top w:val="single" w:sz="4" w:space="0" w:color="auto"/>
            </w:tcBorders>
            <w:shd w:val="clear" w:color="auto" w:fill="auto"/>
            <w:noWrap/>
            <w:vAlign w:val="bottom"/>
            <w:hideMark/>
          </w:tcPr>
          <w:p w14:paraId="1A392DB8"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8.25</w:t>
            </w:r>
          </w:p>
        </w:tc>
        <w:tc>
          <w:tcPr>
            <w:tcW w:w="666" w:type="dxa"/>
            <w:tcBorders>
              <w:top w:val="single" w:sz="4" w:space="0" w:color="auto"/>
            </w:tcBorders>
            <w:shd w:val="clear" w:color="auto" w:fill="auto"/>
            <w:noWrap/>
            <w:vAlign w:val="bottom"/>
            <w:hideMark/>
          </w:tcPr>
          <w:p w14:paraId="1E9BA3D1"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17.72</w:t>
            </w:r>
          </w:p>
        </w:tc>
        <w:tc>
          <w:tcPr>
            <w:tcW w:w="666" w:type="dxa"/>
            <w:tcBorders>
              <w:top w:val="single" w:sz="4" w:space="0" w:color="auto"/>
            </w:tcBorders>
            <w:shd w:val="clear" w:color="auto" w:fill="auto"/>
            <w:noWrap/>
            <w:vAlign w:val="bottom"/>
            <w:hideMark/>
          </w:tcPr>
          <w:p w14:paraId="53E856B3"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36.67</w:t>
            </w:r>
          </w:p>
        </w:tc>
      </w:tr>
      <w:tr w:rsidR="004D4AB5" w:rsidRPr="00D12E59" w14:paraId="0CDE939D" w14:textId="77777777" w:rsidTr="002F3160">
        <w:trPr>
          <w:trHeight w:val="300"/>
        </w:trPr>
        <w:tc>
          <w:tcPr>
            <w:tcW w:w="893" w:type="dxa"/>
            <w:shd w:val="clear" w:color="auto" w:fill="auto"/>
            <w:noWrap/>
            <w:vAlign w:val="bottom"/>
            <w:hideMark/>
          </w:tcPr>
          <w:p w14:paraId="7228345D" w14:textId="77777777" w:rsidR="004D4AB5" w:rsidRPr="00D12E59" w:rsidRDefault="004D4AB5" w:rsidP="008275E1">
            <w:pPr>
              <w:rPr>
                <w:rFonts w:ascii="Book Antiqua" w:hAnsi="Book Antiqua"/>
                <w:color w:val="000000"/>
              </w:rPr>
            </w:pPr>
            <w:r w:rsidRPr="00D12E59">
              <w:rPr>
                <w:rFonts w:ascii="Book Antiqua" w:hAnsi="Book Antiqua"/>
                <w:color w:val="000000"/>
              </w:rPr>
              <w:t>MetLife</w:t>
            </w:r>
          </w:p>
        </w:tc>
        <w:tc>
          <w:tcPr>
            <w:tcW w:w="651" w:type="dxa"/>
            <w:shd w:val="clear" w:color="auto" w:fill="auto"/>
            <w:noWrap/>
            <w:vAlign w:val="bottom"/>
            <w:hideMark/>
          </w:tcPr>
          <w:p w14:paraId="0B6DD8C9"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0.33</w:t>
            </w:r>
          </w:p>
        </w:tc>
        <w:tc>
          <w:tcPr>
            <w:tcW w:w="651" w:type="dxa"/>
            <w:shd w:val="clear" w:color="auto" w:fill="auto"/>
            <w:noWrap/>
            <w:vAlign w:val="bottom"/>
            <w:hideMark/>
          </w:tcPr>
          <w:p w14:paraId="10225A62"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5.33</w:t>
            </w:r>
          </w:p>
        </w:tc>
        <w:tc>
          <w:tcPr>
            <w:tcW w:w="677" w:type="dxa"/>
            <w:shd w:val="clear" w:color="auto" w:fill="auto"/>
            <w:noWrap/>
            <w:vAlign w:val="bottom"/>
            <w:hideMark/>
          </w:tcPr>
          <w:p w14:paraId="10F22065"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22.18</w:t>
            </w:r>
          </w:p>
        </w:tc>
        <w:tc>
          <w:tcPr>
            <w:tcW w:w="666" w:type="dxa"/>
            <w:shd w:val="clear" w:color="auto" w:fill="auto"/>
            <w:noWrap/>
            <w:vAlign w:val="bottom"/>
            <w:hideMark/>
          </w:tcPr>
          <w:p w14:paraId="33D17E69"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15.83</w:t>
            </w:r>
          </w:p>
        </w:tc>
        <w:tc>
          <w:tcPr>
            <w:tcW w:w="666" w:type="dxa"/>
            <w:shd w:val="clear" w:color="auto" w:fill="auto"/>
            <w:noWrap/>
            <w:vAlign w:val="bottom"/>
            <w:hideMark/>
          </w:tcPr>
          <w:p w14:paraId="06EB5312"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39.53</w:t>
            </w:r>
          </w:p>
        </w:tc>
      </w:tr>
    </w:tbl>
    <w:p w14:paraId="51D198BE" w14:textId="77777777" w:rsidR="004D4AB5" w:rsidRPr="00E3232D" w:rsidRDefault="004D4AB5" w:rsidP="005E00A4">
      <w:pPr>
        <w:autoSpaceDE w:val="0"/>
        <w:autoSpaceDN w:val="0"/>
        <w:adjustRightInd w:val="0"/>
        <w:rPr>
          <w:rFonts w:ascii="Book Antiqua" w:hAnsi="Book Antiqua"/>
          <w:color w:val="000000"/>
        </w:rPr>
      </w:pPr>
    </w:p>
    <w:p w14:paraId="70DD9F64" w14:textId="77777777" w:rsidR="004D4AB5" w:rsidRPr="00E3232D" w:rsidRDefault="004D4AB5" w:rsidP="008275E1">
      <w:pPr>
        <w:autoSpaceDE w:val="0"/>
        <w:autoSpaceDN w:val="0"/>
        <w:adjustRightInd w:val="0"/>
        <w:rPr>
          <w:rFonts w:ascii="Book Antiqua" w:hAnsi="Book Antiqua"/>
          <w:b/>
          <w:color w:val="000000"/>
        </w:rPr>
      </w:pPr>
      <w:r w:rsidRPr="00E3232D">
        <w:rPr>
          <w:rFonts w:ascii="Book Antiqua" w:hAnsi="Book Antiqua"/>
          <w:b/>
          <w:color w:val="000000"/>
        </w:rPr>
        <w:t>Comparison of the Distributions</w:t>
      </w:r>
    </w:p>
    <w:p w14:paraId="0138AE87" w14:textId="77777777" w:rsidR="004D4AB5" w:rsidRPr="00E3232D" w:rsidRDefault="004D4AB5" w:rsidP="005E00A4">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The preliminary analysis on the number of claims suggests that the distributions of both portfolios were not normal. The null hypothesis of normality was rejected at a p-value of </w:t>
      </w:r>
      <w:r w:rsidRPr="00E3232D">
        <w:rPr>
          <w:rFonts w:ascii="Book Antiqua" w:hAnsi="Book Antiqua"/>
          <w:color w:val="000000"/>
          <w:position w:val="-6"/>
        </w:rPr>
        <w:object w:dxaOrig="1060" w:dyaOrig="320" w14:anchorId="5E55EFD2">
          <v:shape id="_x0000_i1036" type="#_x0000_t75" style="width:53pt;height:15.6pt" o:ole="">
            <v:imagedata r:id="rId137" o:title=""/>
          </v:shape>
          <o:OLEObject Type="Embed" ProgID="Equation.DSMT4" ShapeID="_x0000_i1036" DrawAspect="Content" ObjectID="_1680958694" r:id="rId138"/>
        </w:object>
      </w:r>
      <w:r w:rsidRPr="00E3232D">
        <w:rPr>
          <w:rFonts w:ascii="Book Antiqua" w:hAnsi="Book Antiqua"/>
          <w:color w:val="000000"/>
        </w:rPr>
        <w:t xml:space="preserve"> for StarLife and </w:t>
      </w:r>
      <w:r w:rsidRPr="00E3232D">
        <w:rPr>
          <w:rFonts w:ascii="Book Antiqua" w:hAnsi="Book Antiqua"/>
          <w:color w:val="000000"/>
          <w:position w:val="-6"/>
        </w:rPr>
        <w:object w:dxaOrig="1060" w:dyaOrig="320" w14:anchorId="21DE2355">
          <v:shape id="_x0000_i1037" type="#_x0000_t75" style="width:53pt;height:15.6pt" o:ole="">
            <v:imagedata r:id="rId137" o:title=""/>
          </v:shape>
          <o:OLEObject Type="Embed" ProgID="Equation.DSMT4" ShapeID="_x0000_i1037" DrawAspect="Content" ObjectID="_1680958695" r:id="rId139"/>
        </w:object>
      </w:r>
      <w:r w:rsidRPr="00E3232D">
        <w:rPr>
          <w:rFonts w:ascii="Book Antiqua" w:hAnsi="Book Antiqua"/>
          <w:color w:val="000000"/>
        </w:rPr>
        <w:t xml:space="preserve">for MetLife according to Shapiro-Wilk test of normality. </w:t>
      </w:r>
    </w:p>
    <w:p w14:paraId="768C136F" w14:textId="77777777" w:rsidR="006B4668" w:rsidRDefault="006B4668" w:rsidP="005E00A4">
      <w:pPr>
        <w:autoSpaceDE w:val="0"/>
        <w:autoSpaceDN w:val="0"/>
        <w:adjustRightInd w:val="0"/>
        <w:spacing w:after="0"/>
        <w:jc w:val="both"/>
        <w:rPr>
          <w:rFonts w:ascii="Book Antiqua" w:hAnsi="Book Antiqua"/>
          <w:color w:val="000000"/>
        </w:rPr>
      </w:pPr>
    </w:p>
    <w:p w14:paraId="76D27179" w14:textId="77777777" w:rsidR="004D4AB5" w:rsidRPr="00E3232D" w:rsidRDefault="004D4AB5" w:rsidP="005E00A4">
      <w:pPr>
        <w:autoSpaceDE w:val="0"/>
        <w:autoSpaceDN w:val="0"/>
        <w:adjustRightInd w:val="0"/>
        <w:spacing w:after="0"/>
        <w:jc w:val="both"/>
        <w:rPr>
          <w:rFonts w:ascii="Book Antiqua" w:hAnsi="Book Antiqua"/>
          <w:color w:val="000000"/>
        </w:rPr>
      </w:pPr>
      <w:r w:rsidRPr="00E3232D">
        <w:rPr>
          <w:rFonts w:ascii="Book Antiqua" w:hAnsi="Book Antiqua"/>
          <w:color w:val="000000"/>
        </w:rPr>
        <w:t xml:space="preserve">To answer the question as to whether the distribution of number of claims for both insurance companies came from the same distribution, a QQ plot displayed in Figure 3 was constructed and the fairly linear trend preliminarily suggest that the distribution of the number of claims for both insurance companies belong to a same distribution. Moreover, the p-value of </w:t>
      </w:r>
      <w:r w:rsidRPr="00E3232D">
        <w:rPr>
          <w:rFonts w:ascii="Book Antiqua" w:hAnsi="Book Antiqua"/>
          <w:color w:val="000000"/>
          <w:position w:val="-6"/>
        </w:rPr>
        <w:object w:dxaOrig="1080" w:dyaOrig="320" w14:anchorId="61FE37C3">
          <v:shape id="_x0000_i1038" type="#_x0000_t75" style="width:55pt;height:15.6pt" o:ole="">
            <v:imagedata r:id="rId140" o:title=""/>
          </v:shape>
          <o:OLEObject Type="Embed" ProgID="Equation.DSMT4" ShapeID="_x0000_i1038" DrawAspect="Content" ObjectID="_1680958696" r:id="rId141"/>
        </w:object>
      </w:r>
      <w:r w:rsidRPr="00E3232D">
        <w:rPr>
          <w:rFonts w:ascii="Book Antiqua" w:hAnsi="Book Antiqua"/>
          <w:color w:val="000000"/>
        </w:rPr>
        <w:t xml:space="preserve"> obtained by the two sided Kolmogorov-Smirnov test was statistically significant to ascertain that the probability distribution of the number of claim were the same.</w:t>
      </w:r>
    </w:p>
    <w:p w14:paraId="025826C5" w14:textId="77777777" w:rsidR="00A45FAE" w:rsidRDefault="00A45FAE" w:rsidP="008275E1">
      <w:pPr>
        <w:autoSpaceDE w:val="0"/>
        <w:autoSpaceDN w:val="0"/>
        <w:adjustRightInd w:val="0"/>
        <w:rPr>
          <w:rFonts w:ascii="Book Antiqua" w:hAnsi="Book Antiqua"/>
          <w:noProof/>
          <w:color w:val="000000"/>
          <w:lang w:val="en-GB" w:eastAsia="en-GB"/>
        </w:rPr>
      </w:pPr>
    </w:p>
    <w:p w14:paraId="0AD41821" w14:textId="77777777" w:rsidR="00A45FAE" w:rsidRDefault="00A45FAE" w:rsidP="008275E1">
      <w:pPr>
        <w:autoSpaceDE w:val="0"/>
        <w:autoSpaceDN w:val="0"/>
        <w:adjustRightInd w:val="0"/>
        <w:rPr>
          <w:rFonts w:ascii="Book Antiqua" w:hAnsi="Book Antiqua"/>
          <w:noProof/>
          <w:color w:val="000000"/>
          <w:lang w:val="en-GB" w:eastAsia="en-GB"/>
        </w:rPr>
      </w:pPr>
    </w:p>
    <w:p w14:paraId="05AE6530" w14:textId="77777777" w:rsidR="004D4AB5" w:rsidRPr="00A45FAE" w:rsidRDefault="007005B1" w:rsidP="008275E1">
      <w:pPr>
        <w:autoSpaceDE w:val="0"/>
        <w:autoSpaceDN w:val="0"/>
        <w:adjustRightInd w:val="0"/>
        <w:rPr>
          <w:rFonts w:ascii="Book Antiqua" w:hAnsi="Book Antiqua"/>
          <w:noProof/>
          <w:color w:val="000000"/>
        </w:rPr>
      </w:pPr>
      <w:r>
        <w:rPr>
          <w:rFonts w:ascii="Book Antiqua" w:hAnsi="Book Antiqua"/>
          <w:noProof/>
          <w:color w:val="000000"/>
          <w:lang w:bidi="ar-SA"/>
        </w:rPr>
        <w:drawing>
          <wp:anchor distT="0" distB="0" distL="114300" distR="114300" simplePos="0" relativeHeight="251651072" behindDoc="1" locked="0" layoutInCell="1" allowOverlap="1" wp14:anchorId="70AE2368" wp14:editId="63913860">
            <wp:simplePos x="0" y="0"/>
            <wp:positionH relativeFrom="column">
              <wp:posOffset>19050</wp:posOffset>
            </wp:positionH>
            <wp:positionV relativeFrom="paragraph">
              <wp:posOffset>1905</wp:posOffset>
            </wp:positionV>
            <wp:extent cx="2971800" cy="2276475"/>
            <wp:effectExtent l="19050" t="0" r="0" b="0"/>
            <wp:wrapTight wrapText="bothSides">
              <wp:wrapPolygon edited="0">
                <wp:start x="-138" y="0"/>
                <wp:lineTo x="-138" y="21510"/>
                <wp:lineTo x="21600" y="21510"/>
                <wp:lineTo x="21600" y="0"/>
                <wp:lineTo x="-138" y="0"/>
              </wp:wrapPolygon>
            </wp:wrapTight>
            <wp:docPr id="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srcRect/>
                    <a:stretch>
                      <a:fillRect/>
                    </a:stretch>
                  </pic:blipFill>
                  <pic:spPr bwMode="auto">
                    <a:xfrm>
                      <a:off x="0" y="0"/>
                      <a:ext cx="2971800" cy="2276475"/>
                    </a:xfrm>
                    <a:prstGeom prst="rect">
                      <a:avLst/>
                    </a:prstGeom>
                    <a:noFill/>
                    <a:ln w="9525">
                      <a:noFill/>
                      <a:miter lim="800000"/>
                      <a:headEnd/>
                      <a:tailEnd/>
                    </a:ln>
                  </pic:spPr>
                </pic:pic>
              </a:graphicData>
            </a:graphic>
          </wp:anchor>
        </w:drawing>
      </w:r>
      <w:r w:rsidR="004D4AB5" w:rsidRPr="00E3232D">
        <w:rPr>
          <w:rFonts w:ascii="Book Antiqua" w:hAnsi="Book Antiqua"/>
          <w:b/>
          <w:color w:val="000000"/>
        </w:rPr>
        <w:t>Figur</w:t>
      </w:r>
      <w:r w:rsidR="00A45FAE">
        <w:rPr>
          <w:rFonts w:ascii="Book Antiqua" w:hAnsi="Book Antiqua"/>
          <w:b/>
          <w:color w:val="000000"/>
        </w:rPr>
        <w:t xml:space="preserve">e 3: Quartile plot of Number of </w:t>
      </w:r>
      <w:r w:rsidR="004D4AB5" w:rsidRPr="00E3232D">
        <w:rPr>
          <w:rFonts w:ascii="Book Antiqua" w:hAnsi="Book Antiqua"/>
          <w:b/>
          <w:color w:val="000000"/>
        </w:rPr>
        <w:t>Claims on Funeral Policy from StarLife and MetLife.</w:t>
      </w:r>
    </w:p>
    <w:p w14:paraId="0E6C9994" w14:textId="77777777" w:rsidR="004D4AB5" w:rsidRPr="00E3232D" w:rsidRDefault="004D4AB5" w:rsidP="008275E1">
      <w:pPr>
        <w:autoSpaceDE w:val="0"/>
        <w:autoSpaceDN w:val="0"/>
        <w:adjustRightInd w:val="0"/>
        <w:rPr>
          <w:rFonts w:ascii="Book Antiqua" w:hAnsi="Book Antiqua"/>
          <w:color w:val="000000"/>
        </w:rPr>
      </w:pPr>
    </w:p>
    <w:p w14:paraId="774C815B" w14:textId="77777777" w:rsidR="004D4AB5" w:rsidRPr="00E3232D" w:rsidRDefault="004D4AB5" w:rsidP="008275E1">
      <w:pPr>
        <w:autoSpaceDE w:val="0"/>
        <w:autoSpaceDN w:val="0"/>
        <w:adjustRightInd w:val="0"/>
        <w:rPr>
          <w:rFonts w:ascii="Book Antiqua" w:hAnsi="Book Antiqua"/>
          <w:b/>
          <w:color w:val="000000"/>
        </w:rPr>
      </w:pPr>
      <w:r w:rsidRPr="00E3232D">
        <w:rPr>
          <w:rFonts w:ascii="Book Antiqua" w:hAnsi="Book Antiqua"/>
          <w:b/>
          <w:color w:val="000000"/>
        </w:rPr>
        <w:t>Fitting Probability Distribution to Claims</w:t>
      </w:r>
    </w:p>
    <w:p w14:paraId="4D0B7B04" w14:textId="77777777" w:rsidR="004D4AB5"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The density estimates as displayed in Figure 4 for both portfolios are not significantly different; they both have a similar distribution but the StarLife distribution curve is stepper and slender than that of MetLife Insurance Company. Furthermore, it is visible that the sample distributions though unimodal, has several turning points which is not typical of the conventional probability distribution at a glance. However, ascribing this abnormality to the presence of outliers in the data set may warrant smoothening (fitting) to depict a true probability distribution. Empirical Distributions that can be fitted to the observed data include the Mixed Poisson Distributions starting with the Poisson distribution as discussed in the literature</w:t>
      </w:r>
      <w:r w:rsidR="006B4668">
        <w:rPr>
          <w:rFonts w:ascii="Book Antiqua" w:hAnsi="Book Antiqua"/>
          <w:color w:val="000000"/>
        </w:rPr>
        <w:t>.</w:t>
      </w:r>
    </w:p>
    <w:p w14:paraId="4C7B2524" w14:textId="77777777" w:rsidR="006B4668" w:rsidRPr="00E3232D" w:rsidRDefault="006B4668" w:rsidP="00CC130F">
      <w:pPr>
        <w:autoSpaceDE w:val="0"/>
        <w:autoSpaceDN w:val="0"/>
        <w:adjustRightInd w:val="0"/>
        <w:rPr>
          <w:rFonts w:ascii="Book Antiqua" w:hAnsi="Book Antiqua"/>
          <w:b/>
          <w:color w:val="000000"/>
        </w:rPr>
      </w:pPr>
    </w:p>
    <w:p w14:paraId="2B4CA401" w14:textId="77777777" w:rsidR="00A45FAE" w:rsidRDefault="00A45FAE" w:rsidP="008275E1">
      <w:pPr>
        <w:autoSpaceDE w:val="0"/>
        <w:autoSpaceDN w:val="0"/>
        <w:adjustRightInd w:val="0"/>
        <w:rPr>
          <w:rFonts w:ascii="Book Antiqua" w:hAnsi="Book Antiqua"/>
          <w:b/>
          <w:noProof/>
          <w:color w:val="000000"/>
          <w:lang w:val="en-GB" w:eastAsia="en-GB"/>
        </w:rPr>
        <w:sectPr w:rsidR="00A45FAE" w:rsidSect="008F6BC9">
          <w:type w:val="continuous"/>
          <w:pgSz w:w="11907" w:h="16839" w:code="9"/>
          <w:pgMar w:top="1350" w:right="1440" w:bottom="1440" w:left="1440" w:header="720" w:footer="720" w:gutter="0"/>
          <w:cols w:num="2" w:space="720"/>
          <w:docGrid w:linePitch="360"/>
        </w:sectPr>
      </w:pPr>
    </w:p>
    <w:p w14:paraId="363C909B" w14:textId="77777777" w:rsidR="00A45FAE" w:rsidRDefault="007005B1" w:rsidP="008275E1">
      <w:pPr>
        <w:autoSpaceDE w:val="0"/>
        <w:autoSpaceDN w:val="0"/>
        <w:adjustRightInd w:val="0"/>
        <w:rPr>
          <w:rFonts w:ascii="Book Antiqua" w:hAnsi="Book Antiqua"/>
          <w:b/>
          <w:noProof/>
          <w:color w:val="000000"/>
          <w:lang w:val="en-GB" w:eastAsia="en-GB"/>
        </w:rPr>
        <w:sectPr w:rsidR="00A45FAE" w:rsidSect="00A45FAE">
          <w:type w:val="continuous"/>
          <w:pgSz w:w="11907" w:h="16839" w:code="9"/>
          <w:pgMar w:top="1350" w:right="1440" w:bottom="1440" w:left="1440" w:header="720" w:footer="720" w:gutter="0"/>
          <w:cols w:space="720"/>
          <w:docGrid w:linePitch="360"/>
        </w:sectPr>
      </w:pPr>
      <w:r>
        <w:rPr>
          <w:rFonts w:ascii="Book Antiqua" w:hAnsi="Book Antiqua"/>
          <w:b/>
          <w:noProof/>
          <w:color w:val="000000"/>
          <w:lang w:bidi="ar-SA"/>
        </w:rPr>
        <w:drawing>
          <wp:inline distT="0" distB="0" distL="0" distR="0" wp14:anchorId="552CB4C8" wp14:editId="2F204ACD">
            <wp:extent cx="6143625" cy="3067050"/>
            <wp:effectExtent l="19050" t="0" r="9525" b="0"/>
            <wp:docPr id="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a:srcRect l="903" t="1529" r="1958"/>
                    <a:stretch>
                      <a:fillRect/>
                    </a:stretch>
                  </pic:blipFill>
                  <pic:spPr bwMode="auto">
                    <a:xfrm>
                      <a:off x="0" y="0"/>
                      <a:ext cx="6143625" cy="3067050"/>
                    </a:xfrm>
                    <a:prstGeom prst="rect">
                      <a:avLst/>
                    </a:prstGeom>
                    <a:noFill/>
                    <a:ln w="9525">
                      <a:noFill/>
                      <a:miter lim="800000"/>
                      <a:headEnd/>
                      <a:tailEnd/>
                    </a:ln>
                  </pic:spPr>
                </pic:pic>
              </a:graphicData>
            </a:graphic>
          </wp:inline>
        </w:drawing>
      </w:r>
    </w:p>
    <w:p w14:paraId="4C8466C5" w14:textId="77777777" w:rsidR="004D4AB5" w:rsidRPr="00E3232D" w:rsidRDefault="004D4AB5" w:rsidP="008275E1">
      <w:pPr>
        <w:autoSpaceDE w:val="0"/>
        <w:autoSpaceDN w:val="0"/>
        <w:adjustRightInd w:val="0"/>
        <w:rPr>
          <w:rFonts w:ascii="Book Antiqua" w:hAnsi="Book Antiqua"/>
          <w:b/>
          <w:color w:val="000000"/>
        </w:rPr>
      </w:pPr>
      <w:r w:rsidRPr="00E3232D">
        <w:rPr>
          <w:rFonts w:ascii="Book Antiqua" w:hAnsi="Book Antiqua"/>
          <w:b/>
          <w:color w:val="000000"/>
        </w:rPr>
        <w:t>Figure 4: Density Estimate of Number of Claims on Funeral Policy from StarLife and MetLife.</w:t>
      </w:r>
    </w:p>
    <w:p w14:paraId="0E6772F4" w14:textId="77777777" w:rsidR="006B4668" w:rsidRDefault="006B4668" w:rsidP="006B4668">
      <w:pPr>
        <w:autoSpaceDE w:val="0"/>
        <w:autoSpaceDN w:val="0"/>
        <w:adjustRightInd w:val="0"/>
        <w:rPr>
          <w:rFonts w:ascii="Book Antiqua" w:hAnsi="Book Antiqua"/>
          <w:color w:val="000000"/>
        </w:rPr>
      </w:pPr>
    </w:p>
    <w:p w14:paraId="31B1B6E2"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Figures 5 and 6 were produced as a result of fitting the number of Claims for StarLife and MetLife respectively with the negative binomial and Poisson distribution. A critical look at the charts (Figures 5 and 6) reveals that the Poisson distribution does not fit well to the number of claims from both StarLife and MetLife Insurance Companies. However the Negative Binomial Distribution fit the Number of Claims reasonably well.</w:t>
      </w:r>
    </w:p>
    <w:p w14:paraId="09C1D771" w14:textId="77777777" w:rsidR="004D4AB5" w:rsidRPr="00E3232D" w:rsidRDefault="004D4AB5" w:rsidP="008275E1">
      <w:pPr>
        <w:autoSpaceDE w:val="0"/>
        <w:autoSpaceDN w:val="0"/>
        <w:adjustRightInd w:val="0"/>
        <w:ind w:firstLine="720"/>
        <w:rPr>
          <w:rFonts w:ascii="Book Antiqua" w:hAnsi="Book Antiqua"/>
          <w:color w:val="000000"/>
        </w:rPr>
      </w:pPr>
    </w:p>
    <w:p w14:paraId="6C72CDA2" w14:textId="77777777" w:rsidR="006B4668" w:rsidRDefault="006B4668" w:rsidP="008275E1">
      <w:pPr>
        <w:autoSpaceDE w:val="0"/>
        <w:autoSpaceDN w:val="0"/>
        <w:adjustRightInd w:val="0"/>
        <w:rPr>
          <w:rFonts w:ascii="Book Antiqua" w:hAnsi="Book Antiqua"/>
          <w:color w:val="000000"/>
        </w:rPr>
        <w:sectPr w:rsidR="006B4668" w:rsidSect="008F6BC9">
          <w:type w:val="continuous"/>
          <w:pgSz w:w="11907" w:h="16839" w:code="9"/>
          <w:pgMar w:top="1350" w:right="1440" w:bottom="1440" w:left="1440" w:header="720" w:footer="720" w:gutter="0"/>
          <w:cols w:num="2" w:space="720"/>
          <w:docGrid w:linePitch="360"/>
        </w:sectPr>
      </w:pPr>
    </w:p>
    <w:p w14:paraId="0B47B9EA" w14:textId="77777777" w:rsidR="006B4668" w:rsidRDefault="007005B1" w:rsidP="008275E1">
      <w:pPr>
        <w:autoSpaceDE w:val="0"/>
        <w:autoSpaceDN w:val="0"/>
        <w:adjustRightInd w:val="0"/>
        <w:rPr>
          <w:rFonts w:ascii="Book Antiqua" w:hAnsi="Book Antiqua"/>
          <w:color w:val="000000"/>
        </w:rPr>
        <w:sectPr w:rsidR="006B4668" w:rsidSect="008F6BC9">
          <w:type w:val="continuous"/>
          <w:pgSz w:w="11907" w:h="16839" w:code="9"/>
          <w:pgMar w:top="1350" w:right="1440" w:bottom="1440" w:left="1440" w:header="720" w:footer="720" w:gutter="0"/>
          <w:cols w:space="720"/>
          <w:docGrid w:linePitch="360"/>
        </w:sectPr>
      </w:pPr>
      <w:r>
        <w:rPr>
          <w:rFonts w:ascii="Book Antiqua" w:hAnsi="Book Antiqua"/>
          <w:noProof/>
          <w:color w:val="000000"/>
          <w:lang w:bidi="ar-SA"/>
        </w:rPr>
        <w:drawing>
          <wp:inline distT="0" distB="0" distL="0" distR="0" wp14:anchorId="04E274C4" wp14:editId="7EA631F4">
            <wp:extent cx="6000750" cy="2200275"/>
            <wp:effectExtent l="19050" t="0" r="0" b="0"/>
            <wp:docPr id="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srcRect t="4115" r="1923" b="4115"/>
                    <a:stretch>
                      <a:fillRect/>
                    </a:stretch>
                  </pic:blipFill>
                  <pic:spPr bwMode="auto">
                    <a:xfrm>
                      <a:off x="0" y="0"/>
                      <a:ext cx="6000750" cy="2200275"/>
                    </a:xfrm>
                    <a:prstGeom prst="rect">
                      <a:avLst/>
                    </a:prstGeom>
                    <a:noFill/>
                    <a:ln w="9525">
                      <a:noFill/>
                      <a:miter lim="800000"/>
                      <a:headEnd/>
                      <a:tailEnd/>
                    </a:ln>
                  </pic:spPr>
                </pic:pic>
              </a:graphicData>
            </a:graphic>
          </wp:inline>
        </w:drawing>
      </w:r>
    </w:p>
    <w:p w14:paraId="59B3F570" w14:textId="77777777" w:rsidR="008D5EB3" w:rsidRDefault="008D5EB3" w:rsidP="008275E1">
      <w:pPr>
        <w:autoSpaceDE w:val="0"/>
        <w:autoSpaceDN w:val="0"/>
        <w:adjustRightInd w:val="0"/>
        <w:rPr>
          <w:rFonts w:ascii="Book Antiqua" w:hAnsi="Book Antiqua"/>
          <w:b/>
          <w:color w:val="000000"/>
        </w:rPr>
      </w:pPr>
    </w:p>
    <w:p w14:paraId="67DBA2B3" w14:textId="77777777" w:rsidR="004D4AB5" w:rsidRPr="00E3232D" w:rsidRDefault="004D4AB5" w:rsidP="008275E1">
      <w:pPr>
        <w:autoSpaceDE w:val="0"/>
        <w:autoSpaceDN w:val="0"/>
        <w:adjustRightInd w:val="0"/>
        <w:rPr>
          <w:rFonts w:ascii="Book Antiqua" w:hAnsi="Book Antiqua"/>
          <w:b/>
          <w:color w:val="000000"/>
        </w:rPr>
      </w:pPr>
      <w:r w:rsidRPr="00E3232D">
        <w:rPr>
          <w:rFonts w:ascii="Book Antiqua" w:hAnsi="Book Antiqua"/>
          <w:b/>
          <w:color w:val="000000"/>
        </w:rPr>
        <w:t>Figure 5: Negative Binomial and Poisson Distribution Fit to the Number of Claims on Funeral Policy from StarLife and MetLife.</w:t>
      </w:r>
    </w:p>
    <w:p w14:paraId="6FFDA523" w14:textId="77777777" w:rsidR="004D4AB5" w:rsidRPr="00E3232D" w:rsidRDefault="004D4AB5" w:rsidP="008275E1">
      <w:pPr>
        <w:autoSpaceDE w:val="0"/>
        <w:autoSpaceDN w:val="0"/>
        <w:adjustRightInd w:val="0"/>
        <w:rPr>
          <w:rFonts w:ascii="Book Antiqua" w:hAnsi="Book Antiqua"/>
          <w:color w:val="000000"/>
        </w:rPr>
      </w:pPr>
    </w:p>
    <w:p w14:paraId="70B51012"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 xml:space="preserve">The maximum likelihood estimates of the Poisson mean for StarLife and MetLife were  </w:t>
      </w:r>
      <w:r w:rsidRPr="00E3232D">
        <w:rPr>
          <w:rFonts w:ascii="Book Antiqua" w:hAnsi="Book Antiqua"/>
          <w:color w:val="000000"/>
          <w:position w:val="-12"/>
        </w:rPr>
        <w:object w:dxaOrig="1100" w:dyaOrig="360" w14:anchorId="48D76B08">
          <v:shape id="_x0000_i1039" type="#_x0000_t75" style="width:55pt;height:19pt" o:ole="">
            <v:imagedata r:id="rId145" o:title=""/>
          </v:shape>
          <o:OLEObject Type="Embed" ProgID="Equation.DSMT4" ShapeID="_x0000_i1039" DrawAspect="Content" ObjectID="_1680958697" r:id="rId146"/>
        </w:object>
      </w:r>
      <w:r w:rsidRPr="00E3232D">
        <w:rPr>
          <w:rFonts w:ascii="Book Antiqua" w:hAnsi="Book Antiqua"/>
          <w:color w:val="000000"/>
        </w:rPr>
        <w:t xml:space="preserve"> and </w:t>
      </w:r>
      <w:r w:rsidRPr="00E3232D">
        <w:rPr>
          <w:rFonts w:ascii="Book Antiqua" w:hAnsi="Book Antiqua"/>
          <w:color w:val="000000"/>
          <w:position w:val="-12"/>
        </w:rPr>
        <w:object w:dxaOrig="1140" w:dyaOrig="360" w14:anchorId="0B31E275">
          <v:shape id="_x0000_i1040" type="#_x0000_t75" style="width:57.05pt;height:19pt" o:ole="">
            <v:imagedata r:id="rId147" o:title=""/>
          </v:shape>
          <o:OLEObject Type="Embed" ProgID="Equation.DSMT4" ShapeID="_x0000_i1040" DrawAspect="Content" ObjectID="_1680958698" r:id="rId148"/>
        </w:object>
      </w:r>
      <w:r w:rsidRPr="00E3232D">
        <w:rPr>
          <w:rFonts w:ascii="Book Antiqua" w:hAnsi="Book Antiqua"/>
          <w:color w:val="000000"/>
        </w:rPr>
        <w:t xml:space="preserve">respectively. The 95% confidence interval for </w:t>
      </w:r>
      <w:r w:rsidRPr="00E3232D">
        <w:rPr>
          <w:rFonts w:ascii="Book Antiqua" w:hAnsi="Book Antiqua"/>
          <w:color w:val="000000"/>
          <w:position w:val="-12"/>
        </w:rPr>
        <w:object w:dxaOrig="260" w:dyaOrig="360" w14:anchorId="13C96019">
          <v:shape id="_x0000_i1041" type="#_x0000_t75" style="width:12.25pt;height:19pt" o:ole="">
            <v:imagedata r:id="rId149" o:title=""/>
          </v:shape>
          <o:OLEObject Type="Embed" ProgID="Equation.DSMT4" ShapeID="_x0000_i1041" DrawAspect="Content" ObjectID="_1680958699" r:id="rId150"/>
        </w:object>
      </w:r>
      <w:r w:rsidRPr="00E3232D">
        <w:rPr>
          <w:rFonts w:ascii="Book Antiqua" w:hAnsi="Book Antiqua"/>
          <w:color w:val="000000"/>
        </w:rPr>
        <w:t xml:space="preserve">and </w:t>
      </w:r>
      <w:r w:rsidRPr="00E3232D">
        <w:rPr>
          <w:rFonts w:ascii="Book Antiqua" w:hAnsi="Book Antiqua"/>
          <w:color w:val="000000"/>
          <w:position w:val="-12"/>
        </w:rPr>
        <w:object w:dxaOrig="300" w:dyaOrig="360" w14:anchorId="2F785E66">
          <v:shape id="_x0000_i1042" type="#_x0000_t75" style="width:14.95pt;height:19pt" o:ole="">
            <v:imagedata r:id="rId151" o:title=""/>
          </v:shape>
          <o:OLEObject Type="Embed" ProgID="Equation.DSMT4" ShapeID="_x0000_i1042" DrawAspect="Content" ObjectID="_1680958700" r:id="rId152"/>
        </w:object>
      </w:r>
      <w:r w:rsidRPr="00E3232D">
        <w:rPr>
          <w:rFonts w:ascii="Book Antiqua" w:hAnsi="Book Antiqua"/>
          <w:color w:val="000000"/>
        </w:rPr>
        <w:t xml:space="preserve"> were (12:1672; 13:9968) and (15:6489; 17:7152) and finally, the loglikelihood were 1228:3611 and 1810:5978. However, for the negative binomial distribution, the means were estimated to be </w:t>
      </w:r>
      <w:r w:rsidRPr="00E3232D">
        <w:rPr>
          <w:rFonts w:ascii="Book Antiqua" w:hAnsi="Book Antiqua"/>
          <w:color w:val="000000"/>
          <w:position w:val="-12"/>
        </w:rPr>
        <w:object w:dxaOrig="1340" w:dyaOrig="360" w14:anchorId="37CA3530">
          <v:shape id="_x0000_i1043" type="#_x0000_t75" style="width:69.3pt;height:19pt" o:ole="">
            <v:imagedata r:id="rId153" o:title=""/>
          </v:shape>
          <o:OLEObject Type="Embed" ProgID="Equation.DSMT4" ShapeID="_x0000_i1043" DrawAspect="Content" ObjectID="_1680958701" r:id="rId154"/>
        </w:object>
      </w:r>
      <w:r w:rsidRPr="00E3232D">
        <w:rPr>
          <w:rFonts w:ascii="Book Antiqua" w:hAnsi="Book Antiqua"/>
          <w:color w:val="000000"/>
        </w:rPr>
        <w:t xml:space="preserve">and </w:t>
      </w:r>
      <w:r w:rsidRPr="00E3232D">
        <w:rPr>
          <w:rFonts w:ascii="Book Antiqua" w:hAnsi="Book Antiqua"/>
          <w:color w:val="000000"/>
          <w:position w:val="-12"/>
        </w:rPr>
        <w:object w:dxaOrig="1340" w:dyaOrig="360" w14:anchorId="63674CE0">
          <v:shape id="_x0000_i1044" type="#_x0000_t75" style="width:69.3pt;height:19pt" o:ole="">
            <v:imagedata r:id="rId155" o:title=""/>
          </v:shape>
          <o:OLEObject Type="Embed" ProgID="Equation.DSMT4" ShapeID="_x0000_i1044" DrawAspect="Content" ObjectID="_1680958702" r:id="rId156"/>
        </w:object>
      </w:r>
      <w:r w:rsidRPr="00E3232D">
        <w:rPr>
          <w:rFonts w:ascii="Book Antiqua" w:hAnsi="Book Antiqua"/>
          <w:color w:val="000000"/>
        </w:rPr>
        <w:t>and the dispersion parameters to be a</w:t>
      </w:r>
      <w:r w:rsidRPr="00E3232D">
        <w:rPr>
          <w:rFonts w:ascii="Book Antiqua" w:hAnsi="Book Antiqua"/>
          <w:color w:val="000000"/>
          <w:vertAlign w:val="subscript"/>
        </w:rPr>
        <w:t>s</w:t>
      </w:r>
      <w:r w:rsidRPr="00E3232D">
        <w:rPr>
          <w:rFonts w:ascii="Book Antiqua" w:hAnsi="Book Antiqua"/>
          <w:color w:val="000000"/>
        </w:rPr>
        <w:t xml:space="preserve"> = 2.0166 and a</w:t>
      </w:r>
      <w:r w:rsidRPr="00E3232D">
        <w:rPr>
          <w:rFonts w:ascii="Book Antiqua" w:hAnsi="Book Antiqua"/>
          <w:color w:val="000000"/>
          <w:vertAlign w:val="subscript"/>
        </w:rPr>
        <w:t>m</w:t>
      </w:r>
      <w:r w:rsidRPr="00E3232D">
        <w:rPr>
          <w:rFonts w:ascii="Book Antiqua" w:hAnsi="Book Antiqua"/>
          <w:color w:val="000000"/>
        </w:rPr>
        <w:t xml:space="preserve"> = 1.4323 for the StarLife and MetLife number of Claims.</w:t>
      </w:r>
    </w:p>
    <w:p w14:paraId="6D367327" w14:textId="77777777" w:rsidR="004D4AB5" w:rsidRPr="00E3232D" w:rsidRDefault="004D4AB5" w:rsidP="008275E1">
      <w:pPr>
        <w:autoSpaceDE w:val="0"/>
        <w:autoSpaceDN w:val="0"/>
        <w:adjustRightInd w:val="0"/>
        <w:ind w:firstLine="720"/>
        <w:rPr>
          <w:rFonts w:ascii="Book Antiqua" w:hAnsi="Book Antiqua"/>
          <w:color w:val="000000"/>
        </w:rPr>
      </w:pPr>
    </w:p>
    <w:p w14:paraId="5CEC9FAB" w14:textId="77777777" w:rsidR="004D4AB5" w:rsidRPr="00E3232D" w:rsidRDefault="007005B1" w:rsidP="008275E1">
      <w:pPr>
        <w:autoSpaceDE w:val="0"/>
        <w:autoSpaceDN w:val="0"/>
        <w:adjustRightInd w:val="0"/>
        <w:rPr>
          <w:rFonts w:ascii="Book Antiqua" w:hAnsi="Book Antiqua"/>
          <w:color w:val="000000"/>
        </w:rPr>
      </w:pPr>
      <w:r>
        <w:rPr>
          <w:rFonts w:ascii="Book Antiqua" w:hAnsi="Book Antiqua"/>
          <w:noProof/>
          <w:color w:val="000000"/>
          <w:lang w:bidi="ar-SA"/>
        </w:rPr>
        <w:drawing>
          <wp:inline distT="0" distB="0" distL="0" distR="0" wp14:anchorId="0CFD106F" wp14:editId="636C2ABE">
            <wp:extent cx="3057525" cy="2257425"/>
            <wp:effectExtent l="19050" t="0" r="9525" b="0"/>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a:srcRect/>
                    <a:stretch>
                      <a:fillRect/>
                    </a:stretch>
                  </pic:blipFill>
                  <pic:spPr bwMode="auto">
                    <a:xfrm>
                      <a:off x="0" y="0"/>
                      <a:ext cx="3057525" cy="2257425"/>
                    </a:xfrm>
                    <a:prstGeom prst="rect">
                      <a:avLst/>
                    </a:prstGeom>
                    <a:noFill/>
                    <a:ln w="9525">
                      <a:noFill/>
                      <a:miter lim="800000"/>
                      <a:headEnd/>
                      <a:tailEnd/>
                    </a:ln>
                  </pic:spPr>
                </pic:pic>
              </a:graphicData>
            </a:graphic>
          </wp:inline>
        </w:drawing>
      </w:r>
    </w:p>
    <w:p w14:paraId="7CB650BD" w14:textId="77777777" w:rsidR="004D4AB5" w:rsidRPr="00E3232D" w:rsidRDefault="004D4AB5" w:rsidP="008275E1">
      <w:pPr>
        <w:autoSpaceDE w:val="0"/>
        <w:autoSpaceDN w:val="0"/>
        <w:adjustRightInd w:val="0"/>
        <w:rPr>
          <w:rFonts w:ascii="Book Antiqua" w:hAnsi="Book Antiqua"/>
          <w:b/>
          <w:color w:val="000000"/>
        </w:rPr>
      </w:pPr>
      <w:r w:rsidRPr="00E3232D">
        <w:rPr>
          <w:rFonts w:ascii="Book Antiqua" w:hAnsi="Book Antiqua"/>
          <w:b/>
          <w:color w:val="000000"/>
        </w:rPr>
        <w:t xml:space="preserve">Figure 6: Percentile Plot of the Distribution of Number of Claims, Negative Binomial and Poisson </w:t>
      </w:r>
      <w:r w:rsidRPr="00E3232D">
        <w:rPr>
          <w:rFonts w:ascii="Book Antiqua" w:hAnsi="Book Antiqua"/>
          <w:b/>
        </w:rPr>
        <w:t>d</w:t>
      </w:r>
      <w:r w:rsidRPr="00E3232D">
        <w:rPr>
          <w:rFonts w:ascii="Book Antiqua" w:hAnsi="Book Antiqua"/>
          <w:b/>
          <w:color w:val="000000"/>
        </w:rPr>
        <w:t>istribution.</w:t>
      </w:r>
    </w:p>
    <w:p w14:paraId="794458E5"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b/>
          <w:color w:val="000000"/>
        </w:rPr>
        <w:t xml:space="preserve"> </w:t>
      </w:r>
      <w:r w:rsidRPr="00E3232D">
        <w:rPr>
          <w:rFonts w:ascii="Book Antiqua" w:hAnsi="Book Antiqua"/>
          <w:color w:val="000000"/>
        </w:rPr>
        <w:t xml:space="preserve">The variance of the random effect for both StarLife and MetLife were estimated to be </w:t>
      </w:r>
      <w:r w:rsidRPr="00E3232D">
        <w:rPr>
          <w:rFonts w:ascii="Book Antiqua" w:hAnsi="Book Antiqua"/>
          <w:color w:val="000000"/>
          <w:position w:val="-14"/>
        </w:rPr>
        <w:object w:dxaOrig="1760" w:dyaOrig="400" w14:anchorId="47B0B29C">
          <v:shape id="_x0000_i1045" type="#_x0000_t75" style="width:87.6pt;height:19.7pt" o:ole="">
            <v:imagedata r:id="rId158" o:title=""/>
          </v:shape>
          <o:OLEObject Type="Embed" ProgID="Equation.DSMT4" ShapeID="_x0000_i1045" DrawAspect="Content" ObjectID="_1680958703" r:id="rId159"/>
        </w:object>
      </w:r>
      <w:r w:rsidRPr="00E3232D">
        <w:rPr>
          <w:rFonts w:ascii="Book Antiqua" w:hAnsi="Book Antiqua"/>
          <w:color w:val="000000"/>
        </w:rPr>
        <w:t xml:space="preserve">and </w:t>
      </w:r>
      <w:r w:rsidRPr="00E3232D">
        <w:rPr>
          <w:rFonts w:ascii="Book Antiqua" w:hAnsi="Book Antiqua"/>
          <w:color w:val="000000"/>
          <w:position w:val="-14"/>
        </w:rPr>
        <w:object w:dxaOrig="1800" w:dyaOrig="400" w14:anchorId="60C0E09D">
          <v:shape id="_x0000_i1046" type="#_x0000_t75" style="width:90.35pt;height:19.7pt" o:ole="">
            <v:imagedata r:id="rId160" o:title=""/>
          </v:shape>
          <o:OLEObject Type="Embed" ProgID="Equation.DSMT4" ShapeID="_x0000_i1046" DrawAspect="Content" ObjectID="_1680958704" r:id="rId161"/>
        </w:object>
      </w:r>
      <w:r w:rsidRPr="00E3232D">
        <w:rPr>
          <w:rFonts w:ascii="Book Antiqua" w:hAnsi="Book Antiqua"/>
          <w:color w:val="000000"/>
        </w:rPr>
        <w:t xml:space="preserve">  respectively. The 95% confidence interval for the dispersion parameters were (1.2633; 2.7699), (0.8912; 1.9734) and (0.3610; 0.7916), (0.5067; 1.1221) for their variance </w:t>
      </w:r>
      <w:r w:rsidRPr="00E3232D">
        <w:rPr>
          <w:rFonts w:ascii="Book Antiqua" w:hAnsi="Book Antiqua"/>
          <w:color w:val="000000"/>
          <w:position w:val="-14"/>
        </w:rPr>
        <w:object w:dxaOrig="680" w:dyaOrig="400" w14:anchorId="6275CDFC">
          <v:shape id="_x0000_i1047" type="#_x0000_t75" style="width:33.95pt;height:19.7pt" o:ole="">
            <v:imagedata r:id="rId162" o:title=""/>
          </v:shape>
          <o:OLEObject Type="Embed" ProgID="Equation.DSMT4" ShapeID="_x0000_i1047" DrawAspect="Content" ObjectID="_1680958705" r:id="rId163"/>
        </w:object>
      </w:r>
    </w:p>
    <w:p w14:paraId="4E133B4F" w14:textId="77777777" w:rsidR="004D4AB5" w:rsidRPr="00E3232D" w:rsidRDefault="004D4AB5" w:rsidP="005E00A4">
      <w:pPr>
        <w:autoSpaceDE w:val="0"/>
        <w:autoSpaceDN w:val="0"/>
        <w:adjustRightInd w:val="0"/>
        <w:jc w:val="both"/>
        <w:rPr>
          <w:rFonts w:ascii="Book Antiqua" w:hAnsi="Book Antiqua"/>
          <w:b/>
          <w:color w:val="000000"/>
        </w:rPr>
      </w:pPr>
      <w:r w:rsidRPr="00E3232D">
        <w:rPr>
          <w:rFonts w:ascii="Book Antiqua" w:hAnsi="Book Antiqua"/>
          <w:color w:val="000000"/>
        </w:rPr>
        <w:t>The Log-likelihood of the Negative Binomial Distribution was 1667.5653 and 2175.5353 for StarLife and MetLife respectively which were far better than that of the Poisson distribution for both StarLife and MetLife respectively. Finally, the confidence interval estimates of the monthly expected number of claims estimated by the Negative Binomial Model were approximately (9; 19) and (12; 23) claims for StarLife and MetLife.(see Table 3 for details)</w:t>
      </w:r>
    </w:p>
    <w:p w14:paraId="52D711C0" w14:textId="77777777" w:rsidR="008D5EB3" w:rsidRDefault="008D5EB3" w:rsidP="005E00A4">
      <w:pPr>
        <w:autoSpaceDE w:val="0"/>
        <w:autoSpaceDN w:val="0"/>
        <w:adjustRightInd w:val="0"/>
        <w:jc w:val="both"/>
        <w:rPr>
          <w:rFonts w:ascii="Book Antiqua" w:hAnsi="Book Antiqua"/>
          <w:b/>
          <w:color w:val="000000"/>
        </w:rPr>
      </w:pPr>
    </w:p>
    <w:p w14:paraId="1FD0DA9A" w14:textId="77777777" w:rsidR="005E00A4" w:rsidRDefault="005E00A4" w:rsidP="008275E1">
      <w:pPr>
        <w:autoSpaceDE w:val="0"/>
        <w:autoSpaceDN w:val="0"/>
        <w:adjustRightInd w:val="0"/>
        <w:rPr>
          <w:rFonts w:ascii="Book Antiqua" w:hAnsi="Book Antiqua"/>
          <w:b/>
          <w:color w:val="000000"/>
        </w:rPr>
        <w:sectPr w:rsidR="005E00A4" w:rsidSect="008F6BC9">
          <w:type w:val="continuous"/>
          <w:pgSz w:w="11907" w:h="16839" w:code="9"/>
          <w:pgMar w:top="1350" w:right="1440" w:bottom="1440" w:left="1440" w:header="720" w:footer="720" w:gutter="0"/>
          <w:cols w:num="2" w:space="720"/>
          <w:docGrid w:linePitch="360"/>
        </w:sectPr>
      </w:pPr>
    </w:p>
    <w:p w14:paraId="2A5F1658" w14:textId="77777777" w:rsidR="004D4AB5" w:rsidRPr="00E3232D" w:rsidRDefault="004D4AB5" w:rsidP="008275E1">
      <w:pPr>
        <w:autoSpaceDE w:val="0"/>
        <w:autoSpaceDN w:val="0"/>
        <w:adjustRightInd w:val="0"/>
        <w:rPr>
          <w:rFonts w:ascii="Book Antiqua" w:hAnsi="Book Antiqua"/>
          <w:b/>
          <w:color w:val="000000"/>
        </w:rPr>
      </w:pPr>
      <w:r w:rsidRPr="00E3232D">
        <w:rPr>
          <w:rFonts w:ascii="Book Antiqua" w:hAnsi="Book Antiqua"/>
          <w:b/>
          <w:color w:val="000000"/>
        </w:rPr>
        <w:t>Table 3: Interval Estimates of the Number of Claims from StarLife and MetLife</w:t>
      </w:r>
    </w:p>
    <w:p w14:paraId="1CE903FD" w14:textId="77777777" w:rsidR="005E00A4" w:rsidRDefault="005E00A4" w:rsidP="008275E1">
      <w:pPr>
        <w:rPr>
          <w:rFonts w:ascii="Book Antiqua" w:hAnsi="Book Antiqua"/>
          <w:b/>
          <w:color w:val="000000"/>
        </w:rPr>
        <w:sectPr w:rsidR="005E00A4" w:rsidSect="005E00A4">
          <w:type w:val="continuous"/>
          <w:pgSz w:w="11907" w:h="16839" w:code="9"/>
          <w:pgMar w:top="1350" w:right="1440" w:bottom="1440" w:left="1440" w:header="720" w:footer="720" w:gutter="0"/>
          <w:cols w:space="720"/>
          <w:docGrid w:linePitch="360"/>
        </w:sectPr>
      </w:pPr>
    </w:p>
    <w:tbl>
      <w:tblPr>
        <w:tblW w:w="7397" w:type="dxa"/>
        <w:tblBorders>
          <w:top w:val="single" w:sz="4" w:space="0" w:color="auto"/>
          <w:bottom w:val="single" w:sz="4" w:space="0" w:color="auto"/>
        </w:tblBorders>
        <w:tblLook w:val="04A0" w:firstRow="1" w:lastRow="0" w:firstColumn="1" w:lastColumn="0" w:noHBand="0" w:noVBand="1"/>
      </w:tblPr>
      <w:tblGrid>
        <w:gridCol w:w="1661"/>
        <w:gridCol w:w="1329"/>
        <w:gridCol w:w="1442"/>
        <w:gridCol w:w="1523"/>
        <w:gridCol w:w="1442"/>
      </w:tblGrid>
      <w:tr w:rsidR="005E00A4" w:rsidRPr="00D12E59" w14:paraId="409EFD6B" w14:textId="77777777" w:rsidTr="005E00A4">
        <w:trPr>
          <w:trHeight w:val="510"/>
        </w:trPr>
        <w:tc>
          <w:tcPr>
            <w:tcW w:w="1661" w:type="dxa"/>
            <w:tcBorders>
              <w:top w:val="single" w:sz="4" w:space="0" w:color="auto"/>
              <w:bottom w:val="single" w:sz="4" w:space="0" w:color="auto"/>
            </w:tcBorders>
            <w:shd w:val="clear" w:color="auto" w:fill="auto"/>
            <w:noWrap/>
            <w:vAlign w:val="bottom"/>
            <w:hideMark/>
          </w:tcPr>
          <w:p w14:paraId="324AC878" w14:textId="77777777" w:rsidR="004D4AB5" w:rsidRPr="00D12E59" w:rsidRDefault="004D4AB5" w:rsidP="008275E1">
            <w:pPr>
              <w:rPr>
                <w:rFonts w:ascii="Book Antiqua" w:hAnsi="Book Antiqua"/>
                <w:b/>
                <w:color w:val="000000"/>
              </w:rPr>
            </w:pPr>
            <w:r w:rsidRPr="00D12E59">
              <w:rPr>
                <w:rFonts w:ascii="Book Antiqua" w:hAnsi="Book Antiqua"/>
                <w:b/>
                <w:color w:val="000000"/>
              </w:rPr>
              <w:t> Company</w:t>
            </w:r>
          </w:p>
        </w:tc>
        <w:tc>
          <w:tcPr>
            <w:tcW w:w="1329" w:type="dxa"/>
            <w:tcBorders>
              <w:top w:val="single" w:sz="4" w:space="0" w:color="auto"/>
              <w:bottom w:val="single" w:sz="4" w:space="0" w:color="auto"/>
            </w:tcBorders>
            <w:shd w:val="clear" w:color="auto" w:fill="auto"/>
            <w:noWrap/>
            <w:vAlign w:val="bottom"/>
            <w:hideMark/>
          </w:tcPr>
          <w:p w14:paraId="79F968F9"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position w:val="-6"/>
              </w:rPr>
              <w:t>Poisson</w:t>
            </w:r>
          </w:p>
        </w:tc>
        <w:tc>
          <w:tcPr>
            <w:tcW w:w="1442" w:type="dxa"/>
            <w:tcBorders>
              <w:top w:val="single" w:sz="4" w:space="0" w:color="auto"/>
              <w:bottom w:val="single" w:sz="4" w:space="0" w:color="auto"/>
            </w:tcBorders>
            <w:shd w:val="clear" w:color="auto" w:fill="auto"/>
            <w:noWrap/>
            <w:vAlign w:val="bottom"/>
            <w:hideMark/>
          </w:tcPr>
          <w:p w14:paraId="703D204D"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position w:val="-6"/>
              </w:rPr>
              <w:t>Estimate</w:t>
            </w:r>
          </w:p>
        </w:tc>
        <w:tc>
          <w:tcPr>
            <w:tcW w:w="1523" w:type="dxa"/>
            <w:tcBorders>
              <w:top w:val="single" w:sz="4" w:space="0" w:color="auto"/>
              <w:bottom w:val="single" w:sz="4" w:space="0" w:color="auto"/>
            </w:tcBorders>
            <w:shd w:val="clear" w:color="auto" w:fill="auto"/>
            <w:noWrap/>
            <w:vAlign w:val="bottom"/>
            <w:hideMark/>
          </w:tcPr>
          <w:p w14:paraId="740D0FF2"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rPr>
              <w:t>Negative Binomial</w:t>
            </w:r>
          </w:p>
        </w:tc>
        <w:tc>
          <w:tcPr>
            <w:tcW w:w="1442" w:type="dxa"/>
            <w:tcBorders>
              <w:top w:val="single" w:sz="4" w:space="0" w:color="auto"/>
              <w:bottom w:val="single" w:sz="4" w:space="0" w:color="auto"/>
            </w:tcBorders>
            <w:shd w:val="clear" w:color="auto" w:fill="auto"/>
            <w:noWrap/>
            <w:vAlign w:val="bottom"/>
            <w:hideMark/>
          </w:tcPr>
          <w:p w14:paraId="3429BF5C" w14:textId="77777777" w:rsidR="004D4AB5" w:rsidRPr="00D12E59" w:rsidRDefault="004D4AB5" w:rsidP="008275E1">
            <w:pPr>
              <w:jc w:val="center"/>
              <w:rPr>
                <w:rFonts w:ascii="Book Antiqua" w:hAnsi="Book Antiqua"/>
                <w:b/>
                <w:color w:val="000000"/>
              </w:rPr>
            </w:pPr>
            <w:r w:rsidRPr="00D12E59">
              <w:rPr>
                <w:rFonts w:ascii="Book Antiqua" w:hAnsi="Book Antiqua"/>
                <w:b/>
                <w:color w:val="000000"/>
              </w:rPr>
              <w:t>Estimate</w:t>
            </w:r>
          </w:p>
        </w:tc>
      </w:tr>
      <w:tr w:rsidR="005E00A4" w:rsidRPr="00D12E59" w14:paraId="19AF8291" w14:textId="77777777" w:rsidTr="005E00A4">
        <w:trPr>
          <w:trHeight w:val="275"/>
        </w:trPr>
        <w:tc>
          <w:tcPr>
            <w:tcW w:w="1661" w:type="dxa"/>
            <w:tcBorders>
              <w:top w:val="single" w:sz="4" w:space="0" w:color="auto"/>
            </w:tcBorders>
            <w:shd w:val="clear" w:color="auto" w:fill="auto"/>
            <w:noWrap/>
            <w:vAlign w:val="bottom"/>
            <w:hideMark/>
          </w:tcPr>
          <w:p w14:paraId="2E6CD946" w14:textId="77777777" w:rsidR="004D4AB5" w:rsidRPr="00D12E59" w:rsidRDefault="004D4AB5" w:rsidP="008275E1">
            <w:pPr>
              <w:rPr>
                <w:rFonts w:ascii="Book Antiqua" w:hAnsi="Book Antiqua"/>
                <w:color w:val="000000"/>
              </w:rPr>
            </w:pPr>
            <w:r w:rsidRPr="00D12E59">
              <w:rPr>
                <w:rFonts w:ascii="Book Antiqua" w:hAnsi="Book Antiqua"/>
                <w:color w:val="000000"/>
              </w:rPr>
              <w:t> StarLife</w:t>
            </w:r>
          </w:p>
        </w:tc>
        <w:tc>
          <w:tcPr>
            <w:tcW w:w="1329" w:type="dxa"/>
            <w:tcBorders>
              <w:top w:val="single" w:sz="4" w:space="0" w:color="auto"/>
            </w:tcBorders>
            <w:shd w:val="clear" w:color="auto" w:fill="auto"/>
            <w:noWrap/>
            <w:vAlign w:val="bottom"/>
            <w:hideMark/>
          </w:tcPr>
          <w:p w14:paraId="20D81F62" w14:textId="77777777" w:rsidR="004D4AB5" w:rsidRPr="00D12E59" w:rsidRDefault="004D4AB5" w:rsidP="008275E1">
            <w:pPr>
              <w:rPr>
                <w:rFonts w:ascii="Book Antiqua" w:hAnsi="Book Antiqua"/>
                <w:color w:val="000000"/>
              </w:rPr>
            </w:pPr>
            <w:r w:rsidRPr="00D12E59">
              <w:rPr>
                <w:rFonts w:ascii="Book Antiqua" w:hAnsi="Book Antiqua"/>
                <w:color w:val="000000"/>
              </w:rPr>
              <w:t> 12.1672</w:t>
            </w:r>
          </w:p>
        </w:tc>
        <w:tc>
          <w:tcPr>
            <w:tcW w:w="1442" w:type="dxa"/>
            <w:tcBorders>
              <w:top w:val="single" w:sz="4" w:space="0" w:color="auto"/>
            </w:tcBorders>
            <w:shd w:val="clear" w:color="auto" w:fill="auto"/>
            <w:noWrap/>
            <w:vAlign w:val="bottom"/>
            <w:hideMark/>
          </w:tcPr>
          <w:p w14:paraId="1E38BAFC" w14:textId="77777777" w:rsidR="004D4AB5" w:rsidRPr="00D12E59" w:rsidRDefault="004D4AB5" w:rsidP="008275E1">
            <w:pPr>
              <w:rPr>
                <w:rFonts w:ascii="Book Antiqua" w:hAnsi="Book Antiqua"/>
                <w:color w:val="000000"/>
              </w:rPr>
            </w:pPr>
            <w:r w:rsidRPr="00D12E59">
              <w:rPr>
                <w:rFonts w:ascii="Book Antiqua" w:hAnsi="Book Antiqua"/>
                <w:color w:val="000000"/>
              </w:rPr>
              <w:t> 13.9968</w:t>
            </w:r>
          </w:p>
        </w:tc>
        <w:tc>
          <w:tcPr>
            <w:tcW w:w="1523" w:type="dxa"/>
            <w:tcBorders>
              <w:top w:val="single" w:sz="4" w:space="0" w:color="auto"/>
            </w:tcBorders>
            <w:shd w:val="clear" w:color="auto" w:fill="auto"/>
            <w:noWrap/>
            <w:vAlign w:val="bottom"/>
            <w:hideMark/>
          </w:tcPr>
          <w:p w14:paraId="016A1ADC" w14:textId="77777777" w:rsidR="004D4AB5" w:rsidRPr="00D12E59" w:rsidRDefault="004D4AB5" w:rsidP="008275E1">
            <w:pPr>
              <w:rPr>
                <w:rFonts w:ascii="Book Antiqua" w:hAnsi="Book Antiqua"/>
                <w:color w:val="000000"/>
              </w:rPr>
            </w:pPr>
            <w:r w:rsidRPr="00D12E59">
              <w:rPr>
                <w:rFonts w:ascii="Book Antiqua" w:hAnsi="Book Antiqua"/>
                <w:color w:val="000000"/>
              </w:rPr>
              <w:t>9.0494 </w:t>
            </w:r>
          </w:p>
        </w:tc>
        <w:tc>
          <w:tcPr>
            <w:tcW w:w="1442" w:type="dxa"/>
            <w:tcBorders>
              <w:top w:val="single" w:sz="4" w:space="0" w:color="auto"/>
            </w:tcBorders>
            <w:shd w:val="clear" w:color="auto" w:fill="auto"/>
            <w:noWrap/>
            <w:vAlign w:val="bottom"/>
            <w:hideMark/>
          </w:tcPr>
          <w:p w14:paraId="5E951E12" w14:textId="77777777" w:rsidR="004D4AB5" w:rsidRPr="00D12E59" w:rsidRDefault="004D4AB5" w:rsidP="008275E1">
            <w:pPr>
              <w:rPr>
                <w:rFonts w:ascii="Book Antiqua" w:hAnsi="Book Antiqua"/>
                <w:color w:val="000000"/>
              </w:rPr>
            </w:pPr>
            <w:r w:rsidRPr="00D12E59">
              <w:rPr>
                <w:rFonts w:ascii="Book Antiqua" w:hAnsi="Book Antiqua"/>
                <w:color w:val="000000"/>
              </w:rPr>
              <w:t>18.8196 </w:t>
            </w:r>
          </w:p>
        </w:tc>
      </w:tr>
      <w:tr w:rsidR="005E00A4" w:rsidRPr="00D12E59" w14:paraId="1881C22D" w14:textId="77777777" w:rsidTr="005E00A4">
        <w:trPr>
          <w:trHeight w:val="275"/>
        </w:trPr>
        <w:tc>
          <w:tcPr>
            <w:tcW w:w="1661" w:type="dxa"/>
            <w:shd w:val="clear" w:color="auto" w:fill="auto"/>
            <w:noWrap/>
            <w:vAlign w:val="bottom"/>
            <w:hideMark/>
          </w:tcPr>
          <w:p w14:paraId="7D30B470" w14:textId="77777777" w:rsidR="004D4AB5" w:rsidRPr="00D12E59" w:rsidRDefault="004D4AB5" w:rsidP="008275E1">
            <w:pPr>
              <w:rPr>
                <w:rFonts w:ascii="Book Antiqua" w:hAnsi="Book Antiqua"/>
                <w:color w:val="000000"/>
              </w:rPr>
            </w:pPr>
            <w:r w:rsidRPr="00D12E59">
              <w:rPr>
                <w:rFonts w:ascii="Book Antiqua" w:hAnsi="Book Antiqua"/>
                <w:color w:val="000000"/>
              </w:rPr>
              <w:t> MetLife</w:t>
            </w:r>
          </w:p>
        </w:tc>
        <w:tc>
          <w:tcPr>
            <w:tcW w:w="1329" w:type="dxa"/>
            <w:shd w:val="clear" w:color="auto" w:fill="auto"/>
            <w:noWrap/>
            <w:vAlign w:val="bottom"/>
            <w:hideMark/>
          </w:tcPr>
          <w:p w14:paraId="50871CA1" w14:textId="77777777" w:rsidR="004D4AB5" w:rsidRPr="00D12E59" w:rsidRDefault="004D4AB5" w:rsidP="008275E1">
            <w:pPr>
              <w:rPr>
                <w:rFonts w:ascii="Book Antiqua" w:hAnsi="Book Antiqua"/>
                <w:color w:val="000000"/>
              </w:rPr>
            </w:pPr>
            <w:r w:rsidRPr="00D12E59">
              <w:rPr>
                <w:rFonts w:ascii="Book Antiqua" w:hAnsi="Book Antiqua"/>
                <w:color w:val="000000"/>
              </w:rPr>
              <w:t> 16.6500</w:t>
            </w:r>
          </w:p>
        </w:tc>
        <w:tc>
          <w:tcPr>
            <w:tcW w:w="1442" w:type="dxa"/>
            <w:shd w:val="clear" w:color="auto" w:fill="auto"/>
            <w:noWrap/>
            <w:vAlign w:val="bottom"/>
            <w:hideMark/>
          </w:tcPr>
          <w:p w14:paraId="6A6234B6" w14:textId="77777777" w:rsidR="004D4AB5" w:rsidRPr="00D12E59" w:rsidRDefault="004D4AB5" w:rsidP="008275E1">
            <w:pPr>
              <w:rPr>
                <w:rFonts w:ascii="Book Antiqua" w:hAnsi="Book Antiqua"/>
                <w:color w:val="000000"/>
              </w:rPr>
            </w:pPr>
            <w:r w:rsidRPr="00D12E59">
              <w:rPr>
                <w:rFonts w:ascii="Book Antiqua" w:hAnsi="Book Antiqua"/>
                <w:color w:val="000000"/>
              </w:rPr>
              <w:t>16.7274 </w:t>
            </w:r>
          </w:p>
        </w:tc>
        <w:tc>
          <w:tcPr>
            <w:tcW w:w="1523" w:type="dxa"/>
            <w:shd w:val="clear" w:color="auto" w:fill="auto"/>
            <w:noWrap/>
            <w:vAlign w:val="bottom"/>
            <w:hideMark/>
          </w:tcPr>
          <w:p w14:paraId="548D1D5B" w14:textId="77777777" w:rsidR="004D4AB5" w:rsidRPr="00D12E59" w:rsidRDefault="004D4AB5" w:rsidP="008275E1">
            <w:pPr>
              <w:rPr>
                <w:rFonts w:ascii="Book Antiqua" w:hAnsi="Book Antiqua"/>
                <w:color w:val="000000"/>
              </w:rPr>
            </w:pPr>
            <w:r w:rsidRPr="00D12E59">
              <w:rPr>
                <w:rFonts w:ascii="Book Antiqua" w:hAnsi="Book Antiqua"/>
                <w:color w:val="000000"/>
              </w:rPr>
              <w:t>0.0774 </w:t>
            </w:r>
          </w:p>
        </w:tc>
        <w:tc>
          <w:tcPr>
            <w:tcW w:w="1442" w:type="dxa"/>
            <w:shd w:val="clear" w:color="auto" w:fill="auto"/>
            <w:noWrap/>
            <w:vAlign w:val="bottom"/>
            <w:hideMark/>
          </w:tcPr>
          <w:p w14:paraId="44AC13D6" w14:textId="77777777" w:rsidR="004D4AB5" w:rsidRPr="00D12E59" w:rsidRDefault="004D4AB5" w:rsidP="008275E1">
            <w:pPr>
              <w:rPr>
                <w:rFonts w:ascii="Book Antiqua" w:hAnsi="Book Antiqua"/>
                <w:color w:val="000000"/>
              </w:rPr>
            </w:pPr>
            <w:r w:rsidRPr="00D12E59">
              <w:rPr>
                <w:rFonts w:ascii="Book Antiqua" w:hAnsi="Book Antiqua"/>
                <w:color w:val="000000"/>
              </w:rPr>
              <w:t>16.5726 </w:t>
            </w:r>
          </w:p>
        </w:tc>
      </w:tr>
    </w:tbl>
    <w:p w14:paraId="4502EC20" w14:textId="77777777" w:rsidR="005E00A4" w:rsidRDefault="005E00A4" w:rsidP="005E00A4">
      <w:pPr>
        <w:autoSpaceDE w:val="0"/>
        <w:autoSpaceDN w:val="0"/>
        <w:adjustRightInd w:val="0"/>
        <w:jc w:val="both"/>
        <w:rPr>
          <w:rFonts w:ascii="Book Antiqua" w:hAnsi="Book Antiqua"/>
          <w:color w:val="000000"/>
        </w:rPr>
        <w:sectPr w:rsidR="005E00A4" w:rsidSect="005E00A4">
          <w:type w:val="continuous"/>
          <w:pgSz w:w="11907" w:h="16839" w:code="9"/>
          <w:pgMar w:top="1350" w:right="1440" w:bottom="1440" w:left="1440" w:header="720" w:footer="720" w:gutter="0"/>
          <w:cols w:space="720"/>
          <w:docGrid w:linePitch="360"/>
        </w:sectPr>
      </w:pPr>
    </w:p>
    <w:p w14:paraId="1C294ECF" w14:textId="77777777" w:rsidR="005E00A4" w:rsidRDefault="005E00A4" w:rsidP="005E00A4">
      <w:pPr>
        <w:autoSpaceDE w:val="0"/>
        <w:autoSpaceDN w:val="0"/>
        <w:adjustRightInd w:val="0"/>
        <w:jc w:val="both"/>
        <w:rPr>
          <w:rFonts w:ascii="Book Antiqua" w:hAnsi="Book Antiqua"/>
          <w:color w:val="000000"/>
        </w:rPr>
      </w:pPr>
    </w:p>
    <w:p w14:paraId="77C1241A" w14:textId="77777777" w:rsidR="00806674" w:rsidRDefault="00806674" w:rsidP="005E00A4">
      <w:pPr>
        <w:autoSpaceDE w:val="0"/>
        <w:autoSpaceDN w:val="0"/>
        <w:adjustRightInd w:val="0"/>
        <w:jc w:val="both"/>
        <w:rPr>
          <w:rFonts w:ascii="Book Antiqua" w:hAnsi="Book Antiqua"/>
          <w:color w:val="000000"/>
        </w:rPr>
        <w:sectPr w:rsidR="00806674" w:rsidSect="00CB00D2">
          <w:type w:val="continuous"/>
          <w:pgSz w:w="11907" w:h="16839" w:code="9"/>
          <w:pgMar w:top="1350" w:right="1440" w:bottom="1440" w:left="1440" w:header="720" w:footer="720" w:gutter="0"/>
          <w:cols w:space="720"/>
          <w:docGrid w:linePitch="360"/>
        </w:sectPr>
      </w:pPr>
    </w:p>
    <w:p w14:paraId="4792EF88" w14:textId="77777777" w:rsidR="005E00A4"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 xml:space="preserve">Table 4 provides summary statistics of the Goodness of fit of the negative binomial distribution for both StarLife and MetLife Insurance Companies. The Scaled deviance of 69.3796 and 71.2286 for StarLife and MetLife compared to the asymptotic chi-square with 59 degrees of freedom yielded a p-value of about 0.15, which implies we cannot reject the null hypothesis that the specified negative binomial model is the correct model. Again, the dispersion parameter estimates were 2.0166 and 1.4323 for StarLife and MetLife respectively. The deductions are that the number of claims from StarLife and MetLife is not purely independent as required by the classical Poisson process. </w:t>
      </w:r>
    </w:p>
    <w:p w14:paraId="6AFC186F" w14:textId="77777777" w:rsidR="004D4AB5" w:rsidRPr="00E3232D" w:rsidRDefault="004D4AB5" w:rsidP="005E00A4">
      <w:pPr>
        <w:autoSpaceDE w:val="0"/>
        <w:autoSpaceDN w:val="0"/>
        <w:adjustRightInd w:val="0"/>
        <w:jc w:val="both"/>
        <w:rPr>
          <w:rFonts w:ascii="Book Antiqua" w:hAnsi="Book Antiqua"/>
          <w:color w:val="000000"/>
        </w:rPr>
      </w:pPr>
      <w:r w:rsidRPr="00E3232D">
        <w:rPr>
          <w:rFonts w:ascii="Book Antiqua" w:hAnsi="Book Antiqua"/>
          <w:color w:val="000000"/>
        </w:rPr>
        <w:t>The Number of Claims is duration and occurrence dependent because the composition of the number of portfolios are constantly varying (either increasing or decreasing) as a result of continuous sales of the policy.</w:t>
      </w:r>
    </w:p>
    <w:p w14:paraId="644246F8" w14:textId="77777777" w:rsidR="005E00A4" w:rsidRDefault="005E00A4" w:rsidP="008275E1">
      <w:pPr>
        <w:autoSpaceDE w:val="0"/>
        <w:autoSpaceDN w:val="0"/>
        <w:adjustRightInd w:val="0"/>
        <w:rPr>
          <w:rFonts w:ascii="Book Antiqua" w:hAnsi="Book Antiqua"/>
          <w:b/>
          <w:color w:val="000000"/>
        </w:rPr>
      </w:pPr>
    </w:p>
    <w:p w14:paraId="5DA9809E" w14:textId="77777777" w:rsidR="00806674" w:rsidRDefault="00806674" w:rsidP="008275E1">
      <w:pPr>
        <w:autoSpaceDE w:val="0"/>
        <w:autoSpaceDN w:val="0"/>
        <w:adjustRightInd w:val="0"/>
        <w:rPr>
          <w:rFonts w:ascii="Book Antiqua" w:hAnsi="Book Antiqua"/>
          <w:b/>
          <w:color w:val="000000"/>
        </w:rPr>
      </w:pPr>
    </w:p>
    <w:p w14:paraId="4AB81626" w14:textId="77777777" w:rsidR="00806674" w:rsidRDefault="00806674" w:rsidP="008275E1">
      <w:pPr>
        <w:autoSpaceDE w:val="0"/>
        <w:autoSpaceDN w:val="0"/>
        <w:adjustRightInd w:val="0"/>
        <w:rPr>
          <w:rFonts w:ascii="Book Antiqua" w:hAnsi="Book Antiqua"/>
          <w:b/>
          <w:color w:val="000000"/>
        </w:rPr>
      </w:pPr>
    </w:p>
    <w:p w14:paraId="13368719" w14:textId="77777777" w:rsidR="00CB00D2" w:rsidRDefault="00CB00D2" w:rsidP="008275E1">
      <w:pPr>
        <w:autoSpaceDE w:val="0"/>
        <w:autoSpaceDN w:val="0"/>
        <w:adjustRightInd w:val="0"/>
        <w:rPr>
          <w:rFonts w:ascii="Book Antiqua" w:hAnsi="Book Antiqua"/>
          <w:b/>
          <w:color w:val="000000"/>
        </w:rPr>
      </w:pPr>
    </w:p>
    <w:p w14:paraId="2DE99503" w14:textId="77777777" w:rsidR="00806674" w:rsidRDefault="00806674" w:rsidP="008275E1">
      <w:pPr>
        <w:autoSpaceDE w:val="0"/>
        <w:autoSpaceDN w:val="0"/>
        <w:adjustRightInd w:val="0"/>
        <w:rPr>
          <w:rFonts w:ascii="Book Antiqua" w:hAnsi="Book Antiqua"/>
          <w:b/>
          <w:color w:val="000000"/>
        </w:rPr>
      </w:pPr>
    </w:p>
    <w:p w14:paraId="75066024" w14:textId="77777777" w:rsidR="00806674" w:rsidRDefault="00806674" w:rsidP="008275E1">
      <w:pPr>
        <w:autoSpaceDE w:val="0"/>
        <w:autoSpaceDN w:val="0"/>
        <w:adjustRightInd w:val="0"/>
        <w:rPr>
          <w:rFonts w:ascii="Book Antiqua" w:hAnsi="Book Antiqua"/>
          <w:b/>
          <w:color w:val="000000"/>
        </w:rPr>
      </w:pPr>
    </w:p>
    <w:p w14:paraId="10A32CEF" w14:textId="77777777" w:rsidR="00806674" w:rsidRDefault="00806674" w:rsidP="008275E1">
      <w:pPr>
        <w:autoSpaceDE w:val="0"/>
        <w:autoSpaceDN w:val="0"/>
        <w:adjustRightInd w:val="0"/>
        <w:rPr>
          <w:rFonts w:ascii="Book Antiqua" w:hAnsi="Book Antiqua"/>
          <w:b/>
          <w:color w:val="000000"/>
        </w:rPr>
      </w:pPr>
    </w:p>
    <w:p w14:paraId="5EFF7702" w14:textId="77777777" w:rsidR="00806674" w:rsidRDefault="00806674" w:rsidP="008275E1">
      <w:pPr>
        <w:autoSpaceDE w:val="0"/>
        <w:autoSpaceDN w:val="0"/>
        <w:adjustRightInd w:val="0"/>
        <w:rPr>
          <w:rFonts w:ascii="Book Antiqua" w:hAnsi="Book Antiqua"/>
          <w:b/>
          <w:color w:val="000000"/>
        </w:rPr>
      </w:pPr>
    </w:p>
    <w:p w14:paraId="09856BAF" w14:textId="77777777" w:rsidR="00806674" w:rsidRDefault="00806674" w:rsidP="008275E1">
      <w:pPr>
        <w:autoSpaceDE w:val="0"/>
        <w:autoSpaceDN w:val="0"/>
        <w:adjustRightInd w:val="0"/>
        <w:rPr>
          <w:rFonts w:ascii="Book Antiqua" w:hAnsi="Book Antiqua"/>
          <w:b/>
          <w:color w:val="000000"/>
        </w:rPr>
        <w:sectPr w:rsidR="00806674" w:rsidSect="00806674">
          <w:type w:val="continuous"/>
          <w:pgSz w:w="11907" w:h="16839" w:code="9"/>
          <w:pgMar w:top="1350" w:right="1440" w:bottom="1440" w:left="1440" w:header="720" w:footer="720" w:gutter="0"/>
          <w:cols w:num="2" w:space="720"/>
          <w:docGrid w:linePitch="360"/>
        </w:sectPr>
      </w:pPr>
    </w:p>
    <w:p w14:paraId="5E80D7E3" w14:textId="77777777" w:rsidR="004D4AB5" w:rsidRPr="00E3232D" w:rsidRDefault="00CB00D2" w:rsidP="008275E1">
      <w:pPr>
        <w:autoSpaceDE w:val="0"/>
        <w:autoSpaceDN w:val="0"/>
        <w:adjustRightInd w:val="0"/>
        <w:rPr>
          <w:rFonts w:ascii="Book Antiqua" w:hAnsi="Book Antiqua"/>
          <w:b/>
          <w:color w:val="000000"/>
        </w:rPr>
      </w:pPr>
      <w:r>
        <w:rPr>
          <w:rFonts w:ascii="Book Antiqua" w:hAnsi="Book Antiqua"/>
          <w:b/>
          <w:color w:val="000000"/>
        </w:rPr>
        <w:t xml:space="preserve">Table 4: Critearia for </w:t>
      </w:r>
      <w:r w:rsidR="004D4AB5" w:rsidRPr="00E3232D">
        <w:rPr>
          <w:rFonts w:ascii="Book Antiqua" w:hAnsi="Book Antiqua"/>
          <w:b/>
          <w:color w:val="000000"/>
        </w:rPr>
        <w:t>assessing Goodness of Fit of the Negative Binomial Models</w:t>
      </w:r>
    </w:p>
    <w:p w14:paraId="0FE70BF7" w14:textId="77777777" w:rsidR="00CB00D2" w:rsidRDefault="00CB00D2" w:rsidP="00465AE3">
      <w:pPr>
        <w:rPr>
          <w:rFonts w:ascii="Book Antiqua" w:hAnsi="Book Antiqua"/>
          <w:b/>
          <w:color w:val="000000"/>
        </w:rPr>
        <w:sectPr w:rsidR="00CB00D2" w:rsidSect="00CB00D2">
          <w:type w:val="continuous"/>
          <w:pgSz w:w="11907" w:h="16839" w:code="9"/>
          <w:pgMar w:top="1350" w:right="1440" w:bottom="1440" w:left="1440" w:header="720" w:footer="720" w:gutter="0"/>
          <w:cols w:space="720"/>
          <w:docGrid w:linePitch="360"/>
        </w:sectPr>
      </w:pPr>
    </w:p>
    <w:tbl>
      <w:tblPr>
        <w:tblW w:w="7930" w:type="dxa"/>
        <w:tblInd w:w="288" w:type="dxa"/>
        <w:tblLook w:val="04A0" w:firstRow="1" w:lastRow="0" w:firstColumn="1" w:lastColumn="0" w:noHBand="0" w:noVBand="1"/>
      </w:tblPr>
      <w:tblGrid>
        <w:gridCol w:w="1264"/>
        <w:gridCol w:w="2682"/>
        <w:gridCol w:w="1380"/>
        <w:gridCol w:w="1397"/>
        <w:gridCol w:w="1207"/>
      </w:tblGrid>
      <w:tr w:rsidR="00CB00D2" w:rsidRPr="00D12E59" w14:paraId="48A5A753" w14:textId="77777777" w:rsidTr="00CB00D2">
        <w:trPr>
          <w:trHeight w:val="282"/>
        </w:trPr>
        <w:tc>
          <w:tcPr>
            <w:tcW w:w="1264" w:type="dxa"/>
            <w:tcBorders>
              <w:top w:val="single" w:sz="4" w:space="0" w:color="auto"/>
              <w:bottom w:val="single" w:sz="4" w:space="0" w:color="auto"/>
            </w:tcBorders>
          </w:tcPr>
          <w:p w14:paraId="2DC2B6CF" w14:textId="77777777" w:rsidR="005E00A4" w:rsidRPr="00D12E59" w:rsidRDefault="005E00A4" w:rsidP="00465AE3">
            <w:pPr>
              <w:rPr>
                <w:rFonts w:ascii="Book Antiqua" w:hAnsi="Book Antiqua"/>
                <w:b/>
                <w:color w:val="000000"/>
              </w:rPr>
            </w:pPr>
            <w:r w:rsidRPr="00D12E59">
              <w:rPr>
                <w:rFonts w:ascii="Book Antiqua" w:hAnsi="Book Antiqua"/>
                <w:b/>
                <w:color w:val="000000"/>
              </w:rPr>
              <w:t>StarLife</w:t>
            </w:r>
          </w:p>
        </w:tc>
        <w:tc>
          <w:tcPr>
            <w:tcW w:w="2682" w:type="dxa"/>
            <w:tcBorders>
              <w:top w:val="single" w:sz="4" w:space="0" w:color="auto"/>
              <w:bottom w:val="single" w:sz="4" w:space="0" w:color="auto"/>
            </w:tcBorders>
            <w:shd w:val="clear" w:color="auto" w:fill="auto"/>
            <w:noWrap/>
            <w:vAlign w:val="bottom"/>
            <w:hideMark/>
          </w:tcPr>
          <w:p w14:paraId="21EBDFE5" w14:textId="77777777" w:rsidR="005E00A4" w:rsidRPr="00D12E59" w:rsidRDefault="005E00A4" w:rsidP="00465AE3">
            <w:pPr>
              <w:rPr>
                <w:rFonts w:ascii="Book Antiqua" w:hAnsi="Book Antiqua"/>
                <w:b/>
                <w:color w:val="000000"/>
              </w:rPr>
            </w:pPr>
            <w:r w:rsidRPr="00D12E59">
              <w:rPr>
                <w:rFonts w:ascii="Book Antiqua" w:hAnsi="Book Antiqua"/>
                <w:b/>
                <w:color w:val="000000"/>
              </w:rPr>
              <w:t>Criteria</w:t>
            </w:r>
          </w:p>
        </w:tc>
        <w:tc>
          <w:tcPr>
            <w:tcW w:w="1380" w:type="dxa"/>
            <w:tcBorders>
              <w:top w:val="single" w:sz="4" w:space="0" w:color="auto"/>
              <w:bottom w:val="single" w:sz="4" w:space="0" w:color="auto"/>
            </w:tcBorders>
            <w:shd w:val="clear" w:color="auto" w:fill="auto"/>
            <w:noWrap/>
            <w:vAlign w:val="bottom"/>
            <w:hideMark/>
          </w:tcPr>
          <w:p w14:paraId="70F90C9C" w14:textId="77777777" w:rsidR="005E00A4" w:rsidRPr="00D12E59" w:rsidRDefault="005E00A4" w:rsidP="00465AE3">
            <w:pPr>
              <w:jc w:val="center"/>
              <w:rPr>
                <w:rFonts w:ascii="Book Antiqua" w:hAnsi="Book Antiqua"/>
                <w:b/>
                <w:color w:val="000000"/>
              </w:rPr>
            </w:pPr>
            <w:r w:rsidRPr="00D12E59">
              <w:rPr>
                <w:rFonts w:ascii="Book Antiqua" w:hAnsi="Book Antiqua"/>
                <w:b/>
                <w:color w:val="000000"/>
              </w:rPr>
              <w:t>DF</w:t>
            </w:r>
          </w:p>
        </w:tc>
        <w:tc>
          <w:tcPr>
            <w:tcW w:w="1397" w:type="dxa"/>
            <w:tcBorders>
              <w:top w:val="single" w:sz="4" w:space="0" w:color="auto"/>
              <w:bottom w:val="single" w:sz="4" w:space="0" w:color="auto"/>
            </w:tcBorders>
            <w:shd w:val="clear" w:color="auto" w:fill="auto"/>
            <w:noWrap/>
            <w:vAlign w:val="bottom"/>
            <w:hideMark/>
          </w:tcPr>
          <w:p w14:paraId="1D65B443" w14:textId="77777777" w:rsidR="005E00A4" w:rsidRPr="00D12E59" w:rsidRDefault="005E00A4" w:rsidP="00465AE3">
            <w:pPr>
              <w:jc w:val="center"/>
              <w:rPr>
                <w:rFonts w:ascii="Book Antiqua" w:hAnsi="Book Antiqua"/>
                <w:b/>
                <w:color w:val="000000"/>
              </w:rPr>
            </w:pPr>
            <w:r w:rsidRPr="00D12E59">
              <w:rPr>
                <w:rFonts w:ascii="Book Antiqua" w:hAnsi="Book Antiqua"/>
                <w:b/>
                <w:color w:val="000000"/>
              </w:rPr>
              <w:t>Value</w:t>
            </w:r>
          </w:p>
        </w:tc>
        <w:tc>
          <w:tcPr>
            <w:tcW w:w="1207" w:type="dxa"/>
            <w:tcBorders>
              <w:top w:val="single" w:sz="4" w:space="0" w:color="auto"/>
              <w:bottom w:val="single" w:sz="4" w:space="0" w:color="auto"/>
            </w:tcBorders>
            <w:shd w:val="clear" w:color="auto" w:fill="auto"/>
            <w:noWrap/>
            <w:vAlign w:val="bottom"/>
            <w:hideMark/>
          </w:tcPr>
          <w:p w14:paraId="61C11DEB" w14:textId="77777777" w:rsidR="005E00A4" w:rsidRPr="00D12E59" w:rsidRDefault="005E00A4" w:rsidP="00465AE3">
            <w:pPr>
              <w:jc w:val="center"/>
              <w:rPr>
                <w:rFonts w:ascii="Book Antiqua" w:hAnsi="Book Antiqua"/>
                <w:b/>
                <w:color w:val="000000"/>
              </w:rPr>
            </w:pPr>
            <w:r w:rsidRPr="00D12E59">
              <w:rPr>
                <w:rFonts w:ascii="Book Antiqua" w:hAnsi="Book Antiqua"/>
                <w:b/>
                <w:color w:val="000000"/>
              </w:rPr>
              <w:t>Value/DF</w:t>
            </w:r>
          </w:p>
        </w:tc>
      </w:tr>
      <w:tr w:rsidR="00CB00D2" w:rsidRPr="00D12E59" w14:paraId="1A88528D" w14:textId="77777777" w:rsidTr="00CB00D2">
        <w:trPr>
          <w:trHeight w:val="282"/>
        </w:trPr>
        <w:tc>
          <w:tcPr>
            <w:tcW w:w="1264" w:type="dxa"/>
          </w:tcPr>
          <w:p w14:paraId="1610E4A9" w14:textId="77777777" w:rsidR="005E00A4" w:rsidRPr="00D12E59" w:rsidRDefault="005E00A4" w:rsidP="00465AE3">
            <w:pPr>
              <w:rPr>
                <w:rFonts w:ascii="Book Antiqua" w:hAnsi="Book Antiqua"/>
                <w:color w:val="000000"/>
              </w:rPr>
            </w:pPr>
          </w:p>
        </w:tc>
        <w:tc>
          <w:tcPr>
            <w:tcW w:w="2682" w:type="dxa"/>
            <w:shd w:val="clear" w:color="auto" w:fill="auto"/>
            <w:noWrap/>
            <w:vAlign w:val="bottom"/>
            <w:hideMark/>
          </w:tcPr>
          <w:p w14:paraId="2120E224" w14:textId="77777777" w:rsidR="005E00A4" w:rsidRPr="00D12E59" w:rsidRDefault="005E00A4" w:rsidP="00465AE3">
            <w:pPr>
              <w:rPr>
                <w:rFonts w:ascii="Book Antiqua" w:hAnsi="Book Antiqua"/>
                <w:color w:val="000000"/>
              </w:rPr>
            </w:pPr>
            <w:r w:rsidRPr="00D12E59">
              <w:rPr>
                <w:rFonts w:ascii="Book Antiqua" w:hAnsi="Book Antiqua"/>
                <w:color w:val="000000"/>
              </w:rPr>
              <w:t>Deviance</w:t>
            </w:r>
          </w:p>
        </w:tc>
        <w:tc>
          <w:tcPr>
            <w:tcW w:w="1380" w:type="dxa"/>
            <w:shd w:val="clear" w:color="auto" w:fill="auto"/>
            <w:noWrap/>
            <w:vAlign w:val="bottom"/>
            <w:hideMark/>
          </w:tcPr>
          <w:p w14:paraId="05904225"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59</w:t>
            </w:r>
          </w:p>
        </w:tc>
        <w:tc>
          <w:tcPr>
            <w:tcW w:w="1397" w:type="dxa"/>
            <w:shd w:val="clear" w:color="auto" w:fill="auto"/>
            <w:noWrap/>
            <w:vAlign w:val="bottom"/>
            <w:hideMark/>
          </w:tcPr>
          <w:p w14:paraId="0A46285D"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69.3796</w:t>
            </w:r>
          </w:p>
        </w:tc>
        <w:tc>
          <w:tcPr>
            <w:tcW w:w="1207" w:type="dxa"/>
            <w:shd w:val="clear" w:color="auto" w:fill="auto"/>
            <w:noWrap/>
            <w:vAlign w:val="bottom"/>
            <w:hideMark/>
          </w:tcPr>
          <w:p w14:paraId="40871DA0" w14:textId="77777777" w:rsidR="005E00A4" w:rsidRPr="00D12E59" w:rsidRDefault="005E00A4" w:rsidP="00465AE3">
            <w:pPr>
              <w:jc w:val="center"/>
              <w:rPr>
                <w:rFonts w:ascii="Book Antiqua" w:hAnsi="Book Antiqua"/>
                <w:b/>
                <w:color w:val="000000"/>
              </w:rPr>
            </w:pPr>
            <w:r w:rsidRPr="00D12E59">
              <w:rPr>
                <w:rFonts w:ascii="Book Antiqua" w:hAnsi="Book Antiqua"/>
                <w:color w:val="000000"/>
              </w:rPr>
              <w:t>1.1759</w:t>
            </w:r>
          </w:p>
        </w:tc>
      </w:tr>
      <w:tr w:rsidR="00CB00D2" w:rsidRPr="00D12E59" w14:paraId="6154174D" w14:textId="77777777" w:rsidTr="00CB00D2">
        <w:trPr>
          <w:trHeight w:val="282"/>
        </w:trPr>
        <w:tc>
          <w:tcPr>
            <w:tcW w:w="1264" w:type="dxa"/>
          </w:tcPr>
          <w:p w14:paraId="7AD3B360" w14:textId="77777777" w:rsidR="005E00A4" w:rsidRPr="00D12E59" w:rsidRDefault="005E00A4" w:rsidP="00465AE3">
            <w:pPr>
              <w:rPr>
                <w:rFonts w:ascii="Book Antiqua" w:hAnsi="Book Antiqua"/>
                <w:color w:val="000000"/>
              </w:rPr>
            </w:pPr>
          </w:p>
        </w:tc>
        <w:tc>
          <w:tcPr>
            <w:tcW w:w="2682" w:type="dxa"/>
            <w:shd w:val="clear" w:color="auto" w:fill="auto"/>
            <w:noWrap/>
            <w:vAlign w:val="bottom"/>
            <w:hideMark/>
          </w:tcPr>
          <w:p w14:paraId="26956702" w14:textId="77777777" w:rsidR="005E00A4" w:rsidRPr="00D12E59" w:rsidRDefault="005E00A4" w:rsidP="00465AE3">
            <w:pPr>
              <w:rPr>
                <w:rFonts w:ascii="Book Antiqua" w:hAnsi="Book Antiqua"/>
                <w:color w:val="000000"/>
              </w:rPr>
            </w:pPr>
            <w:r w:rsidRPr="00D12E59">
              <w:rPr>
                <w:rFonts w:ascii="Book Antiqua" w:hAnsi="Book Antiqua"/>
                <w:color w:val="000000"/>
              </w:rPr>
              <w:t>Scaled Deviance</w:t>
            </w:r>
          </w:p>
        </w:tc>
        <w:tc>
          <w:tcPr>
            <w:tcW w:w="1380" w:type="dxa"/>
            <w:shd w:val="clear" w:color="auto" w:fill="auto"/>
            <w:noWrap/>
            <w:vAlign w:val="bottom"/>
            <w:hideMark/>
          </w:tcPr>
          <w:p w14:paraId="4C9D7864"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59</w:t>
            </w:r>
          </w:p>
        </w:tc>
        <w:tc>
          <w:tcPr>
            <w:tcW w:w="1397" w:type="dxa"/>
            <w:shd w:val="clear" w:color="auto" w:fill="auto"/>
            <w:noWrap/>
            <w:vAlign w:val="bottom"/>
            <w:hideMark/>
          </w:tcPr>
          <w:p w14:paraId="502064CD"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69.3796</w:t>
            </w:r>
          </w:p>
        </w:tc>
        <w:tc>
          <w:tcPr>
            <w:tcW w:w="1207" w:type="dxa"/>
            <w:shd w:val="clear" w:color="auto" w:fill="auto"/>
            <w:noWrap/>
            <w:vAlign w:val="bottom"/>
            <w:hideMark/>
          </w:tcPr>
          <w:p w14:paraId="05C7E976"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1.1759</w:t>
            </w:r>
          </w:p>
        </w:tc>
      </w:tr>
      <w:tr w:rsidR="00CB00D2" w:rsidRPr="00D12E59" w14:paraId="5293C125" w14:textId="77777777" w:rsidTr="00CB00D2">
        <w:trPr>
          <w:trHeight w:val="282"/>
        </w:trPr>
        <w:tc>
          <w:tcPr>
            <w:tcW w:w="1264" w:type="dxa"/>
          </w:tcPr>
          <w:p w14:paraId="720ED117" w14:textId="77777777" w:rsidR="005E00A4" w:rsidRPr="00D12E59" w:rsidRDefault="005E00A4" w:rsidP="00465AE3">
            <w:pPr>
              <w:rPr>
                <w:rFonts w:ascii="Book Antiqua" w:hAnsi="Book Antiqua"/>
                <w:color w:val="000000"/>
              </w:rPr>
            </w:pPr>
          </w:p>
        </w:tc>
        <w:tc>
          <w:tcPr>
            <w:tcW w:w="2682" w:type="dxa"/>
            <w:shd w:val="clear" w:color="auto" w:fill="auto"/>
            <w:noWrap/>
            <w:vAlign w:val="bottom"/>
            <w:hideMark/>
          </w:tcPr>
          <w:p w14:paraId="3D7863AE" w14:textId="77777777" w:rsidR="005E00A4" w:rsidRPr="00D12E59" w:rsidRDefault="005E00A4" w:rsidP="00465AE3">
            <w:pPr>
              <w:rPr>
                <w:rFonts w:ascii="Book Antiqua" w:hAnsi="Book Antiqua"/>
                <w:color w:val="000000"/>
              </w:rPr>
            </w:pPr>
            <w:r w:rsidRPr="00D12E59">
              <w:rPr>
                <w:rFonts w:ascii="Book Antiqua" w:hAnsi="Book Antiqua"/>
                <w:color w:val="000000"/>
              </w:rPr>
              <w:t>Person Chi-Square</w:t>
            </w:r>
          </w:p>
        </w:tc>
        <w:tc>
          <w:tcPr>
            <w:tcW w:w="1380" w:type="dxa"/>
            <w:shd w:val="clear" w:color="auto" w:fill="auto"/>
            <w:noWrap/>
            <w:vAlign w:val="bottom"/>
            <w:hideMark/>
          </w:tcPr>
          <w:p w14:paraId="4E94DBA8"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59</w:t>
            </w:r>
          </w:p>
        </w:tc>
        <w:tc>
          <w:tcPr>
            <w:tcW w:w="1397" w:type="dxa"/>
            <w:shd w:val="clear" w:color="auto" w:fill="auto"/>
            <w:noWrap/>
            <w:vAlign w:val="bottom"/>
            <w:hideMark/>
          </w:tcPr>
          <w:p w14:paraId="3FBBA6E1"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46.7985</w:t>
            </w:r>
          </w:p>
        </w:tc>
        <w:tc>
          <w:tcPr>
            <w:tcW w:w="1207" w:type="dxa"/>
            <w:shd w:val="clear" w:color="auto" w:fill="auto"/>
            <w:noWrap/>
            <w:vAlign w:val="bottom"/>
            <w:hideMark/>
          </w:tcPr>
          <w:p w14:paraId="1CFDE054" w14:textId="77777777" w:rsidR="005E00A4" w:rsidRPr="00D12E59" w:rsidRDefault="005E00A4" w:rsidP="00465AE3">
            <w:pPr>
              <w:jc w:val="center"/>
              <w:rPr>
                <w:rFonts w:ascii="Book Antiqua" w:hAnsi="Book Antiqua"/>
                <w:b/>
                <w:color w:val="000000"/>
              </w:rPr>
            </w:pPr>
            <w:r w:rsidRPr="00D12E59">
              <w:rPr>
                <w:rFonts w:ascii="Book Antiqua" w:hAnsi="Book Antiqua"/>
                <w:color w:val="000000"/>
              </w:rPr>
              <w:t>0.7932</w:t>
            </w:r>
          </w:p>
        </w:tc>
      </w:tr>
      <w:tr w:rsidR="00CB00D2" w:rsidRPr="00D12E59" w14:paraId="7F5EF1C7" w14:textId="77777777" w:rsidTr="00CB00D2">
        <w:trPr>
          <w:trHeight w:val="282"/>
        </w:trPr>
        <w:tc>
          <w:tcPr>
            <w:tcW w:w="1264" w:type="dxa"/>
            <w:tcBorders>
              <w:bottom w:val="single" w:sz="4" w:space="0" w:color="auto"/>
            </w:tcBorders>
          </w:tcPr>
          <w:p w14:paraId="09657EFD" w14:textId="77777777" w:rsidR="005E00A4" w:rsidRPr="00D12E59" w:rsidRDefault="005E00A4" w:rsidP="00465AE3">
            <w:pPr>
              <w:rPr>
                <w:rFonts w:ascii="Book Antiqua" w:hAnsi="Book Antiqua"/>
                <w:color w:val="000000"/>
              </w:rPr>
            </w:pPr>
          </w:p>
        </w:tc>
        <w:tc>
          <w:tcPr>
            <w:tcW w:w="2682" w:type="dxa"/>
            <w:tcBorders>
              <w:bottom w:val="single" w:sz="4" w:space="0" w:color="auto"/>
            </w:tcBorders>
            <w:shd w:val="clear" w:color="auto" w:fill="auto"/>
            <w:noWrap/>
            <w:vAlign w:val="bottom"/>
            <w:hideMark/>
          </w:tcPr>
          <w:p w14:paraId="15C55B85" w14:textId="77777777" w:rsidR="005E00A4" w:rsidRPr="00D12E59" w:rsidRDefault="005E00A4" w:rsidP="00465AE3">
            <w:pPr>
              <w:rPr>
                <w:rFonts w:ascii="Book Antiqua" w:hAnsi="Book Antiqua"/>
                <w:color w:val="000000"/>
              </w:rPr>
            </w:pPr>
            <w:r w:rsidRPr="00D12E59">
              <w:rPr>
                <w:rFonts w:ascii="Book Antiqua" w:hAnsi="Book Antiqua"/>
                <w:color w:val="000000"/>
              </w:rPr>
              <w:t>Scaled Person Chi-Square</w:t>
            </w:r>
          </w:p>
        </w:tc>
        <w:tc>
          <w:tcPr>
            <w:tcW w:w="1380" w:type="dxa"/>
            <w:tcBorders>
              <w:bottom w:val="single" w:sz="4" w:space="0" w:color="auto"/>
            </w:tcBorders>
            <w:shd w:val="clear" w:color="auto" w:fill="auto"/>
            <w:noWrap/>
            <w:vAlign w:val="bottom"/>
            <w:hideMark/>
          </w:tcPr>
          <w:p w14:paraId="4F54CC37"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59</w:t>
            </w:r>
          </w:p>
        </w:tc>
        <w:tc>
          <w:tcPr>
            <w:tcW w:w="1397" w:type="dxa"/>
            <w:tcBorders>
              <w:bottom w:val="single" w:sz="4" w:space="0" w:color="auto"/>
            </w:tcBorders>
            <w:shd w:val="clear" w:color="auto" w:fill="auto"/>
            <w:noWrap/>
            <w:vAlign w:val="bottom"/>
            <w:hideMark/>
          </w:tcPr>
          <w:p w14:paraId="032B3E17" w14:textId="77777777" w:rsidR="005E00A4" w:rsidRPr="00D12E59" w:rsidRDefault="005E00A4" w:rsidP="00465AE3">
            <w:pPr>
              <w:jc w:val="center"/>
              <w:rPr>
                <w:rFonts w:ascii="Book Antiqua" w:hAnsi="Book Antiqua"/>
                <w:b/>
                <w:color w:val="000000"/>
              </w:rPr>
            </w:pPr>
            <w:r w:rsidRPr="00D12E59">
              <w:rPr>
                <w:rFonts w:ascii="Book Antiqua" w:hAnsi="Book Antiqua"/>
                <w:color w:val="000000"/>
              </w:rPr>
              <w:t>46.7985</w:t>
            </w:r>
          </w:p>
        </w:tc>
        <w:tc>
          <w:tcPr>
            <w:tcW w:w="1207" w:type="dxa"/>
            <w:tcBorders>
              <w:bottom w:val="single" w:sz="4" w:space="0" w:color="auto"/>
            </w:tcBorders>
            <w:shd w:val="clear" w:color="auto" w:fill="auto"/>
            <w:noWrap/>
            <w:vAlign w:val="bottom"/>
            <w:hideMark/>
          </w:tcPr>
          <w:p w14:paraId="2CF99F3F" w14:textId="77777777" w:rsidR="005E00A4" w:rsidRPr="00D12E59" w:rsidRDefault="005E00A4" w:rsidP="00465AE3">
            <w:pPr>
              <w:jc w:val="center"/>
              <w:rPr>
                <w:rFonts w:ascii="Book Antiqua" w:hAnsi="Book Antiqua"/>
                <w:b/>
                <w:color w:val="000000"/>
              </w:rPr>
            </w:pPr>
            <w:r w:rsidRPr="00D12E59">
              <w:rPr>
                <w:rFonts w:ascii="Book Antiqua" w:hAnsi="Book Antiqua"/>
                <w:color w:val="000000"/>
              </w:rPr>
              <w:t>0.7932</w:t>
            </w:r>
          </w:p>
        </w:tc>
      </w:tr>
      <w:tr w:rsidR="00CB00D2" w:rsidRPr="00D12E59" w14:paraId="31971247" w14:textId="77777777" w:rsidTr="00CB00D2">
        <w:trPr>
          <w:trHeight w:val="282"/>
        </w:trPr>
        <w:tc>
          <w:tcPr>
            <w:tcW w:w="1264" w:type="dxa"/>
            <w:tcBorders>
              <w:top w:val="single" w:sz="4" w:space="0" w:color="auto"/>
              <w:bottom w:val="single" w:sz="4" w:space="0" w:color="auto"/>
            </w:tcBorders>
          </w:tcPr>
          <w:p w14:paraId="786E517B" w14:textId="77777777" w:rsidR="005E00A4" w:rsidRPr="00D12E59" w:rsidRDefault="005E00A4" w:rsidP="00465AE3">
            <w:pPr>
              <w:rPr>
                <w:rFonts w:ascii="Book Antiqua" w:hAnsi="Book Antiqua"/>
                <w:color w:val="000000"/>
              </w:rPr>
            </w:pPr>
          </w:p>
        </w:tc>
        <w:tc>
          <w:tcPr>
            <w:tcW w:w="2682" w:type="dxa"/>
            <w:tcBorders>
              <w:top w:val="single" w:sz="4" w:space="0" w:color="auto"/>
              <w:bottom w:val="single" w:sz="4" w:space="0" w:color="auto"/>
            </w:tcBorders>
            <w:shd w:val="clear" w:color="auto" w:fill="auto"/>
            <w:noWrap/>
            <w:vAlign w:val="bottom"/>
            <w:hideMark/>
          </w:tcPr>
          <w:p w14:paraId="3B38D4FE" w14:textId="77777777" w:rsidR="005E00A4" w:rsidRPr="00D12E59" w:rsidRDefault="005E00A4" w:rsidP="00465AE3">
            <w:pPr>
              <w:rPr>
                <w:rFonts w:ascii="Book Antiqua" w:hAnsi="Book Antiqua"/>
                <w:color w:val="000000"/>
              </w:rPr>
            </w:pPr>
            <w:r w:rsidRPr="00D12E59">
              <w:rPr>
                <w:rFonts w:ascii="Book Antiqua" w:hAnsi="Book Antiqua"/>
                <w:color w:val="000000"/>
              </w:rPr>
              <w:t>Log Likelihood</w:t>
            </w:r>
          </w:p>
        </w:tc>
        <w:tc>
          <w:tcPr>
            <w:tcW w:w="1380" w:type="dxa"/>
            <w:tcBorders>
              <w:top w:val="single" w:sz="4" w:space="0" w:color="auto"/>
              <w:bottom w:val="single" w:sz="4" w:space="0" w:color="auto"/>
            </w:tcBorders>
            <w:shd w:val="clear" w:color="auto" w:fill="auto"/>
            <w:noWrap/>
            <w:vAlign w:val="bottom"/>
            <w:hideMark/>
          </w:tcPr>
          <w:p w14:paraId="0E4FF11D" w14:textId="77777777" w:rsidR="005E00A4" w:rsidRPr="00D12E59" w:rsidRDefault="005E00A4" w:rsidP="00465AE3">
            <w:pPr>
              <w:jc w:val="center"/>
              <w:rPr>
                <w:rFonts w:ascii="Book Antiqua" w:hAnsi="Book Antiqua"/>
                <w:b/>
                <w:color w:val="000000"/>
              </w:rPr>
            </w:pPr>
            <w:r w:rsidRPr="00D12E59">
              <w:rPr>
                <w:rFonts w:ascii="Book Antiqua" w:hAnsi="Book Antiqua"/>
                <w:color w:val="000000"/>
              </w:rPr>
              <w:t>1667.5653</w:t>
            </w:r>
          </w:p>
        </w:tc>
        <w:tc>
          <w:tcPr>
            <w:tcW w:w="1397" w:type="dxa"/>
            <w:tcBorders>
              <w:top w:val="single" w:sz="4" w:space="0" w:color="auto"/>
              <w:bottom w:val="single" w:sz="4" w:space="0" w:color="auto"/>
            </w:tcBorders>
            <w:shd w:val="clear" w:color="auto" w:fill="auto"/>
            <w:noWrap/>
            <w:vAlign w:val="bottom"/>
            <w:hideMark/>
          </w:tcPr>
          <w:p w14:paraId="2BE19B09" w14:textId="77777777" w:rsidR="005E00A4" w:rsidRPr="00D12E59" w:rsidRDefault="005E00A4" w:rsidP="00465AE3">
            <w:pPr>
              <w:jc w:val="center"/>
              <w:rPr>
                <w:rFonts w:ascii="Book Antiqua" w:hAnsi="Book Antiqua"/>
                <w:b/>
                <w:color w:val="000000"/>
              </w:rPr>
            </w:pPr>
          </w:p>
        </w:tc>
        <w:tc>
          <w:tcPr>
            <w:tcW w:w="1207" w:type="dxa"/>
            <w:tcBorders>
              <w:top w:val="single" w:sz="4" w:space="0" w:color="auto"/>
              <w:bottom w:val="single" w:sz="4" w:space="0" w:color="auto"/>
            </w:tcBorders>
            <w:shd w:val="clear" w:color="auto" w:fill="auto"/>
            <w:noWrap/>
            <w:vAlign w:val="bottom"/>
            <w:hideMark/>
          </w:tcPr>
          <w:p w14:paraId="09057646" w14:textId="77777777" w:rsidR="005E00A4" w:rsidRPr="00D12E59" w:rsidRDefault="005E00A4" w:rsidP="00465AE3">
            <w:pPr>
              <w:jc w:val="center"/>
              <w:rPr>
                <w:rFonts w:ascii="Book Antiqua" w:hAnsi="Book Antiqua"/>
                <w:b/>
                <w:color w:val="000000"/>
              </w:rPr>
            </w:pPr>
          </w:p>
        </w:tc>
      </w:tr>
      <w:tr w:rsidR="00CB00D2" w:rsidRPr="00D12E59" w14:paraId="00DDC3DB" w14:textId="77777777" w:rsidTr="00CB00D2">
        <w:trPr>
          <w:trHeight w:val="282"/>
        </w:trPr>
        <w:tc>
          <w:tcPr>
            <w:tcW w:w="1264" w:type="dxa"/>
            <w:tcBorders>
              <w:top w:val="single" w:sz="4" w:space="0" w:color="auto"/>
              <w:bottom w:val="single" w:sz="4" w:space="0" w:color="auto"/>
            </w:tcBorders>
          </w:tcPr>
          <w:p w14:paraId="0BA50623" w14:textId="77777777" w:rsidR="005E00A4" w:rsidRPr="00D12E59" w:rsidRDefault="005E00A4" w:rsidP="00465AE3">
            <w:pPr>
              <w:rPr>
                <w:rFonts w:ascii="Book Antiqua" w:hAnsi="Book Antiqua"/>
                <w:b/>
                <w:color w:val="000000"/>
              </w:rPr>
            </w:pPr>
            <w:r w:rsidRPr="00D12E59">
              <w:rPr>
                <w:rFonts w:ascii="Book Antiqua" w:hAnsi="Book Antiqua"/>
                <w:b/>
                <w:color w:val="000000"/>
              </w:rPr>
              <w:t>MetLife</w:t>
            </w:r>
          </w:p>
        </w:tc>
        <w:tc>
          <w:tcPr>
            <w:tcW w:w="2682" w:type="dxa"/>
            <w:tcBorders>
              <w:top w:val="single" w:sz="4" w:space="0" w:color="auto"/>
              <w:bottom w:val="single" w:sz="4" w:space="0" w:color="auto"/>
            </w:tcBorders>
            <w:shd w:val="clear" w:color="auto" w:fill="auto"/>
            <w:noWrap/>
            <w:vAlign w:val="bottom"/>
            <w:hideMark/>
          </w:tcPr>
          <w:p w14:paraId="54E9261C" w14:textId="77777777" w:rsidR="005E00A4" w:rsidRPr="00D12E59" w:rsidRDefault="005E00A4" w:rsidP="00465AE3">
            <w:pPr>
              <w:rPr>
                <w:rFonts w:ascii="Book Antiqua" w:hAnsi="Book Antiqua"/>
                <w:b/>
                <w:color w:val="000000"/>
              </w:rPr>
            </w:pPr>
            <w:r w:rsidRPr="00D12E59">
              <w:rPr>
                <w:rFonts w:ascii="Book Antiqua" w:hAnsi="Book Antiqua"/>
                <w:b/>
                <w:color w:val="000000"/>
              </w:rPr>
              <w:t>Criteria</w:t>
            </w:r>
          </w:p>
        </w:tc>
        <w:tc>
          <w:tcPr>
            <w:tcW w:w="1380" w:type="dxa"/>
            <w:tcBorders>
              <w:top w:val="single" w:sz="4" w:space="0" w:color="auto"/>
              <w:bottom w:val="single" w:sz="4" w:space="0" w:color="auto"/>
            </w:tcBorders>
            <w:shd w:val="clear" w:color="auto" w:fill="auto"/>
            <w:noWrap/>
            <w:vAlign w:val="bottom"/>
            <w:hideMark/>
          </w:tcPr>
          <w:p w14:paraId="0F67DF42" w14:textId="77777777" w:rsidR="005E00A4" w:rsidRPr="00D12E59" w:rsidRDefault="005E00A4" w:rsidP="00465AE3">
            <w:pPr>
              <w:jc w:val="center"/>
              <w:rPr>
                <w:rFonts w:ascii="Book Antiqua" w:hAnsi="Book Antiqua"/>
                <w:b/>
                <w:color w:val="000000"/>
              </w:rPr>
            </w:pPr>
            <w:r w:rsidRPr="00D12E59">
              <w:rPr>
                <w:rFonts w:ascii="Book Antiqua" w:hAnsi="Book Antiqua"/>
                <w:b/>
                <w:color w:val="000000"/>
              </w:rPr>
              <w:t>DF</w:t>
            </w:r>
          </w:p>
        </w:tc>
        <w:tc>
          <w:tcPr>
            <w:tcW w:w="1397" w:type="dxa"/>
            <w:tcBorders>
              <w:top w:val="single" w:sz="4" w:space="0" w:color="auto"/>
              <w:bottom w:val="single" w:sz="4" w:space="0" w:color="auto"/>
            </w:tcBorders>
            <w:shd w:val="clear" w:color="auto" w:fill="auto"/>
            <w:noWrap/>
            <w:vAlign w:val="bottom"/>
            <w:hideMark/>
          </w:tcPr>
          <w:p w14:paraId="1EECADB6" w14:textId="77777777" w:rsidR="005E00A4" w:rsidRPr="00D12E59" w:rsidRDefault="005E00A4" w:rsidP="00465AE3">
            <w:pPr>
              <w:jc w:val="center"/>
              <w:rPr>
                <w:rFonts w:ascii="Book Antiqua" w:hAnsi="Book Antiqua"/>
                <w:b/>
                <w:color w:val="000000"/>
              </w:rPr>
            </w:pPr>
            <w:r w:rsidRPr="00D12E59">
              <w:rPr>
                <w:rFonts w:ascii="Book Antiqua" w:hAnsi="Book Antiqua"/>
                <w:b/>
                <w:color w:val="000000"/>
              </w:rPr>
              <w:t>Value</w:t>
            </w:r>
          </w:p>
        </w:tc>
        <w:tc>
          <w:tcPr>
            <w:tcW w:w="1207" w:type="dxa"/>
            <w:tcBorders>
              <w:top w:val="single" w:sz="4" w:space="0" w:color="auto"/>
              <w:bottom w:val="single" w:sz="4" w:space="0" w:color="auto"/>
            </w:tcBorders>
            <w:shd w:val="clear" w:color="auto" w:fill="auto"/>
            <w:noWrap/>
            <w:vAlign w:val="bottom"/>
            <w:hideMark/>
          </w:tcPr>
          <w:p w14:paraId="78D0E493" w14:textId="77777777" w:rsidR="005E00A4" w:rsidRPr="00D12E59" w:rsidRDefault="005E00A4" w:rsidP="00465AE3">
            <w:pPr>
              <w:jc w:val="center"/>
              <w:rPr>
                <w:rFonts w:ascii="Book Antiqua" w:hAnsi="Book Antiqua"/>
                <w:b/>
                <w:color w:val="000000"/>
              </w:rPr>
            </w:pPr>
            <w:r w:rsidRPr="00D12E59">
              <w:rPr>
                <w:rFonts w:ascii="Book Antiqua" w:hAnsi="Book Antiqua"/>
                <w:b/>
                <w:color w:val="000000"/>
              </w:rPr>
              <w:t>Value/DF</w:t>
            </w:r>
          </w:p>
        </w:tc>
      </w:tr>
      <w:tr w:rsidR="00CB00D2" w:rsidRPr="00D12E59" w14:paraId="4028EE41" w14:textId="77777777" w:rsidTr="00CB00D2">
        <w:trPr>
          <w:trHeight w:val="282"/>
        </w:trPr>
        <w:tc>
          <w:tcPr>
            <w:tcW w:w="1264" w:type="dxa"/>
            <w:tcBorders>
              <w:top w:val="single" w:sz="4" w:space="0" w:color="auto"/>
            </w:tcBorders>
          </w:tcPr>
          <w:p w14:paraId="56AF6420" w14:textId="77777777" w:rsidR="005E00A4" w:rsidRPr="00D12E59" w:rsidRDefault="005E00A4" w:rsidP="00465AE3">
            <w:pPr>
              <w:rPr>
                <w:rFonts w:ascii="Book Antiqua" w:hAnsi="Book Antiqua"/>
                <w:color w:val="000000"/>
              </w:rPr>
            </w:pPr>
          </w:p>
        </w:tc>
        <w:tc>
          <w:tcPr>
            <w:tcW w:w="2682" w:type="dxa"/>
            <w:tcBorders>
              <w:top w:val="single" w:sz="4" w:space="0" w:color="auto"/>
            </w:tcBorders>
            <w:shd w:val="clear" w:color="auto" w:fill="auto"/>
            <w:noWrap/>
            <w:vAlign w:val="bottom"/>
            <w:hideMark/>
          </w:tcPr>
          <w:p w14:paraId="21A108FA" w14:textId="77777777" w:rsidR="005E00A4" w:rsidRPr="00D12E59" w:rsidRDefault="005E00A4" w:rsidP="00465AE3">
            <w:pPr>
              <w:rPr>
                <w:rFonts w:ascii="Book Antiqua" w:hAnsi="Book Antiqua"/>
                <w:color w:val="000000"/>
              </w:rPr>
            </w:pPr>
            <w:r w:rsidRPr="00D12E59">
              <w:rPr>
                <w:rFonts w:ascii="Book Antiqua" w:hAnsi="Book Antiqua"/>
                <w:color w:val="000000"/>
              </w:rPr>
              <w:t>Deviance</w:t>
            </w:r>
          </w:p>
        </w:tc>
        <w:tc>
          <w:tcPr>
            <w:tcW w:w="1380" w:type="dxa"/>
            <w:tcBorders>
              <w:top w:val="single" w:sz="4" w:space="0" w:color="auto"/>
            </w:tcBorders>
            <w:shd w:val="clear" w:color="auto" w:fill="auto"/>
            <w:noWrap/>
            <w:vAlign w:val="bottom"/>
            <w:hideMark/>
          </w:tcPr>
          <w:p w14:paraId="39E22C99"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59</w:t>
            </w:r>
          </w:p>
        </w:tc>
        <w:tc>
          <w:tcPr>
            <w:tcW w:w="1397" w:type="dxa"/>
            <w:tcBorders>
              <w:top w:val="single" w:sz="4" w:space="0" w:color="auto"/>
            </w:tcBorders>
            <w:shd w:val="clear" w:color="auto" w:fill="auto"/>
            <w:noWrap/>
            <w:vAlign w:val="bottom"/>
            <w:hideMark/>
          </w:tcPr>
          <w:p w14:paraId="34D5B1E4"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71.2286</w:t>
            </w:r>
          </w:p>
        </w:tc>
        <w:tc>
          <w:tcPr>
            <w:tcW w:w="1207" w:type="dxa"/>
            <w:tcBorders>
              <w:top w:val="single" w:sz="4" w:space="0" w:color="auto"/>
            </w:tcBorders>
            <w:shd w:val="clear" w:color="auto" w:fill="auto"/>
            <w:noWrap/>
            <w:vAlign w:val="bottom"/>
            <w:hideMark/>
          </w:tcPr>
          <w:p w14:paraId="0516362C"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1.2073</w:t>
            </w:r>
          </w:p>
        </w:tc>
      </w:tr>
      <w:tr w:rsidR="00CB00D2" w:rsidRPr="00D12E59" w14:paraId="369278C0" w14:textId="77777777" w:rsidTr="00CB00D2">
        <w:trPr>
          <w:trHeight w:val="282"/>
        </w:trPr>
        <w:tc>
          <w:tcPr>
            <w:tcW w:w="1264" w:type="dxa"/>
          </w:tcPr>
          <w:p w14:paraId="7D491D42" w14:textId="77777777" w:rsidR="005E00A4" w:rsidRPr="00D12E59" w:rsidRDefault="005E00A4" w:rsidP="00465AE3">
            <w:pPr>
              <w:rPr>
                <w:rFonts w:ascii="Book Antiqua" w:hAnsi="Book Antiqua"/>
                <w:color w:val="000000"/>
              </w:rPr>
            </w:pPr>
          </w:p>
        </w:tc>
        <w:tc>
          <w:tcPr>
            <w:tcW w:w="2682" w:type="dxa"/>
            <w:shd w:val="clear" w:color="auto" w:fill="auto"/>
            <w:noWrap/>
            <w:vAlign w:val="bottom"/>
            <w:hideMark/>
          </w:tcPr>
          <w:p w14:paraId="78F47186" w14:textId="77777777" w:rsidR="005E00A4" w:rsidRPr="00D12E59" w:rsidRDefault="005E00A4" w:rsidP="00465AE3">
            <w:pPr>
              <w:rPr>
                <w:rFonts w:ascii="Book Antiqua" w:hAnsi="Book Antiqua"/>
                <w:color w:val="000000"/>
              </w:rPr>
            </w:pPr>
            <w:r w:rsidRPr="00D12E59">
              <w:rPr>
                <w:rFonts w:ascii="Book Antiqua" w:hAnsi="Book Antiqua"/>
                <w:color w:val="000000"/>
              </w:rPr>
              <w:t>Scaled Deviance</w:t>
            </w:r>
          </w:p>
        </w:tc>
        <w:tc>
          <w:tcPr>
            <w:tcW w:w="1380" w:type="dxa"/>
            <w:shd w:val="clear" w:color="auto" w:fill="auto"/>
            <w:noWrap/>
            <w:vAlign w:val="bottom"/>
            <w:hideMark/>
          </w:tcPr>
          <w:p w14:paraId="54B407F5"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59</w:t>
            </w:r>
          </w:p>
        </w:tc>
        <w:tc>
          <w:tcPr>
            <w:tcW w:w="1397" w:type="dxa"/>
            <w:shd w:val="clear" w:color="auto" w:fill="auto"/>
            <w:noWrap/>
            <w:vAlign w:val="bottom"/>
            <w:hideMark/>
          </w:tcPr>
          <w:p w14:paraId="19A21999"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71.2286</w:t>
            </w:r>
          </w:p>
        </w:tc>
        <w:tc>
          <w:tcPr>
            <w:tcW w:w="1207" w:type="dxa"/>
            <w:shd w:val="clear" w:color="auto" w:fill="auto"/>
            <w:noWrap/>
            <w:vAlign w:val="bottom"/>
            <w:hideMark/>
          </w:tcPr>
          <w:p w14:paraId="7ABCC304"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1.2073</w:t>
            </w:r>
          </w:p>
        </w:tc>
      </w:tr>
      <w:tr w:rsidR="00CB00D2" w:rsidRPr="00D12E59" w14:paraId="1817DC3E" w14:textId="77777777" w:rsidTr="00CB00D2">
        <w:trPr>
          <w:trHeight w:val="282"/>
        </w:trPr>
        <w:tc>
          <w:tcPr>
            <w:tcW w:w="1264" w:type="dxa"/>
          </w:tcPr>
          <w:p w14:paraId="2C2F20D0" w14:textId="77777777" w:rsidR="005E00A4" w:rsidRPr="00D12E59" w:rsidRDefault="005E00A4" w:rsidP="00465AE3">
            <w:pPr>
              <w:rPr>
                <w:rFonts w:ascii="Book Antiqua" w:hAnsi="Book Antiqua"/>
                <w:color w:val="000000"/>
              </w:rPr>
            </w:pPr>
          </w:p>
        </w:tc>
        <w:tc>
          <w:tcPr>
            <w:tcW w:w="2682" w:type="dxa"/>
            <w:shd w:val="clear" w:color="auto" w:fill="auto"/>
            <w:noWrap/>
            <w:vAlign w:val="bottom"/>
            <w:hideMark/>
          </w:tcPr>
          <w:p w14:paraId="270A94D8" w14:textId="77777777" w:rsidR="005E00A4" w:rsidRPr="00D12E59" w:rsidRDefault="005E00A4" w:rsidP="00465AE3">
            <w:pPr>
              <w:rPr>
                <w:rFonts w:ascii="Book Antiqua" w:hAnsi="Book Antiqua"/>
                <w:color w:val="000000"/>
              </w:rPr>
            </w:pPr>
            <w:r w:rsidRPr="00D12E59">
              <w:rPr>
                <w:rFonts w:ascii="Book Antiqua" w:hAnsi="Book Antiqua"/>
                <w:color w:val="000000"/>
              </w:rPr>
              <w:t>Person Chi-Square</w:t>
            </w:r>
          </w:p>
        </w:tc>
        <w:tc>
          <w:tcPr>
            <w:tcW w:w="1380" w:type="dxa"/>
            <w:shd w:val="clear" w:color="auto" w:fill="auto"/>
            <w:noWrap/>
            <w:vAlign w:val="bottom"/>
            <w:hideMark/>
          </w:tcPr>
          <w:p w14:paraId="5BFCEEAB"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59</w:t>
            </w:r>
          </w:p>
        </w:tc>
        <w:tc>
          <w:tcPr>
            <w:tcW w:w="1397" w:type="dxa"/>
            <w:shd w:val="clear" w:color="auto" w:fill="auto"/>
            <w:noWrap/>
            <w:vAlign w:val="bottom"/>
            <w:hideMark/>
          </w:tcPr>
          <w:p w14:paraId="115D0BE9"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36.4253</w:t>
            </w:r>
          </w:p>
        </w:tc>
        <w:tc>
          <w:tcPr>
            <w:tcW w:w="1207" w:type="dxa"/>
            <w:shd w:val="clear" w:color="auto" w:fill="auto"/>
            <w:noWrap/>
            <w:vAlign w:val="bottom"/>
            <w:hideMark/>
          </w:tcPr>
          <w:p w14:paraId="399EB1CD"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0.6174</w:t>
            </w:r>
          </w:p>
        </w:tc>
      </w:tr>
      <w:tr w:rsidR="00CB00D2" w:rsidRPr="00D12E59" w14:paraId="79D610B9" w14:textId="77777777" w:rsidTr="00CB00D2">
        <w:trPr>
          <w:trHeight w:val="282"/>
        </w:trPr>
        <w:tc>
          <w:tcPr>
            <w:tcW w:w="1264" w:type="dxa"/>
            <w:tcBorders>
              <w:bottom w:val="single" w:sz="4" w:space="0" w:color="auto"/>
            </w:tcBorders>
          </w:tcPr>
          <w:p w14:paraId="6668F709" w14:textId="77777777" w:rsidR="005E00A4" w:rsidRPr="00D12E59" w:rsidRDefault="005E00A4" w:rsidP="00465AE3">
            <w:pPr>
              <w:rPr>
                <w:rFonts w:ascii="Book Antiqua" w:hAnsi="Book Antiqua"/>
                <w:color w:val="000000"/>
              </w:rPr>
            </w:pPr>
          </w:p>
        </w:tc>
        <w:tc>
          <w:tcPr>
            <w:tcW w:w="2682" w:type="dxa"/>
            <w:tcBorders>
              <w:bottom w:val="single" w:sz="4" w:space="0" w:color="auto"/>
            </w:tcBorders>
            <w:shd w:val="clear" w:color="auto" w:fill="auto"/>
            <w:noWrap/>
            <w:vAlign w:val="bottom"/>
            <w:hideMark/>
          </w:tcPr>
          <w:p w14:paraId="63D9FD2B" w14:textId="77777777" w:rsidR="005E00A4" w:rsidRPr="00D12E59" w:rsidRDefault="005E00A4" w:rsidP="00465AE3">
            <w:pPr>
              <w:rPr>
                <w:rFonts w:ascii="Book Antiqua" w:hAnsi="Book Antiqua"/>
                <w:color w:val="000000"/>
              </w:rPr>
            </w:pPr>
            <w:r w:rsidRPr="00D12E59">
              <w:rPr>
                <w:rFonts w:ascii="Book Antiqua" w:hAnsi="Book Antiqua"/>
                <w:color w:val="000000"/>
              </w:rPr>
              <w:t>Scaled Person Chi-Square</w:t>
            </w:r>
          </w:p>
        </w:tc>
        <w:tc>
          <w:tcPr>
            <w:tcW w:w="1380" w:type="dxa"/>
            <w:tcBorders>
              <w:bottom w:val="single" w:sz="4" w:space="0" w:color="auto"/>
            </w:tcBorders>
            <w:shd w:val="clear" w:color="auto" w:fill="auto"/>
            <w:noWrap/>
            <w:vAlign w:val="bottom"/>
            <w:hideMark/>
          </w:tcPr>
          <w:p w14:paraId="3CD23FDA"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59</w:t>
            </w:r>
          </w:p>
        </w:tc>
        <w:tc>
          <w:tcPr>
            <w:tcW w:w="1397" w:type="dxa"/>
            <w:tcBorders>
              <w:bottom w:val="single" w:sz="4" w:space="0" w:color="auto"/>
            </w:tcBorders>
            <w:shd w:val="clear" w:color="auto" w:fill="auto"/>
            <w:noWrap/>
            <w:vAlign w:val="bottom"/>
            <w:hideMark/>
          </w:tcPr>
          <w:p w14:paraId="68E850E1"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36.4253</w:t>
            </w:r>
          </w:p>
        </w:tc>
        <w:tc>
          <w:tcPr>
            <w:tcW w:w="1207" w:type="dxa"/>
            <w:tcBorders>
              <w:bottom w:val="single" w:sz="4" w:space="0" w:color="auto"/>
            </w:tcBorders>
            <w:shd w:val="clear" w:color="auto" w:fill="auto"/>
            <w:noWrap/>
            <w:vAlign w:val="bottom"/>
            <w:hideMark/>
          </w:tcPr>
          <w:p w14:paraId="3373BAE7"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0.6174</w:t>
            </w:r>
          </w:p>
        </w:tc>
      </w:tr>
      <w:tr w:rsidR="00CB00D2" w:rsidRPr="00D12E59" w14:paraId="609C41EC" w14:textId="77777777" w:rsidTr="00CB00D2">
        <w:trPr>
          <w:trHeight w:val="282"/>
        </w:trPr>
        <w:tc>
          <w:tcPr>
            <w:tcW w:w="1264" w:type="dxa"/>
            <w:tcBorders>
              <w:top w:val="single" w:sz="4" w:space="0" w:color="auto"/>
              <w:bottom w:val="single" w:sz="4" w:space="0" w:color="auto"/>
            </w:tcBorders>
          </w:tcPr>
          <w:p w14:paraId="244C7D20" w14:textId="77777777" w:rsidR="005E00A4" w:rsidRPr="00D12E59" w:rsidRDefault="005E00A4" w:rsidP="00465AE3">
            <w:pPr>
              <w:rPr>
                <w:rFonts w:ascii="Book Antiqua" w:hAnsi="Book Antiqua"/>
                <w:color w:val="000000"/>
              </w:rPr>
            </w:pPr>
          </w:p>
        </w:tc>
        <w:tc>
          <w:tcPr>
            <w:tcW w:w="2682" w:type="dxa"/>
            <w:tcBorders>
              <w:top w:val="single" w:sz="4" w:space="0" w:color="auto"/>
              <w:bottom w:val="single" w:sz="4" w:space="0" w:color="auto"/>
            </w:tcBorders>
            <w:shd w:val="clear" w:color="auto" w:fill="auto"/>
            <w:noWrap/>
            <w:vAlign w:val="bottom"/>
            <w:hideMark/>
          </w:tcPr>
          <w:p w14:paraId="2568E81A" w14:textId="77777777" w:rsidR="005E00A4" w:rsidRPr="00D12E59" w:rsidRDefault="005E00A4" w:rsidP="00465AE3">
            <w:pPr>
              <w:rPr>
                <w:rFonts w:ascii="Book Antiqua" w:hAnsi="Book Antiqua"/>
                <w:color w:val="000000"/>
              </w:rPr>
            </w:pPr>
            <w:r w:rsidRPr="00D12E59">
              <w:rPr>
                <w:rFonts w:ascii="Book Antiqua" w:hAnsi="Book Antiqua"/>
                <w:color w:val="000000"/>
              </w:rPr>
              <w:t>Log Likelihood</w:t>
            </w:r>
          </w:p>
        </w:tc>
        <w:tc>
          <w:tcPr>
            <w:tcW w:w="1380" w:type="dxa"/>
            <w:tcBorders>
              <w:top w:val="single" w:sz="4" w:space="0" w:color="auto"/>
              <w:bottom w:val="single" w:sz="4" w:space="0" w:color="auto"/>
            </w:tcBorders>
            <w:shd w:val="clear" w:color="auto" w:fill="auto"/>
            <w:noWrap/>
            <w:vAlign w:val="bottom"/>
            <w:hideMark/>
          </w:tcPr>
          <w:p w14:paraId="449CFF1E" w14:textId="77777777" w:rsidR="005E00A4" w:rsidRPr="00D12E59" w:rsidRDefault="005E00A4" w:rsidP="00465AE3">
            <w:pPr>
              <w:jc w:val="center"/>
              <w:rPr>
                <w:rFonts w:ascii="Book Antiqua" w:hAnsi="Book Antiqua"/>
                <w:color w:val="000000"/>
              </w:rPr>
            </w:pPr>
            <w:r w:rsidRPr="00D12E59">
              <w:rPr>
                <w:rFonts w:ascii="Book Antiqua" w:hAnsi="Book Antiqua"/>
                <w:color w:val="000000"/>
              </w:rPr>
              <w:t>2175.5353</w:t>
            </w:r>
          </w:p>
        </w:tc>
        <w:tc>
          <w:tcPr>
            <w:tcW w:w="1397" w:type="dxa"/>
            <w:tcBorders>
              <w:top w:val="single" w:sz="4" w:space="0" w:color="auto"/>
              <w:bottom w:val="single" w:sz="4" w:space="0" w:color="auto"/>
            </w:tcBorders>
            <w:shd w:val="clear" w:color="auto" w:fill="auto"/>
            <w:noWrap/>
            <w:vAlign w:val="bottom"/>
            <w:hideMark/>
          </w:tcPr>
          <w:p w14:paraId="55F3FB49" w14:textId="77777777" w:rsidR="005E00A4" w:rsidRPr="00D12E59" w:rsidRDefault="005E00A4" w:rsidP="00465AE3">
            <w:pPr>
              <w:rPr>
                <w:rFonts w:ascii="Book Antiqua" w:hAnsi="Book Antiqua"/>
                <w:color w:val="000000"/>
              </w:rPr>
            </w:pPr>
          </w:p>
        </w:tc>
        <w:tc>
          <w:tcPr>
            <w:tcW w:w="1207" w:type="dxa"/>
            <w:tcBorders>
              <w:top w:val="single" w:sz="4" w:space="0" w:color="auto"/>
              <w:bottom w:val="single" w:sz="4" w:space="0" w:color="auto"/>
            </w:tcBorders>
            <w:shd w:val="clear" w:color="auto" w:fill="auto"/>
            <w:noWrap/>
            <w:vAlign w:val="bottom"/>
            <w:hideMark/>
          </w:tcPr>
          <w:p w14:paraId="0BFC141D" w14:textId="77777777" w:rsidR="005E00A4" w:rsidRPr="00D12E59" w:rsidRDefault="005E00A4" w:rsidP="00465AE3">
            <w:pPr>
              <w:rPr>
                <w:rFonts w:ascii="Book Antiqua" w:hAnsi="Book Antiqua"/>
                <w:color w:val="000000"/>
              </w:rPr>
            </w:pPr>
          </w:p>
        </w:tc>
      </w:tr>
    </w:tbl>
    <w:p w14:paraId="6599ED13" w14:textId="77777777" w:rsidR="00CB00D2" w:rsidRDefault="00CB00D2" w:rsidP="008275E1">
      <w:pPr>
        <w:autoSpaceDE w:val="0"/>
        <w:autoSpaceDN w:val="0"/>
        <w:adjustRightInd w:val="0"/>
        <w:rPr>
          <w:rFonts w:ascii="Book Antiqua" w:hAnsi="Book Antiqua"/>
          <w:b/>
          <w:color w:val="000000"/>
        </w:rPr>
        <w:sectPr w:rsidR="00CB00D2" w:rsidSect="00CB00D2">
          <w:type w:val="continuous"/>
          <w:pgSz w:w="11907" w:h="16839" w:code="9"/>
          <w:pgMar w:top="1350" w:right="1440" w:bottom="1440" w:left="1440" w:header="720" w:footer="720" w:gutter="0"/>
          <w:cols w:space="720"/>
          <w:docGrid w:linePitch="360"/>
        </w:sectPr>
      </w:pPr>
    </w:p>
    <w:p w14:paraId="5D28D2C8" w14:textId="77777777" w:rsidR="004D4AB5" w:rsidRPr="00E3232D" w:rsidRDefault="004D4AB5" w:rsidP="008275E1">
      <w:pPr>
        <w:autoSpaceDE w:val="0"/>
        <w:autoSpaceDN w:val="0"/>
        <w:adjustRightInd w:val="0"/>
        <w:rPr>
          <w:rFonts w:ascii="Book Antiqua" w:hAnsi="Book Antiqua"/>
          <w:b/>
          <w:color w:val="000000"/>
        </w:rPr>
      </w:pPr>
    </w:p>
    <w:p w14:paraId="022B3D8B" w14:textId="77777777" w:rsidR="004D4AB5" w:rsidRPr="00E3232D" w:rsidRDefault="004D4AB5" w:rsidP="00CB00D2">
      <w:pPr>
        <w:autoSpaceDE w:val="0"/>
        <w:autoSpaceDN w:val="0"/>
        <w:adjustRightInd w:val="0"/>
        <w:jc w:val="both"/>
        <w:rPr>
          <w:rFonts w:ascii="Book Antiqua" w:hAnsi="Book Antiqua"/>
          <w:color w:val="000000"/>
        </w:rPr>
      </w:pPr>
      <w:r w:rsidRPr="00E3232D">
        <w:rPr>
          <w:rFonts w:ascii="Book Antiqua" w:hAnsi="Book Antiqua"/>
          <w:color w:val="000000"/>
        </w:rPr>
        <w:t>In effect the assumption of independence of the random process is being violated hence the inadequacy of the Poisson model. However, the Negative Binomial Distribution produced considerably good fits in the sense that it is the limiting form</w:t>
      </w:r>
      <w:r w:rsidRPr="00E3232D">
        <w:rPr>
          <w:rFonts w:ascii="Book Antiqua" w:hAnsi="Book Antiqua"/>
          <w:b/>
          <w:color w:val="000000"/>
        </w:rPr>
        <w:t xml:space="preserve"> </w:t>
      </w:r>
      <w:r w:rsidRPr="00E3232D">
        <w:rPr>
          <w:rFonts w:ascii="Book Antiqua" w:hAnsi="Book Antiqua"/>
          <w:color w:val="000000"/>
        </w:rPr>
        <w:t xml:space="preserve">of the resulting distributions that arise in the situation of occurrence and duration dependence and is known as Pölya - Eggenberger distribution. </w:t>
      </w:r>
    </w:p>
    <w:p w14:paraId="4FE4ACC6" w14:textId="77777777" w:rsidR="005E00A4" w:rsidRDefault="005E00A4" w:rsidP="00CB00D2">
      <w:pPr>
        <w:autoSpaceDE w:val="0"/>
        <w:autoSpaceDN w:val="0"/>
        <w:adjustRightInd w:val="0"/>
        <w:jc w:val="both"/>
        <w:rPr>
          <w:rFonts w:ascii="Book Antiqua" w:hAnsi="Book Antiqua"/>
          <w:color w:val="000000"/>
        </w:rPr>
      </w:pPr>
    </w:p>
    <w:p w14:paraId="12C51960" w14:textId="77777777" w:rsidR="005E00A4" w:rsidRDefault="005E00A4" w:rsidP="00CB00D2">
      <w:pPr>
        <w:autoSpaceDE w:val="0"/>
        <w:autoSpaceDN w:val="0"/>
        <w:adjustRightInd w:val="0"/>
        <w:jc w:val="both"/>
        <w:rPr>
          <w:rFonts w:ascii="Book Antiqua" w:hAnsi="Book Antiqua"/>
          <w:color w:val="000000"/>
        </w:rPr>
      </w:pPr>
    </w:p>
    <w:p w14:paraId="2E6B4281" w14:textId="77777777" w:rsidR="005E00A4" w:rsidRDefault="005E00A4" w:rsidP="00CB00D2">
      <w:pPr>
        <w:autoSpaceDE w:val="0"/>
        <w:autoSpaceDN w:val="0"/>
        <w:adjustRightInd w:val="0"/>
        <w:jc w:val="both"/>
        <w:rPr>
          <w:rFonts w:ascii="Book Antiqua" w:hAnsi="Book Antiqua"/>
          <w:color w:val="000000"/>
        </w:rPr>
      </w:pPr>
    </w:p>
    <w:p w14:paraId="63E32567" w14:textId="77777777" w:rsidR="005E00A4" w:rsidRDefault="005E00A4" w:rsidP="00CB00D2">
      <w:pPr>
        <w:autoSpaceDE w:val="0"/>
        <w:autoSpaceDN w:val="0"/>
        <w:adjustRightInd w:val="0"/>
        <w:jc w:val="both"/>
        <w:rPr>
          <w:rFonts w:ascii="Book Antiqua" w:hAnsi="Book Antiqua"/>
          <w:color w:val="000000"/>
        </w:rPr>
      </w:pPr>
    </w:p>
    <w:p w14:paraId="1C1ED8C1" w14:textId="77777777" w:rsidR="004D4AB5" w:rsidRPr="00E3232D" w:rsidRDefault="004D4AB5" w:rsidP="00CB00D2">
      <w:pPr>
        <w:autoSpaceDE w:val="0"/>
        <w:autoSpaceDN w:val="0"/>
        <w:adjustRightInd w:val="0"/>
        <w:jc w:val="both"/>
        <w:rPr>
          <w:rFonts w:ascii="Book Antiqua" w:hAnsi="Book Antiqua"/>
          <w:b/>
          <w:color w:val="000000"/>
        </w:rPr>
      </w:pPr>
      <w:r w:rsidRPr="00E3232D">
        <w:rPr>
          <w:rFonts w:ascii="Book Antiqua" w:hAnsi="Book Antiqua"/>
          <w:color w:val="000000"/>
        </w:rPr>
        <w:t>Again, the number of claim process is not homogeneous as required by the Poisson distribution. The occurrence of death which drives the number of claims varies with every policy holder as a result of unobservable social, moral, economic and health factors. Again, the Poisson distribution assumption of homogeneity is being violated and the Negative Binomial Distribution arises as the limiting distribution and for that matter is adequate.</w:t>
      </w:r>
    </w:p>
    <w:p w14:paraId="666E3303" w14:textId="77777777" w:rsidR="004D4AB5" w:rsidRPr="00E3232D" w:rsidRDefault="004D4AB5" w:rsidP="008275E1">
      <w:pPr>
        <w:autoSpaceDE w:val="0"/>
        <w:autoSpaceDN w:val="0"/>
        <w:adjustRightInd w:val="0"/>
        <w:rPr>
          <w:rFonts w:ascii="Book Antiqua" w:hAnsi="Book Antiqua"/>
          <w:b/>
          <w:color w:val="000000"/>
        </w:rPr>
      </w:pPr>
    </w:p>
    <w:p w14:paraId="2CA7DE32" w14:textId="77777777" w:rsidR="00CB00D2" w:rsidRDefault="00CB00D2" w:rsidP="008275E1">
      <w:pPr>
        <w:autoSpaceDE w:val="0"/>
        <w:autoSpaceDN w:val="0"/>
        <w:adjustRightInd w:val="0"/>
        <w:rPr>
          <w:rFonts w:ascii="Book Antiqua" w:hAnsi="Book Antiqua"/>
          <w:b/>
          <w:color w:val="000000"/>
        </w:rPr>
      </w:pPr>
    </w:p>
    <w:p w14:paraId="3F03F16A" w14:textId="77777777" w:rsidR="004D4AB5" w:rsidRPr="00E3232D" w:rsidRDefault="004D4AB5" w:rsidP="00CB00D2">
      <w:pPr>
        <w:autoSpaceDE w:val="0"/>
        <w:autoSpaceDN w:val="0"/>
        <w:adjustRightInd w:val="0"/>
        <w:jc w:val="both"/>
        <w:rPr>
          <w:rFonts w:ascii="Book Antiqua" w:hAnsi="Book Antiqua"/>
          <w:b/>
          <w:color w:val="000000"/>
        </w:rPr>
      </w:pPr>
      <w:r w:rsidRPr="00E3232D">
        <w:rPr>
          <w:rFonts w:ascii="Book Antiqua" w:hAnsi="Book Antiqua"/>
          <w:b/>
          <w:color w:val="000000"/>
        </w:rPr>
        <w:t>Bootstrap Estimates</w:t>
      </w:r>
    </w:p>
    <w:p w14:paraId="155153C4" w14:textId="77777777" w:rsidR="004D4AB5" w:rsidRDefault="004D4AB5" w:rsidP="00CB00D2">
      <w:pPr>
        <w:autoSpaceDE w:val="0"/>
        <w:autoSpaceDN w:val="0"/>
        <w:adjustRightInd w:val="0"/>
        <w:jc w:val="both"/>
        <w:rPr>
          <w:rFonts w:ascii="Book Antiqua" w:hAnsi="Book Antiqua"/>
          <w:color w:val="000000"/>
        </w:rPr>
      </w:pPr>
      <w:r w:rsidRPr="00E3232D">
        <w:rPr>
          <w:rFonts w:ascii="Book Antiqua" w:hAnsi="Book Antiqua"/>
          <w:color w:val="000000"/>
        </w:rPr>
        <w:t xml:space="preserve">Table 5 shows the summary statistics of the bootstrap estimate of 100 resamples from the estimated probability distribution of the number of claims from StarLife and MetLife. A comparison between the expected monthly number of Claims </w:t>
      </w:r>
      <w:r w:rsidRPr="00E3232D">
        <w:rPr>
          <w:rFonts w:ascii="Book Antiqua" w:hAnsi="Book Antiqua"/>
          <w:color w:val="000000"/>
          <w:position w:val="-6"/>
        </w:rPr>
        <w:object w:dxaOrig="180" w:dyaOrig="340" w14:anchorId="5C6C2C6A">
          <v:shape id="_x0000_i1048" type="#_x0000_t75" style="width:8.85pt;height:19pt" o:ole="">
            <v:imagedata r:id="rId164" o:title=""/>
          </v:shape>
          <o:OLEObject Type="Embed" ProgID="Equation.DSMT4" ShapeID="_x0000_i1048" DrawAspect="Content" ObjectID="_1680958706" r:id="rId165"/>
        </w:object>
      </w:r>
      <w:r w:rsidRPr="00E3232D">
        <w:rPr>
          <w:rFonts w:ascii="Book Antiqua" w:hAnsi="Book Antiqua"/>
          <w:color w:val="000000"/>
        </w:rPr>
        <w:t xml:space="preserve"> obtained by the probability models and that obtained from the bootstrap method </w:t>
      </w:r>
      <w:r w:rsidRPr="00E3232D">
        <w:rPr>
          <w:rFonts w:ascii="Book Antiqua" w:hAnsi="Book Antiqua"/>
          <w:color w:val="000000"/>
          <w:position w:val="-6"/>
        </w:rPr>
        <w:object w:dxaOrig="260" w:dyaOrig="340" w14:anchorId="3CF0BF9E">
          <v:shape id="_x0000_i1049" type="#_x0000_t75" style="width:12.25pt;height:19pt" o:ole="">
            <v:imagedata r:id="rId166" o:title=""/>
          </v:shape>
          <o:OLEObject Type="Embed" ProgID="Equation.DSMT4" ShapeID="_x0000_i1049" DrawAspect="Content" ObjectID="_1680958707" r:id="rId167"/>
        </w:object>
      </w:r>
      <w:r w:rsidRPr="00E3232D">
        <w:rPr>
          <w:rFonts w:ascii="Book Antiqua" w:hAnsi="Book Antiqua"/>
          <w:color w:val="000000"/>
        </w:rPr>
        <w:t>showed no significant variation as they were set at thirteen (13) and seventeen (17) claims for StarLife and MetLife insurance company.</w:t>
      </w:r>
    </w:p>
    <w:p w14:paraId="6C073B06" w14:textId="77777777" w:rsidR="00A32CF5" w:rsidRPr="00E3232D" w:rsidRDefault="00A32CF5" w:rsidP="00B80AC1">
      <w:pPr>
        <w:autoSpaceDE w:val="0"/>
        <w:autoSpaceDN w:val="0"/>
        <w:adjustRightInd w:val="0"/>
        <w:rPr>
          <w:rFonts w:ascii="Book Antiqua" w:hAnsi="Book Antiqua"/>
          <w:color w:val="000000"/>
        </w:rPr>
      </w:pPr>
    </w:p>
    <w:p w14:paraId="6C70578D" w14:textId="77777777" w:rsidR="004D4AB5" w:rsidRPr="00E3232D" w:rsidRDefault="004D4AB5" w:rsidP="008275E1">
      <w:pPr>
        <w:autoSpaceDE w:val="0"/>
        <w:autoSpaceDN w:val="0"/>
        <w:adjustRightInd w:val="0"/>
        <w:rPr>
          <w:rFonts w:ascii="Book Antiqua" w:hAnsi="Book Antiqua"/>
          <w:b/>
          <w:color w:val="000000"/>
        </w:rPr>
      </w:pPr>
    </w:p>
    <w:p w14:paraId="2CDBBE86" w14:textId="77777777" w:rsidR="00A32CF5" w:rsidRDefault="00A32CF5" w:rsidP="008275E1">
      <w:pPr>
        <w:autoSpaceDE w:val="0"/>
        <w:autoSpaceDN w:val="0"/>
        <w:adjustRightInd w:val="0"/>
        <w:rPr>
          <w:rFonts w:ascii="Book Antiqua" w:hAnsi="Book Antiqua"/>
          <w:b/>
          <w:color w:val="000000"/>
        </w:rPr>
        <w:sectPr w:rsidR="00A32CF5" w:rsidSect="008F6BC9">
          <w:type w:val="continuous"/>
          <w:pgSz w:w="11907" w:h="16839" w:code="9"/>
          <w:pgMar w:top="1350" w:right="1440" w:bottom="1440" w:left="1440" w:header="720" w:footer="720" w:gutter="0"/>
          <w:cols w:num="2" w:space="720"/>
          <w:docGrid w:linePitch="360"/>
        </w:sectPr>
      </w:pPr>
    </w:p>
    <w:p w14:paraId="0528EFBA" w14:textId="77777777" w:rsidR="00A32CF5" w:rsidRDefault="00A32CF5" w:rsidP="008275E1">
      <w:pPr>
        <w:autoSpaceDE w:val="0"/>
        <w:autoSpaceDN w:val="0"/>
        <w:adjustRightInd w:val="0"/>
        <w:rPr>
          <w:rFonts w:ascii="Book Antiqua" w:hAnsi="Book Antiqua"/>
          <w:b/>
          <w:color w:val="000000"/>
        </w:rPr>
      </w:pPr>
    </w:p>
    <w:p w14:paraId="0E816C45" w14:textId="77777777" w:rsidR="004D4AB5" w:rsidRPr="00E3232D" w:rsidRDefault="004D4AB5" w:rsidP="008275E1">
      <w:pPr>
        <w:autoSpaceDE w:val="0"/>
        <w:autoSpaceDN w:val="0"/>
        <w:adjustRightInd w:val="0"/>
        <w:rPr>
          <w:rFonts w:ascii="Book Antiqua" w:hAnsi="Book Antiqua"/>
          <w:b/>
          <w:color w:val="000000"/>
        </w:rPr>
      </w:pPr>
      <w:r w:rsidRPr="00E3232D">
        <w:rPr>
          <w:rFonts w:ascii="Book Antiqua" w:hAnsi="Book Antiqua"/>
          <w:b/>
          <w:color w:val="000000"/>
        </w:rPr>
        <w:t xml:space="preserve">Table 5: Summary statistics of Bootstrap replicates of Number of Claims from StarLife and MetLife </w:t>
      </w:r>
    </w:p>
    <w:p w14:paraId="1623414D" w14:textId="77777777" w:rsidR="00A32CF5" w:rsidRDefault="00A32CF5" w:rsidP="008275E1">
      <w:pPr>
        <w:rPr>
          <w:rFonts w:ascii="Book Antiqua" w:hAnsi="Book Antiqua"/>
          <w:color w:val="000000"/>
        </w:rPr>
        <w:sectPr w:rsidR="00A32CF5" w:rsidSect="00A32CF5">
          <w:type w:val="continuous"/>
          <w:pgSz w:w="11907" w:h="16839" w:code="9"/>
          <w:pgMar w:top="1350" w:right="1440" w:bottom="1440" w:left="1440" w:header="720" w:footer="720" w:gutter="0"/>
          <w:cols w:space="720"/>
          <w:docGrid w:linePitch="360"/>
        </w:sectPr>
      </w:pPr>
    </w:p>
    <w:tbl>
      <w:tblPr>
        <w:tblW w:w="5867" w:type="dxa"/>
        <w:tblInd w:w="97" w:type="dxa"/>
        <w:tblBorders>
          <w:top w:val="single" w:sz="4" w:space="0" w:color="auto"/>
          <w:bottom w:val="single" w:sz="4" w:space="0" w:color="auto"/>
        </w:tblBorders>
        <w:tblLook w:val="04A0" w:firstRow="1" w:lastRow="0" w:firstColumn="1" w:lastColumn="0" w:noHBand="0" w:noVBand="1"/>
      </w:tblPr>
      <w:tblGrid>
        <w:gridCol w:w="1234"/>
        <w:gridCol w:w="986"/>
        <w:gridCol w:w="986"/>
        <w:gridCol w:w="876"/>
        <w:gridCol w:w="986"/>
        <w:gridCol w:w="990"/>
      </w:tblGrid>
      <w:tr w:rsidR="002F445B" w:rsidRPr="00D12E59" w14:paraId="16693399" w14:textId="77777777" w:rsidTr="00A32CF5">
        <w:trPr>
          <w:trHeight w:val="58"/>
        </w:trPr>
        <w:tc>
          <w:tcPr>
            <w:tcW w:w="1195" w:type="dxa"/>
            <w:tcBorders>
              <w:top w:val="single" w:sz="4" w:space="0" w:color="auto"/>
              <w:bottom w:val="single" w:sz="4" w:space="0" w:color="auto"/>
            </w:tcBorders>
            <w:shd w:val="clear" w:color="auto" w:fill="auto"/>
            <w:noWrap/>
            <w:vAlign w:val="bottom"/>
            <w:hideMark/>
          </w:tcPr>
          <w:p w14:paraId="618CDD38" w14:textId="77777777" w:rsidR="004D4AB5" w:rsidRPr="00D12E59" w:rsidRDefault="004D4AB5" w:rsidP="008275E1">
            <w:pPr>
              <w:rPr>
                <w:rFonts w:ascii="Book Antiqua" w:hAnsi="Book Antiqua"/>
                <w:color w:val="000000"/>
              </w:rPr>
            </w:pPr>
            <w:r w:rsidRPr="00D12E59">
              <w:rPr>
                <w:rFonts w:ascii="Book Antiqua" w:hAnsi="Book Antiqua"/>
                <w:color w:val="000000"/>
              </w:rPr>
              <w:t> Company</w:t>
            </w:r>
          </w:p>
        </w:tc>
        <w:tc>
          <w:tcPr>
            <w:tcW w:w="955" w:type="dxa"/>
            <w:tcBorders>
              <w:top w:val="single" w:sz="4" w:space="0" w:color="auto"/>
              <w:bottom w:val="single" w:sz="4" w:space="0" w:color="auto"/>
            </w:tcBorders>
            <w:shd w:val="clear" w:color="auto" w:fill="auto"/>
            <w:noWrap/>
            <w:vAlign w:val="bottom"/>
            <w:hideMark/>
          </w:tcPr>
          <w:p w14:paraId="740F9AA9" w14:textId="77777777" w:rsidR="004D4AB5" w:rsidRPr="00D12E59" w:rsidRDefault="004D4AB5" w:rsidP="008275E1">
            <w:pPr>
              <w:jc w:val="center"/>
              <w:rPr>
                <w:rFonts w:ascii="Book Antiqua" w:hAnsi="Book Antiqua"/>
                <w:color w:val="000000"/>
              </w:rPr>
            </w:pPr>
            <w:r w:rsidRPr="00D12E59">
              <w:rPr>
                <w:rFonts w:ascii="Book Antiqua" w:hAnsi="Book Antiqua"/>
                <w:color w:val="000000"/>
                <w:position w:val="-6"/>
              </w:rPr>
              <w:object w:dxaOrig="180" w:dyaOrig="340" w14:anchorId="7AF3D375">
                <v:shape id="_x0000_i1050" type="#_x0000_t75" style="width:8.85pt;height:19pt" o:ole="">
                  <v:imagedata r:id="rId164" o:title=""/>
                </v:shape>
                <o:OLEObject Type="Embed" ProgID="Equation.DSMT4" ShapeID="_x0000_i1050" DrawAspect="Content" ObjectID="_1680958708" r:id="rId168"/>
              </w:object>
            </w:r>
          </w:p>
        </w:tc>
        <w:tc>
          <w:tcPr>
            <w:tcW w:w="955" w:type="dxa"/>
            <w:tcBorders>
              <w:top w:val="single" w:sz="4" w:space="0" w:color="auto"/>
              <w:bottom w:val="single" w:sz="4" w:space="0" w:color="auto"/>
            </w:tcBorders>
            <w:shd w:val="clear" w:color="auto" w:fill="auto"/>
            <w:noWrap/>
            <w:vAlign w:val="bottom"/>
            <w:hideMark/>
          </w:tcPr>
          <w:p w14:paraId="15AD4620" w14:textId="77777777" w:rsidR="004D4AB5" w:rsidRPr="00D12E59" w:rsidRDefault="004D4AB5" w:rsidP="008275E1">
            <w:pPr>
              <w:jc w:val="center"/>
              <w:rPr>
                <w:rFonts w:ascii="Book Antiqua" w:hAnsi="Book Antiqua"/>
                <w:color w:val="000000"/>
              </w:rPr>
            </w:pPr>
            <w:r w:rsidRPr="00D12E59">
              <w:rPr>
                <w:rFonts w:ascii="Book Antiqua" w:hAnsi="Book Antiqua"/>
                <w:color w:val="000000"/>
                <w:position w:val="-6"/>
              </w:rPr>
              <w:object w:dxaOrig="300" w:dyaOrig="340" w14:anchorId="77041F25">
                <v:shape id="_x0000_i1051" type="#_x0000_t75" style="width:14.95pt;height:19pt" o:ole="">
                  <v:imagedata r:id="rId169" o:title=""/>
                </v:shape>
                <o:OLEObject Type="Embed" ProgID="Equation.DSMT4" ShapeID="_x0000_i1051" DrawAspect="Content" ObjectID="_1680958709" r:id="rId170"/>
              </w:object>
            </w:r>
          </w:p>
        </w:tc>
        <w:tc>
          <w:tcPr>
            <w:tcW w:w="848" w:type="dxa"/>
            <w:tcBorders>
              <w:top w:val="single" w:sz="4" w:space="0" w:color="auto"/>
              <w:bottom w:val="single" w:sz="4" w:space="0" w:color="auto"/>
            </w:tcBorders>
            <w:shd w:val="clear" w:color="auto" w:fill="auto"/>
            <w:noWrap/>
            <w:vAlign w:val="bottom"/>
            <w:hideMark/>
          </w:tcPr>
          <w:p w14:paraId="3367EF80" w14:textId="77777777" w:rsidR="004D4AB5" w:rsidRPr="00D12E59" w:rsidRDefault="004D4AB5" w:rsidP="008275E1">
            <w:pPr>
              <w:jc w:val="center"/>
              <w:rPr>
                <w:rFonts w:ascii="Book Antiqua" w:hAnsi="Book Antiqua"/>
                <w:color w:val="000000"/>
              </w:rPr>
            </w:pPr>
            <w:r w:rsidRPr="00D12E59">
              <w:rPr>
                <w:rFonts w:ascii="Book Antiqua" w:hAnsi="Book Antiqua"/>
                <w:color w:val="000000"/>
              </w:rPr>
              <w:t>Bias</w:t>
            </w:r>
          </w:p>
        </w:tc>
        <w:tc>
          <w:tcPr>
            <w:tcW w:w="955" w:type="dxa"/>
            <w:tcBorders>
              <w:top w:val="single" w:sz="4" w:space="0" w:color="auto"/>
              <w:bottom w:val="single" w:sz="4" w:space="0" w:color="auto"/>
            </w:tcBorders>
            <w:shd w:val="clear" w:color="auto" w:fill="auto"/>
            <w:noWrap/>
            <w:vAlign w:val="bottom"/>
            <w:hideMark/>
          </w:tcPr>
          <w:p w14:paraId="355BCBFB" w14:textId="77777777" w:rsidR="004D4AB5" w:rsidRPr="00D12E59" w:rsidRDefault="004D4AB5" w:rsidP="008275E1">
            <w:pPr>
              <w:jc w:val="center"/>
              <w:rPr>
                <w:rFonts w:ascii="Book Antiqua" w:hAnsi="Book Antiqua"/>
                <w:color w:val="000000"/>
              </w:rPr>
            </w:pPr>
            <w:r w:rsidRPr="00D12E59">
              <w:rPr>
                <w:rFonts w:ascii="Book Antiqua" w:hAnsi="Book Antiqua"/>
                <w:color w:val="000000"/>
                <w:position w:val="-6"/>
              </w:rPr>
              <w:object w:dxaOrig="260" w:dyaOrig="340" w14:anchorId="742BC127">
                <v:shape id="_x0000_i1052" type="#_x0000_t75" style="width:12.25pt;height:19pt" o:ole="">
                  <v:imagedata r:id="rId166" o:title=""/>
                </v:shape>
                <o:OLEObject Type="Embed" ProgID="Equation.DSMT4" ShapeID="_x0000_i1052" DrawAspect="Content" ObjectID="_1680958710" r:id="rId171"/>
              </w:object>
            </w:r>
          </w:p>
        </w:tc>
        <w:tc>
          <w:tcPr>
            <w:tcW w:w="959" w:type="dxa"/>
            <w:tcBorders>
              <w:top w:val="single" w:sz="4" w:space="0" w:color="auto"/>
              <w:bottom w:val="single" w:sz="4" w:space="0" w:color="auto"/>
            </w:tcBorders>
            <w:shd w:val="clear" w:color="auto" w:fill="auto"/>
            <w:noWrap/>
            <w:vAlign w:val="bottom"/>
            <w:hideMark/>
          </w:tcPr>
          <w:p w14:paraId="1DAD24CB" w14:textId="77777777" w:rsidR="004D4AB5" w:rsidRPr="00D12E59" w:rsidRDefault="004D4AB5" w:rsidP="008D5EB3">
            <w:pPr>
              <w:rPr>
                <w:rFonts w:ascii="Book Antiqua" w:hAnsi="Book Antiqua"/>
                <w:color w:val="000000"/>
              </w:rPr>
            </w:pPr>
            <w:r w:rsidRPr="00D12E59">
              <w:rPr>
                <w:rFonts w:ascii="Book Antiqua" w:hAnsi="Book Antiqua"/>
                <w:color w:val="000000"/>
                <w:position w:val="-18"/>
              </w:rPr>
              <w:object w:dxaOrig="780" w:dyaOrig="480" w14:anchorId="4D9DF8F7">
                <v:shape id="_x0000_i1053" type="#_x0000_t75" style="width:38.7pt;height:23.75pt" o:ole="">
                  <v:imagedata r:id="rId172" o:title=""/>
                </v:shape>
                <o:OLEObject Type="Embed" ProgID="Equation.DSMT4" ShapeID="_x0000_i1053" DrawAspect="Content" ObjectID="_1680958711" r:id="rId173"/>
              </w:object>
            </w:r>
          </w:p>
        </w:tc>
      </w:tr>
      <w:tr w:rsidR="002F445B" w:rsidRPr="00D12E59" w14:paraId="5C2E58B2" w14:textId="77777777" w:rsidTr="00A32CF5">
        <w:trPr>
          <w:trHeight w:val="58"/>
        </w:trPr>
        <w:tc>
          <w:tcPr>
            <w:tcW w:w="1195" w:type="dxa"/>
            <w:tcBorders>
              <w:top w:val="single" w:sz="4" w:space="0" w:color="auto"/>
            </w:tcBorders>
            <w:shd w:val="clear" w:color="auto" w:fill="auto"/>
            <w:noWrap/>
            <w:vAlign w:val="bottom"/>
            <w:hideMark/>
          </w:tcPr>
          <w:p w14:paraId="5CED42BB" w14:textId="77777777" w:rsidR="004D4AB5" w:rsidRPr="00D12E59" w:rsidRDefault="004D4AB5" w:rsidP="008275E1">
            <w:pPr>
              <w:rPr>
                <w:rFonts w:ascii="Book Antiqua" w:hAnsi="Book Antiqua"/>
                <w:color w:val="000000"/>
              </w:rPr>
            </w:pPr>
            <w:r w:rsidRPr="00D12E59">
              <w:rPr>
                <w:rFonts w:ascii="Book Antiqua" w:hAnsi="Book Antiqua"/>
                <w:color w:val="000000"/>
              </w:rPr>
              <w:t> StarLife</w:t>
            </w:r>
          </w:p>
        </w:tc>
        <w:tc>
          <w:tcPr>
            <w:tcW w:w="955" w:type="dxa"/>
            <w:tcBorders>
              <w:top w:val="single" w:sz="4" w:space="0" w:color="auto"/>
            </w:tcBorders>
            <w:shd w:val="clear" w:color="auto" w:fill="auto"/>
            <w:noWrap/>
            <w:vAlign w:val="bottom"/>
            <w:hideMark/>
          </w:tcPr>
          <w:p w14:paraId="1525EB16" w14:textId="77777777" w:rsidR="004D4AB5" w:rsidRPr="00D12E59" w:rsidRDefault="004D4AB5" w:rsidP="008275E1">
            <w:pPr>
              <w:rPr>
                <w:rFonts w:ascii="Book Antiqua" w:hAnsi="Book Antiqua"/>
                <w:color w:val="000000"/>
              </w:rPr>
            </w:pPr>
            <w:r w:rsidRPr="00D12E59">
              <w:rPr>
                <w:rFonts w:ascii="Book Antiqua" w:hAnsi="Book Antiqua"/>
                <w:color w:val="000000"/>
              </w:rPr>
              <w:t> 13.0500</w:t>
            </w:r>
          </w:p>
        </w:tc>
        <w:tc>
          <w:tcPr>
            <w:tcW w:w="955" w:type="dxa"/>
            <w:tcBorders>
              <w:top w:val="single" w:sz="4" w:space="0" w:color="auto"/>
            </w:tcBorders>
            <w:shd w:val="clear" w:color="auto" w:fill="auto"/>
            <w:noWrap/>
            <w:vAlign w:val="bottom"/>
            <w:hideMark/>
          </w:tcPr>
          <w:p w14:paraId="6AB854BA" w14:textId="77777777" w:rsidR="004D4AB5" w:rsidRPr="00D12E59" w:rsidRDefault="004D4AB5" w:rsidP="008275E1">
            <w:pPr>
              <w:rPr>
                <w:rFonts w:ascii="Book Antiqua" w:hAnsi="Book Antiqua"/>
                <w:color w:val="000000"/>
              </w:rPr>
            </w:pPr>
            <w:r w:rsidRPr="00D12E59">
              <w:rPr>
                <w:rFonts w:ascii="Book Antiqua" w:hAnsi="Book Antiqua"/>
                <w:color w:val="000000"/>
              </w:rPr>
              <w:t> 12.9978</w:t>
            </w:r>
          </w:p>
        </w:tc>
        <w:tc>
          <w:tcPr>
            <w:tcW w:w="848" w:type="dxa"/>
            <w:tcBorders>
              <w:top w:val="single" w:sz="4" w:space="0" w:color="auto"/>
            </w:tcBorders>
            <w:shd w:val="clear" w:color="auto" w:fill="auto"/>
            <w:noWrap/>
            <w:vAlign w:val="bottom"/>
            <w:hideMark/>
          </w:tcPr>
          <w:p w14:paraId="3C974414" w14:textId="77777777" w:rsidR="004D4AB5" w:rsidRPr="00D12E59" w:rsidRDefault="004D4AB5" w:rsidP="008275E1">
            <w:pPr>
              <w:rPr>
                <w:rFonts w:ascii="Book Antiqua" w:hAnsi="Book Antiqua"/>
                <w:color w:val="000000"/>
              </w:rPr>
            </w:pPr>
            <w:r w:rsidRPr="00D12E59">
              <w:rPr>
                <w:rFonts w:ascii="Book Antiqua" w:hAnsi="Book Antiqua"/>
                <w:color w:val="000000"/>
              </w:rPr>
              <w:t>-0.0522 </w:t>
            </w:r>
          </w:p>
        </w:tc>
        <w:tc>
          <w:tcPr>
            <w:tcW w:w="955" w:type="dxa"/>
            <w:tcBorders>
              <w:top w:val="single" w:sz="4" w:space="0" w:color="auto"/>
            </w:tcBorders>
            <w:shd w:val="clear" w:color="auto" w:fill="auto"/>
            <w:noWrap/>
            <w:vAlign w:val="bottom"/>
            <w:hideMark/>
          </w:tcPr>
          <w:p w14:paraId="121B8B4F" w14:textId="77777777" w:rsidR="004D4AB5" w:rsidRPr="00D12E59" w:rsidRDefault="004D4AB5" w:rsidP="008275E1">
            <w:pPr>
              <w:rPr>
                <w:rFonts w:ascii="Book Antiqua" w:hAnsi="Book Antiqua"/>
                <w:color w:val="000000"/>
              </w:rPr>
            </w:pPr>
            <w:r w:rsidRPr="00D12E59">
              <w:rPr>
                <w:rFonts w:ascii="Book Antiqua" w:hAnsi="Book Antiqua"/>
                <w:color w:val="000000"/>
              </w:rPr>
              <w:t>13.1022 </w:t>
            </w:r>
          </w:p>
        </w:tc>
        <w:tc>
          <w:tcPr>
            <w:tcW w:w="959" w:type="dxa"/>
            <w:tcBorders>
              <w:top w:val="single" w:sz="4" w:space="0" w:color="auto"/>
            </w:tcBorders>
            <w:shd w:val="clear" w:color="auto" w:fill="auto"/>
            <w:noWrap/>
            <w:vAlign w:val="bottom"/>
            <w:hideMark/>
          </w:tcPr>
          <w:p w14:paraId="45BC1996" w14:textId="77777777" w:rsidR="004D4AB5" w:rsidRPr="00D12E59" w:rsidRDefault="004D4AB5" w:rsidP="008275E1">
            <w:pPr>
              <w:rPr>
                <w:rFonts w:ascii="Book Antiqua" w:hAnsi="Book Antiqua"/>
                <w:color w:val="000000"/>
              </w:rPr>
            </w:pPr>
            <w:r w:rsidRPr="00D12E59">
              <w:rPr>
                <w:rFonts w:ascii="Book Antiqua" w:hAnsi="Book Antiqua"/>
                <w:color w:val="000000"/>
              </w:rPr>
              <w:t>1.9932 </w:t>
            </w:r>
          </w:p>
        </w:tc>
      </w:tr>
      <w:tr w:rsidR="002F445B" w:rsidRPr="00D12E59" w14:paraId="72C8EED1" w14:textId="77777777" w:rsidTr="00A32CF5">
        <w:trPr>
          <w:trHeight w:val="58"/>
        </w:trPr>
        <w:tc>
          <w:tcPr>
            <w:tcW w:w="1195" w:type="dxa"/>
            <w:shd w:val="clear" w:color="auto" w:fill="auto"/>
            <w:noWrap/>
            <w:vAlign w:val="bottom"/>
            <w:hideMark/>
          </w:tcPr>
          <w:p w14:paraId="790D9042" w14:textId="77777777" w:rsidR="004D4AB5" w:rsidRPr="00D12E59" w:rsidRDefault="004D4AB5" w:rsidP="008275E1">
            <w:pPr>
              <w:rPr>
                <w:rFonts w:ascii="Book Antiqua" w:hAnsi="Book Antiqua"/>
                <w:color w:val="000000"/>
              </w:rPr>
            </w:pPr>
            <w:r w:rsidRPr="00D12E59">
              <w:rPr>
                <w:rFonts w:ascii="Book Antiqua" w:hAnsi="Book Antiqua"/>
                <w:color w:val="000000"/>
              </w:rPr>
              <w:t> MetLife</w:t>
            </w:r>
          </w:p>
        </w:tc>
        <w:tc>
          <w:tcPr>
            <w:tcW w:w="955" w:type="dxa"/>
            <w:shd w:val="clear" w:color="auto" w:fill="auto"/>
            <w:noWrap/>
            <w:vAlign w:val="bottom"/>
            <w:hideMark/>
          </w:tcPr>
          <w:p w14:paraId="18642DE3" w14:textId="77777777" w:rsidR="004D4AB5" w:rsidRPr="00D12E59" w:rsidRDefault="004D4AB5" w:rsidP="008275E1">
            <w:pPr>
              <w:rPr>
                <w:rFonts w:ascii="Book Antiqua" w:hAnsi="Book Antiqua"/>
                <w:color w:val="000000"/>
              </w:rPr>
            </w:pPr>
            <w:r w:rsidRPr="00D12E59">
              <w:rPr>
                <w:rFonts w:ascii="Book Antiqua" w:hAnsi="Book Antiqua"/>
                <w:color w:val="000000"/>
              </w:rPr>
              <w:t> 16.6500</w:t>
            </w:r>
          </w:p>
        </w:tc>
        <w:tc>
          <w:tcPr>
            <w:tcW w:w="955" w:type="dxa"/>
            <w:shd w:val="clear" w:color="auto" w:fill="auto"/>
            <w:noWrap/>
            <w:vAlign w:val="bottom"/>
            <w:hideMark/>
          </w:tcPr>
          <w:p w14:paraId="56412552" w14:textId="77777777" w:rsidR="004D4AB5" w:rsidRPr="00D12E59" w:rsidRDefault="004D4AB5" w:rsidP="008275E1">
            <w:pPr>
              <w:rPr>
                <w:rFonts w:ascii="Book Antiqua" w:hAnsi="Book Antiqua"/>
                <w:color w:val="000000"/>
              </w:rPr>
            </w:pPr>
            <w:r w:rsidRPr="00D12E59">
              <w:rPr>
                <w:rFonts w:ascii="Book Antiqua" w:hAnsi="Book Antiqua"/>
                <w:color w:val="000000"/>
              </w:rPr>
              <w:t>16.7274 </w:t>
            </w:r>
          </w:p>
        </w:tc>
        <w:tc>
          <w:tcPr>
            <w:tcW w:w="848" w:type="dxa"/>
            <w:shd w:val="clear" w:color="auto" w:fill="auto"/>
            <w:noWrap/>
            <w:vAlign w:val="bottom"/>
            <w:hideMark/>
          </w:tcPr>
          <w:p w14:paraId="1C419C0C" w14:textId="77777777" w:rsidR="004D4AB5" w:rsidRPr="00D12E59" w:rsidRDefault="004D4AB5" w:rsidP="008275E1">
            <w:pPr>
              <w:rPr>
                <w:rFonts w:ascii="Book Antiqua" w:hAnsi="Book Antiqua"/>
                <w:color w:val="000000"/>
              </w:rPr>
            </w:pPr>
            <w:r w:rsidRPr="00D12E59">
              <w:rPr>
                <w:rFonts w:ascii="Book Antiqua" w:hAnsi="Book Antiqua"/>
                <w:color w:val="000000"/>
              </w:rPr>
              <w:t>0.0774 </w:t>
            </w:r>
          </w:p>
        </w:tc>
        <w:tc>
          <w:tcPr>
            <w:tcW w:w="955" w:type="dxa"/>
            <w:shd w:val="clear" w:color="auto" w:fill="auto"/>
            <w:noWrap/>
            <w:vAlign w:val="bottom"/>
            <w:hideMark/>
          </w:tcPr>
          <w:p w14:paraId="1C0C495C" w14:textId="77777777" w:rsidR="004D4AB5" w:rsidRPr="00D12E59" w:rsidRDefault="004D4AB5" w:rsidP="008275E1">
            <w:pPr>
              <w:rPr>
                <w:rFonts w:ascii="Book Antiqua" w:hAnsi="Book Antiqua"/>
                <w:color w:val="000000"/>
              </w:rPr>
            </w:pPr>
            <w:r w:rsidRPr="00D12E59">
              <w:rPr>
                <w:rFonts w:ascii="Book Antiqua" w:hAnsi="Book Antiqua"/>
                <w:color w:val="000000"/>
              </w:rPr>
              <w:t>16.5726 </w:t>
            </w:r>
          </w:p>
        </w:tc>
        <w:tc>
          <w:tcPr>
            <w:tcW w:w="959" w:type="dxa"/>
            <w:shd w:val="clear" w:color="auto" w:fill="auto"/>
            <w:noWrap/>
            <w:vAlign w:val="bottom"/>
            <w:hideMark/>
          </w:tcPr>
          <w:p w14:paraId="1E670F76" w14:textId="77777777" w:rsidR="004D4AB5" w:rsidRPr="00D12E59" w:rsidRDefault="004D4AB5" w:rsidP="008275E1">
            <w:pPr>
              <w:rPr>
                <w:rFonts w:ascii="Book Antiqua" w:hAnsi="Book Antiqua"/>
                <w:color w:val="000000"/>
              </w:rPr>
            </w:pPr>
            <w:r w:rsidRPr="00D12E59">
              <w:rPr>
                <w:rFonts w:ascii="Book Antiqua" w:hAnsi="Book Antiqua"/>
                <w:color w:val="000000"/>
              </w:rPr>
              <w:t>1.7831 </w:t>
            </w:r>
          </w:p>
        </w:tc>
      </w:tr>
    </w:tbl>
    <w:p w14:paraId="217EB6AC" w14:textId="77777777" w:rsidR="00A32CF5" w:rsidRDefault="00A32CF5" w:rsidP="008275E1">
      <w:pPr>
        <w:autoSpaceDE w:val="0"/>
        <w:autoSpaceDN w:val="0"/>
        <w:adjustRightInd w:val="0"/>
        <w:rPr>
          <w:rFonts w:ascii="Book Antiqua" w:hAnsi="Book Antiqua"/>
          <w:b/>
          <w:color w:val="000000"/>
        </w:rPr>
        <w:sectPr w:rsidR="00A32CF5" w:rsidSect="00A32CF5">
          <w:type w:val="continuous"/>
          <w:pgSz w:w="11907" w:h="16839" w:code="9"/>
          <w:pgMar w:top="1350" w:right="1440" w:bottom="1440" w:left="1440" w:header="720" w:footer="720" w:gutter="0"/>
          <w:cols w:space="720"/>
          <w:docGrid w:linePitch="360"/>
        </w:sectPr>
      </w:pPr>
    </w:p>
    <w:p w14:paraId="1532A9F2" w14:textId="77777777" w:rsidR="004D4AB5" w:rsidRPr="00E3232D" w:rsidRDefault="004D4AB5" w:rsidP="008275E1">
      <w:pPr>
        <w:autoSpaceDE w:val="0"/>
        <w:autoSpaceDN w:val="0"/>
        <w:adjustRightInd w:val="0"/>
        <w:rPr>
          <w:rFonts w:ascii="Book Antiqua" w:hAnsi="Book Antiqua"/>
          <w:b/>
          <w:color w:val="000000"/>
        </w:rPr>
      </w:pPr>
    </w:p>
    <w:p w14:paraId="53AE6B00" w14:textId="77777777" w:rsidR="004D4AB5" w:rsidRPr="00E3232D" w:rsidRDefault="00806674" w:rsidP="008275E1">
      <w:pPr>
        <w:autoSpaceDE w:val="0"/>
        <w:autoSpaceDN w:val="0"/>
        <w:adjustRightInd w:val="0"/>
        <w:rPr>
          <w:rFonts w:ascii="Book Antiqua" w:hAnsi="Book Antiqua"/>
          <w:b/>
          <w:color w:val="000000"/>
        </w:rPr>
      </w:pPr>
      <w:r>
        <w:rPr>
          <w:rFonts w:ascii="Book Antiqua" w:hAnsi="Book Antiqua"/>
          <w:b/>
          <w:color w:val="000000"/>
        </w:rPr>
        <w:t>4</w:t>
      </w:r>
      <w:r w:rsidR="004D4AB5" w:rsidRPr="00E3232D">
        <w:rPr>
          <w:rFonts w:ascii="Book Antiqua" w:hAnsi="Book Antiqua"/>
          <w:b/>
          <w:color w:val="000000"/>
        </w:rPr>
        <w:t>.</w:t>
      </w:r>
      <w:r>
        <w:rPr>
          <w:rFonts w:ascii="Book Antiqua" w:hAnsi="Book Antiqua"/>
          <w:b/>
          <w:color w:val="000000"/>
        </w:rPr>
        <w:t xml:space="preserve">0 </w:t>
      </w:r>
      <w:r w:rsidR="004D4AB5" w:rsidRPr="00E3232D">
        <w:rPr>
          <w:rFonts w:ascii="Book Antiqua" w:hAnsi="Book Antiqua"/>
          <w:b/>
          <w:color w:val="000000"/>
        </w:rPr>
        <w:t xml:space="preserve"> </w:t>
      </w:r>
      <w:r w:rsidR="004D4AB5" w:rsidRPr="00806674">
        <w:rPr>
          <w:rFonts w:ascii="Book Antiqua" w:hAnsi="Book Antiqua"/>
          <w:b/>
          <w:color w:val="000000"/>
        </w:rPr>
        <w:t>Conclusion and Recommendations</w:t>
      </w:r>
    </w:p>
    <w:p w14:paraId="654BC0C8" w14:textId="77777777" w:rsidR="004D4AB5" w:rsidRPr="00E3232D" w:rsidRDefault="004D4AB5" w:rsidP="00CB00D2">
      <w:pPr>
        <w:autoSpaceDE w:val="0"/>
        <w:autoSpaceDN w:val="0"/>
        <w:adjustRightInd w:val="0"/>
        <w:jc w:val="both"/>
        <w:rPr>
          <w:rFonts w:ascii="Book Antiqua" w:hAnsi="Book Antiqua"/>
          <w:color w:val="000000"/>
        </w:rPr>
      </w:pPr>
      <w:r w:rsidRPr="00E3232D">
        <w:rPr>
          <w:rFonts w:ascii="Book Antiqua" w:hAnsi="Book Antiqua"/>
          <w:color w:val="000000"/>
        </w:rPr>
        <w:t xml:space="preserve">This research only focuses on choosing between the Poisson and the Negative Binomial distribution for fitting insurance claims and estimating the monthly expected number of claims. The Negative Binomial distribution appear to be superior to the Poisson distribution for fitting insurance claims and therefore, provides somewhat reliable estimates for planning, decision-making as well as estimation in insurance administration. The bootstrap estimates did not vary from the estimates obtained by the probability models. </w:t>
      </w:r>
    </w:p>
    <w:p w14:paraId="262F9412" w14:textId="77777777" w:rsidR="00CB00D2" w:rsidRDefault="00CB00D2" w:rsidP="00A32CF5">
      <w:pPr>
        <w:autoSpaceDE w:val="0"/>
        <w:autoSpaceDN w:val="0"/>
        <w:adjustRightInd w:val="0"/>
        <w:rPr>
          <w:rFonts w:ascii="Book Antiqua" w:hAnsi="Book Antiqua"/>
          <w:color w:val="000000"/>
        </w:rPr>
      </w:pPr>
    </w:p>
    <w:p w14:paraId="0A504119" w14:textId="77777777" w:rsidR="00CB00D2" w:rsidRDefault="00CB00D2" w:rsidP="00A32CF5">
      <w:pPr>
        <w:autoSpaceDE w:val="0"/>
        <w:autoSpaceDN w:val="0"/>
        <w:adjustRightInd w:val="0"/>
        <w:rPr>
          <w:rFonts w:ascii="Book Antiqua" w:hAnsi="Book Antiqua"/>
          <w:color w:val="000000"/>
        </w:rPr>
      </w:pPr>
    </w:p>
    <w:p w14:paraId="43DE054B" w14:textId="77777777" w:rsidR="004D4AB5" w:rsidRPr="00E3232D" w:rsidRDefault="004D4AB5" w:rsidP="00CB00D2">
      <w:pPr>
        <w:autoSpaceDE w:val="0"/>
        <w:autoSpaceDN w:val="0"/>
        <w:adjustRightInd w:val="0"/>
        <w:jc w:val="both"/>
        <w:rPr>
          <w:rFonts w:ascii="Book Antiqua" w:hAnsi="Book Antiqua"/>
          <w:color w:val="000000"/>
        </w:rPr>
      </w:pPr>
      <w:r w:rsidRPr="00E3232D">
        <w:rPr>
          <w:rFonts w:ascii="Book Antiqua" w:hAnsi="Book Antiqua"/>
          <w:color w:val="000000"/>
        </w:rPr>
        <w:t>We therefore recommend the negative binomial distribution over the Poisson distribution</w:t>
      </w:r>
    </w:p>
    <w:p w14:paraId="377DE457" w14:textId="77777777" w:rsidR="00BC54B9" w:rsidRDefault="004D4AB5" w:rsidP="00CB00D2">
      <w:pPr>
        <w:autoSpaceDE w:val="0"/>
        <w:autoSpaceDN w:val="0"/>
        <w:adjustRightInd w:val="0"/>
        <w:jc w:val="both"/>
        <w:rPr>
          <w:rFonts w:ascii="Book Antiqua" w:hAnsi="Book Antiqua"/>
          <w:color w:val="000000"/>
        </w:rPr>
      </w:pPr>
      <w:r w:rsidRPr="00E3232D">
        <w:rPr>
          <w:rFonts w:ascii="Book Antiqua" w:hAnsi="Book Antiqua"/>
          <w:color w:val="000000"/>
        </w:rPr>
        <w:t xml:space="preserve">for fitting insurance claim. The bootstrap estimates should be obtained and compared with the estimates from the probability models to authenticate the </w:t>
      </w:r>
    </w:p>
    <w:p w14:paraId="73ADAC21" w14:textId="77777777" w:rsidR="00BC54B9" w:rsidRDefault="00BC54B9" w:rsidP="008275E1">
      <w:pPr>
        <w:autoSpaceDE w:val="0"/>
        <w:autoSpaceDN w:val="0"/>
        <w:adjustRightInd w:val="0"/>
        <w:rPr>
          <w:rFonts w:ascii="Book Antiqua" w:hAnsi="Book Antiqua"/>
          <w:color w:val="000000"/>
        </w:rPr>
      </w:pPr>
    </w:p>
    <w:p w14:paraId="68B1559D" w14:textId="77777777" w:rsidR="004D4AB5" w:rsidRPr="00E3232D" w:rsidRDefault="004D4AB5" w:rsidP="00CB00D2">
      <w:pPr>
        <w:autoSpaceDE w:val="0"/>
        <w:autoSpaceDN w:val="0"/>
        <w:adjustRightInd w:val="0"/>
        <w:jc w:val="both"/>
        <w:rPr>
          <w:rFonts w:ascii="Book Antiqua" w:hAnsi="Book Antiqua"/>
          <w:color w:val="000000"/>
        </w:rPr>
      </w:pPr>
      <w:r w:rsidRPr="00E3232D">
        <w:rPr>
          <w:rFonts w:ascii="Book Antiqua" w:hAnsi="Book Antiqua"/>
          <w:color w:val="000000"/>
        </w:rPr>
        <w:t>estimates. Lastly, we recommend that further work should be conducted using other models including mixed Poisson probability models.</w:t>
      </w:r>
    </w:p>
    <w:p w14:paraId="762E49F7" w14:textId="77777777" w:rsidR="004D4AB5" w:rsidRPr="00E3232D" w:rsidRDefault="004D4AB5" w:rsidP="008275E1">
      <w:pPr>
        <w:autoSpaceDE w:val="0"/>
        <w:autoSpaceDN w:val="0"/>
        <w:adjustRightInd w:val="0"/>
        <w:rPr>
          <w:rStyle w:val="medium-font"/>
          <w:rFonts w:ascii="Book Antiqua" w:hAnsi="Book Antiqua"/>
          <w:color w:val="000000"/>
          <w:bdr w:val="none" w:sz="0" w:space="0" w:color="auto" w:frame="1"/>
        </w:rPr>
      </w:pPr>
      <w:bookmarkStart w:id="40" w:name="Result_1"/>
    </w:p>
    <w:p w14:paraId="68D87214" w14:textId="77777777" w:rsidR="00CB00D2" w:rsidRDefault="00CB00D2" w:rsidP="008275E1">
      <w:pPr>
        <w:autoSpaceDE w:val="0"/>
        <w:autoSpaceDN w:val="0"/>
        <w:adjustRightInd w:val="0"/>
        <w:rPr>
          <w:rStyle w:val="medium-font"/>
          <w:rFonts w:ascii="Book Antiqua" w:hAnsi="Book Antiqua"/>
          <w:b/>
          <w:color w:val="000000"/>
          <w:bdr w:val="none" w:sz="0" w:space="0" w:color="auto" w:frame="1"/>
        </w:rPr>
      </w:pPr>
    </w:p>
    <w:p w14:paraId="529D5217" w14:textId="77777777" w:rsidR="004D4AB5" w:rsidRPr="00E3232D" w:rsidRDefault="004D4AB5" w:rsidP="008275E1">
      <w:pPr>
        <w:autoSpaceDE w:val="0"/>
        <w:autoSpaceDN w:val="0"/>
        <w:adjustRightInd w:val="0"/>
        <w:rPr>
          <w:rStyle w:val="medium-font"/>
          <w:rFonts w:ascii="Book Antiqua" w:hAnsi="Book Antiqua"/>
          <w:b/>
          <w:color w:val="000000"/>
          <w:bdr w:val="none" w:sz="0" w:space="0" w:color="auto" w:frame="1"/>
        </w:rPr>
      </w:pPr>
      <w:r w:rsidRPr="00CB00D2">
        <w:rPr>
          <w:rStyle w:val="medium-font"/>
          <w:rFonts w:ascii="Book Antiqua" w:hAnsi="Book Antiqua"/>
          <w:b/>
          <w:color w:val="000000"/>
          <w:sz w:val="26"/>
          <w:bdr w:val="none" w:sz="0" w:space="0" w:color="auto" w:frame="1"/>
        </w:rPr>
        <w:t>References</w:t>
      </w:r>
    </w:p>
    <w:p w14:paraId="78631A9D" w14:textId="77777777" w:rsidR="004D4AB5" w:rsidRPr="00E3232D" w:rsidRDefault="00546CB3" w:rsidP="00806674">
      <w:pPr>
        <w:autoSpaceDE w:val="0"/>
        <w:autoSpaceDN w:val="0"/>
        <w:adjustRightInd w:val="0"/>
        <w:ind w:left="900" w:hanging="900"/>
        <w:jc w:val="both"/>
        <w:rPr>
          <w:rFonts w:ascii="Book Antiqua" w:hAnsi="Book Antiqua"/>
          <w:color w:val="000000"/>
        </w:rPr>
      </w:pPr>
      <w:r w:rsidRPr="00E3232D">
        <w:rPr>
          <w:rStyle w:val="medium-font"/>
          <w:rFonts w:ascii="Book Antiqua" w:hAnsi="Book Antiqua"/>
          <w:color w:val="000000"/>
          <w:bdr w:val="none" w:sz="0" w:space="0" w:color="auto" w:frame="1"/>
        </w:rPr>
        <w:t>Asmussen,S;</w:t>
      </w:r>
      <w:r w:rsidR="004D4AB5" w:rsidRPr="00E3232D">
        <w:rPr>
          <w:rStyle w:val="medium-font"/>
          <w:rFonts w:ascii="Book Antiqua" w:hAnsi="Book Antiqua"/>
          <w:color w:val="000000"/>
          <w:bdr w:val="none" w:sz="0" w:space="0" w:color="auto" w:frame="1"/>
        </w:rPr>
        <w:t>Albrecher, H.(2010)</w:t>
      </w:r>
      <w:r w:rsidR="004D4AB5" w:rsidRPr="00E3232D">
        <w:rPr>
          <w:rStyle w:val="apple-converted-space"/>
          <w:rFonts w:ascii="Book Antiqua" w:hAnsi="Book Antiqua"/>
          <w:color w:val="000000"/>
          <w:bdr w:val="none" w:sz="0" w:space="0" w:color="auto" w:frame="1"/>
        </w:rPr>
        <w:t> </w:t>
      </w:r>
      <w:r w:rsidR="004D4AB5" w:rsidRPr="00E3232D">
        <w:rPr>
          <w:rStyle w:val="title-link-wrapper"/>
          <w:rFonts w:ascii="Book Antiqua" w:hAnsi="Book Antiqua"/>
          <w:color w:val="000000"/>
          <w:bdr w:val="none" w:sz="0" w:space="0" w:color="auto" w:frame="1"/>
        </w:rPr>
        <w:t>Ruin</w:t>
      </w:r>
      <w:r w:rsidR="004D4AB5" w:rsidRPr="00E3232D">
        <w:rPr>
          <w:rStyle w:val="apple-converted-space"/>
          <w:rFonts w:ascii="Book Antiqua" w:hAnsi="Book Antiqua"/>
          <w:color w:val="000000"/>
          <w:bdr w:val="none" w:sz="0" w:space="0" w:color="auto" w:frame="1"/>
        </w:rPr>
        <w:t> </w:t>
      </w:r>
      <w:r w:rsidR="004D4AB5" w:rsidRPr="00E3232D">
        <w:rPr>
          <w:rStyle w:val="Strong"/>
          <w:rFonts w:ascii="Book Antiqua" w:hAnsi="Book Antiqua"/>
          <w:b w:val="0"/>
          <w:color w:val="000000"/>
          <w:bdr w:val="none" w:sz="0" w:space="0" w:color="auto" w:frame="1"/>
        </w:rPr>
        <w:t>Probabilities</w:t>
      </w:r>
      <w:bookmarkEnd w:id="40"/>
      <w:r w:rsidR="004D4AB5" w:rsidRPr="00E3232D">
        <w:rPr>
          <w:rStyle w:val="Strong"/>
          <w:rFonts w:ascii="Book Antiqua" w:hAnsi="Book Antiqua"/>
          <w:b w:val="0"/>
          <w:color w:val="000000"/>
          <w:bdr w:val="none" w:sz="0" w:space="0" w:color="auto" w:frame="1"/>
        </w:rPr>
        <w:t xml:space="preserve">. </w:t>
      </w:r>
      <w:r w:rsidR="004D4AB5" w:rsidRPr="00E3232D">
        <w:rPr>
          <w:rStyle w:val="medium-font"/>
          <w:rFonts w:ascii="Book Antiqua" w:hAnsi="Book Antiqua"/>
          <w:color w:val="000000"/>
          <w:bdr w:val="none" w:sz="0" w:space="0" w:color="auto" w:frame="1"/>
        </w:rPr>
        <w:t>In: Advanced series on statistical science &amp; applied</w:t>
      </w:r>
      <w:r w:rsidR="004D4AB5" w:rsidRPr="00E3232D">
        <w:rPr>
          <w:rStyle w:val="apple-converted-space"/>
          <w:rFonts w:ascii="Book Antiqua" w:hAnsi="Book Antiqua"/>
          <w:color w:val="000000"/>
          <w:bdr w:val="none" w:sz="0" w:space="0" w:color="auto" w:frame="1"/>
        </w:rPr>
        <w:t> </w:t>
      </w:r>
      <w:r w:rsidR="004D4AB5" w:rsidRPr="00E3232D">
        <w:rPr>
          <w:rStyle w:val="Strong"/>
          <w:rFonts w:ascii="Book Antiqua" w:hAnsi="Book Antiqua"/>
          <w:b w:val="0"/>
          <w:color w:val="000000"/>
          <w:bdr w:val="none" w:sz="0" w:space="0" w:color="auto" w:frame="1"/>
        </w:rPr>
        <w:t>probability</w:t>
      </w:r>
      <w:r w:rsidR="004D4AB5" w:rsidRPr="00E3232D">
        <w:rPr>
          <w:rStyle w:val="apple-converted-space"/>
          <w:rFonts w:ascii="Book Antiqua" w:hAnsi="Book Antiqua"/>
          <w:color w:val="000000"/>
          <w:bdr w:val="none" w:sz="0" w:space="0" w:color="auto" w:frame="1"/>
        </w:rPr>
        <w:t> </w:t>
      </w:r>
      <w:r w:rsidR="004D4AB5" w:rsidRPr="00E3232D">
        <w:rPr>
          <w:rStyle w:val="medium-font"/>
          <w:rFonts w:ascii="Book Antiqua" w:hAnsi="Book Antiqua"/>
          <w:color w:val="000000"/>
          <w:bdr w:val="none" w:sz="0" w:space="0" w:color="auto" w:frame="1"/>
        </w:rPr>
        <w:t>; v. 14.</w:t>
      </w:r>
      <w:r w:rsidR="004D4AB5" w:rsidRPr="00E3232D">
        <w:rPr>
          <w:rStyle w:val="apple-converted-space"/>
          <w:rFonts w:ascii="Book Antiqua" w:hAnsi="Book Antiqua"/>
          <w:color w:val="000000"/>
          <w:bdr w:val="none" w:sz="0" w:space="0" w:color="auto" w:frame="1"/>
        </w:rPr>
        <w:t> </w:t>
      </w:r>
      <w:r w:rsidR="004D4AB5" w:rsidRPr="00E3232D">
        <w:rPr>
          <w:rStyle w:val="medium-font"/>
          <w:rFonts w:ascii="Book Antiqua" w:hAnsi="Book Antiqua"/>
          <w:color w:val="000000"/>
          <w:bdr w:val="none" w:sz="0" w:space="0" w:color="auto" w:frame="1"/>
        </w:rPr>
        <w:t>Edition: 2nd ed.</w:t>
      </w:r>
      <w:r w:rsidR="004D4AB5" w:rsidRPr="00E3232D">
        <w:rPr>
          <w:rStyle w:val="apple-converted-space"/>
          <w:rFonts w:ascii="Book Antiqua" w:hAnsi="Book Antiqua"/>
          <w:color w:val="000000"/>
          <w:bdr w:val="none" w:sz="0" w:space="0" w:color="auto" w:frame="1"/>
        </w:rPr>
        <w:t> </w:t>
      </w:r>
      <w:r w:rsidR="004D4AB5" w:rsidRPr="00E3232D">
        <w:rPr>
          <w:rStyle w:val="medium-font"/>
          <w:rFonts w:ascii="Book Antiqua" w:hAnsi="Book Antiqua"/>
          <w:color w:val="000000"/>
          <w:bdr w:val="none" w:sz="0" w:space="0" w:color="auto" w:frame="1"/>
        </w:rPr>
        <w:t>World Scientific Publishing Co.</w:t>
      </w:r>
      <w:r w:rsidR="004D4AB5" w:rsidRPr="00E3232D">
        <w:rPr>
          <w:rStyle w:val="apple-converted-space"/>
          <w:rFonts w:ascii="Book Antiqua" w:hAnsi="Book Antiqua"/>
          <w:color w:val="000000"/>
          <w:bdr w:val="none" w:sz="0" w:space="0" w:color="auto" w:frame="1"/>
        </w:rPr>
        <w:t>  </w:t>
      </w:r>
      <w:r w:rsidR="004D4AB5" w:rsidRPr="00E3232D">
        <w:rPr>
          <w:rStyle w:val="medium-font"/>
          <w:rFonts w:ascii="Book Antiqua" w:hAnsi="Book Antiqua"/>
          <w:color w:val="000000"/>
          <w:bdr w:val="none" w:sz="0" w:space="0" w:color="auto" w:frame="1"/>
        </w:rPr>
        <w:t xml:space="preserve"> </w:t>
      </w:r>
    </w:p>
    <w:p w14:paraId="0D00E636"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768C4BC1"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Asmussen, S., Kliippelberg, C, 2008. Large deviations results for sub-exponential tails, with applications to insurance risk. Stochastic Process. Appl. 64, no. 1, 103-125.</w:t>
      </w:r>
    </w:p>
    <w:p w14:paraId="7F431668"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Style w:val="medium-font"/>
          <w:rFonts w:ascii="Book Antiqua" w:hAnsi="Book Antiqua"/>
          <w:color w:val="000000"/>
          <w:bdr w:val="none" w:sz="0" w:space="0" w:color="auto" w:frame="1"/>
        </w:rPr>
        <w:t xml:space="preserve"> </w:t>
      </w:r>
    </w:p>
    <w:p w14:paraId="4BBF982E"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Hall P. and Yao Q. (2003). “Inference in ARCH and GARCH Models with Heavy-Tailed</w:t>
      </w:r>
    </w:p>
    <w:p w14:paraId="103DF50E"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 xml:space="preserve">Errors”, </w:t>
      </w:r>
      <w:r w:rsidRPr="00E3232D">
        <w:rPr>
          <w:rFonts w:ascii="Book Antiqua" w:hAnsi="Book Antiqua"/>
          <w:i/>
          <w:iCs/>
          <w:color w:val="000000"/>
        </w:rPr>
        <w:t>Econometrica</w:t>
      </w:r>
      <w:r w:rsidRPr="00E3232D">
        <w:rPr>
          <w:rFonts w:ascii="Book Antiqua" w:hAnsi="Book Antiqua"/>
          <w:color w:val="000000"/>
        </w:rPr>
        <w:t xml:space="preserve"> 71, pp. 285-317.</w:t>
      </w:r>
    </w:p>
    <w:p w14:paraId="33EED37B"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6C33F4C4"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Konstantinides, D., Tang, Q., Tsitsiashvili, G., 2002. Estimates for the ruin  probability in the classical risk model with constant interest force in the presence of heavy tails. Insurance Math. Econom. 31, no. 3, 447-460.</w:t>
      </w:r>
    </w:p>
    <w:p w14:paraId="2041F04D"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1CAC7F6F"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Mikosch, T., Nagaev, A.V., (2007). Large deviations of heavy-tailed sums with applications in insurance. Extremes 1, no. 1, 81-110.</w:t>
      </w:r>
    </w:p>
    <w:p w14:paraId="20A1876A"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6FD4A8EC"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 xml:space="preserve">Miguel, J.A. and Olave, P. (1999a). “Forecast Intervals in ARCH Models: Bootstrap Versus </w:t>
      </w:r>
    </w:p>
    <w:p w14:paraId="4C616782"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 xml:space="preserve">Parametric Methods”, </w:t>
      </w:r>
      <w:r w:rsidRPr="00E3232D">
        <w:rPr>
          <w:rFonts w:ascii="Book Antiqua" w:hAnsi="Book Antiqua"/>
          <w:i/>
          <w:iCs/>
          <w:color w:val="000000"/>
        </w:rPr>
        <w:t>Applied Economics Letters</w:t>
      </w:r>
      <w:r w:rsidRPr="00E3232D">
        <w:rPr>
          <w:rFonts w:ascii="Book Antiqua" w:hAnsi="Book Antiqua"/>
          <w:color w:val="000000"/>
        </w:rPr>
        <w:t xml:space="preserve"> 6, pp. 323-327.</w:t>
      </w:r>
    </w:p>
    <w:p w14:paraId="4FCCD725"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00667605"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 xml:space="preserve">Migue, J. A. and Olave, P. (1999b). “Bootstrapping Forecast Intervals in ARCH Models”, </w:t>
      </w:r>
      <w:r w:rsidRPr="00E3232D">
        <w:rPr>
          <w:rFonts w:ascii="Book Antiqua" w:hAnsi="Book Antiqua"/>
          <w:i/>
          <w:iCs/>
          <w:color w:val="000000"/>
        </w:rPr>
        <w:t>Test</w:t>
      </w:r>
      <w:r w:rsidRPr="00E3232D">
        <w:rPr>
          <w:rFonts w:ascii="Book Antiqua" w:hAnsi="Book Antiqua"/>
          <w:color w:val="000000"/>
        </w:rPr>
        <w:t xml:space="preserve"> 8, </w:t>
      </w:r>
    </w:p>
    <w:p w14:paraId="75CA4D8B"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pp. 345-364.</w:t>
      </w:r>
    </w:p>
    <w:p w14:paraId="6D0DC262"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43E71F9D"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Lee Y. H. and Lee M. C. (2009). “Block Bootstrapping Prediction Intervals for Financial Time Series Models: Empirical Evidence from the Taiwan Stock Market”, 2009 International</w:t>
      </w:r>
    </w:p>
    <w:p w14:paraId="14B4A72D"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Symposiums on Major Academic Disciplines, Taipei.</w:t>
      </w:r>
    </w:p>
    <w:p w14:paraId="717E145B"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0CDFCAF1"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 xml:space="preserve">Pascual, L., Romo, J., and Ruiz, E. (2006). “Bootstrap Prediction for Returns and Volatilities in </w:t>
      </w:r>
    </w:p>
    <w:p w14:paraId="007937FA"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 xml:space="preserve">GARCH Models”, </w:t>
      </w:r>
      <w:r w:rsidRPr="00E3232D">
        <w:rPr>
          <w:rFonts w:ascii="Book Antiqua" w:hAnsi="Book Antiqua"/>
          <w:i/>
          <w:iCs/>
          <w:color w:val="000000"/>
        </w:rPr>
        <w:t>Computational Statistics and Data Analysis</w:t>
      </w:r>
      <w:r w:rsidRPr="00E3232D">
        <w:rPr>
          <w:rFonts w:ascii="Book Antiqua" w:hAnsi="Book Antiqua"/>
          <w:color w:val="000000"/>
        </w:rPr>
        <w:t xml:space="preserve"> 50, pp. 2293-2312.</w:t>
      </w:r>
    </w:p>
    <w:p w14:paraId="45651CAE" w14:textId="77777777" w:rsidR="004D4AB5" w:rsidRPr="00E3232D" w:rsidRDefault="004D4AB5" w:rsidP="00806674">
      <w:pPr>
        <w:autoSpaceDE w:val="0"/>
        <w:autoSpaceDN w:val="0"/>
        <w:adjustRightInd w:val="0"/>
        <w:ind w:left="900" w:hanging="900"/>
        <w:jc w:val="both"/>
        <w:rPr>
          <w:rFonts w:ascii="Book Antiqua" w:hAnsi="Book Antiqua"/>
          <w:color w:val="000000"/>
          <w:shd w:val="clear" w:color="auto" w:fill="FFFFFF"/>
        </w:rPr>
      </w:pPr>
    </w:p>
    <w:p w14:paraId="530A1527" w14:textId="77777777" w:rsidR="004D4AB5" w:rsidRPr="00E3232D" w:rsidRDefault="004D4AB5" w:rsidP="00806674">
      <w:pPr>
        <w:autoSpaceDE w:val="0"/>
        <w:autoSpaceDN w:val="0"/>
        <w:adjustRightInd w:val="0"/>
        <w:ind w:left="900" w:hanging="900"/>
        <w:jc w:val="both"/>
        <w:rPr>
          <w:rFonts w:ascii="Book Antiqua" w:hAnsi="Book Antiqua"/>
          <w:color w:val="000000"/>
          <w:shd w:val="clear" w:color="auto" w:fill="FFFFFF"/>
        </w:rPr>
      </w:pPr>
      <w:r w:rsidRPr="00E3232D">
        <w:rPr>
          <w:rFonts w:ascii="Book Antiqua" w:hAnsi="Book Antiqua"/>
          <w:color w:val="000000"/>
          <w:shd w:val="clear" w:color="auto" w:fill="FFFFFF"/>
        </w:rPr>
        <w:t>Ridout, M.S., Hinde, J.P. and Demetrio, C.G.B. (2001) A score test for testing a zero-inflated Poisson regression model against zero-inflated negative binomial alternatives.</w:t>
      </w:r>
      <w:r w:rsidRPr="00E3232D">
        <w:rPr>
          <w:rStyle w:val="apple-converted-space"/>
          <w:rFonts w:ascii="Book Antiqua" w:hAnsi="Book Antiqua"/>
          <w:color w:val="000000"/>
          <w:shd w:val="clear" w:color="auto" w:fill="FFFFFF"/>
        </w:rPr>
        <w:t> </w:t>
      </w:r>
      <w:r w:rsidRPr="00E3232D">
        <w:rPr>
          <w:rFonts w:ascii="Book Antiqua" w:hAnsi="Book Antiqua"/>
          <w:i/>
          <w:iCs/>
          <w:color w:val="000000"/>
          <w:shd w:val="clear" w:color="auto" w:fill="FFFFFF"/>
        </w:rPr>
        <w:t>Biometrics</w:t>
      </w:r>
      <w:r w:rsidRPr="00E3232D">
        <w:rPr>
          <w:rFonts w:ascii="Book Antiqua" w:hAnsi="Book Antiqua"/>
          <w:color w:val="000000"/>
          <w:shd w:val="clear" w:color="auto" w:fill="FFFFFF"/>
        </w:rPr>
        <w:t xml:space="preserve">, 57, 219-223 </w:t>
      </w:r>
    </w:p>
    <w:p w14:paraId="44DA6B95"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0A5E1AFC"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Schlegel, S., 1998. Ruin probabilities in perturbed risk models. The inter­ play between insurance, finance and control (Aarhus, 1997). Insurance Math. Econom. 22, no. 1, 93-104.</w:t>
      </w:r>
    </w:p>
    <w:p w14:paraId="573DDF95"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7BB72D25"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Tang, Q. and  Tsitsiashvili, G., 2003. Precise estimates for the ruin probability in finite horizon in a discrete-time model with heavy-tailed insurance and financial risks. Stochastic Process. Appl. 108 (2003), no. 2, 299-325.</w:t>
      </w:r>
    </w:p>
    <w:p w14:paraId="3D4BD25D" w14:textId="77777777" w:rsidR="004D4AB5" w:rsidRPr="00E3232D" w:rsidRDefault="004D4AB5" w:rsidP="00806674">
      <w:pPr>
        <w:autoSpaceDE w:val="0"/>
        <w:autoSpaceDN w:val="0"/>
        <w:adjustRightInd w:val="0"/>
        <w:ind w:left="900" w:hanging="900"/>
        <w:jc w:val="both"/>
        <w:rPr>
          <w:rFonts w:ascii="Book Antiqua" w:hAnsi="Book Antiqua"/>
          <w:color w:val="000000"/>
          <w:shd w:val="clear" w:color="auto" w:fill="FFFFFF"/>
        </w:rPr>
      </w:pPr>
    </w:p>
    <w:p w14:paraId="20D1FF3F" w14:textId="77777777" w:rsidR="004D4AB5" w:rsidRPr="00E3232D" w:rsidRDefault="004D4AB5" w:rsidP="00806674">
      <w:pPr>
        <w:autoSpaceDE w:val="0"/>
        <w:autoSpaceDN w:val="0"/>
        <w:adjustRightInd w:val="0"/>
        <w:ind w:left="900" w:hanging="900"/>
        <w:jc w:val="both"/>
        <w:rPr>
          <w:rStyle w:val="apple-converted-space"/>
          <w:rFonts w:ascii="Book Antiqua" w:hAnsi="Book Antiqua"/>
          <w:color w:val="000000"/>
          <w:shd w:val="clear" w:color="auto" w:fill="FFFFFF"/>
        </w:rPr>
      </w:pPr>
      <w:r w:rsidRPr="00E3232D">
        <w:rPr>
          <w:rFonts w:ascii="Book Antiqua" w:hAnsi="Book Antiqua"/>
          <w:color w:val="000000"/>
          <w:shd w:val="clear" w:color="auto" w:fill="FFFFFF"/>
        </w:rPr>
        <w:t>Lambert, D. (1992) Zero-inflated Poisson regression, with an application to defects in manufacturing.</w:t>
      </w:r>
      <w:r w:rsidRPr="00E3232D">
        <w:rPr>
          <w:rFonts w:ascii="Book Antiqua" w:hAnsi="Book Antiqua"/>
          <w:i/>
          <w:iCs/>
          <w:color w:val="000000"/>
          <w:shd w:val="clear" w:color="auto" w:fill="FFFFFF"/>
        </w:rPr>
        <w:t>Technometrics</w:t>
      </w:r>
      <w:r w:rsidRPr="00E3232D">
        <w:rPr>
          <w:rFonts w:ascii="Book Antiqua" w:hAnsi="Book Antiqua"/>
          <w:color w:val="000000"/>
          <w:shd w:val="clear" w:color="auto" w:fill="FFFFFF"/>
        </w:rPr>
        <w:t>, 34, 1-14.</w:t>
      </w:r>
      <w:r w:rsidRPr="00E3232D">
        <w:rPr>
          <w:rStyle w:val="apple-converted-space"/>
          <w:rFonts w:ascii="Book Antiqua" w:hAnsi="Book Antiqua"/>
          <w:color w:val="000000"/>
          <w:shd w:val="clear" w:color="auto" w:fill="FFFFFF"/>
        </w:rPr>
        <w:t> </w:t>
      </w:r>
    </w:p>
    <w:p w14:paraId="3339D5F9" w14:textId="77777777" w:rsidR="004D4AB5" w:rsidRPr="00E3232D" w:rsidRDefault="004D4AB5" w:rsidP="00806674">
      <w:pPr>
        <w:autoSpaceDE w:val="0"/>
        <w:autoSpaceDN w:val="0"/>
        <w:adjustRightInd w:val="0"/>
        <w:ind w:left="900" w:hanging="900"/>
        <w:jc w:val="both"/>
        <w:rPr>
          <w:rFonts w:ascii="Book Antiqua" w:hAnsi="Book Antiqua"/>
          <w:color w:val="000000"/>
        </w:rPr>
      </w:pPr>
    </w:p>
    <w:p w14:paraId="4CD2933D"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 xml:space="preserve">Thombs, L. A. and Schucany, W. R. 1990. “Bootstrap Prediction Intervals for Autoregression”, </w:t>
      </w:r>
    </w:p>
    <w:p w14:paraId="45676693" w14:textId="77777777" w:rsidR="004D4AB5" w:rsidRPr="00E3232D" w:rsidRDefault="004D4AB5" w:rsidP="00806674">
      <w:pPr>
        <w:autoSpaceDE w:val="0"/>
        <w:autoSpaceDN w:val="0"/>
        <w:adjustRightInd w:val="0"/>
        <w:ind w:left="900" w:hanging="900"/>
        <w:jc w:val="both"/>
        <w:rPr>
          <w:rFonts w:ascii="Book Antiqua" w:hAnsi="Book Antiqua"/>
          <w:color w:val="000000"/>
        </w:rPr>
      </w:pPr>
      <w:r w:rsidRPr="00E3232D">
        <w:rPr>
          <w:rFonts w:ascii="Book Antiqua" w:hAnsi="Book Antiqua"/>
          <w:i/>
          <w:iCs/>
          <w:color w:val="000000"/>
        </w:rPr>
        <w:t>Journal of the American Statistical Association</w:t>
      </w:r>
      <w:r w:rsidRPr="00E3232D">
        <w:rPr>
          <w:rFonts w:ascii="Book Antiqua" w:hAnsi="Book Antiqua"/>
          <w:color w:val="000000"/>
        </w:rPr>
        <w:t xml:space="preserve"> 85, pp. 486–492.</w:t>
      </w:r>
    </w:p>
    <w:p w14:paraId="2AD6DFF5" w14:textId="77777777" w:rsidR="004D4AB5" w:rsidRPr="00E3232D" w:rsidRDefault="004D4AB5" w:rsidP="00806674">
      <w:pPr>
        <w:ind w:left="900" w:hanging="900"/>
        <w:jc w:val="both"/>
        <w:rPr>
          <w:rFonts w:ascii="Book Antiqua" w:hAnsi="Book Antiqua"/>
          <w:bCs/>
          <w:color w:val="000000"/>
        </w:rPr>
      </w:pPr>
      <w:r w:rsidRPr="00E3232D">
        <w:rPr>
          <w:rFonts w:ascii="Book Antiqua" w:hAnsi="Book Antiqua"/>
          <w:color w:val="000000"/>
        </w:rPr>
        <w:t xml:space="preserve">Yue, F. ( 2003): </w:t>
      </w:r>
      <w:r w:rsidRPr="00E3232D">
        <w:rPr>
          <w:rFonts w:ascii="Book Antiqua" w:hAnsi="Book Antiqua"/>
          <w:bCs/>
          <w:color w:val="000000"/>
        </w:rPr>
        <w:t xml:space="preserve">Semi-parametric specification tests for discrete Probability models. </w:t>
      </w:r>
      <w:r w:rsidRPr="00E3232D">
        <w:rPr>
          <w:rFonts w:ascii="Book Antiqua" w:hAnsi="Book Antiqua"/>
          <w:i/>
          <w:iCs/>
          <w:color w:val="000000"/>
        </w:rPr>
        <w:t xml:space="preserve">The Journal of Risk and Insurance, </w:t>
      </w:r>
      <w:r w:rsidRPr="00E3232D">
        <w:rPr>
          <w:rFonts w:ascii="Book Antiqua" w:hAnsi="Book Antiqua"/>
          <w:color w:val="000000"/>
        </w:rPr>
        <w:t>, Vol. 70, No. 1, 73-84</w:t>
      </w:r>
    </w:p>
    <w:p w14:paraId="105A8995" w14:textId="77777777" w:rsidR="004D4AB5" w:rsidRPr="00E3232D" w:rsidRDefault="004D4AB5" w:rsidP="00806674">
      <w:pPr>
        <w:autoSpaceDE w:val="0"/>
        <w:autoSpaceDN w:val="0"/>
        <w:adjustRightInd w:val="0"/>
        <w:ind w:left="900" w:hanging="900"/>
        <w:rPr>
          <w:rFonts w:ascii="Book Antiqua" w:hAnsi="Book Antiqua"/>
          <w:color w:val="000000"/>
        </w:rPr>
      </w:pPr>
    </w:p>
    <w:p w14:paraId="7C5CC8DB" w14:textId="77777777" w:rsidR="00DA4940" w:rsidRDefault="00DA4940" w:rsidP="00806674">
      <w:pPr>
        <w:ind w:left="900" w:hanging="900"/>
        <w:rPr>
          <w:rFonts w:ascii="Book Antiqua" w:hAnsi="Book Antiqua"/>
        </w:rPr>
        <w:sectPr w:rsidR="00DA4940" w:rsidSect="008F6BC9">
          <w:type w:val="continuous"/>
          <w:pgSz w:w="11907" w:h="16839" w:code="9"/>
          <w:pgMar w:top="1350" w:right="1440" w:bottom="1440" w:left="1440" w:header="720" w:footer="720" w:gutter="0"/>
          <w:cols w:num="2" w:space="720"/>
          <w:docGrid w:linePitch="360"/>
        </w:sectPr>
      </w:pPr>
    </w:p>
    <w:p w14:paraId="0E926E73" w14:textId="77777777" w:rsidR="002364C2" w:rsidRPr="00E3232D" w:rsidRDefault="002364C2" w:rsidP="00546CB3">
      <w:pPr>
        <w:rPr>
          <w:rFonts w:ascii="Book Antiqua" w:hAnsi="Book Antiqua"/>
          <w:b/>
        </w:rPr>
        <w:sectPr w:rsidR="002364C2" w:rsidRPr="00E3232D" w:rsidSect="008F6BC9">
          <w:type w:val="continuous"/>
          <w:pgSz w:w="11907" w:h="16839" w:code="9"/>
          <w:pgMar w:top="1350" w:right="1440" w:bottom="1440" w:left="1440" w:header="720" w:footer="720" w:gutter="0"/>
          <w:cols w:space="720"/>
          <w:docGrid w:linePitch="360"/>
        </w:sectPr>
      </w:pPr>
    </w:p>
    <w:p w14:paraId="22A3F30B" w14:textId="77777777" w:rsidR="00A908B8" w:rsidRDefault="00A908B8" w:rsidP="00806674">
      <w:pPr>
        <w:rPr>
          <w:rFonts w:ascii="Book Antiqua" w:hAnsi="Book Antiqua"/>
          <w:b/>
          <w:sz w:val="26"/>
          <w:szCs w:val="26"/>
        </w:rPr>
      </w:pPr>
    </w:p>
    <w:p w14:paraId="06AFA87E" w14:textId="77777777" w:rsidR="00A45FAE" w:rsidRDefault="00A45FAE" w:rsidP="007E03EE">
      <w:pPr>
        <w:jc w:val="center"/>
        <w:rPr>
          <w:rFonts w:ascii="Book Antiqua" w:hAnsi="Book Antiqua"/>
          <w:b/>
          <w:sz w:val="26"/>
          <w:szCs w:val="26"/>
        </w:rPr>
      </w:pPr>
    </w:p>
    <w:p w14:paraId="1BDFA5CB" w14:textId="77777777" w:rsidR="00A45FAE" w:rsidRDefault="00A45FAE" w:rsidP="007E03EE">
      <w:pPr>
        <w:jc w:val="center"/>
        <w:rPr>
          <w:rFonts w:ascii="Book Antiqua" w:hAnsi="Book Antiqua"/>
          <w:b/>
          <w:sz w:val="26"/>
          <w:szCs w:val="26"/>
        </w:rPr>
      </w:pPr>
    </w:p>
    <w:p w14:paraId="6DE8232D" w14:textId="77777777" w:rsidR="00A45FAE" w:rsidRDefault="00A45FAE" w:rsidP="007E03EE">
      <w:pPr>
        <w:jc w:val="center"/>
        <w:rPr>
          <w:rFonts w:ascii="Book Antiqua" w:hAnsi="Book Antiqua"/>
          <w:b/>
          <w:sz w:val="26"/>
          <w:szCs w:val="26"/>
        </w:rPr>
      </w:pPr>
    </w:p>
    <w:p w14:paraId="7D9A6BA8" w14:textId="77777777" w:rsidR="00A45FAE" w:rsidRDefault="00A45FAE" w:rsidP="007E03EE">
      <w:pPr>
        <w:jc w:val="center"/>
        <w:rPr>
          <w:rFonts w:ascii="Book Antiqua" w:hAnsi="Book Antiqua"/>
          <w:b/>
          <w:sz w:val="26"/>
          <w:szCs w:val="26"/>
        </w:rPr>
      </w:pPr>
    </w:p>
    <w:p w14:paraId="2821050B" w14:textId="77777777" w:rsidR="00A45FAE" w:rsidRDefault="00A45FAE" w:rsidP="007E03EE">
      <w:pPr>
        <w:jc w:val="center"/>
        <w:rPr>
          <w:rFonts w:ascii="Book Antiqua" w:hAnsi="Book Antiqua"/>
          <w:b/>
          <w:sz w:val="26"/>
          <w:szCs w:val="26"/>
        </w:rPr>
      </w:pPr>
    </w:p>
    <w:p w14:paraId="15CB37F6" w14:textId="77777777" w:rsidR="00BC54B9" w:rsidRDefault="00BC54B9" w:rsidP="00CB00D2">
      <w:pPr>
        <w:rPr>
          <w:rFonts w:ascii="Book Antiqua" w:hAnsi="Book Antiqua"/>
          <w:b/>
          <w:sz w:val="26"/>
          <w:szCs w:val="26"/>
        </w:rPr>
      </w:pPr>
    </w:p>
    <w:p w14:paraId="302E9E5A" w14:textId="77777777" w:rsidR="00CB00D2" w:rsidRDefault="00CB00D2" w:rsidP="00CB00D2">
      <w:pPr>
        <w:rPr>
          <w:rFonts w:ascii="Book Antiqua" w:hAnsi="Book Antiqua"/>
          <w:b/>
          <w:sz w:val="26"/>
          <w:szCs w:val="26"/>
        </w:rPr>
      </w:pPr>
    </w:p>
    <w:p w14:paraId="077DAF33" w14:textId="77777777" w:rsidR="00BC54B9" w:rsidRDefault="00BC54B9" w:rsidP="007E03EE">
      <w:pPr>
        <w:jc w:val="center"/>
        <w:rPr>
          <w:rFonts w:ascii="Book Antiqua" w:hAnsi="Book Antiqua"/>
          <w:b/>
          <w:sz w:val="26"/>
          <w:szCs w:val="26"/>
        </w:rPr>
      </w:pPr>
    </w:p>
    <w:p w14:paraId="7BB6FC75" w14:textId="77777777" w:rsidR="00A45FAE" w:rsidRDefault="00A45FAE" w:rsidP="00A45FAE">
      <w:pPr>
        <w:rPr>
          <w:rFonts w:ascii="Book Antiqua" w:hAnsi="Book Antiqua"/>
          <w:b/>
          <w:sz w:val="26"/>
          <w:szCs w:val="26"/>
        </w:rPr>
        <w:sectPr w:rsidR="00A45FAE" w:rsidSect="008F6BC9">
          <w:footerReference w:type="default" r:id="rId174"/>
          <w:type w:val="continuous"/>
          <w:pgSz w:w="11907" w:h="16839" w:code="9"/>
          <w:pgMar w:top="1440" w:right="1440" w:bottom="1440" w:left="1440" w:header="720" w:footer="720" w:gutter="0"/>
          <w:cols w:space="720"/>
          <w:docGrid w:linePitch="360"/>
        </w:sectPr>
      </w:pPr>
    </w:p>
    <w:p w14:paraId="360018E7" w14:textId="77777777" w:rsidR="009A7DE2" w:rsidRPr="00111F06" w:rsidRDefault="009A7DE2" w:rsidP="00A32CF5">
      <w:pPr>
        <w:spacing w:after="0"/>
        <w:jc w:val="center"/>
        <w:rPr>
          <w:rFonts w:ascii="Book Antiqua" w:hAnsi="Book Antiqua"/>
          <w:b/>
          <w:sz w:val="26"/>
          <w:szCs w:val="26"/>
        </w:rPr>
      </w:pPr>
      <w:r w:rsidRPr="00111F06">
        <w:rPr>
          <w:rFonts w:ascii="Book Antiqua" w:hAnsi="Book Antiqua"/>
          <w:b/>
          <w:sz w:val="26"/>
          <w:szCs w:val="26"/>
        </w:rPr>
        <w:t xml:space="preserve">Evaluation of Leadership </w:t>
      </w:r>
      <w:r w:rsidR="005F7EA7" w:rsidRPr="00111F06">
        <w:rPr>
          <w:rFonts w:ascii="Book Antiqua" w:hAnsi="Book Antiqua"/>
          <w:b/>
          <w:sz w:val="26"/>
          <w:szCs w:val="26"/>
        </w:rPr>
        <w:t xml:space="preserve">Styles </w:t>
      </w:r>
      <w:r w:rsidRPr="00111F06">
        <w:rPr>
          <w:rFonts w:ascii="Book Antiqua" w:hAnsi="Book Antiqua"/>
          <w:b/>
          <w:sz w:val="26"/>
          <w:szCs w:val="26"/>
        </w:rPr>
        <w:t>of Executives and their Influence on Employees’ Work Interest.</w:t>
      </w:r>
    </w:p>
    <w:p w14:paraId="3CC82E42" w14:textId="77777777" w:rsidR="00111F06" w:rsidRPr="00E3232D" w:rsidRDefault="00111F06" w:rsidP="00A32CF5">
      <w:pPr>
        <w:spacing w:after="0"/>
        <w:jc w:val="center"/>
        <w:rPr>
          <w:rFonts w:ascii="Book Antiqua" w:hAnsi="Book Antiqua"/>
          <w:b/>
        </w:rPr>
      </w:pPr>
    </w:p>
    <w:p w14:paraId="66A379BC" w14:textId="77777777" w:rsidR="009A7DE2" w:rsidRPr="00CB00D2" w:rsidRDefault="009A7DE2" w:rsidP="00A32CF5">
      <w:pPr>
        <w:spacing w:after="0"/>
        <w:jc w:val="center"/>
        <w:rPr>
          <w:rFonts w:ascii="Book Antiqua" w:hAnsi="Book Antiqua"/>
          <w:b/>
          <w:sz w:val="26"/>
        </w:rPr>
      </w:pPr>
      <w:r w:rsidRPr="00CB00D2">
        <w:rPr>
          <w:rFonts w:ascii="Book Antiqua" w:hAnsi="Book Antiqua"/>
          <w:b/>
          <w:sz w:val="26"/>
          <w:vertAlign w:val="superscript"/>
        </w:rPr>
        <w:t>1</w:t>
      </w:r>
      <w:r w:rsidRPr="00CB00D2">
        <w:rPr>
          <w:rFonts w:ascii="Book Antiqua" w:hAnsi="Book Antiqua"/>
          <w:b/>
          <w:sz w:val="26"/>
        </w:rPr>
        <w:t xml:space="preserve">Abdul -Razak </w:t>
      </w:r>
      <w:r w:rsidR="00CD5531" w:rsidRPr="00CB00D2">
        <w:rPr>
          <w:rFonts w:ascii="Book Antiqua" w:hAnsi="Book Antiqua"/>
          <w:b/>
          <w:sz w:val="26"/>
        </w:rPr>
        <w:t xml:space="preserve">A. &amp; </w:t>
      </w:r>
      <w:r w:rsidRPr="00CB00D2">
        <w:rPr>
          <w:rFonts w:ascii="Book Antiqua" w:hAnsi="Book Antiqua"/>
          <w:b/>
          <w:sz w:val="26"/>
          <w:vertAlign w:val="superscript"/>
        </w:rPr>
        <w:t>2</w:t>
      </w:r>
      <w:r w:rsidR="00CD5531" w:rsidRPr="00CB00D2">
        <w:rPr>
          <w:rFonts w:ascii="Book Antiqua" w:hAnsi="Book Antiqua"/>
          <w:b/>
          <w:sz w:val="26"/>
        </w:rPr>
        <w:t>Jamal M.</w:t>
      </w:r>
    </w:p>
    <w:p w14:paraId="28820062" w14:textId="77777777" w:rsidR="009A7DE2" w:rsidRDefault="009A7DE2" w:rsidP="00A32CF5">
      <w:pPr>
        <w:spacing w:after="0"/>
        <w:jc w:val="center"/>
        <w:rPr>
          <w:rFonts w:ascii="Book Antiqua" w:hAnsi="Book Antiqua"/>
        </w:rPr>
      </w:pPr>
      <w:r w:rsidRPr="00E3232D">
        <w:rPr>
          <w:rFonts w:ascii="Book Antiqua" w:hAnsi="Book Antiqua"/>
          <w:vertAlign w:val="superscript"/>
        </w:rPr>
        <w:t>1</w:t>
      </w:r>
      <w:r w:rsidRPr="00E3232D">
        <w:rPr>
          <w:rFonts w:ascii="Book Antiqua" w:hAnsi="Book Antiqua"/>
        </w:rPr>
        <w:t>Department of Accountancy, Tamale Polytechnic, Box 3 E/R, Tamale, Northern Region.</w:t>
      </w:r>
    </w:p>
    <w:p w14:paraId="1E557656" w14:textId="77777777" w:rsidR="00111F06" w:rsidRPr="00E3232D" w:rsidRDefault="00111F06" w:rsidP="008275E1">
      <w:pPr>
        <w:jc w:val="center"/>
        <w:rPr>
          <w:rFonts w:ascii="Book Antiqua" w:hAnsi="Book Antiqua"/>
        </w:rPr>
      </w:pPr>
      <w:r w:rsidRPr="00E3232D">
        <w:rPr>
          <w:rFonts w:ascii="Book Antiqua" w:hAnsi="Book Antiqua"/>
          <w:vertAlign w:val="superscript"/>
        </w:rPr>
        <w:t>2</w:t>
      </w:r>
      <w:r w:rsidRPr="00E3232D">
        <w:rPr>
          <w:rFonts w:ascii="Book Antiqua" w:hAnsi="Book Antiqua"/>
        </w:rPr>
        <w:t xml:space="preserve">Department of Liberal Studies, Koforidua Polytechnic, Box 981, Koforidua, Eastern Region.       </w:t>
      </w:r>
    </w:p>
    <w:p w14:paraId="4FA986B3" w14:textId="77777777" w:rsidR="009A7DE2" w:rsidRPr="00E3232D" w:rsidRDefault="009A7DE2" w:rsidP="00111F06">
      <w:pPr>
        <w:jc w:val="center"/>
        <w:rPr>
          <w:rFonts w:ascii="Book Antiqua" w:hAnsi="Book Antiqua"/>
        </w:rPr>
      </w:pPr>
      <w:r w:rsidRPr="00111F06">
        <w:rPr>
          <w:rFonts w:ascii="Book Antiqua" w:hAnsi="Book Antiqua"/>
          <w:b/>
        </w:rPr>
        <w:t>E-mail:</w:t>
      </w:r>
      <w:r w:rsidRPr="00E3232D">
        <w:rPr>
          <w:rFonts w:ascii="Book Antiqua" w:hAnsi="Book Antiqua"/>
          <w:b/>
        </w:rPr>
        <w:t xml:space="preserve"> </w:t>
      </w:r>
      <w:r w:rsidR="00111F06">
        <w:rPr>
          <w:rFonts w:ascii="Book Antiqua" w:hAnsi="Book Antiqua"/>
          <w:b/>
          <w:vertAlign w:val="superscript"/>
        </w:rPr>
        <w:t>1</w:t>
      </w:r>
      <w:hyperlink r:id="rId175" w:history="1">
        <w:r w:rsidRPr="00E3232D">
          <w:rPr>
            <w:rStyle w:val="Hyperlink"/>
            <w:rFonts w:ascii="Book Antiqua" w:hAnsi="Book Antiqua"/>
          </w:rPr>
          <w:t>kpanvomc@yahoo.com</w:t>
        </w:r>
      </w:hyperlink>
      <w:r w:rsidR="00111F06">
        <w:rPr>
          <w:rFonts w:ascii="Book Antiqua" w:hAnsi="Book Antiqua"/>
        </w:rPr>
        <w:t xml:space="preserve"> &amp; </w:t>
      </w:r>
      <w:r w:rsidR="00111F06">
        <w:rPr>
          <w:rFonts w:ascii="Book Antiqua" w:hAnsi="Book Antiqua"/>
          <w:vertAlign w:val="superscript"/>
        </w:rPr>
        <w:t>2</w:t>
      </w:r>
      <w:r w:rsidRPr="00E3232D">
        <w:rPr>
          <w:rFonts w:ascii="Book Antiqua" w:hAnsi="Book Antiqua"/>
          <w:color w:val="0070C0"/>
          <w:u w:val="single"/>
        </w:rPr>
        <w:t>nakohinaa@gmail.com</w:t>
      </w:r>
      <w:r w:rsidR="00111F06">
        <w:rPr>
          <w:rFonts w:ascii="Book Antiqua" w:hAnsi="Book Antiqua"/>
        </w:rPr>
        <w:t xml:space="preserve">, </w:t>
      </w:r>
    </w:p>
    <w:p w14:paraId="35A1697A" w14:textId="77777777" w:rsidR="009A7DE2" w:rsidRPr="00E3232D" w:rsidRDefault="009A7DE2" w:rsidP="00CB00D2">
      <w:pPr>
        <w:jc w:val="both"/>
        <w:rPr>
          <w:rFonts w:ascii="Book Antiqua" w:hAnsi="Book Antiqua"/>
        </w:rPr>
      </w:pPr>
    </w:p>
    <w:p w14:paraId="0C584F1B" w14:textId="77777777" w:rsidR="009A7DE2" w:rsidRPr="00E3232D" w:rsidRDefault="009A7DE2" w:rsidP="00CB00D2">
      <w:pPr>
        <w:jc w:val="both"/>
        <w:rPr>
          <w:rFonts w:ascii="Book Antiqua" w:hAnsi="Book Antiqua"/>
          <w:b/>
        </w:rPr>
      </w:pPr>
      <w:r w:rsidRPr="005F7EA7">
        <w:rPr>
          <w:rFonts w:ascii="Book Antiqua" w:hAnsi="Book Antiqua"/>
          <w:b/>
          <w:sz w:val="26"/>
        </w:rPr>
        <w:t>Abstract</w:t>
      </w:r>
    </w:p>
    <w:p w14:paraId="32DF73DC" w14:textId="77777777" w:rsidR="002D2D9C" w:rsidRPr="00CB00D2" w:rsidRDefault="009A7DE2" w:rsidP="00CB00D2">
      <w:pPr>
        <w:jc w:val="both"/>
        <w:rPr>
          <w:rFonts w:ascii="Book Antiqua" w:hAnsi="Book Antiqua"/>
        </w:rPr>
      </w:pPr>
      <w:r w:rsidRPr="00E3232D">
        <w:rPr>
          <w:rFonts w:ascii="Book Antiqua" w:hAnsi="Book Antiqua"/>
        </w:rPr>
        <w:t xml:space="preserve">Leadership styles have significant effect on the work interest of employees at work places. Different leadership styles have varied influence on the emotions, output and ultimately on the work interest of employees. This paper evaluated the leadership styles of executives on the employees’ work interest and output. A survey was conducted on working professionals enrolled on the Commonwealth Executive Masters in Business Administration at the Kwame Nkrumah University of science and Technology’s Institute of Distance Learning at Tamale Centre. A sample of 50 executives was purposely studied on. The most dominant leadership style among the executives was the democratic style and the leadership circumstance, the nature of work, the emotions of team members and the leaders’ personality were among the key factors that influenced effective leadership and enhances employees’ work interest. Therefore, appropriate mix of leadership style is required to elicit work interest among employees. </w:t>
      </w:r>
    </w:p>
    <w:p w14:paraId="416C897A" w14:textId="77777777" w:rsidR="00A908B8" w:rsidRDefault="009A7DE2" w:rsidP="00CB00D2">
      <w:pPr>
        <w:jc w:val="both"/>
        <w:rPr>
          <w:rFonts w:ascii="Book Antiqua" w:hAnsi="Book Antiqua"/>
          <w:b/>
        </w:rPr>
      </w:pPr>
      <w:r w:rsidRPr="00E3232D">
        <w:rPr>
          <w:rFonts w:ascii="Book Antiqua" w:hAnsi="Book Antiqua"/>
          <w:b/>
        </w:rPr>
        <w:t>Keywords</w:t>
      </w:r>
      <w:r w:rsidRPr="00E3232D">
        <w:rPr>
          <w:rFonts w:ascii="Book Antiqua" w:hAnsi="Book Antiqua"/>
        </w:rPr>
        <w:t>: Evaluation; Leadership styles; Executives, Employees’; Work Interest</w:t>
      </w:r>
    </w:p>
    <w:p w14:paraId="7BE2DCE4" w14:textId="77777777" w:rsidR="00CB00D2" w:rsidRPr="00CB00D2" w:rsidRDefault="00CB00D2" w:rsidP="00CB00D2">
      <w:pPr>
        <w:jc w:val="both"/>
        <w:rPr>
          <w:rFonts w:ascii="Book Antiqua" w:hAnsi="Book Antiqua"/>
          <w:b/>
        </w:rPr>
        <w:sectPr w:rsidR="00CB00D2" w:rsidRPr="00CB00D2" w:rsidSect="008F6BC9">
          <w:type w:val="continuous"/>
          <w:pgSz w:w="11907" w:h="16839" w:code="9"/>
          <w:pgMar w:top="1440" w:right="1440" w:bottom="1440" w:left="1440" w:header="720" w:footer="720" w:gutter="0"/>
          <w:cols w:space="720"/>
          <w:docGrid w:linePitch="360"/>
        </w:sectPr>
      </w:pPr>
    </w:p>
    <w:p w14:paraId="49411349" w14:textId="77777777" w:rsidR="002D2D9C" w:rsidRDefault="002D2D9C" w:rsidP="00A32CF5">
      <w:pPr>
        <w:pStyle w:val="ListParagraph"/>
        <w:spacing w:before="240" w:after="120"/>
        <w:ind w:left="0"/>
        <w:rPr>
          <w:rFonts w:ascii="Book Antiqua" w:hAnsi="Book Antiqua"/>
          <w:b/>
        </w:rPr>
        <w:sectPr w:rsidR="002D2D9C" w:rsidSect="008F6BC9">
          <w:type w:val="continuous"/>
          <w:pgSz w:w="11907" w:h="16839" w:code="9"/>
          <w:pgMar w:top="1440" w:right="1440" w:bottom="1440" w:left="1440" w:header="720" w:footer="720" w:gutter="0"/>
          <w:cols w:space="720"/>
          <w:docGrid w:linePitch="360"/>
        </w:sectPr>
      </w:pPr>
    </w:p>
    <w:p w14:paraId="608DA61E" w14:textId="77777777" w:rsidR="00FE4018" w:rsidRPr="00E3232D" w:rsidRDefault="00FE4018" w:rsidP="00CB00D2">
      <w:pPr>
        <w:pStyle w:val="ListParagraph"/>
        <w:spacing w:before="240" w:after="120"/>
        <w:rPr>
          <w:rFonts w:ascii="Book Antiqua" w:hAnsi="Book Antiqua"/>
          <w:b/>
        </w:rPr>
        <w:sectPr w:rsidR="00FE4018" w:rsidRPr="00E3232D" w:rsidSect="008F6BC9">
          <w:type w:val="continuous"/>
          <w:pgSz w:w="11907" w:h="16839" w:code="9"/>
          <w:pgMar w:top="1440" w:right="1440" w:bottom="1440" w:left="1440" w:header="720" w:footer="720" w:gutter="0"/>
          <w:cols w:num="2" w:space="720"/>
          <w:docGrid w:linePitch="360"/>
        </w:sectPr>
      </w:pPr>
    </w:p>
    <w:p w14:paraId="352ABB7E" w14:textId="77777777" w:rsidR="00FE4018" w:rsidRPr="00806674" w:rsidRDefault="00FE4018" w:rsidP="00196385">
      <w:pPr>
        <w:pStyle w:val="ListParagraph"/>
        <w:numPr>
          <w:ilvl w:val="0"/>
          <w:numId w:val="175"/>
        </w:numPr>
        <w:spacing w:before="240" w:after="120"/>
        <w:jc w:val="both"/>
        <w:rPr>
          <w:rFonts w:ascii="Book Antiqua" w:hAnsi="Book Antiqua"/>
          <w:b/>
        </w:rPr>
      </w:pPr>
      <w:r w:rsidRPr="00806674">
        <w:rPr>
          <w:rFonts w:ascii="Book Antiqua" w:hAnsi="Book Antiqua"/>
          <w:b/>
          <w:sz w:val="26"/>
        </w:rPr>
        <w:t>Introduction</w:t>
      </w:r>
    </w:p>
    <w:p w14:paraId="4367AE82" w14:textId="77777777" w:rsidR="00FE4018" w:rsidRPr="00E3232D" w:rsidRDefault="00FE4018" w:rsidP="00CB00D2">
      <w:pPr>
        <w:spacing w:after="0"/>
        <w:jc w:val="both"/>
        <w:rPr>
          <w:rFonts w:ascii="Book Antiqua" w:hAnsi="Book Antiqua"/>
        </w:rPr>
      </w:pPr>
      <w:r w:rsidRPr="00E3232D">
        <w:rPr>
          <w:rFonts w:ascii="Book Antiqua" w:hAnsi="Book Antiqua"/>
        </w:rPr>
        <w:t>Every private or public sector agency operates to realise its mission through effective leaders with the right team members. Realizing corporate goals however does not depend on only the requisite physical r</w:t>
      </w:r>
      <w:r w:rsidR="00766DAF">
        <w:rPr>
          <w:rFonts w:ascii="Book Antiqua" w:hAnsi="Book Antiqua"/>
        </w:rPr>
        <w:t xml:space="preserve">esources available but also on </w:t>
      </w:r>
      <w:r w:rsidRPr="00E3232D">
        <w:rPr>
          <w:rFonts w:ascii="Book Antiqua" w:hAnsi="Book Antiqua"/>
        </w:rPr>
        <w:t>the right leadership coupled with the appropriate balance of corporate intellectual resources. In line with Limbare (2012), there is the need for interpersonal influence exerted in a situation and directed using communication systems towards the attainment of specific goals. From this it is seem that the success of projects relies critically on the effectiveness of their leaders (Thomas &amp; Bendoly, 2009.p 70). This makes leadership the fulcrum over which the success of corporate goals revolves. A good leader therefore needs to have the right team members whose work interest is elicited towards the realization of corporate goals.</w:t>
      </w:r>
    </w:p>
    <w:p w14:paraId="7B9E93FB" w14:textId="77777777" w:rsidR="00766DAF" w:rsidRDefault="00766DAF" w:rsidP="00CB00D2">
      <w:pPr>
        <w:spacing w:after="0"/>
        <w:jc w:val="both"/>
        <w:rPr>
          <w:rFonts w:ascii="Book Antiqua" w:hAnsi="Book Antiqua"/>
        </w:rPr>
      </w:pPr>
    </w:p>
    <w:p w14:paraId="0D9FED76" w14:textId="77777777" w:rsidR="00FE4018" w:rsidRPr="00E3232D" w:rsidRDefault="00FE4018" w:rsidP="00CB00D2">
      <w:pPr>
        <w:spacing w:after="0"/>
        <w:jc w:val="both"/>
        <w:rPr>
          <w:rFonts w:ascii="Book Antiqua" w:hAnsi="Book Antiqua"/>
        </w:rPr>
      </w:pPr>
      <w:r w:rsidRPr="00E3232D">
        <w:rPr>
          <w:rFonts w:ascii="Book Antiqua" w:hAnsi="Book Antiqua"/>
        </w:rPr>
        <w:t>A worrying concern however is the choice of appropriate leadership styles.  Many executives do not realize that there is a shift from the approach of looking and acting in a bossy manner to the choice of appropriate blend of leadership styles which would enhance the work interest of employees to cope with work demands for the realizations of corporate goals. Existing literature highlights the notion that propels leaders’ assumptions about their project workers influence the nature and methods of their resulting leadership styles regarding formulation and discretion (McGregor, 2006). According to McGregor(2006) theory “X” leaders represent those who assume their subordinates’ to be less-than-ideally-self-motivated and in need of direct task assignment. In contrast, theory “Y” leaders assume workers to be independent motivated and in need of general direction and encouragement. Related to this, (Mintzberg, 1998; Staurt &amp; Tax, 2004) contended that in the management of professional workers, it has been suggested that leaders leaning towards theory Y approach will tend to achieve higher performance.</w:t>
      </w:r>
    </w:p>
    <w:p w14:paraId="4B658349" w14:textId="77777777" w:rsidR="00FE4018" w:rsidRPr="00E3232D" w:rsidRDefault="00FE4018" w:rsidP="003F73F4">
      <w:pPr>
        <w:spacing w:after="0"/>
        <w:jc w:val="both"/>
        <w:rPr>
          <w:rFonts w:ascii="Book Antiqua" w:hAnsi="Book Antiqua"/>
        </w:rPr>
      </w:pPr>
    </w:p>
    <w:p w14:paraId="106A62EF" w14:textId="77777777" w:rsidR="00FE4018" w:rsidRPr="00E3232D" w:rsidRDefault="00FE4018" w:rsidP="00CB00D2">
      <w:pPr>
        <w:spacing w:after="0"/>
        <w:jc w:val="both"/>
        <w:rPr>
          <w:rFonts w:ascii="Book Antiqua" w:hAnsi="Book Antiqua"/>
        </w:rPr>
      </w:pPr>
      <w:r w:rsidRPr="00E3232D">
        <w:rPr>
          <w:rFonts w:ascii="Book Antiqua" w:hAnsi="Book Antiqua"/>
        </w:rPr>
        <w:t xml:space="preserve"> Other scholars have however argued that leaders in highly challenging project settings such as those involving critical incidents would likely benefit from the use of both theory X and theory Y approach (Denison, Hooijberg &amp; Quinn, 1995; Hooijberg, Hunt &amp; Dodge, 1997) . Several other scholars have researched on leaders’ styles. Blake and Mouton (1964) studied the managerial grid. Fiedler (1967) posited that as the situation varies, leadership requirement may vary. Hay and Mcber (2000) studied 4000 executives and identified six different leadership styles; coercive, authoritative, pacesetting and coaching. He drew conclusion that as many styles’ of leadership are adopted, the better the results from that. </w:t>
      </w:r>
    </w:p>
    <w:p w14:paraId="5C623560" w14:textId="77777777" w:rsidR="00FE4018" w:rsidRPr="00E3232D" w:rsidRDefault="00FE4018" w:rsidP="00CB00D2">
      <w:pPr>
        <w:spacing w:after="0"/>
        <w:jc w:val="both"/>
        <w:rPr>
          <w:rFonts w:ascii="Book Antiqua" w:hAnsi="Book Antiqua"/>
        </w:rPr>
      </w:pPr>
    </w:p>
    <w:p w14:paraId="3EA699D0" w14:textId="77777777" w:rsidR="00FE4018" w:rsidRPr="00E3232D" w:rsidRDefault="00FE4018" w:rsidP="00CB00D2">
      <w:pPr>
        <w:spacing w:after="0"/>
        <w:jc w:val="both"/>
        <w:rPr>
          <w:rFonts w:ascii="Book Antiqua" w:hAnsi="Book Antiqua"/>
        </w:rPr>
      </w:pPr>
      <w:r w:rsidRPr="00E3232D">
        <w:rPr>
          <w:rFonts w:ascii="Book Antiqua" w:hAnsi="Book Antiqua"/>
        </w:rPr>
        <w:t>Goleman (2000) has also researched on six distinct leadership styles’: coercive, authoritative, pacesetting and coaching. Goleman further assert that: the styles taken individually appear to have direct and unique impact on the working atmosphere of a company, division or team and in turn on it financial performance and perhaps most important the research indicates that leaders with the best results do not rely on only one leadership styles; they use most of them in a given week-seamlessly and in different measure –depending on the business situation. Goleman concluded that “the business environment is continually changing, and a leader must respond in kind. Hour to hour, day to day, week to week, executives must play their leadership styles like a pro-using the right on at just the right time and in the right measure. The pa</w:t>
      </w:r>
      <w:r w:rsidR="00766DAF">
        <w:rPr>
          <w:rFonts w:ascii="Book Antiqua" w:hAnsi="Book Antiqua"/>
        </w:rPr>
        <w:t>yoff is the results.” (Goleman,</w:t>
      </w:r>
      <w:r w:rsidRPr="00E3232D">
        <w:rPr>
          <w:rFonts w:ascii="Book Antiqua" w:hAnsi="Book Antiqua"/>
        </w:rPr>
        <w:t>2000 p.90).</w:t>
      </w:r>
    </w:p>
    <w:p w14:paraId="186796A8" w14:textId="77777777" w:rsidR="00FE4018" w:rsidRPr="00E3232D" w:rsidRDefault="00FE4018" w:rsidP="003F73F4">
      <w:pPr>
        <w:spacing w:after="0"/>
        <w:jc w:val="both"/>
        <w:rPr>
          <w:rFonts w:ascii="Book Antiqua" w:hAnsi="Book Antiqua"/>
        </w:rPr>
      </w:pPr>
    </w:p>
    <w:p w14:paraId="590B798E" w14:textId="77777777" w:rsidR="00FE4018" w:rsidRPr="00E3232D" w:rsidRDefault="00FE4018" w:rsidP="00CB00D2">
      <w:pPr>
        <w:jc w:val="both"/>
        <w:rPr>
          <w:rFonts w:ascii="Book Antiqua" w:hAnsi="Book Antiqua"/>
        </w:rPr>
      </w:pPr>
      <w:r w:rsidRPr="00E3232D">
        <w:rPr>
          <w:rFonts w:ascii="Book Antiqua" w:hAnsi="Book Antiqua"/>
        </w:rPr>
        <w:t>The challenge of the right choice of leadership among executives and the expected work interest it could elicit among employees calls for a research to be conducted to evaluate the influence of the choice of leadership styles and their effect on employees’ work interest.</w:t>
      </w:r>
    </w:p>
    <w:p w14:paraId="28432437" w14:textId="77777777" w:rsidR="009D2A33" w:rsidRDefault="009D2A33" w:rsidP="003F73F4">
      <w:pPr>
        <w:spacing w:after="0"/>
        <w:jc w:val="both"/>
        <w:rPr>
          <w:rFonts w:ascii="Book Antiqua" w:hAnsi="Book Antiqua"/>
        </w:rPr>
      </w:pPr>
    </w:p>
    <w:p w14:paraId="32D10D7A" w14:textId="77777777" w:rsidR="00FE4018" w:rsidRPr="00E3232D" w:rsidRDefault="00FE4018" w:rsidP="00CB00D2">
      <w:pPr>
        <w:jc w:val="both"/>
        <w:rPr>
          <w:rFonts w:ascii="Book Antiqua" w:hAnsi="Book Antiqua"/>
        </w:rPr>
      </w:pPr>
      <w:r w:rsidRPr="00E3232D">
        <w:rPr>
          <w:rFonts w:ascii="Book Antiqua" w:hAnsi="Book Antiqua"/>
        </w:rPr>
        <w:t>The general objective of this paper therefore is to evaluate the leadership styles executives’ use and their influence on the employees work interest. Specifically, the following operational objectives are sought in a bid to realise the general objective. .</w:t>
      </w:r>
    </w:p>
    <w:p w14:paraId="18FEBD57" w14:textId="77777777" w:rsidR="00FE4018" w:rsidRPr="00E3232D" w:rsidRDefault="00FE4018" w:rsidP="00196385">
      <w:pPr>
        <w:pStyle w:val="ListParagraph"/>
        <w:numPr>
          <w:ilvl w:val="0"/>
          <w:numId w:val="66"/>
        </w:numPr>
        <w:spacing w:after="160"/>
        <w:jc w:val="both"/>
        <w:rPr>
          <w:rFonts w:ascii="Book Antiqua" w:hAnsi="Book Antiqua"/>
        </w:rPr>
      </w:pPr>
      <w:r w:rsidRPr="00E3232D">
        <w:rPr>
          <w:rFonts w:ascii="Book Antiqua" w:hAnsi="Book Antiqua"/>
        </w:rPr>
        <w:t>To determine the leadership styles adopted by executives; and</w:t>
      </w:r>
    </w:p>
    <w:p w14:paraId="7FB27909" w14:textId="77777777" w:rsidR="00FE4018" w:rsidRPr="00E3232D" w:rsidRDefault="00FE4018" w:rsidP="00196385">
      <w:pPr>
        <w:pStyle w:val="ListParagraph"/>
        <w:numPr>
          <w:ilvl w:val="0"/>
          <w:numId w:val="66"/>
        </w:numPr>
        <w:spacing w:after="160"/>
        <w:jc w:val="both"/>
        <w:rPr>
          <w:rFonts w:ascii="Book Antiqua" w:hAnsi="Book Antiqua"/>
        </w:rPr>
      </w:pPr>
      <w:r w:rsidRPr="00E3232D">
        <w:rPr>
          <w:rFonts w:ascii="Book Antiqua" w:hAnsi="Book Antiqua"/>
        </w:rPr>
        <w:t>To evaluate the effects of leadership styles adopted on employees work interest.</w:t>
      </w:r>
    </w:p>
    <w:p w14:paraId="7CDA4494" w14:textId="77777777" w:rsidR="00FE4018" w:rsidRPr="00E3232D" w:rsidRDefault="00FE4018" w:rsidP="00CB00D2">
      <w:pPr>
        <w:jc w:val="both"/>
        <w:rPr>
          <w:rFonts w:ascii="Book Antiqua" w:hAnsi="Book Antiqua"/>
        </w:rPr>
      </w:pPr>
      <w:r w:rsidRPr="00E3232D">
        <w:rPr>
          <w:rFonts w:ascii="Book Antiqua" w:hAnsi="Book Antiqua"/>
        </w:rPr>
        <w:t>To realize these objectives, the research seeks to address the following research question:</w:t>
      </w:r>
    </w:p>
    <w:p w14:paraId="5C85DAC6" w14:textId="77777777" w:rsidR="00FE4018" w:rsidRPr="00E3232D" w:rsidRDefault="00FE4018" w:rsidP="00196385">
      <w:pPr>
        <w:pStyle w:val="ListParagraph"/>
        <w:numPr>
          <w:ilvl w:val="0"/>
          <w:numId w:val="67"/>
        </w:numPr>
        <w:spacing w:after="160"/>
        <w:jc w:val="both"/>
        <w:rPr>
          <w:rFonts w:ascii="Book Antiqua" w:hAnsi="Book Antiqua"/>
        </w:rPr>
      </w:pPr>
      <w:r w:rsidRPr="00E3232D">
        <w:rPr>
          <w:rFonts w:ascii="Book Antiqua" w:hAnsi="Book Antiqua"/>
        </w:rPr>
        <w:t>What are the leadership styles adopted by executives?; and</w:t>
      </w:r>
    </w:p>
    <w:p w14:paraId="1626C542" w14:textId="77777777" w:rsidR="00FE4018" w:rsidRPr="00E3232D" w:rsidRDefault="00FE4018" w:rsidP="00196385">
      <w:pPr>
        <w:pStyle w:val="ListParagraph"/>
        <w:numPr>
          <w:ilvl w:val="0"/>
          <w:numId w:val="67"/>
        </w:numPr>
        <w:spacing w:before="240" w:after="120"/>
        <w:jc w:val="both"/>
        <w:rPr>
          <w:rFonts w:ascii="Book Antiqua" w:hAnsi="Book Antiqua"/>
          <w:b/>
        </w:rPr>
      </w:pPr>
      <w:r w:rsidRPr="00E3232D">
        <w:rPr>
          <w:rFonts w:ascii="Book Antiqua" w:hAnsi="Book Antiqua"/>
        </w:rPr>
        <w:t>How do the leadership styles adopted by executives influence the work interest of employees?</w:t>
      </w:r>
    </w:p>
    <w:p w14:paraId="686A3AF5" w14:textId="77777777" w:rsidR="00FE4018" w:rsidRPr="00E3232D" w:rsidRDefault="00FE4018" w:rsidP="003F73F4">
      <w:pPr>
        <w:pStyle w:val="ListParagraph"/>
        <w:spacing w:before="240" w:after="120"/>
        <w:jc w:val="both"/>
        <w:rPr>
          <w:rFonts w:ascii="Book Antiqua" w:hAnsi="Book Antiqua"/>
          <w:b/>
        </w:rPr>
      </w:pPr>
    </w:p>
    <w:p w14:paraId="4E64BBDE" w14:textId="77777777" w:rsidR="00FE4018" w:rsidRPr="00806674" w:rsidRDefault="00FE4018" w:rsidP="00196385">
      <w:pPr>
        <w:pStyle w:val="ListParagraph"/>
        <w:numPr>
          <w:ilvl w:val="0"/>
          <w:numId w:val="175"/>
        </w:numPr>
        <w:spacing w:before="240" w:after="120"/>
        <w:jc w:val="both"/>
        <w:rPr>
          <w:rFonts w:ascii="Book Antiqua" w:hAnsi="Book Antiqua"/>
          <w:b/>
        </w:rPr>
      </w:pPr>
      <w:r w:rsidRPr="00806674">
        <w:rPr>
          <w:rFonts w:ascii="Book Antiqua" w:hAnsi="Book Antiqua"/>
          <w:b/>
          <w:sz w:val="26"/>
        </w:rPr>
        <w:t>Methodology</w:t>
      </w:r>
    </w:p>
    <w:p w14:paraId="09881EF3" w14:textId="77777777" w:rsidR="00FE4018" w:rsidRPr="00E3232D" w:rsidRDefault="00FE4018" w:rsidP="00CB00D2">
      <w:pPr>
        <w:spacing w:before="240" w:after="120"/>
        <w:jc w:val="both"/>
        <w:rPr>
          <w:rFonts w:ascii="Book Antiqua" w:hAnsi="Book Antiqua"/>
        </w:rPr>
      </w:pPr>
      <w:r w:rsidRPr="00E3232D">
        <w:rPr>
          <w:rFonts w:ascii="Book Antiqua" w:hAnsi="Book Antiqua"/>
        </w:rPr>
        <w:t>The survey design has been adopted in the study and a case study of working professionals enrolled on the Commonwealth Executive Masters in Business Administration run by Kwame Nkrumah University of Science and Technology at Tamale Centre were studied. A questionnaire was employed in the collection of data and 50 executive MBA students who were placed at leadership positions on their jobs were researched on.</w:t>
      </w:r>
    </w:p>
    <w:p w14:paraId="461807F3" w14:textId="77777777" w:rsidR="00FE4018" w:rsidRPr="00E3232D" w:rsidRDefault="00FE4018" w:rsidP="00CB00D2">
      <w:pPr>
        <w:spacing w:before="240" w:after="120"/>
        <w:jc w:val="both"/>
        <w:rPr>
          <w:rFonts w:ascii="Book Antiqua" w:hAnsi="Book Antiqua"/>
        </w:rPr>
      </w:pPr>
      <w:r w:rsidRPr="00E3232D">
        <w:rPr>
          <w:rFonts w:ascii="Book Antiqua" w:hAnsi="Book Antiqua"/>
        </w:rPr>
        <w:t>Tables and charts on the various responses by the respondents are presented and analysed and the data presented in them are used to evaluate the influence of the leadership style on the work interest of respondents.</w:t>
      </w:r>
    </w:p>
    <w:p w14:paraId="22F5CD8C" w14:textId="77777777" w:rsidR="00FE4018" w:rsidRPr="00806674" w:rsidRDefault="00FE4018" w:rsidP="00196385">
      <w:pPr>
        <w:pStyle w:val="ListParagraph"/>
        <w:numPr>
          <w:ilvl w:val="0"/>
          <w:numId w:val="175"/>
        </w:numPr>
        <w:spacing w:before="240" w:after="120"/>
        <w:jc w:val="both"/>
        <w:rPr>
          <w:rFonts w:ascii="Book Antiqua" w:hAnsi="Book Antiqua"/>
          <w:b/>
        </w:rPr>
      </w:pPr>
      <w:r w:rsidRPr="00806674">
        <w:rPr>
          <w:rFonts w:ascii="Book Antiqua" w:hAnsi="Book Antiqua"/>
          <w:b/>
          <w:sz w:val="26"/>
        </w:rPr>
        <w:t>Results</w:t>
      </w:r>
    </w:p>
    <w:p w14:paraId="4ADB2649" w14:textId="77777777" w:rsidR="00FE4018" w:rsidRPr="00E3232D" w:rsidRDefault="00FE4018" w:rsidP="00CB00D2">
      <w:pPr>
        <w:spacing w:before="240" w:after="120"/>
        <w:jc w:val="both"/>
        <w:rPr>
          <w:rFonts w:ascii="Book Antiqua" w:hAnsi="Book Antiqua"/>
        </w:rPr>
      </w:pPr>
      <w:r w:rsidRPr="00E3232D">
        <w:rPr>
          <w:rFonts w:ascii="Book Antiqua" w:hAnsi="Book Antiqua"/>
        </w:rPr>
        <w:t>The results presented in this section of the paper are specifically on; the personal background of the executives studied; the leadership style(s) they employ, and the influence of the leadership styles on work –interest.</w:t>
      </w:r>
    </w:p>
    <w:p w14:paraId="5458A1B9" w14:textId="77777777" w:rsidR="00FE4018" w:rsidRPr="00E3232D" w:rsidRDefault="00FE4018" w:rsidP="00CB00D2">
      <w:pPr>
        <w:spacing w:before="240" w:after="120"/>
        <w:jc w:val="both"/>
        <w:rPr>
          <w:rFonts w:ascii="Book Antiqua" w:hAnsi="Book Antiqua"/>
        </w:rPr>
      </w:pPr>
      <w:r w:rsidRPr="00E3232D">
        <w:rPr>
          <w:rFonts w:ascii="Book Antiqua" w:hAnsi="Book Antiqua"/>
        </w:rPr>
        <w:t xml:space="preserve">Age distribution, gender distribution, occupation of respondents and length of years spent on the job were the basic background information of respondents studied. On age distribution of respondents, it was realized that 54% of the executives studied were of the age range 31 to 40 years, 20% and 26% were of the age range 25-30yearsand 40 years and above respectively. This suggests that most of the executives studied were of the youthful age and their youthful age could influence their choice of leadership style and emotional intelligence. Figure 1.1 illustrates data on that. </w:t>
      </w:r>
    </w:p>
    <w:p w14:paraId="674122ED" w14:textId="77777777" w:rsidR="000A3973" w:rsidRDefault="00FE4018" w:rsidP="00CB00D2">
      <w:pPr>
        <w:spacing w:before="240" w:after="120"/>
        <w:jc w:val="both"/>
        <w:rPr>
          <w:rFonts w:ascii="Book Antiqua" w:hAnsi="Book Antiqua"/>
        </w:rPr>
      </w:pPr>
      <w:r w:rsidRPr="00E3232D">
        <w:rPr>
          <w:rFonts w:ascii="Book Antiqua" w:hAnsi="Book Antiqua"/>
        </w:rPr>
        <w:t xml:space="preserve"> On gender distribution it was realized that 66% of the executives were male and 36% being female. The male dominance reflects the general situation in the work environment that has more male representation than female. Table 1.1 shows data on that.</w:t>
      </w:r>
    </w:p>
    <w:p w14:paraId="48E5CD71" w14:textId="77777777" w:rsidR="00FE4018" w:rsidRPr="00E3232D" w:rsidRDefault="001815AD" w:rsidP="008275E1">
      <w:pPr>
        <w:spacing w:before="240" w:after="120"/>
        <w:rPr>
          <w:rFonts w:ascii="Book Antiqua" w:hAnsi="Book Antiqua"/>
        </w:rPr>
      </w:pPr>
      <w:r w:rsidRPr="00E3232D">
        <w:rPr>
          <w:rFonts w:ascii="Book Antiqua" w:hAnsi="Book Antiqua"/>
        </w:rPr>
        <w:fldChar w:fldCharType="begin"/>
      </w:r>
      <w:r w:rsidR="00FE4018" w:rsidRPr="00E3232D">
        <w:rPr>
          <w:rFonts w:ascii="Book Antiqua" w:hAnsi="Book Antiqua"/>
        </w:rPr>
        <w:instrText xml:space="preserve"> LINK Excel.Sheet.12 "Book1" "Sheet1!R8C1:R12C3" \a \f 4 \h  \* MERGEFORMAT </w:instrText>
      </w:r>
      <w:r w:rsidRPr="00E3232D">
        <w:rPr>
          <w:rFonts w:ascii="Book Antiqua" w:hAnsi="Book Antiqua"/>
        </w:rPr>
        <w:fldChar w:fldCharType="separate"/>
      </w:r>
    </w:p>
    <w:tbl>
      <w:tblPr>
        <w:tblW w:w="4140" w:type="dxa"/>
        <w:tblInd w:w="108" w:type="dxa"/>
        <w:tblLayout w:type="fixed"/>
        <w:tblLook w:val="04A0" w:firstRow="1" w:lastRow="0" w:firstColumn="1" w:lastColumn="0" w:noHBand="0" w:noVBand="1"/>
      </w:tblPr>
      <w:tblGrid>
        <w:gridCol w:w="1800"/>
        <w:gridCol w:w="1260"/>
        <w:gridCol w:w="1080"/>
      </w:tblGrid>
      <w:tr w:rsidR="00FE4018" w:rsidRPr="00D12E59" w14:paraId="37FEDEEF" w14:textId="77777777" w:rsidTr="00AC2FEA">
        <w:trPr>
          <w:trHeight w:val="496"/>
        </w:trPr>
        <w:tc>
          <w:tcPr>
            <w:tcW w:w="4140" w:type="dxa"/>
            <w:gridSpan w:val="3"/>
            <w:tcBorders>
              <w:top w:val="nil"/>
              <w:left w:val="nil"/>
              <w:bottom w:val="double" w:sz="6" w:space="0" w:color="auto"/>
              <w:right w:val="nil"/>
            </w:tcBorders>
            <w:shd w:val="clear" w:color="000000" w:fill="FFFFFF"/>
            <w:vAlign w:val="center"/>
            <w:hideMark/>
          </w:tcPr>
          <w:p w14:paraId="33073EBE" w14:textId="77777777" w:rsidR="00FE4018" w:rsidRPr="00D12E59" w:rsidRDefault="00FE4018" w:rsidP="008275E1">
            <w:pPr>
              <w:rPr>
                <w:rFonts w:ascii="Book Antiqua" w:hAnsi="Book Antiqua"/>
                <w:b/>
                <w:bCs/>
                <w:color w:val="000000"/>
                <w:lang w:val="en-GB" w:eastAsia="en-GB"/>
              </w:rPr>
            </w:pPr>
            <w:r w:rsidRPr="00D12E59">
              <w:rPr>
                <w:rFonts w:ascii="Book Antiqua" w:hAnsi="Book Antiqua"/>
                <w:b/>
                <w:bCs/>
                <w:color w:val="000000"/>
                <w:lang w:eastAsia="en-GB"/>
              </w:rPr>
              <w:t>Table 1.1 Gender Distribution of Respondents</w:t>
            </w:r>
          </w:p>
        </w:tc>
      </w:tr>
      <w:tr w:rsidR="00FE4018" w:rsidRPr="00D12E59" w14:paraId="3BA86B16" w14:textId="77777777" w:rsidTr="00AC2FEA">
        <w:trPr>
          <w:cantSplit/>
          <w:trHeight w:val="260"/>
        </w:trPr>
        <w:tc>
          <w:tcPr>
            <w:tcW w:w="1800" w:type="dxa"/>
            <w:tcBorders>
              <w:top w:val="nil"/>
              <w:left w:val="nil"/>
              <w:bottom w:val="single" w:sz="4" w:space="0" w:color="000000"/>
              <w:right w:val="nil"/>
            </w:tcBorders>
            <w:shd w:val="clear" w:color="000000" w:fill="FFFFFF"/>
            <w:vAlign w:val="center"/>
            <w:hideMark/>
          </w:tcPr>
          <w:p w14:paraId="47BB3D7B"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Response</w:t>
            </w:r>
          </w:p>
        </w:tc>
        <w:tc>
          <w:tcPr>
            <w:tcW w:w="1260" w:type="dxa"/>
            <w:tcBorders>
              <w:top w:val="nil"/>
              <w:left w:val="nil"/>
              <w:bottom w:val="single" w:sz="4" w:space="0" w:color="000000"/>
              <w:right w:val="nil"/>
            </w:tcBorders>
            <w:shd w:val="clear" w:color="000000" w:fill="FFFFFF"/>
            <w:vAlign w:val="center"/>
            <w:hideMark/>
          </w:tcPr>
          <w:p w14:paraId="75327C89"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Frequency</w:t>
            </w:r>
          </w:p>
        </w:tc>
        <w:tc>
          <w:tcPr>
            <w:tcW w:w="1080" w:type="dxa"/>
            <w:tcBorders>
              <w:top w:val="nil"/>
              <w:left w:val="nil"/>
              <w:bottom w:val="single" w:sz="4" w:space="0" w:color="000000"/>
              <w:right w:val="nil"/>
            </w:tcBorders>
            <w:shd w:val="clear" w:color="000000" w:fill="FFFFFF"/>
            <w:vAlign w:val="center"/>
            <w:hideMark/>
          </w:tcPr>
          <w:p w14:paraId="2CE08058"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Percent</w:t>
            </w:r>
          </w:p>
        </w:tc>
      </w:tr>
      <w:tr w:rsidR="00FE4018" w:rsidRPr="00D12E59" w14:paraId="10262C69" w14:textId="77777777" w:rsidTr="00AC2FEA">
        <w:trPr>
          <w:cantSplit/>
          <w:trHeight w:val="248"/>
        </w:trPr>
        <w:tc>
          <w:tcPr>
            <w:tcW w:w="1800" w:type="dxa"/>
            <w:tcBorders>
              <w:top w:val="nil"/>
              <w:left w:val="nil"/>
              <w:bottom w:val="nil"/>
              <w:right w:val="nil"/>
            </w:tcBorders>
            <w:shd w:val="clear" w:color="000000" w:fill="FFFFFF"/>
            <w:vAlign w:val="center"/>
            <w:hideMark/>
          </w:tcPr>
          <w:p w14:paraId="472110E5"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Male</w:t>
            </w:r>
          </w:p>
        </w:tc>
        <w:tc>
          <w:tcPr>
            <w:tcW w:w="1260" w:type="dxa"/>
            <w:tcBorders>
              <w:top w:val="nil"/>
              <w:left w:val="nil"/>
              <w:bottom w:val="nil"/>
              <w:right w:val="nil"/>
            </w:tcBorders>
            <w:shd w:val="clear" w:color="000000" w:fill="FFFFFF"/>
            <w:vAlign w:val="center"/>
            <w:hideMark/>
          </w:tcPr>
          <w:p w14:paraId="5A91FC3A"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33</w:t>
            </w:r>
          </w:p>
        </w:tc>
        <w:tc>
          <w:tcPr>
            <w:tcW w:w="1080" w:type="dxa"/>
            <w:tcBorders>
              <w:top w:val="nil"/>
              <w:left w:val="nil"/>
              <w:bottom w:val="nil"/>
              <w:right w:val="nil"/>
            </w:tcBorders>
            <w:shd w:val="clear" w:color="000000" w:fill="FFFFFF"/>
            <w:vAlign w:val="center"/>
            <w:hideMark/>
          </w:tcPr>
          <w:p w14:paraId="2D863183"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66</w:t>
            </w:r>
          </w:p>
        </w:tc>
      </w:tr>
      <w:tr w:rsidR="00FE4018" w:rsidRPr="00D12E59" w14:paraId="1C7F0E80" w14:textId="77777777" w:rsidTr="00AC2FEA">
        <w:trPr>
          <w:cantSplit/>
          <w:trHeight w:val="248"/>
        </w:trPr>
        <w:tc>
          <w:tcPr>
            <w:tcW w:w="1800" w:type="dxa"/>
            <w:tcBorders>
              <w:top w:val="nil"/>
              <w:left w:val="nil"/>
              <w:bottom w:val="nil"/>
              <w:right w:val="nil"/>
            </w:tcBorders>
            <w:shd w:val="clear" w:color="000000" w:fill="FFFFFF"/>
            <w:vAlign w:val="center"/>
            <w:hideMark/>
          </w:tcPr>
          <w:p w14:paraId="23826601"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Female</w:t>
            </w:r>
          </w:p>
        </w:tc>
        <w:tc>
          <w:tcPr>
            <w:tcW w:w="1260" w:type="dxa"/>
            <w:tcBorders>
              <w:top w:val="nil"/>
              <w:left w:val="nil"/>
              <w:bottom w:val="nil"/>
              <w:right w:val="nil"/>
            </w:tcBorders>
            <w:shd w:val="clear" w:color="000000" w:fill="FFFFFF"/>
            <w:vAlign w:val="center"/>
            <w:hideMark/>
          </w:tcPr>
          <w:p w14:paraId="5C8FEE22"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17</w:t>
            </w:r>
          </w:p>
        </w:tc>
        <w:tc>
          <w:tcPr>
            <w:tcW w:w="1080" w:type="dxa"/>
            <w:tcBorders>
              <w:top w:val="nil"/>
              <w:left w:val="nil"/>
              <w:bottom w:val="nil"/>
              <w:right w:val="nil"/>
            </w:tcBorders>
            <w:shd w:val="clear" w:color="000000" w:fill="FFFFFF"/>
            <w:vAlign w:val="center"/>
            <w:hideMark/>
          </w:tcPr>
          <w:p w14:paraId="18AF69EB"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34</w:t>
            </w:r>
          </w:p>
        </w:tc>
      </w:tr>
      <w:tr w:rsidR="00FE4018" w:rsidRPr="00D12E59" w14:paraId="4BC16937" w14:textId="77777777" w:rsidTr="00AC2FEA">
        <w:trPr>
          <w:cantSplit/>
          <w:trHeight w:val="248"/>
        </w:trPr>
        <w:tc>
          <w:tcPr>
            <w:tcW w:w="1800" w:type="dxa"/>
            <w:tcBorders>
              <w:top w:val="nil"/>
              <w:left w:val="nil"/>
              <w:bottom w:val="single" w:sz="4" w:space="0" w:color="auto"/>
              <w:right w:val="nil"/>
            </w:tcBorders>
            <w:shd w:val="clear" w:color="000000" w:fill="FFFFFF"/>
            <w:vAlign w:val="center"/>
            <w:hideMark/>
          </w:tcPr>
          <w:p w14:paraId="515C0BD5"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Total</w:t>
            </w:r>
          </w:p>
        </w:tc>
        <w:tc>
          <w:tcPr>
            <w:tcW w:w="1260" w:type="dxa"/>
            <w:tcBorders>
              <w:top w:val="nil"/>
              <w:left w:val="nil"/>
              <w:bottom w:val="single" w:sz="4" w:space="0" w:color="auto"/>
              <w:right w:val="nil"/>
            </w:tcBorders>
            <w:shd w:val="clear" w:color="000000" w:fill="FFFFFF"/>
            <w:vAlign w:val="center"/>
            <w:hideMark/>
          </w:tcPr>
          <w:p w14:paraId="533EC138"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50</w:t>
            </w:r>
          </w:p>
        </w:tc>
        <w:tc>
          <w:tcPr>
            <w:tcW w:w="1080" w:type="dxa"/>
            <w:tcBorders>
              <w:top w:val="nil"/>
              <w:left w:val="nil"/>
              <w:bottom w:val="single" w:sz="4" w:space="0" w:color="auto"/>
              <w:right w:val="nil"/>
            </w:tcBorders>
            <w:shd w:val="clear" w:color="000000" w:fill="FFFFFF"/>
            <w:vAlign w:val="center"/>
            <w:hideMark/>
          </w:tcPr>
          <w:p w14:paraId="29876F31"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100</w:t>
            </w:r>
          </w:p>
        </w:tc>
      </w:tr>
    </w:tbl>
    <w:p w14:paraId="55EE4895" w14:textId="77777777" w:rsidR="00FE4018" w:rsidRPr="00E3232D" w:rsidRDefault="001815AD" w:rsidP="008275E1">
      <w:pPr>
        <w:spacing w:before="240" w:after="120"/>
        <w:rPr>
          <w:rFonts w:ascii="Book Antiqua" w:hAnsi="Book Antiqua"/>
        </w:rPr>
      </w:pPr>
      <w:r w:rsidRPr="00E3232D">
        <w:rPr>
          <w:rFonts w:ascii="Book Antiqua" w:hAnsi="Book Antiqua"/>
        </w:rPr>
        <w:fldChar w:fldCharType="end"/>
      </w:r>
      <w:r w:rsidR="00FE4018" w:rsidRPr="00E3232D">
        <w:rPr>
          <w:rFonts w:ascii="Book Antiqua" w:hAnsi="Book Antiqua"/>
          <w:b/>
        </w:rPr>
        <w:t>Source: Field Survey. August, 2011</w:t>
      </w:r>
    </w:p>
    <w:p w14:paraId="316361A8" w14:textId="77777777" w:rsidR="000A3973" w:rsidRDefault="00FE4018" w:rsidP="008D2CB7">
      <w:pPr>
        <w:jc w:val="both"/>
        <w:rPr>
          <w:rFonts w:ascii="Book Antiqua" w:hAnsi="Book Antiqua"/>
        </w:rPr>
      </w:pPr>
      <w:r w:rsidRPr="00E3232D">
        <w:rPr>
          <w:rFonts w:ascii="Book Antiqua" w:hAnsi="Book Antiqua"/>
        </w:rPr>
        <w:t xml:space="preserve">Education, Health and Social Services accounted for most areas of occupation of the executives with 40% of the respondents employed in that area. Banking, Finance and Accounting Practice accounted for 32% of the occupation of the respondents and the Development Agencies and others accounted for 12% and 14% respectively. A greater representation of respondents on the occupations related to social services and Banking and Finance suggests that if those areas go with effective leadership there is more likely to be enhanced welfare for the beneficiaries. </w:t>
      </w:r>
    </w:p>
    <w:p w14:paraId="4CA64897" w14:textId="77777777" w:rsidR="00FE4018" w:rsidRPr="00E3232D" w:rsidRDefault="001815AD" w:rsidP="008275E1">
      <w:pPr>
        <w:rPr>
          <w:rFonts w:ascii="Book Antiqua" w:hAnsi="Book Antiqua"/>
        </w:rPr>
      </w:pPr>
      <w:r w:rsidRPr="00E3232D">
        <w:rPr>
          <w:rFonts w:ascii="Book Antiqua" w:hAnsi="Book Antiqua"/>
        </w:rPr>
        <w:fldChar w:fldCharType="begin"/>
      </w:r>
      <w:r w:rsidR="00FE4018" w:rsidRPr="00E3232D">
        <w:rPr>
          <w:rFonts w:ascii="Book Antiqua" w:hAnsi="Book Antiqua"/>
        </w:rPr>
        <w:instrText xml:space="preserve"> LINK Excel.Sheet.12 "Book1" "Sheet1!R23C1:R29C3" \a \f 4 \h  \* MERGEFORMAT </w:instrText>
      </w:r>
      <w:r w:rsidRPr="00E3232D">
        <w:rPr>
          <w:rFonts w:ascii="Book Antiqua" w:hAnsi="Book Antiqua"/>
        </w:rPr>
        <w:fldChar w:fldCharType="separate"/>
      </w:r>
    </w:p>
    <w:tbl>
      <w:tblPr>
        <w:tblW w:w="4953" w:type="dxa"/>
        <w:tblInd w:w="108" w:type="dxa"/>
        <w:tblLook w:val="04A0" w:firstRow="1" w:lastRow="0" w:firstColumn="1" w:lastColumn="0" w:noHBand="0" w:noVBand="1"/>
      </w:tblPr>
      <w:tblGrid>
        <w:gridCol w:w="2160"/>
        <w:gridCol w:w="1350"/>
        <w:gridCol w:w="1443"/>
      </w:tblGrid>
      <w:tr w:rsidR="00FE4018" w:rsidRPr="00D12E59" w14:paraId="66308913" w14:textId="77777777" w:rsidTr="00AC2FEA">
        <w:trPr>
          <w:trHeight w:val="630"/>
        </w:trPr>
        <w:tc>
          <w:tcPr>
            <w:tcW w:w="4953" w:type="dxa"/>
            <w:gridSpan w:val="3"/>
            <w:tcBorders>
              <w:top w:val="nil"/>
              <w:left w:val="nil"/>
              <w:bottom w:val="double" w:sz="6" w:space="0" w:color="auto"/>
              <w:right w:val="nil"/>
            </w:tcBorders>
            <w:shd w:val="clear" w:color="000000" w:fill="FFFFFF"/>
            <w:vAlign w:val="center"/>
            <w:hideMark/>
          </w:tcPr>
          <w:p w14:paraId="223BAB8A" w14:textId="77777777" w:rsidR="00FE4018" w:rsidRPr="00D12E59" w:rsidRDefault="00FE4018" w:rsidP="008275E1">
            <w:pPr>
              <w:rPr>
                <w:rFonts w:ascii="Book Antiqua" w:hAnsi="Book Antiqua"/>
                <w:b/>
                <w:bCs/>
                <w:color w:val="000000"/>
                <w:lang w:val="en-GB" w:eastAsia="en-GB"/>
              </w:rPr>
            </w:pPr>
            <w:r w:rsidRPr="00D12E59">
              <w:rPr>
                <w:rFonts w:ascii="Book Antiqua" w:hAnsi="Book Antiqua"/>
                <w:b/>
                <w:bCs/>
                <w:color w:val="000000"/>
                <w:lang w:eastAsia="en-GB"/>
              </w:rPr>
              <w:t>Table 1.2 Length of years spent on job (Years of Experience)</w:t>
            </w:r>
          </w:p>
        </w:tc>
      </w:tr>
      <w:tr w:rsidR="00FE4018" w:rsidRPr="00D12E59" w14:paraId="0030E280" w14:textId="77777777" w:rsidTr="00AC2FEA">
        <w:trPr>
          <w:cantSplit/>
          <w:trHeight w:val="330"/>
        </w:trPr>
        <w:tc>
          <w:tcPr>
            <w:tcW w:w="2160" w:type="dxa"/>
            <w:tcBorders>
              <w:top w:val="nil"/>
              <w:left w:val="nil"/>
              <w:bottom w:val="single" w:sz="4" w:space="0" w:color="auto"/>
              <w:right w:val="nil"/>
            </w:tcBorders>
            <w:shd w:val="clear" w:color="000000" w:fill="FFFFFF"/>
            <w:vAlign w:val="center"/>
            <w:hideMark/>
          </w:tcPr>
          <w:p w14:paraId="6F0783BA"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Response</w:t>
            </w:r>
          </w:p>
        </w:tc>
        <w:tc>
          <w:tcPr>
            <w:tcW w:w="1350" w:type="dxa"/>
            <w:tcBorders>
              <w:top w:val="nil"/>
              <w:left w:val="nil"/>
              <w:bottom w:val="single" w:sz="4" w:space="0" w:color="auto"/>
              <w:right w:val="nil"/>
            </w:tcBorders>
            <w:shd w:val="clear" w:color="000000" w:fill="FFFFFF"/>
            <w:vAlign w:val="center"/>
            <w:hideMark/>
          </w:tcPr>
          <w:p w14:paraId="0E557102"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Frequency</w:t>
            </w:r>
          </w:p>
        </w:tc>
        <w:tc>
          <w:tcPr>
            <w:tcW w:w="1443" w:type="dxa"/>
            <w:tcBorders>
              <w:top w:val="nil"/>
              <w:left w:val="nil"/>
              <w:bottom w:val="single" w:sz="4" w:space="0" w:color="auto"/>
              <w:right w:val="nil"/>
            </w:tcBorders>
            <w:shd w:val="clear" w:color="000000" w:fill="FFFFFF"/>
            <w:vAlign w:val="center"/>
            <w:hideMark/>
          </w:tcPr>
          <w:p w14:paraId="7EDD05B5"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Percent (%)</w:t>
            </w:r>
          </w:p>
        </w:tc>
      </w:tr>
      <w:tr w:rsidR="00FE4018" w:rsidRPr="00D12E59" w14:paraId="13D9C314" w14:textId="77777777" w:rsidTr="00AC2FEA">
        <w:trPr>
          <w:cantSplit/>
          <w:trHeight w:val="315"/>
        </w:trPr>
        <w:tc>
          <w:tcPr>
            <w:tcW w:w="2160" w:type="dxa"/>
            <w:tcBorders>
              <w:top w:val="nil"/>
              <w:left w:val="nil"/>
              <w:bottom w:val="nil"/>
              <w:right w:val="nil"/>
            </w:tcBorders>
            <w:shd w:val="clear" w:color="000000" w:fill="FFFFFF"/>
            <w:vAlign w:val="center"/>
            <w:hideMark/>
          </w:tcPr>
          <w:p w14:paraId="6E6DF1C8"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2 to 5 years</w:t>
            </w:r>
          </w:p>
        </w:tc>
        <w:tc>
          <w:tcPr>
            <w:tcW w:w="1350" w:type="dxa"/>
            <w:tcBorders>
              <w:top w:val="nil"/>
              <w:left w:val="nil"/>
              <w:bottom w:val="nil"/>
              <w:right w:val="nil"/>
            </w:tcBorders>
            <w:shd w:val="clear" w:color="000000" w:fill="FFFFFF"/>
            <w:vAlign w:val="center"/>
            <w:hideMark/>
          </w:tcPr>
          <w:p w14:paraId="0AE18916"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23</w:t>
            </w:r>
          </w:p>
        </w:tc>
        <w:tc>
          <w:tcPr>
            <w:tcW w:w="1443" w:type="dxa"/>
            <w:tcBorders>
              <w:top w:val="nil"/>
              <w:left w:val="nil"/>
              <w:bottom w:val="nil"/>
              <w:right w:val="nil"/>
            </w:tcBorders>
            <w:shd w:val="clear" w:color="000000" w:fill="FFFFFF"/>
            <w:vAlign w:val="center"/>
            <w:hideMark/>
          </w:tcPr>
          <w:p w14:paraId="0954C36C"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46</w:t>
            </w:r>
          </w:p>
        </w:tc>
      </w:tr>
      <w:tr w:rsidR="00FE4018" w:rsidRPr="00D12E59" w14:paraId="4D164F68" w14:textId="77777777" w:rsidTr="00AC2FEA">
        <w:trPr>
          <w:cantSplit/>
          <w:trHeight w:val="315"/>
        </w:trPr>
        <w:tc>
          <w:tcPr>
            <w:tcW w:w="2160" w:type="dxa"/>
            <w:tcBorders>
              <w:top w:val="nil"/>
              <w:left w:val="nil"/>
              <w:bottom w:val="nil"/>
              <w:right w:val="nil"/>
            </w:tcBorders>
            <w:shd w:val="clear" w:color="000000" w:fill="FFFFFF"/>
            <w:vAlign w:val="center"/>
            <w:hideMark/>
          </w:tcPr>
          <w:p w14:paraId="241D9CA0"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6 to 10 years</w:t>
            </w:r>
          </w:p>
        </w:tc>
        <w:tc>
          <w:tcPr>
            <w:tcW w:w="1350" w:type="dxa"/>
            <w:tcBorders>
              <w:top w:val="nil"/>
              <w:left w:val="nil"/>
              <w:bottom w:val="nil"/>
              <w:right w:val="nil"/>
            </w:tcBorders>
            <w:shd w:val="clear" w:color="000000" w:fill="FFFFFF"/>
            <w:vAlign w:val="center"/>
            <w:hideMark/>
          </w:tcPr>
          <w:p w14:paraId="1F0E6F1C"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16</w:t>
            </w:r>
          </w:p>
        </w:tc>
        <w:tc>
          <w:tcPr>
            <w:tcW w:w="1443" w:type="dxa"/>
            <w:tcBorders>
              <w:top w:val="nil"/>
              <w:left w:val="nil"/>
              <w:bottom w:val="nil"/>
              <w:right w:val="nil"/>
            </w:tcBorders>
            <w:shd w:val="clear" w:color="000000" w:fill="FFFFFF"/>
            <w:vAlign w:val="center"/>
            <w:hideMark/>
          </w:tcPr>
          <w:p w14:paraId="07C93581"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32</w:t>
            </w:r>
          </w:p>
        </w:tc>
      </w:tr>
      <w:tr w:rsidR="00FE4018" w:rsidRPr="00D12E59" w14:paraId="1E52145C" w14:textId="77777777" w:rsidTr="00AC2FEA">
        <w:trPr>
          <w:cantSplit/>
          <w:trHeight w:val="315"/>
        </w:trPr>
        <w:tc>
          <w:tcPr>
            <w:tcW w:w="2160" w:type="dxa"/>
            <w:tcBorders>
              <w:top w:val="nil"/>
              <w:left w:val="nil"/>
              <w:bottom w:val="nil"/>
              <w:right w:val="nil"/>
            </w:tcBorders>
            <w:shd w:val="clear" w:color="000000" w:fill="FFFFFF"/>
            <w:vAlign w:val="center"/>
            <w:hideMark/>
          </w:tcPr>
          <w:p w14:paraId="6BF135CD"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11 to 15 years</w:t>
            </w:r>
          </w:p>
        </w:tc>
        <w:tc>
          <w:tcPr>
            <w:tcW w:w="1350" w:type="dxa"/>
            <w:tcBorders>
              <w:top w:val="nil"/>
              <w:left w:val="nil"/>
              <w:bottom w:val="nil"/>
              <w:right w:val="nil"/>
            </w:tcBorders>
            <w:shd w:val="clear" w:color="000000" w:fill="FFFFFF"/>
            <w:vAlign w:val="center"/>
            <w:hideMark/>
          </w:tcPr>
          <w:p w14:paraId="1FA9DE54"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8</w:t>
            </w:r>
          </w:p>
        </w:tc>
        <w:tc>
          <w:tcPr>
            <w:tcW w:w="1443" w:type="dxa"/>
            <w:tcBorders>
              <w:top w:val="nil"/>
              <w:left w:val="nil"/>
              <w:bottom w:val="nil"/>
              <w:right w:val="nil"/>
            </w:tcBorders>
            <w:shd w:val="clear" w:color="000000" w:fill="FFFFFF"/>
            <w:vAlign w:val="center"/>
            <w:hideMark/>
          </w:tcPr>
          <w:p w14:paraId="52C302DF"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16</w:t>
            </w:r>
          </w:p>
        </w:tc>
      </w:tr>
      <w:tr w:rsidR="00FE4018" w:rsidRPr="00D12E59" w14:paraId="05608794" w14:textId="77777777" w:rsidTr="00AC2FEA">
        <w:trPr>
          <w:cantSplit/>
          <w:trHeight w:val="630"/>
        </w:trPr>
        <w:tc>
          <w:tcPr>
            <w:tcW w:w="2160" w:type="dxa"/>
            <w:tcBorders>
              <w:top w:val="nil"/>
              <w:left w:val="nil"/>
              <w:bottom w:val="nil"/>
              <w:right w:val="nil"/>
            </w:tcBorders>
            <w:shd w:val="clear" w:color="000000" w:fill="FFFFFF"/>
            <w:vAlign w:val="center"/>
            <w:hideMark/>
          </w:tcPr>
          <w:p w14:paraId="4DE3BDC0"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16 years and above</w:t>
            </w:r>
          </w:p>
        </w:tc>
        <w:tc>
          <w:tcPr>
            <w:tcW w:w="1350" w:type="dxa"/>
            <w:tcBorders>
              <w:top w:val="nil"/>
              <w:left w:val="nil"/>
              <w:bottom w:val="nil"/>
              <w:right w:val="nil"/>
            </w:tcBorders>
            <w:shd w:val="clear" w:color="000000" w:fill="FFFFFF"/>
            <w:vAlign w:val="center"/>
            <w:hideMark/>
          </w:tcPr>
          <w:p w14:paraId="34F34EA9"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3</w:t>
            </w:r>
          </w:p>
        </w:tc>
        <w:tc>
          <w:tcPr>
            <w:tcW w:w="1443" w:type="dxa"/>
            <w:tcBorders>
              <w:top w:val="nil"/>
              <w:left w:val="nil"/>
              <w:bottom w:val="nil"/>
              <w:right w:val="nil"/>
            </w:tcBorders>
            <w:shd w:val="clear" w:color="000000" w:fill="FFFFFF"/>
            <w:vAlign w:val="center"/>
            <w:hideMark/>
          </w:tcPr>
          <w:p w14:paraId="751D700D"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6</w:t>
            </w:r>
          </w:p>
        </w:tc>
      </w:tr>
      <w:tr w:rsidR="00FE4018" w:rsidRPr="00D12E59" w14:paraId="052C3BEA" w14:textId="77777777" w:rsidTr="00AC2FEA">
        <w:trPr>
          <w:cantSplit/>
          <w:trHeight w:val="315"/>
        </w:trPr>
        <w:tc>
          <w:tcPr>
            <w:tcW w:w="2160" w:type="dxa"/>
            <w:tcBorders>
              <w:top w:val="nil"/>
              <w:left w:val="nil"/>
              <w:bottom w:val="single" w:sz="4" w:space="0" w:color="auto"/>
              <w:right w:val="nil"/>
            </w:tcBorders>
            <w:shd w:val="clear" w:color="000000" w:fill="FFFFFF"/>
            <w:vAlign w:val="center"/>
            <w:hideMark/>
          </w:tcPr>
          <w:p w14:paraId="633DFF1F"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Total</w:t>
            </w:r>
          </w:p>
        </w:tc>
        <w:tc>
          <w:tcPr>
            <w:tcW w:w="1350" w:type="dxa"/>
            <w:tcBorders>
              <w:top w:val="nil"/>
              <w:left w:val="nil"/>
              <w:bottom w:val="single" w:sz="4" w:space="0" w:color="auto"/>
              <w:right w:val="nil"/>
            </w:tcBorders>
            <w:shd w:val="clear" w:color="000000" w:fill="FFFFFF"/>
            <w:vAlign w:val="center"/>
            <w:hideMark/>
          </w:tcPr>
          <w:p w14:paraId="5C71379B"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50</w:t>
            </w:r>
          </w:p>
        </w:tc>
        <w:tc>
          <w:tcPr>
            <w:tcW w:w="1443" w:type="dxa"/>
            <w:tcBorders>
              <w:top w:val="nil"/>
              <w:left w:val="nil"/>
              <w:bottom w:val="single" w:sz="4" w:space="0" w:color="auto"/>
              <w:right w:val="nil"/>
            </w:tcBorders>
            <w:shd w:val="clear" w:color="000000" w:fill="FFFFFF"/>
            <w:vAlign w:val="center"/>
            <w:hideMark/>
          </w:tcPr>
          <w:p w14:paraId="7E6F0BFF"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100</w:t>
            </w:r>
          </w:p>
        </w:tc>
      </w:tr>
    </w:tbl>
    <w:p w14:paraId="0D03204E" w14:textId="77777777" w:rsidR="00FE4018" w:rsidRPr="00E3232D" w:rsidRDefault="001815AD" w:rsidP="008275E1">
      <w:pPr>
        <w:rPr>
          <w:rFonts w:ascii="Book Antiqua" w:hAnsi="Book Antiqua"/>
          <w:b/>
        </w:rPr>
      </w:pPr>
      <w:r w:rsidRPr="00E3232D">
        <w:rPr>
          <w:rFonts w:ascii="Book Antiqua" w:hAnsi="Book Antiqua"/>
        </w:rPr>
        <w:fldChar w:fldCharType="end"/>
      </w:r>
      <w:r w:rsidR="00FE4018" w:rsidRPr="00E3232D">
        <w:rPr>
          <w:rFonts w:ascii="Book Antiqua" w:hAnsi="Book Antiqua"/>
          <w:b/>
        </w:rPr>
        <w:t>Source: Field Survey. August, 2011</w:t>
      </w:r>
    </w:p>
    <w:p w14:paraId="4BFB0ED3" w14:textId="77777777" w:rsidR="00FE4018" w:rsidRPr="00E3232D" w:rsidRDefault="00FE4018" w:rsidP="008D2CB7">
      <w:pPr>
        <w:jc w:val="both"/>
        <w:rPr>
          <w:rFonts w:ascii="Book Antiqua" w:hAnsi="Book Antiqua"/>
        </w:rPr>
      </w:pPr>
      <w:r w:rsidRPr="00E3232D">
        <w:rPr>
          <w:rFonts w:ascii="Book Antiqua" w:hAnsi="Book Antiqua"/>
        </w:rPr>
        <w:t>On the length of years spent on the job, 46% of the executives said they have done 2 to 5 years, 32% had done 6 to 10 years and 16% had done 11 to 15 years. This implies that all the respondents have given level of work experience on their jobs and most of them had worked over a period of 6 years and above.</w:t>
      </w:r>
    </w:p>
    <w:p w14:paraId="7974A138" w14:textId="77777777" w:rsidR="009D2A33" w:rsidRDefault="009D2A33" w:rsidP="008D2CB7">
      <w:pPr>
        <w:jc w:val="both"/>
        <w:rPr>
          <w:rFonts w:ascii="Book Antiqua" w:hAnsi="Book Antiqua"/>
          <w:b/>
        </w:rPr>
        <w:sectPr w:rsidR="009D2A33" w:rsidSect="008F6BC9">
          <w:type w:val="continuous"/>
          <w:pgSz w:w="11907" w:h="16839" w:code="9"/>
          <w:pgMar w:top="1440" w:right="1440" w:bottom="1440" w:left="1440" w:header="720" w:footer="720" w:gutter="0"/>
          <w:cols w:num="2" w:space="720"/>
          <w:docGrid w:linePitch="360"/>
        </w:sectPr>
      </w:pPr>
    </w:p>
    <w:p w14:paraId="0A59E91E" w14:textId="77777777" w:rsidR="009D2A33" w:rsidRDefault="00FE4018" w:rsidP="008275E1">
      <w:pPr>
        <w:rPr>
          <w:rFonts w:ascii="Book Antiqua" w:hAnsi="Book Antiqua"/>
          <w:b/>
        </w:rPr>
        <w:sectPr w:rsidR="009D2A33" w:rsidSect="008F6BC9">
          <w:type w:val="continuous"/>
          <w:pgSz w:w="11907" w:h="16839" w:code="9"/>
          <w:pgMar w:top="1440" w:right="1440" w:bottom="1440" w:left="1440" w:header="720" w:footer="720" w:gutter="0"/>
          <w:cols w:space="720"/>
          <w:docGrid w:linePitch="360"/>
        </w:sectPr>
      </w:pPr>
      <w:r w:rsidRPr="00E3232D">
        <w:rPr>
          <w:rFonts w:ascii="Book Antiqua" w:hAnsi="Book Antiqua"/>
          <w:b/>
        </w:rPr>
        <w:object w:dxaOrig="9135" w:dyaOrig="6125" w14:anchorId="4065090D">
          <v:shape id="_x0000_i1054" type="#_x0000_t75" style="width:457.8pt;height:307.7pt" o:ole="">
            <v:imagedata r:id="rId176" o:title=""/>
          </v:shape>
          <o:OLEObject Type="Embed" ProgID="Word.Document.12" ShapeID="_x0000_i1054" DrawAspect="Content" ObjectID="_1680958712" r:id="rId177">
            <o:FieldCodes>\s</o:FieldCodes>
          </o:OLEObject>
        </w:object>
      </w:r>
    </w:p>
    <w:p w14:paraId="3650DC78" w14:textId="77777777" w:rsidR="00FE4018" w:rsidRPr="00E3232D" w:rsidRDefault="00FE4018" w:rsidP="008275E1">
      <w:pPr>
        <w:rPr>
          <w:rFonts w:ascii="Book Antiqua" w:hAnsi="Book Antiqua"/>
        </w:rPr>
      </w:pPr>
    </w:p>
    <w:p w14:paraId="5726C6C0" w14:textId="77777777" w:rsidR="00FE4018" w:rsidRPr="00E3232D" w:rsidRDefault="00FE4018" w:rsidP="008275E1">
      <w:pPr>
        <w:rPr>
          <w:rFonts w:ascii="Book Antiqua" w:hAnsi="Book Antiqua"/>
          <w:b/>
        </w:rPr>
      </w:pPr>
    </w:p>
    <w:p w14:paraId="05A3A7D1" w14:textId="77777777" w:rsidR="00FE4018" w:rsidRPr="00E3232D" w:rsidRDefault="00FE4018" w:rsidP="008275E1">
      <w:pPr>
        <w:rPr>
          <w:rFonts w:ascii="Book Antiqua" w:hAnsi="Book Antiqua"/>
          <w:b/>
        </w:rPr>
      </w:pPr>
      <w:r w:rsidRPr="00E3232D">
        <w:rPr>
          <w:rFonts w:ascii="Book Antiqua" w:hAnsi="Book Antiqua"/>
        </w:rPr>
        <w:t xml:space="preserve">    </w:t>
      </w:r>
      <w:r w:rsidRPr="00E3232D">
        <w:rPr>
          <w:rFonts w:ascii="Book Antiqua" w:hAnsi="Book Antiqua"/>
          <w:b/>
        </w:rPr>
        <w:t>Source: Field Survey. August, 2011</w:t>
      </w:r>
    </w:p>
    <w:p w14:paraId="7269BE43" w14:textId="77777777" w:rsidR="00FE4018" w:rsidRPr="00E3232D" w:rsidRDefault="00FE4018" w:rsidP="008275E1">
      <w:pPr>
        <w:rPr>
          <w:rFonts w:ascii="Book Antiqua" w:hAnsi="Book Antiqua"/>
          <w:b/>
        </w:rPr>
      </w:pPr>
      <w:r w:rsidRPr="00E3232D">
        <w:rPr>
          <w:rFonts w:ascii="Book Antiqua" w:hAnsi="Book Antiqua"/>
          <w:b/>
        </w:rPr>
        <w:t>Leadership Styles Employed by the Executives</w:t>
      </w:r>
    </w:p>
    <w:p w14:paraId="5DB4F92A" w14:textId="77777777" w:rsidR="00FE4018" w:rsidRPr="00E3232D" w:rsidRDefault="00FE4018" w:rsidP="008D2CB7">
      <w:pPr>
        <w:spacing w:before="240" w:after="120"/>
        <w:jc w:val="both"/>
        <w:rPr>
          <w:rFonts w:ascii="Book Antiqua" w:hAnsi="Book Antiqua"/>
        </w:rPr>
      </w:pPr>
      <w:r w:rsidRPr="00E3232D">
        <w:rPr>
          <w:rFonts w:ascii="Book Antiqua" w:hAnsi="Book Antiqua"/>
        </w:rPr>
        <w:t>Data from the survey reveals that some executives adopt one style of leadership while others adopt a mix of the styles. Of the total respondents, 32% often used democratic style, 6% often use Coaching, 12% used Democratic and Coaching styles and 6% use Coaching and Pacesetting. This response pattern does not conform to Goleman’s (2000) assertion that a right mix of the four styles: Coaching, authoritative, democratic and affiliative, have to be adopted for effective leadership to be delivered. Data on that is illustrated on Table 2.1</w:t>
      </w:r>
      <w:r w:rsidR="001815AD" w:rsidRPr="00E3232D">
        <w:rPr>
          <w:rFonts w:ascii="Book Antiqua" w:hAnsi="Book Antiqua"/>
        </w:rPr>
        <w:fldChar w:fldCharType="begin"/>
      </w:r>
      <w:r w:rsidRPr="00E3232D">
        <w:rPr>
          <w:rFonts w:ascii="Book Antiqua" w:hAnsi="Book Antiqua"/>
        </w:rPr>
        <w:instrText xml:space="preserve"> LINK Excel.Sheet.12 "Book1" "Sheet1!R32C1:R52C3" \a \f 4 \h  \* MERGEFORMAT </w:instrText>
      </w:r>
      <w:r w:rsidR="001815AD" w:rsidRPr="00E3232D">
        <w:rPr>
          <w:rFonts w:ascii="Book Antiqua" w:hAnsi="Book Antiqua"/>
        </w:rPr>
        <w:fldChar w:fldCharType="separate"/>
      </w:r>
    </w:p>
    <w:tbl>
      <w:tblPr>
        <w:tblW w:w="5130" w:type="dxa"/>
        <w:tblBorders>
          <w:top w:val="single" w:sz="8" w:space="0" w:color="4F81BD"/>
          <w:bottom w:val="single" w:sz="8" w:space="0" w:color="4F81BD"/>
        </w:tblBorders>
        <w:tblLayout w:type="fixed"/>
        <w:tblLook w:val="04A0" w:firstRow="1" w:lastRow="0" w:firstColumn="1" w:lastColumn="0" w:noHBand="0" w:noVBand="1"/>
      </w:tblPr>
      <w:tblGrid>
        <w:gridCol w:w="2880"/>
        <w:gridCol w:w="1260"/>
        <w:gridCol w:w="990"/>
      </w:tblGrid>
      <w:tr w:rsidR="00FE4018" w:rsidRPr="00D12E59" w14:paraId="3F1BFAFF" w14:textId="77777777" w:rsidTr="008D6FB2">
        <w:trPr>
          <w:trHeight w:val="312"/>
        </w:trPr>
        <w:tc>
          <w:tcPr>
            <w:tcW w:w="5130" w:type="dxa"/>
            <w:gridSpan w:val="3"/>
            <w:tcBorders>
              <w:top w:val="single" w:sz="8" w:space="0" w:color="4F81BD"/>
              <w:left w:val="nil"/>
              <w:bottom w:val="single" w:sz="8" w:space="0" w:color="4F81BD"/>
              <w:right w:val="nil"/>
            </w:tcBorders>
            <w:shd w:val="clear" w:color="auto" w:fill="auto"/>
            <w:hideMark/>
          </w:tcPr>
          <w:p w14:paraId="02C79E99"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color w:val="000000"/>
                <w:lang w:eastAsia="en-GB"/>
              </w:rPr>
              <w:t>Table 2.1 Leadership Styles often Used by Respondents</w:t>
            </w:r>
          </w:p>
        </w:tc>
      </w:tr>
      <w:tr w:rsidR="00FE4018" w:rsidRPr="00D12E59" w14:paraId="51B6A4F8" w14:textId="77777777" w:rsidTr="008D6FB2">
        <w:trPr>
          <w:trHeight w:val="312"/>
        </w:trPr>
        <w:tc>
          <w:tcPr>
            <w:tcW w:w="2880" w:type="dxa"/>
            <w:tcBorders>
              <w:left w:val="nil"/>
              <w:right w:val="nil"/>
            </w:tcBorders>
            <w:shd w:val="clear" w:color="auto" w:fill="auto"/>
            <w:hideMark/>
          </w:tcPr>
          <w:p w14:paraId="2F78D0F2"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 </w:t>
            </w:r>
          </w:p>
        </w:tc>
        <w:tc>
          <w:tcPr>
            <w:tcW w:w="1260" w:type="dxa"/>
            <w:tcBorders>
              <w:left w:val="nil"/>
              <w:right w:val="nil"/>
            </w:tcBorders>
            <w:shd w:val="clear" w:color="auto" w:fill="auto"/>
            <w:hideMark/>
          </w:tcPr>
          <w:p w14:paraId="48F4A942"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Frequency</w:t>
            </w:r>
          </w:p>
        </w:tc>
        <w:tc>
          <w:tcPr>
            <w:tcW w:w="990" w:type="dxa"/>
            <w:tcBorders>
              <w:left w:val="nil"/>
              <w:right w:val="nil"/>
            </w:tcBorders>
            <w:shd w:val="clear" w:color="auto" w:fill="auto"/>
            <w:hideMark/>
          </w:tcPr>
          <w:p w14:paraId="6D0E1E8B"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Percent</w:t>
            </w:r>
          </w:p>
        </w:tc>
      </w:tr>
      <w:tr w:rsidR="00FE4018" w:rsidRPr="00D12E59" w14:paraId="54991707" w14:textId="77777777" w:rsidTr="008D6FB2">
        <w:trPr>
          <w:trHeight w:val="298"/>
        </w:trPr>
        <w:tc>
          <w:tcPr>
            <w:tcW w:w="2880" w:type="dxa"/>
            <w:shd w:val="clear" w:color="auto" w:fill="auto"/>
            <w:hideMark/>
          </w:tcPr>
          <w:p w14:paraId="66E39C47"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Coercive</w:t>
            </w:r>
          </w:p>
        </w:tc>
        <w:tc>
          <w:tcPr>
            <w:tcW w:w="1260" w:type="dxa"/>
            <w:shd w:val="clear" w:color="auto" w:fill="auto"/>
            <w:hideMark/>
          </w:tcPr>
          <w:p w14:paraId="44EF35FF"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3</w:t>
            </w:r>
          </w:p>
        </w:tc>
        <w:tc>
          <w:tcPr>
            <w:tcW w:w="990" w:type="dxa"/>
            <w:shd w:val="clear" w:color="auto" w:fill="auto"/>
            <w:hideMark/>
          </w:tcPr>
          <w:p w14:paraId="27F74830"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6</w:t>
            </w:r>
          </w:p>
        </w:tc>
      </w:tr>
      <w:tr w:rsidR="00FE4018" w:rsidRPr="00D12E59" w14:paraId="468B928D" w14:textId="77777777" w:rsidTr="008D6FB2">
        <w:trPr>
          <w:trHeight w:val="298"/>
        </w:trPr>
        <w:tc>
          <w:tcPr>
            <w:tcW w:w="2880" w:type="dxa"/>
            <w:tcBorders>
              <w:left w:val="nil"/>
              <w:right w:val="nil"/>
            </w:tcBorders>
            <w:shd w:val="clear" w:color="auto" w:fill="auto"/>
            <w:hideMark/>
          </w:tcPr>
          <w:p w14:paraId="10154D39"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Democratic</w:t>
            </w:r>
          </w:p>
        </w:tc>
        <w:tc>
          <w:tcPr>
            <w:tcW w:w="1260" w:type="dxa"/>
            <w:tcBorders>
              <w:left w:val="nil"/>
              <w:right w:val="nil"/>
            </w:tcBorders>
            <w:shd w:val="clear" w:color="auto" w:fill="auto"/>
            <w:hideMark/>
          </w:tcPr>
          <w:p w14:paraId="1C4049D8"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16</w:t>
            </w:r>
          </w:p>
        </w:tc>
        <w:tc>
          <w:tcPr>
            <w:tcW w:w="990" w:type="dxa"/>
            <w:tcBorders>
              <w:left w:val="nil"/>
              <w:right w:val="nil"/>
            </w:tcBorders>
            <w:shd w:val="clear" w:color="auto" w:fill="auto"/>
            <w:hideMark/>
          </w:tcPr>
          <w:p w14:paraId="695D978B"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32</w:t>
            </w:r>
          </w:p>
        </w:tc>
      </w:tr>
      <w:tr w:rsidR="00FE4018" w:rsidRPr="00D12E59" w14:paraId="7188824B" w14:textId="77777777" w:rsidTr="008D6FB2">
        <w:trPr>
          <w:trHeight w:val="298"/>
        </w:trPr>
        <w:tc>
          <w:tcPr>
            <w:tcW w:w="2880" w:type="dxa"/>
            <w:shd w:val="clear" w:color="auto" w:fill="auto"/>
            <w:hideMark/>
          </w:tcPr>
          <w:p w14:paraId="73820A01"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Pacesetting</w:t>
            </w:r>
          </w:p>
        </w:tc>
        <w:tc>
          <w:tcPr>
            <w:tcW w:w="1260" w:type="dxa"/>
            <w:shd w:val="clear" w:color="auto" w:fill="auto"/>
            <w:hideMark/>
          </w:tcPr>
          <w:p w14:paraId="5EC6BFF3"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c>
          <w:tcPr>
            <w:tcW w:w="990" w:type="dxa"/>
            <w:shd w:val="clear" w:color="auto" w:fill="auto"/>
            <w:hideMark/>
          </w:tcPr>
          <w:p w14:paraId="09BEA339"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4</w:t>
            </w:r>
          </w:p>
        </w:tc>
      </w:tr>
      <w:tr w:rsidR="00FE4018" w:rsidRPr="00D12E59" w14:paraId="537B8688" w14:textId="77777777" w:rsidTr="008D6FB2">
        <w:trPr>
          <w:trHeight w:val="298"/>
        </w:trPr>
        <w:tc>
          <w:tcPr>
            <w:tcW w:w="2880" w:type="dxa"/>
            <w:tcBorders>
              <w:left w:val="nil"/>
              <w:right w:val="nil"/>
            </w:tcBorders>
            <w:shd w:val="clear" w:color="auto" w:fill="auto"/>
            <w:hideMark/>
          </w:tcPr>
          <w:p w14:paraId="1CFB671E"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Coaching</w:t>
            </w:r>
          </w:p>
        </w:tc>
        <w:tc>
          <w:tcPr>
            <w:tcW w:w="1260" w:type="dxa"/>
            <w:tcBorders>
              <w:left w:val="nil"/>
              <w:right w:val="nil"/>
            </w:tcBorders>
            <w:shd w:val="clear" w:color="auto" w:fill="auto"/>
            <w:hideMark/>
          </w:tcPr>
          <w:p w14:paraId="73AFA4B7"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3</w:t>
            </w:r>
          </w:p>
        </w:tc>
        <w:tc>
          <w:tcPr>
            <w:tcW w:w="990" w:type="dxa"/>
            <w:tcBorders>
              <w:left w:val="nil"/>
              <w:right w:val="nil"/>
            </w:tcBorders>
            <w:shd w:val="clear" w:color="auto" w:fill="auto"/>
            <w:hideMark/>
          </w:tcPr>
          <w:p w14:paraId="344EF0E0"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6</w:t>
            </w:r>
          </w:p>
        </w:tc>
      </w:tr>
      <w:tr w:rsidR="00FE4018" w:rsidRPr="00D12E59" w14:paraId="08A8F5C3" w14:textId="77777777" w:rsidTr="008D6FB2">
        <w:trPr>
          <w:trHeight w:val="298"/>
        </w:trPr>
        <w:tc>
          <w:tcPr>
            <w:tcW w:w="2880" w:type="dxa"/>
            <w:shd w:val="clear" w:color="auto" w:fill="auto"/>
            <w:hideMark/>
          </w:tcPr>
          <w:p w14:paraId="44E50259"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 xml:space="preserve">Coercive, Coaching </w:t>
            </w:r>
          </w:p>
        </w:tc>
        <w:tc>
          <w:tcPr>
            <w:tcW w:w="1260" w:type="dxa"/>
            <w:shd w:val="clear" w:color="auto" w:fill="auto"/>
            <w:hideMark/>
          </w:tcPr>
          <w:p w14:paraId="2097DC3D"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w:t>
            </w:r>
          </w:p>
        </w:tc>
        <w:tc>
          <w:tcPr>
            <w:tcW w:w="990" w:type="dxa"/>
            <w:shd w:val="clear" w:color="auto" w:fill="auto"/>
            <w:hideMark/>
          </w:tcPr>
          <w:p w14:paraId="7CE8C3B5"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18015A05" w14:textId="77777777" w:rsidTr="008D6FB2">
        <w:trPr>
          <w:trHeight w:val="298"/>
        </w:trPr>
        <w:tc>
          <w:tcPr>
            <w:tcW w:w="2880" w:type="dxa"/>
            <w:tcBorders>
              <w:left w:val="nil"/>
              <w:right w:val="nil"/>
            </w:tcBorders>
            <w:shd w:val="clear" w:color="auto" w:fill="auto"/>
            <w:hideMark/>
          </w:tcPr>
          <w:p w14:paraId="54E8E8D2"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Authoritative, Democratic</w:t>
            </w:r>
          </w:p>
        </w:tc>
        <w:tc>
          <w:tcPr>
            <w:tcW w:w="1260" w:type="dxa"/>
            <w:tcBorders>
              <w:left w:val="nil"/>
              <w:right w:val="nil"/>
            </w:tcBorders>
            <w:shd w:val="clear" w:color="auto" w:fill="auto"/>
            <w:hideMark/>
          </w:tcPr>
          <w:p w14:paraId="063895DC"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w:t>
            </w:r>
          </w:p>
        </w:tc>
        <w:tc>
          <w:tcPr>
            <w:tcW w:w="990" w:type="dxa"/>
            <w:tcBorders>
              <w:left w:val="nil"/>
              <w:right w:val="nil"/>
            </w:tcBorders>
            <w:shd w:val="clear" w:color="auto" w:fill="auto"/>
            <w:hideMark/>
          </w:tcPr>
          <w:p w14:paraId="43D9DD08"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3C1B1CBD" w14:textId="77777777" w:rsidTr="008D6FB2">
        <w:trPr>
          <w:trHeight w:val="298"/>
        </w:trPr>
        <w:tc>
          <w:tcPr>
            <w:tcW w:w="2880" w:type="dxa"/>
            <w:shd w:val="clear" w:color="auto" w:fill="auto"/>
            <w:hideMark/>
          </w:tcPr>
          <w:p w14:paraId="06E72AB1"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 xml:space="preserve">Authoritative, Coaching </w:t>
            </w:r>
          </w:p>
        </w:tc>
        <w:tc>
          <w:tcPr>
            <w:tcW w:w="1260" w:type="dxa"/>
            <w:shd w:val="clear" w:color="auto" w:fill="auto"/>
            <w:hideMark/>
          </w:tcPr>
          <w:p w14:paraId="6D5D769B"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c>
          <w:tcPr>
            <w:tcW w:w="990" w:type="dxa"/>
            <w:shd w:val="clear" w:color="auto" w:fill="auto"/>
            <w:hideMark/>
          </w:tcPr>
          <w:p w14:paraId="359BFBE4"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4</w:t>
            </w:r>
          </w:p>
        </w:tc>
      </w:tr>
      <w:tr w:rsidR="00FE4018" w:rsidRPr="00D12E59" w14:paraId="0AF4BB44" w14:textId="77777777" w:rsidTr="008D6FB2">
        <w:trPr>
          <w:trHeight w:val="298"/>
        </w:trPr>
        <w:tc>
          <w:tcPr>
            <w:tcW w:w="2880" w:type="dxa"/>
            <w:tcBorders>
              <w:left w:val="nil"/>
              <w:right w:val="nil"/>
            </w:tcBorders>
            <w:shd w:val="clear" w:color="auto" w:fill="auto"/>
            <w:hideMark/>
          </w:tcPr>
          <w:p w14:paraId="772A605D"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 xml:space="preserve">Affiliative, Democratic </w:t>
            </w:r>
          </w:p>
        </w:tc>
        <w:tc>
          <w:tcPr>
            <w:tcW w:w="1260" w:type="dxa"/>
            <w:tcBorders>
              <w:left w:val="nil"/>
              <w:right w:val="nil"/>
            </w:tcBorders>
            <w:shd w:val="clear" w:color="auto" w:fill="auto"/>
            <w:hideMark/>
          </w:tcPr>
          <w:p w14:paraId="2FBFCA98"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w:t>
            </w:r>
          </w:p>
        </w:tc>
        <w:tc>
          <w:tcPr>
            <w:tcW w:w="990" w:type="dxa"/>
            <w:tcBorders>
              <w:left w:val="nil"/>
              <w:right w:val="nil"/>
            </w:tcBorders>
            <w:shd w:val="clear" w:color="auto" w:fill="auto"/>
            <w:hideMark/>
          </w:tcPr>
          <w:p w14:paraId="6BCBF7F7"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0A25C026" w14:textId="77777777" w:rsidTr="008D6FB2">
        <w:trPr>
          <w:trHeight w:val="298"/>
        </w:trPr>
        <w:tc>
          <w:tcPr>
            <w:tcW w:w="2880" w:type="dxa"/>
            <w:shd w:val="clear" w:color="auto" w:fill="auto"/>
            <w:hideMark/>
          </w:tcPr>
          <w:p w14:paraId="69C0CEFB"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 xml:space="preserve">Affiliative, Coaching </w:t>
            </w:r>
          </w:p>
        </w:tc>
        <w:tc>
          <w:tcPr>
            <w:tcW w:w="1260" w:type="dxa"/>
            <w:shd w:val="clear" w:color="auto" w:fill="auto"/>
            <w:hideMark/>
          </w:tcPr>
          <w:p w14:paraId="24D164A1"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w:t>
            </w:r>
          </w:p>
        </w:tc>
        <w:tc>
          <w:tcPr>
            <w:tcW w:w="990" w:type="dxa"/>
            <w:shd w:val="clear" w:color="auto" w:fill="auto"/>
            <w:hideMark/>
          </w:tcPr>
          <w:p w14:paraId="100E281E"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117EDE7D" w14:textId="77777777" w:rsidTr="008D6FB2">
        <w:trPr>
          <w:trHeight w:val="298"/>
        </w:trPr>
        <w:tc>
          <w:tcPr>
            <w:tcW w:w="2880" w:type="dxa"/>
            <w:tcBorders>
              <w:left w:val="nil"/>
              <w:right w:val="nil"/>
            </w:tcBorders>
            <w:shd w:val="clear" w:color="auto" w:fill="auto"/>
            <w:hideMark/>
          </w:tcPr>
          <w:p w14:paraId="65491C96"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Democratic, Coaching</w:t>
            </w:r>
          </w:p>
        </w:tc>
        <w:tc>
          <w:tcPr>
            <w:tcW w:w="1260" w:type="dxa"/>
            <w:tcBorders>
              <w:left w:val="nil"/>
              <w:right w:val="nil"/>
            </w:tcBorders>
            <w:shd w:val="clear" w:color="auto" w:fill="auto"/>
            <w:hideMark/>
          </w:tcPr>
          <w:p w14:paraId="40DA9BD5"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6</w:t>
            </w:r>
          </w:p>
        </w:tc>
        <w:tc>
          <w:tcPr>
            <w:tcW w:w="990" w:type="dxa"/>
            <w:tcBorders>
              <w:left w:val="nil"/>
              <w:right w:val="nil"/>
            </w:tcBorders>
            <w:shd w:val="clear" w:color="auto" w:fill="auto"/>
            <w:hideMark/>
          </w:tcPr>
          <w:p w14:paraId="1D98FF17"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12</w:t>
            </w:r>
          </w:p>
        </w:tc>
      </w:tr>
      <w:tr w:rsidR="00FE4018" w:rsidRPr="00D12E59" w14:paraId="6457193B" w14:textId="77777777" w:rsidTr="008D6FB2">
        <w:trPr>
          <w:trHeight w:val="298"/>
        </w:trPr>
        <w:tc>
          <w:tcPr>
            <w:tcW w:w="2880" w:type="dxa"/>
            <w:shd w:val="clear" w:color="auto" w:fill="auto"/>
            <w:hideMark/>
          </w:tcPr>
          <w:p w14:paraId="4B2A1FAD"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Pacesetting, Coaching</w:t>
            </w:r>
          </w:p>
        </w:tc>
        <w:tc>
          <w:tcPr>
            <w:tcW w:w="1260" w:type="dxa"/>
            <w:shd w:val="clear" w:color="auto" w:fill="auto"/>
            <w:hideMark/>
          </w:tcPr>
          <w:p w14:paraId="2A0E0784"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3</w:t>
            </w:r>
          </w:p>
        </w:tc>
        <w:tc>
          <w:tcPr>
            <w:tcW w:w="990" w:type="dxa"/>
            <w:shd w:val="clear" w:color="auto" w:fill="auto"/>
            <w:hideMark/>
          </w:tcPr>
          <w:p w14:paraId="77431A5B"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6</w:t>
            </w:r>
          </w:p>
        </w:tc>
      </w:tr>
      <w:tr w:rsidR="00FE4018" w:rsidRPr="00D12E59" w14:paraId="062CF5B3" w14:textId="77777777" w:rsidTr="008D6FB2">
        <w:trPr>
          <w:trHeight w:val="596"/>
        </w:trPr>
        <w:tc>
          <w:tcPr>
            <w:tcW w:w="2880" w:type="dxa"/>
            <w:tcBorders>
              <w:left w:val="nil"/>
              <w:right w:val="nil"/>
            </w:tcBorders>
            <w:shd w:val="clear" w:color="auto" w:fill="auto"/>
            <w:hideMark/>
          </w:tcPr>
          <w:p w14:paraId="7C6FD627"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 xml:space="preserve">Authoritative, Democratic, Coaching </w:t>
            </w:r>
          </w:p>
        </w:tc>
        <w:tc>
          <w:tcPr>
            <w:tcW w:w="1260" w:type="dxa"/>
            <w:tcBorders>
              <w:left w:val="nil"/>
              <w:right w:val="nil"/>
            </w:tcBorders>
            <w:shd w:val="clear" w:color="auto" w:fill="auto"/>
            <w:hideMark/>
          </w:tcPr>
          <w:p w14:paraId="6977A1AF"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w:t>
            </w:r>
          </w:p>
        </w:tc>
        <w:tc>
          <w:tcPr>
            <w:tcW w:w="990" w:type="dxa"/>
            <w:tcBorders>
              <w:left w:val="nil"/>
              <w:right w:val="nil"/>
            </w:tcBorders>
            <w:shd w:val="clear" w:color="auto" w:fill="auto"/>
            <w:hideMark/>
          </w:tcPr>
          <w:p w14:paraId="2D8298CF"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2012C4A9" w14:textId="77777777" w:rsidTr="008D6FB2">
        <w:trPr>
          <w:trHeight w:val="684"/>
        </w:trPr>
        <w:tc>
          <w:tcPr>
            <w:tcW w:w="2880" w:type="dxa"/>
            <w:shd w:val="clear" w:color="auto" w:fill="auto"/>
            <w:hideMark/>
          </w:tcPr>
          <w:p w14:paraId="05DA85DC"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Authoritative, Pacesetting, Coaching</w:t>
            </w:r>
          </w:p>
        </w:tc>
        <w:tc>
          <w:tcPr>
            <w:tcW w:w="1260" w:type="dxa"/>
            <w:shd w:val="clear" w:color="auto" w:fill="auto"/>
            <w:hideMark/>
          </w:tcPr>
          <w:p w14:paraId="2B4DF462"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w:t>
            </w:r>
          </w:p>
        </w:tc>
        <w:tc>
          <w:tcPr>
            <w:tcW w:w="990" w:type="dxa"/>
            <w:shd w:val="clear" w:color="auto" w:fill="auto"/>
            <w:hideMark/>
          </w:tcPr>
          <w:p w14:paraId="68A51490"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3AD53DAE" w14:textId="77777777" w:rsidTr="008D6FB2">
        <w:trPr>
          <w:trHeight w:val="596"/>
        </w:trPr>
        <w:tc>
          <w:tcPr>
            <w:tcW w:w="2880" w:type="dxa"/>
            <w:tcBorders>
              <w:left w:val="nil"/>
              <w:right w:val="nil"/>
            </w:tcBorders>
            <w:shd w:val="clear" w:color="auto" w:fill="auto"/>
            <w:hideMark/>
          </w:tcPr>
          <w:p w14:paraId="0B0F53E6"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Affiliative, Democratic, Coaching</w:t>
            </w:r>
          </w:p>
        </w:tc>
        <w:tc>
          <w:tcPr>
            <w:tcW w:w="1260" w:type="dxa"/>
            <w:tcBorders>
              <w:left w:val="nil"/>
              <w:right w:val="nil"/>
            </w:tcBorders>
            <w:shd w:val="clear" w:color="auto" w:fill="auto"/>
            <w:hideMark/>
          </w:tcPr>
          <w:p w14:paraId="6612637D"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c>
          <w:tcPr>
            <w:tcW w:w="990" w:type="dxa"/>
            <w:tcBorders>
              <w:left w:val="nil"/>
              <w:right w:val="nil"/>
            </w:tcBorders>
            <w:shd w:val="clear" w:color="auto" w:fill="auto"/>
            <w:hideMark/>
          </w:tcPr>
          <w:p w14:paraId="6A7F9071"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4</w:t>
            </w:r>
          </w:p>
        </w:tc>
      </w:tr>
      <w:tr w:rsidR="00FE4018" w:rsidRPr="00D12E59" w14:paraId="0A4E6F05" w14:textId="77777777" w:rsidTr="008D6FB2">
        <w:trPr>
          <w:trHeight w:val="596"/>
        </w:trPr>
        <w:tc>
          <w:tcPr>
            <w:tcW w:w="2880" w:type="dxa"/>
            <w:shd w:val="clear" w:color="auto" w:fill="auto"/>
            <w:hideMark/>
          </w:tcPr>
          <w:p w14:paraId="21AC1501"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Democratic, Pacesetting, Coaching</w:t>
            </w:r>
          </w:p>
        </w:tc>
        <w:tc>
          <w:tcPr>
            <w:tcW w:w="1260" w:type="dxa"/>
            <w:shd w:val="clear" w:color="auto" w:fill="auto"/>
            <w:hideMark/>
          </w:tcPr>
          <w:p w14:paraId="61AE8434"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3</w:t>
            </w:r>
          </w:p>
        </w:tc>
        <w:tc>
          <w:tcPr>
            <w:tcW w:w="990" w:type="dxa"/>
            <w:shd w:val="clear" w:color="auto" w:fill="auto"/>
            <w:hideMark/>
          </w:tcPr>
          <w:p w14:paraId="7F12AB9C"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6</w:t>
            </w:r>
          </w:p>
        </w:tc>
      </w:tr>
      <w:tr w:rsidR="00FE4018" w:rsidRPr="00D12E59" w14:paraId="3F1EEAB2" w14:textId="77777777" w:rsidTr="008D6FB2">
        <w:trPr>
          <w:trHeight w:val="596"/>
        </w:trPr>
        <w:tc>
          <w:tcPr>
            <w:tcW w:w="2880" w:type="dxa"/>
            <w:tcBorders>
              <w:left w:val="nil"/>
              <w:right w:val="nil"/>
            </w:tcBorders>
            <w:shd w:val="clear" w:color="auto" w:fill="auto"/>
            <w:hideMark/>
          </w:tcPr>
          <w:p w14:paraId="7E05C34B"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Coercive, Democratic, Pacesetting, Coaching</w:t>
            </w:r>
          </w:p>
        </w:tc>
        <w:tc>
          <w:tcPr>
            <w:tcW w:w="1260" w:type="dxa"/>
            <w:tcBorders>
              <w:left w:val="nil"/>
              <w:right w:val="nil"/>
            </w:tcBorders>
            <w:shd w:val="clear" w:color="auto" w:fill="auto"/>
            <w:hideMark/>
          </w:tcPr>
          <w:p w14:paraId="3E220217"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w:t>
            </w:r>
          </w:p>
        </w:tc>
        <w:tc>
          <w:tcPr>
            <w:tcW w:w="990" w:type="dxa"/>
            <w:tcBorders>
              <w:left w:val="nil"/>
              <w:right w:val="nil"/>
            </w:tcBorders>
            <w:shd w:val="clear" w:color="auto" w:fill="auto"/>
            <w:hideMark/>
          </w:tcPr>
          <w:p w14:paraId="39B71149"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77741772" w14:textId="77777777" w:rsidTr="008D6FB2">
        <w:trPr>
          <w:trHeight w:val="596"/>
        </w:trPr>
        <w:tc>
          <w:tcPr>
            <w:tcW w:w="2880" w:type="dxa"/>
            <w:shd w:val="clear" w:color="auto" w:fill="auto"/>
            <w:hideMark/>
          </w:tcPr>
          <w:p w14:paraId="201E8BF4"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Affiliative, Democratic, Pacesetting, Coaching</w:t>
            </w:r>
          </w:p>
        </w:tc>
        <w:tc>
          <w:tcPr>
            <w:tcW w:w="1260" w:type="dxa"/>
            <w:shd w:val="clear" w:color="auto" w:fill="auto"/>
            <w:hideMark/>
          </w:tcPr>
          <w:p w14:paraId="4EEBC896"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c>
          <w:tcPr>
            <w:tcW w:w="990" w:type="dxa"/>
            <w:shd w:val="clear" w:color="auto" w:fill="auto"/>
            <w:hideMark/>
          </w:tcPr>
          <w:p w14:paraId="467AFE21"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4</w:t>
            </w:r>
          </w:p>
        </w:tc>
      </w:tr>
      <w:tr w:rsidR="00FE4018" w:rsidRPr="00D12E59" w14:paraId="3D28AB57" w14:textId="77777777" w:rsidTr="008D6FB2">
        <w:trPr>
          <w:trHeight w:val="893"/>
        </w:trPr>
        <w:tc>
          <w:tcPr>
            <w:tcW w:w="2880" w:type="dxa"/>
            <w:tcBorders>
              <w:left w:val="nil"/>
              <w:right w:val="nil"/>
            </w:tcBorders>
            <w:shd w:val="clear" w:color="auto" w:fill="auto"/>
            <w:hideMark/>
          </w:tcPr>
          <w:p w14:paraId="3BB459FD"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 xml:space="preserve">Coercive, Affiliative, Democratic, Pacesetting, Coaching </w:t>
            </w:r>
          </w:p>
        </w:tc>
        <w:tc>
          <w:tcPr>
            <w:tcW w:w="1260" w:type="dxa"/>
            <w:tcBorders>
              <w:left w:val="nil"/>
              <w:right w:val="nil"/>
            </w:tcBorders>
            <w:shd w:val="clear" w:color="auto" w:fill="auto"/>
            <w:hideMark/>
          </w:tcPr>
          <w:p w14:paraId="10ED1634"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w:t>
            </w:r>
          </w:p>
        </w:tc>
        <w:tc>
          <w:tcPr>
            <w:tcW w:w="990" w:type="dxa"/>
            <w:tcBorders>
              <w:left w:val="nil"/>
              <w:right w:val="nil"/>
            </w:tcBorders>
            <w:shd w:val="clear" w:color="auto" w:fill="auto"/>
            <w:hideMark/>
          </w:tcPr>
          <w:p w14:paraId="727993D1"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7D613E05" w14:textId="77777777" w:rsidTr="008D6FB2">
        <w:trPr>
          <w:trHeight w:val="298"/>
        </w:trPr>
        <w:tc>
          <w:tcPr>
            <w:tcW w:w="2880" w:type="dxa"/>
            <w:shd w:val="clear" w:color="auto" w:fill="auto"/>
            <w:hideMark/>
          </w:tcPr>
          <w:p w14:paraId="5C421088" w14:textId="77777777" w:rsidR="00FE4018" w:rsidRPr="00D12E59" w:rsidRDefault="00FE4018" w:rsidP="008D6FB2">
            <w:pPr>
              <w:spacing w:line="240" w:lineRule="auto"/>
              <w:rPr>
                <w:rFonts w:ascii="Book Antiqua" w:hAnsi="Book Antiqua"/>
                <w:b/>
                <w:bCs/>
                <w:color w:val="000000"/>
                <w:lang w:val="en-GB" w:eastAsia="en-GB"/>
              </w:rPr>
            </w:pPr>
            <w:r w:rsidRPr="00D12E59">
              <w:rPr>
                <w:rFonts w:ascii="Book Antiqua" w:hAnsi="Book Antiqua"/>
                <w:b/>
                <w:bCs/>
                <w:color w:val="000000"/>
                <w:lang w:eastAsia="en-GB"/>
              </w:rPr>
              <w:t>Total</w:t>
            </w:r>
          </w:p>
        </w:tc>
        <w:tc>
          <w:tcPr>
            <w:tcW w:w="1260" w:type="dxa"/>
            <w:shd w:val="clear" w:color="auto" w:fill="auto"/>
            <w:hideMark/>
          </w:tcPr>
          <w:p w14:paraId="6D8108C5"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50</w:t>
            </w:r>
          </w:p>
        </w:tc>
        <w:tc>
          <w:tcPr>
            <w:tcW w:w="990" w:type="dxa"/>
            <w:shd w:val="clear" w:color="auto" w:fill="auto"/>
            <w:hideMark/>
          </w:tcPr>
          <w:p w14:paraId="0A3A65D4" w14:textId="77777777" w:rsidR="00FE4018" w:rsidRPr="00D12E59" w:rsidRDefault="00FE4018" w:rsidP="008D6FB2">
            <w:pPr>
              <w:spacing w:line="240" w:lineRule="auto"/>
              <w:rPr>
                <w:rFonts w:ascii="Book Antiqua" w:hAnsi="Book Antiqua"/>
                <w:color w:val="000000"/>
                <w:lang w:val="en-GB" w:eastAsia="en-GB"/>
              </w:rPr>
            </w:pPr>
            <w:r w:rsidRPr="00D12E59">
              <w:rPr>
                <w:rFonts w:ascii="Book Antiqua" w:hAnsi="Book Antiqua"/>
                <w:color w:val="000000"/>
                <w:lang w:eastAsia="en-GB"/>
              </w:rPr>
              <w:t>100</w:t>
            </w:r>
          </w:p>
        </w:tc>
      </w:tr>
    </w:tbl>
    <w:p w14:paraId="16953503" w14:textId="77777777" w:rsidR="000A3973" w:rsidRPr="00C6036D" w:rsidRDefault="001815AD" w:rsidP="00C6036D">
      <w:pPr>
        <w:rPr>
          <w:rFonts w:ascii="Book Antiqua" w:hAnsi="Book Antiqua"/>
          <w:b/>
        </w:rPr>
      </w:pPr>
      <w:r w:rsidRPr="00E3232D">
        <w:rPr>
          <w:rFonts w:ascii="Book Antiqua" w:hAnsi="Book Antiqua"/>
        </w:rPr>
        <w:fldChar w:fldCharType="end"/>
      </w:r>
      <w:r w:rsidR="00FE4018" w:rsidRPr="00E3232D">
        <w:rPr>
          <w:rFonts w:ascii="Book Antiqua" w:hAnsi="Book Antiqua"/>
          <w:b/>
        </w:rPr>
        <w:t>Source:  Field Survey. August, 2011</w:t>
      </w:r>
    </w:p>
    <w:p w14:paraId="751F7CD8" w14:textId="77777777" w:rsidR="00FE4018" w:rsidRPr="00E3232D" w:rsidRDefault="00FE4018" w:rsidP="008D2CB7">
      <w:pPr>
        <w:spacing w:before="240" w:after="120"/>
        <w:jc w:val="both"/>
        <w:rPr>
          <w:rFonts w:ascii="Book Antiqua" w:hAnsi="Book Antiqua"/>
        </w:rPr>
      </w:pPr>
      <w:r w:rsidRPr="00E3232D">
        <w:rPr>
          <w:rFonts w:ascii="Book Antiqua" w:hAnsi="Book Antiqua"/>
        </w:rPr>
        <w:t xml:space="preserve">On leadership style considered most appropriate for influencing team spirit towards collective goal attainment, 28% of the respondents chose democratic style, 18% chose democratic and Coaching, 10% each chose Coaching and Affiliative and democratic styles of leadership, 6% each chose a mix of: authoritative, democratic, Coaching; and democratic, pacesetting, and coaching. Here again the democratic leadership style features prominently among the choice of executives and even in terms of their choice of right mix, the democratic style features among all the mix adopted by the executives. Table 2.2 illustrates data on that. </w:t>
      </w:r>
      <w:r w:rsidR="001815AD" w:rsidRPr="00E3232D">
        <w:rPr>
          <w:rFonts w:ascii="Book Antiqua" w:hAnsi="Book Antiqua"/>
        </w:rPr>
        <w:fldChar w:fldCharType="begin"/>
      </w:r>
      <w:r w:rsidRPr="00E3232D">
        <w:rPr>
          <w:rFonts w:ascii="Book Antiqua" w:hAnsi="Book Antiqua"/>
        </w:rPr>
        <w:instrText xml:space="preserve"> LINK Excel.Sheet.12 "Book1" "Sheet1!R56C1:R71C3" \a \f 4 \h  \* MERGEFORMAT </w:instrText>
      </w:r>
      <w:r w:rsidR="001815AD" w:rsidRPr="00E3232D">
        <w:rPr>
          <w:rFonts w:ascii="Book Antiqua" w:hAnsi="Book Antiqua"/>
        </w:rPr>
        <w:fldChar w:fldCharType="separate"/>
      </w:r>
    </w:p>
    <w:tbl>
      <w:tblPr>
        <w:tblW w:w="4590" w:type="dxa"/>
        <w:tblBorders>
          <w:top w:val="single" w:sz="8" w:space="0" w:color="000000"/>
          <w:bottom w:val="single" w:sz="8" w:space="0" w:color="000000"/>
        </w:tblBorders>
        <w:tblLayout w:type="fixed"/>
        <w:tblLook w:val="05E0" w:firstRow="1" w:lastRow="1" w:firstColumn="1" w:lastColumn="1" w:noHBand="0" w:noVBand="1"/>
      </w:tblPr>
      <w:tblGrid>
        <w:gridCol w:w="2340"/>
        <w:gridCol w:w="1260"/>
        <w:gridCol w:w="990"/>
      </w:tblGrid>
      <w:tr w:rsidR="00FE4018" w:rsidRPr="00D12E59" w14:paraId="6B3F63D1" w14:textId="77777777" w:rsidTr="00F97AE5">
        <w:trPr>
          <w:trHeight w:val="627"/>
        </w:trPr>
        <w:tc>
          <w:tcPr>
            <w:tcW w:w="4590" w:type="dxa"/>
            <w:gridSpan w:val="3"/>
            <w:tcBorders>
              <w:top w:val="single" w:sz="8" w:space="0" w:color="000000"/>
              <w:left w:val="nil"/>
              <w:bottom w:val="single" w:sz="8" w:space="0" w:color="000000"/>
              <w:right w:val="nil"/>
            </w:tcBorders>
            <w:shd w:val="clear" w:color="auto" w:fill="auto"/>
            <w:hideMark/>
          </w:tcPr>
          <w:p w14:paraId="5405529E" w14:textId="77777777" w:rsidR="00FE4018" w:rsidRPr="00F97AE5" w:rsidRDefault="00FE4018" w:rsidP="00F97AE5">
            <w:pPr>
              <w:spacing w:after="0"/>
              <w:jc w:val="both"/>
              <w:rPr>
                <w:rFonts w:ascii="Book Antiqua" w:hAnsi="Book Antiqua"/>
                <w:b/>
                <w:bCs/>
                <w:color w:val="000000"/>
                <w:lang w:val="en-GB" w:eastAsia="en-GB"/>
              </w:rPr>
            </w:pPr>
            <w:r w:rsidRPr="00F97AE5">
              <w:rPr>
                <w:rFonts w:ascii="Book Antiqua" w:hAnsi="Book Antiqua"/>
                <w:b/>
                <w:bCs/>
                <w:color w:val="000000"/>
                <w:lang w:eastAsia="en-GB"/>
              </w:rPr>
              <w:t>Table 2.2 Leadership Styles Considered Most Appropriate for Influencing Team Spirit Towards Collective Goal Attainment</w:t>
            </w:r>
          </w:p>
        </w:tc>
      </w:tr>
      <w:tr w:rsidR="00F97AE5" w:rsidRPr="00D12E59" w14:paraId="6F3583BC" w14:textId="77777777" w:rsidTr="00F97AE5">
        <w:trPr>
          <w:trHeight w:val="328"/>
        </w:trPr>
        <w:tc>
          <w:tcPr>
            <w:tcW w:w="2340" w:type="dxa"/>
            <w:tcBorders>
              <w:left w:val="nil"/>
              <w:right w:val="nil"/>
            </w:tcBorders>
            <w:shd w:val="clear" w:color="auto" w:fill="auto"/>
            <w:hideMark/>
          </w:tcPr>
          <w:p w14:paraId="79E542C2" w14:textId="77777777" w:rsidR="00FE4018" w:rsidRPr="00F97AE5" w:rsidRDefault="00FE4018" w:rsidP="00F97AE5">
            <w:pPr>
              <w:spacing w:after="0"/>
              <w:jc w:val="both"/>
              <w:rPr>
                <w:rFonts w:ascii="Book Antiqua" w:hAnsi="Book Antiqua"/>
                <w:b/>
                <w:bCs/>
                <w:color w:val="000000"/>
                <w:lang w:val="en-GB" w:eastAsia="en-GB"/>
              </w:rPr>
            </w:pPr>
            <w:r w:rsidRPr="00F97AE5">
              <w:rPr>
                <w:rFonts w:ascii="Book Antiqua" w:hAnsi="Book Antiqua"/>
                <w:b/>
                <w:bCs/>
                <w:color w:val="000000"/>
                <w:lang w:eastAsia="en-GB"/>
              </w:rPr>
              <w:t> </w:t>
            </w:r>
          </w:p>
        </w:tc>
        <w:tc>
          <w:tcPr>
            <w:tcW w:w="1260" w:type="dxa"/>
            <w:tcBorders>
              <w:left w:val="nil"/>
              <w:right w:val="nil"/>
            </w:tcBorders>
            <w:shd w:val="clear" w:color="auto" w:fill="auto"/>
            <w:hideMark/>
          </w:tcPr>
          <w:p w14:paraId="6B3EF3CD"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Frequency</w:t>
            </w:r>
          </w:p>
        </w:tc>
        <w:tc>
          <w:tcPr>
            <w:tcW w:w="990" w:type="dxa"/>
            <w:tcBorders>
              <w:left w:val="nil"/>
              <w:right w:val="nil"/>
            </w:tcBorders>
            <w:shd w:val="clear" w:color="auto" w:fill="auto"/>
            <w:hideMark/>
          </w:tcPr>
          <w:p w14:paraId="691BEBE4" w14:textId="77777777" w:rsidR="00FE4018" w:rsidRPr="00F97AE5" w:rsidRDefault="00FE4018" w:rsidP="00F97AE5">
            <w:pPr>
              <w:spacing w:after="0"/>
              <w:jc w:val="both"/>
              <w:rPr>
                <w:rFonts w:ascii="Book Antiqua" w:hAnsi="Book Antiqua"/>
                <w:b/>
                <w:bCs/>
                <w:color w:val="000000"/>
                <w:lang w:val="en-GB" w:eastAsia="en-GB"/>
              </w:rPr>
            </w:pPr>
            <w:r w:rsidRPr="00F97AE5">
              <w:rPr>
                <w:rFonts w:ascii="Book Antiqua" w:hAnsi="Book Antiqua"/>
                <w:b/>
                <w:bCs/>
                <w:color w:val="000000"/>
                <w:lang w:eastAsia="en-GB"/>
              </w:rPr>
              <w:t>Percent</w:t>
            </w:r>
          </w:p>
        </w:tc>
      </w:tr>
      <w:tr w:rsidR="00FE4018" w:rsidRPr="00F361FC" w14:paraId="2A5C3FE3" w14:textId="77777777" w:rsidTr="00F97AE5">
        <w:trPr>
          <w:trHeight w:val="314"/>
        </w:trPr>
        <w:tc>
          <w:tcPr>
            <w:tcW w:w="2340" w:type="dxa"/>
            <w:shd w:val="clear" w:color="auto" w:fill="auto"/>
            <w:hideMark/>
          </w:tcPr>
          <w:p w14:paraId="730BB170"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 xml:space="preserve">Coercive </w:t>
            </w:r>
          </w:p>
        </w:tc>
        <w:tc>
          <w:tcPr>
            <w:tcW w:w="1260" w:type="dxa"/>
            <w:shd w:val="clear" w:color="auto" w:fill="auto"/>
            <w:hideMark/>
          </w:tcPr>
          <w:p w14:paraId="22A3167E"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4</w:t>
            </w:r>
          </w:p>
        </w:tc>
        <w:tc>
          <w:tcPr>
            <w:tcW w:w="990" w:type="dxa"/>
            <w:shd w:val="clear" w:color="auto" w:fill="auto"/>
            <w:hideMark/>
          </w:tcPr>
          <w:p w14:paraId="65A29C8A"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8</w:t>
            </w:r>
          </w:p>
        </w:tc>
      </w:tr>
      <w:tr w:rsidR="00F97AE5" w:rsidRPr="00F361FC" w14:paraId="4009AFA7" w14:textId="77777777" w:rsidTr="00F97AE5">
        <w:trPr>
          <w:trHeight w:val="314"/>
        </w:trPr>
        <w:tc>
          <w:tcPr>
            <w:tcW w:w="2340" w:type="dxa"/>
            <w:tcBorders>
              <w:left w:val="nil"/>
              <w:right w:val="nil"/>
            </w:tcBorders>
            <w:shd w:val="clear" w:color="auto" w:fill="auto"/>
            <w:hideMark/>
          </w:tcPr>
          <w:p w14:paraId="300BB491"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Democratic</w:t>
            </w:r>
          </w:p>
        </w:tc>
        <w:tc>
          <w:tcPr>
            <w:tcW w:w="1260" w:type="dxa"/>
            <w:tcBorders>
              <w:left w:val="nil"/>
              <w:right w:val="nil"/>
            </w:tcBorders>
            <w:shd w:val="clear" w:color="auto" w:fill="auto"/>
            <w:hideMark/>
          </w:tcPr>
          <w:p w14:paraId="4C1AF4FE"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14</w:t>
            </w:r>
          </w:p>
        </w:tc>
        <w:tc>
          <w:tcPr>
            <w:tcW w:w="990" w:type="dxa"/>
            <w:tcBorders>
              <w:left w:val="nil"/>
              <w:right w:val="nil"/>
            </w:tcBorders>
            <w:shd w:val="clear" w:color="auto" w:fill="auto"/>
            <w:hideMark/>
          </w:tcPr>
          <w:p w14:paraId="413597B4"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28</w:t>
            </w:r>
          </w:p>
        </w:tc>
      </w:tr>
      <w:tr w:rsidR="00FE4018" w:rsidRPr="00F361FC" w14:paraId="382545E1" w14:textId="77777777" w:rsidTr="00F97AE5">
        <w:trPr>
          <w:trHeight w:val="314"/>
        </w:trPr>
        <w:tc>
          <w:tcPr>
            <w:tcW w:w="2340" w:type="dxa"/>
            <w:shd w:val="clear" w:color="auto" w:fill="auto"/>
            <w:hideMark/>
          </w:tcPr>
          <w:p w14:paraId="4EA47CA6"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Coaching</w:t>
            </w:r>
          </w:p>
        </w:tc>
        <w:tc>
          <w:tcPr>
            <w:tcW w:w="1260" w:type="dxa"/>
            <w:shd w:val="clear" w:color="auto" w:fill="auto"/>
            <w:hideMark/>
          </w:tcPr>
          <w:p w14:paraId="174EC420"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5</w:t>
            </w:r>
          </w:p>
        </w:tc>
        <w:tc>
          <w:tcPr>
            <w:tcW w:w="990" w:type="dxa"/>
            <w:shd w:val="clear" w:color="auto" w:fill="auto"/>
            <w:hideMark/>
          </w:tcPr>
          <w:p w14:paraId="43C6AE9B"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10</w:t>
            </w:r>
          </w:p>
        </w:tc>
      </w:tr>
      <w:tr w:rsidR="00F97AE5" w:rsidRPr="00F361FC" w14:paraId="658B2DC3" w14:textId="77777777" w:rsidTr="00F97AE5">
        <w:trPr>
          <w:trHeight w:val="314"/>
        </w:trPr>
        <w:tc>
          <w:tcPr>
            <w:tcW w:w="2340" w:type="dxa"/>
            <w:tcBorders>
              <w:left w:val="nil"/>
              <w:right w:val="nil"/>
            </w:tcBorders>
            <w:shd w:val="clear" w:color="auto" w:fill="auto"/>
            <w:hideMark/>
          </w:tcPr>
          <w:p w14:paraId="08F68CDA"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Coercive, Democratic</w:t>
            </w:r>
          </w:p>
        </w:tc>
        <w:tc>
          <w:tcPr>
            <w:tcW w:w="1260" w:type="dxa"/>
            <w:tcBorders>
              <w:left w:val="nil"/>
              <w:right w:val="nil"/>
            </w:tcBorders>
            <w:shd w:val="clear" w:color="auto" w:fill="auto"/>
            <w:hideMark/>
          </w:tcPr>
          <w:p w14:paraId="75863EF0"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1</w:t>
            </w:r>
          </w:p>
        </w:tc>
        <w:tc>
          <w:tcPr>
            <w:tcW w:w="990" w:type="dxa"/>
            <w:tcBorders>
              <w:left w:val="nil"/>
              <w:right w:val="nil"/>
            </w:tcBorders>
            <w:shd w:val="clear" w:color="auto" w:fill="auto"/>
            <w:hideMark/>
          </w:tcPr>
          <w:p w14:paraId="3A2982C9"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2</w:t>
            </w:r>
          </w:p>
        </w:tc>
      </w:tr>
      <w:tr w:rsidR="00FE4018" w:rsidRPr="00F361FC" w14:paraId="2F362338" w14:textId="77777777" w:rsidTr="00F97AE5">
        <w:trPr>
          <w:trHeight w:val="314"/>
        </w:trPr>
        <w:tc>
          <w:tcPr>
            <w:tcW w:w="2340" w:type="dxa"/>
            <w:shd w:val="clear" w:color="auto" w:fill="auto"/>
            <w:hideMark/>
          </w:tcPr>
          <w:p w14:paraId="27677C64"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Affiliative, Democratic</w:t>
            </w:r>
          </w:p>
        </w:tc>
        <w:tc>
          <w:tcPr>
            <w:tcW w:w="1260" w:type="dxa"/>
            <w:shd w:val="clear" w:color="auto" w:fill="auto"/>
            <w:hideMark/>
          </w:tcPr>
          <w:p w14:paraId="481BC70B"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5</w:t>
            </w:r>
          </w:p>
        </w:tc>
        <w:tc>
          <w:tcPr>
            <w:tcW w:w="990" w:type="dxa"/>
            <w:shd w:val="clear" w:color="auto" w:fill="auto"/>
            <w:hideMark/>
          </w:tcPr>
          <w:p w14:paraId="6CAFCC1B"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10</w:t>
            </w:r>
          </w:p>
        </w:tc>
      </w:tr>
      <w:tr w:rsidR="00F97AE5" w:rsidRPr="00F361FC" w14:paraId="1A9AA6BD" w14:textId="77777777" w:rsidTr="00F97AE5">
        <w:trPr>
          <w:trHeight w:val="314"/>
        </w:trPr>
        <w:tc>
          <w:tcPr>
            <w:tcW w:w="2340" w:type="dxa"/>
            <w:tcBorders>
              <w:left w:val="nil"/>
              <w:right w:val="nil"/>
            </w:tcBorders>
            <w:shd w:val="clear" w:color="auto" w:fill="auto"/>
            <w:hideMark/>
          </w:tcPr>
          <w:p w14:paraId="4AF1D51D"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Affiliative, Coaching</w:t>
            </w:r>
          </w:p>
        </w:tc>
        <w:tc>
          <w:tcPr>
            <w:tcW w:w="1260" w:type="dxa"/>
            <w:tcBorders>
              <w:left w:val="nil"/>
              <w:right w:val="nil"/>
            </w:tcBorders>
            <w:shd w:val="clear" w:color="auto" w:fill="auto"/>
            <w:hideMark/>
          </w:tcPr>
          <w:p w14:paraId="3A899519"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1</w:t>
            </w:r>
          </w:p>
        </w:tc>
        <w:tc>
          <w:tcPr>
            <w:tcW w:w="990" w:type="dxa"/>
            <w:tcBorders>
              <w:left w:val="nil"/>
              <w:right w:val="nil"/>
            </w:tcBorders>
            <w:shd w:val="clear" w:color="auto" w:fill="auto"/>
            <w:hideMark/>
          </w:tcPr>
          <w:p w14:paraId="4B29B892"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2</w:t>
            </w:r>
          </w:p>
        </w:tc>
      </w:tr>
      <w:tr w:rsidR="00FE4018" w:rsidRPr="00F361FC" w14:paraId="4ABDB03F" w14:textId="77777777" w:rsidTr="00F97AE5">
        <w:trPr>
          <w:trHeight w:val="314"/>
        </w:trPr>
        <w:tc>
          <w:tcPr>
            <w:tcW w:w="2340" w:type="dxa"/>
            <w:shd w:val="clear" w:color="auto" w:fill="auto"/>
            <w:hideMark/>
          </w:tcPr>
          <w:p w14:paraId="39FB5124"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Democratic, Coaching</w:t>
            </w:r>
          </w:p>
        </w:tc>
        <w:tc>
          <w:tcPr>
            <w:tcW w:w="1260" w:type="dxa"/>
            <w:shd w:val="clear" w:color="auto" w:fill="auto"/>
            <w:hideMark/>
          </w:tcPr>
          <w:p w14:paraId="7964998E"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9</w:t>
            </w:r>
          </w:p>
        </w:tc>
        <w:tc>
          <w:tcPr>
            <w:tcW w:w="990" w:type="dxa"/>
            <w:shd w:val="clear" w:color="auto" w:fill="auto"/>
            <w:hideMark/>
          </w:tcPr>
          <w:p w14:paraId="2363E7BB"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18</w:t>
            </w:r>
          </w:p>
        </w:tc>
      </w:tr>
      <w:tr w:rsidR="00F97AE5" w:rsidRPr="00F361FC" w14:paraId="2332B3B9" w14:textId="77777777" w:rsidTr="00F97AE5">
        <w:trPr>
          <w:trHeight w:val="314"/>
        </w:trPr>
        <w:tc>
          <w:tcPr>
            <w:tcW w:w="2340" w:type="dxa"/>
            <w:tcBorders>
              <w:left w:val="nil"/>
              <w:right w:val="nil"/>
            </w:tcBorders>
            <w:shd w:val="clear" w:color="auto" w:fill="auto"/>
            <w:hideMark/>
          </w:tcPr>
          <w:p w14:paraId="6A1F4D61"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Pacesetting, Coaching</w:t>
            </w:r>
          </w:p>
        </w:tc>
        <w:tc>
          <w:tcPr>
            <w:tcW w:w="1260" w:type="dxa"/>
            <w:tcBorders>
              <w:left w:val="nil"/>
              <w:right w:val="nil"/>
            </w:tcBorders>
            <w:shd w:val="clear" w:color="auto" w:fill="auto"/>
            <w:hideMark/>
          </w:tcPr>
          <w:p w14:paraId="4DE8830A"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1</w:t>
            </w:r>
          </w:p>
        </w:tc>
        <w:tc>
          <w:tcPr>
            <w:tcW w:w="990" w:type="dxa"/>
            <w:tcBorders>
              <w:left w:val="nil"/>
              <w:right w:val="nil"/>
            </w:tcBorders>
            <w:shd w:val="clear" w:color="auto" w:fill="auto"/>
            <w:hideMark/>
          </w:tcPr>
          <w:p w14:paraId="6BF7F9B0"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2</w:t>
            </w:r>
          </w:p>
        </w:tc>
      </w:tr>
      <w:tr w:rsidR="00FE4018" w:rsidRPr="00F361FC" w14:paraId="5E2AE6B8" w14:textId="77777777" w:rsidTr="00F97AE5">
        <w:trPr>
          <w:trHeight w:val="627"/>
        </w:trPr>
        <w:tc>
          <w:tcPr>
            <w:tcW w:w="2340" w:type="dxa"/>
            <w:shd w:val="clear" w:color="auto" w:fill="auto"/>
            <w:hideMark/>
          </w:tcPr>
          <w:p w14:paraId="6B259180"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Coercive, Democratic, Pacesetting,</w:t>
            </w:r>
          </w:p>
        </w:tc>
        <w:tc>
          <w:tcPr>
            <w:tcW w:w="1260" w:type="dxa"/>
            <w:shd w:val="clear" w:color="auto" w:fill="auto"/>
            <w:hideMark/>
          </w:tcPr>
          <w:p w14:paraId="1B4BDEC7"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1</w:t>
            </w:r>
          </w:p>
        </w:tc>
        <w:tc>
          <w:tcPr>
            <w:tcW w:w="990" w:type="dxa"/>
            <w:shd w:val="clear" w:color="auto" w:fill="auto"/>
            <w:hideMark/>
          </w:tcPr>
          <w:p w14:paraId="48AE34C3"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2</w:t>
            </w:r>
          </w:p>
        </w:tc>
      </w:tr>
      <w:tr w:rsidR="00F97AE5" w:rsidRPr="00F361FC" w14:paraId="43948328" w14:textId="77777777" w:rsidTr="00F97AE5">
        <w:trPr>
          <w:trHeight w:val="627"/>
        </w:trPr>
        <w:tc>
          <w:tcPr>
            <w:tcW w:w="2340" w:type="dxa"/>
            <w:tcBorders>
              <w:left w:val="nil"/>
              <w:right w:val="nil"/>
            </w:tcBorders>
            <w:shd w:val="clear" w:color="auto" w:fill="auto"/>
            <w:hideMark/>
          </w:tcPr>
          <w:p w14:paraId="2EE1FE6E"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Authoritative, Democratic, Coaching</w:t>
            </w:r>
          </w:p>
        </w:tc>
        <w:tc>
          <w:tcPr>
            <w:tcW w:w="1260" w:type="dxa"/>
            <w:tcBorders>
              <w:left w:val="nil"/>
              <w:right w:val="nil"/>
            </w:tcBorders>
            <w:shd w:val="clear" w:color="auto" w:fill="auto"/>
            <w:hideMark/>
          </w:tcPr>
          <w:p w14:paraId="2EEA96C8"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3</w:t>
            </w:r>
          </w:p>
        </w:tc>
        <w:tc>
          <w:tcPr>
            <w:tcW w:w="990" w:type="dxa"/>
            <w:tcBorders>
              <w:left w:val="nil"/>
              <w:right w:val="nil"/>
            </w:tcBorders>
            <w:shd w:val="clear" w:color="auto" w:fill="auto"/>
            <w:hideMark/>
          </w:tcPr>
          <w:p w14:paraId="78A741CE"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6</w:t>
            </w:r>
          </w:p>
        </w:tc>
      </w:tr>
      <w:tr w:rsidR="00FE4018" w:rsidRPr="00F361FC" w14:paraId="7CFE2552" w14:textId="77777777" w:rsidTr="00F97AE5">
        <w:trPr>
          <w:trHeight w:val="627"/>
        </w:trPr>
        <w:tc>
          <w:tcPr>
            <w:tcW w:w="2340" w:type="dxa"/>
            <w:shd w:val="clear" w:color="auto" w:fill="auto"/>
            <w:hideMark/>
          </w:tcPr>
          <w:p w14:paraId="3378712B"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Affiliative, Democratic, Pacesetting,</w:t>
            </w:r>
          </w:p>
        </w:tc>
        <w:tc>
          <w:tcPr>
            <w:tcW w:w="1260" w:type="dxa"/>
            <w:shd w:val="clear" w:color="auto" w:fill="auto"/>
            <w:hideMark/>
          </w:tcPr>
          <w:p w14:paraId="2E9A5E15"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1</w:t>
            </w:r>
          </w:p>
        </w:tc>
        <w:tc>
          <w:tcPr>
            <w:tcW w:w="990" w:type="dxa"/>
            <w:shd w:val="clear" w:color="auto" w:fill="auto"/>
            <w:hideMark/>
          </w:tcPr>
          <w:p w14:paraId="73180ED6"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2</w:t>
            </w:r>
          </w:p>
        </w:tc>
      </w:tr>
      <w:tr w:rsidR="00F97AE5" w:rsidRPr="00F361FC" w14:paraId="1B6E413F" w14:textId="77777777" w:rsidTr="00F97AE5">
        <w:trPr>
          <w:trHeight w:val="627"/>
        </w:trPr>
        <w:tc>
          <w:tcPr>
            <w:tcW w:w="2340" w:type="dxa"/>
            <w:tcBorders>
              <w:left w:val="nil"/>
              <w:right w:val="nil"/>
            </w:tcBorders>
            <w:shd w:val="clear" w:color="auto" w:fill="auto"/>
            <w:hideMark/>
          </w:tcPr>
          <w:p w14:paraId="3CEAA51D"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Democratic, Pacesetting, Coaching</w:t>
            </w:r>
          </w:p>
        </w:tc>
        <w:tc>
          <w:tcPr>
            <w:tcW w:w="1260" w:type="dxa"/>
            <w:tcBorders>
              <w:left w:val="nil"/>
              <w:right w:val="nil"/>
            </w:tcBorders>
            <w:shd w:val="clear" w:color="auto" w:fill="auto"/>
            <w:hideMark/>
          </w:tcPr>
          <w:p w14:paraId="10CD19C9"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3</w:t>
            </w:r>
          </w:p>
        </w:tc>
        <w:tc>
          <w:tcPr>
            <w:tcW w:w="990" w:type="dxa"/>
            <w:tcBorders>
              <w:left w:val="nil"/>
              <w:right w:val="nil"/>
            </w:tcBorders>
            <w:shd w:val="clear" w:color="auto" w:fill="auto"/>
            <w:hideMark/>
          </w:tcPr>
          <w:p w14:paraId="2762FC1A"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6</w:t>
            </w:r>
          </w:p>
        </w:tc>
      </w:tr>
      <w:tr w:rsidR="00FE4018" w:rsidRPr="00F361FC" w14:paraId="531C48B8" w14:textId="77777777" w:rsidTr="00F97AE5">
        <w:trPr>
          <w:trHeight w:val="941"/>
        </w:trPr>
        <w:tc>
          <w:tcPr>
            <w:tcW w:w="2340" w:type="dxa"/>
            <w:shd w:val="clear" w:color="auto" w:fill="auto"/>
            <w:hideMark/>
          </w:tcPr>
          <w:p w14:paraId="6FC9D285"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Affiliative, Democratic, Pacesetting, Pacesetting, Coaching</w:t>
            </w:r>
          </w:p>
        </w:tc>
        <w:tc>
          <w:tcPr>
            <w:tcW w:w="1260" w:type="dxa"/>
            <w:shd w:val="clear" w:color="auto" w:fill="auto"/>
            <w:hideMark/>
          </w:tcPr>
          <w:p w14:paraId="2C9E20D8" w14:textId="77777777" w:rsidR="00FE4018" w:rsidRPr="00F97AE5" w:rsidRDefault="00FE4018" w:rsidP="00F97AE5">
            <w:pPr>
              <w:spacing w:after="0"/>
              <w:jc w:val="both"/>
              <w:rPr>
                <w:rFonts w:ascii="Book Antiqua" w:hAnsi="Book Antiqua"/>
                <w:color w:val="000000"/>
                <w:lang w:val="en-GB" w:eastAsia="en-GB"/>
              </w:rPr>
            </w:pPr>
            <w:r w:rsidRPr="00F97AE5">
              <w:rPr>
                <w:rFonts w:ascii="Book Antiqua" w:hAnsi="Book Antiqua"/>
                <w:color w:val="000000"/>
                <w:lang w:eastAsia="en-GB"/>
              </w:rPr>
              <w:t>2</w:t>
            </w:r>
          </w:p>
        </w:tc>
        <w:tc>
          <w:tcPr>
            <w:tcW w:w="990" w:type="dxa"/>
            <w:shd w:val="clear" w:color="auto" w:fill="auto"/>
            <w:hideMark/>
          </w:tcPr>
          <w:p w14:paraId="495EC0EE" w14:textId="77777777" w:rsidR="00FE4018" w:rsidRPr="00F97AE5" w:rsidRDefault="00FE4018" w:rsidP="00F97AE5">
            <w:pPr>
              <w:spacing w:after="0"/>
              <w:jc w:val="both"/>
              <w:rPr>
                <w:rFonts w:ascii="Book Antiqua" w:hAnsi="Book Antiqua"/>
                <w:bCs/>
                <w:color w:val="000000"/>
                <w:lang w:val="en-GB" w:eastAsia="en-GB"/>
              </w:rPr>
            </w:pPr>
            <w:r w:rsidRPr="00F97AE5">
              <w:rPr>
                <w:rFonts w:ascii="Book Antiqua" w:hAnsi="Book Antiqua"/>
                <w:bCs/>
                <w:color w:val="000000"/>
                <w:lang w:eastAsia="en-GB"/>
              </w:rPr>
              <w:t>4</w:t>
            </w:r>
          </w:p>
        </w:tc>
      </w:tr>
      <w:tr w:rsidR="00F97AE5" w:rsidRPr="00D12E59" w14:paraId="4914AF55" w14:textId="77777777" w:rsidTr="00F97AE5">
        <w:trPr>
          <w:trHeight w:val="80"/>
        </w:trPr>
        <w:tc>
          <w:tcPr>
            <w:tcW w:w="2340" w:type="dxa"/>
            <w:tcBorders>
              <w:top w:val="single" w:sz="8" w:space="0" w:color="000000"/>
              <w:left w:val="nil"/>
              <w:bottom w:val="single" w:sz="8" w:space="0" w:color="000000"/>
              <w:right w:val="nil"/>
            </w:tcBorders>
            <w:shd w:val="clear" w:color="auto" w:fill="auto"/>
            <w:hideMark/>
          </w:tcPr>
          <w:p w14:paraId="7F1EA803" w14:textId="77777777" w:rsidR="00FE4018" w:rsidRPr="00F97AE5" w:rsidRDefault="00FE4018" w:rsidP="00F97AE5">
            <w:pPr>
              <w:spacing w:after="0"/>
              <w:jc w:val="both"/>
              <w:rPr>
                <w:rFonts w:ascii="Book Antiqua" w:hAnsi="Book Antiqua"/>
                <w:b/>
                <w:bCs/>
                <w:color w:val="000000"/>
                <w:lang w:val="en-GB" w:eastAsia="en-GB"/>
              </w:rPr>
            </w:pPr>
            <w:r w:rsidRPr="00F97AE5">
              <w:rPr>
                <w:rFonts w:ascii="Book Antiqua" w:hAnsi="Book Antiqua"/>
                <w:b/>
                <w:bCs/>
                <w:color w:val="000000"/>
                <w:lang w:eastAsia="en-GB"/>
              </w:rPr>
              <w:t>Total</w:t>
            </w:r>
          </w:p>
        </w:tc>
        <w:tc>
          <w:tcPr>
            <w:tcW w:w="1260" w:type="dxa"/>
            <w:tcBorders>
              <w:top w:val="single" w:sz="8" w:space="0" w:color="000000"/>
              <w:left w:val="nil"/>
              <w:bottom w:val="single" w:sz="8" w:space="0" w:color="000000"/>
              <w:right w:val="nil"/>
            </w:tcBorders>
            <w:shd w:val="clear" w:color="auto" w:fill="auto"/>
            <w:hideMark/>
          </w:tcPr>
          <w:p w14:paraId="56206DE1" w14:textId="77777777" w:rsidR="00FE4018" w:rsidRPr="00F97AE5" w:rsidRDefault="00FE4018" w:rsidP="00F97AE5">
            <w:pPr>
              <w:spacing w:after="0"/>
              <w:jc w:val="both"/>
              <w:rPr>
                <w:rFonts w:ascii="Book Antiqua" w:hAnsi="Book Antiqua"/>
                <w:b/>
                <w:bCs/>
                <w:color w:val="000000"/>
                <w:lang w:val="en-GB" w:eastAsia="en-GB"/>
              </w:rPr>
            </w:pPr>
            <w:r w:rsidRPr="00F97AE5">
              <w:rPr>
                <w:rFonts w:ascii="Book Antiqua" w:hAnsi="Book Antiqua"/>
                <w:b/>
                <w:bCs/>
                <w:color w:val="000000"/>
                <w:lang w:eastAsia="en-GB"/>
              </w:rPr>
              <w:t>50</w:t>
            </w:r>
          </w:p>
        </w:tc>
        <w:tc>
          <w:tcPr>
            <w:tcW w:w="990" w:type="dxa"/>
            <w:tcBorders>
              <w:top w:val="single" w:sz="8" w:space="0" w:color="000000"/>
              <w:left w:val="nil"/>
              <w:bottom w:val="single" w:sz="8" w:space="0" w:color="000000"/>
              <w:right w:val="nil"/>
            </w:tcBorders>
            <w:shd w:val="clear" w:color="auto" w:fill="auto"/>
            <w:hideMark/>
          </w:tcPr>
          <w:p w14:paraId="35243511" w14:textId="77777777" w:rsidR="00FE4018" w:rsidRPr="00F97AE5" w:rsidRDefault="00FE4018" w:rsidP="00F97AE5">
            <w:pPr>
              <w:spacing w:after="0"/>
              <w:jc w:val="both"/>
              <w:rPr>
                <w:rFonts w:ascii="Book Antiqua" w:hAnsi="Book Antiqua"/>
                <w:b/>
                <w:bCs/>
                <w:color w:val="000000"/>
                <w:lang w:val="en-GB" w:eastAsia="en-GB"/>
              </w:rPr>
            </w:pPr>
            <w:r w:rsidRPr="00F97AE5">
              <w:rPr>
                <w:rFonts w:ascii="Book Antiqua" w:hAnsi="Book Antiqua"/>
                <w:b/>
                <w:bCs/>
                <w:color w:val="000000"/>
                <w:lang w:eastAsia="en-GB"/>
              </w:rPr>
              <w:t>100</w:t>
            </w:r>
          </w:p>
        </w:tc>
      </w:tr>
    </w:tbl>
    <w:p w14:paraId="399727C5" w14:textId="77777777" w:rsidR="00FE4018" w:rsidRPr="00E3232D" w:rsidRDefault="001815AD" w:rsidP="00F361FC">
      <w:pPr>
        <w:spacing w:before="240" w:after="0"/>
        <w:jc w:val="both"/>
        <w:rPr>
          <w:rFonts w:ascii="Book Antiqua" w:hAnsi="Book Antiqua"/>
          <w:b/>
        </w:rPr>
      </w:pPr>
      <w:r w:rsidRPr="00E3232D">
        <w:rPr>
          <w:rFonts w:ascii="Book Antiqua" w:hAnsi="Book Antiqua"/>
        </w:rPr>
        <w:fldChar w:fldCharType="end"/>
      </w:r>
      <w:r w:rsidR="00FE4018" w:rsidRPr="00E3232D">
        <w:rPr>
          <w:rFonts w:ascii="Book Antiqua" w:hAnsi="Book Antiqua"/>
          <w:b/>
        </w:rPr>
        <w:t>Source: Field Survey. August, 2011</w:t>
      </w:r>
    </w:p>
    <w:p w14:paraId="76DD8CE0" w14:textId="77777777" w:rsidR="00FE4018" w:rsidRPr="00E3232D" w:rsidRDefault="00FE4018" w:rsidP="003F73F4">
      <w:pPr>
        <w:spacing w:before="240" w:after="0" w:line="240" w:lineRule="auto"/>
        <w:jc w:val="both"/>
        <w:rPr>
          <w:rFonts w:ascii="Book Antiqua" w:hAnsi="Book Antiqua"/>
        </w:rPr>
      </w:pPr>
      <w:r w:rsidRPr="00E3232D">
        <w:rPr>
          <w:rFonts w:ascii="Book Antiqua" w:hAnsi="Book Antiqua"/>
        </w:rPr>
        <w:t>The Coercive, authoritative, democratic and Affiliative leadership styles were said to be affecting the emotional balance of respondents. Among the executives, 36% said authoritative leadership style affects the emotional balance of their team members, 22% said coercive style affects their subordinates and 14% each said democratic and a mix of Coercive and authoritative leadership affects subordinates emotional balance. Of those who said coercive style affect their subordinates, they explain the latter’s emotions have been affected negatively and of those who chose democratic and authoritative styles, they explained it affects their subordinates emotions negatively. Data on the styles and their effects on the emotions of subordinates is shown on Table 2.3.</w:t>
      </w:r>
      <w:r w:rsidR="001815AD" w:rsidRPr="00E3232D">
        <w:rPr>
          <w:rFonts w:ascii="Book Antiqua" w:hAnsi="Book Antiqua"/>
        </w:rPr>
        <w:fldChar w:fldCharType="begin"/>
      </w:r>
      <w:r w:rsidRPr="00E3232D">
        <w:rPr>
          <w:rFonts w:ascii="Book Antiqua" w:hAnsi="Book Antiqua"/>
        </w:rPr>
        <w:instrText xml:space="preserve"> LINK Excel.Sheet.12 "Book1" "Sheet1!R73C1:R83C3" \a \f 4 \h  \* MERGEFORMAT </w:instrText>
      </w:r>
      <w:r w:rsidR="001815AD" w:rsidRPr="00E3232D">
        <w:rPr>
          <w:rFonts w:ascii="Book Antiqua" w:hAnsi="Book Antiqua"/>
        </w:rPr>
        <w:fldChar w:fldCharType="separate"/>
      </w:r>
    </w:p>
    <w:tbl>
      <w:tblPr>
        <w:tblW w:w="4228" w:type="dxa"/>
        <w:tblInd w:w="108" w:type="dxa"/>
        <w:tblLook w:val="04A0" w:firstRow="1" w:lastRow="0" w:firstColumn="1" w:lastColumn="0" w:noHBand="0" w:noVBand="1"/>
      </w:tblPr>
      <w:tblGrid>
        <w:gridCol w:w="2044"/>
        <w:gridCol w:w="1240"/>
        <w:gridCol w:w="944"/>
      </w:tblGrid>
      <w:tr w:rsidR="00FE4018" w:rsidRPr="00D12E59" w14:paraId="3BA0A6FF" w14:textId="77777777" w:rsidTr="00AC2FEA">
        <w:trPr>
          <w:cantSplit/>
          <w:trHeight w:val="609"/>
        </w:trPr>
        <w:tc>
          <w:tcPr>
            <w:tcW w:w="4228" w:type="dxa"/>
            <w:gridSpan w:val="3"/>
            <w:tcBorders>
              <w:top w:val="nil"/>
              <w:left w:val="nil"/>
              <w:bottom w:val="double" w:sz="6" w:space="0" w:color="auto"/>
              <w:right w:val="nil"/>
            </w:tcBorders>
            <w:shd w:val="clear" w:color="000000" w:fill="FFFFFF"/>
            <w:vAlign w:val="center"/>
            <w:hideMark/>
          </w:tcPr>
          <w:p w14:paraId="2C726530" w14:textId="77777777" w:rsidR="00FE4018" w:rsidRPr="00D12E59" w:rsidRDefault="00FE4018" w:rsidP="008275E1">
            <w:pPr>
              <w:rPr>
                <w:rFonts w:ascii="Book Antiqua" w:hAnsi="Book Antiqua"/>
                <w:b/>
                <w:bCs/>
                <w:color w:val="000000"/>
                <w:lang w:val="en-GB" w:eastAsia="en-GB"/>
              </w:rPr>
            </w:pPr>
            <w:r w:rsidRPr="00D12E59">
              <w:rPr>
                <w:rFonts w:ascii="Book Antiqua" w:hAnsi="Book Antiqua"/>
                <w:b/>
                <w:bCs/>
                <w:color w:val="000000"/>
                <w:lang w:eastAsia="en-GB"/>
              </w:rPr>
              <w:t>Table 2.3 Determining The Leadership Style  which Affects the Emotional Balance Of Team Members</w:t>
            </w:r>
          </w:p>
        </w:tc>
      </w:tr>
      <w:tr w:rsidR="00FE4018" w:rsidRPr="00D12E59" w14:paraId="743FA8DD" w14:textId="77777777" w:rsidTr="00AC2FEA">
        <w:trPr>
          <w:cantSplit/>
          <w:trHeight w:val="319"/>
        </w:trPr>
        <w:tc>
          <w:tcPr>
            <w:tcW w:w="2063" w:type="dxa"/>
            <w:tcBorders>
              <w:top w:val="nil"/>
              <w:left w:val="nil"/>
              <w:bottom w:val="single" w:sz="4" w:space="0" w:color="auto"/>
              <w:right w:val="nil"/>
            </w:tcBorders>
            <w:shd w:val="clear" w:color="000000" w:fill="FFFFFF"/>
            <w:vAlign w:val="center"/>
            <w:hideMark/>
          </w:tcPr>
          <w:p w14:paraId="1D336632"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 </w:t>
            </w:r>
          </w:p>
        </w:tc>
        <w:tc>
          <w:tcPr>
            <w:tcW w:w="1229" w:type="dxa"/>
            <w:tcBorders>
              <w:top w:val="nil"/>
              <w:left w:val="nil"/>
              <w:bottom w:val="single" w:sz="4" w:space="0" w:color="auto"/>
              <w:right w:val="nil"/>
            </w:tcBorders>
            <w:shd w:val="clear" w:color="000000" w:fill="FFFFFF"/>
            <w:vAlign w:val="center"/>
            <w:hideMark/>
          </w:tcPr>
          <w:p w14:paraId="57E452AC"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Frequency</w:t>
            </w:r>
          </w:p>
        </w:tc>
        <w:tc>
          <w:tcPr>
            <w:tcW w:w="936" w:type="dxa"/>
            <w:tcBorders>
              <w:top w:val="nil"/>
              <w:left w:val="nil"/>
              <w:bottom w:val="single" w:sz="4" w:space="0" w:color="auto"/>
              <w:right w:val="nil"/>
            </w:tcBorders>
            <w:shd w:val="clear" w:color="000000" w:fill="FFFFFF"/>
            <w:vAlign w:val="center"/>
            <w:hideMark/>
          </w:tcPr>
          <w:p w14:paraId="6D446766"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Percent</w:t>
            </w:r>
          </w:p>
        </w:tc>
      </w:tr>
      <w:tr w:rsidR="00FE4018" w:rsidRPr="00D12E59" w14:paraId="052FE0BE" w14:textId="77777777" w:rsidTr="00AC2FEA">
        <w:trPr>
          <w:cantSplit/>
          <w:trHeight w:val="305"/>
        </w:trPr>
        <w:tc>
          <w:tcPr>
            <w:tcW w:w="2063" w:type="dxa"/>
            <w:tcBorders>
              <w:top w:val="nil"/>
              <w:left w:val="nil"/>
              <w:bottom w:val="nil"/>
              <w:right w:val="nil"/>
            </w:tcBorders>
            <w:shd w:val="clear" w:color="000000" w:fill="FFFFFF"/>
            <w:vAlign w:val="center"/>
            <w:hideMark/>
          </w:tcPr>
          <w:p w14:paraId="493E2D61"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 xml:space="preserve">Coercive </w:t>
            </w:r>
          </w:p>
        </w:tc>
        <w:tc>
          <w:tcPr>
            <w:tcW w:w="1229" w:type="dxa"/>
            <w:tcBorders>
              <w:top w:val="nil"/>
              <w:left w:val="nil"/>
              <w:bottom w:val="nil"/>
              <w:right w:val="nil"/>
            </w:tcBorders>
            <w:shd w:val="clear" w:color="000000" w:fill="FFFFFF"/>
            <w:vAlign w:val="center"/>
            <w:hideMark/>
          </w:tcPr>
          <w:p w14:paraId="715FCF42"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11</w:t>
            </w:r>
          </w:p>
        </w:tc>
        <w:tc>
          <w:tcPr>
            <w:tcW w:w="936" w:type="dxa"/>
            <w:tcBorders>
              <w:top w:val="nil"/>
              <w:left w:val="nil"/>
              <w:bottom w:val="nil"/>
              <w:right w:val="nil"/>
            </w:tcBorders>
            <w:shd w:val="clear" w:color="000000" w:fill="FFFFFF"/>
            <w:vAlign w:val="center"/>
            <w:hideMark/>
          </w:tcPr>
          <w:p w14:paraId="039EFBD6"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22</w:t>
            </w:r>
          </w:p>
        </w:tc>
      </w:tr>
      <w:tr w:rsidR="00FE4018" w:rsidRPr="00D12E59" w14:paraId="4F627C7A" w14:textId="77777777" w:rsidTr="00AC2FEA">
        <w:trPr>
          <w:cantSplit/>
          <w:trHeight w:val="305"/>
        </w:trPr>
        <w:tc>
          <w:tcPr>
            <w:tcW w:w="2063" w:type="dxa"/>
            <w:tcBorders>
              <w:top w:val="nil"/>
              <w:left w:val="nil"/>
              <w:bottom w:val="nil"/>
              <w:right w:val="nil"/>
            </w:tcBorders>
            <w:shd w:val="clear" w:color="000000" w:fill="FFFFFF"/>
            <w:vAlign w:val="center"/>
            <w:hideMark/>
          </w:tcPr>
          <w:p w14:paraId="18CD7BA5"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 xml:space="preserve">Authoritative </w:t>
            </w:r>
          </w:p>
        </w:tc>
        <w:tc>
          <w:tcPr>
            <w:tcW w:w="1229" w:type="dxa"/>
            <w:tcBorders>
              <w:top w:val="nil"/>
              <w:left w:val="nil"/>
              <w:bottom w:val="nil"/>
              <w:right w:val="nil"/>
            </w:tcBorders>
            <w:shd w:val="clear" w:color="000000" w:fill="FFFFFF"/>
            <w:vAlign w:val="center"/>
            <w:hideMark/>
          </w:tcPr>
          <w:p w14:paraId="1E0D1946"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18</w:t>
            </w:r>
          </w:p>
        </w:tc>
        <w:tc>
          <w:tcPr>
            <w:tcW w:w="936" w:type="dxa"/>
            <w:tcBorders>
              <w:top w:val="nil"/>
              <w:left w:val="nil"/>
              <w:bottom w:val="nil"/>
              <w:right w:val="nil"/>
            </w:tcBorders>
            <w:shd w:val="clear" w:color="000000" w:fill="FFFFFF"/>
            <w:vAlign w:val="center"/>
            <w:hideMark/>
          </w:tcPr>
          <w:p w14:paraId="778F4BF9"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36</w:t>
            </w:r>
          </w:p>
        </w:tc>
      </w:tr>
      <w:tr w:rsidR="00FE4018" w:rsidRPr="00D12E59" w14:paraId="1BAD886A" w14:textId="77777777" w:rsidTr="00AC2FEA">
        <w:trPr>
          <w:cantSplit/>
          <w:trHeight w:val="305"/>
        </w:trPr>
        <w:tc>
          <w:tcPr>
            <w:tcW w:w="2063" w:type="dxa"/>
            <w:tcBorders>
              <w:top w:val="nil"/>
              <w:left w:val="nil"/>
              <w:bottom w:val="nil"/>
              <w:right w:val="nil"/>
            </w:tcBorders>
            <w:shd w:val="clear" w:color="000000" w:fill="FFFFFF"/>
            <w:vAlign w:val="center"/>
            <w:hideMark/>
          </w:tcPr>
          <w:p w14:paraId="104E3941"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 xml:space="preserve">Affiliative </w:t>
            </w:r>
          </w:p>
        </w:tc>
        <w:tc>
          <w:tcPr>
            <w:tcW w:w="1229" w:type="dxa"/>
            <w:tcBorders>
              <w:top w:val="nil"/>
              <w:left w:val="nil"/>
              <w:bottom w:val="nil"/>
              <w:right w:val="nil"/>
            </w:tcBorders>
            <w:shd w:val="clear" w:color="000000" w:fill="FFFFFF"/>
            <w:vAlign w:val="center"/>
            <w:hideMark/>
          </w:tcPr>
          <w:p w14:paraId="23F7196E"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2</w:t>
            </w:r>
          </w:p>
        </w:tc>
        <w:tc>
          <w:tcPr>
            <w:tcW w:w="936" w:type="dxa"/>
            <w:tcBorders>
              <w:top w:val="nil"/>
              <w:left w:val="nil"/>
              <w:bottom w:val="nil"/>
              <w:right w:val="nil"/>
            </w:tcBorders>
            <w:shd w:val="clear" w:color="000000" w:fill="FFFFFF"/>
            <w:vAlign w:val="center"/>
            <w:hideMark/>
          </w:tcPr>
          <w:p w14:paraId="599747E2"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4</w:t>
            </w:r>
          </w:p>
        </w:tc>
      </w:tr>
      <w:tr w:rsidR="00FE4018" w:rsidRPr="00D12E59" w14:paraId="5B2E5621" w14:textId="77777777" w:rsidTr="00AC2FEA">
        <w:trPr>
          <w:cantSplit/>
          <w:trHeight w:val="305"/>
        </w:trPr>
        <w:tc>
          <w:tcPr>
            <w:tcW w:w="2063" w:type="dxa"/>
            <w:tcBorders>
              <w:top w:val="nil"/>
              <w:left w:val="nil"/>
              <w:bottom w:val="nil"/>
              <w:right w:val="nil"/>
            </w:tcBorders>
            <w:shd w:val="clear" w:color="000000" w:fill="FFFFFF"/>
            <w:vAlign w:val="center"/>
            <w:hideMark/>
          </w:tcPr>
          <w:p w14:paraId="6B56FFC8"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 xml:space="preserve">Democratic </w:t>
            </w:r>
          </w:p>
        </w:tc>
        <w:tc>
          <w:tcPr>
            <w:tcW w:w="1229" w:type="dxa"/>
            <w:tcBorders>
              <w:top w:val="nil"/>
              <w:left w:val="nil"/>
              <w:bottom w:val="nil"/>
              <w:right w:val="nil"/>
            </w:tcBorders>
            <w:shd w:val="clear" w:color="000000" w:fill="FFFFFF"/>
            <w:vAlign w:val="center"/>
            <w:hideMark/>
          </w:tcPr>
          <w:p w14:paraId="039F7B1E"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7</w:t>
            </w:r>
          </w:p>
        </w:tc>
        <w:tc>
          <w:tcPr>
            <w:tcW w:w="936" w:type="dxa"/>
            <w:tcBorders>
              <w:top w:val="nil"/>
              <w:left w:val="nil"/>
              <w:bottom w:val="nil"/>
              <w:right w:val="nil"/>
            </w:tcBorders>
            <w:shd w:val="clear" w:color="000000" w:fill="FFFFFF"/>
            <w:vAlign w:val="center"/>
            <w:hideMark/>
          </w:tcPr>
          <w:p w14:paraId="1842F143"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14</w:t>
            </w:r>
          </w:p>
        </w:tc>
      </w:tr>
      <w:tr w:rsidR="00FE4018" w:rsidRPr="00D12E59" w14:paraId="74B8830B" w14:textId="77777777" w:rsidTr="00AC2FEA">
        <w:trPr>
          <w:cantSplit/>
          <w:trHeight w:val="305"/>
        </w:trPr>
        <w:tc>
          <w:tcPr>
            <w:tcW w:w="2063" w:type="dxa"/>
            <w:tcBorders>
              <w:top w:val="nil"/>
              <w:left w:val="nil"/>
              <w:bottom w:val="nil"/>
              <w:right w:val="nil"/>
            </w:tcBorders>
            <w:shd w:val="clear" w:color="000000" w:fill="FFFFFF"/>
            <w:vAlign w:val="center"/>
            <w:hideMark/>
          </w:tcPr>
          <w:p w14:paraId="1BAB1212"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 xml:space="preserve">Pacesetting </w:t>
            </w:r>
          </w:p>
        </w:tc>
        <w:tc>
          <w:tcPr>
            <w:tcW w:w="1229" w:type="dxa"/>
            <w:tcBorders>
              <w:top w:val="nil"/>
              <w:left w:val="nil"/>
              <w:bottom w:val="nil"/>
              <w:right w:val="nil"/>
            </w:tcBorders>
            <w:shd w:val="clear" w:color="000000" w:fill="FFFFFF"/>
            <w:vAlign w:val="center"/>
            <w:hideMark/>
          </w:tcPr>
          <w:p w14:paraId="0CE10D77"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w:t>
            </w:r>
          </w:p>
        </w:tc>
        <w:tc>
          <w:tcPr>
            <w:tcW w:w="936" w:type="dxa"/>
            <w:tcBorders>
              <w:top w:val="nil"/>
              <w:left w:val="nil"/>
              <w:bottom w:val="nil"/>
              <w:right w:val="nil"/>
            </w:tcBorders>
            <w:shd w:val="clear" w:color="000000" w:fill="FFFFFF"/>
            <w:vAlign w:val="center"/>
            <w:hideMark/>
          </w:tcPr>
          <w:p w14:paraId="30CE484D"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74031F3A" w14:textId="77777777" w:rsidTr="00AC2FEA">
        <w:trPr>
          <w:cantSplit/>
          <w:trHeight w:val="305"/>
        </w:trPr>
        <w:tc>
          <w:tcPr>
            <w:tcW w:w="2063" w:type="dxa"/>
            <w:tcBorders>
              <w:top w:val="nil"/>
              <w:left w:val="nil"/>
              <w:bottom w:val="nil"/>
              <w:right w:val="nil"/>
            </w:tcBorders>
            <w:shd w:val="clear" w:color="000000" w:fill="FFFFFF"/>
            <w:vAlign w:val="center"/>
            <w:hideMark/>
          </w:tcPr>
          <w:p w14:paraId="65882B5D"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 xml:space="preserve">Coercive, Authoritative </w:t>
            </w:r>
          </w:p>
        </w:tc>
        <w:tc>
          <w:tcPr>
            <w:tcW w:w="1229" w:type="dxa"/>
            <w:tcBorders>
              <w:top w:val="nil"/>
              <w:left w:val="nil"/>
              <w:bottom w:val="nil"/>
              <w:right w:val="nil"/>
            </w:tcBorders>
            <w:shd w:val="clear" w:color="000000" w:fill="FFFFFF"/>
            <w:vAlign w:val="center"/>
            <w:hideMark/>
          </w:tcPr>
          <w:p w14:paraId="33F47E0E"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7</w:t>
            </w:r>
          </w:p>
        </w:tc>
        <w:tc>
          <w:tcPr>
            <w:tcW w:w="936" w:type="dxa"/>
            <w:tcBorders>
              <w:top w:val="nil"/>
              <w:left w:val="nil"/>
              <w:bottom w:val="nil"/>
              <w:right w:val="nil"/>
            </w:tcBorders>
            <w:shd w:val="clear" w:color="000000" w:fill="FFFFFF"/>
            <w:vAlign w:val="center"/>
            <w:hideMark/>
          </w:tcPr>
          <w:p w14:paraId="4594AECF"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14</w:t>
            </w:r>
          </w:p>
        </w:tc>
      </w:tr>
      <w:tr w:rsidR="00FE4018" w:rsidRPr="00D12E59" w14:paraId="0C8EBFD5" w14:textId="77777777" w:rsidTr="00AC2FEA">
        <w:trPr>
          <w:cantSplit/>
          <w:trHeight w:val="305"/>
        </w:trPr>
        <w:tc>
          <w:tcPr>
            <w:tcW w:w="2063" w:type="dxa"/>
            <w:tcBorders>
              <w:top w:val="nil"/>
              <w:left w:val="nil"/>
              <w:bottom w:val="nil"/>
              <w:right w:val="nil"/>
            </w:tcBorders>
            <w:shd w:val="clear" w:color="000000" w:fill="FFFFFF"/>
            <w:vAlign w:val="center"/>
            <w:hideMark/>
          </w:tcPr>
          <w:p w14:paraId="36D1E0B8"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 xml:space="preserve">Democratic, Coaching </w:t>
            </w:r>
          </w:p>
        </w:tc>
        <w:tc>
          <w:tcPr>
            <w:tcW w:w="1229" w:type="dxa"/>
            <w:tcBorders>
              <w:top w:val="nil"/>
              <w:left w:val="nil"/>
              <w:bottom w:val="nil"/>
              <w:right w:val="nil"/>
            </w:tcBorders>
            <w:shd w:val="clear" w:color="000000" w:fill="FFFFFF"/>
            <w:vAlign w:val="center"/>
            <w:hideMark/>
          </w:tcPr>
          <w:p w14:paraId="2CA6B502"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3</w:t>
            </w:r>
          </w:p>
        </w:tc>
        <w:tc>
          <w:tcPr>
            <w:tcW w:w="936" w:type="dxa"/>
            <w:tcBorders>
              <w:top w:val="nil"/>
              <w:left w:val="nil"/>
              <w:bottom w:val="nil"/>
              <w:right w:val="nil"/>
            </w:tcBorders>
            <w:shd w:val="clear" w:color="000000" w:fill="FFFFFF"/>
            <w:vAlign w:val="center"/>
            <w:hideMark/>
          </w:tcPr>
          <w:p w14:paraId="127AD01E"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6</w:t>
            </w:r>
          </w:p>
        </w:tc>
      </w:tr>
      <w:tr w:rsidR="00FE4018" w:rsidRPr="00D12E59" w14:paraId="6BB90486" w14:textId="77777777" w:rsidTr="00AC2FEA">
        <w:trPr>
          <w:cantSplit/>
          <w:trHeight w:val="609"/>
        </w:trPr>
        <w:tc>
          <w:tcPr>
            <w:tcW w:w="2063" w:type="dxa"/>
            <w:tcBorders>
              <w:top w:val="nil"/>
              <w:left w:val="nil"/>
              <w:bottom w:val="nil"/>
              <w:right w:val="nil"/>
            </w:tcBorders>
            <w:shd w:val="clear" w:color="000000" w:fill="FFFFFF"/>
            <w:vAlign w:val="center"/>
            <w:hideMark/>
          </w:tcPr>
          <w:p w14:paraId="5B61F2F1"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 xml:space="preserve">Democratic, Pacesetting, Coaching </w:t>
            </w:r>
          </w:p>
        </w:tc>
        <w:tc>
          <w:tcPr>
            <w:tcW w:w="1229" w:type="dxa"/>
            <w:tcBorders>
              <w:top w:val="nil"/>
              <w:left w:val="nil"/>
              <w:bottom w:val="nil"/>
              <w:right w:val="nil"/>
            </w:tcBorders>
            <w:shd w:val="clear" w:color="000000" w:fill="FFFFFF"/>
            <w:vAlign w:val="center"/>
            <w:hideMark/>
          </w:tcPr>
          <w:p w14:paraId="57B1F9F7"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w:t>
            </w:r>
          </w:p>
        </w:tc>
        <w:tc>
          <w:tcPr>
            <w:tcW w:w="936" w:type="dxa"/>
            <w:tcBorders>
              <w:top w:val="nil"/>
              <w:left w:val="nil"/>
              <w:bottom w:val="nil"/>
              <w:right w:val="nil"/>
            </w:tcBorders>
            <w:shd w:val="clear" w:color="000000" w:fill="FFFFFF"/>
            <w:vAlign w:val="center"/>
            <w:hideMark/>
          </w:tcPr>
          <w:p w14:paraId="61CF6094"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2</w:t>
            </w:r>
          </w:p>
        </w:tc>
      </w:tr>
      <w:tr w:rsidR="00FE4018" w:rsidRPr="00D12E59" w14:paraId="3EDD7DAC" w14:textId="77777777" w:rsidTr="00AC2FEA">
        <w:trPr>
          <w:cantSplit/>
          <w:trHeight w:val="305"/>
        </w:trPr>
        <w:tc>
          <w:tcPr>
            <w:tcW w:w="2063" w:type="dxa"/>
            <w:tcBorders>
              <w:top w:val="nil"/>
              <w:left w:val="nil"/>
              <w:bottom w:val="single" w:sz="4" w:space="0" w:color="auto"/>
              <w:right w:val="nil"/>
            </w:tcBorders>
            <w:shd w:val="clear" w:color="000000" w:fill="FFFFFF"/>
            <w:vAlign w:val="center"/>
            <w:hideMark/>
          </w:tcPr>
          <w:p w14:paraId="33EF8510"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Total</w:t>
            </w:r>
          </w:p>
        </w:tc>
        <w:tc>
          <w:tcPr>
            <w:tcW w:w="1229" w:type="dxa"/>
            <w:tcBorders>
              <w:top w:val="nil"/>
              <w:left w:val="nil"/>
              <w:bottom w:val="single" w:sz="4" w:space="0" w:color="auto"/>
              <w:right w:val="nil"/>
            </w:tcBorders>
            <w:shd w:val="clear" w:color="000000" w:fill="FFFFFF"/>
            <w:vAlign w:val="center"/>
            <w:hideMark/>
          </w:tcPr>
          <w:p w14:paraId="06D07E5F"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50</w:t>
            </w:r>
          </w:p>
        </w:tc>
        <w:tc>
          <w:tcPr>
            <w:tcW w:w="936" w:type="dxa"/>
            <w:tcBorders>
              <w:top w:val="nil"/>
              <w:left w:val="nil"/>
              <w:bottom w:val="single" w:sz="4" w:space="0" w:color="auto"/>
              <w:right w:val="nil"/>
            </w:tcBorders>
            <w:shd w:val="clear" w:color="000000" w:fill="FFFFFF"/>
            <w:vAlign w:val="center"/>
            <w:hideMark/>
          </w:tcPr>
          <w:p w14:paraId="078CC7E6" w14:textId="77777777" w:rsidR="00FE4018" w:rsidRPr="00D12E59" w:rsidRDefault="00FE4018" w:rsidP="008275E1">
            <w:pPr>
              <w:rPr>
                <w:rFonts w:ascii="Book Antiqua" w:hAnsi="Book Antiqua"/>
                <w:color w:val="000000"/>
                <w:lang w:val="en-GB" w:eastAsia="en-GB"/>
              </w:rPr>
            </w:pPr>
            <w:r w:rsidRPr="00D12E59">
              <w:rPr>
                <w:rFonts w:ascii="Book Antiqua" w:hAnsi="Book Antiqua"/>
                <w:color w:val="000000"/>
                <w:lang w:eastAsia="en-GB"/>
              </w:rPr>
              <w:t>100</w:t>
            </w:r>
          </w:p>
        </w:tc>
      </w:tr>
    </w:tbl>
    <w:p w14:paraId="522B1563" w14:textId="77777777" w:rsidR="00FE4018" w:rsidRPr="00E3232D" w:rsidRDefault="001815AD" w:rsidP="008275E1">
      <w:pPr>
        <w:spacing w:before="240" w:after="120"/>
        <w:rPr>
          <w:rFonts w:ascii="Book Antiqua" w:hAnsi="Book Antiqua"/>
          <w:b/>
        </w:rPr>
      </w:pPr>
      <w:r w:rsidRPr="00E3232D">
        <w:rPr>
          <w:rFonts w:ascii="Book Antiqua" w:hAnsi="Book Antiqua"/>
        </w:rPr>
        <w:fldChar w:fldCharType="end"/>
      </w:r>
      <w:r w:rsidR="00FE4018" w:rsidRPr="00E3232D">
        <w:rPr>
          <w:rFonts w:ascii="Book Antiqua" w:hAnsi="Book Antiqua"/>
          <w:b/>
        </w:rPr>
        <w:t>Source: Field Survey. August, 2011</w:t>
      </w:r>
    </w:p>
    <w:p w14:paraId="59E05200" w14:textId="77777777" w:rsidR="00FE4018" w:rsidRPr="00E3232D" w:rsidRDefault="00FE4018" w:rsidP="008275E1">
      <w:pPr>
        <w:spacing w:before="240" w:after="120"/>
        <w:rPr>
          <w:rFonts w:ascii="Book Antiqua" w:hAnsi="Book Antiqua"/>
          <w:b/>
        </w:rPr>
      </w:pPr>
      <w:r w:rsidRPr="00E3232D">
        <w:rPr>
          <w:rFonts w:ascii="Book Antiqua" w:hAnsi="Book Antiqua"/>
          <w:b/>
        </w:rPr>
        <w:t>Leadership Style and Its Effect on Team Members</w:t>
      </w:r>
    </w:p>
    <w:p w14:paraId="0DB6BE71" w14:textId="77777777" w:rsidR="00FE4018" w:rsidRPr="00E3232D" w:rsidRDefault="00FE4018" w:rsidP="008D2CB7">
      <w:pPr>
        <w:spacing w:before="240" w:after="120"/>
        <w:jc w:val="both"/>
        <w:rPr>
          <w:rFonts w:ascii="Book Antiqua" w:hAnsi="Book Antiqua"/>
        </w:rPr>
      </w:pPr>
      <w:r w:rsidRPr="00E3232D">
        <w:rPr>
          <w:rFonts w:ascii="Book Antiqua" w:hAnsi="Book Antiqua"/>
        </w:rPr>
        <w:t>Of the executives who adopted democratic style of leadership, 28% said it is exceptionally flexible, 30% said is very flexible and 36% said it is flexible. Of those who used coercive style, 20% said it is exceptionally rigid, 20% each said it is very rigid and rigid respectively. On Affiliative leadership, 42% said is flexible and 28% each said it is very flexible and rigid respectively. The coaching style is also been notably flexible as 38%, 26% and 14% respectively said it is flexible, very flexible and exceptionally flexible respectively. This implies that the affiliative, democratic and coaching styles are notably flexible and the coercive and the authoritative styles are notably rigid. Data on that is shown on Table 2.4.</w:t>
      </w:r>
    </w:p>
    <w:p w14:paraId="36B4B2DE" w14:textId="77777777" w:rsidR="00FE4018" w:rsidRPr="00E3232D" w:rsidRDefault="007005B1" w:rsidP="008275E1">
      <w:pPr>
        <w:rPr>
          <w:rFonts w:ascii="Book Antiqua" w:hAnsi="Book Antiqua"/>
          <w:b/>
        </w:rPr>
      </w:pPr>
      <w:r>
        <w:rPr>
          <w:rFonts w:ascii="Book Antiqua" w:hAnsi="Book Antiqua"/>
          <w:noProof/>
          <w:lang w:bidi="ar-SA"/>
        </w:rPr>
        <w:drawing>
          <wp:inline distT="0" distB="0" distL="0" distR="0" wp14:anchorId="7F191215" wp14:editId="7FD7B213">
            <wp:extent cx="2828925" cy="1962150"/>
            <wp:effectExtent l="19050" t="0" r="9525"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srcRect/>
                    <a:stretch>
                      <a:fillRect/>
                    </a:stretch>
                  </pic:blipFill>
                  <pic:spPr bwMode="auto">
                    <a:xfrm>
                      <a:off x="0" y="0"/>
                      <a:ext cx="2828925" cy="1962150"/>
                    </a:xfrm>
                    <a:prstGeom prst="rect">
                      <a:avLst/>
                    </a:prstGeom>
                    <a:noFill/>
                    <a:ln w="9525">
                      <a:noFill/>
                      <a:miter lim="800000"/>
                      <a:headEnd/>
                      <a:tailEnd/>
                    </a:ln>
                  </pic:spPr>
                </pic:pic>
              </a:graphicData>
            </a:graphic>
          </wp:inline>
        </w:drawing>
      </w:r>
    </w:p>
    <w:p w14:paraId="4D3EC2DE" w14:textId="77777777" w:rsidR="00FE4018" w:rsidRPr="00E3232D" w:rsidRDefault="00FE4018" w:rsidP="008275E1">
      <w:pPr>
        <w:rPr>
          <w:rFonts w:ascii="Book Antiqua" w:hAnsi="Book Antiqua"/>
          <w:b/>
        </w:rPr>
      </w:pPr>
      <w:r w:rsidRPr="00E3232D">
        <w:rPr>
          <w:rFonts w:ascii="Book Antiqua" w:hAnsi="Book Antiqua"/>
          <w:b/>
        </w:rPr>
        <w:t>Source: Field Survey. August, 2011</w:t>
      </w:r>
    </w:p>
    <w:p w14:paraId="7BC69EC7" w14:textId="77777777" w:rsidR="00FE4018" w:rsidRPr="00E3232D" w:rsidRDefault="00FE4018" w:rsidP="008D2CB7">
      <w:pPr>
        <w:spacing w:before="240" w:after="120"/>
        <w:jc w:val="both"/>
        <w:rPr>
          <w:rFonts w:ascii="Book Antiqua" w:hAnsi="Book Antiqua"/>
        </w:rPr>
      </w:pPr>
      <w:r w:rsidRPr="00E3232D">
        <w:rPr>
          <w:rFonts w:ascii="Book Antiqua" w:hAnsi="Book Antiqua"/>
        </w:rPr>
        <w:t>It was also revealed that the coercive and authoritative leadership styles afford less commitment of team members whereas the democratic, pacesetting, Affiliative and coaching afford greater commitment. From Table 2.5, it is shown that 44% and 46% of the executives responded that democratic leadership affords good and very good commitment respectively and 52% said Affiliative style affords good commitment. On pacesetting 52% and 16% of the executives said it affords good and very good commitment and on the coaching style 48% and 26% respectively said it offers good and very good commitment. For the coercive style 20%, 16% and 10% respectively said it causes exceptionally poor commitment, very poor commitment and poor commitment. For the authoritative style, 32%, 30%, and 18% said it offers poor, very poor and exceptionally poor commitment as in Table 2.5.</w:t>
      </w:r>
    </w:p>
    <w:p w14:paraId="0DC63A39" w14:textId="77777777" w:rsidR="00FE4018" w:rsidRPr="00E3232D" w:rsidRDefault="007005B1" w:rsidP="008275E1">
      <w:pPr>
        <w:rPr>
          <w:rFonts w:ascii="Book Antiqua" w:hAnsi="Book Antiqua"/>
          <w:noProof/>
          <w:lang w:val="en-GB" w:eastAsia="en-GB"/>
        </w:rPr>
      </w:pPr>
      <w:r>
        <w:rPr>
          <w:rFonts w:ascii="Book Antiqua" w:hAnsi="Book Antiqua"/>
          <w:noProof/>
          <w:lang w:bidi="ar-SA"/>
        </w:rPr>
        <w:drawing>
          <wp:inline distT="0" distB="0" distL="0" distR="0" wp14:anchorId="10D78C40" wp14:editId="382C24C7">
            <wp:extent cx="3248025" cy="2400300"/>
            <wp:effectExtent l="19050" t="0" r="9525"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srcRect/>
                    <a:stretch>
                      <a:fillRect/>
                    </a:stretch>
                  </pic:blipFill>
                  <pic:spPr bwMode="auto">
                    <a:xfrm>
                      <a:off x="0" y="0"/>
                      <a:ext cx="3248025" cy="2400300"/>
                    </a:xfrm>
                    <a:prstGeom prst="rect">
                      <a:avLst/>
                    </a:prstGeom>
                    <a:noFill/>
                    <a:ln w="9525">
                      <a:noFill/>
                      <a:miter lim="800000"/>
                      <a:headEnd/>
                      <a:tailEnd/>
                    </a:ln>
                  </pic:spPr>
                </pic:pic>
              </a:graphicData>
            </a:graphic>
          </wp:inline>
        </w:drawing>
      </w:r>
    </w:p>
    <w:p w14:paraId="08B44EFD" w14:textId="77777777" w:rsidR="00FE4018" w:rsidRPr="00E3232D" w:rsidRDefault="00FE4018" w:rsidP="008275E1">
      <w:pPr>
        <w:rPr>
          <w:rFonts w:ascii="Book Antiqua" w:hAnsi="Book Antiqua"/>
          <w:b/>
        </w:rPr>
      </w:pPr>
      <w:r w:rsidRPr="00E3232D">
        <w:rPr>
          <w:rFonts w:ascii="Book Antiqua" w:hAnsi="Book Antiqua"/>
          <w:b/>
        </w:rPr>
        <w:t>Source: Field Survey. August, 2011</w:t>
      </w:r>
    </w:p>
    <w:p w14:paraId="0846EED2" w14:textId="77777777" w:rsidR="00FE4018" w:rsidRPr="00E3232D" w:rsidRDefault="00FE4018" w:rsidP="008D2CB7">
      <w:pPr>
        <w:spacing w:before="240" w:after="120"/>
        <w:jc w:val="both"/>
        <w:rPr>
          <w:rFonts w:ascii="Book Antiqua" w:hAnsi="Book Antiqua"/>
        </w:rPr>
      </w:pPr>
      <w:r w:rsidRPr="00E3232D">
        <w:rPr>
          <w:rFonts w:ascii="Book Antiqua" w:hAnsi="Book Antiqua"/>
        </w:rPr>
        <w:t xml:space="preserve">In evaluating the effects of the styles further on the employees, there was a question on which style affords members opportunity to be clarified on the task assigned them. It was noted that the Affiliative, democratic, pacesetting and coaching affords the team members the opportunity to be clarified on the task given them than coercive and the authoritative styles. Of the executives studied, 46%, 44%, 62% and 56% said the Affiliative, Democratic, pacesetting and coaching respectively afford their team members easy clarification on task assigned them whereas 28%, 28% and 10% respectively said the coercive, authoritative and the Affiliative styles afford poor clarification on task assigned their team members. Table 2.6 presents data on that. </w:t>
      </w:r>
    </w:p>
    <w:p w14:paraId="24449687" w14:textId="77777777" w:rsidR="00FE4018" w:rsidRPr="00E3232D" w:rsidRDefault="007005B1" w:rsidP="008275E1">
      <w:pPr>
        <w:rPr>
          <w:rFonts w:ascii="Book Antiqua" w:hAnsi="Book Antiqua"/>
          <w:b/>
        </w:rPr>
      </w:pPr>
      <w:r>
        <w:rPr>
          <w:rFonts w:ascii="Book Antiqua" w:hAnsi="Book Antiqua"/>
          <w:noProof/>
          <w:lang w:bidi="ar-SA"/>
        </w:rPr>
        <w:drawing>
          <wp:inline distT="0" distB="0" distL="0" distR="0" wp14:anchorId="108BC29C" wp14:editId="5CB585C1">
            <wp:extent cx="2895600" cy="2181225"/>
            <wp:effectExtent l="19050" t="0" r="0" b="0"/>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srcRect/>
                    <a:stretch>
                      <a:fillRect/>
                    </a:stretch>
                  </pic:blipFill>
                  <pic:spPr bwMode="auto">
                    <a:xfrm>
                      <a:off x="0" y="0"/>
                      <a:ext cx="2895600" cy="2181225"/>
                    </a:xfrm>
                    <a:prstGeom prst="rect">
                      <a:avLst/>
                    </a:prstGeom>
                    <a:noFill/>
                    <a:ln w="9525">
                      <a:noFill/>
                      <a:miter lim="800000"/>
                      <a:headEnd/>
                      <a:tailEnd/>
                    </a:ln>
                  </pic:spPr>
                </pic:pic>
              </a:graphicData>
            </a:graphic>
          </wp:inline>
        </w:drawing>
      </w:r>
    </w:p>
    <w:p w14:paraId="764F8145" w14:textId="77777777" w:rsidR="00FE4018" w:rsidRPr="00E3232D" w:rsidRDefault="00FE4018" w:rsidP="008275E1">
      <w:pPr>
        <w:rPr>
          <w:rFonts w:ascii="Book Antiqua" w:hAnsi="Book Antiqua"/>
          <w:b/>
        </w:rPr>
      </w:pPr>
      <w:r w:rsidRPr="00E3232D">
        <w:rPr>
          <w:rFonts w:ascii="Book Antiqua" w:hAnsi="Book Antiqua"/>
          <w:b/>
        </w:rPr>
        <w:t>Source: Field Survey. August, 2011</w:t>
      </w:r>
    </w:p>
    <w:p w14:paraId="631F382A" w14:textId="77777777" w:rsidR="00FE4018" w:rsidRPr="00E3232D" w:rsidRDefault="00FE4018" w:rsidP="008275E1">
      <w:pPr>
        <w:rPr>
          <w:rFonts w:ascii="Book Antiqua" w:hAnsi="Book Antiqua"/>
          <w:b/>
        </w:rPr>
      </w:pPr>
      <w:r w:rsidRPr="00E3232D">
        <w:rPr>
          <w:rFonts w:ascii="Book Antiqua" w:hAnsi="Book Antiqua"/>
          <w:b/>
        </w:rPr>
        <w:t xml:space="preserve"> Styles of Leadership and Employee Work Interest</w:t>
      </w:r>
    </w:p>
    <w:p w14:paraId="3FBA8617" w14:textId="77777777" w:rsidR="00FE4018" w:rsidRPr="00E3232D" w:rsidRDefault="00FE4018" w:rsidP="008D2CB7">
      <w:pPr>
        <w:spacing w:before="240" w:after="120"/>
        <w:jc w:val="both"/>
        <w:rPr>
          <w:rFonts w:ascii="Book Antiqua" w:hAnsi="Book Antiqua"/>
        </w:rPr>
      </w:pPr>
      <w:r w:rsidRPr="00E3232D">
        <w:rPr>
          <w:rFonts w:ascii="Book Antiqua" w:hAnsi="Book Antiqua"/>
        </w:rPr>
        <w:t xml:space="preserve">Leadership style and its influence on team members’ interest studied reveals that leadership style has a high influence on the interest of employees. Data gathered reveals that 52% of the executives said style has influence on team members interest, 38% said it has very high influence and 10% said it has low influence on team members interest. Of these styles, 32% was of the democratic style whereas 12% were of the democratic and the coaching mix. </w:t>
      </w:r>
    </w:p>
    <w:p w14:paraId="71B6EA3B" w14:textId="77777777" w:rsidR="00FE4018" w:rsidRPr="00E3232D" w:rsidRDefault="00FE4018" w:rsidP="008D2CB7">
      <w:pPr>
        <w:spacing w:before="240" w:after="120"/>
        <w:jc w:val="both"/>
        <w:rPr>
          <w:rFonts w:ascii="Book Antiqua" w:hAnsi="Book Antiqua"/>
        </w:rPr>
      </w:pPr>
      <w:r w:rsidRPr="00E3232D">
        <w:rPr>
          <w:rFonts w:ascii="Book Antiqua" w:hAnsi="Book Antiqua"/>
        </w:rPr>
        <w:t>Work environments are dynamic and therefore leadership requirements also changes overtime. Leaders therefore need to enhance the emotional drive of their team members. Executives researched on said reducing power distance is an effective way of enhancing the emotional drive of team members as 36% suggested that working out positive effect and creating opportunity for venting accounted for 28% and 24% of the response respectively. This implies that the executives are aware of the means of enhancing the emotions of their team members. This is shown of figure 2.1.</w:t>
      </w:r>
    </w:p>
    <w:p w14:paraId="1144DD63" w14:textId="77777777" w:rsidR="00FE4018" w:rsidRPr="00E3232D" w:rsidRDefault="00FE4018" w:rsidP="008D2CB7">
      <w:pPr>
        <w:jc w:val="both"/>
        <w:rPr>
          <w:rFonts w:ascii="Book Antiqua" w:hAnsi="Book Antiqua"/>
          <w:b/>
        </w:rPr>
      </w:pPr>
    </w:p>
    <w:p w14:paraId="19EDCD7F" w14:textId="77777777" w:rsidR="002D2D9C" w:rsidRDefault="002D2D9C" w:rsidP="008275E1">
      <w:pPr>
        <w:rPr>
          <w:rFonts w:ascii="Book Antiqua" w:hAnsi="Book Antiqua"/>
          <w:b/>
        </w:rPr>
        <w:sectPr w:rsidR="002D2D9C" w:rsidSect="008F6BC9">
          <w:type w:val="continuous"/>
          <w:pgSz w:w="11907" w:h="16839" w:code="9"/>
          <w:pgMar w:top="1440" w:right="1440" w:bottom="1440" w:left="1440" w:header="720" w:footer="720" w:gutter="0"/>
          <w:cols w:num="2" w:space="720"/>
          <w:docGrid w:linePitch="360"/>
        </w:sectPr>
      </w:pPr>
    </w:p>
    <w:p w14:paraId="52F15342" w14:textId="77777777" w:rsidR="002D2D9C" w:rsidRDefault="00D109F7" w:rsidP="008275E1">
      <w:pPr>
        <w:rPr>
          <w:rFonts w:ascii="Book Antiqua" w:hAnsi="Book Antiqua"/>
          <w:b/>
        </w:rPr>
        <w:sectPr w:rsidR="002D2D9C" w:rsidSect="008F6BC9">
          <w:type w:val="continuous"/>
          <w:pgSz w:w="11907" w:h="16839" w:code="9"/>
          <w:pgMar w:top="1440" w:right="1440" w:bottom="1440" w:left="1440" w:header="720" w:footer="720" w:gutter="0"/>
          <w:cols w:space="720"/>
          <w:docGrid w:linePitch="360"/>
        </w:sectPr>
      </w:pPr>
      <w:r w:rsidRPr="00E3232D">
        <w:rPr>
          <w:rFonts w:ascii="Book Antiqua" w:hAnsi="Book Antiqua"/>
          <w:b/>
        </w:rPr>
        <w:object w:dxaOrig="9274" w:dyaOrig="7470" w14:anchorId="3AD927F6">
          <v:shape id="_x0000_i1055" type="#_x0000_t75" style="width:463.9pt;height:373.6pt" o:ole="">
            <v:imagedata r:id="rId181" o:title=""/>
          </v:shape>
          <o:OLEObject Type="Embed" ProgID="Word.Document.12" ShapeID="_x0000_i1055" DrawAspect="Content" ObjectID="_1680958713" r:id="rId182">
            <o:FieldCodes>\s</o:FieldCodes>
          </o:OLEObject>
        </w:object>
      </w:r>
    </w:p>
    <w:p w14:paraId="0F13E7D1" w14:textId="77777777" w:rsidR="00622E70" w:rsidRPr="00E3232D" w:rsidRDefault="00622E70" w:rsidP="008275E1">
      <w:pPr>
        <w:rPr>
          <w:rFonts w:ascii="Book Antiqua" w:hAnsi="Book Antiqua"/>
          <w:b/>
        </w:rPr>
      </w:pPr>
    </w:p>
    <w:p w14:paraId="09B0F26E" w14:textId="77777777" w:rsidR="00FE4018" w:rsidRPr="00E3232D" w:rsidRDefault="00FE4018" w:rsidP="00196385">
      <w:pPr>
        <w:pStyle w:val="ListParagraph"/>
        <w:numPr>
          <w:ilvl w:val="0"/>
          <w:numId w:val="175"/>
        </w:numPr>
        <w:rPr>
          <w:rFonts w:ascii="Book Antiqua" w:hAnsi="Book Antiqua"/>
          <w:b/>
        </w:rPr>
      </w:pPr>
      <w:r w:rsidRPr="003F73F4">
        <w:rPr>
          <w:rFonts w:ascii="Book Antiqua" w:hAnsi="Book Antiqua"/>
          <w:b/>
          <w:sz w:val="26"/>
        </w:rPr>
        <w:t>Discussion</w:t>
      </w:r>
    </w:p>
    <w:p w14:paraId="64510D99" w14:textId="77777777" w:rsidR="00FE4018" w:rsidRPr="00E3232D" w:rsidRDefault="00FE4018" w:rsidP="003F73F4">
      <w:pPr>
        <w:tabs>
          <w:tab w:val="left" w:pos="960"/>
        </w:tabs>
        <w:spacing w:before="240" w:after="120"/>
        <w:jc w:val="both"/>
        <w:rPr>
          <w:rFonts w:ascii="Book Antiqua" w:hAnsi="Book Antiqua"/>
        </w:rPr>
      </w:pPr>
      <w:r w:rsidRPr="00E3232D">
        <w:rPr>
          <w:rFonts w:ascii="Book Antiqua" w:hAnsi="Book Antiqua"/>
        </w:rPr>
        <w:t xml:space="preserve">The categories of executives were of the youth age and most of them were of the age of 31 to 40 years. Their age could be very important opportunity of urge in them to work to realize the leadership goals sought. And dominant among these executives studied were the males as 66% of the respondents accounted for this category. Most of the executives studied were placed on jobs related to Education, Health and Social Services. Banking, Accounting and Finance was another area that the executives were placed and most of these executives have worked over periods of six years and above.  Some executives adopt one style of leadership whereas others adopt a mix. Democratic leadership features prominently among the executives studied. With having a mix of at least two styles and at most three styles. A mix of democratic and coaching style has been very common among the executives. The democratic leadership style, a mix of democratic and coaching styles, Affiliative and democratic were identified as those that positively affect the team spirit of members towards attaining collective corporate goals. In terms of the right mix democratic style features across all the blends of style adopted by the executives. This in line with Goleman (2000) thought that leaders with the best results do not rely on only one leadership styles. </w:t>
      </w:r>
    </w:p>
    <w:p w14:paraId="148383CC" w14:textId="77777777" w:rsidR="00FE4018" w:rsidRPr="00E3232D" w:rsidRDefault="00FE4018" w:rsidP="003F73F4">
      <w:pPr>
        <w:tabs>
          <w:tab w:val="left" w:pos="960"/>
        </w:tabs>
        <w:spacing w:before="240" w:after="120"/>
        <w:jc w:val="both"/>
        <w:rPr>
          <w:rFonts w:ascii="Book Antiqua" w:hAnsi="Book Antiqua"/>
        </w:rPr>
      </w:pPr>
      <w:r w:rsidRPr="00E3232D">
        <w:rPr>
          <w:rFonts w:ascii="Book Antiqua" w:hAnsi="Book Antiqua"/>
        </w:rPr>
        <w:t>The Affiliative, democratic, and coaching styles were notably considered flexible and the coercive and authoritative styles were notably rigid. The styles that were rigid did not give room for easy adjustments to the task assigned subordinates and those flexible ones gave room for adjustment. The authoritative and coercive styles of leadership afford less commitment from the team members whereas democratic, Affiliative, coaching and pacesetting styles elicit greater commitment from team members.</w:t>
      </w:r>
    </w:p>
    <w:p w14:paraId="1463DB17" w14:textId="77777777" w:rsidR="00FE4018" w:rsidRPr="00E3232D" w:rsidRDefault="00FE4018" w:rsidP="003F73F4">
      <w:pPr>
        <w:tabs>
          <w:tab w:val="left" w:pos="960"/>
        </w:tabs>
        <w:spacing w:before="240" w:after="120"/>
        <w:jc w:val="both"/>
        <w:rPr>
          <w:rFonts w:ascii="Book Antiqua" w:hAnsi="Book Antiqua"/>
        </w:rPr>
      </w:pPr>
      <w:r w:rsidRPr="00E3232D">
        <w:rPr>
          <w:rFonts w:ascii="Book Antiqua" w:hAnsi="Book Antiqua"/>
        </w:rPr>
        <w:t xml:space="preserve">The democratic, Affiliative, pacesetting and coaching styles afford team members easy clarification of the requirements on a task whereas coercive and authoritative styles afford team members poor opportunity for clarification. </w:t>
      </w:r>
    </w:p>
    <w:p w14:paraId="55D8BAC0" w14:textId="77777777" w:rsidR="00FE4018" w:rsidRPr="00E3232D" w:rsidRDefault="00FE4018" w:rsidP="003F73F4">
      <w:pPr>
        <w:tabs>
          <w:tab w:val="left" w:pos="960"/>
        </w:tabs>
        <w:spacing w:before="240" w:after="120"/>
        <w:jc w:val="both"/>
        <w:rPr>
          <w:rFonts w:ascii="Book Antiqua" w:hAnsi="Book Antiqua"/>
        </w:rPr>
      </w:pPr>
      <w:r w:rsidRPr="00E3232D">
        <w:rPr>
          <w:rFonts w:ascii="Book Antiqua" w:hAnsi="Book Antiqua"/>
        </w:rPr>
        <w:t xml:space="preserve">It was also established that leadership styles have highly influenced on team members interest to work. The democratic style however is seen as one that influence team members interest most. </w:t>
      </w:r>
    </w:p>
    <w:p w14:paraId="768136D5" w14:textId="77777777" w:rsidR="00A32CF5" w:rsidRPr="00E3232D" w:rsidRDefault="00FE4018" w:rsidP="005F7EA7">
      <w:pPr>
        <w:tabs>
          <w:tab w:val="left" w:pos="960"/>
        </w:tabs>
        <w:spacing w:before="240" w:after="120"/>
        <w:jc w:val="both"/>
        <w:rPr>
          <w:rFonts w:ascii="Book Antiqua" w:hAnsi="Book Antiqua"/>
        </w:rPr>
      </w:pPr>
      <w:r w:rsidRPr="00E3232D">
        <w:rPr>
          <w:rFonts w:ascii="Book Antiqua" w:hAnsi="Book Antiqua"/>
        </w:rPr>
        <w:t xml:space="preserve">Reducing power distance, working out positive affect and creating opportunity for venting here identified as mean of enhancing team members’ emotional drive. </w:t>
      </w:r>
    </w:p>
    <w:p w14:paraId="56217679" w14:textId="77777777" w:rsidR="00FE4018" w:rsidRPr="00E3232D" w:rsidRDefault="00FE4018" w:rsidP="00196385">
      <w:pPr>
        <w:pStyle w:val="ListParagraph"/>
        <w:numPr>
          <w:ilvl w:val="0"/>
          <w:numId w:val="175"/>
        </w:numPr>
        <w:spacing w:before="240" w:after="120"/>
        <w:jc w:val="both"/>
        <w:rPr>
          <w:rFonts w:ascii="Book Antiqua" w:hAnsi="Book Antiqua"/>
          <w:b/>
        </w:rPr>
      </w:pPr>
      <w:r w:rsidRPr="005F7EA7">
        <w:rPr>
          <w:rFonts w:ascii="Book Antiqua" w:hAnsi="Book Antiqua"/>
          <w:b/>
          <w:sz w:val="26"/>
        </w:rPr>
        <w:t>Conclusion</w:t>
      </w:r>
    </w:p>
    <w:p w14:paraId="5CCAEBC7" w14:textId="77777777" w:rsidR="00FE4018" w:rsidRPr="00E3232D" w:rsidRDefault="00FE4018" w:rsidP="003F73F4">
      <w:pPr>
        <w:tabs>
          <w:tab w:val="left" w:pos="960"/>
        </w:tabs>
        <w:spacing w:before="240" w:after="120"/>
        <w:jc w:val="both"/>
        <w:rPr>
          <w:rFonts w:ascii="Book Antiqua" w:hAnsi="Book Antiqua"/>
        </w:rPr>
      </w:pPr>
      <w:r w:rsidRPr="00E3232D">
        <w:rPr>
          <w:rFonts w:ascii="Book Antiqua" w:hAnsi="Book Antiqua"/>
        </w:rPr>
        <w:t xml:space="preserve">Leadership is not a straight-jacket concept that can be applied to any work circumstance to realize the required commitment from team members to be able to deliver the organizational goal in a collective spirit. The leadership circumstance, the nature of work, the emotions of the team members and the leader’s personality are among important requirements that have to be considered for effective leadership to be determined. </w:t>
      </w:r>
    </w:p>
    <w:p w14:paraId="6FC419BE" w14:textId="77777777" w:rsidR="00FE4018" w:rsidRPr="00E3232D" w:rsidRDefault="00FE4018" w:rsidP="003F73F4">
      <w:pPr>
        <w:tabs>
          <w:tab w:val="left" w:pos="960"/>
        </w:tabs>
        <w:spacing w:before="240" w:after="120"/>
        <w:jc w:val="both"/>
        <w:rPr>
          <w:rFonts w:ascii="Book Antiqua" w:hAnsi="Book Antiqua"/>
        </w:rPr>
      </w:pPr>
      <w:r w:rsidRPr="00E3232D">
        <w:rPr>
          <w:rFonts w:ascii="Book Antiqua" w:hAnsi="Book Antiqua"/>
        </w:rPr>
        <w:t>This should be done within rights environment with the right people and with the application of the right mix of leadership styles for engender the collective interest and spirit of team members towards the corporate goal attainment. Doing this requires an opportunity for adjustment so that the leader creates room for thought and ideas of enhanced approaches to delivering collective goals.</w:t>
      </w:r>
    </w:p>
    <w:p w14:paraId="511C6FCE" w14:textId="77777777" w:rsidR="00FE4018" w:rsidRPr="00E3232D" w:rsidRDefault="00FE4018" w:rsidP="003F73F4">
      <w:pPr>
        <w:tabs>
          <w:tab w:val="left" w:pos="960"/>
        </w:tabs>
        <w:spacing w:before="240" w:after="120"/>
        <w:jc w:val="both"/>
        <w:rPr>
          <w:rFonts w:ascii="Book Antiqua" w:hAnsi="Book Antiqua"/>
        </w:rPr>
      </w:pPr>
      <w:r w:rsidRPr="00E3232D">
        <w:rPr>
          <w:rFonts w:ascii="Book Antiqua" w:hAnsi="Book Antiqua"/>
        </w:rPr>
        <w:t xml:space="preserve">Leadership is noted as a collective responsibility towards realizing corporate goals. Therefore the leader and the team members have to collectively decide the goals to be realized and the leadership style and processes of working to attain the goals. This will be a way of enhancing the collective spirit of all towards the goal attainment. </w:t>
      </w:r>
    </w:p>
    <w:p w14:paraId="4AFA0D53" w14:textId="77777777" w:rsidR="00FE4018" w:rsidRPr="00E3232D" w:rsidRDefault="00FE4018" w:rsidP="003F73F4">
      <w:pPr>
        <w:tabs>
          <w:tab w:val="left" w:pos="960"/>
        </w:tabs>
        <w:spacing w:before="240" w:after="120"/>
        <w:jc w:val="both"/>
        <w:rPr>
          <w:rFonts w:ascii="Book Antiqua" w:hAnsi="Book Antiqua"/>
        </w:rPr>
      </w:pPr>
      <w:r w:rsidRPr="00E3232D">
        <w:rPr>
          <w:rFonts w:ascii="Book Antiqua" w:hAnsi="Book Antiqua"/>
        </w:rPr>
        <w:t xml:space="preserve">Democratic style of leadership has to be deepened among all the executives and this should be blended rightly with other styles such as the Affiliative, coaching and authoritative styles. This will be in consonance with Goleman’s (2000) exposition that the right mix of the four styles would ensure effective and efficient leadership across the work environment. </w:t>
      </w:r>
    </w:p>
    <w:p w14:paraId="75DDFAAC" w14:textId="77777777" w:rsidR="00FE4018" w:rsidRPr="00E3232D" w:rsidRDefault="00FE4018" w:rsidP="003F73F4">
      <w:pPr>
        <w:tabs>
          <w:tab w:val="left" w:pos="960"/>
        </w:tabs>
        <w:spacing w:before="240" w:after="120"/>
        <w:jc w:val="both"/>
        <w:rPr>
          <w:rFonts w:ascii="Book Antiqua" w:hAnsi="Book Antiqua"/>
        </w:rPr>
      </w:pPr>
      <w:r w:rsidRPr="00E3232D">
        <w:rPr>
          <w:rFonts w:ascii="Book Antiqua" w:hAnsi="Book Antiqua"/>
        </w:rPr>
        <w:t xml:space="preserve">Executives have to be encouraged to denounce the use of coercive and pacesetting styles of leadership. These styles do not exude the free corporation of team members and such compelling styles may mar the collective spirit requires for leadership results to be realized. </w:t>
      </w:r>
    </w:p>
    <w:p w14:paraId="5FE68A4D" w14:textId="77777777" w:rsidR="00FE4018" w:rsidRDefault="00FE4018" w:rsidP="005F7EA7">
      <w:pPr>
        <w:tabs>
          <w:tab w:val="left" w:pos="960"/>
        </w:tabs>
        <w:spacing w:before="240" w:after="120"/>
        <w:jc w:val="both"/>
        <w:rPr>
          <w:rFonts w:ascii="Book Antiqua" w:hAnsi="Book Antiqua"/>
        </w:rPr>
      </w:pPr>
      <w:r w:rsidRPr="00E3232D">
        <w:rPr>
          <w:rFonts w:ascii="Book Antiqua" w:hAnsi="Book Antiqua"/>
        </w:rPr>
        <w:t>All executives should create an opportunity for the team members to vent their concerns that affect their emotional balance. This could be done by reducing the power distance among team members, working out positive effects and exploring the use of productive recreation. This would be a means of ensuring that team members’ emotions are worked out positively towards the enhancement of corporate goals.</w:t>
      </w:r>
    </w:p>
    <w:p w14:paraId="2A548284" w14:textId="77777777" w:rsidR="005F7EA7" w:rsidRPr="005F7EA7" w:rsidRDefault="005F7EA7" w:rsidP="005F7EA7">
      <w:pPr>
        <w:tabs>
          <w:tab w:val="left" w:pos="960"/>
        </w:tabs>
        <w:spacing w:before="240" w:after="120"/>
        <w:jc w:val="both"/>
        <w:rPr>
          <w:rFonts w:ascii="Book Antiqua" w:hAnsi="Book Antiqua"/>
        </w:rPr>
        <w:sectPr w:rsidR="005F7EA7" w:rsidRPr="005F7EA7" w:rsidSect="008F6BC9">
          <w:type w:val="continuous"/>
          <w:pgSz w:w="11907" w:h="16839" w:code="9"/>
          <w:pgMar w:top="1440" w:right="1440" w:bottom="1440" w:left="1440" w:header="720" w:footer="720" w:gutter="0"/>
          <w:cols w:num="2" w:space="720"/>
          <w:docGrid w:linePitch="360"/>
        </w:sectPr>
      </w:pPr>
    </w:p>
    <w:p w14:paraId="071FD3EE" w14:textId="77777777" w:rsidR="00FE4018" w:rsidRPr="00E3232D" w:rsidRDefault="00FE4018" w:rsidP="003F73F4">
      <w:pPr>
        <w:jc w:val="both"/>
        <w:rPr>
          <w:rFonts w:ascii="Book Antiqua" w:hAnsi="Book Antiqua"/>
          <w:b/>
        </w:rPr>
        <w:sectPr w:rsidR="00FE4018" w:rsidRPr="00E3232D" w:rsidSect="008F6BC9">
          <w:type w:val="continuous"/>
          <w:pgSz w:w="11907" w:h="16839" w:code="9"/>
          <w:pgMar w:top="1440" w:right="1440" w:bottom="1440" w:left="1440" w:header="720" w:footer="720" w:gutter="0"/>
          <w:cols w:num="2" w:space="720"/>
          <w:docGrid w:linePitch="360"/>
        </w:sectPr>
      </w:pPr>
    </w:p>
    <w:p w14:paraId="6B11F9FF" w14:textId="77777777" w:rsidR="00FE4018" w:rsidRPr="00E3232D" w:rsidRDefault="00FE4018" w:rsidP="003F73F4">
      <w:pPr>
        <w:jc w:val="both"/>
        <w:rPr>
          <w:rFonts w:ascii="Book Antiqua" w:hAnsi="Book Antiqua"/>
          <w:b/>
        </w:rPr>
      </w:pPr>
      <w:r w:rsidRPr="005F7EA7">
        <w:rPr>
          <w:rFonts w:ascii="Book Antiqua" w:hAnsi="Book Antiqua"/>
          <w:b/>
          <w:sz w:val="26"/>
        </w:rPr>
        <w:t>References</w:t>
      </w:r>
    </w:p>
    <w:p w14:paraId="2BB08FBE" w14:textId="77777777" w:rsidR="00FE4018" w:rsidRPr="00E3232D" w:rsidRDefault="00FE4018" w:rsidP="003F73F4">
      <w:pPr>
        <w:tabs>
          <w:tab w:val="left" w:pos="960"/>
        </w:tabs>
        <w:ind w:left="958" w:hanging="958"/>
        <w:jc w:val="both"/>
        <w:rPr>
          <w:rFonts w:ascii="Book Antiqua" w:hAnsi="Book Antiqua"/>
        </w:rPr>
      </w:pPr>
      <w:r w:rsidRPr="00E3232D">
        <w:rPr>
          <w:rFonts w:ascii="Book Antiqua" w:hAnsi="Book Antiqua"/>
        </w:rPr>
        <w:t>Blake, R., &amp; Mouton, J. (1964). The managerial grid. Houston. Gulf Publishing Company</w:t>
      </w:r>
    </w:p>
    <w:p w14:paraId="2F873947" w14:textId="77777777" w:rsidR="00FE4018" w:rsidRPr="00E3232D" w:rsidRDefault="00FE4018" w:rsidP="003F73F4">
      <w:pPr>
        <w:tabs>
          <w:tab w:val="left" w:pos="960"/>
        </w:tabs>
        <w:ind w:left="958" w:hanging="958"/>
        <w:jc w:val="both"/>
        <w:rPr>
          <w:rFonts w:ascii="Book Antiqua" w:hAnsi="Book Antiqua"/>
        </w:rPr>
      </w:pPr>
      <w:r w:rsidRPr="00E3232D">
        <w:rPr>
          <w:rFonts w:ascii="Book Antiqua" w:hAnsi="Book Antiqua"/>
        </w:rPr>
        <w:t xml:space="preserve">Denison, D. R., Hooijberg, R., &amp; Quin, R. E. (1995). Paradox and Performance-Toward a theory of behavioral complexity in managerial leadership. </w:t>
      </w:r>
      <w:r w:rsidRPr="00E3232D">
        <w:rPr>
          <w:rFonts w:ascii="Book Antiqua" w:hAnsi="Book Antiqua"/>
          <w:i/>
        </w:rPr>
        <w:t>Organisation Science</w:t>
      </w:r>
      <w:r w:rsidRPr="00E3232D">
        <w:rPr>
          <w:rFonts w:ascii="Book Antiqua" w:hAnsi="Book Antiqua"/>
        </w:rPr>
        <w:t>. 6, 524-540</w:t>
      </w:r>
    </w:p>
    <w:p w14:paraId="71AD16AE" w14:textId="77777777" w:rsidR="00FE4018" w:rsidRPr="00E3232D" w:rsidRDefault="00FE4018" w:rsidP="003F73F4">
      <w:pPr>
        <w:tabs>
          <w:tab w:val="left" w:pos="960"/>
        </w:tabs>
        <w:jc w:val="both"/>
        <w:rPr>
          <w:rFonts w:ascii="Book Antiqua" w:hAnsi="Book Antiqua"/>
        </w:rPr>
      </w:pPr>
      <w:r w:rsidRPr="00E3232D" w:rsidDel="00D814F5">
        <w:rPr>
          <w:rFonts w:ascii="Book Antiqua" w:hAnsi="Book Antiqua"/>
        </w:rPr>
        <w:t xml:space="preserve"> </w:t>
      </w:r>
      <w:r w:rsidRPr="00E3232D">
        <w:rPr>
          <w:rFonts w:ascii="Book Antiqua" w:hAnsi="Book Antiqua"/>
        </w:rPr>
        <w:t xml:space="preserve"> Fielder, F.E. (1967). A Theory of Leadership Effectiveness. McGraw-Hill New York</w:t>
      </w:r>
    </w:p>
    <w:p w14:paraId="184C12C4" w14:textId="77777777" w:rsidR="00FE4018" w:rsidRPr="00E3232D" w:rsidRDefault="00FE4018" w:rsidP="003F73F4">
      <w:pPr>
        <w:tabs>
          <w:tab w:val="left" w:pos="960"/>
        </w:tabs>
        <w:ind w:left="958" w:hanging="958"/>
        <w:jc w:val="both"/>
        <w:rPr>
          <w:rFonts w:ascii="Book Antiqua" w:hAnsi="Book Antiqua"/>
        </w:rPr>
      </w:pPr>
      <w:r w:rsidRPr="00E3232D">
        <w:rPr>
          <w:rFonts w:ascii="Book Antiqua" w:hAnsi="Book Antiqua"/>
        </w:rPr>
        <w:t xml:space="preserve"> Goleman David (2000). What Makes a Leader? </w:t>
      </w:r>
      <w:r w:rsidRPr="00E3232D">
        <w:rPr>
          <w:rFonts w:ascii="Book Antiqua" w:hAnsi="Book Antiqua"/>
          <w:i/>
        </w:rPr>
        <w:t>Havard Business Review</w:t>
      </w:r>
      <w:r w:rsidRPr="00E3232D">
        <w:rPr>
          <w:rFonts w:ascii="Book Antiqua" w:hAnsi="Book Antiqua"/>
        </w:rPr>
        <w:t>. Harvard. Harvard Business School Publishing Corporation.</w:t>
      </w:r>
    </w:p>
    <w:p w14:paraId="39789EED" w14:textId="77777777" w:rsidR="00FE4018" w:rsidRPr="00E3232D" w:rsidRDefault="00FE4018" w:rsidP="003F73F4">
      <w:pPr>
        <w:tabs>
          <w:tab w:val="left" w:pos="960"/>
        </w:tabs>
        <w:jc w:val="both"/>
        <w:rPr>
          <w:rFonts w:ascii="Book Antiqua" w:hAnsi="Book Antiqua"/>
        </w:rPr>
      </w:pPr>
      <w:r w:rsidRPr="00E3232D" w:rsidDel="00D814F5">
        <w:rPr>
          <w:rFonts w:ascii="Book Antiqua" w:hAnsi="Book Antiqua"/>
        </w:rPr>
        <w:t xml:space="preserve">  </w:t>
      </w:r>
      <w:r w:rsidRPr="00E3232D">
        <w:rPr>
          <w:rFonts w:ascii="Book Antiqua" w:hAnsi="Book Antiqua"/>
        </w:rPr>
        <w:t xml:space="preserve">Goleman, Daniel (2000) Leadership that Gets Results. </w:t>
      </w:r>
      <w:r w:rsidRPr="00E3232D">
        <w:rPr>
          <w:rFonts w:ascii="Book Antiqua" w:hAnsi="Book Antiqua"/>
          <w:i/>
        </w:rPr>
        <w:t>Harvard Business Review</w:t>
      </w:r>
    </w:p>
    <w:p w14:paraId="6375CD00" w14:textId="77777777" w:rsidR="00A32CF5" w:rsidRDefault="00FE4018" w:rsidP="003F73F4">
      <w:pPr>
        <w:tabs>
          <w:tab w:val="left" w:pos="960"/>
        </w:tabs>
        <w:ind w:left="958" w:hanging="958"/>
        <w:jc w:val="both"/>
        <w:rPr>
          <w:rFonts w:ascii="Book Antiqua" w:hAnsi="Book Antiqua"/>
        </w:rPr>
      </w:pPr>
      <w:r w:rsidRPr="00E3232D">
        <w:rPr>
          <w:rFonts w:ascii="Book Antiqua" w:hAnsi="Book Antiqua"/>
        </w:rPr>
        <w:t xml:space="preserve">Hooijberg, R., Hunt, J.G.,$ Dodge, G. E. (1997). Leadership complexity </w:t>
      </w:r>
    </w:p>
    <w:p w14:paraId="39467036" w14:textId="77777777" w:rsidR="00A32CF5" w:rsidRDefault="00A32CF5" w:rsidP="003F73F4">
      <w:pPr>
        <w:tabs>
          <w:tab w:val="left" w:pos="960"/>
        </w:tabs>
        <w:ind w:left="958" w:hanging="958"/>
        <w:jc w:val="both"/>
        <w:rPr>
          <w:rFonts w:ascii="Book Antiqua" w:hAnsi="Book Antiqua"/>
        </w:rPr>
      </w:pPr>
    </w:p>
    <w:p w14:paraId="5E4BA114" w14:textId="77777777" w:rsidR="00FE4018" w:rsidRPr="00E3232D" w:rsidRDefault="00A32CF5" w:rsidP="003F73F4">
      <w:pPr>
        <w:tabs>
          <w:tab w:val="left" w:pos="960"/>
        </w:tabs>
        <w:ind w:left="958" w:hanging="958"/>
        <w:jc w:val="both"/>
        <w:rPr>
          <w:rFonts w:ascii="Book Antiqua" w:hAnsi="Book Antiqua"/>
        </w:rPr>
      </w:pPr>
      <w:r>
        <w:rPr>
          <w:rFonts w:ascii="Book Antiqua" w:hAnsi="Book Antiqua"/>
        </w:rPr>
        <w:t xml:space="preserve">                 </w:t>
      </w:r>
      <w:r w:rsidR="00FE4018" w:rsidRPr="00E3232D">
        <w:rPr>
          <w:rFonts w:ascii="Book Antiqua" w:hAnsi="Book Antiqua"/>
        </w:rPr>
        <w:t>and development of the leaderplex model. Journal of Management, 23, 375-408</w:t>
      </w:r>
    </w:p>
    <w:p w14:paraId="166F77D3" w14:textId="77777777" w:rsidR="00FE4018" w:rsidRPr="00E3232D" w:rsidRDefault="00FE4018" w:rsidP="003F73F4">
      <w:pPr>
        <w:tabs>
          <w:tab w:val="left" w:pos="960"/>
        </w:tabs>
        <w:ind w:left="958" w:hanging="958"/>
        <w:jc w:val="both"/>
        <w:rPr>
          <w:rFonts w:ascii="Book Antiqua" w:hAnsi="Book Antiqua"/>
        </w:rPr>
      </w:pPr>
      <w:r w:rsidRPr="00E3232D">
        <w:rPr>
          <w:rFonts w:ascii="Book Antiqua" w:hAnsi="Book Antiqua"/>
        </w:rPr>
        <w:t xml:space="preserve">               Lessons learned from the theatre. </w:t>
      </w:r>
      <w:r w:rsidRPr="00E3232D">
        <w:rPr>
          <w:rFonts w:ascii="Book Antiqua" w:hAnsi="Book Antiqua"/>
          <w:i/>
        </w:rPr>
        <w:t>Journal of Operations Management</w:t>
      </w:r>
      <w:r w:rsidRPr="00E3232D">
        <w:rPr>
          <w:rFonts w:ascii="Book Antiqua" w:hAnsi="Book Antiqua"/>
        </w:rPr>
        <w:t>. 22, 604-627</w:t>
      </w:r>
    </w:p>
    <w:p w14:paraId="4D54A149" w14:textId="77777777" w:rsidR="00FE4018" w:rsidRPr="00E3232D" w:rsidRDefault="00FE4018" w:rsidP="003F73F4">
      <w:pPr>
        <w:tabs>
          <w:tab w:val="left" w:pos="960"/>
        </w:tabs>
        <w:ind w:left="958" w:hanging="958"/>
        <w:jc w:val="both"/>
        <w:rPr>
          <w:rFonts w:ascii="Book Antiqua" w:hAnsi="Book Antiqua"/>
        </w:rPr>
      </w:pPr>
      <w:r w:rsidRPr="00E3232D">
        <w:rPr>
          <w:rFonts w:ascii="Book Antiqua" w:hAnsi="Book Antiqua"/>
        </w:rPr>
        <w:t xml:space="preserve">Limbare, S. (2012). Leadership styles and conflict management styles of executives. </w:t>
      </w:r>
      <w:r w:rsidRPr="00E3232D">
        <w:rPr>
          <w:rFonts w:ascii="Book Antiqua" w:hAnsi="Book Antiqua"/>
          <w:i/>
        </w:rPr>
        <w:t>The Indian Journal of Industrial Relations</w:t>
      </w:r>
      <w:r w:rsidRPr="00E3232D">
        <w:rPr>
          <w:rFonts w:ascii="Book Antiqua" w:hAnsi="Book Antiqua"/>
        </w:rPr>
        <w:t>. Shin Ram Centre for Industrial Relations &amp; Human Resources. Vol. 48. No. 1</w:t>
      </w:r>
    </w:p>
    <w:p w14:paraId="42BC39DF" w14:textId="77777777" w:rsidR="00FE4018" w:rsidRPr="00E3232D" w:rsidRDefault="00FE4018" w:rsidP="003F73F4">
      <w:pPr>
        <w:tabs>
          <w:tab w:val="left" w:pos="960"/>
        </w:tabs>
        <w:ind w:left="958" w:hanging="958"/>
        <w:jc w:val="both"/>
        <w:rPr>
          <w:rFonts w:ascii="Book Antiqua" w:hAnsi="Book Antiqua"/>
        </w:rPr>
      </w:pPr>
      <w:r w:rsidRPr="00E3232D">
        <w:rPr>
          <w:rFonts w:ascii="Book Antiqua" w:hAnsi="Book Antiqua"/>
        </w:rPr>
        <w:t>McGregor, D.(2006). The human side of management (Annotated ed.). New York. McGraw Hill.</w:t>
      </w:r>
    </w:p>
    <w:p w14:paraId="4A04FD5F" w14:textId="77777777" w:rsidR="00FE4018" w:rsidRPr="00E3232D" w:rsidRDefault="00FE4018" w:rsidP="003F73F4">
      <w:pPr>
        <w:tabs>
          <w:tab w:val="left" w:pos="960"/>
        </w:tabs>
        <w:ind w:left="958" w:hanging="958"/>
        <w:jc w:val="both"/>
        <w:rPr>
          <w:rFonts w:ascii="Book Antiqua" w:hAnsi="Book Antiqua"/>
        </w:rPr>
      </w:pPr>
      <w:r w:rsidRPr="00E3232D">
        <w:rPr>
          <w:rFonts w:ascii="Book Antiqua" w:hAnsi="Book Antiqua"/>
        </w:rPr>
        <w:t>Mintzberg, H. (1998). Convert leadership: Notes on managing professionals. Harvard Business Review.(76), 140-147</w:t>
      </w:r>
    </w:p>
    <w:p w14:paraId="3C790BCA" w14:textId="77777777" w:rsidR="00FE4018" w:rsidRPr="00E3232D" w:rsidRDefault="00FE4018" w:rsidP="003F73F4">
      <w:pPr>
        <w:tabs>
          <w:tab w:val="left" w:pos="960"/>
        </w:tabs>
        <w:ind w:left="958" w:hanging="958"/>
        <w:jc w:val="both"/>
        <w:rPr>
          <w:rFonts w:ascii="Book Antiqua" w:hAnsi="Book Antiqua"/>
        </w:rPr>
      </w:pPr>
      <w:r w:rsidRPr="00E3232D">
        <w:rPr>
          <w:rFonts w:ascii="Book Antiqua" w:hAnsi="Book Antiqua"/>
        </w:rPr>
        <w:t>Staurt, F.I., &amp; Tax, S. (2004). Toward an integrative approach to designing service experiences:</w:t>
      </w:r>
    </w:p>
    <w:p w14:paraId="0AC61BE7" w14:textId="77777777" w:rsidR="00FE4018" w:rsidRPr="00E3232D" w:rsidRDefault="00FE4018" w:rsidP="003F73F4">
      <w:pPr>
        <w:tabs>
          <w:tab w:val="left" w:pos="960"/>
        </w:tabs>
        <w:jc w:val="both"/>
        <w:rPr>
          <w:rFonts w:ascii="Book Antiqua" w:hAnsi="Book Antiqua"/>
        </w:rPr>
      </w:pPr>
      <w:r w:rsidRPr="00E3232D">
        <w:rPr>
          <w:rFonts w:ascii="Book Antiqua" w:hAnsi="Book Antiqua"/>
        </w:rPr>
        <w:t xml:space="preserve">Thomas, D. &amp; Bendoly, E. (2009). Limits to effective leadership style and tactics in critical  </w:t>
      </w:r>
    </w:p>
    <w:p w14:paraId="6D292663" w14:textId="77777777" w:rsidR="00FE4018" w:rsidRPr="00E3232D" w:rsidRDefault="00FE4018" w:rsidP="003F73F4">
      <w:pPr>
        <w:tabs>
          <w:tab w:val="left" w:pos="960"/>
        </w:tabs>
        <w:jc w:val="both"/>
        <w:rPr>
          <w:rFonts w:ascii="Book Antiqua" w:hAnsi="Book Antiqua"/>
        </w:rPr>
      </w:pPr>
      <w:r w:rsidRPr="00E3232D">
        <w:rPr>
          <w:rFonts w:ascii="Book Antiqua" w:hAnsi="Book Antiqua"/>
        </w:rPr>
        <w:t xml:space="preserve">                   incident interventions. </w:t>
      </w:r>
      <w:r w:rsidRPr="00E3232D">
        <w:rPr>
          <w:rFonts w:ascii="Book Antiqua" w:hAnsi="Book Antiqua"/>
          <w:i/>
        </w:rPr>
        <w:t>Project management Journal</w:t>
      </w:r>
      <w:r w:rsidRPr="00E3232D">
        <w:rPr>
          <w:rFonts w:ascii="Book Antiqua" w:hAnsi="Book Antiqua"/>
        </w:rPr>
        <w:t xml:space="preserve">. Wiley InterScience. Vol.40,                            </w:t>
      </w:r>
    </w:p>
    <w:p w14:paraId="5EB28A04" w14:textId="77777777" w:rsidR="00FE4018" w:rsidRPr="00E3232D" w:rsidDel="000D36A8" w:rsidRDefault="00FE4018" w:rsidP="003F73F4">
      <w:pPr>
        <w:tabs>
          <w:tab w:val="left" w:pos="960"/>
        </w:tabs>
        <w:jc w:val="both"/>
        <w:rPr>
          <w:rFonts w:ascii="Book Antiqua" w:hAnsi="Book Antiqua"/>
        </w:rPr>
      </w:pPr>
      <w:r w:rsidRPr="00E3232D">
        <w:rPr>
          <w:rFonts w:ascii="Book Antiqua" w:hAnsi="Book Antiqua"/>
        </w:rPr>
        <w:t xml:space="preserve">                  No.2,</w:t>
      </w:r>
    </w:p>
    <w:p w14:paraId="0265A495" w14:textId="77777777" w:rsidR="00FE4018" w:rsidRPr="00E3232D" w:rsidRDefault="00FE4018" w:rsidP="008275E1">
      <w:pPr>
        <w:rPr>
          <w:rFonts w:ascii="Book Antiqua" w:hAnsi="Book Antiqua"/>
        </w:rPr>
        <w:sectPr w:rsidR="00FE4018" w:rsidRPr="00E3232D" w:rsidSect="008F6BC9">
          <w:type w:val="continuous"/>
          <w:pgSz w:w="11907" w:h="16839" w:code="9"/>
          <w:pgMar w:top="1350" w:right="1440" w:bottom="1440" w:left="1440" w:header="720" w:footer="720" w:gutter="0"/>
          <w:cols w:num="2" w:space="720"/>
          <w:docGrid w:linePitch="360"/>
        </w:sectPr>
      </w:pPr>
    </w:p>
    <w:p w14:paraId="1067958A" w14:textId="77777777" w:rsidR="002D2D9C" w:rsidRDefault="002D2D9C" w:rsidP="008275E1">
      <w:pPr>
        <w:rPr>
          <w:rFonts w:ascii="Book Antiqua" w:hAnsi="Book Antiqua"/>
        </w:rPr>
        <w:sectPr w:rsidR="002D2D9C" w:rsidSect="008F6BC9">
          <w:type w:val="continuous"/>
          <w:pgSz w:w="11907" w:h="16839" w:code="9"/>
          <w:pgMar w:top="1350" w:right="1440" w:bottom="1440" w:left="1440" w:header="720" w:footer="720" w:gutter="0"/>
          <w:cols w:num="2" w:space="720"/>
          <w:docGrid w:linePitch="360"/>
        </w:sectPr>
      </w:pPr>
    </w:p>
    <w:p w14:paraId="70E08575" w14:textId="77777777" w:rsidR="00AC2FEA" w:rsidRPr="00E3232D" w:rsidRDefault="00AC2FEA" w:rsidP="008275E1">
      <w:pPr>
        <w:rPr>
          <w:rFonts w:ascii="Book Antiqua" w:hAnsi="Book Antiqua"/>
        </w:rPr>
        <w:sectPr w:rsidR="00AC2FEA" w:rsidRPr="00E3232D" w:rsidSect="008F6BC9">
          <w:type w:val="continuous"/>
          <w:pgSz w:w="11907" w:h="16839" w:code="9"/>
          <w:pgMar w:top="1350" w:right="1440" w:bottom="1440" w:left="1440" w:header="720" w:footer="720" w:gutter="0"/>
          <w:cols w:space="720"/>
          <w:docGrid w:linePitch="360"/>
        </w:sectPr>
      </w:pPr>
    </w:p>
    <w:p w14:paraId="706CBE6E" w14:textId="77777777" w:rsidR="00AC2FEA" w:rsidRPr="00E3232D" w:rsidRDefault="00AC2FEA" w:rsidP="008275E1">
      <w:pPr>
        <w:tabs>
          <w:tab w:val="left" w:pos="6675"/>
        </w:tabs>
        <w:rPr>
          <w:rFonts w:ascii="Book Antiqua" w:hAnsi="Book Antiqua"/>
          <w:b/>
        </w:rPr>
        <w:sectPr w:rsidR="00AC2FEA" w:rsidRPr="00E3232D" w:rsidSect="008F6BC9">
          <w:type w:val="continuous"/>
          <w:pgSz w:w="11907" w:h="16839" w:code="9"/>
          <w:pgMar w:top="1350" w:right="1440" w:bottom="1440" w:left="1440" w:header="720" w:footer="720" w:gutter="0"/>
          <w:cols w:space="720"/>
          <w:docGrid w:linePitch="360"/>
        </w:sectPr>
      </w:pPr>
    </w:p>
    <w:p w14:paraId="16D27594" w14:textId="77777777" w:rsidR="00766DAF" w:rsidRDefault="00766DAF" w:rsidP="00915F93">
      <w:pPr>
        <w:tabs>
          <w:tab w:val="left" w:pos="6675"/>
        </w:tabs>
        <w:rPr>
          <w:rFonts w:ascii="Book Antiqua" w:hAnsi="Book Antiqua"/>
          <w:b/>
          <w:sz w:val="26"/>
          <w:szCs w:val="26"/>
        </w:rPr>
      </w:pPr>
    </w:p>
    <w:p w14:paraId="22F56CBC" w14:textId="77777777" w:rsidR="00A32CF5" w:rsidRDefault="00A32CF5" w:rsidP="00915F93">
      <w:pPr>
        <w:tabs>
          <w:tab w:val="left" w:pos="6675"/>
        </w:tabs>
        <w:rPr>
          <w:rFonts w:ascii="Book Antiqua" w:hAnsi="Book Antiqua"/>
          <w:b/>
          <w:sz w:val="26"/>
          <w:szCs w:val="26"/>
        </w:rPr>
      </w:pPr>
    </w:p>
    <w:p w14:paraId="3C592417" w14:textId="77777777" w:rsidR="00A32CF5" w:rsidRDefault="00A32CF5" w:rsidP="00915F93">
      <w:pPr>
        <w:tabs>
          <w:tab w:val="left" w:pos="6675"/>
        </w:tabs>
        <w:rPr>
          <w:rFonts w:ascii="Book Antiqua" w:hAnsi="Book Antiqua"/>
          <w:b/>
          <w:sz w:val="26"/>
          <w:szCs w:val="26"/>
        </w:rPr>
      </w:pPr>
    </w:p>
    <w:p w14:paraId="42CA5E3F" w14:textId="77777777" w:rsidR="00A32CF5" w:rsidRDefault="00A32CF5" w:rsidP="00915F93">
      <w:pPr>
        <w:tabs>
          <w:tab w:val="left" w:pos="6675"/>
        </w:tabs>
        <w:rPr>
          <w:rFonts w:ascii="Book Antiqua" w:hAnsi="Book Antiqua"/>
          <w:b/>
          <w:sz w:val="26"/>
          <w:szCs w:val="26"/>
        </w:rPr>
      </w:pPr>
    </w:p>
    <w:p w14:paraId="688E7332" w14:textId="77777777" w:rsidR="00A32CF5" w:rsidRDefault="00A32CF5" w:rsidP="00915F93">
      <w:pPr>
        <w:tabs>
          <w:tab w:val="left" w:pos="6675"/>
        </w:tabs>
        <w:rPr>
          <w:rFonts w:ascii="Book Antiqua" w:hAnsi="Book Antiqua"/>
          <w:b/>
          <w:sz w:val="26"/>
          <w:szCs w:val="26"/>
        </w:rPr>
      </w:pPr>
    </w:p>
    <w:p w14:paraId="3BE63CFA" w14:textId="77777777" w:rsidR="005F7EA7" w:rsidRDefault="005F7EA7" w:rsidP="00915F93">
      <w:pPr>
        <w:tabs>
          <w:tab w:val="left" w:pos="6675"/>
        </w:tabs>
        <w:rPr>
          <w:rFonts w:ascii="Book Antiqua" w:hAnsi="Book Antiqua"/>
          <w:b/>
          <w:sz w:val="26"/>
          <w:szCs w:val="26"/>
        </w:rPr>
      </w:pPr>
    </w:p>
    <w:p w14:paraId="0ABE074F" w14:textId="77777777" w:rsidR="005F7EA7" w:rsidRDefault="005F7EA7" w:rsidP="00915F93">
      <w:pPr>
        <w:tabs>
          <w:tab w:val="left" w:pos="6675"/>
        </w:tabs>
        <w:rPr>
          <w:rFonts w:ascii="Book Antiqua" w:hAnsi="Book Antiqua"/>
          <w:b/>
          <w:sz w:val="26"/>
          <w:szCs w:val="26"/>
        </w:rPr>
      </w:pPr>
    </w:p>
    <w:p w14:paraId="372B15ED" w14:textId="77777777" w:rsidR="00A32CF5" w:rsidRDefault="00A32CF5" w:rsidP="00915F93">
      <w:pPr>
        <w:tabs>
          <w:tab w:val="left" w:pos="6675"/>
        </w:tabs>
        <w:rPr>
          <w:rFonts w:ascii="Book Antiqua" w:hAnsi="Book Antiqua"/>
          <w:b/>
          <w:sz w:val="26"/>
          <w:szCs w:val="26"/>
        </w:rPr>
      </w:pPr>
    </w:p>
    <w:p w14:paraId="0AF4EFBB" w14:textId="77777777" w:rsidR="00A32CF5" w:rsidRDefault="00A32CF5" w:rsidP="00915F93">
      <w:pPr>
        <w:tabs>
          <w:tab w:val="left" w:pos="6675"/>
        </w:tabs>
        <w:rPr>
          <w:rFonts w:ascii="Book Antiqua" w:hAnsi="Book Antiqua"/>
          <w:b/>
          <w:sz w:val="26"/>
          <w:szCs w:val="26"/>
        </w:rPr>
      </w:pPr>
    </w:p>
    <w:p w14:paraId="719D891C" w14:textId="77777777" w:rsidR="00A32CF5" w:rsidRDefault="00A32CF5" w:rsidP="00915F93">
      <w:pPr>
        <w:tabs>
          <w:tab w:val="left" w:pos="6675"/>
        </w:tabs>
        <w:rPr>
          <w:rFonts w:ascii="Book Antiqua" w:hAnsi="Book Antiqua"/>
          <w:b/>
          <w:sz w:val="26"/>
          <w:szCs w:val="26"/>
        </w:rPr>
        <w:sectPr w:rsidR="00A32CF5" w:rsidSect="008F6BC9">
          <w:type w:val="continuous"/>
          <w:pgSz w:w="11907" w:h="16839" w:code="9"/>
          <w:pgMar w:top="1350" w:right="1440" w:bottom="1440" w:left="1440" w:header="720" w:footer="720" w:gutter="0"/>
          <w:cols w:space="720"/>
          <w:docGrid w:linePitch="360"/>
        </w:sectPr>
      </w:pPr>
    </w:p>
    <w:p w14:paraId="43A1EF82" w14:textId="77777777" w:rsidR="004C3DD4" w:rsidRDefault="004C3DD4" w:rsidP="00A32CF5">
      <w:pPr>
        <w:tabs>
          <w:tab w:val="left" w:pos="6675"/>
        </w:tabs>
        <w:spacing w:after="0"/>
        <w:jc w:val="center"/>
        <w:rPr>
          <w:rFonts w:ascii="Book Antiqua" w:hAnsi="Book Antiqua"/>
          <w:b/>
          <w:sz w:val="26"/>
          <w:szCs w:val="26"/>
        </w:rPr>
      </w:pPr>
    </w:p>
    <w:p w14:paraId="366E1D47" w14:textId="77777777" w:rsidR="00AC2FEA" w:rsidRPr="00D109F7" w:rsidRDefault="00AC2FEA" w:rsidP="00A32CF5">
      <w:pPr>
        <w:tabs>
          <w:tab w:val="left" w:pos="6675"/>
        </w:tabs>
        <w:spacing w:after="0"/>
        <w:jc w:val="center"/>
        <w:rPr>
          <w:rFonts w:ascii="Book Antiqua" w:hAnsi="Book Antiqua"/>
          <w:b/>
          <w:sz w:val="26"/>
          <w:szCs w:val="26"/>
        </w:rPr>
      </w:pPr>
      <w:r w:rsidRPr="00D109F7">
        <w:rPr>
          <w:rFonts w:ascii="Book Antiqua" w:hAnsi="Book Antiqua"/>
          <w:b/>
          <w:sz w:val="26"/>
          <w:szCs w:val="26"/>
        </w:rPr>
        <w:t>Hypertension among Young Adults in the Osiem Municipality of the Eastern Region of Ghana.</w:t>
      </w:r>
    </w:p>
    <w:p w14:paraId="3965F879" w14:textId="77777777" w:rsidR="008708A9" w:rsidRDefault="008708A9" w:rsidP="00A32CF5">
      <w:pPr>
        <w:tabs>
          <w:tab w:val="left" w:pos="6675"/>
        </w:tabs>
        <w:spacing w:after="0"/>
        <w:jc w:val="center"/>
        <w:rPr>
          <w:rFonts w:ascii="Book Antiqua" w:hAnsi="Book Antiqua"/>
          <w:b/>
          <w:vertAlign w:val="superscript"/>
        </w:rPr>
      </w:pPr>
    </w:p>
    <w:p w14:paraId="17F9FEF8" w14:textId="77777777" w:rsidR="0090763D" w:rsidRPr="004C3DD4" w:rsidRDefault="00AC2FEA" w:rsidP="0059383C">
      <w:pPr>
        <w:tabs>
          <w:tab w:val="left" w:pos="6675"/>
        </w:tabs>
        <w:spacing w:after="0"/>
        <w:contextualSpacing/>
        <w:jc w:val="center"/>
        <w:rPr>
          <w:rFonts w:ascii="Book Antiqua" w:hAnsi="Book Antiqua"/>
          <w:b/>
          <w:sz w:val="26"/>
        </w:rPr>
      </w:pPr>
      <w:r w:rsidRPr="004C3DD4">
        <w:rPr>
          <w:rFonts w:ascii="Book Antiqua" w:hAnsi="Book Antiqua"/>
          <w:b/>
          <w:sz w:val="26"/>
          <w:vertAlign w:val="superscript"/>
        </w:rPr>
        <w:t>1</w:t>
      </w:r>
      <w:r w:rsidR="002660B8" w:rsidRPr="004C3DD4">
        <w:rPr>
          <w:rFonts w:ascii="Book Antiqua" w:hAnsi="Book Antiqua"/>
          <w:b/>
          <w:sz w:val="26"/>
        </w:rPr>
        <w:t xml:space="preserve">Afriyie </w:t>
      </w:r>
      <w:r w:rsidR="00DF0980" w:rsidRPr="004C3DD4">
        <w:rPr>
          <w:rFonts w:ascii="Book Antiqua" w:hAnsi="Book Antiqua"/>
          <w:b/>
          <w:sz w:val="26"/>
        </w:rPr>
        <w:t>A. A</w:t>
      </w:r>
      <w:r w:rsidR="00D109F7" w:rsidRPr="004C3DD4">
        <w:rPr>
          <w:rFonts w:ascii="Book Antiqua" w:hAnsi="Book Antiqua"/>
          <w:b/>
          <w:sz w:val="26"/>
        </w:rPr>
        <w:t xml:space="preserve"> </w:t>
      </w:r>
      <w:r w:rsidR="00A36878" w:rsidRPr="004C3DD4">
        <w:rPr>
          <w:rFonts w:ascii="Book Antiqua" w:hAnsi="Book Antiqua"/>
          <w:b/>
          <w:sz w:val="26"/>
        </w:rPr>
        <w:t xml:space="preserve"> </w:t>
      </w:r>
      <w:r w:rsidR="00D109F7" w:rsidRPr="004C3DD4">
        <w:rPr>
          <w:rFonts w:ascii="Book Antiqua" w:hAnsi="Book Antiqua"/>
          <w:b/>
          <w:sz w:val="26"/>
          <w:vertAlign w:val="superscript"/>
        </w:rPr>
        <w:t>2</w:t>
      </w:r>
      <w:r w:rsidR="00DF0980" w:rsidRPr="004C3DD4">
        <w:rPr>
          <w:rFonts w:ascii="Book Antiqua" w:hAnsi="Book Antiqua"/>
          <w:b/>
          <w:sz w:val="26"/>
        </w:rPr>
        <w:t xml:space="preserve"> Peter D.</w:t>
      </w:r>
      <w:r w:rsidR="00A36878" w:rsidRPr="004C3DD4">
        <w:rPr>
          <w:rFonts w:ascii="Book Antiqua" w:hAnsi="Book Antiqua"/>
          <w:b/>
          <w:sz w:val="26"/>
        </w:rPr>
        <w:t xml:space="preserve"> </w:t>
      </w:r>
      <w:r w:rsidR="0090763D" w:rsidRPr="004C3DD4">
        <w:rPr>
          <w:rFonts w:ascii="Book Antiqua" w:hAnsi="Book Antiqua"/>
          <w:b/>
          <w:sz w:val="26"/>
        </w:rPr>
        <w:t xml:space="preserve">&amp; </w:t>
      </w:r>
      <w:r w:rsidR="0090763D" w:rsidRPr="004C3DD4">
        <w:rPr>
          <w:rFonts w:ascii="Book Antiqua" w:hAnsi="Book Antiqua"/>
          <w:b/>
          <w:sz w:val="26"/>
          <w:vertAlign w:val="superscript"/>
        </w:rPr>
        <w:t>3</w:t>
      </w:r>
      <w:r w:rsidR="0090763D" w:rsidRPr="004C3DD4">
        <w:rPr>
          <w:rFonts w:ascii="Book Antiqua" w:hAnsi="Book Antiqua"/>
          <w:b/>
          <w:sz w:val="26"/>
        </w:rPr>
        <w:t xml:space="preserve"> Osarfo</w:t>
      </w:r>
      <w:r w:rsidR="002660B8" w:rsidRPr="004C3DD4">
        <w:rPr>
          <w:rFonts w:ascii="Book Antiqua" w:hAnsi="Book Antiqua"/>
          <w:b/>
          <w:sz w:val="26"/>
        </w:rPr>
        <w:t xml:space="preserve"> D.</w:t>
      </w:r>
    </w:p>
    <w:p w14:paraId="6CB72EBB" w14:textId="77777777" w:rsidR="0090763D" w:rsidRPr="00CD5531" w:rsidRDefault="0090763D" w:rsidP="0059383C">
      <w:pPr>
        <w:tabs>
          <w:tab w:val="left" w:pos="6675"/>
        </w:tabs>
        <w:spacing w:after="0"/>
        <w:contextualSpacing/>
        <w:jc w:val="center"/>
        <w:rPr>
          <w:rFonts w:ascii="Book Antiqua" w:hAnsi="Book Antiqua"/>
        </w:rPr>
      </w:pPr>
      <w:r w:rsidRPr="00CD5531">
        <w:rPr>
          <w:rFonts w:ascii="Book Antiqua" w:hAnsi="Book Antiqua"/>
          <w:vertAlign w:val="superscript"/>
        </w:rPr>
        <w:t>1</w:t>
      </w:r>
      <w:r w:rsidRPr="00CD5531">
        <w:rPr>
          <w:rFonts w:ascii="Book Antiqua" w:hAnsi="Book Antiqua"/>
        </w:rPr>
        <w:t>Department of Pharmaceutical Sciences, Kumasi Polytechnic, Kumasi.</w:t>
      </w:r>
    </w:p>
    <w:p w14:paraId="4A88B671" w14:textId="77777777" w:rsidR="0090763D" w:rsidRPr="00CD5531" w:rsidRDefault="0090763D" w:rsidP="0059383C">
      <w:pPr>
        <w:tabs>
          <w:tab w:val="left" w:pos="6675"/>
        </w:tabs>
        <w:contextualSpacing/>
        <w:jc w:val="center"/>
        <w:rPr>
          <w:rFonts w:ascii="Book Antiqua" w:hAnsi="Book Antiqua"/>
        </w:rPr>
      </w:pPr>
      <w:r w:rsidRPr="00CD5531">
        <w:rPr>
          <w:rFonts w:ascii="Book Antiqua" w:hAnsi="Book Antiqua"/>
          <w:vertAlign w:val="superscript"/>
        </w:rPr>
        <w:t>2</w:t>
      </w:r>
      <w:r w:rsidRPr="00CD5531">
        <w:rPr>
          <w:rFonts w:ascii="Book Antiqua" w:hAnsi="Book Antiqua"/>
        </w:rPr>
        <w:t>Pharmacist&amp; General Manager, Hawa Memorial Saviour Hospital, Osiem, Eastern Region.</w:t>
      </w:r>
    </w:p>
    <w:p w14:paraId="79CBE64A" w14:textId="77777777" w:rsidR="006B4CC5" w:rsidRPr="00CD5531" w:rsidRDefault="006B4CC5" w:rsidP="0059383C">
      <w:pPr>
        <w:tabs>
          <w:tab w:val="left" w:pos="6675"/>
        </w:tabs>
        <w:contextualSpacing/>
        <w:jc w:val="center"/>
        <w:rPr>
          <w:rFonts w:ascii="Book Antiqua" w:hAnsi="Book Antiqua"/>
        </w:rPr>
      </w:pPr>
      <w:r w:rsidRPr="00CD5531">
        <w:rPr>
          <w:rFonts w:ascii="Book Antiqua" w:hAnsi="Book Antiqua"/>
          <w:vertAlign w:val="superscript"/>
        </w:rPr>
        <w:t>3</w:t>
      </w:r>
      <w:r w:rsidR="0090763D" w:rsidRPr="00CD5531">
        <w:rPr>
          <w:rFonts w:ascii="Book Antiqua" w:hAnsi="Book Antiqua"/>
        </w:rPr>
        <w:t>Sunyani Municipal Hospital, BrongAhafo Region, Ghana.</w:t>
      </w:r>
    </w:p>
    <w:p w14:paraId="1E4E8B89" w14:textId="77777777" w:rsidR="00AC2FEA" w:rsidRPr="00E3232D" w:rsidRDefault="006B4CC5" w:rsidP="0059383C">
      <w:pPr>
        <w:tabs>
          <w:tab w:val="left" w:pos="6675"/>
        </w:tabs>
        <w:contextualSpacing/>
        <w:jc w:val="center"/>
        <w:rPr>
          <w:rFonts w:ascii="Book Antiqua" w:hAnsi="Book Antiqua"/>
          <w:b/>
        </w:rPr>
      </w:pPr>
      <w:r>
        <w:rPr>
          <w:rFonts w:ascii="Book Antiqua" w:hAnsi="Book Antiqua"/>
          <w:b/>
        </w:rPr>
        <w:t>E</w:t>
      </w:r>
      <w:r w:rsidR="00485205">
        <w:rPr>
          <w:rFonts w:ascii="Book Antiqua" w:hAnsi="Book Antiqua"/>
          <w:b/>
        </w:rPr>
        <w:t>-</w:t>
      </w:r>
      <w:r>
        <w:rPr>
          <w:rFonts w:ascii="Book Antiqua" w:hAnsi="Book Antiqua"/>
          <w:b/>
        </w:rPr>
        <w:t>mail</w:t>
      </w:r>
      <w:r w:rsidR="008708A9">
        <w:rPr>
          <w:rFonts w:ascii="Book Antiqua" w:hAnsi="Book Antiqua"/>
          <w:b/>
        </w:rPr>
        <w:t xml:space="preserve">: </w:t>
      </w:r>
      <w:r w:rsidR="008708A9">
        <w:rPr>
          <w:rFonts w:ascii="Book Antiqua" w:hAnsi="Book Antiqua"/>
          <w:b/>
          <w:vertAlign w:val="superscript"/>
        </w:rPr>
        <w:t>1</w:t>
      </w:r>
      <w:hyperlink r:id="rId183" w:history="1">
        <w:r w:rsidR="00AC2FEA" w:rsidRPr="00E3232D">
          <w:rPr>
            <w:rStyle w:val="Hyperlink"/>
            <w:rFonts w:ascii="Book Antiqua" w:hAnsi="Book Antiqua"/>
            <w:b/>
          </w:rPr>
          <w:t>akua.abruquah@gmail.com</w:t>
        </w:r>
      </w:hyperlink>
      <w:r w:rsidR="008708A9">
        <w:t>,</w:t>
      </w:r>
      <w:r w:rsidR="008708A9">
        <w:rPr>
          <w:rFonts w:ascii="Book Antiqua" w:hAnsi="Book Antiqua"/>
          <w:b/>
        </w:rPr>
        <w:t xml:space="preserve">   </w:t>
      </w:r>
      <w:r w:rsidR="008708A9">
        <w:rPr>
          <w:rFonts w:ascii="Book Antiqua" w:hAnsi="Book Antiqua"/>
          <w:b/>
          <w:vertAlign w:val="superscript"/>
        </w:rPr>
        <w:t>2</w:t>
      </w:r>
      <w:hyperlink r:id="rId184" w:history="1">
        <w:r w:rsidR="00AC2FEA" w:rsidRPr="00E3232D">
          <w:rPr>
            <w:rStyle w:val="Hyperlink"/>
            <w:rFonts w:ascii="Book Antiqua" w:hAnsi="Book Antiqua"/>
            <w:b/>
          </w:rPr>
          <w:t>ojc97uk@yahoo.com</w:t>
        </w:r>
      </w:hyperlink>
      <w:r w:rsidR="008708A9">
        <w:t xml:space="preserve"> &amp;</w:t>
      </w:r>
      <w:r w:rsidR="008708A9">
        <w:rPr>
          <w:rFonts w:ascii="Book Antiqua" w:hAnsi="Book Antiqua"/>
          <w:b/>
        </w:rPr>
        <w:t xml:space="preserve"> </w:t>
      </w:r>
      <w:r w:rsidR="008708A9">
        <w:rPr>
          <w:rFonts w:ascii="Book Antiqua" w:hAnsi="Book Antiqua"/>
          <w:b/>
          <w:vertAlign w:val="superscript"/>
        </w:rPr>
        <w:t>3</w:t>
      </w:r>
      <w:hyperlink r:id="rId185" w:history="1">
        <w:r w:rsidR="00AC2FEA" w:rsidRPr="00E3232D">
          <w:rPr>
            <w:rStyle w:val="Hyperlink"/>
            <w:rFonts w:ascii="Book Antiqua" w:hAnsi="Book Antiqua"/>
            <w:b/>
          </w:rPr>
          <w:t>Danielosafo20@yahoo.com</w:t>
        </w:r>
      </w:hyperlink>
    </w:p>
    <w:p w14:paraId="464BDAEA" w14:textId="77777777" w:rsidR="00AC2FEA" w:rsidRPr="00E3232D" w:rsidRDefault="00AC2FEA" w:rsidP="008275E1">
      <w:pPr>
        <w:tabs>
          <w:tab w:val="left" w:pos="6675"/>
        </w:tabs>
        <w:rPr>
          <w:rFonts w:ascii="Book Antiqua" w:hAnsi="Book Antiqua"/>
          <w:b/>
        </w:rPr>
      </w:pPr>
    </w:p>
    <w:p w14:paraId="671A1C2C" w14:textId="77777777" w:rsidR="00AC2FEA" w:rsidRPr="00E3232D" w:rsidRDefault="00AC2FEA" w:rsidP="004C3DD4">
      <w:pPr>
        <w:tabs>
          <w:tab w:val="left" w:pos="6675"/>
        </w:tabs>
        <w:jc w:val="both"/>
        <w:rPr>
          <w:rFonts w:ascii="Book Antiqua" w:hAnsi="Book Antiqua"/>
          <w:b/>
        </w:rPr>
      </w:pPr>
      <w:r w:rsidRPr="005F7EA7">
        <w:rPr>
          <w:rFonts w:ascii="Book Antiqua" w:hAnsi="Book Antiqua"/>
          <w:b/>
          <w:sz w:val="26"/>
        </w:rPr>
        <w:t>Abstract</w:t>
      </w:r>
    </w:p>
    <w:p w14:paraId="6FB7A3AA" w14:textId="77777777" w:rsidR="00766DAF" w:rsidRPr="004C3DD4" w:rsidRDefault="00AC2FEA" w:rsidP="004C3DD4">
      <w:pPr>
        <w:tabs>
          <w:tab w:val="left" w:pos="6675"/>
        </w:tabs>
        <w:jc w:val="both"/>
        <w:rPr>
          <w:rFonts w:ascii="Book Antiqua" w:hAnsi="Book Antiqua"/>
        </w:rPr>
      </w:pPr>
      <w:r w:rsidRPr="00E3232D">
        <w:rPr>
          <w:rFonts w:ascii="Book Antiqua" w:hAnsi="Book Antiqua"/>
        </w:rPr>
        <w:t>Hypertension is a prevalent worldwide disease afflicting humans. It is often called "the silent killer" because it usually causes no symptoms for many years until it finally damages certain critical organs in the body.The aim of this study was to determine the prevalence, average blood pressure range according to JNC7 classification, existence of co-morbid conditions and treatment options of hypertension in young adults in the Eastern Region of Ghana.The study was conducted at the Hawa Memorial Saviour Hospital at Osiem in the Eastern Region of Ghana. Folders of patients below age 35 attending hypertension clinic were selected for study. Average BP, age, gender, BMI and co-morbid conditions of the studied patients were recorded and data analyzed. Findings showed that hypertension is predominant in females (63%) than males (37%). Thirty three percent (33%) of patients were obese; fifty nine percent (59%) had diabetes as a co-morbid condition. Seventy two percent (72%) of patients had controlled BP whiles thirty seven percent (37%) had mild hypertension with forty seven percent (47%) having moderate hypertension. Seventy six percent (76%) of patients were found to be on combination therapy with twenty two percent (22%) on ACEI diuretic combination and twenty two percent (22%) on ACEI beta blocker combination. Hypertension in young adults is alarming, hence early diagnosis is imperative. Pharmacological as well as non-pharmacological management options must be adopted to minimize the impact of this disease in young adults.</w:t>
      </w:r>
    </w:p>
    <w:p w14:paraId="730EAF3C" w14:textId="77777777" w:rsidR="00AC2FEA" w:rsidRPr="00E3232D" w:rsidRDefault="00AC2FEA" w:rsidP="004C3DD4">
      <w:pPr>
        <w:tabs>
          <w:tab w:val="left" w:pos="6675"/>
        </w:tabs>
        <w:jc w:val="both"/>
        <w:rPr>
          <w:rFonts w:ascii="Book Antiqua" w:hAnsi="Book Antiqua"/>
        </w:rPr>
      </w:pPr>
      <w:r w:rsidRPr="00E3232D">
        <w:rPr>
          <w:rFonts w:ascii="Book Antiqua" w:hAnsi="Book Antiqua"/>
          <w:b/>
        </w:rPr>
        <w:t>Keywords</w:t>
      </w:r>
      <w:r w:rsidRPr="00E3232D">
        <w:rPr>
          <w:rFonts w:ascii="Book Antiqua" w:hAnsi="Book Antiqua"/>
        </w:rPr>
        <w:t xml:space="preserve">: </w:t>
      </w:r>
      <w:r w:rsidR="004C3DD4" w:rsidRPr="00E3232D">
        <w:rPr>
          <w:rFonts w:ascii="Book Antiqua" w:hAnsi="Book Antiqua"/>
        </w:rPr>
        <w:t>Co-Morbid Conditions</w:t>
      </w:r>
      <w:r w:rsidRPr="00E3232D">
        <w:rPr>
          <w:rFonts w:ascii="Book Antiqua" w:hAnsi="Book Antiqua"/>
        </w:rPr>
        <w:t xml:space="preserve">; BMI; ACEI; </w:t>
      </w:r>
      <w:r w:rsidR="004C3DD4" w:rsidRPr="00E3232D">
        <w:rPr>
          <w:rFonts w:ascii="Book Antiqua" w:hAnsi="Book Antiqua"/>
        </w:rPr>
        <w:t>Diuretic; Beta Blocker</w:t>
      </w:r>
    </w:p>
    <w:p w14:paraId="15658204" w14:textId="77777777" w:rsidR="00AC2FEA" w:rsidRPr="00E3232D" w:rsidRDefault="00AC2FEA" w:rsidP="008275E1">
      <w:pPr>
        <w:pStyle w:val="NoSpacing"/>
        <w:spacing w:line="276" w:lineRule="auto"/>
        <w:rPr>
          <w:rFonts w:ascii="Book Antiqua" w:hAnsi="Book Antiqua"/>
          <w:b/>
        </w:rPr>
        <w:sectPr w:rsidR="00AC2FEA" w:rsidRPr="00E3232D" w:rsidSect="008F6BC9">
          <w:type w:val="continuous"/>
          <w:pgSz w:w="11907" w:h="16839" w:code="9"/>
          <w:pgMar w:top="1350" w:right="1440" w:bottom="1440" w:left="1440" w:header="720" w:footer="720" w:gutter="0"/>
          <w:cols w:space="720"/>
          <w:docGrid w:linePitch="360"/>
        </w:sectPr>
      </w:pPr>
    </w:p>
    <w:p w14:paraId="7239989C" w14:textId="77777777" w:rsidR="00AC2FEA" w:rsidRPr="00E3232D" w:rsidRDefault="00AC2FEA" w:rsidP="008275E1">
      <w:pPr>
        <w:pStyle w:val="NoSpacing"/>
        <w:spacing w:line="276" w:lineRule="auto"/>
        <w:rPr>
          <w:rFonts w:ascii="Book Antiqua" w:hAnsi="Book Antiqua"/>
          <w:b/>
        </w:rPr>
      </w:pPr>
    </w:p>
    <w:p w14:paraId="26A08B9D" w14:textId="77777777" w:rsidR="00766DAF" w:rsidRDefault="00766DAF" w:rsidP="008275E1">
      <w:pPr>
        <w:pStyle w:val="NoSpacing"/>
        <w:spacing w:line="276" w:lineRule="auto"/>
        <w:rPr>
          <w:rFonts w:ascii="Book Antiqua" w:hAnsi="Book Antiqua"/>
          <w:b/>
        </w:rPr>
        <w:sectPr w:rsidR="00766DAF" w:rsidSect="008F6BC9">
          <w:footerReference w:type="default" r:id="rId186"/>
          <w:type w:val="continuous"/>
          <w:pgSz w:w="11907" w:h="16839" w:code="9"/>
          <w:pgMar w:top="1440" w:right="1274" w:bottom="1440" w:left="1440" w:header="708" w:footer="708" w:gutter="0"/>
          <w:cols w:space="720"/>
          <w:docGrid w:linePitch="360"/>
        </w:sectPr>
      </w:pPr>
    </w:p>
    <w:p w14:paraId="7818D216" w14:textId="77777777" w:rsidR="00AC2FEA" w:rsidRPr="00E3232D" w:rsidRDefault="00806674" w:rsidP="004C3DD4">
      <w:pPr>
        <w:pStyle w:val="NoSpacing"/>
        <w:spacing w:line="276" w:lineRule="auto"/>
        <w:jc w:val="both"/>
        <w:rPr>
          <w:rFonts w:ascii="Book Antiqua" w:hAnsi="Book Antiqua"/>
          <w:b/>
        </w:rPr>
      </w:pPr>
      <w:r>
        <w:rPr>
          <w:rFonts w:ascii="Book Antiqua" w:hAnsi="Book Antiqua"/>
          <w:b/>
          <w:sz w:val="26"/>
        </w:rPr>
        <w:t xml:space="preserve">1.0 </w:t>
      </w:r>
      <w:r w:rsidR="00AC2FEA" w:rsidRPr="005F7EA7">
        <w:rPr>
          <w:rFonts w:ascii="Book Antiqua" w:hAnsi="Book Antiqua"/>
          <w:b/>
          <w:sz w:val="26"/>
        </w:rPr>
        <w:t>Introduction</w:t>
      </w:r>
    </w:p>
    <w:p w14:paraId="6B407DD7"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Hypertension is a condition where the blood pressure of an adult aged 18 years or older is persistently higher than 140/90  mmHg in a non-diabetic or above 130/90 mmHg in a diabetic, based on the average of three properly measured blood pressure readings </w:t>
      </w:r>
      <w:r w:rsidR="001815AD" w:rsidRPr="00E3232D">
        <w:rPr>
          <w:rFonts w:ascii="Book Antiqua" w:hAnsi="Book Antiqua"/>
        </w:rPr>
        <w:fldChar w:fldCharType="begin"/>
      </w:r>
      <w:r w:rsidRPr="00E3232D">
        <w:rPr>
          <w:rFonts w:ascii="Book Antiqua" w:hAnsi="Book Antiqua"/>
        </w:rPr>
        <w:instrText xml:space="preserve"> ADDIN EN.CITE &lt;EndNote&gt;&lt;Cite&gt;&lt;Author&gt;Chobanian AV&lt;/Author&gt;&lt;Year&gt;2003&lt;/Year&gt;&lt;RecNum&gt;1&lt;/RecNum&gt;&lt;record&gt;&lt;rec-number&gt;1&lt;/rec-number&gt;&lt;foreign-keys&gt;&lt;key app="EN" db-id="fevprx2ek5v2tmes00rpzxz4w2tz09ft90p0"&gt;1&lt;/key&gt;&lt;/foreign-keys&gt;&lt;ref-type name="Journal Article"&gt;17&lt;/ref-type&gt;&lt;contributors&gt;&lt;authors&gt;&lt;author&gt;Chobanian AV, Bakris GL, Black HR, Cushman WC, Green LA, Izzo JL Jr, et al.&lt;/author&gt;&lt;/authors&gt;&lt;/contributors&gt;&lt;titles&gt;&lt;title&gt;Seventh report of the Joint National Committee on Prevention, Detection, Evaluation, and Treatment of High Blood Pressure&lt;/title&gt;&lt;secondary-title&gt;Hypertension. &lt;/secondary-title&gt;&lt;/titles&gt;&lt;periodical&gt;&lt;full-title&gt;Hypertension.&lt;/full-title&gt;&lt;/periodical&gt;&lt;pages&gt;1206-52&lt;/pages&gt;&lt;volume&gt;42&lt;/volume&gt;&lt;number&gt;6&lt;/number&gt;&lt;section&gt;1206&lt;/section&gt;&lt;dates&gt;&lt;year&gt;2003&lt;/year&gt;&lt;pub-dates&gt;&lt;date&gt;Dec 2003&lt;/date&gt;&lt;/pub-dates&gt;&lt;/dates&gt;&lt;urls&gt;&lt;/urls&gt;&lt;/record&gt;&lt;/Cite&gt;&lt;/EndNote&gt;</w:instrText>
      </w:r>
      <w:r w:rsidR="001815AD" w:rsidRPr="00E3232D">
        <w:rPr>
          <w:rFonts w:ascii="Book Antiqua" w:hAnsi="Book Antiqua"/>
        </w:rPr>
        <w:fldChar w:fldCharType="separate"/>
      </w:r>
      <w:r w:rsidRPr="00E3232D">
        <w:rPr>
          <w:rFonts w:ascii="Book Antiqua" w:hAnsi="Book Antiqua"/>
        </w:rPr>
        <w:t>(Chobanian AV, 2003)</w:t>
      </w:r>
      <w:r w:rsidR="001815AD" w:rsidRPr="00E3232D">
        <w:rPr>
          <w:rFonts w:ascii="Book Antiqua" w:hAnsi="Book Antiqua"/>
        </w:rPr>
        <w:fldChar w:fldCharType="end"/>
      </w:r>
      <w:r w:rsidRPr="00E3232D">
        <w:rPr>
          <w:rFonts w:ascii="Book Antiqua" w:hAnsi="Book Antiqua"/>
        </w:rPr>
        <w:t xml:space="preserve">. Hypertension is one of the most common worldwide diseases afflicting humans </w:t>
      </w:r>
      <w:r w:rsidR="001815AD" w:rsidRPr="00E3232D">
        <w:rPr>
          <w:rFonts w:ascii="Book Antiqua" w:hAnsi="Book Antiqua"/>
        </w:rPr>
        <w:fldChar w:fldCharType="begin"/>
      </w:r>
      <w:r w:rsidRPr="00E3232D">
        <w:rPr>
          <w:rFonts w:ascii="Book Antiqua" w:hAnsi="Book Antiqua"/>
        </w:rPr>
        <w:instrText xml:space="preserve"> ADDIN EN.CITE &lt;EndNote&gt;&lt;Cite&gt;&lt;Author&gt;Chobanian AV&lt;/Author&gt;&lt;Year&gt;2003&lt;/Year&gt;&lt;RecNum&gt;1&lt;/RecNum&gt;&lt;record&gt;&lt;rec-number&gt;1&lt;/rec-number&gt;&lt;foreign-keys&gt;&lt;key app="EN" db-id="fevprx2ek5v2tmes00rpzxz4w2tz09ft90p0"&gt;1&lt;/key&gt;&lt;/foreign-keys&gt;&lt;ref-type name="Journal Article"&gt;17&lt;/ref-type&gt;&lt;contributors&gt;&lt;authors&gt;&lt;author&gt;Chobanian AV, Bakris GL, Black HR, Cushman WC, Green LA, Izzo JL Jr, et al.&lt;/author&gt;&lt;/authors&gt;&lt;/contributors&gt;&lt;titles&gt;&lt;title&gt;Seventh report of the Joint National Committee on Prevention, Detection, Evaluation, and Treatment of High Blood Pressure&lt;/title&gt;&lt;secondary-title&gt;Hypertension. &lt;/secondary-title&gt;&lt;/titles&gt;&lt;periodical&gt;&lt;full-title&gt;Hypertension.&lt;/full-title&gt;&lt;/periodical&gt;&lt;pages&gt;1206-52&lt;/pages&gt;&lt;volume&gt;42&lt;/volume&gt;&lt;number&gt;6&lt;/number&gt;&lt;section&gt;1206&lt;/section&gt;&lt;dates&gt;&lt;year&gt;2003&lt;/year&gt;&lt;pub-dates&gt;&lt;date&gt;Dec 2003&lt;/date&gt;&lt;/pub-dates&gt;&lt;/dates&gt;&lt;urls&gt;&lt;/urls&gt;&lt;/record&gt;&lt;/Cite&gt;&lt;/EndNote&gt;</w:instrText>
      </w:r>
      <w:r w:rsidR="001815AD" w:rsidRPr="00E3232D">
        <w:rPr>
          <w:rFonts w:ascii="Book Antiqua" w:hAnsi="Book Antiqua"/>
        </w:rPr>
        <w:fldChar w:fldCharType="separate"/>
      </w:r>
      <w:r w:rsidRPr="00E3232D">
        <w:rPr>
          <w:rFonts w:ascii="Book Antiqua" w:hAnsi="Book Antiqua"/>
        </w:rPr>
        <w:t>(Chobanian AV, 2003)</w:t>
      </w:r>
      <w:r w:rsidR="001815AD" w:rsidRPr="00E3232D">
        <w:rPr>
          <w:rFonts w:ascii="Book Antiqua" w:hAnsi="Book Antiqua"/>
        </w:rPr>
        <w:fldChar w:fldCharType="end"/>
      </w:r>
      <w:r w:rsidRPr="00E3232D">
        <w:rPr>
          <w:rFonts w:ascii="Book Antiqua" w:hAnsi="Book Antiqua"/>
        </w:rPr>
        <w:t xml:space="preserve"> especially in Sub-Saharan Africa with a population  of 650 million and increasing Westernization </w:t>
      </w:r>
      <w:r w:rsidR="001815AD" w:rsidRPr="00E3232D">
        <w:rPr>
          <w:rFonts w:ascii="Book Antiqua" w:hAnsi="Book Antiqua"/>
        </w:rPr>
        <w:fldChar w:fldCharType="begin"/>
      </w:r>
      <w:r w:rsidRPr="00E3232D">
        <w:rPr>
          <w:rFonts w:ascii="Book Antiqua" w:hAnsi="Book Antiqua"/>
        </w:rPr>
        <w:instrText xml:space="preserve"> ADDIN EN.CITE &lt;EndNote&gt;&lt;Cite&gt;&lt;Author&gt;Cooper&lt;/Author&gt;&lt;Year&gt;1997&lt;/Year&gt;&lt;RecNum&gt;54&lt;/RecNum&gt;&lt;record&gt;&lt;rec-number&gt;54&lt;/rec-number&gt;&lt;foreign-keys&gt;&lt;key app="EN" db-id="fevprx2ek5v2tmes00rpzxz4w2tz09ft90p0"&gt;54&lt;/key&gt;&lt;/foreign-keys&gt;&lt;ref-type name="Journal Article"&gt;17&lt;/ref-type&gt;&lt;contributors&gt;&lt;authors&gt;&lt;author&gt;Cooper, R.&lt;/author&gt;&lt;author&gt;Rotimi, C.&lt;/author&gt;&lt;/authors&gt;&lt;/contributors&gt;&lt;auth-address&gt;Department of Preventive Medicine and Epidemiology, Loyola University Stritch School of Medicine, Maywood, Illinois 60153, USA. rcooper@wpo.it.luc.edu&lt;/auth-address&gt;&lt;titles&gt;&lt;title&gt;Hypertension in blacks&lt;/title&gt;&lt;secondary-title&gt;Am J Hypertens&lt;/secondary-title&gt;&lt;/titles&gt;&lt;periodical&gt;&lt;full-title&gt;Am J Hypertens&lt;/full-title&gt;&lt;/periodical&gt;&lt;pages&gt;804-12&lt;/pages&gt;&lt;volume&gt;10&lt;/volume&gt;&lt;number&gt;7 Pt 1&lt;/number&gt;&lt;edition&gt;1997/07/01&lt;/edition&gt;&lt;keywords&gt;&lt;keyword&gt;African Continental Ancestry Group&lt;/keyword&gt;&lt;keyword&gt;Humans&lt;/keyword&gt;&lt;keyword&gt;Hypertension/*epidemiology/genetics&lt;/keyword&gt;&lt;keyword&gt;United States/epidemiology&lt;/keyword&gt;&lt;/keywords&gt;&lt;dates&gt;&lt;year&gt;1997&lt;/year&gt;&lt;pub-dates&gt;&lt;date&gt;Jul&lt;/date&gt;&lt;/pub-dates&gt;&lt;/dates&gt;&lt;isbn&gt;0895-7061 (Print)&amp;#xD;0895-7061 (Linking)&lt;/isbn&gt;&lt;accession-num&gt;9234837&lt;/accession-num&gt;&lt;urls&gt;&lt;related-urls&gt;&lt;url&gt;http://www.ncbi.nlm.nih.gov/entrez/query.fcgi?cmd=Retrieve&amp;amp;db=PubMed&amp;amp;dopt=Citation&amp;amp;list_uids=9234837&lt;/url&gt;&lt;/related-urls&gt;&lt;/urls&gt;&lt;electronic-resource-num&gt;S0895-7061(97)00211-2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(Cooper and Rotimi, 1997)</w:t>
      </w:r>
      <w:r w:rsidR="001815AD" w:rsidRPr="00E3232D">
        <w:rPr>
          <w:rFonts w:ascii="Book Antiqua" w:hAnsi="Book Antiqua"/>
        </w:rPr>
        <w:fldChar w:fldCharType="end"/>
      </w:r>
      <w:r w:rsidRPr="00E3232D">
        <w:rPr>
          <w:rFonts w:ascii="Book Antiqua" w:hAnsi="Book Antiqua"/>
        </w:rPr>
        <w:t xml:space="preserve">.Due to the associated morbidity, mortality and cost to the society, hypertension is an important public health challenge </w:t>
      </w:r>
      <w:r w:rsidR="001815AD" w:rsidRPr="00E3232D">
        <w:rPr>
          <w:rFonts w:ascii="Book Antiqua" w:hAnsi="Book Antiqua"/>
        </w:rPr>
        <w:fldChar w:fldCharType="begin"/>
      </w:r>
      <w:r w:rsidRPr="00E3232D">
        <w:rPr>
          <w:rFonts w:ascii="Book Antiqua" w:hAnsi="Book Antiqua"/>
        </w:rPr>
        <w:instrText xml:space="preserve"> ADDIN EN.CITE &lt;EndNote&gt;&lt;Cite&gt;&lt;Author&gt;Hajjar&lt;/Author&gt;&lt;Year&gt;2003&lt;/Year&gt;&lt;RecNum&gt;45&lt;/RecNum&gt;&lt;record&gt;&lt;rec-number&gt;45&lt;/rec-number&gt;&lt;foreign-keys&gt;&lt;key app="EN" db-id="fevprx2ek5v2tmes00rpzxz4w2tz09ft90p0"&gt;45&lt;/key&gt;&lt;/foreign-keys&gt;&lt;ref-type name="Journal Article"&gt;17&lt;/ref-type&gt;&lt;contributors&gt;&lt;authors&gt;&lt;author&gt;Hajjar, I.&lt;/author&gt;&lt;author&gt;Kotchen, T. A.&lt;/author&gt;&lt;/authors&gt;&lt;/contributors&gt;&lt;auth-address&gt;Division of Geriatrics, Department of Medicine, Palmetto Health Richland, University of South Carolina, Columbia, USA. ihab.hajjar@palmettohealth.org&lt;/auth-address&gt;&lt;titles&gt;&lt;title&gt;Trends in prevalence, awareness, treatment, and control of hypertension in the United States, 1988-2000&lt;/title&gt;&lt;secondary-title&gt;JAMA&lt;/secondary-title&gt;&lt;/titles&gt;&lt;periodical&gt;&lt;full-title&gt;JAMA&lt;/full-title&gt;&lt;/periodical&gt;&lt;pages&gt;199-206&lt;/pages&gt;&lt;volume&gt;290&lt;/volume&gt;&lt;number&gt;2&lt;/number&gt;&lt;edition&gt;2003/07/10&lt;/edition&gt;&lt;keywords&gt;&lt;keyword&gt;Adult&lt;/keyword&gt;&lt;keyword&gt;Aged&lt;/keyword&gt;&lt;keyword&gt;Antihypertensive Agents/therapeutic use&lt;/keyword&gt;&lt;keyword&gt;Awareness&lt;/keyword&gt;&lt;keyword&gt;Female&lt;/keyword&gt;&lt;keyword&gt;*Health Knowledge, Attitudes, Practice&lt;/keyword&gt;&lt;keyword&gt;Humans&lt;/keyword&gt;&lt;keyword&gt;Hypertension/drug therapy/*epidemiology/*prevention &amp;amp; control&lt;/keyword&gt;&lt;keyword&gt;Male&lt;/keyword&gt;&lt;keyword&gt;Middle Aged&lt;/keyword&gt;&lt;keyword&gt;Nutrition Surveys&lt;/keyword&gt;&lt;keyword&gt;Prevalence&lt;/keyword&gt;&lt;keyword&gt;United States/epidemiology&lt;/keyword&gt;&lt;/keywords&gt;&lt;dates&gt;&lt;year&gt;2003&lt;/year&gt;&lt;pub-dates&gt;&lt;date&gt;Jul 9&lt;/date&gt;&lt;/pub-dates&gt;&lt;/dates&gt;&lt;isbn&gt;1538-3598 (Electronic)&amp;#xD;0098-7484 (Linking)&lt;/isbn&gt;&lt;accession-num&gt;12851274&lt;/accession-num&gt;&lt;urls&gt;&lt;related-urls&gt;&lt;url&gt;http://www.ncbi.nlm.nih.gov/entrez/query.fcgi?cmd=Retrieve&amp;amp;db=PubMed&amp;amp;dopt=Citation&amp;amp;list_uids=12851274&lt;/url&gt;&lt;/related-urls&gt;&lt;/urls&gt;&lt;electronic-resource-num&gt;10.1001/jama.290.2.199&amp;#xD;290/2/199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(Hajjar and Kotchen, 2003)</w:t>
      </w:r>
      <w:r w:rsidR="001815AD" w:rsidRPr="00E3232D">
        <w:rPr>
          <w:rFonts w:ascii="Book Antiqua" w:hAnsi="Book Antiqua"/>
        </w:rPr>
        <w:fldChar w:fldCharType="end"/>
      </w:r>
      <w:r w:rsidRPr="00E3232D">
        <w:rPr>
          <w:rFonts w:ascii="Book Antiqua" w:hAnsi="Book Antiqua"/>
        </w:rPr>
        <w:t>..</w:t>
      </w:r>
    </w:p>
    <w:p w14:paraId="24289805" w14:textId="77777777" w:rsidR="00AC2FEA" w:rsidRPr="00E3232D" w:rsidRDefault="00AC2FEA" w:rsidP="004C3DD4">
      <w:pPr>
        <w:pStyle w:val="NoSpacing"/>
        <w:spacing w:line="276" w:lineRule="auto"/>
        <w:jc w:val="both"/>
        <w:rPr>
          <w:rFonts w:ascii="Book Antiqua" w:hAnsi="Book Antiqua"/>
        </w:rPr>
      </w:pPr>
    </w:p>
    <w:p w14:paraId="445CB57C" w14:textId="77777777" w:rsidR="00AC2FEA" w:rsidRPr="00E3232D" w:rsidRDefault="00AC2FEA" w:rsidP="00196385">
      <w:pPr>
        <w:pStyle w:val="NoSpacing"/>
        <w:numPr>
          <w:ilvl w:val="1"/>
          <w:numId w:val="70"/>
        </w:numPr>
        <w:spacing w:line="276" w:lineRule="auto"/>
        <w:jc w:val="both"/>
        <w:rPr>
          <w:rFonts w:ascii="Book Antiqua" w:hAnsi="Book Antiqua"/>
          <w:b/>
        </w:rPr>
      </w:pPr>
      <w:r w:rsidRPr="00E3232D">
        <w:rPr>
          <w:rFonts w:ascii="Book Antiqua" w:hAnsi="Book Antiqua"/>
          <w:b/>
        </w:rPr>
        <w:t>Epidemiology of hypertension</w:t>
      </w:r>
    </w:p>
    <w:p w14:paraId="33AB1C55"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The African Union (AU) has called hypertension one of the greatest challenges facing the African continent after HIV/AIDS as it is estimated that over 20 million people in Africa have been affected </w:t>
      </w:r>
      <w:r w:rsidR="001815AD" w:rsidRPr="00E3232D">
        <w:rPr>
          <w:rFonts w:ascii="Book Antiqua" w:hAnsi="Book Antiqua"/>
        </w:rPr>
        <w:fldChar w:fldCharType="begin"/>
      </w:r>
      <w:r w:rsidRPr="00E3232D">
        <w:rPr>
          <w:rFonts w:ascii="Book Antiqua" w:hAnsi="Book Antiqua"/>
        </w:rPr>
        <w:instrText xml:space="preserve"> ADDIN EN.CITE &lt;EndNote&gt;&lt;Cite&gt;&lt;Author&gt;Opie&lt;/Author&gt;&lt;Year&gt;2005&lt;/Year&gt;&lt;RecNum&gt;56&lt;/RecNum&gt;&lt;record&gt;&lt;rec-number&gt;56&lt;/rec-number&gt;&lt;foreign-keys&gt;&lt;key app="EN" db-id="fevprx2ek5v2tmes00rpzxz4w2tz09ft90p0"&gt;56&lt;/key&gt;&lt;/foreign-keys&gt;&lt;ref-type name="Journal Article"&gt;17&lt;/ref-type&gt;&lt;contributors&gt;&lt;authors&gt;&lt;author&gt;Opie, L. H.&lt;/author&gt;&lt;author&gt;Seedat, Y. K.&lt;/author&gt;&lt;/authors&gt;&lt;/contributors&gt;&lt;auth-address&gt;Hatter Institute for Cardiology Research, University of Cape Town, Cape Town, South Africa. Opie@capeheart.uct.ac.za&lt;/auth-address&gt;&lt;titles&gt;&lt;title&gt;Hypertension in sub-Saharan African populations&lt;/title&gt;&lt;secondary-title&gt;Circulation&lt;/secondary-title&gt;&lt;/titles&gt;&lt;periodical&gt;&lt;full-title&gt;Circulation&lt;/full-title&gt;&lt;/periodical&gt;&lt;pages&gt;3562-8&lt;/pages&gt;&lt;volume&gt;112&lt;/volume&gt;&lt;number&gt;23&lt;/number&gt;&lt;edition&gt;2005/12/07&lt;/edition&gt;&lt;keywords&gt;&lt;keyword&gt;Africa South of the Sahara/epidemiology/ethnology&lt;/keyword&gt;&lt;keyword&gt;Humans&lt;/keyword&gt;&lt;keyword&gt;Hypertension/*epidemiology/ethnology/genetics&lt;/keyword&gt;&lt;keyword&gt;PubMed&lt;/keyword&gt;&lt;keyword&gt;Renin-Angiotensin System/genetics&lt;/keyword&gt;&lt;keyword&gt;Sodium/metabolism&lt;/keyword&gt;&lt;/keywords&gt;&lt;dates&gt;&lt;year&gt;2005&lt;/year&gt;&lt;pub-dates&gt;&lt;date&gt;Dec 6&lt;/date&gt;&lt;/pub-dates&gt;&lt;/dates&gt;&lt;isbn&gt;1524-4539 (Electronic)&amp;#xD;0009-7322 (Linking)&lt;/isbn&gt;&lt;accession-num&gt;16330697&lt;/accession-num&gt;&lt;urls&gt;&lt;related-urls&gt;&lt;url&gt;http://www.ncbi.nlm.nih.gov/entrez/query.fcgi?cmd=Retrieve&amp;amp;db=PubMed&amp;amp;dopt=Citation&amp;amp;list_uids=16330697&lt;/url&gt;&lt;/related-urls&gt;&lt;/urls&gt;&lt;electronic-resource-num&gt;112/23/3562 [pii]&amp;#xD;10.1161/CIRCULATIONAHA.105.539569&lt;/electronic-resource-num&gt;&lt;language&gt;eng&lt;/language&gt;&lt;/record&gt;&lt;/Cite&gt;&lt;/EndNote&gt;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(Opie and Seedat, 2005)</w:t>
      </w:r>
      <w:r w:rsidR="001815AD" w:rsidRPr="00E3232D">
        <w:rPr>
          <w:rFonts w:ascii="Book Antiqua" w:hAnsi="Book Antiqua"/>
        </w:rPr>
        <w:fldChar w:fldCharType="end"/>
      </w:r>
      <w:r w:rsidRPr="00E3232D">
        <w:rPr>
          <w:rFonts w:ascii="Book Antiqua" w:hAnsi="Book Antiqua"/>
        </w:rPr>
        <w:t>.</w:t>
      </w:r>
    </w:p>
    <w:p w14:paraId="466AAAE4" w14:textId="77777777" w:rsidR="00AC2FEA" w:rsidRPr="00E3232D" w:rsidRDefault="00AC2FEA" w:rsidP="004C3DD4">
      <w:pPr>
        <w:jc w:val="both"/>
        <w:rPr>
          <w:rFonts w:ascii="Book Antiqua" w:hAnsi="Book Antiqua"/>
        </w:rPr>
      </w:pPr>
      <w:r w:rsidRPr="00E3232D">
        <w:rPr>
          <w:rFonts w:ascii="Book Antiqua" w:hAnsi="Book Antiqua"/>
        </w:rPr>
        <w:t xml:space="preserve">Hypertension is estimated to cause 7.1 million deaths annually which accounts for about 13% of total global deaths </w:t>
      </w:r>
      <w:r w:rsidR="001815AD" w:rsidRPr="00E3232D">
        <w:rPr>
          <w:rFonts w:ascii="Book Antiqua" w:hAnsi="Book Antiqua"/>
        </w:rPr>
        <w:fldChar w:fldCharType="begin"/>
      </w:r>
      <w:r w:rsidRPr="00E3232D">
        <w:rPr>
          <w:rFonts w:ascii="Book Antiqua" w:hAnsi="Book Antiqua"/>
        </w:rPr>
        <w:instrText xml:space="preserve"> ADDIN EN.CITE &lt;EndNote&gt;&lt;Cite&gt;&lt;Author&gt;Chockalingam&lt;/Author&gt;&lt;Year&gt;2006&lt;/Year&gt;&lt;RecNum&gt;8&lt;/RecNum&gt;&lt;record&gt;&lt;rec-number&gt;8&lt;/rec-number&gt;&lt;foreign-keys&gt;&lt;key app="EN" db-id="fevprx2ek5v2tmes00rpzxz4w2tz09ft90p0"&gt;8&lt;/key&gt;&lt;/foreign-keys&gt;&lt;ref-type name="Journal Article"&gt;17&lt;/ref-type&gt;&lt;contributors&gt;&lt;authors&gt;&lt;author&gt;Chockalingam, A.&lt;/author&gt;&lt;author&gt;Campbell, N. R.&lt;/author&gt;&lt;author&gt;Fodor, J. G.&lt;/author&gt;&lt;/authors&gt;&lt;/contributors&gt;&lt;auth-address&gt;Faculty of Health Sciences, Simon Fraser University, Burnaby, British Columbia, Canada. arun_chockalingam@sfu.ca&lt;/auth-address&gt;&lt;titles&gt;&lt;title&gt;Worldwide epidemic of hypertension&lt;/title&gt;&lt;secondary-title&gt;Can J Cardiol&lt;/secondary-title&gt;&lt;/titles&gt;&lt;periodical&gt;&lt;full-title&gt;Can J Cardiol&lt;/full-title&gt;&lt;/periodical&gt;&lt;pages&gt;553-5&lt;/pages&gt;&lt;volume&gt;22&lt;/volume&gt;&lt;number&gt;7&lt;/number&gt;&lt;edition&gt;2006/06/07&lt;/edition&gt;&lt;keywords&gt;&lt;keyword&gt;Anniversaries and Special Events&lt;/keyword&gt;&lt;keyword&gt;*Disease Outbreaks&lt;/keyword&gt;&lt;keyword&gt;Health Promotion&lt;/keyword&gt;&lt;keyword&gt;Humans&lt;/keyword&gt;&lt;keyword&gt;Hypertension/*epidemiology&lt;/keyword&gt;&lt;keyword&gt;Population Surveillance&lt;/keyword&gt;&lt;keyword&gt;Public Health&lt;/keyword&gt;&lt;keyword&gt;Social Responsibility&lt;/keyword&gt;&lt;keyword&gt;*World Health&lt;/keyword&gt;&lt;/keywords&gt;&lt;dates&gt;&lt;year&gt;2006&lt;/year&gt;&lt;pub-dates&gt;&lt;date&gt;May 15&lt;/date&gt;&lt;/pub-dates&gt;&lt;/dates&gt;&lt;isbn&gt;0828-282X (Print)&amp;#xD;0828-282X (Linking)&lt;/isbn&gt;&lt;accession-num&gt;16755308&lt;/accession-num&gt;&lt;urls&gt;&lt;related-urls&gt;&lt;url&gt;http://www.ncbi.nlm.nih.gov/entrez/query.fcgi?cmd=Retrieve&amp;amp;db=PubMed&amp;amp;dopt=Citation&amp;amp;list_uids=16755308&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(Chockalingam et al., 2006)</w:t>
      </w:r>
      <w:r w:rsidR="001815AD" w:rsidRPr="00E3232D">
        <w:rPr>
          <w:rFonts w:ascii="Book Antiqua" w:hAnsi="Book Antiqua"/>
        </w:rPr>
        <w:fldChar w:fldCharType="end"/>
      </w:r>
      <w:r w:rsidRPr="00E3232D">
        <w:rPr>
          <w:rFonts w:ascii="Book Antiqua" w:hAnsi="Book Antiqua"/>
        </w:rPr>
        <w:t xml:space="preserve">. The National Longtiudinal Study of Adolescent Health has estimated that, 19% of young adults (18 to 32 years old) have hypertension </w:t>
      </w:r>
      <w:r w:rsidR="001815AD" w:rsidRPr="00E3232D">
        <w:rPr>
          <w:rFonts w:ascii="Book Antiqua" w:hAnsi="Book Antiqua"/>
        </w:rPr>
        <w:fldChar w:fldCharType="begin"/>
      </w:r>
      <w:r w:rsidRPr="00E3232D">
        <w:rPr>
          <w:rFonts w:ascii="Book Antiqua" w:hAnsi="Book Antiqua"/>
        </w:rPr>
        <w:instrText xml:space="preserve"> ADDIN EN.CITE &lt;EndNote&gt;&lt;Cite&gt;&lt;Author&gt;Assadi&lt;/Author&gt;&lt;Year&gt;2012&lt;/Year&gt;&lt;RecNum&gt;52&lt;/RecNum&gt;&lt;record&gt;&lt;rec-number&gt;52&lt;/rec-number&gt;&lt;foreign-keys&gt;&lt;key app="EN" db-id="fevprx2ek5v2tmes00rpzxz4w2tz09ft90p0"&gt;52&lt;/key&gt;&lt;/foreign-keys&gt;&lt;ref-type name="Journal Article"&gt;17&lt;/ref-type&gt;&lt;contributors&gt;&lt;authors&gt;&lt;author&gt;Assadi, F.&lt;/author&gt;&lt;/authors&gt;&lt;/contributors&gt;&lt;auth-address&gt;Department of Pediatrics, Section of Nephrology, Rush University Medical Center, Chicago, IL, USA. fassadi@rush.edu&lt;/auth-address&gt;&lt;titles&gt;&lt;title&gt;The growing epidemic of hypertension among children and adolescents: a challenging road ahead&lt;/title&gt;&lt;secondary-title&gt;Pediatr Cardiol&lt;/secondary-title&gt;&lt;/titles&gt;&lt;periodical&gt;&lt;full-title&gt;Pediatr Cardiol&lt;/full-title&gt;&lt;/periodical&gt;&lt;pages&gt;1013-20&lt;/pages&gt;&lt;volume&gt;33&lt;/volume&gt;&lt;number&gt;7&lt;/number&gt;&lt;edition&gt;2012/05/09&lt;/edition&gt;&lt;dates&gt;&lt;year&gt;2012&lt;/year&gt;&lt;pub-dates&gt;&lt;date&gt;Oct&lt;/date&gt;&lt;/pub-dates&gt;&lt;/dates&gt;&lt;isbn&gt;1432-1971 (Electronic)&amp;#xD;0172-0643 (Linking)&lt;/isbn&gt;&lt;accession-num&gt;22565200&lt;/accession-num&gt;&lt;urls&gt;&lt;related-urls&gt;&lt;url&gt;http://www.ncbi.nlm.nih.gov/entrez/query.fcgi?cmd=Retrieve&amp;amp;db=PubMed&amp;amp;dopt=Citation&amp;amp;list_uids=22565200&lt;/url&gt;&lt;/related-urls&gt;&lt;/urls&gt;&lt;electronic-resource-num&gt;10.1007/s00246-012-0333-5&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(Assadi, 2012)</w:t>
      </w:r>
      <w:r w:rsidR="001815AD" w:rsidRPr="00E3232D">
        <w:rPr>
          <w:rFonts w:ascii="Book Antiqua" w:hAnsi="Book Antiqua"/>
        </w:rPr>
        <w:fldChar w:fldCharType="end"/>
      </w:r>
      <w:r w:rsidRPr="00E3232D">
        <w:rPr>
          <w:rFonts w:ascii="Book Antiqua" w:hAnsi="Book Antiqua"/>
        </w:rPr>
        <w:t>.</w:t>
      </w:r>
    </w:p>
    <w:p w14:paraId="052AC7A5" w14:textId="77777777" w:rsidR="00AC2FEA" w:rsidRPr="00E3232D" w:rsidRDefault="00AC2FEA" w:rsidP="004C3DD4">
      <w:pPr>
        <w:pStyle w:val="NoSpacing"/>
        <w:spacing w:line="276" w:lineRule="auto"/>
        <w:jc w:val="both"/>
        <w:rPr>
          <w:rFonts w:ascii="Book Antiqua" w:hAnsi="Book Antiqua"/>
          <w:b/>
        </w:rPr>
      </w:pPr>
    </w:p>
    <w:p w14:paraId="5539BE1C" w14:textId="77777777" w:rsidR="00AC2FEA" w:rsidRPr="00E3232D" w:rsidRDefault="00AC2FEA" w:rsidP="00196385">
      <w:pPr>
        <w:pStyle w:val="NoSpacing"/>
        <w:numPr>
          <w:ilvl w:val="1"/>
          <w:numId w:val="70"/>
        </w:numPr>
        <w:spacing w:line="276" w:lineRule="auto"/>
        <w:ind w:left="360"/>
        <w:jc w:val="both"/>
        <w:rPr>
          <w:rFonts w:ascii="Book Antiqua" w:hAnsi="Book Antiqua"/>
        </w:rPr>
      </w:pPr>
      <w:r w:rsidRPr="00E3232D">
        <w:rPr>
          <w:rFonts w:ascii="Book Antiqua" w:hAnsi="Book Antiqua"/>
          <w:b/>
        </w:rPr>
        <w:t>Types of hypertension</w:t>
      </w:r>
    </w:p>
    <w:p w14:paraId="233F28B7"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Hypertension can be either essential [primary] or secondary </w:t>
      </w:r>
      <w:r w:rsidR="001815AD" w:rsidRPr="00E3232D">
        <w:rPr>
          <w:rFonts w:ascii="Book Antiqua" w:hAnsi="Book Antiqua"/>
        </w:rPr>
        <w:fldChar w:fldCharType="begin"/>
      </w:r>
      <w:r w:rsidRPr="00E3232D">
        <w:rPr>
          <w:rFonts w:ascii="Book Antiqua" w:hAnsi="Book Antiqua"/>
        </w:rPr>
        <w:instrText xml:space="preserve"> ADDIN EN.CITE &lt;EndNote&gt;&lt;Cite&gt;&lt;Author&gt;Dux&lt;/Author&gt;&lt;Year&gt;1984&lt;/Year&gt;&lt;RecNum&gt;46&lt;/RecNum&gt;&lt;record&gt;&lt;rec-number&gt;46&lt;/rec-number&gt;&lt;foreign-keys&gt;&lt;key app="EN" db-id="fevprx2ek5v2tmes00rpzxz4w2tz09ft90p0"&gt;46&lt;/key&gt;&lt;/foreign-keys&gt;&lt;ref-type name="Journal Article"&gt;17&lt;/ref-type&gt;&lt;contributors&gt;&lt;authors&gt;&lt;author&gt;Dux, S.&lt;/author&gt;&lt;author&gt;Aron, N.&lt;/author&gt;&lt;author&gt;Boner, G.&lt;/author&gt;&lt;author&gt;Carmel, A.&lt;/author&gt;&lt;author&gt;Yaron, A.&lt;/author&gt;&lt;author&gt;Rosenfeld, J. B.&lt;/author&gt;&lt;/authors&gt;&lt;/contributors&gt;&lt;titles&gt;&lt;title&gt;Serum angiotensin converting enzyme activity in normal adults and patients with different types of hypertension&lt;/title&gt;&lt;secondary-title&gt;Isr J Med Sci&lt;/secondary-title&gt;&lt;/titles&gt;&lt;periodical&gt;&lt;full-title&gt;Isr J Med Sci&lt;/full-title&gt;&lt;/periodical&gt;&lt;pages&gt;1138-42&lt;/pages&gt;&lt;volume&gt;20&lt;/volume&gt;&lt;number&gt;12&lt;/number&gt;&lt;edition&gt;1984/12/01&lt;/edition&gt;&lt;keywords&gt;&lt;keyword&gt;Adult&lt;/keyword&gt;&lt;keyword&gt;Aged&lt;/keyword&gt;&lt;keyword&gt;Female&lt;/keyword&gt;&lt;keyword&gt;Humans&lt;/keyword&gt;&lt;keyword&gt;Hypertension/*enzymology/etiology&lt;/keyword&gt;&lt;keyword&gt;Hypertension, Renovascular/enzymology&lt;/keyword&gt;&lt;keyword&gt;Kidney Failure, Chronic/enzymology&lt;/keyword&gt;&lt;keyword&gt;Male&lt;/keyword&gt;&lt;keyword&gt;Middle Aged&lt;/keyword&gt;&lt;keyword&gt;Peptidyl-Dipeptidase A/*blood&lt;/keyword&gt;&lt;keyword&gt;Pregnancy&lt;/keyword&gt;&lt;keyword&gt;Pregnancy Complications/enzymology&lt;/keyword&gt;&lt;keyword&gt;Renal Dialysis&lt;/keyword&gt;&lt;/keywords&gt;&lt;dates&gt;&lt;year&gt;1984&lt;/year&gt;&lt;pub-dates&gt;&lt;date&gt;Dec&lt;/date&gt;&lt;/pub-dates&gt;&lt;/dates&gt;&lt;isbn&gt;0021-2180 (Print)&amp;#xD;0021-2180 (Linking)&lt;/isbn&gt;&lt;accession-num&gt;6097566&lt;/accession-num&gt;&lt;urls&gt;&lt;related-urls&gt;&lt;url&gt;http://www.ncbi.nlm.nih.gov/entrez/query.fcgi?cmd=Retrieve&amp;amp;db=PubMed&amp;amp;dopt=Citation&amp;amp;list_uids=6097566&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(Dux et al., 1984)</w:t>
      </w:r>
      <w:r w:rsidR="001815AD" w:rsidRPr="00E3232D">
        <w:rPr>
          <w:rFonts w:ascii="Book Antiqua" w:hAnsi="Book Antiqua"/>
        </w:rPr>
        <w:fldChar w:fldCharType="end"/>
      </w:r>
      <w:r w:rsidRPr="00E3232D">
        <w:rPr>
          <w:rFonts w:ascii="Book Antiqua" w:hAnsi="Book Antiqua"/>
        </w:rPr>
        <w:t xml:space="preserve">. In more than 95% of cases, a specific identifiable cause cannot be found. Such patients are said to have essential hypertension </w:t>
      </w:r>
      <w:r w:rsidR="001815AD" w:rsidRPr="00E3232D">
        <w:rPr>
          <w:rFonts w:ascii="Book Antiqua" w:hAnsi="Book Antiqua"/>
        </w:rPr>
        <w:fldChar w:fldCharType="begin"/>
      </w:r>
      <w:r w:rsidRPr="00E3232D">
        <w:rPr>
          <w:rFonts w:ascii="Book Antiqua" w:hAnsi="Book Antiqua"/>
        </w:rPr>
        <w:instrText xml:space="preserve"> ADDIN EN.CITE &lt;EndNote&gt;&lt;Cite&gt;&lt;Author&gt;Calo&lt;/Author&gt;&lt;Year&gt;2009&lt;/Year&gt;&lt;RecNum&gt;44&lt;/RecNum&gt;&lt;record&gt;&lt;rec-number&gt;44&lt;/rec-number&gt;&lt;foreign-keys&gt;&lt;key app="EN" db-id="fevprx2ek5v2tmes00rpzxz4w2tz09ft90p0"&gt;44&lt;/key&gt;&lt;/foreign-keys&gt;&lt;ref-type name="Journal Article"&gt;17&lt;/ref-type&gt;&lt;contributors&gt;&lt;authors&gt;&lt;author&gt;Calo, L. A.&lt;/author&gt;&lt;/authors&gt;&lt;/contributors&gt;&lt;titles&gt;&lt;title&gt;Revisiting essential hypertension--a &amp;quot;mechanism-based&amp;quot; approach may argue for a better definition of hypertension&lt;/title&gt;&lt;secondary-title&gt;Clin Nephrol&lt;/secondary-title&gt;&lt;/titles&gt;&lt;periodical&gt;&lt;full-title&gt;Clin Nephrol&lt;/full-title&gt;&lt;/periodical&gt;&lt;pages&gt;83-6&lt;/pages&gt;&lt;volume&gt;72&lt;/volume&gt;&lt;number&gt;2&lt;/number&gt;&lt;edition&gt;2009/07/31&lt;/edition&gt;&lt;keywords&gt;&lt;keyword&gt;Animals&lt;/keyword&gt;&lt;keyword&gt;Blood Pressure/*physiology&lt;/keyword&gt;&lt;keyword&gt;Humans&lt;/keyword&gt;&lt;keyword&gt;*Hypertension/etiology/metabolism/physiopathology&lt;/keyword&gt;&lt;keyword&gt;Nitric Oxide/*metabolism&lt;/keyword&gt;&lt;keyword&gt;Nitric Oxide Synthase Type III/*metabolism&lt;/keyword&gt;&lt;keyword&gt;Oxidative Stress/*physiology&lt;/keyword&gt;&lt;keyword&gt;Prognosis&lt;/keyword&gt;&lt;keyword&gt;Reactive Oxygen Species/metabolism&lt;/keyword&gt;&lt;keyword&gt;Severity of Illness Index&lt;/keyword&gt;&lt;/keywords&gt;&lt;dates&gt;&lt;year&gt;2009&lt;/year&gt;&lt;pub-dates&gt;&lt;date&gt;Aug&lt;/date&gt;&lt;/pub-dates&gt;&lt;/dates&gt;&lt;isbn&gt;0301-0430 (Print)&amp;#xD;0301-0430 (Linking)&lt;/isbn&gt;&lt;accession-num&gt;19640364&lt;/accession-num&gt;&lt;urls&gt;&lt;related-urls&gt;&lt;url&gt;http://www.ncbi.nlm.nih.gov/entrez/query.fcgi?cmd=Retrieve&amp;amp;db=PubMed&amp;amp;dopt=Citation&amp;amp;list_uids=19640364&lt;/url&gt;&lt;/related-urls&gt;&lt;/urls&gt;&lt;electronic-resource-num&gt;6479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(Calo, 2009)</w:t>
      </w:r>
      <w:r w:rsidR="001815AD" w:rsidRPr="00E3232D">
        <w:rPr>
          <w:rFonts w:ascii="Book Antiqua" w:hAnsi="Book Antiqua"/>
        </w:rPr>
        <w:fldChar w:fldCharType="end"/>
      </w:r>
      <w:r w:rsidRPr="00E3232D">
        <w:rPr>
          <w:rFonts w:ascii="Book Antiqua" w:hAnsi="Book Antiqua"/>
        </w:rPr>
        <w:t xml:space="preserve">. A possible pathogenesis of essential hypertension has been proposed with multiple factors, including genetic predisposition, excess dietary salt intake, obesity, lack of aerobic exercise, smoking, heavy alcohol consumption and stress </w:t>
      </w:r>
      <w:r w:rsidR="001815AD" w:rsidRPr="00E3232D">
        <w:rPr>
          <w:rFonts w:ascii="Book Antiqua" w:hAnsi="Book Antiqua"/>
        </w:rPr>
        <w:fldChar w:fldCharType="begin">
          <w:fldData xml:space="preserve">PEVuZE5vdGU+PENpdGU+PEF1dGhvcj5IZXJyZXJhLVZhbGRlczwvQXV0aG9yPjxZZWFyPjIwMDg8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PEVuZE5vdGU+PENpdGU+PEF1dGhvcj5IZXJyZXJhLVZhbGRlczwvQXV0aG9yPjxZZWFyPjIwMDg8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(Chockalingam et al., 2006; Herrera- Valdes et al., 2008; Kohno and Yoshikawa, 2000;  )</w:t>
      </w:r>
      <w:r w:rsidR="001815AD" w:rsidRPr="00E3232D">
        <w:rPr>
          <w:rFonts w:ascii="Book Antiqua" w:hAnsi="Book Antiqua"/>
        </w:rPr>
        <w:fldChar w:fldCharType="end"/>
      </w:r>
      <w:r w:rsidRPr="00E3232D">
        <w:rPr>
          <w:rFonts w:ascii="Book Antiqua" w:hAnsi="Book Antiqua"/>
        </w:rPr>
        <w:t>.</w:t>
      </w:r>
    </w:p>
    <w:p w14:paraId="4909C793"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In about 5% of cases, hypertension can be attributed  pregnancy (pre-eclampsia), endocrine diseases (Cushing’s syndrome, phaeocromocytoma, primary hyperaldosteronism, thyrotoxicosis), renal diseases (renal vascular disease, polycystic kidney disease), cardiovascular diseases (coarctation of the aorta) and drugs (oral contraceptives containing oestrogens, corticosteroids, Non-Steroidal Anti-Inflammatory drugs). Patients with hypertension of any of these etiologies are said to have secondary hypertension </w:t>
      </w:r>
      <w:r w:rsidR="001815AD" w:rsidRPr="00E3232D">
        <w:rPr>
          <w:rFonts w:ascii="Book Antiqua" w:hAnsi="Book Antiqua"/>
        </w:rPr>
        <w:fldChar w:fldCharType="begin">
          <w:fldData xml:space="preserve">PEVuZE5vdGU+PENpdGU+PEF1dGhvcj5PbXVyYTwvQXV0aG9yPjxZZWFyPjIwMDQ8L1llYXI+PFJl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PEVuZE5vdGU+PENpdGU+PEF1dGhvcj5PbXVyYTwvQXV0aG9yPjxZZWFyPjIwMDQ8L1llYXI+PFJl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(Berglund et al., 1976; Omura et al., 2004)</w:t>
      </w:r>
      <w:r w:rsidR="001815AD" w:rsidRPr="00E3232D">
        <w:rPr>
          <w:rFonts w:ascii="Book Antiqua" w:hAnsi="Book Antiqua"/>
        </w:rPr>
        <w:fldChar w:fldCharType="end"/>
      </w:r>
      <w:r w:rsidRPr="00E3232D">
        <w:rPr>
          <w:rFonts w:ascii="Book Antiqua" w:hAnsi="Book Antiqua"/>
        </w:rPr>
        <w:t>.</w:t>
      </w:r>
    </w:p>
    <w:p w14:paraId="173A3D1A" w14:textId="77777777" w:rsidR="00AC2FEA" w:rsidRPr="00E3232D" w:rsidRDefault="00AC2FEA" w:rsidP="004C3DD4">
      <w:pPr>
        <w:pStyle w:val="NoSpacing"/>
        <w:spacing w:line="276" w:lineRule="auto"/>
        <w:jc w:val="both"/>
        <w:rPr>
          <w:rFonts w:ascii="Book Antiqua" w:hAnsi="Book Antiqua"/>
        </w:rPr>
      </w:pPr>
    </w:p>
    <w:p w14:paraId="3046DB19" w14:textId="77777777" w:rsidR="00AC2FEA" w:rsidRPr="00E3232D" w:rsidRDefault="00AC2FEA" w:rsidP="00196385">
      <w:pPr>
        <w:pStyle w:val="NoSpacing"/>
        <w:numPr>
          <w:ilvl w:val="1"/>
          <w:numId w:val="70"/>
        </w:numPr>
        <w:spacing w:line="276" w:lineRule="auto"/>
        <w:jc w:val="both"/>
        <w:rPr>
          <w:rFonts w:ascii="Book Antiqua" w:hAnsi="Book Antiqua"/>
        </w:rPr>
      </w:pPr>
      <w:r w:rsidRPr="00E3232D">
        <w:rPr>
          <w:rFonts w:ascii="Book Antiqua" w:hAnsi="Book Antiqua"/>
          <w:b/>
        </w:rPr>
        <w:t>Predisposing factors of hypertension</w:t>
      </w:r>
    </w:p>
    <w:p w14:paraId="295020F4"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Evidence exists to show that all over the world, diet plays an important role in blood pressure rise in young adults </w:t>
      </w:r>
      <w:r w:rsidR="001815AD" w:rsidRPr="00E3232D">
        <w:rPr>
          <w:rFonts w:ascii="Book Antiqua" w:hAnsi="Book Antiqua"/>
        </w:rPr>
        <w:fldChar w:fldCharType="begin">
          <w:fldData xml:space="preserve">PEVuZE5vdGU+PENpdGU+PEF1dGhvcj5TdHVybWVyPC9BdXRob3I+PFllYXI+MjAwNjwvWWVhcj48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PEVuZE5vdGU+PENpdGU+PEF1dGhvcj5TdHVybWVyPC9BdXRob3I+PFllYXI+MjAwNjwvWWVhcj48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(Sturmer et al., 2006)</w:t>
      </w:r>
      <w:r w:rsidR="001815AD" w:rsidRPr="00E3232D">
        <w:rPr>
          <w:rFonts w:ascii="Book Antiqua" w:hAnsi="Book Antiqua"/>
        </w:rPr>
        <w:fldChar w:fldCharType="end"/>
      </w:r>
      <w:r w:rsidRPr="00E3232D">
        <w:rPr>
          <w:rFonts w:ascii="Book Antiqua" w:hAnsi="Book Antiqua"/>
        </w:rPr>
        <w:t xml:space="preserve">. In recent times, the evidence for the risk imposed on human health by excess salt intake has become compelling </w:t>
      </w:r>
      <w:r w:rsidR="001815AD" w:rsidRPr="00E3232D">
        <w:rPr>
          <w:rFonts w:ascii="Book Antiqua" w:hAnsi="Book Antiqua"/>
        </w:rPr>
        <w:fldChar w:fldCharType="begin">
          <w:fldData xml:space="preserve">PEVuZE5vdGU+PENpdGU+PEF1dGhvcj5TdHJhenp1bGxvPC9BdXRob3I+PFllYXI+MjAwOTwvWWVh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PEVuZE5vdGU+PENpdGU+PEF1dGhvcj5TdHJhenp1bGxvPC9BdXRob3I+PFllYXI+MjAwOTwvWWVh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(Strazzullo  et al., 2009; Yan et al., 2012)</w:t>
      </w:r>
      <w:r w:rsidR="001815AD" w:rsidRPr="00E3232D">
        <w:rPr>
          <w:rFonts w:ascii="Book Antiqua" w:hAnsi="Book Antiqua"/>
        </w:rPr>
        <w:fldChar w:fldCharType="end"/>
      </w:r>
      <w:r w:rsidRPr="00E3232D">
        <w:rPr>
          <w:rFonts w:ascii="Book Antiqua" w:hAnsi="Book Antiqua"/>
          <w:lang w:eastAsia="en-GB"/>
        </w:rPr>
        <w:t xml:space="preserve">. International recommendations suggest that average population salt intake should be less than 5-6 g per day </w:t>
      </w:r>
      <w:r w:rsidR="001815AD" w:rsidRPr="00E3232D">
        <w:rPr>
          <w:rFonts w:ascii="Book Antiqua" w:hAnsi="Book Antiqua"/>
          <w:lang w:eastAsia="en-GB"/>
        </w:rPr>
        <w:fldChar w:fldCharType="begin"/>
      </w:r>
      <w:r w:rsidRPr="00E3232D">
        <w:rPr>
          <w:rFonts w:ascii="Book Antiqua" w:hAnsi="Book Antiqua"/>
          <w:lang w:eastAsia="en-GB"/>
        </w:rPr>
        <w:instrText xml:space="preserve"> ADDIN EN.CITE &lt;EndNote&gt;&lt;Cite&gt;&lt;Author&gt;Glover&lt;/Author&gt;&lt;Year&gt;2010&lt;/Year&gt;&lt;RecNum&gt;47&lt;/RecNum&gt;&lt;record&gt;&lt;rec-number&gt;47&lt;/rec-number&gt;&lt;foreign-keys&gt;&lt;key app="EN" db-id="fevprx2ek5v2tmes00rpzxz4w2tz09ft90p0"&gt;47&lt;/key&gt;&lt;/foreign-keys&gt;&lt;ref-type name="Journal Article"&gt;17&lt;/ref-type&gt;&lt;contributors&gt;&lt;authors&gt;&lt;author&gt;Glover, M.&lt;/author&gt;&lt;author&gt;Zuber, A. M.&lt;/author&gt;&lt;author&gt;O&amp;apos;Shaughnessy, K. M.&lt;/author&gt;&lt;/authors&gt;&lt;/contributors&gt;&lt;auth-address&gt;Clinical Pharmacology Unit, Department of Medicine, University of Cambridge, Cambridge, UK.&lt;/auth-address&gt;&lt;titles&gt;&lt;title&gt;Hypertension, dietary salt intake, and the role of the thiazide-sensitive sodium chloride transporter NCCT&lt;/title&gt;&lt;secondary-title&gt;Cardiovasc Ther&lt;/secondary-title&gt;&lt;/titles&gt;&lt;periodical&gt;&lt;full-title&gt;Cardiovasc Ther&lt;/full-title&gt;&lt;/periodical&gt;&lt;pages&gt;68-76&lt;/pages&gt;&lt;volume&gt;29&lt;/volume&gt;&lt;number&gt;1&lt;/number&gt;&lt;edition&gt;2010/12/21&lt;/edition&gt;&lt;keywords&gt;&lt;keyword&gt;Blood Pressure&lt;/keyword&gt;&lt;keyword&gt;Hypertension/*etiology&lt;/keyword&gt;&lt;keyword&gt;Ion Transport&lt;/keyword&gt;&lt;keyword&gt;Phosphorylation&lt;/keyword&gt;&lt;keyword&gt;Protein-Serine-Threonine Kinases/physiology&lt;/keyword&gt;&lt;keyword&gt;Receptors, Drug/*physiology&lt;/keyword&gt;&lt;keyword&gt;Sodium/metabolism&lt;/keyword&gt;&lt;keyword&gt;Sodium Chloride, Dietary/*administration &amp;amp; dosage&lt;/keyword&gt;&lt;keyword&gt;Symporters/*physiology&lt;/keyword&gt;&lt;keyword&gt;Transcription Factors/physiology&lt;/keyword&gt;&lt;/keywords&gt;&lt;dates&gt;&lt;year&gt;2010&lt;/year&gt;&lt;pub-dates&gt;&lt;date&gt;Feb&lt;/date&gt;&lt;/pub-dates&gt;&lt;/dates&gt;&lt;isbn&gt;1755-5922 (Electronic)&amp;#xD;1755-5914 (Linking)&lt;/isbn&gt;&lt;accession-num&gt;21167012&lt;/accession-num&gt;&lt;urls&gt;&lt;related-urls&gt;&lt;url&gt;http://www.ncbi.nlm.nih.gov/entrez/query.fcgi?cmd=Retrieve&amp;amp;db=PubMed&amp;amp;dopt=Citation&amp;amp;list_uids=21167012&lt;/url&gt;&lt;/related-urls&gt;&lt;/urls&gt;&lt;electronic-resource-num&gt;10.1111/j.1755-5922.2010.00180.x&lt;/electronic-resource-num&gt;&lt;language&gt;eng&lt;/language&gt;&lt;/record&gt;&lt;/Cite&gt;&lt;/EndNote&gt;</w:instrText>
      </w:r>
      <w:r w:rsidR="001815AD" w:rsidRPr="00E3232D">
        <w:rPr>
          <w:rFonts w:ascii="Book Antiqua" w:hAnsi="Book Antiqua"/>
          <w:lang w:eastAsia="en-GB"/>
        </w:rPr>
        <w:fldChar w:fldCharType="separate"/>
      </w:r>
      <w:r w:rsidRPr="00E3232D">
        <w:rPr>
          <w:rFonts w:ascii="Book Antiqua" w:hAnsi="Book Antiqua"/>
          <w:lang w:eastAsia="en-GB"/>
        </w:rPr>
        <w:t>(Glover et al., 2010)</w:t>
      </w:r>
      <w:r w:rsidR="001815AD" w:rsidRPr="00E3232D">
        <w:rPr>
          <w:rFonts w:ascii="Book Antiqua" w:hAnsi="Book Antiqua"/>
          <w:lang w:eastAsia="en-GB"/>
        </w:rPr>
        <w:fldChar w:fldCharType="end"/>
      </w:r>
    </w:p>
    <w:p w14:paraId="020D0670"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The National Health and Nutrition Examination Survey (NHANES) showed that hypertension was more prevalent in blacks (32%) than whites (23%) </w:t>
      </w:r>
      <w:r w:rsidR="001815AD" w:rsidRPr="00E3232D">
        <w:rPr>
          <w:rFonts w:ascii="Book Antiqua" w:hAnsi="Book Antiqua"/>
        </w:rPr>
        <w:fldChar w:fldCharType="begin">
          <w:fldData xml:space="preserve">PEVuZE5vdGU+PENpdGU+PEF1dGhvcj5HaWxsdW08L0F1dGhvcj48WWVhcj4yMDAxPC9ZZWFyPjxS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PEVuZE5vdGU+PENpdGU+PEF1dGhvcj5HaWxsdW08L0F1dGhvcj48WWVhcj4yMDAxPC9ZZWFyPjxS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(Gillum et al., 2001)</w:t>
      </w:r>
      <w:r w:rsidR="001815AD" w:rsidRPr="00E3232D">
        <w:rPr>
          <w:rFonts w:ascii="Book Antiqua" w:hAnsi="Book Antiqua"/>
        </w:rPr>
        <w:fldChar w:fldCharType="end"/>
      </w:r>
      <w:r w:rsidRPr="00E3232D">
        <w:rPr>
          <w:rFonts w:ascii="Book Antiqua" w:hAnsi="Book Antiqua"/>
        </w:rPr>
        <w:t xml:space="preserve"> due to the eating habits of most Africans.</w:t>
      </w:r>
    </w:p>
    <w:p w14:paraId="48BCA957"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The increasing prevalence of obesity worldwide is a serious health hazard </w:t>
      </w:r>
      <w:r w:rsidR="001815AD" w:rsidRPr="00E3232D">
        <w:rPr>
          <w:rFonts w:ascii="Book Antiqua" w:hAnsi="Book Antiqua"/>
        </w:rPr>
        <w:fldChar w:fldCharType="begin">
          <w:fldData xml:space="preserve">PEVuZE5vdGU+PENpdGU+PEF1dGhvcj5ZZTwvQXV0aG9yPjxZZWFyPjIwMDE8L1llYXI+PFJlY051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PEVuZE5vdGU+PENpdGU+PEF1dGhvcj5ZZTwvQXV0aG9yPjxZZWFyPjIwMDE8L1llYXI+PFJlY051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(Ye et al., 2001; Herrera-Valdes et al., 2008; Zhang et al., 2011)</w:t>
      </w:r>
      <w:r w:rsidR="001815AD" w:rsidRPr="00E3232D">
        <w:rPr>
          <w:rFonts w:ascii="Book Antiqua" w:hAnsi="Book Antiqua"/>
        </w:rPr>
        <w:fldChar w:fldCharType="end"/>
      </w:r>
      <w:r w:rsidRPr="00E3232D">
        <w:rPr>
          <w:rFonts w:ascii="Book Antiqua" w:hAnsi="Book Antiqua"/>
        </w:rPr>
        <w:t xml:space="preserve"> as it accounts for the differences in the prevalence of hypertension in West Africa (16%), Caribbean (26%) and United States (33%) </w:t>
      </w:r>
      <w:r w:rsidR="001815AD" w:rsidRPr="00E3232D">
        <w:rPr>
          <w:rFonts w:ascii="Book Antiqua" w:hAnsi="Book Antiqua"/>
        </w:rPr>
        <w:fldChar w:fldCharType="begin"/>
      </w:r>
      <w:r w:rsidRPr="00E3232D">
        <w:rPr>
          <w:rFonts w:ascii="Book Antiqua" w:hAnsi="Book Antiqua"/>
        </w:rPr>
        <w:instrText xml:space="preserve"> ADDIN EN.CITE &lt;EndNote&gt;&lt;Cite&gt;&lt;Author&gt;Cooper&lt;/Author&gt;&lt;Year&gt;1997&lt;/Year&gt;&lt;RecNum&gt;54&lt;/RecNum&gt;&lt;record&gt;&lt;rec-number&gt;54&lt;/rec-number&gt;&lt;foreign-keys&gt;&lt;key app="EN" db-id="fevprx2ek5v2tmes00rpzxz4w2tz09ft90p0"&gt;54&lt;/key&gt;&lt;/foreign-keys&gt;&lt;ref-type name="Journal Article"&gt;17&lt;/ref-type&gt;&lt;contributors&gt;&lt;authors&gt;&lt;author&gt;Cooper, R.&lt;/author&gt;&lt;author&gt;Rotimi, C.&lt;/author&gt;&lt;/authors&gt;&lt;/contributors&gt;&lt;auth-address&gt;Department of Preventive Medicine and Epidemiology, Loyola University Stritch School of Medicine, Maywood, Illinois 60153, USA. rcooper@wpo.it.luc.edu&lt;/auth-address&gt;&lt;titles&gt;&lt;title&gt;Hypertension in blacks&lt;/title&gt;&lt;secondary-title&gt;Am J Hypertens&lt;/secondary-title&gt;&lt;/titles&gt;&lt;periodical&gt;&lt;full-title&gt;Am J Hypertens&lt;/full-title&gt;&lt;/periodical&gt;&lt;pages&gt;804-12&lt;/pages&gt;&lt;volume&gt;10&lt;/volume&gt;&lt;number&gt;7 Pt 1&lt;/number&gt;&lt;edition&gt;1997/07/01&lt;/edition&gt;&lt;keywords&gt;&lt;keyword&gt;African Continental Ancestry Group&lt;/keyword&gt;&lt;keyword&gt;Humans&lt;/keyword&gt;&lt;keyword&gt;Hypertension/*epidemiology/genetics&lt;/keyword&gt;&lt;keyword&gt;United States/epidemiology&lt;/keyword&gt;&lt;/keywords&gt;&lt;dates&gt;&lt;year&gt;1997&lt;/year&gt;&lt;pub-dates&gt;&lt;date&gt;Jul&lt;/date&gt;&lt;/pub-dates&gt;&lt;/dates&gt;&lt;isbn&gt;0895-7061 (Print)&amp;#xD;0895-7061 (Linking)&lt;/isbn&gt;&lt;accession-num&gt;9234837&lt;/accession-num&gt;&lt;urls&gt;&lt;related-urls&gt;&lt;url&gt;http://www.ncbi.nlm.nih.gov/entrez/query.fcgi?cmd=Retrieve&amp;amp;db=PubMed&amp;amp;dopt=Citation&amp;amp;list_uids=9234837&lt;/url&gt;&lt;/related-urls&gt;&lt;/urls&gt;&lt;electronic-resource-num&gt;S0895-7061(97)00211-2 [pii]&lt;/electronic-resource-num&gt;&lt;language&gt;eng&lt;/language&gt;&lt;/record&gt;&lt;/Cite&gt;&lt;/EndNote&gt;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(Cooper and Rotimi, 1997)</w:t>
      </w:r>
      <w:r w:rsidR="001815AD" w:rsidRPr="00E3232D">
        <w:rPr>
          <w:rFonts w:ascii="Book Antiqua" w:hAnsi="Book Antiqua"/>
        </w:rPr>
        <w:fldChar w:fldCharType="end"/>
      </w:r>
      <w:r w:rsidRPr="00E3232D">
        <w:rPr>
          <w:rFonts w:ascii="Book Antiqua" w:hAnsi="Book Antiqua"/>
        </w:rPr>
        <w:t xml:space="preserve">. Both clinical and animal studies have confirmed a strong relationship between obesity, diabetes and hypertension </w:t>
      </w:r>
      <w:r w:rsidR="001815AD" w:rsidRPr="00E3232D">
        <w:rPr>
          <w:rFonts w:ascii="Book Antiqua" w:hAnsi="Book Antiqua"/>
        </w:rPr>
        <w:fldChar w:fldCharType="begin">
          <w:fldData xml:space="preserve">PEVuZE5vdGU+PENpdGU+PEF1dGhvcj5ZZTwvQXV0aG9yPjxZZWFyPjIwMDE8L1llYXI+PFJlY051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PEVuZE5vdGU+PENpdGU+PEF1dGhvcj5ZZTwvQXV0aG9yPjxZZWFyPjIwMDE8L1llYXI+PFJlY051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(Babinska et al. 2012; Ye  et al., 2001)</w:t>
      </w:r>
      <w:r w:rsidR="001815AD" w:rsidRPr="00E3232D">
        <w:rPr>
          <w:rFonts w:ascii="Book Antiqua" w:hAnsi="Book Antiqua"/>
        </w:rPr>
        <w:fldChar w:fldCharType="end"/>
      </w:r>
      <w:r w:rsidRPr="00E3232D">
        <w:rPr>
          <w:rFonts w:ascii="Book Antiqua" w:hAnsi="Book Antiqua"/>
        </w:rPr>
        <w:t>.</w:t>
      </w:r>
    </w:p>
    <w:p w14:paraId="08B9405C" w14:textId="77777777" w:rsidR="00AC2FEA" w:rsidRPr="00E3232D" w:rsidRDefault="00AC2FEA" w:rsidP="004C3DD4">
      <w:pPr>
        <w:pStyle w:val="NoSpacing"/>
        <w:spacing w:line="276" w:lineRule="auto"/>
        <w:jc w:val="both"/>
        <w:rPr>
          <w:rFonts w:ascii="Book Antiqua" w:hAnsi="Book Antiqua"/>
        </w:rPr>
      </w:pPr>
    </w:p>
    <w:p w14:paraId="45E6B40E" w14:textId="77777777" w:rsidR="00AC2FEA" w:rsidRPr="00E3232D" w:rsidRDefault="00AC2FEA" w:rsidP="00196385">
      <w:pPr>
        <w:pStyle w:val="NoSpacing"/>
        <w:numPr>
          <w:ilvl w:val="1"/>
          <w:numId w:val="70"/>
        </w:numPr>
        <w:spacing w:line="276" w:lineRule="auto"/>
        <w:jc w:val="both"/>
        <w:rPr>
          <w:rFonts w:ascii="Book Antiqua" w:hAnsi="Book Antiqua"/>
        </w:rPr>
      </w:pPr>
      <w:r w:rsidRPr="00E3232D">
        <w:rPr>
          <w:rFonts w:ascii="Book Antiqua" w:hAnsi="Book Antiqua"/>
          <w:b/>
        </w:rPr>
        <w:t>Complications of hypertension</w:t>
      </w:r>
    </w:p>
    <w:p w14:paraId="3E96647D" w14:textId="77777777" w:rsidR="00AC2FEA" w:rsidRPr="00E3232D" w:rsidRDefault="00AC2FEA" w:rsidP="004C3DD4">
      <w:pPr>
        <w:spacing w:after="0"/>
        <w:jc w:val="both"/>
        <w:rPr>
          <w:rFonts w:ascii="Book Antiqua" w:hAnsi="Book Antiqua"/>
        </w:rPr>
      </w:pPr>
      <w:r w:rsidRPr="00E3232D">
        <w:rPr>
          <w:rFonts w:ascii="Book Antiqua" w:hAnsi="Book Antiqua"/>
        </w:rPr>
        <w:t xml:space="preserve">Hypertension is an important risk factor for the development of heart problems, stroke, renal failure and impaired vision if not properly controlled </w:t>
      </w:r>
      <w:r w:rsidR="001815AD" w:rsidRPr="00E3232D">
        <w:rPr>
          <w:rFonts w:ascii="Book Antiqua" w:hAnsi="Book Antiqua"/>
        </w:rPr>
        <w:fldChar w:fldCharType="begin">
          <w:fldData xml:space="preserve">PEVuZE5vdGU+PENpdGU+PEF1dGhvcj5TdHJhenp1bGxvPC9BdXRob3I+PFllYXI+MjAwOTwvWWVh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PEVuZE5vdGU+PENpdGU+PEF1dGhvcj5TdHJhenp1bGxvPC9BdXRob3I+PFllYXI+MjAwOTwvWWVh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(Kolos et al., 2009; Strazzullo et al., 2009)</w:t>
      </w:r>
      <w:r w:rsidR="001815AD" w:rsidRPr="00E3232D">
        <w:rPr>
          <w:rFonts w:ascii="Book Antiqua" w:hAnsi="Book Antiqua"/>
        </w:rPr>
        <w:fldChar w:fldCharType="end"/>
      </w:r>
      <w:r w:rsidRPr="00E3232D">
        <w:rPr>
          <w:rFonts w:ascii="Book Antiqua" w:hAnsi="Book Antiqua"/>
        </w:rPr>
        <w:t xml:space="preserve">. Hypertension among blacks has typically behaved in an explosive manner with death occurring frequently from cerebral hemorrhage, uremia or congestive heart failure </w:t>
      </w:r>
      <w:r w:rsidR="001815AD" w:rsidRPr="00E3232D">
        <w:rPr>
          <w:rFonts w:ascii="Book Antiqua" w:hAnsi="Book Antiqua"/>
        </w:rPr>
        <w:fldChar w:fldCharType="begin"/>
      </w:r>
      <w:r w:rsidRPr="00E3232D">
        <w:rPr>
          <w:rFonts w:ascii="Book Antiqua" w:hAnsi="Book Antiqua"/>
        </w:rPr>
        <w:instrText xml:space="preserve"> ADDIN EN.CITE &lt;EndNote&gt;&lt;Cite&gt;&lt;Author&gt;Jhetam&lt;/Author&gt;&lt;Year&gt;1982&lt;/Year&gt;&lt;RecNum&gt;58&lt;/RecNum&gt;&lt;record&gt;&lt;rec-number&gt;58&lt;/rec-number&gt;&lt;foreign-keys&gt;&lt;key app="EN" db-id="fevprx2ek5v2tmes00rpzxz4w2tz09ft90p0"&gt;58&lt;/key&gt;&lt;/foreign-keys&gt;&lt;ref-type name="Journal Article"&gt;17&lt;/ref-type&gt;&lt;contributors&gt;&lt;authors&gt;&lt;author&gt;Jhetam, D.&lt;/author&gt;&lt;author&gt;Dansey, R.&lt;/author&gt;&lt;author&gt;Morar, C.&lt;/author&gt;&lt;author&gt;Milne, F. J.&lt;/author&gt;&lt;/authors&gt;&lt;/contributors&gt;&lt;titles&gt;&lt;title&gt;The malignant phase of essential hypertension in Johannesburg Blacks. A prospective study&lt;/title&gt;&lt;secondary-title&gt;S Afr Med J&lt;/secondary-title&gt;&lt;/titles&gt;&lt;periodical&gt;&lt;full-title&gt;S Afr Med J&lt;/full-title&gt;&lt;/periodical&gt;&lt;pages&gt;899-902&lt;/pages&gt;&lt;volume&gt;61&lt;/volume&gt;&lt;number&gt;24&lt;/number&gt;&lt;edition&gt;1982/06/12&lt;/edition&gt;&lt;keywords&gt;&lt;keyword&gt;Adult&lt;/keyword&gt;&lt;keyword&gt;*African Americans&lt;/keyword&gt;&lt;keyword&gt;African Continental Ancestry Group&lt;/keyword&gt;&lt;keyword&gt;Aged&lt;/keyword&gt;&lt;keyword&gt;Female&lt;/keyword&gt;&lt;keyword&gt;Humans&lt;/keyword&gt;&lt;keyword&gt;*Hypertension, Malignant/complications/*epidemiology/therapy&lt;/keyword&gt;&lt;keyword&gt;Male&lt;/keyword&gt;&lt;keyword&gt;Middle Aged&lt;/keyword&gt;&lt;keyword&gt;Prospective Studies&lt;/keyword&gt;&lt;keyword&gt;Risk&lt;/keyword&gt;&lt;keyword&gt;South Africa&lt;/keyword&gt;&lt;/keywords&gt;&lt;dates&gt;&lt;year&gt;1982&lt;/year&gt;&lt;pub-dates&gt;&lt;date&gt;Jun 12&lt;/date&gt;&lt;/pub-dates&gt;&lt;/dates&gt;&lt;isbn&gt;0256-9574 (Print)&amp;#xD;0256-9574 (Linking)&lt;/isbn&gt;&lt;accession-num&gt;7089752&lt;/accession-num&gt;&lt;urls&gt;&lt;related-urls&gt;&lt;url&gt;http://www.ncbi.nlm.nih.gov/entrez/query.fcgi?cmd=Retrieve&amp;amp;db=PubMed&amp;amp;dopt=Citation&amp;amp;list_uids=7089752&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(Jhetam et al., 1982)</w:t>
      </w:r>
      <w:r w:rsidR="001815AD" w:rsidRPr="00E3232D">
        <w:rPr>
          <w:rFonts w:ascii="Book Antiqua" w:hAnsi="Book Antiqua"/>
        </w:rPr>
        <w:fldChar w:fldCharType="end"/>
      </w:r>
      <w:r w:rsidRPr="00E3232D">
        <w:rPr>
          <w:rFonts w:ascii="Book Antiqua" w:hAnsi="Book Antiqua"/>
        </w:rPr>
        <w:t xml:space="preserve">. In the developed world, malignant hypertension is now rare among whites but remains a problem in developing countries being the diagnosis of 57% of essential hypertensives in a hospital based African study </w:t>
      </w:r>
      <w:r w:rsidR="001815AD" w:rsidRPr="00E3232D">
        <w:rPr>
          <w:rFonts w:ascii="Book Antiqua" w:hAnsi="Book Antiqua"/>
        </w:rPr>
        <w:fldChar w:fldCharType="begin"/>
      </w:r>
      <w:r w:rsidRPr="00E3232D">
        <w:rPr>
          <w:rFonts w:ascii="Book Antiqua" w:hAnsi="Book Antiqua"/>
        </w:rPr>
        <w:instrText xml:space="preserve"> ADDIN EN.CITE &lt;EndNote&gt;&lt;Cite&gt;&lt;Author&gt;Jhetam&lt;/Author&gt;&lt;Year&gt;1982&lt;/Year&gt;&lt;RecNum&gt;58&lt;/RecNum&gt;&lt;record&gt;&lt;rec-number&gt;58&lt;/rec-number&gt;&lt;foreign-keys&gt;&lt;key app="EN" db-id="fevprx2ek5v2tmes00rpzxz4w2tz09ft90p0"&gt;58&lt;/key&gt;&lt;/foreign-keys&gt;&lt;ref-type name="Journal Article"&gt;17&lt;/ref-type&gt;&lt;contributors&gt;&lt;authors&gt;&lt;author&gt;Jhetam, D.&lt;/author&gt;&lt;author&gt;Dansey, R.&lt;/author&gt;&lt;author&gt;Morar, C.&lt;/author&gt;&lt;author&gt;Milne, F. J.&lt;/author&gt;&lt;/authors&gt;&lt;/contributors&gt;&lt;titles&gt;&lt;title&gt;The malignant phase of essential hypertension in Johannesburg Blacks. A prospective study&lt;/title&gt;&lt;secondary-title&gt;S Afr Med J&lt;/secondary-title&gt;&lt;/titles&gt;&lt;periodical&gt;&lt;full-title&gt;S Afr Med J&lt;/full-title&gt;&lt;/periodical&gt;&lt;pages&gt;899-902&lt;/pages&gt;&lt;volume&gt;61&lt;/volume&gt;&lt;number&gt;24&lt;/number&gt;&lt;edition&gt;1982/06/12&lt;/edition&gt;&lt;keywords&gt;&lt;keyword&gt;Adult&lt;/keyword&gt;&lt;keyword&gt;*African Americans&lt;/keyword&gt;&lt;keyword&gt;African Continental Ancestry Group&lt;/keyword&gt;&lt;keyword&gt;Aged&lt;/keyword&gt;&lt;keyword&gt;Female&lt;/keyword&gt;&lt;keyword&gt;Humans&lt;/keyword&gt;&lt;keyword&gt;*Hypertension, Malignant/complications/*epidemiology/therapy&lt;/keyword&gt;&lt;keyword&gt;Male&lt;/keyword&gt;&lt;keyword&gt;Middle Aged&lt;/keyword&gt;&lt;keyword&gt;Prospective Studies&lt;/keyword&gt;&lt;keyword&gt;Risk&lt;/keyword&gt;&lt;keyword&gt;South Africa&lt;/keyword&gt;&lt;/keywords&gt;&lt;dates&gt;&lt;year&gt;1982&lt;/year&gt;&lt;pub-dates&gt;&lt;date&gt;Jun 12&lt;/date&gt;&lt;/pub-dates&gt;&lt;/dates&gt;&lt;isbn&gt;0256-9574 (Print)&amp;#xD;0256-9574 (Linking)&lt;/isbn&gt;&lt;accession-num&gt;7089752&lt;/accession-num&gt;&lt;urls&gt;&lt;related-urls&gt;&lt;url&gt;http://www.ncbi.nlm.nih.gov/entrez/query.fcgi?cmd=Retrieve&amp;amp;db=PubMed&amp;amp;dopt=Citation&amp;amp;list_uids=7089752&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(Jhetam et al., 1982)</w:t>
      </w:r>
      <w:r w:rsidR="001815AD" w:rsidRPr="00E3232D">
        <w:rPr>
          <w:rFonts w:ascii="Book Antiqua" w:hAnsi="Book Antiqua"/>
        </w:rPr>
        <w:fldChar w:fldCharType="end"/>
      </w:r>
      <w:r w:rsidRPr="00E3232D">
        <w:rPr>
          <w:rFonts w:ascii="Book Antiqua" w:hAnsi="Book Antiqua"/>
        </w:rPr>
        <w:t xml:space="preserve">. </w:t>
      </w:r>
    </w:p>
    <w:p w14:paraId="2A99DC5D" w14:textId="77777777" w:rsidR="00485205" w:rsidRDefault="00485205" w:rsidP="004C3DD4">
      <w:pPr>
        <w:spacing w:after="0"/>
        <w:jc w:val="both"/>
        <w:rPr>
          <w:rFonts w:ascii="Book Antiqua" w:hAnsi="Book Antiqua"/>
        </w:rPr>
      </w:pPr>
    </w:p>
    <w:p w14:paraId="6BA7A42A" w14:textId="77777777" w:rsidR="00AC2FEA" w:rsidRPr="00E3232D" w:rsidRDefault="00AC2FEA" w:rsidP="004C3DD4">
      <w:pPr>
        <w:spacing w:after="0"/>
        <w:jc w:val="both"/>
        <w:rPr>
          <w:rFonts w:ascii="Book Antiqua" w:hAnsi="Book Antiqua"/>
        </w:rPr>
      </w:pPr>
      <w:r w:rsidRPr="00E3232D">
        <w:rPr>
          <w:rFonts w:ascii="Book Antiqua" w:hAnsi="Book Antiqua"/>
        </w:rPr>
        <w:t>The poor outlook for black patients could be explained by their late presentation and high prevalence of renal impairment. Furthermore, follow-up and control of BP are inadequate because of poor education and poor understanding of the severity of the illness.</w:t>
      </w:r>
    </w:p>
    <w:p w14:paraId="1951CAEF" w14:textId="77777777" w:rsidR="00410AE4" w:rsidRDefault="00410AE4" w:rsidP="004C3DD4">
      <w:pPr>
        <w:jc w:val="both"/>
        <w:rPr>
          <w:rFonts w:ascii="Book Antiqua" w:hAnsi="Book Antiqua"/>
          <w:b/>
        </w:rPr>
      </w:pPr>
    </w:p>
    <w:p w14:paraId="71E2E70C" w14:textId="77777777" w:rsidR="00AC2FEA" w:rsidRPr="00E3232D" w:rsidRDefault="00AC2FEA" w:rsidP="004C3DD4">
      <w:pPr>
        <w:jc w:val="both"/>
        <w:rPr>
          <w:rFonts w:ascii="Book Antiqua" w:hAnsi="Book Antiqua"/>
          <w:b/>
        </w:rPr>
      </w:pPr>
      <w:r w:rsidRPr="00E3232D">
        <w:rPr>
          <w:rFonts w:ascii="Book Antiqua" w:hAnsi="Book Antiqua"/>
          <w:b/>
        </w:rPr>
        <w:t>1.5 Management of hypertension</w:t>
      </w:r>
    </w:p>
    <w:p w14:paraId="28C6A85A" w14:textId="77777777" w:rsidR="00AC2FEA" w:rsidRPr="00E3232D" w:rsidRDefault="00AC2FEA" w:rsidP="004C3DD4">
      <w:pPr>
        <w:spacing w:after="0"/>
        <w:jc w:val="both"/>
        <w:rPr>
          <w:rFonts w:ascii="Book Antiqua" w:hAnsi="Book Antiqua"/>
        </w:rPr>
      </w:pPr>
      <w:r w:rsidRPr="00E3232D">
        <w:rPr>
          <w:rFonts w:ascii="Book Antiqua" w:hAnsi="Book Antiqua"/>
        </w:rPr>
        <w:t xml:space="preserve">Management of hypertension can be pharmacological or non- pharmacological </w:t>
      </w:r>
      <w:r w:rsidR="001815AD" w:rsidRPr="00E3232D">
        <w:rPr>
          <w:rFonts w:ascii="Book Antiqua" w:hAnsi="Book Antiqua"/>
        </w:rPr>
        <w:fldChar w:fldCharType="begin">
          <w:fldData xml:space="preserve">PEVuZE5vdGU+PENpdGU+PEF1dGhvcj5NZWFybnM8L0F1dGhvcj48WWVhcj4yMDExPC9ZZWFyPjxS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PEVuZE5vdGU+PENpdGU+PEF1dGhvcj5NZWFybnM8L0F1dGhvcj48WWVhcj4yMDExPC9ZZWFyPjxS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(Lourenco et al., 2011; Mearns, 2011)</w:t>
      </w:r>
      <w:r w:rsidR="001815AD" w:rsidRPr="00E3232D">
        <w:rPr>
          <w:rFonts w:ascii="Book Antiqua" w:hAnsi="Book Antiqua"/>
        </w:rPr>
        <w:fldChar w:fldCharType="end"/>
      </w:r>
      <w:r w:rsidRPr="00E3232D">
        <w:rPr>
          <w:rFonts w:ascii="Book Antiqua" w:hAnsi="Book Antiqua"/>
        </w:rPr>
        <w:t xml:space="preserve">. </w:t>
      </w:r>
    </w:p>
    <w:p w14:paraId="68355B3C" w14:textId="77777777" w:rsidR="00FD6F87" w:rsidRDefault="00FD6F87" w:rsidP="004C3DD4">
      <w:pPr>
        <w:spacing w:after="0"/>
        <w:jc w:val="both"/>
        <w:rPr>
          <w:rFonts w:ascii="Book Antiqua" w:hAnsi="Book Antiqua"/>
        </w:rPr>
      </w:pPr>
    </w:p>
    <w:p w14:paraId="61FA0521" w14:textId="77777777" w:rsidR="00AC2FEA" w:rsidRPr="00E3232D" w:rsidRDefault="00AC2FEA" w:rsidP="004C3DD4">
      <w:pPr>
        <w:spacing w:after="0"/>
        <w:jc w:val="both"/>
        <w:rPr>
          <w:rFonts w:ascii="Book Antiqua" w:hAnsi="Book Antiqua"/>
        </w:rPr>
      </w:pPr>
      <w:r w:rsidRPr="00E3232D">
        <w:rPr>
          <w:rFonts w:ascii="Book Antiqua" w:hAnsi="Book Antiqua"/>
        </w:rPr>
        <w:t xml:space="preserve">It has been shown that, in general, pharmacological treatment of hypertension in blacks is most consistently achieved with diuretics and calcium-channel blockers </w:t>
      </w:r>
      <w:r w:rsidR="001815AD" w:rsidRPr="00E3232D">
        <w:rPr>
          <w:rFonts w:ascii="Book Antiqua" w:hAnsi="Book Antiqua"/>
        </w:rPr>
        <w:fldChar w:fldCharType="begin">
          <w:fldData xml:space="preserve">PEVuZE5vdGU+PENpdGU+PEF1dGhvcj5GbGFjazwvQXV0aG9yPjxZZWFyPjIwMTA8L1llYXI+PFJl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PEVuZE5vdGU+PENpdGU+PEF1dGhvcj5GbGFjazwvQXV0aG9yPjxZZWFyPjIwMTA8L1llYXI+PFJl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(Isezuo, 2003; Flack et al., 2010)</w:t>
      </w:r>
      <w:r w:rsidR="001815AD" w:rsidRPr="00E3232D">
        <w:rPr>
          <w:rFonts w:ascii="Book Antiqua" w:hAnsi="Book Antiqua"/>
        </w:rPr>
        <w:fldChar w:fldCharType="end"/>
      </w:r>
      <w:r w:rsidRPr="00E3232D">
        <w:rPr>
          <w:rFonts w:ascii="Book Antiqua" w:hAnsi="Book Antiqua"/>
        </w:rPr>
        <w:t xml:space="preserve">. Angiotensin-Converting Enzyme Inhibitors (ACEI) and beta-blockers on the other hand are more efficacious in whites </w:t>
      </w:r>
      <w:r w:rsidR="001815AD" w:rsidRPr="00E3232D">
        <w:rPr>
          <w:rFonts w:ascii="Book Antiqua" w:hAnsi="Book Antiqua"/>
        </w:rPr>
        <w:fldChar w:fldCharType="begin">
          <w:fldData xml:space="preserve">PEVuZE5vdGU+PENpdGU+PEF1dGhvcj5TdGVpcm9wb3Vsb3M8L0F1dGhvcj48WWVhcj4yMDA4PC9Z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PEVuZE5vdGU+PENpdGU+PEF1dGhvcj5TdGVpcm9wb3Vsb3M8L0F1dGhvcj48WWVhcj4yMDA4PC9Z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(Ferdinand and Towsend, 2012; Rahman, 2003; Steiropoulos et al., 2008; )</w:t>
      </w:r>
      <w:r w:rsidR="001815AD" w:rsidRPr="00E3232D">
        <w:rPr>
          <w:rFonts w:ascii="Book Antiqua" w:hAnsi="Book Antiqua"/>
        </w:rPr>
        <w:fldChar w:fldCharType="end"/>
      </w:r>
      <w:r w:rsidRPr="00E3232D">
        <w:rPr>
          <w:rFonts w:ascii="Book Antiqua" w:hAnsi="Book Antiqua"/>
        </w:rPr>
        <w:t xml:space="preserve">. </w:t>
      </w:r>
    </w:p>
    <w:p w14:paraId="4FA3B840" w14:textId="77777777" w:rsidR="00FD6F87" w:rsidRDefault="00FD6F87" w:rsidP="005F7EA7">
      <w:pPr>
        <w:spacing w:after="0"/>
        <w:jc w:val="both"/>
        <w:rPr>
          <w:rFonts w:ascii="Book Antiqua" w:hAnsi="Book Antiqua"/>
        </w:rPr>
      </w:pPr>
    </w:p>
    <w:p w14:paraId="56E0535A" w14:textId="77777777" w:rsidR="00AC2FEA" w:rsidRPr="00E3232D" w:rsidRDefault="00AC2FEA" w:rsidP="005F7EA7">
      <w:pPr>
        <w:spacing w:after="0"/>
        <w:jc w:val="both"/>
        <w:rPr>
          <w:rFonts w:ascii="Book Antiqua" w:hAnsi="Book Antiqua"/>
        </w:rPr>
      </w:pPr>
      <w:r w:rsidRPr="00E3232D">
        <w:rPr>
          <w:rFonts w:ascii="Book Antiqua" w:hAnsi="Book Antiqua"/>
        </w:rPr>
        <w:t>Treatment objectives for the management of hypertension include reduction of blood pressure levels to &lt;95</w:t>
      </w:r>
      <w:r w:rsidRPr="00E3232D">
        <w:rPr>
          <w:rFonts w:ascii="Book Antiqua" w:hAnsi="Book Antiqua"/>
          <w:vertAlign w:val="superscript"/>
        </w:rPr>
        <w:t>th</w:t>
      </w:r>
      <w:r w:rsidRPr="00E3232D">
        <w:rPr>
          <w:rFonts w:ascii="Book Antiqua" w:hAnsi="Book Antiqua"/>
        </w:rPr>
        <w:t xml:space="preserve"> percentile for age, gender and height in the absence of end organ damage, prevention of complications as well as treatment of the underlying cause </w:t>
      </w:r>
      <w:r w:rsidR="001815AD" w:rsidRPr="00E3232D">
        <w:rPr>
          <w:rFonts w:ascii="Book Antiqua" w:hAnsi="Book Antiqua"/>
        </w:rPr>
        <w:fldChar w:fldCharType="begin">
          <w:fldData xml:space="preserve">PEVuZE5vdGU+PENpdGU+PEF1dGhvcj5QZXJnb2xpbmk8L0F1dGhvcj48WWVhcj4yMDA5PC9ZZWFy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PEVuZE5vdGU+PENpdGU+PEF1dGhvcj5QZXJnb2xpbmk8L0F1dGhvcj48WWVhcj4yMDA5PC9ZZWFy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(Pergolini, 2009)</w:t>
      </w:r>
      <w:r w:rsidR="001815AD" w:rsidRPr="00E3232D">
        <w:rPr>
          <w:rFonts w:ascii="Book Antiqua" w:hAnsi="Book Antiqua"/>
        </w:rPr>
        <w:fldChar w:fldCharType="end"/>
      </w:r>
      <w:r w:rsidRPr="00E3232D">
        <w:rPr>
          <w:rFonts w:ascii="Book Antiqua" w:hAnsi="Book Antiqua"/>
        </w:rPr>
        <w:t>.</w:t>
      </w:r>
    </w:p>
    <w:p w14:paraId="76EA974E" w14:textId="77777777" w:rsidR="00485205" w:rsidRDefault="00485205" w:rsidP="004C3DD4">
      <w:pPr>
        <w:spacing w:after="0"/>
        <w:jc w:val="both"/>
        <w:rPr>
          <w:rFonts w:ascii="Book Antiqua" w:hAnsi="Book Antiqua"/>
        </w:rPr>
      </w:pPr>
    </w:p>
    <w:p w14:paraId="20BB95F5" w14:textId="77777777" w:rsidR="00AC2FEA" w:rsidRDefault="00AC2FEA" w:rsidP="004C3DD4">
      <w:pPr>
        <w:spacing w:after="0"/>
        <w:jc w:val="both"/>
        <w:rPr>
          <w:rFonts w:ascii="Book Antiqua" w:hAnsi="Book Antiqua"/>
        </w:rPr>
      </w:pPr>
      <w:r w:rsidRPr="00E3232D">
        <w:rPr>
          <w:rFonts w:ascii="Book Antiqua" w:hAnsi="Book Antiqua"/>
        </w:rPr>
        <w:t xml:space="preserve">Alternatively, non – pharmacological treatment which involves lifestyle modification is recommended for all individuals </w:t>
      </w:r>
      <w:r w:rsidR="001815AD" w:rsidRPr="00E3232D">
        <w:rPr>
          <w:rFonts w:ascii="Book Antiqua" w:hAnsi="Book Antiqua"/>
        </w:rPr>
        <w:fldChar w:fldCharType="begin">
          <w:fldData xml:space="preserve">PEVuZE5vdGU+PENpdGU+PEF1dGhvcj5TdHVybWVyPC9BdXRob3I+PFllYXI+MjAwNjwvWWVhcj48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PEVuZE5vdGU+PENpdGU+PEF1dGhvcj5TdHVybWVyPC9BdXRob3I+PFllYXI+MjAwNjwvWWVhcj48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(Sturmer et al., 2006; Glynn et al., 2010)</w:t>
      </w:r>
      <w:r w:rsidR="001815AD" w:rsidRPr="00E3232D">
        <w:rPr>
          <w:rFonts w:ascii="Book Antiqua" w:hAnsi="Book Antiqua"/>
        </w:rPr>
        <w:fldChar w:fldCharType="end"/>
      </w:r>
      <w:r w:rsidRPr="00E3232D">
        <w:rPr>
          <w:rFonts w:ascii="Book Antiqua" w:hAnsi="Book Antiqua"/>
        </w:rPr>
        <w:t xml:space="preserve">. Correcting and preventing obesity, reducing alcohol and caffeine intake, restricting salt, total fat and cholesterol intake, increasing consumption of fruits and vegetables and regular aerobic exercises can lower raised blood pressure </w:t>
      </w:r>
      <w:r w:rsidR="001815AD" w:rsidRPr="00E3232D">
        <w:rPr>
          <w:rFonts w:ascii="Book Antiqua" w:hAnsi="Book Antiqua"/>
        </w:rPr>
        <w:fldChar w:fldCharType="begin">
          <w:fldData xml:space="preserve">PEVuZE5vdGU+PENpdGU+PEF1dGhvcj5NaXp1bm88L0F1dGhvcj48WWVhcj4yMDEzPC9ZZWFyPjxS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PEVuZE5vdGU+PENpdGU+PEF1dGhvcj5NaXp1bm88L0F1dGhvcj48WWVhcj4yMDEzPC9ZZWFyPjxS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(Herrera-Valdes et al., 2008; Mizuno and Monteiro, 2013)</w:t>
      </w:r>
      <w:r w:rsidR="001815AD" w:rsidRPr="00E3232D">
        <w:rPr>
          <w:rFonts w:ascii="Book Antiqua" w:hAnsi="Book Antiqua"/>
        </w:rPr>
        <w:fldChar w:fldCharType="end"/>
      </w:r>
      <w:r w:rsidRPr="00E3232D">
        <w:rPr>
          <w:rFonts w:ascii="Book Antiqua" w:hAnsi="Book Antiqua"/>
        </w:rPr>
        <w:t>.</w:t>
      </w:r>
    </w:p>
    <w:p w14:paraId="57748CFA" w14:textId="77777777" w:rsidR="00485205" w:rsidRPr="00E3232D" w:rsidRDefault="00485205" w:rsidP="004C3DD4">
      <w:pPr>
        <w:jc w:val="both"/>
        <w:rPr>
          <w:rFonts w:ascii="Book Antiqua" w:hAnsi="Book Antiqua"/>
        </w:rPr>
      </w:pPr>
    </w:p>
    <w:p w14:paraId="2D513CC5" w14:textId="77777777" w:rsidR="00AC2FEA" w:rsidRPr="00E3232D" w:rsidRDefault="00AC2FEA" w:rsidP="00196385">
      <w:pPr>
        <w:pStyle w:val="ListParagraph"/>
        <w:numPr>
          <w:ilvl w:val="1"/>
          <w:numId w:val="70"/>
        </w:numPr>
        <w:jc w:val="both"/>
        <w:rPr>
          <w:rFonts w:ascii="Book Antiqua" w:hAnsi="Book Antiqua"/>
          <w:b/>
        </w:rPr>
      </w:pPr>
      <w:r w:rsidRPr="00E3232D">
        <w:rPr>
          <w:rFonts w:ascii="Book Antiqua" w:hAnsi="Book Antiqua"/>
          <w:b/>
        </w:rPr>
        <w:t>Aims and objectives of the study</w:t>
      </w:r>
    </w:p>
    <w:p w14:paraId="20952543" w14:textId="77777777" w:rsidR="00AC2FEA" w:rsidRPr="00E3232D" w:rsidRDefault="00AC2FEA" w:rsidP="004C3DD4">
      <w:pPr>
        <w:jc w:val="both"/>
        <w:rPr>
          <w:rFonts w:ascii="Book Antiqua" w:hAnsi="Book Antiqua"/>
        </w:rPr>
      </w:pPr>
      <w:r w:rsidRPr="00E3232D">
        <w:rPr>
          <w:rFonts w:ascii="Book Antiqua" w:hAnsi="Book Antiqua"/>
        </w:rPr>
        <w:t>This study generally sought to determine the socio-economic and demographic profiles of young adult sufferers of hypertension and treatment regimen at the Hawa Memorial Hospital at Osiem in the Eastern Region of Ghana.</w:t>
      </w:r>
    </w:p>
    <w:p w14:paraId="14C35110" w14:textId="77777777" w:rsidR="00AC2FEA" w:rsidRPr="00E3232D" w:rsidRDefault="00AC2FEA" w:rsidP="004C3DD4">
      <w:pPr>
        <w:jc w:val="both"/>
        <w:rPr>
          <w:rFonts w:ascii="Book Antiqua" w:hAnsi="Book Antiqua"/>
        </w:rPr>
      </w:pPr>
      <w:r w:rsidRPr="00E3232D">
        <w:rPr>
          <w:rFonts w:ascii="Book Antiqua" w:hAnsi="Book Antiqua"/>
        </w:rPr>
        <w:t>Specific objectives of the study included to</w:t>
      </w:r>
    </w:p>
    <w:p w14:paraId="24097E7F" w14:textId="77777777" w:rsidR="00AC2FEA" w:rsidRPr="00E3232D" w:rsidRDefault="00AC2FEA" w:rsidP="00196385">
      <w:pPr>
        <w:pStyle w:val="ListParagraph"/>
        <w:numPr>
          <w:ilvl w:val="0"/>
          <w:numId w:val="72"/>
        </w:numPr>
        <w:jc w:val="both"/>
        <w:rPr>
          <w:rFonts w:ascii="Book Antiqua" w:hAnsi="Book Antiqua"/>
        </w:rPr>
      </w:pPr>
      <w:r w:rsidRPr="00E3232D">
        <w:rPr>
          <w:rFonts w:ascii="Book Antiqua" w:hAnsi="Book Antiqua"/>
        </w:rPr>
        <w:t>Determine the correlation between gender and the development of hypertension.</w:t>
      </w:r>
    </w:p>
    <w:p w14:paraId="1B46A402" w14:textId="77777777" w:rsidR="00AC2FEA" w:rsidRPr="00E3232D" w:rsidRDefault="00AC2FEA" w:rsidP="00196385">
      <w:pPr>
        <w:pStyle w:val="ListParagraph"/>
        <w:numPr>
          <w:ilvl w:val="0"/>
          <w:numId w:val="72"/>
        </w:numPr>
        <w:jc w:val="both"/>
        <w:rPr>
          <w:rFonts w:ascii="Book Antiqua" w:hAnsi="Book Antiqua"/>
        </w:rPr>
      </w:pPr>
      <w:r w:rsidRPr="00E3232D">
        <w:rPr>
          <w:rFonts w:ascii="Book Antiqua" w:hAnsi="Book Antiqua"/>
        </w:rPr>
        <w:t>Determine the age groups commonly affected by hypertension among young adults.</w:t>
      </w:r>
    </w:p>
    <w:p w14:paraId="000E9A5A" w14:textId="77777777" w:rsidR="00AC2FEA" w:rsidRPr="00485205" w:rsidRDefault="00AC2FEA" w:rsidP="00196385">
      <w:pPr>
        <w:pStyle w:val="ListParagraph"/>
        <w:numPr>
          <w:ilvl w:val="0"/>
          <w:numId w:val="72"/>
        </w:numPr>
        <w:jc w:val="both"/>
        <w:rPr>
          <w:rFonts w:ascii="Book Antiqua" w:hAnsi="Book Antiqua"/>
        </w:rPr>
      </w:pPr>
      <w:r w:rsidRPr="00E3232D">
        <w:rPr>
          <w:rFonts w:ascii="Book Antiqua" w:hAnsi="Book Antiqua"/>
        </w:rPr>
        <w:t xml:space="preserve">Investigate the types of hypertension among young adults. </w:t>
      </w:r>
    </w:p>
    <w:p w14:paraId="4B4415F5" w14:textId="77777777" w:rsidR="00AC2FEA" w:rsidRPr="00E3232D" w:rsidRDefault="00AC2FEA" w:rsidP="00196385">
      <w:pPr>
        <w:pStyle w:val="ListParagraph"/>
        <w:numPr>
          <w:ilvl w:val="0"/>
          <w:numId w:val="69"/>
        </w:numPr>
        <w:jc w:val="both"/>
        <w:rPr>
          <w:rFonts w:ascii="Book Antiqua" w:hAnsi="Book Antiqua"/>
        </w:rPr>
      </w:pPr>
      <w:r w:rsidRPr="00E3232D">
        <w:rPr>
          <w:rFonts w:ascii="Book Antiqua" w:hAnsi="Book Antiqua"/>
        </w:rPr>
        <w:t>Investigate the role of weight and  the development of hypertension.</w:t>
      </w:r>
    </w:p>
    <w:p w14:paraId="0E0B38BE" w14:textId="77777777" w:rsidR="00AC2FEA" w:rsidRPr="00E3232D" w:rsidRDefault="00AC2FEA" w:rsidP="00196385">
      <w:pPr>
        <w:pStyle w:val="ListParagraph"/>
        <w:numPr>
          <w:ilvl w:val="0"/>
          <w:numId w:val="69"/>
        </w:numPr>
        <w:jc w:val="both"/>
        <w:rPr>
          <w:rFonts w:ascii="Book Antiqua" w:hAnsi="Book Antiqua"/>
        </w:rPr>
      </w:pPr>
    </w:p>
    <w:p w14:paraId="5F8C7EE1" w14:textId="77777777" w:rsidR="00AC2FEA" w:rsidRPr="00E3232D" w:rsidRDefault="00AC2FEA" w:rsidP="00196385">
      <w:pPr>
        <w:pStyle w:val="ListParagraph"/>
        <w:numPr>
          <w:ilvl w:val="0"/>
          <w:numId w:val="69"/>
        </w:numPr>
        <w:jc w:val="both"/>
        <w:rPr>
          <w:rFonts w:ascii="Book Antiqua" w:hAnsi="Book Antiqua"/>
        </w:rPr>
      </w:pPr>
      <w:r w:rsidRPr="00E3232D">
        <w:rPr>
          <w:rFonts w:ascii="Book Antiqua" w:hAnsi="Book Antiqua"/>
        </w:rPr>
        <w:t>Ascertain whether the existence of co-morbid conditions contribute to the development of hypertension in young adults.</w:t>
      </w:r>
    </w:p>
    <w:p w14:paraId="2BEC5DDF" w14:textId="77777777" w:rsidR="00AC2FEA" w:rsidRPr="004C3DD4" w:rsidRDefault="00AC2FEA" w:rsidP="00196385">
      <w:pPr>
        <w:pStyle w:val="ListParagraph"/>
        <w:numPr>
          <w:ilvl w:val="0"/>
          <w:numId w:val="69"/>
        </w:numPr>
        <w:jc w:val="both"/>
        <w:rPr>
          <w:rFonts w:ascii="Book Antiqua" w:hAnsi="Book Antiqua"/>
        </w:rPr>
      </w:pPr>
      <w:r w:rsidRPr="00E3232D">
        <w:rPr>
          <w:rFonts w:ascii="Book Antiqua" w:hAnsi="Book Antiqua"/>
        </w:rPr>
        <w:t>Investigate the type of health financing owned by young hypertensive patients.</w:t>
      </w:r>
    </w:p>
    <w:p w14:paraId="25DA0F93" w14:textId="77777777" w:rsidR="00AC2FEA" w:rsidRPr="00E3232D" w:rsidRDefault="00AC2FEA" w:rsidP="004C3DD4">
      <w:pPr>
        <w:jc w:val="both"/>
        <w:rPr>
          <w:rFonts w:ascii="Book Antiqua" w:hAnsi="Book Antiqua"/>
          <w:b/>
        </w:rPr>
      </w:pPr>
      <w:r w:rsidRPr="00E3232D">
        <w:rPr>
          <w:rFonts w:ascii="Book Antiqua" w:hAnsi="Book Antiqua"/>
          <w:b/>
        </w:rPr>
        <w:t>Significance of the study</w:t>
      </w:r>
    </w:p>
    <w:p w14:paraId="399452E5" w14:textId="77777777" w:rsidR="00AC2FEA" w:rsidRPr="00E3232D" w:rsidRDefault="00AC2FEA" w:rsidP="004C3DD4">
      <w:pPr>
        <w:jc w:val="both"/>
        <w:rPr>
          <w:rFonts w:ascii="Book Antiqua" w:hAnsi="Book Antiqua"/>
        </w:rPr>
      </w:pPr>
      <w:r w:rsidRPr="00E3232D">
        <w:rPr>
          <w:rFonts w:ascii="Book Antiqua" w:hAnsi="Book Antiqua"/>
        </w:rPr>
        <w:t>Data obtained from this study may be beneficial in providing direction for future research and also give an idea of the extent of disease prevalence among young adults in Ghana. It may also serve as a guide to healthcare professionals in giving the appropriate management options and advice to patients.</w:t>
      </w:r>
    </w:p>
    <w:p w14:paraId="0A3CE287" w14:textId="77777777" w:rsidR="00AC2FEA" w:rsidRPr="00806674" w:rsidRDefault="00AC2FEA" w:rsidP="00196385">
      <w:pPr>
        <w:pStyle w:val="ListParagraph"/>
        <w:numPr>
          <w:ilvl w:val="0"/>
          <w:numId w:val="176"/>
        </w:numPr>
        <w:jc w:val="both"/>
        <w:rPr>
          <w:rFonts w:ascii="Book Antiqua" w:hAnsi="Book Antiqua"/>
          <w:b/>
        </w:rPr>
      </w:pPr>
      <w:r w:rsidRPr="00806674">
        <w:rPr>
          <w:rFonts w:ascii="Book Antiqua" w:hAnsi="Book Antiqua"/>
          <w:b/>
          <w:sz w:val="26"/>
        </w:rPr>
        <w:t>Methodology</w:t>
      </w:r>
    </w:p>
    <w:p w14:paraId="5CCB0585" w14:textId="77777777" w:rsidR="00AC2FEA" w:rsidRPr="00E3232D" w:rsidRDefault="00AC2FEA" w:rsidP="004C3DD4">
      <w:pPr>
        <w:spacing w:after="0"/>
        <w:jc w:val="both"/>
        <w:rPr>
          <w:rFonts w:ascii="Book Antiqua" w:hAnsi="Book Antiqua"/>
        </w:rPr>
      </w:pPr>
      <w:r w:rsidRPr="00E3232D">
        <w:rPr>
          <w:rFonts w:ascii="Book Antiqua" w:hAnsi="Book Antiqua"/>
        </w:rPr>
        <w:t xml:space="preserve">The analysis used the mean of two (2) blood pressure readings taken with a mercury sphygmomanometer by a physician after a 10 minute rest. Hypertension or high blood pressure was defined as mean systolic blood pressure (SBP) ≥140 mm Hg, mean diastolic blood pressure (DBP) ≥90 mm Hg, or current treatment for hypertension with prescription medication (Joint National Committee on Detection, Evaluation, and Treatment of High Blood Pressure, 1993) </w:t>
      </w:r>
    </w:p>
    <w:p w14:paraId="739FAD29" w14:textId="77777777" w:rsidR="00AC2FEA" w:rsidRPr="00E3232D" w:rsidRDefault="00AC2FEA" w:rsidP="004C3DD4">
      <w:pPr>
        <w:spacing w:after="0"/>
        <w:jc w:val="both"/>
        <w:rPr>
          <w:rFonts w:ascii="Book Antiqua" w:hAnsi="Book Antiqua"/>
        </w:rPr>
      </w:pPr>
    </w:p>
    <w:p w14:paraId="4FC2E2AC" w14:textId="77777777" w:rsidR="00AC2FEA" w:rsidRPr="00E3232D" w:rsidRDefault="00AC2FEA" w:rsidP="004C3DD4">
      <w:pPr>
        <w:spacing w:after="0"/>
        <w:jc w:val="both"/>
        <w:rPr>
          <w:rFonts w:ascii="Book Antiqua" w:hAnsi="Book Antiqua"/>
        </w:rPr>
      </w:pPr>
      <w:r w:rsidRPr="00E3232D">
        <w:rPr>
          <w:rFonts w:ascii="Book Antiqua" w:hAnsi="Book Antiqua"/>
        </w:rPr>
        <w:t xml:space="preserve">Treatment of hypertension was defined as the use of a prescription medication for the management of high blood pressure at the time of the study. </w:t>
      </w:r>
    </w:p>
    <w:p w14:paraId="027EC62B" w14:textId="77777777" w:rsidR="00AC2FEA" w:rsidRPr="00E3232D" w:rsidRDefault="00AC2FEA" w:rsidP="004C3DD4">
      <w:pPr>
        <w:jc w:val="both"/>
        <w:rPr>
          <w:rFonts w:ascii="Book Antiqua" w:hAnsi="Book Antiqua"/>
        </w:rPr>
      </w:pPr>
      <w:r w:rsidRPr="00E3232D">
        <w:rPr>
          <w:rFonts w:ascii="Book Antiqua" w:hAnsi="Book Antiqua"/>
        </w:rPr>
        <w:t xml:space="preserve">Control of hypertension was defined as pharmacological treatment of hypertension associated with SBP &lt;140 mm Hg and DBP &lt;90 mm Hg. </w:t>
      </w:r>
    </w:p>
    <w:p w14:paraId="5484FF64" w14:textId="77777777" w:rsidR="00AC2FEA" w:rsidRPr="00E3232D" w:rsidRDefault="00AC2FEA" w:rsidP="004C3DD4">
      <w:pPr>
        <w:jc w:val="both"/>
        <w:rPr>
          <w:rFonts w:ascii="Book Antiqua" w:hAnsi="Book Antiqua"/>
        </w:rPr>
      </w:pPr>
      <w:r w:rsidRPr="00E3232D">
        <w:rPr>
          <w:rFonts w:ascii="Book Antiqua" w:hAnsi="Book Antiqua"/>
        </w:rPr>
        <w:t xml:space="preserve">There are 1321 known hypertensive patients attending hypertension clinic at Hawa Memorial Saviour Hospital, out of which 886 are below age 35. Out of this, a sample size of 100 was used. </w:t>
      </w:r>
    </w:p>
    <w:p w14:paraId="0D4679C6" w14:textId="77777777" w:rsidR="00AC2FEA" w:rsidRPr="00E3232D" w:rsidRDefault="00AC2FEA" w:rsidP="004C3DD4">
      <w:pPr>
        <w:pStyle w:val="articletype"/>
        <w:spacing w:line="276" w:lineRule="auto"/>
        <w:jc w:val="both"/>
        <w:rPr>
          <w:rFonts w:ascii="Book Antiqua" w:hAnsi="Book Antiqua"/>
          <w:sz w:val="22"/>
          <w:szCs w:val="22"/>
        </w:rPr>
      </w:pPr>
      <w:r w:rsidRPr="00E3232D">
        <w:rPr>
          <w:rFonts w:ascii="Book Antiqua" w:hAnsi="Book Antiqua"/>
          <w:sz w:val="22"/>
          <w:szCs w:val="22"/>
        </w:rPr>
        <w:t xml:space="preserve">Patient folders were sampled using the statistical formula, N/n+1, where N is the total population of hypertensive patients below 35 years (886) and n is the sample size (100). </w:t>
      </w:r>
    </w:p>
    <w:p w14:paraId="63BA4E42" w14:textId="77777777" w:rsidR="00AC2FEA" w:rsidRPr="00E3232D" w:rsidRDefault="00AC2FEA" w:rsidP="004C3DD4">
      <w:pPr>
        <w:jc w:val="both"/>
        <w:rPr>
          <w:rFonts w:ascii="Book Antiqua" w:hAnsi="Book Antiqua"/>
        </w:rPr>
      </w:pPr>
      <w:r w:rsidRPr="00E3232D">
        <w:rPr>
          <w:rFonts w:ascii="Book Antiqua" w:hAnsi="Book Antiqua"/>
        </w:rPr>
        <w:t>Ethical clearance was obtained from the hospital’s biostatistician with the assistance of the pharmacist-in charge before data collection.</w:t>
      </w:r>
    </w:p>
    <w:p w14:paraId="7D59360E" w14:textId="77777777" w:rsidR="00AC2FEA" w:rsidRPr="00E3232D" w:rsidRDefault="00AC2FEA" w:rsidP="004C3DD4">
      <w:pPr>
        <w:jc w:val="both"/>
        <w:rPr>
          <w:rFonts w:ascii="Book Antiqua" w:hAnsi="Book Antiqua"/>
        </w:rPr>
      </w:pPr>
      <w:r w:rsidRPr="00E3232D">
        <w:rPr>
          <w:rFonts w:ascii="Book Antiqua" w:hAnsi="Book Antiqua"/>
        </w:rPr>
        <w:t>Parameters captured from patients folders included:</w:t>
      </w:r>
    </w:p>
    <w:p w14:paraId="627BAF7E" w14:textId="77777777" w:rsidR="00AC2FEA" w:rsidRPr="00E3232D" w:rsidRDefault="00AC2FEA" w:rsidP="00196385">
      <w:pPr>
        <w:pStyle w:val="ListParagraph"/>
        <w:numPr>
          <w:ilvl w:val="0"/>
          <w:numId w:val="71"/>
        </w:numPr>
        <w:jc w:val="both"/>
        <w:rPr>
          <w:rFonts w:ascii="Book Antiqua" w:hAnsi="Book Antiqua"/>
        </w:rPr>
      </w:pPr>
      <w:r w:rsidRPr="00E3232D">
        <w:rPr>
          <w:rFonts w:ascii="Book Antiqua" w:hAnsi="Book Antiqua"/>
        </w:rPr>
        <w:t>age (to ascertain whether prevalence of hypertension corresponds with patient’s age),</w:t>
      </w:r>
    </w:p>
    <w:p w14:paraId="3E087114" w14:textId="77777777" w:rsidR="00AC2FEA" w:rsidRPr="00E3232D" w:rsidRDefault="00AC2FEA" w:rsidP="00196385">
      <w:pPr>
        <w:pStyle w:val="ListParagraph"/>
        <w:numPr>
          <w:ilvl w:val="0"/>
          <w:numId w:val="71"/>
        </w:numPr>
        <w:jc w:val="both"/>
        <w:rPr>
          <w:rFonts w:ascii="Book Antiqua" w:hAnsi="Book Antiqua"/>
        </w:rPr>
      </w:pPr>
      <w:r w:rsidRPr="00E3232D">
        <w:rPr>
          <w:rFonts w:ascii="Book Antiqua" w:hAnsi="Book Antiqua"/>
        </w:rPr>
        <w:t xml:space="preserve">weight and height [to determine the patient’s Body Mass Index (BMI)], </w:t>
      </w:r>
    </w:p>
    <w:p w14:paraId="64E6F337" w14:textId="77777777" w:rsidR="00AC2FEA" w:rsidRPr="00E3232D" w:rsidRDefault="00AC2FEA" w:rsidP="00196385">
      <w:pPr>
        <w:pStyle w:val="ListParagraph"/>
        <w:numPr>
          <w:ilvl w:val="0"/>
          <w:numId w:val="71"/>
        </w:numPr>
        <w:jc w:val="both"/>
        <w:rPr>
          <w:rFonts w:ascii="Book Antiqua" w:hAnsi="Book Antiqua"/>
        </w:rPr>
      </w:pPr>
      <w:r w:rsidRPr="00E3232D">
        <w:rPr>
          <w:rFonts w:ascii="Book Antiqua" w:hAnsi="Book Antiqua"/>
        </w:rPr>
        <w:t xml:space="preserve">co-morbidity (to ascertain whether certain diseases and physiological states could contribute to the development of hypertension) </w:t>
      </w:r>
    </w:p>
    <w:p w14:paraId="0B0D74DA" w14:textId="77777777" w:rsidR="00AC2FEA" w:rsidRPr="00E3232D" w:rsidRDefault="00AC2FEA" w:rsidP="00196385">
      <w:pPr>
        <w:pStyle w:val="ListParagraph"/>
        <w:numPr>
          <w:ilvl w:val="0"/>
          <w:numId w:val="71"/>
        </w:numPr>
        <w:jc w:val="both"/>
        <w:rPr>
          <w:rFonts w:ascii="Book Antiqua" w:hAnsi="Book Antiqua"/>
        </w:rPr>
      </w:pPr>
      <w:r w:rsidRPr="00E3232D">
        <w:rPr>
          <w:rFonts w:ascii="Book Antiqua" w:hAnsi="Book Antiqua"/>
        </w:rPr>
        <w:t>gender (to ascertain whether sexual dimorphism corresponds to the pevalence of hypertension in young adults).</w:t>
      </w:r>
    </w:p>
    <w:p w14:paraId="1E4889F1" w14:textId="77777777" w:rsidR="00AC2FEA" w:rsidRPr="00E3232D" w:rsidRDefault="00AC2FEA" w:rsidP="004C3DD4">
      <w:pPr>
        <w:jc w:val="both"/>
        <w:rPr>
          <w:rFonts w:ascii="Book Antiqua" w:hAnsi="Book Antiqua"/>
        </w:rPr>
      </w:pPr>
      <w:r w:rsidRPr="00E3232D">
        <w:rPr>
          <w:rFonts w:ascii="Book Antiqua" w:hAnsi="Book Antiqua"/>
        </w:rPr>
        <w:t>Data was analyzed using Statistical Package for Social Sciences (SPSS) version 16.0 for windows and normality test for both males and females done using the Anderson-Darling test.</w:t>
      </w:r>
    </w:p>
    <w:p w14:paraId="5FE0A59C" w14:textId="77777777" w:rsidR="00AC2FEA" w:rsidRPr="00E3232D" w:rsidRDefault="00AC2FEA" w:rsidP="004C3DD4">
      <w:pPr>
        <w:jc w:val="both"/>
        <w:rPr>
          <w:rFonts w:ascii="Book Antiqua" w:hAnsi="Book Antiqua"/>
        </w:rPr>
      </w:pPr>
    </w:p>
    <w:p w14:paraId="483E4151" w14:textId="77777777" w:rsidR="00AC2FEA" w:rsidRPr="00E3232D" w:rsidRDefault="00AC2FEA" w:rsidP="00196385">
      <w:pPr>
        <w:pStyle w:val="ListParagraph"/>
        <w:numPr>
          <w:ilvl w:val="0"/>
          <w:numId w:val="176"/>
        </w:numPr>
        <w:jc w:val="both"/>
        <w:rPr>
          <w:rFonts w:ascii="Book Antiqua" w:hAnsi="Book Antiqua"/>
          <w:b/>
        </w:rPr>
      </w:pPr>
      <w:r w:rsidRPr="004C3DD4">
        <w:rPr>
          <w:rFonts w:ascii="Book Antiqua" w:hAnsi="Book Antiqua"/>
          <w:b/>
          <w:sz w:val="26"/>
        </w:rPr>
        <w:t>Results</w:t>
      </w:r>
    </w:p>
    <w:p w14:paraId="175C8CA1" w14:textId="77777777" w:rsidR="00AC2FEA" w:rsidRPr="00E3232D" w:rsidRDefault="00AC2FEA" w:rsidP="004C3DD4">
      <w:pPr>
        <w:jc w:val="both"/>
        <w:rPr>
          <w:rFonts w:ascii="Book Antiqua" w:hAnsi="Book Antiqua"/>
        </w:rPr>
      </w:pPr>
      <w:r w:rsidRPr="00E3232D">
        <w:rPr>
          <w:rFonts w:ascii="Book Antiqua" w:hAnsi="Book Antiqua"/>
        </w:rPr>
        <w:t>Out of 100 regular hypertensive patients attending hypertension clinic at Hawa Memorial Saviour Hospital at Osiem in the Eastern Region of Ghana, sixty three percent (63%) were females whiles thirty seven percent (37%) were males. In a test for normality for both males and females using Anderson-Darling test, both males and females were found to be normally distributed since p values were greater than 0.05 (Anderson-Darling p value of 0.2252 for males and 0.2500 for females). The correlation coefficient (r ) was determined to be 0.55170 and the probability (p) value was determined to be 0.0620. Since the r value was greater than 0, we can say that there was weak correlation between gender and the development of hypertension.</w:t>
      </w:r>
    </w:p>
    <w:p w14:paraId="548BCBE9" w14:textId="77777777" w:rsidR="00485205" w:rsidRDefault="00485205" w:rsidP="004C3DD4">
      <w:pPr>
        <w:jc w:val="both"/>
        <w:rPr>
          <w:rFonts w:ascii="Book Antiqua" w:hAnsi="Book Antiqua"/>
        </w:rPr>
      </w:pPr>
    </w:p>
    <w:p w14:paraId="121A982B" w14:textId="77777777" w:rsidR="00AC2FEA" w:rsidRPr="00E3232D" w:rsidRDefault="00AC2FEA" w:rsidP="004C3DD4">
      <w:pPr>
        <w:jc w:val="both"/>
        <w:rPr>
          <w:rFonts w:ascii="Book Antiqua" w:hAnsi="Book Antiqua"/>
        </w:rPr>
      </w:pPr>
      <w:r w:rsidRPr="00E3232D">
        <w:rPr>
          <w:rFonts w:ascii="Book Antiqua" w:hAnsi="Book Antiqua"/>
        </w:rPr>
        <w:t>Eight percent (8%) of the study population was aged 15-20 years, twenty six percent (26%) was aged 21-25 years, thirty percent (30%) were aged 26-30 years, whiles thirty six percent (36%) were aged 31-35.</w:t>
      </w:r>
    </w:p>
    <w:p w14:paraId="214C5A07" w14:textId="77777777" w:rsidR="00AC2FEA" w:rsidRPr="00E3232D" w:rsidRDefault="007005B1" w:rsidP="008275E1">
      <w:pPr>
        <w:rPr>
          <w:rFonts w:ascii="Book Antiqua" w:hAnsi="Book Antiqua"/>
        </w:rPr>
      </w:pPr>
      <w:r>
        <w:rPr>
          <w:rFonts w:ascii="Book Antiqua" w:hAnsi="Book Antiqua"/>
          <w:noProof/>
          <w:lang w:bidi="ar-SA"/>
        </w:rPr>
        <w:drawing>
          <wp:inline distT="0" distB="0" distL="0" distR="0" wp14:anchorId="37DEE2F5" wp14:editId="7CB59BA1">
            <wp:extent cx="3374449" cy="2746628"/>
            <wp:effectExtent l="12194" t="6097" r="4257" b="0"/>
            <wp:docPr id="94"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09267F0F" w14:textId="77777777" w:rsidR="00AC2FEA" w:rsidRPr="00E3232D" w:rsidRDefault="00AC2FEA" w:rsidP="004C3DD4">
      <w:pPr>
        <w:jc w:val="both"/>
        <w:rPr>
          <w:rFonts w:ascii="Book Antiqua" w:hAnsi="Book Antiqua"/>
        </w:rPr>
      </w:pPr>
      <w:r w:rsidRPr="00E3232D">
        <w:rPr>
          <w:rFonts w:ascii="Book Antiqua" w:hAnsi="Book Antiqua"/>
        </w:rPr>
        <w:t xml:space="preserve">Figure 1: chart showing the percentage of hypertensives with respect to age. </w:t>
      </w:r>
    </w:p>
    <w:p w14:paraId="24E524FD" w14:textId="77777777" w:rsidR="00AC2FEA" w:rsidRPr="00E3232D" w:rsidRDefault="00AC2FEA" w:rsidP="004C3DD4">
      <w:pPr>
        <w:jc w:val="both"/>
        <w:rPr>
          <w:rFonts w:ascii="Book Antiqua" w:hAnsi="Book Antiqua"/>
        </w:rPr>
      </w:pPr>
      <w:r w:rsidRPr="00E3232D">
        <w:rPr>
          <w:rFonts w:ascii="Book Antiqua" w:hAnsi="Book Antiqua"/>
        </w:rPr>
        <w:t>Two percent (2%)of the studied patients were found to have borderline hypertension (120-129/80-84), five percent (5%) had high normal hypertension (130-139/ 85-89), thirty seven percent (37%) had mild hypertension (140-149/ 90-99), forty seven percent (47%) had moderate hypertension (150-159/ 100-109) and nine percent (9%) had severe hypertension.</w:t>
      </w:r>
    </w:p>
    <w:p w14:paraId="05C8BCC7" w14:textId="77777777" w:rsidR="00AC2FEA" w:rsidRPr="00E3232D" w:rsidRDefault="00AC2FEA" w:rsidP="004C3DD4">
      <w:pPr>
        <w:spacing w:after="0"/>
        <w:jc w:val="both"/>
        <w:rPr>
          <w:rFonts w:ascii="Book Antiqua" w:hAnsi="Book Antiqua"/>
        </w:rPr>
      </w:pPr>
      <w:r w:rsidRPr="00E3232D">
        <w:rPr>
          <w:rFonts w:ascii="Book Antiqua" w:hAnsi="Book Antiqua"/>
        </w:rPr>
        <w:t>Seventy six percent (76%) of the studied  patients were found to be on combination therapy whiles twenty forty percent (24%) were on monotherapy.</w:t>
      </w:r>
    </w:p>
    <w:p w14:paraId="00FEE0FC" w14:textId="77777777" w:rsidR="00485205" w:rsidRDefault="00485205" w:rsidP="004C3DD4">
      <w:pPr>
        <w:spacing w:after="0"/>
        <w:jc w:val="both"/>
        <w:rPr>
          <w:rFonts w:ascii="Book Antiqua" w:hAnsi="Book Antiqua"/>
        </w:rPr>
      </w:pPr>
    </w:p>
    <w:p w14:paraId="4D09C9FC" w14:textId="77777777" w:rsidR="00AC2FEA" w:rsidRPr="00E3232D" w:rsidRDefault="00AC2FEA" w:rsidP="004C3DD4">
      <w:pPr>
        <w:spacing w:after="0"/>
        <w:jc w:val="both"/>
        <w:rPr>
          <w:rFonts w:ascii="Book Antiqua" w:hAnsi="Book Antiqua"/>
        </w:rPr>
      </w:pPr>
      <w:r w:rsidRPr="00E3232D">
        <w:rPr>
          <w:rFonts w:ascii="Book Antiqua" w:hAnsi="Book Antiqua"/>
        </w:rPr>
        <w:t>Out of the 76% of patients on combination therapy, 20% were found to be on Calcium Channel blocker- Beta blocker combination therapy. Six percent (6%) were on Calcium Channel blocker- Angiotensin Converting Enzyme Inhibitor (ACEI) combination. Six percent (6%) were on Calcium Channel blocker- diuretic combination, twenty two percent (22%) were on ACEI –diuretic combination, twenty two percent (22%) on ACEI-beta blocker combination.</w:t>
      </w:r>
    </w:p>
    <w:p w14:paraId="0B96A95C" w14:textId="77777777" w:rsidR="00485205" w:rsidRDefault="00485205" w:rsidP="004C3DD4">
      <w:pPr>
        <w:spacing w:after="0"/>
        <w:jc w:val="both"/>
        <w:rPr>
          <w:rFonts w:ascii="Book Antiqua" w:hAnsi="Book Antiqua"/>
        </w:rPr>
      </w:pPr>
    </w:p>
    <w:p w14:paraId="2DEBE113" w14:textId="77777777" w:rsidR="00AC2FEA" w:rsidRPr="00E3232D" w:rsidRDefault="00AC2FEA" w:rsidP="004C3DD4">
      <w:pPr>
        <w:spacing w:after="0"/>
        <w:jc w:val="both"/>
        <w:rPr>
          <w:rFonts w:ascii="Book Antiqua" w:hAnsi="Book Antiqua"/>
        </w:rPr>
      </w:pPr>
      <w:r w:rsidRPr="00E3232D">
        <w:rPr>
          <w:rFonts w:ascii="Book Antiqua" w:hAnsi="Book Antiqua"/>
        </w:rPr>
        <w:t>Five percent (5%) of the hypertensives under study were on beta blocker monotherapy, sixteen percent (16%) on Calcium Chanel blocker monotherapy and three percent (3%) on ACEI monotherapy.</w:t>
      </w:r>
    </w:p>
    <w:p w14:paraId="4D2667A6" w14:textId="77777777" w:rsidR="00AC2FEA" w:rsidRPr="00E3232D" w:rsidRDefault="00AC2FEA" w:rsidP="004C3DD4">
      <w:pPr>
        <w:jc w:val="both"/>
        <w:rPr>
          <w:rFonts w:ascii="Book Antiqua" w:hAnsi="Book Antiqua"/>
        </w:rPr>
      </w:pPr>
      <w:r w:rsidRPr="00E3232D">
        <w:rPr>
          <w:rFonts w:ascii="Book Antiqua" w:hAnsi="Book Antiqua"/>
        </w:rPr>
        <w:t>Seventy two percent (72%) of the studied patients had controlled hypertension whiles twenty eight (28%) had uncontrolled hypertension.</w:t>
      </w:r>
    </w:p>
    <w:p w14:paraId="55632BA9" w14:textId="77777777" w:rsidR="00AC2FEA" w:rsidRPr="00E3232D" w:rsidRDefault="00AC2FEA" w:rsidP="004C3DD4">
      <w:pPr>
        <w:jc w:val="both"/>
        <w:rPr>
          <w:rFonts w:ascii="Book Antiqua" w:hAnsi="Book Antiqua"/>
        </w:rPr>
      </w:pPr>
      <w:r w:rsidRPr="00E3232D">
        <w:rPr>
          <w:rFonts w:ascii="Book Antiqua" w:hAnsi="Book Antiqua"/>
        </w:rPr>
        <w:t>Thirty three percent (33%) of the studied patients were obese.</w:t>
      </w:r>
    </w:p>
    <w:p w14:paraId="588EE2DC" w14:textId="77777777" w:rsidR="00B07C78" w:rsidRPr="00E3232D" w:rsidRDefault="00AC2FEA" w:rsidP="004C3DD4">
      <w:pPr>
        <w:jc w:val="both"/>
        <w:rPr>
          <w:rFonts w:ascii="Book Antiqua" w:hAnsi="Book Antiqua"/>
        </w:rPr>
      </w:pPr>
      <w:r w:rsidRPr="00E3232D">
        <w:rPr>
          <w:rFonts w:ascii="Book Antiqua" w:hAnsi="Book Antiqua"/>
        </w:rPr>
        <w:t>Eighty three percent (83%) of the studied patients had NHIS registration whiles seventeen percent (17%) did not.</w:t>
      </w:r>
    </w:p>
    <w:p w14:paraId="7CA20469" w14:textId="77777777" w:rsidR="00AC2FEA" w:rsidRPr="00E3232D" w:rsidRDefault="005F7EA7" w:rsidP="00196385">
      <w:pPr>
        <w:pStyle w:val="ListParagraph"/>
        <w:numPr>
          <w:ilvl w:val="0"/>
          <w:numId w:val="176"/>
        </w:numPr>
        <w:jc w:val="both"/>
        <w:rPr>
          <w:rFonts w:ascii="Book Antiqua" w:hAnsi="Book Antiqua"/>
        </w:rPr>
      </w:pPr>
      <w:r w:rsidRPr="005F7EA7">
        <w:rPr>
          <w:rFonts w:ascii="Book Antiqua" w:hAnsi="Book Antiqua"/>
          <w:b/>
          <w:sz w:val="26"/>
        </w:rPr>
        <w:t>Discussion</w:t>
      </w:r>
    </w:p>
    <w:p w14:paraId="6E901EF6" w14:textId="77777777" w:rsidR="00AC2FEA" w:rsidRPr="00E3232D" w:rsidRDefault="00AC2FEA" w:rsidP="004C3DD4">
      <w:pPr>
        <w:jc w:val="both"/>
        <w:rPr>
          <w:rFonts w:ascii="Book Antiqua" w:hAnsi="Book Antiqua"/>
        </w:rPr>
      </w:pPr>
      <w:r w:rsidRPr="00E3232D">
        <w:rPr>
          <w:rFonts w:ascii="Book Antiqua" w:hAnsi="Book Antiqua"/>
        </w:rPr>
        <w:t xml:space="preserve">After data analysis, it was observed that a greater percentage of females (63%) below age 35 had a higher prevalence of hypertension than males (37%) however; there was a weak correlation between gender and the development of hypertension evidenced by r  of 055170. The higher percentage of young female hypertensive patients may be as a result of hormonal imbalances in females which may impact negatively on anatomical balance and affect responses such as weight gain and stress management.  </w:t>
      </w:r>
    </w:p>
    <w:p w14:paraId="2A00B616" w14:textId="77777777" w:rsidR="00AC2FEA" w:rsidRPr="00E3232D" w:rsidRDefault="00AC2FEA" w:rsidP="004C3DD4">
      <w:pPr>
        <w:jc w:val="both"/>
        <w:rPr>
          <w:rFonts w:ascii="Book Antiqua" w:hAnsi="Book Antiqua"/>
        </w:rPr>
      </w:pPr>
      <w:r w:rsidRPr="00E3232D">
        <w:rPr>
          <w:rFonts w:ascii="Book Antiqua" w:hAnsi="Book Antiqua"/>
        </w:rPr>
        <w:t xml:space="preserve">Research has shown that high levels of stress exposes the body to persistently high levels of stress hormones such as adrenalin and cortisol which may worsen other risk factors of hypertension such as high cholesterol and high blood pressure </w:t>
      </w:r>
      <w:r w:rsidR="001815AD" w:rsidRPr="00E3232D">
        <w:rPr>
          <w:rFonts w:ascii="Book Antiqua" w:hAnsi="Book Antiqua"/>
        </w:rPr>
        <w:fldChar w:fldCharType="begin"/>
      </w:r>
      <w:r w:rsidRPr="00E3232D">
        <w:rPr>
          <w:rFonts w:ascii="Book Antiqua" w:hAnsi="Book Antiqua"/>
        </w:rPr>
        <w:instrText xml:space="preserve"> ADDIN EN.CITE &lt;EndNote&gt;&lt;Cite&gt;&lt;Author&gt;Bennett&lt;/Author&gt;&lt;Year&gt;2013&lt;/Year&gt;&lt;RecNum&gt;63&lt;/RecNum&gt;&lt;record&gt;&lt;rec-number&gt;63&lt;/rec-number&gt;&lt;foreign-keys&gt;&lt;key app="EN" db-id="fevprx2ek5v2tmes00rpzxz4w2tz09ft90p0"&gt;63&lt;/key&gt;&lt;/foreign-keys&gt;&lt;ref-type name="Journal Article"&gt;17&lt;/ref-type&gt;&lt;contributors&gt;&lt;authors&gt;&lt;author&gt;Bennett, J. M.&lt;/author&gt;&lt;author&gt;Rodrigues, I. M.&lt;/author&gt;&lt;author&gt;Klein, L. C.&lt;/author&gt;&lt;/authors&gt;&lt;/contributors&gt;&lt;auth-address&gt;Department of Biobehavioral Health, The Pennsylvania State University, University Park, Pennsylvania, USA.&lt;/auth-address&gt;&lt;titles&gt;&lt;title&gt;Effects of Caffeine and Stress on Biomarkers of Cardiovascular Disease in Healthy Men and Women with a Family History of Hypertension&lt;/title&gt;&lt;secondary-title&gt;Stress Health&lt;/secondary-title&gt;&lt;/titles&gt;&lt;periodical&gt;&lt;full-title&gt;Stress Health&lt;/full-title&gt;&lt;/periodical&gt;&lt;edition&gt;2013/03/19&lt;/edition&gt;&lt;dates&gt;&lt;year&gt;2013&lt;/year&gt;&lt;pub-dates&gt;&lt;date&gt;Mar 18&lt;/date&gt;&lt;/pub-dates&gt;&lt;/dates&gt;&lt;isbn&gt;1532-2998 (Electronic)&amp;#xD;1532-3005 (Linking)&lt;/isbn&gt;&lt;accession-num&gt;23504818&lt;/accession-num&gt;&lt;urls&gt;&lt;related-urls&gt;&lt;url&gt;http://www.ncbi.nlm.nih.gov/entrez/query.fcgi?cmd=Retrieve&amp;amp;db=PubMed&amp;amp;dopt=Citation&amp;amp;list_uids=23504818&lt;/url&gt;&lt;/related-urls&gt;&lt;/urls&gt;&lt;electronic-resource-num&gt;10.1002/smi.2486&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(Bennett et al., 2013)</w:t>
      </w:r>
      <w:r w:rsidR="001815AD" w:rsidRPr="00E3232D">
        <w:rPr>
          <w:rFonts w:ascii="Book Antiqua" w:hAnsi="Book Antiqua"/>
        </w:rPr>
        <w:fldChar w:fldCharType="end"/>
      </w:r>
      <w:r w:rsidRPr="00E3232D">
        <w:rPr>
          <w:rFonts w:ascii="Book Antiqua" w:hAnsi="Book Antiqua"/>
        </w:rPr>
        <w:t xml:space="preserve">. When one is under stress, the person’s blood pressure goes up and the person tends to overeat, may exercise less and may tend to smoke. Studies have also shown a strong link between high stress levels and the way blood clots in the body leading to heart attack and stroke </w:t>
      </w:r>
      <w:r w:rsidR="001815AD" w:rsidRPr="00E3232D">
        <w:rPr>
          <w:rFonts w:ascii="Book Antiqua" w:hAnsi="Book Antiqua"/>
        </w:rPr>
        <w:fldChar w:fldCharType="begin"/>
      </w:r>
      <w:r w:rsidRPr="00E3232D">
        <w:rPr>
          <w:rFonts w:ascii="Book Antiqua" w:hAnsi="Book Antiqua"/>
        </w:rPr>
        <w:instrText xml:space="preserve"> ADDIN EN.CITE &lt;EndNote&gt;&lt;Cite&gt;&lt;Author&gt;Roque&lt;/Author&gt;&lt;Year&gt;2012&lt;/Year&gt;&lt;RecNum&gt;64&lt;/RecNum&gt;&lt;record&gt;&lt;rec-number&gt;64&lt;/rec-number&gt;&lt;foreign-keys&gt;&lt;key app="EN" db-id="fevprx2ek5v2tmes00rpzxz4w2tz09ft90p0"&gt;64&lt;/key&gt;&lt;/foreign-keys&gt;&lt;ref-type name="Journal Article"&gt;17&lt;/ref-type&gt;&lt;contributors&gt;&lt;authors&gt;&lt;author&gt;Roque, F. R.&lt;/author&gt;&lt;author&gt;Briones, A. M.&lt;/author&gt;&lt;author&gt;Garcia-Redondo, A. B.&lt;/author&gt;&lt;author&gt;Galan, M.&lt;/author&gt;&lt;author&gt;Martinez-Revelles, S.&lt;/author&gt;&lt;author&gt;Avendano, M. S.&lt;/author&gt;&lt;author&gt;Cachofeiro, V.&lt;/author&gt;&lt;author&gt;Fernandes, T.&lt;/author&gt;&lt;author&gt;Vassallo, D. V.&lt;/author&gt;&lt;author&gt;Oliveira, E. M.&lt;/author&gt;&lt;author&gt;Salaices, M.&lt;/author&gt;&lt;/authors&gt;&lt;/contributors&gt;&lt;auth-address&gt;Departamento de Farmacologia, Facultad de Medicina, Universidad Autonoma de Madrid, Instituto de Investigacion Hospital Universitario La Paz (IdiPAZ), Madrid, Espana.&lt;/auth-address&gt;&lt;titles&gt;&lt;title&gt;Aerobic exercise reduces oxidative stress and improves vascular changes of small mesenteric and coronary arteries in hypertension&lt;/title&gt;&lt;secondary-title&gt;Br J Pharmacol&lt;/secondary-title&gt;&lt;/titles&gt;&lt;periodical&gt;&lt;full-title&gt;Br J Pharmacol&lt;/full-title&gt;&lt;/periodical&gt;&lt;pages&gt;686-703&lt;/pages&gt;&lt;volume&gt;168&lt;/volume&gt;&lt;number&gt;3&lt;/number&gt;&lt;edition&gt;2012/09/22&lt;/edition&gt;&lt;dates&gt;&lt;year&gt;2012&lt;/year&gt;&lt;pub-dates&gt;&lt;date&gt;Feb&lt;/date&gt;&lt;/pub-dates&gt;&lt;/dates&gt;&lt;isbn&gt;1476-5381 (Electronic)&amp;#xD;0007-1188 (Linking)&lt;/isbn&gt;&lt;accession-num&gt;22994554&lt;/accession-num&gt;&lt;urls&gt;&lt;related-urls&gt;&lt;url&gt;http://www.ncbi.nlm.nih.gov/entrez/query.fcgi?cmd=Retrieve&amp;amp;db=PubMed&amp;amp;dopt=Citation&amp;amp;list_uids=22994554&lt;/url&gt;&lt;/related-urls&gt;&lt;/urls&gt;&lt;electronic-resource-num&gt;10.1111/j.1476-5381.2012.02224.x&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(Roque et al., 2012)</w:t>
      </w:r>
      <w:r w:rsidR="001815AD" w:rsidRPr="00E3232D">
        <w:rPr>
          <w:rFonts w:ascii="Book Antiqua" w:hAnsi="Book Antiqua"/>
        </w:rPr>
        <w:fldChar w:fldCharType="end"/>
      </w:r>
      <w:r w:rsidRPr="00E3232D">
        <w:rPr>
          <w:rFonts w:ascii="Book Antiqua" w:hAnsi="Book Antiqua"/>
        </w:rPr>
        <w:t>.</w:t>
      </w:r>
    </w:p>
    <w:p w14:paraId="78562110" w14:textId="77777777" w:rsidR="00AC2FEA" w:rsidRPr="00E3232D" w:rsidRDefault="00AC2FEA" w:rsidP="001C676B">
      <w:pPr>
        <w:spacing w:after="0"/>
        <w:jc w:val="both"/>
        <w:rPr>
          <w:rFonts w:ascii="Book Antiqua" w:hAnsi="Book Antiqua"/>
        </w:rPr>
      </w:pPr>
      <w:r w:rsidRPr="00E3232D">
        <w:rPr>
          <w:rFonts w:ascii="Book Antiqua" w:hAnsi="Book Antiqua"/>
        </w:rPr>
        <w:t xml:space="preserve">Epidemiological evidence has shown that, a significant increase in weight corresponds with increase in hypertension prevalence </w:t>
      </w:r>
      <w:r w:rsidR="001815AD" w:rsidRPr="00E3232D">
        <w:rPr>
          <w:rFonts w:ascii="Book Antiqua" w:hAnsi="Book Antiqua"/>
        </w:rPr>
        <w:fldChar w:fldCharType="begin"/>
      </w:r>
      <w:r w:rsidRPr="00E3232D">
        <w:rPr>
          <w:rFonts w:ascii="Book Antiqua" w:hAnsi="Book Antiqua"/>
        </w:rPr>
        <w:instrText xml:space="preserve"> ADDIN EN.CITE &lt;EndNote&gt;&lt;Cite&gt;&lt;Author&gt;Babinska&lt;/Author&gt;&lt;Year&gt;2012&lt;/Year&gt;&lt;RecNum&gt;53&lt;/RecNum&gt;&lt;record&gt;&lt;rec-number&gt;53&lt;/rec-number&gt;&lt;foreign-keys&gt;&lt;key app="EN" db-id="fevprx2ek5v2tmes00rpzxz4w2tz09ft90p0"&gt;53&lt;/key&gt;&lt;/foreign-keys&gt;&lt;ref-type name="Journal Article"&gt;17&lt;/ref-type&gt;&lt;contributors&gt;&lt;authors&gt;&lt;author&gt;Babinska, K.&lt;/author&gt;&lt;author&gt;Kovacs, L.&lt;/author&gt;&lt;author&gt;Janko, V.&lt;/author&gt;&lt;author&gt;Dallos, T.&lt;/author&gt;&lt;author&gt;Feber, J.&lt;/author&gt;&lt;/authors&gt;&lt;/contributors&gt;&lt;auth-address&gt;2nd Department of Pediatrics, Comenius University Medical School, University Children&amp;apos;s Hospital, Bratislava, Slovakia.&lt;/auth-address&gt;&lt;titles&gt;&lt;title&gt;Association between obesity and the severity of ambulatory hypertension in children and adolescents&lt;/title&gt;&lt;secondary-title&gt;J Am Soc Hypertens&lt;/secondary-title&gt;&lt;/titles&gt;&lt;periodical&gt;&lt;full-title&gt;J Am Soc Hypertens&lt;/full-title&gt;&lt;/periodical&gt;&lt;pages&gt;356-63&lt;/pages&gt;&lt;volume&gt;6&lt;/volume&gt;&lt;number&gt;5&lt;/number&gt;&lt;edition&gt;2012/09/22&lt;/edition&gt;&lt;dates&gt;&lt;year&gt;2012&lt;/year&gt;&lt;pub-dates&gt;&lt;date&gt;Sep-Oct&lt;/date&gt;&lt;/pub-dates&gt;&lt;/dates&gt;&lt;isbn&gt;1878-7436 (Electronic)&amp;#xD;1878-7436 (Linking)&lt;/isbn&gt;&lt;accession-num&gt;22995804&lt;/accession-num&gt;&lt;urls&gt;&lt;related-urls&gt;&lt;url&gt;http://www.ncbi.nlm.nih.gov/entrez/query.fcgi?cmd=Retrieve&amp;amp;db=PubMed&amp;amp;dopt=Citation&amp;amp;list_uids=22995804&lt;/url&gt;&lt;/related-urls&gt;&lt;/urls&gt;&lt;electronic-resource-num&gt;S1933-1711(12)00188-X [pii]&amp;#xD;10.1016/j.jash.2012.08.002&lt;/electronic-resource-num&gt;&lt;language&gt;eng&lt;/language&gt;&lt;/record&gt;&lt;/Cite&gt;&lt;/EndNote&gt;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(Babinska et al., 2012)</w:t>
      </w:r>
      <w:r w:rsidR="001815AD" w:rsidRPr="00E3232D">
        <w:rPr>
          <w:rFonts w:ascii="Book Antiqua" w:hAnsi="Book Antiqua"/>
        </w:rPr>
        <w:fldChar w:fldCharType="end"/>
      </w:r>
      <w:r w:rsidRPr="00E3232D">
        <w:rPr>
          <w:rFonts w:ascii="Book Antiqua" w:hAnsi="Book Antiqua"/>
        </w:rPr>
        <w:t xml:space="preserve">. It is thought that, excessive weight gain can cause hypertension through the increase in several hormones and changes in the body’s anatomy and physiology. A linear relationship has been established between excessive weight gain and hypertension prevalence although this relationship differs among races. Generally blacks and African Americans are known to have a higher prevalence of hypertension than their white counterparts </w:t>
      </w:r>
      <w:r w:rsidR="001815AD" w:rsidRPr="00E3232D">
        <w:rPr>
          <w:rFonts w:ascii="Book Antiqua" w:hAnsi="Book Antiqua"/>
        </w:rPr>
        <w:fldChar w:fldCharType="begin">
          <w:fldData xml:space="preserve">PEVuZE5vdGU+PENpdGU+PEF1dGhvcj5CZXJnbHVuZDwvQXV0aG9yPjxZZWFyPjE5NzY8L1llYXI+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PEVuZE5vdGU+PENpdGU+PEF1dGhvcj5CZXJnbHVuZDwvQXV0aG9yPjxZZWFyPjE5NzY8L1llYXI+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(Berglund et al., 1976; Cooper and Rotimi, 1997)</w:t>
      </w:r>
      <w:r w:rsidR="001815AD" w:rsidRPr="00E3232D">
        <w:rPr>
          <w:rFonts w:ascii="Book Antiqua" w:hAnsi="Book Antiqua"/>
        </w:rPr>
        <w:fldChar w:fldCharType="end"/>
      </w:r>
      <w:r w:rsidRPr="00E3232D">
        <w:rPr>
          <w:rFonts w:ascii="Book Antiqua" w:hAnsi="Book Antiqua"/>
        </w:rPr>
        <w:t xml:space="preserve"> because of their eating habits.</w:t>
      </w:r>
    </w:p>
    <w:p w14:paraId="1B3F500F" w14:textId="77777777" w:rsidR="002F445B" w:rsidRDefault="002F445B" w:rsidP="004C3DD4">
      <w:pPr>
        <w:spacing w:after="0"/>
        <w:jc w:val="both"/>
        <w:rPr>
          <w:rFonts w:ascii="Book Antiqua" w:hAnsi="Book Antiqua"/>
        </w:rPr>
      </w:pPr>
    </w:p>
    <w:p w14:paraId="66EF22FE" w14:textId="77777777" w:rsidR="00AC2FEA" w:rsidRPr="00E3232D" w:rsidRDefault="00AC2FEA" w:rsidP="004C3DD4">
      <w:pPr>
        <w:spacing w:after="0"/>
        <w:jc w:val="both"/>
        <w:rPr>
          <w:rFonts w:ascii="Book Antiqua" w:hAnsi="Book Antiqua"/>
        </w:rPr>
      </w:pPr>
      <w:r w:rsidRPr="00E3232D">
        <w:rPr>
          <w:rFonts w:ascii="Book Antiqua" w:hAnsi="Book Antiqua"/>
        </w:rPr>
        <w:t xml:space="preserve">The use of oral contraceptive pills containing estrogen and progestogen by females as a preventive measure against pregnancy have been proven to increase fat, promote water retention and increase the thinning of arteries which can result in mild elevation of blood pressure. </w:t>
      </w:r>
    </w:p>
    <w:p w14:paraId="7F1E586A" w14:textId="77777777" w:rsidR="00AC2FEA" w:rsidRPr="00E3232D" w:rsidRDefault="00AC2FEA" w:rsidP="001C676B">
      <w:pPr>
        <w:spacing w:after="0"/>
        <w:jc w:val="both"/>
        <w:rPr>
          <w:rFonts w:ascii="Book Antiqua" w:hAnsi="Book Antiqua"/>
        </w:rPr>
      </w:pPr>
      <w:r w:rsidRPr="00E3232D">
        <w:rPr>
          <w:rFonts w:ascii="Book Antiqua" w:hAnsi="Book Antiqua"/>
        </w:rPr>
        <w:t>Also, females generally attend hospital more frequently as depicted by monthly Out-Patient Department (OPD) attendance records which might be a contributing factor to the high diagnosis of the disease in females as opposed to males.</w:t>
      </w:r>
    </w:p>
    <w:p w14:paraId="4A32DB29" w14:textId="77777777" w:rsidR="002F445B" w:rsidRDefault="002F445B" w:rsidP="004C3DD4">
      <w:pPr>
        <w:pStyle w:val="NoSpacing"/>
        <w:spacing w:line="276" w:lineRule="auto"/>
        <w:jc w:val="both"/>
        <w:rPr>
          <w:rFonts w:ascii="Book Antiqua" w:hAnsi="Book Antiqua"/>
        </w:rPr>
      </w:pPr>
    </w:p>
    <w:p w14:paraId="1C0E8917"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Generally, the use of both legal and illegal drugs contributes significantly to the development of hypertension in both males and females. Drugs such as alcohol and tobacco are thought to increase water retention thereby increasing stroke volume and elevating blood pressure. Furthermore, alcohol contains calories which may contribute to unwanted weight gain and interfere with the effectiveness of some blood pressure medications.</w:t>
      </w:r>
    </w:p>
    <w:p w14:paraId="74ADFEFC" w14:textId="77777777" w:rsidR="00B07C78" w:rsidRDefault="00B07C78" w:rsidP="004C3DD4">
      <w:pPr>
        <w:pStyle w:val="NoSpacing"/>
        <w:spacing w:line="276" w:lineRule="auto"/>
        <w:jc w:val="both"/>
        <w:rPr>
          <w:rFonts w:ascii="Book Antiqua" w:hAnsi="Book Antiqua"/>
        </w:rPr>
      </w:pPr>
    </w:p>
    <w:p w14:paraId="521BFC43"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Research has also shown that both active and passive (environmental) cigarette smoking increases inflammation, causes thrombosis and oxidation of low-density lipoprotein cholesterol </w:t>
      </w:r>
      <w:r w:rsidR="001815AD" w:rsidRPr="00E3232D">
        <w:rPr>
          <w:rFonts w:ascii="Book Antiqua" w:hAnsi="Book Antiqua"/>
        </w:rPr>
        <w:fldChar w:fldCharType="begin"/>
      </w:r>
      <w:r w:rsidRPr="00E3232D">
        <w:rPr>
          <w:rFonts w:ascii="Book Antiqua" w:hAnsi="Book Antiqua"/>
        </w:rPr>
        <w:instrText xml:space="preserve"> ADDIN EN.CITE &lt;EndNote&gt;&lt;Cite&gt;&lt;Author&gt;Okusaga&lt;/Author&gt;&lt;Year&gt;2013&lt;/Year&gt;&lt;RecNum&gt;65&lt;/RecNum&gt;&lt;record&gt;&lt;rec-number&gt;65&lt;/rec-number&gt;&lt;foreign-keys&gt;&lt;key app="EN" db-id="fevprx2ek5v2tmes00rpzxz4w2tz09ft90p0"&gt;65&lt;/key&gt;&lt;/foreign-keys&gt;&lt;ref-type name="Journal Article"&gt;17&lt;/ref-type&gt;&lt;contributors&gt;&lt;authors&gt;&lt;author&gt;Okusaga, O.&lt;/author&gt;&lt;author&gt;Stewart, M. C.&lt;/author&gt;&lt;author&gt;Butcher, I.&lt;/author&gt;&lt;author&gt;Deary, I.&lt;/author&gt;&lt;author&gt;Fowkes, F. G.&lt;/author&gt;&lt;author&gt;Price, J. F.&lt;/author&gt;&lt;/authors&gt;&lt;/contributors&gt;&lt;auth-address&gt;Department of Psychiatry and Behavioral Sciences, The University of Texas Health Science Center at Houston, Houston, TX, USA.&lt;/auth-address&gt;&lt;titles&gt;&lt;title&gt;Smoking, hypercholesterolaemia and hypertension as risk factors for cognitive impairment in older adults&lt;/title&gt;&lt;secondary-title&gt;Age Ageing&lt;/secondary-title&gt;&lt;/titles&gt;&lt;periodical&gt;&lt;full-title&gt;Age Ageing&lt;/full-title&gt;&lt;/periodical&gt;&lt;edition&gt;2013/01/11&lt;/edition&gt;&lt;dates&gt;&lt;year&gt;2013&lt;/year&gt;&lt;pub-dates&gt;&lt;date&gt;Jan 9&lt;/date&gt;&lt;/pub-dates&gt;&lt;/dates&gt;&lt;isbn&gt;1468-2834 (Electronic)&amp;#xD;0002-0729 (Linking)&lt;/isbn&gt;&lt;accession-num&gt;23302603&lt;/accession-num&gt;&lt;urls&gt;&lt;related-urls&gt;&lt;url&gt;http://www.ncbi.nlm.nih.gov/entrez/query.fcgi?cmd=Retrieve&amp;amp;db=PubMed&amp;amp;dopt=Citation&amp;amp;list_uids=23302603&lt;/url&gt;&lt;/related-urls&gt;&lt;/urls&gt;&lt;electronic-resource-num&gt;afs193 [pii]&amp;#xD;10.1093/ageing/afs193&lt;/electronic-resource-num&gt;&lt;language&gt;Eng&lt;/language&gt;&lt;/record&gt;&lt;/Cite&gt;&lt;/EndNote&gt;</w:instrText>
      </w:r>
      <w:r w:rsidR="001815AD" w:rsidRPr="00E3232D">
        <w:rPr>
          <w:rFonts w:ascii="Book Antiqua" w:hAnsi="Book Antiqua"/>
        </w:rPr>
        <w:fldChar w:fldCharType="separate"/>
      </w:r>
      <w:r w:rsidRPr="00E3232D">
        <w:rPr>
          <w:rFonts w:ascii="Book Antiqua" w:hAnsi="Book Antiqua"/>
        </w:rPr>
        <w:t>(Okusaga et al., 2013)</w:t>
      </w:r>
      <w:r w:rsidR="001815AD" w:rsidRPr="00E3232D">
        <w:rPr>
          <w:rFonts w:ascii="Book Antiqua" w:hAnsi="Book Antiqua"/>
        </w:rPr>
        <w:fldChar w:fldCharType="end"/>
      </w:r>
      <w:r w:rsidRPr="00E3232D">
        <w:rPr>
          <w:rFonts w:ascii="Book Antiqua" w:hAnsi="Book Antiqua"/>
        </w:rPr>
        <w:t xml:space="preserve">. </w:t>
      </w:r>
    </w:p>
    <w:p w14:paraId="16A973C7" w14:textId="77777777" w:rsidR="00BE6579" w:rsidRDefault="00BE6579" w:rsidP="004C3DD4">
      <w:pPr>
        <w:pStyle w:val="NoSpacing"/>
        <w:spacing w:line="276" w:lineRule="auto"/>
        <w:jc w:val="both"/>
        <w:rPr>
          <w:rFonts w:ascii="Book Antiqua" w:hAnsi="Book Antiqua"/>
        </w:rPr>
      </w:pPr>
    </w:p>
    <w:p w14:paraId="7DCB602C"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Moreover, NSAIDS such as ibuprofen, diclofenac, piroxicam etc. cause renal perfusion which alter the Renin- Angiotension- Aldosterone System (RAAS) </w:t>
      </w:r>
      <w:r w:rsidR="001815AD" w:rsidRPr="00E3232D">
        <w:rPr>
          <w:rFonts w:ascii="Book Antiqua" w:hAnsi="Book Antiqua"/>
        </w:rPr>
        <w:fldChar w:fldCharType="begin"/>
      </w:r>
      <w:r w:rsidRPr="00E3232D">
        <w:rPr>
          <w:rFonts w:ascii="Book Antiqua" w:hAnsi="Book Antiqua"/>
        </w:rPr>
        <w:instrText xml:space="preserve"> ADDIN EN.CITE &lt;EndNote&gt;&lt;Cite&gt;&lt;Author&gt;James&lt;/Author&gt;&lt;Year&gt;2009&lt;/Year&gt;&lt;RecNum&gt;66&lt;/RecNum&gt;&lt;record&gt;&lt;rec-number&gt;66&lt;/rec-number&gt;&lt;foreign-keys&gt;&lt;key app="EN" db-id="fevprx2ek5v2tmes00rpzxz4w2tz09ft90p0"&gt;66&lt;/key&gt;&lt;/foreign-keys&gt;&lt;ref-type name="Journal Article"&gt;17&lt;/ref-type&gt;&lt;contributors&gt;&lt;authors&gt;&lt;author&gt;James, A.&lt;/author&gt;&lt;/authors&gt;&lt;/contributors&gt;&lt;titles&gt;&lt;title&gt;Metformin and lactic acidosis. NSAIDs and renin-angiotensin-aldosterone system&lt;/title&gt;&lt;secondary-title&gt;BMJ&lt;/secondary-title&gt;&lt;/titles&gt;&lt;periodical&gt;&lt;full-title&gt;BMJ&lt;/full-title&gt;&lt;/periodical&gt;&lt;pages&gt;b5567&lt;/pages&gt;&lt;volume&gt;339&lt;/volume&gt;&lt;edition&gt;2009/12/25&lt;/edition&gt;&lt;keywords&gt;&lt;keyword&gt;Acidosis, Lactic/*chemically induced&lt;/keyword&gt;&lt;keyword&gt;Anti-Inflammatory Agents, Non-Steroidal/*adverse effects&lt;/keyword&gt;&lt;keyword&gt;Drug Therapy, Combination/adverse effects&lt;/keyword&gt;&lt;keyword&gt;Humans&lt;/keyword&gt;&lt;keyword&gt;Hypoglycemic Agents/*adverse effects&lt;/keyword&gt;&lt;keyword&gt;Metformin/*adverse effects&lt;/keyword&gt;&lt;keyword&gt;Renin-Angiotensin System/*drug effects&lt;/keyword&gt;&lt;/keywords&gt;&lt;dates&gt;&lt;year&gt;2009&lt;/year&gt;&lt;/dates&gt;&lt;isbn&gt;1756-1833 (Electronic)&amp;#xD;0959-535X (Linking)&lt;/isbn&gt;&lt;accession-num&gt;20032067&lt;/accession-num&gt;&lt;urls&gt;&lt;related-urls&gt;&lt;url&gt;http://www.ncbi.nlm.nih.gov/entrez/query.fcgi?cmd=Retrieve&amp;amp;db=PubMed&amp;amp;dopt=Citation&amp;amp;list_uids=20032067&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(James, 2009)</w:t>
      </w:r>
      <w:r w:rsidR="001815AD" w:rsidRPr="00E3232D">
        <w:rPr>
          <w:rFonts w:ascii="Book Antiqua" w:hAnsi="Book Antiqua"/>
        </w:rPr>
        <w:fldChar w:fldCharType="end"/>
      </w:r>
      <w:r w:rsidRPr="00E3232D">
        <w:rPr>
          <w:rFonts w:ascii="Book Antiqua" w:hAnsi="Book Antiqua"/>
        </w:rPr>
        <w:t xml:space="preserve">. Additionally, NSAIDS block both cyclooxygenase 1 (COX1) and cyclooxygenase 2 (COX2) enzymes and inhibit the vasodilating effects of prostaglandins and cause the production of vasoconstricting factors such as endothelin-1 </w:t>
      </w:r>
      <w:r w:rsidR="001815AD" w:rsidRPr="00E3232D">
        <w:rPr>
          <w:rFonts w:ascii="Book Antiqua" w:hAnsi="Book Antiqua"/>
        </w:rPr>
        <w:fldChar w:fldCharType="begin">
          <w:fldData xml:space="preserve">PEVuZE5vdGU+PENpdGU+PEF1dGhvcj5XYWxsYWNlPC9BdXRob3I+PFllYXI+MTk5OTwvWWVhcj48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==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PEVuZE5vdGU+PENpdGU+PEF1dGhvcj5XYWxsYWNlPC9BdXRob3I+PFllYXI+MTk5OTwvWWVhcj48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==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(Wallace, 1999)</w:t>
      </w:r>
      <w:r w:rsidR="001815AD" w:rsidRPr="00E3232D">
        <w:rPr>
          <w:rFonts w:ascii="Book Antiqua" w:hAnsi="Book Antiqua"/>
        </w:rPr>
        <w:fldChar w:fldCharType="end"/>
      </w:r>
      <w:r w:rsidRPr="00E3232D">
        <w:rPr>
          <w:rFonts w:ascii="Book Antiqua" w:hAnsi="Book Antiqua"/>
        </w:rPr>
        <w:t>. Inhibition of COX2 enzyme increases sodium retention. These factors can contribute to the induction of hypertension in a normotensive patient and rebound hypertension in a controlled hypertensive patient. One of the prodromal signs of hypertension is headache. Most patients developing hypertension experience headache and tend to take a lot of analgesics including NSAIDS to manage the headache. This imparts negatively on their system and increase the already elevated blood pressure.</w:t>
      </w:r>
    </w:p>
    <w:p w14:paraId="7E3571BD" w14:textId="77777777" w:rsidR="00B07C78" w:rsidRDefault="00B07C78" w:rsidP="004C3DD4">
      <w:pPr>
        <w:pStyle w:val="NoSpacing"/>
        <w:spacing w:line="276" w:lineRule="auto"/>
        <w:jc w:val="both"/>
        <w:rPr>
          <w:rFonts w:ascii="Book Antiqua" w:hAnsi="Book Antiqua"/>
        </w:rPr>
      </w:pPr>
    </w:p>
    <w:p w14:paraId="6359664E"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Anabolic steroid use particularly in males is another contributing factor to the high incidence of hypertension in young adults. Anabolic steroids mimic the effects of testosterone and dihydrotesterone in the body which brings about harmful changes in cholesterol levels. Increased cholesterol levels then imparts positively to the development of hypertension.</w:t>
      </w:r>
    </w:p>
    <w:p w14:paraId="77B6A7E8" w14:textId="77777777" w:rsidR="00FD6F87" w:rsidRDefault="00FD6F87" w:rsidP="004C3DD4">
      <w:pPr>
        <w:pStyle w:val="NoSpacing"/>
        <w:spacing w:line="276" w:lineRule="auto"/>
        <w:jc w:val="both"/>
        <w:rPr>
          <w:rFonts w:ascii="Book Antiqua" w:hAnsi="Book Antiqua"/>
        </w:rPr>
      </w:pPr>
    </w:p>
    <w:p w14:paraId="35546CDD"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The use of corticosteroid drugsincluding prednisolone can cause sodium retention resulting in dose-related fluid retention. Corticosteroids with strong mineralocorticoid effects such as hydrocortisone and fludrocortisone cause the greatest amount of fluid retention. Corticosteroid induced fluid retention can be severe enough to cause hypertension in normotensive patients and worsening of hypertension in patients with pre-existing hypertension. The principal mechanism of corticosteroid- induced hypertension is the overstimulation of the mineralocorticoid receptor in the brain resulting in sodium retention in the kidney. This results in volume expansion and subsequent increase in blood pressure. It is therefore advocated that the smallest effective dose and shortest duration of steroid therapy should be used in order to avoid adverse effects.</w:t>
      </w:r>
    </w:p>
    <w:p w14:paraId="02E11E40" w14:textId="77777777" w:rsidR="00B07C78" w:rsidRDefault="00B07C78" w:rsidP="004C3DD4">
      <w:pPr>
        <w:pStyle w:val="NoSpacing"/>
        <w:spacing w:line="276" w:lineRule="auto"/>
        <w:jc w:val="both"/>
        <w:rPr>
          <w:rFonts w:ascii="Book Antiqua" w:hAnsi="Book Antiqua"/>
        </w:rPr>
      </w:pPr>
    </w:p>
    <w:p w14:paraId="11522710" w14:textId="77777777" w:rsidR="00AC2FEA" w:rsidRPr="00E3232D" w:rsidRDefault="00AC2FEA" w:rsidP="004C3DD4">
      <w:pPr>
        <w:pStyle w:val="NoSpacing"/>
        <w:spacing w:line="276" w:lineRule="auto"/>
        <w:jc w:val="both"/>
        <w:rPr>
          <w:rFonts w:ascii="Book Antiqua" w:hAnsi="Book Antiqua"/>
        </w:rPr>
      </w:pPr>
      <w:r w:rsidRPr="00E3232D">
        <w:rPr>
          <w:rFonts w:ascii="Book Antiqua" w:hAnsi="Book Antiqua"/>
        </w:rPr>
        <w:t xml:space="preserve">High cholesterol and salt diet can increase people’s chances of developing hypertension early in life. Generally, cultures whose diets are rich in animal proteins and fats as well as salt are more prone to the development of age related hypertension </w:t>
      </w:r>
      <w:r w:rsidR="001815AD" w:rsidRPr="00E3232D">
        <w:rPr>
          <w:rFonts w:ascii="Book Antiqua" w:hAnsi="Book Antiqua"/>
        </w:rPr>
        <w:fldChar w:fldCharType="begin"/>
      </w:r>
      <w:r w:rsidRPr="00E3232D">
        <w:rPr>
          <w:rFonts w:ascii="Book Antiqua" w:hAnsi="Book Antiqua"/>
        </w:rPr>
        <w:instrText xml:space="preserve"> ADDIN EN.CITE &lt;EndNote&gt;&lt;Cite&gt;&lt;Author&gt;Yan&lt;/Author&gt;&lt;Year&gt;2012&lt;/Year&gt;&lt;RecNum&gt;49&lt;/RecNum&gt;&lt;record&gt;&lt;rec-number&gt;49&lt;/rec-number&gt;&lt;foreign-keys&gt;&lt;key app="EN" db-id="fevprx2ek5v2tmes00rpzxz4w2tz09ft90p0"&gt;49&lt;/key&gt;&lt;/foreign-keys&gt;&lt;ref-type name="Journal Article"&gt;17&lt;/ref-type&gt;&lt;contributors&gt;&lt;authors&gt;&lt;author&gt;Yan, L.&lt;/author&gt;&lt;author&gt;Li, Y.&lt;/author&gt;&lt;author&gt;Wu, Y. F.&lt;/author&gt;&lt;/authors&gt;&lt;/contributors&gt;&lt;auth-address&gt;Deartment of Epidemiology and Biostatistics, Peking University, Beijing, China.&lt;/auth-address&gt;&lt;titles&gt;&lt;title&gt;[Reducing salt intake for hypertension control: related evidence and recommendation on strategies in China]&lt;/title&gt;&lt;secondary-title&gt;Zhonghua Liu Xing Bing Xue Za Zhi&lt;/secondary-title&gt;&lt;/titles&gt;&lt;periodical&gt;&lt;full-title&gt;Zhonghua Liu Xing Bing Xue Za Zhi&lt;/full-title&gt;&lt;/periodical&gt;&lt;pages&gt;1188-92&lt;/pages&gt;&lt;volume&gt;32&lt;/volume&gt;&lt;number&gt;12&lt;/number&gt;&lt;edition&gt;2012/02/18&lt;/edition&gt;&lt;dates&gt;&lt;year&gt;2012&lt;/year&gt;&lt;pub-dates&gt;&lt;date&gt;Dec&lt;/date&gt;&lt;/pub-dates&gt;&lt;/dates&gt;&lt;isbn&gt;0254-6450 (Print)&amp;#xD;0254-6450 (Linking)&lt;/isbn&gt;&lt;accession-num&gt;22336597&lt;/accession-num&gt;&lt;urls&gt;&lt;related-urls&gt;&lt;url&gt;http://www.ncbi.nlm.nih.gov/entrez/query.fcgi?cmd=Retrieve&amp;amp;db=PubMed&amp;amp;dopt=Citation&amp;amp;list_uids=22336597&lt;/url&gt;&lt;/related-urls&gt;&lt;/urls&gt;&lt;language&gt;chi&lt;/language&gt;&lt;/record&gt;&lt;/Cite&gt;&lt;/EndNote&gt;</w:instrText>
      </w:r>
      <w:r w:rsidR="001815AD" w:rsidRPr="00E3232D">
        <w:rPr>
          <w:rFonts w:ascii="Book Antiqua" w:hAnsi="Book Antiqua"/>
        </w:rPr>
        <w:fldChar w:fldCharType="separate"/>
      </w:r>
      <w:r w:rsidRPr="00E3232D">
        <w:rPr>
          <w:rFonts w:ascii="Book Antiqua" w:hAnsi="Book Antiqua"/>
        </w:rPr>
        <w:t>(Yan et al., 2012)</w:t>
      </w:r>
      <w:r w:rsidR="001815AD" w:rsidRPr="00E3232D">
        <w:rPr>
          <w:rFonts w:ascii="Book Antiqua" w:hAnsi="Book Antiqua"/>
        </w:rPr>
        <w:fldChar w:fldCharType="end"/>
      </w:r>
      <w:r w:rsidRPr="00E3232D">
        <w:rPr>
          <w:rFonts w:ascii="Book Antiqua" w:hAnsi="Book Antiqua"/>
        </w:rPr>
        <w:t xml:space="preserve">.On the contrary, cultures whose diets are rich in fresh whole plant foods do not experience age related hypertension </w:t>
      </w:r>
      <w:r w:rsidR="001815AD" w:rsidRPr="00E3232D">
        <w:rPr>
          <w:rFonts w:ascii="Book Antiqua" w:hAnsi="Book Antiqua"/>
        </w:rPr>
        <w:fldChar w:fldCharType="begin">
          <w:fldData xml:space="preserve">PEVuZE5vdGU+PENpdGU+PEF1dGhvcj5TdHVybWVyPC9BdXRob3I+PFllYXI+MjAwNjwvWWVhcj48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</w:fldData>
        </w:fldChar>
      </w:r>
      <w:r w:rsidRPr="00E3232D">
        <w:rPr>
          <w:rFonts w:ascii="Book Antiqua" w:hAnsi="Book Antiqua"/>
        </w:rPr>
        <w:instrText xml:space="preserve"> ADDIN EN.CITE </w:instrText>
      </w:r>
      <w:r w:rsidR="001815AD" w:rsidRPr="00E3232D">
        <w:rPr>
          <w:rFonts w:ascii="Book Antiqua" w:hAnsi="Book Antiqua"/>
        </w:rPr>
        <w:fldChar w:fldCharType="begin">
          <w:fldData xml:space="preserve">PEVuZE5vdGU+PENpdGU+PEF1dGhvcj5TdHVybWVyPC9BdXRob3I+PFllYXI+MjAwNjwvWWVhcj48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</w:fldData>
        </w:fldChar>
      </w:r>
      <w:r w:rsidRPr="00E3232D">
        <w:rPr>
          <w:rFonts w:ascii="Book Antiqua" w:hAnsi="Book Antiqua"/>
        </w:rPr>
        <w:instrText xml:space="preserve"> ADDIN EN.CITE.DATA </w:instrText>
      </w:r>
      <w:r w:rsidR="001815AD" w:rsidRPr="00E3232D">
        <w:rPr>
          <w:rFonts w:ascii="Book Antiqua" w:hAnsi="Book Antiqua"/>
        </w:rPr>
      </w:r>
      <w:r w:rsidR="001815AD" w:rsidRPr="00E3232D">
        <w:rPr>
          <w:rFonts w:ascii="Book Antiqua" w:hAnsi="Book Antiqua"/>
        </w:rPr>
        <w:fldChar w:fldCharType="end"/>
      </w:r>
      <w:r w:rsidR="001815AD" w:rsidRPr="00E3232D">
        <w:rPr>
          <w:rFonts w:ascii="Book Antiqua" w:hAnsi="Book Antiqua"/>
        </w:rPr>
      </w:r>
      <w:r w:rsidR="001815AD" w:rsidRPr="00E3232D">
        <w:rPr>
          <w:rFonts w:ascii="Book Antiqua" w:hAnsi="Book Antiqua"/>
        </w:rPr>
        <w:fldChar w:fldCharType="separate"/>
      </w:r>
      <w:r w:rsidRPr="00E3232D">
        <w:rPr>
          <w:rFonts w:ascii="Book Antiqua" w:hAnsi="Book Antiqua"/>
        </w:rPr>
        <w:t>(Sturmer et al., 2006)</w:t>
      </w:r>
      <w:r w:rsidR="001815AD" w:rsidRPr="00E3232D">
        <w:rPr>
          <w:rFonts w:ascii="Book Antiqua" w:hAnsi="Book Antiqua"/>
        </w:rPr>
        <w:fldChar w:fldCharType="end"/>
      </w:r>
      <w:r w:rsidRPr="00E3232D">
        <w:rPr>
          <w:rFonts w:ascii="Book Antiqua" w:hAnsi="Book Antiqua"/>
        </w:rPr>
        <w:t xml:space="preserve">. Thirty three percent (33%) of the studiedpatientswere obese which buttress the strong link between hypertension and obesity. A high cholesterol diet can eventually lead to the formation of blood clots due to high blood pressure which can be fatal. According to the American Association of kidney patients, excessive salt intake keeps the circulatory blood volume high </w:t>
      </w:r>
      <w:r w:rsidR="001815AD" w:rsidRPr="00E3232D">
        <w:rPr>
          <w:rFonts w:ascii="Book Antiqua" w:hAnsi="Book Antiqua"/>
        </w:rPr>
        <w:fldChar w:fldCharType="begin"/>
      </w:r>
      <w:r w:rsidRPr="00E3232D">
        <w:rPr>
          <w:rFonts w:ascii="Book Antiqua" w:hAnsi="Book Antiqua"/>
        </w:rPr>
        <w:instrText xml:space="preserve"> ADDIN EN.CITE &lt;EndNote&gt;&lt;Cite&gt;&lt;Author&gt;Strazzullo&lt;/Author&gt;&lt;Year&gt;2009&lt;/Year&gt;&lt;RecNum&gt;5&lt;/RecNum&gt;&lt;record&gt;&lt;rec-number&gt;5&lt;/rec-number&gt;&lt;foreign-keys&gt;&lt;key app="EN" db-id="fevprx2ek5v2tmes00rpzxz4w2tz09ft90p0"&gt;5&lt;/key&gt;&lt;/foreign-keys&gt;&lt;ref-type name="Journal Article"&gt;17&lt;/ref-type&gt;&lt;contributors&gt;&lt;authors&gt;&lt;author&gt;Strazzullo, P.&lt;/author&gt;&lt;author&gt;D&amp;apos;Elia, L.&lt;/author&gt;&lt;author&gt;Kandala, N. B.&lt;/author&gt;&lt;author&gt;Cappuccio, F. P.&lt;/author&gt;&lt;/authors&gt;&lt;/contributors&gt;&lt;auth-address&gt;Department of Clinical and Experimental Medicine, Federico II University of Naples Medical School, Naples, Italy. strazzul@unina.it&lt;/auth-address&gt;&lt;titles&gt;&lt;title&gt;Salt intake, stroke, and cardiovascular disease: meta-analysis of prospective studies&lt;/title&gt;&lt;secondary-title&gt;BMJ&lt;/secondary-title&gt;&lt;/titles&gt;&lt;periodical&gt;&lt;full-title&gt;BMJ&lt;/full-title&gt;&lt;/periodical&gt;&lt;pages&gt;b4567&lt;/pages&gt;&lt;volume&gt;339&lt;/volume&gt;&lt;edition&gt;2009/11/26&lt;/edition&gt;&lt;keywords&gt;&lt;keyword&gt;Adult&lt;/keyword&gt;&lt;keyword&gt;Aged&lt;/keyword&gt;&lt;keyword&gt;Blood Pressure/physiology&lt;/keyword&gt;&lt;keyword&gt;Body Mass Index&lt;/keyword&gt;&lt;keyword&gt;Cardiovascular Diseases/*etiology/physiopathology&lt;/keyword&gt;&lt;keyword&gt;Dose-Response Relationship, Drug&lt;/keyword&gt;&lt;keyword&gt;Female&lt;/keyword&gt;&lt;keyword&gt;Humans&lt;/keyword&gt;&lt;keyword&gt;Hypertension/etiology/physiopathology&lt;/keyword&gt;&lt;keyword&gt;Male&lt;/keyword&gt;&lt;keyword&gt;Middle Aged&lt;/keyword&gt;&lt;keyword&gt;Prospective Studies&lt;/keyword&gt;&lt;keyword&gt;Sodium, Dietary/administration &amp;amp; dosage/*adverse effects&lt;/keyword&gt;&lt;keyword&gt;Stroke/etiology/physiopathology&lt;/keyword&gt;&lt;/keywords&gt;&lt;dates&gt;&lt;year&gt;2009&lt;/year&gt;&lt;/dates&gt;&lt;isbn&gt;1756-1833 (Electronic)&amp;#xD;0959-535X (Linking)&lt;/isbn&gt;&lt;accession-num&gt;19934192&lt;/accession-num&gt;&lt;urls&gt;&lt;related-urls&gt;&lt;url&gt;http://www.ncbi.nlm.nih.gov/entrez/query.fcgi?cmd=Retrieve&amp;amp;db=PubMed&amp;amp;dopt=Citation&amp;amp;list_uids=19934192&lt;/url&gt;&lt;/related-urls&gt;&lt;/urls&gt;&lt;language&gt;eng&lt;/language&gt;&lt;/record&gt;&lt;/Cite&gt;&lt;/EndNote&gt;</w:instrText>
      </w:r>
      <w:r w:rsidR="001815AD" w:rsidRPr="00E3232D">
        <w:rPr>
          <w:rFonts w:ascii="Book Antiqua" w:hAnsi="Book Antiqua"/>
        </w:rPr>
        <w:fldChar w:fldCharType="separate"/>
      </w:r>
      <w:r w:rsidRPr="00E3232D">
        <w:rPr>
          <w:rFonts w:ascii="Book Antiqua" w:hAnsi="Book Antiqua"/>
        </w:rPr>
        <w:t>(Strazzullo et al., 2009)</w:t>
      </w:r>
      <w:r w:rsidR="001815AD" w:rsidRPr="00E3232D">
        <w:rPr>
          <w:rFonts w:ascii="Book Antiqua" w:hAnsi="Book Antiqua"/>
        </w:rPr>
        <w:fldChar w:fldCharType="end"/>
      </w:r>
      <w:r w:rsidRPr="00E3232D">
        <w:rPr>
          <w:rFonts w:ascii="Book Antiqua" w:hAnsi="Book Antiqua"/>
        </w:rPr>
        <w:t>. Obesity affects a number of hormonal systems in the body including the Renin-Angiotensin-Aldosterone-System (RAAS) which controls blood volume as well as sodium and water retention in the body which inadvertently affects blood pressure. The role of weight loss in the effective management of obesity related hypertension cannot therefore be overemphasized. Weight loss leads to a significant lowering of blood pressure which is important in hypertension management. There is the need for public education to promote necessary lifestyle modification to enhance hypertension control and achieve targeted blood pressure goals.</w:t>
      </w:r>
    </w:p>
    <w:p w14:paraId="17B151EE" w14:textId="77777777" w:rsidR="00B07C78" w:rsidRDefault="00B07C78" w:rsidP="004C3DD4">
      <w:pPr>
        <w:spacing w:after="0"/>
        <w:jc w:val="both"/>
        <w:rPr>
          <w:rFonts w:ascii="Book Antiqua" w:hAnsi="Book Antiqua"/>
        </w:rPr>
      </w:pPr>
    </w:p>
    <w:p w14:paraId="08A0DC06" w14:textId="77777777" w:rsidR="00AC2FEA" w:rsidRPr="00E3232D" w:rsidRDefault="00AC2FEA" w:rsidP="004C3DD4">
      <w:pPr>
        <w:spacing w:after="0"/>
        <w:jc w:val="both"/>
        <w:rPr>
          <w:rFonts w:ascii="Book Antiqua" w:hAnsi="Book Antiqua"/>
        </w:rPr>
      </w:pPr>
      <w:r w:rsidRPr="00E3232D">
        <w:rPr>
          <w:rFonts w:ascii="Book Antiqua" w:hAnsi="Book Antiqua"/>
        </w:rPr>
        <w:t>Diabetes mellitus was prevalent in fifty nine percent (59%) of the studied patients.</w:t>
      </w:r>
    </w:p>
    <w:p w14:paraId="1E258D60" w14:textId="77777777" w:rsidR="00AC2FEA" w:rsidRPr="00E3232D" w:rsidRDefault="00AC2FEA" w:rsidP="004C3DD4">
      <w:pPr>
        <w:spacing w:after="0"/>
        <w:jc w:val="both"/>
        <w:rPr>
          <w:rFonts w:ascii="Book Antiqua" w:hAnsi="Book Antiqua"/>
        </w:rPr>
      </w:pPr>
      <w:r w:rsidRPr="00E3232D">
        <w:rPr>
          <w:rFonts w:ascii="Book Antiqua" w:hAnsi="Book Antiqua"/>
        </w:rPr>
        <w:t>Diabetes mellitus can adversely affect the arteries causing atherosclerosis which leads to hypertension. Diabetes mellitus if not properly managed, it can lead to the development of hypertension in a previously normotensive patient or worsen pre-existing hypertension.</w:t>
      </w:r>
    </w:p>
    <w:p w14:paraId="21AD6262" w14:textId="77777777" w:rsidR="00B07C78" w:rsidRDefault="00B07C78" w:rsidP="004C3DD4">
      <w:pPr>
        <w:spacing w:after="0"/>
        <w:jc w:val="both"/>
        <w:rPr>
          <w:rFonts w:ascii="Book Antiqua" w:hAnsi="Book Antiqua"/>
        </w:rPr>
      </w:pPr>
    </w:p>
    <w:p w14:paraId="13A42085" w14:textId="77777777" w:rsidR="00AC2FEA" w:rsidRPr="00E3232D" w:rsidRDefault="00AC2FEA" w:rsidP="004C3DD4">
      <w:pPr>
        <w:spacing w:after="0"/>
        <w:jc w:val="both"/>
        <w:rPr>
          <w:rFonts w:ascii="Book Antiqua" w:hAnsi="Book Antiqua"/>
        </w:rPr>
      </w:pPr>
      <w:r w:rsidRPr="00E3232D">
        <w:rPr>
          <w:rFonts w:ascii="Book Antiqua" w:hAnsi="Book Antiqua"/>
        </w:rPr>
        <w:t xml:space="preserve">Inadequate funds, inexperienced and/ or inadequate health care personnel, inadequate treatment and lack of infrastructure in developing countries remain important barriers to effective hypertension diagnosis and management. In Ghana, socioeconomic factors play a vital role in hospital attendance and hence treatment outcomes. Since the inception of the National Health Insurance Scheme (NHIS) in 2003 by the Ghanaian government in Ghana, access to health care has improved drastically. Patients with chronic conditions such as hypertension have benefitted massively in terms of quality health care delivery, medicines availability and better therapeutic outcomes. From the results of the study, eighty three percent (83%) of the studied patients were registered on the NHIS which reflects a high patronage.  The government however has to make a conscious effort to extend coverage for Ghanaian. </w:t>
      </w:r>
    </w:p>
    <w:p w14:paraId="1A805CC5" w14:textId="77777777" w:rsidR="00B07C78" w:rsidRDefault="00B07C78" w:rsidP="004C3DD4">
      <w:pPr>
        <w:spacing w:after="0"/>
        <w:jc w:val="both"/>
        <w:rPr>
          <w:rFonts w:ascii="Book Antiqua" w:hAnsi="Book Antiqua"/>
        </w:rPr>
      </w:pPr>
    </w:p>
    <w:p w14:paraId="4973ABDC" w14:textId="77777777" w:rsidR="00AC2FEA" w:rsidRPr="00E3232D" w:rsidRDefault="00AC2FEA" w:rsidP="004C3DD4">
      <w:pPr>
        <w:spacing w:after="0"/>
        <w:jc w:val="both"/>
        <w:rPr>
          <w:rFonts w:ascii="Book Antiqua" w:hAnsi="Book Antiqua"/>
        </w:rPr>
      </w:pPr>
      <w:r w:rsidRPr="00E3232D">
        <w:rPr>
          <w:rFonts w:ascii="Book Antiqua" w:hAnsi="Book Antiqua"/>
        </w:rPr>
        <w:t xml:space="preserve">It has been established that, the use of combination therapy for the management of hypertension is more beneficial than the use of mono therapy. Seventy six percent (76%) of the studied patients were on combination therapy as compared to twenty four percent (24%) on mono- therapy. Twenty two percent (22%) of the studied patients were on Angiotensin II Converting (ACE) Inhibitor diuretic combination whiles twenty two percent (22%) were on Angiotensin II Converting (ACE) Inhibitor beta blocker combination. </w:t>
      </w:r>
    </w:p>
    <w:p w14:paraId="7594FCE5" w14:textId="77777777" w:rsidR="00AC2FEA" w:rsidRPr="00E3232D" w:rsidRDefault="00AC2FEA" w:rsidP="004C3DD4">
      <w:pPr>
        <w:spacing w:after="0"/>
        <w:jc w:val="both"/>
        <w:rPr>
          <w:rFonts w:ascii="Book Antiqua" w:hAnsi="Book Antiqua"/>
        </w:rPr>
      </w:pPr>
      <w:r w:rsidRPr="00E3232D">
        <w:rPr>
          <w:rFonts w:ascii="Book Antiqua" w:hAnsi="Book Antiqua"/>
        </w:rPr>
        <w:t>Thirty seven percent (37%) of the studied patients had mild hypertension, forty seven percent (47%) had moderate hypertension and nine percent (9%) had severe hypertension with five percent (5%) having high normal hypertension in accordance with the 7</w:t>
      </w:r>
      <w:r w:rsidRPr="00E3232D">
        <w:rPr>
          <w:rFonts w:ascii="Book Antiqua" w:hAnsi="Book Antiqua"/>
          <w:vertAlign w:val="superscript"/>
        </w:rPr>
        <w:t>th</w:t>
      </w:r>
      <w:r w:rsidRPr="00E3232D">
        <w:rPr>
          <w:rFonts w:ascii="Book Antiqua" w:hAnsi="Book Antiqua"/>
        </w:rPr>
        <w:t xml:space="preserve"> Joint National Committee (JNC7) on hypertension classification. The high percentage of people with moderate hypertension (150-159/100109) is particularly disturbing. There is a high possibility that this group of hypertensive patients can develop severe hypertension if not managed well. In Ghana, a lot of people depend heavily on herbal preparations and superstition which can affect therapeutic outcomes. People with mild hypertension need to be closely monitored as well to prevent a decline in their condition.</w:t>
      </w:r>
    </w:p>
    <w:p w14:paraId="6FB6E58F" w14:textId="77777777" w:rsidR="00D768EE" w:rsidRDefault="00D768EE" w:rsidP="004C3DD4">
      <w:pPr>
        <w:spacing w:after="0"/>
        <w:jc w:val="both"/>
        <w:rPr>
          <w:rFonts w:ascii="Book Antiqua" w:hAnsi="Book Antiqua"/>
        </w:rPr>
      </w:pPr>
    </w:p>
    <w:p w14:paraId="56918F44" w14:textId="77777777" w:rsidR="00AC2FEA" w:rsidRPr="00E3232D" w:rsidRDefault="00AC2FEA" w:rsidP="004C3DD4">
      <w:pPr>
        <w:spacing w:after="0"/>
        <w:jc w:val="both"/>
        <w:rPr>
          <w:rFonts w:ascii="Book Antiqua" w:hAnsi="Book Antiqua"/>
        </w:rPr>
      </w:pPr>
      <w:r w:rsidRPr="00E3232D">
        <w:rPr>
          <w:rFonts w:ascii="Book Antiqua" w:hAnsi="Book Antiqua"/>
        </w:rPr>
        <w:t>In recent times, there has been a move towards health education particularly lifestyle modification throughout the country. Public education on awareness of hypertension, its signs and symptoms, management and healthy living is of paramount importance; therefore, well focused campaigns could definitely bring about positive disease outlook.</w:t>
      </w:r>
    </w:p>
    <w:p w14:paraId="29320855" w14:textId="77777777" w:rsidR="00B07C78" w:rsidRDefault="00B07C78" w:rsidP="004C3DD4">
      <w:pPr>
        <w:spacing w:after="0"/>
        <w:jc w:val="both"/>
        <w:rPr>
          <w:rFonts w:ascii="Book Antiqua" w:hAnsi="Book Antiqua"/>
        </w:rPr>
      </w:pPr>
    </w:p>
    <w:p w14:paraId="7F767C8B" w14:textId="77777777" w:rsidR="00AC2FEA" w:rsidRPr="00E3232D" w:rsidRDefault="00AC2FEA" w:rsidP="004C3DD4">
      <w:pPr>
        <w:spacing w:after="0"/>
        <w:jc w:val="both"/>
        <w:rPr>
          <w:rFonts w:ascii="Book Antiqua" w:hAnsi="Book Antiqua"/>
        </w:rPr>
      </w:pPr>
      <w:r w:rsidRPr="00E3232D">
        <w:rPr>
          <w:rFonts w:ascii="Book Antiqua" w:hAnsi="Book Antiqua"/>
        </w:rPr>
        <w:t xml:space="preserve">It is therefore important to plan, develop, implement, monitor, evaluate and reassess effective public education programs on hypertension. The educational activities should take into cognizance the entrenched socio-cultural beliefs of most Ghanaians. </w:t>
      </w:r>
    </w:p>
    <w:p w14:paraId="7F94CE43" w14:textId="77777777" w:rsidR="00AC2FEA" w:rsidRPr="00E3232D" w:rsidRDefault="00AC2FEA" w:rsidP="001C676B">
      <w:pPr>
        <w:spacing w:after="0"/>
        <w:jc w:val="both"/>
        <w:rPr>
          <w:rFonts w:ascii="Book Antiqua" w:hAnsi="Book Antiqua"/>
        </w:rPr>
      </w:pPr>
    </w:p>
    <w:p w14:paraId="0AB9E498" w14:textId="77777777" w:rsidR="00AC2FEA" w:rsidRPr="00E3232D" w:rsidRDefault="004C3DD4" w:rsidP="00196385">
      <w:pPr>
        <w:pStyle w:val="ListParagraph"/>
        <w:numPr>
          <w:ilvl w:val="0"/>
          <w:numId w:val="176"/>
        </w:numPr>
        <w:tabs>
          <w:tab w:val="left" w:pos="7620"/>
        </w:tabs>
        <w:jc w:val="both"/>
        <w:rPr>
          <w:rFonts w:ascii="Book Antiqua" w:hAnsi="Book Antiqua"/>
          <w:b/>
        </w:rPr>
      </w:pPr>
      <w:r w:rsidRPr="004C3DD4">
        <w:rPr>
          <w:rFonts w:ascii="Book Antiqua" w:hAnsi="Book Antiqua"/>
          <w:b/>
          <w:sz w:val="26"/>
        </w:rPr>
        <w:t>Conclusion</w:t>
      </w:r>
    </w:p>
    <w:p w14:paraId="18833F43" w14:textId="77777777" w:rsidR="00AC2FEA" w:rsidRPr="00E3232D" w:rsidRDefault="00D768EE" w:rsidP="004C3DD4">
      <w:pPr>
        <w:jc w:val="both"/>
        <w:rPr>
          <w:rFonts w:ascii="Book Antiqua" w:hAnsi="Book Antiqua"/>
        </w:rPr>
      </w:pPr>
      <w:r>
        <w:rPr>
          <w:rFonts w:ascii="Book Antiqua" w:hAnsi="Book Antiqua"/>
        </w:rPr>
        <w:t xml:space="preserve">Hypertension is a serious </w:t>
      </w:r>
      <w:r w:rsidR="00AC2FEA" w:rsidRPr="00E3232D">
        <w:rPr>
          <w:rFonts w:ascii="Book Antiqua" w:hAnsi="Book Antiqua"/>
        </w:rPr>
        <w:t>public health problem among young adults  in Ghana.   Common co-morbid conditions identified among the studied patients were diabetes mellitus and obesity. Health education programs which seek to promote lifestyle modification and hence healthy living should be encouraged.</w:t>
      </w:r>
    </w:p>
    <w:p w14:paraId="7E1EAEF9" w14:textId="77777777" w:rsidR="00AC2FEA" w:rsidRPr="00E3232D" w:rsidRDefault="00AC2FEA" w:rsidP="004C3DD4">
      <w:pPr>
        <w:jc w:val="both"/>
        <w:rPr>
          <w:rFonts w:ascii="Book Antiqua" w:hAnsi="Book Antiqua"/>
          <w:b/>
        </w:rPr>
      </w:pPr>
      <w:r w:rsidRPr="00E3232D">
        <w:rPr>
          <w:rFonts w:ascii="Book Antiqua" w:hAnsi="Book Antiqua"/>
          <w:b/>
        </w:rPr>
        <w:t>Limitations</w:t>
      </w:r>
    </w:p>
    <w:p w14:paraId="7A2B8B27" w14:textId="77777777" w:rsidR="004C3DD4" w:rsidRPr="001C676B" w:rsidRDefault="00AC2FEA" w:rsidP="001C676B">
      <w:pPr>
        <w:jc w:val="both"/>
        <w:rPr>
          <w:rFonts w:ascii="Book Antiqua" w:hAnsi="Book Antiqua"/>
        </w:rPr>
      </w:pPr>
      <w:r w:rsidRPr="00E3232D">
        <w:rPr>
          <w:rFonts w:ascii="Book Antiqua" w:hAnsi="Book Antiqua"/>
        </w:rPr>
        <w:t xml:space="preserve">Limitations encountered during the study included the unavailability of some patient folders and illegibility of some prescribers’ handwriting.  </w:t>
      </w:r>
    </w:p>
    <w:p w14:paraId="73864B61" w14:textId="77777777" w:rsidR="00AC2FEA" w:rsidRPr="00E3232D" w:rsidRDefault="00806674" w:rsidP="004C3DD4">
      <w:pPr>
        <w:tabs>
          <w:tab w:val="left" w:pos="7620"/>
        </w:tabs>
        <w:jc w:val="both"/>
        <w:rPr>
          <w:rFonts w:ascii="Book Antiqua" w:hAnsi="Book Antiqua"/>
          <w:b/>
        </w:rPr>
      </w:pPr>
      <w:r>
        <w:rPr>
          <w:rFonts w:ascii="Book Antiqua" w:hAnsi="Book Antiqua"/>
          <w:b/>
          <w:sz w:val="26"/>
        </w:rPr>
        <w:t xml:space="preserve">6.0 </w:t>
      </w:r>
      <w:r w:rsidR="00AC2FEA" w:rsidRPr="004C3DD4">
        <w:rPr>
          <w:rFonts w:ascii="Book Antiqua" w:hAnsi="Book Antiqua"/>
          <w:b/>
          <w:sz w:val="26"/>
        </w:rPr>
        <w:t>Recommendations</w:t>
      </w:r>
    </w:p>
    <w:p w14:paraId="0206BDF4" w14:textId="77777777" w:rsidR="00AC2FEA" w:rsidRPr="00E3232D" w:rsidRDefault="00AC2FEA" w:rsidP="004C3DD4">
      <w:pPr>
        <w:tabs>
          <w:tab w:val="left" w:pos="7620"/>
        </w:tabs>
        <w:jc w:val="both"/>
        <w:rPr>
          <w:rFonts w:ascii="Book Antiqua" w:hAnsi="Book Antiqua"/>
        </w:rPr>
      </w:pPr>
      <w:r w:rsidRPr="00E3232D">
        <w:rPr>
          <w:rFonts w:ascii="Book Antiqua" w:hAnsi="Book Antiqua"/>
        </w:rPr>
        <w:t>The following practices may be recommendable in reducing the incidence of hypertension;</w:t>
      </w:r>
    </w:p>
    <w:p w14:paraId="57B1FAE7" w14:textId="77777777" w:rsidR="00AC2FEA" w:rsidRPr="00E3232D" w:rsidRDefault="00AC2FEA" w:rsidP="00196385">
      <w:pPr>
        <w:pStyle w:val="ListParagraph"/>
        <w:numPr>
          <w:ilvl w:val="0"/>
          <w:numId w:val="68"/>
        </w:numPr>
        <w:tabs>
          <w:tab w:val="left" w:pos="7620"/>
        </w:tabs>
        <w:jc w:val="both"/>
        <w:rPr>
          <w:rFonts w:ascii="Book Antiqua" w:hAnsi="Book Antiqua"/>
        </w:rPr>
      </w:pPr>
      <w:r w:rsidRPr="00E3232D">
        <w:rPr>
          <w:rFonts w:ascii="Book Antiqua" w:hAnsi="Book Antiqua"/>
        </w:rPr>
        <w:t>Early diagnosis of hypertension should be adopted as a measure to prevent progression of the disease and subsequent development of complications through the organization of detection programs.</w:t>
      </w:r>
    </w:p>
    <w:p w14:paraId="61F351C6" w14:textId="77777777" w:rsidR="00AC2FEA" w:rsidRPr="00E3232D" w:rsidRDefault="00AC2FEA" w:rsidP="00196385">
      <w:pPr>
        <w:pStyle w:val="ListParagraph"/>
        <w:numPr>
          <w:ilvl w:val="0"/>
          <w:numId w:val="68"/>
        </w:numPr>
        <w:tabs>
          <w:tab w:val="left" w:pos="7620"/>
        </w:tabs>
        <w:jc w:val="both"/>
        <w:rPr>
          <w:rFonts w:ascii="Book Antiqua" w:hAnsi="Book Antiqua"/>
        </w:rPr>
      </w:pPr>
      <w:r w:rsidRPr="00E3232D">
        <w:rPr>
          <w:rFonts w:ascii="Book Antiqua" w:hAnsi="Book Antiqua"/>
        </w:rPr>
        <w:t>Education of patients with pre-existing hypertension should be greatly intensified in order to involve such patients in the disease management process.</w:t>
      </w:r>
    </w:p>
    <w:p w14:paraId="4E951250" w14:textId="77777777" w:rsidR="00AC2FEA" w:rsidRPr="00E3232D" w:rsidRDefault="00AC2FEA" w:rsidP="00196385">
      <w:pPr>
        <w:pStyle w:val="ListParagraph"/>
        <w:numPr>
          <w:ilvl w:val="0"/>
          <w:numId w:val="68"/>
        </w:numPr>
        <w:tabs>
          <w:tab w:val="left" w:pos="7620"/>
        </w:tabs>
        <w:jc w:val="both"/>
        <w:rPr>
          <w:rFonts w:ascii="Book Antiqua" w:hAnsi="Book Antiqua"/>
        </w:rPr>
      </w:pPr>
      <w:r w:rsidRPr="00E3232D">
        <w:rPr>
          <w:rFonts w:ascii="Book Antiqua" w:hAnsi="Book Antiqua"/>
        </w:rPr>
        <w:t>There is the need for health care workers to adopt new disease management strategies that fit the patient’s healthcare needs.</w:t>
      </w:r>
    </w:p>
    <w:p w14:paraId="47EC6ACB" w14:textId="77777777" w:rsidR="00AC2FEA" w:rsidRPr="00806674" w:rsidRDefault="00AC2FEA" w:rsidP="00196385">
      <w:pPr>
        <w:pStyle w:val="ListParagraph"/>
        <w:numPr>
          <w:ilvl w:val="0"/>
          <w:numId w:val="68"/>
        </w:numPr>
        <w:tabs>
          <w:tab w:val="left" w:pos="7620"/>
        </w:tabs>
        <w:jc w:val="both"/>
        <w:rPr>
          <w:rFonts w:ascii="Book Antiqua" w:hAnsi="Book Antiqua"/>
        </w:rPr>
      </w:pPr>
      <w:r w:rsidRPr="00E3232D">
        <w:rPr>
          <w:rFonts w:ascii="Book Antiqua" w:hAnsi="Book Antiqua"/>
        </w:rPr>
        <w:t>Non – pharmacological management of hypertension such as Dietary Approaches to Stop Hypertension (DASH) should be encouraged.</w:t>
      </w:r>
    </w:p>
    <w:p w14:paraId="53C9BE85" w14:textId="77777777" w:rsidR="00AC2FEA" w:rsidRPr="00E3232D" w:rsidRDefault="00AC2FEA" w:rsidP="004C3DD4">
      <w:pPr>
        <w:tabs>
          <w:tab w:val="left" w:pos="7620"/>
        </w:tabs>
        <w:jc w:val="both"/>
        <w:rPr>
          <w:rFonts w:ascii="Book Antiqua" w:hAnsi="Book Antiqua"/>
          <w:b/>
        </w:rPr>
      </w:pPr>
      <w:r w:rsidRPr="00E3232D">
        <w:rPr>
          <w:rFonts w:ascii="Book Antiqua" w:hAnsi="Book Antiqua"/>
          <w:b/>
        </w:rPr>
        <w:t>Acknowledgement</w:t>
      </w:r>
    </w:p>
    <w:p w14:paraId="7D9EC6CF" w14:textId="77777777" w:rsidR="00E63821" w:rsidRPr="00806674" w:rsidRDefault="00AC2FEA" w:rsidP="00806674">
      <w:pPr>
        <w:tabs>
          <w:tab w:val="left" w:pos="7620"/>
        </w:tabs>
        <w:jc w:val="both"/>
        <w:rPr>
          <w:rFonts w:ascii="Book Antiqua" w:hAnsi="Book Antiqua"/>
        </w:rPr>
      </w:pPr>
      <w:r w:rsidRPr="00E3232D">
        <w:rPr>
          <w:rFonts w:ascii="Book Antiqua" w:hAnsi="Book Antiqua"/>
        </w:rPr>
        <w:t>We would like to express our deepest gratitude to the biostatistician and pharmacist- in charge of Hawa Memorial Savoiur Hospital at Osiem in the Eastern Region of Ghana.</w:t>
      </w:r>
    </w:p>
    <w:p w14:paraId="4F3DF2E0" w14:textId="77777777" w:rsidR="00AC2FEA" w:rsidRPr="006625A6" w:rsidRDefault="001C676B" w:rsidP="004C3DD4">
      <w:pPr>
        <w:tabs>
          <w:tab w:val="left" w:pos="2505"/>
        </w:tabs>
        <w:jc w:val="both"/>
        <w:rPr>
          <w:rFonts w:ascii="Book Antiqua" w:hAnsi="Book Antiqua"/>
          <w:b/>
        </w:rPr>
      </w:pPr>
      <w:r w:rsidRPr="001C676B">
        <w:rPr>
          <w:rFonts w:ascii="Book Antiqua" w:hAnsi="Book Antiqua"/>
          <w:b/>
          <w:sz w:val="26"/>
        </w:rPr>
        <w:t>References</w:t>
      </w:r>
      <w:r w:rsidR="00AC2FEA" w:rsidRPr="00E3232D">
        <w:rPr>
          <w:rFonts w:ascii="Book Antiqua" w:hAnsi="Book Antiqua"/>
          <w:vanish/>
        </w:rPr>
        <w:t xml:space="preserve">Find all citations by this </w:t>
      </w:r>
      <w:r w:rsidR="00AC2FEA" w:rsidRPr="00E3232D">
        <w:rPr>
          <w:rFonts w:ascii="Book Antiqua" w:hAnsi="Book Antiqua"/>
          <w:b/>
          <w:bCs/>
          <w:vanish/>
        </w:rPr>
        <w:t>author</w:t>
      </w:r>
      <w:r w:rsidR="00AC2FEA" w:rsidRPr="00E3232D">
        <w:rPr>
          <w:rFonts w:ascii="Book Antiqua" w:hAnsi="Book Antiqua"/>
          <w:vanish/>
        </w:rPr>
        <w:t xml:space="preserve"> (default).Orfilter your current searchFind all citations by this </w:t>
      </w:r>
      <w:r w:rsidR="00AC2FEA" w:rsidRPr="00E3232D">
        <w:rPr>
          <w:rFonts w:ascii="Book Antiqua" w:hAnsi="Book Antiqua"/>
          <w:b/>
          <w:bCs/>
          <w:vanish/>
        </w:rPr>
        <w:t>author</w:t>
      </w:r>
      <w:r w:rsidR="00AC2FEA" w:rsidRPr="00E3232D">
        <w:rPr>
          <w:rFonts w:ascii="Book Antiqua" w:hAnsi="Book Antiqua"/>
          <w:vanish/>
        </w:rPr>
        <w:t xml:space="preserve"> (default).Or</w:t>
      </w:r>
      <w:hyperlink r:id="rId188" w:history="1">
        <w:r w:rsidR="00AC2FEA" w:rsidRPr="00E3232D">
          <w:rPr>
            <w:rStyle w:val="Hyperlink"/>
            <w:rFonts w:ascii="Book Antiqua" w:hAnsi="Book Antiqua"/>
            <w:vanish/>
          </w:rPr>
          <w:t>filter your current search</w:t>
        </w:r>
      </w:hyperlink>
    </w:p>
    <w:p w14:paraId="169B68FF" w14:textId="77777777" w:rsidR="00AC2FEA" w:rsidRPr="00E3232D" w:rsidRDefault="00AC2FEA" w:rsidP="004C3DD4">
      <w:pPr>
        <w:jc w:val="both"/>
        <w:rPr>
          <w:rFonts w:ascii="Book Antiqua" w:hAnsi="Book Antiqua"/>
          <w:vanish/>
        </w:rPr>
      </w:pPr>
      <w:r w:rsidRPr="00E3232D">
        <w:rPr>
          <w:rFonts w:ascii="Book Antiqua" w:hAnsi="Book Antiqua"/>
          <w:vanish/>
        </w:rPr>
        <w:t xml:space="preserve">Find all citations by this </w:t>
      </w:r>
      <w:r w:rsidRPr="00E3232D">
        <w:rPr>
          <w:rFonts w:ascii="Book Antiqua" w:hAnsi="Book Antiqua"/>
          <w:b/>
          <w:bCs/>
          <w:vanish/>
        </w:rPr>
        <w:t>author</w:t>
      </w:r>
      <w:r w:rsidRPr="00E3232D">
        <w:rPr>
          <w:rFonts w:ascii="Book Antiqua" w:hAnsi="Book Antiqua"/>
          <w:vanish/>
        </w:rPr>
        <w:t xml:space="preserve"> (default).</w:t>
      </w:r>
    </w:p>
    <w:p w14:paraId="6317CE82" w14:textId="77777777" w:rsidR="00AC2FEA" w:rsidRPr="00E3232D" w:rsidRDefault="00AC2FEA" w:rsidP="004C3DD4">
      <w:pPr>
        <w:jc w:val="both"/>
        <w:rPr>
          <w:rFonts w:ascii="Book Antiqua" w:hAnsi="Book Antiqua"/>
          <w:vanish/>
        </w:rPr>
      </w:pPr>
      <w:r w:rsidRPr="00E3232D">
        <w:rPr>
          <w:rFonts w:ascii="Book Antiqua" w:hAnsi="Book Antiqua"/>
          <w:vanish/>
        </w:rPr>
        <w:t>Or</w:t>
      </w:r>
      <w:hyperlink r:id="rId189" w:history="1">
        <w:r w:rsidRPr="00E3232D">
          <w:rPr>
            <w:rStyle w:val="Hyperlink"/>
            <w:rFonts w:ascii="Book Antiqua" w:hAnsi="Book Antiqua"/>
            <w:vanish/>
          </w:rPr>
          <w:t>filter your current search</w:t>
        </w:r>
      </w:hyperlink>
    </w:p>
    <w:p w14:paraId="235A4332" w14:textId="77777777" w:rsidR="00AC2FEA" w:rsidRPr="00E3232D" w:rsidRDefault="00AC2FEA" w:rsidP="004C3DD4">
      <w:pPr>
        <w:jc w:val="both"/>
        <w:rPr>
          <w:rFonts w:ascii="Book Antiqua" w:hAnsi="Book Antiqua"/>
          <w:vanish/>
        </w:rPr>
      </w:pPr>
      <w:r w:rsidRPr="00E3232D">
        <w:rPr>
          <w:rFonts w:ascii="Book Antiqua" w:hAnsi="Book Antiqua"/>
          <w:vanish/>
        </w:rPr>
        <w:t xml:space="preserve">Find all citations by this </w:t>
      </w:r>
      <w:r w:rsidRPr="00E3232D">
        <w:rPr>
          <w:rFonts w:ascii="Book Antiqua" w:hAnsi="Book Antiqua"/>
          <w:b/>
          <w:bCs/>
          <w:vanish/>
        </w:rPr>
        <w:t>author</w:t>
      </w:r>
      <w:r w:rsidRPr="00E3232D">
        <w:rPr>
          <w:rFonts w:ascii="Book Antiqua" w:hAnsi="Book Antiqua"/>
          <w:vanish/>
        </w:rPr>
        <w:t xml:space="preserve"> (default).</w:t>
      </w:r>
    </w:p>
    <w:p w14:paraId="58D09334" w14:textId="77777777" w:rsidR="00AC2FEA" w:rsidRPr="00E3232D" w:rsidRDefault="00AC2FEA" w:rsidP="004C3DD4">
      <w:pPr>
        <w:jc w:val="both"/>
        <w:rPr>
          <w:rFonts w:ascii="Book Antiqua" w:hAnsi="Book Antiqua"/>
          <w:vanish/>
        </w:rPr>
      </w:pPr>
      <w:r w:rsidRPr="00E3232D">
        <w:rPr>
          <w:rFonts w:ascii="Book Antiqua" w:hAnsi="Book Antiqua"/>
          <w:vanish/>
        </w:rPr>
        <w:t>Or</w:t>
      </w:r>
      <w:hyperlink r:id="rId190" w:history="1">
        <w:r w:rsidRPr="00E3232D">
          <w:rPr>
            <w:rStyle w:val="Hyperlink"/>
            <w:rFonts w:ascii="Book Antiqua" w:hAnsi="Book Antiqua"/>
            <w:vanish/>
          </w:rPr>
          <w:t>filter your current search</w:t>
        </w:r>
      </w:hyperlink>
    </w:p>
    <w:p w14:paraId="54AC1B04" w14:textId="77777777" w:rsidR="00AC2FEA" w:rsidRPr="00E3232D" w:rsidRDefault="001815AD" w:rsidP="004C3DD4">
      <w:pPr>
        <w:ind w:left="720" w:hanging="720"/>
        <w:jc w:val="both"/>
        <w:rPr>
          <w:rFonts w:ascii="Book Antiqua" w:hAnsi="Book Antiqua"/>
        </w:rPr>
      </w:pPr>
      <w:r w:rsidRPr="00E3232D">
        <w:rPr>
          <w:rFonts w:ascii="Book Antiqua" w:hAnsi="Book Antiqua"/>
        </w:rPr>
        <w:fldChar w:fldCharType="begin"/>
      </w:r>
      <w:r w:rsidR="00AC2FEA" w:rsidRPr="00E3232D">
        <w:rPr>
          <w:rFonts w:ascii="Book Antiqua" w:hAnsi="Book Antiqua"/>
        </w:rPr>
        <w:instrText xml:space="preserve"> ADDIN EN.REFLIST </w:instrText>
      </w:r>
      <w:r w:rsidRPr="00E3232D">
        <w:rPr>
          <w:rFonts w:ascii="Book Antiqua" w:hAnsi="Book Antiqua"/>
        </w:rPr>
        <w:fldChar w:fldCharType="separate"/>
      </w:r>
      <w:r w:rsidR="00AC2FEA" w:rsidRPr="00E3232D">
        <w:rPr>
          <w:rFonts w:ascii="Book Antiqua" w:hAnsi="Book Antiqua"/>
        </w:rPr>
        <w:t xml:space="preserve">Assadi, F. (2012). "The growing epidemic of hypertension among children and adolescents: a challenging road ahead." </w:t>
      </w:r>
      <w:r w:rsidR="00AC2FEA" w:rsidRPr="00E3232D">
        <w:rPr>
          <w:rFonts w:ascii="Book Antiqua" w:hAnsi="Book Antiqua"/>
          <w:u w:val="single"/>
        </w:rPr>
        <w:t xml:space="preserve">Pediatr Cardiol </w:t>
      </w:r>
      <w:r w:rsidR="00AC2FEA" w:rsidRPr="00E3232D">
        <w:rPr>
          <w:rFonts w:ascii="Book Antiqua" w:hAnsi="Book Antiqua"/>
          <w:b/>
        </w:rPr>
        <w:t>33</w:t>
      </w:r>
      <w:r w:rsidR="00AC2FEA" w:rsidRPr="00E3232D">
        <w:rPr>
          <w:rFonts w:ascii="Book Antiqua" w:hAnsi="Book Antiqua"/>
        </w:rPr>
        <w:t>(7): 1013-20.</w:t>
      </w:r>
    </w:p>
    <w:p w14:paraId="69953C39"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Babinska, K., L. Kovacs, V. Janko, T. Dallos and J. Feber. (2012). "Association between obesity and the severity of ambulatory hypertension in children and adolescents." </w:t>
      </w:r>
      <w:r w:rsidRPr="00E3232D">
        <w:rPr>
          <w:rFonts w:ascii="Book Antiqua" w:hAnsi="Book Antiqua"/>
          <w:u w:val="single"/>
        </w:rPr>
        <w:t xml:space="preserve">J Am Soc Hypertens </w:t>
      </w:r>
      <w:r w:rsidRPr="00E3232D">
        <w:rPr>
          <w:rFonts w:ascii="Book Antiqua" w:hAnsi="Book Antiqua"/>
          <w:b/>
        </w:rPr>
        <w:t>6</w:t>
      </w:r>
      <w:r w:rsidRPr="00E3232D">
        <w:rPr>
          <w:rFonts w:ascii="Book Antiqua" w:hAnsi="Book Antiqua"/>
        </w:rPr>
        <w:t>(5): 356-63.</w:t>
      </w:r>
    </w:p>
    <w:p w14:paraId="1D343365"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Bennett, J. M., I. M. Rodrigues and L. C. Klein. (2013). "Effects of Caffeine and Stress on Biomarkers of Cardiovascular Disease in Healthy Men and Women with a Family History of Hypertension." </w:t>
      </w:r>
      <w:r w:rsidRPr="00E3232D">
        <w:rPr>
          <w:rFonts w:ascii="Book Antiqua" w:hAnsi="Book Antiqua"/>
          <w:u w:val="single"/>
        </w:rPr>
        <w:t>Stress Health</w:t>
      </w:r>
      <w:r w:rsidRPr="00E3232D">
        <w:rPr>
          <w:rFonts w:ascii="Book Antiqua" w:hAnsi="Book Antiqua"/>
        </w:rPr>
        <w:t>.</w:t>
      </w:r>
    </w:p>
    <w:p w14:paraId="76A4779D"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Berglund, G., O. Andersson and L. Wilhelmsen.. (1976). "Prevalence of primary and secondary hypertension: studies in a random population sample." </w:t>
      </w:r>
      <w:r w:rsidRPr="00E3232D">
        <w:rPr>
          <w:rFonts w:ascii="Book Antiqua" w:hAnsi="Book Antiqua"/>
          <w:u w:val="single"/>
        </w:rPr>
        <w:t xml:space="preserve">Br Med J </w:t>
      </w:r>
      <w:r w:rsidRPr="00E3232D">
        <w:rPr>
          <w:rFonts w:ascii="Book Antiqua" w:hAnsi="Book Antiqua"/>
          <w:b/>
        </w:rPr>
        <w:t>2</w:t>
      </w:r>
      <w:r w:rsidRPr="00E3232D">
        <w:rPr>
          <w:rFonts w:ascii="Book Antiqua" w:hAnsi="Book Antiqua"/>
        </w:rPr>
        <w:t>(6035): 554-6.</w:t>
      </w:r>
    </w:p>
    <w:p w14:paraId="1E8DBEA5"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Calo, L. A. (2009). "Revisiting essential hypertension--a "mechanism-based" approach may argue for a better definition of hypertension." </w:t>
      </w:r>
      <w:r w:rsidRPr="00E3232D">
        <w:rPr>
          <w:rFonts w:ascii="Book Antiqua" w:hAnsi="Book Antiqua"/>
          <w:u w:val="single"/>
        </w:rPr>
        <w:t xml:space="preserve">Clin Nephrol </w:t>
      </w:r>
      <w:r w:rsidRPr="00E3232D">
        <w:rPr>
          <w:rFonts w:ascii="Book Antiqua" w:hAnsi="Book Antiqua"/>
          <w:b/>
        </w:rPr>
        <w:t>72</w:t>
      </w:r>
      <w:r w:rsidRPr="00E3232D">
        <w:rPr>
          <w:rFonts w:ascii="Book Antiqua" w:hAnsi="Book Antiqua"/>
        </w:rPr>
        <w:t>(2): 83-6.</w:t>
      </w:r>
    </w:p>
    <w:p w14:paraId="3ED7761D"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Chobanian AV, B. G., Black HR, Cushman WC, Green LA and Izzo JL Jr. (2003). "Seventh report of the Joint National Committee on Prevention, Detection, Evaluation, and Treatment of High Blood Pressure." </w:t>
      </w:r>
      <w:r w:rsidRPr="00E3232D">
        <w:rPr>
          <w:rFonts w:ascii="Book Antiqua" w:hAnsi="Book Antiqua"/>
          <w:u w:val="single"/>
        </w:rPr>
        <w:t xml:space="preserve">Hypertension. </w:t>
      </w:r>
      <w:r w:rsidRPr="00E3232D">
        <w:rPr>
          <w:rFonts w:ascii="Book Antiqua" w:hAnsi="Book Antiqua"/>
          <w:b/>
        </w:rPr>
        <w:t>42</w:t>
      </w:r>
      <w:r w:rsidRPr="00E3232D">
        <w:rPr>
          <w:rFonts w:ascii="Book Antiqua" w:hAnsi="Book Antiqua"/>
        </w:rPr>
        <w:t>(6): 1206-52.</w:t>
      </w:r>
    </w:p>
    <w:p w14:paraId="6ADB1CE3"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Chockalingam, A., N. R. Campbell and J. G. Fodor.. (2006). "Worldwide epidemic of hypertension." </w:t>
      </w:r>
      <w:r w:rsidRPr="00E3232D">
        <w:rPr>
          <w:rFonts w:ascii="Book Antiqua" w:hAnsi="Book Antiqua"/>
          <w:u w:val="single"/>
        </w:rPr>
        <w:t xml:space="preserve">Can J Cardiol </w:t>
      </w:r>
      <w:r w:rsidRPr="00E3232D">
        <w:rPr>
          <w:rFonts w:ascii="Book Antiqua" w:hAnsi="Book Antiqua"/>
          <w:b/>
        </w:rPr>
        <w:t>22</w:t>
      </w:r>
      <w:r w:rsidRPr="00E3232D">
        <w:rPr>
          <w:rFonts w:ascii="Book Antiqua" w:hAnsi="Book Antiqua"/>
        </w:rPr>
        <w:t>(7): 553-5.</w:t>
      </w:r>
    </w:p>
    <w:p w14:paraId="72F00EF2"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Cooper, R. and C. Rotimi (1997). "Hypertension in blacks." </w:t>
      </w:r>
      <w:r w:rsidRPr="00E3232D">
        <w:rPr>
          <w:rFonts w:ascii="Book Antiqua" w:hAnsi="Book Antiqua"/>
          <w:u w:val="single"/>
        </w:rPr>
        <w:t xml:space="preserve">Am J Hypertens </w:t>
      </w:r>
      <w:r w:rsidRPr="00E3232D">
        <w:rPr>
          <w:rFonts w:ascii="Book Antiqua" w:hAnsi="Book Antiqua"/>
          <w:b/>
        </w:rPr>
        <w:t>10</w:t>
      </w:r>
      <w:r w:rsidRPr="00E3232D">
        <w:rPr>
          <w:rFonts w:ascii="Book Antiqua" w:hAnsi="Book Antiqua"/>
        </w:rPr>
        <w:t>(7 Pt 1): 804-12.</w:t>
      </w:r>
    </w:p>
    <w:p w14:paraId="7E7A5C10"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Dux, S., N. Aron, G. Boner, A. Carmel, A. Yaron and J.B. Rosenfied. (1984). "Serum angiotensin converting enzyme activity in normal adults and patients with different types of hypertension." </w:t>
      </w:r>
      <w:r w:rsidRPr="00E3232D">
        <w:rPr>
          <w:rFonts w:ascii="Book Antiqua" w:hAnsi="Book Antiqua"/>
          <w:u w:val="single"/>
        </w:rPr>
        <w:t xml:space="preserve">Isr J Med Sci </w:t>
      </w:r>
      <w:r w:rsidRPr="00E3232D">
        <w:rPr>
          <w:rFonts w:ascii="Book Antiqua" w:hAnsi="Book Antiqua"/>
          <w:b/>
        </w:rPr>
        <w:t>20</w:t>
      </w:r>
      <w:r w:rsidRPr="00E3232D">
        <w:rPr>
          <w:rFonts w:ascii="Book Antiqua" w:hAnsi="Book Antiqua"/>
        </w:rPr>
        <w:t>(12): 1138-42.</w:t>
      </w:r>
    </w:p>
    <w:p w14:paraId="372ABF49"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Ferdinand, K. C. and R. R. Townsend (2012). "Hypertension in the US Black population: risk factors, complications, and potential impact of central aortic pressure on effective treatment." </w:t>
      </w:r>
      <w:r w:rsidRPr="00E3232D">
        <w:rPr>
          <w:rFonts w:ascii="Book Antiqua" w:hAnsi="Book Antiqua"/>
          <w:u w:val="single"/>
        </w:rPr>
        <w:t xml:space="preserve">Cardiovasc Drugs Ther </w:t>
      </w:r>
      <w:r w:rsidRPr="00E3232D">
        <w:rPr>
          <w:rFonts w:ascii="Book Antiqua" w:hAnsi="Book Antiqua"/>
          <w:b/>
        </w:rPr>
        <w:t>26</w:t>
      </w:r>
      <w:r w:rsidRPr="00E3232D">
        <w:rPr>
          <w:rFonts w:ascii="Book Antiqua" w:hAnsi="Book Antiqua"/>
        </w:rPr>
        <w:t>(2): 157-65.</w:t>
      </w:r>
    </w:p>
    <w:p w14:paraId="7DF91587"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Flack, J. M., D. A. Sica, G. Bakris, A.L. Brown, K. C. Ferdinand, R. H. Grimm Jr. W. D. Hall, W. E. Jones, D. S. Kourtz, J. P. Lea, S. Nasser, S. D. Nesbitt, E. Saunders, M. Scisney-Matlock and K. A. Jaerson. (2010). "Management of high blood pressure in Blacks: an update of the International Society on Hypertension in Blacks consensus statement." </w:t>
      </w:r>
      <w:r w:rsidRPr="00E3232D">
        <w:rPr>
          <w:rFonts w:ascii="Book Antiqua" w:hAnsi="Book Antiqua"/>
          <w:u w:val="single"/>
        </w:rPr>
        <w:t xml:space="preserve">Hypertension </w:t>
      </w:r>
      <w:r w:rsidRPr="00E3232D">
        <w:rPr>
          <w:rFonts w:ascii="Book Antiqua" w:hAnsi="Book Antiqua"/>
          <w:b/>
        </w:rPr>
        <w:t>56</w:t>
      </w:r>
      <w:r w:rsidRPr="00E3232D">
        <w:rPr>
          <w:rFonts w:ascii="Book Antiqua" w:hAnsi="Book Antiqua"/>
        </w:rPr>
        <w:t>(5): 780-800.</w:t>
      </w:r>
    </w:p>
    <w:p w14:paraId="57BBDD38"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Gillum, R. F., M. E. Mussolino and J. H. Madans. (2001). "Fish consumption and hypertension incidence in African Americans and whites: the NHANES I Epidemiologic Follow-up Study." </w:t>
      </w:r>
      <w:r w:rsidRPr="00E3232D">
        <w:rPr>
          <w:rFonts w:ascii="Book Antiqua" w:hAnsi="Book Antiqua"/>
          <w:u w:val="single"/>
        </w:rPr>
        <w:t xml:space="preserve">J Natl Med Assoc </w:t>
      </w:r>
      <w:r w:rsidRPr="00E3232D">
        <w:rPr>
          <w:rFonts w:ascii="Book Antiqua" w:hAnsi="Book Antiqua"/>
          <w:b/>
        </w:rPr>
        <w:t>93</w:t>
      </w:r>
      <w:r w:rsidRPr="00E3232D">
        <w:rPr>
          <w:rFonts w:ascii="Book Antiqua" w:hAnsi="Book Antiqua"/>
        </w:rPr>
        <w:t>(4): 124-8.</w:t>
      </w:r>
    </w:p>
    <w:p w14:paraId="5D228CE0"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Glover, M., A. M. Zuber and K. M. O'Shaughnessy. (2010). "Hypertension, dietary salt intake, and the role of the thiazide-sensitive sodium chloride transporter NCCT." </w:t>
      </w:r>
      <w:r w:rsidRPr="00E3232D">
        <w:rPr>
          <w:rFonts w:ascii="Book Antiqua" w:hAnsi="Book Antiqua"/>
          <w:u w:val="single"/>
        </w:rPr>
        <w:t xml:space="preserve">Cardiovasc Ther </w:t>
      </w:r>
      <w:r w:rsidRPr="00E3232D">
        <w:rPr>
          <w:rFonts w:ascii="Book Antiqua" w:hAnsi="Book Antiqua"/>
          <w:b/>
        </w:rPr>
        <w:t>29</w:t>
      </w:r>
      <w:r w:rsidRPr="00E3232D">
        <w:rPr>
          <w:rFonts w:ascii="Book Antiqua" w:hAnsi="Book Antiqua"/>
        </w:rPr>
        <w:t>(1): 68-76.</w:t>
      </w:r>
    </w:p>
    <w:p w14:paraId="11835DEC"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Glynn, L. G., A. W. Murphy, S. M. Smith, K. Schroender and T. Fahey.. (2010). "Self-monitoring and other non-pharmacological interventions to improve the management of hypertension in primary care: a systematic review." </w:t>
      </w:r>
      <w:r w:rsidRPr="00E3232D">
        <w:rPr>
          <w:rFonts w:ascii="Book Antiqua" w:hAnsi="Book Antiqua"/>
          <w:u w:val="single"/>
        </w:rPr>
        <w:t xml:space="preserve">Br J Gen Pract </w:t>
      </w:r>
      <w:r w:rsidRPr="00E3232D">
        <w:rPr>
          <w:rFonts w:ascii="Book Antiqua" w:hAnsi="Book Antiqua"/>
          <w:b/>
        </w:rPr>
        <w:t>60</w:t>
      </w:r>
      <w:r w:rsidRPr="00E3232D">
        <w:rPr>
          <w:rFonts w:ascii="Book Antiqua" w:hAnsi="Book Antiqua"/>
        </w:rPr>
        <w:t>(581): e476-88.</w:t>
      </w:r>
    </w:p>
    <w:p w14:paraId="77B6D377"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Hajjar, I. and T. A. Kotchen (2003). "Trends in prevalence, awareness, treatment, and control of hypertension in the United States, 1988-2000." </w:t>
      </w:r>
      <w:r w:rsidRPr="00E3232D">
        <w:rPr>
          <w:rFonts w:ascii="Book Antiqua" w:hAnsi="Book Antiqua"/>
          <w:u w:val="single"/>
        </w:rPr>
        <w:t>JAMA</w:t>
      </w:r>
      <w:r w:rsidRPr="00E3232D">
        <w:rPr>
          <w:rFonts w:ascii="Book Antiqua" w:hAnsi="Book Antiqua"/>
          <w:b/>
        </w:rPr>
        <w:t>290</w:t>
      </w:r>
      <w:r w:rsidRPr="00E3232D">
        <w:rPr>
          <w:rFonts w:ascii="Book Antiqua" w:hAnsi="Book Antiqua"/>
        </w:rPr>
        <w:t>(2): 199-206.</w:t>
      </w:r>
    </w:p>
    <w:p w14:paraId="3BDB66EE"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Herrera-Valdes, R., M. Almaguer, J.  Chipi,  X. Toirac, O. Martinez, Castellanos O., J. Bacallao, R. M. Licourt, P. Mullet, L. Dieguez, I. Velasquez, M.C. Hernandez, W. Caballero, P. Urra and N. Rodriguez. (2008). "Prevalence of Obesity and its Association with Chronic Kidney Disease, Hypertension and Diabetes Mellitus. Isle of Youth Study (ISYS), Cuba." </w:t>
      </w:r>
      <w:r w:rsidRPr="00E3232D">
        <w:rPr>
          <w:rFonts w:ascii="Book Antiqua" w:hAnsi="Book Antiqua"/>
          <w:u w:val="single"/>
        </w:rPr>
        <w:t>MEDICC Rev</w:t>
      </w:r>
      <w:r w:rsidRPr="00E3232D">
        <w:rPr>
          <w:rFonts w:ascii="Book Antiqua" w:hAnsi="Book Antiqua"/>
          <w:b/>
        </w:rPr>
        <w:t>10</w:t>
      </w:r>
      <w:r w:rsidRPr="00E3232D">
        <w:rPr>
          <w:rFonts w:ascii="Book Antiqua" w:hAnsi="Book Antiqua"/>
        </w:rPr>
        <w:t>(2): 14-20.</w:t>
      </w:r>
    </w:p>
    <w:p w14:paraId="6B08851C"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Isezuo, S. A. (2003). "Systemic hypertension in blacks: an overview of current concepts of pathogenesis and management." </w:t>
      </w:r>
      <w:r w:rsidRPr="00E3232D">
        <w:rPr>
          <w:rFonts w:ascii="Book Antiqua" w:hAnsi="Book Antiqua"/>
          <w:u w:val="single"/>
        </w:rPr>
        <w:t xml:space="preserve">Niger Postgrad Med J </w:t>
      </w:r>
      <w:r w:rsidRPr="00E3232D">
        <w:rPr>
          <w:rFonts w:ascii="Book Antiqua" w:hAnsi="Book Antiqua"/>
          <w:b/>
        </w:rPr>
        <w:t>10</w:t>
      </w:r>
      <w:r w:rsidRPr="00E3232D">
        <w:rPr>
          <w:rFonts w:ascii="Book Antiqua" w:hAnsi="Book Antiqua"/>
        </w:rPr>
        <w:t>(3): 144-53.</w:t>
      </w:r>
    </w:p>
    <w:p w14:paraId="40E77C68"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James, A. (2009). "Metformin and lactic acidosis. NSAIDs and renin-angiotensin-aldosterone system." </w:t>
      </w:r>
      <w:r w:rsidRPr="00E3232D">
        <w:rPr>
          <w:rFonts w:ascii="Book Antiqua" w:hAnsi="Book Antiqua"/>
          <w:u w:val="single"/>
        </w:rPr>
        <w:t>BMJ</w:t>
      </w:r>
      <w:r w:rsidRPr="00E3232D">
        <w:rPr>
          <w:rFonts w:ascii="Book Antiqua" w:hAnsi="Book Antiqua"/>
          <w:b/>
        </w:rPr>
        <w:t>339</w:t>
      </w:r>
      <w:r w:rsidRPr="00E3232D">
        <w:rPr>
          <w:rFonts w:ascii="Book Antiqua" w:hAnsi="Book Antiqua"/>
        </w:rPr>
        <w:t>: b5567.</w:t>
      </w:r>
    </w:p>
    <w:p w14:paraId="0B9C77BA"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Jhetam, D., R. Dansey, C. Morar and F.J. Milne. (1982). "The malignant phase of essential hypertension in Johannesburg Blacks. A prospective study." </w:t>
      </w:r>
      <w:r w:rsidRPr="00E3232D">
        <w:rPr>
          <w:rFonts w:ascii="Book Antiqua" w:hAnsi="Book Antiqua"/>
          <w:u w:val="single"/>
        </w:rPr>
        <w:t xml:space="preserve">S Afr Med J </w:t>
      </w:r>
      <w:r w:rsidRPr="00E3232D">
        <w:rPr>
          <w:rFonts w:ascii="Book Antiqua" w:hAnsi="Book Antiqua"/>
          <w:b/>
        </w:rPr>
        <w:t>61</w:t>
      </w:r>
      <w:r w:rsidRPr="00E3232D">
        <w:rPr>
          <w:rFonts w:ascii="Book Antiqua" w:hAnsi="Book Antiqua"/>
        </w:rPr>
        <w:t>(24): 899-902.</w:t>
      </w:r>
    </w:p>
    <w:p w14:paraId="0CA9DB29"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Kohno, M. and J. Yoshikawa (2000). "[Definition, classification and severity of hypertension]." </w:t>
      </w:r>
      <w:r w:rsidRPr="00E3232D">
        <w:rPr>
          <w:rFonts w:ascii="Book Antiqua" w:hAnsi="Book Antiqua"/>
          <w:u w:val="single"/>
        </w:rPr>
        <w:t xml:space="preserve">Nihon Rinsho </w:t>
      </w:r>
      <w:r w:rsidRPr="00E3232D">
        <w:rPr>
          <w:rFonts w:ascii="Book Antiqua" w:hAnsi="Book Antiqua"/>
          <w:b/>
        </w:rPr>
        <w:t>58 Suppl 1</w:t>
      </w:r>
      <w:r w:rsidRPr="00E3232D">
        <w:rPr>
          <w:rFonts w:ascii="Book Antiqua" w:hAnsi="Book Antiqua"/>
        </w:rPr>
        <w:t>: 237-45.</w:t>
      </w:r>
    </w:p>
    <w:p w14:paraId="6B497D66"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Kolos, I. P., I. E. Chazova, S. N. Tereshchenko and S. N. Nakonechnikov. (2009). "[Risk of cardiovascular complications in patients with frequent hypertensive crises]." </w:t>
      </w:r>
      <w:r w:rsidRPr="00E3232D">
        <w:rPr>
          <w:rFonts w:ascii="Book Antiqua" w:hAnsi="Book Antiqua"/>
          <w:u w:val="single"/>
        </w:rPr>
        <w:t xml:space="preserve">Ter Arkh  </w:t>
      </w:r>
      <w:r w:rsidRPr="00E3232D">
        <w:rPr>
          <w:rFonts w:ascii="Book Antiqua" w:hAnsi="Book Antiqua"/>
          <w:b/>
        </w:rPr>
        <w:t>81</w:t>
      </w:r>
      <w:r w:rsidRPr="00E3232D">
        <w:rPr>
          <w:rFonts w:ascii="Book Antiqua" w:hAnsi="Book Antiqua"/>
        </w:rPr>
        <w:t>(9): 9-12.</w:t>
      </w:r>
    </w:p>
    <w:p w14:paraId="7D5C9329"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Lourenco, A. P., D. Fontoura. (2011). "Current pathophysiological concepts and management of pulmonary hypertension." </w:t>
      </w:r>
      <w:r w:rsidRPr="00E3232D">
        <w:rPr>
          <w:rFonts w:ascii="Book Antiqua" w:hAnsi="Book Antiqua"/>
          <w:u w:val="single"/>
        </w:rPr>
        <w:t xml:space="preserve">Int J Cardiol </w:t>
      </w:r>
      <w:r w:rsidRPr="00E3232D">
        <w:rPr>
          <w:rFonts w:ascii="Book Antiqua" w:hAnsi="Book Antiqua"/>
          <w:b/>
        </w:rPr>
        <w:t>155</w:t>
      </w:r>
      <w:r w:rsidRPr="00E3232D">
        <w:rPr>
          <w:rFonts w:ascii="Book Antiqua" w:hAnsi="Book Antiqua"/>
        </w:rPr>
        <w:t>(3): 350-61.</w:t>
      </w:r>
    </w:p>
    <w:p w14:paraId="63867551"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Mearns, B. M. (2011). "Hypertension. Tackling challenges in the diagnosis and management of hypertension in 2012." </w:t>
      </w:r>
      <w:r w:rsidRPr="00E3232D">
        <w:rPr>
          <w:rFonts w:ascii="Book Antiqua" w:hAnsi="Book Antiqua"/>
          <w:u w:val="single"/>
        </w:rPr>
        <w:t xml:space="preserve">Nat Rev Cardiol </w:t>
      </w:r>
      <w:r w:rsidRPr="00E3232D">
        <w:rPr>
          <w:rFonts w:ascii="Book Antiqua" w:hAnsi="Book Antiqua"/>
          <w:b/>
        </w:rPr>
        <w:t>9</w:t>
      </w:r>
      <w:r w:rsidRPr="00E3232D">
        <w:rPr>
          <w:rFonts w:ascii="Book Antiqua" w:hAnsi="Book Antiqua"/>
        </w:rPr>
        <w:t>(5): 253-4.</w:t>
      </w:r>
    </w:p>
    <w:p w14:paraId="384F9425"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Mizuno, J. and H. L. Monteiro (2013). "An assessment of a sequence of yoga exercises to patients with arterial hypertension." </w:t>
      </w:r>
      <w:r w:rsidRPr="00E3232D">
        <w:rPr>
          <w:rFonts w:ascii="Book Antiqua" w:hAnsi="Book Antiqua"/>
          <w:u w:val="single"/>
        </w:rPr>
        <w:t xml:space="preserve">J Bodyw Mov Ther  </w:t>
      </w:r>
      <w:r w:rsidRPr="00E3232D">
        <w:rPr>
          <w:rFonts w:ascii="Book Antiqua" w:hAnsi="Book Antiqua"/>
          <w:b/>
        </w:rPr>
        <w:t>17</w:t>
      </w:r>
      <w:r w:rsidRPr="00E3232D">
        <w:rPr>
          <w:rFonts w:ascii="Book Antiqua" w:hAnsi="Book Antiqua"/>
        </w:rPr>
        <w:t>(1): 35-41.</w:t>
      </w:r>
    </w:p>
    <w:p w14:paraId="5FF3229C"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Okusaga, O., M. C. Stewart, I. Butcher, I. Deary, F. G. Fowkes and Price, J. F.. (2013). "Smoking, hypercholesterolaemia and hypertension as risk factors for cognitive impairment in older adults." </w:t>
      </w:r>
      <w:r w:rsidRPr="00E3232D">
        <w:rPr>
          <w:rFonts w:ascii="Book Antiqua" w:hAnsi="Book Antiqua"/>
          <w:u w:val="single"/>
        </w:rPr>
        <w:t>Age Ageing</w:t>
      </w:r>
      <w:r w:rsidRPr="00E3232D">
        <w:rPr>
          <w:rFonts w:ascii="Book Antiqua" w:hAnsi="Book Antiqua"/>
        </w:rPr>
        <w:t>.</w:t>
      </w:r>
    </w:p>
    <w:p w14:paraId="0D83AC57"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Omura, M., J. Saito, K. Yamaguchi, Y. Kakuta and T. Nishikawa. (2004). "Prospective study on the prevalence of secondary hypertension among hypertensive patients visiting a general outpatient clinic in Japan." </w:t>
      </w:r>
      <w:r w:rsidRPr="00E3232D">
        <w:rPr>
          <w:rFonts w:ascii="Book Antiqua" w:hAnsi="Book Antiqua"/>
          <w:u w:val="single"/>
        </w:rPr>
        <w:t>Hypertens Res</w:t>
      </w:r>
      <w:r w:rsidRPr="00E3232D">
        <w:rPr>
          <w:rFonts w:ascii="Book Antiqua" w:hAnsi="Book Antiqua"/>
          <w:b/>
        </w:rPr>
        <w:t>27</w:t>
      </w:r>
      <w:r w:rsidRPr="00E3232D">
        <w:rPr>
          <w:rFonts w:ascii="Book Antiqua" w:hAnsi="Book Antiqua"/>
        </w:rPr>
        <w:t>(3): 193-202.</w:t>
      </w:r>
    </w:p>
    <w:p w14:paraId="0F774E24"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Opie, L. H. and Y. K. Seedat (2005). "Hypertension in sub-Saharan African populations." </w:t>
      </w:r>
      <w:r w:rsidRPr="00E3232D">
        <w:rPr>
          <w:rFonts w:ascii="Book Antiqua" w:hAnsi="Book Antiqua"/>
          <w:u w:val="single"/>
        </w:rPr>
        <w:t xml:space="preserve">Circulation </w:t>
      </w:r>
      <w:r w:rsidRPr="00E3232D">
        <w:rPr>
          <w:rFonts w:ascii="Book Antiqua" w:hAnsi="Book Antiqua"/>
          <w:b/>
        </w:rPr>
        <w:t>112</w:t>
      </w:r>
      <w:r w:rsidRPr="00E3232D">
        <w:rPr>
          <w:rFonts w:ascii="Book Antiqua" w:hAnsi="Book Antiqua"/>
        </w:rPr>
        <w:t>(23): 3562-8.</w:t>
      </w:r>
    </w:p>
    <w:p w14:paraId="6EFD67F5"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Pergolini, M. S. (2009). "The management of hypertensive crises: a clinical review." </w:t>
      </w:r>
      <w:r w:rsidRPr="00E3232D">
        <w:rPr>
          <w:rFonts w:ascii="Book Antiqua" w:hAnsi="Book Antiqua"/>
          <w:u w:val="single"/>
        </w:rPr>
        <w:t xml:space="preserve">Clin Ter </w:t>
      </w:r>
      <w:r w:rsidRPr="00E3232D">
        <w:rPr>
          <w:rFonts w:ascii="Book Antiqua" w:hAnsi="Book Antiqua"/>
          <w:b/>
        </w:rPr>
        <w:t>160</w:t>
      </w:r>
      <w:r w:rsidRPr="00E3232D">
        <w:rPr>
          <w:rFonts w:ascii="Book Antiqua" w:hAnsi="Book Antiqua"/>
        </w:rPr>
        <w:t>(2): 151-7.</w:t>
      </w:r>
    </w:p>
    <w:p w14:paraId="0A8A1AA4"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Rahman, M. (2003). "Initial findings of the AASK: African Americans with hypertensive kidney disease benefit from an ACE inhibitor." </w:t>
      </w:r>
      <w:r w:rsidRPr="00E3232D">
        <w:rPr>
          <w:rFonts w:ascii="Book Antiqua" w:hAnsi="Book Antiqua"/>
          <w:u w:val="single"/>
        </w:rPr>
        <w:t xml:space="preserve">Cleve Clin J Med </w:t>
      </w:r>
      <w:r w:rsidRPr="00E3232D">
        <w:rPr>
          <w:rFonts w:ascii="Book Antiqua" w:hAnsi="Book Antiqua"/>
          <w:b/>
        </w:rPr>
        <w:t>70</w:t>
      </w:r>
      <w:r w:rsidRPr="00E3232D">
        <w:rPr>
          <w:rFonts w:ascii="Book Antiqua" w:hAnsi="Book Antiqua"/>
        </w:rPr>
        <w:t>(4): 304-5, 309-10, 312.</w:t>
      </w:r>
    </w:p>
    <w:p w14:paraId="6F2CCA23"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Roque, F. R., A. M. Briones, A. B. Garcia-Redondo, M. Galan, S. Martinez-Revelles, M. S. Avendano, V. Cachofeiro, T. Fernandes, D. V. Vassallo, E. M. Oliveira and M. Salaices. (2012). "Aerobic exercise reduces oxidative stress and improves vascular changes of small mesenteric and coronary arteries in hypertension." </w:t>
      </w:r>
      <w:r w:rsidRPr="00E3232D">
        <w:rPr>
          <w:rFonts w:ascii="Book Antiqua" w:hAnsi="Book Antiqua"/>
          <w:u w:val="single"/>
        </w:rPr>
        <w:t xml:space="preserve">Br J Pharmacol </w:t>
      </w:r>
      <w:r w:rsidRPr="00E3232D">
        <w:rPr>
          <w:rFonts w:ascii="Book Antiqua" w:hAnsi="Book Antiqua"/>
          <w:b/>
        </w:rPr>
        <w:t>168</w:t>
      </w:r>
      <w:r w:rsidRPr="00E3232D">
        <w:rPr>
          <w:rFonts w:ascii="Book Antiqua" w:hAnsi="Book Antiqua"/>
        </w:rPr>
        <w:t>(3): 686-703.</w:t>
      </w:r>
    </w:p>
    <w:p w14:paraId="24538246"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Steiropoulos, P., G. Trakada and D. Bouros. (2008). "Current pharmacological treatment of pulmonary arterial hypertension." </w:t>
      </w:r>
      <w:r w:rsidRPr="00E3232D">
        <w:rPr>
          <w:rFonts w:ascii="Book Antiqua" w:hAnsi="Book Antiqua"/>
          <w:u w:val="single"/>
        </w:rPr>
        <w:t xml:space="preserve">Curr Clin Pharmacol </w:t>
      </w:r>
      <w:r w:rsidRPr="00E3232D">
        <w:rPr>
          <w:rFonts w:ascii="Book Antiqua" w:hAnsi="Book Antiqua"/>
          <w:b/>
        </w:rPr>
        <w:t>3</w:t>
      </w:r>
      <w:r w:rsidRPr="00E3232D">
        <w:rPr>
          <w:rFonts w:ascii="Book Antiqua" w:hAnsi="Book Antiqua"/>
        </w:rPr>
        <w:t>(1): 11-9.</w:t>
      </w:r>
    </w:p>
    <w:p w14:paraId="32B97E17"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Strazzullo, P., L. D'Elia N. B. Kandala and F. P. Cappuccio. (2009). "Salt intake, stroke, and cardiovascular disease: meta-analysis of prospective studies." </w:t>
      </w:r>
      <w:r w:rsidRPr="00E3232D">
        <w:rPr>
          <w:rFonts w:ascii="Book Antiqua" w:hAnsi="Book Antiqua"/>
          <w:u w:val="single"/>
        </w:rPr>
        <w:t xml:space="preserve">BMJ </w:t>
      </w:r>
      <w:r w:rsidRPr="00E3232D">
        <w:rPr>
          <w:rFonts w:ascii="Book Antiqua" w:hAnsi="Book Antiqua"/>
          <w:b/>
        </w:rPr>
        <w:t>339</w:t>
      </w:r>
      <w:r w:rsidRPr="00E3232D">
        <w:rPr>
          <w:rFonts w:ascii="Book Antiqua" w:hAnsi="Book Antiqua"/>
        </w:rPr>
        <w:t>: b4567.</w:t>
      </w:r>
    </w:p>
    <w:p w14:paraId="1126F6D9"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Sturmer, G., J. S. Dias-da-Costa, M. T. Olinto, A. M. Menezes, D. P. Gigante and S. Macedo. (2006). "[Non-pharmacological management of hypertension in Southern Brazil]." </w:t>
      </w:r>
      <w:r w:rsidRPr="00E3232D">
        <w:rPr>
          <w:rFonts w:ascii="Book Antiqua" w:hAnsi="Book Antiqua"/>
          <w:u w:val="single"/>
        </w:rPr>
        <w:t xml:space="preserve">Cad Saude Publica </w:t>
      </w:r>
      <w:r w:rsidRPr="00E3232D">
        <w:rPr>
          <w:rFonts w:ascii="Book Antiqua" w:hAnsi="Book Antiqua"/>
          <w:b/>
        </w:rPr>
        <w:t>22</w:t>
      </w:r>
      <w:r w:rsidRPr="00E3232D">
        <w:rPr>
          <w:rFonts w:ascii="Book Antiqua" w:hAnsi="Book Antiqua"/>
        </w:rPr>
        <w:t>(8): 1727-37.</w:t>
      </w:r>
    </w:p>
    <w:p w14:paraId="1ED8A90B"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Wallace, J. L. (1999). "Distribution and expression of cyclooxygenase (COX) isoenzymes, their physiological roles, and the categorization of nonsteroidal anti-inflammatory drugs (NSAIDs)." </w:t>
      </w:r>
      <w:r w:rsidRPr="00E3232D">
        <w:rPr>
          <w:rFonts w:ascii="Book Antiqua" w:hAnsi="Book Antiqua"/>
          <w:u w:val="single"/>
        </w:rPr>
        <w:t xml:space="preserve">Am J Med </w:t>
      </w:r>
      <w:r w:rsidRPr="00E3232D">
        <w:rPr>
          <w:rFonts w:ascii="Book Antiqua" w:hAnsi="Book Antiqua"/>
          <w:b/>
        </w:rPr>
        <w:t>107</w:t>
      </w:r>
      <w:r w:rsidRPr="00E3232D">
        <w:rPr>
          <w:rFonts w:ascii="Book Antiqua" w:hAnsi="Book Antiqua"/>
        </w:rPr>
        <w:t>(6A): 11S-16S; discussion 16S-17S.</w:t>
      </w:r>
    </w:p>
    <w:p w14:paraId="78D9C609"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Yan, L., Y. Li and Y. F. Wu. (2012). "[Reducing salt intake for hypertension control: related evidence and recommendation on strategies in China]." </w:t>
      </w:r>
      <w:r w:rsidRPr="00E3232D">
        <w:rPr>
          <w:rFonts w:ascii="Book Antiqua" w:hAnsi="Book Antiqua"/>
          <w:u w:val="single"/>
        </w:rPr>
        <w:t xml:space="preserve">Zhonghua Liu Xing Bing Xue Za Zhi </w:t>
      </w:r>
      <w:r w:rsidRPr="00E3232D">
        <w:rPr>
          <w:rFonts w:ascii="Book Antiqua" w:hAnsi="Book Antiqua"/>
          <w:b/>
        </w:rPr>
        <w:t>32</w:t>
      </w:r>
      <w:r w:rsidRPr="00E3232D">
        <w:rPr>
          <w:rFonts w:ascii="Book Antiqua" w:hAnsi="Book Antiqua"/>
        </w:rPr>
        <w:t>(12): 1188-92.</w:t>
      </w:r>
    </w:p>
    <w:p w14:paraId="558F4C91"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Ye, D., Y. J. Drabo, D. Ouedraogo, A. Samandoulougou and A. Sawadogo. (2001). "[Obesity, hypertension, and diabetes mellitus among school children in Ouagadougou (Burkina Faso)]." </w:t>
      </w:r>
      <w:r w:rsidRPr="00E3232D">
        <w:rPr>
          <w:rFonts w:ascii="Book Antiqua" w:hAnsi="Book Antiqua"/>
          <w:u w:val="single"/>
        </w:rPr>
        <w:t xml:space="preserve">Dakar Med </w:t>
      </w:r>
      <w:r w:rsidRPr="00E3232D">
        <w:rPr>
          <w:rFonts w:ascii="Book Antiqua" w:hAnsi="Book Antiqua"/>
          <w:b/>
        </w:rPr>
        <w:t>46</w:t>
      </w:r>
      <w:r w:rsidRPr="00E3232D">
        <w:rPr>
          <w:rFonts w:ascii="Book Antiqua" w:hAnsi="Book Antiqua"/>
        </w:rPr>
        <w:t>(2): 112-5.</w:t>
      </w:r>
    </w:p>
    <w:p w14:paraId="757935E8" w14:textId="77777777" w:rsidR="00AC2FEA" w:rsidRPr="00E3232D" w:rsidRDefault="00AC2FEA" w:rsidP="004C3DD4">
      <w:pPr>
        <w:ind w:left="720" w:hanging="720"/>
        <w:jc w:val="both"/>
        <w:rPr>
          <w:rFonts w:ascii="Book Antiqua" w:hAnsi="Book Antiqua"/>
        </w:rPr>
      </w:pPr>
      <w:r w:rsidRPr="00E3232D">
        <w:rPr>
          <w:rFonts w:ascii="Book Antiqua" w:hAnsi="Book Antiqua"/>
        </w:rPr>
        <w:t xml:space="preserve">Zhang, L., W. H. Zhang and P. Y. Wang. (2011). "Prevalence of overweight/obesity and its associations with hypertension, diabetes, dyslipidemia, and metabolic syndrome: a survey in the suburban area of Beijing, 2007." </w:t>
      </w:r>
      <w:r w:rsidRPr="00E3232D">
        <w:rPr>
          <w:rFonts w:ascii="Book Antiqua" w:hAnsi="Book Antiqua"/>
          <w:u w:val="single"/>
        </w:rPr>
        <w:t xml:space="preserve">Obes Facts </w:t>
      </w:r>
      <w:r w:rsidRPr="00E3232D">
        <w:rPr>
          <w:rFonts w:ascii="Book Antiqua" w:hAnsi="Book Antiqua"/>
          <w:b/>
        </w:rPr>
        <w:t>4</w:t>
      </w:r>
      <w:r w:rsidRPr="00E3232D">
        <w:rPr>
          <w:rFonts w:ascii="Book Antiqua" w:hAnsi="Book Antiqua"/>
        </w:rPr>
        <w:t>(4): 284-9.</w:t>
      </w:r>
    </w:p>
    <w:p w14:paraId="46160050" w14:textId="77777777" w:rsidR="00AC2FEA" w:rsidRPr="00E3232D" w:rsidRDefault="00AC2FEA" w:rsidP="004C3DD4">
      <w:pPr>
        <w:jc w:val="both"/>
        <w:rPr>
          <w:rFonts w:ascii="Book Antiqua" w:hAnsi="Book Antiqua"/>
        </w:rPr>
      </w:pPr>
    </w:p>
    <w:p w14:paraId="5516E0CB" w14:textId="77777777" w:rsidR="00FE4018" w:rsidRPr="00E3232D" w:rsidRDefault="001815AD" w:rsidP="004C3DD4">
      <w:pPr>
        <w:jc w:val="both"/>
        <w:rPr>
          <w:rFonts w:ascii="Book Antiqua" w:hAnsi="Book Antiqua"/>
        </w:rPr>
      </w:pPr>
      <w:r w:rsidRPr="00E3232D">
        <w:rPr>
          <w:rFonts w:ascii="Book Antiqua" w:hAnsi="Book Antiqua"/>
        </w:rPr>
        <w:fldChar w:fldCharType="end"/>
      </w:r>
    </w:p>
    <w:p w14:paraId="69BA9C84" w14:textId="77777777" w:rsidR="00A00033" w:rsidRPr="00E3232D" w:rsidRDefault="00A00033" w:rsidP="004C3DD4">
      <w:pPr>
        <w:jc w:val="both"/>
        <w:rPr>
          <w:rFonts w:ascii="Book Antiqua" w:hAnsi="Book Antiqua"/>
        </w:rPr>
      </w:pPr>
    </w:p>
    <w:p w14:paraId="37136CD0" w14:textId="77777777" w:rsidR="00A00033" w:rsidRPr="00E3232D" w:rsidRDefault="00A00033" w:rsidP="004C3DD4">
      <w:pPr>
        <w:jc w:val="both"/>
        <w:rPr>
          <w:rFonts w:ascii="Book Antiqua" w:hAnsi="Book Antiqua"/>
        </w:rPr>
      </w:pPr>
    </w:p>
    <w:p w14:paraId="7F4240E0" w14:textId="77777777" w:rsidR="00EC67BB" w:rsidRPr="00E3232D" w:rsidRDefault="00EC67BB" w:rsidP="008275E1">
      <w:pPr>
        <w:rPr>
          <w:rFonts w:ascii="Book Antiqua" w:hAnsi="Book Antiqua"/>
        </w:rPr>
        <w:sectPr w:rsidR="00EC67BB" w:rsidRPr="00E3232D" w:rsidSect="008F6BC9">
          <w:type w:val="continuous"/>
          <w:pgSz w:w="11907" w:h="16839" w:code="9"/>
          <w:pgMar w:top="1440" w:right="1274" w:bottom="1440" w:left="1440" w:header="708" w:footer="708" w:gutter="0"/>
          <w:cols w:num="2" w:space="720"/>
          <w:docGrid w:linePitch="360"/>
        </w:sectPr>
      </w:pPr>
    </w:p>
    <w:p w14:paraId="2BBFBEFF" w14:textId="77777777" w:rsidR="00B07C78" w:rsidRPr="00E3232D" w:rsidRDefault="00B07C78" w:rsidP="008275E1">
      <w:pPr>
        <w:ind w:right="804"/>
        <w:rPr>
          <w:rFonts w:ascii="Book Antiqua" w:hAnsi="Book Antiqua"/>
          <w:b/>
          <w:bCs/>
        </w:rPr>
      </w:pPr>
    </w:p>
    <w:p w14:paraId="760F0C95" w14:textId="77777777" w:rsidR="00D76456" w:rsidRDefault="00D76456" w:rsidP="008275E1">
      <w:pPr>
        <w:ind w:left="851" w:right="804"/>
        <w:jc w:val="center"/>
        <w:rPr>
          <w:rFonts w:ascii="Book Antiqua" w:hAnsi="Book Antiqua"/>
          <w:b/>
          <w:bCs/>
        </w:rPr>
        <w:sectPr w:rsidR="00D76456" w:rsidSect="008F6BC9">
          <w:type w:val="continuous"/>
          <w:pgSz w:w="11907" w:h="16839" w:code="9"/>
          <w:pgMar w:top="1440" w:right="1274" w:bottom="1440" w:left="1440" w:header="708" w:footer="708" w:gutter="0"/>
          <w:cols w:num="2" w:space="720"/>
          <w:docGrid w:linePitch="360"/>
        </w:sectPr>
      </w:pPr>
    </w:p>
    <w:p w14:paraId="3A62A910" w14:textId="77777777" w:rsidR="00D76456" w:rsidRDefault="00D76456" w:rsidP="008275E1">
      <w:pPr>
        <w:ind w:left="851" w:right="804"/>
        <w:jc w:val="center"/>
        <w:rPr>
          <w:rFonts w:ascii="Book Antiqua" w:hAnsi="Book Antiqua"/>
          <w:b/>
          <w:bCs/>
        </w:rPr>
      </w:pPr>
    </w:p>
    <w:p w14:paraId="75FCAB3E" w14:textId="77777777" w:rsidR="00D76456" w:rsidRDefault="00D76456" w:rsidP="008275E1">
      <w:pPr>
        <w:ind w:left="851" w:right="804"/>
        <w:jc w:val="center"/>
        <w:rPr>
          <w:rFonts w:ascii="Book Antiqua" w:hAnsi="Book Antiqua"/>
          <w:b/>
          <w:bCs/>
        </w:rPr>
      </w:pPr>
    </w:p>
    <w:p w14:paraId="794260F5" w14:textId="77777777" w:rsidR="00410AE4" w:rsidRDefault="00410AE4" w:rsidP="008275E1">
      <w:pPr>
        <w:ind w:left="851" w:right="804"/>
        <w:jc w:val="center"/>
        <w:rPr>
          <w:rFonts w:ascii="Book Antiqua" w:hAnsi="Book Antiqua"/>
          <w:b/>
          <w:bCs/>
        </w:rPr>
      </w:pPr>
    </w:p>
    <w:p w14:paraId="028E8587" w14:textId="77777777" w:rsidR="001C676B" w:rsidRDefault="001C676B" w:rsidP="008275E1">
      <w:pPr>
        <w:ind w:left="851" w:right="804"/>
        <w:jc w:val="center"/>
        <w:rPr>
          <w:rFonts w:ascii="Book Antiqua" w:hAnsi="Book Antiqua"/>
          <w:b/>
          <w:bCs/>
        </w:rPr>
      </w:pPr>
    </w:p>
    <w:p w14:paraId="30A53C86" w14:textId="77777777" w:rsidR="001C676B" w:rsidRDefault="001C676B" w:rsidP="00806674">
      <w:pPr>
        <w:ind w:right="804"/>
        <w:rPr>
          <w:rFonts w:ascii="Book Antiqua" w:hAnsi="Book Antiqua"/>
          <w:b/>
          <w:bCs/>
        </w:rPr>
      </w:pPr>
    </w:p>
    <w:p w14:paraId="4E0FA82A" w14:textId="77777777" w:rsidR="00806674" w:rsidRDefault="00806674" w:rsidP="00806674">
      <w:pPr>
        <w:ind w:right="804"/>
        <w:rPr>
          <w:rFonts w:ascii="Book Antiqua" w:hAnsi="Book Antiqua"/>
          <w:b/>
          <w:bCs/>
        </w:rPr>
      </w:pPr>
    </w:p>
    <w:p w14:paraId="49B328AD" w14:textId="77777777" w:rsidR="001C676B" w:rsidRDefault="001C676B" w:rsidP="008275E1">
      <w:pPr>
        <w:ind w:left="851" w:right="804"/>
        <w:jc w:val="center"/>
        <w:rPr>
          <w:rFonts w:ascii="Book Antiqua" w:hAnsi="Book Antiqua"/>
          <w:b/>
          <w:bCs/>
        </w:rPr>
      </w:pPr>
    </w:p>
    <w:p w14:paraId="792C5162" w14:textId="77777777" w:rsidR="004C3DD4" w:rsidRDefault="004C3DD4" w:rsidP="004C3DD4">
      <w:pPr>
        <w:spacing w:after="0"/>
        <w:ind w:right="804"/>
        <w:rPr>
          <w:rFonts w:ascii="Book Antiqua" w:hAnsi="Book Antiqua"/>
          <w:b/>
          <w:bCs/>
        </w:rPr>
      </w:pPr>
    </w:p>
    <w:p w14:paraId="343B02F4" w14:textId="77777777" w:rsidR="00A27788" w:rsidRPr="004C3DD4" w:rsidRDefault="00A27788" w:rsidP="004C3DD4">
      <w:pPr>
        <w:spacing w:after="0"/>
        <w:ind w:right="804"/>
        <w:jc w:val="center"/>
        <w:rPr>
          <w:rFonts w:ascii="Book Antiqua" w:hAnsi="Book Antiqua"/>
          <w:b/>
          <w:bCs/>
          <w:sz w:val="26"/>
          <w:szCs w:val="26"/>
        </w:rPr>
      </w:pPr>
      <w:r w:rsidRPr="004C3DD4">
        <w:rPr>
          <w:rFonts w:ascii="Book Antiqua" w:hAnsi="Book Antiqua"/>
          <w:b/>
          <w:bCs/>
          <w:sz w:val="26"/>
          <w:szCs w:val="26"/>
        </w:rPr>
        <w:t>Integrity of Academic Record: Institutional Responsibility</w:t>
      </w:r>
    </w:p>
    <w:p w14:paraId="56ED2946" w14:textId="77777777" w:rsidR="00D07C22" w:rsidRDefault="00D07C22" w:rsidP="00D07C22">
      <w:pPr>
        <w:spacing w:after="0"/>
        <w:ind w:left="851" w:right="804"/>
        <w:jc w:val="center"/>
        <w:rPr>
          <w:rFonts w:ascii="Book Antiqua" w:hAnsi="Book Antiqua"/>
          <w:b/>
          <w:bCs/>
        </w:rPr>
      </w:pPr>
    </w:p>
    <w:p w14:paraId="63554C14" w14:textId="77777777" w:rsidR="00D07C22" w:rsidRPr="004C3DD4" w:rsidRDefault="00D07C22" w:rsidP="00D07C22">
      <w:pPr>
        <w:spacing w:after="0"/>
        <w:ind w:left="851" w:right="804"/>
        <w:jc w:val="center"/>
        <w:rPr>
          <w:rFonts w:ascii="Book Antiqua" w:hAnsi="Book Antiqua"/>
          <w:b/>
          <w:bCs/>
          <w:sz w:val="26"/>
        </w:rPr>
      </w:pPr>
      <w:r w:rsidRPr="004C3DD4">
        <w:rPr>
          <w:rFonts w:ascii="Book Antiqua" w:hAnsi="Book Antiqua"/>
          <w:b/>
          <w:bCs/>
          <w:sz w:val="26"/>
        </w:rPr>
        <w:t>A</w:t>
      </w:r>
      <w:r w:rsidR="00465AE3">
        <w:rPr>
          <w:rFonts w:ascii="Book Antiqua" w:hAnsi="Book Antiqua"/>
          <w:b/>
          <w:bCs/>
          <w:sz w:val="26"/>
        </w:rPr>
        <w:t>mankwah</w:t>
      </w:r>
      <w:r w:rsidRPr="004C3DD4">
        <w:rPr>
          <w:rFonts w:ascii="Book Antiqua" w:hAnsi="Book Antiqua"/>
          <w:b/>
          <w:bCs/>
          <w:sz w:val="26"/>
        </w:rPr>
        <w:t>.</w:t>
      </w:r>
      <w:r w:rsidR="00593339">
        <w:rPr>
          <w:rFonts w:ascii="Book Antiqua" w:hAnsi="Book Antiqua"/>
          <w:b/>
          <w:bCs/>
          <w:sz w:val="26"/>
        </w:rPr>
        <w:t xml:space="preserve"> </w:t>
      </w:r>
      <w:r w:rsidR="00465AE3">
        <w:rPr>
          <w:rFonts w:ascii="Book Antiqua" w:hAnsi="Book Antiqua"/>
          <w:b/>
          <w:bCs/>
          <w:sz w:val="26"/>
        </w:rPr>
        <w:t xml:space="preserve">S. </w:t>
      </w:r>
      <w:r w:rsidRPr="004C3DD4">
        <w:rPr>
          <w:rFonts w:ascii="Book Antiqua" w:hAnsi="Book Antiqua"/>
          <w:b/>
          <w:bCs/>
          <w:sz w:val="26"/>
        </w:rPr>
        <w:t>D., Kyei-Akuoko C. &amp; Amoah K.</w:t>
      </w:r>
    </w:p>
    <w:p w14:paraId="5A547973" w14:textId="77777777" w:rsidR="00D07C22" w:rsidRDefault="00D07C22" w:rsidP="00593339">
      <w:pPr>
        <w:spacing w:after="0" w:line="240" w:lineRule="auto"/>
        <w:ind w:left="851" w:right="804"/>
        <w:jc w:val="center"/>
        <w:rPr>
          <w:rFonts w:ascii="Book Antiqua" w:hAnsi="Book Antiqua"/>
          <w:bCs/>
        </w:rPr>
      </w:pPr>
      <w:r w:rsidRPr="00D07C22">
        <w:rPr>
          <w:rFonts w:ascii="Book Antiqua" w:hAnsi="Book Antiqua"/>
          <w:bCs/>
        </w:rPr>
        <w:t>Takoradi Polytechnic</w:t>
      </w:r>
      <w:r w:rsidR="004C3DD4">
        <w:rPr>
          <w:rFonts w:ascii="Book Antiqua" w:hAnsi="Book Antiqua"/>
          <w:bCs/>
        </w:rPr>
        <w:t xml:space="preserve">, </w:t>
      </w:r>
      <w:r w:rsidR="00593339">
        <w:rPr>
          <w:rFonts w:ascii="Book Antiqua" w:hAnsi="Book Antiqua"/>
          <w:bCs/>
        </w:rPr>
        <w:t>Takoradi</w:t>
      </w:r>
    </w:p>
    <w:p w14:paraId="75C416FA" w14:textId="77777777" w:rsidR="00593339" w:rsidRPr="00D07C22" w:rsidRDefault="00850DC5" w:rsidP="00D07C22">
      <w:pPr>
        <w:ind w:left="851" w:right="804"/>
        <w:jc w:val="center"/>
        <w:rPr>
          <w:rFonts w:ascii="Book Antiqua" w:hAnsi="Book Antiqua"/>
          <w:bCs/>
        </w:rPr>
      </w:pPr>
      <w:hyperlink r:id="rId191" w:history="1">
        <w:r w:rsidR="00593339" w:rsidRPr="00CF2E2B">
          <w:rPr>
            <w:rStyle w:val="Hyperlink"/>
            <w:rFonts w:ascii="Times New Roman" w:hAnsi="Times New Roman"/>
            <w:sz w:val="24"/>
            <w:szCs w:val="24"/>
          </w:rPr>
          <w:t>dinah.amankwah@tpoly.edu.gh</w:t>
        </w:r>
      </w:hyperlink>
    </w:p>
    <w:p w14:paraId="7EB26BBA" w14:textId="77777777" w:rsidR="00A27788" w:rsidRPr="00E3232D" w:rsidRDefault="00A27788" w:rsidP="008275E1">
      <w:pPr>
        <w:ind w:right="804"/>
        <w:rPr>
          <w:rFonts w:ascii="Book Antiqua" w:hAnsi="Book Antiqua"/>
          <w:b/>
          <w:bCs/>
        </w:rPr>
      </w:pPr>
    </w:p>
    <w:p w14:paraId="1DDBC8F7" w14:textId="77777777" w:rsidR="00A27788" w:rsidRPr="00E3232D" w:rsidRDefault="00A27788" w:rsidP="00465AE3">
      <w:pPr>
        <w:ind w:right="804"/>
        <w:jc w:val="both"/>
        <w:rPr>
          <w:rFonts w:ascii="Book Antiqua" w:hAnsi="Book Antiqua"/>
          <w:b/>
          <w:bCs/>
        </w:rPr>
      </w:pPr>
      <w:r w:rsidRPr="001C676B">
        <w:rPr>
          <w:rFonts w:ascii="Book Antiqua" w:hAnsi="Book Antiqua"/>
          <w:b/>
          <w:bCs/>
          <w:sz w:val="26"/>
        </w:rPr>
        <w:t>Abstract</w:t>
      </w:r>
    </w:p>
    <w:p w14:paraId="13B97217" w14:textId="77777777" w:rsidR="00A27788" w:rsidRPr="00E3232D" w:rsidRDefault="00A27788" w:rsidP="00465AE3">
      <w:pPr>
        <w:jc w:val="both"/>
        <w:rPr>
          <w:rFonts w:ascii="Book Antiqua" w:hAnsi="Book Antiqua"/>
          <w:i/>
          <w:iCs/>
          <w:color w:val="2A2A2A"/>
          <w:lang w:eastAsia="en-GB"/>
        </w:rPr>
      </w:pPr>
      <w:r w:rsidRPr="00E3232D">
        <w:rPr>
          <w:rFonts w:ascii="Book Antiqua" w:hAnsi="Book Antiqua"/>
          <w:color w:val="2A2A2A"/>
          <w:lang w:eastAsia="en-GB"/>
        </w:rPr>
        <w:t xml:space="preserve">Identity theft has risen to grave proportions in recent times. Whereas identity theft is mostly schemed by cunning individuals or groups, sometimes individual complicity, coupled with institutional negligence creates fertile grounds for identity theft. Institutions are custodians of confidential information gathered on individuals and are thus obliged to ensure its safety and integrity. Organizational lapses yield situations where unscrupulous agents manipulate information for detrimental reasons. This research monitored the application processes for Academic Transcript and Letter of Attestation in a tertiary institution. The objective was to ascertain the authenticity of the applications, security involved in releasing the documents. Monitoring was done over a six-month period. The investigation revealed grave lapses in security measures regarding processing and releasing academic information. Of the one hundred and ninety four applications analyzed, sixty three proved authentic; there were inconsistencies among forty four and seventy eight cases of impersonation. Nine applications could not be processed due to inadequate information. Individuals who contributed to the instances of impersonation included parents and senior administrative staff. The study concluded that institutional negligence is a reality and that tertiary institutions should maximize efforts to protect the integrity of academic records, considering ardent efforts at forgery by unscrupulous individuals, aided by sophisticated communications technology. </w:t>
      </w:r>
    </w:p>
    <w:p w14:paraId="4C5AA556" w14:textId="77777777" w:rsidR="00A27788" w:rsidRPr="001C676B" w:rsidRDefault="00A27788" w:rsidP="008275E1">
      <w:pPr>
        <w:ind w:right="804"/>
        <w:rPr>
          <w:rFonts w:ascii="Book Antiqua" w:hAnsi="Book Antiqua"/>
          <w:i/>
          <w:iCs/>
        </w:rPr>
        <w:sectPr w:rsidR="00A27788" w:rsidRPr="001C676B" w:rsidSect="008F6BC9">
          <w:type w:val="continuous"/>
          <w:pgSz w:w="11907" w:h="16839" w:code="9"/>
          <w:pgMar w:top="1440" w:right="1274" w:bottom="1440" w:left="1440" w:header="708" w:footer="708" w:gutter="0"/>
          <w:cols w:space="720"/>
          <w:docGrid w:linePitch="360"/>
        </w:sectPr>
      </w:pPr>
      <w:r w:rsidRPr="00E3232D">
        <w:rPr>
          <w:rFonts w:ascii="Book Antiqua" w:hAnsi="Book Antiqua"/>
          <w:b/>
          <w:bCs/>
        </w:rPr>
        <w:t>Key Words:</w:t>
      </w:r>
      <w:r w:rsidRPr="00E3232D">
        <w:rPr>
          <w:rFonts w:ascii="Book Antiqua" w:hAnsi="Book Antiqua"/>
        </w:rPr>
        <w:t xml:space="preserve"> Integrity; </w:t>
      </w:r>
      <w:r w:rsidR="001C676B" w:rsidRPr="00E3232D">
        <w:rPr>
          <w:rFonts w:ascii="Book Antiqua" w:hAnsi="Book Antiqua"/>
        </w:rPr>
        <w:t>Academic</w:t>
      </w:r>
      <w:r w:rsidRPr="00E3232D">
        <w:rPr>
          <w:rFonts w:ascii="Book Antiqua" w:hAnsi="Book Antiqua"/>
        </w:rPr>
        <w:t xml:space="preserve">; </w:t>
      </w:r>
      <w:r w:rsidR="001C676B" w:rsidRPr="00E3232D">
        <w:rPr>
          <w:rFonts w:ascii="Book Antiqua" w:hAnsi="Book Antiqua"/>
        </w:rPr>
        <w:t>Security</w:t>
      </w:r>
      <w:r w:rsidRPr="00E3232D">
        <w:rPr>
          <w:rFonts w:ascii="Book Antiqua" w:hAnsi="Book Antiqua"/>
        </w:rPr>
        <w:t xml:space="preserve">; </w:t>
      </w:r>
      <w:r w:rsidR="001C676B" w:rsidRPr="00E3232D">
        <w:rPr>
          <w:rFonts w:ascii="Book Antiqua" w:hAnsi="Book Antiqua"/>
        </w:rPr>
        <w:t>Data</w:t>
      </w:r>
      <w:r w:rsidRPr="00E3232D">
        <w:rPr>
          <w:rFonts w:ascii="Book Antiqua" w:hAnsi="Book Antiqua"/>
        </w:rPr>
        <w:t xml:space="preserve">; </w:t>
      </w:r>
      <w:r w:rsidR="001C676B" w:rsidRPr="00E3232D">
        <w:rPr>
          <w:rFonts w:ascii="Book Antiqua" w:hAnsi="Book Antiqua"/>
        </w:rPr>
        <w:t>Institutional responsibility</w:t>
      </w:r>
      <w:r w:rsidRPr="00E3232D">
        <w:rPr>
          <w:rFonts w:ascii="Book Antiqua" w:hAnsi="Book Antiqua"/>
          <w:i/>
          <w:iCs/>
        </w:rPr>
        <w:t xml:space="preserve"> </w:t>
      </w:r>
    </w:p>
    <w:p w14:paraId="4C85AAEF" w14:textId="77777777" w:rsidR="00D76456" w:rsidRDefault="00D76456" w:rsidP="008275E1">
      <w:pPr>
        <w:ind w:right="804"/>
        <w:rPr>
          <w:rFonts w:ascii="Book Antiqua" w:hAnsi="Book Antiqua"/>
          <w:b/>
          <w:bCs/>
        </w:rPr>
        <w:sectPr w:rsidR="00D76456" w:rsidSect="008F6BC9">
          <w:type w:val="continuous"/>
          <w:pgSz w:w="11907" w:h="16839" w:code="9"/>
          <w:pgMar w:top="1440" w:right="1274" w:bottom="1440" w:left="1440" w:header="708" w:footer="708" w:gutter="0"/>
          <w:cols w:space="720"/>
          <w:docGrid w:linePitch="360"/>
        </w:sectPr>
      </w:pPr>
    </w:p>
    <w:p w14:paraId="3EFB72BC" w14:textId="77777777" w:rsidR="00C86CF2" w:rsidRDefault="00C86CF2" w:rsidP="008275E1">
      <w:pPr>
        <w:ind w:right="804"/>
        <w:rPr>
          <w:rFonts w:ascii="Book Antiqua" w:hAnsi="Book Antiqua"/>
          <w:b/>
          <w:bCs/>
        </w:rPr>
        <w:sectPr w:rsidR="00C86CF2" w:rsidSect="008F6BC9">
          <w:type w:val="continuous"/>
          <w:pgSz w:w="11907" w:h="16839" w:code="9"/>
          <w:pgMar w:top="1440" w:right="1274" w:bottom="1440" w:left="1440" w:header="708" w:footer="708" w:gutter="0"/>
          <w:cols w:space="720"/>
          <w:docGrid w:linePitch="360"/>
        </w:sectPr>
      </w:pPr>
    </w:p>
    <w:p w14:paraId="4F6D5CF4" w14:textId="77777777" w:rsidR="00A27788" w:rsidRPr="00E3232D" w:rsidRDefault="00A27788" w:rsidP="008275E1">
      <w:pPr>
        <w:ind w:right="804"/>
        <w:rPr>
          <w:rFonts w:ascii="Book Antiqua" w:hAnsi="Book Antiqua"/>
          <w:b/>
          <w:bCs/>
        </w:rPr>
      </w:pPr>
      <w:r w:rsidRPr="00E3232D">
        <w:rPr>
          <w:rFonts w:ascii="Book Antiqua" w:hAnsi="Book Antiqua"/>
          <w:b/>
          <w:bCs/>
        </w:rPr>
        <w:t>1.</w:t>
      </w:r>
      <w:r w:rsidR="00806674">
        <w:rPr>
          <w:rFonts w:ascii="Book Antiqua" w:hAnsi="Book Antiqua"/>
          <w:b/>
          <w:bCs/>
        </w:rPr>
        <w:t xml:space="preserve">0 </w:t>
      </w:r>
      <w:r w:rsidRPr="00E3232D">
        <w:rPr>
          <w:rFonts w:ascii="Book Antiqua" w:hAnsi="Book Antiqua"/>
          <w:b/>
          <w:bCs/>
        </w:rPr>
        <w:t xml:space="preserve"> </w:t>
      </w:r>
      <w:r w:rsidRPr="00E3232D">
        <w:rPr>
          <w:rFonts w:ascii="Book Antiqua" w:hAnsi="Book Antiqua"/>
          <w:b/>
          <w:bCs/>
        </w:rPr>
        <w:tab/>
      </w:r>
      <w:r w:rsidRPr="00465AE3">
        <w:rPr>
          <w:rFonts w:ascii="Book Antiqua" w:hAnsi="Book Antiqua"/>
          <w:b/>
          <w:bCs/>
          <w:sz w:val="26"/>
        </w:rPr>
        <w:t>Introduction</w:t>
      </w:r>
    </w:p>
    <w:p w14:paraId="3193E17F" w14:textId="77777777" w:rsidR="00465AE3" w:rsidRPr="00E3232D" w:rsidRDefault="001C676B" w:rsidP="00465AE3">
      <w:pPr>
        <w:ind w:right="804"/>
        <w:jc w:val="both"/>
        <w:rPr>
          <w:rFonts w:ascii="Book Antiqua" w:hAnsi="Book Antiqua"/>
          <w:i/>
          <w:iCs/>
        </w:rPr>
      </w:pPr>
      <w:r>
        <w:rPr>
          <w:rFonts w:ascii="Book Antiqua" w:hAnsi="Book Antiqua"/>
          <w:i/>
          <w:iCs/>
        </w:rPr>
        <w:t>More t</w:t>
      </w:r>
      <w:r w:rsidRPr="00E3232D">
        <w:rPr>
          <w:rFonts w:ascii="Book Antiqua" w:hAnsi="Book Antiqua"/>
          <w:i/>
          <w:iCs/>
        </w:rPr>
        <w:t xml:space="preserve">han </w:t>
      </w:r>
      <w:r w:rsidR="00465AE3" w:rsidRPr="00E3232D">
        <w:rPr>
          <w:rFonts w:ascii="Book Antiqua" w:hAnsi="Book Antiqua"/>
          <w:i/>
          <w:iCs/>
        </w:rPr>
        <w:t>750,000 individual identities are stolen in a typical year. Identity theft, whereby the personal identification, financial and credit-card records of an individual are taken over and used by someone else, is a growing concern globally. In the past, this occurred when someone stole traditional mail and correspondence and then used the identity information it contained. Now, this type of theft also often involves unauthorized access to personal information stored in computer database. (Senn, 2004, p.75)</w:t>
      </w:r>
    </w:p>
    <w:p w14:paraId="113E8B59" w14:textId="77777777" w:rsidR="00B07C78" w:rsidRDefault="00A27788" w:rsidP="00465AE3">
      <w:pPr>
        <w:ind w:right="-22"/>
        <w:jc w:val="both"/>
        <w:rPr>
          <w:rFonts w:ascii="Book Antiqua" w:hAnsi="Book Antiqua"/>
        </w:rPr>
      </w:pPr>
      <w:r w:rsidRPr="00E3232D">
        <w:rPr>
          <w:rFonts w:ascii="Book Antiqua" w:hAnsi="Book Antiqua"/>
        </w:rPr>
        <w:t>The problem of identity theft has risen to grave proportion since the statement above was made in 2004 (Raab, 2007). Whereas in most cases, identity theft is schemed by cunning but unscrupulous individuals or groups (Duodu, 2013), there are situations where individual complicity, coupled with institutional negligence, creates fertile grounds for identity theft. Individual complicity may be motivated by trust, personal convenience (Dad Impersonating, 2010) and/or simple ignorance of the serious implication of one’s (in)</w:t>
      </w:r>
      <w:r w:rsidR="00D13300">
        <w:rPr>
          <w:rFonts w:ascii="Book Antiqua" w:hAnsi="Book Antiqua"/>
        </w:rPr>
        <w:t xml:space="preserve"> </w:t>
      </w:r>
      <w:r w:rsidRPr="00E3232D">
        <w:rPr>
          <w:rFonts w:ascii="Book Antiqua" w:hAnsi="Book Antiqua"/>
        </w:rPr>
        <w:t xml:space="preserve">actions; </w:t>
      </w:r>
    </w:p>
    <w:p w14:paraId="27749061" w14:textId="77777777" w:rsidR="00A27788" w:rsidRPr="00E3232D" w:rsidRDefault="00A27788" w:rsidP="00EA19E3">
      <w:pPr>
        <w:ind w:right="-22"/>
        <w:jc w:val="both"/>
        <w:rPr>
          <w:rFonts w:ascii="Book Antiqua" w:hAnsi="Book Antiqua"/>
        </w:rPr>
      </w:pPr>
      <w:r w:rsidRPr="00E3232D">
        <w:rPr>
          <w:rFonts w:ascii="Book Antiqua" w:hAnsi="Book Antiqua"/>
        </w:rPr>
        <w:t>nevertheless, the potential grave results of such action should deter well-meaning individuals and institutions from compromising office protocol. Institutions become custodians of confidential information they gather on individuals; as such they are obliged to ensure the safety and integrity of such information (Data Protection, 2009). Organizational lapses could provide opportunity for unscrupulous agents to manipulate information and compromise</w:t>
      </w:r>
      <w:r w:rsidR="00EA19E3">
        <w:rPr>
          <w:rFonts w:ascii="Book Antiqua" w:hAnsi="Book Antiqua"/>
        </w:rPr>
        <w:t xml:space="preserve"> </w:t>
      </w:r>
      <w:r w:rsidRPr="00E3232D">
        <w:rPr>
          <w:rFonts w:ascii="Book Antiqua" w:hAnsi="Book Antiqua"/>
        </w:rPr>
        <w:t>organizational security.</w:t>
      </w:r>
    </w:p>
    <w:p w14:paraId="3DD391CF" w14:textId="77777777" w:rsidR="005E5B6B" w:rsidRDefault="005E5B6B" w:rsidP="00465AE3">
      <w:pPr>
        <w:spacing w:after="0"/>
        <w:ind w:right="-22"/>
        <w:jc w:val="both"/>
        <w:rPr>
          <w:rFonts w:ascii="Book Antiqua" w:hAnsi="Book Antiqua"/>
        </w:rPr>
      </w:pPr>
    </w:p>
    <w:p w14:paraId="788D915B" w14:textId="77777777" w:rsidR="00A27788" w:rsidRDefault="00A27788" w:rsidP="00465AE3">
      <w:pPr>
        <w:spacing w:after="0"/>
        <w:ind w:right="-22"/>
        <w:jc w:val="both"/>
        <w:rPr>
          <w:rFonts w:ascii="Book Antiqua" w:hAnsi="Book Antiqua"/>
        </w:rPr>
      </w:pPr>
      <w:r w:rsidRPr="00E3232D">
        <w:rPr>
          <w:rFonts w:ascii="Book Antiqua" w:hAnsi="Book Antiqua"/>
        </w:rPr>
        <w:t xml:space="preserve">Senn (2004) has linked information and knowledge: “We live in a society where information is an essential resource and knowledge is valuable” (p. 6). He has described data which yields valuable information as “facts” comprising “details that describe people, places objects and events” (p. 7). When such facts “are gathered and synthesized into a useful form, they become information” (ibid). Such material enables other workers to create, distribute and apply knowledge for diverse uses by society. The Information Technology Age has given added impetus to the worth of information; thus according to Senn, contemporary generations consider information “as assets that a society needs to develop and manage” (ibid). This paper acknowledges the value of student academic information in the tertiary system, discusses certain trends in retrieving processed student information and how such might advertently or inadvertently create fertile grounds for identity theft thus compromise the integrity of academic records and institutional reputation, placing unqualified personnel at post. </w:t>
      </w:r>
    </w:p>
    <w:p w14:paraId="6A0E441F" w14:textId="77777777" w:rsidR="00B07C78" w:rsidRPr="00E3232D" w:rsidRDefault="00B07C78" w:rsidP="00465AE3">
      <w:pPr>
        <w:ind w:right="-22"/>
        <w:jc w:val="both"/>
        <w:rPr>
          <w:rFonts w:ascii="Book Antiqua" w:hAnsi="Book Antiqua"/>
        </w:rPr>
      </w:pPr>
    </w:p>
    <w:p w14:paraId="4058410A" w14:textId="77777777" w:rsidR="00A27788" w:rsidRPr="00E3232D" w:rsidRDefault="00A27788" w:rsidP="00196385">
      <w:pPr>
        <w:numPr>
          <w:ilvl w:val="1"/>
          <w:numId w:val="73"/>
        </w:numPr>
        <w:ind w:right="-22"/>
        <w:jc w:val="both"/>
        <w:rPr>
          <w:rFonts w:ascii="Book Antiqua" w:hAnsi="Book Antiqua"/>
          <w:b/>
          <w:bCs/>
        </w:rPr>
      </w:pPr>
      <w:r w:rsidRPr="00E3232D">
        <w:rPr>
          <w:rFonts w:ascii="Book Antiqua" w:hAnsi="Book Antiqua"/>
          <w:b/>
          <w:bCs/>
        </w:rPr>
        <w:t xml:space="preserve">When Technology Threatens Data Security </w:t>
      </w:r>
    </w:p>
    <w:p w14:paraId="14C3E611" w14:textId="77777777" w:rsidR="00A27788" w:rsidRPr="00E3232D" w:rsidRDefault="00A27788" w:rsidP="00465AE3">
      <w:pPr>
        <w:ind w:right="-22"/>
        <w:jc w:val="both"/>
        <w:rPr>
          <w:rFonts w:ascii="Book Antiqua" w:hAnsi="Book Antiqua"/>
        </w:rPr>
      </w:pPr>
      <w:r w:rsidRPr="00E3232D">
        <w:rPr>
          <w:rFonts w:ascii="Book Antiqua" w:hAnsi="Book Antiqua"/>
        </w:rPr>
        <w:t>In spite of the enormous advances technology has brought into human communication systems (Argenti, 2007), same technology could metamorphose into sophisticated weaponry that massively devastates the said systems (Inside the Murdock empire, 2011). Information Technology has heightened the level of sophistication with which unscrupulous individuals forge documents. Improved office equipment enable cunning ones to duplicate security materials and make them appear as original, necessitating extra vigilance and professional meticulousness to spot differences between original and forged documents (Duodu, 2013). Computer experts are able to hack into computer systems to assess confidential information of competing institutions. Technological failures or other technical faults could jeopardize otherwise organized systems and inadvertently compromise data security. And computer experts can manipulate “highly effective communication tools” to create viruses to destroy others’ information systems (Green, 2006, p.183).</w:t>
      </w:r>
    </w:p>
    <w:p w14:paraId="3A5DCDF4" w14:textId="77777777" w:rsidR="00A27788" w:rsidRPr="00E3232D" w:rsidRDefault="00A27788" w:rsidP="00465AE3">
      <w:pPr>
        <w:ind w:right="-22"/>
        <w:jc w:val="both"/>
        <w:rPr>
          <w:rFonts w:ascii="Book Antiqua" w:hAnsi="Book Antiqua"/>
        </w:rPr>
      </w:pPr>
      <w:r w:rsidRPr="00E3232D">
        <w:rPr>
          <w:rFonts w:ascii="Book Antiqua" w:hAnsi="Book Antiqua"/>
        </w:rPr>
        <w:t>Consequently, Senn has prudently cautioned corporate bodies: “Information about your company is valuable, not only to your company but also to unscrupulous people outside your company” (p. 212). For some institutions, the information referred to “includes confidential records such as bank credit cards, sales strategies … files about customers, new products …” (p. 212).  As such it could be highly damaging to both companies and customers--inconveniencing as well--when such records get destroyed, lost or stolen (Raab, 2007). Therefore vigilant corporate bodies, make strenuous efforts to protect information stored in their databases: “Data security is critical to protect computer information from theft, misuse and disaster” (Senn, 2004, p. 212).  For threats to computer data security, there are safety measures such as “virus protection software” against virus attacks, “power yes systems” to ensure “uninterruptible power supply”, giving users ample time to save data in the event of power outage and “audit logs” that enable managements to check identity and authority of officers who log onto company computers, as well as “privacy-enhancing technologies (PETs) for electronic cash activities” (Raab, 2007, p. 433), to mention these. Yet technology is not the only threat to data security in public institutions and sometimes, compromising sensitive data is not a difficult task.</w:t>
      </w:r>
    </w:p>
    <w:p w14:paraId="3BB2D0D3" w14:textId="77777777" w:rsidR="00C86CF2" w:rsidRDefault="00C86CF2" w:rsidP="001765F6">
      <w:pPr>
        <w:spacing w:after="0"/>
        <w:jc w:val="both"/>
        <w:rPr>
          <w:rFonts w:ascii="Book Antiqua" w:hAnsi="Book Antiqua"/>
          <w:b/>
          <w:bCs/>
        </w:rPr>
      </w:pPr>
    </w:p>
    <w:p w14:paraId="5601F78E" w14:textId="77777777" w:rsidR="00A27788" w:rsidRPr="00E3232D" w:rsidRDefault="00A27788" w:rsidP="00465AE3">
      <w:pPr>
        <w:jc w:val="both"/>
        <w:rPr>
          <w:rFonts w:ascii="Book Antiqua" w:hAnsi="Book Antiqua"/>
          <w:b/>
          <w:bCs/>
        </w:rPr>
      </w:pPr>
      <w:r w:rsidRPr="00E3232D">
        <w:rPr>
          <w:rFonts w:ascii="Book Antiqua" w:hAnsi="Book Antiqua"/>
          <w:b/>
          <w:bCs/>
        </w:rPr>
        <w:t>1.1.1</w:t>
      </w:r>
      <w:r w:rsidRPr="00E3232D">
        <w:rPr>
          <w:rFonts w:ascii="Book Antiqua" w:hAnsi="Book Antiqua"/>
          <w:b/>
          <w:bCs/>
        </w:rPr>
        <w:tab/>
        <w:t xml:space="preserve">Academic Record </w:t>
      </w:r>
    </w:p>
    <w:p w14:paraId="2482F8AD" w14:textId="77777777" w:rsidR="00A27788" w:rsidRPr="00E3232D" w:rsidRDefault="00A27788" w:rsidP="00465AE3">
      <w:pPr>
        <w:jc w:val="both"/>
        <w:rPr>
          <w:rFonts w:ascii="Book Antiqua" w:hAnsi="Book Antiqua"/>
        </w:rPr>
      </w:pPr>
      <w:r w:rsidRPr="00E3232D">
        <w:rPr>
          <w:rFonts w:ascii="Book Antiqua" w:hAnsi="Book Antiqua"/>
        </w:rPr>
        <w:t>Among other reasons, academic institutions require personal information from applicants to process admission requests; the information is stored in institutional databases (Academic Records, 2010; McCann University, Policy p. 2, Privacy, 2011). Upon being admitted into a tertiary institution, academic activities enable students to acquire academic information. Marks for students’ academic activities cumulate through the period of study, based on which record a degree and certification are offered individual students, upon satisfying all programme requirements (Academic Name, 2010; Academic record, 2011). An Academic Record, therefore, encompasses one’s</w:t>
      </w:r>
      <w:r w:rsidRPr="00E3232D">
        <w:rPr>
          <w:rFonts w:ascii="Book Antiqua" w:hAnsi="Book Antiqua"/>
          <w:color w:val="333333"/>
        </w:rPr>
        <w:t xml:space="preserve"> academic history.</w:t>
      </w:r>
      <w:r w:rsidRPr="00E3232D">
        <w:rPr>
          <w:rFonts w:ascii="Book Antiqua" w:hAnsi="Book Antiqua"/>
        </w:rPr>
        <w:t xml:space="preserve"> It is “a complete historical listing of all coursework, associated grades and other academic-related information” (Academic Name, 2010). The record remains with the institution and is released upon request, following certain laid-down procedures (Privacy, 2011; Temple University, 1977).</w:t>
      </w:r>
    </w:p>
    <w:p w14:paraId="4F8AC283" w14:textId="77777777" w:rsidR="00B07C78" w:rsidRPr="00465AE3" w:rsidRDefault="00A27788" w:rsidP="00465AE3">
      <w:pPr>
        <w:jc w:val="both"/>
        <w:rPr>
          <w:rFonts w:ascii="Book Antiqua" w:hAnsi="Book Antiqua"/>
        </w:rPr>
      </w:pPr>
      <w:r w:rsidRPr="00E3232D">
        <w:rPr>
          <w:rFonts w:ascii="Book Antiqua" w:hAnsi="Book Antiqua"/>
        </w:rPr>
        <w:t>Upon completing a programme, there are two major ways through which academic statements could be obtained: “The official Record of … achievement is called Academic Transcript .... [which] details … entire academic history with … university” (Academic Records, 2010)</w:t>
      </w:r>
      <w:r w:rsidRPr="00E3232D">
        <w:rPr>
          <w:rFonts w:ascii="Book Antiqua" w:hAnsi="Book Antiqua"/>
          <w:color w:val="FF0000"/>
        </w:rPr>
        <w:t>.</w:t>
      </w:r>
      <w:r w:rsidRPr="00E3232D">
        <w:rPr>
          <w:rFonts w:ascii="Book Antiqua" w:hAnsi="Book Antiqua"/>
        </w:rPr>
        <w:t xml:space="preserve"> In other words, the document “is a summary record information regarding the attendance at [a] university and any related statuses e.g. class level, degree awarded ...” (McCann University, n.d).</w:t>
      </w:r>
      <w:r w:rsidRPr="00E3232D">
        <w:rPr>
          <w:rFonts w:ascii="Book Antiqua" w:hAnsi="Book Antiqua"/>
          <w:color w:val="FF0000"/>
        </w:rPr>
        <w:t xml:space="preserve"> </w:t>
      </w:r>
      <w:r w:rsidRPr="00E3232D">
        <w:rPr>
          <w:rFonts w:ascii="Book Antiqua" w:hAnsi="Book Antiqua"/>
        </w:rPr>
        <w:t xml:space="preserve">“A completion letter”, variously referred to as “letter of attestation” or “record of verification” by institutions, is “an official statement confirming completion of qualification ...” (Academic Records, 2010). </w:t>
      </w:r>
    </w:p>
    <w:p w14:paraId="1955083D" w14:textId="77777777" w:rsidR="00A27788" w:rsidRPr="00E3232D" w:rsidRDefault="00A27788" w:rsidP="00465AE3">
      <w:pPr>
        <w:jc w:val="both"/>
        <w:rPr>
          <w:rFonts w:ascii="Book Antiqua" w:hAnsi="Book Antiqua"/>
        </w:rPr>
      </w:pPr>
      <w:r w:rsidRPr="00E3232D">
        <w:rPr>
          <w:rFonts w:ascii="Book Antiqua" w:hAnsi="Book Antiqua"/>
          <w:b/>
          <w:bCs/>
        </w:rPr>
        <w:t>1.1.2</w:t>
      </w:r>
      <w:r w:rsidRPr="00E3232D">
        <w:rPr>
          <w:rFonts w:ascii="Book Antiqua" w:hAnsi="Book Antiqua"/>
          <w:b/>
          <w:bCs/>
        </w:rPr>
        <w:tab/>
        <w:t>Retrieving Student Information in Tertiary Institutions</w:t>
      </w:r>
      <w:r w:rsidRPr="00E3232D">
        <w:rPr>
          <w:rFonts w:ascii="Book Antiqua" w:hAnsi="Book Antiqua"/>
        </w:rPr>
        <w:t xml:space="preserve"> </w:t>
      </w:r>
    </w:p>
    <w:p w14:paraId="6E29CE2B" w14:textId="77777777" w:rsidR="00A27788" w:rsidRPr="00E3232D" w:rsidRDefault="00A27788" w:rsidP="00465AE3">
      <w:pPr>
        <w:spacing w:after="0"/>
        <w:jc w:val="both"/>
        <w:rPr>
          <w:rFonts w:ascii="Book Antiqua" w:hAnsi="Book Antiqua"/>
          <w:color w:val="FF0000"/>
        </w:rPr>
      </w:pPr>
      <w:r w:rsidRPr="00E3232D">
        <w:rPr>
          <w:rFonts w:ascii="Book Antiqua" w:hAnsi="Book Antiqua"/>
        </w:rPr>
        <w:t xml:space="preserve">For tertiary institutions, second to imparting knowledge to learners is the crucial act of offering certification to enable beneficiaries of the educational system progress, professionally or academically, to mention two (Academic Records, 2010; Office of the Registrar, 2011; McCann University, n.d). Certification is possible through academic activities--course work, practical assignments, examinations--student performances in which cumulate in grading and award of a diploma or degree. Upon completion, alumni have the right to access individual academic information from institutional database, manually or electronically, according to laid-down regulations (Academic Record, 2011; Applying, 2010). </w:t>
      </w:r>
      <w:r w:rsidRPr="00E3232D">
        <w:rPr>
          <w:rFonts w:ascii="Book Antiqua" w:hAnsi="Book Antiqua"/>
          <w:color w:val="000000"/>
        </w:rPr>
        <w:t>The sensitive nature of that record can be deduced from security measures established to safeguard its integrity.</w:t>
      </w:r>
      <w:r w:rsidRPr="00E3232D">
        <w:rPr>
          <w:rFonts w:ascii="Book Antiqua" w:hAnsi="Book Antiqua"/>
          <w:color w:val="FF0000"/>
        </w:rPr>
        <w:t xml:space="preserve"> </w:t>
      </w:r>
    </w:p>
    <w:p w14:paraId="54D748CC" w14:textId="77777777" w:rsidR="00432993" w:rsidRDefault="00432993" w:rsidP="00465AE3">
      <w:pPr>
        <w:spacing w:after="0"/>
        <w:jc w:val="both"/>
        <w:rPr>
          <w:rFonts w:ascii="Book Antiqua" w:hAnsi="Book Antiqua"/>
        </w:rPr>
      </w:pPr>
    </w:p>
    <w:p w14:paraId="621099A4" w14:textId="77777777" w:rsidR="00A27788" w:rsidRPr="00E3232D" w:rsidRDefault="00A27788" w:rsidP="00465AE3">
      <w:pPr>
        <w:spacing w:after="0"/>
        <w:jc w:val="both"/>
        <w:rPr>
          <w:rFonts w:ascii="Book Antiqua" w:hAnsi="Book Antiqua"/>
          <w:color w:val="FF0000"/>
          <w:lang w:eastAsia="en-GB"/>
        </w:rPr>
      </w:pPr>
      <w:r w:rsidRPr="00E3232D">
        <w:rPr>
          <w:rFonts w:ascii="Book Antiqua" w:hAnsi="Book Antiqua"/>
        </w:rPr>
        <w:t xml:space="preserve">In the United States of America (USA), </w:t>
      </w:r>
      <w:r w:rsidRPr="00E3232D">
        <w:rPr>
          <w:rFonts w:ascii="Book Antiqua" w:hAnsi="Book Antiqua"/>
          <w:lang w:eastAsia="en-GB"/>
        </w:rPr>
        <w:t>the Family Educational Rights and Privacy Act (FERPA), passed in 1974, also referred to as the Buckley Amendment, “is a federal</w:t>
      </w:r>
      <w:r w:rsidRPr="00E3232D">
        <w:rPr>
          <w:rFonts w:ascii="Book Antiqua" w:hAnsi="Book Antiqua"/>
        </w:rPr>
        <w:t xml:space="preserve"> </w:t>
      </w:r>
      <w:r w:rsidRPr="00E3232D">
        <w:rPr>
          <w:rFonts w:ascii="Book Antiqua" w:hAnsi="Book Antiqua"/>
          <w:lang w:eastAsia="en-GB"/>
        </w:rPr>
        <w:t>law governing privacy rights in students’ school records” (Policy, 1977). The Act spells out institutional obligation “primarily in the areas of release of the records and access to these records (Applying, 2010). Tertiary institutions in the United States are “guided by FERPA to ensure the confidentiality of ... academic records” (Office of the Registrar, 2011).</w:t>
      </w:r>
      <w:r w:rsidRPr="00E3232D">
        <w:rPr>
          <w:rFonts w:ascii="Book Antiqua" w:hAnsi="Book Antiqua"/>
          <w:color w:val="FF0000"/>
          <w:lang w:eastAsia="en-GB"/>
        </w:rPr>
        <w:t xml:space="preserve"> </w:t>
      </w:r>
      <w:r w:rsidRPr="00E3232D">
        <w:rPr>
          <w:rFonts w:ascii="Book Antiqua" w:hAnsi="Book Antiqua"/>
          <w:lang w:eastAsia="en-GB"/>
        </w:rPr>
        <w:t>The Act refers</w:t>
      </w:r>
      <w:r w:rsidRPr="00E3232D">
        <w:rPr>
          <w:rFonts w:ascii="Book Antiqua" w:hAnsi="Book Antiqua"/>
          <w:color w:val="FF0000"/>
          <w:lang w:eastAsia="en-GB"/>
        </w:rPr>
        <w:t xml:space="preserve"> </w:t>
      </w:r>
      <w:r w:rsidRPr="00E3232D">
        <w:rPr>
          <w:rFonts w:ascii="Book Antiqua" w:hAnsi="Book Antiqua"/>
          <w:lang w:eastAsia="en-GB"/>
        </w:rPr>
        <w:t xml:space="preserve">to Academic Transcripts and letter of completion as “education records” and requires tertiary institutions in the country to keep such “confidential” (p. 2).  It also distinguishes academic record from “directory information”--name and contact information, “enrollment status, dates of attendance, degrees received, field of study, activities participated in and weight and height of athletes” (p. 3). Releasing directory information is not considered invasion of privacy, according to FERPA, yet a student could “withhold disclosure of such information” (p. 3). Similar principles exist to protect personal data in other communities. </w:t>
      </w:r>
    </w:p>
    <w:p w14:paraId="31E3191F" w14:textId="77777777" w:rsidR="00432993" w:rsidRDefault="00432993" w:rsidP="00465AE3">
      <w:pPr>
        <w:spacing w:after="0"/>
        <w:jc w:val="both"/>
        <w:rPr>
          <w:rFonts w:ascii="Book Antiqua" w:hAnsi="Book Antiqua"/>
          <w:lang w:eastAsia="en-GB"/>
        </w:rPr>
      </w:pPr>
    </w:p>
    <w:p w14:paraId="70478D5B" w14:textId="77777777" w:rsidR="00A27788" w:rsidRPr="00E3232D" w:rsidRDefault="00A27788" w:rsidP="00465AE3">
      <w:pPr>
        <w:spacing w:after="0" w:line="240" w:lineRule="auto"/>
        <w:jc w:val="both"/>
        <w:rPr>
          <w:rFonts w:ascii="Book Antiqua" w:hAnsi="Book Antiqua"/>
          <w:lang w:eastAsia="en-GB"/>
        </w:rPr>
      </w:pPr>
      <w:r w:rsidRPr="00E3232D">
        <w:rPr>
          <w:rFonts w:ascii="Book Antiqua" w:hAnsi="Book Antiqua"/>
          <w:lang w:eastAsia="en-GB"/>
        </w:rPr>
        <w:t xml:space="preserve">The United Kingdom has the Data Protection Act, established in 1998, operational since 2000 (Data Protection Act, 2011). The Act stipulates that personal information must be collected and used for the right reasons only (Data Protection, 2009). It enjoins organizations to protect individual information and grant subjects of the information access to such records (Privacy, 2006). The Act highlights the obligation of public institutions with regards to personal data. In fact, academic institutions become repository for student personal information; consequently, the institutions are obliged to safeguard such information (8 Data Protection, 2008; Privacy, 2006; The Eight Data Protection, 2008). Conversely, students need the satisfaction of knowing that their personal information is secured. FERPA and the Data Protection Act offer such security.  That tertiary institutions elsewhere have similar regulations to protect the integrity of academic records emphasize the general awareness of the potential threats to such information across communities. </w:t>
      </w:r>
    </w:p>
    <w:p w14:paraId="0406C6C3" w14:textId="77777777" w:rsidR="00C86CF2" w:rsidRDefault="00C86CF2" w:rsidP="00465AE3">
      <w:pPr>
        <w:spacing w:line="240" w:lineRule="auto"/>
        <w:jc w:val="both"/>
        <w:rPr>
          <w:rFonts w:ascii="Book Antiqua" w:hAnsi="Book Antiqua"/>
          <w:lang w:eastAsia="en-GB"/>
        </w:rPr>
      </w:pPr>
    </w:p>
    <w:p w14:paraId="1303CD22" w14:textId="77777777" w:rsidR="00A27788" w:rsidRPr="00E3232D" w:rsidRDefault="00A27788" w:rsidP="00465AE3">
      <w:pPr>
        <w:spacing w:line="240" w:lineRule="auto"/>
        <w:jc w:val="both"/>
        <w:rPr>
          <w:rFonts w:ascii="Book Antiqua" w:hAnsi="Book Antiqua"/>
        </w:rPr>
      </w:pPr>
      <w:r w:rsidRPr="00E3232D">
        <w:rPr>
          <w:rFonts w:ascii="Book Antiqua" w:hAnsi="Book Antiqua"/>
          <w:lang w:eastAsia="en-GB"/>
        </w:rPr>
        <w:t xml:space="preserve">Information technology has taken academic information beyond manual services; improved communication channels means that services regarding the release of education information could be executed electronically (McCann University, n. d). Global competition renders it crucial that employers and learning institutions are provided with such sensitive information on time, as delays could jeopardize a person’s chances of employment or further studies (Academic record, 2011). Avoiding delays, however, does not mean compromising security. Alumni everywhere need the assurance that their personal information is safe: “Graduates benefit from the ability to quickly and easily send official documents anywhere in the World, securely controlling who can access and authenticate documents” (Academic record, Manchester, 2010; Information Security Roles, 2009). It is thus imperative that requests are made and processed in the most secure manner, not only to protect student identity and institutional reputation, but also to outwit unscrupulous individuals in society. </w:t>
      </w:r>
    </w:p>
    <w:p w14:paraId="13E13DDD" w14:textId="77777777" w:rsidR="00A27788" w:rsidRPr="00E3232D" w:rsidRDefault="00A27788" w:rsidP="00465AE3">
      <w:pPr>
        <w:jc w:val="both"/>
        <w:rPr>
          <w:rFonts w:ascii="Book Antiqua" w:hAnsi="Book Antiqua"/>
        </w:rPr>
      </w:pPr>
      <w:r w:rsidRPr="00E3232D">
        <w:rPr>
          <w:rFonts w:ascii="Book Antiqua" w:hAnsi="Book Antiqua"/>
        </w:rPr>
        <w:t xml:space="preserve">In the quest to ensure a secure environment for processing and releasing academic information, a person requesting the academic record from an institution would provide specific information regarding identity to legitimize the request (Applying, 2010; How to Access, 2011; Temple University, 1977). One can authorize an individual or organization to collect the record on one’s behalf (Temple University, 1977, p. 6). Such a situation requires an authority document specifying the identity of messenger or institution and the reasons for the request (p. 15). Ideally, such requests would be verified before being processed (Applying, 2010). </w:t>
      </w:r>
    </w:p>
    <w:p w14:paraId="430EF6B7" w14:textId="77777777" w:rsidR="00A27788" w:rsidRPr="00E3232D" w:rsidRDefault="00A27788" w:rsidP="00465AE3">
      <w:pPr>
        <w:jc w:val="both"/>
        <w:rPr>
          <w:rFonts w:ascii="Book Antiqua" w:hAnsi="Book Antiqua"/>
        </w:rPr>
      </w:pPr>
      <w:r w:rsidRPr="00E3232D">
        <w:rPr>
          <w:rFonts w:ascii="Book Antiqua" w:hAnsi="Book Antiqua"/>
        </w:rPr>
        <w:t xml:space="preserve">Though Ghana does not have an Act regulating the release of student academic information, tertiary institutions in the country follow similar routines apparently borrowed from institutions in England and the USA.  Consequently, request for “educational information” is subject to similar regulations. A formal request, authenticated by the alumnus’ signature, is verified before the application is processed. According to office protocol, if an alumnus is unable to request the information in person, s/he could authorize another individual to process the application. By rule, learning institutions send Academic Transcripts directly to institutions rather than hand them over to individuals. Institutional transaction protects the integrity of the information. </w:t>
      </w:r>
    </w:p>
    <w:p w14:paraId="301BA37F" w14:textId="77777777" w:rsidR="00432993" w:rsidRPr="00465AE3" w:rsidRDefault="00A27788" w:rsidP="00465AE3">
      <w:pPr>
        <w:jc w:val="both"/>
        <w:rPr>
          <w:rFonts w:ascii="Book Antiqua" w:hAnsi="Book Antiqua"/>
        </w:rPr>
      </w:pPr>
      <w:r w:rsidRPr="00E3232D">
        <w:rPr>
          <w:rFonts w:ascii="Book Antiqua" w:hAnsi="Book Antiqua"/>
        </w:rPr>
        <w:t>This research monitored the application processes involved in the release of Academic Transcripts and Letters of Attestation to alumni from one tertiary institution in the country. Monitoring was done over a six-month period. The objective was to ascertain the authenticity of the applications and the security involved in releasing the documents. The Institution has a laid-down procedure: an application is endorsed by a head of department before the finance office accepts payment from alumnus or an authorized representative. After payment, Academic Transcripts are processed, signed by the head and file forwarded to Academic Affairs for endorsement by the Academic Registrar. Generally, transcripts are forwarded directly to institutions. For a Letter of Attestation, the respective department forwards applicant’s file to the Office of Academic Affairs where the request is processed, after which the Academic Registrar signs and releases the document to the requesting party. The Investigation was done at the stage where the Academic Registrar signed the documents.</w:t>
      </w:r>
    </w:p>
    <w:p w14:paraId="2F5C10E3" w14:textId="77777777" w:rsidR="00A27788" w:rsidRPr="00E3232D" w:rsidRDefault="00395328" w:rsidP="00465AE3">
      <w:pPr>
        <w:jc w:val="both"/>
        <w:rPr>
          <w:rFonts w:ascii="Book Antiqua" w:hAnsi="Book Antiqua"/>
          <w:b/>
          <w:bCs/>
        </w:rPr>
      </w:pPr>
      <w:r>
        <w:rPr>
          <w:rFonts w:ascii="Book Antiqua" w:hAnsi="Book Antiqua"/>
          <w:b/>
          <w:bCs/>
        </w:rPr>
        <w:t>2.</w:t>
      </w:r>
      <w:r w:rsidR="00806674">
        <w:rPr>
          <w:rFonts w:ascii="Book Antiqua" w:hAnsi="Book Antiqua"/>
          <w:b/>
          <w:bCs/>
        </w:rPr>
        <w:t xml:space="preserve">0 </w:t>
      </w:r>
      <w:r w:rsidR="00A27788" w:rsidRPr="00465AE3">
        <w:rPr>
          <w:rFonts w:ascii="Book Antiqua" w:hAnsi="Book Antiqua"/>
          <w:b/>
          <w:bCs/>
          <w:sz w:val="26"/>
        </w:rPr>
        <w:t>Methodology</w:t>
      </w:r>
    </w:p>
    <w:p w14:paraId="7A008E75" w14:textId="77777777" w:rsidR="00432993" w:rsidRPr="00465AE3" w:rsidRDefault="00A27788" w:rsidP="00465AE3">
      <w:pPr>
        <w:jc w:val="both"/>
        <w:rPr>
          <w:rFonts w:ascii="Book Antiqua" w:hAnsi="Book Antiqua"/>
        </w:rPr>
      </w:pPr>
      <w:r w:rsidRPr="00E3232D">
        <w:rPr>
          <w:rFonts w:ascii="Book Antiqua" w:hAnsi="Book Antiqua"/>
        </w:rPr>
        <w:t xml:space="preserve">To ensure flexibility and research objectivity, the study adopted “mixed methods” (Bryman, 2008) for data collection and analysis, the primary research methodology being qualitative.  According to Berg (2008), “qualitative researchers seek answers to questions by examining various social settings and the individuals who inhabit these settings” (p. 8). This study investigated one such social setting within an academic section. The qualitative approach was meant to enable researchers “observe unquantifiable facts about … actual people” (p. 8) in the academic section. Due to the sensitive nature of the study, tact was crucial through all stages of the investigation to ensure confidentiality (Palys, 1997). It was felt that the qualitative approach would motivate the researchers to bring a high degree of sensitivity to the study. That approach also enabled the researchers to probe the depth of respondents’ knowledge on rules and regulations regarding retrieving student information. Microsoft Word was used to tabulate participants’ responses. Quantifying the responses enabled the study to establish definite trends in retrieving student information. </w:t>
      </w:r>
    </w:p>
    <w:p w14:paraId="02660EFA" w14:textId="77777777" w:rsidR="00A27788" w:rsidRPr="00E3232D" w:rsidRDefault="00A27788" w:rsidP="00465AE3">
      <w:pPr>
        <w:jc w:val="both"/>
        <w:rPr>
          <w:rFonts w:ascii="Book Antiqua" w:hAnsi="Book Antiqua"/>
          <w:b/>
          <w:bCs/>
        </w:rPr>
      </w:pPr>
      <w:r w:rsidRPr="00E3232D">
        <w:rPr>
          <w:rFonts w:ascii="Book Antiqua" w:hAnsi="Book Antiqua"/>
          <w:b/>
          <w:bCs/>
        </w:rPr>
        <w:t>2.1</w:t>
      </w:r>
      <w:r w:rsidRPr="00E3232D">
        <w:rPr>
          <w:rFonts w:ascii="Book Antiqua" w:hAnsi="Book Antiqua"/>
          <w:b/>
          <w:bCs/>
        </w:rPr>
        <w:tab/>
        <w:t>Research Questions</w:t>
      </w:r>
    </w:p>
    <w:p w14:paraId="205932A9" w14:textId="77777777" w:rsidR="001A06E6" w:rsidRPr="00465AE3" w:rsidRDefault="00A27788" w:rsidP="00465AE3">
      <w:pPr>
        <w:jc w:val="both"/>
        <w:rPr>
          <w:rFonts w:ascii="Book Antiqua" w:hAnsi="Book Antiqua"/>
        </w:rPr>
      </w:pPr>
      <w:r w:rsidRPr="00E3232D">
        <w:rPr>
          <w:rFonts w:ascii="Book Antiqua" w:hAnsi="Book Antiqua"/>
        </w:rPr>
        <w:t xml:space="preserve">The study sought answers to four questions regarding retrieving academic information: To what extent do the parties involved in processing applications for student information exercise diligence and follow laid-down procedures? What security measures have been established to protect the identity of alumni and safeguard the integrity of academic records? What is employee/alumni knowledge of office protocol regarding retrieving student information and the implications thereof? What is employee attitude towards rules and regulations for processing academic information?     </w:t>
      </w:r>
    </w:p>
    <w:p w14:paraId="18F94CD3" w14:textId="77777777" w:rsidR="00A27788" w:rsidRPr="00E3232D" w:rsidRDefault="00A27788" w:rsidP="00465AE3">
      <w:pPr>
        <w:jc w:val="both"/>
        <w:rPr>
          <w:rFonts w:ascii="Book Antiqua" w:hAnsi="Book Antiqua"/>
          <w:b/>
          <w:bCs/>
        </w:rPr>
      </w:pPr>
      <w:r w:rsidRPr="00E3232D">
        <w:rPr>
          <w:rFonts w:ascii="Book Antiqua" w:hAnsi="Book Antiqua"/>
          <w:b/>
          <w:bCs/>
        </w:rPr>
        <w:t>2.2.</w:t>
      </w:r>
      <w:r w:rsidRPr="00E3232D">
        <w:rPr>
          <w:rFonts w:ascii="Book Antiqua" w:hAnsi="Book Antiqua"/>
          <w:b/>
          <w:bCs/>
        </w:rPr>
        <w:tab/>
        <w:t>Research Population</w:t>
      </w:r>
    </w:p>
    <w:p w14:paraId="2F04F373" w14:textId="77777777" w:rsidR="00432993" w:rsidRDefault="00A27788" w:rsidP="00465AE3">
      <w:pPr>
        <w:jc w:val="both"/>
        <w:rPr>
          <w:rFonts w:ascii="Book Antiqua" w:hAnsi="Book Antiqua"/>
        </w:rPr>
      </w:pPr>
      <w:r w:rsidRPr="00E3232D">
        <w:rPr>
          <w:rFonts w:ascii="Book Antiqua" w:hAnsi="Book Antiqua"/>
        </w:rPr>
        <w:t xml:space="preserve">Academic information could be requested by both continuing students and alumni for various reasons; this study focused on alumni. It investigated application procedures for transcripts and attestation within a six-month period. Applicants had finished their programme, at least, a year at the time of the research.  Since most requests were for employment or educational purposes, applicants who were invited for informal discussions promptly responded, their responses adding much </w:t>
      </w:r>
    </w:p>
    <w:p w14:paraId="6BFC507A" w14:textId="77777777" w:rsidR="00A27788" w:rsidRPr="00E3232D" w:rsidRDefault="00A27788" w:rsidP="00465AE3">
      <w:pPr>
        <w:jc w:val="both"/>
        <w:rPr>
          <w:rFonts w:ascii="Book Antiqua" w:hAnsi="Book Antiqua"/>
        </w:rPr>
      </w:pPr>
      <w:r w:rsidRPr="00E3232D">
        <w:rPr>
          <w:rFonts w:ascii="Book Antiqua" w:hAnsi="Book Antiqua"/>
        </w:rPr>
        <w:t>insight to the study. One hundred and ninety four (194) applications were used for the analysis. Applicants, males and females, represented all four academic schools of the Institution and all but two academic departments, one of which was yet to be fully autonomous at the time of the study, plus a few others. The table below represents the research population.</w:t>
      </w:r>
    </w:p>
    <w:p w14:paraId="49A84005" w14:textId="77777777" w:rsidR="002835F0" w:rsidRPr="00E3232D" w:rsidRDefault="002835F0" w:rsidP="00465AE3">
      <w:pPr>
        <w:jc w:val="both"/>
        <w:rPr>
          <w:rFonts w:ascii="Book Antiqua" w:hAnsi="Book Antiqua"/>
          <w:b/>
          <w:bCs/>
        </w:rPr>
      </w:pPr>
    </w:p>
    <w:p w14:paraId="56ACE8A4" w14:textId="77777777" w:rsidR="002835F0" w:rsidRPr="00E3232D" w:rsidRDefault="002835F0" w:rsidP="00465AE3">
      <w:pPr>
        <w:jc w:val="both"/>
        <w:rPr>
          <w:rFonts w:ascii="Book Antiqua" w:hAnsi="Book Antiqua"/>
          <w:b/>
          <w:bCs/>
        </w:rPr>
      </w:pPr>
    </w:p>
    <w:p w14:paraId="4265B9D7" w14:textId="77777777" w:rsidR="00432993" w:rsidRDefault="00432993" w:rsidP="00465AE3">
      <w:pPr>
        <w:jc w:val="both"/>
        <w:rPr>
          <w:rFonts w:ascii="Book Antiqua" w:hAnsi="Book Antiqua"/>
          <w:b/>
          <w:bCs/>
        </w:rPr>
      </w:pPr>
    </w:p>
    <w:p w14:paraId="539733E9" w14:textId="77777777" w:rsidR="00827F32" w:rsidRDefault="00827F32" w:rsidP="00465AE3">
      <w:pPr>
        <w:jc w:val="both"/>
        <w:rPr>
          <w:rFonts w:ascii="Book Antiqua" w:hAnsi="Book Antiqua"/>
          <w:b/>
          <w:bCs/>
        </w:rPr>
      </w:pPr>
    </w:p>
    <w:p w14:paraId="6AAF646F" w14:textId="77777777" w:rsidR="00827F32" w:rsidRDefault="00827F32" w:rsidP="00465AE3">
      <w:pPr>
        <w:jc w:val="both"/>
        <w:rPr>
          <w:rFonts w:ascii="Book Antiqua" w:hAnsi="Book Antiqua"/>
          <w:b/>
          <w:bCs/>
        </w:rPr>
        <w:sectPr w:rsidR="00827F32" w:rsidSect="008F6BC9">
          <w:type w:val="continuous"/>
          <w:pgSz w:w="11907" w:h="16839" w:code="9"/>
          <w:pgMar w:top="1440" w:right="1274" w:bottom="1440" w:left="1440" w:header="708" w:footer="708" w:gutter="0"/>
          <w:cols w:num="2" w:space="720"/>
          <w:docGrid w:linePitch="360"/>
        </w:sectPr>
      </w:pPr>
    </w:p>
    <w:p w14:paraId="65ACDAA7" w14:textId="77777777" w:rsidR="00395328" w:rsidRDefault="00395328" w:rsidP="00465AE3">
      <w:pPr>
        <w:jc w:val="both"/>
        <w:rPr>
          <w:rFonts w:ascii="Book Antiqua" w:hAnsi="Book Antiqua"/>
          <w:b/>
          <w:bCs/>
        </w:rPr>
        <w:sectPr w:rsidR="00395328" w:rsidSect="008F6BC9">
          <w:type w:val="continuous"/>
          <w:pgSz w:w="11907" w:h="16839" w:code="9"/>
          <w:pgMar w:top="1440" w:right="1274" w:bottom="1440" w:left="1440" w:header="708" w:footer="708" w:gutter="0"/>
          <w:cols w:num="2" w:space="720"/>
          <w:docGrid w:linePitch="360"/>
        </w:sectPr>
      </w:pPr>
    </w:p>
    <w:p w14:paraId="334D1AD3" w14:textId="77777777" w:rsidR="00A27788" w:rsidRPr="00465AE3" w:rsidRDefault="00A27788" w:rsidP="008275E1">
      <w:pPr>
        <w:rPr>
          <w:rStyle w:val="Emphasis"/>
          <w:rFonts w:ascii="Book Antiqua" w:hAnsi="Book Antiqua"/>
          <w:i w:val="0"/>
          <w:iCs w:val="0"/>
          <w:color w:val="FF0000"/>
          <w:spacing w:val="0"/>
        </w:rPr>
        <w:sectPr w:rsidR="00A27788" w:rsidRPr="00465AE3" w:rsidSect="008F6BC9">
          <w:type w:val="continuous"/>
          <w:pgSz w:w="11907" w:h="16839" w:code="9"/>
          <w:pgMar w:top="1440" w:right="1274" w:bottom="1440" w:left="1440" w:header="708" w:footer="708" w:gutter="0"/>
          <w:cols w:space="720"/>
          <w:docGrid w:linePitch="360"/>
        </w:sectPr>
      </w:pPr>
      <w:r w:rsidRPr="00E3232D">
        <w:rPr>
          <w:rFonts w:ascii="Book Antiqua" w:hAnsi="Book Antiqua"/>
          <w:b/>
          <w:bCs/>
        </w:rPr>
        <w:t>Table 1: Summary and distribution of research population</w:t>
      </w:r>
    </w:p>
    <w:tbl>
      <w:tblPr>
        <w:tblpPr w:leftFromText="180" w:rightFromText="180" w:vertAnchor="text" w:horzAnchor="margin" w:tblpY="80"/>
        <w:tblW w:w="4757" w:type="pct"/>
        <w:tblBorders>
          <w:top w:val="single" w:sz="8" w:space="0" w:color="4F81BD"/>
          <w:bottom w:val="single" w:sz="8" w:space="0" w:color="4F81BD"/>
        </w:tblBorders>
        <w:tblLayout w:type="fixed"/>
        <w:tblLook w:val="0660" w:firstRow="1" w:lastRow="1" w:firstColumn="0" w:lastColumn="0" w:noHBand="1" w:noVBand="1"/>
      </w:tblPr>
      <w:tblGrid>
        <w:gridCol w:w="1048"/>
        <w:gridCol w:w="1311"/>
        <w:gridCol w:w="1128"/>
        <w:gridCol w:w="90"/>
        <w:gridCol w:w="1298"/>
        <w:gridCol w:w="1561"/>
        <w:gridCol w:w="2516"/>
      </w:tblGrid>
      <w:tr w:rsidR="00465AE3" w:rsidRPr="00D12E59" w14:paraId="76C4CA88" w14:textId="77777777" w:rsidTr="00465AE3">
        <w:trPr>
          <w:trHeight w:val="1303"/>
        </w:trPr>
        <w:tc>
          <w:tcPr>
            <w:tcW w:w="585" w:type="pct"/>
            <w:tcBorders>
              <w:top w:val="single" w:sz="8" w:space="0" w:color="4F81BD"/>
              <w:left w:val="nil"/>
              <w:bottom w:val="single" w:sz="8" w:space="0" w:color="4F81BD"/>
              <w:right w:val="nil"/>
            </w:tcBorders>
            <w:noWrap/>
            <w:hideMark/>
          </w:tcPr>
          <w:p w14:paraId="300AE88B" w14:textId="77777777" w:rsidR="00465AE3" w:rsidRPr="00D12E59" w:rsidRDefault="00465AE3" w:rsidP="00465AE3">
            <w:pPr>
              <w:spacing w:after="0"/>
              <w:rPr>
                <w:rStyle w:val="Emphasis"/>
                <w:rFonts w:ascii="Book Antiqua" w:hAnsi="Book Antiqua"/>
                <w:b w:val="0"/>
                <w:i w:val="0"/>
              </w:rPr>
            </w:pPr>
            <w:r w:rsidRPr="00D12E59">
              <w:rPr>
                <w:rStyle w:val="Emphasis"/>
                <w:rFonts w:ascii="Book Antiqua" w:hAnsi="Book Antiqua"/>
                <w:b w:val="0"/>
              </w:rPr>
              <w:t>Gender</w:t>
            </w:r>
          </w:p>
        </w:tc>
        <w:tc>
          <w:tcPr>
            <w:tcW w:w="732" w:type="pct"/>
            <w:tcBorders>
              <w:top w:val="single" w:sz="8" w:space="0" w:color="4F81BD"/>
              <w:left w:val="nil"/>
              <w:bottom w:val="single" w:sz="8" w:space="0" w:color="4F81BD"/>
              <w:right w:val="nil"/>
            </w:tcBorders>
            <w:hideMark/>
          </w:tcPr>
          <w:p w14:paraId="2D87F8CF" w14:textId="77777777" w:rsidR="00465AE3" w:rsidRPr="00D12E59" w:rsidRDefault="00465AE3" w:rsidP="00465AE3">
            <w:pPr>
              <w:spacing w:after="0"/>
              <w:rPr>
                <w:rStyle w:val="Emphasis"/>
                <w:rFonts w:ascii="Book Antiqua" w:hAnsi="Book Antiqua"/>
                <w:b w:val="0"/>
                <w:i w:val="0"/>
              </w:rPr>
            </w:pPr>
            <w:r w:rsidRPr="00D12E59">
              <w:rPr>
                <w:rStyle w:val="Emphasis"/>
                <w:rFonts w:ascii="Book Antiqua" w:hAnsi="Book Antiqua"/>
                <w:b w:val="0"/>
              </w:rPr>
              <w:t>School</w:t>
            </w:r>
          </w:p>
        </w:tc>
        <w:tc>
          <w:tcPr>
            <w:tcW w:w="680" w:type="pct"/>
            <w:gridSpan w:val="2"/>
            <w:tcBorders>
              <w:top w:val="single" w:sz="8" w:space="0" w:color="4F81BD"/>
              <w:left w:val="nil"/>
              <w:bottom w:val="single" w:sz="8" w:space="0" w:color="4F81BD"/>
              <w:right w:val="nil"/>
            </w:tcBorders>
            <w:hideMark/>
          </w:tcPr>
          <w:p w14:paraId="5460EEA5" w14:textId="77777777" w:rsidR="00465AE3" w:rsidRPr="00D12E59" w:rsidRDefault="00465AE3" w:rsidP="00465AE3">
            <w:pPr>
              <w:spacing w:after="0"/>
              <w:rPr>
                <w:rStyle w:val="Emphasis"/>
                <w:rFonts w:ascii="Book Antiqua" w:hAnsi="Book Antiqua"/>
                <w:b w:val="0"/>
                <w:i w:val="0"/>
              </w:rPr>
            </w:pPr>
            <w:r w:rsidRPr="00D12E59">
              <w:rPr>
                <w:rStyle w:val="Emphasis"/>
                <w:rFonts w:ascii="Book Antiqua" w:hAnsi="Book Antiqua"/>
                <w:b w:val="0"/>
              </w:rPr>
              <w:t>Authentic (Self) Signatures</w:t>
            </w:r>
          </w:p>
        </w:tc>
        <w:tc>
          <w:tcPr>
            <w:tcW w:w="725" w:type="pct"/>
            <w:tcBorders>
              <w:top w:val="single" w:sz="8" w:space="0" w:color="4F81BD"/>
              <w:left w:val="nil"/>
              <w:bottom w:val="single" w:sz="8" w:space="0" w:color="4F81BD"/>
              <w:right w:val="nil"/>
            </w:tcBorders>
            <w:hideMark/>
          </w:tcPr>
          <w:p w14:paraId="25B01ACB" w14:textId="77777777" w:rsidR="00465AE3" w:rsidRPr="00D12E59" w:rsidRDefault="00465AE3" w:rsidP="00465AE3">
            <w:pPr>
              <w:spacing w:after="0"/>
              <w:rPr>
                <w:rStyle w:val="Emphasis"/>
                <w:rFonts w:ascii="Book Antiqua" w:hAnsi="Book Antiqua"/>
                <w:b w:val="0"/>
                <w:i w:val="0"/>
              </w:rPr>
            </w:pPr>
            <w:r w:rsidRPr="00D12E59">
              <w:rPr>
                <w:rStyle w:val="Emphasis"/>
                <w:rFonts w:ascii="Book Antiqua" w:hAnsi="Book Antiqua"/>
                <w:b w:val="0"/>
              </w:rPr>
              <w:t>Inconsistent Signatures</w:t>
            </w:r>
          </w:p>
        </w:tc>
        <w:tc>
          <w:tcPr>
            <w:tcW w:w="872" w:type="pct"/>
            <w:tcBorders>
              <w:top w:val="single" w:sz="8" w:space="0" w:color="4F81BD"/>
              <w:left w:val="nil"/>
              <w:bottom w:val="single" w:sz="8" w:space="0" w:color="4F81BD"/>
              <w:right w:val="nil"/>
            </w:tcBorders>
            <w:hideMark/>
          </w:tcPr>
          <w:p w14:paraId="700091F8" w14:textId="77777777" w:rsidR="00465AE3" w:rsidRPr="00D12E59" w:rsidRDefault="00465AE3" w:rsidP="00465AE3">
            <w:pPr>
              <w:spacing w:after="0"/>
              <w:rPr>
                <w:rStyle w:val="Emphasis"/>
                <w:rFonts w:ascii="Book Antiqua" w:hAnsi="Book Antiqua"/>
                <w:b w:val="0"/>
                <w:i w:val="0"/>
              </w:rPr>
            </w:pPr>
            <w:r w:rsidRPr="00D12E59">
              <w:rPr>
                <w:rStyle w:val="Emphasis"/>
                <w:rFonts w:ascii="Book Antiqua" w:hAnsi="Book Antiqua"/>
                <w:b w:val="0"/>
              </w:rPr>
              <w:t xml:space="preserve">Impersonation </w:t>
            </w:r>
          </w:p>
        </w:tc>
        <w:tc>
          <w:tcPr>
            <w:tcW w:w="1405" w:type="pct"/>
            <w:tcBorders>
              <w:top w:val="single" w:sz="8" w:space="0" w:color="4F81BD"/>
              <w:left w:val="nil"/>
              <w:bottom w:val="single" w:sz="8" w:space="0" w:color="4F81BD"/>
              <w:right w:val="nil"/>
            </w:tcBorders>
            <w:hideMark/>
          </w:tcPr>
          <w:p w14:paraId="60ECC815" w14:textId="77777777" w:rsidR="00465AE3" w:rsidRPr="00D12E59" w:rsidRDefault="00465AE3" w:rsidP="00465AE3">
            <w:pPr>
              <w:spacing w:after="0"/>
              <w:rPr>
                <w:rStyle w:val="Emphasis"/>
                <w:rFonts w:ascii="Book Antiqua" w:hAnsi="Book Antiqua"/>
                <w:b w:val="0"/>
                <w:i w:val="0"/>
              </w:rPr>
            </w:pPr>
            <w:r w:rsidRPr="00D12E59">
              <w:rPr>
                <w:rStyle w:val="Emphasis"/>
                <w:rFonts w:ascii="Book Antiqua" w:hAnsi="Book Antiqua"/>
                <w:b w:val="0"/>
              </w:rPr>
              <w:t>Others – No Signature on Application Form to verify</w:t>
            </w:r>
          </w:p>
        </w:tc>
      </w:tr>
      <w:tr w:rsidR="00465AE3" w:rsidRPr="00D12E59" w14:paraId="68624339" w14:textId="77777777" w:rsidTr="00465AE3">
        <w:trPr>
          <w:trHeight w:val="277"/>
        </w:trPr>
        <w:tc>
          <w:tcPr>
            <w:tcW w:w="585" w:type="pct"/>
            <w:tcBorders>
              <w:top w:val="nil"/>
              <w:left w:val="nil"/>
              <w:bottom w:val="nil"/>
              <w:right w:val="nil"/>
            </w:tcBorders>
            <w:noWrap/>
            <w:hideMark/>
          </w:tcPr>
          <w:p w14:paraId="769ABBBD" w14:textId="77777777" w:rsidR="00465AE3" w:rsidRPr="00D12E59" w:rsidRDefault="00465AE3" w:rsidP="00465AE3">
            <w:pPr>
              <w:spacing w:after="0"/>
              <w:rPr>
                <w:rStyle w:val="Emphasis"/>
                <w:rFonts w:ascii="Book Antiqua" w:hAnsi="Book Antiqua"/>
                <w:i w:val="0"/>
              </w:rPr>
            </w:pPr>
            <w:r w:rsidRPr="00D12E59">
              <w:rPr>
                <w:rStyle w:val="Emphasis"/>
                <w:rFonts w:ascii="Book Antiqua" w:hAnsi="Book Antiqua"/>
              </w:rPr>
              <w:t>Male(s)</w:t>
            </w:r>
          </w:p>
        </w:tc>
        <w:tc>
          <w:tcPr>
            <w:tcW w:w="732" w:type="pct"/>
            <w:tcBorders>
              <w:top w:val="nil"/>
              <w:left w:val="nil"/>
              <w:bottom w:val="nil"/>
              <w:right w:val="nil"/>
            </w:tcBorders>
          </w:tcPr>
          <w:p w14:paraId="29213713" w14:textId="77777777" w:rsidR="00465AE3" w:rsidRPr="00D12E59" w:rsidRDefault="00465AE3" w:rsidP="00465AE3">
            <w:pPr>
              <w:spacing w:after="0"/>
              <w:jc w:val="center"/>
              <w:rPr>
                <w:rStyle w:val="Emphasis"/>
                <w:rFonts w:ascii="Book Antiqua" w:hAnsi="Book Antiqua"/>
                <w:i w:val="0"/>
              </w:rPr>
            </w:pPr>
          </w:p>
        </w:tc>
        <w:tc>
          <w:tcPr>
            <w:tcW w:w="680" w:type="pct"/>
            <w:gridSpan w:val="2"/>
            <w:tcBorders>
              <w:top w:val="nil"/>
              <w:left w:val="nil"/>
              <w:bottom w:val="nil"/>
              <w:right w:val="nil"/>
            </w:tcBorders>
            <w:hideMark/>
          </w:tcPr>
          <w:p w14:paraId="7A4A9FA7" w14:textId="77777777" w:rsidR="00465AE3" w:rsidRPr="00D12E59" w:rsidRDefault="00465AE3" w:rsidP="00465AE3">
            <w:pPr>
              <w:spacing w:after="0"/>
              <w:jc w:val="center"/>
              <w:rPr>
                <w:rStyle w:val="Emphasis"/>
                <w:rFonts w:ascii="Book Antiqua" w:hAnsi="Book Antiqua"/>
                <w:i w:val="0"/>
              </w:rPr>
            </w:pPr>
            <w:r w:rsidRPr="00D12E59">
              <w:rPr>
                <w:rStyle w:val="Emphasis"/>
                <w:rFonts w:ascii="Book Antiqua" w:hAnsi="Book Antiqua"/>
              </w:rPr>
              <w:t>49</w:t>
            </w:r>
          </w:p>
        </w:tc>
        <w:tc>
          <w:tcPr>
            <w:tcW w:w="725" w:type="pct"/>
            <w:tcBorders>
              <w:top w:val="nil"/>
              <w:left w:val="nil"/>
              <w:bottom w:val="nil"/>
              <w:right w:val="nil"/>
            </w:tcBorders>
            <w:hideMark/>
          </w:tcPr>
          <w:p w14:paraId="1BDBBC03" w14:textId="77777777" w:rsidR="00465AE3" w:rsidRPr="00D12E59" w:rsidRDefault="00465AE3" w:rsidP="00465AE3">
            <w:pPr>
              <w:spacing w:after="0"/>
              <w:jc w:val="center"/>
              <w:rPr>
                <w:rStyle w:val="Emphasis"/>
                <w:rFonts w:ascii="Book Antiqua" w:hAnsi="Book Antiqua"/>
                <w:i w:val="0"/>
              </w:rPr>
            </w:pPr>
            <w:r w:rsidRPr="00D12E59">
              <w:rPr>
                <w:rStyle w:val="Emphasis"/>
                <w:rFonts w:ascii="Book Antiqua" w:hAnsi="Book Antiqua"/>
              </w:rPr>
              <w:t>27</w:t>
            </w:r>
          </w:p>
        </w:tc>
        <w:tc>
          <w:tcPr>
            <w:tcW w:w="872" w:type="pct"/>
            <w:tcBorders>
              <w:top w:val="nil"/>
              <w:left w:val="nil"/>
              <w:bottom w:val="nil"/>
              <w:right w:val="nil"/>
            </w:tcBorders>
            <w:hideMark/>
          </w:tcPr>
          <w:p w14:paraId="57C879C2" w14:textId="77777777" w:rsidR="00465AE3" w:rsidRPr="00D12E59" w:rsidRDefault="00465AE3" w:rsidP="00465AE3">
            <w:pPr>
              <w:spacing w:after="0"/>
              <w:jc w:val="center"/>
              <w:rPr>
                <w:rStyle w:val="Emphasis"/>
                <w:rFonts w:ascii="Book Antiqua" w:hAnsi="Book Antiqua"/>
                <w:i w:val="0"/>
              </w:rPr>
            </w:pPr>
            <w:r w:rsidRPr="00D12E59">
              <w:rPr>
                <w:rStyle w:val="Emphasis"/>
                <w:rFonts w:ascii="Book Antiqua" w:hAnsi="Book Antiqua"/>
              </w:rPr>
              <w:t>60</w:t>
            </w:r>
          </w:p>
        </w:tc>
        <w:tc>
          <w:tcPr>
            <w:tcW w:w="1405" w:type="pct"/>
            <w:tcBorders>
              <w:top w:val="nil"/>
              <w:left w:val="nil"/>
              <w:bottom w:val="nil"/>
              <w:right w:val="nil"/>
            </w:tcBorders>
            <w:hideMark/>
          </w:tcPr>
          <w:p w14:paraId="40F3E9EF" w14:textId="77777777" w:rsidR="00465AE3" w:rsidRPr="00D12E59" w:rsidRDefault="00465AE3" w:rsidP="00465AE3">
            <w:pPr>
              <w:spacing w:after="0"/>
              <w:jc w:val="center"/>
              <w:rPr>
                <w:rStyle w:val="Emphasis"/>
                <w:rFonts w:ascii="Book Antiqua" w:hAnsi="Book Antiqua"/>
                <w:i w:val="0"/>
              </w:rPr>
            </w:pPr>
            <w:r w:rsidRPr="00D12E59">
              <w:rPr>
                <w:rStyle w:val="Emphasis"/>
                <w:rFonts w:ascii="Book Antiqua" w:hAnsi="Book Antiqua"/>
              </w:rPr>
              <w:t>7</w:t>
            </w:r>
          </w:p>
        </w:tc>
      </w:tr>
      <w:tr w:rsidR="00465AE3" w:rsidRPr="00D12E59" w14:paraId="236C0B1E" w14:textId="77777777" w:rsidTr="00465AE3">
        <w:trPr>
          <w:trHeight w:val="277"/>
        </w:trPr>
        <w:tc>
          <w:tcPr>
            <w:tcW w:w="585" w:type="pct"/>
            <w:tcBorders>
              <w:top w:val="nil"/>
              <w:left w:val="nil"/>
              <w:bottom w:val="nil"/>
              <w:right w:val="nil"/>
            </w:tcBorders>
            <w:noWrap/>
            <w:hideMark/>
          </w:tcPr>
          <w:p w14:paraId="1CB9D3E6" w14:textId="77777777" w:rsidR="00465AE3" w:rsidRPr="00D12E59" w:rsidRDefault="00465AE3" w:rsidP="00465AE3">
            <w:pPr>
              <w:spacing w:after="0"/>
              <w:rPr>
                <w:rStyle w:val="Emphasis"/>
                <w:rFonts w:ascii="Book Antiqua" w:hAnsi="Book Antiqua"/>
                <w:i w:val="0"/>
              </w:rPr>
            </w:pPr>
            <w:r w:rsidRPr="00D12E59">
              <w:rPr>
                <w:rStyle w:val="Emphasis"/>
                <w:rFonts w:ascii="Book Antiqua" w:hAnsi="Book Antiqua"/>
              </w:rPr>
              <w:t>Female()</w:t>
            </w:r>
          </w:p>
        </w:tc>
        <w:tc>
          <w:tcPr>
            <w:tcW w:w="732" w:type="pct"/>
            <w:tcBorders>
              <w:top w:val="nil"/>
              <w:left w:val="nil"/>
              <w:bottom w:val="nil"/>
              <w:right w:val="nil"/>
            </w:tcBorders>
          </w:tcPr>
          <w:p w14:paraId="2002F181" w14:textId="77777777" w:rsidR="00465AE3" w:rsidRPr="00D12E59" w:rsidRDefault="00465AE3" w:rsidP="00465AE3">
            <w:pPr>
              <w:pStyle w:val="DecimalAligned"/>
              <w:tabs>
                <w:tab w:val="decimal" w:pos="-18"/>
              </w:tabs>
              <w:spacing w:after="0"/>
              <w:rPr>
                <w:rStyle w:val="Emphasis"/>
                <w:rFonts w:ascii="Book Antiqua" w:eastAsia="Calibri" w:hAnsi="Book Antiqua"/>
                <w:i w:val="0"/>
              </w:rPr>
            </w:pPr>
          </w:p>
        </w:tc>
        <w:tc>
          <w:tcPr>
            <w:tcW w:w="680" w:type="pct"/>
            <w:gridSpan w:val="2"/>
            <w:tcBorders>
              <w:top w:val="nil"/>
              <w:left w:val="nil"/>
              <w:bottom w:val="nil"/>
              <w:right w:val="nil"/>
            </w:tcBorders>
            <w:hideMark/>
          </w:tcPr>
          <w:p w14:paraId="2BF79843" w14:textId="77777777" w:rsidR="00465AE3" w:rsidRPr="00D12E59" w:rsidRDefault="00465AE3" w:rsidP="00465AE3">
            <w:pPr>
              <w:pStyle w:val="DecimalAligned"/>
              <w:tabs>
                <w:tab w:val="decimal" w:pos="-18"/>
              </w:tabs>
              <w:spacing w:after="0"/>
              <w:jc w:val="center"/>
              <w:rPr>
                <w:rStyle w:val="Emphasis"/>
                <w:rFonts w:ascii="Book Antiqua" w:eastAsia="Calibri" w:hAnsi="Book Antiqua"/>
                <w:i w:val="0"/>
              </w:rPr>
            </w:pPr>
            <w:r w:rsidRPr="00D12E59">
              <w:rPr>
                <w:rStyle w:val="Emphasis"/>
                <w:rFonts w:ascii="Book Antiqua" w:eastAsia="Calibri" w:hAnsi="Book Antiqua"/>
              </w:rPr>
              <w:t>14</w:t>
            </w:r>
          </w:p>
        </w:tc>
        <w:tc>
          <w:tcPr>
            <w:tcW w:w="725" w:type="pct"/>
            <w:tcBorders>
              <w:top w:val="nil"/>
              <w:left w:val="nil"/>
              <w:bottom w:val="nil"/>
              <w:right w:val="nil"/>
            </w:tcBorders>
            <w:hideMark/>
          </w:tcPr>
          <w:p w14:paraId="5499173C" w14:textId="77777777" w:rsidR="00465AE3" w:rsidRPr="00D12E59" w:rsidRDefault="00465AE3" w:rsidP="00465AE3">
            <w:pPr>
              <w:pStyle w:val="DecimalAligned"/>
              <w:tabs>
                <w:tab w:val="decimal" w:pos="0"/>
              </w:tabs>
              <w:spacing w:after="0"/>
              <w:jc w:val="center"/>
              <w:rPr>
                <w:rStyle w:val="Emphasis"/>
                <w:rFonts w:ascii="Book Antiqua" w:eastAsia="Calibri" w:hAnsi="Book Antiqua"/>
                <w:i w:val="0"/>
              </w:rPr>
            </w:pPr>
            <w:r w:rsidRPr="00D12E59">
              <w:rPr>
                <w:rStyle w:val="Emphasis"/>
                <w:rFonts w:ascii="Book Antiqua" w:eastAsia="Calibri" w:hAnsi="Book Antiqua"/>
              </w:rPr>
              <w:t>17</w:t>
            </w:r>
          </w:p>
        </w:tc>
        <w:tc>
          <w:tcPr>
            <w:tcW w:w="872" w:type="pct"/>
            <w:tcBorders>
              <w:top w:val="nil"/>
              <w:left w:val="nil"/>
              <w:bottom w:val="nil"/>
              <w:right w:val="nil"/>
            </w:tcBorders>
            <w:hideMark/>
          </w:tcPr>
          <w:p w14:paraId="101D2AEC" w14:textId="77777777" w:rsidR="00465AE3" w:rsidRPr="00D12E59" w:rsidRDefault="00465AE3" w:rsidP="00465AE3">
            <w:pPr>
              <w:pStyle w:val="DecimalAligned"/>
              <w:tabs>
                <w:tab w:val="decimal" w:pos="-19"/>
              </w:tabs>
              <w:spacing w:after="0"/>
              <w:jc w:val="center"/>
              <w:rPr>
                <w:rStyle w:val="Emphasis"/>
                <w:rFonts w:ascii="Book Antiqua" w:eastAsia="Calibri" w:hAnsi="Book Antiqua"/>
                <w:i w:val="0"/>
              </w:rPr>
            </w:pPr>
            <w:r w:rsidRPr="00D12E59">
              <w:rPr>
                <w:rStyle w:val="Emphasis"/>
                <w:rFonts w:ascii="Book Antiqua" w:eastAsia="Calibri" w:hAnsi="Book Antiqua"/>
              </w:rPr>
              <w:t>18</w:t>
            </w:r>
          </w:p>
        </w:tc>
        <w:tc>
          <w:tcPr>
            <w:tcW w:w="1405" w:type="pct"/>
            <w:tcBorders>
              <w:top w:val="nil"/>
              <w:left w:val="nil"/>
              <w:bottom w:val="nil"/>
              <w:right w:val="nil"/>
            </w:tcBorders>
            <w:hideMark/>
          </w:tcPr>
          <w:p w14:paraId="4A045635" w14:textId="77777777" w:rsidR="00465AE3" w:rsidRPr="00D12E59" w:rsidRDefault="00465AE3" w:rsidP="00465AE3">
            <w:pPr>
              <w:pStyle w:val="DecimalAligned"/>
              <w:tabs>
                <w:tab w:val="decimal" w:pos="0"/>
              </w:tabs>
              <w:spacing w:after="0"/>
              <w:jc w:val="center"/>
              <w:rPr>
                <w:rStyle w:val="Emphasis"/>
                <w:rFonts w:ascii="Book Antiqua" w:eastAsia="Calibri" w:hAnsi="Book Antiqua"/>
                <w:i w:val="0"/>
              </w:rPr>
            </w:pPr>
            <w:r w:rsidRPr="00D12E59">
              <w:rPr>
                <w:rStyle w:val="Emphasis"/>
                <w:rFonts w:ascii="Book Antiqua" w:eastAsia="Calibri" w:hAnsi="Book Antiqua"/>
              </w:rPr>
              <w:t>2</w:t>
            </w:r>
          </w:p>
        </w:tc>
      </w:tr>
      <w:tr w:rsidR="00465AE3" w:rsidRPr="00D12E59" w14:paraId="537DDEE1" w14:textId="77777777" w:rsidTr="00465AE3">
        <w:trPr>
          <w:trHeight w:val="2394"/>
        </w:trPr>
        <w:tc>
          <w:tcPr>
            <w:tcW w:w="585" w:type="pct"/>
            <w:tcBorders>
              <w:top w:val="nil"/>
              <w:left w:val="nil"/>
              <w:bottom w:val="single" w:sz="8" w:space="0" w:color="4F81BD"/>
              <w:right w:val="nil"/>
            </w:tcBorders>
            <w:noWrap/>
            <w:hideMark/>
          </w:tcPr>
          <w:p w14:paraId="02F34BE7" w14:textId="77777777" w:rsidR="00465AE3" w:rsidRPr="00D12E59" w:rsidRDefault="00465AE3" w:rsidP="00465AE3">
            <w:pPr>
              <w:spacing w:after="0"/>
              <w:rPr>
                <w:rStyle w:val="Emphasis"/>
                <w:rFonts w:ascii="Book Antiqua" w:hAnsi="Book Antiqua"/>
                <w:i w:val="0"/>
              </w:rPr>
            </w:pPr>
            <w:r w:rsidRPr="00D12E59">
              <w:rPr>
                <w:rStyle w:val="Emphasis"/>
                <w:rFonts w:ascii="Book Antiqua" w:hAnsi="Book Antiqua"/>
              </w:rPr>
              <w:t>Total</w:t>
            </w:r>
          </w:p>
        </w:tc>
        <w:tc>
          <w:tcPr>
            <w:tcW w:w="732" w:type="pct"/>
            <w:tcBorders>
              <w:top w:val="nil"/>
              <w:left w:val="nil"/>
              <w:bottom w:val="single" w:sz="8" w:space="0" w:color="4F81BD"/>
              <w:right w:val="nil"/>
            </w:tcBorders>
          </w:tcPr>
          <w:p w14:paraId="4AB393C4" w14:textId="77777777" w:rsidR="00465AE3" w:rsidRPr="00D12E59" w:rsidRDefault="00465AE3" w:rsidP="00465AE3">
            <w:pPr>
              <w:pStyle w:val="DecimalAligned"/>
              <w:tabs>
                <w:tab w:val="decimal" w:pos="-18"/>
              </w:tabs>
              <w:spacing w:after="0"/>
              <w:rPr>
                <w:rStyle w:val="Emphasis"/>
                <w:rFonts w:ascii="Book Antiqua" w:eastAsia="Calibri" w:hAnsi="Book Antiqua"/>
                <w:i w:val="0"/>
              </w:rPr>
            </w:pPr>
            <w:r w:rsidRPr="00D12E59">
              <w:rPr>
                <w:rStyle w:val="Emphasis"/>
                <w:rFonts w:ascii="Book Antiqua" w:eastAsia="Calibri" w:hAnsi="Book Antiqua"/>
              </w:rPr>
              <w:t>Applied Arts</w:t>
            </w:r>
          </w:p>
          <w:p w14:paraId="66389E8B" w14:textId="77777777" w:rsidR="00465AE3" w:rsidRPr="00D12E59" w:rsidRDefault="00465AE3" w:rsidP="00465AE3">
            <w:pPr>
              <w:pStyle w:val="DecimalAligned"/>
              <w:tabs>
                <w:tab w:val="decimal" w:pos="-18"/>
              </w:tabs>
              <w:spacing w:after="0"/>
              <w:rPr>
                <w:rStyle w:val="Emphasis"/>
                <w:rFonts w:ascii="Book Antiqua" w:eastAsia="Calibri" w:hAnsi="Book Antiqua"/>
              </w:rPr>
            </w:pPr>
            <w:r w:rsidRPr="00D12E59">
              <w:rPr>
                <w:rStyle w:val="Emphasis"/>
                <w:rFonts w:ascii="Book Antiqua" w:eastAsia="Calibri" w:hAnsi="Book Antiqua"/>
              </w:rPr>
              <w:t>Applied Science</w:t>
            </w:r>
          </w:p>
          <w:p w14:paraId="25273142" w14:textId="77777777" w:rsidR="00465AE3" w:rsidRPr="00D12E59" w:rsidRDefault="00465AE3" w:rsidP="00465AE3">
            <w:pPr>
              <w:pStyle w:val="DecimalAligned"/>
              <w:tabs>
                <w:tab w:val="decimal" w:pos="-18"/>
              </w:tabs>
              <w:spacing w:after="0"/>
              <w:rPr>
                <w:rStyle w:val="Emphasis"/>
                <w:rFonts w:ascii="Book Antiqua" w:eastAsia="Calibri" w:hAnsi="Book Antiqua"/>
              </w:rPr>
            </w:pPr>
            <w:r w:rsidRPr="00D12E59">
              <w:rPr>
                <w:rStyle w:val="Emphasis"/>
                <w:rFonts w:ascii="Book Antiqua" w:eastAsia="Calibri" w:hAnsi="Book Antiqua"/>
              </w:rPr>
              <w:t>Engineering</w:t>
            </w:r>
          </w:p>
          <w:p w14:paraId="6B9986FE" w14:textId="77777777" w:rsidR="00465AE3" w:rsidRPr="00D12E59" w:rsidRDefault="00465AE3" w:rsidP="00465AE3">
            <w:pPr>
              <w:pStyle w:val="DecimalAligned"/>
              <w:tabs>
                <w:tab w:val="decimal" w:pos="-18"/>
              </w:tabs>
              <w:spacing w:after="0"/>
              <w:rPr>
                <w:rStyle w:val="Emphasis"/>
                <w:rFonts w:ascii="Book Antiqua" w:eastAsia="Calibri" w:hAnsi="Book Antiqua"/>
              </w:rPr>
            </w:pPr>
            <w:r w:rsidRPr="00D12E59">
              <w:rPr>
                <w:rStyle w:val="Emphasis"/>
                <w:rFonts w:ascii="Book Antiqua" w:eastAsia="Calibri" w:hAnsi="Book Antiqua"/>
              </w:rPr>
              <w:t>Business</w:t>
            </w:r>
          </w:p>
          <w:p w14:paraId="7BDCAC31" w14:textId="77777777" w:rsidR="00465AE3" w:rsidRPr="00D12E59" w:rsidRDefault="00465AE3" w:rsidP="00465AE3">
            <w:pPr>
              <w:pStyle w:val="DecimalAligned"/>
              <w:tabs>
                <w:tab w:val="decimal" w:pos="-18"/>
              </w:tabs>
              <w:spacing w:after="0"/>
              <w:rPr>
                <w:rStyle w:val="Emphasis"/>
                <w:rFonts w:ascii="Book Antiqua" w:eastAsia="Calibri" w:hAnsi="Book Antiqua"/>
              </w:rPr>
            </w:pPr>
            <w:r w:rsidRPr="00D12E59">
              <w:rPr>
                <w:rStyle w:val="Emphasis"/>
                <w:rFonts w:ascii="Book Antiqua" w:eastAsia="Calibri" w:hAnsi="Book Antiqua"/>
              </w:rPr>
              <w:t>No Dept.</w:t>
            </w:r>
          </w:p>
          <w:p w14:paraId="5BC6BF9F" w14:textId="77777777" w:rsidR="00465AE3" w:rsidRPr="00D12E59" w:rsidRDefault="00465AE3" w:rsidP="00465AE3">
            <w:pPr>
              <w:pStyle w:val="DecimalAligned"/>
              <w:tabs>
                <w:tab w:val="decimal" w:pos="-18"/>
              </w:tabs>
              <w:spacing w:after="0"/>
              <w:rPr>
                <w:rStyle w:val="Emphasis"/>
                <w:rFonts w:ascii="Book Antiqua" w:eastAsia="Calibri" w:hAnsi="Book Antiqua"/>
                <w:i w:val="0"/>
              </w:rPr>
            </w:pPr>
            <w:r w:rsidRPr="00D12E59">
              <w:rPr>
                <w:rStyle w:val="Emphasis"/>
                <w:rFonts w:ascii="Book Antiqua" w:eastAsia="Calibri" w:hAnsi="Book Antiqua"/>
              </w:rPr>
              <w:t xml:space="preserve">Staff—Dean          </w:t>
            </w:r>
          </w:p>
        </w:tc>
        <w:tc>
          <w:tcPr>
            <w:tcW w:w="630" w:type="pct"/>
            <w:tcBorders>
              <w:top w:val="nil"/>
              <w:left w:val="nil"/>
              <w:bottom w:val="single" w:sz="8" w:space="0" w:color="4F81BD"/>
              <w:right w:val="nil"/>
            </w:tcBorders>
          </w:tcPr>
          <w:p w14:paraId="72B21F49" w14:textId="77777777" w:rsidR="00465AE3" w:rsidRPr="00D12E59" w:rsidRDefault="00465AE3" w:rsidP="00465AE3">
            <w:pPr>
              <w:pStyle w:val="DecimalAligned"/>
              <w:tabs>
                <w:tab w:val="decimal" w:pos="-18"/>
              </w:tabs>
              <w:spacing w:after="0"/>
              <w:jc w:val="center"/>
              <w:rPr>
                <w:rStyle w:val="Emphasis"/>
                <w:rFonts w:ascii="Book Antiqua" w:eastAsia="Calibri" w:hAnsi="Book Antiqua"/>
                <w:i w:val="0"/>
              </w:rPr>
            </w:pPr>
            <w:r w:rsidRPr="00D12E59">
              <w:rPr>
                <w:rStyle w:val="Emphasis"/>
                <w:rFonts w:ascii="Book Antiqua" w:eastAsia="Calibri" w:hAnsi="Book Antiqua"/>
              </w:rPr>
              <w:t>63</w:t>
            </w:r>
          </w:p>
          <w:p w14:paraId="36671C45" w14:textId="77777777" w:rsidR="00465AE3" w:rsidRPr="00D12E59" w:rsidRDefault="00465AE3" w:rsidP="00465AE3">
            <w:pPr>
              <w:spacing w:after="0"/>
              <w:jc w:val="center"/>
              <w:rPr>
                <w:rFonts w:ascii="Book Antiqua" w:hAnsi="Book Antiqua"/>
              </w:rPr>
            </w:pPr>
            <w:r w:rsidRPr="00D12E59">
              <w:rPr>
                <w:rFonts w:ascii="Book Antiqua" w:hAnsi="Book Antiqua"/>
              </w:rPr>
              <w:t>2</w:t>
            </w:r>
          </w:p>
          <w:p w14:paraId="2CB45A82" w14:textId="77777777" w:rsidR="00465AE3" w:rsidRPr="00D12E59" w:rsidRDefault="00465AE3" w:rsidP="00465AE3">
            <w:pPr>
              <w:spacing w:after="0"/>
              <w:jc w:val="center"/>
              <w:rPr>
                <w:rFonts w:ascii="Book Antiqua" w:hAnsi="Book Antiqua"/>
              </w:rPr>
            </w:pPr>
            <w:r w:rsidRPr="00D12E59">
              <w:rPr>
                <w:rFonts w:ascii="Book Antiqua" w:hAnsi="Book Antiqua"/>
              </w:rPr>
              <w:t>4</w:t>
            </w:r>
          </w:p>
          <w:p w14:paraId="1E010618" w14:textId="77777777" w:rsidR="00465AE3" w:rsidRPr="00D12E59" w:rsidRDefault="00465AE3" w:rsidP="00465AE3">
            <w:pPr>
              <w:spacing w:after="0"/>
              <w:jc w:val="center"/>
              <w:rPr>
                <w:rFonts w:ascii="Book Antiqua" w:hAnsi="Book Antiqua"/>
              </w:rPr>
            </w:pPr>
          </w:p>
          <w:p w14:paraId="28538A88" w14:textId="77777777" w:rsidR="00465AE3" w:rsidRPr="00D12E59" w:rsidRDefault="00465AE3" w:rsidP="00465AE3">
            <w:pPr>
              <w:spacing w:after="0"/>
              <w:jc w:val="center"/>
              <w:rPr>
                <w:rFonts w:ascii="Book Antiqua" w:hAnsi="Book Antiqua"/>
              </w:rPr>
            </w:pPr>
            <w:r w:rsidRPr="00D12E59">
              <w:rPr>
                <w:rFonts w:ascii="Book Antiqua" w:hAnsi="Book Antiqua"/>
              </w:rPr>
              <w:t>22</w:t>
            </w:r>
          </w:p>
          <w:p w14:paraId="27F645A5" w14:textId="77777777" w:rsidR="00465AE3" w:rsidRPr="00D12E59" w:rsidRDefault="00465AE3" w:rsidP="00465AE3">
            <w:pPr>
              <w:spacing w:after="0"/>
              <w:jc w:val="center"/>
              <w:rPr>
                <w:rFonts w:ascii="Book Antiqua" w:hAnsi="Book Antiqua"/>
              </w:rPr>
            </w:pPr>
            <w:r w:rsidRPr="00D12E59">
              <w:rPr>
                <w:rFonts w:ascii="Book Antiqua" w:hAnsi="Book Antiqua"/>
              </w:rPr>
              <w:t>33</w:t>
            </w:r>
          </w:p>
          <w:p w14:paraId="2DDA944C" w14:textId="77777777" w:rsidR="00465AE3" w:rsidRPr="00D12E59" w:rsidRDefault="00465AE3" w:rsidP="00465AE3">
            <w:pPr>
              <w:spacing w:after="0"/>
              <w:jc w:val="center"/>
              <w:rPr>
                <w:rFonts w:ascii="Book Antiqua" w:hAnsi="Book Antiqua"/>
              </w:rPr>
            </w:pPr>
            <w:r w:rsidRPr="00D12E59">
              <w:rPr>
                <w:rFonts w:ascii="Book Antiqua" w:hAnsi="Book Antiqua"/>
              </w:rPr>
              <w:t>1</w:t>
            </w:r>
          </w:p>
          <w:p w14:paraId="3577FAC8" w14:textId="77777777" w:rsidR="00465AE3" w:rsidRPr="00D12E59" w:rsidRDefault="00465AE3" w:rsidP="00465AE3">
            <w:pPr>
              <w:spacing w:after="0"/>
              <w:jc w:val="center"/>
              <w:rPr>
                <w:rFonts w:ascii="Book Antiqua" w:hAnsi="Book Antiqua"/>
              </w:rPr>
            </w:pPr>
            <w:r w:rsidRPr="00D12E59">
              <w:rPr>
                <w:rFonts w:ascii="Book Antiqua" w:hAnsi="Book Antiqua"/>
              </w:rPr>
              <w:t>1</w:t>
            </w:r>
          </w:p>
        </w:tc>
        <w:tc>
          <w:tcPr>
            <w:tcW w:w="775" w:type="pct"/>
            <w:gridSpan w:val="2"/>
            <w:tcBorders>
              <w:top w:val="nil"/>
              <w:left w:val="nil"/>
              <w:bottom w:val="single" w:sz="8" w:space="0" w:color="4F81BD"/>
              <w:right w:val="nil"/>
            </w:tcBorders>
          </w:tcPr>
          <w:p w14:paraId="56DC95F5" w14:textId="77777777" w:rsidR="00465AE3" w:rsidRPr="00D12E59" w:rsidRDefault="00465AE3" w:rsidP="00465AE3">
            <w:pPr>
              <w:pStyle w:val="DecimalAligned"/>
              <w:tabs>
                <w:tab w:val="decimal" w:pos="-20"/>
              </w:tabs>
              <w:spacing w:after="0"/>
              <w:jc w:val="center"/>
              <w:rPr>
                <w:rStyle w:val="Emphasis"/>
                <w:rFonts w:ascii="Book Antiqua" w:eastAsia="Calibri" w:hAnsi="Book Antiqua"/>
                <w:i w:val="0"/>
              </w:rPr>
            </w:pPr>
            <w:r w:rsidRPr="00D12E59">
              <w:rPr>
                <w:rStyle w:val="Emphasis"/>
                <w:rFonts w:ascii="Book Antiqua" w:eastAsia="Calibri" w:hAnsi="Book Antiqua"/>
              </w:rPr>
              <w:t>44</w:t>
            </w:r>
          </w:p>
          <w:p w14:paraId="6771C6E5" w14:textId="77777777" w:rsidR="00465AE3" w:rsidRPr="00D12E59" w:rsidRDefault="00465AE3" w:rsidP="00465AE3">
            <w:pPr>
              <w:spacing w:after="0"/>
              <w:jc w:val="center"/>
              <w:rPr>
                <w:rFonts w:ascii="Book Antiqua" w:hAnsi="Book Antiqua"/>
              </w:rPr>
            </w:pPr>
            <w:r w:rsidRPr="00D12E59">
              <w:rPr>
                <w:rFonts w:ascii="Book Antiqua" w:hAnsi="Book Antiqua"/>
              </w:rPr>
              <w:t>6</w:t>
            </w:r>
          </w:p>
          <w:p w14:paraId="12E838CE" w14:textId="77777777" w:rsidR="00465AE3" w:rsidRPr="00D12E59" w:rsidRDefault="00465AE3" w:rsidP="00465AE3">
            <w:pPr>
              <w:spacing w:after="0"/>
              <w:jc w:val="center"/>
              <w:rPr>
                <w:rFonts w:ascii="Book Antiqua" w:hAnsi="Book Antiqua"/>
              </w:rPr>
            </w:pPr>
            <w:r w:rsidRPr="00D12E59">
              <w:rPr>
                <w:rFonts w:ascii="Book Antiqua" w:hAnsi="Book Antiqua"/>
              </w:rPr>
              <w:t>3</w:t>
            </w:r>
          </w:p>
          <w:p w14:paraId="71D7E2BE" w14:textId="77777777" w:rsidR="00465AE3" w:rsidRPr="00D12E59" w:rsidRDefault="00465AE3" w:rsidP="00465AE3">
            <w:pPr>
              <w:spacing w:after="0"/>
              <w:jc w:val="center"/>
              <w:rPr>
                <w:rFonts w:ascii="Book Antiqua" w:hAnsi="Book Antiqua"/>
              </w:rPr>
            </w:pPr>
          </w:p>
          <w:p w14:paraId="02227DCD" w14:textId="77777777" w:rsidR="00465AE3" w:rsidRPr="00D12E59" w:rsidRDefault="00465AE3" w:rsidP="00465AE3">
            <w:pPr>
              <w:spacing w:after="0"/>
              <w:jc w:val="center"/>
              <w:rPr>
                <w:rFonts w:ascii="Book Antiqua" w:hAnsi="Book Antiqua"/>
              </w:rPr>
            </w:pPr>
            <w:r w:rsidRPr="00D12E59">
              <w:rPr>
                <w:rFonts w:ascii="Book Antiqua" w:hAnsi="Book Antiqua"/>
              </w:rPr>
              <w:t>15</w:t>
            </w:r>
          </w:p>
          <w:p w14:paraId="0040CECF" w14:textId="77777777" w:rsidR="00465AE3" w:rsidRPr="00D12E59" w:rsidRDefault="00465AE3" w:rsidP="00465AE3">
            <w:pPr>
              <w:spacing w:after="0"/>
              <w:jc w:val="center"/>
              <w:rPr>
                <w:rFonts w:ascii="Book Antiqua" w:hAnsi="Book Antiqua"/>
              </w:rPr>
            </w:pPr>
            <w:r w:rsidRPr="00D12E59">
              <w:rPr>
                <w:rFonts w:ascii="Book Antiqua" w:hAnsi="Book Antiqua"/>
              </w:rPr>
              <w:t>20</w:t>
            </w:r>
          </w:p>
        </w:tc>
        <w:tc>
          <w:tcPr>
            <w:tcW w:w="872" w:type="pct"/>
            <w:tcBorders>
              <w:top w:val="nil"/>
              <w:left w:val="nil"/>
              <w:bottom w:val="single" w:sz="8" w:space="0" w:color="4F81BD"/>
              <w:right w:val="nil"/>
            </w:tcBorders>
          </w:tcPr>
          <w:p w14:paraId="514A8A8E" w14:textId="77777777" w:rsidR="00465AE3" w:rsidRPr="00D12E59" w:rsidRDefault="00465AE3" w:rsidP="00465AE3">
            <w:pPr>
              <w:pStyle w:val="DecimalAligned"/>
              <w:tabs>
                <w:tab w:val="decimal" w:pos="-19"/>
              </w:tabs>
              <w:spacing w:after="0"/>
              <w:jc w:val="center"/>
              <w:rPr>
                <w:rStyle w:val="Emphasis"/>
                <w:rFonts w:ascii="Book Antiqua" w:eastAsia="Calibri" w:hAnsi="Book Antiqua"/>
                <w:i w:val="0"/>
              </w:rPr>
            </w:pPr>
            <w:r w:rsidRPr="00D12E59">
              <w:rPr>
                <w:rStyle w:val="Emphasis"/>
                <w:rFonts w:ascii="Book Antiqua" w:eastAsia="Calibri" w:hAnsi="Book Antiqua"/>
              </w:rPr>
              <w:t>78</w:t>
            </w:r>
          </w:p>
          <w:p w14:paraId="33B252A2" w14:textId="77777777" w:rsidR="00465AE3" w:rsidRPr="00D12E59" w:rsidRDefault="00465AE3" w:rsidP="00465AE3">
            <w:pPr>
              <w:pStyle w:val="DecimalAligned"/>
              <w:tabs>
                <w:tab w:val="decimal" w:pos="-19"/>
              </w:tabs>
              <w:spacing w:after="0"/>
              <w:jc w:val="center"/>
              <w:rPr>
                <w:rStyle w:val="Emphasis"/>
                <w:rFonts w:ascii="Book Antiqua" w:eastAsia="Calibri" w:hAnsi="Book Antiqua"/>
                <w:i w:val="0"/>
              </w:rPr>
            </w:pPr>
            <w:r w:rsidRPr="00D12E59">
              <w:rPr>
                <w:rStyle w:val="Emphasis"/>
                <w:rFonts w:ascii="Book Antiqua" w:eastAsia="Calibri" w:hAnsi="Book Antiqua"/>
              </w:rPr>
              <w:t>10</w:t>
            </w:r>
          </w:p>
          <w:p w14:paraId="5B18CD64" w14:textId="77777777" w:rsidR="00465AE3" w:rsidRPr="00D12E59" w:rsidRDefault="00465AE3" w:rsidP="00465AE3">
            <w:pPr>
              <w:pStyle w:val="DecimalAligned"/>
              <w:tabs>
                <w:tab w:val="decimal" w:pos="-19"/>
              </w:tabs>
              <w:spacing w:after="0"/>
              <w:jc w:val="center"/>
              <w:rPr>
                <w:rStyle w:val="Emphasis"/>
                <w:rFonts w:ascii="Book Antiqua" w:eastAsia="Calibri" w:hAnsi="Book Antiqua"/>
                <w:i w:val="0"/>
              </w:rPr>
            </w:pPr>
            <w:r w:rsidRPr="00D12E59">
              <w:rPr>
                <w:rStyle w:val="Emphasis"/>
                <w:rFonts w:ascii="Book Antiqua" w:eastAsia="Calibri" w:hAnsi="Book Antiqua"/>
                <w:i w:val="0"/>
              </w:rPr>
              <w:t>2</w:t>
            </w:r>
          </w:p>
          <w:p w14:paraId="618C6C8A" w14:textId="77777777" w:rsidR="00465AE3" w:rsidRPr="00D12E59" w:rsidRDefault="00465AE3" w:rsidP="00465AE3">
            <w:pPr>
              <w:pStyle w:val="DecimalAligned"/>
              <w:tabs>
                <w:tab w:val="decimal" w:pos="-19"/>
              </w:tabs>
              <w:spacing w:after="0"/>
              <w:jc w:val="center"/>
              <w:rPr>
                <w:rStyle w:val="Emphasis"/>
                <w:rFonts w:ascii="Book Antiqua" w:eastAsia="Calibri" w:hAnsi="Book Antiqua"/>
                <w:i w:val="0"/>
              </w:rPr>
            </w:pPr>
          </w:p>
          <w:p w14:paraId="632CC398" w14:textId="77777777" w:rsidR="00465AE3" w:rsidRPr="00D12E59" w:rsidRDefault="00465AE3" w:rsidP="00465AE3">
            <w:pPr>
              <w:pStyle w:val="DecimalAligned"/>
              <w:tabs>
                <w:tab w:val="decimal" w:pos="-19"/>
              </w:tabs>
              <w:spacing w:after="0"/>
              <w:jc w:val="center"/>
              <w:rPr>
                <w:rStyle w:val="Emphasis"/>
                <w:rFonts w:ascii="Book Antiqua" w:eastAsia="Calibri" w:hAnsi="Book Antiqua"/>
                <w:i w:val="0"/>
              </w:rPr>
            </w:pPr>
            <w:r w:rsidRPr="00D12E59">
              <w:rPr>
                <w:rStyle w:val="Emphasis"/>
                <w:rFonts w:ascii="Book Antiqua" w:eastAsia="Calibri" w:hAnsi="Book Antiqua"/>
                <w:i w:val="0"/>
              </w:rPr>
              <w:t>32</w:t>
            </w:r>
          </w:p>
          <w:p w14:paraId="475899C6" w14:textId="77777777" w:rsidR="00465AE3" w:rsidRPr="00D12E59" w:rsidRDefault="00465AE3" w:rsidP="00465AE3">
            <w:pPr>
              <w:pStyle w:val="DecimalAligned"/>
              <w:tabs>
                <w:tab w:val="decimal" w:pos="-19"/>
              </w:tabs>
              <w:spacing w:after="0"/>
              <w:jc w:val="center"/>
              <w:rPr>
                <w:rStyle w:val="Emphasis"/>
                <w:rFonts w:ascii="Book Antiqua" w:eastAsia="Calibri" w:hAnsi="Book Antiqua"/>
                <w:i w:val="0"/>
              </w:rPr>
            </w:pPr>
            <w:r w:rsidRPr="00D12E59">
              <w:rPr>
                <w:rStyle w:val="Emphasis"/>
                <w:rFonts w:ascii="Book Antiqua" w:eastAsia="Calibri" w:hAnsi="Book Antiqua"/>
                <w:i w:val="0"/>
              </w:rPr>
              <w:t>34</w:t>
            </w:r>
          </w:p>
        </w:tc>
        <w:tc>
          <w:tcPr>
            <w:tcW w:w="1405" w:type="pct"/>
            <w:tcBorders>
              <w:top w:val="nil"/>
              <w:left w:val="nil"/>
              <w:bottom w:val="single" w:sz="8" w:space="0" w:color="4F81BD"/>
              <w:right w:val="nil"/>
            </w:tcBorders>
          </w:tcPr>
          <w:p w14:paraId="2D102EED" w14:textId="77777777" w:rsidR="00465AE3" w:rsidRPr="00D12E59" w:rsidRDefault="00465AE3" w:rsidP="00465AE3">
            <w:pPr>
              <w:pStyle w:val="DecimalAligned"/>
              <w:tabs>
                <w:tab w:val="decimal" w:pos="-20"/>
              </w:tabs>
              <w:spacing w:after="0"/>
              <w:jc w:val="center"/>
              <w:rPr>
                <w:rStyle w:val="Emphasis"/>
                <w:rFonts w:ascii="Book Antiqua" w:eastAsia="Calibri" w:hAnsi="Book Antiqua"/>
                <w:i w:val="0"/>
              </w:rPr>
            </w:pPr>
            <w:r w:rsidRPr="00D12E59">
              <w:rPr>
                <w:rStyle w:val="Emphasis"/>
                <w:rFonts w:ascii="Book Antiqua" w:eastAsia="Calibri" w:hAnsi="Book Antiqua"/>
              </w:rPr>
              <w:t>9</w:t>
            </w:r>
          </w:p>
          <w:p w14:paraId="60E50673" w14:textId="77777777" w:rsidR="00465AE3" w:rsidRPr="00D12E59" w:rsidRDefault="00465AE3" w:rsidP="00465AE3">
            <w:pPr>
              <w:pStyle w:val="DecimalAligned"/>
              <w:tabs>
                <w:tab w:val="decimal" w:pos="-20"/>
              </w:tabs>
              <w:spacing w:after="0"/>
              <w:jc w:val="center"/>
              <w:rPr>
                <w:rStyle w:val="Emphasis"/>
                <w:rFonts w:ascii="Book Antiqua" w:eastAsia="Calibri" w:hAnsi="Book Antiqua"/>
                <w:i w:val="0"/>
              </w:rPr>
            </w:pPr>
            <w:r w:rsidRPr="00D12E59">
              <w:rPr>
                <w:rStyle w:val="Emphasis"/>
                <w:rFonts w:ascii="Book Antiqua" w:eastAsia="Calibri" w:hAnsi="Book Antiqua"/>
              </w:rPr>
              <w:t>2</w:t>
            </w:r>
          </w:p>
          <w:p w14:paraId="4D354723" w14:textId="77777777" w:rsidR="00465AE3" w:rsidRPr="00D12E59" w:rsidRDefault="00465AE3" w:rsidP="00465AE3">
            <w:pPr>
              <w:pStyle w:val="DecimalAligned"/>
              <w:tabs>
                <w:tab w:val="decimal" w:pos="-20"/>
              </w:tabs>
              <w:spacing w:after="0"/>
              <w:jc w:val="center"/>
              <w:rPr>
                <w:rStyle w:val="Emphasis"/>
                <w:rFonts w:ascii="Book Antiqua" w:eastAsia="Calibri" w:hAnsi="Book Antiqua"/>
                <w:i w:val="0"/>
              </w:rPr>
            </w:pPr>
            <w:r w:rsidRPr="00D12E59">
              <w:rPr>
                <w:rStyle w:val="Emphasis"/>
                <w:rFonts w:ascii="Book Antiqua" w:eastAsia="Calibri" w:hAnsi="Book Antiqua"/>
                <w:i w:val="0"/>
              </w:rPr>
              <w:t>0</w:t>
            </w:r>
          </w:p>
          <w:p w14:paraId="0FF6EFFF" w14:textId="77777777" w:rsidR="00465AE3" w:rsidRPr="00D12E59" w:rsidRDefault="00465AE3" w:rsidP="00465AE3">
            <w:pPr>
              <w:pStyle w:val="DecimalAligned"/>
              <w:tabs>
                <w:tab w:val="decimal" w:pos="-20"/>
              </w:tabs>
              <w:spacing w:after="0"/>
              <w:jc w:val="center"/>
              <w:rPr>
                <w:rStyle w:val="Emphasis"/>
                <w:rFonts w:ascii="Book Antiqua" w:eastAsia="Calibri" w:hAnsi="Book Antiqua"/>
                <w:i w:val="0"/>
              </w:rPr>
            </w:pPr>
          </w:p>
          <w:p w14:paraId="0F61BACB" w14:textId="77777777" w:rsidR="00465AE3" w:rsidRPr="00D12E59" w:rsidRDefault="00465AE3" w:rsidP="00465AE3">
            <w:pPr>
              <w:pStyle w:val="DecimalAligned"/>
              <w:tabs>
                <w:tab w:val="decimal" w:pos="-20"/>
              </w:tabs>
              <w:spacing w:after="0"/>
              <w:jc w:val="center"/>
              <w:rPr>
                <w:rStyle w:val="Emphasis"/>
                <w:rFonts w:ascii="Book Antiqua" w:eastAsia="Calibri" w:hAnsi="Book Antiqua"/>
                <w:i w:val="0"/>
              </w:rPr>
            </w:pPr>
            <w:r w:rsidRPr="00D12E59">
              <w:rPr>
                <w:rStyle w:val="Emphasis"/>
                <w:rFonts w:ascii="Book Antiqua" w:eastAsia="Calibri" w:hAnsi="Book Antiqua"/>
                <w:i w:val="0"/>
              </w:rPr>
              <w:t>6</w:t>
            </w:r>
          </w:p>
          <w:p w14:paraId="3347B738" w14:textId="77777777" w:rsidR="00465AE3" w:rsidRPr="00D12E59" w:rsidRDefault="00465AE3" w:rsidP="00465AE3">
            <w:pPr>
              <w:pStyle w:val="DecimalAligned"/>
              <w:tabs>
                <w:tab w:val="decimal" w:pos="-20"/>
              </w:tabs>
              <w:spacing w:after="0"/>
              <w:jc w:val="center"/>
              <w:rPr>
                <w:rStyle w:val="Emphasis"/>
                <w:rFonts w:ascii="Book Antiqua" w:eastAsia="Calibri" w:hAnsi="Book Antiqua"/>
                <w:i w:val="0"/>
              </w:rPr>
            </w:pPr>
            <w:r w:rsidRPr="00D12E59">
              <w:rPr>
                <w:rStyle w:val="Emphasis"/>
                <w:rFonts w:ascii="Book Antiqua" w:eastAsia="Calibri" w:hAnsi="Book Antiqua"/>
                <w:i w:val="0"/>
              </w:rPr>
              <w:t>1</w:t>
            </w:r>
          </w:p>
          <w:p w14:paraId="614C9F08" w14:textId="77777777" w:rsidR="00465AE3" w:rsidRPr="00D12E59" w:rsidRDefault="00465AE3" w:rsidP="00465AE3">
            <w:pPr>
              <w:pStyle w:val="DecimalAligned"/>
              <w:tabs>
                <w:tab w:val="decimal" w:pos="-20"/>
              </w:tabs>
              <w:spacing w:after="0"/>
              <w:jc w:val="center"/>
              <w:rPr>
                <w:rStyle w:val="Emphasis"/>
                <w:rFonts w:ascii="Book Antiqua" w:eastAsia="Calibri" w:hAnsi="Book Antiqua"/>
                <w:i w:val="0"/>
              </w:rPr>
            </w:pPr>
          </w:p>
        </w:tc>
      </w:tr>
    </w:tbl>
    <w:p w14:paraId="1EDC49F0" w14:textId="77777777" w:rsidR="00395328" w:rsidRDefault="00395328" w:rsidP="00465AE3">
      <w:pPr>
        <w:spacing w:after="0"/>
        <w:rPr>
          <w:rStyle w:val="Emphasis"/>
          <w:rFonts w:ascii="Book Antiqua" w:hAnsi="Book Antiqua"/>
          <w:b w:val="0"/>
        </w:rPr>
        <w:sectPr w:rsidR="00395328" w:rsidSect="008F6BC9">
          <w:type w:val="continuous"/>
          <w:pgSz w:w="11907" w:h="16839" w:code="9"/>
          <w:pgMar w:top="1440" w:right="1274" w:bottom="1440" w:left="1440" w:header="708" w:footer="708" w:gutter="0"/>
          <w:cols w:space="720"/>
          <w:docGrid w:linePitch="360"/>
        </w:sectPr>
      </w:pPr>
    </w:p>
    <w:p w14:paraId="040D3AC2" w14:textId="77777777" w:rsidR="00A27788" w:rsidRPr="00E3232D" w:rsidRDefault="00A27788" w:rsidP="008275E1">
      <w:pPr>
        <w:pStyle w:val="FootnoteText"/>
        <w:spacing w:after="240" w:line="276" w:lineRule="auto"/>
        <w:rPr>
          <w:rStyle w:val="SubtleEmphasis"/>
          <w:rFonts w:ascii="Book Antiqua" w:hAnsi="Book Antiqua"/>
          <w:i w:val="0"/>
          <w:sz w:val="22"/>
        </w:rPr>
        <w:sectPr w:rsidR="00A27788" w:rsidRPr="00E3232D" w:rsidSect="008F6BC9">
          <w:type w:val="continuous"/>
          <w:pgSz w:w="11907" w:h="16839" w:code="9"/>
          <w:pgMar w:top="1440" w:right="1274" w:bottom="1440" w:left="1440" w:header="708" w:footer="708" w:gutter="0"/>
          <w:cols w:space="720"/>
          <w:docGrid w:linePitch="360"/>
        </w:sectPr>
      </w:pPr>
    </w:p>
    <w:p w14:paraId="0A93CB4B" w14:textId="77777777" w:rsidR="002F445B" w:rsidRDefault="002F445B" w:rsidP="008275E1">
      <w:pPr>
        <w:spacing w:after="240"/>
        <w:rPr>
          <w:rFonts w:ascii="Book Antiqua" w:hAnsi="Book Antiqua"/>
          <w:b/>
          <w:bCs/>
        </w:rPr>
      </w:pPr>
    </w:p>
    <w:p w14:paraId="62EAB32B" w14:textId="77777777" w:rsidR="00A27788" w:rsidRPr="00E3232D" w:rsidRDefault="00A27788" w:rsidP="008275E1">
      <w:pPr>
        <w:spacing w:after="240"/>
        <w:rPr>
          <w:rFonts w:ascii="Book Antiqua" w:hAnsi="Book Antiqua"/>
          <w:b/>
          <w:bCs/>
        </w:rPr>
      </w:pPr>
      <w:r w:rsidRPr="00E3232D">
        <w:rPr>
          <w:rFonts w:ascii="Book Antiqua" w:hAnsi="Book Antiqua"/>
          <w:b/>
          <w:bCs/>
        </w:rPr>
        <w:t>2.2.1</w:t>
      </w:r>
      <w:r w:rsidRPr="00E3232D">
        <w:rPr>
          <w:rFonts w:ascii="Book Antiqua" w:hAnsi="Book Antiqua"/>
          <w:b/>
          <w:bCs/>
        </w:rPr>
        <w:tab/>
        <w:t>Sampling Procedure</w:t>
      </w:r>
    </w:p>
    <w:p w14:paraId="60E857EE" w14:textId="77777777" w:rsidR="00432993" w:rsidRDefault="00A27788" w:rsidP="00465AE3">
      <w:pPr>
        <w:jc w:val="both"/>
        <w:rPr>
          <w:rFonts w:ascii="Book Antiqua" w:hAnsi="Book Antiqua"/>
        </w:rPr>
      </w:pPr>
      <w:r w:rsidRPr="00E3232D">
        <w:rPr>
          <w:rFonts w:ascii="Book Antiqua" w:hAnsi="Book Antiqua"/>
        </w:rPr>
        <w:t>The study used the purposeful sampling method for data collection. The Institution offers tertiary and non-tertiary</w:t>
      </w:r>
      <w:r w:rsidR="002A30E3" w:rsidRPr="002A30E3">
        <w:rPr>
          <w:rFonts w:ascii="Book Antiqua" w:hAnsi="Book Antiqua"/>
        </w:rPr>
        <w:t xml:space="preserve"> </w:t>
      </w:r>
      <w:r w:rsidR="002A30E3">
        <w:rPr>
          <w:rFonts w:ascii="Book Antiqua" w:hAnsi="Book Antiqua"/>
        </w:rPr>
        <w:t>programmes</w:t>
      </w:r>
      <w:r w:rsidR="002C7D43">
        <w:rPr>
          <w:rFonts w:ascii="Book Antiqua" w:hAnsi="Book Antiqua"/>
        </w:rPr>
        <w:t>;</w:t>
      </w:r>
      <w:r w:rsidR="002A30E3">
        <w:rPr>
          <w:rFonts w:ascii="Book Antiqua" w:hAnsi="Book Antiqua"/>
        </w:rPr>
        <w:t xml:space="preserve"> </w:t>
      </w:r>
      <w:r w:rsidRPr="00E3232D">
        <w:rPr>
          <w:rFonts w:ascii="Book Antiqua" w:hAnsi="Book Antiqua"/>
        </w:rPr>
        <w:t xml:space="preserve">the tertiary programmes comprise Higher National Diploma (HND) </w:t>
      </w:r>
    </w:p>
    <w:p w14:paraId="4C822119" w14:textId="77777777" w:rsidR="00432993" w:rsidRDefault="00432993" w:rsidP="008275E1">
      <w:pPr>
        <w:rPr>
          <w:rFonts w:ascii="Book Antiqua" w:hAnsi="Book Antiqua"/>
        </w:rPr>
      </w:pPr>
    </w:p>
    <w:p w14:paraId="373C9B8B" w14:textId="77777777" w:rsidR="00432993" w:rsidRDefault="00432993" w:rsidP="008275E1">
      <w:pPr>
        <w:rPr>
          <w:rFonts w:ascii="Book Antiqua" w:hAnsi="Book Antiqua"/>
        </w:rPr>
      </w:pPr>
    </w:p>
    <w:p w14:paraId="2B27E6B5" w14:textId="77777777" w:rsidR="00A27788" w:rsidRPr="00E3232D" w:rsidRDefault="00A27788" w:rsidP="00465AE3">
      <w:pPr>
        <w:jc w:val="both"/>
        <w:rPr>
          <w:rFonts w:ascii="Book Antiqua" w:hAnsi="Book Antiqua"/>
        </w:rPr>
      </w:pPr>
      <w:r w:rsidRPr="00E3232D">
        <w:rPr>
          <w:rFonts w:ascii="Book Antiqua" w:hAnsi="Book Antiqua"/>
        </w:rPr>
        <w:t xml:space="preserve">and Bachelor of Technology. The study utilized applications from HND holders only. All applications from HND alumni within the six-month period became part of the data for the study.  Since all had followed the same admission processes, undergone similar course registration processes and as well followed the same application procedures, focusing on them provided the necessary “homogeneity” (Palys, 1997) for systematic data collection and analysis. </w:t>
      </w:r>
    </w:p>
    <w:p w14:paraId="34CA84F9" w14:textId="77777777" w:rsidR="00A27788" w:rsidRPr="00E3232D" w:rsidRDefault="00A27788" w:rsidP="001765F6">
      <w:pPr>
        <w:spacing w:after="0"/>
        <w:rPr>
          <w:rFonts w:ascii="Book Antiqua" w:hAnsi="Book Antiqua"/>
          <w:b/>
          <w:bCs/>
        </w:rPr>
      </w:pPr>
    </w:p>
    <w:p w14:paraId="585C086A" w14:textId="77777777" w:rsidR="00A27788" w:rsidRPr="00E3232D" w:rsidRDefault="00A27788" w:rsidP="008275E1">
      <w:pPr>
        <w:rPr>
          <w:rFonts w:ascii="Book Antiqua" w:hAnsi="Book Antiqua"/>
          <w:b/>
          <w:bCs/>
        </w:rPr>
      </w:pPr>
      <w:r w:rsidRPr="00E3232D">
        <w:rPr>
          <w:rFonts w:ascii="Book Antiqua" w:hAnsi="Book Antiqua"/>
          <w:b/>
          <w:bCs/>
        </w:rPr>
        <w:t>2.3</w:t>
      </w:r>
      <w:r w:rsidRPr="00E3232D">
        <w:rPr>
          <w:rFonts w:ascii="Book Antiqua" w:hAnsi="Book Antiqua"/>
          <w:b/>
          <w:bCs/>
        </w:rPr>
        <w:tab/>
        <w:t>Data Collection Tools</w:t>
      </w:r>
    </w:p>
    <w:p w14:paraId="5DBBC10B" w14:textId="77777777" w:rsidR="00A27788" w:rsidRPr="00E3232D" w:rsidRDefault="00A27788" w:rsidP="00465AE3">
      <w:pPr>
        <w:jc w:val="both"/>
        <w:rPr>
          <w:rFonts w:ascii="Book Antiqua" w:hAnsi="Book Antiqua"/>
        </w:rPr>
      </w:pPr>
      <w:r w:rsidRPr="00E3232D">
        <w:rPr>
          <w:rFonts w:ascii="Book Antiqua" w:hAnsi="Book Antiqua"/>
        </w:rPr>
        <w:t>A mother called the Rector, requesting the ward’s transcript; her request triggered a certain degree of curiosity. She had assumed that being a parent gave her the right to request a ward’s academic information. Whether the request was an exception or a trend motivated this investigation. The major tools used for the data collection were field observation, students’ academic files, field notes, dialogues and informal interviews. The literature review also yielded valuable information about the sensitivity surrounding personal and academic information, threat to such data and the steps being taken globally to safeguard personal information. It also highlighted tight security measures taken by tertiary institutions elsewhere to protect academic information.</w:t>
      </w:r>
    </w:p>
    <w:p w14:paraId="06E9AA7A" w14:textId="77777777" w:rsidR="00A27788" w:rsidRPr="00E3232D" w:rsidRDefault="00A27788" w:rsidP="00465AE3">
      <w:pPr>
        <w:jc w:val="both"/>
        <w:rPr>
          <w:rFonts w:ascii="Book Antiqua" w:hAnsi="Book Antiqua"/>
        </w:rPr>
      </w:pPr>
      <w:r w:rsidRPr="00E3232D">
        <w:rPr>
          <w:rFonts w:ascii="Book Antiqua" w:hAnsi="Book Antiqua"/>
        </w:rPr>
        <w:t>There were dialogues with Academic Registrars and Administrators from other tertiary institutions; alumni whose applications created doubts were invited to the office to clarify issues. Their responses became part of the data for the study. Staff that compromised office protocol at various stages of the application processes became respondents. Sometimes, requests were made on behalf of alumni but without a document of authorization; in such cases, the applications were delayed until the alumni showed up in person or provided authority notes to legitimize the requests. All such conversations constituted data. At the end of the study, all doubtful processed applications, for which no authentication was received, were returned to the respective departments.</w:t>
      </w:r>
    </w:p>
    <w:p w14:paraId="4D3DB7E0" w14:textId="77777777" w:rsidR="00A27788" w:rsidRPr="00E3232D" w:rsidRDefault="00A27788" w:rsidP="008275E1">
      <w:pPr>
        <w:rPr>
          <w:rFonts w:ascii="Book Antiqua" w:hAnsi="Book Antiqua"/>
          <w:b/>
          <w:bCs/>
        </w:rPr>
      </w:pPr>
      <w:r w:rsidRPr="00E3232D">
        <w:rPr>
          <w:rFonts w:ascii="Book Antiqua" w:hAnsi="Book Antiqua"/>
          <w:b/>
          <w:bCs/>
        </w:rPr>
        <w:t>Table 2: Authentic applications and impersonation</w:t>
      </w:r>
    </w:p>
    <w:tbl>
      <w:tblPr>
        <w:tblW w:w="0" w:type="auto"/>
        <w:tblBorders>
          <w:top w:val="single" w:sz="4" w:space="0" w:color="auto"/>
          <w:bottom w:val="single" w:sz="4" w:space="0" w:color="auto"/>
        </w:tblBorders>
        <w:tblLayout w:type="fixed"/>
        <w:tblLook w:val="04A0" w:firstRow="1" w:lastRow="0" w:firstColumn="1" w:lastColumn="0" w:noHBand="0" w:noVBand="1"/>
      </w:tblPr>
      <w:tblGrid>
        <w:gridCol w:w="1278"/>
        <w:gridCol w:w="1491"/>
        <w:gridCol w:w="1683"/>
      </w:tblGrid>
      <w:tr w:rsidR="00A27788" w:rsidRPr="00D12E59" w14:paraId="3AF6E018" w14:textId="77777777" w:rsidTr="00050BBA">
        <w:trPr>
          <w:trHeight w:val="890"/>
        </w:trPr>
        <w:tc>
          <w:tcPr>
            <w:tcW w:w="1278" w:type="dxa"/>
            <w:tcBorders>
              <w:top w:val="single" w:sz="4" w:space="0" w:color="auto"/>
              <w:left w:val="nil"/>
              <w:bottom w:val="single" w:sz="4" w:space="0" w:color="auto"/>
              <w:right w:val="nil"/>
            </w:tcBorders>
            <w:hideMark/>
          </w:tcPr>
          <w:p w14:paraId="53C3F6FF" w14:textId="77777777" w:rsidR="00A27788" w:rsidRPr="00D12E59" w:rsidRDefault="00A27788" w:rsidP="008275E1">
            <w:pPr>
              <w:tabs>
                <w:tab w:val="center" w:pos="4513"/>
                <w:tab w:val="right" w:pos="9026"/>
              </w:tabs>
              <w:rPr>
                <w:rStyle w:val="Emphasis"/>
                <w:rFonts w:ascii="Book Antiqua" w:hAnsi="Book Antiqua"/>
              </w:rPr>
            </w:pPr>
            <w:r w:rsidRPr="00D12E59">
              <w:rPr>
                <w:rStyle w:val="Emphasis"/>
                <w:rFonts w:ascii="Book Antiqua" w:hAnsi="Book Antiqua"/>
              </w:rPr>
              <w:t>Gender</w:t>
            </w:r>
          </w:p>
        </w:tc>
        <w:tc>
          <w:tcPr>
            <w:tcW w:w="1491" w:type="dxa"/>
            <w:tcBorders>
              <w:top w:val="single" w:sz="4" w:space="0" w:color="auto"/>
              <w:left w:val="nil"/>
              <w:bottom w:val="single" w:sz="4" w:space="0" w:color="auto"/>
              <w:right w:val="nil"/>
            </w:tcBorders>
            <w:hideMark/>
          </w:tcPr>
          <w:p w14:paraId="1FE780B0" w14:textId="77777777" w:rsidR="00A27788" w:rsidRPr="00D12E59" w:rsidRDefault="00A27788" w:rsidP="008275E1">
            <w:pPr>
              <w:tabs>
                <w:tab w:val="center" w:pos="4513"/>
                <w:tab w:val="right" w:pos="9026"/>
              </w:tabs>
              <w:jc w:val="center"/>
              <w:rPr>
                <w:rStyle w:val="Emphasis"/>
                <w:rFonts w:ascii="Book Antiqua" w:hAnsi="Book Antiqua"/>
              </w:rPr>
            </w:pPr>
            <w:r w:rsidRPr="00D12E59">
              <w:rPr>
                <w:rStyle w:val="Emphasis"/>
                <w:rFonts w:ascii="Book Antiqua" w:hAnsi="Book Antiqua"/>
              </w:rPr>
              <w:t>Authentic Applications</w:t>
            </w:r>
          </w:p>
        </w:tc>
        <w:tc>
          <w:tcPr>
            <w:tcW w:w="1683" w:type="dxa"/>
            <w:tcBorders>
              <w:top w:val="single" w:sz="4" w:space="0" w:color="auto"/>
              <w:left w:val="nil"/>
              <w:bottom w:val="single" w:sz="4" w:space="0" w:color="auto"/>
              <w:right w:val="nil"/>
            </w:tcBorders>
            <w:hideMark/>
          </w:tcPr>
          <w:p w14:paraId="0F409092" w14:textId="77777777" w:rsidR="00A27788" w:rsidRPr="00D12E59" w:rsidRDefault="00A27788" w:rsidP="008275E1">
            <w:pPr>
              <w:tabs>
                <w:tab w:val="center" w:pos="4513"/>
                <w:tab w:val="right" w:pos="9026"/>
              </w:tabs>
              <w:jc w:val="center"/>
              <w:rPr>
                <w:rStyle w:val="Emphasis"/>
                <w:rFonts w:ascii="Book Antiqua" w:hAnsi="Book Antiqua"/>
              </w:rPr>
            </w:pPr>
            <w:r w:rsidRPr="00D12E59">
              <w:rPr>
                <w:rStyle w:val="Emphasis"/>
                <w:rFonts w:ascii="Book Antiqua" w:hAnsi="Book Antiqua"/>
              </w:rPr>
              <w:t>Impersonation</w:t>
            </w:r>
          </w:p>
        </w:tc>
      </w:tr>
      <w:tr w:rsidR="00A27788" w:rsidRPr="00D12E59" w14:paraId="454457B1" w14:textId="77777777" w:rsidTr="00050BBA">
        <w:tc>
          <w:tcPr>
            <w:tcW w:w="1278" w:type="dxa"/>
            <w:tcBorders>
              <w:top w:val="single" w:sz="4" w:space="0" w:color="auto"/>
              <w:left w:val="nil"/>
              <w:bottom w:val="nil"/>
              <w:right w:val="nil"/>
            </w:tcBorders>
            <w:hideMark/>
          </w:tcPr>
          <w:p w14:paraId="2BFFD542" w14:textId="77777777" w:rsidR="00A27788" w:rsidRPr="00D12E59" w:rsidRDefault="00A27788" w:rsidP="008275E1">
            <w:pPr>
              <w:tabs>
                <w:tab w:val="center" w:pos="4513"/>
                <w:tab w:val="right" w:pos="9026"/>
              </w:tabs>
              <w:rPr>
                <w:rStyle w:val="Emphasis"/>
                <w:rFonts w:ascii="Book Antiqua" w:hAnsi="Book Antiqua"/>
              </w:rPr>
            </w:pPr>
            <w:r w:rsidRPr="00D12E59">
              <w:rPr>
                <w:rStyle w:val="Emphasis"/>
                <w:rFonts w:ascii="Book Antiqua" w:hAnsi="Book Antiqua"/>
              </w:rPr>
              <w:t>Male(s)</w:t>
            </w:r>
          </w:p>
        </w:tc>
        <w:tc>
          <w:tcPr>
            <w:tcW w:w="1491" w:type="dxa"/>
            <w:tcBorders>
              <w:top w:val="single" w:sz="4" w:space="0" w:color="auto"/>
              <w:left w:val="nil"/>
              <w:bottom w:val="nil"/>
              <w:right w:val="nil"/>
            </w:tcBorders>
            <w:hideMark/>
          </w:tcPr>
          <w:p w14:paraId="10A504F8" w14:textId="77777777" w:rsidR="00A27788" w:rsidRPr="00D12E59" w:rsidRDefault="00A27788" w:rsidP="008275E1">
            <w:pPr>
              <w:tabs>
                <w:tab w:val="center" w:pos="4513"/>
                <w:tab w:val="right" w:pos="9026"/>
              </w:tabs>
              <w:jc w:val="center"/>
              <w:rPr>
                <w:rStyle w:val="Emphasis"/>
                <w:rFonts w:ascii="Book Antiqua" w:hAnsi="Book Antiqua"/>
              </w:rPr>
            </w:pPr>
            <w:r w:rsidRPr="00D12E59">
              <w:rPr>
                <w:rStyle w:val="Emphasis"/>
                <w:rFonts w:ascii="Book Antiqua" w:hAnsi="Book Antiqua"/>
              </w:rPr>
              <w:t>49</w:t>
            </w:r>
          </w:p>
        </w:tc>
        <w:tc>
          <w:tcPr>
            <w:tcW w:w="1683" w:type="dxa"/>
            <w:tcBorders>
              <w:top w:val="single" w:sz="4" w:space="0" w:color="auto"/>
              <w:left w:val="nil"/>
              <w:bottom w:val="nil"/>
              <w:right w:val="nil"/>
            </w:tcBorders>
            <w:hideMark/>
          </w:tcPr>
          <w:p w14:paraId="25BC5638" w14:textId="77777777" w:rsidR="00A27788" w:rsidRPr="00D12E59" w:rsidRDefault="00A27788" w:rsidP="008275E1">
            <w:pPr>
              <w:tabs>
                <w:tab w:val="center" w:pos="4513"/>
                <w:tab w:val="right" w:pos="9026"/>
              </w:tabs>
              <w:jc w:val="center"/>
              <w:rPr>
                <w:rStyle w:val="Emphasis"/>
                <w:rFonts w:ascii="Book Antiqua" w:hAnsi="Book Antiqua"/>
              </w:rPr>
            </w:pPr>
            <w:r w:rsidRPr="00D12E59">
              <w:rPr>
                <w:rStyle w:val="Emphasis"/>
                <w:rFonts w:ascii="Book Antiqua" w:hAnsi="Book Antiqua"/>
              </w:rPr>
              <w:t>60</w:t>
            </w:r>
          </w:p>
        </w:tc>
      </w:tr>
      <w:tr w:rsidR="00A27788" w:rsidRPr="00D12E59" w14:paraId="249AE55F" w14:textId="77777777" w:rsidTr="00050BBA">
        <w:tc>
          <w:tcPr>
            <w:tcW w:w="1278" w:type="dxa"/>
            <w:tcBorders>
              <w:top w:val="nil"/>
              <w:left w:val="nil"/>
              <w:bottom w:val="nil"/>
              <w:right w:val="nil"/>
            </w:tcBorders>
            <w:hideMark/>
          </w:tcPr>
          <w:p w14:paraId="69E507BA" w14:textId="77777777" w:rsidR="00A27788" w:rsidRPr="00D12E59" w:rsidRDefault="00A27788" w:rsidP="008275E1">
            <w:pPr>
              <w:tabs>
                <w:tab w:val="center" w:pos="4513"/>
                <w:tab w:val="right" w:pos="9026"/>
              </w:tabs>
              <w:rPr>
                <w:rStyle w:val="Emphasis"/>
                <w:rFonts w:ascii="Book Antiqua" w:hAnsi="Book Antiqua"/>
              </w:rPr>
            </w:pPr>
            <w:r w:rsidRPr="00D12E59">
              <w:rPr>
                <w:rStyle w:val="Emphasis"/>
                <w:rFonts w:ascii="Book Antiqua" w:hAnsi="Book Antiqua"/>
              </w:rPr>
              <w:t>Female(s</w:t>
            </w:r>
            <w:r w:rsidR="00050BBA">
              <w:rPr>
                <w:rStyle w:val="Emphasis"/>
                <w:rFonts w:ascii="Book Antiqua" w:hAnsi="Book Antiqua"/>
              </w:rPr>
              <w:t>)</w:t>
            </w:r>
          </w:p>
        </w:tc>
        <w:tc>
          <w:tcPr>
            <w:tcW w:w="1491" w:type="dxa"/>
            <w:tcBorders>
              <w:top w:val="nil"/>
              <w:left w:val="nil"/>
              <w:bottom w:val="nil"/>
              <w:right w:val="nil"/>
            </w:tcBorders>
            <w:hideMark/>
          </w:tcPr>
          <w:p w14:paraId="12665007" w14:textId="77777777" w:rsidR="00A27788" w:rsidRPr="00D12E59" w:rsidRDefault="00A27788" w:rsidP="008275E1">
            <w:pPr>
              <w:tabs>
                <w:tab w:val="center" w:pos="4513"/>
                <w:tab w:val="right" w:pos="9026"/>
              </w:tabs>
              <w:jc w:val="center"/>
              <w:rPr>
                <w:rStyle w:val="Emphasis"/>
                <w:rFonts w:ascii="Book Antiqua" w:hAnsi="Book Antiqua"/>
              </w:rPr>
            </w:pPr>
            <w:r w:rsidRPr="00D12E59">
              <w:rPr>
                <w:rStyle w:val="Emphasis"/>
                <w:rFonts w:ascii="Book Antiqua" w:hAnsi="Book Antiqua"/>
              </w:rPr>
              <w:t>14</w:t>
            </w:r>
          </w:p>
        </w:tc>
        <w:tc>
          <w:tcPr>
            <w:tcW w:w="1683" w:type="dxa"/>
            <w:tcBorders>
              <w:top w:val="nil"/>
              <w:left w:val="nil"/>
              <w:bottom w:val="nil"/>
              <w:right w:val="nil"/>
            </w:tcBorders>
            <w:hideMark/>
          </w:tcPr>
          <w:p w14:paraId="7A18CDC5" w14:textId="77777777" w:rsidR="00A27788" w:rsidRPr="00D12E59" w:rsidRDefault="00A27788" w:rsidP="008275E1">
            <w:pPr>
              <w:tabs>
                <w:tab w:val="center" w:pos="4513"/>
                <w:tab w:val="right" w:pos="9026"/>
              </w:tabs>
              <w:jc w:val="center"/>
              <w:rPr>
                <w:rStyle w:val="Emphasis"/>
                <w:rFonts w:ascii="Book Antiqua" w:hAnsi="Book Antiqua"/>
              </w:rPr>
            </w:pPr>
            <w:r w:rsidRPr="00D12E59">
              <w:rPr>
                <w:rStyle w:val="Emphasis"/>
                <w:rFonts w:ascii="Book Antiqua" w:hAnsi="Book Antiqua"/>
              </w:rPr>
              <w:t>18</w:t>
            </w:r>
          </w:p>
        </w:tc>
      </w:tr>
      <w:tr w:rsidR="00A27788" w:rsidRPr="00D12E59" w14:paraId="4B825E71" w14:textId="77777777" w:rsidTr="00050BBA">
        <w:tc>
          <w:tcPr>
            <w:tcW w:w="1278" w:type="dxa"/>
            <w:tcBorders>
              <w:top w:val="nil"/>
              <w:left w:val="nil"/>
              <w:bottom w:val="single" w:sz="4" w:space="0" w:color="auto"/>
              <w:right w:val="nil"/>
            </w:tcBorders>
            <w:hideMark/>
          </w:tcPr>
          <w:p w14:paraId="655E2914" w14:textId="77777777" w:rsidR="00A27788" w:rsidRPr="00D12E59" w:rsidRDefault="00A27788" w:rsidP="008275E1">
            <w:pPr>
              <w:tabs>
                <w:tab w:val="center" w:pos="4513"/>
                <w:tab w:val="right" w:pos="9026"/>
              </w:tabs>
              <w:rPr>
                <w:rStyle w:val="Emphasis"/>
                <w:rFonts w:ascii="Book Antiqua" w:hAnsi="Book Antiqua"/>
              </w:rPr>
            </w:pPr>
            <w:r w:rsidRPr="00D12E59">
              <w:rPr>
                <w:rStyle w:val="Emphasis"/>
                <w:rFonts w:ascii="Book Antiqua" w:hAnsi="Book Antiqua"/>
              </w:rPr>
              <w:t>Total</w:t>
            </w:r>
          </w:p>
        </w:tc>
        <w:tc>
          <w:tcPr>
            <w:tcW w:w="1491" w:type="dxa"/>
            <w:tcBorders>
              <w:top w:val="nil"/>
              <w:left w:val="nil"/>
              <w:bottom w:val="single" w:sz="4" w:space="0" w:color="auto"/>
              <w:right w:val="nil"/>
            </w:tcBorders>
            <w:hideMark/>
          </w:tcPr>
          <w:p w14:paraId="685ACD9D" w14:textId="77777777" w:rsidR="00A27788" w:rsidRPr="00D12E59" w:rsidRDefault="00A27788" w:rsidP="008275E1">
            <w:pPr>
              <w:tabs>
                <w:tab w:val="center" w:pos="4513"/>
                <w:tab w:val="right" w:pos="9026"/>
              </w:tabs>
              <w:jc w:val="center"/>
              <w:rPr>
                <w:rStyle w:val="Emphasis"/>
                <w:rFonts w:ascii="Book Antiqua" w:hAnsi="Book Antiqua"/>
              </w:rPr>
            </w:pPr>
            <w:r w:rsidRPr="00D12E59">
              <w:rPr>
                <w:rStyle w:val="Emphasis"/>
                <w:rFonts w:ascii="Book Antiqua" w:hAnsi="Book Antiqua"/>
              </w:rPr>
              <w:t>63</w:t>
            </w:r>
          </w:p>
        </w:tc>
        <w:tc>
          <w:tcPr>
            <w:tcW w:w="1683" w:type="dxa"/>
            <w:tcBorders>
              <w:top w:val="nil"/>
              <w:left w:val="nil"/>
              <w:bottom w:val="single" w:sz="4" w:space="0" w:color="auto"/>
              <w:right w:val="nil"/>
            </w:tcBorders>
            <w:hideMark/>
          </w:tcPr>
          <w:p w14:paraId="7E8EE8B5" w14:textId="77777777" w:rsidR="00A27788" w:rsidRPr="00D12E59" w:rsidRDefault="00A27788" w:rsidP="008275E1">
            <w:pPr>
              <w:tabs>
                <w:tab w:val="center" w:pos="4513"/>
                <w:tab w:val="right" w:pos="9026"/>
              </w:tabs>
              <w:jc w:val="center"/>
              <w:rPr>
                <w:rStyle w:val="Emphasis"/>
                <w:rFonts w:ascii="Book Antiqua" w:hAnsi="Book Antiqua"/>
              </w:rPr>
            </w:pPr>
            <w:r w:rsidRPr="00D12E59">
              <w:rPr>
                <w:rStyle w:val="Emphasis"/>
                <w:rFonts w:ascii="Book Antiqua" w:hAnsi="Book Antiqua"/>
              </w:rPr>
              <w:t>78</w:t>
            </w:r>
          </w:p>
        </w:tc>
      </w:tr>
    </w:tbl>
    <w:p w14:paraId="636DE419" w14:textId="77777777" w:rsidR="00A27788" w:rsidRPr="00E3232D" w:rsidRDefault="00A27788" w:rsidP="008275E1">
      <w:pPr>
        <w:pStyle w:val="FootnoteText"/>
        <w:spacing w:line="276" w:lineRule="auto"/>
        <w:rPr>
          <w:rStyle w:val="SubtleEmphasis"/>
          <w:rFonts w:ascii="Book Antiqua" w:hAnsi="Book Antiqua"/>
          <w:i w:val="0"/>
          <w:sz w:val="22"/>
        </w:rPr>
      </w:pPr>
    </w:p>
    <w:p w14:paraId="09D48520" w14:textId="77777777" w:rsidR="00A27788" w:rsidRPr="00E3232D" w:rsidRDefault="00A27788" w:rsidP="008275E1">
      <w:pPr>
        <w:rPr>
          <w:rFonts w:ascii="Book Antiqua" w:hAnsi="Book Antiqua"/>
          <w:color w:val="FF0000"/>
        </w:rPr>
      </w:pPr>
    </w:p>
    <w:p w14:paraId="3903E1A2" w14:textId="77777777" w:rsidR="00A27788" w:rsidRPr="00E3232D" w:rsidRDefault="00A27788" w:rsidP="008275E1">
      <w:pPr>
        <w:rPr>
          <w:rFonts w:ascii="Book Antiqua" w:hAnsi="Book Antiqua"/>
          <w:b/>
          <w:bCs/>
        </w:rPr>
      </w:pPr>
      <w:r w:rsidRPr="00E3232D">
        <w:rPr>
          <w:rFonts w:ascii="Book Antiqua" w:hAnsi="Book Antiqua"/>
          <w:b/>
          <w:bCs/>
        </w:rPr>
        <w:t>2.3.1</w:t>
      </w:r>
      <w:r w:rsidRPr="00E3232D">
        <w:rPr>
          <w:rFonts w:ascii="Book Antiqua" w:hAnsi="Book Antiqua"/>
          <w:b/>
          <w:bCs/>
        </w:rPr>
        <w:tab/>
        <w:t>Analyzing the Data</w:t>
      </w:r>
    </w:p>
    <w:p w14:paraId="64F3E8DA" w14:textId="77777777" w:rsidR="00A27788" w:rsidRPr="00E3232D" w:rsidRDefault="00A27788" w:rsidP="00465AE3">
      <w:pPr>
        <w:spacing w:after="0"/>
        <w:jc w:val="both"/>
        <w:rPr>
          <w:rFonts w:ascii="Book Antiqua" w:hAnsi="Book Antiqua"/>
        </w:rPr>
      </w:pPr>
      <w:r w:rsidRPr="00E3232D">
        <w:rPr>
          <w:rFonts w:ascii="Book Antiqua" w:hAnsi="Book Antiqua"/>
        </w:rPr>
        <w:t xml:space="preserve">The authenticity of Student identity--signature--provided in the application letters was verified from the file. Stated name and number, department, year of completion were also compared with those on file to ascertain the legitimacy of information provided. Endorsement by the respective heads of department or designated signatory was scrutinized for consistency. Human signature, by its nature, has legal implications and symbolizes a high degree of commitment. To “sign” means “to write ... name, usually on a written or printed document, to show that [one agrees] with its content or have written or created it [oneself]” (Cambridge, 2005, p. 491), hence, the study used applicants’ signature to determine alumni identity and authenticity of application (Academic record, 2011). </w:t>
      </w:r>
    </w:p>
    <w:p w14:paraId="7C38EDB3" w14:textId="77777777" w:rsidR="00432993" w:rsidRDefault="00432993" w:rsidP="00380077">
      <w:pPr>
        <w:spacing w:after="0"/>
        <w:rPr>
          <w:rFonts w:ascii="Book Antiqua" w:hAnsi="Book Antiqua"/>
        </w:rPr>
      </w:pPr>
    </w:p>
    <w:p w14:paraId="2F03EB8F" w14:textId="77777777" w:rsidR="00912965" w:rsidRPr="002F445B" w:rsidRDefault="00A27788" w:rsidP="00465AE3">
      <w:pPr>
        <w:spacing w:after="0"/>
        <w:jc w:val="both"/>
        <w:rPr>
          <w:rFonts w:ascii="Book Antiqua" w:hAnsi="Book Antiqua"/>
        </w:rPr>
      </w:pPr>
      <w:r w:rsidRPr="00E3232D">
        <w:rPr>
          <w:rFonts w:ascii="Book Antiqua" w:hAnsi="Book Antiqua"/>
        </w:rPr>
        <w:t xml:space="preserve">The premise was that a signature represents “[a person’s] name, written by [the person], </w:t>
      </w:r>
      <w:r w:rsidRPr="00E3232D">
        <w:rPr>
          <w:rFonts w:ascii="Book Antiqua" w:hAnsi="Book Antiqua"/>
          <w:i/>
          <w:iCs/>
        </w:rPr>
        <w:t>always in the same way</w:t>
      </w:r>
      <w:r w:rsidRPr="00E3232D">
        <w:rPr>
          <w:rFonts w:ascii="Book Antiqua" w:hAnsi="Book Antiqua"/>
        </w:rPr>
        <w:t xml:space="preserve"> [italics ours], usually to show that something has been agreed by [that person]” (Cambridge, 2005, p. 492). The </w:t>
      </w:r>
      <w:r w:rsidRPr="00E3232D">
        <w:rPr>
          <w:rFonts w:ascii="Book Antiqua" w:hAnsi="Book Antiqua"/>
          <w:i/>
          <w:iCs/>
        </w:rPr>
        <w:t>Compact Oxford English Dictionary</w:t>
      </w:r>
      <w:r w:rsidRPr="00E3232D">
        <w:rPr>
          <w:rFonts w:ascii="Book Antiqua" w:hAnsi="Book Antiqua"/>
        </w:rPr>
        <w:t xml:space="preserve"> (2006) defines signature in a similar manner: “a person’s name written in a distinctive way, used in signing a document” and also “a distinctive product or quality by which someone … can be recognized” (p. 963). Since applicants’ academic files were sent to the Academic Affairs, the signature on each application letter was compared with that on admission form as well as those on course registration forms. There were six course registration forms and the processed entrance application to the Institution. Each application for transcript or attestation was matched with those seven documents for consistency in signature. </w:t>
      </w:r>
    </w:p>
    <w:p w14:paraId="4470866B" w14:textId="77777777" w:rsidR="00C46BAF" w:rsidRDefault="00C46BAF" w:rsidP="008275E1">
      <w:pPr>
        <w:rPr>
          <w:rFonts w:ascii="Book Antiqua" w:hAnsi="Book Antiqua"/>
          <w:b/>
          <w:bCs/>
        </w:rPr>
      </w:pPr>
    </w:p>
    <w:p w14:paraId="2BE19CED" w14:textId="77777777" w:rsidR="00465AE3" w:rsidRDefault="00465AE3" w:rsidP="008275E1">
      <w:pPr>
        <w:rPr>
          <w:rFonts w:ascii="Book Antiqua" w:hAnsi="Book Antiqua"/>
          <w:b/>
          <w:bCs/>
        </w:rPr>
      </w:pPr>
    </w:p>
    <w:p w14:paraId="094DF2B6" w14:textId="77777777" w:rsidR="00A27788" w:rsidRPr="00E3232D" w:rsidRDefault="00A27788" w:rsidP="008275E1">
      <w:pPr>
        <w:rPr>
          <w:rFonts w:ascii="Book Antiqua" w:hAnsi="Book Antiqua"/>
          <w:b/>
          <w:bCs/>
          <w:color w:val="FF0000"/>
        </w:rPr>
      </w:pPr>
      <w:r w:rsidRPr="00E3232D">
        <w:rPr>
          <w:rFonts w:ascii="Book Antiqua" w:hAnsi="Book Antiqua"/>
          <w:b/>
          <w:bCs/>
        </w:rPr>
        <w:t>2.4</w:t>
      </w:r>
      <w:r w:rsidRPr="00E3232D">
        <w:rPr>
          <w:rFonts w:ascii="Book Antiqua" w:hAnsi="Book Antiqua"/>
          <w:b/>
          <w:bCs/>
        </w:rPr>
        <w:tab/>
        <w:t>Limitation</w:t>
      </w:r>
    </w:p>
    <w:p w14:paraId="0E64F5F4" w14:textId="77777777" w:rsidR="00A27788" w:rsidRDefault="00A27788" w:rsidP="00465AE3">
      <w:pPr>
        <w:jc w:val="both"/>
        <w:rPr>
          <w:rFonts w:ascii="Book Antiqua" w:hAnsi="Book Antiqua"/>
        </w:rPr>
      </w:pPr>
      <w:r w:rsidRPr="00E3232D">
        <w:rPr>
          <w:rFonts w:ascii="Book Antiqua" w:hAnsi="Book Antiqua"/>
        </w:rPr>
        <w:t>Forensic analysis of signatures would have heightened the sophisticated nature of the study, in the absence of which the study utilized human meticulousness to analyze signatures, the manual approach serving as a limitation on the study.</w:t>
      </w:r>
    </w:p>
    <w:p w14:paraId="523C5034" w14:textId="77777777" w:rsidR="00912965" w:rsidRPr="00E3232D" w:rsidRDefault="00912965" w:rsidP="001765F6">
      <w:pPr>
        <w:spacing w:after="0"/>
        <w:rPr>
          <w:rFonts w:ascii="Book Antiqua" w:hAnsi="Book Antiqua"/>
          <w:b/>
          <w:bCs/>
        </w:rPr>
      </w:pPr>
    </w:p>
    <w:p w14:paraId="6EDDCE6D" w14:textId="77777777" w:rsidR="00A27788" w:rsidRPr="00E3232D" w:rsidRDefault="00A27788" w:rsidP="008275E1">
      <w:pPr>
        <w:rPr>
          <w:rFonts w:ascii="Book Antiqua" w:hAnsi="Book Antiqua"/>
          <w:b/>
          <w:bCs/>
        </w:rPr>
      </w:pPr>
      <w:r w:rsidRPr="00E3232D">
        <w:rPr>
          <w:rFonts w:ascii="Book Antiqua" w:hAnsi="Book Antiqua"/>
          <w:b/>
          <w:bCs/>
        </w:rPr>
        <w:t>3.</w:t>
      </w:r>
      <w:r w:rsidR="00806674">
        <w:rPr>
          <w:rFonts w:ascii="Book Antiqua" w:hAnsi="Book Antiqua"/>
          <w:b/>
          <w:bCs/>
        </w:rPr>
        <w:t>0</w:t>
      </w:r>
      <w:r w:rsidRPr="00E3232D">
        <w:rPr>
          <w:rFonts w:ascii="Book Antiqua" w:hAnsi="Book Antiqua"/>
          <w:b/>
          <w:bCs/>
        </w:rPr>
        <w:tab/>
      </w:r>
      <w:r w:rsidRPr="001765F6">
        <w:rPr>
          <w:rFonts w:ascii="Book Antiqua" w:hAnsi="Book Antiqua"/>
          <w:b/>
          <w:bCs/>
          <w:sz w:val="26"/>
        </w:rPr>
        <w:t>Results</w:t>
      </w:r>
    </w:p>
    <w:p w14:paraId="4E452F3F" w14:textId="77777777" w:rsidR="00A27788" w:rsidRPr="00E3232D" w:rsidRDefault="00A27788" w:rsidP="00465AE3">
      <w:pPr>
        <w:jc w:val="both"/>
        <w:rPr>
          <w:rFonts w:ascii="Book Antiqua" w:hAnsi="Book Antiqua"/>
        </w:rPr>
      </w:pPr>
      <w:r w:rsidRPr="00E3232D">
        <w:rPr>
          <w:rFonts w:ascii="Book Antiqua" w:hAnsi="Book Antiqua"/>
        </w:rPr>
        <w:t>At the end of the data collection period, judging by the way applicants signed their names on all seven documents, using consistent features of signatures as a yardstick, a certain pattern emerged. Sixty three (63) applicants showed consistency in signing their names; based on that consistency, the signatures were labelled authentic. Forty four (44) applicants were not consistent in signing their names. The reasons for the inconsistency are discussed below. There were seventy eight (78) cases of impersonation--applications were written and signed, ostensibly by alumni, but the investigation revealed that the signatures had been forged. Nine (9) files had no course registration forms; consequently, researchers had no signatures to compare with. Two applicants did not sign their admission forms, raising questions about the legality of unsigned applications.</w:t>
      </w:r>
    </w:p>
    <w:p w14:paraId="4F326345" w14:textId="77777777" w:rsidR="00A27788" w:rsidRPr="00E3232D" w:rsidRDefault="00A27788" w:rsidP="008275E1">
      <w:pPr>
        <w:rPr>
          <w:rFonts w:ascii="Book Antiqua" w:hAnsi="Book Antiqua"/>
        </w:rPr>
      </w:pPr>
    </w:p>
    <w:p w14:paraId="5B1730AC" w14:textId="77777777" w:rsidR="00827F32" w:rsidRDefault="00827F32" w:rsidP="008275E1">
      <w:pPr>
        <w:rPr>
          <w:rFonts w:ascii="Book Antiqua" w:hAnsi="Book Antiqua"/>
          <w:b/>
          <w:bCs/>
        </w:rPr>
        <w:sectPr w:rsidR="00827F32" w:rsidSect="008F6BC9">
          <w:type w:val="continuous"/>
          <w:pgSz w:w="11907" w:h="16839" w:code="9"/>
          <w:pgMar w:top="1440" w:right="1274" w:bottom="1440" w:left="1440" w:header="708" w:footer="708" w:gutter="0"/>
          <w:cols w:num="2" w:space="720"/>
          <w:docGrid w:linePitch="360"/>
        </w:sectPr>
      </w:pPr>
    </w:p>
    <w:p w14:paraId="23B311D3" w14:textId="77777777" w:rsidR="00A27788" w:rsidRPr="00E3232D" w:rsidRDefault="00A27788" w:rsidP="008275E1">
      <w:pPr>
        <w:rPr>
          <w:rFonts w:ascii="Book Antiqua" w:hAnsi="Book Antiqua"/>
          <w:b/>
          <w:bCs/>
        </w:rPr>
      </w:pPr>
    </w:p>
    <w:p w14:paraId="27BF8F3D" w14:textId="77777777" w:rsidR="00CD5531" w:rsidRDefault="00CD5531" w:rsidP="008275E1">
      <w:pPr>
        <w:rPr>
          <w:rFonts w:ascii="Book Antiqua" w:hAnsi="Book Antiqua"/>
          <w:b/>
          <w:bCs/>
        </w:rPr>
      </w:pPr>
    </w:p>
    <w:p w14:paraId="7AE6EADA" w14:textId="77777777" w:rsidR="002F445B" w:rsidRDefault="002F445B" w:rsidP="002F445B">
      <w:pPr>
        <w:jc w:val="center"/>
        <w:rPr>
          <w:rFonts w:ascii="Book Antiqua" w:hAnsi="Book Antiqua"/>
          <w:b/>
          <w:bCs/>
        </w:rPr>
        <w:sectPr w:rsidR="002F445B" w:rsidSect="008F6BC9">
          <w:type w:val="continuous"/>
          <w:pgSz w:w="11907" w:h="16839" w:code="9"/>
          <w:pgMar w:top="1440" w:right="1274" w:bottom="1440" w:left="1440" w:header="708" w:footer="708" w:gutter="0"/>
          <w:cols w:num="2" w:space="720"/>
          <w:docGrid w:linePitch="360"/>
        </w:sectPr>
      </w:pPr>
    </w:p>
    <w:p w14:paraId="07CCA948" w14:textId="77777777" w:rsidR="00C46BAF" w:rsidRDefault="00C46BAF" w:rsidP="002F445B">
      <w:pPr>
        <w:jc w:val="center"/>
        <w:rPr>
          <w:rFonts w:ascii="Book Antiqua" w:hAnsi="Book Antiqua"/>
          <w:b/>
          <w:bCs/>
        </w:rPr>
      </w:pPr>
    </w:p>
    <w:p w14:paraId="5186DAD7" w14:textId="77777777" w:rsidR="00C46BAF" w:rsidRDefault="00C46BAF" w:rsidP="002F445B">
      <w:pPr>
        <w:jc w:val="center"/>
        <w:rPr>
          <w:rFonts w:ascii="Book Antiqua" w:hAnsi="Book Antiqua"/>
          <w:b/>
          <w:bCs/>
        </w:rPr>
      </w:pPr>
    </w:p>
    <w:p w14:paraId="3D863FF9" w14:textId="77777777" w:rsidR="00A27788" w:rsidRPr="00E3232D" w:rsidRDefault="00A27788" w:rsidP="002F445B">
      <w:pPr>
        <w:jc w:val="center"/>
        <w:rPr>
          <w:rFonts w:ascii="Book Antiqua" w:hAnsi="Book Antiqua"/>
          <w:b/>
          <w:bCs/>
        </w:rPr>
      </w:pPr>
      <w:r w:rsidRPr="00E3232D">
        <w:rPr>
          <w:rFonts w:ascii="Book Antiqua" w:hAnsi="Book Antiqua"/>
          <w:b/>
          <w:bCs/>
        </w:rPr>
        <w:t>Table 3: Distribution of results</w:t>
      </w:r>
    </w:p>
    <w:p w14:paraId="62511370" w14:textId="77777777" w:rsidR="00A27788" w:rsidRPr="00E3232D" w:rsidRDefault="00A27788" w:rsidP="008275E1">
      <w:pPr>
        <w:tabs>
          <w:tab w:val="center" w:pos="4513"/>
          <w:tab w:val="right" w:pos="9026"/>
        </w:tabs>
        <w:rPr>
          <w:rStyle w:val="Emphasis"/>
          <w:rFonts w:ascii="Book Antiqua" w:hAnsi="Book Antiqua"/>
          <w:b w:val="0"/>
        </w:rPr>
        <w:sectPr w:rsidR="00A27788" w:rsidRPr="00E3232D" w:rsidSect="008F6BC9">
          <w:type w:val="continuous"/>
          <w:pgSz w:w="11907" w:h="16839" w:code="9"/>
          <w:pgMar w:top="1440" w:right="1274" w:bottom="1440" w:left="1440" w:header="708" w:footer="708" w:gutter="0"/>
          <w:cols w:space="720"/>
          <w:docGrid w:linePitch="360"/>
        </w:sectPr>
      </w:pPr>
    </w:p>
    <w:tbl>
      <w:tblPr>
        <w:tblW w:w="9288" w:type="dxa"/>
        <w:tblBorders>
          <w:top w:val="single" w:sz="4" w:space="0" w:color="auto"/>
          <w:bottom w:val="single" w:sz="4" w:space="0" w:color="auto"/>
        </w:tblBorders>
        <w:tblLook w:val="04A0" w:firstRow="1" w:lastRow="0" w:firstColumn="1" w:lastColumn="0" w:noHBand="0" w:noVBand="1"/>
      </w:tblPr>
      <w:tblGrid>
        <w:gridCol w:w="1775"/>
        <w:gridCol w:w="2341"/>
        <w:gridCol w:w="1228"/>
        <w:gridCol w:w="1365"/>
        <w:gridCol w:w="1589"/>
        <w:gridCol w:w="1111"/>
      </w:tblGrid>
      <w:tr w:rsidR="00A27788" w:rsidRPr="00465AE3" w14:paraId="4AB61C69" w14:textId="77777777" w:rsidTr="00EA4D30">
        <w:tc>
          <w:tcPr>
            <w:tcW w:w="1532" w:type="dxa"/>
            <w:tcBorders>
              <w:top w:val="single" w:sz="4" w:space="0" w:color="auto"/>
              <w:left w:val="nil"/>
              <w:bottom w:val="single" w:sz="4" w:space="0" w:color="auto"/>
              <w:right w:val="nil"/>
            </w:tcBorders>
          </w:tcPr>
          <w:p w14:paraId="5B63A3AD" w14:textId="77777777" w:rsidR="00A27788" w:rsidRPr="00465AE3" w:rsidRDefault="00A27788" w:rsidP="00465AE3">
            <w:pPr>
              <w:tabs>
                <w:tab w:val="center" w:pos="4513"/>
                <w:tab w:val="right" w:pos="9026"/>
              </w:tabs>
              <w:spacing w:after="0"/>
              <w:rPr>
                <w:rStyle w:val="Emphasis"/>
                <w:rFonts w:ascii="Times New Roman" w:hAnsi="Times New Roman"/>
                <w:b w:val="0"/>
                <w:sz w:val="24"/>
                <w:szCs w:val="24"/>
              </w:rPr>
            </w:pPr>
            <w:r w:rsidRPr="00465AE3">
              <w:rPr>
                <w:rStyle w:val="Emphasis"/>
                <w:rFonts w:ascii="Times New Roman" w:hAnsi="Times New Roman"/>
                <w:b w:val="0"/>
                <w:sz w:val="24"/>
                <w:szCs w:val="24"/>
              </w:rPr>
              <w:t>School</w:t>
            </w:r>
          </w:p>
        </w:tc>
        <w:tc>
          <w:tcPr>
            <w:tcW w:w="2558" w:type="dxa"/>
            <w:tcBorders>
              <w:top w:val="single" w:sz="4" w:space="0" w:color="auto"/>
              <w:left w:val="nil"/>
              <w:bottom w:val="single" w:sz="4" w:space="0" w:color="auto"/>
              <w:right w:val="nil"/>
            </w:tcBorders>
            <w:hideMark/>
          </w:tcPr>
          <w:p w14:paraId="188B0495" w14:textId="77777777" w:rsidR="00A27788" w:rsidRPr="00465AE3" w:rsidRDefault="00A27788" w:rsidP="00465AE3">
            <w:pPr>
              <w:tabs>
                <w:tab w:val="center" w:pos="4513"/>
                <w:tab w:val="right" w:pos="9026"/>
              </w:tabs>
              <w:spacing w:after="0"/>
              <w:rPr>
                <w:rStyle w:val="Emphasis"/>
                <w:rFonts w:ascii="Times New Roman" w:hAnsi="Times New Roman"/>
                <w:b w:val="0"/>
                <w:sz w:val="24"/>
                <w:szCs w:val="24"/>
              </w:rPr>
            </w:pPr>
            <w:r w:rsidRPr="00465AE3">
              <w:rPr>
                <w:rStyle w:val="Emphasis"/>
                <w:rFonts w:ascii="Times New Roman" w:hAnsi="Times New Roman"/>
                <w:b w:val="0"/>
                <w:sz w:val="24"/>
                <w:szCs w:val="24"/>
              </w:rPr>
              <w:t>Department/ Other</w:t>
            </w:r>
          </w:p>
        </w:tc>
        <w:tc>
          <w:tcPr>
            <w:tcW w:w="1186" w:type="dxa"/>
            <w:tcBorders>
              <w:top w:val="single" w:sz="4" w:space="0" w:color="auto"/>
              <w:left w:val="nil"/>
              <w:bottom w:val="single" w:sz="4" w:space="0" w:color="auto"/>
              <w:right w:val="nil"/>
            </w:tcBorders>
            <w:hideMark/>
          </w:tcPr>
          <w:p w14:paraId="283B8EB7" w14:textId="77777777" w:rsidR="00A27788" w:rsidRPr="00465AE3" w:rsidRDefault="00A27788" w:rsidP="00465AE3">
            <w:pPr>
              <w:tabs>
                <w:tab w:val="center" w:pos="4513"/>
                <w:tab w:val="right" w:pos="9026"/>
              </w:tabs>
              <w:spacing w:after="0"/>
              <w:rPr>
                <w:rStyle w:val="Emphasis"/>
                <w:rFonts w:ascii="Times New Roman" w:hAnsi="Times New Roman"/>
                <w:b w:val="0"/>
                <w:sz w:val="24"/>
                <w:szCs w:val="24"/>
              </w:rPr>
            </w:pPr>
            <w:r w:rsidRPr="00465AE3">
              <w:rPr>
                <w:rStyle w:val="Emphasis"/>
                <w:rFonts w:ascii="Times New Roman" w:hAnsi="Times New Roman"/>
                <w:b w:val="0"/>
                <w:sz w:val="24"/>
                <w:szCs w:val="24"/>
              </w:rPr>
              <w:t>Authentic Signatures</w:t>
            </w:r>
          </w:p>
        </w:tc>
        <w:tc>
          <w:tcPr>
            <w:tcW w:w="1318" w:type="dxa"/>
            <w:tcBorders>
              <w:top w:val="single" w:sz="4" w:space="0" w:color="auto"/>
              <w:left w:val="nil"/>
              <w:bottom w:val="single" w:sz="4" w:space="0" w:color="auto"/>
              <w:right w:val="nil"/>
            </w:tcBorders>
            <w:hideMark/>
          </w:tcPr>
          <w:p w14:paraId="0FDEBA01" w14:textId="77777777" w:rsidR="00A27788" w:rsidRPr="00465AE3" w:rsidRDefault="00A27788" w:rsidP="00465AE3">
            <w:pPr>
              <w:tabs>
                <w:tab w:val="center" w:pos="4513"/>
                <w:tab w:val="right" w:pos="9026"/>
              </w:tabs>
              <w:spacing w:after="0"/>
              <w:rPr>
                <w:rStyle w:val="Emphasis"/>
                <w:rFonts w:ascii="Times New Roman" w:hAnsi="Times New Roman"/>
                <w:b w:val="0"/>
                <w:sz w:val="24"/>
                <w:szCs w:val="24"/>
              </w:rPr>
            </w:pPr>
            <w:r w:rsidRPr="00465AE3">
              <w:rPr>
                <w:rStyle w:val="Emphasis"/>
                <w:rFonts w:ascii="Times New Roman" w:hAnsi="Times New Roman"/>
                <w:b w:val="0"/>
                <w:sz w:val="24"/>
                <w:szCs w:val="24"/>
              </w:rPr>
              <w:t>Inconsistent Signatures</w:t>
            </w:r>
          </w:p>
        </w:tc>
        <w:tc>
          <w:tcPr>
            <w:tcW w:w="1551" w:type="dxa"/>
            <w:tcBorders>
              <w:top w:val="single" w:sz="4" w:space="0" w:color="auto"/>
              <w:left w:val="nil"/>
              <w:bottom w:val="single" w:sz="4" w:space="0" w:color="auto"/>
              <w:right w:val="nil"/>
            </w:tcBorders>
            <w:hideMark/>
          </w:tcPr>
          <w:p w14:paraId="6E9282B1" w14:textId="77777777" w:rsidR="00A27788" w:rsidRPr="00465AE3" w:rsidRDefault="00A27788" w:rsidP="00465AE3">
            <w:pPr>
              <w:tabs>
                <w:tab w:val="center" w:pos="4513"/>
                <w:tab w:val="right" w:pos="9026"/>
              </w:tabs>
              <w:spacing w:after="0"/>
              <w:rPr>
                <w:rStyle w:val="Emphasis"/>
                <w:rFonts w:ascii="Times New Roman" w:hAnsi="Times New Roman"/>
                <w:b w:val="0"/>
                <w:sz w:val="24"/>
                <w:szCs w:val="24"/>
              </w:rPr>
            </w:pPr>
            <w:r w:rsidRPr="00465AE3">
              <w:rPr>
                <w:rStyle w:val="Emphasis"/>
                <w:rFonts w:ascii="Times New Roman" w:hAnsi="Times New Roman"/>
                <w:b w:val="0"/>
                <w:sz w:val="24"/>
                <w:szCs w:val="24"/>
              </w:rPr>
              <w:t xml:space="preserve">Impersonation </w:t>
            </w:r>
          </w:p>
        </w:tc>
        <w:tc>
          <w:tcPr>
            <w:tcW w:w="1143" w:type="dxa"/>
            <w:tcBorders>
              <w:top w:val="single" w:sz="4" w:space="0" w:color="auto"/>
              <w:left w:val="nil"/>
              <w:bottom w:val="single" w:sz="4" w:space="0" w:color="auto"/>
              <w:right w:val="nil"/>
            </w:tcBorders>
            <w:hideMark/>
          </w:tcPr>
          <w:p w14:paraId="05ACA156" w14:textId="77777777" w:rsidR="00A27788" w:rsidRPr="00465AE3" w:rsidRDefault="00A27788" w:rsidP="00465AE3">
            <w:pPr>
              <w:tabs>
                <w:tab w:val="center" w:pos="4513"/>
                <w:tab w:val="right" w:pos="9026"/>
              </w:tabs>
              <w:spacing w:after="0"/>
              <w:rPr>
                <w:rStyle w:val="Emphasis"/>
                <w:rFonts w:ascii="Times New Roman" w:hAnsi="Times New Roman"/>
                <w:b w:val="0"/>
                <w:sz w:val="24"/>
                <w:szCs w:val="24"/>
              </w:rPr>
            </w:pPr>
            <w:r w:rsidRPr="00465AE3">
              <w:rPr>
                <w:rStyle w:val="Emphasis"/>
                <w:rFonts w:ascii="Times New Roman" w:hAnsi="Times New Roman"/>
                <w:b w:val="0"/>
                <w:sz w:val="24"/>
                <w:szCs w:val="24"/>
              </w:rPr>
              <w:t>Others – no signature on Form to Verify</w:t>
            </w:r>
          </w:p>
        </w:tc>
      </w:tr>
      <w:tr w:rsidR="00A27788" w:rsidRPr="00465AE3" w14:paraId="0FB3E196" w14:textId="77777777" w:rsidTr="00EA4D30">
        <w:tc>
          <w:tcPr>
            <w:tcW w:w="1532" w:type="dxa"/>
            <w:tcBorders>
              <w:top w:val="single" w:sz="4" w:space="0" w:color="auto"/>
              <w:left w:val="nil"/>
              <w:bottom w:val="single" w:sz="4" w:space="0" w:color="auto"/>
              <w:right w:val="nil"/>
            </w:tcBorders>
          </w:tcPr>
          <w:p w14:paraId="476CBC83" w14:textId="77777777" w:rsidR="00A27788" w:rsidRPr="00465AE3" w:rsidRDefault="00A27788" w:rsidP="00465AE3">
            <w:pPr>
              <w:tabs>
                <w:tab w:val="center" w:pos="4513"/>
                <w:tab w:val="right" w:pos="9026"/>
              </w:tabs>
              <w:spacing w:after="0"/>
              <w:rPr>
                <w:rStyle w:val="Emphasis"/>
                <w:rFonts w:ascii="Times New Roman" w:hAnsi="Times New Roman"/>
                <w:b w:val="0"/>
                <w:i w:val="0"/>
                <w:sz w:val="24"/>
                <w:szCs w:val="24"/>
              </w:rPr>
            </w:pPr>
            <w:r w:rsidRPr="00465AE3">
              <w:rPr>
                <w:rStyle w:val="Emphasis"/>
                <w:rFonts w:ascii="Times New Roman" w:hAnsi="Times New Roman"/>
                <w:b w:val="0"/>
                <w:i w:val="0"/>
                <w:sz w:val="24"/>
                <w:szCs w:val="24"/>
              </w:rPr>
              <w:t>APPLIED ARTS</w:t>
            </w:r>
          </w:p>
          <w:p w14:paraId="3188DBA9"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6A5FB5B6"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74CB06B8"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2BCDA77F"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0B9F8749"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0215AE53" w14:textId="77777777" w:rsidR="00A27788" w:rsidRPr="00465AE3" w:rsidRDefault="00A27788" w:rsidP="00465AE3">
            <w:pPr>
              <w:tabs>
                <w:tab w:val="center" w:pos="4513"/>
                <w:tab w:val="right" w:pos="9026"/>
              </w:tabs>
              <w:spacing w:after="0"/>
              <w:rPr>
                <w:rStyle w:val="Emphasis"/>
                <w:rFonts w:ascii="Times New Roman" w:hAnsi="Times New Roman"/>
                <w:b w:val="0"/>
                <w:i w:val="0"/>
                <w:sz w:val="24"/>
                <w:szCs w:val="24"/>
              </w:rPr>
            </w:pPr>
            <w:r w:rsidRPr="00465AE3">
              <w:rPr>
                <w:rStyle w:val="Emphasis"/>
                <w:rFonts w:ascii="Times New Roman" w:hAnsi="Times New Roman"/>
                <w:b w:val="0"/>
                <w:i w:val="0"/>
                <w:sz w:val="24"/>
                <w:szCs w:val="24"/>
              </w:rPr>
              <w:t>APPLIED SCIENCE</w:t>
            </w:r>
          </w:p>
          <w:p w14:paraId="14CD5F7A"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25D47D14" w14:textId="77777777" w:rsidR="00A27788" w:rsidRPr="00465AE3" w:rsidRDefault="00A27788" w:rsidP="00465AE3">
            <w:pPr>
              <w:tabs>
                <w:tab w:val="center" w:pos="4513"/>
                <w:tab w:val="right" w:pos="9026"/>
              </w:tabs>
              <w:spacing w:after="0"/>
              <w:rPr>
                <w:rStyle w:val="Emphasis"/>
                <w:rFonts w:ascii="Times New Roman" w:hAnsi="Times New Roman"/>
                <w:b w:val="0"/>
                <w:i w:val="0"/>
                <w:sz w:val="24"/>
                <w:szCs w:val="24"/>
              </w:rPr>
            </w:pPr>
            <w:r w:rsidRPr="00465AE3">
              <w:rPr>
                <w:rStyle w:val="Emphasis"/>
                <w:rFonts w:ascii="Times New Roman" w:hAnsi="Times New Roman"/>
                <w:b w:val="0"/>
                <w:i w:val="0"/>
                <w:sz w:val="24"/>
                <w:szCs w:val="24"/>
              </w:rPr>
              <w:t>ENGINEERING</w:t>
            </w:r>
          </w:p>
          <w:p w14:paraId="63CF23C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1C9BABDC"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1B1CDD5B"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3D64BC0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5C8D6B4C" w14:textId="77777777" w:rsidR="00A27788" w:rsidRPr="00465AE3" w:rsidRDefault="00A27788" w:rsidP="00465AE3">
            <w:pPr>
              <w:tabs>
                <w:tab w:val="center" w:pos="4513"/>
                <w:tab w:val="right" w:pos="9026"/>
              </w:tabs>
              <w:spacing w:after="0"/>
              <w:rPr>
                <w:rStyle w:val="Emphasis"/>
                <w:rFonts w:ascii="Times New Roman" w:hAnsi="Times New Roman"/>
                <w:b w:val="0"/>
                <w:i w:val="0"/>
                <w:sz w:val="24"/>
                <w:szCs w:val="24"/>
              </w:rPr>
            </w:pPr>
            <w:r w:rsidRPr="00465AE3">
              <w:rPr>
                <w:rStyle w:val="Emphasis"/>
                <w:rFonts w:ascii="Times New Roman" w:hAnsi="Times New Roman"/>
                <w:b w:val="0"/>
                <w:i w:val="0"/>
                <w:sz w:val="24"/>
                <w:szCs w:val="24"/>
              </w:rPr>
              <w:t>BUSINESS</w:t>
            </w:r>
          </w:p>
        </w:tc>
        <w:tc>
          <w:tcPr>
            <w:tcW w:w="2558" w:type="dxa"/>
            <w:tcBorders>
              <w:top w:val="single" w:sz="4" w:space="0" w:color="auto"/>
              <w:left w:val="nil"/>
              <w:bottom w:val="single" w:sz="4" w:space="0" w:color="auto"/>
              <w:right w:val="nil"/>
            </w:tcBorders>
            <w:hideMark/>
          </w:tcPr>
          <w:p w14:paraId="385A22E5"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Graphic Design</w:t>
            </w:r>
          </w:p>
          <w:p w14:paraId="74F96E53"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Textiles</w:t>
            </w:r>
          </w:p>
          <w:p w14:paraId="200A5CC4"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Painting</w:t>
            </w:r>
          </w:p>
          <w:p w14:paraId="4895935C"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Sculpture</w:t>
            </w:r>
          </w:p>
          <w:p w14:paraId="2D430731"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Ceramics</w:t>
            </w:r>
          </w:p>
          <w:p w14:paraId="7F77A34F"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Fashion</w:t>
            </w:r>
          </w:p>
          <w:p w14:paraId="2BC11CF7"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Statistics</w:t>
            </w:r>
          </w:p>
          <w:p w14:paraId="2A80EE99"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HCIM</w:t>
            </w:r>
          </w:p>
          <w:p w14:paraId="2F4E2645"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Building Tech.</w:t>
            </w:r>
          </w:p>
          <w:p w14:paraId="641EF1DE"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Mechanical</w:t>
            </w:r>
          </w:p>
          <w:p w14:paraId="1231B275"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Electrical/Electronics Eng.</w:t>
            </w:r>
          </w:p>
          <w:p w14:paraId="1798000F"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Civil Engineering</w:t>
            </w:r>
          </w:p>
          <w:p w14:paraId="3D46F2DA"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Furniture Design</w:t>
            </w:r>
          </w:p>
          <w:p w14:paraId="65DF5FE6"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Accountancy</w:t>
            </w:r>
          </w:p>
          <w:p w14:paraId="456ED811"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Purchasing &amp; Supply</w:t>
            </w:r>
          </w:p>
          <w:p w14:paraId="4863D207"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Secretaryship&amp; Mgt. Stds.</w:t>
            </w:r>
          </w:p>
          <w:p w14:paraId="387D25D1"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Marketing</w:t>
            </w:r>
          </w:p>
          <w:p w14:paraId="3420A38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Department not stated</w:t>
            </w:r>
          </w:p>
          <w:p w14:paraId="632D913C"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Staff (Dean)</w:t>
            </w:r>
          </w:p>
          <w:p w14:paraId="662990EC" w14:textId="77777777" w:rsidR="00A27788" w:rsidRPr="00465AE3" w:rsidRDefault="00A27788" w:rsidP="00465AE3">
            <w:pPr>
              <w:tabs>
                <w:tab w:val="center" w:pos="4513"/>
                <w:tab w:val="right" w:pos="9026"/>
              </w:tabs>
              <w:spacing w:after="0"/>
              <w:rPr>
                <w:rStyle w:val="Emphasis"/>
                <w:rFonts w:ascii="Times New Roman" w:hAnsi="Times New Roman"/>
                <w:b w:val="0"/>
                <w:i w:val="0"/>
                <w:sz w:val="24"/>
                <w:szCs w:val="24"/>
              </w:rPr>
            </w:pPr>
          </w:p>
          <w:p w14:paraId="63A99DAD" w14:textId="77777777" w:rsidR="00A27788" w:rsidRPr="00465AE3" w:rsidRDefault="00A27788" w:rsidP="00465AE3">
            <w:pPr>
              <w:tabs>
                <w:tab w:val="center" w:pos="4513"/>
                <w:tab w:val="right" w:pos="9026"/>
              </w:tabs>
              <w:spacing w:after="0"/>
              <w:rPr>
                <w:rStyle w:val="Emphasis"/>
                <w:rFonts w:ascii="Times New Roman" w:hAnsi="Times New Roman"/>
                <w:b w:val="0"/>
                <w:i w:val="0"/>
                <w:sz w:val="24"/>
                <w:szCs w:val="24"/>
              </w:rPr>
            </w:pPr>
            <w:r w:rsidRPr="00465AE3">
              <w:rPr>
                <w:rStyle w:val="Emphasis"/>
                <w:rFonts w:ascii="Times New Roman" w:hAnsi="Times New Roman"/>
                <w:b w:val="0"/>
                <w:i w:val="0"/>
                <w:sz w:val="24"/>
                <w:szCs w:val="24"/>
              </w:rPr>
              <w:t>TOTALS</w:t>
            </w:r>
          </w:p>
        </w:tc>
        <w:tc>
          <w:tcPr>
            <w:tcW w:w="1186" w:type="dxa"/>
            <w:tcBorders>
              <w:top w:val="single" w:sz="4" w:space="0" w:color="auto"/>
              <w:left w:val="nil"/>
              <w:bottom w:val="single" w:sz="4" w:space="0" w:color="auto"/>
              <w:right w:val="nil"/>
            </w:tcBorders>
            <w:hideMark/>
          </w:tcPr>
          <w:p w14:paraId="7D12DDEB"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57D88C09"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2981254A"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5A805090"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079F8580"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0DD1232B"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2B3EEDC8"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w:t>
            </w:r>
          </w:p>
          <w:p w14:paraId="2834DE3C"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w:t>
            </w:r>
          </w:p>
          <w:p w14:paraId="0F3E6FB4"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3</w:t>
            </w:r>
          </w:p>
          <w:p w14:paraId="694FFFF0"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3</w:t>
            </w:r>
          </w:p>
          <w:p w14:paraId="3D1A9931"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13</w:t>
            </w:r>
          </w:p>
          <w:p w14:paraId="4073C21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3</w:t>
            </w:r>
          </w:p>
          <w:p w14:paraId="33E8FB24"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0BF75C50"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14</w:t>
            </w:r>
          </w:p>
          <w:p w14:paraId="2B9D2070"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8</w:t>
            </w:r>
          </w:p>
          <w:p w14:paraId="45F22514"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75855989"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11</w:t>
            </w:r>
          </w:p>
          <w:p w14:paraId="17C8E4D8"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10FFE08E"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43564FE6"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6143F9C1" w14:textId="77777777" w:rsidR="00A27788" w:rsidRPr="00465AE3" w:rsidRDefault="00A27788" w:rsidP="00465AE3">
            <w:pPr>
              <w:tabs>
                <w:tab w:val="center" w:pos="4513"/>
                <w:tab w:val="right" w:pos="9026"/>
              </w:tabs>
              <w:spacing w:after="0"/>
              <w:rPr>
                <w:rStyle w:val="Emphasis"/>
                <w:rFonts w:ascii="Times New Roman" w:hAnsi="Times New Roman"/>
                <w:b w:val="0"/>
                <w:i w:val="0"/>
                <w:sz w:val="24"/>
                <w:szCs w:val="24"/>
              </w:rPr>
            </w:pPr>
            <w:r w:rsidRPr="00465AE3">
              <w:rPr>
                <w:rStyle w:val="Emphasis"/>
                <w:rFonts w:ascii="Times New Roman" w:hAnsi="Times New Roman"/>
                <w:b w:val="0"/>
                <w:i w:val="0"/>
                <w:sz w:val="24"/>
                <w:szCs w:val="24"/>
              </w:rPr>
              <w:t>63</w:t>
            </w:r>
          </w:p>
        </w:tc>
        <w:tc>
          <w:tcPr>
            <w:tcW w:w="1318" w:type="dxa"/>
            <w:tcBorders>
              <w:top w:val="single" w:sz="4" w:space="0" w:color="auto"/>
              <w:left w:val="nil"/>
              <w:bottom w:val="single" w:sz="4" w:space="0" w:color="auto"/>
              <w:right w:val="nil"/>
            </w:tcBorders>
            <w:hideMark/>
          </w:tcPr>
          <w:p w14:paraId="07D13ABB"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00C6D4B4"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w:t>
            </w:r>
          </w:p>
          <w:p w14:paraId="66DABCC7"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708911C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w:t>
            </w:r>
          </w:p>
          <w:p w14:paraId="557B214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6FB7BC76"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76C5F2C0"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22FEA191"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w:t>
            </w:r>
          </w:p>
          <w:p w14:paraId="1D890E38"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4</w:t>
            </w:r>
          </w:p>
          <w:p w14:paraId="2DF34C51"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3</w:t>
            </w:r>
          </w:p>
          <w:p w14:paraId="69C38E53"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8</w:t>
            </w:r>
          </w:p>
          <w:p w14:paraId="0E37EA43"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1222B33B"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58429C53"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5</w:t>
            </w:r>
          </w:p>
          <w:p w14:paraId="0E73F758"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5</w:t>
            </w:r>
          </w:p>
          <w:p w14:paraId="11E4A09F"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0AF2A957"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9</w:t>
            </w:r>
          </w:p>
          <w:p w14:paraId="1A571D37"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w:t>
            </w:r>
          </w:p>
          <w:p w14:paraId="1B0879B6"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w:t>
            </w:r>
          </w:p>
          <w:p w14:paraId="2F31ED78"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296FF0D5" w14:textId="77777777" w:rsidR="00A27788" w:rsidRPr="00465AE3" w:rsidRDefault="00A27788" w:rsidP="00465AE3">
            <w:pPr>
              <w:tabs>
                <w:tab w:val="center" w:pos="4513"/>
                <w:tab w:val="right" w:pos="9026"/>
              </w:tabs>
              <w:spacing w:after="0"/>
              <w:rPr>
                <w:rStyle w:val="Emphasis"/>
                <w:rFonts w:ascii="Times New Roman" w:hAnsi="Times New Roman"/>
                <w:b w:val="0"/>
                <w:i w:val="0"/>
                <w:sz w:val="24"/>
                <w:szCs w:val="24"/>
              </w:rPr>
            </w:pPr>
            <w:r w:rsidRPr="00465AE3">
              <w:rPr>
                <w:rStyle w:val="Emphasis"/>
                <w:rFonts w:ascii="Times New Roman" w:hAnsi="Times New Roman"/>
                <w:b w:val="0"/>
                <w:i w:val="0"/>
                <w:sz w:val="24"/>
                <w:szCs w:val="24"/>
              </w:rPr>
              <w:t>44</w:t>
            </w:r>
          </w:p>
        </w:tc>
        <w:tc>
          <w:tcPr>
            <w:tcW w:w="1551" w:type="dxa"/>
            <w:tcBorders>
              <w:top w:val="single" w:sz="4" w:space="0" w:color="auto"/>
              <w:left w:val="nil"/>
              <w:bottom w:val="single" w:sz="4" w:space="0" w:color="auto"/>
              <w:right w:val="nil"/>
            </w:tcBorders>
            <w:hideMark/>
          </w:tcPr>
          <w:p w14:paraId="4676E5DC"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3</w:t>
            </w:r>
          </w:p>
          <w:p w14:paraId="5A5CF187"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3</w:t>
            </w:r>
          </w:p>
          <w:p w14:paraId="3AAAA24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3F1F8C21"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w:t>
            </w:r>
          </w:p>
          <w:p w14:paraId="384F92C6"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5FBE8607"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w:t>
            </w:r>
          </w:p>
          <w:p w14:paraId="2B289B0D"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w:t>
            </w:r>
          </w:p>
          <w:p w14:paraId="4FD119C3"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23D63817"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6</w:t>
            </w:r>
          </w:p>
          <w:p w14:paraId="6C32938F"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6B53C08B"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21</w:t>
            </w:r>
          </w:p>
          <w:p w14:paraId="070E8E69"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4</w:t>
            </w:r>
          </w:p>
          <w:p w14:paraId="5479F3A3"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65849578"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12</w:t>
            </w:r>
          </w:p>
          <w:p w14:paraId="2A6713F5"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8</w:t>
            </w:r>
          </w:p>
          <w:p w14:paraId="4F755F0B"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64CBF5F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14</w:t>
            </w:r>
          </w:p>
          <w:p w14:paraId="7FA733A8"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w:t>
            </w:r>
          </w:p>
          <w:p w14:paraId="4C759FB4"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w:t>
            </w:r>
          </w:p>
          <w:p w14:paraId="577C96FA"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p>
          <w:p w14:paraId="61B8E5CF" w14:textId="77777777" w:rsidR="00A27788" w:rsidRPr="00465AE3" w:rsidRDefault="00A27788" w:rsidP="00465AE3">
            <w:pPr>
              <w:tabs>
                <w:tab w:val="center" w:pos="4513"/>
                <w:tab w:val="right" w:pos="9026"/>
              </w:tabs>
              <w:spacing w:after="0"/>
              <w:rPr>
                <w:rStyle w:val="Emphasis"/>
                <w:rFonts w:ascii="Times New Roman" w:hAnsi="Times New Roman"/>
                <w:b w:val="0"/>
                <w:i w:val="0"/>
                <w:sz w:val="24"/>
                <w:szCs w:val="24"/>
              </w:rPr>
            </w:pPr>
            <w:r w:rsidRPr="00465AE3">
              <w:rPr>
                <w:rStyle w:val="Emphasis"/>
                <w:rFonts w:ascii="Times New Roman" w:hAnsi="Times New Roman"/>
                <w:b w:val="0"/>
                <w:i w:val="0"/>
                <w:sz w:val="24"/>
                <w:szCs w:val="24"/>
              </w:rPr>
              <w:t>78</w:t>
            </w:r>
          </w:p>
        </w:tc>
        <w:tc>
          <w:tcPr>
            <w:tcW w:w="1143" w:type="dxa"/>
            <w:tcBorders>
              <w:top w:val="single" w:sz="4" w:space="0" w:color="auto"/>
              <w:left w:val="nil"/>
              <w:bottom w:val="single" w:sz="4" w:space="0" w:color="auto"/>
              <w:right w:val="nil"/>
            </w:tcBorders>
            <w:hideMark/>
          </w:tcPr>
          <w:p w14:paraId="0D55331C"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189664C8"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5CA51B8E"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451EFAB1"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5084258D"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78A17679"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654B018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0985B451"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696343F7"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3</w:t>
            </w:r>
          </w:p>
          <w:p w14:paraId="203351F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6BDB6403"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2</w:t>
            </w:r>
          </w:p>
          <w:p w14:paraId="5A98C2A5"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31702203"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35D5A069"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5F77B56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1</w:t>
            </w:r>
          </w:p>
          <w:p w14:paraId="0E765742"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6CFE2C9B"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0</w:t>
            </w:r>
          </w:p>
          <w:p w14:paraId="6E0227E6" w14:textId="77777777" w:rsidR="00A27788" w:rsidRPr="00465AE3" w:rsidRDefault="00A27788" w:rsidP="00465AE3">
            <w:pPr>
              <w:tabs>
                <w:tab w:val="center" w:pos="4513"/>
                <w:tab w:val="right" w:pos="9026"/>
              </w:tabs>
              <w:spacing w:after="0"/>
              <w:rPr>
                <w:rStyle w:val="Emphasis"/>
                <w:rFonts w:ascii="Times New Roman" w:hAnsi="Times New Roman"/>
                <w:sz w:val="24"/>
                <w:szCs w:val="24"/>
              </w:rPr>
            </w:pPr>
            <w:r w:rsidRPr="00465AE3">
              <w:rPr>
                <w:rStyle w:val="Emphasis"/>
                <w:rFonts w:ascii="Times New Roman" w:hAnsi="Times New Roman"/>
                <w:sz w:val="24"/>
                <w:szCs w:val="24"/>
              </w:rPr>
              <w:t>-</w:t>
            </w:r>
          </w:p>
          <w:p w14:paraId="63C18A7A" w14:textId="77777777" w:rsidR="00A27788" w:rsidRPr="00465AE3" w:rsidRDefault="00A27788" w:rsidP="00465AE3">
            <w:pPr>
              <w:spacing w:after="0"/>
              <w:rPr>
                <w:rFonts w:ascii="Times New Roman" w:hAnsi="Times New Roman"/>
                <w:sz w:val="24"/>
                <w:szCs w:val="24"/>
              </w:rPr>
            </w:pPr>
            <w:r w:rsidRPr="00465AE3">
              <w:rPr>
                <w:rFonts w:ascii="Times New Roman" w:hAnsi="Times New Roman"/>
                <w:sz w:val="24"/>
                <w:szCs w:val="24"/>
              </w:rPr>
              <w:t>-</w:t>
            </w:r>
          </w:p>
          <w:p w14:paraId="12EA6821" w14:textId="77777777" w:rsidR="00A27788" w:rsidRPr="00465AE3" w:rsidRDefault="00A27788" w:rsidP="00465AE3">
            <w:pPr>
              <w:spacing w:after="0"/>
              <w:rPr>
                <w:rFonts w:ascii="Times New Roman" w:hAnsi="Times New Roman"/>
                <w:sz w:val="24"/>
                <w:szCs w:val="24"/>
              </w:rPr>
            </w:pPr>
          </w:p>
          <w:p w14:paraId="45A96C7D" w14:textId="77777777" w:rsidR="00A27788" w:rsidRPr="00465AE3" w:rsidRDefault="00A27788" w:rsidP="00465AE3">
            <w:pPr>
              <w:spacing w:after="0"/>
              <w:rPr>
                <w:rFonts w:ascii="Times New Roman" w:hAnsi="Times New Roman"/>
                <w:b/>
                <w:sz w:val="24"/>
                <w:szCs w:val="24"/>
              </w:rPr>
            </w:pPr>
            <w:r w:rsidRPr="00465AE3">
              <w:rPr>
                <w:rFonts w:ascii="Times New Roman" w:hAnsi="Times New Roman"/>
                <w:b/>
                <w:sz w:val="24"/>
                <w:szCs w:val="24"/>
              </w:rPr>
              <w:t>9</w:t>
            </w:r>
          </w:p>
        </w:tc>
      </w:tr>
    </w:tbl>
    <w:p w14:paraId="02E1F9BC" w14:textId="77777777" w:rsidR="00A27788" w:rsidRPr="00E3232D" w:rsidRDefault="00A27788" w:rsidP="00465AE3">
      <w:pPr>
        <w:spacing w:after="0"/>
        <w:rPr>
          <w:rFonts w:ascii="Book Antiqua" w:hAnsi="Book Antiqua"/>
          <w:color w:val="FF0000"/>
        </w:rPr>
        <w:sectPr w:rsidR="00A27788" w:rsidRPr="00E3232D" w:rsidSect="008F6BC9">
          <w:type w:val="continuous"/>
          <w:pgSz w:w="11907" w:h="16839" w:code="9"/>
          <w:pgMar w:top="1440" w:right="1274" w:bottom="1440" w:left="1440" w:header="708" w:footer="708" w:gutter="0"/>
          <w:cols w:space="720"/>
          <w:docGrid w:linePitch="360"/>
        </w:sectPr>
      </w:pPr>
    </w:p>
    <w:p w14:paraId="3236444A" w14:textId="77777777" w:rsidR="001A06E6" w:rsidRDefault="001A06E6" w:rsidP="008275E1">
      <w:pPr>
        <w:rPr>
          <w:rFonts w:ascii="Book Antiqua" w:hAnsi="Book Antiqua"/>
          <w:b/>
          <w:bCs/>
        </w:rPr>
      </w:pPr>
    </w:p>
    <w:p w14:paraId="66E69E0E" w14:textId="77777777" w:rsidR="00A27788" w:rsidRPr="00E3232D" w:rsidRDefault="00A27788" w:rsidP="00465AE3">
      <w:pPr>
        <w:jc w:val="both"/>
        <w:rPr>
          <w:rFonts w:ascii="Book Antiqua" w:hAnsi="Book Antiqua"/>
          <w:b/>
          <w:bCs/>
        </w:rPr>
      </w:pPr>
      <w:r w:rsidRPr="00E3232D">
        <w:rPr>
          <w:rFonts w:ascii="Book Antiqua" w:hAnsi="Book Antiqua"/>
          <w:b/>
          <w:bCs/>
        </w:rPr>
        <w:t>4.</w:t>
      </w:r>
      <w:r w:rsidR="00806674">
        <w:rPr>
          <w:rFonts w:ascii="Book Antiqua" w:hAnsi="Book Antiqua"/>
          <w:b/>
          <w:bCs/>
        </w:rPr>
        <w:t>0</w:t>
      </w:r>
      <w:r w:rsidRPr="00E3232D">
        <w:rPr>
          <w:rFonts w:ascii="Book Antiqua" w:hAnsi="Book Antiqua"/>
          <w:b/>
          <w:bCs/>
        </w:rPr>
        <w:tab/>
      </w:r>
      <w:r w:rsidRPr="00465AE3">
        <w:rPr>
          <w:rFonts w:ascii="Book Antiqua" w:hAnsi="Book Antiqua"/>
          <w:b/>
          <w:bCs/>
          <w:sz w:val="26"/>
        </w:rPr>
        <w:t>Discussion</w:t>
      </w:r>
    </w:p>
    <w:p w14:paraId="384A6165" w14:textId="77777777" w:rsidR="00465AE3" w:rsidRDefault="00A27788" w:rsidP="00465AE3">
      <w:pPr>
        <w:jc w:val="both"/>
        <w:rPr>
          <w:rFonts w:ascii="Book Antiqua" w:hAnsi="Book Antiqua"/>
        </w:rPr>
      </w:pPr>
      <w:r w:rsidRPr="00E3232D">
        <w:rPr>
          <w:rFonts w:ascii="Book Antiqua" w:hAnsi="Book Antiqua"/>
        </w:rPr>
        <w:t xml:space="preserve">The study revealed that a cross section of employees do not appreciate the legality of human signature. Applicants who </w:t>
      </w:r>
    </w:p>
    <w:p w14:paraId="18871F29" w14:textId="77777777" w:rsidR="00465AE3" w:rsidRDefault="00465AE3" w:rsidP="00465AE3">
      <w:pPr>
        <w:jc w:val="both"/>
        <w:rPr>
          <w:rFonts w:ascii="Book Antiqua" w:hAnsi="Book Antiqua"/>
        </w:rPr>
      </w:pPr>
    </w:p>
    <w:p w14:paraId="12C3159B" w14:textId="77777777" w:rsidR="00465AE3" w:rsidRDefault="00465AE3" w:rsidP="00465AE3">
      <w:pPr>
        <w:jc w:val="both"/>
        <w:rPr>
          <w:rFonts w:ascii="Book Antiqua" w:hAnsi="Book Antiqua"/>
        </w:rPr>
      </w:pPr>
    </w:p>
    <w:p w14:paraId="61208724" w14:textId="77777777" w:rsidR="007B3BF2" w:rsidRPr="00E3232D" w:rsidRDefault="00A27788" w:rsidP="00465AE3">
      <w:pPr>
        <w:jc w:val="both"/>
        <w:rPr>
          <w:rFonts w:ascii="Book Antiqua" w:hAnsi="Book Antiqua"/>
        </w:rPr>
      </w:pPr>
      <w:r w:rsidRPr="00E3232D">
        <w:rPr>
          <w:rFonts w:ascii="Book Antiqua" w:hAnsi="Book Antiqua"/>
        </w:rPr>
        <w:t xml:space="preserve">exhibited inconsistency in signing their names </w:t>
      </w:r>
      <w:r w:rsidR="007B3BF2" w:rsidRPr="00E3232D">
        <w:rPr>
          <w:rFonts w:ascii="Book Antiqua" w:hAnsi="Book Antiqua"/>
        </w:rPr>
        <w:t xml:space="preserve">offered various reasons: Some had deliberately changed their signature upon completion of the course; they adopted a new signature to begin the professional phase of their lives. Others had changed signatures because they had problems maintaining features of the previous one; they changed to one they could sign consistently. A number of applicants admitted to being handicapped because they genuinely could not maintain features; their signatures appeared different anytime they signed. Their handicap became manifest when they were invited to the office to authenticate their application. The latter category admitted their frustration because they are consistently questioned over their signatures. The concern was that some hold positions which require them to endorse departmental documents; sometimes, inconsistency in signatures cause unnecessary delays in business transactions.  The study recorded several instances of forged signatures, giving evidence of impersonation (see Tables 3). </w:t>
      </w:r>
    </w:p>
    <w:p w14:paraId="37ED53E2" w14:textId="77777777" w:rsidR="00380077" w:rsidRDefault="00380077" w:rsidP="00465AE3">
      <w:pPr>
        <w:ind w:right="-45"/>
        <w:jc w:val="both"/>
        <w:rPr>
          <w:rFonts w:ascii="Book Antiqua" w:hAnsi="Book Antiqua"/>
        </w:rPr>
      </w:pPr>
    </w:p>
    <w:p w14:paraId="26B7DCD8" w14:textId="77777777" w:rsidR="00380077" w:rsidRDefault="007B3BF2" w:rsidP="00465AE3">
      <w:pPr>
        <w:ind w:right="-45"/>
        <w:jc w:val="both"/>
        <w:rPr>
          <w:rFonts w:ascii="Book Antiqua" w:hAnsi="Book Antiqua"/>
        </w:rPr>
      </w:pPr>
      <w:r w:rsidRPr="00E3232D">
        <w:rPr>
          <w:rFonts w:ascii="Book Antiqua" w:hAnsi="Book Antiqua"/>
        </w:rPr>
        <w:t xml:space="preserve">The categories of people who engaged in impersonation, bordering on unprofessional behaviour, were rather revealing. They ranged from principal administrators, lecturers, administrative assistants, alumni to students, outsiders as well. Such deliberate disregard for rules raised serious concerns because educated people, conversant with office protocol compromised such protocol for convenience (Dad Impersonating, 2010: Information Security Roles, 2009). What was worse, they showed no remorse for such blatant fraudulent acts, even taking offense when reminded to follow procedure. It is imperative that personnel handling institutional data “adhere to the appropriate [r]oles and [r]esponsibilities ... defined ... and approved” (Information Security and Roles, 2009). The offending </w:t>
      </w:r>
    </w:p>
    <w:p w14:paraId="76A018D7" w14:textId="77777777" w:rsidR="007B3BF2" w:rsidRPr="00E3232D" w:rsidRDefault="007B3BF2" w:rsidP="00465AE3">
      <w:pPr>
        <w:ind w:right="-45"/>
        <w:jc w:val="both"/>
        <w:rPr>
          <w:rFonts w:ascii="Book Antiqua" w:hAnsi="Book Antiqua"/>
          <w:b/>
          <w:bCs/>
        </w:rPr>
      </w:pPr>
      <w:r w:rsidRPr="00E3232D">
        <w:rPr>
          <w:rFonts w:ascii="Book Antiqua" w:hAnsi="Book Antiqua"/>
        </w:rPr>
        <w:t>parties had assumed that being employees of the Institution gave them the right to request wards’ or friends’ academic record. The most disturbing element was forging signatures for friends and wards.</w:t>
      </w:r>
    </w:p>
    <w:p w14:paraId="76E5F028" w14:textId="77777777" w:rsidR="007B3BF2" w:rsidRPr="00E3232D" w:rsidRDefault="007B3BF2" w:rsidP="00465AE3">
      <w:pPr>
        <w:ind w:right="-45"/>
        <w:jc w:val="both"/>
        <w:rPr>
          <w:rFonts w:ascii="Book Antiqua" w:hAnsi="Book Antiqua"/>
        </w:rPr>
      </w:pPr>
      <w:r w:rsidRPr="00E3232D">
        <w:rPr>
          <w:rFonts w:ascii="Book Antiqua" w:hAnsi="Book Antiqua"/>
        </w:rPr>
        <w:t>Even worse was the fact the forged signatures had been undetected at the processing points. Transcripts and Letters of Attestation had been prepared by administrators and endorsed by heads of departments without the inconsistency being detected, and all that was needed was a comparison between application and filed information. That forged signatures could go undetected implied poor security at the application processing stages. That situation is unacceptable. One reason for producing the complete academic file ensured that endorsing officials could verify the authenticity of applications, considering that the entire process was a manual one. Evidently, verification of application was not a priority for the endorsing officials, again, unacceptable. Such lapses in security could have grave results. During the investigation, it was detected that other tertiary institutions also processed application for transcripts without following security procedure because the applicants were friends.</w:t>
      </w:r>
    </w:p>
    <w:p w14:paraId="6E3B18B4" w14:textId="77777777" w:rsidR="007B3BF2" w:rsidRPr="007B3BF2" w:rsidRDefault="001A06E6" w:rsidP="007B3BF2">
      <w:pPr>
        <w:ind w:right="-45"/>
        <w:rPr>
          <w:rFonts w:ascii="Book Antiqua" w:hAnsi="Book Antiqua"/>
          <w:b/>
          <w:bCs/>
        </w:rPr>
      </w:pPr>
      <w:r>
        <w:rPr>
          <w:rFonts w:ascii="Book Antiqua" w:hAnsi="Book Antiqua"/>
          <w:b/>
          <w:bCs/>
        </w:rPr>
        <w:t xml:space="preserve"> </w:t>
      </w:r>
    </w:p>
    <w:p w14:paraId="6C2F9A10" w14:textId="77777777" w:rsidR="001A06E6" w:rsidRDefault="001A06E6" w:rsidP="009120DF">
      <w:pPr>
        <w:ind w:right="-45"/>
        <w:rPr>
          <w:rFonts w:ascii="Book Antiqua" w:hAnsi="Book Antiqua"/>
          <w:b/>
          <w:bCs/>
        </w:rPr>
      </w:pPr>
    </w:p>
    <w:p w14:paraId="79364E92" w14:textId="77777777" w:rsidR="001A06E6" w:rsidRDefault="00465AE3" w:rsidP="009120DF">
      <w:pPr>
        <w:ind w:right="-45"/>
        <w:rPr>
          <w:rFonts w:ascii="Book Antiqua" w:hAnsi="Book Antiqua"/>
          <w:b/>
          <w:bCs/>
        </w:rPr>
      </w:pPr>
      <w:r>
        <w:rPr>
          <w:rFonts w:ascii="Book Antiqua" w:hAnsi="Book Antiqua"/>
          <w:b/>
          <w:bCs/>
          <w:noProof/>
          <w:lang w:bidi="ar-SA"/>
        </w:rPr>
        <w:drawing>
          <wp:anchor distT="0" distB="0" distL="114300" distR="114300" simplePos="0" relativeHeight="251640832" behindDoc="0" locked="0" layoutInCell="1" allowOverlap="1" wp14:anchorId="5E206C64" wp14:editId="1CEB30BE">
            <wp:simplePos x="0" y="0"/>
            <wp:positionH relativeFrom="column">
              <wp:posOffset>-38100</wp:posOffset>
            </wp:positionH>
            <wp:positionV relativeFrom="paragraph">
              <wp:posOffset>85725</wp:posOffset>
            </wp:positionV>
            <wp:extent cx="2895600" cy="2428875"/>
            <wp:effectExtent l="0" t="0" r="0" b="0"/>
            <wp:wrapNone/>
            <wp:docPr id="785"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2"/>
                    <a:srcRect l="-2075" t="6360" b="34570"/>
                    <a:stretch>
                      <a:fillRect/>
                    </a:stretch>
                  </pic:blipFill>
                  <pic:spPr bwMode="auto">
                    <a:xfrm>
                      <a:off x="0" y="0"/>
                      <a:ext cx="2895600" cy="2428875"/>
                    </a:xfrm>
                    <a:prstGeom prst="rect">
                      <a:avLst/>
                    </a:prstGeom>
                    <a:noFill/>
                    <a:ln w="9525">
                      <a:noFill/>
                      <a:miter lim="800000"/>
                      <a:headEnd/>
                      <a:tailEnd/>
                    </a:ln>
                  </pic:spPr>
                </pic:pic>
              </a:graphicData>
            </a:graphic>
          </wp:anchor>
        </w:drawing>
      </w:r>
    </w:p>
    <w:p w14:paraId="3371337F" w14:textId="77777777" w:rsidR="001A06E6" w:rsidRDefault="001A06E6" w:rsidP="009120DF">
      <w:pPr>
        <w:ind w:right="-45"/>
        <w:rPr>
          <w:rFonts w:ascii="Book Antiqua" w:hAnsi="Book Antiqua"/>
          <w:b/>
          <w:bCs/>
        </w:rPr>
      </w:pPr>
    </w:p>
    <w:p w14:paraId="18D15DBD" w14:textId="77777777" w:rsidR="001A06E6" w:rsidRDefault="001A06E6" w:rsidP="009120DF">
      <w:pPr>
        <w:ind w:right="-45"/>
        <w:rPr>
          <w:rFonts w:ascii="Book Antiqua" w:hAnsi="Book Antiqua"/>
          <w:b/>
          <w:bCs/>
        </w:rPr>
      </w:pPr>
    </w:p>
    <w:p w14:paraId="3305E3E4" w14:textId="77777777" w:rsidR="001A06E6" w:rsidRDefault="001A06E6" w:rsidP="009120DF">
      <w:pPr>
        <w:ind w:right="-45"/>
        <w:rPr>
          <w:rFonts w:ascii="Book Antiqua" w:hAnsi="Book Antiqua"/>
          <w:b/>
          <w:bCs/>
        </w:rPr>
      </w:pPr>
    </w:p>
    <w:p w14:paraId="04047F91" w14:textId="77777777" w:rsidR="001A06E6" w:rsidRDefault="001A06E6" w:rsidP="009120DF">
      <w:pPr>
        <w:ind w:right="-45"/>
        <w:rPr>
          <w:rFonts w:ascii="Book Antiqua" w:hAnsi="Book Antiqua"/>
          <w:b/>
          <w:bCs/>
        </w:rPr>
      </w:pPr>
    </w:p>
    <w:p w14:paraId="3B9E9A12" w14:textId="77777777" w:rsidR="001A06E6" w:rsidRDefault="001A06E6" w:rsidP="009120DF">
      <w:pPr>
        <w:ind w:right="-45"/>
        <w:rPr>
          <w:rFonts w:ascii="Book Antiqua" w:hAnsi="Book Antiqua"/>
          <w:b/>
          <w:bCs/>
        </w:rPr>
      </w:pPr>
    </w:p>
    <w:p w14:paraId="4E896773" w14:textId="77777777" w:rsidR="001A06E6" w:rsidRDefault="001A06E6" w:rsidP="009120DF">
      <w:pPr>
        <w:ind w:right="-45"/>
        <w:rPr>
          <w:rFonts w:ascii="Book Antiqua" w:hAnsi="Book Antiqua"/>
          <w:b/>
          <w:bCs/>
        </w:rPr>
      </w:pPr>
    </w:p>
    <w:p w14:paraId="0852887D" w14:textId="77777777" w:rsidR="00465AE3" w:rsidRDefault="00465AE3" w:rsidP="009120DF">
      <w:pPr>
        <w:ind w:right="-45"/>
        <w:rPr>
          <w:rFonts w:ascii="Book Antiqua" w:hAnsi="Book Antiqua"/>
          <w:b/>
          <w:bCs/>
        </w:rPr>
      </w:pPr>
    </w:p>
    <w:p w14:paraId="614AD17D" w14:textId="77777777" w:rsidR="00465AE3" w:rsidRDefault="00465AE3" w:rsidP="009120DF">
      <w:pPr>
        <w:ind w:right="-45"/>
        <w:rPr>
          <w:rFonts w:ascii="Book Antiqua" w:hAnsi="Book Antiqua"/>
          <w:b/>
          <w:bCs/>
        </w:rPr>
      </w:pPr>
    </w:p>
    <w:p w14:paraId="0E539D74" w14:textId="77777777" w:rsidR="00465AE3" w:rsidRDefault="00465AE3" w:rsidP="00465AE3">
      <w:pPr>
        <w:ind w:right="-45"/>
        <w:jc w:val="both"/>
        <w:rPr>
          <w:rFonts w:ascii="Book Antiqua" w:hAnsi="Book Antiqua"/>
          <w:b/>
          <w:bCs/>
        </w:rPr>
      </w:pPr>
      <w:r w:rsidRPr="00E3232D">
        <w:rPr>
          <w:rFonts w:ascii="Book Antiqua" w:hAnsi="Book Antiqua"/>
          <w:b/>
          <w:bCs/>
        </w:rPr>
        <w:t>Figure 1: Learning institutions have become targets for forgers.</w:t>
      </w:r>
    </w:p>
    <w:p w14:paraId="38CC13FA" w14:textId="77777777" w:rsidR="00380077" w:rsidRDefault="007B3BF2" w:rsidP="00465AE3">
      <w:pPr>
        <w:ind w:right="-45"/>
        <w:jc w:val="both"/>
        <w:rPr>
          <w:rFonts w:ascii="Book Antiqua" w:hAnsi="Book Antiqua"/>
          <w:b/>
          <w:bCs/>
        </w:rPr>
      </w:pPr>
      <w:r w:rsidRPr="00E3232D">
        <w:rPr>
          <w:rFonts w:ascii="Book Antiqua" w:hAnsi="Book Antiqua"/>
          <w:b/>
          <w:bCs/>
        </w:rPr>
        <w:t>Source: Daily Graphic, Saturday March 2, 2013</w:t>
      </w:r>
    </w:p>
    <w:p w14:paraId="08273770" w14:textId="77777777" w:rsidR="009120DF" w:rsidRDefault="009120DF" w:rsidP="00465AE3">
      <w:pPr>
        <w:ind w:right="-45"/>
        <w:jc w:val="both"/>
        <w:rPr>
          <w:rFonts w:ascii="Book Antiqua" w:hAnsi="Book Antiqua"/>
        </w:rPr>
      </w:pPr>
      <w:r w:rsidRPr="00E3232D">
        <w:rPr>
          <w:rFonts w:ascii="Book Antiqua" w:hAnsi="Book Antiqua"/>
        </w:rPr>
        <w:t>Since security is so poor at the sections where academic information is held, wrong persons could easily obtain academic information. When such information falls into wrong hands, they might use that to gain employment (Duodu, 2013). If the situation continues unchecked, the job market could be flooded with employees possessing certificates they have not acquired. Such ones cannot defend their certificates so they would offer poor service. The output from such employees would be mediocre or poor, adversely affecting organizational targets, even national development plans. A nation needs properly educated individuals for sustainable development, not characters who acquire certificates through false pretences. Figure 1 should alert learning institutions that they are targets of unscrupulous agencies which would forge certificates for criminals.</w:t>
      </w:r>
    </w:p>
    <w:p w14:paraId="63868074" w14:textId="77777777" w:rsidR="00380077" w:rsidRDefault="00380077" w:rsidP="009120DF">
      <w:pPr>
        <w:ind w:right="-45"/>
        <w:rPr>
          <w:rFonts w:ascii="Book Antiqua" w:hAnsi="Book Antiqua"/>
          <w:b/>
          <w:bCs/>
        </w:rPr>
      </w:pPr>
    </w:p>
    <w:p w14:paraId="39FAC7E5" w14:textId="77777777" w:rsidR="00912965" w:rsidRPr="00E3232D" w:rsidRDefault="009120DF" w:rsidP="00465AE3">
      <w:pPr>
        <w:ind w:right="-45"/>
        <w:jc w:val="both"/>
        <w:rPr>
          <w:rFonts w:ascii="Book Antiqua" w:hAnsi="Book Antiqua"/>
          <w:b/>
          <w:bCs/>
        </w:rPr>
      </w:pPr>
      <w:r w:rsidRPr="00E3232D">
        <w:rPr>
          <w:rFonts w:ascii="Book Antiqua" w:hAnsi="Book Antiqua"/>
          <w:b/>
          <w:bCs/>
        </w:rPr>
        <w:t>5.</w:t>
      </w:r>
      <w:r w:rsidR="00806674">
        <w:rPr>
          <w:rFonts w:ascii="Book Antiqua" w:hAnsi="Book Antiqua"/>
          <w:b/>
          <w:bCs/>
        </w:rPr>
        <w:t>0</w:t>
      </w:r>
      <w:r w:rsidRPr="00E3232D">
        <w:rPr>
          <w:rFonts w:ascii="Book Antiqua" w:hAnsi="Book Antiqua"/>
          <w:b/>
          <w:bCs/>
        </w:rPr>
        <w:tab/>
      </w:r>
      <w:r w:rsidRPr="00465AE3">
        <w:rPr>
          <w:rFonts w:ascii="Book Antiqua" w:hAnsi="Book Antiqua"/>
          <w:b/>
          <w:bCs/>
          <w:sz w:val="26"/>
        </w:rPr>
        <w:t>Conclusion</w:t>
      </w:r>
    </w:p>
    <w:p w14:paraId="64D3694A" w14:textId="77777777" w:rsidR="009120DF" w:rsidRPr="00E3232D" w:rsidRDefault="009120DF" w:rsidP="00465AE3">
      <w:pPr>
        <w:ind w:right="-45"/>
        <w:jc w:val="both"/>
        <w:rPr>
          <w:rFonts w:ascii="Book Antiqua" w:hAnsi="Book Antiqua"/>
        </w:rPr>
      </w:pPr>
      <w:r w:rsidRPr="00E3232D">
        <w:rPr>
          <w:rFonts w:ascii="Book Antiqua" w:hAnsi="Book Antiqua"/>
        </w:rPr>
        <w:t xml:space="preserve">Identity theft is a reality of the times but sometimes stealing another’s identity is not as cumbersome as it ought to be. When data processing clerks are not security conscious and officials in key positions do not prioritize data security checks, clients become vulnerable. Fraudulent agencies become wittier by the day and are determined to outwit legitimate infrastructure. Accepting that is a crucial part of security consciousness, which consciousness should always curtail any desire to compromise data processing security. Institutions that insist on protocol regarding release of academic records are commended; their examples should be emulated. </w:t>
      </w:r>
    </w:p>
    <w:p w14:paraId="1D7B3891" w14:textId="77777777" w:rsidR="009120DF" w:rsidRDefault="009120DF" w:rsidP="00465AE3">
      <w:pPr>
        <w:spacing w:after="0"/>
        <w:ind w:right="-45"/>
        <w:jc w:val="both"/>
        <w:rPr>
          <w:rFonts w:ascii="Book Antiqua" w:hAnsi="Book Antiqua"/>
        </w:rPr>
      </w:pPr>
    </w:p>
    <w:p w14:paraId="1B35CFBF" w14:textId="77777777" w:rsidR="009120DF" w:rsidRPr="00E3232D" w:rsidRDefault="009120DF" w:rsidP="00465AE3">
      <w:pPr>
        <w:spacing w:after="0"/>
        <w:ind w:right="-45"/>
        <w:jc w:val="both"/>
        <w:rPr>
          <w:rFonts w:ascii="Book Antiqua" w:hAnsi="Book Antiqua"/>
        </w:rPr>
      </w:pPr>
      <w:r w:rsidRPr="00E3232D">
        <w:rPr>
          <w:rFonts w:ascii="Book Antiqua" w:hAnsi="Book Antiqua"/>
        </w:rPr>
        <w:t xml:space="preserve">However, ensuring data processing security should be holistic as well as collaborative. Institutions must invest in security--human resources and technological. Due to the sensitivity of data, institutions must have clearly drawn rules to guide administrators who handle data. Employees who head departments that handle data must be oriented before they assume office. There should be proper monitoring systems for all positions that handle academic data. Such monitoring would help detect most of the fraudulent applications that might be presented for assessment. Such detection would ensure that correct records are given to the people who achieved it and can defend it by using acquired knowledge to develop community and nation. Academic record has integrity only when it is lodged with legitimate agencies so that it advances personal, community and national interests; institutional diligence can ensure that. </w:t>
      </w:r>
    </w:p>
    <w:p w14:paraId="7A6F8748" w14:textId="77777777" w:rsidR="009120DF" w:rsidRDefault="009120DF" w:rsidP="009120DF">
      <w:pPr>
        <w:ind w:right="-45"/>
        <w:rPr>
          <w:rFonts w:ascii="Book Antiqua" w:hAnsi="Book Antiqua"/>
          <w:b/>
          <w:bCs/>
        </w:rPr>
      </w:pPr>
    </w:p>
    <w:p w14:paraId="23A5DE80" w14:textId="77777777" w:rsidR="009120DF" w:rsidRPr="00E3232D" w:rsidRDefault="009120DF" w:rsidP="009120DF">
      <w:pPr>
        <w:ind w:right="-45"/>
        <w:rPr>
          <w:rFonts w:ascii="Book Antiqua" w:hAnsi="Book Antiqua"/>
          <w:b/>
          <w:bCs/>
        </w:rPr>
      </w:pPr>
      <w:r w:rsidRPr="00465AE3">
        <w:rPr>
          <w:rFonts w:ascii="Book Antiqua" w:hAnsi="Book Antiqua"/>
          <w:b/>
          <w:bCs/>
          <w:sz w:val="26"/>
        </w:rPr>
        <w:t>References</w:t>
      </w:r>
    </w:p>
    <w:p w14:paraId="2D55AC64" w14:textId="77777777" w:rsidR="009120DF" w:rsidRPr="00E3232D" w:rsidRDefault="009120DF" w:rsidP="00465AE3">
      <w:pPr>
        <w:ind w:left="284" w:right="-45" w:hanging="284"/>
        <w:jc w:val="both"/>
        <w:rPr>
          <w:rFonts w:ascii="Book Antiqua" w:hAnsi="Book Antiqua"/>
        </w:rPr>
      </w:pPr>
      <w:r>
        <w:rPr>
          <w:rFonts w:ascii="Book Antiqua" w:hAnsi="Book Antiqua"/>
        </w:rPr>
        <w:t>AcademicName.</w:t>
      </w:r>
      <w:r w:rsidRPr="00E3232D">
        <w:rPr>
          <w:rFonts w:ascii="Book Antiqua" w:hAnsi="Book Antiqua"/>
        </w:rPr>
        <w:t xml:space="preserve">(2010). </w:t>
      </w:r>
      <w:hyperlink r:id="rId193" w:history="1">
        <w:r w:rsidRPr="00E3232D">
          <w:rPr>
            <w:rStyle w:val="Hyperlink"/>
            <w:rFonts w:ascii="Book Antiqua" w:hAnsi="Book Antiqua"/>
          </w:rPr>
          <w:t>http://www.virginia.edu/registrar/acadrecord.html</w:t>
        </w:r>
      </w:hyperlink>
    </w:p>
    <w:p w14:paraId="4AC354A4" w14:textId="77777777" w:rsidR="009120DF" w:rsidRPr="00E3232D" w:rsidRDefault="009120DF" w:rsidP="00465AE3">
      <w:pPr>
        <w:ind w:left="284" w:right="-45" w:hanging="284"/>
        <w:jc w:val="both"/>
        <w:rPr>
          <w:rFonts w:ascii="Book Antiqua" w:hAnsi="Book Antiqua"/>
        </w:rPr>
      </w:pPr>
      <w:r w:rsidRPr="00E3232D">
        <w:rPr>
          <w:rFonts w:ascii="Book Antiqua" w:hAnsi="Book Antiqua"/>
        </w:rPr>
        <w:t xml:space="preserve">Academic  Records. (2010). Retrieved from </w:t>
      </w:r>
      <w:hyperlink r:id="rId194" w:history="1">
        <w:r w:rsidRPr="00E3232D">
          <w:rPr>
            <w:rStyle w:val="Hyperlink"/>
            <w:rFonts w:ascii="Book Antiqua" w:hAnsi="Book Antiqua"/>
          </w:rPr>
          <w:t>http://www.waikato.ac.nz/sasd/enrolment/records/</w:t>
        </w:r>
      </w:hyperlink>
    </w:p>
    <w:p w14:paraId="4292E906" w14:textId="77777777" w:rsidR="009120DF" w:rsidRDefault="009120DF" w:rsidP="00465AE3">
      <w:pPr>
        <w:ind w:left="284" w:right="-45" w:hanging="284"/>
        <w:jc w:val="both"/>
        <w:rPr>
          <w:rFonts w:ascii="Book Antiqua" w:hAnsi="Book Antiqua"/>
        </w:rPr>
      </w:pPr>
      <w:r w:rsidRPr="00E3232D">
        <w:rPr>
          <w:rFonts w:ascii="Book Antiqua" w:hAnsi="Book Antiqua"/>
        </w:rPr>
        <w:t xml:space="preserve">Academic record: Academic transcripts online. (2011). Retrieved from </w:t>
      </w:r>
      <w:r w:rsidRPr="00432993">
        <w:rPr>
          <w:rFonts w:ascii="Book Antiqua" w:hAnsi="Book Antiqua"/>
        </w:rPr>
        <w:t>http://www.manchester.ac.uk/alumni/a</w:t>
      </w:r>
      <w:r>
        <w:rPr>
          <w:rFonts w:ascii="Book Antiqua" w:hAnsi="Book Antiqua"/>
        </w:rPr>
        <w:t>lumniassociation/academicreco</w:t>
      </w:r>
    </w:p>
    <w:p w14:paraId="19027608" w14:textId="77777777" w:rsidR="009120DF" w:rsidRDefault="009120DF" w:rsidP="00465AE3">
      <w:pPr>
        <w:ind w:left="284" w:right="-45" w:hanging="284"/>
        <w:jc w:val="both"/>
        <w:rPr>
          <w:rFonts w:ascii="Book Antiqua" w:hAnsi="Book Antiqua"/>
        </w:rPr>
      </w:pPr>
    </w:p>
    <w:p w14:paraId="0E76C522" w14:textId="77777777" w:rsidR="009120DF" w:rsidRDefault="009120DF" w:rsidP="00465AE3">
      <w:pPr>
        <w:ind w:right="-45"/>
        <w:jc w:val="both"/>
      </w:pPr>
      <w:r w:rsidRPr="00E3232D">
        <w:rPr>
          <w:rFonts w:ascii="Book Antiqua" w:hAnsi="Book Antiqua"/>
        </w:rPr>
        <w:t xml:space="preserve">Applying for an Academic record. (2010). Retrieved from </w:t>
      </w:r>
      <w:hyperlink r:id="rId195" w:history="1">
        <w:r w:rsidRPr="00E3232D">
          <w:rPr>
            <w:rStyle w:val="Hyperlink"/>
            <w:rFonts w:ascii="Book Antiqua" w:hAnsi="Book Antiqua"/>
          </w:rPr>
          <w:t>http://www.waikato.ac.nz/sasd/enrolment/records/apply.shtml</w:t>
        </w:r>
      </w:hyperlink>
    </w:p>
    <w:p w14:paraId="7D7573FA" w14:textId="77777777" w:rsidR="009120DF" w:rsidRPr="00E3232D" w:rsidRDefault="009120DF" w:rsidP="00465AE3">
      <w:pPr>
        <w:ind w:right="-45"/>
        <w:jc w:val="both"/>
        <w:rPr>
          <w:rFonts w:ascii="Book Antiqua" w:hAnsi="Book Antiqua"/>
        </w:rPr>
      </w:pPr>
    </w:p>
    <w:p w14:paraId="1DEF3ABA" w14:textId="77777777" w:rsidR="009120DF" w:rsidRPr="00E3232D" w:rsidRDefault="009120DF" w:rsidP="00465AE3">
      <w:pPr>
        <w:ind w:right="-45"/>
        <w:jc w:val="both"/>
        <w:rPr>
          <w:rFonts w:ascii="Book Antiqua" w:hAnsi="Book Antiqua"/>
        </w:rPr>
      </w:pPr>
      <w:r w:rsidRPr="00E3232D">
        <w:rPr>
          <w:rFonts w:ascii="Book Antiqua" w:hAnsi="Book Antiqua"/>
        </w:rPr>
        <w:t>Argenti, P. A. (2007). Corporate communication (4th Ed.).McGraw Hill: Boston.</w:t>
      </w:r>
    </w:p>
    <w:p w14:paraId="7DACC39D" w14:textId="77777777" w:rsidR="009120DF" w:rsidRPr="00E3232D" w:rsidRDefault="009120DF" w:rsidP="00465AE3">
      <w:pPr>
        <w:pStyle w:val="citation1"/>
        <w:spacing w:line="276" w:lineRule="auto"/>
        <w:ind w:firstLine="0"/>
        <w:jc w:val="both"/>
        <w:rPr>
          <w:rFonts w:ascii="Book Antiqua" w:hAnsi="Book Antiqua"/>
          <w:sz w:val="22"/>
          <w:szCs w:val="22"/>
        </w:rPr>
      </w:pPr>
      <w:r w:rsidRPr="00E3232D">
        <w:rPr>
          <w:rFonts w:ascii="Book Antiqua" w:hAnsi="Book Antiqua"/>
          <w:sz w:val="22"/>
          <w:szCs w:val="22"/>
        </w:rPr>
        <w:t>Bryman, A. (2008). Social research methods (3</w:t>
      </w:r>
      <w:r w:rsidRPr="00E3232D">
        <w:rPr>
          <w:rFonts w:ascii="Book Antiqua" w:hAnsi="Book Antiqua"/>
          <w:sz w:val="22"/>
          <w:szCs w:val="22"/>
          <w:vertAlign w:val="superscript"/>
        </w:rPr>
        <w:t>rd</w:t>
      </w:r>
      <w:r w:rsidRPr="00E3232D">
        <w:rPr>
          <w:rFonts w:ascii="Book Antiqua" w:hAnsi="Book Antiqua"/>
          <w:sz w:val="22"/>
          <w:szCs w:val="22"/>
        </w:rPr>
        <w:t xml:space="preserve"> ed.). Oxford: Oxford University Press.</w:t>
      </w:r>
      <w:r w:rsidRPr="00E3232D">
        <w:rPr>
          <w:rFonts w:ascii="Book Antiqua" w:hAnsi="Book Antiqua"/>
          <w:color w:val="000000"/>
          <w:sz w:val="22"/>
          <w:szCs w:val="22"/>
        </w:rPr>
        <w:t xml:space="preserve"> </w:t>
      </w:r>
    </w:p>
    <w:p w14:paraId="67D95A44" w14:textId="77777777" w:rsidR="009120DF" w:rsidRPr="00E3232D" w:rsidRDefault="009120DF" w:rsidP="00465AE3">
      <w:pPr>
        <w:pStyle w:val="citation1"/>
        <w:spacing w:line="276" w:lineRule="auto"/>
        <w:ind w:left="284" w:hanging="284"/>
        <w:jc w:val="both"/>
        <w:rPr>
          <w:rFonts w:ascii="Book Antiqua" w:hAnsi="Book Antiqua"/>
          <w:color w:val="000000"/>
          <w:sz w:val="22"/>
          <w:szCs w:val="22"/>
        </w:rPr>
      </w:pPr>
      <w:r w:rsidRPr="00E3232D">
        <w:rPr>
          <w:rFonts w:ascii="Book Antiqua" w:hAnsi="Book Antiqua"/>
          <w:color w:val="000000"/>
          <w:sz w:val="22"/>
          <w:szCs w:val="22"/>
        </w:rPr>
        <w:t>Cambridge Advanced Learner’s Dictionary (2</w:t>
      </w:r>
      <w:r w:rsidRPr="00E3232D">
        <w:rPr>
          <w:rFonts w:ascii="Book Antiqua" w:hAnsi="Book Antiqua"/>
          <w:color w:val="000000"/>
          <w:sz w:val="22"/>
          <w:szCs w:val="22"/>
          <w:vertAlign w:val="superscript"/>
        </w:rPr>
        <w:t>nd</w:t>
      </w:r>
      <w:r w:rsidRPr="00E3232D">
        <w:rPr>
          <w:rFonts w:ascii="Book Antiqua" w:hAnsi="Book Antiqua"/>
          <w:color w:val="000000"/>
          <w:sz w:val="22"/>
          <w:szCs w:val="22"/>
        </w:rPr>
        <w:t xml:space="preserve"> ed.). (2005). Cambridge: Cambridge University Press.</w:t>
      </w:r>
    </w:p>
    <w:p w14:paraId="1868C2D7" w14:textId="77777777" w:rsidR="009120DF" w:rsidRPr="00E3232D" w:rsidRDefault="009120DF" w:rsidP="00465AE3">
      <w:pPr>
        <w:pStyle w:val="citation1"/>
        <w:spacing w:line="276" w:lineRule="auto"/>
        <w:ind w:left="284" w:hanging="284"/>
        <w:jc w:val="both"/>
        <w:rPr>
          <w:rFonts w:ascii="Book Antiqua" w:hAnsi="Book Antiqua"/>
          <w:color w:val="000000"/>
          <w:sz w:val="22"/>
          <w:szCs w:val="22"/>
        </w:rPr>
      </w:pPr>
      <w:r w:rsidRPr="00E3232D">
        <w:rPr>
          <w:rFonts w:ascii="Book Antiqua" w:hAnsi="Book Antiqua"/>
          <w:color w:val="000000"/>
          <w:sz w:val="22"/>
          <w:szCs w:val="22"/>
        </w:rPr>
        <w:t xml:space="preserve">Compact Oxford English Dictionary for students. (2006). Oxford: Oxford University Press. </w:t>
      </w:r>
    </w:p>
    <w:p w14:paraId="0607674F" w14:textId="77777777" w:rsidR="009120DF" w:rsidRPr="00E3232D" w:rsidRDefault="009120DF" w:rsidP="00465AE3">
      <w:pPr>
        <w:pStyle w:val="citation1"/>
        <w:spacing w:line="276" w:lineRule="auto"/>
        <w:ind w:firstLine="0"/>
        <w:jc w:val="both"/>
        <w:rPr>
          <w:rFonts w:ascii="Book Antiqua" w:hAnsi="Book Antiqua"/>
          <w:sz w:val="22"/>
          <w:szCs w:val="22"/>
        </w:rPr>
      </w:pPr>
      <w:r w:rsidRPr="00E3232D">
        <w:rPr>
          <w:rFonts w:ascii="Book Antiqua" w:hAnsi="Book Antiqua"/>
          <w:sz w:val="22"/>
          <w:szCs w:val="22"/>
        </w:rPr>
        <w:t xml:space="preserve">Dad impersonating son in exam arrested. (2010, June 12). </w:t>
      </w:r>
      <w:r w:rsidRPr="00E3232D">
        <w:rPr>
          <w:rFonts w:ascii="Book Antiqua" w:hAnsi="Book Antiqua"/>
          <w:i/>
          <w:iCs/>
          <w:sz w:val="22"/>
          <w:szCs w:val="22"/>
        </w:rPr>
        <w:t>The Mirror,</w:t>
      </w:r>
      <w:r w:rsidRPr="00E3232D">
        <w:rPr>
          <w:rFonts w:ascii="Book Antiqua" w:hAnsi="Book Antiqua"/>
          <w:sz w:val="22"/>
          <w:szCs w:val="22"/>
        </w:rPr>
        <w:t xml:space="preserve"> p. 5.</w:t>
      </w:r>
    </w:p>
    <w:p w14:paraId="6512F3D3" w14:textId="77777777" w:rsidR="009120DF" w:rsidRPr="00E3232D" w:rsidRDefault="009120DF" w:rsidP="00465AE3">
      <w:pPr>
        <w:pStyle w:val="citation1"/>
        <w:spacing w:line="276" w:lineRule="auto"/>
        <w:ind w:left="360" w:hanging="360"/>
        <w:jc w:val="both"/>
        <w:rPr>
          <w:rFonts w:ascii="Book Antiqua" w:hAnsi="Book Antiqua"/>
          <w:sz w:val="22"/>
          <w:szCs w:val="22"/>
        </w:rPr>
      </w:pPr>
      <w:r w:rsidRPr="00E3232D">
        <w:rPr>
          <w:rFonts w:ascii="Book Antiqua" w:hAnsi="Book Antiqua"/>
          <w:sz w:val="22"/>
          <w:szCs w:val="22"/>
        </w:rPr>
        <w:t xml:space="preserve">8 Data Protection Principles. (2008). Retrieved from </w:t>
      </w:r>
      <w:hyperlink r:id="rId196" w:history="1">
        <w:r w:rsidRPr="00E3232D">
          <w:rPr>
            <w:rStyle w:val="Hyperlink"/>
            <w:rFonts w:ascii="Book Antiqua" w:hAnsi="Book Antiqua"/>
            <w:sz w:val="22"/>
            <w:szCs w:val="22"/>
          </w:rPr>
          <w:t>http://www4.rgu.ac.uk/dp/general/page.cfm?pge=19872</w:t>
        </w:r>
      </w:hyperlink>
    </w:p>
    <w:p w14:paraId="2320D359" w14:textId="77777777" w:rsidR="009120DF" w:rsidRPr="00E3232D" w:rsidRDefault="009120DF" w:rsidP="00465AE3">
      <w:pPr>
        <w:pStyle w:val="citation1"/>
        <w:spacing w:line="276" w:lineRule="auto"/>
        <w:ind w:left="360" w:hanging="360"/>
        <w:jc w:val="both"/>
        <w:rPr>
          <w:rFonts w:ascii="Book Antiqua" w:hAnsi="Book Antiqua"/>
          <w:sz w:val="22"/>
          <w:szCs w:val="22"/>
        </w:rPr>
      </w:pPr>
      <w:r w:rsidRPr="00E3232D">
        <w:rPr>
          <w:rFonts w:ascii="Book Antiqua" w:hAnsi="Book Antiqua"/>
          <w:sz w:val="22"/>
          <w:szCs w:val="22"/>
        </w:rPr>
        <w:t xml:space="preserve">Data Protection Act, (2011). Retrieved from </w:t>
      </w:r>
      <w:hyperlink r:id="rId197" w:history="1">
        <w:r w:rsidRPr="00E3232D">
          <w:rPr>
            <w:rStyle w:val="Hyperlink"/>
            <w:rFonts w:ascii="Book Antiqua" w:hAnsi="Book Antiqua"/>
            <w:sz w:val="22"/>
            <w:szCs w:val="22"/>
          </w:rPr>
          <w:t>http://www.ico.gov.uk/Global/privacy_statement.aspx</w:t>
        </w:r>
      </w:hyperlink>
    </w:p>
    <w:p w14:paraId="3D58D42D" w14:textId="77777777" w:rsidR="009120DF" w:rsidRPr="00E3232D" w:rsidRDefault="009120DF" w:rsidP="00465AE3">
      <w:pPr>
        <w:pStyle w:val="citation1"/>
        <w:spacing w:line="276" w:lineRule="auto"/>
        <w:ind w:left="284" w:hanging="284"/>
        <w:jc w:val="both"/>
        <w:rPr>
          <w:rFonts w:ascii="Book Antiqua" w:hAnsi="Book Antiqua"/>
          <w:sz w:val="22"/>
          <w:szCs w:val="22"/>
        </w:rPr>
      </w:pPr>
      <w:r w:rsidRPr="00E3232D">
        <w:rPr>
          <w:rFonts w:ascii="Book Antiqua" w:hAnsi="Book Antiqua"/>
          <w:sz w:val="22"/>
          <w:szCs w:val="22"/>
        </w:rPr>
        <w:t xml:space="preserve">Data Protection. (2009). Retrieved from </w:t>
      </w:r>
      <w:hyperlink r:id="rId198" w:history="1">
        <w:r w:rsidRPr="00E3232D">
          <w:rPr>
            <w:rStyle w:val="Hyperlink"/>
            <w:rFonts w:ascii="Book Antiqua" w:hAnsi="Book Antiqua"/>
            <w:sz w:val="22"/>
            <w:szCs w:val="22"/>
          </w:rPr>
          <w:t>http://www.direct.gov.uk/en/governmentcitizensandrights/yourrightsandresponsibilities/dg_10031451</w:t>
        </w:r>
      </w:hyperlink>
    </w:p>
    <w:p w14:paraId="13D089D5" w14:textId="77777777" w:rsidR="009120DF" w:rsidRPr="00E3232D" w:rsidRDefault="009120DF" w:rsidP="00465AE3">
      <w:pPr>
        <w:pStyle w:val="citation1"/>
        <w:spacing w:line="276" w:lineRule="auto"/>
        <w:ind w:left="284" w:hanging="284"/>
        <w:jc w:val="both"/>
        <w:rPr>
          <w:rFonts w:ascii="Book Antiqua" w:hAnsi="Book Antiqua"/>
          <w:sz w:val="22"/>
          <w:szCs w:val="22"/>
        </w:rPr>
      </w:pPr>
      <w:r w:rsidRPr="00E3232D">
        <w:rPr>
          <w:rFonts w:ascii="Book Antiqua" w:hAnsi="Book Antiqua"/>
          <w:sz w:val="22"/>
          <w:szCs w:val="22"/>
        </w:rPr>
        <w:t xml:space="preserve">Duodu, S. (2013, March 2). 12 arrested with fake certificates. </w:t>
      </w:r>
      <w:r w:rsidRPr="00E3232D">
        <w:rPr>
          <w:rFonts w:ascii="Book Antiqua" w:hAnsi="Book Antiqua"/>
          <w:i/>
          <w:iCs/>
          <w:sz w:val="22"/>
          <w:szCs w:val="22"/>
        </w:rPr>
        <w:t>Daily Graphic,</w:t>
      </w:r>
      <w:r w:rsidRPr="00E3232D">
        <w:rPr>
          <w:rFonts w:ascii="Book Antiqua" w:hAnsi="Book Antiqua"/>
          <w:sz w:val="22"/>
          <w:szCs w:val="22"/>
        </w:rPr>
        <w:t xml:space="preserve"> p. 1.</w:t>
      </w:r>
    </w:p>
    <w:p w14:paraId="42446ECB" w14:textId="77777777" w:rsidR="009120DF" w:rsidRPr="00E3232D" w:rsidRDefault="009120DF" w:rsidP="00465AE3">
      <w:pPr>
        <w:ind w:right="-45"/>
        <w:jc w:val="both"/>
        <w:rPr>
          <w:rFonts w:ascii="Book Antiqua" w:hAnsi="Book Antiqua"/>
        </w:rPr>
      </w:pPr>
      <w:r w:rsidRPr="00E3232D">
        <w:rPr>
          <w:rFonts w:ascii="Book Antiqua" w:hAnsi="Book Antiqua"/>
        </w:rPr>
        <w:t xml:space="preserve">Greeen, A. (2006). </w:t>
      </w:r>
      <w:r w:rsidRPr="00E3232D">
        <w:rPr>
          <w:rFonts w:ascii="Book Antiqua" w:hAnsi="Book Antiqua"/>
          <w:i/>
          <w:iCs/>
        </w:rPr>
        <w:t>Effective communication skills for public relations</w:t>
      </w:r>
      <w:r w:rsidRPr="00E3232D">
        <w:rPr>
          <w:rFonts w:ascii="Book Antiqua" w:hAnsi="Book Antiqua"/>
        </w:rPr>
        <w:t>. London: Kogan Page.</w:t>
      </w:r>
    </w:p>
    <w:p w14:paraId="565B4759" w14:textId="77777777" w:rsidR="009120DF" w:rsidRPr="00E3232D" w:rsidRDefault="009120DF" w:rsidP="00465AE3">
      <w:pPr>
        <w:ind w:left="284" w:right="-45" w:hanging="284"/>
        <w:jc w:val="both"/>
        <w:rPr>
          <w:rFonts w:ascii="Book Antiqua" w:hAnsi="Book Antiqua"/>
        </w:rPr>
      </w:pPr>
      <w:r w:rsidRPr="00E3232D">
        <w:rPr>
          <w:rFonts w:ascii="Book Antiqua" w:hAnsi="Book Antiqua"/>
        </w:rPr>
        <w:t xml:space="preserve">How to Access Information. (2011). Retrieved from </w:t>
      </w:r>
      <w:hyperlink r:id="rId199" w:history="1">
        <w:r w:rsidRPr="00E3232D">
          <w:rPr>
            <w:rStyle w:val="Hyperlink"/>
            <w:rFonts w:ascii="Book Antiqua" w:hAnsi="Book Antiqua"/>
          </w:rPr>
          <w:t>http://www.city.ac.uk/about/city-information/legal/how-to-access-information</w:t>
        </w:r>
      </w:hyperlink>
    </w:p>
    <w:p w14:paraId="06CD06DD" w14:textId="77777777" w:rsidR="009120DF" w:rsidRPr="00E3232D" w:rsidRDefault="009120DF" w:rsidP="00465AE3">
      <w:pPr>
        <w:ind w:left="284" w:right="-45" w:hanging="284"/>
        <w:jc w:val="both"/>
        <w:rPr>
          <w:rFonts w:ascii="Book Antiqua" w:hAnsi="Book Antiqua"/>
          <w:color w:val="000000"/>
          <w:spacing w:val="-15"/>
          <w:kern w:val="36"/>
          <w:lang w:eastAsia="en-GB"/>
        </w:rPr>
      </w:pPr>
      <w:r w:rsidRPr="00E3232D">
        <w:rPr>
          <w:rFonts w:ascii="Book Antiqua" w:hAnsi="Book Antiqua"/>
          <w:color w:val="000000"/>
          <w:spacing w:val="-15"/>
          <w:kern w:val="36"/>
          <w:lang w:eastAsia="en-GB"/>
        </w:rPr>
        <w:t xml:space="preserve">Information Security Roles and Responsibilities. (2009). Retrieved from </w:t>
      </w:r>
      <w:hyperlink r:id="rId200" w:history="1">
        <w:r w:rsidRPr="00E3232D">
          <w:rPr>
            <w:rStyle w:val="Hyperlink"/>
            <w:rFonts w:ascii="Book Antiqua" w:hAnsi="Book Antiqua"/>
            <w:spacing w:val="-15"/>
            <w:kern w:val="36"/>
            <w:lang w:eastAsia="en-GB"/>
          </w:rPr>
          <w:t>www.cmu.edu/iso/governance/policies/information-security-roles.html</w:t>
        </w:r>
      </w:hyperlink>
    </w:p>
    <w:p w14:paraId="028D047C" w14:textId="77777777" w:rsidR="009120DF" w:rsidRPr="00E3232D" w:rsidRDefault="009120DF" w:rsidP="00465AE3">
      <w:pPr>
        <w:ind w:left="284" w:right="-45" w:hanging="284"/>
        <w:jc w:val="both"/>
        <w:rPr>
          <w:rFonts w:ascii="Book Antiqua" w:hAnsi="Book Antiqua"/>
        </w:rPr>
      </w:pPr>
      <w:r w:rsidRPr="00E3232D">
        <w:rPr>
          <w:rFonts w:ascii="Book Antiqua" w:hAnsi="Book Antiqua"/>
          <w:color w:val="000000"/>
          <w:spacing w:val="-15"/>
          <w:kern w:val="36"/>
          <w:lang w:eastAsia="en-GB"/>
        </w:rPr>
        <w:t xml:space="preserve">Inside the Murdoch empire. (2011, July 7). </w:t>
      </w:r>
      <w:r w:rsidRPr="00E3232D">
        <w:rPr>
          <w:rFonts w:ascii="Book Antiqua" w:hAnsi="Book Antiqua"/>
          <w:i/>
          <w:iCs/>
          <w:color w:val="000000"/>
          <w:spacing w:val="-15"/>
          <w:kern w:val="36"/>
          <w:lang w:eastAsia="en-GB"/>
        </w:rPr>
        <w:t xml:space="preserve">BBC News. </w:t>
      </w:r>
      <w:r w:rsidRPr="00E3232D">
        <w:rPr>
          <w:rFonts w:ascii="Book Antiqua" w:hAnsi="Book Antiqua"/>
          <w:color w:val="000000"/>
          <w:spacing w:val="-15"/>
          <w:kern w:val="36"/>
          <w:lang w:eastAsia="en-GB"/>
        </w:rPr>
        <w:t xml:space="preserve">Retrieved from </w:t>
      </w:r>
      <w:hyperlink r:id="rId201" w:history="1">
        <w:r w:rsidRPr="00E3232D">
          <w:rPr>
            <w:rStyle w:val="Hyperlink"/>
            <w:rFonts w:ascii="Book Antiqua" w:hAnsi="Book Antiqua"/>
            <w:spacing w:val="-15"/>
            <w:kern w:val="36"/>
            <w:lang w:eastAsia="en-GB"/>
          </w:rPr>
          <w:t>http://www.bbc.co.uk/news/uk-14030051</w:t>
        </w:r>
      </w:hyperlink>
    </w:p>
    <w:p w14:paraId="76F1C55C" w14:textId="77777777" w:rsidR="009120DF" w:rsidRPr="00E3232D" w:rsidRDefault="009120DF" w:rsidP="00465AE3">
      <w:pPr>
        <w:pStyle w:val="citation1"/>
        <w:spacing w:line="276" w:lineRule="auto"/>
        <w:ind w:left="360" w:hanging="360"/>
        <w:jc w:val="both"/>
        <w:rPr>
          <w:rFonts w:ascii="Book Antiqua" w:hAnsi="Book Antiqua"/>
          <w:sz w:val="22"/>
          <w:szCs w:val="22"/>
        </w:rPr>
      </w:pPr>
      <w:r w:rsidRPr="00E3232D">
        <w:rPr>
          <w:rFonts w:ascii="Book Antiqua" w:hAnsi="Book Antiqua"/>
          <w:sz w:val="22"/>
          <w:szCs w:val="22"/>
        </w:rPr>
        <w:t xml:space="preserve">McCann University-Academic Records. (n. d). Retrieved from                                          </w:t>
      </w:r>
      <w:hyperlink r:id="rId202" w:history="1">
        <w:r w:rsidRPr="00E3232D">
          <w:rPr>
            <w:rStyle w:val="Hyperlink"/>
            <w:rFonts w:ascii="Book Antiqua" w:hAnsi="Book Antiqua"/>
            <w:sz w:val="22"/>
            <w:szCs w:val="22"/>
          </w:rPr>
          <w:t>http://www.academic-records.mccannuniversity.org</w:t>
        </w:r>
      </w:hyperlink>
    </w:p>
    <w:p w14:paraId="342D6318" w14:textId="77777777" w:rsidR="009120DF" w:rsidRPr="00E3232D" w:rsidRDefault="009120DF" w:rsidP="00465AE3">
      <w:pPr>
        <w:pStyle w:val="citation1"/>
        <w:spacing w:line="276" w:lineRule="auto"/>
        <w:ind w:left="360" w:hanging="360"/>
        <w:jc w:val="both"/>
        <w:rPr>
          <w:rFonts w:ascii="Book Antiqua" w:hAnsi="Book Antiqua"/>
          <w:color w:val="FF0000"/>
          <w:sz w:val="22"/>
          <w:szCs w:val="22"/>
        </w:rPr>
      </w:pPr>
      <w:r w:rsidRPr="00E3232D">
        <w:rPr>
          <w:rFonts w:ascii="Book Antiqua" w:hAnsi="Book Antiqua"/>
          <w:sz w:val="22"/>
          <w:szCs w:val="22"/>
        </w:rPr>
        <w:t xml:space="preserve">Office of the University Registrar. </w:t>
      </w:r>
      <w:r w:rsidRPr="00E3232D">
        <w:rPr>
          <w:rFonts w:ascii="Book Antiqua" w:hAnsi="Book Antiqua"/>
          <w:color w:val="000000"/>
          <w:sz w:val="22"/>
          <w:szCs w:val="22"/>
        </w:rPr>
        <w:t>(2011). Retrieved from</w:t>
      </w:r>
      <w:r w:rsidRPr="00E3232D">
        <w:rPr>
          <w:rFonts w:ascii="Book Antiqua" w:hAnsi="Book Antiqua"/>
          <w:color w:val="FF0000"/>
          <w:sz w:val="22"/>
          <w:szCs w:val="22"/>
        </w:rPr>
        <w:t xml:space="preserve"> </w:t>
      </w:r>
      <w:hyperlink r:id="rId203" w:history="1">
        <w:r w:rsidRPr="00E3232D">
          <w:rPr>
            <w:rStyle w:val="Hyperlink"/>
            <w:rFonts w:ascii="Book Antiqua" w:hAnsi="Book Antiqua"/>
            <w:sz w:val="22"/>
            <w:szCs w:val="22"/>
          </w:rPr>
          <w:t>http://www.temple.edu/registrar/</w:t>
        </w:r>
      </w:hyperlink>
    </w:p>
    <w:p w14:paraId="4C3F6643" w14:textId="77777777" w:rsidR="00380077" w:rsidRPr="00E3232D" w:rsidRDefault="009120DF" w:rsidP="00465AE3">
      <w:pPr>
        <w:pStyle w:val="citation1"/>
        <w:spacing w:line="276" w:lineRule="auto"/>
        <w:ind w:left="360" w:hanging="360"/>
        <w:jc w:val="both"/>
        <w:rPr>
          <w:rFonts w:ascii="Book Antiqua" w:hAnsi="Book Antiqua"/>
          <w:i/>
          <w:iCs/>
          <w:sz w:val="22"/>
          <w:szCs w:val="22"/>
        </w:rPr>
      </w:pPr>
      <w:r w:rsidRPr="00E3232D">
        <w:rPr>
          <w:rFonts w:ascii="Book Antiqua" w:hAnsi="Book Antiqua"/>
          <w:sz w:val="22"/>
          <w:szCs w:val="22"/>
        </w:rPr>
        <w:t xml:space="preserve">Palys, T. (1997). </w:t>
      </w:r>
      <w:r w:rsidRPr="00E3232D">
        <w:rPr>
          <w:rFonts w:ascii="Book Antiqua" w:hAnsi="Book Antiqua"/>
          <w:i/>
          <w:iCs/>
          <w:sz w:val="22"/>
          <w:szCs w:val="22"/>
        </w:rPr>
        <w:t>Research decisions: Qualitative and quantitative perspectives (2</w:t>
      </w:r>
      <w:r w:rsidRPr="00E3232D">
        <w:rPr>
          <w:rFonts w:ascii="Book Antiqua" w:hAnsi="Book Antiqua"/>
          <w:i/>
          <w:iCs/>
          <w:sz w:val="22"/>
          <w:szCs w:val="22"/>
          <w:vertAlign w:val="superscript"/>
        </w:rPr>
        <w:t>nd</w:t>
      </w:r>
      <w:r w:rsidRPr="00E3232D">
        <w:rPr>
          <w:rFonts w:ascii="Book Antiqua" w:hAnsi="Book Antiqua"/>
          <w:i/>
          <w:iCs/>
          <w:sz w:val="22"/>
          <w:szCs w:val="22"/>
        </w:rPr>
        <w:t xml:space="preserve"> ed.). </w:t>
      </w:r>
      <w:r w:rsidRPr="00E3232D">
        <w:rPr>
          <w:rFonts w:ascii="Book Antiqua" w:hAnsi="Book Antiqua"/>
          <w:sz w:val="22"/>
          <w:szCs w:val="22"/>
        </w:rPr>
        <w:t>Toronto:</w:t>
      </w:r>
      <w:r w:rsidRPr="00E3232D">
        <w:rPr>
          <w:rFonts w:ascii="Book Antiqua" w:hAnsi="Book Antiqua"/>
          <w:i/>
          <w:iCs/>
          <w:sz w:val="22"/>
          <w:szCs w:val="22"/>
        </w:rPr>
        <w:t xml:space="preserve"> </w:t>
      </w:r>
      <w:r w:rsidRPr="00E3232D">
        <w:rPr>
          <w:rFonts w:ascii="Book Antiqua" w:hAnsi="Book Antiqua"/>
          <w:sz w:val="22"/>
          <w:szCs w:val="22"/>
        </w:rPr>
        <w:t>Harcourt Brace &amp; Company.</w:t>
      </w:r>
      <w:r w:rsidRPr="00E3232D">
        <w:rPr>
          <w:rFonts w:ascii="Book Antiqua" w:hAnsi="Book Antiqua"/>
          <w:i/>
          <w:iCs/>
          <w:sz w:val="22"/>
          <w:szCs w:val="22"/>
        </w:rPr>
        <w:t xml:space="preserve"> </w:t>
      </w:r>
    </w:p>
    <w:p w14:paraId="3742EA50" w14:textId="77777777" w:rsidR="009120DF" w:rsidRPr="00E3232D" w:rsidRDefault="009120DF" w:rsidP="00465AE3">
      <w:pPr>
        <w:pStyle w:val="citation1"/>
        <w:spacing w:line="276" w:lineRule="auto"/>
        <w:ind w:left="360" w:hanging="360"/>
        <w:jc w:val="both"/>
        <w:rPr>
          <w:rFonts w:ascii="Book Antiqua" w:hAnsi="Book Antiqua"/>
          <w:color w:val="000000"/>
          <w:sz w:val="22"/>
          <w:szCs w:val="22"/>
        </w:rPr>
      </w:pPr>
      <w:r w:rsidRPr="00E3232D">
        <w:rPr>
          <w:rFonts w:ascii="Book Antiqua" w:hAnsi="Book Antiqua"/>
          <w:sz w:val="22"/>
          <w:szCs w:val="22"/>
        </w:rPr>
        <w:t xml:space="preserve">Privacy. (2006). Retrieved from </w:t>
      </w:r>
      <w:hyperlink r:id="rId204" w:history="1">
        <w:r w:rsidRPr="00E3232D">
          <w:rPr>
            <w:rStyle w:val="Hyperlink"/>
            <w:rFonts w:ascii="Book Antiqua" w:hAnsi="Book Antiqua"/>
            <w:sz w:val="22"/>
            <w:szCs w:val="22"/>
          </w:rPr>
          <w:t>http://www.manchester.ac.uk/aboutus/documents/privacy/</w:t>
        </w:r>
      </w:hyperlink>
    </w:p>
    <w:p w14:paraId="1D23CDF7" w14:textId="77777777" w:rsidR="009120DF" w:rsidRPr="00E3232D" w:rsidRDefault="009120DF" w:rsidP="00465AE3">
      <w:pPr>
        <w:pStyle w:val="citation1"/>
        <w:spacing w:line="276" w:lineRule="auto"/>
        <w:ind w:left="360" w:hanging="360"/>
        <w:jc w:val="both"/>
        <w:rPr>
          <w:rFonts w:ascii="Book Antiqua" w:hAnsi="Book Antiqua"/>
          <w:color w:val="000000"/>
          <w:sz w:val="22"/>
          <w:szCs w:val="22"/>
        </w:rPr>
      </w:pPr>
      <w:r w:rsidRPr="00E3232D">
        <w:rPr>
          <w:rFonts w:ascii="Book Antiqua" w:hAnsi="Book Antiqua"/>
          <w:sz w:val="22"/>
          <w:szCs w:val="22"/>
        </w:rPr>
        <w:t xml:space="preserve">Raab, C. D. (2007). Privacy protection and ICT: Issues, instruments, and concepts. In R. Mansell, C. Avgerou, D. Quah &amp; R. Silverstone (Eds.), </w:t>
      </w:r>
      <w:r w:rsidRPr="00E3232D">
        <w:rPr>
          <w:rFonts w:ascii="Book Antiqua" w:hAnsi="Book Antiqua"/>
          <w:i/>
          <w:iCs/>
          <w:color w:val="000000"/>
          <w:sz w:val="22"/>
          <w:szCs w:val="22"/>
        </w:rPr>
        <w:t xml:space="preserve">The Oxford handbook of information and communication technologies </w:t>
      </w:r>
      <w:r w:rsidRPr="00E3232D">
        <w:rPr>
          <w:rFonts w:ascii="Book Antiqua" w:hAnsi="Book Antiqua"/>
          <w:color w:val="000000"/>
          <w:sz w:val="22"/>
          <w:szCs w:val="22"/>
        </w:rPr>
        <w:t>(pp. 427-448)</w:t>
      </w:r>
      <w:r w:rsidRPr="00E3232D">
        <w:rPr>
          <w:rFonts w:ascii="Book Antiqua" w:hAnsi="Book Antiqua"/>
          <w:i/>
          <w:iCs/>
          <w:color w:val="000000"/>
          <w:sz w:val="22"/>
          <w:szCs w:val="22"/>
        </w:rPr>
        <w:t>.</w:t>
      </w:r>
      <w:r w:rsidRPr="00E3232D">
        <w:rPr>
          <w:rFonts w:ascii="Book Antiqua" w:hAnsi="Book Antiqua"/>
          <w:color w:val="000000"/>
          <w:sz w:val="22"/>
          <w:szCs w:val="22"/>
        </w:rPr>
        <w:t xml:space="preserve"> Oxford: Oxford University Press. </w:t>
      </w:r>
    </w:p>
    <w:p w14:paraId="01A13A7A" w14:textId="77777777" w:rsidR="009120DF" w:rsidRPr="00E3232D" w:rsidRDefault="009120DF" w:rsidP="00465AE3">
      <w:pPr>
        <w:pStyle w:val="citation1"/>
        <w:spacing w:line="276" w:lineRule="auto"/>
        <w:ind w:left="360" w:hanging="360"/>
        <w:jc w:val="both"/>
        <w:rPr>
          <w:rFonts w:ascii="Book Antiqua" w:hAnsi="Book Antiqua"/>
          <w:sz w:val="22"/>
          <w:szCs w:val="22"/>
        </w:rPr>
      </w:pPr>
      <w:r w:rsidRPr="00E3232D">
        <w:rPr>
          <w:rFonts w:ascii="Book Antiqua" w:hAnsi="Book Antiqua"/>
          <w:sz w:val="22"/>
          <w:szCs w:val="22"/>
        </w:rPr>
        <w:t xml:space="preserve">Senn, J. A. (2004). </w:t>
      </w:r>
      <w:r w:rsidRPr="00E3232D">
        <w:rPr>
          <w:rFonts w:ascii="Book Antiqua" w:hAnsi="Book Antiqua"/>
          <w:i/>
          <w:iCs/>
          <w:sz w:val="22"/>
          <w:szCs w:val="22"/>
        </w:rPr>
        <w:t xml:space="preserve">Information Technology: Principles, practices, opportunities </w:t>
      </w:r>
      <w:r w:rsidRPr="00E3232D">
        <w:rPr>
          <w:rFonts w:ascii="Book Antiqua" w:hAnsi="Book Antiqua"/>
          <w:sz w:val="22"/>
          <w:szCs w:val="22"/>
        </w:rPr>
        <w:t>(3</w:t>
      </w:r>
      <w:r w:rsidRPr="00E3232D">
        <w:rPr>
          <w:rFonts w:ascii="Book Antiqua" w:hAnsi="Book Antiqua"/>
          <w:sz w:val="22"/>
          <w:szCs w:val="22"/>
          <w:vertAlign w:val="superscript"/>
        </w:rPr>
        <w:t>rd</w:t>
      </w:r>
      <w:r w:rsidRPr="00E3232D">
        <w:rPr>
          <w:rFonts w:ascii="Book Antiqua" w:hAnsi="Book Antiqua"/>
          <w:sz w:val="22"/>
          <w:szCs w:val="22"/>
        </w:rPr>
        <w:t xml:space="preserve"> ed.). Upper Saddle River: Pearson Prentice hall.</w:t>
      </w:r>
    </w:p>
    <w:p w14:paraId="214D0136" w14:textId="77777777" w:rsidR="009120DF" w:rsidRPr="00E3232D" w:rsidRDefault="009120DF" w:rsidP="00465AE3">
      <w:pPr>
        <w:pStyle w:val="citation1"/>
        <w:spacing w:line="276" w:lineRule="auto"/>
        <w:ind w:left="360" w:hanging="360"/>
        <w:jc w:val="both"/>
        <w:rPr>
          <w:rFonts w:ascii="Book Antiqua" w:hAnsi="Book Antiqua"/>
          <w:color w:val="000000"/>
          <w:sz w:val="22"/>
          <w:szCs w:val="22"/>
        </w:rPr>
      </w:pPr>
      <w:r w:rsidRPr="00E3232D">
        <w:rPr>
          <w:rFonts w:ascii="Book Antiqua" w:hAnsi="Book Antiqua"/>
          <w:color w:val="000000"/>
          <w:sz w:val="22"/>
          <w:szCs w:val="22"/>
        </w:rPr>
        <w:t>Temple Unversity: Policies and Procedures Manual (1977).  Retrieved from</w:t>
      </w:r>
      <w:r w:rsidRPr="00E3232D">
        <w:rPr>
          <w:rFonts w:ascii="Book Antiqua" w:hAnsi="Book Antiqua"/>
          <w:color w:val="0000FF"/>
          <w:sz w:val="22"/>
          <w:szCs w:val="22"/>
        </w:rPr>
        <w:t xml:space="preserve"> </w:t>
      </w:r>
      <w:hyperlink r:id="rId205" w:history="1">
        <w:r w:rsidRPr="00E3232D">
          <w:rPr>
            <w:rStyle w:val="Hyperlink"/>
            <w:rFonts w:ascii="Book Antiqua" w:hAnsi="Book Antiqua"/>
            <w:sz w:val="22"/>
            <w:szCs w:val="22"/>
          </w:rPr>
          <w:t>http://policies.temple.edu/ferpa</w:t>
        </w:r>
      </w:hyperlink>
      <w:r w:rsidRPr="00E3232D">
        <w:rPr>
          <w:rFonts w:ascii="Book Antiqua" w:hAnsi="Book Antiqua"/>
          <w:color w:val="0000FF"/>
          <w:sz w:val="22"/>
          <w:szCs w:val="22"/>
        </w:rPr>
        <w:t>.</w:t>
      </w:r>
      <w:r w:rsidRPr="00E3232D">
        <w:rPr>
          <w:rFonts w:ascii="Book Antiqua" w:hAnsi="Book Antiqua"/>
          <w:color w:val="FF0000"/>
          <w:sz w:val="22"/>
          <w:szCs w:val="22"/>
        </w:rPr>
        <w:t xml:space="preserve"> </w:t>
      </w:r>
    </w:p>
    <w:p w14:paraId="22343283" w14:textId="77777777" w:rsidR="009120DF" w:rsidRPr="00E3232D" w:rsidRDefault="009120DF" w:rsidP="00465AE3">
      <w:pPr>
        <w:ind w:left="360" w:right="-45" w:hanging="360"/>
        <w:jc w:val="both"/>
        <w:rPr>
          <w:rFonts w:ascii="Book Antiqua" w:hAnsi="Book Antiqua"/>
        </w:rPr>
      </w:pPr>
      <w:r w:rsidRPr="00E3232D">
        <w:rPr>
          <w:rFonts w:ascii="Book Antiqua" w:hAnsi="Book Antiqua"/>
          <w:lang w:eastAsia="en-GB"/>
        </w:rPr>
        <w:t xml:space="preserve">The Eight Data Protection Principles. (2008). Retrieved from </w:t>
      </w:r>
      <w:hyperlink r:id="rId206" w:history="1">
        <w:r w:rsidRPr="00E3232D">
          <w:rPr>
            <w:rStyle w:val="Hyperlink"/>
            <w:rFonts w:ascii="Book Antiqua" w:hAnsi="Book Antiqua"/>
            <w:lang w:eastAsia="en-GB"/>
          </w:rPr>
          <w:t>http://www.recordsmanagement.ed.ac.uk/InfoStaff/DPstaff/DPPrinciples.htm</w:t>
        </w:r>
      </w:hyperlink>
    </w:p>
    <w:p w14:paraId="47828BEA" w14:textId="77777777" w:rsidR="00FF1628" w:rsidRPr="00E3232D" w:rsidRDefault="00FF1628" w:rsidP="008275E1">
      <w:pPr>
        <w:rPr>
          <w:rFonts w:ascii="Book Antiqua" w:hAnsi="Book Antiqua"/>
        </w:rPr>
        <w:sectPr w:rsidR="00FF1628" w:rsidRPr="00E3232D" w:rsidSect="008F6BC9">
          <w:type w:val="continuous"/>
          <w:pgSz w:w="11907" w:h="16839" w:code="9"/>
          <w:pgMar w:top="1440" w:right="1274" w:bottom="1440" w:left="1440" w:header="708" w:footer="708" w:gutter="0"/>
          <w:cols w:num="2" w:space="720"/>
          <w:docGrid w:linePitch="360"/>
        </w:sectPr>
      </w:pPr>
    </w:p>
    <w:p w14:paraId="763E7AAA" w14:textId="77777777" w:rsidR="00E00EF9" w:rsidRDefault="00E00EF9" w:rsidP="001A06E6">
      <w:pPr>
        <w:widowControl w:val="0"/>
        <w:autoSpaceDE w:val="0"/>
        <w:autoSpaceDN w:val="0"/>
        <w:adjustRightInd w:val="0"/>
        <w:spacing w:before="74" w:after="0"/>
        <w:ind w:right="80"/>
        <w:jc w:val="center"/>
        <w:rPr>
          <w:rFonts w:ascii="Book Antiqua" w:hAnsi="Book Antiqua"/>
          <w:b/>
          <w:sz w:val="26"/>
          <w:szCs w:val="26"/>
        </w:rPr>
      </w:pPr>
      <w:r w:rsidRPr="00C43592">
        <w:rPr>
          <w:rFonts w:ascii="Book Antiqua" w:hAnsi="Book Antiqua"/>
          <w:b/>
          <w:spacing w:val="-3"/>
          <w:sz w:val="26"/>
          <w:szCs w:val="26"/>
        </w:rPr>
        <w:t>I</w:t>
      </w:r>
      <w:r w:rsidRPr="00C43592">
        <w:rPr>
          <w:rFonts w:ascii="Book Antiqua" w:hAnsi="Book Antiqua"/>
          <w:b/>
          <w:spacing w:val="2"/>
          <w:sz w:val="26"/>
          <w:szCs w:val="26"/>
        </w:rPr>
        <w:t>n</w:t>
      </w:r>
      <w:r w:rsidRPr="00C43592">
        <w:rPr>
          <w:rFonts w:ascii="Book Antiqua" w:hAnsi="Book Antiqua"/>
          <w:b/>
          <w:sz w:val="26"/>
          <w:szCs w:val="26"/>
        </w:rPr>
        <w:t>n</w:t>
      </w:r>
      <w:r w:rsidRPr="00C43592">
        <w:rPr>
          <w:rFonts w:ascii="Book Antiqua" w:hAnsi="Book Antiqua"/>
          <w:b/>
          <w:spacing w:val="-1"/>
          <w:sz w:val="26"/>
          <w:szCs w:val="26"/>
        </w:rPr>
        <w:t>o</w:t>
      </w:r>
      <w:r w:rsidRPr="00C43592">
        <w:rPr>
          <w:rFonts w:ascii="Book Antiqua" w:hAnsi="Book Antiqua"/>
          <w:b/>
          <w:sz w:val="26"/>
          <w:szCs w:val="26"/>
        </w:rPr>
        <w:t>v</w:t>
      </w:r>
      <w:r w:rsidRPr="00C43592">
        <w:rPr>
          <w:rFonts w:ascii="Book Antiqua" w:hAnsi="Book Antiqua"/>
          <w:b/>
          <w:spacing w:val="1"/>
          <w:sz w:val="26"/>
          <w:szCs w:val="26"/>
        </w:rPr>
        <w:t>a</w:t>
      </w:r>
      <w:r w:rsidRPr="00C43592">
        <w:rPr>
          <w:rFonts w:ascii="Book Antiqua" w:hAnsi="Book Antiqua"/>
          <w:b/>
          <w:spacing w:val="2"/>
          <w:sz w:val="26"/>
          <w:szCs w:val="26"/>
        </w:rPr>
        <w:t>t</w:t>
      </w:r>
      <w:r w:rsidRPr="00C43592">
        <w:rPr>
          <w:rFonts w:ascii="Book Antiqua" w:hAnsi="Book Antiqua"/>
          <w:b/>
          <w:spacing w:val="-3"/>
          <w:sz w:val="26"/>
          <w:szCs w:val="26"/>
        </w:rPr>
        <w:t>i</w:t>
      </w:r>
      <w:r w:rsidRPr="00C43592">
        <w:rPr>
          <w:rFonts w:ascii="Book Antiqua" w:hAnsi="Book Antiqua"/>
          <w:b/>
          <w:sz w:val="26"/>
          <w:szCs w:val="26"/>
        </w:rPr>
        <w:t>o</w:t>
      </w:r>
      <w:r w:rsidRPr="00C43592">
        <w:rPr>
          <w:rFonts w:ascii="Book Antiqua" w:hAnsi="Book Antiqua"/>
          <w:b/>
          <w:spacing w:val="-1"/>
          <w:sz w:val="26"/>
          <w:szCs w:val="26"/>
        </w:rPr>
        <w:t>n</w:t>
      </w:r>
      <w:r w:rsidRPr="00C43592">
        <w:rPr>
          <w:rFonts w:ascii="Book Antiqua" w:hAnsi="Book Antiqua"/>
          <w:b/>
          <w:spacing w:val="1"/>
          <w:sz w:val="26"/>
          <w:szCs w:val="26"/>
        </w:rPr>
        <w:t xml:space="preserve"> </w:t>
      </w:r>
      <w:r w:rsidRPr="00C43592">
        <w:rPr>
          <w:rFonts w:ascii="Book Antiqua" w:hAnsi="Book Antiqua"/>
          <w:b/>
          <w:sz w:val="26"/>
          <w:szCs w:val="26"/>
        </w:rPr>
        <w:t>for</w:t>
      </w:r>
      <w:r w:rsidRPr="00C43592">
        <w:rPr>
          <w:rFonts w:ascii="Book Antiqua" w:hAnsi="Book Antiqua"/>
          <w:b/>
          <w:spacing w:val="2"/>
          <w:sz w:val="26"/>
          <w:szCs w:val="26"/>
        </w:rPr>
        <w:t xml:space="preserve"> </w:t>
      </w:r>
      <w:r w:rsidRPr="00C43592">
        <w:rPr>
          <w:rFonts w:ascii="Book Antiqua" w:hAnsi="Book Antiqua"/>
          <w:b/>
          <w:sz w:val="26"/>
          <w:szCs w:val="26"/>
        </w:rPr>
        <w:t>growth</w:t>
      </w:r>
      <w:r w:rsidRPr="00C43592">
        <w:rPr>
          <w:rFonts w:ascii="Book Antiqua" w:hAnsi="Book Antiqua"/>
          <w:b/>
          <w:spacing w:val="1"/>
          <w:sz w:val="26"/>
          <w:szCs w:val="26"/>
        </w:rPr>
        <w:t xml:space="preserve"> </w:t>
      </w:r>
      <w:r w:rsidRPr="00C43592">
        <w:rPr>
          <w:rFonts w:ascii="Book Antiqua" w:hAnsi="Book Antiqua"/>
          <w:b/>
          <w:spacing w:val="-3"/>
          <w:sz w:val="26"/>
          <w:szCs w:val="26"/>
        </w:rPr>
        <w:t>in</w:t>
      </w:r>
      <w:r w:rsidRPr="00C43592">
        <w:rPr>
          <w:rFonts w:ascii="Book Antiqua" w:hAnsi="Book Antiqua"/>
          <w:b/>
          <w:sz w:val="26"/>
          <w:szCs w:val="26"/>
        </w:rPr>
        <w:t xml:space="preserve"> </w:t>
      </w:r>
      <w:r w:rsidRPr="00C43592">
        <w:rPr>
          <w:rFonts w:ascii="Book Antiqua" w:hAnsi="Book Antiqua"/>
          <w:b/>
          <w:spacing w:val="1"/>
          <w:sz w:val="26"/>
          <w:szCs w:val="26"/>
        </w:rPr>
        <w:t>the</w:t>
      </w:r>
      <w:r w:rsidRPr="00C43592">
        <w:rPr>
          <w:rFonts w:ascii="Book Antiqua" w:hAnsi="Book Antiqua"/>
          <w:b/>
          <w:sz w:val="26"/>
          <w:szCs w:val="26"/>
        </w:rPr>
        <w:t xml:space="preserve"> Co</w:t>
      </w:r>
      <w:r w:rsidRPr="00C43592">
        <w:rPr>
          <w:rFonts w:ascii="Book Antiqua" w:hAnsi="Book Antiqua"/>
          <w:b/>
          <w:spacing w:val="-1"/>
          <w:sz w:val="26"/>
          <w:szCs w:val="26"/>
        </w:rPr>
        <w:t>n</w:t>
      </w:r>
      <w:r w:rsidRPr="00C43592">
        <w:rPr>
          <w:rFonts w:ascii="Book Antiqua" w:hAnsi="Book Antiqua"/>
          <w:b/>
          <w:sz w:val="26"/>
          <w:szCs w:val="26"/>
        </w:rPr>
        <w:t>te</w:t>
      </w:r>
      <w:r w:rsidRPr="00C43592">
        <w:rPr>
          <w:rFonts w:ascii="Book Antiqua" w:hAnsi="Book Antiqua"/>
          <w:b/>
          <w:spacing w:val="-1"/>
          <w:sz w:val="26"/>
          <w:szCs w:val="26"/>
        </w:rPr>
        <w:t>x</w:t>
      </w:r>
      <w:r w:rsidRPr="00C43592">
        <w:rPr>
          <w:rFonts w:ascii="Book Antiqua" w:hAnsi="Book Antiqua"/>
          <w:b/>
          <w:sz w:val="26"/>
          <w:szCs w:val="26"/>
        </w:rPr>
        <w:t xml:space="preserve">t </w:t>
      </w:r>
      <w:r w:rsidRPr="00C43592">
        <w:rPr>
          <w:rFonts w:ascii="Book Antiqua" w:hAnsi="Book Antiqua"/>
          <w:b/>
          <w:spacing w:val="1"/>
          <w:sz w:val="26"/>
          <w:szCs w:val="26"/>
        </w:rPr>
        <w:t>of</w:t>
      </w:r>
      <w:r w:rsidRPr="00C43592">
        <w:rPr>
          <w:rFonts w:ascii="Book Antiqua" w:hAnsi="Book Antiqua"/>
          <w:b/>
          <w:spacing w:val="-1"/>
          <w:sz w:val="26"/>
          <w:szCs w:val="26"/>
        </w:rPr>
        <w:t xml:space="preserve"> </w:t>
      </w:r>
      <w:r w:rsidRPr="00C43592">
        <w:rPr>
          <w:rFonts w:ascii="Book Antiqua" w:hAnsi="Book Antiqua"/>
          <w:b/>
          <w:spacing w:val="1"/>
          <w:sz w:val="26"/>
          <w:szCs w:val="26"/>
        </w:rPr>
        <w:t>P</w:t>
      </w:r>
      <w:r w:rsidRPr="00C43592">
        <w:rPr>
          <w:rFonts w:ascii="Book Antiqua" w:hAnsi="Book Antiqua"/>
          <w:b/>
          <w:sz w:val="26"/>
          <w:szCs w:val="26"/>
        </w:rPr>
        <w:t>o</w:t>
      </w:r>
      <w:r w:rsidRPr="00C43592">
        <w:rPr>
          <w:rFonts w:ascii="Book Antiqua" w:hAnsi="Book Antiqua"/>
          <w:b/>
          <w:spacing w:val="1"/>
          <w:sz w:val="26"/>
          <w:szCs w:val="26"/>
        </w:rPr>
        <w:t>t</w:t>
      </w:r>
      <w:r w:rsidRPr="00C43592">
        <w:rPr>
          <w:rFonts w:ascii="Book Antiqua" w:hAnsi="Book Antiqua"/>
          <w:b/>
          <w:sz w:val="26"/>
          <w:szCs w:val="26"/>
        </w:rPr>
        <w:t>en</w:t>
      </w:r>
      <w:r w:rsidRPr="00C43592">
        <w:rPr>
          <w:rFonts w:ascii="Book Antiqua" w:hAnsi="Book Antiqua"/>
          <w:b/>
          <w:spacing w:val="1"/>
          <w:sz w:val="26"/>
          <w:szCs w:val="26"/>
        </w:rPr>
        <w:t>t</w:t>
      </w:r>
      <w:r w:rsidRPr="00C43592">
        <w:rPr>
          <w:rFonts w:ascii="Book Antiqua" w:hAnsi="Book Antiqua"/>
          <w:b/>
          <w:spacing w:val="-3"/>
          <w:sz w:val="26"/>
          <w:szCs w:val="26"/>
        </w:rPr>
        <w:t>i</w:t>
      </w:r>
      <w:r w:rsidRPr="00C43592">
        <w:rPr>
          <w:rFonts w:ascii="Book Antiqua" w:hAnsi="Book Antiqua"/>
          <w:b/>
          <w:spacing w:val="2"/>
          <w:sz w:val="26"/>
          <w:szCs w:val="26"/>
        </w:rPr>
        <w:t>a</w:t>
      </w:r>
      <w:r w:rsidRPr="00C43592">
        <w:rPr>
          <w:rFonts w:ascii="Book Antiqua" w:hAnsi="Book Antiqua"/>
          <w:b/>
          <w:sz w:val="26"/>
          <w:szCs w:val="26"/>
        </w:rPr>
        <w:t>l</w:t>
      </w:r>
      <w:r w:rsidRPr="00C43592">
        <w:rPr>
          <w:rFonts w:ascii="Book Antiqua" w:hAnsi="Book Antiqua"/>
          <w:b/>
          <w:spacing w:val="-3"/>
          <w:sz w:val="26"/>
          <w:szCs w:val="26"/>
        </w:rPr>
        <w:t xml:space="preserve"> </w:t>
      </w:r>
      <w:r w:rsidRPr="00C43592">
        <w:rPr>
          <w:rFonts w:ascii="Book Antiqua" w:hAnsi="Book Antiqua"/>
          <w:b/>
          <w:spacing w:val="2"/>
          <w:sz w:val="26"/>
          <w:szCs w:val="26"/>
        </w:rPr>
        <w:t>M</w:t>
      </w:r>
      <w:r w:rsidRPr="00C43592">
        <w:rPr>
          <w:rFonts w:ascii="Book Antiqua" w:hAnsi="Book Antiqua"/>
          <w:b/>
          <w:spacing w:val="-3"/>
          <w:sz w:val="26"/>
          <w:szCs w:val="26"/>
        </w:rPr>
        <w:t>i</w:t>
      </w:r>
      <w:r w:rsidRPr="00C43592">
        <w:rPr>
          <w:rFonts w:ascii="Book Antiqua" w:hAnsi="Book Antiqua"/>
          <w:b/>
          <w:sz w:val="26"/>
          <w:szCs w:val="26"/>
        </w:rPr>
        <w:t>cro En</w:t>
      </w:r>
      <w:r w:rsidRPr="00C43592">
        <w:rPr>
          <w:rFonts w:ascii="Book Antiqua" w:hAnsi="Book Antiqua"/>
          <w:b/>
          <w:spacing w:val="-1"/>
          <w:sz w:val="26"/>
          <w:szCs w:val="26"/>
        </w:rPr>
        <w:t>t</w:t>
      </w:r>
      <w:r w:rsidRPr="00C43592">
        <w:rPr>
          <w:rFonts w:ascii="Book Antiqua" w:hAnsi="Book Antiqua"/>
          <w:b/>
          <w:sz w:val="26"/>
          <w:szCs w:val="26"/>
        </w:rPr>
        <w:t>rep</w:t>
      </w:r>
      <w:r w:rsidRPr="00C43592">
        <w:rPr>
          <w:rFonts w:ascii="Book Antiqua" w:hAnsi="Book Antiqua"/>
          <w:b/>
          <w:spacing w:val="1"/>
          <w:sz w:val="26"/>
          <w:szCs w:val="26"/>
        </w:rPr>
        <w:t>r</w:t>
      </w:r>
      <w:r w:rsidRPr="00C43592">
        <w:rPr>
          <w:rFonts w:ascii="Book Antiqua" w:hAnsi="Book Antiqua"/>
          <w:b/>
          <w:sz w:val="26"/>
          <w:szCs w:val="26"/>
        </w:rPr>
        <w:t>en</w:t>
      </w:r>
      <w:r w:rsidRPr="00C43592">
        <w:rPr>
          <w:rFonts w:ascii="Book Antiqua" w:hAnsi="Book Antiqua"/>
          <w:b/>
          <w:spacing w:val="-1"/>
          <w:sz w:val="26"/>
          <w:szCs w:val="26"/>
        </w:rPr>
        <w:t>e</w:t>
      </w:r>
      <w:r w:rsidRPr="00C43592">
        <w:rPr>
          <w:rFonts w:ascii="Book Antiqua" w:hAnsi="Book Antiqua"/>
          <w:b/>
          <w:sz w:val="26"/>
          <w:szCs w:val="26"/>
        </w:rPr>
        <w:t>u</w:t>
      </w:r>
      <w:r w:rsidRPr="00C43592">
        <w:rPr>
          <w:rFonts w:ascii="Book Antiqua" w:hAnsi="Book Antiqua"/>
          <w:b/>
          <w:spacing w:val="2"/>
          <w:sz w:val="26"/>
          <w:szCs w:val="26"/>
        </w:rPr>
        <w:t>r</w:t>
      </w:r>
      <w:r w:rsidRPr="00C43592">
        <w:rPr>
          <w:rFonts w:ascii="Book Antiqua" w:hAnsi="Book Antiqua"/>
          <w:b/>
          <w:spacing w:val="-6"/>
          <w:sz w:val="26"/>
          <w:szCs w:val="26"/>
        </w:rPr>
        <w:t>i</w:t>
      </w:r>
      <w:r w:rsidRPr="00C43592">
        <w:rPr>
          <w:rFonts w:ascii="Book Antiqua" w:hAnsi="Book Antiqua"/>
          <w:b/>
          <w:spacing w:val="2"/>
          <w:sz w:val="26"/>
          <w:szCs w:val="26"/>
        </w:rPr>
        <w:t>a</w:t>
      </w:r>
      <w:r w:rsidRPr="00C43592">
        <w:rPr>
          <w:rFonts w:ascii="Book Antiqua" w:hAnsi="Book Antiqua"/>
          <w:b/>
          <w:sz w:val="26"/>
          <w:szCs w:val="26"/>
        </w:rPr>
        <w:t xml:space="preserve">l </w:t>
      </w:r>
      <w:r w:rsidRPr="00C43592">
        <w:rPr>
          <w:rFonts w:ascii="Book Antiqua" w:hAnsi="Book Antiqua"/>
          <w:b/>
          <w:spacing w:val="-2"/>
          <w:sz w:val="26"/>
          <w:szCs w:val="26"/>
        </w:rPr>
        <w:t>B</w:t>
      </w:r>
      <w:r w:rsidRPr="00C43592">
        <w:rPr>
          <w:rFonts w:ascii="Book Antiqua" w:hAnsi="Book Antiqua"/>
          <w:b/>
          <w:sz w:val="26"/>
          <w:szCs w:val="26"/>
        </w:rPr>
        <w:t>or</w:t>
      </w:r>
      <w:r w:rsidRPr="00C43592">
        <w:rPr>
          <w:rFonts w:ascii="Book Antiqua" w:hAnsi="Book Antiqua"/>
          <w:b/>
          <w:spacing w:val="1"/>
          <w:sz w:val="26"/>
          <w:szCs w:val="26"/>
        </w:rPr>
        <w:t>r</w:t>
      </w:r>
      <w:r w:rsidRPr="00C43592">
        <w:rPr>
          <w:rFonts w:ascii="Book Antiqua" w:hAnsi="Book Antiqua"/>
          <w:b/>
          <w:sz w:val="26"/>
          <w:szCs w:val="26"/>
        </w:rPr>
        <w:t>o</w:t>
      </w:r>
      <w:r w:rsidRPr="00C43592">
        <w:rPr>
          <w:rFonts w:ascii="Book Antiqua" w:hAnsi="Book Antiqua"/>
          <w:b/>
          <w:spacing w:val="1"/>
          <w:sz w:val="26"/>
          <w:szCs w:val="26"/>
        </w:rPr>
        <w:t>w</w:t>
      </w:r>
      <w:r w:rsidRPr="00C43592">
        <w:rPr>
          <w:rFonts w:ascii="Book Antiqua" w:hAnsi="Book Antiqua"/>
          <w:b/>
          <w:sz w:val="26"/>
          <w:szCs w:val="26"/>
        </w:rPr>
        <w:t>ers</w:t>
      </w:r>
      <w:r w:rsidRPr="00C43592">
        <w:rPr>
          <w:rFonts w:ascii="Book Antiqua" w:hAnsi="Book Antiqua"/>
          <w:b/>
          <w:spacing w:val="3"/>
          <w:sz w:val="26"/>
          <w:szCs w:val="26"/>
        </w:rPr>
        <w:t xml:space="preserve"> </w:t>
      </w:r>
      <w:r w:rsidRPr="00C43592">
        <w:rPr>
          <w:rFonts w:ascii="Book Antiqua" w:hAnsi="Book Antiqua"/>
          <w:b/>
          <w:spacing w:val="-6"/>
          <w:sz w:val="26"/>
          <w:szCs w:val="26"/>
        </w:rPr>
        <w:t>in</w:t>
      </w:r>
      <w:r w:rsidRPr="00C43592">
        <w:rPr>
          <w:rFonts w:ascii="Book Antiqua" w:hAnsi="Book Antiqua"/>
          <w:b/>
          <w:sz w:val="26"/>
          <w:szCs w:val="26"/>
        </w:rPr>
        <w:t xml:space="preserve"> the</w:t>
      </w:r>
      <w:r w:rsidRPr="00C43592">
        <w:rPr>
          <w:rFonts w:ascii="Book Antiqua" w:hAnsi="Book Antiqua"/>
          <w:b/>
          <w:spacing w:val="2"/>
          <w:sz w:val="26"/>
          <w:szCs w:val="26"/>
        </w:rPr>
        <w:t xml:space="preserve"> </w:t>
      </w:r>
      <w:r w:rsidRPr="00C43592">
        <w:rPr>
          <w:rFonts w:ascii="Book Antiqua" w:hAnsi="Book Antiqua"/>
          <w:b/>
          <w:sz w:val="26"/>
          <w:szCs w:val="26"/>
        </w:rPr>
        <w:t>Tam</w:t>
      </w:r>
      <w:r w:rsidRPr="00C43592">
        <w:rPr>
          <w:rFonts w:ascii="Book Antiqua" w:hAnsi="Book Antiqua"/>
          <w:b/>
          <w:spacing w:val="1"/>
          <w:sz w:val="26"/>
          <w:szCs w:val="26"/>
        </w:rPr>
        <w:t>a</w:t>
      </w:r>
      <w:r w:rsidRPr="00C43592">
        <w:rPr>
          <w:rFonts w:ascii="Book Antiqua" w:hAnsi="Book Antiqua"/>
          <w:b/>
          <w:spacing w:val="-3"/>
          <w:sz w:val="26"/>
          <w:szCs w:val="26"/>
        </w:rPr>
        <w:t>l</w:t>
      </w:r>
      <w:r w:rsidRPr="00C43592">
        <w:rPr>
          <w:rFonts w:ascii="Book Antiqua" w:hAnsi="Book Antiqua"/>
          <w:b/>
          <w:sz w:val="26"/>
          <w:szCs w:val="26"/>
        </w:rPr>
        <w:t>e Metrop</w:t>
      </w:r>
      <w:r w:rsidRPr="00C43592">
        <w:rPr>
          <w:rFonts w:ascii="Book Antiqua" w:hAnsi="Book Antiqua"/>
          <w:b/>
          <w:spacing w:val="2"/>
          <w:sz w:val="26"/>
          <w:szCs w:val="26"/>
        </w:rPr>
        <w:t>o</w:t>
      </w:r>
      <w:r w:rsidRPr="00C43592">
        <w:rPr>
          <w:rFonts w:ascii="Book Antiqua" w:hAnsi="Book Antiqua"/>
          <w:b/>
          <w:sz w:val="26"/>
          <w:szCs w:val="26"/>
        </w:rPr>
        <w:t>l</w:t>
      </w:r>
      <w:r w:rsidRPr="00C43592">
        <w:rPr>
          <w:rFonts w:ascii="Book Antiqua" w:hAnsi="Book Antiqua"/>
          <w:b/>
          <w:spacing w:val="-1"/>
          <w:sz w:val="26"/>
          <w:szCs w:val="26"/>
        </w:rPr>
        <w:t>i</w:t>
      </w:r>
      <w:r w:rsidRPr="00C43592">
        <w:rPr>
          <w:rFonts w:ascii="Book Antiqua" w:hAnsi="Book Antiqua"/>
          <w:b/>
          <w:sz w:val="26"/>
          <w:szCs w:val="26"/>
        </w:rPr>
        <w:t>tan</w:t>
      </w:r>
      <w:r w:rsidRPr="00C43592">
        <w:rPr>
          <w:rFonts w:ascii="Book Antiqua" w:hAnsi="Book Antiqua"/>
          <w:b/>
          <w:spacing w:val="-1"/>
          <w:sz w:val="26"/>
          <w:szCs w:val="26"/>
        </w:rPr>
        <w:t xml:space="preserve"> </w:t>
      </w:r>
      <w:r w:rsidRPr="00C43592">
        <w:rPr>
          <w:rFonts w:ascii="Book Antiqua" w:hAnsi="Book Antiqua"/>
          <w:b/>
          <w:sz w:val="26"/>
          <w:szCs w:val="26"/>
        </w:rPr>
        <w:t xml:space="preserve">Area </w:t>
      </w:r>
      <w:r w:rsidRPr="00C43592">
        <w:rPr>
          <w:rFonts w:ascii="Book Antiqua" w:hAnsi="Book Antiqua"/>
          <w:b/>
          <w:spacing w:val="1"/>
          <w:sz w:val="26"/>
          <w:szCs w:val="26"/>
        </w:rPr>
        <w:t>of</w:t>
      </w:r>
      <w:r w:rsidRPr="00C43592">
        <w:rPr>
          <w:rFonts w:ascii="Book Antiqua" w:hAnsi="Book Antiqua"/>
          <w:b/>
          <w:sz w:val="26"/>
          <w:szCs w:val="26"/>
        </w:rPr>
        <w:t xml:space="preserve"> Ghana.</w:t>
      </w:r>
    </w:p>
    <w:p w14:paraId="55F4CE6F" w14:textId="77777777" w:rsidR="002F73CF" w:rsidRPr="002F73CF" w:rsidRDefault="002F73CF" w:rsidP="001A06E6">
      <w:pPr>
        <w:widowControl w:val="0"/>
        <w:autoSpaceDE w:val="0"/>
        <w:autoSpaceDN w:val="0"/>
        <w:adjustRightInd w:val="0"/>
        <w:spacing w:before="74" w:after="0"/>
        <w:ind w:right="80"/>
        <w:jc w:val="center"/>
        <w:rPr>
          <w:rFonts w:ascii="Book Antiqua" w:hAnsi="Book Antiqua"/>
          <w:b/>
          <w:sz w:val="26"/>
          <w:szCs w:val="26"/>
        </w:rPr>
      </w:pPr>
    </w:p>
    <w:p w14:paraId="2BA049C6" w14:textId="77777777" w:rsidR="00E00EF9" w:rsidRPr="00465AE3" w:rsidRDefault="00E00EF9" w:rsidP="001A06E6">
      <w:pPr>
        <w:spacing w:after="0"/>
        <w:jc w:val="center"/>
        <w:rPr>
          <w:rFonts w:ascii="Book Antiqua" w:hAnsi="Book Antiqua"/>
          <w:b/>
          <w:sz w:val="26"/>
        </w:rPr>
      </w:pPr>
      <w:r w:rsidRPr="00465AE3">
        <w:rPr>
          <w:rFonts w:ascii="Book Antiqua" w:hAnsi="Book Antiqua"/>
          <w:b/>
          <w:sz w:val="26"/>
        </w:rPr>
        <w:t>Jamal. M, Es</w:t>
      </w:r>
      <w:r w:rsidRPr="00465AE3">
        <w:rPr>
          <w:rFonts w:ascii="Book Antiqua" w:hAnsi="Book Antiqua"/>
          <w:b/>
          <w:spacing w:val="1"/>
          <w:sz w:val="26"/>
        </w:rPr>
        <w:t>s</w:t>
      </w:r>
      <w:r w:rsidRPr="00465AE3">
        <w:rPr>
          <w:rFonts w:ascii="Book Antiqua" w:hAnsi="Book Antiqua"/>
          <w:b/>
          <w:spacing w:val="2"/>
          <w:sz w:val="26"/>
        </w:rPr>
        <w:t>e</w:t>
      </w:r>
      <w:r w:rsidRPr="00465AE3">
        <w:rPr>
          <w:rFonts w:ascii="Book Antiqua" w:hAnsi="Book Antiqua"/>
          <w:b/>
          <w:sz w:val="26"/>
        </w:rPr>
        <w:t xml:space="preserve">l C. H, &amp; </w:t>
      </w:r>
      <w:r w:rsidRPr="00465AE3">
        <w:rPr>
          <w:rFonts w:ascii="Book Antiqua" w:hAnsi="Book Antiqua"/>
          <w:b/>
          <w:spacing w:val="-1"/>
          <w:sz w:val="26"/>
        </w:rPr>
        <w:t>A</w:t>
      </w:r>
      <w:r w:rsidRPr="00465AE3">
        <w:rPr>
          <w:rFonts w:ascii="Book Antiqua" w:hAnsi="Book Antiqua"/>
          <w:b/>
          <w:sz w:val="26"/>
        </w:rPr>
        <w:t>g</w:t>
      </w:r>
      <w:r w:rsidRPr="00465AE3">
        <w:rPr>
          <w:rFonts w:ascii="Book Antiqua" w:hAnsi="Book Antiqua"/>
          <w:b/>
          <w:spacing w:val="-1"/>
          <w:sz w:val="26"/>
        </w:rPr>
        <w:t>y</w:t>
      </w:r>
      <w:r w:rsidRPr="00465AE3">
        <w:rPr>
          <w:rFonts w:ascii="Book Antiqua" w:hAnsi="Book Antiqua"/>
          <w:b/>
          <w:spacing w:val="2"/>
          <w:sz w:val="26"/>
        </w:rPr>
        <w:t>e</w:t>
      </w:r>
      <w:r w:rsidRPr="00465AE3">
        <w:rPr>
          <w:rFonts w:ascii="Book Antiqua" w:hAnsi="Book Antiqua"/>
          <w:b/>
          <w:spacing w:val="1"/>
          <w:sz w:val="26"/>
        </w:rPr>
        <w:t>p</w:t>
      </w:r>
      <w:r w:rsidRPr="00465AE3">
        <w:rPr>
          <w:rFonts w:ascii="Book Antiqua" w:hAnsi="Book Antiqua"/>
          <w:b/>
          <w:sz w:val="26"/>
        </w:rPr>
        <w:t>o</w:t>
      </w:r>
      <w:r w:rsidRPr="00465AE3">
        <w:rPr>
          <w:rFonts w:ascii="Book Antiqua" w:hAnsi="Book Antiqua"/>
          <w:b/>
          <w:spacing w:val="-1"/>
          <w:sz w:val="26"/>
        </w:rPr>
        <w:t>n</w:t>
      </w:r>
      <w:r w:rsidRPr="00465AE3">
        <w:rPr>
          <w:rFonts w:ascii="Book Antiqua" w:hAnsi="Book Antiqua"/>
          <w:b/>
          <w:sz w:val="26"/>
        </w:rPr>
        <w:t>g A. M</w:t>
      </w:r>
      <w:r w:rsidRPr="00465AE3">
        <w:rPr>
          <w:rFonts w:ascii="Book Antiqua" w:hAnsi="Book Antiqua"/>
          <w:b/>
          <w:spacing w:val="-1"/>
          <w:sz w:val="26"/>
        </w:rPr>
        <w:t xml:space="preserve"> </w:t>
      </w:r>
      <w:r w:rsidRPr="00465AE3">
        <w:rPr>
          <w:rFonts w:ascii="Book Antiqua" w:hAnsi="Book Antiqua"/>
          <w:b/>
          <w:sz w:val="26"/>
        </w:rPr>
        <w:t xml:space="preserve"> </w:t>
      </w:r>
    </w:p>
    <w:p w14:paraId="3F3AF56A" w14:textId="77777777" w:rsidR="00E00EF9" w:rsidRDefault="00E00EF9" w:rsidP="001A06E6">
      <w:pPr>
        <w:spacing w:after="0"/>
        <w:jc w:val="center"/>
        <w:rPr>
          <w:rFonts w:ascii="Book Antiqua" w:hAnsi="Book Antiqua"/>
        </w:rPr>
      </w:pPr>
      <w:r>
        <w:rPr>
          <w:rFonts w:ascii="Book Antiqua" w:hAnsi="Book Antiqua"/>
        </w:rPr>
        <w:t>Koforidua Polytechnic</w:t>
      </w:r>
      <w:r w:rsidRPr="00E3232D">
        <w:rPr>
          <w:rFonts w:ascii="Book Antiqua" w:hAnsi="Book Antiqua"/>
        </w:rPr>
        <w:t xml:space="preserve">, Koforidua, Eastern Region.  </w:t>
      </w:r>
    </w:p>
    <w:p w14:paraId="53E5BE18" w14:textId="77777777" w:rsidR="00E00EF9" w:rsidRPr="00E3232D" w:rsidRDefault="00E00EF9" w:rsidP="00E00EF9">
      <w:pPr>
        <w:jc w:val="center"/>
        <w:rPr>
          <w:rFonts w:ascii="Book Antiqua" w:hAnsi="Book Antiqua"/>
        </w:rPr>
      </w:pPr>
      <w:r w:rsidRPr="00FD6A81">
        <w:rPr>
          <w:rFonts w:ascii="Book Antiqua" w:hAnsi="Book Antiqua"/>
          <w:b/>
        </w:rPr>
        <w:t>E-mail:</w:t>
      </w:r>
      <w:r w:rsidRPr="00E3232D">
        <w:rPr>
          <w:rFonts w:ascii="Book Antiqua" w:hAnsi="Book Antiqua"/>
        </w:rPr>
        <w:t xml:space="preserve"> </w:t>
      </w:r>
      <w:hyperlink r:id="rId207" w:history="1">
        <w:r w:rsidRPr="00745B6C">
          <w:rPr>
            <w:rStyle w:val="Hyperlink"/>
            <w:rFonts w:ascii="Book Antiqua" w:hAnsi="Book Antiqua"/>
          </w:rPr>
          <w:t>nakohinaa@gmail.com</w:t>
        </w:r>
      </w:hyperlink>
      <w:r>
        <w:rPr>
          <w:rFonts w:ascii="Book Antiqua" w:hAnsi="Book Antiqua"/>
          <w:color w:val="0070C0"/>
          <w:u w:val="single"/>
        </w:rPr>
        <w:t xml:space="preserve">, </w:t>
      </w:r>
      <w:hyperlink r:id="rId208" w:history="1">
        <w:r w:rsidRPr="00E3232D">
          <w:rPr>
            <w:rStyle w:val="Hyperlink"/>
            <w:rFonts w:ascii="Book Antiqua" w:hAnsi="Book Antiqua"/>
          </w:rPr>
          <w:t>chaessel@yahoo.com</w:t>
        </w:r>
      </w:hyperlink>
      <w:r>
        <w:t xml:space="preserve"> &amp; </w:t>
      </w:r>
      <w:r w:rsidRPr="00E3232D">
        <w:rPr>
          <w:rFonts w:ascii="Book Antiqua" w:hAnsi="Book Antiqua"/>
          <w:color w:val="1F497D"/>
        </w:rPr>
        <w:t>maagyepong@gmail.com</w:t>
      </w:r>
    </w:p>
    <w:p w14:paraId="2FBA8FB6" w14:textId="77777777" w:rsidR="00E00EF9" w:rsidRPr="00E3232D" w:rsidRDefault="00E00EF9" w:rsidP="00E00EF9">
      <w:pPr>
        <w:rPr>
          <w:rFonts w:ascii="Book Antiqua" w:hAnsi="Book Antiqua"/>
        </w:rPr>
      </w:pPr>
    </w:p>
    <w:p w14:paraId="23280FA9" w14:textId="77777777" w:rsidR="00E00EF9" w:rsidRPr="00E3232D" w:rsidRDefault="00E00EF9" w:rsidP="00465AE3">
      <w:pPr>
        <w:widowControl w:val="0"/>
        <w:autoSpaceDE w:val="0"/>
        <w:autoSpaceDN w:val="0"/>
        <w:adjustRightInd w:val="0"/>
        <w:ind w:right="73"/>
        <w:jc w:val="both"/>
        <w:rPr>
          <w:rFonts w:ascii="Book Antiqua" w:hAnsi="Book Antiqua"/>
          <w:b/>
        </w:rPr>
      </w:pPr>
      <w:r w:rsidRPr="001765F6">
        <w:rPr>
          <w:rFonts w:ascii="Book Antiqua" w:hAnsi="Book Antiqua"/>
          <w:b/>
          <w:sz w:val="26"/>
        </w:rPr>
        <w:t>Abstract</w:t>
      </w:r>
    </w:p>
    <w:p w14:paraId="52ED985E" w14:textId="77777777" w:rsidR="005A032D" w:rsidRDefault="00E00EF9" w:rsidP="00465AE3">
      <w:pPr>
        <w:widowControl w:val="0"/>
        <w:autoSpaceDE w:val="0"/>
        <w:autoSpaceDN w:val="0"/>
        <w:adjustRightInd w:val="0"/>
        <w:ind w:right="20"/>
        <w:jc w:val="both"/>
        <w:rPr>
          <w:rFonts w:ascii="Book Antiqua" w:hAnsi="Book Antiqua"/>
          <w:b/>
        </w:rPr>
      </w:pPr>
      <w:r w:rsidRPr="00E3232D">
        <w:rPr>
          <w:rFonts w:ascii="Book Antiqua" w:hAnsi="Book Antiqua"/>
        </w:rPr>
        <w:t>This</w:t>
      </w:r>
      <w:r w:rsidRPr="00E3232D">
        <w:rPr>
          <w:rFonts w:ascii="Book Antiqua" w:hAnsi="Book Antiqua"/>
          <w:spacing w:val="5"/>
        </w:rPr>
        <w:t xml:space="preserve"> </w:t>
      </w:r>
      <w:r w:rsidRPr="00E3232D">
        <w:rPr>
          <w:rFonts w:ascii="Book Antiqua" w:hAnsi="Book Antiqua"/>
        </w:rPr>
        <w:t>stu</w:t>
      </w:r>
      <w:r w:rsidRPr="00E3232D">
        <w:rPr>
          <w:rFonts w:ascii="Book Antiqua" w:hAnsi="Book Antiqua"/>
          <w:spacing w:val="3"/>
        </w:rPr>
        <w:t>d</w:t>
      </w:r>
      <w:r w:rsidRPr="00E3232D">
        <w:rPr>
          <w:rFonts w:ascii="Book Antiqua" w:hAnsi="Book Antiqua"/>
        </w:rPr>
        <w:t>y investig</w:t>
      </w:r>
      <w:r w:rsidRPr="00E3232D">
        <w:rPr>
          <w:rFonts w:ascii="Book Antiqua" w:hAnsi="Book Antiqua"/>
          <w:spacing w:val="-1"/>
        </w:rPr>
        <w:t>a</w:t>
      </w:r>
      <w:r w:rsidRPr="00E3232D">
        <w:rPr>
          <w:rFonts w:ascii="Book Antiqua" w:hAnsi="Book Antiqua"/>
        </w:rPr>
        <w:t>ted</w:t>
      </w:r>
      <w:r w:rsidRPr="00E3232D">
        <w:rPr>
          <w:rFonts w:ascii="Book Antiqua" w:hAnsi="Book Antiqua"/>
          <w:spacing w:val="10"/>
        </w:rPr>
        <w:t xml:space="preserve"> </w:t>
      </w:r>
      <w:r w:rsidRPr="00E3232D">
        <w:rPr>
          <w:rFonts w:ascii="Book Antiqua" w:hAnsi="Book Antiqua"/>
          <w:spacing w:val="-6"/>
        </w:rPr>
        <w:t>I</w:t>
      </w:r>
      <w:r w:rsidRPr="00E3232D">
        <w:rPr>
          <w:rFonts w:ascii="Book Antiqua" w:hAnsi="Book Antiqua"/>
        </w:rPr>
        <w:t>nno</w:t>
      </w:r>
      <w:r w:rsidRPr="00E3232D">
        <w:rPr>
          <w:rFonts w:ascii="Book Antiqua" w:hAnsi="Book Antiqua"/>
          <w:spacing w:val="2"/>
        </w:rPr>
        <w:t>v</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r w:rsidRPr="00E3232D">
        <w:rPr>
          <w:rFonts w:ascii="Book Antiqua" w:hAnsi="Book Antiqua"/>
          <w:spacing w:val="5"/>
        </w:rPr>
        <w:t xml:space="preserve"> </w:t>
      </w:r>
      <w:r w:rsidRPr="00E3232D">
        <w:rPr>
          <w:rFonts w:ascii="Book Antiqua" w:hAnsi="Book Antiqua"/>
          <w:spacing w:val="-1"/>
        </w:rPr>
        <w:t>for growth</w:t>
      </w:r>
      <w:r w:rsidRPr="00E3232D">
        <w:rPr>
          <w:rFonts w:ascii="Book Antiqua" w:hAnsi="Book Antiqua"/>
          <w:spacing w:val="5"/>
        </w:rPr>
        <w:t xml:space="preserve"> </w:t>
      </w:r>
      <w:r w:rsidRPr="00E3232D">
        <w:rPr>
          <w:rFonts w:ascii="Book Antiqua" w:hAnsi="Book Antiqua"/>
        </w:rPr>
        <w:t>in</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spacing w:val="-1"/>
        </w:rPr>
        <w:t>c</w:t>
      </w:r>
      <w:r w:rsidRPr="00E3232D">
        <w:rPr>
          <w:rFonts w:ascii="Book Antiqua" w:hAnsi="Book Antiqua"/>
        </w:rPr>
        <w:t>onte</w:t>
      </w:r>
      <w:r w:rsidRPr="00E3232D">
        <w:rPr>
          <w:rFonts w:ascii="Book Antiqua" w:hAnsi="Book Antiqua"/>
          <w:spacing w:val="2"/>
        </w:rPr>
        <w:t>x</w:t>
      </w:r>
      <w:r w:rsidRPr="00E3232D">
        <w:rPr>
          <w:rFonts w:ascii="Book Antiqua" w:hAnsi="Book Antiqua"/>
        </w:rPr>
        <w:t>t</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spacing w:val="1"/>
        </w:rPr>
        <w:t>P</w:t>
      </w:r>
      <w:r w:rsidRPr="00E3232D">
        <w:rPr>
          <w:rFonts w:ascii="Book Antiqua" w:hAnsi="Book Antiqua"/>
        </w:rPr>
        <w:t>otential</w:t>
      </w:r>
      <w:r w:rsidRPr="00E3232D">
        <w:rPr>
          <w:rFonts w:ascii="Book Antiqua" w:hAnsi="Book Antiqua"/>
          <w:spacing w:val="4"/>
        </w:rPr>
        <w:t xml:space="preserve"> </w:t>
      </w:r>
      <w:r w:rsidRPr="00E3232D">
        <w:rPr>
          <w:rFonts w:ascii="Book Antiqua" w:hAnsi="Book Antiqua"/>
        </w:rPr>
        <w:t>Mi</w:t>
      </w:r>
      <w:r w:rsidRPr="00E3232D">
        <w:rPr>
          <w:rFonts w:ascii="Book Antiqua" w:hAnsi="Book Antiqua"/>
          <w:spacing w:val="-1"/>
        </w:rPr>
        <w:t>c</w:t>
      </w:r>
      <w:r w:rsidRPr="00E3232D">
        <w:rPr>
          <w:rFonts w:ascii="Book Antiqua" w:hAnsi="Book Antiqua"/>
        </w:rPr>
        <w:t>ro Entr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43"/>
        </w:rPr>
        <w:t xml:space="preserve"> </w:t>
      </w:r>
      <w:r w:rsidRPr="00E3232D">
        <w:rPr>
          <w:rFonts w:ascii="Book Antiqua" w:hAnsi="Book Antiqua"/>
          <w:spacing w:val="-2"/>
        </w:rPr>
        <w:t>B</w:t>
      </w:r>
      <w:r w:rsidRPr="00E3232D">
        <w:rPr>
          <w:rFonts w:ascii="Book Antiqua" w:hAnsi="Book Antiqua"/>
        </w:rPr>
        <w:t>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we</w:t>
      </w:r>
      <w:r w:rsidRPr="00E3232D">
        <w:rPr>
          <w:rFonts w:ascii="Book Antiqua" w:hAnsi="Book Antiqua"/>
        </w:rPr>
        <w:t>rs</w:t>
      </w:r>
      <w:r w:rsidRPr="00E3232D">
        <w:rPr>
          <w:rFonts w:ascii="Book Antiqua" w:hAnsi="Book Antiqua"/>
          <w:spacing w:val="40"/>
        </w:rPr>
        <w:t xml:space="preserve"> </w:t>
      </w:r>
      <w:r w:rsidRPr="00E3232D">
        <w:rPr>
          <w:rFonts w:ascii="Book Antiqua" w:hAnsi="Book Antiqua"/>
        </w:rPr>
        <w:t>in</w:t>
      </w:r>
      <w:r w:rsidRPr="00E3232D">
        <w:rPr>
          <w:rFonts w:ascii="Book Antiqua" w:hAnsi="Book Antiqua"/>
          <w:spacing w:val="41"/>
        </w:rPr>
        <w:t xml:space="preserve"> </w:t>
      </w:r>
      <w:r w:rsidRPr="00E3232D">
        <w:rPr>
          <w:rFonts w:ascii="Book Antiqua" w:hAnsi="Book Antiqua"/>
        </w:rPr>
        <w:t>the</w:t>
      </w:r>
      <w:r w:rsidRPr="00E3232D">
        <w:rPr>
          <w:rFonts w:ascii="Book Antiqua" w:hAnsi="Book Antiqua"/>
          <w:spacing w:val="40"/>
        </w:rPr>
        <w:t xml:space="preserve"> </w:t>
      </w:r>
      <w:r w:rsidRPr="00E3232D">
        <w:rPr>
          <w:rFonts w:ascii="Book Antiqua" w:hAnsi="Book Antiqua"/>
        </w:rPr>
        <w:t>T</w:t>
      </w:r>
      <w:r w:rsidRPr="00E3232D">
        <w:rPr>
          <w:rFonts w:ascii="Book Antiqua" w:hAnsi="Book Antiqua"/>
          <w:spacing w:val="-1"/>
        </w:rPr>
        <w:t>a</w:t>
      </w:r>
      <w:r w:rsidRPr="00E3232D">
        <w:rPr>
          <w:rFonts w:ascii="Book Antiqua" w:hAnsi="Book Antiqua"/>
        </w:rPr>
        <w:t>male</w:t>
      </w:r>
      <w:r w:rsidRPr="00E3232D">
        <w:rPr>
          <w:rFonts w:ascii="Book Antiqua" w:hAnsi="Book Antiqua"/>
          <w:spacing w:val="40"/>
        </w:rPr>
        <w:t xml:space="preserve"> </w:t>
      </w:r>
      <w:r w:rsidRPr="00E3232D">
        <w:rPr>
          <w:rFonts w:ascii="Book Antiqua" w:hAnsi="Book Antiqua"/>
        </w:rPr>
        <w:t>Met</w:t>
      </w:r>
      <w:r w:rsidRPr="00E3232D">
        <w:rPr>
          <w:rFonts w:ascii="Book Antiqua" w:hAnsi="Book Antiqua"/>
          <w:spacing w:val="1"/>
        </w:rPr>
        <w:t>r</w:t>
      </w:r>
      <w:r w:rsidRPr="00E3232D">
        <w:rPr>
          <w:rFonts w:ascii="Book Antiqua" w:hAnsi="Book Antiqua"/>
          <w:spacing w:val="2"/>
        </w:rPr>
        <w:t>o</w:t>
      </w:r>
      <w:r w:rsidRPr="00E3232D">
        <w:rPr>
          <w:rFonts w:ascii="Book Antiqua" w:hAnsi="Book Antiqua"/>
        </w:rPr>
        <w:t>pol</w:t>
      </w:r>
      <w:r w:rsidRPr="00E3232D">
        <w:rPr>
          <w:rFonts w:ascii="Book Antiqua" w:hAnsi="Book Antiqua"/>
          <w:spacing w:val="1"/>
        </w:rPr>
        <w:t>i</w:t>
      </w:r>
      <w:r w:rsidRPr="00E3232D">
        <w:rPr>
          <w:rFonts w:ascii="Book Antiqua" w:hAnsi="Book Antiqua"/>
        </w:rPr>
        <w:t>tan</w:t>
      </w:r>
      <w:r w:rsidRPr="00E3232D">
        <w:rPr>
          <w:rFonts w:ascii="Book Antiqua" w:hAnsi="Book Antiqua"/>
          <w:spacing w:val="40"/>
        </w:rPr>
        <w:t xml:space="preserve"> </w:t>
      </w:r>
      <w:r w:rsidRPr="00E3232D">
        <w:rPr>
          <w:rFonts w:ascii="Book Antiqua" w:hAnsi="Book Antiqua"/>
        </w:rPr>
        <w:t>A</w:t>
      </w:r>
      <w:r w:rsidRPr="00E3232D">
        <w:rPr>
          <w:rFonts w:ascii="Book Antiqua" w:hAnsi="Book Antiqua"/>
          <w:spacing w:val="-1"/>
        </w:rPr>
        <w:t>re</w:t>
      </w:r>
      <w:r w:rsidRPr="00E3232D">
        <w:rPr>
          <w:rFonts w:ascii="Book Antiqua" w:hAnsi="Book Antiqua"/>
        </w:rPr>
        <w:t>a.</w:t>
      </w:r>
      <w:r w:rsidRPr="00E3232D">
        <w:rPr>
          <w:rFonts w:ascii="Book Antiqua" w:hAnsi="Book Antiqua"/>
          <w:spacing w:val="48"/>
        </w:rPr>
        <w:t xml:space="preserve"> </w:t>
      </w:r>
      <w:r w:rsidRPr="00E3232D">
        <w:rPr>
          <w:rFonts w:ascii="Book Antiqua" w:hAnsi="Book Antiqua"/>
        </w:rPr>
        <w:t>The</w:t>
      </w:r>
      <w:r w:rsidRPr="00E3232D">
        <w:rPr>
          <w:rFonts w:ascii="Book Antiqua" w:hAnsi="Book Antiqua"/>
          <w:spacing w:val="39"/>
        </w:rPr>
        <w:t xml:space="preserve"> </w:t>
      </w:r>
      <w:r w:rsidRPr="00E3232D">
        <w:rPr>
          <w:rFonts w:ascii="Book Antiqua" w:hAnsi="Book Antiqua"/>
        </w:rPr>
        <w:t>obje</w:t>
      </w:r>
      <w:r w:rsidRPr="00E3232D">
        <w:rPr>
          <w:rFonts w:ascii="Book Antiqua" w:hAnsi="Book Antiqua"/>
          <w:spacing w:val="-1"/>
        </w:rPr>
        <w:t>c</w:t>
      </w:r>
      <w:r w:rsidRPr="00E3232D">
        <w:rPr>
          <w:rFonts w:ascii="Book Antiqua" w:hAnsi="Book Antiqua"/>
        </w:rPr>
        <w:t>t</w:t>
      </w:r>
      <w:r w:rsidRPr="00E3232D">
        <w:rPr>
          <w:rFonts w:ascii="Book Antiqua" w:hAnsi="Book Antiqua"/>
          <w:spacing w:val="1"/>
        </w:rPr>
        <w:t>i</w:t>
      </w:r>
      <w:r w:rsidRPr="00E3232D">
        <w:rPr>
          <w:rFonts w:ascii="Book Antiqua" w:hAnsi="Book Antiqua"/>
        </w:rPr>
        <w:t>v</w:t>
      </w:r>
      <w:r w:rsidRPr="00E3232D">
        <w:rPr>
          <w:rFonts w:ascii="Book Antiqua" w:hAnsi="Book Antiqua"/>
          <w:spacing w:val="-1"/>
        </w:rPr>
        <w:t>e</w:t>
      </w:r>
      <w:r w:rsidRPr="00E3232D">
        <w:rPr>
          <w:rFonts w:ascii="Book Antiqua" w:hAnsi="Book Antiqua"/>
        </w:rPr>
        <w:t>s</w:t>
      </w:r>
      <w:r w:rsidRPr="00E3232D">
        <w:rPr>
          <w:rFonts w:ascii="Book Antiqua" w:hAnsi="Book Antiqua"/>
          <w:spacing w:val="41"/>
        </w:rPr>
        <w:t xml:space="preserve"> </w:t>
      </w:r>
      <w:r w:rsidRPr="00E3232D">
        <w:rPr>
          <w:rFonts w:ascii="Book Antiqua" w:hAnsi="Book Antiqua"/>
        </w:rPr>
        <w:t>of</w:t>
      </w:r>
      <w:r w:rsidRPr="00E3232D">
        <w:rPr>
          <w:rFonts w:ascii="Book Antiqua" w:hAnsi="Book Antiqua"/>
          <w:spacing w:val="40"/>
        </w:rPr>
        <w:t xml:space="preserve"> </w:t>
      </w:r>
      <w:r w:rsidRPr="00E3232D">
        <w:rPr>
          <w:rFonts w:ascii="Book Antiqua" w:hAnsi="Book Antiqua"/>
        </w:rPr>
        <w:t>the stu</w:t>
      </w:r>
      <w:r w:rsidRPr="00E3232D">
        <w:rPr>
          <w:rFonts w:ascii="Book Antiqua" w:hAnsi="Book Antiqua"/>
          <w:spacing w:val="3"/>
        </w:rPr>
        <w:t>d</w:t>
      </w:r>
      <w:r w:rsidRPr="00E3232D">
        <w:rPr>
          <w:rFonts w:ascii="Book Antiqua" w:hAnsi="Book Antiqua"/>
        </w:rPr>
        <w:t>y w</w:t>
      </w:r>
      <w:r w:rsidRPr="00E3232D">
        <w:rPr>
          <w:rFonts w:ascii="Book Antiqua" w:hAnsi="Book Antiqua"/>
          <w:spacing w:val="-1"/>
        </w:rPr>
        <w:t>e</w:t>
      </w:r>
      <w:r w:rsidRPr="00E3232D">
        <w:rPr>
          <w:rFonts w:ascii="Book Antiqua" w:hAnsi="Book Antiqua"/>
          <w:spacing w:val="1"/>
        </w:rPr>
        <w:t>r</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rPr>
        <w:t>to</w:t>
      </w:r>
      <w:r w:rsidRPr="00E3232D">
        <w:rPr>
          <w:rFonts w:ascii="Book Antiqua" w:hAnsi="Book Antiqua"/>
          <w:spacing w:val="5"/>
        </w:rPr>
        <w:t xml:space="preserve"> </w:t>
      </w:r>
      <w:r w:rsidRPr="00E3232D">
        <w:rPr>
          <w:rFonts w:ascii="Book Antiqua" w:hAnsi="Book Antiqua"/>
        </w:rPr>
        <w:t>identi</w:t>
      </w:r>
      <w:r w:rsidRPr="00E3232D">
        <w:rPr>
          <w:rFonts w:ascii="Book Antiqua" w:hAnsi="Book Antiqua"/>
          <w:spacing w:val="2"/>
        </w:rPr>
        <w:t>f</w:t>
      </w:r>
      <w:r w:rsidRPr="00E3232D">
        <w:rPr>
          <w:rFonts w:ascii="Book Antiqua" w:hAnsi="Book Antiqua"/>
        </w:rPr>
        <w:t>y the</w:t>
      </w:r>
      <w:r w:rsidRPr="00E3232D">
        <w:rPr>
          <w:rFonts w:ascii="Book Antiqua" w:hAnsi="Book Antiqua"/>
          <w:spacing w:val="7"/>
        </w:rPr>
        <w:t xml:space="preserve"> </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rPr>
        <w:t>ude</w:t>
      </w:r>
      <w:r w:rsidRPr="00E3232D">
        <w:rPr>
          <w:rFonts w:ascii="Book Antiqua" w:hAnsi="Book Antiqua"/>
          <w:spacing w:val="4"/>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rPr>
        <w:t>potential</w:t>
      </w:r>
      <w:r w:rsidRPr="00E3232D">
        <w:rPr>
          <w:rFonts w:ascii="Book Antiqua" w:hAnsi="Book Antiqua"/>
          <w:spacing w:val="3"/>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4"/>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5"/>
        </w:rPr>
        <w:t xml:space="preserve"> </w:t>
      </w:r>
      <w:r w:rsidRPr="00E3232D">
        <w:rPr>
          <w:rFonts w:ascii="Book Antiqua" w:hAnsi="Book Antiqua"/>
          <w:spacing w:val="2"/>
        </w:rPr>
        <w:t>b</w:t>
      </w:r>
      <w:r w:rsidRPr="00E3232D">
        <w:rPr>
          <w:rFonts w:ascii="Book Antiqua" w:hAnsi="Book Antiqua"/>
        </w:rPr>
        <w:t>o</w:t>
      </w:r>
      <w:r w:rsidRPr="00E3232D">
        <w:rPr>
          <w:rFonts w:ascii="Book Antiqua" w:hAnsi="Book Antiqua"/>
          <w:spacing w:val="-1"/>
        </w:rPr>
        <w:t>r</w:t>
      </w:r>
      <w:r w:rsidRPr="00E3232D">
        <w:rPr>
          <w:rFonts w:ascii="Book Antiqua" w:hAnsi="Book Antiqua"/>
        </w:rPr>
        <w:t>r</w:t>
      </w:r>
      <w:r w:rsidRPr="00E3232D">
        <w:rPr>
          <w:rFonts w:ascii="Book Antiqua" w:hAnsi="Book Antiqua"/>
          <w:spacing w:val="3"/>
        </w:rPr>
        <w:t>o</w:t>
      </w:r>
      <w:r w:rsidRPr="00E3232D">
        <w:rPr>
          <w:rFonts w:ascii="Book Antiqua" w:hAnsi="Book Antiqua"/>
        </w:rPr>
        <w:t>w</w:t>
      </w:r>
      <w:r w:rsidRPr="00E3232D">
        <w:rPr>
          <w:rFonts w:ascii="Book Antiqua" w:hAnsi="Book Antiqua"/>
          <w:spacing w:val="1"/>
        </w:rPr>
        <w:t>e</w:t>
      </w:r>
      <w:r w:rsidRPr="00E3232D">
        <w:rPr>
          <w:rFonts w:ascii="Book Antiqua" w:hAnsi="Book Antiqua"/>
        </w:rPr>
        <w:t>rs</w:t>
      </w:r>
      <w:r w:rsidRPr="00E3232D">
        <w:rPr>
          <w:rFonts w:ascii="Book Antiqua" w:hAnsi="Book Antiqua"/>
          <w:spacing w:val="4"/>
        </w:rPr>
        <w:t xml:space="preserve"> </w:t>
      </w:r>
      <w:r w:rsidRPr="00E3232D">
        <w:rPr>
          <w:rFonts w:ascii="Book Antiqua" w:hAnsi="Book Antiqua"/>
        </w:rPr>
        <w:t>tow</w:t>
      </w:r>
      <w:r w:rsidRPr="00E3232D">
        <w:rPr>
          <w:rFonts w:ascii="Book Antiqua" w:hAnsi="Book Antiqua"/>
          <w:spacing w:val="-1"/>
        </w:rPr>
        <w:t>a</w:t>
      </w:r>
      <w:r w:rsidRPr="00E3232D">
        <w:rPr>
          <w:rFonts w:ascii="Book Antiqua" w:hAnsi="Book Antiqua"/>
        </w:rPr>
        <w:t>rds</w:t>
      </w:r>
      <w:r w:rsidRPr="00E3232D">
        <w:rPr>
          <w:rFonts w:ascii="Book Antiqua" w:hAnsi="Book Antiqua"/>
          <w:spacing w:val="4"/>
        </w:rPr>
        <w:t xml:space="preserve"> </w:t>
      </w:r>
      <w:r w:rsidRPr="00E3232D">
        <w:rPr>
          <w:rFonts w:ascii="Book Antiqua" w:hAnsi="Book Antiqua"/>
        </w:rPr>
        <w:t>loan r</w:t>
      </w:r>
      <w:r w:rsidRPr="00E3232D">
        <w:rPr>
          <w:rFonts w:ascii="Book Antiqua" w:hAnsi="Book Antiqua"/>
          <w:spacing w:val="-2"/>
        </w:rPr>
        <w:t>e</w:t>
      </w:r>
      <w:r w:rsidRPr="00E3232D">
        <w:rPr>
          <w:rFonts w:ascii="Book Antiqua" w:hAnsi="Book Antiqua"/>
        </w:rPr>
        <w:t>p</w:t>
      </w:r>
      <w:r w:rsidRPr="00E3232D">
        <w:rPr>
          <w:rFonts w:ascii="Book Antiqua" w:hAnsi="Book Antiqua"/>
          <w:spacing w:val="4"/>
        </w:rPr>
        <w:t>a</w:t>
      </w:r>
      <w:r w:rsidRPr="00E3232D">
        <w:rPr>
          <w:rFonts w:ascii="Book Antiqua" w:hAnsi="Book Antiqua"/>
          <w:spacing w:val="-5"/>
        </w:rPr>
        <w:t>y</w:t>
      </w:r>
      <w:r w:rsidRPr="00E3232D">
        <w:rPr>
          <w:rFonts w:ascii="Book Antiqua" w:hAnsi="Book Antiqua"/>
        </w:rPr>
        <w:t>ment,</w:t>
      </w:r>
      <w:r w:rsidRPr="00E3232D">
        <w:rPr>
          <w:rFonts w:ascii="Book Antiqua" w:hAnsi="Book Antiqua"/>
          <w:spacing w:val="3"/>
        </w:rPr>
        <w:t xml:space="preserve"> </w:t>
      </w:r>
      <w:r w:rsidRPr="00E3232D">
        <w:rPr>
          <w:rFonts w:ascii="Book Antiqua" w:hAnsi="Book Antiqua"/>
        </w:rPr>
        <w:t>fa</w:t>
      </w:r>
      <w:r w:rsidRPr="00E3232D">
        <w:rPr>
          <w:rFonts w:ascii="Book Antiqua" w:hAnsi="Book Antiqua"/>
          <w:spacing w:val="-1"/>
        </w:rPr>
        <w:t>c</w:t>
      </w:r>
      <w:r w:rsidRPr="00E3232D">
        <w:rPr>
          <w:rFonts w:ascii="Book Antiqua" w:hAnsi="Book Antiqua"/>
        </w:rPr>
        <w:t>tors</w:t>
      </w:r>
      <w:r w:rsidRPr="00E3232D">
        <w:rPr>
          <w:rFonts w:ascii="Book Antiqua" w:hAnsi="Book Antiqua"/>
          <w:spacing w:val="1"/>
        </w:rPr>
        <w:t xml:space="preserve"> </w:t>
      </w:r>
      <w:r w:rsidRPr="00E3232D">
        <w:rPr>
          <w:rFonts w:ascii="Book Antiqua" w:hAnsi="Book Antiqua"/>
        </w:rPr>
        <w:t>that</w:t>
      </w:r>
      <w:r w:rsidRPr="00E3232D">
        <w:rPr>
          <w:rFonts w:ascii="Book Antiqua" w:hAnsi="Book Antiqua"/>
          <w:spacing w:val="3"/>
        </w:rPr>
        <w:t xml:space="preserve"> </w:t>
      </w:r>
      <w:r w:rsidRPr="00E3232D">
        <w:rPr>
          <w:rFonts w:ascii="Book Antiqua" w:hAnsi="Book Antiqua"/>
        </w:rPr>
        <w:t>mo</w:t>
      </w:r>
      <w:r w:rsidRPr="00E3232D">
        <w:rPr>
          <w:rFonts w:ascii="Book Antiqua" w:hAnsi="Book Antiqua"/>
          <w:spacing w:val="1"/>
        </w:rPr>
        <w:t>t</w:t>
      </w:r>
      <w:r w:rsidRPr="00E3232D">
        <w:rPr>
          <w:rFonts w:ascii="Book Antiqua" w:hAnsi="Book Antiqua"/>
        </w:rPr>
        <w:t>ivate them</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1"/>
        </w:rPr>
        <w:t xml:space="preserve"> </w:t>
      </w:r>
      <w:r w:rsidRPr="00E3232D">
        <w:rPr>
          <w:rFonts w:ascii="Book Antiqua" w:hAnsi="Book Antiqua"/>
        </w:rPr>
        <w:t>sol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it</w:t>
      </w:r>
      <w:r w:rsidRPr="00E3232D">
        <w:rPr>
          <w:rFonts w:ascii="Book Antiqua" w:hAnsi="Book Antiqua"/>
          <w:spacing w:val="1"/>
        </w:rPr>
        <w:t xml:space="preserve"> </w:t>
      </w:r>
      <w:r w:rsidRPr="00E3232D">
        <w:rPr>
          <w:rFonts w:ascii="Book Antiqua" w:hAnsi="Book Antiqua"/>
        </w:rPr>
        <w:t>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pol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ies</w:t>
      </w:r>
      <w:r w:rsidRPr="00E3232D">
        <w:rPr>
          <w:rFonts w:ascii="Book Antiqua" w:hAnsi="Book Antiqua"/>
          <w:spacing w:val="1"/>
        </w:rPr>
        <w:t xml:space="preserve"> </w:t>
      </w:r>
      <w:r w:rsidRPr="00E3232D">
        <w:rPr>
          <w:rFonts w:ascii="Book Antiqua" w:hAnsi="Book Antiqua"/>
        </w:rPr>
        <w:t>ins</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rPr>
        <w:t>uted to</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spacing w:val="1"/>
        </w:rPr>
        <w:t>r</w:t>
      </w:r>
      <w:r w:rsidRPr="00E3232D">
        <w:rPr>
          <w:rFonts w:ascii="Book Antiqua" w:hAnsi="Book Antiqua"/>
        </w:rPr>
        <w:t>r</w:t>
      </w:r>
      <w:r w:rsidRPr="00E3232D">
        <w:rPr>
          <w:rFonts w:ascii="Book Antiqua" w:hAnsi="Book Antiqua"/>
          <w:spacing w:val="-2"/>
        </w:rPr>
        <w:t>e</w:t>
      </w:r>
      <w:r w:rsidRPr="00E3232D">
        <w:rPr>
          <w:rFonts w:ascii="Book Antiqua" w:hAnsi="Book Antiqua"/>
        </w:rPr>
        <w:t>st</w:t>
      </w:r>
      <w:r w:rsidRPr="00E3232D">
        <w:rPr>
          <w:rFonts w:ascii="Book Antiqua" w:hAnsi="Book Antiqua"/>
          <w:spacing w:val="1"/>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ob</w:t>
      </w:r>
      <w:r w:rsidRPr="00E3232D">
        <w:rPr>
          <w:rFonts w:ascii="Book Antiqua" w:hAnsi="Book Antiqua"/>
          <w:spacing w:val="3"/>
        </w:rPr>
        <w:t>l</w:t>
      </w:r>
      <w:r w:rsidRPr="00E3232D">
        <w:rPr>
          <w:rFonts w:ascii="Book Antiqua" w:hAnsi="Book Antiqua"/>
          <w:spacing w:val="-1"/>
        </w:rPr>
        <w:t>e</w:t>
      </w:r>
      <w:r w:rsidRPr="00E3232D">
        <w:rPr>
          <w:rFonts w:ascii="Book Antiqua" w:hAnsi="Book Antiqua"/>
        </w:rPr>
        <w:t xml:space="preserve">ms </w:t>
      </w:r>
      <w:r w:rsidRPr="00E3232D">
        <w:rPr>
          <w:rFonts w:ascii="Book Antiqua" w:hAnsi="Book Antiqua"/>
          <w:spacing w:val="-1"/>
        </w:rPr>
        <w:t>c</w:t>
      </w:r>
      <w:r w:rsidRPr="00E3232D">
        <w:rPr>
          <w:rFonts w:ascii="Book Antiqua" w:hAnsi="Book Antiqua"/>
        </w:rPr>
        <w:t>onf</w:t>
      </w:r>
      <w:r w:rsidRPr="00E3232D">
        <w:rPr>
          <w:rFonts w:ascii="Book Antiqua" w:hAnsi="Book Antiqua"/>
          <w:spacing w:val="-1"/>
        </w:rPr>
        <w:t>r</w:t>
      </w:r>
      <w:r w:rsidRPr="00E3232D">
        <w:rPr>
          <w:rFonts w:ascii="Book Antiqua" w:hAnsi="Book Antiqua"/>
        </w:rPr>
        <w:t>ont</w:t>
      </w:r>
      <w:r w:rsidRPr="00E3232D">
        <w:rPr>
          <w:rFonts w:ascii="Book Antiqua" w:hAnsi="Book Antiqua"/>
          <w:spacing w:val="1"/>
        </w:rPr>
        <w:t>i</w:t>
      </w:r>
      <w:r w:rsidRPr="00E3232D">
        <w:rPr>
          <w:rFonts w:ascii="Book Antiqua" w:hAnsi="Book Antiqua"/>
          <w:spacing w:val="2"/>
        </w:rPr>
        <w:t>n</w:t>
      </w:r>
      <w:r w:rsidRPr="00E3232D">
        <w:rPr>
          <w:rFonts w:ascii="Book Antiqua" w:hAnsi="Book Antiqua"/>
        </w:rPr>
        <w:t>g</w:t>
      </w:r>
      <w:r w:rsidRPr="00E3232D">
        <w:rPr>
          <w:rFonts w:ascii="Book Antiqua" w:hAnsi="Book Antiqua"/>
          <w:spacing w:val="-2"/>
        </w:rPr>
        <w:t xml:space="preserve"> </w:t>
      </w:r>
      <w:r w:rsidRPr="00E3232D">
        <w:rPr>
          <w:rFonts w:ascii="Book Antiqua" w:hAnsi="Book Antiqua"/>
        </w:rPr>
        <w:t>them</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 xml:space="preserve">nd to </w:t>
      </w:r>
      <w:r w:rsidRPr="00E3232D">
        <w:rPr>
          <w:rFonts w:ascii="Book Antiqua" w:hAnsi="Book Antiqua"/>
          <w:spacing w:val="2"/>
        </w:rPr>
        <w:t>r</w:t>
      </w:r>
      <w:r w:rsidRPr="00E3232D">
        <w:rPr>
          <w:rFonts w:ascii="Book Antiqua" w:hAnsi="Book Antiqua"/>
          <w:spacing w:val="-1"/>
        </w:rPr>
        <w:t>ec</w:t>
      </w:r>
      <w:r w:rsidRPr="00E3232D">
        <w:rPr>
          <w:rFonts w:ascii="Book Antiqua" w:hAnsi="Book Antiqua"/>
        </w:rPr>
        <w:t>om</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nd m</w:t>
      </w:r>
      <w:r w:rsidRPr="00E3232D">
        <w:rPr>
          <w:rFonts w:ascii="Book Antiqua" w:hAnsi="Book Antiqua"/>
          <w:spacing w:val="2"/>
        </w:rPr>
        <w:t>e</w:t>
      </w:r>
      <w:r w:rsidRPr="00E3232D">
        <w:rPr>
          <w:rFonts w:ascii="Book Antiqua" w:hAnsi="Book Antiqua"/>
          <w:spacing w:val="-1"/>
        </w:rPr>
        <w:t>a</w:t>
      </w:r>
      <w:r w:rsidRPr="00E3232D">
        <w:rPr>
          <w:rFonts w:ascii="Book Antiqua" w:hAnsi="Book Antiqua"/>
        </w:rPr>
        <w:t>sur</w:t>
      </w:r>
      <w:r w:rsidRPr="00E3232D">
        <w:rPr>
          <w:rFonts w:ascii="Book Antiqua" w:hAnsi="Book Antiqua"/>
          <w:spacing w:val="-1"/>
        </w:rPr>
        <w:t>e</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rPr>
        <w:t xml:space="preserve">to </w:t>
      </w:r>
      <w:r w:rsidRPr="00E3232D">
        <w:rPr>
          <w:rFonts w:ascii="Book Antiqua" w:hAnsi="Book Antiqua"/>
          <w:spacing w:val="3"/>
        </w:rPr>
        <w:t>s</w:t>
      </w:r>
      <w:r w:rsidRPr="00E3232D">
        <w:rPr>
          <w:rFonts w:ascii="Book Antiqua" w:hAnsi="Book Antiqua"/>
        </w:rPr>
        <w:t>olve th</w:t>
      </w:r>
      <w:r w:rsidRPr="00E3232D">
        <w:rPr>
          <w:rFonts w:ascii="Book Antiqua" w:hAnsi="Book Antiqua"/>
          <w:spacing w:val="-1"/>
        </w:rPr>
        <w:t>e</w:t>
      </w:r>
      <w:r w:rsidRPr="00E3232D">
        <w:rPr>
          <w:rFonts w:ascii="Book Antiqua" w:hAnsi="Book Antiqua"/>
        </w:rPr>
        <w:t>se</w:t>
      </w:r>
      <w:r w:rsidRPr="00E3232D">
        <w:rPr>
          <w:rFonts w:ascii="Book Antiqua" w:hAnsi="Book Antiqua"/>
          <w:spacing w:val="-1"/>
        </w:rPr>
        <w:t xml:space="preserve"> </w:t>
      </w:r>
      <w:r w:rsidRPr="00E3232D">
        <w:rPr>
          <w:rFonts w:ascii="Book Antiqua" w:hAnsi="Book Antiqua"/>
          <w:spacing w:val="2"/>
        </w:rPr>
        <w:t>p</w:t>
      </w:r>
      <w:r w:rsidRPr="00E3232D">
        <w:rPr>
          <w:rFonts w:ascii="Book Antiqua" w:hAnsi="Book Antiqua"/>
        </w:rPr>
        <w:t>robl</w:t>
      </w:r>
      <w:r w:rsidRPr="00E3232D">
        <w:rPr>
          <w:rFonts w:ascii="Book Antiqua" w:hAnsi="Book Antiqua"/>
          <w:spacing w:val="-1"/>
        </w:rPr>
        <w:t>e</w:t>
      </w:r>
      <w:r w:rsidRPr="00E3232D">
        <w:rPr>
          <w:rFonts w:ascii="Book Antiqua" w:hAnsi="Book Antiqua"/>
        </w:rPr>
        <w:t>ms.</w:t>
      </w:r>
      <w:r w:rsidRPr="00E3232D">
        <w:rPr>
          <w:rFonts w:ascii="Book Antiqua" w:hAnsi="Book Antiqua"/>
          <w:spacing w:val="4"/>
        </w:rPr>
        <w:t xml:space="preserve"> </w:t>
      </w:r>
      <w:r w:rsidRPr="00E3232D">
        <w:rPr>
          <w:rFonts w:ascii="Book Antiqua" w:hAnsi="Book Antiqua"/>
        </w:rPr>
        <w:t>Th</w:t>
      </w:r>
      <w:r w:rsidRPr="00E3232D">
        <w:rPr>
          <w:rFonts w:ascii="Book Antiqua" w:hAnsi="Book Antiqua"/>
          <w:spacing w:val="1"/>
        </w:rPr>
        <w:t>e</w:t>
      </w:r>
      <w:r w:rsidRPr="00E3232D">
        <w:rPr>
          <w:rFonts w:ascii="Book Antiqua" w:hAnsi="Book Antiqua"/>
        </w:rPr>
        <w:t>o</w:t>
      </w:r>
      <w:r w:rsidRPr="00E3232D">
        <w:rPr>
          <w:rFonts w:ascii="Book Antiqua" w:hAnsi="Book Antiqua"/>
          <w:spacing w:val="-1"/>
        </w:rPr>
        <w:t>re</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ca</w:t>
      </w:r>
      <w:r w:rsidRPr="00E3232D">
        <w:rPr>
          <w:rFonts w:ascii="Book Antiqua" w:hAnsi="Book Antiqua"/>
        </w:rPr>
        <w:t xml:space="preserve">l </w:t>
      </w:r>
      <w:r w:rsidRPr="00E3232D">
        <w:rPr>
          <w:rFonts w:ascii="Book Antiqua" w:hAnsi="Book Antiqua"/>
          <w:spacing w:val="1"/>
        </w:rPr>
        <w:t>l</w:t>
      </w:r>
      <w:r w:rsidRPr="00E3232D">
        <w:rPr>
          <w:rFonts w:ascii="Book Antiqua" w:hAnsi="Book Antiqua"/>
        </w:rPr>
        <w:t>i</w:t>
      </w:r>
      <w:r w:rsidRPr="00E3232D">
        <w:rPr>
          <w:rFonts w:ascii="Book Antiqua" w:hAnsi="Book Antiqua"/>
          <w:spacing w:val="1"/>
        </w:rPr>
        <w:t>t</w:t>
      </w:r>
      <w:r w:rsidRPr="00E3232D">
        <w:rPr>
          <w:rFonts w:ascii="Book Antiqua" w:hAnsi="Book Antiqua"/>
          <w:spacing w:val="-1"/>
        </w:rPr>
        <w:t>e</w:t>
      </w:r>
      <w:r w:rsidRPr="00E3232D">
        <w:rPr>
          <w:rFonts w:ascii="Book Antiqua" w:hAnsi="Book Antiqua"/>
          <w:spacing w:val="1"/>
        </w:rPr>
        <w:t>r</w:t>
      </w:r>
      <w:r w:rsidRPr="00E3232D">
        <w:rPr>
          <w:rFonts w:ascii="Book Antiqua" w:hAnsi="Book Antiqua"/>
          <w:spacing w:val="-1"/>
        </w:rPr>
        <w:t>a</w:t>
      </w:r>
      <w:r w:rsidRPr="00E3232D">
        <w:rPr>
          <w:rFonts w:ascii="Book Antiqua" w:hAnsi="Book Antiqua"/>
        </w:rPr>
        <w:t>ture</w:t>
      </w:r>
      <w:r w:rsidRPr="00E3232D">
        <w:rPr>
          <w:rFonts w:ascii="Book Antiqua" w:hAnsi="Book Antiqua"/>
          <w:spacing w:val="1"/>
        </w:rPr>
        <w:t xml:space="preserve"> w</w:t>
      </w:r>
      <w:r w:rsidRPr="00E3232D">
        <w:rPr>
          <w:rFonts w:ascii="Book Antiqua" w:hAnsi="Book Antiqua"/>
          <w:spacing w:val="-1"/>
        </w:rPr>
        <w:t>a</w:t>
      </w:r>
      <w:r w:rsidRPr="00E3232D">
        <w:rPr>
          <w:rFonts w:ascii="Book Antiqua" w:hAnsi="Book Antiqua"/>
        </w:rPr>
        <w:t>s r</w:t>
      </w:r>
      <w:r w:rsidRPr="00E3232D">
        <w:rPr>
          <w:rFonts w:ascii="Book Antiqua" w:hAnsi="Book Antiqua"/>
          <w:spacing w:val="-2"/>
        </w:rPr>
        <w:t>e</w:t>
      </w:r>
      <w:r w:rsidRPr="00E3232D">
        <w:rPr>
          <w:rFonts w:ascii="Book Antiqua" w:hAnsi="Book Antiqua"/>
        </w:rPr>
        <w:t>vie</w:t>
      </w:r>
      <w:r w:rsidRPr="00E3232D">
        <w:rPr>
          <w:rFonts w:ascii="Book Antiqua" w:hAnsi="Book Antiqua"/>
          <w:spacing w:val="-1"/>
        </w:rPr>
        <w:t>we</w:t>
      </w:r>
      <w:r w:rsidRPr="00E3232D">
        <w:rPr>
          <w:rFonts w:ascii="Book Antiqua" w:hAnsi="Book Antiqua"/>
        </w:rPr>
        <w:t xml:space="preserve">d. </w:t>
      </w:r>
      <w:r w:rsidRPr="00E3232D">
        <w:rPr>
          <w:rFonts w:ascii="Book Antiqua" w:hAnsi="Book Antiqua"/>
          <w:spacing w:val="21"/>
        </w:rPr>
        <w:t xml:space="preserve"> </w:t>
      </w:r>
      <w:r w:rsidRPr="00E3232D">
        <w:rPr>
          <w:rFonts w:ascii="Book Antiqua" w:hAnsi="Book Antiqua"/>
          <w:spacing w:val="-3"/>
        </w:rPr>
        <w:t>I</w:t>
      </w:r>
      <w:r w:rsidRPr="00E3232D">
        <w:rPr>
          <w:rFonts w:ascii="Book Antiqua" w:hAnsi="Book Antiqua"/>
        </w:rPr>
        <w:t>n</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ll</w:t>
      </w:r>
      <w:r w:rsidRPr="00E3232D">
        <w:rPr>
          <w:rFonts w:ascii="Book Antiqua" w:hAnsi="Book Antiqua"/>
          <w:spacing w:val="5"/>
        </w:rPr>
        <w:t xml:space="preserve"> </w:t>
      </w:r>
      <w:r w:rsidRPr="00E3232D">
        <w:rPr>
          <w:rFonts w:ascii="Book Antiqua" w:hAnsi="Book Antiqua"/>
        </w:rPr>
        <w:t>315</w:t>
      </w:r>
      <w:r w:rsidRPr="00E3232D">
        <w:rPr>
          <w:rFonts w:ascii="Book Antiqua" w:hAnsi="Book Antiqua"/>
          <w:spacing w:val="7"/>
        </w:rPr>
        <w:t xml:space="preserve"> </w:t>
      </w:r>
      <w:r w:rsidRPr="00E3232D">
        <w:rPr>
          <w:rFonts w:ascii="Book Antiqua" w:hAnsi="Book Antiqua"/>
        </w:rPr>
        <w:t>qu</w:t>
      </w:r>
      <w:r w:rsidRPr="00E3232D">
        <w:rPr>
          <w:rFonts w:ascii="Book Antiqua" w:hAnsi="Book Antiqua"/>
          <w:spacing w:val="1"/>
        </w:rPr>
        <w:t>e</w:t>
      </w:r>
      <w:r w:rsidRPr="00E3232D">
        <w:rPr>
          <w:rFonts w:ascii="Book Antiqua" w:hAnsi="Book Antiqua"/>
        </w:rPr>
        <w:t>st</w:t>
      </w:r>
      <w:r w:rsidRPr="00E3232D">
        <w:rPr>
          <w:rFonts w:ascii="Book Antiqua" w:hAnsi="Book Antiqua"/>
          <w:spacing w:val="1"/>
        </w:rPr>
        <w:t>i</w:t>
      </w:r>
      <w:r w:rsidRPr="00E3232D">
        <w:rPr>
          <w:rFonts w:ascii="Book Antiqua" w:hAnsi="Book Antiqua"/>
        </w:rPr>
        <w:t>onn</w:t>
      </w:r>
      <w:r w:rsidRPr="00E3232D">
        <w:rPr>
          <w:rFonts w:ascii="Book Antiqua" w:hAnsi="Book Antiqua"/>
          <w:spacing w:val="-1"/>
        </w:rPr>
        <w:t>a</w:t>
      </w:r>
      <w:r w:rsidRPr="00E3232D">
        <w:rPr>
          <w:rFonts w:ascii="Book Antiqua" w:hAnsi="Book Antiqua"/>
        </w:rPr>
        <w:t>ir</w:t>
      </w:r>
      <w:r w:rsidRPr="00E3232D">
        <w:rPr>
          <w:rFonts w:ascii="Book Antiqua" w:hAnsi="Book Antiqua"/>
          <w:spacing w:val="-1"/>
        </w:rPr>
        <w:t>e</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rPr>
        <w:t>w</w:t>
      </w:r>
      <w:r w:rsidRPr="00E3232D">
        <w:rPr>
          <w:rFonts w:ascii="Book Antiqua" w:hAnsi="Book Antiqua"/>
          <w:spacing w:val="-1"/>
        </w:rPr>
        <w:t>e</w:t>
      </w:r>
      <w:r w:rsidRPr="00E3232D">
        <w:rPr>
          <w:rFonts w:ascii="Book Antiqua" w:hAnsi="Book Antiqua"/>
          <w:spacing w:val="1"/>
        </w:rPr>
        <w:t>r</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spacing w:val="-1"/>
        </w:rPr>
        <w:t>a</w:t>
      </w:r>
      <w:r w:rsidRPr="00E3232D">
        <w:rPr>
          <w:rFonts w:ascii="Book Antiqua" w:hAnsi="Book Antiqua"/>
        </w:rPr>
        <w:t>dm</w:t>
      </w:r>
      <w:r w:rsidRPr="00E3232D">
        <w:rPr>
          <w:rFonts w:ascii="Book Antiqua" w:hAnsi="Book Antiqua"/>
          <w:spacing w:val="2"/>
        </w:rPr>
        <w:t>i</w:t>
      </w:r>
      <w:r w:rsidRPr="00E3232D">
        <w:rPr>
          <w:rFonts w:ascii="Book Antiqua" w:hAnsi="Book Antiqua"/>
        </w:rPr>
        <w:t>nis</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d.</w:t>
      </w:r>
      <w:r w:rsidRPr="00E3232D">
        <w:rPr>
          <w:rFonts w:ascii="Book Antiqua" w:hAnsi="Book Antiqua"/>
          <w:spacing w:val="5"/>
        </w:rPr>
        <w:t xml:space="preserve"> </w:t>
      </w:r>
      <w:r w:rsidRPr="00E3232D">
        <w:rPr>
          <w:rFonts w:ascii="Book Antiqua" w:hAnsi="Book Antiqua"/>
          <w:spacing w:val="1"/>
        </w:rPr>
        <w:t>F</w:t>
      </w:r>
      <w:r w:rsidRPr="00E3232D">
        <w:rPr>
          <w:rFonts w:ascii="Book Antiqua" w:hAnsi="Book Antiqua"/>
        </w:rPr>
        <w:t>r</w:t>
      </w:r>
      <w:r w:rsidRPr="00E3232D">
        <w:rPr>
          <w:rFonts w:ascii="Book Antiqua" w:hAnsi="Book Antiqua"/>
          <w:spacing w:val="-2"/>
        </w:rPr>
        <w:t>e</w:t>
      </w:r>
      <w:r w:rsidRPr="00E3232D">
        <w:rPr>
          <w:rFonts w:ascii="Book Antiqua" w:hAnsi="Book Antiqua"/>
        </w:rPr>
        <w:t>q</w:t>
      </w:r>
      <w:r w:rsidRPr="00E3232D">
        <w:rPr>
          <w:rFonts w:ascii="Book Antiqua" w:hAnsi="Book Antiqua"/>
          <w:spacing w:val="2"/>
        </w:rPr>
        <w:t>u</w:t>
      </w:r>
      <w:r w:rsidRPr="00E3232D">
        <w:rPr>
          <w:rFonts w:ascii="Book Antiqua" w:hAnsi="Book Antiqua"/>
          <w:spacing w:val="-1"/>
        </w:rPr>
        <w:t>e</w:t>
      </w:r>
      <w:r w:rsidRPr="00E3232D">
        <w:rPr>
          <w:rFonts w:ascii="Book Antiqua" w:hAnsi="Book Antiqua"/>
        </w:rPr>
        <w:t>n</w:t>
      </w:r>
      <w:r w:rsidRPr="00E3232D">
        <w:rPr>
          <w:rFonts w:ascii="Book Antiqua" w:hAnsi="Book Antiqua"/>
          <w:spacing w:val="4"/>
        </w:rPr>
        <w:t>c</w:t>
      </w:r>
      <w:r w:rsidRPr="00E3232D">
        <w:rPr>
          <w:rFonts w:ascii="Book Antiqua" w:hAnsi="Book Antiqua"/>
        </w:rPr>
        <w:t>y tabl</w:t>
      </w:r>
      <w:r w:rsidRPr="00E3232D">
        <w:rPr>
          <w:rFonts w:ascii="Book Antiqua" w:hAnsi="Book Antiqua"/>
          <w:spacing w:val="-1"/>
        </w:rPr>
        <w:t>e</w:t>
      </w:r>
      <w:r w:rsidRPr="00E3232D">
        <w:rPr>
          <w:rFonts w:ascii="Book Antiqua" w:hAnsi="Book Antiqua"/>
        </w:rPr>
        <w:t>s</w:t>
      </w:r>
      <w:r w:rsidRPr="00E3232D">
        <w:rPr>
          <w:rFonts w:ascii="Book Antiqua" w:hAnsi="Book Antiqua"/>
          <w:spacing w:val="7"/>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5"/>
        </w:rPr>
        <w:t xml:space="preserve"> </w:t>
      </w:r>
      <w:r w:rsidRPr="00E3232D">
        <w:rPr>
          <w:rFonts w:ascii="Book Antiqua" w:hAnsi="Book Antiqua"/>
        </w:rPr>
        <w:t>p</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c</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t</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spacing w:val="3"/>
        </w:rPr>
        <w:t>s</w:t>
      </w:r>
      <w:r w:rsidRPr="00E3232D">
        <w:rPr>
          <w:rFonts w:ascii="Book Antiqua" w:hAnsi="Book Antiqua"/>
        </w:rPr>
        <w:t>,</w:t>
      </w:r>
      <w:r w:rsidRPr="00E3232D">
        <w:rPr>
          <w:rFonts w:ascii="Book Antiqua" w:hAnsi="Book Antiqua"/>
          <w:spacing w:val="5"/>
        </w:rPr>
        <w:t xml:space="preserve"> </w:t>
      </w:r>
      <w:r w:rsidRPr="00E3232D">
        <w:rPr>
          <w:rFonts w:ascii="Book Antiqua" w:hAnsi="Book Antiqua"/>
          <w:spacing w:val="1"/>
        </w:rPr>
        <w:t>c</w:t>
      </w:r>
      <w:r w:rsidRPr="00E3232D">
        <w:rPr>
          <w:rFonts w:ascii="Book Antiqua" w:hAnsi="Book Antiqua"/>
        </w:rPr>
        <w:t>ross tabul</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5"/>
        </w:rPr>
        <w:t xml:space="preserve"> </w:t>
      </w:r>
      <w:r w:rsidRPr="00E3232D">
        <w:rPr>
          <w:rFonts w:ascii="Book Antiqua" w:hAnsi="Book Antiqua"/>
        </w:rPr>
        <w:t>re</w:t>
      </w:r>
      <w:r w:rsidRPr="00E3232D">
        <w:rPr>
          <w:rFonts w:ascii="Book Antiqua" w:hAnsi="Book Antiqua"/>
          <w:spacing w:val="-2"/>
        </w:rPr>
        <w:t>g</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ss</w:t>
      </w:r>
      <w:r w:rsidRPr="00E3232D">
        <w:rPr>
          <w:rFonts w:ascii="Book Antiqua" w:hAnsi="Book Antiqua"/>
          <w:spacing w:val="1"/>
        </w:rPr>
        <w:t>i</w:t>
      </w:r>
      <w:r w:rsidRPr="00E3232D">
        <w:rPr>
          <w:rFonts w:ascii="Book Antiqua" w:hAnsi="Book Antiqua"/>
        </w:rPr>
        <w:t>on</w:t>
      </w:r>
      <w:r w:rsidRPr="00E3232D">
        <w:rPr>
          <w:rFonts w:ascii="Book Antiqua" w:hAnsi="Book Antiqua"/>
          <w:spacing w:val="7"/>
        </w:rPr>
        <w:t xml:space="preserve"> </w:t>
      </w:r>
      <w:r w:rsidRPr="00E3232D">
        <w:rPr>
          <w:rFonts w:ascii="Book Antiqua" w:hAnsi="Book Antiqua"/>
        </w:rPr>
        <w:t>w</w:t>
      </w:r>
      <w:r w:rsidRPr="00E3232D">
        <w:rPr>
          <w:rFonts w:ascii="Book Antiqua" w:hAnsi="Book Antiqua"/>
          <w:spacing w:val="-1"/>
        </w:rPr>
        <w:t>e</w:t>
      </w:r>
      <w:r w:rsidRPr="00E3232D">
        <w:rPr>
          <w:rFonts w:ascii="Book Antiqua" w:hAnsi="Book Antiqua"/>
        </w:rPr>
        <w:t>re</w:t>
      </w:r>
      <w:r w:rsidRPr="00E3232D">
        <w:rPr>
          <w:rFonts w:ascii="Book Antiqua" w:hAnsi="Book Antiqua"/>
          <w:spacing w:val="3"/>
        </w:rPr>
        <w:t xml:space="preserve"> </w:t>
      </w:r>
      <w:r w:rsidRPr="00E3232D">
        <w:rPr>
          <w:rFonts w:ascii="Book Antiqua" w:hAnsi="Book Antiqua"/>
        </w:rPr>
        <w:t>u</w:t>
      </w:r>
      <w:r w:rsidRPr="00E3232D">
        <w:rPr>
          <w:rFonts w:ascii="Book Antiqua" w:hAnsi="Book Antiqua"/>
          <w:spacing w:val="2"/>
        </w:rPr>
        <w:t>s</w:t>
      </w:r>
      <w:r w:rsidRPr="00E3232D">
        <w:rPr>
          <w:rFonts w:ascii="Book Antiqua" w:hAnsi="Book Antiqua"/>
          <w:spacing w:val="-1"/>
        </w:rPr>
        <w:t>e</w:t>
      </w:r>
      <w:r w:rsidRPr="00E3232D">
        <w:rPr>
          <w:rFonts w:ascii="Book Antiqua" w:hAnsi="Book Antiqua"/>
        </w:rPr>
        <w:t>d</w:t>
      </w:r>
      <w:r w:rsidRPr="00E3232D">
        <w:rPr>
          <w:rFonts w:ascii="Book Antiqua" w:hAnsi="Book Antiqua"/>
          <w:spacing w:val="5"/>
        </w:rPr>
        <w:t xml:space="preserve"> </w:t>
      </w:r>
      <w:r w:rsidRPr="00E3232D">
        <w:rPr>
          <w:rFonts w:ascii="Book Antiqua" w:hAnsi="Book Antiqua"/>
        </w:rPr>
        <w:t>to</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spacing w:val="5"/>
        </w:rPr>
        <w:t>l</w:t>
      </w:r>
      <w:r w:rsidRPr="00E3232D">
        <w:rPr>
          <w:rFonts w:ascii="Book Antiqua" w:hAnsi="Book Antiqua"/>
          <w:spacing w:val="-5"/>
        </w:rPr>
        <w:t>y</w:t>
      </w:r>
      <w:r w:rsidRPr="00E3232D">
        <w:rPr>
          <w:rFonts w:ascii="Book Antiqua" w:hAnsi="Book Antiqua"/>
          <w:spacing w:val="1"/>
        </w:rPr>
        <w:t>z</w:t>
      </w:r>
      <w:r w:rsidRPr="00E3232D">
        <w:rPr>
          <w:rFonts w:ascii="Book Antiqua" w:hAnsi="Book Antiqua"/>
        </w:rPr>
        <w:t>e</w:t>
      </w:r>
      <w:r w:rsidRPr="00E3232D">
        <w:rPr>
          <w:rFonts w:ascii="Book Antiqua" w:hAnsi="Book Antiqua"/>
          <w:spacing w:val="6"/>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d</w:t>
      </w:r>
      <w:r w:rsidRPr="00E3232D">
        <w:rPr>
          <w:rFonts w:ascii="Book Antiqua" w:hAnsi="Book Antiqua"/>
          <w:spacing w:val="-1"/>
        </w:rPr>
        <w:t>a</w:t>
      </w:r>
      <w:r w:rsidRPr="00E3232D">
        <w:rPr>
          <w:rFonts w:ascii="Book Antiqua" w:hAnsi="Book Antiqua"/>
        </w:rPr>
        <w:t>ta.</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3"/>
        </w:rPr>
        <w:t xml:space="preserve"> </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sul</w:t>
      </w:r>
      <w:r w:rsidRPr="00E3232D">
        <w:rPr>
          <w:rFonts w:ascii="Book Antiqua" w:hAnsi="Book Antiqua"/>
          <w:spacing w:val="1"/>
        </w:rPr>
        <w:t>t</w:t>
      </w:r>
      <w:r w:rsidRPr="00E3232D">
        <w:rPr>
          <w:rFonts w:ascii="Book Antiqua" w:hAnsi="Book Antiqua"/>
        </w:rPr>
        <w:t>s r</w:t>
      </w:r>
      <w:r w:rsidRPr="00E3232D">
        <w:rPr>
          <w:rFonts w:ascii="Book Antiqua" w:hAnsi="Book Antiqua"/>
          <w:spacing w:val="-2"/>
        </w:rPr>
        <w:t>e</w:t>
      </w:r>
      <w:r w:rsidRPr="00E3232D">
        <w:rPr>
          <w:rFonts w:ascii="Book Antiqua" w:hAnsi="Book Antiqua"/>
        </w:rPr>
        <w:t>v</w:t>
      </w:r>
      <w:r w:rsidRPr="00E3232D">
        <w:rPr>
          <w:rFonts w:ascii="Book Antiqua" w:hAnsi="Book Antiqua"/>
          <w:spacing w:val="-1"/>
        </w:rPr>
        <w:t>ea</w:t>
      </w:r>
      <w:r w:rsidRPr="00E3232D">
        <w:rPr>
          <w:rFonts w:ascii="Book Antiqua" w:hAnsi="Book Antiqua"/>
          <w:spacing w:val="3"/>
        </w:rPr>
        <w:t>l</w:t>
      </w:r>
      <w:r w:rsidRPr="00E3232D">
        <w:rPr>
          <w:rFonts w:ascii="Book Antiqua" w:hAnsi="Book Antiqua"/>
          <w:spacing w:val="-1"/>
        </w:rPr>
        <w:t>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rPr>
        <w:t>that</w:t>
      </w:r>
      <w:r w:rsidRPr="00E3232D">
        <w:rPr>
          <w:rFonts w:ascii="Book Antiqua" w:hAnsi="Book Antiqua"/>
          <w:spacing w:val="4"/>
        </w:rPr>
        <w:t xml:space="preserve"> the </w:t>
      </w:r>
      <w:r w:rsidRPr="00E3232D">
        <w:rPr>
          <w:rFonts w:ascii="Book Antiqua" w:hAnsi="Book Antiqua"/>
          <w:spacing w:val="-1"/>
        </w:rPr>
        <w:t>ec</w:t>
      </w:r>
      <w:r w:rsidRPr="00E3232D">
        <w:rPr>
          <w:rFonts w:ascii="Book Antiqua" w:hAnsi="Book Antiqua"/>
        </w:rPr>
        <w:t>ono</w:t>
      </w:r>
      <w:r w:rsidRPr="00E3232D">
        <w:rPr>
          <w:rFonts w:ascii="Book Antiqua" w:hAnsi="Book Antiqua"/>
          <w:spacing w:val="5"/>
        </w:rPr>
        <w:t>m</w:t>
      </w:r>
      <w:r w:rsidRPr="00E3232D">
        <w:rPr>
          <w:rFonts w:ascii="Book Antiqua" w:hAnsi="Book Antiqua"/>
        </w:rPr>
        <w:t xml:space="preserve">y </w:t>
      </w:r>
      <w:r w:rsidRPr="00E3232D">
        <w:rPr>
          <w:rFonts w:ascii="Book Antiqua" w:hAnsi="Book Antiqua"/>
          <w:spacing w:val="-1"/>
        </w:rPr>
        <w:t>a</w:t>
      </w:r>
      <w:r w:rsidRPr="00E3232D">
        <w:rPr>
          <w:rFonts w:ascii="Book Antiqua" w:hAnsi="Book Antiqua"/>
        </w:rPr>
        <w:t>t</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3"/>
        </w:rPr>
        <w:t xml:space="preserve"> </w:t>
      </w:r>
      <w:r w:rsidRPr="00E3232D">
        <w:rPr>
          <w:rFonts w:ascii="Book Antiqua" w:hAnsi="Book Antiqua"/>
        </w:rPr>
        <w:t>lev</w:t>
      </w:r>
      <w:r w:rsidRPr="00E3232D">
        <w:rPr>
          <w:rFonts w:ascii="Book Antiqua" w:hAnsi="Book Antiqua"/>
          <w:spacing w:val="-1"/>
        </w:rPr>
        <w:t>e</w:t>
      </w:r>
      <w:r w:rsidRPr="00E3232D">
        <w:rPr>
          <w:rFonts w:ascii="Book Antiqua" w:hAnsi="Book Antiqua"/>
        </w:rPr>
        <w:t>l</w:t>
      </w:r>
      <w:r w:rsidRPr="00E3232D">
        <w:rPr>
          <w:rFonts w:ascii="Book Antiqua" w:hAnsi="Book Antiqua"/>
          <w:spacing w:val="8"/>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ived</w:t>
      </w:r>
      <w:r w:rsidRPr="00E3232D">
        <w:rPr>
          <w:rFonts w:ascii="Book Antiqua" w:hAnsi="Book Antiqua"/>
          <w:spacing w:val="4"/>
        </w:rPr>
        <w:t xml:space="preserve"> </w:t>
      </w:r>
      <w:r w:rsidRPr="00E3232D">
        <w:rPr>
          <w:rFonts w:ascii="Book Antiqua" w:hAnsi="Book Antiqua"/>
        </w:rPr>
        <w:t>a</w:t>
      </w:r>
      <w:r w:rsidRPr="00E3232D">
        <w:rPr>
          <w:rFonts w:ascii="Book Antiqua" w:hAnsi="Book Antiqua"/>
          <w:spacing w:val="1"/>
        </w:rPr>
        <w:t xml:space="preserve"> </w:t>
      </w:r>
      <w:r w:rsidRPr="00E3232D">
        <w:rPr>
          <w:rFonts w:ascii="Book Antiqua" w:hAnsi="Book Antiqua"/>
        </w:rPr>
        <w:t>boost</w:t>
      </w:r>
      <w:r w:rsidRPr="00E3232D">
        <w:rPr>
          <w:rFonts w:ascii="Book Antiqua" w:hAnsi="Book Antiqua"/>
          <w:spacing w:val="2"/>
        </w:rPr>
        <w:t xml:space="preserve"> </w:t>
      </w:r>
      <w:r w:rsidRPr="00E3232D">
        <w:rPr>
          <w:rFonts w:ascii="Book Antiqua" w:hAnsi="Book Antiqua"/>
        </w:rPr>
        <w:t>d</w:t>
      </w:r>
      <w:r w:rsidRPr="00E3232D">
        <w:rPr>
          <w:rFonts w:ascii="Book Antiqua" w:hAnsi="Book Antiqua"/>
          <w:spacing w:val="2"/>
        </w:rPr>
        <w:t>u</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5"/>
        </w:rPr>
        <w:t xml:space="preserve"> </w:t>
      </w:r>
      <w:r w:rsidRPr="00E3232D">
        <w:rPr>
          <w:rFonts w:ascii="Book Antiqua" w:hAnsi="Book Antiqua"/>
          <w:spacing w:val="-1"/>
        </w:rPr>
        <w:t>ac</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ss</w:t>
      </w:r>
      <w:r w:rsidRPr="00E3232D">
        <w:rPr>
          <w:rFonts w:ascii="Book Antiqua" w:hAnsi="Book Antiqua"/>
          <w:spacing w:val="6"/>
        </w:rPr>
        <w:t xml:space="preserve"> </w:t>
      </w:r>
      <w:r w:rsidRPr="00E3232D">
        <w:rPr>
          <w:rFonts w:ascii="Book Antiqua" w:hAnsi="Book Antiqua"/>
        </w:rPr>
        <w:t>to</w:t>
      </w:r>
      <w:r w:rsidRPr="00E3232D">
        <w:rPr>
          <w:rFonts w:ascii="Book Antiqua" w:hAnsi="Book Antiqua"/>
          <w:spacing w:val="5"/>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owi</w:t>
      </w:r>
      <w:r w:rsidRPr="00E3232D">
        <w:rPr>
          <w:rFonts w:ascii="Book Antiqua" w:hAnsi="Book Antiqua"/>
          <w:spacing w:val="2"/>
        </w:rPr>
        <w:t>n</w:t>
      </w:r>
      <w:r w:rsidRPr="00E3232D">
        <w:rPr>
          <w:rFonts w:ascii="Book Antiqua" w:hAnsi="Book Antiqua"/>
          <w:spacing w:val="-2"/>
        </w:rPr>
        <w:t>g</w:t>
      </w:r>
      <w:r w:rsidRPr="00E3232D">
        <w:rPr>
          <w:rFonts w:ascii="Book Antiqua" w:hAnsi="Book Antiqua"/>
        </w:rPr>
        <w:t>,</w:t>
      </w:r>
      <w:r w:rsidRPr="00E3232D">
        <w:rPr>
          <w:rFonts w:ascii="Book Antiqua" w:hAnsi="Book Antiqua"/>
          <w:spacing w:val="2"/>
        </w:rPr>
        <w:t xml:space="preserve"> </w:t>
      </w:r>
      <w:r w:rsidRPr="00E3232D">
        <w:rPr>
          <w:rFonts w:ascii="Book Antiqua" w:hAnsi="Book Antiqua"/>
        </w:rPr>
        <w:t>l</w:t>
      </w:r>
      <w:r w:rsidRPr="00E3232D">
        <w:rPr>
          <w:rFonts w:ascii="Book Antiqua" w:hAnsi="Book Antiqua"/>
          <w:spacing w:val="2"/>
        </w:rPr>
        <w:t>e</w:t>
      </w:r>
      <w:r w:rsidRPr="00E3232D">
        <w:rPr>
          <w:rFonts w:ascii="Book Antiqua" w:hAnsi="Book Antiqua"/>
          <w:spacing w:val="-1"/>
        </w:rPr>
        <w:t>a</w:t>
      </w:r>
      <w:r w:rsidRPr="00E3232D">
        <w:rPr>
          <w:rFonts w:ascii="Book Antiqua" w:hAnsi="Book Antiqua"/>
        </w:rPr>
        <w:t>ding</w:t>
      </w:r>
      <w:r w:rsidRPr="00E3232D">
        <w:rPr>
          <w:rFonts w:ascii="Book Antiqua" w:hAnsi="Book Antiqua"/>
          <w:spacing w:val="3"/>
        </w:rPr>
        <w:t xml:space="preserve"> </w:t>
      </w:r>
      <w:r w:rsidRPr="00E3232D">
        <w:rPr>
          <w:rFonts w:ascii="Book Antiqua" w:hAnsi="Book Antiqua"/>
        </w:rPr>
        <w:t xml:space="preserve">to </w:t>
      </w:r>
      <w:r w:rsidRPr="00E3232D">
        <w:rPr>
          <w:rFonts w:ascii="Book Antiqua" w:hAnsi="Book Antiqua"/>
          <w:spacing w:val="-1"/>
        </w:rPr>
        <w:t>e</w:t>
      </w:r>
      <w:r w:rsidRPr="00E3232D">
        <w:rPr>
          <w:rFonts w:ascii="Book Antiqua" w:hAnsi="Book Antiqua"/>
        </w:rPr>
        <w:t>mp</w:t>
      </w:r>
      <w:r w:rsidRPr="00E3232D">
        <w:rPr>
          <w:rFonts w:ascii="Book Antiqua" w:hAnsi="Book Antiqua"/>
          <w:spacing w:val="1"/>
        </w:rPr>
        <w:t>l</w:t>
      </w:r>
      <w:r w:rsidRPr="00E3232D">
        <w:rPr>
          <w:rFonts w:ascii="Book Antiqua" w:hAnsi="Book Antiqua"/>
          <w:spacing w:val="2"/>
        </w:rPr>
        <w:t>o</w:t>
      </w:r>
      <w:r w:rsidRPr="00E3232D">
        <w:rPr>
          <w:rFonts w:ascii="Book Antiqua" w:hAnsi="Book Antiqua"/>
          <w:spacing w:val="-5"/>
        </w:rPr>
        <w:t>y</w:t>
      </w:r>
      <w:r w:rsidRPr="00E3232D">
        <w:rPr>
          <w:rFonts w:ascii="Book Antiqua" w:hAnsi="Book Antiqua"/>
        </w:rPr>
        <w:t>ment,</w:t>
      </w:r>
      <w:r w:rsidRPr="00E3232D">
        <w:rPr>
          <w:rFonts w:ascii="Book Antiqua" w:hAnsi="Book Antiqua"/>
          <w:spacing w:val="5"/>
        </w:rPr>
        <w:t xml:space="preserve"> </w:t>
      </w:r>
      <w:r w:rsidRPr="00E3232D">
        <w:rPr>
          <w:rFonts w:ascii="Book Antiqua" w:hAnsi="Book Antiqua"/>
        </w:rPr>
        <w:t>e</w:t>
      </w:r>
      <w:r w:rsidRPr="00E3232D">
        <w:rPr>
          <w:rFonts w:ascii="Book Antiqua" w:hAnsi="Book Antiqua"/>
          <w:spacing w:val="-1"/>
        </w:rPr>
        <w:t>c</w:t>
      </w:r>
      <w:r w:rsidRPr="00E3232D">
        <w:rPr>
          <w:rFonts w:ascii="Book Antiqua" w:hAnsi="Book Antiqua"/>
        </w:rPr>
        <w:t>onom</w:t>
      </w:r>
      <w:r w:rsidRPr="00E3232D">
        <w:rPr>
          <w:rFonts w:ascii="Book Antiqua" w:hAnsi="Book Antiqua"/>
          <w:spacing w:val="1"/>
        </w:rPr>
        <w:t>i</w:t>
      </w:r>
      <w:r w:rsidRPr="00E3232D">
        <w:rPr>
          <w:rFonts w:ascii="Book Antiqua" w:hAnsi="Book Antiqua"/>
        </w:rPr>
        <w:t>c</w:t>
      </w:r>
      <w:r w:rsidRPr="00E3232D">
        <w:rPr>
          <w:rFonts w:ascii="Book Antiqua" w:hAnsi="Book Antiqua"/>
          <w:spacing w:val="4"/>
        </w:rPr>
        <w:t xml:space="preserve"> </w:t>
      </w:r>
      <w:r w:rsidRPr="00E3232D">
        <w:rPr>
          <w:rFonts w:ascii="Book Antiqua" w:hAnsi="Book Antiqua"/>
          <w:spacing w:val="-1"/>
        </w:rPr>
        <w:t>e</w:t>
      </w:r>
      <w:r w:rsidRPr="00E3232D">
        <w:rPr>
          <w:rFonts w:ascii="Book Antiqua" w:hAnsi="Book Antiqua"/>
        </w:rPr>
        <w:t>mpow</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3"/>
        </w:rPr>
        <w:t xml:space="preserve"> </w:t>
      </w:r>
      <w:r w:rsidRPr="00E3232D">
        <w:rPr>
          <w:rFonts w:ascii="Book Antiqua" w:hAnsi="Book Antiqua"/>
        </w:rPr>
        <w:t>(</w:t>
      </w:r>
      <w:r w:rsidRPr="00E3232D">
        <w:rPr>
          <w:rFonts w:ascii="Book Antiqua" w:hAnsi="Book Antiqua"/>
          <w:spacing w:val="-2"/>
        </w:rPr>
        <w:t>e</w:t>
      </w:r>
      <w:r w:rsidRPr="00E3232D">
        <w:rPr>
          <w:rFonts w:ascii="Book Antiqua" w:hAnsi="Book Antiqua"/>
        </w:rPr>
        <w:t>s</w:t>
      </w:r>
      <w:r w:rsidRPr="00E3232D">
        <w:rPr>
          <w:rFonts w:ascii="Book Antiqua" w:hAnsi="Book Antiqua"/>
          <w:spacing w:val="2"/>
        </w:rPr>
        <w:t>p</w:t>
      </w:r>
      <w:r w:rsidRPr="00E3232D">
        <w:rPr>
          <w:rFonts w:ascii="Book Antiqua" w:hAnsi="Book Antiqua"/>
          <w:spacing w:val="-1"/>
        </w:rPr>
        <w:t>ec</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3"/>
        </w:rPr>
        <w:t>l</w:t>
      </w:r>
      <w:r w:rsidRPr="00E3232D">
        <w:rPr>
          <w:rFonts w:ascii="Book Antiqua" w:hAnsi="Book Antiqua"/>
        </w:rPr>
        <w:t xml:space="preserve">y </w:t>
      </w:r>
      <w:r w:rsidRPr="00E3232D">
        <w:rPr>
          <w:rFonts w:ascii="Book Antiqua" w:hAnsi="Book Antiqua"/>
          <w:spacing w:val="-1"/>
        </w:rPr>
        <w:t>a</w:t>
      </w:r>
      <w:r w:rsidRPr="00E3232D">
        <w:rPr>
          <w:rFonts w:ascii="Book Antiqua" w:hAnsi="Book Antiqua"/>
        </w:rPr>
        <w:t>mon</w:t>
      </w:r>
      <w:r w:rsidRPr="00E3232D">
        <w:rPr>
          <w:rFonts w:ascii="Book Antiqua" w:hAnsi="Book Antiqua"/>
          <w:spacing w:val="-2"/>
        </w:rPr>
        <w:t>g</w:t>
      </w:r>
      <w:r w:rsidRPr="00E3232D">
        <w:rPr>
          <w:rFonts w:ascii="Book Antiqua" w:hAnsi="Book Antiqua"/>
        </w:rPr>
        <w:t>st</w:t>
      </w:r>
      <w:r w:rsidRPr="00E3232D">
        <w:rPr>
          <w:rFonts w:ascii="Book Antiqua" w:hAnsi="Book Antiqua"/>
          <w:spacing w:val="6"/>
        </w:rPr>
        <w:t xml:space="preserve"> </w:t>
      </w:r>
      <w:r w:rsidRPr="00E3232D">
        <w:rPr>
          <w:rFonts w:ascii="Book Antiqua" w:hAnsi="Book Antiqua"/>
        </w:rPr>
        <w:t>wom</w:t>
      </w:r>
      <w:r w:rsidRPr="00E3232D">
        <w:rPr>
          <w:rFonts w:ascii="Book Antiqua" w:hAnsi="Book Antiqua"/>
          <w:spacing w:val="-1"/>
        </w:rPr>
        <w:t>e</w:t>
      </w:r>
      <w:r w:rsidRPr="00E3232D">
        <w:rPr>
          <w:rFonts w:ascii="Book Antiqua" w:hAnsi="Book Antiqua"/>
        </w:rPr>
        <w:t>n)</w:t>
      </w:r>
      <w:r w:rsidRPr="00E3232D">
        <w:rPr>
          <w:rFonts w:ascii="Book Antiqua" w:hAnsi="Book Antiqua"/>
          <w:spacing w:val="4"/>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3"/>
        </w:rPr>
        <w:t xml:space="preserve"> </w:t>
      </w:r>
      <w:r w:rsidRPr="00E3232D">
        <w:rPr>
          <w:rFonts w:ascii="Book Antiqua" w:hAnsi="Book Antiqua"/>
        </w:rPr>
        <w:t>innovation</w:t>
      </w:r>
      <w:r w:rsidRPr="00E3232D">
        <w:rPr>
          <w:rFonts w:ascii="Book Antiqua" w:hAnsi="Book Antiqua"/>
          <w:spacing w:val="3"/>
        </w:rPr>
        <w:t xml:space="preserve"> </w:t>
      </w:r>
      <w:r w:rsidRPr="00E3232D">
        <w:rPr>
          <w:rFonts w:ascii="Book Antiqua" w:hAnsi="Book Antiqua"/>
        </w:rPr>
        <w:t>whi</w:t>
      </w:r>
      <w:r w:rsidRPr="00E3232D">
        <w:rPr>
          <w:rFonts w:ascii="Book Antiqua" w:hAnsi="Book Antiqua"/>
          <w:spacing w:val="-1"/>
        </w:rPr>
        <w:t>c</w:t>
      </w:r>
      <w:r w:rsidRPr="00E3232D">
        <w:rPr>
          <w:rFonts w:ascii="Book Antiqua" w:hAnsi="Book Antiqua"/>
        </w:rPr>
        <w:t>h sus</w:t>
      </w:r>
      <w:r w:rsidRPr="00E3232D">
        <w:rPr>
          <w:rFonts w:ascii="Book Antiqua" w:hAnsi="Book Antiqua"/>
          <w:spacing w:val="1"/>
        </w:rPr>
        <w:t>t</w:t>
      </w:r>
      <w:r w:rsidRPr="00E3232D">
        <w:rPr>
          <w:rFonts w:ascii="Book Antiqua" w:hAnsi="Book Antiqua"/>
          <w:spacing w:val="-1"/>
        </w:rPr>
        <w:t>a</w:t>
      </w:r>
      <w:r w:rsidRPr="00E3232D">
        <w:rPr>
          <w:rFonts w:ascii="Book Antiqua" w:hAnsi="Book Antiqua"/>
        </w:rPr>
        <w:t>ined</w:t>
      </w:r>
      <w:r w:rsidRPr="00E3232D">
        <w:rPr>
          <w:rFonts w:ascii="Book Antiqua" w:hAnsi="Book Antiqua"/>
          <w:spacing w:val="4"/>
        </w:rPr>
        <w:t xml:space="preserve"> </w:t>
      </w:r>
      <w:r w:rsidRPr="00E3232D">
        <w:rPr>
          <w:rFonts w:ascii="Book Antiqua" w:hAnsi="Book Antiqua"/>
        </w:rPr>
        <w:t>their</w:t>
      </w:r>
      <w:r w:rsidRPr="00E3232D">
        <w:rPr>
          <w:rFonts w:ascii="Book Antiqua" w:hAnsi="Book Antiqua"/>
          <w:spacing w:val="4"/>
        </w:rPr>
        <w:t xml:space="preserve"> </w:t>
      </w:r>
      <w:r w:rsidRPr="00E3232D">
        <w:rPr>
          <w:rFonts w:ascii="Book Antiqua" w:hAnsi="Book Antiqua"/>
        </w:rPr>
        <w:t>busin</w:t>
      </w:r>
      <w:r w:rsidRPr="00E3232D">
        <w:rPr>
          <w:rFonts w:ascii="Book Antiqua" w:hAnsi="Book Antiqua"/>
          <w:spacing w:val="-1"/>
        </w:rPr>
        <w:t>e</w:t>
      </w:r>
      <w:r w:rsidRPr="00E3232D">
        <w:rPr>
          <w:rFonts w:ascii="Book Antiqua" w:hAnsi="Book Antiqua"/>
        </w:rPr>
        <w:t>sses.</w:t>
      </w:r>
      <w:r w:rsidRPr="00E3232D">
        <w:rPr>
          <w:rFonts w:ascii="Book Antiqua" w:hAnsi="Book Antiqua"/>
          <w:spacing w:val="6"/>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stu</w:t>
      </w:r>
      <w:r w:rsidRPr="00E3232D">
        <w:rPr>
          <w:rFonts w:ascii="Book Antiqua" w:hAnsi="Book Antiqua"/>
          <w:spacing w:val="3"/>
        </w:rPr>
        <w:t>d</w:t>
      </w:r>
      <w:r w:rsidRPr="00E3232D">
        <w:rPr>
          <w:rFonts w:ascii="Book Antiqua" w:hAnsi="Book Antiqua"/>
        </w:rPr>
        <w:t>y fu</w:t>
      </w:r>
      <w:r w:rsidRPr="00E3232D">
        <w:rPr>
          <w:rFonts w:ascii="Book Antiqua" w:hAnsi="Book Antiqua"/>
          <w:spacing w:val="-1"/>
        </w:rPr>
        <w:t>r</w:t>
      </w:r>
      <w:r w:rsidRPr="00E3232D">
        <w:rPr>
          <w:rFonts w:ascii="Book Antiqua" w:hAnsi="Book Antiqua"/>
        </w:rPr>
        <w:t>th</w:t>
      </w:r>
      <w:r w:rsidRPr="00E3232D">
        <w:rPr>
          <w:rFonts w:ascii="Book Antiqua" w:hAnsi="Book Antiqua"/>
          <w:spacing w:val="2"/>
        </w:rPr>
        <w:t>e</w:t>
      </w:r>
      <w:r w:rsidRPr="00E3232D">
        <w:rPr>
          <w:rFonts w:ascii="Book Antiqua" w:hAnsi="Book Antiqua"/>
        </w:rPr>
        <w:t>r</w:t>
      </w:r>
      <w:r w:rsidRPr="00E3232D">
        <w:rPr>
          <w:rFonts w:ascii="Book Antiqua" w:hAnsi="Book Antiqua"/>
          <w:spacing w:val="6"/>
        </w:rPr>
        <w:t xml:space="preserve"> </w:t>
      </w:r>
      <w:r w:rsidRPr="00E3232D">
        <w:rPr>
          <w:rFonts w:ascii="Book Antiqua" w:hAnsi="Book Antiqua"/>
        </w:rPr>
        <w:t>opined</w:t>
      </w:r>
      <w:r w:rsidRPr="00E3232D">
        <w:rPr>
          <w:rFonts w:ascii="Book Antiqua" w:hAnsi="Book Antiqua"/>
          <w:spacing w:val="5"/>
        </w:rPr>
        <w:t xml:space="preserve"> </w:t>
      </w:r>
      <w:r w:rsidRPr="00E3232D">
        <w:rPr>
          <w:rFonts w:ascii="Book Antiqua" w:hAnsi="Book Antiqua"/>
        </w:rPr>
        <w:t>that</w:t>
      </w:r>
      <w:r w:rsidRPr="00E3232D">
        <w:rPr>
          <w:rFonts w:ascii="Book Antiqua" w:hAnsi="Book Antiqua"/>
          <w:spacing w:val="5"/>
        </w:rPr>
        <w:t xml:space="preserve"> </w:t>
      </w:r>
      <w:r w:rsidRPr="00E3232D">
        <w:rPr>
          <w:rFonts w:ascii="Book Antiqua" w:hAnsi="Book Antiqua"/>
          <w:spacing w:val="-1"/>
        </w:rPr>
        <w:t>ac</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ss</w:t>
      </w:r>
      <w:r w:rsidRPr="00E3232D">
        <w:rPr>
          <w:rFonts w:ascii="Book Antiqua" w:hAnsi="Book Antiqua"/>
          <w:spacing w:val="5"/>
        </w:rPr>
        <w:t xml:space="preserve"> </w:t>
      </w:r>
      <w:r w:rsidRPr="00E3232D">
        <w:rPr>
          <w:rFonts w:ascii="Book Antiqua" w:hAnsi="Book Antiqua"/>
        </w:rPr>
        <w:t>to</w:t>
      </w:r>
      <w:r w:rsidRPr="00E3232D">
        <w:rPr>
          <w:rFonts w:ascii="Book Antiqua" w:hAnsi="Book Antiqua"/>
          <w:spacing w:val="5"/>
        </w:rPr>
        <w:t xml:space="preserve"> </w:t>
      </w:r>
      <w:r w:rsidRPr="00E3232D">
        <w:rPr>
          <w:rFonts w:ascii="Book Antiqua" w:hAnsi="Book Antiqua"/>
        </w:rPr>
        <w:t>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spacing w:val="2"/>
        </w:rPr>
        <w:t>b</w:t>
      </w:r>
      <w:r w:rsidRPr="00E3232D">
        <w:rPr>
          <w:rFonts w:ascii="Book Antiqua" w:hAnsi="Book Antiqua"/>
        </w:rPr>
        <w:t>y these</w:t>
      </w:r>
      <w:r w:rsidRPr="00E3232D">
        <w:rPr>
          <w:rFonts w:ascii="Book Antiqua" w:hAnsi="Book Antiqua"/>
          <w:spacing w:val="4"/>
        </w:rPr>
        <w:t xml:space="preserve"> </w:t>
      </w:r>
      <w:r w:rsidRPr="00E3232D">
        <w:rPr>
          <w:rFonts w:ascii="Book Antiqua" w:hAnsi="Book Antiqua"/>
          <w:spacing w:val="2"/>
        </w:rPr>
        <w:t>p</w:t>
      </w:r>
      <w:r w:rsidRPr="00E3232D">
        <w:rPr>
          <w:rFonts w:ascii="Book Antiqua" w:hAnsi="Book Antiqua"/>
          <w:spacing w:val="-1"/>
        </w:rPr>
        <w:t>e</w:t>
      </w:r>
      <w:r w:rsidRPr="00E3232D">
        <w:rPr>
          <w:rFonts w:ascii="Book Antiqua" w:hAnsi="Book Antiqua"/>
        </w:rPr>
        <w:t>ople</w:t>
      </w:r>
      <w:r w:rsidRPr="00E3232D">
        <w:rPr>
          <w:rFonts w:ascii="Book Antiqua" w:hAnsi="Book Antiqua"/>
          <w:spacing w:val="4"/>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d b</w:t>
      </w:r>
      <w:r w:rsidRPr="00E3232D">
        <w:rPr>
          <w:rFonts w:ascii="Book Antiqua" w:hAnsi="Book Antiqua"/>
          <w:spacing w:val="-1"/>
        </w:rPr>
        <w:t>ee</w:t>
      </w:r>
      <w:r w:rsidRPr="00E3232D">
        <w:rPr>
          <w:rFonts w:ascii="Book Antiqua" w:hAnsi="Book Antiqua"/>
        </w:rPr>
        <w:t>n</w:t>
      </w:r>
      <w:r w:rsidRPr="00E3232D">
        <w:rPr>
          <w:rFonts w:ascii="Book Antiqua" w:hAnsi="Book Antiqua"/>
          <w:spacing w:val="17"/>
        </w:rPr>
        <w:t xml:space="preserve"> </w:t>
      </w:r>
      <w:r w:rsidRPr="00E3232D">
        <w:rPr>
          <w:rFonts w:ascii="Book Antiqua" w:hAnsi="Book Antiqua"/>
          <w:spacing w:val="1"/>
        </w:rPr>
        <w:t>e</w:t>
      </w:r>
      <w:r w:rsidRPr="00E3232D">
        <w:rPr>
          <w:rFonts w:ascii="Book Antiqua" w:hAnsi="Book Antiqua"/>
          <w:spacing w:val="-1"/>
        </w:rPr>
        <w:t>a</w:t>
      </w:r>
      <w:r w:rsidRPr="00E3232D">
        <w:rPr>
          <w:rFonts w:ascii="Book Antiqua" w:hAnsi="Book Antiqua"/>
          <w:spacing w:val="2"/>
        </w:rPr>
        <w:t>s</w:t>
      </w:r>
      <w:r w:rsidRPr="00E3232D">
        <w:rPr>
          <w:rFonts w:ascii="Book Antiqua" w:hAnsi="Book Antiqua"/>
        </w:rPr>
        <w:t>y</w:t>
      </w:r>
      <w:r w:rsidRPr="00E3232D">
        <w:rPr>
          <w:rFonts w:ascii="Book Antiqua" w:hAnsi="Book Antiqua"/>
          <w:spacing w:val="14"/>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7"/>
        </w:rPr>
        <w:t xml:space="preserve"> </w:t>
      </w:r>
      <w:r w:rsidRPr="00E3232D">
        <w:rPr>
          <w:rFonts w:ascii="Book Antiqua" w:hAnsi="Book Antiqua"/>
        </w:rPr>
        <w:t>few</w:t>
      </w:r>
      <w:r w:rsidRPr="00E3232D">
        <w:rPr>
          <w:rFonts w:ascii="Book Antiqua" w:hAnsi="Book Antiqua"/>
          <w:spacing w:val="16"/>
        </w:rPr>
        <w:t xml:space="preserve"> </w:t>
      </w:r>
      <w:r w:rsidRPr="00E3232D">
        <w:rPr>
          <w:rFonts w:ascii="Book Antiqua" w:hAnsi="Book Antiqua"/>
          <w:spacing w:val="-1"/>
        </w:rPr>
        <w:t>ca</w:t>
      </w:r>
      <w:r w:rsidRPr="00E3232D">
        <w:rPr>
          <w:rFonts w:ascii="Book Antiqua" w:hAnsi="Book Antiqua"/>
          <w:spacing w:val="2"/>
        </w:rPr>
        <w:t>s</w:t>
      </w:r>
      <w:r w:rsidRPr="00E3232D">
        <w:rPr>
          <w:rFonts w:ascii="Book Antiqua" w:hAnsi="Book Antiqua"/>
          <w:spacing w:val="-1"/>
        </w:rPr>
        <w:t>e</w:t>
      </w:r>
      <w:r w:rsidRPr="00E3232D">
        <w:rPr>
          <w:rFonts w:ascii="Book Antiqua" w:hAnsi="Book Antiqua"/>
        </w:rPr>
        <w:t>s</w:t>
      </w:r>
      <w:r w:rsidRPr="00E3232D">
        <w:rPr>
          <w:rFonts w:ascii="Book Antiqua" w:hAnsi="Book Antiqua"/>
          <w:spacing w:val="19"/>
        </w:rPr>
        <w:t xml:space="preserve"> </w:t>
      </w:r>
      <w:r w:rsidRPr="00E3232D">
        <w:rPr>
          <w:rFonts w:ascii="Book Antiqua" w:hAnsi="Book Antiqua"/>
        </w:rPr>
        <w:t>wh</w:t>
      </w:r>
      <w:r w:rsidRPr="00E3232D">
        <w:rPr>
          <w:rFonts w:ascii="Book Antiqua" w:hAnsi="Book Antiqua"/>
          <w:spacing w:val="-1"/>
        </w:rPr>
        <w:t>e</w:t>
      </w:r>
      <w:r w:rsidRPr="00E3232D">
        <w:rPr>
          <w:rFonts w:ascii="Book Antiqua" w:hAnsi="Book Antiqua"/>
        </w:rPr>
        <w:t>re</w:t>
      </w:r>
      <w:r w:rsidRPr="00E3232D">
        <w:rPr>
          <w:rFonts w:ascii="Book Antiqua" w:hAnsi="Book Antiqua"/>
          <w:spacing w:val="17"/>
        </w:rPr>
        <w:t xml:space="preserve"> </w:t>
      </w:r>
      <w:r w:rsidRPr="00E3232D">
        <w:rPr>
          <w:rFonts w:ascii="Book Antiqua" w:hAnsi="Book Antiqua"/>
          <w:spacing w:val="-1"/>
        </w:rPr>
        <w:t>c</w:t>
      </w:r>
      <w:r w:rsidRPr="00E3232D">
        <w:rPr>
          <w:rFonts w:ascii="Book Antiqua" w:hAnsi="Book Antiqua"/>
        </w:rPr>
        <w:t>ol</w:t>
      </w:r>
      <w:r w:rsidRPr="00E3232D">
        <w:rPr>
          <w:rFonts w:ascii="Book Antiqua" w:hAnsi="Book Antiqua"/>
          <w:spacing w:val="1"/>
        </w:rPr>
        <w:t>l</w:t>
      </w:r>
      <w:r w:rsidRPr="00E3232D">
        <w:rPr>
          <w:rFonts w:ascii="Book Antiqua" w:hAnsi="Book Antiqua"/>
          <w:spacing w:val="-1"/>
        </w:rPr>
        <w:t>a</w:t>
      </w:r>
      <w:r w:rsidRPr="00E3232D">
        <w:rPr>
          <w:rFonts w:ascii="Book Antiqua" w:hAnsi="Book Antiqua"/>
        </w:rPr>
        <w:t>te</w:t>
      </w:r>
      <w:r w:rsidRPr="00E3232D">
        <w:rPr>
          <w:rFonts w:ascii="Book Antiqua" w:hAnsi="Book Antiqua"/>
          <w:spacing w:val="-1"/>
        </w:rPr>
        <w:t>ra</w:t>
      </w:r>
      <w:r w:rsidRPr="00E3232D">
        <w:rPr>
          <w:rFonts w:ascii="Book Antiqua" w:hAnsi="Book Antiqua"/>
        </w:rPr>
        <w:t>l</w:t>
      </w:r>
      <w:r w:rsidRPr="00E3232D">
        <w:rPr>
          <w:rFonts w:ascii="Book Antiqua" w:hAnsi="Book Antiqua"/>
          <w:spacing w:val="17"/>
        </w:rPr>
        <w:t xml:space="preserve"> </w:t>
      </w:r>
      <w:r w:rsidRPr="00E3232D">
        <w:rPr>
          <w:rFonts w:ascii="Book Antiqua" w:hAnsi="Book Antiqua"/>
        </w:rPr>
        <w:t>is</w:t>
      </w:r>
      <w:r w:rsidRPr="00E3232D">
        <w:rPr>
          <w:rFonts w:ascii="Book Antiqua" w:hAnsi="Book Antiqua"/>
          <w:spacing w:val="17"/>
        </w:rPr>
        <w:t xml:space="preserve"> </w:t>
      </w:r>
      <w:r w:rsidRPr="00E3232D">
        <w:rPr>
          <w:rFonts w:ascii="Book Antiqua" w:hAnsi="Book Antiqua"/>
        </w:rPr>
        <w:t>n</w:t>
      </w:r>
      <w:r w:rsidRPr="00E3232D">
        <w:rPr>
          <w:rFonts w:ascii="Book Antiqua" w:hAnsi="Book Antiqua"/>
          <w:spacing w:val="1"/>
        </w:rPr>
        <w:t>e</w:t>
      </w:r>
      <w:r w:rsidRPr="00E3232D">
        <w:rPr>
          <w:rFonts w:ascii="Book Antiqua" w:hAnsi="Book Antiqua"/>
          <w:spacing w:val="-1"/>
        </w:rPr>
        <w:t>e</w:t>
      </w:r>
      <w:r w:rsidRPr="00E3232D">
        <w:rPr>
          <w:rFonts w:ascii="Book Antiqua" w:hAnsi="Book Antiqua"/>
          <w:spacing w:val="2"/>
        </w:rPr>
        <w:t>d</w:t>
      </w:r>
      <w:r w:rsidRPr="00E3232D">
        <w:rPr>
          <w:rFonts w:ascii="Book Antiqua" w:hAnsi="Book Antiqua"/>
          <w:spacing w:val="-1"/>
        </w:rPr>
        <w:t>e</w:t>
      </w:r>
      <w:r w:rsidRPr="00E3232D">
        <w:rPr>
          <w:rFonts w:ascii="Book Antiqua" w:hAnsi="Book Antiqua"/>
        </w:rPr>
        <w:t xml:space="preserve">d. </w:t>
      </w:r>
      <w:r w:rsidRPr="00E3232D">
        <w:rPr>
          <w:rFonts w:ascii="Book Antiqua" w:hAnsi="Book Antiqua"/>
          <w:spacing w:val="33"/>
        </w:rPr>
        <w:t xml:space="preserve"> </w:t>
      </w:r>
      <w:r w:rsidRPr="00E3232D">
        <w:rPr>
          <w:rFonts w:ascii="Book Antiqua" w:hAnsi="Book Antiqua"/>
        </w:rPr>
        <w:t>The</w:t>
      </w:r>
      <w:r w:rsidRPr="00E3232D">
        <w:rPr>
          <w:rFonts w:ascii="Book Antiqua" w:hAnsi="Book Antiqua"/>
          <w:spacing w:val="15"/>
        </w:rPr>
        <w:t xml:space="preserve"> </w:t>
      </w:r>
      <w:r w:rsidRPr="00E3232D">
        <w:rPr>
          <w:rFonts w:ascii="Book Antiqua" w:hAnsi="Book Antiqua"/>
        </w:rPr>
        <w:t>r</w:t>
      </w:r>
      <w:r w:rsidRPr="00E3232D">
        <w:rPr>
          <w:rFonts w:ascii="Book Antiqua" w:hAnsi="Book Antiqua"/>
          <w:spacing w:val="-2"/>
        </w:rPr>
        <w:t>a</w:t>
      </w:r>
      <w:r w:rsidRPr="00E3232D">
        <w:rPr>
          <w:rFonts w:ascii="Book Antiqua" w:hAnsi="Book Antiqua"/>
          <w:spacing w:val="3"/>
        </w:rPr>
        <w:t>t</w:t>
      </w:r>
      <w:r w:rsidRPr="00E3232D">
        <w:rPr>
          <w:rFonts w:ascii="Book Antiqua" w:hAnsi="Book Antiqua"/>
        </w:rPr>
        <w:t>e</w:t>
      </w:r>
      <w:r w:rsidRPr="00E3232D">
        <w:rPr>
          <w:rFonts w:ascii="Book Antiqua" w:hAnsi="Book Antiqua"/>
          <w:spacing w:val="16"/>
        </w:rPr>
        <w:t xml:space="preserve"> </w:t>
      </w:r>
      <w:r w:rsidRPr="00E3232D">
        <w:rPr>
          <w:rFonts w:ascii="Book Antiqua" w:hAnsi="Book Antiqua"/>
        </w:rPr>
        <w:t>of</w:t>
      </w:r>
      <w:r w:rsidRPr="00E3232D">
        <w:rPr>
          <w:rFonts w:ascii="Book Antiqua" w:hAnsi="Book Antiqua"/>
          <w:spacing w:val="16"/>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st</w:t>
      </w:r>
      <w:r w:rsidRPr="00E3232D">
        <w:rPr>
          <w:rFonts w:ascii="Book Antiqua" w:hAnsi="Book Antiqua"/>
          <w:spacing w:val="20"/>
        </w:rPr>
        <w:t xml:space="preserve"> </w:t>
      </w:r>
      <w:r w:rsidRPr="00E3232D">
        <w:rPr>
          <w:rFonts w:ascii="Book Antiqua" w:hAnsi="Book Antiqua"/>
        </w:rPr>
        <w:t>p</w:t>
      </w:r>
      <w:r w:rsidRPr="00E3232D">
        <w:rPr>
          <w:rFonts w:ascii="Book Antiqua" w:hAnsi="Book Antiqua"/>
          <w:spacing w:val="1"/>
        </w:rPr>
        <w:t>a</w:t>
      </w:r>
      <w:r w:rsidRPr="00E3232D">
        <w:rPr>
          <w:rFonts w:ascii="Book Antiqua" w:hAnsi="Book Antiqua"/>
          <w:spacing w:val="-5"/>
        </w:rPr>
        <w:t>y</w:t>
      </w:r>
      <w:r w:rsidRPr="00E3232D">
        <w:rPr>
          <w:rFonts w:ascii="Book Antiqua" w:hAnsi="Book Antiqua"/>
          <w:spacing w:val="3"/>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17"/>
        </w:rPr>
        <w:t xml:space="preserve"> </w:t>
      </w:r>
      <w:r w:rsidRPr="00E3232D">
        <w:rPr>
          <w:rFonts w:ascii="Book Antiqua" w:hAnsi="Book Antiqua"/>
        </w:rPr>
        <w:t>is</w:t>
      </w:r>
      <w:r w:rsidRPr="00E3232D">
        <w:rPr>
          <w:rFonts w:ascii="Book Antiqua" w:hAnsi="Book Antiqua"/>
          <w:spacing w:val="17"/>
        </w:rPr>
        <w:t xml:space="preserve"> </w:t>
      </w:r>
      <w:r w:rsidRPr="00E3232D">
        <w:rPr>
          <w:rFonts w:ascii="Book Antiqua" w:hAnsi="Book Antiqua"/>
        </w:rPr>
        <w:t>not</w:t>
      </w:r>
      <w:r w:rsidRPr="00E3232D">
        <w:rPr>
          <w:rFonts w:ascii="Book Antiqua" w:hAnsi="Book Antiqua"/>
          <w:spacing w:val="17"/>
        </w:rPr>
        <w:t xml:space="preserve"> </w:t>
      </w:r>
      <w:r w:rsidRPr="00E3232D">
        <w:rPr>
          <w:rFonts w:ascii="Book Antiqua" w:hAnsi="Book Antiqua"/>
        </w:rPr>
        <w:t>kn</w:t>
      </w:r>
      <w:r w:rsidRPr="00E3232D">
        <w:rPr>
          <w:rFonts w:ascii="Book Antiqua" w:hAnsi="Book Antiqua"/>
          <w:spacing w:val="9"/>
        </w:rPr>
        <w:t>o</w:t>
      </w:r>
      <w:r w:rsidRPr="00E3232D">
        <w:rPr>
          <w:rFonts w:ascii="Book Antiqua" w:hAnsi="Book Antiqua"/>
        </w:rPr>
        <w:t xml:space="preserve">wn </w:t>
      </w:r>
      <w:r w:rsidRPr="00E3232D">
        <w:rPr>
          <w:rFonts w:ascii="Book Antiqua" w:hAnsi="Book Antiqua"/>
          <w:spacing w:val="2"/>
        </w:rPr>
        <w:t>b</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rPr>
        <w:t>these</w:t>
      </w:r>
      <w:r w:rsidRPr="00E3232D">
        <w:rPr>
          <w:rFonts w:ascii="Book Antiqua" w:hAnsi="Book Antiqua"/>
          <w:spacing w:val="1"/>
        </w:rPr>
        <w:t xml:space="preserve"> </w:t>
      </w:r>
      <w:r w:rsidRPr="00E3232D">
        <w:rPr>
          <w:rFonts w:ascii="Book Antiqua" w:hAnsi="Book Antiqua"/>
        </w:rPr>
        <w:t>potential</w:t>
      </w:r>
      <w:r w:rsidRPr="00E3232D">
        <w:rPr>
          <w:rFonts w:ascii="Book Antiqua" w:hAnsi="Book Antiqua"/>
          <w:spacing w:val="2"/>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4"/>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2"/>
        </w:rPr>
        <w:t xml:space="preserve"> </w:t>
      </w:r>
      <w:r w:rsidRPr="00E3232D">
        <w:rPr>
          <w:rFonts w:ascii="Book Antiqua" w:hAnsi="Book Antiqua"/>
        </w:rPr>
        <w:t>bo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w:t>
      </w:r>
      <w:r w:rsidRPr="00E3232D">
        <w:rPr>
          <w:rFonts w:ascii="Book Antiqua" w:hAnsi="Book Antiqua"/>
          <w:spacing w:val="1"/>
        </w:rPr>
        <w:t>er</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The potential</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 h</w:t>
      </w:r>
      <w:r w:rsidRPr="00E3232D">
        <w:rPr>
          <w:rFonts w:ascii="Book Antiqua" w:hAnsi="Book Antiqua"/>
          <w:spacing w:val="-1"/>
        </w:rPr>
        <w:t>a</w:t>
      </w:r>
      <w:r w:rsidRPr="00E3232D">
        <w:rPr>
          <w:rFonts w:ascii="Book Antiqua" w:hAnsi="Book Antiqua"/>
        </w:rPr>
        <w:t>ve posit</w:t>
      </w:r>
      <w:r w:rsidRPr="00E3232D">
        <w:rPr>
          <w:rFonts w:ascii="Book Antiqua" w:hAnsi="Book Antiqua"/>
          <w:spacing w:val="1"/>
        </w:rPr>
        <w:t>i</w:t>
      </w:r>
      <w:r w:rsidRPr="00E3232D">
        <w:rPr>
          <w:rFonts w:ascii="Book Antiqua" w:hAnsi="Book Antiqua"/>
        </w:rPr>
        <w:t>ve</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rPr>
        <w:t>ude tow</w:t>
      </w:r>
      <w:r w:rsidRPr="00E3232D">
        <w:rPr>
          <w:rFonts w:ascii="Book Antiqua" w:hAnsi="Book Antiqua"/>
          <w:spacing w:val="-1"/>
        </w:rPr>
        <w:t>a</w:t>
      </w:r>
      <w:r w:rsidRPr="00E3232D">
        <w:rPr>
          <w:rFonts w:ascii="Book Antiqua" w:hAnsi="Book Antiqua"/>
        </w:rPr>
        <w:t>rds loan r</w:t>
      </w:r>
      <w:r w:rsidRPr="00E3232D">
        <w:rPr>
          <w:rFonts w:ascii="Book Antiqua" w:hAnsi="Book Antiqua"/>
          <w:spacing w:val="-2"/>
        </w:rPr>
        <w:t>e</w:t>
      </w:r>
      <w:r w:rsidRPr="00E3232D">
        <w:rPr>
          <w:rFonts w:ascii="Book Antiqua" w:hAnsi="Book Antiqua"/>
        </w:rPr>
        <w:t>p</w:t>
      </w:r>
      <w:r w:rsidRPr="00E3232D">
        <w:rPr>
          <w:rFonts w:ascii="Book Antiqua" w:hAnsi="Book Antiqua"/>
          <w:spacing w:val="4"/>
        </w:rPr>
        <w:t>a</w:t>
      </w:r>
      <w:r w:rsidRPr="00E3232D">
        <w:rPr>
          <w:rFonts w:ascii="Book Antiqua" w:hAnsi="Book Antiqua"/>
          <w:spacing w:val="-5"/>
        </w:rPr>
        <w:t>y</w:t>
      </w:r>
      <w:r w:rsidRPr="00E3232D">
        <w:rPr>
          <w:rFonts w:ascii="Book Antiqua" w:hAnsi="Book Antiqua"/>
        </w:rPr>
        <w:t xml:space="preserve">ment. </w:t>
      </w:r>
      <w:r w:rsidRPr="00E3232D">
        <w:rPr>
          <w:rFonts w:ascii="Book Antiqua" w:hAnsi="Book Antiqua"/>
          <w:spacing w:val="23"/>
        </w:rPr>
        <w:t xml:space="preserve"> </w:t>
      </w:r>
      <w:r w:rsidRPr="00E3232D">
        <w:rPr>
          <w:rFonts w:ascii="Book Antiqua" w:hAnsi="Book Antiqua"/>
          <w:spacing w:val="1"/>
        </w:rPr>
        <w:t>F</w:t>
      </w:r>
      <w:r w:rsidRPr="00E3232D">
        <w:rPr>
          <w:rFonts w:ascii="Book Antiqua" w:hAnsi="Book Antiqua"/>
          <w:spacing w:val="-1"/>
        </w:rPr>
        <w:t>e</w:t>
      </w:r>
      <w:r w:rsidRPr="00E3232D">
        <w:rPr>
          <w:rFonts w:ascii="Book Antiqua" w:hAnsi="Book Antiqua"/>
        </w:rPr>
        <w:t>w</w:t>
      </w:r>
      <w:r w:rsidRPr="00E3232D">
        <w:rPr>
          <w:rFonts w:ascii="Book Antiqua" w:hAnsi="Book Antiqua"/>
          <w:spacing w:val="1"/>
        </w:rPr>
        <w:t xml:space="preserve"> </w:t>
      </w:r>
      <w:r w:rsidRPr="00E3232D">
        <w:rPr>
          <w:rFonts w:ascii="Book Antiqua" w:hAnsi="Book Antiqua"/>
        </w:rPr>
        <w:t>pol</w:t>
      </w:r>
      <w:r w:rsidRPr="00E3232D">
        <w:rPr>
          <w:rFonts w:ascii="Book Antiqua" w:hAnsi="Book Antiqua"/>
          <w:spacing w:val="1"/>
        </w:rPr>
        <w:t>i</w:t>
      </w:r>
      <w:r w:rsidRPr="00E3232D">
        <w:rPr>
          <w:rFonts w:ascii="Book Antiqua" w:hAnsi="Book Antiqua"/>
          <w:spacing w:val="4"/>
        </w:rPr>
        <w:t>c</w:t>
      </w:r>
      <w:r w:rsidRPr="00E3232D">
        <w:rPr>
          <w:rFonts w:ascii="Book Antiqua" w:hAnsi="Book Antiqua"/>
        </w:rPr>
        <w:t>y 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rv</w:t>
      </w:r>
      <w:r w:rsidRPr="00E3232D">
        <w:rPr>
          <w:rFonts w:ascii="Book Antiqua" w:hAnsi="Book Antiqua"/>
          <w:spacing w:val="-2"/>
        </w:rPr>
        <w:t>e</w:t>
      </w:r>
      <w:r w:rsidRPr="00E3232D">
        <w:rPr>
          <w:rFonts w:ascii="Book Antiqua" w:hAnsi="Book Antiqua"/>
        </w:rPr>
        <w:t>nt</w:t>
      </w:r>
      <w:r w:rsidRPr="00E3232D">
        <w:rPr>
          <w:rFonts w:ascii="Book Antiqua" w:hAnsi="Book Antiqua"/>
          <w:spacing w:val="1"/>
        </w:rPr>
        <w:t>i</w:t>
      </w:r>
      <w:r w:rsidRPr="00E3232D">
        <w:rPr>
          <w:rFonts w:ascii="Book Antiqua" w:hAnsi="Book Antiqua"/>
        </w:rPr>
        <w:t>ons</w:t>
      </w:r>
      <w:r w:rsidRPr="00E3232D">
        <w:rPr>
          <w:rFonts w:ascii="Book Antiqua" w:hAnsi="Book Antiqua"/>
          <w:spacing w:val="2"/>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ve</w:t>
      </w:r>
      <w:r w:rsidRPr="00E3232D">
        <w:rPr>
          <w:rFonts w:ascii="Book Antiqua" w:hAnsi="Book Antiqua"/>
          <w:spacing w:val="1"/>
        </w:rPr>
        <w:t xml:space="preserve"> </w:t>
      </w:r>
      <w:r w:rsidRPr="00E3232D">
        <w:rPr>
          <w:rFonts w:ascii="Book Antiqua" w:hAnsi="Book Antiqua"/>
          <w:spacing w:val="2"/>
        </w:rPr>
        <w:t>b</w:t>
      </w:r>
      <w:r w:rsidRPr="00E3232D">
        <w:rPr>
          <w:rFonts w:ascii="Book Antiqua" w:hAnsi="Book Antiqua"/>
          <w:spacing w:val="-1"/>
        </w:rPr>
        <w:t>ee</w:t>
      </w:r>
      <w:r w:rsidRPr="00E3232D">
        <w:rPr>
          <w:rFonts w:ascii="Book Antiqua" w:hAnsi="Book Antiqua"/>
        </w:rPr>
        <w:t>n</w:t>
      </w:r>
      <w:r w:rsidRPr="00E3232D">
        <w:rPr>
          <w:rFonts w:ascii="Book Antiqua" w:hAnsi="Book Antiqua"/>
          <w:spacing w:val="4"/>
        </w:rPr>
        <w:t xml:space="preserve"> </w:t>
      </w:r>
      <w:r w:rsidRPr="00E3232D">
        <w:rPr>
          <w:rFonts w:ascii="Book Antiqua" w:hAnsi="Book Antiqua"/>
        </w:rPr>
        <w:t>i</w:t>
      </w:r>
      <w:r w:rsidRPr="00E3232D">
        <w:rPr>
          <w:rFonts w:ascii="Book Antiqua" w:hAnsi="Book Antiqua"/>
          <w:spacing w:val="1"/>
        </w:rPr>
        <w:t>m</w:t>
      </w:r>
      <w:r w:rsidRPr="00E3232D">
        <w:rPr>
          <w:rFonts w:ascii="Book Antiqua" w:hAnsi="Book Antiqua"/>
        </w:rPr>
        <w:t>plem</w:t>
      </w:r>
      <w:r w:rsidRPr="00E3232D">
        <w:rPr>
          <w:rFonts w:ascii="Book Antiqua" w:hAnsi="Book Antiqua"/>
          <w:spacing w:val="-1"/>
        </w:rPr>
        <w:t>e</w:t>
      </w:r>
      <w:r w:rsidRPr="00E3232D">
        <w:rPr>
          <w:rFonts w:ascii="Book Antiqua" w:hAnsi="Book Antiqua"/>
        </w:rPr>
        <w:t>nted</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2"/>
        </w:rPr>
        <w:t xml:space="preserve"> </w:t>
      </w:r>
      <w:r w:rsidRPr="00E3232D">
        <w:rPr>
          <w:rFonts w:ascii="Book Antiqua" w:hAnsi="Book Antiqua"/>
        </w:rPr>
        <w:t>s</w:t>
      </w:r>
      <w:r w:rsidRPr="00E3232D">
        <w:rPr>
          <w:rFonts w:ascii="Book Antiqua" w:hAnsi="Book Antiqua"/>
          <w:spacing w:val="5"/>
        </w:rPr>
        <w:t>a</w:t>
      </w:r>
      <w:r w:rsidRPr="00E3232D">
        <w:rPr>
          <w:rFonts w:ascii="Book Antiqua" w:hAnsi="Book Antiqua"/>
        </w:rPr>
        <w:t>fe</w:t>
      </w:r>
      <w:r w:rsidRPr="00E3232D">
        <w:rPr>
          <w:rFonts w:ascii="Book Antiqua" w:hAnsi="Book Antiqua"/>
          <w:spacing w:val="-2"/>
        </w:rPr>
        <w:t>g</w:t>
      </w:r>
      <w:r w:rsidRPr="00E3232D">
        <w:rPr>
          <w:rFonts w:ascii="Book Antiqua" w:hAnsi="Book Antiqua"/>
          <w:spacing w:val="2"/>
        </w:rPr>
        <w:t>u</w:t>
      </w:r>
      <w:r w:rsidRPr="00E3232D">
        <w:rPr>
          <w:rFonts w:ascii="Book Antiqua" w:hAnsi="Book Antiqua"/>
          <w:spacing w:val="-1"/>
        </w:rPr>
        <w:t>a</w:t>
      </w:r>
      <w:r w:rsidRPr="00E3232D">
        <w:rPr>
          <w:rFonts w:ascii="Book Antiqua" w:hAnsi="Book Antiqua"/>
          <w:spacing w:val="1"/>
        </w:rPr>
        <w:t>r</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rPr>
        <w:t>their</w:t>
      </w:r>
      <w:r w:rsidRPr="00E3232D">
        <w:rPr>
          <w:rFonts w:ascii="Book Antiqua" w:hAnsi="Book Antiqua"/>
          <w:spacing w:val="1"/>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st.</w:t>
      </w:r>
      <w:r w:rsidRPr="00E3232D">
        <w:rPr>
          <w:rFonts w:ascii="Book Antiqua" w:hAnsi="Book Antiqua"/>
          <w:spacing w:val="10"/>
        </w:rPr>
        <w:t xml:space="preserve"> </w:t>
      </w:r>
      <w:r w:rsidRPr="00E3232D">
        <w:rPr>
          <w:rFonts w:ascii="Book Antiqua" w:hAnsi="Book Antiqua"/>
          <w:spacing w:val="-3"/>
        </w:rPr>
        <w:t>I</w:t>
      </w:r>
      <w:r w:rsidRPr="00E3232D">
        <w:rPr>
          <w:rFonts w:ascii="Book Antiqua" w:hAnsi="Book Antiqua"/>
        </w:rPr>
        <w:t>n</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rPr>
        <w:t>, the</w:t>
      </w:r>
      <w:r w:rsidRPr="00E3232D">
        <w:rPr>
          <w:rFonts w:ascii="Book Antiqua" w:hAnsi="Book Antiqua"/>
          <w:spacing w:val="-1"/>
        </w:rPr>
        <w:t>r</w:t>
      </w:r>
      <w:r w:rsidRPr="00E3232D">
        <w:rPr>
          <w:rFonts w:ascii="Book Antiqua" w:hAnsi="Book Antiqua"/>
        </w:rPr>
        <w:t xml:space="preserve">e </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d</w:t>
      </w:r>
      <w:r w:rsidRPr="00E3232D">
        <w:rPr>
          <w:rFonts w:ascii="Book Antiqua" w:hAnsi="Book Antiqua"/>
          <w:spacing w:val="1"/>
        </w:rPr>
        <w:t xml:space="preserve"> </w:t>
      </w:r>
      <w:r w:rsidRPr="00E3232D">
        <w:rPr>
          <w:rFonts w:ascii="Book Antiqua" w:hAnsi="Book Antiqua"/>
        </w:rPr>
        <w:t>b</w:t>
      </w:r>
      <w:r w:rsidRPr="00E3232D">
        <w:rPr>
          <w:rFonts w:ascii="Book Antiqua" w:hAnsi="Book Antiqua"/>
          <w:spacing w:val="1"/>
        </w:rPr>
        <w:t>e</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 xml:space="preserve"> </w:t>
      </w:r>
      <w:r w:rsidRPr="00E3232D">
        <w:rPr>
          <w:rFonts w:ascii="Book Antiqua" w:hAnsi="Book Antiqua"/>
        </w:rPr>
        <w:t>i</w:t>
      </w:r>
      <w:r w:rsidRPr="00E3232D">
        <w:rPr>
          <w:rFonts w:ascii="Book Antiqua" w:hAnsi="Book Antiqua"/>
          <w:spacing w:val="3"/>
        </w:rPr>
        <w:t>n</w:t>
      </w:r>
      <w:r w:rsidRPr="00E3232D">
        <w:rPr>
          <w:rFonts w:ascii="Book Antiqua" w:hAnsi="Book Antiqua"/>
          <w:spacing w:val="-1"/>
        </w:rPr>
        <w:t>c</w:t>
      </w:r>
      <w:r w:rsidRPr="00E3232D">
        <w:rPr>
          <w:rFonts w:ascii="Book Antiqua" w:hAnsi="Book Antiqua"/>
        </w:rPr>
        <w:t>re</w:t>
      </w:r>
      <w:r w:rsidRPr="00E3232D">
        <w:rPr>
          <w:rFonts w:ascii="Book Antiqua" w:hAnsi="Book Antiqua"/>
          <w:spacing w:val="1"/>
        </w:rPr>
        <w:t>a</w:t>
      </w:r>
      <w:r w:rsidRPr="00E3232D">
        <w:rPr>
          <w:rFonts w:ascii="Book Antiqua" w:hAnsi="Book Antiqua"/>
        </w:rPr>
        <w:t>se in</w:t>
      </w:r>
      <w:r w:rsidRPr="00E3232D">
        <w:rPr>
          <w:rFonts w:ascii="Book Antiqua" w:hAnsi="Book Antiqua"/>
          <w:spacing w:val="1"/>
        </w:rPr>
        <w:t xml:space="preserve"> </w:t>
      </w:r>
      <w:r w:rsidRPr="00E3232D">
        <w:rPr>
          <w:rFonts w:ascii="Book Antiqua" w:hAnsi="Book Antiqua"/>
        </w:rPr>
        <w:t xml:space="preserve">the </w:t>
      </w:r>
      <w:r w:rsidRPr="00E3232D">
        <w:rPr>
          <w:rFonts w:ascii="Book Antiqua" w:hAnsi="Book Antiqua"/>
          <w:spacing w:val="-1"/>
        </w:rPr>
        <w:t>e</w:t>
      </w:r>
      <w:r w:rsidRPr="00E3232D">
        <w:rPr>
          <w:rFonts w:ascii="Book Antiqua" w:hAnsi="Book Antiqua"/>
        </w:rPr>
        <w:t>s</w:t>
      </w:r>
      <w:r w:rsidRPr="00E3232D">
        <w:rPr>
          <w:rFonts w:ascii="Book Antiqua" w:hAnsi="Book Antiqua"/>
          <w:spacing w:val="3"/>
        </w:rPr>
        <w:t>t</w:t>
      </w:r>
      <w:r w:rsidRPr="00E3232D">
        <w:rPr>
          <w:rFonts w:ascii="Book Antiqua" w:hAnsi="Book Antiqua"/>
          <w:spacing w:val="-1"/>
        </w:rPr>
        <w:t>a</w:t>
      </w:r>
      <w:r w:rsidRPr="00E3232D">
        <w:rPr>
          <w:rFonts w:ascii="Book Antiqua" w:hAnsi="Book Antiqua"/>
        </w:rPr>
        <w:t>bl</w:t>
      </w:r>
      <w:r w:rsidRPr="00E3232D">
        <w:rPr>
          <w:rFonts w:ascii="Book Antiqua" w:hAnsi="Book Antiqua"/>
          <w:spacing w:val="1"/>
        </w:rPr>
        <w:t>i</w:t>
      </w:r>
      <w:r w:rsidRPr="00E3232D">
        <w:rPr>
          <w:rFonts w:ascii="Book Antiqua" w:hAnsi="Book Antiqua"/>
        </w:rPr>
        <w:t>shment</w:t>
      </w:r>
      <w:r w:rsidRPr="00E3232D">
        <w:rPr>
          <w:rFonts w:ascii="Book Antiqua" w:hAnsi="Book Antiqua"/>
          <w:spacing w:val="1"/>
        </w:rPr>
        <w:t xml:space="preserve"> </w:t>
      </w:r>
      <w:r w:rsidRPr="00E3232D">
        <w:rPr>
          <w:rFonts w:ascii="Book Antiqua" w:hAnsi="Book Antiqua"/>
        </w:rPr>
        <w:t>of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t</w:t>
      </w:r>
      <w:r w:rsidRPr="00E3232D">
        <w:rPr>
          <w:rFonts w:ascii="Book Antiqua" w:hAnsi="Book Antiqua"/>
          <w:spacing w:val="-1"/>
        </w:rPr>
        <w:t>e</w:t>
      </w:r>
      <w:r w:rsidRPr="00E3232D">
        <w:rPr>
          <w:rFonts w:ascii="Book Antiqua" w:hAnsi="Book Antiqua"/>
          <w:spacing w:val="5"/>
        </w:rPr>
        <w:t>r</w:t>
      </w:r>
      <w:r w:rsidRPr="00E3232D">
        <w:rPr>
          <w:rFonts w:ascii="Book Antiqua" w:hAnsi="Book Antiqua"/>
        </w:rPr>
        <w:t>p</w:t>
      </w:r>
      <w:r w:rsidRPr="00E3232D">
        <w:rPr>
          <w:rFonts w:ascii="Book Antiqua" w:hAnsi="Book Antiqua"/>
          <w:spacing w:val="-1"/>
        </w:rPr>
        <w:t>r</w:t>
      </w:r>
      <w:r w:rsidRPr="00E3232D">
        <w:rPr>
          <w:rFonts w:ascii="Book Antiqua" w:hAnsi="Book Antiqua"/>
        </w:rPr>
        <w:t>ises</w:t>
      </w:r>
      <w:r w:rsidRPr="00E3232D">
        <w:rPr>
          <w:rFonts w:ascii="Book Antiqua" w:hAnsi="Book Antiqua"/>
          <w:spacing w:val="3"/>
        </w:rPr>
        <w:t xml:space="preserve"> </w:t>
      </w:r>
      <w:r w:rsidRPr="00E3232D">
        <w:rPr>
          <w:rFonts w:ascii="Book Antiqua" w:hAnsi="Book Antiqua"/>
        </w:rPr>
        <w:t>in</w:t>
      </w:r>
      <w:r w:rsidRPr="00E3232D">
        <w:rPr>
          <w:rFonts w:ascii="Book Antiqua" w:hAnsi="Book Antiqua"/>
          <w:spacing w:val="1"/>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rPr>
        <w:t>T</w:t>
      </w:r>
      <w:r w:rsidRPr="00E3232D">
        <w:rPr>
          <w:rFonts w:ascii="Book Antiqua" w:hAnsi="Book Antiqua"/>
          <w:spacing w:val="-1"/>
        </w:rPr>
        <w:t>a</w:t>
      </w:r>
      <w:r w:rsidRPr="00E3232D">
        <w:rPr>
          <w:rFonts w:ascii="Book Antiqua" w:hAnsi="Book Antiqua"/>
        </w:rPr>
        <w:t xml:space="preserve">male </w:t>
      </w:r>
      <w:r w:rsidRPr="00E3232D">
        <w:rPr>
          <w:rFonts w:ascii="Book Antiqua" w:hAnsi="Book Antiqua"/>
          <w:spacing w:val="2"/>
        </w:rPr>
        <w:t>M</w:t>
      </w:r>
      <w:r w:rsidRPr="00E3232D">
        <w:rPr>
          <w:rFonts w:ascii="Book Antiqua" w:hAnsi="Book Antiqua"/>
          <w:spacing w:val="-1"/>
        </w:rPr>
        <w:t>e</w:t>
      </w:r>
      <w:r w:rsidRPr="00E3232D">
        <w:rPr>
          <w:rFonts w:ascii="Book Antiqua" w:hAnsi="Book Antiqua"/>
        </w:rPr>
        <w:t xml:space="preserve">tropolitan </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e</w:t>
      </w:r>
      <w:r w:rsidRPr="00E3232D">
        <w:rPr>
          <w:rFonts w:ascii="Book Antiqua" w:hAnsi="Book Antiqua"/>
          <w:spacing w:val="-1"/>
        </w:rPr>
        <w:t>a</w:t>
      </w:r>
      <w:r w:rsidRPr="00E3232D">
        <w:rPr>
          <w:rFonts w:ascii="Book Antiqua" w:hAnsi="Book Antiqua"/>
        </w:rPr>
        <w:t>.</w:t>
      </w:r>
    </w:p>
    <w:p w14:paraId="7FFB1D0B" w14:textId="77777777" w:rsidR="00E00EF9" w:rsidRPr="00E3232D" w:rsidRDefault="00E00EF9" w:rsidP="00E00EF9">
      <w:pPr>
        <w:widowControl w:val="0"/>
        <w:autoSpaceDE w:val="0"/>
        <w:autoSpaceDN w:val="0"/>
        <w:adjustRightInd w:val="0"/>
        <w:ind w:right="20"/>
        <w:rPr>
          <w:rFonts w:ascii="Book Antiqua" w:hAnsi="Book Antiqua"/>
          <w:iCs/>
        </w:rPr>
      </w:pPr>
      <w:r w:rsidRPr="00E3232D">
        <w:rPr>
          <w:rFonts w:ascii="Book Antiqua" w:hAnsi="Book Antiqua"/>
          <w:b/>
        </w:rPr>
        <w:t>K</w:t>
      </w:r>
      <w:r w:rsidRPr="00E3232D">
        <w:rPr>
          <w:rFonts w:ascii="Book Antiqua" w:hAnsi="Book Antiqua"/>
          <w:b/>
          <w:spacing w:val="3"/>
        </w:rPr>
        <w:t>e</w:t>
      </w:r>
      <w:r w:rsidRPr="00E3232D">
        <w:rPr>
          <w:rFonts w:ascii="Book Antiqua" w:hAnsi="Book Antiqua"/>
          <w:b/>
        </w:rPr>
        <w:t>ywo</w:t>
      </w:r>
      <w:r w:rsidRPr="00E3232D">
        <w:rPr>
          <w:rFonts w:ascii="Book Antiqua" w:hAnsi="Book Antiqua"/>
          <w:b/>
          <w:spacing w:val="-1"/>
        </w:rPr>
        <w:t>r</w:t>
      </w:r>
      <w:r w:rsidRPr="00E3232D">
        <w:rPr>
          <w:rFonts w:ascii="Book Antiqua" w:hAnsi="Book Antiqua"/>
          <w:b/>
        </w:rPr>
        <w:t>ds</w:t>
      </w:r>
      <w:r w:rsidRPr="00E3232D">
        <w:rPr>
          <w:rFonts w:ascii="Book Antiqua" w:hAnsi="Book Antiqua"/>
        </w:rPr>
        <w:t>:</w:t>
      </w:r>
      <w:r w:rsidRPr="00E3232D">
        <w:rPr>
          <w:rFonts w:ascii="Book Antiqua" w:hAnsi="Book Antiqua"/>
          <w:i/>
          <w:iCs/>
        </w:rPr>
        <w:t xml:space="preserve"> </w:t>
      </w:r>
      <w:r w:rsidRPr="00E3232D">
        <w:rPr>
          <w:rFonts w:ascii="Book Antiqua" w:hAnsi="Book Antiqua"/>
          <w:iCs/>
        </w:rPr>
        <w:t>Innovati</w:t>
      </w:r>
      <w:r w:rsidRPr="00E3232D">
        <w:rPr>
          <w:rFonts w:ascii="Book Antiqua" w:hAnsi="Book Antiqua"/>
          <w:iCs/>
          <w:spacing w:val="1"/>
        </w:rPr>
        <w:t>on</w:t>
      </w:r>
      <w:r w:rsidR="00465AE3" w:rsidRPr="00E3232D">
        <w:rPr>
          <w:rFonts w:ascii="Book Antiqua" w:hAnsi="Book Antiqua"/>
        </w:rPr>
        <w:t xml:space="preserve">; </w:t>
      </w:r>
      <w:r w:rsidR="00465AE3" w:rsidRPr="00E3232D">
        <w:rPr>
          <w:rFonts w:ascii="Book Antiqua" w:hAnsi="Book Antiqua"/>
          <w:iCs/>
          <w:spacing w:val="2"/>
        </w:rPr>
        <w:t>D</w:t>
      </w:r>
      <w:r w:rsidR="00465AE3" w:rsidRPr="00E3232D">
        <w:rPr>
          <w:rFonts w:ascii="Book Antiqua" w:hAnsi="Book Antiqua"/>
          <w:iCs/>
          <w:spacing w:val="-1"/>
        </w:rPr>
        <w:t>eve</w:t>
      </w:r>
      <w:r w:rsidR="00465AE3" w:rsidRPr="00E3232D">
        <w:rPr>
          <w:rFonts w:ascii="Book Antiqua" w:hAnsi="Book Antiqua"/>
          <w:iCs/>
        </w:rPr>
        <w:t>lop</w:t>
      </w:r>
      <w:r w:rsidR="00465AE3" w:rsidRPr="00E3232D">
        <w:rPr>
          <w:rFonts w:ascii="Book Antiqua" w:hAnsi="Book Antiqua"/>
          <w:iCs/>
          <w:spacing w:val="2"/>
        </w:rPr>
        <w:t>m</w:t>
      </w:r>
      <w:r w:rsidR="00465AE3" w:rsidRPr="00E3232D">
        <w:rPr>
          <w:rFonts w:ascii="Book Antiqua" w:hAnsi="Book Antiqua"/>
          <w:iCs/>
          <w:spacing w:val="-1"/>
        </w:rPr>
        <w:t>e</w:t>
      </w:r>
      <w:r w:rsidR="00465AE3" w:rsidRPr="00E3232D">
        <w:rPr>
          <w:rFonts w:ascii="Book Antiqua" w:hAnsi="Book Antiqua"/>
          <w:iCs/>
        </w:rPr>
        <w:t>n</w:t>
      </w:r>
      <w:r w:rsidR="00465AE3" w:rsidRPr="00E3232D">
        <w:rPr>
          <w:rFonts w:ascii="Book Antiqua" w:hAnsi="Book Antiqua"/>
          <w:iCs/>
          <w:spacing w:val="1"/>
        </w:rPr>
        <w:t>t</w:t>
      </w:r>
      <w:r w:rsidR="00465AE3" w:rsidRPr="00E3232D">
        <w:rPr>
          <w:rFonts w:ascii="Book Antiqua" w:hAnsi="Book Antiqua"/>
        </w:rPr>
        <w:t xml:space="preserve">; </w:t>
      </w:r>
      <w:r w:rsidR="00465AE3" w:rsidRPr="00E3232D">
        <w:rPr>
          <w:rFonts w:ascii="Book Antiqua" w:hAnsi="Book Antiqua"/>
          <w:iCs/>
        </w:rPr>
        <w:t>Mi</w:t>
      </w:r>
      <w:r w:rsidR="00465AE3" w:rsidRPr="00E3232D">
        <w:rPr>
          <w:rFonts w:ascii="Book Antiqua" w:hAnsi="Book Antiqua"/>
          <w:iCs/>
          <w:spacing w:val="-1"/>
        </w:rPr>
        <w:t>c</w:t>
      </w:r>
      <w:r w:rsidR="00465AE3" w:rsidRPr="00E3232D">
        <w:rPr>
          <w:rFonts w:ascii="Book Antiqua" w:hAnsi="Book Antiqua"/>
          <w:iCs/>
        </w:rPr>
        <w:t>ro</w:t>
      </w:r>
      <w:r w:rsidR="00465AE3" w:rsidRPr="00E3232D">
        <w:rPr>
          <w:rFonts w:ascii="Book Antiqua" w:hAnsi="Book Antiqua"/>
          <w:iCs/>
          <w:spacing w:val="1"/>
        </w:rPr>
        <w:t xml:space="preserve"> </w:t>
      </w:r>
      <w:r w:rsidR="00465AE3" w:rsidRPr="00E3232D">
        <w:rPr>
          <w:rFonts w:ascii="Book Antiqua" w:hAnsi="Book Antiqua"/>
          <w:iCs/>
          <w:spacing w:val="-1"/>
        </w:rPr>
        <w:t>E</w:t>
      </w:r>
      <w:r w:rsidR="00465AE3" w:rsidRPr="00E3232D">
        <w:rPr>
          <w:rFonts w:ascii="Book Antiqua" w:hAnsi="Book Antiqua"/>
          <w:iCs/>
        </w:rPr>
        <w:t>ntre</w:t>
      </w:r>
      <w:r w:rsidR="00465AE3" w:rsidRPr="00E3232D">
        <w:rPr>
          <w:rFonts w:ascii="Book Antiqua" w:hAnsi="Book Antiqua"/>
          <w:iCs/>
          <w:spacing w:val="2"/>
        </w:rPr>
        <w:t>p</w:t>
      </w:r>
      <w:r w:rsidR="00465AE3" w:rsidRPr="00E3232D">
        <w:rPr>
          <w:rFonts w:ascii="Book Antiqua" w:hAnsi="Book Antiqua"/>
          <w:iCs/>
        </w:rPr>
        <w:t>r</w:t>
      </w:r>
      <w:r w:rsidR="00465AE3" w:rsidRPr="00E3232D">
        <w:rPr>
          <w:rFonts w:ascii="Book Antiqua" w:hAnsi="Book Antiqua"/>
          <w:iCs/>
          <w:spacing w:val="-1"/>
        </w:rPr>
        <w:t>e</w:t>
      </w:r>
      <w:r w:rsidR="00465AE3" w:rsidRPr="00E3232D">
        <w:rPr>
          <w:rFonts w:ascii="Book Antiqua" w:hAnsi="Book Antiqua"/>
          <w:iCs/>
        </w:rPr>
        <w:t>n</w:t>
      </w:r>
      <w:r w:rsidR="00465AE3" w:rsidRPr="00E3232D">
        <w:rPr>
          <w:rFonts w:ascii="Book Antiqua" w:hAnsi="Book Antiqua"/>
          <w:iCs/>
          <w:spacing w:val="-1"/>
        </w:rPr>
        <w:t>e</w:t>
      </w:r>
      <w:r w:rsidR="00465AE3" w:rsidRPr="00E3232D">
        <w:rPr>
          <w:rFonts w:ascii="Book Antiqua" w:hAnsi="Book Antiqua"/>
          <w:iCs/>
        </w:rPr>
        <w:t>urial</w:t>
      </w:r>
      <w:r w:rsidR="00465AE3" w:rsidRPr="00E3232D">
        <w:rPr>
          <w:rFonts w:ascii="Book Antiqua" w:hAnsi="Book Antiqua"/>
          <w:iCs/>
          <w:spacing w:val="1"/>
        </w:rPr>
        <w:t xml:space="preserve"> </w:t>
      </w:r>
      <w:r w:rsidR="00465AE3" w:rsidRPr="00E3232D">
        <w:rPr>
          <w:rFonts w:ascii="Book Antiqua" w:hAnsi="Book Antiqua"/>
          <w:iCs/>
        </w:rPr>
        <w:t>Borro</w:t>
      </w:r>
      <w:r w:rsidR="00465AE3" w:rsidRPr="00E3232D">
        <w:rPr>
          <w:rFonts w:ascii="Book Antiqua" w:hAnsi="Book Antiqua"/>
          <w:iCs/>
          <w:spacing w:val="1"/>
        </w:rPr>
        <w:t>w</w:t>
      </w:r>
      <w:r w:rsidR="00465AE3" w:rsidRPr="00E3232D">
        <w:rPr>
          <w:rFonts w:ascii="Book Antiqua" w:hAnsi="Book Antiqua"/>
          <w:iCs/>
          <w:spacing w:val="-1"/>
        </w:rPr>
        <w:t>e</w:t>
      </w:r>
      <w:r w:rsidR="00465AE3" w:rsidRPr="00E3232D">
        <w:rPr>
          <w:rFonts w:ascii="Book Antiqua" w:hAnsi="Book Antiqua"/>
          <w:iCs/>
        </w:rPr>
        <w:t>r</w:t>
      </w:r>
      <w:r w:rsidR="00465AE3" w:rsidRPr="00E3232D">
        <w:rPr>
          <w:rFonts w:ascii="Book Antiqua" w:hAnsi="Book Antiqua"/>
          <w:iCs/>
          <w:spacing w:val="1"/>
        </w:rPr>
        <w:t>s</w:t>
      </w:r>
      <w:r w:rsidR="00465AE3" w:rsidRPr="00E3232D">
        <w:rPr>
          <w:rFonts w:ascii="Book Antiqua" w:hAnsi="Book Antiqua"/>
        </w:rPr>
        <w:t>;</w:t>
      </w:r>
      <w:r w:rsidR="00465AE3" w:rsidRPr="00E3232D">
        <w:rPr>
          <w:rFonts w:ascii="Book Antiqua" w:hAnsi="Book Antiqua"/>
          <w:iCs/>
          <w:spacing w:val="1"/>
        </w:rPr>
        <w:t xml:space="preserve"> </w:t>
      </w:r>
      <w:r w:rsidRPr="00E3232D">
        <w:rPr>
          <w:rFonts w:ascii="Book Antiqua" w:hAnsi="Book Antiqua"/>
          <w:iCs/>
        </w:rPr>
        <w:t>Tamale</w:t>
      </w:r>
    </w:p>
    <w:p w14:paraId="5F963976" w14:textId="77777777" w:rsidR="00C46BAF" w:rsidRDefault="00C46BAF" w:rsidP="00E00EF9">
      <w:pPr>
        <w:widowControl w:val="0"/>
        <w:autoSpaceDE w:val="0"/>
        <w:autoSpaceDN w:val="0"/>
        <w:adjustRightInd w:val="0"/>
        <w:ind w:right="20"/>
        <w:rPr>
          <w:rFonts w:ascii="Book Antiqua" w:hAnsi="Book Antiqua"/>
          <w:iCs/>
        </w:rPr>
      </w:pPr>
    </w:p>
    <w:p w14:paraId="2127577C" w14:textId="77777777" w:rsidR="00C46BAF" w:rsidRDefault="00C46BAF" w:rsidP="00E00EF9">
      <w:pPr>
        <w:widowControl w:val="0"/>
        <w:autoSpaceDE w:val="0"/>
        <w:autoSpaceDN w:val="0"/>
        <w:adjustRightInd w:val="0"/>
        <w:ind w:right="20"/>
        <w:rPr>
          <w:rFonts w:ascii="Book Antiqua" w:hAnsi="Book Antiqua"/>
          <w:iCs/>
        </w:rPr>
        <w:sectPr w:rsidR="00C46BAF" w:rsidSect="00C46BAF">
          <w:footerReference w:type="default" r:id="rId209"/>
          <w:pgSz w:w="11907" w:h="16839" w:code="9"/>
          <w:pgMar w:top="1440" w:right="1274" w:bottom="1440" w:left="1440" w:header="708" w:footer="708" w:gutter="0"/>
          <w:cols w:space="720"/>
          <w:docGrid w:linePitch="360"/>
        </w:sectPr>
      </w:pPr>
    </w:p>
    <w:p w14:paraId="7D53EDEF" w14:textId="77777777" w:rsidR="00E00EF9" w:rsidRPr="00806674" w:rsidRDefault="00E00EF9" w:rsidP="00196385">
      <w:pPr>
        <w:pStyle w:val="ListParagraph"/>
        <w:widowControl w:val="0"/>
        <w:numPr>
          <w:ilvl w:val="0"/>
          <w:numId w:val="177"/>
        </w:numPr>
        <w:tabs>
          <w:tab w:val="left" w:pos="1240"/>
        </w:tabs>
        <w:autoSpaceDE w:val="0"/>
        <w:autoSpaceDN w:val="0"/>
        <w:adjustRightInd w:val="0"/>
        <w:spacing w:before="240"/>
        <w:ind w:right="80"/>
        <w:jc w:val="both"/>
        <w:rPr>
          <w:rFonts w:ascii="Book Antiqua" w:hAnsi="Book Antiqua"/>
          <w:b/>
        </w:rPr>
      </w:pPr>
      <w:r w:rsidRPr="00806674">
        <w:rPr>
          <w:rFonts w:ascii="Book Antiqua" w:hAnsi="Book Antiqua"/>
          <w:b/>
          <w:sz w:val="26"/>
        </w:rPr>
        <w:t>Introduction</w:t>
      </w:r>
    </w:p>
    <w:p w14:paraId="17DBEB61" w14:textId="77777777" w:rsidR="00C46BAF" w:rsidRDefault="00E00EF9" w:rsidP="00465AE3">
      <w:pPr>
        <w:widowControl w:val="0"/>
        <w:tabs>
          <w:tab w:val="left" w:pos="1240"/>
        </w:tabs>
        <w:autoSpaceDE w:val="0"/>
        <w:autoSpaceDN w:val="0"/>
        <w:adjustRightInd w:val="0"/>
        <w:ind w:left="100" w:right="80"/>
        <w:jc w:val="both"/>
        <w:rPr>
          <w:rFonts w:ascii="Book Antiqua" w:hAnsi="Book Antiqua"/>
        </w:rPr>
      </w:pPr>
      <w:r w:rsidRPr="00E3232D">
        <w:rPr>
          <w:rFonts w:ascii="Book Antiqua" w:hAnsi="Book Antiqua"/>
        </w:rPr>
        <w:t>Mi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rPr>
        <w:t>nte</w:t>
      </w:r>
      <w:r w:rsidRPr="00E3232D">
        <w:rPr>
          <w:rFonts w:ascii="Book Antiqua" w:hAnsi="Book Antiqua"/>
          <w:spacing w:val="-1"/>
        </w:rPr>
        <w:t>r</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i</w:t>
      </w:r>
      <w:r w:rsidRPr="00E3232D">
        <w:rPr>
          <w:rFonts w:ascii="Book Antiqua" w:hAnsi="Book Antiqua"/>
        </w:rPr>
        <w:t xml:space="preserve">se </w:t>
      </w:r>
      <w:r w:rsidRPr="00E3232D">
        <w:rPr>
          <w:rFonts w:ascii="Book Antiqua" w:hAnsi="Book Antiqua"/>
          <w:spacing w:val="2"/>
        </w:rPr>
        <w:t xml:space="preserve"> </w:t>
      </w:r>
      <w:r w:rsidRPr="00E3232D">
        <w:rPr>
          <w:rFonts w:ascii="Book Antiqua" w:hAnsi="Book Antiqua"/>
        </w:rPr>
        <w:t xml:space="preserve">is </w:t>
      </w:r>
      <w:r w:rsidRPr="00E3232D">
        <w:rPr>
          <w:rFonts w:ascii="Book Antiqua" w:hAnsi="Book Antiqua"/>
          <w:spacing w:val="3"/>
        </w:rPr>
        <w:t xml:space="preserve"> </w:t>
      </w:r>
      <w:r w:rsidRPr="00E3232D">
        <w:rPr>
          <w:rFonts w:ascii="Book Antiqua" w:hAnsi="Book Antiqua"/>
        </w:rPr>
        <w:t>f</w:t>
      </w:r>
      <w:r w:rsidRPr="00E3232D">
        <w:rPr>
          <w:rFonts w:ascii="Book Antiqua" w:hAnsi="Book Antiqua"/>
          <w:spacing w:val="-2"/>
        </w:rPr>
        <w:t>a</w:t>
      </w:r>
      <w:r w:rsidRPr="00E3232D">
        <w:rPr>
          <w:rFonts w:ascii="Book Antiqua" w:hAnsi="Book Antiqua"/>
          <w:spacing w:val="2"/>
        </w:rPr>
        <w:t>s</w:t>
      </w:r>
      <w:r w:rsidRPr="00E3232D">
        <w:rPr>
          <w:rFonts w:ascii="Book Antiqua" w:hAnsi="Book Antiqua"/>
        </w:rPr>
        <w:t xml:space="preserve">t </w:t>
      </w:r>
      <w:r w:rsidRPr="00E3232D">
        <w:rPr>
          <w:rFonts w:ascii="Book Antiqua" w:hAnsi="Book Antiqua"/>
          <w:spacing w:val="3"/>
        </w:rPr>
        <w:t xml:space="preserve"> </w:t>
      </w:r>
      <w:r w:rsidRPr="00E3232D">
        <w:rPr>
          <w:rFonts w:ascii="Book Antiqua" w:hAnsi="Book Antiqua"/>
        </w:rPr>
        <w:t>b</w:t>
      </w:r>
      <w:r w:rsidRPr="00E3232D">
        <w:rPr>
          <w:rFonts w:ascii="Book Antiqua" w:hAnsi="Book Antiqua"/>
          <w:spacing w:val="-1"/>
        </w:rPr>
        <w:t>ec</w:t>
      </w:r>
      <w:r w:rsidRPr="00E3232D">
        <w:rPr>
          <w:rFonts w:ascii="Book Antiqua" w:hAnsi="Book Antiqua"/>
        </w:rPr>
        <w:t>om</w:t>
      </w:r>
      <w:r w:rsidRPr="00E3232D">
        <w:rPr>
          <w:rFonts w:ascii="Book Antiqua" w:hAnsi="Book Antiqua"/>
          <w:spacing w:val="1"/>
        </w:rPr>
        <w:t>i</w:t>
      </w:r>
      <w:r w:rsidRPr="00E3232D">
        <w:rPr>
          <w:rFonts w:ascii="Book Antiqua" w:hAnsi="Book Antiqua"/>
        </w:rPr>
        <w:t xml:space="preserve">ng  a </w:t>
      </w:r>
      <w:r w:rsidRPr="00E3232D">
        <w:rPr>
          <w:rFonts w:ascii="Book Antiqua" w:hAnsi="Book Antiqua"/>
          <w:spacing w:val="2"/>
        </w:rPr>
        <w:t xml:space="preserve"> </w:t>
      </w:r>
      <w:r w:rsidRPr="00E3232D">
        <w:rPr>
          <w:rFonts w:ascii="Book Antiqua" w:hAnsi="Book Antiqua"/>
        </w:rPr>
        <w:t>dom</w:t>
      </w:r>
      <w:r w:rsidRPr="00E3232D">
        <w:rPr>
          <w:rFonts w:ascii="Book Antiqua" w:hAnsi="Book Antiqua"/>
          <w:spacing w:val="1"/>
        </w:rPr>
        <w:t>i</w:t>
      </w:r>
      <w:r w:rsidRPr="00E3232D">
        <w:rPr>
          <w:rFonts w:ascii="Book Antiqua" w:hAnsi="Book Antiqua"/>
        </w:rPr>
        <w:t>n</w:t>
      </w:r>
      <w:r w:rsidRPr="00E3232D">
        <w:rPr>
          <w:rFonts w:ascii="Book Antiqua" w:hAnsi="Book Antiqua"/>
          <w:spacing w:val="-1"/>
        </w:rPr>
        <w:t>a</w:t>
      </w:r>
      <w:r w:rsidRPr="00E3232D">
        <w:rPr>
          <w:rFonts w:ascii="Book Antiqua" w:hAnsi="Book Antiqua"/>
          <w:spacing w:val="2"/>
        </w:rPr>
        <w:t>n</w:t>
      </w:r>
      <w:r w:rsidRPr="00E3232D">
        <w:rPr>
          <w:rFonts w:ascii="Book Antiqua" w:hAnsi="Book Antiqua"/>
        </w:rPr>
        <w:t xml:space="preserve">t </w:t>
      </w:r>
      <w:r w:rsidRPr="00E3232D">
        <w:rPr>
          <w:rFonts w:ascii="Book Antiqua" w:hAnsi="Book Antiqua"/>
          <w:spacing w:val="3"/>
        </w:rPr>
        <w:t xml:space="preserve"> </w:t>
      </w:r>
      <w:r w:rsidRPr="00E3232D">
        <w:rPr>
          <w:rFonts w:ascii="Book Antiqua" w:hAnsi="Book Antiqua"/>
          <w:spacing w:val="-1"/>
        </w:rPr>
        <w:t>ec</w:t>
      </w:r>
      <w:r w:rsidRPr="00E3232D">
        <w:rPr>
          <w:rFonts w:ascii="Book Antiqua" w:hAnsi="Book Antiqua"/>
        </w:rPr>
        <w:t>onom</w:t>
      </w:r>
      <w:r w:rsidRPr="00E3232D">
        <w:rPr>
          <w:rFonts w:ascii="Book Antiqua" w:hAnsi="Book Antiqua"/>
          <w:spacing w:val="1"/>
        </w:rPr>
        <w:t>i</w:t>
      </w:r>
      <w:r w:rsidRPr="00E3232D">
        <w:rPr>
          <w:rFonts w:ascii="Book Antiqua" w:hAnsi="Book Antiqua"/>
        </w:rPr>
        <w:t xml:space="preserve">c </w:t>
      </w:r>
      <w:r w:rsidRPr="00E3232D">
        <w:rPr>
          <w:rFonts w:ascii="Book Antiqua" w:hAnsi="Book Antiqua"/>
          <w:spacing w:val="2"/>
        </w:rPr>
        <w:t xml:space="preserve"> </w:t>
      </w:r>
      <w:r w:rsidRPr="00E3232D">
        <w:rPr>
          <w:rFonts w:ascii="Book Antiqua" w:hAnsi="Book Antiqua"/>
        </w:rPr>
        <w:t>v</w:t>
      </w:r>
      <w:r w:rsidRPr="00E3232D">
        <w:rPr>
          <w:rFonts w:ascii="Book Antiqua" w:hAnsi="Book Antiqua"/>
          <w:spacing w:val="-1"/>
        </w:rPr>
        <w:t>e</w:t>
      </w:r>
      <w:r w:rsidRPr="00E3232D">
        <w:rPr>
          <w:rFonts w:ascii="Book Antiqua" w:hAnsi="Book Antiqua"/>
        </w:rPr>
        <w:t xml:space="preserve">nture </w:t>
      </w:r>
      <w:r w:rsidRPr="00E3232D">
        <w:rPr>
          <w:rFonts w:ascii="Book Antiqua" w:hAnsi="Book Antiqua"/>
          <w:spacing w:val="1"/>
        </w:rPr>
        <w:t xml:space="preserve"> </w:t>
      </w:r>
      <w:r w:rsidRPr="00E3232D">
        <w:rPr>
          <w:rFonts w:ascii="Book Antiqua" w:hAnsi="Book Antiqua"/>
        </w:rPr>
        <w:t xml:space="preserve">in </w:t>
      </w:r>
      <w:r w:rsidRPr="00E3232D">
        <w:rPr>
          <w:rFonts w:ascii="Book Antiqua" w:hAnsi="Book Antiqua"/>
          <w:spacing w:val="3"/>
        </w:rPr>
        <w:t xml:space="preserve"> </w:t>
      </w:r>
      <w:r w:rsidRPr="00E3232D">
        <w:rPr>
          <w:rFonts w:ascii="Book Antiqua" w:hAnsi="Book Antiqua"/>
        </w:rPr>
        <w:t xml:space="preserve">most </w:t>
      </w:r>
      <w:r w:rsidRPr="00E3232D">
        <w:rPr>
          <w:rFonts w:ascii="Book Antiqua" w:hAnsi="Book Antiqua"/>
          <w:spacing w:val="4"/>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i</w:t>
      </w:r>
      <w:r w:rsidRPr="00E3232D">
        <w:rPr>
          <w:rFonts w:ascii="Book Antiqua" w:hAnsi="Book Antiqua"/>
        </w:rPr>
        <w:t xml:space="preserve">ng </w:t>
      </w:r>
      <w:r w:rsidRPr="00E3232D">
        <w:rPr>
          <w:rFonts w:ascii="Book Antiqua" w:hAnsi="Book Antiqua"/>
          <w:spacing w:val="-1"/>
        </w:rPr>
        <w:t>c</w:t>
      </w:r>
      <w:r w:rsidRPr="00E3232D">
        <w:rPr>
          <w:rFonts w:ascii="Book Antiqua" w:hAnsi="Book Antiqua"/>
        </w:rPr>
        <w:t>ountri</w:t>
      </w:r>
      <w:r w:rsidRPr="00E3232D">
        <w:rPr>
          <w:rFonts w:ascii="Book Antiqua" w:hAnsi="Book Antiqua"/>
          <w:spacing w:val="-1"/>
        </w:rPr>
        <w:t>e</w:t>
      </w:r>
      <w:r w:rsidRPr="00E3232D">
        <w:rPr>
          <w:rFonts w:ascii="Book Antiqua" w:hAnsi="Book Antiqua"/>
        </w:rPr>
        <w:t xml:space="preserve">s. </w:t>
      </w:r>
      <w:r w:rsidRPr="00E3232D">
        <w:rPr>
          <w:rFonts w:ascii="Book Antiqua" w:hAnsi="Book Antiqua"/>
          <w:spacing w:val="-1"/>
        </w:rPr>
        <w:t>F</w:t>
      </w:r>
      <w:r w:rsidRPr="00E3232D">
        <w:rPr>
          <w:rFonts w:ascii="Book Antiqua" w:hAnsi="Book Antiqua"/>
          <w:spacing w:val="1"/>
        </w:rPr>
        <w:t>e</w:t>
      </w:r>
      <w:r w:rsidRPr="00E3232D">
        <w:rPr>
          <w:rFonts w:ascii="Book Antiqua" w:hAnsi="Book Antiqua"/>
          <w:spacing w:val="-1"/>
        </w:rPr>
        <w:t>a</w:t>
      </w:r>
      <w:r w:rsidRPr="00E3232D">
        <w:rPr>
          <w:rFonts w:ascii="Book Antiqua" w:hAnsi="Book Antiqua"/>
        </w:rPr>
        <w:t>tur</w:t>
      </w:r>
      <w:r w:rsidRPr="00E3232D">
        <w:rPr>
          <w:rFonts w:ascii="Book Antiqua" w:hAnsi="Book Antiqua"/>
          <w:spacing w:val="-1"/>
        </w:rPr>
        <w:t>e</w:t>
      </w:r>
      <w:r w:rsidRPr="00E3232D">
        <w:rPr>
          <w:rFonts w:ascii="Book Antiqua" w:hAnsi="Book Antiqua"/>
        </w:rPr>
        <w:t>s</w:t>
      </w:r>
      <w:r w:rsidRPr="00E3232D">
        <w:rPr>
          <w:rFonts w:ascii="Book Antiqua" w:hAnsi="Book Antiqua"/>
          <w:spacing w:val="46"/>
        </w:rPr>
        <w:t xml:space="preserve"> </w:t>
      </w:r>
      <w:r w:rsidRPr="00E3232D">
        <w:rPr>
          <w:rFonts w:ascii="Book Antiqua" w:hAnsi="Book Antiqua"/>
          <w:spacing w:val="2"/>
        </w:rPr>
        <w:t>o</w:t>
      </w:r>
      <w:r w:rsidRPr="00E3232D">
        <w:rPr>
          <w:rFonts w:ascii="Book Antiqua" w:hAnsi="Book Antiqua"/>
        </w:rPr>
        <w:t>f</w:t>
      </w:r>
      <w:r w:rsidRPr="00E3232D">
        <w:rPr>
          <w:rFonts w:ascii="Book Antiqua" w:hAnsi="Book Antiqua"/>
          <w:spacing w:val="47"/>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45"/>
        </w:rPr>
        <w:t xml:space="preserve"> </w:t>
      </w:r>
      <w:r w:rsidRPr="00E3232D">
        <w:rPr>
          <w:rFonts w:ascii="Book Antiqua" w:hAnsi="Book Antiqua"/>
          <w:spacing w:val="-1"/>
        </w:rPr>
        <w:t>e</w:t>
      </w:r>
      <w:r w:rsidRPr="00E3232D">
        <w:rPr>
          <w:rFonts w:ascii="Book Antiqua" w:hAnsi="Book Antiqua"/>
        </w:rPr>
        <w:t>nte</w:t>
      </w:r>
      <w:r w:rsidRPr="00E3232D">
        <w:rPr>
          <w:rFonts w:ascii="Book Antiqua" w:hAnsi="Book Antiqua"/>
          <w:spacing w:val="-1"/>
        </w:rPr>
        <w:t>r</w:t>
      </w:r>
      <w:r w:rsidRPr="00E3232D">
        <w:rPr>
          <w:rFonts w:ascii="Book Antiqua" w:hAnsi="Book Antiqua"/>
          <w:spacing w:val="2"/>
        </w:rPr>
        <w:t>p</w:t>
      </w:r>
      <w:r w:rsidRPr="00E3232D">
        <w:rPr>
          <w:rFonts w:ascii="Book Antiqua" w:hAnsi="Book Antiqua"/>
        </w:rPr>
        <w:t>ris</w:t>
      </w:r>
      <w:r w:rsidRPr="00E3232D">
        <w:rPr>
          <w:rFonts w:ascii="Book Antiqua" w:hAnsi="Book Antiqua"/>
          <w:spacing w:val="-1"/>
        </w:rPr>
        <w:t>e</w:t>
      </w:r>
      <w:r w:rsidRPr="00E3232D">
        <w:rPr>
          <w:rFonts w:ascii="Book Antiqua" w:hAnsi="Book Antiqua"/>
        </w:rPr>
        <w:t>s</w:t>
      </w:r>
      <w:r w:rsidRPr="00E3232D">
        <w:rPr>
          <w:rFonts w:ascii="Book Antiqua" w:hAnsi="Book Antiqua"/>
          <w:spacing w:val="46"/>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spacing w:val="2"/>
        </w:rPr>
        <w:t>v</w:t>
      </w:r>
      <w:r w:rsidRPr="00E3232D">
        <w:rPr>
          <w:rFonts w:ascii="Book Antiqua" w:hAnsi="Book Antiqua"/>
        </w:rPr>
        <w:t>e</w:t>
      </w:r>
      <w:r w:rsidRPr="00E3232D">
        <w:rPr>
          <w:rFonts w:ascii="Book Antiqua" w:hAnsi="Book Antiqua"/>
          <w:spacing w:val="47"/>
        </w:rPr>
        <w:t xml:space="preserve"> </w:t>
      </w:r>
      <w:r w:rsidRPr="00E3232D">
        <w:rPr>
          <w:rFonts w:ascii="Book Antiqua" w:hAnsi="Book Antiqua"/>
        </w:rPr>
        <w:t>b</w:t>
      </w:r>
      <w:r w:rsidRPr="00E3232D">
        <w:rPr>
          <w:rFonts w:ascii="Book Antiqua" w:hAnsi="Book Antiqua"/>
          <w:spacing w:val="-1"/>
        </w:rPr>
        <w:t>ee</w:t>
      </w:r>
      <w:r w:rsidRPr="00E3232D">
        <w:rPr>
          <w:rFonts w:ascii="Book Antiqua" w:hAnsi="Book Antiqua"/>
        </w:rPr>
        <w:t>n</w:t>
      </w:r>
      <w:r w:rsidRPr="00E3232D">
        <w:rPr>
          <w:rFonts w:ascii="Book Antiqua" w:hAnsi="Book Antiqua"/>
          <w:spacing w:val="45"/>
        </w:rPr>
        <w:t xml:space="preserve"> </w:t>
      </w:r>
      <w:r w:rsidRPr="00E3232D">
        <w:rPr>
          <w:rFonts w:ascii="Book Antiqua" w:hAnsi="Book Antiqua"/>
        </w:rPr>
        <w:t>found</w:t>
      </w:r>
      <w:r w:rsidRPr="00E3232D">
        <w:rPr>
          <w:rFonts w:ascii="Book Antiqua" w:hAnsi="Book Antiqua"/>
          <w:spacing w:val="47"/>
        </w:rPr>
        <w:t xml:space="preserve"> </w:t>
      </w:r>
      <w:r w:rsidRPr="00E3232D">
        <w:rPr>
          <w:rFonts w:ascii="Book Antiqua" w:hAnsi="Book Antiqua"/>
        </w:rPr>
        <w:t>p</w:t>
      </w:r>
      <w:r w:rsidRPr="00E3232D">
        <w:rPr>
          <w:rFonts w:ascii="Book Antiqua" w:hAnsi="Book Antiqua"/>
          <w:spacing w:val="-1"/>
        </w:rPr>
        <w:t>re</w:t>
      </w:r>
      <w:r w:rsidRPr="00E3232D">
        <w:rPr>
          <w:rFonts w:ascii="Book Antiqua" w:hAnsi="Book Antiqua"/>
        </w:rPr>
        <w:t>dom</w:t>
      </w:r>
      <w:r w:rsidRPr="00E3232D">
        <w:rPr>
          <w:rFonts w:ascii="Book Antiqua" w:hAnsi="Book Antiqua"/>
          <w:spacing w:val="1"/>
        </w:rPr>
        <w:t>i</w:t>
      </w:r>
      <w:r w:rsidRPr="00E3232D">
        <w:rPr>
          <w:rFonts w:ascii="Book Antiqua" w:hAnsi="Book Antiqua"/>
        </w:rPr>
        <w:t>n</w:t>
      </w:r>
      <w:r w:rsidRPr="00E3232D">
        <w:rPr>
          <w:rFonts w:ascii="Book Antiqua" w:hAnsi="Book Antiqua"/>
          <w:spacing w:val="-1"/>
        </w:rPr>
        <w:t>a</w:t>
      </w:r>
      <w:r w:rsidRPr="00E3232D">
        <w:rPr>
          <w:rFonts w:ascii="Book Antiqua" w:hAnsi="Book Antiqua"/>
        </w:rPr>
        <w:t>n</w:t>
      </w:r>
      <w:r w:rsidRPr="00E3232D">
        <w:rPr>
          <w:rFonts w:ascii="Book Antiqua" w:hAnsi="Book Antiqua"/>
          <w:spacing w:val="3"/>
        </w:rPr>
        <w:t>tl</w:t>
      </w:r>
      <w:r w:rsidRPr="00E3232D">
        <w:rPr>
          <w:rFonts w:ascii="Book Antiqua" w:hAnsi="Book Antiqua"/>
        </w:rPr>
        <w:t>y</w:t>
      </w:r>
      <w:r w:rsidRPr="00E3232D">
        <w:rPr>
          <w:rFonts w:ascii="Book Antiqua" w:hAnsi="Book Antiqua"/>
          <w:spacing w:val="41"/>
        </w:rPr>
        <w:t xml:space="preserve"> </w:t>
      </w:r>
      <w:r w:rsidRPr="00E3232D">
        <w:rPr>
          <w:rFonts w:ascii="Book Antiqua" w:hAnsi="Book Antiqua"/>
        </w:rPr>
        <w:t>in</w:t>
      </w:r>
      <w:r w:rsidRPr="00E3232D">
        <w:rPr>
          <w:rFonts w:ascii="Book Antiqua" w:hAnsi="Book Antiqua"/>
          <w:spacing w:val="46"/>
        </w:rPr>
        <w:t xml:space="preserve"> </w:t>
      </w:r>
      <w:r w:rsidRPr="00E3232D">
        <w:rPr>
          <w:rFonts w:ascii="Book Antiqua" w:hAnsi="Book Antiqua"/>
        </w:rPr>
        <w:t>the</w:t>
      </w:r>
      <w:r w:rsidRPr="00E3232D">
        <w:rPr>
          <w:rFonts w:ascii="Book Antiqua" w:hAnsi="Book Antiqua"/>
          <w:spacing w:val="47"/>
        </w:rPr>
        <w:t xml:space="preserve"> </w:t>
      </w:r>
      <w:r w:rsidRPr="00E3232D">
        <w:rPr>
          <w:rFonts w:ascii="Book Antiqua" w:hAnsi="Book Antiqua"/>
        </w:rPr>
        <w:t>info</w:t>
      </w:r>
      <w:r w:rsidRPr="00E3232D">
        <w:rPr>
          <w:rFonts w:ascii="Book Antiqua" w:hAnsi="Book Antiqua"/>
          <w:spacing w:val="-1"/>
        </w:rPr>
        <w:t>r</w:t>
      </w:r>
      <w:r w:rsidRPr="00E3232D">
        <w:rPr>
          <w:rFonts w:ascii="Book Antiqua" w:hAnsi="Book Antiqua"/>
        </w:rPr>
        <w:t>mal s</w:t>
      </w:r>
      <w:r w:rsidRPr="00E3232D">
        <w:rPr>
          <w:rFonts w:ascii="Book Antiqua" w:hAnsi="Book Antiqua"/>
          <w:spacing w:val="-1"/>
        </w:rPr>
        <w:t>ec</w:t>
      </w:r>
      <w:r w:rsidRPr="00E3232D">
        <w:rPr>
          <w:rFonts w:ascii="Book Antiqua" w:hAnsi="Book Antiqua"/>
        </w:rPr>
        <w:t xml:space="preserve">tor.   </w:t>
      </w:r>
    </w:p>
    <w:p w14:paraId="6AE19DF6" w14:textId="77777777" w:rsidR="00C46BAF" w:rsidRDefault="00E00EF9" w:rsidP="00465AE3">
      <w:pPr>
        <w:widowControl w:val="0"/>
        <w:tabs>
          <w:tab w:val="left" w:pos="1240"/>
        </w:tabs>
        <w:autoSpaceDE w:val="0"/>
        <w:autoSpaceDN w:val="0"/>
        <w:adjustRightInd w:val="0"/>
        <w:ind w:right="80"/>
        <w:jc w:val="both"/>
        <w:rPr>
          <w:rFonts w:ascii="Book Antiqua" w:hAnsi="Book Antiqua"/>
          <w:spacing w:val="24"/>
        </w:rPr>
      </w:pPr>
      <w:r w:rsidRPr="00E3232D">
        <w:rPr>
          <w:rFonts w:ascii="Book Antiqua" w:hAnsi="Book Antiqua"/>
        </w:rPr>
        <w:t>Th</w:t>
      </w:r>
      <w:r w:rsidRPr="00E3232D">
        <w:rPr>
          <w:rFonts w:ascii="Book Antiqua" w:hAnsi="Book Antiqua"/>
          <w:spacing w:val="-1"/>
        </w:rPr>
        <w:t>e</w:t>
      </w:r>
      <w:r w:rsidRPr="00E3232D">
        <w:rPr>
          <w:rFonts w:ascii="Book Antiqua" w:hAnsi="Book Antiqua"/>
        </w:rPr>
        <w:t>se</w:t>
      </w:r>
      <w:r w:rsidRPr="00E3232D">
        <w:rPr>
          <w:rFonts w:ascii="Book Antiqua" w:hAnsi="Book Antiqua"/>
          <w:spacing w:val="21"/>
        </w:rPr>
        <w:t xml:space="preserve"> </w:t>
      </w:r>
      <w:r w:rsidRPr="00E3232D">
        <w:rPr>
          <w:rFonts w:ascii="Book Antiqua" w:hAnsi="Book Antiqua"/>
          <w:spacing w:val="-1"/>
        </w:rPr>
        <w:t>e</w:t>
      </w:r>
      <w:r w:rsidRPr="00E3232D">
        <w:rPr>
          <w:rFonts w:ascii="Book Antiqua" w:hAnsi="Book Antiqua"/>
        </w:rPr>
        <w:t>nt</w:t>
      </w:r>
      <w:r w:rsidRPr="00E3232D">
        <w:rPr>
          <w:rFonts w:ascii="Book Antiqua" w:hAnsi="Book Antiqua"/>
          <w:spacing w:val="2"/>
        </w:rPr>
        <w:t>e</w:t>
      </w:r>
      <w:r w:rsidRPr="00E3232D">
        <w:rPr>
          <w:rFonts w:ascii="Book Antiqua" w:hAnsi="Book Antiqua"/>
        </w:rPr>
        <w:t>rp</w:t>
      </w:r>
      <w:r w:rsidRPr="00E3232D">
        <w:rPr>
          <w:rFonts w:ascii="Book Antiqua" w:hAnsi="Book Antiqua"/>
          <w:spacing w:val="-1"/>
        </w:rPr>
        <w:t>r</w:t>
      </w:r>
      <w:r w:rsidRPr="00E3232D">
        <w:rPr>
          <w:rFonts w:ascii="Book Antiqua" w:hAnsi="Book Antiqua"/>
        </w:rPr>
        <w:t>is</w:t>
      </w:r>
      <w:r w:rsidRPr="00E3232D">
        <w:rPr>
          <w:rFonts w:ascii="Book Antiqua" w:hAnsi="Book Antiqua"/>
          <w:spacing w:val="2"/>
        </w:rPr>
        <w:t>e</w:t>
      </w:r>
      <w:r w:rsidRPr="00E3232D">
        <w:rPr>
          <w:rFonts w:ascii="Book Antiqua" w:hAnsi="Book Antiqua"/>
        </w:rPr>
        <w:t>s</w:t>
      </w:r>
      <w:r w:rsidRPr="00E3232D">
        <w:rPr>
          <w:rFonts w:ascii="Book Antiqua" w:hAnsi="Book Antiqua"/>
          <w:spacing w:val="22"/>
        </w:rPr>
        <w:t xml:space="preserve"> </w:t>
      </w:r>
      <w:r w:rsidRPr="00E3232D">
        <w:rPr>
          <w:rFonts w:ascii="Book Antiqua" w:hAnsi="Book Antiqua"/>
        </w:rPr>
        <w:t>b</w:t>
      </w:r>
      <w:r w:rsidRPr="00E3232D">
        <w:rPr>
          <w:rFonts w:ascii="Book Antiqua" w:hAnsi="Book Antiqua"/>
          <w:spacing w:val="-1"/>
        </w:rPr>
        <w:t>eca</w:t>
      </w:r>
      <w:r w:rsidRPr="00E3232D">
        <w:rPr>
          <w:rFonts w:ascii="Book Antiqua" w:hAnsi="Book Antiqua"/>
        </w:rPr>
        <w:t>use</w:t>
      </w:r>
      <w:r w:rsidRPr="00E3232D">
        <w:rPr>
          <w:rFonts w:ascii="Book Antiqua" w:hAnsi="Book Antiqua"/>
          <w:spacing w:val="21"/>
        </w:rPr>
        <w:t xml:space="preserve"> </w:t>
      </w:r>
      <w:r w:rsidRPr="00E3232D">
        <w:rPr>
          <w:rFonts w:ascii="Book Antiqua" w:hAnsi="Book Antiqua"/>
        </w:rPr>
        <w:t>of</w:t>
      </w:r>
      <w:r w:rsidRPr="00E3232D">
        <w:rPr>
          <w:rFonts w:ascii="Book Antiqua" w:hAnsi="Book Antiqua"/>
          <w:spacing w:val="21"/>
        </w:rPr>
        <w:t xml:space="preserve"> </w:t>
      </w:r>
      <w:r w:rsidRPr="00E3232D">
        <w:rPr>
          <w:rFonts w:ascii="Book Antiqua" w:hAnsi="Book Antiqua"/>
        </w:rPr>
        <w:t>their</w:t>
      </w:r>
      <w:r w:rsidRPr="00E3232D">
        <w:rPr>
          <w:rFonts w:ascii="Book Antiqua" w:hAnsi="Book Antiqua"/>
          <w:spacing w:val="21"/>
        </w:rPr>
        <w:t xml:space="preserve"> </w:t>
      </w:r>
      <w:r w:rsidRPr="00E3232D">
        <w:rPr>
          <w:rFonts w:ascii="Book Antiqua" w:hAnsi="Book Antiqua"/>
          <w:spacing w:val="1"/>
        </w:rPr>
        <w:t>a</w:t>
      </w:r>
      <w:r w:rsidRPr="00E3232D">
        <w:rPr>
          <w:rFonts w:ascii="Book Antiqua" w:hAnsi="Book Antiqua"/>
          <w:spacing w:val="-2"/>
        </w:rPr>
        <w:t>g</w:t>
      </w:r>
      <w:r w:rsidRPr="00E3232D">
        <w:rPr>
          <w:rFonts w:ascii="Book Antiqua" w:hAnsi="Book Antiqua"/>
        </w:rPr>
        <w:t>i</w:t>
      </w:r>
      <w:r w:rsidRPr="00E3232D">
        <w:rPr>
          <w:rFonts w:ascii="Book Antiqua" w:hAnsi="Book Antiqua"/>
          <w:spacing w:val="1"/>
        </w:rPr>
        <w:t>l</w:t>
      </w:r>
      <w:r w:rsidRPr="00E3232D">
        <w:rPr>
          <w:rFonts w:ascii="Book Antiqua" w:hAnsi="Book Antiqua"/>
        </w:rPr>
        <w:t>e</w:t>
      </w:r>
      <w:r w:rsidRPr="00E3232D">
        <w:rPr>
          <w:rFonts w:ascii="Book Antiqua" w:hAnsi="Book Antiqua"/>
          <w:spacing w:val="24"/>
        </w:rPr>
        <w:t xml:space="preserve"> </w:t>
      </w:r>
    </w:p>
    <w:p w14:paraId="6C75C945" w14:textId="77777777" w:rsidR="00C46BAF" w:rsidRDefault="00C46BAF" w:rsidP="00465AE3">
      <w:pPr>
        <w:widowControl w:val="0"/>
        <w:tabs>
          <w:tab w:val="left" w:pos="1240"/>
        </w:tabs>
        <w:autoSpaceDE w:val="0"/>
        <w:autoSpaceDN w:val="0"/>
        <w:adjustRightInd w:val="0"/>
        <w:ind w:right="80"/>
        <w:jc w:val="both"/>
        <w:rPr>
          <w:rFonts w:ascii="Book Antiqua" w:hAnsi="Book Antiqua"/>
          <w:spacing w:val="24"/>
        </w:rPr>
      </w:pPr>
    </w:p>
    <w:p w14:paraId="7DB75346" w14:textId="77777777" w:rsidR="00E00EF9" w:rsidRPr="00E3232D" w:rsidRDefault="00E00EF9" w:rsidP="00465AE3">
      <w:pPr>
        <w:widowControl w:val="0"/>
        <w:tabs>
          <w:tab w:val="left" w:pos="1240"/>
        </w:tabs>
        <w:autoSpaceDE w:val="0"/>
        <w:autoSpaceDN w:val="0"/>
        <w:adjustRightInd w:val="0"/>
        <w:ind w:right="80"/>
        <w:jc w:val="both"/>
        <w:rPr>
          <w:rFonts w:ascii="Book Antiqua" w:hAnsi="Book Antiqua"/>
        </w:rPr>
      </w:pPr>
      <w:r w:rsidRPr="00E3232D">
        <w:rPr>
          <w:rFonts w:ascii="Book Antiqua" w:hAnsi="Book Antiqua"/>
        </w:rPr>
        <w:t>n</w:t>
      </w:r>
      <w:r w:rsidRPr="00E3232D">
        <w:rPr>
          <w:rFonts w:ascii="Book Antiqua" w:hAnsi="Book Antiqua"/>
          <w:spacing w:val="-1"/>
        </w:rPr>
        <w:t>a</w:t>
      </w:r>
      <w:r w:rsidRPr="00E3232D">
        <w:rPr>
          <w:rFonts w:ascii="Book Antiqua" w:hAnsi="Book Antiqua"/>
        </w:rPr>
        <w:t>ture</w:t>
      </w:r>
      <w:r w:rsidRPr="00E3232D">
        <w:rPr>
          <w:rFonts w:ascii="Book Antiqua" w:hAnsi="Book Antiqua"/>
          <w:spacing w:val="21"/>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ve</w:t>
      </w:r>
      <w:r w:rsidRPr="00E3232D">
        <w:rPr>
          <w:rFonts w:ascii="Book Antiqua" w:hAnsi="Book Antiqua"/>
          <w:spacing w:val="21"/>
        </w:rPr>
        <w:t xml:space="preserve"> </w:t>
      </w:r>
      <w:r w:rsidRPr="00E3232D">
        <w:rPr>
          <w:rFonts w:ascii="Book Antiqua" w:hAnsi="Book Antiqua"/>
          <w:spacing w:val="2"/>
        </w:rPr>
        <w:t>d</w:t>
      </w:r>
      <w:r w:rsidRPr="00E3232D">
        <w:rPr>
          <w:rFonts w:ascii="Book Antiqua" w:hAnsi="Book Antiqua"/>
        </w:rPr>
        <w:t>r</w:t>
      </w:r>
      <w:r w:rsidRPr="00E3232D">
        <w:rPr>
          <w:rFonts w:ascii="Book Antiqua" w:hAnsi="Book Antiqua"/>
          <w:spacing w:val="-2"/>
        </w:rPr>
        <w:t>a</w:t>
      </w:r>
      <w:r w:rsidRPr="00E3232D">
        <w:rPr>
          <w:rFonts w:ascii="Book Antiqua" w:hAnsi="Book Antiqua"/>
        </w:rPr>
        <w:t>wn</w:t>
      </w:r>
      <w:r w:rsidRPr="00E3232D">
        <w:rPr>
          <w:rFonts w:ascii="Book Antiqua" w:hAnsi="Book Antiqua"/>
          <w:spacing w:val="22"/>
        </w:rPr>
        <w:t xml:space="preserve"> </w:t>
      </w:r>
      <w:r w:rsidRPr="00E3232D">
        <w:rPr>
          <w:rFonts w:ascii="Book Antiqua" w:hAnsi="Book Antiqua"/>
        </w:rPr>
        <w:t>the</w:t>
      </w:r>
      <w:r w:rsidRPr="00E3232D">
        <w:rPr>
          <w:rFonts w:ascii="Book Antiqua" w:hAnsi="Book Antiqua"/>
          <w:spacing w:val="22"/>
        </w:rPr>
        <w:t xml:space="preserve"> </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i</w:t>
      </w:r>
      <w:r w:rsidRPr="00E3232D">
        <w:rPr>
          <w:rFonts w:ascii="Book Antiqua" w:hAnsi="Book Antiqua"/>
        </w:rPr>
        <w:t>on</w:t>
      </w:r>
      <w:r w:rsidRPr="00E3232D">
        <w:rPr>
          <w:rFonts w:ascii="Book Antiqua" w:hAnsi="Book Antiqua"/>
          <w:spacing w:val="22"/>
        </w:rPr>
        <w:t xml:space="preserve"> </w:t>
      </w:r>
      <w:r w:rsidRPr="00E3232D">
        <w:rPr>
          <w:rFonts w:ascii="Book Antiqua" w:hAnsi="Book Antiqua"/>
        </w:rPr>
        <w:t>of</w:t>
      </w:r>
      <w:r w:rsidRPr="00E3232D">
        <w:rPr>
          <w:rFonts w:ascii="Book Antiqua" w:hAnsi="Book Antiqua"/>
          <w:spacing w:val="21"/>
        </w:rPr>
        <w:t xml:space="preserve"> </w:t>
      </w:r>
      <w:r w:rsidRPr="00E3232D">
        <w:rPr>
          <w:rFonts w:ascii="Book Antiqua" w:hAnsi="Book Antiqua"/>
        </w:rPr>
        <w:t>ma</w:t>
      </w:r>
      <w:r w:rsidRPr="00E3232D">
        <w:rPr>
          <w:rFonts w:ascii="Book Antiqua" w:hAnsi="Book Antiqua"/>
          <w:spacing w:val="2"/>
        </w:rPr>
        <w:t>n</w:t>
      </w:r>
      <w:r w:rsidRPr="00E3232D">
        <w:rPr>
          <w:rFonts w:ascii="Book Antiqua" w:hAnsi="Book Antiqua"/>
        </w:rPr>
        <w:t>y pol</w:t>
      </w:r>
      <w:r w:rsidRPr="00E3232D">
        <w:rPr>
          <w:rFonts w:ascii="Book Antiqua" w:hAnsi="Book Antiqua"/>
          <w:spacing w:val="1"/>
        </w:rPr>
        <w:t>ic</w:t>
      </w:r>
      <w:r w:rsidRPr="00E3232D">
        <w:rPr>
          <w:rFonts w:ascii="Book Antiqua" w:hAnsi="Book Antiqua"/>
        </w:rPr>
        <w:t xml:space="preserve">y </w:t>
      </w:r>
      <w:r w:rsidRPr="00E3232D">
        <w:rPr>
          <w:rFonts w:ascii="Book Antiqua" w:hAnsi="Book Antiqua"/>
          <w:spacing w:val="3"/>
        </w:rPr>
        <w:t>m</w:t>
      </w:r>
      <w:r w:rsidRPr="00E3232D">
        <w:rPr>
          <w:rFonts w:ascii="Book Antiqua" w:hAnsi="Book Antiqua"/>
          <w:spacing w:val="-1"/>
        </w:rPr>
        <w:t>a</w:t>
      </w:r>
      <w:r w:rsidRPr="00E3232D">
        <w:rPr>
          <w:rFonts w:ascii="Book Antiqua" w:hAnsi="Book Antiqua"/>
        </w:rPr>
        <w:t>kers</w:t>
      </w:r>
      <w:r w:rsidRPr="00E3232D">
        <w:rPr>
          <w:rFonts w:ascii="Book Antiqua" w:hAnsi="Book Antiqua"/>
          <w:spacing w:val="7"/>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1"/>
        </w:rPr>
        <w:t>r</w:t>
      </w:r>
      <w:r w:rsidRPr="00E3232D">
        <w:rPr>
          <w:rFonts w:ascii="Book Antiqua" w:hAnsi="Book Antiqua"/>
          <w:spacing w:val="1"/>
        </w:rPr>
        <w:t>ef</w:t>
      </w:r>
      <w:r w:rsidRPr="00E3232D">
        <w:rPr>
          <w:rFonts w:ascii="Book Antiqua" w:hAnsi="Book Antiqua"/>
        </w:rPr>
        <w:t>o</w:t>
      </w:r>
      <w:r w:rsidRPr="00E3232D">
        <w:rPr>
          <w:rFonts w:ascii="Book Antiqua" w:hAnsi="Book Antiqua"/>
          <w:spacing w:val="-1"/>
        </w:rPr>
        <w:t>r</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ve</w:t>
      </w:r>
      <w:r w:rsidRPr="00E3232D">
        <w:rPr>
          <w:rFonts w:ascii="Book Antiqua" w:hAnsi="Book Antiqua"/>
          <w:spacing w:val="4"/>
        </w:rPr>
        <w:t xml:space="preserve"> </w:t>
      </w:r>
      <w:r w:rsidRPr="00E3232D">
        <w:rPr>
          <w:rFonts w:ascii="Book Antiqua" w:hAnsi="Book Antiqua"/>
          <w:spacing w:val="2"/>
        </w:rPr>
        <w:t>b</w:t>
      </w:r>
      <w:r w:rsidRPr="00E3232D">
        <w:rPr>
          <w:rFonts w:ascii="Book Antiqua" w:hAnsi="Book Antiqua"/>
          <w:spacing w:val="-1"/>
        </w:rPr>
        <w:t>ec</w:t>
      </w:r>
      <w:r w:rsidRPr="00E3232D">
        <w:rPr>
          <w:rFonts w:ascii="Book Antiqua" w:hAnsi="Book Antiqua"/>
        </w:rPr>
        <w:t>ome</w:t>
      </w:r>
      <w:r w:rsidRPr="00E3232D">
        <w:rPr>
          <w:rFonts w:ascii="Book Antiqua" w:hAnsi="Book Antiqua"/>
          <w:spacing w:val="7"/>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7"/>
        </w:rPr>
        <w:t xml:space="preserve"> </w:t>
      </w:r>
      <w:r w:rsidRPr="00E3232D">
        <w:rPr>
          <w:rFonts w:ascii="Book Antiqua" w:hAnsi="Book Antiqua"/>
        </w:rPr>
        <w:t>in</w:t>
      </w:r>
      <w:r w:rsidRPr="00E3232D">
        <w:rPr>
          <w:rFonts w:ascii="Book Antiqua" w:hAnsi="Book Antiqua"/>
          <w:spacing w:val="1"/>
        </w:rPr>
        <w:t>te</w:t>
      </w:r>
      <w:r w:rsidRPr="00E3232D">
        <w:rPr>
          <w:rFonts w:ascii="Book Antiqua" w:hAnsi="Book Antiqua"/>
          <w:spacing w:val="-2"/>
        </w:rPr>
        <w:t>g</w:t>
      </w:r>
      <w:r w:rsidRPr="00E3232D">
        <w:rPr>
          <w:rFonts w:ascii="Book Antiqua" w:hAnsi="Book Antiqua"/>
          <w:spacing w:val="1"/>
        </w:rPr>
        <w:t>r</w:t>
      </w:r>
      <w:r w:rsidRPr="00E3232D">
        <w:rPr>
          <w:rFonts w:ascii="Book Antiqua" w:hAnsi="Book Antiqua"/>
          <w:spacing w:val="-1"/>
        </w:rPr>
        <w:t>a</w:t>
      </w:r>
      <w:r w:rsidRPr="00E3232D">
        <w:rPr>
          <w:rFonts w:ascii="Book Antiqua" w:hAnsi="Book Antiqua"/>
        </w:rPr>
        <w:t>l</w:t>
      </w:r>
      <w:r w:rsidRPr="00E3232D">
        <w:rPr>
          <w:rFonts w:ascii="Book Antiqua" w:hAnsi="Book Antiqua"/>
          <w:spacing w:val="6"/>
        </w:rPr>
        <w:t xml:space="preserve"> </w:t>
      </w:r>
      <w:r w:rsidRPr="00E3232D">
        <w:rPr>
          <w:rFonts w:ascii="Book Antiqua" w:hAnsi="Book Antiqua"/>
        </w:rPr>
        <w:t>p</w:t>
      </w:r>
      <w:r w:rsidRPr="00E3232D">
        <w:rPr>
          <w:rFonts w:ascii="Book Antiqua" w:hAnsi="Book Antiqua"/>
          <w:spacing w:val="1"/>
        </w:rPr>
        <w:t>a</w:t>
      </w:r>
      <w:r w:rsidRPr="00E3232D">
        <w:rPr>
          <w:rFonts w:ascii="Book Antiqua" w:hAnsi="Book Antiqua"/>
        </w:rPr>
        <w:t>rt</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5"/>
        </w:rPr>
        <w:t xml:space="preserve"> </w:t>
      </w:r>
      <w:r w:rsidRPr="00E3232D">
        <w:rPr>
          <w:rFonts w:ascii="Book Antiqua" w:hAnsi="Book Antiqua"/>
          <w:spacing w:val="2"/>
        </w:rPr>
        <w:t>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w:t>
      </w:r>
      <w:r w:rsidRPr="00E3232D">
        <w:rPr>
          <w:rFonts w:ascii="Book Antiqua" w:hAnsi="Book Antiqua"/>
          <w:spacing w:val="3"/>
        </w:rPr>
        <w:t>p</w:t>
      </w:r>
      <w:r w:rsidRPr="00E3232D">
        <w:rPr>
          <w:rFonts w:ascii="Book Antiqua" w:hAnsi="Book Antiqua"/>
        </w:rPr>
        <w:t>ment</w:t>
      </w:r>
      <w:r w:rsidRPr="00E3232D">
        <w:rPr>
          <w:rFonts w:ascii="Book Antiqua" w:hAnsi="Book Antiqua"/>
          <w:spacing w:val="5"/>
        </w:rPr>
        <w:t xml:space="preserve"> </w:t>
      </w:r>
      <w:r w:rsidRPr="00E3232D">
        <w:rPr>
          <w:rFonts w:ascii="Book Antiqua" w:hAnsi="Book Antiqua"/>
        </w:rPr>
        <w:t>plans</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7"/>
        </w:rPr>
        <w:t xml:space="preserve"> </w:t>
      </w:r>
      <w:r w:rsidRPr="00E3232D">
        <w:rPr>
          <w:rFonts w:ascii="Book Antiqua" w:hAnsi="Book Antiqua"/>
        </w:rPr>
        <w:t xml:space="preserve">most </w:t>
      </w:r>
      <w:r w:rsidRPr="00E3232D">
        <w:rPr>
          <w:rFonts w:ascii="Book Antiqua" w:hAnsi="Book Antiqua"/>
          <w:spacing w:val="-1"/>
        </w:rPr>
        <w:t>c</w:t>
      </w:r>
      <w:r w:rsidRPr="00E3232D">
        <w:rPr>
          <w:rFonts w:ascii="Book Antiqua" w:hAnsi="Book Antiqua"/>
        </w:rPr>
        <w:t>ountri</w:t>
      </w:r>
      <w:r w:rsidRPr="00E3232D">
        <w:rPr>
          <w:rFonts w:ascii="Book Antiqua" w:hAnsi="Book Antiqua"/>
          <w:spacing w:val="-1"/>
        </w:rPr>
        <w:t>e</w:t>
      </w:r>
      <w:r w:rsidRPr="00E3232D">
        <w:rPr>
          <w:rFonts w:ascii="Book Antiqua" w:hAnsi="Book Antiqua"/>
        </w:rPr>
        <w:t xml:space="preserve">s </w:t>
      </w:r>
      <w:r w:rsidRPr="00E3232D">
        <w:rPr>
          <w:rFonts w:ascii="Book Antiqua" w:hAnsi="Book Antiqua"/>
          <w:spacing w:val="-1"/>
        </w:rPr>
        <w:t>(</w:t>
      </w:r>
      <w:r w:rsidRPr="00E3232D">
        <w:rPr>
          <w:rFonts w:ascii="Book Antiqua" w:hAnsi="Book Antiqua"/>
        </w:rPr>
        <w:t>Ali, 197</w:t>
      </w:r>
      <w:r w:rsidRPr="00E3232D">
        <w:rPr>
          <w:rFonts w:ascii="Book Antiqua" w:hAnsi="Book Antiqua"/>
          <w:spacing w:val="1"/>
        </w:rPr>
        <w:t>8</w:t>
      </w:r>
      <w:r w:rsidRPr="00E3232D">
        <w:rPr>
          <w:rFonts w:ascii="Book Antiqua" w:hAnsi="Book Antiqua"/>
          <w:spacing w:val="-1"/>
        </w:rPr>
        <w:t>).</w:t>
      </w:r>
    </w:p>
    <w:p w14:paraId="7D02A454" w14:textId="77777777" w:rsidR="00E00EF9" w:rsidRPr="00E3232D" w:rsidRDefault="00E00EF9" w:rsidP="00465AE3">
      <w:pPr>
        <w:widowControl w:val="0"/>
        <w:autoSpaceDE w:val="0"/>
        <w:autoSpaceDN w:val="0"/>
        <w:adjustRightInd w:val="0"/>
        <w:ind w:right="79"/>
        <w:jc w:val="both"/>
        <w:rPr>
          <w:rFonts w:ascii="Book Antiqua" w:hAnsi="Book Antiqua"/>
        </w:rPr>
      </w:pPr>
      <w:r w:rsidRPr="00E3232D">
        <w:rPr>
          <w:rFonts w:ascii="Book Antiqua" w:hAnsi="Book Antiqua"/>
          <w:spacing w:val="1"/>
        </w:rPr>
        <w:t>P</w:t>
      </w:r>
      <w:r w:rsidRPr="00E3232D">
        <w:rPr>
          <w:rFonts w:ascii="Book Antiqua" w:hAnsi="Book Antiqua"/>
        </w:rPr>
        <w:t>otential</w:t>
      </w:r>
      <w:r w:rsidRPr="00E3232D">
        <w:rPr>
          <w:rFonts w:ascii="Book Antiqua" w:hAnsi="Book Antiqua"/>
          <w:spacing w:val="2"/>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2"/>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spacing w:val="2"/>
        </w:rPr>
        <w:t>o</w:t>
      </w:r>
      <w:r w:rsidRPr="00E3232D">
        <w:rPr>
          <w:rFonts w:ascii="Book Antiqua" w:hAnsi="Book Antiqua"/>
        </w:rPr>
        <w:t>w</w:t>
      </w:r>
      <w:r w:rsidRPr="00E3232D">
        <w:rPr>
          <w:rFonts w:ascii="Book Antiqua" w:hAnsi="Book Antiqua"/>
          <w:spacing w:val="-1"/>
        </w:rPr>
        <w:t>e</w:t>
      </w:r>
      <w:r w:rsidRPr="00E3232D">
        <w:rPr>
          <w:rFonts w:ascii="Book Antiqua" w:hAnsi="Book Antiqua"/>
        </w:rPr>
        <w:t>r</w:t>
      </w:r>
      <w:r w:rsidRPr="00E3232D">
        <w:rPr>
          <w:rFonts w:ascii="Book Antiqua" w:hAnsi="Book Antiqua"/>
          <w:spacing w:val="3"/>
        </w:rPr>
        <w:t xml:space="preserve"> </w:t>
      </w:r>
      <w:r w:rsidRPr="00E3232D">
        <w:rPr>
          <w:rFonts w:ascii="Book Antiqua" w:hAnsi="Book Antiqua"/>
        </w:rPr>
        <w:t>is</w:t>
      </w:r>
      <w:r w:rsidRPr="00E3232D">
        <w:rPr>
          <w:rFonts w:ascii="Book Antiqua" w:hAnsi="Book Antiqua"/>
          <w:spacing w:val="3"/>
        </w:rPr>
        <w:t xml:space="preserve"> </w:t>
      </w:r>
      <w:r w:rsidRPr="00E3232D">
        <w:rPr>
          <w:rFonts w:ascii="Book Antiqua" w:hAnsi="Book Antiqua"/>
        </w:rPr>
        <w:t>a</w:t>
      </w:r>
      <w:r w:rsidRPr="00E3232D">
        <w:rPr>
          <w:rFonts w:ascii="Book Antiqua" w:hAnsi="Book Antiqua"/>
          <w:spacing w:val="1"/>
        </w:rPr>
        <w:t xml:space="preserve"> </w:t>
      </w:r>
      <w:r w:rsidRPr="00E3232D">
        <w:rPr>
          <w:rFonts w:ascii="Book Antiqua" w:hAnsi="Book Antiqua"/>
        </w:rPr>
        <w:t>p</w:t>
      </w:r>
      <w:r w:rsidRPr="00E3232D">
        <w:rPr>
          <w:rFonts w:ascii="Book Antiqua" w:hAnsi="Book Antiqua"/>
          <w:spacing w:val="1"/>
        </w:rPr>
        <w:t>e</w:t>
      </w:r>
      <w:r w:rsidRPr="00E3232D">
        <w:rPr>
          <w:rFonts w:ascii="Book Antiqua" w:hAnsi="Book Antiqua"/>
        </w:rPr>
        <w:t>rson</w:t>
      </w:r>
      <w:r w:rsidRPr="00E3232D">
        <w:rPr>
          <w:rFonts w:ascii="Book Antiqua" w:hAnsi="Book Antiqua"/>
          <w:spacing w:val="1"/>
        </w:rPr>
        <w:t xml:space="preserve"> </w:t>
      </w:r>
      <w:r w:rsidRPr="00E3232D">
        <w:rPr>
          <w:rFonts w:ascii="Book Antiqua" w:hAnsi="Book Antiqua"/>
        </w:rPr>
        <w:t>who</w:t>
      </w:r>
      <w:r w:rsidRPr="00E3232D">
        <w:rPr>
          <w:rFonts w:ascii="Book Antiqua" w:hAnsi="Book Antiqua"/>
          <w:spacing w:val="1"/>
        </w:rPr>
        <w:t xml:space="preserve"> </w:t>
      </w:r>
      <w:r w:rsidRPr="00E3232D">
        <w:rPr>
          <w:rFonts w:ascii="Book Antiqua" w:hAnsi="Book Antiqua"/>
        </w:rPr>
        <w:t>is</w:t>
      </w:r>
      <w:r w:rsidRPr="00E3232D">
        <w:rPr>
          <w:rFonts w:ascii="Book Antiqua" w:hAnsi="Book Antiqua"/>
          <w:spacing w:val="3"/>
        </w:rPr>
        <w:t xml:space="preserve"> </w:t>
      </w:r>
      <w:r w:rsidRPr="00E3232D">
        <w:rPr>
          <w:rFonts w:ascii="Book Antiqua" w:hAnsi="Book Antiqua"/>
        </w:rPr>
        <w:t>wil</w:t>
      </w:r>
      <w:r w:rsidRPr="00E3232D">
        <w:rPr>
          <w:rFonts w:ascii="Book Antiqua" w:hAnsi="Book Antiqua"/>
          <w:spacing w:val="1"/>
        </w:rPr>
        <w:t>l</w:t>
      </w:r>
      <w:r w:rsidRPr="00E3232D">
        <w:rPr>
          <w:rFonts w:ascii="Book Antiqua" w:hAnsi="Book Antiqua"/>
        </w:rPr>
        <w:t>ing to</w:t>
      </w:r>
      <w:r w:rsidRPr="00E3232D">
        <w:rPr>
          <w:rFonts w:ascii="Book Antiqua" w:hAnsi="Book Antiqua"/>
          <w:spacing w:val="2"/>
        </w:rPr>
        <w:t xml:space="preserve"> b</w:t>
      </w:r>
      <w:r w:rsidRPr="00E3232D">
        <w:rPr>
          <w:rFonts w:ascii="Book Antiqua" w:hAnsi="Book Antiqua"/>
        </w:rPr>
        <w:t>o</w:t>
      </w:r>
      <w:r w:rsidRPr="00E3232D">
        <w:rPr>
          <w:rFonts w:ascii="Book Antiqua" w:hAnsi="Book Antiqua"/>
          <w:spacing w:val="-1"/>
        </w:rPr>
        <w:t>r</w:t>
      </w:r>
      <w:r w:rsidRPr="00E3232D">
        <w:rPr>
          <w:rFonts w:ascii="Book Antiqua" w:hAnsi="Book Antiqua"/>
        </w:rPr>
        <w:t>row</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4"/>
        </w:rPr>
        <w:t xml:space="preserve"> </w:t>
      </w:r>
      <w:r w:rsidRPr="00E3232D">
        <w:rPr>
          <w:rFonts w:ascii="Book Antiqua" w:hAnsi="Book Antiqua"/>
        </w:rPr>
        <w:t>A</w:t>
      </w:r>
      <w:r w:rsidRPr="00E3232D">
        <w:rPr>
          <w:rFonts w:ascii="Book Antiqua" w:hAnsi="Book Antiqua"/>
          <w:spacing w:val="-1"/>
        </w:rPr>
        <w:t>cc</w:t>
      </w:r>
      <w:r w:rsidRPr="00E3232D">
        <w:rPr>
          <w:rFonts w:ascii="Book Antiqua" w:hAnsi="Book Antiqua"/>
        </w:rPr>
        <w:t>o</w:t>
      </w:r>
      <w:r w:rsidRPr="00E3232D">
        <w:rPr>
          <w:rFonts w:ascii="Book Antiqua" w:hAnsi="Book Antiqua"/>
          <w:spacing w:val="-1"/>
        </w:rPr>
        <w:t>r</w:t>
      </w:r>
      <w:r w:rsidRPr="00E3232D">
        <w:rPr>
          <w:rFonts w:ascii="Book Antiqua" w:hAnsi="Book Antiqua"/>
        </w:rPr>
        <w:t>di</w:t>
      </w:r>
      <w:r w:rsidRPr="00E3232D">
        <w:rPr>
          <w:rFonts w:ascii="Book Antiqua" w:hAnsi="Book Antiqua"/>
          <w:spacing w:val="3"/>
        </w:rPr>
        <w:t>n</w:t>
      </w:r>
      <w:r w:rsidRPr="00E3232D">
        <w:rPr>
          <w:rFonts w:ascii="Book Antiqua" w:hAnsi="Book Antiqua"/>
        </w:rPr>
        <w:t>g to</w:t>
      </w:r>
      <w:r w:rsidRPr="00E3232D">
        <w:rPr>
          <w:rFonts w:ascii="Book Antiqua" w:hAnsi="Book Antiqua"/>
          <w:spacing w:val="2"/>
        </w:rPr>
        <w:t xml:space="preserve"> A</w:t>
      </w:r>
      <w:r w:rsidRPr="00E3232D">
        <w:rPr>
          <w:rFonts w:ascii="Book Antiqua" w:hAnsi="Book Antiqua"/>
        </w:rPr>
        <w:t>rdic</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t</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l</w:t>
      </w:r>
      <w:r w:rsidRPr="00E3232D">
        <w:rPr>
          <w:rFonts w:ascii="Book Antiqua" w:hAnsi="Book Antiqua"/>
          <w:spacing w:val="5"/>
        </w:rPr>
        <w:t xml:space="preserve"> </w:t>
      </w:r>
      <w:r w:rsidRPr="00E3232D">
        <w:rPr>
          <w:rFonts w:ascii="Book Antiqua" w:hAnsi="Book Antiqua"/>
        </w:rPr>
        <w:t>(201</w:t>
      </w:r>
      <w:r w:rsidRPr="00E3232D">
        <w:rPr>
          <w:rFonts w:ascii="Book Antiqua" w:hAnsi="Book Antiqua"/>
          <w:spacing w:val="-1"/>
        </w:rPr>
        <w:t>1</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re</w:t>
      </w:r>
      <w:r w:rsidRPr="00E3232D">
        <w:rPr>
          <w:rFonts w:ascii="Book Antiqua" w:hAnsi="Book Antiqua"/>
          <w:spacing w:val="-1"/>
        </w:rPr>
        <w:t>ce</w:t>
      </w:r>
      <w:r w:rsidRPr="00E3232D">
        <w:rPr>
          <w:rFonts w:ascii="Book Antiqua" w:hAnsi="Book Antiqua"/>
        </w:rPr>
        <w:t>nt</w:t>
      </w:r>
      <w:r w:rsidRPr="00E3232D">
        <w:rPr>
          <w:rFonts w:ascii="Book Antiqua" w:hAnsi="Book Antiqua"/>
          <w:spacing w:val="2"/>
        </w:rPr>
        <w:t xml:space="preserve"> </w:t>
      </w:r>
      <w:r w:rsidRPr="00E3232D">
        <w:rPr>
          <w:rFonts w:ascii="Book Antiqua" w:hAnsi="Book Antiqua"/>
        </w:rPr>
        <w:t>stud</w:t>
      </w:r>
      <w:r w:rsidRPr="00E3232D">
        <w:rPr>
          <w:rFonts w:ascii="Book Antiqua" w:hAnsi="Book Antiqua"/>
          <w:spacing w:val="1"/>
        </w:rPr>
        <w:t>i</w:t>
      </w:r>
      <w:r w:rsidRPr="00E3232D">
        <w:rPr>
          <w:rFonts w:ascii="Book Antiqua" w:hAnsi="Book Antiqua"/>
          <w:spacing w:val="-1"/>
        </w:rPr>
        <w:t>e</w:t>
      </w:r>
      <w:r w:rsidRPr="00E3232D">
        <w:rPr>
          <w:rFonts w:ascii="Book Antiqua" w:hAnsi="Book Antiqua"/>
        </w:rPr>
        <w:t>s</w:t>
      </w:r>
      <w:r w:rsidRPr="00E3232D">
        <w:rPr>
          <w:rFonts w:ascii="Book Antiqua" w:hAnsi="Book Antiqua"/>
          <w:spacing w:val="6"/>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ve</w:t>
      </w:r>
      <w:r w:rsidRPr="00E3232D">
        <w:rPr>
          <w:rFonts w:ascii="Book Antiqua" w:hAnsi="Book Antiqua"/>
          <w:spacing w:val="1"/>
        </w:rPr>
        <w:t xml:space="preserve"> </w:t>
      </w:r>
      <w:r w:rsidRPr="00E3232D">
        <w:rPr>
          <w:rFonts w:ascii="Book Antiqua" w:hAnsi="Book Antiqua"/>
        </w:rPr>
        <w:t>shown</w:t>
      </w:r>
      <w:r w:rsidRPr="00E3232D">
        <w:rPr>
          <w:rFonts w:ascii="Book Antiqua" w:hAnsi="Book Antiqua"/>
          <w:spacing w:val="2"/>
        </w:rPr>
        <w:t xml:space="preserve"> </w:t>
      </w:r>
      <w:r w:rsidRPr="00E3232D">
        <w:rPr>
          <w:rFonts w:ascii="Book Antiqua" w:hAnsi="Book Antiqua"/>
        </w:rPr>
        <w:t>that</w:t>
      </w:r>
      <w:r w:rsidRPr="00E3232D">
        <w:rPr>
          <w:rFonts w:ascii="Book Antiqua" w:hAnsi="Book Antiqua"/>
          <w:spacing w:val="2"/>
        </w:rPr>
        <w:t xml:space="preserve"> </w:t>
      </w:r>
      <w:r w:rsidRPr="00E3232D">
        <w:rPr>
          <w:rFonts w:ascii="Book Antiqua" w:hAnsi="Book Antiqua"/>
          <w:spacing w:val="1"/>
        </w:rPr>
        <w:t>S</w:t>
      </w:r>
      <w:r w:rsidRPr="00E3232D">
        <w:rPr>
          <w:rFonts w:ascii="Book Antiqua" w:hAnsi="Book Antiqua"/>
        </w:rPr>
        <w:t>ME</w:t>
      </w:r>
      <w:r w:rsidRPr="00E3232D">
        <w:rPr>
          <w:rFonts w:ascii="Book Antiqua" w:hAnsi="Book Antiqua"/>
          <w:spacing w:val="2"/>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2"/>
        </w:rPr>
        <w:t xml:space="preserve"> </w:t>
      </w:r>
      <w:r w:rsidRPr="00E3232D">
        <w:rPr>
          <w:rFonts w:ascii="Book Antiqua" w:hAnsi="Book Antiqua"/>
        </w:rPr>
        <w:t>is</w:t>
      </w:r>
      <w:r w:rsidRPr="00E3232D">
        <w:rPr>
          <w:rFonts w:ascii="Book Antiqua" w:hAnsi="Book Antiqua"/>
          <w:spacing w:val="3"/>
        </w:rPr>
        <w:t xml:space="preserve"> </w:t>
      </w:r>
      <w:r w:rsidRPr="00E3232D">
        <w:rPr>
          <w:rFonts w:ascii="Book Antiqua" w:hAnsi="Book Antiqua"/>
          <w:spacing w:val="-1"/>
        </w:rPr>
        <w:t>c</w:t>
      </w:r>
      <w:r w:rsidRPr="00E3232D">
        <w:rPr>
          <w:rFonts w:ascii="Book Antiqua" w:hAnsi="Book Antiqua"/>
        </w:rPr>
        <w:t>lose</w:t>
      </w:r>
      <w:r w:rsidRPr="00E3232D">
        <w:rPr>
          <w:rFonts w:ascii="Book Antiqua" w:hAnsi="Book Antiqua"/>
          <w:spacing w:val="2"/>
        </w:rPr>
        <w:t>l</w:t>
      </w:r>
      <w:r w:rsidRPr="00E3232D">
        <w:rPr>
          <w:rFonts w:ascii="Book Antiqua" w:hAnsi="Book Antiqua"/>
        </w:rPr>
        <w:t>y l</w:t>
      </w:r>
      <w:r w:rsidRPr="00E3232D">
        <w:rPr>
          <w:rFonts w:ascii="Book Antiqua" w:hAnsi="Book Antiqua"/>
          <w:spacing w:val="1"/>
        </w:rPr>
        <w:t>i</w:t>
      </w:r>
      <w:r w:rsidRPr="00E3232D">
        <w:rPr>
          <w:rFonts w:ascii="Book Antiqua" w:hAnsi="Book Antiqua"/>
        </w:rPr>
        <w:t>nk</w:t>
      </w:r>
      <w:r w:rsidRPr="00E3232D">
        <w:rPr>
          <w:rFonts w:ascii="Book Antiqua" w:hAnsi="Book Antiqua"/>
          <w:spacing w:val="-1"/>
        </w:rPr>
        <w:t>e</w:t>
      </w:r>
      <w:r w:rsidRPr="00E3232D">
        <w:rPr>
          <w:rFonts w:ascii="Book Antiqua" w:hAnsi="Book Antiqua"/>
        </w:rPr>
        <w:t xml:space="preserve">d </w:t>
      </w:r>
      <w:r w:rsidRPr="00E3232D">
        <w:rPr>
          <w:rFonts w:ascii="Book Antiqua" w:hAnsi="Book Antiqua"/>
          <w:spacing w:val="5"/>
        </w:rPr>
        <w:t>with</w:t>
      </w:r>
      <w:r w:rsidRPr="00E3232D">
        <w:rPr>
          <w:rFonts w:ascii="Book Antiqua" w:hAnsi="Book Antiqua"/>
        </w:rPr>
        <w:t xml:space="preserve"> </w:t>
      </w:r>
      <w:r w:rsidRPr="00E3232D">
        <w:rPr>
          <w:rFonts w:ascii="Book Antiqua" w:hAnsi="Book Antiqua"/>
          <w:spacing w:val="5"/>
        </w:rPr>
        <w:t>growth</w:t>
      </w:r>
      <w:r w:rsidRPr="00E3232D">
        <w:rPr>
          <w:rFonts w:ascii="Book Antiqua" w:hAnsi="Book Antiqua"/>
        </w:rPr>
        <w:t xml:space="preserve">. </w:t>
      </w:r>
      <w:r w:rsidRPr="00E3232D">
        <w:rPr>
          <w:rFonts w:ascii="Book Antiqua" w:hAnsi="Book Antiqua"/>
          <w:spacing w:val="5"/>
        </w:rPr>
        <w:t xml:space="preserve"> </w:t>
      </w:r>
      <w:r w:rsidRPr="00E3232D">
        <w:rPr>
          <w:rFonts w:ascii="Book Antiqua" w:hAnsi="Book Antiqua"/>
        </w:rPr>
        <w:t xml:space="preserve">The </w:t>
      </w:r>
      <w:r w:rsidRPr="00E3232D">
        <w:rPr>
          <w:rFonts w:ascii="Book Antiqua" w:hAnsi="Book Antiqua"/>
          <w:spacing w:val="4"/>
        </w:rPr>
        <w:t>majority</w:t>
      </w:r>
      <w:r w:rsidRPr="00E3232D">
        <w:rPr>
          <w:rFonts w:ascii="Book Antiqua" w:hAnsi="Book Antiqua"/>
        </w:rPr>
        <w:t xml:space="preserve"> of </w:t>
      </w:r>
      <w:r w:rsidRPr="00E3232D">
        <w:rPr>
          <w:rFonts w:ascii="Book Antiqua" w:hAnsi="Book Antiqua"/>
          <w:spacing w:val="4"/>
        </w:rPr>
        <w:t>the</w:t>
      </w:r>
      <w:r w:rsidRPr="00E3232D">
        <w:rPr>
          <w:rFonts w:ascii="Book Antiqua" w:hAnsi="Book Antiqua"/>
        </w:rPr>
        <w:t xml:space="preserve"> </w:t>
      </w:r>
      <w:r w:rsidRPr="00E3232D">
        <w:rPr>
          <w:rFonts w:ascii="Book Antiqua" w:hAnsi="Book Antiqua"/>
          <w:spacing w:val="4"/>
        </w:rPr>
        <w:t>micro</w:t>
      </w:r>
      <w:r w:rsidRPr="00E3232D">
        <w:rPr>
          <w:rFonts w:ascii="Book Antiqua" w:hAnsi="Book Antiqua"/>
        </w:rPr>
        <w:t xml:space="preserve"> </w:t>
      </w:r>
      <w:r w:rsidRPr="00E3232D">
        <w:rPr>
          <w:rFonts w:ascii="Book Antiqua" w:hAnsi="Book Antiqua"/>
          <w:spacing w:val="5"/>
        </w:rPr>
        <w:t>entrepreneurs</w:t>
      </w:r>
      <w:r w:rsidRPr="00E3232D">
        <w:rPr>
          <w:rFonts w:ascii="Book Antiqua" w:hAnsi="Book Antiqua"/>
        </w:rPr>
        <w:t xml:space="preserve"> </w:t>
      </w:r>
      <w:r w:rsidRPr="00E3232D">
        <w:rPr>
          <w:rFonts w:ascii="Book Antiqua" w:hAnsi="Book Antiqua"/>
          <w:spacing w:val="5"/>
        </w:rPr>
        <w:t>are</w:t>
      </w:r>
      <w:r w:rsidRPr="00E3232D">
        <w:rPr>
          <w:rFonts w:ascii="Book Antiqua" w:hAnsi="Book Antiqua"/>
        </w:rPr>
        <w:t xml:space="preserve"> </w:t>
      </w:r>
      <w:r w:rsidRPr="00E3232D">
        <w:rPr>
          <w:rFonts w:ascii="Book Antiqua" w:hAnsi="Book Antiqua"/>
          <w:spacing w:val="4"/>
        </w:rPr>
        <w:t>within</w:t>
      </w:r>
      <w:r w:rsidRPr="00E3232D">
        <w:rPr>
          <w:rFonts w:ascii="Book Antiqua" w:hAnsi="Book Antiqua"/>
        </w:rPr>
        <w:t xml:space="preserve"> </w:t>
      </w:r>
      <w:r w:rsidRPr="00E3232D">
        <w:rPr>
          <w:rFonts w:ascii="Book Antiqua" w:hAnsi="Book Antiqua"/>
          <w:spacing w:val="5"/>
        </w:rPr>
        <w:t>the</w:t>
      </w:r>
      <w:r w:rsidRPr="00E3232D">
        <w:rPr>
          <w:rFonts w:ascii="Book Antiqua" w:hAnsi="Book Antiqua"/>
        </w:rPr>
        <w:t xml:space="preserve"> </w:t>
      </w:r>
      <w:r w:rsidRPr="00E3232D">
        <w:rPr>
          <w:rFonts w:ascii="Book Antiqua" w:hAnsi="Book Antiqua"/>
          <w:spacing w:val="4"/>
        </w:rPr>
        <w:t>informal</w:t>
      </w:r>
      <w:r w:rsidRPr="00E3232D">
        <w:rPr>
          <w:rFonts w:ascii="Book Antiqua" w:hAnsi="Book Antiqua"/>
        </w:rPr>
        <w:t xml:space="preserve"> </w:t>
      </w:r>
      <w:r w:rsidRPr="00E3232D">
        <w:rPr>
          <w:rFonts w:ascii="Book Antiqua" w:hAnsi="Book Antiqua"/>
          <w:spacing w:val="-1"/>
        </w:rPr>
        <w:t>ec</w:t>
      </w:r>
      <w:r w:rsidRPr="00E3232D">
        <w:rPr>
          <w:rFonts w:ascii="Book Antiqua" w:hAnsi="Book Antiqua"/>
        </w:rPr>
        <w:t>ono</w:t>
      </w:r>
      <w:r w:rsidRPr="00E3232D">
        <w:rPr>
          <w:rFonts w:ascii="Book Antiqua" w:hAnsi="Book Antiqua"/>
          <w:spacing w:val="5"/>
        </w:rPr>
        <w:t>m</w:t>
      </w:r>
      <w:r w:rsidRPr="00E3232D">
        <w:rPr>
          <w:rFonts w:ascii="Book Antiqua" w:hAnsi="Book Antiqua"/>
          <w:spacing w:val="-5"/>
        </w:rPr>
        <w:t>y</w:t>
      </w:r>
      <w:r w:rsidRPr="00E3232D">
        <w:rPr>
          <w:rFonts w:ascii="Book Antiqua" w:hAnsi="Book Antiqua"/>
        </w:rPr>
        <w:t>.</w:t>
      </w:r>
    </w:p>
    <w:p w14:paraId="69672D1D" w14:textId="77777777" w:rsidR="00E00EF9" w:rsidRPr="00E3232D" w:rsidRDefault="00E00EF9" w:rsidP="00465AE3">
      <w:pPr>
        <w:widowControl w:val="0"/>
        <w:autoSpaceDE w:val="0"/>
        <w:autoSpaceDN w:val="0"/>
        <w:adjustRightInd w:val="0"/>
        <w:ind w:left="100" w:right="74"/>
        <w:jc w:val="both"/>
        <w:rPr>
          <w:rFonts w:ascii="Book Antiqua" w:hAnsi="Book Antiqua"/>
        </w:rPr>
      </w:pPr>
      <w:r w:rsidRPr="00E3232D">
        <w:rPr>
          <w:rFonts w:ascii="Book Antiqua" w:hAnsi="Book Antiqua"/>
          <w:spacing w:val="-3"/>
        </w:rPr>
        <w:t>I</w:t>
      </w:r>
      <w:r w:rsidRPr="00E3232D">
        <w:rPr>
          <w:rFonts w:ascii="Book Antiqua" w:hAnsi="Book Antiqua"/>
        </w:rPr>
        <w:t>n</w:t>
      </w:r>
      <w:r w:rsidRPr="00E3232D">
        <w:rPr>
          <w:rFonts w:ascii="Book Antiqua" w:hAnsi="Book Antiqua"/>
          <w:spacing w:val="7"/>
        </w:rPr>
        <w:t xml:space="preserve"> </w:t>
      </w:r>
      <w:r w:rsidRPr="00E3232D">
        <w:rPr>
          <w:rFonts w:ascii="Book Antiqua" w:hAnsi="Book Antiqua"/>
        </w:rPr>
        <w:t>Gh</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rPr>
        <w:t>,</w:t>
      </w:r>
      <w:r w:rsidRPr="00E3232D">
        <w:rPr>
          <w:rFonts w:ascii="Book Antiqua" w:hAnsi="Book Antiqua"/>
          <w:spacing w:val="7"/>
        </w:rPr>
        <w:t xml:space="preserve"> </w:t>
      </w:r>
      <w:r w:rsidRPr="00E3232D">
        <w:rPr>
          <w:rFonts w:ascii="Book Antiqua" w:hAnsi="Book Antiqua"/>
        </w:rPr>
        <w:t>since</w:t>
      </w:r>
      <w:r w:rsidRPr="00E3232D">
        <w:rPr>
          <w:rFonts w:ascii="Book Antiqua" w:hAnsi="Book Antiqua"/>
          <w:spacing w:val="4"/>
        </w:rPr>
        <w:t xml:space="preserve"> </w:t>
      </w:r>
      <w:r w:rsidRPr="00E3232D">
        <w:rPr>
          <w:rFonts w:ascii="Book Antiqua" w:hAnsi="Book Antiqua"/>
        </w:rPr>
        <w:t>the</w:t>
      </w:r>
      <w:r w:rsidRPr="00E3232D">
        <w:rPr>
          <w:rFonts w:ascii="Book Antiqua" w:hAnsi="Book Antiqua"/>
          <w:spacing w:val="7"/>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rPr>
        <w:t>rodu</w:t>
      </w:r>
      <w:r w:rsidRPr="00E3232D">
        <w:rPr>
          <w:rFonts w:ascii="Book Antiqua" w:hAnsi="Book Antiqua"/>
          <w:spacing w:val="-2"/>
        </w:rPr>
        <w:t>c</w:t>
      </w:r>
      <w:r w:rsidRPr="00E3232D">
        <w:rPr>
          <w:rFonts w:ascii="Book Antiqua" w:hAnsi="Book Antiqua"/>
        </w:rPr>
        <w:t>t</w:t>
      </w:r>
      <w:r w:rsidRPr="00E3232D">
        <w:rPr>
          <w:rFonts w:ascii="Book Antiqua" w:hAnsi="Book Antiqua"/>
          <w:spacing w:val="1"/>
        </w:rPr>
        <w:t>i</w:t>
      </w:r>
      <w:r w:rsidRPr="00E3232D">
        <w:rPr>
          <w:rFonts w:ascii="Book Antiqua" w:hAnsi="Book Antiqua"/>
        </w:rPr>
        <w:t>on</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E</w:t>
      </w:r>
      <w:r w:rsidRPr="00E3232D">
        <w:rPr>
          <w:rFonts w:ascii="Book Antiqua" w:hAnsi="Book Antiqua"/>
          <w:spacing w:val="-1"/>
        </w:rPr>
        <w:t>c</w:t>
      </w:r>
      <w:r w:rsidRPr="00E3232D">
        <w:rPr>
          <w:rFonts w:ascii="Book Antiqua" w:hAnsi="Book Antiqua"/>
        </w:rPr>
        <w:t>ono</w:t>
      </w:r>
      <w:r w:rsidRPr="00E3232D">
        <w:rPr>
          <w:rFonts w:ascii="Book Antiqua" w:hAnsi="Book Antiqua"/>
          <w:spacing w:val="3"/>
        </w:rPr>
        <w:t>m</w:t>
      </w:r>
      <w:r w:rsidRPr="00E3232D">
        <w:rPr>
          <w:rFonts w:ascii="Book Antiqua" w:hAnsi="Book Antiqua"/>
        </w:rPr>
        <w:t>ic</w:t>
      </w:r>
      <w:r w:rsidRPr="00E3232D">
        <w:rPr>
          <w:rFonts w:ascii="Book Antiqua" w:hAnsi="Book Antiqua"/>
          <w:spacing w:val="4"/>
        </w:rPr>
        <w:t xml:space="preserve"> </w:t>
      </w:r>
      <w:r w:rsidRPr="00E3232D">
        <w:rPr>
          <w:rFonts w:ascii="Book Antiqua" w:hAnsi="Book Antiqua"/>
        </w:rPr>
        <w:t>R</w:t>
      </w:r>
      <w:r w:rsidRPr="00E3232D">
        <w:rPr>
          <w:rFonts w:ascii="Book Antiqua" w:hAnsi="Book Antiqua"/>
          <w:spacing w:val="-1"/>
        </w:rPr>
        <w:t>ec</w:t>
      </w:r>
      <w:r w:rsidRPr="00E3232D">
        <w:rPr>
          <w:rFonts w:ascii="Book Antiqua" w:hAnsi="Book Antiqua"/>
        </w:rPr>
        <w:t>ov</w:t>
      </w:r>
      <w:r w:rsidRPr="00E3232D">
        <w:rPr>
          <w:rFonts w:ascii="Book Antiqua" w:hAnsi="Book Antiqua"/>
          <w:spacing w:val="1"/>
        </w:rPr>
        <w:t>e</w:t>
      </w:r>
      <w:r w:rsidRPr="00E3232D">
        <w:rPr>
          <w:rFonts w:ascii="Book Antiqua" w:hAnsi="Book Antiqua"/>
          <w:spacing w:val="4"/>
        </w:rPr>
        <w:t>r</w:t>
      </w:r>
      <w:r w:rsidRPr="00E3232D">
        <w:rPr>
          <w:rFonts w:ascii="Book Antiqua" w:hAnsi="Book Antiqua"/>
        </w:rPr>
        <w:t xml:space="preserve">y </w:t>
      </w:r>
      <w:r w:rsidRPr="00E3232D">
        <w:rPr>
          <w:rFonts w:ascii="Book Antiqua" w:hAnsi="Book Antiqua"/>
          <w:spacing w:val="1"/>
        </w:rPr>
        <w:t>P</w:t>
      </w:r>
      <w:r w:rsidRPr="00E3232D">
        <w:rPr>
          <w:rFonts w:ascii="Book Antiqua" w:hAnsi="Book Antiqua"/>
        </w:rPr>
        <w:t>r</w:t>
      </w:r>
      <w:r w:rsidRPr="00E3232D">
        <w:rPr>
          <w:rFonts w:ascii="Book Antiqua" w:hAnsi="Book Antiqua"/>
          <w:spacing w:val="1"/>
        </w:rPr>
        <w:t>o</w:t>
      </w:r>
      <w:r w:rsidRPr="00E3232D">
        <w:rPr>
          <w:rFonts w:ascii="Book Antiqua" w:hAnsi="Book Antiqua"/>
          <w:spacing w:val="-2"/>
        </w:rPr>
        <w:t>g</w:t>
      </w:r>
      <w:r w:rsidRPr="00E3232D">
        <w:rPr>
          <w:rFonts w:ascii="Book Antiqua" w:hAnsi="Book Antiqua"/>
        </w:rPr>
        <w:t>r</w:t>
      </w:r>
      <w:r w:rsidRPr="00E3232D">
        <w:rPr>
          <w:rFonts w:ascii="Book Antiqua" w:hAnsi="Book Antiqua"/>
          <w:spacing w:val="-2"/>
        </w:rPr>
        <w:t>a</w:t>
      </w:r>
      <w:r w:rsidRPr="00E3232D">
        <w:rPr>
          <w:rFonts w:ascii="Book Antiqua" w:hAnsi="Book Antiqua"/>
        </w:rPr>
        <w:t>m</w:t>
      </w:r>
      <w:r w:rsidRPr="00E3232D">
        <w:rPr>
          <w:rFonts w:ascii="Book Antiqua" w:hAnsi="Book Antiqua"/>
          <w:spacing w:val="1"/>
        </w:rPr>
        <w:t>m</w:t>
      </w:r>
      <w:r w:rsidRPr="00E3232D">
        <w:rPr>
          <w:rFonts w:ascii="Book Antiqua" w:hAnsi="Book Antiqua"/>
        </w:rPr>
        <w:t>e</w:t>
      </w:r>
      <w:r w:rsidRPr="00E3232D">
        <w:rPr>
          <w:rFonts w:ascii="Book Antiqua" w:hAnsi="Book Antiqua"/>
          <w:spacing w:val="6"/>
        </w:rPr>
        <w:t xml:space="preserve"> </w:t>
      </w:r>
      <w:r w:rsidRPr="00E3232D">
        <w:rPr>
          <w:rFonts w:ascii="Book Antiqua" w:hAnsi="Book Antiqua"/>
        </w:rPr>
        <w:t>(</w:t>
      </w:r>
      <w:r w:rsidRPr="00E3232D">
        <w:rPr>
          <w:rFonts w:ascii="Book Antiqua" w:hAnsi="Book Antiqua"/>
          <w:spacing w:val="-1"/>
        </w:rPr>
        <w:t>E</w:t>
      </w:r>
      <w:r w:rsidRPr="00E3232D">
        <w:rPr>
          <w:rFonts w:ascii="Book Antiqua" w:hAnsi="Book Antiqua"/>
        </w:rPr>
        <w:t>R</w:t>
      </w:r>
      <w:r w:rsidRPr="00E3232D">
        <w:rPr>
          <w:rFonts w:ascii="Book Antiqua" w:hAnsi="Book Antiqua"/>
          <w:spacing w:val="1"/>
        </w:rPr>
        <w:t>P</w:t>
      </w:r>
      <w:r w:rsidRPr="00E3232D">
        <w:rPr>
          <w:rFonts w:ascii="Book Antiqua" w:hAnsi="Book Antiqua"/>
        </w:rPr>
        <w:t>)/S</w:t>
      </w:r>
      <w:r w:rsidRPr="00E3232D">
        <w:rPr>
          <w:rFonts w:ascii="Book Antiqua" w:hAnsi="Book Antiqua"/>
          <w:spacing w:val="9"/>
        </w:rPr>
        <w:t>t</w:t>
      </w:r>
      <w:r w:rsidRPr="00E3232D">
        <w:rPr>
          <w:rFonts w:ascii="Book Antiqua" w:hAnsi="Book Antiqua"/>
        </w:rPr>
        <w:t>ru</w:t>
      </w:r>
      <w:r w:rsidRPr="00E3232D">
        <w:rPr>
          <w:rFonts w:ascii="Book Antiqua" w:hAnsi="Book Antiqua"/>
          <w:spacing w:val="-2"/>
        </w:rPr>
        <w:t>c</w:t>
      </w:r>
      <w:r w:rsidRPr="00E3232D">
        <w:rPr>
          <w:rFonts w:ascii="Book Antiqua" w:hAnsi="Book Antiqua"/>
        </w:rPr>
        <w:t>tur</w:t>
      </w:r>
      <w:r w:rsidRPr="00E3232D">
        <w:rPr>
          <w:rFonts w:ascii="Book Antiqua" w:hAnsi="Book Antiqua"/>
          <w:spacing w:val="-1"/>
        </w:rPr>
        <w:t>a</w:t>
      </w:r>
      <w:r w:rsidRPr="00E3232D">
        <w:rPr>
          <w:rFonts w:ascii="Book Antiqua" w:hAnsi="Book Antiqua"/>
        </w:rPr>
        <w:t>l Adjustment</w:t>
      </w:r>
      <w:r w:rsidRPr="00E3232D">
        <w:rPr>
          <w:rFonts w:ascii="Book Antiqua" w:hAnsi="Book Antiqua"/>
          <w:spacing w:val="1"/>
        </w:rPr>
        <w:t xml:space="preserve"> P</w:t>
      </w:r>
      <w:r w:rsidRPr="00E3232D">
        <w:rPr>
          <w:rFonts w:ascii="Book Antiqua" w:hAnsi="Book Antiqua"/>
        </w:rPr>
        <w:t>ro</w:t>
      </w:r>
      <w:r w:rsidRPr="00E3232D">
        <w:rPr>
          <w:rFonts w:ascii="Book Antiqua" w:hAnsi="Book Antiqua"/>
          <w:spacing w:val="-3"/>
        </w:rPr>
        <w:t>g</w:t>
      </w:r>
      <w:r w:rsidRPr="00E3232D">
        <w:rPr>
          <w:rFonts w:ascii="Book Antiqua" w:hAnsi="Book Antiqua"/>
          <w:spacing w:val="1"/>
        </w:rPr>
        <w:t>r</w:t>
      </w:r>
      <w:r w:rsidRPr="00E3232D">
        <w:rPr>
          <w:rFonts w:ascii="Book Antiqua" w:hAnsi="Book Antiqua"/>
          <w:spacing w:val="-1"/>
        </w:rPr>
        <w:t>a</w:t>
      </w:r>
      <w:r w:rsidRPr="00E3232D">
        <w:rPr>
          <w:rFonts w:ascii="Book Antiqua" w:hAnsi="Book Antiqua"/>
        </w:rPr>
        <w:t>m</w:t>
      </w:r>
      <w:r w:rsidRPr="00E3232D">
        <w:rPr>
          <w:rFonts w:ascii="Book Antiqua" w:hAnsi="Book Antiqua"/>
          <w:spacing w:val="1"/>
        </w:rPr>
        <w:t>m</w:t>
      </w:r>
      <w:r w:rsidRPr="00E3232D">
        <w:rPr>
          <w:rFonts w:ascii="Book Antiqua" w:hAnsi="Book Antiqua"/>
        </w:rPr>
        <w:t>e</w:t>
      </w:r>
      <w:r w:rsidRPr="00E3232D">
        <w:rPr>
          <w:rFonts w:ascii="Book Antiqua" w:hAnsi="Book Antiqua"/>
          <w:spacing w:val="2"/>
        </w:rPr>
        <w:t xml:space="preserve"> </w:t>
      </w:r>
      <w:r w:rsidRPr="00E3232D">
        <w:rPr>
          <w:rFonts w:ascii="Book Antiqua" w:hAnsi="Book Antiqua"/>
        </w:rPr>
        <w:t>(SAP) in</w:t>
      </w:r>
      <w:r w:rsidRPr="00E3232D">
        <w:rPr>
          <w:rFonts w:ascii="Book Antiqua" w:hAnsi="Book Antiqua"/>
          <w:spacing w:val="1"/>
        </w:rPr>
        <w:t xml:space="preserve"> </w:t>
      </w:r>
      <w:r w:rsidRPr="00E3232D">
        <w:rPr>
          <w:rFonts w:ascii="Book Antiqua" w:hAnsi="Book Antiqua"/>
        </w:rPr>
        <w:t>1983,</w:t>
      </w:r>
      <w:r w:rsidRPr="00E3232D">
        <w:rPr>
          <w:rFonts w:ascii="Book Antiqua" w:hAnsi="Book Antiqua"/>
          <w:spacing w:val="1"/>
        </w:rPr>
        <w:t xml:space="preserve"> </w:t>
      </w:r>
      <w:r w:rsidRPr="00E3232D">
        <w:rPr>
          <w:rFonts w:ascii="Book Antiqua" w:hAnsi="Book Antiqua"/>
        </w:rPr>
        <w:t>Go</w:t>
      </w:r>
      <w:r w:rsidRPr="00E3232D">
        <w:rPr>
          <w:rFonts w:ascii="Book Antiqua" w:hAnsi="Book Antiqua"/>
          <w:spacing w:val="2"/>
        </w:rPr>
        <w:t>v</w:t>
      </w:r>
      <w:r w:rsidRPr="00E3232D">
        <w:rPr>
          <w:rFonts w:ascii="Book Antiqua" w:hAnsi="Book Antiqua"/>
          <w:spacing w:val="-1"/>
        </w:rPr>
        <w:t>e</w:t>
      </w:r>
      <w:r w:rsidRPr="00E3232D">
        <w:rPr>
          <w:rFonts w:ascii="Book Antiqua" w:hAnsi="Book Antiqua"/>
        </w:rPr>
        <w:t>r</w:t>
      </w:r>
      <w:r w:rsidRPr="00E3232D">
        <w:rPr>
          <w:rFonts w:ascii="Book Antiqua" w:hAnsi="Book Antiqua"/>
          <w:spacing w:val="1"/>
        </w:rPr>
        <w:t>n</w:t>
      </w:r>
      <w:r w:rsidRPr="00E3232D">
        <w:rPr>
          <w:rFonts w:ascii="Book Antiqua" w:hAnsi="Book Antiqua"/>
        </w:rPr>
        <w:t>ment</w:t>
      </w:r>
      <w:r w:rsidRPr="00E3232D">
        <w:rPr>
          <w:rFonts w:ascii="Book Antiqua" w:hAnsi="Book Antiqua"/>
          <w:spacing w:val="1"/>
        </w:rPr>
        <w:t xml:space="preserve"> </w:t>
      </w:r>
      <w:r w:rsidRPr="00E3232D">
        <w:rPr>
          <w:rFonts w:ascii="Book Antiqua" w:hAnsi="Book Antiqua"/>
        </w:rPr>
        <w:t>of G</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na</w:t>
      </w:r>
      <w:r w:rsidRPr="00E3232D">
        <w:rPr>
          <w:rFonts w:ascii="Book Antiqua" w:hAnsi="Book Antiqua"/>
          <w:spacing w:val="2"/>
        </w:rPr>
        <w:t xml:space="preserve"> </w:t>
      </w:r>
      <w:r w:rsidRPr="00E3232D">
        <w:rPr>
          <w:rFonts w:ascii="Book Antiqua" w:hAnsi="Book Antiqua"/>
        </w:rPr>
        <w:t>ov</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rPr>
        <w:t>p</w:t>
      </w:r>
      <w:r w:rsidRPr="00E3232D">
        <w:rPr>
          <w:rFonts w:ascii="Book Antiqua" w:hAnsi="Book Antiqua"/>
          <w:spacing w:val="-1"/>
        </w:rPr>
        <w:t>a</w:t>
      </w:r>
      <w:r w:rsidRPr="00E3232D">
        <w:rPr>
          <w:rFonts w:ascii="Book Antiqua" w:hAnsi="Book Antiqua"/>
        </w:rPr>
        <w:t>st</w:t>
      </w:r>
      <w:r w:rsidRPr="00E3232D">
        <w:rPr>
          <w:rFonts w:ascii="Book Antiqua" w:hAnsi="Book Antiqua"/>
          <w:spacing w:val="1"/>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spacing w:val="-1"/>
        </w:rPr>
        <w:t>ca</w:t>
      </w:r>
      <w:r w:rsidRPr="00E3232D">
        <w:rPr>
          <w:rFonts w:ascii="Book Antiqua" w:hAnsi="Book Antiqua"/>
          <w:spacing w:val="2"/>
        </w:rPr>
        <w:t>d</w:t>
      </w:r>
      <w:r w:rsidRPr="00E3232D">
        <w:rPr>
          <w:rFonts w:ascii="Book Antiqua" w:hAnsi="Book Antiqua"/>
          <w:spacing w:val="-1"/>
        </w:rPr>
        <w:t>e</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s d</w:t>
      </w:r>
      <w:r w:rsidRPr="00E3232D">
        <w:rPr>
          <w:rFonts w:ascii="Book Antiqua" w:hAnsi="Book Antiqua"/>
          <w:spacing w:val="-1"/>
        </w:rPr>
        <w:t>e</w:t>
      </w:r>
      <w:r w:rsidRPr="00E3232D">
        <w:rPr>
          <w:rFonts w:ascii="Book Antiqua" w:hAnsi="Book Antiqua"/>
        </w:rPr>
        <w:t>si</w:t>
      </w:r>
      <w:r w:rsidRPr="00E3232D">
        <w:rPr>
          <w:rFonts w:ascii="Book Antiqua" w:hAnsi="Book Antiqua"/>
          <w:spacing w:val="-2"/>
        </w:rPr>
        <w:t>g</w:t>
      </w:r>
      <w:r w:rsidRPr="00E3232D">
        <w:rPr>
          <w:rFonts w:ascii="Book Antiqua" w:hAnsi="Book Antiqua"/>
        </w:rPr>
        <w:t>n</w:t>
      </w:r>
      <w:r w:rsidRPr="00E3232D">
        <w:rPr>
          <w:rFonts w:ascii="Book Antiqua" w:hAnsi="Book Antiqua"/>
          <w:spacing w:val="-1"/>
        </w:rPr>
        <w:t>e</w:t>
      </w:r>
      <w:r w:rsidRPr="00E3232D">
        <w:rPr>
          <w:rFonts w:ascii="Book Antiqua" w:hAnsi="Book Antiqua"/>
        </w:rPr>
        <w:t>d</w:t>
      </w:r>
      <w:r w:rsidRPr="00E3232D">
        <w:rPr>
          <w:rFonts w:ascii="Book Antiqua" w:hAnsi="Book Antiqua"/>
          <w:spacing w:val="1"/>
        </w:rPr>
        <w:t xml:space="preserve"> </w:t>
      </w:r>
      <w:r w:rsidRPr="00E3232D">
        <w:rPr>
          <w:rFonts w:ascii="Book Antiqua" w:hAnsi="Book Antiqua"/>
        </w:rPr>
        <w:t>pol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spacing w:val="3"/>
        </w:rPr>
        <w:t>i</w:t>
      </w:r>
      <w:r w:rsidRPr="00E3232D">
        <w:rPr>
          <w:rFonts w:ascii="Book Antiqua" w:hAnsi="Book Antiqua"/>
          <w:spacing w:val="-1"/>
        </w:rPr>
        <w:t>e</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2"/>
        </w:rPr>
        <w:t>e</w:t>
      </w:r>
      <w:r w:rsidRPr="00E3232D">
        <w:rPr>
          <w:rFonts w:ascii="Book Antiqua" w:hAnsi="Book Antiqua"/>
          <w:spacing w:val="-1"/>
        </w:rPr>
        <w:t>a</w:t>
      </w:r>
      <w:r w:rsidRPr="00E3232D">
        <w:rPr>
          <w:rFonts w:ascii="Book Antiqua" w:hAnsi="Book Antiqua"/>
        </w:rPr>
        <w:t>sur</w:t>
      </w:r>
      <w:r w:rsidRPr="00E3232D">
        <w:rPr>
          <w:rFonts w:ascii="Book Antiqua" w:hAnsi="Book Antiqua"/>
          <w:spacing w:val="-1"/>
        </w:rPr>
        <w:t>e</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nh</w:t>
      </w:r>
      <w:r w:rsidRPr="00E3232D">
        <w:rPr>
          <w:rFonts w:ascii="Book Antiqua" w:hAnsi="Book Antiqua"/>
          <w:spacing w:val="-1"/>
        </w:rPr>
        <w:t>a</w:t>
      </w:r>
      <w:r w:rsidRPr="00E3232D">
        <w:rPr>
          <w:rFonts w:ascii="Book Antiqua" w:hAnsi="Book Antiqua"/>
          <w:spacing w:val="2"/>
        </w:rPr>
        <w:t>n</w:t>
      </w:r>
      <w:r w:rsidRPr="00E3232D">
        <w:rPr>
          <w:rFonts w:ascii="Book Antiqua" w:hAnsi="Book Antiqua"/>
          <w:spacing w:val="-1"/>
        </w:rPr>
        <w:t>c</w:t>
      </w:r>
      <w:r w:rsidRPr="00E3232D">
        <w:rPr>
          <w:rFonts w:ascii="Book Antiqua" w:hAnsi="Book Antiqua"/>
        </w:rPr>
        <w:t>e</w:t>
      </w:r>
      <w:r w:rsidRPr="00E3232D">
        <w:rPr>
          <w:rFonts w:ascii="Book Antiqua" w:hAnsi="Book Antiqua"/>
          <w:spacing w:val="2"/>
        </w:rPr>
        <w:t xml:space="preserve"> </w:t>
      </w:r>
      <w:r w:rsidRPr="00E3232D">
        <w:rPr>
          <w:rFonts w:ascii="Book Antiqua" w:hAnsi="Book Antiqua"/>
          <w:spacing w:val="-2"/>
        </w:rPr>
        <w:t>g</w:t>
      </w:r>
      <w:r w:rsidRPr="00E3232D">
        <w:rPr>
          <w:rFonts w:ascii="Book Antiqua" w:hAnsi="Book Antiqua"/>
        </w:rPr>
        <w:t>r</w:t>
      </w:r>
      <w:r w:rsidRPr="00E3232D">
        <w:rPr>
          <w:rFonts w:ascii="Book Antiqua" w:hAnsi="Book Antiqua"/>
          <w:spacing w:val="1"/>
        </w:rPr>
        <w:t>o</w:t>
      </w:r>
      <w:r w:rsidRPr="00E3232D">
        <w:rPr>
          <w:rFonts w:ascii="Book Antiqua" w:hAnsi="Book Antiqua"/>
        </w:rPr>
        <w:t>wth</w:t>
      </w:r>
      <w:r w:rsidRPr="00E3232D">
        <w:rPr>
          <w:rFonts w:ascii="Book Antiqua" w:hAnsi="Book Antiqua"/>
          <w:spacing w:val="1"/>
        </w:rPr>
        <w:t xml:space="preserve"> </w:t>
      </w:r>
      <w:r w:rsidRPr="00E3232D">
        <w:rPr>
          <w:rFonts w:ascii="Book Antiqua" w:hAnsi="Book Antiqua"/>
        </w:rPr>
        <w:t>of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w:t>
      </w:r>
      <w:r w:rsidRPr="00E3232D">
        <w:rPr>
          <w:rFonts w:ascii="Book Antiqua" w:hAnsi="Book Antiqua"/>
          <w:spacing w:val="4"/>
        </w:rPr>
        <w:t xml:space="preserve"> </w:t>
      </w:r>
      <w:r w:rsidRPr="00E3232D">
        <w:rPr>
          <w:rFonts w:ascii="Book Antiqua" w:hAnsi="Book Antiqua"/>
          <w:spacing w:val="-1"/>
        </w:rPr>
        <w:t>ac</w:t>
      </w:r>
      <w:r w:rsidRPr="00E3232D">
        <w:rPr>
          <w:rFonts w:ascii="Book Antiqua" w:hAnsi="Book Antiqua"/>
        </w:rPr>
        <w:t>t</w:t>
      </w:r>
      <w:r w:rsidRPr="00E3232D">
        <w:rPr>
          <w:rFonts w:ascii="Book Antiqua" w:hAnsi="Book Antiqua"/>
          <w:spacing w:val="1"/>
        </w:rPr>
        <w:t>i</w:t>
      </w:r>
      <w:r w:rsidRPr="00E3232D">
        <w:rPr>
          <w:rFonts w:ascii="Book Antiqua" w:hAnsi="Book Antiqua"/>
        </w:rPr>
        <w:t>vi</w:t>
      </w:r>
      <w:r w:rsidRPr="00E3232D">
        <w:rPr>
          <w:rFonts w:ascii="Book Antiqua" w:hAnsi="Book Antiqua"/>
          <w:spacing w:val="1"/>
        </w:rPr>
        <w:t>t</w:t>
      </w:r>
      <w:r w:rsidRPr="00E3232D">
        <w:rPr>
          <w:rFonts w:ascii="Book Antiqua" w:hAnsi="Book Antiqua"/>
        </w:rPr>
        <w:t>ies</w:t>
      </w:r>
      <w:r w:rsidRPr="00E3232D">
        <w:rPr>
          <w:rFonts w:ascii="Book Antiqua" w:hAnsi="Book Antiqua"/>
          <w:spacing w:val="1"/>
        </w:rPr>
        <w:t xml:space="preserve"> </w:t>
      </w:r>
      <w:r w:rsidRPr="00E3232D">
        <w:rPr>
          <w:rFonts w:ascii="Book Antiqua" w:hAnsi="Book Antiqua"/>
        </w:rPr>
        <w:t>(Wo</w:t>
      </w:r>
      <w:r w:rsidRPr="00E3232D">
        <w:rPr>
          <w:rFonts w:ascii="Book Antiqua" w:hAnsi="Book Antiqua"/>
          <w:spacing w:val="-1"/>
        </w:rPr>
        <w:t>r</w:t>
      </w:r>
      <w:r w:rsidRPr="00E3232D">
        <w:rPr>
          <w:rFonts w:ascii="Book Antiqua" w:hAnsi="Book Antiqua"/>
        </w:rPr>
        <w:t xml:space="preserve">ld </w:t>
      </w:r>
      <w:r w:rsidRPr="00E3232D">
        <w:rPr>
          <w:rFonts w:ascii="Book Antiqua" w:hAnsi="Book Antiqua"/>
          <w:spacing w:val="-2"/>
        </w:rPr>
        <w:t>B</w:t>
      </w:r>
      <w:r w:rsidRPr="00E3232D">
        <w:rPr>
          <w:rFonts w:ascii="Book Antiqua" w:hAnsi="Book Antiqua"/>
          <w:spacing w:val="-1"/>
        </w:rPr>
        <w:t>a</w:t>
      </w:r>
      <w:r w:rsidRPr="00E3232D">
        <w:rPr>
          <w:rFonts w:ascii="Book Antiqua" w:hAnsi="Book Antiqua"/>
        </w:rPr>
        <w:t>nk,</w:t>
      </w:r>
      <w:r w:rsidRPr="00E3232D">
        <w:rPr>
          <w:rFonts w:ascii="Book Antiqua" w:hAnsi="Book Antiqua"/>
          <w:spacing w:val="1"/>
        </w:rPr>
        <w:t xml:space="preserve"> </w:t>
      </w:r>
      <w:r w:rsidRPr="00E3232D">
        <w:rPr>
          <w:rFonts w:ascii="Book Antiqua" w:hAnsi="Book Antiqua"/>
        </w:rPr>
        <w:t>1983</w:t>
      </w:r>
      <w:r w:rsidRPr="00E3232D">
        <w:rPr>
          <w:rFonts w:ascii="Book Antiqua" w:hAnsi="Book Antiqua"/>
          <w:spacing w:val="-1"/>
        </w:rPr>
        <w:t>)</w:t>
      </w:r>
      <w:r w:rsidRPr="00E3232D">
        <w:rPr>
          <w:rFonts w:ascii="Book Antiqua" w:hAnsi="Book Antiqua"/>
        </w:rPr>
        <w:t>.</w:t>
      </w:r>
      <w:r w:rsidRPr="00E3232D">
        <w:rPr>
          <w:rFonts w:ascii="Book Antiqua" w:hAnsi="Book Antiqua"/>
          <w:spacing w:val="1"/>
        </w:rPr>
        <w:t xml:space="preserve"> P</w:t>
      </w:r>
      <w:r w:rsidRPr="00E3232D">
        <w:rPr>
          <w:rFonts w:ascii="Book Antiqua" w:hAnsi="Book Antiqua"/>
        </w:rPr>
        <w:t>otential</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spacing w:val="2"/>
        </w:rPr>
        <w:t>p</w:t>
      </w:r>
      <w:r w:rsidRPr="00E3232D">
        <w:rPr>
          <w:rFonts w:ascii="Book Antiqua" w:hAnsi="Book Antiqua"/>
        </w:rPr>
        <w:t>r</w:t>
      </w:r>
      <w:r w:rsidRPr="00E3232D">
        <w:rPr>
          <w:rFonts w:ascii="Book Antiqua" w:hAnsi="Book Antiqua"/>
          <w:spacing w:val="-2"/>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 xml:space="preserve">rs </w:t>
      </w:r>
      <w:r w:rsidRPr="00E3232D">
        <w:rPr>
          <w:rFonts w:ascii="Book Antiqua" w:hAnsi="Book Antiqua"/>
          <w:spacing w:val="-1"/>
        </w:rPr>
        <w:t>e</w:t>
      </w:r>
      <w:r w:rsidRPr="00E3232D">
        <w:rPr>
          <w:rFonts w:ascii="Book Antiqua" w:hAnsi="Book Antiqua"/>
          <w:spacing w:val="2"/>
        </w:rPr>
        <w:t>n</w:t>
      </w:r>
      <w:r w:rsidRPr="00E3232D">
        <w:rPr>
          <w:rFonts w:ascii="Book Antiqua" w:hAnsi="Book Antiqua"/>
        </w:rPr>
        <w:t>g</w:t>
      </w:r>
      <w:r w:rsidRPr="00E3232D">
        <w:rPr>
          <w:rFonts w:ascii="Book Antiqua" w:hAnsi="Book Antiqua"/>
          <w:spacing w:val="1"/>
        </w:rPr>
        <w:t>a</w:t>
      </w:r>
      <w:r w:rsidRPr="00E3232D">
        <w:rPr>
          <w:rFonts w:ascii="Book Antiqua" w:hAnsi="Book Antiqua"/>
          <w:spacing w:val="-2"/>
        </w:rPr>
        <w:t>g</w:t>
      </w:r>
      <w:r w:rsidRPr="00E3232D">
        <w:rPr>
          <w:rFonts w:ascii="Book Antiqua" w:hAnsi="Book Antiqua"/>
        </w:rPr>
        <w:t>e in</w:t>
      </w:r>
      <w:r w:rsidRPr="00E3232D">
        <w:rPr>
          <w:rFonts w:ascii="Book Antiqua" w:hAnsi="Book Antiqua"/>
          <w:spacing w:val="1"/>
        </w:rPr>
        <w:t xml:space="preserve"> </w:t>
      </w:r>
      <w:r w:rsidRPr="00E3232D">
        <w:rPr>
          <w:rFonts w:ascii="Book Antiqua" w:hAnsi="Book Antiqua"/>
        </w:rPr>
        <w:t xml:space="preserve">the </w:t>
      </w:r>
      <w:r w:rsidRPr="00E3232D">
        <w:rPr>
          <w:rFonts w:ascii="Book Antiqua" w:hAnsi="Book Antiqua"/>
          <w:spacing w:val="-1"/>
        </w:rPr>
        <w:t>e</w:t>
      </w:r>
      <w:r w:rsidRPr="00E3232D">
        <w:rPr>
          <w:rFonts w:ascii="Book Antiqua" w:hAnsi="Book Antiqua"/>
        </w:rPr>
        <w:t>st</w:t>
      </w:r>
      <w:r w:rsidRPr="00E3232D">
        <w:rPr>
          <w:rFonts w:ascii="Book Antiqua" w:hAnsi="Book Antiqua"/>
          <w:spacing w:val="7"/>
        </w:rPr>
        <w:t>a</w:t>
      </w:r>
      <w:r w:rsidRPr="00E3232D">
        <w:rPr>
          <w:rFonts w:ascii="Book Antiqua" w:hAnsi="Book Antiqua"/>
        </w:rPr>
        <w:t>bl</w:t>
      </w:r>
      <w:r w:rsidRPr="00E3232D">
        <w:rPr>
          <w:rFonts w:ascii="Book Antiqua" w:hAnsi="Book Antiqua"/>
          <w:spacing w:val="1"/>
        </w:rPr>
        <w:t>i</w:t>
      </w:r>
      <w:r w:rsidRPr="00E3232D">
        <w:rPr>
          <w:rFonts w:ascii="Book Antiqua" w:hAnsi="Book Antiqua"/>
        </w:rPr>
        <w:t>shment</w:t>
      </w:r>
      <w:r w:rsidRPr="00E3232D">
        <w:rPr>
          <w:rFonts w:ascii="Book Antiqua" w:hAnsi="Book Antiqua"/>
          <w:spacing w:val="1"/>
        </w:rPr>
        <w:t xml:space="preserve"> </w:t>
      </w:r>
      <w:r w:rsidRPr="00E3232D">
        <w:rPr>
          <w:rFonts w:ascii="Book Antiqua" w:hAnsi="Book Antiqua"/>
        </w:rPr>
        <w:t>of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nte</w:t>
      </w:r>
      <w:r w:rsidRPr="00E3232D">
        <w:rPr>
          <w:rFonts w:ascii="Book Antiqua" w:hAnsi="Book Antiqua"/>
          <w:spacing w:val="-1"/>
        </w:rPr>
        <w:t>r</w:t>
      </w:r>
      <w:r w:rsidRPr="00E3232D">
        <w:rPr>
          <w:rFonts w:ascii="Book Antiqua" w:hAnsi="Book Antiqua"/>
        </w:rPr>
        <w:t>p</w:t>
      </w:r>
      <w:r w:rsidRPr="00E3232D">
        <w:rPr>
          <w:rFonts w:ascii="Book Antiqua" w:hAnsi="Book Antiqua"/>
          <w:spacing w:val="-1"/>
        </w:rPr>
        <w:t>r</w:t>
      </w:r>
      <w:r w:rsidRPr="00E3232D">
        <w:rPr>
          <w:rFonts w:ascii="Book Antiqua" w:hAnsi="Book Antiqua"/>
        </w:rPr>
        <w:t>ises</w:t>
      </w:r>
      <w:r w:rsidRPr="00E3232D">
        <w:rPr>
          <w:rFonts w:ascii="Book Antiqua" w:hAnsi="Book Antiqua"/>
          <w:spacing w:val="5"/>
        </w:rPr>
        <w:t xml:space="preserve"> </w:t>
      </w:r>
      <w:r w:rsidRPr="00E3232D">
        <w:rPr>
          <w:rFonts w:ascii="Book Antiqua" w:hAnsi="Book Antiqua"/>
          <w:spacing w:val="-1"/>
        </w:rPr>
        <w:t>e</w:t>
      </w:r>
      <w:r w:rsidRPr="00E3232D">
        <w:rPr>
          <w:rFonts w:ascii="Book Antiqua" w:hAnsi="Book Antiqua"/>
        </w:rPr>
        <w:t>i</w:t>
      </w:r>
      <w:r w:rsidRPr="00E3232D">
        <w:rPr>
          <w:rFonts w:ascii="Book Antiqua" w:hAnsi="Book Antiqua"/>
          <w:spacing w:val="1"/>
        </w:rPr>
        <w:t>t</w:t>
      </w:r>
      <w:r w:rsidRPr="00E3232D">
        <w:rPr>
          <w:rFonts w:ascii="Book Antiqua" w:hAnsi="Book Antiqua"/>
        </w:rPr>
        <w:t>h</w:t>
      </w:r>
      <w:r w:rsidRPr="00E3232D">
        <w:rPr>
          <w:rFonts w:ascii="Book Antiqua" w:hAnsi="Book Antiqua"/>
          <w:spacing w:val="1"/>
        </w:rPr>
        <w:t>e</w:t>
      </w:r>
      <w:r w:rsidRPr="00E3232D">
        <w:rPr>
          <w:rFonts w:ascii="Book Antiqua" w:hAnsi="Book Antiqua"/>
        </w:rPr>
        <w:t>r</w:t>
      </w:r>
      <w:r w:rsidRPr="00E3232D">
        <w:rPr>
          <w:rFonts w:ascii="Book Antiqua" w:hAnsi="Book Antiqua"/>
          <w:spacing w:val="4"/>
        </w:rPr>
        <w:t xml:space="preserve"> </w:t>
      </w:r>
      <w:r w:rsidRPr="00E3232D">
        <w:rPr>
          <w:rFonts w:ascii="Book Antiqua" w:hAnsi="Book Antiqua"/>
        </w:rPr>
        <w:t>in</w:t>
      </w:r>
      <w:r w:rsidRPr="00E3232D">
        <w:rPr>
          <w:rFonts w:ascii="Book Antiqua" w:hAnsi="Book Antiqua"/>
          <w:spacing w:val="5"/>
        </w:rPr>
        <w:t xml:space="preserve"> </w:t>
      </w:r>
      <w:r w:rsidRPr="00E3232D">
        <w:rPr>
          <w:rFonts w:ascii="Book Antiqua" w:hAnsi="Book Antiqua"/>
        </w:rPr>
        <w:t>ru</w:t>
      </w:r>
      <w:r w:rsidRPr="00E3232D">
        <w:rPr>
          <w:rFonts w:ascii="Book Antiqua" w:hAnsi="Book Antiqua"/>
          <w:spacing w:val="-1"/>
        </w:rPr>
        <w:t>r</w:t>
      </w:r>
      <w:r w:rsidRPr="00E3232D">
        <w:rPr>
          <w:rFonts w:ascii="Book Antiqua" w:hAnsi="Book Antiqua"/>
          <w:spacing w:val="1"/>
        </w:rPr>
        <w:t>a</w:t>
      </w:r>
      <w:r w:rsidRPr="00E3232D">
        <w:rPr>
          <w:rFonts w:ascii="Book Antiqua" w:hAnsi="Book Antiqua"/>
        </w:rPr>
        <w:t>l</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e</w:t>
      </w:r>
      <w:r w:rsidRPr="00E3232D">
        <w:rPr>
          <w:rFonts w:ascii="Book Antiqua" w:hAnsi="Book Antiqua"/>
          <w:spacing w:val="-1"/>
        </w:rPr>
        <w:t>a</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rPr>
        <w:t>or</w:t>
      </w:r>
      <w:r w:rsidRPr="00E3232D">
        <w:rPr>
          <w:rFonts w:ascii="Book Antiqua" w:hAnsi="Book Antiqua"/>
          <w:spacing w:val="4"/>
        </w:rPr>
        <w:t xml:space="preserve"> </w:t>
      </w:r>
      <w:r w:rsidRPr="00E3232D">
        <w:rPr>
          <w:rFonts w:ascii="Book Antiqua" w:hAnsi="Book Antiqua"/>
        </w:rPr>
        <w:t>u</w:t>
      </w:r>
      <w:r w:rsidRPr="00E3232D">
        <w:rPr>
          <w:rFonts w:ascii="Book Antiqua" w:hAnsi="Book Antiqua"/>
          <w:spacing w:val="-1"/>
        </w:rPr>
        <w:t>r</w:t>
      </w:r>
      <w:r w:rsidRPr="00E3232D">
        <w:rPr>
          <w:rFonts w:ascii="Book Antiqua" w:hAnsi="Book Antiqua"/>
          <w:spacing w:val="2"/>
        </w:rPr>
        <w:t>b</w:t>
      </w:r>
      <w:r w:rsidRPr="00E3232D">
        <w:rPr>
          <w:rFonts w:ascii="Book Antiqua" w:hAnsi="Book Antiqua"/>
          <w:spacing w:val="-1"/>
        </w:rPr>
        <w:t>a</w:t>
      </w:r>
      <w:r w:rsidRPr="00E3232D">
        <w:rPr>
          <w:rFonts w:ascii="Book Antiqua" w:hAnsi="Book Antiqua"/>
        </w:rPr>
        <w:t>n</w:t>
      </w:r>
      <w:r w:rsidRPr="00E3232D">
        <w:rPr>
          <w:rFonts w:ascii="Book Antiqua" w:hAnsi="Book Antiqua"/>
          <w:spacing w:val="5"/>
        </w:rPr>
        <w:t xml:space="preserve"> </w:t>
      </w:r>
      <w:r w:rsidRPr="00E3232D">
        <w:rPr>
          <w:rFonts w:ascii="Book Antiqua" w:hAnsi="Book Antiqua"/>
          <w:spacing w:val="-1"/>
        </w:rPr>
        <w:t>ce</w:t>
      </w:r>
      <w:r w:rsidRPr="00E3232D">
        <w:rPr>
          <w:rFonts w:ascii="Book Antiqua" w:hAnsi="Book Antiqua"/>
        </w:rPr>
        <w:t>n</w:t>
      </w:r>
      <w:r w:rsidRPr="00E3232D">
        <w:rPr>
          <w:rFonts w:ascii="Book Antiqua" w:hAnsi="Book Antiqua"/>
          <w:spacing w:val="3"/>
        </w:rPr>
        <w:t>t</w:t>
      </w:r>
      <w:r w:rsidRPr="00E3232D">
        <w:rPr>
          <w:rFonts w:ascii="Book Antiqua" w:hAnsi="Book Antiqua"/>
          <w:spacing w:val="-1"/>
        </w:rPr>
        <w:t>e</w:t>
      </w:r>
      <w:r w:rsidRPr="00E3232D">
        <w:rPr>
          <w:rFonts w:ascii="Book Antiqua" w:hAnsi="Book Antiqua"/>
        </w:rPr>
        <w:t>r.</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p</w:t>
      </w:r>
      <w:r w:rsidRPr="00E3232D">
        <w:rPr>
          <w:rFonts w:ascii="Book Antiqua" w:hAnsi="Book Antiqua"/>
          <w:spacing w:val="-1"/>
        </w:rPr>
        <w:t>e</w:t>
      </w:r>
      <w:r w:rsidRPr="00E3232D">
        <w:rPr>
          <w:rFonts w:ascii="Book Antiqua" w:hAnsi="Book Antiqua"/>
        </w:rPr>
        <w:t>rc</w:t>
      </w:r>
      <w:r w:rsidRPr="00E3232D">
        <w:rPr>
          <w:rFonts w:ascii="Book Antiqua" w:hAnsi="Book Antiqua"/>
          <w:spacing w:val="-1"/>
        </w:rPr>
        <w:t>e</w:t>
      </w:r>
      <w:r w:rsidRPr="00E3232D">
        <w:rPr>
          <w:rFonts w:ascii="Book Antiqua" w:hAnsi="Book Antiqua"/>
        </w:rPr>
        <w:t>pt</w:t>
      </w:r>
      <w:r w:rsidRPr="00E3232D">
        <w:rPr>
          <w:rFonts w:ascii="Book Antiqua" w:hAnsi="Book Antiqua"/>
          <w:spacing w:val="1"/>
        </w:rPr>
        <w:t>i</w:t>
      </w:r>
      <w:r w:rsidRPr="00E3232D">
        <w:rPr>
          <w:rFonts w:ascii="Book Antiqua" w:hAnsi="Book Antiqua"/>
        </w:rPr>
        <w:t>on</w:t>
      </w:r>
      <w:r w:rsidRPr="00E3232D">
        <w:rPr>
          <w:rFonts w:ascii="Book Antiqua" w:hAnsi="Book Antiqua"/>
          <w:spacing w:val="5"/>
        </w:rPr>
        <w:t xml:space="preserve"> </w:t>
      </w:r>
      <w:r w:rsidRPr="00E3232D">
        <w:rPr>
          <w:rFonts w:ascii="Book Antiqua" w:hAnsi="Book Antiqua"/>
        </w:rPr>
        <w:t>is</w:t>
      </w:r>
      <w:r w:rsidRPr="00E3232D">
        <w:rPr>
          <w:rFonts w:ascii="Book Antiqua" w:hAnsi="Book Antiqua"/>
          <w:spacing w:val="6"/>
        </w:rPr>
        <w:t xml:space="preserve"> </w:t>
      </w:r>
      <w:r w:rsidRPr="00E3232D">
        <w:rPr>
          <w:rFonts w:ascii="Book Antiqua" w:hAnsi="Book Antiqua"/>
        </w:rPr>
        <w:t>that</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majo</w:t>
      </w:r>
      <w:r w:rsidRPr="00E3232D">
        <w:rPr>
          <w:rFonts w:ascii="Book Antiqua" w:hAnsi="Book Antiqua"/>
          <w:spacing w:val="-1"/>
        </w:rPr>
        <w:t>r</w:t>
      </w:r>
      <w:r w:rsidRPr="00E3232D">
        <w:rPr>
          <w:rFonts w:ascii="Book Antiqua" w:hAnsi="Book Antiqua"/>
        </w:rPr>
        <w:t>i</w:t>
      </w:r>
      <w:r w:rsidRPr="00E3232D">
        <w:rPr>
          <w:rFonts w:ascii="Book Antiqua" w:hAnsi="Book Antiqua"/>
          <w:spacing w:val="3"/>
        </w:rPr>
        <w:t>t</w:t>
      </w:r>
      <w:r w:rsidRPr="00E3232D">
        <w:rPr>
          <w:rFonts w:ascii="Book Antiqua" w:hAnsi="Book Antiqua"/>
        </w:rPr>
        <w:t>y of</w:t>
      </w:r>
      <w:r w:rsidRPr="00E3232D">
        <w:rPr>
          <w:rFonts w:ascii="Book Antiqua" w:hAnsi="Book Antiqua"/>
          <w:spacing w:val="4"/>
        </w:rPr>
        <w:t xml:space="preserve"> </w:t>
      </w:r>
      <w:r w:rsidRPr="00E3232D">
        <w:rPr>
          <w:rFonts w:ascii="Book Antiqua" w:hAnsi="Book Antiqua"/>
        </w:rPr>
        <w:t>the</w:t>
      </w:r>
      <w:r w:rsidRPr="00E3232D">
        <w:rPr>
          <w:rFonts w:ascii="Book Antiqua" w:hAnsi="Book Antiqua"/>
          <w:spacing w:val="2"/>
        </w:rPr>
        <w:t>s</w:t>
      </w:r>
      <w:r w:rsidRPr="00E3232D">
        <w:rPr>
          <w:rFonts w:ascii="Book Antiqua" w:hAnsi="Book Antiqua"/>
        </w:rPr>
        <w:t>e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spacing w:val="1"/>
        </w:rPr>
        <w:t>r</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rPr>
        <w:t>poor</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rPr>
        <w:t>pursuing tr</w:t>
      </w:r>
      <w:r w:rsidRPr="00E3232D">
        <w:rPr>
          <w:rFonts w:ascii="Book Antiqua" w:hAnsi="Book Antiqua"/>
          <w:spacing w:val="-1"/>
        </w:rPr>
        <w:t>a</w:t>
      </w:r>
      <w:r w:rsidRPr="00E3232D">
        <w:rPr>
          <w:rFonts w:ascii="Book Antiqua" w:hAnsi="Book Antiqua"/>
          <w:spacing w:val="2"/>
        </w:rPr>
        <w:t>d</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3"/>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2"/>
        </w:rPr>
        <w:t>x</w:t>
      </w:r>
      <w:r w:rsidRPr="00E3232D">
        <w:rPr>
          <w:rFonts w:ascii="Book Antiqua" w:hAnsi="Book Antiqua"/>
          <w:spacing w:val="-1"/>
        </w:rPr>
        <w:t>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rPr>
        <w:t>blessin</w:t>
      </w:r>
      <w:r w:rsidRPr="00E3232D">
        <w:rPr>
          <w:rFonts w:ascii="Book Antiqua" w:hAnsi="Book Antiqua"/>
          <w:spacing w:val="-2"/>
        </w:rPr>
        <w:t>g</w:t>
      </w:r>
      <w:r w:rsidRPr="00E3232D">
        <w:rPr>
          <w:rFonts w:ascii="Book Antiqua" w:hAnsi="Book Antiqua"/>
        </w:rPr>
        <w:t xml:space="preserve">. </w:t>
      </w:r>
      <w:r w:rsidRPr="00E3232D">
        <w:rPr>
          <w:rFonts w:ascii="Book Antiqua" w:hAnsi="Book Antiqua"/>
          <w:spacing w:val="1"/>
        </w:rPr>
        <w:t>W</w:t>
      </w:r>
      <w:r w:rsidRPr="00E3232D">
        <w:rPr>
          <w:rFonts w:ascii="Book Antiqua" w:hAnsi="Book Antiqua"/>
        </w:rPr>
        <w:t>h</w:t>
      </w:r>
      <w:r w:rsidRPr="00E3232D">
        <w:rPr>
          <w:rFonts w:ascii="Book Antiqua" w:hAnsi="Book Antiqua"/>
          <w:spacing w:val="-2"/>
        </w:rPr>
        <w:t>i</w:t>
      </w:r>
      <w:r w:rsidRPr="00E3232D">
        <w:rPr>
          <w:rFonts w:ascii="Book Antiqua" w:hAnsi="Book Antiqua"/>
        </w:rPr>
        <w:t>le</w:t>
      </w:r>
      <w:r w:rsidRPr="00E3232D">
        <w:rPr>
          <w:rFonts w:ascii="Book Antiqua" w:hAnsi="Book Antiqua"/>
          <w:spacing w:val="2"/>
        </w:rPr>
        <w:t xml:space="preserve"> </w:t>
      </w:r>
      <w:r w:rsidRPr="00E3232D">
        <w:rPr>
          <w:rFonts w:ascii="Book Antiqua" w:hAnsi="Book Antiqua"/>
        </w:rPr>
        <w:t>it</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bsorbs</w:t>
      </w:r>
      <w:r w:rsidRPr="00E3232D">
        <w:rPr>
          <w:rFonts w:ascii="Book Antiqua" w:hAnsi="Book Antiqua"/>
          <w:spacing w:val="2"/>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rPr>
        <w:t>l</w:t>
      </w:r>
      <w:r w:rsidRPr="00E3232D">
        <w:rPr>
          <w:rFonts w:ascii="Book Antiqua" w:hAnsi="Book Antiqua"/>
          <w:spacing w:val="1"/>
        </w:rPr>
        <w:t>l</w:t>
      </w:r>
      <w:r w:rsidRPr="00E3232D">
        <w:rPr>
          <w:rFonts w:ascii="Book Antiqua" w:hAnsi="Book Antiqua"/>
        </w:rPr>
        <w:t>io</w:t>
      </w:r>
      <w:r w:rsidRPr="00E3232D">
        <w:rPr>
          <w:rFonts w:ascii="Book Antiqua" w:hAnsi="Book Antiqua"/>
          <w:spacing w:val="-2"/>
        </w:rPr>
        <w:t>n</w:t>
      </w:r>
      <w:r w:rsidRPr="00E3232D">
        <w:rPr>
          <w:rFonts w:ascii="Book Antiqua" w:hAnsi="Book Antiqua"/>
        </w:rPr>
        <w:t>s who</w:t>
      </w:r>
      <w:r w:rsidRPr="00E3232D">
        <w:rPr>
          <w:rFonts w:ascii="Book Antiqua" w:hAnsi="Book Antiqua"/>
          <w:spacing w:val="4"/>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ve</w:t>
      </w:r>
      <w:r w:rsidRPr="00E3232D">
        <w:rPr>
          <w:rFonts w:ascii="Book Antiqua" w:hAnsi="Book Antiqua"/>
          <w:spacing w:val="4"/>
        </w:rPr>
        <w:t xml:space="preserve"> </w:t>
      </w:r>
      <w:r w:rsidRPr="00E3232D">
        <w:rPr>
          <w:rFonts w:ascii="Book Antiqua" w:hAnsi="Book Antiqua"/>
        </w:rPr>
        <w:t>no</w:t>
      </w:r>
      <w:r w:rsidRPr="00E3232D">
        <w:rPr>
          <w:rFonts w:ascii="Book Antiqua" w:hAnsi="Book Antiqua"/>
          <w:spacing w:val="5"/>
        </w:rPr>
        <w:t xml:space="preserve"> </w:t>
      </w:r>
      <w:r w:rsidRPr="00E3232D">
        <w:rPr>
          <w:rFonts w:ascii="Book Antiqua" w:hAnsi="Book Antiqua"/>
          <w:spacing w:val="2"/>
        </w:rPr>
        <w:t>w</w:t>
      </w:r>
      <w:r w:rsidRPr="00E3232D">
        <w:rPr>
          <w:rFonts w:ascii="Book Antiqua" w:hAnsi="Book Antiqua"/>
          <w:spacing w:val="4"/>
        </w:rPr>
        <w:t>a</w:t>
      </w:r>
      <w:r w:rsidRPr="00E3232D">
        <w:rPr>
          <w:rFonts w:ascii="Book Antiqua" w:hAnsi="Book Antiqua"/>
        </w:rPr>
        <w:t>y of</w:t>
      </w:r>
      <w:r w:rsidRPr="00E3232D">
        <w:rPr>
          <w:rFonts w:ascii="Book Antiqua" w:hAnsi="Book Antiqua"/>
          <w:spacing w:val="4"/>
        </w:rPr>
        <w:t xml:space="preserve"> </w:t>
      </w:r>
      <w:r w:rsidRPr="00E3232D">
        <w:rPr>
          <w:rFonts w:ascii="Book Antiqua" w:hAnsi="Book Antiqua"/>
          <w:spacing w:val="2"/>
        </w:rPr>
        <w:t>p</w:t>
      </w:r>
      <w:r w:rsidRPr="00E3232D">
        <w:rPr>
          <w:rFonts w:ascii="Book Antiqua" w:hAnsi="Book Antiqua"/>
          <w:spacing w:val="-1"/>
        </w:rPr>
        <w:t>a</w:t>
      </w:r>
      <w:r w:rsidRPr="00E3232D">
        <w:rPr>
          <w:rFonts w:ascii="Book Antiqua" w:hAnsi="Book Antiqua"/>
          <w:spacing w:val="1"/>
        </w:rPr>
        <w:t>r</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ipating</w:t>
      </w:r>
      <w:r w:rsidRPr="00E3232D">
        <w:rPr>
          <w:rFonts w:ascii="Book Antiqua" w:hAnsi="Book Antiqua"/>
          <w:spacing w:val="3"/>
        </w:rPr>
        <w:t xml:space="preserve"> </w:t>
      </w:r>
      <w:r w:rsidRPr="00E3232D">
        <w:rPr>
          <w:rFonts w:ascii="Book Antiqua" w:hAnsi="Book Antiqua"/>
        </w:rPr>
        <w:t>in</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fo</w:t>
      </w:r>
      <w:r w:rsidRPr="00E3232D">
        <w:rPr>
          <w:rFonts w:ascii="Book Antiqua" w:hAnsi="Book Antiqua"/>
          <w:spacing w:val="-1"/>
        </w:rPr>
        <w:t>r</w:t>
      </w:r>
      <w:r w:rsidRPr="00E3232D">
        <w:rPr>
          <w:rFonts w:ascii="Book Antiqua" w:hAnsi="Book Antiqua"/>
          <w:spacing w:val="3"/>
        </w:rPr>
        <w:t>m</w:t>
      </w:r>
      <w:r w:rsidRPr="00E3232D">
        <w:rPr>
          <w:rFonts w:ascii="Book Antiqua" w:hAnsi="Book Antiqua"/>
          <w:spacing w:val="-1"/>
        </w:rPr>
        <w:t>a</w:t>
      </w:r>
      <w:r w:rsidRPr="00E3232D">
        <w:rPr>
          <w:rFonts w:ascii="Book Antiqua" w:hAnsi="Book Antiqua"/>
        </w:rPr>
        <w:t>l</w:t>
      </w:r>
      <w:r w:rsidRPr="00E3232D">
        <w:rPr>
          <w:rFonts w:ascii="Book Antiqua" w:hAnsi="Book Antiqua"/>
          <w:spacing w:val="10"/>
        </w:rPr>
        <w:t xml:space="preserve"> </w:t>
      </w:r>
      <w:r w:rsidRPr="00E3232D">
        <w:rPr>
          <w:rFonts w:ascii="Book Antiqua" w:hAnsi="Book Antiqua"/>
          <w:spacing w:val="1"/>
        </w:rPr>
        <w:t>e</w:t>
      </w:r>
      <w:r w:rsidRPr="00E3232D">
        <w:rPr>
          <w:rFonts w:ascii="Book Antiqua" w:hAnsi="Book Antiqua"/>
          <w:spacing w:val="-1"/>
        </w:rPr>
        <w:t>c</w:t>
      </w:r>
      <w:r w:rsidRPr="00E3232D">
        <w:rPr>
          <w:rFonts w:ascii="Book Antiqua" w:hAnsi="Book Antiqua"/>
        </w:rPr>
        <w:t>ono</w:t>
      </w:r>
      <w:r w:rsidRPr="00E3232D">
        <w:rPr>
          <w:rFonts w:ascii="Book Antiqua" w:hAnsi="Book Antiqua"/>
          <w:spacing w:val="3"/>
        </w:rPr>
        <w:t>m</w:t>
      </w:r>
      <w:r w:rsidRPr="00E3232D">
        <w:rPr>
          <w:rFonts w:ascii="Book Antiqua" w:hAnsi="Book Antiqua"/>
          <w:spacing w:val="-5"/>
        </w:rPr>
        <w:t>y</w:t>
      </w:r>
      <w:r w:rsidRPr="00E3232D">
        <w:rPr>
          <w:rFonts w:ascii="Book Antiqua" w:hAnsi="Book Antiqua"/>
        </w:rPr>
        <w:t>,</w:t>
      </w:r>
      <w:r w:rsidRPr="00E3232D">
        <w:rPr>
          <w:rFonts w:ascii="Book Antiqua" w:hAnsi="Book Antiqua"/>
          <w:spacing w:val="5"/>
        </w:rPr>
        <w:t xml:space="preserve"> </w:t>
      </w:r>
      <w:r w:rsidRPr="00E3232D">
        <w:rPr>
          <w:rFonts w:ascii="Book Antiqua" w:hAnsi="Book Antiqua"/>
        </w:rPr>
        <w:t>it</w:t>
      </w:r>
      <w:r w:rsidRPr="00E3232D">
        <w:rPr>
          <w:rFonts w:ascii="Book Antiqua" w:hAnsi="Book Antiqua"/>
          <w:spacing w:val="6"/>
        </w:rPr>
        <w:t xml:space="preserve"> </w:t>
      </w:r>
      <w:r w:rsidRPr="00E3232D">
        <w:rPr>
          <w:rFonts w:ascii="Book Antiqua" w:hAnsi="Book Antiqua"/>
        </w:rPr>
        <w:t>is</w:t>
      </w:r>
      <w:r w:rsidRPr="00E3232D">
        <w:rPr>
          <w:rFonts w:ascii="Book Antiqua" w:hAnsi="Book Antiqua"/>
          <w:spacing w:val="6"/>
        </w:rPr>
        <w:t xml:space="preserve"> </w:t>
      </w:r>
      <w:r w:rsidRPr="00E3232D">
        <w:rPr>
          <w:rFonts w:ascii="Book Antiqua" w:hAnsi="Book Antiqua"/>
          <w:spacing w:val="5"/>
        </w:rPr>
        <w:t>b</w:t>
      </w:r>
      <w:r w:rsidRPr="00E3232D">
        <w:rPr>
          <w:rFonts w:ascii="Book Antiqua" w:hAnsi="Book Antiqua"/>
        </w:rPr>
        <w:t>y n</w:t>
      </w:r>
      <w:r w:rsidRPr="00E3232D">
        <w:rPr>
          <w:rFonts w:ascii="Book Antiqua" w:hAnsi="Book Antiqua"/>
          <w:spacing w:val="-1"/>
        </w:rPr>
        <w:t>a</w:t>
      </w:r>
      <w:r w:rsidRPr="00E3232D">
        <w:rPr>
          <w:rFonts w:ascii="Book Antiqua" w:hAnsi="Book Antiqua"/>
        </w:rPr>
        <w:t>ture</w:t>
      </w:r>
      <w:r w:rsidRPr="00E3232D">
        <w:rPr>
          <w:rFonts w:ascii="Book Antiqua" w:hAnsi="Book Antiqua"/>
          <w:spacing w:val="8"/>
        </w:rPr>
        <w:t xml:space="preserve"> </w:t>
      </w:r>
      <w:r w:rsidRPr="00E3232D">
        <w:rPr>
          <w:rFonts w:ascii="Book Antiqua" w:hAnsi="Book Antiqua"/>
        </w:rPr>
        <w:t>p</w:t>
      </w:r>
      <w:r w:rsidRPr="00E3232D">
        <w:rPr>
          <w:rFonts w:ascii="Book Antiqua" w:hAnsi="Book Antiqua"/>
          <w:spacing w:val="-1"/>
        </w:rPr>
        <w:t>rec</w:t>
      </w:r>
      <w:r w:rsidRPr="00E3232D">
        <w:rPr>
          <w:rFonts w:ascii="Book Antiqua" w:hAnsi="Book Antiqua"/>
          <w:spacing w:val="1"/>
        </w:rPr>
        <w:t>a</w:t>
      </w:r>
      <w:r w:rsidRPr="00E3232D">
        <w:rPr>
          <w:rFonts w:ascii="Book Antiqua" w:hAnsi="Book Antiqua"/>
        </w:rPr>
        <w:t>riou</w:t>
      </w:r>
      <w:r w:rsidRPr="00E3232D">
        <w:rPr>
          <w:rFonts w:ascii="Book Antiqua" w:hAnsi="Book Antiqua"/>
          <w:spacing w:val="4"/>
        </w:rPr>
        <w:t>s</w:t>
      </w:r>
      <w:r w:rsidRPr="00E3232D">
        <w:rPr>
          <w:rFonts w:ascii="Book Antiqua" w:hAnsi="Book Antiqua"/>
        </w:rPr>
        <w:t>.</w:t>
      </w:r>
      <w:r w:rsidRPr="00E3232D">
        <w:rPr>
          <w:rFonts w:ascii="Book Antiqua" w:hAnsi="Book Antiqua"/>
          <w:spacing w:val="5"/>
        </w:rPr>
        <w:t xml:space="preserve"> </w:t>
      </w:r>
      <w:r w:rsidRPr="00E3232D">
        <w:rPr>
          <w:rFonts w:ascii="Book Antiqua" w:hAnsi="Book Antiqua"/>
        </w:rPr>
        <w:t>Critics point</w:t>
      </w:r>
      <w:r w:rsidRPr="00E3232D">
        <w:rPr>
          <w:rFonts w:ascii="Book Antiqua" w:hAnsi="Book Antiqua"/>
          <w:spacing w:val="1"/>
        </w:rPr>
        <w:t xml:space="preserve"> </w:t>
      </w:r>
      <w:r w:rsidRPr="00E3232D">
        <w:rPr>
          <w:rFonts w:ascii="Book Antiqua" w:hAnsi="Book Antiqua"/>
        </w:rPr>
        <w:t>to urb</w:t>
      </w:r>
      <w:r w:rsidRPr="00E3232D">
        <w:rPr>
          <w:rFonts w:ascii="Book Antiqua" w:hAnsi="Book Antiqua"/>
          <w:spacing w:val="-1"/>
        </w:rPr>
        <w:t>a</w:t>
      </w:r>
      <w:r w:rsidRPr="00E3232D">
        <w:rPr>
          <w:rFonts w:ascii="Book Antiqua" w:hAnsi="Book Antiqua"/>
        </w:rPr>
        <w:t xml:space="preserve">n </w:t>
      </w:r>
      <w:r w:rsidRPr="00E3232D">
        <w:rPr>
          <w:rFonts w:ascii="Book Antiqua" w:hAnsi="Book Antiqua"/>
          <w:spacing w:val="-1"/>
        </w:rPr>
        <w:t>c</w:t>
      </w:r>
      <w:r w:rsidRPr="00E3232D">
        <w:rPr>
          <w:rFonts w:ascii="Book Antiqua" w:hAnsi="Book Antiqua"/>
        </w:rPr>
        <w:t>o</w:t>
      </w:r>
      <w:r w:rsidRPr="00E3232D">
        <w:rPr>
          <w:rFonts w:ascii="Book Antiqua" w:hAnsi="Book Antiqua"/>
          <w:spacing w:val="2"/>
        </w:rPr>
        <w:t>n</w:t>
      </w:r>
      <w:r w:rsidRPr="00E3232D">
        <w:rPr>
          <w:rFonts w:ascii="Book Antiqua" w:hAnsi="Book Antiqua"/>
        </w:rPr>
        <w:t>g</w:t>
      </w:r>
      <w:r w:rsidRPr="00E3232D">
        <w:rPr>
          <w:rFonts w:ascii="Book Antiqua" w:hAnsi="Book Antiqua"/>
          <w:spacing w:val="-1"/>
        </w:rPr>
        <w:t>e</w:t>
      </w:r>
      <w:r w:rsidRPr="00E3232D">
        <w:rPr>
          <w:rFonts w:ascii="Book Antiqua" w:hAnsi="Book Antiqua"/>
        </w:rPr>
        <w:t>st</w:t>
      </w:r>
      <w:r w:rsidRPr="00E3232D">
        <w:rPr>
          <w:rFonts w:ascii="Book Antiqua" w:hAnsi="Book Antiqua"/>
          <w:spacing w:val="1"/>
        </w:rPr>
        <w:t>i</w:t>
      </w:r>
      <w:r w:rsidRPr="00E3232D">
        <w:rPr>
          <w:rFonts w:ascii="Book Antiqua" w:hAnsi="Book Antiqua"/>
        </w:rPr>
        <w:t>on f</w:t>
      </w:r>
      <w:r w:rsidRPr="00E3232D">
        <w:rPr>
          <w:rFonts w:ascii="Book Antiqua" w:hAnsi="Book Antiqua"/>
          <w:spacing w:val="-1"/>
        </w:rPr>
        <w:t>r</w:t>
      </w:r>
      <w:r w:rsidRPr="00E3232D">
        <w:rPr>
          <w:rFonts w:ascii="Book Antiqua" w:hAnsi="Book Antiqua"/>
        </w:rPr>
        <w:t>om un</w:t>
      </w:r>
      <w:r w:rsidRPr="00E3232D">
        <w:rPr>
          <w:rFonts w:ascii="Book Antiqua" w:hAnsi="Book Antiqua"/>
          <w:spacing w:val="2"/>
        </w:rPr>
        <w:t>r</w:t>
      </w:r>
      <w:r w:rsidRPr="00E3232D">
        <w:rPr>
          <w:rFonts w:ascii="Book Antiqua" w:hAnsi="Book Antiqua"/>
          <w:spacing w:val="1"/>
        </w:rPr>
        <w:t>e</w:t>
      </w:r>
      <w:r w:rsidRPr="00E3232D">
        <w:rPr>
          <w:rFonts w:ascii="Book Antiqua" w:hAnsi="Book Antiqua"/>
          <w:spacing w:val="-2"/>
        </w:rPr>
        <w:t>g</w:t>
      </w:r>
      <w:r w:rsidRPr="00E3232D">
        <w:rPr>
          <w:rFonts w:ascii="Book Antiqua" w:hAnsi="Book Antiqua"/>
        </w:rPr>
        <w:t>ulat</w:t>
      </w:r>
      <w:r w:rsidRPr="00E3232D">
        <w:rPr>
          <w:rFonts w:ascii="Book Antiqua" w:hAnsi="Book Antiqua"/>
          <w:spacing w:val="-1"/>
        </w:rPr>
        <w:t>e</w:t>
      </w:r>
      <w:r w:rsidRPr="00E3232D">
        <w:rPr>
          <w:rFonts w:ascii="Book Antiqua" w:hAnsi="Book Antiqua"/>
        </w:rPr>
        <w:t>d d</w:t>
      </w:r>
      <w:r w:rsidRPr="00E3232D">
        <w:rPr>
          <w:rFonts w:ascii="Book Antiqua" w:hAnsi="Book Antiqua"/>
          <w:spacing w:val="2"/>
        </w:rPr>
        <w:t>o</w:t>
      </w:r>
      <w:r w:rsidRPr="00E3232D">
        <w:rPr>
          <w:rFonts w:ascii="Book Antiqua" w:hAnsi="Book Antiqua"/>
        </w:rPr>
        <w:t>wntown str</w:t>
      </w:r>
      <w:r w:rsidRPr="00E3232D">
        <w:rPr>
          <w:rFonts w:ascii="Book Antiqua" w:hAnsi="Book Antiqua"/>
          <w:spacing w:val="-1"/>
        </w:rPr>
        <w:t>ee</w:t>
      </w:r>
      <w:r w:rsidRPr="00E3232D">
        <w:rPr>
          <w:rFonts w:ascii="Book Antiqua" w:hAnsi="Book Antiqua"/>
        </w:rPr>
        <w:t>t s</w:t>
      </w:r>
      <w:r w:rsidRPr="00E3232D">
        <w:rPr>
          <w:rFonts w:ascii="Book Antiqua" w:hAnsi="Book Antiqua"/>
          <w:spacing w:val="1"/>
        </w:rPr>
        <w:t>t</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 xml:space="preserve">nd to </w:t>
      </w:r>
      <w:r w:rsidRPr="00E3232D">
        <w:rPr>
          <w:rFonts w:ascii="Book Antiqua" w:hAnsi="Book Antiqua"/>
          <w:spacing w:val="3"/>
        </w:rPr>
        <w:t>h</w:t>
      </w:r>
      <w:r w:rsidRPr="00E3232D">
        <w:rPr>
          <w:rFonts w:ascii="Book Antiqua" w:hAnsi="Book Antiqua"/>
          <w:spacing w:val="-1"/>
        </w:rPr>
        <w:t>ea</w:t>
      </w:r>
      <w:r w:rsidRPr="00E3232D">
        <w:rPr>
          <w:rFonts w:ascii="Book Antiqua" w:hAnsi="Book Antiqua"/>
        </w:rPr>
        <w:t>l</w:t>
      </w:r>
      <w:r w:rsidRPr="00E3232D">
        <w:rPr>
          <w:rFonts w:ascii="Book Antiqua" w:hAnsi="Book Antiqua"/>
          <w:spacing w:val="1"/>
        </w:rPr>
        <w:t>t</w:t>
      </w:r>
      <w:r w:rsidRPr="00E3232D">
        <w:rPr>
          <w:rFonts w:ascii="Book Antiqua" w:hAnsi="Book Antiqua"/>
        </w:rPr>
        <w:t>h h</w:t>
      </w:r>
      <w:r w:rsidRPr="00E3232D">
        <w:rPr>
          <w:rFonts w:ascii="Book Antiqua" w:hAnsi="Book Antiqua"/>
          <w:spacing w:val="-1"/>
        </w:rPr>
        <w:t>a</w:t>
      </w:r>
      <w:r w:rsidRPr="00E3232D">
        <w:rPr>
          <w:rFonts w:ascii="Book Antiqua" w:hAnsi="Book Antiqua"/>
          <w:spacing w:val="1"/>
        </w:rPr>
        <w:t>z</w:t>
      </w:r>
      <w:r w:rsidRPr="00E3232D">
        <w:rPr>
          <w:rFonts w:ascii="Book Antiqua" w:hAnsi="Book Antiqua"/>
          <w:spacing w:val="-1"/>
        </w:rPr>
        <w:t>a</w:t>
      </w:r>
      <w:r w:rsidRPr="00E3232D">
        <w:rPr>
          <w:rFonts w:ascii="Book Antiqua" w:hAnsi="Book Antiqua"/>
        </w:rPr>
        <w:t>rds</w:t>
      </w:r>
      <w:r w:rsidRPr="00E3232D">
        <w:rPr>
          <w:rFonts w:ascii="Book Antiqua" w:hAnsi="Book Antiqua"/>
          <w:spacing w:val="2"/>
        </w:rPr>
        <w:t xml:space="preserve"> </w:t>
      </w:r>
      <w:r w:rsidRPr="00E3232D">
        <w:rPr>
          <w:rFonts w:ascii="Book Antiqua" w:hAnsi="Book Antiqua"/>
        </w:rPr>
        <w:t>f</w:t>
      </w:r>
      <w:r w:rsidRPr="00E3232D">
        <w:rPr>
          <w:rFonts w:ascii="Book Antiqua" w:hAnsi="Book Antiqua"/>
          <w:spacing w:val="-1"/>
        </w:rPr>
        <w:t>r</w:t>
      </w:r>
      <w:r w:rsidRPr="00E3232D">
        <w:rPr>
          <w:rFonts w:ascii="Book Antiqua" w:hAnsi="Book Antiqua"/>
        </w:rPr>
        <w:t>om food</w:t>
      </w:r>
      <w:r w:rsidRPr="00E3232D">
        <w:rPr>
          <w:rFonts w:ascii="Book Antiqua" w:hAnsi="Book Antiqua"/>
          <w:spacing w:val="-1"/>
        </w:rPr>
        <w:t xml:space="preserve"> </w:t>
      </w:r>
      <w:r w:rsidRPr="00E3232D">
        <w:rPr>
          <w:rFonts w:ascii="Book Antiqua" w:hAnsi="Book Antiqua"/>
        </w:rPr>
        <w:t>p</w:t>
      </w:r>
      <w:r w:rsidRPr="00E3232D">
        <w:rPr>
          <w:rFonts w:ascii="Book Antiqua" w:hAnsi="Book Antiqua"/>
          <w:spacing w:val="-1"/>
        </w:rPr>
        <w:t>re</w:t>
      </w:r>
      <w:r w:rsidRPr="00E3232D">
        <w:rPr>
          <w:rFonts w:ascii="Book Antiqua" w:hAnsi="Book Antiqua"/>
        </w:rPr>
        <w:t>p</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e</w:t>
      </w:r>
      <w:r w:rsidRPr="00E3232D">
        <w:rPr>
          <w:rFonts w:ascii="Book Antiqua" w:hAnsi="Book Antiqua"/>
        </w:rPr>
        <w:t>d in uns</w:t>
      </w:r>
      <w:r w:rsidRPr="00E3232D">
        <w:rPr>
          <w:rFonts w:ascii="Book Antiqua" w:hAnsi="Book Antiqua"/>
          <w:spacing w:val="-1"/>
        </w:rPr>
        <w:t>a</w:t>
      </w:r>
      <w:r w:rsidRPr="00E3232D">
        <w:rPr>
          <w:rFonts w:ascii="Book Antiqua" w:hAnsi="Book Antiqua"/>
        </w:rPr>
        <w:t>ni</w:t>
      </w:r>
      <w:r w:rsidRPr="00E3232D">
        <w:rPr>
          <w:rFonts w:ascii="Book Antiqua" w:hAnsi="Book Antiqua"/>
          <w:spacing w:val="1"/>
        </w:rPr>
        <w:t>tar</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spacing w:val="-1"/>
        </w:rPr>
        <w:t>c</w:t>
      </w:r>
      <w:r w:rsidRPr="00E3232D">
        <w:rPr>
          <w:rFonts w:ascii="Book Antiqua" w:hAnsi="Book Antiqua"/>
        </w:rPr>
        <w:t>ondi</w:t>
      </w:r>
      <w:r w:rsidRPr="00E3232D">
        <w:rPr>
          <w:rFonts w:ascii="Book Antiqua" w:hAnsi="Book Antiqua"/>
          <w:spacing w:val="1"/>
        </w:rPr>
        <w:t>t</w:t>
      </w:r>
      <w:r w:rsidRPr="00E3232D">
        <w:rPr>
          <w:rFonts w:ascii="Book Antiqua" w:hAnsi="Book Antiqua"/>
        </w:rPr>
        <w:t>ions</w:t>
      </w:r>
      <w:r w:rsidRPr="00E3232D">
        <w:rPr>
          <w:rFonts w:ascii="Book Antiqua" w:hAnsi="Book Antiqua"/>
          <w:spacing w:val="3"/>
        </w:rPr>
        <w:t xml:space="preserve"> </w:t>
      </w:r>
      <w:r w:rsidRPr="00E3232D">
        <w:rPr>
          <w:rFonts w:ascii="Book Antiqua" w:hAnsi="Book Antiqua"/>
          <w:spacing w:val="-1"/>
        </w:rPr>
        <w:t>(</w:t>
      </w:r>
      <w:r w:rsidRPr="00E3232D">
        <w:rPr>
          <w:rFonts w:ascii="Book Antiqua" w:hAnsi="Book Antiqua"/>
          <w:spacing w:val="2"/>
        </w:rPr>
        <w:t>J</w:t>
      </w:r>
      <w:r w:rsidRPr="00E3232D">
        <w:rPr>
          <w:rFonts w:ascii="Book Antiqua" w:hAnsi="Book Antiqua"/>
        </w:rPr>
        <w:t>o</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rPr>
        <w:t>, 1998</w:t>
      </w:r>
      <w:r w:rsidRPr="00E3232D">
        <w:rPr>
          <w:rFonts w:ascii="Book Antiqua" w:hAnsi="Book Antiqua"/>
          <w:spacing w:val="-1"/>
        </w:rPr>
        <w:t>).</w:t>
      </w:r>
    </w:p>
    <w:p w14:paraId="363AA274" w14:textId="77777777" w:rsidR="00E00EF9" w:rsidRPr="00E3232D" w:rsidRDefault="00E00EF9" w:rsidP="001765F6">
      <w:pPr>
        <w:widowControl w:val="0"/>
        <w:autoSpaceDE w:val="0"/>
        <w:autoSpaceDN w:val="0"/>
        <w:adjustRightInd w:val="0"/>
        <w:spacing w:after="0"/>
        <w:ind w:left="160" w:right="80"/>
        <w:jc w:val="both"/>
        <w:rPr>
          <w:rFonts w:ascii="Book Antiqua" w:hAnsi="Book Antiqua"/>
        </w:rPr>
      </w:pPr>
      <w:r w:rsidRPr="00E3232D">
        <w:rPr>
          <w:rFonts w:ascii="Book Antiqua" w:hAnsi="Book Antiqua"/>
        </w:rPr>
        <w:t>Evid</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c</w:t>
      </w:r>
      <w:r w:rsidRPr="00E3232D">
        <w:rPr>
          <w:rFonts w:ascii="Book Antiqua" w:hAnsi="Book Antiqua"/>
        </w:rPr>
        <w:t>e</w:t>
      </w:r>
      <w:r w:rsidRPr="00E3232D">
        <w:rPr>
          <w:rFonts w:ascii="Book Antiqua" w:hAnsi="Book Antiqua"/>
          <w:spacing w:val="2"/>
        </w:rPr>
        <w:t xml:space="preserve"> </w:t>
      </w:r>
      <w:r w:rsidRPr="00E3232D">
        <w:rPr>
          <w:rFonts w:ascii="Book Antiqua" w:hAnsi="Book Antiqua"/>
          <w:spacing w:val="-2"/>
        </w:rPr>
        <w:t>g</w:t>
      </w:r>
      <w:r w:rsidRPr="00E3232D">
        <w:rPr>
          <w:rFonts w:ascii="Book Antiqua" w:hAnsi="Book Antiqua"/>
          <w:spacing w:val="-1"/>
        </w:rPr>
        <w:t>a</w:t>
      </w:r>
      <w:r w:rsidRPr="00E3232D">
        <w:rPr>
          <w:rFonts w:ascii="Book Antiqua" w:hAnsi="Book Antiqua"/>
        </w:rPr>
        <w:t>t</w:t>
      </w:r>
      <w:r w:rsidRPr="00E3232D">
        <w:rPr>
          <w:rFonts w:ascii="Book Antiqua" w:hAnsi="Book Antiqua"/>
          <w:spacing w:val="3"/>
        </w:rPr>
        <w:t>h</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d</w:t>
      </w:r>
      <w:r w:rsidRPr="00E3232D">
        <w:rPr>
          <w:rFonts w:ascii="Book Antiqua" w:hAnsi="Book Antiqua"/>
          <w:spacing w:val="1"/>
        </w:rPr>
        <w:t xml:space="preserve"> </w:t>
      </w:r>
      <w:r w:rsidRPr="00E3232D">
        <w:rPr>
          <w:rFonts w:ascii="Book Antiqua" w:hAnsi="Book Antiqua"/>
        </w:rPr>
        <w:t>so</w:t>
      </w:r>
      <w:r w:rsidRPr="00E3232D">
        <w:rPr>
          <w:rFonts w:ascii="Book Antiqua" w:hAnsi="Book Antiqua"/>
          <w:spacing w:val="4"/>
        </w:rPr>
        <w:t xml:space="preserve"> </w:t>
      </w:r>
      <w:r w:rsidRPr="00E3232D">
        <w:rPr>
          <w:rFonts w:ascii="Book Antiqua" w:hAnsi="Book Antiqua"/>
        </w:rPr>
        <w:t>f</w:t>
      </w:r>
      <w:r w:rsidRPr="00E3232D">
        <w:rPr>
          <w:rFonts w:ascii="Book Antiqua" w:hAnsi="Book Antiqua"/>
          <w:spacing w:val="-2"/>
        </w:rPr>
        <w:t>a</w:t>
      </w:r>
      <w:r w:rsidRPr="00E3232D">
        <w:rPr>
          <w:rFonts w:ascii="Book Antiqua" w:hAnsi="Book Antiqua"/>
        </w:rPr>
        <w:t>r s</w:t>
      </w:r>
      <w:r w:rsidRPr="00E3232D">
        <w:rPr>
          <w:rFonts w:ascii="Book Antiqua" w:hAnsi="Book Antiqua"/>
          <w:spacing w:val="2"/>
        </w:rPr>
        <w:t>u</w:t>
      </w:r>
      <w:r w:rsidRPr="00E3232D">
        <w:rPr>
          <w:rFonts w:ascii="Book Antiqua" w:hAnsi="Book Antiqua"/>
        </w:rPr>
        <w:t>g</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sts</w:t>
      </w:r>
      <w:r w:rsidRPr="00E3232D">
        <w:rPr>
          <w:rFonts w:ascii="Book Antiqua" w:hAnsi="Book Antiqua"/>
          <w:spacing w:val="2"/>
        </w:rPr>
        <w:t xml:space="preserve"> </w:t>
      </w:r>
      <w:r w:rsidRPr="00E3232D">
        <w:rPr>
          <w:rFonts w:ascii="Book Antiqua" w:hAnsi="Book Antiqua"/>
        </w:rPr>
        <w:t>that</w:t>
      </w:r>
      <w:r w:rsidRPr="00E3232D">
        <w:rPr>
          <w:rFonts w:ascii="Book Antiqua" w:hAnsi="Book Antiqua"/>
          <w:spacing w:val="1"/>
        </w:rPr>
        <w:t xml:space="preserve"> </w:t>
      </w:r>
      <w:r w:rsidRPr="00E3232D">
        <w:rPr>
          <w:rFonts w:ascii="Book Antiqua" w:hAnsi="Book Antiqua"/>
        </w:rPr>
        <w:t>pote</w:t>
      </w:r>
      <w:r w:rsidRPr="00E3232D">
        <w:rPr>
          <w:rFonts w:ascii="Book Antiqua" w:hAnsi="Book Antiqua"/>
          <w:spacing w:val="2"/>
        </w:rPr>
        <w:t>n</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 xml:space="preserve">rs </w:t>
      </w:r>
      <w:r w:rsidRPr="00E3232D">
        <w:rPr>
          <w:rFonts w:ascii="Book Antiqua" w:hAnsi="Book Antiqua"/>
          <w:spacing w:val="-1"/>
        </w:rPr>
        <w:t>a</w:t>
      </w:r>
      <w:r w:rsidRPr="00E3232D">
        <w:rPr>
          <w:rFonts w:ascii="Book Antiqua" w:hAnsi="Book Antiqua"/>
          <w:spacing w:val="1"/>
        </w:rPr>
        <w:t>r</w:t>
      </w:r>
      <w:r w:rsidRPr="00E3232D">
        <w:rPr>
          <w:rFonts w:ascii="Book Antiqua" w:hAnsi="Book Antiqua"/>
        </w:rPr>
        <w:t>e undoubtful</w:t>
      </w:r>
      <w:r w:rsidRPr="00E3232D">
        <w:rPr>
          <w:rFonts w:ascii="Book Antiqua" w:hAnsi="Book Antiqua"/>
          <w:spacing w:val="3"/>
        </w:rPr>
        <w:t>l</w:t>
      </w:r>
      <w:r w:rsidRPr="00E3232D">
        <w:rPr>
          <w:rFonts w:ascii="Book Antiqua" w:hAnsi="Book Antiqua"/>
        </w:rPr>
        <w:t>y</w:t>
      </w:r>
      <w:r w:rsidRPr="00E3232D">
        <w:rPr>
          <w:rFonts w:ascii="Book Antiqua" w:hAnsi="Book Antiqua"/>
          <w:spacing w:val="15"/>
        </w:rPr>
        <w:t xml:space="preserve"> </w:t>
      </w:r>
      <w:r w:rsidRPr="00E3232D">
        <w:rPr>
          <w:rFonts w:ascii="Book Antiqua" w:hAnsi="Book Antiqua"/>
        </w:rPr>
        <w:t>in</w:t>
      </w:r>
      <w:r w:rsidRPr="00E3232D">
        <w:rPr>
          <w:rFonts w:ascii="Book Antiqua" w:hAnsi="Book Antiqua"/>
          <w:spacing w:val="22"/>
        </w:rPr>
        <w:t xml:space="preserve"> </w:t>
      </w:r>
      <w:r w:rsidRPr="00E3232D">
        <w:rPr>
          <w:rFonts w:ascii="Book Antiqua" w:hAnsi="Book Antiqua"/>
        </w:rPr>
        <w:t>n</w:t>
      </w:r>
      <w:r w:rsidRPr="00E3232D">
        <w:rPr>
          <w:rFonts w:ascii="Book Antiqua" w:hAnsi="Book Antiqua"/>
          <w:spacing w:val="-1"/>
        </w:rPr>
        <w:t>ee</w:t>
      </w:r>
      <w:r w:rsidRPr="00E3232D">
        <w:rPr>
          <w:rFonts w:ascii="Book Antiqua" w:hAnsi="Book Antiqua"/>
        </w:rPr>
        <w:t>di</w:t>
      </w:r>
      <w:r w:rsidRPr="00E3232D">
        <w:rPr>
          <w:rFonts w:ascii="Book Antiqua" w:hAnsi="Book Antiqua"/>
          <w:spacing w:val="3"/>
        </w:rPr>
        <w:t>n</w:t>
      </w:r>
      <w:r w:rsidRPr="00E3232D">
        <w:rPr>
          <w:rFonts w:ascii="Book Antiqua" w:hAnsi="Book Antiqua"/>
        </w:rPr>
        <w:t>g</w:t>
      </w:r>
      <w:r w:rsidRPr="00E3232D">
        <w:rPr>
          <w:rFonts w:ascii="Book Antiqua" w:hAnsi="Book Antiqua"/>
          <w:spacing w:val="20"/>
        </w:rPr>
        <w:t xml:space="preserve"> </w:t>
      </w:r>
      <w:r w:rsidRPr="00E3232D">
        <w:rPr>
          <w:rFonts w:ascii="Book Antiqua" w:hAnsi="Book Antiqua"/>
        </w:rPr>
        <w:t>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e</w:t>
      </w:r>
      <w:r w:rsidRPr="00E3232D">
        <w:rPr>
          <w:rFonts w:ascii="Book Antiqua" w:hAnsi="Book Antiqua"/>
          <w:spacing w:val="19"/>
        </w:rPr>
        <w:t xml:space="preserve"> </w:t>
      </w:r>
      <w:r w:rsidRPr="00E3232D">
        <w:rPr>
          <w:rFonts w:ascii="Book Antiqua" w:hAnsi="Book Antiqua"/>
        </w:rPr>
        <w:t>(</w:t>
      </w:r>
      <w:r w:rsidRPr="00E3232D">
        <w:rPr>
          <w:rFonts w:ascii="Book Antiqua" w:hAnsi="Book Antiqua"/>
          <w:spacing w:val="1"/>
        </w:rPr>
        <w:t>D</w:t>
      </w:r>
      <w:r w:rsidRPr="00E3232D">
        <w:rPr>
          <w:rFonts w:ascii="Book Antiqua" w:hAnsi="Book Antiqua"/>
          <w:spacing w:val="-1"/>
        </w:rPr>
        <w:t>a</w:t>
      </w:r>
      <w:r w:rsidRPr="00E3232D">
        <w:rPr>
          <w:rFonts w:ascii="Book Antiqua" w:hAnsi="Book Antiqua"/>
        </w:rPr>
        <w:t>vi</w:t>
      </w:r>
      <w:r w:rsidRPr="00E3232D">
        <w:rPr>
          <w:rFonts w:ascii="Book Antiqua" w:hAnsi="Book Antiqua"/>
          <w:spacing w:val="2"/>
        </w:rPr>
        <w:t>d</w:t>
      </w:r>
      <w:r w:rsidRPr="00E3232D">
        <w:rPr>
          <w:rFonts w:ascii="Book Antiqua" w:hAnsi="Book Antiqua"/>
        </w:rPr>
        <w:t>,</w:t>
      </w:r>
      <w:r w:rsidRPr="00E3232D">
        <w:rPr>
          <w:rFonts w:ascii="Book Antiqua" w:hAnsi="Book Antiqua"/>
          <w:spacing w:val="20"/>
        </w:rPr>
        <w:t xml:space="preserve"> </w:t>
      </w:r>
      <w:r w:rsidRPr="00E3232D">
        <w:rPr>
          <w:rFonts w:ascii="Book Antiqua" w:hAnsi="Book Antiqua"/>
        </w:rPr>
        <w:t>1998).   The</w:t>
      </w:r>
      <w:r w:rsidRPr="00E3232D">
        <w:rPr>
          <w:rFonts w:ascii="Book Antiqua" w:hAnsi="Book Antiqua"/>
          <w:spacing w:val="19"/>
        </w:rPr>
        <w:t xml:space="preserve"> </w:t>
      </w:r>
      <w:r w:rsidRPr="00E3232D">
        <w:rPr>
          <w:rFonts w:ascii="Book Antiqua" w:hAnsi="Book Antiqua"/>
        </w:rPr>
        <w:t>major</w:t>
      </w:r>
      <w:r w:rsidRPr="00E3232D">
        <w:rPr>
          <w:rFonts w:ascii="Book Antiqua" w:hAnsi="Book Antiqua"/>
          <w:spacing w:val="19"/>
        </w:rPr>
        <w:t xml:space="preserv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2"/>
        </w:rPr>
        <w:t>g</w:t>
      </w:r>
      <w:r w:rsidRPr="00E3232D">
        <w:rPr>
          <w:rFonts w:ascii="Book Antiqua" w:hAnsi="Book Antiqua"/>
        </w:rPr>
        <w:t>e</w:t>
      </w:r>
      <w:r w:rsidRPr="00E3232D">
        <w:rPr>
          <w:rFonts w:ascii="Book Antiqua" w:hAnsi="Book Antiqua"/>
          <w:spacing w:val="22"/>
        </w:rPr>
        <w:t xml:space="preserve"> </w:t>
      </w:r>
      <w:r w:rsidRPr="00E3232D">
        <w:rPr>
          <w:rFonts w:ascii="Book Antiqua" w:hAnsi="Book Antiqua"/>
        </w:rPr>
        <w:t>fa</w:t>
      </w:r>
      <w:r w:rsidRPr="00E3232D">
        <w:rPr>
          <w:rFonts w:ascii="Book Antiqua" w:hAnsi="Book Antiqua"/>
          <w:spacing w:val="-1"/>
        </w:rPr>
        <w:t>c</w:t>
      </w:r>
      <w:r w:rsidRPr="00E3232D">
        <w:rPr>
          <w:rFonts w:ascii="Book Antiqua" w:hAnsi="Book Antiqua"/>
        </w:rPr>
        <w:t>ing</w:t>
      </w:r>
      <w:r w:rsidRPr="00E3232D">
        <w:rPr>
          <w:rFonts w:ascii="Book Antiqua" w:hAnsi="Book Antiqua"/>
          <w:spacing w:val="18"/>
        </w:rPr>
        <w:t xml:space="preserve"> </w:t>
      </w:r>
      <w:r w:rsidRPr="00E3232D">
        <w:rPr>
          <w:rFonts w:ascii="Book Antiqua" w:hAnsi="Book Antiqua"/>
        </w:rPr>
        <w:t>the</w:t>
      </w:r>
      <w:r w:rsidRPr="00E3232D">
        <w:rPr>
          <w:rFonts w:ascii="Book Antiqua" w:hAnsi="Book Antiqua"/>
          <w:spacing w:val="20"/>
        </w:rPr>
        <w:t xml:space="preserve"> </w:t>
      </w:r>
      <w:r w:rsidRPr="00E3232D">
        <w:rPr>
          <w:rFonts w:ascii="Book Antiqua" w:hAnsi="Book Antiqua"/>
        </w:rPr>
        <w:t>potential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6"/>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7"/>
        </w:rPr>
        <w:t xml:space="preserve"> </w:t>
      </w:r>
      <w:r w:rsidRPr="00E3232D">
        <w:rPr>
          <w:rFonts w:ascii="Book Antiqua" w:hAnsi="Book Antiqua"/>
        </w:rPr>
        <w:t>b</w:t>
      </w:r>
      <w:r w:rsidRPr="00E3232D">
        <w:rPr>
          <w:rFonts w:ascii="Book Antiqua" w:hAnsi="Book Antiqua"/>
          <w:spacing w:val="2"/>
        </w:rPr>
        <w:t>o</w:t>
      </w:r>
      <w:r w:rsidRPr="00E3232D">
        <w:rPr>
          <w:rFonts w:ascii="Book Antiqua" w:hAnsi="Book Antiqua"/>
        </w:rPr>
        <w:t>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w:t>
      </w:r>
      <w:r w:rsidRPr="00E3232D">
        <w:rPr>
          <w:rFonts w:ascii="Book Antiqua" w:hAnsi="Book Antiqua"/>
          <w:spacing w:val="7"/>
        </w:rPr>
        <w:t xml:space="preserve"> </w:t>
      </w:r>
      <w:r w:rsidRPr="00E3232D">
        <w:rPr>
          <w:rFonts w:ascii="Book Antiqua" w:hAnsi="Book Antiqua"/>
        </w:rPr>
        <w:t>is</w:t>
      </w:r>
      <w:r w:rsidRPr="00E3232D">
        <w:rPr>
          <w:rFonts w:ascii="Book Antiqua" w:hAnsi="Book Antiqua"/>
          <w:spacing w:val="8"/>
        </w:rPr>
        <w:t xml:space="preserve"> </w:t>
      </w:r>
      <w:r w:rsidRPr="00E3232D">
        <w:rPr>
          <w:rFonts w:ascii="Book Antiqua" w:hAnsi="Book Antiqua"/>
        </w:rPr>
        <w:t>how</w:t>
      </w:r>
      <w:r w:rsidRPr="00E3232D">
        <w:rPr>
          <w:rFonts w:ascii="Book Antiqua" w:hAnsi="Book Antiqua"/>
          <w:spacing w:val="7"/>
        </w:rPr>
        <w:t xml:space="preserve"> </w:t>
      </w:r>
      <w:r w:rsidRPr="00E3232D">
        <w:rPr>
          <w:rFonts w:ascii="Book Antiqua" w:hAnsi="Book Antiqua"/>
        </w:rPr>
        <w:t>to</w:t>
      </w:r>
      <w:r w:rsidRPr="00E3232D">
        <w:rPr>
          <w:rFonts w:ascii="Book Antiqua" w:hAnsi="Book Antiqua"/>
          <w:spacing w:val="8"/>
        </w:rPr>
        <w:t xml:space="preserve"> </w:t>
      </w:r>
      <w:r w:rsidRPr="00E3232D">
        <w:rPr>
          <w:rFonts w:ascii="Book Antiqua" w:hAnsi="Book Antiqua"/>
        </w:rPr>
        <w:t>be</w:t>
      </w:r>
      <w:r w:rsidRPr="00E3232D">
        <w:rPr>
          <w:rFonts w:ascii="Book Antiqua" w:hAnsi="Book Antiqua"/>
          <w:spacing w:val="6"/>
        </w:rPr>
        <w:t xml:space="preserve"> </w:t>
      </w:r>
      <w:r w:rsidRPr="00E3232D">
        <w:rPr>
          <w:rFonts w:ascii="Book Antiqua" w:hAnsi="Book Antiqua"/>
          <w:spacing w:val="-1"/>
        </w:rPr>
        <w:t>a</w:t>
      </w:r>
      <w:r w:rsidRPr="00E3232D">
        <w:rPr>
          <w:rFonts w:ascii="Book Antiqua" w:hAnsi="Book Antiqua"/>
        </w:rPr>
        <w:t>b</w:t>
      </w:r>
      <w:r w:rsidRPr="00E3232D">
        <w:rPr>
          <w:rFonts w:ascii="Book Antiqua" w:hAnsi="Book Antiqua"/>
          <w:spacing w:val="-2"/>
        </w:rPr>
        <w:t>l</w:t>
      </w:r>
      <w:r w:rsidRPr="00E3232D">
        <w:rPr>
          <w:rFonts w:ascii="Book Antiqua" w:hAnsi="Book Antiqua"/>
        </w:rPr>
        <w:t>e</w:t>
      </w:r>
      <w:r w:rsidRPr="00E3232D">
        <w:rPr>
          <w:rFonts w:ascii="Book Antiqua" w:hAnsi="Book Antiqua"/>
          <w:spacing w:val="6"/>
        </w:rPr>
        <w:t xml:space="preserve"> </w:t>
      </w:r>
      <w:r w:rsidRPr="00E3232D">
        <w:rPr>
          <w:rFonts w:ascii="Book Antiqua" w:hAnsi="Book Antiqua"/>
        </w:rPr>
        <w:t>to</w:t>
      </w:r>
      <w:r w:rsidRPr="00E3232D">
        <w:rPr>
          <w:rFonts w:ascii="Book Antiqua" w:hAnsi="Book Antiqua"/>
          <w:spacing w:val="8"/>
        </w:rPr>
        <w:t xml:space="preserve"> </w:t>
      </w:r>
      <w:r w:rsidRPr="00E3232D">
        <w:rPr>
          <w:rFonts w:ascii="Book Antiqua" w:hAnsi="Book Antiqua"/>
          <w:spacing w:val="-1"/>
        </w:rPr>
        <w:t>acce</w:t>
      </w:r>
      <w:r w:rsidRPr="00E3232D">
        <w:rPr>
          <w:rFonts w:ascii="Book Antiqua" w:hAnsi="Book Antiqua"/>
        </w:rPr>
        <w:t>ss</w:t>
      </w:r>
      <w:r w:rsidRPr="00E3232D">
        <w:rPr>
          <w:rFonts w:ascii="Book Antiqua" w:hAnsi="Book Antiqua"/>
          <w:spacing w:val="8"/>
        </w:rPr>
        <w:t xml:space="preserve"> </w:t>
      </w:r>
      <w:r w:rsidRPr="00E3232D">
        <w:rPr>
          <w:rFonts w:ascii="Book Antiqua" w:hAnsi="Book Antiqua"/>
          <w:spacing w:val="-1"/>
        </w:rPr>
        <w:t>c</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dit</w:t>
      </w:r>
      <w:r w:rsidRPr="00E3232D">
        <w:rPr>
          <w:rFonts w:ascii="Book Antiqua" w:hAnsi="Book Antiqua"/>
          <w:spacing w:val="8"/>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7"/>
        </w:rPr>
        <w:t xml:space="preserve"> </w:t>
      </w:r>
      <w:r w:rsidRPr="00E3232D">
        <w:rPr>
          <w:rFonts w:ascii="Book Antiqua" w:hAnsi="Book Antiqua"/>
          <w:spacing w:val="-1"/>
        </w:rPr>
        <w:t>a</w:t>
      </w:r>
      <w:r w:rsidRPr="00E3232D">
        <w:rPr>
          <w:rFonts w:ascii="Book Antiqua" w:hAnsi="Book Antiqua"/>
        </w:rPr>
        <w:t>bi</w:t>
      </w:r>
      <w:r w:rsidRPr="00E3232D">
        <w:rPr>
          <w:rFonts w:ascii="Book Antiqua" w:hAnsi="Book Antiqua"/>
          <w:spacing w:val="1"/>
        </w:rPr>
        <w:t>l</w:t>
      </w:r>
      <w:r w:rsidRPr="00E3232D">
        <w:rPr>
          <w:rFonts w:ascii="Book Antiqua" w:hAnsi="Book Antiqua"/>
        </w:rPr>
        <w:t>i</w:t>
      </w:r>
      <w:r w:rsidRPr="00E3232D">
        <w:rPr>
          <w:rFonts w:ascii="Book Antiqua" w:hAnsi="Book Antiqua"/>
          <w:spacing w:val="3"/>
        </w:rPr>
        <w:t>t</w:t>
      </w:r>
      <w:r w:rsidRPr="00E3232D">
        <w:rPr>
          <w:rFonts w:ascii="Book Antiqua" w:hAnsi="Book Antiqua"/>
        </w:rPr>
        <w:t>y to</w:t>
      </w:r>
      <w:r w:rsidRPr="00E3232D">
        <w:rPr>
          <w:rFonts w:ascii="Book Antiqua" w:hAnsi="Book Antiqua"/>
          <w:spacing w:val="8"/>
        </w:rPr>
        <w:t xml:space="preserve"> </w:t>
      </w:r>
      <w:r w:rsidRPr="00E3232D">
        <w:rPr>
          <w:rFonts w:ascii="Book Antiqua" w:hAnsi="Book Antiqua"/>
        </w:rPr>
        <w:t>use</w:t>
      </w:r>
      <w:r w:rsidRPr="00E3232D">
        <w:rPr>
          <w:rFonts w:ascii="Book Antiqua" w:hAnsi="Book Antiqua"/>
          <w:spacing w:val="6"/>
        </w:rPr>
        <w:t xml:space="preserve"> </w:t>
      </w:r>
      <w:r w:rsidRPr="00E3232D">
        <w:rPr>
          <w:rFonts w:ascii="Book Antiqua" w:hAnsi="Book Antiqua"/>
        </w:rPr>
        <w:t>th</w:t>
      </w:r>
      <w:r w:rsidRPr="00E3232D">
        <w:rPr>
          <w:rFonts w:ascii="Book Antiqua" w:hAnsi="Book Antiqua"/>
          <w:spacing w:val="1"/>
        </w:rPr>
        <w:t>i</w:t>
      </w:r>
      <w:r w:rsidRPr="00E3232D">
        <w:rPr>
          <w:rFonts w:ascii="Book Antiqua" w:hAnsi="Book Antiqua"/>
        </w:rPr>
        <w:t xml:space="preserve">s </w:t>
      </w:r>
      <w:r w:rsidRPr="00E3232D">
        <w:rPr>
          <w:rFonts w:ascii="Book Antiqua" w:hAnsi="Book Antiqua"/>
          <w:spacing w:val="-1"/>
        </w:rPr>
        <w:t>c</w:t>
      </w:r>
      <w:r w:rsidRPr="00E3232D">
        <w:rPr>
          <w:rFonts w:ascii="Book Antiqua" w:hAnsi="Book Antiqua"/>
        </w:rPr>
        <w:t>r</w:t>
      </w:r>
      <w:r w:rsidRPr="00E3232D">
        <w:rPr>
          <w:rFonts w:ascii="Book Antiqua" w:hAnsi="Book Antiqua"/>
          <w:spacing w:val="-2"/>
        </w:rPr>
        <w:t>e</w:t>
      </w:r>
      <w:r w:rsidRPr="00E3232D">
        <w:rPr>
          <w:rFonts w:ascii="Book Antiqua" w:hAnsi="Book Antiqua"/>
        </w:rPr>
        <w:t>dit</w:t>
      </w:r>
      <w:r w:rsidRPr="00E3232D">
        <w:rPr>
          <w:rFonts w:ascii="Book Antiqua" w:hAnsi="Book Antiqua"/>
          <w:spacing w:val="1"/>
        </w:rPr>
        <w:t xml:space="preserve"> </w:t>
      </w:r>
      <w:r w:rsidRPr="00E3232D">
        <w:rPr>
          <w:rFonts w:ascii="Book Antiqua" w:hAnsi="Book Antiqua"/>
        </w:rPr>
        <w:t>wis</w:t>
      </w:r>
      <w:r w:rsidRPr="00E3232D">
        <w:rPr>
          <w:rFonts w:ascii="Book Antiqua" w:hAnsi="Book Antiqua"/>
          <w:spacing w:val="-1"/>
        </w:rPr>
        <w:t>e</w:t>
      </w:r>
      <w:r w:rsidRPr="00E3232D">
        <w:rPr>
          <w:rFonts w:ascii="Book Antiqua" w:hAnsi="Book Antiqua"/>
          <w:spacing w:val="5"/>
        </w:rPr>
        <w:t>l</w:t>
      </w:r>
      <w:r w:rsidRPr="00E3232D">
        <w:rPr>
          <w:rFonts w:ascii="Book Antiqua" w:hAnsi="Book Antiqua"/>
          <w:spacing w:val="-5"/>
        </w:rPr>
        <w:t>y</w:t>
      </w:r>
      <w:r w:rsidRPr="00E3232D">
        <w:rPr>
          <w:rFonts w:ascii="Book Antiqua" w:hAnsi="Book Antiqua"/>
        </w:rPr>
        <w:t>.</w:t>
      </w:r>
    </w:p>
    <w:p w14:paraId="02770BB8" w14:textId="77777777" w:rsidR="00E00EF9" w:rsidRDefault="00E00EF9" w:rsidP="001765F6">
      <w:pPr>
        <w:widowControl w:val="0"/>
        <w:tabs>
          <w:tab w:val="left" w:pos="4540"/>
        </w:tabs>
        <w:autoSpaceDE w:val="0"/>
        <w:autoSpaceDN w:val="0"/>
        <w:adjustRightInd w:val="0"/>
        <w:spacing w:before="74" w:after="0"/>
        <w:ind w:left="160" w:right="80"/>
        <w:jc w:val="both"/>
        <w:rPr>
          <w:rFonts w:ascii="Book Antiqua" w:hAnsi="Book Antiqua"/>
          <w:spacing w:val="1"/>
        </w:rPr>
      </w:pPr>
    </w:p>
    <w:p w14:paraId="2C094193" w14:textId="77777777" w:rsidR="00E00EF9" w:rsidRPr="00E3232D" w:rsidRDefault="00E00EF9" w:rsidP="00465AE3">
      <w:pPr>
        <w:widowControl w:val="0"/>
        <w:tabs>
          <w:tab w:val="left" w:pos="4540"/>
        </w:tabs>
        <w:autoSpaceDE w:val="0"/>
        <w:autoSpaceDN w:val="0"/>
        <w:adjustRightInd w:val="0"/>
        <w:spacing w:before="74"/>
        <w:ind w:left="160" w:right="80"/>
        <w:jc w:val="both"/>
        <w:rPr>
          <w:rFonts w:ascii="Book Antiqua" w:hAnsi="Book Antiqua"/>
        </w:rPr>
      </w:pPr>
      <w:r w:rsidRPr="00E3232D">
        <w:rPr>
          <w:rFonts w:ascii="Book Antiqua" w:hAnsi="Book Antiqua"/>
          <w:spacing w:val="1"/>
        </w:rPr>
        <w:t>W</w:t>
      </w:r>
      <w:r w:rsidRPr="00E3232D">
        <w:rPr>
          <w:rFonts w:ascii="Book Antiqua" w:hAnsi="Book Antiqua"/>
        </w:rPr>
        <w:t>hole</w:t>
      </w:r>
      <w:r w:rsidRPr="00E3232D">
        <w:rPr>
          <w:rFonts w:ascii="Book Antiqua" w:hAnsi="Book Antiqua"/>
          <w:spacing w:val="18"/>
        </w:rPr>
        <w:t xml:space="preserve"> </w:t>
      </w:r>
      <w:r w:rsidRPr="00E3232D">
        <w:rPr>
          <w:rFonts w:ascii="Book Antiqua" w:hAnsi="Book Antiqua"/>
          <w:spacing w:val="-1"/>
        </w:rPr>
        <w:t>a</w:t>
      </w:r>
      <w:r w:rsidRPr="00E3232D">
        <w:rPr>
          <w:rFonts w:ascii="Book Antiqua" w:hAnsi="Book Antiqua"/>
        </w:rPr>
        <w:t>r</w:t>
      </w:r>
      <w:r w:rsidRPr="00E3232D">
        <w:rPr>
          <w:rFonts w:ascii="Book Antiqua" w:hAnsi="Book Antiqua"/>
          <w:spacing w:val="-1"/>
        </w:rPr>
        <w:t>r</w:t>
      </w:r>
      <w:r w:rsidRPr="00E3232D">
        <w:rPr>
          <w:rFonts w:ascii="Book Antiqua" w:hAnsi="Book Antiqua"/>
          <w:spacing w:val="4"/>
        </w:rPr>
        <w:t>a</w:t>
      </w:r>
      <w:r w:rsidRPr="00E3232D">
        <w:rPr>
          <w:rFonts w:ascii="Book Antiqua" w:hAnsi="Book Antiqua"/>
          <w:spacing w:val="-5"/>
        </w:rPr>
        <w:t>y</w:t>
      </w:r>
      <w:r w:rsidRPr="00E3232D">
        <w:rPr>
          <w:rFonts w:ascii="Book Antiqua" w:hAnsi="Book Antiqua"/>
        </w:rPr>
        <w:t>s</w:t>
      </w:r>
      <w:r w:rsidRPr="00E3232D">
        <w:rPr>
          <w:rFonts w:ascii="Book Antiqua" w:hAnsi="Book Antiqua"/>
          <w:spacing w:val="19"/>
        </w:rPr>
        <w:t xml:space="preserve"> </w:t>
      </w:r>
      <w:r w:rsidRPr="00E3232D">
        <w:rPr>
          <w:rFonts w:ascii="Book Antiqua" w:hAnsi="Book Antiqua"/>
        </w:rPr>
        <w:t>of</w:t>
      </w:r>
      <w:r w:rsidRPr="00E3232D">
        <w:rPr>
          <w:rFonts w:ascii="Book Antiqua" w:hAnsi="Book Antiqua"/>
          <w:spacing w:val="18"/>
        </w:rPr>
        <w:t xml:space="preserve"> </w:t>
      </w:r>
      <w:r w:rsidRPr="00E3232D">
        <w:rPr>
          <w:rFonts w:ascii="Book Antiqua" w:hAnsi="Book Antiqua"/>
        </w:rPr>
        <w:t>pol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ies</w:t>
      </w:r>
      <w:r w:rsidRPr="00E3232D">
        <w:rPr>
          <w:rFonts w:ascii="Book Antiqua" w:hAnsi="Book Antiqua"/>
          <w:spacing w:val="21"/>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ve</w:t>
      </w:r>
      <w:r w:rsidRPr="00E3232D">
        <w:rPr>
          <w:rFonts w:ascii="Book Antiqua" w:hAnsi="Book Antiqua"/>
          <w:spacing w:val="18"/>
        </w:rPr>
        <w:t xml:space="preserve"> </w:t>
      </w:r>
      <w:r w:rsidRPr="00E3232D">
        <w:rPr>
          <w:rFonts w:ascii="Book Antiqua" w:hAnsi="Book Antiqua"/>
        </w:rPr>
        <w:t>since</w:t>
      </w:r>
      <w:r w:rsidRPr="00E3232D">
        <w:rPr>
          <w:rFonts w:ascii="Book Antiqua" w:hAnsi="Book Antiqua"/>
          <w:spacing w:val="18"/>
        </w:rPr>
        <w:t xml:space="preserve"> </w:t>
      </w:r>
      <w:r w:rsidRPr="00E3232D">
        <w:rPr>
          <w:rFonts w:ascii="Book Antiqua" w:hAnsi="Book Antiqua"/>
          <w:spacing w:val="2"/>
        </w:rPr>
        <w:t>b</w:t>
      </w:r>
      <w:r w:rsidRPr="00E3232D">
        <w:rPr>
          <w:rFonts w:ascii="Book Antiqua" w:hAnsi="Book Antiqua"/>
          <w:spacing w:val="-1"/>
        </w:rPr>
        <w:t>ee</w:t>
      </w:r>
      <w:r w:rsidRPr="00E3232D">
        <w:rPr>
          <w:rFonts w:ascii="Book Antiqua" w:hAnsi="Book Antiqua"/>
        </w:rPr>
        <w:t>n</w:t>
      </w:r>
      <w:r w:rsidRPr="00E3232D">
        <w:rPr>
          <w:rFonts w:ascii="Book Antiqua" w:hAnsi="Book Antiqua"/>
          <w:spacing w:val="19"/>
        </w:rPr>
        <w:t xml:space="preserve"> </w:t>
      </w:r>
      <w:r w:rsidRPr="00E3232D">
        <w:rPr>
          <w:rFonts w:ascii="Book Antiqua" w:hAnsi="Book Antiqua"/>
        </w:rPr>
        <w:t>f</w:t>
      </w:r>
      <w:r w:rsidRPr="00E3232D">
        <w:rPr>
          <w:rFonts w:ascii="Book Antiqua" w:hAnsi="Book Antiqua"/>
          <w:spacing w:val="1"/>
        </w:rPr>
        <w:t>o</w:t>
      </w:r>
      <w:r w:rsidRPr="00E3232D">
        <w:rPr>
          <w:rFonts w:ascii="Book Antiqua" w:hAnsi="Book Antiqua"/>
          <w:spacing w:val="-1"/>
        </w:rPr>
        <w:t>c</w:t>
      </w:r>
      <w:r w:rsidRPr="00E3232D">
        <w:rPr>
          <w:rFonts w:ascii="Book Antiqua" w:hAnsi="Book Antiqua"/>
        </w:rPr>
        <w:t>us</w:t>
      </w:r>
      <w:r w:rsidRPr="00E3232D">
        <w:rPr>
          <w:rFonts w:ascii="Book Antiqua" w:hAnsi="Book Antiqua"/>
          <w:spacing w:val="1"/>
        </w:rPr>
        <w:t>e</w:t>
      </w:r>
      <w:r w:rsidRPr="00E3232D">
        <w:rPr>
          <w:rFonts w:ascii="Book Antiqua" w:hAnsi="Book Antiqua"/>
        </w:rPr>
        <w:t>d</w:t>
      </w:r>
      <w:r w:rsidRPr="00E3232D">
        <w:rPr>
          <w:rFonts w:ascii="Book Antiqua" w:hAnsi="Book Antiqua"/>
          <w:spacing w:val="19"/>
        </w:rPr>
        <w:t xml:space="preserve"> </w:t>
      </w:r>
      <w:r w:rsidRPr="00E3232D">
        <w:rPr>
          <w:rFonts w:ascii="Book Antiqua" w:hAnsi="Book Antiqua"/>
        </w:rPr>
        <w:t>on</w:t>
      </w:r>
      <w:r w:rsidRPr="00E3232D">
        <w:rPr>
          <w:rFonts w:ascii="Book Antiqua" w:hAnsi="Book Antiqua"/>
          <w:spacing w:val="19"/>
        </w:rPr>
        <w:t xml:space="preserve"> </w:t>
      </w:r>
      <w:r w:rsidRPr="00E3232D">
        <w:rPr>
          <w:rFonts w:ascii="Book Antiqua" w:hAnsi="Book Antiqua"/>
        </w:rPr>
        <w:t>the</w:t>
      </w:r>
      <w:r w:rsidRPr="00E3232D">
        <w:rPr>
          <w:rFonts w:ascii="Book Antiqua" w:hAnsi="Book Antiqua"/>
          <w:spacing w:val="18"/>
        </w:rPr>
        <w:t xml:space="preserve"> </w:t>
      </w:r>
      <w:r w:rsidRPr="00E3232D">
        <w:rPr>
          <w:rFonts w:ascii="Book Antiqua" w:hAnsi="Book Antiqua"/>
        </w:rPr>
        <w:t>potential</w:t>
      </w:r>
      <w:r w:rsidRPr="00E3232D">
        <w:rPr>
          <w:rFonts w:ascii="Book Antiqua" w:hAnsi="Book Antiqua"/>
          <w:spacing w:val="25"/>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18"/>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s</w:t>
      </w:r>
      <w:r w:rsidRPr="00E3232D">
        <w:rPr>
          <w:rFonts w:ascii="Book Antiqua" w:hAnsi="Book Antiqua"/>
          <w:spacing w:val="19"/>
        </w:rPr>
        <w:t xml:space="preserve"> </w:t>
      </w:r>
      <w:r w:rsidRPr="00E3232D">
        <w:rPr>
          <w:rFonts w:ascii="Book Antiqua" w:hAnsi="Book Antiqua"/>
        </w:rPr>
        <w:t>w</w:t>
      </w:r>
      <w:r w:rsidRPr="00E3232D">
        <w:rPr>
          <w:rFonts w:ascii="Book Antiqua" w:hAnsi="Book Antiqua"/>
          <w:spacing w:val="2"/>
        </w:rPr>
        <w:t>h</w:t>
      </w:r>
      <w:r w:rsidRPr="00E3232D">
        <w:rPr>
          <w:rFonts w:ascii="Book Antiqua" w:hAnsi="Book Antiqua"/>
        </w:rPr>
        <w:t xml:space="preserve">o </w:t>
      </w:r>
      <w:r w:rsidRPr="00E3232D">
        <w:rPr>
          <w:rFonts w:ascii="Book Antiqua" w:hAnsi="Book Antiqua"/>
          <w:spacing w:val="-1"/>
        </w:rPr>
        <w:t>a</w:t>
      </w:r>
      <w:r w:rsidRPr="00E3232D">
        <w:rPr>
          <w:rFonts w:ascii="Book Antiqua" w:hAnsi="Book Antiqua"/>
        </w:rPr>
        <w:t>re</w:t>
      </w:r>
      <w:r w:rsidRPr="00E3232D">
        <w:rPr>
          <w:rFonts w:ascii="Book Antiqua" w:hAnsi="Book Antiqua"/>
          <w:spacing w:val="41"/>
        </w:rPr>
        <w:t xml:space="preserve"> </w:t>
      </w:r>
      <w:r w:rsidRPr="00E3232D">
        <w:rPr>
          <w:rFonts w:ascii="Book Antiqua" w:hAnsi="Book Antiqua"/>
          <w:spacing w:val="-1"/>
        </w:rPr>
        <w:t>a</w:t>
      </w:r>
      <w:r w:rsidRPr="00E3232D">
        <w:rPr>
          <w:rFonts w:ascii="Book Antiqua" w:hAnsi="Book Antiqua"/>
        </w:rPr>
        <w:t>b</w:t>
      </w:r>
      <w:r w:rsidRPr="00E3232D">
        <w:rPr>
          <w:rFonts w:ascii="Book Antiqua" w:hAnsi="Book Antiqua"/>
          <w:spacing w:val="3"/>
        </w:rPr>
        <w:t>l</w:t>
      </w:r>
      <w:r w:rsidRPr="00E3232D">
        <w:rPr>
          <w:rFonts w:ascii="Book Antiqua" w:hAnsi="Book Antiqua"/>
        </w:rPr>
        <w:t>e</w:t>
      </w:r>
      <w:r w:rsidRPr="00E3232D">
        <w:rPr>
          <w:rFonts w:ascii="Book Antiqua" w:hAnsi="Book Antiqua"/>
          <w:spacing w:val="42"/>
        </w:rPr>
        <w:t xml:space="preserve"> </w:t>
      </w:r>
      <w:r w:rsidRPr="00E3232D">
        <w:rPr>
          <w:rFonts w:ascii="Book Antiqua" w:hAnsi="Book Antiqua"/>
        </w:rPr>
        <w:t>to</w:t>
      </w:r>
      <w:r w:rsidRPr="00E3232D">
        <w:rPr>
          <w:rFonts w:ascii="Book Antiqua" w:hAnsi="Book Antiqua"/>
          <w:spacing w:val="43"/>
        </w:rPr>
        <w:t xml:space="preserve"> </w:t>
      </w:r>
      <w:r w:rsidRPr="00E3232D">
        <w:rPr>
          <w:rFonts w:ascii="Book Antiqua" w:hAnsi="Book Antiqua"/>
        </w:rPr>
        <w:t>identi</w:t>
      </w:r>
      <w:r w:rsidRPr="00E3232D">
        <w:rPr>
          <w:rFonts w:ascii="Book Antiqua" w:hAnsi="Book Antiqua"/>
          <w:spacing w:val="2"/>
        </w:rPr>
        <w:t>f</w:t>
      </w:r>
      <w:r w:rsidRPr="00E3232D">
        <w:rPr>
          <w:rFonts w:ascii="Book Antiqua" w:hAnsi="Book Antiqua"/>
        </w:rPr>
        <w:t>y</w:t>
      </w:r>
      <w:r w:rsidRPr="00E3232D">
        <w:rPr>
          <w:rFonts w:ascii="Book Antiqua" w:hAnsi="Book Antiqua"/>
          <w:spacing w:val="38"/>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45"/>
        </w:rPr>
        <w:t xml:space="preserve"> </w:t>
      </w:r>
      <w:r w:rsidRPr="00E3232D">
        <w:rPr>
          <w:rFonts w:ascii="Book Antiqua" w:hAnsi="Book Antiqua"/>
          <w:spacing w:val="-1"/>
        </w:rPr>
        <w:t>ec</w:t>
      </w:r>
      <w:r w:rsidRPr="00E3232D">
        <w:rPr>
          <w:rFonts w:ascii="Book Antiqua" w:hAnsi="Book Antiqua"/>
        </w:rPr>
        <w:t>onom</w:t>
      </w:r>
      <w:r w:rsidRPr="00E3232D">
        <w:rPr>
          <w:rFonts w:ascii="Book Antiqua" w:hAnsi="Book Antiqua"/>
          <w:spacing w:val="1"/>
        </w:rPr>
        <w:t>i</w:t>
      </w:r>
      <w:r w:rsidRPr="00E3232D">
        <w:rPr>
          <w:rFonts w:ascii="Book Antiqua" w:hAnsi="Book Antiqua"/>
        </w:rPr>
        <w:t>c</w:t>
      </w:r>
      <w:r w:rsidRPr="00E3232D">
        <w:rPr>
          <w:rFonts w:ascii="Book Antiqua" w:hAnsi="Book Antiqua"/>
          <w:spacing w:val="42"/>
        </w:rPr>
        <w:t xml:space="preserve"> </w:t>
      </w:r>
      <w:r w:rsidRPr="00E3232D">
        <w:rPr>
          <w:rFonts w:ascii="Book Antiqua" w:hAnsi="Book Antiqua"/>
        </w:rPr>
        <w:t>v</w:t>
      </w:r>
      <w:r w:rsidRPr="00E3232D">
        <w:rPr>
          <w:rFonts w:ascii="Book Antiqua" w:hAnsi="Book Antiqua"/>
          <w:spacing w:val="-1"/>
        </w:rPr>
        <w:t>e</w:t>
      </w:r>
      <w:r w:rsidRPr="00E3232D">
        <w:rPr>
          <w:rFonts w:ascii="Book Antiqua" w:hAnsi="Book Antiqua"/>
        </w:rPr>
        <w:t>ntur</w:t>
      </w:r>
      <w:r w:rsidRPr="00E3232D">
        <w:rPr>
          <w:rFonts w:ascii="Book Antiqua" w:hAnsi="Book Antiqua"/>
          <w:spacing w:val="-1"/>
        </w:rPr>
        <w:t>e</w:t>
      </w:r>
      <w:r w:rsidRPr="00E3232D">
        <w:rPr>
          <w:rFonts w:ascii="Book Antiqua" w:hAnsi="Book Antiqua"/>
        </w:rPr>
        <w:t xml:space="preserve">. </w:t>
      </w:r>
      <w:r w:rsidRPr="00E3232D">
        <w:rPr>
          <w:rFonts w:ascii="Book Antiqua" w:hAnsi="Book Antiqua"/>
          <w:spacing w:val="2"/>
        </w:rPr>
        <w:t>T</w:t>
      </w:r>
      <w:r w:rsidRPr="00E3232D">
        <w:rPr>
          <w:rFonts w:ascii="Book Antiqua" w:hAnsi="Book Antiqua"/>
        </w:rPr>
        <w:t>he</w:t>
      </w:r>
      <w:r w:rsidRPr="00E3232D">
        <w:rPr>
          <w:rFonts w:ascii="Book Antiqua" w:hAnsi="Book Antiqua"/>
          <w:spacing w:val="44"/>
        </w:rPr>
        <w:t xml:space="preserve"> </w:t>
      </w:r>
      <w:r w:rsidRPr="00E3232D">
        <w:rPr>
          <w:rFonts w:ascii="Book Antiqua" w:hAnsi="Book Antiqua"/>
          <w:spacing w:val="-2"/>
        </w:rPr>
        <w:t>g</w:t>
      </w:r>
      <w:r w:rsidRPr="00E3232D">
        <w:rPr>
          <w:rFonts w:ascii="Book Antiqua" w:hAnsi="Book Antiqua"/>
          <w:spacing w:val="1"/>
        </w:rPr>
        <w:t>r</w:t>
      </w:r>
      <w:r w:rsidRPr="00E3232D">
        <w:rPr>
          <w:rFonts w:ascii="Book Antiqua" w:hAnsi="Book Antiqua"/>
          <w:spacing w:val="-1"/>
        </w:rPr>
        <w:t>ea</w:t>
      </w:r>
      <w:r w:rsidRPr="00E3232D">
        <w:rPr>
          <w:rFonts w:ascii="Book Antiqua" w:hAnsi="Book Antiqua"/>
        </w:rPr>
        <w:t>t</w:t>
      </w:r>
      <w:r w:rsidRPr="00E3232D">
        <w:rPr>
          <w:rFonts w:ascii="Book Antiqua" w:hAnsi="Book Antiqua"/>
          <w:spacing w:val="43"/>
        </w:rPr>
        <w:t xml:space="preserve"> </w:t>
      </w:r>
      <w:r w:rsidRPr="00E3232D">
        <w:rPr>
          <w:rFonts w:ascii="Book Antiqua" w:hAnsi="Book Antiqua"/>
        </w:rPr>
        <w:t>task</w:t>
      </w:r>
      <w:r w:rsidRPr="00E3232D">
        <w:rPr>
          <w:rFonts w:ascii="Book Antiqua" w:hAnsi="Book Antiqua"/>
          <w:spacing w:val="43"/>
        </w:rPr>
        <w:t xml:space="preserve"> </w:t>
      </w:r>
      <w:r w:rsidRPr="00E3232D">
        <w:rPr>
          <w:rFonts w:ascii="Book Antiqua" w:hAnsi="Book Antiqua"/>
        </w:rPr>
        <w:t>is</w:t>
      </w:r>
      <w:r w:rsidRPr="00E3232D">
        <w:rPr>
          <w:rFonts w:ascii="Book Antiqua" w:hAnsi="Book Antiqua"/>
          <w:spacing w:val="44"/>
        </w:rPr>
        <w:t xml:space="preserve"> </w:t>
      </w:r>
      <w:r w:rsidRPr="00E3232D">
        <w:rPr>
          <w:rFonts w:ascii="Book Antiqua" w:hAnsi="Book Antiqua"/>
        </w:rPr>
        <w:t>the</w:t>
      </w:r>
      <w:r w:rsidRPr="00E3232D">
        <w:rPr>
          <w:rFonts w:ascii="Book Antiqua" w:hAnsi="Book Antiqua"/>
          <w:spacing w:val="42"/>
        </w:rPr>
        <w:t xml:space="preserve"> </w:t>
      </w:r>
      <w:r w:rsidRPr="00E3232D">
        <w:rPr>
          <w:rFonts w:ascii="Book Antiqua" w:hAnsi="Book Antiqua"/>
        </w:rPr>
        <w:t>i</w:t>
      </w:r>
      <w:r w:rsidRPr="00E3232D">
        <w:rPr>
          <w:rFonts w:ascii="Book Antiqua" w:hAnsi="Book Antiqua"/>
          <w:spacing w:val="1"/>
        </w:rPr>
        <w:t>m</w:t>
      </w:r>
      <w:r w:rsidRPr="00E3232D">
        <w:rPr>
          <w:rFonts w:ascii="Book Antiqua" w:hAnsi="Book Antiqua"/>
        </w:rPr>
        <w:t>plem</w:t>
      </w:r>
      <w:r w:rsidRPr="00E3232D">
        <w:rPr>
          <w:rFonts w:ascii="Book Antiqua" w:hAnsi="Book Antiqua"/>
          <w:spacing w:val="-1"/>
        </w:rPr>
        <w:t>e</w:t>
      </w:r>
      <w:r w:rsidRPr="00E3232D">
        <w:rPr>
          <w:rFonts w:ascii="Book Antiqua" w:hAnsi="Book Antiqua"/>
        </w:rPr>
        <w:t>ntation</w:t>
      </w:r>
      <w:r w:rsidRPr="00E3232D">
        <w:rPr>
          <w:rFonts w:ascii="Book Antiqua" w:hAnsi="Book Antiqua"/>
          <w:spacing w:val="43"/>
        </w:rPr>
        <w:t xml:space="preserve"> </w:t>
      </w:r>
      <w:r w:rsidRPr="00E3232D">
        <w:rPr>
          <w:rFonts w:ascii="Book Antiqua" w:hAnsi="Book Antiqua"/>
        </w:rPr>
        <w:t>of</w:t>
      </w:r>
      <w:r w:rsidRPr="00E3232D">
        <w:rPr>
          <w:rFonts w:ascii="Book Antiqua" w:hAnsi="Book Antiqua"/>
          <w:spacing w:val="42"/>
        </w:rPr>
        <w:t xml:space="preserve"> </w:t>
      </w:r>
      <w:r w:rsidRPr="00E3232D">
        <w:rPr>
          <w:rFonts w:ascii="Book Antiqua" w:hAnsi="Book Antiqua"/>
        </w:rPr>
        <w:t>these p</w:t>
      </w:r>
      <w:r w:rsidRPr="00E3232D">
        <w:rPr>
          <w:rFonts w:ascii="Book Antiqua" w:hAnsi="Book Antiqua"/>
          <w:spacing w:val="-1"/>
        </w:rPr>
        <w:t>r</w:t>
      </w:r>
      <w:r w:rsidRPr="00E3232D">
        <w:rPr>
          <w:rFonts w:ascii="Book Antiqua" w:hAnsi="Book Antiqua"/>
        </w:rPr>
        <w:t>ogr</w:t>
      </w:r>
      <w:r w:rsidRPr="00E3232D">
        <w:rPr>
          <w:rFonts w:ascii="Book Antiqua" w:hAnsi="Book Antiqua"/>
          <w:spacing w:val="-2"/>
        </w:rPr>
        <w:t>a</w:t>
      </w:r>
      <w:r w:rsidRPr="00E3232D">
        <w:rPr>
          <w:rFonts w:ascii="Book Antiqua" w:hAnsi="Book Antiqua"/>
        </w:rPr>
        <w:t>m</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 xml:space="preserve">s, the timeliness </w:t>
      </w:r>
      <w:r w:rsidRPr="00E3232D">
        <w:rPr>
          <w:rFonts w:ascii="Book Antiqua" w:hAnsi="Book Antiqua"/>
          <w:spacing w:val="-1"/>
        </w:rPr>
        <w:t>a</w:t>
      </w:r>
      <w:r w:rsidRPr="00E3232D">
        <w:rPr>
          <w:rFonts w:ascii="Book Antiqua" w:hAnsi="Book Antiqua"/>
        </w:rPr>
        <w:t xml:space="preserve">nd </w:t>
      </w:r>
      <w:r w:rsidRPr="00E3232D">
        <w:rPr>
          <w:rFonts w:ascii="Book Antiqua" w:hAnsi="Book Antiqua"/>
          <w:spacing w:val="-1"/>
        </w:rPr>
        <w:t>c</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dit</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v</w:t>
      </w:r>
      <w:r w:rsidRPr="00E3232D">
        <w:rPr>
          <w:rFonts w:ascii="Book Antiqua" w:hAnsi="Book Antiqua"/>
          <w:spacing w:val="-1"/>
        </w:rPr>
        <w:t>a</w:t>
      </w:r>
      <w:r w:rsidRPr="00E3232D">
        <w:rPr>
          <w:rFonts w:ascii="Book Antiqua" w:hAnsi="Book Antiqua"/>
        </w:rPr>
        <w:t>i</w:t>
      </w:r>
      <w:r w:rsidRPr="00E3232D">
        <w:rPr>
          <w:rFonts w:ascii="Book Antiqua" w:hAnsi="Book Antiqua"/>
          <w:spacing w:val="1"/>
        </w:rPr>
        <w:t>l</w:t>
      </w:r>
      <w:r w:rsidRPr="00E3232D">
        <w:rPr>
          <w:rFonts w:ascii="Book Antiqua" w:hAnsi="Book Antiqua"/>
          <w:spacing w:val="-1"/>
        </w:rPr>
        <w:t>a</w:t>
      </w:r>
      <w:r w:rsidRPr="00E3232D">
        <w:rPr>
          <w:rFonts w:ascii="Book Antiqua" w:hAnsi="Book Antiqua"/>
        </w:rPr>
        <w:t>bi</w:t>
      </w:r>
      <w:r w:rsidRPr="00E3232D">
        <w:rPr>
          <w:rFonts w:ascii="Book Antiqua" w:hAnsi="Book Antiqua"/>
          <w:spacing w:val="1"/>
        </w:rPr>
        <w:t>l</w:t>
      </w:r>
      <w:r w:rsidRPr="00E3232D">
        <w:rPr>
          <w:rFonts w:ascii="Book Antiqua" w:hAnsi="Book Antiqua"/>
        </w:rPr>
        <w:t>i</w:t>
      </w:r>
      <w:r w:rsidRPr="00E3232D">
        <w:rPr>
          <w:rFonts w:ascii="Book Antiqua" w:hAnsi="Book Antiqua"/>
          <w:spacing w:val="3"/>
        </w:rPr>
        <w:t>t</w:t>
      </w:r>
      <w:r w:rsidRPr="00E3232D">
        <w:rPr>
          <w:rFonts w:ascii="Book Antiqua" w:hAnsi="Book Antiqua"/>
          <w:spacing w:val="-2"/>
        </w:rPr>
        <w:t>y</w:t>
      </w:r>
      <w:r w:rsidRPr="00E3232D">
        <w:rPr>
          <w:rFonts w:ascii="Book Antiqua" w:hAnsi="Book Antiqua"/>
        </w:rPr>
        <w:t>.</w:t>
      </w:r>
    </w:p>
    <w:p w14:paraId="7A2572ED" w14:textId="77777777" w:rsidR="00E00EF9" w:rsidRPr="00E3232D" w:rsidRDefault="00E00EF9" w:rsidP="00465AE3">
      <w:pPr>
        <w:widowControl w:val="0"/>
        <w:autoSpaceDE w:val="0"/>
        <w:autoSpaceDN w:val="0"/>
        <w:adjustRightInd w:val="0"/>
        <w:spacing w:after="0"/>
        <w:ind w:left="160" w:right="75" w:hanging="60"/>
        <w:jc w:val="both"/>
        <w:rPr>
          <w:rFonts w:ascii="Book Antiqua" w:hAnsi="Book Antiqua"/>
        </w:rPr>
      </w:pPr>
      <w:r w:rsidRPr="00E3232D">
        <w:rPr>
          <w:rFonts w:ascii="Book Antiqua" w:hAnsi="Book Antiqua"/>
        </w:rPr>
        <w:t>The</w:t>
      </w:r>
      <w:r w:rsidRPr="00E3232D">
        <w:rPr>
          <w:rFonts w:ascii="Book Antiqua" w:hAnsi="Book Antiqua"/>
          <w:spacing w:val="6"/>
        </w:rPr>
        <w:t xml:space="preserve"> </w:t>
      </w:r>
      <w:r w:rsidRPr="00E3232D">
        <w:rPr>
          <w:rFonts w:ascii="Book Antiqua" w:hAnsi="Book Antiqua"/>
        </w:rPr>
        <w:t>potential</w:t>
      </w:r>
      <w:r w:rsidRPr="00E3232D">
        <w:rPr>
          <w:rFonts w:ascii="Book Antiqua" w:hAnsi="Book Antiqua"/>
          <w:spacing w:val="8"/>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7"/>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8"/>
        </w:rPr>
        <w:t xml:space="preserve"> </w:t>
      </w:r>
      <w:r w:rsidRPr="00E3232D">
        <w:rPr>
          <w:rFonts w:ascii="Book Antiqua" w:hAnsi="Book Antiqua"/>
        </w:rPr>
        <w:t>bo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w:t>
      </w:r>
      <w:r w:rsidRPr="00E3232D">
        <w:rPr>
          <w:rFonts w:ascii="Book Antiqua" w:hAnsi="Book Antiqua"/>
          <w:spacing w:val="1"/>
        </w:rPr>
        <w:t>er</w:t>
      </w:r>
      <w:r w:rsidRPr="00E3232D">
        <w:rPr>
          <w:rFonts w:ascii="Book Antiqua" w:hAnsi="Book Antiqua"/>
        </w:rPr>
        <w:t>s</w:t>
      </w:r>
      <w:r w:rsidRPr="00E3232D">
        <w:rPr>
          <w:rFonts w:ascii="Book Antiqua" w:hAnsi="Book Antiqua"/>
          <w:spacing w:val="8"/>
        </w:rPr>
        <w:t xml:space="preserve"> </w:t>
      </w:r>
      <w:r w:rsidRPr="00E3232D">
        <w:rPr>
          <w:rFonts w:ascii="Book Antiqua" w:hAnsi="Book Antiqua"/>
        </w:rPr>
        <w:t>f</w:t>
      </w:r>
      <w:r w:rsidRPr="00E3232D">
        <w:rPr>
          <w:rFonts w:ascii="Book Antiqua" w:hAnsi="Book Antiqua"/>
          <w:spacing w:val="-2"/>
        </w:rPr>
        <w:t>a</w:t>
      </w:r>
      <w:r w:rsidRPr="00E3232D">
        <w:rPr>
          <w:rFonts w:ascii="Book Antiqua" w:hAnsi="Book Antiqua"/>
        </w:rPr>
        <w:t>i</w:t>
      </w:r>
      <w:r w:rsidRPr="00E3232D">
        <w:rPr>
          <w:rFonts w:ascii="Book Antiqua" w:hAnsi="Book Antiqua"/>
          <w:spacing w:val="1"/>
        </w:rPr>
        <w:t>l</w:t>
      </w:r>
      <w:r w:rsidRPr="00E3232D">
        <w:rPr>
          <w:rFonts w:ascii="Book Antiqua" w:hAnsi="Book Antiqua"/>
          <w:spacing w:val="-1"/>
        </w:rPr>
        <w:t>e</w:t>
      </w:r>
      <w:r w:rsidRPr="00E3232D">
        <w:rPr>
          <w:rFonts w:ascii="Book Antiqua" w:hAnsi="Book Antiqua"/>
        </w:rPr>
        <w:t>d</w:t>
      </w:r>
      <w:r w:rsidRPr="00E3232D">
        <w:rPr>
          <w:rFonts w:ascii="Book Antiqua" w:hAnsi="Book Antiqua"/>
          <w:spacing w:val="8"/>
        </w:rPr>
        <w:t xml:space="preserve"> </w:t>
      </w:r>
      <w:r w:rsidRPr="00E3232D">
        <w:rPr>
          <w:rFonts w:ascii="Book Antiqua" w:hAnsi="Book Antiqua"/>
        </w:rPr>
        <w:t>to</w:t>
      </w:r>
      <w:r w:rsidRPr="00E3232D">
        <w:rPr>
          <w:rFonts w:ascii="Book Antiqua" w:hAnsi="Book Antiqua"/>
          <w:spacing w:val="8"/>
        </w:rPr>
        <w:t xml:space="preserve"> </w:t>
      </w:r>
      <w:r w:rsidRPr="00E3232D">
        <w:rPr>
          <w:rFonts w:ascii="Book Antiqua" w:hAnsi="Book Antiqua"/>
        </w:rPr>
        <w:t>identi</w:t>
      </w:r>
      <w:r w:rsidRPr="00E3232D">
        <w:rPr>
          <w:rFonts w:ascii="Book Antiqua" w:hAnsi="Book Antiqua"/>
          <w:spacing w:val="2"/>
        </w:rPr>
        <w:t>f</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8"/>
        </w:rPr>
        <w:t xml:space="preserve"> </w:t>
      </w:r>
      <w:r w:rsidRPr="00E3232D">
        <w:rPr>
          <w:rFonts w:ascii="Book Antiqua" w:hAnsi="Book Antiqua"/>
          <w:spacing w:val="2"/>
        </w:rPr>
        <w:t>o</w:t>
      </w:r>
      <w:r w:rsidRPr="00E3232D">
        <w:rPr>
          <w:rFonts w:ascii="Book Antiqua" w:hAnsi="Book Antiqua"/>
        </w:rPr>
        <w:t>pportuni</w:t>
      </w:r>
      <w:r w:rsidRPr="00E3232D">
        <w:rPr>
          <w:rFonts w:ascii="Book Antiqua" w:hAnsi="Book Antiqua"/>
          <w:spacing w:val="3"/>
        </w:rPr>
        <w:t>t</w:t>
      </w:r>
      <w:r w:rsidRPr="00E3232D">
        <w:rPr>
          <w:rFonts w:ascii="Book Antiqua" w:hAnsi="Book Antiqua"/>
        </w:rPr>
        <w:t>y t</w:t>
      </w:r>
      <w:r w:rsidRPr="00E3232D">
        <w:rPr>
          <w:rFonts w:ascii="Book Antiqua" w:hAnsi="Book Antiqua"/>
          <w:spacing w:val="3"/>
        </w:rPr>
        <w:t>h</w:t>
      </w:r>
      <w:r w:rsidRPr="00E3232D">
        <w:rPr>
          <w:rFonts w:ascii="Book Antiqua" w:hAnsi="Book Antiqua"/>
          <w:spacing w:val="-1"/>
        </w:rPr>
        <w:t>a</w:t>
      </w:r>
      <w:r w:rsidRPr="00E3232D">
        <w:rPr>
          <w:rFonts w:ascii="Book Antiqua" w:hAnsi="Book Antiqua"/>
        </w:rPr>
        <w:t>t</w:t>
      </w:r>
      <w:r w:rsidRPr="00E3232D">
        <w:rPr>
          <w:rFonts w:ascii="Book Antiqua" w:hAnsi="Book Antiqua"/>
          <w:spacing w:val="8"/>
        </w:rPr>
        <w:t xml:space="preserve"> </w:t>
      </w:r>
      <w:r w:rsidRPr="00E3232D">
        <w:rPr>
          <w:rFonts w:ascii="Book Antiqua" w:hAnsi="Book Antiqua"/>
        </w:rPr>
        <w:t>sound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nte</w:t>
      </w:r>
      <w:r w:rsidRPr="00E3232D">
        <w:rPr>
          <w:rFonts w:ascii="Book Antiqua" w:hAnsi="Book Antiqua"/>
          <w:spacing w:val="-1"/>
        </w:rPr>
        <w:t>r</w:t>
      </w:r>
      <w:r w:rsidRPr="00E3232D">
        <w:rPr>
          <w:rFonts w:ascii="Book Antiqua" w:hAnsi="Book Antiqua"/>
        </w:rPr>
        <w:t>p</w:t>
      </w:r>
      <w:r w:rsidRPr="00E3232D">
        <w:rPr>
          <w:rFonts w:ascii="Book Antiqua" w:hAnsi="Book Antiqua"/>
          <w:spacing w:val="-1"/>
        </w:rPr>
        <w:t>r</w:t>
      </w:r>
      <w:r w:rsidRPr="00E3232D">
        <w:rPr>
          <w:rFonts w:ascii="Book Antiqua" w:hAnsi="Book Antiqua"/>
        </w:rPr>
        <w:t>ise</w:t>
      </w:r>
      <w:r w:rsidRPr="00E3232D">
        <w:rPr>
          <w:rFonts w:ascii="Book Antiqua" w:hAnsi="Book Antiqua"/>
          <w:spacing w:val="1"/>
        </w:rPr>
        <w:t xml:space="preserve"> </w:t>
      </w:r>
      <w:r w:rsidRPr="00E3232D">
        <w:rPr>
          <w:rFonts w:ascii="Book Antiqua" w:hAnsi="Book Antiqua"/>
        </w:rPr>
        <w:t>fo</w:t>
      </w:r>
      <w:r w:rsidRPr="00E3232D">
        <w:rPr>
          <w:rFonts w:ascii="Book Antiqua" w:hAnsi="Book Antiqua"/>
          <w:spacing w:val="-1"/>
        </w:rPr>
        <w:t>r</w:t>
      </w:r>
      <w:r w:rsidRPr="00E3232D">
        <w:rPr>
          <w:rFonts w:ascii="Book Antiqua" w:hAnsi="Book Antiqua"/>
        </w:rPr>
        <w:t>m</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s</w:t>
      </w:r>
      <w:r w:rsidRPr="00E3232D">
        <w:rPr>
          <w:rFonts w:ascii="Book Antiqua" w:hAnsi="Book Antiqua"/>
          <w:spacing w:val="-1"/>
        </w:rPr>
        <w:t>ee</w:t>
      </w:r>
      <w:r w:rsidRPr="00E3232D">
        <w:rPr>
          <w:rFonts w:ascii="Book Antiqua" w:hAnsi="Book Antiqua"/>
        </w:rPr>
        <w:t>db</w:t>
      </w:r>
      <w:r w:rsidRPr="00E3232D">
        <w:rPr>
          <w:rFonts w:ascii="Book Antiqua" w:hAnsi="Book Antiqua"/>
          <w:spacing w:val="-1"/>
        </w:rPr>
        <w:t>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rPr>
        <w:t>for futu</w:t>
      </w:r>
      <w:r w:rsidRPr="00E3232D">
        <w:rPr>
          <w:rFonts w:ascii="Book Antiqua" w:hAnsi="Book Antiqua"/>
          <w:spacing w:val="1"/>
        </w:rPr>
        <w:t>r</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ind</w:t>
      </w:r>
      <w:r w:rsidRPr="00E3232D">
        <w:rPr>
          <w:rFonts w:ascii="Book Antiqua" w:hAnsi="Book Antiqua"/>
          <w:spacing w:val="1"/>
        </w:rPr>
        <w:t>i</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nous</w:t>
      </w:r>
      <w:r w:rsidRPr="00E3232D">
        <w:rPr>
          <w:rFonts w:ascii="Book Antiqua" w:hAnsi="Book Antiqua"/>
          <w:spacing w:val="2"/>
        </w:rPr>
        <w:t xml:space="preserve"> </w:t>
      </w:r>
      <w:r w:rsidRPr="00E3232D">
        <w:rPr>
          <w:rFonts w:ascii="Book Antiqua" w:hAnsi="Book Antiqua"/>
        </w:rPr>
        <w:t>medium</w:t>
      </w:r>
      <w:r w:rsidRPr="00E3232D">
        <w:rPr>
          <w:rFonts w:ascii="Book Antiqua" w:hAnsi="Book Antiqua"/>
          <w:spacing w:val="2"/>
        </w:rPr>
        <w:t xml:space="preserve"> </w:t>
      </w:r>
      <w:r w:rsidRPr="00E3232D">
        <w:rPr>
          <w:rFonts w:ascii="Book Antiqua" w:hAnsi="Book Antiqua"/>
        </w:rPr>
        <w:t>si</w:t>
      </w:r>
      <w:r w:rsidRPr="00E3232D">
        <w:rPr>
          <w:rFonts w:ascii="Book Antiqua" w:hAnsi="Book Antiqua"/>
          <w:spacing w:val="2"/>
        </w:rPr>
        <w:t>z</w:t>
      </w:r>
      <w:r w:rsidRPr="00E3232D">
        <w:rPr>
          <w:rFonts w:ascii="Book Antiqua" w:hAnsi="Book Antiqua"/>
          <w:spacing w:val="-1"/>
        </w:rPr>
        <w:t>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7"/>
        </w:rPr>
        <w:t xml:space="preserve"> </w:t>
      </w:r>
      <w:r w:rsidRPr="00E3232D">
        <w:rPr>
          <w:rFonts w:ascii="Book Antiqua" w:hAnsi="Book Antiqua"/>
        </w:rPr>
        <w:t>la</w:t>
      </w:r>
      <w:r w:rsidRPr="00E3232D">
        <w:rPr>
          <w:rFonts w:ascii="Book Antiqua" w:hAnsi="Book Antiqua"/>
          <w:spacing w:val="-1"/>
        </w:rPr>
        <w:t>r</w:t>
      </w:r>
      <w:r w:rsidRPr="00E3232D">
        <w:rPr>
          <w:rFonts w:ascii="Book Antiqua" w:hAnsi="Book Antiqua"/>
          <w:spacing w:val="-2"/>
        </w:rPr>
        <w:t>g</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t</w:t>
      </w:r>
      <w:r w:rsidRPr="00E3232D">
        <w:rPr>
          <w:rFonts w:ascii="Book Antiqua" w:hAnsi="Book Antiqua"/>
          <w:spacing w:val="-1"/>
        </w:rPr>
        <w:t>e</w:t>
      </w:r>
      <w:r w:rsidRPr="00E3232D">
        <w:rPr>
          <w:rFonts w:ascii="Book Antiqua" w:hAnsi="Book Antiqua"/>
        </w:rPr>
        <w:t>rp</w:t>
      </w:r>
      <w:r w:rsidRPr="00E3232D">
        <w:rPr>
          <w:rFonts w:ascii="Book Antiqua" w:hAnsi="Book Antiqua"/>
          <w:spacing w:val="-1"/>
        </w:rPr>
        <w:t>r</w:t>
      </w:r>
      <w:r w:rsidRPr="00E3232D">
        <w:rPr>
          <w:rFonts w:ascii="Book Antiqua" w:hAnsi="Book Antiqua"/>
        </w:rPr>
        <w:t>ises (</w:t>
      </w:r>
      <w:r w:rsidRPr="00E3232D">
        <w:rPr>
          <w:rFonts w:ascii="Book Antiqua" w:hAnsi="Book Antiqua"/>
          <w:spacing w:val="-1"/>
        </w:rPr>
        <w:t>Da</w:t>
      </w:r>
      <w:r w:rsidRPr="00E3232D">
        <w:rPr>
          <w:rFonts w:ascii="Book Antiqua" w:hAnsi="Book Antiqua"/>
        </w:rPr>
        <w:t>vid,</w:t>
      </w:r>
      <w:r w:rsidRPr="00E3232D">
        <w:rPr>
          <w:rFonts w:ascii="Book Antiqua" w:hAnsi="Book Antiqua"/>
          <w:spacing w:val="1"/>
        </w:rPr>
        <w:t xml:space="preserve"> </w:t>
      </w:r>
      <w:r w:rsidRPr="00E3232D">
        <w:rPr>
          <w:rFonts w:ascii="Book Antiqua" w:hAnsi="Book Antiqua"/>
        </w:rPr>
        <w:t>1998). This</w:t>
      </w:r>
      <w:r w:rsidRPr="00E3232D">
        <w:rPr>
          <w:rFonts w:ascii="Book Antiqua" w:hAnsi="Book Antiqua"/>
          <w:spacing w:val="2"/>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spacing w:val="2"/>
        </w:rPr>
        <w:t>p</w:t>
      </w:r>
      <w:r w:rsidRPr="00E3232D">
        <w:rPr>
          <w:rFonts w:ascii="Book Antiqua" w:hAnsi="Book Antiqua"/>
        </w:rPr>
        <w:t>p</w:t>
      </w:r>
      <w:r w:rsidRPr="00E3232D">
        <w:rPr>
          <w:rFonts w:ascii="Book Antiqua" w:hAnsi="Book Antiqua"/>
          <w:spacing w:val="-1"/>
        </w:rPr>
        <w:t>e</w:t>
      </w:r>
      <w:r w:rsidRPr="00E3232D">
        <w:rPr>
          <w:rFonts w:ascii="Book Antiqua" w:hAnsi="Book Antiqua"/>
        </w:rPr>
        <w:t>ns</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a r</w:t>
      </w:r>
      <w:r w:rsidRPr="00E3232D">
        <w:rPr>
          <w:rFonts w:ascii="Book Antiqua" w:hAnsi="Book Antiqua"/>
          <w:spacing w:val="-2"/>
        </w:rPr>
        <w:t>e</w:t>
      </w:r>
      <w:r w:rsidRPr="00E3232D">
        <w:rPr>
          <w:rFonts w:ascii="Book Antiqua" w:hAnsi="Book Antiqua"/>
        </w:rPr>
        <w:t>sult</w:t>
      </w:r>
      <w:r w:rsidRPr="00E3232D">
        <w:rPr>
          <w:rFonts w:ascii="Book Antiqua" w:hAnsi="Book Antiqua"/>
          <w:spacing w:val="2"/>
        </w:rPr>
        <w:t xml:space="preserve"> </w:t>
      </w:r>
      <w:r w:rsidRPr="00E3232D">
        <w:rPr>
          <w:rFonts w:ascii="Book Antiqua" w:hAnsi="Book Antiqua"/>
        </w:rPr>
        <w:t>of la</w:t>
      </w:r>
      <w:r w:rsidRPr="00E3232D">
        <w:rPr>
          <w:rFonts w:ascii="Book Antiqua" w:hAnsi="Book Antiqua"/>
          <w:spacing w:val="-1"/>
        </w:rPr>
        <w:t>c</w:t>
      </w:r>
      <w:r w:rsidRPr="00E3232D">
        <w:rPr>
          <w:rFonts w:ascii="Book Antiqua" w:hAnsi="Book Antiqua"/>
        </w:rPr>
        <w:t>k</w:t>
      </w:r>
      <w:r w:rsidRPr="00E3232D">
        <w:rPr>
          <w:rFonts w:ascii="Book Antiqua" w:hAnsi="Book Antiqua"/>
          <w:spacing w:val="1"/>
        </w:rPr>
        <w:t xml:space="preserve"> </w:t>
      </w:r>
      <w:r w:rsidRPr="00E3232D">
        <w:rPr>
          <w:rFonts w:ascii="Book Antiqua" w:hAnsi="Book Antiqua"/>
          <w:spacing w:val="2"/>
        </w:rPr>
        <w:t>o</w:t>
      </w:r>
      <w:r w:rsidRPr="00E3232D">
        <w:rPr>
          <w:rFonts w:ascii="Book Antiqua" w:hAnsi="Book Antiqua"/>
        </w:rPr>
        <w:t>f info</w:t>
      </w:r>
      <w:r w:rsidRPr="00E3232D">
        <w:rPr>
          <w:rFonts w:ascii="Book Antiqua" w:hAnsi="Book Antiqua"/>
          <w:spacing w:val="-1"/>
        </w:rPr>
        <w:t>r</w:t>
      </w:r>
      <w:r w:rsidRPr="00E3232D">
        <w:rPr>
          <w:rFonts w:ascii="Book Antiqua" w:hAnsi="Book Antiqua"/>
        </w:rPr>
        <w:t>mation</w:t>
      </w:r>
      <w:r w:rsidRPr="00E3232D">
        <w:rPr>
          <w:rFonts w:ascii="Book Antiqua" w:hAnsi="Book Antiqua"/>
          <w:spacing w:val="2"/>
        </w:rPr>
        <w:t xml:space="preserve"> </w:t>
      </w:r>
      <w:r w:rsidRPr="00E3232D">
        <w:rPr>
          <w:rFonts w:ascii="Book Antiqua" w:hAnsi="Book Antiqua"/>
        </w:rPr>
        <w:t>on</w:t>
      </w:r>
      <w:r w:rsidRPr="00E3232D">
        <w:rPr>
          <w:rFonts w:ascii="Book Antiqua" w:hAnsi="Book Antiqua"/>
          <w:spacing w:val="1"/>
        </w:rPr>
        <w:t xml:space="preserve"> </w:t>
      </w:r>
      <w:r w:rsidRPr="00E3232D">
        <w:rPr>
          <w:rFonts w:ascii="Book Antiqua" w:hAnsi="Book Antiqua"/>
          <w:spacing w:val="5"/>
        </w:rPr>
        <w:t>t</w:t>
      </w:r>
      <w:r w:rsidRPr="00E3232D">
        <w:rPr>
          <w:rFonts w:ascii="Book Antiqua" w:hAnsi="Book Antiqua"/>
        </w:rPr>
        <w:t>he oppo</w:t>
      </w:r>
      <w:r w:rsidRPr="00E3232D">
        <w:rPr>
          <w:rFonts w:ascii="Book Antiqua" w:hAnsi="Book Antiqua"/>
          <w:spacing w:val="-1"/>
        </w:rPr>
        <w:t>r</w:t>
      </w:r>
      <w:r w:rsidRPr="00E3232D">
        <w:rPr>
          <w:rFonts w:ascii="Book Antiqua" w:hAnsi="Book Antiqua"/>
        </w:rPr>
        <w:t>tun</w:t>
      </w:r>
      <w:r w:rsidRPr="00E3232D">
        <w:rPr>
          <w:rFonts w:ascii="Book Antiqua" w:hAnsi="Book Antiqua"/>
          <w:spacing w:val="1"/>
        </w:rPr>
        <w:t>i</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e</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of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s in c</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mp</w:t>
      </w:r>
      <w:r w:rsidRPr="00E3232D">
        <w:rPr>
          <w:rFonts w:ascii="Book Antiqua" w:hAnsi="Book Antiqua"/>
          <w:spacing w:val="1"/>
        </w:rPr>
        <w:t>i</w:t>
      </w:r>
      <w:r w:rsidRPr="00E3232D">
        <w:rPr>
          <w:rFonts w:ascii="Book Antiqua" w:hAnsi="Book Antiqua"/>
        </w:rPr>
        <w:t>oning</w:t>
      </w:r>
      <w:r w:rsidRPr="00E3232D">
        <w:rPr>
          <w:rFonts w:ascii="Book Antiqua" w:hAnsi="Book Antiqua"/>
          <w:spacing w:val="-2"/>
        </w:rPr>
        <w:t xml:space="preserve"> </w:t>
      </w:r>
      <w:r w:rsidRPr="00E3232D">
        <w:rPr>
          <w:rFonts w:ascii="Book Antiqua" w:hAnsi="Book Antiqua"/>
        </w:rPr>
        <w:t>the d</w:t>
      </w:r>
      <w:r w:rsidRPr="00E3232D">
        <w:rPr>
          <w:rFonts w:ascii="Book Antiqua" w:hAnsi="Book Antiqua"/>
          <w:spacing w:val="-1"/>
        </w:rPr>
        <w:t>e</w:t>
      </w:r>
      <w:r w:rsidRPr="00E3232D">
        <w:rPr>
          <w:rFonts w:ascii="Book Antiqua" w:hAnsi="Book Antiqua"/>
          <w:spacing w:val="2"/>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 of</w:t>
      </w:r>
      <w:r w:rsidRPr="00E3232D">
        <w:rPr>
          <w:rFonts w:ascii="Book Antiqua" w:hAnsi="Book Antiqua"/>
          <w:spacing w:val="2"/>
        </w:rPr>
        <w:t xml:space="preserve"> </w:t>
      </w:r>
      <w:r w:rsidRPr="00E3232D">
        <w:rPr>
          <w:rFonts w:ascii="Book Antiqua" w:hAnsi="Book Antiqua"/>
        </w:rPr>
        <w:t>n</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p>
    <w:p w14:paraId="09B6ECBB" w14:textId="77777777" w:rsidR="00E00EF9" w:rsidRDefault="00E00EF9" w:rsidP="00465AE3">
      <w:pPr>
        <w:widowControl w:val="0"/>
        <w:autoSpaceDE w:val="0"/>
        <w:autoSpaceDN w:val="0"/>
        <w:adjustRightInd w:val="0"/>
        <w:spacing w:after="0"/>
        <w:ind w:left="252" w:right="79" w:hanging="31"/>
        <w:jc w:val="both"/>
        <w:rPr>
          <w:rFonts w:ascii="Book Antiqua" w:hAnsi="Book Antiqua"/>
        </w:rPr>
      </w:pPr>
    </w:p>
    <w:p w14:paraId="49A47483" w14:textId="77777777" w:rsidR="00E00EF9" w:rsidRPr="00E3232D" w:rsidRDefault="00E00EF9" w:rsidP="00465AE3">
      <w:pPr>
        <w:widowControl w:val="0"/>
        <w:autoSpaceDE w:val="0"/>
        <w:autoSpaceDN w:val="0"/>
        <w:adjustRightInd w:val="0"/>
        <w:spacing w:after="0"/>
        <w:ind w:left="252" w:right="79" w:hanging="31"/>
        <w:jc w:val="both"/>
        <w:rPr>
          <w:rFonts w:ascii="Book Antiqua" w:hAnsi="Book Antiqua"/>
        </w:rPr>
      </w:pPr>
      <w:r w:rsidRPr="00E3232D">
        <w:rPr>
          <w:rFonts w:ascii="Book Antiqua" w:hAnsi="Book Antiqua"/>
        </w:rPr>
        <w:t>App</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x</w:t>
      </w:r>
      <w:r w:rsidRPr="00E3232D">
        <w:rPr>
          <w:rFonts w:ascii="Book Antiqua" w:hAnsi="Book Antiqua"/>
        </w:rPr>
        <w:t>i</w:t>
      </w:r>
      <w:r w:rsidRPr="00E3232D">
        <w:rPr>
          <w:rFonts w:ascii="Book Antiqua" w:hAnsi="Book Antiqua"/>
          <w:spacing w:val="1"/>
        </w:rPr>
        <w:t>m</w:t>
      </w:r>
      <w:r w:rsidRPr="00E3232D">
        <w:rPr>
          <w:rFonts w:ascii="Book Antiqua" w:hAnsi="Book Antiqua"/>
          <w:spacing w:val="-1"/>
        </w:rPr>
        <w:t>a</w:t>
      </w:r>
      <w:r w:rsidRPr="00E3232D">
        <w:rPr>
          <w:rFonts w:ascii="Book Antiqua" w:hAnsi="Book Antiqua"/>
        </w:rPr>
        <w:t>te</w:t>
      </w:r>
      <w:r w:rsidRPr="00E3232D">
        <w:rPr>
          <w:rFonts w:ascii="Book Antiqua" w:hAnsi="Book Antiqua"/>
          <w:spacing w:val="4"/>
        </w:rPr>
        <w:t xml:space="preserve"> </w:t>
      </w:r>
      <w:r w:rsidRPr="00E3232D">
        <w:rPr>
          <w:rFonts w:ascii="Book Antiqua" w:hAnsi="Book Antiqua"/>
          <w:spacing w:val="-1"/>
        </w:rPr>
        <w:t>e</w:t>
      </w:r>
      <w:r w:rsidRPr="00E3232D">
        <w:rPr>
          <w:rFonts w:ascii="Book Antiqua" w:hAnsi="Book Antiqua"/>
        </w:rPr>
        <w:t>st</w:t>
      </w:r>
      <w:r w:rsidRPr="00E3232D">
        <w:rPr>
          <w:rFonts w:ascii="Book Antiqua" w:hAnsi="Book Antiqua"/>
          <w:spacing w:val="1"/>
        </w:rPr>
        <w:t>i</w:t>
      </w:r>
      <w:r w:rsidRPr="00E3232D">
        <w:rPr>
          <w:rFonts w:ascii="Book Antiqua" w:hAnsi="Book Antiqua"/>
        </w:rPr>
        <w:t>ma</w:t>
      </w:r>
      <w:r w:rsidRPr="00E3232D">
        <w:rPr>
          <w:rFonts w:ascii="Book Antiqua" w:hAnsi="Book Antiqua"/>
          <w:spacing w:val="-2"/>
        </w:rPr>
        <w:t>t</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v</w:t>
      </w:r>
      <w:r w:rsidRPr="00E3232D">
        <w:rPr>
          <w:rFonts w:ascii="Book Antiqua" w:hAnsi="Book Antiqua"/>
          <w:spacing w:val="-1"/>
        </w:rPr>
        <w:t>ea</w:t>
      </w:r>
      <w:r w:rsidRPr="00E3232D">
        <w:rPr>
          <w:rFonts w:ascii="Book Antiqua" w:hAnsi="Book Antiqua"/>
        </w:rPr>
        <w:t>ls</w:t>
      </w:r>
      <w:r w:rsidRPr="00E3232D">
        <w:rPr>
          <w:rFonts w:ascii="Book Antiqua" w:hAnsi="Book Antiqua"/>
          <w:spacing w:val="6"/>
        </w:rPr>
        <w:t xml:space="preserve"> </w:t>
      </w:r>
      <w:r w:rsidRPr="00E3232D">
        <w:rPr>
          <w:rFonts w:ascii="Book Antiqua" w:hAnsi="Book Antiqua"/>
        </w:rPr>
        <w:t>that</w:t>
      </w:r>
      <w:r w:rsidRPr="00E3232D">
        <w:rPr>
          <w:rFonts w:ascii="Book Antiqua" w:hAnsi="Book Antiqua"/>
          <w:spacing w:val="5"/>
        </w:rPr>
        <w:t xml:space="preserve"> </w:t>
      </w:r>
      <w:r w:rsidRPr="00E3232D">
        <w:rPr>
          <w:rFonts w:ascii="Book Antiqua" w:hAnsi="Book Antiqua"/>
        </w:rPr>
        <w:t>500</w:t>
      </w:r>
      <w:r w:rsidRPr="00E3232D">
        <w:rPr>
          <w:rFonts w:ascii="Book Antiqua" w:hAnsi="Book Antiqua"/>
          <w:spacing w:val="5"/>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rPr>
        <w:t>l</w:t>
      </w:r>
      <w:r w:rsidRPr="00E3232D">
        <w:rPr>
          <w:rFonts w:ascii="Book Antiqua" w:hAnsi="Book Antiqua"/>
          <w:spacing w:val="1"/>
        </w:rPr>
        <w:t>l</w:t>
      </w:r>
      <w:r w:rsidRPr="00E3232D">
        <w:rPr>
          <w:rFonts w:ascii="Book Antiqua" w:hAnsi="Book Antiqua"/>
        </w:rPr>
        <w:t>i</w:t>
      </w:r>
      <w:r w:rsidRPr="00E3232D">
        <w:rPr>
          <w:rFonts w:ascii="Book Antiqua" w:hAnsi="Book Antiqua"/>
          <w:spacing w:val="-2"/>
        </w:rPr>
        <w:t>o</w:t>
      </w:r>
      <w:r w:rsidRPr="00E3232D">
        <w:rPr>
          <w:rFonts w:ascii="Book Antiqua" w:hAnsi="Book Antiqua"/>
        </w:rPr>
        <w:t>n</w:t>
      </w:r>
      <w:r w:rsidRPr="00E3232D">
        <w:rPr>
          <w:rFonts w:ascii="Book Antiqua" w:hAnsi="Book Antiqua"/>
          <w:spacing w:val="5"/>
        </w:rPr>
        <w:t xml:space="preserve"> </w:t>
      </w:r>
      <w:r w:rsidRPr="00E3232D">
        <w:rPr>
          <w:rFonts w:ascii="Book Antiqua" w:hAnsi="Book Antiqua"/>
          <w:spacing w:val="-1"/>
        </w:rPr>
        <w:t>ec</w:t>
      </w:r>
      <w:r w:rsidRPr="00E3232D">
        <w:rPr>
          <w:rFonts w:ascii="Book Antiqua" w:hAnsi="Book Antiqua"/>
        </w:rPr>
        <w:t>onom</w:t>
      </w:r>
      <w:r w:rsidRPr="00E3232D">
        <w:rPr>
          <w:rFonts w:ascii="Book Antiqua" w:hAnsi="Book Antiqua"/>
          <w:spacing w:val="1"/>
        </w:rPr>
        <w:t>i</w:t>
      </w:r>
      <w:r w:rsidRPr="00E3232D">
        <w:rPr>
          <w:rFonts w:ascii="Book Antiqua" w:hAnsi="Book Antiqua"/>
          <w:spacing w:val="-1"/>
        </w:rPr>
        <w:t>ca</w:t>
      </w:r>
      <w:r w:rsidRPr="00E3232D">
        <w:rPr>
          <w:rFonts w:ascii="Book Antiqua" w:hAnsi="Book Antiqua"/>
        </w:rPr>
        <w:t>l</w:t>
      </w:r>
      <w:r w:rsidRPr="00E3232D">
        <w:rPr>
          <w:rFonts w:ascii="Book Antiqua" w:hAnsi="Book Antiqua"/>
          <w:spacing w:val="3"/>
        </w:rPr>
        <w:t>l</w:t>
      </w:r>
      <w:r w:rsidRPr="00E3232D">
        <w:rPr>
          <w:rFonts w:ascii="Book Antiqua" w:hAnsi="Book Antiqua"/>
        </w:rPr>
        <w:t xml:space="preserve">y </w:t>
      </w:r>
      <w:r w:rsidRPr="00E3232D">
        <w:rPr>
          <w:rFonts w:ascii="Book Antiqua" w:hAnsi="Book Antiqua"/>
          <w:spacing w:val="1"/>
        </w:rPr>
        <w:t>a</w:t>
      </w:r>
      <w:r w:rsidRPr="00E3232D">
        <w:rPr>
          <w:rFonts w:ascii="Book Antiqua" w:hAnsi="Book Antiqua"/>
          <w:spacing w:val="-1"/>
        </w:rPr>
        <w:t>c</w:t>
      </w:r>
      <w:r w:rsidRPr="00E3232D">
        <w:rPr>
          <w:rFonts w:ascii="Book Antiqua" w:hAnsi="Book Antiqua"/>
        </w:rPr>
        <w:t>t</w:t>
      </w:r>
      <w:r w:rsidRPr="00E3232D">
        <w:rPr>
          <w:rFonts w:ascii="Book Antiqua" w:hAnsi="Book Antiqua"/>
          <w:spacing w:val="1"/>
        </w:rPr>
        <w:t>i</w:t>
      </w:r>
      <w:r w:rsidRPr="00E3232D">
        <w:rPr>
          <w:rFonts w:ascii="Book Antiqua" w:hAnsi="Book Antiqua"/>
        </w:rPr>
        <w:t>ve</w:t>
      </w:r>
      <w:r w:rsidRPr="00E3232D">
        <w:rPr>
          <w:rFonts w:ascii="Book Antiqua" w:hAnsi="Book Antiqua"/>
          <w:spacing w:val="4"/>
        </w:rPr>
        <w:t xml:space="preserve"> </w:t>
      </w:r>
      <w:r w:rsidRPr="00E3232D">
        <w:rPr>
          <w:rFonts w:ascii="Book Antiqua" w:hAnsi="Book Antiqua"/>
        </w:rPr>
        <w:t>poor</w:t>
      </w:r>
      <w:r w:rsidRPr="00E3232D">
        <w:rPr>
          <w:rFonts w:ascii="Book Antiqua" w:hAnsi="Book Antiqua"/>
          <w:spacing w:val="4"/>
        </w:rPr>
        <w:t xml:space="preserve"> </w:t>
      </w:r>
      <w:r w:rsidRPr="00E3232D">
        <w:rPr>
          <w:rFonts w:ascii="Book Antiqua" w:hAnsi="Book Antiqua"/>
        </w:rPr>
        <w:t>p</w:t>
      </w:r>
      <w:r w:rsidRPr="00E3232D">
        <w:rPr>
          <w:rFonts w:ascii="Book Antiqua" w:hAnsi="Book Antiqua"/>
          <w:spacing w:val="-1"/>
        </w:rPr>
        <w:t>e</w:t>
      </w:r>
      <w:r w:rsidRPr="00E3232D">
        <w:rPr>
          <w:rFonts w:ascii="Book Antiqua" w:hAnsi="Book Antiqua"/>
        </w:rPr>
        <w:t>ople</w:t>
      </w:r>
      <w:r w:rsidRPr="00E3232D">
        <w:rPr>
          <w:rFonts w:ascii="Book Antiqua" w:hAnsi="Book Antiqua"/>
          <w:spacing w:val="4"/>
        </w:rPr>
        <w:t xml:space="preserve"> </w:t>
      </w:r>
      <w:r w:rsidRPr="00E3232D">
        <w:rPr>
          <w:rFonts w:ascii="Book Antiqua" w:hAnsi="Book Antiqua"/>
        </w:rPr>
        <w:t>in</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wo</w:t>
      </w:r>
      <w:r w:rsidRPr="00E3232D">
        <w:rPr>
          <w:rFonts w:ascii="Book Antiqua" w:hAnsi="Book Antiqua"/>
          <w:spacing w:val="-1"/>
        </w:rPr>
        <w:t>r</w:t>
      </w:r>
      <w:r w:rsidRPr="00E3232D">
        <w:rPr>
          <w:rFonts w:ascii="Book Antiqua" w:hAnsi="Book Antiqua"/>
        </w:rPr>
        <w:t>ld op</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a</w:t>
      </w:r>
      <w:r w:rsidRPr="00E3232D">
        <w:rPr>
          <w:rFonts w:ascii="Book Antiqua" w:hAnsi="Book Antiqua"/>
        </w:rPr>
        <w:t>t</w:t>
      </w:r>
      <w:r w:rsidRPr="00E3232D">
        <w:rPr>
          <w:rFonts w:ascii="Book Antiqua" w:hAnsi="Book Antiqua"/>
          <w:spacing w:val="1"/>
        </w:rPr>
        <w:t>i</w:t>
      </w:r>
      <w:r w:rsidRPr="00E3232D">
        <w:rPr>
          <w:rFonts w:ascii="Book Antiqua" w:hAnsi="Book Antiqua"/>
          <w:spacing w:val="2"/>
        </w:rPr>
        <w:t>n</w:t>
      </w:r>
      <w:r w:rsidRPr="00E3232D">
        <w:rPr>
          <w:rFonts w:ascii="Book Antiqua" w:hAnsi="Book Antiqua"/>
        </w:rPr>
        <w:t>g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nte</w:t>
      </w:r>
      <w:r w:rsidRPr="00E3232D">
        <w:rPr>
          <w:rFonts w:ascii="Book Antiqua" w:hAnsi="Book Antiqua"/>
          <w:spacing w:val="-1"/>
        </w:rPr>
        <w:t>r</w:t>
      </w:r>
      <w:r w:rsidRPr="00E3232D">
        <w:rPr>
          <w:rFonts w:ascii="Book Antiqua" w:hAnsi="Book Antiqua"/>
          <w:spacing w:val="2"/>
        </w:rPr>
        <w:t>p</w:t>
      </w:r>
      <w:r w:rsidRPr="00E3232D">
        <w:rPr>
          <w:rFonts w:ascii="Book Antiqua" w:hAnsi="Book Antiqua"/>
        </w:rPr>
        <w:t>r</w:t>
      </w:r>
      <w:r w:rsidRPr="00E3232D">
        <w:rPr>
          <w:rFonts w:ascii="Book Antiqua" w:hAnsi="Book Antiqua"/>
          <w:spacing w:val="2"/>
        </w:rPr>
        <w:t>i</w:t>
      </w:r>
      <w:r w:rsidRPr="00E3232D">
        <w:rPr>
          <w:rFonts w:ascii="Book Antiqua" w:hAnsi="Book Antiqua"/>
        </w:rPr>
        <w:t>s</w:t>
      </w:r>
      <w:r w:rsidRPr="00E3232D">
        <w:rPr>
          <w:rFonts w:ascii="Book Antiqua" w:hAnsi="Book Antiqua"/>
          <w:spacing w:val="-1"/>
        </w:rPr>
        <w:t>e</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rPr>
        <w:t>small</w:t>
      </w:r>
      <w:r w:rsidRPr="00E3232D">
        <w:rPr>
          <w:rFonts w:ascii="Book Antiqua" w:hAnsi="Book Antiqua"/>
          <w:spacing w:val="2"/>
        </w:rPr>
        <w:t xml:space="preserve"> </w:t>
      </w:r>
      <w:r w:rsidRPr="00E3232D">
        <w:rPr>
          <w:rFonts w:ascii="Book Antiqua" w:hAnsi="Book Antiqua"/>
        </w:rPr>
        <w:t>busin</w:t>
      </w:r>
      <w:r w:rsidRPr="00E3232D">
        <w:rPr>
          <w:rFonts w:ascii="Book Antiqua" w:hAnsi="Book Antiqua"/>
          <w:spacing w:val="-1"/>
        </w:rPr>
        <w:t>e</w:t>
      </w:r>
      <w:r w:rsidRPr="00E3232D">
        <w:rPr>
          <w:rFonts w:ascii="Book Antiqua" w:hAnsi="Book Antiqua"/>
        </w:rPr>
        <w:t>ss</w:t>
      </w:r>
      <w:r w:rsidRPr="00E3232D">
        <w:rPr>
          <w:rFonts w:ascii="Book Antiqua" w:hAnsi="Book Antiqua"/>
          <w:spacing w:val="2"/>
        </w:rPr>
        <w:t xml:space="preserve"> </w:t>
      </w:r>
      <w:r w:rsidRPr="00E3232D">
        <w:rPr>
          <w:rFonts w:ascii="Book Antiqua" w:hAnsi="Book Antiqua"/>
          <w:spacing w:val="-2"/>
        </w:rPr>
        <w:t>d</w:t>
      </w:r>
      <w:r w:rsidRPr="00E3232D">
        <w:rPr>
          <w:rFonts w:ascii="Book Antiqua" w:hAnsi="Book Antiqua"/>
        </w:rPr>
        <w:t>o</w:t>
      </w:r>
      <w:r w:rsidRPr="00E3232D">
        <w:rPr>
          <w:rFonts w:ascii="Book Antiqua" w:hAnsi="Book Antiqua"/>
          <w:spacing w:val="2"/>
        </w:rPr>
        <w:t xml:space="preserve"> </w:t>
      </w:r>
      <w:r w:rsidRPr="00E3232D">
        <w:rPr>
          <w:rFonts w:ascii="Book Antiqua" w:hAnsi="Book Antiqua"/>
        </w:rPr>
        <w:t>not</w:t>
      </w:r>
      <w:r w:rsidRPr="00E3232D">
        <w:rPr>
          <w:rFonts w:ascii="Book Antiqua" w:hAnsi="Book Antiqua"/>
          <w:spacing w:val="2"/>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spacing w:val="5"/>
        </w:rPr>
        <w:t>v</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spacing w:val="-1"/>
        </w:rPr>
        <w:t>ac</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ss</w:t>
      </w:r>
      <w:r w:rsidRPr="00E3232D">
        <w:rPr>
          <w:rFonts w:ascii="Book Antiqua" w:hAnsi="Book Antiqua"/>
          <w:spacing w:val="2"/>
        </w:rPr>
        <w:t xml:space="preserve"> </w:t>
      </w:r>
      <w:r w:rsidRPr="00E3232D">
        <w:rPr>
          <w:rFonts w:ascii="Book Antiqua" w:hAnsi="Book Antiqua"/>
        </w:rPr>
        <w:t>to</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d</w:t>
      </w:r>
      <w:r w:rsidRPr="00E3232D">
        <w:rPr>
          <w:rFonts w:ascii="Book Antiqua" w:hAnsi="Book Antiqua"/>
          <w:spacing w:val="-1"/>
        </w:rPr>
        <w:t>e</w:t>
      </w:r>
      <w:r w:rsidRPr="00E3232D">
        <w:rPr>
          <w:rFonts w:ascii="Book Antiqua" w:hAnsi="Book Antiqua"/>
        </w:rPr>
        <w:t>qu</w:t>
      </w:r>
      <w:r w:rsidRPr="00E3232D">
        <w:rPr>
          <w:rFonts w:ascii="Book Antiqua" w:hAnsi="Book Antiqua"/>
          <w:spacing w:val="-1"/>
        </w:rPr>
        <w:t>a</w:t>
      </w:r>
      <w:r w:rsidRPr="00E3232D">
        <w:rPr>
          <w:rFonts w:ascii="Book Antiqua" w:hAnsi="Book Antiqua"/>
        </w:rPr>
        <w:t>te</w:t>
      </w:r>
      <w:r w:rsidRPr="00E3232D">
        <w:rPr>
          <w:rFonts w:ascii="Book Antiqua" w:hAnsi="Book Antiqua"/>
          <w:spacing w:val="1"/>
        </w:rPr>
        <w:t xml:space="preserve"> </w:t>
      </w:r>
      <w:r w:rsidRPr="00E3232D">
        <w:rPr>
          <w:rFonts w:ascii="Book Antiqua" w:hAnsi="Book Antiqua"/>
          <w:spacing w:val="-1"/>
        </w:rPr>
        <w:t>c</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dit</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nd other</w:t>
      </w:r>
      <w:r w:rsidRPr="00E3232D">
        <w:rPr>
          <w:rFonts w:ascii="Book Antiqua" w:hAnsi="Book Antiqua"/>
          <w:spacing w:val="-1"/>
        </w:rPr>
        <w:t xml:space="preserve"> f</w:t>
      </w:r>
      <w:r w:rsidRPr="00E3232D">
        <w:rPr>
          <w:rFonts w:ascii="Book Antiqua" w:hAnsi="Book Antiqua"/>
        </w:rPr>
        <w:t>inan</w:t>
      </w:r>
      <w:r w:rsidRPr="00E3232D">
        <w:rPr>
          <w:rFonts w:ascii="Book Antiqua" w:hAnsi="Book Antiqua"/>
          <w:spacing w:val="-1"/>
        </w:rPr>
        <w:t>c</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 se</w:t>
      </w:r>
      <w:r w:rsidRPr="00E3232D">
        <w:rPr>
          <w:rFonts w:ascii="Book Antiqua" w:hAnsi="Book Antiqua"/>
          <w:spacing w:val="-1"/>
        </w:rPr>
        <w:t>r</w:t>
      </w:r>
      <w:r w:rsidRPr="00E3232D">
        <w:rPr>
          <w:rFonts w:ascii="Book Antiqua" w:hAnsi="Book Antiqua"/>
        </w:rPr>
        <w:t>vic</w:t>
      </w:r>
      <w:r w:rsidRPr="00E3232D">
        <w:rPr>
          <w:rFonts w:ascii="Book Antiqua" w:hAnsi="Book Antiqua"/>
          <w:spacing w:val="-1"/>
        </w:rPr>
        <w:t>e</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w w:val="96"/>
        </w:rPr>
        <w:t>(W</w:t>
      </w:r>
      <w:r w:rsidRPr="00E3232D">
        <w:rPr>
          <w:rFonts w:ascii="Book Antiqua" w:hAnsi="Book Antiqua"/>
          <w:w w:val="96"/>
        </w:rPr>
        <w:t>omen</w:t>
      </w:r>
      <w:r w:rsidRPr="00E3232D">
        <w:rPr>
          <w:rFonts w:ascii="Book Antiqua" w:hAnsi="Book Antiqua"/>
          <w:spacing w:val="-1"/>
          <w:w w:val="96"/>
        </w:rPr>
        <w:t>’</w:t>
      </w:r>
      <w:r w:rsidRPr="00E3232D">
        <w:rPr>
          <w:rFonts w:ascii="Book Antiqua" w:hAnsi="Book Antiqua"/>
          <w:w w:val="96"/>
        </w:rPr>
        <w:t>s</w:t>
      </w:r>
      <w:r w:rsidRPr="00E3232D">
        <w:rPr>
          <w:rFonts w:ascii="Book Antiqua" w:hAnsi="Book Antiqua"/>
          <w:spacing w:val="12"/>
          <w:w w:val="96"/>
        </w:rPr>
        <w:t xml:space="preserve"> </w:t>
      </w:r>
      <w:r w:rsidRPr="00E3232D">
        <w:rPr>
          <w:rFonts w:ascii="Book Antiqua" w:hAnsi="Book Antiqua"/>
          <w:spacing w:val="1"/>
        </w:rPr>
        <w:t>W</w:t>
      </w:r>
      <w:r w:rsidRPr="00E3232D">
        <w:rPr>
          <w:rFonts w:ascii="Book Antiqua" w:hAnsi="Book Antiqua"/>
        </w:rPr>
        <w:t>o</w:t>
      </w:r>
      <w:r w:rsidRPr="00E3232D">
        <w:rPr>
          <w:rFonts w:ascii="Book Antiqua" w:hAnsi="Book Antiqua"/>
          <w:spacing w:val="-1"/>
        </w:rPr>
        <w:t>r</w:t>
      </w:r>
      <w:r w:rsidRPr="00E3232D">
        <w:rPr>
          <w:rFonts w:ascii="Book Antiqua" w:hAnsi="Book Antiqua"/>
        </w:rPr>
        <w:t xml:space="preserve">ld </w:t>
      </w:r>
      <w:r w:rsidRPr="00E3232D">
        <w:rPr>
          <w:rFonts w:ascii="Book Antiqua" w:hAnsi="Book Antiqua"/>
          <w:spacing w:val="-1"/>
        </w:rPr>
        <w:t>Ba</w:t>
      </w:r>
      <w:r w:rsidRPr="00E3232D">
        <w:rPr>
          <w:rFonts w:ascii="Book Antiqua" w:hAnsi="Book Antiqua"/>
        </w:rPr>
        <w:t>nkin</w:t>
      </w:r>
      <w:r w:rsidRPr="00E3232D">
        <w:rPr>
          <w:rFonts w:ascii="Book Antiqua" w:hAnsi="Book Antiqua"/>
          <w:spacing w:val="-2"/>
        </w:rPr>
        <w:t>g</w:t>
      </w:r>
      <w:r w:rsidRPr="00E3232D">
        <w:rPr>
          <w:rFonts w:ascii="Book Antiqua" w:hAnsi="Book Antiqua"/>
        </w:rPr>
        <w:t>, 1995</w:t>
      </w:r>
      <w:r w:rsidRPr="00E3232D">
        <w:rPr>
          <w:rFonts w:ascii="Book Antiqua" w:hAnsi="Book Antiqua"/>
          <w:spacing w:val="-1"/>
        </w:rPr>
        <w:t>)</w:t>
      </w:r>
      <w:r w:rsidRPr="00E3232D">
        <w:rPr>
          <w:rFonts w:ascii="Book Antiqua" w:hAnsi="Book Antiqua"/>
        </w:rPr>
        <w:t>.</w:t>
      </w:r>
    </w:p>
    <w:p w14:paraId="4516905E" w14:textId="77777777" w:rsidR="00E00EF9" w:rsidRPr="00E3232D" w:rsidRDefault="00E00EF9" w:rsidP="00465AE3">
      <w:pPr>
        <w:widowControl w:val="0"/>
        <w:autoSpaceDE w:val="0"/>
        <w:autoSpaceDN w:val="0"/>
        <w:adjustRightInd w:val="0"/>
        <w:spacing w:after="0"/>
        <w:ind w:left="160" w:right="76" w:firstLine="2"/>
        <w:jc w:val="both"/>
        <w:rPr>
          <w:rFonts w:ascii="Book Antiqua" w:hAnsi="Book Antiqua"/>
        </w:rPr>
      </w:pPr>
      <w:r w:rsidRPr="00E3232D">
        <w:rPr>
          <w:rFonts w:ascii="Book Antiqua" w:hAnsi="Book Antiqua"/>
          <w:spacing w:val="-6"/>
        </w:rPr>
        <w:t>I</w:t>
      </w:r>
      <w:r w:rsidRPr="00E3232D">
        <w:rPr>
          <w:rFonts w:ascii="Book Antiqua" w:hAnsi="Book Antiqua"/>
        </w:rPr>
        <w:t>n</w:t>
      </w:r>
      <w:r w:rsidRPr="00E3232D">
        <w:rPr>
          <w:rFonts w:ascii="Book Antiqua" w:hAnsi="Book Antiqua"/>
          <w:spacing w:val="7"/>
        </w:rPr>
        <w:t xml:space="preserve"> </w:t>
      </w:r>
      <w:r w:rsidRPr="00E3232D">
        <w:rPr>
          <w:rFonts w:ascii="Book Antiqua" w:hAnsi="Book Antiqua"/>
        </w:rPr>
        <w:t>a</w:t>
      </w:r>
      <w:r w:rsidRPr="00E3232D">
        <w:rPr>
          <w:rFonts w:ascii="Book Antiqua" w:hAnsi="Book Antiqua"/>
          <w:spacing w:val="6"/>
        </w:rPr>
        <w:t xml:space="preserve"> </w:t>
      </w:r>
      <w:r w:rsidRPr="00E3232D">
        <w:rPr>
          <w:rFonts w:ascii="Book Antiqua" w:hAnsi="Book Antiqua"/>
          <w:spacing w:val="-1"/>
        </w:rPr>
        <w:t>c</w:t>
      </w:r>
      <w:r w:rsidRPr="00E3232D">
        <w:rPr>
          <w:rFonts w:ascii="Book Antiqua" w:hAnsi="Book Antiqua"/>
        </w:rPr>
        <w:t>ount</w:t>
      </w:r>
      <w:r w:rsidRPr="00E3232D">
        <w:rPr>
          <w:rFonts w:ascii="Book Antiqua" w:hAnsi="Book Antiqua"/>
          <w:spacing w:val="4"/>
        </w:rPr>
        <w:t>r</w:t>
      </w:r>
      <w:r w:rsidRPr="00E3232D">
        <w:rPr>
          <w:rFonts w:ascii="Book Antiqua" w:hAnsi="Book Antiqua"/>
        </w:rPr>
        <w:t>y l</w:t>
      </w:r>
      <w:r w:rsidRPr="00E3232D">
        <w:rPr>
          <w:rFonts w:ascii="Book Antiqua" w:hAnsi="Book Antiqua"/>
          <w:spacing w:val="1"/>
        </w:rPr>
        <w:t>i</w:t>
      </w:r>
      <w:r w:rsidRPr="00E3232D">
        <w:rPr>
          <w:rFonts w:ascii="Book Antiqua" w:hAnsi="Book Antiqua"/>
        </w:rPr>
        <w:t>ke</w:t>
      </w:r>
      <w:r w:rsidRPr="00E3232D">
        <w:rPr>
          <w:rFonts w:ascii="Book Antiqua" w:hAnsi="Book Antiqua"/>
          <w:spacing w:val="4"/>
        </w:rPr>
        <w:t xml:space="preserve"> </w:t>
      </w:r>
      <w:r w:rsidRPr="00E3232D">
        <w:rPr>
          <w:rFonts w:ascii="Book Antiqua" w:hAnsi="Book Antiqua"/>
        </w:rPr>
        <w:t>G</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rPr>
        <w:t>,</w:t>
      </w:r>
      <w:r w:rsidRPr="00E3232D">
        <w:rPr>
          <w:rFonts w:ascii="Book Antiqua" w:hAnsi="Book Antiqua"/>
          <w:spacing w:val="5"/>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6"/>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spacing w:val="2"/>
        </w:rPr>
        <w:t>p</w:t>
      </w:r>
      <w:r w:rsidRPr="00E3232D">
        <w:rPr>
          <w:rFonts w:ascii="Book Antiqua" w:hAnsi="Book Antiqua"/>
        </w:rPr>
        <w:t>r</w:t>
      </w:r>
      <w:r w:rsidRPr="00E3232D">
        <w:rPr>
          <w:rFonts w:ascii="Book Antiqua" w:hAnsi="Book Antiqua"/>
          <w:spacing w:val="-2"/>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w:t>
      </w:r>
      <w:r w:rsidRPr="00E3232D">
        <w:rPr>
          <w:rFonts w:ascii="Book Antiqua" w:hAnsi="Book Antiqua"/>
          <w:spacing w:val="2"/>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5"/>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5"/>
        </w:rPr>
        <w:t xml:space="preserve"> </w:t>
      </w:r>
      <w:r w:rsidRPr="00E3232D">
        <w:rPr>
          <w:rFonts w:ascii="Book Antiqua" w:hAnsi="Book Antiqua"/>
        </w:rPr>
        <w:t>is</w:t>
      </w:r>
      <w:r w:rsidRPr="00E3232D">
        <w:rPr>
          <w:rFonts w:ascii="Book Antiqua" w:hAnsi="Book Antiqua"/>
          <w:spacing w:val="6"/>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spacing w:val="2"/>
        </w:rPr>
        <w:t>b</w:t>
      </w:r>
      <w:r w:rsidRPr="00E3232D">
        <w:rPr>
          <w:rFonts w:ascii="Book Antiqua" w:hAnsi="Book Antiqua"/>
          <w:spacing w:val="1"/>
        </w:rPr>
        <w:t>e</w:t>
      </w:r>
      <w:r w:rsidRPr="00E3232D">
        <w:rPr>
          <w:rFonts w:ascii="Book Antiqua" w:hAnsi="Book Antiqua"/>
        </w:rPr>
        <w:t>d</w:t>
      </w:r>
      <w:r w:rsidRPr="00E3232D">
        <w:rPr>
          <w:rFonts w:ascii="Book Antiqua" w:hAnsi="Book Antiqua"/>
          <w:spacing w:val="-1"/>
        </w:rPr>
        <w:t>r</w:t>
      </w:r>
      <w:r w:rsidRPr="00E3232D">
        <w:rPr>
          <w:rFonts w:ascii="Book Antiqua" w:hAnsi="Book Antiqua"/>
        </w:rPr>
        <w:t>o</w:t>
      </w:r>
      <w:r w:rsidRPr="00E3232D">
        <w:rPr>
          <w:rFonts w:ascii="Book Antiqua" w:hAnsi="Book Antiqua"/>
          <w:spacing w:val="-1"/>
        </w:rPr>
        <w:t>c</w:t>
      </w:r>
      <w:r w:rsidRPr="00E3232D">
        <w:rPr>
          <w:rFonts w:ascii="Book Antiqua" w:hAnsi="Book Antiqua"/>
        </w:rPr>
        <w:t>k</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rPr>
        <w:t>t</w:t>
      </w:r>
      <w:r w:rsidRPr="00E3232D">
        <w:rPr>
          <w:rFonts w:ascii="Book Antiqua" w:hAnsi="Book Antiqua"/>
          <w:spacing w:val="3"/>
        </w:rPr>
        <w:t>h</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spacing w:val="-1"/>
        </w:rPr>
        <w:t>c</w:t>
      </w:r>
      <w:r w:rsidRPr="00E3232D">
        <w:rPr>
          <w:rFonts w:ascii="Book Antiqua" w:hAnsi="Book Antiqua"/>
        </w:rPr>
        <w:t>ount</w:t>
      </w:r>
      <w:r w:rsidRPr="00E3232D">
        <w:rPr>
          <w:rFonts w:ascii="Book Antiqua" w:hAnsi="Book Antiqua"/>
          <w:spacing w:val="4"/>
        </w:rPr>
        <w:t>r</w:t>
      </w:r>
      <w:r w:rsidRPr="00E3232D">
        <w:rPr>
          <w:rFonts w:ascii="Book Antiqua" w:hAnsi="Book Antiqua"/>
          <w:spacing w:val="-5"/>
        </w:rPr>
        <w:t>y</w:t>
      </w:r>
      <w:r w:rsidRPr="00E3232D">
        <w:rPr>
          <w:rFonts w:ascii="Book Antiqua" w:hAnsi="Book Antiqua"/>
          <w:spacing w:val="1"/>
          <w:w w:val="75"/>
        </w:rPr>
        <w:t>’</w:t>
      </w:r>
      <w:r w:rsidRPr="00E3232D">
        <w:rPr>
          <w:rFonts w:ascii="Book Antiqua" w:hAnsi="Book Antiqua"/>
        </w:rPr>
        <w:t xml:space="preserve">s </w:t>
      </w:r>
      <w:r w:rsidRPr="00E3232D">
        <w:rPr>
          <w:rFonts w:ascii="Book Antiqua" w:hAnsi="Book Antiqua"/>
          <w:spacing w:val="-1"/>
        </w:rPr>
        <w:t>ac</w:t>
      </w:r>
      <w:r w:rsidRPr="00E3232D">
        <w:rPr>
          <w:rFonts w:ascii="Book Antiqua" w:hAnsi="Book Antiqua"/>
        </w:rPr>
        <w:t>hiev</w:t>
      </w:r>
      <w:r w:rsidRPr="00E3232D">
        <w:rPr>
          <w:rFonts w:ascii="Book Antiqua" w:hAnsi="Book Antiqua"/>
          <w:spacing w:val="-1"/>
        </w:rPr>
        <w:t>e</w:t>
      </w:r>
      <w:r w:rsidRPr="00E3232D">
        <w:rPr>
          <w:rFonts w:ascii="Book Antiqua" w:hAnsi="Book Antiqua"/>
          <w:spacing w:val="3"/>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rPr>
        <w:t>pov</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t</w:t>
      </w:r>
      <w:r w:rsidRPr="00E3232D">
        <w:rPr>
          <w:rFonts w:ascii="Book Antiqua" w:hAnsi="Book Antiqua"/>
        </w:rPr>
        <w:t>y</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a</w:t>
      </w:r>
      <w:r w:rsidRPr="00E3232D">
        <w:rPr>
          <w:rFonts w:ascii="Book Antiqua" w:hAnsi="Book Antiqua"/>
        </w:rPr>
        <w:t>di</w:t>
      </w:r>
      <w:r w:rsidRPr="00E3232D">
        <w:rPr>
          <w:rFonts w:ascii="Book Antiqua" w:hAnsi="Book Antiqua"/>
          <w:spacing w:val="2"/>
        </w:rPr>
        <w:t>c</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 xml:space="preserve">on. </w:t>
      </w:r>
      <w:r w:rsidRPr="00E3232D">
        <w:rPr>
          <w:rFonts w:ascii="Book Antiqua" w:hAnsi="Book Antiqua"/>
          <w:spacing w:val="21"/>
        </w:rPr>
        <w:t xml:space="preserve"> </w:t>
      </w:r>
      <w:r w:rsidRPr="00E3232D">
        <w:rPr>
          <w:rFonts w:ascii="Book Antiqua" w:hAnsi="Book Antiqua"/>
        </w:rPr>
        <w:t>One</w:t>
      </w:r>
      <w:r w:rsidRPr="00E3232D">
        <w:rPr>
          <w:rFonts w:ascii="Book Antiqua" w:hAnsi="Book Antiqua"/>
          <w:spacing w:val="3"/>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rPr>
        <w:t>pov</w:t>
      </w:r>
      <w:r w:rsidRPr="00E3232D">
        <w:rPr>
          <w:rFonts w:ascii="Book Antiqua" w:hAnsi="Book Antiqua"/>
          <w:spacing w:val="-1"/>
        </w:rPr>
        <w:t>e</w:t>
      </w:r>
      <w:r w:rsidRPr="00E3232D">
        <w:rPr>
          <w:rFonts w:ascii="Book Antiqua" w:hAnsi="Book Antiqua"/>
        </w:rPr>
        <w:t>r</w:t>
      </w:r>
      <w:r w:rsidRPr="00E3232D">
        <w:rPr>
          <w:rFonts w:ascii="Book Antiqua" w:hAnsi="Book Antiqua"/>
          <w:spacing w:val="4"/>
        </w:rPr>
        <w:t>t</w:t>
      </w:r>
      <w:r w:rsidRPr="00E3232D">
        <w:rPr>
          <w:rFonts w:ascii="Book Antiqua" w:hAnsi="Book Antiqua"/>
        </w:rPr>
        <w:t xml:space="preserve">y </w:t>
      </w:r>
      <w:r w:rsidRPr="00E3232D">
        <w:rPr>
          <w:rFonts w:ascii="Book Antiqua" w:hAnsi="Book Antiqua"/>
          <w:spacing w:val="-1"/>
        </w:rPr>
        <w:t>e</w:t>
      </w:r>
      <w:r w:rsidRPr="00E3232D">
        <w:rPr>
          <w:rFonts w:ascii="Book Antiqua" w:hAnsi="Book Antiqua"/>
          <w:spacing w:val="1"/>
        </w:rPr>
        <w:t>r</w:t>
      </w:r>
      <w:r w:rsidRPr="00E3232D">
        <w:rPr>
          <w:rFonts w:ascii="Book Antiqua" w:hAnsi="Book Antiqua"/>
          <w:spacing w:val="-1"/>
        </w:rPr>
        <w:t>a</w:t>
      </w:r>
      <w:r w:rsidRPr="00E3232D">
        <w:rPr>
          <w:rFonts w:ascii="Book Antiqua" w:hAnsi="Book Antiqua"/>
        </w:rPr>
        <w:t>di</w:t>
      </w:r>
      <w:r w:rsidRPr="00E3232D">
        <w:rPr>
          <w:rFonts w:ascii="Book Antiqua" w:hAnsi="Book Antiqua"/>
          <w:spacing w:val="6"/>
        </w:rPr>
        <w:t>c</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w:t>
      </w:r>
      <w:r w:rsidRPr="00E3232D">
        <w:rPr>
          <w:rFonts w:ascii="Book Antiqua" w:hAnsi="Book Antiqua"/>
          <w:spacing w:val="5"/>
        </w:rPr>
        <w:t xml:space="preserve"> </w:t>
      </w:r>
      <w:r w:rsidRPr="00E3232D">
        <w:rPr>
          <w:rFonts w:ascii="Book Antiqua" w:hAnsi="Book Antiqua"/>
        </w:rPr>
        <w:t>is</w:t>
      </w:r>
      <w:r w:rsidRPr="00E3232D">
        <w:rPr>
          <w:rFonts w:ascii="Book Antiqua" w:hAnsi="Book Antiqua"/>
          <w:spacing w:val="5"/>
        </w:rPr>
        <w:t xml:space="preserve"> </w:t>
      </w:r>
      <w:r w:rsidRPr="00E3232D">
        <w:rPr>
          <w:rFonts w:ascii="Book Antiqua" w:hAnsi="Book Antiqua"/>
        </w:rPr>
        <w:t>how</w:t>
      </w:r>
      <w:r w:rsidRPr="00E3232D">
        <w:rPr>
          <w:rFonts w:ascii="Book Antiqua" w:hAnsi="Book Antiqua"/>
          <w:spacing w:val="4"/>
        </w:rPr>
        <w:t xml:space="preserve"> </w:t>
      </w:r>
      <w:r w:rsidRPr="00E3232D">
        <w:rPr>
          <w:rFonts w:ascii="Book Antiqua" w:hAnsi="Book Antiqua"/>
        </w:rPr>
        <w:t xml:space="preserve">to </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c</w:t>
      </w:r>
      <w:r w:rsidRPr="00E3232D">
        <w:rPr>
          <w:rFonts w:ascii="Book Antiqua" w:hAnsi="Book Antiqua"/>
        </w:rPr>
        <w:t xml:space="preserve">ourage  the  </w:t>
      </w:r>
      <w:r w:rsidRPr="00E3232D">
        <w:rPr>
          <w:rFonts w:ascii="Book Antiqua" w:hAnsi="Book Antiqua"/>
          <w:spacing w:val="-1"/>
        </w:rPr>
        <w:t>e</w:t>
      </w:r>
      <w:r w:rsidRPr="00E3232D">
        <w:rPr>
          <w:rFonts w:ascii="Book Antiqua" w:hAnsi="Book Antiqua"/>
        </w:rPr>
        <w:t>nt</w:t>
      </w:r>
      <w:r w:rsidRPr="00E3232D">
        <w:rPr>
          <w:rFonts w:ascii="Book Antiqua" w:hAnsi="Book Antiqua"/>
          <w:spacing w:val="2"/>
        </w:rPr>
        <w: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 xml:space="preserve">ial </w:t>
      </w:r>
      <w:r w:rsidRPr="00E3232D">
        <w:rPr>
          <w:rFonts w:ascii="Book Antiqua" w:hAnsi="Book Antiqua"/>
          <w:spacing w:val="1"/>
        </w:rPr>
        <w:t xml:space="preserve"> </w:t>
      </w:r>
      <w:r w:rsidRPr="00E3232D">
        <w:rPr>
          <w:rFonts w:ascii="Book Antiqua" w:hAnsi="Book Antiqua"/>
        </w:rPr>
        <w:t xml:space="preserve">spirit </w:t>
      </w:r>
      <w:r w:rsidRPr="00E3232D">
        <w:rPr>
          <w:rFonts w:ascii="Book Antiqua" w:hAnsi="Book Antiqua"/>
          <w:spacing w:val="2"/>
        </w:rPr>
        <w:t xml:space="preserve"> </w:t>
      </w:r>
      <w:r w:rsidRPr="00E3232D">
        <w:rPr>
          <w:rFonts w:ascii="Book Antiqua" w:hAnsi="Book Antiqua"/>
        </w:rPr>
        <w:t xml:space="preserve">in </w:t>
      </w:r>
      <w:r w:rsidRPr="00E3232D">
        <w:rPr>
          <w:rFonts w:ascii="Book Antiqua" w:hAnsi="Book Antiqua"/>
          <w:spacing w:val="1"/>
        </w:rPr>
        <w:t xml:space="preserve"> </w:t>
      </w:r>
      <w:r w:rsidRPr="00E3232D">
        <w:rPr>
          <w:rFonts w:ascii="Book Antiqua" w:hAnsi="Book Antiqua"/>
        </w:rPr>
        <w:t>the  info</w:t>
      </w:r>
      <w:r w:rsidRPr="00E3232D">
        <w:rPr>
          <w:rFonts w:ascii="Book Antiqua" w:hAnsi="Book Antiqua"/>
          <w:spacing w:val="-1"/>
        </w:rPr>
        <w:t>r</w:t>
      </w:r>
      <w:r w:rsidRPr="00E3232D">
        <w:rPr>
          <w:rFonts w:ascii="Book Antiqua" w:hAnsi="Book Antiqua"/>
        </w:rPr>
        <w:t xml:space="preserve">mal </w:t>
      </w:r>
      <w:r w:rsidRPr="00E3232D">
        <w:rPr>
          <w:rFonts w:ascii="Book Antiqua" w:hAnsi="Book Antiqua"/>
          <w:spacing w:val="1"/>
        </w:rPr>
        <w:t xml:space="preserve"> </w:t>
      </w:r>
      <w:r w:rsidRPr="00E3232D">
        <w:rPr>
          <w:rFonts w:ascii="Book Antiqua" w:hAnsi="Book Antiqua"/>
          <w:spacing w:val="-1"/>
        </w:rPr>
        <w:t>ec</w:t>
      </w:r>
      <w:r w:rsidRPr="00E3232D">
        <w:rPr>
          <w:rFonts w:ascii="Book Antiqua" w:hAnsi="Book Antiqua"/>
        </w:rPr>
        <w:t>ono</w:t>
      </w:r>
      <w:r w:rsidRPr="00E3232D">
        <w:rPr>
          <w:rFonts w:ascii="Book Antiqua" w:hAnsi="Book Antiqua"/>
          <w:spacing w:val="5"/>
        </w:rPr>
        <w:t>m</w:t>
      </w:r>
      <w:r w:rsidRPr="00E3232D">
        <w:rPr>
          <w:rFonts w:ascii="Book Antiqua" w:hAnsi="Book Antiqua"/>
          <w:spacing w:val="-5"/>
        </w:rPr>
        <w:t>y</w:t>
      </w:r>
      <w:r w:rsidRPr="00E3232D">
        <w:rPr>
          <w:rFonts w:ascii="Book Antiqua" w:hAnsi="Book Antiqua"/>
        </w:rPr>
        <w:t xml:space="preserve">, </w:t>
      </w:r>
      <w:r w:rsidRPr="00E3232D">
        <w:rPr>
          <w:rFonts w:ascii="Book Antiqua" w:hAnsi="Book Antiqua"/>
          <w:spacing w:val="1"/>
        </w:rPr>
        <w:t xml:space="preserve"> </w:t>
      </w:r>
      <w:r w:rsidRPr="00E3232D">
        <w:rPr>
          <w:rFonts w:ascii="Book Antiqua" w:hAnsi="Book Antiqua"/>
        </w:rPr>
        <w:t xml:space="preserve">but </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 xml:space="preserve">t </w:t>
      </w:r>
      <w:r w:rsidRPr="00E3232D">
        <w:rPr>
          <w:rFonts w:ascii="Book Antiqua" w:hAnsi="Book Antiqua"/>
          <w:spacing w:val="1"/>
        </w:rPr>
        <w:t xml:space="preserve"> </w:t>
      </w:r>
      <w:r w:rsidRPr="00E3232D">
        <w:rPr>
          <w:rFonts w:ascii="Book Antiqua" w:hAnsi="Book Antiqua"/>
        </w:rPr>
        <w:t>the  s</w:t>
      </w:r>
      <w:r w:rsidRPr="00E3232D">
        <w:rPr>
          <w:rFonts w:ascii="Book Antiqua" w:hAnsi="Book Antiqua"/>
          <w:spacing w:val="-1"/>
        </w:rPr>
        <w:t>a</w:t>
      </w:r>
      <w:r w:rsidRPr="00E3232D">
        <w:rPr>
          <w:rFonts w:ascii="Book Antiqua" w:hAnsi="Book Antiqua"/>
        </w:rPr>
        <w:t>me  t</w:t>
      </w:r>
      <w:r w:rsidRPr="00E3232D">
        <w:rPr>
          <w:rFonts w:ascii="Book Antiqua" w:hAnsi="Book Antiqua"/>
          <w:spacing w:val="1"/>
        </w:rPr>
        <w:t>i</w:t>
      </w:r>
      <w:r w:rsidRPr="00E3232D">
        <w:rPr>
          <w:rFonts w:ascii="Book Antiqua" w:hAnsi="Book Antiqua"/>
        </w:rPr>
        <w:t>me  to fo</w:t>
      </w:r>
      <w:r w:rsidRPr="00E3232D">
        <w:rPr>
          <w:rFonts w:ascii="Book Antiqua" w:hAnsi="Book Antiqua"/>
          <w:spacing w:val="-1"/>
        </w:rPr>
        <w:t>r</w:t>
      </w:r>
      <w:r w:rsidRPr="00E3232D">
        <w:rPr>
          <w:rFonts w:ascii="Book Antiqua" w:hAnsi="Book Antiqua"/>
        </w:rPr>
        <w:t>mali</w:t>
      </w:r>
      <w:r w:rsidRPr="00E3232D">
        <w:rPr>
          <w:rFonts w:ascii="Book Antiqua" w:hAnsi="Book Antiqua"/>
          <w:spacing w:val="2"/>
        </w:rPr>
        <w:t>z</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it</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nou</w:t>
      </w:r>
      <w:r w:rsidRPr="00E3232D">
        <w:rPr>
          <w:rFonts w:ascii="Book Antiqua" w:hAnsi="Book Antiqua"/>
          <w:spacing w:val="-2"/>
        </w:rPr>
        <w:t>g</w:t>
      </w:r>
      <w:r w:rsidRPr="00E3232D">
        <w:rPr>
          <w:rFonts w:ascii="Book Antiqua" w:hAnsi="Book Antiqua"/>
        </w:rPr>
        <w:t xml:space="preserve">h that </w:t>
      </w:r>
      <w:r w:rsidRPr="00E3232D">
        <w:rPr>
          <w:rFonts w:ascii="Book Antiqua" w:hAnsi="Book Antiqua"/>
          <w:spacing w:val="2"/>
        </w:rPr>
        <w:t>s</w:t>
      </w:r>
      <w:r w:rsidRPr="00E3232D">
        <w:rPr>
          <w:rFonts w:ascii="Book Antiqua" w:hAnsi="Book Antiqua"/>
        </w:rPr>
        <w:t>ome of</w:t>
      </w:r>
      <w:r w:rsidRPr="00E3232D">
        <w:rPr>
          <w:rFonts w:ascii="Book Antiqua" w:hAnsi="Book Antiqua"/>
          <w:spacing w:val="-1"/>
        </w:rPr>
        <w:t xml:space="preserve"> </w:t>
      </w:r>
      <w:r w:rsidRPr="00E3232D">
        <w:rPr>
          <w:rFonts w:ascii="Book Antiqua" w:hAnsi="Book Antiqua"/>
        </w:rPr>
        <w:t>i</w:t>
      </w:r>
      <w:r w:rsidRPr="00E3232D">
        <w:rPr>
          <w:rFonts w:ascii="Book Antiqua" w:hAnsi="Book Antiqua"/>
          <w:spacing w:val="1"/>
        </w:rPr>
        <w:t>t</w:t>
      </w:r>
      <w:r w:rsidRPr="00E3232D">
        <w:rPr>
          <w:rFonts w:ascii="Book Antiqua" w:hAnsi="Book Antiqua"/>
        </w:rPr>
        <w:t>s ne</w:t>
      </w:r>
      <w:r w:rsidRPr="00E3232D">
        <w:rPr>
          <w:rFonts w:ascii="Book Antiqua" w:hAnsi="Book Antiqua"/>
          <w:spacing w:val="-1"/>
        </w:rPr>
        <w:t>ga</w:t>
      </w:r>
      <w:r w:rsidRPr="00E3232D">
        <w:rPr>
          <w:rFonts w:ascii="Book Antiqua" w:hAnsi="Book Antiqua"/>
        </w:rPr>
        <w:t>t</w:t>
      </w:r>
      <w:r w:rsidRPr="00E3232D">
        <w:rPr>
          <w:rFonts w:ascii="Book Antiqua" w:hAnsi="Book Antiqua"/>
          <w:spacing w:val="1"/>
        </w:rPr>
        <w:t>i</w:t>
      </w:r>
      <w:r w:rsidRPr="00E3232D">
        <w:rPr>
          <w:rFonts w:ascii="Book Antiqua" w:hAnsi="Book Antiqua"/>
        </w:rPr>
        <w:t>ve</w:t>
      </w:r>
      <w:r w:rsidRPr="00E3232D">
        <w:rPr>
          <w:rFonts w:ascii="Book Antiqua" w:hAnsi="Book Antiqua"/>
          <w:spacing w:val="-1"/>
        </w:rPr>
        <w:t xml:space="preserve"> e</w:t>
      </w:r>
      <w:r w:rsidRPr="00E3232D">
        <w:rPr>
          <w:rFonts w:ascii="Book Antiqua" w:hAnsi="Book Antiqua"/>
        </w:rPr>
        <w:t>le</w:t>
      </w:r>
      <w:r w:rsidRPr="00E3232D">
        <w:rPr>
          <w:rFonts w:ascii="Book Antiqua" w:hAnsi="Book Antiqua"/>
          <w:spacing w:val="2"/>
        </w:rPr>
        <w:t>m</w:t>
      </w:r>
      <w:r w:rsidRPr="00E3232D">
        <w:rPr>
          <w:rFonts w:ascii="Book Antiqua" w:hAnsi="Book Antiqua"/>
          <w:spacing w:val="-1"/>
        </w:rPr>
        <w:t>e</w:t>
      </w:r>
      <w:r w:rsidRPr="00E3232D">
        <w:rPr>
          <w:rFonts w:ascii="Book Antiqua" w:hAnsi="Book Antiqua"/>
        </w:rPr>
        <w:t>nts a</w:t>
      </w:r>
      <w:r w:rsidRPr="00E3232D">
        <w:rPr>
          <w:rFonts w:ascii="Book Antiqua" w:hAnsi="Book Antiqua"/>
          <w:spacing w:val="-1"/>
        </w:rPr>
        <w:t>r</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du</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d (P</w:t>
      </w:r>
      <w:r w:rsidRPr="00E3232D">
        <w:rPr>
          <w:rFonts w:ascii="Book Antiqua" w:hAnsi="Book Antiqua"/>
          <w:spacing w:val="-1"/>
        </w:rPr>
        <w:t>a</w:t>
      </w:r>
      <w:r w:rsidRPr="00E3232D">
        <w:rPr>
          <w:rFonts w:ascii="Book Antiqua" w:hAnsi="Book Antiqua"/>
        </w:rPr>
        <w:t>r</w:t>
      </w:r>
      <w:r w:rsidRPr="00E3232D">
        <w:rPr>
          <w:rFonts w:ascii="Book Antiqua" w:hAnsi="Book Antiqua"/>
          <w:spacing w:val="1"/>
        </w:rPr>
        <w:t>k</w:t>
      </w:r>
      <w:r w:rsidRPr="00E3232D">
        <w:rPr>
          <w:rFonts w:ascii="Book Antiqua" w:hAnsi="Book Antiqua"/>
          <w:spacing w:val="-1"/>
        </w:rPr>
        <w:t>e</w:t>
      </w:r>
      <w:r w:rsidRPr="00E3232D">
        <w:rPr>
          <w:rFonts w:ascii="Book Antiqua" w:hAnsi="Book Antiqua"/>
        </w:rPr>
        <w:t>r</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t al, 1995</w:t>
      </w:r>
      <w:r w:rsidRPr="00E3232D">
        <w:rPr>
          <w:rFonts w:ascii="Book Antiqua" w:hAnsi="Book Antiqua"/>
          <w:spacing w:val="-1"/>
        </w:rPr>
        <w:t>)</w:t>
      </w:r>
      <w:r w:rsidRPr="00E3232D">
        <w:rPr>
          <w:rFonts w:ascii="Book Antiqua" w:hAnsi="Book Antiqua"/>
        </w:rPr>
        <w:t>.</w:t>
      </w:r>
    </w:p>
    <w:p w14:paraId="0DAD4AA1" w14:textId="77777777" w:rsidR="00CD5531" w:rsidRDefault="00CD5531" w:rsidP="00465AE3">
      <w:pPr>
        <w:widowControl w:val="0"/>
        <w:autoSpaceDE w:val="0"/>
        <w:autoSpaceDN w:val="0"/>
        <w:adjustRightInd w:val="0"/>
        <w:spacing w:after="0"/>
        <w:ind w:left="252" w:right="82" w:hanging="89"/>
        <w:jc w:val="both"/>
        <w:rPr>
          <w:rFonts w:ascii="Book Antiqua" w:hAnsi="Book Antiqua"/>
          <w:spacing w:val="-6"/>
        </w:rPr>
      </w:pPr>
    </w:p>
    <w:p w14:paraId="4C14CC38" w14:textId="77777777" w:rsidR="00E00EF9" w:rsidRPr="00E3232D" w:rsidRDefault="00E00EF9" w:rsidP="00465AE3">
      <w:pPr>
        <w:widowControl w:val="0"/>
        <w:autoSpaceDE w:val="0"/>
        <w:autoSpaceDN w:val="0"/>
        <w:adjustRightInd w:val="0"/>
        <w:spacing w:after="0"/>
        <w:ind w:left="252" w:right="82" w:hanging="89"/>
        <w:jc w:val="both"/>
        <w:rPr>
          <w:rFonts w:ascii="Book Antiqua" w:hAnsi="Book Antiqua"/>
        </w:rPr>
      </w:pPr>
      <w:r w:rsidRPr="00E3232D">
        <w:rPr>
          <w:rFonts w:ascii="Book Antiqua" w:hAnsi="Book Antiqua"/>
          <w:spacing w:val="-6"/>
        </w:rPr>
        <w:t>I</w:t>
      </w:r>
      <w:r w:rsidRPr="00E3232D">
        <w:rPr>
          <w:rFonts w:ascii="Book Antiqua" w:hAnsi="Book Antiqua"/>
        </w:rPr>
        <w:t>t</w:t>
      </w:r>
      <w:r w:rsidRPr="00E3232D">
        <w:rPr>
          <w:rFonts w:ascii="Book Antiqua" w:hAnsi="Book Antiqua"/>
          <w:spacing w:val="1"/>
        </w:rPr>
        <w:t xml:space="preserve"> </w:t>
      </w:r>
      <w:r w:rsidRPr="00E3232D">
        <w:rPr>
          <w:rFonts w:ascii="Book Antiqua" w:hAnsi="Book Antiqua"/>
        </w:rPr>
        <w:t>is</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vident</w:t>
      </w:r>
      <w:r w:rsidRPr="00E3232D">
        <w:rPr>
          <w:rFonts w:ascii="Book Antiqua" w:hAnsi="Book Antiqua"/>
          <w:spacing w:val="1"/>
        </w:rPr>
        <w:t xml:space="preserve"> </w:t>
      </w:r>
      <w:r w:rsidRPr="00E3232D">
        <w:rPr>
          <w:rFonts w:ascii="Book Antiqua" w:hAnsi="Book Antiqua"/>
        </w:rPr>
        <w:t>that</w:t>
      </w:r>
      <w:r w:rsidRPr="00E3232D">
        <w:rPr>
          <w:rFonts w:ascii="Book Antiqua" w:hAnsi="Book Antiqua"/>
          <w:spacing w:val="1"/>
        </w:rPr>
        <w:t xml:space="preserve"> </w:t>
      </w:r>
      <w:r w:rsidRPr="00E3232D">
        <w:rPr>
          <w:rFonts w:ascii="Book Antiqua" w:hAnsi="Book Antiqua"/>
        </w:rPr>
        <w:t>po</w:t>
      </w:r>
      <w:r w:rsidRPr="00E3232D">
        <w:rPr>
          <w:rFonts w:ascii="Book Antiqua" w:hAnsi="Book Antiqua"/>
          <w:spacing w:val="-2"/>
        </w:rPr>
        <w:t>t</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2"/>
        </w:rPr>
        <w:t>e</w:t>
      </w:r>
      <w:r w:rsidRPr="00E3232D">
        <w:rPr>
          <w:rFonts w:ascii="Book Antiqua" w:hAnsi="Book Antiqua"/>
        </w:rPr>
        <w:t>rs fa</w:t>
      </w:r>
      <w:r w:rsidRPr="00E3232D">
        <w:rPr>
          <w:rFonts w:ascii="Book Antiqua" w:hAnsi="Book Antiqua"/>
          <w:spacing w:val="-1"/>
        </w:rPr>
        <w:t>c</w:t>
      </w:r>
      <w:r w:rsidRPr="00E3232D">
        <w:rPr>
          <w:rFonts w:ascii="Book Antiqua" w:hAnsi="Book Antiqua"/>
        </w:rPr>
        <w:t>e nu</w:t>
      </w:r>
      <w:r w:rsidRPr="00E3232D">
        <w:rPr>
          <w:rFonts w:ascii="Book Antiqua" w:hAnsi="Book Antiqua"/>
          <w:spacing w:val="3"/>
        </w:rPr>
        <w:t>m</w:t>
      </w:r>
      <w:r w:rsidRPr="00E3232D">
        <w:rPr>
          <w:rFonts w:ascii="Book Antiqua" w:hAnsi="Book Antiqua"/>
          <w:spacing w:val="-1"/>
        </w:rPr>
        <w:t>e</w:t>
      </w:r>
      <w:r w:rsidRPr="00E3232D">
        <w:rPr>
          <w:rFonts w:ascii="Book Antiqua" w:hAnsi="Book Antiqua"/>
        </w:rPr>
        <w:t xml:space="preserve">rous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 oppo</w:t>
      </w:r>
      <w:r w:rsidRPr="00E3232D">
        <w:rPr>
          <w:rFonts w:ascii="Book Antiqua" w:hAnsi="Book Antiqua"/>
          <w:spacing w:val="-1"/>
        </w:rPr>
        <w:t>r</w:t>
      </w:r>
      <w:r w:rsidRPr="00E3232D">
        <w:rPr>
          <w:rFonts w:ascii="Book Antiqua" w:hAnsi="Book Antiqua"/>
        </w:rPr>
        <w:t>tun</w:t>
      </w:r>
      <w:r w:rsidRPr="00E3232D">
        <w:rPr>
          <w:rFonts w:ascii="Book Antiqua" w:hAnsi="Book Antiqua"/>
          <w:spacing w:val="1"/>
        </w:rPr>
        <w:t>i</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e</w:t>
      </w:r>
      <w:r w:rsidRPr="00E3232D">
        <w:rPr>
          <w:rFonts w:ascii="Book Antiqua" w:hAnsi="Book Antiqua"/>
        </w:rPr>
        <w:t xml:space="preserve">s as </w:t>
      </w:r>
      <w:r w:rsidRPr="00E3232D">
        <w:rPr>
          <w:rFonts w:ascii="Book Antiqua" w:hAnsi="Book Antiqua"/>
          <w:spacing w:val="-1"/>
        </w:rPr>
        <w:t>we</w:t>
      </w:r>
      <w:r w:rsidRPr="00E3232D">
        <w:rPr>
          <w:rFonts w:ascii="Book Antiqua" w:hAnsi="Book Antiqua"/>
        </w:rPr>
        <w:t>ll</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rPr>
        <w:t>th</w:t>
      </w:r>
      <w:r w:rsidRPr="00E3232D">
        <w:rPr>
          <w:rFonts w:ascii="Book Antiqua" w:hAnsi="Book Antiqua"/>
          <w:spacing w:val="1"/>
        </w:rPr>
        <w:t>i</w:t>
      </w:r>
      <w:r w:rsidRPr="00E3232D">
        <w:rPr>
          <w:rFonts w:ascii="Book Antiqua" w:hAnsi="Book Antiqua"/>
        </w:rPr>
        <w:t>s ne</w:t>
      </w:r>
      <w:r w:rsidRPr="00E3232D">
        <w:rPr>
          <w:rFonts w:ascii="Book Antiqua" w:hAnsi="Book Antiqua"/>
          <w:spacing w:val="-2"/>
        </w:rPr>
        <w:t>e</w:t>
      </w:r>
      <w:r w:rsidRPr="00E3232D">
        <w:rPr>
          <w:rFonts w:ascii="Book Antiqua" w:hAnsi="Book Antiqua"/>
        </w:rPr>
        <w:t xml:space="preserve">ds a </w:t>
      </w:r>
      <w:r w:rsidRPr="00E3232D">
        <w:rPr>
          <w:rFonts w:ascii="Book Antiqua" w:hAnsi="Book Antiqua"/>
          <w:spacing w:val="-2"/>
        </w:rPr>
        <w:t>c</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e</w:t>
      </w:r>
      <w:r w:rsidRPr="00E3232D">
        <w:rPr>
          <w:rFonts w:ascii="Book Antiqua" w:hAnsi="Book Antiqua"/>
        </w:rPr>
        <w:t>ful stu</w:t>
      </w:r>
      <w:r w:rsidRPr="00E3232D">
        <w:rPr>
          <w:rFonts w:ascii="Book Antiqua" w:hAnsi="Book Antiqua"/>
          <w:spacing w:val="3"/>
        </w:rPr>
        <w:t>d</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spacing w:val="5"/>
        </w:rPr>
        <w:t>l</w:t>
      </w:r>
      <w:r w:rsidRPr="00E3232D">
        <w:rPr>
          <w:rFonts w:ascii="Book Antiqua" w:hAnsi="Book Antiqua"/>
          <w:spacing w:val="-5"/>
        </w:rPr>
        <w:t>y</w:t>
      </w:r>
      <w:r w:rsidRPr="00E3232D">
        <w:rPr>
          <w:rFonts w:ascii="Book Antiqua" w:hAnsi="Book Antiqua"/>
        </w:rPr>
        <w:t>s</w:t>
      </w:r>
      <w:r w:rsidRPr="00E3232D">
        <w:rPr>
          <w:rFonts w:ascii="Book Antiqua" w:hAnsi="Book Antiqua"/>
          <w:spacing w:val="-1"/>
        </w:rPr>
        <w:t>e</w:t>
      </w:r>
      <w:r w:rsidRPr="00E3232D">
        <w:rPr>
          <w:rFonts w:ascii="Book Antiqua" w:hAnsi="Book Antiqua"/>
        </w:rPr>
        <w:t>s.</w:t>
      </w:r>
    </w:p>
    <w:p w14:paraId="54EB4FFE" w14:textId="77777777" w:rsidR="00E00EF9" w:rsidRDefault="00E00EF9" w:rsidP="001765F6">
      <w:pPr>
        <w:widowControl w:val="0"/>
        <w:autoSpaceDE w:val="0"/>
        <w:autoSpaceDN w:val="0"/>
        <w:adjustRightInd w:val="0"/>
        <w:spacing w:after="0"/>
        <w:ind w:left="252" w:right="82" w:hanging="89"/>
        <w:jc w:val="both"/>
        <w:rPr>
          <w:rFonts w:ascii="Book Antiqua" w:hAnsi="Book Antiqua"/>
          <w:b/>
        </w:rPr>
      </w:pPr>
    </w:p>
    <w:p w14:paraId="6268A055" w14:textId="77777777" w:rsidR="00E00EF9" w:rsidRPr="00E3232D" w:rsidRDefault="00E00EF9" w:rsidP="00465AE3">
      <w:pPr>
        <w:widowControl w:val="0"/>
        <w:autoSpaceDE w:val="0"/>
        <w:autoSpaceDN w:val="0"/>
        <w:adjustRightInd w:val="0"/>
        <w:ind w:left="252" w:right="82" w:hanging="89"/>
        <w:jc w:val="both"/>
        <w:rPr>
          <w:rFonts w:ascii="Book Antiqua" w:hAnsi="Book Antiqua"/>
          <w:b/>
        </w:rPr>
      </w:pPr>
      <w:r w:rsidRPr="00E3232D">
        <w:rPr>
          <w:rFonts w:ascii="Book Antiqua" w:hAnsi="Book Antiqua"/>
          <w:b/>
        </w:rPr>
        <w:t>Challenges Facing Potential Micro Entrepreneurial Borrowers</w:t>
      </w:r>
    </w:p>
    <w:p w14:paraId="62DBCDA5" w14:textId="77777777" w:rsidR="00E00EF9" w:rsidRPr="00E3232D" w:rsidRDefault="00E00EF9" w:rsidP="00465AE3">
      <w:pPr>
        <w:widowControl w:val="0"/>
        <w:autoSpaceDE w:val="0"/>
        <w:autoSpaceDN w:val="0"/>
        <w:adjustRightInd w:val="0"/>
        <w:ind w:left="100" w:right="78"/>
        <w:jc w:val="both"/>
        <w:rPr>
          <w:rFonts w:ascii="Book Antiqua" w:hAnsi="Book Antiqua"/>
        </w:rPr>
      </w:pPr>
      <w:r w:rsidRPr="00E3232D">
        <w:rPr>
          <w:rFonts w:ascii="Book Antiqua" w:hAnsi="Book Antiqua"/>
          <w:b/>
          <w:u w:val="single"/>
        </w:rPr>
        <w:t>Input Constraints</w:t>
      </w:r>
      <w:r w:rsidRPr="00E3232D">
        <w:rPr>
          <w:rFonts w:ascii="Book Antiqua" w:hAnsi="Book Antiqua"/>
        </w:rPr>
        <w:t>:</w:t>
      </w:r>
      <w:r w:rsidRPr="00E3232D">
        <w:rPr>
          <w:rFonts w:ascii="Book Antiqua" w:hAnsi="Book Antiqua"/>
          <w:i/>
        </w:rPr>
        <w:t xml:space="preserve"> </w:t>
      </w:r>
      <w:r w:rsidRPr="00E3232D">
        <w:rPr>
          <w:rFonts w:ascii="Book Antiqua" w:hAnsi="Book Antiqua"/>
        </w:rPr>
        <w:t xml:space="preserve">micro entrepreneurs face a variety of challenges in factor markets. However factor availability and </w:t>
      </w:r>
      <w:r w:rsidRPr="00E3232D">
        <w:rPr>
          <w:rFonts w:ascii="Book Antiqua" w:hAnsi="Book Antiqua"/>
          <w:spacing w:val="-1"/>
        </w:rPr>
        <w:t>a</w:t>
      </w:r>
      <w:r w:rsidRPr="00E3232D">
        <w:rPr>
          <w:rFonts w:ascii="Book Antiqua" w:hAnsi="Book Antiqua"/>
        </w:rPr>
        <w:t>ble</w:t>
      </w:r>
      <w:r w:rsidRPr="00E3232D">
        <w:rPr>
          <w:rFonts w:ascii="Book Antiqua" w:hAnsi="Book Antiqua"/>
          <w:spacing w:val="1"/>
        </w:rPr>
        <w:t xml:space="preserve"> </w:t>
      </w:r>
      <w:r w:rsidRPr="00E3232D">
        <w:rPr>
          <w:rFonts w:ascii="Book Antiqua" w:hAnsi="Book Antiqua"/>
        </w:rPr>
        <w:t>to identi</w:t>
      </w:r>
      <w:r w:rsidRPr="00E3232D">
        <w:rPr>
          <w:rFonts w:ascii="Book Antiqua" w:hAnsi="Book Antiqua"/>
          <w:spacing w:val="2"/>
        </w:rPr>
        <w:t>f</w:t>
      </w:r>
      <w:r w:rsidRPr="00E3232D">
        <w:rPr>
          <w:rFonts w:ascii="Book Antiqua" w:hAnsi="Book Antiqua"/>
        </w:rPr>
        <w:t>y</w:t>
      </w:r>
      <w:r w:rsidRPr="00E3232D">
        <w:rPr>
          <w:rFonts w:ascii="Book Antiqua" w:hAnsi="Book Antiqua"/>
          <w:spacing w:val="24"/>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26"/>
        </w:rPr>
        <w:t xml:space="preserve"> </w:t>
      </w:r>
      <w:r w:rsidRPr="00E3232D">
        <w:rPr>
          <w:rFonts w:ascii="Book Antiqua" w:hAnsi="Book Antiqua"/>
          <w:spacing w:val="1"/>
        </w:rPr>
        <w:t>e</w:t>
      </w:r>
      <w:r w:rsidRPr="00E3232D">
        <w:rPr>
          <w:rFonts w:ascii="Book Antiqua" w:hAnsi="Book Antiqua"/>
          <w:spacing w:val="-1"/>
        </w:rPr>
        <w:t>c</w:t>
      </w:r>
      <w:r w:rsidRPr="00E3232D">
        <w:rPr>
          <w:rFonts w:ascii="Book Antiqua" w:hAnsi="Book Antiqua"/>
        </w:rPr>
        <w:t>onom</w:t>
      </w:r>
      <w:r w:rsidRPr="00E3232D">
        <w:rPr>
          <w:rFonts w:ascii="Book Antiqua" w:hAnsi="Book Antiqua"/>
          <w:spacing w:val="1"/>
        </w:rPr>
        <w:t>i</w:t>
      </w:r>
      <w:r w:rsidRPr="00E3232D">
        <w:rPr>
          <w:rFonts w:ascii="Book Antiqua" w:hAnsi="Book Antiqua"/>
        </w:rPr>
        <w:t>c</w:t>
      </w:r>
      <w:r w:rsidRPr="00E3232D">
        <w:rPr>
          <w:rFonts w:ascii="Book Antiqua" w:hAnsi="Book Antiqua"/>
          <w:spacing w:val="25"/>
        </w:rPr>
        <w:t xml:space="preserve"> </w:t>
      </w:r>
      <w:r w:rsidRPr="00E3232D">
        <w:rPr>
          <w:rFonts w:ascii="Book Antiqua" w:hAnsi="Book Antiqua"/>
        </w:rPr>
        <w:t>v</w:t>
      </w:r>
      <w:r w:rsidRPr="00E3232D">
        <w:rPr>
          <w:rFonts w:ascii="Book Antiqua" w:hAnsi="Book Antiqua"/>
          <w:spacing w:val="1"/>
        </w:rPr>
        <w:t>e</w:t>
      </w:r>
      <w:r w:rsidRPr="00E3232D">
        <w:rPr>
          <w:rFonts w:ascii="Book Antiqua" w:hAnsi="Book Antiqua"/>
        </w:rPr>
        <w:t>ntur</w:t>
      </w:r>
      <w:r w:rsidRPr="00E3232D">
        <w:rPr>
          <w:rFonts w:ascii="Book Antiqua" w:hAnsi="Book Antiqua"/>
          <w:spacing w:val="-1"/>
        </w:rPr>
        <w:t>e</w:t>
      </w:r>
      <w:r w:rsidRPr="00E3232D">
        <w:rPr>
          <w:rFonts w:ascii="Book Antiqua" w:hAnsi="Book Antiqua"/>
        </w:rPr>
        <w:t xml:space="preserve">.   </w:t>
      </w:r>
      <w:r w:rsidRPr="00E3232D">
        <w:rPr>
          <w:rFonts w:ascii="Book Antiqua" w:hAnsi="Book Antiqua"/>
          <w:spacing w:val="1"/>
        </w:rPr>
        <w:t>S</w:t>
      </w:r>
      <w:r w:rsidRPr="00E3232D">
        <w:rPr>
          <w:rFonts w:ascii="Book Antiqua" w:hAnsi="Book Antiqua"/>
        </w:rPr>
        <w:t>u</w:t>
      </w:r>
      <w:r w:rsidRPr="00E3232D">
        <w:rPr>
          <w:rFonts w:ascii="Book Antiqua" w:hAnsi="Book Antiqua"/>
          <w:spacing w:val="-1"/>
        </w:rPr>
        <w:t>c</w:t>
      </w:r>
      <w:r w:rsidRPr="00E3232D">
        <w:rPr>
          <w:rFonts w:ascii="Book Antiqua" w:hAnsi="Book Antiqua"/>
        </w:rPr>
        <w:t>h</w:t>
      </w:r>
      <w:r w:rsidRPr="00E3232D">
        <w:rPr>
          <w:rFonts w:ascii="Book Antiqua" w:hAnsi="Book Antiqua"/>
          <w:spacing w:val="26"/>
        </w:rPr>
        <w:t xml:space="preserve"> </w:t>
      </w:r>
      <w:r w:rsidRPr="00E3232D">
        <w:rPr>
          <w:rFonts w:ascii="Book Antiqua" w:hAnsi="Book Antiqua"/>
        </w:rPr>
        <w:t>a</w:t>
      </w:r>
      <w:r w:rsidRPr="00E3232D">
        <w:rPr>
          <w:rFonts w:ascii="Book Antiqua" w:hAnsi="Book Antiqua"/>
          <w:spacing w:val="25"/>
        </w:rPr>
        <w:t xml:space="preserve"> </w:t>
      </w:r>
      <w:r w:rsidRPr="00E3232D">
        <w:rPr>
          <w:rFonts w:ascii="Book Antiqua" w:hAnsi="Book Antiqua"/>
          <w:spacing w:val="2"/>
        </w:rPr>
        <w:t>p</w:t>
      </w:r>
      <w:r w:rsidRPr="00E3232D">
        <w:rPr>
          <w:rFonts w:ascii="Book Antiqua" w:hAnsi="Book Antiqua"/>
          <w:spacing w:val="-1"/>
        </w:rPr>
        <w:t>e</w:t>
      </w:r>
      <w:r w:rsidRPr="00E3232D">
        <w:rPr>
          <w:rFonts w:ascii="Book Antiqua" w:hAnsi="Book Antiqua"/>
        </w:rPr>
        <w:t>rson</w:t>
      </w:r>
      <w:r w:rsidRPr="00E3232D">
        <w:rPr>
          <w:rFonts w:ascii="Book Antiqua" w:hAnsi="Book Antiqua"/>
          <w:spacing w:val="26"/>
        </w:rPr>
        <w:t xml:space="preserve"> </w:t>
      </w:r>
      <w:r w:rsidRPr="00E3232D">
        <w:rPr>
          <w:rFonts w:ascii="Book Antiqua" w:hAnsi="Book Antiqua"/>
          <w:spacing w:val="2"/>
        </w:rPr>
        <w:t>b</w:t>
      </w:r>
      <w:r w:rsidRPr="00E3232D">
        <w:rPr>
          <w:rFonts w:ascii="Book Antiqua" w:hAnsi="Book Antiqua"/>
          <w:spacing w:val="1"/>
        </w:rPr>
        <w:t>r</w:t>
      </w:r>
      <w:r w:rsidRPr="00E3232D">
        <w:rPr>
          <w:rFonts w:ascii="Book Antiqua" w:hAnsi="Book Antiqua"/>
        </w:rPr>
        <w:t>in</w:t>
      </w:r>
      <w:r w:rsidRPr="00E3232D">
        <w:rPr>
          <w:rFonts w:ascii="Book Antiqua" w:hAnsi="Book Antiqua"/>
          <w:spacing w:val="-2"/>
        </w:rPr>
        <w:t>g</w:t>
      </w:r>
      <w:r w:rsidRPr="00E3232D">
        <w:rPr>
          <w:rFonts w:ascii="Book Antiqua" w:hAnsi="Book Antiqua"/>
        </w:rPr>
        <w:t>s</w:t>
      </w:r>
      <w:r w:rsidRPr="00E3232D">
        <w:rPr>
          <w:rFonts w:ascii="Book Antiqua" w:hAnsi="Book Antiqua"/>
          <w:spacing w:val="27"/>
        </w:rPr>
        <w:t xml:space="preserve"> </w:t>
      </w:r>
      <w:r w:rsidRPr="00E3232D">
        <w:rPr>
          <w:rFonts w:ascii="Book Antiqua" w:hAnsi="Book Antiqua"/>
        </w:rPr>
        <w:t>to</w:t>
      </w:r>
      <w:r w:rsidRPr="00E3232D">
        <w:rPr>
          <w:rFonts w:ascii="Book Antiqua" w:hAnsi="Book Antiqua"/>
          <w:spacing w:val="27"/>
        </w:rPr>
        <w:t xml:space="preserve"> </w:t>
      </w:r>
      <w:r w:rsidRPr="00E3232D">
        <w:rPr>
          <w:rFonts w:ascii="Book Antiqua" w:hAnsi="Book Antiqua"/>
        </w:rPr>
        <w:t>b</w:t>
      </w:r>
      <w:r w:rsidRPr="00E3232D">
        <w:rPr>
          <w:rFonts w:ascii="Book Antiqua" w:hAnsi="Book Antiqua"/>
          <w:spacing w:val="1"/>
        </w:rPr>
        <w:t>e</w:t>
      </w:r>
      <w:r w:rsidRPr="00E3232D">
        <w:rPr>
          <w:rFonts w:ascii="Book Antiqua" w:hAnsi="Book Antiqua"/>
          <w:spacing w:val="-1"/>
        </w:rPr>
        <w:t>a</w:t>
      </w:r>
      <w:r w:rsidRPr="00E3232D">
        <w:rPr>
          <w:rFonts w:ascii="Book Antiqua" w:hAnsi="Book Antiqua"/>
        </w:rPr>
        <w:t>r</w:t>
      </w:r>
      <w:r w:rsidRPr="00E3232D">
        <w:rPr>
          <w:rFonts w:ascii="Book Antiqua" w:hAnsi="Book Antiqua"/>
          <w:spacing w:val="26"/>
        </w:rPr>
        <w:t xml:space="preserve"> </w:t>
      </w:r>
      <w:r w:rsidRPr="00E3232D">
        <w:rPr>
          <w:rFonts w:ascii="Book Antiqua" w:hAnsi="Book Antiqua"/>
        </w:rPr>
        <w:t>the</w:t>
      </w:r>
      <w:r w:rsidRPr="00E3232D">
        <w:rPr>
          <w:rFonts w:ascii="Book Antiqua" w:hAnsi="Book Antiqua"/>
          <w:spacing w:val="26"/>
        </w:rPr>
        <w:t xml:space="preserve"> </w:t>
      </w:r>
      <w:r w:rsidRPr="00E3232D">
        <w:rPr>
          <w:rFonts w:ascii="Book Antiqua" w:hAnsi="Book Antiqua"/>
          <w:spacing w:val="7"/>
        </w:rPr>
        <w:t>i</w:t>
      </w:r>
      <w:r w:rsidRPr="00E3232D">
        <w:rPr>
          <w:rFonts w:ascii="Book Antiqua" w:hAnsi="Book Antiqua"/>
        </w:rPr>
        <w:t>n</w:t>
      </w:r>
      <w:r w:rsidRPr="00E3232D">
        <w:rPr>
          <w:rFonts w:ascii="Book Antiqua" w:hAnsi="Book Antiqua"/>
          <w:spacing w:val="2"/>
        </w:rPr>
        <w:t>h</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nt</w:t>
      </w:r>
      <w:r w:rsidRPr="00E3232D">
        <w:rPr>
          <w:rFonts w:ascii="Book Antiqua" w:hAnsi="Book Antiqua"/>
          <w:spacing w:val="29"/>
        </w:rPr>
        <w:t xml:space="preserve"> </w:t>
      </w:r>
      <w:r w:rsidRPr="00E3232D">
        <w:rPr>
          <w:rFonts w:ascii="Book Antiqua" w:hAnsi="Book Antiqua"/>
          <w:spacing w:val="-1"/>
        </w:rPr>
        <w:t>a</w:t>
      </w:r>
      <w:r w:rsidRPr="00E3232D">
        <w:rPr>
          <w:rFonts w:ascii="Book Antiqua" w:hAnsi="Book Antiqua"/>
        </w:rPr>
        <w:t>bi</w:t>
      </w:r>
      <w:r w:rsidRPr="00E3232D">
        <w:rPr>
          <w:rFonts w:ascii="Book Antiqua" w:hAnsi="Book Antiqua"/>
          <w:spacing w:val="1"/>
        </w:rPr>
        <w:t>l</w:t>
      </w:r>
      <w:r w:rsidRPr="00E3232D">
        <w:rPr>
          <w:rFonts w:ascii="Book Antiqua" w:hAnsi="Book Antiqua"/>
        </w:rPr>
        <w:t>i</w:t>
      </w:r>
      <w:r w:rsidRPr="00E3232D">
        <w:rPr>
          <w:rFonts w:ascii="Book Antiqua" w:hAnsi="Book Antiqua"/>
          <w:spacing w:val="1"/>
        </w:rPr>
        <w:t>t</w:t>
      </w:r>
      <w:r w:rsidRPr="00E3232D">
        <w:rPr>
          <w:rFonts w:ascii="Book Antiqua" w:hAnsi="Book Antiqua"/>
        </w:rPr>
        <w:t>ies</w:t>
      </w:r>
      <w:r w:rsidRPr="00E3232D">
        <w:rPr>
          <w:rFonts w:ascii="Book Antiqua" w:hAnsi="Book Antiqua"/>
          <w:spacing w:val="26"/>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6"/>
        </w:rPr>
        <w:t xml:space="preserve"> </w:t>
      </w:r>
      <w:r w:rsidRPr="00E3232D">
        <w:rPr>
          <w:rFonts w:ascii="Book Antiqua" w:hAnsi="Book Antiqua"/>
        </w:rPr>
        <w:t>the man</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 xml:space="preserve">ment </w:t>
      </w:r>
      <w:r w:rsidRPr="00E3232D">
        <w:rPr>
          <w:rFonts w:ascii="Book Antiqua" w:hAnsi="Book Antiqua"/>
          <w:spacing w:val="1"/>
        </w:rPr>
        <w:t>c</w:t>
      </w:r>
      <w:r w:rsidRPr="00E3232D">
        <w:rPr>
          <w:rFonts w:ascii="Book Antiqua" w:hAnsi="Book Antiqua"/>
          <w:spacing w:val="-1"/>
        </w:rPr>
        <w:t>a</w:t>
      </w:r>
      <w:r w:rsidRPr="00E3232D">
        <w:rPr>
          <w:rFonts w:ascii="Book Antiqua" w:hAnsi="Book Antiqua"/>
        </w:rPr>
        <w:t>p</w:t>
      </w:r>
      <w:r w:rsidRPr="00E3232D">
        <w:rPr>
          <w:rFonts w:ascii="Book Antiqua" w:hAnsi="Book Antiqua"/>
          <w:spacing w:val="-1"/>
        </w:rPr>
        <w:t>a</w:t>
      </w:r>
      <w:r w:rsidRPr="00E3232D">
        <w:rPr>
          <w:rFonts w:ascii="Book Antiqua" w:hAnsi="Book Antiqua"/>
        </w:rPr>
        <w:t>bi</w:t>
      </w:r>
      <w:r w:rsidRPr="00E3232D">
        <w:rPr>
          <w:rFonts w:ascii="Book Antiqua" w:hAnsi="Book Antiqua"/>
          <w:spacing w:val="1"/>
        </w:rPr>
        <w:t>l</w:t>
      </w:r>
      <w:r w:rsidRPr="00E3232D">
        <w:rPr>
          <w:rFonts w:ascii="Book Antiqua" w:hAnsi="Book Antiqua"/>
        </w:rPr>
        <w:t>i</w:t>
      </w:r>
      <w:r w:rsidRPr="00E3232D">
        <w:rPr>
          <w:rFonts w:ascii="Book Antiqua" w:hAnsi="Book Antiqua"/>
          <w:spacing w:val="1"/>
        </w:rPr>
        <w:t>t</w:t>
      </w:r>
      <w:r w:rsidRPr="00E3232D">
        <w:rPr>
          <w:rFonts w:ascii="Book Antiqua" w:hAnsi="Book Antiqua"/>
        </w:rPr>
        <w:t xml:space="preserve">ies to </w:t>
      </w:r>
      <w:r w:rsidRPr="00E3232D">
        <w:rPr>
          <w:rFonts w:ascii="Book Antiqua" w:hAnsi="Book Antiqua"/>
          <w:spacing w:val="-1"/>
        </w:rPr>
        <w:t>e</w:t>
      </w:r>
      <w:r w:rsidRPr="00E3232D">
        <w:rPr>
          <w:rFonts w:ascii="Book Antiqua" w:hAnsi="Book Antiqua"/>
        </w:rPr>
        <w:t xml:space="preserve">stablish a </w:t>
      </w:r>
      <w:r w:rsidRPr="00E3232D">
        <w:rPr>
          <w:rFonts w:ascii="Book Antiqua" w:hAnsi="Book Antiqua"/>
          <w:spacing w:val="-1"/>
        </w:rPr>
        <w:t>b</w:t>
      </w:r>
      <w:r w:rsidRPr="00E3232D">
        <w:rPr>
          <w:rFonts w:ascii="Book Antiqua" w:hAnsi="Book Antiqua"/>
        </w:rPr>
        <w:t>usiness.</w:t>
      </w:r>
    </w:p>
    <w:p w14:paraId="256D1AF2" w14:textId="77777777" w:rsidR="00E00EF9" w:rsidRDefault="00E00EF9" w:rsidP="001765F6">
      <w:pPr>
        <w:widowControl w:val="0"/>
        <w:autoSpaceDE w:val="0"/>
        <w:autoSpaceDN w:val="0"/>
        <w:adjustRightInd w:val="0"/>
        <w:spacing w:after="0"/>
        <w:ind w:left="100" w:right="79"/>
        <w:jc w:val="both"/>
        <w:rPr>
          <w:rFonts w:ascii="Book Antiqua" w:hAnsi="Book Antiqua"/>
        </w:rPr>
      </w:pPr>
      <w:r w:rsidRPr="00E3232D">
        <w:rPr>
          <w:rFonts w:ascii="Book Antiqua" w:hAnsi="Book Antiqua"/>
        </w:rPr>
        <w:t>The</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spacing w:val="3"/>
        </w:rPr>
        <w:t>i</w:t>
      </w:r>
      <w:r w:rsidRPr="00E3232D">
        <w:rPr>
          <w:rFonts w:ascii="Book Antiqua" w:hAnsi="Book Antiqua"/>
          <w:spacing w:val="-2"/>
        </w:rPr>
        <w:t>g</w:t>
      </w:r>
      <w:r w:rsidRPr="00E3232D">
        <w:rPr>
          <w:rFonts w:ascii="Book Antiqua" w:hAnsi="Book Antiqua"/>
        </w:rPr>
        <w:t>ht</w:t>
      </w:r>
      <w:r w:rsidRPr="00E3232D">
        <w:rPr>
          <w:rFonts w:ascii="Book Antiqua" w:hAnsi="Book Antiqua"/>
          <w:spacing w:val="3"/>
        </w:rPr>
        <w:t xml:space="preserve"> </w:t>
      </w:r>
      <w:r w:rsidRPr="00E3232D">
        <w:rPr>
          <w:rFonts w:ascii="Book Antiqua" w:hAnsi="Book Antiqua"/>
        </w:rPr>
        <w:t>Mil</w:t>
      </w:r>
      <w:r w:rsidRPr="00E3232D">
        <w:rPr>
          <w:rFonts w:ascii="Book Antiqua" w:hAnsi="Book Antiqua"/>
          <w:spacing w:val="1"/>
        </w:rPr>
        <w:t>l</w:t>
      </w:r>
      <w:r w:rsidRPr="00E3232D">
        <w:rPr>
          <w:rFonts w:ascii="Book Antiqua" w:hAnsi="Book Antiqua"/>
          <w:spacing w:val="-1"/>
        </w:rPr>
        <w:t>e</w:t>
      </w:r>
      <w:r w:rsidRPr="00E3232D">
        <w:rPr>
          <w:rFonts w:ascii="Book Antiqua" w:hAnsi="Book Antiqua"/>
        </w:rPr>
        <w:t>nnium</w:t>
      </w:r>
      <w:r w:rsidRPr="00E3232D">
        <w:rPr>
          <w:rFonts w:ascii="Book Antiqua" w:hAnsi="Book Antiqua"/>
          <w:spacing w:val="3"/>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3"/>
        </w:rPr>
        <w:t xml:space="preserve"> </w:t>
      </w:r>
      <w:r w:rsidRPr="00E3232D">
        <w:rPr>
          <w:rFonts w:ascii="Book Antiqua" w:hAnsi="Book Antiqua"/>
        </w:rPr>
        <w:t>Go</w:t>
      </w:r>
      <w:r w:rsidRPr="00E3232D">
        <w:rPr>
          <w:rFonts w:ascii="Book Antiqua" w:hAnsi="Book Antiqua"/>
          <w:spacing w:val="-1"/>
        </w:rPr>
        <w:t>a</w:t>
      </w:r>
      <w:r w:rsidRPr="00E3232D">
        <w:rPr>
          <w:rFonts w:ascii="Book Antiqua" w:hAnsi="Book Antiqua"/>
        </w:rPr>
        <w:t>ls</w:t>
      </w:r>
      <w:r w:rsidRPr="00E3232D">
        <w:rPr>
          <w:rFonts w:ascii="Book Antiqua" w:hAnsi="Book Antiqua"/>
          <w:spacing w:val="3"/>
        </w:rPr>
        <w:t xml:space="preserve"> </w:t>
      </w:r>
      <w:r w:rsidRPr="00E3232D">
        <w:rPr>
          <w:rFonts w:ascii="Book Antiqua" w:hAnsi="Book Antiqua"/>
        </w:rPr>
        <w:t>(</w:t>
      </w:r>
      <w:r w:rsidRPr="00E3232D">
        <w:rPr>
          <w:rFonts w:ascii="Book Antiqua" w:hAnsi="Book Antiqua"/>
          <w:spacing w:val="2"/>
        </w:rPr>
        <w:t>M</w:t>
      </w:r>
      <w:r w:rsidRPr="00E3232D">
        <w:rPr>
          <w:rFonts w:ascii="Book Antiqua" w:hAnsi="Book Antiqua"/>
        </w:rPr>
        <w:t>D</w:t>
      </w:r>
      <w:r w:rsidRPr="00E3232D">
        <w:rPr>
          <w:rFonts w:ascii="Book Antiqua" w:hAnsi="Book Antiqua"/>
          <w:spacing w:val="-1"/>
        </w:rPr>
        <w:t>G</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rPr>
        <w:t xml:space="preserve">–including </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vi</w:t>
      </w:r>
      <w:r w:rsidRPr="00E3232D">
        <w:rPr>
          <w:rFonts w:ascii="Book Antiqua" w:hAnsi="Book Antiqua"/>
          <w:spacing w:val="3"/>
        </w:rPr>
        <w:t>n</w:t>
      </w:r>
      <w:r w:rsidRPr="00E3232D">
        <w:rPr>
          <w:rFonts w:ascii="Book Antiqua" w:hAnsi="Book Antiqua"/>
        </w:rPr>
        <w:t>g</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rPr>
        <w:t>tr</w:t>
      </w:r>
      <w:r w:rsidRPr="00E3232D">
        <w:rPr>
          <w:rFonts w:ascii="Book Antiqua" w:hAnsi="Book Antiqua"/>
          <w:spacing w:val="-1"/>
        </w:rPr>
        <w:t>e</w:t>
      </w:r>
      <w:r w:rsidRPr="00E3232D">
        <w:rPr>
          <w:rFonts w:ascii="Book Antiqua" w:hAnsi="Book Antiqua"/>
        </w:rPr>
        <w:t>me</w:t>
      </w:r>
      <w:r w:rsidRPr="00E3232D">
        <w:rPr>
          <w:rFonts w:ascii="Book Antiqua" w:hAnsi="Book Antiqua"/>
          <w:spacing w:val="2"/>
        </w:rPr>
        <w:t xml:space="preserve"> </w:t>
      </w:r>
      <w:r w:rsidRPr="00E3232D">
        <w:rPr>
          <w:rFonts w:ascii="Book Antiqua" w:hAnsi="Book Antiqua"/>
        </w:rPr>
        <w:t>pov</w:t>
      </w:r>
      <w:r w:rsidRPr="00E3232D">
        <w:rPr>
          <w:rFonts w:ascii="Book Antiqua" w:hAnsi="Book Antiqua"/>
          <w:spacing w:val="-1"/>
        </w:rPr>
        <w:t>e</w:t>
      </w:r>
      <w:r w:rsidRPr="00E3232D">
        <w:rPr>
          <w:rFonts w:ascii="Book Antiqua" w:hAnsi="Book Antiqua"/>
        </w:rPr>
        <w:t>r</w:t>
      </w:r>
      <w:r w:rsidRPr="00E3232D">
        <w:rPr>
          <w:rFonts w:ascii="Book Antiqua" w:hAnsi="Book Antiqua"/>
          <w:spacing w:val="4"/>
        </w:rPr>
        <w:t>t</w:t>
      </w:r>
      <w:r w:rsidRPr="00E3232D">
        <w:rPr>
          <w:rFonts w:ascii="Book Antiqua" w:hAnsi="Book Antiqua"/>
          <w:spacing w:val="-5"/>
        </w:rPr>
        <w:t>y</w:t>
      </w:r>
      <w:r w:rsidRPr="00E3232D">
        <w:rPr>
          <w:rFonts w:ascii="Book Antiqua" w:hAnsi="Book Antiqua"/>
        </w:rPr>
        <w:t>, H</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t</w:t>
      </w:r>
      <w:r w:rsidRPr="00E3232D">
        <w:rPr>
          <w:rFonts w:ascii="Book Antiqua" w:hAnsi="Book Antiqua"/>
        </w:rPr>
        <w:t>ing</w:t>
      </w:r>
      <w:r w:rsidRPr="00E3232D">
        <w:rPr>
          <w:rFonts w:ascii="Book Antiqua" w:hAnsi="Book Antiqua"/>
          <w:spacing w:val="3"/>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s</w:t>
      </w:r>
      <w:r w:rsidRPr="00E3232D">
        <w:rPr>
          <w:rFonts w:ascii="Book Antiqua" w:hAnsi="Book Antiqua"/>
          <w:spacing w:val="2"/>
        </w:rPr>
        <w:t>p</w:t>
      </w:r>
      <w:r w:rsidRPr="00E3232D">
        <w:rPr>
          <w:rFonts w:ascii="Book Antiqua" w:hAnsi="Book Antiqua"/>
        </w:rPr>
        <w:t>r</w:t>
      </w:r>
      <w:r w:rsidRPr="00E3232D">
        <w:rPr>
          <w:rFonts w:ascii="Book Antiqua" w:hAnsi="Book Antiqua"/>
          <w:spacing w:val="-2"/>
        </w:rPr>
        <w:t>e</w:t>
      </w:r>
      <w:r w:rsidRPr="00E3232D">
        <w:rPr>
          <w:rFonts w:ascii="Book Antiqua" w:hAnsi="Book Antiqua"/>
          <w:spacing w:val="-1"/>
        </w:rPr>
        <w:t>a</w:t>
      </w:r>
      <w:r w:rsidRPr="00E3232D">
        <w:rPr>
          <w:rFonts w:ascii="Book Antiqua" w:hAnsi="Book Antiqua"/>
        </w:rPr>
        <w:t>d</w:t>
      </w:r>
      <w:r w:rsidRPr="00E3232D">
        <w:rPr>
          <w:rFonts w:ascii="Book Antiqua" w:hAnsi="Book Antiqua"/>
          <w:spacing w:val="5"/>
        </w:rPr>
        <w:t xml:space="preserve"> </w:t>
      </w:r>
      <w:r w:rsidRPr="00E3232D">
        <w:rPr>
          <w:rFonts w:ascii="Book Antiqua" w:hAnsi="Book Antiqua"/>
          <w:spacing w:val="2"/>
        </w:rPr>
        <w:t>o</w:t>
      </w:r>
      <w:r w:rsidRPr="00E3232D">
        <w:rPr>
          <w:rFonts w:ascii="Book Antiqua" w:hAnsi="Book Antiqua"/>
        </w:rPr>
        <w:t>f</w:t>
      </w:r>
      <w:r w:rsidRPr="00E3232D">
        <w:rPr>
          <w:rFonts w:ascii="Book Antiqua" w:hAnsi="Book Antiqua"/>
          <w:spacing w:val="4"/>
        </w:rPr>
        <w:t xml:space="preserve"> </w:t>
      </w:r>
      <w:r w:rsidRPr="00E3232D">
        <w:rPr>
          <w:rFonts w:ascii="Book Antiqua" w:hAnsi="Book Antiqua"/>
          <w:spacing w:val="2"/>
        </w:rPr>
        <w:t>H</w:t>
      </w:r>
      <w:r w:rsidRPr="00E3232D">
        <w:rPr>
          <w:rFonts w:ascii="Book Antiqua" w:hAnsi="Book Antiqua"/>
        </w:rPr>
        <w:t>I</w:t>
      </w:r>
      <w:r w:rsidRPr="00E3232D">
        <w:rPr>
          <w:rFonts w:ascii="Book Antiqua" w:hAnsi="Book Antiqua"/>
          <w:spacing w:val="-1"/>
        </w:rPr>
        <w:t>V</w:t>
      </w:r>
      <w:r w:rsidRPr="00E3232D">
        <w:rPr>
          <w:rFonts w:ascii="Book Antiqua" w:hAnsi="Book Antiqua"/>
        </w:rPr>
        <w:t>/</w:t>
      </w:r>
      <w:r w:rsidRPr="00E3232D">
        <w:rPr>
          <w:rFonts w:ascii="Book Antiqua" w:hAnsi="Book Antiqua"/>
          <w:spacing w:val="2"/>
        </w:rPr>
        <w:t>A</w:t>
      </w:r>
      <w:r w:rsidRPr="00E3232D">
        <w:rPr>
          <w:rFonts w:ascii="Book Antiqua" w:hAnsi="Book Antiqua"/>
          <w:spacing w:val="-3"/>
        </w:rPr>
        <w:t>I</w:t>
      </w:r>
      <w:r w:rsidRPr="00E3232D">
        <w:rPr>
          <w:rFonts w:ascii="Book Antiqua" w:hAnsi="Book Antiqua"/>
        </w:rPr>
        <w:t>DS</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5"/>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ovid</w:t>
      </w:r>
      <w:r w:rsidRPr="00E3232D">
        <w:rPr>
          <w:rFonts w:ascii="Book Antiqua" w:hAnsi="Book Antiqua"/>
          <w:spacing w:val="1"/>
        </w:rPr>
        <w:t>i</w:t>
      </w:r>
      <w:r w:rsidRPr="00E3232D">
        <w:rPr>
          <w:rFonts w:ascii="Book Antiqua" w:hAnsi="Book Antiqua"/>
          <w:spacing w:val="2"/>
        </w:rPr>
        <w:t>n</w:t>
      </w:r>
      <w:r w:rsidRPr="00E3232D">
        <w:rPr>
          <w:rFonts w:ascii="Book Antiqua" w:hAnsi="Book Antiqua"/>
        </w:rPr>
        <w:t>g</w:t>
      </w:r>
      <w:r w:rsidRPr="00E3232D">
        <w:rPr>
          <w:rFonts w:ascii="Book Antiqua" w:hAnsi="Book Antiqua"/>
          <w:spacing w:val="3"/>
        </w:rPr>
        <w:t xml:space="preserve"> </w:t>
      </w:r>
      <w:r w:rsidRPr="00E3232D">
        <w:rPr>
          <w:rFonts w:ascii="Book Antiqua" w:hAnsi="Book Antiqua"/>
          <w:spacing w:val="2"/>
        </w:rPr>
        <w:t>u</w:t>
      </w:r>
      <w:r w:rsidRPr="00E3232D">
        <w:rPr>
          <w:rFonts w:ascii="Book Antiqua" w:hAnsi="Book Antiqua"/>
        </w:rPr>
        <w:t>nive</w:t>
      </w:r>
      <w:r w:rsidRPr="00E3232D">
        <w:rPr>
          <w:rFonts w:ascii="Book Antiqua" w:hAnsi="Book Antiqua"/>
          <w:spacing w:val="-1"/>
        </w:rPr>
        <w:t>r</w:t>
      </w:r>
      <w:r w:rsidRPr="00E3232D">
        <w:rPr>
          <w:rFonts w:ascii="Book Antiqua" w:hAnsi="Book Antiqua"/>
        </w:rPr>
        <w:t>s</w:t>
      </w:r>
      <w:r w:rsidRPr="00E3232D">
        <w:rPr>
          <w:rFonts w:ascii="Book Antiqua" w:hAnsi="Book Antiqua"/>
          <w:spacing w:val="-1"/>
        </w:rPr>
        <w:t>a</w:t>
      </w:r>
      <w:r w:rsidRPr="00E3232D">
        <w:rPr>
          <w:rFonts w:ascii="Book Antiqua" w:hAnsi="Book Antiqua"/>
        </w:rPr>
        <w:t>l</w:t>
      </w:r>
      <w:r w:rsidRPr="00E3232D">
        <w:rPr>
          <w:rFonts w:ascii="Book Antiqua" w:hAnsi="Book Antiqua"/>
          <w:spacing w:val="5"/>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i</w:t>
      </w:r>
      <w:r w:rsidRPr="00E3232D">
        <w:rPr>
          <w:rFonts w:ascii="Book Antiqua" w:hAnsi="Book Antiqua"/>
          <w:spacing w:val="1"/>
        </w:rPr>
        <w:t>m</w:t>
      </w:r>
      <w:r w:rsidRPr="00E3232D">
        <w:rPr>
          <w:rFonts w:ascii="Book Antiqua" w:hAnsi="Book Antiqua"/>
          <w:spacing w:val="-1"/>
        </w:rPr>
        <w:t>a</w:t>
      </w:r>
      <w:r w:rsidRPr="00E3232D">
        <w:rPr>
          <w:rFonts w:ascii="Book Antiqua" w:hAnsi="Book Antiqua"/>
          <w:spacing w:val="4"/>
        </w:rPr>
        <w:t>r</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spacing w:val="-1"/>
        </w:rPr>
        <w:t>e</w:t>
      </w:r>
      <w:r w:rsidRPr="00E3232D">
        <w:rPr>
          <w:rFonts w:ascii="Book Antiqua" w:hAnsi="Book Antiqua"/>
        </w:rPr>
        <w:t>du</w:t>
      </w:r>
      <w:r w:rsidRPr="00E3232D">
        <w:rPr>
          <w:rFonts w:ascii="Book Antiqua" w:hAnsi="Book Antiqua"/>
          <w:spacing w:val="-1"/>
        </w:rPr>
        <w:t>ca</w:t>
      </w:r>
      <w:r w:rsidRPr="00E3232D">
        <w:rPr>
          <w:rFonts w:ascii="Book Antiqua" w:hAnsi="Book Antiqua"/>
        </w:rPr>
        <w:t>t</w:t>
      </w:r>
      <w:r w:rsidRPr="00E3232D">
        <w:rPr>
          <w:rFonts w:ascii="Book Antiqua" w:hAnsi="Book Antiqua"/>
          <w:spacing w:val="3"/>
        </w:rPr>
        <w:t>i</w:t>
      </w:r>
      <w:r w:rsidRPr="00E3232D">
        <w:rPr>
          <w:rFonts w:ascii="Book Antiqua" w:hAnsi="Book Antiqua"/>
        </w:rPr>
        <w:t>on,</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ll</w:t>
      </w:r>
      <w:r w:rsidRPr="00E3232D">
        <w:rPr>
          <w:rFonts w:ascii="Book Antiqua" w:hAnsi="Book Antiqua"/>
          <w:spacing w:val="6"/>
        </w:rPr>
        <w:t xml:space="preserve"> </w:t>
      </w:r>
      <w:r w:rsidRPr="00E3232D">
        <w:rPr>
          <w:rFonts w:ascii="Book Antiqua" w:hAnsi="Book Antiqua"/>
          <w:spacing w:val="2"/>
        </w:rPr>
        <w:t>b</w:t>
      </w:r>
      <w:r w:rsidRPr="00E3232D">
        <w:rPr>
          <w:rFonts w:ascii="Book Antiqua" w:hAnsi="Book Antiqua"/>
        </w:rPr>
        <w:t>y the</w:t>
      </w:r>
      <w:r w:rsidRPr="00E3232D">
        <w:rPr>
          <w:rFonts w:ascii="Book Antiqua" w:hAnsi="Book Antiqua"/>
          <w:spacing w:val="4"/>
        </w:rPr>
        <w:t xml:space="preserve"> </w:t>
      </w:r>
      <w:r w:rsidRPr="00E3232D">
        <w:rPr>
          <w:rFonts w:ascii="Book Antiqua" w:hAnsi="Book Antiqua"/>
          <w:spacing w:val="3"/>
        </w:rPr>
        <w:t>t</w:t>
      </w:r>
      <w:r w:rsidRPr="00E3232D">
        <w:rPr>
          <w:rFonts w:ascii="Book Antiqua" w:hAnsi="Book Antiqua"/>
          <w:spacing w:val="-1"/>
        </w:rPr>
        <w:t>a</w:t>
      </w:r>
      <w:r w:rsidRPr="00E3232D">
        <w:rPr>
          <w:rFonts w:ascii="Book Antiqua" w:hAnsi="Book Antiqua"/>
          <w:spacing w:val="1"/>
        </w:rPr>
        <w:t>r</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t d</w:t>
      </w:r>
      <w:r w:rsidRPr="00E3232D">
        <w:rPr>
          <w:rFonts w:ascii="Book Antiqua" w:hAnsi="Book Antiqua"/>
          <w:spacing w:val="-1"/>
        </w:rPr>
        <w:t>a</w:t>
      </w:r>
      <w:r w:rsidRPr="00E3232D">
        <w:rPr>
          <w:rFonts w:ascii="Book Antiqua" w:hAnsi="Book Antiqua"/>
        </w:rPr>
        <w:t>te</w:t>
      </w:r>
      <w:r w:rsidRPr="00E3232D">
        <w:rPr>
          <w:rFonts w:ascii="Book Antiqua" w:hAnsi="Book Antiqua"/>
          <w:spacing w:val="6"/>
        </w:rPr>
        <w:t xml:space="preserve"> </w:t>
      </w:r>
      <w:r w:rsidRPr="00E3232D">
        <w:rPr>
          <w:rFonts w:ascii="Book Antiqua" w:hAnsi="Book Antiqua"/>
        </w:rPr>
        <w:t>of</w:t>
      </w:r>
      <w:r w:rsidRPr="00E3232D">
        <w:rPr>
          <w:rFonts w:ascii="Book Antiqua" w:hAnsi="Book Antiqua"/>
          <w:spacing w:val="7"/>
        </w:rPr>
        <w:t xml:space="preserve"> </w:t>
      </w:r>
      <w:r w:rsidRPr="00E3232D">
        <w:rPr>
          <w:rFonts w:ascii="Book Antiqua" w:hAnsi="Book Antiqua"/>
        </w:rPr>
        <w:t>201</w:t>
      </w:r>
      <w:r w:rsidRPr="00E3232D">
        <w:rPr>
          <w:rFonts w:ascii="Book Antiqua" w:hAnsi="Book Antiqua"/>
          <w:spacing w:val="2"/>
        </w:rPr>
        <w:t>5</w:t>
      </w:r>
      <w:r w:rsidRPr="00E3232D">
        <w:rPr>
          <w:rFonts w:ascii="Book Antiqua" w:hAnsi="Book Antiqua"/>
          <w:spacing w:val="-1"/>
        </w:rPr>
        <w:t>-</w:t>
      </w:r>
      <w:r w:rsidRPr="00E3232D">
        <w:rPr>
          <w:rFonts w:ascii="Book Antiqua" w:hAnsi="Book Antiqua"/>
        </w:rPr>
        <w:t>fo</w:t>
      </w:r>
      <w:r w:rsidRPr="00E3232D">
        <w:rPr>
          <w:rFonts w:ascii="Book Antiqua" w:hAnsi="Book Antiqua"/>
          <w:spacing w:val="-1"/>
        </w:rPr>
        <w:t>r</w:t>
      </w:r>
      <w:r w:rsidRPr="00E3232D">
        <w:rPr>
          <w:rFonts w:ascii="Book Antiqua" w:hAnsi="Book Antiqua"/>
        </w:rPr>
        <w:t>m</w:t>
      </w:r>
      <w:r w:rsidRPr="00E3232D">
        <w:rPr>
          <w:rFonts w:ascii="Book Antiqua" w:hAnsi="Book Antiqua"/>
          <w:spacing w:val="10"/>
        </w:rPr>
        <w:t xml:space="preserve"> </w:t>
      </w:r>
      <w:r w:rsidRPr="00E3232D">
        <w:rPr>
          <w:rFonts w:ascii="Book Antiqua" w:hAnsi="Book Antiqua"/>
        </w:rPr>
        <w:t>a</w:t>
      </w:r>
      <w:r w:rsidRPr="00E3232D">
        <w:rPr>
          <w:rFonts w:ascii="Book Antiqua" w:hAnsi="Book Antiqua"/>
          <w:spacing w:val="6"/>
        </w:rPr>
        <w:t xml:space="preserve"> </w:t>
      </w:r>
      <w:r w:rsidRPr="00E3232D">
        <w:rPr>
          <w:rFonts w:ascii="Book Antiqua" w:hAnsi="Book Antiqua"/>
        </w:rPr>
        <w:t>blu</w:t>
      </w:r>
      <w:r w:rsidRPr="00E3232D">
        <w:rPr>
          <w:rFonts w:ascii="Book Antiqua" w:hAnsi="Book Antiqua"/>
          <w:spacing w:val="2"/>
        </w:rPr>
        <w:t>e</w:t>
      </w:r>
      <w:r w:rsidRPr="00E3232D">
        <w:rPr>
          <w:rFonts w:ascii="Book Antiqua" w:hAnsi="Book Antiqua"/>
        </w:rPr>
        <w:t>p</w:t>
      </w:r>
      <w:r w:rsidRPr="00E3232D">
        <w:rPr>
          <w:rFonts w:ascii="Book Antiqua" w:hAnsi="Book Antiqua"/>
          <w:spacing w:val="-1"/>
        </w:rPr>
        <w:t>r</w:t>
      </w:r>
      <w:r w:rsidRPr="00E3232D">
        <w:rPr>
          <w:rFonts w:ascii="Book Antiqua" w:hAnsi="Book Antiqua"/>
        </w:rPr>
        <w:t>int</w:t>
      </w:r>
      <w:r w:rsidRPr="00E3232D">
        <w:rPr>
          <w:rFonts w:ascii="Book Antiqua" w:hAnsi="Book Antiqua"/>
          <w:spacing w:val="8"/>
        </w:rPr>
        <w:t xml:space="preserve"> </w:t>
      </w:r>
      <w:r w:rsidRPr="00E3232D">
        <w:rPr>
          <w:rFonts w:ascii="Book Antiqua" w:hAnsi="Book Antiqua"/>
          <w:spacing w:val="1"/>
        </w:rPr>
        <w:t>a</w:t>
      </w:r>
      <w:r w:rsidRPr="00E3232D">
        <w:rPr>
          <w:rFonts w:ascii="Book Antiqua" w:hAnsi="Book Antiqua"/>
          <w:spacing w:val="-2"/>
        </w:rPr>
        <w:t>g</w:t>
      </w:r>
      <w:r w:rsidRPr="00E3232D">
        <w:rPr>
          <w:rFonts w:ascii="Book Antiqua" w:hAnsi="Book Antiqua"/>
        </w:rPr>
        <w:t>re</w:t>
      </w:r>
      <w:r w:rsidRPr="00E3232D">
        <w:rPr>
          <w:rFonts w:ascii="Book Antiqua" w:hAnsi="Book Antiqua"/>
          <w:spacing w:val="-1"/>
        </w:rPr>
        <w:t>e</w:t>
      </w:r>
      <w:r w:rsidRPr="00E3232D">
        <w:rPr>
          <w:rFonts w:ascii="Book Antiqua" w:hAnsi="Book Antiqua"/>
        </w:rPr>
        <w:t>d</w:t>
      </w:r>
      <w:r w:rsidRPr="00E3232D">
        <w:rPr>
          <w:rFonts w:ascii="Book Antiqua" w:hAnsi="Book Antiqua"/>
          <w:spacing w:val="7"/>
        </w:rPr>
        <w:t xml:space="preserve"> </w:t>
      </w:r>
      <w:r w:rsidRPr="00E3232D">
        <w:rPr>
          <w:rFonts w:ascii="Book Antiqua" w:hAnsi="Book Antiqua"/>
        </w:rPr>
        <w:t>to</w:t>
      </w:r>
      <w:r w:rsidRPr="00E3232D">
        <w:rPr>
          <w:rFonts w:ascii="Book Antiqua" w:hAnsi="Book Antiqua"/>
          <w:spacing w:val="7"/>
        </w:rPr>
        <w:t xml:space="preserve"> </w:t>
      </w:r>
      <w:r w:rsidRPr="00E3232D">
        <w:rPr>
          <w:rFonts w:ascii="Book Antiqua" w:hAnsi="Book Antiqua"/>
          <w:spacing w:val="5"/>
        </w:rPr>
        <w:t>b</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ll</w:t>
      </w:r>
      <w:r w:rsidRPr="00E3232D">
        <w:rPr>
          <w:rFonts w:ascii="Book Antiqua" w:hAnsi="Book Antiqua"/>
          <w:spacing w:val="8"/>
        </w:rPr>
        <w:t xml:space="preserve"> </w:t>
      </w:r>
      <w:r w:rsidRPr="00E3232D">
        <w:rPr>
          <w:rFonts w:ascii="Book Antiqua" w:hAnsi="Book Antiqua"/>
        </w:rPr>
        <w:t>the</w:t>
      </w:r>
      <w:r w:rsidRPr="00E3232D">
        <w:rPr>
          <w:rFonts w:ascii="Book Antiqua" w:hAnsi="Book Antiqua"/>
          <w:spacing w:val="9"/>
        </w:rPr>
        <w:t xml:space="preserve"> </w:t>
      </w:r>
      <w:r w:rsidRPr="00E3232D">
        <w:rPr>
          <w:rFonts w:ascii="Book Antiqua" w:hAnsi="Book Antiqua"/>
        </w:rPr>
        <w:t>wo</w:t>
      </w:r>
      <w:r w:rsidRPr="00E3232D">
        <w:rPr>
          <w:rFonts w:ascii="Book Antiqua" w:hAnsi="Book Antiqua"/>
          <w:spacing w:val="-1"/>
        </w:rPr>
        <w:t>r</w:t>
      </w:r>
      <w:r w:rsidRPr="00E3232D">
        <w:rPr>
          <w:rFonts w:ascii="Book Antiqua" w:hAnsi="Book Antiqua"/>
        </w:rPr>
        <w:t>lds</w:t>
      </w:r>
      <w:r w:rsidRPr="00E3232D">
        <w:rPr>
          <w:rFonts w:ascii="Book Antiqua" w:hAnsi="Book Antiqua"/>
          <w:spacing w:val="-20"/>
        </w:rPr>
        <w:t xml:space="preserve"> </w:t>
      </w:r>
      <w:r w:rsidRPr="00E3232D">
        <w:rPr>
          <w:rFonts w:ascii="Book Antiqua" w:hAnsi="Book Antiqua"/>
        </w:rPr>
        <w:t>o</w:t>
      </w:r>
      <w:r w:rsidRPr="00E3232D">
        <w:rPr>
          <w:rFonts w:ascii="Book Antiqua" w:hAnsi="Book Antiqua"/>
          <w:spacing w:val="1"/>
        </w:rPr>
        <w:t>r</w:t>
      </w:r>
      <w:r w:rsidRPr="00E3232D">
        <w:rPr>
          <w:rFonts w:ascii="Book Antiqua" w:hAnsi="Book Antiqua"/>
        </w:rPr>
        <w:t>g</w:t>
      </w:r>
      <w:r w:rsidRPr="00E3232D">
        <w:rPr>
          <w:rFonts w:ascii="Book Antiqua" w:hAnsi="Book Antiqua"/>
          <w:spacing w:val="-1"/>
        </w:rPr>
        <w:t>a</w:t>
      </w:r>
      <w:r w:rsidRPr="00E3232D">
        <w:rPr>
          <w:rFonts w:ascii="Book Antiqua" w:hAnsi="Book Antiqua"/>
        </w:rPr>
        <w:t>ni</w:t>
      </w:r>
      <w:r w:rsidRPr="00E3232D">
        <w:rPr>
          <w:rFonts w:ascii="Book Antiqua" w:hAnsi="Book Antiqua"/>
          <w:spacing w:val="2"/>
        </w:rPr>
        <w:t>z</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w:t>
      </w:r>
      <w:r w:rsidRPr="00E3232D">
        <w:rPr>
          <w:rFonts w:ascii="Book Antiqua" w:hAnsi="Book Antiqua"/>
          <w:spacing w:val="7"/>
        </w:rPr>
        <w:t xml:space="preserve"> </w:t>
      </w:r>
      <w:r w:rsidRPr="00E3232D">
        <w:rPr>
          <w:rFonts w:ascii="Book Antiqua" w:hAnsi="Book Antiqua"/>
          <w:spacing w:val="-1"/>
        </w:rPr>
        <w:t>a</w:t>
      </w:r>
      <w:r w:rsidRPr="00E3232D">
        <w:rPr>
          <w:rFonts w:ascii="Book Antiqua" w:hAnsi="Book Antiqua"/>
          <w:spacing w:val="2"/>
        </w:rPr>
        <w:t>n</w:t>
      </w:r>
      <w:r w:rsidRPr="00E3232D">
        <w:rPr>
          <w:rFonts w:ascii="Book Antiqua" w:hAnsi="Book Antiqua"/>
        </w:rPr>
        <w:t>d</w:t>
      </w:r>
      <w:r w:rsidRPr="00E3232D">
        <w:rPr>
          <w:rFonts w:ascii="Book Antiqua" w:hAnsi="Book Antiqua"/>
          <w:spacing w:val="7"/>
        </w:rPr>
        <w:t xml:space="preserve"> </w:t>
      </w:r>
      <w:r w:rsidRPr="00E3232D">
        <w:rPr>
          <w:rFonts w:ascii="Book Antiqua" w:hAnsi="Book Antiqua"/>
          <w:spacing w:val="-1"/>
        </w:rPr>
        <w:t>c</w:t>
      </w:r>
      <w:r w:rsidRPr="00E3232D">
        <w:rPr>
          <w:rFonts w:ascii="Book Antiqua" w:hAnsi="Book Antiqua"/>
        </w:rPr>
        <w:t>ountri</w:t>
      </w:r>
      <w:r w:rsidRPr="00E3232D">
        <w:rPr>
          <w:rFonts w:ascii="Book Antiqua" w:hAnsi="Book Antiqua"/>
          <w:spacing w:val="-1"/>
        </w:rPr>
        <w:t>e</w:t>
      </w:r>
      <w:r w:rsidRPr="00E3232D">
        <w:rPr>
          <w:rFonts w:ascii="Book Antiqua" w:hAnsi="Book Antiqua"/>
        </w:rPr>
        <w:t>s</w:t>
      </w:r>
      <w:r w:rsidRPr="00E3232D">
        <w:rPr>
          <w:rFonts w:ascii="Book Antiqua" w:hAnsi="Book Antiqua"/>
          <w:spacing w:val="7"/>
        </w:rPr>
        <w:t xml:space="preserve"> </w:t>
      </w:r>
      <w:r w:rsidRPr="00E3232D">
        <w:rPr>
          <w:rFonts w:ascii="Book Antiqua" w:hAnsi="Book Antiqua"/>
        </w:rPr>
        <w:t>(Wo</w:t>
      </w:r>
      <w:r w:rsidRPr="00E3232D">
        <w:rPr>
          <w:rFonts w:ascii="Book Antiqua" w:hAnsi="Book Antiqua"/>
          <w:spacing w:val="-1"/>
        </w:rPr>
        <w:t>r</w:t>
      </w:r>
      <w:r w:rsidRPr="00E3232D">
        <w:rPr>
          <w:rFonts w:ascii="Book Antiqua" w:hAnsi="Book Antiqua"/>
        </w:rPr>
        <w:t xml:space="preserve">ld </w:t>
      </w:r>
      <w:r w:rsidRPr="00E3232D">
        <w:rPr>
          <w:rFonts w:ascii="Book Antiqua" w:hAnsi="Book Antiqua"/>
          <w:spacing w:val="-2"/>
        </w:rPr>
        <w:t>B</w:t>
      </w:r>
      <w:r w:rsidRPr="00E3232D">
        <w:rPr>
          <w:rFonts w:ascii="Book Antiqua" w:hAnsi="Book Antiqua"/>
          <w:spacing w:val="-1"/>
        </w:rPr>
        <w:t>a</w:t>
      </w:r>
      <w:r w:rsidRPr="00E3232D">
        <w:rPr>
          <w:rFonts w:ascii="Book Antiqua" w:hAnsi="Book Antiqua"/>
        </w:rPr>
        <w:t>nk, 1983</w:t>
      </w:r>
      <w:r w:rsidRPr="00E3232D">
        <w:rPr>
          <w:rFonts w:ascii="Book Antiqua" w:hAnsi="Book Antiqua"/>
          <w:spacing w:val="-1"/>
        </w:rPr>
        <w:t>)</w:t>
      </w:r>
      <w:r w:rsidRPr="00E3232D">
        <w:rPr>
          <w:rFonts w:ascii="Book Antiqua" w:hAnsi="Book Antiqua"/>
        </w:rPr>
        <w:t>.</w:t>
      </w:r>
    </w:p>
    <w:p w14:paraId="65AF6DE2" w14:textId="77777777" w:rsidR="00E00EF9" w:rsidRDefault="00E00EF9" w:rsidP="001765F6">
      <w:pPr>
        <w:widowControl w:val="0"/>
        <w:autoSpaceDE w:val="0"/>
        <w:autoSpaceDN w:val="0"/>
        <w:adjustRightInd w:val="0"/>
        <w:spacing w:after="0"/>
        <w:ind w:left="100" w:right="79"/>
        <w:jc w:val="both"/>
        <w:rPr>
          <w:rFonts w:ascii="Book Antiqua" w:hAnsi="Book Antiqua"/>
        </w:rPr>
      </w:pPr>
    </w:p>
    <w:p w14:paraId="16176B3E" w14:textId="77777777" w:rsidR="00E00EF9" w:rsidRPr="00E3232D" w:rsidRDefault="00E00EF9" w:rsidP="00465AE3">
      <w:pPr>
        <w:pStyle w:val="ListParagraph"/>
        <w:ind w:left="90"/>
        <w:jc w:val="both"/>
        <w:rPr>
          <w:rFonts w:ascii="Book Antiqua" w:hAnsi="Book Antiqua"/>
        </w:rPr>
      </w:pPr>
      <w:r w:rsidRPr="00E3232D">
        <w:rPr>
          <w:rFonts w:ascii="Book Antiqua" w:hAnsi="Book Antiqua"/>
        </w:rPr>
        <w:t>cost are the most common constraints (levy, 1991). The specific problems differed by country, but many of them are related, varying according to whether the business perceived that their access, availability or cost is the most important problem and whether they are based primary on imported or domestic inputs (world bank, 1993; parter et al, 1995).</w:t>
      </w:r>
    </w:p>
    <w:p w14:paraId="1B79F1D5" w14:textId="77777777" w:rsidR="00E00EF9" w:rsidRDefault="00E00EF9" w:rsidP="00465AE3">
      <w:pPr>
        <w:pStyle w:val="ListParagraph"/>
        <w:jc w:val="both"/>
        <w:rPr>
          <w:rFonts w:ascii="Book Antiqua" w:hAnsi="Book Antiqua"/>
          <w:b/>
        </w:rPr>
      </w:pPr>
    </w:p>
    <w:p w14:paraId="303F36B8" w14:textId="77777777" w:rsidR="00E00EF9" w:rsidRPr="00E3232D" w:rsidRDefault="00E00EF9" w:rsidP="00465AE3">
      <w:pPr>
        <w:pStyle w:val="ListParagraph"/>
        <w:ind w:left="90"/>
        <w:jc w:val="both"/>
        <w:rPr>
          <w:rFonts w:ascii="Book Antiqua" w:hAnsi="Book Antiqua"/>
        </w:rPr>
      </w:pPr>
      <w:r w:rsidRPr="00E3232D">
        <w:rPr>
          <w:rFonts w:ascii="Book Antiqua" w:hAnsi="Book Antiqua"/>
          <w:b/>
        </w:rPr>
        <w:t>Finance</w:t>
      </w:r>
      <w:r w:rsidRPr="00E3232D">
        <w:rPr>
          <w:rFonts w:ascii="Book Antiqua" w:hAnsi="Book Antiqua"/>
        </w:rPr>
        <w:t xml:space="preserve">: Access to finance remained a dominant challenge to potential micro entrepreneurial borrowers in Ghana. Lenders are reluctant to lend to poorest t of the poorest of the poor because such borrowers lack collateral. Also administrative costs of such loans, which usually involve small sums, are seen as making them less profitable than larger loans to fewer secured borrowers. </w:t>
      </w:r>
    </w:p>
    <w:p w14:paraId="04230F7B" w14:textId="77777777" w:rsidR="00E00EF9" w:rsidRDefault="00E00EF9" w:rsidP="00465AE3">
      <w:pPr>
        <w:pStyle w:val="ListParagraph"/>
        <w:jc w:val="both"/>
        <w:rPr>
          <w:rFonts w:ascii="Book Antiqua" w:hAnsi="Book Antiqua"/>
          <w:b/>
        </w:rPr>
      </w:pPr>
    </w:p>
    <w:p w14:paraId="5015A4F8" w14:textId="77777777" w:rsidR="00E00EF9" w:rsidRPr="00E3232D" w:rsidRDefault="00E00EF9" w:rsidP="00465AE3">
      <w:pPr>
        <w:pStyle w:val="ListParagraph"/>
        <w:ind w:left="0"/>
        <w:jc w:val="both"/>
        <w:rPr>
          <w:rFonts w:ascii="Book Antiqua" w:hAnsi="Book Antiqua"/>
        </w:rPr>
      </w:pPr>
      <w:r w:rsidRPr="00E3232D">
        <w:rPr>
          <w:rFonts w:ascii="Book Antiqua" w:hAnsi="Book Antiqua"/>
          <w:b/>
        </w:rPr>
        <w:t>Equipment &amp; Technology:</w:t>
      </w:r>
      <w:r w:rsidRPr="00E3232D">
        <w:rPr>
          <w:rFonts w:ascii="Book Antiqua" w:hAnsi="Book Antiqua"/>
        </w:rPr>
        <w:t xml:space="preserve">  micro enterprises have difficulties in gaining access to appropriate technologies and information on available techniques. This limits innovation and micro enterprise competitiveness. Besides, other constraints on capital, and labour as well as uncertainty surrounding new technologies, restrict incentives to innovation.</w:t>
      </w:r>
    </w:p>
    <w:p w14:paraId="69669C47" w14:textId="77777777" w:rsidR="00E00EF9" w:rsidRDefault="00E00EF9" w:rsidP="00465AE3">
      <w:pPr>
        <w:pStyle w:val="ListParagraph"/>
        <w:jc w:val="both"/>
        <w:rPr>
          <w:rFonts w:ascii="Book Antiqua" w:hAnsi="Book Antiqua"/>
          <w:b/>
        </w:rPr>
      </w:pPr>
    </w:p>
    <w:p w14:paraId="208635FF" w14:textId="77777777" w:rsidR="00E00EF9" w:rsidRPr="00E3232D" w:rsidRDefault="00E00EF9" w:rsidP="00465AE3">
      <w:pPr>
        <w:pStyle w:val="ListParagraph"/>
        <w:ind w:left="0"/>
        <w:jc w:val="both"/>
        <w:rPr>
          <w:rFonts w:ascii="Book Antiqua" w:hAnsi="Book Antiqua"/>
        </w:rPr>
      </w:pPr>
      <w:r w:rsidRPr="00E3232D">
        <w:rPr>
          <w:rFonts w:ascii="Book Antiqua" w:hAnsi="Book Antiqua"/>
          <w:b/>
        </w:rPr>
        <w:t>Lack of Enterpreneurial &amp; Business Management Skills:</w:t>
      </w:r>
      <w:r w:rsidRPr="00E3232D">
        <w:rPr>
          <w:rFonts w:ascii="Book Antiqua" w:hAnsi="Book Antiqua"/>
        </w:rPr>
        <w:t xml:space="preserve">  lack of managerial know-how places significant challenge on micro enterprises development. Even though micro enterprises tend to all act motivated managers, they can hardly compete with larger firms. The scarcity of management talent. Prevalent in most countries has a magnified impact on micro enterprises.</w:t>
      </w:r>
    </w:p>
    <w:p w14:paraId="57D2482F" w14:textId="77777777" w:rsidR="00E00EF9" w:rsidRDefault="00E00EF9" w:rsidP="00465AE3">
      <w:pPr>
        <w:pStyle w:val="ListParagraph"/>
        <w:ind w:left="0"/>
        <w:jc w:val="both"/>
        <w:rPr>
          <w:rFonts w:ascii="Book Antiqua" w:hAnsi="Book Antiqua"/>
          <w:b/>
        </w:rPr>
      </w:pPr>
    </w:p>
    <w:p w14:paraId="39281708" w14:textId="77777777" w:rsidR="00E00EF9" w:rsidRPr="00E3232D" w:rsidRDefault="00E00EF9" w:rsidP="00465AE3">
      <w:pPr>
        <w:pStyle w:val="ListParagraph"/>
        <w:ind w:left="0"/>
        <w:jc w:val="both"/>
        <w:rPr>
          <w:rFonts w:ascii="Book Antiqua" w:hAnsi="Book Antiqua"/>
        </w:rPr>
      </w:pPr>
      <w:r w:rsidRPr="00E3232D">
        <w:rPr>
          <w:rFonts w:ascii="Book Antiqua" w:hAnsi="Book Antiqua"/>
          <w:b/>
        </w:rPr>
        <w:t>Opportunities of Potential Micro Entrepreneurial Borrowers</w:t>
      </w:r>
    </w:p>
    <w:p w14:paraId="52084D38" w14:textId="77777777" w:rsidR="00E00EF9" w:rsidRPr="00E3232D" w:rsidRDefault="00E00EF9" w:rsidP="00465AE3">
      <w:pPr>
        <w:pStyle w:val="ListParagraph"/>
        <w:ind w:left="0"/>
        <w:jc w:val="both"/>
        <w:rPr>
          <w:rFonts w:ascii="Book Antiqua" w:hAnsi="Book Antiqua"/>
        </w:rPr>
      </w:pPr>
      <w:r w:rsidRPr="00E3232D">
        <w:rPr>
          <w:rFonts w:ascii="Book Antiqua" w:hAnsi="Book Antiqua"/>
        </w:rPr>
        <w:t>Potential micro entrepreneurial borrowers have since been expanded because of the opportunities they are enjoying.</w:t>
      </w:r>
    </w:p>
    <w:p w14:paraId="238749D8" w14:textId="77777777" w:rsidR="00E00EF9" w:rsidRPr="00E3232D" w:rsidRDefault="00E00EF9" w:rsidP="00465AE3">
      <w:pPr>
        <w:pStyle w:val="ListParagraph"/>
        <w:ind w:left="0"/>
        <w:jc w:val="both"/>
        <w:rPr>
          <w:rFonts w:ascii="Book Antiqua" w:hAnsi="Book Antiqua"/>
        </w:rPr>
      </w:pPr>
      <w:r w:rsidRPr="00E3232D">
        <w:rPr>
          <w:rFonts w:ascii="Book Antiqua" w:hAnsi="Book Antiqua"/>
        </w:rPr>
        <w:t>Increasing attention is being paid to ways of directing finance to micro enterprises. Whilst emphasis is frequently placed on the need for additional funds from sources outside the developing countries. Experts in the formation of grassroots enterprise point to the importance of mobilizing domestic savings within these states themselves. Hence saving mobilized domestically has been channelled towards the development of micro entrepreneurs.</w:t>
      </w:r>
    </w:p>
    <w:p w14:paraId="1828978C" w14:textId="77777777" w:rsidR="00E00EF9" w:rsidRDefault="00E00EF9" w:rsidP="00465AE3">
      <w:pPr>
        <w:pStyle w:val="ListParagraph"/>
        <w:jc w:val="both"/>
        <w:rPr>
          <w:rFonts w:ascii="Book Antiqua" w:hAnsi="Book Antiqua"/>
        </w:rPr>
      </w:pPr>
    </w:p>
    <w:p w14:paraId="684A928D" w14:textId="77777777" w:rsidR="00A24377" w:rsidRPr="00465AE3" w:rsidRDefault="00E00EF9" w:rsidP="00465AE3">
      <w:pPr>
        <w:pStyle w:val="ListParagraph"/>
        <w:ind w:left="90"/>
        <w:jc w:val="both"/>
        <w:rPr>
          <w:rFonts w:ascii="Book Antiqua" w:hAnsi="Book Antiqua"/>
        </w:rPr>
      </w:pPr>
      <w:r w:rsidRPr="00E3232D">
        <w:rPr>
          <w:rFonts w:ascii="Book Antiqua" w:hAnsi="Book Antiqua"/>
        </w:rPr>
        <w:t>Micro entrepreneurial borrowers are now seen with new face of development with an increasing government interventions and world development organization to ensure a sound enterprising spirit. The dramatic growth of micro entrepreneurship in man developing countries including Ghana in the immediate decade suggests there is no shortage of entrepreneurial willingness.</w:t>
      </w:r>
    </w:p>
    <w:p w14:paraId="0FE50A03" w14:textId="77777777" w:rsidR="005D362A" w:rsidRPr="00395328" w:rsidRDefault="005D362A" w:rsidP="001765F6">
      <w:pPr>
        <w:spacing w:after="0"/>
        <w:jc w:val="both"/>
        <w:rPr>
          <w:rFonts w:ascii="Book Antiqua" w:hAnsi="Book Antiqua"/>
        </w:rPr>
      </w:pPr>
      <w:r w:rsidRPr="00395328">
        <w:rPr>
          <w:rFonts w:ascii="Book Antiqua" w:hAnsi="Book Antiqua"/>
        </w:rPr>
        <w:t>The majority of the potential micro entrepreneurial borrowers who found their way into the business enterprises gets the opportunity of reducing their own poverty nature, increased food security and improved their general well-being. Hence, numerous opportunities exist for potential micro entrepreneurial borrowers who engage in the micro enterprise.</w:t>
      </w:r>
    </w:p>
    <w:p w14:paraId="60BDBFF2" w14:textId="77777777" w:rsidR="00C46BAF" w:rsidRDefault="00C46BAF" w:rsidP="00465AE3">
      <w:pPr>
        <w:pStyle w:val="ListParagraph"/>
        <w:jc w:val="both"/>
        <w:rPr>
          <w:rFonts w:ascii="Book Antiqua" w:hAnsi="Book Antiqua"/>
          <w:b/>
        </w:rPr>
      </w:pPr>
    </w:p>
    <w:p w14:paraId="6A79A338" w14:textId="77777777" w:rsidR="005D362A" w:rsidRPr="00E3232D" w:rsidRDefault="005D362A" w:rsidP="00465AE3">
      <w:pPr>
        <w:pStyle w:val="ListParagraph"/>
        <w:ind w:left="90"/>
        <w:jc w:val="both"/>
        <w:rPr>
          <w:rFonts w:ascii="Book Antiqua" w:hAnsi="Book Antiqua"/>
        </w:rPr>
      </w:pPr>
      <w:r w:rsidRPr="00E3232D">
        <w:rPr>
          <w:rFonts w:ascii="Book Antiqua" w:hAnsi="Book Antiqua"/>
          <w:b/>
        </w:rPr>
        <w:t>Contribution of Micro Entrepreneurs</w:t>
      </w:r>
    </w:p>
    <w:p w14:paraId="5777824B" w14:textId="77777777" w:rsidR="005D362A" w:rsidRPr="00E3232D" w:rsidRDefault="005D362A" w:rsidP="00465AE3">
      <w:pPr>
        <w:pStyle w:val="ListParagraph"/>
        <w:ind w:left="90"/>
        <w:jc w:val="both"/>
        <w:rPr>
          <w:rFonts w:ascii="Book Antiqua" w:hAnsi="Book Antiqua"/>
        </w:rPr>
      </w:pPr>
      <w:r w:rsidRPr="00E3232D">
        <w:rPr>
          <w:rFonts w:ascii="Book Antiqua" w:hAnsi="Book Antiqua"/>
        </w:rPr>
        <w:t>The national board for small scale industries (NBSS)  in Ghana has identified a number of areas that micro entrepreneurs can help to bring about some economic and social benefits (Dalitso and peter, 2000). These include:</w:t>
      </w:r>
    </w:p>
    <w:p w14:paraId="1ECE671E" w14:textId="77777777" w:rsidR="005D362A" w:rsidRPr="00E3232D" w:rsidRDefault="005D362A" w:rsidP="00196385">
      <w:pPr>
        <w:pStyle w:val="ListParagraph"/>
        <w:numPr>
          <w:ilvl w:val="0"/>
          <w:numId w:val="74"/>
        </w:numPr>
        <w:jc w:val="both"/>
        <w:rPr>
          <w:rFonts w:ascii="Book Antiqua" w:hAnsi="Book Antiqua"/>
        </w:rPr>
      </w:pPr>
      <w:r w:rsidRPr="00E3232D">
        <w:rPr>
          <w:rFonts w:ascii="Book Antiqua" w:hAnsi="Book Antiqua"/>
        </w:rPr>
        <w:t>Creation of jobs at relatively low capital cost</w:t>
      </w:r>
    </w:p>
    <w:p w14:paraId="6F56A4A4" w14:textId="77777777" w:rsidR="005D362A" w:rsidRPr="00E3232D" w:rsidRDefault="005D362A" w:rsidP="00196385">
      <w:pPr>
        <w:pStyle w:val="ListParagraph"/>
        <w:numPr>
          <w:ilvl w:val="0"/>
          <w:numId w:val="74"/>
        </w:numPr>
        <w:jc w:val="both"/>
        <w:rPr>
          <w:rFonts w:ascii="Book Antiqua" w:hAnsi="Book Antiqua"/>
        </w:rPr>
      </w:pPr>
      <w:r w:rsidRPr="00E3232D">
        <w:rPr>
          <w:rFonts w:ascii="Book Antiqua" w:hAnsi="Book Antiqua"/>
        </w:rPr>
        <w:t>Improvement of forward and backward linkages between diverse sector of the economy and acting as ancillaries by large scale enterprises.</w:t>
      </w:r>
    </w:p>
    <w:p w14:paraId="69F71100" w14:textId="77777777" w:rsidR="005D362A" w:rsidRPr="00E3232D" w:rsidRDefault="005D362A" w:rsidP="00196385">
      <w:pPr>
        <w:pStyle w:val="ListParagraph"/>
        <w:numPr>
          <w:ilvl w:val="0"/>
          <w:numId w:val="74"/>
        </w:numPr>
        <w:jc w:val="both"/>
        <w:rPr>
          <w:rFonts w:ascii="Book Antiqua" w:hAnsi="Book Antiqua"/>
        </w:rPr>
      </w:pPr>
      <w:r w:rsidRPr="00E3232D">
        <w:rPr>
          <w:rFonts w:ascii="Book Antiqua" w:hAnsi="Book Antiqua"/>
        </w:rPr>
        <w:t>Provision of opportunities for developing appropriate technologies</w:t>
      </w:r>
    </w:p>
    <w:p w14:paraId="46541CB8" w14:textId="77777777" w:rsidR="005D362A" w:rsidRPr="00E3232D" w:rsidRDefault="005D362A" w:rsidP="00196385">
      <w:pPr>
        <w:pStyle w:val="ListParagraph"/>
        <w:numPr>
          <w:ilvl w:val="0"/>
          <w:numId w:val="74"/>
        </w:numPr>
        <w:jc w:val="both"/>
        <w:rPr>
          <w:rFonts w:ascii="Book Antiqua" w:hAnsi="Book Antiqua"/>
        </w:rPr>
      </w:pPr>
      <w:r w:rsidRPr="00E3232D">
        <w:rPr>
          <w:rFonts w:ascii="Book Antiqua" w:hAnsi="Book Antiqua"/>
        </w:rPr>
        <w:t>Offering breeding ground for entrepreneurs and managerial talents and thereby providing a pool of skilled and semi-skilled labour.</w:t>
      </w:r>
    </w:p>
    <w:p w14:paraId="23DE9204" w14:textId="77777777" w:rsidR="005D362A" w:rsidRPr="00E3232D" w:rsidRDefault="005D362A" w:rsidP="00196385">
      <w:pPr>
        <w:pStyle w:val="ListParagraph"/>
        <w:numPr>
          <w:ilvl w:val="0"/>
          <w:numId w:val="74"/>
        </w:numPr>
        <w:jc w:val="both"/>
        <w:rPr>
          <w:rFonts w:ascii="Book Antiqua" w:hAnsi="Book Antiqua"/>
        </w:rPr>
      </w:pPr>
      <w:r w:rsidRPr="00E3232D">
        <w:rPr>
          <w:rFonts w:ascii="Book Antiqua" w:hAnsi="Book Antiqua"/>
        </w:rPr>
        <w:t>Flexible adaptation of market fluctuation.</w:t>
      </w:r>
    </w:p>
    <w:p w14:paraId="2C946EC2" w14:textId="77777777" w:rsidR="005D362A" w:rsidRPr="00E3232D" w:rsidRDefault="005D362A" w:rsidP="00196385">
      <w:pPr>
        <w:pStyle w:val="ListParagraph"/>
        <w:numPr>
          <w:ilvl w:val="0"/>
          <w:numId w:val="74"/>
        </w:numPr>
        <w:jc w:val="both"/>
        <w:rPr>
          <w:rFonts w:ascii="Book Antiqua" w:hAnsi="Book Antiqua"/>
        </w:rPr>
      </w:pPr>
      <w:r w:rsidRPr="00E3232D">
        <w:rPr>
          <w:rFonts w:ascii="Book Antiqua" w:hAnsi="Book Antiqua"/>
        </w:rPr>
        <w:t>Utilization of local raw materials resources.</w:t>
      </w:r>
    </w:p>
    <w:p w14:paraId="5569D102" w14:textId="77777777" w:rsidR="005D362A" w:rsidRPr="00E3232D" w:rsidRDefault="005D362A" w:rsidP="00196385">
      <w:pPr>
        <w:pStyle w:val="ListParagraph"/>
        <w:numPr>
          <w:ilvl w:val="0"/>
          <w:numId w:val="74"/>
        </w:numPr>
        <w:jc w:val="both"/>
        <w:rPr>
          <w:rFonts w:ascii="Book Antiqua" w:hAnsi="Book Antiqua"/>
        </w:rPr>
      </w:pPr>
      <w:r w:rsidRPr="00E3232D">
        <w:rPr>
          <w:rFonts w:ascii="Book Antiqua" w:hAnsi="Book Antiqua"/>
        </w:rPr>
        <w:t>Improve capacity of district assemblies and other local authorities to link producers of inducers of industrial raw materials to micro enterprises.</w:t>
      </w:r>
    </w:p>
    <w:p w14:paraId="57840CF9" w14:textId="77777777" w:rsidR="005D362A" w:rsidRPr="00E3232D" w:rsidRDefault="005D362A" w:rsidP="00465AE3">
      <w:pPr>
        <w:widowControl w:val="0"/>
        <w:autoSpaceDE w:val="0"/>
        <w:autoSpaceDN w:val="0"/>
        <w:adjustRightInd w:val="0"/>
        <w:ind w:right="6"/>
        <w:jc w:val="both"/>
        <w:rPr>
          <w:rFonts w:ascii="Book Antiqua" w:hAnsi="Book Antiqua"/>
        </w:rPr>
      </w:pP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pro</w:t>
      </w:r>
      <w:r w:rsidRPr="00E3232D">
        <w:rPr>
          <w:rFonts w:ascii="Book Antiqua" w:hAnsi="Book Antiqua"/>
          <w:spacing w:val="-1"/>
        </w:rPr>
        <w:t>b</w:t>
      </w:r>
      <w:r w:rsidRPr="00E3232D">
        <w:rPr>
          <w:rFonts w:ascii="Book Antiqua" w:hAnsi="Book Antiqua"/>
        </w:rPr>
        <w:t>lem st</w:t>
      </w:r>
      <w:r w:rsidRPr="00E3232D">
        <w:rPr>
          <w:rFonts w:ascii="Book Antiqua" w:hAnsi="Book Antiqua"/>
          <w:spacing w:val="-1"/>
        </w:rPr>
        <w:t>a</w:t>
      </w:r>
      <w:r w:rsidRPr="00E3232D">
        <w:rPr>
          <w:rFonts w:ascii="Book Antiqua" w:hAnsi="Book Antiqua"/>
        </w:rPr>
        <w:t>t</w:t>
      </w:r>
      <w:r w:rsidRPr="00E3232D">
        <w:rPr>
          <w:rFonts w:ascii="Book Antiqua" w:hAnsi="Book Antiqua"/>
          <w:spacing w:val="2"/>
        </w:rPr>
        <w:t>e</w:t>
      </w:r>
      <w:r w:rsidRPr="00E3232D">
        <w:rPr>
          <w:rFonts w:ascii="Book Antiqua" w:hAnsi="Book Antiqua"/>
        </w:rPr>
        <w:t xml:space="preserve">ment </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i</w:t>
      </w:r>
      <w:r w:rsidRPr="00E3232D">
        <w:rPr>
          <w:rFonts w:ascii="Book Antiqua" w:hAnsi="Book Antiqua"/>
        </w:rPr>
        <w:t>r</w:t>
      </w:r>
      <w:r w:rsidRPr="00E3232D">
        <w:rPr>
          <w:rFonts w:ascii="Book Antiqua" w:hAnsi="Book Antiqua"/>
          <w:spacing w:val="-2"/>
        </w:rPr>
        <w:t>e</w:t>
      </w:r>
      <w:r w:rsidRPr="00E3232D">
        <w:rPr>
          <w:rFonts w:ascii="Book Antiqua" w:hAnsi="Book Antiqua"/>
          <w:spacing w:val="3"/>
        </w:rPr>
        <w:t>l</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rPr>
        <w:t>is f</w:t>
      </w:r>
      <w:r w:rsidRPr="00E3232D">
        <w:rPr>
          <w:rFonts w:ascii="Book Antiqua" w:hAnsi="Book Antiqua"/>
          <w:spacing w:val="2"/>
        </w:rPr>
        <w:t>o</w:t>
      </w:r>
      <w:r w:rsidRPr="00E3232D">
        <w:rPr>
          <w:rFonts w:ascii="Book Antiqua" w:hAnsi="Book Antiqua"/>
        </w:rPr>
        <w:t>rmul</w:t>
      </w:r>
      <w:r w:rsidRPr="00E3232D">
        <w:rPr>
          <w:rFonts w:ascii="Book Antiqua" w:hAnsi="Book Antiqua"/>
          <w:spacing w:val="-1"/>
        </w:rPr>
        <w:t>a</w:t>
      </w:r>
      <w:r w:rsidRPr="00E3232D">
        <w:rPr>
          <w:rFonts w:ascii="Book Antiqua" w:hAnsi="Book Antiqua"/>
        </w:rPr>
        <w:t>ted into four</w:t>
      </w:r>
      <w:r w:rsidRPr="00E3232D">
        <w:rPr>
          <w:rFonts w:ascii="Book Antiqua" w:hAnsi="Book Antiqua"/>
          <w:spacing w:val="-1"/>
        </w:rPr>
        <w:t xml:space="preserve"> re</w:t>
      </w:r>
      <w:r w:rsidRPr="00E3232D">
        <w:rPr>
          <w:rFonts w:ascii="Book Antiqua" w:hAnsi="Book Antiqua"/>
          <w:spacing w:val="5"/>
        </w:rPr>
        <w:t>s</w:t>
      </w:r>
      <w:r w:rsidRPr="00E3232D">
        <w:rPr>
          <w:rFonts w:ascii="Book Antiqua" w:hAnsi="Book Antiqua"/>
          <w:spacing w:val="-1"/>
        </w:rPr>
        <w:t>ea</w:t>
      </w:r>
      <w:r w:rsidRPr="00E3232D">
        <w:rPr>
          <w:rFonts w:ascii="Book Antiqua" w:hAnsi="Book Antiqua"/>
          <w:spacing w:val="1"/>
        </w:rPr>
        <w:t>r</w:t>
      </w:r>
      <w:r w:rsidRPr="00E3232D">
        <w:rPr>
          <w:rFonts w:ascii="Book Antiqua" w:hAnsi="Book Antiqua"/>
          <w:spacing w:val="-1"/>
        </w:rPr>
        <w:t>c</w:t>
      </w:r>
      <w:r w:rsidRPr="00E3232D">
        <w:rPr>
          <w:rFonts w:ascii="Book Antiqua" w:hAnsi="Book Antiqua"/>
        </w:rPr>
        <w:t>h qu</w:t>
      </w:r>
      <w:r w:rsidRPr="00E3232D">
        <w:rPr>
          <w:rFonts w:ascii="Book Antiqua" w:hAnsi="Book Antiqua"/>
          <w:spacing w:val="1"/>
        </w:rPr>
        <w:t>e</w:t>
      </w:r>
      <w:r w:rsidRPr="00E3232D">
        <w:rPr>
          <w:rFonts w:ascii="Book Antiqua" w:hAnsi="Book Antiqua"/>
        </w:rPr>
        <w:t>st</w:t>
      </w:r>
      <w:r w:rsidRPr="00E3232D">
        <w:rPr>
          <w:rFonts w:ascii="Book Antiqua" w:hAnsi="Book Antiqua"/>
          <w:spacing w:val="1"/>
        </w:rPr>
        <w:t>i</w:t>
      </w:r>
      <w:r w:rsidRPr="00E3232D">
        <w:rPr>
          <w:rFonts w:ascii="Book Antiqua" w:hAnsi="Book Antiqua"/>
        </w:rPr>
        <w:t>ons.</w:t>
      </w:r>
    </w:p>
    <w:p w14:paraId="7FF27EBA" w14:textId="77777777" w:rsidR="005D362A" w:rsidRPr="00E3232D" w:rsidRDefault="005D362A" w:rsidP="00465AE3">
      <w:pPr>
        <w:widowControl w:val="0"/>
        <w:tabs>
          <w:tab w:val="left" w:pos="820"/>
        </w:tabs>
        <w:autoSpaceDE w:val="0"/>
        <w:autoSpaceDN w:val="0"/>
        <w:adjustRightInd w:val="0"/>
        <w:ind w:left="200" w:right="1584"/>
        <w:jc w:val="both"/>
        <w:rPr>
          <w:rFonts w:ascii="Book Antiqua" w:hAnsi="Book Antiqua"/>
        </w:rPr>
      </w:pPr>
      <w:r w:rsidRPr="00E3232D">
        <w:rPr>
          <w:rFonts w:ascii="Book Antiqua" w:hAnsi="Book Antiqua"/>
          <w:spacing w:val="-1"/>
        </w:rPr>
        <w:t>a</w:t>
      </w:r>
      <w:r w:rsidRPr="00E3232D">
        <w:rPr>
          <w:rFonts w:ascii="Book Antiqua" w:hAnsi="Book Antiqua"/>
        </w:rPr>
        <w:t>.</w:t>
      </w:r>
      <w:r w:rsidRPr="00E3232D">
        <w:rPr>
          <w:rFonts w:ascii="Book Antiqua" w:hAnsi="Book Antiqua"/>
        </w:rPr>
        <w:tab/>
      </w:r>
      <w:r w:rsidRPr="00E3232D">
        <w:rPr>
          <w:rFonts w:ascii="Book Antiqua" w:hAnsi="Book Antiqua"/>
          <w:spacing w:val="1"/>
        </w:rPr>
        <w:t>W</w:t>
      </w:r>
      <w:r w:rsidRPr="00E3232D">
        <w:rPr>
          <w:rFonts w:ascii="Book Antiqua" w:hAnsi="Book Antiqua"/>
        </w:rPr>
        <w:t>h</w:t>
      </w:r>
      <w:r w:rsidRPr="00E3232D">
        <w:rPr>
          <w:rFonts w:ascii="Book Antiqua" w:hAnsi="Book Antiqua"/>
          <w:spacing w:val="-1"/>
        </w:rPr>
        <w:t>a</w:t>
      </w:r>
      <w:r w:rsidRPr="00E3232D">
        <w:rPr>
          <w:rFonts w:ascii="Book Antiqua" w:hAnsi="Book Antiqua"/>
        </w:rPr>
        <w:t>t opportunit</w:t>
      </w:r>
      <w:r w:rsidRPr="00E3232D">
        <w:rPr>
          <w:rFonts w:ascii="Book Antiqua" w:hAnsi="Book Antiqua"/>
          <w:spacing w:val="1"/>
        </w:rPr>
        <w:t>i</w:t>
      </w:r>
      <w:r w:rsidRPr="00E3232D">
        <w:rPr>
          <w:rFonts w:ascii="Book Antiqua" w:hAnsi="Book Antiqua"/>
          <w:spacing w:val="-1"/>
        </w:rPr>
        <w:t>e</w:t>
      </w:r>
      <w:r w:rsidRPr="00E3232D">
        <w:rPr>
          <w:rFonts w:ascii="Book Antiqua" w:hAnsi="Book Antiqua"/>
        </w:rPr>
        <w:t>s e</w:t>
      </w:r>
      <w:r w:rsidRPr="00E3232D">
        <w:rPr>
          <w:rFonts w:ascii="Book Antiqua" w:hAnsi="Book Antiqua"/>
          <w:spacing w:val="1"/>
        </w:rPr>
        <w:t>x</w:t>
      </w:r>
      <w:r w:rsidRPr="00E3232D">
        <w:rPr>
          <w:rFonts w:ascii="Book Antiqua" w:hAnsi="Book Antiqua"/>
          <w:spacing w:val="-2"/>
        </w:rPr>
        <w:t>i</w:t>
      </w:r>
      <w:r w:rsidRPr="00E3232D">
        <w:rPr>
          <w:rFonts w:ascii="Book Antiqua" w:hAnsi="Book Antiqua"/>
        </w:rPr>
        <w:t>st</w:t>
      </w:r>
      <w:r w:rsidRPr="00E3232D">
        <w:rPr>
          <w:rFonts w:ascii="Book Antiqua" w:hAnsi="Book Antiqua"/>
          <w:spacing w:val="-2"/>
        </w:rPr>
        <w:t xml:space="preserve"> </w:t>
      </w:r>
      <w:r w:rsidRPr="00E3232D">
        <w:rPr>
          <w:rFonts w:ascii="Book Antiqua" w:hAnsi="Book Antiqua"/>
        </w:rPr>
        <w:t>for</w:t>
      </w:r>
      <w:r w:rsidRPr="00E3232D">
        <w:rPr>
          <w:rFonts w:ascii="Book Antiqua" w:hAnsi="Book Antiqua"/>
          <w:spacing w:val="-1"/>
        </w:rPr>
        <w:t xml:space="preserve"> </w:t>
      </w:r>
      <w:r w:rsidRPr="00E3232D">
        <w:rPr>
          <w:rFonts w:ascii="Book Antiqua" w:hAnsi="Book Antiqua"/>
        </w:rPr>
        <w:t>potential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2"/>
        </w:rPr>
        <w:t>e</w:t>
      </w:r>
      <w:r w:rsidRPr="00E3232D">
        <w:rPr>
          <w:rFonts w:ascii="Book Antiqua" w:hAnsi="Book Antiqua"/>
        </w:rPr>
        <w:t>nt</w:t>
      </w:r>
      <w:r w:rsidRPr="00E3232D">
        <w:rPr>
          <w:rFonts w:ascii="Book Antiqua" w:hAnsi="Book Antiqua"/>
          <w:spacing w:val="2"/>
        </w:rPr>
        <w: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 bor</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w</w:t>
      </w:r>
      <w:r w:rsidRPr="00E3232D">
        <w:rPr>
          <w:rFonts w:ascii="Book Antiqua" w:hAnsi="Book Antiqua"/>
          <w:spacing w:val="-1"/>
        </w:rPr>
        <w:t>e</w:t>
      </w:r>
      <w:r w:rsidRPr="00E3232D">
        <w:rPr>
          <w:rFonts w:ascii="Book Antiqua" w:hAnsi="Book Antiqua"/>
        </w:rPr>
        <w:t>rs?</w:t>
      </w:r>
    </w:p>
    <w:p w14:paraId="14F49059" w14:textId="77777777" w:rsidR="005D362A" w:rsidRPr="00E3232D" w:rsidRDefault="005D362A" w:rsidP="001765F6">
      <w:pPr>
        <w:widowControl w:val="0"/>
        <w:tabs>
          <w:tab w:val="left" w:pos="800"/>
        </w:tabs>
        <w:autoSpaceDE w:val="0"/>
        <w:autoSpaceDN w:val="0"/>
        <w:adjustRightInd w:val="0"/>
        <w:ind w:left="200" w:right="651"/>
        <w:jc w:val="both"/>
        <w:rPr>
          <w:rFonts w:ascii="Book Antiqua" w:hAnsi="Book Antiqua"/>
        </w:rPr>
      </w:pPr>
      <w:r w:rsidRPr="00E3232D">
        <w:rPr>
          <w:rFonts w:ascii="Book Antiqua" w:hAnsi="Book Antiqua"/>
        </w:rPr>
        <w:t>b.</w:t>
      </w:r>
      <w:r w:rsidRPr="00E3232D">
        <w:rPr>
          <w:rFonts w:ascii="Book Antiqua" w:hAnsi="Book Antiqua"/>
        </w:rPr>
        <w:tab/>
      </w:r>
      <w:r w:rsidRPr="00E3232D">
        <w:rPr>
          <w:rFonts w:ascii="Book Antiqua" w:hAnsi="Book Antiqua"/>
          <w:spacing w:val="1"/>
        </w:rPr>
        <w:t>W</w:t>
      </w:r>
      <w:r w:rsidRPr="00E3232D">
        <w:rPr>
          <w:rFonts w:ascii="Book Antiqua" w:hAnsi="Book Antiqua"/>
        </w:rPr>
        <w:t>h</w:t>
      </w:r>
      <w:r w:rsidRPr="00E3232D">
        <w:rPr>
          <w:rFonts w:ascii="Book Antiqua" w:hAnsi="Book Antiqua"/>
          <w:spacing w:val="-1"/>
        </w:rPr>
        <w:t>a</w:t>
      </w:r>
      <w:r w:rsidRPr="00E3232D">
        <w:rPr>
          <w:rFonts w:ascii="Book Antiqua" w:hAnsi="Book Antiqua"/>
        </w:rPr>
        <w:t>t f</w:t>
      </w:r>
      <w:r w:rsidRPr="00E3232D">
        <w:rPr>
          <w:rFonts w:ascii="Book Antiqua" w:hAnsi="Book Antiqua"/>
          <w:spacing w:val="-1"/>
        </w:rPr>
        <w:t>ac</w:t>
      </w:r>
      <w:r w:rsidRPr="00E3232D">
        <w:rPr>
          <w:rFonts w:ascii="Book Antiqua" w:hAnsi="Book Antiqua"/>
        </w:rPr>
        <w:t>tors mo</w:t>
      </w:r>
      <w:r w:rsidRPr="00E3232D">
        <w:rPr>
          <w:rFonts w:ascii="Book Antiqua" w:hAnsi="Book Antiqua"/>
          <w:spacing w:val="1"/>
        </w:rPr>
        <w:t>t</w:t>
      </w:r>
      <w:r w:rsidRPr="00E3232D">
        <w:rPr>
          <w:rFonts w:ascii="Book Antiqua" w:hAnsi="Book Antiqua"/>
        </w:rPr>
        <w:t>ivate</w:t>
      </w:r>
      <w:r w:rsidRPr="00E3232D">
        <w:rPr>
          <w:rFonts w:ascii="Book Antiqua" w:hAnsi="Book Antiqua"/>
          <w:spacing w:val="1"/>
        </w:rPr>
        <w:t xml:space="preserve"> </w:t>
      </w:r>
      <w:r w:rsidRPr="00E3232D">
        <w:rPr>
          <w:rFonts w:ascii="Book Antiqua" w:hAnsi="Book Antiqua"/>
        </w:rPr>
        <w:t>potential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2"/>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 bo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w:t>
      </w:r>
      <w:r w:rsidRPr="00E3232D">
        <w:rPr>
          <w:rFonts w:ascii="Book Antiqua" w:hAnsi="Book Antiqua"/>
          <w:spacing w:val="-1"/>
        </w:rPr>
        <w:t>e</w:t>
      </w:r>
      <w:r w:rsidRPr="00E3232D">
        <w:rPr>
          <w:rFonts w:ascii="Book Antiqua" w:hAnsi="Book Antiqua"/>
        </w:rPr>
        <w:t xml:space="preserve">rs to </w:t>
      </w:r>
      <w:r w:rsidRPr="00E3232D">
        <w:rPr>
          <w:rFonts w:ascii="Book Antiqua" w:hAnsi="Book Antiqua"/>
          <w:spacing w:val="1"/>
        </w:rPr>
        <w:t>a</w:t>
      </w:r>
      <w:r w:rsidRPr="00E3232D">
        <w:rPr>
          <w:rFonts w:ascii="Book Antiqua" w:hAnsi="Book Antiqua"/>
          <w:spacing w:val="-1"/>
        </w:rPr>
        <w:t>cce</w:t>
      </w:r>
      <w:r w:rsidRPr="00E3232D">
        <w:rPr>
          <w:rFonts w:ascii="Book Antiqua" w:hAnsi="Book Antiqua"/>
          <w:spacing w:val="2"/>
        </w:rPr>
        <w:t>s</w:t>
      </w:r>
      <w:r w:rsidRPr="00E3232D">
        <w:rPr>
          <w:rFonts w:ascii="Book Antiqua" w:hAnsi="Book Antiqua"/>
        </w:rPr>
        <w:t>s c</w:t>
      </w:r>
      <w:r w:rsidRPr="00E3232D">
        <w:rPr>
          <w:rFonts w:ascii="Book Antiqua" w:hAnsi="Book Antiqua"/>
          <w:spacing w:val="-1"/>
        </w:rPr>
        <w:t>re</w:t>
      </w:r>
      <w:r w:rsidRPr="00E3232D">
        <w:rPr>
          <w:rFonts w:ascii="Book Antiqua" w:hAnsi="Book Antiqua"/>
        </w:rPr>
        <w:t>di</w:t>
      </w:r>
      <w:r w:rsidRPr="00E3232D">
        <w:rPr>
          <w:rFonts w:ascii="Book Antiqua" w:hAnsi="Book Antiqua"/>
          <w:spacing w:val="1"/>
        </w:rPr>
        <w:t>t</w:t>
      </w:r>
      <w:r w:rsidRPr="00E3232D">
        <w:rPr>
          <w:rFonts w:ascii="Book Antiqua" w:hAnsi="Book Antiqua"/>
        </w:rPr>
        <w:t>?</w:t>
      </w:r>
    </w:p>
    <w:p w14:paraId="055253AB" w14:textId="77777777" w:rsidR="005D362A" w:rsidRPr="00E3232D" w:rsidRDefault="005D362A" w:rsidP="001765F6">
      <w:pPr>
        <w:widowControl w:val="0"/>
        <w:tabs>
          <w:tab w:val="left" w:pos="800"/>
        </w:tabs>
        <w:autoSpaceDE w:val="0"/>
        <w:autoSpaceDN w:val="0"/>
        <w:adjustRightInd w:val="0"/>
        <w:ind w:left="200" w:right="1139"/>
        <w:jc w:val="both"/>
        <w:rPr>
          <w:rFonts w:ascii="Book Antiqua" w:hAnsi="Book Antiqua"/>
        </w:rPr>
      </w:pPr>
      <w:r w:rsidRPr="00E3232D">
        <w:rPr>
          <w:rFonts w:ascii="Book Antiqua" w:hAnsi="Book Antiqua"/>
          <w:spacing w:val="-1"/>
        </w:rPr>
        <w:t>c</w:t>
      </w:r>
      <w:r w:rsidRPr="00E3232D">
        <w:rPr>
          <w:rFonts w:ascii="Book Antiqua" w:hAnsi="Book Antiqua"/>
        </w:rPr>
        <w:t>.</w:t>
      </w:r>
      <w:r w:rsidRPr="00E3232D">
        <w:rPr>
          <w:rFonts w:ascii="Book Antiqua" w:hAnsi="Book Antiqua"/>
        </w:rPr>
        <w:tab/>
      </w:r>
      <w:r w:rsidRPr="00E3232D">
        <w:rPr>
          <w:rFonts w:ascii="Book Antiqua" w:hAnsi="Book Antiqua"/>
          <w:spacing w:val="1"/>
        </w:rPr>
        <w:t>W</w:t>
      </w:r>
      <w:r w:rsidRPr="00E3232D">
        <w:rPr>
          <w:rFonts w:ascii="Book Antiqua" w:hAnsi="Book Antiqua"/>
        </w:rPr>
        <w:t>h</w:t>
      </w:r>
      <w:r w:rsidRPr="00E3232D">
        <w:rPr>
          <w:rFonts w:ascii="Book Antiqua" w:hAnsi="Book Antiqua"/>
          <w:spacing w:val="-1"/>
        </w:rPr>
        <w:t>a</w:t>
      </w:r>
      <w:r w:rsidRPr="00E3232D">
        <w:rPr>
          <w:rFonts w:ascii="Book Antiqua" w:hAnsi="Book Antiqua"/>
        </w:rPr>
        <w:t>t a</w:t>
      </w:r>
      <w:r w:rsidRPr="00E3232D">
        <w:rPr>
          <w:rFonts w:ascii="Book Antiqua" w:hAnsi="Book Antiqua"/>
          <w:spacing w:val="-1"/>
        </w:rPr>
        <w:t>r</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 xml:space="preserve">the </w:t>
      </w:r>
      <w:r w:rsidRPr="00E3232D">
        <w:rPr>
          <w:rFonts w:ascii="Book Antiqua" w:hAnsi="Book Antiqua"/>
          <w:spacing w:val="-1"/>
        </w:rPr>
        <w:t>c</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s that pot</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i</w:t>
      </w:r>
      <w:r w:rsidRPr="00E3232D">
        <w:rPr>
          <w:rFonts w:ascii="Book Antiqua" w:hAnsi="Book Antiqua"/>
          <w:spacing w:val="-1"/>
        </w:rPr>
        <w:t>a</w:t>
      </w:r>
      <w:r w:rsidRPr="00E3232D">
        <w:rPr>
          <w:rFonts w:ascii="Book Antiqua" w:hAnsi="Book Antiqua"/>
        </w:rPr>
        <w:t xml:space="preserve">l </w:t>
      </w:r>
      <w:r w:rsidRPr="00E3232D">
        <w:rPr>
          <w:rFonts w:ascii="Book Antiqua" w:hAnsi="Book Antiqua"/>
          <w:spacing w:val="1"/>
        </w:rPr>
        <w:t>m</w:t>
      </w:r>
      <w:r w:rsidRPr="00E3232D">
        <w:rPr>
          <w:rFonts w:ascii="Book Antiqua" w:hAnsi="Book Antiqua"/>
        </w:rPr>
        <w:t>ic</w:t>
      </w:r>
      <w:r w:rsidRPr="00E3232D">
        <w:rPr>
          <w:rFonts w:ascii="Book Antiqua" w:hAnsi="Book Antiqua"/>
          <w:spacing w:val="-1"/>
        </w:rPr>
        <w:t>r</w:t>
      </w:r>
      <w:r w:rsidRPr="00E3232D">
        <w:rPr>
          <w:rFonts w:ascii="Book Antiqua" w:hAnsi="Book Antiqua"/>
        </w:rPr>
        <w:t xml:space="preserve">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 bo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w:t>
      </w:r>
      <w:r w:rsidRPr="00E3232D">
        <w:rPr>
          <w:rFonts w:ascii="Book Antiqua" w:hAnsi="Book Antiqua"/>
          <w:spacing w:val="1"/>
        </w:rPr>
        <w:t>e</w:t>
      </w:r>
      <w:r w:rsidRPr="00E3232D">
        <w:rPr>
          <w:rFonts w:ascii="Book Antiqua" w:hAnsi="Book Antiqua"/>
        </w:rPr>
        <w:t xml:space="preserve">rs </w:t>
      </w:r>
      <w:r w:rsidRPr="00E3232D">
        <w:rPr>
          <w:rFonts w:ascii="Book Antiqua" w:hAnsi="Book Antiqua"/>
          <w:spacing w:val="-1"/>
        </w:rPr>
        <w:t>f</w:t>
      </w:r>
      <w:r w:rsidRPr="00E3232D">
        <w:rPr>
          <w:rFonts w:ascii="Book Antiqua" w:hAnsi="Book Antiqua"/>
          <w:spacing w:val="1"/>
        </w:rPr>
        <w:t>a</w:t>
      </w:r>
      <w:r w:rsidRPr="00E3232D">
        <w:rPr>
          <w:rFonts w:ascii="Book Antiqua" w:hAnsi="Book Antiqua"/>
          <w:spacing w:val="-1"/>
        </w:rPr>
        <w:t>ce</w:t>
      </w:r>
      <w:r w:rsidRPr="00E3232D">
        <w:rPr>
          <w:rFonts w:ascii="Book Antiqua" w:hAnsi="Book Antiqua"/>
        </w:rPr>
        <w:t>?</w:t>
      </w:r>
    </w:p>
    <w:p w14:paraId="4260767A" w14:textId="77777777" w:rsidR="005D362A" w:rsidRPr="00E3232D" w:rsidRDefault="005D362A" w:rsidP="00465AE3">
      <w:pPr>
        <w:widowControl w:val="0"/>
        <w:tabs>
          <w:tab w:val="left" w:pos="800"/>
        </w:tabs>
        <w:autoSpaceDE w:val="0"/>
        <w:autoSpaceDN w:val="0"/>
        <w:adjustRightInd w:val="0"/>
        <w:ind w:left="560" w:right="84" w:hanging="360"/>
        <w:jc w:val="both"/>
        <w:rPr>
          <w:rFonts w:ascii="Book Antiqua" w:hAnsi="Book Antiqua"/>
        </w:rPr>
      </w:pPr>
      <w:r w:rsidRPr="00E3232D">
        <w:rPr>
          <w:rFonts w:ascii="Book Antiqua" w:hAnsi="Book Antiqua"/>
        </w:rPr>
        <w:t>d.</w:t>
      </w:r>
      <w:r w:rsidRPr="00E3232D">
        <w:rPr>
          <w:rFonts w:ascii="Book Antiqua" w:hAnsi="Book Antiqua"/>
        </w:rPr>
        <w:tab/>
      </w:r>
      <w:r w:rsidRPr="00E3232D">
        <w:rPr>
          <w:rFonts w:ascii="Book Antiqua" w:hAnsi="Book Antiqua"/>
        </w:rPr>
        <w:tab/>
      </w:r>
      <w:r w:rsidRPr="00E3232D">
        <w:rPr>
          <w:rFonts w:ascii="Book Antiqua" w:hAnsi="Book Antiqua"/>
          <w:spacing w:val="1"/>
        </w:rPr>
        <w:t>W</w:t>
      </w:r>
      <w:r w:rsidRPr="00E3232D">
        <w:rPr>
          <w:rFonts w:ascii="Book Antiqua" w:hAnsi="Book Antiqua"/>
        </w:rPr>
        <w:t>h</w:t>
      </w:r>
      <w:r w:rsidRPr="00E3232D">
        <w:rPr>
          <w:rFonts w:ascii="Book Antiqua" w:hAnsi="Book Antiqua"/>
          <w:spacing w:val="-1"/>
        </w:rPr>
        <w:t>a</w:t>
      </w:r>
      <w:r w:rsidRPr="00E3232D">
        <w:rPr>
          <w:rFonts w:ascii="Book Antiqua" w:hAnsi="Book Antiqua"/>
        </w:rPr>
        <w:t xml:space="preserve">t </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re  t</w:t>
      </w:r>
      <w:r w:rsidRPr="00E3232D">
        <w:rPr>
          <w:rFonts w:ascii="Book Antiqua" w:hAnsi="Book Antiqua"/>
          <w:spacing w:val="3"/>
        </w:rPr>
        <w:t>h</w:t>
      </w:r>
      <w:r w:rsidRPr="00E3232D">
        <w:rPr>
          <w:rFonts w:ascii="Book Antiqua" w:hAnsi="Book Antiqua"/>
        </w:rPr>
        <w:t xml:space="preserve">e </w:t>
      </w:r>
      <w:r w:rsidRPr="00E3232D">
        <w:rPr>
          <w:rFonts w:ascii="Book Antiqua" w:hAnsi="Book Antiqua"/>
          <w:spacing w:val="1"/>
        </w:rPr>
        <w:t xml:space="preserve"> </w:t>
      </w:r>
      <w:r w:rsidRPr="00E3232D">
        <w:rPr>
          <w:rFonts w:ascii="Book Antiqua" w:hAnsi="Book Antiqua"/>
        </w:rPr>
        <w:t>pol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w:t>
      </w:r>
      <w:r w:rsidRPr="00E3232D">
        <w:rPr>
          <w:rFonts w:ascii="Book Antiqua" w:hAnsi="Book Antiqua"/>
          <w:spacing w:val="2"/>
        </w:rPr>
        <w:t>e</w:t>
      </w:r>
      <w:r w:rsidRPr="00E3232D">
        <w:rPr>
          <w:rFonts w:ascii="Book Antiqua" w:hAnsi="Book Antiqua"/>
        </w:rPr>
        <w:t xml:space="preserve">s </w:t>
      </w:r>
      <w:r w:rsidRPr="00E3232D">
        <w:rPr>
          <w:rFonts w:ascii="Book Antiqua" w:hAnsi="Book Antiqua"/>
          <w:spacing w:val="2"/>
        </w:rPr>
        <w:t xml:space="preserve"> </w:t>
      </w:r>
      <w:r w:rsidRPr="00E3232D">
        <w:rPr>
          <w:rFonts w:ascii="Book Antiqua" w:hAnsi="Book Antiqua"/>
        </w:rPr>
        <w:t xml:space="preserve">put </w:t>
      </w:r>
      <w:r w:rsidRPr="00E3232D">
        <w:rPr>
          <w:rFonts w:ascii="Book Antiqua" w:hAnsi="Book Antiqua"/>
          <w:spacing w:val="3"/>
        </w:rPr>
        <w:t xml:space="preserve"> </w:t>
      </w:r>
      <w:r w:rsidRPr="00E3232D">
        <w:rPr>
          <w:rFonts w:ascii="Book Antiqua" w:hAnsi="Book Antiqua"/>
        </w:rPr>
        <w:t xml:space="preserve">in </w:t>
      </w:r>
      <w:r w:rsidRPr="00E3232D">
        <w:rPr>
          <w:rFonts w:ascii="Book Antiqua" w:hAnsi="Book Antiqua"/>
          <w:spacing w:val="3"/>
        </w:rPr>
        <w:t xml:space="preserve"> </w:t>
      </w:r>
      <w:r w:rsidRPr="00E3232D">
        <w:rPr>
          <w:rFonts w:ascii="Book Antiqua" w:hAnsi="Book Antiqua"/>
        </w:rPr>
        <w:t>pla</w:t>
      </w:r>
      <w:r w:rsidRPr="00E3232D">
        <w:rPr>
          <w:rFonts w:ascii="Book Antiqua" w:hAnsi="Book Antiqua"/>
          <w:spacing w:val="1"/>
        </w:rPr>
        <w:t>c</w:t>
      </w:r>
      <w:r w:rsidRPr="00E3232D">
        <w:rPr>
          <w:rFonts w:ascii="Book Antiqua" w:hAnsi="Book Antiqua"/>
        </w:rPr>
        <w:t xml:space="preserve">e </w:t>
      </w:r>
      <w:r w:rsidRPr="00E3232D">
        <w:rPr>
          <w:rFonts w:ascii="Book Antiqua" w:hAnsi="Book Antiqua"/>
          <w:spacing w:val="1"/>
        </w:rPr>
        <w:t xml:space="preserve"> </w:t>
      </w:r>
      <w:r w:rsidRPr="00E3232D">
        <w:rPr>
          <w:rFonts w:ascii="Book Antiqua" w:hAnsi="Book Antiqua"/>
        </w:rPr>
        <w:t xml:space="preserve">to </w:t>
      </w:r>
      <w:r w:rsidRPr="00E3232D">
        <w:rPr>
          <w:rFonts w:ascii="Book Antiqua" w:hAnsi="Book Antiqua"/>
          <w:spacing w:val="5"/>
        </w:rPr>
        <w:t xml:space="preserve"> </w:t>
      </w:r>
      <w:r w:rsidRPr="00E3232D">
        <w:rPr>
          <w:rFonts w:ascii="Book Antiqua" w:hAnsi="Book Antiqua"/>
          <w:spacing w:val="-1"/>
        </w:rPr>
        <w:t>e</w:t>
      </w:r>
      <w:r w:rsidRPr="00E3232D">
        <w:rPr>
          <w:rFonts w:ascii="Book Antiqua" w:hAnsi="Book Antiqua"/>
        </w:rPr>
        <w:t>nsu</w:t>
      </w:r>
      <w:r w:rsidRPr="00E3232D">
        <w:rPr>
          <w:rFonts w:ascii="Book Antiqua" w:hAnsi="Book Antiqua"/>
          <w:spacing w:val="2"/>
        </w:rPr>
        <w:t>r</w:t>
      </w:r>
      <w:r w:rsidRPr="00E3232D">
        <w:rPr>
          <w:rFonts w:ascii="Book Antiqua" w:hAnsi="Book Antiqua"/>
        </w:rPr>
        <w:t xml:space="preserve">e </w:t>
      </w:r>
      <w:r w:rsidRPr="00E3232D">
        <w:rPr>
          <w:rFonts w:ascii="Book Antiqua" w:hAnsi="Book Antiqua"/>
          <w:spacing w:val="1"/>
        </w:rPr>
        <w:t xml:space="preserve"> </w:t>
      </w:r>
      <w:r w:rsidRPr="00E3232D">
        <w:rPr>
          <w:rFonts w:ascii="Book Antiqua" w:hAnsi="Book Antiqua"/>
        </w:rPr>
        <w:t xml:space="preserve">the </w:t>
      </w:r>
      <w:r w:rsidRPr="00E3232D">
        <w:rPr>
          <w:rFonts w:ascii="Book Antiqua" w:hAnsi="Book Antiqua"/>
          <w:spacing w:val="2"/>
        </w:rPr>
        <w:t xml:space="preserve"> </w:t>
      </w:r>
      <w:r w:rsidRPr="00E3232D">
        <w:rPr>
          <w:rFonts w:ascii="Book Antiqua" w:hAnsi="Book Antiqua"/>
        </w:rPr>
        <w:t>s</w:t>
      </w:r>
      <w:r w:rsidRPr="00E3232D">
        <w:rPr>
          <w:rFonts w:ascii="Book Antiqua" w:hAnsi="Book Antiqua"/>
          <w:spacing w:val="2"/>
        </w:rPr>
        <w:t>u</w:t>
      </w:r>
      <w:r w:rsidRPr="00E3232D">
        <w:rPr>
          <w:rFonts w:ascii="Book Antiqua" w:hAnsi="Book Antiqua"/>
        </w:rPr>
        <w:t>rviv</w:t>
      </w:r>
      <w:r w:rsidRPr="00E3232D">
        <w:rPr>
          <w:rFonts w:ascii="Book Antiqua" w:hAnsi="Book Antiqua"/>
          <w:spacing w:val="-1"/>
        </w:rPr>
        <w:t>a</w:t>
      </w:r>
      <w:r w:rsidRPr="00E3232D">
        <w:rPr>
          <w:rFonts w:ascii="Book Antiqua" w:hAnsi="Book Antiqua"/>
        </w:rPr>
        <w:t xml:space="preserve">l </w:t>
      </w:r>
      <w:r w:rsidRPr="00E3232D">
        <w:rPr>
          <w:rFonts w:ascii="Book Antiqua" w:hAnsi="Book Antiqua"/>
          <w:spacing w:val="3"/>
        </w:rPr>
        <w:t xml:space="preserve"> </w:t>
      </w:r>
      <w:r w:rsidRPr="00E3232D">
        <w:rPr>
          <w:rFonts w:ascii="Book Antiqua" w:hAnsi="Book Antiqua"/>
        </w:rPr>
        <w:t xml:space="preserve">of </w:t>
      </w:r>
      <w:r w:rsidRPr="00E3232D">
        <w:rPr>
          <w:rFonts w:ascii="Book Antiqua" w:hAnsi="Book Antiqua"/>
          <w:spacing w:val="4"/>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4"/>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spacing w:val="2"/>
        </w:rPr>
        <w:t>p</w:t>
      </w:r>
      <w:r w:rsidRPr="00E3232D">
        <w:rPr>
          <w:rFonts w:ascii="Book Antiqua" w:hAnsi="Book Antiqua"/>
        </w:rPr>
        <w:t>r</w:t>
      </w:r>
      <w:r w:rsidRPr="00E3232D">
        <w:rPr>
          <w:rFonts w:ascii="Book Antiqua" w:hAnsi="Book Antiqua"/>
          <w:spacing w:val="-2"/>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rs busin</w:t>
      </w:r>
      <w:r w:rsidRPr="00E3232D">
        <w:rPr>
          <w:rFonts w:ascii="Book Antiqua" w:hAnsi="Book Antiqua"/>
          <w:spacing w:val="-1"/>
        </w:rPr>
        <w:t>e</w:t>
      </w:r>
      <w:r w:rsidRPr="00E3232D">
        <w:rPr>
          <w:rFonts w:ascii="Book Antiqua" w:hAnsi="Book Antiqua"/>
        </w:rPr>
        <w:t>sses?</w:t>
      </w:r>
    </w:p>
    <w:p w14:paraId="09ADF85F" w14:textId="77777777" w:rsidR="005D362A" w:rsidRPr="00E3232D" w:rsidRDefault="005D362A" w:rsidP="00465AE3">
      <w:pPr>
        <w:widowControl w:val="0"/>
        <w:autoSpaceDE w:val="0"/>
        <w:autoSpaceDN w:val="0"/>
        <w:adjustRightInd w:val="0"/>
        <w:ind w:left="380" w:right="79" w:hanging="180"/>
        <w:jc w:val="both"/>
        <w:rPr>
          <w:rFonts w:ascii="Book Antiqua" w:hAnsi="Book Antiqua"/>
        </w:rPr>
      </w:pPr>
      <w:r w:rsidRPr="00E3232D">
        <w:rPr>
          <w:rFonts w:ascii="Book Antiqua" w:hAnsi="Book Antiqua"/>
        </w:rPr>
        <w:t>The</w:t>
      </w:r>
      <w:r w:rsidRPr="00E3232D">
        <w:rPr>
          <w:rFonts w:ascii="Book Antiqua" w:hAnsi="Book Antiqua"/>
          <w:spacing w:val="13"/>
        </w:rPr>
        <w:t xml:space="preserve"> </w:t>
      </w:r>
      <w:r w:rsidRPr="00E3232D">
        <w:rPr>
          <w:rFonts w:ascii="Book Antiqua" w:hAnsi="Book Antiqua"/>
          <w:spacing w:val="-2"/>
        </w:rPr>
        <w:t>g</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a</w:t>
      </w:r>
      <w:r w:rsidRPr="00E3232D">
        <w:rPr>
          <w:rFonts w:ascii="Book Antiqua" w:hAnsi="Book Antiqua"/>
        </w:rPr>
        <w:t>l</w:t>
      </w:r>
      <w:r w:rsidRPr="00E3232D">
        <w:rPr>
          <w:rFonts w:ascii="Book Antiqua" w:hAnsi="Book Antiqua"/>
          <w:spacing w:val="15"/>
        </w:rPr>
        <w:t xml:space="preserve"> </w:t>
      </w:r>
      <w:r w:rsidRPr="00E3232D">
        <w:rPr>
          <w:rFonts w:ascii="Book Antiqua" w:hAnsi="Book Antiqua"/>
        </w:rPr>
        <w:t>obje</w:t>
      </w:r>
      <w:r w:rsidRPr="00E3232D">
        <w:rPr>
          <w:rFonts w:ascii="Book Antiqua" w:hAnsi="Book Antiqua"/>
          <w:spacing w:val="-1"/>
        </w:rPr>
        <w:t>c</w:t>
      </w:r>
      <w:r w:rsidRPr="00E3232D">
        <w:rPr>
          <w:rFonts w:ascii="Book Antiqua" w:hAnsi="Book Antiqua"/>
        </w:rPr>
        <w:t>t</w:t>
      </w:r>
      <w:r w:rsidRPr="00E3232D">
        <w:rPr>
          <w:rFonts w:ascii="Book Antiqua" w:hAnsi="Book Antiqua"/>
          <w:spacing w:val="1"/>
        </w:rPr>
        <w:t>i</w:t>
      </w:r>
      <w:r w:rsidRPr="00E3232D">
        <w:rPr>
          <w:rFonts w:ascii="Book Antiqua" w:hAnsi="Book Antiqua"/>
          <w:spacing w:val="2"/>
        </w:rPr>
        <w:t>v</w:t>
      </w:r>
      <w:r w:rsidRPr="00E3232D">
        <w:rPr>
          <w:rFonts w:ascii="Book Antiqua" w:hAnsi="Book Antiqua"/>
        </w:rPr>
        <w:t>e</w:t>
      </w:r>
      <w:r w:rsidRPr="00E3232D">
        <w:rPr>
          <w:rFonts w:ascii="Book Antiqua" w:hAnsi="Book Antiqua"/>
          <w:spacing w:val="11"/>
        </w:rPr>
        <w:t xml:space="preserve"> </w:t>
      </w:r>
      <w:r w:rsidRPr="00E3232D">
        <w:rPr>
          <w:rFonts w:ascii="Book Antiqua" w:hAnsi="Book Antiqua"/>
        </w:rPr>
        <w:t>is</w:t>
      </w:r>
      <w:r w:rsidRPr="00E3232D">
        <w:rPr>
          <w:rFonts w:ascii="Book Antiqua" w:hAnsi="Book Antiqua"/>
          <w:spacing w:val="12"/>
        </w:rPr>
        <w:t xml:space="preserve"> </w:t>
      </w:r>
      <w:r w:rsidRPr="00E3232D">
        <w:rPr>
          <w:rFonts w:ascii="Book Antiqua" w:hAnsi="Book Antiqua"/>
        </w:rPr>
        <w:t>to</w:t>
      </w:r>
      <w:r w:rsidRPr="00E3232D">
        <w:rPr>
          <w:rFonts w:ascii="Book Antiqua" w:hAnsi="Book Antiqua"/>
          <w:spacing w:val="15"/>
        </w:rPr>
        <w:t xml:space="preserv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spacing w:val="-1"/>
        </w:rPr>
        <w:t>a</w:t>
      </w:r>
      <w:r w:rsidRPr="00E3232D">
        <w:rPr>
          <w:rFonts w:ascii="Book Antiqua" w:hAnsi="Book Antiqua"/>
        </w:rPr>
        <w:t>m</w:t>
      </w:r>
      <w:r w:rsidRPr="00E3232D">
        <w:rPr>
          <w:rFonts w:ascii="Book Antiqua" w:hAnsi="Book Antiqua"/>
          <w:spacing w:val="1"/>
        </w:rPr>
        <w:t>i</w:t>
      </w:r>
      <w:r w:rsidRPr="00E3232D">
        <w:rPr>
          <w:rFonts w:ascii="Book Antiqua" w:hAnsi="Book Antiqua"/>
        </w:rPr>
        <w:t>ne</w:t>
      </w:r>
      <w:r w:rsidRPr="00E3232D">
        <w:rPr>
          <w:rFonts w:ascii="Book Antiqua" w:hAnsi="Book Antiqua"/>
          <w:spacing w:val="11"/>
        </w:rPr>
        <w:t xml:space="preserve"> </w:t>
      </w:r>
      <w:r w:rsidRPr="00E3232D">
        <w:rPr>
          <w:rFonts w:ascii="Book Antiqua" w:hAnsi="Book Antiqua"/>
        </w:rPr>
        <w:t>innovations</w:t>
      </w:r>
      <w:r w:rsidRPr="00E3232D">
        <w:rPr>
          <w:rFonts w:ascii="Book Antiqua" w:hAnsi="Book Antiqua"/>
          <w:spacing w:val="12"/>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2"/>
        </w:rPr>
        <w:t xml:space="preserve"> </w:t>
      </w:r>
      <w:r w:rsidRPr="00E3232D">
        <w:rPr>
          <w:rFonts w:ascii="Book Antiqua" w:hAnsi="Book Antiqua"/>
          <w:spacing w:val="2"/>
        </w:rPr>
        <w:t>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12"/>
        </w:rPr>
        <w:t xml:space="preserve"> </w:t>
      </w:r>
      <w:r w:rsidRPr="00E3232D">
        <w:rPr>
          <w:rFonts w:ascii="Book Antiqua" w:hAnsi="Book Antiqua"/>
        </w:rPr>
        <w:t>in</w:t>
      </w:r>
      <w:r w:rsidRPr="00E3232D">
        <w:rPr>
          <w:rFonts w:ascii="Book Antiqua" w:hAnsi="Book Antiqua"/>
          <w:spacing w:val="15"/>
        </w:rPr>
        <w:t xml:space="preserve"> </w:t>
      </w:r>
      <w:r w:rsidRPr="00E3232D">
        <w:rPr>
          <w:rFonts w:ascii="Book Antiqua" w:hAnsi="Book Antiqua"/>
        </w:rPr>
        <w:t>the</w:t>
      </w:r>
      <w:r w:rsidRPr="00E3232D">
        <w:rPr>
          <w:rFonts w:ascii="Book Antiqua" w:hAnsi="Book Antiqua"/>
          <w:spacing w:val="11"/>
        </w:rPr>
        <w:t xml:space="preserve"> </w:t>
      </w:r>
      <w:r w:rsidRPr="00E3232D">
        <w:rPr>
          <w:rFonts w:ascii="Book Antiqua" w:hAnsi="Book Antiqua"/>
          <w:spacing w:val="-1"/>
        </w:rPr>
        <w:t>c</w:t>
      </w:r>
      <w:r w:rsidRPr="00E3232D">
        <w:rPr>
          <w:rFonts w:ascii="Book Antiqua" w:hAnsi="Book Antiqua"/>
        </w:rPr>
        <w:t>onte</w:t>
      </w:r>
      <w:r w:rsidRPr="00E3232D">
        <w:rPr>
          <w:rFonts w:ascii="Book Antiqua" w:hAnsi="Book Antiqua"/>
          <w:spacing w:val="2"/>
        </w:rPr>
        <w:t>x</w:t>
      </w:r>
      <w:r w:rsidRPr="00E3232D">
        <w:rPr>
          <w:rFonts w:ascii="Book Antiqua" w:hAnsi="Book Antiqua"/>
        </w:rPr>
        <w:t>t</w:t>
      </w:r>
      <w:r w:rsidRPr="00E3232D">
        <w:rPr>
          <w:rFonts w:ascii="Book Antiqua" w:hAnsi="Book Antiqua"/>
          <w:spacing w:val="18"/>
        </w:rPr>
        <w:t xml:space="preserve"> </w:t>
      </w:r>
      <w:r w:rsidRPr="00E3232D">
        <w:rPr>
          <w:rFonts w:ascii="Book Antiqua" w:hAnsi="Book Antiqua"/>
        </w:rPr>
        <w:t>of</w:t>
      </w:r>
      <w:r w:rsidRPr="00E3232D">
        <w:rPr>
          <w:rFonts w:ascii="Book Antiqua" w:hAnsi="Book Antiqua"/>
          <w:spacing w:val="12"/>
        </w:rPr>
        <w:t xml:space="preserve"> </w:t>
      </w:r>
      <w:r w:rsidRPr="00E3232D">
        <w:rPr>
          <w:rFonts w:ascii="Book Antiqua" w:hAnsi="Book Antiqua"/>
        </w:rPr>
        <w:t>potential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2"/>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 bo</w:t>
      </w:r>
      <w:r w:rsidRPr="00E3232D">
        <w:rPr>
          <w:rFonts w:ascii="Book Antiqua" w:hAnsi="Book Antiqua"/>
          <w:spacing w:val="2"/>
        </w:rPr>
        <w:t>r</w:t>
      </w:r>
      <w:r w:rsidRPr="00E3232D">
        <w:rPr>
          <w:rFonts w:ascii="Book Antiqua" w:hAnsi="Book Antiqua"/>
        </w:rPr>
        <w:t>ro</w:t>
      </w:r>
      <w:r w:rsidRPr="00E3232D">
        <w:rPr>
          <w:rFonts w:ascii="Book Antiqua" w:hAnsi="Book Antiqua"/>
          <w:spacing w:val="-1"/>
        </w:rPr>
        <w:t>we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rPr>
        <w:t xml:space="preserve">in the </w:t>
      </w:r>
      <w:r w:rsidRPr="00E3232D">
        <w:rPr>
          <w:rFonts w:ascii="Book Antiqua" w:hAnsi="Book Antiqua"/>
          <w:spacing w:val="2"/>
        </w:rPr>
        <w:t>T</w:t>
      </w:r>
      <w:r w:rsidRPr="00E3232D">
        <w:rPr>
          <w:rFonts w:ascii="Book Antiqua" w:hAnsi="Book Antiqua"/>
          <w:spacing w:val="-1"/>
        </w:rPr>
        <w:t>a</w:t>
      </w:r>
      <w:r w:rsidRPr="00E3232D">
        <w:rPr>
          <w:rFonts w:ascii="Book Antiqua" w:hAnsi="Book Antiqua"/>
        </w:rPr>
        <w:t>male</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e</w:t>
      </w:r>
      <w:r w:rsidRPr="00E3232D">
        <w:rPr>
          <w:rFonts w:ascii="Book Antiqua" w:hAnsi="Book Antiqua"/>
        </w:rPr>
        <w:t>tropolitan</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e</w:t>
      </w:r>
      <w:r w:rsidRPr="00E3232D">
        <w:rPr>
          <w:rFonts w:ascii="Book Antiqua" w:hAnsi="Book Antiqua"/>
          <w:spacing w:val="-1"/>
        </w:rPr>
        <w:t>a</w:t>
      </w:r>
      <w:r w:rsidRPr="00E3232D">
        <w:rPr>
          <w:rFonts w:ascii="Book Antiqua" w:hAnsi="Book Antiqua"/>
        </w:rPr>
        <w:t>.</w:t>
      </w:r>
    </w:p>
    <w:p w14:paraId="721E0403" w14:textId="77777777" w:rsidR="005D362A" w:rsidRPr="00E3232D" w:rsidRDefault="005D362A" w:rsidP="00465AE3">
      <w:pPr>
        <w:widowControl w:val="0"/>
        <w:autoSpaceDE w:val="0"/>
        <w:autoSpaceDN w:val="0"/>
        <w:adjustRightInd w:val="0"/>
        <w:ind w:left="260"/>
        <w:jc w:val="both"/>
        <w:rPr>
          <w:rFonts w:ascii="Book Antiqua" w:hAnsi="Book Antiqua"/>
        </w:rPr>
      </w:pP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spe</w:t>
      </w:r>
      <w:r w:rsidRPr="00E3232D">
        <w:rPr>
          <w:rFonts w:ascii="Book Antiqua" w:hAnsi="Book Antiqua"/>
          <w:spacing w:val="-2"/>
        </w:rPr>
        <w:t>c</w:t>
      </w:r>
      <w:r w:rsidRPr="00E3232D">
        <w:rPr>
          <w:rFonts w:ascii="Book Antiqua" w:hAnsi="Book Antiqua"/>
        </w:rPr>
        <w:t xml:space="preserve">ific </w:t>
      </w:r>
      <w:r w:rsidRPr="00E3232D">
        <w:rPr>
          <w:rFonts w:ascii="Book Antiqua" w:hAnsi="Book Antiqua"/>
          <w:spacing w:val="-1"/>
        </w:rPr>
        <w:t>o</w:t>
      </w:r>
      <w:r w:rsidRPr="00E3232D">
        <w:rPr>
          <w:rFonts w:ascii="Book Antiqua" w:hAnsi="Book Antiqua"/>
        </w:rPr>
        <w:t>b</w:t>
      </w:r>
      <w:r w:rsidRPr="00E3232D">
        <w:rPr>
          <w:rFonts w:ascii="Book Antiqua" w:hAnsi="Book Antiqua"/>
          <w:spacing w:val="3"/>
        </w:rPr>
        <w:t>j</w:t>
      </w:r>
      <w:r w:rsidRPr="00E3232D">
        <w:rPr>
          <w:rFonts w:ascii="Book Antiqua" w:hAnsi="Book Antiqua"/>
          <w:spacing w:val="-1"/>
        </w:rPr>
        <w:t>ec</w:t>
      </w:r>
      <w:r w:rsidRPr="00E3232D">
        <w:rPr>
          <w:rFonts w:ascii="Book Antiqua" w:hAnsi="Book Antiqua"/>
        </w:rPr>
        <w:t>t</w:t>
      </w:r>
      <w:r w:rsidRPr="00E3232D">
        <w:rPr>
          <w:rFonts w:ascii="Book Antiqua" w:hAnsi="Book Antiqua"/>
          <w:spacing w:val="1"/>
        </w:rPr>
        <w:t>i</w:t>
      </w:r>
      <w:r w:rsidRPr="00E3232D">
        <w:rPr>
          <w:rFonts w:ascii="Book Antiqua" w:hAnsi="Book Antiqua"/>
          <w:spacing w:val="2"/>
        </w:rPr>
        <w:t>v</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c</w:t>
      </w:r>
      <w:r w:rsidRPr="00E3232D">
        <w:rPr>
          <w:rFonts w:ascii="Book Antiqua" w:hAnsi="Book Antiqua"/>
          <w:spacing w:val="-1"/>
        </w:rPr>
        <w:t>a</w:t>
      </w:r>
      <w:r w:rsidRPr="00E3232D">
        <w:rPr>
          <w:rFonts w:ascii="Book Antiqua" w:hAnsi="Book Antiqua"/>
        </w:rPr>
        <w:t xml:space="preserve">n </w:t>
      </w:r>
      <w:r w:rsidRPr="00E3232D">
        <w:rPr>
          <w:rFonts w:ascii="Book Antiqua" w:hAnsi="Book Antiqua"/>
          <w:spacing w:val="2"/>
        </w:rPr>
        <w:t>b</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rPr>
        <w:t>l</w:t>
      </w:r>
      <w:r w:rsidRPr="00E3232D">
        <w:rPr>
          <w:rFonts w:ascii="Book Antiqua" w:hAnsi="Book Antiqua"/>
          <w:spacing w:val="1"/>
        </w:rPr>
        <w:t>i</w:t>
      </w:r>
      <w:r w:rsidRPr="00E3232D">
        <w:rPr>
          <w:rFonts w:ascii="Book Antiqua" w:hAnsi="Book Antiqua"/>
        </w:rPr>
        <w:t>n</w:t>
      </w:r>
      <w:r w:rsidRPr="00E3232D">
        <w:rPr>
          <w:rFonts w:ascii="Book Antiqua" w:hAnsi="Book Antiqua"/>
          <w:spacing w:val="-1"/>
        </w:rPr>
        <w:t>ea</w:t>
      </w:r>
      <w:r w:rsidRPr="00E3232D">
        <w:rPr>
          <w:rFonts w:ascii="Book Antiqua" w:hAnsi="Book Antiqua"/>
        </w:rPr>
        <w:t>ted into:</w:t>
      </w:r>
    </w:p>
    <w:p w14:paraId="048CED71" w14:textId="77777777" w:rsidR="005D362A" w:rsidRPr="00E3232D" w:rsidRDefault="005D362A" w:rsidP="00465AE3">
      <w:pPr>
        <w:widowControl w:val="0"/>
        <w:tabs>
          <w:tab w:val="left" w:pos="680"/>
        </w:tabs>
        <w:autoSpaceDE w:val="0"/>
        <w:autoSpaceDN w:val="0"/>
        <w:adjustRightInd w:val="0"/>
        <w:ind w:left="560" w:right="83" w:hanging="360"/>
        <w:jc w:val="both"/>
        <w:rPr>
          <w:rFonts w:ascii="Book Antiqua" w:hAnsi="Book Antiqua"/>
        </w:rPr>
      </w:pPr>
      <w:r w:rsidRPr="00E3232D">
        <w:rPr>
          <w:rFonts w:ascii="Book Antiqua" w:hAnsi="Book Antiqua"/>
        </w:rPr>
        <w:t>1.</w:t>
      </w:r>
      <w:r w:rsidRPr="00E3232D">
        <w:rPr>
          <w:rFonts w:ascii="Book Antiqua" w:hAnsi="Book Antiqua"/>
        </w:rPr>
        <w:tab/>
      </w:r>
      <w:r w:rsidRPr="00E3232D">
        <w:rPr>
          <w:rFonts w:ascii="Book Antiqua" w:hAnsi="Book Antiqua"/>
        </w:rPr>
        <w:tab/>
        <w:t>identify of</w:t>
      </w:r>
      <w:r w:rsidRPr="00E3232D">
        <w:rPr>
          <w:rFonts w:ascii="Book Antiqua" w:hAnsi="Book Antiqua"/>
          <w:spacing w:val="21"/>
        </w:rPr>
        <w:t xml:space="preserve"> </w:t>
      </w:r>
      <w:r w:rsidRPr="00E3232D">
        <w:rPr>
          <w:rFonts w:ascii="Book Antiqua" w:hAnsi="Book Antiqua"/>
        </w:rPr>
        <w:t>the</w:t>
      </w:r>
      <w:r w:rsidRPr="00E3232D">
        <w:rPr>
          <w:rFonts w:ascii="Book Antiqua" w:hAnsi="Book Antiqua"/>
          <w:spacing w:val="23"/>
        </w:rPr>
        <w:t xml:space="preserve"> </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rPr>
        <w:t>ude</w:t>
      </w:r>
      <w:r w:rsidRPr="00E3232D">
        <w:rPr>
          <w:rFonts w:ascii="Book Antiqua" w:hAnsi="Book Antiqua"/>
          <w:spacing w:val="20"/>
        </w:rPr>
        <w:t xml:space="preserve"> </w:t>
      </w:r>
      <w:r w:rsidRPr="00E3232D">
        <w:rPr>
          <w:rFonts w:ascii="Book Antiqua" w:hAnsi="Book Antiqua"/>
        </w:rPr>
        <w:t>of</w:t>
      </w:r>
      <w:r w:rsidRPr="00E3232D">
        <w:rPr>
          <w:rFonts w:ascii="Book Antiqua" w:hAnsi="Book Antiqua"/>
          <w:spacing w:val="21"/>
        </w:rPr>
        <w:t xml:space="preserve"> </w:t>
      </w:r>
      <w:r w:rsidRPr="00E3232D">
        <w:rPr>
          <w:rFonts w:ascii="Book Antiqua" w:hAnsi="Book Antiqua"/>
        </w:rPr>
        <w:t>potential</w:t>
      </w:r>
      <w:r w:rsidRPr="00E3232D">
        <w:rPr>
          <w:rFonts w:ascii="Book Antiqua" w:hAnsi="Book Antiqua"/>
          <w:spacing w:val="2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23"/>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21"/>
        </w:rPr>
        <w:t xml:space="preserve"> </w:t>
      </w:r>
      <w:r w:rsidRPr="00E3232D">
        <w:rPr>
          <w:rFonts w:ascii="Book Antiqua" w:hAnsi="Book Antiqua"/>
        </w:rPr>
        <w:t>b</w:t>
      </w:r>
      <w:r w:rsidRPr="00E3232D">
        <w:rPr>
          <w:rFonts w:ascii="Book Antiqua" w:hAnsi="Book Antiqua"/>
          <w:spacing w:val="2"/>
        </w:rPr>
        <w:t>o</w:t>
      </w:r>
      <w:r w:rsidRPr="00E3232D">
        <w:rPr>
          <w:rFonts w:ascii="Book Antiqua" w:hAnsi="Book Antiqua"/>
        </w:rPr>
        <w:t>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er</w:t>
      </w:r>
      <w:r w:rsidRPr="00E3232D">
        <w:rPr>
          <w:rFonts w:ascii="Book Antiqua" w:hAnsi="Book Antiqua"/>
        </w:rPr>
        <w:t>s</w:t>
      </w:r>
      <w:r w:rsidRPr="00E3232D">
        <w:rPr>
          <w:rFonts w:ascii="Book Antiqua" w:hAnsi="Book Antiqua"/>
          <w:spacing w:val="22"/>
        </w:rPr>
        <w:t xml:space="preserve"> </w:t>
      </w:r>
      <w:r w:rsidRPr="00E3232D">
        <w:rPr>
          <w:rFonts w:ascii="Book Antiqua" w:hAnsi="Book Antiqua"/>
        </w:rPr>
        <w:t>tow</w:t>
      </w:r>
      <w:r w:rsidRPr="00E3232D">
        <w:rPr>
          <w:rFonts w:ascii="Book Antiqua" w:hAnsi="Book Antiqua"/>
          <w:spacing w:val="-1"/>
        </w:rPr>
        <w:t>a</w:t>
      </w:r>
      <w:r w:rsidRPr="00E3232D">
        <w:rPr>
          <w:rFonts w:ascii="Book Antiqua" w:hAnsi="Book Antiqua"/>
        </w:rPr>
        <w:t>rds</w:t>
      </w:r>
      <w:r w:rsidRPr="00E3232D">
        <w:rPr>
          <w:rFonts w:ascii="Book Antiqua" w:hAnsi="Book Antiqua"/>
          <w:spacing w:val="21"/>
        </w:rPr>
        <w:t xml:space="preserve"> </w:t>
      </w:r>
      <w:r w:rsidRPr="00E3232D">
        <w:rPr>
          <w:rFonts w:ascii="Book Antiqua" w:hAnsi="Book Antiqua"/>
        </w:rPr>
        <w:t>loan r</w:t>
      </w:r>
      <w:r w:rsidRPr="00E3232D">
        <w:rPr>
          <w:rFonts w:ascii="Book Antiqua" w:hAnsi="Book Antiqua"/>
          <w:spacing w:val="-2"/>
        </w:rPr>
        <w:t>e</w:t>
      </w:r>
      <w:r w:rsidRPr="00E3232D">
        <w:rPr>
          <w:rFonts w:ascii="Book Antiqua" w:hAnsi="Book Antiqua"/>
        </w:rPr>
        <w:t>p</w:t>
      </w:r>
      <w:r w:rsidRPr="00E3232D">
        <w:rPr>
          <w:rFonts w:ascii="Book Antiqua" w:hAnsi="Book Antiqua"/>
          <w:spacing w:val="4"/>
        </w:rPr>
        <w:t>a</w:t>
      </w:r>
      <w:r w:rsidRPr="00E3232D">
        <w:rPr>
          <w:rFonts w:ascii="Book Antiqua" w:hAnsi="Book Antiqua"/>
          <w:spacing w:val="-5"/>
        </w:rPr>
        <w:t>y</w:t>
      </w:r>
      <w:r w:rsidRPr="00E3232D">
        <w:rPr>
          <w:rFonts w:ascii="Book Antiqua" w:hAnsi="Book Antiqua"/>
        </w:rPr>
        <w:t>ment.</w:t>
      </w:r>
    </w:p>
    <w:p w14:paraId="2D7DAF64" w14:textId="77777777" w:rsidR="005D362A" w:rsidRPr="00E3232D" w:rsidRDefault="005D362A" w:rsidP="00465AE3">
      <w:pPr>
        <w:widowControl w:val="0"/>
        <w:tabs>
          <w:tab w:val="left" w:pos="680"/>
        </w:tabs>
        <w:autoSpaceDE w:val="0"/>
        <w:autoSpaceDN w:val="0"/>
        <w:adjustRightInd w:val="0"/>
        <w:spacing w:before="3"/>
        <w:ind w:left="560" w:right="83" w:hanging="360"/>
        <w:jc w:val="both"/>
        <w:rPr>
          <w:rFonts w:ascii="Book Antiqua" w:hAnsi="Book Antiqua"/>
        </w:rPr>
      </w:pPr>
      <w:r w:rsidRPr="00E3232D">
        <w:rPr>
          <w:rFonts w:ascii="Book Antiqua" w:hAnsi="Book Antiqua"/>
        </w:rPr>
        <w:t>2.</w:t>
      </w:r>
      <w:r w:rsidRPr="00E3232D">
        <w:rPr>
          <w:rFonts w:ascii="Book Antiqua" w:hAnsi="Book Antiqua"/>
        </w:rPr>
        <w:tab/>
      </w:r>
      <w:r w:rsidRPr="00E3232D">
        <w:rPr>
          <w:rFonts w:ascii="Book Antiqua" w:hAnsi="Book Antiqua"/>
        </w:rPr>
        <w:tab/>
        <w:t xml:space="preserve">determine </w:t>
      </w:r>
      <w:r w:rsidRPr="00E3232D">
        <w:rPr>
          <w:rFonts w:ascii="Book Antiqua" w:hAnsi="Book Antiqua"/>
          <w:spacing w:val="7"/>
        </w:rPr>
        <w:t xml:space="preserve"> </w:t>
      </w:r>
      <w:r w:rsidRPr="00E3232D">
        <w:rPr>
          <w:rFonts w:ascii="Book Antiqua" w:hAnsi="Book Antiqua"/>
        </w:rPr>
        <w:t xml:space="preserve">the </w:t>
      </w:r>
      <w:r w:rsidRPr="00E3232D">
        <w:rPr>
          <w:rFonts w:ascii="Book Antiqua" w:hAnsi="Book Antiqua"/>
          <w:spacing w:val="6"/>
        </w:rPr>
        <w:t xml:space="preserve"> </w:t>
      </w:r>
      <w:r w:rsidRPr="00E3232D">
        <w:rPr>
          <w:rFonts w:ascii="Book Antiqua" w:hAnsi="Book Antiqua"/>
          <w:spacing w:val="1"/>
        </w:rPr>
        <w:t>f</w:t>
      </w:r>
      <w:r w:rsidRPr="00E3232D">
        <w:rPr>
          <w:rFonts w:ascii="Book Antiqua" w:hAnsi="Book Antiqua"/>
          <w:spacing w:val="-1"/>
        </w:rPr>
        <w:t>ac</w:t>
      </w:r>
      <w:r w:rsidRPr="00E3232D">
        <w:rPr>
          <w:rFonts w:ascii="Book Antiqua" w:hAnsi="Book Antiqua"/>
        </w:rPr>
        <w:t>to</w:t>
      </w:r>
      <w:r w:rsidRPr="00E3232D">
        <w:rPr>
          <w:rFonts w:ascii="Book Antiqua" w:hAnsi="Book Antiqua"/>
          <w:spacing w:val="2"/>
        </w:rPr>
        <w:t>r</w:t>
      </w:r>
      <w:r w:rsidRPr="00E3232D">
        <w:rPr>
          <w:rFonts w:ascii="Book Antiqua" w:hAnsi="Book Antiqua"/>
        </w:rPr>
        <w:t xml:space="preserve">s </w:t>
      </w:r>
      <w:r w:rsidRPr="00E3232D">
        <w:rPr>
          <w:rFonts w:ascii="Book Antiqua" w:hAnsi="Book Antiqua"/>
          <w:spacing w:val="7"/>
        </w:rPr>
        <w:t xml:space="preserve"> </w:t>
      </w:r>
      <w:r w:rsidRPr="00E3232D">
        <w:rPr>
          <w:rFonts w:ascii="Book Antiqua" w:hAnsi="Book Antiqua"/>
        </w:rPr>
        <w:t xml:space="preserve">that </w:t>
      </w:r>
      <w:r w:rsidRPr="00E3232D">
        <w:rPr>
          <w:rFonts w:ascii="Book Antiqua" w:hAnsi="Book Antiqua"/>
          <w:spacing w:val="7"/>
        </w:rPr>
        <w:t xml:space="preserve"> </w:t>
      </w:r>
      <w:r w:rsidRPr="00E3232D">
        <w:rPr>
          <w:rFonts w:ascii="Book Antiqua" w:hAnsi="Book Antiqua"/>
        </w:rPr>
        <w:t>mo</w:t>
      </w:r>
      <w:r w:rsidRPr="00E3232D">
        <w:rPr>
          <w:rFonts w:ascii="Book Antiqua" w:hAnsi="Book Antiqua"/>
          <w:spacing w:val="1"/>
        </w:rPr>
        <w:t>t</w:t>
      </w:r>
      <w:r w:rsidRPr="00E3232D">
        <w:rPr>
          <w:rFonts w:ascii="Book Antiqua" w:hAnsi="Book Antiqua"/>
        </w:rPr>
        <w:t xml:space="preserve">ivate </w:t>
      </w:r>
      <w:r w:rsidRPr="00E3232D">
        <w:rPr>
          <w:rFonts w:ascii="Book Antiqua" w:hAnsi="Book Antiqua"/>
          <w:spacing w:val="6"/>
        </w:rPr>
        <w:t xml:space="preserve"> </w:t>
      </w:r>
      <w:r w:rsidRPr="00E3232D">
        <w:rPr>
          <w:rFonts w:ascii="Book Antiqua" w:hAnsi="Book Antiqua"/>
        </w:rPr>
        <w:t>potenti</w:t>
      </w:r>
      <w:r w:rsidRPr="00E3232D">
        <w:rPr>
          <w:rFonts w:ascii="Book Antiqua" w:hAnsi="Book Antiqua"/>
          <w:spacing w:val="2"/>
        </w:rPr>
        <w:t>a</w:t>
      </w:r>
      <w:r w:rsidRPr="00E3232D">
        <w:rPr>
          <w:rFonts w:ascii="Book Antiqua" w:hAnsi="Book Antiqua"/>
        </w:rPr>
        <w:t xml:space="preserve">l </w:t>
      </w:r>
      <w:r w:rsidRPr="00E3232D">
        <w:rPr>
          <w:rFonts w:ascii="Book Antiqua" w:hAnsi="Book Antiqua"/>
          <w:spacing w:val="7"/>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6"/>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spacing w:val="2"/>
        </w:rPr>
        <w:t>p</w:t>
      </w:r>
      <w:r w:rsidRPr="00E3232D">
        <w:rPr>
          <w:rFonts w:ascii="Book Antiqua" w:hAnsi="Book Antiqua"/>
        </w:rPr>
        <w:t>r</w:t>
      </w:r>
      <w:r w:rsidRPr="00E3232D">
        <w:rPr>
          <w:rFonts w:ascii="Book Antiqua" w:hAnsi="Book Antiqua"/>
          <w:spacing w:val="-2"/>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 xml:space="preserve">l </w:t>
      </w:r>
      <w:r w:rsidRPr="00E3232D">
        <w:rPr>
          <w:rFonts w:ascii="Book Antiqua" w:hAnsi="Book Antiqua"/>
          <w:spacing w:val="10"/>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 xml:space="preserve">rs </w:t>
      </w:r>
      <w:r w:rsidRPr="00E3232D">
        <w:rPr>
          <w:rFonts w:ascii="Book Antiqua" w:hAnsi="Book Antiqua"/>
          <w:spacing w:val="6"/>
        </w:rPr>
        <w:t xml:space="preserve"> </w:t>
      </w:r>
      <w:r w:rsidRPr="00E3232D">
        <w:rPr>
          <w:rFonts w:ascii="Book Antiqua" w:hAnsi="Book Antiqua"/>
        </w:rPr>
        <w:t>to sol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it</w:t>
      </w:r>
      <w:r w:rsidRPr="00E3232D">
        <w:rPr>
          <w:rFonts w:ascii="Book Antiqua" w:hAnsi="Book Antiqua"/>
          <w:spacing w:val="1"/>
        </w:rPr>
        <w:t xml:space="preserve"> </w:t>
      </w:r>
      <w:r w:rsidRPr="00E3232D">
        <w:rPr>
          <w:rFonts w:ascii="Book Antiqua" w:hAnsi="Book Antiqua"/>
          <w:spacing w:val="-1"/>
        </w:rPr>
        <w:t>f</w:t>
      </w:r>
      <w:r w:rsidRPr="00E3232D">
        <w:rPr>
          <w:rFonts w:ascii="Book Antiqua" w:hAnsi="Book Antiqua"/>
        </w:rPr>
        <w:t>inan</w:t>
      </w:r>
      <w:r w:rsidRPr="00E3232D">
        <w:rPr>
          <w:rFonts w:ascii="Book Antiqua" w:hAnsi="Book Antiqua"/>
          <w:spacing w:val="-1"/>
        </w:rPr>
        <w:t>ce</w:t>
      </w:r>
      <w:r w:rsidRPr="00E3232D">
        <w:rPr>
          <w:rFonts w:ascii="Book Antiqua" w:hAnsi="Book Antiqua"/>
        </w:rPr>
        <w:t>.</w:t>
      </w:r>
    </w:p>
    <w:p w14:paraId="49BE50AA" w14:textId="77777777" w:rsidR="007B3BF2" w:rsidRPr="00432993" w:rsidRDefault="005D362A" w:rsidP="00465AE3">
      <w:pPr>
        <w:ind w:right="-45"/>
        <w:jc w:val="both"/>
        <w:rPr>
          <w:rFonts w:ascii="Book Antiqua" w:hAnsi="Book Antiqua"/>
        </w:rPr>
        <w:sectPr w:rsidR="007B3BF2" w:rsidRPr="00432993" w:rsidSect="00C46BAF">
          <w:type w:val="continuous"/>
          <w:pgSz w:w="11907" w:h="16839" w:code="9"/>
          <w:pgMar w:top="1440" w:right="1274" w:bottom="1440" w:left="1440" w:header="708" w:footer="708" w:gutter="0"/>
          <w:cols w:num="2" w:space="720"/>
          <w:docGrid w:linePitch="360"/>
        </w:sectPr>
      </w:pPr>
      <w:r w:rsidRPr="00E3232D">
        <w:rPr>
          <w:rFonts w:ascii="Book Antiqua" w:hAnsi="Book Antiqua"/>
        </w:rPr>
        <w:t>3.</w:t>
      </w:r>
      <w:r w:rsidRPr="00E3232D">
        <w:rPr>
          <w:rFonts w:ascii="Book Antiqua" w:hAnsi="Book Antiqua"/>
        </w:rPr>
        <w:tab/>
      </w:r>
      <w:r w:rsidRPr="00E3232D">
        <w:rPr>
          <w:rFonts w:ascii="Book Antiqua" w:hAnsi="Book Antiqua"/>
        </w:rPr>
        <w:tab/>
        <w:t>examine of</w:t>
      </w:r>
      <w:r w:rsidRPr="00E3232D">
        <w:rPr>
          <w:rFonts w:ascii="Book Antiqua" w:hAnsi="Book Antiqua"/>
          <w:spacing w:val="18"/>
        </w:rPr>
        <w:t xml:space="preserve"> </w:t>
      </w:r>
      <w:r w:rsidRPr="00E3232D">
        <w:rPr>
          <w:rFonts w:ascii="Book Antiqua" w:hAnsi="Book Antiqua"/>
        </w:rPr>
        <w:t>the</w:t>
      </w:r>
      <w:r w:rsidRPr="00E3232D">
        <w:rPr>
          <w:rFonts w:ascii="Book Antiqua" w:hAnsi="Book Antiqua"/>
          <w:spacing w:val="18"/>
        </w:rPr>
        <w:t xml:space="preserve"> </w:t>
      </w:r>
      <w:r w:rsidRPr="00E3232D">
        <w:rPr>
          <w:rFonts w:ascii="Book Antiqua" w:hAnsi="Book Antiqua"/>
        </w:rPr>
        <w:t>ro</w:t>
      </w:r>
      <w:r w:rsidRPr="00E3232D">
        <w:rPr>
          <w:rFonts w:ascii="Book Antiqua" w:hAnsi="Book Antiqua"/>
          <w:spacing w:val="-3"/>
        </w:rPr>
        <w:t>l</w:t>
      </w:r>
      <w:r w:rsidRPr="00E3232D">
        <w:rPr>
          <w:rFonts w:ascii="Book Antiqua" w:hAnsi="Book Antiqua"/>
        </w:rPr>
        <w:t>e</w:t>
      </w:r>
      <w:r w:rsidRPr="00E3232D">
        <w:rPr>
          <w:rFonts w:ascii="Book Antiqua" w:hAnsi="Book Antiqua"/>
          <w:spacing w:val="18"/>
        </w:rPr>
        <w:t xml:space="preserve"> </w:t>
      </w:r>
      <w:r w:rsidRPr="00E3232D">
        <w:rPr>
          <w:rFonts w:ascii="Book Antiqua" w:hAnsi="Book Antiqua"/>
        </w:rPr>
        <w:t>of</w:t>
      </w:r>
      <w:r w:rsidRPr="00E3232D">
        <w:rPr>
          <w:rFonts w:ascii="Book Antiqua" w:hAnsi="Book Antiqua"/>
          <w:spacing w:val="21"/>
        </w:rPr>
        <w:t xml:space="preserve"> </w:t>
      </w:r>
      <w:r w:rsidRPr="00E3232D">
        <w:rPr>
          <w:rFonts w:ascii="Book Antiqua" w:hAnsi="Book Antiqua"/>
        </w:rPr>
        <w:t>pol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ies</w:t>
      </w:r>
      <w:r w:rsidRPr="00E3232D">
        <w:rPr>
          <w:rFonts w:ascii="Book Antiqua" w:hAnsi="Book Antiqua"/>
          <w:spacing w:val="19"/>
        </w:rPr>
        <w:t xml:space="preserve"> </w:t>
      </w:r>
      <w:r w:rsidRPr="00E3232D">
        <w:rPr>
          <w:rFonts w:ascii="Book Antiqua" w:hAnsi="Book Antiqua"/>
        </w:rPr>
        <w:t>ins</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rPr>
        <w:t>uted</w:t>
      </w:r>
      <w:r w:rsidRPr="00E3232D">
        <w:rPr>
          <w:rFonts w:ascii="Book Antiqua" w:hAnsi="Book Antiqua"/>
          <w:spacing w:val="18"/>
        </w:rPr>
        <w:t xml:space="preserve"> </w:t>
      </w:r>
      <w:r w:rsidRPr="00E3232D">
        <w:rPr>
          <w:rFonts w:ascii="Book Antiqua" w:hAnsi="Book Antiqua"/>
        </w:rPr>
        <w:t>to</w:t>
      </w:r>
      <w:r w:rsidRPr="00E3232D">
        <w:rPr>
          <w:rFonts w:ascii="Book Antiqua" w:hAnsi="Book Antiqua"/>
          <w:spacing w:val="17"/>
        </w:rPr>
        <w:t xml:space="preserve"> </w:t>
      </w:r>
      <w:r w:rsidRPr="00E3232D">
        <w:rPr>
          <w:rFonts w:ascii="Book Antiqua" w:hAnsi="Book Antiqua"/>
          <w:spacing w:val="-1"/>
        </w:rPr>
        <w:t>a</w:t>
      </w:r>
      <w:r w:rsidRPr="00E3232D">
        <w:rPr>
          <w:rFonts w:ascii="Book Antiqua" w:hAnsi="Book Antiqua"/>
        </w:rPr>
        <w:t>r</w:t>
      </w:r>
      <w:r w:rsidRPr="00E3232D">
        <w:rPr>
          <w:rFonts w:ascii="Book Antiqua" w:hAnsi="Book Antiqua"/>
          <w:spacing w:val="-1"/>
        </w:rPr>
        <w:t>re</w:t>
      </w:r>
      <w:r w:rsidRPr="00E3232D">
        <w:rPr>
          <w:rFonts w:ascii="Book Antiqua" w:hAnsi="Book Antiqua"/>
        </w:rPr>
        <w:t>st</w:t>
      </w:r>
      <w:r w:rsidRPr="00E3232D">
        <w:rPr>
          <w:rFonts w:ascii="Book Antiqua" w:hAnsi="Book Antiqua"/>
          <w:spacing w:val="20"/>
        </w:rPr>
        <w:t xml:space="preserve"> </w:t>
      </w:r>
      <w:r w:rsidRPr="00E3232D">
        <w:rPr>
          <w:rFonts w:ascii="Book Antiqua" w:hAnsi="Book Antiqua"/>
        </w:rPr>
        <w:t>the</w:t>
      </w:r>
      <w:r w:rsidRPr="00E3232D">
        <w:rPr>
          <w:rFonts w:ascii="Book Antiqua" w:hAnsi="Book Antiqua"/>
          <w:spacing w:val="18"/>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oblems</w:t>
      </w:r>
      <w:r w:rsidRPr="00E3232D">
        <w:rPr>
          <w:rFonts w:ascii="Book Antiqua" w:hAnsi="Book Antiqua"/>
          <w:spacing w:val="19"/>
        </w:rPr>
        <w:t xml:space="preserve"> </w:t>
      </w:r>
      <w:r w:rsidR="00465AE3">
        <w:rPr>
          <w:rFonts w:ascii="Book Antiqua" w:hAnsi="Book Antiqua"/>
        </w:rPr>
        <w:t>of</w:t>
      </w:r>
    </w:p>
    <w:p w14:paraId="25297296" w14:textId="77777777" w:rsidR="00395328" w:rsidRDefault="001C5D75" w:rsidP="00465AE3">
      <w:pPr>
        <w:widowControl w:val="0"/>
        <w:tabs>
          <w:tab w:val="left" w:pos="740"/>
        </w:tabs>
        <w:autoSpaceDE w:val="0"/>
        <w:autoSpaceDN w:val="0"/>
        <w:adjustRightInd w:val="0"/>
        <w:spacing w:before="3"/>
        <w:ind w:right="78"/>
        <w:jc w:val="both"/>
        <w:rPr>
          <w:rFonts w:ascii="Book Antiqua" w:hAnsi="Book Antiqua"/>
        </w:rPr>
      </w:pPr>
      <w:r w:rsidRPr="00E3232D">
        <w:rPr>
          <w:rFonts w:ascii="Book Antiqua" w:hAnsi="Book Antiqua"/>
          <w:spacing w:val="2"/>
        </w:rPr>
        <w:t>p</w:t>
      </w:r>
      <w:r w:rsidRPr="00E3232D">
        <w:rPr>
          <w:rFonts w:ascii="Book Antiqua" w:hAnsi="Book Antiqua"/>
        </w:rPr>
        <w:t>otential</w:t>
      </w:r>
      <w:r w:rsidRPr="00E3232D">
        <w:rPr>
          <w:rFonts w:ascii="Book Antiqua" w:hAnsi="Book Antiqua"/>
          <w:spacing w:val="19"/>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p>
    <w:p w14:paraId="421D9C64" w14:textId="77777777" w:rsidR="001C5D75" w:rsidRPr="00E3232D" w:rsidRDefault="001C5D75" w:rsidP="00465AE3">
      <w:pPr>
        <w:widowControl w:val="0"/>
        <w:tabs>
          <w:tab w:val="left" w:pos="740"/>
        </w:tabs>
        <w:autoSpaceDE w:val="0"/>
        <w:autoSpaceDN w:val="0"/>
        <w:adjustRightInd w:val="0"/>
        <w:spacing w:before="3"/>
        <w:ind w:left="560" w:right="78" w:hanging="360"/>
        <w:jc w:val="both"/>
        <w:rPr>
          <w:rFonts w:ascii="Book Antiqua" w:hAnsi="Book Antiqua"/>
        </w:rPr>
      </w:pPr>
      <w:r w:rsidRPr="00E3232D">
        <w:rPr>
          <w:rFonts w:ascii="Book Antiqua" w:hAnsi="Book Antiqua"/>
        </w:rPr>
        <w:t xml:space="preserve"> b</w:t>
      </w:r>
      <w:r w:rsidRPr="00E3232D">
        <w:rPr>
          <w:rFonts w:ascii="Book Antiqua" w:hAnsi="Book Antiqua"/>
          <w:spacing w:val="2"/>
        </w:rPr>
        <w:t>o</w:t>
      </w:r>
      <w:r w:rsidRPr="00E3232D">
        <w:rPr>
          <w:rFonts w:ascii="Book Antiqua" w:hAnsi="Book Antiqua"/>
        </w:rPr>
        <w:t>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er</w:t>
      </w:r>
      <w:r w:rsidRPr="00E3232D">
        <w:rPr>
          <w:rFonts w:ascii="Book Antiqua" w:hAnsi="Book Antiqua"/>
        </w:rPr>
        <w:t>s.</w:t>
      </w:r>
    </w:p>
    <w:p w14:paraId="05056F24" w14:textId="77777777" w:rsidR="001C5D75" w:rsidRPr="00E3232D" w:rsidRDefault="001C5D75" w:rsidP="00465AE3">
      <w:pPr>
        <w:widowControl w:val="0"/>
        <w:autoSpaceDE w:val="0"/>
        <w:autoSpaceDN w:val="0"/>
        <w:adjustRightInd w:val="0"/>
        <w:spacing w:before="3"/>
        <w:ind w:left="560" w:right="77" w:hanging="360"/>
        <w:jc w:val="both"/>
        <w:rPr>
          <w:rFonts w:ascii="Book Antiqua" w:hAnsi="Book Antiqua"/>
        </w:rPr>
      </w:pPr>
      <w:r w:rsidRPr="00E3232D">
        <w:rPr>
          <w:rFonts w:ascii="Book Antiqua" w:hAnsi="Book Antiqua"/>
        </w:rPr>
        <w:t xml:space="preserve">4.   </w:t>
      </w:r>
      <w:r w:rsidRPr="00E3232D">
        <w:rPr>
          <w:rFonts w:ascii="Book Antiqua" w:hAnsi="Book Antiqua"/>
          <w:spacing w:val="-3"/>
        </w:rPr>
        <w:t>I</w:t>
      </w:r>
      <w:r w:rsidRPr="00E3232D">
        <w:rPr>
          <w:rFonts w:ascii="Book Antiqua" w:hAnsi="Book Antiqua"/>
          <w:spacing w:val="2"/>
        </w:rPr>
        <w:t>n</w:t>
      </w:r>
      <w:r w:rsidRPr="00E3232D">
        <w:rPr>
          <w:rFonts w:ascii="Book Antiqua" w:hAnsi="Book Antiqua"/>
        </w:rPr>
        <w:t>f</w:t>
      </w:r>
      <w:r w:rsidRPr="00E3232D">
        <w:rPr>
          <w:rFonts w:ascii="Book Antiqua" w:hAnsi="Book Antiqua"/>
          <w:spacing w:val="-2"/>
        </w:rPr>
        <w:t>e</w:t>
      </w:r>
      <w:r w:rsidRPr="00E3232D">
        <w:rPr>
          <w:rFonts w:ascii="Book Antiqua" w:hAnsi="Book Antiqua"/>
        </w:rPr>
        <w:t>r</w:t>
      </w:r>
      <w:r w:rsidRPr="00E3232D">
        <w:rPr>
          <w:rFonts w:ascii="Book Antiqua" w:hAnsi="Book Antiqua"/>
          <w:spacing w:val="45"/>
        </w:rPr>
        <w:t xml:space="preserve"> </w:t>
      </w:r>
      <w:r w:rsidRPr="00E3232D">
        <w:rPr>
          <w:rFonts w:ascii="Book Antiqua" w:hAnsi="Book Antiqua"/>
        </w:rPr>
        <w:t>for</w:t>
      </w:r>
      <w:r w:rsidRPr="00E3232D">
        <w:rPr>
          <w:rFonts w:ascii="Book Antiqua" w:hAnsi="Book Antiqua"/>
          <w:spacing w:val="42"/>
        </w:rPr>
        <w:t xml:space="preserve"> </w:t>
      </w:r>
      <w:r w:rsidRPr="00E3232D">
        <w:rPr>
          <w:rFonts w:ascii="Book Antiqua" w:hAnsi="Book Antiqua"/>
        </w:rPr>
        <w:t>innovative</w:t>
      </w:r>
      <w:r w:rsidRPr="00E3232D">
        <w:rPr>
          <w:rFonts w:ascii="Book Antiqua" w:hAnsi="Book Antiqua"/>
          <w:spacing w:val="42"/>
        </w:rPr>
        <w:t xml:space="preserve"> </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rPr>
        <w:t>ud</w:t>
      </w:r>
      <w:r w:rsidRPr="00E3232D">
        <w:rPr>
          <w:rFonts w:ascii="Book Antiqua" w:hAnsi="Book Antiqua"/>
          <w:spacing w:val="-1"/>
        </w:rPr>
        <w:t>e</w:t>
      </w:r>
      <w:r w:rsidRPr="00E3232D">
        <w:rPr>
          <w:rFonts w:ascii="Book Antiqua" w:hAnsi="Book Antiqua"/>
        </w:rPr>
        <w:t>s</w:t>
      </w:r>
      <w:r w:rsidRPr="00E3232D">
        <w:rPr>
          <w:rFonts w:ascii="Book Antiqua" w:hAnsi="Book Antiqua"/>
          <w:spacing w:val="43"/>
        </w:rPr>
        <w:t xml:space="preserve"> </w:t>
      </w:r>
      <w:r w:rsidRPr="00E3232D">
        <w:rPr>
          <w:rFonts w:ascii="Book Antiqua" w:hAnsi="Book Antiqua"/>
        </w:rPr>
        <w:t>of</w:t>
      </w:r>
      <w:r w:rsidRPr="00E3232D">
        <w:rPr>
          <w:rFonts w:ascii="Book Antiqua" w:hAnsi="Book Antiqua"/>
          <w:spacing w:val="44"/>
        </w:rPr>
        <w:t xml:space="preserve"> </w:t>
      </w:r>
      <w:r w:rsidRPr="00E3232D">
        <w:rPr>
          <w:rFonts w:ascii="Book Antiqua" w:hAnsi="Book Antiqua"/>
        </w:rPr>
        <w:t>potential</w:t>
      </w:r>
      <w:r w:rsidRPr="00E3232D">
        <w:rPr>
          <w:rFonts w:ascii="Book Antiqua" w:hAnsi="Book Antiqua"/>
          <w:spacing w:val="43"/>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42"/>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43"/>
        </w:rPr>
        <w:t xml:space="preserve"> </w:t>
      </w:r>
      <w:r w:rsidRPr="00E3232D">
        <w:rPr>
          <w:rFonts w:ascii="Book Antiqua" w:hAnsi="Book Antiqua"/>
        </w:rPr>
        <w:t>bo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w:t>
      </w:r>
      <w:r w:rsidRPr="00E3232D">
        <w:rPr>
          <w:rFonts w:ascii="Book Antiqua" w:hAnsi="Book Antiqua"/>
          <w:spacing w:val="1"/>
        </w:rPr>
        <w:t>er</w:t>
      </w:r>
      <w:r w:rsidRPr="00E3232D">
        <w:rPr>
          <w:rFonts w:ascii="Book Antiqua" w:hAnsi="Book Antiqua"/>
        </w:rPr>
        <w:t>s</w:t>
      </w:r>
      <w:r w:rsidRPr="00E3232D">
        <w:rPr>
          <w:rFonts w:ascii="Book Antiqua" w:hAnsi="Book Antiqua"/>
          <w:spacing w:val="46"/>
        </w:rPr>
        <w:t xml:space="preserve"> </w:t>
      </w:r>
      <w:r w:rsidRPr="00E3232D">
        <w:rPr>
          <w:rFonts w:ascii="Book Antiqua" w:hAnsi="Book Antiqua"/>
        </w:rPr>
        <w:t>to</w:t>
      </w:r>
      <w:r w:rsidRPr="00E3232D">
        <w:rPr>
          <w:rFonts w:ascii="Book Antiqua" w:hAnsi="Book Antiqua"/>
          <w:spacing w:val="43"/>
        </w:rPr>
        <w:t xml:space="preserve"> </w:t>
      </w:r>
      <w:r w:rsidRPr="00E3232D">
        <w:rPr>
          <w:rFonts w:ascii="Book Antiqua" w:hAnsi="Book Antiqua"/>
          <w:spacing w:val="-1"/>
        </w:rPr>
        <w:t>e</w:t>
      </w:r>
      <w:r w:rsidRPr="00E3232D">
        <w:rPr>
          <w:rFonts w:ascii="Book Antiqua" w:hAnsi="Book Antiqua"/>
        </w:rPr>
        <w:t xml:space="preserve">nsuring business </w:t>
      </w:r>
      <w:r w:rsidRPr="00E3232D">
        <w:rPr>
          <w:rFonts w:ascii="Book Antiqua" w:hAnsi="Book Antiqua"/>
          <w:spacing w:val="-2"/>
        </w:rPr>
        <w:t>g</w:t>
      </w:r>
      <w:r w:rsidRPr="00E3232D">
        <w:rPr>
          <w:rFonts w:ascii="Book Antiqua" w:hAnsi="Book Antiqua"/>
        </w:rPr>
        <w:t>ro</w:t>
      </w:r>
      <w:r w:rsidRPr="00E3232D">
        <w:rPr>
          <w:rFonts w:ascii="Book Antiqua" w:hAnsi="Book Antiqua"/>
          <w:spacing w:val="-1"/>
        </w:rPr>
        <w:t>w</w:t>
      </w:r>
      <w:r w:rsidRPr="00E3232D">
        <w:rPr>
          <w:rFonts w:ascii="Book Antiqua" w:hAnsi="Book Antiqua"/>
        </w:rPr>
        <w:t>th</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 xml:space="preserve">nd </w:t>
      </w:r>
      <w:r w:rsidRPr="00E3232D">
        <w:rPr>
          <w:rFonts w:ascii="Book Antiqua" w:hAnsi="Book Antiqua"/>
          <w:spacing w:val="1"/>
        </w:rPr>
        <w:t>m</w:t>
      </w:r>
      <w:r w:rsidRPr="00E3232D">
        <w:rPr>
          <w:rFonts w:ascii="Book Antiqua" w:hAnsi="Book Antiqua"/>
        </w:rPr>
        <w:t>i</w:t>
      </w:r>
      <w:r w:rsidRPr="00E3232D">
        <w:rPr>
          <w:rFonts w:ascii="Book Antiqua" w:hAnsi="Book Antiqua"/>
          <w:spacing w:val="2"/>
        </w:rPr>
        <w:t>c</w:t>
      </w:r>
      <w:r w:rsidRPr="00E3232D">
        <w:rPr>
          <w:rFonts w:ascii="Book Antiqua" w:hAnsi="Book Antiqua"/>
        </w:rPr>
        <w:t>ro d</w:t>
      </w:r>
      <w:r w:rsidRPr="00E3232D">
        <w:rPr>
          <w:rFonts w:ascii="Book Antiqua" w:hAnsi="Book Antiqua"/>
          <w:spacing w:val="-2"/>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w:t>
      </w:r>
    </w:p>
    <w:p w14:paraId="3C855E24" w14:textId="77777777" w:rsidR="001C5D75" w:rsidRPr="00E3232D" w:rsidRDefault="001C5D75" w:rsidP="00465AE3">
      <w:pPr>
        <w:widowControl w:val="0"/>
        <w:autoSpaceDE w:val="0"/>
        <w:autoSpaceDN w:val="0"/>
        <w:adjustRightInd w:val="0"/>
        <w:spacing w:before="3"/>
        <w:ind w:left="560" w:right="85" w:hanging="360"/>
        <w:jc w:val="both"/>
        <w:rPr>
          <w:rFonts w:ascii="Book Antiqua" w:hAnsi="Book Antiqua"/>
        </w:rPr>
      </w:pPr>
      <w:r w:rsidRPr="00E3232D">
        <w:rPr>
          <w:rFonts w:ascii="Book Antiqua" w:hAnsi="Book Antiqua"/>
        </w:rPr>
        <w:t xml:space="preserve">5.   </w:t>
      </w:r>
      <w:r w:rsidRPr="00E3232D">
        <w:rPr>
          <w:rFonts w:ascii="Book Antiqua" w:hAnsi="Book Antiqua"/>
          <w:spacing w:val="1"/>
        </w:rPr>
        <w:t>R</w:t>
      </w:r>
      <w:r w:rsidRPr="00E3232D">
        <w:rPr>
          <w:rFonts w:ascii="Book Antiqua" w:hAnsi="Book Antiqua"/>
          <w:spacing w:val="-1"/>
        </w:rPr>
        <w:t>ec</w:t>
      </w:r>
      <w:r w:rsidRPr="00E3232D">
        <w:rPr>
          <w:rFonts w:ascii="Book Antiqua" w:hAnsi="Book Antiqua"/>
        </w:rPr>
        <w:t>om</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nd</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w:t>
      </w:r>
      <w:r w:rsidRPr="00E3232D">
        <w:rPr>
          <w:rFonts w:ascii="Book Antiqua" w:hAnsi="Book Antiqua"/>
          <w:spacing w:val="6"/>
        </w:rPr>
        <w:t xml:space="preserve"> </w:t>
      </w:r>
      <w:r w:rsidRPr="00E3232D">
        <w:rPr>
          <w:rFonts w:ascii="Book Antiqua" w:hAnsi="Book Antiqua"/>
        </w:rPr>
        <w:t>for</w:t>
      </w:r>
      <w:r w:rsidRPr="00E3232D">
        <w:rPr>
          <w:rFonts w:ascii="Book Antiqua" w:hAnsi="Book Antiqua"/>
          <w:spacing w:val="5"/>
        </w:rPr>
        <w:t xml:space="preserve"> </w:t>
      </w:r>
      <w:r w:rsidRPr="00E3232D">
        <w:rPr>
          <w:rFonts w:ascii="Book Antiqua" w:hAnsi="Book Antiqua"/>
        </w:rPr>
        <w:t>pol</w:t>
      </w:r>
      <w:r w:rsidRPr="00E3232D">
        <w:rPr>
          <w:rFonts w:ascii="Book Antiqua" w:hAnsi="Book Antiqua"/>
          <w:spacing w:val="1"/>
        </w:rPr>
        <w:t>ic</w:t>
      </w:r>
      <w:r w:rsidRPr="00E3232D">
        <w:rPr>
          <w:rFonts w:ascii="Book Antiqua" w:hAnsi="Book Antiqua"/>
        </w:rPr>
        <w:t xml:space="preserve">y </w:t>
      </w:r>
      <w:r w:rsidRPr="00E3232D">
        <w:rPr>
          <w:rFonts w:ascii="Book Antiqua" w:hAnsi="Book Antiqua"/>
          <w:spacing w:val="3"/>
        </w:rPr>
        <w:t>m</w:t>
      </w:r>
      <w:r w:rsidRPr="00E3232D">
        <w:rPr>
          <w:rFonts w:ascii="Book Antiqua" w:hAnsi="Book Antiqua"/>
          <w:spacing w:val="-1"/>
        </w:rPr>
        <w:t>a</w:t>
      </w:r>
      <w:r w:rsidRPr="00E3232D">
        <w:rPr>
          <w:rFonts w:ascii="Book Antiqua" w:hAnsi="Book Antiqua"/>
        </w:rPr>
        <w:t>k</w:t>
      </w:r>
      <w:r w:rsidRPr="00E3232D">
        <w:rPr>
          <w:rFonts w:ascii="Book Antiqua" w:hAnsi="Book Antiqua"/>
          <w:spacing w:val="-1"/>
        </w:rPr>
        <w:t>e</w:t>
      </w:r>
      <w:r w:rsidRPr="00E3232D">
        <w:rPr>
          <w:rFonts w:ascii="Book Antiqua" w:hAnsi="Book Antiqua"/>
        </w:rPr>
        <w:t>rs</w:t>
      </w:r>
      <w:r w:rsidRPr="00E3232D">
        <w:rPr>
          <w:rFonts w:ascii="Book Antiqua" w:hAnsi="Book Antiqua"/>
          <w:spacing w:val="6"/>
        </w:rPr>
        <w:t xml:space="preserve"> </w:t>
      </w:r>
      <w:r w:rsidRPr="00E3232D">
        <w:rPr>
          <w:rFonts w:ascii="Book Antiqua" w:hAnsi="Book Antiqua"/>
        </w:rPr>
        <w:t>to</w:t>
      </w:r>
      <w:r w:rsidRPr="00E3232D">
        <w:rPr>
          <w:rFonts w:ascii="Book Antiqua" w:hAnsi="Book Antiqua"/>
          <w:spacing w:val="5"/>
        </w:rPr>
        <w:t xml:space="preserve"> </w:t>
      </w:r>
      <w:r w:rsidRPr="00E3232D">
        <w:rPr>
          <w:rFonts w:ascii="Book Antiqua" w:hAnsi="Book Antiqua"/>
        </w:rPr>
        <w:t>f</w:t>
      </w:r>
      <w:r w:rsidRPr="00E3232D">
        <w:rPr>
          <w:rFonts w:ascii="Book Antiqua" w:hAnsi="Book Antiqua"/>
          <w:spacing w:val="-2"/>
        </w:rPr>
        <w:t>a</w:t>
      </w:r>
      <w:r w:rsidRPr="00E3232D">
        <w:rPr>
          <w:rFonts w:ascii="Book Antiqua" w:hAnsi="Book Antiqua"/>
        </w:rPr>
        <w:t>shion</w:t>
      </w:r>
      <w:r w:rsidRPr="00E3232D">
        <w:rPr>
          <w:rFonts w:ascii="Book Antiqua" w:hAnsi="Book Antiqua"/>
          <w:spacing w:val="5"/>
        </w:rPr>
        <w:t xml:space="preserve"> </w:t>
      </w:r>
      <w:r w:rsidRPr="00E3232D">
        <w:rPr>
          <w:rFonts w:ascii="Book Antiqua" w:hAnsi="Book Antiqua"/>
          <w:spacing w:val="2"/>
        </w:rPr>
        <w:t>o</w:t>
      </w:r>
      <w:r w:rsidRPr="00E3232D">
        <w:rPr>
          <w:rFonts w:ascii="Book Antiqua" w:hAnsi="Book Antiqua"/>
        </w:rPr>
        <w:t>ut</w:t>
      </w:r>
      <w:r w:rsidRPr="00E3232D">
        <w:rPr>
          <w:rFonts w:ascii="Book Antiqua" w:hAnsi="Book Antiqua"/>
          <w:spacing w:val="5"/>
        </w:rPr>
        <w:t xml:space="preserve"> </w:t>
      </w:r>
      <w:r w:rsidRPr="00E3232D">
        <w:rPr>
          <w:rFonts w:ascii="Book Antiqua" w:hAnsi="Book Antiqua"/>
        </w:rPr>
        <w:t>pol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ies</w:t>
      </w:r>
      <w:r w:rsidRPr="00E3232D">
        <w:rPr>
          <w:rFonts w:ascii="Book Antiqua" w:hAnsi="Book Antiqua"/>
          <w:spacing w:val="4"/>
        </w:rPr>
        <w:t xml:space="preserve"> </w:t>
      </w:r>
      <w:r w:rsidRPr="00E3232D">
        <w:rPr>
          <w:rFonts w:ascii="Book Antiqua" w:hAnsi="Book Antiqua"/>
        </w:rPr>
        <w:t>tow</w:t>
      </w:r>
      <w:r w:rsidRPr="00E3232D">
        <w:rPr>
          <w:rFonts w:ascii="Book Antiqua" w:hAnsi="Book Antiqua"/>
          <w:spacing w:val="-1"/>
        </w:rPr>
        <w:t>a</w:t>
      </w:r>
      <w:r w:rsidRPr="00E3232D">
        <w:rPr>
          <w:rFonts w:ascii="Book Antiqua" w:hAnsi="Book Antiqua"/>
        </w:rPr>
        <w:t>rds</w:t>
      </w:r>
      <w:r w:rsidRPr="00E3232D">
        <w:rPr>
          <w:rFonts w:ascii="Book Antiqua" w:hAnsi="Book Antiqua"/>
          <w:spacing w:val="6"/>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6"/>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 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w:t>
      </w:r>
    </w:p>
    <w:p w14:paraId="63796F68" w14:textId="77777777" w:rsidR="001C5D75" w:rsidRPr="00E3232D" w:rsidRDefault="001C5D75" w:rsidP="00465AE3">
      <w:pPr>
        <w:widowControl w:val="0"/>
        <w:autoSpaceDE w:val="0"/>
        <w:autoSpaceDN w:val="0"/>
        <w:adjustRightInd w:val="0"/>
        <w:spacing w:before="74"/>
        <w:ind w:right="80"/>
        <w:jc w:val="both"/>
        <w:rPr>
          <w:rFonts w:ascii="Book Antiqua" w:hAnsi="Book Antiqua"/>
        </w:rPr>
      </w:pPr>
      <w:r w:rsidRPr="00E3232D">
        <w:rPr>
          <w:rFonts w:ascii="Book Antiqua" w:hAnsi="Book Antiqua"/>
        </w:rPr>
        <w:t>On</w:t>
      </w:r>
      <w:r w:rsidRPr="00E3232D">
        <w:rPr>
          <w:rFonts w:ascii="Book Antiqua" w:hAnsi="Book Antiqua"/>
          <w:spacing w:val="4"/>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spacing w:val="-1"/>
        </w:rPr>
        <w:t>acc</w:t>
      </w:r>
      <w:r w:rsidRPr="00E3232D">
        <w:rPr>
          <w:rFonts w:ascii="Book Antiqua" w:hAnsi="Book Antiqua"/>
        </w:rPr>
        <w:t>ount</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spacing w:val="2"/>
        </w:rPr>
        <w:t>th</w:t>
      </w:r>
      <w:r w:rsidRPr="00E3232D">
        <w:rPr>
          <w:rFonts w:ascii="Book Antiqua" w:hAnsi="Book Antiqua"/>
          <w:spacing w:val="-1"/>
        </w:rPr>
        <w:t>e</w:t>
      </w:r>
      <w:r w:rsidRPr="00E3232D">
        <w:rPr>
          <w:rFonts w:ascii="Book Antiqua" w:hAnsi="Book Antiqua"/>
        </w:rPr>
        <w:t>se</w:t>
      </w:r>
      <w:r w:rsidRPr="00E3232D">
        <w:rPr>
          <w:rFonts w:ascii="Book Antiqua" w:hAnsi="Book Antiqua"/>
          <w:spacing w:val="6"/>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oblems,</w:t>
      </w:r>
      <w:r w:rsidRPr="00E3232D">
        <w:rPr>
          <w:rFonts w:ascii="Book Antiqua" w:hAnsi="Book Antiqua"/>
          <w:spacing w:val="5"/>
        </w:rPr>
        <w:t xml:space="preserve"> </w:t>
      </w:r>
      <w:r w:rsidRPr="00E3232D">
        <w:rPr>
          <w:rFonts w:ascii="Book Antiqua" w:hAnsi="Book Antiqua"/>
        </w:rPr>
        <w:t>a</w:t>
      </w:r>
      <w:r w:rsidRPr="00E3232D">
        <w:rPr>
          <w:rFonts w:ascii="Book Antiqua" w:hAnsi="Book Antiqua"/>
          <w:spacing w:val="4"/>
        </w:rPr>
        <w:t xml:space="preserve"> </w:t>
      </w:r>
      <w:r w:rsidRPr="00E3232D">
        <w:rPr>
          <w:rFonts w:ascii="Book Antiqua" w:hAnsi="Book Antiqua"/>
        </w:rPr>
        <w:t>stu</w:t>
      </w:r>
      <w:r w:rsidRPr="00E3232D">
        <w:rPr>
          <w:rFonts w:ascii="Book Antiqua" w:hAnsi="Book Antiqua"/>
          <w:spacing w:val="3"/>
        </w:rPr>
        <w:t>d</w:t>
      </w:r>
      <w:r w:rsidRPr="00E3232D">
        <w:rPr>
          <w:rFonts w:ascii="Book Antiqua" w:hAnsi="Book Antiqua"/>
        </w:rPr>
        <w:t>y to</w:t>
      </w:r>
      <w:r w:rsidRPr="00E3232D">
        <w:rPr>
          <w:rFonts w:ascii="Book Antiqua" w:hAnsi="Book Antiqua"/>
          <w:spacing w:val="5"/>
        </w:rPr>
        <w:t xml:space="preserve"> </w:t>
      </w:r>
      <w:r w:rsidRPr="00E3232D">
        <w:rPr>
          <w:rFonts w:ascii="Book Antiqua" w:hAnsi="Book Antiqua"/>
        </w:rPr>
        <w:t>hi</w:t>
      </w:r>
      <w:r w:rsidRPr="00E3232D">
        <w:rPr>
          <w:rFonts w:ascii="Book Antiqua" w:hAnsi="Book Antiqua"/>
          <w:spacing w:val="-2"/>
        </w:rPr>
        <w:t>g</w:t>
      </w:r>
      <w:r w:rsidRPr="00E3232D">
        <w:rPr>
          <w:rFonts w:ascii="Book Antiqua" w:hAnsi="Book Antiqua"/>
        </w:rPr>
        <w:t>hl</w:t>
      </w:r>
      <w:r w:rsidRPr="00E3232D">
        <w:rPr>
          <w:rFonts w:ascii="Book Antiqua" w:hAnsi="Book Antiqua"/>
          <w:spacing w:val="3"/>
        </w:rPr>
        <w:t>i</w:t>
      </w:r>
      <w:r w:rsidRPr="00E3232D">
        <w:rPr>
          <w:rFonts w:ascii="Book Antiqua" w:hAnsi="Book Antiqua"/>
          <w:spacing w:val="-2"/>
        </w:rPr>
        <w:t>g</w:t>
      </w:r>
      <w:r w:rsidRPr="00E3232D">
        <w:rPr>
          <w:rFonts w:ascii="Book Antiqua" w:hAnsi="Book Antiqua"/>
        </w:rPr>
        <w:t>ht</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spacing w:val="-1"/>
        </w:rPr>
        <w:t xml:space="preserve">innovation for growth by </w:t>
      </w:r>
      <w:r w:rsidRPr="00E3232D">
        <w:rPr>
          <w:rFonts w:ascii="Book Antiqua" w:hAnsi="Book Antiqua"/>
        </w:rPr>
        <w:t>potential</w:t>
      </w:r>
      <w:r w:rsidRPr="00E3232D">
        <w:rPr>
          <w:rFonts w:ascii="Book Antiqua" w:hAnsi="Book Antiqua"/>
          <w:spacing w:val="2"/>
        </w:rPr>
        <w:t xml:space="preserve"> </w:t>
      </w:r>
      <w:r w:rsidRPr="00E3232D">
        <w:rPr>
          <w:rFonts w:ascii="Book Antiqua" w:hAnsi="Book Antiqua"/>
        </w:rPr>
        <w:t>m</w:t>
      </w:r>
      <w:r w:rsidRPr="00E3232D">
        <w:rPr>
          <w:rFonts w:ascii="Book Antiqua" w:hAnsi="Book Antiqua"/>
          <w:spacing w:val="1"/>
        </w:rPr>
        <w:t>ic</w:t>
      </w:r>
      <w:r w:rsidRPr="00E3232D">
        <w:rPr>
          <w:rFonts w:ascii="Book Antiqua" w:hAnsi="Book Antiqua"/>
        </w:rPr>
        <w:t>ro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spacing w:val="2"/>
        </w:rPr>
        <w:t>n</w:t>
      </w:r>
      <w:r w:rsidRPr="00E3232D">
        <w:rPr>
          <w:rFonts w:ascii="Book Antiqua" w:hAnsi="Book Antiqua"/>
        </w:rPr>
        <w:t>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2"/>
        </w:rPr>
        <w:t xml:space="preserve"> </w:t>
      </w:r>
      <w:r w:rsidRPr="00E3232D">
        <w:rPr>
          <w:rFonts w:ascii="Book Antiqua" w:hAnsi="Book Antiqua"/>
        </w:rPr>
        <w:t>bo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w:t>
      </w:r>
      <w:r w:rsidRPr="00E3232D">
        <w:rPr>
          <w:rFonts w:ascii="Book Antiqua" w:hAnsi="Book Antiqua"/>
          <w:spacing w:val="1"/>
        </w:rPr>
        <w:t>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spacing w:val="3"/>
        </w:rPr>
        <w:t>i</w:t>
      </w:r>
      <w:r w:rsidRPr="00E3232D">
        <w:rPr>
          <w:rFonts w:ascii="Book Antiqua" w:hAnsi="Book Antiqua"/>
        </w:rPr>
        <w:t>n</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T</w:t>
      </w:r>
      <w:r w:rsidRPr="00E3232D">
        <w:rPr>
          <w:rFonts w:ascii="Book Antiqua" w:hAnsi="Book Antiqua"/>
          <w:spacing w:val="-1"/>
        </w:rPr>
        <w:t>a</w:t>
      </w:r>
      <w:r w:rsidRPr="00E3232D">
        <w:rPr>
          <w:rFonts w:ascii="Book Antiqua" w:hAnsi="Book Antiqua"/>
        </w:rPr>
        <w:t>ma</w:t>
      </w:r>
      <w:r w:rsidRPr="00E3232D">
        <w:rPr>
          <w:rFonts w:ascii="Book Antiqua" w:hAnsi="Book Antiqua"/>
          <w:spacing w:val="2"/>
        </w:rPr>
        <w:t>l</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Met</w:t>
      </w:r>
      <w:r w:rsidRPr="00E3232D">
        <w:rPr>
          <w:rFonts w:ascii="Book Antiqua" w:hAnsi="Book Antiqua"/>
          <w:spacing w:val="-1"/>
        </w:rPr>
        <w:t>r</w:t>
      </w:r>
      <w:r w:rsidRPr="00E3232D">
        <w:rPr>
          <w:rFonts w:ascii="Book Antiqua" w:hAnsi="Book Antiqua"/>
        </w:rPr>
        <w:t>opol</w:t>
      </w:r>
      <w:r w:rsidRPr="00E3232D">
        <w:rPr>
          <w:rFonts w:ascii="Book Antiqua" w:hAnsi="Book Antiqua"/>
          <w:spacing w:val="1"/>
        </w:rPr>
        <w:t>i</w:t>
      </w:r>
      <w:r w:rsidRPr="00E3232D">
        <w:rPr>
          <w:rFonts w:ascii="Book Antiqua" w:hAnsi="Book Antiqua"/>
        </w:rPr>
        <w:t>s</w:t>
      </w:r>
      <w:r w:rsidRPr="00E3232D">
        <w:rPr>
          <w:rFonts w:ascii="Book Antiqua" w:hAnsi="Book Antiqua"/>
          <w:spacing w:val="4"/>
        </w:rPr>
        <w:t xml:space="preserve"> </w:t>
      </w:r>
      <w:r w:rsidRPr="00E3232D">
        <w:rPr>
          <w:rFonts w:ascii="Book Antiqua" w:hAnsi="Book Antiqua"/>
        </w:rPr>
        <w:t>is</w:t>
      </w:r>
      <w:r w:rsidRPr="00E3232D">
        <w:rPr>
          <w:rFonts w:ascii="Book Antiqua" w:hAnsi="Book Antiqua"/>
          <w:spacing w:val="3"/>
        </w:rPr>
        <w:t xml:space="preserve"> </w:t>
      </w:r>
      <w:r w:rsidRPr="00E3232D">
        <w:rPr>
          <w:rFonts w:ascii="Book Antiqua" w:hAnsi="Book Antiqua"/>
          <w:spacing w:val="-1"/>
        </w:rPr>
        <w:t>c</w:t>
      </w:r>
      <w:r w:rsidRPr="00E3232D">
        <w:rPr>
          <w:rFonts w:ascii="Book Antiqua" w:hAnsi="Book Antiqua"/>
        </w:rPr>
        <w:t>onsid</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d</w:t>
      </w:r>
      <w:r w:rsidRPr="00E3232D">
        <w:rPr>
          <w:rFonts w:ascii="Book Antiqua" w:hAnsi="Book Antiqua"/>
          <w:spacing w:val="4"/>
        </w:rPr>
        <w:t xml:space="preserve"> </w:t>
      </w:r>
      <w:r w:rsidRPr="00E3232D">
        <w:rPr>
          <w:rFonts w:ascii="Book Antiqua" w:hAnsi="Book Antiqua"/>
        </w:rPr>
        <w:t>a step in the</w:t>
      </w:r>
      <w:r w:rsidRPr="00E3232D">
        <w:rPr>
          <w:rFonts w:ascii="Book Antiqua" w:hAnsi="Book Antiqua"/>
          <w:spacing w:val="-1"/>
        </w:rPr>
        <w:t xml:space="preserve"> r</w:t>
      </w:r>
      <w:r w:rsidRPr="00E3232D">
        <w:rPr>
          <w:rFonts w:ascii="Book Antiqua" w:hAnsi="Book Antiqua"/>
        </w:rPr>
        <w:t>i</w:t>
      </w:r>
      <w:r w:rsidRPr="00E3232D">
        <w:rPr>
          <w:rFonts w:ascii="Book Antiqua" w:hAnsi="Book Antiqua"/>
          <w:spacing w:val="-2"/>
        </w:rPr>
        <w:t>g</w:t>
      </w:r>
      <w:r w:rsidRPr="00E3232D">
        <w:rPr>
          <w:rFonts w:ascii="Book Antiqua" w:hAnsi="Book Antiqua"/>
        </w:rPr>
        <w:t>ht d</w:t>
      </w:r>
      <w:r w:rsidRPr="00E3232D">
        <w:rPr>
          <w:rFonts w:ascii="Book Antiqua" w:hAnsi="Book Antiqua"/>
          <w:spacing w:val="1"/>
        </w:rPr>
        <w:t>i</w:t>
      </w:r>
      <w:r w:rsidRPr="00E3232D">
        <w:rPr>
          <w:rFonts w:ascii="Book Antiqua" w:hAnsi="Book Antiqua"/>
        </w:rPr>
        <w:t>re</w:t>
      </w:r>
      <w:r w:rsidRPr="00E3232D">
        <w:rPr>
          <w:rFonts w:ascii="Book Antiqua" w:hAnsi="Book Antiqua"/>
          <w:spacing w:val="-1"/>
        </w:rPr>
        <w:t>c</w:t>
      </w:r>
      <w:r w:rsidRPr="00E3232D">
        <w:rPr>
          <w:rFonts w:ascii="Book Antiqua" w:hAnsi="Book Antiqua"/>
        </w:rPr>
        <w:t>t</w:t>
      </w:r>
      <w:r w:rsidRPr="00E3232D">
        <w:rPr>
          <w:rFonts w:ascii="Book Antiqua" w:hAnsi="Book Antiqua"/>
          <w:spacing w:val="1"/>
        </w:rPr>
        <w:t>i</w:t>
      </w:r>
      <w:r w:rsidRPr="00E3232D">
        <w:rPr>
          <w:rFonts w:ascii="Book Antiqua" w:hAnsi="Book Antiqua"/>
        </w:rPr>
        <w:t>on.</w:t>
      </w:r>
    </w:p>
    <w:p w14:paraId="44B3CAF0" w14:textId="77777777" w:rsidR="001C5D75" w:rsidRPr="00806674" w:rsidRDefault="001C5D75" w:rsidP="00196385">
      <w:pPr>
        <w:pStyle w:val="ListParagraph"/>
        <w:widowControl w:val="0"/>
        <w:numPr>
          <w:ilvl w:val="0"/>
          <w:numId w:val="177"/>
        </w:numPr>
        <w:autoSpaceDE w:val="0"/>
        <w:autoSpaceDN w:val="0"/>
        <w:adjustRightInd w:val="0"/>
        <w:spacing w:before="240"/>
        <w:ind w:right="1761"/>
        <w:jc w:val="both"/>
        <w:rPr>
          <w:rFonts w:ascii="Book Antiqua" w:hAnsi="Book Antiqua"/>
          <w:b/>
          <w:iCs/>
        </w:rPr>
      </w:pPr>
      <w:r w:rsidRPr="00806674">
        <w:rPr>
          <w:rFonts w:ascii="Book Antiqua" w:hAnsi="Book Antiqua"/>
          <w:b/>
          <w:iCs/>
          <w:sz w:val="26"/>
        </w:rPr>
        <w:t>Methodology</w:t>
      </w:r>
    </w:p>
    <w:p w14:paraId="407D3114" w14:textId="77777777" w:rsidR="001C5D75" w:rsidRPr="00E3232D" w:rsidRDefault="001C5D75" w:rsidP="00465AE3">
      <w:pPr>
        <w:widowControl w:val="0"/>
        <w:autoSpaceDE w:val="0"/>
        <w:autoSpaceDN w:val="0"/>
        <w:adjustRightInd w:val="0"/>
        <w:ind w:left="100" w:right="78"/>
        <w:jc w:val="both"/>
        <w:rPr>
          <w:rFonts w:ascii="Book Antiqua" w:hAnsi="Book Antiqua"/>
        </w:rPr>
      </w:pPr>
      <w:r w:rsidRPr="00E3232D">
        <w:rPr>
          <w:rFonts w:ascii="Book Antiqua" w:hAnsi="Book Antiqua"/>
        </w:rPr>
        <w:t xml:space="preserve">The </w:t>
      </w:r>
      <w:r w:rsidRPr="00E3232D">
        <w:rPr>
          <w:rFonts w:ascii="Book Antiqua" w:hAnsi="Book Antiqua"/>
          <w:spacing w:val="3"/>
        </w:rPr>
        <w:t>data</w:t>
      </w:r>
      <w:r w:rsidRPr="00E3232D">
        <w:rPr>
          <w:rFonts w:ascii="Book Antiqua" w:hAnsi="Book Antiqua"/>
        </w:rPr>
        <w:t xml:space="preserve"> </w:t>
      </w:r>
      <w:r w:rsidRPr="00E3232D">
        <w:rPr>
          <w:rFonts w:ascii="Book Antiqua" w:hAnsi="Book Antiqua"/>
          <w:spacing w:val="4"/>
        </w:rPr>
        <w:t>for</w:t>
      </w:r>
      <w:r w:rsidRPr="00E3232D">
        <w:rPr>
          <w:rFonts w:ascii="Book Antiqua" w:hAnsi="Book Antiqua"/>
        </w:rPr>
        <w:t xml:space="preserve"> </w:t>
      </w:r>
      <w:r w:rsidRPr="00E3232D">
        <w:rPr>
          <w:rFonts w:ascii="Book Antiqua" w:hAnsi="Book Antiqua"/>
          <w:spacing w:val="3"/>
        </w:rPr>
        <w:t>this</w:t>
      </w:r>
      <w:r w:rsidRPr="00E3232D">
        <w:rPr>
          <w:rFonts w:ascii="Book Antiqua" w:hAnsi="Book Antiqua"/>
        </w:rPr>
        <w:t xml:space="preserve"> </w:t>
      </w:r>
      <w:r w:rsidRPr="00E3232D">
        <w:rPr>
          <w:rFonts w:ascii="Book Antiqua" w:hAnsi="Book Antiqua"/>
          <w:spacing w:val="5"/>
        </w:rPr>
        <w:t>study</w:t>
      </w:r>
      <w:r w:rsidRPr="00E3232D">
        <w:rPr>
          <w:rFonts w:ascii="Book Antiqua" w:hAnsi="Book Antiqua"/>
        </w:rPr>
        <w:t xml:space="preserve"> was </w:t>
      </w:r>
      <w:r w:rsidRPr="00E3232D">
        <w:rPr>
          <w:rFonts w:ascii="Book Antiqua" w:hAnsi="Book Antiqua"/>
          <w:spacing w:val="5"/>
        </w:rPr>
        <w:t>obtained</w:t>
      </w:r>
      <w:r w:rsidRPr="00E3232D">
        <w:rPr>
          <w:rFonts w:ascii="Book Antiqua" w:hAnsi="Book Antiqua"/>
        </w:rPr>
        <w:t xml:space="preserve"> </w:t>
      </w:r>
      <w:r w:rsidRPr="00E3232D">
        <w:rPr>
          <w:rFonts w:ascii="Book Antiqua" w:hAnsi="Book Antiqua"/>
          <w:spacing w:val="5"/>
        </w:rPr>
        <w:t>from</w:t>
      </w:r>
      <w:r w:rsidRPr="00E3232D">
        <w:rPr>
          <w:rFonts w:ascii="Book Antiqua" w:hAnsi="Book Antiqua"/>
        </w:rPr>
        <w:t xml:space="preserve"> </w:t>
      </w:r>
      <w:r w:rsidRPr="00E3232D">
        <w:rPr>
          <w:rFonts w:ascii="Book Antiqua" w:hAnsi="Book Antiqua"/>
          <w:spacing w:val="5"/>
        </w:rPr>
        <w:t>primary</w:t>
      </w:r>
      <w:r w:rsidRPr="00E3232D">
        <w:rPr>
          <w:rFonts w:ascii="Book Antiqua" w:hAnsi="Book Antiqua"/>
        </w:rPr>
        <w:t xml:space="preserve"> sources. </w:t>
      </w:r>
      <w:r w:rsidRPr="00E3232D">
        <w:rPr>
          <w:rFonts w:ascii="Book Antiqua" w:hAnsi="Book Antiqua"/>
          <w:spacing w:val="5"/>
        </w:rPr>
        <w:t xml:space="preserve"> </w:t>
      </w:r>
      <w:r w:rsidRPr="00E3232D">
        <w:rPr>
          <w:rFonts w:ascii="Book Antiqua" w:hAnsi="Book Antiqua"/>
        </w:rPr>
        <w:t xml:space="preserve">The </w:t>
      </w:r>
      <w:r w:rsidRPr="00E3232D">
        <w:rPr>
          <w:rFonts w:ascii="Book Antiqua" w:hAnsi="Book Antiqua"/>
          <w:spacing w:val="3"/>
        </w:rPr>
        <w:t>primary</w:t>
      </w:r>
      <w:r w:rsidRPr="00E3232D">
        <w:rPr>
          <w:rFonts w:ascii="Book Antiqua" w:hAnsi="Book Antiqua"/>
        </w:rPr>
        <w:t xml:space="preserve"> data </w:t>
      </w:r>
      <w:r w:rsidRPr="00E3232D">
        <w:rPr>
          <w:rFonts w:ascii="Book Antiqua" w:hAnsi="Book Antiqua"/>
          <w:spacing w:val="4"/>
        </w:rPr>
        <w:t>was</w:t>
      </w:r>
      <w:r w:rsidRPr="00E3232D">
        <w:rPr>
          <w:rFonts w:ascii="Book Antiqua" w:hAnsi="Book Antiqua"/>
        </w:rPr>
        <w:t xml:space="preserve"> obtain</w:t>
      </w:r>
      <w:r w:rsidRPr="00E3232D">
        <w:rPr>
          <w:rFonts w:ascii="Book Antiqua" w:hAnsi="Book Antiqua"/>
          <w:spacing w:val="-1"/>
        </w:rPr>
        <w:t>e</w:t>
      </w:r>
      <w:r w:rsidRPr="00E3232D">
        <w:rPr>
          <w:rFonts w:ascii="Book Antiqua" w:hAnsi="Book Antiqua"/>
        </w:rPr>
        <w:t>d</w:t>
      </w:r>
      <w:r w:rsidRPr="00E3232D">
        <w:rPr>
          <w:rFonts w:ascii="Book Antiqua" w:hAnsi="Book Antiqua"/>
          <w:spacing w:val="1"/>
        </w:rPr>
        <w:t xml:space="preserve"> </w:t>
      </w:r>
      <w:r w:rsidRPr="00E3232D">
        <w:rPr>
          <w:rFonts w:ascii="Book Antiqua" w:hAnsi="Book Antiqua"/>
        </w:rPr>
        <w:t>f</w:t>
      </w:r>
      <w:r w:rsidRPr="00E3232D">
        <w:rPr>
          <w:rFonts w:ascii="Book Antiqua" w:hAnsi="Book Antiqua"/>
          <w:spacing w:val="-1"/>
        </w:rPr>
        <w:t>r</w:t>
      </w:r>
      <w:r w:rsidRPr="00E3232D">
        <w:rPr>
          <w:rFonts w:ascii="Book Antiqua" w:hAnsi="Book Antiqua"/>
        </w:rPr>
        <w:t>om</w:t>
      </w:r>
      <w:r w:rsidRPr="00E3232D">
        <w:rPr>
          <w:rFonts w:ascii="Book Antiqua" w:hAnsi="Book Antiqua"/>
          <w:spacing w:val="4"/>
        </w:rPr>
        <w:t xml:space="preserve"> </w:t>
      </w:r>
      <w:r w:rsidRPr="00E3232D">
        <w:rPr>
          <w:rFonts w:ascii="Book Antiqua" w:hAnsi="Book Antiqua"/>
        </w:rPr>
        <w:t>some</w:t>
      </w:r>
      <w:r w:rsidRPr="00E3232D">
        <w:rPr>
          <w:rFonts w:ascii="Book Antiqua" w:hAnsi="Book Antiqua"/>
          <w:spacing w:val="1"/>
        </w:rPr>
        <w:t xml:space="preserve"> </w:t>
      </w:r>
      <w:r w:rsidRPr="00E3232D">
        <w:rPr>
          <w:rFonts w:ascii="Book Antiqua" w:hAnsi="Book Antiqua"/>
          <w:spacing w:val="2"/>
        </w:rPr>
        <w:t>s</w:t>
      </w:r>
      <w:r w:rsidRPr="00E3232D">
        <w:rPr>
          <w:rFonts w:ascii="Book Antiqua" w:hAnsi="Book Antiqua"/>
          <w:spacing w:val="-1"/>
        </w:rPr>
        <w:t>e</w:t>
      </w:r>
      <w:r w:rsidRPr="00E3232D">
        <w:rPr>
          <w:rFonts w:ascii="Book Antiqua" w:hAnsi="Book Antiqua"/>
        </w:rPr>
        <w:t>le</w:t>
      </w:r>
      <w:r w:rsidRPr="00E3232D">
        <w:rPr>
          <w:rFonts w:ascii="Book Antiqua" w:hAnsi="Book Antiqua"/>
          <w:spacing w:val="-1"/>
        </w:rPr>
        <w:t>c</w:t>
      </w:r>
      <w:r w:rsidRPr="00E3232D">
        <w:rPr>
          <w:rFonts w:ascii="Book Antiqua" w:hAnsi="Book Antiqua"/>
        </w:rPr>
        <w:t>ted po</w:t>
      </w:r>
      <w:r w:rsidRPr="00E3232D">
        <w:rPr>
          <w:rFonts w:ascii="Book Antiqua" w:hAnsi="Book Antiqua"/>
          <w:spacing w:val="3"/>
        </w:rPr>
        <w:t>t</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spacing w:val="6"/>
        </w:rPr>
        <w:t>n</w:t>
      </w:r>
      <w:r w:rsidRPr="00E3232D">
        <w:rPr>
          <w:rFonts w:ascii="Book Antiqua" w:hAnsi="Book Antiqua"/>
        </w:rPr>
        <w:t>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1"/>
        </w:rPr>
        <w:t xml:space="preserve"> </w:t>
      </w:r>
      <w:r w:rsidRPr="00E3232D">
        <w:rPr>
          <w:rFonts w:ascii="Book Antiqua" w:hAnsi="Book Antiqua"/>
        </w:rPr>
        <w:t>b</w:t>
      </w:r>
      <w:r w:rsidRPr="00E3232D">
        <w:rPr>
          <w:rFonts w:ascii="Book Antiqua" w:hAnsi="Book Antiqua"/>
          <w:spacing w:val="2"/>
        </w:rPr>
        <w:t>o</w:t>
      </w:r>
      <w:r w:rsidRPr="00E3232D">
        <w:rPr>
          <w:rFonts w:ascii="Book Antiqua" w:hAnsi="Book Antiqua"/>
        </w:rPr>
        <w:t>r</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w</w:t>
      </w:r>
      <w:r w:rsidRPr="00E3232D">
        <w:rPr>
          <w:rFonts w:ascii="Book Antiqua" w:hAnsi="Book Antiqua"/>
          <w:spacing w:val="-1"/>
        </w:rPr>
        <w:t>e</w:t>
      </w:r>
      <w:r w:rsidRPr="00E3232D">
        <w:rPr>
          <w:rFonts w:ascii="Book Antiqua" w:hAnsi="Book Antiqua"/>
        </w:rPr>
        <w:t>rs</w:t>
      </w:r>
      <w:r w:rsidRPr="00E3232D">
        <w:rPr>
          <w:rFonts w:ascii="Book Antiqua" w:hAnsi="Book Antiqua"/>
          <w:spacing w:val="3"/>
        </w:rPr>
        <w:t xml:space="preserve"> </w:t>
      </w:r>
      <w:r w:rsidRPr="00E3232D">
        <w:rPr>
          <w:rFonts w:ascii="Book Antiqua" w:hAnsi="Book Antiqua"/>
        </w:rPr>
        <w:t>in</w:t>
      </w:r>
      <w:r w:rsidRPr="00E3232D">
        <w:rPr>
          <w:rFonts w:ascii="Book Antiqua" w:hAnsi="Book Antiqua"/>
          <w:spacing w:val="1"/>
        </w:rPr>
        <w:t xml:space="preserve"> </w:t>
      </w:r>
      <w:r w:rsidRPr="00E3232D">
        <w:rPr>
          <w:rFonts w:ascii="Book Antiqua" w:hAnsi="Book Antiqua"/>
        </w:rPr>
        <w:t xml:space="preserve">the </w:t>
      </w:r>
      <w:r w:rsidRPr="00E3232D">
        <w:rPr>
          <w:rFonts w:ascii="Book Antiqua" w:hAnsi="Book Antiqua"/>
          <w:spacing w:val="2"/>
        </w:rPr>
        <w:t>T</w:t>
      </w:r>
      <w:r w:rsidRPr="00E3232D">
        <w:rPr>
          <w:rFonts w:ascii="Book Antiqua" w:hAnsi="Book Antiqua"/>
          <w:spacing w:val="-1"/>
        </w:rPr>
        <w:t>a</w:t>
      </w:r>
      <w:r w:rsidRPr="00E3232D">
        <w:rPr>
          <w:rFonts w:ascii="Book Antiqua" w:hAnsi="Book Antiqua"/>
          <w:spacing w:val="3"/>
        </w:rPr>
        <w:t>m</w:t>
      </w:r>
      <w:r w:rsidRPr="00E3232D">
        <w:rPr>
          <w:rFonts w:ascii="Book Antiqua" w:hAnsi="Book Antiqua"/>
          <w:spacing w:val="-1"/>
        </w:rPr>
        <w:t>a</w:t>
      </w:r>
      <w:r w:rsidRPr="00E3232D">
        <w:rPr>
          <w:rFonts w:ascii="Book Antiqua" w:hAnsi="Book Antiqua"/>
        </w:rPr>
        <w:t>le M</w:t>
      </w:r>
      <w:r w:rsidRPr="00E3232D">
        <w:rPr>
          <w:rFonts w:ascii="Book Antiqua" w:hAnsi="Book Antiqua"/>
          <w:spacing w:val="-1"/>
        </w:rPr>
        <w:t>e</w:t>
      </w:r>
      <w:r w:rsidRPr="00E3232D">
        <w:rPr>
          <w:rFonts w:ascii="Book Antiqua" w:hAnsi="Book Antiqua"/>
        </w:rPr>
        <w:t>tropolis.</w:t>
      </w:r>
      <w:r w:rsidRPr="00E3232D">
        <w:rPr>
          <w:rFonts w:ascii="Book Antiqua" w:hAnsi="Book Antiqua"/>
          <w:spacing w:val="36"/>
        </w:rPr>
        <w:t xml:space="preserve"> </w:t>
      </w:r>
    </w:p>
    <w:p w14:paraId="1DD0A894" w14:textId="77777777" w:rsidR="00BE6599" w:rsidRDefault="001C5D75" w:rsidP="001765F6">
      <w:pPr>
        <w:widowControl w:val="0"/>
        <w:autoSpaceDE w:val="0"/>
        <w:autoSpaceDN w:val="0"/>
        <w:adjustRightInd w:val="0"/>
        <w:ind w:right="78"/>
        <w:jc w:val="both"/>
        <w:rPr>
          <w:rFonts w:ascii="Book Antiqua" w:hAnsi="Book Antiqua"/>
        </w:rPr>
      </w:pP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population</w:t>
      </w:r>
      <w:r w:rsidRPr="00E3232D">
        <w:rPr>
          <w:rFonts w:ascii="Book Antiqua" w:hAnsi="Book Antiqua"/>
          <w:spacing w:val="2"/>
        </w:rPr>
        <w:t xml:space="preserve"> </w:t>
      </w:r>
      <w:r w:rsidRPr="00E3232D">
        <w:rPr>
          <w:rFonts w:ascii="Book Antiqua" w:hAnsi="Book Antiqua"/>
        </w:rPr>
        <w:t>s</w:t>
      </w:r>
      <w:r w:rsidRPr="00E3232D">
        <w:rPr>
          <w:rFonts w:ascii="Book Antiqua" w:hAnsi="Book Antiqua"/>
          <w:spacing w:val="-1"/>
        </w:rPr>
        <w:t>e</w:t>
      </w:r>
      <w:r w:rsidRPr="00E3232D">
        <w:rPr>
          <w:rFonts w:ascii="Book Antiqua" w:hAnsi="Book Antiqua"/>
          <w:spacing w:val="3"/>
        </w:rPr>
        <w:t>l</w:t>
      </w:r>
      <w:r w:rsidRPr="00E3232D">
        <w:rPr>
          <w:rFonts w:ascii="Book Antiqua" w:hAnsi="Book Antiqua"/>
          <w:spacing w:val="-1"/>
        </w:rPr>
        <w:t>ec</w:t>
      </w:r>
      <w:r w:rsidRPr="00E3232D">
        <w:rPr>
          <w:rFonts w:ascii="Book Antiqua" w:hAnsi="Book Antiqua"/>
        </w:rPr>
        <w:t>ted</w:t>
      </w:r>
      <w:r w:rsidRPr="00E3232D">
        <w:rPr>
          <w:rFonts w:ascii="Book Antiqua" w:hAnsi="Book Antiqua"/>
          <w:spacing w:val="6"/>
        </w:rPr>
        <w:t xml:space="preserve"> </w:t>
      </w:r>
      <w:r w:rsidRPr="00E3232D">
        <w:rPr>
          <w:rFonts w:ascii="Book Antiqua" w:hAnsi="Book Antiqua"/>
        </w:rPr>
        <w:t>for</w:t>
      </w:r>
      <w:r w:rsidRPr="00E3232D">
        <w:rPr>
          <w:rFonts w:ascii="Book Antiqua" w:hAnsi="Book Antiqua"/>
          <w:spacing w:val="1"/>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stu</w:t>
      </w:r>
      <w:r w:rsidRPr="00E3232D">
        <w:rPr>
          <w:rFonts w:ascii="Book Antiqua" w:hAnsi="Book Antiqua"/>
          <w:spacing w:val="3"/>
        </w:rPr>
        <w:t>d</w:t>
      </w:r>
      <w:r w:rsidRPr="00E3232D">
        <w:rPr>
          <w:rFonts w:ascii="Book Antiqua" w:hAnsi="Book Antiqua"/>
        </w:rPr>
        <w:t xml:space="preserve">y </w:t>
      </w:r>
      <w:r w:rsidRPr="00E3232D">
        <w:rPr>
          <w:rFonts w:ascii="Book Antiqua" w:hAnsi="Book Antiqua"/>
          <w:spacing w:val="-1"/>
        </w:rPr>
        <w:t>c</w:t>
      </w:r>
      <w:r w:rsidRPr="00E3232D">
        <w:rPr>
          <w:rFonts w:ascii="Book Antiqua" w:hAnsi="Book Antiqua"/>
        </w:rPr>
        <w:t>o</w:t>
      </w:r>
      <w:r w:rsidRPr="00E3232D">
        <w:rPr>
          <w:rFonts w:ascii="Book Antiqua" w:hAnsi="Book Antiqua"/>
          <w:spacing w:val="2"/>
        </w:rPr>
        <w:t>v</w:t>
      </w:r>
      <w:r w:rsidRPr="00E3232D">
        <w:rPr>
          <w:rFonts w:ascii="Book Antiqua" w:hAnsi="Book Antiqua"/>
          <w:spacing w:val="-1"/>
        </w:rPr>
        <w:t>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rPr>
        <w:t>po</w:t>
      </w:r>
      <w:r w:rsidRPr="00E3232D">
        <w:rPr>
          <w:rFonts w:ascii="Book Antiqua" w:hAnsi="Book Antiqua"/>
          <w:spacing w:val="3"/>
        </w:rPr>
        <w:t>t</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4"/>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spacing w:val="2"/>
        </w:rPr>
        <w:t>p</w:t>
      </w:r>
      <w:r w:rsidRPr="00E3232D">
        <w:rPr>
          <w:rFonts w:ascii="Book Antiqua" w:hAnsi="Book Antiqua"/>
        </w:rPr>
        <w:t>r</w:t>
      </w:r>
      <w:r w:rsidRPr="00E3232D">
        <w:rPr>
          <w:rFonts w:ascii="Book Antiqua" w:hAnsi="Book Antiqua"/>
          <w:spacing w:val="-2"/>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spacing w:val="2"/>
        </w:rPr>
        <w:t>o</w:t>
      </w:r>
      <w:r w:rsidRPr="00E3232D">
        <w:rPr>
          <w:rFonts w:ascii="Book Antiqua" w:hAnsi="Book Antiqua"/>
        </w:rPr>
        <w:t>w</w:t>
      </w:r>
      <w:r w:rsidRPr="00E3232D">
        <w:rPr>
          <w:rFonts w:ascii="Book Antiqua" w:hAnsi="Book Antiqua"/>
          <w:spacing w:val="-1"/>
        </w:rPr>
        <w:t>e</w:t>
      </w:r>
      <w:r w:rsidRPr="00E3232D">
        <w:rPr>
          <w:rFonts w:ascii="Book Antiqua" w:hAnsi="Book Antiqua"/>
        </w:rPr>
        <w:t>rs n</w:t>
      </w:r>
      <w:r w:rsidRPr="00E3232D">
        <w:rPr>
          <w:rFonts w:ascii="Book Antiqua" w:hAnsi="Book Antiqua"/>
          <w:spacing w:val="-1"/>
        </w:rPr>
        <w:t>a</w:t>
      </w:r>
      <w:r w:rsidRPr="00E3232D">
        <w:rPr>
          <w:rFonts w:ascii="Book Antiqua" w:hAnsi="Book Antiqua"/>
        </w:rPr>
        <w:t>me</w:t>
      </w:r>
      <w:r w:rsidRPr="00E3232D">
        <w:rPr>
          <w:rFonts w:ascii="Book Antiqua" w:hAnsi="Book Antiqua"/>
          <w:spacing w:val="2"/>
        </w:rPr>
        <w:t>l</w:t>
      </w:r>
      <w:r w:rsidRPr="00E3232D">
        <w:rPr>
          <w:rFonts w:ascii="Book Antiqua" w:hAnsi="Book Antiqua"/>
        </w:rPr>
        <w:t>y</w:t>
      </w:r>
      <w:r w:rsidRPr="00E3232D">
        <w:rPr>
          <w:rFonts w:ascii="Book Antiqua" w:hAnsi="Book Antiqua"/>
          <w:spacing w:val="12"/>
        </w:rPr>
        <w:t xml:space="preserve"> </w:t>
      </w:r>
      <w:r w:rsidRPr="00E3232D">
        <w:rPr>
          <w:rFonts w:ascii="Book Antiqua" w:hAnsi="Book Antiqua"/>
        </w:rPr>
        <w:t>p</w:t>
      </w:r>
      <w:r w:rsidRPr="00E3232D">
        <w:rPr>
          <w:rFonts w:ascii="Book Antiqua" w:hAnsi="Book Antiqua"/>
          <w:spacing w:val="-1"/>
        </w:rPr>
        <w:t>e</w:t>
      </w:r>
      <w:r w:rsidRPr="00E3232D">
        <w:rPr>
          <w:rFonts w:ascii="Book Antiqua" w:hAnsi="Book Antiqua"/>
        </w:rPr>
        <w:t>t</w:t>
      </w:r>
      <w:r w:rsidRPr="00E3232D">
        <w:rPr>
          <w:rFonts w:ascii="Book Antiqua" w:hAnsi="Book Antiqua"/>
          <w:spacing w:val="6"/>
        </w:rPr>
        <w:t>t</w:t>
      </w:r>
      <w:r w:rsidRPr="00E3232D">
        <w:rPr>
          <w:rFonts w:ascii="Book Antiqua" w:hAnsi="Book Antiqua"/>
        </w:rPr>
        <w:t>y</w:t>
      </w:r>
      <w:r w:rsidRPr="00E3232D">
        <w:rPr>
          <w:rFonts w:ascii="Book Antiqua" w:hAnsi="Book Antiqua"/>
          <w:spacing w:val="12"/>
        </w:rPr>
        <w:t xml:space="preserve"> </w:t>
      </w:r>
      <w:r w:rsidRPr="00E3232D">
        <w:rPr>
          <w:rFonts w:ascii="Book Antiqua" w:hAnsi="Book Antiqua"/>
        </w:rPr>
        <w:t>tr</w:t>
      </w:r>
      <w:r w:rsidRPr="00E3232D">
        <w:rPr>
          <w:rFonts w:ascii="Book Antiqua" w:hAnsi="Book Antiqua"/>
          <w:spacing w:val="-1"/>
        </w:rPr>
        <w:t>a</w:t>
      </w:r>
      <w:r w:rsidRPr="00E3232D">
        <w:rPr>
          <w:rFonts w:ascii="Book Antiqua" w:hAnsi="Book Antiqua"/>
        </w:rPr>
        <w:t>di</w:t>
      </w:r>
      <w:r w:rsidRPr="00E3232D">
        <w:rPr>
          <w:rFonts w:ascii="Book Antiqua" w:hAnsi="Book Antiqua"/>
          <w:spacing w:val="3"/>
        </w:rPr>
        <w:t>n</w:t>
      </w:r>
      <w:r w:rsidRPr="00E3232D">
        <w:rPr>
          <w:rFonts w:ascii="Book Antiqua" w:hAnsi="Book Antiqua"/>
          <w:spacing w:val="-2"/>
        </w:rPr>
        <w:t>g</w:t>
      </w:r>
      <w:r w:rsidRPr="00E3232D">
        <w:rPr>
          <w:rFonts w:ascii="Book Antiqua" w:hAnsi="Book Antiqua"/>
        </w:rPr>
        <w:t>,</w:t>
      </w:r>
      <w:r w:rsidRPr="00E3232D">
        <w:rPr>
          <w:rFonts w:ascii="Book Antiqua" w:hAnsi="Book Antiqua"/>
          <w:spacing w:val="17"/>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w:t>
      </w:r>
      <w:r w:rsidRPr="00E3232D">
        <w:rPr>
          <w:rFonts w:ascii="Book Antiqua" w:hAnsi="Book Antiqua"/>
          <w:spacing w:val="-1"/>
        </w:rPr>
        <w:t>ce</w:t>
      </w:r>
      <w:r w:rsidRPr="00E3232D">
        <w:rPr>
          <w:rFonts w:ascii="Book Antiqua" w:hAnsi="Book Antiqua"/>
        </w:rPr>
        <w:t>ss</w:t>
      </w:r>
      <w:r w:rsidRPr="00E3232D">
        <w:rPr>
          <w:rFonts w:ascii="Book Antiqua" w:hAnsi="Book Antiqua"/>
          <w:spacing w:val="1"/>
        </w:rPr>
        <w:t>i</w:t>
      </w:r>
      <w:r w:rsidRPr="00E3232D">
        <w:rPr>
          <w:rFonts w:ascii="Book Antiqua" w:hAnsi="Book Antiqua"/>
        </w:rPr>
        <w:t>ng</w:t>
      </w:r>
      <w:r w:rsidRPr="00E3232D">
        <w:rPr>
          <w:rFonts w:ascii="Book Antiqua" w:hAnsi="Book Antiqua"/>
          <w:spacing w:val="14"/>
        </w:rPr>
        <w:t xml:space="preserve"> </w:t>
      </w:r>
      <w:r w:rsidRPr="00E3232D">
        <w:rPr>
          <w:rFonts w:ascii="Book Antiqua" w:hAnsi="Book Antiqua"/>
          <w:spacing w:val="1"/>
        </w:rPr>
        <w:t>(</w:t>
      </w:r>
      <w:r w:rsidRPr="00E3232D">
        <w:rPr>
          <w:rFonts w:ascii="Book Antiqua" w:hAnsi="Book Antiqua"/>
        </w:rPr>
        <w:t>ri</w:t>
      </w:r>
      <w:r w:rsidRPr="00E3232D">
        <w:rPr>
          <w:rFonts w:ascii="Book Antiqua" w:hAnsi="Book Antiqua"/>
          <w:spacing w:val="-1"/>
        </w:rPr>
        <w:t>c</w:t>
      </w:r>
      <w:r w:rsidRPr="00E3232D">
        <w:rPr>
          <w:rFonts w:ascii="Book Antiqua" w:hAnsi="Book Antiqua"/>
        </w:rPr>
        <w:t>e</w:t>
      </w:r>
      <w:r w:rsidRPr="00E3232D">
        <w:rPr>
          <w:rFonts w:ascii="Book Antiqua" w:hAnsi="Book Antiqua"/>
          <w:spacing w:val="16"/>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7"/>
        </w:rPr>
        <w:t xml:space="preserve"> </w:t>
      </w:r>
      <w:r w:rsidRPr="00E3232D">
        <w:rPr>
          <w:rFonts w:ascii="Book Antiqua" w:hAnsi="Book Antiqua"/>
        </w:rPr>
        <w:t>oi</w:t>
      </w:r>
      <w:r w:rsidRPr="00E3232D">
        <w:rPr>
          <w:rFonts w:ascii="Book Antiqua" w:hAnsi="Book Antiqua"/>
          <w:spacing w:val="1"/>
        </w:rPr>
        <w:t>l</w:t>
      </w:r>
      <w:r w:rsidRPr="00E3232D">
        <w:rPr>
          <w:rFonts w:ascii="Book Antiqua" w:hAnsi="Book Antiqua"/>
        </w:rPr>
        <w:t>),</w:t>
      </w:r>
      <w:r w:rsidRPr="00E3232D">
        <w:rPr>
          <w:rFonts w:ascii="Book Antiqua" w:hAnsi="Book Antiqua"/>
          <w:spacing w:val="16"/>
        </w:rPr>
        <w:t xml:space="preserve"> </w:t>
      </w:r>
      <w:r w:rsidRPr="00E3232D">
        <w:rPr>
          <w:rFonts w:ascii="Book Antiqua" w:hAnsi="Book Antiqua"/>
          <w:spacing w:val="1"/>
        </w:rPr>
        <w:t>F</w:t>
      </w:r>
      <w:r w:rsidRPr="00E3232D">
        <w:rPr>
          <w:rFonts w:ascii="Book Antiqua" w:hAnsi="Book Antiqua"/>
          <w:spacing w:val="-1"/>
        </w:rPr>
        <w:t>a</w:t>
      </w:r>
      <w:r w:rsidRPr="00E3232D">
        <w:rPr>
          <w:rFonts w:ascii="Book Antiqua" w:hAnsi="Book Antiqua"/>
        </w:rPr>
        <w:t>rmin</w:t>
      </w:r>
      <w:r w:rsidRPr="00E3232D">
        <w:rPr>
          <w:rFonts w:ascii="Book Antiqua" w:hAnsi="Book Antiqua"/>
          <w:spacing w:val="-2"/>
        </w:rPr>
        <w:t>g</w:t>
      </w:r>
      <w:r w:rsidRPr="00E3232D">
        <w:rPr>
          <w:rFonts w:ascii="Book Antiqua" w:hAnsi="Book Antiqua"/>
        </w:rPr>
        <w:t>,</w:t>
      </w:r>
      <w:r w:rsidRPr="00E3232D">
        <w:rPr>
          <w:rFonts w:ascii="Book Antiqua" w:hAnsi="Book Antiqua"/>
          <w:spacing w:val="17"/>
        </w:rPr>
        <w:t xml:space="preserve"> </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wk</w:t>
      </w:r>
      <w:r w:rsidRPr="00E3232D">
        <w:rPr>
          <w:rFonts w:ascii="Book Antiqua" w:hAnsi="Book Antiqua"/>
          <w:spacing w:val="-1"/>
        </w:rPr>
        <w:t>e</w:t>
      </w:r>
      <w:r w:rsidRPr="00E3232D">
        <w:rPr>
          <w:rFonts w:ascii="Book Antiqua" w:hAnsi="Book Antiqua"/>
        </w:rPr>
        <w:t>rs</w:t>
      </w:r>
      <w:r w:rsidRPr="00E3232D">
        <w:rPr>
          <w:rFonts w:ascii="Book Antiqua" w:hAnsi="Book Antiqua"/>
          <w:spacing w:val="16"/>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7"/>
        </w:rPr>
        <w:t xml:space="preserve"> </w:t>
      </w:r>
      <w:r w:rsidRPr="00E3232D">
        <w:rPr>
          <w:rFonts w:ascii="Book Antiqua" w:hAnsi="Book Antiqua"/>
        </w:rPr>
        <w:t>C</w:t>
      </w:r>
      <w:r w:rsidRPr="00E3232D">
        <w:rPr>
          <w:rFonts w:ascii="Book Antiqua" w:hAnsi="Book Antiqua"/>
          <w:spacing w:val="1"/>
        </w:rPr>
        <w:t>a</w:t>
      </w:r>
      <w:r w:rsidRPr="00E3232D">
        <w:rPr>
          <w:rFonts w:ascii="Book Antiqua" w:hAnsi="Book Antiqua"/>
        </w:rPr>
        <w:t>rp</w:t>
      </w:r>
      <w:r w:rsidRPr="00E3232D">
        <w:rPr>
          <w:rFonts w:ascii="Book Antiqua" w:hAnsi="Book Antiqua"/>
          <w:spacing w:val="-2"/>
        </w:rPr>
        <w:t>e</w:t>
      </w:r>
      <w:r w:rsidRPr="00E3232D">
        <w:rPr>
          <w:rFonts w:ascii="Book Antiqua" w:hAnsi="Book Antiqua"/>
        </w:rPr>
        <w:t>n</w:t>
      </w:r>
      <w:r w:rsidRPr="00E3232D">
        <w:rPr>
          <w:rFonts w:ascii="Book Antiqua" w:hAnsi="Book Antiqua"/>
          <w:spacing w:val="7"/>
        </w:rPr>
        <w:t>t</w:t>
      </w:r>
      <w:r w:rsidRPr="00E3232D">
        <w:rPr>
          <w:rFonts w:ascii="Book Antiqua" w:hAnsi="Book Antiqua"/>
          <w:spacing w:val="-1"/>
        </w:rPr>
        <w:t>e</w:t>
      </w:r>
      <w:r w:rsidRPr="00E3232D">
        <w:rPr>
          <w:rFonts w:ascii="Book Antiqua" w:hAnsi="Book Antiqua"/>
        </w:rPr>
        <w:t>rs</w:t>
      </w:r>
      <w:r w:rsidRPr="00E3232D">
        <w:rPr>
          <w:rFonts w:ascii="Book Antiqua" w:hAnsi="Book Antiqua"/>
          <w:spacing w:val="17"/>
        </w:rPr>
        <w:t xml:space="preserve"> </w:t>
      </w:r>
      <w:r w:rsidRPr="00E3232D">
        <w:rPr>
          <w:rFonts w:ascii="Book Antiqua" w:hAnsi="Book Antiqua"/>
        </w:rPr>
        <w:t xml:space="preserve">found in </w:t>
      </w:r>
      <w:r w:rsidRPr="00E3232D">
        <w:rPr>
          <w:rFonts w:ascii="Book Antiqua" w:hAnsi="Book Antiqua"/>
          <w:spacing w:val="1"/>
        </w:rPr>
        <w:t>t</w:t>
      </w:r>
      <w:r w:rsidRPr="00E3232D">
        <w:rPr>
          <w:rFonts w:ascii="Book Antiqua" w:hAnsi="Book Antiqua"/>
        </w:rPr>
        <w:t>he</w:t>
      </w:r>
      <w:r w:rsidRPr="00E3232D">
        <w:rPr>
          <w:rFonts w:ascii="Book Antiqua" w:hAnsi="Book Antiqua"/>
          <w:spacing w:val="-1"/>
        </w:rPr>
        <w:t xml:space="preserve"> </w:t>
      </w:r>
      <w:r w:rsidRPr="00E3232D">
        <w:rPr>
          <w:rFonts w:ascii="Book Antiqua" w:hAnsi="Book Antiqua"/>
        </w:rPr>
        <w:t>T</w:t>
      </w:r>
      <w:r w:rsidRPr="00E3232D">
        <w:rPr>
          <w:rFonts w:ascii="Book Antiqua" w:hAnsi="Book Antiqua"/>
          <w:spacing w:val="-1"/>
        </w:rPr>
        <w:t>a</w:t>
      </w:r>
      <w:r w:rsidRPr="00E3232D">
        <w:rPr>
          <w:rFonts w:ascii="Book Antiqua" w:hAnsi="Book Antiqua"/>
        </w:rPr>
        <w:t>male</w:t>
      </w:r>
      <w:r w:rsidRPr="00E3232D">
        <w:rPr>
          <w:rFonts w:ascii="Book Antiqua" w:hAnsi="Book Antiqua"/>
          <w:spacing w:val="-1"/>
        </w:rPr>
        <w:t xml:space="preserve"> </w:t>
      </w:r>
      <w:r w:rsidRPr="00E3232D">
        <w:rPr>
          <w:rFonts w:ascii="Book Antiqua" w:hAnsi="Book Antiqua"/>
        </w:rPr>
        <w:t>met</w:t>
      </w:r>
      <w:r w:rsidRPr="00E3232D">
        <w:rPr>
          <w:rFonts w:ascii="Book Antiqua" w:hAnsi="Book Antiqua"/>
          <w:spacing w:val="-1"/>
        </w:rPr>
        <w:t>r</w:t>
      </w:r>
      <w:r w:rsidRPr="00E3232D">
        <w:rPr>
          <w:rFonts w:ascii="Book Antiqua" w:hAnsi="Book Antiqua"/>
        </w:rPr>
        <w:t>opol</w:t>
      </w:r>
      <w:r w:rsidRPr="00E3232D">
        <w:rPr>
          <w:rFonts w:ascii="Book Antiqua" w:hAnsi="Book Antiqua"/>
          <w:spacing w:val="2"/>
        </w:rPr>
        <w:t>i</w:t>
      </w:r>
      <w:r w:rsidRPr="00E3232D">
        <w:rPr>
          <w:rFonts w:ascii="Book Antiqua" w:hAnsi="Book Antiqua"/>
        </w:rPr>
        <w:t xml:space="preserve">tan </w:t>
      </w:r>
      <w:r w:rsidRPr="00E3232D">
        <w:rPr>
          <w:rFonts w:ascii="Book Antiqua" w:hAnsi="Book Antiqua"/>
          <w:spacing w:val="-1"/>
        </w:rPr>
        <w:t>a</w:t>
      </w:r>
      <w:r w:rsidRPr="00E3232D">
        <w:rPr>
          <w:rFonts w:ascii="Book Antiqua" w:hAnsi="Book Antiqua"/>
        </w:rPr>
        <w:t>re</w:t>
      </w:r>
      <w:r w:rsidRPr="00E3232D">
        <w:rPr>
          <w:rFonts w:ascii="Book Antiqua" w:hAnsi="Book Antiqua"/>
          <w:spacing w:val="-1"/>
        </w:rPr>
        <w:t>a</w:t>
      </w:r>
      <w:r w:rsidRPr="00E3232D">
        <w:rPr>
          <w:rFonts w:ascii="Book Antiqua" w:hAnsi="Book Antiqua"/>
        </w:rPr>
        <w:t>.</w:t>
      </w:r>
    </w:p>
    <w:p w14:paraId="68E00736" w14:textId="77777777" w:rsidR="001C5D75" w:rsidRPr="00E3232D" w:rsidRDefault="001C5D75" w:rsidP="00465AE3">
      <w:pPr>
        <w:widowControl w:val="0"/>
        <w:autoSpaceDE w:val="0"/>
        <w:autoSpaceDN w:val="0"/>
        <w:adjustRightInd w:val="0"/>
        <w:ind w:right="76"/>
        <w:jc w:val="both"/>
        <w:rPr>
          <w:rFonts w:ascii="Book Antiqua" w:hAnsi="Book Antiqua"/>
        </w:rPr>
      </w:pPr>
      <w:r w:rsidRPr="00E3232D">
        <w:rPr>
          <w:rFonts w:ascii="Book Antiqua" w:hAnsi="Book Antiqua"/>
        </w:rPr>
        <w:t>A</w:t>
      </w:r>
      <w:r w:rsidRPr="00E3232D">
        <w:rPr>
          <w:rFonts w:ascii="Book Antiqua" w:hAnsi="Book Antiqua"/>
          <w:spacing w:val="1"/>
        </w:rPr>
        <w:t xml:space="preserve"> </w:t>
      </w:r>
      <w:r w:rsidRPr="00E3232D">
        <w:rPr>
          <w:rFonts w:ascii="Book Antiqua" w:hAnsi="Book Antiqua"/>
        </w:rPr>
        <w:t>s</w:t>
      </w:r>
      <w:r w:rsidRPr="00E3232D">
        <w:rPr>
          <w:rFonts w:ascii="Book Antiqua" w:hAnsi="Book Antiqua"/>
          <w:spacing w:val="-1"/>
        </w:rPr>
        <w:t>a</w:t>
      </w:r>
      <w:r w:rsidRPr="00E3232D">
        <w:rPr>
          <w:rFonts w:ascii="Book Antiqua" w:hAnsi="Book Antiqua"/>
        </w:rPr>
        <w:t>mp</w:t>
      </w:r>
      <w:r w:rsidRPr="00E3232D">
        <w:rPr>
          <w:rFonts w:ascii="Book Antiqua" w:hAnsi="Book Antiqua"/>
          <w:spacing w:val="1"/>
        </w:rPr>
        <w:t>l</w:t>
      </w:r>
      <w:r w:rsidRPr="00E3232D">
        <w:rPr>
          <w:rFonts w:ascii="Book Antiqua" w:hAnsi="Book Antiqua"/>
        </w:rPr>
        <w:t>e</w:t>
      </w:r>
      <w:r w:rsidRPr="00E3232D">
        <w:rPr>
          <w:rFonts w:ascii="Book Antiqua" w:hAnsi="Book Antiqua"/>
          <w:spacing w:val="1"/>
        </w:rPr>
        <w:t xml:space="preserve"> s</w:t>
      </w:r>
      <w:r w:rsidRPr="00E3232D">
        <w:rPr>
          <w:rFonts w:ascii="Book Antiqua" w:hAnsi="Book Antiqua"/>
        </w:rPr>
        <w:t>i</w:t>
      </w:r>
      <w:r w:rsidRPr="00E3232D">
        <w:rPr>
          <w:rFonts w:ascii="Book Antiqua" w:hAnsi="Book Antiqua"/>
          <w:spacing w:val="2"/>
        </w:rPr>
        <w:t>z</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of</w:t>
      </w:r>
      <w:r w:rsidRPr="00E3232D">
        <w:rPr>
          <w:rFonts w:ascii="Book Antiqua" w:hAnsi="Book Antiqua"/>
          <w:spacing w:val="1"/>
        </w:rPr>
        <w:t xml:space="preserve"> </w:t>
      </w:r>
      <w:r w:rsidRPr="00E3232D">
        <w:rPr>
          <w:rFonts w:ascii="Book Antiqua" w:hAnsi="Book Antiqua"/>
        </w:rPr>
        <w:t>four hund</w:t>
      </w:r>
      <w:r w:rsidRPr="00E3232D">
        <w:rPr>
          <w:rFonts w:ascii="Book Antiqua" w:hAnsi="Book Antiqua"/>
          <w:spacing w:val="-1"/>
        </w:rPr>
        <w:t>re</w:t>
      </w:r>
      <w:r w:rsidRPr="00E3232D">
        <w:rPr>
          <w:rFonts w:ascii="Book Antiqua" w:hAnsi="Book Antiqua"/>
        </w:rPr>
        <w:t>d</w:t>
      </w:r>
      <w:r w:rsidRPr="00E3232D">
        <w:rPr>
          <w:rFonts w:ascii="Book Antiqua" w:hAnsi="Book Antiqua"/>
          <w:spacing w:val="3"/>
        </w:rPr>
        <w:t xml:space="preserve"> </w:t>
      </w:r>
      <w:r w:rsidRPr="00E3232D">
        <w:rPr>
          <w:rFonts w:ascii="Book Antiqua" w:hAnsi="Book Antiqua"/>
          <w:spacing w:val="-1"/>
        </w:rPr>
        <w:t>(</w:t>
      </w:r>
      <w:r w:rsidRPr="00E3232D">
        <w:rPr>
          <w:rFonts w:ascii="Book Antiqua" w:hAnsi="Book Antiqua"/>
        </w:rPr>
        <w:t>400)</w:t>
      </w:r>
      <w:r w:rsidRPr="00E3232D">
        <w:rPr>
          <w:rFonts w:ascii="Book Antiqua" w:hAnsi="Book Antiqua"/>
          <w:spacing w:val="1"/>
        </w:rPr>
        <w:t xml:space="preserve"> </w:t>
      </w:r>
      <w:r w:rsidRPr="00E3232D">
        <w:rPr>
          <w:rFonts w:ascii="Book Antiqua" w:hAnsi="Book Antiqua"/>
          <w:spacing w:val="2"/>
        </w:rPr>
        <w:t>w</w:t>
      </w:r>
      <w:r w:rsidRPr="00E3232D">
        <w:rPr>
          <w:rFonts w:ascii="Book Antiqua" w:hAnsi="Book Antiqua"/>
          <w:spacing w:val="-1"/>
        </w:rPr>
        <w:t>a</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o</w:t>
      </w:r>
      <w:r w:rsidRPr="00E3232D">
        <w:rPr>
          <w:rFonts w:ascii="Book Antiqua" w:hAnsi="Book Antiqua"/>
        </w:rPr>
        <w:t>s</w:t>
      </w:r>
      <w:r w:rsidRPr="00E3232D">
        <w:rPr>
          <w:rFonts w:ascii="Book Antiqua" w:hAnsi="Book Antiqua"/>
          <w:spacing w:val="-1"/>
        </w:rPr>
        <w:t>e</w:t>
      </w:r>
      <w:r w:rsidRPr="00E3232D">
        <w:rPr>
          <w:rFonts w:ascii="Book Antiqua" w:hAnsi="Book Antiqua"/>
        </w:rPr>
        <w:t>n</w:t>
      </w:r>
      <w:r w:rsidRPr="00E3232D">
        <w:rPr>
          <w:rFonts w:ascii="Book Antiqua" w:hAnsi="Book Antiqua"/>
          <w:spacing w:val="4"/>
        </w:rPr>
        <w:t xml:space="preserve"> </w:t>
      </w:r>
      <w:r w:rsidRPr="00E3232D">
        <w:rPr>
          <w:rFonts w:ascii="Book Antiqua" w:hAnsi="Book Antiqua"/>
          <w:spacing w:val="1"/>
        </w:rPr>
        <w:t>f</w:t>
      </w:r>
      <w:r w:rsidRPr="00E3232D">
        <w:rPr>
          <w:rFonts w:ascii="Book Antiqua" w:hAnsi="Book Antiqua"/>
        </w:rPr>
        <w:t>rom</w:t>
      </w:r>
      <w:r w:rsidRPr="00E3232D">
        <w:rPr>
          <w:rFonts w:ascii="Book Antiqua" w:hAnsi="Book Antiqua"/>
          <w:spacing w:val="1"/>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1"/>
        </w:rPr>
        <w:t>t</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number of</w:t>
      </w:r>
      <w:r w:rsidRPr="00E3232D">
        <w:rPr>
          <w:rFonts w:ascii="Book Antiqua" w:hAnsi="Book Antiqua"/>
          <w:spacing w:val="1"/>
        </w:rPr>
        <w:t xml:space="preserve"> </w:t>
      </w:r>
      <w:r w:rsidRPr="00E3232D">
        <w:rPr>
          <w:rFonts w:ascii="Book Antiqua" w:hAnsi="Book Antiqua"/>
        </w:rPr>
        <w:t>1,530</w:t>
      </w:r>
      <w:r w:rsidRPr="00E3232D">
        <w:rPr>
          <w:rFonts w:ascii="Book Antiqua" w:hAnsi="Book Antiqua"/>
          <w:spacing w:val="5"/>
        </w:rPr>
        <w:t xml:space="preserve"> </w:t>
      </w:r>
      <w:r w:rsidRPr="00E3232D">
        <w:rPr>
          <w:rFonts w:ascii="Book Antiqua" w:hAnsi="Book Antiqua"/>
        </w:rPr>
        <w:t>potential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b</w:t>
      </w:r>
      <w:r w:rsidRPr="00E3232D">
        <w:rPr>
          <w:rFonts w:ascii="Book Antiqua" w:hAnsi="Book Antiqua"/>
          <w:spacing w:val="2"/>
        </w:rPr>
        <w:t>o</w:t>
      </w:r>
      <w:r w:rsidRPr="00E3232D">
        <w:rPr>
          <w:rFonts w:ascii="Book Antiqua" w:hAnsi="Book Antiqua"/>
        </w:rPr>
        <w:t>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rPr>
        <w:t>in</w:t>
      </w:r>
      <w:r w:rsidRPr="00E3232D">
        <w:rPr>
          <w:rFonts w:ascii="Book Antiqua" w:hAnsi="Book Antiqua"/>
          <w:spacing w:val="2"/>
        </w:rPr>
        <w:t xml:space="preserve"> </w:t>
      </w:r>
      <w:r w:rsidRPr="00E3232D">
        <w:rPr>
          <w:rFonts w:ascii="Book Antiqua" w:hAnsi="Book Antiqua"/>
        </w:rPr>
        <w:t>T</w:t>
      </w:r>
      <w:r w:rsidRPr="00E3232D">
        <w:rPr>
          <w:rFonts w:ascii="Book Antiqua" w:hAnsi="Book Antiqua"/>
          <w:spacing w:val="-1"/>
        </w:rPr>
        <w:t>a</w:t>
      </w:r>
      <w:r w:rsidRPr="00E3232D">
        <w:rPr>
          <w:rFonts w:ascii="Book Antiqua" w:hAnsi="Book Antiqua"/>
        </w:rPr>
        <w:t>male Met</w:t>
      </w:r>
      <w:r w:rsidRPr="00E3232D">
        <w:rPr>
          <w:rFonts w:ascii="Book Antiqua" w:hAnsi="Book Antiqua"/>
          <w:spacing w:val="1"/>
        </w:rPr>
        <w:t>r</w:t>
      </w:r>
      <w:r w:rsidRPr="00E3232D">
        <w:rPr>
          <w:rFonts w:ascii="Book Antiqua" w:hAnsi="Book Antiqua"/>
        </w:rPr>
        <w:t>opol</w:t>
      </w:r>
      <w:r w:rsidRPr="00E3232D">
        <w:rPr>
          <w:rFonts w:ascii="Book Antiqua" w:hAnsi="Book Antiqua"/>
          <w:spacing w:val="1"/>
        </w:rPr>
        <w:t>i</w:t>
      </w:r>
      <w:r w:rsidRPr="00E3232D">
        <w:rPr>
          <w:rFonts w:ascii="Book Antiqua" w:hAnsi="Book Antiqua"/>
        </w:rPr>
        <w:t>tan</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e</w:t>
      </w:r>
      <w:r w:rsidRPr="00E3232D">
        <w:rPr>
          <w:rFonts w:ascii="Book Antiqua" w:hAnsi="Book Antiqua"/>
          <w:spacing w:val="2"/>
        </w:rPr>
        <w:t>a</w:t>
      </w:r>
      <w:r w:rsidRPr="00E3232D">
        <w:rPr>
          <w:rFonts w:ascii="Book Antiqua" w:hAnsi="Book Antiqua"/>
        </w:rPr>
        <w:t>.</w:t>
      </w:r>
      <w:r w:rsidRPr="00E3232D">
        <w:rPr>
          <w:rFonts w:ascii="Book Antiqua" w:hAnsi="Book Antiqua"/>
          <w:spacing w:val="1"/>
        </w:rPr>
        <w:t xml:space="preserve"> </w:t>
      </w:r>
      <w:r w:rsidRPr="00E3232D">
        <w:rPr>
          <w:rFonts w:ascii="Book Antiqua" w:hAnsi="Book Antiqua"/>
          <w:spacing w:val="-2"/>
        </w:rPr>
        <w:t>B</w:t>
      </w:r>
      <w:r w:rsidRPr="00E3232D">
        <w:rPr>
          <w:rFonts w:ascii="Book Antiqua" w:hAnsi="Book Antiqua"/>
        </w:rPr>
        <w:t>ut</w:t>
      </w:r>
      <w:r w:rsidRPr="00E3232D">
        <w:rPr>
          <w:rFonts w:ascii="Book Antiqua" w:hAnsi="Book Antiqua"/>
          <w:spacing w:val="2"/>
        </w:rPr>
        <w:t xml:space="preserve"> </w:t>
      </w:r>
      <w:r w:rsidRPr="00E3232D">
        <w:rPr>
          <w:rFonts w:ascii="Book Antiqua" w:hAnsi="Book Antiqua"/>
        </w:rPr>
        <w:t>th</w:t>
      </w:r>
      <w:r w:rsidRPr="00E3232D">
        <w:rPr>
          <w:rFonts w:ascii="Book Antiqua" w:hAnsi="Book Antiqua"/>
          <w:spacing w:val="1"/>
        </w:rPr>
        <w:t>i</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rPr>
        <w:t>w</w:t>
      </w:r>
      <w:r w:rsidRPr="00E3232D">
        <w:rPr>
          <w:rFonts w:ascii="Book Antiqua" w:hAnsi="Book Antiqua"/>
          <w:spacing w:val="-1"/>
        </w:rPr>
        <w:t>a</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rPr>
        <w:t>c</w:t>
      </w:r>
      <w:r w:rsidRPr="00E3232D">
        <w:rPr>
          <w:rFonts w:ascii="Book Antiqua" w:hAnsi="Book Antiqua"/>
        </w:rPr>
        <w:t>onsid</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d s</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sf</w:t>
      </w:r>
      <w:r w:rsidRPr="00E3232D">
        <w:rPr>
          <w:rFonts w:ascii="Book Antiqua" w:hAnsi="Book Antiqua"/>
          <w:spacing w:val="-1"/>
        </w:rPr>
        <w:t>ac</w:t>
      </w:r>
      <w:r w:rsidRPr="00E3232D">
        <w:rPr>
          <w:rFonts w:ascii="Book Antiqua" w:hAnsi="Book Antiqua"/>
        </w:rPr>
        <w:t>to</w:t>
      </w:r>
      <w:r w:rsidRPr="00E3232D">
        <w:rPr>
          <w:rFonts w:ascii="Book Antiqua" w:hAnsi="Book Antiqua"/>
          <w:spacing w:val="4"/>
        </w:rPr>
        <w:t>r</w:t>
      </w:r>
      <w:r w:rsidRPr="00E3232D">
        <w:rPr>
          <w:rFonts w:ascii="Book Antiqua" w:hAnsi="Book Antiqua"/>
        </w:rPr>
        <w:t>y b</w:t>
      </w:r>
      <w:r w:rsidRPr="00E3232D">
        <w:rPr>
          <w:rFonts w:ascii="Book Antiqua" w:hAnsi="Book Antiqua"/>
          <w:spacing w:val="1"/>
        </w:rPr>
        <w:t>e</w:t>
      </w:r>
      <w:r w:rsidRPr="00E3232D">
        <w:rPr>
          <w:rFonts w:ascii="Book Antiqua" w:hAnsi="Book Antiqua"/>
          <w:spacing w:val="-1"/>
        </w:rPr>
        <w:t>ca</w:t>
      </w:r>
      <w:r w:rsidRPr="00E3232D">
        <w:rPr>
          <w:rFonts w:ascii="Book Antiqua" w:hAnsi="Book Antiqua"/>
        </w:rPr>
        <w:t>use</w:t>
      </w:r>
      <w:r w:rsidRPr="00E3232D">
        <w:rPr>
          <w:rFonts w:ascii="Book Antiqua" w:hAnsi="Book Antiqua"/>
          <w:spacing w:val="6"/>
        </w:rPr>
        <w:t xml:space="preserve"> </w:t>
      </w:r>
      <w:r w:rsidRPr="00E3232D">
        <w:rPr>
          <w:rFonts w:ascii="Book Antiqua" w:hAnsi="Book Antiqua"/>
          <w:spacing w:val="-1"/>
        </w:rPr>
        <w:t>a</w:t>
      </w:r>
      <w:r w:rsidRPr="00E3232D">
        <w:rPr>
          <w:rFonts w:ascii="Book Antiqua" w:hAnsi="Book Antiqua"/>
        </w:rPr>
        <w:t>ll</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rPr>
        <w:t>them</w:t>
      </w:r>
      <w:r w:rsidRPr="00E3232D">
        <w:rPr>
          <w:rFonts w:ascii="Book Antiqua" w:hAnsi="Book Antiqua"/>
          <w:spacing w:val="4"/>
        </w:rPr>
        <w:t xml:space="preserve"> </w:t>
      </w:r>
      <w:r w:rsidRPr="00E3232D">
        <w:rPr>
          <w:rFonts w:ascii="Book Antiqua" w:hAnsi="Book Antiqua"/>
          <w:spacing w:val="-1"/>
        </w:rPr>
        <w:t>a</w:t>
      </w:r>
      <w:r w:rsidRPr="00E3232D">
        <w:rPr>
          <w:rFonts w:ascii="Book Antiqua" w:hAnsi="Book Antiqua"/>
        </w:rPr>
        <w:t>pp</w:t>
      </w:r>
      <w:r w:rsidRPr="00E3232D">
        <w:rPr>
          <w:rFonts w:ascii="Book Antiqua" w:hAnsi="Book Antiqua"/>
          <w:spacing w:val="-1"/>
        </w:rPr>
        <w:t>e</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e</w:t>
      </w:r>
      <w:r w:rsidRPr="00E3232D">
        <w:rPr>
          <w:rFonts w:ascii="Book Antiqua" w:hAnsi="Book Antiqua"/>
        </w:rPr>
        <w:t>d</w:t>
      </w:r>
      <w:r w:rsidRPr="00E3232D">
        <w:rPr>
          <w:rFonts w:ascii="Book Antiqua" w:hAnsi="Book Antiqua"/>
          <w:spacing w:val="4"/>
        </w:rPr>
        <w:t xml:space="preserve"> </w:t>
      </w:r>
      <w:r w:rsidRPr="00E3232D">
        <w:rPr>
          <w:rFonts w:ascii="Book Antiqua" w:hAnsi="Book Antiqua"/>
        </w:rPr>
        <w:t>hom</w:t>
      </w:r>
      <w:r w:rsidRPr="00E3232D">
        <w:rPr>
          <w:rFonts w:ascii="Book Antiqua" w:hAnsi="Book Antiqua"/>
          <w:spacing w:val="3"/>
        </w:rPr>
        <w:t>o</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nous</w:t>
      </w:r>
      <w:r w:rsidRPr="00E3232D">
        <w:rPr>
          <w:rFonts w:ascii="Book Antiqua" w:hAnsi="Book Antiqua"/>
          <w:spacing w:val="5"/>
        </w:rPr>
        <w:t xml:space="preserve"> </w:t>
      </w:r>
      <w:r w:rsidRPr="00E3232D">
        <w:rPr>
          <w:rFonts w:ascii="Book Antiqua" w:hAnsi="Book Antiqua"/>
        </w:rPr>
        <w:t>in</w:t>
      </w:r>
      <w:r w:rsidRPr="00E3232D">
        <w:rPr>
          <w:rFonts w:ascii="Book Antiqua" w:hAnsi="Book Antiqua"/>
          <w:spacing w:val="5"/>
        </w:rPr>
        <w:t xml:space="preserve"> </w:t>
      </w:r>
      <w:r w:rsidRPr="00E3232D">
        <w:rPr>
          <w:rFonts w:ascii="Book Antiqua" w:hAnsi="Book Antiqua"/>
        </w:rPr>
        <w:t>ma</w:t>
      </w:r>
      <w:r w:rsidRPr="00E3232D">
        <w:rPr>
          <w:rFonts w:ascii="Book Antiqua" w:hAnsi="Book Antiqua"/>
          <w:spacing w:val="4"/>
        </w:rPr>
        <w:t>n</w:t>
      </w:r>
      <w:r w:rsidRPr="00E3232D">
        <w:rPr>
          <w:rFonts w:ascii="Book Antiqua" w:hAnsi="Book Antiqua"/>
        </w:rPr>
        <w:t>y</w:t>
      </w:r>
      <w:r w:rsidRPr="00E3232D">
        <w:rPr>
          <w:rFonts w:ascii="Book Antiqua" w:hAnsi="Book Antiqua"/>
          <w:spacing w:val="2"/>
        </w:rPr>
        <w:t xml:space="preserv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spacing w:val="1"/>
        </w:rPr>
        <w:t>r</w:t>
      </w:r>
      <w:r w:rsidRPr="00E3232D">
        <w:rPr>
          <w:rFonts w:ascii="Book Antiqua" w:hAnsi="Book Antiqua"/>
          <w:spacing w:val="-1"/>
        </w:rPr>
        <w:t>ac</w:t>
      </w:r>
      <w:r w:rsidRPr="00E3232D">
        <w:rPr>
          <w:rFonts w:ascii="Book Antiqua" w:hAnsi="Book Antiqua"/>
          <w:spacing w:val="3"/>
        </w:rPr>
        <w:t>t</w:t>
      </w:r>
      <w:r w:rsidRPr="00E3232D">
        <w:rPr>
          <w:rFonts w:ascii="Book Antiqua" w:hAnsi="Book Antiqua"/>
          <w:spacing w:val="-1"/>
        </w:rPr>
        <w:t>e</w:t>
      </w:r>
      <w:r w:rsidRPr="00E3232D">
        <w:rPr>
          <w:rFonts w:ascii="Book Antiqua" w:hAnsi="Book Antiqua"/>
        </w:rPr>
        <w:t>rist</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rPr>
        <w:t>such</w:t>
      </w:r>
      <w:r w:rsidRPr="00E3232D">
        <w:rPr>
          <w:rFonts w:ascii="Book Antiqua" w:hAnsi="Book Antiqua"/>
          <w:spacing w:val="4"/>
        </w:rPr>
        <w:t xml:space="preserve"> </w:t>
      </w:r>
      <w:r w:rsidRPr="00E3232D">
        <w:rPr>
          <w:rFonts w:ascii="Book Antiqua" w:hAnsi="Book Antiqua"/>
          <w:spacing w:val="-1"/>
        </w:rPr>
        <w:t>a</w:t>
      </w:r>
      <w:r w:rsidRPr="00E3232D">
        <w:rPr>
          <w:rFonts w:ascii="Book Antiqua" w:hAnsi="Book Antiqua"/>
        </w:rPr>
        <w:t>s own</w:t>
      </w:r>
      <w:r w:rsidRPr="00E3232D">
        <w:rPr>
          <w:rFonts w:ascii="Book Antiqua" w:hAnsi="Book Antiqua"/>
          <w:spacing w:val="-1"/>
        </w:rPr>
        <w:t>e</w:t>
      </w:r>
      <w:r w:rsidRPr="00E3232D">
        <w:rPr>
          <w:rFonts w:ascii="Book Antiqua" w:hAnsi="Book Antiqua"/>
        </w:rPr>
        <w:t>rship of</w:t>
      </w:r>
      <w:r w:rsidRPr="00E3232D">
        <w:rPr>
          <w:rFonts w:ascii="Book Antiqua" w:hAnsi="Book Antiqua"/>
          <w:spacing w:val="-1"/>
        </w:rPr>
        <w:t xml:space="preserve"> </w:t>
      </w:r>
      <w:r w:rsidRPr="00E3232D">
        <w:rPr>
          <w:rFonts w:ascii="Book Antiqua" w:hAnsi="Book Antiqua"/>
        </w:rPr>
        <w:t>busin</w:t>
      </w:r>
      <w:r w:rsidRPr="00E3232D">
        <w:rPr>
          <w:rFonts w:ascii="Book Antiqua" w:hAnsi="Book Antiqua"/>
          <w:spacing w:val="-1"/>
        </w:rPr>
        <w:t>e</w:t>
      </w:r>
      <w:r w:rsidRPr="00E3232D">
        <w:rPr>
          <w:rFonts w:ascii="Book Antiqua" w:hAnsi="Book Antiqua"/>
        </w:rPr>
        <w:t xml:space="preserve">ss, </w:t>
      </w:r>
      <w:r w:rsidRPr="00E3232D">
        <w:rPr>
          <w:rFonts w:ascii="Book Antiqua" w:hAnsi="Book Antiqua"/>
          <w:spacing w:val="2"/>
        </w:rPr>
        <w:t>e</w:t>
      </w:r>
      <w:r w:rsidRPr="00E3232D">
        <w:rPr>
          <w:rFonts w:ascii="Book Antiqua" w:hAnsi="Book Antiqua"/>
        </w:rPr>
        <w:t>du</w:t>
      </w:r>
      <w:r w:rsidRPr="00E3232D">
        <w:rPr>
          <w:rFonts w:ascii="Book Antiqua" w:hAnsi="Book Antiqua"/>
          <w:spacing w:val="-1"/>
        </w:rPr>
        <w:t>ca</w:t>
      </w:r>
      <w:r w:rsidRPr="00E3232D">
        <w:rPr>
          <w:rFonts w:ascii="Book Antiqua" w:hAnsi="Book Antiqua"/>
        </w:rPr>
        <w:t>t</w:t>
      </w:r>
      <w:r w:rsidRPr="00E3232D">
        <w:rPr>
          <w:rFonts w:ascii="Book Antiqua" w:hAnsi="Book Antiqua"/>
          <w:spacing w:val="1"/>
        </w:rPr>
        <w:t>i</w:t>
      </w:r>
      <w:r w:rsidRPr="00E3232D">
        <w:rPr>
          <w:rFonts w:ascii="Book Antiqua" w:hAnsi="Book Antiqua"/>
        </w:rPr>
        <w:t>on b</w:t>
      </w:r>
      <w:r w:rsidRPr="00E3232D">
        <w:rPr>
          <w:rFonts w:ascii="Book Antiqua" w:hAnsi="Book Antiqua"/>
          <w:spacing w:val="-1"/>
        </w:rPr>
        <w:t>ac</w:t>
      </w:r>
      <w:r w:rsidRPr="00E3232D">
        <w:rPr>
          <w:rFonts w:ascii="Book Antiqua" w:hAnsi="Book Antiqua"/>
          <w:spacing w:val="2"/>
        </w:rPr>
        <w:t>k</w:t>
      </w:r>
      <w:r w:rsidRPr="00E3232D">
        <w:rPr>
          <w:rFonts w:ascii="Book Antiqua" w:hAnsi="Book Antiqua"/>
          <w:spacing w:val="-2"/>
        </w:rPr>
        <w:t>g</w:t>
      </w:r>
      <w:r w:rsidRPr="00E3232D">
        <w:rPr>
          <w:rFonts w:ascii="Book Antiqua" w:hAnsi="Book Antiqua"/>
        </w:rPr>
        <w:t>round</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rPr>
        <w:t>other</w:t>
      </w:r>
      <w:r w:rsidRPr="00E3232D">
        <w:rPr>
          <w:rFonts w:ascii="Book Antiqua" w:hAnsi="Book Antiqua"/>
          <w:spacing w:val="-1"/>
        </w:rPr>
        <w:t xml:space="preserve"> </w:t>
      </w:r>
      <w:r w:rsidRPr="00E3232D">
        <w:rPr>
          <w:rFonts w:ascii="Book Antiqua" w:hAnsi="Book Antiqua"/>
        </w:rPr>
        <w:t>b</w:t>
      </w:r>
      <w:r w:rsidRPr="00E3232D">
        <w:rPr>
          <w:rFonts w:ascii="Book Antiqua" w:hAnsi="Book Antiqua"/>
          <w:spacing w:val="-1"/>
        </w:rPr>
        <w:t>ac</w:t>
      </w:r>
      <w:r w:rsidRPr="00E3232D">
        <w:rPr>
          <w:rFonts w:ascii="Book Antiqua" w:hAnsi="Book Antiqua"/>
          <w:spacing w:val="2"/>
        </w:rPr>
        <w:t>k</w:t>
      </w:r>
      <w:r w:rsidRPr="00E3232D">
        <w:rPr>
          <w:rFonts w:ascii="Book Antiqua" w:hAnsi="Book Antiqua"/>
        </w:rPr>
        <w:t>g</w:t>
      </w:r>
      <w:r w:rsidRPr="00E3232D">
        <w:rPr>
          <w:rFonts w:ascii="Book Antiqua" w:hAnsi="Book Antiqua"/>
          <w:spacing w:val="-1"/>
        </w:rPr>
        <w:t>r</w:t>
      </w:r>
      <w:r w:rsidRPr="00E3232D">
        <w:rPr>
          <w:rFonts w:ascii="Book Antiqua" w:hAnsi="Book Antiqua"/>
        </w:rPr>
        <w:t xml:space="preserve">ound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a</w:t>
      </w:r>
      <w:r w:rsidRPr="00E3232D">
        <w:rPr>
          <w:rFonts w:ascii="Book Antiqua" w:hAnsi="Book Antiqua"/>
          <w:spacing w:val="1"/>
        </w:rPr>
        <w:t>c</w:t>
      </w:r>
      <w:r w:rsidRPr="00E3232D">
        <w:rPr>
          <w:rFonts w:ascii="Book Antiqua" w:hAnsi="Book Antiqua"/>
        </w:rPr>
        <w:t>te</w:t>
      </w:r>
      <w:r w:rsidRPr="00E3232D">
        <w:rPr>
          <w:rFonts w:ascii="Book Antiqua" w:hAnsi="Book Antiqua"/>
          <w:spacing w:val="-1"/>
        </w:rPr>
        <w:t>r</w:t>
      </w:r>
      <w:r w:rsidRPr="00E3232D">
        <w:rPr>
          <w:rFonts w:ascii="Book Antiqua" w:hAnsi="Book Antiqua"/>
        </w:rPr>
        <w:t>is</w:t>
      </w:r>
      <w:r w:rsidRPr="00E3232D">
        <w:rPr>
          <w:rFonts w:ascii="Book Antiqua" w:hAnsi="Book Antiqua"/>
          <w:spacing w:val="1"/>
        </w:rPr>
        <w:t>t</w:t>
      </w:r>
      <w:r w:rsidRPr="00E3232D">
        <w:rPr>
          <w:rFonts w:ascii="Book Antiqua" w:hAnsi="Book Antiqua"/>
        </w:rPr>
        <w:t>ics.</w:t>
      </w:r>
    </w:p>
    <w:p w14:paraId="75818D76" w14:textId="77777777" w:rsidR="001C5D75" w:rsidRPr="00E3232D" w:rsidRDefault="001C5D75" w:rsidP="00465AE3">
      <w:pPr>
        <w:widowControl w:val="0"/>
        <w:autoSpaceDE w:val="0"/>
        <w:autoSpaceDN w:val="0"/>
        <w:adjustRightInd w:val="0"/>
        <w:ind w:right="77"/>
        <w:jc w:val="both"/>
        <w:rPr>
          <w:rFonts w:ascii="Book Antiqua" w:hAnsi="Book Antiqua"/>
        </w:rPr>
      </w:pPr>
      <w:r w:rsidRPr="00E3232D">
        <w:rPr>
          <w:rFonts w:ascii="Book Antiqua" w:hAnsi="Book Antiqua"/>
          <w:spacing w:val="-3"/>
        </w:rPr>
        <w:t>I</w:t>
      </w:r>
      <w:r w:rsidRPr="00E3232D">
        <w:rPr>
          <w:rFonts w:ascii="Book Antiqua" w:hAnsi="Book Antiqua"/>
        </w:rPr>
        <w:t>n</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ddi</w:t>
      </w:r>
      <w:r w:rsidRPr="00E3232D">
        <w:rPr>
          <w:rFonts w:ascii="Book Antiqua" w:hAnsi="Book Antiqua"/>
          <w:spacing w:val="1"/>
        </w:rPr>
        <w:t>t</w:t>
      </w:r>
      <w:r w:rsidRPr="00E3232D">
        <w:rPr>
          <w:rFonts w:ascii="Book Antiqua" w:hAnsi="Book Antiqua"/>
        </w:rPr>
        <w:t>ion,</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1"/>
        </w:rPr>
        <w:t xml:space="preserve"> r</w:t>
      </w:r>
      <w:r w:rsidRPr="00E3232D">
        <w:rPr>
          <w:rFonts w:ascii="Book Antiqua" w:hAnsi="Book Antiqua"/>
          <w:spacing w:val="-1"/>
        </w:rPr>
        <w:t>e</w:t>
      </w:r>
      <w:r w:rsidRPr="00E3232D">
        <w:rPr>
          <w:rFonts w:ascii="Book Antiqua" w:hAnsi="Book Antiqua"/>
        </w:rPr>
        <w:t>sponse</w:t>
      </w:r>
      <w:r w:rsidRPr="00E3232D">
        <w:rPr>
          <w:rFonts w:ascii="Book Antiqua" w:hAnsi="Book Antiqua"/>
          <w:spacing w:val="2"/>
        </w:rPr>
        <w:t xml:space="preserve"> </w:t>
      </w:r>
      <w:r w:rsidRPr="00E3232D">
        <w:rPr>
          <w:rFonts w:ascii="Book Antiqua" w:hAnsi="Book Antiqua"/>
        </w:rPr>
        <w:t>r</w:t>
      </w:r>
      <w:r w:rsidRPr="00E3232D">
        <w:rPr>
          <w:rFonts w:ascii="Book Antiqua" w:hAnsi="Book Antiqua"/>
          <w:spacing w:val="-2"/>
        </w:rPr>
        <w:t>a</w:t>
      </w:r>
      <w:r w:rsidRPr="00E3232D">
        <w:rPr>
          <w:rFonts w:ascii="Book Antiqua" w:hAnsi="Book Antiqua"/>
        </w:rPr>
        <w:t>te</w:t>
      </w:r>
      <w:r w:rsidRPr="00E3232D">
        <w:rPr>
          <w:rFonts w:ascii="Book Antiqua" w:hAnsi="Book Antiqua"/>
          <w:spacing w:val="3"/>
        </w:rPr>
        <w:t xml:space="preserve"> </w:t>
      </w:r>
      <w:r w:rsidRPr="00E3232D">
        <w:rPr>
          <w:rFonts w:ascii="Book Antiqua" w:hAnsi="Book Antiqua"/>
        </w:rPr>
        <w:t>w</w:t>
      </w:r>
      <w:r w:rsidRPr="00E3232D">
        <w:rPr>
          <w:rFonts w:ascii="Book Antiqua" w:hAnsi="Book Antiqua"/>
          <w:spacing w:val="-1"/>
        </w:rPr>
        <w:t>a</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78.75</w:t>
      </w:r>
      <w:r w:rsidRPr="00E3232D">
        <w:rPr>
          <w:rFonts w:ascii="Book Antiqua" w:hAnsi="Book Antiqua"/>
          <w:spacing w:val="1"/>
        </w:rPr>
        <w:t>%</w:t>
      </w:r>
      <w:r w:rsidRPr="00E3232D">
        <w:rPr>
          <w:rFonts w:ascii="Book Antiqua" w:hAnsi="Book Antiqua"/>
        </w:rPr>
        <w:t>,</w:t>
      </w:r>
      <w:r w:rsidRPr="00E3232D">
        <w:rPr>
          <w:rFonts w:ascii="Book Antiqua" w:hAnsi="Book Antiqua"/>
          <w:spacing w:val="3"/>
        </w:rPr>
        <w:t xml:space="preserve"> </w:t>
      </w:r>
      <w:r w:rsidRPr="00E3232D">
        <w:rPr>
          <w:rFonts w:ascii="Book Antiqua" w:hAnsi="Book Antiqua"/>
        </w:rPr>
        <w:t>whi</w:t>
      </w:r>
      <w:r w:rsidRPr="00E3232D">
        <w:rPr>
          <w:rFonts w:ascii="Book Antiqua" w:hAnsi="Book Antiqua"/>
          <w:spacing w:val="-1"/>
        </w:rPr>
        <w:t>c</w:t>
      </w:r>
      <w:r w:rsidRPr="00E3232D">
        <w:rPr>
          <w:rFonts w:ascii="Book Antiqua" w:hAnsi="Book Antiqua"/>
        </w:rPr>
        <w:t>h</w:t>
      </w:r>
      <w:r w:rsidRPr="00E3232D">
        <w:rPr>
          <w:rFonts w:ascii="Book Antiqua" w:hAnsi="Book Antiqua"/>
          <w:spacing w:val="3"/>
        </w:rPr>
        <w:t xml:space="preserve"> </w:t>
      </w:r>
      <w:r w:rsidRPr="00E3232D">
        <w:rPr>
          <w:rFonts w:ascii="Book Antiqua" w:hAnsi="Book Antiqua"/>
        </w:rPr>
        <w:t>is</w:t>
      </w:r>
      <w:r w:rsidRPr="00E3232D">
        <w:rPr>
          <w:rFonts w:ascii="Book Antiqua" w:hAnsi="Book Antiqua"/>
          <w:spacing w:val="2"/>
        </w:rPr>
        <w:t xml:space="preserve"> </w:t>
      </w:r>
      <w:r w:rsidRPr="00E3232D">
        <w:rPr>
          <w:rFonts w:ascii="Book Antiqua" w:hAnsi="Book Antiqua"/>
        </w:rPr>
        <w:t>thr</w:t>
      </w:r>
      <w:r w:rsidRPr="00E3232D">
        <w:rPr>
          <w:rFonts w:ascii="Book Antiqua" w:hAnsi="Book Antiqua"/>
          <w:spacing w:val="-1"/>
        </w:rPr>
        <w:t>e</w:t>
      </w:r>
      <w:r w:rsidRPr="00E3232D">
        <w:rPr>
          <w:rFonts w:ascii="Book Antiqua" w:hAnsi="Book Antiqua"/>
        </w:rPr>
        <w:t>e hun</w:t>
      </w:r>
      <w:r w:rsidRPr="00E3232D">
        <w:rPr>
          <w:rFonts w:ascii="Book Antiqua" w:hAnsi="Book Antiqua"/>
          <w:spacing w:val="2"/>
        </w:rPr>
        <w:t>d</w:t>
      </w:r>
      <w:r w:rsidRPr="00E3232D">
        <w:rPr>
          <w:rFonts w:ascii="Book Antiqua" w:hAnsi="Book Antiqua"/>
        </w:rPr>
        <w:t>r</w:t>
      </w:r>
      <w:r w:rsidRPr="00E3232D">
        <w:rPr>
          <w:rFonts w:ascii="Book Antiqua" w:hAnsi="Book Antiqua"/>
          <w:spacing w:val="-2"/>
        </w:rPr>
        <w:t>e</w:t>
      </w:r>
      <w:r w:rsidRPr="00E3232D">
        <w:rPr>
          <w:rFonts w:ascii="Book Antiqua" w:hAnsi="Book Antiqua"/>
        </w:rPr>
        <w:t>d</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
        </w:rPr>
        <w:t xml:space="preserve"> </w:t>
      </w:r>
      <w:r w:rsidRPr="00E3232D">
        <w:rPr>
          <w:rFonts w:ascii="Book Antiqua" w:hAnsi="Book Antiqua"/>
        </w:rPr>
        <w:t>fi</w:t>
      </w:r>
      <w:r w:rsidRPr="00E3232D">
        <w:rPr>
          <w:rFonts w:ascii="Book Antiqua" w:hAnsi="Book Antiqua"/>
          <w:spacing w:val="-1"/>
        </w:rPr>
        <w:t>f</w:t>
      </w:r>
      <w:r w:rsidRPr="00E3232D">
        <w:rPr>
          <w:rFonts w:ascii="Book Antiqua" w:hAnsi="Book Antiqua"/>
          <w:spacing w:val="3"/>
        </w:rPr>
        <w:t>t</w:t>
      </w:r>
      <w:r w:rsidRPr="00E3232D">
        <w:rPr>
          <w:rFonts w:ascii="Book Antiqua" w:hAnsi="Book Antiqua"/>
          <w:spacing w:val="-1"/>
        </w:rPr>
        <w:t>ee</w:t>
      </w:r>
      <w:r w:rsidRPr="00E3232D">
        <w:rPr>
          <w:rFonts w:ascii="Book Antiqua" w:hAnsi="Book Antiqua"/>
        </w:rPr>
        <w:t>n</w:t>
      </w:r>
      <w:r w:rsidRPr="00E3232D">
        <w:rPr>
          <w:rFonts w:ascii="Book Antiqua" w:hAnsi="Book Antiqua"/>
          <w:spacing w:val="1"/>
        </w:rPr>
        <w:t xml:space="preserve"> </w:t>
      </w:r>
      <w:r w:rsidRPr="00E3232D">
        <w:rPr>
          <w:rFonts w:ascii="Book Antiqua" w:hAnsi="Book Antiqua"/>
        </w:rPr>
        <w:t>(31</w:t>
      </w:r>
      <w:r w:rsidRPr="00E3232D">
        <w:rPr>
          <w:rFonts w:ascii="Book Antiqua" w:hAnsi="Book Antiqua"/>
          <w:spacing w:val="4"/>
        </w:rPr>
        <w:t>5</w:t>
      </w:r>
      <w:r w:rsidRPr="00E3232D">
        <w:rPr>
          <w:rFonts w:ascii="Book Antiqua" w:hAnsi="Book Antiqua"/>
          <w:spacing w:val="-1"/>
        </w:rPr>
        <w:t>)</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th</w:t>
      </w:r>
      <w:r w:rsidRPr="00E3232D">
        <w:rPr>
          <w:rFonts w:ascii="Book Antiqua" w:hAnsi="Book Antiqua"/>
          <w:spacing w:val="1"/>
        </w:rPr>
        <w:t>i</w:t>
      </w:r>
      <w:r w:rsidRPr="00E3232D">
        <w:rPr>
          <w:rFonts w:ascii="Book Antiqua" w:hAnsi="Book Antiqua"/>
        </w:rPr>
        <w:t>s w</w:t>
      </w:r>
      <w:r w:rsidRPr="00E3232D">
        <w:rPr>
          <w:rFonts w:ascii="Book Antiqua" w:hAnsi="Book Antiqua"/>
          <w:spacing w:val="-1"/>
        </w:rPr>
        <w:t>a</w:t>
      </w:r>
      <w:r w:rsidRPr="00E3232D">
        <w:rPr>
          <w:rFonts w:ascii="Book Antiqua" w:hAnsi="Book Antiqua"/>
        </w:rPr>
        <w:t>s</w:t>
      </w:r>
      <w:r w:rsidRPr="00E3232D">
        <w:rPr>
          <w:rFonts w:ascii="Book Antiqua" w:hAnsi="Book Antiqua"/>
          <w:spacing w:val="53"/>
        </w:rPr>
        <w:t xml:space="preserve"> </w:t>
      </w:r>
      <w:r w:rsidRPr="00E3232D">
        <w:rPr>
          <w:rFonts w:ascii="Book Antiqua" w:hAnsi="Book Antiqua"/>
          <w:spacing w:val="-1"/>
        </w:rPr>
        <w:t>c</w:t>
      </w:r>
      <w:r w:rsidRPr="00E3232D">
        <w:rPr>
          <w:rFonts w:ascii="Book Antiqua" w:hAnsi="Book Antiqua"/>
        </w:rPr>
        <w:t>onsid</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d</w:t>
      </w:r>
      <w:r w:rsidRPr="00E3232D">
        <w:rPr>
          <w:rFonts w:ascii="Book Antiqua" w:hAnsi="Book Antiqua"/>
          <w:spacing w:val="55"/>
        </w:rPr>
        <w:t xml:space="preserve"> </w:t>
      </w:r>
      <w:r w:rsidRPr="00E3232D">
        <w:rPr>
          <w:rFonts w:ascii="Book Antiqua" w:hAnsi="Book Antiqua"/>
          <w:spacing w:val="-1"/>
        </w:rPr>
        <w:t>a</w:t>
      </w:r>
      <w:r w:rsidRPr="00E3232D">
        <w:rPr>
          <w:rFonts w:ascii="Book Antiqua" w:hAnsi="Book Antiqua"/>
        </w:rPr>
        <w:t>d</w:t>
      </w:r>
      <w:r w:rsidRPr="00E3232D">
        <w:rPr>
          <w:rFonts w:ascii="Book Antiqua" w:hAnsi="Book Antiqua"/>
          <w:spacing w:val="-1"/>
        </w:rPr>
        <w:t>e</w:t>
      </w:r>
      <w:r w:rsidRPr="00E3232D">
        <w:rPr>
          <w:rFonts w:ascii="Book Antiqua" w:hAnsi="Book Antiqua"/>
        </w:rPr>
        <w:t>q</w:t>
      </w:r>
      <w:r w:rsidRPr="00E3232D">
        <w:rPr>
          <w:rFonts w:ascii="Book Antiqua" w:hAnsi="Book Antiqua"/>
          <w:spacing w:val="2"/>
        </w:rPr>
        <w:t>u</w:t>
      </w:r>
      <w:r w:rsidRPr="00E3232D">
        <w:rPr>
          <w:rFonts w:ascii="Book Antiqua" w:hAnsi="Book Antiqua"/>
          <w:spacing w:val="-1"/>
        </w:rPr>
        <w:t>a</w:t>
      </w:r>
      <w:r w:rsidRPr="00E3232D">
        <w:rPr>
          <w:rFonts w:ascii="Book Antiqua" w:hAnsi="Book Antiqua"/>
        </w:rPr>
        <w:t>te</w:t>
      </w:r>
      <w:r w:rsidRPr="00E3232D">
        <w:rPr>
          <w:rFonts w:ascii="Book Antiqua" w:hAnsi="Book Antiqua"/>
          <w:spacing w:val="52"/>
        </w:rPr>
        <w:t xml:space="preserve"> </w:t>
      </w:r>
      <w:r w:rsidRPr="00E3232D">
        <w:rPr>
          <w:rFonts w:ascii="Book Antiqua" w:hAnsi="Book Antiqua"/>
        </w:rPr>
        <w:t>b</w:t>
      </w:r>
      <w:r w:rsidRPr="00E3232D">
        <w:rPr>
          <w:rFonts w:ascii="Book Antiqua" w:hAnsi="Book Antiqua"/>
          <w:spacing w:val="1"/>
        </w:rPr>
        <w:t>e</w:t>
      </w:r>
      <w:r w:rsidRPr="00E3232D">
        <w:rPr>
          <w:rFonts w:ascii="Book Antiqua" w:hAnsi="Book Antiqua"/>
          <w:spacing w:val="-1"/>
        </w:rPr>
        <w:t>ca</w:t>
      </w:r>
      <w:r w:rsidRPr="00E3232D">
        <w:rPr>
          <w:rFonts w:ascii="Book Antiqua" w:hAnsi="Book Antiqua"/>
        </w:rPr>
        <w:t>use</w:t>
      </w:r>
      <w:r w:rsidRPr="00E3232D">
        <w:rPr>
          <w:rFonts w:ascii="Book Antiqua" w:hAnsi="Book Antiqua"/>
          <w:spacing w:val="57"/>
        </w:rPr>
        <w:t xml:space="preserve"> </w:t>
      </w:r>
      <w:r w:rsidRPr="00E3232D">
        <w:rPr>
          <w:rFonts w:ascii="Book Antiqua" w:hAnsi="Book Antiqua"/>
        </w:rPr>
        <w:t>stati</w:t>
      </w:r>
      <w:r w:rsidRPr="00E3232D">
        <w:rPr>
          <w:rFonts w:ascii="Book Antiqua" w:hAnsi="Book Antiqua"/>
          <w:spacing w:val="1"/>
        </w:rPr>
        <w:t>s</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ca</w:t>
      </w:r>
      <w:r w:rsidRPr="00E3232D">
        <w:rPr>
          <w:rFonts w:ascii="Book Antiqua" w:hAnsi="Book Antiqua"/>
        </w:rPr>
        <w:t>l</w:t>
      </w:r>
      <w:r w:rsidRPr="00E3232D">
        <w:rPr>
          <w:rFonts w:ascii="Book Antiqua" w:hAnsi="Book Antiqua"/>
          <w:spacing w:val="3"/>
        </w:rPr>
        <w:t>l</w:t>
      </w:r>
      <w:r w:rsidRPr="00E3232D">
        <w:rPr>
          <w:rFonts w:ascii="Book Antiqua" w:hAnsi="Book Antiqua"/>
        </w:rPr>
        <w:t>y</w:t>
      </w:r>
      <w:r w:rsidRPr="00E3232D">
        <w:rPr>
          <w:rFonts w:ascii="Book Antiqua" w:hAnsi="Book Antiqua"/>
          <w:spacing w:val="51"/>
        </w:rPr>
        <w:t xml:space="preserve"> </w:t>
      </w:r>
      <w:r w:rsidRPr="00E3232D">
        <w:rPr>
          <w:rFonts w:ascii="Book Antiqua" w:hAnsi="Book Antiqua"/>
        </w:rPr>
        <w:t>g</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a</w:t>
      </w:r>
      <w:r w:rsidRPr="00E3232D">
        <w:rPr>
          <w:rFonts w:ascii="Book Antiqua" w:hAnsi="Book Antiqua"/>
        </w:rPr>
        <w:t>l</w:t>
      </w:r>
      <w:r w:rsidRPr="00E3232D">
        <w:rPr>
          <w:rFonts w:ascii="Book Antiqua" w:hAnsi="Book Antiqua"/>
          <w:spacing w:val="1"/>
        </w:rPr>
        <w:t>iz</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r w:rsidRPr="00E3232D">
        <w:rPr>
          <w:rFonts w:ascii="Book Antiqua" w:hAnsi="Book Antiqua"/>
          <w:spacing w:val="54"/>
        </w:rPr>
        <w:t xml:space="preserve"> </w:t>
      </w:r>
      <w:r w:rsidRPr="00E3232D">
        <w:rPr>
          <w:rFonts w:ascii="Book Antiqua" w:hAnsi="Book Antiqua"/>
          <w:spacing w:val="-1"/>
        </w:rPr>
        <w:t>c</w:t>
      </w:r>
      <w:r w:rsidRPr="00E3232D">
        <w:rPr>
          <w:rFonts w:ascii="Book Antiqua" w:hAnsi="Book Antiqua"/>
        </w:rPr>
        <w:t>ould</w:t>
      </w:r>
      <w:r w:rsidRPr="00E3232D">
        <w:rPr>
          <w:rFonts w:ascii="Book Antiqua" w:hAnsi="Book Antiqua"/>
          <w:spacing w:val="53"/>
        </w:rPr>
        <w:t xml:space="preserve"> </w:t>
      </w:r>
      <w:r w:rsidRPr="00E3232D">
        <w:rPr>
          <w:rFonts w:ascii="Book Antiqua" w:hAnsi="Book Antiqua"/>
          <w:spacing w:val="2"/>
        </w:rPr>
        <w:t>b</w:t>
      </w:r>
      <w:r w:rsidRPr="00E3232D">
        <w:rPr>
          <w:rFonts w:ascii="Book Antiqua" w:hAnsi="Book Antiqua"/>
        </w:rPr>
        <w:t>e</w:t>
      </w:r>
      <w:r w:rsidRPr="00E3232D">
        <w:rPr>
          <w:rFonts w:ascii="Book Antiqua" w:hAnsi="Book Antiqua"/>
          <w:spacing w:val="54"/>
        </w:rPr>
        <w:t xml:space="preserve"> </w:t>
      </w:r>
      <w:r w:rsidRPr="00E3232D">
        <w:rPr>
          <w:rFonts w:ascii="Book Antiqua" w:hAnsi="Book Antiqua"/>
        </w:rPr>
        <w:t>d</w:t>
      </w:r>
      <w:r w:rsidRPr="00E3232D">
        <w:rPr>
          <w:rFonts w:ascii="Book Antiqua" w:hAnsi="Book Antiqua"/>
          <w:spacing w:val="-1"/>
        </w:rPr>
        <w:t>ra</w:t>
      </w:r>
      <w:r w:rsidRPr="00E3232D">
        <w:rPr>
          <w:rFonts w:ascii="Book Antiqua" w:hAnsi="Book Antiqua"/>
        </w:rPr>
        <w:t>wn</w:t>
      </w:r>
      <w:r w:rsidRPr="00E3232D">
        <w:rPr>
          <w:rFonts w:ascii="Book Antiqua" w:hAnsi="Book Antiqua"/>
          <w:spacing w:val="54"/>
        </w:rPr>
        <w:t xml:space="preserve"> </w:t>
      </w:r>
      <w:r w:rsidRPr="00E3232D">
        <w:rPr>
          <w:rFonts w:ascii="Book Antiqua" w:hAnsi="Book Antiqua"/>
        </w:rPr>
        <w:t>for</w:t>
      </w:r>
      <w:r w:rsidRPr="00E3232D">
        <w:rPr>
          <w:rFonts w:ascii="Book Antiqua" w:hAnsi="Book Antiqua"/>
          <w:spacing w:val="51"/>
        </w:rPr>
        <w:t xml:space="preserve"> </w:t>
      </w:r>
      <w:r w:rsidRPr="00E3232D">
        <w:rPr>
          <w:rFonts w:ascii="Book Antiqua" w:hAnsi="Book Antiqua"/>
        </w:rPr>
        <w:t>t</w:t>
      </w:r>
      <w:r w:rsidRPr="00E3232D">
        <w:rPr>
          <w:rFonts w:ascii="Book Antiqua" w:hAnsi="Book Antiqua"/>
          <w:spacing w:val="3"/>
        </w:rPr>
        <w:t>h</w:t>
      </w:r>
      <w:r w:rsidRPr="00E3232D">
        <w:rPr>
          <w:rFonts w:ascii="Book Antiqua" w:hAnsi="Book Antiqua"/>
        </w:rPr>
        <w:t>e la</w:t>
      </w:r>
      <w:r w:rsidRPr="00E3232D">
        <w:rPr>
          <w:rFonts w:ascii="Book Antiqua" w:hAnsi="Book Antiqua"/>
          <w:spacing w:val="-1"/>
        </w:rPr>
        <w:t>r</w:t>
      </w:r>
      <w:r w:rsidRPr="00E3232D">
        <w:rPr>
          <w:rFonts w:ascii="Book Antiqua" w:hAnsi="Book Antiqua"/>
        </w:rPr>
        <w:t>g</w:t>
      </w:r>
      <w:r w:rsidRPr="00E3232D">
        <w:rPr>
          <w:rFonts w:ascii="Book Antiqua" w:hAnsi="Book Antiqua"/>
          <w:spacing w:val="-1"/>
        </w:rPr>
        <w:t>e</w:t>
      </w:r>
      <w:r w:rsidRPr="00E3232D">
        <w:rPr>
          <w:rFonts w:ascii="Book Antiqua" w:hAnsi="Book Antiqua"/>
        </w:rPr>
        <w:t>r po</w:t>
      </w:r>
      <w:r w:rsidRPr="00E3232D">
        <w:rPr>
          <w:rFonts w:ascii="Book Antiqua" w:hAnsi="Book Antiqua"/>
          <w:spacing w:val="-1"/>
        </w:rPr>
        <w:t>p</w:t>
      </w:r>
      <w:r w:rsidRPr="00E3232D">
        <w:rPr>
          <w:rFonts w:ascii="Book Antiqua" w:hAnsi="Book Antiqua"/>
        </w:rPr>
        <w:t>ulation.</w:t>
      </w:r>
    </w:p>
    <w:p w14:paraId="061CE8D3" w14:textId="77777777" w:rsidR="00BE6599" w:rsidRDefault="001C5D75" w:rsidP="00465AE3">
      <w:pPr>
        <w:widowControl w:val="0"/>
        <w:autoSpaceDE w:val="0"/>
        <w:autoSpaceDN w:val="0"/>
        <w:adjustRightInd w:val="0"/>
        <w:spacing w:before="4"/>
        <w:ind w:right="75"/>
        <w:jc w:val="both"/>
        <w:rPr>
          <w:rFonts w:ascii="Book Antiqua" w:hAnsi="Book Antiqua"/>
        </w:rPr>
      </w:pPr>
      <w:r w:rsidRPr="00E3232D">
        <w:rPr>
          <w:rFonts w:ascii="Book Antiqua" w:hAnsi="Book Antiqua"/>
          <w:spacing w:val="1"/>
        </w:rPr>
        <w:t>W</w:t>
      </w:r>
      <w:r w:rsidRPr="00E3232D">
        <w:rPr>
          <w:rFonts w:ascii="Book Antiqua" w:hAnsi="Book Antiqua"/>
        </w:rPr>
        <w:t>i</w:t>
      </w:r>
      <w:r w:rsidRPr="00E3232D">
        <w:rPr>
          <w:rFonts w:ascii="Book Antiqua" w:hAnsi="Book Antiqua"/>
          <w:spacing w:val="1"/>
        </w:rPr>
        <w:t>t</w:t>
      </w:r>
      <w:r w:rsidRPr="00E3232D">
        <w:rPr>
          <w:rFonts w:ascii="Book Antiqua" w:hAnsi="Book Antiqua"/>
        </w:rPr>
        <w:t>h</w:t>
      </w:r>
      <w:r w:rsidRPr="00E3232D">
        <w:rPr>
          <w:rFonts w:ascii="Book Antiqua" w:hAnsi="Book Antiqua"/>
          <w:spacing w:val="1"/>
        </w:rPr>
        <w:t xml:space="preserve"> </w:t>
      </w:r>
      <w:r w:rsidRPr="00E3232D">
        <w:rPr>
          <w:rFonts w:ascii="Book Antiqua" w:hAnsi="Book Antiqua"/>
        </w:rPr>
        <w:t>r</w:t>
      </w:r>
      <w:r w:rsidRPr="00E3232D">
        <w:rPr>
          <w:rFonts w:ascii="Book Antiqua" w:hAnsi="Book Antiqua"/>
          <w:spacing w:val="-2"/>
        </w:rPr>
        <w:t>eg</w:t>
      </w:r>
      <w:r w:rsidRPr="00E3232D">
        <w:rPr>
          <w:rFonts w:ascii="Book Antiqua" w:hAnsi="Book Antiqua"/>
          <w:spacing w:val="1"/>
        </w:rPr>
        <w:t>a</w:t>
      </w:r>
      <w:r w:rsidRPr="00E3232D">
        <w:rPr>
          <w:rFonts w:ascii="Book Antiqua" w:hAnsi="Book Antiqua"/>
        </w:rPr>
        <w:t>rd to</w:t>
      </w:r>
      <w:r w:rsidRPr="00E3232D">
        <w:rPr>
          <w:rFonts w:ascii="Book Antiqua" w:hAnsi="Book Antiqua"/>
          <w:spacing w:val="1"/>
        </w:rPr>
        <w:t xml:space="preserve"> </w:t>
      </w:r>
      <w:r w:rsidRPr="00E3232D">
        <w:rPr>
          <w:rFonts w:ascii="Book Antiqua" w:hAnsi="Book Antiqua"/>
        </w:rPr>
        <w:t>s</w:t>
      </w:r>
      <w:r w:rsidRPr="00E3232D">
        <w:rPr>
          <w:rFonts w:ascii="Book Antiqua" w:hAnsi="Book Antiqua"/>
          <w:spacing w:val="-1"/>
        </w:rPr>
        <w:t>a</w:t>
      </w:r>
      <w:r w:rsidRPr="00E3232D">
        <w:rPr>
          <w:rFonts w:ascii="Book Antiqua" w:hAnsi="Book Antiqua"/>
        </w:rPr>
        <w:t>mp</w:t>
      </w:r>
      <w:r w:rsidRPr="00E3232D">
        <w:rPr>
          <w:rFonts w:ascii="Book Antiqua" w:hAnsi="Book Antiqua"/>
          <w:spacing w:val="1"/>
        </w:rPr>
        <w:t>l</w:t>
      </w:r>
      <w:r w:rsidRPr="00E3232D">
        <w:rPr>
          <w:rFonts w:ascii="Book Antiqua" w:hAnsi="Book Antiqua"/>
        </w:rPr>
        <w:t>e</w:t>
      </w:r>
      <w:r w:rsidRPr="00E3232D">
        <w:rPr>
          <w:rFonts w:ascii="Book Antiqua" w:hAnsi="Book Antiqua"/>
          <w:spacing w:val="2"/>
        </w:rPr>
        <w:t xml:space="preserve"> </w:t>
      </w:r>
      <w:r w:rsidRPr="00E3232D">
        <w:rPr>
          <w:rFonts w:ascii="Book Antiqua" w:hAnsi="Book Antiqua"/>
        </w:rPr>
        <w:t>te</w:t>
      </w:r>
      <w:r w:rsidRPr="00E3232D">
        <w:rPr>
          <w:rFonts w:ascii="Book Antiqua" w:hAnsi="Book Antiqua"/>
          <w:spacing w:val="-1"/>
        </w:rPr>
        <w:t>c</w:t>
      </w:r>
      <w:r w:rsidRPr="00E3232D">
        <w:rPr>
          <w:rFonts w:ascii="Book Antiqua" w:hAnsi="Book Antiqua"/>
        </w:rPr>
        <w:t>hnique, the</w:t>
      </w:r>
      <w:r w:rsidRPr="00E3232D">
        <w:rPr>
          <w:rFonts w:ascii="Book Antiqua" w:hAnsi="Book Antiqua"/>
          <w:spacing w:val="3"/>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spacing w:val="2"/>
        </w:rPr>
        <w:t>s</w:t>
      </w:r>
      <w:r w:rsidRPr="00E3232D">
        <w:rPr>
          <w:rFonts w:ascii="Book Antiqua" w:hAnsi="Book Antiqua"/>
          <w:spacing w:val="-1"/>
        </w:rPr>
        <w:t>ea</w:t>
      </w:r>
      <w:r w:rsidRPr="00E3232D">
        <w:rPr>
          <w:rFonts w:ascii="Book Antiqua" w:hAnsi="Book Antiqua"/>
          <w:spacing w:val="1"/>
        </w:rPr>
        <w:t>r</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e</w:t>
      </w:r>
      <w:r w:rsidRPr="00E3232D">
        <w:rPr>
          <w:rFonts w:ascii="Book Antiqua" w:hAnsi="Book Antiqua"/>
          <w:spacing w:val="6"/>
        </w:rPr>
        <w:t>r</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pproa</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e</w:t>
      </w:r>
      <w:r w:rsidRPr="00E3232D">
        <w:rPr>
          <w:rFonts w:ascii="Book Antiqua" w:hAnsi="Book Antiqua"/>
        </w:rPr>
        <w:t>d</w:t>
      </w:r>
      <w:r w:rsidRPr="00E3232D">
        <w:rPr>
          <w:rFonts w:ascii="Book Antiqua" w:hAnsi="Book Antiqua"/>
          <w:spacing w:val="1"/>
        </w:rPr>
        <w:t xml:space="preserve"> </w:t>
      </w:r>
      <w:r w:rsidRPr="00E3232D">
        <w:rPr>
          <w:rFonts w:ascii="Book Antiqua" w:hAnsi="Book Antiqua"/>
        </w:rPr>
        <w:t>most</w:t>
      </w:r>
      <w:r w:rsidRPr="00E3232D">
        <w:rPr>
          <w:rFonts w:ascii="Book Antiqua" w:hAnsi="Book Antiqua"/>
          <w:spacing w:val="3"/>
        </w:rPr>
        <w:t xml:space="preserve"> </w:t>
      </w:r>
      <w:r w:rsidRPr="00E3232D">
        <w:rPr>
          <w:rFonts w:ascii="Book Antiqua" w:hAnsi="Book Antiqua"/>
          <w:spacing w:val="2"/>
        </w:rPr>
        <w:t>o</w:t>
      </w:r>
      <w:r w:rsidRPr="00E3232D">
        <w:rPr>
          <w:rFonts w:ascii="Book Antiqua" w:hAnsi="Book Antiqua"/>
        </w:rPr>
        <w:t>f</w:t>
      </w:r>
      <w:r w:rsidRPr="00E3232D">
        <w:rPr>
          <w:rFonts w:ascii="Book Antiqua" w:hAnsi="Book Antiqua"/>
          <w:spacing w:val="1"/>
        </w:rPr>
        <w:t xml:space="preserve"> </w:t>
      </w:r>
      <w:r w:rsidRPr="00E3232D">
        <w:rPr>
          <w:rFonts w:ascii="Book Antiqua" w:hAnsi="Book Antiqua"/>
          <w:spacing w:val="2"/>
        </w:rPr>
        <w:t>p</w:t>
      </w:r>
      <w:r w:rsidRPr="00E3232D">
        <w:rPr>
          <w:rFonts w:ascii="Book Antiqua" w:hAnsi="Book Antiqua"/>
        </w:rPr>
        <w:t>otential</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1"/>
        </w:rPr>
        <w:t xml:space="preserve"> </w:t>
      </w:r>
      <w:r w:rsidRPr="00E3232D">
        <w:rPr>
          <w:rFonts w:ascii="Book Antiqua" w:hAnsi="Book Antiqua"/>
        </w:rPr>
        <w:t>b</w:t>
      </w:r>
      <w:r w:rsidRPr="00E3232D">
        <w:rPr>
          <w:rFonts w:ascii="Book Antiqua" w:hAnsi="Book Antiqua"/>
          <w:spacing w:val="2"/>
        </w:rPr>
        <w:t>o</w:t>
      </w:r>
      <w:r w:rsidRPr="00E3232D">
        <w:rPr>
          <w:rFonts w:ascii="Book Antiqua" w:hAnsi="Book Antiqua"/>
        </w:rPr>
        <w:t>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er</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in</w:t>
      </w:r>
      <w:r w:rsidRPr="00E3232D">
        <w:rPr>
          <w:rFonts w:ascii="Book Antiqua" w:hAnsi="Book Antiqua"/>
          <w:spacing w:val="1"/>
        </w:rPr>
        <w:t xml:space="preserve"> </w:t>
      </w:r>
      <w:r w:rsidRPr="00E3232D">
        <w:rPr>
          <w:rFonts w:ascii="Book Antiqua" w:hAnsi="Book Antiqua"/>
        </w:rPr>
        <w:t>T</w:t>
      </w:r>
      <w:r w:rsidRPr="00E3232D">
        <w:rPr>
          <w:rFonts w:ascii="Book Antiqua" w:hAnsi="Book Antiqua"/>
          <w:spacing w:val="-1"/>
        </w:rPr>
        <w:t>a</w:t>
      </w:r>
      <w:r w:rsidRPr="00E3232D">
        <w:rPr>
          <w:rFonts w:ascii="Book Antiqua" w:hAnsi="Book Antiqua"/>
        </w:rPr>
        <w:t>male</w:t>
      </w:r>
      <w:r w:rsidRPr="00E3232D">
        <w:rPr>
          <w:rFonts w:ascii="Book Antiqua" w:hAnsi="Book Antiqua"/>
          <w:spacing w:val="3"/>
        </w:rPr>
        <w:t xml:space="preserve"> </w:t>
      </w:r>
      <w:r w:rsidRPr="00E3232D">
        <w:rPr>
          <w:rFonts w:ascii="Book Antiqua" w:hAnsi="Book Antiqua"/>
        </w:rPr>
        <w:t>metr</w:t>
      </w:r>
      <w:r w:rsidRPr="00E3232D">
        <w:rPr>
          <w:rFonts w:ascii="Book Antiqua" w:hAnsi="Book Antiqua"/>
          <w:spacing w:val="-1"/>
        </w:rPr>
        <w:t>o</w:t>
      </w:r>
      <w:r w:rsidRPr="00E3232D">
        <w:rPr>
          <w:rFonts w:ascii="Book Antiqua" w:hAnsi="Book Antiqua"/>
        </w:rPr>
        <w:t>pol</w:t>
      </w:r>
      <w:r w:rsidRPr="00E3232D">
        <w:rPr>
          <w:rFonts w:ascii="Book Antiqua" w:hAnsi="Book Antiqua"/>
          <w:spacing w:val="1"/>
        </w:rPr>
        <w:t>i</w:t>
      </w:r>
      <w:r w:rsidRPr="00E3232D">
        <w:rPr>
          <w:rFonts w:ascii="Book Antiqua" w:hAnsi="Book Antiqua"/>
        </w:rPr>
        <w:t>tan</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rea</w:t>
      </w:r>
      <w:r w:rsidRPr="00E3232D">
        <w:rPr>
          <w:rFonts w:ascii="Book Antiqua" w:hAnsi="Book Antiqua"/>
          <w:spacing w:val="1"/>
        </w:rPr>
        <w:t xml:space="preserve"> </w:t>
      </w:r>
      <w:r w:rsidRPr="00E3232D">
        <w:rPr>
          <w:rFonts w:ascii="Book Antiqua" w:hAnsi="Book Antiqua"/>
        </w:rPr>
        <w:t xml:space="preserve">who </w:t>
      </w:r>
      <w:r w:rsidRPr="00E3232D">
        <w:rPr>
          <w:rFonts w:ascii="Book Antiqua" w:hAnsi="Book Antiqua"/>
          <w:spacing w:val="-1"/>
        </w:rPr>
        <w:t>a</w:t>
      </w:r>
      <w:r w:rsidRPr="00E3232D">
        <w:rPr>
          <w:rFonts w:ascii="Book Antiqua" w:hAnsi="Book Antiqua"/>
          <w:spacing w:val="1"/>
        </w:rPr>
        <w:t>r</w:t>
      </w:r>
      <w:r w:rsidRPr="00E3232D">
        <w:rPr>
          <w:rFonts w:ascii="Book Antiqua" w:hAnsi="Book Antiqua"/>
        </w:rPr>
        <w:t>e in</w:t>
      </w:r>
      <w:r w:rsidRPr="00E3232D">
        <w:rPr>
          <w:rFonts w:ascii="Book Antiqua" w:hAnsi="Book Antiqua"/>
          <w:spacing w:val="1"/>
        </w:rPr>
        <w:t xml:space="preserve"> </w:t>
      </w:r>
      <w:r w:rsidRPr="00E3232D">
        <w:rPr>
          <w:rFonts w:ascii="Book Antiqua" w:hAnsi="Book Antiqua"/>
        </w:rPr>
        <w:t>a</w:t>
      </w:r>
      <w:r w:rsidRPr="00E3232D">
        <w:rPr>
          <w:rFonts w:ascii="Book Antiqua" w:hAnsi="Book Antiqua"/>
          <w:spacing w:val="2"/>
        </w:rPr>
        <w:t xml:space="preserve"> </w:t>
      </w:r>
      <w:r w:rsidRPr="00E3232D">
        <w:rPr>
          <w:rFonts w:ascii="Book Antiqua" w:hAnsi="Book Antiqua"/>
          <w:spacing w:val="-2"/>
        </w:rPr>
        <w:t>g</w:t>
      </w:r>
      <w:r w:rsidRPr="00E3232D">
        <w:rPr>
          <w:rFonts w:ascii="Book Antiqua" w:hAnsi="Book Antiqua"/>
        </w:rPr>
        <w:t>roup</w:t>
      </w:r>
      <w:r w:rsidRPr="00E3232D">
        <w:rPr>
          <w:rFonts w:ascii="Book Antiqua" w:hAnsi="Book Antiqua"/>
          <w:spacing w:val="4"/>
        </w:rPr>
        <w:t xml:space="preserve"> </w:t>
      </w:r>
      <w:r w:rsidRPr="00E3232D">
        <w:rPr>
          <w:rFonts w:ascii="Book Antiqua" w:hAnsi="Book Antiqua"/>
        </w:rPr>
        <w:t>of nine</w:t>
      </w:r>
      <w:r w:rsidRPr="00E3232D">
        <w:rPr>
          <w:rFonts w:ascii="Book Antiqua" w:hAnsi="Book Antiqua"/>
          <w:spacing w:val="2"/>
        </w:rPr>
        <w:t>t</w:t>
      </w:r>
      <w:r w:rsidRPr="00E3232D">
        <w:rPr>
          <w:rFonts w:ascii="Book Antiqua" w:hAnsi="Book Antiqua"/>
        </w:rPr>
        <w:t>y</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spacing w:val="3"/>
        </w:rPr>
        <w:t>i</w:t>
      </w:r>
      <w:r w:rsidRPr="00E3232D">
        <w:rPr>
          <w:rFonts w:ascii="Book Antiqua" w:hAnsi="Book Antiqua"/>
          <w:spacing w:val="-2"/>
        </w:rPr>
        <w:t>g</w:t>
      </w:r>
      <w:r w:rsidRPr="00E3232D">
        <w:rPr>
          <w:rFonts w:ascii="Book Antiqua" w:hAnsi="Book Antiqua"/>
        </w:rPr>
        <w:t xml:space="preserve">ht </w:t>
      </w:r>
      <w:r w:rsidRPr="00E3232D">
        <w:rPr>
          <w:rFonts w:ascii="Book Antiqua" w:hAnsi="Book Antiqua"/>
          <w:spacing w:val="-1"/>
        </w:rPr>
        <w:t>(</w:t>
      </w:r>
      <w:r w:rsidRPr="00E3232D">
        <w:rPr>
          <w:rFonts w:ascii="Book Antiqua" w:hAnsi="Book Antiqua"/>
        </w:rPr>
        <w:t>98)</w:t>
      </w:r>
      <w:r w:rsidRPr="00E3232D">
        <w:rPr>
          <w:rFonts w:ascii="Book Antiqua" w:hAnsi="Book Antiqua"/>
          <w:spacing w:val="57"/>
        </w:rPr>
        <w:t xml:space="preserve"> </w:t>
      </w:r>
      <w:r w:rsidRPr="00E3232D">
        <w:rPr>
          <w:rFonts w:ascii="Book Antiqua" w:hAnsi="Book Antiqua"/>
        </w:rPr>
        <w:t>with</w:t>
      </w:r>
      <w:r w:rsidRPr="00E3232D">
        <w:rPr>
          <w:rFonts w:ascii="Book Antiqua" w:hAnsi="Book Antiqua"/>
          <w:spacing w:val="58"/>
        </w:rPr>
        <w:t xml:space="preserve"> </w:t>
      </w:r>
      <w:r w:rsidRPr="00E3232D">
        <w:rPr>
          <w:rFonts w:ascii="Book Antiqua" w:hAnsi="Book Antiqua"/>
          <w:spacing w:val="-1"/>
        </w:rPr>
        <w:t>eac</w:t>
      </w:r>
      <w:r w:rsidRPr="00E3232D">
        <w:rPr>
          <w:rFonts w:ascii="Book Antiqua" w:hAnsi="Book Antiqua"/>
        </w:rPr>
        <w:t>h group</w:t>
      </w:r>
      <w:r w:rsidRPr="00E3232D">
        <w:rPr>
          <w:rFonts w:ascii="Book Antiqua" w:hAnsi="Book Antiqua"/>
          <w:spacing w:val="57"/>
        </w:rPr>
        <w:t xml:space="preserve"> </w:t>
      </w:r>
      <w:r w:rsidRPr="00E3232D">
        <w:rPr>
          <w:rFonts w:ascii="Book Antiqua" w:hAnsi="Book Antiqua"/>
          <w:spacing w:val="1"/>
        </w:rPr>
        <w:t>c</w:t>
      </w:r>
      <w:r w:rsidRPr="00E3232D">
        <w:rPr>
          <w:rFonts w:ascii="Book Antiqua" w:hAnsi="Book Antiqua"/>
        </w:rPr>
        <w:t>ompris</w:t>
      </w:r>
      <w:r w:rsidRPr="00E3232D">
        <w:rPr>
          <w:rFonts w:ascii="Book Antiqua" w:hAnsi="Book Antiqua"/>
          <w:spacing w:val="1"/>
        </w:rPr>
        <w:t>i</w:t>
      </w:r>
      <w:r w:rsidRPr="00E3232D">
        <w:rPr>
          <w:rFonts w:ascii="Book Antiqua" w:hAnsi="Book Antiqua"/>
        </w:rPr>
        <w:t>ng</w:t>
      </w:r>
      <w:r w:rsidRPr="00E3232D">
        <w:rPr>
          <w:rFonts w:ascii="Book Antiqua" w:hAnsi="Book Antiqua"/>
          <w:spacing w:val="55"/>
        </w:rPr>
        <w:t xml:space="preserve"> </w:t>
      </w:r>
      <w:r w:rsidRPr="00E3232D">
        <w:rPr>
          <w:rFonts w:ascii="Book Antiqua" w:hAnsi="Book Antiqua"/>
        </w:rPr>
        <w:t>a</w:t>
      </w:r>
      <w:r w:rsidRPr="00E3232D">
        <w:rPr>
          <w:rFonts w:ascii="Book Antiqua" w:hAnsi="Book Antiqua"/>
          <w:spacing w:val="56"/>
        </w:rPr>
        <w:t xml:space="preserve"> </w:t>
      </w:r>
      <w:r w:rsidRPr="00E3232D">
        <w:rPr>
          <w:rFonts w:ascii="Book Antiqua" w:hAnsi="Book Antiqua"/>
        </w:rPr>
        <w:t>ma</w:t>
      </w:r>
      <w:r w:rsidRPr="00E3232D">
        <w:rPr>
          <w:rFonts w:ascii="Book Antiqua" w:hAnsi="Book Antiqua"/>
          <w:spacing w:val="2"/>
        </w:rPr>
        <w:t>x</w:t>
      </w:r>
      <w:r w:rsidRPr="00E3232D">
        <w:rPr>
          <w:rFonts w:ascii="Book Antiqua" w:hAnsi="Book Antiqua"/>
        </w:rPr>
        <w:t>i</w:t>
      </w:r>
      <w:r w:rsidRPr="00E3232D">
        <w:rPr>
          <w:rFonts w:ascii="Book Antiqua" w:hAnsi="Book Antiqua"/>
          <w:spacing w:val="1"/>
        </w:rPr>
        <w:t>m</w:t>
      </w:r>
      <w:r w:rsidRPr="00E3232D">
        <w:rPr>
          <w:rFonts w:ascii="Book Antiqua" w:hAnsi="Book Antiqua"/>
        </w:rPr>
        <w:t>um</w:t>
      </w:r>
      <w:r w:rsidRPr="00E3232D">
        <w:rPr>
          <w:rFonts w:ascii="Book Antiqua" w:hAnsi="Book Antiqua"/>
          <w:spacing w:val="55"/>
        </w:rPr>
        <w:t xml:space="preserve"> </w:t>
      </w:r>
      <w:r w:rsidRPr="00E3232D">
        <w:rPr>
          <w:rFonts w:ascii="Book Antiqua" w:hAnsi="Book Antiqua"/>
        </w:rPr>
        <w:t>of</w:t>
      </w:r>
      <w:r w:rsidRPr="00E3232D">
        <w:rPr>
          <w:rFonts w:ascii="Book Antiqua" w:hAnsi="Book Antiqua"/>
          <w:spacing w:val="57"/>
        </w:rPr>
        <w:t xml:space="preserve"> </w:t>
      </w:r>
      <w:r w:rsidRPr="00E3232D">
        <w:rPr>
          <w:rFonts w:ascii="Book Antiqua" w:hAnsi="Book Antiqua"/>
        </w:rPr>
        <w:t>tw</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t</w:t>
      </w:r>
      <w:r w:rsidRPr="00E3232D">
        <w:rPr>
          <w:rFonts w:ascii="Book Antiqua" w:hAnsi="Book Antiqua"/>
        </w:rPr>
        <w:t>y</w:t>
      </w:r>
      <w:r w:rsidRPr="00E3232D">
        <w:rPr>
          <w:rFonts w:ascii="Book Antiqua" w:hAnsi="Book Antiqua"/>
          <w:spacing w:val="55"/>
        </w:rPr>
        <w:t xml:space="preserve"> </w:t>
      </w:r>
      <w:r w:rsidRPr="00E3232D">
        <w:rPr>
          <w:rFonts w:ascii="Book Antiqua" w:hAnsi="Book Antiqua"/>
        </w:rPr>
        <w:t>(20)</w:t>
      </w:r>
      <w:r w:rsidRPr="00E3232D">
        <w:rPr>
          <w:rFonts w:ascii="Book Antiqua" w:hAnsi="Book Antiqua"/>
          <w:spacing w:val="56"/>
        </w:rPr>
        <w:t xml:space="preserve"> </w:t>
      </w:r>
      <w:r w:rsidRPr="00E3232D">
        <w:rPr>
          <w:rFonts w:ascii="Book Antiqua" w:hAnsi="Book Antiqua"/>
        </w:rPr>
        <w:t>memb</w:t>
      </w:r>
      <w:r w:rsidRPr="00E3232D">
        <w:rPr>
          <w:rFonts w:ascii="Book Antiqua" w:hAnsi="Book Antiqua"/>
          <w:spacing w:val="-1"/>
        </w:rPr>
        <w:t>e</w:t>
      </w:r>
      <w:r w:rsidRPr="00E3232D">
        <w:rPr>
          <w:rFonts w:ascii="Book Antiqua" w:hAnsi="Book Antiqua"/>
          <w:spacing w:val="1"/>
        </w:rPr>
        <w:t>r</w:t>
      </w:r>
      <w:r w:rsidRPr="00E3232D">
        <w:rPr>
          <w:rFonts w:ascii="Book Antiqua" w:hAnsi="Book Antiqua"/>
        </w:rPr>
        <w:t>s.</w:t>
      </w:r>
      <w:r w:rsidRPr="00E3232D">
        <w:rPr>
          <w:rFonts w:ascii="Book Antiqua" w:hAnsi="Book Antiqua"/>
          <w:spacing w:val="58"/>
        </w:rPr>
        <w:t xml:space="preserve"> </w:t>
      </w:r>
      <w:r w:rsidRPr="00E3232D">
        <w:rPr>
          <w:rFonts w:ascii="Book Antiqua" w:hAnsi="Book Antiqua"/>
        </w:rPr>
        <w:t>A</w:t>
      </w:r>
      <w:r w:rsidRPr="00E3232D">
        <w:rPr>
          <w:rFonts w:ascii="Book Antiqua" w:hAnsi="Book Antiqua"/>
          <w:spacing w:val="57"/>
        </w:rPr>
        <w:t xml:space="preserve"> </w:t>
      </w:r>
      <w:r w:rsidRPr="00E3232D">
        <w:rPr>
          <w:rFonts w:ascii="Book Antiqua" w:hAnsi="Book Antiqua"/>
        </w:rPr>
        <w:t>s</w:t>
      </w:r>
      <w:r w:rsidRPr="00E3232D">
        <w:rPr>
          <w:rFonts w:ascii="Book Antiqua" w:hAnsi="Book Antiqua"/>
          <w:spacing w:val="-1"/>
        </w:rPr>
        <w:t>a</w:t>
      </w:r>
      <w:r w:rsidRPr="00E3232D">
        <w:rPr>
          <w:rFonts w:ascii="Book Antiqua" w:hAnsi="Book Antiqua"/>
        </w:rPr>
        <w:t>mp</w:t>
      </w:r>
      <w:r w:rsidRPr="00E3232D">
        <w:rPr>
          <w:rFonts w:ascii="Book Antiqua" w:hAnsi="Book Antiqua"/>
          <w:spacing w:val="1"/>
        </w:rPr>
        <w:t>l</w:t>
      </w:r>
      <w:r w:rsidRPr="00E3232D">
        <w:rPr>
          <w:rFonts w:ascii="Book Antiqua" w:hAnsi="Book Antiqua"/>
        </w:rPr>
        <w:t>ing f</w:t>
      </w:r>
      <w:r w:rsidRPr="00E3232D">
        <w:rPr>
          <w:rFonts w:ascii="Book Antiqua" w:hAnsi="Book Antiqua"/>
          <w:spacing w:val="-1"/>
        </w:rPr>
        <w:t>rac</w:t>
      </w:r>
      <w:r w:rsidRPr="00E3232D">
        <w:rPr>
          <w:rFonts w:ascii="Book Antiqua" w:hAnsi="Book Antiqua"/>
        </w:rPr>
        <w:t>t</w:t>
      </w:r>
      <w:r w:rsidRPr="00E3232D">
        <w:rPr>
          <w:rFonts w:ascii="Book Antiqua" w:hAnsi="Book Antiqua"/>
          <w:spacing w:val="1"/>
        </w:rPr>
        <w:t>i</w:t>
      </w:r>
      <w:r w:rsidRPr="00E3232D">
        <w:rPr>
          <w:rFonts w:ascii="Book Antiqua" w:hAnsi="Book Antiqua"/>
        </w:rPr>
        <w:t xml:space="preserve">on </w:t>
      </w:r>
      <w:r w:rsidRPr="00E3232D">
        <w:rPr>
          <w:rFonts w:ascii="Book Antiqua" w:hAnsi="Book Antiqua"/>
          <w:spacing w:val="2"/>
        </w:rPr>
        <w:t>o</w:t>
      </w:r>
      <w:r w:rsidRPr="00E3232D">
        <w:rPr>
          <w:rFonts w:ascii="Book Antiqua" w:hAnsi="Book Antiqua"/>
        </w:rPr>
        <w:t>f</w:t>
      </w:r>
      <w:r w:rsidRPr="00E3232D">
        <w:rPr>
          <w:rFonts w:ascii="Book Antiqua" w:hAnsi="Book Antiqua"/>
          <w:spacing w:val="1"/>
        </w:rPr>
        <w:t xml:space="preserve"> </w:t>
      </w:r>
      <w:r w:rsidRPr="00E3232D">
        <w:rPr>
          <w:rFonts w:ascii="Book Antiqua" w:hAnsi="Book Antiqua"/>
        </w:rPr>
        <w:t>five</w:t>
      </w:r>
      <w:r w:rsidRPr="00E3232D">
        <w:rPr>
          <w:rFonts w:ascii="Book Antiqua" w:hAnsi="Book Antiqua"/>
          <w:spacing w:val="-1"/>
        </w:rPr>
        <w:t xml:space="preserve"> (</w:t>
      </w:r>
      <w:r w:rsidRPr="00E3232D">
        <w:rPr>
          <w:rFonts w:ascii="Book Antiqua" w:hAnsi="Book Antiqua"/>
          <w:spacing w:val="2"/>
        </w:rPr>
        <w:t>5</w:t>
      </w:r>
      <w:r w:rsidRPr="00E3232D">
        <w:rPr>
          <w:rFonts w:ascii="Book Antiqua" w:hAnsi="Book Antiqua"/>
        </w:rPr>
        <w:t xml:space="preserve">) </w:t>
      </w:r>
      <w:r w:rsidRPr="00E3232D">
        <w:rPr>
          <w:rFonts w:ascii="Book Antiqua" w:hAnsi="Book Antiqua"/>
          <w:spacing w:val="1"/>
        </w:rPr>
        <w:t>w</w:t>
      </w:r>
      <w:r w:rsidRPr="00E3232D">
        <w:rPr>
          <w:rFonts w:ascii="Book Antiqua" w:hAnsi="Book Antiqua"/>
          <w:spacing w:val="-1"/>
        </w:rPr>
        <w:t>a</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rPr>
        <w:t>f</w:t>
      </w:r>
      <w:r w:rsidRPr="00E3232D">
        <w:rPr>
          <w:rFonts w:ascii="Book Antiqua" w:hAnsi="Book Antiqua"/>
        </w:rPr>
        <w:t xml:space="preserve">ound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rPr>
        <w:t>mp</w:t>
      </w:r>
      <w:r w:rsidRPr="00E3232D">
        <w:rPr>
          <w:rFonts w:ascii="Book Antiqua" w:hAnsi="Book Antiqua"/>
          <w:spacing w:val="1"/>
        </w:rPr>
        <w:t>l</w:t>
      </w:r>
      <w:r w:rsidRPr="00E3232D">
        <w:rPr>
          <w:rFonts w:ascii="Book Antiqua" w:hAnsi="Book Antiqua"/>
          <w:spacing w:val="2"/>
        </w:rPr>
        <w:t>o</w:t>
      </w:r>
      <w:r w:rsidRPr="00E3232D">
        <w:rPr>
          <w:rFonts w:ascii="Book Antiqua" w:hAnsi="Book Antiqua"/>
          <w:spacing w:val="-5"/>
        </w:rPr>
        <w:t>y</w:t>
      </w:r>
      <w:r w:rsidRPr="00E3232D">
        <w:rPr>
          <w:rFonts w:ascii="Book Antiqua" w:hAnsi="Book Antiqua"/>
        </w:rPr>
        <w:t>i</w:t>
      </w:r>
      <w:r w:rsidRPr="00E3232D">
        <w:rPr>
          <w:rFonts w:ascii="Book Antiqua" w:hAnsi="Book Antiqua"/>
          <w:spacing w:val="3"/>
        </w:rPr>
        <w:t>n</w:t>
      </w:r>
      <w:r w:rsidRPr="00E3232D">
        <w:rPr>
          <w:rFonts w:ascii="Book Antiqua" w:hAnsi="Book Antiqua"/>
        </w:rPr>
        <w:t>g the</w:t>
      </w:r>
      <w:r w:rsidRPr="00E3232D">
        <w:rPr>
          <w:rFonts w:ascii="Book Antiqua" w:hAnsi="Book Antiqua"/>
          <w:spacing w:val="2"/>
        </w:rPr>
        <w:t xml:space="preserve"> </w:t>
      </w:r>
      <w:r w:rsidRPr="00E3232D">
        <w:rPr>
          <w:rFonts w:ascii="Book Antiqua" w:hAnsi="Book Antiqua"/>
        </w:rPr>
        <w:t>si</w:t>
      </w:r>
      <w:r w:rsidRPr="00E3232D">
        <w:rPr>
          <w:rFonts w:ascii="Book Antiqua" w:hAnsi="Book Antiqua"/>
          <w:spacing w:val="1"/>
        </w:rPr>
        <w:t>m</w:t>
      </w:r>
      <w:r w:rsidRPr="00E3232D">
        <w:rPr>
          <w:rFonts w:ascii="Book Antiqua" w:hAnsi="Book Antiqua"/>
        </w:rPr>
        <w:t xml:space="preserve">ple </w:t>
      </w:r>
      <w:r w:rsidRPr="00E3232D">
        <w:rPr>
          <w:rFonts w:ascii="Book Antiqua" w:hAnsi="Book Antiqua"/>
          <w:spacing w:val="-1"/>
        </w:rPr>
        <w:t>ra</w:t>
      </w:r>
      <w:r w:rsidRPr="00E3232D">
        <w:rPr>
          <w:rFonts w:ascii="Book Antiqua" w:hAnsi="Book Antiqua"/>
        </w:rPr>
        <w:t>ndom s</w:t>
      </w:r>
      <w:r w:rsidRPr="00E3232D">
        <w:rPr>
          <w:rFonts w:ascii="Book Antiqua" w:hAnsi="Book Antiqua"/>
          <w:spacing w:val="-1"/>
        </w:rPr>
        <w:t>a</w:t>
      </w:r>
      <w:r w:rsidRPr="00E3232D">
        <w:rPr>
          <w:rFonts w:ascii="Book Antiqua" w:hAnsi="Book Antiqua"/>
        </w:rPr>
        <w:t>mp</w:t>
      </w:r>
      <w:r w:rsidRPr="00E3232D">
        <w:rPr>
          <w:rFonts w:ascii="Book Antiqua" w:hAnsi="Book Antiqua"/>
          <w:spacing w:val="1"/>
        </w:rPr>
        <w:t>l</w:t>
      </w:r>
      <w:r w:rsidRPr="00E3232D">
        <w:rPr>
          <w:rFonts w:ascii="Book Antiqua" w:hAnsi="Book Antiqua"/>
        </w:rPr>
        <w:t>i</w:t>
      </w:r>
      <w:r w:rsidRPr="00E3232D">
        <w:rPr>
          <w:rFonts w:ascii="Book Antiqua" w:hAnsi="Book Antiqua"/>
          <w:spacing w:val="3"/>
        </w:rPr>
        <w:t>n</w:t>
      </w:r>
      <w:r w:rsidRPr="00E3232D">
        <w:rPr>
          <w:rFonts w:ascii="Book Antiqua" w:hAnsi="Book Antiqua"/>
        </w:rPr>
        <w:t>g a</w:t>
      </w:r>
      <w:r w:rsidRPr="00E3232D">
        <w:rPr>
          <w:rFonts w:ascii="Book Antiqua" w:hAnsi="Book Antiqua"/>
          <w:spacing w:val="-1"/>
        </w:rPr>
        <w:t xml:space="preserve"> </w:t>
      </w:r>
      <w:r w:rsidRPr="00E3232D">
        <w:rPr>
          <w:rFonts w:ascii="Book Antiqua" w:hAnsi="Book Antiqua"/>
        </w:rPr>
        <w:t>su</w:t>
      </w:r>
      <w:r w:rsidRPr="00E3232D">
        <w:rPr>
          <w:rFonts w:ascii="Book Antiqua" w:hAnsi="Book Antiqua"/>
          <w:spacing w:val="1"/>
        </w:rPr>
        <w:t>c</w:t>
      </w:r>
      <w:r w:rsidRPr="00E3232D">
        <w:rPr>
          <w:rFonts w:ascii="Book Antiqua" w:hAnsi="Book Antiqua"/>
          <w:spacing w:val="-1"/>
        </w:rPr>
        <w:t>ce</w:t>
      </w:r>
      <w:r w:rsidRPr="00E3232D">
        <w:rPr>
          <w:rFonts w:ascii="Book Antiqua" w:hAnsi="Book Antiqua"/>
        </w:rPr>
        <w:t>ss</w:t>
      </w:r>
      <w:r w:rsidRPr="00E3232D">
        <w:rPr>
          <w:rFonts w:ascii="Book Antiqua" w:hAnsi="Book Antiqua"/>
          <w:spacing w:val="1"/>
        </w:rPr>
        <w:t>i</w:t>
      </w:r>
      <w:r w:rsidRPr="00E3232D">
        <w:rPr>
          <w:rFonts w:ascii="Book Antiqua" w:hAnsi="Book Antiqua"/>
        </w:rPr>
        <w:t xml:space="preserve">on of </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spacing w:val="4"/>
        </w:rPr>
        <w:t>r</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rPr>
        <w:t>fi</w:t>
      </w:r>
      <w:r w:rsidRPr="00E3232D">
        <w:rPr>
          <w:rFonts w:ascii="Book Antiqua" w:hAnsi="Book Antiqua"/>
          <w:spacing w:val="-1"/>
        </w:rPr>
        <w:t>f</w:t>
      </w:r>
      <w:r w:rsidRPr="00E3232D">
        <w:rPr>
          <w:rFonts w:ascii="Book Antiqua" w:hAnsi="Book Antiqua"/>
        </w:rPr>
        <w:t>th</w:t>
      </w:r>
      <w:r w:rsidRPr="00E3232D">
        <w:rPr>
          <w:rFonts w:ascii="Book Antiqua" w:hAnsi="Book Antiqua"/>
          <w:spacing w:val="3"/>
        </w:rPr>
        <w:t xml:space="preserve"> </w:t>
      </w:r>
      <w:r w:rsidRPr="00E3232D">
        <w:rPr>
          <w:rFonts w:ascii="Book Antiqua" w:hAnsi="Book Antiqua"/>
        </w:rPr>
        <w:t>number</w:t>
      </w:r>
      <w:r w:rsidRPr="00E3232D">
        <w:rPr>
          <w:rFonts w:ascii="Book Antiqua" w:hAnsi="Book Antiqua"/>
          <w:spacing w:val="1"/>
        </w:rPr>
        <w:t xml:space="preserve"> </w:t>
      </w:r>
      <w:r w:rsidRPr="00E3232D">
        <w:rPr>
          <w:rFonts w:ascii="Book Antiqua" w:hAnsi="Book Antiqua"/>
        </w:rPr>
        <w:t>w</w:t>
      </w:r>
      <w:r w:rsidRPr="00E3232D">
        <w:rPr>
          <w:rFonts w:ascii="Book Antiqua" w:hAnsi="Book Antiqua"/>
          <w:spacing w:val="-1"/>
        </w:rPr>
        <w:t>a</w:t>
      </w:r>
      <w:r w:rsidRPr="00E3232D">
        <w:rPr>
          <w:rFonts w:ascii="Book Antiqua" w:hAnsi="Book Antiqua"/>
        </w:rPr>
        <w:t>s</w:t>
      </w:r>
      <w:r w:rsidRPr="00E3232D">
        <w:rPr>
          <w:rFonts w:ascii="Book Antiqua" w:hAnsi="Book Antiqua"/>
          <w:spacing w:val="2"/>
        </w:rPr>
        <w:t xml:space="preserve"> p</w:t>
      </w:r>
      <w:r w:rsidRPr="00E3232D">
        <w:rPr>
          <w:rFonts w:ascii="Book Antiqua" w:hAnsi="Book Antiqua"/>
        </w:rPr>
        <w:t>ick</w:t>
      </w:r>
      <w:r w:rsidRPr="00E3232D">
        <w:rPr>
          <w:rFonts w:ascii="Book Antiqua" w:hAnsi="Book Antiqua"/>
          <w:spacing w:val="-1"/>
        </w:rPr>
        <w:t>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rPr>
        <w:t>to</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r</w:t>
      </w:r>
      <w:r w:rsidRPr="00E3232D">
        <w:rPr>
          <w:rFonts w:ascii="Book Antiqua" w:hAnsi="Book Antiqua"/>
          <w:spacing w:val="-1"/>
        </w:rPr>
        <w:t>r</w:t>
      </w:r>
      <w:r w:rsidRPr="00E3232D">
        <w:rPr>
          <w:rFonts w:ascii="Book Antiqua" w:hAnsi="Book Antiqua"/>
        </w:rPr>
        <w:t>ive</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t</w:t>
      </w:r>
      <w:r w:rsidRPr="00E3232D">
        <w:rPr>
          <w:rFonts w:ascii="Book Antiqua" w:hAnsi="Book Antiqua"/>
          <w:spacing w:val="3"/>
        </w:rPr>
        <w:t xml:space="preserve"> </w:t>
      </w:r>
      <w:r w:rsidRPr="00E3232D">
        <w:rPr>
          <w:rFonts w:ascii="Book Antiqua" w:hAnsi="Book Antiqua"/>
        </w:rPr>
        <w:t>t</w:t>
      </w:r>
      <w:r w:rsidRPr="00E3232D">
        <w:rPr>
          <w:rFonts w:ascii="Book Antiqua" w:hAnsi="Book Antiqua"/>
          <w:spacing w:val="4"/>
        </w:rPr>
        <w:t>h</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1"/>
        </w:rPr>
        <w:t>t</w:t>
      </w:r>
      <w:r w:rsidRPr="00E3232D">
        <w:rPr>
          <w:rFonts w:ascii="Book Antiqua" w:hAnsi="Book Antiqua"/>
          <w:spacing w:val="-1"/>
        </w:rPr>
        <w:t>a</w:t>
      </w:r>
      <w:r w:rsidRPr="00E3232D">
        <w:rPr>
          <w:rFonts w:ascii="Book Antiqua" w:hAnsi="Book Antiqua"/>
        </w:rPr>
        <w:t>l</w:t>
      </w:r>
      <w:r w:rsidRPr="00E3232D">
        <w:rPr>
          <w:rFonts w:ascii="Book Antiqua" w:hAnsi="Book Antiqua"/>
          <w:spacing w:val="3"/>
        </w:rPr>
        <w:t xml:space="preserve"> </w:t>
      </w:r>
      <w:r w:rsidRPr="00E3232D">
        <w:rPr>
          <w:rFonts w:ascii="Book Antiqua" w:hAnsi="Book Antiqua"/>
        </w:rPr>
        <w:t>ta</w:t>
      </w:r>
      <w:r w:rsidRPr="00E3232D">
        <w:rPr>
          <w:rFonts w:ascii="Book Antiqua" w:hAnsi="Book Antiqua"/>
          <w:spacing w:val="-1"/>
        </w:rPr>
        <w:t>r</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t</w:t>
      </w:r>
      <w:r w:rsidRPr="00E3232D">
        <w:rPr>
          <w:rFonts w:ascii="Book Antiqua" w:hAnsi="Book Antiqua"/>
          <w:spacing w:val="3"/>
        </w:rPr>
        <w:t xml:space="preserve"> </w:t>
      </w:r>
      <w:r w:rsidRPr="00E3232D">
        <w:rPr>
          <w:rFonts w:ascii="Book Antiqua" w:hAnsi="Book Antiqua"/>
        </w:rPr>
        <w:t xml:space="preserve">sample size </w:t>
      </w:r>
      <w:r w:rsidRPr="00E3232D">
        <w:rPr>
          <w:rFonts w:ascii="Book Antiqua" w:hAnsi="Book Antiqua"/>
          <w:spacing w:val="3"/>
        </w:rPr>
        <w:t xml:space="preserve"> </w:t>
      </w:r>
      <w:r w:rsidRPr="00E3232D">
        <w:rPr>
          <w:rFonts w:ascii="Book Antiqua" w:hAnsi="Book Antiqua"/>
        </w:rPr>
        <w:t>of</w:t>
      </w:r>
      <w:r w:rsidRPr="00E3232D">
        <w:rPr>
          <w:rFonts w:ascii="Book Antiqua" w:hAnsi="Book Antiqua"/>
          <w:spacing w:val="3"/>
        </w:rPr>
        <w:t xml:space="preserve"> </w:t>
      </w:r>
      <w:r w:rsidRPr="00E3232D">
        <w:rPr>
          <w:rFonts w:ascii="Book Antiqua" w:hAnsi="Book Antiqua"/>
        </w:rPr>
        <w:t>thr</w:t>
      </w:r>
      <w:r w:rsidRPr="00E3232D">
        <w:rPr>
          <w:rFonts w:ascii="Book Antiqua" w:hAnsi="Book Antiqua"/>
          <w:spacing w:val="-1"/>
        </w:rPr>
        <w:t>e</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hund</w:t>
      </w:r>
      <w:r w:rsidRPr="00E3232D">
        <w:rPr>
          <w:rFonts w:ascii="Book Antiqua" w:hAnsi="Book Antiqua"/>
          <w:spacing w:val="-1"/>
        </w:rPr>
        <w:t>re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nd fi</w:t>
      </w:r>
      <w:r w:rsidRPr="00E3232D">
        <w:rPr>
          <w:rFonts w:ascii="Book Antiqua" w:hAnsi="Book Antiqua"/>
          <w:spacing w:val="-1"/>
        </w:rPr>
        <w:t>f</w:t>
      </w:r>
      <w:r w:rsidRPr="00E3232D">
        <w:rPr>
          <w:rFonts w:ascii="Book Antiqua" w:hAnsi="Book Antiqua"/>
        </w:rPr>
        <w:t>te</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 xml:space="preserve"> </w:t>
      </w:r>
      <w:r w:rsidRPr="00E3232D">
        <w:rPr>
          <w:rFonts w:ascii="Book Antiqua" w:hAnsi="Book Antiqua"/>
        </w:rPr>
        <w:t>(315).</w:t>
      </w:r>
      <w:r w:rsidRPr="00E3232D">
        <w:rPr>
          <w:rFonts w:ascii="Book Antiqua" w:hAnsi="Book Antiqua"/>
          <w:spacing w:val="1"/>
        </w:rPr>
        <w:t xml:space="preserve"> </w:t>
      </w:r>
      <w:r w:rsidRPr="00E3232D">
        <w:rPr>
          <w:rFonts w:ascii="Book Antiqua" w:hAnsi="Book Antiqua"/>
        </w:rPr>
        <w:t>This</w:t>
      </w:r>
      <w:r w:rsidRPr="00E3232D">
        <w:rPr>
          <w:rFonts w:ascii="Book Antiqua" w:hAnsi="Book Antiqua"/>
          <w:spacing w:val="1"/>
        </w:rPr>
        <w:t xml:space="preserve"> </w:t>
      </w:r>
      <w:r w:rsidRPr="00E3232D">
        <w:rPr>
          <w:rFonts w:ascii="Book Antiqua" w:hAnsi="Book Antiqua"/>
        </w:rPr>
        <w:t>te</w:t>
      </w:r>
      <w:r w:rsidRPr="00E3232D">
        <w:rPr>
          <w:rFonts w:ascii="Book Antiqua" w:hAnsi="Book Antiqua"/>
          <w:spacing w:val="-1"/>
        </w:rPr>
        <w:t>c</w:t>
      </w:r>
      <w:r w:rsidRPr="00E3232D">
        <w:rPr>
          <w:rFonts w:ascii="Book Antiqua" w:hAnsi="Book Antiqua"/>
        </w:rPr>
        <w:t>hn</w:t>
      </w:r>
      <w:r w:rsidRPr="00E3232D">
        <w:rPr>
          <w:rFonts w:ascii="Book Antiqua" w:hAnsi="Book Antiqua"/>
          <w:spacing w:val="3"/>
        </w:rPr>
        <w:t>i</w:t>
      </w:r>
      <w:r w:rsidRPr="00E3232D">
        <w:rPr>
          <w:rFonts w:ascii="Book Antiqua" w:hAnsi="Book Antiqua"/>
        </w:rPr>
        <w:t>que w</w:t>
      </w:r>
      <w:r w:rsidRPr="00E3232D">
        <w:rPr>
          <w:rFonts w:ascii="Book Antiqua" w:hAnsi="Book Antiqua"/>
          <w:spacing w:val="-1"/>
        </w:rPr>
        <w:t>a</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used so</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1"/>
        </w:rPr>
        <w:t xml:space="preserve"> </w:t>
      </w:r>
      <w:r w:rsidRPr="00E3232D">
        <w:rPr>
          <w:rFonts w:ascii="Book Antiqua" w:hAnsi="Book Antiqua"/>
          <w:spacing w:val="-2"/>
        </w:rPr>
        <w:t>g</w:t>
      </w:r>
      <w:r w:rsidRPr="00E3232D">
        <w:rPr>
          <w:rFonts w:ascii="Book Antiqua" w:hAnsi="Book Antiqua"/>
          <w:spacing w:val="3"/>
        </w:rPr>
        <w:t>i</w:t>
      </w:r>
      <w:r w:rsidRPr="00E3232D">
        <w:rPr>
          <w:rFonts w:ascii="Book Antiqua" w:hAnsi="Book Antiqua"/>
        </w:rPr>
        <w:t xml:space="preserve">ve </w:t>
      </w:r>
      <w:r w:rsidRPr="00E3232D">
        <w:rPr>
          <w:rFonts w:ascii="Book Antiqua" w:hAnsi="Book Antiqua"/>
          <w:spacing w:val="-1"/>
        </w:rPr>
        <w:t>eac</w:t>
      </w:r>
      <w:r w:rsidRPr="00E3232D">
        <w:rPr>
          <w:rFonts w:ascii="Book Antiqua" w:hAnsi="Book Antiqua"/>
        </w:rPr>
        <w:t>h</w:t>
      </w:r>
      <w:r w:rsidRPr="00E3232D">
        <w:rPr>
          <w:rFonts w:ascii="Book Antiqua" w:hAnsi="Book Antiqua"/>
          <w:spacing w:val="1"/>
        </w:rPr>
        <w:t xml:space="preserve"> r</w:t>
      </w:r>
      <w:r w:rsidRPr="00E3232D">
        <w:rPr>
          <w:rFonts w:ascii="Book Antiqua" w:hAnsi="Book Antiqua"/>
          <w:spacing w:val="-1"/>
        </w:rPr>
        <w:t>e</w:t>
      </w:r>
      <w:r w:rsidRPr="00E3232D">
        <w:rPr>
          <w:rFonts w:ascii="Book Antiqua" w:hAnsi="Book Antiqua"/>
        </w:rPr>
        <w:t>spond</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 xml:space="preserve"> e</w:t>
      </w:r>
      <w:r w:rsidRPr="00E3232D">
        <w:rPr>
          <w:rFonts w:ascii="Book Antiqua" w:hAnsi="Book Antiqua"/>
        </w:rPr>
        <w:t>qu</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 xml:space="preserv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 xml:space="preserve">e </w:t>
      </w:r>
      <w:r w:rsidRPr="00E3232D">
        <w:rPr>
          <w:rFonts w:ascii="Book Antiqua" w:hAnsi="Book Antiqua"/>
          <w:spacing w:val="2"/>
        </w:rPr>
        <w:t>o</w:t>
      </w:r>
      <w:r w:rsidRPr="00E3232D">
        <w:rPr>
          <w:rFonts w:ascii="Book Antiqua" w:hAnsi="Book Antiqua"/>
        </w:rPr>
        <w:t>f b</w:t>
      </w:r>
      <w:r w:rsidRPr="00E3232D">
        <w:rPr>
          <w:rFonts w:ascii="Book Antiqua" w:hAnsi="Book Antiqua"/>
          <w:spacing w:val="-1"/>
        </w:rPr>
        <w:t>e</w:t>
      </w:r>
      <w:r w:rsidRPr="00E3232D">
        <w:rPr>
          <w:rFonts w:ascii="Book Antiqua" w:hAnsi="Book Antiqua"/>
        </w:rPr>
        <w:t>ing</w:t>
      </w:r>
      <w:r w:rsidRPr="00E3232D">
        <w:rPr>
          <w:rFonts w:ascii="Book Antiqua" w:hAnsi="Book Antiqua"/>
          <w:spacing w:val="-2"/>
        </w:rPr>
        <w:t xml:space="preserve"> </w:t>
      </w:r>
      <w:r w:rsidRPr="00E3232D">
        <w:rPr>
          <w:rFonts w:ascii="Book Antiqua" w:hAnsi="Book Antiqua"/>
        </w:rPr>
        <w:t>se</w:t>
      </w:r>
      <w:r w:rsidRPr="00E3232D">
        <w:rPr>
          <w:rFonts w:ascii="Book Antiqua" w:hAnsi="Book Antiqua"/>
          <w:spacing w:val="2"/>
        </w:rPr>
        <w:t>l</w:t>
      </w:r>
      <w:r w:rsidRPr="00E3232D">
        <w:rPr>
          <w:rFonts w:ascii="Book Antiqua" w:hAnsi="Book Antiqua"/>
          <w:spacing w:val="-1"/>
        </w:rPr>
        <w:t>ec</w:t>
      </w:r>
      <w:r w:rsidRPr="00E3232D">
        <w:rPr>
          <w:rFonts w:ascii="Book Antiqua" w:hAnsi="Book Antiqua"/>
        </w:rPr>
        <w:t>ted</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 xml:space="preserve">nd to </w:t>
      </w:r>
      <w:r w:rsidRPr="00E3232D">
        <w:rPr>
          <w:rFonts w:ascii="Book Antiqua" w:hAnsi="Book Antiqua"/>
          <w:spacing w:val="-2"/>
        </w:rPr>
        <w:t>g</w:t>
      </w:r>
      <w:r w:rsidRPr="00E3232D">
        <w:rPr>
          <w:rFonts w:ascii="Book Antiqua" w:hAnsi="Book Antiqua"/>
        </w:rPr>
        <w:t>i</w:t>
      </w:r>
      <w:r w:rsidRPr="00E3232D">
        <w:rPr>
          <w:rFonts w:ascii="Book Antiqua" w:hAnsi="Book Antiqua"/>
          <w:spacing w:val="3"/>
        </w:rPr>
        <w:t>v</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a</w:t>
      </w:r>
      <w:r w:rsidRPr="00E3232D">
        <w:rPr>
          <w:rFonts w:ascii="Book Antiqua" w:hAnsi="Book Antiqua"/>
          <w:spacing w:val="-1"/>
        </w:rPr>
        <w:t xml:space="preserve"> </w:t>
      </w:r>
      <w:r w:rsidRPr="00E3232D">
        <w:rPr>
          <w:rFonts w:ascii="Book Antiqua" w:hAnsi="Book Antiqua"/>
        </w:rPr>
        <w:t>true</w:t>
      </w:r>
      <w:r w:rsidRPr="00E3232D">
        <w:rPr>
          <w:rFonts w:ascii="Book Antiqua" w:hAnsi="Book Antiqua"/>
          <w:spacing w:val="1"/>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s</w:t>
      </w:r>
      <w:r w:rsidRPr="00E3232D">
        <w:rPr>
          <w:rFonts w:ascii="Book Antiqua" w:hAnsi="Book Antiqua"/>
          <w:spacing w:val="-1"/>
        </w:rPr>
        <w:t>e</w:t>
      </w:r>
      <w:r w:rsidRPr="00E3232D">
        <w:rPr>
          <w:rFonts w:ascii="Book Antiqua" w:hAnsi="Book Antiqua"/>
        </w:rPr>
        <w:t>ntation of</w:t>
      </w:r>
      <w:r w:rsidRPr="00E3232D">
        <w:rPr>
          <w:rFonts w:ascii="Book Antiqua" w:hAnsi="Book Antiqua"/>
          <w:spacing w:val="2"/>
        </w:rPr>
        <w:t xml:space="preserve"> </w:t>
      </w:r>
      <w:r w:rsidRPr="00E3232D">
        <w:rPr>
          <w:rFonts w:ascii="Book Antiqua" w:hAnsi="Book Antiqua"/>
        </w:rPr>
        <w:t>the popul</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 to avoid bias.</w:t>
      </w:r>
    </w:p>
    <w:p w14:paraId="1E1C8AFF" w14:textId="77777777" w:rsidR="001C5D75" w:rsidRPr="00E3232D" w:rsidRDefault="001C5D75" w:rsidP="00465AE3">
      <w:pPr>
        <w:widowControl w:val="0"/>
        <w:autoSpaceDE w:val="0"/>
        <w:autoSpaceDN w:val="0"/>
        <w:adjustRightInd w:val="0"/>
        <w:spacing w:before="74"/>
        <w:ind w:right="85"/>
        <w:jc w:val="both"/>
        <w:rPr>
          <w:rFonts w:ascii="Book Antiqua" w:hAnsi="Book Antiqua"/>
        </w:rPr>
      </w:pPr>
      <w:r w:rsidRPr="00E3232D">
        <w:rPr>
          <w:rFonts w:ascii="Book Antiqua" w:hAnsi="Book Antiqua"/>
        </w:rPr>
        <w:t>The</w:t>
      </w:r>
      <w:r w:rsidRPr="00E3232D">
        <w:rPr>
          <w:rFonts w:ascii="Book Antiqua" w:hAnsi="Book Antiqua"/>
          <w:spacing w:val="32"/>
        </w:rPr>
        <w:t xml:space="preserve"> </w:t>
      </w:r>
      <w:r w:rsidRPr="00E3232D">
        <w:rPr>
          <w:rFonts w:ascii="Book Antiqua" w:hAnsi="Book Antiqua"/>
        </w:rPr>
        <w:t>main</w:t>
      </w:r>
      <w:r w:rsidRPr="00E3232D">
        <w:rPr>
          <w:rFonts w:ascii="Book Antiqua" w:hAnsi="Book Antiqua"/>
          <w:spacing w:val="33"/>
        </w:rPr>
        <w:t xml:space="preserve"> </w:t>
      </w:r>
      <w:r w:rsidRPr="00E3232D">
        <w:rPr>
          <w:rFonts w:ascii="Book Antiqua" w:hAnsi="Book Antiqua"/>
        </w:rPr>
        <w:t>ins</w:t>
      </w:r>
      <w:r w:rsidRPr="00E3232D">
        <w:rPr>
          <w:rFonts w:ascii="Book Antiqua" w:hAnsi="Book Antiqua"/>
          <w:spacing w:val="1"/>
        </w:rPr>
        <w:t>t</w:t>
      </w:r>
      <w:r w:rsidRPr="00E3232D">
        <w:rPr>
          <w:rFonts w:ascii="Book Antiqua" w:hAnsi="Book Antiqua"/>
        </w:rPr>
        <w:t>rum</w:t>
      </w:r>
      <w:r w:rsidRPr="00E3232D">
        <w:rPr>
          <w:rFonts w:ascii="Book Antiqua" w:hAnsi="Book Antiqua"/>
          <w:spacing w:val="-1"/>
        </w:rPr>
        <w:t>e</w:t>
      </w:r>
      <w:r w:rsidRPr="00E3232D">
        <w:rPr>
          <w:rFonts w:ascii="Book Antiqua" w:hAnsi="Book Antiqua"/>
        </w:rPr>
        <w:t>nt</w:t>
      </w:r>
      <w:r w:rsidRPr="00E3232D">
        <w:rPr>
          <w:rFonts w:ascii="Book Antiqua" w:hAnsi="Book Antiqua"/>
          <w:spacing w:val="34"/>
        </w:rPr>
        <w:t xml:space="preserve"> </w:t>
      </w:r>
      <w:r w:rsidRPr="00E3232D">
        <w:rPr>
          <w:rFonts w:ascii="Book Antiqua" w:hAnsi="Book Antiqua"/>
          <w:spacing w:val="-1"/>
        </w:rPr>
        <w:t>e</w:t>
      </w:r>
      <w:r w:rsidRPr="00E3232D">
        <w:rPr>
          <w:rFonts w:ascii="Book Antiqua" w:hAnsi="Book Antiqua"/>
          <w:spacing w:val="3"/>
        </w:rPr>
        <w:t>m</w:t>
      </w:r>
      <w:r w:rsidRPr="00E3232D">
        <w:rPr>
          <w:rFonts w:ascii="Book Antiqua" w:hAnsi="Book Antiqua"/>
        </w:rPr>
        <w:t>pl</w:t>
      </w:r>
      <w:r w:rsidRPr="00E3232D">
        <w:rPr>
          <w:rFonts w:ascii="Book Antiqua" w:hAnsi="Book Antiqua"/>
          <w:spacing w:val="3"/>
        </w:rPr>
        <w:t>o</w:t>
      </w:r>
      <w:r w:rsidRPr="00E3232D">
        <w:rPr>
          <w:rFonts w:ascii="Book Antiqua" w:hAnsi="Book Antiqua"/>
          <w:spacing w:val="-5"/>
        </w:rPr>
        <w:t>y</w:t>
      </w:r>
      <w:r w:rsidRPr="00E3232D">
        <w:rPr>
          <w:rFonts w:ascii="Book Antiqua" w:hAnsi="Book Antiqua"/>
          <w:spacing w:val="-1"/>
        </w:rPr>
        <w:t>e</w:t>
      </w:r>
      <w:r w:rsidRPr="00E3232D">
        <w:rPr>
          <w:rFonts w:ascii="Book Antiqua" w:hAnsi="Book Antiqua"/>
        </w:rPr>
        <w:t>d</w:t>
      </w:r>
      <w:r w:rsidRPr="00E3232D">
        <w:rPr>
          <w:rFonts w:ascii="Book Antiqua" w:hAnsi="Book Antiqua"/>
          <w:spacing w:val="33"/>
        </w:rPr>
        <w:t xml:space="preserve"> </w:t>
      </w:r>
      <w:r w:rsidRPr="00E3232D">
        <w:rPr>
          <w:rFonts w:ascii="Book Antiqua" w:hAnsi="Book Antiqua"/>
        </w:rPr>
        <w:t>to</w:t>
      </w:r>
      <w:r w:rsidRPr="00E3232D">
        <w:rPr>
          <w:rFonts w:ascii="Book Antiqua" w:hAnsi="Book Antiqua"/>
          <w:spacing w:val="36"/>
        </w:rPr>
        <w:t xml:space="preserve"> </w:t>
      </w:r>
      <w:r w:rsidRPr="00E3232D">
        <w:rPr>
          <w:rFonts w:ascii="Book Antiqua" w:hAnsi="Book Antiqua"/>
          <w:spacing w:val="-1"/>
        </w:rPr>
        <w:t>c</w:t>
      </w:r>
      <w:r w:rsidRPr="00E3232D">
        <w:rPr>
          <w:rFonts w:ascii="Book Antiqua" w:hAnsi="Book Antiqua"/>
        </w:rPr>
        <w:t>ol</w:t>
      </w:r>
      <w:r w:rsidRPr="00E3232D">
        <w:rPr>
          <w:rFonts w:ascii="Book Antiqua" w:hAnsi="Book Antiqua"/>
          <w:spacing w:val="1"/>
        </w:rPr>
        <w:t>l</w:t>
      </w:r>
      <w:r w:rsidRPr="00E3232D">
        <w:rPr>
          <w:rFonts w:ascii="Book Antiqua" w:hAnsi="Book Antiqua"/>
          <w:spacing w:val="-1"/>
        </w:rPr>
        <w:t>ec</w:t>
      </w:r>
      <w:r w:rsidRPr="00E3232D">
        <w:rPr>
          <w:rFonts w:ascii="Book Antiqua" w:hAnsi="Book Antiqua"/>
        </w:rPr>
        <w:t>t</w:t>
      </w:r>
      <w:r w:rsidRPr="00E3232D">
        <w:rPr>
          <w:rFonts w:ascii="Book Antiqua" w:hAnsi="Book Antiqua"/>
          <w:spacing w:val="34"/>
        </w:rPr>
        <w:t xml:space="preserve"> </w:t>
      </w:r>
      <w:r w:rsidRPr="00E3232D">
        <w:rPr>
          <w:rFonts w:ascii="Book Antiqua" w:hAnsi="Book Antiqua"/>
        </w:rPr>
        <w:t>inf</w:t>
      </w:r>
      <w:r w:rsidRPr="00E3232D">
        <w:rPr>
          <w:rFonts w:ascii="Book Antiqua" w:hAnsi="Book Antiqua"/>
          <w:spacing w:val="2"/>
        </w:rPr>
        <w:t>o</w:t>
      </w:r>
      <w:r w:rsidRPr="00E3232D">
        <w:rPr>
          <w:rFonts w:ascii="Book Antiqua" w:hAnsi="Book Antiqua"/>
        </w:rPr>
        <w:t>rm</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w:t>
      </w:r>
      <w:r w:rsidRPr="00E3232D">
        <w:rPr>
          <w:rFonts w:ascii="Book Antiqua" w:hAnsi="Book Antiqua"/>
          <w:spacing w:val="33"/>
        </w:rPr>
        <w:t xml:space="preserve"> </w:t>
      </w:r>
      <w:r w:rsidRPr="00E3232D">
        <w:rPr>
          <w:rFonts w:ascii="Book Antiqua" w:hAnsi="Book Antiqua"/>
        </w:rPr>
        <w:t>for</w:t>
      </w:r>
      <w:r w:rsidRPr="00E3232D">
        <w:rPr>
          <w:rFonts w:ascii="Book Antiqua" w:hAnsi="Book Antiqua"/>
          <w:spacing w:val="32"/>
        </w:rPr>
        <w:t xml:space="preserve"> </w:t>
      </w:r>
      <w:r w:rsidRPr="00E3232D">
        <w:rPr>
          <w:rFonts w:ascii="Book Antiqua" w:hAnsi="Book Antiqua"/>
        </w:rPr>
        <w:t>the</w:t>
      </w:r>
      <w:r w:rsidRPr="00E3232D">
        <w:rPr>
          <w:rFonts w:ascii="Book Antiqua" w:hAnsi="Book Antiqua"/>
          <w:spacing w:val="33"/>
        </w:rPr>
        <w:t xml:space="preserve"> </w:t>
      </w:r>
      <w:r w:rsidRPr="00E3232D">
        <w:rPr>
          <w:rFonts w:ascii="Book Antiqua" w:hAnsi="Book Antiqua"/>
        </w:rPr>
        <w:t>stu</w:t>
      </w:r>
      <w:r w:rsidRPr="00E3232D">
        <w:rPr>
          <w:rFonts w:ascii="Book Antiqua" w:hAnsi="Book Antiqua"/>
          <w:spacing w:val="5"/>
        </w:rPr>
        <w:t>d</w:t>
      </w:r>
      <w:r w:rsidRPr="00E3232D">
        <w:rPr>
          <w:rFonts w:ascii="Book Antiqua" w:hAnsi="Book Antiqua"/>
        </w:rPr>
        <w:t>y</w:t>
      </w:r>
      <w:r w:rsidRPr="00E3232D">
        <w:rPr>
          <w:rFonts w:ascii="Book Antiqua" w:hAnsi="Book Antiqua"/>
          <w:spacing w:val="31"/>
        </w:rPr>
        <w:t xml:space="preserve"> </w:t>
      </w:r>
      <w:r w:rsidRPr="00E3232D">
        <w:rPr>
          <w:rFonts w:ascii="Book Antiqua" w:hAnsi="Book Antiqua"/>
        </w:rPr>
        <w:t>w</w:t>
      </w:r>
      <w:r w:rsidRPr="00E3232D">
        <w:rPr>
          <w:rFonts w:ascii="Book Antiqua" w:hAnsi="Book Antiqua"/>
          <w:spacing w:val="-1"/>
        </w:rPr>
        <w:t>a</w:t>
      </w:r>
      <w:r w:rsidRPr="00E3232D">
        <w:rPr>
          <w:rFonts w:ascii="Book Antiqua" w:hAnsi="Book Antiqua"/>
        </w:rPr>
        <w:t>s</w:t>
      </w:r>
      <w:r w:rsidRPr="00E3232D">
        <w:rPr>
          <w:rFonts w:ascii="Book Antiqua" w:hAnsi="Book Antiqua"/>
          <w:spacing w:val="36"/>
        </w:rPr>
        <w:t xml:space="preserve"> </w:t>
      </w:r>
      <w:r w:rsidRPr="00E3232D">
        <w:rPr>
          <w:rFonts w:ascii="Book Antiqua" w:hAnsi="Book Antiqua"/>
        </w:rPr>
        <w:t>qu</w:t>
      </w:r>
      <w:r w:rsidRPr="00E3232D">
        <w:rPr>
          <w:rFonts w:ascii="Book Antiqua" w:hAnsi="Book Antiqua"/>
          <w:spacing w:val="-1"/>
        </w:rPr>
        <w:t>e</w:t>
      </w:r>
      <w:r w:rsidRPr="00E3232D">
        <w:rPr>
          <w:rFonts w:ascii="Book Antiqua" w:hAnsi="Book Antiqua"/>
        </w:rPr>
        <w:t>st</w:t>
      </w:r>
      <w:r w:rsidRPr="00E3232D">
        <w:rPr>
          <w:rFonts w:ascii="Book Antiqua" w:hAnsi="Book Antiqua"/>
          <w:spacing w:val="1"/>
        </w:rPr>
        <w:t>i</w:t>
      </w:r>
      <w:r w:rsidRPr="00E3232D">
        <w:rPr>
          <w:rFonts w:ascii="Book Antiqua" w:hAnsi="Book Antiqua"/>
        </w:rPr>
        <w:t>onn</w:t>
      </w:r>
      <w:r w:rsidRPr="00E3232D">
        <w:rPr>
          <w:rFonts w:ascii="Book Antiqua" w:hAnsi="Book Antiqua"/>
          <w:spacing w:val="-1"/>
        </w:rPr>
        <w:t>a</w:t>
      </w:r>
      <w:r w:rsidRPr="00E3232D">
        <w:rPr>
          <w:rFonts w:ascii="Book Antiqua" w:hAnsi="Book Antiqua"/>
        </w:rPr>
        <w:t>ir</w:t>
      </w:r>
      <w:r w:rsidRPr="00E3232D">
        <w:rPr>
          <w:rFonts w:ascii="Book Antiqua" w:hAnsi="Book Antiqua"/>
          <w:spacing w:val="-1"/>
        </w:rPr>
        <w:t>e</w:t>
      </w:r>
      <w:r w:rsidRPr="00E3232D">
        <w:rPr>
          <w:rFonts w:ascii="Book Antiqua" w:hAnsi="Book Antiqua"/>
        </w:rPr>
        <w:t>. The</w:t>
      </w:r>
      <w:r w:rsidRPr="00E3232D">
        <w:rPr>
          <w:rFonts w:ascii="Book Antiqua" w:hAnsi="Book Antiqua"/>
          <w:spacing w:val="-1"/>
        </w:rPr>
        <w:t xml:space="preserve"> </w:t>
      </w:r>
      <w:r w:rsidRPr="00E3232D">
        <w:rPr>
          <w:rFonts w:ascii="Book Antiqua" w:hAnsi="Book Antiqua"/>
          <w:spacing w:val="3"/>
        </w:rPr>
        <w:t>t</w:t>
      </w:r>
      <w:r w:rsidRPr="00E3232D">
        <w:rPr>
          <w:rFonts w:ascii="Book Antiqua" w:hAnsi="Book Antiqua"/>
          <w:spacing w:val="-5"/>
        </w:rPr>
        <w:t>y</w:t>
      </w:r>
      <w:r w:rsidRPr="00E3232D">
        <w:rPr>
          <w:rFonts w:ascii="Book Antiqua" w:hAnsi="Book Antiqua"/>
          <w:spacing w:val="2"/>
        </w:rPr>
        <w:t>p</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of q</w:t>
      </w:r>
      <w:r w:rsidRPr="00E3232D">
        <w:rPr>
          <w:rFonts w:ascii="Book Antiqua" w:hAnsi="Book Antiqua"/>
          <w:spacing w:val="-1"/>
        </w:rPr>
        <w:t>ue</w:t>
      </w:r>
      <w:r w:rsidRPr="00E3232D">
        <w:rPr>
          <w:rFonts w:ascii="Book Antiqua" w:hAnsi="Book Antiqua"/>
        </w:rPr>
        <w:t>st</w:t>
      </w:r>
      <w:r w:rsidRPr="00E3232D">
        <w:rPr>
          <w:rFonts w:ascii="Book Antiqua" w:hAnsi="Book Antiqua"/>
          <w:spacing w:val="1"/>
        </w:rPr>
        <w:t>i</w:t>
      </w:r>
      <w:r w:rsidRPr="00E3232D">
        <w:rPr>
          <w:rFonts w:ascii="Book Antiqua" w:hAnsi="Book Antiqua"/>
        </w:rPr>
        <w:t xml:space="preserve">ons </w:t>
      </w:r>
      <w:r w:rsidRPr="00E3232D">
        <w:rPr>
          <w:rFonts w:ascii="Book Antiqua" w:hAnsi="Book Antiqua"/>
          <w:spacing w:val="-1"/>
        </w:rPr>
        <w:t>e</w:t>
      </w:r>
      <w:r w:rsidRPr="00E3232D">
        <w:rPr>
          <w:rFonts w:ascii="Book Antiqua" w:hAnsi="Book Antiqua"/>
          <w:spacing w:val="3"/>
        </w:rPr>
        <w:t>m</w:t>
      </w:r>
      <w:r w:rsidRPr="00E3232D">
        <w:rPr>
          <w:rFonts w:ascii="Book Antiqua" w:hAnsi="Book Antiqua"/>
        </w:rPr>
        <w:t>pl</w:t>
      </w:r>
      <w:r w:rsidRPr="00E3232D">
        <w:rPr>
          <w:rFonts w:ascii="Book Antiqua" w:hAnsi="Book Antiqua"/>
          <w:spacing w:val="3"/>
        </w:rPr>
        <w:t>o</w:t>
      </w:r>
      <w:r w:rsidRPr="00E3232D">
        <w:rPr>
          <w:rFonts w:ascii="Book Antiqua" w:hAnsi="Book Antiqua"/>
          <w:spacing w:val="-5"/>
        </w:rPr>
        <w:t>y</w:t>
      </w:r>
      <w:r w:rsidRPr="00E3232D">
        <w:rPr>
          <w:rFonts w:ascii="Book Antiqua" w:hAnsi="Book Antiqua"/>
          <w:spacing w:val="-1"/>
        </w:rPr>
        <w:t>e</w:t>
      </w:r>
      <w:r w:rsidRPr="00E3232D">
        <w:rPr>
          <w:rFonts w:ascii="Book Antiqua" w:hAnsi="Book Antiqua"/>
        </w:rPr>
        <w:t xml:space="preserve">d in </w:t>
      </w:r>
      <w:r w:rsidRPr="00E3232D">
        <w:rPr>
          <w:rFonts w:ascii="Book Antiqua" w:hAnsi="Book Antiqua"/>
          <w:spacing w:val="1"/>
        </w:rPr>
        <w:t>t</w:t>
      </w:r>
      <w:r w:rsidRPr="00E3232D">
        <w:rPr>
          <w:rFonts w:ascii="Book Antiqua" w:hAnsi="Book Antiqua"/>
        </w:rPr>
        <w:t>he</w:t>
      </w:r>
      <w:r w:rsidRPr="00E3232D">
        <w:rPr>
          <w:rFonts w:ascii="Book Antiqua" w:hAnsi="Book Antiqua"/>
          <w:spacing w:val="-1"/>
        </w:rPr>
        <w:t xml:space="preserve"> </w:t>
      </w:r>
      <w:r w:rsidRPr="00E3232D">
        <w:rPr>
          <w:rFonts w:ascii="Book Antiqua" w:hAnsi="Book Antiqua"/>
        </w:rPr>
        <w:t>q</w:t>
      </w:r>
      <w:r w:rsidRPr="00E3232D">
        <w:rPr>
          <w:rFonts w:ascii="Book Antiqua" w:hAnsi="Book Antiqua"/>
          <w:spacing w:val="2"/>
        </w:rPr>
        <w:t>u</w:t>
      </w:r>
      <w:r w:rsidRPr="00E3232D">
        <w:rPr>
          <w:rFonts w:ascii="Book Antiqua" w:hAnsi="Book Antiqua"/>
          <w:spacing w:val="-1"/>
        </w:rPr>
        <w:t>e</w:t>
      </w:r>
      <w:r w:rsidRPr="00E3232D">
        <w:rPr>
          <w:rFonts w:ascii="Book Antiqua" w:hAnsi="Book Antiqua"/>
        </w:rPr>
        <w:t>st</w:t>
      </w:r>
      <w:r w:rsidRPr="00E3232D">
        <w:rPr>
          <w:rFonts w:ascii="Book Antiqua" w:hAnsi="Book Antiqua"/>
          <w:spacing w:val="1"/>
        </w:rPr>
        <w:t>i</w:t>
      </w:r>
      <w:r w:rsidRPr="00E3232D">
        <w:rPr>
          <w:rFonts w:ascii="Book Antiqua" w:hAnsi="Book Antiqua"/>
        </w:rPr>
        <w:t>onn</w:t>
      </w:r>
      <w:r w:rsidRPr="00E3232D">
        <w:rPr>
          <w:rFonts w:ascii="Book Antiqua" w:hAnsi="Book Antiqua"/>
          <w:spacing w:val="-1"/>
        </w:rPr>
        <w:t>a</w:t>
      </w:r>
      <w:r w:rsidRPr="00E3232D">
        <w:rPr>
          <w:rFonts w:ascii="Book Antiqua" w:hAnsi="Book Antiqua"/>
        </w:rPr>
        <w:t>ire</w:t>
      </w:r>
      <w:r w:rsidRPr="00E3232D">
        <w:rPr>
          <w:rFonts w:ascii="Book Antiqua" w:hAnsi="Book Antiqua"/>
          <w:spacing w:val="-1"/>
        </w:rPr>
        <w:t xml:space="preserve"> </w:t>
      </w:r>
      <w:r w:rsidRPr="00E3232D">
        <w:rPr>
          <w:rFonts w:ascii="Book Antiqua" w:hAnsi="Book Antiqua"/>
        </w:rPr>
        <w:t>w</w:t>
      </w:r>
      <w:r w:rsidRPr="00E3232D">
        <w:rPr>
          <w:rFonts w:ascii="Book Antiqua" w:hAnsi="Book Antiqua"/>
          <w:spacing w:val="-1"/>
        </w:rPr>
        <w:t>a</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rPr>
        <w:t>c</w:t>
      </w:r>
      <w:r w:rsidRPr="00E3232D">
        <w:rPr>
          <w:rFonts w:ascii="Book Antiqua" w:hAnsi="Book Antiqua"/>
        </w:rPr>
        <w:t>lose</w:t>
      </w:r>
      <w:r w:rsidRPr="00E3232D">
        <w:rPr>
          <w:rFonts w:ascii="Book Antiqua" w:hAnsi="Book Antiqua"/>
          <w:spacing w:val="4"/>
        </w:rPr>
        <w:t>d</w:t>
      </w:r>
      <w:r w:rsidRPr="00E3232D">
        <w:rPr>
          <w:rFonts w:ascii="Book Antiqua" w:hAnsi="Book Antiqua"/>
          <w:spacing w:val="-1"/>
        </w:rPr>
        <w:t>-e</w:t>
      </w:r>
      <w:r w:rsidRPr="00E3232D">
        <w:rPr>
          <w:rFonts w:ascii="Book Antiqua" w:hAnsi="Book Antiqua"/>
        </w:rPr>
        <w:t>n</w:t>
      </w:r>
      <w:r w:rsidRPr="00E3232D">
        <w:rPr>
          <w:rFonts w:ascii="Book Antiqua" w:hAnsi="Book Antiqua"/>
          <w:spacing w:val="2"/>
        </w:rPr>
        <w:t>d</w:t>
      </w:r>
      <w:r w:rsidRPr="00E3232D">
        <w:rPr>
          <w:rFonts w:ascii="Book Antiqua" w:hAnsi="Book Antiqua"/>
          <w:spacing w:val="-1"/>
        </w:rPr>
        <w:t>e</w:t>
      </w:r>
      <w:r w:rsidRPr="00E3232D">
        <w:rPr>
          <w:rFonts w:ascii="Book Antiqua" w:hAnsi="Book Antiqua"/>
        </w:rPr>
        <w:t>d.</w:t>
      </w:r>
    </w:p>
    <w:p w14:paraId="480D0FC9" w14:textId="77777777" w:rsidR="00BE6599" w:rsidRPr="00E3232D" w:rsidRDefault="001C5D75" w:rsidP="00465AE3">
      <w:pPr>
        <w:widowControl w:val="0"/>
        <w:autoSpaceDE w:val="0"/>
        <w:autoSpaceDN w:val="0"/>
        <w:adjustRightInd w:val="0"/>
        <w:ind w:right="79"/>
        <w:jc w:val="both"/>
        <w:rPr>
          <w:rFonts w:ascii="Book Antiqua" w:hAnsi="Book Antiqua"/>
        </w:rPr>
      </w:pPr>
      <w:r w:rsidRPr="00E3232D">
        <w:rPr>
          <w:rFonts w:ascii="Book Antiqua" w:hAnsi="Book Antiqua"/>
        </w:rPr>
        <w:t>D</w:t>
      </w:r>
      <w:r w:rsidRPr="00E3232D">
        <w:rPr>
          <w:rFonts w:ascii="Book Antiqua" w:hAnsi="Book Antiqua"/>
          <w:spacing w:val="-1"/>
        </w:rPr>
        <w:t>a</w:t>
      </w:r>
      <w:r w:rsidRPr="00E3232D">
        <w:rPr>
          <w:rFonts w:ascii="Book Antiqua" w:hAnsi="Book Antiqua"/>
        </w:rPr>
        <w:t>ta</w:t>
      </w:r>
      <w:r w:rsidRPr="00E3232D">
        <w:rPr>
          <w:rFonts w:ascii="Book Antiqua" w:hAnsi="Book Antiqua"/>
          <w:spacing w:val="4"/>
        </w:rPr>
        <w:t xml:space="preserve"> </w:t>
      </w:r>
      <w:r w:rsidRPr="00E3232D">
        <w:rPr>
          <w:rFonts w:ascii="Book Antiqua" w:hAnsi="Book Antiqua"/>
        </w:rPr>
        <w:t>obtain</w:t>
      </w:r>
      <w:r w:rsidRPr="00E3232D">
        <w:rPr>
          <w:rFonts w:ascii="Book Antiqua" w:hAnsi="Book Antiqua"/>
          <w:spacing w:val="-1"/>
        </w:rPr>
        <w:t>e</w:t>
      </w:r>
      <w:r w:rsidRPr="00E3232D">
        <w:rPr>
          <w:rFonts w:ascii="Book Antiqua" w:hAnsi="Book Antiqua"/>
        </w:rPr>
        <w:t>d</w:t>
      </w:r>
      <w:r w:rsidRPr="00E3232D">
        <w:rPr>
          <w:rFonts w:ascii="Book Antiqua" w:hAnsi="Book Antiqua"/>
          <w:spacing w:val="5"/>
        </w:rPr>
        <w:t xml:space="preserve"> </w:t>
      </w:r>
      <w:r w:rsidRPr="00E3232D">
        <w:rPr>
          <w:rFonts w:ascii="Book Antiqua" w:hAnsi="Book Antiqua"/>
        </w:rPr>
        <w:t>f</w:t>
      </w:r>
      <w:r w:rsidRPr="00E3232D">
        <w:rPr>
          <w:rFonts w:ascii="Book Antiqua" w:hAnsi="Book Antiqua"/>
          <w:spacing w:val="-1"/>
        </w:rPr>
        <w:t>r</w:t>
      </w:r>
      <w:r w:rsidRPr="00E3232D">
        <w:rPr>
          <w:rFonts w:ascii="Book Antiqua" w:hAnsi="Book Antiqua"/>
        </w:rPr>
        <w:t>om</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fi</w:t>
      </w:r>
      <w:r w:rsidRPr="00E3232D">
        <w:rPr>
          <w:rFonts w:ascii="Book Antiqua" w:hAnsi="Book Antiqua"/>
          <w:spacing w:val="-1"/>
        </w:rPr>
        <w:t>e</w:t>
      </w:r>
      <w:r w:rsidRPr="00E3232D">
        <w:rPr>
          <w:rFonts w:ascii="Book Antiqua" w:hAnsi="Book Antiqua"/>
        </w:rPr>
        <w:t>ld</w:t>
      </w:r>
      <w:r w:rsidRPr="00E3232D">
        <w:rPr>
          <w:rFonts w:ascii="Book Antiqua" w:hAnsi="Book Antiqua"/>
          <w:spacing w:val="5"/>
        </w:rPr>
        <w:t xml:space="preserve"> </w:t>
      </w:r>
      <w:r w:rsidRPr="00E3232D">
        <w:rPr>
          <w:rFonts w:ascii="Book Antiqua" w:hAnsi="Book Antiqua"/>
        </w:rPr>
        <w:t>w</w:t>
      </w:r>
      <w:r w:rsidRPr="00E3232D">
        <w:rPr>
          <w:rFonts w:ascii="Book Antiqua" w:hAnsi="Book Antiqua"/>
          <w:spacing w:val="-1"/>
        </w:rPr>
        <w:t>e</w:t>
      </w:r>
      <w:r w:rsidRPr="00E3232D">
        <w:rPr>
          <w:rFonts w:ascii="Book Antiqua" w:hAnsi="Book Antiqua"/>
        </w:rPr>
        <w:t>re</w:t>
      </w:r>
      <w:r w:rsidRPr="00E3232D">
        <w:rPr>
          <w:rFonts w:ascii="Book Antiqua" w:hAnsi="Book Antiqua"/>
          <w:spacing w:val="3"/>
        </w:rPr>
        <w:t xml:space="preserve"> </w:t>
      </w:r>
      <w:r w:rsidRPr="00E3232D">
        <w:rPr>
          <w:rFonts w:ascii="Book Antiqua" w:hAnsi="Book Antiqua"/>
          <w:spacing w:val="-1"/>
        </w:rPr>
        <w:t>e</w:t>
      </w:r>
      <w:r w:rsidRPr="00E3232D">
        <w:rPr>
          <w:rFonts w:ascii="Book Antiqua" w:hAnsi="Book Antiqua"/>
        </w:rPr>
        <w:t>di</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d,</w:t>
      </w:r>
      <w:r w:rsidRPr="00E3232D">
        <w:rPr>
          <w:rFonts w:ascii="Book Antiqua" w:hAnsi="Book Antiqua"/>
          <w:spacing w:val="5"/>
        </w:rPr>
        <w:t xml:space="preserve"> </w:t>
      </w:r>
      <w:r w:rsidRPr="00E3232D">
        <w:rPr>
          <w:rFonts w:ascii="Book Antiqua" w:hAnsi="Book Antiqua"/>
          <w:spacing w:val="-1"/>
        </w:rPr>
        <w:t>c</w:t>
      </w:r>
      <w:r w:rsidRPr="00E3232D">
        <w:rPr>
          <w:rFonts w:ascii="Book Antiqua" w:hAnsi="Book Antiqua"/>
        </w:rPr>
        <w:t>od</w:t>
      </w:r>
      <w:r w:rsidRPr="00E3232D">
        <w:rPr>
          <w:rFonts w:ascii="Book Antiqua" w:hAnsi="Book Antiqua"/>
          <w:spacing w:val="-1"/>
        </w:rPr>
        <w:t>e</w:t>
      </w:r>
      <w:r w:rsidRPr="00E3232D">
        <w:rPr>
          <w:rFonts w:ascii="Book Antiqua" w:hAnsi="Book Antiqua"/>
        </w:rPr>
        <w:t>d</w:t>
      </w:r>
      <w:r w:rsidRPr="00E3232D">
        <w:rPr>
          <w:rFonts w:ascii="Book Antiqua" w:hAnsi="Book Antiqua"/>
          <w:spacing w:val="7"/>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ll</w:t>
      </w:r>
      <w:r w:rsidRPr="00E3232D">
        <w:rPr>
          <w:rFonts w:ascii="Book Antiqua" w:hAnsi="Book Antiqua"/>
          <w:spacing w:val="6"/>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n</w:t>
      </w:r>
      <w:r w:rsidRPr="00E3232D">
        <w:rPr>
          <w:rFonts w:ascii="Book Antiqua" w:hAnsi="Book Antiqua"/>
          <w:spacing w:val="-1"/>
        </w:rPr>
        <w:t>ece</w:t>
      </w:r>
      <w:r w:rsidRPr="00E3232D">
        <w:rPr>
          <w:rFonts w:ascii="Book Antiqua" w:hAnsi="Book Antiqua"/>
        </w:rPr>
        <w:t>ssa</w:t>
      </w:r>
      <w:r w:rsidRPr="00E3232D">
        <w:rPr>
          <w:rFonts w:ascii="Book Antiqua" w:hAnsi="Book Antiqua"/>
          <w:spacing w:val="3"/>
        </w:rPr>
        <w:t>r</w:t>
      </w:r>
      <w:r w:rsidRPr="00E3232D">
        <w:rPr>
          <w:rFonts w:ascii="Book Antiqua" w:hAnsi="Book Antiqua"/>
        </w:rPr>
        <w:t xml:space="preserve">y </w:t>
      </w:r>
      <w:r w:rsidRPr="00E3232D">
        <w:rPr>
          <w:rFonts w:ascii="Book Antiqua" w:hAnsi="Book Antiqua"/>
          <w:spacing w:val="-1"/>
        </w:rPr>
        <w:t>c</w:t>
      </w:r>
      <w:r w:rsidRPr="00E3232D">
        <w:rPr>
          <w:rFonts w:ascii="Book Antiqua" w:hAnsi="Book Antiqua"/>
        </w:rPr>
        <w:t>o</w:t>
      </w:r>
      <w:r w:rsidRPr="00E3232D">
        <w:rPr>
          <w:rFonts w:ascii="Book Antiqua" w:hAnsi="Book Antiqua"/>
          <w:spacing w:val="1"/>
        </w:rPr>
        <w:t>r</w:t>
      </w:r>
      <w:r w:rsidRPr="00E3232D">
        <w:rPr>
          <w:rFonts w:ascii="Book Antiqua" w:hAnsi="Book Antiqua"/>
        </w:rPr>
        <w:t>r</w:t>
      </w:r>
      <w:r w:rsidRPr="00E3232D">
        <w:rPr>
          <w:rFonts w:ascii="Book Antiqua" w:hAnsi="Book Antiqua"/>
          <w:spacing w:val="-2"/>
        </w:rPr>
        <w:t>e</w:t>
      </w:r>
      <w:r w:rsidRPr="00E3232D">
        <w:rPr>
          <w:rFonts w:ascii="Book Antiqua" w:hAnsi="Book Antiqua"/>
          <w:spacing w:val="-1"/>
        </w:rPr>
        <w:t>c</w:t>
      </w:r>
      <w:r w:rsidRPr="00E3232D">
        <w:rPr>
          <w:rFonts w:ascii="Book Antiqua" w:hAnsi="Book Antiqua"/>
        </w:rPr>
        <w:t>t</w:t>
      </w:r>
      <w:r w:rsidRPr="00E3232D">
        <w:rPr>
          <w:rFonts w:ascii="Book Antiqua" w:hAnsi="Book Antiqua"/>
          <w:spacing w:val="1"/>
        </w:rPr>
        <w:t>i</w:t>
      </w:r>
      <w:r w:rsidRPr="00E3232D">
        <w:rPr>
          <w:rFonts w:ascii="Book Antiqua" w:hAnsi="Book Antiqua"/>
        </w:rPr>
        <w:t>ons</w:t>
      </w:r>
      <w:r w:rsidRPr="00E3232D">
        <w:rPr>
          <w:rFonts w:ascii="Book Antiqua" w:hAnsi="Book Antiqua"/>
          <w:spacing w:val="5"/>
        </w:rPr>
        <w:t xml:space="preserve"> </w:t>
      </w:r>
      <w:r w:rsidRPr="00E3232D">
        <w:rPr>
          <w:rFonts w:ascii="Book Antiqua" w:hAnsi="Book Antiqua"/>
        </w:rPr>
        <w:t>mad</w:t>
      </w:r>
      <w:r w:rsidRPr="00E3232D">
        <w:rPr>
          <w:rFonts w:ascii="Book Antiqua" w:hAnsi="Book Antiqua"/>
          <w:spacing w:val="-1"/>
        </w:rPr>
        <w:t>e</w:t>
      </w:r>
      <w:r w:rsidRPr="00E3232D">
        <w:rPr>
          <w:rFonts w:ascii="Book Antiqua" w:hAnsi="Book Antiqua"/>
        </w:rPr>
        <w:t>. A</w:t>
      </w:r>
      <w:r w:rsidRPr="00E3232D">
        <w:rPr>
          <w:rFonts w:ascii="Book Antiqua" w:hAnsi="Book Antiqua"/>
          <w:spacing w:val="-1"/>
        </w:rPr>
        <w:t>f</w:t>
      </w:r>
      <w:r w:rsidRPr="00E3232D">
        <w:rPr>
          <w:rFonts w:ascii="Book Antiqua" w:hAnsi="Book Antiqua"/>
        </w:rPr>
        <w:t>ter</w:t>
      </w:r>
      <w:r w:rsidRPr="00E3232D">
        <w:rPr>
          <w:rFonts w:ascii="Book Antiqua" w:hAnsi="Book Antiqua"/>
          <w:spacing w:val="1"/>
        </w:rPr>
        <w:t xml:space="preserve"> </w:t>
      </w:r>
      <w:r w:rsidRPr="00E3232D">
        <w:rPr>
          <w:rFonts w:ascii="Book Antiqua" w:hAnsi="Book Antiqua"/>
        </w:rPr>
        <w:t>that,</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d</w:t>
      </w:r>
      <w:r w:rsidRPr="00E3232D">
        <w:rPr>
          <w:rFonts w:ascii="Book Antiqua" w:hAnsi="Book Antiqua"/>
          <w:spacing w:val="-1"/>
        </w:rPr>
        <w:t>a</w:t>
      </w:r>
      <w:r w:rsidRPr="00E3232D">
        <w:rPr>
          <w:rFonts w:ascii="Book Antiqua" w:hAnsi="Book Antiqua"/>
        </w:rPr>
        <w:t>ta</w:t>
      </w:r>
      <w:r w:rsidRPr="00E3232D">
        <w:rPr>
          <w:rFonts w:ascii="Book Antiqua" w:hAnsi="Book Antiqua"/>
          <w:spacing w:val="1"/>
        </w:rPr>
        <w:t xml:space="preserve"> </w:t>
      </w:r>
      <w:r w:rsidRPr="00E3232D">
        <w:rPr>
          <w:rFonts w:ascii="Book Antiqua" w:hAnsi="Book Antiqua"/>
        </w:rPr>
        <w:t>w</w:t>
      </w:r>
      <w:r w:rsidRPr="00E3232D">
        <w:rPr>
          <w:rFonts w:ascii="Book Antiqua" w:hAnsi="Book Antiqua"/>
          <w:spacing w:val="-1"/>
        </w:rPr>
        <w:t>a</w:t>
      </w:r>
      <w:r w:rsidRPr="00E3232D">
        <w:rPr>
          <w:rFonts w:ascii="Book Antiqua" w:hAnsi="Book Antiqua"/>
        </w:rPr>
        <w:t>s</w:t>
      </w:r>
      <w:r w:rsidRPr="00E3232D">
        <w:rPr>
          <w:rFonts w:ascii="Book Antiqua" w:hAnsi="Book Antiqua"/>
          <w:spacing w:val="4"/>
        </w:rPr>
        <w:t xml:space="preserve"> </w:t>
      </w:r>
      <w:r w:rsidRPr="00E3232D">
        <w:rPr>
          <w:rFonts w:ascii="Book Antiqua" w:hAnsi="Book Antiqua"/>
        </w:rPr>
        <w:t>f</w:t>
      </w:r>
      <w:r w:rsidRPr="00E3232D">
        <w:rPr>
          <w:rFonts w:ascii="Book Antiqua" w:hAnsi="Book Antiqua"/>
          <w:spacing w:val="-2"/>
        </w:rPr>
        <w:t>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rPr>
        <w:t>o</w:t>
      </w:r>
      <w:r w:rsidRPr="00E3232D">
        <w:rPr>
          <w:rFonts w:ascii="Book Antiqua" w:hAnsi="Book Antiqua"/>
          <w:spacing w:val="2"/>
        </w:rPr>
        <w:t xml:space="preserve"> </w:t>
      </w:r>
      <w:r w:rsidRPr="00E3232D">
        <w:rPr>
          <w:rFonts w:ascii="Book Antiqua" w:hAnsi="Book Antiqua"/>
        </w:rPr>
        <w:t>softw</w:t>
      </w:r>
      <w:r w:rsidRPr="00E3232D">
        <w:rPr>
          <w:rFonts w:ascii="Book Antiqua" w:hAnsi="Book Antiqua"/>
          <w:spacing w:val="-1"/>
        </w:rPr>
        <w:t>a</w:t>
      </w:r>
      <w:r w:rsidRPr="00E3232D">
        <w:rPr>
          <w:rFonts w:ascii="Book Antiqua" w:hAnsi="Book Antiqua"/>
        </w:rPr>
        <w:t xml:space="preserve">re </w:t>
      </w:r>
      <w:r w:rsidRPr="00E3232D">
        <w:rPr>
          <w:rFonts w:ascii="Book Antiqua" w:hAnsi="Book Antiqua"/>
          <w:spacing w:val="2"/>
        </w:rPr>
        <w:t>c</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rPr>
        <w:t>stati</w:t>
      </w:r>
      <w:r w:rsidRPr="00E3232D">
        <w:rPr>
          <w:rFonts w:ascii="Book Antiqua" w:hAnsi="Book Antiqua"/>
          <w:spacing w:val="1"/>
        </w:rPr>
        <w:t>s</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ca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p</w:t>
      </w:r>
      <w:r w:rsidRPr="00E3232D">
        <w:rPr>
          <w:rFonts w:ascii="Book Antiqua" w:hAnsi="Book Antiqua"/>
          <w:spacing w:val="-1"/>
        </w:rPr>
        <w:t>ac</w:t>
      </w:r>
      <w:r w:rsidRPr="00E3232D">
        <w:rPr>
          <w:rFonts w:ascii="Book Antiqua" w:hAnsi="Book Antiqua"/>
        </w:rPr>
        <w:t>k</w:t>
      </w:r>
      <w:r w:rsidRPr="00E3232D">
        <w:rPr>
          <w:rFonts w:ascii="Book Antiqua" w:hAnsi="Book Antiqua"/>
          <w:spacing w:val="-1"/>
        </w:rPr>
        <w:t>a</w:t>
      </w:r>
      <w:r w:rsidRPr="00E3232D">
        <w:rPr>
          <w:rFonts w:ascii="Book Antiqua" w:hAnsi="Book Antiqua"/>
        </w:rPr>
        <w:t>ge</w:t>
      </w:r>
      <w:r w:rsidRPr="00E3232D">
        <w:rPr>
          <w:rFonts w:ascii="Book Antiqua" w:hAnsi="Book Antiqua"/>
          <w:spacing w:val="1"/>
        </w:rPr>
        <w:t xml:space="preserve"> </w:t>
      </w:r>
      <w:r w:rsidRPr="00E3232D">
        <w:rPr>
          <w:rFonts w:ascii="Book Antiqua" w:hAnsi="Book Antiqua"/>
        </w:rPr>
        <w:t>for</w:t>
      </w:r>
      <w:r w:rsidRPr="00E3232D">
        <w:rPr>
          <w:rFonts w:ascii="Book Antiqua" w:hAnsi="Book Antiqua"/>
          <w:spacing w:val="2"/>
        </w:rPr>
        <w:t xml:space="preserve"> </w:t>
      </w:r>
      <w:r w:rsidRPr="00E3232D">
        <w:rPr>
          <w:rFonts w:ascii="Book Antiqua" w:hAnsi="Book Antiqua"/>
        </w:rPr>
        <w:t>soci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s</w:t>
      </w:r>
      <w:r w:rsidRPr="00E3232D">
        <w:rPr>
          <w:rFonts w:ascii="Book Antiqua" w:hAnsi="Book Antiqua"/>
          <w:spacing w:val="-1"/>
        </w:rPr>
        <w:t>c</w:t>
      </w:r>
      <w:r w:rsidRPr="00E3232D">
        <w:rPr>
          <w:rFonts w:ascii="Book Antiqua" w:hAnsi="Book Antiqua"/>
        </w:rPr>
        <w:t>ien</w:t>
      </w:r>
      <w:r w:rsidRPr="00E3232D">
        <w:rPr>
          <w:rFonts w:ascii="Book Antiqua" w:hAnsi="Book Antiqua"/>
          <w:spacing w:val="-1"/>
        </w:rPr>
        <w:t>ce</w:t>
      </w:r>
      <w:r w:rsidRPr="00E3232D">
        <w:rPr>
          <w:rFonts w:ascii="Book Antiqua" w:hAnsi="Book Antiqua"/>
        </w:rPr>
        <w:t>s (S</w:t>
      </w:r>
      <w:r w:rsidRPr="00E3232D">
        <w:rPr>
          <w:rFonts w:ascii="Book Antiqua" w:hAnsi="Book Antiqua"/>
          <w:spacing w:val="1"/>
        </w:rPr>
        <w:t>PSS</w:t>
      </w:r>
      <w:r w:rsidRPr="00E3232D">
        <w:rPr>
          <w:rFonts w:ascii="Book Antiqua" w:hAnsi="Book Antiqua"/>
        </w:rPr>
        <w:t>)</w:t>
      </w:r>
      <w:r w:rsidRPr="00E3232D">
        <w:rPr>
          <w:rFonts w:ascii="Book Antiqua" w:hAnsi="Book Antiqua"/>
          <w:spacing w:val="2"/>
        </w:rPr>
        <w:t xml:space="preserve"> </w:t>
      </w:r>
      <w:r w:rsidRPr="00E3232D">
        <w:rPr>
          <w:rFonts w:ascii="Book Antiqua" w:hAnsi="Book Antiqua"/>
        </w:rPr>
        <w:t>v</w:t>
      </w:r>
      <w:r w:rsidRPr="00E3232D">
        <w:rPr>
          <w:rFonts w:ascii="Book Antiqua" w:hAnsi="Book Antiqua"/>
          <w:spacing w:val="-1"/>
        </w:rPr>
        <w:t>e</w:t>
      </w:r>
      <w:r w:rsidRPr="00E3232D">
        <w:rPr>
          <w:rFonts w:ascii="Book Antiqua" w:hAnsi="Book Antiqua"/>
        </w:rPr>
        <w:t>rsion</w:t>
      </w:r>
      <w:r w:rsidRPr="00E3232D">
        <w:rPr>
          <w:rFonts w:ascii="Book Antiqua" w:hAnsi="Book Antiqua"/>
          <w:spacing w:val="2"/>
        </w:rPr>
        <w:t xml:space="preserve"> </w:t>
      </w:r>
      <w:r w:rsidRPr="00E3232D">
        <w:rPr>
          <w:rFonts w:ascii="Book Antiqua" w:hAnsi="Book Antiqua"/>
        </w:rPr>
        <w:t>16</w:t>
      </w:r>
      <w:r w:rsidRPr="00E3232D">
        <w:rPr>
          <w:rFonts w:ascii="Book Antiqua" w:hAnsi="Book Antiqua"/>
          <w:spacing w:val="3"/>
        </w:rPr>
        <w:t xml:space="preserve"> </w:t>
      </w:r>
      <w:r w:rsidRPr="00E3232D">
        <w:rPr>
          <w:rFonts w:ascii="Book Antiqua" w:hAnsi="Book Antiqua"/>
        </w:rPr>
        <w:t>for the</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spacing w:val="5"/>
        </w:rPr>
        <w:t>l</w:t>
      </w:r>
      <w:r w:rsidRPr="00E3232D">
        <w:rPr>
          <w:rFonts w:ascii="Book Antiqua" w:hAnsi="Book Antiqua"/>
          <w:spacing w:val="-5"/>
        </w:rPr>
        <w:t>y</w:t>
      </w:r>
      <w:r w:rsidRPr="00E3232D">
        <w:rPr>
          <w:rFonts w:ascii="Book Antiqua" w:hAnsi="Book Antiqua"/>
        </w:rPr>
        <w:t>si</w:t>
      </w:r>
      <w:r w:rsidRPr="00E3232D">
        <w:rPr>
          <w:rFonts w:ascii="Book Antiqua" w:hAnsi="Book Antiqua"/>
          <w:spacing w:val="1"/>
        </w:rPr>
        <w:t>s</w:t>
      </w:r>
      <w:r w:rsidRPr="00E3232D">
        <w:rPr>
          <w:rFonts w:ascii="Book Antiqua" w:hAnsi="Book Antiqua"/>
        </w:rPr>
        <w:t>.</w:t>
      </w:r>
      <w:r w:rsidRPr="00E3232D">
        <w:rPr>
          <w:rFonts w:ascii="Book Antiqua" w:hAnsi="Book Antiqua"/>
          <w:spacing w:val="2"/>
        </w:rPr>
        <w:t xml:space="preserve"> </w:t>
      </w:r>
      <w:r w:rsidRPr="00E3232D">
        <w:rPr>
          <w:rFonts w:ascii="Book Antiqua" w:hAnsi="Book Antiqua"/>
        </w:rPr>
        <w:t>Th</w:t>
      </w:r>
      <w:r w:rsidRPr="00E3232D">
        <w:rPr>
          <w:rFonts w:ascii="Book Antiqua" w:hAnsi="Book Antiqua"/>
          <w:spacing w:val="-1"/>
        </w:rPr>
        <w:t>e</w:t>
      </w:r>
      <w:r w:rsidRPr="00E3232D">
        <w:rPr>
          <w:rFonts w:ascii="Book Antiqua" w:hAnsi="Book Antiqua"/>
        </w:rPr>
        <w:t>n</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3"/>
        </w:rPr>
        <w:t xml:space="preserve"> </w:t>
      </w:r>
      <w:r w:rsidRPr="00E3232D">
        <w:rPr>
          <w:rFonts w:ascii="Book Antiqua" w:hAnsi="Book Antiqua"/>
        </w:rPr>
        <w:t>tabl</w:t>
      </w:r>
      <w:r w:rsidRPr="00E3232D">
        <w:rPr>
          <w:rFonts w:ascii="Book Antiqua" w:hAnsi="Book Antiqua"/>
          <w:spacing w:val="1"/>
        </w:rPr>
        <w:t>e</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rPr>
        <w:t>obtain</w:t>
      </w:r>
      <w:r w:rsidRPr="00E3232D">
        <w:rPr>
          <w:rFonts w:ascii="Book Antiqua" w:hAnsi="Book Antiqua"/>
          <w:spacing w:val="-1"/>
        </w:rPr>
        <w:t>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ft</w:t>
      </w:r>
      <w:r w:rsidRPr="00E3232D">
        <w:rPr>
          <w:rFonts w:ascii="Book Antiqua" w:hAnsi="Book Antiqua"/>
          <w:spacing w:val="1"/>
        </w:rPr>
        <w:t>e</w:t>
      </w:r>
      <w:r w:rsidRPr="00E3232D">
        <w:rPr>
          <w:rFonts w:ascii="Book Antiqua" w:hAnsi="Book Antiqua"/>
        </w:rPr>
        <w:t>r</w:t>
      </w:r>
      <w:r w:rsidRPr="00E3232D">
        <w:rPr>
          <w:rFonts w:ascii="Book Antiqua" w:hAnsi="Book Antiqua"/>
          <w:spacing w:val="1"/>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d</w:t>
      </w:r>
      <w:r w:rsidRPr="00E3232D">
        <w:rPr>
          <w:rFonts w:ascii="Book Antiqua" w:hAnsi="Book Antiqua"/>
          <w:spacing w:val="-1"/>
        </w:rPr>
        <w:t>a</w:t>
      </w:r>
      <w:r w:rsidRPr="00E3232D">
        <w:rPr>
          <w:rFonts w:ascii="Book Antiqua" w:hAnsi="Book Antiqua"/>
        </w:rPr>
        <w:t>ta</w:t>
      </w:r>
      <w:r w:rsidRPr="00E3232D">
        <w:rPr>
          <w:rFonts w:ascii="Book Antiqua" w:hAnsi="Book Antiqua"/>
          <w:spacing w:val="6"/>
        </w:rPr>
        <w:t xml:space="preserve"> </w:t>
      </w:r>
      <w:r w:rsidRPr="00E3232D">
        <w:rPr>
          <w:rFonts w:ascii="Book Antiqua" w:hAnsi="Book Antiqua"/>
        </w:rPr>
        <w:t>w</w:t>
      </w:r>
      <w:r w:rsidRPr="00E3232D">
        <w:rPr>
          <w:rFonts w:ascii="Book Antiqua" w:hAnsi="Book Antiqua"/>
          <w:spacing w:val="-1"/>
        </w:rPr>
        <w:t>e</w:t>
      </w:r>
      <w:r w:rsidRPr="00E3232D">
        <w:rPr>
          <w:rFonts w:ascii="Book Antiqua" w:hAnsi="Book Antiqua"/>
        </w:rPr>
        <w:t>re</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spacing w:val="5"/>
        </w:rPr>
        <w:t>l</w:t>
      </w:r>
      <w:r w:rsidRPr="00E3232D">
        <w:rPr>
          <w:rFonts w:ascii="Book Antiqua" w:hAnsi="Book Antiqua"/>
          <w:spacing w:val="-7"/>
        </w:rPr>
        <w:t>y</w:t>
      </w:r>
      <w:r w:rsidRPr="00E3232D">
        <w:rPr>
          <w:rFonts w:ascii="Book Antiqua" w:hAnsi="Book Antiqua"/>
          <w:spacing w:val="4"/>
        </w:rPr>
        <w:t>z</w:t>
      </w:r>
      <w:r w:rsidRPr="00E3232D">
        <w:rPr>
          <w:rFonts w:ascii="Book Antiqua" w:hAnsi="Book Antiqua"/>
          <w:spacing w:val="-1"/>
        </w:rPr>
        <w:t>e</w:t>
      </w:r>
      <w:r w:rsidRPr="00E3232D">
        <w:rPr>
          <w:rFonts w:ascii="Book Antiqua" w:hAnsi="Book Antiqua"/>
        </w:rPr>
        <w:t xml:space="preserve">d. </w:t>
      </w:r>
      <w:r w:rsidRPr="00E3232D">
        <w:rPr>
          <w:rFonts w:ascii="Book Antiqua" w:hAnsi="Book Antiqua"/>
          <w:spacing w:val="-3"/>
        </w:rPr>
        <w:t>I</w:t>
      </w:r>
      <w:r w:rsidRPr="00E3232D">
        <w:rPr>
          <w:rFonts w:ascii="Book Antiqua" w:hAnsi="Book Antiqua"/>
        </w:rPr>
        <w:t>nt</w:t>
      </w:r>
      <w:r w:rsidRPr="00E3232D">
        <w:rPr>
          <w:rFonts w:ascii="Book Antiqua" w:hAnsi="Book Antiqua"/>
          <w:spacing w:val="2"/>
        </w:rPr>
        <w:t>e</w:t>
      </w:r>
      <w:r w:rsidRPr="00E3232D">
        <w:rPr>
          <w:rFonts w:ascii="Book Antiqua" w:hAnsi="Book Antiqua"/>
        </w:rPr>
        <w:t>rp</w:t>
      </w:r>
      <w:r w:rsidRPr="00E3232D">
        <w:rPr>
          <w:rFonts w:ascii="Book Antiqua" w:hAnsi="Book Antiqua"/>
          <w:spacing w:val="-1"/>
        </w:rPr>
        <w:t>re</w:t>
      </w:r>
      <w:r w:rsidRPr="00E3232D">
        <w:rPr>
          <w:rFonts w:ascii="Book Antiqua" w:hAnsi="Book Antiqua"/>
          <w:spacing w:val="3"/>
        </w:rPr>
        <w:t>t</w:t>
      </w:r>
      <w:r w:rsidRPr="00E3232D">
        <w:rPr>
          <w:rFonts w:ascii="Book Antiqua" w:hAnsi="Book Antiqua"/>
          <w:spacing w:val="-1"/>
        </w:rPr>
        <w:t>e</w:t>
      </w:r>
      <w:r w:rsidRPr="00E3232D">
        <w:rPr>
          <w:rFonts w:ascii="Book Antiqua" w:hAnsi="Book Antiqua"/>
        </w:rPr>
        <w:t>d</w:t>
      </w:r>
      <w:r w:rsidRPr="00E3232D">
        <w:rPr>
          <w:rFonts w:ascii="Book Antiqua" w:hAnsi="Book Antiqua"/>
          <w:spacing w:val="7"/>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7"/>
        </w:rPr>
        <w:t xml:space="preserve"> </w:t>
      </w:r>
      <w:r w:rsidRPr="00E3232D">
        <w:rPr>
          <w:rFonts w:ascii="Book Antiqua" w:hAnsi="Book Antiqua"/>
        </w:rPr>
        <w:t>n</w:t>
      </w:r>
      <w:r w:rsidRPr="00E3232D">
        <w:rPr>
          <w:rFonts w:ascii="Book Antiqua" w:hAnsi="Book Antiqua"/>
          <w:spacing w:val="-1"/>
        </w:rPr>
        <w:t>e</w:t>
      </w:r>
      <w:r w:rsidRPr="00E3232D">
        <w:rPr>
          <w:rFonts w:ascii="Book Antiqua" w:hAnsi="Book Antiqua"/>
          <w:spacing w:val="1"/>
        </w:rPr>
        <w:t>ce</w:t>
      </w:r>
      <w:r w:rsidRPr="00E3232D">
        <w:rPr>
          <w:rFonts w:ascii="Book Antiqua" w:hAnsi="Book Antiqua"/>
        </w:rPr>
        <w:t>ssa</w:t>
      </w:r>
      <w:r w:rsidRPr="00E3232D">
        <w:rPr>
          <w:rFonts w:ascii="Book Antiqua" w:hAnsi="Book Antiqua"/>
          <w:spacing w:val="3"/>
        </w:rPr>
        <w:t>r</w:t>
      </w:r>
      <w:r w:rsidRPr="00E3232D">
        <w:rPr>
          <w:rFonts w:ascii="Book Antiqua" w:hAnsi="Book Antiqua"/>
        </w:rPr>
        <w:t>y discussions</w:t>
      </w:r>
      <w:r w:rsidRPr="00E3232D">
        <w:rPr>
          <w:rFonts w:ascii="Book Antiqua" w:hAnsi="Book Antiqua"/>
          <w:spacing w:val="8"/>
        </w:rPr>
        <w:t xml:space="preserve"> </w:t>
      </w:r>
      <w:r w:rsidRPr="00E3232D">
        <w:rPr>
          <w:rFonts w:ascii="Book Antiqua" w:hAnsi="Book Antiqua"/>
        </w:rPr>
        <w:t>made</w:t>
      </w:r>
      <w:r w:rsidRPr="00E3232D">
        <w:rPr>
          <w:rFonts w:ascii="Book Antiqua" w:hAnsi="Book Antiqua"/>
          <w:spacing w:val="8"/>
        </w:rPr>
        <w:t xml:space="preserve"> </w:t>
      </w:r>
      <w:r w:rsidRPr="00E3232D">
        <w:rPr>
          <w:rFonts w:ascii="Book Antiqua" w:hAnsi="Book Antiqua"/>
        </w:rPr>
        <w:t>on</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7"/>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s</w:t>
      </w:r>
      <w:r w:rsidRPr="00E3232D">
        <w:rPr>
          <w:rFonts w:ascii="Book Antiqua" w:hAnsi="Book Antiqua"/>
          <w:spacing w:val="-1"/>
        </w:rPr>
        <w:t>ea</w:t>
      </w:r>
      <w:r w:rsidRPr="00E3232D">
        <w:rPr>
          <w:rFonts w:ascii="Book Antiqua" w:hAnsi="Book Antiqua"/>
          <w:spacing w:val="1"/>
        </w:rPr>
        <w:t>r</w:t>
      </w:r>
      <w:r w:rsidRPr="00E3232D">
        <w:rPr>
          <w:rFonts w:ascii="Book Antiqua" w:hAnsi="Book Antiqua"/>
          <w:spacing w:val="-1"/>
        </w:rPr>
        <w:t>c</w:t>
      </w:r>
      <w:r w:rsidRPr="00E3232D">
        <w:rPr>
          <w:rFonts w:ascii="Book Antiqua" w:hAnsi="Book Antiqua"/>
        </w:rPr>
        <w:t>h</w:t>
      </w:r>
      <w:r w:rsidRPr="00E3232D">
        <w:rPr>
          <w:rFonts w:ascii="Book Antiqua" w:hAnsi="Book Antiqua"/>
          <w:spacing w:val="7"/>
        </w:rPr>
        <w:t xml:space="preserve"> </w:t>
      </w:r>
      <w:r w:rsidRPr="00E3232D">
        <w:rPr>
          <w:rFonts w:ascii="Book Antiqua" w:hAnsi="Book Antiqua"/>
        </w:rPr>
        <w:t>top</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w:t>
      </w:r>
      <w:r w:rsidRPr="00E3232D">
        <w:rPr>
          <w:rFonts w:ascii="Book Antiqua" w:hAnsi="Book Antiqua"/>
          <w:spacing w:val="7"/>
        </w:rPr>
        <w:t xml:space="preserve"> </w:t>
      </w:r>
      <w:r w:rsidRPr="00E3232D">
        <w:rPr>
          <w:rFonts w:ascii="Book Antiqua" w:hAnsi="Book Antiqua"/>
          <w:spacing w:val="1"/>
        </w:rPr>
        <w:t>F</w:t>
      </w:r>
      <w:r w:rsidRPr="00E3232D">
        <w:rPr>
          <w:rFonts w:ascii="Book Antiqua" w:hAnsi="Book Antiqua"/>
        </w:rPr>
        <w:t>r</w:t>
      </w:r>
      <w:r w:rsidRPr="00E3232D">
        <w:rPr>
          <w:rFonts w:ascii="Book Antiqua" w:hAnsi="Book Antiqua"/>
          <w:spacing w:val="-2"/>
        </w:rPr>
        <w:t>e</w:t>
      </w:r>
      <w:r w:rsidRPr="00E3232D">
        <w:rPr>
          <w:rFonts w:ascii="Book Antiqua" w:hAnsi="Book Antiqua"/>
        </w:rPr>
        <w:t>qu</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c</w:t>
      </w:r>
      <w:r w:rsidRPr="00E3232D">
        <w:rPr>
          <w:rFonts w:ascii="Book Antiqua" w:hAnsi="Book Antiqua"/>
          <w:spacing w:val="3"/>
        </w:rPr>
        <w:t>i</w:t>
      </w:r>
      <w:r w:rsidRPr="00E3232D">
        <w:rPr>
          <w:rFonts w:ascii="Book Antiqua" w:hAnsi="Book Antiqua"/>
          <w:spacing w:val="-1"/>
        </w:rPr>
        <w:t>e</w:t>
      </w:r>
      <w:r w:rsidRPr="00E3232D">
        <w:rPr>
          <w:rFonts w:ascii="Book Antiqua" w:hAnsi="Book Antiqua"/>
        </w:rPr>
        <w:t>s</w:t>
      </w:r>
      <w:r w:rsidRPr="00E3232D">
        <w:rPr>
          <w:rFonts w:ascii="Book Antiqua" w:hAnsi="Book Antiqua"/>
          <w:spacing w:val="8"/>
        </w:rPr>
        <w:t xml:space="preserve"> </w:t>
      </w:r>
      <w:r w:rsidRPr="00E3232D">
        <w:rPr>
          <w:rFonts w:ascii="Book Antiqua" w:hAnsi="Book Antiqua"/>
          <w:spacing w:val="-1"/>
        </w:rPr>
        <w:t>a</w:t>
      </w:r>
      <w:r w:rsidRPr="00E3232D">
        <w:rPr>
          <w:rFonts w:ascii="Book Antiqua" w:hAnsi="Book Antiqua"/>
        </w:rPr>
        <w:t>nd p</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c</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t</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rPr>
        <w:t>re</w:t>
      </w:r>
      <w:r w:rsidRPr="00E3232D">
        <w:rPr>
          <w:rFonts w:ascii="Book Antiqua" w:hAnsi="Book Antiqua"/>
          <w:spacing w:val="-2"/>
        </w:rPr>
        <w:t>g</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ss</w:t>
      </w:r>
      <w:r w:rsidRPr="00E3232D">
        <w:rPr>
          <w:rFonts w:ascii="Book Antiqua" w:hAnsi="Book Antiqua"/>
          <w:spacing w:val="1"/>
        </w:rPr>
        <w:t>i</w:t>
      </w:r>
      <w:r w:rsidRPr="00E3232D">
        <w:rPr>
          <w:rFonts w:ascii="Book Antiqua" w:hAnsi="Book Antiqua"/>
        </w:rPr>
        <w:t>on</w:t>
      </w:r>
      <w:r w:rsidRPr="00E3232D">
        <w:rPr>
          <w:rFonts w:ascii="Book Antiqua" w:hAnsi="Book Antiqua"/>
          <w:spacing w:val="1"/>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sul</w:t>
      </w:r>
      <w:r w:rsidRPr="00E3232D">
        <w:rPr>
          <w:rFonts w:ascii="Book Antiqua" w:hAnsi="Book Antiqua"/>
          <w:spacing w:val="1"/>
        </w:rPr>
        <w:t>t</w:t>
      </w:r>
      <w:r w:rsidRPr="00E3232D">
        <w:rPr>
          <w:rFonts w:ascii="Book Antiqua" w:hAnsi="Book Antiqua"/>
        </w:rPr>
        <w:t>s w</w:t>
      </w:r>
      <w:r w:rsidRPr="00E3232D">
        <w:rPr>
          <w:rFonts w:ascii="Book Antiqua" w:hAnsi="Book Antiqua"/>
          <w:spacing w:val="-1"/>
        </w:rPr>
        <w:t>e</w:t>
      </w:r>
      <w:r w:rsidRPr="00E3232D">
        <w:rPr>
          <w:rFonts w:ascii="Book Antiqua" w:hAnsi="Book Antiqua"/>
        </w:rPr>
        <w:t>re</w:t>
      </w:r>
      <w:r w:rsidRPr="00E3232D">
        <w:rPr>
          <w:rFonts w:ascii="Book Antiqua" w:hAnsi="Book Antiqua"/>
          <w:spacing w:val="-2"/>
        </w:rPr>
        <w:t xml:space="preserve"> </w:t>
      </w:r>
      <w:r w:rsidRPr="00E3232D">
        <w:rPr>
          <w:rFonts w:ascii="Book Antiqua" w:hAnsi="Book Antiqua"/>
        </w:rPr>
        <w:t>u</w:t>
      </w:r>
      <w:r w:rsidRPr="00E3232D">
        <w:rPr>
          <w:rFonts w:ascii="Book Antiqua" w:hAnsi="Book Antiqua"/>
          <w:spacing w:val="2"/>
        </w:rPr>
        <w:t>s</w:t>
      </w:r>
      <w:r w:rsidRPr="00E3232D">
        <w:rPr>
          <w:rFonts w:ascii="Book Antiqua" w:hAnsi="Book Antiqua"/>
          <w:spacing w:val="-1"/>
        </w:rPr>
        <w:t>e</w:t>
      </w:r>
      <w:r w:rsidRPr="00E3232D">
        <w:rPr>
          <w:rFonts w:ascii="Book Antiqua" w:hAnsi="Book Antiqua"/>
        </w:rPr>
        <w:t xml:space="preserve">d to </w:t>
      </w:r>
      <w:r w:rsidRPr="00E3232D">
        <w:rPr>
          <w:rFonts w:ascii="Book Antiqua" w:hAnsi="Book Antiqua"/>
          <w:spacing w:val="2"/>
        </w:rPr>
        <w:t>a</w:t>
      </w:r>
      <w:r w:rsidRPr="00E3232D">
        <w:rPr>
          <w:rFonts w:ascii="Book Antiqua" w:hAnsi="Book Antiqua"/>
        </w:rPr>
        <w:t>n</w:t>
      </w:r>
      <w:r w:rsidRPr="00E3232D">
        <w:rPr>
          <w:rFonts w:ascii="Book Antiqua" w:hAnsi="Book Antiqua"/>
          <w:spacing w:val="-1"/>
        </w:rPr>
        <w:t>a</w:t>
      </w:r>
      <w:r w:rsidRPr="00E3232D">
        <w:rPr>
          <w:rFonts w:ascii="Book Antiqua" w:hAnsi="Book Antiqua"/>
          <w:spacing w:val="3"/>
        </w:rPr>
        <w:t>l</w:t>
      </w:r>
      <w:r w:rsidRPr="00E3232D">
        <w:rPr>
          <w:rFonts w:ascii="Book Antiqua" w:hAnsi="Book Antiqua"/>
          <w:spacing w:val="-5"/>
        </w:rPr>
        <w:t>y</w:t>
      </w:r>
      <w:r w:rsidRPr="00E3232D">
        <w:rPr>
          <w:rFonts w:ascii="Book Antiqua" w:hAnsi="Book Antiqua"/>
          <w:spacing w:val="1"/>
        </w:rPr>
        <w:t>z</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 xml:space="preserve">the </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sult</w:t>
      </w:r>
      <w:r w:rsidRPr="00E3232D">
        <w:rPr>
          <w:rFonts w:ascii="Book Antiqua" w:hAnsi="Book Antiqua"/>
          <w:spacing w:val="1"/>
        </w:rPr>
        <w:t xml:space="preserve"> </w:t>
      </w:r>
      <w:r w:rsidRPr="00E3232D">
        <w:rPr>
          <w:rFonts w:ascii="Book Antiqua" w:hAnsi="Book Antiqua"/>
        </w:rPr>
        <w:t>of the</w:t>
      </w:r>
      <w:r w:rsidRPr="00E3232D">
        <w:rPr>
          <w:rFonts w:ascii="Book Antiqua" w:hAnsi="Book Antiqua"/>
          <w:spacing w:val="-1"/>
        </w:rPr>
        <w:t xml:space="preserve"> f</w:t>
      </w:r>
      <w:r w:rsidRPr="00E3232D">
        <w:rPr>
          <w:rFonts w:ascii="Book Antiqua" w:hAnsi="Book Antiqua"/>
          <w:spacing w:val="3"/>
        </w:rPr>
        <w:t>i</w:t>
      </w:r>
      <w:r w:rsidRPr="00E3232D">
        <w:rPr>
          <w:rFonts w:ascii="Book Antiqua" w:hAnsi="Book Antiqua"/>
        </w:rPr>
        <w:t>ndin</w:t>
      </w:r>
      <w:r w:rsidRPr="00E3232D">
        <w:rPr>
          <w:rFonts w:ascii="Book Antiqua" w:hAnsi="Book Antiqua"/>
          <w:spacing w:val="-2"/>
        </w:rPr>
        <w:t>g</w:t>
      </w:r>
      <w:r w:rsidRPr="00E3232D">
        <w:rPr>
          <w:rFonts w:ascii="Book Antiqua" w:hAnsi="Book Antiqua"/>
        </w:rPr>
        <w:t>s.</w:t>
      </w:r>
    </w:p>
    <w:p w14:paraId="38235FDF" w14:textId="77777777" w:rsidR="001C5D75" w:rsidRPr="00E3232D" w:rsidRDefault="001C5D75" w:rsidP="00196385">
      <w:pPr>
        <w:pStyle w:val="ListParagraph"/>
        <w:widowControl w:val="0"/>
        <w:numPr>
          <w:ilvl w:val="0"/>
          <w:numId w:val="177"/>
        </w:numPr>
        <w:autoSpaceDE w:val="0"/>
        <w:autoSpaceDN w:val="0"/>
        <w:adjustRightInd w:val="0"/>
        <w:spacing w:before="240"/>
        <w:ind w:right="79"/>
        <w:rPr>
          <w:rFonts w:ascii="Book Antiqua" w:hAnsi="Book Antiqua"/>
          <w:b/>
        </w:rPr>
      </w:pPr>
      <w:r w:rsidRPr="00465AE3">
        <w:rPr>
          <w:rFonts w:ascii="Book Antiqua" w:hAnsi="Book Antiqua"/>
          <w:b/>
          <w:sz w:val="26"/>
        </w:rPr>
        <w:t>Results</w:t>
      </w:r>
    </w:p>
    <w:p w14:paraId="4021BD49" w14:textId="77777777" w:rsidR="001C5D75" w:rsidRPr="00E3232D" w:rsidRDefault="007005B1" w:rsidP="008275E1">
      <w:pPr>
        <w:pStyle w:val="ListParagraph"/>
        <w:widowControl w:val="0"/>
        <w:autoSpaceDE w:val="0"/>
        <w:autoSpaceDN w:val="0"/>
        <w:adjustRightInd w:val="0"/>
        <w:spacing w:before="4"/>
        <w:ind w:left="460" w:right="75"/>
        <w:rPr>
          <w:rFonts w:ascii="Book Antiqua" w:hAnsi="Book Antiqua"/>
          <w:i/>
          <w:iCs/>
        </w:rPr>
      </w:pPr>
      <w:r>
        <w:rPr>
          <w:rFonts w:ascii="Book Antiqua" w:hAnsi="Book Antiqua"/>
          <w:noProof/>
          <w:lang w:bidi="ar-SA"/>
        </w:rPr>
        <w:drawing>
          <wp:inline distT="0" distB="0" distL="0" distR="0" wp14:anchorId="05B99888" wp14:editId="3C1D5307">
            <wp:extent cx="2486025" cy="1428750"/>
            <wp:effectExtent l="19050" t="0" r="9525"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srcRect/>
                    <a:stretch>
                      <a:fillRect/>
                    </a:stretch>
                  </pic:blipFill>
                  <pic:spPr bwMode="auto">
                    <a:xfrm>
                      <a:off x="0" y="0"/>
                      <a:ext cx="2486025" cy="1428750"/>
                    </a:xfrm>
                    <a:prstGeom prst="rect">
                      <a:avLst/>
                    </a:prstGeom>
                    <a:noFill/>
                    <a:ln w="9525">
                      <a:noFill/>
                      <a:miter lim="800000"/>
                      <a:headEnd/>
                      <a:tailEnd/>
                    </a:ln>
                  </pic:spPr>
                </pic:pic>
              </a:graphicData>
            </a:graphic>
          </wp:inline>
        </w:drawing>
      </w:r>
    </w:p>
    <w:p w14:paraId="69677A1A" w14:textId="77777777" w:rsidR="001C5D75" w:rsidRPr="00E3232D" w:rsidRDefault="001C5D75" w:rsidP="008275E1">
      <w:pPr>
        <w:pStyle w:val="ListParagraph"/>
        <w:widowControl w:val="0"/>
        <w:autoSpaceDE w:val="0"/>
        <w:autoSpaceDN w:val="0"/>
        <w:adjustRightInd w:val="0"/>
        <w:spacing w:before="4"/>
        <w:ind w:left="460" w:right="75"/>
        <w:rPr>
          <w:rFonts w:ascii="Book Antiqua" w:hAnsi="Book Antiqua"/>
        </w:rPr>
      </w:pPr>
      <w:r w:rsidRPr="00E3232D">
        <w:rPr>
          <w:rFonts w:ascii="Book Antiqua" w:hAnsi="Book Antiqua"/>
          <w:b/>
          <w:iCs/>
        </w:rPr>
        <w:t>Sour</w:t>
      </w:r>
      <w:r w:rsidRPr="00E3232D">
        <w:rPr>
          <w:rFonts w:ascii="Book Antiqua" w:hAnsi="Book Antiqua"/>
          <w:b/>
          <w:iCs/>
          <w:spacing w:val="-1"/>
        </w:rPr>
        <w:t>ce</w:t>
      </w:r>
      <w:r w:rsidRPr="00E3232D">
        <w:rPr>
          <w:rFonts w:ascii="Book Antiqua" w:hAnsi="Book Antiqua"/>
          <w:iCs/>
        </w:rPr>
        <w:t>:  f</w:t>
      </w:r>
      <w:r w:rsidRPr="00E3232D">
        <w:rPr>
          <w:rFonts w:ascii="Book Antiqua" w:hAnsi="Book Antiqua"/>
          <w:iCs/>
          <w:spacing w:val="2"/>
        </w:rPr>
        <w:t>i</w:t>
      </w:r>
      <w:r w:rsidRPr="00E3232D">
        <w:rPr>
          <w:rFonts w:ascii="Book Antiqua" w:hAnsi="Book Antiqua"/>
          <w:iCs/>
          <w:spacing w:val="-1"/>
        </w:rPr>
        <w:t>e</w:t>
      </w:r>
      <w:r w:rsidRPr="00E3232D">
        <w:rPr>
          <w:rFonts w:ascii="Book Antiqua" w:hAnsi="Book Antiqua"/>
          <w:iCs/>
        </w:rPr>
        <w:t>ld da</w:t>
      </w:r>
      <w:r w:rsidRPr="00E3232D">
        <w:rPr>
          <w:rFonts w:ascii="Book Antiqua" w:hAnsi="Book Antiqua"/>
          <w:iCs/>
          <w:spacing w:val="2"/>
        </w:rPr>
        <w:t>t</w:t>
      </w:r>
      <w:r w:rsidRPr="00E3232D">
        <w:rPr>
          <w:rFonts w:ascii="Book Antiqua" w:hAnsi="Book Antiqua"/>
          <w:iCs/>
        </w:rPr>
        <w:t>a, 2012</w:t>
      </w:r>
    </w:p>
    <w:p w14:paraId="41C41674" w14:textId="77777777" w:rsidR="00CA79AA" w:rsidRPr="00E3232D" w:rsidRDefault="001C5D75" w:rsidP="008275E1">
      <w:pPr>
        <w:widowControl w:val="0"/>
        <w:autoSpaceDE w:val="0"/>
        <w:autoSpaceDN w:val="0"/>
        <w:adjustRightInd w:val="0"/>
        <w:ind w:right="77"/>
        <w:rPr>
          <w:rFonts w:ascii="Book Antiqua" w:hAnsi="Book Antiqua"/>
          <w:spacing w:val="1"/>
        </w:rPr>
      </w:pPr>
      <w:r w:rsidRPr="00E3232D">
        <w:rPr>
          <w:rFonts w:ascii="Book Antiqua" w:hAnsi="Book Antiqua"/>
        </w:rPr>
        <w:t xml:space="preserve">The </w:t>
      </w:r>
      <w:r w:rsidRPr="00E3232D">
        <w:rPr>
          <w:rFonts w:ascii="Book Antiqua" w:hAnsi="Book Antiqua"/>
          <w:spacing w:val="-1"/>
        </w:rPr>
        <w:t>a</w:t>
      </w:r>
      <w:r w:rsidRPr="00E3232D">
        <w:rPr>
          <w:rFonts w:ascii="Book Antiqua" w:hAnsi="Book Antiqua"/>
        </w:rPr>
        <w:t xml:space="preserve">bove table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rPr>
        <w:t>plains</w:t>
      </w:r>
      <w:r w:rsidRPr="00E3232D">
        <w:rPr>
          <w:rFonts w:ascii="Book Antiqua" w:hAnsi="Book Antiqua"/>
          <w:spacing w:val="1"/>
        </w:rPr>
        <w:t xml:space="preserve"> </w:t>
      </w:r>
      <w:r w:rsidRPr="00E3232D">
        <w:rPr>
          <w:rFonts w:ascii="Book Antiqua" w:hAnsi="Book Antiqua"/>
        </w:rPr>
        <w:t xml:space="preserve">the </w:t>
      </w:r>
      <w:r w:rsidRPr="00E3232D">
        <w:rPr>
          <w:rFonts w:ascii="Book Antiqua" w:hAnsi="Book Antiqua"/>
          <w:spacing w:val="3"/>
        </w:rPr>
        <w:t>t</w:t>
      </w:r>
      <w:r w:rsidRPr="00E3232D">
        <w:rPr>
          <w:rFonts w:ascii="Book Antiqua" w:hAnsi="Book Antiqua"/>
          <w:spacing w:val="-7"/>
        </w:rPr>
        <w:t>y</w:t>
      </w:r>
      <w:r w:rsidRPr="00E3232D">
        <w:rPr>
          <w:rFonts w:ascii="Book Antiqua" w:hAnsi="Book Antiqua"/>
          <w:spacing w:val="2"/>
        </w:rPr>
        <w:t>p</w:t>
      </w:r>
      <w:r w:rsidRPr="00E3232D">
        <w:rPr>
          <w:rFonts w:ascii="Book Antiqua" w:hAnsi="Book Antiqua"/>
        </w:rPr>
        <w:t>e of busin</w:t>
      </w:r>
      <w:r w:rsidRPr="00E3232D">
        <w:rPr>
          <w:rFonts w:ascii="Book Antiqua" w:hAnsi="Book Antiqua"/>
          <w:spacing w:val="-1"/>
        </w:rPr>
        <w:t>e</w:t>
      </w:r>
      <w:r w:rsidRPr="00E3232D">
        <w:rPr>
          <w:rFonts w:ascii="Book Antiqua" w:hAnsi="Book Antiqua"/>
        </w:rPr>
        <w:t>ss</w:t>
      </w:r>
      <w:r w:rsidRPr="00E3232D">
        <w:rPr>
          <w:rFonts w:ascii="Book Antiqua" w:hAnsi="Book Antiqua"/>
          <w:spacing w:val="1"/>
        </w:rPr>
        <w:t xml:space="preserve"> </w:t>
      </w:r>
    </w:p>
    <w:p w14:paraId="1A9E4645" w14:textId="77777777" w:rsidR="001C5D75" w:rsidRPr="00E3232D" w:rsidRDefault="001C5D75" w:rsidP="00465AE3">
      <w:pPr>
        <w:widowControl w:val="0"/>
        <w:autoSpaceDE w:val="0"/>
        <w:autoSpaceDN w:val="0"/>
        <w:adjustRightInd w:val="0"/>
        <w:spacing w:after="0"/>
        <w:ind w:right="77"/>
        <w:jc w:val="both"/>
        <w:rPr>
          <w:rFonts w:ascii="Book Antiqua" w:hAnsi="Book Antiqua"/>
        </w:rPr>
      </w:pPr>
      <w:r w:rsidRPr="00E3232D">
        <w:rPr>
          <w:rFonts w:ascii="Book Antiqua" w:hAnsi="Book Antiqua"/>
        </w:rPr>
        <w:t>wh</w:t>
      </w:r>
      <w:r w:rsidRPr="00E3232D">
        <w:rPr>
          <w:rFonts w:ascii="Book Antiqua" w:hAnsi="Book Antiqua"/>
          <w:spacing w:val="-1"/>
        </w:rPr>
        <w:t>e</w:t>
      </w:r>
      <w:r w:rsidRPr="00E3232D">
        <w:rPr>
          <w:rFonts w:ascii="Book Antiqua" w:hAnsi="Book Antiqua"/>
        </w:rPr>
        <w:t>ther it</w:t>
      </w:r>
      <w:r w:rsidRPr="00E3232D">
        <w:rPr>
          <w:rFonts w:ascii="Book Antiqua" w:hAnsi="Book Antiqua"/>
          <w:spacing w:val="2"/>
        </w:rPr>
        <w:t xml:space="preserve"> </w:t>
      </w:r>
      <w:r w:rsidRPr="00E3232D">
        <w:rPr>
          <w:rFonts w:ascii="Book Antiqua" w:hAnsi="Book Antiqua"/>
        </w:rPr>
        <w:t>is</w:t>
      </w:r>
      <w:r w:rsidRPr="00E3232D">
        <w:rPr>
          <w:rFonts w:ascii="Book Antiqua" w:hAnsi="Book Antiqua"/>
          <w:spacing w:val="2"/>
        </w:rPr>
        <w:t xml:space="preserve"> </w:t>
      </w:r>
      <w:r w:rsidRPr="00E3232D">
        <w:rPr>
          <w:rFonts w:ascii="Book Antiqua" w:hAnsi="Book Antiqua"/>
        </w:rPr>
        <w:t>tr</w:t>
      </w:r>
      <w:r w:rsidRPr="00E3232D">
        <w:rPr>
          <w:rFonts w:ascii="Book Antiqua" w:hAnsi="Book Antiqua"/>
          <w:spacing w:val="-1"/>
        </w:rPr>
        <w:t>a</w:t>
      </w:r>
      <w:r w:rsidRPr="00E3232D">
        <w:rPr>
          <w:rFonts w:ascii="Book Antiqua" w:hAnsi="Book Antiqua"/>
        </w:rPr>
        <w:t>din</w:t>
      </w:r>
      <w:r w:rsidRPr="00E3232D">
        <w:rPr>
          <w:rFonts w:ascii="Book Antiqua" w:hAnsi="Book Antiqua"/>
          <w:spacing w:val="-2"/>
        </w:rPr>
        <w:t>g</w:t>
      </w:r>
      <w:r w:rsidRPr="00E3232D">
        <w:rPr>
          <w:rFonts w:ascii="Book Antiqua" w:hAnsi="Book Antiqua"/>
        </w:rPr>
        <w:t>.</w:t>
      </w:r>
      <w:r w:rsidRPr="00E3232D">
        <w:rPr>
          <w:rFonts w:ascii="Book Antiqua" w:hAnsi="Book Antiqua"/>
          <w:spacing w:val="7"/>
        </w:rPr>
        <w:t xml:space="preserve"> </w:t>
      </w:r>
      <w:r w:rsidRPr="00E3232D">
        <w:rPr>
          <w:rFonts w:ascii="Book Antiqua" w:hAnsi="Book Antiqua"/>
        </w:rPr>
        <w:t>Most</w:t>
      </w:r>
      <w:r w:rsidRPr="00E3232D">
        <w:rPr>
          <w:rFonts w:ascii="Book Antiqua" w:hAnsi="Book Antiqua"/>
          <w:spacing w:val="2"/>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spond</w:t>
      </w:r>
      <w:r w:rsidRPr="00E3232D">
        <w:rPr>
          <w:rFonts w:ascii="Book Antiqua" w:hAnsi="Book Antiqua"/>
          <w:spacing w:val="-1"/>
        </w:rPr>
        <w:t>e</w:t>
      </w:r>
      <w:r w:rsidRPr="00E3232D">
        <w:rPr>
          <w:rFonts w:ascii="Book Antiqua" w:hAnsi="Book Antiqua"/>
        </w:rPr>
        <w:t>nts</w:t>
      </w:r>
      <w:r w:rsidRPr="00E3232D">
        <w:rPr>
          <w:rFonts w:ascii="Book Antiqua" w:hAnsi="Book Antiqua"/>
          <w:spacing w:val="2"/>
        </w:rPr>
        <w:t xml:space="preserve"> </w:t>
      </w:r>
      <w:r w:rsidRPr="00E3232D">
        <w:rPr>
          <w:rFonts w:ascii="Book Antiqua" w:hAnsi="Book Antiqua"/>
        </w:rPr>
        <w:t>207 (65.</w:t>
      </w:r>
      <w:r w:rsidRPr="00E3232D">
        <w:rPr>
          <w:rFonts w:ascii="Book Antiqua" w:hAnsi="Book Antiqua"/>
          <w:spacing w:val="-1"/>
        </w:rPr>
        <w:t>7%</w:t>
      </w:r>
      <w:r w:rsidRPr="00E3232D">
        <w:rPr>
          <w:rFonts w:ascii="Book Antiqua" w:hAnsi="Book Antiqua"/>
        </w:rPr>
        <w:t>)</w:t>
      </w:r>
      <w:r w:rsidRPr="00E3232D">
        <w:rPr>
          <w:rFonts w:ascii="Book Antiqua" w:hAnsi="Book Antiqua"/>
          <w:spacing w:val="25"/>
        </w:rPr>
        <w:t xml:space="preserve"> </w:t>
      </w:r>
      <w:r w:rsidRPr="00E3232D">
        <w:rPr>
          <w:rFonts w:ascii="Book Antiqua" w:hAnsi="Book Antiqua"/>
        </w:rPr>
        <w:t>w</w:t>
      </w:r>
      <w:r w:rsidRPr="00E3232D">
        <w:rPr>
          <w:rFonts w:ascii="Book Antiqua" w:hAnsi="Book Antiqua"/>
          <w:spacing w:val="1"/>
        </w:rPr>
        <w:t>e</w:t>
      </w:r>
      <w:r w:rsidRPr="00E3232D">
        <w:rPr>
          <w:rFonts w:ascii="Book Antiqua" w:hAnsi="Book Antiqua"/>
        </w:rPr>
        <w:t>re</w:t>
      </w:r>
      <w:r w:rsidRPr="00E3232D">
        <w:rPr>
          <w:rFonts w:ascii="Book Antiqua" w:hAnsi="Book Antiqua"/>
          <w:spacing w:val="24"/>
        </w:rPr>
        <w:t xml:space="preserve"> </w:t>
      </w:r>
      <w:r w:rsidRPr="00E3232D">
        <w:rPr>
          <w:rFonts w:ascii="Book Antiqua" w:hAnsi="Book Antiqua"/>
          <w:spacing w:val="-1"/>
        </w:rPr>
        <w:t>e</w:t>
      </w:r>
      <w:r w:rsidRPr="00E3232D">
        <w:rPr>
          <w:rFonts w:ascii="Book Antiqua" w:hAnsi="Book Antiqua"/>
          <w:spacing w:val="2"/>
        </w:rPr>
        <w:t>n</w:t>
      </w:r>
      <w:r w:rsidRPr="00E3232D">
        <w:rPr>
          <w:rFonts w:ascii="Book Antiqua" w:hAnsi="Book Antiqua"/>
        </w:rPr>
        <w:t>g</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d</w:t>
      </w:r>
      <w:r w:rsidRPr="00E3232D">
        <w:rPr>
          <w:rFonts w:ascii="Book Antiqua" w:hAnsi="Book Antiqua"/>
          <w:spacing w:val="26"/>
        </w:rPr>
        <w:t xml:space="preserve"> </w:t>
      </w:r>
      <w:r w:rsidRPr="00E3232D">
        <w:rPr>
          <w:rFonts w:ascii="Book Antiqua" w:hAnsi="Book Antiqua"/>
          <w:spacing w:val="3"/>
        </w:rPr>
        <w:t>i</w:t>
      </w:r>
      <w:r w:rsidRPr="00E3232D">
        <w:rPr>
          <w:rFonts w:ascii="Book Antiqua" w:hAnsi="Book Antiqua"/>
        </w:rPr>
        <w:t>n</w:t>
      </w:r>
      <w:r w:rsidRPr="00E3232D">
        <w:rPr>
          <w:rFonts w:ascii="Book Antiqua" w:hAnsi="Book Antiqua"/>
          <w:spacing w:val="26"/>
        </w:rPr>
        <w:t xml:space="preserve"> </w:t>
      </w:r>
      <w:r w:rsidRPr="00E3232D">
        <w:rPr>
          <w:rFonts w:ascii="Book Antiqua" w:hAnsi="Book Antiqua"/>
        </w:rPr>
        <w:t>tr</w:t>
      </w:r>
      <w:r w:rsidRPr="00E3232D">
        <w:rPr>
          <w:rFonts w:ascii="Book Antiqua" w:hAnsi="Book Antiqua"/>
          <w:spacing w:val="-1"/>
        </w:rPr>
        <w:t>a</w:t>
      </w:r>
      <w:r w:rsidRPr="00E3232D">
        <w:rPr>
          <w:rFonts w:ascii="Book Antiqua" w:hAnsi="Book Antiqua"/>
        </w:rPr>
        <w:t>din</w:t>
      </w:r>
      <w:r w:rsidRPr="00E3232D">
        <w:rPr>
          <w:rFonts w:ascii="Book Antiqua" w:hAnsi="Book Antiqua"/>
          <w:spacing w:val="-2"/>
        </w:rPr>
        <w:t>g</w:t>
      </w:r>
      <w:r w:rsidRPr="00E3232D">
        <w:rPr>
          <w:rFonts w:ascii="Book Antiqua" w:hAnsi="Book Antiqua"/>
        </w:rPr>
        <w:t>,</w:t>
      </w:r>
      <w:r w:rsidRPr="00E3232D">
        <w:rPr>
          <w:rFonts w:ascii="Book Antiqua" w:hAnsi="Book Antiqua"/>
          <w:spacing w:val="26"/>
        </w:rPr>
        <w:t xml:space="preserve"> </w:t>
      </w:r>
      <w:r w:rsidRPr="00E3232D">
        <w:rPr>
          <w:rFonts w:ascii="Book Antiqua" w:hAnsi="Book Antiqua"/>
        </w:rPr>
        <w:t>with</w:t>
      </w:r>
      <w:r w:rsidRPr="00E3232D">
        <w:rPr>
          <w:rFonts w:ascii="Book Antiqua" w:hAnsi="Book Antiqua"/>
          <w:spacing w:val="27"/>
        </w:rPr>
        <w:t xml:space="preserve"> </w:t>
      </w:r>
      <w:r w:rsidRPr="00E3232D">
        <w:rPr>
          <w:rFonts w:ascii="Book Antiqua" w:hAnsi="Book Antiqua"/>
        </w:rPr>
        <w:t>66</w:t>
      </w:r>
      <w:r w:rsidRPr="00E3232D">
        <w:rPr>
          <w:rFonts w:ascii="Book Antiqua" w:hAnsi="Book Antiqua"/>
          <w:spacing w:val="26"/>
        </w:rPr>
        <w:t xml:space="preserve"> </w:t>
      </w:r>
      <w:r w:rsidRPr="00E3232D">
        <w:rPr>
          <w:rFonts w:ascii="Book Antiqua" w:hAnsi="Book Antiqua"/>
        </w:rPr>
        <w:t>(21.</w:t>
      </w:r>
      <w:r w:rsidRPr="00E3232D">
        <w:rPr>
          <w:rFonts w:ascii="Book Antiqua" w:hAnsi="Book Antiqua"/>
          <w:spacing w:val="1"/>
        </w:rPr>
        <w:t>0</w:t>
      </w:r>
      <w:r w:rsidRPr="00E3232D">
        <w:rPr>
          <w:rFonts w:ascii="Book Antiqua" w:hAnsi="Book Antiqua"/>
          <w:spacing w:val="-1"/>
        </w:rPr>
        <w:t>%</w:t>
      </w:r>
      <w:r w:rsidRPr="00E3232D">
        <w:rPr>
          <w:rFonts w:ascii="Book Antiqua" w:hAnsi="Book Antiqua"/>
        </w:rPr>
        <w:t>)</w:t>
      </w:r>
      <w:r w:rsidRPr="00E3232D">
        <w:rPr>
          <w:rFonts w:ascii="Book Antiqua" w:hAnsi="Book Antiqua"/>
          <w:spacing w:val="25"/>
        </w:rPr>
        <w:t xml:space="preserve"> </w:t>
      </w:r>
      <w:r w:rsidRPr="00E3232D">
        <w:rPr>
          <w:rFonts w:ascii="Book Antiqua" w:hAnsi="Book Antiqua"/>
        </w:rPr>
        <w:t>wo</w:t>
      </w:r>
      <w:r w:rsidRPr="00E3232D">
        <w:rPr>
          <w:rFonts w:ascii="Book Antiqua" w:hAnsi="Book Antiqua"/>
          <w:spacing w:val="-1"/>
        </w:rPr>
        <w:t>r</w:t>
      </w:r>
      <w:r w:rsidRPr="00E3232D">
        <w:rPr>
          <w:rFonts w:ascii="Book Antiqua" w:hAnsi="Book Antiqua"/>
        </w:rPr>
        <w:t>ki</w:t>
      </w:r>
      <w:r w:rsidRPr="00E3232D">
        <w:rPr>
          <w:rFonts w:ascii="Book Antiqua" w:hAnsi="Book Antiqua"/>
          <w:spacing w:val="3"/>
        </w:rPr>
        <w:t>n</w:t>
      </w:r>
      <w:r w:rsidRPr="00E3232D">
        <w:rPr>
          <w:rFonts w:ascii="Book Antiqua" w:hAnsi="Book Antiqua"/>
        </w:rPr>
        <w:t>g</w:t>
      </w:r>
      <w:r w:rsidRPr="00E3232D">
        <w:rPr>
          <w:rFonts w:ascii="Book Antiqua" w:hAnsi="Book Antiqua"/>
          <w:spacing w:val="24"/>
        </w:rPr>
        <w:t xml:space="preserve"> </w:t>
      </w:r>
      <w:r w:rsidRPr="00E3232D">
        <w:rPr>
          <w:rFonts w:ascii="Book Antiqua" w:hAnsi="Book Antiqua"/>
        </w:rPr>
        <w:t>in</w:t>
      </w:r>
      <w:r w:rsidRPr="00E3232D">
        <w:rPr>
          <w:rFonts w:ascii="Book Antiqua" w:hAnsi="Book Antiqua"/>
          <w:spacing w:val="27"/>
        </w:rPr>
        <w:t xml:space="preserve"> </w:t>
      </w:r>
      <w:r w:rsidRPr="00E3232D">
        <w:rPr>
          <w:rFonts w:ascii="Book Antiqua" w:hAnsi="Book Antiqua"/>
        </w:rPr>
        <w:t>the</w:t>
      </w:r>
      <w:r w:rsidRPr="00E3232D">
        <w:rPr>
          <w:rFonts w:ascii="Book Antiqua" w:hAnsi="Book Antiqua"/>
          <w:spacing w:val="26"/>
        </w:rPr>
        <w:t xml:space="preserve"> </w:t>
      </w:r>
      <w:r w:rsidRPr="00E3232D">
        <w:rPr>
          <w:rFonts w:ascii="Book Antiqua" w:hAnsi="Book Antiqua"/>
          <w:spacing w:val="-1"/>
        </w:rPr>
        <w:t>a</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a</w:t>
      </w:r>
      <w:r w:rsidRPr="00E3232D">
        <w:rPr>
          <w:rFonts w:ascii="Book Antiqua" w:hAnsi="Book Antiqua"/>
          <w:spacing w:val="28"/>
        </w:rPr>
        <w:t xml:space="preserve"> </w:t>
      </w:r>
      <w:r w:rsidRPr="00E3232D">
        <w:rPr>
          <w:rFonts w:ascii="Book Antiqua" w:hAnsi="Book Antiqua"/>
        </w:rPr>
        <w:t>of</w:t>
      </w:r>
      <w:r w:rsidRPr="00E3232D">
        <w:rPr>
          <w:rFonts w:ascii="Book Antiqua" w:hAnsi="Book Antiqua"/>
          <w:spacing w:val="25"/>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w:t>
      </w:r>
      <w:r w:rsidRPr="00E3232D">
        <w:rPr>
          <w:rFonts w:ascii="Book Antiqua" w:hAnsi="Book Antiqua"/>
          <w:spacing w:val="-1"/>
        </w:rPr>
        <w:t>ce</w:t>
      </w:r>
      <w:r w:rsidRPr="00E3232D">
        <w:rPr>
          <w:rFonts w:ascii="Book Antiqua" w:hAnsi="Book Antiqua"/>
        </w:rPr>
        <w:t>ss</w:t>
      </w:r>
      <w:r w:rsidRPr="00E3232D">
        <w:rPr>
          <w:rFonts w:ascii="Book Antiqua" w:hAnsi="Book Antiqua"/>
          <w:spacing w:val="1"/>
        </w:rPr>
        <w:t>i</w:t>
      </w:r>
      <w:r w:rsidRPr="00E3232D">
        <w:rPr>
          <w:rFonts w:ascii="Book Antiqua" w:hAnsi="Book Antiqua"/>
          <w:spacing w:val="2"/>
        </w:rPr>
        <w:t>n</w:t>
      </w:r>
      <w:r w:rsidRPr="00E3232D">
        <w:rPr>
          <w:rFonts w:ascii="Book Antiqua" w:hAnsi="Book Antiqua"/>
        </w:rPr>
        <w:t>g</w:t>
      </w:r>
      <w:r w:rsidRPr="00E3232D">
        <w:rPr>
          <w:rFonts w:ascii="Book Antiqua" w:hAnsi="Book Antiqua"/>
          <w:spacing w:val="24"/>
        </w:rPr>
        <w:t xml:space="preserve"> </w:t>
      </w:r>
      <w:r w:rsidRPr="00E3232D">
        <w:rPr>
          <w:rFonts w:ascii="Book Antiqua" w:hAnsi="Book Antiqua"/>
        </w:rPr>
        <w:t>of ri</w:t>
      </w:r>
      <w:r w:rsidRPr="00E3232D">
        <w:rPr>
          <w:rFonts w:ascii="Book Antiqua" w:hAnsi="Book Antiqua"/>
          <w:spacing w:val="-1"/>
        </w:rPr>
        <w:t>c</w:t>
      </w:r>
      <w:r w:rsidRPr="00E3232D">
        <w:rPr>
          <w:rFonts w:ascii="Book Antiqua" w:hAnsi="Book Antiqua"/>
        </w:rPr>
        <w:t>e</w:t>
      </w:r>
      <w:r w:rsidRPr="00E3232D">
        <w:rPr>
          <w:rFonts w:ascii="Book Antiqua" w:hAnsi="Book Antiqua"/>
          <w:spacing w:val="37"/>
        </w:rPr>
        <w:t xml:space="preserve"> </w:t>
      </w:r>
      <w:r w:rsidRPr="00E3232D">
        <w:rPr>
          <w:rFonts w:ascii="Book Antiqua" w:hAnsi="Book Antiqua"/>
          <w:spacing w:val="1"/>
        </w:rPr>
        <w:t>f</w:t>
      </w:r>
      <w:r w:rsidRPr="00E3232D">
        <w:rPr>
          <w:rFonts w:ascii="Book Antiqua" w:hAnsi="Book Antiqua"/>
        </w:rPr>
        <w:t>rom</w:t>
      </w:r>
      <w:r w:rsidRPr="00E3232D">
        <w:rPr>
          <w:rFonts w:ascii="Book Antiqua" w:hAnsi="Book Antiqua"/>
          <w:spacing w:val="38"/>
        </w:rPr>
        <w:t xml:space="preserve"> </w:t>
      </w:r>
      <w:r w:rsidRPr="00E3232D">
        <w:rPr>
          <w:rFonts w:ascii="Book Antiqua" w:hAnsi="Book Antiqua"/>
        </w:rPr>
        <w:t>the</w:t>
      </w:r>
      <w:r w:rsidRPr="00E3232D">
        <w:rPr>
          <w:rFonts w:ascii="Book Antiqua" w:hAnsi="Book Antiqua"/>
          <w:spacing w:val="38"/>
        </w:rPr>
        <w:t xml:space="preserve"> </w:t>
      </w:r>
      <w:r w:rsidRPr="00E3232D">
        <w:rPr>
          <w:rFonts w:ascii="Book Antiqua" w:hAnsi="Book Antiqua"/>
        </w:rPr>
        <w:t>fi</w:t>
      </w:r>
      <w:r w:rsidRPr="00E3232D">
        <w:rPr>
          <w:rFonts w:ascii="Book Antiqua" w:hAnsi="Book Antiqua"/>
          <w:spacing w:val="-1"/>
        </w:rPr>
        <w:t>e</w:t>
      </w:r>
      <w:r w:rsidRPr="00E3232D">
        <w:rPr>
          <w:rFonts w:ascii="Book Antiqua" w:hAnsi="Book Antiqua"/>
        </w:rPr>
        <w:t>lds</w:t>
      </w:r>
      <w:r w:rsidRPr="00E3232D">
        <w:rPr>
          <w:rFonts w:ascii="Book Antiqua" w:hAnsi="Book Antiqua"/>
          <w:spacing w:val="39"/>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40"/>
        </w:rPr>
        <w:t xml:space="preserve"> </w:t>
      </w:r>
      <w:r w:rsidRPr="00E3232D">
        <w:rPr>
          <w:rFonts w:ascii="Book Antiqua" w:hAnsi="Book Antiqua"/>
        </w:rPr>
        <w:t>p</w:t>
      </w:r>
      <w:r w:rsidRPr="00E3232D">
        <w:rPr>
          <w:rFonts w:ascii="Book Antiqua" w:hAnsi="Book Antiqua"/>
          <w:spacing w:val="-1"/>
        </w:rPr>
        <w:t>re</w:t>
      </w:r>
      <w:r w:rsidRPr="00E3232D">
        <w:rPr>
          <w:rFonts w:ascii="Book Antiqua" w:hAnsi="Book Antiqua"/>
        </w:rPr>
        <w:t>p</w:t>
      </w:r>
      <w:r w:rsidRPr="00E3232D">
        <w:rPr>
          <w:rFonts w:ascii="Book Antiqua" w:hAnsi="Book Antiqua"/>
          <w:spacing w:val="-1"/>
        </w:rPr>
        <w:t>a</w:t>
      </w:r>
      <w:r w:rsidRPr="00E3232D">
        <w:rPr>
          <w:rFonts w:ascii="Book Antiqua" w:hAnsi="Book Antiqua"/>
        </w:rPr>
        <w:t>ri</w:t>
      </w:r>
      <w:r w:rsidRPr="00E3232D">
        <w:rPr>
          <w:rFonts w:ascii="Book Antiqua" w:hAnsi="Book Antiqua"/>
          <w:spacing w:val="2"/>
        </w:rPr>
        <w:t>n</w:t>
      </w:r>
      <w:r w:rsidRPr="00E3232D">
        <w:rPr>
          <w:rFonts w:ascii="Book Antiqua" w:hAnsi="Book Antiqua"/>
        </w:rPr>
        <w:t>g</w:t>
      </w:r>
      <w:r w:rsidRPr="00E3232D">
        <w:rPr>
          <w:rFonts w:ascii="Book Antiqua" w:hAnsi="Book Antiqua"/>
          <w:spacing w:val="36"/>
        </w:rPr>
        <w:t xml:space="preserve"> </w:t>
      </w:r>
      <w:r w:rsidRPr="00E3232D">
        <w:rPr>
          <w:rFonts w:ascii="Book Antiqua" w:hAnsi="Book Antiqua"/>
        </w:rPr>
        <w:t>them</w:t>
      </w:r>
      <w:r w:rsidRPr="00E3232D">
        <w:rPr>
          <w:rFonts w:ascii="Book Antiqua" w:hAnsi="Book Antiqua"/>
          <w:spacing w:val="41"/>
        </w:rPr>
        <w:t xml:space="preserve"> </w:t>
      </w:r>
      <w:r w:rsidRPr="00E3232D">
        <w:rPr>
          <w:rFonts w:ascii="Book Antiqua" w:hAnsi="Book Antiqua"/>
        </w:rPr>
        <w:t>for</w:t>
      </w:r>
      <w:r w:rsidRPr="00E3232D">
        <w:rPr>
          <w:rFonts w:ascii="Book Antiqua" w:hAnsi="Book Antiqua"/>
          <w:spacing w:val="37"/>
        </w:rPr>
        <w:t xml:space="preserve"> </w:t>
      </w:r>
      <w:r w:rsidRPr="00E3232D">
        <w:rPr>
          <w:rFonts w:ascii="Book Antiqua" w:hAnsi="Book Antiqua"/>
        </w:rPr>
        <w:t>the</w:t>
      </w:r>
      <w:r w:rsidRPr="00E3232D">
        <w:rPr>
          <w:rFonts w:ascii="Book Antiqua" w:hAnsi="Book Antiqua"/>
          <w:spacing w:val="40"/>
        </w:rPr>
        <w:t xml:space="preserve"> </w:t>
      </w:r>
      <w:r w:rsidRPr="00E3232D">
        <w:rPr>
          <w:rFonts w:ascii="Book Antiqua" w:hAnsi="Book Antiqua"/>
        </w:rPr>
        <w:t>ma</w:t>
      </w:r>
      <w:r w:rsidRPr="00E3232D">
        <w:rPr>
          <w:rFonts w:ascii="Book Antiqua" w:hAnsi="Book Antiqua"/>
          <w:spacing w:val="-1"/>
        </w:rPr>
        <w:t>r</w:t>
      </w:r>
      <w:r w:rsidRPr="00E3232D">
        <w:rPr>
          <w:rFonts w:ascii="Book Antiqua" w:hAnsi="Book Antiqua"/>
        </w:rPr>
        <w:t>k</w:t>
      </w:r>
      <w:r w:rsidRPr="00E3232D">
        <w:rPr>
          <w:rFonts w:ascii="Book Antiqua" w:hAnsi="Book Antiqua"/>
          <w:spacing w:val="-1"/>
        </w:rPr>
        <w:t>e</w:t>
      </w:r>
      <w:r w:rsidRPr="00E3232D">
        <w:rPr>
          <w:rFonts w:ascii="Book Antiqua" w:hAnsi="Book Antiqua"/>
        </w:rPr>
        <w:t>t</w:t>
      </w:r>
      <w:r w:rsidRPr="00E3232D">
        <w:rPr>
          <w:rFonts w:ascii="Book Antiqua" w:hAnsi="Book Antiqua"/>
          <w:spacing w:val="39"/>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38"/>
        </w:rPr>
        <w:t xml:space="preserve"> </w:t>
      </w:r>
      <w:r w:rsidRPr="00E3232D">
        <w:rPr>
          <w:rFonts w:ascii="Book Antiqua" w:hAnsi="Book Antiqua"/>
        </w:rPr>
        <w:t>42</w:t>
      </w:r>
      <w:r w:rsidRPr="00E3232D">
        <w:rPr>
          <w:rFonts w:ascii="Book Antiqua" w:hAnsi="Book Antiqua"/>
          <w:spacing w:val="41"/>
        </w:rPr>
        <w:t xml:space="preserve"> </w:t>
      </w:r>
      <w:r w:rsidRPr="00E3232D">
        <w:rPr>
          <w:rFonts w:ascii="Book Antiqua" w:hAnsi="Book Antiqua"/>
        </w:rPr>
        <w:t>(13.</w:t>
      </w:r>
      <w:r w:rsidRPr="00E3232D">
        <w:rPr>
          <w:rFonts w:ascii="Book Antiqua" w:hAnsi="Book Antiqua"/>
          <w:spacing w:val="-1"/>
        </w:rPr>
        <w:t>3%</w:t>
      </w:r>
      <w:r w:rsidRPr="00E3232D">
        <w:rPr>
          <w:rFonts w:ascii="Book Antiqua" w:hAnsi="Book Antiqua"/>
        </w:rPr>
        <w:t>)</w:t>
      </w:r>
      <w:r w:rsidRPr="00E3232D">
        <w:rPr>
          <w:rFonts w:ascii="Book Antiqua" w:hAnsi="Book Antiqua"/>
          <w:spacing w:val="40"/>
        </w:rPr>
        <w:t xml:space="preserve"> </w:t>
      </w:r>
      <w:r w:rsidRPr="00E3232D">
        <w:rPr>
          <w:rFonts w:ascii="Book Antiqua" w:hAnsi="Book Antiqua"/>
        </w:rPr>
        <w:t>of</w:t>
      </w:r>
      <w:r w:rsidRPr="00E3232D">
        <w:rPr>
          <w:rFonts w:ascii="Book Antiqua" w:hAnsi="Book Antiqua"/>
          <w:spacing w:val="37"/>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spond</w:t>
      </w:r>
      <w:r w:rsidRPr="00E3232D">
        <w:rPr>
          <w:rFonts w:ascii="Book Antiqua" w:hAnsi="Book Antiqua"/>
          <w:spacing w:val="-1"/>
        </w:rPr>
        <w:t>e</w:t>
      </w:r>
      <w:r w:rsidRPr="00E3232D">
        <w:rPr>
          <w:rFonts w:ascii="Book Antiqua" w:hAnsi="Book Antiqua"/>
        </w:rPr>
        <w:t>nts b</w:t>
      </w:r>
      <w:r w:rsidRPr="00E3232D">
        <w:rPr>
          <w:rFonts w:ascii="Book Antiqua" w:hAnsi="Book Antiqua"/>
          <w:spacing w:val="-1"/>
        </w:rPr>
        <w:t>e</w:t>
      </w:r>
      <w:r w:rsidRPr="00E3232D">
        <w:rPr>
          <w:rFonts w:ascii="Book Antiqua" w:hAnsi="Book Antiqua"/>
        </w:rPr>
        <w:t xml:space="preserve">ing </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2"/>
        </w:rPr>
        <w:t>g</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 xml:space="preserve">d in </w:t>
      </w:r>
      <w:r w:rsidRPr="00E3232D">
        <w:rPr>
          <w:rFonts w:ascii="Book Antiqua" w:hAnsi="Book Antiqua"/>
          <w:spacing w:val="2"/>
        </w:rPr>
        <w:t>f</w:t>
      </w:r>
      <w:r w:rsidRPr="00E3232D">
        <w:rPr>
          <w:rFonts w:ascii="Book Antiqua" w:hAnsi="Book Antiqua"/>
          <w:spacing w:val="-1"/>
        </w:rPr>
        <w:t>a</w:t>
      </w:r>
      <w:r w:rsidRPr="00E3232D">
        <w:rPr>
          <w:rFonts w:ascii="Book Antiqua" w:hAnsi="Book Antiqua"/>
        </w:rPr>
        <w:t>rmi</w:t>
      </w:r>
      <w:r w:rsidRPr="00E3232D">
        <w:rPr>
          <w:rFonts w:ascii="Book Antiqua" w:hAnsi="Book Antiqua"/>
          <w:spacing w:val="2"/>
        </w:rPr>
        <w:t>n</w:t>
      </w:r>
      <w:r w:rsidRPr="00E3232D">
        <w:rPr>
          <w:rFonts w:ascii="Book Antiqua" w:hAnsi="Book Antiqua"/>
          <w:spacing w:val="-2"/>
        </w:rPr>
        <w:t>g</w:t>
      </w:r>
      <w:r w:rsidRPr="00E3232D">
        <w:rPr>
          <w:rFonts w:ascii="Book Antiqua" w:hAnsi="Book Antiqua"/>
        </w:rPr>
        <w:t>.</w:t>
      </w:r>
    </w:p>
    <w:p w14:paraId="44FA8EA5" w14:textId="77777777" w:rsidR="007626A4" w:rsidRDefault="007626A4" w:rsidP="00380077">
      <w:pPr>
        <w:widowControl w:val="0"/>
        <w:autoSpaceDE w:val="0"/>
        <w:autoSpaceDN w:val="0"/>
        <w:adjustRightInd w:val="0"/>
        <w:spacing w:after="0"/>
        <w:ind w:right="79"/>
        <w:rPr>
          <w:rFonts w:ascii="Book Antiqua" w:hAnsi="Book Antiqua"/>
          <w:spacing w:val="-6"/>
        </w:rPr>
      </w:pPr>
    </w:p>
    <w:p w14:paraId="5B3F3804" w14:textId="77777777" w:rsidR="001C5D75" w:rsidRPr="00E3232D" w:rsidRDefault="001C5D75" w:rsidP="00465AE3">
      <w:pPr>
        <w:widowControl w:val="0"/>
        <w:autoSpaceDE w:val="0"/>
        <w:autoSpaceDN w:val="0"/>
        <w:adjustRightInd w:val="0"/>
        <w:spacing w:after="0"/>
        <w:ind w:right="79"/>
        <w:jc w:val="both"/>
        <w:rPr>
          <w:rFonts w:ascii="Book Antiqua" w:hAnsi="Book Antiqua"/>
        </w:rPr>
      </w:pPr>
      <w:r w:rsidRPr="00E3232D">
        <w:rPr>
          <w:rFonts w:ascii="Book Antiqua" w:hAnsi="Book Antiqua"/>
          <w:spacing w:val="-6"/>
        </w:rPr>
        <w:t>I</w:t>
      </w:r>
      <w:r w:rsidRPr="00E3232D">
        <w:rPr>
          <w:rFonts w:ascii="Book Antiqua" w:hAnsi="Book Antiqua"/>
        </w:rPr>
        <w:t>t</w:t>
      </w:r>
      <w:r w:rsidRPr="00E3232D">
        <w:rPr>
          <w:rFonts w:ascii="Book Antiqua" w:hAnsi="Book Antiqua"/>
          <w:spacing w:val="7"/>
        </w:rPr>
        <w:t xml:space="preserve"> </w:t>
      </w:r>
      <w:r w:rsidRPr="00E3232D">
        <w:rPr>
          <w:rFonts w:ascii="Book Antiqua" w:hAnsi="Book Antiqua"/>
          <w:spacing w:val="1"/>
        </w:rPr>
        <w:t>c</w:t>
      </w:r>
      <w:r w:rsidRPr="00E3232D">
        <w:rPr>
          <w:rFonts w:ascii="Book Antiqua" w:hAnsi="Book Antiqua"/>
          <w:spacing w:val="-1"/>
        </w:rPr>
        <w:t>a</w:t>
      </w:r>
      <w:r w:rsidRPr="00E3232D">
        <w:rPr>
          <w:rFonts w:ascii="Book Antiqua" w:hAnsi="Book Antiqua"/>
        </w:rPr>
        <w:t>n</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fo</w:t>
      </w:r>
      <w:r w:rsidRPr="00E3232D">
        <w:rPr>
          <w:rFonts w:ascii="Book Antiqua" w:hAnsi="Book Antiqua"/>
          <w:spacing w:val="-1"/>
        </w:rPr>
        <w:t>r</w:t>
      </w:r>
      <w:r w:rsidRPr="00E3232D">
        <w:rPr>
          <w:rFonts w:ascii="Book Antiqua" w:hAnsi="Book Antiqua"/>
        </w:rPr>
        <w:t>e</w:t>
      </w:r>
      <w:r w:rsidRPr="00E3232D">
        <w:rPr>
          <w:rFonts w:ascii="Book Antiqua" w:hAnsi="Book Antiqua"/>
          <w:spacing w:val="6"/>
        </w:rPr>
        <w:t xml:space="preserve"> </w:t>
      </w:r>
      <w:r w:rsidRPr="00E3232D">
        <w:rPr>
          <w:rFonts w:ascii="Book Antiqua" w:hAnsi="Book Antiqua"/>
        </w:rPr>
        <w:t>be</w:t>
      </w:r>
      <w:r w:rsidRPr="00E3232D">
        <w:rPr>
          <w:rFonts w:ascii="Book Antiqua" w:hAnsi="Book Antiqua"/>
          <w:spacing w:val="8"/>
        </w:rPr>
        <w:t xml:space="preserve"> </w:t>
      </w:r>
      <w:r w:rsidRPr="00E3232D">
        <w:rPr>
          <w:rFonts w:ascii="Book Antiqua" w:hAnsi="Book Antiqua"/>
          <w:spacing w:val="-1"/>
        </w:rPr>
        <w:t>c</w:t>
      </w:r>
      <w:r w:rsidRPr="00E3232D">
        <w:rPr>
          <w:rFonts w:ascii="Book Antiqua" w:hAnsi="Book Antiqua"/>
        </w:rPr>
        <w:t>le</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l</w:t>
      </w:r>
      <w:r w:rsidRPr="00E3232D">
        <w:rPr>
          <w:rFonts w:ascii="Book Antiqua" w:hAnsi="Book Antiqua"/>
        </w:rPr>
        <w:t>y</w:t>
      </w:r>
      <w:r w:rsidRPr="00E3232D">
        <w:rPr>
          <w:rFonts w:ascii="Book Antiqua" w:hAnsi="Book Antiqua"/>
          <w:spacing w:val="2"/>
        </w:rPr>
        <w:t xml:space="preserve"> </w:t>
      </w:r>
      <w:r w:rsidRPr="00E3232D">
        <w:rPr>
          <w:rFonts w:ascii="Book Antiqua" w:hAnsi="Book Antiqua"/>
        </w:rPr>
        <w:t>not</w:t>
      </w:r>
      <w:r w:rsidRPr="00E3232D">
        <w:rPr>
          <w:rFonts w:ascii="Book Antiqua" w:hAnsi="Book Antiqua"/>
          <w:spacing w:val="1"/>
        </w:rPr>
        <w:t>i</w:t>
      </w:r>
      <w:r w:rsidRPr="00E3232D">
        <w:rPr>
          <w:rFonts w:ascii="Book Antiqua" w:hAnsi="Book Antiqua"/>
          <w:spacing w:val="-1"/>
        </w:rPr>
        <w:t>ce</w:t>
      </w:r>
      <w:r w:rsidRPr="00E3232D">
        <w:rPr>
          <w:rFonts w:ascii="Book Antiqua" w:hAnsi="Book Antiqua"/>
        </w:rPr>
        <w:t>d</w:t>
      </w:r>
      <w:r w:rsidRPr="00E3232D">
        <w:rPr>
          <w:rFonts w:ascii="Book Antiqua" w:hAnsi="Book Antiqua"/>
          <w:spacing w:val="7"/>
        </w:rPr>
        <w:t xml:space="preserve"> </w:t>
      </w:r>
      <w:r w:rsidRPr="00E3232D">
        <w:rPr>
          <w:rFonts w:ascii="Book Antiqua" w:hAnsi="Book Antiqua"/>
          <w:spacing w:val="5"/>
        </w:rPr>
        <w:t>f</w:t>
      </w:r>
      <w:r w:rsidRPr="00E3232D">
        <w:rPr>
          <w:rFonts w:ascii="Book Antiqua" w:hAnsi="Book Antiqua"/>
        </w:rPr>
        <w:t>rom</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6"/>
        </w:rPr>
        <w:t xml:space="preserve"> </w:t>
      </w:r>
      <w:r w:rsidRPr="00E3232D">
        <w:rPr>
          <w:rFonts w:ascii="Book Antiqua" w:hAnsi="Book Antiqua"/>
        </w:rPr>
        <w:t>table</w:t>
      </w:r>
      <w:r w:rsidRPr="00E3232D">
        <w:rPr>
          <w:rFonts w:ascii="Book Antiqua" w:hAnsi="Book Antiqua"/>
          <w:spacing w:val="6"/>
        </w:rPr>
        <w:t xml:space="preserve"> </w:t>
      </w:r>
      <w:r w:rsidRPr="00E3232D">
        <w:rPr>
          <w:rFonts w:ascii="Book Antiqua" w:hAnsi="Book Antiqua"/>
        </w:rPr>
        <w:t>that</w:t>
      </w:r>
      <w:r w:rsidRPr="00E3232D">
        <w:rPr>
          <w:rFonts w:ascii="Book Antiqua" w:hAnsi="Book Antiqua"/>
          <w:spacing w:val="7"/>
        </w:rPr>
        <w:t xml:space="preserve"> </w:t>
      </w:r>
      <w:r w:rsidRPr="00E3232D">
        <w:rPr>
          <w:rFonts w:ascii="Book Antiqua" w:hAnsi="Book Antiqua"/>
        </w:rPr>
        <w:t>majo</w:t>
      </w:r>
      <w:r w:rsidRPr="00E3232D">
        <w:rPr>
          <w:rFonts w:ascii="Book Antiqua" w:hAnsi="Book Antiqua"/>
          <w:spacing w:val="-1"/>
        </w:rPr>
        <w:t>r</w:t>
      </w:r>
      <w:r w:rsidRPr="00E3232D">
        <w:rPr>
          <w:rFonts w:ascii="Book Antiqua" w:hAnsi="Book Antiqua"/>
        </w:rPr>
        <w:t>i</w:t>
      </w:r>
      <w:r w:rsidRPr="00E3232D">
        <w:rPr>
          <w:rFonts w:ascii="Book Antiqua" w:hAnsi="Book Antiqua"/>
          <w:spacing w:val="3"/>
        </w:rPr>
        <w:t>t</w:t>
      </w:r>
      <w:r w:rsidRPr="00E3232D">
        <w:rPr>
          <w:rFonts w:ascii="Book Antiqua" w:hAnsi="Book Antiqua"/>
        </w:rPr>
        <w:t xml:space="preserve">y </w:t>
      </w:r>
      <w:r w:rsidRPr="00E3232D">
        <w:rPr>
          <w:rFonts w:ascii="Book Antiqua" w:hAnsi="Book Antiqua"/>
          <w:spacing w:val="2"/>
        </w:rPr>
        <w:t>o</w:t>
      </w:r>
      <w:r w:rsidRPr="00E3232D">
        <w:rPr>
          <w:rFonts w:ascii="Book Antiqua" w:hAnsi="Book Antiqua"/>
        </w:rPr>
        <w:t>f</w:t>
      </w:r>
      <w:r w:rsidRPr="00E3232D">
        <w:rPr>
          <w:rFonts w:ascii="Book Antiqua" w:hAnsi="Book Antiqua"/>
          <w:spacing w:val="6"/>
        </w:rPr>
        <w:t xml:space="preserve"> </w:t>
      </w:r>
      <w:r w:rsidRPr="00E3232D">
        <w:rPr>
          <w:rFonts w:ascii="Book Antiqua" w:hAnsi="Book Antiqua"/>
        </w:rPr>
        <w:t>these</w:t>
      </w:r>
      <w:r w:rsidRPr="00E3232D">
        <w:rPr>
          <w:rFonts w:ascii="Book Antiqua" w:hAnsi="Book Antiqua"/>
          <w:spacing w:val="8"/>
        </w:rPr>
        <w:t xml:space="preserve"> </w:t>
      </w:r>
      <w:r w:rsidRPr="00E3232D">
        <w:rPr>
          <w:rFonts w:ascii="Book Antiqua" w:hAnsi="Book Antiqua"/>
        </w:rPr>
        <w:t>potential</w:t>
      </w:r>
      <w:r w:rsidRPr="00E3232D">
        <w:rPr>
          <w:rFonts w:ascii="Book Antiqua" w:hAnsi="Book Antiqua"/>
          <w:spacing w:val="7"/>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45"/>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w</w:t>
      </w:r>
      <w:r w:rsidRPr="00E3232D">
        <w:rPr>
          <w:rFonts w:ascii="Book Antiqua" w:hAnsi="Book Antiqua"/>
          <w:spacing w:val="-1"/>
        </w:rPr>
        <w:t>e</w:t>
      </w:r>
      <w:r w:rsidRPr="00E3232D">
        <w:rPr>
          <w:rFonts w:ascii="Book Antiqua" w:hAnsi="Book Antiqua"/>
          <w:spacing w:val="1"/>
        </w:rPr>
        <w:t>r</w:t>
      </w:r>
      <w:r w:rsidRPr="00E3232D">
        <w:rPr>
          <w:rFonts w:ascii="Book Antiqua" w:hAnsi="Book Antiqua"/>
        </w:rPr>
        <w:t>s</w:t>
      </w:r>
      <w:r w:rsidRPr="00E3232D">
        <w:rPr>
          <w:rFonts w:ascii="Book Antiqua" w:hAnsi="Book Antiqua"/>
          <w:spacing w:val="43"/>
        </w:rPr>
        <w:t xml:space="preserve"> </w:t>
      </w:r>
      <w:r w:rsidRPr="00E3232D">
        <w:rPr>
          <w:rFonts w:ascii="Book Antiqua" w:hAnsi="Book Antiqua"/>
          <w:spacing w:val="-1"/>
        </w:rPr>
        <w:t>a</w:t>
      </w:r>
      <w:r w:rsidRPr="00E3232D">
        <w:rPr>
          <w:rFonts w:ascii="Book Antiqua" w:hAnsi="Book Antiqua"/>
        </w:rPr>
        <w:t>re</w:t>
      </w:r>
      <w:r w:rsidRPr="00E3232D">
        <w:rPr>
          <w:rFonts w:ascii="Book Antiqua" w:hAnsi="Book Antiqua"/>
          <w:spacing w:val="43"/>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rPr>
        <w:t>o</w:t>
      </w:r>
      <w:r w:rsidRPr="00E3232D">
        <w:rPr>
          <w:rFonts w:ascii="Book Antiqua" w:hAnsi="Book Antiqua"/>
          <w:spacing w:val="43"/>
        </w:rPr>
        <w:t xml:space="preserve"> </w:t>
      </w:r>
      <w:r w:rsidRPr="00E3232D">
        <w:rPr>
          <w:rFonts w:ascii="Book Antiqua" w:hAnsi="Book Antiqua"/>
        </w:rPr>
        <w:t>tr</w:t>
      </w:r>
      <w:r w:rsidRPr="00E3232D">
        <w:rPr>
          <w:rFonts w:ascii="Book Antiqua" w:hAnsi="Book Antiqua"/>
          <w:spacing w:val="-1"/>
        </w:rPr>
        <w:t>a</w:t>
      </w:r>
      <w:r w:rsidRPr="00E3232D">
        <w:rPr>
          <w:rFonts w:ascii="Book Antiqua" w:hAnsi="Book Antiqua"/>
        </w:rPr>
        <w:t>di</w:t>
      </w:r>
      <w:r w:rsidRPr="00E3232D">
        <w:rPr>
          <w:rFonts w:ascii="Book Antiqua" w:hAnsi="Book Antiqua"/>
          <w:spacing w:val="3"/>
        </w:rPr>
        <w:t>n</w:t>
      </w:r>
      <w:r w:rsidRPr="00E3232D">
        <w:rPr>
          <w:rFonts w:ascii="Book Antiqua" w:hAnsi="Book Antiqua"/>
        </w:rPr>
        <w:t>g</w:t>
      </w:r>
      <w:r w:rsidRPr="00E3232D">
        <w:rPr>
          <w:rFonts w:ascii="Book Antiqua" w:hAnsi="Book Antiqua"/>
          <w:spacing w:val="41"/>
        </w:rPr>
        <w:t xml:space="preserve"> </w:t>
      </w:r>
      <w:r w:rsidRPr="00E3232D">
        <w:rPr>
          <w:rFonts w:ascii="Book Antiqua" w:hAnsi="Book Antiqua"/>
          <w:spacing w:val="2"/>
        </w:rPr>
        <w:t>b</w:t>
      </w:r>
      <w:r w:rsidRPr="00E3232D">
        <w:rPr>
          <w:rFonts w:ascii="Book Antiqua" w:hAnsi="Book Antiqua"/>
          <w:spacing w:val="-1"/>
        </w:rPr>
        <w:t>eca</w:t>
      </w:r>
      <w:r w:rsidRPr="00E3232D">
        <w:rPr>
          <w:rFonts w:ascii="Book Antiqua" w:hAnsi="Book Antiqua"/>
          <w:spacing w:val="2"/>
        </w:rPr>
        <w:t>u</w:t>
      </w:r>
      <w:r w:rsidRPr="00E3232D">
        <w:rPr>
          <w:rFonts w:ascii="Book Antiqua" w:hAnsi="Book Antiqua"/>
        </w:rPr>
        <w:t>se</w:t>
      </w:r>
      <w:r w:rsidRPr="00E3232D">
        <w:rPr>
          <w:rFonts w:ascii="Book Antiqua" w:hAnsi="Book Antiqua"/>
          <w:spacing w:val="42"/>
        </w:rPr>
        <w:t xml:space="preserve"> </w:t>
      </w:r>
      <w:r w:rsidRPr="00E3232D">
        <w:rPr>
          <w:rFonts w:ascii="Book Antiqua" w:hAnsi="Book Antiqua"/>
        </w:rPr>
        <w:t>of</w:t>
      </w:r>
      <w:r w:rsidRPr="00E3232D">
        <w:rPr>
          <w:rFonts w:ascii="Book Antiqua" w:hAnsi="Book Antiqua"/>
          <w:spacing w:val="42"/>
        </w:rPr>
        <w:t xml:space="preserve"> </w:t>
      </w:r>
      <w:r w:rsidRPr="00E3232D">
        <w:rPr>
          <w:rFonts w:ascii="Book Antiqua" w:hAnsi="Book Antiqua"/>
        </w:rPr>
        <w:t>i</w:t>
      </w:r>
      <w:r w:rsidRPr="00E3232D">
        <w:rPr>
          <w:rFonts w:ascii="Book Antiqua" w:hAnsi="Book Antiqua"/>
          <w:spacing w:val="1"/>
        </w:rPr>
        <w:t>t</w:t>
      </w:r>
      <w:r w:rsidRPr="00E3232D">
        <w:rPr>
          <w:rFonts w:ascii="Book Antiqua" w:hAnsi="Book Antiqua"/>
        </w:rPr>
        <w:t>s</w:t>
      </w:r>
      <w:r w:rsidRPr="00E3232D">
        <w:rPr>
          <w:rFonts w:ascii="Book Antiqua" w:hAnsi="Book Antiqua"/>
          <w:spacing w:val="43"/>
        </w:rPr>
        <w:t xml:space="preserve"> </w:t>
      </w:r>
      <w:r w:rsidRPr="00E3232D">
        <w:rPr>
          <w:rFonts w:ascii="Book Antiqua" w:hAnsi="Book Antiqua"/>
          <w:spacing w:val="2"/>
        </w:rPr>
        <w:t>p</w:t>
      </w:r>
      <w:r w:rsidRPr="00E3232D">
        <w:rPr>
          <w:rFonts w:ascii="Book Antiqua" w:hAnsi="Book Antiqua"/>
          <w:spacing w:val="-1"/>
        </w:rPr>
        <w:t>ec</w:t>
      </w:r>
      <w:r w:rsidRPr="00E3232D">
        <w:rPr>
          <w:rFonts w:ascii="Book Antiqua" w:hAnsi="Book Antiqua"/>
        </w:rPr>
        <w:t>ul</w:t>
      </w:r>
      <w:r w:rsidRPr="00E3232D">
        <w:rPr>
          <w:rFonts w:ascii="Book Antiqua" w:hAnsi="Book Antiqua"/>
          <w:spacing w:val="1"/>
        </w:rPr>
        <w:t>i</w:t>
      </w:r>
      <w:r w:rsidRPr="00E3232D">
        <w:rPr>
          <w:rFonts w:ascii="Book Antiqua" w:hAnsi="Book Antiqua"/>
          <w:spacing w:val="-1"/>
        </w:rPr>
        <w:t>a</w:t>
      </w:r>
      <w:r w:rsidRPr="00E3232D">
        <w:rPr>
          <w:rFonts w:ascii="Book Antiqua" w:hAnsi="Book Antiqua"/>
        </w:rPr>
        <w:t>r</w:t>
      </w:r>
      <w:r w:rsidRPr="00E3232D">
        <w:rPr>
          <w:rFonts w:ascii="Book Antiqua" w:hAnsi="Book Antiqua"/>
          <w:spacing w:val="44"/>
        </w:rPr>
        <w:t xml:space="preserv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a</w:t>
      </w:r>
      <w:r w:rsidRPr="00E3232D">
        <w:rPr>
          <w:rFonts w:ascii="Book Antiqua" w:hAnsi="Book Antiqua"/>
          <w:spacing w:val="1"/>
        </w:rPr>
        <w:t>c</w:t>
      </w:r>
      <w:r w:rsidRPr="00E3232D">
        <w:rPr>
          <w:rFonts w:ascii="Book Antiqua" w:hAnsi="Book Antiqua"/>
        </w:rPr>
        <w:t>te</w:t>
      </w:r>
      <w:r w:rsidRPr="00E3232D">
        <w:rPr>
          <w:rFonts w:ascii="Book Antiqua" w:hAnsi="Book Antiqua"/>
          <w:spacing w:val="-1"/>
        </w:rPr>
        <w:t>r</w:t>
      </w:r>
      <w:r w:rsidRPr="00E3232D">
        <w:rPr>
          <w:rFonts w:ascii="Book Antiqua" w:hAnsi="Book Antiqua"/>
        </w:rPr>
        <w:t>is</w:t>
      </w:r>
      <w:r w:rsidRPr="00E3232D">
        <w:rPr>
          <w:rFonts w:ascii="Book Antiqua" w:hAnsi="Book Antiqua"/>
          <w:spacing w:val="1"/>
        </w:rPr>
        <w:t>t</w:t>
      </w:r>
      <w:r w:rsidRPr="00E3232D">
        <w:rPr>
          <w:rFonts w:ascii="Book Antiqua" w:hAnsi="Book Antiqua"/>
        </w:rPr>
        <w:t>ics</w:t>
      </w:r>
      <w:r w:rsidRPr="00E3232D">
        <w:rPr>
          <w:rFonts w:ascii="Book Antiqua" w:hAnsi="Book Antiqua"/>
          <w:spacing w:val="43"/>
        </w:rPr>
        <w:t xml:space="preserve"> </w:t>
      </w:r>
      <w:r w:rsidRPr="00E3232D">
        <w:rPr>
          <w:rFonts w:ascii="Book Antiqua" w:hAnsi="Book Antiqua"/>
        </w:rPr>
        <w:t>of</w:t>
      </w:r>
      <w:r w:rsidRPr="00E3232D">
        <w:rPr>
          <w:rFonts w:ascii="Book Antiqua" w:hAnsi="Book Antiqua"/>
          <w:spacing w:val="42"/>
        </w:rPr>
        <w:t xml:space="preserve"> </w:t>
      </w:r>
      <w:r w:rsidRPr="00E3232D">
        <w:rPr>
          <w:rFonts w:ascii="Book Antiqua" w:hAnsi="Book Antiqua"/>
          <w:spacing w:val="1"/>
        </w:rPr>
        <w:t>f</w:t>
      </w:r>
      <w:r w:rsidRPr="00E3232D">
        <w:rPr>
          <w:rFonts w:ascii="Book Antiqua" w:hAnsi="Book Antiqua"/>
        </w:rPr>
        <w:t xml:space="preserve">ree </w:t>
      </w:r>
      <w:r w:rsidRPr="00E3232D">
        <w:rPr>
          <w:rFonts w:ascii="Book Antiqua" w:hAnsi="Book Antiqua"/>
          <w:spacing w:val="-1"/>
        </w:rPr>
        <w:t>e</w:t>
      </w:r>
      <w:r w:rsidRPr="00E3232D">
        <w:rPr>
          <w:rFonts w:ascii="Book Antiqua" w:hAnsi="Book Antiqua"/>
        </w:rPr>
        <w:t>nt</w:t>
      </w:r>
      <w:r w:rsidRPr="00E3232D">
        <w:rPr>
          <w:rFonts w:ascii="Book Antiqua" w:hAnsi="Book Antiqua"/>
          <w:spacing w:val="2"/>
        </w:rPr>
        <w:t>r</w:t>
      </w:r>
      <w:r w:rsidRPr="00E3232D">
        <w:rPr>
          <w:rFonts w:ascii="Book Antiqua" w:hAnsi="Book Antiqua"/>
        </w:rPr>
        <w:t xml:space="preserve">y </w:t>
      </w:r>
      <w:r w:rsidRPr="00E3232D">
        <w:rPr>
          <w:rFonts w:ascii="Book Antiqua" w:hAnsi="Book Antiqua"/>
          <w:spacing w:val="-1"/>
        </w:rPr>
        <w:t>a</w:t>
      </w:r>
      <w:r w:rsidRPr="00E3232D">
        <w:rPr>
          <w:rFonts w:ascii="Book Antiqua" w:hAnsi="Book Antiqua"/>
        </w:rPr>
        <w:t>nd</w:t>
      </w:r>
      <w:r w:rsidRPr="00E3232D">
        <w:rPr>
          <w:rFonts w:ascii="Book Antiqua" w:hAnsi="Book Antiqua"/>
          <w:spacing w:val="3"/>
        </w:rPr>
        <w:t xml:space="preserv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rPr>
        <w:t>it</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3"/>
        </w:rPr>
        <w:t xml:space="preserve"> </w:t>
      </w:r>
      <w:r w:rsidRPr="00E3232D">
        <w:rPr>
          <w:rFonts w:ascii="Book Antiqua" w:hAnsi="Book Antiqua"/>
        </w:rPr>
        <w:t>not</w:t>
      </w:r>
      <w:r w:rsidRPr="00E3232D">
        <w:rPr>
          <w:rFonts w:ascii="Book Antiqua" w:hAnsi="Book Antiqua"/>
          <w:spacing w:val="3"/>
        </w:rPr>
        <w:t xml:space="preserve"> </w:t>
      </w:r>
      <w:r w:rsidRPr="00E3232D">
        <w:rPr>
          <w:rFonts w:ascii="Book Antiqua" w:hAnsi="Book Antiqua"/>
        </w:rPr>
        <w:t>to</w:t>
      </w:r>
      <w:r w:rsidRPr="00E3232D">
        <w:rPr>
          <w:rFonts w:ascii="Book Antiqua" w:hAnsi="Book Antiqua"/>
          <w:spacing w:val="3"/>
        </w:rPr>
        <w:t xml:space="preserve"> </w:t>
      </w:r>
      <w:r w:rsidRPr="00E3232D">
        <w:rPr>
          <w:rFonts w:ascii="Book Antiqua" w:hAnsi="Book Antiqua"/>
          <w:spacing w:val="-2"/>
        </w:rPr>
        <w:t>g</w:t>
      </w:r>
      <w:r w:rsidRPr="00E3232D">
        <w:rPr>
          <w:rFonts w:ascii="Book Antiqua" w:hAnsi="Book Antiqua"/>
        </w:rPr>
        <w:t>o</w:t>
      </w:r>
      <w:r w:rsidRPr="00E3232D">
        <w:rPr>
          <w:rFonts w:ascii="Book Antiqua" w:hAnsi="Book Antiqua"/>
          <w:spacing w:val="3"/>
        </w:rPr>
        <w:t xml:space="preserve"> </w:t>
      </w:r>
      <w:r w:rsidRPr="00E3232D">
        <w:rPr>
          <w:rFonts w:ascii="Book Antiqua" w:hAnsi="Book Antiqua"/>
        </w:rPr>
        <w:t>thro</w:t>
      </w:r>
      <w:r w:rsidRPr="00E3232D">
        <w:rPr>
          <w:rFonts w:ascii="Book Antiqua" w:hAnsi="Book Antiqua"/>
          <w:spacing w:val="2"/>
        </w:rPr>
        <w:t>u</w:t>
      </w:r>
      <w:r w:rsidRPr="00E3232D">
        <w:rPr>
          <w:rFonts w:ascii="Book Antiqua" w:hAnsi="Book Antiqua"/>
          <w:spacing w:val="-2"/>
        </w:rPr>
        <w:t>g</w:t>
      </w:r>
      <w:r w:rsidRPr="00E3232D">
        <w:rPr>
          <w:rFonts w:ascii="Book Antiqua" w:hAnsi="Book Antiqua"/>
        </w:rPr>
        <w:t>h</w:t>
      </w:r>
      <w:r w:rsidRPr="00E3232D">
        <w:rPr>
          <w:rFonts w:ascii="Book Antiqua" w:hAnsi="Book Antiqua"/>
          <w:spacing w:val="3"/>
        </w:rPr>
        <w:t xml:space="preserve"> l</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2"/>
        </w:rPr>
        <w:t>g</w:t>
      </w:r>
      <w:r w:rsidRPr="00E3232D">
        <w:rPr>
          <w:rFonts w:ascii="Book Antiqua" w:hAnsi="Book Antiqua"/>
        </w:rPr>
        <w:t>th</w:t>
      </w:r>
      <w:r w:rsidRPr="00E3232D">
        <w:rPr>
          <w:rFonts w:ascii="Book Antiqua" w:hAnsi="Book Antiqua"/>
          <w:spacing w:val="3"/>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w:t>
      </w:r>
      <w:r w:rsidRPr="00E3232D">
        <w:rPr>
          <w:rFonts w:ascii="Book Antiqua" w:hAnsi="Book Antiqua"/>
          <w:spacing w:val="1"/>
        </w:rPr>
        <w:t>ce</w:t>
      </w:r>
      <w:r w:rsidRPr="00E3232D">
        <w:rPr>
          <w:rFonts w:ascii="Book Antiqua" w:hAnsi="Book Antiqua"/>
        </w:rPr>
        <w:t>dur</w:t>
      </w:r>
      <w:r w:rsidRPr="00E3232D">
        <w:rPr>
          <w:rFonts w:ascii="Book Antiqua" w:hAnsi="Book Antiqua"/>
          <w:spacing w:val="-2"/>
        </w:rPr>
        <w:t>e</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to</w:t>
      </w:r>
      <w:r w:rsidRPr="00E3232D">
        <w:rPr>
          <w:rFonts w:ascii="Book Antiqua" w:hAnsi="Book Antiqua"/>
          <w:spacing w:val="6"/>
        </w:rPr>
        <w:t xml:space="preserve"> </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t</w:t>
      </w:r>
      <w:r w:rsidRPr="00E3232D">
        <w:rPr>
          <w:rFonts w:ascii="Book Antiqua" w:hAnsi="Book Antiqua"/>
          <w:spacing w:val="3"/>
        </w:rPr>
        <w:t xml:space="preserve"> </w:t>
      </w:r>
      <w:r w:rsidRPr="00E3232D">
        <w:rPr>
          <w:rFonts w:ascii="Book Antiqua" w:hAnsi="Book Antiqua"/>
        </w:rPr>
        <w:t>it</w:t>
      </w:r>
      <w:r w:rsidRPr="00E3232D">
        <w:rPr>
          <w:rFonts w:ascii="Book Antiqua" w:hAnsi="Book Antiqua"/>
          <w:spacing w:val="3"/>
        </w:rPr>
        <w:t xml:space="preserve"> </w:t>
      </w:r>
      <w:r w:rsidRPr="00E3232D">
        <w:rPr>
          <w:rFonts w:ascii="Book Antiqua" w:hAnsi="Book Antiqua"/>
        </w:rPr>
        <w:t>re</w:t>
      </w:r>
      <w:r w:rsidRPr="00E3232D">
        <w:rPr>
          <w:rFonts w:ascii="Book Antiqua" w:hAnsi="Book Antiqua"/>
          <w:spacing w:val="-2"/>
        </w:rPr>
        <w:t>g</w:t>
      </w:r>
      <w:r w:rsidRPr="00E3232D">
        <w:rPr>
          <w:rFonts w:ascii="Book Antiqua" w:hAnsi="Book Antiqua"/>
        </w:rPr>
        <w:t>is</w:t>
      </w:r>
      <w:r w:rsidRPr="00E3232D">
        <w:rPr>
          <w:rFonts w:ascii="Book Antiqua" w:hAnsi="Book Antiqua"/>
          <w:spacing w:val="1"/>
        </w:rPr>
        <w:t>t</w:t>
      </w:r>
      <w:r w:rsidRPr="00E3232D">
        <w:rPr>
          <w:rFonts w:ascii="Book Antiqua" w:hAnsi="Book Antiqua"/>
          <w:spacing w:val="-1"/>
        </w:rPr>
        <w:t>e</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w:t>
      </w:r>
      <w:r w:rsidRPr="00E3232D">
        <w:rPr>
          <w:rFonts w:ascii="Book Antiqua" w:hAnsi="Book Antiqua"/>
          <w:spacing w:val="5"/>
        </w:rPr>
        <w:t xml:space="preserve"> </w:t>
      </w:r>
      <w:r w:rsidRPr="00E3232D">
        <w:rPr>
          <w:rFonts w:ascii="Book Antiqua" w:hAnsi="Book Antiqua"/>
        </w:rPr>
        <w:t>This</w:t>
      </w:r>
      <w:r w:rsidRPr="00E3232D">
        <w:rPr>
          <w:rFonts w:ascii="Book Antiqua" w:hAnsi="Book Antiqua"/>
          <w:spacing w:val="3"/>
        </w:rPr>
        <w:t xml:space="preserve"> </w:t>
      </w:r>
      <w:r w:rsidRPr="00E3232D">
        <w:rPr>
          <w:rFonts w:ascii="Book Antiqua" w:hAnsi="Book Antiqua"/>
          <w:spacing w:val="-2"/>
        </w:rPr>
        <w:t>g</w:t>
      </w:r>
      <w:r w:rsidRPr="00E3232D">
        <w:rPr>
          <w:rFonts w:ascii="Book Antiqua" w:hAnsi="Book Antiqua"/>
        </w:rPr>
        <w:t>o</w:t>
      </w:r>
      <w:r w:rsidRPr="00E3232D">
        <w:rPr>
          <w:rFonts w:ascii="Book Antiqua" w:hAnsi="Book Antiqua"/>
          <w:spacing w:val="-1"/>
        </w:rPr>
        <w:t>e</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on</w:t>
      </w:r>
      <w:r w:rsidRPr="00E3232D">
        <w:rPr>
          <w:rFonts w:ascii="Book Antiqua" w:hAnsi="Book Antiqua"/>
          <w:spacing w:val="5"/>
        </w:rPr>
        <w:t xml:space="preserve"> </w:t>
      </w:r>
      <w:r w:rsidRPr="00E3232D">
        <w:rPr>
          <w:rFonts w:ascii="Book Antiqua" w:hAnsi="Book Antiqua"/>
        </w:rPr>
        <w:t xml:space="preserve">to </w:t>
      </w:r>
      <w:r w:rsidRPr="00E3232D">
        <w:rPr>
          <w:rFonts w:ascii="Book Antiqua" w:hAnsi="Book Antiqua"/>
          <w:spacing w:val="-1"/>
        </w:rPr>
        <w:t>c</w:t>
      </w:r>
      <w:r w:rsidRPr="00E3232D">
        <w:rPr>
          <w:rFonts w:ascii="Book Antiqua" w:hAnsi="Book Antiqua"/>
        </w:rPr>
        <w:t>onfi</w:t>
      </w:r>
      <w:r w:rsidRPr="00E3232D">
        <w:rPr>
          <w:rFonts w:ascii="Book Antiqua" w:hAnsi="Book Antiqua"/>
          <w:spacing w:val="-1"/>
        </w:rPr>
        <w:t>r</w:t>
      </w:r>
      <w:r w:rsidRPr="00E3232D">
        <w:rPr>
          <w:rFonts w:ascii="Book Antiqua" w:hAnsi="Book Antiqua"/>
        </w:rPr>
        <w:t>m</w:t>
      </w:r>
      <w:r w:rsidRPr="00E3232D">
        <w:rPr>
          <w:rFonts w:ascii="Book Antiqua" w:hAnsi="Book Antiqua"/>
          <w:spacing w:val="1"/>
        </w:rPr>
        <w:t xml:space="preserve"> </w:t>
      </w:r>
      <w:r w:rsidRPr="00E3232D">
        <w:rPr>
          <w:rFonts w:ascii="Book Antiqua" w:hAnsi="Book Antiqua"/>
        </w:rPr>
        <w:t>w</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 xml:space="preserve"> </w:t>
      </w:r>
      <w:r w:rsidRPr="00E3232D">
        <w:rPr>
          <w:rFonts w:ascii="Book Antiqua" w:hAnsi="Book Antiqua"/>
        </w:rPr>
        <w:t>the</w:t>
      </w:r>
      <w:r w:rsidRPr="00E3232D">
        <w:rPr>
          <w:rFonts w:ascii="Book Antiqua" w:hAnsi="Book Antiqua"/>
          <w:spacing w:val="5"/>
        </w:rPr>
        <w:t xml:space="preserve"> </w:t>
      </w:r>
      <w:r w:rsidRPr="00E3232D">
        <w:rPr>
          <w:rFonts w:ascii="Book Antiqua" w:hAnsi="Book Antiqua"/>
        </w:rPr>
        <w:t>I</w:t>
      </w:r>
      <w:r w:rsidRPr="00E3232D">
        <w:rPr>
          <w:rFonts w:ascii="Book Antiqua" w:hAnsi="Book Antiqua"/>
          <w:spacing w:val="-2"/>
        </w:rPr>
        <w:t>L</w:t>
      </w:r>
      <w:r w:rsidRPr="00E3232D">
        <w:rPr>
          <w:rFonts w:ascii="Book Antiqua" w:hAnsi="Book Antiqua"/>
        </w:rPr>
        <w:t>O</w:t>
      </w:r>
      <w:r w:rsidRPr="00E3232D">
        <w:rPr>
          <w:rFonts w:ascii="Book Antiqua" w:hAnsi="Book Antiqua"/>
          <w:spacing w:val="2"/>
        </w:rPr>
        <w:t xml:space="preserve"> </w:t>
      </w:r>
      <w:r w:rsidRPr="00E3232D">
        <w:rPr>
          <w:rFonts w:ascii="Book Antiqua" w:hAnsi="Book Antiqua"/>
        </w:rPr>
        <w:t>(197</w:t>
      </w:r>
      <w:r w:rsidRPr="00E3232D">
        <w:rPr>
          <w:rFonts w:ascii="Book Antiqua" w:hAnsi="Book Antiqua"/>
          <w:spacing w:val="-1"/>
        </w:rPr>
        <w:t>2</w:t>
      </w:r>
      <w:r w:rsidRPr="00E3232D">
        <w:rPr>
          <w:rFonts w:ascii="Book Antiqua" w:hAnsi="Book Antiqua"/>
        </w:rPr>
        <w:t>) identifi</w:t>
      </w:r>
      <w:r w:rsidRPr="00E3232D">
        <w:rPr>
          <w:rFonts w:ascii="Book Antiqua" w:hAnsi="Book Antiqua"/>
          <w:spacing w:val="-1"/>
        </w:rPr>
        <w:t>e</w:t>
      </w:r>
      <w:r w:rsidRPr="00E3232D">
        <w:rPr>
          <w:rFonts w:ascii="Book Antiqua" w:hAnsi="Book Antiqua"/>
        </w:rPr>
        <w:t>d</w:t>
      </w:r>
      <w:r w:rsidRPr="00E3232D">
        <w:rPr>
          <w:rFonts w:ascii="Book Antiqua" w:hAnsi="Book Antiqua"/>
          <w:spacing w:val="3"/>
        </w:rPr>
        <w:t xml:space="preserve"> </w:t>
      </w:r>
      <w:r w:rsidRPr="00E3232D">
        <w:rPr>
          <w:rFonts w:ascii="Book Antiqua" w:hAnsi="Book Antiqua"/>
        </w:rPr>
        <w:t>with</w:t>
      </w:r>
      <w:r w:rsidRPr="00E3232D">
        <w:rPr>
          <w:rFonts w:ascii="Book Antiqua" w:hAnsi="Book Antiqua"/>
          <w:spacing w:val="3"/>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w:t>
      </w:r>
      <w:r w:rsidRPr="00E3232D">
        <w:rPr>
          <w:rFonts w:ascii="Book Antiqua" w:hAnsi="Book Antiqua"/>
          <w:spacing w:val="2"/>
        </w:rPr>
        <w: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ship</w:t>
      </w:r>
      <w:r w:rsidRPr="00E3232D">
        <w:rPr>
          <w:rFonts w:ascii="Book Antiqua" w:hAnsi="Book Antiqua"/>
          <w:spacing w:val="4"/>
        </w:rPr>
        <w:t xml:space="preserve"> </w:t>
      </w:r>
      <w:r w:rsidRPr="00E3232D">
        <w:rPr>
          <w:rFonts w:ascii="Book Antiqua" w:hAnsi="Book Antiqua"/>
        </w:rPr>
        <w:t>to</w:t>
      </w:r>
      <w:r w:rsidRPr="00E3232D">
        <w:rPr>
          <w:rFonts w:ascii="Book Antiqua" w:hAnsi="Book Antiqua"/>
          <w:spacing w:val="1"/>
        </w:rPr>
        <w:t xml:space="preserve"> </w:t>
      </w:r>
      <w:r w:rsidRPr="00E3232D">
        <w:rPr>
          <w:rFonts w:ascii="Book Antiqua" w:hAnsi="Book Antiqua"/>
          <w:spacing w:val="-1"/>
        </w:rPr>
        <w:t>c</w:t>
      </w:r>
      <w:r w:rsidRPr="00E3232D">
        <w:rPr>
          <w:rFonts w:ascii="Book Antiqua" w:hAnsi="Book Antiqua"/>
        </w:rPr>
        <w:t xml:space="preserve">omprise the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ra</w:t>
      </w:r>
      <w:r w:rsidRPr="00E3232D">
        <w:rPr>
          <w:rFonts w:ascii="Book Antiqua" w:hAnsi="Book Antiqua"/>
          <w:spacing w:val="-1"/>
        </w:rPr>
        <w:t>c</w:t>
      </w:r>
      <w:r w:rsidRPr="00E3232D">
        <w:rPr>
          <w:rFonts w:ascii="Book Antiqua" w:hAnsi="Book Antiqua"/>
        </w:rPr>
        <w:t>te</w:t>
      </w:r>
      <w:r w:rsidRPr="00E3232D">
        <w:rPr>
          <w:rFonts w:ascii="Book Antiqua" w:hAnsi="Book Antiqua"/>
          <w:spacing w:val="-1"/>
        </w:rPr>
        <w:t>r</w:t>
      </w:r>
      <w:r w:rsidRPr="00E3232D">
        <w:rPr>
          <w:rFonts w:ascii="Book Antiqua" w:hAnsi="Book Antiqua"/>
        </w:rPr>
        <w:t>is</w:t>
      </w:r>
      <w:r w:rsidRPr="00E3232D">
        <w:rPr>
          <w:rFonts w:ascii="Book Antiqua" w:hAnsi="Book Antiqua"/>
          <w:spacing w:val="1"/>
        </w:rPr>
        <w:t>t</w:t>
      </w:r>
      <w:r w:rsidRPr="00E3232D">
        <w:rPr>
          <w:rFonts w:ascii="Book Antiqua" w:hAnsi="Book Antiqua"/>
        </w:rPr>
        <w:t xml:space="preserve">ic </w:t>
      </w:r>
      <w:r w:rsidRPr="00E3232D">
        <w:rPr>
          <w:rFonts w:ascii="Book Antiqua" w:hAnsi="Book Antiqua"/>
          <w:spacing w:val="-1"/>
        </w:rPr>
        <w:t>a</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rPr>
        <w:t>ea</w:t>
      </w:r>
      <w:r w:rsidRPr="00E3232D">
        <w:rPr>
          <w:rFonts w:ascii="Book Antiqua" w:hAnsi="Book Antiqua"/>
          <w:spacing w:val="5"/>
        </w:rPr>
        <w:t>s</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t</w:t>
      </w:r>
      <w:r w:rsidRPr="00E3232D">
        <w:rPr>
          <w:rFonts w:ascii="Book Antiqua" w:hAnsi="Book Antiqua"/>
          <w:spacing w:val="1"/>
        </w:rPr>
        <w:t>r</w:t>
      </w:r>
      <w:r w:rsidRPr="00E3232D">
        <w:rPr>
          <w:rFonts w:ascii="Book Antiqua" w:hAnsi="Book Antiqua"/>
          <w:spacing w:val="-5"/>
        </w:rPr>
        <w:t>y</w:t>
      </w:r>
      <w:r w:rsidRPr="00E3232D">
        <w:rPr>
          <w:rFonts w:ascii="Book Antiqua" w:hAnsi="Book Antiqua"/>
        </w:rPr>
        <w:t>,</w:t>
      </w:r>
      <w:r w:rsidRPr="00E3232D">
        <w:rPr>
          <w:rFonts w:ascii="Book Antiqua" w:hAnsi="Book Antiqua"/>
          <w:spacing w:val="2"/>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l</w:t>
      </w:r>
      <w:r w:rsidRPr="00E3232D">
        <w:rPr>
          <w:rFonts w:ascii="Book Antiqua" w:hAnsi="Book Antiqua"/>
          <w:spacing w:val="1"/>
        </w:rPr>
        <w:t>i</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on ind</w:t>
      </w:r>
      <w:r w:rsidRPr="00E3232D">
        <w:rPr>
          <w:rFonts w:ascii="Book Antiqua" w:hAnsi="Book Antiqua"/>
          <w:spacing w:val="1"/>
        </w:rPr>
        <w:t>i</w:t>
      </w:r>
      <w:r w:rsidRPr="00E3232D">
        <w:rPr>
          <w:rFonts w:ascii="Book Antiqua" w:hAnsi="Book Antiqua"/>
        </w:rPr>
        <w:t>g</w:t>
      </w:r>
      <w:r w:rsidRPr="00E3232D">
        <w:rPr>
          <w:rFonts w:ascii="Book Antiqua" w:hAnsi="Book Antiqua"/>
          <w:spacing w:val="-1"/>
        </w:rPr>
        <w:t>e</w:t>
      </w:r>
      <w:r w:rsidRPr="00E3232D">
        <w:rPr>
          <w:rFonts w:ascii="Book Antiqua" w:hAnsi="Book Antiqua"/>
        </w:rPr>
        <w:t>no</w:t>
      </w:r>
      <w:r w:rsidRPr="00E3232D">
        <w:rPr>
          <w:rFonts w:ascii="Book Antiqua" w:hAnsi="Book Antiqua"/>
          <w:spacing w:val="2"/>
        </w:rPr>
        <w:t>u</w:t>
      </w:r>
      <w:r w:rsidRPr="00E3232D">
        <w:rPr>
          <w:rFonts w:ascii="Book Antiqua" w:hAnsi="Book Antiqua"/>
        </w:rPr>
        <w:t>s r</w:t>
      </w:r>
      <w:r w:rsidRPr="00E3232D">
        <w:rPr>
          <w:rFonts w:ascii="Book Antiqua" w:hAnsi="Book Antiqua"/>
          <w:spacing w:val="-1"/>
        </w:rPr>
        <w:t>e</w:t>
      </w:r>
      <w:r w:rsidRPr="00E3232D">
        <w:rPr>
          <w:rFonts w:ascii="Book Antiqua" w:hAnsi="Book Antiqua"/>
        </w:rPr>
        <w:t>sour</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s, s</w:t>
      </w:r>
      <w:r w:rsidRPr="00E3232D">
        <w:rPr>
          <w:rFonts w:ascii="Book Antiqua" w:hAnsi="Book Antiqua"/>
          <w:spacing w:val="1"/>
        </w:rPr>
        <w:t>m</w:t>
      </w:r>
      <w:r w:rsidRPr="00E3232D">
        <w:rPr>
          <w:rFonts w:ascii="Book Antiqua" w:hAnsi="Book Antiqua"/>
          <w:spacing w:val="-1"/>
        </w:rPr>
        <w:t>a</w:t>
      </w:r>
      <w:r w:rsidRPr="00E3232D">
        <w:rPr>
          <w:rFonts w:ascii="Book Antiqua" w:hAnsi="Book Antiqua"/>
        </w:rPr>
        <w:t>ll</w:t>
      </w:r>
      <w:r w:rsidRPr="00E3232D">
        <w:rPr>
          <w:rFonts w:ascii="Book Antiqua" w:hAnsi="Book Antiqua"/>
          <w:spacing w:val="1"/>
        </w:rPr>
        <w:t xml:space="preserve"> </w:t>
      </w:r>
      <w:r w:rsidRPr="00E3232D">
        <w:rPr>
          <w:rFonts w:ascii="Book Antiqua" w:hAnsi="Book Antiqua"/>
        </w:rPr>
        <w:t>sc</w:t>
      </w:r>
      <w:r w:rsidRPr="00E3232D">
        <w:rPr>
          <w:rFonts w:ascii="Book Antiqua" w:hAnsi="Book Antiqua"/>
          <w:spacing w:val="-2"/>
        </w:rPr>
        <w:t>a</w:t>
      </w:r>
      <w:r w:rsidRPr="00E3232D">
        <w:rPr>
          <w:rFonts w:ascii="Book Antiqua" w:hAnsi="Book Antiqua"/>
        </w:rPr>
        <w:t xml:space="preserve">le </w:t>
      </w:r>
      <w:r w:rsidRPr="00E3232D">
        <w:rPr>
          <w:rFonts w:ascii="Book Antiqua" w:hAnsi="Book Antiqua"/>
          <w:spacing w:val="2"/>
        </w:rPr>
        <w:t>o</w:t>
      </w:r>
      <w:r w:rsidRPr="00E3232D">
        <w:rPr>
          <w:rFonts w:ascii="Book Antiqua" w:hAnsi="Book Antiqua"/>
        </w:rPr>
        <w:t>p</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p>
    <w:p w14:paraId="2354D6C2" w14:textId="77777777" w:rsidR="001C5D75" w:rsidRPr="00E3232D" w:rsidRDefault="007005B1" w:rsidP="00380077">
      <w:pPr>
        <w:pStyle w:val="ListParagraph"/>
        <w:widowControl w:val="0"/>
        <w:autoSpaceDE w:val="0"/>
        <w:autoSpaceDN w:val="0"/>
        <w:adjustRightInd w:val="0"/>
        <w:spacing w:before="4"/>
        <w:ind w:left="0" w:right="75"/>
        <w:rPr>
          <w:rFonts w:ascii="Book Antiqua" w:hAnsi="Book Antiqua"/>
        </w:rPr>
      </w:pPr>
      <w:r>
        <w:rPr>
          <w:rFonts w:ascii="Book Antiqua" w:hAnsi="Book Antiqua"/>
          <w:noProof/>
          <w:lang w:bidi="ar-SA"/>
        </w:rPr>
        <w:drawing>
          <wp:inline distT="0" distB="0" distL="0" distR="0" wp14:anchorId="4C07012B" wp14:editId="43C4AF5B">
            <wp:extent cx="3054985" cy="1878965"/>
            <wp:effectExtent l="19050" t="0" r="12065" b="6985"/>
            <wp:docPr id="96"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r w:rsidR="00367B46" w:rsidRPr="00E3232D">
        <w:rPr>
          <w:rFonts w:ascii="Book Antiqua" w:hAnsi="Book Antiqua"/>
          <w:noProof/>
        </w:rPr>
        <w:t xml:space="preserve"> </w:t>
      </w:r>
      <w:r w:rsidR="001C5D75" w:rsidRPr="00E3232D">
        <w:rPr>
          <w:rFonts w:ascii="Book Antiqua" w:hAnsi="Book Antiqua"/>
          <w:b/>
          <w:iCs/>
        </w:rPr>
        <w:t>Sour</w:t>
      </w:r>
      <w:r w:rsidR="001C5D75" w:rsidRPr="00E3232D">
        <w:rPr>
          <w:rFonts w:ascii="Book Antiqua" w:hAnsi="Book Antiqua"/>
          <w:b/>
          <w:iCs/>
          <w:spacing w:val="-1"/>
        </w:rPr>
        <w:t>ce</w:t>
      </w:r>
      <w:r w:rsidR="001C5D75" w:rsidRPr="00E3232D">
        <w:rPr>
          <w:rFonts w:ascii="Book Antiqua" w:hAnsi="Book Antiqua"/>
          <w:iCs/>
        </w:rPr>
        <w:t>:   fi</w:t>
      </w:r>
      <w:r w:rsidR="001C5D75" w:rsidRPr="00E3232D">
        <w:rPr>
          <w:rFonts w:ascii="Book Antiqua" w:hAnsi="Book Antiqua"/>
          <w:iCs/>
          <w:spacing w:val="1"/>
        </w:rPr>
        <w:t>e</w:t>
      </w:r>
      <w:r w:rsidR="001C5D75" w:rsidRPr="00E3232D">
        <w:rPr>
          <w:rFonts w:ascii="Book Antiqua" w:hAnsi="Book Antiqua"/>
          <w:iCs/>
        </w:rPr>
        <w:t>ld da</w:t>
      </w:r>
      <w:r w:rsidR="001C5D75" w:rsidRPr="00E3232D">
        <w:rPr>
          <w:rFonts w:ascii="Book Antiqua" w:hAnsi="Book Antiqua"/>
          <w:iCs/>
          <w:spacing w:val="1"/>
        </w:rPr>
        <w:t>t</w:t>
      </w:r>
      <w:r w:rsidR="001C5D75" w:rsidRPr="00E3232D">
        <w:rPr>
          <w:rFonts w:ascii="Book Antiqua" w:hAnsi="Book Antiqua"/>
          <w:iCs/>
        </w:rPr>
        <w:t>a 2012</w:t>
      </w:r>
    </w:p>
    <w:p w14:paraId="08BF9A23" w14:textId="77777777" w:rsidR="001C5D75" w:rsidRPr="00E3232D" w:rsidRDefault="001C5D75" w:rsidP="00465AE3">
      <w:pPr>
        <w:widowControl w:val="0"/>
        <w:autoSpaceDE w:val="0"/>
        <w:autoSpaceDN w:val="0"/>
        <w:adjustRightInd w:val="0"/>
        <w:ind w:right="76"/>
        <w:jc w:val="both"/>
        <w:rPr>
          <w:rFonts w:ascii="Book Antiqua" w:hAnsi="Book Antiqua"/>
        </w:rPr>
      </w:pPr>
      <w:r w:rsidRPr="00E3232D">
        <w:rPr>
          <w:rFonts w:ascii="Book Antiqua" w:hAnsi="Book Antiqua"/>
        </w:rPr>
        <w:t xml:space="preserve">The table </w:t>
      </w:r>
      <w:r w:rsidRPr="00E3232D">
        <w:rPr>
          <w:rFonts w:ascii="Book Antiqua" w:hAnsi="Book Antiqua"/>
          <w:spacing w:val="-1"/>
        </w:rPr>
        <w:t>a</w:t>
      </w:r>
      <w:r w:rsidRPr="00E3232D">
        <w:rPr>
          <w:rFonts w:ascii="Book Antiqua" w:hAnsi="Book Antiqua"/>
        </w:rPr>
        <w:t xml:space="preserve">bove </w:t>
      </w:r>
      <w:r w:rsidRPr="00E3232D">
        <w:rPr>
          <w:rFonts w:ascii="Book Antiqua" w:hAnsi="Book Antiqua"/>
          <w:spacing w:val="3"/>
        </w:rPr>
        <w:t>i</w:t>
      </w:r>
      <w:r w:rsidRPr="00E3232D">
        <w:rPr>
          <w:rFonts w:ascii="Book Antiqua" w:hAnsi="Book Antiqua"/>
        </w:rPr>
        <w:t>ndic</w:t>
      </w:r>
      <w:r w:rsidRPr="00E3232D">
        <w:rPr>
          <w:rFonts w:ascii="Book Antiqua" w:hAnsi="Book Antiqua"/>
          <w:spacing w:val="-1"/>
        </w:rPr>
        <w:t>a</w:t>
      </w:r>
      <w:r w:rsidRPr="00E3232D">
        <w:rPr>
          <w:rFonts w:ascii="Book Antiqua" w:hAnsi="Book Antiqua"/>
        </w:rPr>
        <w:t>tes</w:t>
      </w:r>
      <w:r w:rsidRPr="00E3232D">
        <w:rPr>
          <w:rFonts w:ascii="Book Antiqua" w:hAnsi="Book Antiqua"/>
          <w:spacing w:val="1"/>
        </w:rPr>
        <w:t xml:space="preserve"> </w:t>
      </w:r>
      <w:r w:rsidRPr="00E3232D">
        <w:rPr>
          <w:rFonts w:ascii="Book Antiqua" w:hAnsi="Book Antiqua"/>
        </w:rPr>
        <w:t>that</w:t>
      </w:r>
      <w:r w:rsidRPr="00E3232D">
        <w:rPr>
          <w:rFonts w:ascii="Book Antiqua" w:hAnsi="Book Antiqua"/>
          <w:spacing w:val="3"/>
        </w:rPr>
        <w:t xml:space="preserve"> </w:t>
      </w:r>
      <w:r w:rsidRPr="00E3232D">
        <w:rPr>
          <w:rFonts w:ascii="Book Antiqua" w:hAnsi="Book Antiqua"/>
        </w:rPr>
        <w:t>226</w:t>
      </w:r>
      <w:r w:rsidRPr="00E3232D">
        <w:rPr>
          <w:rFonts w:ascii="Book Antiqua" w:hAnsi="Book Antiqua"/>
          <w:spacing w:val="1"/>
        </w:rPr>
        <w:t xml:space="preserve"> </w:t>
      </w:r>
      <w:r w:rsidRPr="00E3232D">
        <w:rPr>
          <w:rFonts w:ascii="Book Antiqua" w:hAnsi="Book Antiqua"/>
        </w:rPr>
        <w:t>(71.7</w:t>
      </w:r>
      <w:r w:rsidRPr="00E3232D">
        <w:rPr>
          <w:rFonts w:ascii="Book Antiqua" w:hAnsi="Book Antiqua"/>
          <w:spacing w:val="-1"/>
        </w:rPr>
        <w:t>%</w:t>
      </w:r>
      <w:r w:rsidRPr="00E3232D">
        <w:rPr>
          <w:rFonts w:ascii="Book Antiqua" w:hAnsi="Book Antiqua"/>
        </w:rPr>
        <w:t>) of the potential</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 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w:t>
      </w:r>
      <w:r w:rsidRPr="00E3232D">
        <w:rPr>
          <w:rFonts w:ascii="Book Antiqua" w:hAnsi="Book Antiqua"/>
          <w:spacing w:val="6"/>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spond</w:t>
      </w:r>
      <w:r w:rsidRPr="00E3232D">
        <w:rPr>
          <w:rFonts w:ascii="Book Antiqua" w:hAnsi="Book Antiqua"/>
          <w:spacing w:val="-1"/>
        </w:rPr>
        <w:t>e</w:t>
      </w:r>
      <w:r w:rsidRPr="00E3232D">
        <w:rPr>
          <w:rFonts w:ascii="Book Antiqua" w:hAnsi="Book Antiqua"/>
        </w:rPr>
        <w:t>d</w:t>
      </w:r>
      <w:r w:rsidRPr="00E3232D">
        <w:rPr>
          <w:rFonts w:ascii="Book Antiqua" w:hAnsi="Book Antiqua"/>
          <w:spacing w:val="5"/>
        </w:rPr>
        <w:t xml:space="preserve"> </w:t>
      </w:r>
      <w:r w:rsidRPr="00E3232D">
        <w:rPr>
          <w:rFonts w:ascii="Book Antiqua" w:hAnsi="Book Antiqua"/>
        </w:rPr>
        <w:t>th</w:t>
      </w:r>
      <w:r w:rsidRPr="00E3232D">
        <w:rPr>
          <w:rFonts w:ascii="Book Antiqua" w:hAnsi="Book Antiqua"/>
          <w:spacing w:val="2"/>
        </w:rPr>
        <w:t>a</w:t>
      </w:r>
      <w:r w:rsidRPr="00E3232D">
        <w:rPr>
          <w:rFonts w:ascii="Book Antiqua" w:hAnsi="Book Antiqua"/>
        </w:rPr>
        <w:t>t</w:t>
      </w:r>
      <w:r w:rsidRPr="00E3232D">
        <w:rPr>
          <w:rFonts w:ascii="Book Antiqua" w:hAnsi="Book Antiqua"/>
          <w:spacing w:val="5"/>
        </w:rPr>
        <w:t xml:space="preserve"> </w:t>
      </w:r>
      <w:r w:rsidRPr="00E3232D">
        <w:rPr>
          <w:rFonts w:ascii="Book Antiqua" w:hAnsi="Book Antiqua"/>
        </w:rPr>
        <w:t>th</w:t>
      </w:r>
      <w:r w:rsidRPr="00E3232D">
        <w:rPr>
          <w:rFonts w:ascii="Book Antiqua" w:hAnsi="Book Antiqua"/>
          <w:spacing w:val="2"/>
        </w:rPr>
        <w:t>e</w:t>
      </w:r>
      <w:r w:rsidRPr="00E3232D">
        <w:rPr>
          <w:rFonts w:ascii="Book Antiqua" w:hAnsi="Book Antiqua"/>
        </w:rPr>
        <w:t>y h</w:t>
      </w:r>
      <w:r w:rsidRPr="00E3232D">
        <w:rPr>
          <w:rFonts w:ascii="Book Antiqua" w:hAnsi="Book Antiqua"/>
          <w:spacing w:val="1"/>
        </w:rPr>
        <w:t>a</w:t>
      </w:r>
      <w:r w:rsidRPr="00E3232D">
        <w:rPr>
          <w:rFonts w:ascii="Book Antiqua" w:hAnsi="Book Antiqua"/>
        </w:rPr>
        <w:t>d</w:t>
      </w:r>
      <w:r w:rsidRPr="00E3232D">
        <w:rPr>
          <w:rFonts w:ascii="Book Antiqua" w:hAnsi="Book Antiqua"/>
          <w:spacing w:val="5"/>
        </w:rPr>
        <w:t xml:space="preserve"> </w:t>
      </w:r>
      <w:r w:rsidRPr="00E3232D">
        <w:rPr>
          <w:rFonts w:ascii="Book Antiqua" w:hAnsi="Book Antiqua"/>
        </w:rPr>
        <w:t>made</w:t>
      </w:r>
      <w:r w:rsidRPr="00E3232D">
        <w:rPr>
          <w:rFonts w:ascii="Book Antiqua" w:hAnsi="Book Antiqua"/>
          <w:spacing w:val="4"/>
        </w:rPr>
        <w:t xml:space="preserve"> </w:t>
      </w:r>
      <w:r w:rsidRPr="00E3232D">
        <w:rPr>
          <w:rFonts w:ascii="Book Antiqua" w:hAnsi="Book Antiqua"/>
        </w:rPr>
        <w:t>some</w:t>
      </w:r>
      <w:r w:rsidRPr="00E3232D">
        <w:rPr>
          <w:rFonts w:ascii="Book Antiqua" w:hAnsi="Book Antiqua"/>
          <w:spacing w:val="5"/>
        </w:rPr>
        <w:t xml:space="preserve"> </w:t>
      </w:r>
      <w:r w:rsidRPr="00E3232D">
        <w:rPr>
          <w:rFonts w:ascii="Book Antiqua" w:hAnsi="Book Antiqua"/>
          <w:spacing w:val="2"/>
        </w:rPr>
        <w:t>p</w:t>
      </w:r>
      <w:r w:rsidRPr="00E3232D">
        <w:rPr>
          <w:rFonts w:ascii="Book Antiqua" w:hAnsi="Book Antiqua"/>
          <w:spacing w:val="1"/>
        </w:rPr>
        <w:t>a</w:t>
      </w:r>
      <w:r w:rsidRPr="00E3232D">
        <w:rPr>
          <w:rFonts w:ascii="Book Antiqua" w:hAnsi="Book Antiqua"/>
          <w:spacing w:val="-5"/>
        </w:rPr>
        <w:t>y</w:t>
      </w:r>
      <w:r w:rsidRPr="00E3232D">
        <w:rPr>
          <w:rFonts w:ascii="Book Antiqua" w:hAnsi="Book Antiqua"/>
          <w:spacing w:val="3"/>
        </w:rPr>
        <w:t>m</w:t>
      </w:r>
      <w:r w:rsidRPr="00E3232D">
        <w:rPr>
          <w:rFonts w:ascii="Book Antiqua" w:hAnsi="Book Antiqua"/>
          <w:spacing w:val="-1"/>
        </w:rPr>
        <w:t>e</w:t>
      </w:r>
      <w:r w:rsidRPr="00E3232D">
        <w:rPr>
          <w:rFonts w:ascii="Book Antiqua" w:hAnsi="Book Antiqua"/>
        </w:rPr>
        <w:t>nts</w:t>
      </w:r>
      <w:r w:rsidRPr="00E3232D">
        <w:rPr>
          <w:rFonts w:ascii="Book Antiqua" w:hAnsi="Book Antiqua"/>
          <w:spacing w:val="6"/>
        </w:rPr>
        <w:t xml:space="preserve"> </w:t>
      </w:r>
      <w:r w:rsidRPr="00E3232D">
        <w:rPr>
          <w:rFonts w:ascii="Book Antiqua" w:hAnsi="Book Antiqua"/>
        </w:rPr>
        <w:t>to</w:t>
      </w:r>
      <w:r w:rsidRPr="00E3232D">
        <w:rPr>
          <w:rFonts w:ascii="Book Antiqua" w:hAnsi="Book Antiqua"/>
          <w:spacing w:val="5"/>
        </w:rPr>
        <w:t xml:space="preserve"> </w:t>
      </w:r>
      <w:r w:rsidRPr="00E3232D">
        <w:rPr>
          <w:rFonts w:ascii="Book Antiqua" w:hAnsi="Book Antiqua"/>
        </w:rPr>
        <w:t>some</w:t>
      </w:r>
      <w:r w:rsidRPr="00E3232D">
        <w:rPr>
          <w:rFonts w:ascii="Book Antiqua" w:hAnsi="Book Antiqua"/>
          <w:spacing w:val="7"/>
        </w:rPr>
        <w:t xml:space="preserve"> </w:t>
      </w:r>
      <w:r w:rsidRPr="00E3232D">
        <w:rPr>
          <w:rFonts w:ascii="Book Antiqua" w:hAnsi="Book Antiqua"/>
        </w:rPr>
        <w:t>ins</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spacing w:val="-2"/>
        </w:rPr>
        <w:t>ut</w:t>
      </w:r>
      <w:r w:rsidRPr="00E3232D">
        <w:rPr>
          <w:rFonts w:ascii="Book Antiqua" w:hAnsi="Book Antiqua"/>
        </w:rPr>
        <w:t>ions</w:t>
      </w:r>
      <w:r w:rsidRPr="00E3232D">
        <w:rPr>
          <w:rFonts w:ascii="Book Antiqua" w:hAnsi="Book Antiqua"/>
          <w:spacing w:val="7"/>
        </w:rPr>
        <w:t xml:space="preserve"> </w:t>
      </w:r>
      <w:r w:rsidRPr="00E3232D">
        <w:rPr>
          <w:rFonts w:ascii="Book Antiqua" w:hAnsi="Book Antiqua"/>
        </w:rPr>
        <w:t>whi</w:t>
      </w:r>
      <w:r w:rsidRPr="00E3232D">
        <w:rPr>
          <w:rFonts w:ascii="Book Antiqua" w:hAnsi="Book Antiqua"/>
          <w:spacing w:val="-1"/>
        </w:rPr>
        <w:t>c</w:t>
      </w:r>
      <w:r w:rsidRPr="00E3232D">
        <w:rPr>
          <w:rFonts w:ascii="Book Antiqua" w:hAnsi="Book Antiqua"/>
        </w:rPr>
        <w:t xml:space="preserve">h </w:t>
      </w:r>
      <w:r w:rsidRPr="00E3232D">
        <w:rPr>
          <w:rFonts w:ascii="Book Antiqua" w:hAnsi="Book Antiqua"/>
          <w:spacing w:val="-1"/>
        </w:rPr>
        <w:t>a</w:t>
      </w:r>
      <w:r w:rsidRPr="00E3232D">
        <w:rPr>
          <w:rFonts w:ascii="Book Antiqua" w:hAnsi="Book Antiqua"/>
        </w:rPr>
        <w:t>ppro</w:t>
      </w:r>
      <w:r w:rsidRPr="00E3232D">
        <w:rPr>
          <w:rFonts w:ascii="Book Antiqua" w:hAnsi="Book Antiqua"/>
          <w:spacing w:val="-2"/>
        </w:rPr>
        <w:t>a</w:t>
      </w:r>
      <w:r w:rsidRPr="00E3232D">
        <w:rPr>
          <w:rFonts w:ascii="Book Antiqua" w:hAnsi="Book Antiqua"/>
          <w:spacing w:val="-1"/>
        </w:rPr>
        <w:t>c</w:t>
      </w:r>
      <w:r w:rsidRPr="00E3232D">
        <w:rPr>
          <w:rFonts w:ascii="Book Antiqua" w:hAnsi="Book Antiqua"/>
          <w:spacing w:val="2"/>
        </w:rPr>
        <w:t>h</w:t>
      </w:r>
      <w:r w:rsidRPr="00E3232D">
        <w:rPr>
          <w:rFonts w:ascii="Book Antiqua" w:hAnsi="Book Antiqua"/>
          <w:spacing w:val="-1"/>
        </w:rPr>
        <w:t>e</w:t>
      </w:r>
      <w:r w:rsidRPr="00E3232D">
        <w:rPr>
          <w:rFonts w:ascii="Book Antiqua" w:hAnsi="Book Antiqua"/>
        </w:rPr>
        <w:t xml:space="preserve">d </w:t>
      </w:r>
      <w:r w:rsidRPr="00E3232D">
        <w:rPr>
          <w:rFonts w:ascii="Book Antiqua" w:hAnsi="Book Antiqua"/>
          <w:spacing w:val="8"/>
        </w:rPr>
        <w:t>them</w:t>
      </w:r>
      <w:r w:rsidRPr="00E3232D">
        <w:rPr>
          <w:rFonts w:ascii="Book Antiqua" w:hAnsi="Book Antiqua"/>
        </w:rPr>
        <w:t xml:space="preserve"> </w:t>
      </w:r>
      <w:r w:rsidRPr="00E3232D">
        <w:rPr>
          <w:rFonts w:ascii="Book Antiqua" w:hAnsi="Book Antiqua"/>
          <w:spacing w:val="7"/>
        </w:rPr>
        <w:t>and</w:t>
      </w:r>
      <w:r w:rsidRPr="00E3232D">
        <w:rPr>
          <w:rFonts w:ascii="Book Antiqua" w:hAnsi="Book Antiqua"/>
        </w:rPr>
        <w:t xml:space="preserve"> </w:t>
      </w:r>
      <w:r w:rsidRPr="00E3232D">
        <w:rPr>
          <w:rFonts w:ascii="Book Antiqua" w:hAnsi="Book Antiqua"/>
          <w:spacing w:val="7"/>
        </w:rPr>
        <w:t>had</w:t>
      </w:r>
      <w:r w:rsidRPr="00E3232D">
        <w:rPr>
          <w:rFonts w:ascii="Book Antiqua" w:hAnsi="Book Antiqua"/>
        </w:rPr>
        <w:t xml:space="preserve"> </w:t>
      </w:r>
      <w:r w:rsidRPr="00E3232D">
        <w:rPr>
          <w:rFonts w:ascii="Book Antiqua" w:hAnsi="Book Antiqua"/>
          <w:spacing w:val="7"/>
        </w:rPr>
        <w:t>offered</w:t>
      </w:r>
      <w:r w:rsidRPr="00E3232D">
        <w:rPr>
          <w:rFonts w:ascii="Book Antiqua" w:hAnsi="Book Antiqua"/>
        </w:rPr>
        <w:t xml:space="preserve"> </w:t>
      </w:r>
      <w:r w:rsidRPr="00E3232D">
        <w:rPr>
          <w:rFonts w:ascii="Book Antiqua" w:hAnsi="Book Antiqua"/>
          <w:spacing w:val="7"/>
        </w:rPr>
        <w:t>financial</w:t>
      </w:r>
      <w:r w:rsidRPr="00E3232D">
        <w:rPr>
          <w:rFonts w:ascii="Book Antiqua" w:hAnsi="Book Antiqua"/>
        </w:rPr>
        <w:t xml:space="preserve"> </w:t>
      </w:r>
      <w:r w:rsidRPr="00E3232D">
        <w:rPr>
          <w:rFonts w:ascii="Book Antiqua" w:hAnsi="Book Antiqua"/>
          <w:spacing w:val="7"/>
        </w:rPr>
        <w:t>support</w:t>
      </w:r>
      <w:r w:rsidRPr="00E3232D">
        <w:rPr>
          <w:rFonts w:ascii="Book Antiqua" w:hAnsi="Book Antiqua"/>
        </w:rPr>
        <w:t xml:space="preserve">. </w:t>
      </w:r>
      <w:r w:rsidRPr="00E3232D">
        <w:rPr>
          <w:rFonts w:ascii="Book Antiqua" w:hAnsi="Book Antiqua"/>
          <w:spacing w:val="7"/>
        </w:rPr>
        <w:t xml:space="preserve"> </w:t>
      </w:r>
      <w:r w:rsidRPr="00E3232D">
        <w:rPr>
          <w:rFonts w:ascii="Book Antiqua" w:hAnsi="Book Antiqua"/>
        </w:rPr>
        <w:t>Ho</w:t>
      </w:r>
      <w:r w:rsidRPr="00E3232D">
        <w:rPr>
          <w:rFonts w:ascii="Book Antiqua" w:hAnsi="Book Antiqua"/>
          <w:spacing w:val="-1"/>
        </w:rPr>
        <w:t>we</w:t>
      </w:r>
      <w:r w:rsidRPr="00E3232D">
        <w:rPr>
          <w:rFonts w:ascii="Book Antiqua" w:hAnsi="Book Antiqua"/>
        </w:rPr>
        <w:t>v</w:t>
      </w:r>
      <w:r w:rsidRPr="00E3232D">
        <w:rPr>
          <w:rFonts w:ascii="Book Antiqua" w:hAnsi="Book Antiqua"/>
          <w:spacing w:val="-1"/>
        </w:rPr>
        <w:t>e</w:t>
      </w:r>
      <w:r w:rsidRPr="00E3232D">
        <w:rPr>
          <w:rFonts w:ascii="Book Antiqua" w:hAnsi="Book Antiqua"/>
        </w:rPr>
        <w:t xml:space="preserve">r </w:t>
      </w:r>
      <w:r w:rsidRPr="00E3232D">
        <w:rPr>
          <w:rFonts w:ascii="Book Antiqua" w:hAnsi="Book Antiqua"/>
          <w:spacing w:val="6"/>
        </w:rPr>
        <w:t>89</w:t>
      </w:r>
      <w:r w:rsidRPr="00E3232D">
        <w:rPr>
          <w:rFonts w:ascii="Book Antiqua" w:hAnsi="Book Antiqua"/>
        </w:rPr>
        <w:t xml:space="preserve"> </w:t>
      </w:r>
      <w:r w:rsidRPr="00E3232D">
        <w:rPr>
          <w:rFonts w:ascii="Book Antiqua" w:hAnsi="Book Antiqua"/>
          <w:spacing w:val="7"/>
        </w:rPr>
        <w:t>(</w:t>
      </w:r>
      <w:r w:rsidRPr="00E3232D">
        <w:rPr>
          <w:rFonts w:ascii="Book Antiqua" w:hAnsi="Book Antiqua"/>
        </w:rPr>
        <w:t>28.</w:t>
      </w:r>
      <w:r w:rsidRPr="00E3232D">
        <w:rPr>
          <w:rFonts w:ascii="Book Antiqua" w:hAnsi="Book Antiqua"/>
          <w:spacing w:val="-1"/>
        </w:rPr>
        <w:t>3%</w:t>
      </w:r>
      <w:r w:rsidRPr="00E3232D">
        <w:rPr>
          <w:rFonts w:ascii="Book Antiqua" w:hAnsi="Book Antiqua"/>
        </w:rPr>
        <w:t xml:space="preserve">) </w:t>
      </w:r>
      <w:r w:rsidRPr="00E3232D">
        <w:rPr>
          <w:rFonts w:ascii="Book Antiqua" w:hAnsi="Book Antiqua"/>
          <w:spacing w:val="6"/>
        </w:rPr>
        <w:t>of</w:t>
      </w:r>
      <w:r w:rsidRPr="00E3232D">
        <w:rPr>
          <w:rFonts w:ascii="Book Antiqua" w:hAnsi="Book Antiqua"/>
        </w:rPr>
        <w:t xml:space="preserve"> </w:t>
      </w:r>
      <w:r w:rsidRPr="00E3232D">
        <w:rPr>
          <w:rFonts w:ascii="Book Antiqua" w:hAnsi="Book Antiqua"/>
          <w:spacing w:val="6"/>
        </w:rPr>
        <w:t>the</w:t>
      </w:r>
      <w:r w:rsidRPr="00E3232D">
        <w:rPr>
          <w:rFonts w:ascii="Book Antiqua" w:hAnsi="Book Antiqua"/>
        </w:rPr>
        <w:t xml:space="preserve"> r</w:t>
      </w:r>
      <w:r w:rsidRPr="00E3232D">
        <w:rPr>
          <w:rFonts w:ascii="Book Antiqua" w:hAnsi="Book Antiqua"/>
          <w:spacing w:val="-2"/>
        </w:rPr>
        <w:t>e</w:t>
      </w:r>
      <w:r w:rsidRPr="00E3232D">
        <w:rPr>
          <w:rFonts w:ascii="Book Antiqua" w:hAnsi="Book Antiqua"/>
        </w:rPr>
        <w:t>spond</w:t>
      </w:r>
      <w:r w:rsidRPr="00E3232D">
        <w:rPr>
          <w:rFonts w:ascii="Book Antiqua" w:hAnsi="Book Antiqua"/>
          <w:spacing w:val="-1"/>
        </w:rPr>
        <w:t>e</w:t>
      </w:r>
      <w:r w:rsidRPr="00E3232D">
        <w:rPr>
          <w:rFonts w:ascii="Book Antiqua" w:hAnsi="Book Antiqua"/>
        </w:rPr>
        <w:t>nts</w:t>
      </w:r>
      <w:r w:rsidRPr="00E3232D">
        <w:rPr>
          <w:rFonts w:ascii="Book Antiqua" w:hAnsi="Book Antiqua"/>
          <w:spacing w:val="17"/>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ve</w:t>
      </w:r>
      <w:r w:rsidRPr="00E3232D">
        <w:rPr>
          <w:rFonts w:ascii="Book Antiqua" w:hAnsi="Book Antiqua"/>
          <w:spacing w:val="16"/>
        </w:rPr>
        <w:t xml:space="preserve"> </w:t>
      </w:r>
      <w:r w:rsidRPr="00E3232D">
        <w:rPr>
          <w:rFonts w:ascii="Book Antiqua" w:hAnsi="Book Antiqua"/>
        </w:rPr>
        <w:t>n</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r</w:t>
      </w:r>
      <w:r w:rsidRPr="00E3232D">
        <w:rPr>
          <w:rFonts w:ascii="Book Antiqua" w:hAnsi="Book Antiqua"/>
          <w:spacing w:val="16"/>
        </w:rPr>
        <w:t xml:space="preserve"> </w:t>
      </w:r>
      <w:r w:rsidRPr="00E3232D">
        <w:rPr>
          <w:rFonts w:ascii="Book Antiqua" w:hAnsi="Book Antiqua"/>
        </w:rPr>
        <w:t>b</w:t>
      </w:r>
      <w:r w:rsidRPr="00E3232D">
        <w:rPr>
          <w:rFonts w:ascii="Book Antiqua" w:hAnsi="Book Antiqua"/>
          <w:spacing w:val="-1"/>
        </w:rPr>
        <w:t>e</w:t>
      </w:r>
      <w:r w:rsidRPr="00E3232D">
        <w:rPr>
          <w:rFonts w:ascii="Book Antiqua" w:hAnsi="Book Antiqua"/>
        </w:rPr>
        <w:t>ing</w:t>
      </w:r>
      <w:r w:rsidRPr="00E3232D">
        <w:rPr>
          <w:rFonts w:ascii="Book Antiqua" w:hAnsi="Book Antiqua"/>
          <w:spacing w:val="15"/>
        </w:rPr>
        <w:t xml:space="preserve"> </w:t>
      </w:r>
      <w:r w:rsidRPr="00E3232D">
        <w:rPr>
          <w:rFonts w:ascii="Book Antiqua" w:hAnsi="Book Antiqua"/>
        </w:rPr>
        <w:t>o</w:t>
      </w:r>
      <w:r w:rsidRPr="00E3232D">
        <w:rPr>
          <w:rFonts w:ascii="Book Antiqua" w:hAnsi="Book Antiqua"/>
          <w:spacing w:val="-1"/>
        </w:rPr>
        <w:t>f</w:t>
      </w:r>
      <w:r w:rsidRPr="00E3232D">
        <w:rPr>
          <w:rFonts w:ascii="Book Antiqua" w:hAnsi="Book Antiqua"/>
          <w:spacing w:val="1"/>
        </w:rPr>
        <w:t>f</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d</w:t>
      </w:r>
      <w:r w:rsidRPr="00E3232D">
        <w:rPr>
          <w:rFonts w:ascii="Book Antiqua" w:hAnsi="Book Antiqua"/>
          <w:spacing w:val="17"/>
        </w:rPr>
        <w:t xml:space="preserve"> </w:t>
      </w:r>
      <w:r w:rsidRPr="00E3232D">
        <w:rPr>
          <w:rFonts w:ascii="Book Antiqua" w:hAnsi="Book Antiqua"/>
          <w:spacing w:val="-1"/>
        </w:rPr>
        <w:t>a</w:t>
      </w:r>
      <w:r w:rsidRPr="00E3232D">
        <w:rPr>
          <w:rFonts w:ascii="Book Antiqua" w:hAnsi="Book Antiqua"/>
          <w:spacing w:val="5"/>
        </w:rPr>
        <w:t>n</w:t>
      </w:r>
      <w:r w:rsidRPr="00E3232D">
        <w:rPr>
          <w:rFonts w:ascii="Book Antiqua" w:hAnsi="Book Antiqua"/>
        </w:rPr>
        <w:t>y</w:t>
      </w:r>
      <w:r w:rsidRPr="00E3232D">
        <w:rPr>
          <w:rFonts w:ascii="Book Antiqua" w:hAnsi="Book Antiqua"/>
          <w:spacing w:val="12"/>
        </w:rPr>
        <w:t xml:space="preserve"> </w:t>
      </w:r>
      <w:r w:rsidRPr="00E3232D">
        <w:rPr>
          <w:rFonts w:ascii="Book Antiqua" w:hAnsi="Book Antiqua"/>
        </w:rPr>
        <w:t>fin</w:t>
      </w:r>
      <w:r w:rsidRPr="00E3232D">
        <w:rPr>
          <w:rFonts w:ascii="Book Antiqua" w:hAnsi="Book Antiqua"/>
          <w:spacing w:val="-1"/>
        </w:rPr>
        <w:t>a</w:t>
      </w:r>
      <w:r w:rsidRPr="00E3232D">
        <w:rPr>
          <w:rFonts w:ascii="Book Antiqua" w:hAnsi="Book Antiqua"/>
          <w:spacing w:val="2"/>
        </w:rPr>
        <w:t>n</w:t>
      </w:r>
      <w:r w:rsidRPr="00E3232D">
        <w:rPr>
          <w:rFonts w:ascii="Book Antiqua" w:hAnsi="Book Antiqua"/>
          <w:spacing w:val="1"/>
        </w:rPr>
        <w:t>c</w:t>
      </w:r>
      <w:r w:rsidRPr="00E3232D">
        <w:rPr>
          <w:rFonts w:ascii="Book Antiqua" w:hAnsi="Book Antiqua"/>
        </w:rPr>
        <w:t>ial</w:t>
      </w:r>
      <w:r w:rsidRPr="00E3232D">
        <w:rPr>
          <w:rFonts w:ascii="Book Antiqua" w:hAnsi="Book Antiqua"/>
          <w:spacing w:val="17"/>
        </w:rPr>
        <w:t xml:space="preserve"> </w:t>
      </w:r>
      <w:r w:rsidRPr="00E3232D">
        <w:rPr>
          <w:rFonts w:ascii="Book Antiqua" w:hAnsi="Book Antiqua"/>
        </w:rPr>
        <w:t>support.</w:t>
      </w:r>
      <w:r w:rsidRPr="00E3232D">
        <w:rPr>
          <w:rFonts w:ascii="Book Antiqua" w:hAnsi="Book Antiqua"/>
          <w:spacing w:val="21"/>
        </w:rPr>
        <w:t xml:space="preserve"> </w:t>
      </w:r>
      <w:r w:rsidRPr="00E3232D">
        <w:rPr>
          <w:rFonts w:ascii="Book Antiqua" w:hAnsi="Book Antiqua"/>
        </w:rPr>
        <w:t>This</w:t>
      </w:r>
      <w:r w:rsidRPr="00E3232D">
        <w:rPr>
          <w:rFonts w:ascii="Book Antiqua" w:hAnsi="Book Antiqua"/>
          <w:spacing w:val="15"/>
        </w:rPr>
        <w:t xml:space="preserve"> </w:t>
      </w:r>
      <w:r w:rsidRPr="00E3232D">
        <w:rPr>
          <w:rFonts w:ascii="Book Antiqua" w:hAnsi="Book Antiqua"/>
        </w:rPr>
        <w:t>me</w:t>
      </w:r>
      <w:r w:rsidRPr="00E3232D">
        <w:rPr>
          <w:rFonts w:ascii="Book Antiqua" w:hAnsi="Book Antiqua"/>
          <w:spacing w:val="-1"/>
        </w:rPr>
        <w:t>a</w:t>
      </w:r>
      <w:r w:rsidRPr="00E3232D">
        <w:rPr>
          <w:rFonts w:ascii="Book Antiqua" w:hAnsi="Book Antiqua"/>
        </w:rPr>
        <w:t>ns</w:t>
      </w:r>
      <w:r w:rsidRPr="00E3232D">
        <w:rPr>
          <w:rFonts w:ascii="Book Antiqua" w:hAnsi="Book Antiqua"/>
          <w:spacing w:val="17"/>
        </w:rPr>
        <w:t xml:space="preserve"> </w:t>
      </w:r>
      <w:r w:rsidRPr="00E3232D">
        <w:rPr>
          <w:rFonts w:ascii="Book Antiqua" w:hAnsi="Book Antiqua"/>
          <w:spacing w:val="-2"/>
        </w:rPr>
        <w:t>t</w:t>
      </w:r>
      <w:r w:rsidRPr="00E3232D">
        <w:rPr>
          <w:rFonts w:ascii="Book Antiqua" w:hAnsi="Book Antiqua"/>
        </w:rPr>
        <w:t>h</w:t>
      </w:r>
      <w:r w:rsidRPr="00E3232D">
        <w:rPr>
          <w:rFonts w:ascii="Book Antiqua" w:hAnsi="Book Antiqua"/>
          <w:spacing w:val="-1"/>
        </w:rPr>
        <w:t>a</w:t>
      </w:r>
      <w:r w:rsidRPr="00E3232D">
        <w:rPr>
          <w:rFonts w:ascii="Book Antiqua" w:hAnsi="Book Antiqua"/>
        </w:rPr>
        <w:t>t</w:t>
      </w:r>
      <w:r w:rsidRPr="00E3232D">
        <w:rPr>
          <w:rFonts w:ascii="Book Antiqua" w:hAnsi="Book Antiqua"/>
          <w:spacing w:val="17"/>
        </w:rPr>
        <w:t xml:space="preserve"> </w:t>
      </w:r>
      <w:r w:rsidRPr="00E3232D">
        <w:rPr>
          <w:rFonts w:ascii="Book Antiqua" w:hAnsi="Book Antiqua"/>
        </w:rPr>
        <w:t>majo</w:t>
      </w:r>
      <w:r w:rsidRPr="00E3232D">
        <w:rPr>
          <w:rFonts w:ascii="Book Antiqua" w:hAnsi="Book Antiqua"/>
          <w:spacing w:val="-1"/>
        </w:rPr>
        <w:t>r</w:t>
      </w:r>
      <w:r w:rsidRPr="00E3232D">
        <w:rPr>
          <w:rFonts w:ascii="Book Antiqua" w:hAnsi="Book Antiqua"/>
        </w:rPr>
        <w:t>i</w:t>
      </w:r>
      <w:r w:rsidRPr="00E3232D">
        <w:rPr>
          <w:rFonts w:ascii="Book Antiqua" w:hAnsi="Book Antiqua"/>
          <w:spacing w:val="3"/>
        </w:rPr>
        <w:t>t</w:t>
      </w:r>
      <w:r w:rsidRPr="00E3232D">
        <w:rPr>
          <w:rFonts w:ascii="Book Antiqua" w:hAnsi="Book Antiqua"/>
        </w:rPr>
        <w:t>y of</w:t>
      </w:r>
      <w:r w:rsidRPr="00E3232D">
        <w:rPr>
          <w:rFonts w:ascii="Book Antiqua" w:hAnsi="Book Antiqua"/>
          <w:spacing w:val="1"/>
        </w:rPr>
        <w:t xml:space="preserve"> </w:t>
      </w:r>
      <w:r w:rsidRPr="00E3232D">
        <w:rPr>
          <w:rFonts w:ascii="Book Antiqua" w:hAnsi="Book Antiqua"/>
        </w:rPr>
        <w:t>them</w:t>
      </w:r>
      <w:r w:rsidRPr="00E3232D">
        <w:rPr>
          <w:rFonts w:ascii="Book Antiqua" w:hAnsi="Book Antiqua"/>
          <w:spacing w:val="1"/>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ve tr</w:t>
      </w:r>
      <w:r w:rsidRPr="00E3232D">
        <w:rPr>
          <w:rFonts w:ascii="Book Antiqua" w:hAnsi="Book Antiqua"/>
          <w:spacing w:val="-1"/>
        </w:rPr>
        <w:t>a</w:t>
      </w:r>
      <w:r w:rsidRPr="00E3232D">
        <w:rPr>
          <w:rFonts w:ascii="Book Antiqua" w:hAnsi="Book Antiqua"/>
        </w:rPr>
        <w:t>n</w:t>
      </w:r>
      <w:r w:rsidRPr="00E3232D">
        <w:rPr>
          <w:rFonts w:ascii="Book Antiqua" w:hAnsi="Book Antiqua"/>
          <w:spacing w:val="2"/>
        </w:rPr>
        <w:t>s</w:t>
      </w:r>
      <w:r w:rsidRPr="00E3232D">
        <w:rPr>
          <w:rFonts w:ascii="Book Antiqua" w:hAnsi="Book Antiqua"/>
          <w:spacing w:val="-1"/>
        </w:rPr>
        <w:t>ac</w:t>
      </w:r>
      <w:r w:rsidRPr="00E3232D">
        <w:rPr>
          <w:rFonts w:ascii="Book Antiqua" w:hAnsi="Book Antiqua"/>
        </w:rPr>
        <w:t>t</w:t>
      </w:r>
      <w:r w:rsidRPr="00E3232D">
        <w:rPr>
          <w:rFonts w:ascii="Book Antiqua" w:hAnsi="Book Antiqua"/>
          <w:spacing w:val="1"/>
        </w:rPr>
        <w:t>i</w:t>
      </w:r>
      <w:r w:rsidRPr="00E3232D">
        <w:rPr>
          <w:rFonts w:ascii="Book Antiqua" w:hAnsi="Book Antiqua"/>
        </w:rPr>
        <w:t>o</w:t>
      </w:r>
      <w:r w:rsidRPr="00E3232D">
        <w:rPr>
          <w:rFonts w:ascii="Book Antiqua" w:hAnsi="Book Antiqua"/>
          <w:spacing w:val="2"/>
        </w:rPr>
        <w:t>n</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rPr>
        <w:t>with</w:t>
      </w:r>
      <w:r w:rsidRPr="00E3232D">
        <w:rPr>
          <w:rFonts w:ascii="Book Antiqua" w:hAnsi="Book Antiqua"/>
          <w:spacing w:val="2"/>
        </w:rPr>
        <w:t xml:space="preserve"> </w:t>
      </w:r>
      <w:r w:rsidRPr="00E3232D">
        <w:rPr>
          <w:rFonts w:ascii="Book Antiqua" w:hAnsi="Book Antiqua"/>
        </w:rPr>
        <w:t>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ial</w:t>
      </w:r>
      <w:r w:rsidRPr="00E3232D">
        <w:rPr>
          <w:rFonts w:ascii="Book Antiqua" w:hAnsi="Book Antiqua"/>
          <w:spacing w:val="1"/>
        </w:rPr>
        <w:t xml:space="preserve"> </w:t>
      </w:r>
      <w:r w:rsidRPr="00E3232D">
        <w:rPr>
          <w:rFonts w:ascii="Book Antiqua" w:hAnsi="Book Antiqua"/>
        </w:rPr>
        <w:t>ins</w:t>
      </w:r>
      <w:r w:rsidRPr="00E3232D">
        <w:rPr>
          <w:rFonts w:ascii="Book Antiqua" w:hAnsi="Book Antiqua"/>
          <w:spacing w:val="1"/>
        </w:rPr>
        <w:t>t</w:t>
      </w:r>
      <w:r w:rsidRPr="00E3232D">
        <w:rPr>
          <w:rFonts w:ascii="Book Antiqua" w:hAnsi="Book Antiqua"/>
          <w:spacing w:val="4"/>
        </w:rPr>
        <w:t>i</w:t>
      </w:r>
      <w:r w:rsidRPr="00E3232D">
        <w:rPr>
          <w:rFonts w:ascii="Book Antiqua" w:hAnsi="Book Antiqua"/>
        </w:rPr>
        <w:t>tu</w:t>
      </w:r>
      <w:r w:rsidRPr="00E3232D">
        <w:rPr>
          <w:rFonts w:ascii="Book Antiqua" w:hAnsi="Book Antiqua"/>
          <w:spacing w:val="1"/>
        </w:rPr>
        <w:t>t</w:t>
      </w:r>
      <w:r w:rsidRPr="00E3232D">
        <w:rPr>
          <w:rFonts w:ascii="Book Antiqua" w:hAnsi="Book Antiqua"/>
          <w:spacing w:val="-2"/>
        </w:rPr>
        <w:t>i</w:t>
      </w:r>
      <w:r w:rsidRPr="00E3232D">
        <w:rPr>
          <w:rFonts w:ascii="Book Antiqua" w:hAnsi="Book Antiqua"/>
        </w:rPr>
        <w:t>ons</w:t>
      </w:r>
      <w:r w:rsidRPr="00E3232D">
        <w:rPr>
          <w:rFonts w:ascii="Book Antiqua" w:hAnsi="Book Antiqua"/>
          <w:spacing w:val="2"/>
        </w:rPr>
        <w:t xml:space="preserve"> </w:t>
      </w:r>
      <w:r w:rsidRPr="00E3232D">
        <w:rPr>
          <w:rFonts w:ascii="Book Antiqua" w:hAnsi="Book Antiqua"/>
        </w:rPr>
        <w:t>to</w:t>
      </w:r>
      <w:r w:rsidRPr="00E3232D">
        <w:rPr>
          <w:rFonts w:ascii="Book Antiqua" w:hAnsi="Book Antiqua"/>
          <w:spacing w:val="2"/>
        </w:rPr>
        <w:t xml:space="preserve"> </w:t>
      </w:r>
      <w:r w:rsidRPr="00E3232D">
        <w:rPr>
          <w:rFonts w:ascii="Book Antiqua" w:hAnsi="Book Antiqua"/>
        </w:rPr>
        <w:t>h</w:t>
      </w:r>
      <w:r w:rsidRPr="00E3232D">
        <w:rPr>
          <w:rFonts w:ascii="Book Antiqua" w:hAnsi="Book Antiqua"/>
          <w:spacing w:val="-1"/>
        </w:rPr>
        <w:t>e</w:t>
      </w:r>
      <w:r w:rsidRPr="00E3232D">
        <w:rPr>
          <w:rFonts w:ascii="Book Antiqua" w:hAnsi="Book Antiqua"/>
        </w:rPr>
        <w:t>lp</w:t>
      </w:r>
      <w:r w:rsidRPr="00E3232D">
        <w:rPr>
          <w:rFonts w:ascii="Book Antiqua" w:hAnsi="Book Antiqua"/>
          <w:spacing w:val="2"/>
        </w:rPr>
        <w:t xml:space="preserve"> </w:t>
      </w:r>
      <w:r w:rsidRPr="00E3232D">
        <w:rPr>
          <w:rFonts w:ascii="Book Antiqua" w:hAnsi="Book Antiqua"/>
        </w:rPr>
        <w:t>them</w:t>
      </w:r>
      <w:r w:rsidRPr="00E3232D">
        <w:rPr>
          <w:rFonts w:ascii="Book Antiqua" w:hAnsi="Book Antiqua"/>
          <w:spacing w:val="1"/>
        </w:rPr>
        <w:t xml:space="preserve"> </w:t>
      </w:r>
      <w:r w:rsidRPr="00E3232D">
        <w:rPr>
          <w:rFonts w:ascii="Book Antiqua" w:hAnsi="Book Antiqua"/>
        </w:rPr>
        <w:t>in</w:t>
      </w:r>
      <w:r w:rsidRPr="00E3232D">
        <w:rPr>
          <w:rFonts w:ascii="Book Antiqua" w:hAnsi="Book Antiqua"/>
          <w:spacing w:val="2"/>
        </w:rPr>
        <w:t xml:space="preserve"> </w:t>
      </w:r>
      <w:r w:rsidRPr="00E3232D">
        <w:rPr>
          <w:rFonts w:ascii="Book Antiqua" w:hAnsi="Book Antiqua"/>
        </w:rPr>
        <w:t>their</w:t>
      </w:r>
      <w:r w:rsidRPr="00E3232D">
        <w:rPr>
          <w:rFonts w:ascii="Book Antiqua" w:hAnsi="Book Antiqua"/>
          <w:spacing w:val="1"/>
        </w:rPr>
        <w:t xml:space="preserve"> </w:t>
      </w:r>
      <w:r w:rsidRPr="00E3232D">
        <w:rPr>
          <w:rFonts w:ascii="Book Antiqua" w:hAnsi="Book Antiqua"/>
        </w:rPr>
        <w:t>busin</w:t>
      </w:r>
      <w:r w:rsidRPr="00E3232D">
        <w:rPr>
          <w:rFonts w:ascii="Book Antiqua" w:hAnsi="Book Antiqua"/>
          <w:spacing w:val="-1"/>
        </w:rPr>
        <w:t>e</w:t>
      </w:r>
      <w:r w:rsidRPr="00E3232D">
        <w:rPr>
          <w:rFonts w:ascii="Book Antiqua" w:hAnsi="Book Antiqua"/>
        </w:rPr>
        <w:t>sses. This</w:t>
      </w:r>
      <w:r w:rsidRPr="00E3232D">
        <w:rPr>
          <w:rFonts w:ascii="Book Antiqua" w:hAnsi="Book Antiqua"/>
          <w:spacing w:val="31"/>
        </w:rPr>
        <w:t xml:space="preserve"> </w:t>
      </w:r>
      <w:r w:rsidRPr="00E3232D">
        <w:rPr>
          <w:rFonts w:ascii="Book Antiqua" w:hAnsi="Book Antiqua"/>
          <w:spacing w:val="-1"/>
        </w:rPr>
        <w:t>c</w:t>
      </w:r>
      <w:r w:rsidRPr="00E3232D">
        <w:rPr>
          <w:rFonts w:ascii="Book Antiqua" w:hAnsi="Book Antiqua"/>
        </w:rPr>
        <w:t>ontr</w:t>
      </w:r>
      <w:r w:rsidRPr="00E3232D">
        <w:rPr>
          <w:rFonts w:ascii="Book Antiqua" w:hAnsi="Book Antiqua"/>
          <w:spacing w:val="-1"/>
        </w:rPr>
        <w:t>a</w:t>
      </w:r>
      <w:r w:rsidRPr="00E3232D">
        <w:rPr>
          <w:rFonts w:ascii="Book Antiqua" w:hAnsi="Book Antiqua"/>
        </w:rPr>
        <w:t>dicts</w:t>
      </w:r>
      <w:r w:rsidRPr="00E3232D">
        <w:rPr>
          <w:rFonts w:ascii="Book Antiqua" w:hAnsi="Book Antiqua"/>
          <w:spacing w:val="31"/>
        </w:rPr>
        <w:t xml:space="preserve"> </w:t>
      </w:r>
      <w:r w:rsidRPr="00E3232D">
        <w:rPr>
          <w:rFonts w:ascii="Book Antiqua" w:hAnsi="Book Antiqua"/>
        </w:rPr>
        <w:t>the</w:t>
      </w:r>
      <w:r w:rsidRPr="00E3232D">
        <w:rPr>
          <w:rFonts w:ascii="Book Antiqua" w:hAnsi="Book Antiqua"/>
          <w:spacing w:val="33"/>
        </w:rPr>
        <w:t xml:space="preserve"> Women’s</w:t>
      </w:r>
      <w:r w:rsidRPr="00E3232D">
        <w:rPr>
          <w:rFonts w:ascii="Book Antiqua" w:hAnsi="Book Antiqua"/>
          <w:spacing w:val="-1"/>
        </w:rPr>
        <w:t xml:space="preserve"> </w:t>
      </w:r>
      <w:r w:rsidRPr="00E3232D">
        <w:rPr>
          <w:rFonts w:ascii="Book Antiqua" w:hAnsi="Book Antiqua"/>
          <w:spacing w:val="1"/>
        </w:rPr>
        <w:t>W</w:t>
      </w:r>
      <w:r w:rsidRPr="00E3232D">
        <w:rPr>
          <w:rFonts w:ascii="Book Antiqua" w:hAnsi="Book Antiqua"/>
        </w:rPr>
        <w:t>o</w:t>
      </w:r>
      <w:r w:rsidRPr="00E3232D">
        <w:rPr>
          <w:rFonts w:ascii="Book Antiqua" w:hAnsi="Book Antiqua"/>
          <w:spacing w:val="-1"/>
        </w:rPr>
        <w:t>r</w:t>
      </w:r>
      <w:r w:rsidRPr="00E3232D">
        <w:rPr>
          <w:rFonts w:ascii="Book Antiqua" w:hAnsi="Book Antiqua"/>
        </w:rPr>
        <w:t>ld</w:t>
      </w:r>
      <w:r w:rsidRPr="00E3232D">
        <w:rPr>
          <w:rFonts w:ascii="Book Antiqua" w:hAnsi="Book Antiqua"/>
          <w:spacing w:val="31"/>
        </w:rPr>
        <w:t xml:space="preserve"> </w:t>
      </w:r>
      <w:r w:rsidRPr="00E3232D">
        <w:rPr>
          <w:rFonts w:ascii="Book Antiqua" w:hAnsi="Book Antiqua"/>
        </w:rPr>
        <w:t>B</w:t>
      </w:r>
      <w:r w:rsidRPr="00E3232D">
        <w:rPr>
          <w:rFonts w:ascii="Book Antiqua" w:hAnsi="Book Antiqua"/>
          <w:spacing w:val="-1"/>
        </w:rPr>
        <w:t>a</w:t>
      </w:r>
      <w:r w:rsidRPr="00E3232D">
        <w:rPr>
          <w:rFonts w:ascii="Book Antiqua" w:hAnsi="Book Antiqua"/>
        </w:rPr>
        <w:t>nk</w:t>
      </w:r>
      <w:r w:rsidRPr="00E3232D">
        <w:rPr>
          <w:rFonts w:ascii="Book Antiqua" w:hAnsi="Book Antiqua"/>
          <w:spacing w:val="31"/>
        </w:rPr>
        <w:t xml:space="preserve"> </w:t>
      </w:r>
      <w:r w:rsidRPr="00E3232D">
        <w:rPr>
          <w:rFonts w:ascii="Book Antiqua" w:hAnsi="Book Antiqua"/>
        </w:rPr>
        <w:t>(19</w:t>
      </w:r>
      <w:r w:rsidRPr="00E3232D">
        <w:rPr>
          <w:rFonts w:ascii="Book Antiqua" w:hAnsi="Book Antiqua"/>
          <w:spacing w:val="1"/>
        </w:rPr>
        <w:t>9</w:t>
      </w:r>
      <w:r w:rsidRPr="00E3232D">
        <w:rPr>
          <w:rFonts w:ascii="Book Antiqua" w:hAnsi="Book Antiqua"/>
        </w:rPr>
        <w:t>5)</w:t>
      </w:r>
      <w:r w:rsidRPr="00E3232D">
        <w:rPr>
          <w:rFonts w:ascii="Book Antiqua" w:hAnsi="Book Antiqua"/>
          <w:spacing w:val="30"/>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p</w:t>
      </w:r>
      <w:r w:rsidRPr="00E3232D">
        <w:rPr>
          <w:rFonts w:ascii="Book Antiqua" w:hAnsi="Book Antiqua"/>
          <w:spacing w:val="2"/>
        </w:rPr>
        <w:t>o</w:t>
      </w:r>
      <w:r w:rsidRPr="00E3232D">
        <w:rPr>
          <w:rFonts w:ascii="Book Antiqua" w:hAnsi="Book Antiqua"/>
        </w:rPr>
        <w:t>rt</w:t>
      </w:r>
      <w:r w:rsidRPr="00E3232D">
        <w:rPr>
          <w:rFonts w:ascii="Book Antiqua" w:hAnsi="Book Antiqua"/>
          <w:spacing w:val="31"/>
        </w:rPr>
        <w:t xml:space="preserve"> </w:t>
      </w:r>
      <w:r w:rsidRPr="00E3232D">
        <w:rPr>
          <w:rFonts w:ascii="Book Antiqua" w:hAnsi="Book Antiqua"/>
        </w:rPr>
        <w:t>whi</w:t>
      </w:r>
      <w:r w:rsidRPr="00E3232D">
        <w:rPr>
          <w:rFonts w:ascii="Book Antiqua" w:hAnsi="Book Antiqua"/>
          <w:spacing w:val="-1"/>
        </w:rPr>
        <w:t>c</w:t>
      </w:r>
      <w:r w:rsidRPr="00E3232D">
        <w:rPr>
          <w:rFonts w:ascii="Book Antiqua" w:hAnsi="Book Antiqua"/>
        </w:rPr>
        <w:t>h</w:t>
      </w:r>
      <w:r w:rsidRPr="00E3232D">
        <w:rPr>
          <w:rFonts w:ascii="Book Antiqua" w:hAnsi="Book Antiqua"/>
          <w:spacing w:val="33"/>
        </w:rPr>
        <w:t xml:space="preserve"> </w:t>
      </w:r>
      <w:r w:rsidRPr="00E3232D">
        <w:rPr>
          <w:rFonts w:ascii="Book Antiqua" w:hAnsi="Book Antiqua"/>
        </w:rPr>
        <w:t>so</w:t>
      </w:r>
      <w:r w:rsidRPr="00E3232D">
        <w:rPr>
          <w:rFonts w:ascii="Book Antiqua" w:hAnsi="Book Antiqua"/>
          <w:spacing w:val="2"/>
        </w:rPr>
        <w:t>u</w:t>
      </w:r>
      <w:r w:rsidRPr="00E3232D">
        <w:rPr>
          <w:rFonts w:ascii="Book Antiqua" w:hAnsi="Book Antiqua"/>
          <w:spacing w:val="-2"/>
        </w:rPr>
        <w:t>g</w:t>
      </w:r>
      <w:r w:rsidRPr="00E3232D">
        <w:rPr>
          <w:rFonts w:ascii="Book Antiqua" w:hAnsi="Book Antiqua"/>
        </w:rPr>
        <w:t>ht</w:t>
      </w:r>
      <w:r w:rsidRPr="00E3232D">
        <w:rPr>
          <w:rFonts w:ascii="Book Antiqua" w:hAnsi="Book Antiqua"/>
          <w:spacing w:val="31"/>
        </w:rPr>
        <w:t xml:space="preserve"> </w:t>
      </w:r>
      <w:r w:rsidRPr="00E3232D">
        <w:rPr>
          <w:rFonts w:ascii="Book Antiqua" w:hAnsi="Book Antiqua"/>
          <w:spacing w:val="3"/>
        </w:rPr>
        <w:t>t</w:t>
      </w:r>
      <w:r w:rsidRPr="00E3232D">
        <w:rPr>
          <w:rFonts w:ascii="Book Antiqua" w:hAnsi="Book Antiqua"/>
        </w:rPr>
        <w:t>o</w:t>
      </w:r>
      <w:r w:rsidRPr="00E3232D">
        <w:rPr>
          <w:rFonts w:ascii="Book Antiqua" w:hAnsi="Book Antiqua"/>
          <w:spacing w:val="31"/>
        </w:rPr>
        <w:t xml:space="preserve"> </w:t>
      </w:r>
      <w:r w:rsidRPr="00E3232D">
        <w:rPr>
          <w:rFonts w:ascii="Book Antiqua" w:hAnsi="Book Antiqua"/>
          <w:spacing w:val="-1"/>
        </w:rPr>
        <w:t>ec</w:t>
      </w:r>
      <w:r w:rsidRPr="00E3232D">
        <w:rPr>
          <w:rFonts w:ascii="Book Antiqua" w:hAnsi="Book Antiqua"/>
        </w:rPr>
        <w:t>ho</w:t>
      </w:r>
      <w:r w:rsidRPr="00E3232D">
        <w:rPr>
          <w:rFonts w:ascii="Book Antiqua" w:hAnsi="Book Antiqua"/>
          <w:spacing w:val="33"/>
        </w:rPr>
        <w:t xml:space="preserve"> </w:t>
      </w:r>
      <w:r w:rsidRPr="00E3232D">
        <w:rPr>
          <w:rFonts w:ascii="Book Antiqua" w:hAnsi="Book Antiqua"/>
        </w:rPr>
        <w:t xml:space="preserve">that </w:t>
      </w:r>
      <w:r w:rsidRPr="00E3232D">
        <w:rPr>
          <w:rFonts w:ascii="Book Antiqua" w:hAnsi="Book Antiqua"/>
          <w:spacing w:val="-1"/>
        </w:rPr>
        <w:t>a</w:t>
      </w:r>
      <w:r w:rsidRPr="00E3232D">
        <w:rPr>
          <w:rFonts w:ascii="Book Antiqua" w:hAnsi="Book Antiqua"/>
        </w:rPr>
        <w:t>bout poor p</w:t>
      </w:r>
      <w:r w:rsidRPr="00E3232D">
        <w:rPr>
          <w:rFonts w:ascii="Book Antiqua" w:hAnsi="Book Antiqua"/>
          <w:spacing w:val="-1"/>
        </w:rPr>
        <w:t>e</w:t>
      </w:r>
      <w:r w:rsidRPr="00E3232D">
        <w:rPr>
          <w:rFonts w:ascii="Book Antiqua" w:hAnsi="Book Antiqua"/>
        </w:rPr>
        <w:t xml:space="preserve">ople </w:t>
      </w:r>
      <w:r w:rsidRPr="00E3232D">
        <w:rPr>
          <w:rFonts w:ascii="Book Antiqua" w:hAnsi="Book Antiqua"/>
          <w:spacing w:val="-1"/>
        </w:rPr>
        <w:t>w</w:t>
      </w:r>
      <w:r w:rsidRPr="00E3232D">
        <w:rPr>
          <w:rFonts w:ascii="Book Antiqua" w:hAnsi="Book Antiqua"/>
        </w:rPr>
        <w:t>i</w:t>
      </w:r>
      <w:r w:rsidRPr="00E3232D">
        <w:rPr>
          <w:rFonts w:ascii="Book Antiqua" w:hAnsi="Book Antiqua"/>
          <w:spacing w:val="1"/>
        </w:rPr>
        <w:t>t</w:t>
      </w:r>
      <w:r w:rsidRPr="00E3232D">
        <w:rPr>
          <w:rFonts w:ascii="Book Antiqua" w:hAnsi="Book Antiqua"/>
        </w:rPr>
        <w:t xml:space="preserve">h </w:t>
      </w:r>
      <w:r w:rsidRPr="00E3232D">
        <w:rPr>
          <w:rFonts w:ascii="Book Antiqua" w:hAnsi="Book Antiqua"/>
          <w:spacing w:val="3"/>
        </w:rPr>
        <w:t>t</w:t>
      </w:r>
      <w:r w:rsidRPr="00E3232D">
        <w:rPr>
          <w:rFonts w:ascii="Book Antiqua" w:hAnsi="Book Antiqua"/>
        </w:rPr>
        <w:t>he</w:t>
      </w:r>
      <w:r w:rsidRPr="00E3232D">
        <w:rPr>
          <w:rFonts w:ascii="Book Antiqua" w:hAnsi="Book Antiqua"/>
          <w:spacing w:val="-1"/>
        </w:rPr>
        <w:t xml:space="preserve"> </w:t>
      </w:r>
      <w:r w:rsidRPr="00E3232D">
        <w:rPr>
          <w:rFonts w:ascii="Book Antiqua" w:hAnsi="Book Antiqua"/>
          <w:spacing w:val="1"/>
        </w:rPr>
        <w:t>S</w:t>
      </w:r>
      <w:r w:rsidRPr="00E3232D">
        <w:rPr>
          <w:rFonts w:ascii="Book Antiqua" w:hAnsi="Book Antiqua"/>
        </w:rPr>
        <w:t>ME b</w:t>
      </w:r>
      <w:r w:rsidRPr="00E3232D">
        <w:rPr>
          <w:rFonts w:ascii="Book Antiqua" w:hAnsi="Book Antiqua"/>
          <w:spacing w:val="-1"/>
        </w:rPr>
        <w:t>rac</w:t>
      </w:r>
      <w:r w:rsidRPr="00E3232D">
        <w:rPr>
          <w:rFonts w:ascii="Book Antiqua" w:hAnsi="Book Antiqua"/>
          <w:spacing w:val="2"/>
        </w:rPr>
        <w:t>k</w:t>
      </w:r>
      <w:r w:rsidRPr="00E3232D">
        <w:rPr>
          <w:rFonts w:ascii="Book Antiqua" w:hAnsi="Book Antiqua"/>
          <w:spacing w:val="-1"/>
        </w:rPr>
        <w:t>e</w:t>
      </w:r>
      <w:r w:rsidRPr="00E3232D">
        <w:rPr>
          <w:rFonts w:ascii="Book Antiqua" w:hAnsi="Book Antiqua"/>
        </w:rPr>
        <w:t>t do not</w:t>
      </w:r>
      <w:r w:rsidRPr="00E3232D">
        <w:rPr>
          <w:rFonts w:ascii="Book Antiqua" w:hAnsi="Book Antiqua"/>
          <w:spacing w:val="1"/>
        </w:rPr>
        <w:t xml:space="preserve"> </w:t>
      </w:r>
      <w:r w:rsidRPr="00E3232D">
        <w:rPr>
          <w:rFonts w:ascii="Book Antiqua" w:hAnsi="Book Antiqua"/>
        </w:rPr>
        <w:t>g</w:t>
      </w:r>
      <w:r w:rsidRPr="00E3232D">
        <w:rPr>
          <w:rFonts w:ascii="Book Antiqua" w:hAnsi="Book Antiqua"/>
          <w:spacing w:val="-1"/>
        </w:rPr>
        <w:t>a</w:t>
      </w:r>
      <w:r w:rsidRPr="00E3232D">
        <w:rPr>
          <w:rFonts w:ascii="Book Antiqua" w:hAnsi="Book Antiqua"/>
        </w:rPr>
        <w:t>in a</w:t>
      </w:r>
      <w:r w:rsidRPr="00E3232D">
        <w:rPr>
          <w:rFonts w:ascii="Book Antiqua" w:hAnsi="Book Antiqua"/>
          <w:spacing w:val="-1"/>
        </w:rPr>
        <w:t>c</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 xml:space="preserve">ss </w:t>
      </w:r>
      <w:r w:rsidRPr="00E3232D">
        <w:rPr>
          <w:rFonts w:ascii="Book Antiqua" w:hAnsi="Book Antiqua"/>
          <w:spacing w:val="1"/>
        </w:rPr>
        <w:t>t</w:t>
      </w:r>
      <w:r w:rsidRPr="00E3232D">
        <w:rPr>
          <w:rFonts w:ascii="Book Antiqua" w:hAnsi="Book Antiqua"/>
        </w:rPr>
        <w:t xml:space="preserve">o </w:t>
      </w:r>
      <w:r w:rsidRPr="00E3232D">
        <w:rPr>
          <w:rFonts w:ascii="Book Antiqua" w:hAnsi="Book Antiqua"/>
          <w:spacing w:val="-1"/>
        </w:rPr>
        <w:t>c</w:t>
      </w:r>
      <w:r w:rsidRPr="00E3232D">
        <w:rPr>
          <w:rFonts w:ascii="Book Antiqua" w:hAnsi="Book Antiqua"/>
        </w:rPr>
        <w:t>r</w:t>
      </w:r>
      <w:r w:rsidRPr="00E3232D">
        <w:rPr>
          <w:rFonts w:ascii="Book Antiqua" w:hAnsi="Book Antiqua"/>
          <w:spacing w:val="-2"/>
        </w:rPr>
        <w:t>e</w:t>
      </w:r>
      <w:r w:rsidRPr="00E3232D">
        <w:rPr>
          <w:rFonts w:ascii="Book Antiqua" w:hAnsi="Book Antiqua"/>
        </w:rPr>
        <w:t>dit</w:t>
      </w:r>
      <w:r w:rsidRPr="00E3232D">
        <w:rPr>
          <w:rFonts w:ascii="Book Antiqua" w:hAnsi="Book Antiqua"/>
          <w:spacing w:val="1"/>
        </w:rPr>
        <w:t xml:space="preserve"> f</w:t>
      </w:r>
      <w:r w:rsidRPr="00E3232D">
        <w:rPr>
          <w:rFonts w:ascii="Book Antiqua" w:hAnsi="Book Antiqua"/>
          <w:spacing w:val="-1"/>
        </w:rPr>
        <w:t>ac</w:t>
      </w:r>
      <w:r w:rsidRPr="00E3232D">
        <w:rPr>
          <w:rFonts w:ascii="Book Antiqua" w:hAnsi="Book Antiqua"/>
        </w:rPr>
        <w:t>i</w:t>
      </w:r>
      <w:r w:rsidRPr="00E3232D">
        <w:rPr>
          <w:rFonts w:ascii="Book Antiqua" w:hAnsi="Book Antiqua"/>
          <w:spacing w:val="1"/>
        </w:rPr>
        <w:t>l</w:t>
      </w:r>
      <w:r w:rsidRPr="00E3232D">
        <w:rPr>
          <w:rFonts w:ascii="Book Antiqua" w:hAnsi="Book Antiqua"/>
        </w:rPr>
        <w:t>i</w:t>
      </w:r>
      <w:r w:rsidRPr="00E3232D">
        <w:rPr>
          <w:rFonts w:ascii="Book Antiqua" w:hAnsi="Book Antiqua"/>
          <w:spacing w:val="1"/>
        </w:rPr>
        <w:t>t</w:t>
      </w:r>
      <w:r w:rsidRPr="00E3232D">
        <w:rPr>
          <w:rFonts w:ascii="Book Antiqua" w:hAnsi="Book Antiqua"/>
        </w:rPr>
        <w:t>ies.</w:t>
      </w:r>
    </w:p>
    <w:tbl>
      <w:tblPr>
        <w:tblpPr w:leftFromText="180" w:rightFromText="180" w:vertAnchor="text" w:horzAnchor="margin" w:tblpY="241"/>
        <w:tblW w:w="4617" w:type="dxa"/>
        <w:tblLook w:val="04A0" w:firstRow="1" w:lastRow="0" w:firstColumn="1" w:lastColumn="0" w:noHBand="0" w:noVBand="1"/>
      </w:tblPr>
      <w:tblGrid>
        <w:gridCol w:w="1750"/>
        <w:gridCol w:w="1383"/>
        <w:gridCol w:w="1484"/>
      </w:tblGrid>
      <w:tr w:rsidR="00465AE3" w:rsidRPr="00D12E59" w14:paraId="553F3A1F" w14:textId="77777777" w:rsidTr="00465AE3">
        <w:trPr>
          <w:trHeight w:val="343"/>
        </w:trPr>
        <w:tc>
          <w:tcPr>
            <w:tcW w:w="1750" w:type="dxa"/>
            <w:tcBorders>
              <w:top w:val="nil"/>
              <w:left w:val="nil"/>
              <w:bottom w:val="nil"/>
              <w:right w:val="nil"/>
            </w:tcBorders>
            <w:shd w:val="clear" w:color="auto" w:fill="auto"/>
            <w:noWrap/>
            <w:vAlign w:val="center"/>
            <w:hideMark/>
          </w:tcPr>
          <w:p w14:paraId="3988D308" w14:textId="77777777" w:rsidR="00465AE3" w:rsidRPr="00D12E59" w:rsidRDefault="00465AE3" w:rsidP="00465AE3">
            <w:pPr>
              <w:rPr>
                <w:rFonts w:ascii="Book Antiqua" w:hAnsi="Book Antiqua"/>
                <w:b/>
                <w:bCs/>
                <w:color w:val="000000"/>
                <w:lang w:val="en-GB" w:eastAsia="en-GB"/>
              </w:rPr>
            </w:pPr>
            <w:r w:rsidRPr="00D12E59">
              <w:rPr>
                <w:rFonts w:ascii="Book Antiqua" w:hAnsi="Book Antiqua"/>
                <w:b/>
                <w:bCs/>
                <w:color w:val="000000"/>
                <w:lang w:eastAsia="en-GB"/>
              </w:rPr>
              <w:t>Table 2.</w:t>
            </w:r>
          </w:p>
        </w:tc>
        <w:tc>
          <w:tcPr>
            <w:tcW w:w="1383" w:type="dxa"/>
            <w:tcBorders>
              <w:top w:val="nil"/>
              <w:left w:val="nil"/>
              <w:bottom w:val="nil"/>
              <w:right w:val="nil"/>
            </w:tcBorders>
            <w:shd w:val="clear" w:color="auto" w:fill="auto"/>
            <w:noWrap/>
            <w:vAlign w:val="center"/>
            <w:hideMark/>
          </w:tcPr>
          <w:p w14:paraId="5114BB16" w14:textId="77777777" w:rsidR="00465AE3" w:rsidRPr="00D12E59" w:rsidRDefault="00465AE3" w:rsidP="00465AE3">
            <w:pPr>
              <w:rPr>
                <w:rFonts w:ascii="Book Antiqua" w:hAnsi="Book Antiqua"/>
                <w:b/>
                <w:bCs/>
                <w:color w:val="000000"/>
                <w:lang w:val="en-GB" w:eastAsia="en-GB"/>
              </w:rPr>
            </w:pPr>
            <w:r w:rsidRPr="00D12E59">
              <w:rPr>
                <w:rFonts w:ascii="Book Antiqua" w:hAnsi="Book Antiqua"/>
                <w:b/>
                <w:bCs/>
                <w:color w:val="000000"/>
                <w:lang w:val="en-GB" w:eastAsia="en-GB"/>
              </w:rPr>
              <w:t>Types of Institution</w:t>
            </w:r>
          </w:p>
        </w:tc>
        <w:tc>
          <w:tcPr>
            <w:tcW w:w="1484" w:type="dxa"/>
            <w:tcBorders>
              <w:top w:val="nil"/>
              <w:left w:val="nil"/>
              <w:bottom w:val="nil"/>
              <w:right w:val="nil"/>
            </w:tcBorders>
            <w:shd w:val="clear" w:color="auto" w:fill="auto"/>
            <w:noWrap/>
            <w:vAlign w:val="bottom"/>
            <w:hideMark/>
          </w:tcPr>
          <w:p w14:paraId="235A2B63" w14:textId="77777777" w:rsidR="00465AE3" w:rsidRPr="00D12E59" w:rsidRDefault="00465AE3" w:rsidP="00465AE3">
            <w:pPr>
              <w:rPr>
                <w:rFonts w:ascii="Book Antiqua" w:hAnsi="Book Antiqua"/>
                <w:color w:val="000000"/>
                <w:lang w:val="en-GB" w:eastAsia="en-GB"/>
              </w:rPr>
            </w:pPr>
          </w:p>
        </w:tc>
      </w:tr>
      <w:tr w:rsidR="00465AE3" w:rsidRPr="00D12E59" w14:paraId="1D1334FC" w14:textId="77777777" w:rsidTr="00465AE3">
        <w:trPr>
          <w:trHeight w:hRule="exact" w:val="358"/>
        </w:trPr>
        <w:tc>
          <w:tcPr>
            <w:tcW w:w="1750" w:type="dxa"/>
            <w:tcBorders>
              <w:top w:val="nil"/>
              <w:left w:val="nil"/>
              <w:bottom w:val="single" w:sz="4" w:space="0" w:color="auto"/>
              <w:right w:val="nil"/>
            </w:tcBorders>
            <w:shd w:val="clear" w:color="auto" w:fill="auto"/>
            <w:vAlign w:val="center"/>
            <w:hideMark/>
          </w:tcPr>
          <w:p w14:paraId="75A5AA33" w14:textId="77777777" w:rsidR="00465AE3" w:rsidRPr="00D12E59" w:rsidRDefault="00465AE3" w:rsidP="00465AE3">
            <w:pPr>
              <w:rPr>
                <w:rFonts w:ascii="Book Antiqua" w:hAnsi="Book Antiqua"/>
                <w:b/>
                <w:bCs/>
                <w:color w:val="000000"/>
                <w:lang w:val="en-GB" w:eastAsia="en-GB"/>
              </w:rPr>
            </w:pPr>
            <w:r w:rsidRPr="00D12E59">
              <w:rPr>
                <w:rFonts w:ascii="Book Antiqua" w:hAnsi="Book Antiqua"/>
                <w:b/>
                <w:bCs/>
                <w:color w:val="000000"/>
                <w:spacing w:val="1"/>
                <w:lang w:eastAsia="en-GB"/>
              </w:rPr>
              <w:t>Source of Support</w:t>
            </w:r>
          </w:p>
        </w:tc>
        <w:tc>
          <w:tcPr>
            <w:tcW w:w="1383" w:type="dxa"/>
            <w:tcBorders>
              <w:top w:val="nil"/>
              <w:left w:val="nil"/>
              <w:bottom w:val="single" w:sz="4" w:space="0" w:color="auto"/>
              <w:right w:val="nil"/>
            </w:tcBorders>
            <w:shd w:val="clear" w:color="auto" w:fill="auto"/>
            <w:vAlign w:val="center"/>
            <w:hideMark/>
          </w:tcPr>
          <w:p w14:paraId="6F7F58CA" w14:textId="77777777" w:rsidR="00465AE3" w:rsidRPr="00D12E59" w:rsidRDefault="00465AE3" w:rsidP="00465AE3">
            <w:pPr>
              <w:rPr>
                <w:rFonts w:ascii="Book Antiqua" w:hAnsi="Book Antiqua"/>
                <w:b/>
                <w:bCs/>
                <w:color w:val="000000"/>
                <w:lang w:val="en-GB" w:eastAsia="en-GB"/>
              </w:rPr>
            </w:pPr>
            <w:r w:rsidRPr="00D12E59">
              <w:rPr>
                <w:rFonts w:ascii="Book Antiqua" w:hAnsi="Book Antiqua"/>
                <w:b/>
                <w:bCs/>
                <w:color w:val="000000"/>
                <w:spacing w:val="-3"/>
                <w:lang w:eastAsia="en-GB"/>
              </w:rPr>
              <w:t>Frequency</w:t>
            </w:r>
          </w:p>
        </w:tc>
        <w:tc>
          <w:tcPr>
            <w:tcW w:w="1484" w:type="dxa"/>
            <w:tcBorders>
              <w:top w:val="nil"/>
              <w:left w:val="nil"/>
              <w:bottom w:val="single" w:sz="4" w:space="0" w:color="auto"/>
              <w:right w:val="nil"/>
            </w:tcBorders>
            <w:shd w:val="clear" w:color="auto" w:fill="auto"/>
            <w:vAlign w:val="center"/>
            <w:hideMark/>
          </w:tcPr>
          <w:p w14:paraId="037E3DBD" w14:textId="77777777" w:rsidR="00465AE3" w:rsidRPr="00D12E59" w:rsidRDefault="00465AE3" w:rsidP="00465AE3">
            <w:pPr>
              <w:rPr>
                <w:rFonts w:ascii="Book Antiqua" w:hAnsi="Book Antiqua"/>
                <w:b/>
                <w:bCs/>
                <w:color w:val="000000"/>
                <w:lang w:val="en-GB" w:eastAsia="en-GB"/>
              </w:rPr>
            </w:pPr>
            <w:r w:rsidRPr="00D12E59">
              <w:rPr>
                <w:rFonts w:ascii="Book Antiqua" w:hAnsi="Book Antiqua"/>
                <w:b/>
                <w:bCs/>
                <w:color w:val="000000"/>
                <w:lang w:eastAsia="en-GB"/>
              </w:rPr>
              <w:t>Percent (%)</w:t>
            </w:r>
          </w:p>
        </w:tc>
      </w:tr>
      <w:tr w:rsidR="00465AE3" w:rsidRPr="00D12E59" w14:paraId="57D67E0D" w14:textId="77777777" w:rsidTr="00465AE3">
        <w:trPr>
          <w:trHeight w:hRule="exact" w:val="343"/>
        </w:trPr>
        <w:tc>
          <w:tcPr>
            <w:tcW w:w="1750" w:type="dxa"/>
            <w:tcBorders>
              <w:top w:val="nil"/>
              <w:left w:val="nil"/>
              <w:bottom w:val="nil"/>
              <w:right w:val="nil"/>
            </w:tcBorders>
            <w:shd w:val="clear" w:color="auto" w:fill="auto"/>
            <w:vAlign w:val="center"/>
            <w:hideMark/>
          </w:tcPr>
          <w:p w14:paraId="04E4594E" w14:textId="77777777" w:rsidR="00465AE3" w:rsidRPr="00D12E59" w:rsidRDefault="00465AE3" w:rsidP="00465AE3">
            <w:pPr>
              <w:rPr>
                <w:rFonts w:ascii="Book Antiqua" w:hAnsi="Book Antiqua"/>
                <w:color w:val="000000"/>
                <w:lang w:val="en-GB" w:eastAsia="en-GB"/>
              </w:rPr>
            </w:pPr>
            <w:r w:rsidRPr="00D12E59">
              <w:rPr>
                <w:rFonts w:ascii="Book Antiqua" w:hAnsi="Book Antiqua"/>
                <w:color w:val="000000"/>
                <w:spacing w:val="-3"/>
                <w:lang w:eastAsia="en-GB"/>
              </w:rPr>
              <w:t>Loan from Bank</w:t>
            </w:r>
          </w:p>
        </w:tc>
        <w:tc>
          <w:tcPr>
            <w:tcW w:w="1383" w:type="dxa"/>
            <w:tcBorders>
              <w:top w:val="nil"/>
              <w:left w:val="nil"/>
              <w:bottom w:val="nil"/>
              <w:right w:val="nil"/>
            </w:tcBorders>
            <w:shd w:val="clear" w:color="auto" w:fill="auto"/>
            <w:vAlign w:val="center"/>
            <w:hideMark/>
          </w:tcPr>
          <w:p w14:paraId="4742A9D3" w14:textId="77777777" w:rsidR="00465AE3" w:rsidRPr="00D12E59" w:rsidRDefault="00465AE3" w:rsidP="00465AE3">
            <w:pPr>
              <w:rPr>
                <w:rFonts w:ascii="Book Antiqua" w:hAnsi="Book Antiqua"/>
                <w:color w:val="000000"/>
                <w:lang w:val="en-GB" w:eastAsia="en-GB"/>
              </w:rPr>
            </w:pPr>
            <w:r w:rsidRPr="00D12E59">
              <w:rPr>
                <w:rFonts w:ascii="Book Antiqua" w:hAnsi="Book Antiqua"/>
                <w:color w:val="000000"/>
                <w:lang w:eastAsia="en-GB"/>
              </w:rPr>
              <w:t xml:space="preserve">           11</w:t>
            </w:r>
          </w:p>
        </w:tc>
        <w:tc>
          <w:tcPr>
            <w:tcW w:w="1484" w:type="dxa"/>
            <w:tcBorders>
              <w:top w:val="nil"/>
              <w:left w:val="nil"/>
              <w:bottom w:val="nil"/>
              <w:right w:val="nil"/>
            </w:tcBorders>
            <w:shd w:val="clear" w:color="auto" w:fill="auto"/>
            <w:vAlign w:val="center"/>
            <w:hideMark/>
          </w:tcPr>
          <w:p w14:paraId="6379EF19" w14:textId="77777777" w:rsidR="00465AE3" w:rsidRPr="00D12E59" w:rsidRDefault="00465AE3" w:rsidP="00465AE3">
            <w:pPr>
              <w:rPr>
                <w:rFonts w:ascii="Book Antiqua" w:hAnsi="Book Antiqua"/>
                <w:color w:val="000000"/>
                <w:lang w:val="en-GB" w:eastAsia="en-GB"/>
              </w:rPr>
            </w:pPr>
            <w:r w:rsidRPr="00D12E59">
              <w:rPr>
                <w:rFonts w:ascii="Book Antiqua" w:hAnsi="Book Antiqua"/>
                <w:color w:val="000000"/>
                <w:lang w:eastAsia="en-GB"/>
              </w:rPr>
              <w:t>3.5</w:t>
            </w:r>
          </w:p>
        </w:tc>
      </w:tr>
      <w:tr w:rsidR="00465AE3" w:rsidRPr="00D12E59" w14:paraId="7359F5D0" w14:textId="77777777" w:rsidTr="00465AE3">
        <w:trPr>
          <w:trHeight w:hRule="exact" w:val="326"/>
        </w:trPr>
        <w:tc>
          <w:tcPr>
            <w:tcW w:w="1750" w:type="dxa"/>
            <w:tcBorders>
              <w:top w:val="nil"/>
              <w:left w:val="nil"/>
              <w:bottom w:val="nil"/>
              <w:right w:val="nil"/>
            </w:tcBorders>
            <w:shd w:val="clear" w:color="auto" w:fill="auto"/>
            <w:vAlign w:val="center"/>
            <w:hideMark/>
          </w:tcPr>
          <w:p w14:paraId="5AAEAF1C" w14:textId="77777777" w:rsidR="00465AE3" w:rsidRPr="00D12E59" w:rsidRDefault="00465AE3" w:rsidP="00465AE3">
            <w:pPr>
              <w:rPr>
                <w:rFonts w:ascii="Book Antiqua" w:hAnsi="Book Antiqua"/>
                <w:color w:val="000000"/>
                <w:lang w:val="en-GB" w:eastAsia="en-GB"/>
              </w:rPr>
            </w:pPr>
          </w:p>
        </w:tc>
        <w:tc>
          <w:tcPr>
            <w:tcW w:w="1383" w:type="dxa"/>
            <w:tcBorders>
              <w:top w:val="nil"/>
              <w:left w:val="nil"/>
              <w:bottom w:val="nil"/>
              <w:right w:val="nil"/>
            </w:tcBorders>
            <w:shd w:val="clear" w:color="auto" w:fill="auto"/>
            <w:vAlign w:val="center"/>
            <w:hideMark/>
          </w:tcPr>
          <w:p w14:paraId="7A809EB5" w14:textId="77777777" w:rsidR="00465AE3" w:rsidRPr="00D12E59" w:rsidRDefault="00465AE3" w:rsidP="00465AE3">
            <w:pPr>
              <w:rPr>
                <w:rFonts w:ascii="Book Antiqua" w:hAnsi="Book Antiqua"/>
                <w:color w:val="000000"/>
                <w:lang w:val="en-GB" w:eastAsia="en-GB"/>
              </w:rPr>
            </w:pPr>
          </w:p>
        </w:tc>
        <w:tc>
          <w:tcPr>
            <w:tcW w:w="1484" w:type="dxa"/>
            <w:tcBorders>
              <w:top w:val="nil"/>
              <w:left w:val="nil"/>
              <w:bottom w:val="nil"/>
              <w:right w:val="nil"/>
            </w:tcBorders>
            <w:shd w:val="clear" w:color="auto" w:fill="auto"/>
            <w:vAlign w:val="center"/>
            <w:hideMark/>
          </w:tcPr>
          <w:p w14:paraId="33558848" w14:textId="77777777" w:rsidR="00465AE3" w:rsidRPr="00D12E59" w:rsidRDefault="00465AE3" w:rsidP="00465AE3">
            <w:pPr>
              <w:rPr>
                <w:rFonts w:ascii="Book Antiqua" w:hAnsi="Book Antiqua"/>
                <w:color w:val="000000"/>
                <w:lang w:val="en-GB" w:eastAsia="en-GB"/>
              </w:rPr>
            </w:pPr>
          </w:p>
        </w:tc>
      </w:tr>
      <w:tr w:rsidR="00465AE3" w:rsidRPr="00D12E59" w14:paraId="219F8171" w14:textId="77777777" w:rsidTr="00465AE3">
        <w:trPr>
          <w:trHeight w:val="684"/>
        </w:trPr>
        <w:tc>
          <w:tcPr>
            <w:tcW w:w="1750" w:type="dxa"/>
            <w:tcBorders>
              <w:top w:val="nil"/>
              <w:left w:val="nil"/>
              <w:bottom w:val="nil"/>
              <w:right w:val="nil"/>
            </w:tcBorders>
            <w:shd w:val="clear" w:color="auto" w:fill="auto"/>
            <w:vAlign w:val="center"/>
            <w:hideMark/>
          </w:tcPr>
          <w:p w14:paraId="5D382D96" w14:textId="77777777" w:rsidR="00465AE3" w:rsidRPr="00D12E59" w:rsidRDefault="00465AE3" w:rsidP="00465AE3">
            <w:pPr>
              <w:rPr>
                <w:rFonts w:ascii="Book Antiqua" w:hAnsi="Book Antiqua"/>
                <w:color w:val="000000"/>
                <w:lang w:val="en-GB" w:eastAsia="en-GB"/>
              </w:rPr>
            </w:pPr>
            <w:r w:rsidRPr="00D12E59">
              <w:rPr>
                <w:rFonts w:ascii="Book Antiqua" w:hAnsi="Book Antiqua"/>
                <w:color w:val="000000"/>
                <w:lang w:eastAsia="en-GB"/>
              </w:rPr>
              <w:t>Micro Credit Schemes</w:t>
            </w:r>
          </w:p>
        </w:tc>
        <w:tc>
          <w:tcPr>
            <w:tcW w:w="1383" w:type="dxa"/>
            <w:tcBorders>
              <w:top w:val="nil"/>
              <w:left w:val="nil"/>
              <w:bottom w:val="nil"/>
              <w:right w:val="nil"/>
            </w:tcBorders>
            <w:shd w:val="clear" w:color="auto" w:fill="auto"/>
            <w:vAlign w:val="center"/>
            <w:hideMark/>
          </w:tcPr>
          <w:p w14:paraId="4F39CB9A" w14:textId="77777777" w:rsidR="00465AE3" w:rsidRPr="00D12E59" w:rsidRDefault="00465AE3" w:rsidP="00465AE3">
            <w:pPr>
              <w:ind w:firstLineChars="300" w:firstLine="660"/>
              <w:rPr>
                <w:rFonts w:ascii="Book Antiqua" w:hAnsi="Book Antiqua"/>
                <w:color w:val="000000"/>
                <w:lang w:val="en-GB" w:eastAsia="en-GB"/>
              </w:rPr>
            </w:pPr>
            <w:r w:rsidRPr="00D12E59">
              <w:rPr>
                <w:rFonts w:ascii="Book Antiqua" w:hAnsi="Book Antiqua"/>
                <w:color w:val="000000"/>
                <w:lang w:eastAsia="en-GB"/>
              </w:rPr>
              <w:t>304</w:t>
            </w:r>
          </w:p>
        </w:tc>
        <w:tc>
          <w:tcPr>
            <w:tcW w:w="1484" w:type="dxa"/>
            <w:tcBorders>
              <w:top w:val="nil"/>
              <w:left w:val="nil"/>
              <w:bottom w:val="nil"/>
              <w:right w:val="nil"/>
            </w:tcBorders>
            <w:shd w:val="clear" w:color="auto" w:fill="auto"/>
            <w:vAlign w:val="center"/>
            <w:hideMark/>
          </w:tcPr>
          <w:p w14:paraId="7744B34D" w14:textId="77777777" w:rsidR="00465AE3" w:rsidRPr="00D12E59" w:rsidRDefault="00465AE3" w:rsidP="00465AE3">
            <w:pPr>
              <w:rPr>
                <w:rFonts w:ascii="Book Antiqua" w:hAnsi="Book Antiqua"/>
                <w:color w:val="000000"/>
                <w:lang w:val="en-GB" w:eastAsia="en-GB"/>
              </w:rPr>
            </w:pPr>
            <w:r w:rsidRPr="00D12E59">
              <w:rPr>
                <w:rFonts w:ascii="Book Antiqua" w:hAnsi="Book Antiqua"/>
                <w:color w:val="000000"/>
                <w:lang w:eastAsia="en-GB"/>
              </w:rPr>
              <w:t>96.5</w:t>
            </w:r>
          </w:p>
        </w:tc>
      </w:tr>
      <w:tr w:rsidR="00465AE3" w:rsidRPr="00D12E59" w14:paraId="4E7E9426" w14:textId="77777777" w:rsidTr="00465AE3">
        <w:trPr>
          <w:trHeight w:hRule="exact" w:val="343"/>
        </w:trPr>
        <w:tc>
          <w:tcPr>
            <w:tcW w:w="1750" w:type="dxa"/>
            <w:tcBorders>
              <w:top w:val="nil"/>
              <w:left w:val="nil"/>
              <w:bottom w:val="single" w:sz="4" w:space="0" w:color="auto"/>
              <w:right w:val="nil"/>
            </w:tcBorders>
            <w:shd w:val="clear" w:color="auto" w:fill="auto"/>
            <w:vAlign w:val="center"/>
            <w:hideMark/>
          </w:tcPr>
          <w:p w14:paraId="7F359840" w14:textId="77777777" w:rsidR="00465AE3" w:rsidRPr="00D12E59" w:rsidRDefault="00465AE3" w:rsidP="00465AE3">
            <w:pPr>
              <w:rPr>
                <w:rFonts w:ascii="Book Antiqua" w:hAnsi="Book Antiqua"/>
                <w:b/>
                <w:bCs/>
                <w:color w:val="000000"/>
                <w:lang w:val="en-GB" w:eastAsia="en-GB"/>
              </w:rPr>
            </w:pPr>
            <w:r w:rsidRPr="00D12E59">
              <w:rPr>
                <w:rFonts w:ascii="Book Antiqua" w:hAnsi="Book Antiqua"/>
                <w:b/>
                <w:bCs/>
                <w:color w:val="000000"/>
                <w:lang w:eastAsia="en-GB"/>
              </w:rPr>
              <w:t>Total</w:t>
            </w:r>
          </w:p>
        </w:tc>
        <w:tc>
          <w:tcPr>
            <w:tcW w:w="1383" w:type="dxa"/>
            <w:tcBorders>
              <w:top w:val="nil"/>
              <w:left w:val="nil"/>
              <w:bottom w:val="single" w:sz="4" w:space="0" w:color="auto"/>
              <w:right w:val="nil"/>
            </w:tcBorders>
            <w:shd w:val="clear" w:color="auto" w:fill="auto"/>
            <w:vAlign w:val="center"/>
            <w:hideMark/>
          </w:tcPr>
          <w:p w14:paraId="461EC50A" w14:textId="77777777" w:rsidR="00465AE3" w:rsidRPr="00D12E59" w:rsidRDefault="00465AE3" w:rsidP="00465AE3">
            <w:pPr>
              <w:ind w:firstLineChars="300" w:firstLine="663"/>
              <w:rPr>
                <w:rFonts w:ascii="Book Antiqua" w:hAnsi="Book Antiqua"/>
                <w:b/>
                <w:bCs/>
                <w:color w:val="000000"/>
                <w:lang w:val="en-GB" w:eastAsia="en-GB"/>
              </w:rPr>
            </w:pPr>
            <w:r w:rsidRPr="00D12E59">
              <w:rPr>
                <w:rFonts w:ascii="Book Antiqua" w:hAnsi="Book Antiqua"/>
                <w:b/>
                <w:bCs/>
                <w:color w:val="000000"/>
                <w:lang w:eastAsia="en-GB"/>
              </w:rPr>
              <w:t>315155</w:t>
            </w:r>
          </w:p>
        </w:tc>
        <w:tc>
          <w:tcPr>
            <w:tcW w:w="1484" w:type="dxa"/>
            <w:tcBorders>
              <w:top w:val="nil"/>
              <w:left w:val="nil"/>
              <w:bottom w:val="single" w:sz="4" w:space="0" w:color="auto"/>
              <w:right w:val="nil"/>
            </w:tcBorders>
            <w:shd w:val="clear" w:color="auto" w:fill="auto"/>
            <w:vAlign w:val="center"/>
            <w:hideMark/>
          </w:tcPr>
          <w:p w14:paraId="2579D8CA" w14:textId="77777777" w:rsidR="00465AE3" w:rsidRPr="00D12E59" w:rsidRDefault="00465AE3" w:rsidP="00465AE3">
            <w:pPr>
              <w:rPr>
                <w:rFonts w:ascii="Book Antiqua" w:hAnsi="Book Antiqua"/>
                <w:b/>
                <w:bCs/>
                <w:color w:val="000000"/>
                <w:lang w:val="en-GB" w:eastAsia="en-GB"/>
              </w:rPr>
            </w:pPr>
            <w:r w:rsidRPr="00D12E59">
              <w:rPr>
                <w:rFonts w:ascii="Book Antiqua" w:hAnsi="Book Antiqua"/>
                <w:b/>
                <w:bCs/>
                <w:color w:val="000000"/>
                <w:lang w:eastAsia="en-GB"/>
              </w:rPr>
              <w:t>100</w:t>
            </w:r>
          </w:p>
        </w:tc>
      </w:tr>
    </w:tbl>
    <w:p w14:paraId="69065CAE" w14:textId="77777777" w:rsidR="007626A4" w:rsidRDefault="007626A4" w:rsidP="00465AE3">
      <w:pPr>
        <w:widowControl w:val="0"/>
        <w:autoSpaceDE w:val="0"/>
        <w:autoSpaceDN w:val="0"/>
        <w:adjustRightInd w:val="0"/>
        <w:spacing w:after="0"/>
        <w:ind w:right="75"/>
        <w:rPr>
          <w:rFonts w:ascii="Book Antiqua" w:hAnsi="Book Antiqua"/>
        </w:rPr>
      </w:pPr>
    </w:p>
    <w:p w14:paraId="341E681D" w14:textId="77777777" w:rsidR="009A281E" w:rsidRDefault="00367B46" w:rsidP="00465AE3">
      <w:pPr>
        <w:widowControl w:val="0"/>
        <w:autoSpaceDE w:val="0"/>
        <w:autoSpaceDN w:val="0"/>
        <w:adjustRightInd w:val="0"/>
        <w:spacing w:after="0"/>
        <w:ind w:right="75"/>
        <w:jc w:val="both"/>
        <w:rPr>
          <w:rFonts w:ascii="Book Antiqua" w:hAnsi="Book Antiqua"/>
        </w:rPr>
      </w:pPr>
      <w:r w:rsidRPr="00E3232D">
        <w:rPr>
          <w:rFonts w:ascii="Book Antiqua" w:hAnsi="Book Antiqua"/>
        </w:rPr>
        <w:t xml:space="preserve"> </w:t>
      </w:r>
      <w:r w:rsidR="001C5D75" w:rsidRPr="00E3232D">
        <w:rPr>
          <w:rFonts w:ascii="Book Antiqua" w:hAnsi="Book Antiqua"/>
        </w:rPr>
        <w:t>The</w:t>
      </w:r>
      <w:r w:rsidR="001C5D75" w:rsidRPr="00E3232D">
        <w:rPr>
          <w:rFonts w:ascii="Book Antiqua" w:hAnsi="Book Antiqua"/>
          <w:spacing w:val="47"/>
        </w:rPr>
        <w:t xml:space="preserve"> </w:t>
      </w:r>
      <w:r w:rsidR="001C5D75" w:rsidRPr="00E3232D">
        <w:rPr>
          <w:rFonts w:ascii="Book Antiqua" w:hAnsi="Book Antiqua"/>
        </w:rPr>
        <w:t>t</w:t>
      </w:r>
      <w:r w:rsidR="001C5D75" w:rsidRPr="00E3232D">
        <w:rPr>
          <w:rFonts w:ascii="Book Antiqua" w:hAnsi="Book Antiqua"/>
          <w:spacing w:val="-1"/>
        </w:rPr>
        <w:t>a</w:t>
      </w:r>
      <w:r w:rsidR="001C5D75" w:rsidRPr="00E3232D">
        <w:rPr>
          <w:rFonts w:ascii="Book Antiqua" w:hAnsi="Book Antiqua"/>
        </w:rPr>
        <w:t>ble</w:t>
      </w:r>
      <w:r w:rsidR="001C5D75" w:rsidRPr="00E3232D">
        <w:rPr>
          <w:rFonts w:ascii="Book Antiqua" w:hAnsi="Book Antiqua"/>
          <w:spacing w:val="47"/>
        </w:rPr>
        <w:t xml:space="preserve"> </w:t>
      </w:r>
      <w:r w:rsidR="001C5D75" w:rsidRPr="00E3232D">
        <w:rPr>
          <w:rFonts w:ascii="Book Antiqua" w:hAnsi="Book Antiqua"/>
        </w:rPr>
        <w:t>shows</w:t>
      </w:r>
      <w:r w:rsidR="001C5D75" w:rsidRPr="00E3232D">
        <w:rPr>
          <w:rFonts w:ascii="Book Antiqua" w:hAnsi="Book Antiqua"/>
          <w:spacing w:val="49"/>
        </w:rPr>
        <w:t xml:space="preserve"> </w:t>
      </w:r>
      <w:r w:rsidR="001C5D75" w:rsidRPr="00E3232D">
        <w:rPr>
          <w:rFonts w:ascii="Book Antiqua" w:hAnsi="Book Antiqua"/>
        </w:rPr>
        <w:t>that</w:t>
      </w:r>
      <w:r w:rsidR="001C5D75" w:rsidRPr="00E3232D">
        <w:rPr>
          <w:rFonts w:ascii="Book Antiqua" w:hAnsi="Book Antiqua"/>
          <w:spacing w:val="48"/>
        </w:rPr>
        <w:t xml:space="preserve"> </w:t>
      </w:r>
      <w:r w:rsidR="001C5D75" w:rsidRPr="00E3232D">
        <w:rPr>
          <w:rFonts w:ascii="Book Antiqua" w:hAnsi="Book Antiqua"/>
          <w:spacing w:val="2"/>
        </w:rPr>
        <w:t>1</w:t>
      </w:r>
      <w:r w:rsidR="001C5D75" w:rsidRPr="00E3232D">
        <w:rPr>
          <w:rFonts w:ascii="Book Antiqua" w:hAnsi="Book Antiqua"/>
        </w:rPr>
        <w:t>1</w:t>
      </w:r>
      <w:r w:rsidR="001C5D75" w:rsidRPr="00E3232D">
        <w:rPr>
          <w:rFonts w:ascii="Book Antiqua" w:hAnsi="Book Antiqua"/>
          <w:spacing w:val="-1"/>
        </w:rPr>
        <w:t>(</w:t>
      </w:r>
      <w:r w:rsidR="001C5D75" w:rsidRPr="00E3232D">
        <w:rPr>
          <w:rFonts w:ascii="Book Antiqua" w:hAnsi="Book Antiqua"/>
        </w:rPr>
        <w:t>3.5</w:t>
      </w:r>
      <w:r w:rsidR="001C5D75" w:rsidRPr="00E3232D">
        <w:rPr>
          <w:rFonts w:ascii="Book Antiqua" w:hAnsi="Book Antiqua"/>
          <w:spacing w:val="-1"/>
        </w:rPr>
        <w:t>%</w:t>
      </w:r>
      <w:r w:rsidR="001C5D75" w:rsidRPr="00E3232D">
        <w:rPr>
          <w:rFonts w:ascii="Book Antiqua" w:hAnsi="Book Antiqua"/>
        </w:rPr>
        <w:t>)</w:t>
      </w:r>
      <w:r w:rsidR="001C5D75" w:rsidRPr="00E3232D">
        <w:rPr>
          <w:rFonts w:ascii="Book Antiqua" w:hAnsi="Book Antiqua"/>
          <w:spacing w:val="47"/>
        </w:rPr>
        <w:t xml:space="preserve"> </w:t>
      </w:r>
      <w:r w:rsidR="001C5D75" w:rsidRPr="00E3232D">
        <w:rPr>
          <w:rFonts w:ascii="Book Antiqua" w:hAnsi="Book Antiqua"/>
        </w:rPr>
        <w:t>h</w:t>
      </w:r>
      <w:r w:rsidR="001C5D75" w:rsidRPr="00E3232D">
        <w:rPr>
          <w:rFonts w:ascii="Book Antiqua" w:hAnsi="Book Antiqua"/>
          <w:spacing w:val="-1"/>
        </w:rPr>
        <w:t>a</w:t>
      </w:r>
      <w:r w:rsidR="001C5D75" w:rsidRPr="00E3232D">
        <w:rPr>
          <w:rFonts w:ascii="Book Antiqua" w:hAnsi="Book Antiqua"/>
        </w:rPr>
        <w:t>d</w:t>
      </w:r>
      <w:r w:rsidR="001C5D75" w:rsidRPr="00E3232D">
        <w:rPr>
          <w:rFonts w:ascii="Book Antiqua" w:hAnsi="Book Antiqua"/>
          <w:spacing w:val="51"/>
        </w:rPr>
        <w:t xml:space="preserve"> </w:t>
      </w:r>
      <w:r w:rsidR="001C5D75" w:rsidRPr="00E3232D">
        <w:rPr>
          <w:rFonts w:ascii="Book Antiqua" w:hAnsi="Book Antiqua"/>
          <w:spacing w:val="-1"/>
        </w:rPr>
        <w:t>a</w:t>
      </w:r>
      <w:r w:rsidR="001C5D75" w:rsidRPr="00E3232D">
        <w:rPr>
          <w:rFonts w:ascii="Book Antiqua" w:hAnsi="Book Antiqua"/>
          <w:spacing w:val="1"/>
        </w:rPr>
        <w:t>c</w:t>
      </w:r>
      <w:r w:rsidR="001C5D75" w:rsidRPr="00E3232D">
        <w:rPr>
          <w:rFonts w:ascii="Book Antiqua" w:hAnsi="Book Antiqua"/>
          <w:spacing w:val="-1"/>
        </w:rPr>
        <w:t>ce</w:t>
      </w:r>
      <w:r w:rsidR="001C5D75" w:rsidRPr="00E3232D">
        <w:rPr>
          <w:rFonts w:ascii="Book Antiqua" w:hAnsi="Book Antiqua"/>
        </w:rPr>
        <w:t>ss</w:t>
      </w:r>
      <w:r w:rsidR="001C5D75" w:rsidRPr="00E3232D">
        <w:rPr>
          <w:rFonts w:ascii="Book Antiqua" w:hAnsi="Book Antiqua"/>
          <w:spacing w:val="48"/>
        </w:rPr>
        <w:t xml:space="preserve"> </w:t>
      </w:r>
      <w:r w:rsidR="001C5D75" w:rsidRPr="00E3232D">
        <w:rPr>
          <w:rFonts w:ascii="Book Antiqua" w:hAnsi="Book Antiqua"/>
        </w:rPr>
        <w:t>to</w:t>
      </w:r>
      <w:r w:rsidR="001C5D75" w:rsidRPr="00E3232D">
        <w:rPr>
          <w:rFonts w:ascii="Book Antiqua" w:hAnsi="Book Antiqua"/>
          <w:spacing w:val="48"/>
        </w:rPr>
        <w:t xml:space="preserve"> </w:t>
      </w:r>
      <w:r w:rsidR="001C5D75" w:rsidRPr="00E3232D">
        <w:rPr>
          <w:rFonts w:ascii="Book Antiqua" w:hAnsi="Book Antiqua"/>
          <w:spacing w:val="3"/>
        </w:rPr>
        <w:t>l</w:t>
      </w:r>
      <w:r w:rsidR="001C5D75" w:rsidRPr="00E3232D">
        <w:rPr>
          <w:rFonts w:ascii="Book Antiqua" w:hAnsi="Book Antiqua"/>
        </w:rPr>
        <w:t>o</w:t>
      </w:r>
      <w:r w:rsidR="001C5D75" w:rsidRPr="00E3232D">
        <w:rPr>
          <w:rFonts w:ascii="Book Antiqua" w:hAnsi="Book Antiqua"/>
          <w:spacing w:val="-1"/>
        </w:rPr>
        <w:t>a</w:t>
      </w:r>
      <w:r w:rsidR="001C5D75" w:rsidRPr="00E3232D">
        <w:rPr>
          <w:rFonts w:ascii="Book Antiqua" w:hAnsi="Book Antiqua"/>
        </w:rPr>
        <w:t>ns</w:t>
      </w:r>
      <w:r w:rsidR="001C5D75" w:rsidRPr="00E3232D">
        <w:rPr>
          <w:rFonts w:ascii="Book Antiqua" w:hAnsi="Book Antiqua"/>
          <w:spacing w:val="48"/>
        </w:rPr>
        <w:t xml:space="preserve"> </w:t>
      </w:r>
      <w:r w:rsidR="001C5D75" w:rsidRPr="00E3232D">
        <w:rPr>
          <w:rFonts w:ascii="Book Antiqua" w:hAnsi="Book Antiqua"/>
        </w:rPr>
        <w:t>f</w:t>
      </w:r>
      <w:r w:rsidR="001C5D75" w:rsidRPr="00E3232D">
        <w:rPr>
          <w:rFonts w:ascii="Book Antiqua" w:hAnsi="Book Antiqua"/>
          <w:spacing w:val="-1"/>
        </w:rPr>
        <w:t>r</w:t>
      </w:r>
      <w:r w:rsidR="001C5D75" w:rsidRPr="00E3232D">
        <w:rPr>
          <w:rFonts w:ascii="Book Antiqua" w:hAnsi="Book Antiqua"/>
        </w:rPr>
        <w:t>om</w:t>
      </w:r>
      <w:r w:rsidR="001C5D75" w:rsidRPr="00E3232D">
        <w:rPr>
          <w:rFonts w:ascii="Book Antiqua" w:hAnsi="Book Antiqua"/>
          <w:spacing w:val="50"/>
        </w:rPr>
        <w:t xml:space="preserve"> </w:t>
      </w:r>
      <w:r w:rsidR="001C5D75" w:rsidRPr="00E3232D">
        <w:rPr>
          <w:rFonts w:ascii="Book Antiqua" w:hAnsi="Book Antiqua"/>
        </w:rPr>
        <w:t>b</w:t>
      </w:r>
      <w:r w:rsidR="001C5D75" w:rsidRPr="00E3232D">
        <w:rPr>
          <w:rFonts w:ascii="Book Antiqua" w:hAnsi="Book Antiqua"/>
          <w:spacing w:val="-1"/>
        </w:rPr>
        <w:t>a</w:t>
      </w:r>
      <w:r w:rsidR="001C5D75" w:rsidRPr="00E3232D">
        <w:rPr>
          <w:rFonts w:ascii="Book Antiqua" w:hAnsi="Book Antiqua"/>
        </w:rPr>
        <w:t>nks</w:t>
      </w:r>
      <w:r w:rsidR="001C5D75" w:rsidRPr="00E3232D">
        <w:rPr>
          <w:rFonts w:ascii="Book Antiqua" w:hAnsi="Book Antiqua"/>
          <w:spacing w:val="51"/>
        </w:rPr>
        <w:t xml:space="preserve"> </w:t>
      </w:r>
      <w:r w:rsidR="001C5D75" w:rsidRPr="00E3232D">
        <w:rPr>
          <w:rFonts w:ascii="Book Antiqua" w:hAnsi="Book Antiqua"/>
        </w:rPr>
        <w:t>which</w:t>
      </w:r>
      <w:r w:rsidR="001C5D75" w:rsidRPr="00E3232D">
        <w:rPr>
          <w:rFonts w:ascii="Book Antiqua" w:hAnsi="Book Antiqua"/>
          <w:spacing w:val="50"/>
        </w:rPr>
        <w:t xml:space="preserve"> </w:t>
      </w:r>
      <w:r w:rsidR="001C5D75" w:rsidRPr="00E3232D">
        <w:rPr>
          <w:rFonts w:ascii="Book Antiqua" w:hAnsi="Book Antiqua"/>
          <w:spacing w:val="-1"/>
        </w:rPr>
        <w:t>a</w:t>
      </w:r>
      <w:r w:rsidR="001C5D75" w:rsidRPr="00E3232D">
        <w:rPr>
          <w:rFonts w:ascii="Book Antiqua" w:hAnsi="Book Antiqua"/>
        </w:rPr>
        <w:t>pproa</w:t>
      </w:r>
      <w:r w:rsidR="001C5D75" w:rsidRPr="00E3232D">
        <w:rPr>
          <w:rFonts w:ascii="Book Antiqua" w:hAnsi="Book Antiqua"/>
          <w:spacing w:val="-1"/>
        </w:rPr>
        <w:t>c</w:t>
      </w:r>
      <w:r w:rsidR="001C5D75" w:rsidRPr="00E3232D">
        <w:rPr>
          <w:rFonts w:ascii="Book Antiqua" w:hAnsi="Book Antiqua"/>
          <w:spacing w:val="1"/>
        </w:rPr>
        <w:t>h</w:t>
      </w:r>
      <w:r w:rsidR="001C5D75" w:rsidRPr="00E3232D">
        <w:rPr>
          <w:rFonts w:ascii="Book Antiqua" w:hAnsi="Book Antiqua"/>
          <w:spacing w:val="-1"/>
        </w:rPr>
        <w:t xml:space="preserve">ed </w:t>
      </w:r>
      <w:r w:rsidR="001C5D75" w:rsidRPr="00E3232D">
        <w:rPr>
          <w:rFonts w:ascii="Book Antiqua" w:hAnsi="Book Antiqua"/>
        </w:rPr>
        <w:t>them.</w:t>
      </w:r>
      <w:r w:rsidR="001C5D75" w:rsidRPr="00E3232D">
        <w:rPr>
          <w:rFonts w:ascii="Book Antiqua" w:hAnsi="Book Antiqua"/>
          <w:spacing w:val="2"/>
        </w:rPr>
        <w:t xml:space="preserve"> </w:t>
      </w:r>
      <w:r w:rsidR="001C5D75" w:rsidRPr="00E3232D">
        <w:rPr>
          <w:rFonts w:ascii="Book Antiqua" w:hAnsi="Book Antiqua"/>
        </w:rPr>
        <w:t>Anoth</w:t>
      </w:r>
      <w:r w:rsidR="001C5D75" w:rsidRPr="00E3232D">
        <w:rPr>
          <w:rFonts w:ascii="Book Antiqua" w:hAnsi="Book Antiqua"/>
          <w:spacing w:val="-1"/>
        </w:rPr>
        <w:t>e</w:t>
      </w:r>
      <w:r w:rsidR="001C5D75" w:rsidRPr="00E3232D">
        <w:rPr>
          <w:rFonts w:ascii="Book Antiqua" w:hAnsi="Book Antiqua"/>
        </w:rPr>
        <w:t>r</w:t>
      </w:r>
      <w:r w:rsidR="001C5D75" w:rsidRPr="00E3232D">
        <w:rPr>
          <w:rFonts w:ascii="Book Antiqua" w:hAnsi="Book Antiqua"/>
          <w:spacing w:val="2"/>
        </w:rPr>
        <w:t xml:space="preserve"> </w:t>
      </w:r>
      <w:r w:rsidR="001C5D75" w:rsidRPr="00E3232D">
        <w:rPr>
          <w:rFonts w:ascii="Book Antiqua" w:hAnsi="Book Antiqua"/>
        </w:rPr>
        <w:t>majo</w:t>
      </w:r>
      <w:r w:rsidR="001C5D75" w:rsidRPr="00E3232D">
        <w:rPr>
          <w:rFonts w:ascii="Book Antiqua" w:hAnsi="Book Antiqua"/>
          <w:spacing w:val="-1"/>
        </w:rPr>
        <w:t>r</w:t>
      </w:r>
      <w:r w:rsidR="001C5D75" w:rsidRPr="00E3232D">
        <w:rPr>
          <w:rFonts w:ascii="Book Antiqua" w:hAnsi="Book Antiqua"/>
        </w:rPr>
        <w:t>i</w:t>
      </w:r>
      <w:r w:rsidR="001C5D75" w:rsidRPr="00E3232D">
        <w:rPr>
          <w:rFonts w:ascii="Book Antiqua" w:hAnsi="Book Antiqua"/>
          <w:spacing w:val="6"/>
        </w:rPr>
        <w:t>t</w:t>
      </w:r>
      <w:r w:rsidR="001C5D75" w:rsidRPr="00E3232D">
        <w:rPr>
          <w:rFonts w:ascii="Book Antiqua" w:hAnsi="Book Antiqua"/>
        </w:rPr>
        <w:t>y 304</w:t>
      </w:r>
      <w:r w:rsidR="001C5D75" w:rsidRPr="00E3232D">
        <w:rPr>
          <w:rFonts w:ascii="Book Antiqua" w:hAnsi="Book Antiqua"/>
          <w:spacing w:val="2"/>
        </w:rPr>
        <w:t xml:space="preserve"> </w:t>
      </w:r>
      <w:r w:rsidR="001C5D75" w:rsidRPr="00E3232D">
        <w:rPr>
          <w:rFonts w:ascii="Book Antiqua" w:hAnsi="Book Antiqua"/>
        </w:rPr>
        <w:t>(96.</w:t>
      </w:r>
      <w:r w:rsidR="001C5D75" w:rsidRPr="00E3232D">
        <w:rPr>
          <w:rFonts w:ascii="Book Antiqua" w:hAnsi="Book Antiqua"/>
          <w:spacing w:val="-1"/>
        </w:rPr>
        <w:t>5%</w:t>
      </w:r>
      <w:r w:rsidR="001C5D75" w:rsidRPr="00E3232D">
        <w:rPr>
          <w:rFonts w:ascii="Book Antiqua" w:hAnsi="Book Antiqua"/>
        </w:rPr>
        <w:t>)</w:t>
      </w:r>
      <w:r w:rsidR="001C5D75" w:rsidRPr="00E3232D">
        <w:rPr>
          <w:rFonts w:ascii="Book Antiqua" w:hAnsi="Book Antiqua"/>
          <w:spacing w:val="4"/>
        </w:rPr>
        <w:t xml:space="preserve"> </w:t>
      </w:r>
      <w:r w:rsidR="001C5D75" w:rsidRPr="00E3232D">
        <w:rPr>
          <w:rFonts w:ascii="Book Antiqua" w:hAnsi="Book Antiqua"/>
          <w:spacing w:val="2"/>
        </w:rPr>
        <w:t>h</w:t>
      </w:r>
      <w:r w:rsidR="001C5D75" w:rsidRPr="00E3232D">
        <w:rPr>
          <w:rFonts w:ascii="Book Antiqua" w:hAnsi="Book Antiqua"/>
          <w:spacing w:val="-1"/>
        </w:rPr>
        <w:t>a</w:t>
      </w:r>
      <w:r w:rsidR="001C5D75" w:rsidRPr="00E3232D">
        <w:rPr>
          <w:rFonts w:ascii="Book Antiqua" w:hAnsi="Book Antiqua"/>
        </w:rPr>
        <w:t>d</w:t>
      </w:r>
      <w:r w:rsidR="001C5D75" w:rsidRPr="00E3232D">
        <w:rPr>
          <w:rFonts w:ascii="Book Antiqua" w:hAnsi="Book Antiqua"/>
          <w:spacing w:val="2"/>
        </w:rPr>
        <w:t xml:space="preserve"> </w:t>
      </w:r>
      <w:r w:rsidR="001C5D75" w:rsidRPr="00E3232D">
        <w:rPr>
          <w:rFonts w:ascii="Book Antiqua" w:hAnsi="Book Antiqua"/>
        </w:rPr>
        <w:t>m</w:t>
      </w:r>
      <w:r w:rsidR="001C5D75" w:rsidRPr="00E3232D">
        <w:rPr>
          <w:rFonts w:ascii="Book Antiqua" w:hAnsi="Book Antiqua"/>
          <w:spacing w:val="1"/>
        </w:rPr>
        <w:t>i</w:t>
      </w:r>
      <w:r w:rsidR="001C5D75" w:rsidRPr="00E3232D">
        <w:rPr>
          <w:rFonts w:ascii="Book Antiqua" w:hAnsi="Book Antiqua"/>
          <w:spacing w:val="-1"/>
        </w:rPr>
        <w:t>c</w:t>
      </w:r>
      <w:r w:rsidR="001C5D75" w:rsidRPr="00E3232D">
        <w:rPr>
          <w:rFonts w:ascii="Book Antiqua" w:hAnsi="Book Antiqua"/>
        </w:rPr>
        <w:t>ro</w:t>
      </w:r>
      <w:r w:rsidR="001C5D75" w:rsidRPr="00E3232D">
        <w:rPr>
          <w:rFonts w:ascii="Book Antiqua" w:hAnsi="Book Antiqua"/>
          <w:spacing w:val="4"/>
        </w:rPr>
        <w:t xml:space="preserve"> </w:t>
      </w:r>
      <w:r w:rsidR="001C5D75" w:rsidRPr="00E3232D">
        <w:rPr>
          <w:rFonts w:ascii="Book Antiqua" w:hAnsi="Book Antiqua"/>
          <w:spacing w:val="1"/>
        </w:rPr>
        <w:t>c</w:t>
      </w:r>
      <w:r w:rsidR="001C5D75" w:rsidRPr="00E3232D">
        <w:rPr>
          <w:rFonts w:ascii="Book Antiqua" w:hAnsi="Book Antiqua"/>
        </w:rPr>
        <w:t>r</w:t>
      </w:r>
      <w:r w:rsidR="001C5D75" w:rsidRPr="00E3232D">
        <w:rPr>
          <w:rFonts w:ascii="Book Antiqua" w:hAnsi="Book Antiqua"/>
          <w:spacing w:val="-2"/>
        </w:rPr>
        <w:t>e</w:t>
      </w:r>
      <w:r w:rsidR="001C5D75" w:rsidRPr="00E3232D">
        <w:rPr>
          <w:rFonts w:ascii="Book Antiqua" w:hAnsi="Book Antiqua"/>
        </w:rPr>
        <w:t>dit</w:t>
      </w:r>
      <w:r w:rsidR="001C5D75" w:rsidRPr="00E3232D">
        <w:rPr>
          <w:rFonts w:ascii="Book Antiqua" w:hAnsi="Book Antiqua"/>
          <w:spacing w:val="3"/>
        </w:rPr>
        <w:t xml:space="preserve"> </w:t>
      </w:r>
      <w:r w:rsidR="001C5D75" w:rsidRPr="00E3232D">
        <w:rPr>
          <w:rFonts w:ascii="Book Antiqua" w:hAnsi="Book Antiqua"/>
        </w:rPr>
        <w:t>s</w:t>
      </w:r>
      <w:r w:rsidR="001C5D75" w:rsidRPr="00E3232D">
        <w:rPr>
          <w:rFonts w:ascii="Book Antiqua" w:hAnsi="Book Antiqua"/>
          <w:spacing w:val="-1"/>
        </w:rPr>
        <w:t>c</w:t>
      </w:r>
      <w:r w:rsidR="001C5D75" w:rsidRPr="00E3232D">
        <w:rPr>
          <w:rFonts w:ascii="Book Antiqua" w:hAnsi="Book Antiqua"/>
        </w:rPr>
        <w:t>h</w:t>
      </w:r>
      <w:r w:rsidR="001C5D75" w:rsidRPr="00E3232D">
        <w:rPr>
          <w:rFonts w:ascii="Book Antiqua" w:hAnsi="Book Antiqua"/>
          <w:spacing w:val="-1"/>
        </w:rPr>
        <w:t>e</w:t>
      </w:r>
      <w:r w:rsidR="001C5D75" w:rsidRPr="00E3232D">
        <w:rPr>
          <w:rFonts w:ascii="Book Antiqua" w:hAnsi="Book Antiqua"/>
        </w:rPr>
        <w:t>mes</w:t>
      </w:r>
      <w:r w:rsidR="001C5D75" w:rsidRPr="00E3232D">
        <w:rPr>
          <w:rFonts w:ascii="Book Antiqua" w:hAnsi="Book Antiqua"/>
          <w:spacing w:val="4"/>
        </w:rPr>
        <w:t xml:space="preserve"> </w:t>
      </w:r>
      <w:r w:rsidR="001C5D75" w:rsidRPr="00E3232D">
        <w:rPr>
          <w:rFonts w:ascii="Book Antiqua" w:hAnsi="Book Antiqua"/>
          <w:spacing w:val="-1"/>
        </w:rPr>
        <w:t>a</w:t>
      </w:r>
      <w:r w:rsidR="001C5D75" w:rsidRPr="00E3232D">
        <w:rPr>
          <w:rFonts w:ascii="Book Antiqua" w:hAnsi="Book Antiqua"/>
        </w:rPr>
        <w:t>lso</w:t>
      </w:r>
      <w:r w:rsidR="001C5D75" w:rsidRPr="00E3232D">
        <w:rPr>
          <w:rFonts w:ascii="Book Antiqua" w:hAnsi="Book Antiqua"/>
          <w:spacing w:val="3"/>
        </w:rPr>
        <w:t xml:space="preserve"> </w:t>
      </w:r>
      <w:r w:rsidR="001C5D75" w:rsidRPr="00E3232D">
        <w:rPr>
          <w:rFonts w:ascii="Book Antiqua" w:hAnsi="Book Antiqua"/>
          <w:spacing w:val="-1"/>
        </w:rPr>
        <w:t>a</w:t>
      </w:r>
      <w:r w:rsidR="001C5D75" w:rsidRPr="00E3232D">
        <w:rPr>
          <w:rFonts w:ascii="Book Antiqua" w:hAnsi="Book Antiqua"/>
        </w:rPr>
        <w:t>p</w:t>
      </w:r>
      <w:r w:rsidR="001C5D75" w:rsidRPr="00E3232D">
        <w:rPr>
          <w:rFonts w:ascii="Book Antiqua" w:hAnsi="Book Antiqua"/>
          <w:spacing w:val="2"/>
        </w:rPr>
        <w:t>p</w:t>
      </w:r>
      <w:r w:rsidR="001C5D75" w:rsidRPr="00E3232D">
        <w:rPr>
          <w:rFonts w:ascii="Book Antiqua" w:hAnsi="Book Antiqua"/>
        </w:rPr>
        <w:t>r</w:t>
      </w:r>
      <w:r w:rsidR="001C5D75" w:rsidRPr="00E3232D">
        <w:rPr>
          <w:rFonts w:ascii="Book Antiqua" w:hAnsi="Book Antiqua"/>
          <w:spacing w:val="1"/>
        </w:rPr>
        <w:t>o</w:t>
      </w:r>
      <w:r w:rsidR="001C5D75" w:rsidRPr="00E3232D">
        <w:rPr>
          <w:rFonts w:ascii="Book Antiqua" w:hAnsi="Book Antiqua"/>
          <w:spacing w:val="-1"/>
        </w:rPr>
        <w:t>ac</w:t>
      </w:r>
      <w:r w:rsidR="001C5D75" w:rsidRPr="00E3232D">
        <w:rPr>
          <w:rFonts w:ascii="Book Antiqua" w:hAnsi="Book Antiqua"/>
        </w:rPr>
        <w:t>hi</w:t>
      </w:r>
      <w:r w:rsidR="001C5D75" w:rsidRPr="00E3232D">
        <w:rPr>
          <w:rFonts w:ascii="Book Antiqua" w:hAnsi="Book Antiqua"/>
          <w:spacing w:val="3"/>
        </w:rPr>
        <w:t>n</w:t>
      </w:r>
      <w:r w:rsidR="001C5D75" w:rsidRPr="00E3232D">
        <w:rPr>
          <w:rFonts w:ascii="Book Antiqua" w:hAnsi="Book Antiqua"/>
        </w:rPr>
        <w:t xml:space="preserve">g them for </w:t>
      </w:r>
      <w:r w:rsidR="001C5D75" w:rsidRPr="00E3232D">
        <w:rPr>
          <w:rFonts w:ascii="Book Antiqua" w:hAnsi="Book Antiqua"/>
          <w:spacing w:val="1"/>
        </w:rPr>
        <w:t>financial</w:t>
      </w:r>
      <w:r w:rsidR="001C5D75" w:rsidRPr="00E3232D">
        <w:rPr>
          <w:rFonts w:ascii="Book Antiqua" w:hAnsi="Book Antiqua"/>
        </w:rPr>
        <w:t xml:space="preserve"> </w:t>
      </w:r>
      <w:r w:rsidR="001C5D75" w:rsidRPr="00E3232D">
        <w:rPr>
          <w:rFonts w:ascii="Book Antiqua" w:hAnsi="Book Antiqua"/>
          <w:spacing w:val="2"/>
        </w:rPr>
        <w:t>support</w:t>
      </w:r>
      <w:r w:rsidR="001C5D75" w:rsidRPr="00E3232D">
        <w:rPr>
          <w:rFonts w:ascii="Book Antiqua" w:hAnsi="Book Antiqua"/>
        </w:rPr>
        <w:t xml:space="preserve">. </w:t>
      </w:r>
      <w:r w:rsidR="001C5D75" w:rsidRPr="00E3232D">
        <w:rPr>
          <w:rFonts w:ascii="Book Antiqua" w:hAnsi="Book Antiqua"/>
          <w:spacing w:val="5"/>
        </w:rPr>
        <w:t xml:space="preserve"> </w:t>
      </w:r>
      <w:r w:rsidR="001C5D75" w:rsidRPr="00E3232D">
        <w:rPr>
          <w:rFonts w:ascii="Book Antiqua" w:hAnsi="Book Antiqua"/>
          <w:spacing w:val="2"/>
        </w:rPr>
        <w:t>T</w:t>
      </w:r>
      <w:r w:rsidR="001C5D75" w:rsidRPr="00E3232D">
        <w:rPr>
          <w:rFonts w:ascii="Book Antiqua" w:hAnsi="Book Antiqua"/>
        </w:rPr>
        <w:t xml:space="preserve">he </w:t>
      </w:r>
      <w:r w:rsidR="001C5D75" w:rsidRPr="00E3232D">
        <w:rPr>
          <w:rFonts w:ascii="Book Antiqua" w:hAnsi="Book Antiqua"/>
          <w:spacing w:val="1"/>
        </w:rPr>
        <w:t>respondents</w:t>
      </w:r>
      <w:r w:rsidR="001C5D75" w:rsidRPr="00E3232D">
        <w:rPr>
          <w:rFonts w:ascii="Book Antiqua" w:hAnsi="Book Antiqua"/>
        </w:rPr>
        <w:t xml:space="preserve"> </w:t>
      </w:r>
      <w:r w:rsidR="001C5D75" w:rsidRPr="00E3232D">
        <w:rPr>
          <w:rFonts w:ascii="Book Antiqua" w:hAnsi="Book Antiqua"/>
          <w:spacing w:val="3"/>
        </w:rPr>
        <w:t>explained</w:t>
      </w:r>
      <w:r w:rsidR="001C5D75" w:rsidRPr="00E3232D">
        <w:rPr>
          <w:rFonts w:ascii="Book Antiqua" w:hAnsi="Book Antiqua"/>
        </w:rPr>
        <w:t xml:space="preserve"> </w:t>
      </w:r>
      <w:r w:rsidR="001C5D75" w:rsidRPr="00E3232D">
        <w:rPr>
          <w:rFonts w:ascii="Book Antiqua" w:hAnsi="Book Antiqua"/>
          <w:spacing w:val="2"/>
        </w:rPr>
        <w:t>that</w:t>
      </w:r>
      <w:r w:rsidR="001C5D75" w:rsidRPr="00E3232D">
        <w:rPr>
          <w:rFonts w:ascii="Book Antiqua" w:hAnsi="Book Antiqua"/>
        </w:rPr>
        <w:t xml:space="preserve"> </w:t>
      </w:r>
      <w:r w:rsidR="001C5D75" w:rsidRPr="00E3232D">
        <w:rPr>
          <w:rFonts w:ascii="Book Antiqua" w:hAnsi="Book Antiqua"/>
          <w:spacing w:val="2"/>
        </w:rPr>
        <w:t>they</w:t>
      </w:r>
      <w:r w:rsidR="001C5D75" w:rsidRPr="00E3232D">
        <w:rPr>
          <w:rFonts w:ascii="Book Antiqua" w:hAnsi="Book Antiqua"/>
          <w:spacing w:val="57"/>
        </w:rPr>
        <w:t xml:space="preserve"> </w:t>
      </w:r>
      <w:r w:rsidR="001C5D75" w:rsidRPr="00E3232D">
        <w:rPr>
          <w:rFonts w:ascii="Book Antiqua" w:hAnsi="Book Antiqua"/>
        </w:rPr>
        <w:t>mos</w:t>
      </w:r>
      <w:r w:rsidR="001C5D75" w:rsidRPr="00E3232D">
        <w:rPr>
          <w:rFonts w:ascii="Book Antiqua" w:hAnsi="Book Antiqua"/>
          <w:spacing w:val="1"/>
        </w:rPr>
        <w:t>t</w:t>
      </w:r>
      <w:r w:rsidR="001C5D75" w:rsidRPr="00E3232D">
        <w:rPr>
          <w:rFonts w:ascii="Book Antiqua" w:hAnsi="Book Antiqua"/>
          <w:spacing w:val="3"/>
        </w:rPr>
        <w:t>l</w:t>
      </w:r>
      <w:r w:rsidR="001C5D75" w:rsidRPr="00E3232D">
        <w:rPr>
          <w:rFonts w:ascii="Book Antiqua" w:hAnsi="Book Antiqua"/>
        </w:rPr>
        <w:t xml:space="preserve">y had </w:t>
      </w:r>
      <w:r w:rsidR="001C5D75" w:rsidRPr="00E3232D">
        <w:rPr>
          <w:rFonts w:ascii="Book Antiqua" w:hAnsi="Book Antiqua"/>
          <w:spacing w:val="4"/>
        </w:rPr>
        <w:t>challenges</w:t>
      </w:r>
      <w:r w:rsidR="001C5D75" w:rsidRPr="00E3232D">
        <w:rPr>
          <w:rFonts w:ascii="Book Antiqua" w:hAnsi="Book Antiqua"/>
        </w:rPr>
        <w:t xml:space="preserve"> main</w:t>
      </w:r>
      <w:r w:rsidR="001C5D75" w:rsidRPr="00E3232D">
        <w:rPr>
          <w:rFonts w:ascii="Book Antiqua" w:hAnsi="Book Antiqua"/>
          <w:spacing w:val="3"/>
        </w:rPr>
        <w:t>l</w:t>
      </w:r>
      <w:r w:rsidR="001C5D75" w:rsidRPr="00E3232D">
        <w:rPr>
          <w:rFonts w:ascii="Book Antiqua" w:hAnsi="Book Antiqua"/>
        </w:rPr>
        <w:t xml:space="preserve">y </w:t>
      </w:r>
      <w:r w:rsidR="001C5D75" w:rsidRPr="00E3232D">
        <w:rPr>
          <w:rFonts w:ascii="Book Antiqua" w:hAnsi="Book Antiqua"/>
          <w:spacing w:val="2"/>
        </w:rPr>
        <w:t>b</w:t>
      </w:r>
      <w:r w:rsidR="001C5D75" w:rsidRPr="00E3232D">
        <w:rPr>
          <w:rFonts w:ascii="Book Antiqua" w:hAnsi="Book Antiqua"/>
          <w:spacing w:val="-1"/>
        </w:rPr>
        <w:t>e</w:t>
      </w:r>
      <w:r w:rsidR="001C5D75" w:rsidRPr="00E3232D">
        <w:rPr>
          <w:rFonts w:ascii="Book Antiqua" w:hAnsi="Book Antiqua"/>
        </w:rPr>
        <w:t>ing</w:t>
      </w:r>
      <w:r w:rsidR="001C5D75" w:rsidRPr="00E3232D">
        <w:rPr>
          <w:rFonts w:ascii="Book Antiqua" w:hAnsi="Book Antiqua"/>
          <w:spacing w:val="5"/>
        </w:rPr>
        <w:t xml:space="preserve"> </w:t>
      </w:r>
      <w:r w:rsidR="001C5D75" w:rsidRPr="00E3232D">
        <w:rPr>
          <w:rFonts w:ascii="Book Antiqua" w:hAnsi="Book Antiqua"/>
        </w:rPr>
        <w:t>la</w:t>
      </w:r>
      <w:r w:rsidR="001C5D75" w:rsidRPr="00E3232D">
        <w:rPr>
          <w:rFonts w:ascii="Book Antiqua" w:hAnsi="Book Antiqua"/>
          <w:spacing w:val="-1"/>
        </w:rPr>
        <w:t>c</w:t>
      </w:r>
      <w:r w:rsidR="001C5D75" w:rsidRPr="00E3232D">
        <w:rPr>
          <w:rFonts w:ascii="Book Antiqua" w:hAnsi="Book Antiqua"/>
        </w:rPr>
        <w:t>k</w:t>
      </w:r>
      <w:r w:rsidR="001C5D75" w:rsidRPr="00E3232D">
        <w:rPr>
          <w:rFonts w:ascii="Book Antiqua" w:hAnsi="Book Antiqua"/>
          <w:spacing w:val="7"/>
        </w:rPr>
        <w:t xml:space="preserve"> </w:t>
      </w:r>
      <w:r w:rsidR="001C5D75" w:rsidRPr="00E3232D">
        <w:rPr>
          <w:rFonts w:ascii="Book Antiqua" w:hAnsi="Book Antiqua"/>
        </w:rPr>
        <w:t>of</w:t>
      </w:r>
      <w:r w:rsidR="001C5D75" w:rsidRPr="00E3232D">
        <w:rPr>
          <w:rFonts w:ascii="Book Antiqua" w:hAnsi="Book Antiqua"/>
          <w:spacing w:val="6"/>
        </w:rPr>
        <w:t xml:space="preserve"> </w:t>
      </w:r>
      <w:r w:rsidR="001C5D75" w:rsidRPr="00E3232D">
        <w:rPr>
          <w:rFonts w:ascii="Book Antiqua" w:hAnsi="Book Antiqua"/>
          <w:spacing w:val="-1"/>
        </w:rPr>
        <w:t>c</w:t>
      </w:r>
      <w:r w:rsidR="001C5D75" w:rsidRPr="00E3232D">
        <w:rPr>
          <w:rFonts w:ascii="Book Antiqua" w:hAnsi="Book Antiqua"/>
          <w:spacing w:val="2"/>
        </w:rPr>
        <w:t>o</w:t>
      </w:r>
      <w:r w:rsidR="001C5D75" w:rsidRPr="00E3232D">
        <w:rPr>
          <w:rFonts w:ascii="Book Antiqua" w:hAnsi="Book Antiqua"/>
        </w:rPr>
        <w:t>l</w:t>
      </w:r>
      <w:r w:rsidR="001C5D75" w:rsidRPr="00E3232D">
        <w:rPr>
          <w:rFonts w:ascii="Book Antiqua" w:hAnsi="Book Antiqua"/>
          <w:spacing w:val="1"/>
        </w:rPr>
        <w:t>l</w:t>
      </w:r>
      <w:r w:rsidR="001C5D75" w:rsidRPr="00E3232D">
        <w:rPr>
          <w:rFonts w:ascii="Book Antiqua" w:hAnsi="Book Antiqua"/>
          <w:spacing w:val="-1"/>
        </w:rPr>
        <w:t>a</w:t>
      </w:r>
      <w:r w:rsidR="001C5D75" w:rsidRPr="00E3232D">
        <w:rPr>
          <w:rFonts w:ascii="Book Antiqua" w:hAnsi="Book Antiqua"/>
        </w:rPr>
        <w:t>te</w:t>
      </w:r>
      <w:r w:rsidR="001C5D75" w:rsidRPr="00E3232D">
        <w:rPr>
          <w:rFonts w:ascii="Book Antiqua" w:hAnsi="Book Antiqua"/>
          <w:spacing w:val="-1"/>
        </w:rPr>
        <w:t>ra</w:t>
      </w:r>
      <w:r w:rsidR="001C5D75" w:rsidRPr="00E3232D">
        <w:rPr>
          <w:rFonts w:ascii="Book Antiqua" w:hAnsi="Book Antiqua"/>
        </w:rPr>
        <w:t>l</w:t>
      </w:r>
      <w:r w:rsidR="001C5D75" w:rsidRPr="00E3232D">
        <w:rPr>
          <w:rFonts w:ascii="Book Antiqua" w:hAnsi="Book Antiqua"/>
          <w:spacing w:val="5"/>
        </w:rPr>
        <w:t xml:space="preserve"> </w:t>
      </w:r>
      <w:r w:rsidR="001C5D75" w:rsidRPr="00E3232D">
        <w:rPr>
          <w:rFonts w:ascii="Book Antiqua" w:hAnsi="Book Antiqua"/>
          <w:spacing w:val="-1"/>
        </w:rPr>
        <w:t>a</w:t>
      </w:r>
      <w:r w:rsidR="001C5D75" w:rsidRPr="00E3232D">
        <w:rPr>
          <w:rFonts w:ascii="Book Antiqua" w:hAnsi="Book Antiqua"/>
        </w:rPr>
        <w:t>nd</w:t>
      </w:r>
      <w:r w:rsidR="001C5D75" w:rsidRPr="00E3232D">
        <w:rPr>
          <w:rFonts w:ascii="Book Antiqua" w:hAnsi="Book Antiqua"/>
          <w:spacing w:val="11"/>
        </w:rPr>
        <w:t xml:space="preserve"> </w:t>
      </w:r>
      <w:r w:rsidR="001C5D75" w:rsidRPr="00E3232D">
        <w:rPr>
          <w:rFonts w:ascii="Book Antiqua" w:hAnsi="Book Antiqua"/>
          <w:spacing w:val="1"/>
        </w:rPr>
        <w:t>r</w:t>
      </w:r>
      <w:r w:rsidR="001C5D75" w:rsidRPr="00E3232D">
        <w:rPr>
          <w:rFonts w:ascii="Book Antiqua" w:hAnsi="Book Antiqua"/>
          <w:spacing w:val="-1"/>
        </w:rPr>
        <w:t>a</w:t>
      </w:r>
      <w:r w:rsidR="001C5D75" w:rsidRPr="00E3232D">
        <w:rPr>
          <w:rFonts w:ascii="Book Antiqua" w:hAnsi="Book Antiqua"/>
        </w:rPr>
        <w:t>ther</w:t>
      </w:r>
      <w:r w:rsidR="001C5D75" w:rsidRPr="00E3232D">
        <w:rPr>
          <w:rFonts w:ascii="Book Antiqua" w:hAnsi="Book Antiqua"/>
          <w:spacing w:val="4"/>
        </w:rPr>
        <w:t xml:space="preserve"> </w:t>
      </w:r>
      <w:r w:rsidR="001C5D75" w:rsidRPr="00E3232D">
        <w:rPr>
          <w:rFonts w:ascii="Book Antiqua" w:hAnsi="Book Antiqua"/>
        </w:rPr>
        <w:t>d</w:t>
      </w:r>
      <w:r w:rsidR="001C5D75" w:rsidRPr="00E3232D">
        <w:rPr>
          <w:rFonts w:ascii="Book Antiqua" w:hAnsi="Book Antiqua"/>
          <w:spacing w:val="3"/>
        </w:rPr>
        <w:t>i</w:t>
      </w:r>
      <w:r w:rsidR="001C5D75" w:rsidRPr="00E3232D">
        <w:rPr>
          <w:rFonts w:ascii="Book Antiqua" w:hAnsi="Book Antiqua"/>
        </w:rPr>
        <w:t>f</w:t>
      </w:r>
      <w:r w:rsidR="001C5D75" w:rsidRPr="00E3232D">
        <w:rPr>
          <w:rFonts w:ascii="Book Antiqua" w:hAnsi="Book Antiqua"/>
          <w:spacing w:val="-1"/>
        </w:rPr>
        <w:t>f</w:t>
      </w:r>
      <w:r w:rsidR="001C5D75" w:rsidRPr="00E3232D">
        <w:rPr>
          <w:rFonts w:ascii="Book Antiqua" w:hAnsi="Book Antiqua"/>
        </w:rPr>
        <w:t>i</w:t>
      </w:r>
      <w:r w:rsidR="001C5D75" w:rsidRPr="00E3232D">
        <w:rPr>
          <w:rFonts w:ascii="Book Antiqua" w:hAnsi="Book Antiqua"/>
          <w:spacing w:val="2"/>
        </w:rPr>
        <w:t>c</w:t>
      </w:r>
      <w:r w:rsidR="001C5D75" w:rsidRPr="00E3232D">
        <w:rPr>
          <w:rFonts w:ascii="Book Antiqua" w:hAnsi="Book Antiqua"/>
        </w:rPr>
        <w:t>ult</w:t>
      </w:r>
      <w:r w:rsidR="001C5D75" w:rsidRPr="00E3232D">
        <w:rPr>
          <w:rFonts w:ascii="Book Antiqua" w:hAnsi="Book Antiqua"/>
          <w:spacing w:val="5"/>
        </w:rPr>
        <w:t xml:space="preserve"> </w:t>
      </w:r>
      <w:r w:rsidR="001C5D75" w:rsidRPr="00E3232D">
        <w:rPr>
          <w:rFonts w:ascii="Book Antiqua" w:hAnsi="Book Antiqua"/>
        </w:rPr>
        <w:t>p</w:t>
      </w:r>
      <w:r w:rsidR="001C5D75" w:rsidRPr="00E3232D">
        <w:rPr>
          <w:rFonts w:ascii="Book Antiqua" w:hAnsi="Book Antiqua"/>
          <w:spacing w:val="-1"/>
        </w:rPr>
        <w:t>r</w:t>
      </w:r>
      <w:r w:rsidR="001C5D75" w:rsidRPr="00E3232D">
        <w:rPr>
          <w:rFonts w:ascii="Book Antiqua" w:hAnsi="Book Antiqua"/>
        </w:rPr>
        <w:t>o</w:t>
      </w:r>
      <w:r w:rsidR="001C5D75" w:rsidRPr="00E3232D">
        <w:rPr>
          <w:rFonts w:ascii="Book Antiqua" w:hAnsi="Book Antiqua"/>
          <w:spacing w:val="-1"/>
        </w:rPr>
        <w:t>ce</w:t>
      </w:r>
      <w:r w:rsidR="001C5D75" w:rsidRPr="00E3232D">
        <w:rPr>
          <w:rFonts w:ascii="Book Antiqua" w:hAnsi="Book Antiqua"/>
        </w:rPr>
        <w:t>du</w:t>
      </w:r>
      <w:r w:rsidR="001C5D75" w:rsidRPr="00E3232D">
        <w:rPr>
          <w:rFonts w:ascii="Book Antiqua" w:hAnsi="Book Antiqua"/>
          <w:spacing w:val="1"/>
        </w:rPr>
        <w:t>r</w:t>
      </w:r>
      <w:r w:rsidR="001C5D75" w:rsidRPr="00E3232D">
        <w:rPr>
          <w:rFonts w:ascii="Book Antiqua" w:hAnsi="Book Antiqua"/>
        </w:rPr>
        <w:t>e</w:t>
      </w:r>
      <w:r w:rsidR="001C5D75" w:rsidRPr="00E3232D">
        <w:rPr>
          <w:rFonts w:ascii="Book Antiqua" w:hAnsi="Book Antiqua"/>
          <w:spacing w:val="3"/>
        </w:rPr>
        <w:t xml:space="preserve"> </w:t>
      </w:r>
      <w:r w:rsidR="001C5D75" w:rsidRPr="00E3232D">
        <w:rPr>
          <w:rFonts w:ascii="Book Antiqua" w:hAnsi="Book Antiqua"/>
        </w:rPr>
        <w:t>in</w:t>
      </w:r>
      <w:r w:rsidR="001C5D75" w:rsidRPr="00E3232D">
        <w:rPr>
          <w:rFonts w:ascii="Book Antiqua" w:hAnsi="Book Antiqua"/>
          <w:spacing w:val="5"/>
        </w:rPr>
        <w:t xml:space="preserve"> </w:t>
      </w:r>
      <w:r w:rsidR="001C5D75" w:rsidRPr="00E3232D">
        <w:rPr>
          <w:rFonts w:ascii="Book Antiqua" w:hAnsi="Book Antiqua"/>
          <w:spacing w:val="2"/>
        </w:rPr>
        <w:t>d</w:t>
      </w:r>
      <w:r w:rsidR="001C5D75" w:rsidRPr="00E3232D">
        <w:rPr>
          <w:rFonts w:ascii="Book Antiqua" w:hAnsi="Book Antiqua"/>
          <w:spacing w:val="-1"/>
        </w:rPr>
        <w:t>ea</w:t>
      </w:r>
      <w:r w:rsidR="001C5D75" w:rsidRPr="00E3232D">
        <w:rPr>
          <w:rFonts w:ascii="Book Antiqua" w:hAnsi="Book Antiqua"/>
        </w:rPr>
        <w:t>l</w:t>
      </w:r>
      <w:r w:rsidR="001C5D75" w:rsidRPr="00E3232D">
        <w:rPr>
          <w:rFonts w:ascii="Book Antiqua" w:hAnsi="Book Antiqua"/>
          <w:spacing w:val="1"/>
        </w:rPr>
        <w:t>i</w:t>
      </w:r>
      <w:r w:rsidR="001C5D75" w:rsidRPr="00E3232D">
        <w:rPr>
          <w:rFonts w:ascii="Book Antiqua" w:hAnsi="Book Antiqua"/>
          <w:spacing w:val="2"/>
        </w:rPr>
        <w:t>n</w:t>
      </w:r>
      <w:r w:rsidR="001C5D75" w:rsidRPr="00E3232D">
        <w:rPr>
          <w:rFonts w:ascii="Book Antiqua" w:hAnsi="Book Antiqua"/>
        </w:rPr>
        <w:t>g</w:t>
      </w:r>
      <w:r w:rsidR="001C5D75" w:rsidRPr="00E3232D">
        <w:rPr>
          <w:rFonts w:ascii="Book Antiqua" w:hAnsi="Book Antiqua"/>
          <w:spacing w:val="4"/>
        </w:rPr>
        <w:t xml:space="preserve"> </w:t>
      </w:r>
      <w:r w:rsidR="001C5D75" w:rsidRPr="00E3232D">
        <w:rPr>
          <w:rFonts w:ascii="Book Antiqua" w:hAnsi="Book Antiqua"/>
        </w:rPr>
        <w:t>with</w:t>
      </w:r>
      <w:r w:rsidR="001C5D75" w:rsidRPr="00E3232D">
        <w:rPr>
          <w:rFonts w:ascii="Book Antiqua" w:hAnsi="Book Antiqua"/>
          <w:spacing w:val="9"/>
        </w:rPr>
        <w:t xml:space="preserve"> </w:t>
      </w:r>
      <w:r w:rsidR="001C5D75" w:rsidRPr="00E3232D">
        <w:rPr>
          <w:rFonts w:ascii="Book Antiqua" w:hAnsi="Book Antiqua"/>
        </w:rPr>
        <w:t>such ins</w:t>
      </w:r>
      <w:r w:rsidR="001C5D75" w:rsidRPr="00E3232D">
        <w:rPr>
          <w:rFonts w:ascii="Book Antiqua" w:hAnsi="Book Antiqua"/>
          <w:spacing w:val="1"/>
        </w:rPr>
        <w:t>t</w:t>
      </w:r>
      <w:r w:rsidR="001C5D75" w:rsidRPr="00E3232D">
        <w:rPr>
          <w:rFonts w:ascii="Book Antiqua" w:hAnsi="Book Antiqua"/>
        </w:rPr>
        <w:t>i</w:t>
      </w:r>
      <w:r w:rsidR="001C5D75" w:rsidRPr="00E3232D">
        <w:rPr>
          <w:rFonts w:ascii="Book Antiqua" w:hAnsi="Book Antiqua"/>
          <w:spacing w:val="1"/>
        </w:rPr>
        <w:t>t</w:t>
      </w:r>
      <w:r w:rsidR="001C5D75" w:rsidRPr="00E3232D">
        <w:rPr>
          <w:rFonts w:ascii="Book Antiqua" w:hAnsi="Book Antiqua"/>
        </w:rPr>
        <w:t>ut</w:t>
      </w:r>
      <w:r w:rsidR="001C5D75" w:rsidRPr="00E3232D">
        <w:rPr>
          <w:rFonts w:ascii="Book Antiqua" w:hAnsi="Book Antiqua"/>
          <w:spacing w:val="1"/>
        </w:rPr>
        <w:t>i</w:t>
      </w:r>
      <w:r w:rsidR="001C5D75" w:rsidRPr="00E3232D">
        <w:rPr>
          <w:rFonts w:ascii="Book Antiqua" w:hAnsi="Book Antiqua"/>
        </w:rPr>
        <w:t>ons.</w:t>
      </w:r>
    </w:p>
    <w:p w14:paraId="0D8CDF67" w14:textId="77777777" w:rsidR="001C5D75" w:rsidRPr="00E3232D" w:rsidRDefault="001C5D75" w:rsidP="002319C6">
      <w:pPr>
        <w:widowControl w:val="0"/>
        <w:autoSpaceDE w:val="0"/>
        <w:autoSpaceDN w:val="0"/>
        <w:adjustRightInd w:val="0"/>
        <w:spacing w:after="0"/>
        <w:ind w:right="75"/>
        <w:rPr>
          <w:rFonts w:ascii="Book Antiqua" w:hAnsi="Book Antiqua"/>
          <w:b/>
        </w:rPr>
      </w:pPr>
      <w:r w:rsidRPr="00E3232D">
        <w:rPr>
          <w:rFonts w:ascii="Book Antiqua" w:hAnsi="Book Antiqua"/>
          <w:b/>
        </w:rPr>
        <w:t>Table 3 Amount Received</w:t>
      </w:r>
    </w:p>
    <w:tbl>
      <w:tblPr>
        <w:tblW w:w="4919" w:type="dxa"/>
        <w:tblInd w:w="108" w:type="dxa"/>
        <w:tblLook w:val="04A0" w:firstRow="1" w:lastRow="0" w:firstColumn="1" w:lastColumn="0" w:noHBand="0" w:noVBand="1"/>
      </w:tblPr>
      <w:tblGrid>
        <w:gridCol w:w="2410"/>
        <w:gridCol w:w="1310"/>
        <w:gridCol w:w="1199"/>
      </w:tblGrid>
      <w:tr w:rsidR="001C5D75" w:rsidRPr="00D12E59" w14:paraId="12FD5A1C" w14:textId="77777777" w:rsidTr="00EA4D30">
        <w:trPr>
          <w:trHeight w:val="303"/>
        </w:trPr>
        <w:tc>
          <w:tcPr>
            <w:tcW w:w="2410" w:type="dxa"/>
            <w:tcBorders>
              <w:top w:val="double" w:sz="6" w:space="0" w:color="auto"/>
              <w:left w:val="nil"/>
              <w:bottom w:val="single" w:sz="4" w:space="0" w:color="auto"/>
              <w:right w:val="nil"/>
            </w:tcBorders>
            <w:shd w:val="clear" w:color="auto" w:fill="auto"/>
            <w:noWrap/>
            <w:vAlign w:val="center"/>
            <w:hideMark/>
          </w:tcPr>
          <w:p w14:paraId="7063351A" w14:textId="77777777" w:rsidR="001C5D75" w:rsidRPr="00D12E59" w:rsidRDefault="001C5D75" w:rsidP="00465AE3">
            <w:pPr>
              <w:spacing w:after="0" w:line="240" w:lineRule="auto"/>
              <w:ind w:firstLineChars="1500" w:firstLine="3313"/>
              <w:rPr>
                <w:rFonts w:ascii="Book Antiqua" w:hAnsi="Book Antiqua"/>
                <w:b/>
                <w:bCs/>
                <w:color w:val="000000"/>
                <w:lang w:val="en-GB" w:eastAsia="en-GB"/>
              </w:rPr>
            </w:pPr>
            <w:r w:rsidRPr="00D12E59">
              <w:rPr>
                <w:rFonts w:ascii="Book Antiqua" w:hAnsi="Book Antiqua"/>
                <w:b/>
                <w:bCs/>
                <w:color w:val="000000"/>
                <w:lang w:val="en-GB" w:eastAsia="en-GB"/>
              </w:rPr>
              <w:t xml:space="preserve">         </w:t>
            </w:r>
          </w:p>
        </w:tc>
        <w:tc>
          <w:tcPr>
            <w:tcW w:w="1310" w:type="dxa"/>
            <w:tcBorders>
              <w:top w:val="double" w:sz="6" w:space="0" w:color="auto"/>
              <w:left w:val="nil"/>
              <w:bottom w:val="single" w:sz="4" w:space="0" w:color="auto"/>
              <w:right w:val="nil"/>
            </w:tcBorders>
            <w:shd w:val="clear" w:color="auto" w:fill="auto"/>
            <w:noWrap/>
            <w:vAlign w:val="center"/>
            <w:hideMark/>
          </w:tcPr>
          <w:p w14:paraId="28F9199D" w14:textId="77777777" w:rsidR="001C5D75" w:rsidRPr="00D12E59" w:rsidRDefault="001C5D75" w:rsidP="00465AE3">
            <w:pPr>
              <w:spacing w:after="0" w:line="240" w:lineRule="auto"/>
              <w:rPr>
                <w:rFonts w:ascii="Book Antiqua" w:hAnsi="Book Antiqua"/>
                <w:b/>
                <w:bCs/>
                <w:color w:val="000000"/>
                <w:lang w:val="en-GB" w:eastAsia="en-GB"/>
              </w:rPr>
            </w:pPr>
            <w:r w:rsidRPr="00D12E59">
              <w:rPr>
                <w:rFonts w:ascii="Book Antiqua" w:hAnsi="Book Antiqua"/>
                <w:b/>
                <w:bCs/>
                <w:color w:val="000000"/>
                <w:spacing w:val="2"/>
                <w:lang w:val="en-GB" w:eastAsia="en-GB"/>
              </w:rPr>
              <w:t xml:space="preserve"> frequency</w:t>
            </w:r>
          </w:p>
        </w:tc>
        <w:tc>
          <w:tcPr>
            <w:tcW w:w="1199" w:type="dxa"/>
            <w:tcBorders>
              <w:top w:val="double" w:sz="6" w:space="0" w:color="auto"/>
              <w:left w:val="nil"/>
              <w:bottom w:val="single" w:sz="4" w:space="0" w:color="auto"/>
              <w:right w:val="nil"/>
            </w:tcBorders>
            <w:shd w:val="clear" w:color="auto" w:fill="auto"/>
            <w:noWrap/>
            <w:vAlign w:val="center"/>
            <w:hideMark/>
          </w:tcPr>
          <w:p w14:paraId="7758568D" w14:textId="77777777" w:rsidR="001C5D75" w:rsidRPr="00D12E59" w:rsidRDefault="001C5D75" w:rsidP="00465AE3">
            <w:pPr>
              <w:spacing w:after="0" w:line="240" w:lineRule="auto"/>
              <w:rPr>
                <w:rFonts w:ascii="Book Antiqua" w:hAnsi="Book Antiqua"/>
                <w:b/>
                <w:bCs/>
                <w:color w:val="000000"/>
                <w:lang w:val="en-GB" w:eastAsia="en-GB"/>
              </w:rPr>
            </w:pPr>
            <w:r w:rsidRPr="00D12E59">
              <w:rPr>
                <w:rFonts w:ascii="Book Antiqua" w:hAnsi="Book Antiqua"/>
                <w:b/>
                <w:bCs/>
                <w:color w:val="000000"/>
                <w:spacing w:val="1"/>
                <w:lang w:val="en-GB" w:eastAsia="en-GB"/>
              </w:rPr>
              <w:t xml:space="preserve">          Percent</w:t>
            </w:r>
          </w:p>
        </w:tc>
      </w:tr>
      <w:tr w:rsidR="001C5D75" w:rsidRPr="00D12E59" w14:paraId="1818567D" w14:textId="77777777" w:rsidTr="00EA4D30">
        <w:trPr>
          <w:trHeight w:val="290"/>
        </w:trPr>
        <w:tc>
          <w:tcPr>
            <w:tcW w:w="2410" w:type="dxa"/>
            <w:tcBorders>
              <w:top w:val="nil"/>
              <w:left w:val="nil"/>
              <w:bottom w:val="nil"/>
              <w:right w:val="nil"/>
            </w:tcBorders>
            <w:shd w:val="clear" w:color="auto" w:fill="auto"/>
            <w:noWrap/>
            <w:vAlign w:val="center"/>
            <w:hideMark/>
          </w:tcPr>
          <w:p w14:paraId="1C769374"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eastAsia="en-GB"/>
              </w:rPr>
              <w:t xml:space="preserve">Less than Gh ¢500 </w:t>
            </w:r>
          </w:p>
        </w:tc>
        <w:tc>
          <w:tcPr>
            <w:tcW w:w="1310" w:type="dxa"/>
            <w:tcBorders>
              <w:top w:val="nil"/>
              <w:left w:val="nil"/>
              <w:bottom w:val="nil"/>
              <w:right w:val="nil"/>
            </w:tcBorders>
            <w:shd w:val="clear" w:color="auto" w:fill="auto"/>
            <w:noWrap/>
            <w:vAlign w:val="center"/>
            <w:hideMark/>
          </w:tcPr>
          <w:p w14:paraId="0C039439" w14:textId="77777777" w:rsidR="001C5D75" w:rsidRPr="00D12E59" w:rsidRDefault="001C5D75" w:rsidP="00465AE3">
            <w:pPr>
              <w:spacing w:after="0" w:line="240" w:lineRule="auto"/>
              <w:ind w:firstLineChars="600" w:firstLine="1320"/>
              <w:rPr>
                <w:rFonts w:ascii="Book Antiqua" w:hAnsi="Book Antiqua"/>
                <w:color w:val="000000"/>
                <w:lang w:val="en-GB" w:eastAsia="en-GB"/>
              </w:rPr>
            </w:pPr>
            <w:r w:rsidRPr="00D12E59">
              <w:rPr>
                <w:rFonts w:ascii="Book Antiqua" w:hAnsi="Book Antiqua"/>
                <w:color w:val="000000"/>
                <w:lang w:val="en-GB" w:eastAsia="en-GB"/>
              </w:rPr>
              <w:t>168</w:t>
            </w:r>
          </w:p>
        </w:tc>
        <w:tc>
          <w:tcPr>
            <w:tcW w:w="1199" w:type="dxa"/>
            <w:tcBorders>
              <w:top w:val="nil"/>
              <w:left w:val="nil"/>
              <w:bottom w:val="nil"/>
              <w:right w:val="nil"/>
            </w:tcBorders>
            <w:shd w:val="clear" w:color="auto" w:fill="auto"/>
            <w:noWrap/>
            <w:vAlign w:val="center"/>
            <w:hideMark/>
          </w:tcPr>
          <w:p w14:paraId="005A0256"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val="en-GB" w:eastAsia="en-GB"/>
              </w:rPr>
              <w:t>53.3</w:t>
            </w:r>
          </w:p>
        </w:tc>
      </w:tr>
      <w:tr w:rsidR="001C5D75" w:rsidRPr="00D12E59" w14:paraId="5F4A6CB3" w14:textId="77777777" w:rsidTr="00EA4D30">
        <w:trPr>
          <w:trHeight w:val="303"/>
        </w:trPr>
        <w:tc>
          <w:tcPr>
            <w:tcW w:w="2410" w:type="dxa"/>
            <w:tcBorders>
              <w:top w:val="nil"/>
              <w:left w:val="nil"/>
              <w:bottom w:val="nil"/>
              <w:right w:val="nil"/>
            </w:tcBorders>
            <w:shd w:val="clear" w:color="auto" w:fill="auto"/>
            <w:noWrap/>
            <w:vAlign w:val="center"/>
            <w:hideMark/>
          </w:tcPr>
          <w:p w14:paraId="78BACA8E" w14:textId="77777777" w:rsidR="001C5D75" w:rsidRPr="00D12E59" w:rsidRDefault="001C5D75" w:rsidP="00465AE3">
            <w:pPr>
              <w:spacing w:after="0" w:line="240" w:lineRule="auto"/>
              <w:rPr>
                <w:rFonts w:ascii="Book Antiqua" w:hAnsi="Book Antiqua"/>
                <w:color w:val="000000"/>
                <w:lang w:val="en-GB" w:eastAsia="en-GB"/>
              </w:rPr>
            </w:pPr>
          </w:p>
        </w:tc>
        <w:tc>
          <w:tcPr>
            <w:tcW w:w="1310" w:type="dxa"/>
            <w:tcBorders>
              <w:top w:val="nil"/>
              <w:left w:val="nil"/>
              <w:bottom w:val="nil"/>
              <w:right w:val="nil"/>
            </w:tcBorders>
            <w:shd w:val="clear" w:color="auto" w:fill="auto"/>
            <w:noWrap/>
            <w:vAlign w:val="bottom"/>
            <w:hideMark/>
          </w:tcPr>
          <w:p w14:paraId="30F9AD4B" w14:textId="77777777" w:rsidR="001C5D75" w:rsidRPr="00D12E59" w:rsidRDefault="001C5D75" w:rsidP="00465AE3">
            <w:pPr>
              <w:spacing w:after="0" w:line="240" w:lineRule="auto"/>
              <w:rPr>
                <w:rFonts w:ascii="Book Antiqua" w:hAnsi="Book Antiqua"/>
                <w:color w:val="000000"/>
                <w:lang w:val="en-GB" w:eastAsia="en-GB"/>
              </w:rPr>
            </w:pPr>
          </w:p>
        </w:tc>
        <w:tc>
          <w:tcPr>
            <w:tcW w:w="1199" w:type="dxa"/>
            <w:tcBorders>
              <w:top w:val="nil"/>
              <w:left w:val="nil"/>
              <w:bottom w:val="nil"/>
              <w:right w:val="nil"/>
            </w:tcBorders>
            <w:shd w:val="clear" w:color="auto" w:fill="auto"/>
            <w:noWrap/>
            <w:vAlign w:val="bottom"/>
            <w:hideMark/>
          </w:tcPr>
          <w:p w14:paraId="7579DE19" w14:textId="77777777" w:rsidR="001C5D75" w:rsidRPr="00D12E59" w:rsidRDefault="001C5D75" w:rsidP="00465AE3">
            <w:pPr>
              <w:spacing w:after="0" w:line="240" w:lineRule="auto"/>
              <w:rPr>
                <w:rFonts w:ascii="Book Antiqua" w:hAnsi="Book Antiqua"/>
                <w:color w:val="000000"/>
                <w:lang w:val="en-GB" w:eastAsia="en-GB"/>
              </w:rPr>
            </w:pPr>
          </w:p>
        </w:tc>
      </w:tr>
      <w:tr w:rsidR="001C5D75" w:rsidRPr="00D12E59" w14:paraId="173D483C" w14:textId="77777777" w:rsidTr="00EA4D30">
        <w:trPr>
          <w:trHeight w:val="290"/>
        </w:trPr>
        <w:tc>
          <w:tcPr>
            <w:tcW w:w="2410" w:type="dxa"/>
            <w:tcBorders>
              <w:top w:val="nil"/>
              <w:left w:val="nil"/>
              <w:bottom w:val="nil"/>
              <w:right w:val="nil"/>
            </w:tcBorders>
            <w:shd w:val="clear" w:color="auto" w:fill="auto"/>
            <w:noWrap/>
            <w:vAlign w:val="center"/>
            <w:hideMark/>
          </w:tcPr>
          <w:p w14:paraId="4539068A"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eastAsia="en-GB"/>
              </w:rPr>
              <w:t>Gh ¢500-1,000</w:t>
            </w:r>
          </w:p>
        </w:tc>
        <w:tc>
          <w:tcPr>
            <w:tcW w:w="1310" w:type="dxa"/>
            <w:tcBorders>
              <w:top w:val="nil"/>
              <w:left w:val="nil"/>
              <w:bottom w:val="nil"/>
              <w:right w:val="nil"/>
            </w:tcBorders>
            <w:shd w:val="clear" w:color="auto" w:fill="auto"/>
            <w:noWrap/>
            <w:vAlign w:val="center"/>
            <w:hideMark/>
          </w:tcPr>
          <w:p w14:paraId="37BCAB1C"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val="en-GB" w:eastAsia="en-GB"/>
              </w:rPr>
              <w:t>98</w:t>
            </w:r>
          </w:p>
        </w:tc>
        <w:tc>
          <w:tcPr>
            <w:tcW w:w="1199" w:type="dxa"/>
            <w:tcBorders>
              <w:top w:val="nil"/>
              <w:left w:val="nil"/>
              <w:bottom w:val="nil"/>
              <w:right w:val="nil"/>
            </w:tcBorders>
            <w:shd w:val="clear" w:color="auto" w:fill="auto"/>
            <w:noWrap/>
            <w:vAlign w:val="center"/>
            <w:hideMark/>
          </w:tcPr>
          <w:p w14:paraId="5BFD15E1"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val="en-GB" w:eastAsia="en-GB"/>
              </w:rPr>
              <w:t>31.1</w:t>
            </w:r>
          </w:p>
        </w:tc>
      </w:tr>
      <w:tr w:rsidR="001C5D75" w:rsidRPr="00D12E59" w14:paraId="30B7472B" w14:textId="77777777" w:rsidTr="00EA4D30">
        <w:trPr>
          <w:trHeight w:val="411"/>
        </w:trPr>
        <w:tc>
          <w:tcPr>
            <w:tcW w:w="2410" w:type="dxa"/>
            <w:tcBorders>
              <w:top w:val="nil"/>
              <w:left w:val="nil"/>
              <w:bottom w:val="nil"/>
              <w:right w:val="nil"/>
            </w:tcBorders>
            <w:shd w:val="clear" w:color="auto" w:fill="auto"/>
            <w:noWrap/>
            <w:vAlign w:val="center"/>
            <w:hideMark/>
          </w:tcPr>
          <w:p w14:paraId="2508E410" w14:textId="77777777" w:rsidR="001C5D75" w:rsidRPr="00D12E59" w:rsidRDefault="001C5D75" w:rsidP="00465AE3">
            <w:pPr>
              <w:spacing w:after="0" w:line="240" w:lineRule="auto"/>
              <w:rPr>
                <w:rFonts w:ascii="Book Antiqua" w:hAnsi="Book Antiqua"/>
                <w:color w:val="000000"/>
                <w:lang w:val="en-GB" w:eastAsia="en-GB"/>
              </w:rPr>
            </w:pPr>
          </w:p>
        </w:tc>
        <w:tc>
          <w:tcPr>
            <w:tcW w:w="1310" w:type="dxa"/>
            <w:tcBorders>
              <w:top w:val="nil"/>
              <w:left w:val="nil"/>
              <w:bottom w:val="nil"/>
              <w:right w:val="nil"/>
            </w:tcBorders>
            <w:shd w:val="clear" w:color="auto" w:fill="auto"/>
            <w:noWrap/>
            <w:vAlign w:val="bottom"/>
            <w:hideMark/>
          </w:tcPr>
          <w:p w14:paraId="6122117A" w14:textId="77777777" w:rsidR="001C5D75" w:rsidRPr="00D12E59" w:rsidRDefault="001C5D75" w:rsidP="00465AE3">
            <w:pPr>
              <w:spacing w:after="0" w:line="240" w:lineRule="auto"/>
              <w:rPr>
                <w:rFonts w:ascii="Book Antiqua" w:hAnsi="Book Antiqua"/>
                <w:color w:val="000000"/>
                <w:lang w:val="en-GB" w:eastAsia="en-GB"/>
              </w:rPr>
            </w:pPr>
          </w:p>
        </w:tc>
        <w:tc>
          <w:tcPr>
            <w:tcW w:w="1199" w:type="dxa"/>
            <w:tcBorders>
              <w:top w:val="nil"/>
              <w:left w:val="nil"/>
              <w:bottom w:val="nil"/>
              <w:right w:val="nil"/>
            </w:tcBorders>
            <w:shd w:val="clear" w:color="auto" w:fill="auto"/>
            <w:noWrap/>
            <w:vAlign w:val="bottom"/>
            <w:hideMark/>
          </w:tcPr>
          <w:p w14:paraId="73056316" w14:textId="77777777" w:rsidR="001C5D75" w:rsidRPr="00D12E59" w:rsidRDefault="001C5D75" w:rsidP="00465AE3">
            <w:pPr>
              <w:spacing w:after="0" w:line="240" w:lineRule="auto"/>
              <w:rPr>
                <w:rFonts w:ascii="Book Antiqua" w:hAnsi="Book Antiqua"/>
                <w:color w:val="000000"/>
                <w:lang w:val="en-GB" w:eastAsia="en-GB"/>
              </w:rPr>
            </w:pPr>
          </w:p>
        </w:tc>
      </w:tr>
      <w:tr w:rsidR="001C5D75" w:rsidRPr="00D12E59" w14:paraId="3087F614" w14:textId="77777777" w:rsidTr="00EA4D30">
        <w:trPr>
          <w:trHeight w:val="290"/>
        </w:trPr>
        <w:tc>
          <w:tcPr>
            <w:tcW w:w="2410" w:type="dxa"/>
            <w:tcBorders>
              <w:top w:val="nil"/>
              <w:left w:val="nil"/>
              <w:bottom w:val="nil"/>
              <w:right w:val="nil"/>
            </w:tcBorders>
            <w:shd w:val="clear" w:color="auto" w:fill="auto"/>
            <w:noWrap/>
            <w:vAlign w:val="center"/>
            <w:hideMark/>
          </w:tcPr>
          <w:p w14:paraId="0231FFFC"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eastAsia="en-GB"/>
              </w:rPr>
              <w:t>Gh ¢ 1,500-2,000</w:t>
            </w:r>
          </w:p>
        </w:tc>
        <w:tc>
          <w:tcPr>
            <w:tcW w:w="1310" w:type="dxa"/>
            <w:tcBorders>
              <w:top w:val="nil"/>
              <w:left w:val="nil"/>
              <w:bottom w:val="nil"/>
              <w:right w:val="nil"/>
            </w:tcBorders>
            <w:shd w:val="clear" w:color="auto" w:fill="auto"/>
            <w:noWrap/>
            <w:vAlign w:val="center"/>
            <w:hideMark/>
          </w:tcPr>
          <w:p w14:paraId="53362556"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val="en-GB" w:eastAsia="en-GB"/>
              </w:rPr>
              <w:t>40</w:t>
            </w:r>
          </w:p>
        </w:tc>
        <w:tc>
          <w:tcPr>
            <w:tcW w:w="1199" w:type="dxa"/>
            <w:tcBorders>
              <w:top w:val="nil"/>
              <w:left w:val="nil"/>
              <w:bottom w:val="nil"/>
              <w:right w:val="nil"/>
            </w:tcBorders>
            <w:shd w:val="clear" w:color="auto" w:fill="auto"/>
            <w:noWrap/>
            <w:vAlign w:val="center"/>
            <w:hideMark/>
          </w:tcPr>
          <w:p w14:paraId="5F433653"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val="en-GB" w:eastAsia="en-GB"/>
              </w:rPr>
              <w:t>12.7</w:t>
            </w:r>
          </w:p>
        </w:tc>
      </w:tr>
      <w:tr w:rsidR="001C5D75" w:rsidRPr="00D12E59" w14:paraId="1A80F04F" w14:textId="77777777" w:rsidTr="00EA4D30">
        <w:trPr>
          <w:trHeight w:val="303"/>
        </w:trPr>
        <w:tc>
          <w:tcPr>
            <w:tcW w:w="2410" w:type="dxa"/>
            <w:tcBorders>
              <w:top w:val="nil"/>
              <w:left w:val="nil"/>
              <w:bottom w:val="nil"/>
              <w:right w:val="nil"/>
            </w:tcBorders>
            <w:shd w:val="clear" w:color="auto" w:fill="auto"/>
            <w:noWrap/>
            <w:vAlign w:val="center"/>
            <w:hideMark/>
          </w:tcPr>
          <w:p w14:paraId="6AF834A1" w14:textId="77777777" w:rsidR="001C5D75" w:rsidRPr="00D12E59" w:rsidRDefault="001C5D75" w:rsidP="00465AE3">
            <w:pPr>
              <w:spacing w:after="0" w:line="240" w:lineRule="auto"/>
              <w:rPr>
                <w:rFonts w:ascii="Book Antiqua" w:hAnsi="Book Antiqua"/>
                <w:color w:val="000000"/>
                <w:lang w:val="en-GB" w:eastAsia="en-GB"/>
              </w:rPr>
            </w:pPr>
          </w:p>
        </w:tc>
        <w:tc>
          <w:tcPr>
            <w:tcW w:w="1310" w:type="dxa"/>
            <w:tcBorders>
              <w:top w:val="nil"/>
              <w:left w:val="nil"/>
              <w:bottom w:val="nil"/>
              <w:right w:val="nil"/>
            </w:tcBorders>
            <w:shd w:val="clear" w:color="auto" w:fill="auto"/>
            <w:noWrap/>
            <w:vAlign w:val="bottom"/>
            <w:hideMark/>
          </w:tcPr>
          <w:p w14:paraId="4F07FCBF" w14:textId="77777777" w:rsidR="001C5D75" w:rsidRPr="00D12E59" w:rsidRDefault="001C5D75" w:rsidP="00465AE3">
            <w:pPr>
              <w:spacing w:after="0" w:line="240" w:lineRule="auto"/>
              <w:rPr>
                <w:rFonts w:ascii="Book Antiqua" w:hAnsi="Book Antiqua"/>
                <w:color w:val="000000"/>
                <w:lang w:val="en-GB" w:eastAsia="en-GB"/>
              </w:rPr>
            </w:pPr>
          </w:p>
        </w:tc>
        <w:tc>
          <w:tcPr>
            <w:tcW w:w="1199" w:type="dxa"/>
            <w:tcBorders>
              <w:top w:val="nil"/>
              <w:left w:val="nil"/>
              <w:bottom w:val="nil"/>
              <w:right w:val="nil"/>
            </w:tcBorders>
            <w:shd w:val="clear" w:color="auto" w:fill="auto"/>
            <w:noWrap/>
            <w:vAlign w:val="bottom"/>
            <w:hideMark/>
          </w:tcPr>
          <w:p w14:paraId="007819C3" w14:textId="77777777" w:rsidR="001C5D75" w:rsidRPr="00D12E59" w:rsidRDefault="001C5D75" w:rsidP="00465AE3">
            <w:pPr>
              <w:spacing w:after="0" w:line="240" w:lineRule="auto"/>
              <w:rPr>
                <w:rFonts w:ascii="Book Antiqua" w:hAnsi="Book Antiqua"/>
                <w:color w:val="000000"/>
                <w:lang w:val="en-GB" w:eastAsia="en-GB"/>
              </w:rPr>
            </w:pPr>
          </w:p>
        </w:tc>
      </w:tr>
      <w:tr w:rsidR="001C5D75" w:rsidRPr="00D12E59" w14:paraId="54660E58" w14:textId="77777777" w:rsidTr="00EA4D30">
        <w:trPr>
          <w:trHeight w:val="290"/>
        </w:trPr>
        <w:tc>
          <w:tcPr>
            <w:tcW w:w="2410" w:type="dxa"/>
            <w:tcBorders>
              <w:top w:val="nil"/>
              <w:left w:val="nil"/>
              <w:bottom w:val="nil"/>
              <w:right w:val="nil"/>
            </w:tcBorders>
            <w:shd w:val="clear" w:color="auto" w:fill="auto"/>
            <w:noWrap/>
            <w:vAlign w:val="center"/>
            <w:hideMark/>
          </w:tcPr>
          <w:p w14:paraId="5F8FCF74"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eastAsia="en-GB"/>
              </w:rPr>
              <w:t>Gh ¢ 3,000 and above</w:t>
            </w:r>
          </w:p>
        </w:tc>
        <w:tc>
          <w:tcPr>
            <w:tcW w:w="1310" w:type="dxa"/>
            <w:tcBorders>
              <w:top w:val="nil"/>
              <w:left w:val="nil"/>
              <w:bottom w:val="nil"/>
              <w:right w:val="nil"/>
            </w:tcBorders>
            <w:shd w:val="clear" w:color="auto" w:fill="auto"/>
            <w:noWrap/>
            <w:vAlign w:val="center"/>
            <w:hideMark/>
          </w:tcPr>
          <w:p w14:paraId="2B1688CB"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val="en-GB" w:eastAsia="en-GB"/>
              </w:rPr>
              <w:t>9</w:t>
            </w:r>
          </w:p>
        </w:tc>
        <w:tc>
          <w:tcPr>
            <w:tcW w:w="1199" w:type="dxa"/>
            <w:tcBorders>
              <w:top w:val="nil"/>
              <w:left w:val="nil"/>
              <w:bottom w:val="nil"/>
              <w:right w:val="nil"/>
            </w:tcBorders>
            <w:shd w:val="clear" w:color="auto" w:fill="auto"/>
            <w:noWrap/>
            <w:vAlign w:val="center"/>
            <w:hideMark/>
          </w:tcPr>
          <w:p w14:paraId="1A8AA845" w14:textId="77777777" w:rsidR="001C5D75" w:rsidRPr="00D12E59" w:rsidRDefault="001C5D75" w:rsidP="00465AE3">
            <w:pPr>
              <w:spacing w:after="0" w:line="240" w:lineRule="auto"/>
              <w:rPr>
                <w:rFonts w:ascii="Book Antiqua" w:hAnsi="Book Antiqua"/>
                <w:color w:val="000000"/>
                <w:lang w:val="en-GB" w:eastAsia="en-GB"/>
              </w:rPr>
            </w:pPr>
            <w:r w:rsidRPr="00D12E59">
              <w:rPr>
                <w:rFonts w:ascii="Book Antiqua" w:hAnsi="Book Antiqua"/>
                <w:color w:val="000000"/>
                <w:lang w:val="en-GB" w:eastAsia="en-GB"/>
              </w:rPr>
              <w:t>2.9</w:t>
            </w:r>
          </w:p>
        </w:tc>
      </w:tr>
      <w:tr w:rsidR="001C5D75" w:rsidRPr="00D12E59" w14:paraId="44D04284" w14:textId="77777777" w:rsidTr="00EA4D30">
        <w:trPr>
          <w:trHeight w:val="303"/>
        </w:trPr>
        <w:tc>
          <w:tcPr>
            <w:tcW w:w="2410" w:type="dxa"/>
            <w:tcBorders>
              <w:top w:val="nil"/>
              <w:left w:val="nil"/>
              <w:bottom w:val="nil"/>
              <w:right w:val="nil"/>
            </w:tcBorders>
            <w:shd w:val="clear" w:color="auto" w:fill="auto"/>
            <w:noWrap/>
            <w:vAlign w:val="center"/>
            <w:hideMark/>
          </w:tcPr>
          <w:p w14:paraId="6A413768" w14:textId="77777777" w:rsidR="001C5D75" w:rsidRPr="00D12E59" w:rsidRDefault="001C5D75" w:rsidP="00465AE3">
            <w:pPr>
              <w:spacing w:after="0" w:line="240" w:lineRule="auto"/>
              <w:rPr>
                <w:rFonts w:ascii="Book Antiqua" w:hAnsi="Book Antiqua"/>
                <w:color w:val="000000"/>
                <w:lang w:val="en-GB" w:eastAsia="en-GB"/>
              </w:rPr>
            </w:pPr>
          </w:p>
        </w:tc>
        <w:tc>
          <w:tcPr>
            <w:tcW w:w="1310" w:type="dxa"/>
            <w:tcBorders>
              <w:top w:val="nil"/>
              <w:left w:val="nil"/>
              <w:bottom w:val="nil"/>
              <w:right w:val="nil"/>
            </w:tcBorders>
            <w:shd w:val="clear" w:color="auto" w:fill="auto"/>
            <w:noWrap/>
            <w:vAlign w:val="bottom"/>
            <w:hideMark/>
          </w:tcPr>
          <w:p w14:paraId="62F79122" w14:textId="77777777" w:rsidR="001C5D75" w:rsidRPr="00D12E59" w:rsidRDefault="001C5D75" w:rsidP="00465AE3">
            <w:pPr>
              <w:spacing w:after="0" w:line="240" w:lineRule="auto"/>
              <w:rPr>
                <w:rFonts w:ascii="Book Antiqua" w:hAnsi="Book Antiqua"/>
                <w:color w:val="000000"/>
                <w:lang w:val="en-GB" w:eastAsia="en-GB"/>
              </w:rPr>
            </w:pPr>
          </w:p>
        </w:tc>
        <w:tc>
          <w:tcPr>
            <w:tcW w:w="1199" w:type="dxa"/>
            <w:tcBorders>
              <w:top w:val="nil"/>
              <w:left w:val="nil"/>
              <w:bottom w:val="nil"/>
              <w:right w:val="nil"/>
            </w:tcBorders>
            <w:shd w:val="clear" w:color="auto" w:fill="auto"/>
            <w:noWrap/>
            <w:vAlign w:val="bottom"/>
            <w:hideMark/>
          </w:tcPr>
          <w:p w14:paraId="4E87A4F6" w14:textId="77777777" w:rsidR="001C5D75" w:rsidRPr="00D12E59" w:rsidRDefault="001C5D75" w:rsidP="00465AE3">
            <w:pPr>
              <w:spacing w:after="0" w:line="240" w:lineRule="auto"/>
              <w:rPr>
                <w:rFonts w:ascii="Book Antiqua" w:hAnsi="Book Antiqua"/>
                <w:color w:val="000000"/>
                <w:lang w:val="en-GB" w:eastAsia="en-GB"/>
              </w:rPr>
            </w:pPr>
          </w:p>
        </w:tc>
      </w:tr>
      <w:tr w:rsidR="001C5D75" w:rsidRPr="00D12E59" w14:paraId="14E2712B" w14:textId="77777777" w:rsidTr="00EA4D30">
        <w:trPr>
          <w:trHeight w:val="290"/>
        </w:trPr>
        <w:tc>
          <w:tcPr>
            <w:tcW w:w="2410" w:type="dxa"/>
            <w:tcBorders>
              <w:top w:val="nil"/>
              <w:left w:val="nil"/>
              <w:bottom w:val="single" w:sz="4" w:space="0" w:color="auto"/>
              <w:right w:val="nil"/>
            </w:tcBorders>
            <w:shd w:val="clear" w:color="auto" w:fill="auto"/>
            <w:noWrap/>
            <w:vAlign w:val="center"/>
            <w:hideMark/>
          </w:tcPr>
          <w:p w14:paraId="049490EE" w14:textId="77777777" w:rsidR="001C5D75" w:rsidRPr="00D12E59" w:rsidRDefault="001C5D75" w:rsidP="00465AE3">
            <w:pPr>
              <w:spacing w:after="0" w:line="240" w:lineRule="auto"/>
              <w:rPr>
                <w:rFonts w:ascii="Book Antiqua" w:hAnsi="Book Antiqua"/>
                <w:b/>
                <w:bCs/>
                <w:color w:val="000000"/>
                <w:lang w:val="en-GB" w:eastAsia="en-GB"/>
              </w:rPr>
            </w:pPr>
            <w:r w:rsidRPr="00D12E59">
              <w:rPr>
                <w:rFonts w:ascii="Book Antiqua" w:hAnsi="Book Antiqua"/>
                <w:b/>
                <w:bCs/>
                <w:color w:val="000000"/>
                <w:lang w:eastAsia="en-GB"/>
              </w:rPr>
              <w:t>Total</w:t>
            </w:r>
          </w:p>
        </w:tc>
        <w:tc>
          <w:tcPr>
            <w:tcW w:w="1310" w:type="dxa"/>
            <w:tcBorders>
              <w:top w:val="nil"/>
              <w:left w:val="nil"/>
              <w:bottom w:val="single" w:sz="4" w:space="0" w:color="auto"/>
              <w:right w:val="nil"/>
            </w:tcBorders>
            <w:shd w:val="clear" w:color="auto" w:fill="auto"/>
            <w:noWrap/>
            <w:vAlign w:val="center"/>
            <w:hideMark/>
          </w:tcPr>
          <w:p w14:paraId="5288BF2B" w14:textId="77777777" w:rsidR="001C5D75" w:rsidRPr="00D12E59" w:rsidRDefault="001C5D75" w:rsidP="00465AE3">
            <w:pPr>
              <w:spacing w:after="0" w:line="240" w:lineRule="auto"/>
              <w:ind w:firstLineChars="600" w:firstLine="1325"/>
              <w:rPr>
                <w:rFonts w:ascii="Book Antiqua" w:hAnsi="Book Antiqua"/>
                <w:b/>
                <w:bCs/>
                <w:color w:val="000000"/>
                <w:lang w:val="en-GB" w:eastAsia="en-GB"/>
              </w:rPr>
            </w:pPr>
            <w:r w:rsidRPr="00D12E59">
              <w:rPr>
                <w:rFonts w:ascii="Book Antiqua" w:hAnsi="Book Antiqua"/>
                <w:b/>
                <w:bCs/>
                <w:color w:val="000000"/>
                <w:lang w:val="en-GB" w:eastAsia="en-GB"/>
              </w:rPr>
              <w:t>3315</w:t>
            </w:r>
          </w:p>
        </w:tc>
        <w:tc>
          <w:tcPr>
            <w:tcW w:w="1199" w:type="dxa"/>
            <w:tcBorders>
              <w:top w:val="nil"/>
              <w:left w:val="nil"/>
              <w:bottom w:val="single" w:sz="4" w:space="0" w:color="auto"/>
              <w:right w:val="nil"/>
            </w:tcBorders>
            <w:shd w:val="clear" w:color="auto" w:fill="auto"/>
            <w:noWrap/>
            <w:vAlign w:val="center"/>
            <w:hideMark/>
          </w:tcPr>
          <w:p w14:paraId="631AC41D" w14:textId="77777777" w:rsidR="001C5D75" w:rsidRPr="00D12E59" w:rsidRDefault="001C5D75" w:rsidP="00465AE3">
            <w:pPr>
              <w:spacing w:after="0" w:line="240" w:lineRule="auto"/>
              <w:rPr>
                <w:rFonts w:ascii="Book Antiqua" w:hAnsi="Book Antiqua"/>
                <w:b/>
                <w:bCs/>
                <w:color w:val="000000"/>
                <w:lang w:val="en-GB" w:eastAsia="en-GB"/>
              </w:rPr>
            </w:pPr>
            <w:r w:rsidRPr="00D12E59">
              <w:rPr>
                <w:rFonts w:ascii="Book Antiqua" w:hAnsi="Book Antiqua"/>
                <w:b/>
                <w:bCs/>
                <w:color w:val="000000"/>
                <w:lang w:val="en-GB" w:eastAsia="en-GB"/>
              </w:rPr>
              <w:t>100</w:t>
            </w:r>
          </w:p>
        </w:tc>
      </w:tr>
    </w:tbl>
    <w:p w14:paraId="4E1C2FEC" w14:textId="77777777" w:rsidR="002319C6" w:rsidRDefault="001C5D75" w:rsidP="00465AE3">
      <w:pPr>
        <w:widowControl w:val="0"/>
        <w:autoSpaceDE w:val="0"/>
        <w:autoSpaceDN w:val="0"/>
        <w:adjustRightInd w:val="0"/>
        <w:spacing w:after="0"/>
        <w:ind w:right="78"/>
        <w:jc w:val="both"/>
        <w:rPr>
          <w:rFonts w:ascii="Book Antiqua" w:hAnsi="Book Antiqua"/>
        </w:rPr>
      </w:pPr>
      <w:r w:rsidRPr="00E3232D">
        <w:rPr>
          <w:rFonts w:ascii="Book Antiqua" w:hAnsi="Book Antiqua"/>
        </w:rPr>
        <w:t>T</w:t>
      </w:r>
      <w:r w:rsidRPr="00E3232D">
        <w:rPr>
          <w:rFonts w:ascii="Book Antiqua" w:hAnsi="Book Antiqua"/>
          <w:spacing w:val="-1"/>
        </w:rPr>
        <w:t>a</w:t>
      </w:r>
      <w:r w:rsidRPr="00E3232D">
        <w:rPr>
          <w:rFonts w:ascii="Book Antiqua" w:hAnsi="Book Antiqua"/>
        </w:rPr>
        <w:t>ble</w:t>
      </w:r>
      <w:r w:rsidRPr="00E3232D">
        <w:rPr>
          <w:rFonts w:ascii="Book Antiqua" w:hAnsi="Book Antiqua"/>
          <w:spacing w:val="4"/>
        </w:rPr>
        <w:t xml:space="preserve"> </w:t>
      </w:r>
      <w:r w:rsidRPr="00E3232D">
        <w:rPr>
          <w:rFonts w:ascii="Book Antiqua" w:hAnsi="Book Antiqua"/>
        </w:rPr>
        <w:t>3 st</w:t>
      </w:r>
      <w:r w:rsidRPr="00E3232D">
        <w:rPr>
          <w:rFonts w:ascii="Book Antiqua" w:hAnsi="Book Antiqua"/>
          <w:spacing w:val="1"/>
        </w:rPr>
        <w:t>i</w:t>
      </w:r>
      <w:r w:rsidRPr="00E3232D">
        <w:rPr>
          <w:rFonts w:ascii="Book Antiqua" w:hAnsi="Book Antiqua"/>
        </w:rPr>
        <w:t>pul</w:t>
      </w:r>
      <w:r w:rsidRPr="00E3232D">
        <w:rPr>
          <w:rFonts w:ascii="Book Antiqua" w:hAnsi="Book Antiqua"/>
          <w:spacing w:val="2"/>
        </w:rPr>
        <w:t>a</w:t>
      </w:r>
      <w:r w:rsidRPr="00E3232D">
        <w:rPr>
          <w:rFonts w:ascii="Book Antiqua" w:hAnsi="Book Antiqua"/>
        </w:rPr>
        <w:t>tes</w:t>
      </w:r>
      <w:r w:rsidRPr="00E3232D">
        <w:rPr>
          <w:rFonts w:ascii="Book Antiqua" w:hAnsi="Book Antiqua"/>
          <w:spacing w:val="4"/>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spacing w:val="-1"/>
        </w:rPr>
        <w:t>a</w:t>
      </w:r>
      <w:r w:rsidRPr="00E3232D">
        <w:rPr>
          <w:rFonts w:ascii="Book Antiqua" w:hAnsi="Book Antiqua"/>
        </w:rPr>
        <w:t>mount</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spacing w:val="1"/>
        </w:rPr>
        <w:t>c</w:t>
      </w:r>
      <w:r w:rsidRPr="00E3232D">
        <w:rPr>
          <w:rFonts w:ascii="Book Antiqua" w:hAnsi="Book Antiqua"/>
        </w:rPr>
        <w:t>r</w:t>
      </w:r>
      <w:r w:rsidRPr="00E3232D">
        <w:rPr>
          <w:rFonts w:ascii="Book Antiqua" w:hAnsi="Book Antiqua"/>
          <w:spacing w:val="-2"/>
        </w:rPr>
        <w:t>e</w:t>
      </w:r>
      <w:r w:rsidRPr="00E3232D">
        <w:rPr>
          <w:rFonts w:ascii="Book Antiqua" w:hAnsi="Book Antiqua"/>
        </w:rPr>
        <w:t>dit</w:t>
      </w:r>
      <w:r w:rsidRPr="00E3232D">
        <w:rPr>
          <w:rFonts w:ascii="Book Antiqua" w:hAnsi="Book Antiqua"/>
          <w:spacing w:val="7"/>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spacing w:val="-1"/>
        </w:rPr>
        <w:t>ce</w:t>
      </w:r>
      <w:r w:rsidRPr="00E3232D">
        <w:rPr>
          <w:rFonts w:ascii="Book Antiqua" w:hAnsi="Book Antiqua"/>
        </w:rPr>
        <w:t>i</w:t>
      </w:r>
      <w:r w:rsidRPr="00E3232D">
        <w:rPr>
          <w:rFonts w:ascii="Book Antiqua" w:hAnsi="Book Antiqua"/>
          <w:spacing w:val="3"/>
        </w:rPr>
        <w:t>v</w:t>
      </w:r>
      <w:r w:rsidRPr="00E3232D">
        <w:rPr>
          <w:rFonts w:ascii="Book Antiqua" w:hAnsi="Book Antiqua"/>
          <w:spacing w:val="-1"/>
        </w:rPr>
        <w:t>e</w:t>
      </w:r>
      <w:r w:rsidRPr="00E3232D">
        <w:rPr>
          <w:rFonts w:ascii="Book Antiqua" w:hAnsi="Book Antiqua"/>
        </w:rPr>
        <w:t>d</w:t>
      </w:r>
      <w:r w:rsidRPr="00E3232D">
        <w:rPr>
          <w:rFonts w:ascii="Book Antiqua" w:hAnsi="Book Antiqua"/>
          <w:spacing w:val="4"/>
        </w:rPr>
        <w:t xml:space="preserve"> </w:t>
      </w:r>
      <w:r w:rsidRPr="00E3232D">
        <w:rPr>
          <w:rFonts w:ascii="Book Antiqua" w:hAnsi="Book Antiqua"/>
          <w:spacing w:val="5"/>
        </w:rPr>
        <w:t>b</w:t>
      </w:r>
      <w:r w:rsidRPr="00E3232D">
        <w:rPr>
          <w:rFonts w:ascii="Book Antiqua" w:hAnsi="Book Antiqua"/>
        </w:rPr>
        <w:t>y potential</w:t>
      </w:r>
      <w:r w:rsidRPr="00E3232D">
        <w:rPr>
          <w:rFonts w:ascii="Book Antiqua" w:hAnsi="Book Antiqua"/>
          <w:spacing w:val="4"/>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4"/>
        </w:rPr>
        <w:t xml:space="preserve"> </w:t>
      </w:r>
      <w:r w:rsidRPr="00E3232D">
        <w:rPr>
          <w:rFonts w:ascii="Book Antiqua" w:hAnsi="Book Antiqua"/>
          <w:spacing w:val="-1"/>
        </w:rPr>
        <w:t>e</w:t>
      </w:r>
      <w:r w:rsidRPr="00E3232D">
        <w:rPr>
          <w:rFonts w:ascii="Book Antiqua" w:hAnsi="Book Antiqua"/>
        </w:rPr>
        <w:t>nt</w:t>
      </w:r>
      <w:r w:rsidRPr="00E3232D">
        <w:rPr>
          <w:rFonts w:ascii="Book Antiqua" w:hAnsi="Book Antiqua"/>
          <w:spacing w:val="2"/>
        </w:rPr>
        <w: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 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rPr>
        <w:t>f</w:t>
      </w:r>
      <w:r w:rsidRPr="00E3232D">
        <w:rPr>
          <w:rFonts w:ascii="Book Antiqua" w:hAnsi="Book Antiqua"/>
          <w:spacing w:val="-1"/>
        </w:rPr>
        <w:t>r</w:t>
      </w:r>
      <w:r w:rsidRPr="00E3232D">
        <w:rPr>
          <w:rFonts w:ascii="Book Antiqua" w:hAnsi="Book Antiqua"/>
        </w:rPr>
        <w:t>om</w:t>
      </w:r>
      <w:r w:rsidRPr="00E3232D">
        <w:rPr>
          <w:rFonts w:ascii="Book Antiqua" w:hAnsi="Book Antiqua"/>
          <w:spacing w:val="5"/>
        </w:rPr>
        <w:t xml:space="preserve"> </w:t>
      </w:r>
      <w:r w:rsidRPr="00E3232D">
        <w:rPr>
          <w:rFonts w:ascii="Book Antiqua" w:hAnsi="Book Antiqua"/>
          <w:spacing w:val="-1"/>
        </w:rPr>
        <w:t>c</w:t>
      </w:r>
      <w:r w:rsidRPr="00E3232D">
        <w:rPr>
          <w:rFonts w:ascii="Book Antiqua" w:hAnsi="Book Antiqua"/>
        </w:rPr>
        <w:t>r</w:t>
      </w:r>
      <w:r w:rsidRPr="00E3232D">
        <w:rPr>
          <w:rFonts w:ascii="Book Antiqua" w:hAnsi="Book Antiqua"/>
          <w:spacing w:val="-2"/>
        </w:rPr>
        <w:t>e</w:t>
      </w:r>
      <w:r w:rsidRPr="00E3232D">
        <w:rPr>
          <w:rFonts w:ascii="Book Antiqua" w:hAnsi="Book Antiqua"/>
        </w:rPr>
        <w:t>dit</w:t>
      </w:r>
      <w:r w:rsidRPr="00E3232D">
        <w:rPr>
          <w:rFonts w:ascii="Book Antiqua" w:hAnsi="Book Antiqua"/>
          <w:spacing w:val="2"/>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ovide</w:t>
      </w:r>
      <w:r w:rsidRPr="00E3232D">
        <w:rPr>
          <w:rFonts w:ascii="Book Antiqua" w:hAnsi="Book Antiqua"/>
          <w:spacing w:val="-1"/>
        </w:rPr>
        <w:t>r</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rPr>
        <w:t>in</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tam</w:t>
      </w:r>
      <w:r w:rsidRPr="00E3232D">
        <w:rPr>
          <w:rFonts w:ascii="Book Antiqua" w:hAnsi="Book Antiqua"/>
          <w:spacing w:val="-1"/>
        </w:rPr>
        <w:t>a</w:t>
      </w:r>
      <w:r w:rsidRPr="00E3232D">
        <w:rPr>
          <w:rFonts w:ascii="Book Antiqua" w:hAnsi="Book Antiqua"/>
        </w:rPr>
        <w:t>le</w:t>
      </w:r>
      <w:r w:rsidRPr="00E3232D">
        <w:rPr>
          <w:rFonts w:ascii="Book Antiqua" w:hAnsi="Book Antiqua"/>
          <w:spacing w:val="3"/>
        </w:rPr>
        <w:t xml:space="preserve"> </w:t>
      </w:r>
      <w:r w:rsidRPr="00E3232D">
        <w:rPr>
          <w:rFonts w:ascii="Book Antiqua" w:hAnsi="Book Antiqua"/>
        </w:rPr>
        <w:t>m</w:t>
      </w:r>
      <w:r w:rsidRPr="00E3232D">
        <w:rPr>
          <w:rFonts w:ascii="Book Antiqua" w:hAnsi="Book Antiqua"/>
          <w:spacing w:val="2"/>
        </w:rPr>
        <w:t>e</w:t>
      </w:r>
      <w:r w:rsidRPr="00E3232D">
        <w:rPr>
          <w:rFonts w:ascii="Book Antiqua" w:hAnsi="Book Antiqua"/>
        </w:rPr>
        <w:t>tropolis.</w:t>
      </w:r>
      <w:r w:rsidRPr="00E3232D">
        <w:rPr>
          <w:rFonts w:ascii="Book Antiqua" w:hAnsi="Book Antiqua"/>
          <w:spacing w:val="4"/>
        </w:rPr>
        <w:t xml:space="preserve"> </w:t>
      </w:r>
      <w:r w:rsidRPr="00E3232D">
        <w:rPr>
          <w:rFonts w:ascii="Book Antiqua" w:hAnsi="Book Antiqua"/>
        </w:rPr>
        <w:t>This</w:t>
      </w:r>
      <w:r w:rsidRPr="00E3232D">
        <w:rPr>
          <w:rFonts w:ascii="Book Antiqua" w:hAnsi="Book Antiqua"/>
          <w:spacing w:val="3"/>
        </w:rPr>
        <w:t xml:space="preserve"> </w:t>
      </w:r>
      <w:r w:rsidRPr="00E3232D">
        <w:rPr>
          <w:rFonts w:ascii="Book Antiqua" w:hAnsi="Book Antiqua"/>
        </w:rPr>
        <w:t>the</w:t>
      </w:r>
      <w:r w:rsidRPr="00E3232D">
        <w:rPr>
          <w:rFonts w:ascii="Book Antiqua" w:hAnsi="Book Antiqua"/>
          <w:spacing w:val="-1"/>
        </w:rPr>
        <w:t>re</w:t>
      </w:r>
      <w:r w:rsidRPr="00E3232D">
        <w:rPr>
          <w:rFonts w:ascii="Book Antiqua" w:hAnsi="Book Antiqua"/>
        </w:rPr>
        <w:t>fo</w:t>
      </w:r>
      <w:r w:rsidRPr="00E3232D">
        <w:rPr>
          <w:rFonts w:ascii="Book Antiqua" w:hAnsi="Book Antiqua"/>
          <w:spacing w:val="1"/>
        </w:rPr>
        <w:t>r</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spacing w:val="-2"/>
        </w:rPr>
        <w:t>g</w:t>
      </w:r>
      <w:r w:rsidRPr="00E3232D">
        <w:rPr>
          <w:rFonts w:ascii="Book Antiqua" w:hAnsi="Book Antiqua"/>
        </w:rPr>
        <w:t>o</w:t>
      </w:r>
      <w:r w:rsidRPr="00E3232D">
        <w:rPr>
          <w:rFonts w:ascii="Book Antiqua" w:hAnsi="Book Antiqua"/>
          <w:spacing w:val="-1"/>
        </w:rPr>
        <w:t>e</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rPr>
        <w:t>with</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2"/>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st</w:t>
      </w:r>
      <w:r w:rsidRPr="00E3232D">
        <w:rPr>
          <w:rFonts w:ascii="Book Antiqua" w:hAnsi="Book Antiqua"/>
          <w:spacing w:val="3"/>
        </w:rPr>
        <w:t xml:space="preserve"> </w:t>
      </w:r>
      <w:r w:rsidRPr="00E3232D">
        <w:rPr>
          <w:rFonts w:ascii="Book Antiqua" w:hAnsi="Book Antiqua"/>
          <w:spacing w:val="1"/>
        </w:rPr>
        <w:t>r</w:t>
      </w:r>
      <w:r w:rsidRPr="00E3232D">
        <w:rPr>
          <w:rFonts w:ascii="Book Antiqua" w:hAnsi="Book Antiqua"/>
          <w:spacing w:val="-1"/>
        </w:rPr>
        <w:t>a</w:t>
      </w:r>
      <w:r w:rsidRPr="00E3232D">
        <w:rPr>
          <w:rFonts w:ascii="Book Antiqua" w:hAnsi="Book Antiqua"/>
          <w:spacing w:val="2"/>
        </w:rPr>
        <w:t>n</w:t>
      </w:r>
      <w:r w:rsidRPr="00E3232D">
        <w:rPr>
          <w:rFonts w:ascii="Book Antiqua" w:hAnsi="Book Antiqua"/>
          <w:spacing w:val="-2"/>
        </w:rPr>
        <w:t>g</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of</w:t>
      </w:r>
      <w:r w:rsidRPr="00E3232D">
        <w:rPr>
          <w:rFonts w:ascii="Book Antiqua" w:hAnsi="Book Antiqua"/>
          <w:spacing w:val="4"/>
        </w:rPr>
        <w:t xml:space="preserve"> 5</w:t>
      </w:r>
      <w:r w:rsidRPr="00E3232D">
        <w:rPr>
          <w:rFonts w:ascii="Book Antiqua" w:hAnsi="Book Antiqua"/>
          <w:spacing w:val="-1"/>
        </w:rPr>
        <w:t>-</w:t>
      </w:r>
      <w:r w:rsidRPr="00E3232D">
        <w:rPr>
          <w:rFonts w:ascii="Book Antiqua" w:hAnsi="Book Antiqua"/>
          <w:spacing w:val="2"/>
        </w:rPr>
        <w:t>1</w:t>
      </w:r>
      <w:r w:rsidRPr="00E3232D">
        <w:rPr>
          <w:rFonts w:ascii="Book Antiqua" w:hAnsi="Book Antiqua"/>
        </w:rPr>
        <w:t>5%</w:t>
      </w:r>
      <w:r w:rsidRPr="00E3232D">
        <w:rPr>
          <w:rFonts w:ascii="Book Antiqua" w:hAnsi="Book Antiqua"/>
          <w:spacing w:val="1"/>
        </w:rPr>
        <w:t xml:space="preserve"> </w:t>
      </w:r>
      <w:r w:rsidRPr="00E3232D">
        <w:rPr>
          <w:rFonts w:ascii="Book Antiqua" w:hAnsi="Book Antiqua"/>
        </w:rPr>
        <w:t>b</w:t>
      </w:r>
      <w:r w:rsidRPr="00E3232D">
        <w:rPr>
          <w:rFonts w:ascii="Book Antiqua" w:hAnsi="Book Antiqua"/>
          <w:spacing w:val="-1"/>
        </w:rPr>
        <w:t>e</w:t>
      </w:r>
      <w:r w:rsidRPr="00E3232D">
        <w:rPr>
          <w:rFonts w:ascii="Book Antiqua" w:hAnsi="Book Antiqua"/>
        </w:rPr>
        <w:t>i</w:t>
      </w:r>
      <w:r w:rsidRPr="00E3232D">
        <w:rPr>
          <w:rFonts w:ascii="Book Antiqua" w:hAnsi="Book Antiqua"/>
          <w:spacing w:val="3"/>
        </w:rPr>
        <w:t>n</w:t>
      </w:r>
      <w:r w:rsidRPr="00E3232D">
        <w:rPr>
          <w:rFonts w:ascii="Book Antiqua" w:hAnsi="Book Antiqua"/>
        </w:rPr>
        <w:t>g the</w:t>
      </w:r>
      <w:r w:rsidRPr="00E3232D">
        <w:rPr>
          <w:rFonts w:ascii="Book Antiqua" w:hAnsi="Book Antiqua"/>
          <w:spacing w:val="2"/>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dom</w:t>
      </w:r>
      <w:r w:rsidRPr="00E3232D">
        <w:rPr>
          <w:rFonts w:ascii="Book Antiqua" w:hAnsi="Book Antiqua"/>
          <w:spacing w:val="1"/>
        </w:rPr>
        <w:t>i</w:t>
      </w:r>
      <w:r w:rsidRPr="00E3232D">
        <w:rPr>
          <w:rFonts w:ascii="Book Antiqua" w:hAnsi="Book Antiqua"/>
        </w:rPr>
        <w:t>n</w:t>
      </w:r>
      <w:r w:rsidRPr="00E3232D">
        <w:rPr>
          <w:rFonts w:ascii="Book Antiqua" w:hAnsi="Book Antiqua"/>
          <w:spacing w:val="1"/>
        </w:rPr>
        <w:t>a</w:t>
      </w:r>
      <w:r w:rsidRPr="00E3232D">
        <w:rPr>
          <w:rFonts w:ascii="Book Antiqua" w:hAnsi="Book Antiqua"/>
        </w:rPr>
        <w:t>nt</w:t>
      </w:r>
      <w:r w:rsidRPr="00E3232D">
        <w:rPr>
          <w:rFonts w:ascii="Book Antiqua" w:hAnsi="Book Antiqua"/>
          <w:spacing w:val="3"/>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st</w:t>
      </w:r>
      <w:r w:rsidRPr="00E3232D">
        <w:rPr>
          <w:rFonts w:ascii="Book Antiqua" w:hAnsi="Book Antiqua"/>
          <w:spacing w:val="3"/>
        </w:rPr>
        <w:t xml:space="preserve"> </w:t>
      </w:r>
      <w:r w:rsidRPr="00E3232D">
        <w:rPr>
          <w:rFonts w:ascii="Book Antiqua" w:hAnsi="Book Antiqua"/>
        </w:rPr>
        <w:t>for the low</w:t>
      </w:r>
      <w:r w:rsidRPr="00E3232D">
        <w:rPr>
          <w:rFonts w:ascii="Book Antiqua" w:hAnsi="Book Antiqua"/>
          <w:spacing w:val="-1"/>
        </w:rPr>
        <w:t>e</w:t>
      </w:r>
      <w:r w:rsidRPr="00E3232D">
        <w:rPr>
          <w:rFonts w:ascii="Book Antiqua" w:hAnsi="Book Antiqua"/>
        </w:rPr>
        <w:t xml:space="preserve">r </w:t>
      </w:r>
      <w:r w:rsidRPr="00E3232D">
        <w:rPr>
          <w:rFonts w:ascii="Book Antiqua" w:hAnsi="Book Antiqua"/>
          <w:spacing w:val="1"/>
        </w:rPr>
        <w:t>r</w:t>
      </w:r>
      <w:r w:rsidRPr="00E3232D">
        <w:rPr>
          <w:rFonts w:ascii="Book Antiqua" w:hAnsi="Book Antiqua"/>
          <w:spacing w:val="-1"/>
        </w:rPr>
        <w:t>a</w:t>
      </w:r>
      <w:r w:rsidRPr="00E3232D">
        <w:rPr>
          <w:rFonts w:ascii="Book Antiqua" w:hAnsi="Book Antiqua"/>
          <w:spacing w:val="2"/>
        </w:rPr>
        <w:t>n</w:t>
      </w:r>
      <w:r w:rsidRPr="00E3232D">
        <w:rPr>
          <w:rFonts w:ascii="Book Antiqua" w:hAnsi="Book Antiqua"/>
          <w:spacing w:val="-2"/>
        </w:rPr>
        <w:t>g</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bo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w:t>
      </w:r>
      <w:r w:rsidRPr="00E3232D">
        <w:rPr>
          <w:rFonts w:ascii="Book Antiqua" w:hAnsi="Book Antiqua"/>
          <w:spacing w:val="1"/>
        </w:rPr>
        <w:t>er</w:t>
      </w:r>
      <w:r w:rsidRPr="00E3232D">
        <w:rPr>
          <w:rFonts w:ascii="Book Antiqua" w:hAnsi="Book Antiqua"/>
        </w:rPr>
        <w:t>s. About</w:t>
      </w:r>
      <w:r w:rsidRPr="00E3232D">
        <w:rPr>
          <w:rFonts w:ascii="Book Antiqua" w:hAnsi="Book Antiqua"/>
          <w:spacing w:val="12"/>
        </w:rPr>
        <w:t xml:space="preserve"> </w:t>
      </w:r>
      <w:r w:rsidRPr="00E3232D">
        <w:rPr>
          <w:rFonts w:ascii="Book Antiqua" w:hAnsi="Book Antiqua"/>
        </w:rPr>
        <w:t>18</w:t>
      </w:r>
      <w:r w:rsidRPr="00E3232D">
        <w:rPr>
          <w:rFonts w:ascii="Book Antiqua" w:hAnsi="Book Antiqua"/>
          <w:spacing w:val="12"/>
        </w:rPr>
        <w:t xml:space="preserve"> </w:t>
      </w:r>
      <w:r w:rsidRPr="00E3232D">
        <w:rPr>
          <w:rFonts w:ascii="Book Antiqua" w:hAnsi="Book Antiqua"/>
        </w:rPr>
        <w:t>(25.</w:t>
      </w:r>
      <w:r w:rsidRPr="00E3232D">
        <w:rPr>
          <w:rFonts w:ascii="Book Antiqua" w:hAnsi="Book Antiqua"/>
          <w:spacing w:val="-1"/>
        </w:rPr>
        <w:t>7%</w:t>
      </w:r>
      <w:r w:rsidRPr="00E3232D">
        <w:rPr>
          <w:rFonts w:ascii="Book Antiqua" w:hAnsi="Book Antiqua"/>
        </w:rPr>
        <w:t>)</w:t>
      </w:r>
      <w:r w:rsidRPr="00E3232D">
        <w:rPr>
          <w:rFonts w:ascii="Book Antiqua" w:hAnsi="Book Antiqua"/>
          <w:spacing w:val="11"/>
        </w:rPr>
        <w:t xml:space="preserve"> </w:t>
      </w:r>
      <w:r w:rsidRPr="00E3232D">
        <w:rPr>
          <w:rFonts w:ascii="Book Antiqua" w:hAnsi="Book Antiqua"/>
        </w:rPr>
        <w:t>of</w:t>
      </w:r>
      <w:r w:rsidRPr="00E3232D">
        <w:rPr>
          <w:rFonts w:ascii="Book Antiqua" w:hAnsi="Book Antiqua"/>
          <w:spacing w:val="11"/>
        </w:rPr>
        <w:t xml:space="preserve"> </w:t>
      </w:r>
      <w:r w:rsidRPr="00E3232D">
        <w:rPr>
          <w:rFonts w:ascii="Book Antiqua" w:hAnsi="Book Antiqua"/>
        </w:rPr>
        <w:t>them</w:t>
      </w:r>
      <w:r w:rsidRPr="00E3232D">
        <w:rPr>
          <w:rFonts w:ascii="Book Antiqua" w:hAnsi="Book Antiqua"/>
          <w:spacing w:val="12"/>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spacing w:val="-1"/>
        </w:rPr>
        <w:t>ce</w:t>
      </w:r>
      <w:r w:rsidRPr="00E3232D">
        <w:rPr>
          <w:rFonts w:ascii="Book Antiqua" w:hAnsi="Book Antiqua"/>
        </w:rPr>
        <w:t>ived</w:t>
      </w:r>
      <w:r w:rsidRPr="00E3232D">
        <w:rPr>
          <w:rFonts w:ascii="Book Antiqua" w:hAnsi="Book Antiqua"/>
          <w:spacing w:val="11"/>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12"/>
        </w:rPr>
        <w:t xml:space="preserve"> </w:t>
      </w:r>
      <w:r w:rsidRPr="00E3232D">
        <w:rPr>
          <w:rFonts w:ascii="Book Antiqua" w:hAnsi="Book Antiqua"/>
          <w:spacing w:val="-1"/>
        </w:rPr>
        <w:t>a</w:t>
      </w:r>
      <w:r w:rsidRPr="00E3232D">
        <w:rPr>
          <w:rFonts w:ascii="Book Antiqua" w:hAnsi="Book Antiqua"/>
          <w:spacing w:val="3"/>
        </w:rPr>
        <w:t>m</w:t>
      </w:r>
      <w:r w:rsidRPr="00E3232D">
        <w:rPr>
          <w:rFonts w:ascii="Book Antiqua" w:hAnsi="Book Antiqua"/>
        </w:rPr>
        <w:t>ount</w:t>
      </w:r>
      <w:r w:rsidRPr="00E3232D">
        <w:rPr>
          <w:rFonts w:ascii="Book Antiqua" w:hAnsi="Book Antiqua"/>
          <w:spacing w:val="12"/>
        </w:rPr>
        <w:t xml:space="preserve"> </w:t>
      </w:r>
      <w:r w:rsidRPr="00E3232D">
        <w:rPr>
          <w:rFonts w:ascii="Book Antiqua" w:hAnsi="Book Antiqua"/>
        </w:rPr>
        <w:t>of</w:t>
      </w:r>
      <w:r w:rsidRPr="00E3232D">
        <w:rPr>
          <w:rFonts w:ascii="Book Antiqua" w:hAnsi="Book Antiqua"/>
          <w:spacing w:val="11"/>
        </w:rPr>
        <w:t xml:space="preserve"> </w:t>
      </w:r>
      <w:r w:rsidRPr="00E3232D">
        <w:rPr>
          <w:rFonts w:ascii="Book Antiqua" w:hAnsi="Book Antiqua"/>
          <w:spacing w:val="3"/>
        </w:rPr>
        <w:t>1</w:t>
      </w:r>
      <w:r w:rsidRPr="00E3232D">
        <w:rPr>
          <w:rFonts w:ascii="Book Antiqua" w:hAnsi="Book Antiqua"/>
          <w:spacing w:val="-1"/>
        </w:rPr>
        <w:t>-</w:t>
      </w:r>
      <w:r w:rsidRPr="00E3232D">
        <w:rPr>
          <w:rFonts w:ascii="Book Antiqua" w:hAnsi="Book Antiqua"/>
        </w:rPr>
        <w:t>2</w:t>
      </w:r>
      <w:r w:rsidRPr="00E3232D">
        <w:rPr>
          <w:rFonts w:ascii="Book Antiqua" w:hAnsi="Book Antiqua"/>
          <w:spacing w:val="12"/>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rPr>
        <w:t>l</w:t>
      </w:r>
      <w:r w:rsidRPr="00E3232D">
        <w:rPr>
          <w:rFonts w:ascii="Book Antiqua" w:hAnsi="Book Antiqua"/>
          <w:spacing w:val="1"/>
        </w:rPr>
        <w:t>l</w:t>
      </w:r>
      <w:r w:rsidRPr="00E3232D">
        <w:rPr>
          <w:rFonts w:ascii="Book Antiqua" w:hAnsi="Book Antiqua"/>
        </w:rPr>
        <w:t>ion</w:t>
      </w:r>
      <w:r w:rsidRPr="00E3232D">
        <w:rPr>
          <w:rFonts w:ascii="Book Antiqua" w:hAnsi="Book Antiqua"/>
          <w:spacing w:val="10"/>
        </w:rPr>
        <w:t xml:space="preserve"> </w:t>
      </w:r>
      <w:r w:rsidRPr="00E3232D">
        <w:rPr>
          <w:rFonts w:ascii="Book Antiqua" w:hAnsi="Book Antiqua"/>
          <w:spacing w:val="-1"/>
        </w:rPr>
        <w:t>ce</w:t>
      </w:r>
      <w:r w:rsidRPr="00E3232D">
        <w:rPr>
          <w:rFonts w:ascii="Book Antiqua" w:hAnsi="Book Antiqua"/>
        </w:rPr>
        <w:t>dis</w:t>
      </w:r>
      <w:r w:rsidRPr="00E3232D">
        <w:rPr>
          <w:rFonts w:ascii="Book Antiqua" w:hAnsi="Book Antiqua"/>
          <w:spacing w:val="12"/>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2"/>
        </w:rPr>
        <w:t xml:space="preserve"> </w:t>
      </w:r>
      <w:r w:rsidRPr="00E3232D">
        <w:rPr>
          <w:rFonts w:ascii="Book Antiqua" w:hAnsi="Book Antiqua"/>
        </w:rPr>
        <w:t>w</w:t>
      </w:r>
      <w:r w:rsidRPr="00E3232D">
        <w:rPr>
          <w:rFonts w:ascii="Book Antiqua" w:hAnsi="Book Antiqua"/>
          <w:spacing w:val="-1"/>
        </w:rPr>
        <w:t>e</w:t>
      </w:r>
      <w:r w:rsidRPr="00E3232D">
        <w:rPr>
          <w:rFonts w:ascii="Book Antiqua" w:hAnsi="Book Antiqua"/>
        </w:rPr>
        <w:t>re</w:t>
      </w:r>
      <w:r w:rsidRPr="00E3232D">
        <w:rPr>
          <w:rFonts w:ascii="Book Antiqua" w:hAnsi="Book Antiqua"/>
          <w:spacing w:val="10"/>
        </w:rPr>
        <w:t xml:space="preserv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rPr>
        <w:t>p</w:t>
      </w:r>
      <w:r w:rsidRPr="00E3232D">
        <w:rPr>
          <w:rFonts w:ascii="Book Antiqua" w:hAnsi="Book Antiqua"/>
          <w:spacing w:val="-1"/>
        </w:rPr>
        <w:t>ec</w:t>
      </w:r>
      <w:r w:rsidRPr="00E3232D">
        <w:rPr>
          <w:rFonts w:ascii="Book Antiqua" w:hAnsi="Book Antiqua"/>
        </w:rPr>
        <w:t>ted to</w:t>
      </w:r>
      <w:r w:rsidRPr="00E3232D">
        <w:rPr>
          <w:rFonts w:ascii="Book Antiqua" w:hAnsi="Book Antiqua"/>
          <w:spacing w:val="58"/>
        </w:rPr>
        <w:t xml:space="preserve"> </w:t>
      </w:r>
      <w:r w:rsidRPr="00E3232D">
        <w:rPr>
          <w:rFonts w:ascii="Book Antiqua" w:hAnsi="Book Antiqua"/>
        </w:rPr>
        <w:t>p</w:t>
      </w:r>
      <w:r w:rsidRPr="00E3232D">
        <w:rPr>
          <w:rFonts w:ascii="Book Antiqua" w:hAnsi="Book Antiqua"/>
          <w:spacing w:val="1"/>
        </w:rPr>
        <w:t>a</w:t>
      </w:r>
      <w:r w:rsidRPr="00E3232D">
        <w:rPr>
          <w:rFonts w:ascii="Book Antiqua" w:hAnsi="Book Antiqua"/>
        </w:rPr>
        <w:t>y</w:t>
      </w:r>
      <w:r w:rsidRPr="00E3232D">
        <w:rPr>
          <w:rFonts w:ascii="Book Antiqua" w:hAnsi="Book Antiqua"/>
          <w:spacing w:val="53"/>
        </w:rPr>
        <w:t xml:space="preserve"> </w:t>
      </w:r>
      <w:r w:rsidRPr="00E3232D">
        <w:rPr>
          <w:rFonts w:ascii="Book Antiqua" w:hAnsi="Book Antiqua"/>
        </w:rPr>
        <w:t>2</w:t>
      </w:r>
      <w:r w:rsidRPr="00E3232D">
        <w:rPr>
          <w:rFonts w:ascii="Book Antiqua" w:hAnsi="Book Antiqua"/>
          <w:spacing w:val="57"/>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rPr>
        <w:t>l</w:t>
      </w:r>
      <w:r w:rsidRPr="00E3232D">
        <w:rPr>
          <w:rFonts w:ascii="Book Antiqua" w:hAnsi="Book Antiqua"/>
          <w:spacing w:val="1"/>
        </w:rPr>
        <w:t>l</w:t>
      </w:r>
      <w:r w:rsidRPr="00E3232D">
        <w:rPr>
          <w:rFonts w:ascii="Book Antiqua" w:hAnsi="Book Antiqua"/>
        </w:rPr>
        <w:t>ion</w:t>
      </w:r>
      <w:r w:rsidRPr="00E3232D">
        <w:rPr>
          <w:rFonts w:ascii="Book Antiqua" w:hAnsi="Book Antiqua"/>
          <w:spacing w:val="58"/>
        </w:rPr>
        <w:t xml:space="preserve"> </w:t>
      </w:r>
      <w:r w:rsidRPr="00E3232D">
        <w:rPr>
          <w:rFonts w:ascii="Book Antiqua" w:hAnsi="Book Antiqua"/>
          <w:spacing w:val="-1"/>
        </w:rPr>
        <w:t>ce</w:t>
      </w:r>
      <w:r w:rsidRPr="00E3232D">
        <w:rPr>
          <w:rFonts w:ascii="Book Antiqua" w:hAnsi="Book Antiqua"/>
        </w:rPr>
        <w:t>dis. This</w:t>
      </w:r>
      <w:r w:rsidRPr="00E3232D">
        <w:rPr>
          <w:rFonts w:ascii="Book Antiqua" w:hAnsi="Book Antiqua"/>
          <w:spacing w:val="58"/>
        </w:rPr>
        <w:t xml:space="preserve"> </w:t>
      </w:r>
      <w:r w:rsidRPr="00E3232D">
        <w:rPr>
          <w:rFonts w:ascii="Book Antiqua" w:hAnsi="Book Antiqua"/>
        </w:rPr>
        <w:t>w</w:t>
      </w:r>
      <w:r w:rsidRPr="00E3232D">
        <w:rPr>
          <w:rFonts w:ascii="Book Antiqua" w:hAnsi="Book Antiqua"/>
          <w:spacing w:val="-1"/>
        </w:rPr>
        <w:t>e</w:t>
      </w:r>
      <w:r w:rsidRPr="00E3232D">
        <w:rPr>
          <w:rFonts w:ascii="Book Antiqua" w:hAnsi="Book Antiqua"/>
        </w:rPr>
        <w:t>nt</w:t>
      </w:r>
      <w:r w:rsidRPr="00E3232D">
        <w:rPr>
          <w:rFonts w:ascii="Book Antiqua" w:hAnsi="Book Antiqua"/>
          <w:spacing w:val="58"/>
        </w:rPr>
        <w:t xml:space="preserve"> </w:t>
      </w:r>
      <w:r w:rsidRPr="00E3232D">
        <w:rPr>
          <w:rFonts w:ascii="Book Antiqua" w:hAnsi="Book Antiqua"/>
        </w:rPr>
        <w:t>with</w:t>
      </w:r>
      <w:r w:rsidRPr="00E3232D">
        <w:rPr>
          <w:rFonts w:ascii="Book Antiqua" w:hAnsi="Book Antiqua"/>
          <w:spacing w:val="58"/>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57"/>
        </w:rPr>
        <w:t xml:space="preserve"> </w:t>
      </w:r>
      <w:r w:rsidRPr="00E3232D">
        <w:rPr>
          <w:rFonts w:ascii="Book Antiqua" w:hAnsi="Book Antiqua"/>
        </w:rPr>
        <w:t>i</w:t>
      </w:r>
      <w:r w:rsidRPr="00E3232D">
        <w:rPr>
          <w:rFonts w:ascii="Book Antiqua" w:hAnsi="Book Antiqua"/>
          <w:spacing w:val="-2"/>
        </w:rPr>
        <w:t>n</w:t>
      </w:r>
      <w:r w:rsidRPr="00E3232D">
        <w:rPr>
          <w:rFonts w:ascii="Book Antiqua" w:hAnsi="Book Antiqua"/>
        </w:rPr>
        <w:t>te</w:t>
      </w:r>
      <w:r w:rsidRPr="00E3232D">
        <w:rPr>
          <w:rFonts w:ascii="Book Antiqua" w:hAnsi="Book Antiqua"/>
          <w:spacing w:val="-1"/>
        </w:rPr>
        <w:t>re</w:t>
      </w:r>
      <w:r w:rsidRPr="00E3232D">
        <w:rPr>
          <w:rFonts w:ascii="Book Antiqua" w:hAnsi="Book Antiqua"/>
        </w:rPr>
        <w:t>st</w:t>
      </w:r>
      <w:r w:rsidRPr="00E3232D">
        <w:rPr>
          <w:rFonts w:ascii="Book Antiqua" w:hAnsi="Book Antiqua"/>
          <w:spacing w:val="58"/>
        </w:rPr>
        <w:t xml:space="preserve"> </w:t>
      </w:r>
      <w:r w:rsidRPr="00E3232D">
        <w:rPr>
          <w:rFonts w:ascii="Book Antiqua" w:hAnsi="Book Antiqua"/>
        </w:rPr>
        <w:t>r</w:t>
      </w:r>
      <w:r w:rsidRPr="00E3232D">
        <w:rPr>
          <w:rFonts w:ascii="Book Antiqua" w:hAnsi="Book Antiqua"/>
          <w:spacing w:val="-2"/>
        </w:rPr>
        <w:t>a</w:t>
      </w:r>
      <w:r w:rsidRPr="00E3232D">
        <w:rPr>
          <w:rFonts w:ascii="Book Antiqua" w:hAnsi="Book Antiqua"/>
          <w:spacing w:val="2"/>
        </w:rPr>
        <w:t>n</w:t>
      </w:r>
      <w:r w:rsidRPr="00E3232D">
        <w:rPr>
          <w:rFonts w:ascii="Book Antiqua" w:hAnsi="Book Antiqua"/>
          <w:spacing w:val="-2"/>
        </w:rPr>
        <w:t>g</w:t>
      </w:r>
      <w:r w:rsidRPr="00E3232D">
        <w:rPr>
          <w:rFonts w:ascii="Book Antiqua" w:hAnsi="Book Antiqua"/>
        </w:rPr>
        <w:t>e</w:t>
      </w:r>
      <w:r w:rsidRPr="00E3232D">
        <w:rPr>
          <w:rFonts w:ascii="Book Antiqua" w:hAnsi="Book Antiqua"/>
          <w:spacing w:val="56"/>
        </w:rPr>
        <w:t xml:space="preserve"> </w:t>
      </w:r>
      <w:r w:rsidRPr="00E3232D">
        <w:rPr>
          <w:rFonts w:ascii="Book Antiqua" w:hAnsi="Book Antiqua"/>
        </w:rPr>
        <w:t>of</w:t>
      </w:r>
      <w:r w:rsidRPr="00E3232D">
        <w:rPr>
          <w:rFonts w:ascii="Book Antiqua" w:hAnsi="Book Antiqua"/>
          <w:spacing w:val="57"/>
        </w:rPr>
        <w:t xml:space="preserve"> </w:t>
      </w:r>
      <w:r w:rsidRPr="00E3232D">
        <w:rPr>
          <w:rFonts w:ascii="Book Antiqua" w:hAnsi="Book Antiqua"/>
        </w:rPr>
        <w:t>2</w:t>
      </w:r>
      <w:r w:rsidRPr="00E3232D">
        <w:rPr>
          <w:rFonts w:ascii="Book Antiqua" w:hAnsi="Book Antiqua"/>
          <w:spacing w:val="8"/>
        </w:rPr>
        <w:t>0</w:t>
      </w:r>
      <w:r w:rsidRPr="00E3232D">
        <w:rPr>
          <w:rFonts w:ascii="Book Antiqua" w:hAnsi="Book Antiqua"/>
          <w:spacing w:val="-1"/>
        </w:rPr>
        <w:t>-</w:t>
      </w:r>
      <w:r w:rsidRPr="00E3232D">
        <w:rPr>
          <w:rFonts w:ascii="Book Antiqua" w:hAnsi="Book Antiqua"/>
        </w:rPr>
        <w:t>25%.</w:t>
      </w:r>
      <w:r w:rsidRPr="00E3232D">
        <w:rPr>
          <w:rFonts w:ascii="Book Antiqua" w:hAnsi="Book Antiqua"/>
          <w:spacing w:val="59"/>
        </w:rPr>
        <w:t xml:space="preserve"> </w:t>
      </w:r>
      <w:r w:rsidRPr="00E3232D">
        <w:rPr>
          <w:rFonts w:ascii="Book Antiqua" w:hAnsi="Book Antiqua"/>
        </w:rPr>
        <w:t>Those</w:t>
      </w:r>
      <w:r w:rsidRPr="00E3232D">
        <w:rPr>
          <w:rFonts w:ascii="Book Antiqua" w:hAnsi="Book Antiqua"/>
          <w:spacing w:val="56"/>
        </w:rPr>
        <w:t xml:space="preserve"> </w:t>
      </w:r>
      <w:r w:rsidRPr="00E3232D">
        <w:rPr>
          <w:rFonts w:ascii="Book Antiqua" w:hAnsi="Book Antiqua"/>
        </w:rPr>
        <w:t>who r</w:t>
      </w:r>
      <w:r w:rsidRPr="00E3232D">
        <w:rPr>
          <w:rFonts w:ascii="Book Antiqua" w:hAnsi="Book Antiqua"/>
          <w:spacing w:val="-2"/>
        </w:rPr>
        <w:t>e</w:t>
      </w:r>
      <w:r w:rsidRPr="00E3232D">
        <w:rPr>
          <w:rFonts w:ascii="Book Antiqua" w:hAnsi="Book Antiqua"/>
          <w:spacing w:val="-1"/>
        </w:rPr>
        <w:t>ce</w:t>
      </w:r>
      <w:r w:rsidRPr="00E3232D">
        <w:rPr>
          <w:rFonts w:ascii="Book Antiqua" w:hAnsi="Book Antiqua"/>
        </w:rPr>
        <w:t>i</w:t>
      </w:r>
      <w:r w:rsidRPr="00E3232D">
        <w:rPr>
          <w:rFonts w:ascii="Book Antiqua" w:hAnsi="Book Antiqua"/>
          <w:spacing w:val="3"/>
        </w:rPr>
        <w:t>v</w:t>
      </w:r>
      <w:r w:rsidRPr="00E3232D">
        <w:rPr>
          <w:rFonts w:ascii="Book Antiqua" w:hAnsi="Book Antiqua"/>
          <w:spacing w:val="-1"/>
        </w:rPr>
        <w:t>e</w:t>
      </w:r>
      <w:r w:rsidRPr="00E3232D">
        <w:rPr>
          <w:rFonts w:ascii="Book Antiqua" w:hAnsi="Book Antiqua"/>
        </w:rPr>
        <w:t>d</w:t>
      </w:r>
      <w:r w:rsidRPr="00E3232D">
        <w:rPr>
          <w:rFonts w:ascii="Book Antiqua" w:hAnsi="Book Antiqua"/>
          <w:spacing w:val="12"/>
        </w:rPr>
        <w:t xml:space="preserve"> </w:t>
      </w:r>
      <w:r w:rsidRPr="00E3232D">
        <w:rPr>
          <w:rFonts w:ascii="Book Antiqua" w:hAnsi="Book Antiqua"/>
          <w:spacing w:val="1"/>
        </w:rPr>
        <w:t>3</w:t>
      </w:r>
      <w:r w:rsidRPr="00E3232D">
        <w:rPr>
          <w:rFonts w:ascii="Book Antiqua" w:hAnsi="Book Antiqua"/>
          <w:spacing w:val="-1"/>
        </w:rPr>
        <w:t>-</w:t>
      </w:r>
      <w:r w:rsidRPr="00E3232D">
        <w:rPr>
          <w:rFonts w:ascii="Book Antiqua" w:hAnsi="Book Antiqua"/>
        </w:rPr>
        <w:t>5</w:t>
      </w:r>
      <w:r w:rsidRPr="00E3232D">
        <w:rPr>
          <w:rFonts w:ascii="Book Antiqua" w:hAnsi="Book Antiqua"/>
          <w:spacing w:val="14"/>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rPr>
        <w:t>l</w:t>
      </w:r>
      <w:r w:rsidRPr="00E3232D">
        <w:rPr>
          <w:rFonts w:ascii="Book Antiqua" w:hAnsi="Book Antiqua"/>
          <w:spacing w:val="1"/>
        </w:rPr>
        <w:t>l</w:t>
      </w:r>
      <w:r w:rsidRPr="00E3232D">
        <w:rPr>
          <w:rFonts w:ascii="Book Antiqua" w:hAnsi="Book Antiqua"/>
        </w:rPr>
        <w:t>ion</w:t>
      </w:r>
      <w:r w:rsidRPr="00E3232D">
        <w:rPr>
          <w:rFonts w:ascii="Book Antiqua" w:hAnsi="Book Antiqua"/>
          <w:spacing w:val="12"/>
        </w:rPr>
        <w:t xml:space="preserve"> </w:t>
      </w:r>
      <w:r w:rsidRPr="00E3232D">
        <w:rPr>
          <w:rFonts w:ascii="Book Antiqua" w:hAnsi="Book Antiqua"/>
          <w:spacing w:val="-1"/>
        </w:rPr>
        <w:t>c</w:t>
      </w:r>
      <w:r w:rsidRPr="00E3232D">
        <w:rPr>
          <w:rFonts w:ascii="Book Antiqua" w:hAnsi="Book Antiqua"/>
        </w:rPr>
        <w:t>o</w:t>
      </w:r>
      <w:r w:rsidRPr="00E3232D">
        <w:rPr>
          <w:rFonts w:ascii="Book Antiqua" w:hAnsi="Book Antiqua"/>
          <w:spacing w:val="2"/>
        </w:rPr>
        <w:t>n</w:t>
      </w:r>
      <w:r w:rsidRPr="00E3232D">
        <w:rPr>
          <w:rFonts w:ascii="Book Antiqua" w:hAnsi="Book Antiqua"/>
        </w:rPr>
        <w:t>st</w:t>
      </w:r>
      <w:r w:rsidRPr="00E3232D">
        <w:rPr>
          <w:rFonts w:ascii="Book Antiqua" w:hAnsi="Book Antiqua"/>
          <w:spacing w:val="1"/>
        </w:rPr>
        <w:t>i</w:t>
      </w:r>
      <w:r w:rsidRPr="00E3232D">
        <w:rPr>
          <w:rFonts w:ascii="Book Antiqua" w:hAnsi="Book Antiqua"/>
        </w:rPr>
        <w:t>tu</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d</w:t>
      </w:r>
      <w:r w:rsidRPr="00E3232D">
        <w:rPr>
          <w:rFonts w:ascii="Book Antiqua" w:hAnsi="Book Antiqua"/>
          <w:spacing w:val="12"/>
        </w:rPr>
        <w:t xml:space="preserve"> </w:t>
      </w:r>
      <w:r w:rsidRPr="00E3232D">
        <w:rPr>
          <w:rFonts w:ascii="Book Antiqua" w:hAnsi="Book Antiqua"/>
          <w:spacing w:val="-1"/>
        </w:rPr>
        <w:t>a</w:t>
      </w:r>
      <w:r w:rsidRPr="00E3232D">
        <w:rPr>
          <w:rFonts w:ascii="Book Antiqua" w:hAnsi="Book Antiqua"/>
        </w:rPr>
        <w:t>bout</w:t>
      </w:r>
      <w:r w:rsidRPr="00E3232D">
        <w:rPr>
          <w:rFonts w:ascii="Book Antiqua" w:hAnsi="Book Antiqua"/>
          <w:spacing w:val="12"/>
        </w:rPr>
        <w:t xml:space="preserve"> </w:t>
      </w:r>
      <w:r w:rsidRPr="00E3232D">
        <w:rPr>
          <w:rFonts w:ascii="Book Antiqua" w:hAnsi="Book Antiqua"/>
        </w:rPr>
        <w:t>4</w:t>
      </w:r>
      <w:r w:rsidRPr="00E3232D">
        <w:rPr>
          <w:rFonts w:ascii="Book Antiqua" w:hAnsi="Book Antiqua"/>
          <w:spacing w:val="12"/>
        </w:rPr>
        <w:t xml:space="preserve"> </w:t>
      </w:r>
      <w:r w:rsidRPr="00E3232D">
        <w:rPr>
          <w:rFonts w:ascii="Book Antiqua" w:hAnsi="Book Antiqua"/>
        </w:rPr>
        <w:t>(</w:t>
      </w:r>
      <w:r w:rsidRPr="00E3232D">
        <w:rPr>
          <w:rFonts w:ascii="Book Antiqua" w:hAnsi="Book Antiqua"/>
          <w:spacing w:val="1"/>
        </w:rPr>
        <w:t>5</w:t>
      </w:r>
      <w:r w:rsidRPr="00E3232D">
        <w:rPr>
          <w:rFonts w:ascii="Book Antiqua" w:hAnsi="Book Antiqua"/>
          <w:spacing w:val="-1"/>
        </w:rPr>
        <w:t>%</w:t>
      </w:r>
      <w:r w:rsidRPr="00E3232D">
        <w:rPr>
          <w:rFonts w:ascii="Book Antiqua" w:hAnsi="Book Antiqua"/>
        </w:rPr>
        <w:t>)</w:t>
      </w:r>
      <w:r w:rsidRPr="00E3232D">
        <w:rPr>
          <w:rFonts w:ascii="Book Antiqua" w:hAnsi="Book Antiqua"/>
          <w:spacing w:val="13"/>
        </w:rPr>
        <w:t xml:space="preserve"> </w:t>
      </w:r>
      <w:r w:rsidRPr="00E3232D">
        <w:rPr>
          <w:rFonts w:ascii="Book Antiqua" w:hAnsi="Book Antiqua"/>
          <w:spacing w:val="-1"/>
        </w:rPr>
        <w:t>a</w:t>
      </w:r>
      <w:r w:rsidRPr="00E3232D">
        <w:rPr>
          <w:rFonts w:ascii="Book Antiqua" w:hAnsi="Book Antiqua"/>
          <w:spacing w:val="2"/>
        </w:rPr>
        <w:t>n</w:t>
      </w:r>
      <w:r w:rsidRPr="00E3232D">
        <w:rPr>
          <w:rFonts w:ascii="Book Antiqua" w:hAnsi="Book Antiqua"/>
        </w:rPr>
        <w:t>d</w:t>
      </w:r>
      <w:r w:rsidRPr="00E3232D">
        <w:rPr>
          <w:rFonts w:ascii="Book Antiqua" w:hAnsi="Book Antiqua"/>
          <w:spacing w:val="12"/>
        </w:rPr>
        <w:t xml:space="preserv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rPr>
        <w:t>p</w:t>
      </w:r>
      <w:r w:rsidRPr="00E3232D">
        <w:rPr>
          <w:rFonts w:ascii="Book Antiqua" w:hAnsi="Book Antiqua"/>
          <w:spacing w:val="-1"/>
        </w:rPr>
        <w:t>ec</w:t>
      </w:r>
      <w:r w:rsidRPr="00E3232D">
        <w:rPr>
          <w:rFonts w:ascii="Book Antiqua" w:hAnsi="Book Antiqua"/>
        </w:rPr>
        <w:t>ted</w:t>
      </w:r>
      <w:r w:rsidRPr="00E3232D">
        <w:rPr>
          <w:rFonts w:ascii="Book Antiqua" w:hAnsi="Book Antiqua"/>
          <w:spacing w:val="11"/>
        </w:rPr>
        <w:t xml:space="preserve"> </w:t>
      </w:r>
      <w:r w:rsidRPr="00E3232D">
        <w:rPr>
          <w:rFonts w:ascii="Book Antiqua" w:hAnsi="Book Antiqua"/>
        </w:rPr>
        <w:t>to</w:t>
      </w:r>
      <w:r w:rsidRPr="00E3232D">
        <w:rPr>
          <w:rFonts w:ascii="Book Antiqua" w:hAnsi="Book Antiqua"/>
          <w:spacing w:val="12"/>
        </w:rPr>
        <w:t xml:space="preserve"> </w:t>
      </w:r>
      <w:r w:rsidRPr="00E3232D">
        <w:rPr>
          <w:rFonts w:ascii="Book Antiqua" w:hAnsi="Book Antiqua"/>
          <w:spacing w:val="2"/>
        </w:rPr>
        <w:t>p</w:t>
      </w:r>
      <w:r w:rsidRPr="00E3232D">
        <w:rPr>
          <w:rFonts w:ascii="Book Antiqua" w:hAnsi="Book Antiqua"/>
          <w:spacing w:val="4"/>
        </w:rPr>
        <w:t>a</w:t>
      </w:r>
      <w:r w:rsidRPr="00E3232D">
        <w:rPr>
          <w:rFonts w:ascii="Book Antiqua" w:hAnsi="Book Antiqua"/>
        </w:rPr>
        <w:t>y</w:t>
      </w:r>
      <w:r w:rsidRPr="00E3232D">
        <w:rPr>
          <w:rFonts w:ascii="Book Antiqua" w:hAnsi="Book Antiqua"/>
          <w:spacing w:val="7"/>
        </w:rPr>
        <w:t xml:space="preserve"> </w:t>
      </w:r>
      <w:r w:rsidRPr="00E3232D">
        <w:rPr>
          <w:rFonts w:ascii="Book Antiqua" w:hAnsi="Book Antiqua"/>
          <w:spacing w:val="2"/>
        </w:rPr>
        <w:t>b</w:t>
      </w:r>
      <w:r w:rsidRPr="00E3232D">
        <w:rPr>
          <w:rFonts w:ascii="Book Antiqua" w:hAnsi="Book Antiqua"/>
          <w:spacing w:val="-1"/>
        </w:rPr>
        <w:t>ac</w:t>
      </w:r>
      <w:r w:rsidRPr="00E3232D">
        <w:rPr>
          <w:rFonts w:ascii="Book Antiqua" w:hAnsi="Book Antiqua"/>
        </w:rPr>
        <w:t>k</w:t>
      </w:r>
      <w:r w:rsidRPr="00E3232D">
        <w:rPr>
          <w:rFonts w:ascii="Book Antiqua" w:hAnsi="Book Antiqua"/>
          <w:spacing w:val="12"/>
        </w:rPr>
        <w:t xml:space="preserve"> </w:t>
      </w:r>
      <w:r w:rsidRPr="00E3232D">
        <w:rPr>
          <w:rFonts w:ascii="Book Antiqua" w:hAnsi="Book Antiqua"/>
        </w:rPr>
        <w:t>5</w:t>
      </w:r>
      <w:r w:rsidRPr="00E3232D">
        <w:rPr>
          <w:rFonts w:ascii="Book Antiqua" w:hAnsi="Book Antiqua"/>
          <w:spacing w:val="14"/>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rPr>
        <w:t>l</w:t>
      </w:r>
      <w:r w:rsidRPr="00E3232D">
        <w:rPr>
          <w:rFonts w:ascii="Book Antiqua" w:hAnsi="Book Antiqua"/>
          <w:spacing w:val="1"/>
        </w:rPr>
        <w:t>l</w:t>
      </w:r>
      <w:r w:rsidRPr="00E3232D">
        <w:rPr>
          <w:rFonts w:ascii="Book Antiqua" w:hAnsi="Book Antiqua"/>
        </w:rPr>
        <w:t>ion</w:t>
      </w:r>
      <w:r w:rsidRPr="00E3232D">
        <w:rPr>
          <w:rFonts w:ascii="Book Antiqua" w:hAnsi="Book Antiqua"/>
          <w:spacing w:val="12"/>
        </w:rPr>
        <w:t xml:space="preserve"> </w:t>
      </w:r>
      <w:r w:rsidRPr="00E3232D">
        <w:rPr>
          <w:rFonts w:ascii="Book Antiqua" w:hAnsi="Book Antiqua"/>
        </w:rPr>
        <w:t xml:space="preserve">with </w:t>
      </w:r>
      <w:r w:rsidRPr="00E3232D">
        <w:rPr>
          <w:rFonts w:ascii="Book Antiqua" w:hAnsi="Book Antiqua"/>
          <w:spacing w:val="-1"/>
        </w:rPr>
        <w:t>a</w:t>
      </w:r>
      <w:r w:rsidRPr="00E3232D">
        <w:rPr>
          <w:rFonts w:ascii="Book Antiqua" w:hAnsi="Book Antiqua"/>
        </w:rPr>
        <w:t>n inte</w:t>
      </w:r>
      <w:r w:rsidRPr="00E3232D">
        <w:rPr>
          <w:rFonts w:ascii="Book Antiqua" w:hAnsi="Book Antiqua"/>
          <w:spacing w:val="-1"/>
        </w:rPr>
        <w:t>re</w:t>
      </w:r>
      <w:r w:rsidRPr="00E3232D">
        <w:rPr>
          <w:rFonts w:ascii="Book Antiqua" w:hAnsi="Book Antiqua"/>
        </w:rPr>
        <w:t>st r</w:t>
      </w:r>
      <w:r w:rsidRPr="00E3232D">
        <w:rPr>
          <w:rFonts w:ascii="Book Antiqua" w:hAnsi="Book Antiqua"/>
          <w:spacing w:val="-1"/>
        </w:rPr>
        <w:t>a</w:t>
      </w:r>
      <w:r w:rsidRPr="00E3232D">
        <w:rPr>
          <w:rFonts w:ascii="Book Antiqua" w:hAnsi="Book Antiqua"/>
          <w:spacing w:val="2"/>
        </w:rPr>
        <w:t>n</w:t>
      </w:r>
      <w:r w:rsidRPr="00E3232D">
        <w:rPr>
          <w:rFonts w:ascii="Book Antiqua" w:hAnsi="Book Antiqua"/>
        </w:rPr>
        <w:t>ge</w:t>
      </w:r>
      <w:r w:rsidRPr="00E3232D">
        <w:rPr>
          <w:rFonts w:ascii="Book Antiqua" w:hAnsi="Book Antiqua"/>
          <w:spacing w:val="-1"/>
        </w:rPr>
        <w:t xml:space="preserve"> </w:t>
      </w:r>
      <w:r w:rsidRPr="00E3232D">
        <w:rPr>
          <w:rFonts w:ascii="Book Antiqua" w:hAnsi="Book Antiqua"/>
        </w:rPr>
        <w:t>of 31</w:t>
      </w:r>
      <w:r w:rsidRPr="00E3232D">
        <w:rPr>
          <w:rFonts w:ascii="Book Antiqua" w:hAnsi="Book Antiqua"/>
          <w:spacing w:val="-1"/>
        </w:rPr>
        <w:t>-</w:t>
      </w:r>
      <w:r w:rsidRPr="00E3232D">
        <w:rPr>
          <w:rFonts w:ascii="Book Antiqua" w:hAnsi="Book Antiqua"/>
          <w:spacing w:val="2"/>
        </w:rPr>
        <w:t>3</w:t>
      </w:r>
      <w:r w:rsidRPr="00E3232D">
        <w:rPr>
          <w:rFonts w:ascii="Book Antiqua" w:hAnsi="Book Antiqua"/>
        </w:rPr>
        <w:t xml:space="preserve">5%. </w:t>
      </w:r>
      <w:r w:rsidRPr="00E3232D">
        <w:rPr>
          <w:rFonts w:ascii="Book Antiqua" w:hAnsi="Book Antiqua"/>
          <w:spacing w:val="-6"/>
        </w:rPr>
        <w:t>I</w:t>
      </w:r>
      <w:r w:rsidRPr="00E3232D">
        <w:rPr>
          <w:rFonts w:ascii="Book Antiqua" w:hAnsi="Book Antiqua"/>
        </w:rPr>
        <w:t>n</w:t>
      </w:r>
      <w:r w:rsidRPr="00E3232D">
        <w:rPr>
          <w:rFonts w:ascii="Book Antiqua" w:hAnsi="Book Antiqua"/>
          <w:spacing w:val="2"/>
        </w:rPr>
        <w:t xml:space="preserve"> </w:t>
      </w:r>
      <w:r w:rsidRPr="00E3232D">
        <w:rPr>
          <w:rFonts w:ascii="Book Antiqua" w:hAnsi="Book Antiqua"/>
        </w:rPr>
        <w:t>f</w:t>
      </w:r>
      <w:r w:rsidRPr="00E3232D">
        <w:rPr>
          <w:rFonts w:ascii="Book Antiqua" w:hAnsi="Book Antiqua"/>
          <w:spacing w:val="-2"/>
        </w:rPr>
        <w:t>a</w:t>
      </w:r>
      <w:r w:rsidRPr="00E3232D">
        <w:rPr>
          <w:rFonts w:ascii="Book Antiqua" w:hAnsi="Book Antiqua"/>
          <w:spacing w:val="-1"/>
        </w:rPr>
        <w:t>c</w:t>
      </w:r>
      <w:r w:rsidRPr="00E3232D">
        <w:rPr>
          <w:rFonts w:ascii="Book Antiqua" w:hAnsi="Book Antiqua"/>
        </w:rPr>
        <w:t xml:space="preserve">t </w:t>
      </w:r>
      <w:r w:rsidRPr="00E3232D">
        <w:rPr>
          <w:rFonts w:ascii="Book Antiqua" w:hAnsi="Book Antiqua"/>
          <w:spacing w:val="1"/>
        </w:rPr>
        <w:t>t</w:t>
      </w:r>
      <w:r w:rsidRPr="00E3232D">
        <w:rPr>
          <w:rFonts w:ascii="Book Antiqua" w:hAnsi="Book Antiqua"/>
        </w:rPr>
        <w:t>he</w:t>
      </w:r>
      <w:r w:rsidRPr="00E3232D">
        <w:rPr>
          <w:rFonts w:ascii="Book Antiqua" w:hAnsi="Book Antiqua"/>
          <w:spacing w:val="-1"/>
        </w:rPr>
        <w:t xml:space="preserve"> </w:t>
      </w:r>
      <w:r w:rsidRPr="00E3232D">
        <w:rPr>
          <w:rFonts w:ascii="Book Antiqua" w:hAnsi="Book Antiqua"/>
        </w:rPr>
        <w:t>in</w:t>
      </w:r>
      <w:r w:rsidRPr="00E3232D">
        <w:rPr>
          <w:rFonts w:ascii="Book Antiqua" w:hAnsi="Book Antiqua"/>
          <w:spacing w:val="1"/>
        </w:rPr>
        <w:t>te</w:t>
      </w:r>
      <w:r w:rsidRPr="00E3232D">
        <w:rPr>
          <w:rFonts w:ascii="Book Antiqua" w:hAnsi="Book Antiqua"/>
        </w:rPr>
        <w:t>r</w:t>
      </w:r>
      <w:r w:rsidRPr="00E3232D">
        <w:rPr>
          <w:rFonts w:ascii="Book Antiqua" w:hAnsi="Book Antiqua"/>
          <w:spacing w:val="-2"/>
        </w:rPr>
        <w:t>e</w:t>
      </w:r>
      <w:r w:rsidRPr="00E3232D">
        <w:rPr>
          <w:rFonts w:ascii="Book Antiqua" w:hAnsi="Book Antiqua"/>
          <w:spacing w:val="2"/>
        </w:rPr>
        <w:t>s</w:t>
      </w:r>
      <w:r w:rsidRPr="00E3232D">
        <w:rPr>
          <w:rFonts w:ascii="Book Antiqua" w:hAnsi="Book Antiqua"/>
        </w:rPr>
        <w:t>t r</w:t>
      </w:r>
      <w:r w:rsidRPr="00E3232D">
        <w:rPr>
          <w:rFonts w:ascii="Book Antiqua" w:hAnsi="Book Antiqua"/>
          <w:spacing w:val="-1"/>
        </w:rPr>
        <w:t>a</w:t>
      </w:r>
      <w:r w:rsidRPr="00E3232D">
        <w:rPr>
          <w:rFonts w:ascii="Book Antiqua" w:hAnsi="Book Antiqua"/>
        </w:rPr>
        <w:t xml:space="preserve">tes </w:t>
      </w:r>
      <w:r w:rsidRPr="00E3232D">
        <w:rPr>
          <w:rFonts w:ascii="Book Antiqua" w:hAnsi="Book Antiqua"/>
          <w:spacing w:val="-1"/>
        </w:rPr>
        <w:t>we</w:t>
      </w:r>
      <w:r w:rsidRPr="00E3232D">
        <w:rPr>
          <w:rFonts w:ascii="Book Antiqua" w:hAnsi="Book Antiqua"/>
          <w:spacing w:val="1"/>
        </w:rPr>
        <w:t>r</w:t>
      </w:r>
      <w:r w:rsidRPr="00E3232D">
        <w:rPr>
          <w:rFonts w:ascii="Book Antiqua" w:hAnsi="Book Antiqua"/>
        </w:rPr>
        <w:t>e</w:t>
      </w:r>
      <w:r w:rsidRPr="00E3232D">
        <w:rPr>
          <w:rFonts w:ascii="Book Antiqua" w:hAnsi="Book Antiqua"/>
          <w:spacing w:val="-1"/>
        </w:rPr>
        <w:t xml:space="preserve"> e</w:t>
      </w:r>
      <w:r w:rsidRPr="00E3232D">
        <w:rPr>
          <w:rFonts w:ascii="Book Antiqua" w:hAnsi="Book Antiqua"/>
          <w:spacing w:val="2"/>
        </w:rPr>
        <w:t>v</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l</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rPr>
        <w:t>dis</w:t>
      </w:r>
      <w:r w:rsidRPr="00E3232D">
        <w:rPr>
          <w:rFonts w:ascii="Book Antiqua" w:hAnsi="Book Antiqua"/>
          <w:spacing w:val="1"/>
        </w:rPr>
        <w:t>t</w:t>
      </w:r>
      <w:r w:rsidRPr="00E3232D">
        <w:rPr>
          <w:rFonts w:ascii="Book Antiqua" w:hAnsi="Book Antiqua"/>
        </w:rPr>
        <w:t>r</w:t>
      </w:r>
      <w:r w:rsidRPr="00E3232D">
        <w:rPr>
          <w:rFonts w:ascii="Book Antiqua" w:hAnsi="Book Antiqua"/>
          <w:spacing w:val="2"/>
        </w:rPr>
        <w:t>i</w:t>
      </w:r>
      <w:r w:rsidRPr="00E3232D">
        <w:rPr>
          <w:rFonts w:ascii="Book Antiqua" w:hAnsi="Book Antiqua"/>
        </w:rPr>
        <w:t xml:space="preserve">buted </w:t>
      </w:r>
      <w:r w:rsidRPr="00E3232D">
        <w:rPr>
          <w:rFonts w:ascii="Book Antiqua" w:hAnsi="Book Antiqua"/>
          <w:spacing w:val="-1"/>
        </w:rPr>
        <w:t>a</w:t>
      </w:r>
      <w:r w:rsidRPr="00E3232D">
        <w:rPr>
          <w:rFonts w:ascii="Book Antiqua" w:hAnsi="Book Antiqua"/>
        </w:rPr>
        <w:t>nd bo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w:t>
      </w:r>
      <w:r w:rsidRPr="00E3232D">
        <w:rPr>
          <w:rFonts w:ascii="Book Antiqua" w:hAnsi="Book Antiqua"/>
          <w:spacing w:val="-1"/>
        </w:rPr>
        <w:t>e</w:t>
      </w:r>
      <w:r w:rsidRPr="00E3232D">
        <w:rPr>
          <w:rFonts w:ascii="Book Antiqua" w:hAnsi="Book Antiqua"/>
        </w:rPr>
        <w:t xml:space="preserve">rs </w:t>
      </w:r>
      <w:r w:rsidRPr="00E3232D">
        <w:rPr>
          <w:rFonts w:ascii="Book Antiqua" w:hAnsi="Book Antiqua"/>
          <w:spacing w:val="1"/>
        </w:rPr>
        <w:t>a</w:t>
      </w:r>
      <w:r w:rsidRPr="00E3232D">
        <w:rPr>
          <w:rFonts w:ascii="Book Antiqua" w:hAnsi="Book Antiqua"/>
        </w:rPr>
        <w:t>g</w:t>
      </w:r>
      <w:r w:rsidRPr="00E3232D">
        <w:rPr>
          <w:rFonts w:ascii="Book Antiqua" w:hAnsi="Book Antiqua"/>
          <w:spacing w:val="-1"/>
        </w:rPr>
        <w:t>r</w:t>
      </w:r>
      <w:r w:rsidRPr="00E3232D">
        <w:rPr>
          <w:rFonts w:ascii="Book Antiqua" w:hAnsi="Book Antiqua"/>
          <w:spacing w:val="1"/>
        </w:rPr>
        <w:t>e</w:t>
      </w:r>
      <w:r w:rsidRPr="00E3232D">
        <w:rPr>
          <w:rFonts w:ascii="Book Antiqua" w:hAnsi="Book Antiqua"/>
          <w:spacing w:val="-1"/>
        </w:rPr>
        <w:t>e</w:t>
      </w:r>
      <w:r w:rsidRPr="00E3232D">
        <w:rPr>
          <w:rFonts w:ascii="Book Antiqua" w:hAnsi="Book Antiqua"/>
        </w:rPr>
        <w:t>d on i</w:t>
      </w:r>
      <w:r w:rsidRPr="00E3232D">
        <w:rPr>
          <w:rFonts w:ascii="Book Antiqua" w:hAnsi="Book Antiqua"/>
          <w:spacing w:val="1"/>
        </w:rPr>
        <w:t>t</w:t>
      </w:r>
      <w:r w:rsidRPr="00E3232D">
        <w:rPr>
          <w:rFonts w:ascii="Book Antiqua" w:hAnsi="Book Antiqua"/>
        </w:rPr>
        <w:t>.</w:t>
      </w:r>
    </w:p>
    <w:p w14:paraId="2A675E82" w14:textId="77777777" w:rsidR="00380077" w:rsidRDefault="00380077" w:rsidP="002319C6">
      <w:pPr>
        <w:widowControl w:val="0"/>
        <w:autoSpaceDE w:val="0"/>
        <w:autoSpaceDN w:val="0"/>
        <w:adjustRightInd w:val="0"/>
        <w:spacing w:after="0"/>
        <w:ind w:right="78"/>
        <w:rPr>
          <w:rFonts w:ascii="Book Antiqua" w:hAnsi="Book Antiqua"/>
          <w:b/>
          <w:bCs/>
          <w:position w:val="-1"/>
        </w:rPr>
      </w:pPr>
    </w:p>
    <w:p w14:paraId="5AA158AC" w14:textId="77777777" w:rsidR="001C5D75" w:rsidRPr="00E3232D" w:rsidRDefault="001C5D75" w:rsidP="002319C6">
      <w:pPr>
        <w:widowControl w:val="0"/>
        <w:autoSpaceDE w:val="0"/>
        <w:autoSpaceDN w:val="0"/>
        <w:adjustRightInd w:val="0"/>
        <w:spacing w:after="0"/>
        <w:ind w:right="78"/>
        <w:rPr>
          <w:rFonts w:ascii="Book Antiqua" w:hAnsi="Book Antiqua"/>
        </w:rPr>
      </w:pPr>
      <w:r w:rsidRPr="00E3232D">
        <w:rPr>
          <w:rFonts w:ascii="Book Antiqua" w:hAnsi="Book Antiqua"/>
          <w:b/>
          <w:bCs/>
          <w:position w:val="-1"/>
        </w:rPr>
        <w:t>Figure 2. Ab</w:t>
      </w:r>
      <w:r w:rsidRPr="00E3232D">
        <w:rPr>
          <w:rFonts w:ascii="Book Antiqua" w:hAnsi="Book Antiqua"/>
          <w:b/>
          <w:bCs/>
          <w:spacing w:val="1"/>
          <w:position w:val="-1"/>
        </w:rPr>
        <w:t>i</w:t>
      </w:r>
      <w:r w:rsidRPr="00E3232D">
        <w:rPr>
          <w:rFonts w:ascii="Book Antiqua" w:hAnsi="Book Antiqua"/>
          <w:b/>
          <w:bCs/>
          <w:position w:val="-1"/>
        </w:rPr>
        <w:t>l</w:t>
      </w:r>
      <w:r w:rsidRPr="00E3232D">
        <w:rPr>
          <w:rFonts w:ascii="Book Antiqua" w:hAnsi="Book Antiqua"/>
          <w:b/>
          <w:bCs/>
          <w:spacing w:val="1"/>
          <w:position w:val="-1"/>
        </w:rPr>
        <w:t>i</w:t>
      </w:r>
      <w:r w:rsidRPr="00E3232D">
        <w:rPr>
          <w:rFonts w:ascii="Book Antiqua" w:hAnsi="Book Antiqua"/>
          <w:b/>
          <w:bCs/>
          <w:position w:val="-1"/>
        </w:rPr>
        <w:t xml:space="preserve">ty </w:t>
      </w:r>
      <w:r w:rsidRPr="00E3232D">
        <w:rPr>
          <w:rFonts w:ascii="Book Antiqua" w:hAnsi="Book Antiqua"/>
          <w:b/>
          <w:bCs/>
          <w:spacing w:val="-1"/>
          <w:position w:val="-1"/>
        </w:rPr>
        <w:t>t</w:t>
      </w:r>
      <w:r w:rsidRPr="00E3232D">
        <w:rPr>
          <w:rFonts w:ascii="Book Antiqua" w:hAnsi="Book Antiqua"/>
          <w:b/>
          <w:bCs/>
          <w:position w:val="-1"/>
        </w:rPr>
        <w:t>o R</w:t>
      </w:r>
      <w:r w:rsidRPr="00E3232D">
        <w:rPr>
          <w:rFonts w:ascii="Book Antiqua" w:hAnsi="Book Antiqua"/>
          <w:b/>
          <w:bCs/>
          <w:spacing w:val="-1"/>
          <w:position w:val="-1"/>
        </w:rPr>
        <w:t>e</w:t>
      </w:r>
      <w:r w:rsidRPr="00E3232D">
        <w:rPr>
          <w:rFonts w:ascii="Book Antiqua" w:hAnsi="Book Antiqua"/>
          <w:b/>
          <w:bCs/>
          <w:spacing w:val="1"/>
          <w:position w:val="-1"/>
        </w:rPr>
        <w:t>p</w:t>
      </w:r>
      <w:r w:rsidRPr="00E3232D">
        <w:rPr>
          <w:rFonts w:ascii="Book Antiqua" w:hAnsi="Book Antiqua"/>
          <w:b/>
          <w:bCs/>
          <w:position w:val="-1"/>
        </w:rPr>
        <w:t>ay C</w:t>
      </w:r>
      <w:r w:rsidRPr="00E3232D">
        <w:rPr>
          <w:rFonts w:ascii="Book Antiqua" w:hAnsi="Book Antiqua"/>
          <w:b/>
          <w:bCs/>
          <w:spacing w:val="-1"/>
          <w:position w:val="-1"/>
        </w:rPr>
        <w:t>re</w:t>
      </w:r>
      <w:r w:rsidRPr="00E3232D">
        <w:rPr>
          <w:rFonts w:ascii="Book Antiqua" w:hAnsi="Book Antiqua"/>
          <w:b/>
          <w:bCs/>
          <w:spacing w:val="3"/>
          <w:position w:val="-1"/>
        </w:rPr>
        <w:t>d</w:t>
      </w:r>
      <w:r w:rsidRPr="00E3232D">
        <w:rPr>
          <w:rFonts w:ascii="Book Antiqua" w:hAnsi="Book Antiqua"/>
          <w:b/>
          <w:bCs/>
          <w:position w:val="-1"/>
        </w:rPr>
        <w:t xml:space="preserve">it </w:t>
      </w:r>
      <w:r w:rsidRPr="00E3232D">
        <w:rPr>
          <w:rFonts w:ascii="Book Antiqua" w:hAnsi="Book Antiqua"/>
          <w:b/>
          <w:bCs/>
          <w:spacing w:val="1"/>
          <w:position w:val="-1"/>
        </w:rPr>
        <w:t>o</w:t>
      </w:r>
      <w:r w:rsidRPr="00E3232D">
        <w:rPr>
          <w:rFonts w:ascii="Book Antiqua" w:hAnsi="Book Antiqua"/>
          <w:b/>
          <w:bCs/>
          <w:position w:val="-1"/>
        </w:rPr>
        <w:t>n</w:t>
      </w:r>
      <w:r w:rsidRPr="00E3232D">
        <w:rPr>
          <w:rFonts w:ascii="Book Antiqua" w:hAnsi="Book Antiqua"/>
          <w:b/>
          <w:bCs/>
          <w:spacing w:val="1"/>
          <w:position w:val="-1"/>
        </w:rPr>
        <w:t xml:space="preserve"> </w:t>
      </w:r>
      <w:r w:rsidRPr="00E3232D">
        <w:rPr>
          <w:rFonts w:ascii="Book Antiqua" w:hAnsi="Book Antiqua"/>
          <w:b/>
          <w:bCs/>
          <w:position w:val="-1"/>
        </w:rPr>
        <w:t>Ti</w:t>
      </w:r>
      <w:r w:rsidRPr="00E3232D">
        <w:rPr>
          <w:rFonts w:ascii="Book Antiqua" w:hAnsi="Book Antiqua"/>
          <w:b/>
          <w:bCs/>
          <w:spacing w:val="-3"/>
          <w:position w:val="-1"/>
        </w:rPr>
        <w:t>m</w:t>
      </w:r>
      <w:r w:rsidRPr="00E3232D">
        <w:rPr>
          <w:rFonts w:ascii="Book Antiqua" w:hAnsi="Book Antiqua"/>
          <w:b/>
          <w:bCs/>
          <w:position w:val="-1"/>
        </w:rPr>
        <w:t>e</w:t>
      </w:r>
    </w:p>
    <w:p w14:paraId="7AD3A834" w14:textId="77777777" w:rsidR="001C5D75" w:rsidRPr="00E3232D" w:rsidRDefault="007005B1" w:rsidP="008275E1">
      <w:pPr>
        <w:widowControl w:val="0"/>
        <w:autoSpaceDE w:val="0"/>
        <w:autoSpaceDN w:val="0"/>
        <w:adjustRightInd w:val="0"/>
        <w:ind w:right="78"/>
        <w:rPr>
          <w:rFonts w:ascii="Book Antiqua" w:hAnsi="Book Antiqua"/>
        </w:rPr>
      </w:pPr>
      <w:r>
        <w:rPr>
          <w:rFonts w:ascii="Book Antiqua" w:hAnsi="Book Antiqua"/>
          <w:noProof/>
          <w:lang w:bidi="ar-SA"/>
        </w:rPr>
        <w:drawing>
          <wp:inline distT="0" distB="0" distL="0" distR="0" wp14:anchorId="6B87FCA4" wp14:editId="5AF3FD76">
            <wp:extent cx="2924175" cy="2590800"/>
            <wp:effectExtent l="0" t="0" r="0" b="0"/>
            <wp:docPr id="97" name="Object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r w:rsidR="001C5D75" w:rsidRPr="00E3232D">
        <w:rPr>
          <w:rFonts w:ascii="Book Antiqua" w:hAnsi="Book Antiqua"/>
          <w:b/>
          <w:bCs/>
          <w:spacing w:val="1"/>
        </w:rPr>
        <w:t>S</w:t>
      </w:r>
      <w:r w:rsidR="001C5D75" w:rsidRPr="00E3232D">
        <w:rPr>
          <w:rFonts w:ascii="Book Antiqua" w:hAnsi="Book Antiqua"/>
          <w:b/>
          <w:bCs/>
        </w:rPr>
        <w:t>o</w:t>
      </w:r>
      <w:r w:rsidR="001C5D75" w:rsidRPr="00E3232D">
        <w:rPr>
          <w:rFonts w:ascii="Book Antiqua" w:hAnsi="Book Antiqua"/>
          <w:b/>
          <w:bCs/>
          <w:spacing w:val="-1"/>
        </w:rPr>
        <w:t>urce</w:t>
      </w:r>
      <w:r w:rsidR="001C5D75" w:rsidRPr="00E3232D">
        <w:rPr>
          <w:rFonts w:ascii="Book Antiqua" w:hAnsi="Book Antiqua"/>
        </w:rPr>
        <w:t xml:space="preserve">: field </w:t>
      </w:r>
      <w:r w:rsidR="001C5D75" w:rsidRPr="00E3232D">
        <w:rPr>
          <w:rFonts w:ascii="Book Antiqua" w:hAnsi="Book Antiqua"/>
          <w:spacing w:val="2"/>
        </w:rPr>
        <w:t>d</w:t>
      </w:r>
      <w:r w:rsidR="001C5D75" w:rsidRPr="00E3232D">
        <w:rPr>
          <w:rFonts w:ascii="Book Antiqua" w:hAnsi="Book Antiqua"/>
          <w:spacing w:val="-1"/>
        </w:rPr>
        <w:t>a</w:t>
      </w:r>
      <w:r w:rsidR="001C5D75" w:rsidRPr="00E3232D">
        <w:rPr>
          <w:rFonts w:ascii="Book Antiqua" w:hAnsi="Book Antiqua"/>
        </w:rPr>
        <w:t>ta 2006</w:t>
      </w:r>
    </w:p>
    <w:p w14:paraId="24E8DE69" w14:textId="77777777" w:rsidR="00380077" w:rsidRDefault="001C5D75" w:rsidP="00465AE3">
      <w:pPr>
        <w:widowControl w:val="0"/>
        <w:autoSpaceDE w:val="0"/>
        <w:autoSpaceDN w:val="0"/>
        <w:adjustRightInd w:val="0"/>
        <w:spacing w:before="29"/>
        <w:ind w:right="76"/>
        <w:jc w:val="both"/>
        <w:rPr>
          <w:rFonts w:ascii="Book Antiqua" w:hAnsi="Book Antiqua"/>
        </w:rPr>
      </w:pPr>
      <w:r w:rsidRPr="00E3232D">
        <w:rPr>
          <w:rFonts w:ascii="Book Antiqua" w:hAnsi="Book Antiqua"/>
        </w:rPr>
        <w:t>Figure 2.shows</w:t>
      </w:r>
      <w:r w:rsidRPr="00E3232D">
        <w:rPr>
          <w:rFonts w:ascii="Book Antiqua" w:hAnsi="Book Antiqua"/>
          <w:spacing w:val="1"/>
        </w:rPr>
        <w:t xml:space="preserve"> </w:t>
      </w:r>
      <w:r w:rsidRPr="00E3232D">
        <w:rPr>
          <w:rFonts w:ascii="Book Antiqua" w:hAnsi="Book Antiqua"/>
        </w:rPr>
        <w:t>that</w:t>
      </w:r>
      <w:r w:rsidRPr="00E3232D">
        <w:rPr>
          <w:rFonts w:ascii="Book Antiqua" w:hAnsi="Book Antiqua"/>
          <w:spacing w:val="1"/>
        </w:rPr>
        <w:t xml:space="preserve"> </w:t>
      </w:r>
      <w:r w:rsidRPr="00E3232D">
        <w:rPr>
          <w:rFonts w:ascii="Book Antiqua" w:hAnsi="Book Antiqua"/>
        </w:rPr>
        <w:t>69</w:t>
      </w:r>
      <w:r w:rsidRPr="00E3232D">
        <w:rPr>
          <w:rFonts w:ascii="Book Antiqua" w:hAnsi="Book Antiqua"/>
          <w:spacing w:val="1"/>
        </w:rPr>
        <w:t xml:space="preserve"> </w:t>
      </w:r>
      <w:r w:rsidRPr="00E3232D">
        <w:rPr>
          <w:rFonts w:ascii="Book Antiqua" w:hAnsi="Book Antiqua"/>
        </w:rPr>
        <w:t>(98.</w:t>
      </w:r>
      <w:r w:rsidRPr="00E3232D">
        <w:rPr>
          <w:rFonts w:ascii="Book Antiqua" w:hAnsi="Book Antiqua"/>
          <w:spacing w:val="-1"/>
        </w:rPr>
        <w:t>6%</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of</w:t>
      </w:r>
      <w:r w:rsidRPr="00E3232D">
        <w:rPr>
          <w:rFonts w:ascii="Book Antiqua" w:hAnsi="Book Antiqua"/>
          <w:spacing w:val="1"/>
        </w:rPr>
        <w:t xml:space="preserve"> </w:t>
      </w:r>
      <w:r w:rsidRPr="00E3232D">
        <w:rPr>
          <w:rFonts w:ascii="Book Antiqua" w:hAnsi="Book Antiqua"/>
          <w:spacing w:val="-2"/>
        </w:rPr>
        <w:t>t</w:t>
      </w:r>
      <w:r w:rsidRPr="00E3232D">
        <w:rPr>
          <w:rFonts w:ascii="Book Antiqua" w:hAnsi="Book Antiqua"/>
        </w:rPr>
        <w:t>he potential</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 w</w:t>
      </w:r>
      <w:r w:rsidRPr="00E3232D">
        <w:rPr>
          <w:rFonts w:ascii="Book Antiqua" w:hAnsi="Book Antiqua"/>
          <w:spacing w:val="-1"/>
        </w:rPr>
        <w:t>e</w:t>
      </w:r>
      <w:r w:rsidRPr="00E3232D">
        <w:rPr>
          <w:rFonts w:ascii="Book Antiqua" w:hAnsi="Book Antiqua"/>
        </w:rPr>
        <w:t>re</w:t>
      </w:r>
      <w:r w:rsidRPr="00E3232D">
        <w:rPr>
          <w:rFonts w:ascii="Book Antiqua" w:hAnsi="Book Antiqua"/>
          <w:spacing w:val="12"/>
        </w:rPr>
        <w:t xml:space="preserve"> </w:t>
      </w:r>
      <w:r w:rsidRPr="00E3232D">
        <w:rPr>
          <w:rFonts w:ascii="Book Antiqua" w:hAnsi="Book Antiqua"/>
          <w:spacing w:val="-1"/>
        </w:rPr>
        <w:t>a</w:t>
      </w:r>
      <w:r w:rsidRPr="00E3232D">
        <w:rPr>
          <w:rFonts w:ascii="Book Antiqua" w:hAnsi="Book Antiqua"/>
        </w:rPr>
        <w:t>b</w:t>
      </w:r>
      <w:r w:rsidRPr="00E3232D">
        <w:rPr>
          <w:rFonts w:ascii="Book Antiqua" w:hAnsi="Book Antiqua"/>
          <w:spacing w:val="3"/>
        </w:rPr>
        <w:t>l</w:t>
      </w:r>
      <w:r w:rsidRPr="00E3232D">
        <w:rPr>
          <w:rFonts w:ascii="Book Antiqua" w:hAnsi="Book Antiqua"/>
        </w:rPr>
        <w:t>e</w:t>
      </w:r>
      <w:r w:rsidRPr="00E3232D">
        <w:rPr>
          <w:rFonts w:ascii="Book Antiqua" w:hAnsi="Book Antiqua"/>
          <w:spacing w:val="13"/>
        </w:rPr>
        <w:t xml:space="preserve"> </w:t>
      </w:r>
      <w:r w:rsidRPr="00E3232D">
        <w:rPr>
          <w:rFonts w:ascii="Book Antiqua" w:hAnsi="Book Antiqua"/>
        </w:rPr>
        <w:t>to</w:t>
      </w:r>
      <w:r w:rsidRPr="00E3232D">
        <w:rPr>
          <w:rFonts w:ascii="Book Antiqua" w:hAnsi="Book Antiqua"/>
          <w:spacing w:val="15"/>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p</w:t>
      </w:r>
      <w:r w:rsidRPr="00E3232D">
        <w:rPr>
          <w:rFonts w:ascii="Book Antiqua" w:hAnsi="Book Antiqua"/>
          <w:spacing w:val="4"/>
        </w:rPr>
        <w:t>a</w:t>
      </w:r>
      <w:r w:rsidRPr="00E3232D">
        <w:rPr>
          <w:rFonts w:ascii="Book Antiqua" w:hAnsi="Book Antiqua"/>
        </w:rPr>
        <w:t>y</w:t>
      </w:r>
      <w:r w:rsidRPr="00E3232D">
        <w:rPr>
          <w:rFonts w:ascii="Book Antiqua" w:hAnsi="Book Antiqua"/>
          <w:spacing w:val="9"/>
        </w:rPr>
        <w:t xml:space="preserve"> </w:t>
      </w:r>
      <w:r w:rsidRPr="00E3232D">
        <w:rPr>
          <w:rFonts w:ascii="Book Antiqua" w:hAnsi="Book Antiqua"/>
        </w:rPr>
        <w:t>their</w:t>
      </w:r>
      <w:r w:rsidRPr="00E3232D">
        <w:rPr>
          <w:rFonts w:ascii="Book Antiqua" w:hAnsi="Book Antiqua"/>
          <w:spacing w:val="16"/>
        </w:rPr>
        <w:t xml:space="preserve"> </w:t>
      </w:r>
      <w:r w:rsidRPr="00E3232D">
        <w:rPr>
          <w:rFonts w:ascii="Book Antiqua" w:hAnsi="Book Antiqua"/>
        </w:rPr>
        <w:t>loans</w:t>
      </w:r>
      <w:r w:rsidRPr="00E3232D">
        <w:rPr>
          <w:rFonts w:ascii="Book Antiqua" w:hAnsi="Book Antiqua"/>
          <w:spacing w:val="14"/>
        </w:rPr>
        <w:t xml:space="preserve"> </w:t>
      </w:r>
      <w:r w:rsidRPr="00E3232D">
        <w:rPr>
          <w:rFonts w:ascii="Book Antiqua" w:hAnsi="Book Antiqua"/>
        </w:rPr>
        <w:t>on</w:t>
      </w:r>
      <w:r w:rsidRPr="00E3232D">
        <w:rPr>
          <w:rFonts w:ascii="Book Antiqua" w:hAnsi="Book Antiqua"/>
          <w:spacing w:val="14"/>
        </w:rPr>
        <w:t xml:space="preserve"> </w:t>
      </w:r>
      <w:r w:rsidRPr="00E3232D">
        <w:rPr>
          <w:rFonts w:ascii="Book Antiqua" w:hAnsi="Book Antiqua"/>
        </w:rPr>
        <w:t>t</w:t>
      </w:r>
      <w:r w:rsidRPr="00E3232D">
        <w:rPr>
          <w:rFonts w:ascii="Book Antiqua" w:hAnsi="Book Antiqua"/>
          <w:spacing w:val="1"/>
        </w:rPr>
        <w:t>i</w:t>
      </w:r>
      <w:r w:rsidRPr="00E3232D">
        <w:rPr>
          <w:rFonts w:ascii="Book Antiqua" w:hAnsi="Book Antiqua"/>
        </w:rPr>
        <w:t>me</w:t>
      </w:r>
      <w:r w:rsidRPr="00E3232D">
        <w:rPr>
          <w:rFonts w:ascii="Book Antiqua" w:hAnsi="Book Antiqua"/>
          <w:spacing w:val="14"/>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4"/>
        </w:rPr>
        <w:t xml:space="preserve"> </w:t>
      </w:r>
      <w:r w:rsidRPr="00E3232D">
        <w:rPr>
          <w:rFonts w:ascii="Book Antiqua" w:hAnsi="Book Antiqua"/>
        </w:rPr>
        <w:t>1</w:t>
      </w:r>
      <w:r w:rsidRPr="00E3232D">
        <w:rPr>
          <w:rFonts w:ascii="Book Antiqua" w:hAnsi="Book Antiqua"/>
          <w:spacing w:val="14"/>
        </w:rPr>
        <w:t xml:space="preserve"> </w:t>
      </w:r>
      <w:r w:rsidRPr="00E3232D">
        <w:rPr>
          <w:rFonts w:ascii="Book Antiqua" w:hAnsi="Book Antiqua"/>
        </w:rPr>
        <w:t>(2.</w:t>
      </w:r>
      <w:r w:rsidRPr="00E3232D">
        <w:rPr>
          <w:rFonts w:ascii="Book Antiqua" w:hAnsi="Book Antiqua"/>
          <w:spacing w:val="-3"/>
        </w:rPr>
        <w:t>4</w:t>
      </w:r>
      <w:r w:rsidRPr="00E3232D">
        <w:rPr>
          <w:rFonts w:ascii="Book Antiqua" w:hAnsi="Book Antiqua"/>
          <w:spacing w:val="-1"/>
        </w:rPr>
        <w:t>%</w:t>
      </w:r>
      <w:r w:rsidRPr="00E3232D">
        <w:rPr>
          <w:rFonts w:ascii="Book Antiqua" w:hAnsi="Book Antiqua"/>
        </w:rPr>
        <w:t>)</w:t>
      </w:r>
      <w:r w:rsidRPr="00E3232D">
        <w:rPr>
          <w:rFonts w:ascii="Book Antiqua" w:hAnsi="Book Antiqua"/>
          <w:spacing w:val="13"/>
        </w:rPr>
        <w:t xml:space="preserve"> </w:t>
      </w:r>
      <w:r w:rsidRPr="00E3232D">
        <w:rPr>
          <w:rFonts w:ascii="Book Antiqua" w:hAnsi="Book Antiqua"/>
        </w:rPr>
        <w:t>w</w:t>
      </w:r>
      <w:r w:rsidRPr="00E3232D">
        <w:rPr>
          <w:rFonts w:ascii="Book Antiqua" w:hAnsi="Book Antiqua"/>
          <w:spacing w:val="-1"/>
        </w:rPr>
        <w:t>a</w:t>
      </w:r>
      <w:r w:rsidRPr="00E3232D">
        <w:rPr>
          <w:rFonts w:ascii="Book Antiqua" w:hAnsi="Book Antiqua"/>
        </w:rPr>
        <w:t>s</w:t>
      </w:r>
      <w:r w:rsidRPr="00E3232D">
        <w:rPr>
          <w:rFonts w:ascii="Book Antiqua" w:hAnsi="Book Antiqua"/>
          <w:spacing w:val="14"/>
        </w:rPr>
        <w:t xml:space="preserve"> </w:t>
      </w:r>
      <w:r w:rsidRPr="00E3232D">
        <w:rPr>
          <w:rFonts w:ascii="Book Antiqua" w:hAnsi="Book Antiqua"/>
        </w:rPr>
        <w:t>un</w:t>
      </w:r>
      <w:r w:rsidRPr="00E3232D">
        <w:rPr>
          <w:rFonts w:ascii="Book Antiqua" w:hAnsi="Book Antiqua"/>
          <w:spacing w:val="-1"/>
        </w:rPr>
        <w:t>a</w:t>
      </w:r>
      <w:r w:rsidRPr="00E3232D">
        <w:rPr>
          <w:rFonts w:ascii="Book Antiqua" w:hAnsi="Book Antiqua"/>
        </w:rPr>
        <w:t>ble</w:t>
      </w:r>
      <w:r w:rsidRPr="00E3232D">
        <w:rPr>
          <w:rFonts w:ascii="Book Antiqua" w:hAnsi="Book Antiqua"/>
          <w:spacing w:val="14"/>
        </w:rPr>
        <w:t xml:space="preserve"> </w:t>
      </w:r>
      <w:r w:rsidRPr="00E3232D">
        <w:rPr>
          <w:rFonts w:ascii="Book Antiqua" w:hAnsi="Book Antiqua"/>
        </w:rPr>
        <w:t>to</w:t>
      </w:r>
      <w:r w:rsidRPr="00E3232D">
        <w:rPr>
          <w:rFonts w:ascii="Book Antiqua" w:hAnsi="Book Antiqua"/>
          <w:spacing w:val="15"/>
        </w:rPr>
        <w:t xml:space="preserve"> </w:t>
      </w:r>
      <w:r w:rsidRPr="00E3232D">
        <w:rPr>
          <w:rFonts w:ascii="Book Antiqua" w:hAnsi="Book Antiqua"/>
        </w:rPr>
        <w:t>p</w:t>
      </w:r>
      <w:r w:rsidRPr="00E3232D">
        <w:rPr>
          <w:rFonts w:ascii="Book Antiqua" w:hAnsi="Book Antiqua"/>
          <w:spacing w:val="4"/>
        </w:rPr>
        <w:t>a</w:t>
      </w:r>
      <w:r w:rsidRPr="00E3232D">
        <w:rPr>
          <w:rFonts w:ascii="Book Antiqua" w:hAnsi="Book Antiqua"/>
        </w:rPr>
        <w:t>y</w:t>
      </w:r>
      <w:r w:rsidRPr="00E3232D">
        <w:rPr>
          <w:rFonts w:ascii="Book Antiqua" w:hAnsi="Book Antiqua"/>
          <w:spacing w:val="9"/>
        </w:rPr>
        <w:t xml:space="preserve"> </w:t>
      </w:r>
      <w:r w:rsidRPr="00E3232D">
        <w:rPr>
          <w:rFonts w:ascii="Book Antiqua" w:hAnsi="Book Antiqua"/>
        </w:rPr>
        <w:t>on</w:t>
      </w:r>
      <w:r w:rsidRPr="00E3232D">
        <w:rPr>
          <w:rFonts w:ascii="Book Antiqua" w:hAnsi="Book Antiqua"/>
          <w:spacing w:val="16"/>
        </w:rPr>
        <w:t xml:space="preserve"> </w:t>
      </w:r>
      <w:r w:rsidRPr="00E3232D">
        <w:rPr>
          <w:rFonts w:ascii="Book Antiqua" w:hAnsi="Book Antiqua"/>
        </w:rPr>
        <w:t>t</w:t>
      </w:r>
      <w:r w:rsidRPr="00E3232D">
        <w:rPr>
          <w:rFonts w:ascii="Book Antiqua" w:hAnsi="Book Antiqua"/>
          <w:spacing w:val="1"/>
        </w:rPr>
        <w:t>i</w:t>
      </w:r>
      <w:r w:rsidRPr="00E3232D">
        <w:rPr>
          <w:rFonts w:ascii="Book Antiqua" w:hAnsi="Book Antiqua"/>
        </w:rPr>
        <w:t>me.</w:t>
      </w:r>
      <w:r w:rsidRPr="00E3232D">
        <w:rPr>
          <w:rFonts w:ascii="Book Antiqua" w:hAnsi="Book Antiqua"/>
          <w:spacing w:val="14"/>
        </w:rPr>
        <w:t xml:space="preserve"> </w:t>
      </w:r>
      <w:r w:rsidRPr="00E3232D">
        <w:rPr>
          <w:rFonts w:ascii="Book Antiqua" w:hAnsi="Book Antiqua"/>
        </w:rPr>
        <w:t>This in</w:t>
      </w:r>
      <w:r w:rsidRPr="00E3232D">
        <w:rPr>
          <w:rFonts w:ascii="Book Antiqua" w:hAnsi="Book Antiqua"/>
          <w:spacing w:val="2"/>
        </w:rPr>
        <w:t xml:space="preserve"> </w:t>
      </w:r>
      <w:r w:rsidRPr="00E3232D">
        <w:rPr>
          <w:rFonts w:ascii="Book Antiqua" w:hAnsi="Book Antiqua"/>
        </w:rPr>
        <w:t>f</w:t>
      </w:r>
      <w:r w:rsidRPr="00E3232D">
        <w:rPr>
          <w:rFonts w:ascii="Book Antiqua" w:hAnsi="Book Antiqua"/>
          <w:spacing w:val="-2"/>
        </w:rPr>
        <w:t>a</w:t>
      </w:r>
      <w:r w:rsidRPr="00E3232D">
        <w:rPr>
          <w:rFonts w:ascii="Book Antiqua" w:hAnsi="Book Antiqua"/>
          <w:spacing w:val="-1"/>
        </w:rPr>
        <w:t>c</w:t>
      </w:r>
      <w:r w:rsidRPr="00E3232D">
        <w:rPr>
          <w:rFonts w:ascii="Book Antiqua" w:hAnsi="Book Antiqua"/>
        </w:rPr>
        <w:t>t</w:t>
      </w:r>
      <w:r w:rsidRPr="00E3232D">
        <w:rPr>
          <w:rFonts w:ascii="Book Antiqua" w:hAnsi="Book Antiqua"/>
          <w:spacing w:val="2"/>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spacing w:val="2"/>
        </w:rPr>
        <w:t>v</w:t>
      </w:r>
      <w:r w:rsidRPr="00E3232D">
        <w:rPr>
          <w:rFonts w:ascii="Book Antiqua" w:hAnsi="Book Antiqua"/>
          <w:spacing w:val="-1"/>
        </w:rPr>
        <w:t>ea</w:t>
      </w:r>
      <w:r w:rsidRPr="00E3232D">
        <w:rPr>
          <w:rFonts w:ascii="Book Antiqua" w:hAnsi="Book Antiqua"/>
        </w:rPr>
        <w:t>ls</w:t>
      </w:r>
      <w:r w:rsidRPr="00E3232D">
        <w:rPr>
          <w:rFonts w:ascii="Book Antiqua" w:hAnsi="Book Antiqua"/>
          <w:spacing w:val="2"/>
        </w:rPr>
        <w:t xml:space="preserve"> </w:t>
      </w:r>
      <w:r w:rsidRPr="00E3232D">
        <w:rPr>
          <w:rFonts w:ascii="Book Antiqua" w:hAnsi="Book Antiqua"/>
        </w:rPr>
        <w:t>that</w:t>
      </w:r>
      <w:r w:rsidRPr="00E3232D">
        <w:rPr>
          <w:rFonts w:ascii="Book Antiqua" w:hAnsi="Book Antiqua"/>
          <w:spacing w:val="1"/>
        </w:rPr>
        <w:t xml:space="preserve"> </w:t>
      </w:r>
      <w:r w:rsidRPr="00E3232D">
        <w:rPr>
          <w:rFonts w:ascii="Book Antiqua" w:hAnsi="Book Antiqua"/>
        </w:rPr>
        <w:t>pot</w:t>
      </w:r>
      <w:r w:rsidRPr="00E3232D">
        <w:rPr>
          <w:rFonts w:ascii="Book Antiqua" w:hAnsi="Book Antiqua"/>
          <w:spacing w:val="2"/>
        </w:rPr>
        <w:t>e</w:t>
      </w:r>
      <w:r w:rsidRPr="00E3232D">
        <w:rPr>
          <w:rFonts w:ascii="Book Antiqua" w:hAnsi="Book Antiqua"/>
        </w:rPr>
        <w:t>nt</w:t>
      </w:r>
      <w:r w:rsidRPr="00E3232D">
        <w:rPr>
          <w:rFonts w:ascii="Book Antiqua" w:hAnsi="Book Antiqua"/>
          <w:spacing w:val="1"/>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ve posit</w:t>
      </w:r>
      <w:r w:rsidRPr="00E3232D">
        <w:rPr>
          <w:rFonts w:ascii="Book Antiqua" w:hAnsi="Book Antiqua"/>
          <w:spacing w:val="3"/>
        </w:rPr>
        <w:t>i</w:t>
      </w:r>
      <w:r w:rsidRPr="00E3232D">
        <w:rPr>
          <w:rFonts w:ascii="Book Antiqua" w:hAnsi="Book Antiqua"/>
        </w:rPr>
        <w:t xml:space="preserve">ve </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t</w:t>
      </w:r>
      <w:r w:rsidRPr="00E3232D">
        <w:rPr>
          <w:rFonts w:ascii="Book Antiqua" w:hAnsi="Book Antiqua"/>
          <w:spacing w:val="7"/>
        </w:rPr>
        <w:t>i</w:t>
      </w:r>
      <w:r w:rsidRPr="00E3232D">
        <w:rPr>
          <w:rFonts w:ascii="Book Antiqua" w:hAnsi="Book Antiqua"/>
        </w:rPr>
        <w:t>tude tow</w:t>
      </w:r>
      <w:r w:rsidRPr="00E3232D">
        <w:rPr>
          <w:rFonts w:ascii="Book Antiqua" w:hAnsi="Book Antiqua"/>
          <w:spacing w:val="-1"/>
        </w:rPr>
        <w:t>a</w:t>
      </w:r>
      <w:r w:rsidRPr="00E3232D">
        <w:rPr>
          <w:rFonts w:ascii="Book Antiqua" w:hAnsi="Book Antiqua"/>
        </w:rPr>
        <w:t>rds lo</w:t>
      </w:r>
      <w:r w:rsidRPr="00E3232D">
        <w:rPr>
          <w:rFonts w:ascii="Book Antiqua" w:hAnsi="Book Antiqua"/>
          <w:spacing w:val="-1"/>
        </w:rPr>
        <w:t>a</w:t>
      </w:r>
      <w:r w:rsidRPr="00E3232D">
        <w:rPr>
          <w:rFonts w:ascii="Book Antiqua" w:hAnsi="Book Antiqua"/>
        </w:rPr>
        <w:t xml:space="preserve">n </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p</w:t>
      </w:r>
      <w:r w:rsidRPr="00E3232D">
        <w:rPr>
          <w:rFonts w:ascii="Book Antiqua" w:hAnsi="Book Antiqua"/>
          <w:spacing w:val="4"/>
        </w:rPr>
        <w:t>a</w:t>
      </w:r>
      <w:r w:rsidRPr="00E3232D">
        <w:rPr>
          <w:rFonts w:ascii="Book Antiqua" w:hAnsi="Book Antiqua"/>
          <w:spacing w:val="-5"/>
        </w:rPr>
        <w:t>y</w:t>
      </w:r>
      <w:r w:rsidRPr="00E3232D">
        <w:rPr>
          <w:rFonts w:ascii="Book Antiqua" w:hAnsi="Book Antiqua"/>
        </w:rPr>
        <w:t>ment.</w:t>
      </w:r>
    </w:p>
    <w:p w14:paraId="14A91E04" w14:textId="77777777" w:rsidR="00050BBA" w:rsidRDefault="00050BBA" w:rsidP="00380077">
      <w:pPr>
        <w:widowControl w:val="0"/>
        <w:autoSpaceDE w:val="0"/>
        <w:autoSpaceDN w:val="0"/>
        <w:adjustRightInd w:val="0"/>
        <w:spacing w:before="29"/>
        <w:ind w:right="76"/>
        <w:rPr>
          <w:rFonts w:ascii="Book Antiqua" w:hAnsi="Book Antiqua"/>
          <w:b/>
        </w:rPr>
      </w:pPr>
    </w:p>
    <w:p w14:paraId="36F137F3" w14:textId="77777777" w:rsidR="001C5D75" w:rsidRPr="00380077" w:rsidRDefault="001C5D75" w:rsidP="00380077">
      <w:pPr>
        <w:widowControl w:val="0"/>
        <w:autoSpaceDE w:val="0"/>
        <w:autoSpaceDN w:val="0"/>
        <w:adjustRightInd w:val="0"/>
        <w:spacing w:before="29"/>
        <w:ind w:right="76"/>
        <w:rPr>
          <w:rFonts w:ascii="Book Antiqua" w:hAnsi="Book Antiqua"/>
        </w:rPr>
      </w:pPr>
      <w:r w:rsidRPr="00E3232D">
        <w:rPr>
          <w:rFonts w:ascii="Book Antiqua" w:hAnsi="Book Antiqua"/>
          <w:b/>
        </w:rPr>
        <w:t>Figure 3</w:t>
      </w:r>
    </w:p>
    <w:p w14:paraId="5EFC3D77" w14:textId="77777777" w:rsidR="001C5D75" w:rsidRPr="00E3232D" w:rsidRDefault="007005B1" w:rsidP="008275E1">
      <w:pPr>
        <w:widowControl w:val="0"/>
        <w:autoSpaceDE w:val="0"/>
        <w:autoSpaceDN w:val="0"/>
        <w:adjustRightInd w:val="0"/>
        <w:ind w:right="78"/>
        <w:rPr>
          <w:rFonts w:ascii="Book Antiqua" w:hAnsi="Book Antiqua"/>
        </w:rPr>
      </w:pPr>
      <w:r>
        <w:rPr>
          <w:rFonts w:ascii="Book Antiqua" w:hAnsi="Book Antiqua"/>
          <w:noProof/>
          <w:lang w:bidi="ar-SA"/>
        </w:rPr>
        <w:drawing>
          <wp:inline distT="0" distB="0" distL="0" distR="0" wp14:anchorId="5D4F88A2" wp14:editId="4F3996DA">
            <wp:extent cx="2971800" cy="2333625"/>
            <wp:effectExtent l="0" t="0" r="0" b="0"/>
            <wp:docPr id="98" name="Object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r w:rsidR="001C5D75" w:rsidRPr="00E3232D">
        <w:rPr>
          <w:rFonts w:ascii="Book Antiqua" w:hAnsi="Book Antiqua"/>
          <w:b/>
          <w:bCs/>
          <w:spacing w:val="1"/>
        </w:rPr>
        <w:t>S</w:t>
      </w:r>
      <w:r w:rsidR="001C5D75" w:rsidRPr="00E3232D">
        <w:rPr>
          <w:rFonts w:ascii="Book Antiqua" w:hAnsi="Book Antiqua"/>
          <w:b/>
          <w:bCs/>
        </w:rPr>
        <w:t>o</w:t>
      </w:r>
      <w:r w:rsidR="001C5D75" w:rsidRPr="00E3232D">
        <w:rPr>
          <w:rFonts w:ascii="Book Antiqua" w:hAnsi="Book Antiqua"/>
          <w:b/>
          <w:bCs/>
          <w:spacing w:val="-1"/>
        </w:rPr>
        <w:t>urce</w:t>
      </w:r>
      <w:r w:rsidR="001C5D75" w:rsidRPr="00E3232D">
        <w:rPr>
          <w:rFonts w:ascii="Book Antiqua" w:hAnsi="Book Antiqua"/>
        </w:rPr>
        <w:t xml:space="preserve">: field </w:t>
      </w:r>
      <w:r w:rsidR="001C5D75" w:rsidRPr="00E3232D">
        <w:rPr>
          <w:rFonts w:ascii="Book Antiqua" w:hAnsi="Book Antiqua"/>
          <w:spacing w:val="2"/>
        </w:rPr>
        <w:t>d</w:t>
      </w:r>
      <w:r w:rsidR="001C5D75" w:rsidRPr="00E3232D">
        <w:rPr>
          <w:rFonts w:ascii="Book Antiqua" w:hAnsi="Book Antiqua"/>
          <w:spacing w:val="-1"/>
        </w:rPr>
        <w:t>a</w:t>
      </w:r>
      <w:r w:rsidR="001C5D75" w:rsidRPr="00E3232D">
        <w:rPr>
          <w:rFonts w:ascii="Book Antiqua" w:hAnsi="Book Antiqua"/>
        </w:rPr>
        <w:t>ta 2012</w:t>
      </w:r>
    </w:p>
    <w:p w14:paraId="0DCEF66B" w14:textId="77777777" w:rsidR="001C5D75" w:rsidRPr="00E3232D" w:rsidRDefault="001C5D75" w:rsidP="00465AE3">
      <w:pPr>
        <w:widowControl w:val="0"/>
        <w:autoSpaceDE w:val="0"/>
        <w:autoSpaceDN w:val="0"/>
        <w:adjustRightInd w:val="0"/>
        <w:ind w:right="78"/>
        <w:jc w:val="both"/>
        <w:rPr>
          <w:rFonts w:ascii="Book Antiqua" w:hAnsi="Book Antiqua"/>
        </w:rPr>
      </w:pPr>
      <w:r w:rsidRPr="00E3232D">
        <w:rPr>
          <w:rFonts w:ascii="Book Antiqua" w:hAnsi="Book Antiqua"/>
        </w:rPr>
        <w:t>From figure 3 above, it was observed that only 3% of these potential micro entrepreneurial borrowers had benefited from previous government policies and about 90% and beyond had not benefited from any form of government policy.</w:t>
      </w:r>
    </w:p>
    <w:p w14:paraId="57D027D5" w14:textId="77777777" w:rsidR="001C5D75" w:rsidRPr="00E3232D" w:rsidRDefault="00465AE3" w:rsidP="008275E1">
      <w:pPr>
        <w:widowControl w:val="0"/>
        <w:autoSpaceDE w:val="0"/>
        <w:autoSpaceDN w:val="0"/>
        <w:adjustRightInd w:val="0"/>
        <w:ind w:right="75"/>
        <w:rPr>
          <w:rFonts w:ascii="Book Antiqua" w:hAnsi="Book Antiqua"/>
        </w:rPr>
      </w:pPr>
      <w:r>
        <w:rPr>
          <w:rFonts w:ascii="Book Antiqua" w:hAnsi="Book Antiqua"/>
          <w:noProof/>
          <w:lang w:bidi="ar-SA"/>
        </w:rPr>
        <w:drawing>
          <wp:inline distT="0" distB="0" distL="0" distR="0" wp14:anchorId="6F5D0787" wp14:editId="5EF6BA2E">
            <wp:extent cx="2586355" cy="1642562"/>
            <wp:effectExtent l="19050" t="0" r="23495" b="0"/>
            <wp:docPr id="24" name="Object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679502B9" w14:textId="77777777" w:rsidR="00C46BAF" w:rsidRPr="00465AE3" w:rsidRDefault="0057286B" w:rsidP="00380077">
      <w:pPr>
        <w:widowControl w:val="0"/>
        <w:autoSpaceDE w:val="0"/>
        <w:autoSpaceDN w:val="0"/>
        <w:adjustRightInd w:val="0"/>
        <w:ind w:right="76"/>
        <w:rPr>
          <w:rFonts w:ascii="Book Antiqua" w:hAnsi="Book Antiqua"/>
          <w:iCs/>
        </w:rPr>
      </w:pPr>
      <w:r w:rsidRPr="00E3232D">
        <w:rPr>
          <w:rFonts w:ascii="Book Antiqua" w:hAnsi="Book Antiqua"/>
          <w:b/>
          <w:iCs/>
        </w:rPr>
        <w:t>Sour</w:t>
      </w:r>
      <w:r w:rsidRPr="00E3232D">
        <w:rPr>
          <w:rFonts w:ascii="Book Antiqua" w:hAnsi="Book Antiqua"/>
          <w:b/>
          <w:iCs/>
          <w:spacing w:val="-1"/>
        </w:rPr>
        <w:t>ce</w:t>
      </w:r>
      <w:r w:rsidRPr="00E3232D">
        <w:rPr>
          <w:rFonts w:ascii="Book Antiqua" w:hAnsi="Book Antiqua"/>
          <w:b/>
          <w:iCs/>
        </w:rPr>
        <w:t>s:</w:t>
      </w:r>
      <w:r w:rsidRPr="00E3232D">
        <w:rPr>
          <w:rFonts w:ascii="Book Antiqua" w:hAnsi="Book Antiqua"/>
          <w:iCs/>
        </w:rPr>
        <w:t xml:space="preserve"> field data 2012</w:t>
      </w:r>
    </w:p>
    <w:p w14:paraId="5A966612" w14:textId="77777777" w:rsidR="0057286B" w:rsidRPr="00E3232D" w:rsidRDefault="0057286B" w:rsidP="00196385">
      <w:pPr>
        <w:pStyle w:val="ListParagraph"/>
        <w:widowControl w:val="0"/>
        <w:numPr>
          <w:ilvl w:val="0"/>
          <w:numId w:val="177"/>
        </w:numPr>
        <w:autoSpaceDE w:val="0"/>
        <w:autoSpaceDN w:val="0"/>
        <w:adjustRightInd w:val="0"/>
        <w:spacing w:before="240"/>
        <w:rPr>
          <w:rFonts w:ascii="Book Antiqua" w:hAnsi="Book Antiqua"/>
          <w:b/>
        </w:rPr>
      </w:pPr>
      <w:r w:rsidRPr="00465AE3">
        <w:rPr>
          <w:rFonts w:ascii="Book Antiqua" w:hAnsi="Book Antiqua"/>
          <w:b/>
          <w:sz w:val="26"/>
        </w:rPr>
        <w:t>Discussion</w:t>
      </w:r>
    </w:p>
    <w:p w14:paraId="56D6ABD6" w14:textId="77777777" w:rsidR="0057286B" w:rsidRPr="00E3232D" w:rsidRDefault="0057286B" w:rsidP="00465AE3">
      <w:pPr>
        <w:widowControl w:val="0"/>
        <w:autoSpaceDE w:val="0"/>
        <w:autoSpaceDN w:val="0"/>
        <w:adjustRightInd w:val="0"/>
        <w:ind w:right="83"/>
        <w:jc w:val="both"/>
        <w:rPr>
          <w:rFonts w:ascii="Book Antiqua" w:hAnsi="Book Antiqua"/>
        </w:rPr>
      </w:pPr>
      <w:r w:rsidRPr="00E3232D">
        <w:rPr>
          <w:rFonts w:ascii="Book Antiqua" w:hAnsi="Book Antiqua"/>
        </w:rPr>
        <w:t>The</w:t>
      </w:r>
      <w:r w:rsidRPr="00E3232D">
        <w:rPr>
          <w:rFonts w:ascii="Book Antiqua" w:hAnsi="Book Antiqua"/>
          <w:spacing w:val="-1"/>
        </w:rPr>
        <w:t xml:space="preserve"> re</w:t>
      </w:r>
      <w:r w:rsidRPr="00E3232D">
        <w:rPr>
          <w:rFonts w:ascii="Book Antiqua" w:hAnsi="Book Antiqua"/>
        </w:rPr>
        <w:t>sul</w:t>
      </w:r>
      <w:r w:rsidRPr="00E3232D">
        <w:rPr>
          <w:rFonts w:ascii="Book Antiqua" w:hAnsi="Book Antiqua"/>
          <w:spacing w:val="1"/>
        </w:rPr>
        <w:t>t</w:t>
      </w:r>
      <w:r w:rsidRPr="00E3232D">
        <w:rPr>
          <w:rFonts w:ascii="Book Antiqua" w:hAnsi="Book Antiqua"/>
        </w:rPr>
        <w:t>s of the</w:t>
      </w:r>
      <w:r w:rsidRPr="00E3232D">
        <w:rPr>
          <w:rFonts w:ascii="Book Antiqua" w:hAnsi="Book Antiqua"/>
          <w:spacing w:val="-1"/>
        </w:rPr>
        <w:t xml:space="preserve"> </w:t>
      </w:r>
      <w:r w:rsidRPr="00E3232D">
        <w:rPr>
          <w:rFonts w:ascii="Book Antiqua" w:hAnsi="Book Antiqua"/>
        </w:rPr>
        <w:t>stu</w:t>
      </w:r>
      <w:r w:rsidRPr="00E3232D">
        <w:rPr>
          <w:rFonts w:ascii="Book Antiqua" w:hAnsi="Book Antiqua"/>
          <w:spacing w:val="5"/>
        </w:rPr>
        <w:t>d</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ve</w:t>
      </w:r>
      <w:r w:rsidRPr="00E3232D">
        <w:rPr>
          <w:rFonts w:ascii="Book Antiqua" w:hAnsi="Book Antiqua"/>
          <w:spacing w:val="1"/>
        </w:rPr>
        <w:t xml:space="preserve"> </w:t>
      </w:r>
      <w:r w:rsidRPr="00E3232D">
        <w:rPr>
          <w:rFonts w:ascii="Book Antiqua" w:hAnsi="Book Antiqua"/>
          <w:spacing w:val="-2"/>
        </w:rPr>
        <w:t>g</w:t>
      </w:r>
      <w:r w:rsidRPr="00E3232D">
        <w:rPr>
          <w:rFonts w:ascii="Book Antiqua" w:hAnsi="Book Antiqua"/>
        </w:rPr>
        <w:t>iven us</w:t>
      </w:r>
      <w:r w:rsidRPr="00E3232D">
        <w:rPr>
          <w:rFonts w:ascii="Book Antiqua" w:hAnsi="Book Antiqua"/>
          <w:spacing w:val="2"/>
        </w:rPr>
        <w:t xml:space="preserve"> </w:t>
      </w:r>
      <w:r w:rsidRPr="00E3232D">
        <w:rPr>
          <w:rFonts w:ascii="Book Antiqua" w:hAnsi="Book Antiqua"/>
        </w:rPr>
        <w:t>a</w:t>
      </w:r>
      <w:r w:rsidRPr="00E3232D">
        <w:rPr>
          <w:rFonts w:ascii="Book Antiqua" w:hAnsi="Book Antiqua"/>
          <w:spacing w:val="-1"/>
        </w:rPr>
        <w:t xml:space="preserve"> c</w:t>
      </w:r>
      <w:r w:rsidRPr="00E3232D">
        <w:rPr>
          <w:rFonts w:ascii="Book Antiqua" w:hAnsi="Book Antiqua"/>
        </w:rPr>
        <w:t>on</w:t>
      </w:r>
      <w:r w:rsidRPr="00E3232D">
        <w:rPr>
          <w:rFonts w:ascii="Book Antiqua" w:hAnsi="Book Antiqua"/>
          <w:spacing w:val="1"/>
        </w:rPr>
        <w:t>c</w:t>
      </w:r>
      <w:r w:rsidRPr="00E3232D">
        <w:rPr>
          <w:rFonts w:ascii="Book Antiqua" w:hAnsi="Book Antiqua"/>
        </w:rPr>
        <w:t>r</w:t>
      </w:r>
      <w:r w:rsidRPr="00E3232D">
        <w:rPr>
          <w:rFonts w:ascii="Book Antiqua" w:hAnsi="Book Antiqua"/>
          <w:spacing w:val="-2"/>
        </w:rPr>
        <w:t>e</w:t>
      </w:r>
      <w:r w:rsidRPr="00E3232D">
        <w:rPr>
          <w:rFonts w:ascii="Book Antiqua" w:hAnsi="Book Antiqua"/>
        </w:rPr>
        <w:t>te</w:t>
      </w:r>
      <w:r w:rsidRPr="00E3232D">
        <w:rPr>
          <w:rFonts w:ascii="Book Antiqua" w:hAnsi="Book Antiqua"/>
          <w:spacing w:val="2"/>
        </w:rPr>
        <w:t xml:space="preserve"> </w:t>
      </w:r>
      <w:r w:rsidRPr="00E3232D">
        <w:rPr>
          <w:rFonts w:ascii="Book Antiqua" w:hAnsi="Book Antiqua"/>
          <w:spacing w:val="1"/>
        </w:rPr>
        <w:t>c</w:t>
      </w:r>
      <w:r w:rsidRPr="00E3232D">
        <w:rPr>
          <w:rFonts w:ascii="Book Antiqua" w:hAnsi="Book Antiqua"/>
        </w:rPr>
        <w:t>on</w:t>
      </w:r>
      <w:r w:rsidRPr="00E3232D">
        <w:rPr>
          <w:rFonts w:ascii="Book Antiqua" w:hAnsi="Book Antiqua"/>
          <w:spacing w:val="-1"/>
        </w:rPr>
        <w:t>c</w:t>
      </w:r>
      <w:r w:rsidRPr="00E3232D">
        <w:rPr>
          <w:rFonts w:ascii="Book Antiqua" w:hAnsi="Book Antiqua"/>
        </w:rPr>
        <w:t>lus</w:t>
      </w:r>
      <w:r w:rsidRPr="00E3232D">
        <w:rPr>
          <w:rFonts w:ascii="Book Antiqua" w:hAnsi="Book Antiqua"/>
          <w:spacing w:val="1"/>
        </w:rPr>
        <w:t>i</w:t>
      </w:r>
      <w:r w:rsidRPr="00E3232D">
        <w:rPr>
          <w:rFonts w:ascii="Book Antiqua" w:hAnsi="Book Antiqua"/>
        </w:rPr>
        <w:t>on that m</w:t>
      </w:r>
      <w:r w:rsidRPr="00E3232D">
        <w:rPr>
          <w:rFonts w:ascii="Book Antiqua" w:hAnsi="Book Antiqua"/>
          <w:spacing w:val="2"/>
        </w:rPr>
        <w:t>a</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spacing w:val="2"/>
        </w:rPr>
        <w:t>b</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d</w:t>
      </w:r>
      <w:r w:rsidRPr="00E3232D">
        <w:rPr>
          <w:rFonts w:ascii="Book Antiqua" w:hAnsi="Book Antiqua"/>
          <w:spacing w:val="1"/>
        </w:rPr>
        <w:t>r</w:t>
      </w:r>
      <w:r w:rsidRPr="00E3232D">
        <w:rPr>
          <w:rFonts w:ascii="Book Antiqua" w:hAnsi="Book Antiqua"/>
          <w:spacing w:val="-1"/>
        </w:rPr>
        <w:t>a</w:t>
      </w:r>
      <w:r w:rsidRPr="00E3232D">
        <w:rPr>
          <w:rFonts w:ascii="Book Antiqua" w:hAnsi="Book Antiqua"/>
        </w:rPr>
        <w:t xml:space="preserve">wn </w:t>
      </w:r>
      <w:r w:rsidRPr="00E3232D">
        <w:rPr>
          <w:rFonts w:ascii="Book Antiqua" w:hAnsi="Book Antiqua"/>
          <w:spacing w:val="-1"/>
        </w:rPr>
        <w:t>a</w:t>
      </w:r>
      <w:r w:rsidRPr="00E3232D">
        <w:rPr>
          <w:rFonts w:ascii="Book Antiqua" w:hAnsi="Book Antiqua"/>
        </w:rPr>
        <w:t xml:space="preserve">s </w:t>
      </w:r>
      <w:r w:rsidRPr="00E3232D">
        <w:rPr>
          <w:rFonts w:ascii="Book Antiqua" w:hAnsi="Book Antiqua"/>
          <w:spacing w:val="2"/>
        </w:rPr>
        <w:t>r</w:t>
      </w:r>
      <w:r w:rsidRPr="00E3232D">
        <w:rPr>
          <w:rFonts w:ascii="Book Antiqua" w:hAnsi="Book Antiqua"/>
          <w:spacing w:val="1"/>
        </w:rPr>
        <w:t>e</w:t>
      </w:r>
      <w:r w:rsidRPr="00E3232D">
        <w:rPr>
          <w:rFonts w:ascii="Book Antiqua" w:hAnsi="Book Antiqua"/>
          <w:spacing w:val="-2"/>
        </w:rPr>
        <w:t>g</w:t>
      </w:r>
      <w:r w:rsidRPr="00E3232D">
        <w:rPr>
          <w:rFonts w:ascii="Book Antiqua" w:hAnsi="Book Antiqua"/>
          <w:spacing w:val="-1"/>
        </w:rPr>
        <w:t>a</w:t>
      </w:r>
      <w:r w:rsidRPr="00E3232D">
        <w:rPr>
          <w:rFonts w:ascii="Book Antiqua" w:hAnsi="Book Antiqua"/>
        </w:rPr>
        <w:t xml:space="preserve">rds the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spacing w:val="-1"/>
        </w:rPr>
        <w:t>e</w:t>
      </w:r>
      <w:r w:rsidRPr="00E3232D">
        <w:rPr>
          <w:rFonts w:ascii="Book Antiqua" w:hAnsi="Book Antiqua"/>
          <w:spacing w:val="3"/>
        </w:rPr>
        <w:t>n</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nd oppo</w:t>
      </w:r>
      <w:r w:rsidRPr="00E3232D">
        <w:rPr>
          <w:rFonts w:ascii="Book Antiqua" w:hAnsi="Book Antiqua"/>
          <w:spacing w:val="1"/>
        </w:rPr>
        <w:t>r</w:t>
      </w:r>
      <w:r w:rsidRPr="00E3232D">
        <w:rPr>
          <w:rFonts w:ascii="Book Antiqua" w:hAnsi="Book Antiqua"/>
        </w:rPr>
        <w:t>tun</w:t>
      </w:r>
      <w:r w:rsidRPr="00E3232D">
        <w:rPr>
          <w:rFonts w:ascii="Book Antiqua" w:hAnsi="Book Antiqua"/>
          <w:spacing w:val="1"/>
        </w:rPr>
        <w:t>i</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e</w:t>
      </w:r>
      <w:r w:rsidRPr="00E3232D">
        <w:rPr>
          <w:rFonts w:ascii="Book Antiqua" w:hAnsi="Book Antiqua"/>
        </w:rPr>
        <w:t>s f</w:t>
      </w:r>
      <w:r w:rsidRPr="00E3232D">
        <w:rPr>
          <w:rFonts w:ascii="Book Antiqua" w:hAnsi="Book Antiqua"/>
          <w:spacing w:val="-1"/>
        </w:rPr>
        <w:t>ac</w:t>
      </w:r>
      <w:r w:rsidRPr="00E3232D">
        <w:rPr>
          <w:rFonts w:ascii="Book Antiqua" w:hAnsi="Book Antiqua"/>
        </w:rPr>
        <w:t>ing</w:t>
      </w:r>
      <w:r w:rsidRPr="00E3232D">
        <w:rPr>
          <w:rFonts w:ascii="Book Antiqua" w:hAnsi="Book Antiqua"/>
          <w:spacing w:val="-2"/>
        </w:rPr>
        <w:t xml:space="preserve"> </w:t>
      </w:r>
      <w:r w:rsidRPr="00E3232D">
        <w:rPr>
          <w:rFonts w:ascii="Book Antiqua" w:hAnsi="Book Antiqua"/>
        </w:rPr>
        <w:t>po</w:t>
      </w:r>
      <w:r w:rsidRPr="00E3232D">
        <w:rPr>
          <w:rFonts w:ascii="Book Antiqua" w:hAnsi="Book Antiqua"/>
          <w:spacing w:val="3"/>
        </w:rPr>
        <w:t>t</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i</w:t>
      </w:r>
      <w:r w:rsidRPr="00E3232D">
        <w:rPr>
          <w:rFonts w:ascii="Book Antiqua" w:hAnsi="Book Antiqua"/>
          <w:spacing w:val="-1"/>
        </w:rPr>
        <w:t>a</w:t>
      </w:r>
      <w:r w:rsidRPr="00E3232D">
        <w:rPr>
          <w:rFonts w:ascii="Book Antiqua" w:hAnsi="Book Antiqua"/>
        </w:rPr>
        <w:t xml:space="preserve">l </w:t>
      </w:r>
      <w:r w:rsidRPr="00E3232D">
        <w:rPr>
          <w:rFonts w:ascii="Book Antiqua" w:hAnsi="Book Antiqua"/>
          <w:spacing w:val="1"/>
        </w:rPr>
        <w:t>m</w:t>
      </w:r>
      <w:r w:rsidRPr="00E3232D">
        <w:rPr>
          <w:rFonts w:ascii="Book Antiqua" w:hAnsi="Book Antiqua"/>
        </w:rPr>
        <w:t>ic</w:t>
      </w:r>
      <w:r w:rsidRPr="00E3232D">
        <w:rPr>
          <w:rFonts w:ascii="Book Antiqua" w:hAnsi="Book Antiqua"/>
          <w:spacing w:val="-1"/>
        </w:rPr>
        <w:t>r</w:t>
      </w:r>
      <w:r w:rsidRPr="00E3232D">
        <w:rPr>
          <w:rFonts w:ascii="Book Antiqua" w:hAnsi="Book Antiqua"/>
        </w:rPr>
        <w:t xml:space="preserve">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 bo</w:t>
      </w:r>
      <w:r w:rsidRPr="00E3232D">
        <w:rPr>
          <w:rFonts w:ascii="Book Antiqua" w:hAnsi="Book Antiqua"/>
          <w:spacing w:val="2"/>
        </w:rPr>
        <w:t>r</w:t>
      </w:r>
      <w:r w:rsidRPr="00E3232D">
        <w:rPr>
          <w:rFonts w:ascii="Book Antiqua" w:hAnsi="Book Antiqua"/>
        </w:rPr>
        <w:t>ro</w:t>
      </w:r>
      <w:r w:rsidRPr="00E3232D">
        <w:rPr>
          <w:rFonts w:ascii="Book Antiqua" w:hAnsi="Book Antiqua"/>
          <w:spacing w:val="-1"/>
        </w:rPr>
        <w:t>we</w:t>
      </w:r>
      <w:r w:rsidRPr="00E3232D">
        <w:rPr>
          <w:rFonts w:ascii="Book Antiqua" w:hAnsi="Book Antiqua"/>
        </w:rPr>
        <w:t>rs.</w:t>
      </w:r>
    </w:p>
    <w:p w14:paraId="048B0EC8" w14:textId="77777777" w:rsidR="0057286B" w:rsidRPr="00E3232D" w:rsidRDefault="0057286B" w:rsidP="00465AE3">
      <w:pPr>
        <w:widowControl w:val="0"/>
        <w:autoSpaceDE w:val="0"/>
        <w:autoSpaceDN w:val="0"/>
        <w:adjustRightInd w:val="0"/>
        <w:ind w:right="80"/>
        <w:jc w:val="both"/>
        <w:rPr>
          <w:rFonts w:ascii="Book Antiqua" w:hAnsi="Book Antiqua"/>
        </w:rPr>
      </w:pPr>
      <w:r w:rsidRPr="00E3232D">
        <w:rPr>
          <w:rFonts w:ascii="Book Antiqua" w:hAnsi="Book Antiqua"/>
          <w:spacing w:val="1"/>
        </w:rPr>
        <w:t>W</w:t>
      </w:r>
      <w:r w:rsidRPr="00E3232D">
        <w:rPr>
          <w:rFonts w:ascii="Book Antiqua" w:hAnsi="Book Antiqua"/>
        </w:rPr>
        <w:t>i</w:t>
      </w:r>
      <w:r w:rsidRPr="00E3232D">
        <w:rPr>
          <w:rFonts w:ascii="Book Antiqua" w:hAnsi="Book Antiqua"/>
          <w:spacing w:val="1"/>
        </w:rPr>
        <w:t>t</w:t>
      </w:r>
      <w:r w:rsidRPr="00E3232D">
        <w:rPr>
          <w:rFonts w:ascii="Book Antiqua" w:hAnsi="Book Antiqua"/>
        </w:rPr>
        <w:t>h</w:t>
      </w:r>
      <w:r w:rsidRPr="00E3232D">
        <w:rPr>
          <w:rFonts w:ascii="Book Antiqua" w:hAnsi="Book Antiqua"/>
          <w:spacing w:val="2"/>
        </w:rPr>
        <w:t xml:space="preserve"> </w:t>
      </w:r>
      <w:r w:rsidRPr="00E3232D">
        <w:rPr>
          <w:rFonts w:ascii="Book Antiqua" w:hAnsi="Book Antiqua"/>
        </w:rPr>
        <w:t>r</w:t>
      </w:r>
      <w:r w:rsidRPr="00E3232D">
        <w:rPr>
          <w:rFonts w:ascii="Book Antiqua" w:hAnsi="Book Antiqua"/>
          <w:spacing w:val="-2"/>
        </w:rPr>
        <w:t>eg</w:t>
      </w:r>
      <w:r w:rsidRPr="00E3232D">
        <w:rPr>
          <w:rFonts w:ascii="Book Antiqua" w:hAnsi="Book Antiqua"/>
          <w:spacing w:val="1"/>
        </w:rPr>
        <w:t>a</w:t>
      </w:r>
      <w:r w:rsidRPr="00E3232D">
        <w:rPr>
          <w:rFonts w:ascii="Book Antiqua" w:hAnsi="Book Antiqua"/>
        </w:rPr>
        <w:t>rd</w:t>
      </w:r>
      <w:r w:rsidRPr="00E3232D">
        <w:rPr>
          <w:rFonts w:ascii="Book Antiqua" w:hAnsi="Book Antiqua"/>
          <w:spacing w:val="2"/>
        </w:rPr>
        <w:t xml:space="preserve"> </w:t>
      </w:r>
      <w:r w:rsidRPr="00E3232D">
        <w:rPr>
          <w:rFonts w:ascii="Book Antiqua" w:hAnsi="Book Antiqua"/>
        </w:rPr>
        <w:t>to</w:t>
      </w:r>
      <w:r w:rsidRPr="00E3232D">
        <w:rPr>
          <w:rFonts w:ascii="Book Antiqua" w:hAnsi="Book Antiqua"/>
          <w:spacing w:val="3"/>
        </w:rPr>
        <w:t xml:space="preserve"> </w:t>
      </w:r>
      <w:r w:rsidRPr="00E3232D">
        <w:rPr>
          <w:rFonts w:ascii="Book Antiqua" w:hAnsi="Book Antiqua"/>
        </w:rPr>
        <w:t>t</w:t>
      </w:r>
      <w:r w:rsidRPr="00E3232D">
        <w:rPr>
          <w:rFonts w:ascii="Book Antiqua" w:hAnsi="Book Antiqua"/>
          <w:spacing w:val="3"/>
        </w:rPr>
        <w:t>h</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spacing w:val="-1"/>
        </w:rPr>
        <w:t>c</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spacing w:val="-1"/>
        </w:rPr>
        <w:t>e</w:t>
      </w:r>
      <w:r w:rsidRPr="00E3232D">
        <w:rPr>
          <w:rFonts w:ascii="Book Antiqua" w:hAnsi="Book Antiqua"/>
        </w:rPr>
        <w:t>ng</w:t>
      </w:r>
      <w:r w:rsidRPr="00E3232D">
        <w:rPr>
          <w:rFonts w:ascii="Book Antiqua" w:hAnsi="Book Antiqua"/>
          <w:spacing w:val="-1"/>
        </w:rPr>
        <w:t>e</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spacing w:val="1"/>
        </w:rPr>
        <w:t>f</w:t>
      </w:r>
      <w:r w:rsidRPr="00E3232D">
        <w:rPr>
          <w:rFonts w:ascii="Book Antiqua" w:hAnsi="Book Antiqua"/>
          <w:spacing w:val="-1"/>
        </w:rPr>
        <w:t>ac</w:t>
      </w:r>
      <w:r w:rsidRPr="00E3232D">
        <w:rPr>
          <w:rFonts w:ascii="Book Antiqua" w:hAnsi="Book Antiqua"/>
        </w:rPr>
        <w:t>i</w:t>
      </w:r>
      <w:r w:rsidRPr="00E3232D">
        <w:rPr>
          <w:rFonts w:ascii="Book Antiqua" w:hAnsi="Book Antiqua"/>
          <w:spacing w:val="3"/>
        </w:rPr>
        <w:t>n</w:t>
      </w:r>
      <w:r w:rsidRPr="00E3232D">
        <w:rPr>
          <w:rFonts w:ascii="Book Antiqua" w:hAnsi="Book Antiqua"/>
        </w:rPr>
        <w:t>g t</w:t>
      </w:r>
      <w:r w:rsidRPr="00E3232D">
        <w:rPr>
          <w:rFonts w:ascii="Book Antiqua" w:hAnsi="Book Antiqua"/>
          <w:spacing w:val="3"/>
        </w:rPr>
        <w:t>h</w:t>
      </w:r>
      <w:r w:rsidRPr="00E3232D">
        <w:rPr>
          <w:rFonts w:ascii="Book Antiqua" w:hAnsi="Book Antiqua"/>
          <w:spacing w:val="-1"/>
        </w:rPr>
        <w:t>e</w:t>
      </w:r>
      <w:r w:rsidRPr="00E3232D">
        <w:rPr>
          <w:rFonts w:ascii="Book Antiqua" w:hAnsi="Book Antiqua"/>
          <w:spacing w:val="5"/>
        </w:rPr>
        <w:t>m</w:t>
      </w:r>
      <w:r w:rsidRPr="00E3232D">
        <w:rPr>
          <w:rFonts w:ascii="Book Antiqua" w:hAnsi="Book Antiqua"/>
        </w:rPr>
        <w:t>,</w:t>
      </w:r>
      <w:r w:rsidRPr="00E3232D">
        <w:rPr>
          <w:rFonts w:ascii="Book Antiqua" w:hAnsi="Book Antiqua"/>
          <w:spacing w:val="3"/>
        </w:rPr>
        <w:t xml:space="preserve"> </w:t>
      </w:r>
      <w:r w:rsidRPr="00E3232D">
        <w:rPr>
          <w:rFonts w:ascii="Book Antiqua" w:hAnsi="Book Antiqua"/>
        </w:rPr>
        <w:t>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b</w:t>
      </w:r>
      <w:r w:rsidRPr="00E3232D">
        <w:rPr>
          <w:rFonts w:ascii="Book Antiqua" w:hAnsi="Book Antiqua"/>
          <w:spacing w:val="1"/>
        </w:rPr>
        <w:t>e</w:t>
      </w:r>
      <w:r w:rsidRPr="00E3232D">
        <w:rPr>
          <w:rFonts w:ascii="Book Antiqua" w:hAnsi="Book Antiqua"/>
          <w:spacing w:val="-1"/>
        </w:rPr>
        <w:t>e</w:t>
      </w:r>
      <w:r w:rsidRPr="00E3232D">
        <w:rPr>
          <w:rFonts w:ascii="Book Antiqua" w:hAnsi="Book Antiqua"/>
        </w:rPr>
        <w:t>n</w:t>
      </w:r>
      <w:r w:rsidRPr="00E3232D">
        <w:rPr>
          <w:rFonts w:ascii="Book Antiqua" w:hAnsi="Book Antiqua"/>
          <w:spacing w:val="5"/>
        </w:rPr>
        <w:t xml:space="preserve"> </w:t>
      </w:r>
      <w:r w:rsidRPr="00E3232D">
        <w:rPr>
          <w:rFonts w:ascii="Book Antiqua" w:hAnsi="Book Antiqua"/>
        </w:rPr>
        <w:t>a</w:t>
      </w:r>
      <w:r w:rsidRPr="00E3232D">
        <w:rPr>
          <w:rFonts w:ascii="Book Antiqua" w:hAnsi="Book Antiqua"/>
          <w:spacing w:val="1"/>
        </w:rPr>
        <w:t xml:space="preserve"> </w:t>
      </w:r>
      <w:r w:rsidRPr="00E3232D">
        <w:rPr>
          <w:rFonts w:ascii="Book Antiqua" w:hAnsi="Book Antiqua"/>
        </w:rPr>
        <w:t>major</w:t>
      </w:r>
      <w:r w:rsidRPr="00E3232D">
        <w:rPr>
          <w:rFonts w:ascii="Book Antiqua" w:hAnsi="Book Antiqua"/>
          <w:spacing w:val="4"/>
        </w:rPr>
        <w:t xml:space="preserve"> </w:t>
      </w:r>
      <w:r w:rsidRPr="00E3232D">
        <w:rPr>
          <w:rFonts w:ascii="Book Antiqua" w:hAnsi="Book Antiqua"/>
        </w:rPr>
        <w:t>hinde</w:t>
      </w:r>
      <w:r w:rsidRPr="00E3232D">
        <w:rPr>
          <w:rFonts w:ascii="Book Antiqua" w:hAnsi="Book Antiqua"/>
          <w:spacing w:val="-1"/>
        </w:rPr>
        <w:t>r</w:t>
      </w:r>
      <w:r w:rsidRPr="00E3232D">
        <w:rPr>
          <w:rFonts w:ascii="Book Antiqua" w:hAnsi="Book Antiqua"/>
        </w:rPr>
        <w:t>ing</w:t>
      </w:r>
      <w:r w:rsidRPr="00E3232D">
        <w:rPr>
          <w:rFonts w:ascii="Book Antiqua" w:hAnsi="Book Antiqua"/>
          <w:spacing w:val="3"/>
        </w:rPr>
        <w:t xml:space="preserve"> </w:t>
      </w:r>
      <w:r w:rsidRPr="00E3232D">
        <w:rPr>
          <w:rFonts w:ascii="Book Antiqua" w:hAnsi="Book Antiqua"/>
          <w:spacing w:val="1"/>
        </w:rPr>
        <w:t>f</w:t>
      </w:r>
      <w:r w:rsidRPr="00E3232D">
        <w:rPr>
          <w:rFonts w:ascii="Book Antiqua" w:hAnsi="Book Antiqua"/>
          <w:spacing w:val="-1"/>
        </w:rPr>
        <w:t>ac</w:t>
      </w:r>
      <w:r w:rsidRPr="00E3232D">
        <w:rPr>
          <w:rFonts w:ascii="Book Antiqua" w:hAnsi="Book Antiqua"/>
        </w:rPr>
        <w:t>to</w:t>
      </w:r>
      <w:r w:rsidRPr="00E3232D">
        <w:rPr>
          <w:rFonts w:ascii="Book Antiqua" w:hAnsi="Book Antiqua"/>
          <w:spacing w:val="2"/>
        </w:rPr>
        <w:t>r</w:t>
      </w:r>
      <w:r w:rsidRPr="00E3232D">
        <w:rPr>
          <w:rFonts w:ascii="Book Antiqua" w:hAnsi="Book Antiqua"/>
        </w:rPr>
        <w:t>, man</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ri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rPr>
        <w:t>d</w:t>
      </w:r>
      <w:r w:rsidRPr="00E3232D">
        <w:rPr>
          <w:rFonts w:ascii="Book Antiqua" w:hAnsi="Book Antiqua"/>
          <w:spacing w:val="2"/>
        </w:rPr>
        <w:t>u</w:t>
      </w:r>
      <w:r w:rsidRPr="00E3232D">
        <w:rPr>
          <w:rFonts w:ascii="Book Antiqua" w:hAnsi="Book Antiqua"/>
          <w:spacing w:val="-1"/>
        </w:rPr>
        <w:t>ca</w:t>
      </w:r>
      <w:r w:rsidRPr="00E3232D">
        <w:rPr>
          <w:rFonts w:ascii="Book Antiqua" w:hAnsi="Book Antiqua"/>
        </w:rPr>
        <w:t>t</w:t>
      </w:r>
      <w:r w:rsidRPr="00E3232D">
        <w:rPr>
          <w:rFonts w:ascii="Book Antiqua" w:hAnsi="Book Antiqua"/>
          <w:spacing w:val="1"/>
        </w:rPr>
        <w:t>i</w:t>
      </w:r>
      <w:r w:rsidRPr="00E3232D">
        <w:rPr>
          <w:rFonts w:ascii="Book Antiqua" w:hAnsi="Book Antiqua"/>
          <w:spacing w:val="2"/>
        </w:rPr>
        <w:t>o</w:t>
      </w:r>
      <w:r w:rsidRPr="00E3232D">
        <w:rPr>
          <w:rFonts w:ascii="Book Antiqua" w:hAnsi="Book Antiqua"/>
        </w:rPr>
        <w:t>n</w:t>
      </w:r>
      <w:r w:rsidRPr="00E3232D">
        <w:rPr>
          <w:rFonts w:ascii="Book Antiqua" w:hAnsi="Book Antiqua"/>
          <w:spacing w:val="2"/>
        </w:rPr>
        <w:t xml:space="preserve"> </w:t>
      </w:r>
      <w:r w:rsidRPr="00E3232D">
        <w:rPr>
          <w:rFonts w:ascii="Book Antiqua" w:hAnsi="Book Antiqua"/>
        </w:rPr>
        <w:t>will</w:t>
      </w:r>
      <w:r w:rsidRPr="00E3232D">
        <w:rPr>
          <w:rFonts w:ascii="Book Antiqua" w:hAnsi="Book Antiqua"/>
          <w:spacing w:val="2"/>
        </w:rPr>
        <w:t xml:space="preserve"> </w:t>
      </w:r>
      <w:r w:rsidRPr="00E3232D">
        <w:rPr>
          <w:rFonts w:ascii="Book Antiqua" w:hAnsi="Book Antiqua"/>
        </w:rPr>
        <w:t>not be</w:t>
      </w:r>
      <w:r w:rsidRPr="00E3232D">
        <w:rPr>
          <w:rFonts w:ascii="Book Antiqua" w:hAnsi="Book Antiqua"/>
          <w:spacing w:val="1"/>
        </w:rPr>
        <w:t xml:space="preserve"> </w:t>
      </w:r>
      <w:r w:rsidRPr="00E3232D">
        <w:rPr>
          <w:rFonts w:ascii="Book Antiqua" w:hAnsi="Book Antiqua"/>
        </w:rPr>
        <w:t>und</w:t>
      </w:r>
      <w:r w:rsidRPr="00E3232D">
        <w:rPr>
          <w:rFonts w:ascii="Book Antiqua" w:hAnsi="Book Antiqua"/>
          <w:spacing w:val="-1"/>
        </w:rPr>
        <w:t>e</w:t>
      </w:r>
      <w:r w:rsidRPr="00E3232D">
        <w:rPr>
          <w:rFonts w:ascii="Book Antiqua" w:hAnsi="Book Antiqua"/>
        </w:rPr>
        <w:t>r</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st</w:t>
      </w:r>
      <w:r w:rsidRPr="00E3232D">
        <w:rPr>
          <w:rFonts w:ascii="Book Antiqua" w:hAnsi="Book Antiqua"/>
          <w:spacing w:val="-1"/>
        </w:rPr>
        <w:t>i</w:t>
      </w:r>
      <w:r w:rsidRPr="00E3232D">
        <w:rPr>
          <w:rFonts w:ascii="Book Antiqua" w:hAnsi="Book Antiqua"/>
        </w:rPr>
        <w:t>mat</w:t>
      </w:r>
      <w:r w:rsidRPr="00E3232D">
        <w:rPr>
          <w:rFonts w:ascii="Book Antiqua" w:hAnsi="Book Antiqua"/>
          <w:spacing w:val="-1"/>
        </w:rPr>
        <w:t>e</w:t>
      </w:r>
      <w:r w:rsidRPr="00E3232D">
        <w:rPr>
          <w:rFonts w:ascii="Book Antiqua" w:hAnsi="Book Antiqua"/>
        </w:rPr>
        <w:t>,</w:t>
      </w:r>
      <w:r w:rsidRPr="00E3232D">
        <w:rPr>
          <w:rFonts w:ascii="Book Antiqua" w:hAnsi="Book Antiqua"/>
          <w:spacing w:val="2"/>
        </w:rPr>
        <w:t xml:space="preserve"> </w:t>
      </w:r>
      <w:r w:rsidRPr="00E3232D">
        <w:rPr>
          <w:rFonts w:ascii="Book Antiqua" w:hAnsi="Book Antiqua"/>
        </w:rPr>
        <w:t>not</w:t>
      </w:r>
      <w:r w:rsidRPr="00E3232D">
        <w:rPr>
          <w:rFonts w:ascii="Book Antiqua" w:hAnsi="Book Antiqua"/>
          <w:spacing w:val="2"/>
        </w:rPr>
        <w:t xml:space="preserve"> </w:t>
      </w:r>
      <w:r w:rsidRPr="00E3232D">
        <w:rPr>
          <w:rFonts w:ascii="Book Antiqua" w:hAnsi="Book Antiqua"/>
        </w:rPr>
        <w:t>to</w:t>
      </w:r>
      <w:r w:rsidRPr="00E3232D">
        <w:rPr>
          <w:rFonts w:ascii="Book Antiqua" w:hAnsi="Book Antiqua"/>
          <w:spacing w:val="2"/>
        </w:rPr>
        <w:t xml:space="preserve"> </w:t>
      </w:r>
      <w:r w:rsidRPr="00E3232D">
        <w:rPr>
          <w:rFonts w:ascii="Book Antiqua" w:hAnsi="Book Antiqua"/>
        </w:rPr>
        <w:t>men</w:t>
      </w:r>
      <w:r w:rsidRPr="00E3232D">
        <w:rPr>
          <w:rFonts w:ascii="Book Antiqua" w:hAnsi="Book Antiqua"/>
          <w:spacing w:val="-2"/>
        </w:rPr>
        <w:t>t</w:t>
      </w:r>
      <w:r w:rsidRPr="00E3232D">
        <w:rPr>
          <w:rFonts w:ascii="Book Antiqua" w:hAnsi="Book Antiqua"/>
        </w:rPr>
        <w:t>ion</w:t>
      </w:r>
      <w:r w:rsidRPr="00E3232D">
        <w:rPr>
          <w:rFonts w:ascii="Book Antiqua" w:hAnsi="Book Antiqua"/>
          <w:spacing w:val="2"/>
        </w:rPr>
        <w:t xml:space="preserve"> </w:t>
      </w:r>
      <w:r w:rsidRPr="00E3232D">
        <w:rPr>
          <w:rFonts w:ascii="Book Antiqua" w:hAnsi="Book Antiqua"/>
        </w:rPr>
        <w:t>t</w:t>
      </w:r>
      <w:r w:rsidRPr="00E3232D">
        <w:rPr>
          <w:rFonts w:ascii="Book Antiqua" w:hAnsi="Book Antiqua"/>
          <w:spacing w:val="-2"/>
        </w:rPr>
        <w:t>h</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t</w:t>
      </w:r>
      <w:r w:rsidRPr="00E3232D">
        <w:rPr>
          <w:rFonts w:ascii="Book Antiqua" w:hAnsi="Book Antiqua"/>
          <w:spacing w:val="1"/>
        </w:rPr>
        <w:t>i</w:t>
      </w:r>
      <w:r w:rsidRPr="00E3232D">
        <w:rPr>
          <w:rFonts w:ascii="Book Antiqua" w:hAnsi="Book Antiqua"/>
        </w:rPr>
        <w:t>meliness</w:t>
      </w:r>
      <w:r w:rsidRPr="00E3232D">
        <w:rPr>
          <w:rFonts w:ascii="Book Antiqua" w:hAnsi="Book Antiqua"/>
          <w:spacing w:val="2"/>
        </w:rPr>
        <w:t xml:space="preserve"> </w:t>
      </w:r>
      <w:r w:rsidRPr="00E3232D">
        <w:rPr>
          <w:rFonts w:ascii="Book Antiqua" w:hAnsi="Book Antiqua"/>
        </w:rPr>
        <w:t>of disburs</w:t>
      </w:r>
      <w:r w:rsidRPr="00E3232D">
        <w:rPr>
          <w:rFonts w:ascii="Book Antiqua" w:hAnsi="Book Antiqua"/>
          <w:spacing w:val="-1"/>
        </w:rPr>
        <w:t>e</w:t>
      </w:r>
      <w:r w:rsidRPr="00E3232D">
        <w:rPr>
          <w:rFonts w:ascii="Book Antiqua" w:hAnsi="Book Antiqua"/>
        </w:rPr>
        <w:t>ment</w:t>
      </w:r>
      <w:r w:rsidRPr="00E3232D">
        <w:rPr>
          <w:rFonts w:ascii="Book Antiqua" w:hAnsi="Book Antiqua"/>
          <w:spacing w:val="1"/>
        </w:rPr>
        <w:t xml:space="preserve"> </w:t>
      </w:r>
      <w:r w:rsidRPr="00E3232D">
        <w:rPr>
          <w:rFonts w:ascii="Book Antiqua" w:hAnsi="Book Antiqua"/>
        </w:rPr>
        <w:t>of</w:t>
      </w:r>
      <w:r w:rsidRPr="00E3232D">
        <w:rPr>
          <w:rFonts w:ascii="Book Antiqua" w:hAnsi="Book Antiqua"/>
          <w:spacing w:val="-1"/>
        </w:rPr>
        <w:t xml:space="preserve"> c</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di</w:t>
      </w:r>
      <w:r w:rsidRPr="00E3232D">
        <w:rPr>
          <w:rFonts w:ascii="Book Antiqua" w:hAnsi="Book Antiqua"/>
          <w:spacing w:val="1"/>
        </w:rPr>
        <w:t>t</w:t>
      </w:r>
      <w:r w:rsidRPr="00E3232D">
        <w:rPr>
          <w:rFonts w:ascii="Book Antiqua" w:hAnsi="Book Antiqua"/>
        </w:rPr>
        <w:t>.</w:t>
      </w:r>
    </w:p>
    <w:p w14:paraId="65C2C08E" w14:textId="77777777" w:rsidR="0057286B" w:rsidRPr="00E3232D" w:rsidRDefault="0057286B" w:rsidP="00465AE3">
      <w:pPr>
        <w:widowControl w:val="0"/>
        <w:autoSpaceDE w:val="0"/>
        <w:autoSpaceDN w:val="0"/>
        <w:adjustRightInd w:val="0"/>
        <w:ind w:right="84"/>
        <w:jc w:val="both"/>
        <w:rPr>
          <w:rFonts w:ascii="Book Antiqua" w:hAnsi="Book Antiqua"/>
        </w:rPr>
      </w:pPr>
      <w:r w:rsidRPr="00E3232D">
        <w:rPr>
          <w:rFonts w:ascii="Book Antiqua" w:hAnsi="Book Antiqua"/>
        </w:rPr>
        <w:t>Majo</w:t>
      </w:r>
      <w:r w:rsidRPr="00E3232D">
        <w:rPr>
          <w:rFonts w:ascii="Book Antiqua" w:hAnsi="Book Antiqua"/>
          <w:spacing w:val="-1"/>
        </w:rPr>
        <w:t>r</w:t>
      </w:r>
      <w:r w:rsidRPr="00E3232D">
        <w:rPr>
          <w:rFonts w:ascii="Book Antiqua" w:hAnsi="Book Antiqua"/>
        </w:rPr>
        <w:t>i</w:t>
      </w:r>
      <w:r w:rsidRPr="00E3232D">
        <w:rPr>
          <w:rFonts w:ascii="Book Antiqua" w:hAnsi="Book Antiqua"/>
          <w:spacing w:val="3"/>
        </w:rPr>
        <w:t>t</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rPr>
        <w:t>of</w:t>
      </w:r>
      <w:r w:rsidRPr="00E3232D">
        <w:rPr>
          <w:rFonts w:ascii="Book Antiqua" w:hAnsi="Book Antiqua"/>
          <w:spacing w:val="7"/>
        </w:rPr>
        <w:t xml:space="preserve"> </w:t>
      </w:r>
      <w:r w:rsidRPr="00E3232D">
        <w:rPr>
          <w:rFonts w:ascii="Book Antiqua" w:hAnsi="Book Antiqua"/>
        </w:rPr>
        <w:t>these</w:t>
      </w:r>
      <w:r w:rsidRPr="00E3232D">
        <w:rPr>
          <w:rFonts w:ascii="Book Antiqua" w:hAnsi="Book Antiqua"/>
          <w:spacing w:val="6"/>
        </w:rPr>
        <w:t xml:space="preserve"> </w:t>
      </w:r>
      <w:r w:rsidRPr="00E3232D">
        <w:rPr>
          <w:rFonts w:ascii="Book Antiqua" w:hAnsi="Book Antiqua"/>
        </w:rPr>
        <w:t>poten</w:t>
      </w:r>
      <w:r w:rsidRPr="00E3232D">
        <w:rPr>
          <w:rFonts w:ascii="Book Antiqua" w:hAnsi="Book Antiqua"/>
          <w:spacing w:val="2"/>
        </w:rPr>
        <w:t>t</w:t>
      </w:r>
      <w:r w:rsidRPr="00E3232D">
        <w:rPr>
          <w:rFonts w:ascii="Book Antiqua" w:hAnsi="Book Antiqua"/>
        </w:rPr>
        <w:t>ial</w:t>
      </w:r>
      <w:r w:rsidRPr="00E3232D">
        <w:rPr>
          <w:rFonts w:ascii="Book Antiqua" w:hAnsi="Book Antiqua"/>
          <w:spacing w:val="8"/>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7"/>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10"/>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w:t>
      </w:r>
      <w:r w:rsidRPr="00E3232D">
        <w:rPr>
          <w:rFonts w:ascii="Book Antiqua" w:hAnsi="Book Antiqua"/>
          <w:spacing w:val="7"/>
        </w:rPr>
        <w:t xml:space="preserve"> </w:t>
      </w:r>
      <w:r w:rsidRPr="00E3232D">
        <w:rPr>
          <w:rFonts w:ascii="Book Antiqua" w:hAnsi="Book Antiqua"/>
        </w:rPr>
        <w:t>lam</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t</w:t>
      </w:r>
      <w:r w:rsidRPr="00E3232D">
        <w:rPr>
          <w:rFonts w:ascii="Book Antiqua" w:hAnsi="Book Antiqua"/>
          <w:spacing w:val="-1"/>
        </w:rPr>
        <w:t>e</w:t>
      </w:r>
      <w:r w:rsidRPr="00E3232D">
        <w:rPr>
          <w:rFonts w:ascii="Book Antiqua" w:hAnsi="Book Antiqua"/>
        </w:rPr>
        <w:t>d</w:t>
      </w:r>
      <w:r w:rsidRPr="00E3232D">
        <w:rPr>
          <w:rFonts w:ascii="Book Antiqua" w:hAnsi="Book Antiqua"/>
          <w:spacing w:val="8"/>
        </w:rPr>
        <w:t xml:space="preserve"> </w:t>
      </w:r>
      <w:r w:rsidRPr="00E3232D">
        <w:rPr>
          <w:rFonts w:ascii="Book Antiqua" w:hAnsi="Book Antiqua"/>
        </w:rPr>
        <w:t>s</w:t>
      </w:r>
      <w:r w:rsidRPr="00E3232D">
        <w:rPr>
          <w:rFonts w:ascii="Book Antiqua" w:hAnsi="Book Antiqua"/>
          <w:spacing w:val="-1"/>
        </w:rPr>
        <w:t>e</w:t>
      </w:r>
      <w:r w:rsidRPr="00E3232D">
        <w:rPr>
          <w:rFonts w:ascii="Book Antiqua" w:hAnsi="Book Antiqua"/>
          <w:spacing w:val="1"/>
        </w:rPr>
        <w:t>r</w:t>
      </w:r>
      <w:r w:rsidRPr="00E3232D">
        <w:rPr>
          <w:rFonts w:ascii="Book Antiqua" w:hAnsi="Book Antiqua"/>
        </w:rPr>
        <w:t>ious</w:t>
      </w:r>
      <w:r w:rsidRPr="00E3232D">
        <w:rPr>
          <w:rFonts w:ascii="Book Antiqua" w:hAnsi="Book Antiqua"/>
          <w:spacing w:val="3"/>
        </w:rPr>
        <w:t>l</w:t>
      </w:r>
      <w:r w:rsidRPr="00E3232D">
        <w:rPr>
          <w:rFonts w:ascii="Book Antiqua" w:hAnsi="Book Antiqua"/>
        </w:rPr>
        <w:t>y on</w:t>
      </w:r>
      <w:r w:rsidRPr="00E3232D">
        <w:rPr>
          <w:rFonts w:ascii="Book Antiqua" w:hAnsi="Book Antiqua"/>
          <w:spacing w:val="8"/>
        </w:rPr>
        <w:t xml:space="preserve"> </w:t>
      </w:r>
      <w:r w:rsidRPr="00E3232D">
        <w:rPr>
          <w:rFonts w:ascii="Book Antiqua" w:hAnsi="Book Antiqua"/>
        </w:rPr>
        <w:t>the un</w:t>
      </w:r>
      <w:r w:rsidRPr="00E3232D">
        <w:rPr>
          <w:rFonts w:ascii="Book Antiqua" w:hAnsi="Book Antiqua"/>
          <w:spacing w:val="-1"/>
        </w:rPr>
        <w:t>a</w:t>
      </w:r>
      <w:r w:rsidRPr="00E3232D">
        <w:rPr>
          <w:rFonts w:ascii="Book Antiqua" w:hAnsi="Book Antiqua"/>
        </w:rPr>
        <w:t>v</w:t>
      </w:r>
      <w:r w:rsidRPr="00E3232D">
        <w:rPr>
          <w:rFonts w:ascii="Book Antiqua" w:hAnsi="Book Antiqua"/>
          <w:spacing w:val="-1"/>
        </w:rPr>
        <w:t>a</w:t>
      </w:r>
      <w:r w:rsidRPr="00E3232D">
        <w:rPr>
          <w:rFonts w:ascii="Book Antiqua" w:hAnsi="Book Antiqua"/>
        </w:rPr>
        <w:t>i</w:t>
      </w:r>
      <w:r w:rsidRPr="00E3232D">
        <w:rPr>
          <w:rFonts w:ascii="Book Antiqua" w:hAnsi="Book Antiqua"/>
          <w:spacing w:val="1"/>
        </w:rPr>
        <w:t>l</w:t>
      </w:r>
      <w:r w:rsidRPr="00E3232D">
        <w:rPr>
          <w:rFonts w:ascii="Book Antiqua" w:hAnsi="Book Antiqua"/>
          <w:spacing w:val="-1"/>
        </w:rPr>
        <w:t>a</w:t>
      </w:r>
      <w:r w:rsidRPr="00E3232D">
        <w:rPr>
          <w:rFonts w:ascii="Book Antiqua" w:hAnsi="Book Antiqua"/>
        </w:rPr>
        <w:t>bi</w:t>
      </w:r>
      <w:r w:rsidRPr="00E3232D">
        <w:rPr>
          <w:rFonts w:ascii="Book Antiqua" w:hAnsi="Book Antiqua"/>
          <w:spacing w:val="1"/>
        </w:rPr>
        <w:t>l</w:t>
      </w:r>
      <w:r w:rsidRPr="00E3232D">
        <w:rPr>
          <w:rFonts w:ascii="Book Antiqua" w:hAnsi="Book Antiqua"/>
        </w:rPr>
        <w:t>i</w:t>
      </w:r>
      <w:r w:rsidRPr="00E3232D">
        <w:rPr>
          <w:rFonts w:ascii="Book Antiqua" w:hAnsi="Book Antiqua"/>
          <w:spacing w:val="3"/>
        </w:rPr>
        <w:t>t</w:t>
      </w:r>
      <w:r w:rsidRPr="00E3232D">
        <w:rPr>
          <w:rFonts w:ascii="Book Antiqua" w:hAnsi="Book Antiqua"/>
        </w:rPr>
        <w:t>y</w:t>
      </w:r>
      <w:r w:rsidRPr="00E3232D">
        <w:rPr>
          <w:rFonts w:ascii="Book Antiqua" w:hAnsi="Book Antiqua"/>
          <w:spacing w:val="38"/>
        </w:rPr>
        <w:t xml:space="preserve"> </w:t>
      </w:r>
      <w:r w:rsidRPr="00E3232D">
        <w:rPr>
          <w:rFonts w:ascii="Book Antiqua" w:hAnsi="Book Antiqua"/>
          <w:spacing w:val="2"/>
        </w:rPr>
        <w:t>o</w:t>
      </w:r>
      <w:r w:rsidRPr="00E3232D">
        <w:rPr>
          <w:rFonts w:ascii="Book Antiqua" w:hAnsi="Book Antiqua"/>
        </w:rPr>
        <w:t>f</w:t>
      </w:r>
      <w:r w:rsidRPr="00E3232D">
        <w:rPr>
          <w:rFonts w:ascii="Book Antiqua" w:hAnsi="Book Antiqua"/>
          <w:spacing w:val="42"/>
        </w:rPr>
        <w:t xml:space="preserve"> </w:t>
      </w:r>
      <w:r w:rsidRPr="00E3232D">
        <w:rPr>
          <w:rFonts w:ascii="Book Antiqua" w:hAnsi="Book Antiqua"/>
          <w:spacing w:val="1"/>
        </w:rPr>
        <w:t>c</w:t>
      </w:r>
      <w:r w:rsidRPr="00E3232D">
        <w:rPr>
          <w:rFonts w:ascii="Book Antiqua" w:hAnsi="Book Antiqua"/>
        </w:rPr>
        <w:t>r</w:t>
      </w:r>
      <w:r w:rsidRPr="00E3232D">
        <w:rPr>
          <w:rFonts w:ascii="Book Antiqua" w:hAnsi="Book Antiqua"/>
          <w:spacing w:val="-2"/>
        </w:rPr>
        <w:t>e</w:t>
      </w:r>
      <w:r w:rsidRPr="00E3232D">
        <w:rPr>
          <w:rFonts w:ascii="Book Antiqua" w:hAnsi="Book Antiqua"/>
        </w:rPr>
        <w:t>dit</w:t>
      </w:r>
      <w:r w:rsidRPr="00E3232D">
        <w:rPr>
          <w:rFonts w:ascii="Book Antiqua" w:hAnsi="Book Antiqua"/>
          <w:spacing w:val="46"/>
        </w:rPr>
        <w:t xml:space="preserve"> </w:t>
      </w:r>
      <w:r w:rsidRPr="00E3232D">
        <w:rPr>
          <w:rFonts w:ascii="Book Antiqua" w:hAnsi="Book Antiqua"/>
        </w:rPr>
        <w:t>f</w:t>
      </w:r>
      <w:r w:rsidRPr="00E3232D">
        <w:rPr>
          <w:rFonts w:ascii="Book Antiqua" w:hAnsi="Book Antiqua"/>
          <w:spacing w:val="-2"/>
        </w:rPr>
        <w:t>a</w:t>
      </w:r>
      <w:r w:rsidRPr="00E3232D">
        <w:rPr>
          <w:rFonts w:ascii="Book Antiqua" w:hAnsi="Book Antiqua"/>
          <w:spacing w:val="-1"/>
        </w:rPr>
        <w:t>c</w:t>
      </w:r>
      <w:r w:rsidRPr="00E3232D">
        <w:rPr>
          <w:rFonts w:ascii="Book Antiqua" w:hAnsi="Book Antiqua"/>
        </w:rPr>
        <w:t>i</w:t>
      </w:r>
      <w:r w:rsidRPr="00E3232D">
        <w:rPr>
          <w:rFonts w:ascii="Book Antiqua" w:hAnsi="Book Antiqua"/>
          <w:spacing w:val="1"/>
        </w:rPr>
        <w:t>l</w:t>
      </w:r>
      <w:r w:rsidRPr="00E3232D">
        <w:rPr>
          <w:rFonts w:ascii="Book Antiqua" w:hAnsi="Book Antiqua"/>
        </w:rPr>
        <w:t>i</w:t>
      </w:r>
      <w:r w:rsidRPr="00E3232D">
        <w:rPr>
          <w:rFonts w:ascii="Book Antiqua" w:hAnsi="Book Antiqua"/>
          <w:spacing w:val="1"/>
        </w:rPr>
        <w:t>t</w:t>
      </w:r>
      <w:r w:rsidRPr="00E3232D">
        <w:rPr>
          <w:rFonts w:ascii="Book Antiqua" w:hAnsi="Book Antiqua"/>
        </w:rPr>
        <w:t>ies</w:t>
      </w:r>
      <w:r w:rsidRPr="00E3232D">
        <w:rPr>
          <w:rFonts w:ascii="Book Antiqua" w:hAnsi="Book Antiqua"/>
          <w:spacing w:val="43"/>
        </w:rPr>
        <w:t xml:space="preserve"> </w:t>
      </w:r>
      <w:r w:rsidRPr="00E3232D">
        <w:rPr>
          <w:rFonts w:ascii="Book Antiqua" w:hAnsi="Book Antiqua"/>
        </w:rPr>
        <w:t>to</w:t>
      </w:r>
      <w:r w:rsidRPr="00E3232D">
        <w:rPr>
          <w:rFonts w:ascii="Book Antiqua" w:hAnsi="Book Antiqua"/>
          <w:spacing w:val="43"/>
        </w:rPr>
        <w:t xml:space="preserve"> </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1"/>
        </w:rPr>
        <w:t>a</w:t>
      </w:r>
      <w:r w:rsidRPr="00E3232D">
        <w:rPr>
          <w:rFonts w:ascii="Book Antiqua" w:hAnsi="Book Antiqua"/>
        </w:rPr>
        <w:t>ble</w:t>
      </w:r>
      <w:r w:rsidRPr="00E3232D">
        <w:rPr>
          <w:rFonts w:ascii="Book Antiqua" w:hAnsi="Book Antiqua"/>
          <w:spacing w:val="42"/>
        </w:rPr>
        <w:t xml:space="preserve"> </w:t>
      </w:r>
      <w:r w:rsidRPr="00E3232D">
        <w:rPr>
          <w:rFonts w:ascii="Book Antiqua" w:hAnsi="Book Antiqua"/>
        </w:rPr>
        <w:t>them</w:t>
      </w:r>
      <w:r w:rsidRPr="00E3232D">
        <w:rPr>
          <w:rFonts w:ascii="Book Antiqua" w:hAnsi="Book Antiqua"/>
          <w:spacing w:val="45"/>
        </w:rPr>
        <w:t xml:space="preserv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rPr>
        <w:t>p</w:t>
      </w:r>
      <w:r w:rsidRPr="00E3232D">
        <w:rPr>
          <w:rFonts w:ascii="Book Antiqua" w:hAnsi="Book Antiqua"/>
          <w:spacing w:val="-1"/>
        </w:rPr>
        <w:t>a</w:t>
      </w:r>
      <w:r w:rsidRPr="00E3232D">
        <w:rPr>
          <w:rFonts w:ascii="Book Antiqua" w:hAnsi="Book Antiqua"/>
        </w:rPr>
        <w:t>nd</w:t>
      </w:r>
      <w:r w:rsidRPr="00E3232D">
        <w:rPr>
          <w:rFonts w:ascii="Book Antiqua" w:hAnsi="Book Antiqua"/>
          <w:spacing w:val="43"/>
        </w:rPr>
        <w:t xml:space="preserve"> </w:t>
      </w:r>
      <w:r w:rsidRPr="00E3232D">
        <w:rPr>
          <w:rFonts w:ascii="Book Antiqua" w:hAnsi="Book Antiqua"/>
        </w:rPr>
        <w:t>in</w:t>
      </w:r>
      <w:r w:rsidRPr="00E3232D">
        <w:rPr>
          <w:rFonts w:ascii="Book Antiqua" w:hAnsi="Book Antiqua"/>
          <w:spacing w:val="43"/>
        </w:rPr>
        <w:t xml:space="preserve"> </w:t>
      </w:r>
      <w:r w:rsidRPr="00E3232D">
        <w:rPr>
          <w:rFonts w:ascii="Book Antiqua" w:hAnsi="Book Antiqua"/>
        </w:rPr>
        <w:t>si</w:t>
      </w:r>
      <w:r w:rsidRPr="00E3232D">
        <w:rPr>
          <w:rFonts w:ascii="Book Antiqua" w:hAnsi="Book Antiqua"/>
          <w:spacing w:val="2"/>
        </w:rPr>
        <w:t>z</w:t>
      </w:r>
      <w:r w:rsidRPr="00E3232D">
        <w:rPr>
          <w:rFonts w:ascii="Book Antiqua" w:hAnsi="Book Antiqua"/>
          <w:spacing w:val="-1"/>
        </w:rPr>
        <w:t>e</w:t>
      </w:r>
      <w:r w:rsidRPr="00E3232D">
        <w:rPr>
          <w:rFonts w:ascii="Book Antiqua" w:hAnsi="Book Antiqua"/>
        </w:rPr>
        <w:t>.</w:t>
      </w:r>
      <w:r w:rsidRPr="00E3232D">
        <w:rPr>
          <w:rFonts w:ascii="Book Antiqua" w:hAnsi="Book Antiqua"/>
          <w:spacing w:val="43"/>
        </w:rPr>
        <w:t xml:space="preserve"> </w:t>
      </w:r>
      <w:r w:rsidRPr="00E3232D">
        <w:rPr>
          <w:rFonts w:ascii="Book Antiqua" w:hAnsi="Book Antiqua"/>
        </w:rPr>
        <w:t>Anoth</w:t>
      </w:r>
      <w:r w:rsidRPr="00E3232D">
        <w:rPr>
          <w:rFonts w:ascii="Book Antiqua" w:hAnsi="Book Antiqua"/>
          <w:spacing w:val="1"/>
        </w:rPr>
        <w:t>e</w:t>
      </w:r>
      <w:r w:rsidRPr="00E3232D">
        <w:rPr>
          <w:rFonts w:ascii="Book Antiqua" w:hAnsi="Book Antiqua"/>
        </w:rPr>
        <w:t>r</w:t>
      </w:r>
      <w:r w:rsidRPr="00E3232D">
        <w:rPr>
          <w:rFonts w:ascii="Book Antiqua" w:hAnsi="Book Antiqua"/>
          <w:spacing w:val="42"/>
        </w:rPr>
        <w:t xml:space="preserv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spacing w:val="-1"/>
        </w:rPr>
        <w:t>e</w:t>
      </w:r>
      <w:r w:rsidRPr="00E3232D">
        <w:rPr>
          <w:rFonts w:ascii="Book Antiqua" w:hAnsi="Book Antiqua"/>
          <w:spacing w:val="2"/>
        </w:rPr>
        <w:t>n</w:t>
      </w:r>
      <w:r w:rsidRPr="00E3232D">
        <w:rPr>
          <w:rFonts w:ascii="Book Antiqua" w:hAnsi="Book Antiqua"/>
        </w:rPr>
        <w:t>ge</w:t>
      </w:r>
      <w:r w:rsidRPr="00E3232D">
        <w:rPr>
          <w:rFonts w:ascii="Book Antiqua" w:hAnsi="Book Antiqua"/>
          <w:spacing w:val="42"/>
        </w:rPr>
        <w:t xml:space="preserve"> </w:t>
      </w:r>
      <w:r w:rsidRPr="00E3232D">
        <w:rPr>
          <w:rFonts w:ascii="Book Antiqua" w:hAnsi="Book Antiqua"/>
        </w:rPr>
        <w:t>to them</w:t>
      </w:r>
      <w:r w:rsidRPr="00E3232D">
        <w:rPr>
          <w:rFonts w:ascii="Book Antiqua" w:hAnsi="Book Antiqua"/>
          <w:spacing w:val="1"/>
        </w:rPr>
        <w:t xml:space="preserve"> </w:t>
      </w:r>
      <w:r w:rsidRPr="00E3232D">
        <w:rPr>
          <w:rFonts w:ascii="Book Antiqua" w:hAnsi="Book Antiqua"/>
        </w:rPr>
        <w:t>is</w:t>
      </w:r>
      <w:r w:rsidRPr="00E3232D">
        <w:rPr>
          <w:rFonts w:ascii="Book Antiqua" w:hAnsi="Book Antiqua"/>
          <w:spacing w:val="2"/>
        </w:rPr>
        <w:t xml:space="preserve"> </w:t>
      </w:r>
      <w:r w:rsidRPr="00E3232D">
        <w:rPr>
          <w:rFonts w:ascii="Book Antiqua" w:hAnsi="Book Antiqua"/>
        </w:rPr>
        <w:t>the t</w:t>
      </w:r>
      <w:r w:rsidRPr="00E3232D">
        <w:rPr>
          <w:rFonts w:ascii="Book Antiqua" w:hAnsi="Book Antiqua"/>
          <w:spacing w:val="1"/>
        </w:rPr>
        <w:t>i</w:t>
      </w:r>
      <w:r w:rsidRPr="00E3232D">
        <w:rPr>
          <w:rFonts w:ascii="Book Antiqua" w:hAnsi="Book Antiqua"/>
        </w:rPr>
        <w:t>me</w:t>
      </w:r>
      <w:r w:rsidRPr="00E3232D">
        <w:rPr>
          <w:rFonts w:ascii="Book Antiqua" w:hAnsi="Book Antiqua"/>
          <w:spacing w:val="4"/>
        </w:rPr>
        <w:t xml:space="preserve"> </w:t>
      </w:r>
      <w:r w:rsidRPr="00E3232D">
        <w:rPr>
          <w:rFonts w:ascii="Book Antiqua" w:hAnsi="Book Antiqua"/>
          <w:spacing w:val="-1"/>
        </w:rPr>
        <w:t>c</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dit</w:t>
      </w:r>
      <w:r w:rsidRPr="00E3232D">
        <w:rPr>
          <w:rFonts w:ascii="Book Antiqua" w:hAnsi="Book Antiqua"/>
          <w:spacing w:val="2"/>
        </w:rPr>
        <w:t xml:space="preserve"> b</w:t>
      </w:r>
      <w:r w:rsidRPr="00E3232D">
        <w:rPr>
          <w:rFonts w:ascii="Book Antiqua" w:hAnsi="Book Antiqua"/>
          <w:spacing w:val="-1"/>
        </w:rPr>
        <w:t>ee</w:t>
      </w:r>
      <w:r w:rsidRPr="00E3232D">
        <w:rPr>
          <w:rFonts w:ascii="Book Antiqua" w:hAnsi="Book Antiqua"/>
        </w:rPr>
        <w:t>n</w:t>
      </w:r>
      <w:r w:rsidRPr="00E3232D">
        <w:rPr>
          <w:rFonts w:ascii="Book Antiqua" w:hAnsi="Book Antiqua"/>
          <w:spacing w:val="1"/>
        </w:rPr>
        <w:t xml:space="preserve"> </w:t>
      </w:r>
      <w:r w:rsidRPr="00E3232D">
        <w:rPr>
          <w:rFonts w:ascii="Book Antiqua" w:hAnsi="Book Antiqua"/>
        </w:rPr>
        <w:t>disbur</w:t>
      </w:r>
      <w:r w:rsidRPr="00E3232D">
        <w:rPr>
          <w:rFonts w:ascii="Book Antiqua" w:hAnsi="Book Antiqua"/>
          <w:spacing w:val="2"/>
        </w:rPr>
        <w:t>s</w:t>
      </w:r>
      <w:r w:rsidRPr="00E3232D">
        <w:rPr>
          <w:rFonts w:ascii="Book Antiqua" w:hAnsi="Book Antiqua"/>
          <w:spacing w:val="-1"/>
        </w:rPr>
        <w:t>e</w:t>
      </w:r>
      <w:r w:rsidRPr="00E3232D">
        <w:rPr>
          <w:rFonts w:ascii="Book Antiqua" w:hAnsi="Book Antiqua"/>
        </w:rPr>
        <w:t>d</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1"/>
        </w:rPr>
        <w:t xml:space="preserve"> </w:t>
      </w:r>
      <w:r w:rsidRPr="00E3232D">
        <w:rPr>
          <w:rFonts w:ascii="Book Antiqua" w:hAnsi="Book Antiqua"/>
        </w:rPr>
        <w:t>t</w:t>
      </w:r>
      <w:r w:rsidRPr="00E3232D">
        <w:rPr>
          <w:rFonts w:ascii="Book Antiqua" w:hAnsi="Book Antiqua"/>
          <w:spacing w:val="3"/>
        </w:rPr>
        <w:t>h</w:t>
      </w:r>
      <w:r w:rsidRPr="00E3232D">
        <w:rPr>
          <w:rFonts w:ascii="Book Antiqua" w:hAnsi="Book Antiqua"/>
          <w:spacing w:val="-1"/>
        </w:rPr>
        <w:t>e</w:t>
      </w:r>
      <w:r w:rsidRPr="00E3232D">
        <w:rPr>
          <w:rFonts w:ascii="Book Antiqua" w:hAnsi="Book Antiqua"/>
        </w:rPr>
        <w:t>m.</w:t>
      </w:r>
      <w:r w:rsidRPr="00E3232D">
        <w:rPr>
          <w:rFonts w:ascii="Book Antiqua" w:hAnsi="Book Antiqua"/>
          <w:spacing w:val="3"/>
        </w:rPr>
        <w:t xml:space="preserve"> </w:t>
      </w:r>
      <w:r w:rsidRPr="00E3232D">
        <w:rPr>
          <w:rFonts w:ascii="Book Antiqua" w:hAnsi="Book Antiqua"/>
        </w:rPr>
        <w:t>B</w:t>
      </w:r>
      <w:r w:rsidRPr="00E3232D">
        <w:rPr>
          <w:rFonts w:ascii="Book Antiqua" w:hAnsi="Book Antiqua"/>
          <w:spacing w:val="-1"/>
        </w:rPr>
        <w:t>eca</w:t>
      </w:r>
      <w:r w:rsidRPr="00E3232D">
        <w:rPr>
          <w:rFonts w:ascii="Book Antiqua" w:hAnsi="Book Antiqua"/>
        </w:rPr>
        <w:t>use</w:t>
      </w:r>
      <w:r w:rsidRPr="00E3232D">
        <w:rPr>
          <w:rFonts w:ascii="Book Antiqua" w:hAnsi="Book Antiqua"/>
          <w:spacing w:val="2"/>
        </w:rPr>
        <w:t xml:space="preserve"> </w:t>
      </w:r>
      <w:r w:rsidRPr="00E3232D">
        <w:rPr>
          <w:rFonts w:ascii="Book Antiqua" w:hAnsi="Book Antiqua"/>
        </w:rPr>
        <w:t>of</w:t>
      </w:r>
      <w:r w:rsidRPr="00E3232D">
        <w:rPr>
          <w:rFonts w:ascii="Book Antiqua" w:hAnsi="Book Antiqua"/>
          <w:spacing w:val="2"/>
        </w:rPr>
        <w:t xml:space="preserve"> </w:t>
      </w:r>
      <w:r w:rsidRPr="00E3232D">
        <w:rPr>
          <w:rFonts w:ascii="Book Antiqua" w:hAnsi="Book Antiqua"/>
        </w:rPr>
        <w:t xml:space="preserve">the </w:t>
      </w:r>
      <w:r w:rsidRPr="00E3232D">
        <w:rPr>
          <w:rFonts w:ascii="Book Antiqua" w:hAnsi="Book Antiqua"/>
          <w:spacing w:val="2"/>
        </w:rPr>
        <w:t>n</w:t>
      </w:r>
      <w:r w:rsidRPr="00E3232D">
        <w:rPr>
          <w:rFonts w:ascii="Book Antiqua" w:hAnsi="Book Antiqua"/>
          <w:spacing w:val="-1"/>
        </w:rPr>
        <w:t>a</w:t>
      </w:r>
      <w:r w:rsidRPr="00E3232D">
        <w:rPr>
          <w:rFonts w:ascii="Book Antiqua" w:hAnsi="Book Antiqua"/>
        </w:rPr>
        <w:t>ture</w:t>
      </w:r>
      <w:r w:rsidRPr="00E3232D">
        <w:rPr>
          <w:rFonts w:ascii="Book Antiqua" w:hAnsi="Book Antiqua"/>
          <w:spacing w:val="6"/>
        </w:rPr>
        <w:t xml:space="preserve"> </w:t>
      </w:r>
      <w:r w:rsidRPr="00E3232D">
        <w:rPr>
          <w:rFonts w:ascii="Book Antiqua" w:hAnsi="Book Antiqua"/>
        </w:rPr>
        <w:t>of</w:t>
      </w:r>
      <w:r w:rsidRPr="00E3232D">
        <w:rPr>
          <w:rFonts w:ascii="Book Antiqua" w:hAnsi="Book Antiqua"/>
          <w:spacing w:val="2"/>
        </w:rPr>
        <w:t xml:space="preserve"> </w:t>
      </w:r>
      <w:r w:rsidRPr="00E3232D">
        <w:rPr>
          <w:rFonts w:ascii="Book Antiqua" w:hAnsi="Book Antiqua"/>
        </w:rPr>
        <w:t xml:space="preserve">their </w:t>
      </w:r>
      <w:r w:rsidRPr="00E3232D">
        <w:rPr>
          <w:rFonts w:ascii="Book Antiqua" w:hAnsi="Book Antiqua"/>
          <w:spacing w:val="1"/>
        </w:rPr>
        <w:t>e</w:t>
      </w:r>
      <w:r w:rsidRPr="00E3232D">
        <w:rPr>
          <w:rFonts w:ascii="Book Antiqua" w:hAnsi="Book Antiqua"/>
          <w:spacing w:val="-1"/>
        </w:rPr>
        <w:t>c</w:t>
      </w:r>
      <w:r w:rsidRPr="00E3232D">
        <w:rPr>
          <w:rFonts w:ascii="Book Antiqua" w:hAnsi="Book Antiqua"/>
        </w:rPr>
        <w:t>onom</w:t>
      </w:r>
      <w:r w:rsidRPr="00E3232D">
        <w:rPr>
          <w:rFonts w:ascii="Book Antiqua" w:hAnsi="Book Antiqua"/>
          <w:spacing w:val="1"/>
        </w:rPr>
        <w:t>i</w:t>
      </w:r>
      <w:r w:rsidRPr="00E3232D">
        <w:rPr>
          <w:rFonts w:ascii="Book Antiqua" w:hAnsi="Book Antiqua"/>
        </w:rPr>
        <w:t xml:space="preserve">c </w:t>
      </w:r>
      <w:r w:rsidRPr="00E3232D">
        <w:rPr>
          <w:rFonts w:ascii="Book Antiqua" w:hAnsi="Book Antiqua"/>
          <w:spacing w:val="-1"/>
        </w:rPr>
        <w:t>ac</w:t>
      </w:r>
      <w:r w:rsidRPr="00E3232D">
        <w:rPr>
          <w:rFonts w:ascii="Book Antiqua" w:hAnsi="Book Antiqua"/>
        </w:rPr>
        <w:t>t</w:t>
      </w:r>
      <w:r w:rsidRPr="00E3232D">
        <w:rPr>
          <w:rFonts w:ascii="Book Antiqua" w:hAnsi="Book Antiqua"/>
          <w:spacing w:val="1"/>
        </w:rPr>
        <w:t>i</w:t>
      </w:r>
      <w:r w:rsidRPr="00E3232D">
        <w:rPr>
          <w:rFonts w:ascii="Book Antiqua" w:hAnsi="Book Antiqua"/>
        </w:rPr>
        <w:t>vi</w:t>
      </w:r>
      <w:r w:rsidRPr="00E3232D">
        <w:rPr>
          <w:rFonts w:ascii="Book Antiqua" w:hAnsi="Book Antiqua"/>
          <w:spacing w:val="1"/>
        </w:rPr>
        <w:t>t</w:t>
      </w:r>
      <w:r w:rsidRPr="00E3232D">
        <w:rPr>
          <w:rFonts w:ascii="Book Antiqua" w:hAnsi="Book Antiqua"/>
        </w:rPr>
        <w:t xml:space="preserve">ies, </w:t>
      </w:r>
      <w:r w:rsidRPr="00E3232D">
        <w:rPr>
          <w:rFonts w:ascii="Book Antiqua" w:hAnsi="Book Antiqua"/>
          <w:spacing w:val="-1"/>
        </w:rPr>
        <w:t>c</w:t>
      </w:r>
      <w:r w:rsidRPr="00E3232D">
        <w:rPr>
          <w:rFonts w:ascii="Book Antiqua" w:hAnsi="Book Antiqua"/>
        </w:rPr>
        <w:t>r</w:t>
      </w:r>
      <w:r w:rsidRPr="00E3232D">
        <w:rPr>
          <w:rFonts w:ascii="Book Antiqua" w:hAnsi="Book Antiqua"/>
          <w:spacing w:val="-2"/>
        </w:rPr>
        <w:t>e</w:t>
      </w:r>
      <w:r w:rsidRPr="00E3232D">
        <w:rPr>
          <w:rFonts w:ascii="Book Antiqua" w:hAnsi="Book Antiqua"/>
        </w:rPr>
        <w:t>dit</w:t>
      </w:r>
      <w:r w:rsidRPr="00E3232D">
        <w:rPr>
          <w:rFonts w:ascii="Book Antiqua" w:hAnsi="Book Antiqua"/>
          <w:spacing w:val="1"/>
        </w:rPr>
        <w:t xml:space="preserve"> </w:t>
      </w:r>
      <w:r w:rsidRPr="00E3232D">
        <w:rPr>
          <w:rFonts w:ascii="Book Antiqua" w:hAnsi="Book Antiqua"/>
        </w:rPr>
        <w:t xml:space="preserve">is </w:t>
      </w:r>
      <w:r w:rsidRPr="00E3232D">
        <w:rPr>
          <w:rFonts w:ascii="Book Antiqua" w:hAnsi="Book Antiqua"/>
          <w:spacing w:val="-2"/>
        </w:rPr>
        <w:t>g</w:t>
      </w:r>
      <w:r w:rsidRPr="00E3232D">
        <w:rPr>
          <w:rFonts w:ascii="Book Antiqua" w:hAnsi="Book Antiqua"/>
        </w:rPr>
        <w:t>i</w:t>
      </w:r>
      <w:r w:rsidRPr="00E3232D">
        <w:rPr>
          <w:rFonts w:ascii="Book Antiqua" w:hAnsi="Book Antiqua"/>
          <w:spacing w:val="3"/>
        </w:rPr>
        <w:t>v</w:t>
      </w:r>
      <w:r w:rsidRPr="00E3232D">
        <w:rPr>
          <w:rFonts w:ascii="Book Antiqua" w:hAnsi="Book Antiqua"/>
          <w:spacing w:val="-1"/>
        </w:rPr>
        <w:t>e</w:t>
      </w:r>
      <w:r w:rsidRPr="00E3232D">
        <w:rPr>
          <w:rFonts w:ascii="Book Antiqua" w:hAnsi="Book Antiqua"/>
        </w:rPr>
        <w:t>n</w:t>
      </w:r>
      <w:r w:rsidRPr="00E3232D">
        <w:rPr>
          <w:rFonts w:ascii="Book Antiqua" w:hAnsi="Book Antiqua"/>
          <w:spacing w:val="2"/>
        </w:rPr>
        <w:t xml:space="preserve"> </w:t>
      </w:r>
      <w:r w:rsidRPr="00E3232D">
        <w:rPr>
          <w:rFonts w:ascii="Book Antiqua" w:hAnsi="Book Antiqua"/>
        </w:rPr>
        <w:t xml:space="preserve">to </w:t>
      </w:r>
      <w:r w:rsidRPr="00E3232D">
        <w:rPr>
          <w:rFonts w:ascii="Book Antiqua" w:hAnsi="Book Antiqua"/>
          <w:spacing w:val="1"/>
        </w:rPr>
        <w:t>t</w:t>
      </w:r>
      <w:r w:rsidRPr="00E3232D">
        <w:rPr>
          <w:rFonts w:ascii="Book Antiqua" w:hAnsi="Book Antiqua"/>
        </w:rPr>
        <w:t>h</w:t>
      </w:r>
      <w:r w:rsidRPr="00E3232D">
        <w:rPr>
          <w:rFonts w:ascii="Book Antiqua" w:hAnsi="Book Antiqua"/>
          <w:spacing w:val="-1"/>
        </w:rPr>
        <w:t>e</w:t>
      </w:r>
      <w:r w:rsidRPr="00E3232D">
        <w:rPr>
          <w:rFonts w:ascii="Book Antiqua" w:hAnsi="Book Antiqua"/>
        </w:rPr>
        <w:t>m so late</w:t>
      </w:r>
      <w:r w:rsidRPr="00E3232D">
        <w:rPr>
          <w:rFonts w:ascii="Book Antiqua" w:hAnsi="Book Antiqua"/>
          <w:spacing w:val="-1"/>
        </w:rPr>
        <w:t xml:space="preserve"> </w:t>
      </w:r>
      <w:r w:rsidRPr="00E3232D">
        <w:rPr>
          <w:rFonts w:ascii="Book Antiqua" w:hAnsi="Book Antiqua"/>
        </w:rPr>
        <w:t>that it</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2"/>
        </w:rPr>
        <w:t>g</w:t>
      </w:r>
      <w:r w:rsidRPr="00E3232D">
        <w:rPr>
          <w:rFonts w:ascii="Book Antiqua" w:hAnsi="Book Antiqua"/>
        </w:rPr>
        <w:t>ht not</w:t>
      </w:r>
      <w:r w:rsidRPr="00E3232D">
        <w:rPr>
          <w:rFonts w:ascii="Book Antiqua" w:hAnsi="Book Antiqua"/>
          <w:spacing w:val="1"/>
        </w:rPr>
        <w:t xml:space="preserve"> </w:t>
      </w:r>
      <w:r w:rsidRPr="00E3232D">
        <w:rPr>
          <w:rFonts w:ascii="Book Antiqua" w:hAnsi="Book Antiqua"/>
        </w:rPr>
        <w:t>se</w:t>
      </w:r>
      <w:r w:rsidRPr="00E3232D">
        <w:rPr>
          <w:rFonts w:ascii="Book Antiqua" w:hAnsi="Book Antiqua"/>
          <w:spacing w:val="-1"/>
        </w:rPr>
        <w:t>r</w:t>
      </w:r>
      <w:r w:rsidRPr="00E3232D">
        <w:rPr>
          <w:rFonts w:ascii="Book Antiqua" w:hAnsi="Book Antiqua"/>
        </w:rPr>
        <w:t>ve</w:t>
      </w:r>
      <w:r w:rsidRPr="00E3232D">
        <w:rPr>
          <w:rFonts w:ascii="Book Antiqua" w:hAnsi="Book Antiqua"/>
          <w:spacing w:val="-1"/>
        </w:rPr>
        <w:t xml:space="preserve"> </w:t>
      </w:r>
      <w:r w:rsidRPr="00E3232D">
        <w:rPr>
          <w:rFonts w:ascii="Book Antiqua" w:hAnsi="Book Antiqua"/>
        </w:rPr>
        <w:t>i</w:t>
      </w:r>
      <w:r w:rsidRPr="00E3232D">
        <w:rPr>
          <w:rFonts w:ascii="Book Antiqua" w:hAnsi="Book Antiqua"/>
          <w:spacing w:val="1"/>
        </w:rPr>
        <w:t>t</w:t>
      </w:r>
      <w:r w:rsidRPr="00E3232D">
        <w:rPr>
          <w:rFonts w:ascii="Book Antiqua" w:hAnsi="Book Antiqua"/>
        </w:rPr>
        <w:t>s</w:t>
      </w:r>
      <w:r w:rsidRPr="00E3232D">
        <w:rPr>
          <w:rFonts w:ascii="Book Antiqua" w:hAnsi="Book Antiqua"/>
          <w:spacing w:val="4"/>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nd</w:t>
      </w:r>
      <w:r w:rsidRPr="00E3232D">
        <w:rPr>
          <w:rFonts w:ascii="Book Antiqua" w:hAnsi="Book Antiqua"/>
          <w:spacing w:val="-1"/>
        </w:rPr>
        <w:t>e</w:t>
      </w:r>
      <w:r w:rsidRPr="00E3232D">
        <w:rPr>
          <w:rFonts w:ascii="Book Antiqua" w:hAnsi="Book Antiqua"/>
        </w:rPr>
        <w:t>d purp</w:t>
      </w:r>
      <w:r w:rsidRPr="00E3232D">
        <w:rPr>
          <w:rFonts w:ascii="Book Antiqua" w:hAnsi="Book Antiqua"/>
          <w:spacing w:val="-1"/>
        </w:rPr>
        <w:t>o</w:t>
      </w:r>
      <w:r w:rsidRPr="00E3232D">
        <w:rPr>
          <w:rFonts w:ascii="Book Antiqua" w:hAnsi="Book Antiqua"/>
        </w:rPr>
        <w:t>s</w:t>
      </w:r>
      <w:r w:rsidRPr="00E3232D">
        <w:rPr>
          <w:rFonts w:ascii="Book Antiqua" w:hAnsi="Book Antiqua"/>
          <w:spacing w:val="-1"/>
        </w:rPr>
        <w:t>e</w:t>
      </w:r>
      <w:r w:rsidRPr="00E3232D">
        <w:rPr>
          <w:rFonts w:ascii="Book Antiqua" w:hAnsi="Book Antiqua"/>
        </w:rPr>
        <w:t>.</w:t>
      </w:r>
    </w:p>
    <w:p w14:paraId="7B6206BC" w14:textId="77777777" w:rsidR="002319C6" w:rsidRPr="00E3232D" w:rsidRDefault="0057286B" w:rsidP="00465AE3">
      <w:pPr>
        <w:widowControl w:val="0"/>
        <w:tabs>
          <w:tab w:val="left" w:pos="3140"/>
        </w:tabs>
        <w:autoSpaceDE w:val="0"/>
        <w:autoSpaceDN w:val="0"/>
        <w:adjustRightInd w:val="0"/>
        <w:ind w:right="77"/>
        <w:jc w:val="both"/>
        <w:rPr>
          <w:rFonts w:ascii="Book Antiqua" w:hAnsi="Book Antiqua"/>
        </w:rPr>
      </w:pPr>
      <w:r w:rsidRPr="00E3232D">
        <w:rPr>
          <w:rFonts w:ascii="Book Antiqua" w:hAnsi="Book Antiqua"/>
        </w:rPr>
        <w:t>Ho</w:t>
      </w:r>
      <w:r w:rsidRPr="00E3232D">
        <w:rPr>
          <w:rFonts w:ascii="Book Antiqua" w:hAnsi="Book Antiqua"/>
          <w:spacing w:val="-1"/>
        </w:rPr>
        <w:t>we</w:t>
      </w:r>
      <w:r w:rsidRPr="00E3232D">
        <w:rPr>
          <w:rFonts w:ascii="Book Antiqua" w:hAnsi="Book Antiqua"/>
        </w:rPr>
        <w:t>v</w:t>
      </w:r>
      <w:r w:rsidRPr="00E3232D">
        <w:rPr>
          <w:rFonts w:ascii="Book Antiqua" w:hAnsi="Book Antiqua"/>
          <w:spacing w:val="1"/>
        </w:rPr>
        <w:t>e</w:t>
      </w:r>
      <w:r w:rsidRPr="00E3232D">
        <w:rPr>
          <w:rFonts w:ascii="Book Antiqua" w:hAnsi="Book Antiqua"/>
        </w:rPr>
        <w:t>r,</w:t>
      </w:r>
      <w:r w:rsidRPr="00E3232D">
        <w:rPr>
          <w:rFonts w:ascii="Book Antiqua" w:hAnsi="Book Antiqua"/>
          <w:spacing w:val="21"/>
        </w:rPr>
        <w:t xml:space="preserve"> </w:t>
      </w:r>
      <w:r w:rsidRPr="00E3232D">
        <w:rPr>
          <w:rFonts w:ascii="Book Antiqua" w:hAnsi="Book Antiqua"/>
        </w:rPr>
        <w:t>the</w:t>
      </w:r>
      <w:r w:rsidRPr="00E3232D">
        <w:rPr>
          <w:rFonts w:ascii="Book Antiqua" w:hAnsi="Book Antiqua"/>
          <w:spacing w:val="21"/>
        </w:rPr>
        <w:t xml:space="preserve"> </w:t>
      </w:r>
      <w:r w:rsidRPr="00E3232D">
        <w:rPr>
          <w:rFonts w:ascii="Book Antiqua" w:hAnsi="Book Antiqua"/>
        </w:rPr>
        <w:t>wid</w:t>
      </w:r>
      <w:r w:rsidRPr="00E3232D">
        <w:rPr>
          <w:rFonts w:ascii="Book Antiqua" w:hAnsi="Book Antiqua"/>
          <w:spacing w:val="-1"/>
        </w:rPr>
        <w:t>e</w:t>
      </w:r>
      <w:r w:rsidRPr="00E3232D">
        <w:rPr>
          <w:rFonts w:ascii="Book Antiqua" w:hAnsi="Book Antiqua"/>
          <w:spacing w:val="5"/>
        </w:rPr>
        <w:t>l</w:t>
      </w:r>
      <w:r w:rsidRPr="00E3232D">
        <w:rPr>
          <w:rFonts w:ascii="Book Antiqua" w:hAnsi="Book Antiqua"/>
        </w:rPr>
        <w:t>y</w:t>
      </w:r>
      <w:r w:rsidRPr="00E3232D">
        <w:rPr>
          <w:rFonts w:ascii="Book Antiqua" w:hAnsi="Book Antiqua"/>
          <w:spacing w:val="17"/>
        </w:rPr>
        <w:t xml:space="preserve"> </w:t>
      </w:r>
      <w:r w:rsidRPr="00E3232D">
        <w:rPr>
          <w:rFonts w:ascii="Book Antiqua" w:hAnsi="Book Antiqua"/>
          <w:spacing w:val="2"/>
        </w:rPr>
        <w:t>h</w:t>
      </w:r>
      <w:r w:rsidRPr="00E3232D">
        <w:rPr>
          <w:rFonts w:ascii="Book Antiqua" w:hAnsi="Book Antiqua"/>
          <w:spacing w:val="-1"/>
        </w:rPr>
        <w:t>e</w:t>
      </w:r>
      <w:r w:rsidRPr="00E3232D">
        <w:rPr>
          <w:rFonts w:ascii="Book Antiqua" w:hAnsi="Book Antiqua"/>
        </w:rPr>
        <w:t>ld</w:t>
      </w:r>
      <w:r w:rsidRPr="00E3232D">
        <w:rPr>
          <w:rFonts w:ascii="Book Antiqua" w:hAnsi="Book Antiqua"/>
          <w:spacing w:val="22"/>
        </w:rPr>
        <w:t xml:space="preserve"> </w:t>
      </w:r>
      <w:r w:rsidRPr="00E3232D">
        <w:rPr>
          <w:rFonts w:ascii="Book Antiqua" w:hAnsi="Book Antiqua"/>
        </w:rPr>
        <w:t>vie</w:t>
      </w:r>
      <w:r w:rsidRPr="00E3232D">
        <w:rPr>
          <w:rFonts w:ascii="Book Antiqua" w:hAnsi="Book Antiqua"/>
          <w:spacing w:val="-1"/>
        </w:rPr>
        <w:t>w</w:t>
      </w:r>
      <w:r w:rsidRPr="00E3232D">
        <w:rPr>
          <w:rFonts w:ascii="Book Antiqua" w:hAnsi="Book Antiqua"/>
        </w:rPr>
        <w:t>s</w:t>
      </w:r>
      <w:r w:rsidRPr="00E3232D">
        <w:rPr>
          <w:rFonts w:ascii="Book Antiqua" w:hAnsi="Book Antiqua"/>
          <w:spacing w:val="22"/>
        </w:rPr>
        <w:t xml:space="preserve"> </w:t>
      </w:r>
      <w:r w:rsidRPr="00E3232D">
        <w:rPr>
          <w:rFonts w:ascii="Book Antiqua" w:hAnsi="Book Antiqua"/>
        </w:rPr>
        <w:t>that</w:t>
      </w:r>
      <w:r w:rsidRPr="00E3232D">
        <w:rPr>
          <w:rFonts w:ascii="Book Antiqua" w:hAnsi="Book Antiqua"/>
          <w:spacing w:val="21"/>
        </w:rPr>
        <w:t xml:space="preserve"> </w:t>
      </w:r>
      <w:r w:rsidRPr="00E3232D">
        <w:rPr>
          <w:rFonts w:ascii="Book Antiqua" w:hAnsi="Book Antiqua"/>
          <w:spacing w:val="-1"/>
        </w:rPr>
        <w:t>c</w:t>
      </w:r>
      <w:r w:rsidRPr="00E3232D">
        <w:rPr>
          <w:rFonts w:ascii="Book Antiqua" w:hAnsi="Book Antiqua"/>
        </w:rPr>
        <w:t>ol</w:t>
      </w:r>
      <w:r w:rsidRPr="00E3232D">
        <w:rPr>
          <w:rFonts w:ascii="Book Antiqua" w:hAnsi="Book Antiqua"/>
          <w:spacing w:val="1"/>
        </w:rPr>
        <w:t>l</w:t>
      </w:r>
      <w:r w:rsidRPr="00E3232D">
        <w:rPr>
          <w:rFonts w:ascii="Book Antiqua" w:hAnsi="Book Antiqua"/>
          <w:spacing w:val="-1"/>
        </w:rPr>
        <w:t>a</w:t>
      </w:r>
      <w:r w:rsidRPr="00E3232D">
        <w:rPr>
          <w:rFonts w:ascii="Book Antiqua" w:hAnsi="Book Antiqua"/>
        </w:rPr>
        <w:t>te</w:t>
      </w:r>
      <w:r w:rsidRPr="00E3232D">
        <w:rPr>
          <w:rFonts w:ascii="Book Antiqua" w:hAnsi="Book Antiqua"/>
          <w:spacing w:val="1"/>
        </w:rPr>
        <w:t>r</w:t>
      </w:r>
      <w:r w:rsidRPr="00E3232D">
        <w:rPr>
          <w:rFonts w:ascii="Book Antiqua" w:hAnsi="Book Antiqua"/>
          <w:spacing w:val="-1"/>
        </w:rPr>
        <w:t>a</w:t>
      </w:r>
      <w:r w:rsidRPr="00E3232D">
        <w:rPr>
          <w:rFonts w:ascii="Book Antiqua" w:hAnsi="Book Antiqua"/>
        </w:rPr>
        <w:t>l</w:t>
      </w:r>
      <w:r w:rsidRPr="00E3232D">
        <w:rPr>
          <w:rFonts w:ascii="Book Antiqua" w:hAnsi="Book Antiqua"/>
          <w:spacing w:val="22"/>
        </w:rPr>
        <w:t xml:space="preserve"> </w:t>
      </w:r>
      <w:r w:rsidRPr="00E3232D">
        <w:rPr>
          <w:rFonts w:ascii="Book Antiqua" w:hAnsi="Book Antiqua"/>
        </w:rPr>
        <w:t>is</w:t>
      </w:r>
      <w:r w:rsidRPr="00E3232D">
        <w:rPr>
          <w:rFonts w:ascii="Book Antiqua" w:hAnsi="Book Antiqua"/>
          <w:spacing w:val="22"/>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ovided</w:t>
      </w:r>
      <w:r w:rsidRPr="00E3232D">
        <w:rPr>
          <w:rFonts w:ascii="Book Antiqua" w:hAnsi="Book Antiqua"/>
          <w:spacing w:val="21"/>
        </w:rPr>
        <w:t xml:space="preserve"> </w:t>
      </w:r>
      <w:r w:rsidRPr="00E3232D">
        <w:rPr>
          <w:rFonts w:ascii="Book Antiqua" w:hAnsi="Book Antiqua"/>
        </w:rPr>
        <w:t>b</w:t>
      </w:r>
      <w:r w:rsidRPr="00E3232D">
        <w:rPr>
          <w:rFonts w:ascii="Book Antiqua" w:hAnsi="Book Antiqua"/>
          <w:spacing w:val="-1"/>
        </w:rPr>
        <w:t>e</w:t>
      </w:r>
      <w:r w:rsidRPr="00E3232D">
        <w:rPr>
          <w:rFonts w:ascii="Book Antiqua" w:hAnsi="Book Antiqua"/>
        </w:rPr>
        <w:t>f</w:t>
      </w:r>
      <w:r w:rsidRPr="00E3232D">
        <w:rPr>
          <w:rFonts w:ascii="Book Antiqua" w:hAnsi="Book Antiqua"/>
          <w:spacing w:val="1"/>
        </w:rPr>
        <w:t>o</w:t>
      </w:r>
      <w:r w:rsidRPr="00E3232D">
        <w:rPr>
          <w:rFonts w:ascii="Book Antiqua" w:hAnsi="Book Antiqua"/>
        </w:rPr>
        <w:t>re</w:t>
      </w:r>
      <w:r w:rsidRPr="00E3232D">
        <w:rPr>
          <w:rFonts w:ascii="Book Antiqua" w:hAnsi="Book Antiqua"/>
          <w:spacing w:val="20"/>
        </w:rPr>
        <w:t xml:space="preserve"> </w:t>
      </w:r>
      <w:r w:rsidRPr="00E3232D">
        <w:rPr>
          <w:rFonts w:ascii="Book Antiqua" w:hAnsi="Book Antiqua"/>
        </w:rPr>
        <w:t>loans</w:t>
      </w:r>
      <w:r w:rsidRPr="00E3232D">
        <w:rPr>
          <w:rFonts w:ascii="Book Antiqua" w:hAnsi="Book Antiqua"/>
          <w:spacing w:val="24"/>
        </w:rPr>
        <w:t xml:space="preserve"> </w:t>
      </w:r>
      <w:r w:rsidRPr="00E3232D">
        <w:rPr>
          <w:rFonts w:ascii="Book Antiqua" w:hAnsi="Book Antiqua"/>
          <w:spacing w:val="1"/>
        </w:rPr>
        <w:t>a</w:t>
      </w:r>
      <w:r w:rsidRPr="00E3232D">
        <w:rPr>
          <w:rFonts w:ascii="Book Antiqua" w:hAnsi="Book Antiqua"/>
        </w:rPr>
        <w:t>re</w:t>
      </w:r>
      <w:r w:rsidRPr="00E3232D">
        <w:rPr>
          <w:rFonts w:ascii="Book Antiqua" w:hAnsi="Book Antiqua"/>
          <w:spacing w:val="22"/>
        </w:rPr>
        <w:t xml:space="preserve"> </w:t>
      </w:r>
      <w:r w:rsidRPr="00E3232D">
        <w:rPr>
          <w:rFonts w:ascii="Book Antiqua" w:hAnsi="Book Antiqua"/>
          <w:spacing w:val="-2"/>
        </w:rPr>
        <w:t>g</w:t>
      </w:r>
      <w:r w:rsidRPr="00E3232D">
        <w:rPr>
          <w:rFonts w:ascii="Book Antiqua" w:hAnsi="Book Antiqua"/>
        </w:rPr>
        <w:t>r</w:t>
      </w:r>
      <w:r w:rsidRPr="00E3232D">
        <w:rPr>
          <w:rFonts w:ascii="Book Antiqua" w:hAnsi="Book Antiqua"/>
          <w:spacing w:val="-2"/>
        </w:rPr>
        <w:t>a</w:t>
      </w:r>
      <w:r w:rsidRPr="00E3232D">
        <w:rPr>
          <w:rFonts w:ascii="Book Antiqua" w:hAnsi="Book Antiqua"/>
        </w:rPr>
        <w:t>n</w:t>
      </w:r>
      <w:r w:rsidRPr="00E3232D">
        <w:rPr>
          <w:rFonts w:ascii="Book Antiqua" w:hAnsi="Book Antiqua"/>
          <w:spacing w:val="3"/>
        </w:rPr>
        <w:t>t</w:t>
      </w:r>
      <w:r w:rsidRPr="00E3232D">
        <w:rPr>
          <w:rFonts w:ascii="Book Antiqua" w:hAnsi="Book Antiqua"/>
          <w:spacing w:val="-1"/>
        </w:rPr>
        <w:t>e</w:t>
      </w:r>
      <w:r w:rsidRPr="00E3232D">
        <w:rPr>
          <w:rFonts w:ascii="Book Antiqua" w:hAnsi="Book Antiqua"/>
        </w:rPr>
        <w:t>d</w:t>
      </w:r>
      <w:r w:rsidRPr="00E3232D">
        <w:rPr>
          <w:rFonts w:ascii="Book Antiqua" w:hAnsi="Book Antiqua"/>
          <w:spacing w:val="21"/>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s not</w:t>
      </w:r>
      <w:r w:rsidRPr="00E3232D">
        <w:rPr>
          <w:rFonts w:ascii="Book Antiqua" w:hAnsi="Book Antiqua"/>
          <w:spacing w:val="8"/>
        </w:rPr>
        <w:t xml:space="preserve"> </w:t>
      </w:r>
      <w:r w:rsidRPr="00E3232D">
        <w:rPr>
          <w:rFonts w:ascii="Book Antiqua" w:hAnsi="Book Antiqua"/>
        </w:rPr>
        <w:t>b</w:t>
      </w:r>
      <w:r w:rsidRPr="00E3232D">
        <w:rPr>
          <w:rFonts w:ascii="Book Antiqua" w:hAnsi="Book Antiqua"/>
          <w:spacing w:val="-1"/>
        </w:rPr>
        <w:t>ee</w:t>
      </w:r>
      <w:r w:rsidRPr="00E3232D">
        <w:rPr>
          <w:rFonts w:ascii="Book Antiqua" w:hAnsi="Book Antiqua"/>
        </w:rPr>
        <w:t>n</w:t>
      </w:r>
      <w:r w:rsidRPr="00E3232D">
        <w:rPr>
          <w:rFonts w:ascii="Book Antiqua" w:hAnsi="Book Antiqua"/>
          <w:spacing w:val="7"/>
        </w:rPr>
        <w:t xml:space="preserve"> </w:t>
      </w:r>
      <w:r w:rsidRPr="00E3232D">
        <w:rPr>
          <w:rFonts w:ascii="Book Antiqua" w:hAnsi="Book Antiqua"/>
        </w:rPr>
        <w:t>much</w:t>
      </w:r>
      <w:r w:rsidRPr="00E3232D">
        <w:rPr>
          <w:rFonts w:ascii="Book Antiqua" w:hAnsi="Book Antiqua"/>
          <w:spacing w:val="9"/>
        </w:rPr>
        <w:t xml:space="preserve"> </w:t>
      </w:r>
      <w:r w:rsidRPr="00E3232D">
        <w:rPr>
          <w:rFonts w:ascii="Book Antiqua" w:hAnsi="Book Antiqua"/>
          <w:spacing w:val="-1"/>
        </w:rPr>
        <w:t>e</w:t>
      </w:r>
      <w:r w:rsidRPr="00E3232D">
        <w:rPr>
          <w:rFonts w:ascii="Book Antiqua" w:hAnsi="Book Antiqua"/>
        </w:rPr>
        <w:t>mphas</w:t>
      </w:r>
      <w:r w:rsidRPr="00E3232D">
        <w:rPr>
          <w:rFonts w:ascii="Book Antiqua" w:hAnsi="Book Antiqua"/>
          <w:spacing w:val="2"/>
        </w:rPr>
        <w:t>i</w:t>
      </w:r>
      <w:r w:rsidRPr="00E3232D">
        <w:rPr>
          <w:rFonts w:ascii="Book Antiqua" w:hAnsi="Book Antiqua"/>
          <w:spacing w:val="1"/>
        </w:rPr>
        <w:t>z</w:t>
      </w:r>
      <w:r w:rsidRPr="00E3232D">
        <w:rPr>
          <w:rFonts w:ascii="Book Antiqua" w:hAnsi="Book Antiqua"/>
          <w:spacing w:val="-1"/>
        </w:rPr>
        <w:t>e</w:t>
      </w:r>
      <w:r w:rsidRPr="00E3232D">
        <w:rPr>
          <w:rFonts w:ascii="Book Antiqua" w:hAnsi="Book Antiqua"/>
        </w:rPr>
        <w:t>d.</w:t>
      </w:r>
      <w:r w:rsidRPr="00E3232D">
        <w:rPr>
          <w:rFonts w:ascii="Book Antiqua" w:hAnsi="Book Antiqua"/>
          <w:spacing w:val="7"/>
        </w:rPr>
        <w:t xml:space="preserve"> </w:t>
      </w:r>
      <w:r w:rsidRPr="00E3232D">
        <w:rPr>
          <w:rFonts w:ascii="Book Antiqua" w:hAnsi="Book Antiqua"/>
        </w:rPr>
        <w:t>Ma</w:t>
      </w:r>
      <w:r w:rsidRPr="00E3232D">
        <w:rPr>
          <w:rFonts w:ascii="Book Antiqua" w:hAnsi="Book Antiqua"/>
          <w:spacing w:val="1"/>
        </w:rPr>
        <w:t>n</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spacing w:val="2"/>
        </w:rPr>
        <w:t>o</w:t>
      </w:r>
      <w:r w:rsidRPr="00E3232D">
        <w:rPr>
          <w:rFonts w:ascii="Book Antiqua" w:hAnsi="Book Antiqua"/>
        </w:rPr>
        <w:t>f</w:t>
      </w:r>
      <w:r w:rsidRPr="00E3232D">
        <w:rPr>
          <w:rFonts w:ascii="Book Antiqua" w:hAnsi="Book Antiqua"/>
          <w:spacing w:val="7"/>
        </w:rPr>
        <w:t xml:space="preserve"> </w:t>
      </w:r>
      <w:r w:rsidRPr="00E3232D">
        <w:rPr>
          <w:rFonts w:ascii="Book Antiqua" w:hAnsi="Book Antiqua"/>
        </w:rPr>
        <w:t>these</w:t>
      </w:r>
      <w:r w:rsidRPr="00E3232D">
        <w:rPr>
          <w:rFonts w:ascii="Book Antiqua" w:hAnsi="Book Antiqua"/>
          <w:spacing w:val="8"/>
        </w:rPr>
        <w:t xml:space="preserve"> </w:t>
      </w:r>
      <w:r w:rsidRPr="00E3232D">
        <w:rPr>
          <w:rFonts w:ascii="Book Antiqua" w:hAnsi="Book Antiqua"/>
          <w:spacing w:val="-1"/>
        </w:rPr>
        <w:t>c</w:t>
      </w:r>
      <w:r w:rsidRPr="00E3232D">
        <w:rPr>
          <w:rFonts w:ascii="Book Antiqua" w:hAnsi="Book Antiqua"/>
          <w:spacing w:val="1"/>
        </w:rPr>
        <w:t>r</w:t>
      </w:r>
      <w:r w:rsidRPr="00E3232D">
        <w:rPr>
          <w:rFonts w:ascii="Book Antiqua" w:hAnsi="Book Antiqua"/>
          <w:spacing w:val="-1"/>
        </w:rPr>
        <w:t>e</w:t>
      </w:r>
      <w:r w:rsidRPr="00E3232D">
        <w:rPr>
          <w:rFonts w:ascii="Book Antiqua" w:hAnsi="Book Antiqua"/>
          <w:spacing w:val="2"/>
        </w:rPr>
        <w:t>d</w:t>
      </w:r>
      <w:r w:rsidRPr="00E3232D">
        <w:rPr>
          <w:rFonts w:ascii="Book Antiqua" w:hAnsi="Book Antiqua"/>
        </w:rPr>
        <w:t>it</w:t>
      </w:r>
      <w:r w:rsidRPr="00E3232D">
        <w:rPr>
          <w:rFonts w:ascii="Book Antiqua" w:hAnsi="Book Antiqua"/>
          <w:spacing w:val="13"/>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ovide</w:t>
      </w:r>
      <w:r w:rsidRPr="00E3232D">
        <w:rPr>
          <w:rFonts w:ascii="Book Antiqua" w:hAnsi="Book Antiqua"/>
          <w:spacing w:val="-1"/>
        </w:rPr>
        <w:t>r</w:t>
      </w:r>
      <w:r w:rsidRPr="00E3232D">
        <w:rPr>
          <w:rFonts w:ascii="Book Antiqua" w:hAnsi="Book Antiqua"/>
        </w:rPr>
        <w:t>s</w:t>
      </w:r>
      <w:r w:rsidRPr="00E3232D">
        <w:rPr>
          <w:rFonts w:ascii="Book Antiqua" w:hAnsi="Book Antiqua"/>
          <w:spacing w:val="8"/>
        </w:rPr>
        <w:t xml:space="preserve"> </w:t>
      </w:r>
      <w:r w:rsidRPr="00E3232D">
        <w:rPr>
          <w:rFonts w:ascii="Book Antiqua" w:hAnsi="Book Antiqua"/>
        </w:rPr>
        <w:t>follow</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9"/>
        </w:rPr>
        <w:t xml:space="preserve"> </w:t>
      </w:r>
      <w:r w:rsidRPr="00E3232D">
        <w:rPr>
          <w:rFonts w:ascii="Book Antiqua" w:hAnsi="Book Antiqua"/>
          <w:spacing w:val="2"/>
        </w:rPr>
        <w:t>a</w:t>
      </w:r>
      <w:r w:rsidRPr="00E3232D">
        <w:rPr>
          <w:rFonts w:ascii="Book Antiqua" w:hAnsi="Book Antiqua"/>
        </w:rPr>
        <w:t>bi</w:t>
      </w:r>
      <w:r w:rsidRPr="00E3232D">
        <w:rPr>
          <w:rFonts w:ascii="Book Antiqua" w:hAnsi="Book Antiqua"/>
          <w:spacing w:val="1"/>
        </w:rPr>
        <w:t>l</w:t>
      </w:r>
      <w:r w:rsidRPr="00E3232D">
        <w:rPr>
          <w:rFonts w:ascii="Book Antiqua" w:hAnsi="Book Antiqua"/>
        </w:rPr>
        <w:t>i</w:t>
      </w:r>
      <w:r w:rsidRPr="00E3232D">
        <w:rPr>
          <w:rFonts w:ascii="Book Antiqua" w:hAnsi="Book Antiqua"/>
          <w:spacing w:val="3"/>
        </w:rPr>
        <w:t>t</w:t>
      </w:r>
      <w:r w:rsidRPr="00E3232D">
        <w:rPr>
          <w:rFonts w:ascii="Book Antiqua" w:hAnsi="Book Antiqua"/>
        </w:rPr>
        <w:t xml:space="preserve">y </w:t>
      </w:r>
      <w:r w:rsidRPr="00E3232D">
        <w:rPr>
          <w:rFonts w:ascii="Book Antiqua" w:hAnsi="Book Antiqua"/>
          <w:spacing w:val="2"/>
        </w:rPr>
        <w:t>o</w:t>
      </w:r>
      <w:r w:rsidRPr="00E3232D">
        <w:rPr>
          <w:rFonts w:ascii="Book Antiqua" w:hAnsi="Book Antiqua"/>
        </w:rPr>
        <w:t>f</w:t>
      </w:r>
      <w:r w:rsidRPr="00E3232D">
        <w:rPr>
          <w:rFonts w:ascii="Book Antiqua" w:hAnsi="Book Antiqua"/>
          <w:spacing w:val="7"/>
        </w:rPr>
        <w:t xml:space="preserve"> </w:t>
      </w:r>
      <w:r w:rsidRPr="00E3232D">
        <w:rPr>
          <w:rFonts w:ascii="Book Antiqua" w:hAnsi="Book Antiqua"/>
        </w:rPr>
        <w:t>these potential</w:t>
      </w:r>
      <w:r w:rsidRPr="00E3232D">
        <w:rPr>
          <w:rFonts w:ascii="Book Antiqua" w:hAnsi="Book Antiqua"/>
          <w:spacing w:val="3"/>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rPr>
        <w:t>nt</w:t>
      </w:r>
      <w:r w:rsidRPr="00E3232D">
        <w:rPr>
          <w:rFonts w:ascii="Book Antiqua" w:hAnsi="Book Antiqua"/>
          <w:spacing w:val="2"/>
        </w:rPr>
        <w: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spacing w:val="2"/>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3"/>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spacing w:val="2"/>
        </w:rPr>
        <w:t>o</w:t>
      </w:r>
      <w:r w:rsidRPr="00E3232D">
        <w:rPr>
          <w:rFonts w:ascii="Book Antiqua" w:hAnsi="Book Antiqua"/>
        </w:rPr>
        <w:t>w</w:t>
      </w:r>
      <w:r w:rsidRPr="00E3232D">
        <w:rPr>
          <w:rFonts w:ascii="Book Antiqua" w:hAnsi="Book Antiqua"/>
          <w:spacing w:val="-1"/>
        </w:rPr>
        <w:t>e</w:t>
      </w:r>
      <w:r w:rsidRPr="00E3232D">
        <w:rPr>
          <w:rFonts w:ascii="Book Antiqua" w:hAnsi="Book Antiqua"/>
        </w:rPr>
        <w:t>rs</w:t>
      </w:r>
      <w:r w:rsidRPr="00E3232D">
        <w:rPr>
          <w:rFonts w:ascii="Book Antiqua" w:hAnsi="Book Antiqua"/>
          <w:spacing w:val="4"/>
        </w:rPr>
        <w:t xml:space="preserve"> </w:t>
      </w:r>
      <w:r w:rsidRPr="00E3232D">
        <w:rPr>
          <w:rFonts w:ascii="Book Antiqua" w:hAnsi="Book Antiqua"/>
        </w:rPr>
        <w:t>to</w:t>
      </w:r>
      <w:r w:rsidRPr="00E3232D">
        <w:rPr>
          <w:rFonts w:ascii="Book Antiqua" w:hAnsi="Book Antiqua"/>
          <w:spacing w:val="3"/>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spacing w:val="2"/>
        </w:rPr>
        <w:t>p</w:t>
      </w:r>
      <w:r w:rsidRPr="00E3232D">
        <w:rPr>
          <w:rFonts w:ascii="Book Antiqua" w:hAnsi="Book Antiqua"/>
          <w:spacing w:val="4"/>
        </w:rPr>
        <w:t>a</w:t>
      </w:r>
      <w:r w:rsidRPr="00E3232D">
        <w:rPr>
          <w:rFonts w:ascii="Book Antiqua" w:hAnsi="Book Antiqua"/>
        </w:rPr>
        <w:t>y b</w:t>
      </w:r>
      <w:r w:rsidRPr="00E3232D">
        <w:rPr>
          <w:rFonts w:ascii="Book Antiqua" w:hAnsi="Book Antiqua"/>
          <w:spacing w:val="-1"/>
        </w:rPr>
        <w:t>ac</w:t>
      </w:r>
      <w:r w:rsidRPr="00E3232D">
        <w:rPr>
          <w:rFonts w:ascii="Book Antiqua" w:hAnsi="Book Antiqua"/>
        </w:rPr>
        <w:t>k</w:t>
      </w:r>
      <w:r w:rsidRPr="00E3232D">
        <w:rPr>
          <w:rFonts w:ascii="Book Antiqua" w:hAnsi="Book Antiqua"/>
          <w:spacing w:val="3"/>
        </w:rPr>
        <w:t xml:space="preserve"> </w:t>
      </w:r>
      <w:r w:rsidRPr="00E3232D">
        <w:rPr>
          <w:rFonts w:ascii="Book Antiqua" w:hAnsi="Book Antiqua"/>
        </w:rPr>
        <w:t>loans</w:t>
      </w:r>
      <w:r w:rsidRPr="00E3232D">
        <w:rPr>
          <w:rFonts w:ascii="Book Antiqua" w:hAnsi="Book Antiqua"/>
          <w:spacing w:val="4"/>
        </w:rPr>
        <w:t xml:space="preserve"> </w:t>
      </w:r>
      <w:r w:rsidRPr="00E3232D">
        <w:rPr>
          <w:rFonts w:ascii="Book Antiqua" w:hAnsi="Book Antiqua"/>
        </w:rPr>
        <w:t>on</w:t>
      </w:r>
      <w:r w:rsidRPr="00E3232D">
        <w:rPr>
          <w:rFonts w:ascii="Book Antiqua" w:hAnsi="Book Antiqua"/>
          <w:spacing w:val="3"/>
        </w:rPr>
        <w:t xml:space="preserve"> </w:t>
      </w:r>
      <w:r w:rsidRPr="00E3232D">
        <w:rPr>
          <w:rFonts w:ascii="Book Antiqua" w:hAnsi="Book Antiqua"/>
        </w:rPr>
        <w:t>t</w:t>
      </w:r>
      <w:r w:rsidRPr="00E3232D">
        <w:rPr>
          <w:rFonts w:ascii="Book Antiqua" w:hAnsi="Book Antiqua"/>
          <w:spacing w:val="1"/>
        </w:rPr>
        <w:t>i</w:t>
      </w:r>
      <w:r w:rsidRPr="00E3232D">
        <w:rPr>
          <w:rFonts w:ascii="Book Antiqua" w:hAnsi="Book Antiqua"/>
        </w:rPr>
        <w:t>me.</w:t>
      </w:r>
      <w:r w:rsidRPr="00E3232D">
        <w:rPr>
          <w:rFonts w:ascii="Book Antiqua" w:hAnsi="Book Antiqua"/>
          <w:spacing w:val="2"/>
        </w:rPr>
        <w:t xml:space="preserve"> </w:t>
      </w:r>
      <w:r w:rsidRPr="00E3232D">
        <w:rPr>
          <w:rFonts w:ascii="Book Antiqua" w:hAnsi="Book Antiqua"/>
        </w:rPr>
        <w:t>And</w:t>
      </w:r>
      <w:r w:rsidRPr="00E3232D">
        <w:rPr>
          <w:rFonts w:ascii="Book Antiqua" w:hAnsi="Book Antiqua"/>
          <w:spacing w:val="4"/>
        </w:rPr>
        <w:t xml:space="preserve"> </w:t>
      </w:r>
      <w:r w:rsidRPr="00E3232D">
        <w:rPr>
          <w:rFonts w:ascii="Book Antiqua" w:hAnsi="Book Antiqua"/>
        </w:rPr>
        <w:t>th</w:t>
      </w:r>
      <w:r w:rsidRPr="00E3232D">
        <w:rPr>
          <w:rFonts w:ascii="Book Antiqua" w:hAnsi="Book Antiqua"/>
          <w:spacing w:val="1"/>
        </w:rPr>
        <w:t>i</w:t>
      </w:r>
      <w:r w:rsidRPr="00E3232D">
        <w:rPr>
          <w:rFonts w:ascii="Book Antiqua" w:hAnsi="Book Antiqua"/>
        </w:rPr>
        <w:t>s</w:t>
      </w:r>
      <w:r w:rsidRPr="00E3232D">
        <w:rPr>
          <w:rFonts w:ascii="Book Antiqua" w:hAnsi="Book Antiqua"/>
          <w:spacing w:val="10"/>
        </w:rPr>
        <w:t xml:space="preserve"> </w:t>
      </w:r>
      <w:r w:rsidRPr="00E3232D">
        <w:rPr>
          <w:rFonts w:ascii="Book Antiqua" w:hAnsi="Book Antiqua"/>
          <w:spacing w:val="1"/>
        </w:rPr>
        <w:t>s</w:t>
      </w:r>
      <w:r w:rsidRPr="00E3232D">
        <w:rPr>
          <w:rFonts w:ascii="Book Antiqua" w:hAnsi="Book Antiqua"/>
          <w:spacing w:val="-1"/>
        </w:rPr>
        <w:t>e</w:t>
      </w:r>
      <w:r w:rsidRPr="00E3232D">
        <w:rPr>
          <w:rFonts w:ascii="Book Antiqua" w:hAnsi="Book Antiqua"/>
        </w:rPr>
        <w:t>rv</w:t>
      </w:r>
      <w:r w:rsidRPr="00E3232D">
        <w:rPr>
          <w:rFonts w:ascii="Book Antiqua" w:hAnsi="Book Antiqua"/>
          <w:spacing w:val="-2"/>
        </w:rPr>
        <w:t>e</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 xml:space="preserve">s </w:t>
      </w:r>
      <w:r w:rsidRPr="00E3232D">
        <w:rPr>
          <w:rFonts w:ascii="Book Antiqua" w:hAnsi="Book Antiqua"/>
          <w:spacing w:val="-2"/>
        </w:rPr>
        <w:t>g</w:t>
      </w:r>
      <w:r w:rsidRPr="00E3232D">
        <w:rPr>
          <w:rFonts w:ascii="Book Antiqua" w:hAnsi="Book Antiqua"/>
        </w:rPr>
        <w:t>u</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a</w:t>
      </w:r>
      <w:r w:rsidRPr="00E3232D">
        <w:rPr>
          <w:rFonts w:ascii="Book Antiqua" w:hAnsi="Book Antiqua"/>
        </w:rPr>
        <w:t>nt</w:t>
      </w:r>
      <w:r w:rsidRPr="00E3232D">
        <w:rPr>
          <w:rFonts w:ascii="Book Antiqua" w:hAnsi="Book Antiqua"/>
          <w:spacing w:val="2"/>
        </w:rPr>
        <w:t>e</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rPr>
        <w:t>for</w:t>
      </w:r>
      <w:r w:rsidRPr="00E3232D">
        <w:rPr>
          <w:rFonts w:ascii="Book Antiqua" w:hAnsi="Book Antiqua"/>
          <w:spacing w:val="3"/>
        </w:rPr>
        <w:t xml:space="preserve"> </w:t>
      </w:r>
      <w:r w:rsidRPr="00E3232D">
        <w:rPr>
          <w:rFonts w:ascii="Book Antiqua" w:hAnsi="Book Antiqua"/>
        </w:rPr>
        <w:t>them.</w:t>
      </w:r>
      <w:r w:rsidRPr="00E3232D">
        <w:rPr>
          <w:rFonts w:ascii="Book Antiqua" w:hAnsi="Book Antiqua"/>
          <w:spacing w:val="9"/>
        </w:rPr>
        <w:t xml:space="preserve"> </w:t>
      </w:r>
      <w:r w:rsidRPr="00E3232D">
        <w:rPr>
          <w:rFonts w:ascii="Book Antiqua" w:hAnsi="Book Antiqua"/>
          <w:spacing w:val="-3"/>
        </w:rPr>
        <w:t>I</w:t>
      </w:r>
      <w:r w:rsidRPr="00E3232D">
        <w:rPr>
          <w:rFonts w:ascii="Book Antiqua" w:hAnsi="Book Antiqua"/>
        </w:rPr>
        <w:t>n</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ddi</w:t>
      </w:r>
      <w:r w:rsidRPr="00E3232D">
        <w:rPr>
          <w:rFonts w:ascii="Book Antiqua" w:hAnsi="Book Antiqua"/>
          <w:spacing w:val="1"/>
        </w:rPr>
        <w:t>t</w:t>
      </w:r>
      <w:r w:rsidRPr="00E3232D">
        <w:rPr>
          <w:rFonts w:ascii="Book Antiqua" w:hAnsi="Book Antiqua"/>
        </w:rPr>
        <w:t>ion,</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stu</w:t>
      </w:r>
      <w:r w:rsidRPr="00E3232D">
        <w:rPr>
          <w:rFonts w:ascii="Book Antiqua" w:hAnsi="Book Antiqua"/>
          <w:spacing w:val="3"/>
        </w:rPr>
        <w:t>d</w:t>
      </w:r>
      <w:r w:rsidRPr="00E3232D">
        <w:rPr>
          <w:rFonts w:ascii="Book Antiqua" w:hAnsi="Book Antiqua"/>
        </w:rPr>
        <w:t>y r</w:t>
      </w:r>
      <w:r w:rsidRPr="00E3232D">
        <w:rPr>
          <w:rFonts w:ascii="Book Antiqua" w:hAnsi="Book Antiqua"/>
          <w:spacing w:val="-2"/>
        </w:rPr>
        <w:t>e</w:t>
      </w:r>
      <w:r w:rsidRPr="00E3232D">
        <w:rPr>
          <w:rFonts w:ascii="Book Antiqua" w:hAnsi="Book Antiqua"/>
        </w:rPr>
        <w:t>v</w:t>
      </w:r>
      <w:r w:rsidRPr="00E3232D">
        <w:rPr>
          <w:rFonts w:ascii="Book Antiqua" w:hAnsi="Book Antiqua"/>
          <w:spacing w:val="1"/>
        </w:rPr>
        <w:t>e</w:t>
      </w:r>
      <w:r w:rsidRPr="00E3232D">
        <w:rPr>
          <w:rFonts w:ascii="Book Antiqua" w:hAnsi="Book Antiqua"/>
          <w:spacing w:val="-1"/>
        </w:rPr>
        <w:t>a</w:t>
      </w:r>
      <w:r w:rsidRPr="00E3232D">
        <w:rPr>
          <w:rFonts w:ascii="Book Antiqua" w:hAnsi="Book Antiqua"/>
        </w:rPr>
        <w:t>ls</w:t>
      </w:r>
      <w:r w:rsidRPr="00E3232D">
        <w:rPr>
          <w:rFonts w:ascii="Book Antiqua" w:hAnsi="Book Antiqua"/>
          <w:spacing w:val="5"/>
        </w:rPr>
        <w:t xml:space="preserve"> </w:t>
      </w:r>
      <w:r w:rsidRPr="00E3232D">
        <w:rPr>
          <w:rFonts w:ascii="Book Antiqua" w:hAnsi="Book Antiqua"/>
        </w:rPr>
        <w:t>that</w:t>
      </w:r>
      <w:r w:rsidRPr="00E3232D">
        <w:rPr>
          <w:rFonts w:ascii="Book Antiqua" w:hAnsi="Book Antiqua"/>
          <w:spacing w:val="5"/>
        </w:rPr>
        <w:t xml:space="preserve"> </w:t>
      </w:r>
      <w:r w:rsidRPr="00E3232D">
        <w:rPr>
          <w:rFonts w:ascii="Book Antiqua" w:hAnsi="Book Antiqua"/>
        </w:rPr>
        <w:t>majo</w:t>
      </w:r>
      <w:r w:rsidRPr="00E3232D">
        <w:rPr>
          <w:rFonts w:ascii="Book Antiqua" w:hAnsi="Book Antiqua"/>
          <w:spacing w:val="-1"/>
        </w:rPr>
        <w:t>r</w:t>
      </w:r>
      <w:r w:rsidRPr="00E3232D">
        <w:rPr>
          <w:rFonts w:ascii="Book Antiqua" w:hAnsi="Book Antiqua"/>
        </w:rPr>
        <w:t>i</w:t>
      </w:r>
      <w:r w:rsidRPr="00E3232D">
        <w:rPr>
          <w:rFonts w:ascii="Book Antiqua" w:hAnsi="Book Antiqua"/>
          <w:spacing w:val="3"/>
        </w:rPr>
        <w:t>t</w:t>
      </w:r>
      <w:r w:rsidRPr="00E3232D">
        <w:rPr>
          <w:rFonts w:ascii="Book Antiqua" w:hAnsi="Book Antiqua"/>
        </w:rPr>
        <w:t>y of</w:t>
      </w:r>
      <w:r w:rsidRPr="00E3232D">
        <w:rPr>
          <w:rFonts w:ascii="Book Antiqua" w:hAnsi="Book Antiqua"/>
          <w:spacing w:val="4"/>
        </w:rPr>
        <w:t xml:space="preserve"> </w:t>
      </w:r>
      <w:r w:rsidRPr="00E3232D">
        <w:rPr>
          <w:rFonts w:ascii="Book Antiqua" w:hAnsi="Book Antiqua"/>
        </w:rPr>
        <w:t>these</w:t>
      </w:r>
      <w:r w:rsidRPr="00E3232D">
        <w:rPr>
          <w:rFonts w:ascii="Book Antiqua" w:hAnsi="Book Antiqua"/>
          <w:spacing w:val="6"/>
        </w:rPr>
        <w:t xml:space="preserve"> </w:t>
      </w:r>
      <w:r w:rsidRPr="00E3232D">
        <w:rPr>
          <w:rFonts w:ascii="Book Antiqua" w:hAnsi="Book Antiqua"/>
        </w:rPr>
        <w:t>p</w:t>
      </w:r>
      <w:r w:rsidRPr="00E3232D">
        <w:rPr>
          <w:rFonts w:ascii="Book Antiqua" w:hAnsi="Book Antiqua"/>
          <w:spacing w:val="-1"/>
        </w:rPr>
        <w:t>e</w:t>
      </w:r>
      <w:r w:rsidRPr="00E3232D">
        <w:rPr>
          <w:rFonts w:ascii="Book Antiqua" w:hAnsi="Book Antiqua"/>
        </w:rPr>
        <w:t>ople</w:t>
      </w:r>
      <w:r w:rsidRPr="00E3232D">
        <w:rPr>
          <w:rFonts w:ascii="Book Antiqua" w:hAnsi="Book Antiqua"/>
          <w:spacing w:val="4"/>
        </w:rPr>
        <w:t xml:space="preserve"> </w:t>
      </w:r>
      <w:r w:rsidRPr="00E3232D">
        <w:rPr>
          <w:rFonts w:ascii="Book Antiqua" w:hAnsi="Book Antiqua"/>
          <w:spacing w:val="-1"/>
        </w:rPr>
        <w:t>a</w:t>
      </w:r>
      <w:r w:rsidRPr="00E3232D">
        <w:rPr>
          <w:rFonts w:ascii="Book Antiqua" w:hAnsi="Book Antiqua"/>
          <w:spacing w:val="1"/>
        </w:rPr>
        <w:t>r</w:t>
      </w:r>
      <w:r w:rsidRPr="00E3232D">
        <w:rPr>
          <w:rFonts w:ascii="Book Antiqua" w:hAnsi="Book Antiqua"/>
        </w:rPr>
        <w:t>e</w:t>
      </w:r>
      <w:r w:rsidRPr="00E3232D">
        <w:rPr>
          <w:rFonts w:ascii="Book Antiqua" w:hAnsi="Book Antiqua"/>
          <w:spacing w:val="4"/>
        </w:rPr>
        <w:t xml:space="preserve"> </w:t>
      </w:r>
      <w:r w:rsidRPr="00E3232D">
        <w:rPr>
          <w:rFonts w:ascii="Book Antiqua" w:hAnsi="Book Antiqua"/>
        </w:rPr>
        <w:t xml:space="preserve">not </w:t>
      </w:r>
      <w:r w:rsidRPr="00E3232D">
        <w:rPr>
          <w:rFonts w:ascii="Book Antiqua" w:hAnsi="Book Antiqua"/>
          <w:spacing w:val="-1"/>
        </w:rPr>
        <w:t>e</w:t>
      </w:r>
      <w:r w:rsidRPr="00E3232D">
        <w:rPr>
          <w:rFonts w:ascii="Book Antiqua" w:hAnsi="Book Antiqua"/>
        </w:rPr>
        <w:t>du</w:t>
      </w:r>
      <w:r w:rsidRPr="00E3232D">
        <w:rPr>
          <w:rFonts w:ascii="Book Antiqua" w:hAnsi="Book Antiqua"/>
          <w:spacing w:val="-1"/>
        </w:rPr>
        <w:t>ca</w:t>
      </w:r>
      <w:r w:rsidRPr="00E3232D">
        <w:rPr>
          <w:rFonts w:ascii="Book Antiqua" w:hAnsi="Book Antiqua"/>
        </w:rPr>
        <w:t>ted</w:t>
      </w:r>
      <w:r w:rsidRPr="00E3232D">
        <w:rPr>
          <w:rFonts w:ascii="Book Antiqua" w:hAnsi="Book Antiqua"/>
          <w:spacing w:val="4"/>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3"/>
        </w:rPr>
        <w:t xml:space="preserve"> m</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spacing w:val="3"/>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3"/>
        </w:rPr>
        <w:t xml:space="preserve"> </w:t>
      </w:r>
      <w:r w:rsidRPr="00E3232D">
        <w:rPr>
          <w:rFonts w:ascii="Book Antiqua" w:hAnsi="Book Antiqua"/>
        </w:rPr>
        <w:t>tr</w:t>
      </w:r>
      <w:r w:rsidRPr="00E3232D">
        <w:rPr>
          <w:rFonts w:ascii="Book Antiqua" w:hAnsi="Book Antiqua"/>
          <w:spacing w:val="1"/>
        </w:rPr>
        <w:t>a</w:t>
      </w:r>
      <w:r w:rsidRPr="00E3232D">
        <w:rPr>
          <w:rFonts w:ascii="Book Antiqua" w:hAnsi="Book Antiqua"/>
        </w:rPr>
        <w:t>in</w:t>
      </w:r>
      <w:r w:rsidRPr="00E3232D">
        <w:rPr>
          <w:rFonts w:ascii="Book Antiqua" w:hAnsi="Book Antiqua"/>
          <w:spacing w:val="1"/>
        </w:rPr>
        <w:t>i</w:t>
      </w:r>
      <w:r w:rsidRPr="00E3232D">
        <w:rPr>
          <w:rFonts w:ascii="Book Antiqua" w:hAnsi="Book Antiqua"/>
          <w:spacing w:val="2"/>
        </w:rPr>
        <w:t>n</w:t>
      </w:r>
      <w:r w:rsidRPr="00E3232D">
        <w:rPr>
          <w:rFonts w:ascii="Book Antiqua" w:hAnsi="Book Antiqua"/>
        </w:rPr>
        <w:t>g is</w:t>
      </w:r>
      <w:r w:rsidRPr="00E3232D">
        <w:rPr>
          <w:rFonts w:ascii="Book Antiqua" w:hAnsi="Book Antiqua"/>
          <w:spacing w:val="3"/>
        </w:rPr>
        <w:t xml:space="preserve"> </w:t>
      </w:r>
      <w:r w:rsidRPr="00E3232D">
        <w:rPr>
          <w:rFonts w:ascii="Book Antiqua" w:hAnsi="Book Antiqua"/>
        </w:rPr>
        <w:t>s</w:t>
      </w:r>
      <w:r w:rsidRPr="00E3232D">
        <w:rPr>
          <w:rFonts w:ascii="Book Antiqua" w:hAnsi="Book Antiqua"/>
          <w:spacing w:val="1"/>
        </w:rPr>
        <w:t>e</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 xml:space="preserve"> </w:t>
      </w:r>
      <w:r w:rsidRPr="00E3232D">
        <w:rPr>
          <w:rFonts w:ascii="Book Antiqua" w:hAnsi="Book Antiqua"/>
        </w:rPr>
        <w:t>le</w:t>
      </w:r>
      <w:r w:rsidRPr="00E3232D">
        <w:rPr>
          <w:rFonts w:ascii="Book Antiqua" w:hAnsi="Book Antiqua"/>
          <w:spacing w:val="2"/>
        </w:rPr>
        <w:t>s</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i</w:t>
      </w:r>
      <w:r w:rsidRPr="00E3232D">
        <w:rPr>
          <w:rFonts w:ascii="Book Antiqua" w:hAnsi="Book Antiqua"/>
          <w:spacing w:val="1"/>
        </w:rPr>
        <w:t>m</w:t>
      </w:r>
      <w:r w:rsidRPr="00E3232D">
        <w:rPr>
          <w:rFonts w:ascii="Book Antiqua" w:hAnsi="Book Antiqua"/>
        </w:rPr>
        <w:t>port</w:t>
      </w:r>
      <w:r w:rsidRPr="00E3232D">
        <w:rPr>
          <w:rFonts w:ascii="Book Antiqua" w:hAnsi="Book Antiqua"/>
          <w:spacing w:val="-1"/>
        </w:rPr>
        <w:t>a</w:t>
      </w:r>
      <w:r w:rsidRPr="00E3232D">
        <w:rPr>
          <w:rFonts w:ascii="Book Antiqua" w:hAnsi="Book Antiqua"/>
        </w:rPr>
        <w:t>nt,</w:t>
      </w:r>
      <w:r w:rsidRPr="00E3232D">
        <w:rPr>
          <w:rFonts w:ascii="Book Antiqua" w:hAnsi="Book Antiqua"/>
          <w:spacing w:val="5"/>
        </w:rPr>
        <w:t xml:space="preserve"> </w:t>
      </w:r>
      <w:r w:rsidRPr="00E3232D">
        <w:rPr>
          <w:rFonts w:ascii="Book Antiqua" w:hAnsi="Book Antiqua"/>
          <w:spacing w:val="-5"/>
        </w:rPr>
        <w:t>y</w:t>
      </w:r>
      <w:r w:rsidRPr="00E3232D">
        <w:rPr>
          <w:rFonts w:ascii="Book Antiqua" w:hAnsi="Book Antiqua"/>
          <w:spacing w:val="5"/>
        </w:rPr>
        <w:t>e</w:t>
      </w:r>
      <w:r w:rsidRPr="00E3232D">
        <w:rPr>
          <w:rFonts w:ascii="Book Antiqua" w:hAnsi="Book Antiqua"/>
        </w:rPr>
        <w:t>t</w:t>
      </w:r>
      <w:r w:rsidRPr="00E3232D">
        <w:rPr>
          <w:rFonts w:ascii="Book Antiqua" w:hAnsi="Book Antiqua"/>
          <w:spacing w:val="3"/>
        </w:rPr>
        <w:t xml:space="preserve"> </w:t>
      </w:r>
      <w:r w:rsidRPr="00E3232D">
        <w:rPr>
          <w:rFonts w:ascii="Book Antiqua" w:hAnsi="Book Antiqua"/>
        </w:rPr>
        <w:t>s</w:t>
      </w:r>
      <w:r w:rsidRPr="00E3232D">
        <w:rPr>
          <w:rFonts w:ascii="Book Antiqua" w:hAnsi="Book Antiqua"/>
          <w:spacing w:val="-1"/>
        </w:rPr>
        <w:t>e</w:t>
      </w:r>
      <w:r w:rsidRPr="00E3232D">
        <w:rPr>
          <w:rFonts w:ascii="Book Antiqua" w:hAnsi="Book Antiqua"/>
        </w:rPr>
        <w:t>nsi</w:t>
      </w:r>
      <w:r w:rsidRPr="00E3232D">
        <w:rPr>
          <w:rFonts w:ascii="Book Antiqua" w:hAnsi="Book Antiqua"/>
          <w:spacing w:val="1"/>
        </w:rPr>
        <w:t>t</w:t>
      </w:r>
      <w:r w:rsidRPr="00E3232D">
        <w:rPr>
          <w:rFonts w:ascii="Book Antiqua" w:hAnsi="Book Antiqua"/>
          <w:spacing w:val="3"/>
        </w:rPr>
        <w:t>i</w:t>
      </w:r>
      <w:r w:rsidRPr="00E3232D">
        <w:rPr>
          <w:rFonts w:ascii="Book Antiqua" w:hAnsi="Book Antiqua"/>
          <w:spacing w:val="1"/>
        </w:rPr>
        <w:t>z</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w:t>
      </w:r>
      <w:r w:rsidRPr="00E3232D">
        <w:rPr>
          <w:rFonts w:ascii="Book Antiqua" w:hAnsi="Book Antiqua"/>
          <w:spacing w:val="3"/>
        </w:rPr>
        <w:t xml:space="preserve"> </w:t>
      </w:r>
      <w:r w:rsidRPr="00E3232D">
        <w:rPr>
          <w:rFonts w:ascii="Book Antiqua" w:hAnsi="Book Antiqua"/>
        </w:rPr>
        <w:t>on</w:t>
      </w:r>
      <w:r w:rsidRPr="00E3232D">
        <w:rPr>
          <w:rFonts w:ascii="Book Antiqua" w:hAnsi="Book Antiqua"/>
          <w:spacing w:val="3"/>
        </w:rPr>
        <w:t xml:space="preserve"> </w:t>
      </w:r>
      <w:r w:rsidRPr="00E3232D">
        <w:rPr>
          <w:rFonts w:ascii="Book Antiqua" w:hAnsi="Book Antiqua"/>
        </w:rPr>
        <w:t>loan r</w:t>
      </w:r>
      <w:r w:rsidRPr="00E3232D">
        <w:rPr>
          <w:rFonts w:ascii="Book Antiqua" w:hAnsi="Book Antiqua"/>
          <w:spacing w:val="-2"/>
        </w:rPr>
        <w:t>e</w:t>
      </w:r>
      <w:r w:rsidRPr="00E3232D">
        <w:rPr>
          <w:rFonts w:ascii="Book Antiqua" w:hAnsi="Book Antiqua"/>
        </w:rPr>
        <w:t>p</w:t>
      </w:r>
      <w:r w:rsidRPr="00E3232D">
        <w:rPr>
          <w:rFonts w:ascii="Book Antiqua" w:hAnsi="Book Antiqua"/>
          <w:spacing w:val="4"/>
        </w:rPr>
        <w:t>a</w:t>
      </w:r>
      <w:r w:rsidRPr="00E3232D">
        <w:rPr>
          <w:rFonts w:ascii="Book Antiqua" w:hAnsi="Book Antiqua"/>
          <w:spacing w:val="-5"/>
        </w:rPr>
        <w:t>y</w:t>
      </w:r>
      <w:r w:rsidRPr="00E3232D">
        <w:rPr>
          <w:rFonts w:ascii="Book Antiqua" w:hAnsi="Book Antiqua"/>
        </w:rPr>
        <w:t xml:space="preserve">ment </w:t>
      </w:r>
      <w:r w:rsidRPr="00E3232D">
        <w:rPr>
          <w:rFonts w:ascii="Book Antiqua" w:hAnsi="Book Antiqua"/>
          <w:spacing w:val="7"/>
        </w:rPr>
        <w:t>is</w:t>
      </w:r>
      <w:r w:rsidRPr="00E3232D">
        <w:rPr>
          <w:rFonts w:ascii="Book Antiqua" w:hAnsi="Book Antiqua"/>
        </w:rPr>
        <w:t xml:space="preserve"> </w:t>
      </w:r>
      <w:r w:rsidRPr="00E3232D">
        <w:rPr>
          <w:rFonts w:ascii="Book Antiqua" w:hAnsi="Book Antiqua"/>
          <w:spacing w:val="8"/>
        </w:rPr>
        <w:t>very</w:t>
      </w:r>
      <w:r w:rsidRPr="00E3232D">
        <w:rPr>
          <w:rFonts w:ascii="Book Antiqua" w:hAnsi="Book Antiqua"/>
        </w:rPr>
        <w:t xml:space="preserve"> </w:t>
      </w:r>
      <w:r w:rsidRPr="00E3232D">
        <w:rPr>
          <w:rFonts w:ascii="Book Antiqua" w:hAnsi="Book Antiqua"/>
          <w:spacing w:val="2"/>
        </w:rPr>
        <w:t>high</w:t>
      </w:r>
      <w:r w:rsidRPr="00E3232D">
        <w:rPr>
          <w:rFonts w:ascii="Book Antiqua" w:hAnsi="Book Antiqua"/>
        </w:rPr>
        <w:t xml:space="preserve">. On </w:t>
      </w:r>
      <w:r w:rsidRPr="00E3232D">
        <w:rPr>
          <w:rFonts w:ascii="Book Antiqua" w:hAnsi="Book Antiqua"/>
          <w:spacing w:val="6"/>
        </w:rPr>
        <w:t>the</w:t>
      </w:r>
      <w:r w:rsidRPr="00E3232D">
        <w:rPr>
          <w:rFonts w:ascii="Book Antiqua" w:hAnsi="Book Antiqua"/>
        </w:rPr>
        <w:t xml:space="preserve"> </w:t>
      </w:r>
      <w:r w:rsidRPr="00E3232D">
        <w:rPr>
          <w:rFonts w:ascii="Book Antiqua" w:hAnsi="Book Antiqua"/>
          <w:spacing w:val="6"/>
        </w:rPr>
        <w:t>part</w:t>
      </w:r>
      <w:r w:rsidRPr="00E3232D">
        <w:rPr>
          <w:rFonts w:ascii="Book Antiqua" w:hAnsi="Book Antiqua"/>
        </w:rPr>
        <w:t xml:space="preserve"> </w:t>
      </w:r>
      <w:r w:rsidRPr="00E3232D">
        <w:rPr>
          <w:rFonts w:ascii="Book Antiqua" w:hAnsi="Book Antiqua"/>
          <w:spacing w:val="7"/>
        </w:rPr>
        <w:t>of</w:t>
      </w:r>
      <w:r w:rsidRPr="00E3232D">
        <w:rPr>
          <w:rFonts w:ascii="Book Antiqua" w:hAnsi="Book Antiqua"/>
        </w:rPr>
        <w:t xml:space="preserve"> </w:t>
      </w:r>
      <w:r w:rsidRPr="00E3232D">
        <w:rPr>
          <w:rFonts w:ascii="Book Antiqua" w:hAnsi="Book Antiqua"/>
          <w:spacing w:val="6"/>
        </w:rPr>
        <w:t>the</w:t>
      </w:r>
      <w:r w:rsidRPr="00E3232D">
        <w:rPr>
          <w:rFonts w:ascii="Book Antiqua" w:hAnsi="Book Antiqua"/>
        </w:rPr>
        <w:t xml:space="preserve"> </w:t>
      </w:r>
      <w:r w:rsidRPr="00E3232D">
        <w:rPr>
          <w:rFonts w:ascii="Book Antiqua" w:hAnsi="Book Antiqua"/>
          <w:spacing w:val="8"/>
        </w:rPr>
        <w:t>opportunities</w:t>
      </w:r>
      <w:r w:rsidRPr="00E3232D">
        <w:rPr>
          <w:rFonts w:ascii="Book Antiqua" w:hAnsi="Book Antiqua"/>
        </w:rPr>
        <w:t xml:space="preserve"> </w:t>
      </w:r>
      <w:r w:rsidRPr="00E3232D">
        <w:rPr>
          <w:rFonts w:ascii="Book Antiqua" w:hAnsi="Book Antiqua"/>
          <w:spacing w:val="7"/>
        </w:rPr>
        <w:t>that</w:t>
      </w:r>
      <w:r w:rsidRPr="00E3232D">
        <w:rPr>
          <w:rFonts w:ascii="Book Antiqua" w:hAnsi="Book Antiqua"/>
        </w:rPr>
        <w:t xml:space="preserve"> </w:t>
      </w:r>
      <w:r w:rsidRPr="00E3232D">
        <w:rPr>
          <w:rFonts w:ascii="Book Antiqua" w:hAnsi="Book Antiqua"/>
          <w:spacing w:val="7"/>
        </w:rPr>
        <w:t>the</w:t>
      </w:r>
      <w:r w:rsidRPr="00E3232D">
        <w:rPr>
          <w:rFonts w:ascii="Book Antiqua" w:hAnsi="Book Antiqua"/>
        </w:rPr>
        <w:t xml:space="preserve"> </w:t>
      </w:r>
      <w:r w:rsidRPr="00E3232D">
        <w:rPr>
          <w:rFonts w:ascii="Book Antiqua" w:hAnsi="Book Antiqua"/>
          <w:spacing w:val="6"/>
        </w:rPr>
        <w:t>potential</w:t>
      </w:r>
      <w:r w:rsidRPr="00E3232D">
        <w:rPr>
          <w:rFonts w:ascii="Book Antiqua" w:hAnsi="Book Antiqua"/>
        </w:rPr>
        <w:t xml:space="preserve"> </w:t>
      </w:r>
      <w:r w:rsidRPr="00E3232D">
        <w:rPr>
          <w:rFonts w:ascii="Book Antiqua" w:hAnsi="Book Antiqua"/>
          <w:spacing w:val="7"/>
        </w:rPr>
        <w:t>micro</w:t>
      </w:r>
      <w:r w:rsidRPr="00E3232D">
        <w:rPr>
          <w:rFonts w:ascii="Book Antiqua" w:hAnsi="Book Antiqua"/>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50"/>
        </w:rPr>
        <w:t xml:space="preserve"> </w:t>
      </w:r>
      <w:r w:rsidRPr="00E3232D">
        <w:rPr>
          <w:rFonts w:ascii="Book Antiqua" w:hAnsi="Book Antiqua"/>
        </w:rPr>
        <w:t>b</w:t>
      </w:r>
      <w:r w:rsidRPr="00E3232D">
        <w:rPr>
          <w:rFonts w:ascii="Book Antiqua" w:hAnsi="Book Antiqua"/>
          <w:spacing w:val="2"/>
        </w:rPr>
        <w:t>o</w:t>
      </w:r>
      <w:r w:rsidRPr="00E3232D">
        <w:rPr>
          <w:rFonts w:ascii="Book Antiqua" w:hAnsi="Book Antiqua"/>
        </w:rPr>
        <w:t>r</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w</w:t>
      </w:r>
      <w:r w:rsidRPr="00E3232D">
        <w:rPr>
          <w:rFonts w:ascii="Book Antiqua" w:hAnsi="Book Antiqua"/>
          <w:spacing w:val="-1"/>
        </w:rPr>
        <w:t>e</w:t>
      </w:r>
      <w:r w:rsidRPr="00E3232D">
        <w:rPr>
          <w:rFonts w:ascii="Book Antiqua" w:hAnsi="Book Antiqua"/>
          <w:spacing w:val="1"/>
        </w:rPr>
        <w:t>r</w:t>
      </w:r>
      <w:r w:rsidRPr="00E3232D">
        <w:rPr>
          <w:rFonts w:ascii="Book Antiqua" w:hAnsi="Book Antiqua"/>
        </w:rPr>
        <w:t>s</w:t>
      </w:r>
      <w:r w:rsidRPr="00E3232D">
        <w:rPr>
          <w:rFonts w:ascii="Book Antiqua" w:hAnsi="Book Antiqua"/>
          <w:spacing w:val="50"/>
        </w:rPr>
        <w:t xml:space="preserve"> </w:t>
      </w:r>
      <w:r w:rsidRPr="00E3232D">
        <w:rPr>
          <w:rFonts w:ascii="Book Antiqua" w:hAnsi="Book Antiqua"/>
          <w:spacing w:val="-1"/>
        </w:rPr>
        <w:t>a</w:t>
      </w:r>
      <w:r w:rsidRPr="00E3232D">
        <w:rPr>
          <w:rFonts w:ascii="Book Antiqua" w:hAnsi="Book Antiqua"/>
        </w:rPr>
        <w:t>re</w:t>
      </w:r>
      <w:r w:rsidRPr="00E3232D">
        <w:rPr>
          <w:rFonts w:ascii="Book Antiqua" w:hAnsi="Book Antiqua"/>
          <w:spacing w:val="48"/>
        </w:rPr>
        <w:t xml:space="preserve"> </w:t>
      </w:r>
      <w:r w:rsidRPr="00E3232D">
        <w:rPr>
          <w:rFonts w:ascii="Book Antiqua" w:hAnsi="Book Antiqua"/>
        </w:rPr>
        <w:t>o</w:t>
      </w:r>
      <w:r w:rsidRPr="00E3232D">
        <w:rPr>
          <w:rFonts w:ascii="Book Antiqua" w:hAnsi="Book Antiqua"/>
          <w:spacing w:val="2"/>
        </w:rPr>
        <w:t>p</w:t>
      </w:r>
      <w:r w:rsidRPr="00E3232D">
        <w:rPr>
          <w:rFonts w:ascii="Book Antiqua" w:hAnsi="Book Antiqua"/>
          <w:spacing w:val="-1"/>
        </w:rPr>
        <w:t>e</w:t>
      </w:r>
      <w:r w:rsidRPr="00E3232D">
        <w:rPr>
          <w:rFonts w:ascii="Book Antiqua" w:hAnsi="Book Antiqua"/>
        </w:rPr>
        <w:t>n</w:t>
      </w:r>
      <w:r w:rsidRPr="00E3232D">
        <w:rPr>
          <w:rFonts w:ascii="Book Antiqua" w:hAnsi="Book Antiqua"/>
          <w:spacing w:val="50"/>
        </w:rPr>
        <w:t xml:space="preserve"> </w:t>
      </w:r>
      <w:r w:rsidRPr="00E3232D">
        <w:rPr>
          <w:rFonts w:ascii="Book Antiqua" w:hAnsi="Book Antiqua"/>
        </w:rPr>
        <w:t>t</w:t>
      </w:r>
      <w:r w:rsidRPr="00E3232D">
        <w:rPr>
          <w:rFonts w:ascii="Book Antiqua" w:hAnsi="Book Antiqua"/>
          <w:spacing w:val="4"/>
        </w:rPr>
        <w:t>o</w:t>
      </w:r>
      <w:r w:rsidRPr="00E3232D">
        <w:rPr>
          <w:rFonts w:ascii="Book Antiqua" w:hAnsi="Book Antiqua"/>
        </w:rPr>
        <w:t>,</w:t>
      </w:r>
      <w:r w:rsidRPr="00E3232D">
        <w:rPr>
          <w:rFonts w:ascii="Book Antiqua" w:hAnsi="Book Antiqua"/>
          <w:spacing w:val="50"/>
        </w:rPr>
        <w:t xml:space="preserve"> </w:t>
      </w:r>
      <w:r w:rsidRPr="00E3232D">
        <w:rPr>
          <w:rFonts w:ascii="Book Antiqua" w:hAnsi="Book Antiqua"/>
        </w:rPr>
        <w:t>one</w:t>
      </w:r>
      <w:r w:rsidRPr="00E3232D">
        <w:rPr>
          <w:rFonts w:ascii="Book Antiqua" w:hAnsi="Book Antiqua"/>
          <w:spacing w:val="52"/>
        </w:rPr>
        <w:t xml:space="preserve"> </w:t>
      </w:r>
      <w:r w:rsidRPr="00E3232D">
        <w:rPr>
          <w:rFonts w:ascii="Book Antiqua" w:hAnsi="Book Antiqua"/>
          <w:spacing w:val="-1"/>
        </w:rPr>
        <w:t>ca</w:t>
      </w:r>
      <w:r w:rsidRPr="00E3232D">
        <w:rPr>
          <w:rFonts w:ascii="Book Antiqua" w:hAnsi="Book Antiqua"/>
        </w:rPr>
        <w:t>n</w:t>
      </w:r>
      <w:r w:rsidRPr="00E3232D">
        <w:rPr>
          <w:rFonts w:ascii="Book Antiqua" w:hAnsi="Book Antiqua"/>
          <w:spacing w:val="53"/>
        </w:rPr>
        <w:t xml:space="preserve"> </w:t>
      </w:r>
      <w:r w:rsidRPr="00E3232D">
        <w:rPr>
          <w:rFonts w:ascii="Book Antiqua" w:hAnsi="Book Antiqua"/>
        </w:rPr>
        <w:t>talk</w:t>
      </w:r>
      <w:r w:rsidRPr="00E3232D">
        <w:rPr>
          <w:rFonts w:ascii="Book Antiqua" w:hAnsi="Book Antiqua"/>
          <w:spacing w:val="50"/>
        </w:rPr>
        <w:t xml:space="preserve"> </w:t>
      </w:r>
      <w:r w:rsidRPr="00E3232D">
        <w:rPr>
          <w:rFonts w:ascii="Book Antiqua" w:hAnsi="Book Antiqua"/>
        </w:rPr>
        <w:t>of</w:t>
      </w:r>
      <w:r w:rsidRPr="00E3232D">
        <w:rPr>
          <w:rFonts w:ascii="Book Antiqua" w:hAnsi="Book Antiqua"/>
          <w:spacing w:val="49"/>
        </w:rPr>
        <w:t xml:space="preserve"> </w:t>
      </w:r>
      <w:r w:rsidRPr="00E3232D">
        <w:rPr>
          <w:rFonts w:ascii="Book Antiqua" w:hAnsi="Book Antiqua"/>
          <w:spacing w:val="-1"/>
        </w:rPr>
        <w:t>ea</w:t>
      </w:r>
      <w:r w:rsidRPr="00E3232D">
        <w:rPr>
          <w:rFonts w:ascii="Book Antiqua" w:hAnsi="Book Antiqua"/>
          <w:spacing w:val="5"/>
        </w:rPr>
        <w:t>s</w:t>
      </w:r>
      <w:r w:rsidRPr="00E3232D">
        <w:rPr>
          <w:rFonts w:ascii="Book Antiqua" w:hAnsi="Book Antiqua"/>
        </w:rPr>
        <w:t>y</w:t>
      </w:r>
      <w:r w:rsidRPr="00E3232D">
        <w:rPr>
          <w:rFonts w:ascii="Book Antiqua" w:hAnsi="Book Antiqua"/>
          <w:spacing w:val="48"/>
        </w:rPr>
        <w:t xml:space="preserve"> </w:t>
      </w:r>
      <w:r w:rsidRPr="00E3232D">
        <w:rPr>
          <w:rFonts w:ascii="Book Antiqua" w:hAnsi="Book Antiqua"/>
          <w:spacing w:val="-1"/>
        </w:rPr>
        <w:t>a</w:t>
      </w:r>
      <w:r w:rsidRPr="00E3232D">
        <w:rPr>
          <w:rFonts w:ascii="Book Antiqua" w:hAnsi="Book Antiqua"/>
          <w:spacing w:val="1"/>
        </w:rPr>
        <w:t>c</w:t>
      </w:r>
      <w:r w:rsidRPr="00E3232D">
        <w:rPr>
          <w:rFonts w:ascii="Book Antiqua" w:hAnsi="Book Antiqua"/>
          <w:spacing w:val="-1"/>
        </w:rPr>
        <w:t>ce</w:t>
      </w:r>
      <w:r w:rsidRPr="00E3232D">
        <w:rPr>
          <w:rFonts w:ascii="Book Antiqua" w:hAnsi="Book Antiqua"/>
        </w:rPr>
        <w:t>ss</w:t>
      </w:r>
      <w:r w:rsidRPr="00E3232D">
        <w:rPr>
          <w:rFonts w:ascii="Book Antiqua" w:hAnsi="Book Antiqua"/>
          <w:spacing w:val="51"/>
        </w:rPr>
        <w:t xml:space="preserve"> </w:t>
      </w:r>
      <w:r w:rsidRPr="00E3232D">
        <w:rPr>
          <w:rFonts w:ascii="Book Antiqua" w:hAnsi="Book Antiqua"/>
        </w:rPr>
        <w:t>to</w:t>
      </w:r>
      <w:r w:rsidRPr="00E3232D">
        <w:rPr>
          <w:rFonts w:ascii="Book Antiqua" w:hAnsi="Book Antiqua"/>
          <w:spacing w:val="51"/>
        </w:rPr>
        <w:t xml:space="preserve"> </w:t>
      </w:r>
      <w:r w:rsidRPr="00E3232D">
        <w:rPr>
          <w:rFonts w:ascii="Book Antiqua" w:hAnsi="Book Antiqua"/>
          <w:spacing w:val="1"/>
        </w:rPr>
        <w:t>c</w:t>
      </w:r>
      <w:r w:rsidRPr="00E3232D">
        <w:rPr>
          <w:rFonts w:ascii="Book Antiqua" w:hAnsi="Book Antiqua"/>
        </w:rPr>
        <w:t>r</w:t>
      </w:r>
      <w:r w:rsidRPr="00E3232D">
        <w:rPr>
          <w:rFonts w:ascii="Book Antiqua" w:hAnsi="Book Antiqua"/>
          <w:spacing w:val="-2"/>
        </w:rPr>
        <w:t>e</w:t>
      </w:r>
      <w:r w:rsidRPr="00E3232D">
        <w:rPr>
          <w:rFonts w:ascii="Book Antiqua" w:hAnsi="Book Antiqua"/>
        </w:rPr>
        <w:t>di</w:t>
      </w:r>
      <w:r w:rsidRPr="00E3232D">
        <w:rPr>
          <w:rFonts w:ascii="Book Antiqua" w:hAnsi="Book Antiqua"/>
          <w:spacing w:val="1"/>
        </w:rPr>
        <w:t>t</w:t>
      </w:r>
      <w:r w:rsidRPr="00E3232D">
        <w:rPr>
          <w:rFonts w:ascii="Book Antiqua" w:hAnsi="Book Antiqua"/>
        </w:rPr>
        <w:t>.</w:t>
      </w:r>
      <w:r w:rsidRPr="00E3232D">
        <w:rPr>
          <w:rFonts w:ascii="Book Antiqua" w:hAnsi="Book Antiqua"/>
          <w:spacing w:val="50"/>
        </w:rPr>
        <w:t xml:space="preserve"> </w:t>
      </w:r>
      <w:r w:rsidRPr="00E3232D">
        <w:rPr>
          <w:rFonts w:ascii="Book Antiqua" w:hAnsi="Book Antiqua"/>
        </w:rPr>
        <w:t>This</w:t>
      </w:r>
      <w:r w:rsidRPr="00E3232D">
        <w:rPr>
          <w:rFonts w:ascii="Book Antiqua" w:hAnsi="Book Antiqua"/>
          <w:spacing w:val="51"/>
        </w:rPr>
        <w:t xml:space="preserve"> </w:t>
      </w:r>
      <w:r w:rsidRPr="00E3232D">
        <w:rPr>
          <w:rFonts w:ascii="Book Antiqua" w:hAnsi="Book Antiqua"/>
        </w:rPr>
        <w:t>is b</w:t>
      </w:r>
      <w:r w:rsidRPr="00E3232D">
        <w:rPr>
          <w:rFonts w:ascii="Book Antiqua" w:hAnsi="Book Antiqua"/>
          <w:spacing w:val="-1"/>
        </w:rPr>
        <w:t>eca</w:t>
      </w:r>
      <w:r w:rsidRPr="00E3232D">
        <w:rPr>
          <w:rFonts w:ascii="Book Antiqua" w:hAnsi="Book Antiqua"/>
        </w:rPr>
        <w:t>use</w:t>
      </w:r>
      <w:r w:rsidRPr="00E3232D">
        <w:rPr>
          <w:rFonts w:ascii="Book Antiqua" w:hAnsi="Book Antiqua"/>
          <w:spacing w:val="9"/>
        </w:rPr>
        <w:t xml:space="preserve"> </w:t>
      </w:r>
      <w:r w:rsidRPr="00E3232D">
        <w:rPr>
          <w:rFonts w:ascii="Book Antiqua" w:hAnsi="Book Antiqua"/>
          <w:spacing w:val="-1"/>
        </w:rPr>
        <w:t>ac</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ss</w:t>
      </w:r>
      <w:r w:rsidRPr="00E3232D">
        <w:rPr>
          <w:rFonts w:ascii="Book Antiqua" w:hAnsi="Book Antiqua"/>
          <w:spacing w:val="1"/>
        </w:rPr>
        <w:t>i</w:t>
      </w:r>
      <w:r w:rsidRPr="00E3232D">
        <w:rPr>
          <w:rFonts w:ascii="Book Antiqua" w:hAnsi="Book Antiqua"/>
        </w:rPr>
        <w:t>bi</w:t>
      </w:r>
      <w:r w:rsidRPr="00E3232D">
        <w:rPr>
          <w:rFonts w:ascii="Book Antiqua" w:hAnsi="Book Antiqua"/>
          <w:spacing w:val="1"/>
        </w:rPr>
        <w:t>l</w:t>
      </w:r>
      <w:r w:rsidRPr="00E3232D">
        <w:rPr>
          <w:rFonts w:ascii="Book Antiqua" w:hAnsi="Book Antiqua"/>
        </w:rPr>
        <w:t>i</w:t>
      </w:r>
      <w:r w:rsidRPr="00E3232D">
        <w:rPr>
          <w:rFonts w:ascii="Book Antiqua" w:hAnsi="Book Antiqua"/>
          <w:spacing w:val="3"/>
        </w:rPr>
        <w:t>t</w:t>
      </w:r>
      <w:r w:rsidRPr="00E3232D">
        <w:rPr>
          <w:rFonts w:ascii="Book Antiqua" w:hAnsi="Book Antiqua"/>
        </w:rPr>
        <w:t>y of</w:t>
      </w:r>
      <w:r w:rsidRPr="00E3232D">
        <w:rPr>
          <w:rFonts w:ascii="Book Antiqua" w:hAnsi="Book Antiqua"/>
          <w:spacing w:val="6"/>
        </w:rPr>
        <w:t xml:space="preserve"> </w:t>
      </w:r>
      <w:r w:rsidRPr="00E3232D">
        <w:rPr>
          <w:rFonts w:ascii="Book Antiqua" w:hAnsi="Book Antiqua"/>
          <w:spacing w:val="3"/>
        </w:rPr>
        <w:t>l</w:t>
      </w:r>
      <w:r w:rsidRPr="00E3232D">
        <w:rPr>
          <w:rFonts w:ascii="Book Antiqua" w:hAnsi="Book Antiqua"/>
        </w:rPr>
        <w:t>o</w:t>
      </w:r>
      <w:r w:rsidRPr="00E3232D">
        <w:rPr>
          <w:rFonts w:ascii="Book Antiqua" w:hAnsi="Book Antiqua"/>
          <w:spacing w:val="-1"/>
        </w:rPr>
        <w:t>a</w:t>
      </w:r>
      <w:r w:rsidRPr="00E3232D">
        <w:rPr>
          <w:rFonts w:ascii="Book Antiqua" w:hAnsi="Book Antiqua"/>
        </w:rPr>
        <w:t>n</w:t>
      </w:r>
      <w:r w:rsidRPr="00E3232D">
        <w:rPr>
          <w:rFonts w:ascii="Book Antiqua" w:hAnsi="Book Antiqua"/>
          <w:spacing w:val="7"/>
        </w:rPr>
        <w:t xml:space="preserve"> </w:t>
      </w:r>
      <w:r w:rsidRPr="00E3232D">
        <w:rPr>
          <w:rFonts w:ascii="Book Antiqua" w:hAnsi="Book Antiqua"/>
          <w:spacing w:val="2"/>
        </w:rPr>
        <w:t>b</w:t>
      </w:r>
      <w:r w:rsidRPr="00E3232D">
        <w:rPr>
          <w:rFonts w:ascii="Book Antiqua" w:hAnsi="Book Antiqua"/>
        </w:rPr>
        <w:t>y</w:t>
      </w:r>
      <w:r w:rsidRPr="00E3232D">
        <w:rPr>
          <w:rFonts w:ascii="Book Antiqua" w:hAnsi="Book Antiqua"/>
          <w:spacing w:val="2"/>
        </w:rPr>
        <w:t xml:space="preserve"> </w:t>
      </w:r>
      <w:r w:rsidRPr="00E3232D">
        <w:rPr>
          <w:rFonts w:ascii="Book Antiqua" w:hAnsi="Book Antiqua"/>
        </w:rPr>
        <w:t>these</w:t>
      </w:r>
      <w:r w:rsidRPr="00E3232D">
        <w:rPr>
          <w:rFonts w:ascii="Book Antiqua" w:hAnsi="Book Antiqua"/>
          <w:spacing w:val="6"/>
        </w:rPr>
        <w:t xml:space="preserve"> </w:t>
      </w:r>
      <w:r w:rsidRPr="00E3232D">
        <w:rPr>
          <w:rFonts w:ascii="Book Antiqua" w:hAnsi="Book Antiqua"/>
        </w:rPr>
        <w:t>p</w:t>
      </w:r>
      <w:r w:rsidRPr="00E3232D">
        <w:rPr>
          <w:rFonts w:ascii="Book Antiqua" w:hAnsi="Book Antiqua"/>
          <w:spacing w:val="-1"/>
        </w:rPr>
        <w:t>e</w:t>
      </w:r>
      <w:r w:rsidRPr="00E3232D">
        <w:rPr>
          <w:rFonts w:ascii="Book Antiqua" w:hAnsi="Book Antiqua"/>
        </w:rPr>
        <w:t>ople</w:t>
      </w:r>
      <w:r w:rsidRPr="00E3232D">
        <w:rPr>
          <w:rFonts w:ascii="Book Antiqua" w:hAnsi="Book Antiqua"/>
          <w:spacing w:val="7"/>
        </w:rPr>
        <w:t xml:space="preserve"> </w:t>
      </w:r>
      <w:r w:rsidRPr="00E3232D">
        <w:rPr>
          <w:rFonts w:ascii="Book Antiqua" w:hAnsi="Book Antiqua"/>
        </w:rPr>
        <w:t>do</w:t>
      </w:r>
      <w:r w:rsidRPr="00E3232D">
        <w:rPr>
          <w:rFonts w:ascii="Book Antiqua" w:hAnsi="Book Antiqua"/>
          <w:spacing w:val="-1"/>
        </w:rPr>
        <w:t>e</w:t>
      </w:r>
      <w:r w:rsidRPr="00E3232D">
        <w:rPr>
          <w:rFonts w:ascii="Book Antiqua" w:hAnsi="Book Antiqua"/>
        </w:rPr>
        <w:t>s</w:t>
      </w:r>
      <w:r w:rsidRPr="00E3232D">
        <w:rPr>
          <w:rFonts w:ascii="Book Antiqua" w:hAnsi="Book Antiqua"/>
          <w:spacing w:val="10"/>
        </w:rPr>
        <w:t xml:space="preserve"> </w:t>
      </w:r>
      <w:r w:rsidRPr="00E3232D">
        <w:rPr>
          <w:rFonts w:ascii="Book Antiqua" w:hAnsi="Book Antiqua"/>
        </w:rPr>
        <w:t>not</w:t>
      </w:r>
      <w:r w:rsidRPr="00E3232D">
        <w:rPr>
          <w:rFonts w:ascii="Book Antiqua" w:hAnsi="Book Antiqua"/>
          <w:spacing w:val="8"/>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e</w:t>
      </w:r>
      <w:r w:rsidRPr="00E3232D">
        <w:rPr>
          <w:rFonts w:ascii="Book Antiqua" w:hAnsi="Book Antiqua"/>
        </w:rPr>
        <w:t>nd</w:t>
      </w:r>
      <w:r w:rsidRPr="00E3232D">
        <w:rPr>
          <w:rFonts w:ascii="Book Antiqua" w:hAnsi="Book Antiqua"/>
          <w:spacing w:val="7"/>
        </w:rPr>
        <w:t xml:space="preserve"> </w:t>
      </w:r>
      <w:r w:rsidRPr="00E3232D">
        <w:rPr>
          <w:rFonts w:ascii="Book Antiqua" w:hAnsi="Book Antiqua"/>
        </w:rPr>
        <w:t>on</w:t>
      </w:r>
      <w:r w:rsidRPr="00E3232D">
        <w:rPr>
          <w:rFonts w:ascii="Book Antiqua" w:hAnsi="Book Antiqua"/>
          <w:spacing w:val="7"/>
        </w:rPr>
        <w:t xml:space="preserve"> </w:t>
      </w:r>
      <w:r w:rsidRPr="00E3232D">
        <w:rPr>
          <w:rFonts w:ascii="Book Antiqua" w:hAnsi="Book Antiqua"/>
          <w:spacing w:val="5"/>
        </w:rPr>
        <w:t>c</w:t>
      </w:r>
      <w:r w:rsidRPr="00E3232D">
        <w:rPr>
          <w:rFonts w:ascii="Book Antiqua" w:hAnsi="Book Antiqua"/>
        </w:rPr>
        <w:t>ol</w:t>
      </w:r>
      <w:r w:rsidRPr="00E3232D">
        <w:rPr>
          <w:rFonts w:ascii="Book Antiqua" w:hAnsi="Book Antiqua"/>
          <w:spacing w:val="1"/>
        </w:rPr>
        <w:t>l</w:t>
      </w:r>
      <w:r w:rsidRPr="00E3232D">
        <w:rPr>
          <w:rFonts w:ascii="Book Antiqua" w:hAnsi="Book Antiqua"/>
          <w:spacing w:val="-1"/>
        </w:rPr>
        <w:t>a</w:t>
      </w:r>
      <w:r w:rsidRPr="00E3232D">
        <w:rPr>
          <w:rFonts w:ascii="Book Antiqua" w:hAnsi="Book Antiqua"/>
        </w:rPr>
        <w:t>te</w:t>
      </w:r>
      <w:r w:rsidRPr="00E3232D">
        <w:rPr>
          <w:rFonts w:ascii="Book Antiqua" w:hAnsi="Book Antiqua"/>
          <w:spacing w:val="-1"/>
        </w:rPr>
        <w:t>ra</w:t>
      </w:r>
      <w:r w:rsidRPr="00E3232D">
        <w:rPr>
          <w:rFonts w:ascii="Book Antiqua" w:hAnsi="Book Antiqua"/>
        </w:rPr>
        <w:t>l</w:t>
      </w:r>
      <w:r w:rsidRPr="00E3232D">
        <w:rPr>
          <w:rFonts w:ascii="Book Antiqua" w:hAnsi="Book Antiqua"/>
          <w:spacing w:val="8"/>
        </w:rPr>
        <w:t xml:space="preserve"> </w:t>
      </w:r>
      <w:r w:rsidRPr="00E3232D">
        <w:rPr>
          <w:rFonts w:ascii="Book Antiqua" w:hAnsi="Book Antiqua"/>
        </w:rPr>
        <w:t>but</w:t>
      </w:r>
      <w:r w:rsidRPr="00E3232D">
        <w:rPr>
          <w:rFonts w:ascii="Book Antiqua" w:hAnsi="Book Antiqua"/>
          <w:spacing w:val="8"/>
        </w:rPr>
        <w:t xml:space="preserve"> </w:t>
      </w:r>
      <w:r w:rsidRPr="00E3232D">
        <w:rPr>
          <w:rFonts w:ascii="Book Antiqua" w:hAnsi="Book Antiqua"/>
        </w:rPr>
        <w:t>on</w:t>
      </w:r>
      <w:r w:rsidRPr="00E3232D">
        <w:rPr>
          <w:rFonts w:ascii="Book Antiqua" w:hAnsi="Book Antiqua"/>
          <w:spacing w:val="7"/>
        </w:rPr>
        <w:t xml:space="preserve"> </w:t>
      </w:r>
      <w:r w:rsidRPr="00E3232D">
        <w:rPr>
          <w:rFonts w:ascii="Book Antiqua" w:hAnsi="Book Antiqua"/>
          <w:spacing w:val="-2"/>
        </w:rPr>
        <w:t>g</w:t>
      </w:r>
      <w:r w:rsidRPr="00E3232D">
        <w:rPr>
          <w:rFonts w:ascii="Book Antiqua" w:hAnsi="Book Antiqua"/>
        </w:rPr>
        <w:t>roup fo</w:t>
      </w:r>
      <w:r w:rsidRPr="00E3232D">
        <w:rPr>
          <w:rFonts w:ascii="Book Antiqua" w:hAnsi="Book Antiqua"/>
          <w:spacing w:val="-1"/>
        </w:rPr>
        <w:t>r</w:t>
      </w:r>
      <w:r w:rsidRPr="00E3232D">
        <w:rPr>
          <w:rFonts w:ascii="Book Antiqua" w:hAnsi="Book Antiqua"/>
        </w:rPr>
        <w:t>mation.</w:t>
      </w:r>
      <w:r w:rsidRPr="00E3232D">
        <w:rPr>
          <w:rFonts w:ascii="Book Antiqua" w:hAnsi="Book Antiqua"/>
          <w:spacing w:val="3"/>
        </w:rPr>
        <w:t xml:space="preserve"> </w:t>
      </w:r>
      <w:r w:rsidRPr="00E3232D">
        <w:rPr>
          <w:rFonts w:ascii="Book Antiqua" w:hAnsi="Book Antiqua"/>
        </w:rPr>
        <w:t>On</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rPr>
        <w:t>p</w:t>
      </w:r>
      <w:r w:rsidRPr="00E3232D">
        <w:rPr>
          <w:rFonts w:ascii="Book Antiqua" w:hAnsi="Book Antiqua"/>
          <w:spacing w:val="-1"/>
        </w:rPr>
        <w:t>a</w:t>
      </w:r>
      <w:r w:rsidRPr="00E3232D">
        <w:rPr>
          <w:rFonts w:ascii="Book Antiqua" w:hAnsi="Book Antiqua"/>
        </w:rPr>
        <w:t>rt</w:t>
      </w:r>
      <w:r w:rsidRPr="00E3232D">
        <w:rPr>
          <w:rFonts w:ascii="Book Antiqua" w:hAnsi="Book Antiqua"/>
          <w:spacing w:val="2"/>
        </w:rPr>
        <w:t xml:space="preserve"> o</w:t>
      </w:r>
      <w:r w:rsidRPr="00E3232D">
        <w:rPr>
          <w:rFonts w:ascii="Book Antiqua" w:hAnsi="Book Antiqua"/>
        </w:rPr>
        <w:t>f</w:t>
      </w:r>
      <w:r w:rsidRPr="00E3232D">
        <w:rPr>
          <w:rFonts w:ascii="Book Antiqua" w:hAnsi="Book Antiqua"/>
          <w:spacing w:val="4"/>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st</w:t>
      </w:r>
      <w:r w:rsidRPr="00E3232D">
        <w:rPr>
          <w:rFonts w:ascii="Book Antiqua" w:hAnsi="Book Antiqua"/>
          <w:spacing w:val="3"/>
        </w:rPr>
        <w:t xml:space="preserve"> </w:t>
      </w:r>
      <w:r w:rsidRPr="00E3232D">
        <w:rPr>
          <w:rFonts w:ascii="Book Antiqua" w:hAnsi="Book Antiqua"/>
        </w:rPr>
        <w:t>p</w:t>
      </w:r>
      <w:r w:rsidRPr="00E3232D">
        <w:rPr>
          <w:rFonts w:ascii="Book Antiqua" w:hAnsi="Book Antiqua"/>
          <w:spacing w:val="4"/>
        </w:rPr>
        <w:t>a</w:t>
      </w:r>
      <w:r w:rsidRPr="00E3232D">
        <w:rPr>
          <w:rFonts w:ascii="Book Antiqua" w:hAnsi="Book Antiqua"/>
          <w:spacing w:val="-5"/>
        </w:rPr>
        <w:t>y</w:t>
      </w:r>
      <w:r w:rsidRPr="00E3232D">
        <w:rPr>
          <w:rFonts w:ascii="Book Antiqua" w:hAnsi="Book Antiqua"/>
        </w:rPr>
        <w:t>ments,</w:t>
      </w:r>
      <w:r w:rsidRPr="00E3232D">
        <w:rPr>
          <w:rFonts w:ascii="Book Antiqua" w:hAnsi="Book Antiqua"/>
          <w:spacing w:val="2"/>
        </w:rPr>
        <w:t xml:space="preserve"> </w:t>
      </w:r>
      <w:r w:rsidRPr="00E3232D">
        <w:rPr>
          <w:rFonts w:ascii="Book Antiqua" w:hAnsi="Book Antiqua"/>
        </w:rPr>
        <w:t>th</w:t>
      </w:r>
      <w:r w:rsidRPr="00E3232D">
        <w:rPr>
          <w:rFonts w:ascii="Book Antiqua" w:hAnsi="Book Antiqua"/>
          <w:spacing w:val="4"/>
        </w:rPr>
        <w:t>e</w:t>
      </w:r>
      <w:r w:rsidRPr="00E3232D">
        <w:rPr>
          <w:rFonts w:ascii="Book Antiqua" w:hAnsi="Book Antiqua"/>
        </w:rPr>
        <w:t>y do</w:t>
      </w:r>
      <w:r w:rsidRPr="00E3232D">
        <w:rPr>
          <w:rFonts w:ascii="Book Antiqua" w:hAnsi="Book Antiqua"/>
          <w:spacing w:val="2"/>
        </w:rPr>
        <w:t xml:space="preserve"> </w:t>
      </w:r>
      <w:r w:rsidRPr="00E3232D">
        <w:rPr>
          <w:rFonts w:ascii="Book Antiqua" w:hAnsi="Book Antiqua"/>
        </w:rPr>
        <w:t>not</w:t>
      </w:r>
      <w:r w:rsidRPr="00E3232D">
        <w:rPr>
          <w:rFonts w:ascii="Book Antiqua" w:hAnsi="Book Antiqua"/>
          <w:spacing w:val="3"/>
        </w:rPr>
        <w:t xml:space="preserve"> </w:t>
      </w:r>
      <w:r w:rsidRPr="00E3232D">
        <w:rPr>
          <w:rFonts w:ascii="Book Antiqua" w:hAnsi="Book Antiqua"/>
        </w:rPr>
        <w:t>know</w:t>
      </w:r>
      <w:r w:rsidRPr="00E3232D">
        <w:rPr>
          <w:rFonts w:ascii="Book Antiqua" w:hAnsi="Book Antiqua"/>
          <w:spacing w:val="2"/>
        </w:rPr>
        <w:t xml:space="preserve"> </w:t>
      </w:r>
      <w:r w:rsidRPr="00E3232D">
        <w:rPr>
          <w:rFonts w:ascii="Book Antiqua" w:hAnsi="Book Antiqua"/>
        </w:rPr>
        <w:t>how</w:t>
      </w:r>
      <w:r w:rsidRPr="00E3232D">
        <w:rPr>
          <w:rFonts w:ascii="Book Antiqua" w:hAnsi="Book Antiqua"/>
          <w:spacing w:val="2"/>
        </w:rPr>
        <w:t xml:space="preserve"> </w:t>
      </w:r>
      <w:r w:rsidRPr="00E3232D">
        <w:rPr>
          <w:rFonts w:ascii="Book Antiqua" w:hAnsi="Book Antiqua"/>
        </w:rPr>
        <w:t>much</w:t>
      </w:r>
      <w:r w:rsidRPr="00E3232D">
        <w:rPr>
          <w:rFonts w:ascii="Book Antiqua" w:hAnsi="Book Antiqua"/>
          <w:spacing w:val="2"/>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e</w:t>
      </w:r>
      <w:r w:rsidRPr="00E3232D">
        <w:rPr>
          <w:rFonts w:ascii="Book Antiqua" w:hAnsi="Book Antiqua"/>
        </w:rPr>
        <w:t>st</w:t>
      </w:r>
      <w:r w:rsidRPr="00E3232D">
        <w:rPr>
          <w:rFonts w:ascii="Book Antiqua" w:hAnsi="Book Antiqua"/>
          <w:spacing w:val="3"/>
        </w:rPr>
        <w:t xml:space="preserve"> </w:t>
      </w:r>
      <w:r w:rsidRPr="00E3232D">
        <w:rPr>
          <w:rFonts w:ascii="Book Antiqua" w:hAnsi="Book Antiqua"/>
        </w:rPr>
        <w:t>th</w:t>
      </w:r>
      <w:r w:rsidRPr="00E3232D">
        <w:rPr>
          <w:rFonts w:ascii="Book Antiqua" w:hAnsi="Book Antiqua"/>
          <w:spacing w:val="4"/>
        </w:rPr>
        <w:t>e</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spacing w:val="1"/>
        </w:rPr>
        <w:t>r</w:t>
      </w:r>
      <w:r w:rsidRPr="00E3232D">
        <w:rPr>
          <w:rFonts w:ascii="Book Antiqua" w:hAnsi="Book Antiqua"/>
        </w:rPr>
        <w:t>e p</w:t>
      </w:r>
      <w:r w:rsidRPr="00E3232D">
        <w:rPr>
          <w:rFonts w:ascii="Book Antiqua" w:hAnsi="Book Antiqua"/>
          <w:spacing w:val="1"/>
        </w:rPr>
        <w:t>a</w:t>
      </w:r>
      <w:r w:rsidRPr="00E3232D">
        <w:rPr>
          <w:rFonts w:ascii="Book Antiqua" w:hAnsi="Book Antiqua"/>
          <w:spacing w:val="-5"/>
        </w:rPr>
        <w:t>y</w:t>
      </w:r>
      <w:r w:rsidRPr="00E3232D">
        <w:rPr>
          <w:rFonts w:ascii="Book Antiqua" w:hAnsi="Book Antiqua"/>
        </w:rPr>
        <w:t>i</w:t>
      </w:r>
      <w:r w:rsidRPr="00E3232D">
        <w:rPr>
          <w:rFonts w:ascii="Book Antiqua" w:hAnsi="Book Antiqua"/>
          <w:spacing w:val="3"/>
        </w:rPr>
        <w:t>n</w:t>
      </w:r>
      <w:r w:rsidRPr="00E3232D">
        <w:rPr>
          <w:rFonts w:ascii="Book Antiqua" w:hAnsi="Book Antiqua"/>
        </w:rPr>
        <w:t>g to</w:t>
      </w:r>
      <w:r w:rsidRPr="00E3232D">
        <w:rPr>
          <w:rFonts w:ascii="Book Antiqua" w:hAnsi="Book Antiqua"/>
          <w:spacing w:val="3"/>
        </w:rPr>
        <w:t xml:space="preserve"> </w:t>
      </w:r>
      <w:r w:rsidRPr="00E3232D">
        <w:rPr>
          <w:rFonts w:ascii="Book Antiqua" w:hAnsi="Book Antiqua"/>
        </w:rPr>
        <w:t>these</w:t>
      </w:r>
      <w:r w:rsidRPr="00E3232D">
        <w:rPr>
          <w:rFonts w:ascii="Book Antiqua" w:hAnsi="Book Antiqua"/>
          <w:spacing w:val="4"/>
        </w:rPr>
        <w:t xml:space="preserve"> </w:t>
      </w:r>
      <w:r w:rsidRPr="00E3232D">
        <w:rPr>
          <w:rFonts w:ascii="Book Antiqua" w:hAnsi="Book Antiqua"/>
          <w:spacing w:val="-1"/>
        </w:rPr>
        <w:t>c</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dit</w:t>
      </w:r>
      <w:r w:rsidRPr="00E3232D">
        <w:rPr>
          <w:rFonts w:ascii="Book Antiqua" w:hAnsi="Book Antiqua"/>
          <w:spacing w:val="3"/>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ovide</w:t>
      </w:r>
      <w:r w:rsidRPr="00E3232D">
        <w:rPr>
          <w:rFonts w:ascii="Book Antiqua" w:hAnsi="Book Antiqua"/>
          <w:spacing w:val="-1"/>
        </w:rPr>
        <w:t>r</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And</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such</w:t>
      </w:r>
      <w:r w:rsidRPr="00E3232D">
        <w:rPr>
          <w:rFonts w:ascii="Book Antiqua" w:hAnsi="Book Antiqua"/>
          <w:spacing w:val="2"/>
        </w:rPr>
        <w:t xml:space="preserve"> </w:t>
      </w:r>
      <w:r w:rsidRPr="00E3232D">
        <w:rPr>
          <w:rFonts w:ascii="Book Antiqua" w:hAnsi="Book Antiqua"/>
        </w:rPr>
        <w:t>th</w:t>
      </w:r>
      <w:r w:rsidRPr="00E3232D">
        <w:rPr>
          <w:rFonts w:ascii="Book Antiqua" w:hAnsi="Book Antiqua"/>
          <w:spacing w:val="1"/>
        </w:rPr>
        <w:t>i</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rPr>
        <w:t>put</w:t>
      </w:r>
      <w:r w:rsidRPr="00E3232D">
        <w:rPr>
          <w:rFonts w:ascii="Book Antiqua" w:hAnsi="Book Antiqua"/>
          <w:spacing w:val="3"/>
        </w:rPr>
        <w:t xml:space="preserve"> </w:t>
      </w:r>
      <w:r w:rsidRPr="00E3232D">
        <w:rPr>
          <w:rFonts w:ascii="Book Antiqua" w:hAnsi="Book Antiqua"/>
        </w:rPr>
        <w:t>a</w:t>
      </w:r>
      <w:r w:rsidRPr="00E3232D">
        <w:rPr>
          <w:rFonts w:ascii="Book Antiqua" w:hAnsi="Book Antiqua"/>
          <w:spacing w:val="2"/>
        </w:rPr>
        <w:t xml:space="preserve"> </w:t>
      </w:r>
      <w:r w:rsidRPr="00E3232D">
        <w:rPr>
          <w:rFonts w:ascii="Book Antiqua" w:hAnsi="Book Antiqua"/>
        </w:rPr>
        <w:t>qu</w:t>
      </w:r>
      <w:r w:rsidRPr="00E3232D">
        <w:rPr>
          <w:rFonts w:ascii="Book Antiqua" w:hAnsi="Book Antiqua"/>
          <w:spacing w:val="-1"/>
        </w:rPr>
        <w:t>e</w:t>
      </w:r>
      <w:r w:rsidRPr="00E3232D">
        <w:rPr>
          <w:rFonts w:ascii="Book Antiqua" w:hAnsi="Book Antiqua"/>
        </w:rPr>
        <w:t>st</w:t>
      </w:r>
      <w:r w:rsidRPr="00E3232D">
        <w:rPr>
          <w:rFonts w:ascii="Book Antiqua" w:hAnsi="Book Antiqua"/>
          <w:spacing w:val="1"/>
        </w:rPr>
        <w:t>i</w:t>
      </w:r>
      <w:r w:rsidRPr="00E3232D">
        <w:rPr>
          <w:rFonts w:ascii="Book Antiqua" w:hAnsi="Book Antiqua"/>
        </w:rPr>
        <w:t>on</w:t>
      </w:r>
      <w:r w:rsidRPr="00E3232D">
        <w:rPr>
          <w:rFonts w:ascii="Book Antiqua" w:hAnsi="Book Antiqua"/>
          <w:spacing w:val="3"/>
        </w:rPr>
        <w:t xml:space="preserve"> </w:t>
      </w:r>
      <w:r w:rsidRPr="00E3232D">
        <w:rPr>
          <w:rFonts w:ascii="Book Antiqua" w:hAnsi="Book Antiqua"/>
        </w:rPr>
        <w:t>ma</w:t>
      </w:r>
      <w:r w:rsidRPr="00E3232D">
        <w:rPr>
          <w:rFonts w:ascii="Book Antiqua" w:hAnsi="Book Antiqua"/>
          <w:spacing w:val="-1"/>
        </w:rPr>
        <w:t>r</w:t>
      </w:r>
      <w:r w:rsidRPr="00E3232D">
        <w:rPr>
          <w:rFonts w:ascii="Book Antiqua" w:hAnsi="Book Antiqua"/>
        </w:rPr>
        <w:t>k</w:t>
      </w:r>
      <w:r w:rsidRPr="00E3232D">
        <w:rPr>
          <w:rFonts w:ascii="Book Antiqua" w:hAnsi="Book Antiqua"/>
          <w:spacing w:val="3"/>
        </w:rPr>
        <w:t xml:space="preserve"> </w:t>
      </w:r>
      <w:r w:rsidRPr="00E3232D">
        <w:rPr>
          <w:rFonts w:ascii="Book Antiqua" w:hAnsi="Book Antiqua"/>
        </w:rPr>
        <w:t>on</w:t>
      </w:r>
      <w:r w:rsidRPr="00E3232D">
        <w:rPr>
          <w:rFonts w:ascii="Book Antiqua" w:hAnsi="Book Antiqua"/>
          <w:spacing w:val="3"/>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rPr>
        <w:t>kind</w:t>
      </w:r>
      <w:r w:rsidRPr="00E3232D">
        <w:rPr>
          <w:rFonts w:ascii="Book Antiqua" w:hAnsi="Book Antiqua"/>
          <w:spacing w:val="3"/>
        </w:rPr>
        <w:t xml:space="preserve"> </w:t>
      </w:r>
      <w:r w:rsidRPr="00E3232D">
        <w:rPr>
          <w:rFonts w:ascii="Book Antiqua" w:hAnsi="Book Antiqua"/>
        </w:rPr>
        <w:t>of</w:t>
      </w:r>
      <w:r w:rsidRPr="00E3232D">
        <w:rPr>
          <w:rFonts w:ascii="Book Antiqua" w:hAnsi="Book Antiqua"/>
          <w:spacing w:val="2"/>
        </w:rPr>
        <w:t xml:space="preserve"> </w:t>
      </w:r>
      <w:r w:rsidRPr="00E3232D">
        <w:rPr>
          <w:rFonts w:ascii="Book Antiqua" w:hAnsi="Book Antiqua"/>
        </w:rPr>
        <w:t>h</w:t>
      </w:r>
      <w:r w:rsidRPr="00E3232D">
        <w:rPr>
          <w:rFonts w:ascii="Book Antiqua" w:hAnsi="Book Antiqua"/>
          <w:spacing w:val="-1"/>
        </w:rPr>
        <w:t>e</w:t>
      </w:r>
      <w:r w:rsidRPr="00E3232D">
        <w:rPr>
          <w:rFonts w:ascii="Book Antiqua" w:hAnsi="Book Antiqua"/>
        </w:rPr>
        <w:t>lp th</w:t>
      </w:r>
      <w:r w:rsidRPr="00E3232D">
        <w:rPr>
          <w:rFonts w:ascii="Book Antiqua" w:hAnsi="Book Antiqua"/>
          <w:spacing w:val="2"/>
        </w:rPr>
        <w:t>e</w:t>
      </w:r>
      <w:r w:rsidRPr="00E3232D">
        <w:rPr>
          <w:rFonts w:ascii="Book Antiqua" w:hAnsi="Book Antiqua"/>
        </w:rPr>
        <w:t>y</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re</w:t>
      </w:r>
      <w:r w:rsidRPr="00E3232D">
        <w:rPr>
          <w:rFonts w:ascii="Book Antiqua" w:hAnsi="Book Antiqua"/>
          <w:spacing w:val="-2"/>
        </w:rPr>
        <w:t xml:space="preserve"> </w:t>
      </w:r>
      <w:r w:rsidRPr="00E3232D">
        <w:rPr>
          <w:rFonts w:ascii="Book Antiqua" w:hAnsi="Book Antiqua"/>
          <w:spacing w:val="2"/>
        </w:rPr>
        <w:t>o</w:t>
      </w:r>
      <w:r w:rsidRPr="00E3232D">
        <w:rPr>
          <w:rFonts w:ascii="Book Antiqua" w:hAnsi="Book Antiqua"/>
        </w:rPr>
        <w:t>f</w:t>
      </w:r>
      <w:r w:rsidRPr="00E3232D">
        <w:rPr>
          <w:rFonts w:ascii="Book Antiqua" w:hAnsi="Book Antiqua"/>
          <w:spacing w:val="-1"/>
        </w:rPr>
        <w:t>f</w:t>
      </w:r>
      <w:r w:rsidRPr="00E3232D">
        <w:rPr>
          <w:rFonts w:ascii="Book Antiqua" w:hAnsi="Book Antiqua"/>
          <w:spacing w:val="1"/>
        </w:rPr>
        <w:t>e</w:t>
      </w:r>
      <w:r w:rsidRPr="00E3232D">
        <w:rPr>
          <w:rFonts w:ascii="Book Antiqua" w:hAnsi="Book Antiqua"/>
        </w:rPr>
        <w:t>ring</w:t>
      </w:r>
      <w:r w:rsidRPr="00E3232D">
        <w:rPr>
          <w:rFonts w:ascii="Book Antiqua" w:hAnsi="Book Antiqua"/>
          <w:spacing w:val="-3"/>
        </w:rPr>
        <w:t xml:space="preserve"> </w:t>
      </w:r>
      <w:r w:rsidRPr="00E3232D">
        <w:rPr>
          <w:rFonts w:ascii="Book Antiqua" w:hAnsi="Book Antiqua"/>
        </w:rPr>
        <w:t xml:space="preserve">to </w:t>
      </w:r>
      <w:r w:rsidRPr="00E3232D">
        <w:rPr>
          <w:rFonts w:ascii="Book Antiqua" w:hAnsi="Book Antiqua"/>
          <w:spacing w:val="1"/>
        </w:rPr>
        <w:t>t</w:t>
      </w:r>
      <w:r w:rsidRPr="00E3232D">
        <w:rPr>
          <w:rFonts w:ascii="Book Antiqua" w:hAnsi="Book Antiqua"/>
        </w:rPr>
        <w:t>h</w:t>
      </w:r>
      <w:r w:rsidRPr="00E3232D">
        <w:rPr>
          <w:rFonts w:ascii="Book Antiqua" w:hAnsi="Book Antiqua"/>
          <w:spacing w:val="-1"/>
        </w:rPr>
        <w:t>e</w:t>
      </w:r>
      <w:r w:rsidRPr="00E3232D">
        <w:rPr>
          <w:rFonts w:ascii="Book Antiqua" w:hAnsi="Book Antiqua"/>
          <w:spacing w:val="2"/>
        </w:rPr>
        <w:t>s</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potential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2"/>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rPr>
        <w:t>n</w:t>
      </w:r>
      <w:r w:rsidRPr="00E3232D">
        <w:rPr>
          <w:rFonts w:ascii="Book Antiqua" w:hAnsi="Book Antiqua"/>
          <w:spacing w:val="2"/>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 bo</w:t>
      </w:r>
      <w:r w:rsidRPr="00E3232D">
        <w:rPr>
          <w:rFonts w:ascii="Book Antiqua" w:hAnsi="Book Antiqua"/>
          <w:spacing w:val="-1"/>
        </w:rPr>
        <w:t>r</w:t>
      </w:r>
      <w:r w:rsidRPr="00E3232D">
        <w:rPr>
          <w:rFonts w:ascii="Book Antiqua" w:hAnsi="Book Antiqua"/>
        </w:rPr>
        <w:t>r</w:t>
      </w:r>
      <w:r w:rsidRPr="00E3232D">
        <w:rPr>
          <w:rFonts w:ascii="Book Antiqua" w:hAnsi="Book Antiqua"/>
          <w:spacing w:val="1"/>
        </w:rPr>
        <w:t>o</w:t>
      </w:r>
      <w:r w:rsidRPr="00E3232D">
        <w:rPr>
          <w:rFonts w:ascii="Book Antiqua" w:hAnsi="Book Antiqua"/>
        </w:rPr>
        <w:t>w</w:t>
      </w:r>
      <w:r w:rsidRPr="00E3232D">
        <w:rPr>
          <w:rFonts w:ascii="Book Antiqua" w:hAnsi="Book Antiqua"/>
          <w:spacing w:val="-1"/>
        </w:rPr>
        <w:t>e</w:t>
      </w:r>
      <w:r w:rsidRPr="00E3232D">
        <w:rPr>
          <w:rFonts w:ascii="Book Antiqua" w:hAnsi="Book Antiqua"/>
        </w:rPr>
        <w:t>rs.</w:t>
      </w:r>
    </w:p>
    <w:p w14:paraId="7AA963DD" w14:textId="77777777" w:rsidR="0057286B" w:rsidRPr="00E3232D" w:rsidRDefault="00806674" w:rsidP="00465AE3">
      <w:pPr>
        <w:widowControl w:val="0"/>
        <w:autoSpaceDE w:val="0"/>
        <w:autoSpaceDN w:val="0"/>
        <w:adjustRightInd w:val="0"/>
        <w:jc w:val="both"/>
        <w:rPr>
          <w:rFonts w:ascii="Book Antiqua" w:hAnsi="Book Antiqua"/>
          <w:b/>
        </w:rPr>
      </w:pPr>
      <w:r>
        <w:rPr>
          <w:rFonts w:ascii="Book Antiqua" w:hAnsi="Book Antiqua"/>
          <w:b/>
        </w:rPr>
        <w:t xml:space="preserve">5.0 </w:t>
      </w:r>
      <w:r w:rsidR="0057286B" w:rsidRPr="00465AE3">
        <w:rPr>
          <w:rFonts w:ascii="Book Antiqua" w:hAnsi="Book Antiqua"/>
          <w:b/>
          <w:sz w:val="26"/>
        </w:rPr>
        <w:t>Conclusion</w:t>
      </w:r>
    </w:p>
    <w:p w14:paraId="4F690201" w14:textId="77777777" w:rsidR="0057286B" w:rsidRPr="00E3232D" w:rsidRDefault="0057286B" w:rsidP="00465AE3">
      <w:pPr>
        <w:widowControl w:val="0"/>
        <w:autoSpaceDE w:val="0"/>
        <w:autoSpaceDN w:val="0"/>
        <w:adjustRightInd w:val="0"/>
        <w:spacing w:after="0"/>
        <w:ind w:right="77"/>
        <w:jc w:val="both"/>
        <w:rPr>
          <w:rFonts w:ascii="Book Antiqua" w:hAnsi="Book Antiqua"/>
        </w:rPr>
      </w:pPr>
      <w:r w:rsidRPr="00E3232D">
        <w:rPr>
          <w:rFonts w:ascii="Book Antiqua" w:hAnsi="Book Antiqua"/>
        </w:rPr>
        <w:t>This r</w:t>
      </w:r>
      <w:r w:rsidRPr="00E3232D">
        <w:rPr>
          <w:rFonts w:ascii="Book Antiqua" w:hAnsi="Book Antiqua"/>
          <w:spacing w:val="-1"/>
        </w:rPr>
        <w:t>e</w:t>
      </w:r>
      <w:r w:rsidRPr="00E3232D">
        <w:rPr>
          <w:rFonts w:ascii="Book Antiqua" w:hAnsi="Book Antiqua"/>
        </w:rPr>
        <w:t>s</w:t>
      </w:r>
      <w:r w:rsidRPr="00E3232D">
        <w:rPr>
          <w:rFonts w:ascii="Book Antiqua" w:hAnsi="Book Antiqua"/>
          <w:spacing w:val="-1"/>
        </w:rPr>
        <w:t>e</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c</w:t>
      </w:r>
      <w:r w:rsidRPr="00E3232D">
        <w:rPr>
          <w:rFonts w:ascii="Book Antiqua" w:hAnsi="Book Antiqua"/>
        </w:rPr>
        <w:t>h</w:t>
      </w:r>
      <w:r w:rsidRPr="00E3232D">
        <w:rPr>
          <w:rFonts w:ascii="Book Antiqua" w:hAnsi="Book Antiqua"/>
          <w:spacing w:val="2"/>
        </w:rPr>
        <w:t xml:space="preserve"> </w:t>
      </w:r>
      <w:r w:rsidRPr="00E3232D">
        <w:rPr>
          <w:rFonts w:ascii="Book Antiqua" w:hAnsi="Book Antiqua"/>
          <w:spacing w:val="1"/>
        </w:rPr>
        <w:t>w</w:t>
      </w:r>
      <w:r w:rsidRPr="00E3232D">
        <w:rPr>
          <w:rFonts w:ascii="Book Antiqua" w:hAnsi="Book Antiqua"/>
        </w:rPr>
        <w:t>o</w:t>
      </w:r>
      <w:r w:rsidRPr="00E3232D">
        <w:rPr>
          <w:rFonts w:ascii="Book Antiqua" w:hAnsi="Book Antiqua"/>
          <w:spacing w:val="-1"/>
        </w:rPr>
        <w:t>r</w:t>
      </w:r>
      <w:r w:rsidRPr="00E3232D">
        <w:rPr>
          <w:rFonts w:ascii="Book Antiqua" w:hAnsi="Book Antiqua"/>
        </w:rPr>
        <w:t>k</w:t>
      </w:r>
      <w:r w:rsidRPr="00E3232D">
        <w:rPr>
          <w:rFonts w:ascii="Book Antiqua" w:hAnsi="Book Antiqua"/>
          <w:spacing w:val="2"/>
        </w:rPr>
        <w:t xml:space="preserve"> </w:t>
      </w:r>
      <w:r w:rsidRPr="00E3232D">
        <w:rPr>
          <w:rFonts w:ascii="Book Antiqua" w:hAnsi="Book Antiqua"/>
        </w:rPr>
        <w:t>w</w:t>
      </w:r>
      <w:r w:rsidRPr="00E3232D">
        <w:rPr>
          <w:rFonts w:ascii="Book Antiqua" w:hAnsi="Book Antiqua"/>
          <w:spacing w:val="-1"/>
        </w:rPr>
        <w:t>a</w:t>
      </w:r>
      <w:r w:rsidRPr="00E3232D">
        <w:rPr>
          <w:rFonts w:ascii="Book Antiqua" w:hAnsi="Book Antiqua"/>
        </w:rPr>
        <w:t xml:space="preserve">s </w:t>
      </w:r>
      <w:r w:rsidRPr="00E3232D">
        <w:rPr>
          <w:rFonts w:ascii="Book Antiqua" w:hAnsi="Book Antiqua"/>
          <w:spacing w:val="1"/>
        </w:rPr>
        <w:t>c</w:t>
      </w:r>
      <w:r w:rsidRPr="00E3232D">
        <w:rPr>
          <w:rFonts w:ascii="Book Antiqua" w:hAnsi="Book Antiqua"/>
        </w:rPr>
        <w:t>ondu</w:t>
      </w:r>
      <w:r w:rsidRPr="00E3232D">
        <w:rPr>
          <w:rFonts w:ascii="Book Antiqua" w:hAnsi="Book Antiqua"/>
          <w:spacing w:val="-1"/>
        </w:rPr>
        <w:t>c</w:t>
      </w:r>
      <w:r w:rsidRPr="00E3232D">
        <w:rPr>
          <w:rFonts w:ascii="Book Antiqua" w:hAnsi="Book Antiqua"/>
        </w:rPr>
        <w:t xml:space="preserve">ted to </w:t>
      </w:r>
      <w:r w:rsidRPr="00E3232D">
        <w:rPr>
          <w:rFonts w:ascii="Book Antiqua" w:hAnsi="Book Antiqua"/>
          <w:spacing w:val="-1"/>
        </w:rPr>
        <w:t>f</w:t>
      </w:r>
      <w:r w:rsidRPr="00E3232D">
        <w:rPr>
          <w:rFonts w:ascii="Book Antiqua" w:hAnsi="Book Antiqua"/>
        </w:rPr>
        <w:t>ind out</w:t>
      </w:r>
      <w:r w:rsidRPr="00E3232D">
        <w:rPr>
          <w:rFonts w:ascii="Book Antiqua" w:hAnsi="Book Antiqua"/>
          <w:spacing w:val="1"/>
        </w:rPr>
        <w:t xml:space="preserve"> </w:t>
      </w:r>
      <w:r w:rsidRPr="00E3232D">
        <w:rPr>
          <w:rFonts w:ascii="Book Antiqua" w:hAnsi="Book Antiqua"/>
        </w:rPr>
        <w:t>inn</w:t>
      </w:r>
      <w:r w:rsidRPr="00E3232D">
        <w:rPr>
          <w:rFonts w:ascii="Book Antiqua" w:hAnsi="Book Antiqua"/>
          <w:spacing w:val="3"/>
        </w:rPr>
        <w:t>o</w:t>
      </w:r>
      <w:r w:rsidRPr="00E3232D">
        <w:rPr>
          <w:rFonts w:ascii="Book Antiqua" w:hAnsi="Book Antiqua"/>
        </w:rPr>
        <w:t>v</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 xml:space="preserve">ons </w:t>
      </w:r>
      <w:r w:rsidRPr="00E3232D">
        <w:rPr>
          <w:rFonts w:ascii="Book Antiqua" w:hAnsi="Book Antiqua"/>
          <w:spacing w:val="-1"/>
        </w:rPr>
        <w:t>a</w:t>
      </w:r>
      <w:r w:rsidRPr="00E3232D">
        <w:rPr>
          <w:rFonts w:ascii="Book Antiqua" w:hAnsi="Book Antiqua"/>
        </w:rPr>
        <w:t>nd d</w:t>
      </w:r>
      <w:r w:rsidRPr="00E3232D">
        <w:rPr>
          <w:rFonts w:ascii="Book Antiqua" w:hAnsi="Book Antiqua"/>
          <w:spacing w:val="-1"/>
        </w:rPr>
        <w:t>e</w:t>
      </w:r>
      <w:r w:rsidRPr="00E3232D">
        <w:rPr>
          <w:rFonts w:ascii="Book Antiqua" w:hAnsi="Book Antiqua"/>
          <w:spacing w:val="2"/>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 xml:space="preserve">nt </w:t>
      </w:r>
      <w:r w:rsidRPr="00E3232D">
        <w:rPr>
          <w:rFonts w:ascii="Book Antiqua" w:hAnsi="Book Antiqua"/>
          <w:spacing w:val="1"/>
        </w:rPr>
        <w:t>i</w:t>
      </w:r>
      <w:r w:rsidRPr="00E3232D">
        <w:rPr>
          <w:rFonts w:ascii="Book Antiqua" w:hAnsi="Book Antiqua"/>
        </w:rPr>
        <w:t xml:space="preserve">n the </w:t>
      </w:r>
      <w:r w:rsidRPr="00E3232D">
        <w:rPr>
          <w:rFonts w:ascii="Book Antiqua" w:hAnsi="Book Antiqua"/>
          <w:spacing w:val="-1"/>
        </w:rPr>
        <w:t>c</w:t>
      </w:r>
      <w:r w:rsidRPr="00E3232D">
        <w:rPr>
          <w:rFonts w:ascii="Book Antiqua" w:hAnsi="Book Antiqua"/>
        </w:rPr>
        <w:t>onte</w:t>
      </w:r>
      <w:r w:rsidRPr="00E3232D">
        <w:rPr>
          <w:rFonts w:ascii="Book Antiqua" w:hAnsi="Book Antiqua"/>
          <w:spacing w:val="2"/>
        </w:rPr>
        <w:t>x</w:t>
      </w:r>
      <w:r w:rsidRPr="00E3232D">
        <w:rPr>
          <w:rFonts w:ascii="Book Antiqua" w:hAnsi="Book Antiqua"/>
        </w:rPr>
        <w:t>t of potential</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spacing w:val="1"/>
        </w:rPr>
        <w:t>n</w:t>
      </w:r>
      <w:r w:rsidRPr="00E3232D">
        <w:rPr>
          <w:rFonts w:ascii="Book Antiqua" w:hAnsi="Book Antiqua"/>
        </w:rPr>
        <w:t>t</w:t>
      </w:r>
      <w:r w:rsidRPr="00E3232D">
        <w:rPr>
          <w:rFonts w:ascii="Book Antiqua" w:hAnsi="Book Antiqua"/>
          <w:spacing w:val="2"/>
        </w:rPr>
        <w: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w</w:t>
      </w:r>
      <w:r w:rsidRPr="00E3232D">
        <w:rPr>
          <w:rFonts w:ascii="Book Antiqua" w:hAnsi="Book Antiqua"/>
          <w:spacing w:val="-1"/>
        </w:rPr>
        <w:t>e</w:t>
      </w:r>
      <w:r w:rsidRPr="00E3232D">
        <w:rPr>
          <w:rFonts w:ascii="Book Antiqua" w:hAnsi="Book Antiqua"/>
        </w:rPr>
        <w:t>rs in</w:t>
      </w:r>
      <w:r w:rsidRPr="00E3232D">
        <w:rPr>
          <w:rFonts w:ascii="Book Antiqua" w:hAnsi="Book Antiqua"/>
          <w:spacing w:val="4"/>
        </w:rPr>
        <w:t xml:space="preserve"> </w:t>
      </w:r>
      <w:r w:rsidRPr="00E3232D">
        <w:rPr>
          <w:rFonts w:ascii="Book Antiqua" w:hAnsi="Book Antiqua"/>
        </w:rPr>
        <w:t>the T</w:t>
      </w:r>
      <w:r w:rsidRPr="00E3232D">
        <w:rPr>
          <w:rFonts w:ascii="Book Antiqua" w:hAnsi="Book Antiqua"/>
          <w:spacing w:val="-1"/>
        </w:rPr>
        <w:t>a</w:t>
      </w:r>
      <w:r w:rsidRPr="00E3232D">
        <w:rPr>
          <w:rFonts w:ascii="Book Antiqua" w:hAnsi="Book Antiqua"/>
        </w:rPr>
        <w:t xml:space="preserve">male </w:t>
      </w:r>
      <w:r w:rsidRPr="00E3232D">
        <w:rPr>
          <w:rFonts w:ascii="Book Antiqua" w:hAnsi="Book Antiqua"/>
          <w:spacing w:val="3"/>
        </w:rPr>
        <w:t>M</w:t>
      </w:r>
      <w:r w:rsidRPr="00E3232D">
        <w:rPr>
          <w:rFonts w:ascii="Book Antiqua" w:hAnsi="Book Antiqua"/>
          <w:spacing w:val="-1"/>
        </w:rPr>
        <w:t>e</w:t>
      </w:r>
      <w:r w:rsidRPr="00E3232D">
        <w:rPr>
          <w:rFonts w:ascii="Book Antiqua" w:hAnsi="Book Antiqua"/>
          <w:spacing w:val="3"/>
        </w:rPr>
        <w:t>t</w:t>
      </w:r>
      <w:r w:rsidRPr="00E3232D">
        <w:rPr>
          <w:rFonts w:ascii="Book Antiqua" w:hAnsi="Book Antiqua"/>
        </w:rPr>
        <w:t>ropolis</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e</w:t>
      </w:r>
      <w:r w:rsidRPr="00E3232D">
        <w:rPr>
          <w:rFonts w:ascii="Book Antiqua" w:hAnsi="Book Antiqua"/>
        </w:rPr>
        <w:t>a</w:t>
      </w:r>
      <w:r w:rsidRPr="00E3232D">
        <w:rPr>
          <w:rFonts w:ascii="Book Antiqua" w:hAnsi="Book Antiqua"/>
          <w:spacing w:val="2"/>
        </w:rPr>
        <w:t xml:space="preserve"> </w:t>
      </w:r>
      <w:r w:rsidRPr="00E3232D">
        <w:rPr>
          <w:rFonts w:ascii="Book Antiqua" w:hAnsi="Book Antiqua"/>
        </w:rPr>
        <w:t>of G</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na whi</w:t>
      </w:r>
      <w:r w:rsidRPr="00E3232D">
        <w:rPr>
          <w:rFonts w:ascii="Book Antiqua" w:hAnsi="Book Antiqua"/>
          <w:spacing w:val="-1"/>
        </w:rPr>
        <w:t>c</w:t>
      </w:r>
      <w:r w:rsidRPr="00E3232D">
        <w:rPr>
          <w:rFonts w:ascii="Book Antiqua" w:hAnsi="Book Antiqua"/>
        </w:rPr>
        <w:t xml:space="preserve">h is </w:t>
      </w:r>
      <w:r w:rsidRPr="00E3232D">
        <w:rPr>
          <w:rFonts w:ascii="Book Antiqua" w:hAnsi="Book Antiqua"/>
          <w:spacing w:val="1"/>
        </w:rPr>
        <w:t>s</w:t>
      </w:r>
      <w:r w:rsidRPr="00E3232D">
        <w:rPr>
          <w:rFonts w:ascii="Book Antiqua" w:hAnsi="Book Antiqua"/>
          <w:spacing w:val="-1"/>
        </w:rPr>
        <w:t>ee</w:t>
      </w:r>
      <w:r w:rsidRPr="00E3232D">
        <w:rPr>
          <w:rFonts w:ascii="Book Antiqua" w:hAnsi="Book Antiqua"/>
        </w:rPr>
        <w:t xml:space="preserve">n </w:t>
      </w:r>
      <w:r w:rsidRPr="00E3232D">
        <w:rPr>
          <w:rFonts w:ascii="Book Antiqua" w:hAnsi="Book Antiqua"/>
          <w:spacing w:val="-1"/>
        </w:rPr>
        <w:t>a</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rPr>
        <w:t>g</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a</w:t>
      </w:r>
      <w:r w:rsidRPr="00E3232D">
        <w:rPr>
          <w:rFonts w:ascii="Book Antiqua" w:hAnsi="Book Antiqua"/>
        </w:rPr>
        <w:t>l ob</w:t>
      </w:r>
      <w:r w:rsidRPr="00E3232D">
        <w:rPr>
          <w:rFonts w:ascii="Book Antiqua" w:hAnsi="Book Antiqua"/>
          <w:spacing w:val="1"/>
        </w:rPr>
        <w:t>j</w:t>
      </w:r>
      <w:r w:rsidRPr="00E3232D">
        <w:rPr>
          <w:rFonts w:ascii="Book Antiqua" w:hAnsi="Book Antiqua"/>
          <w:spacing w:val="-1"/>
        </w:rPr>
        <w:t>ec</w:t>
      </w:r>
      <w:r w:rsidRPr="00E3232D">
        <w:rPr>
          <w:rFonts w:ascii="Book Antiqua" w:hAnsi="Book Antiqua"/>
        </w:rPr>
        <w:t>t</w:t>
      </w:r>
      <w:r w:rsidRPr="00E3232D">
        <w:rPr>
          <w:rFonts w:ascii="Book Antiqua" w:hAnsi="Book Antiqua"/>
          <w:spacing w:val="1"/>
        </w:rPr>
        <w:t>i</w:t>
      </w:r>
      <w:r w:rsidRPr="00E3232D">
        <w:rPr>
          <w:rFonts w:ascii="Book Antiqua" w:hAnsi="Book Antiqua"/>
        </w:rPr>
        <w:t>ve</w:t>
      </w:r>
      <w:r w:rsidRPr="00E3232D">
        <w:rPr>
          <w:rFonts w:ascii="Book Antiqua" w:hAnsi="Book Antiqua"/>
          <w:spacing w:val="-1"/>
        </w:rPr>
        <w:t xml:space="preserve"> </w:t>
      </w:r>
      <w:r w:rsidRPr="00E3232D">
        <w:rPr>
          <w:rFonts w:ascii="Book Antiqua" w:hAnsi="Book Antiqua"/>
        </w:rPr>
        <w:t>of t</w:t>
      </w:r>
      <w:r w:rsidRPr="00E3232D">
        <w:rPr>
          <w:rFonts w:ascii="Book Antiqua" w:hAnsi="Book Antiqua"/>
          <w:spacing w:val="2"/>
        </w:rPr>
        <w:t>h</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rPr>
        <w:t>stu</w:t>
      </w:r>
      <w:r w:rsidRPr="00E3232D">
        <w:rPr>
          <w:rFonts w:ascii="Book Antiqua" w:hAnsi="Book Antiqua"/>
          <w:spacing w:val="3"/>
        </w:rPr>
        <w:t>d</w:t>
      </w:r>
      <w:r w:rsidRPr="00E3232D">
        <w:rPr>
          <w:rFonts w:ascii="Book Antiqua" w:hAnsi="Book Antiqua"/>
          <w:spacing w:val="-5"/>
        </w:rPr>
        <w:t>y</w:t>
      </w:r>
      <w:r w:rsidRPr="00E3232D">
        <w:rPr>
          <w:rFonts w:ascii="Book Antiqua" w:hAnsi="Book Antiqua"/>
        </w:rPr>
        <w:t>.</w:t>
      </w:r>
    </w:p>
    <w:p w14:paraId="0A7ECFC9" w14:textId="77777777" w:rsidR="00F74D1E" w:rsidRDefault="00F74D1E" w:rsidP="00465AE3">
      <w:pPr>
        <w:widowControl w:val="0"/>
        <w:autoSpaceDE w:val="0"/>
        <w:autoSpaceDN w:val="0"/>
        <w:adjustRightInd w:val="0"/>
        <w:spacing w:after="0"/>
        <w:ind w:right="75"/>
        <w:jc w:val="both"/>
        <w:rPr>
          <w:rFonts w:ascii="Book Antiqua" w:hAnsi="Book Antiqua"/>
        </w:rPr>
      </w:pPr>
    </w:p>
    <w:p w14:paraId="3DF60951" w14:textId="77777777" w:rsidR="0057286B" w:rsidRPr="00E3232D" w:rsidRDefault="0057286B" w:rsidP="00465AE3">
      <w:pPr>
        <w:widowControl w:val="0"/>
        <w:autoSpaceDE w:val="0"/>
        <w:autoSpaceDN w:val="0"/>
        <w:adjustRightInd w:val="0"/>
        <w:spacing w:after="0"/>
        <w:ind w:right="75"/>
        <w:jc w:val="both"/>
        <w:rPr>
          <w:rFonts w:ascii="Book Antiqua" w:hAnsi="Book Antiqua"/>
        </w:rPr>
      </w:pPr>
      <w:r w:rsidRPr="00E3232D">
        <w:rPr>
          <w:rFonts w:ascii="Book Antiqua" w:hAnsi="Book Antiqua"/>
        </w:rPr>
        <w:t>The</w:t>
      </w:r>
      <w:r w:rsidRPr="00E3232D">
        <w:rPr>
          <w:rFonts w:ascii="Book Antiqua" w:hAnsi="Book Antiqua"/>
          <w:spacing w:val="3"/>
        </w:rPr>
        <w:t xml:space="preserve"> </w:t>
      </w:r>
      <w:r w:rsidRPr="00E3232D">
        <w:rPr>
          <w:rFonts w:ascii="Book Antiqua" w:hAnsi="Book Antiqua"/>
        </w:rPr>
        <w:t>spe</w:t>
      </w:r>
      <w:r w:rsidRPr="00E3232D">
        <w:rPr>
          <w:rFonts w:ascii="Book Antiqua" w:hAnsi="Book Antiqua"/>
          <w:spacing w:val="-2"/>
        </w:rPr>
        <w:t>c</w:t>
      </w:r>
      <w:r w:rsidRPr="00E3232D">
        <w:rPr>
          <w:rFonts w:ascii="Book Antiqua" w:hAnsi="Book Antiqua"/>
        </w:rPr>
        <w:t>ific</w:t>
      </w:r>
      <w:r w:rsidRPr="00E3232D">
        <w:rPr>
          <w:rFonts w:ascii="Book Antiqua" w:hAnsi="Book Antiqua"/>
          <w:spacing w:val="4"/>
        </w:rPr>
        <w:t xml:space="preserve"> </w:t>
      </w:r>
      <w:r w:rsidRPr="00E3232D">
        <w:rPr>
          <w:rFonts w:ascii="Book Antiqua" w:hAnsi="Book Antiqua"/>
        </w:rPr>
        <w:t>obj</w:t>
      </w:r>
      <w:r w:rsidRPr="00E3232D">
        <w:rPr>
          <w:rFonts w:ascii="Book Antiqua" w:hAnsi="Book Antiqua"/>
          <w:spacing w:val="2"/>
        </w:rPr>
        <w:t>e</w:t>
      </w:r>
      <w:r w:rsidRPr="00E3232D">
        <w:rPr>
          <w:rFonts w:ascii="Book Antiqua" w:hAnsi="Book Antiqua"/>
          <w:spacing w:val="-1"/>
        </w:rPr>
        <w:t>c</w:t>
      </w:r>
      <w:r w:rsidRPr="00E3232D">
        <w:rPr>
          <w:rFonts w:ascii="Book Antiqua" w:hAnsi="Book Antiqua"/>
        </w:rPr>
        <w:t>t</w:t>
      </w:r>
      <w:r w:rsidRPr="00E3232D">
        <w:rPr>
          <w:rFonts w:ascii="Book Antiqua" w:hAnsi="Book Antiqua"/>
          <w:spacing w:val="1"/>
        </w:rPr>
        <w:t>i</w:t>
      </w:r>
      <w:r w:rsidRPr="00E3232D">
        <w:rPr>
          <w:rFonts w:ascii="Book Antiqua" w:hAnsi="Book Antiqua"/>
        </w:rPr>
        <w:t>v</w:t>
      </w:r>
      <w:r w:rsidRPr="00E3232D">
        <w:rPr>
          <w:rFonts w:ascii="Book Antiqua" w:hAnsi="Book Antiqua"/>
          <w:spacing w:val="-1"/>
        </w:rPr>
        <w:t>e</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rPr>
        <w:t>the</w:t>
      </w:r>
      <w:r w:rsidRPr="00E3232D">
        <w:rPr>
          <w:rFonts w:ascii="Book Antiqua" w:hAnsi="Book Antiqua"/>
          <w:spacing w:val="4"/>
        </w:rPr>
        <w:t xml:space="preserve"> </w:t>
      </w:r>
      <w:r w:rsidRPr="00E3232D">
        <w:rPr>
          <w:rFonts w:ascii="Book Antiqua" w:hAnsi="Book Antiqua"/>
        </w:rPr>
        <w:t>stu</w:t>
      </w:r>
      <w:r w:rsidRPr="00E3232D">
        <w:rPr>
          <w:rFonts w:ascii="Book Antiqua" w:hAnsi="Book Antiqua"/>
          <w:spacing w:val="3"/>
        </w:rPr>
        <w:t>d</w:t>
      </w:r>
      <w:r w:rsidRPr="00E3232D">
        <w:rPr>
          <w:rFonts w:ascii="Book Antiqua" w:hAnsi="Book Antiqua"/>
        </w:rPr>
        <w:t>y w</w:t>
      </w:r>
      <w:r w:rsidRPr="00E3232D">
        <w:rPr>
          <w:rFonts w:ascii="Book Antiqua" w:hAnsi="Book Antiqua"/>
          <w:spacing w:val="4"/>
        </w:rPr>
        <w:t>e</w:t>
      </w:r>
      <w:r w:rsidRPr="00E3232D">
        <w:rPr>
          <w:rFonts w:ascii="Book Antiqua" w:hAnsi="Book Antiqua"/>
          <w:spacing w:val="-1"/>
        </w:rPr>
        <w:t>r</w:t>
      </w:r>
      <w:r w:rsidRPr="00E3232D">
        <w:rPr>
          <w:rFonts w:ascii="Book Antiqua" w:hAnsi="Book Antiqua"/>
        </w:rPr>
        <w:t>e</w:t>
      </w:r>
      <w:r w:rsidRPr="00E3232D">
        <w:rPr>
          <w:rFonts w:ascii="Book Antiqua" w:hAnsi="Book Antiqua"/>
          <w:spacing w:val="3"/>
        </w:rPr>
        <w:t xml:space="preserve"> </w:t>
      </w:r>
      <w:r w:rsidRPr="00E3232D">
        <w:rPr>
          <w:rFonts w:ascii="Book Antiqua" w:hAnsi="Book Antiqua"/>
        </w:rPr>
        <w:t>to</w:t>
      </w:r>
      <w:r w:rsidRPr="00E3232D">
        <w:rPr>
          <w:rFonts w:ascii="Book Antiqua" w:hAnsi="Book Antiqua"/>
          <w:spacing w:val="5"/>
        </w:rPr>
        <w:t xml:space="preserve"> </w:t>
      </w:r>
      <w:r w:rsidRPr="00E3232D">
        <w:rPr>
          <w:rFonts w:ascii="Book Antiqua" w:hAnsi="Book Antiqua"/>
        </w:rPr>
        <w:t>identi</w:t>
      </w:r>
      <w:r w:rsidRPr="00E3232D">
        <w:rPr>
          <w:rFonts w:ascii="Book Antiqua" w:hAnsi="Book Antiqua"/>
          <w:spacing w:val="2"/>
        </w:rPr>
        <w:t>f</w:t>
      </w:r>
      <w:r w:rsidRPr="00E3232D">
        <w:rPr>
          <w:rFonts w:ascii="Book Antiqua" w:hAnsi="Book Antiqua"/>
        </w:rPr>
        <w:t>y the</w:t>
      </w:r>
      <w:r w:rsidRPr="00E3232D">
        <w:rPr>
          <w:rFonts w:ascii="Book Antiqua" w:hAnsi="Book Antiqua"/>
          <w:spacing w:val="4"/>
        </w:rPr>
        <w:t xml:space="preserve"> </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rPr>
        <w:t>ude</w:t>
      </w:r>
      <w:r w:rsidRPr="00E3232D">
        <w:rPr>
          <w:rFonts w:ascii="Book Antiqua" w:hAnsi="Book Antiqua"/>
          <w:spacing w:val="3"/>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spacing w:val="2"/>
        </w:rPr>
        <w:t>p</w:t>
      </w:r>
      <w:r w:rsidRPr="00E3232D">
        <w:rPr>
          <w:rFonts w:ascii="Book Antiqua" w:hAnsi="Book Antiqua"/>
        </w:rPr>
        <w:t>otential</w:t>
      </w:r>
      <w:r w:rsidRPr="00E3232D">
        <w:rPr>
          <w:rFonts w:ascii="Book Antiqua" w:hAnsi="Book Antiqua"/>
          <w:spacing w:val="4"/>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 bo</w:t>
      </w:r>
      <w:r w:rsidRPr="00E3232D">
        <w:rPr>
          <w:rFonts w:ascii="Book Antiqua" w:hAnsi="Book Antiqua"/>
          <w:spacing w:val="1"/>
        </w:rPr>
        <w:t>r</w:t>
      </w:r>
      <w:r w:rsidRPr="00E3232D">
        <w:rPr>
          <w:rFonts w:ascii="Book Antiqua" w:hAnsi="Book Antiqua"/>
        </w:rPr>
        <w:t>ro</w:t>
      </w:r>
      <w:r w:rsidRPr="00E3232D">
        <w:rPr>
          <w:rFonts w:ascii="Book Antiqua" w:hAnsi="Book Antiqua"/>
          <w:spacing w:val="-1"/>
        </w:rPr>
        <w:t>w</w:t>
      </w:r>
      <w:r w:rsidRPr="00E3232D">
        <w:rPr>
          <w:rFonts w:ascii="Book Antiqua" w:hAnsi="Book Antiqua"/>
          <w:spacing w:val="1"/>
        </w:rPr>
        <w:t>er</w:t>
      </w:r>
      <w:r w:rsidRPr="00E3232D">
        <w:rPr>
          <w:rFonts w:ascii="Book Antiqua" w:hAnsi="Book Antiqua"/>
        </w:rPr>
        <w:t>s tow</w:t>
      </w:r>
      <w:r w:rsidRPr="00E3232D">
        <w:rPr>
          <w:rFonts w:ascii="Book Antiqua" w:hAnsi="Book Antiqua"/>
          <w:spacing w:val="-1"/>
        </w:rPr>
        <w:t>a</w:t>
      </w:r>
      <w:r w:rsidRPr="00E3232D">
        <w:rPr>
          <w:rFonts w:ascii="Book Antiqua" w:hAnsi="Book Antiqua"/>
        </w:rPr>
        <w:t>rds loan r</w:t>
      </w:r>
      <w:r w:rsidRPr="00E3232D">
        <w:rPr>
          <w:rFonts w:ascii="Book Antiqua" w:hAnsi="Book Antiqua"/>
          <w:spacing w:val="-2"/>
        </w:rPr>
        <w:t>e</w:t>
      </w:r>
      <w:r w:rsidRPr="00E3232D">
        <w:rPr>
          <w:rFonts w:ascii="Book Antiqua" w:hAnsi="Book Antiqua"/>
          <w:spacing w:val="2"/>
        </w:rPr>
        <w:t>p</w:t>
      </w:r>
      <w:r w:rsidRPr="00E3232D">
        <w:rPr>
          <w:rFonts w:ascii="Book Antiqua" w:hAnsi="Book Antiqua"/>
          <w:spacing w:val="4"/>
        </w:rPr>
        <w:t>a</w:t>
      </w:r>
      <w:r w:rsidRPr="00E3232D">
        <w:rPr>
          <w:rFonts w:ascii="Book Antiqua" w:hAnsi="Book Antiqua"/>
          <w:spacing w:val="-7"/>
        </w:rPr>
        <w:t>y</w:t>
      </w:r>
      <w:r w:rsidRPr="00E3232D">
        <w:rPr>
          <w:rFonts w:ascii="Book Antiqua" w:hAnsi="Book Antiqua"/>
          <w:spacing w:val="3"/>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 xml:space="preserve"> </w:t>
      </w:r>
      <w:r w:rsidRPr="00E3232D">
        <w:rPr>
          <w:rFonts w:ascii="Book Antiqua" w:hAnsi="Book Antiqua"/>
          <w:spacing w:val="-1"/>
        </w:rPr>
        <w:t>F</w:t>
      </w:r>
      <w:r w:rsidRPr="00E3232D">
        <w:rPr>
          <w:rFonts w:ascii="Book Antiqua" w:hAnsi="Book Antiqua"/>
        </w:rPr>
        <w:t>ind</w:t>
      </w:r>
      <w:r w:rsidRPr="00E3232D">
        <w:rPr>
          <w:rFonts w:ascii="Book Antiqua" w:hAnsi="Book Antiqua"/>
          <w:spacing w:val="1"/>
        </w:rPr>
        <w:t xml:space="preserve"> </w:t>
      </w:r>
      <w:r w:rsidRPr="00E3232D">
        <w:rPr>
          <w:rFonts w:ascii="Book Antiqua" w:hAnsi="Book Antiqua"/>
        </w:rPr>
        <w:t>out</w:t>
      </w:r>
      <w:r w:rsidRPr="00E3232D">
        <w:rPr>
          <w:rFonts w:ascii="Book Antiqua" w:hAnsi="Book Antiqua"/>
          <w:spacing w:val="1"/>
        </w:rPr>
        <w:t xml:space="preserve"> </w:t>
      </w:r>
      <w:r w:rsidRPr="00E3232D">
        <w:rPr>
          <w:rFonts w:ascii="Book Antiqua" w:hAnsi="Book Antiqua"/>
        </w:rPr>
        <w:t>those f</w:t>
      </w:r>
      <w:r w:rsidRPr="00E3232D">
        <w:rPr>
          <w:rFonts w:ascii="Book Antiqua" w:hAnsi="Book Antiqua"/>
          <w:spacing w:val="-2"/>
        </w:rPr>
        <w:t>a</w:t>
      </w:r>
      <w:r w:rsidRPr="00E3232D">
        <w:rPr>
          <w:rFonts w:ascii="Book Antiqua" w:hAnsi="Book Antiqua"/>
          <w:spacing w:val="-1"/>
        </w:rPr>
        <w:t>c</w:t>
      </w:r>
      <w:r w:rsidRPr="00E3232D">
        <w:rPr>
          <w:rFonts w:ascii="Book Antiqua" w:hAnsi="Book Antiqua"/>
        </w:rPr>
        <w:t>to</w:t>
      </w:r>
      <w:r w:rsidRPr="00E3232D">
        <w:rPr>
          <w:rFonts w:ascii="Book Antiqua" w:hAnsi="Book Antiqua"/>
          <w:spacing w:val="2"/>
        </w:rPr>
        <w:t>r</w:t>
      </w:r>
      <w:r w:rsidRPr="00E3232D">
        <w:rPr>
          <w:rFonts w:ascii="Book Antiqua" w:hAnsi="Book Antiqua"/>
        </w:rPr>
        <w:t>s that mo</w:t>
      </w:r>
      <w:r w:rsidRPr="00E3232D">
        <w:rPr>
          <w:rFonts w:ascii="Book Antiqua" w:hAnsi="Book Antiqua"/>
          <w:spacing w:val="1"/>
        </w:rPr>
        <w:t>t</w:t>
      </w:r>
      <w:r w:rsidRPr="00E3232D">
        <w:rPr>
          <w:rFonts w:ascii="Book Antiqua" w:hAnsi="Book Antiqua"/>
        </w:rPr>
        <w:t>ivate them to</w:t>
      </w:r>
      <w:r w:rsidRPr="00E3232D">
        <w:rPr>
          <w:rFonts w:ascii="Book Antiqua" w:hAnsi="Book Antiqua"/>
          <w:spacing w:val="1"/>
        </w:rPr>
        <w:t xml:space="preserve"> </w:t>
      </w:r>
      <w:r w:rsidRPr="00E3232D">
        <w:rPr>
          <w:rFonts w:ascii="Book Antiqua" w:hAnsi="Book Antiqua"/>
        </w:rPr>
        <w:t>sol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it</w:t>
      </w:r>
      <w:r w:rsidRPr="00E3232D">
        <w:rPr>
          <w:rFonts w:ascii="Book Antiqua" w:hAnsi="Book Antiqua"/>
          <w:spacing w:val="1"/>
        </w:rPr>
        <w:t xml:space="preserve"> </w:t>
      </w:r>
      <w:r w:rsidRPr="00E3232D">
        <w:rPr>
          <w:rFonts w:ascii="Book Antiqua" w:hAnsi="Book Antiqua"/>
        </w:rPr>
        <w:t>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ce</w:t>
      </w:r>
      <w:r w:rsidRPr="00E3232D">
        <w:rPr>
          <w:rFonts w:ascii="Book Antiqua" w:hAnsi="Book Antiqua"/>
        </w:rPr>
        <w:t>,</w:t>
      </w:r>
      <w:r w:rsidRPr="00E3232D">
        <w:rPr>
          <w:rFonts w:ascii="Book Antiqua" w:hAnsi="Book Antiqua"/>
          <w:spacing w:val="5"/>
        </w:rPr>
        <w:t xml:space="preserv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spacing w:val="-1"/>
        </w:rPr>
        <w:t>a</w:t>
      </w:r>
      <w:r w:rsidRPr="00E3232D">
        <w:rPr>
          <w:rFonts w:ascii="Book Antiqua" w:hAnsi="Book Antiqua"/>
        </w:rPr>
        <w:t>m</w:t>
      </w:r>
      <w:r w:rsidRPr="00E3232D">
        <w:rPr>
          <w:rFonts w:ascii="Book Antiqua" w:hAnsi="Book Antiqua"/>
          <w:spacing w:val="1"/>
        </w:rPr>
        <w:t>i</w:t>
      </w:r>
      <w:r w:rsidRPr="00E3232D">
        <w:rPr>
          <w:rFonts w:ascii="Book Antiqua" w:hAnsi="Book Antiqua"/>
        </w:rPr>
        <w:t>n</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 of the ro</w:t>
      </w:r>
      <w:r w:rsidRPr="00E3232D">
        <w:rPr>
          <w:rFonts w:ascii="Book Antiqua" w:hAnsi="Book Antiqua"/>
          <w:spacing w:val="4"/>
        </w:rPr>
        <w:t>l</w:t>
      </w:r>
      <w:r w:rsidRPr="00E3232D">
        <w:rPr>
          <w:rFonts w:ascii="Book Antiqua" w:hAnsi="Book Antiqua"/>
        </w:rPr>
        <w:t>e</w:t>
      </w:r>
      <w:r w:rsidRPr="00E3232D">
        <w:rPr>
          <w:rFonts w:ascii="Book Antiqua" w:hAnsi="Book Antiqua"/>
          <w:spacing w:val="2"/>
        </w:rPr>
        <w:t xml:space="preserve"> </w:t>
      </w:r>
      <w:r w:rsidRPr="00E3232D">
        <w:rPr>
          <w:rFonts w:ascii="Book Antiqua" w:hAnsi="Book Antiqua"/>
        </w:rPr>
        <w:t>of pol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ies ins</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rPr>
        <w:t>uted to</w:t>
      </w:r>
      <w:r w:rsidRPr="00E3232D">
        <w:rPr>
          <w:rFonts w:ascii="Book Antiqua" w:hAnsi="Book Antiqua"/>
          <w:spacing w:val="3"/>
        </w:rPr>
        <w:t xml:space="preserve"> </w:t>
      </w:r>
      <w:r w:rsidRPr="00E3232D">
        <w:rPr>
          <w:rFonts w:ascii="Book Antiqua" w:hAnsi="Book Antiqua"/>
          <w:spacing w:val="-1"/>
        </w:rPr>
        <w:t>c</w:t>
      </w:r>
      <w:r w:rsidRPr="00E3232D">
        <w:rPr>
          <w:rFonts w:ascii="Book Antiqua" w:hAnsi="Book Antiqua"/>
        </w:rPr>
        <w:t>o</w:t>
      </w:r>
      <w:r w:rsidRPr="00E3232D">
        <w:rPr>
          <w:rFonts w:ascii="Book Antiqua" w:hAnsi="Book Antiqua"/>
          <w:spacing w:val="-1"/>
        </w:rPr>
        <w:t>r</w:t>
      </w:r>
      <w:r w:rsidRPr="00E3232D">
        <w:rPr>
          <w:rFonts w:ascii="Book Antiqua" w:hAnsi="Book Antiqua"/>
          <w:spacing w:val="1"/>
        </w:rPr>
        <w:t>r</w:t>
      </w:r>
      <w:r w:rsidRPr="00E3232D">
        <w:rPr>
          <w:rFonts w:ascii="Book Antiqua" w:hAnsi="Book Antiqua"/>
          <w:spacing w:val="-1"/>
        </w:rPr>
        <w:t>ec</w:t>
      </w:r>
      <w:r w:rsidRPr="00E3232D">
        <w:rPr>
          <w:rFonts w:ascii="Book Antiqua" w:hAnsi="Book Antiqua"/>
        </w:rPr>
        <w:t>t</w:t>
      </w:r>
      <w:r w:rsidRPr="00E3232D">
        <w:rPr>
          <w:rFonts w:ascii="Book Antiqua" w:hAnsi="Book Antiqua"/>
          <w:spacing w:val="1"/>
        </w:rPr>
        <w:t xml:space="preserve"> </w:t>
      </w:r>
      <w:r w:rsidRPr="00E3232D">
        <w:rPr>
          <w:rFonts w:ascii="Book Antiqua" w:hAnsi="Book Antiqua"/>
        </w:rPr>
        <w:t>the</w:t>
      </w:r>
      <w:r w:rsidRPr="00E3232D">
        <w:rPr>
          <w:rFonts w:ascii="Book Antiqua" w:hAnsi="Book Antiqua"/>
          <w:spacing w:val="2"/>
        </w:rPr>
        <w:t>s</w:t>
      </w:r>
      <w:r w:rsidRPr="00E3232D">
        <w:rPr>
          <w:rFonts w:ascii="Book Antiqua" w:hAnsi="Book Antiqua"/>
        </w:rPr>
        <w:t>e p</w:t>
      </w:r>
      <w:r w:rsidRPr="00E3232D">
        <w:rPr>
          <w:rFonts w:ascii="Book Antiqua" w:hAnsi="Book Antiqua"/>
          <w:spacing w:val="-1"/>
        </w:rPr>
        <w:t>r</w:t>
      </w:r>
      <w:r w:rsidRPr="00E3232D">
        <w:rPr>
          <w:rFonts w:ascii="Book Antiqua" w:hAnsi="Book Antiqua"/>
        </w:rPr>
        <w:t>oblems</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lso</w:t>
      </w:r>
      <w:r w:rsidRPr="00E3232D">
        <w:rPr>
          <w:rFonts w:ascii="Book Antiqua" w:hAnsi="Book Antiqua"/>
          <w:spacing w:val="3"/>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spacing w:val="-1"/>
        </w:rPr>
        <w:t>c</w:t>
      </w:r>
      <w:r w:rsidRPr="00E3232D">
        <w:rPr>
          <w:rFonts w:ascii="Book Antiqua" w:hAnsi="Book Antiqua"/>
          <w:spacing w:val="2"/>
        </w:rPr>
        <w:t>o</w:t>
      </w:r>
      <w:r w:rsidRPr="00E3232D">
        <w:rPr>
          <w:rFonts w:ascii="Book Antiqua" w:hAnsi="Book Antiqua"/>
        </w:rPr>
        <w:t>m</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nd</w:t>
      </w:r>
      <w:r w:rsidRPr="00E3232D">
        <w:rPr>
          <w:rFonts w:ascii="Book Antiqua" w:hAnsi="Book Antiqua"/>
          <w:spacing w:val="3"/>
        </w:rPr>
        <w:t xml:space="preserve"> </w:t>
      </w:r>
      <w:r w:rsidRPr="00E3232D">
        <w:rPr>
          <w:rFonts w:ascii="Book Antiqua" w:hAnsi="Book Antiqua"/>
        </w:rPr>
        <w:t>me</w:t>
      </w:r>
      <w:r w:rsidRPr="00E3232D">
        <w:rPr>
          <w:rFonts w:ascii="Book Antiqua" w:hAnsi="Book Antiqua"/>
          <w:spacing w:val="-1"/>
        </w:rPr>
        <w:t>a</w:t>
      </w:r>
      <w:r w:rsidRPr="00E3232D">
        <w:rPr>
          <w:rFonts w:ascii="Book Antiqua" w:hAnsi="Book Antiqua"/>
        </w:rPr>
        <w:t>sur</w:t>
      </w:r>
      <w:r w:rsidRPr="00E3232D">
        <w:rPr>
          <w:rFonts w:ascii="Book Antiqua" w:hAnsi="Book Antiqua"/>
          <w:spacing w:val="-1"/>
        </w:rPr>
        <w:t>e</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that</w:t>
      </w:r>
      <w:r w:rsidRPr="00E3232D">
        <w:rPr>
          <w:rFonts w:ascii="Book Antiqua" w:hAnsi="Book Antiqua"/>
          <w:spacing w:val="3"/>
        </w:rPr>
        <w:t xml:space="preserve"> </w:t>
      </w:r>
      <w:r w:rsidRPr="00E3232D">
        <w:rPr>
          <w:rFonts w:ascii="Book Antiqua" w:hAnsi="Book Antiqua"/>
        </w:rPr>
        <w:t>will</w:t>
      </w:r>
      <w:r w:rsidRPr="00E3232D">
        <w:rPr>
          <w:rFonts w:ascii="Book Antiqua" w:hAnsi="Book Antiqua"/>
          <w:spacing w:val="3"/>
        </w:rPr>
        <w:t xml:space="preserve"> </w:t>
      </w:r>
      <w:r w:rsidRPr="00E3232D">
        <w:rPr>
          <w:rFonts w:ascii="Book Antiqua" w:hAnsi="Book Antiqua"/>
        </w:rPr>
        <w:t>le</w:t>
      </w:r>
      <w:r w:rsidRPr="00E3232D">
        <w:rPr>
          <w:rFonts w:ascii="Book Antiqua" w:hAnsi="Book Antiqua"/>
          <w:spacing w:val="-1"/>
        </w:rPr>
        <w:t>a</w:t>
      </w:r>
      <w:r w:rsidRPr="00E3232D">
        <w:rPr>
          <w:rFonts w:ascii="Book Antiqua" w:hAnsi="Book Antiqua"/>
        </w:rPr>
        <w:t>d</w:t>
      </w:r>
      <w:r w:rsidRPr="00E3232D">
        <w:rPr>
          <w:rFonts w:ascii="Book Antiqua" w:hAnsi="Book Antiqua"/>
          <w:spacing w:val="7"/>
        </w:rPr>
        <w:t xml:space="preserve"> </w:t>
      </w:r>
      <w:r w:rsidRPr="00E3232D">
        <w:rPr>
          <w:rFonts w:ascii="Book Antiqua" w:hAnsi="Book Antiqua"/>
        </w:rPr>
        <w:t>to</w:t>
      </w:r>
      <w:r w:rsidRPr="00E3232D">
        <w:rPr>
          <w:rFonts w:ascii="Book Antiqua" w:hAnsi="Book Antiqua"/>
          <w:spacing w:val="3"/>
        </w:rPr>
        <w:t xml:space="preserve"> </w:t>
      </w:r>
      <w:r w:rsidRPr="00E3232D">
        <w:rPr>
          <w:rFonts w:ascii="Book Antiqua" w:hAnsi="Book Antiqua"/>
          <w:spacing w:val="-2"/>
        </w:rPr>
        <w:t>i</w:t>
      </w:r>
      <w:r w:rsidRPr="00E3232D">
        <w:rPr>
          <w:rFonts w:ascii="Book Antiqua" w:hAnsi="Book Antiqua"/>
        </w:rPr>
        <w:t>mprov</w:t>
      </w:r>
      <w:r w:rsidRPr="00E3232D">
        <w:rPr>
          <w:rFonts w:ascii="Book Antiqua" w:hAnsi="Book Antiqua"/>
          <w:spacing w:val="-1"/>
        </w:rPr>
        <w:t>e</w:t>
      </w:r>
      <w:r w:rsidRPr="00E3232D">
        <w:rPr>
          <w:rFonts w:ascii="Book Antiqua" w:hAnsi="Book Antiqua"/>
        </w:rPr>
        <w:t>ment</w:t>
      </w:r>
      <w:r w:rsidRPr="00E3232D">
        <w:rPr>
          <w:rFonts w:ascii="Book Antiqua" w:hAnsi="Book Antiqua"/>
          <w:spacing w:val="3"/>
        </w:rPr>
        <w:t xml:space="preserve"> </w:t>
      </w:r>
      <w:r w:rsidRPr="00E3232D">
        <w:rPr>
          <w:rFonts w:ascii="Book Antiqua" w:hAnsi="Book Antiqua"/>
        </w:rPr>
        <w:t>in</w:t>
      </w:r>
      <w:r w:rsidRPr="00E3232D">
        <w:rPr>
          <w:rFonts w:ascii="Book Antiqua" w:hAnsi="Book Antiqua"/>
          <w:spacing w:val="3"/>
        </w:rPr>
        <w:t xml:space="preserve"> </w:t>
      </w:r>
      <w:r w:rsidRPr="00E3232D">
        <w:rPr>
          <w:rFonts w:ascii="Book Antiqua" w:hAnsi="Book Antiqua"/>
        </w:rPr>
        <w:t>the ski</w:t>
      </w:r>
      <w:r w:rsidRPr="00E3232D">
        <w:rPr>
          <w:rFonts w:ascii="Book Antiqua" w:hAnsi="Book Antiqua"/>
          <w:spacing w:val="1"/>
        </w:rPr>
        <w:t>l</w:t>
      </w:r>
      <w:r w:rsidRPr="00E3232D">
        <w:rPr>
          <w:rFonts w:ascii="Book Antiqua" w:hAnsi="Book Antiqua"/>
        </w:rPr>
        <w:t>l</w:t>
      </w:r>
      <w:r w:rsidRPr="00E3232D">
        <w:rPr>
          <w:rFonts w:ascii="Book Antiqua" w:hAnsi="Book Antiqua"/>
          <w:spacing w:val="-2"/>
        </w:rPr>
        <w:t>s</w:t>
      </w:r>
      <w:r w:rsidRPr="00E3232D">
        <w:rPr>
          <w:rFonts w:ascii="Book Antiqua" w:hAnsi="Book Antiqua"/>
        </w:rPr>
        <w:t>, 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ial</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bi</w:t>
      </w:r>
      <w:r w:rsidRPr="00E3232D">
        <w:rPr>
          <w:rFonts w:ascii="Book Antiqua" w:hAnsi="Book Antiqua"/>
          <w:spacing w:val="1"/>
        </w:rPr>
        <w:t>l</w:t>
      </w:r>
      <w:r w:rsidRPr="00E3232D">
        <w:rPr>
          <w:rFonts w:ascii="Book Antiqua" w:hAnsi="Book Antiqua"/>
        </w:rPr>
        <w:t>i</w:t>
      </w:r>
      <w:r w:rsidRPr="00E3232D">
        <w:rPr>
          <w:rFonts w:ascii="Book Antiqua" w:hAnsi="Book Antiqua"/>
          <w:spacing w:val="1"/>
        </w:rPr>
        <w:t>t</w:t>
      </w:r>
      <w:r w:rsidRPr="00E3232D">
        <w:rPr>
          <w:rFonts w:ascii="Book Antiqua" w:hAnsi="Book Antiqua"/>
        </w:rPr>
        <w:t>ies</w:t>
      </w:r>
      <w:r w:rsidRPr="00E3232D">
        <w:rPr>
          <w:rFonts w:ascii="Book Antiqua" w:hAnsi="Book Antiqua"/>
          <w:spacing w:val="1"/>
        </w:rPr>
        <w:t xml:space="preserve"> </w:t>
      </w:r>
      <w:r w:rsidRPr="00E3232D">
        <w:rPr>
          <w:rFonts w:ascii="Book Antiqua" w:hAnsi="Book Antiqua"/>
        </w:rPr>
        <w:t>of</w:t>
      </w:r>
      <w:r w:rsidRPr="00E3232D">
        <w:rPr>
          <w:rFonts w:ascii="Book Antiqua" w:hAnsi="Book Antiqua"/>
          <w:spacing w:val="1"/>
        </w:rPr>
        <w:t xml:space="preserve"> </w:t>
      </w:r>
      <w:r w:rsidRPr="00E3232D">
        <w:rPr>
          <w:rFonts w:ascii="Book Antiqua" w:hAnsi="Book Antiqua"/>
        </w:rPr>
        <w:t>potential</w:t>
      </w:r>
      <w:r w:rsidRPr="00E3232D">
        <w:rPr>
          <w:rFonts w:ascii="Book Antiqua" w:hAnsi="Book Antiqua"/>
          <w:spacing w:val="4"/>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7"/>
        </w:rPr>
        <w:t xml:space="preserve"> </w:t>
      </w:r>
      <w:r w:rsidRPr="00E3232D">
        <w:rPr>
          <w:rFonts w:ascii="Book Antiqua" w:hAnsi="Book Antiqua"/>
          <w:spacing w:val="-3"/>
        </w:rPr>
        <w:t>I</w:t>
      </w:r>
      <w:r w:rsidRPr="00E3232D">
        <w:rPr>
          <w:rFonts w:ascii="Book Antiqua" w:hAnsi="Book Antiqua"/>
        </w:rPr>
        <w:t>n</w:t>
      </w:r>
      <w:r w:rsidRPr="00E3232D">
        <w:rPr>
          <w:rFonts w:ascii="Book Antiqua" w:hAnsi="Book Antiqua"/>
          <w:spacing w:val="1"/>
        </w:rPr>
        <w:t>f</w:t>
      </w:r>
      <w:r w:rsidRPr="00E3232D">
        <w:rPr>
          <w:rFonts w:ascii="Book Antiqua" w:hAnsi="Book Antiqua"/>
          <w:spacing w:val="-1"/>
        </w:rPr>
        <w:t>e</w:t>
      </w:r>
      <w:r w:rsidRPr="00E3232D">
        <w:rPr>
          <w:rFonts w:ascii="Book Antiqua" w:hAnsi="Book Antiqua"/>
        </w:rPr>
        <w:t>r</w:t>
      </w:r>
      <w:r w:rsidRPr="00E3232D">
        <w:rPr>
          <w:rFonts w:ascii="Book Antiqua" w:hAnsi="Book Antiqua"/>
          <w:spacing w:val="4"/>
        </w:rPr>
        <w:t xml:space="preserve"> </w:t>
      </w:r>
      <w:r w:rsidRPr="00E3232D">
        <w:rPr>
          <w:rFonts w:ascii="Book Antiqua" w:hAnsi="Book Antiqua"/>
        </w:rPr>
        <w:t xml:space="preserve">for innovative </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t</w:t>
      </w:r>
      <w:r w:rsidRPr="00E3232D">
        <w:rPr>
          <w:rFonts w:ascii="Book Antiqua" w:hAnsi="Book Antiqua"/>
        </w:rPr>
        <w:t>i</w:t>
      </w:r>
      <w:r w:rsidRPr="00E3232D">
        <w:rPr>
          <w:rFonts w:ascii="Book Antiqua" w:hAnsi="Book Antiqua"/>
          <w:spacing w:val="1"/>
        </w:rPr>
        <w:t>t</w:t>
      </w:r>
      <w:r w:rsidRPr="00E3232D">
        <w:rPr>
          <w:rFonts w:ascii="Book Antiqua" w:hAnsi="Book Antiqua"/>
        </w:rPr>
        <w:t>ud</w:t>
      </w:r>
      <w:r w:rsidRPr="00E3232D">
        <w:rPr>
          <w:rFonts w:ascii="Book Antiqua" w:hAnsi="Book Antiqua"/>
          <w:spacing w:val="-1"/>
        </w:rPr>
        <w:t>e</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of</w:t>
      </w:r>
      <w:r w:rsidRPr="00E3232D">
        <w:rPr>
          <w:rFonts w:ascii="Book Antiqua" w:hAnsi="Book Antiqua"/>
          <w:spacing w:val="4"/>
        </w:rPr>
        <w:t xml:space="preserve"> </w:t>
      </w:r>
      <w:r w:rsidRPr="00E3232D">
        <w:rPr>
          <w:rFonts w:ascii="Book Antiqua" w:hAnsi="Book Antiqua"/>
        </w:rPr>
        <w:t>potential m</w:t>
      </w:r>
      <w:r w:rsidRPr="00E3232D">
        <w:rPr>
          <w:rFonts w:ascii="Book Antiqua" w:hAnsi="Book Antiqua"/>
          <w:spacing w:val="-1"/>
        </w:rPr>
        <w:t>ic</w:t>
      </w:r>
      <w:r w:rsidRPr="00E3232D">
        <w:rPr>
          <w:rFonts w:ascii="Book Antiqua" w:hAnsi="Book Antiqua"/>
        </w:rPr>
        <w:t>ro</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3"/>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w:t>
      </w:r>
      <w:r w:rsidRPr="00E3232D">
        <w:rPr>
          <w:rFonts w:ascii="Book Antiqua" w:hAnsi="Book Antiqua"/>
          <w:spacing w:val="4"/>
        </w:rPr>
        <w:t xml:space="preserve"> </w:t>
      </w:r>
      <w:r w:rsidRPr="00E3232D">
        <w:rPr>
          <w:rFonts w:ascii="Book Antiqua" w:hAnsi="Book Antiqua"/>
        </w:rPr>
        <w:t>to</w:t>
      </w:r>
      <w:r w:rsidRPr="00E3232D">
        <w:rPr>
          <w:rFonts w:ascii="Book Antiqua" w:hAnsi="Book Antiqua"/>
          <w:spacing w:val="3"/>
        </w:rPr>
        <w:t xml:space="preserve"> </w:t>
      </w:r>
      <w:r w:rsidRPr="00E3232D">
        <w:rPr>
          <w:rFonts w:ascii="Book Antiqua" w:hAnsi="Book Antiqua"/>
          <w:spacing w:val="-1"/>
        </w:rPr>
        <w:t>e</w:t>
      </w:r>
      <w:r w:rsidRPr="00E3232D">
        <w:rPr>
          <w:rFonts w:ascii="Book Antiqua" w:hAnsi="Book Antiqua"/>
        </w:rPr>
        <w:t>nsuring</w:t>
      </w:r>
      <w:r w:rsidRPr="00E3232D">
        <w:rPr>
          <w:rFonts w:ascii="Book Antiqua" w:hAnsi="Book Antiqua"/>
          <w:spacing w:val="1"/>
        </w:rPr>
        <w:t xml:space="preserve"> </w:t>
      </w:r>
      <w:r w:rsidRPr="00E3232D">
        <w:rPr>
          <w:rFonts w:ascii="Book Antiqua" w:hAnsi="Book Antiqua"/>
        </w:rPr>
        <w:t>business</w:t>
      </w:r>
      <w:r w:rsidRPr="00E3232D">
        <w:rPr>
          <w:rFonts w:ascii="Book Antiqua" w:hAnsi="Book Antiqua"/>
          <w:spacing w:val="3"/>
        </w:rPr>
        <w:t xml:space="preserve"> </w:t>
      </w:r>
      <w:r w:rsidRPr="00E3232D">
        <w:rPr>
          <w:rFonts w:ascii="Book Antiqua" w:hAnsi="Book Antiqua"/>
          <w:spacing w:val="-2"/>
        </w:rPr>
        <w:t>g</w:t>
      </w:r>
      <w:r w:rsidRPr="00E3232D">
        <w:rPr>
          <w:rFonts w:ascii="Book Antiqua" w:hAnsi="Book Antiqua"/>
        </w:rPr>
        <w:t>ro</w:t>
      </w:r>
      <w:r w:rsidRPr="00E3232D">
        <w:rPr>
          <w:rFonts w:ascii="Book Antiqua" w:hAnsi="Book Antiqua"/>
          <w:spacing w:val="-1"/>
        </w:rPr>
        <w:t>w</w:t>
      </w:r>
      <w:r w:rsidRPr="00E3232D">
        <w:rPr>
          <w:rFonts w:ascii="Book Antiqua" w:hAnsi="Book Antiqua"/>
        </w:rPr>
        <w:t>th</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nd mic</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6"/>
        </w:rPr>
        <w:t xml:space="preserve"> </w:t>
      </w:r>
      <w:r w:rsidRPr="00E3232D">
        <w:rPr>
          <w:rFonts w:ascii="Book Antiqua" w:hAnsi="Book Antiqua"/>
          <w:spacing w:val="2"/>
        </w:rPr>
        <w:t>r</w:t>
      </w:r>
      <w:r w:rsidRPr="00E3232D">
        <w:rPr>
          <w:rFonts w:ascii="Book Antiqua" w:hAnsi="Book Antiqua"/>
          <w:spacing w:val="-1"/>
        </w:rPr>
        <w:t>ec</w:t>
      </w:r>
      <w:r w:rsidRPr="00E3232D">
        <w:rPr>
          <w:rFonts w:ascii="Book Antiqua" w:hAnsi="Book Antiqua"/>
        </w:rPr>
        <w:t>om</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nd</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w:t>
      </w:r>
      <w:r w:rsidRPr="00E3232D">
        <w:rPr>
          <w:rFonts w:ascii="Book Antiqua" w:hAnsi="Book Antiqua"/>
          <w:spacing w:val="3"/>
        </w:rPr>
        <w:t xml:space="preserve"> </w:t>
      </w:r>
      <w:r w:rsidRPr="00E3232D">
        <w:rPr>
          <w:rFonts w:ascii="Book Antiqua" w:hAnsi="Book Antiqua"/>
        </w:rPr>
        <w:t>to</w:t>
      </w:r>
      <w:r w:rsidRPr="00E3232D">
        <w:rPr>
          <w:rFonts w:ascii="Book Antiqua" w:hAnsi="Book Antiqua"/>
          <w:spacing w:val="2"/>
        </w:rPr>
        <w:t xml:space="preserve"> </w:t>
      </w:r>
      <w:r w:rsidRPr="00E3232D">
        <w:rPr>
          <w:rFonts w:ascii="Book Antiqua" w:hAnsi="Book Antiqua"/>
        </w:rPr>
        <w:t>pol</w:t>
      </w:r>
      <w:r w:rsidRPr="00E3232D">
        <w:rPr>
          <w:rFonts w:ascii="Book Antiqua" w:hAnsi="Book Antiqua"/>
          <w:spacing w:val="1"/>
        </w:rPr>
        <w:t>i</w:t>
      </w:r>
      <w:r w:rsidRPr="00E3232D">
        <w:rPr>
          <w:rFonts w:ascii="Book Antiqua" w:hAnsi="Book Antiqua"/>
          <w:spacing w:val="4"/>
        </w:rPr>
        <w:t>c</w:t>
      </w:r>
      <w:r w:rsidRPr="00E3232D">
        <w:rPr>
          <w:rFonts w:ascii="Book Antiqua" w:hAnsi="Book Antiqua"/>
        </w:rPr>
        <w:t>y mak</w:t>
      </w:r>
      <w:r w:rsidRPr="00E3232D">
        <w:rPr>
          <w:rFonts w:ascii="Book Antiqua" w:hAnsi="Book Antiqua"/>
          <w:spacing w:val="-1"/>
        </w:rPr>
        <w:t>e</w:t>
      </w:r>
      <w:r w:rsidRPr="00E3232D">
        <w:rPr>
          <w:rFonts w:ascii="Book Antiqua" w:hAnsi="Book Antiqua"/>
        </w:rPr>
        <w:t>rs</w:t>
      </w:r>
      <w:r w:rsidRPr="00E3232D">
        <w:rPr>
          <w:rFonts w:ascii="Book Antiqua" w:hAnsi="Book Antiqua"/>
          <w:spacing w:val="2"/>
        </w:rPr>
        <w:t xml:space="preserve"> </w:t>
      </w:r>
      <w:r w:rsidRPr="00E3232D">
        <w:rPr>
          <w:rFonts w:ascii="Book Antiqua" w:hAnsi="Book Antiqua"/>
        </w:rPr>
        <w:t>to</w:t>
      </w:r>
      <w:r w:rsidRPr="00E3232D">
        <w:rPr>
          <w:rFonts w:ascii="Book Antiqua" w:hAnsi="Book Antiqua"/>
          <w:spacing w:val="5"/>
        </w:rPr>
        <w:t xml:space="preserve"> </w:t>
      </w:r>
      <w:r w:rsidRPr="00E3232D">
        <w:rPr>
          <w:rFonts w:ascii="Book Antiqua" w:hAnsi="Book Antiqua"/>
        </w:rPr>
        <w:t>f</w:t>
      </w:r>
      <w:r w:rsidRPr="00E3232D">
        <w:rPr>
          <w:rFonts w:ascii="Book Antiqua" w:hAnsi="Book Antiqua"/>
          <w:spacing w:val="-2"/>
        </w:rPr>
        <w:t>a</w:t>
      </w:r>
      <w:r w:rsidRPr="00E3232D">
        <w:rPr>
          <w:rFonts w:ascii="Book Antiqua" w:hAnsi="Book Antiqua"/>
        </w:rPr>
        <w:t>shion</w:t>
      </w:r>
      <w:r w:rsidRPr="00E3232D">
        <w:rPr>
          <w:rFonts w:ascii="Book Antiqua" w:hAnsi="Book Antiqua"/>
          <w:spacing w:val="3"/>
        </w:rPr>
        <w:t xml:space="preserve"> </w:t>
      </w:r>
      <w:r w:rsidRPr="00E3232D">
        <w:rPr>
          <w:rFonts w:ascii="Book Antiqua" w:hAnsi="Book Antiqua"/>
        </w:rPr>
        <w:t>out</w:t>
      </w:r>
      <w:r w:rsidRPr="00E3232D">
        <w:rPr>
          <w:rFonts w:ascii="Book Antiqua" w:hAnsi="Book Antiqua"/>
          <w:spacing w:val="5"/>
        </w:rPr>
        <w:t xml:space="preserve"> </w:t>
      </w:r>
      <w:r w:rsidRPr="00E3232D">
        <w:rPr>
          <w:rFonts w:ascii="Book Antiqua" w:hAnsi="Book Antiqua"/>
        </w:rPr>
        <w:t>p</w:t>
      </w:r>
      <w:r w:rsidRPr="00E3232D">
        <w:rPr>
          <w:rFonts w:ascii="Book Antiqua" w:hAnsi="Book Antiqua"/>
          <w:spacing w:val="2"/>
        </w:rPr>
        <w:t>o</w:t>
      </w:r>
      <w:r w:rsidRPr="00E3232D">
        <w:rPr>
          <w:rFonts w:ascii="Book Antiqua" w:hAnsi="Book Antiqua"/>
        </w:rPr>
        <w:t>l</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ies</w:t>
      </w:r>
      <w:r w:rsidRPr="00E3232D">
        <w:rPr>
          <w:rFonts w:ascii="Book Antiqua" w:hAnsi="Book Antiqua"/>
          <w:spacing w:val="2"/>
        </w:rPr>
        <w:t xml:space="preserve"> </w:t>
      </w:r>
      <w:r w:rsidRPr="00E3232D">
        <w:rPr>
          <w:rFonts w:ascii="Book Antiqua" w:hAnsi="Book Antiqua"/>
        </w:rPr>
        <w:t>tow</w:t>
      </w:r>
      <w:r w:rsidRPr="00E3232D">
        <w:rPr>
          <w:rFonts w:ascii="Book Antiqua" w:hAnsi="Book Antiqua"/>
          <w:spacing w:val="-1"/>
        </w:rPr>
        <w:t>a</w:t>
      </w:r>
      <w:r w:rsidRPr="00E3232D">
        <w:rPr>
          <w:rFonts w:ascii="Book Antiqua" w:hAnsi="Book Antiqua"/>
        </w:rPr>
        <w:t>rds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2"/>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 bo</w:t>
      </w:r>
      <w:r w:rsidRPr="00E3232D">
        <w:rPr>
          <w:rFonts w:ascii="Book Antiqua" w:hAnsi="Book Antiqua"/>
          <w:spacing w:val="2"/>
        </w:rPr>
        <w:t>r</w:t>
      </w:r>
      <w:r w:rsidRPr="00E3232D">
        <w:rPr>
          <w:rFonts w:ascii="Book Antiqua" w:hAnsi="Book Antiqua"/>
        </w:rPr>
        <w:t>ro</w:t>
      </w:r>
      <w:r w:rsidRPr="00E3232D">
        <w:rPr>
          <w:rFonts w:ascii="Book Antiqua" w:hAnsi="Book Antiqua"/>
          <w:spacing w:val="-1"/>
        </w:rPr>
        <w:t>we</w:t>
      </w:r>
      <w:r w:rsidRPr="00E3232D">
        <w:rPr>
          <w:rFonts w:ascii="Book Antiqua" w:hAnsi="Book Antiqua"/>
        </w:rPr>
        <w:t>rs.</w:t>
      </w:r>
    </w:p>
    <w:p w14:paraId="22D04437" w14:textId="77777777" w:rsidR="0057286B" w:rsidRPr="00E3232D" w:rsidRDefault="0057286B" w:rsidP="00465AE3">
      <w:pPr>
        <w:widowControl w:val="0"/>
        <w:autoSpaceDE w:val="0"/>
        <w:autoSpaceDN w:val="0"/>
        <w:adjustRightInd w:val="0"/>
        <w:spacing w:after="0"/>
        <w:ind w:right="77"/>
        <w:jc w:val="both"/>
        <w:rPr>
          <w:rFonts w:ascii="Book Antiqua" w:hAnsi="Book Antiqua"/>
        </w:rPr>
      </w:pPr>
      <w:r w:rsidRPr="00E3232D">
        <w:rPr>
          <w:rFonts w:ascii="Book Antiqua" w:hAnsi="Book Antiqua"/>
          <w:spacing w:val="-3"/>
        </w:rPr>
        <w:t>I</w:t>
      </w:r>
      <w:r w:rsidRPr="00E3232D">
        <w:rPr>
          <w:rFonts w:ascii="Book Antiqua" w:hAnsi="Book Antiqua"/>
        </w:rPr>
        <w:t>t</w:t>
      </w:r>
      <w:r w:rsidRPr="00E3232D">
        <w:rPr>
          <w:rFonts w:ascii="Book Antiqua" w:hAnsi="Book Antiqua"/>
          <w:spacing w:val="3"/>
        </w:rPr>
        <w:t xml:space="preserve"> </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b</w:t>
      </w:r>
      <w:r w:rsidRPr="00E3232D">
        <w:rPr>
          <w:rFonts w:ascii="Book Antiqua" w:hAnsi="Book Antiqua"/>
          <w:spacing w:val="1"/>
        </w:rPr>
        <w:t>e</w:t>
      </w:r>
      <w:r w:rsidRPr="00E3232D">
        <w:rPr>
          <w:rFonts w:ascii="Book Antiqua" w:hAnsi="Book Antiqua"/>
          <w:spacing w:val="-1"/>
        </w:rPr>
        <w:t>e</w:t>
      </w:r>
      <w:r w:rsidRPr="00E3232D">
        <w:rPr>
          <w:rFonts w:ascii="Book Antiqua" w:hAnsi="Book Antiqua"/>
        </w:rPr>
        <w:t>n</w:t>
      </w:r>
      <w:r w:rsidRPr="00E3232D">
        <w:rPr>
          <w:rFonts w:ascii="Book Antiqua" w:hAnsi="Book Antiqua"/>
          <w:spacing w:val="3"/>
        </w:rPr>
        <w:t xml:space="preserve"> </w:t>
      </w:r>
      <w:r w:rsidRPr="00E3232D">
        <w:rPr>
          <w:rFonts w:ascii="Book Antiqua" w:hAnsi="Book Antiqua"/>
        </w:rPr>
        <w:t>obse</w:t>
      </w:r>
      <w:r w:rsidRPr="00E3232D">
        <w:rPr>
          <w:rFonts w:ascii="Book Antiqua" w:hAnsi="Book Antiqua"/>
          <w:spacing w:val="-1"/>
        </w:rPr>
        <w:t>r</w:t>
      </w:r>
      <w:r w:rsidRPr="00E3232D">
        <w:rPr>
          <w:rFonts w:ascii="Book Antiqua" w:hAnsi="Book Antiqua"/>
          <w:spacing w:val="2"/>
        </w:rPr>
        <w:t>v</w:t>
      </w:r>
      <w:r w:rsidRPr="00E3232D">
        <w:rPr>
          <w:rFonts w:ascii="Book Antiqua" w:hAnsi="Book Antiqua"/>
          <w:spacing w:val="-1"/>
        </w:rPr>
        <w:t>e</w:t>
      </w:r>
      <w:r w:rsidRPr="00E3232D">
        <w:rPr>
          <w:rFonts w:ascii="Book Antiqua" w:hAnsi="Book Antiqua"/>
        </w:rPr>
        <w:t>d</w:t>
      </w:r>
      <w:r w:rsidRPr="00E3232D">
        <w:rPr>
          <w:rFonts w:ascii="Book Antiqua" w:hAnsi="Book Antiqua"/>
          <w:spacing w:val="3"/>
        </w:rPr>
        <w:t xml:space="preserve"> </w:t>
      </w:r>
      <w:r w:rsidRPr="00E3232D">
        <w:rPr>
          <w:rFonts w:ascii="Book Antiqua" w:hAnsi="Book Antiqua"/>
        </w:rPr>
        <w:t>that</w:t>
      </w:r>
      <w:r w:rsidRPr="00E3232D">
        <w:rPr>
          <w:rFonts w:ascii="Book Antiqua" w:hAnsi="Book Antiqua"/>
          <w:spacing w:val="5"/>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rPr>
        <w:t>majo</w:t>
      </w:r>
      <w:r w:rsidRPr="00E3232D">
        <w:rPr>
          <w:rFonts w:ascii="Book Antiqua" w:hAnsi="Book Antiqua"/>
          <w:spacing w:val="-1"/>
        </w:rPr>
        <w:t>r</w:t>
      </w:r>
      <w:r w:rsidRPr="00E3232D">
        <w:rPr>
          <w:rFonts w:ascii="Book Antiqua" w:hAnsi="Book Antiqua"/>
        </w:rPr>
        <w:t>i</w:t>
      </w:r>
      <w:r w:rsidRPr="00E3232D">
        <w:rPr>
          <w:rFonts w:ascii="Book Antiqua" w:hAnsi="Book Antiqua"/>
          <w:spacing w:val="3"/>
        </w:rPr>
        <w:t>t</w:t>
      </w:r>
      <w:r w:rsidRPr="00E3232D">
        <w:rPr>
          <w:rFonts w:ascii="Book Antiqua" w:hAnsi="Book Antiqua"/>
        </w:rPr>
        <w:t>y of</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2"/>
        </w:rPr>
        <w:t>s</w:t>
      </w:r>
      <w:r w:rsidRPr="00E3232D">
        <w:rPr>
          <w:rFonts w:ascii="Book Antiqua" w:hAnsi="Book Antiqua"/>
        </w:rPr>
        <w:t>e</w:t>
      </w:r>
      <w:r w:rsidRPr="00E3232D">
        <w:rPr>
          <w:rFonts w:ascii="Book Antiqua" w:hAnsi="Book Antiqua"/>
          <w:spacing w:val="2"/>
        </w:rPr>
        <w:t xml:space="preserve"> </w:t>
      </w:r>
      <w:r w:rsidRPr="00E3232D">
        <w:rPr>
          <w:rFonts w:ascii="Book Antiqua" w:hAnsi="Book Antiqua"/>
        </w:rPr>
        <w:t>p</w:t>
      </w:r>
      <w:r w:rsidRPr="00E3232D">
        <w:rPr>
          <w:rFonts w:ascii="Book Antiqua" w:hAnsi="Book Antiqua"/>
          <w:spacing w:val="2"/>
        </w:rPr>
        <w:t>o</w:t>
      </w:r>
      <w:r w:rsidRPr="00E3232D">
        <w:rPr>
          <w:rFonts w:ascii="Book Antiqua" w:hAnsi="Book Antiqua"/>
        </w:rPr>
        <w:t>tential</w:t>
      </w:r>
      <w:r w:rsidRPr="00E3232D">
        <w:rPr>
          <w:rFonts w:ascii="Book Antiqua" w:hAnsi="Book Antiqua"/>
          <w:spacing w:val="3"/>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8"/>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spacing w:val="2"/>
        </w:rPr>
        <w:t>p</w:t>
      </w:r>
      <w:r w:rsidRPr="00E3232D">
        <w:rPr>
          <w:rFonts w:ascii="Book Antiqua" w:hAnsi="Book Antiqua"/>
        </w:rPr>
        <w:t>r</w:t>
      </w:r>
      <w:r w:rsidRPr="00E3232D">
        <w:rPr>
          <w:rFonts w:ascii="Book Antiqua" w:hAnsi="Book Antiqua"/>
          <w:spacing w:val="-2"/>
        </w:rPr>
        <w:t>e</w:t>
      </w:r>
      <w:r w:rsidRPr="00E3232D">
        <w:rPr>
          <w:rFonts w:ascii="Book Antiqua" w:hAnsi="Book Antiqua"/>
          <w:spacing w:val="2"/>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w:t>
      </w:r>
      <w:r w:rsidRPr="00E3232D">
        <w:rPr>
          <w:rFonts w:ascii="Book Antiqua" w:hAnsi="Book Antiqua"/>
          <w:spacing w:val="3"/>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w</w:t>
      </w:r>
      <w:r w:rsidRPr="00E3232D">
        <w:rPr>
          <w:rFonts w:ascii="Book Antiqua" w:hAnsi="Book Antiqua"/>
          <w:spacing w:val="-1"/>
        </w:rPr>
        <w:t>e</w:t>
      </w:r>
      <w:r w:rsidRPr="00E3232D">
        <w:rPr>
          <w:rFonts w:ascii="Book Antiqua" w:hAnsi="Book Antiqua"/>
        </w:rPr>
        <w:t xml:space="preserve">rs </w:t>
      </w:r>
      <w:r w:rsidRPr="00E3232D">
        <w:rPr>
          <w:rFonts w:ascii="Book Antiqua" w:hAnsi="Book Antiqua"/>
          <w:spacing w:val="-1"/>
        </w:rPr>
        <w:t>a</w:t>
      </w:r>
      <w:r w:rsidRPr="00E3232D">
        <w:rPr>
          <w:rFonts w:ascii="Book Antiqua" w:hAnsi="Book Antiqua"/>
        </w:rPr>
        <w:t xml:space="preserve">re </w:t>
      </w:r>
      <w:r w:rsidRPr="00E3232D">
        <w:rPr>
          <w:rFonts w:ascii="Book Antiqua" w:hAnsi="Book Antiqua"/>
          <w:spacing w:val="2"/>
        </w:rPr>
        <w:t xml:space="preserve"> </w:t>
      </w:r>
      <w:r w:rsidRPr="00E3232D">
        <w:rPr>
          <w:rFonts w:ascii="Book Antiqua" w:hAnsi="Book Antiqua"/>
        </w:rPr>
        <w:t>with</w:t>
      </w:r>
      <w:r w:rsidRPr="00E3232D">
        <w:rPr>
          <w:rFonts w:ascii="Book Antiqua" w:hAnsi="Book Antiqua"/>
          <w:spacing w:val="1"/>
        </w:rPr>
        <w:t>i</w:t>
      </w:r>
      <w:r w:rsidRPr="00E3232D">
        <w:rPr>
          <w:rFonts w:ascii="Book Antiqua" w:hAnsi="Book Antiqua"/>
        </w:rPr>
        <w:t xml:space="preserve">n </w:t>
      </w:r>
      <w:r w:rsidRPr="00E3232D">
        <w:rPr>
          <w:rFonts w:ascii="Book Antiqua" w:hAnsi="Book Antiqua"/>
          <w:spacing w:val="4"/>
        </w:rPr>
        <w:t xml:space="preserve"> </w:t>
      </w:r>
      <w:r w:rsidRPr="00E3232D">
        <w:rPr>
          <w:rFonts w:ascii="Book Antiqua" w:hAnsi="Book Antiqua"/>
        </w:rPr>
        <w:t xml:space="preserve">the </w:t>
      </w:r>
      <w:r w:rsidRPr="00E3232D">
        <w:rPr>
          <w:rFonts w:ascii="Book Antiqua" w:hAnsi="Book Antiqua"/>
          <w:spacing w:val="3"/>
        </w:rPr>
        <w:t xml:space="preserve"> </w:t>
      </w:r>
      <w:r w:rsidRPr="00E3232D">
        <w:rPr>
          <w:rFonts w:ascii="Book Antiqua" w:hAnsi="Book Antiqua"/>
        </w:rPr>
        <w:t>info</w:t>
      </w:r>
      <w:r w:rsidRPr="00E3232D">
        <w:rPr>
          <w:rFonts w:ascii="Book Antiqua" w:hAnsi="Book Antiqua"/>
          <w:spacing w:val="-1"/>
        </w:rPr>
        <w:t>r</w:t>
      </w:r>
      <w:r w:rsidRPr="00E3232D">
        <w:rPr>
          <w:rFonts w:ascii="Book Antiqua" w:hAnsi="Book Antiqua"/>
        </w:rPr>
        <w:t xml:space="preserve">mal </w:t>
      </w:r>
      <w:r w:rsidRPr="00E3232D">
        <w:rPr>
          <w:rFonts w:ascii="Book Antiqua" w:hAnsi="Book Antiqua"/>
          <w:spacing w:val="4"/>
        </w:rPr>
        <w:t xml:space="preserve"> </w:t>
      </w:r>
      <w:r w:rsidRPr="00E3232D">
        <w:rPr>
          <w:rFonts w:ascii="Book Antiqua" w:hAnsi="Book Antiqua"/>
          <w:spacing w:val="-1"/>
        </w:rPr>
        <w:t>ec</w:t>
      </w:r>
      <w:r w:rsidRPr="00E3232D">
        <w:rPr>
          <w:rFonts w:ascii="Book Antiqua" w:hAnsi="Book Antiqua"/>
        </w:rPr>
        <w:t>on</w:t>
      </w:r>
      <w:r w:rsidRPr="00E3232D">
        <w:rPr>
          <w:rFonts w:ascii="Book Antiqua" w:hAnsi="Book Antiqua"/>
          <w:spacing w:val="2"/>
        </w:rPr>
        <w:t>o</w:t>
      </w:r>
      <w:r w:rsidRPr="00E3232D">
        <w:rPr>
          <w:rFonts w:ascii="Book Antiqua" w:hAnsi="Book Antiqua"/>
          <w:spacing w:val="3"/>
        </w:rPr>
        <w:t>m</w:t>
      </w:r>
      <w:r w:rsidRPr="00E3232D">
        <w:rPr>
          <w:rFonts w:ascii="Book Antiqua" w:hAnsi="Book Antiqua"/>
        </w:rPr>
        <w:t xml:space="preserve">y  </w:t>
      </w:r>
      <w:r w:rsidRPr="00E3232D">
        <w:rPr>
          <w:rFonts w:ascii="Book Antiqua" w:hAnsi="Book Antiqua"/>
          <w:spacing w:val="-1"/>
        </w:rPr>
        <w:t>a</w:t>
      </w:r>
      <w:r w:rsidRPr="00E3232D">
        <w:rPr>
          <w:rFonts w:ascii="Book Antiqua" w:hAnsi="Book Antiqua"/>
        </w:rPr>
        <w:t xml:space="preserve">nd </w:t>
      </w:r>
      <w:r w:rsidRPr="00E3232D">
        <w:rPr>
          <w:rFonts w:ascii="Book Antiqua" w:hAnsi="Book Antiqua"/>
          <w:spacing w:val="4"/>
        </w:rPr>
        <w:t xml:space="preserve"> </w:t>
      </w:r>
      <w:r w:rsidRPr="00E3232D">
        <w:rPr>
          <w:rFonts w:ascii="Book Antiqua" w:hAnsi="Book Antiqua"/>
          <w:spacing w:val="-1"/>
        </w:rPr>
        <w:t>a</w:t>
      </w:r>
      <w:r w:rsidRPr="00E3232D">
        <w:rPr>
          <w:rFonts w:ascii="Book Antiqua" w:hAnsi="Book Antiqua"/>
        </w:rPr>
        <w:t xml:space="preserve">s </w:t>
      </w:r>
      <w:r w:rsidRPr="00E3232D">
        <w:rPr>
          <w:rFonts w:ascii="Book Antiqua" w:hAnsi="Book Antiqua"/>
          <w:spacing w:val="4"/>
        </w:rPr>
        <w:t xml:space="preserve"> </w:t>
      </w:r>
      <w:r w:rsidRPr="00E3232D">
        <w:rPr>
          <w:rFonts w:ascii="Book Antiqua" w:hAnsi="Book Antiqua"/>
        </w:rPr>
        <w:t xml:space="preserve">such </w:t>
      </w:r>
      <w:r w:rsidRPr="00E3232D">
        <w:rPr>
          <w:rFonts w:ascii="Book Antiqua" w:hAnsi="Book Antiqua"/>
          <w:spacing w:val="5"/>
        </w:rPr>
        <w:t xml:space="preserve"> </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 xml:space="preserve">t </w:t>
      </w:r>
      <w:r w:rsidRPr="00E3232D">
        <w:rPr>
          <w:rFonts w:ascii="Book Antiqua" w:hAnsi="Book Antiqua"/>
          <w:spacing w:val="4"/>
        </w:rPr>
        <w:t xml:space="preserve"> </w:t>
      </w:r>
      <w:r w:rsidRPr="00E3232D">
        <w:rPr>
          <w:rFonts w:ascii="Book Antiqua" w:hAnsi="Book Antiqua"/>
        </w:rPr>
        <w:t xml:space="preserve">their </w:t>
      </w:r>
      <w:r w:rsidRPr="00E3232D">
        <w:rPr>
          <w:rFonts w:ascii="Book Antiqua" w:hAnsi="Book Antiqua"/>
          <w:spacing w:val="3"/>
        </w:rPr>
        <w:t xml:space="preserve"> </w:t>
      </w:r>
      <w:r w:rsidRPr="00E3232D">
        <w:rPr>
          <w:rFonts w:ascii="Book Antiqua" w:hAnsi="Book Antiqua"/>
        </w:rPr>
        <w:t>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spacing w:val="-1"/>
        </w:rPr>
        <w:t>e</w:t>
      </w:r>
      <w:r w:rsidRPr="00E3232D">
        <w:rPr>
          <w:rFonts w:ascii="Book Antiqua" w:hAnsi="Book Antiqua"/>
        </w:rPr>
        <w:t xml:space="preserve">s </w:t>
      </w:r>
      <w:r w:rsidRPr="00E3232D">
        <w:rPr>
          <w:rFonts w:ascii="Book Antiqua" w:hAnsi="Book Antiqua"/>
          <w:spacing w:val="4"/>
        </w:rPr>
        <w:t xml:space="preserve"> </w:t>
      </w:r>
      <w:r w:rsidRPr="00E3232D">
        <w:rPr>
          <w:rFonts w:ascii="Book Antiqua" w:hAnsi="Book Antiqua"/>
        </w:rPr>
        <w:t>f</w:t>
      </w:r>
      <w:r w:rsidRPr="00E3232D">
        <w:rPr>
          <w:rFonts w:ascii="Book Antiqua" w:hAnsi="Book Antiqua"/>
          <w:spacing w:val="-1"/>
        </w:rPr>
        <w:t>r</w:t>
      </w:r>
      <w:r w:rsidRPr="00E3232D">
        <w:rPr>
          <w:rFonts w:ascii="Book Antiqua" w:hAnsi="Book Antiqua"/>
          <w:spacing w:val="2"/>
        </w:rPr>
        <w:t>o</w:t>
      </w:r>
      <w:r w:rsidRPr="00E3232D">
        <w:rPr>
          <w:rFonts w:ascii="Book Antiqua" w:hAnsi="Book Antiqua"/>
        </w:rPr>
        <w:t xml:space="preserve">m </w:t>
      </w:r>
      <w:r w:rsidRPr="00E3232D">
        <w:rPr>
          <w:rFonts w:ascii="Book Antiqua" w:hAnsi="Book Antiqua"/>
          <w:spacing w:val="4"/>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3"/>
        </w:rPr>
        <w:t xml:space="preserve"> </w:t>
      </w:r>
      <w:r w:rsidRPr="00E3232D">
        <w:rPr>
          <w:rFonts w:ascii="Book Antiqua" w:hAnsi="Book Antiqua"/>
          <w:spacing w:val="-1"/>
        </w:rPr>
        <w:t>c</w:t>
      </w:r>
      <w:r w:rsidRPr="00E3232D">
        <w:rPr>
          <w:rFonts w:ascii="Book Antiqua" w:hAnsi="Book Antiqua"/>
        </w:rPr>
        <w:t>r</w:t>
      </w:r>
      <w:r w:rsidRPr="00E3232D">
        <w:rPr>
          <w:rFonts w:ascii="Book Antiqua" w:hAnsi="Book Antiqua"/>
          <w:spacing w:val="-2"/>
        </w:rPr>
        <w:t>e</w:t>
      </w:r>
      <w:r w:rsidRPr="00E3232D">
        <w:rPr>
          <w:rFonts w:ascii="Book Antiqua" w:hAnsi="Book Antiqua"/>
        </w:rPr>
        <w:t>dit s</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e</w:t>
      </w:r>
      <w:r w:rsidRPr="00E3232D">
        <w:rPr>
          <w:rFonts w:ascii="Book Antiqua" w:hAnsi="Book Antiqua"/>
        </w:rPr>
        <w:t xml:space="preserve">mes. </w:t>
      </w:r>
      <w:r w:rsidRPr="00E3232D">
        <w:rPr>
          <w:rFonts w:ascii="Book Antiqua" w:hAnsi="Book Antiqua"/>
          <w:spacing w:val="1"/>
        </w:rPr>
        <w:t>W</w:t>
      </w:r>
      <w:r w:rsidRPr="00E3232D">
        <w:rPr>
          <w:rFonts w:ascii="Book Antiqua" w:hAnsi="Book Antiqua"/>
        </w:rPr>
        <w:t>i</w:t>
      </w:r>
      <w:r w:rsidRPr="00E3232D">
        <w:rPr>
          <w:rFonts w:ascii="Book Antiqua" w:hAnsi="Book Antiqua"/>
          <w:spacing w:val="1"/>
        </w:rPr>
        <w:t>t</w:t>
      </w:r>
      <w:r w:rsidRPr="00E3232D">
        <w:rPr>
          <w:rFonts w:ascii="Book Antiqua" w:hAnsi="Book Antiqua"/>
        </w:rPr>
        <w:t>h r</w:t>
      </w:r>
      <w:r w:rsidRPr="00E3232D">
        <w:rPr>
          <w:rFonts w:ascii="Book Antiqua" w:hAnsi="Book Antiqua"/>
          <w:spacing w:val="-2"/>
        </w:rPr>
        <w:t>e</w:t>
      </w:r>
      <w:r w:rsidRPr="00E3232D">
        <w:rPr>
          <w:rFonts w:ascii="Book Antiqua" w:hAnsi="Book Antiqua"/>
        </w:rPr>
        <w:t>g</w:t>
      </w:r>
      <w:r w:rsidRPr="00E3232D">
        <w:rPr>
          <w:rFonts w:ascii="Book Antiqua" w:hAnsi="Book Antiqua"/>
          <w:spacing w:val="-1"/>
        </w:rPr>
        <w:t>a</w:t>
      </w:r>
      <w:r w:rsidRPr="00E3232D">
        <w:rPr>
          <w:rFonts w:ascii="Book Antiqua" w:hAnsi="Book Antiqua"/>
        </w:rPr>
        <w:t>rd to</w:t>
      </w:r>
      <w:r w:rsidRPr="00E3232D">
        <w:rPr>
          <w:rFonts w:ascii="Book Antiqua" w:hAnsi="Book Antiqua"/>
          <w:spacing w:val="2"/>
        </w:rPr>
        <w:t xml:space="preserve"> </w:t>
      </w:r>
      <w:r w:rsidRPr="00E3232D">
        <w:rPr>
          <w:rFonts w:ascii="Book Antiqua" w:hAnsi="Book Antiqua"/>
        </w:rPr>
        <w:t xml:space="preserve">the </w:t>
      </w:r>
      <w:r w:rsidRPr="00E3232D">
        <w:rPr>
          <w:rFonts w:ascii="Book Antiqua" w:hAnsi="Book Antiqua"/>
          <w:spacing w:val="2"/>
        </w:rPr>
        <w:t>s</w:t>
      </w:r>
      <w:r w:rsidRPr="00E3232D">
        <w:rPr>
          <w:rFonts w:ascii="Book Antiqua" w:hAnsi="Book Antiqua"/>
          <w:spacing w:val="-1"/>
        </w:rPr>
        <w:t>a</w:t>
      </w:r>
      <w:r w:rsidRPr="00E3232D">
        <w:rPr>
          <w:rFonts w:ascii="Book Antiqua" w:hAnsi="Book Antiqua"/>
        </w:rPr>
        <w:t>mp</w:t>
      </w:r>
      <w:r w:rsidRPr="00E3232D">
        <w:rPr>
          <w:rFonts w:ascii="Book Antiqua" w:hAnsi="Book Antiqua"/>
          <w:spacing w:val="1"/>
        </w:rPr>
        <w:t>l</w:t>
      </w:r>
      <w:r w:rsidRPr="00E3232D">
        <w:rPr>
          <w:rFonts w:ascii="Book Antiqua" w:hAnsi="Book Antiqua"/>
        </w:rPr>
        <w:t xml:space="preserve">ing </w:t>
      </w:r>
      <w:r w:rsidRPr="00E3232D">
        <w:rPr>
          <w:rFonts w:ascii="Book Antiqua" w:hAnsi="Book Antiqua"/>
          <w:spacing w:val="-1"/>
        </w:rPr>
        <w:t>a</w:t>
      </w:r>
      <w:r w:rsidRPr="00E3232D">
        <w:rPr>
          <w:rFonts w:ascii="Book Antiqua" w:hAnsi="Book Antiqua"/>
        </w:rPr>
        <w:t>nd s</w:t>
      </w:r>
      <w:r w:rsidRPr="00E3232D">
        <w:rPr>
          <w:rFonts w:ascii="Book Antiqua" w:hAnsi="Book Antiqua"/>
          <w:spacing w:val="-1"/>
        </w:rPr>
        <w:t>a</w:t>
      </w:r>
      <w:r w:rsidRPr="00E3232D">
        <w:rPr>
          <w:rFonts w:ascii="Book Antiqua" w:hAnsi="Book Antiqua"/>
        </w:rPr>
        <w:t>mp</w:t>
      </w:r>
      <w:r w:rsidRPr="00E3232D">
        <w:rPr>
          <w:rFonts w:ascii="Book Antiqua" w:hAnsi="Book Antiqua"/>
          <w:spacing w:val="1"/>
        </w:rPr>
        <w:t>l</w:t>
      </w:r>
      <w:r w:rsidRPr="00E3232D">
        <w:rPr>
          <w:rFonts w:ascii="Book Antiqua" w:hAnsi="Book Antiqua"/>
        </w:rPr>
        <w:t>i</w:t>
      </w:r>
      <w:r w:rsidRPr="00E3232D">
        <w:rPr>
          <w:rFonts w:ascii="Book Antiqua" w:hAnsi="Book Antiqua"/>
          <w:spacing w:val="3"/>
        </w:rPr>
        <w:t>n</w:t>
      </w:r>
      <w:r w:rsidRPr="00E3232D">
        <w:rPr>
          <w:rFonts w:ascii="Book Antiqua" w:hAnsi="Book Antiqua"/>
        </w:rPr>
        <w:t>g</w:t>
      </w:r>
      <w:r w:rsidRPr="00E3232D">
        <w:rPr>
          <w:rFonts w:ascii="Book Antiqua" w:hAnsi="Book Antiqua"/>
          <w:spacing w:val="-2"/>
        </w:rPr>
        <w:t xml:space="preserve"> </w:t>
      </w:r>
      <w:r w:rsidRPr="00E3232D">
        <w:rPr>
          <w:rFonts w:ascii="Book Antiqua" w:hAnsi="Book Antiqua"/>
          <w:spacing w:val="3"/>
        </w:rPr>
        <w:t>t</w:t>
      </w:r>
      <w:r w:rsidRPr="00E3232D">
        <w:rPr>
          <w:rFonts w:ascii="Book Antiqua" w:hAnsi="Book Antiqua"/>
          <w:spacing w:val="-1"/>
        </w:rPr>
        <w:t>ec</w:t>
      </w:r>
      <w:r w:rsidRPr="00E3232D">
        <w:rPr>
          <w:rFonts w:ascii="Book Antiqua" w:hAnsi="Book Antiqua"/>
        </w:rPr>
        <w:t>hni</w:t>
      </w:r>
      <w:r w:rsidRPr="00E3232D">
        <w:rPr>
          <w:rFonts w:ascii="Book Antiqua" w:hAnsi="Book Antiqua"/>
          <w:spacing w:val="3"/>
        </w:rPr>
        <w:t>q</w:t>
      </w:r>
      <w:r w:rsidRPr="00E3232D">
        <w:rPr>
          <w:rFonts w:ascii="Book Antiqua" w:hAnsi="Book Antiqua"/>
        </w:rPr>
        <w:t>u</w:t>
      </w:r>
      <w:r w:rsidRPr="00E3232D">
        <w:rPr>
          <w:rFonts w:ascii="Book Antiqua" w:hAnsi="Book Antiqua"/>
          <w:spacing w:val="-1"/>
        </w:rPr>
        <w:t>e</w:t>
      </w:r>
      <w:r w:rsidRPr="00E3232D">
        <w:rPr>
          <w:rFonts w:ascii="Book Antiqua" w:hAnsi="Book Antiqua"/>
        </w:rPr>
        <w:t>, a</w:t>
      </w:r>
      <w:r w:rsidRPr="00E3232D">
        <w:rPr>
          <w:rFonts w:ascii="Book Antiqua" w:hAnsi="Book Antiqua"/>
          <w:spacing w:val="1"/>
        </w:rPr>
        <w:t xml:space="preserve"> </w:t>
      </w:r>
      <w:r w:rsidRPr="00E3232D">
        <w:rPr>
          <w:rFonts w:ascii="Book Antiqua" w:hAnsi="Book Antiqua"/>
        </w:rPr>
        <w:t>si</w:t>
      </w:r>
      <w:r w:rsidRPr="00E3232D">
        <w:rPr>
          <w:rFonts w:ascii="Book Antiqua" w:hAnsi="Book Antiqua"/>
          <w:spacing w:val="1"/>
        </w:rPr>
        <w:t>m</w:t>
      </w:r>
      <w:r w:rsidRPr="00E3232D">
        <w:rPr>
          <w:rFonts w:ascii="Book Antiqua" w:hAnsi="Book Antiqua"/>
        </w:rPr>
        <w:t xml:space="preserve">ple </w:t>
      </w:r>
      <w:r w:rsidRPr="00E3232D">
        <w:rPr>
          <w:rFonts w:ascii="Book Antiqua" w:hAnsi="Book Antiqua"/>
          <w:spacing w:val="1"/>
        </w:rPr>
        <w:t>r</w:t>
      </w:r>
      <w:r w:rsidRPr="00E3232D">
        <w:rPr>
          <w:rFonts w:ascii="Book Antiqua" w:hAnsi="Book Antiqua"/>
          <w:spacing w:val="-1"/>
        </w:rPr>
        <w:t>a</w:t>
      </w:r>
      <w:r w:rsidRPr="00E3232D">
        <w:rPr>
          <w:rFonts w:ascii="Book Antiqua" w:hAnsi="Book Antiqua"/>
        </w:rPr>
        <w:t>ndom s</w:t>
      </w:r>
      <w:r w:rsidRPr="00E3232D">
        <w:rPr>
          <w:rFonts w:ascii="Book Antiqua" w:hAnsi="Book Antiqua"/>
          <w:spacing w:val="-1"/>
        </w:rPr>
        <w:t>a</w:t>
      </w:r>
      <w:r w:rsidRPr="00E3232D">
        <w:rPr>
          <w:rFonts w:ascii="Book Antiqua" w:hAnsi="Book Antiqua"/>
          <w:spacing w:val="3"/>
        </w:rPr>
        <w:t>m</w:t>
      </w:r>
      <w:r w:rsidRPr="00E3232D">
        <w:rPr>
          <w:rFonts w:ascii="Book Antiqua" w:hAnsi="Book Antiqua"/>
        </w:rPr>
        <w:t>pl</w:t>
      </w:r>
      <w:r w:rsidRPr="00E3232D">
        <w:rPr>
          <w:rFonts w:ascii="Book Antiqua" w:hAnsi="Book Antiqua"/>
          <w:spacing w:val="1"/>
        </w:rPr>
        <w:t>i</w:t>
      </w:r>
      <w:r w:rsidRPr="00E3232D">
        <w:rPr>
          <w:rFonts w:ascii="Book Antiqua" w:hAnsi="Book Antiqua"/>
        </w:rPr>
        <w:t>ng</w:t>
      </w:r>
      <w:r w:rsidRPr="00E3232D">
        <w:rPr>
          <w:rFonts w:ascii="Book Antiqua" w:hAnsi="Book Antiqua"/>
          <w:spacing w:val="-2"/>
        </w:rPr>
        <w:t xml:space="preserve"> </w:t>
      </w:r>
      <w:r w:rsidRPr="00E3232D">
        <w:rPr>
          <w:rFonts w:ascii="Book Antiqua" w:hAnsi="Book Antiqua"/>
          <w:spacing w:val="2"/>
        </w:rPr>
        <w:t>w</w:t>
      </w:r>
      <w:r w:rsidRPr="00E3232D">
        <w:rPr>
          <w:rFonts w:ascii="Book Antiqua" w:hAnsi="Book Antiqua"/>
          <w:spacing w:val="-1"/>
        </w:rPr>
        <w:t>a</w:t>
      </w:r>
      <w:r w:rsidRPr="00E3232D">
        <w:rPr>
          <w:rFonts w:ascii="Book Antiqua" w:hAnsi="Book Antiqua"/>
        </w:rPr>
        <w:t>s used to</w:t>
      </w:r>
      <w:r w:rsidRPr="00E3232D">
        <w:rPr>
          <w:rFonts w:ascii="Book Antiqua" w:hAnsi="Book Antiqua"/>
          <w:spacing w:val="2"/>
        </w:rPr>
        <w:t xml:space="preserve"> </w:t>
      </w:r>
      <w:r w:rsidRPr="00E3232D">
        <w:rPr>
          <w:rFonts w:ascii="Book Antiqua" w:hAnsi="Book Antiqua"/>
        </w:rPr>
        <w:t>s</w:t>
      </w:r>
      <w:r w:rsidRPr="00E3232D">
        <w:rPr>
          <w:rFonts w:ascii="Book Antiqua" w:hAnsi="Book Antiqua"/>
          <w:spacing w:val="-1"/>
        </w:rPr>
        <w:t>e</w:t>
      </w:r>
      <w:r w:rsidRPr="00E3232D">
        <w:rPr>
          <w:rFonts w:ascii="Book Antiqua" w:hAnsi="Book Antiqua"/>
        </w:rPr>
        <w:t>le</w:t>
      </w:r>
      <w:r w:rsidRPr="00E3232D">
        <w:rPr>
          <w:rFonts w:ascii="Book Antiqua" w:hAnsi="Book Antiqua"/>
          <w:spacing w:val="-1"/>
        </w:rPr>
        <w:t>c</w:t>
      </w:r>
      <w:r w:rsidRPr="00E3232D">
        <w:rPr>
          <w:rFonts w:ascii="Book Antiqua" w:hAnsi="Book Antiqua"/>
        </w:rPr>
        <w:t>t</w:t>
      </w:r>
      <w:r w:rsidRPr="00E3232D">
        <w:rPr>
          <w:rFonts w:ascii="Book Antiqua" w:hAnsi="Book Antiqua"/>
          <w:spacing w:val="2"/>
        </w:rPr>
        <w:t xml:space="preserve"> </w:t>
      </w:r>
      <w:r w:rsidRPr="00E3232D">
        <w:rPr>
          <w:rFonts w:ascii="Book Antiqua" w:hAnsi="Book Antiqua"/>
        </w:rPr>
        <w:t>400</w:t>
      </w:r>
      <w:r w:rsidRPr="00E3232D">
        <w:rPr>
          <w:rFonts w:ascii="Book Antiqua" w:hAnsi="Book Antiqua"/>
          <w:spacing w:val="2"/>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spond</w:t>
      </w:r>
      <w:r w:rsidRPr="00E3232D">
        <w:rPr>
          <w:rFonts w:ascii="Book Antiqua" w:hAnsi="Book Antiqua"/>
          <w:spacing w:val="-1"/>
        </w:rPr>
        <w:t>e</w:t>
      </w:r>
      <w:r w:rsidRPr="00E3232D">
        <w:rPr>
          <w:rFonts w:ascii="Book Antiqua" w:hAnsi="Book Antiqua"/>
        </w:rPr>
        <w:t>nts</w:t>
      </w:r>
      <w:r w:rsidRPr="00E3232D">
        <w:rPr>
          <w:rFonts w:ascii="Book Antiqua" w:hAnsi="Book Antiqua"/>
          <w:spacing w:val="4"/>
        </w:rPr>
        <w:t xml:space="preserve"> </w:t>
      </w:r>
      <w:r w:rsidRPr="00E3232D">
        <w:rPr>
          <w:rFonts w:ascii="Book Antiqua" w:hAnsi="Book Antiqua"/>
        </w:rPr>
        <w:t>out</w:t>
      </w:r>
      <w:r w:rsidRPr="00E3232D">
        <w:rPr>
          <w:rFonts w:ascii="Book Antiqua" w:hAnsi="Book Antiqua"/>
          <w:spacing w:val="2"/>
        </w:rPr>
        <w:t xml:space="preserve"> </w:t>
      </w:r>
      <w:r w:rsidRPr="00E3232D">
        <w:rPr>
          <w:rFonts w:ascii="Book Antiqua" w:hAnsi="Book Antiqua"/>
        </w:rPr>
        <w:t>of</w:t>
      </w:r>
      <w:r w:rsidRPr="00E3232D">
        <w:rPr>
          <w:rFonts w:ascii="Book Antiqua" w:hAnsi="Book Antiqua"/>
          <w:spacing w:val="1"/>
        </w:rPr>
        <w:t xml:space="preserve"> </w:t>
      </w:r>
      <w:r w:rsidRPr="00E3232D">
        <w:rPr>
          <w:rFonts w:ascii="Book Antiqua" w:hAnsi="Book Antiqua"/>
        </w:rPr>
        <w:t>1,530</w:t>
      </w:r>
      <w:r w:rsidRPr="00E3232D">
        <w:rPr>
          <w:rFonts w:ascii="Book Antiqua" w:hAnsi="Book Antiqua"/>
          <w:spacing w:val="1"/>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spond</w:t>
      </w:r>
      <w:r w:rsidRPr="00E3232D">
        <w:rPr>
          <w:rFonts w:ascii="Book Antiqua" w:hAnsi="Book Antiqua"/>
          <w:spacing w:val="-1"/>
        </w:rPr>
        <w:t>e</w:t>
      </w:r>
      <w:r w:rsidRPr="00E3232D">
        <w:rPr>
          <w:rFonts w:ascii="Book Antiqua" w:hAnsi="Book Antiqua"/>
        </w:rPr>
        <w:t>nts</w:t>
      </w:r>
      <w:r w:rsidRPr="00E3232D">
        <w:rPr>
          <w:rFonts w:ascii="Book Antiqua" w:hAnsi="Book Antiqua"/>
          <w:spacing w:val="2"/>
        </w:rPr>
        <w:t xml:space="preserve"> </w:t>
      </w:r>
      <w:r w:rsidRPr="00E3232D">
        <w:rPr>
          <w:rFonts w:ascii="Book Antiqua" w:hAnsi="Book Antiqua"/>
        </w:rPr>
        <w:t>made up</w:t>
      </w:r>
      <w:r w:rsidRPr="00E3232D">
        <w:rPr>
          <w:rFonts w:ascii="Book Antiqua" w:hAnsi="Book Antiqua"/>
          <w:spacing w:val="1"/>
        </w:rPr>
        <w:t xml:space="preserve"> </w:t>
      </w:r>
      <w:r w:rsidRPr="00E3232D">
        <w:rPr>
          <w:rFonts w:ascii="Book Antiqua" w:hAnsi="Book Antiqua"/>
        </w:rPr>
        <w:t xml:space="preserve">of </w:t>
      </w:r>
      <w:r w:rsidRPr="00E3232D">
        <w:rPr>
          <w:rFonts w:ascii="Book Antiqua" w:hAnsi="Book Antiqua"/>
          <w:spacing w:val="1"/>
        </w:rPr>
        <w:t>9</w:t>
      </w:r>
      <w:r w:rsidRPr="00E3232D">
        <w:rPr>
          <w:rFonts w:ascii="Book Antiqua" w:hAnsi="Book Antiqua"/>
        </w:rPr>
        <w:t>8</w:t>
      </w:r>
      <w:r w:rsidRPr="00E3232D">
        <w:rPr>
          <w:rFonts w:ascii="Book Antiqua" w:hAnsi="Book Antiqua"/>
          <w:spacing w:val="1"/>
        </w:rPr>
        <w:t xml:space="preserve"> </w:t>
      </w:r>
      <w:r w:rsidRPr="00E3232D">
        <w:rPr>
          <w:rFonts w:ascii="Book Antiqua" w:hAnsi="Book Antiqua"/>
          <w:spacing w:val="-2"/>
        </w:rPr>
        <w:t>g</w:t>
      </w:r>
      <w:r w:rsidRPr="00E3232D">
        <w:rPr>
          <w:rFonts w:ascii="Book Antiqua" w:hAnsi="Book Antiqua"/>
        </w:rPr>
        <w:t>roups</w:t>
      </w:r>
      <w:r w:rsidRPr="00E3232D">
        <w:rPr>
          <w:rFonts w:ascii="Book Antiqua" w:hAnsi="Book Antiqua"/>
          <w:spacing w:val="1"/>
        </w:rPr>
        <w:t xml:space="preserve"> </w:t>
      </w:r>
      <w:r w:rsidRPr="00E3232D">
        <w:rPr>
          <w:rFonts w:ascii="Book Antiqua" w:hAnsi="Book Antiqua"/>
          <w:spacing w:val="2"/>
        </w:rPr>
        <w:t>w</w:t>
      </w:r>
      <w:r w:rsidRPr="00E3232D">
        <w:rPr>
          <w:rFonts w:ascii="Book Antiqua" w:hAnsi="Book Antiqua"/>
        </w:rPr>
        <w:t>i</w:t>
      </w:r>
      <w:r w:rsidRPr="00E3232D">
        <w:rPr>
          <w:rFonts w:ascii="Book Antiqua" w:hAnsi="Book Antiqua"/>
          <w:spacing w:val="1"/>
        </w:rPr>
        <w:t>t</w:t>
      </w:r>
      <w:r w:rsidRPr="00E3232D">
        <w:rPr>
          <w:rFonts w:ascii="Book Antiqua" w:hAnsi="Book Antiqua"/>
        </w:rPr>
        <w:t>h</w:t>
      </w:r>
      <w:r w:rsidRPr="00E3232D">
        <w:rPr>
          <w:rFonts w:ascii="Book Antiqua" w:hAnsi="Book Antiqua"/>
          <w:spacing w:val="1"/>
        </w:rPr>
        <w:t xml:space="preserve"> </w:t>
      </w:r>
      <w:r w:rsidRPr="00E3232D">
        <w:rPr>
          <w:rFonts w:ascii="Book Antiqua" w:hAnsi="Book Antiqua"/>
          <w:spacing w:val="-1"/>
        </w:rPr>
        <w:t>eac</w:t>
      </w:r>
      <w:r w:rsidRPr="00E3232D">
        <w:rPr>
          <w:rFonts w:ascii="Book Antiqua" w:hAnsi="Book Antiqua"/>
        </w:rPr>
        <w:t>h</w:t>
      </w:r>
      <w:r w:rsidRPr="00E3232D">
        <w:rPr>
          <w:rFonts w:ascii="Book Antiqua" w:hAnsi="Book Antiqua"/>
          <w:spacing w:val="1"/>
        </w:rPr>
        <w:t xml:space="preserve"> </w:t>
      </w:r>
      <w:r w:rsidRPr="00E3232D">
        <w:rPr>
          <w:rFonts w:ascii="Book Antiqua" w:hAnsi="Book Antiqua"/>
        </w:rPr>
        <w:t>g</w:t>
      </w:r>
      <w:r w:rsidRPr="00E3232D">
        <w:rPr>
          <w:rFonts w:ascii="Book Antiqua" w:hAnsi="Book Antiqua"/>
          <w:spacing w:val="-1"/>
        </w:rPr>
        <w:t>r</w:t>
      </w:r>
      <w:r w:rsidRPr="00E3232D">
        <w:rPr>
          <w:rFonts w:ascii="Book Antiqua" w:hAnsi="Book Antiqua"/>
        </w:rPr>
        <w:t>oup not</w:t>
      </w:r>
      <w:r w:rsidRPr="00E3232D">
        <w:rPr>
          <w:rFonts w:ascii="Book Antiqua" w:hAnsi="Book Antiqua"/>
          <w:spacing w:val="1"/>
        </w:rPr>
        <w:t xml:space="preserve"> </w:t>
      </w:r>
      <w:r w:rsidRPr="00E3232D">
        <w:rPr>
          <w:rFonts w:ascii="Book Antiqua" w:hAnsi="Book Antiqua"/>
        </w:rPr>
        <w:t>less</w:t>
      </w:r>
      <w:r w:rsidRPr="00E3232D">
        <w:rPr>
          <w:rFonts w:ascii="Book Antiqua" w:hAnsi="Book Antiqua"/>
          <w:spacing w:val="1"/>
        </w:rPr>
        <w:t xml:space="preserve"> </w:t>
      </w:r>
      <w:r w:rsidRPr="00E3232D">
        <w:rPr>
          <w:rFonts w:ascii="Book Antiqua" w:hAnsi="Book Antiqua"/>
        </w:rPr>
        <w:t>than 20</w:t>
      </w:r>
      <w:r w:rsidRPr="00E3232D">
        <w:rPr>
          <w:rFonts w:ascii="Book Antiqua" w:hAnsi="Book Antiqua"/>
          <w:spacing w:val="1"/>
        </w:rPr>
        <w:t xml:space="preserve"> </w:t>
      </w:r>
      <w:r w:rsidRPr="00E3232D">
        <w:rPr>
          <w:rFonts w:ascii="Book Antiqua" w:hAnsi="Book Antiqua"/>
        </w:rPr>
        <w:t>memb</w:t>
      </w:r>
      <w:r w:rsidRPr="00E3232D">
        <w:rPr>
          <w:rFonts w:ascii="Book Antiqua" w:hAnsi="Book Antiqua"/>
          <w:spacing w:val="1"/>
        </w:rPr>
        <w:t>er</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Ho</w:t>
      </w:r>
      <w:r w:rsidRPr="00E3232D">
        <w:rPr>
          <w:rFonts w:ascii="Book Antiqua" w:hAnsi="Book Antiqua"/>
          <w:spacing w:val="-1"/>
        </w:rPr>
        <w:t>we</w:t>
      </w:r>
      <w:r w:rsidRPr="00E3232D">
        <w:rPr>
          <w:rFonts w:ascii="Book Antiqua" w:hAnsi="Book Antiqua"/>
        </w:rPr>
        <w:t>v</w:t>
      </w:r>
      <w:r w:rsidRPr="00E3232D">
        <w:rPr>
          <w:rFonts w:ascii="Book Antiqua" w:hAnsi="Book Antiqua"/>
          <w:spacing w:val="1"/>
        </w:rPr>
        <w:t>e</w:t>
      </w:r>
      <w:r w:rsidRPr="00E3232D">
        <w:rPr>
          <w:rFonts w:ascii="Book Antiqua" w:hAnsi="Book Antiqua"/>
        </w:rPr>
        <w:t>r, 315</w:t>
      </w:r>
      <w:r w:rsidRPr="00E3232D">
        <w:rPr>
          <w:rFonts w:ascii="Book Antiqua" w:hAnsi="Book Antiqua"/>
          <w:spacing w:val="3"/>
        </w:rPr>
        <w:t xml:space="preserve"> </w:t>
      </w:r>
      <w:r w:rsidRPr="00E3232D">
        <w:rPr>
          <w:rFonts w:ascii="Book Antiqua" w:hAnsi="Book Antiqua"/>
        </w:rPr>
        <w:t>r</w:t>
      </w:r>
      <w:r w:rsidRPr="00E3232D">
        <w:rPr>
          <w:rFonts w:ascii="Book Antiqua" w:hAnsi="Book Antiqua"/>
          <w:spacing w:val="-2"/>
        </w:rPr>
        <w:t>e</w:t>
      </w:r>
      <w:r w:rsidRPr="00E3232D">
        <w:rPr>
          <w:rFonts w:ascii="Book Antiqua" w:hAnsi="Book Antiqua"/>
        </w:rPr>
        <w:t>spon</w:t>
      </w:r>
      <w:r w:rsidRPr="00E3232D">
        <w:rPr>
          <w:rFonts w:ascii="Book Antiqua" w:hAnsi="Book Antiqua"/>
          <w:spacing w:val="2"/>
        </w:rPr>
        <w:t>d</w:t>
      </w:r>
      <w:r w:rsidRPr="00E3232D">
        <w:rPr>
          <w:rFonts w:ascii="Book Antiqua" w:hAnsi="Book Antiqua"/>
          <w:spacing w:val="-1"/>
        </w:rPr>
        <w:t>e</w:t>
      </w:r>
      <w:r w:rsidRPr="00E3232D">
        <w:rPr>
          <w:rFonts w:ascii="Book Antiqua" w:hAnsi="Book Antiqua"/>
        </w:rPr>
        <w:t>nts</w:t>
      </w:r>
      <w:r w:rsidRPr="00E3232D">
        <w:rPr>
          <w:rFonts w:ascii="Book Antiqua" w:hAnsi="Book Antiqua"/>
          <w:spacing w:val="3"/>
        </w:rPr>
        <w:t xml:space="preserve"> </w:t>
      </w:r>
      <w:r w:rsidRPr="00E3232D">
        <w:rPr>
          <w:rFonts w:ascii="Book Antiqua" w:hAnsi="Book Antiqua"/>
        </w:rPr>
        <w:t>w</w:t>
      </w:r>
      <w:r w:rsidRPr="00E3232D">
        <w:rPr>
          <w:rFonts w:ascii="Book Antiqua" w:hAnsi="Book Antiqua"/>
          <w:spacing w:val="-1"/>
        </w:rPr>
        <w:t>e</w:t>
      </w:r>
      <w:r w:rsidRPr="00E3232D">
        <w:rPr>
          <w:rFonts w:ascii="Book Antiqua" w:hAnsi="Book Antiqua"/>
          <w:spacing w:val="1"/>
        </w:rPr>
        <w:t>r</w:t>
      </w:r>
      <w:r w:rsidRPr="00E3232D">
        <w:rPr>
          <w:rFonts w:ascii="Book Antiqua" w:hAnsi="Book Antiqua"/>
        </w:rPr>
        <w:t xml:space="preserve">e </w:t>
      </w:r>
      <w:r w:rsidRPr="00E3232D">
        <w:rPr>
          <w:rFonts w:ascii="Book Antiqua" w:hAnsi="Book Antiqua"/>
          <w:spacing w:val="-1"/>
        </w:rPr>
        <w:t>a</w:t>
      </w:r>
      <w:r w:rsidRPr="00E3232D">
        <w:rPr>
          <w:rFonts w:ascii="Book Antiqua" w:hAnsi="Book Antiqua"/>
          <w:spacing w:val="2"/>
        </w:rPr>
        <w:t>v</w:t>
      </w:r>
      <w:r w:rsidRPr="00E3232D">
        <w:rPr>
          <w:rFonts w:ascii="Book Antiqua" w:hAnsi="Book Antiqua"/>
          <w:spacing w:val="-1"/>
        </w:rPr>
        <w:t>a</w:t>
      </w:r>
      <w:r w:rsidRPr="00E3232D">
        <w:rPr>
          <w:rFonts w:ascii="Book Antiqua" w:hAnsi="Book Antiqua"/>
        </w:rPr>
        <w:t>i</w:t>
      </w:r>
      <w:r w:rsidRPr="00E3232D">
        <w:rPr>
          <w:rFonts w:ascii="Book Antiqua" w:hAnsi="Book Antiqua"/>
          <w:spacing w:val="1"/>
        </w:rPr>
        <w:t>l</w:t>
      </w:r>
      <w:r w:rsidRPr="00E3232D">
        <w:rPr>
          <w:rFonts w:ascii="Book Antiqua" w:hAnsi="Book Antiqua"/>
          <w:spacing w:val="-1"/>
        </w:rPr>
        <w:t>a</w:t>
      </w:r>
      <w:r w:rsidRPr="00E3232D">
        <w:rPr>
          <w:rFonts w:ascii="Book Antiqua" w:hAnsi="Book Antiqua"/>
        </w:rPr>
        <w:t>ble f</w:t>
      </w:r>
      <w:r w:rsidRPr="00E3232D">
        <w:rPr>
          <w:rFonts w:ascii="Book Antiqua" w:hAnsi="Book Antiqua"/>
          <w:spacing w:val="1"/>
        </w:rPr>
        <w:t>o</w:t>
      </w:r>
      <w:r w:rsidRPr="00E3232D">
        <w:rPr>
          <w:rFonts w:ascii="Book Antiqua" w:hAnsi="Book Antiqua"/>
        </w:rPr>
        <w:t xml:space="preserve">r </w:t>
      </w:r>
      <w:r w:rsidRPr="00E3232D">
        <w:rPr>
          <w:rFonts w:ascii="Book Antiqua" w:hAnsi="Book Antiqua"/>
          <w:spacing w:val="3"/>
        </w:rPr>
        <w:t>i</w:t>
      </w:r>
      <w:r w:rsidRPr="00E3232D">
        <w:rPr>
          <w:rFonts w:ascii="Book Antiqua" w:hAnsi="Book Antiqua"/>
        </w:rPr>
        <w:t>nte</w:t>
      </w:r>
      <w:r w:rsidRPr="00E3232D">
        <w:rPr>
          <w:rFonts w:ascii="Book Antiqua" w:hAnsi="Book Antiqua"/>
          <w:spacing w:val="-1"/>
        </w:rPr>
        <w:t>r</w:t>
      </w:r>
      <w:r w:rsidRPr="00E3232D">
        <w:rPr>
          <w:rFonts w:ascii="Book Antiqua" w:hAnsi="Book Antiqua"/>
        </w:rPr>
        <w:t>vie</w:t>
      </w:r>
      <w:r w:rsidRPr="00E3232D">
        <w:rPr>
          <w:rFonts w:ascii="Book Antiqua" w:hAnsi="Book Antiqua"/>
          <w:spacing w:val="-1"/>
        </w:rPr>
        <w:t>w</w:t>
      </w:r>
      <w:r w:rsidRPr="00E3232D">
        <w:rPr>
          <w:rFonts w:ascii="Book Antiqua" w:hAnsi="Book Antiqua"/>
        </w:rPr>
        <w:t>.</w:t>
      </w:r>
      <w:r w:rsidRPr="00E3232D">
        <w:rPr>
          <w:rFonts w:ascii="Book Antiqua" w:hAnsi="Book Antiqua"/>
          <w:spacing w:val="4"/>
        </w:rPr>
        <w:t xml:space="preserve"> </w:t>
      </w:r>
      <w:r w:rsidRPr="00E3232D">
        <w:rPr>
          <w:rFonts w:ascii="Book Antiqua" w:hAnsi="Book Antiqua"/>
        </w:rPr>
        <w:t>This w</w:t>
      </w:r>
      <w:r w:rsidRPr="00E3232D">
        <w:rPr>
          <w:rFonts w:ascii="Book Antiqua" w:hAnsi="Book Antiqua"/>
          <w:spacing w:val="-1"/>
        </w:rPr>
        <w:t>a</w:t>
      </w:r>
      <w:r w:rsidRPr="00E3232D">
        <w:rPr>
          <w:rFonts w:ascii="Book Antiqua" w:hAnsi="Book Antiqua"/>
        </w:rPr>
        <w:t>s</w:t>
      </w:r>
      <w:r w:rsidRPr="00E3232D">
        <w:rPr>
          <w:rFonts w:ascii="Book Antiqua" w:hAnsi="Book Antiqua"/>
          <w:spacing w:val="53"/>
        </w:rPr>
        <w:t xml:space="preserve"> </w:t>
      </w:r>
      <w:r w:rsidRPr="00E3232D">
        <w:rPr>
          <w:rFonts w:ascii="Book Antiqua" w:hAnsi="Book Antiqua"/>
        </w:rPr>
        <w:t>done</w:t>
      </w:r>
      <w:r w:rsidRPr="00E3232D">
        <w:rPr>
          <w:rFonts w:ascii="Book Antiqua" w:hAnsi="Book Antiqua"/>
          <w:spacing w:val="52"/>
        </w:rPr>
        <w:t xml:space="preserve"> </w:t>
      </w:r>
      <w:r w:rsidRPr="00E3232D">
        <w:rPr>
          <w:rFonts w:ascii="Book Antiqua" w:hAnsi="Book Antiqua"/>
        </w:rPr>
        <w:t>to</w:t>
      </w:r>
      <w:r w:rsidRPr="00E3232D">
        <w:rPr>
          <w:rFonts w:ascii="Book Antiqua" w:hAnsi="Book Antiqua"/>
          <w:spacing w:val="53"/>
        </w:rPr>
        <w:t xml:space="preserve"> </w:t>
      </w:r>
      <w:r w:rsidRPr="00E3232D">
        <w:rPr>
          <w:rFonts w:ascii="Book Antiqua" w:hAnsi="Book Antiqua"/>
        </w:rPr>
        <w:t>make</w:t>
      </w:r>
      <w:r w:rsidRPr="00E3232D">
        <w:rPr>
          <w:rFonts w:ascii="Book Antiqua" w:hAnsi="Book Antiqua"/>
          <w:spacing w:val="51"/>
        </w:rPr>
        <w:t xml:space="preserve"> </w:t>
      </w:r>
      <w:r w:rsidRPr="00E3232D">
        <w:rPr>
          <w:rFonts w:ascii="Book Antiqua" w:hAnsi="Book Antiqua"/>
        </w:rPr>
        <w:t>sure</w:t>
      </w:r>
      <w:r w:rsidRPr="00E3232D">
        <w:rPr>
          <w:rFonts w:ascii="Book Antiqua" w:hAnsi="Book Antiqua"/>
          <w:spacing w:val="51"/>
        </w:rPr>
        <w:t xml:space="preserve"> </w:t>
      </w:r>
      <w:r w:rsidRPr="00E3232D">
        <w:rPr>
          <w:rFonts w:ascii="Book Antiqua" w:hAnsi="Book Antiqua"/>
        </w:rPr>
        <w:t>that</w:t>
      </w:r>
      <w:r w:rsidRPr="00E3232D">
        <w:rPr>
          <w:rFonts w:ascii="Book Antiqua" w:hAnsi="Book Antiqua"/>
          <w:spacing w:val="53"/>
        </w:rPr>
        <w:t xml:space="preserve"> </w:t>
      </w:r>
      <w:r w:rsidRPr="00E3232D">
        <w:rPr>
          <w:rFonts w:ascii="Book Antiqua" w:hAnsi="Book Antiqua"/>
          <w:spacing w:val="-1"/>
        </w:rPr>
        <w:t>eac</w:t>
      </w:r>
      <w:r w:rsidRPr="00E3232D">
        <w:rPr>
          <w:rFonts w:ascii="Book Antiqua" w:hAnsi="Book Antiqua"/>
        </w:rPr>
        <w:t>h</w:t>
      </w:r>
      <w:r w:rsidRPr="00E3232D">
        <w:rPr>
          <w:rFonts w:ascii="Book Antiqua" w:hAnsi="Book Antiqua"/>
          <w:spacing w:val="53"/>
        </w:rPr>
        <w:t xml:space="preserve"> </w:t>
      </w:r>
      <w:r w:rsidRPr="00E3232D">
        <w:rPr>
          <w:rFonts w:ascii="Book Antiqua" w:hAnsi="Book Antiqua"/>
        </w:rPr>
        <w:t>memb</w:t>
      </w:r>
      <w:r w:rsidRPr="00E3232D">
        <w:rPr>
          <w:rFonts w:ascii="Book Antiqua" w:hAnsi="Book Antiqua"/>
          <w:spacing w:val="-1"/>
        </w:rPr>
        <w:t>e</w:t>
      </w:r>
      <w:r w:rsidRPr="00E3232D">
        <w:rPr>
          <w:rFonts w:ascii="Book Antiqua" w:hAnsi="Book Antiqua"/>
        </w:rPr>
        <w:t>r</w:t>
      </w:r>
      <w:r w:rsidRPr="00E3232D">
        <w:rPr>
          <w:rFonts w:ascii="Book Antiqua" w:hAnsi="Book Antiqua"/>
          <w:spacing w:val="52"/>
        </w:rPr>
        <w:t xml:space="preserve"> </w:t>
      </w:r>
      <w:r w:rsidRPr="00E3232D">
        <w:rPr>
          <w:rFonts w:ascii="Book Antiqua" w:hAnsi="Book Antiqua"/>
        </w:rPr>
        <w:t>in</w:t>
      </w:r>
      <w:r w:rsidRPr="00E3232D">
        <w:rPr>
          <w:rFonts w:ascii="Book Antiqua" w:hAnsi="Book Antiqua"/>
          <w:spacing w:val="53"/>
        </w:rPr>
        <w:t xml:space="preserve"> </w:t>
      </w:r>
      <w:r w:rsidRPr="00E3232D">
        <w:rPr>
          <w:rFonts w:ascii="Book Antiqua" w:hAnsi="Book Antiqua"/>
        </w:rPr>
        <w:t>a</w:t>
      </w:r>
      <w:r w:rsidRPr="00E3232D">
        <w:rPr>
          <w:rFonts w:ascii="Book Antiqua" w:hAnsi="Book Antiqua"/>
          <w:spacing w:val="52"/>
        </w:rPr>
        <w:t xml:space="preserve"> </w:t>
      </w:r>
      <w:r w:rsidRPr="00E3232D">
        <w:rPr>
          <w:rFonts w:ascii="Book Antiqua" w:hAnsi="Book Antiqua"/>
          <w:spacing w:val="-2"/>
        </w:rPr>
        <w:t>g</w:t>
      </w:r>
      <w:r w:rsidRPr="00E3232D">
        <w:rPr>
          <w:rFonts w:ascii="Book Antiqua" w:hAnsi="Book Antiqua"/>
        </w:rPr>
        <w:t>roup</w:t>
      </w:r>
      <w:r w:rsidRPr="00E3232D">
        <w:rPr>
          <w:rFonts w:ascii="Book Antiqua" w:hAnsi="Book Antiqua"/>
          <w:spacing w:val="52"/>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s</w:t>
      </w:r>
      <w:r w:rsidRPr="00E3232D">
        <w:rPr>
          <w:rFonts w:ascii="Book Antiqua" w:hAnsi="Book Antiqua"/>
          <w:spacing w:val="53"/>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53"/>
        </w:rPr>
        <w:t xml:space="preserve"> </w:t>
      </w:r>
      <w:r w:rsidRPr="00E3232D">
        <w:rPr>
          <w:rFonts w:ascii="Book Antiqua" w:hAnsi="Book Antiqua"/>
          <w:spacing w:val="-1"/>
        </w:rPr>
        <w:t>e</w:t>
      </w:r>
      <w:r w:rsidRPr="00E3232D">
        <w:rPr>
          <w:rFonts w:ascii="Book Antiqua" w:hAnsi="Book Antiqua"/>
        </w:rPr>
        <w:t>qu</w:t>
      </w:r>
      <w:r w:rsidRPr="00E3232D">
        <w:rPr>
          <w:rFonts w:ascii="Book Antiqua" w:hAnsi="Book Antiqua"/>
          <w:spacing w:val="-1"/>
        </w:rPr>
        <w:t>a</w:t>
      </w:r>
      <w:r w:rsidRPr="00E3232D">
        <w:rPr>
          <w:rFonts w:ascii="Book Antiqua" w:hAnsi="Book Antiqua"/>
        </w:rPr>
        <w:t>l</w:t>
      </w:r>
      <w:r w:rsidRPr="00E3232D">
        <w:rPr>
          <w:rFonts w:ascii="Book Antiqua" w:hAnsi="Book Antiqua"/>
          <w:spacing w:val="53"/>
        </w:rPr>
        <w:t xml:space="preserve"> </w:t>
      </w:r>
      <w:r w:rsidRPr="00E3232D">
        <w:rPr>
          <w:rFonts w:ascii="Book Antiqua" w:hAnsi="Book Antiqua"/>
          <w:spacing w:val="-1"/>
        </w:rPr>
        <w:t>c</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e</w:t>
      </w:r>
      <w:r w:rsidRPr="00E3232D">
        <w:rPr>
          <w:rFonts w:ascii="Book Antiqua" w:hAnsi="Book Antiqua"/>
          <w:spacing w:val="52"/>
        </w:rPr>
        <w:t xml:space="preserve"> </w:t>
      </w:r>
      <w:r w:rsidRPr="00E3232D">
        <w:rPr>
          <w:rFonts w:ascii="Book Antiqua" w:hAnsi="Book Antiqua"/>
        </w:rPr>
        <w:t>of</w:t>
      </w:r>
      <w:r w:rsidRPr="00E3232D">
        <w:rPr>
          <w:rFonts w:ascii="Book Antiqua" w:hAnsi="Book Antiqua"/>
          <w:spacing w:val="52"/>
        </w:rPr>
        <w:t xml:space="preserve"> </w:t>
      </w:r>
      <w:r w:rsidRPr="00E3232D">
        <w:rPr>
          <w:rFonts w:ascii="Book Antiqua" w:hAnsi="Book Antiqua"/>
        </w:rPr>
        <w:t>b</w:t>
      </w:r>
      <w:r w:rsidRPr="00E3232D">
        <w:rPr>
          <w:rFonts w:ascii="Book Antiqua" w:hAnsi="Book Antiqua"/>
          <w:spacing w:val="-1"/>
        </w:rPr>
        <w:t>e</w:t>
      </w:r>
      <w:r w:rsidRPr="00E3232D">
        <w:rPr>
          <w:rFonts w:ascii="Book Antiqua" w:hAnsi="Book Antiqua"/>
        </w:rPr>
        <w:t>i</w:t>
      </w:r>
      <w:r w:rsidRPr="00E3232D">
        <w:rPr>
          <w:rFonts w:ascii="Book Antiqua" w:hAnsi="Book Antiqua"/>
          <w:spacing w:val="3"/>
        </w:rPr>
        <w:t>n</w:t>
      </w:r>
      <w:r w:rsidRPr="00E3232D">
        <w:rPr>
          <w:rFonts w:ascii="Book Antiqua" w:hAnsi="Book Antiqua"/>
        </w:rPr>
        <w:t>g s</w:t>
      </w:r>
      <w:r w:rsidRPr="00E3232D">
        <w:rPr>
          <w:rFonts w:ascii="Book Antiqua" w:hAnsi="Book Antiqua"/>
          <w:spacing w:val="-1"/>
        </w:rPr>
        <w:t>e</w:t>
      </w:r>
      <w:r w:rsidRPr="00E3232D">
        <w:rPr>
          <w:rFonts w:ascii="Book Antiqua" w:hAnsi="Book Antiqua"/>
        </w:rPr>
        <w:t>le</w:t>
      </w:r>
      <w:r w:rsidRPr="00E3232D">
        <w:rPr>
          <w:rFonts w:ascii="Book Antiqua" w:hAnsi="Book Antiqua"/>
          <w:spacing w:val="-1"/>
        </w:rPr>
        <w:t>c</w:t>
      </w:r>
      <w:r w:rsidRPr="00E3232D">
        <w:rPr>
          <w:rFonts w:ascii="Book Antiqua" w:hAnsi="Book Antiqua"/>
        </w:rPr>
        <w:t>ted.</w:t>
      </w:r>
    </w:p>
    <w:p w14:paraId="2AD5B904" w14:textId="77777777" w:rsidR="0057286B" w:rsidRPr="00E3232D" w:rsidRDefault="0057286B" w:rsidP="00465AE3">
      <w:pPr>
        <w:widowControl w:val="0"/>
        <w:autoSpaceDE w:val="0"/>
        <w:autoSpaceDN w:val="0"/>
        <w:adjustRightInd w:val="0"/>
        <w:spacing w:after="0"/>
        <w:ind w:right="79"/>
        <w:jc w:val="both"/>
        <w:rPr>
          <w:rFonts w:ascii="Book Antiqua" w:hAnsi="Book Antiqua"/>
        </w:rPr>
      </w:pPr>
      <w:r w:rsidRPr="00E3232D">
        <w:rPr>
          <w:rFonts w:ascii="Book Antiqua" w:hAnsi="Book Antiqua"/>
          <w:spacing w:val="-3"/>
        </w:rPr>
        <w:t>I</w:t>
      </w:r>
      <w:r w:rsidRPr="00E3232D">
        <w:rPr>
          <w:rFonts w:ascii="Book Antiqua" w:hAnsi="Book Antiqua"/>
        </w:rPr>
        <w:t>n</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rPr>
        <w:t>l</w:t>
      </w:r>
      <w:r w:rsidRPr="00E3232D">
        <w:rPr>
          <w:rFonts w:ascii="Book Antiqua" w:hAnsi="Book Antiqua"/>
          <w:spacing w:val="3"/>
        </w:rPr>
        <w:t>i</w:t>
      </w:r>
      <w:r w:rsidRPr="00E3232D">
        <w:rPr>
          <w:rFonts w:ascii="Book Antiqua" w:hAnsi="Book Antiqua"/>
          <w:spacing w:val="-2"/>
        </w:rPr>
        <w:t>g</w:t>
      </w:r>
      <w:r w:rsidRPr="00E3232D">
        <w:rPr>
          <w:rFonts w:ascii="Book Antiqua" w:hAnsi="Book Antiqua"/>
        </w:rPr>
        <w:t>ht</w:t>
      </w:r>
      <w:r w:rsidRPr="00E3232D">
        <w:rPr>
          <w:rFonts w:ascii="Book Antiqua" w:hAnsi="Book Antiqua"/>
          <w:spacing w:val="3"/>
        </w:rPr>
        <w:t xml:space="preserve"> </w:t>
      </w:r>
      <w:r w:rsidRPr="00E3232D">
        <w:rPr>
          <w:rFonts w:ascii="Book Antiqua" w:hAnsi="Book Antiqua"/>
        </w:rPr>
        <w:t>of</w:t>
      </w:r>
      <w:r w:rsidRPr="00E3232D">
        <w:rPr>
          <w:rFonts w:ascii="Book Antiqua" w:hAnsi="Book Antiqua"/>
          <w:spacing w:val="1"/>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sult</w:t>
      </w:r>
      <w:r w:rsidRPr="00E3232D">
        <w:rPr>
          <w:rFonts w:ascii="Book Antiqua" w:hAnsi="Book Antiqua"/>
          <w:spacing w:val="3"/>
        </w:rPr>
        <w:t xml:space="preserve"> </w:t>
      </w:r>
      <w:r w:rsidRPr="00E3232D">
        <w:rPr>
          <w:rFonts w:ascii="Book Antiqua" w:hAnsi="Book Antiqua"/>
        </w:rPr>
        <w:t>obtain</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rPr>
        <w:t>the</w:t>
      </w:r>
      <w:r>
        <w:rPr>
          <w:rFonts w:ascii="Book Antiqua" w:hAnsi="Book Antiqua"/>
        </w:rPr>
        <w:t xml:space="preserve"> </w:t>
      </w:r>
      <w:r w:rsidRPr="00E3232D">
        <w:rPr>
          <w:rFonts w:ascii="Book Antiqua" w:hAnsi="Book Antiqua"/>
          <w:spacing w:val="-1"/>
        </w:rPr>
        <w:t>c</w:t>
      </w:r>
      <w:r w:rsidRPr="00E3232D">
        <w:rPr>
          <w:rFonts w:ascii="Book Antiqua" w:hAnsi="Book Antiqua"/>
        </w:rPr>
        <w:t>on</w:t>
      </w:r>
      <w:r w:rsidRPr="00E3232D">
        <w:rPr>
          <w:rFonts w:ascii="Book Antiqua" w:hAnsi="Book Antiqua"/>
          <w:spacing w:val="-1"/>
        </w:rPr>
        <w:t>c</w:t>
      </w:r>
      <w:r w:rsidRPr="00E3232D">
        <w:rPr>
          <w:rFonts w:ascii="Book Antiqua" w:hAnsi="Book Antiqua"/>
        </w:rPr>
        <w:t>lus</w:t>
      </w:r>
      <w:r w:rsidRPr="00E3232D">
        <w:rPr>
          <w:rFonts w:ascii="Book Antiqua" w:hAnsi="Book Antiqua"/>
          <w:spacing w:val="1"/>
        </w:rPr>
        <w:t>i</w:t>
      </w:r>
      <w:r w:rsidRPr="00E3232D">
        <w:rPr>
          <w:rFonts w:ascii="Book Antiqua" w:hAnsi="Book Antiqua"/>
        </w:rPr>
        <w:t>on</w:t>
      </w:r>
      <w:r w:rsidRPr="00E3232D">
        <w:rPr>
          <w:rFonts w:ascii="Book Antiqua" w:hAnsi="Book Antiqua"/>
          <w:spacing w:val="5"/>
        </w:rPr>
        <w:t xml:space="preserve"> </w:t>
      </w:r>
      <w:r w:rsidRPr="00E3232D">
        <w:rPr>
          <w:rFonts w:ascii="Book Antiqua" w:hAnsi="Book Antiqua"/>
        </w:rPr>
        <w:t>d</w:t>
      </w:r>
      <w:r w:rsidRPr="00E3232D">
        <w:rPr>
          <w:rFonts w:ascii="Book Antiqua" w:hAnsi="Book Antiqua"/>
          <w:spacing w:val="-1"/>
        </w:rPr>
        <w:t>ra</w:t>
      </w:r>
      <w:r w:rsidRPr="00E3232D">
        <w:rPr>
          <w:rFonts w:ascii="Book Antiqua" w:hAnsi="Book Antiqua"/>
        </w:rPr>
        <w:t>wn,</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rPr>
        <w:t>followi</w:t>
      </w:r>
      <w:r w:rsidRPr="00E3232D">
        <w:rPr>
          <w:rFonts w:ascii="Book Antiqua" w:hAnsi="Book Antiqua"/>
          <w:spacing w:val="2"/>
        </w:rPr>
        <w:t>n</w:t>
      </w:r>
      <w:r w:rsidRPr="00E3232D">
        <w:rPr>
          <w:rFonts w:ascii="Book Antiqua" w:hAnsi="Book Antiqua"/>
        </w:rPr>
        <w:t>g re</w:t>
      </w:r>
      <w:r w:rsidRPr="00E3232D">
        <w:rPr>
          <w:rFonts w:ascii="Book Antiqua" w:hAnsi="Book Antiqua"/>
          <w:spacing w:val="1"/>
        </w:rPr>
        <w:t>c</w:t>
      </w:r>
      <w:r w:rsidRPr="00E3232D">
        <w:rPr>
          <w:rFonts w:ascii="Book Antiqua" w:hAnsi="Book Antiqua"/>
        </w:rPr>
        <w:t>om</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nd</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 xml:space="preserve">ons </w:t>
      </w:r>
      <w:r w:rsidRPr="00E3232D">
        <w:rPr>
          <w:rFonts w:ascii="Book Antiqua" w:hAnsi="Book Antiqua"/>
          <w:spacing w:val="-1"/>
        </w:rPr>
        <w:t>a</w:t>
      </w:r>
      <w:r w:rsidRPr="00E3232D">
        <w:rPr>
          <w:rFonts w:ascii="Book Antiqua" w:hAnsi="Book Antiqua"/>
        </w:rPr>
        <w:t xml:space="preserve">re </w:t>
      </w:r>
      <w:r w:rsidRPr="00E3232D">
        <w:rPr>
          <w:rFonts w:ascii="Book Antiqua" w:hAnsi="Book Antiqua"/>
          <w:spacing w:val="3"/>
        </w:rPr>
        <w:t>m</w:t>
      </w:r>
      <w:r w:rsidRPr="00E3232D">
        <w:rPr>
          <w:rFonts w:ascii="Book Antiqua" w:hAnsi="Book Antiqua"/>
          <w:spacing w:val="-1"/>
        </w:rPr>
        <w:t>a</w:t>
      </w:r>
      <w:r w:rsidRPr="00E3232D">
        <w:rPr>
          <w:rFonts w:ascii="Book Antiqua" w:hAnsi="Book Antiqua"/>
        </w:rPr>
        <w:t>de</w:t>
      </w:r>
      <w:r w:rsidRPr="00E3232D">
        <w:rPr>
          <w:rFonts w:ascii="Book Antiqua" w:hAnsi="Book Antiqua"/>
          <w:spacing w:val="1"/>
        </w:rPr>
        <w:t xml:space="preserve"> </w:t>
      </w:r>
      <w:r w:rsidRPr="00E3232D">
        <w:rPr>
          <w:rFonts w:ascii="Book Antiqua" w:hAnsi="Book Antiqua"/>
        </w:rPr>
        <w:t>to</w:t>
      </w:r>
      <w:r w:rsidRPr="00E3232D">
        <w:rPr>
          <w:rFonts w:ascii="Book Antiqua" w:hAnsi="Book Antiqua"/>
          <w:spacing w:val="2"/>
        </w:rPr>
        <w:t xml:space="preserve"> </w:t>
      </w:r>
      <w:r w:rsidRPr="00E3232D">
        <w:rPr>
          <w:rFonts w:ascii="Book Antiqua" w:hAnsi="Book Antiqua"/>
        </w:rPr>
        <w:t>t</w:t>
      </w:r>
      <w:r w:rsidRPr="00E3232D">
        <w:rPr>
          <w:rFonts w:ascii="Book Antiqua" w:hAnsi="Book Antiqua"/>
          <w:spacing w:val="3"/>
        </w:rPr>
        <w:t>h</w:t>
      </w:r>
      <w:r w:rsidRPr="00E3232D">
        <w:rPr>
          <w:rFonts w:ascii="Book Antiqua" w:hAnsi="Book Antiqua"/>
        </w:rPr>
        <w:t>e</w:t>
      </w:r>
      <w:r w:rsidRPr="00E3232D">
        <w:rPr>
          <w:rFonts w:ascii="Book Antiqua" w:hAnsi="Book Antiqua"/>
          <w:spacing w:val="3"/>
        </w:rPr>
        <w:t xml:space="preserve"> </w:t>
      </w:r>
      <w:r w:rsidRPr="00E3232D">
        <w:rPr>
          <w:rFonts w:ascii="Book Antiqua" w:hAnsi="Book Antiqua"/>
          <w:spacing w:val="-2"/>
        </w:rPr>
        <w:t>g</w:t>
      </w:r>
      <w:r w:rsidRPr="00E3232D">
        <w:rPr>
          <w:rFonts w:ascii="Book Antiqua" w:hAnsi="Book Antiqua"/>
        </w:rPr>
        <w:t>ov</w:t>
      </w:r>
      <w:r w:rsidRPr="00E3232D">
        <w:rPr>
          <w:rFonts w:ascii="Book Antiqua" w:hAnsi="Book Antiqua"/>
          <w:spacing w:val="1"/>
        </w:rPr>
        <w:t>e</w:t>
      </w:r>
      <w:r w:rsidRPr="00E3232D">
        <w:rPr>
          <w:rFonts w:ascii="Book Antiqua" w:hAnsi="Book Antiqua"/>
        </w:rPr>
        <w:t>r</w:t>
      </w:r>
      <w:r w:rsidRPr="00E3232D">
        <w:rPr>
          <w:rFonts w:ascii="Book Antiqua" w:hAnsi="Book Antiqua"/>
          <w:spacing w:val="1"/>
        </w:rPr>
        <w:t>n</w:t>
      </w:r>
      <w:r w:rsidRPr="00E3232D">
        <w:rPr>
          <w:rFonts w:ascii="Book Antiqua" w:hAnsi="Book Antiqua"/>
        </w:rPr>
        <w:t>ment,</w:t>
      </w:r>
      <w:r w:rsidRPr="00E3232D">
        <w:rPr>
          <w:rFonts w:ascii="Book Antiqua" w:hAnsi="Book Antiqua"/>
          <w:spacing w:val="2"/>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rn</w:t>
      </w:r>
      <w:r w:rsidRPr="00E3232D">
        <w:rPr>
          <w:rFonts w:ascii="Book Antiqua" w:hAnsi="Book Antiqua"/>
          <w:spacing w:val="-2"/>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spacing w:val="2"/>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2"/>
        </w:rPr>
        <w:t xml:space="preserve"> </w:t>
      </w:r>
      <w:r w:rsidRPr="00E3232D">
        <w:rPr>
          <w:rFonts w:ascii="Book Antiqua" w:hAnsi="Book Antiqua"/>
        </w:rPr>
        <w:t>o</w:t>
      </w:r>
      <w:r w:rsidRPr="00E3232D">
        <w:rPr>
          <w:rFonts w:ascii="Book Antiqua" w:hAnsi="Book Antiqua"/>
          <w:spacing w:val="-1"/>
        </w:rPr>
        <w:t>r</w:t>
      </w:r>
      <w:r w:rsidRPr="00E3232D">
        <w:rPr>
          <w:rFonts w:ascii="Book Antiqua" w:hAnsi="Book Antiqua"/>
        </w:rPr>
        <w:t>g</w:t>
      </w:r>
      <w:r w:rsidRPr="00E3232D">
        <w:rPr>
          <w:rFonts w:ascii="Book Antiqua" w:hAnsi="Book Antiqua"/>
          <w:spacing w:val="-1"/>
        </w:rPr>
        <w:t>a</w:t>
      </w:r>
      <w:r w:rsidRPr="00E3232D">
        <w:rPr>
          <w:rFonts w:ascii="Book Antiqua" w:hAnsi="Book Antiqua"/>
        </w:rPr>
        <w:t>ni</w:t>
      </w:r>
      <w:r w:rsidRPr="00E3232D">
        <w:rPr>
          <w:rFonts w:ascii="Book Antiqua" w:hAnsi="Book Antiqua"/>
          <w:spacing w:val="2"/>
        </w:rPr>
        <w:t>z</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r w:rsidRPr="00E3232D">
        <w:rPr>
          <w:rFonts w:ascii="Book Antiqua" w:hAnsi="Book Antiqua"/>
          <w:spacing w:val="2"/>
        </w:rPr>
        <w:t xml:space="preserve"> </w:t>
      </w:r>
      <w:r w:rsidRPr="00E3232D">
        <w:rPr>
          <w:rFonts w:ascii="Book Antiqua" w:hAnsi="Book Antiqua"/>
        </w:rPr>
        <w:t>potential</w:t>
      </w:r>
      <w:r w:rsidRPr="00E3232D">
        <w:rPr>
          <w:rFonts w:ascii="Book Antiqua" w:hAnsi="Book Antiqua"/>
          <w:spacing w:val="2"/>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1"/>
        </w:rPr>
        <w:t xml:space="preserve"> </w:t>
      </w:r>
      <w:r w:rsidRPr="00E3232D">
        <w:rPr>
          <w:rFonts w:ascii="Book Antiqua" w:hAnsi="Book Antiqua"/>
        </w:rPr>
        <w:t>b</w:t>
      </w:r>
      <w:r w:rsidRPr="00E3232D">
        <w:rPr>
          <w:rFonts w:ascii="Book Antiqua" w:hAnsi="Book Antiqua"/>
          <w:spacing w:val="2"/>
        </w:rPr>
        <w:t>o</w:t>
      </w:r>
      <w:r w:rsidRPr="00E3232D">
        <w:rPr>
          <w:rFonts w:ascii="Book Antiqua" w:hAnsi="Book Antiqua"/>
        </w:rPr>
        <w:t>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er</w:t>
      </w:r>
      <w:r w:rsidRPr="00E3232D">
        <w:rPr>
          <w:rFonts w:ascii="Book Antiqua" w:hAnsi="Book Antiqua"/>
        </w:rPr>
        <w:t>s</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nte</w:t>
      </w:r>
      <w:r w:rsidRPr="00E3232D">
        <w:rPr>
          <w:rFonts w:ascii="Book Antiqua" w:hAnsi="Book Antiqua"/>
          <w:spacing w:val="-1"/>
        </w:rPr>
        <w:t>r</w:t>
      </w:r>
      <w:r w:rsidRPr="00E3232D">
        <w:rPr>
          <w:rFonts w:ascii="Book Antiqua" w:hAnsi="Book Antiqua"/>
          <w:spacing w:val="2"/>
        </w:rPr>
        <w:t>p</w:t>
      </w:r>
      <w:r w:rsidRPr="00E3232D">
        <w:rPr>
          <w:rFonts w:ascii="Book Antiqua" w:hAnsi="Book Antiqua"/>
        </w:rPr>
        <w:t>ris</w:t>
      </w:r>
      <w:r w:rsidRPr="00E3232D">
        <w:rPr>
          <w:rFonts w:ascii="Book Antiqua" w:hAnsi="Book Antiqua"/>
          <w:spacing w:val="2"/>
        </w:rPr>
        <w:t>e</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On the p</w:t>
      </w:r>
      <w:r w:rsidRPr="00E3232D">
        <w:rPr>
          <w:rFonts w:ascii="Book Antiqua" w:hAnsi="Book Antiqua"/>
          <w:spacing w:val="-1"/>
        </w:rPr>
        <w:t>a</w:t>
      </w:r>
      <w:r w:rsidRPr="00E3232D">
        <w:rPr>
          <w:rFonts w:ascii="Book Antiqua" w:hAnsi="Book Antiqua"/>
        </w:rPr>
        <w:t>rt</w:t>
      </w:r>
      <w:r w:rsidRPr="00E3232D">
        <w:rPr>
          <w:rFonts w:ascii="Book Antiqua" w:hAnsi="Book Antiqua"/>
          <w:spacing w:val="1"/>
        </w:rPr>
        <w:t xml:space="preserve"> </w:t>
      </w:r>
      <w:r w:rsidRPr="00E3232D">
        <w:rPr>
          <w:rFonts w:ascii="Book Antiqua" w:hAnsi="Book Antiqua"/>
        </w:rPr>
        <w:t>of</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3"/>
        </w:rPr>
        <w:t xml:space="preserve"> </w:t>
      </w:r>
      <w:r w:rsidRPr="00E3232D">
        <w:rPr>
          <w:rFonts w:ascii="Book Antiqua" w:hAnsi="Book Antiqua"/>
          <w:spacing w:val="-2"/>
        </w:rPr>
        <w:t>g</w:t>
      </w:r>
      <w:r w:rsidRPr="00E3232D">
        <w:rPr>
          <w:rFonts w:ascii="Book Antiqua" w:hAnsi="Book Antiqua"/>
        </w:rPr>
        <w:t>o</w:t>
      </w:r>
      <w:r w:rsidRPr="00E3232D">
        <w:rPr>
          <w:rFonts w:ascii="Book Antiqua" w:hAnsi="Book Antiqua"/>
          <w:spacing w:val="2"/>
        </w:rPr>
        <w:t>v</w:t>
      </w:r>
      <w:r w:rsidRPr="00E3232D">
        <w:rPr>
          <w:rFonts w:ascii="Book Antiqua" w:hAnsi="Book Antiqua"/>
          <w:spacing w:val="-1"/>
        </w:rPr>
        <w:t>e</w:t>
      </w:r>
      <w:r w:rsidRPr="00E3232D">
        <w:rPr>
          <w:rFonts w:ascii="Book Antiqua" w:hAnsi="Book Antiqua"/>
        </w:rPr>
        <w:t>rnm</w:t>
      </w:r>
      <w:r w:rsidRPr="00E3232D">
        <w:rPr>
          <w:rFonts w:ascii="Book Antiqua" w:hAnsi="Book Antiqua"/>
          <w:spacing w:val="-1"/>
        </w:rPr>
        <w:t>e</w:t>
      </w:r>
      <w:r w:rsidRPr="00E3232D">
        <w:rPr>
          <w:rFonts w:ascii="Book Antiqua" w:hAnsi="Book Antiqua"/>
        </w:rPr>
        <w:t>nt,</w:t>
      </w:r>
      <w:r w:rsidRPr="00E3232D">
        <w:rPr>
          <w:rFonts w:ascii="Book Antiqua" w:hAnsi="Book Antiqua"/>
          <w:spacing w:val="1"/>
        </w:rPr>
        <w:t xml:space="preserve"> </w:t>
      </w:r>
      <w:r w:rsidRPr="00E3232D">
        <w:rPr>
          <w:rFonts w:ascii="Book Antiqua" w:hAnsi="Book Antiqua"/>
          <w:spacing w:val="-1"/>
        </w:rPr>
        <w:t>c</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dit f</w:t>
      </w:r>
      <w:r w:rsidRPr="00E3232D">
        <w:rPr>
          <w:rFonts w:ascii="Book Antiqua" w:hAnsi="Book Antiqua"/>
          <w:spacing w:val="-2"/>
        </w:rPr>
        <w:t>a</w:t>
      </w:r>
      <w:r w:rsidRPr="00E3232D">
        <w:rPr>
          <w:rFonts w:ascii="Book Antiqua" w:hAnsi="Book Antiqua"/>
          <w:spacing w:val="-1"/>
        </w:rPr>
        <w:t>c</w:t>
      </w:r>
      <w:r w:rsidRPr="00E3232D">
        <w:rPr>
          <w:rFonts w:ascii="Book Antiqua" w:hAnsi="Book Antiqua"/>
        </w:rPr>
        <w:t>i</w:t>
      </w:r>
      <w:r w:rsidRPr="00E3232D">
        <w:rPr>
          <w:rFonts w:ascii="Book Antiqua" w:hAnsi="Book Antiqua"/>
          <w:spacing w:val="1"/>
        </w:rPr>
        <w:t>l</w:t>
      </w:r>
      <w:r w:rsidRPr="00E3232D">
        <w:rPr>
          <w:rFonts w:ascii="Book Antiqua" w:hAnsi="Book Antiqua"/>
        </w:rPr>
        <w:t>i</w:t>
      </w:r>
      <w:r w:rsidRPr="00E3232D">
        <w:rPr>
          <w:rFonts w:ascii="Book Antiqua" w:hAnsi="Book Antiqua"/>
          <w:spacing w:val="1"/>
        </w:rPr>
        <w:t>t</w:t>
      </w:r>
      <w:r w:rsidRPr="00E3232D">
        <w:rPr>
          <w:rFonts w:ascii="Book Antiqua" w:hAnsi="Book Antiqua"/>
        </w:rPr>
        <w:t>ies</w:t>
      </w:r>
      <w:r w:rsidRPr="00E3232D">
        <w:rPr>
          <w:rFonts w:ascii="Book Antiqua" w:hAnsi="Book Antiqua"/>
          <w:spacing w:val="24"/>
        </w:rPr>
        <w:t xml:space="preserve"> </w:t>
      </w:r>
      <w:r w:rsidRPr="00E3232D">
        <w:rPr>
          <w:rFonts w:ascii="Book Antiqua" w:hAnsi="Book Antiqua"/>
        </w:rPr>
        <w:t>should</w:t>
      </w:r>
      <w:r w:rsidRPr="00E3232D">
        <w:rPr>
          <w:rFonts w:ascii="Book Antiqua" w:hAnsi="Book Antiqua"/>
          <w:spacing w:val="24"/>
        </w:rPr>
        <w:t xml:space="preserve"> </w:t>
      </w:r>
      <w:r w:rsidRPr="00E3232D">
        <w:rPr>
          <w:rFonts w:ascii="Book Antiqua" w:hAnsi="Book Antiqua"/>
        </w:rPr>
        <w:t>be</w:t>
      </w:r>
      <w:r w:rsidRPr="00E3232D">
        <w:rPr>
          <w:rFonts w:ascii="Book Antiqua" w:hAnsi="Book Antiqua"/>
          <w:spacing w:val="23"/>
        </w:rPr>
        <w:t xml:space="preserve"> </w:t>
      </w:r>
      <w:r w:rsidRPr="00E3232D">
        <w:rPr>
          <w:rFonts w:ascii="Book Antiqua" w:hAnsi="Book Antiqua"/>
        </w:rPr>
        <w:t>ma</w:t>
      </w:r>
      <w:r w:rsidRPr="00E3232D">
        <w:rPr>
          <w:rFonts w:ascii="Book Antiqua" w:hAnsi="Book Antiqua"/>
          <w:spacing w:val="-3"/>
        </w:rPr>
        <w:t>d</w:t>
      </w:r>
      <w:r w:rsidRPr="00E3232D">
        <w:rPr>
          <w:rFonts w:ascii="Book Antiqua" w:hAnsi="Book Antiqua"/>
        </w:rPr>
        <w:t>e</w:t>
      </w:r>
      <w:r w:rsidRPr="00E3232D">
        <w:rPr>
          <w:rFonts w:ascii="Book Antiqua" w:hAnsi="Book Antiqua"/>
          <w:spacing w:val="23"/>
        </w:rPr>
        <w:t xml:space="preserve"> </w:t>
      </w:r>
      <w:r w:rsidRPr="00E3232D">
        <w:rPr>
          <w:rFonts w:ascii="Book Antiqua" w:hAnsi="Book Antiqua"/>
          <w:spacing w:val="-1"/>
        </w:rPr>
        <w:t>a</w:t>
      </w:r>
      <w:r w:rsidRPr="00E3232D">
        <w:rPr>
          <w:rFonts w:ascii="Book Antiqua" w:hAnsi="Book Antiqua"/>
        </w:rPr>
        <w:t>v</w:t>
      </w:r>
      <w:r w:rsidRPr="00E3232D">
        <w:rPr>
          <w:rFonts w:ascii="Book Antiqua" w:hAnsi="Book Antiqua"/>
          <w:spacing w:val="-1"/>
        </w:rPr>
        <w:t>a</w:t>
      </w:r>
      <w:r w:rsidRPr="00E3232D">
        <w:rPr>
          <w:rFonts w:ascii="Book Antiqua" w:hAnsi="Book Antiqua"/>
        </w:rPr>
        <w:t>i</w:t>
      </w:r>
      <w:r w:rsidRPr="00E3232D">
        <w:rPr>
          <w:rFonts w:ascii="Book Antiqua" w:hAnsi="Book Antiqua"/>
          <w:spacing w:val="1"/>
        </w:rPr>
        <w:t>l</w:t>
      </w:r>
      <w:r w:rsidRPr="00E3232D">
        <w:rPr>
          <w:rFonts w:ascii="Book Antiqua" w:hAnsi="Book Antiqua"/>
          <w:spacing w:val="-1"/>
        </w:rPr>
        <w:t>a</w:t>
      </w:r>
      <w:r w:rsidRPr="00E3232D">
        <w:rPr>
          <w:rFonts w:ascii="Book Antiqua" w:hAnsi="Book Antiqua"/>
        </w:rPr>
        <w:t>ble</w:t>
      </w:r>
      <w:r w:rsidRPr="00E3232D">
        <w:rPr>
          <w:rFonts w:ascii="Book Antiqua" w:hAnsi="Book Antiqua"/>
          <w:spacing w:val="23"/>
        </w:rPr>
        <w:t xml:space="preserve"> </w:t>
      </w:r>
      <w:r w:rsidRPr="00E3232D">
        <w:rPr>
          <w:rFonts w:ascii="Book Antiqua" w:hAnsi="Book Antiqua"/>
        </w:rPr>
        <w:t>to</w:t>
      </w:r>
      <w:r w:rsidRPr="00E3232D">
        <w:rPr>
          <w:rFonts w:ascii="Book Antiqua" w:hAnsi="Book Antiqua"/>
          <w:spacing w:val="24"/>
        </w:rPr>
        <w:t xml:space="preserve"> </w:t>
      </w:r>
      <w:r w:rsidRPr="00E3232D">
        <w:rPr>
          <w:rFonts w:ascii="Book Antiqua" w:hAnsi="Book Antiqua"/>
        </w:rPr>
        <w:t>support</w:t>
      </w:r>
      <w:r w:rsidRPr="00E3232D">
        <w:rPr>
          <w:rFonts w:ascii="Book Antiqua" w:hAnsi="Book Antiqua"/>
          <w:spacing w:val="24"/>
        </w:rPr>
        <w:t xml:space="preserve"> </w:t>
      </w:r>
      <w:r w:rsidRPr="00E3232D">
        <w:rPr>
          <w:rFonts w:ascii="Book Antiqua" w:hAnsi="Book Antiqua"/>
        </w:rPr>
        <w:t>p</w:t>
      </w:r>
      <w:r w:rsidRPr="00E3232D">
        <w:rPr>
          <w:rFonts w:ascii="Book Antiqua" w:hAnsi="Book Antiqua"/>
          <w:spacing w:val="-2"/>
        </w:rPr>
        <w:t>o</w:t>
      </w:r>
      <w:r w:rsidRPr="00E3232D">
        <w:rPr>
          <w:rFonts w:ascii="Book Antiqua" w:hAnsi="Book Antiqua"/>
        </w:rPr>
        <w:t>tential</w:t>
      </w:r>
      <w:r w:rsidRPr="00E3232D">
        <w:rPr>
          <w:rFonts w:ascii="Book Antiqua" w:hAnsi="Book Antiqua"/>
          <w:spacing w:val="24"/>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23"/>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w:t>
      </w:r>
      <w:r w:rsidRPr="00E3232D">
        <w:rPr>
          <w:rFonts w:ascii="Book Antiqua" w:hAnsi="Book Antiqua"/>
          <w:spacing w:val="24"/>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spacing w:val="1"/>
        </w:rPr>
        <w:t>r</w:t>
      </w:r>
      <w:r w:rsidRPr="00E3232D">
        <w:rPr>
          <w:rFonts w:ascii="Book Antiqua" w:hAnsi="Book Antiqua"/>
        </w:rPr>
        <w:t xml:space="preserve">s in </w:t>
      </w:r>
      <w:r w:rsidRPr="00E3232D">
        <w:rPr>
          <w:rFonts w:ascii="Book Antiqua" w:hAnsi="Book Antiqua"/>
          <w:spacing w:val="1"/>
        </w:rPr>
        <w:t>t</w:t>
      </w:r>
      <w:r w:rsidRPr="00E3232D">
        <w:rPr>
          <w:rFonts w:ascii="Book Antiqua" w:hAnsi="Book Antiqua"/>
        </w:rPr>
        <w:t>he</w:t>
      </w:r>
      <w:r w:rsidRPr="00E3232D">
        <w:rPr>
          <w:rFonts w:ascii="Book Antiqua" w:hAnsi="Book Antiqua"/>
          <w:spacing w:val="-1"/>
        </w:rPr>
        <w:t xml:space="preserve"> ec</w:t>
      </w:r>
      <w:r w:rsidRPr="00E3232D">
        <w:rPr>
          <w:rFonts w:ascii="Book Antiqua" w:hAnsi="Book Antiqua"/>
        </w:rPr>
        <w:t>ono</w:t>
      </w:r>
      <w:r w:rsidRPr="00E3232D">
        <w:rPr>
          <w:rFonts w:ascii="Book Antiqua" w:hAnsi="Book Antiqua"/>
          <w:spacing w:val="5"/>
        </w:rPr>
        <w:t>m</w:t>
      </w:r>
      <w:r w:rsidRPr="00E3232D">
        <w:rPr>
          <w:rFonts w:ascii="Book Antiqua" w:hAnsi="Book Antiqua"/>
          <w:spacing w:val="-5"/>
        </w:rPr>
        <w:t>y</w:t>
      </w:r>
      <w:r w:rsidRPr="00E3232D">
        <w:rPr>
          <w:rFonts w:ascii="Book Antiqua" w:hAnsi="Book Antiqua"/>
        </w:rPr>
        <w:t>. This</w:t>
      </w:r>
      <w:r w:rsidRPr="00E3232D">
        <w:rPr>
          <w:rFonts w:ascii="Book Antiqua" w:hAnsi="Book Antiqua"/>
          <w:spacing w:val="3"/>
        </w:rPr>
        <w:t xml:space="preserve"> </w:t>
      </w:r>
      <w:r w:rsidRPr="00E3232D">
        <w:rPr>
          <w:rFonts w:ascii="Book Antiqua" w:hAnsi="Book Antiqua"/>
          <w:spacing w:val="-1"/>
        </w:rPr>
        <w:t>ca</w:t>
      </w:r>
      <w:r w:rsidRPr="00E3232D">
        <w:rPr>
          <w:rFonts w:ascii="Book Antiqua" w:hAnsi="Book Antiqua"/>
        </w:rPr>
        <w:t>n</w:t>
      </w:r>
      <w:r w:rsidRPr="00E3232D">
        <w:rPr>
          <w:rFonts w:ascii="Book Antiqua" w:hAnsi="Book Antiqua"/>
          <w:spacing w:val="2"/>
        </w:rPr>
        <w:t xml:space="preserve"> </w:t>
      </w:r>
      <w:r w:rsidRPr="00E3232D">
        <w:rPr>
          <w:rFonts w:ascii="Book Antiqua" w:hAnsi="Book Antiqua"/>
        </w:rPr>
        <w:t>be</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spacing w:val="-1"/>
        </w:rPr>
        <w:t>c</w:t>
      </w:r>
      <w:r w:rsidRPr="00E3232D">
        <w:rPr>
          <w:rFonts w:ascii="Book Antiqua" w:hAnsi="Book Antiqua"/>
        </w:rPr>
        <w:t>hievi</w:t>
      </w:r>
      <w:r w:rsidRPr="00E3232D">
        <w:rPr>
          <w:rFonts w:ascii="Book Antiqua" w:hAnsi="Book Antiqua"/>
          <w:spacing w:val="2"/>
        </w:rPr>
        <w:t>n</w:t>
      </w:r>
      <w:r w:rsidRPr="00E3232D">
        <w:rPr>
          <w:rFonts w:ascii="Book Antiqua" w:hAnsi="Book Antiqua"/>
        </w:rPr>
        <w:t>g thro</w:t>
      </w:r>
      <w:r w:rsidRPr="00E3232D">
        <w:rPr>
          <w:rFonts w:ascii="Book Antiqua" w:hAnsi="Book Antiqua"/>
          <w:spacing w:val="2"/>
        </w:rPr>
        <w:t>u</w:t>
      </w:r>
      <w:r w:rsidRPr="00E3232D">
        <w:rPr>
          <w:rFonts w:ascii="Book Antiqua" w:hAnsi="Book Antiqua"/>
          <w:spacing w:val="-2"/>
        </w:rPr>
        <w:t>g</w:t>
      </w:r>
      <w:r w:rsidRPr="00E3232D">
        <w:rPr>
          <w:rFonts w:ascii="Book Antiqua" w:hAnsi="Book Antiqua"/>
        </w:rPr>
        <w:t>h t</w:t>
      </w:r>
      <w:r w:rsidRPr="00E3232D">
        <w:rPr>
          <w:rFonts w:ascii="Book Antiqua" w:hAnsi="Book Antiqua"/>
          <w:spacing w:val="3"/>
        </w:rPr>
        <w:t>h</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spacing w:val="-1"/>
        </w:rPr>
        <w:t>f</w:t>
      </w:r>
      <w:r w:rsidRPr="00E3232D">
        <w:rPr>
          <w:rFonts w:ascii="Book Antiqua" w:hAnsi="Book Antiqua"/>
        </w:rPr>
        <w:t>unds for</w:t>
      </w:r>
      <w:r w:rsidRPr="00E3232D">
        <w:rPr>
          <w:rFonts w:ascii="Book Antiqua" w:hAnsi="Book Antiqua"/>
          <w:spacing w:val="1"/>
        </w:rPr>
        <w:t xml:space="preserve"> </w:t>
      </w:r>
      <w:r w:rsidRPr="00E3232D">
        <w:rPr>
          <w:rFonts w:ascii="Book Antiqua" w:hAnsi="Book Antiqua"/>
        </w:rPr>
        <w:t xml:space="preserve">small </w:t>
      </w:r>
      <w:r w:rsidRPr="00E3232D">
        <w:rPr>
          <w:rFonts w:ascii="Book Antiqua" w:hAnsi="Book Antiqua"/>
          <w:spacing w:val="-1"/>
        </w:rPr>
        <w:t>a</w:t>
      </w:r>
      <w:r w:rsidRPr="00E3232D">
        <w:rPr>
          <w:rFonts w:ascii="Book Antiqua" w:hAnsi="Book Antiqua"/>
        </w:rPr>
        <w:t>nd me</w:t>
      </w:r>
      <w:r w:rsidRPr="00E3232D">
        <w:rPr>
          <w:rFonts w:ascii="Book Antiqua" w:hAnsi="Book Antiqua"/>
          <w:spacing w:val="2"/>
        </w:rPr>
        <w:t>d</w:t>
      </w:r>
      <w:r w:rsidRPr="00E3232D">
        <w:rPr>
          <w:rFonts w:ascii="Book Antiqua" w:hAnsi="Book Antiqua"/>
        </w:rPr>
        <w:t>ium</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nte</w:t>
      </w:r>
      <w:r w:rsidRPr="00E3232D">
        <w:rPr>
          <w:rFonts w:ascii="Book Antiqua" w:hAnsi="Book Antiqua"/>
          <w:spacing w:val="-1"/>
        </w:rPr>
        <w:t>r</w:t>
      </w:r>
      <w:r w:rsidRPr="00E3232D">
        <w:rPr>
          <w:rFonts w:ascii="Book Antiqua" w:hAnsi="Book Antiqua"/>
        </w:rPr>
        <w:t>p</w:t>
      </w:r>
      <w:r w:rsidRPr="00E3232D">
        <w:rPr>
          <w:rFonts w:ascii="Book Antiqua" w:hAnsi="Book Antiqua"/>
          <w:spacing w:val="-1"/>
        </w:rPr>
        <w:t>r</w:t>
      </w:r>
      <w:r w:rsidRPr="00E3232D">
        <w:rPr>
          <w:rFonts w:ascii="Book Antiqua" w:hAnsi="Book Antiqua"/>
        </w:rPr>
        <w:t>ise 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 xml:space="preserve">nt </w:t>
      </w:r>
      <w:r w:rsidRPr="00E3232D">
        <w:rPr>
          <w:rFonts w:ascii="Book Antiqua" w:hAnsi="Book Antiqua"/>
          <w:spacing w:val="1"/>
        </w:rPr>
        <w:t>(</w:t>
      </w:r>
      <w:r w:rsidRPr="00E3232D">
        <w:rPr>
          <w:rFonts w:ascii="Book Antiqua" w:hAnsi="Book Antiqua"/>
          <w:spacing w:val="-1"/>
        </w:rPr>
        <w:t>F</w:t>
      </w:r>
      <w:r w:rsidRPr="00E3232D">
        <w:rPr>
          <w:rFonts w:ascii="Book Antiqua" w:hAnsi="Book Antiqua"/>
        </w:rPr>
        <w:t>USME</w:t>
      </w:r>
      <w:r w:rsidRPr="00E3232D">
        <w:rPr>
          <w:rFonts w:ascii="Book Antiqua" w:hAnsi="Book Antiqua"/>
          <w:spacing w:val="1"/>
        </w:rPr>
        <w:t>D</w:t>
      </w:r>
      <w:r w:rsidRPr="00E3232D">
        <w:rPr>
          <w:rFonts w:ascii="Book Antiqua" w:hAnsi="Book Antiqua"/>
        </w:rPr>
        <w:t xml:space="preserve">).  This </w:t>
      </w:r>
      <w:r w:rsidRPr="00E3232D">
        <w:rPr>
          <w:rFonts w:ascii="Book Antiqua" w:hAnsi="Book Antiqua"/>
          <w:spacing w:val="4"/>
        </w:rPr>
        <w:t>intervention</w:t>
      </w:r>
      <w:r w:rsidRPr="00E3232D">
        <w:rPr>
          <w:rFonts w:ascii="Book Antiqua" w:hAnsi="Book Antiqua"/>
        </w:rPr>
        <w:t xml:space="preserve"> </w:t>
      </w:r>
      <w:r w:rsidRPr="00E3232D">
        <w:rPr>
          <w:rFonts w:ascii="Book Antiqua" w:hAnsi="Book Antiqua"/>
          <w:spacing w:val="4"/>
        </w:rPr>
        <w:t>can</w:t>
      </w:r>
      <w:r w:rsidRPr="00E3232D">
        <w:rPr>
          <w:rFonts w:ascii="Book Antiqua" w:hAnsi="Book Antiqua"/>
        </w:rPr>
        <w:t xml:space="preserve"> </w:t>
      </w:r>
      <w:r w:rsidRPr="00E3232D">
        <w:rPr>
          <w:rFonts w:ascii="Book Antiqua" w:hAnsi="Book Antiqua"/>
          <w:spacing w:val="1"/>
        </w:rPr>
        <w:t>be</w:t>
      </w:r>
      <w:r w:rsidRPr="00E3232D">
        <w:rPr>
          <w:rFonts w:ascii="Book Antiqua" w:hAnsi="Book Antiqua"/>
        </w:rPr>
        <w:t xml:space="preserve"> operational </w:t>
      </w:r>
      <w:r w:rsidRPr="00E3232D">
        <w:rPr>
          <w:rFonts w:ascii="Book Antiqua" w:hAnsi="Book Antiqua"/>
          <w:spacing w:val="1"/>
        </w:rPr>
        <w:t>if</w:t>
      </w:r>
      <w:r w:rsidRPr="00E3232D">
        <w:rPr>
          <w:rFonts w:ascii="Book Antiqua" w:hAnsi="Book Antiqua"/>
        </w:rPr>
        <w:t xml:space="preserve"> </w:t>
      </w:r>
      <w:r w:rsidRPr="00E3232D">
        <w:rPr>
          <w:rFonts w:ascii="Book Antiqua" w:hAnsi="Book Antiqua"/>
          <w:spacing w:val="5"/>
        </w:rPr>
        <w:t>government</w:t>
      </w:r>
      <w:r w:rsidRPr="00E3232D">
        <w:rPr>
          <w:rFonts w:ascii="Book Antiqua" w:hAnsi="Book Antiqua"/>
        </w:rPr>
        <w:t xml:space="preserve"> </w:t>
      </w:r>
      <w:r w:rsidRPr="00E3232D">
        <w:rPr>
          <w:rFonts w:ascii="Book Antiqua" w:hAnsi="Book Antiqua"/>
          <w:spacing w:val="1"/>
        </w:rPr>
        <w:t>has</w:t>
      </w:r>
      <w:r w:rsidRPr="00E3232D">
        <w:rPr>
          <w:rFonts w:ascii="Book Antiqua" w:hAnsi="Book Antiqua"/>
        </w:rPr>
        <w:t xml:space="preserve"> stati</w:t>
      </w:r>
      <w:r w:rsidRPr="00E3232D">
        <w:rPr>
          <w:rFonts w:ascii="Book Antiqua" w:hAnsi="Book Antiqua"/>
          <w:spacing w:val="1"/>
        </w:rPr>
        <w:t>s</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s on mic</w:t>
      </w:r>
      <w:r w:rsidRPr="00E3232D">
        <w:rPr>
          <w:rFonts w:ascii="Book Antiqua" w:hAnsi="Book Antiqua"/>
          <w:spacing w:val="-1"/>
        </w:rPr>
        <w:t>r</w:t>
      </w:r>
      <w:r w:rsidRPr="00E3232D">
        <w:rPr>
          <w:rFonts w:ascii="Book Antiqua" w:hAnsi="Book Antiqua"/>
        </w:rPr>
        <w:t xml:space="preserve">o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spacing w:val="2"/>
        </w:rPr>
        <w:t>p</w:t>
      </w:r>
      <w:r w:rsidRPr="00E3232D">
        <w:rPr>
          <w:rFonts w:ascii="Book Antiqua" w:hAnsi="Book Antiqua"/>
        </w:rPr>
        <w:t>r</w:t>
      </w:r>
      <w:r w:rsidRPr="00E3232D">
        <w:rPr>
          <w:rFonts w:ascii="Book Antiqua" w:hAnsi="Book Antiqua"/>
          <w:spacing w:val="-2"/>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 bor</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w</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s</w:t>
      </w:r>
      <w:r w:rsidRPr="00E3232D">
        <w:rPr>
          <w:rFonts w:ascii="Book Antiqua" w:hAnsi="Book Antiqua"/>
        </w:rPr>
        <w:t>.</w:t>
      </w:r>
    </w:p>
    <w:p w14:paraId="6427896B" w14:textId="77777777" w:rsidR="00A24377" w:rsidRDefault="00A24377" w:rsidP="00465AE3">
      <w:pPr>
        <w:pStyle w:val="ListParagraph"/>
        <w:widowControl w:val="0"/>
        <w:autoSpaceDE w:val="0"/>
        <w:autoSpaceDN w:val="0"/>
        <w:adjustRightInd w:val="0"/>
        <w:spacing w:after="0"/>
        <w:ind w:left="0" w:right="84"/>
        <w:jc w:val="both"/>
        <w:rPr>
          <w:rFonts w:ascii="Book Antiqua" w:hAnsi="Book Antiqua"/>
          <w:spacing w:val="-1"/>
        </w:rPr>
      </w:pPr>
    </w:p>
    <w:p w14:paraId="5BCFCC33" w14:textId="77777777" w:rsidR="0057286B" w:rsidRPr="00E3232D" w:rsidRDefault="0057286B" w:rsidP="00465AE3">
      <w:pPr>
        <w:pStyle w:val="ListParagraph"/>
        <w:widowControl w:val="0"/>
        <w:autoSpaceDE w:val="0"/>
        <w:autoSpaceDN w:val="0"/>
        <w:adjustRightInd w:val="0"/>
        <w:spacing w:after="0"/>
        <w:ind w:left="0" w:right="84"/>
        <w:jc w:val="both"/>
        <w:rPr>
          <w:rFonts w:ascii="Book Antiqua" w:hAnsi="Book Antiqua"/>
        </w:rPr>
      </w:pPr>
      <w:r w:rsidRPr="00E3232D">
        <w:rPr>
          <w:rFonts w:ascii="Book Antiqua" w:hAnsi="Book Antiqua"/>
          <w:spacing w:val="-1"/>
        </w:rPr>
        <w:t>F</w:t>
      </w:r>
      <w:r w:rsidRPr="00E3232D">
        <w:rPr>
          <w:rFonts w:ascii="Book Antiqua" w:hAnsi="Book Antiqua"/>
        </w:rPr>
        <w:t>u</w:t>
      </w:r>
      <w:r w:rsidRPr="00E3232D">
        <w:rPr>
          <w:rFonts w:ascii="Book Antiqua" w:hAnsi="Book Antiqua"/>
          <w:spacing w:val="-1"/>
        </w:rPr>
        <w:t>r</w:t>
      </w:r>
      <w:r w:rsidRPr="00E3232D">
        <w:rPr>
          <w:rFonts w:ascii="Book Antiqua" w:hAnsi="Book Antiqua"/>
        </w:rPr>
        <w:t>the</w:t>
      </w:r>
      <w:r w:rsidRPr="00E3232D">
        <w:rPr>
          <w:rFonts w:ascii="Book Antiqua" w:hAnsi="Book Antiqua"/>
          <w:spacing w:val="-1"/>
        </w:rPr>
        <w:t>r</w:t>
      </w:r>
      <w:r w:rsidRPr="00E3232D">
        <w:rPr>
          <w:rFonts w:ascii="Book Antiqua" w:hAnsi="Book Antiqua"/>
        </w:rPr>
        <w:t>m</w:t>
      </w:r>
      <w:r w:rsidRPr="00E3232D">
        <w:rPr>
          <w:rFonts w:ascii="Book Antiqua" w:hAnsi="Book Antiqua"/>
          <w:spacing w:val="3"/>
        </w:rPr>
        <w:t>o</w:t>
      </w:r>
      <w:r w:rsidRPr="00E3232D">
        <w:rPr>
          <w:rFonts w:ascii="Book Antiqua" w:hAnsi="Book Antiqua"/>
        </w:rPr>
        <w:t>re in</w:t>
      </w:r>
      <w:r w:rsidRPr="00E3232D">
        <w:rPr>
          <w:rFonts w:ascii="Book Antiqua" w:hAnsi="Book Antiqua"/>
          <w:spacing w:val="1"/>
        </w:rPr>
        <w:t>t</w:t>
      </w:r>
      <w:r w:rsidRPr="00E3232D">
        <w:rPr>
          <w:rFonts w:ascii="Book Antiqua" w:hAnsi="Book Antiqua"/>
          <w:spacing w:val="-1"/>
        </w:rPr>
        <w:t>e</w:t>
      </w:r>
      <w:r w:rsidRPr="00E3232D">
        <w:rPr>
          <w:rFonts w:ascii="Book Antiqua" w:hAnsi="Book Antiqua"/>
        </w:rPr>
        <w:t>rn</w:t>
      </w:r>
      <w:r w:rsidRPr="00E3232D">
        <w:rPr>
          <w:rFonts w:ascii="Book Antiqua" w:hAnsi="Book Antiqua"/>
          <w:spacing w:val="-2"/>
        </w:rPr>
        <w:t>a</w:t>
      </w:r>
      <w:r w:rsidRPr="00E3232D">
        <w:rPr>
          <w:rFonts w:ascii="Book Antiqua" w:hAnsi="Book Antiqua"/>
        </w:rPr>
        <w:t>t</w:t>
      </w:r>
      <w:r w:rsidRPr="00E3232D">
        <w:rPr>
          <w:rFonts w:ascii="Book Antiqua" w:hAnsi="Book Antiqua"/>
          <w:spacing w:val="1"/>
        </w:rPr>
        <w:t>i</w:t>
      </w:r>
      <w:r w:rsidRPr="00E3232D">
        <w:rPr>
          <w:rFonts w:ascii="Book Antiqua" w:hAnsi="Book Antiqua"/>
        </w:rPr>
        <w:t>o</w:t>
      </w:r>
      <w:r w:rsidRPr="00E3232D">
        <w:rPr>
          <w:rFonts w:ascii="Book Antiqua" w:hAnsi="Book Antiqua"/>
          <w:spacing w:val="2"/>
        </w:rPr>
        <w:t>n</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2"/>
        </w:rPr>
        <w:t xml:space="preserve"> </w:t>
      </w:r>
      <w:r w:rsidRPr="00E3232D">
        <w:rPr>
          <w:rFonts w:ascii="Book Antiqua" w:hAnsi="Book Antiqua"/>
        </w:rPr>
        <w:t>o</w:t>
      </w:r>
      <w:r w:rsidRPr="00E3232D">
        <w:rPr>
          <w:rFonts w:ascii="Book Antiqua" w:hAnsi="Book Antiqua"/>
          <w:spacing w:val="-1"/>
        </w:rPr>
        <w:t>r</w:t>
      </w:r>
      <w:r w:rsidRPr="00E3232D">
        <w:rPr>
          <w:rFonts w:ascii="Book Antiqua" w:hAnsi="Book Antiqua"/>
        </w:rPr>
        <w:t>g</w:t>
      </w:r>
      <w:r w:rsidRPr="00E3232D">
        <w:rPr>
          <w:rFonts w:ascii="Book Antiqua" w:hAnsi="Book Antiqua"/>
          <w:spacing w:val="-1"/>
        </w:rPr>
        <w:t>a</w:t>
      </w:r>
      <w:r w:rsidRPr="00E3232D">
        <w:rPr>
          <w:rFonts w:ascii="Book Antiqua" w:hAnsi="Book Antiqua"/>
        </w:rPr>
        <w:t>ni</w:t>
      </w:r>
      <w:r w:rsidRPr="00E3232D">
        <w:rPr>
          <w:rFonts w:ascii="Book Antiqua" w:hAnsi="Book Antiqua"/>
          <w:spacing w:val="2"/>
        </w:rPr>
        <w:t>z</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r w:rsidRPr="00E3232D">
        <w:rPr>
          <w:rFonts w:ascii="Book Antiqua" w:hAnsi="Book Antiqua"/>
          <w:spacing w:val="2"/>
        </w:rPr>
        <w:t xml:space="preserve"> </w:t>
      </w:r>
      <w:r w:rsidRPr="00E3232D">
        <w:rPr>
          <w:rFonts w:ascii="Book Antiqua" w:hAnsi="Book Antiqua"/>
        </w:rPr>
        <w:t>throu</w:t>
      </w:r>
      <w:r w:rsidRPr="00E3232D">
        <w:rPr>
          <w:rFonts w:ascii="Book Antiqua" w:hAnsi="Book Antiqua"/>
          <w:spacing w:val="-3"/>
        </w:rPr>
        <w:t>g</w:t>
      </w:r>
      <w:r w:rsidRPr="00E3232D">
        <w:rPr>
          <w:rFonts w:ascii="Book Antiqua" w:hAnsi="Book Antiqua"/>
        </w:rPr>
        <w:t>h</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stablishment</w:t>
      </w:r>
      <w:r w:rsidRPr="00E3232D">
        <w:rPr>
          <w:rFonts w:ascii="Book Antiqua" w:hAnsi="Book Antiqua"/>
          <w:spacing w:val="2"/>
        </w:rPr>
        <w:t xml:space="preserve"> </w:t>
      </w:r>
      <w:r w:rsidRPr="00E3232D">
        <w:rPr>
          <w:rFonts w:ascii="Book Antiqua" w:hAnsi="Book Antiqua"/>
        </w:rPr>
        <w:t>of non</w:t>
      </w:r>
      <w:r w:rsidRPr="00E3232D">
        <w:rPr>
          <w:rFonts w:ascii="Book Antiqua" w:hAnsi="Book Antiqua"/>
          <w:spacing w:val="-2"/>
        </w:rPr>
        <w:t>g</w:t>
      </w:r>
      <w:r w:rsidRPr="00E3232D">
        <w:rPr>
          <w:rFonts w:ascii="Book Antiqua" w:hAnsi="Book Antiqua"/>
        </w:rPr>
        <w:t>ov</w:t>
      </w:r>
      <w:r w:rsidRPr="00E3232D">
        <w:rPr>
          <w:rFonts w:ascii="Book Antiqua" w:hAnsi="Book Antiqua"/>
          <w:spacing w:val="1"/>
        </w:rPr>
        <w:t>e</w:t>
      </w:r>
      <w:r w:rsidRPr="00E3232D">
        <w:rPr>
          <w:rFonts w:ascii="Book Antiqua" w:hAnsi="Book Antiqua"/>
        </w:rPr>
        <w:t>rnm</w:t>
      </w:r>
      <w:r w:rsidRPr="00E3232D">
        <w:rPr>
          <w:rFonts w:ascii="Book Antiqua" w:hAnsi="Book Antiqua"/>
          <w:spacing w:val="-1"/>
        </w:rPr>
        <w:t>e</w:t>
      </w:r>
      <w:r w:rsidRPr="00E3232D">
        <w:rPr>
          <w:rFonts w:ascii="Book Antiqua" w:hAnsi="Book Antiqua"/>
        </w:rPr>
        <w:t>ntal</w:t>
      </w:r>
      <w:r w:rsidRPr="00E3232D">
        <w:rPr>
          <w:rFonts w:ascii="Book Antiqua" w:hAnsi="Book Antiqua"/>
          <w:spacing w:val="1"/>
        </w:rPr>
        <w:t xml:space="preserve"> </w:t>
      </w:r>
      <w:r w:rsidRPr="00E3232D">
        <w:rPr>
          <w:rFonts w:ascii="Book Antiqua" w:hAnsi="Book Antiqua"/>
        </w:rPr>
        <w:t>o</w:t>
      </w:r>
      <w:r w:rsidRPr="00E3232D">
        <w:rPr>
          <w:rFonts w:ascii="Book Antiqua" w:hAnsi="Book Antiqua"/>
          <w:spacing w:val="1"/>
        </w:rPr>
        <w:t>r</w:t>
      </w:r>
      <w:r w:rsidRPr="00E3232D">
        <w:rPr>
          <w:rFonts w:ascii="Book Antiqua" w:hAnsi="Book Antiqua"/>
          <w:spacing w:val="-2"/>
        </w:rPr>
        <w:t>g</w:t>
      </w:r>
      <w:r w:rsidRPr="00E3232D">
        <w:rPr>
          <w:rFonts w:ascii="Book Antiqua" w:hAnsi="Book Antiqua"/>
          <w:spacing w:val="-1"/>
        </w:rPr>
        <w:t>a</w:t>
      </w:r>
      <w:r w:rsidRPr="00E3232D">
        <w:rPr>
          <w:rFonts w:ascii="Book Antiqua" w:hAnsi="Book Antiqua"/>
        </w:rPr>
        <w:t>n</w:t>
      </w:r>
      <w:r w:rsidRPr="00E3232D">
        <w:rPr>
          <w:rFonts w:ascii="Book Antiqua" w:hAnsi="Book Antiqua"/>
          <w:spacing w:val="3"/>
        </w:rPr>
        <w:t>i</w:t>
      </w:r>
      <w:r w:rsidRPr="00E3232D">
        <w:rPr>
          <w:rFonts w:ascii="Book Antiqua" w:hAnsi="Book Antiqua"/>
          <w:spacing w:val="1"/>
        </w:rPr>
        <w:t>z</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r w:rsidRPr="00E3232D">
        <w:rPr>
          <w:rFonts w:ascii="Book Antiqua" w:hAnsi="Book Antiqua"/>
          <w:spacing w:val="1"/>
        </w:rPr>
        <w:t xml:space="preserve"> </w:t>
      </w:r>
      <w:r w:rsidRPr="00E3232D">
        <w:rPr>
          <w:rFonts w:ascii="Book Antiqua" w:hAnsi="Book Antiqua"/>
        </w:rPr>
        <w:t>(</w:t>
      </w:r>
      <w:r w:rsidRPr="00E3232D">
        <w:rPr>
          <w:rFonts w:ascii="Book Antiqua" w:hAnsi="Book Antiqua"/>
          <w:spacing w:val="-1"/>
        </w:rPr>
        <w:t>N</w:t>
      </w:r>
      <w:r w:rsidRPr="00E3232D">
        <w:rPr>
          <w:rFonts w:ascii="Book Antiqua" w:hAnsi="Book Antiqua"/>
        </w:rPr>
        <w:t>G</w:t>
      </w:r>
      <w:r w:rsidRPr="00E3232D">
        <w:rPr>
          <w:rFonts w:ascii="Book Antiqua" w:hAnsi="Book Antiqua"/>
          <w:spacing w:val="-1"/>
        </w:rPr>
        <w:t>O</w:t>
      </w:r>
      <w:r w:rsidRPr="00E3232D">
        <w:rPr>
          <w:rFonts w:ascii="Book Antiqua" w:hAnsi="Book Antiqua"/>
        </w:rPr>
        <w:t xml:space="preserve">s) </w:t>
      </w:r>
      <w:r w:rsidRPr="00E3232D">
        <w:rPr>
          <w:rFonts w:ascii="Book Antiqua" w:hAnsi="Book Antiqua"/>
          <w:spacing w:val="-1"/>
        </w:rPr>
        <w:t>ca</w:t>
      </w:r>
      <w:r w:rsidRPr="00E3232D">
        <w:rPr>
          <w:rFonts w:ascii="Book Antiqua" w:hAnsi="Book Antiqua"/>
        </w:rPr>
        <w:t>n</w:t>
      </w:r>
      <w:r w:rsidRPr="00E3232D">
        <w:rPr>
          <w:rFonts w:ascii="Book Antiqua" w:hAnsi="Book Antiqua"/>
          <w:spacing w:val="1"/>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v</w:t>
      </w:r>
      <w:r w:rsidRPr="00E3232D">
        <w:rPr>
          <w:rFonts w:ascii="Book Antiqua" w:hAnsi="Book Antiqua"/>
        </w:rPr>
        <w:t>ide 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ial</w:t>
      </w:r>
      <w:r w:rsidRPr="00E3232D">
        <w:rPr>
          <w:rFonts w:ascii="Book Antiqua" w:hAnsi="Book Antiqua"/>
          <w:spacing w:val="1"/>
        </w:rPr>
        <w:t xml:space="preserve"> </w:t>
      </w:r>
      <w:r w:rsidRPr="00E3232D">
        <w:rPr>
          <w:rFonts w:ascii="Book Antiqua" w:hAnsi="Book Antiqua"/>
        </w:rPr>
        <w:t>suc</w:t>
      </w:r>
      <w:r w:rsidRPr="00E3232D">
        <w:rPr>
          <w:rFonts w:ascii="Book Antiqua" w:hAnsi="Book Antiqua"/>
          <w:spacing w:val="-2"/>
        </w:rPr>
        <w:t>c</w:t>
      </w:r>
      <w:r w:rsidRPr="00E3232D">
        <w:rPr>
          <w:rFonts w:ascii="Book Antiqua" w:hAnsi="Book Antiqua"/>
          <w:spacing w:val="-1"/>
        </w:rPr>
        <w:t>e</w:t>
      </w:r>
      <w:r w:rsidRPr="00E3232D">
        <w:rPr>
          <w:rFonts w:ascii="Book Antiqua" w:hAnsi="Book Antiqua"/>
        </w:rPr>
        <w:t>ss</w:t>
      </w:r>
      <w:r w:rsidRPr="00E3232D">
        <w:rPr>
          <w:rFonts w:ascii="Book Antiqua" w:hAnsi="Book Antiqua"/>
          <w:spacing w:val="1"/>
        </w:rPr>
        <w:t xml:space="preserve"> </w:t>
      </w:r>
      <w:r w:rsidRPr="00E3232D">
        <w:rPr>
          <w:rFonts w:ascii="Book Antiqua" w:hAnsi="Book Antiqua"/>
        </w:rPr>
        <w:t>in</w:t>
      </w:r>
      <w:r w:rsidRPr="00E3232D">
        <w:rPr>
          <w:rFonts w:ascii="Book Antiqua" w:hAnsi="Book Antiqua"/>
          <w:spacing w:val="1"/>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1"/>
        </w:rPr>
        <w:t>e</w:t>
      </w:r>
      <w:r w:rsidRPr="00E3232D">
        <w:rPr>
          <w:rFonts w:ascii="Book Antiqua" w:hAnsi="Book Antiqua"/>
        </w:rPr>
        <w:t>nte</w:t>
      </w:r>
      <w:r w:rsidRPr="00E3232D">
        <w:rPr>
          <w:rFonts w:ascii="Book Antiqua" w:hAnsi="Book Antiqua"/>
          <w:spacing w:val="-1"/>
        </w:rPr>
        <w:t>r</w:t>
      </w:r>
      <w:r w:rsidRPr="00E3232D">
        <w:rPr>
          <w:rFonts w:ascii="Book Antiqua" w:hAnsi="Book Antiqua"/>
        </w:rPr>
        <w:t>p</w:t>
      </w:r>
      <w:r w:rsidRPr="00E3232D">
        <w:rPr>
          <w:rFonts w:ascii="Book Antiqua" w:hAnsi="Book Antiqua"/>
          <w:spacing w:val="-1"/>
        </w:rPr>
        <w:t>r</w:t>
      </w:r>
      <w:r w:rsidRPr="00E3232D">
        <w:rPr>
          <w:rFonts w:ascii="Book Antiqua" w:hAnsi="Book Antiqua"/>
        </w:rPr>
        <w:t>ise not</w:t>
      </w:r>
      <w:r w:rsidRPr="00E3232D">
        <w:rPr>
          <w:rFonts w:ascii="Book Antiqua" w:hAnsi="Book Antiqua"/>
          <w:spacing w:val="8"/>
        </w:rPr>
        <w:t xml:space="preserve"> </w:t>
      </w:r>
      <w:r w:rsidRPr="00E3232D">
        <w:rPr>
          <w:rFonts w:ascii="Book Antiqua" w:hAnsi="Book Antiqua"/>
        </w:rPr>
        <w:t>on</w:t>
      </w:r>
      <w:r w:rsidRPr="00E3232D">
        <w:rPr>
          <w:rFonts w:ascii="Book Antiqua" w:hAnsi="Book Antiqua"/>
          <w:spacing w:val="3"/>
        </w:rPr>
        <w:t>l</w:t>
      </w:r>
      <w:r w:rsidRPr="00E3232D">
        <w:rPr>
          <w:rFonts w:ascii="Book Antiqua" w:hAnsi="Book Antiqua"/>
        </w:rPr>
        <w:t>y the</w:t>
      </w:r>
      <w:r w:rsidRPr="00E3232D">
        <w:rPr>
          <w:rFonts w:ascii="Book Antiqua" w:hAnsi="Book Antiqua"/>
          <w:spacing w:val="7"/>
        </w:rPr>
        <w:t xml:space="preserve"> </w:t>
      </w:r>
      <w:r w:rsidRPr="00E3232D">
        <w:rPr>
          <w:rFonts w:ascii="Book Antiqua" w:hAnsi="Book Antiqua"/>
        </w:rPr>
        <w:t>m</w:t>
      </w:r>
      <w:r w:rsidRPr="00E3232D">
        <w:rPr>
          <w:rFonts w:ascii="Book Antiqua" w:hAnsi="Book Antiqua"/>
          <w:spacing w:val="2"/>
        </w:rPr>
        <w:t>e</w:t>
      </w:r>
      <w:r w:rsidRPr="00E3232D">
        <w:rPr>
          <w:rFonts w:ascii="Book Antiqua" w:hAnsi="Book Antiqua"/>
          <w:spacing w:val="-1"/>
        </w:rPr>
        <w:t>a</w:t>
      </w:r>
      <w:r w:rsidRPr="00E3232D">
        <w:rPr>
          <w:rFonts w:ascii="Book Antiqua" w:hAnsi="Book Antiqua"/>
        </w:rPr>
        <w:t>ns</w:t>
      </w:r>
      <w:r w:rsidRPr="00E3232D">
        <w:rPr>
          <w:rFonts w:ascii="Book Antiqua" w:hAnsi="Book Antiqua"/>
          <w:spacing w:val="9"/>
        </w:rPr>
        <w:t xml:space="preserve"> </w:t>
      </w:r>
      <w:r w:rsidRPr="00E3232D">
        <w:rPr>
          <w:rFonts w:ascii="Book Antiqua" w:hAnsi="Book Antiqua"/>
        </w:rPr>
        <w:t>to</w:t>
      </w:r>
      <w:r w:rsidRPr="00E3232D">
        <w:rPr>
          <w:rFonts w:ascii="Book Antiqua" w:hAnsi="Book Antiqua"/>
          <w:spacing w:val="8"/>
        </w:rPr>
        <w:t xml:space="preserve"> </w:t>
      </w:r>
      <w:r w:rsidRPr="00E3232D">
        <w:rPr>
          <w:rFonts w:ascii="Book Antiqua" w:hAnsi="Book Antiqua"/>
        </w:rPr>
        <w:t>rep</w:t>
      </w:r>
      <w:r w:rsidRPr="00E3232D">
        <w:rPr>
          <w:rFonts w:ascii="Book Antiqua" w:hAnsi="Book Antiqua"/>
          <w:spacing w:val="1"/>
        </w:rPr>
        <w:t>a</w:t>
      </w:r>
      <w:r w:rsidRPr="00E3232D">
        <w:rPr>
          <w:rFonts w:ascii="Book Antiqua" w:hAnsi="Book Antiqua"/>
        </w:rPr>
        <w:t>y</w:t>
      </w:r>
      <w:r w:rsidRPr="00E3232D">
        <w:rPr>
          <w:rFonts w:ascii="Book Antiqua" w:hAnsi="Book Antiqua"/>
          <w:spacing w:val="2"/>
        </w:rPr>
        <w:t xml:space="preserve"> </w:t>
      </w:r>
      <w:r w:rsidRPr="00E3232D">
        <w:rPr>
          <w:rFonts w:ascii="Book Antiqua" w:hAnsi="Book Antiqua"/>
        </w:rPr>
        <w:t>loans,</w:t>
      </w:r>
      <w:r w:rsidRPr="00E3232D">
        <w:rPr>
          <w:rFonts w:ascii="Book Antiqua" w:hAnsi="Book Antiqua"/>
          <w:spacing w:val="7"/>
        </w:rPr>
        <w:t xml:space="preserve"> </w:t>
      </w:r>
      <w:r w:rsidRPr="00E3232D">
        <w:rPr>
          <w:rFonts w:ascii="Book Antiqua" w:hAnsi="Book Antiqua"/>
        </w:rPr>
        <w:t>but</w:t>
      </w:r>
      <w:r w:rsidRPr="00E3232D">
        <w:rPr>
          <w:rFonts w:ascii="Book Antiqua" w:hAnsi="Book Antiqua"/>
          <w:spacing w:val="8"/>
        </w:rPr>
        <w:t xml:space="preserve"> </w:t>
      </w:r>
      <w:r w:rsidRPr="00E3232D">
        <w:rPr>
          <w:rFonts w:ascii="Book Antiqua" w:hAnsi="Book Antiqua"/>
          <w:spacing w:val="-1"/>
        </w:rPr>
        <w:t>ca</w:t>
      </w:r>
      <w:r w:rsidRPr="00E3232D">
        <w:rPr>
          <w:rFonts w:ascii="Book Antiqua" w:hAnsi="Book Antiqua"/>
        </w:rPr>
        <w:t>n,</w:t>
      </w:r>
      <w:r w:rsidRPr="00E3232D">
        <w:rPr>
          <w:rFonts w:ascii="Book Antiqua" w:hAnsi="Book Antiqua"/>
          <w:spacing w:val="7"/>
        </w:rPr>
        <w:t xml:space="preserve"> </w:t>
      </w:r>
      <w:r w:rsidRPr="00E3232D">
        <w:rPr>
          <w:rFonts w:ascii="Book Antiqua" w:hAnsi="Book Antiqua"/>
        </w:rPr>
        <w:t>in</w:t>
      </w:r>
      <w:r w:rsidRPr="00E3232D">
        <w:rPr>
          <w:rFonts w:ascii="Book Antiqua" w:hAnsi="Book Antiqua"/>
          <w:spacing w:val="8"/>
        </w:rPr>
        <w:t xml:space="preserve"> </w:t>
      </w:r>
      <w:r w:rsidRPr="00E3232D">
        <w:rPr>
          <w:rFonts w:ascii="Book Antiqua" w:hAnsi="Book Antiqua"/>
        </w:rPr>
        <w:t>t</w:t>
      </w:r>
      <w:r w:rsidRPr="00E3232D">
        <w:rPr>
          <w:rFonts w:ascii="Book Antiqua" w:hAnsi="Book Antiqua"/>
          <w:spacing w:val="1"/>
        </w:rPr>
        <w:t>i</w:t>
      </w:r>
      <w:r w:rsidRPr="00E3232D">
        <w:rPr>
          <w:rFonts w:ascii="Book Antiqua" w:hAnsi="Book Antiqua"/>
        </w:rPr>
        <w:t>me</w:t>
      </w:r>
      <w:r w:rsidRPr="00E3232D">
        <w:rPr>
          <w:rFonts w:ascii="Book Antiqua" w:hAnsi="Book Antiqua"/>
          <w:spacing w:val="7"/>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ovide</w:t>
      </w:r>
      <w:r w:rsidRPr="00E3232D">
        <w:rPr>
          <w:rFonts w:ascii="Book Antiqua" w:hAnsi="Book Antiqua"/>
          <w:spacing w:val="7"/>
        </w:rPr>
        <w:t xml:space="preserve"> </w:t>
      </w:r>
      <w:r w:rsidRPr="00E3232D">
        <w:rPr>
          <w:rFonts w:ascii="Book Antiqua" w:hAnsi="Book Antiqua"/>
        </w:rPr>
        <w:t>wo</w:t>
      </w:r>
      <w:r w:rsidRPr="00E3232D">
        <w:rPr>
          <w:rFonts w:ascii="Book Antiqua" w:hAnsi="Book Antiqua"/>
          <w:spacing w:val="-1"/>
        </w:rPr>
        <w:t>r</w:t>
      </w:r>
      <w:r w:rsidRPr="00E3232D">
        <w:rPr>
          <w:rFonts w:ascii="Book Antiqua" w:hAnsi="Book Antiqua"/>
        </w:rPr>
        <w:t>ki</w:t>
      </w:r>
      <w:r w:rsidRPr="00E3232D">
        <w:rPr>
          <w:rFonts w:ascii="Book Antiqua" w:hAnsi="Book Antiqua"/>
          <w:spacing w:val="3"/>
        </w:rPr>
        <w:t>n</w:t>
      </w:r>
      <w:r w:rsidRPr="00E3232D">
        <w:rPr>
          <w:rFonts w:ascii="Book Antiqua" w:hAnsi="Book Antiqua"/>
        </w:rPr>
        <w:t>g</w:t>
      </w:r>
      <w:r w:rsidRPr="00E3232D">
        <w:rPr>
          <w:rFonts w:ascii="Book Antiqua" w:hAnsi="Book Antiqua"/>
          <w:spacing w:val="5"/>
        </w:rPr>
        <w:t xml:space="preserve"> </w:t>
      </w:r>
      <w:r w:rsidRPr="00E3232D">
        <w:rPr>
          <w:rFonts w:ascii="Book Antiqua" w:hAnsi="Book Antiqua"/>
          <w:spacing w:val="-1"/>
        </w:rPr>
        <w:t>ca</w:t>
      </w:r>
      <w:r w:rsidRPr="00E3232D">
        <w:rPr>
          <w:rFonts w:ascii="Book Antiqua" w:hAnsi="Book Antiqua"/>
        </w:rPr>
        <w:t>p</w:t>
      </w:r>
      <w:r w:rsidRPr="00E3232D">
        <w:rPr>
          <w:rFonts w:ascii="Book Antiqua" w:hAnsi="Book Antiqua"/>
          <w:spacing w:val="3"/>
        </w:rPr>
        <w:t>i</w:t>
      </w:r>
      <w:r w:rsidRPr="00E3232D">
        <w:rPr>
          <w:rFonts w:ascii="Book Antiqua" w:hAnsi="Book Antiqua"/>
        </w:rPr>
        <w:t>tal</w:t>
      </w:r>
      <w:r w:rsidRPr="00E3232D">
        <w:rPr>
          <w:rFonts w:ascii="Book Antiqua" w:hAnsi="Book Antiqua"/>
          <w:spacing w:val="7"/>
        </w:rPr>
        <w:t xml:space="preserve"> </w:t>
      </w:r>
      <w:r w:rsidRPr="00E3232D">
        <w:rPr>
          <w:rFonts w:ascii="Book Antiqua" w:hAnsi="Book Antiqua"/>
        </w:rPr>
        <w:t>for</w:t>
      </w:r>
      <w:r w:rsidRPr="00E3232D">
        <w:rPr>
          <w:rFonts w:ascii="Book Antiqua" w:hAnsi="Book Antiqua"/>
          <w:spacing w:val="6"/>
        </w:rPr>
        <w:t xml:space="preserve"> </w:t>
      </w:r>
      <w:r w:rsidRPr="00E3232D">
        <w:rPr>
          <w:rFonts w:ascii="Book Antiqua" w:hAnsi="Book Antiqua"/>
        </w:rPr>
        <w:t>potential 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 xml:space="preserve">ro </w:t>
      </w:r>
      <w:r w:rsidRPr="00E3232D">
        <w:rPr>
          <w:rFonts w:ascii="Book Antiqua" w:hAnsi="Book Antiqua"/>
          <w:spacing w:val="-2"/>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spacing w:val="2"/>
        </w:rPr>
        <w:t>u</w:t>
      </w:r>
      <w:r w:rsidRPr="00E3232D">
        <w:rPr>
          <w:rFonts w:ascii="Book Antiqua" w:hAnsi="Book Antiqua"/>
        </w:rPr>
        <w:t>ri</w:t>
      </w:r>
      <w:r w:rsidRPr="00E3232D">
        <w:rPr>
          <w:rFonts w:ascii="Book Antiqua" w:hAnsi="Book Antiqua"/>
          <w:spacing w:val="-1"/>
        </w:rPr>
        <w:t>a</w:t>
      </w:r>
      <w:r w:rsidRPr="00E3232D">
        <w:rPr>
          <w:rFonts w:ascii="Book Antiqua" w:hAnsi="Book Antiqua"/>
        </w:rPr>
        <w:t>l bo</w:t>
      </w:r>
      <w:r w:rsidRPr="00E3232D">
        <w:rPr>
          <w:rFonts w:ascii="Book Antiqua" w:hAnsi="Book Antiqua"/>
          <w:spacing w:val="2"/>
        </w:rPr>
        <w:t>r</w:t>
      </w:r>
      <w:r w:rsidRPr="00E3232D">
        <w:rPr>
          <w:rFonts w:ascii="Book Antiqua" w:hAnsi="Book Antiqua"/>
        </w:rPr>
        <w:t>ro</w:t>
      </w:r>
      <w:r w:rsidRPr="00E3232D">
        <w:rPr>
          <w:rFonts w:ascii="Book Antiqua" w:hAnsi="Book Antiqua"/>
          <w:spacing w:val="-1"/>
        </w:rPr>
        <w:t>we</w:t>
      </w:r>
      <w:r w:rsidRPr="00E3232D">
        <w:rPr>
          <w:rFonts w:ascii="Book Antiqua" w:hAnsi="Book Antiqua"/>
        </w:rPr>
        <w:t xml:space="preserve">rs to </w:t>
      </w:r>
      <w:r w:rsidRPr="00E3232D">
        <w:rPr>
          <w:rFonts w:ascii="Book Antiqua" w:hAnsi="Book Antiqua"/>
          <w:spacing w:val="-1"/>
        </w:rPr>
        <w:t>c</w:t>
      </w:r>
      <w:r w:rsidRPr="00E3232D">
        <w:rPr>
          <w:rFonts w:ascii="Book Antiqua" w:hAnsi="Book Antiqua"/>
        </w:rPr>
        <w:t>ont</w:t>
      </w:r>
      <w:r w:rsidRPr="00E3232D">
        <w:rPr>
          <w:rFonts w:ascii="Book Antiqua" w:hAnsi="Book Antiqua"/>
          <w:spacing w:val="1"/>
        </w:rPr>
        <w:t>i</w:t>
      </w:r>
      <w:r w:rsidRPr="00E3232D">
        <w:rPr>
          <w:rFonts w:ascii="Book Antiqua" w:hAnsi="Book Antiqua"/>
        </w:rPr>
        <w:t>nue</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 xml:space="preserve">nd </w:t>
      </w:r>
      <w:r w:rsidRPr="00E3232D">
        <w:rPr>
          <w:rFonts w:ascii="Book Antiqua" w:hAnsi="Book Antiqua"/>
          <w:spacing w:val="1"/>
        </w:rPr>
        <w:t>e</w:t>
      </w:r>
      <w:r w:rsidRPr="00E3232D">
        <w:rPr>
          <w:rFonts w:ascii="Book Antiqua" w:hAnsi="Book Antiqua"/>
          <w:spacing w:val="2"/>
        </w:rPr>
        <w:t>x</w:t>
      </w:r>
      <w:r w:rsidRPr="00E3232D">
        <w:rPr>
          <w:rFonts w:ascii="Book Antiqua" w:hAnsi="Book Antiqua"/>
        </w:rPr>
        <w:t>p</w:t>
      </w:r>
      <w:r w:rsidRPr="00E3232D">
        <w:rPr>
          <w:rFonts w:ascii="Book Antiqua" w:hAnsi="Book Antiqua"/>
          <w:spacing w:val="-1"/>
        </w:rPr>
        <w:t>a</w:t>
      </w:r>
      <w:r w:rsidRPr="00E3232D">
        <w:rPr>
          <w:rFonts w:ascii="Book Antiqua" w:hAnsi="Book Antiqua"/>
        </w:rPr>
        <w:t>nd their</w:t>
      </w:r>
      <w:r w:rsidRPr="00E3232D">
        <w:rPr>
          <w:rFonts w:ascii="Book Antiqua" w:hAnsi="Book Antiqua"/>
          <w:spacing w:val="-1"/>
        </w:rPr>
        <w:t xml:space="preserve"> </w:t>
      </w:r>
      <w:r w:rsidRPr="00E3232D">
        <w:rPr>
          <w:rFonts w:ascii="Book Antiqua" w:hAnsi="Book Antiqua"/>
        </w:rPr>
        <w:t>busin</w:t>
      </w:r>
      <w:r w:rsidRPr="00E3232D">
        <w:rPr>
          <w:rFonts w:ascii="Book Antiqua" w:hAnsi="Book Antiqua"/>
          <w:spacing w:val="-1"/>
        </w:rPr>
        <w:t>e</w:t>
      </w:r>
      <w:r w:rsidRPr="00E3232D">
        <w:rPr>
          <w:rFonts w:ascii="Book Antiqua" w:hAnsi="Book Antiqua"/>
        </w:rPr>
        <w:t>sses. Ag</w:t>
      </w:r>
      <w:r w:rsidRPr="00E3232D">
        <w:rPr>
          <w:rFonts w:ascii="Book Antiqua" w:hAnsi="Book Antiqua"/>
          <w:spacing w:val="-1"/>
        </w:rPr>
        <w:t>a</w:t>
      </w:r>
      <w:r w:rsidRPr="00E3232D">
        <w:rPr>
          <w:rFonts w:ascii="Book Antiqua" w:hAnsi="Book Antiqua"/>
        </w:rPr>
        <w:t>in,</w:t>
      </w:r>
      <w:r w:rsidRPr="00E3232D">
        <w:rPr>
          <w:rFonts w:ascii="Book Antiqua" w:hAnsi="Book Antiqua"/>
          <w:spacing w:val="3"/>
        </w:rPr>
        <w:t xml:space="preserve"> </w:t>
      </w:r>
      <w:r w:rsidRPr="00E3232D">
        <w:rPr>
          <w:rFonts w:ascii="Book Antiqua" w:hAnsi="Book Antiqua"/>
        </w:rPr>
        <w:t>man</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3"/>
        </w:rPr>
        <w:t xml:space="preserve"> </w:t>
      </w:r>
      <w:r w:rsidRPr="00E3232D">
        <w:rPr>
          <w:rFonts w:ascii="Book Antiqua" w:hAnsi="Book Antiqua"/>
        </w:rPr>
        <w:t>tr</w:t>
      </w:r>
      <w:r w:rsidRPr="00E3232D">
        <w:rPr>
          <w:rFonts w:ascii="Book Antiqua" w:hAnsi="Book Antiqua"/>
          <w:spacing w:val="-1"/>
        </w:rPr>
        <w:t>a</w:t>
      </w:r>
      <w:r w:rsidRPr="00E3232D">
        <w:rPr>
          <w:rFonts w:ascii="Book Antiqua" w:hAnsi="Book Antiqua"/>
        </w:rPr>
        <w:t>in</w:t>
      </w:r>
      <w:r w:rsidRPr="00E3232D">
        <w:rPr>
          <w:rFonts w:ascii="Book Antiqua" w:hAnsi="Book Antiqua"/>
          <w:spacing w:val="1"/>
        </w:rPr>
        <w:t>i</w:t>
      </w:r>
      <w:r w:rsidRPr="00E3232D">
        <w:rPr>
          <w:rFonts w:ascii="Book Antiqua" w:hAnsi="Book Antiqua"/>
        </w:rPr>
        <w:t>ng will</w:t>
      </w:r>
      <w:r w:rsidRPr="00E3232D">
        <w:rPr>
          <w:rFonts w:ascii="Book Antiqua" w:hAnsi="Book Antiqua"/>
          <w:spacing w:val="3"/>
        </w:rPr>
        <w:t xml:space="preserve"> </w:t>
      </w:r>
      <w:r w:rsidRPr="00E3232D">
        <w:rPr>
          <w:rFonts w:ascii="Book Antiqua" w:hAnsi="Book Antiqua"/>
        </w:rPr>
        <w:t>s</w:t>
      </w:r>
      <w:r w:rsidRPr="00E3232D">
        <w:rPr>
          <w:rFonts w:ascii="Book Antiqua" w:hAnsi="Book Antiqua"/>
          <w:spacing w:val="-1"/>
        </w:rPr>
        <w:t>e</w:t>
      </w:r>
      <w:r w:rsidRPr="00E3232D">
        <w:rPr>
          <w:rFonts w:ascii="Book Antiqua" w:hAnsi="Book Antiqua"/>
        </w:rPr>
        <w:t>rve</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a</w:t>
      </w:r>
      <w:r w:rsidRPr="00E3232D">
        <w:rPr>
          <w:rFonts w:ascii="Book Antiqua" w:hAnsi="Book Antiqua"/>
          <w:spacing w:val="1"/>
        </w:rPr>
        <w:t xml:space="preserve"> </w:t>
      </w:r>
      <w:r w:rsidRPr="00E3232D">
        <w:rPr>
          <w:rFonts w:ascii="Book Antiqua" w:hAnsi="Book Antiqua"/>
        </w:rPr>
        <w:t>vi</w:t>
      </w:r>
      <w:r w:rsidRPr="00E3232D">
        <w:rPr>
          <w:rFonts w:ascii="Book Antiqua" w:hAnsi="Book Antiqua"/>
          <w:spacing w:val="1"/>
        </w:rPr>
        <w:t>t</w:t>
      </w:r>
      <w:r w:rsidRPr="00E3232D">
        <w:rPr>
          <w:rFonts w:ascii="Book Antiqua" w:hAnsi="Book Antiqua"/>
          <w:spacing w:val="-1"/>
        </w:rPr>
        <w:t>a</w:t>
      </w:r>
      <w:r w:rsidRPr="00E3232D">
        <w:rPr>
          <w:rFonts w:ascii="Book Antiqua" w:hAnsi="Book Antiqua"/>
        </w:rPr>
        <w:t>l</w:t>
      </w:r>
      <w:r w:rsidRPr="00E3232D">
        <w:rPr>
          <w:rFonts w:ascii="Book Antiqua" w:hAnsi="Book Antiqua"/>
          <w:spacing w:val="3"/>
        </w:rPr>
        <w:t xml:space="preserve"> </w:t>
      </w:r>
      <w:r w:rsidRPr="00E3232D">
        <w:rPr>
          <w:rFonts w:ascii="Book Antiqua" w:hAnsi="Book Antiqua"/>
        </w:rPr>
        <w:t>me</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nism</w:t>
      </w:r>
      <w:r w:rsidRPr="00E3232D">
        <w:rPr>
          <w:rFonts w:ascii="Book Antiqua" w:hAnsi="Book Antiqua"/>
          <w:spacing w:val="3"/>
        </w:rPr>
        <w:t xml:space="preserve"> </w:t>
      </w:r>
      <w:r w:rsidRPr="00E3232D">
        <w:rPr>
          <w:rFonts w:ascii="Book Antiqua" w:hAnsi="Book Antiqua"/>
        </w:rPr>
        <w:t>to</w:t>
      </w:r>
      <w:r w:rsidRPr="00E3232D">
        <w:rPr>
          <w:rFonts w:ascii="Book Antiqua" w:hAnsi="Book Antiqua"/>
          <w:spacing w:val="3"/>
        </w:rPr>
        <w:t xml:space="preserve"> </w:t>
      </w:r>
      <w:r w:rsidRPr="00E3232D">
        <w:rPr>
          <w:rFonts w:ascii="Book Antiqua" w:hAnsi="Book Antiqua"/>
        </w:rPr>
        <w:t>spe</w:t>
      </w:r>
      <w:r w:rsidRPr="00E3232D">
        <w:rPr>
          <w:rFonts w:ascii="Book Antiqua" w:hAnsi="Book Antiqua"/>
          <w:spacing w:val="-2"/>
        </w:rPr>
        <w:t>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rPr>
        <w:t>up</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2"/>
        </w:rPr>
        <w:t xml:space="preserve"> </w:t>
      </w:r>
      <w:r w:rsidRPr="00E3232D">
        <w:rPr>
          <w:rFonts w:ascii="Book Antiqua" w:hAnsi="Book Antiqua"/>
          <w:spacing w:val="-2"/>
        </w:rPr>
        <w:t>g</w:t>
      </w:r>
      <w:r w:rsidRPr="00E3232D">
        <w:rPr>
          <w:rFonts w:ascii="Book Antiqua" w:hAnsi="Book Antiqua"/>
        </w:rPr>
        <w:t>ro</w:t>
      </w:r>
      <w:r w:rsidRPr="00E3232D">
        <w:rPr>
          <w:rFonts w:ascii="Book Antiqua" w:hAnsi="Book Antiqua"/>
          <w:spacing w:val="-1"/>
        </w:rPr>
        <w:t>w</w:t>
      </w:r>
      <w:r w:rsidRPr="00E3232D">
        <w:rPr>
          <w:rFonts w:ascii="Book Antiqua" w:hAnsi="Book Antiqua"/>
        </w:rPr>
        <w:t>th</w:t>
      </w:r>
      <w:r w:rsidRPr="00E3232D">
        <w:rPr>
          <w:rFonts w:ascii="Book Antiqua" w:hAnsi="Book Antiqua"/>
          <w:spacing w:val="3"/>
        </w:rPr>
        <w:t xml:space="preserve"> </w:t>
      </w:r>
      <w:r w:rsidRPr="00E3232D">
        <w:rPr>
          <w:rFonts w:ascii="Book Antiqua" w:hAnsi="Book Antiqua"/>
        </w:rPr>
        <w:t>of</w:t>
      </w:r>
      <w:r w:rsidRPr="00E3232D">
        <w:rPr>
          <w:rFonts w:ascii="Book Antiqua" w:hAnsi="Book Antiqua"/>
          <w:spacing w:val="2"/>
        </w:rPr>
        <w:t xml:space="preserve"> </w:t>
      </w:r>
      <w:r w:rsidRPr="00E3232D">
        <w:rPr>
          <w:rFonts w:ascii="Book Antiqua" w:hAnsi="Book Antiqua"/>
        </w:rPr>
        <w:t>t</w:t>
      </w:r>
      <w:r w:rsidRPr="00E3232D">
        <w:rPr>
          <w:rFonts w:ascii="Book Antiqua" w:hAnsi="Book Antiqua"/>
          <w:spacing w:val="3"/>
        </w:rPr>
        <w:t>h</w:t>
      </w:r>
      <w:r w:rsidRPr="00E3232D">
        <w:rPr>
          <w:rFonts w:ascii="Book Antiqua" w:hAnsi="Book Antiqua"/>
        </w:rPr>
        <w:t>e busin</w:t>
      </w:r>
      <w:r w:rsidRPr="00E3232D">
        <w:rPr>
          <w:rFonts w:ascii="Book Antiqua" w:hAnsi="Book Antiqua"/>
          <w:spacing w:val="-1"/>
        </w:rPr>
        <w:t>e</w:t>
      </w:r>
      <w:r w:rsidRPr="00E3232D">
        <w:rPr>
          <w:rFonts w:ascii="Book Antiqua" w:hAnsi="Book Antiqua"/>
        </w:rPr>
        <w:t>sses</w:t>
      </w:r>
      <w:r w:rsidRPr="00E3232D">
        <w:rPr>
          <w:rFonts w:ascii="Book Antiqua" w:hAnsi="Book Antiqua"/>
          <w:spacing w:val="1"/>
        </w:rPr>
        <w:t xml:space="preserve"> </w:t>
      </w:r>
      <w:r w:rsidRPr="00E3232D">
        <w:rPr>
          <w:rFonts w:ascii="Book Antiqua" w:hAnsi="Book Antiqua"/>
        </w:rPr>
        <w:t>of potenti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spacing w:val="-2"/>
        </w:rPr>
        <w:t>m</w:t>
      </w:r>
      <w:r w:rsidRPr="00E3232D">
        <w:rPr>
          <w:rFonts w:ascii="Book Antiqua" w:hAnsi="Book Antiqua"/>
        </w:rPr>
        <w:t>ic</w:t>
      </w:r>
      <w:r w:rsidRPr="00E3232D">
        <w:rPr>
          <w:rFonts w:ascii="Book Antiqua" w:hAnsi="Book Antiqua"/>
          <w:spacing w:val="-1"/>
        </w:rPr>
        <w:t>r</w:t>
      </w:r>
      <w:r w:rsidRPr="00E3232D">
        <w:rPr>
          <w:rFonts w:ascii="Book Antiqua" w:hAnsi="Book Antiqua"/>
        </w:rPr>
        <w:t>o</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spacing w:val="3"/>
        </w:rPr>
        <w:t>i</w:t>
      </w:r>
      <w:r w:rsidRPr="00E3232D">
        <w:rPr>
          <w:rFonts w:ascii="Book Antiqua" w:hAnsi="Book Antiqua"/>
          <w:spacing w:val="-1"/>
        </w:rPr>
        <w:t>a</w:t>
      </w:r>
      <w:r w:rsidRPr="00E3232D">
        <w:rPr>
          <w:rFonts w:ascii="Book Antiqua" w:hAnsi="Book Antiqua"/>
        </w:rPr>
        <w:t>l</w:t>
      </w:r>
      <w:r w:rsidRPr="00E3232D">
        <w:rPr>
          <w:rFonts w:ascii="Book Antiqua" w:hAnsi="Book Antiqua"/>
          <w:spacing w:val="3"/>
        </w:rPr>
        <w:t xml:space="preserve"> </w:t>
      </w:r>
      <w:r w:rsidRPr="00E3232D">
        <w:rPr>
          <w:rFonts w:ascii="Book Antiqua" w:hAnsi="Book Antiqua"/>
        </w:rPr>
        <w:t>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rPr>
        <w:t>This</w:t>
      </w:r>
      <w:r w:rsidRPr="00E3232D">
        <w:rPr>
          <w:rFonts w:ascii="Book Antiqua" w:hAnsi="Book Antiqua"/>
          <w:spacing w:val="2"/>
        </w:rPr>
        <w:t xml:space="preserve"> </w:t>
      </w:r>
      <w:r w:rsidRPr="00E3232D">
        <w:rPr>
          <w:rFonts w:ascii="Book Antiqua" w:hAnsi="Book Antiqua"/>
          <w:spacing w:val="-1"/>
        </w:rPr>
        <w:t>ca</w:t>
      </w:r>
      <w:r w:rsidRPr="00E3232D">
        <w:rPr>
          <w:rFonts w:ascii="Book Antiqua" w:hAnsi="Book Antiqua"/>
        </w:rPr>
        <w:t>n</w:t>
      </w:r>
      <w:r w:rsidRPr="00E3232D">
        <w:rPr>
          <w:rFonts w:ascii="Book Antiqua" w:hAnsi="Book Antiqua"/>
          <w:spacing w:val="1"/>
        </w:rPr>
        <w:t xml:space="preserve"> </w:t>
      </w:r>
      <w:r w:rsidRPr="00E3232D">
        <w:rPr>
          <w:rFonts w:ascii="Book Antiqua" w:hAnsi="Book Antiqua"/>
        </w:rPr>
        <w:t xml:space="preserve">be </w:t>
      </w:r>
      <w:r w:rsidRPr="00E3232D">
        <w:rPr>
          <w:rFonts w:ascii="Book Antiqua" w:hAnsi="Book Antiqua"/>
          <w:spacing w:val="-1"/>
        </w:rPr>
        <w:t>acc</w:t>
      </w:r>
      <w:r w:rsidRPr="00E3232D">
        <w:rPr>
          <w:rFonts w:ascii="Book Antiqua" w:hAnsi="Book Antiqua"/>
          <w:spacing w:val="2"/>
        </w:rPr>
        <w:t>o</w:t>
      </w:r>
      <w:r w:rsidRPr="00E3232D">
        <w:rPr>
          <w:rFonts w:ascii="Book Antiqua" w:hAnsi="Book Antiqua"/>
        </w:rPr>
        <w:t>mp</w:t>
      </w:r>
      <w:r w:rsidRPr="00E3232D">
        <w:rPr>
          <w:rFonts w:ascii="Book Antiqua" w:hAnsi="Book Antiqua"/>
          <w:spacing w:val="1"/>
        </w:rPr>
        <w:t>l</w:t>
      </w:r>
      <w:r w:rsidRPr="00E3232D">
        <w:rPr>
          <w:rFonts w:ascii="Book Antiqua" w:hAnsi="Book Antiqua"/>
        </w:rPr>
        <w:t>ished</w:t>
      </w:r>
      <w:r w:rsidRPr="00E3232D">
        <w:rPr>
          <w:rFonts w:ascii="Book Antiqua" w:hAnsi="Book Antiqua"/>
          <w:spacing w:val="1"/>
        </w:rPr>
        <w:t xml:space="preserve"> </w:t>
      </w:r>
      <w:r w:rsidRPr="00E3232D">
        <w:rPr>
          <w:rFonts w:ascii="Book Antiqua" w:hAnsi="Book Antiqua"/>
        </w:rPr>
        <w:t>if</w:t>
      </w:r>
      <w:r w:rsidRPr="00E3232D">
        <w:rPr>
          <w:rFonts w:ascii="Book Antiqua" w:hAnsi="Book Antiqua"/>
          <w:spacing w:val="1"/>
        </w:rPr>
        <w:t xml:space="preserve"> </w:t>
      </w:r>
      <w:r w:rsidRPr="00E3232D">
        <w:rPr>
          <w:rFonts w:ascii="Book Antiqua" w:hAnsi="Book Antiqua"/>
        </w:rPr>
        <w:t>th</w:t>
      </w:r>
      <w:r w:rsidRPr="00E3232D">
        <w:rPr>
          <w:rFonts w:ascii="Book Antiqua" w:hAnsi="Book Antiqua"/>
          <w:spacing w:val="2"/>
        </w:rPr>
        <w:t>e</w:t>
      </w:r>
      <w:r w:rsidRPr="00E3232D">
        <w:rPr>
          <w:rFonts w:ascii="Book Antiqua" w:hAnsi="Book Antiqua"/>
        </w:rPr>
        <w:t xml:space="preserve">y </w:t>
      </w:r>
      <w:r w:rsidRPr="00E3232D">
        <w:rPr>
          <w:rFonts w:ascii="Book Antiqua" w:hAnsi="Book Antiqua"/>
          <w:spacing w:val="-1"/>
        </w:rPr>
        <w:t>a</w:t>
      </w:r>
      <w:r w:rsidRPr="00E3232D">
        <w:rPr>
          <w:rFonts w:ascii="Book Antiqua" w:hAnsi="Book Antiqua"/>
        </w:rPr>
        <w:t xml:space="preserve">re </w:t>
      </w:r>
      <w:r w:rsidRPr="00E3232D">
        <w:rPr>
          <w:rFonts w:ascii="Book Antiqua" w:hAnsi="Book Antiqua"/>
          <w:spacing w:val="2"/>
        </w:rPr>
        <w:t>s</w:t>
      </w:r>
      <w:r w:rsidRPr="00E3232D">
        <w:rPr>
          <w:rFonts w:ascii="Book Antiqua" w:hAnsi="Book Antiqua"/>
          <w:spacing w:val="-1"/>
        </w:rPr>
        <w:t>e</w:t>
      </w:r>
      <w:r w:rsidRPr="00E3232D">
        <w:rPr>
          <w:rFonts w:ascii="Book Antiqua" w:hAnsi="Book Antiqua"/>
        </w:rPr>
        <w:t>nsi</w:t>
      </w:r>
      <w:r w:rsidRPr="00E3232D">
        <w:rPr>
          <w:rFonts w:ascii="Book Antiqua" w:hAnsi="Book Antiqua"/>
          <w:spacing w:val="1"/>
        </w:rPr>
        <w:t>t</w:t>
      </w:r>
      <w:r w:rsidRPr="00E3232D">
        <w:rPr>
          <w:rFonts w:ascii="Book Antiqua" w:hAnsi="Book Antiqua"/>
        </w:rPr>
        <w:t>ive</w:t>
      </w:r>
      <w:r w:rsidRPr="00E3232D">
        <w:rPr>
          <w:rFonts w:ascii="Book Antiqua" w:hAnsi="Book Antiqua"/>
          <w:spacing w:val="1"/>
        </w:rPr>
        <w:t xml:space="preserve"> </w:t>
      </w:r>
      <w:r w:rsidRPr="00E3232D">
        <w:rPr>
          <w:rFonts w:ascii="Book Antiqua" w:hAnsi="Book Antiqua"/>
        </w:rPr>
        <w:t>on</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3"/>
        </w:rPr>
        <w:t xml:space="preserve"> </w:t>
      </w:r>
      <w:r w:rsidRPr="00E3232D">
        <w:rPr>
          <w:rFonts w:ascii="Book Antiqua" w:hAnsi="Book Antiqua"/>
        </w:rPr>
        <w:t>d</w:t>
      </w:r>
      <w:r w:rsidRPr="00E3232D">
        <w:rPr>
          <w:rFonts w:ascii="Book Antiqua" w:hAnsi="Book Antiqua"/>
          <w:spacing w:val="-1"/>
        </w:rPr>
        <w:t>a</w:t>
      </w:r>
      <w:r w:rsidRPr="00E3232D">
        <w:rPr>
          <w:rFonts w:ascii="Book Antiqua" w:hAnsi="Book Antiqua"/>
          <w:spacing w:val="2"/>
        </w:rPr>
        <w:t>n</w:t>
      </w:r>
      <w:r w:rsidRPr="00E3232D">
        <w:rPr>
          <w:rFonts w:ascii="Book Antiqua" w:hAnsi="Book Antiqua"/>
        </w:rPr>
        <w:t>g</w:t>
      </w:r>
      <w:r w:rsidRPr="00E3232D">
        <w:rPr>
          <w:rFonts w:ascii="Book Antiqua" w:hAnsi="Book Antiqua"/>
          <w:spacing w:val="-1"/>
        </w:rPr>
        <w:t>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rPr>
        <w:t>of</w:t>
      </w:r>
      <w:r w:rsidRPr="00E3232D">
        <w:rPr>
          <w:rFonts w:ascii="Book Antiqua" w:hAnsi="Book Antiqua"/>
          <w:spacing w:val="3"/>
        </w:rPr>
        <w:t xml:space="preserve"> </w:t>
      </w:r>
      <w:r w:rsidRPr="00E3232D">
        <w:rPr>
          <w:rFonts w:ascii="Book Antiqua" w:hAnsi="Book Antiqua"/>
        </w:rPr>
        <w:t>w</w:t>
      </w:r>
      <w:r w:rsidRPr="00E3232D">
        <w:rPr>
          <w:rFonts w:ascii="Book Antiqua" w:hAnsi="Book Antiqua"/>
          <w:spacing w:val="-1"/>
        </w:rPr>
        <w:t>r</w:t>
      </w:r>
      <w:r w:rsidRPr="00E3232D">
        <w:rPr>
          <w:rFonts w:ascii="Book Antiqua" w:hAnsi="Book Antiqua"/>
        </w:rPr>
        <w:t>o</w:t>
      </w:r>
      <w:r w:rsidRPr="00E3232D">
        <w:rPr>
          <w:rFonts w:ascii="Book Antiqua" w:hAnsi="Book Antiqua"/>
          <w:spacing w:val="2"/>
        </w:rPr>
        <w:t>n</w:t>
      </w:r>
      <w:r w:rsidRPr="00E3232D">
        <w:rPr>
          <w:rFonts w:ascii="Book Antiqua" w:hAnsi="Book Antiqua"/>
        </w:rPr>
        <w:t>g</w:t>
      </w:r>
      <w:r w:rsidRPr="00E3232D">
        <w:rPr>
          <w:rFonts w:ascii="Book Antiqua" w:hAnsi="Book Antiqua"/>
          <w:spacing w:val="2"/>
        </w:rPr>
        <w:t xml:space="preserve"> </w:t>
      </w:r>
      <w:r w:rsidRPr="00E3232D">
        <w:rPr>
          <w:rFonts w:ascii="Book Antiqua" w:hAnsi="Book Antiqua"/>
        </w:rPr>
        <w:t>d</w:t>
      </w:r>
      <w:r w:rsidRPr="00E3232D">
        <w:rPr>
          <w:rFonts w:ascii="Book Antiqua" w:hAnsi="Book Antiqua"/>
          <w:spacing w:val="-1"/>
        </w:rPr>
        <w:t>ec</w:t>
      </w:r>
      <w:r w:rsidRPr="00E3232D">
        <w:rPr>
          <w:rFonts w:ascii="Book Antiqua" w:hAnsi="Book Antiqua"/>
        </w:rPr>
        <w:t>is</w:t>
      </w:r>
      <w:r w:rsidRPr="00E3232D">
        <w:rPr>
          <w:rFonts w:ascii="Book Antiqua" w:hAnsi="Book Antiqua"/>
          <w:spacing w:val="1"/>
        </w:rPr>
        <w:t>i</w:t>
      </w:r>
      <w:r w:rsidRPr="00E3232D">
        <w:rPr>
          <w:rFonts w:ascii="Book Antiqua" w:hAnsi="Book Antiqua"/>
        </w:rPr>
        <w:t>on</w:t>
      </w:r>
      <w:r w:rsidRPr="00E3232D">
        <w:rPr>
          <w:rFonts w:ascii="Book Antiqua" w:hAnsi="Book Antiqua"/>
          <w:spacing w:val="2"/>
        </w:rPr>
        <w:t xml:space="preserve"> </w:t>
      </w:r>
      <w:r w:rsidRPr="00E3232D">
        <w:rPr>
          <w:rFonts w:ascii="Book Antiqua" w:hAnsi="Book Antiqua"/>
          <w:spacing w:val="3"/>
        </w:rPr>
        <w:t>m</w:t>
      </w:r>
      <w:r w:rsidRPr="00E3232D">
        <w:rPr>
          <w:rFonts w:ascii="Book Antiqua" w:hAnsi="Book Antiqua"/>
          <w:spacing w:val="1"/>
        </w:rPr>
        <w:t>a</w:t>
      </w:r>
      <w:r w:rsidRPr="00E3232D">
        <w:rPr>
          <w:rFonts w:ascii="Book Antiqua" w:hAnsi="Book Antiqua"/>
        </w:rPr>
        <w:t>kin</w:t>
      </w:r>
      <w:r w:rsidRPr="00E3232D">
        <w:rPr>
          <w:rFonts w:ascii="Book Antiqua" w:hAnsi="Book Antiqua"/>
          <w:spacing w:val="-2"/>
        </w:rPr>
        <w:t>g</w:t>
      </w:r>
      <w:r w:rsidRPr="00E3232D">
        <w:rPr>
          <w:rFonts w:ascii="Book Antiqua" w:hAnsi="Book Antiqua"/>
        </w:rPr>
        <w:t>.</w:t>
      </w:r>
      <w:r w:rsidRPr="00E3232D">
        <w:rPr>
          <w:rFonts w:ascii="Book Antiqua" w:hAnsi="Book Antiqua"/>
          <w:spacing w:val="7"/>
        </w:rPr>
        <w:t xml:space="preserve"> </w:t>
      </w:r>
      <w:r w:rsidRPr="00E3232D">
        <w:rPr>
          <w:rFonts w:ascii="Book Antiqua" w:hAnsi="Book Antiqua"/>
        </w:rPr>
        <w:t>Hill</w:t>
      </w:r>
      <w:r w:rsidRPr="00E3232D">
        <w:rPr>
          <w:rFonts w:ascii="Book Antiqua" w:hAnsi="Book Antiqua"/>
          <w:spacing w:val="5"/>
        </w:rPr>
        <w:t xml:space="preserve"> </w:t>
      </w:r>
      <w:r w:rsidRPr="00E3232D">
        <w:rPr>
          <w:rFonts w:ascii="Book Antiqua" w:hAnsi="Book Antiqua"/>
        </w:rPr>
        <w:t>(198</w:t>
      </w:r>
      <w:r w:rsidRPr="00E3232D">
        <w:rPr>
          <w:rFonts w:ascii="Book Antiqua" w:hAnsi="Book Antiqua"/>
          <w:spacing w:val="-1"/>
        </w:rPr>
        <w:t>7</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menti</w:t>
      </w:r>
      <w:r w:rsidRPr="00E3232D">
        <w:rPr>
          <w:rFonts w:ascii="Book Antiqua" w:hAnsi="Book Antiqua"/>
          <w:spacing w:val="3"/>
        </w:rPr>
        <w:t>o</w:t>
      </w:r>
      <w:r w:rsidRPr="00E3232D">
        <w:rPr>
          <w:rFonts w:ascii="Book Antiqua" w:hAnsi="Book Antiqua"/>
        </w:rPr>
        <w:t>n</w:t>
      </w:r>
      <w:r w:rsidRPr="00E3232D">
        <w:rPr>
          <w:rFonts w:ascii="Book Antiqua" w:hAnsi="Book Antiqua"/>
          <w:spacing w:val="-1"/>
        </w:rPr>
        <w:t>e</w:t>
      </w:r>
      <w:r w:rsidRPr="00E3232D">
        <w:rPr>
          <w:rFonts w:ascii="Book Antiqua" w:hAnsi="Book Antiqua"/>
        </w:rPr>
        <w:t>d</w:t>
      </w:r>
      <w:r w:rsidRPr="00E3232D">
        <w:rPr>
          <w:rFonts w:ascii="Book Antiqua" w:hAnsi="Book Antiqua"/>
          <w:spacing w:val="2"/>
        </w:rPr>
        <w:t xml:space="preserve"> </w:t>
      </w:r>
      <w:r w:rsidRPr="00E3232D">
        <w:rPr>
          <w:rFonts w:ascii="Book Antiqua" w:hAnsi="Book Antiqua"/>
        </w:rPr>
        <w:t>that</w:t>
      </w:r>
      <w:r w:rsidRPr="00E3232D">
        <w:rPr>
          <w:rFonts w:ascii="Book Antiqua" w:hAnsi="Book Antiqua"/>
          <w:spacing w:val="2"/>
        </w:rPr>
        <w:t xml:space="preserve"> </w:t>
      </w:r>
      <w:r w:rsidRPr="00E3232D">
        <w:rPr>
          <w:rFonts w:ascii="Book Antiqua" w:hAnsi="Book Antiqua"/>
        </w:rPr>
        <w:t>ma</w:t>
      </w:r>
      <w:r w:rsidRPr="00E3232D">
        <w:rPr>
          <w:rFonts w:ascii="Book Antiqua" w:hAnsi="Book Antiqua"/>
          <w:spacing w:val="4"/>
        </w:rPr>
        <w:t>n</w:t>
      </w:r>
      <w:r w:rsidRPr="00E3232D">
        <w:rPr>
          <w:rFonts w:ascii="Book Antiqua" w:hAnsi="Book Antiqua"/>
        </w:rPr>
        <w:t xml:space="preserve">y </w:t>
      </w:r>
      <w:r w:rsidRPr="00E3232D">
        <w:rPr>
          <w:rFonts w:ascii="Book Antiqua" w:hAnsi="Book Antiqua"/>
          <w:spacing w:val="1"/>
        </w:rPr>
        <w:t>S</w:t>
      </w:r>
      <w:r w:rsidRPr="00E3232D">
        <w:rPr>
          <w:rFonts w:ascii="Book Antiqua" w:hAnsi="Book Antiqua"/>
        </w:rPr>
        <w:t>MEs</w:t>
      </w:r>
      <w:r w:rsidRPr="00E3232D">
        <w:rPr>
          <w:rFonts w:ascii="Book Antiqua" w:hAnsi="Book Antiqua"/>
          <w:spacing w:val="1"/>
        </w:rPr>
        <w:t xml:space="preserve"> </w:t>
      </w:r>
      <w:r w:rsidRPr="00E3232D">
        <w:rPr>
          <w:rFonts w:ascii="Book Antiqua" w:hAnsi="Book Antiqua"/>
        </w:rPr>
        <w:t>own</w:t>
      </w:r>
      <w:r w:rsidRPr="00E3232D">
        <w:rPr>
          <w:rFonts w:ascii="Book Antiqua" w:hAnsi="Book Antiqua"/>
          <w:spacing w:val="-1"/>
        </w:rPr>
        <w:t>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rPr>
        <w:t>or</w:t>
      </w:r>
      <w:r w:rsidRPr="00E3232D">
        <w:rPr>
          <w:rFonts w:ascii="Book Antiqua" w:hAnsi="Book Antiqua"/>
          <w:spacing w:val="3"/>
        </w:rPr>
        <w:t xml:space="preserve"> </w:t>
      </w:r>
      <w:r w:rsidRPr="00E3232D">
        <w:rPr>
          <w:rFonts w:ascii="Book Antiqua" w:hAnsi="Book Antiqua"/>
        </w:rPr>
        <w:t>man</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rs</w:t>
      </w:r>
      <w:r w:rsidRPr="00E3232D">
        <w:rPr>
          <w:rFonts w:ascii="Book Antiqua" w:hAnsi="Book Antiqua"/>
          <w:spacing w:val="1"/>
        </w:rPr>
        <w:t xml:space="preserve"> </w:t>
      </w:r>
      <w:r w:rsidRPr="00E3232D">
        <w:rPr>
          <w:rFonts w:ascii="Book Antiqua" w:hAnsi="Book Antiqua"/>
        </w:rPr>
        <w:t>la</w:t>
      </w:r>
      <w:r w:rsidRPr="00E3232D">
        <w:rPr>
          <w:rFonts w:ascii="Book Antiqua" w:hAnsi="Book Antiqua"/>
          <w:spacing w:val="-1"/>
        </w:rPr>
        <w:t>c</w:t>
      </w:r>
      <w:r w:rsidRPr="00E3232D">
        <w:rPr>
          <w:rFonts w:ascii="Book Antiqua" w:hAnsi="Book Antiqua"/>
        </w:rPr>
        <w:t>k</w:t>
      </w:r>
      <w:r w:rsidRPr="00E3232D">
        <w:rPr>
          <w:rFonts w:ascii="Book Antiqua" w:hAnsi="Book Antiqua"/>
          <w:spacing w:val="1"/>
        </w:rPr>
        <w:t xml:space="preserve"> </w:t>
      </w:r>
      <w:r w:rsidRPr="00E3232D">
        <w:rPr>
          <w:rFonts w:ascii="Book Antiqua" w:hAnsi="Book Antiqua"/>
          <w:spacing w:val="3"/>
        </w:rPr>
        <w:t>m</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ri</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tr</w:t>
      </w:r>
      <w:r w:rsidRPr="00E3232D">
        <w:rPr>
          <w:rFonts w:ascii="Book Antiqua" w:hAnsi="Book Antiqua"/>
          <w:spacing w:val="-1"/>
        </w:rPr>
        <w:t>a</w:t>
      </w:r>
      <w:r w:rsidRPr="00E3232D">
        <w:rPr>
          <w:rFonts w:ascii="Book Antiqua" w:hAnsi="Book Antiqua"/>
        </w:rPr>
        <w:t>in</w:t>
      </w:r>
      <w:r w:rsidRPr="00E3232D">
        <w:rPr>
          <w:rFonts w:ascii="Book Antiqua" w:hAnsi="Book Antiqua"/>
          <w:spacing w:val="1"/>
        </w:rPr>
        <w:t>i</w:t>
      </w:r>
      <w:r w:rsidRPr="00E3232D">
        <w:rPr>
          <w:rFonts w:ascii="Book Antiqua" w:hAnsi="Book Antiqua"/>
          <w:spacing w:val="2"/>
        </w:rPr>
        <w:t>n</w:t>
      </w:r>
      <w:r w:rsidRPr="00E3232D">
        <w:rPr>
          <w:rFonts w:ascii="Book Antiqua" w:hAnsi="Book Antiqua"/>
        </w:rPr>
        <w:t>g</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1"/>
        </w:rPr>
        <w:t xml:space="preserv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rPr>
        <w:t>p</w:t>
      </w:r>
      <w:r w:rsidRPr="00E3232D">
        <w:rPr>
          <w:rFonts w:ascii="Book Antiqua" w:hAnsi="Book Antiqua"/>
          <w:spacing w:val="-1"/>
        </w:rPr>
        <w:t>e</w:t>
      </w:r>
      <w:r w:rsidRPr="00E3232D">
        <w:rPr>
          <w:rFonts w:ascii="Book Antiqua" w:hAnsi="Book Antiqua"/>
        </w:rPr>
        <w:t>ri</w:t>
      </w:r>
      <w:r w:rsidRPr="00E3232D">
        <w:rPr>
          <w:rFonts w:ascii="Book Antiqua" w:hAnsi="Book Antiqua"/>
          <w:spacing w:val="-1"/>
        </w:rPr>
        <w:t>e</w:t>
      </w:r>
      <w:r w:rsidRPr="00E3232D">
        <w:rPr>
          <w:rFonts w:ascii="Book Antiqua" w:hAnsi="Book Antiqua"/>
          <w:spacing w:val="2"/>
        </w:rPr>
        <w:t>n</w:t>
      </w:r>
      <w:r w:rsidRPr="00E3232D">
        <w:rPr>
          <w:rFonts w:ascii="Book Antiqua" w:hAnsi="Book Antiqua"/>
          <w:spacing w:val="5"/>
        </w:rPr>
        <w:t>c</w:t>
      </w:r>
      <w:r w:rsidRPr="00E3232D">
        <w:rPr>
          <w:rFonts w:ascii="Book Antiqua" w:hAnsi="Book Antiqua"/>
          <w:spacing w:val="-1"/>
        </w:rPr>
        <w:t>e</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T</w:t>
      </w:r>
      <w:r w:rsidRPr="00E3232D">
        <w:rPr>
          <w:rFonts w:ascii="Book Antiqua" w:hAnsi="Book Antiqua"/>
          <w:spacing w:val="2"/>
        </w:rPr>
        <w:t>h</w:t>
      </w:r>
      <w:r w:rsidRPr="00E3232D">
        <w:rPr>
          <w:rFonts w:ascii="Book Antiqua" w:hAnsi="Book Antiqua"/>
        </w:rPr>
        <w:t xml:space="preserve">e </w:t>
      </w:r>
      <w:r w:rsidRPr="00E3232D">
        <w:rPr>
          <w:rFonts w:ascii="Book Antiqua" w:hAnsi="Book Antiqua"/>
          <w:spacing w:val="5"/>
        </w:rPr>
        <w:t>t</w:t>
      </w:r>
      <w:r w:rsidRPr="00E3232D">
        <w:rPr>
          <w:rFonts w:ascii="Book Antiqua" w:hAnsi="Book Antiqua"/>
          <w:spacing w:val="-2"/>
        </w:rPr>
        <w:t>y</w:t>
      </w:r>
      <w:r w:rsidRPr="00E3232D">
        <w:rPr>
          <w:rFonts w:ascii="Book Antiqua" w:hAnsi="Book Antiqua"/>
        </w:rPr>
        <w:t>pic</w:t>
      </w:r>
      <w:r w:rsidRPr="00E3232D">
        <w:rPr>
          <w:rFonts w:ascii="Book Antiqua" w:hAnsi="Book Antiqua"/>
          <w:spacing w:val="-1"/>
        </w:rPr>
        <w:t>a</w:t>
      </w:r>
      <w:r w:rsidRPr="00E3232D">
        <w:rPr>
          <w:rFonts w:ascii="Book Antiqua" w:hAnsi="Book Antiqua"/>
        </w:rPr>
        <w:t>l</w:t>
      </w:r>
      <w:r w:rsidRPr="00E3232D">
        <w:rPr>
          <w:rFonts w:ascii="Book Antiqua" w:hAnsi="Book Antiqua"/>
          <w:spacing w:val="2"/>
        </w:rPr>
        <w:t xml:space="preserve"> </w:t>
      </w:r>
      <w:r w:rsidRPr="00E3232D">
        <w:rPr>
          <w:rFonts w:ascii="Book Antiqua" w:hAnsi="Book Antiqua"/>
        </w:rPr>
        <w:t>own</w:t>
      </w:r>
      <w:r w:rsidRPr="00E3232D">
        <w:rPr>
          <w:rFonts w:ascii="Book Antiqua" w:hAnsi="Book Antiqua"/>
          <w:spacing w:val="1"/>
        </w:rPr>
        <w:t>e</w:t>
      </w:r>
      <w:r w:rsidRPr="00E3232D">
        <w:rPr>
          <w:rFonts w:ascii="Book Antiqua" w:hAnsi="Book Antiqua"/>
        </w:rPr>
        <w:t>r or man</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rs</w:t>
      </w:r>
      <w:r w:rsidRPr="00E3232D">
        <w:rPr>
          <w:rFonts w:ascii="Book Antiqua" w:hAnsi="Book Antiqua"/>
          <w:spacing w:val="45"/>
        </w:rPr>
        <w:t xml:space="preserve"> </w:t>
      </w:r>
      <w:r w:rsidRPr="00E3232D">
        <w:rPr>
          <w:rFonts w:ascii="Book Antiqua" w:hAnsi="Book Antiqua"/>
          <w:spacing w:val="2"/>
        </w:rPr>
        <w:t>o</w:t>
      </w:r>
      <w:r w:rsidRPr="00E3232D">
        <w:rPr>
          <w:rFonts w:ascii="Book Antiqua" w:hAnsi="Book Antiqua"/>
        </w:rPr>
        <w:t>f</w:t>
      </w:r>
      <w:r w:rsidRPr="00E3232D">
        <w:rPr>
          <w:rFonts w:ascii="Book Antiqua" w:hAnsi="Book Antiqua"/>
          <w:spacing w:val="45"/>
        </w:rPr>
        <w:t xml:space="preserve"> </w:t>
      </w:r>
      <w:r w:rsidRPr="00E3232D">
        <w:rPr>
          <w:rFonts w:ascii="Book Antiqua" w:hAnsi="Book Antiqua"/>
          <w:spacing w:val="2"/>
        </w:rPr>
        <w:t>s</w:t>
      </w:r>
      <w:r w:rsidRPr="00E3232D">
        <w:rPr>
          <w:rFonts w:ascii="Book Antiqua" w:hAnsi="Book Antiqua"/>
        </w:rPr>
        <w:t>mall</w:t>
      </w:r>
      <w:r w:rsidRPr="00E3232D">
        <w:rPr>
          <w:rFonts w:ascii="Book Antiqua" w:hAnsi="Book Antiqua"/>
          <w:spacing w:val="46"/>
        </w:rPr>
        <w:t xml:space="preserve"> </w:t>
      </w:r>
      <w:r w:rsidRPr="00E3232D">
        <w:rPr>
          <w:rFonts w:ascii="Book Antiqua" w:hAnsi="Book Antiqua"/>
        </w:rPr>
        <w:t>bus</w:t>
      </w:r>
      <w:r w:rsidRPr="00E3232D">
        <w:rPr>
          <w:rFonts w:ascii="Book Antiqua" w:hAnsi="Book Antiqua"/>
          <w:spacing w:val="3"/>
        </w:rPr>
        <w:t>i</w:t>
      </w:r>
      <w:r w:rsidRPr="00E3232D">
        <w:rPr>
          <w:rFonts w:ascii="Book Antiqua" w:hAnsi="Book Antiqua"/>
        </w:rPr>
        <w:t>n</w:t>
      </w:r>
      <w:r w:rsidRPr="00E3232D">
        <w:rPr>
          <w:rFonts w:ascii="Book Antiqua" w:hAnsi="Book Antiqua"/>
          <w:spacing w:val="-1"/>
        </w:rPr>
        <w:t>e</w:t>
      </w:r>
      <w:r w:rsidRPr="00E3232D">
        <w:rPr>
          <w:rFonts w:ascii="Book Antiqua" w:hAnsi="Book Antiqua"/>
        </w:rPr>
        <w:t>sses</w:t>
      </w:r>
      <w:r w:rsidRPr="00E3232D">
        <w:rPr>
          <w:rFonts w:ascii="Book Antiqua" w:hAnsi="Book Antiqua"/>
          <w:spacing w:val="45"/>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spacing w:val="2"/>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46"/>
        </w:rPr>
        <w:t xml:space="preserve"> </w:t>
      </w:r>
      <w:r w:rsidRPr="00E3232D">
        <w:rPr>
          <w:rFonts w:ascii="Book Antiqua" w:hAnsi="Book Antiqua"/>
        </w:rPr>
        <w:t>their</w:t>
      </w:r>
      <w:r w:rsidRPr="00E3232D">
        <w:rPr>
          <w:rFonts w:ascii="Book Antiqua" w:hAnsi="Book Antiqua"/>
          <w:spacing w:val="45"/>
        </w:rPr>
        <w:t xml:space="preserve"> </w:t>
      </w:r>
      <w:r w:rsidRPr="00E3232D">
        <w:rPr>
          <w:rFonts w:ascii="Book Antiqua" w:hAnsi="Book Antiqua"/>
        </w:rPr>
        <w:t>o</w:t>
      </w:r>
      <w:r w:rsidRPr="00E3232D">
        <w:rPr>
          <w:rFonts w:ascii="Book Antiqua" w:hAnsi="Book Antiqua"/>
          <w:spacing w:val="2"/>
        </w:rPr>
        <w:t>w</w:t>
      </w:r>
      <w:r w:rsidRPr="00E3232D">
        <w:rPr>
          <w:rFonts w:ascii="Book Antiqua" w:hAnsi="Book Antiqua"/>
        </w:rPr>
        <w:t>n</w:t>
      </w:r>
      <w:r w:rsidRPr="00E3232D">
        <w:rPr>
          <w:rFonts w:ascii="Book Antiqua" w:hAnsi="Book Antiqua"/>
          <w:spacing w:val="48"/>
        </w:rPr>
        <w:t xml:space="preserve"> </w:t>
      </w:r>
      <w:r w:rsidRPr="00E3232D">
        <w:rPr>
          <w:rFonts w:ascii="Book Antiqua" w:hAnsi="Book Antiqua"/>
          <w:spacing w:val="-1"/>
        </w:rPr>
        <w:t>a</w:t>
      </w:r>
      <w:r w:rsidRPr="00E3232D">
        <w:rPr>
          <w:rFonts w:ascii="Book Antiqua" w:hAnsi="Book Antiqua"/>
        </w:rPr>
        <w:t>pproa</w:t>
      </w:r>
      <w:r w:rsidRPr="00E3232D">
        <w:rPr>
          <w:rFonts w:ascii="Book Antiqua" w:hAnsi="Book Antiqua"/>
          <w:spacing w:val="-1"/>
        </w:rPr>
        <w:t>c</w:t>
      </w:r>
      <w:r w:rsidRPr="00E3232D">
        <w:rPr>
          <w:rFonts w:ascii="Book Antiqua" w:hAnsi="Book Antiqua"/>
        </w:rPr>
        <w:t>h</w:t>
      </w:r>
      <w:r w:rsidRPr="00E3232D">
        <w:rPr>
          <w:rFonts w:ascii="Book Antiqua" w:hAnsi="Book Antiqua"/>
          <w:spacing w:val="46"/>
        </w:rPr>
        <w:t xml:space="preserve"> </w:t>
      </w:r>
      <w:r w:rsidRPr="00E3232D">
        <w:rPr>
          <w:rFonts w:ascii="Book Antiqua" w:hAnsi="Book Antiqua"/>
        </w:rPr>
        <w:t>to</w:t>
      </w:r>
      <w:r w:rsidRPr="00E3232D">
        <w:rPr>
          <w:rFonts w:ascii="Book Antiqua" w:hAnsi="Book Antiqua"/>
          <w:spacing w:val="46"/>
        </w:rPr>
        <w:t xml:space="preserve"> </w:t>
      </w:r>
      <w:r w:rsidRPr="00E3232D">
        <w:rPr>
          <w:rFonts w:ascii="Book Antiqua" w:hAnsi="Book Antiqua"/>
        </w:rPr>
        <w:t>ma</w:t>
      </w:r>
      <w:r w:rsidRPr="00E3232D">
        <w:rPr>
          <w:rFonts w:ascii="Book Antiqua" w:hAnsi="Book Antiqua"/>
          <w:spacing w:val="2"/>
        </w:rPr>
        <w:t>n</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spacing w:val="3"/>
        </w:rPr>
        <w:t>m</w:t>
      </w:r>
      <w:r w:rsidRPr="00E3232D">
        <w:rPr>
          <w:rFonts w:ascii="Book Antiqua" w:hAnsi="Book Antiqua"/>
          <w:spacing w:val="-1"/>
        </w:rPr>
        <w:t>e</w:t>
      </w:r>
      <w:r w:rsidRPr="00E3232D">
        <w:rPr>
          <w:rFonts w:ascii="Book Antiqua" w:hAnsi="Book Antiqua"/>
        </w:rPr>
        <w:t>nt,</w:t>
      </w:r>
      <w:r w:rsidRPr="00E3232D">
        <w:rPr>
          <w:rFonts w:ascii="Book Antiqua" w:hAnsi="Book Antiqua"/>
          <w:spacing w:val="46"/>
        </w:rPr>
        <w:t xml:space="preserve"> </w:t>
      </w:r>
      <w:r w:rsidRPr="00E3232D">
        <w:rPr>
          <w:rFonts w:ascii="Book Antiqua" w:hAnsi="Book Antiqua"/>
        </w:rPr>
        <w:t>thro</w:t>
      </w:r>
      <w:r w:rsidRPr="00E3232D">
        <w:rPr>
          <w:rFonts w:ascii="Book Antiqua" w:hAnsi="Book Antiqua"/>
          <w:spacing w:val="2"/>
        </w:rPr>
        <w:t>u</w:t>
      </w:r>
      <w:r w:rsidRPr="00E3232D">
        <w:rPr>
          <w:rFonts w:ascii="Book Antiqua" w:hAnsi="Book Antiqua"/>
          <w:spacing w:val="-2"/>
        </w:rPr>
        <w:t>g</w:t>
      </w:r>
      <w:r w:rsidRPr="00E3232D">
        <w:rPr>
          <w:rFonts w:ascii="Book Antiqua" w:hAnsi="Book Antiqua"/>
        </w:rPr>
        <w:t>h</w:t>
      </w:r>
      <w:r w:rsidRPr="00E3232D">
        <w:rPr>
          <w:rFonts w:ascii="Book Antiqua" w:hAnsi="Book Antiqua"/>
          <w:spacing w:val="45"/>
        </w:rPr>
        <w:t xml:space="preserve"> </w:t>
      </w:r>
      <w:r w:rsidRPr="00E3232D">
        <w:rPr>
          <w:rFonts w:ascii="Book Antiqua" w:hAnsi="Book Antiqua"/>
        </w:rPr>
        <w:t>a p</w:t>
      </w:r>
      <w:r w:rsidRPr="00E3232D">
        <w:rPr>
          <w:rFonts w:ascii="Book Antiqua" w:hAnsi="Book Antiqua"/>
          <w:spacing w:val="-1"/>
        </w:rPr>
        <w:t>r</w:t>
      </w:r>
      <w:r w:rsidRPr="00E3232D">
        <w:rPr>
          <w:rFonts w:ascii="Book Antiqua" w:hAnsi="Book Antiqua"/>
        </w:rPr>
        <w:t>o</w:t>
      </w:r>
      <w:r w:rsidRPr="00E3232D">
        <w:rPr>
          <w:rFonts w:ascii="Book Antiqua" w:hAnsi="Book Antiqua"/>
          <w:spacing w:val="-1"/>
        </w:rPr>
        <w:t>ce</w:t>
      </w:r>
      <w:r w:rsidRPr="00E3232D">
        <w:rPr>
          <w:rFonts w:ascii="Book Antiqua" w:hAnsi="Book Antiqua"/>
        </w:rPr>
        <w:t>ss of tr</w:t>
      </w:r>
      <w:r w:rsidRPr="00E3232D">
        <w:rPr>
          <w:rFonts w:ascii="Book Antiqua" w:hAnsi="Book Antiqua"/>
          <w:spacing w:val="2"/>
        </w:rPr>
        <w:t>i</w:t>
      </w:r>
      <w:r w:rsidRPr="00E3232D">
        <w:rPr>
          <w:rFonts w:ascii="Book Antiqua" w:hAnsi="Book Antiqua"/>
          <w:spacing w:val="-1"/>
        </w:rPr>
        <w:t>a</w:t>
      </w:r>
      <w:r w:rsidRPr="00E3232D">
        <w:rPr>
          <w:rFonts w:ascii="Book Antiqua" w:hAnsi="Book Antiqua"/>
        </w:rPr>
        <w:t xml:space="preserve">l and </w:t>
      </w:r>
      <w:r w:rsidRPr="00E3232D">
        <w:rPr>
          <w:rFonts w:ascii="Book Antiqua" w:hAnsi="Book Antiqua"/>
          <w:spacing w:val="1"/>
        </w:rPr>
        <w:t>e</w:t>
      </w:r>
      <w:r w:rsidRPr="00E3232D">
        <w:rPr>
          <w:rFonts w:ascii="Book Antiqua" w:hAnsi="Book Antiqua"/>
        </w:rPr>
        <w:t>r</w:t>
      </w:r>
      <w:r w:rsidRPr="00E3232D">
        <w:rPr>
          <w:rFonts w:ascii="Book Antiqua" w:hAnsi="Book Antiqua"/>
          <w:spacing w:val="-1"/>
        </w:rPr>
        <w:t>r</w:t>
      </w:r>
      <w:r w:rsidRPr="00E3232D">
        <w:rPr>
          <w:rFonts w:ascii="Book Antiqua" w:hAnsi="Book Antiqua"/>
        </w:rPr>
        <w:t>o</w:t>
      </w:r>
      <w:r w:rsidRPr="00E3232D">
        <w:rPr>
          <w:rFonts w:ascii="Book Antiqua" w:hAnsi="Book Antiqua"/>
          <w:spacing w:val="-1"/>
        </w:rPr>
        <w:t>r</w:t>
      </w:r>
      <w:r w:rsidRPr="00E3232D">
        <w:rPr>
          <w:rFonts w:ascii="Book Antiqua" w:hAnsi="Book Antiqua"/>
        </w:rPr>
        <w:t>.</w:t>
      </w:r>
      <w:r w:rsidRPr="00E3232D">
        <w:rPr>
          <w:rFonts w:ascii="Book Antiqua" w:hAnsi="Book Antiqua"/>
          <w:spacing w:val="2"/>
        </w:rPr>
        <w:t xml:space="preserve"> </w:t>
      </w:r>
      <w:r w:rsidRPr="00E3232D">
        <w:rPr>
          <w:rFonts w:ascii="Book Antiqua" w:hAnsi="Book Antiqua"/>
        </w:rPr>
        <w:t>As a</w:t>
      </w:r>
      <w:r w:rsidRPr="00E3232D">
        <w:rPr>
          <w:rFonts w:ascii="Book Antiqua" w:hAnsi="Book Antiqua"/>
          <w:spacing w:val="-1"/>
        </w:rPr>
        <w:t xml:space="preserve"> re</w:t>
      </w:r>
      <w:r w:rsidRPr="00E3232D">
        <w:rPr>
          <w:rFonts w:ascii="Book Antiqua" w:hAnsi="Book Antiqua"/>
        </w:rPr>
        <w:t>sul</w:t>
      </w:r>
      <w:r w:rsidRPr="00E3232D">
        <w:rPr>
          <w:rFonts w:ascii="Book Antiqua" w:hAnsi="Book Antiqua"/>
          <w:spacing w:val="1"/>
        </w:rPr>
        <w:t>t</w:t>
      </w:r>
      <w:r w:rsidRPr="00E3232D">
        <w:rPr>
          <w:rFonts w:ascii="Book Antiqua" w:hAnsi="Book Antiqua"/>
        </w:rPr>
        <w:t>, their</w:t>
      </w:r>
      <w:r w:rsidRPr="00E3232D">
        <w:rPr>
          <w:rFonts w:ascii="Book Antiqua" w:hAnsi="Book Antiqua"/>
          <w:spacing w:val="-1"/>
        </w:rPr>
        <w:t xml:space="preserve"> </w:t>
      </w:r>
      <w:r w:rsidRPr="00E3232D">
        <w:rPr>
          <w:rFonts w:ascii="Book Antiqua" w:hAnsi="Book Antiqua"/>
        </w:rPr>
        <w:t>ma</w:t>
      </w:r>
      <w:r w:rsidRPr="00E3232D">
        <w:rPr>
          <w:rFonts w:ascii="Book Antiqua" w:hAnsi="Book Antiqua"/>
          <w:spacing w:val="2"/>
        </w:rPr>
        <w:t>n</w:t>
      </w:r>
      <w:r w:rsidRPr="00E3232D">
        <w:rPr>
          <w:rFonts w:ascii="Book Antiqua" w:hAnsi="Book Antiqua"/>
          <w:spacing w:val="1"/>
        </w:rPr>
        <w:t>a</w:t>
      </w:r>
      <w:r w:rsidRPr="00E3232D">
        <w:rPr>
          <w:rFonts w:ascii="Book Antiqua" w:hAnsi="Book Antiqua"/>
          <w:spacing w:val="-2"/>
        </w:rPr>
        <w:t>g</w:t>
      </w:r>
      <w:r w:rsidRPr="00E3232D">
        <w:rPr>
          <w:rFonts w:ascii="Book Antiqua" w:hAnsi="Book Antiqua"/>
          <w:spacing w:val="1"/>
        </w:rPr>
        <w:t>e</w:t>
      </w:r>
      <w:r w:rsidRPr="00E3232D">
        <w:rPr>
          <w:rFonts w:ascii="Book Antiqua" w:hAnsi="Book Antiqua"/>
        </w:rPr>
        <w:t>ment s</w:t>
      </w:r>
      <w:r w:rsidRPr="00E3232D">
        <w:rPr>
          <w:rFonts w:ascii="Book Antiqua" w:hAnsi="Book Antiqua"/>
          <w:spacing w:val="3"/>
        </w:rPr>
        <w:t>t</w:t>
      </w:r>
      <w:r w:rsidRPr="00E3232D">
        <w:rPr>
          <w:rFonts w:ascii="Book Antiqua" w:hAnsi="Book Antiqua"/>
          <w:spacing w:val="-5"/>
        </w:rPr>
        <w:t>y</w:t>
      </w:r>
      <w:r w:rsidRPr="00E3232D">
        <w:rPr>
          <w:rFonts w:ascii="Book Antiqua" w:hAnsi="Book Antiqua"/>
        </w:rPr>
        <w:t>le is like</w:t>
      </w:r>
      <w:r w:rsidRPr="00E3232D">
        <w:rPr>
          <w:rFonts w:ascii="Book Antiqua" w:hAnsi="Book Antiqua"/>
          <w:spacing w:val="5"/>
        </w:rPr>
        <w:t>l</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rPr>
        <w:t>to be</w:t>
      </w:r>
      <w:r w:rsidRPr="00E3232D">
        <w:rPr>
          <w:rFonts w:ascii="Book Antiqua" w:hAnsi="Book Antiqua"/>
          <w:spacing w:val="2"/>
        </w:rPr>
        <w:t xml:space="preserve"> </w:t>
      </w:r>
      <w:r w:rsidRPr="00E3232D">
        <w:rPr>
          <w:rFonts w:ascii="Book Antiqua" w:hAnsi="Book Antiqua"/>
        </w:rPr>
        <w:t>more</w:t>
      </w:r>
      <w:r w:rsidRPr="00E3232D">
        <w:rPr>
          <w:rFonts w:ascii="Book Antiqua" w:hAnsi="Book Antiqua"/>
          <w:spacing w:val="-1"/>
        </w:rPr>
        <w:t xml:space="preserve"> </w:t>
      </w:r>
      <w:r w:rsidRPr="00E3232D">
        <w:rPr>
          <w:rFonts w:ascii="Book Antiqua" w:hAnsi="Book Antiqua"/>
        </w:rPr>
        <w:t>in</w:t>
      </w:r>
      <w:r w:rsidRPr="00E3232D">
        <w:rPr>
          <w:rFonts w:ascii="Book Antiqua" w:hAnsi="Book Antiqua"/>
          <w:spacing w:val="1"/>
        </w:rPr>
        <w:t>t</w:t>
      </w:r>
      <w:r w:rsidRPr="00E3232D">
        <w:rPr>
          <w:rFonts w:ascii="Book Antiqua" w:hAnsi="Book Antiqua"/>
        </w:rPr>
        <w:t>ui</w:t>
      </w:r>
      <w:r w:rsidRPr="00E3232D">
        <w:rPr>
          <w:rFonts w:ascii="Book Antiqua" w:hAnsi="Book Antiqua"/>
          <w:spacing w:val="1"/>
        </w:rPr>
        <w:t>t</w:t>
      </w:r>
      <w:r w:rsidRPr="00E3232D">
        <w:rPr>
          <w:rFonts w:ascii="Book Antiqua" w:hAnsi="Book Antiqua"/>
        </w:rPr>
        <w:t>ive than</w:t>
      </w:r>
      <w:r w:rsidRPr="00E3232D">
        <w:rPr>
          <w:rFonts w:ascii="Book Antiqua" w:hAnsi="Book Antiqua"/>
          <w:spacing w:val="2"/>
        </w:rPr>
        <w:t xml:space="preserve"> </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spacing w:val="5"/>
        </w:rPr>
        <w:t>l</w:t>
      </w:r>
      <w:r w:rsidRPr="00E3232D">
        <w:rPr>
          <w:rFonts w:ascii="Book Antiqua" w:hAnsi="Book Antiqua"/>
          <w:spacing w:val="-5"/>
        </w:rPr>
        <w:t>y</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ca</w:t>
      </w:r>
      <w:r w:rsidRPr="00E3232D">
        <w:rPr>
          <w:rFonts w:ascii="Book Antiqua" w:hAnsi="Book Antiqua"/>
        </w:rPr>
        <w:t>l,</w:t>
      </w:r>
      <w:r w:rsidRPr="00E3232D">
        <w:rPr>
          <w:rFonts w:ascii="Book Antiqua" w:hAnsi="Book Antiqua"/>
          <w:spacing w:val="3"/>
        </w:rPr>
        <w:t xml:space="preserve"> </w:t>
      </w:r>
      <w:r w:rsidRPr="00E3232D">
        <w:rPr>
          <w:rFonts w:ascii="Book Antiqua" w:hAnsi="Book Antiqua"/>
        </w:rPr>
        <w:t>more</w:t>
      </w:r>
      <w:r w:rsidRPr="00E3232D">
        <w:rPr>
          <w:rFonts w:ascii="Book Antiqua" w:hAnsi="Book Antiqua"/>
          <w:spacing w:val="4"/>
        </w:rPr>
        <w:t xml:space="preserve"> </w:t>
      </w:r>
      <w:r w:rsidRPr="00E3232D">
        <w:rPr>
          <w:rFonts w:ascii="Book Antiqua" w:hAnsi="Book Antiqua"/>
          <w:spacing w:val="-1"/>
        </w:rPr>
        <w:t>c</w:t>
      </w:r>
      <w:r w:rsidRPr="00E3232D">
        <w:rPr>
          <w:rFonts w:ascii="Book Antiqua" w:hAnsi="Book Antiqua"/>
          <w:spacing w:val="2"/>
        </w:rPr>
        <w:t>o</w:t>
      </w:r>
      <w:r w:rsidRPr="00E3232D">
        <w:rPr>
          <w:rFonts w:ascii="Book Antiqua" w:hAnsi="Book Antiqua"/>
        </w:rPr>
        <w:t>n</w:t>
      </w:r>
      <w:r w:rsidRPr="00E3232D">
        <w:rPr>
          <w:rFonts w:ascii="Book Antiqua" w:hAnsi="Book Antiqua"/>
          <w:spacing w:val="-1"/>
        </w:rPr>
        <w:t>ce</w:t>
      </w:r>
      <w:r w:rsidRPr="00E3232D">
        <w:rPr>
          <w:rFonts w:ascii="Book Antiqua" w:hAnsi="Book Antiqua"/>
        </w:rPr>
        <w:t>rn</w:t>
      </w:r>
      <w:r w:rsidRPr="00E3232D">
        <w:rPr>
          <w:rFonts w:ascii="Book Antiqua" w:hAnsi="Book Antiqua"/>
          <w:spacing w:val="-2"/>
        </w:rPr>
        <w:t>e</w:t>
      </w:r>
      <w:r w:rsidRPr="00E3232D">
        <w:rPr>
          <w:rFonts w:ascii="Book Antiqua" w:hAnsi="Book Antiqua"/>
        </w:rPr>
        <w:t>d</w:t>
      </w:r>
      <w:r w:rsidRPr="00E3232D">
        <w:rPr>
          <w:rFonts w:ascii="Book Antiqua" w:hAnsi="Book Antiqua"/>
          <w:spacing w:val="5"/>
        </w:rPr>
        <w:t xml:space="preserve"> </w:t>
      </w:r>
      <w:r w:rsidRPr="00E3232D">
        <w:rPr>
          <w:rFonts w:ascii="Book Antiqua" w:hAnsi="Book Antiqua"/>
        </w:rPr>
        <w:t>with</w:t>
      </w:r>
      <w:r w:rsidRPr="00E3232D">
        <w:rPr>
          <w:rFonts w:ascii="Book Antiqua" w:hAnsi="Book Antiqua"/>
          <w:spacing w:val="3"/>
        </w:rPr>
        <w:t xml:space="preserve"> </w:t>
      </w:r>
      <w:r w:rsidRPr="00E3232D">
        <w:rPr>
          <w:rFonts w:ascii="Book Antiqua" w:hAnsi="Book Antiqua"/>
        </w:rPr>
        <w:t>d</w:t>
      </w:r>
      <w:r w:rsidRPr="00E3232D">
        <w:rPr>
          <w:rFonts w:ascii="Book Antiqua" w:hAnsi="Book Antiqua"/>
          <w:spacing w:val="4"/>
        </w:rPr>
        <w:t>a</w:t>
      </w:r>
      <w:r w:rsidRPr="00E3232D">
        <w:rPr>
          <w:rFonts w:ascii="Book Antiqua" w:hAnsi="Book Antiqua"/>
          <w:spacing w:val="-1"/>
        </w:rPr>
        <w:t>y-</w:t>
      </w:r>
      <w:r w:rsidRPr="00E3232D">
        <w:rPr>
          <w:rFonts w:ascii="Book Antiqua" w:hAnsi="Book Antiqua"/>
        </w:rPr>
        <w:t>to</w:t>
      </w:r>
      <w:r w:rsidRPr="00E3232D">
        <w:rPr>
          <w:rFonts w:ascii="Book Antiqua" w:hAnsi="Book Antiqua"/>
          <w:spacing w:val="-1"/>
        </w:rPr>
        <w:t>-</w:t>
      </w:r>
      <w:r w:rsidRPr="00E3232D">
        <w:rPr>
          <w:rFonts w:ascii="Book Antiqua" w:hAnsi="Book Antiqua"/>
          <w:spacing w:val="2"/>
        </w:rPr>
        <w:t>d</w:t>
      </w:r>
      <w:r w:rsidRPr="00E3232D">
        <w:rPr>
          <w:rFonts w:ascii="Book Antiqua" w:hAnsi="Book Antiqua"/>
          <w:spacing w:val="4"/>
        </w:rPr>
        <w:t>a</w:t>
      </w:r>
      <w:r w:rsidRPr="00E3232D">
        <w:rPr>
          <w:rFonts w:ascii="Book Antiqua" w:hAnsi="Book Antiqua"/>
        </w:rPr>
        <w:t>y op</w:t>
      </w:r>
      <w:r w:rsidRPr="00E3232D">
        <w:rPr>
          <w:rFonts w:ascii="Book Antiqua" w:hAnsi="Book Antiqua"/>
          <w:spacing w:val="-1"/>
        </w:rPr>
        <w:t>e</w:t>
      </w:r>
      <w:r w:rsidRPr="00E3232D">
        <w:rPr>
          <w:rFonts w:ascii="Book Antiqua" w:hAnsi="Book Antiqua"/>
        </w:rPr>
        <w:t>r</w:t>
      </w:r>
      <w:r w:rsidRPr="00E3232D">
        <w:rPr>
          <w:rFonts w:ascii="Book Antiqua" w:hAnsi="Book Antiqua"/>
          <w:spacing w:val="-2"/>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r w:rsidRPr="00E3232D">
        <w:rPr>
          <w:rFonts w:ascii="Book Antiqua" w:hAnsi="Book Antiqua"/>
          <w:spacing w:val="3"/>
        </w:rPr>
        <w:t xml:space="preserve"> </w:t>
      </w:r>
      <w:r w:rsidRPr="00E3232D">
        <w:rPr>
          <w:rFonts w:ascii="Book Antiqua" w:hAnsi="Book Antiqua"/>
        </w:rPr>
        <w:t>than</w:t>
      </w:r>
      <w:r w:rsidRPr="00E3232D">
        <w:rPr>
          <w:rFonts w:ascii="Book Antiqua" w:hAnsi="Book Antiqua"/>
          <w:spacing w:val="2"/>
        </w:rPr>
        <w:t xml:space="preserve"> </w:t>
      </w:r>
      <w:r w:rsidRPr="00E3232D">
        <w:rPr>
          <w:rFonts w:ascii="Book Antiqua" w:hAnsi="Book Antiqua"/>
        </w:rPr>
        <w:t>lo</w:t>
      </w:r>
      <w:r w:rsidRPr="00E3232D">
        <w:rPr>
          <w:rFonts w:ascii="Book Antiqua" w:hAnsi="Book Antiqua"/>
          <w:spacing w:val="3"/>
        </w:rPr>
        <w:t>n</w:t>
      </w:r>
      <w:r w:rsidRPr="00E3232D">
        <w:rPr>
          <w:rFonts w:ascii="Book Antiqua" w:hAnsi="Book Antiqua"/>
        </w:rPr>
        <w:t>g</w:t>
      </w:r>
      <w:r w:rsidRPr="00E3232D">
        <w:rPr>
          <w:rFonts w:ascii="Book Antiqua" w:hAnsi="Book Antiqua"/>
          <w:spacing w:val="-1"/>
        </w:rPr>
        <w:t>-</w:t>
      </w:r>
      <w:r w:rsidRPr="00E3232D">
        <w:rPr>
          <w:rFonts w:ascii="Book Antiqua" w:hAnsi="Book Antiqua"/>
        </w:rPr>
        <w:t>t</w:t>
      </w:r>
      <w:r w:rsidRPr="00E3232D">
        <w:rPr>
          <w:rFonts w:ascii="Book Antiqua" w:hAnsi="Book Antiqua"/>
          <w:spacing w:val="2"/>
        </w:rPr>
        <w:t>e</w:t>
      </w:r>
      <w:r w:rsidRPr="00E3232D">
        <w:rPr>
          <w:rFonts w:ascii="Book Antiqua" w:hAnsi="Book Antiqua"/>
        </w:rPr>
        <w:t>rm</w:t>
      </w:r>
      <w:r w:rsidRPr="00E3232D">
        <w:rPr>
          <w:rFonts w:ascii="Book Antiqua" w:hAnsi="Book Antiqua"/>
          <w:spacing w:val="2"/>
        </w:rPr>
        <w:t xml:space="preserve"> </w:t>
      </w:r>
      <w:r w:rsidRPr="00E3232D">
        <w:rPr>
          <w:rFonts w:ascii="Book Antiqua" w:hAnsi="Book Antiqua"/>
        </w:rPr>
        <w:t>is</w:t>
      </w:r>
      <w:r w:rsidRPr="00E3232D">
        <w:rPr>
          <w:rFonts w:ascii="Book Antiqua" w:hAnsi="Book Antiqua"/>
          <w:spacing w:val="1"/>
        </w:rPr>
        <w:t>s</w:t>
      </w:r>
      <w:r w:rsidRPr="00E3232D">
        <w:rPr>
          <w:rFonts w:ascii="Book Antiqua" w:hAnsi="Book Antiqua"/>
        </w:rPr>
        <w:t>u</w:t>
      </w:r>
      <w:r w:rsidRPr="00E3232D">
        <w:rPr>
          <w:rFonts w:ascii="Book Antiqua" w:hAnsi="Book Antiqua"/>
          <w:spacing w:val="-1"/>
        </w:rPr>
        <w:t>e</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nd oppo</w:t>
      </w:r>
      <w:r w:rsidRPr="00E3232D">
        <w:rPr>
          <w:rFonts w:ascii="Book Antiqua" w:hAnsi="Book Antiqua"/>
          <w:spacing w:val="-1"/>
        </w:rPr>
        <w:t>r</w:t>
      </w:r>
      <w:r w:rsidRPr="00E3232D">
        <w:rPr>
          <w:rFonts w:ascii="Book Antiqua" w:hAnsi="Book Antiqua"/>
        </w:rPr>
        <w:t>tun</w:t>
      </w:r>
      <w:r w:rsidRPr="00E3232D">
        <w:rPr>
          <w:rFonts w:ascii="Book Antiqua" w:hAnsi="Book Antiqua"/>
          <w:spacing w:val="1"/>
        </w:rPr>
        <w:t>i</w:t>
      </w:r>
      <w:r w:rsidRPr="00E3232D">
        <w:rPr>
          <w:rFonts w:ascii="Book Antiqua" w:hAnsi="Book Antiqua"/>
        </w:rPr>
        <w:t>st</w:t>
      </w:r>
      <w:r w:rsidRPr="00E3232D">
        <w:rPr>
          <w:rFonts w:ascii="Book Antiqua" w:hAnsi="Book Antiqua"/>
          <w:spacing w:val="1"/>
        </w:rPr>
        <w:t>i</w:t>
      </w:r>
      <w:r w:rsidRPr="00E3232D">
        <w:rPr>
          <w:rFonts w:ascii="Book Antiqua" w:hAnsi="Book Antiqua"/>
        </w:rPr>
        <w:t>c than str</w:t>
      </w:r>
      <w:r w:rsidRPr="00E3232D">
        <w:rPr>
          <w:rFonts w:ascii="Book Antiqua" w:hAnsi="Book Antiqua"/>
          <w:spacing w:val="-1"/>
        </w:rPr>
        <w:t>a</w:t>
      </w:r>
      <w:r w:rsidRPr="00E3232D">
        <w:rPr>
          <w:rFonts w:ascii="Book Antiqua" w:hAnsi="Book Antiqua"/>
        </w:rPr>
        <w:t>t</w:t>
      </w:r>
      <w:r w:rsidRPr="00E3232D">
        <w:rPr>
          <w:rFonts w:ascii="Book Antiqua" w:hAnsi="Book Antiqua"/>
          <w:spacing w:val="2"/>
        </w:rPr>
        <w:t>e</w:t>
      </w:r>
      <w:r w:rsidRPr="00E3232D">
        <w:rPr>
          <w:rFonts w:ascii="Book Antiqua" w:hAnsi="Book Antiqua"/>
        </w:rPr>
        <w:t xml:space="preserve">gic in </w:t>
      </w:r>
      <w:r w:rsidRPr="00E3232D">
        <w:rPr>
          <w:rFonts w:ascii="Book Antiqua" w:hAnsi="Book Antiqua"/>
          <w:spacing w:val="-1"/>
        </w:rPr>
        <w:t>c</w:t>
      </w:r>
      <w:r w:rsidRPr="00E3232D">
        <w:rPr>
          <w:rFonts w:ascii="Book Antiqua" w:hAnsi="Book Antiqua"/>
        </w:rPr>
        <w:t>on</w:t>
      </w:r>
      <w:r w:rsidRPr="00E3232D">
        <w:rPr>
          <w:rFonts w:ascii="Book Antiqua" w:hAnsi="Book Antiqua"/>
          <w:spacing w:val="-1"/>
        </w:rPr>
        <w:t>ce</w:t>
      </w:r>
      <w:r w:rsidRPr="00E3232D">
        <w:rPr>
          <w:rFonts w:ascii="Book Antiqua" w:hAnsi="Book Antiqua"/>
        </w:rPr>
        <w:t>pt. Th</w:t>
      </w:r>
      <w:r w:rsidRPr="00E3232D">
        <w:rPr>
          <w:rFonts w:ascii="Book Antiqua" w:hAnsi="Book Antiqua"/>
          <w:spacing w:val="-1"/>
        </w:rPr>
        <w:t>e</w:t>
      </w:r>
      <w:r w:rsidRPr="00E3232D">
        <w:rPr>
          <w:rFonts w:ascii="Book Antiqua" w:hAnsi="Book Antiqua"/>
        </w:rPr>
        <w:t>re should</w:t>
      </w:r>
      <w:r w:rsidRPr="00E3232D">
        <w:rPr>
          <w:rFonts w:ascii="Book Antiqua" w:hAnsi="Book Antiqua"/>
          <w:spacing w:val="2"/>
        </w:rPr>
        <w:t xml:space="preserve"> </w:t>
      </w:r>
      <w:r w:rsidRPr="00E3232D">
        <w:rPr>
          <w:rFonts w:ascii="Book Antiqua" w:hAnsi="Book Antiqua"/>
        </w:rPr>
        <w:t>be</w:t>
      </w:r>
      <w:r w:rsidRPr="00E3232D">
        <w:rPr>
          <w:rFonts w:ascii="Book Antiqua" w:hAnsi="Book Antiqua"/>
          <w:spacing w:val="1"/>
        </w:rPr>
        <w:t xml:space="preserve"> </w:t>
      </w:r>
      <w:r w:rsidRPr="00E3232D">
        <w:rPr>
          <w:rFonts w:ascii="Book Antiqua" w:hAnsi="Book Antiqua"/>
        </w:rPr>
        <w:t>posit</w:t>
      </w:r>
      <w:r w:rsidRPr="00E3232D">
        <w:rPr>
          <w:rFonts w:ascii="Book Antiqua" w:hAnsi="Book Antiqua"/>
          <w:spacing w:val="1"/>
        </w:rPr>
        <w:t>i</w:t>
      </w:r>
      <w:r w:rsidRPr="00E3232D">
        <w:rPr>
          <w:rFonts w:ascii="Book Antiqua" w:hAnsi="Book Antiqua"/>
          <w:spacing w:val="-2"/>
        </w:rPr>
        <w:t>v</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ec</w:t>
      </w:r>
      <w:r w:rsidRPr="00E3232D">
        <w:rPr>
          <w:rFonts w:ascii="Book Antiqua" w:hAnsi="Book Antiqua"/>
        </w:rPr>
        <w:t>ks</w:t>
      </w:r>
      <w:r w:rsidRPr="00E3232D">
        <w:rPr>
          <w:rFonts w:ascii="Book Antiqua" w:hAnsi="Book Antiqua"/>
          <w:spacing w:val="2"/>
        </w:rPr>
        <w:t xml:space="preserve"> </w:t>
      </w:r>
      <w:r w:rsidRPr="00E3232D">
        <w:rPr>
          <w:rFonts w:ascii="Book Antiqua" w:hAnsi="Book Antiqua"/>
        </w:rPr>
        <w:t>on</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spacing w:val="-1"/>
        </w:rPr>
        <w:t>ac</w:t>
      </w:r>
      <w:r w:rsidRPr="00E3232D">
        <w:rPr>
          <w:rFonts w:ascii="Book Antiqua" w:hAnsi="Book Antiqua"/>
        </w:rPr>
        <w:t>t</w:t>
      </w:r>
      <w:r w:rsidRPr="00E3232D">
        <w:rPr>
          <w:rFonts w:ascii="Book Antiqua" w:hAnsi="Book Antiqua"/>
          <w:spacing w:val="1"/>
        </w:rPr>
        <w:t>i</w:t>
      </w:r>
      <w:r w:rsidRPr="00E3232D">
        <w:rPr>
          <w:rFonts w:ascii="Book Antiqua" w:hAnsi="Book Antiqua"/>
        </w:rPr>
        <w:t>vi</w:t>
      </w:r>
      <w:r w:rsidRPr="00E3232D">
        <w:rPr>
          <w:rFonts w:ascii="Book Antiqua" w:hAnsi="Book Antiqua"/>
          <w:spacing w:val="1"/>
        </w:rPr>
        <w:t>t</w:t>
      </w:r>
      <w:r w:rsidRPr="00E3232D">
        <w:rPr>
          <w:rFonts w:ascii="Book Antiqua" w:hAnsi="Book Antiqua"/>
          <w:spacing w:val="-2"/>
        </w:rPr>
        <w:t>i</w:t>
      </w:r>
      <w:r w:rsidRPr="00E3232D">
        <w:rPr>
          <w:rFonts w:ascii="Book Antiqua" w:hAnsi="Book Antiqua"/>
          <w:spacing w:val="-1"/>
        </w:rPr>
        <w:t>e</w:t>
      </w:r>
      <w:r w:rsidRPr="00E3232D">
        <w:rPr>
          <w:rFonts w:ascii="Book Antiqua" w:hAnsi="Book Antiqua"/>
        </w:rPr>
        <w:t>s</w:t>
      </w:r>
      <w:r w:rsidRPr="00E3232D">
        <w:rPr>
          <w:rFonts w:ascii="Book Antiqua" w:hAnsi="Book Antiqua"/>
          <w:spacing w:val="2"/>
        </w:rPr>
        <w:t xml:space="preserve"> </w:t>
      </w:r>
      <w:r w:rsidRPr="00E3232D">
        <w:rPr>
          <w:rFonts w:ascii="Book Antiqua" w:hAnsi="Book Antiqua"/>
        </w:rPr>
        <w:t>of</w:t>
      </w:r>
      <w:r w:rsidRPr="00E3232D">
        <w:rPr>
          <w:rFonts w:ascii="Book Antiqua" w:hAnsi="Book Antiqua"/>
          <w:spacing w:val="1"/>
        </w:rPr>
        <w:t xml:space="preserve"> </w:t>
      </w:r>
      <w:r w:rsidRPr="00E3232D">
        <w:rPr>
          <w:rFonts w:ascii="Book Antiqua" w:hAnsi="Book Antiqua"/>
        </w:rPr>
        <w:t>the</w:t>
      </w:r>
      <w:r w:rsidRPr="00E3232D">
        <w:rPr>
          <w:rFonts w:ascii="Book Antiqua" w:hAnsi="Book Antiqua"/>
          <w:spacing w:val="1"/>
        </w:rPr>
        <w:t xml:space="preserve"> </w:t>
      </w:r>
      <w:r w:rsidRPr="00E3232D">
        <w:rPr>
          <w:rFonts w:ascii="Book Antiqua" w:hAnsi="Book Antiqua"/>
        </w:rPr>
        <w:t>info</w:t>
      </w:r>
      <w:r w:rsidRPr="00E3232D">
        <w:rPr>
          <w:rFonts w:ascii="Book Antiqua" w:hAnsi="Book Antiqua"/>
          <w:spacing w:val="-1"/>
        </w:rPr>
        <w:t>r</w:t>
      </w:r>
      <w:r w:rsidRPr="00E3232D">
        <w:rPr>
          <w:rFonts w:ascii="Book Antiqua" w:hAnsi="Book Antiqua"/>
        </w:rPr>
        <w:t>mal</w:t>
      </w:r>
      <w:r w:rsidRPr="00E3232D">
        <w:rPr>
          <w:rFonts w:ascii="Book Antiqua" w:hAnsi="Book Antiqua"/>
          <w:spacing w:val="2"/>
        </w:rPr>
        <w:t xml:space="preserve"> </w:t>
      </w:r>
      <w:r w:rsidRPr="00E3232D">
        <w:rPr>
          <w:rFonts w:ascii="Book Antiqua" w:hAnsi="Book Antiqua"/>
        </w:rPr>
        <w:t>fin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ial</w:t>
      </w:r>
      <w:r w:rsidRPr="00E3232D">
        <w:rPr>
          <w:rFonts w:ascii="Book Antiqua" w:hAnsi="Book Antiqua"/>
          <w:spacing w:val="2"/>
        </w:rPr>
        <w:t xml:space="preserve"> </w:t>
      </w:r>
      <w:r w:rsidRPr="00E3232D">
        <w:rPr>
          <w:rFonts w:ascii="Book Antiqua" w:hAnsi="Book Antiqua"/>
        </w:rPr>
        <w:t>s</w:t>
      </w:r>
      <w:r w:rsidRPr="00E3232D">
        <w:rPr>
          <w:rFonts w:ascii="Book Antiqua" w:hAnsi="Book Antiqua"/>
          <w:spacing w:val="-1"/>
        </w:rPr>
        <w:t>ec</w:t>
      </w:r>
      <w:r w:rsidRPr="00E3232D">
        <w:rPr>
          <w:rFonts w:ascii="Book Antiqua" w:hAnsi="Book Antiqua"/>
        </w:rPr>
        <w:t>tors</w:t>
      </w:r>
      <w:r w:rsidRPr="00E3232D">
        <w:rPr>
          <w:rFonts w:ascii="Book Antiqua" w:hAnsi="Book Antiqua"/>
          <w:spacing w:val="2"/>
        </w:rPr>
        <w:t xml:space="preserve"> </w:t>
      </w:r>
      <w:r w:rsidRPr="00E3232D">
        <w:rPr>
          <w:rFonts w:ascii="Book Antiqua" w:hAnsi="Book Antiqua"/>
        </w:rPr>
        <w:t>to p</w:t>
      </w:r>
      <w:r w:rsidRPr="00E3232D">
        <w:rPr>
          <w:rFonts w:ascii="Book Antiqua" w:hAnsi="Book Antiqua"/>
          <w:spacing w:val="-1"/>
        </w:rPr>
        <w:t>re</w:t>
      </w:r>
      <w:r w:rsidRPr="00E3232D">
        <w:rPr>
          <w:rFonts w:ascii="Book Antiqua" w:hAnsi="Book Antiqua"/>
        </w:rPr>
        <w:t>v</w:t>
      </w:r>
      <w:r w:rsidRPr="00E3232D">
        <w:rPr>
          <w:rFonts w:ascii="Book Antiqua" w:hAnsi="Book Antiqua"/>
          <w:spacing w:val="-1"/>
        </w:rPr>
        <w:t>e</w:t>
      </w:r>
      <w:r w:rsidRPr="00E3232D">
        <w:rPr>
          <w:rFonts w:ascii="Book Antiqua" w:hAnsi="Book Antiqua"/>
        </w:rPr>
        <w:t>nt</w:t>
      </w:r>
      <w:r w:rsidRPr="00E3232D">
        <w:rPr>
          <w:rFonts w:ascii="Book Antiqua" w:hAnsi="Book Antiqua"/>
          <w:spacing w:val="3"/>
        </w:rPr>
        <w:t xml:space="preserve"> </w:t>
      </w:r>
      <w:r w:rsidRPr="00E3232D">
        <w:rPr>
          <w:rFonts w:ascii="Book Antiqua" w:hAnsi="Book Antiqua"/>
          <w:spacing w:val="-1"/>
        </w:rPr>
        <w:t>e</w:t>
      </w:r>
      <w:r w:rsidRPr="00E3232D">
        <w:rPr>
          <w:rFonts w:ascii="Book Antiqua" w:hAnsi="Book Antiqua"/>
          <w:spacing w:val="2"/>
        </w:rPr>
        <w:t>x</w:t>
      </w:r>
      <w:r w:rsidRPr="00E3232D">
        <w:rPr>
          <w:rFonts w:ascii="Book Antiqua" w:hAnsi="Book Antiqua"/>
        </w:rPr>
        <w:t>plo</w:t>
      </w:r>
      <w:r w:rsidRPr="00E3232D">
        <w:rPr>
          <w:rFonts w:ascii="Book Antiqua" w:hAnsi="Book Antiqua"/>
          <w:spacing w:val="1"/>
        </w:rPr>
        <w:t>i</w:t>
      </w:r>
      <w:r w:rsidRPr="00E3232D">
        <w:rPr>
          <w:rFonts w:ascii="Book Antiqua" w:hAnsi="Book Antiqua"/>
        </w:rPr>
        <w:t>tation</w:t>
      </w:r>
      <w:r w:rsidRPr="00E3232D">
        <w:rPr>
          <w:rFonts w:ascii="Book Antiqua" w:hAnsi="Book Antiqua"/>
          <w:spacing w:val="3"/>
        </w:rPr>
        <w:t xml:space="preserve"> </w:t>
      </w:r>
      <w:r w:rsidRPr="00E3232D">
        <w:rPr>
          <w:rFonts w:ascii="Book Antiqua" w:hAnsi="Book Antiqua"/>
        </w:rPr>
        <w:t>on the</w:t>
      </w:r>
      <w:r w:rsidRPr="00E3232D">
        <w:rPr>
          <w:rFonts w:ascii="Book Antiqua" w:hAnsi="Book Antiqua"/>
          <w:spacing w:val="2"/>
        </w:rPr>
        <w:t xml:space="preserve"> </w:t>
      </w:r>
      <w:r w:rsidRPr="00E3232D">
        <w:rPr>
          <w:rFonts w:ascii="Book Antiqua" w:hAnsi="Book Antiqua"/>
        </w:rPr>
        <w:t>p</w:t>
      </w:r>
      <w:r w:rsidRPr="00E3232D">
        <w:rPr>
          <w:rFonts w:ascii="Book Antiqua" w:hAnsi="Book Antiqua"/>
          <w:spacing w:val="-1"/>
        </w:rPr>
        <w:t>a</w:t>
      </w:r>
      <w:r w:rsidRPr="00E3232D">
        <w:rPr>
          <w:rFonts w:ascii="Book Antiqua" w:hAnsi="Book Antiqua"/>
        </w:rPr>
        <w:t>rt</w:t>
      </w:r>
      <w:r w:rsidRPr="00E3232D">
        <w:rPr>
          <w:rFonts w:ascii="Book Antiqua" w:hAnsi="Book Antiqua"/>
          <w:spacing w:val="2"/>
        </w:rPr>
        <w:t xml:space="preserve"> </w:t>
      </w:r>
      <w:r w:rsidRPr="00E3232D">
        <w:rPr>
          <w:rFonts w:ascii="Book Antiqua" w:hAnsi="Book Antiqua"/>
        </w:rPr>
        <w:t>of</w:t>
      </w:r>
      <w:r w:rsidRPr="00E3232D">
        <w:rPr>
          <w:rFonts w:ascii="Book Antiqua" w:hAnsi="Book Antiqua"/>
          <w:spacing w:val="2"/>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2"/>
        </w:rPr>
        <w:t xml:space="preserve"> </w:t>
      </w:r>
      <w:r w:rsidRPr="00E3232D">
        <w:rPr>
          <w:rFonts w:ascii="Book Antiqua" w:hAnsi="Book Antiqua"/>
          <w:spacing w:val="-1"/>
        </w:rPr>
        <w:t>c</w:t>
      </w:r>
      <w:r w:rsidRPr="00E3232D">
        <w:rPr>
          <w:rFonts w:ascii="Book Antiqua" w:hAnsi="Book Antiqua"/>
          <w:spacing w:val="1"/>
        </w:rPr>
        <w:t>re</w:t>
      </w:r>
      <w:r w:rsidRPr="00E3232D">
        <w:rPr>
          <w:rFonts w:ascii="Book Antiqua" w:hAnsi="Book Antiqua"/>
          <w:spacing w:val="4"/>
        </w:rPr>
        <w:t>d</w:t>
      </w:r>
      <w:r w:rsidRPr="00E3232D">
        <w:rPr>
          <w:rFonts w:ascii="Book Antiqua" w:hAnsi="Book Antiqua"/>
        </w:rPr>
        <w:t>it</w:t>
      </w:r>
      <w:r w:rsidRPr="00E3232D">
        <w:rPr>
          <w:rFonts w:ascii="Book Antiqua" w:hAnsi="Book Antiqua"/>
          <w:spacing w:val="3"/>
        </w:rPr>
        <w:t xml:space="preserve"> </w:t>
      </w:r>
      <w:r w:rsidRPr="00E3232D">
        <w:rPr>
          <w:rFonts w:ascii="Book Antiqua" w:hAnsi="Book Antiqua"/>
        </w:rPr>
        <w:t>p</w:t>
      </w:r>
      <w:r w:rsidRPr="00E3232D">
        <w:rPr>
          <w:rFonts w:ascii="Book Antiqua" w:hAnsi="Book Antiqua"/>
          <w:spacing w:val="-1"/>
        </w:rPr>
        <w:t>r</w:t>
      </w:r>
      <w:r w:rsidRPr="00E3232D">
        <w:rPr>
          <w:rFonts w:ascii="Book Antiqua" w:hAnsi="Book Antiqua"/>
        </w:rPr>
        <w:t>ovide</w:t>
      </w:r>
      <w:r w:rsidRPr="00E3232D">
        <w:rPr>
          <w:rFonts w:ascii="Book Antiqua" w:hAnsi="Book Antiqua"/>
          <w:spacing w:val="-1"/>
        </w:rPr>
        <w:t>r</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spacing w:val="-6"/>
        </w:rPr>
        <w:t>I</w:t>
      </w:r>
      <w:r w:rsidRPr="00E3232D">
        <w:rPr>
          <w:rFonts w:ascii="Book Antiqua" w:hAnsi="Book Antiqua"/>
        </w:rPr>
        <w:t>t</w:t>
      </w:r>
      <w:r w:rsidRPr="00E3232D">
        <w:rPr>
          <w:rFonts w:ascii="Book Antiqua" w:hAnsi="Book Antiqua"/>
          <w:spacing w:val="3"/>
        </w:rPr>
        <w:t xml:space="preserve"> </w:t>
      </w:r>
      <w:r w:rsidRPr="00E3232D">
        <w:rPr>
          <w:rFonts w:ascii="Book Antiqua" w:hAnsi="Book Antiqua"/>
        </w:rPr>
        <w:t>is</w:t>
      </w:r>
      <w:r w:rsidRPr="00E3232D">
        <w:rPr>
          <w:rFonts w:ascii="Book Antiqua" w:hAnsi="Book Antiqua"/>
          <w:spacing w:val="3"/>
        </w:rPr>
        <w:t xml:space="preserve"> </w:t>
      </w:r>
      <w:r w:rsidRPr="00E3232D">
        <w:rPr>
          <w:rFonts w:ascii="Book Antiqua" w:hAnsi="Book Antiqua"/>
        </w:rPr>
        <w:t>hope</w:t>
      </w:r>
      <w:r w:rsidRPr="00E3232D">
        <w:rPr>
          <w:rFonts w:ascii="Book Antiqua" w:hAnsi="Book Antiqua"/>
          <w:spacing w:val="1"/>
        </w:rPr>
        <w:t xml:space="preserve"> </w:t>
      </w:r>
      <w:r w:rsidRPr="00E3232D">
        <w:rPr>
          <w:rFonts w:ascii="Book Antiqua" w:hAnsi="Book Antiqua"/>
        </w:rPr>
        <w:t>that</w:t>
      </w:r>
      <w:r w:rsidRPr="00E3232D">
        <w:rPr>
          <w:rFonts w:ascii="Book Antiqua" w:hAnsi="Book Antiqua"/>
          <w:spacing w:val="2"/>
        </w:rPr>
        <w:t xml:space="preserve"> </w:t>
      </w:r>
      <w:r w:rsidRPr="00E3232D">
        <w:rPr>
          <w:rFonts w:ascii="Book Antiqua" w:hAnsi="Book Antiqua"/>
        </w:rPr>
        <w:t>if</w:t>
      </w:r>
      <w:r w:rsidRPr="00E3232D">
        <w:rPr>
          <w:rFonts w:ascii="Book Antiqua" w:hAnsi="Book Antiqua"/>
          <w:spacing w:val="2"/>
        </w:rPr>
        <w:t xml:space="preserve"> </w:t>
      </w:r>
      <w:r w:rsidRPr="00E3232D">
        <w:rPr>
          <w:rFonts w:ascii="Book Antiqua" w:hAnsi="Book Antiqua"/>
        </w:rPr>
        <w:t>those r</w:t>
      </w:r>
      <w:r w:rsidRPr="00E3232D">
        <w:rPr>
          <w:rFonts w:ascii="Book Antiqua" w:hAnsi="Book Antiqua"/>
          <w:spacing w:val="-2"/>
        </w:rPr>
        <w:t>e</w:t>
      </w:r>
      <w:r w:rsidRPr="00E3232D">
        <w:rPr>
          <w:rFonts w:ascii="Book Antiqua" w:hAnsi="Book Antiqua"/>
          <w:spacing w:val="-1"/>
        </w:rPr>
        <w:t>c</w:t>
      </w:r>
      <w:r w:rsidRPr="00E3232D">
        <w:rPr>
          <w:rFonts w:ascii="Book Antiqua" w:hAnsi="Book Antiqua"/>
        </w:rPr>
        <w:t>om</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nd</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ons</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spacing w:val="1"/>
        </w:rPr>
        <w:t>r</w:t>
      </w:r>
      <w:r w:rsidRPr="00E3232D">
        <w:rPr>
          <w:rFonts w:ascii="Book Antiqua" w:hAnsi="Book Antiqua"/>
        </w:rPr>
        <w:t>e</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spacing w:val="2"/>
        </w:rPr>
        <w:t>d</w:t>
      </w:r>
      <w:r w:rsidRPr="00E3232D">
        <w:rPr>
          <w:rFonts w:ascii="Book Antiqua" w:hAnsi="Book Antiqua"/>
        </w:rPr>
        <w:t>opted</w:t>
      </w:r>
      <w:r w:rsidRPr="00E3232D">
        <w:rPr>
          <w:rFonts w:ascii="Book Antiqua" w:hAnsi="Book Antiqua"/>
          <w:spacing w:val="2"/>
        </w:rPr>
        <w:t xml:space="preserve"> </w:t>
      </w:r>
      <w:r w:rsidRPr="00E3232D">
        <w:rPr>
          <w:rFonts w:ascii="Book Antiqua" w:hAnsi="Book Antiqua"/>
        </w:rPr>
        <w:t>those</w:t>
      </w:r>
      <w:r w:rsidRPr="00E3232D">
        <w:rPr>
          <w:rFonts w:ascii="Book Antiqua" w:hAnsi="Book Antiqua"/>
          <w:spacing w:val="2"/>
        </w:rPr>
        <w:t xml:space="preserve"> </w:t>
      </w:r>
      <w:r w:rsidRPr="00E3232D">
        <w:rPr>
          <w:rFonts w:ascii="Book Antiqua" w:hAnsi="Book Antiqua"/>
          <w:spacing w:val="-1"/>
        </w:rPr>
        <w:t>c</w:t>
      </w:r>
      <w:r w:rsidRPr="00E3232D">
        <w:rPr>
          <w:rFonts w:ascii="Book Antiqua" w:hAnsi="Book Antiqua"/>
        </w:rPr>
        <w:t>h</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l</w:t>
      </w:r>
      <w:r w:rsidRPr="00E3232D">
        <w:rPr>
          <w:rFonts w:ascii="Book Antiqua" w:hAnsi="Book Antiqua"/>
          <w:spacing w:val="-1"/>
        </w:rPr>
        <w:t>e</w:t>
      </w:r>
      <w:r w:rsidRPr="00E3232D">
        <w:rPr>
          <w:rFonts w:ascii="Book Antiqua" w:hAnsi="Book Antiqua"/>
        </w:rPr>
        <w:t>ng</w:t>
      </w:r>
      <w:r w:rsidRPr="00E3232D">
        <w:rPr>
          <w:rFonts w:ascii="Book Antiqua" w:hAnsi="Book Antiqua"/>
          <w:spacing w:val="-1"/>
        </w:rPr>
        <w:t>e</w:t>
      </w:r>
      <w:r w:rsidRPr="00E3232D">
        <w:rPr>
          <w:rFonts w:ascii="Book Antiqua" w:hAnsi="Book Antiqua"/>
        </w:rPr>
        <w:t>s</w:t>
      </w:r>
      <w:r w:rsidRPr="00E3232D">
        <w:rPr>
          <w:rFonts w:ascii="Book Antiqua" w:hAnsi="Book Antiqua"/>
          <w:spacing w:val="3"/>
        </w:rPr>
        <w:t xml:space="preserve"> </w:t>
      </w:r>
      <w:r w:rsidRPr="00E3232D">
        <w:rPr>
          <w:rFonts w:ascii="Book Antiqua" w:hAnsi="Book Antiqua"/>
        </w:rPr>
        <w:t>fa</w:t>
      </w:r>
      <w:r w:rsidRPr="00E3232D">
        <w:rPr>
          <w:rFonts w:ascii="Book Antiqua" w:hAnsi="Book Antiqua"/>
          <w:spacing w:val="-1"/>
        </w:rPr>
        <w:t>c</w:t>
      </w:r>
      <w:r w:rsidRPr="00E3232D">
        <w:rPr>
          <w:rFonts w:ascii="Book Antiqua" w:hAnsi="Book Antiqua"/>
        </w:rPr>
        <w:t>ing the</w:t>
      </w:r>
      <w:r w:rsidRPr="00E3232D">
        <w:rPr>
          <w:rFonts w:ascii="Book Antiqua" w:hAnsi="Book Antiqua"/>
          <w:spacing w:val="2"/>
        </w:rPr>
        <w:t xml:space="preserve"> </w:t>
      </w:r>
      <w:r w:rsidRPr="00E3232D">
        <w:rPr>
          <w:rFonts w:ascii="Book Antiqua" w:hAnsi="Book Antiqua"/>
        </w:rPr>
        <w:t>potential</w:t>
      </w:r>
      <w:r w:rsidRPr="00E3232D">
        <w:rPr>
          <w:rFonts w:ascii="Book Antiqua" w:hAnsi="Book Antiqua"/>
          <w:spacing w:val="2"/>
        </w:rPr>
        <w:t xml:space="preserve"> </w:t>
      </w:r>
      <w:r w:rsidRPr="00E3232D">
        <w:rPr>
          <w:rFonts w:ascii="Book Antiqua" w:hAnsi="Book Antiqua"/>
        </w:rPr>
        <w:t>m</w:t>
      </w:r>
      <w:r w:rsidRPr="00E3232D">
        <w:rPr>
          <w:rFonts w:ascii="Book Antiqua" w:hAnsi="Book Antiqua"/>
          <w:spacing w:val="1"/>
        </w:rPr>
        <w:t>i</w:t>
      </w:r>
      <w:r w:rsidRPr="00E3232D">
        <w:rPr>
          <w:rFonts w:ascii="Book Antiqua" w:hAnsi="Book Antiqua"/>
          <w:spacing w:val="-1"/>
        </w:rPr>
        <w:t>c</w:t>
      </w:r>
      <w:r w:rsidRPr="00E3232D">
        <w:rPr>
          <w:rFonts w:ascii="Book Antiqua" w:hAnsi="Book Antiqua"/>
        </w:rPr>
        <w:t>ro</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rPr>
        <w:t>ntr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u</w:t>
      </w:r>
      <w:r w:rsidRPr="00E3232D">
        <w:rPr>
          <w:rFonts w:ascii="Book Antiqua" w:hAnsi="Book Antiqua"/>
          <w:spacing w:val="-1"/>
        </w:rPr>
        <w:t>r</w:t>
      </w:r>
      <w:r w:rsidRPr="00E3232D">
        <w:rPr>
          <w:rFonts w:ascii="Book Antiqua" w:hAnsi="Book Antiqua"/>
        </w:rPr>
        <w:t>ial bor</w:t>
      </w:r>
      <w:r w:rsidRPr="00E3232D">
        <w:rPr>
          <w:rFonts w:ascii="Book Antiqua" w:hAnsi="Book Antiqua"/>
          <w:spacing w:val="-1"/>
        </w:rPr>
        <w:t>r</w:t>
      </w:r>
      <w:r w:rsidRPr="00E3232D">
        <w:rPr>
          <w:rFonts w:ascii="Book Antiqua" w:hAnsi="Book Antiqua"/>
        </w:rPr>
        <w:t>ow</w:t>
      </w:r>
      <w:r w:rsidRPr="00E3232D">
        <w:rPr>
          <w:rFonts w:ascii="Book Antiqua" w:hAnsi="Book Antiqua"/>
          <w:spacing w:val="1"/>
        </w:rPr>
        <w:t>e</w:t>
      </w:r>
      <w:r w:rsidRPr="00E3232D">
        <w:rPr>
          <w:rFonts w:ascii="Book Antiqua" w:hAnsi="Book Antiqua"/>
        </w:rPr>
        <w:t xml:space="preserve">rs </w:t>
      </w:r>
      <w:r w:rsidRPr="00E3232D">
        <w:rPr>
          <w:rFonts w:ascii="Book Antiqua" w:hAnsi="Book Antiqua"/>
          <w:spacing w:val="-1"/>
        </w:rPr>
        <w:t>w</w:t>
      </w:r>
      <w:r w:rsidRPr="00E3232D">
        <w:rPr>
          <w:rFonts w:ascii="Book Antiqua" w:hAnsi="Book Antiqua"/>
        </w:rPr>
        <w:t xml:space="preserve">ould be </w:t>
      </w:r>
      <w:r w:rsidRPr="00E3232D">
        <w:rPr>
          <w:rFonts w:ascii="Book Antiqua" w:hAnsi="Book Antiqua"/>
          <w:spacing w:val="-1"/>
        </w:rPr>
        <w:t>a</w:t>
      </w:r>
      <w:r w:rsidRPr="00E3232D">
        <w:rPr>
          <w:rFonts w:ascii="Book Antiqua" w:hAnsi="Book Antiqua"/>
        </w:rPr>
        <w:t>d</w:t>
      </w:r>
      <w:r w:rsidRPr="00E3232D">
        <w:rPr>
          <w:rFonts w:ascii="Book Antiqua" w:hAnsi="Book Antiqua"/>
          <w:spacing w:val="2"/>
        </w:rPr>
        <w:t>d</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 xml:space="preserve">ssed </w:t>
      </w:r>
      <w:r w:rsidRPr="00E3232D">
        <w:rPr>
          <w:rFonts w:ascii="Book Antiqua" w:hAnsi="Book Antiqua"/>
          <w:spacing w:val="-1"/>
        </w:rPr>
        <w:t>a</w:t>
      </w:r>
      <w:r w:rsidRPr="00E3232D">
        <w:rPr>
          <w:rFonts w:ascii="Book Antiqua" w:hAnsi="Book Antiqua"/>
        </w:rPr>
        <w:t>nd th</w:t>
      </w:r>
      <w:r w:rsidRPr="00E3232D">
        <w:rPr>
          <w:rFonts w:ascii="Book Antiqua" w:hAnsi="Book Antiqua"/>
          <w:spacing w:val="4"/>
        </w:rPr>
        <w:t>e</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rPr>
        <w:t>will</w:t>
      </w:r>
      <w:r w:rsidRPr="00E3232D">
        <w:rPr>
          <w:rFonts w:ascii="Book Antiqua" w:hAnsi="Book Antiqua"/>
          <w:spacing w:val="1"/>
        </w:rPr>
        <w:t xml:space="preserve"> </w:t>
      </w:r>
      <w:r w:rsidRPr="00E3232D">
        <w:rPr>
          <w:rFonts w:ascii="Book Antiqua" w:hAnsi="Book Antiqua"/>
        </w:rPr>
        <w:t>be</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spacing w:val="2"/>
        </w:rPr>
        <w:t>b</w:t>
      </w:r>
      <w:r w:rsidRPr="00E3232D">
        <w:rPr>
          <w:rFonts w:ascii="Book Antiqua" w:hAnsi="Book Antiqua"/>
        </w:rPr>
        <w:t>le to hon</w:t>
      </w:r>
      <w:r w:rsidRPr="00E3232D">
        <w:rPr>
          <w:rFonts w:ascii="Book Antiqua" w:hAnsi="Book Antiqua"/>
          <w:spacing w:val="-1"/>
        </w:rPr>
        <w:t>e</w:t>
      </w:r>
      <w:r w:rsidRPr="00E3232D">
        <w:rPr>
          <w:rFonts w:ascii="Book Antiqua" w:hAnsi="Book Antiqua"/>
        </w:rPr>
        <w:t xml:space="preserve">st </w:t>
      </w:r>
      <w:r w:rsidRPr="00E3232D">
        <w:rPr>
          <w:rFonts w:ascii="Book Antiqua" w:hAnsi="Book Antiqua"/>
          <w:spacing w:val="1"/>
        </w:rPr>
        <w:t>t</w:t>
      </w:r>
      <w:r w:rsidRPr="00E3232D">
        <w:rPr>
          <w:rFonts w:ascii="Book Antiqua" w:hAnsi="Book Antiqua"/>
        </w:rPr>
        <w:t>he</w:t>
      </w:r>
      <w:r w:rsidRPr="00E3232D">
        <w:rPr>
          <w:rFonts w:ascii="Book Antiqua" w:hAnsi="Book Antiqua"/>
          <w:spacing w:val="-1"/>
        </w:rPr>
        <w:t xml:space="preserve"> </w:t>
      </w:r>
      <w:r w:rsidRPr="00E3232D">
        <w:rPr>
          <w:rFonts w:ascii="Book Antiqua" w:hAnsi="Book Antiqua"/>
        </w:rPr>
        <w:t>hidden potentials.</w:t>
      </w:r>
    </w:p>
    <w:p w14:paraId="4DD9A3CF" w14:textId="77777777" w:rsidR="0057286B" w:rsidRPr="00E3232D" w:rsidRDefault="0057286B" w:rsidP="00465AE3">
      <w:pPr>
        <w:pStyle w:val="ListParagraph"/>
        <w:widowControl w:val="0"/>
        <w:autoSpaceDE w:val="0"/>
        <w:autoSpaceDN w:val="0"/>
        <w:adjustRightInd w:val="0"/>
        <w:ind w:left="0" w:right="84"/>
        <w:jc w:val="both"/>
        <w:rPr>
          <w:rFonts w:ascii="Book Antiqua" w:hAnsi="Book Antiqua"/>
        </w:rPr>
        <w:sectPr w:rsidR="0057286B" w:rsidRPr="00E3232D" w:rsidSect="008F6BC9">
          <w:footerReference w:type="default" r:id="rId215"/>
          <w:type w:val="continuous"/>
          <w:pgSz w:w="11907" w:h="16839" w:code="9"/>
          <w:pgMar w:top="1380" w:right="1320" w:bottom="280" w:left="1720" w:header="720" w:footer="720" w:gutter="0"/>
          <w:cols w:num="2" w:space="720"/>
          <w:noEndnote/>
        </w:sectPr>
      </w:pPr>
    </w:p>
    <w:p w14:paraId="316E0987" w14:textId="77777777" w:rsidR="00C46BAF" w:rsidRDefault="00C46BAF" w:rsidP="00465AE3">
      <w:pPr>
        <w:pStyle w:val="NoSpacing"/>
        <w:jc w:val="both"/>
        <w:rPr>
          <w:rFonts w:ascii="Book Antiqua" w:hAnsi="Book Antiqua"/>
          <w:b/>
        </w:rPr>
      </w:pPr>
    </w:p>
    <w:p w14:paraId="657044E6" w14:textId="77777777" w:rsidR="00C46BAF" w:rsidRDefault="00C46BAF" w:rsidP="00465AE3">
      <w:pPr>
        <w:pStyle w:val="NoSpacing"/>
        <w:jc w:val="both"/>
        <w:rPr>
          <w:rFonts w:ascii="Book Antiqua" w:hAnsi="Book Antiqua"/>
          <w:b/>
        </w:rPr>
      </w:pPr>
    </w:p>
    <w:p w14:paraId="1F1028FD" w14:textId="77777777" w:rsidR="00050BBA" w:rsidRPr="00F074CC" w:rsidRDefault="00050BBA" w:rsidP="00050BBA">
      <w:pPr>
        <w:pStyle w:val="NoSpacing"/>
        <w:jc w:val="both"/>
        <w:rPr>
          <w:rFonts w:ascii="Book Antiqua" w:hAnsi="Book Antiqua"/>
          <w:b/>
        </w:rPr>
      </w:pPr>
      <w:r w:rsidRPr="00465AE3">
        <w:rPr>
          <w:rFonts w:ascii="Book Antiqua" w:hAnsi="Book Antiqua"/>
          <w:b/>
          <w:sz w:val="26"/>
        </w:rPr>
        <w:t>Reference</w:t>
      </w:r>
    </w:p>
    <w:p w14:paraId="4A0127EF" w14:textId="77777777" w:rsidR="00C46BAF" w:rsidRDefault="00C46BAF" w:rsidP="00465AE3">
      <w:pPr>
        <w:pStyle w:val="NoSpacing"/>
        <w:jc w:val="both"/>
        <w:rPr>
          <w:rFonts w:ascii="Book Antiqua" w:hAnsi="Book Antiqua"/>
          <w:b/>
        </w:rPr>
      </w:pPr>
    </w:p>
    <w:p w14:paraId="2965D43E" w14:textId="77777777" w:rsidR="00050BBA" w:rsidRDefault="00050BBA" w:rsidP="00465AE3">
      <w:pPr>
        <w:pStyle w:val="NoSpacing"/>
        <w:jc w:val="both"/>
        <w:rPr>
          <w:rFonts w:ascii="Book Antiqua" w:hAnsi="Book Antiqua"/>
          <w:b/>
          <w:sz w:val="26"/>
        </w:rPr>
      </w:pPr>
    </w:p>
    <w:p w14:paraId="428C0EE3" w14:textId="77777777" w:rsidR="0057286B" w:rsidRPr="00F074CC" w:rsidRDefault="0057286B" w:rsidP="00465AE3">
      <w:pPr>
        <w:pStyle w:val="NoSpacing"/>
        <w:jc w:val="both"/>
        <w:sectPr w:rsidR="0057286B" w:rsidRPr="00F074CC" w:rsidSect="008F6BC9">
          <w:type w:val="continuous"/>
          <w:pgSz w:w="11907" w:h="16839" w:code="9"/>
          <w:pgMar w:top="1260" w:right="1320" w:bottom="280" w:left="1720" w:header="720" w:footer="720" w:gutter="0"/>
          <w:cols w:num="2" w:space="720"/>
          <w:noEndnote/>
        </w:sectPr>
      </w:pPr>
    </w:p>
    <w:p w14:paraId="1223F56E" w14:textId="77777777" w:rsidR="0057286B" w:rsidRPr="00E3232D" w:rsidRDefault="0057286B" w:rsidP="00465AE3">
      <w:pPr>
        <w:widowControl w:val="0"/>
        <w:autoSpaceDE w:val="0"/>
        <w:autoSpaceDN w:val="0"/>
        <w:adjustRightInd w:val="0"/>
        <w:ind w:right="79"/>
        <w:jc w:val="both"/>
        <w:rPr>
          <w:rFonts w:ascii="Book Antiqua" w:hAnsi="Book Antiqua"/>
        </w:rPr>
      </w:pPr>
      <w:r w:rsidRPr="00E3232D">
        <w:rPr>
          <w:rFonts w:ascii="Book Antiqua" w:hAnsi="Book Antiqua"/>
        </w:rPr>
        <w:t>A</w:t>
      </w:r>
      <w:r w:rsidRPr="00E3232D">
        <w:rPr>
          <w:rFonts w:ascii="Book Antiqua" w:hAnsi="Book Antiqua"/>
          <w:spacing w:val="-1"/>
        </w:rPr>
        <w:t>r</w:t>
      </w:r>
      <w:r w:rsidRPr="00E3232D">
        <w:rPr>
          <w:rFonts w:ascii="Book Antiqua" w:hAnsi="Book Antiqua"/>
        </w:rPr>
        <w:t>di</w:t>
      </w:r>
      <w:r w:rsidRPr="00E3232D">
        <w:rPr>
          <w:rFonts w:ascii="Book Antiqua" w:hAnsi="Book Antiqua"/>
          <w:spacing w:val="-1"/>
        </w:rPr>
        <w:t>c</w:t>
      </w:r>
      <w:r w:rsidRPr="00E3232D">
        <w:rPr>
          <w:rFonts w:ascii="Book Antiqua" w:hAnsi="Book Antiqua"/>
        </w:rPr>
        <w:t>,</w:t>
      </w:r>
      <w:r w:rsidRPr="00E3232D">
        <w:rPr>
          <w:rFonts w:ascii="Book Antiqua" w:hAnsi="Book Antiqua"/>
          <w:spacing w:val="29"/>
        </w:rPr>
        <w:t xml:space="preserve"> </w:t>
      </w:r>
      <w:r w:rsidRPr="00E3232D">
        <w:rPr>
          <w:rFonts w:ascii="Book Antiqua" w:hAnsi="Book Antiqua"/>
        </w:rPr>
        <w:t>O.</w:t>
      </w:r>
      <w:r w:rsidRPr="00E3232D">
        <w:rPr>
          <w:rFonts w:ascii="Book Antiqua" w:hAnsi="Book Antiqua"/>
          <w:spacing w:val="1"/>
        </w:rPr>
        <w:t>P</w:t>
      </w:r>
      <w:r w:rsidRPr="00E3232D">
        <w:rPr>
          <w:rFonts w:ascii="Book Antiqua" w:hAnsi="Book Antiqua"/>
        </w:rPr>
        <w:t>.,</w:t>
      </w:r>
      <w:r w:rsidRPr="00E3232D">
        <w:rPr>
          <w:rFonts w:ascii="Book Antiqua" w:hAnsi="Book Antiqua"/>
          <w:spacing w:val="30"/>
        </w:rPr>
        <w:t xml:space="preserve"> </w:t>
      </w:r>
      <w:r w:rsidRPr="00E3232D">
        <w:rPr>
          <w:rFonts w:ascii="Book Antiqua" w:hAnsi="Book Antiqua"/>
          <w:spacing w:val="5"/>
        </w:rPr>
        <w:t>M</w:t>
      </w:r>
      <w:r w:rsidRPr="00E3232D">
        <w:rPr>
          <w:rFonts w:ascii="Book Antiqua" w:hAnsi="Book Antiqua"/>
          <w:spacing w:val="-7"/>
        </w:rPr>
        <w:t>y</w:t>
      </w:r>
      <w:r w:rsidRPr="00E3232D">
        <w:rPr>
          <w:rFonts w:ascii="Book Antiqua" w:hAnsi="Book Antiqua"/>
          <w:spacing w:val="3"/>
        </w:rPr>
        <w:t>l</w:t>
      </w:r>
      <w:r w:rsidRPr="00E3232D">
        <w:rPr>
          <w:rFonts w:ascii="Book Antiqua" w:hAnsi="Book Antiqua"/>
          <w:spacing w:val="-1"/>
        </w:rPr>
        <w:t>e</w:t>
      </w:r>
      <w:r w:rsidRPr="00E3232D">
        <w:rPr>
          <w:rFonts w:ascii="Book Antiqua" w:hAnsi="Book Antiqua"/>
        </w:rPr>
        <w:t>nko,</w:t>
      </w:r>
      <w:r w:rsidRPr="00E3232D">
        <w:rPr>
          <w:rFonts w:ascii="Book Antiqua" w:hAnsi="Book Antiqua"/>
          <w:spacing w:val="31"/>
        </w:rPr>
        <w:t xml:space="preserve"> </w:t>
      </w:r>
      <w:r w:rsidRPr="00E3232D">
        <w:rPr>
          <w:rFonts w:ascii="Book Antiqua" w:hAnsi="Book Antiqua"/>
        </w:rPr>
        <w:t>N.</w:t>
      </w:r>
      <w:r w:rsidRPr="00E3232D">
        <w:rPr>
          <w:rFonts w:ascii="Book Antiqua" w:hAnsi="Book Antiqua"/>
          <w:spacing w:val="28"/>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9"/>
        </w:rPr>
        <w:t xml:space="preserve"> </w:t>
      </w:r>
      <w:r w:rsidRPr="00E3232D">
        <w:rPr>
          <w:rFonts w:ascii="Book Antiqua" w:hAnsi="Book Antiqua"/>
          <w:spacing w:val="1"/>
        </w:rPr>
        <w:t>S</w:t>
      </w:r>
      <w:r w:rsidRPr="00E3232D">
        <w:rPr>
          <w:rFonts w:ascii="Book Antiqua" w:hAnsi="Book Antiqua"/>
          <w:spacing w:val="-1"/>
        </w:rPr>
        <w:t>a</w:t>
      </w:r>
      <w:r w:rsidRPr="00E3232D">
        <w:rPr>
          <w:rFonts w:ascii="Book Antiqua" w:hAnsi="Book Antiqua"/>
        </w:rPr>
        <w:t>l</w:t>
      </w:r>
      <w:r w:rsidRPr="00E3232D">
        <w:rPr>
          <w:rFonts w:ascii="Book Antiqua" w:hAnsi="Book Antiqua"/>
          <w:spacing w:val="1"/>
        </w:rPr>
        <w:t>t</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e</w:t>
      </w:r>
      <w:r w:rsidRPr="00E3232D">
        <w:rPr>
          <w:rFonts w:ascii="Book Antiqua" w:hAnsi="Book Antiqua"/>
        </w:rPr>
        <w:t>,</w:t>
      </w:r>
      <w:r w:rsidRPr="00E3232D">
        <w:rPr>
          <w:rFonts w:ascii="Book Antiqua" w:hAnsi="Book Antiqua"/>
          <w:spacing w:val="29"/>
        </w:rPr>
        <w:t xml:space="preserve"> </w:t>
      </w:r>
      <w:r w:rsidRPr="00E3232D">
        <w:rPr>
          <w:rFonts w:ascii="Book Antiqua" w:hAnsi="Book Antiqua"/>
        </w:rPr>
        <w:t>V.</w:t>
      </w:r>
      <w:r w:rsidRPr="00E3232D">
        <w:rPr>
          <w:rFonts w:ascii="Book Antiqua" w:hAnsi="Book Antiqua"/>
          <w:spacing w:val="30"/>
        </w:rPr>
        <w:t xml:space="preserve"> </w:t>
      </w:r>
      <w:r w:rsidRPr="00E3232D">
        <w:rPr>
          <w:rFonts w:ascii="Book Antiqua" w:hAnsi="Book Antiqua"/>
          <w:spacing w:val="2"/>
        </w:rPr>
        <w:t>(</w:t>
      </w:r>
      <w:r w:rsidRPr="00E3232D">
        <w:rPr>
          <w:rFonts w:ascii="Book Antiqua" w:hAnsi="Book Antiqua"/>
        </w:rPr>
        <w:t>20</w:t>
      </w:r>
      <w:r w:rsidRPr="00E3232D">
        <w:rPr>
          <w:rFonts w:ascii="Book Antiqua" w:hAnsi="Book Antiqua"/>
          <w:spacing w:val="2"/>
        </w:rPr>
        <w:t>1</w:t>
      </w:r>
      <w:r w:rsidRPr="00E3232D">
        <w:rPr>
          <w:rFonts w:ascii="Book Antiqua" w:hAnsi="Book Antiqua"/>
        </w:rPr>
        <w:t>1</w:t>
      </w:r>
      <w:r w:rsidRPr="00E3232D">
        <w:rPr>
          <w:rFonts w:ascii="Book Antiqua" w:hAnsi="Book Antiqua"/>
          <w:spacing w:val="-1"/>
        </w:rPr>
        <w:t>)</w:t>
      </w:r>
      <w:r w:rsidRPr="00E3232D">
        <w:rPr>
          <w:rFonts w:ascii="Book Antiqua" w:hAnsi="Book Antiqua"/>
        </w:rPr>
        <w:t>.</w:t>
      </w:r>
      <w:r w:rsidRPr="00E3232D">
        <w:rPr>
          <w:rFonts w:ascii="Book Antiqua" w:hAnsi="Book Antiqua"/>
          <w:spacing w:val="29"/>
        </w:rPr>
        <w:t xml:space="preserve"> </w:t>
      </w:r>
      <w:r w:rsidRPr="00E3232D">
        <w:rPr>
          <w:rFonts w:ascii="Book Antiqua" w:hAnsi="Book Antiqua"/>
        </w:rPr>
        <w:t>A</w:t>
      </w:r>
      <w:r w:rsidRPr="00E3232D">
        <w:rPr>
          <w:rFonts w:ascii="Book Antiqua" w:hAnsi="Book Antiqua"/>
          <w:spacing w:val="28"/>
        </w:rPr>
        <w:t xml:space="preserve"> </w:t>
      </w:r>
      <w:r w:rsidRPr="00E3232D">
        <w:rPr>
          <w:rFonts w:ascii="Book Antiqua" w:hAnsi="Book Antiqua"/>
          <w:spacing w:val="-1"/>
        </w:rPr>
        <w:t>c</w:t>
      </w:r>
      <w:r w:rsidRPr="00E3232D">
        <w:rPr>
          <w:rFonts w:ascii="Book Antiqua" w:hAnsi="Book Antiqua"/>
        </w:rPr>
        <w:t>ros</w:t>
      </w:r>
      <w:r w:rsidRPr="00E3232D">
        <w:rPr>
          <w:rFonts w:ascii="Book Antiqua" w:hAnsi="Book Antiqua"/>
          <w:spacing w:val="1"/>
        </w:rPr>
        <w:t>s</w:t>
      </w:r>
      <w:r w:rsidRPr="00E3232D">
        <w:rPr>
          <w:rFonts w:ascii="Book Antiqua" w:hAnsi="Book Antiqua"/>
          <w:spacing w:val="2"/>
        </w:rPr>
        <w:t>-</w:t>
      </w:r>
      <w:r w:rsidRPr="00E3232D">
        <w:rPr>
          <w:rFonts w:ascii="Book Antiqua" w:hAnsi="Book Antiqua"/>
          <w:spacing w:val="-1"/>
        </w:rPr>
        <w:t>c</w:t>
      </w:r>
      <w:r w:rsidRPr="00E3232D">
        <w:rPr>
          <w:rFonts w:ascii="Book Antiqua" w:hAnsi="Book Antiqua"/>
        </w:rPr>
        <w:t>ount</w:t>
      </w:r>
      <w:r w:rsidRPr="00E3232D">
        <w:rPr>
          <w:rFonts w:ascii="Book Antiqua" w:hAnsi="Book Antiqua"/>
          <w:spacing w:val="4"/>
        </w:rPr>
        <w:t>r</w:t>
      </w:r>
      <w:r w:rsidRPr="00E3232D">
        <w:rPr>
          <w:rFonts w:ascii="Book Antiqua" w:hAnsi="Book Antiqua"/>
        </w:rPr>
        <w:t>y</w:t>
      </w:r>
      <w:r w:rsidRPr="00E3232D">
        <w:rPr>
          <w:rFonts w:ascii="Book Antiqua" w:hAnsi="Book Antiqua"/>
          <w:spacing w:val="24"/>
        </w:rPr>
        <w:t xml:space="preserve"> </w:t>
      </w:r>
      <w:r w:rsidRPr="00E3232D">
        <w:rPr>
          <w:rFonts w:ascii="Book Antiqua" w:hAnsi="Book Antiqua"/>
          <w:spacing w:val="-1"/>
        </w:rPr>
        <w:t>a</w:t>
      </w:r>
      <w:r w:rsidRPr="00E3232D">
        <w:rPr>
          <w:rFonts w:ascii="Book Antiqua" w:hAnsi="Book Antiqua"/>
          <w:spacing w:val="2"/>
        </w:rPr>
        <w:t>n</w:t>
      </w:r>
      <w:r w:rsidRPr="00E3232D">
        <w:rPr>
          <w:rFonts w:ascii="Book Antiqua" w:hAnsi="Book Antiqua"/>
          <w:spacing w:val="-1"/>
        </w:rPr>
        <w:t>a</w:t>
      </w:r>
      <w:r w:rsidRPr="00E3232D">
        <w:rPr>
          <w:rFonts w:ascii="Book Antiqua" w:hAnsi="Book Antiqua"/>
        </w:rPr>
        <w:t>l</w:t>
      </w:r>
      <w:r w:rsidRPr="00E3232D">
        <w:rPr>
          <w:rFonts w:ascii="Book Antiqua" w:hAnsi="Book Antiqua"/>
          <w:spacing w:val="-4"/>
        </w:rPr>
        <w:t>y</w:t>
      </w:r>
      <w:r w:rsidRPr="00E3232D">
        <w:rPr>
          <w:rFonts w:ascii="Book Antiqua" w:hAnsi="Book Antiqua"/>
          <w:spacing w:val="2"/>
        </w:rPr>
        <w:t>s</w:t>
      </w:r>
      <w:r w:rsidRPr="00E3232D">
        <w:rPr>
          <w:rFonts w:ascii="Book Antiqua" w:hAnsi="Book Antiqua"/>
        </w:rPr>
        <w:t>is</w:t>
      </w:r>
      <w:r w:rsidRPr="00E3232D">
        <w:rPr>
          <w:rFonts w:ascii="Book Antiqua" w:hAnsi="Book Antiqua"/>
          <w:spacing w:val="29"/>
        </w:rPr>
        <w:t xml:space="preserve"> </w:t>
      </w:r>
      <w:r w:rsidRPr="00E3232D">
        <w:rPr>
          <w:rFonts w:ascii="Book Antiqua" w:hAnsi="Book Antiqua"/>
        </w:rPr>
        <w:t>with</w:t>
      </w:r>
      <w:r w:rsidRPr="00E3232D">
        <w:rPr>
          <w:rFonts w:ascii="Book Antiqua" w:hAnsi="Book Antiqua"/>
          <w:spacing w:val="29"/>
        </w:rPr>
        <w:t xml:space="preserve"> </w:t>
      </w:r>
      <w:r w:rsidRPr="00E3232D">
        <w:rPr>
          <w:rFonts w:ascii="Book Antiqua" w:hAnsi="Book Antiqua"/>
        </w:rPr>
        <w:t>a</w:t>
      </w:r>
      <w:r w:rsidRPr="00E3232D">
        <w:rPr>
          <w:rFonts w:ascii="Book Antiqua" w:hAnsi="Book Antiqua"/>
          <w:spacing w:val="30"/>
        </w:rPr>
        <w:t xml:space="preserve"> </w:t>
      </w:r>
      <w:r w:rsidRPr="00E3232D">
        <w:rPr>
          <w:rFonts w:ascii="Book Antiqua" w:hAnsi="Book Antiqua"/>
        </w:rPr>
        <w:t>n</w:t>
      </w:r>
      <w:r w:rsidRPr="00E3232D">
        <w:rPr>
          <w:rFonts w:ascii="Book Antiqua" w:hAnsi="Book Antiqua"/>
          <w:spacing w:val="-1"/>
        </w:rPr>
        <w:t>e</w:t>
      </w:r>
      <w:r w:rsidRPr="00E3232D">
        <w:rPr>
          <w:rFonts w:ascii="Book Antiqua" w:hAnsi="Book Antiqua"/>
        </w:rPr>
        <w:t>w d</w:t>
      </w:r>
      <w:r w:rsidRPr="00E3232D">
        <w:rPr>
          <w:rFonts w:ascii="Book Antiqua" w:hAnsi="Book Antiqua"/>
          <w:spacing w:val="-1"/>
        </w:rPr>
        <w:t>a</w:t>
      </w:r>
      <w:r w:rsidRPr="00E3232D">
        <w:rPr>
          <w:rFonts w:ascii="Book Antiqua" w:hAnsi="Book Antiqua"/>
        </w:rPr>
        <w:t>ta s</w:t>
      </w:r>
      <w:r w:rsidRPr="00E3232D">
        <w:rPr>
          <w:rFonts w:ascii="Book Antiqua" w:hAnsi="Book Antiqua"/>
          <w:spacing w:val="-1"/>
        </w:rPr>
        <w:t>e</w:t>
      </w:r>
      <w:r w:rsidRPr="00E3232D">
        <w:rPr>
          <w:rFonts w:ascii="Book Antiqua" w:hAnsi="Book Antiqua"/>
        </w:rPr>
        <w:t xml:space="preserve">t, </w:t>
      </w:r>
      <w:r w:rsidRPr="00E3232D">
        <w:rPr>
          <w:rFonts w:ascii="Book Antiqua" w:hAnsi="Book Antiqua"/>
          <w:spacing w:val="2"/>
        </w:rPr>
        <w:t>W</w:t>
      </w:r>
      <w:r w:rsidRPr="00E3232D">
        <w:rPr>
          <w:rFonts w:ascii="Book Antiqua" w:hAnsi="Book Antiqua"/>
        </w:rPr>
        <w:t>o</w:t>
      </w:r>
      <w:r w:rsidRPr="00E3232D">
        <w:rPr>
          <w:rFonts w:ascii="Book Antiqua" w:hAnsi="Book Antiqua"/>
          <w:spacing w:val="-1"/>
        </w:rPr>
        <w:t>r</w:t>
      </w:r>
      <w:r w:rsidRPr="00E3232D">
        <w:rPr>
          <w:rFonts w:ascii="Book Antiqua" w:hAnsi="Book Antiqua"/>
        </w:rPr>
        <w:t xml:space="preserve">ld </w:t>
      </w:r>
      <w:r w:rsidRPr="00E3232D">
        <w:rPr>
          <w:rFonts w:ascii="Book Antiqua" w:hAnsi="Book Antiqua"/>
          <w:spacing w:val="-1"/>
        </w:rPr>
        <w:t>Ba</w:t>
      </w:r>
      <w:r w:rsidRPr="00E3232D">
        <w:rPr>
          <w:rFonts w:ascii="Book Antiqua" w:hAnsi="Book Antiqua"/>
        </w:rPr>
        <w:t>nk.</w:t>
      </w:r>
    </w:p>
    <w:p w14:paraId="088B4412" w14:textId="77777777" w:rsidR="0057286B" w:rsidRPr="00E3232D" w:rsidRDefault="0057286B" w:rsidP="00465AE3">
      <w:pPr>
        <w:widowControl w:val="0"/>
        <w:autoSpaceDE w:val="0"/>
        <w:autoSpaceDN w:val="0"/>
        <w:adjustRightInd w:val="0"/>
        <w:ind w:left="777" w:right="907" w:hanging="720"/>
        <w:jc w:val="both"/>
        <w:rPr>
          <w:rFonts w:ascii="Book Antiqua" w:hAnsi="Book Antiqua"/>
        </w:rPr>
      </w:pPr>
      <w:r w:rsidRPr="00E3232D">
        <w:rPr>
          <w:rFonts w:ascii="Book Antiqua" w:hAnsi="Book Antiqua"/>
        </w:rPr>
        <w:t>D</w:t>
      </w:r>
      <w:r w:rsidRPr="00E3232D">
        <w:rPr>
          <w:rFonts w:ascii="Book Antiqua" w:hAnsi="Book Antiqua"/>
          <w:spacing w:val="-1"/>
        </w:rPr>
        <w:t>a</w:t>
      </w:r>
      <w:r w:rsidRPr="00E3232D">
        <w:rPr>
          <w:rFonts w:ascii="Book Antiqua" w:hAnsi="Book Antiqua"/>
        </w:rPr>
        <w:t>vid,</w:t>
      </w:r>
      <w:r w:rsidRPr="00E3232D">
        <w:rPr>
          <w:rFonts w:ascii="Book Antiqua" w:hAnsi="Book Antiqua"/>
          <w:spacing w:val="48"/>
        </w:rPr>
        <w:t xml:space="preserve"> </w:t>
      </w:r>
      <w:r w:rsidRPr="00E3232D">
        <w:rPr>
          <w:rFonts w:ascii="Book Antiqua" w:hAnsi="Book Antiqua"/>
        </w:rPr>
        <w:t>M.</w:t>
      </w:r>
      <w:r w:rsidRPr="00E3232D">
        <w:rPr>
          <w:rFonts w:ascii="Book Antiqua" w:hAnsi="Book Antiqua"/>
          <w:spacing w:val="48"/>
        </w:rPr>
        <w:t xml:space="preserve"> </w:t>
      </w:r>
      <w:r w:rsidRPr="00E3232D">
        <w:rPr>
          <w:rFonts w:ascii="Book Antiqua" w:hAnsi="Book Antiqua"/>
        </w:rPr>
        <w:t>(M</w:t>
      </w:r>
      <w:r w:rsidRPr="00E3232D">
        <w:rPr>
          <w:rFonts w:ascii="Book Antiqua" w:hAnsi="Book Antiqua"/>
          <w:spacing w:val="1"/>
        </w:rPr>
        <w:t>a</w:t>
      </w:r>
      <w:r w:rsidRPr="00E3232D">
        <w:rPr>
          <w:rFonts w:ascii="Book Antiqua" w:hAnsi="Book Antiqua"/>
        </w:rPr>
        <w:t>y</w:t>
      </w:r>
      <w:r w:rsidRPr="00E3232D">
        <w:rPr>
          <w:rFonts w:ascii="Book Antiqua" w:hAnsi="Book Antiqua"/>
          <w:spacing w:val="42"/>
        </w:rPr>
        <w:t xml:space="preserve"> </w:t>
      </w:r>
      <w:r w:rsidRPr="00E3232D">
        <w:rPr>
          <w:rFonts w:ascii="Book Antiqua" w:hAnsi="Book Antiqua"/>
        </w:rPr>
        <w:t>–</w:t>
      </w:r>
      <w:r w:rsidRPr="00E3232D">
        <w:rPr>
          <w:rFonts w:ascii="Book Antiqua" w:hAnsi="Book Antiqua"/>
          <w:spacing w:val="2"/>
        </w:rPr>
        <w:t>J</w:t>
      </w:r>
      <w:r w:rsidRPr="00E3232D">
        <w:rPr>
          <w:rFonts w:ascii="Book Antiqua" w:hAnsi="Book Antiqua"/>
        </w:rPr>
        <w:t>un</w:t>
      </w:r>
      <w:r w:rsidRPr="00E3232D">
        <w:rPr>
          <w:rFonts w:ascii="Book Antiqua" w:hAnsi="Book Antiqua"/>
          <w:spacing w:val="-1"/>
        </w:rPr>
        <w:t>e</w:t>
      </w:r>
      <w:r w:rsidRPr="00E3232D">
        <w:rPr>
          <w:rFonts w:ascii="Book Antiqua" w:hAnsi="Book Antiqua"/>
        </w:rPr>
        <w:t>,</w:t>
      </w:r>
      <w:r w:rsidRPr="00E3232D">
        <w:rPr>
          <w:rFonts w:ascii="Book Antiqua" w:hAnsi="Book Antiqua"/>
          <w:spacing w:val="51"/>
        </w:rPr>
        <w:t xml:space="preserve"> </w:t>
      </w:r>
      <w:r w:rsidRPr="00E3232D">
        <w:rPr>
          <w:rFonts w:ascii="Book Antiqua" w:hAnsi="Book Antiqua"/>
        </w:rPr>
        <w:t>1989</w:t>
      </w:r>
      <w:r w:rsidRPr="00E3232D">
        <w:rPr>
          <w:rFonts w:ascii="Book Antiqua" w:hAnsi="Book Antiqua"/>
          <w:spacing w:val="-1"/>
        </w:rPr>
        <w:t>)</w:t>
      </w:r>
      <w:r w:rsidRPr="00E3232D">
        <w:rPr>
          <w:rFonts w:ascii="Book Antiqua" w:hAnsi="Book Antiqua"/>
        </w:rPr>
        <w:t>.</w:t>
      </w:r>
      <w:r w:rsidRPr="00E3232D">
        <w:rPr>
          <w:rFonts w:ascii="Book Antiqua" w:hAnsi="Book Antiqua"/>
          <w:spacing w:val="48"/>
        </w:rPr>
        <w:t xml:space="preserve"> </w:t>
      </w:r>
      <w:r w:rsidRPr="00E3232D">
        <w:rPr>
          <w:rFonts w:ascii="Book Antiqua" w:hAnsi="Book Antiqua"/>
        </w:rPr>
        <w:t>Mi</w:t>
      </w:r>
      <w:r w:rsidRPr="00E3232D">
        <w:rPr>
          <w:rFonts w:ascii="Book Antiqua" w:hAnsi="Book Antiqua"/>
          <w:spacing w:val="-1"/>
        </w:rPr>
        <w:t>c</w:t>
      </w:r>
      <w:r w:rsidRPr="00E3232D">
        <w:rPr>
          <w:rFonts w:ascii="Book Antiqua" w:hAnsi="Book Antiqua"/>
        </w:rPr>
        <w:t>ro</w:t>
      </w:r>
      <w:r w:rsidRPr="00E3232D">
        <w:rPr>
          <w:rFonts w:ascii="Book Antiqua" w:hAnsi="Book Antiqua"/>
          <w:spacing w:val="47"/>
        </w:rPr>
        <w:t xml:space="preserve"> </w:t>
      </w:r>
      <w:r w:rsidRPr="00E3232D">
        <w:rPr>
          <w:rFonts w:ascii="Book Antiqua" w:hAnsi="Book Antiqua"/>
        </w:rPr>
        <w:t>Ent</w:t>
      </w:r>
      <w:r w:rsidRPr="00E3232D">
        <w:rPr>
          <w:rFonts w:ascii="Book Antiqua" w:hAnsi="Book Antiqua"/>
          <w:spacing w:val="-1"/>
        </w:rPr>
        <w:t>e</w:t>
      </w:r>
      <w:r w:rsidRPr="00E3232D">
        <w:rPr>
          <w:rFonts w:ascii="Book Antiqua" w:hAnsi="Book Antiqua"/>
        </w:rPr>
        <w:t>rp</w:t>
      </w:r>
      <w:r w:rsidRPr="00E3232D">
        <w:rPr>
          <w:rFonts w:ascii="Book Antiqua" w:hAnsi="Book Antiqua"/>
          <w:spacing w:val="-1"/>
        </w:rPr>
        <w:t>r</w:t>
      </w:r>
      <w:r w:rsidRPr="00E3232D">
        <w:rPr>
          <w:rFonts w:ascii="Book Antiqua" w:hAnsi="Book Antiqua"/>
        </w:rPr>
        <w:t>ises</w:t>
      </w:r>
      <w:r w:rsidRPr="00E3232D">
        <w:rPr>
          <w:rFonts w:ascii="Book Antiqua" w:hAnsi="Book Antiqua"/>
          <w:spacing w:val="48"/>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48"/>
        </w:rPr>
        <w:t xml:space="preserve"> </w:t>
      </w:r>
      <w:r w:rsidRPr="00E3232D">
        <w:rPr>
          <w:rFonts w:ascii="Book Antiqua" w:hAnsi="Book Antiqua"/>
        </w:rPr>
        <w:t>their</w:t>
      </w:r>
      <w:r w:rsidRPr="00E3232D">
        <w:rPr>
          <w:rFonts w:ascii="Book Antiqua" w:hAnsi="Book Antiqua"/>
          <w:spacing w:val="47"/>
        </w:rPr>
        <w:t xml:space="preserve"> </w:t>
      </w:r>
      <w:r w:rsidRPr="00E3232D">
        <w:rPr>
          <w:rFonts w:ascii="Book Antiqua" w:hAnsi="Book Antiqua"/>
        </w:rPr>
        <w:t>Role</w:t>
      </w:r>
      <w:r w:rsidRPr="00E3232D">
        <w:rPr>
          <w:rFonts w:ascii="Book Antiqua" w:hAnsi="Book Antiqua"/>
          <w:spacing w:val="47"/>
        </w:rPr>
        <w:t xml:space="preserve"> </w:t>
      </w:r>
      <w:r w:rsidRPr="00E3232D">
        <w:rPr>
          <w:rFonts w:ascii="Book Antiqua" w:hAnsi="Book Antiqua"/>
        </w:rPr>
        <w:t>in</w:t>
      </w:r>
      <w:r w:rsidRPr="00E3232D">
        <w:rPr>
          <w:rFonts w:ascii="Book Antiqua" w:hAnsi="Book Antiqua"/>
          <w:spacing w:val="46"/>
        </w:rPr>
        <w:t xml:space="preserve"> </w:t>
      </w:r>
      <w:r w:rsidRPr="00E3232D">
        <w:rPr>
          <w:rFonts w:ascii="Book Antiqua" w:hAnsi="Book Antiqua"/>
        </w:rPr>
        <w:t>the</w:t>
      </w:r>
      <w:r w:rsidRPr="00E3232D">
        <w:rPr>
          <w:rFonts w:ascii="Book Antiqua" w:hAnsi="Book Antiqua"/>
          <w:spacing w:val="45"/>
        </w:rPr>
        <w:t xml:space="preserve"> </w:t>
      </w:r>
      <w:r w:rsidRPr="00E3232D">
        <w:rPr>
          <w:rFonts w:ascii="Book Antiqua" w:hAnsi="Book Antiqua"/>
        </w:rPr>
        <w:t>D</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e</w:t>
      </w:r>
      <w:r w:rsidRPr="00E3232D">
        <w:rPr>
          <w:rFonts w:ascii="Book Antiqua" w:hAnsi="Book Antiqua"/>
        </w:rPr>
        <w:t>lop</w:t>
      </w:r>
      <w:r w:rsidRPr="00E3232D">
        <w:rPr>
          <w:rFonts w:ascii="Book Antiqua" w:hAnsi="Book Antiqua"/>
          <w:spacing w:val="1"/>
        </w:rPr>
        <w:t>m</w:t>
      </w:r>
      <w:r w:rsidRPr="00E3232D">
        <w:rPr>
          <w:rFonts w:ascii="Book Antiqua" w:hAnsi="Book Antiqua"/>
          <w:spacing w:val="-1"/>
        </w:rPr>
        <w:t>e</w:t>
      </w:r>
      <w:r w:rsidRPr="00E3232D">
        <w:rPr>
          <w:rFonts w:ascii="Book Antiqua" w:hAnsi="Book Antiqua"/>
        </w:rPr>
        <w:t>nt p</w:t>
      </w:r>
      <w:r w:rsidRPr="00E3232D">
        <w:rPr>
          <w:rFonts w:ascii="Book Antiqua" w:hAnsi="Book Antiqua"/>
          <w:spacing w:val="-1"/>
        </w:rPr>
        <w:t>r</w:t>
      </w:r>
      <w:r w:rsidRPr="00E3232D">
        <w:rPr>
          <w:rFonts w:ascii="Book Antiqua" w:hAnsi="Book Antiqua"/>
        </w:rPr>
        <w:t>o</w:t>
      </w:r>
      <w:r w:rsidRPr="00E3232D">
        <w:rPr>
          <w:rFonts w:ascii="Book Antiqua" w:hAnsi="Book Antiqua"/>
          <w:spacing w:val="-1"/>
        </w:rPr>
        <w:t>ce</w:t>
      </w:r>
      <w:r w:rsidRPr="00E3232D">
        <w:rPr>
          <w:rFonts w:ascii="Book Antiqua" w:hAnsi="Book Antiqua"/>
        </w:rPr>
        <w:t>ss. The</w:t>
      </w:r>
      <w:r w:rsidRPr="00E3232D">
        <w:rPr>
          <w:rFonts w:ascii="Book Antiqua" w:hAnsi="Book Antiqua"/>
          <w:spacing w:val="1"/>
        </w:rPr>
        <w:t xml:space="preserve"> </w:t>
      </w:r>
      <w:r w:rsidRPr="00E3232D">
        <w:rPr>
          <w:rFonts w:ascii="Book Antiqua" w:hAnsi="Book Antiqua"/>
          <w:spacing w:val="-1"/>
        </w:rPr>
        <w:t>c</w:t>
      </w:r>
      <w:r w:rsidRPr="00E3232D">
        <w:rPr>
          <w:rFonts w:ascii="Book Antiqua" w:hAnsi="Book Antiqua"/>
        </w:rPr>
        <w:t>ouri</w:t>
      </w:r>
      <w:r w:rsidRPr="00E3232D">
        <w:rPr>
          <w:rFonts w:ascii="Book Antiqua" w:hAnsi="Book Antiqua"/>
          <w:spacing w:val="1"/>
        </w:rPr>
        <w:t>e</w:t>
      </w:r>
      <w:r w:rsidRPr="00E3232D">
        <w:rPr>
          <w:rFonts w:ascii="Book Antiqua" w:hAnsi="Book Antiqua"/>
        </w:rPr>
        <w:t xml:space="preserve">r </w:t>
      </w:r>
      <w:r w:rsidRPr="00E3232D">
        <w:rPr>
          <w:rFonts w:ascii="Book Antiqua" w:hAnsi="Book Antiqua"/>
          <w:spacing w:val="-1"/>
        </w:rPr>
        <w:t>N</w:t>
      </w:r>
      <w:r w:rsidRPr="00E3232D">
        <w:rPr>
          <w:rFonts w:ascii="Book Antiqua" w:hAnsi="Book Antiqua"/>
        </w:rPr>
        <w:t>o.</w:t>
      </w:r>
      <w:r w:rsidRPr="00E3232D">
        <w:rPr>
          <w:rFonts w:ascii="Book Antiqua" w:hAnsi="Book Antiqua"/>
          <w:spacing w:val="2"/>
        </w:rPr>
        <w:t xml:space="preserve"> </w:t>
      </w:r>
      <w:r w:rsidRPr="00E3232D">
        <w:rPr>
          <w:rFonts w:ascii="Book Antiqua" w:hAnsi="Book Antiqua"/>
        </w:rPr>
        <w:t>115.</w:t>
      </w:r>
    </w:p>
    <w:p w14:paraId="61BF2879" w14:textId="77777777" w:rsidR="0057286B" w:rsidRPr="00E3232D" w:rsidRDefault="0057286B" w:rsidP="00465AE3">
      <w:pPr>
        <w:widowControl w:val="0"/>
        <w:autoSpaceDE w:val="0"/>
        <w:autoSpaceDN w:val="0"/>
        <w:adjustRightInd w:val="0"/>
        <w:ind w:left="720" w:right="567" w:hanging="720"/>
        <w:jc w:val="both"/>
        <w:rPr>
          <w:rFonts w:ascii="Book Antiqua" w:hAnsi="Book Antiqua"/>
        </w:rPr>
      </w:pPr>
      <w:r w:rsidRPr="00E3232D">
        <w:rPr>
          <w:rFonts w:ascii="Book Antiqua" w:hAnsi="Book Antiqua"/>
        </w:rPr>
        <w:t xml:space="preserve">  De</w:t>
      </w:r>
      <w:r w:rsidRPr="00E3232D">
        <w:rPr>
          <w:rFonts w:ascii="Book Antiqua" w:hAnsi="Book Antiqua"/>
          <w:spacing w:val="6"/>
        </w:rPr>
        <w:t xml:space="preserve"> </w:t>
      </w:r>
      <w:r w:rsidRPr="00E3232D">
        <w:rPr>
          <w:rFonts w:ascii="Book Antiqua" w:hAnsi="Book Antiqua"/>
          <w:spacing w:val="1"/>
        </w:rPr>
        <w:t>S</w:t>
      </w:r>
      <w:r w:rsidRPr="00E3232D">
        <w:rPr>
          <w:rFonts w:ascii="Book Antiqua" w:hAnsi="Book Antiqua"/>
        </w:rPr>
        <w:t>oto,</w:t>
      </w:r>
      <w:r w:rsidRPr="00E3232D">
        <w:rPr>
          <w:rFonts w:ascii="Book Antiqua" w:hAnsi="Book Antiqua"/>
          <w:spacing w:val="7"/>
        </w:rPr>
        <w:t xml:space="preserve"> </w:t>
      </w:r>
      <w:r w:rsidRPr="00E3232D">
        <w:rPr>
          <w:rFonts w:ascii="Book Antiqua" w:hAnsi="Book Antiqua"/>
        </w:rPr>
        <w:t>H.</w:t>
      </w:r>
      <w:r w:rsidRPr="00E3232D">
        <w:rPr>
          <w:rFonts w:ascii="Book Antiqua" w:hAnsi="Book Antiqua"/>
          <w:spacing w:val="6"/>
        </w:rPr>
        <w:t xml:space="preserve"> </w:t>
      </w:r>
      <w:r w:rsidRPr="00E3232D">
        <w:rPr>
          <w:rFonts w:ascii="Book Antiqua" w:hAnsi="Book Antiqua"/>
        </w:rPr>
        <w:t>(198</w:t>
      </w:r>
      <w:r w:rsidRPr="00E3232D">
        <w:rPr>
          <w:rFonts w:ascii="Book Antiqua" w:hAnsi="Book Antiqua"/>
          <w:spacing w:val="-1"/>
        </w:rPr>
        <w:t>7</w:t>
      </w:r>
      <w:r w:rsidRPr="00E3232D">
        <w:rPr>
          <w:rFonts w:ascii="Book Antiqua" w:hAnsi="Book Antiqua"/>
        </w:rPr>
        <w:t>).</w:t>
      </w:r>
      <w:r w:rsidRPr="00E3232D">
        <w:rPr>
          <w:rFonts w:ascii="Book Antiqua" w:hAnsi="Book Antiqua"/>
          <w:spacing w:val="6"/>
        </w:rPr>
        <w:t xml:space="preserve"> </w:t>
      </w:r>
      <w:r w:rsidRPr="00E3232D">
        <w:rPr>
          <w:rFonts w:ascii="Book Antiqua" w:hAnsi="Book Antiqua"/>
        </w:rPr>
        <w:t>The</w:t>
      </w:r>
      <w:r w:rsidRPr="00E3232D">
        <w:rPr>
          <w:rFonts w:ascii="Book Antiqua" w:hAnsi="Book Antiqua"/>
          <w:spacing w:val="8"/>
        </w:rPr>
        <w:t xml:space="preserve"> </w:t>
      </w:r>
      <w:r w:rsidRPr="00E3232D">
        <w:rPr>
          <w:rFonts w:ascii="Book Antiqua" w:hAnsi="Book Antiqua"/>
        </w:rPr>
        <w:t>other</w:t>
      </w:r>
      <w:r w:rsidRPr="00E3232D">
        <w:rPr>
          <w:rFonts w:ascii="Book Antiqua" w:hAnsi="Book Antiqua"/>
          <w:spacing w:val="6"/>
        </w:rPr>
        <w:t xml:space="preserve"> </w:t>
      </w:r>
      <w:r w:rsidRPr="00E3232D">
        <w:rPr>
          <w:rFonts w:ascii="Book Antiqua" w:hAnsi="Book Antiqua"/>
        </w:rPr>
        <w:t>p</w:t>
      </w:r>
      <w:r w:rsidRPr="00E3232D">
        <w:rPr>
          <w:rFonts w:ascii="Book Antiqua" w:hAnsi="Book Antiqua"/>
          <w:spacing w:val="-1"/>
        </w:rPr>
        <w:t>a</w:t>
      </w:r>
      <w:r w:rsidRPr="00E3232D">
        <w:rPr>
          <w:rFonts w:ascii="Book Antiqua" w:hAnsi="Book Antiqua"/>
        </w:rPr>
        <w:t>th:</w:t>
      </w:r>
      <w:r w:rsidRPr="00E3232D">
        <w:rPr>
          <w:rFonts w:ascii="Book Antiqua" w:hAnsi="Book Antiqua"/>
          <w:spacing w:val="8"/>
        </w:rPr>
        <w:t xml:space="preserve"> </w:t>
      </w:r>
      <w:r w:rsidRPr="00E3232D">
        <w:rPr>
          <w:rFonts w:ascii="Book Antiqua" w:hAnsi="Book Antiqua"/>
        </w:rPr>
        <w:t>the</w:t>
      </w:r>
      <w:r w:rsidRPr="00E3232D">
        <w:rPr>
          <w:rFonts w:ascii="Book Antiqua" w:hAnsi="Book Antiqua"/>
          <w:spacing w:val="9"/>
        </w:rPr>
        <w:t xml:space="preserve"> </w:t>
      </w:r>
      <w:r w:rsidRPr="00E3232D">
        <w:rPr>
          <w:rFonts w:ascii="Book Antiqua" w:hAnsi="Book Antiqua"/>
          <w:spacing w:val="-6"/>
        </w:rPr>
        <w:t>I</w:t>
      </w:r>
      <w:r w:rsidRPr="00E3232D">
        <w:rPr>
          <w:rFonts w:ascii="Book Antiqua" w:hAnsi="Book Antiqua"/>
        </w:rPr>
        <w:t>nvis</w:t>
      </w:r>
      <w:r w:rsidRPr="00E3232D">
        <w:rPr>
          <w:rFonts w:ascii="Book Antiqua" w:hAnsi="Book Antiqua"/>
          <w:spacing w:val="1"/>
        </w:rPr>
        <w:t>i</w:t>
      </w:r>
      <w:r w:rsidRPr="00E3232D">
        <w:rPr>
          <w:rFonts w:ascii="Book Antiqua" w:hAnsi="Book Antiqua"/>
        </w:rPr>
        <w:t>ble</w:t>
      </w:r>
      <w:r w:rsidRPr="00E3232D">
        <w:rPr>
          <w:rFonts w:ascii="Book Antiqua" w:hAnsi="Book Antiqua"/>
          <w:spacing w:val="9"/>
        </w:rPr>
        <w:t xml:space="preserve"> </w:t>
      </w:r>
      <w:r w:rsidRPr="00E3232D">
        <w:rPr>
          <w:rFonts w:ascii="Book Antiqua" w:hAnsi="Book Antiqua"/>
        </w:rPr>
        <w:t>R</w:t>
      </w:r>
      <w:r w:rsidRPr="00E3232D">
        <w:rPr>
          <w:rFonts w:ascii="Book Antiqua" w:hAnsi="Book Antiqua"/>
          <w:spacing w:val="-1"/>
        </w:rPr>
        <w:t>e</w:t>
      </w:r>
      <w:r w:rsidRPr="00E3232D">
        <w:rPr>
          <w:rFonts w:ascii="Book Antiqua" w:hAnsi="Book Antiqua"/>
        </w:rPr>
        <w:t>volu</w:t>
      </w:r>
      <w:r w:rsidRPr="00E3232D">
        <w:rPr>
          <w:rFonts w:ascii="Book Antiqua" w:hAnsi="Book Antiqua"/>
          <w:spacing w:val="1"/>
        </w:rPr>
        <w:t>t</w:t>
      </w:r>
      <w:r w:rsidRPr="00E3232D">
        <w:rPr>
          <w:rFonts w:ascii="Book Antiqua" w:hAnsi="Book Antiqua"/>
        </w:rPr>
        <w:t>ion</w:t>
      </w:r>
      <w:r w:rsidRPr="00E3232D">
        <w:rPr>
          <w:rFonts w:ascii="Book Antiqua" w:hAnsi="Book Antiqua"/>
          <w:spacing w:val="7"/>
        </w:rPr>
        <w:t xml:space="preserve"> </w:t>
      </w:r>
      <w:r w:rsidRPr="00E3232D">
        <w:rPr>
          <w:rFonts w:ascii="Book Antiqua" w:hAnsi="Book Antiqua"/>
        </w:rPr>
        <w:t>in</w:t>
      </w:r>
      <w:r w:rsidRPr="00E3232D">
        <w:rPr>
          <w:rFonts w:ascii="Book Antiqua" w:hAnsi="Book Antiqua"/>
          <w:spacing w:val="7"/>
        </w:rPr>
        <w:t xml:space="preserve"> </w:t>
      </w:r>
      <w:r w:rsidRPr="00E3232D">
        <w:rPr>
          <w:rFonts w:ascii="Book Antiqua" w:hAnsi="Book Antiqua"/>
        </w:rPr>
        <w:t>the</w:t>
      </w:r>
      <w:r w:rsidRPr="00E3232D">
        <w:rPr>
          <w:rFonts w:ascii="Book Antiqua" w:hAnsi="Book Antiqua"/>
          <w:spacing w:val="6"/>
        </w:rPr>
        <w:t xml:space="preserve"> </w:t>
      </w:r>
      <w:r w:rsidRPr="00E3232D">
        <w:rPr>
          <w:rFonts w:ascii="Book Antiqua" w:hAnsi="Book Antiqua"/>
        </w:rPr>
        <w:t>Third</w:t>
      </w:r>
      <w:r w:rsidRPr="00E3232D">
        <w:rPr>
          <w:rFonts w:ascii="Book Antiqua" w:hAnsi="Book Antiqua"/>
          <w:spacing w:val="4"/>
        </w:rPr>
        <w:t xml:space="preserve"> </w:t>
      </w:r>
      <w:r w:rsidRPr="00E3232D">
        <w:rPr>
          <w:rFonts w:ascii="Book Antiqua" w:hAnsi="Book Antiqua"/>
          <w:spacing w:val="1"/>
        </w:rPr>
        <w:t>W</w:t>
      </w:r>
      <w:r w:rsidRPr="00E3232D">
        <w:rPr>
          <w:rFonts w:ascii="Book Antiqua" w:hAnsi="Book Antiqua"/>
        </w:rPr>
        <w:t>o</w:t>
      </w:r>
      <w:r w:rsidRPr="00E3232D">
        <w:rPr>
          <w:rFonts w:ascii="Book Antiqua" w:hAnsi="Book Antiqua"/>
          <w:spacing w:val="-1"/>
        </w:rPr>
        <w:t>r</w:t>
      </w:r>
      <w:r w:rsidRPr="00E3232D">
        <w:rPr>
          <w:rFonts w:ascii="Book Antiqua" w:hAnsi="Book Antiqua"/>
        </w:rPr>
        <w:t>ld,</w:t>
      </w:r>
      <w:r w:rsidRPr="00E3232D">
        <w:rPr>
          <w:rFonts w:ascii="Book Antiqua" w:hAnsi="Book Antiqua"/>
          <w:spacing w:val="7"/>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rPr>
        <w:t>rp</w:t>
      </w:r>
      <w:r w:rsidRPr="00E3232D">
        <w:rPr>
          <w:rFonts w:ascii="Book Antiqua" w:hAnsi="Book Antiqua"/>
          <w:spacing w:val="-2"/>
        </w:rPr>
        <w:t>e</w:t>
      </w:r>
      <w:r w:rsidRPr="00E3232D">
        <w:rPr>
          <w:rFonts w:ascii="Book Antiqua" w:hAnsi="Book Antiqua"/>
        </w:rPr>
        <w:t xml:space="preserve">rs </w:t>
      </w:r>
      <w:r w:rsidRPr="00E3232D">
        <w:rPr>
          <w:rFonts w:ascii="Book Antiqua" w:hAnsi="Book Antiqua"/>
          <w:spacing w:val="-1"/>
        </w:rPr>
        <w:t>a</w:t>
      </w:r>
      <w:r w:rsidRPr="00E3232D">
        <w:rPr>
          <w:rFonts w:ascii="Book Antiqua" w:hAnsi="Book Antiqua"/>
        </w:rPr>
        <w:t xml:space="preserve">nd Row, </w:t>
      </w:r>
      <w:r w:rsidRPr="00E3232D">
        <w:rPr>
          <w:rFonts w:ascii="Book Antiqua" w:hAnsi="Book Antiqua"/>
          <w:spacing w:val="-1"/>
        </w:rPr>
        <w:t>Ne</w:t>
      </w:r>
      <w:r w:rsidRPr="00E3232D">
        <w:rPr>
          <w:rFonts w:ascii="Book Antiqua" w:hAnsi="Book Antiqua"/>
        </w:rPr>
        <w:t xml:space="preserve">w </w:t>
      </w:r>
      <w:r w:rsidRPr="00E3232D">
        <w:rPr>
          <w:rFonts w:ascii="Book Antiqua" w:hAnsi="Book Antiqua"/>
          <w:spacing w:val="-1"/>
        </w:rPr>
        <w:t>Y</w:t>
      </w:r>
      <w:r w:rsidRPr="00E3232D">
        <w:rPr>
          <w:rFonts w:ascii="Book Antiqua" w:hAnsi="Book Antiqua"/>
          <w:spacing w:val="2"/>
        </w:rPr>
        <w:t>o</w:t>
      </w:r>
      <w:r w:rsidRPr="00E3232D">
        <w:rPr>
          <w:rFonts w:ascii="Book Antiqua" w:hAnsi="Book Antiqua"/>
        </w:rPr>
        <w:t>rk.</w:t>
      </w:r>
    </w:p>
    <w:p w14:paraId="7D80A429" w14:textId="77777777" w:rsidR="0057286B" w:rsidRPr="00E3232D" w:rsidRDefault="0057286B" w:rsidP="00465AE3">
      <w:pPr>
        <w:widowControl w:val="0"/>
        <w:autoSpaceDE w:val="0"/>
        <w:autoSpaceDN w:val="0"/>
        <w:adjustRightInd w:val="0"/>
        <w:ind w:left="720" w:right="624" w:hanging="720"/>
        <w:jc w:val="both"/>
        <w:rPr>
          <w:rFonts w:ascii="Book Antiqua" w:hAnsi="Book Antiqua"/>
        </w:rPr>
      </w:pPr>
      <w:r w:rsidRPr="00E3232D">
        <w:rPr>
          <w:rFonts w:ascii="Book Antiqua" w:hAnsi="Book Antiqua"/>
        </w:rPr>
        <w:t xml:space="preserve">  H</w:t>
      </w:r>
      <w:r w:rsidRPr="00E3232D">
        <w:rPr>
          <w:rFonts w:ascii="Book Antiqua" w:hAnsi="Book Antiqua"/>
          <w:spacing w:val="-1"/>
        </w:rPr>
        <w:t>a</w:t>
      </w:r>
      <w:r w:rsidRPr="00E3232D">
        <w:rPr>
          <w:rFonts w:ascii="Book Antiqua" w:hAnsi="Book Antiqua"/>
        </w:rPr>
        <w:t>k</w:t>
      </w:r>
      <w:r w:rsidRPr="00E3232D">
        <w:rPr>
          <w:rFonts w:ascii="Book Antiqua" w:hAnsi="Book Antiqua"/>
          <w:spacing w:val="-1"/>
        </w:rPr>
        <w:t>a</w:t>
      </w:r>
      <w:r w:rsidRPr="00E3232D">
        <w:rPr>
          <w:rFonts w:ascii="Book Antiqua" w:hAnsi="Book Antiqua"/>
        </w:rPr>
        <w:t>m,</w:t>
      </w:r>
      <w:r w:rsidRPr="00E3232D">
        <w:rPr>
          <w:rFonts w:ascii="Book Antiqua" w:hAnsi="Book Antiqua"/>
          <w:spacing w:val="7"/>
        </w:rPr>
        <w:t xml:space="preserve"> </w:t>
      </w:r>
      <w:r w:rsidRPr="00E3232D">
        <w:rPr>
          <w:rFonts w:ascii="Book Antiqua" w:hAnsi="Book Antiqua"/>
        </w:rPr>
        <w:t>Ali</w:t>
      </w:r>
      <w:r w:rsidRPr="00E3232D">
        <w:rPr>
          <w:rFonts w:ascii="Book Antiqua" w:hAnsi="Book Antiqua"/>
          <w:spacing w:val="7"/>
        </w:rPr>
        <w:t xml:space="preserve"> </w:t>
      </w:r>
      <w:r w:rsidRPr="00E3232D">
        <w:rPr>
          <w:rFonts w:ascii="Book Antiqua" w:hAnsi="Book Antiqua"/>
        </w:rPr>
        <w:t>N.</w:t>
      </w:r>
      <w:r w:rsidRPr="00E3232D">
        <w:rPr>
          <w:rFonts w:ascii="Book Antiqua" w:hAnsi="Book Antiqua"/>
          <w:spacing w:val="9"/>
        </w:rPr>
        <w:t xml:space="preserve"> </w:t>
      </w:r>
      <w:r w:rsidRPr="00E3232D">
        <w:rPr>
          <w:rFonts w:ascii="Book Antiqua" w:hAnsi="Book Antiqua"/>
        </w:rPr>
        <w:t>(197</w:t>
      </w:r>
      <w:r w:rsidRPr="00E3232D">
        <w:rPr>
          <w:rFonts w:ascii="Book Antiqua" w:hAnsi="Book Antiqua"/>
          <w:spacing w:val="-1"/>
        </w:rPr>
        <w:t>8</w:t>
      </w:r>
      <w:r w:rsidRPr="00E3232D">
        <w:rPr>
          <w:rFonts w:ascii="Book Antiqua" w:hAnsi="Book Antiqua"/>
        </w:rPr>
        <w:t>).</w:t>
      </w:r>
      <w:r w:rsidRPr="00E3232D">
        <w:rPr>
          <w:rFonts w:ascii="Book Antiqua" w:hAnsi="Book Antiqua"/>
          <w:spacing w:val="8"/>
        </w:rPr>
        <w:t xml:space="preserve"> </w:t>
      </w:r>
      <w:r w:rsidRPr="00E3232D">
        <w:rPr>
          <w:rFonts w:ascii="Book Antiqua" w:hAnsi="Book Antiqua"/>
          <w:spacing w:val="2"/>
        </w:rPr>
        <w:t>T</w:t>
      </w:r>
      <w:r w:rsidRPr="00E3232D">
        <w:rPr>
          <w:rFonts w:ascii="Book Antiqua" w:hAnsi="Book Antiqua"/>
          <w:spacing w:val="-1"/>
        </w:rPr>
        <w:t>ec</w:t>
      </w:r>
      <w:r w:rsidRPr="00E3232D">
        <w:rPr>
          <w:rFonts w:ascii="Book Antiqua" w:hAnsi="Book Antiqua"/>
        </w:rPr>
        <w:t>hnol</w:t>
      </w:r>
      <w:r w:rsidRPr="00E3232D">
        <w:rPr>
          <w:rFonts w:ascii="Book Antiqua" w:hAnsi="Book Antiqua"/>
          <w:spacing w:val="3"/>
        </w:rPr>
        <w:t>o</w:t>
      </w:r>
      <w:r w:rsidRPr="00E3232D">
        <w:rPr>
          <w:rFonts w:ascii="Book Antiqua" w:hAnsi="Book Antiqua"/>
          <w:spacing w:val="2"/>
        </w:rPr>
        <w:t>g</w:t>
      </w:r>
      <w:r w:rsidRPr="00E3232D">
        <w:rPr>
          <w:rFonts w:ascii="Book Antiqua" w:hAnsi="Book Antiqua"/>
        </w:rPr>
        <w:t>y</w:t>
      </w:r>
      <w:r w:rsidRPr="00E3232D">
        <w:rPr>
          <w:rFonts w:ascii="Book Antiqua" w:hAnsi="Book Antiqua"/>
          <w:spacing w:val="2"/>
        </w:rPr>
        <w:t xml:space="preserve"> </w:t>
      </w:r>
      <w:r w:rsidRPr="00E3232D">
        <w:rPr>
          <w:rFonts w:ascii="Book Antiqua" w:hAnsi="Book Antiqua"/>
        </w:rPr>
        <w:t>dif</w:t>
      </w:r>
      <w:r w:rsidRPr="00E3232D">
        <w:rPr>
          <w:rFonts w:ascii="Book Antiqua" w:hAnsi="Book Antiqua"/>
          <w:spacing w:val="-1"/>
        </w:rPr>
        <w:t>f</w:t>
      </w:r>
      <w:r w:rsidRPr="00E3232D">
        <w:rPr>
          <w:rFonts w:ascii="Book Antiqua" w:hAnsi="Book Antiqua"/>
        </w:rPr>
        <w:t>usion</w:t>
      </w:r>
      <w:r w:rsidRPr="00E3232D">
        <w:rPr>
          <w:rFonts w:ascii="Book Antiqua" w:hAnsi="Book Antiqua"/>
          <w:spacing w:val="10"/>
        </w:rPr>
        <w:t xml:space="preserve"> </w:t>
      </w:r>
      <w:r w:rsidRPr="00E3232D">
        <w:rPr>
          <w:rFonts w:ascii="Book Antiqua" w:hAnsi="Book Antiqua"/>
        </w:rPr>
        <w:t>f</w:t>
      </w:r>
      <w:r w:rsidRPr="00E3232D">
        <w:rPr>
          <w:rFonts w:ascii="Book Antiqua" w:hAnsi="Book Antiqua"/>
          <w:spacing w:val="-1"/>
        </w:rPr>
        <w:t>r</w:t>
      </w:r>
      <w:r w:rsidRPr="00E3232D">
        <w:rPr>
          <w:rFonts w:ascii="Book Antiqua" w:hAnsi="Book Antiqua"/>
          <w:spacing w:val="2"/>
        </w:rPr>
        <w:t>o</w:t>
      </w:r>
      <w:r w:rsidRPr="00E3232D">
        <w:rPr>
          <w:rFonts w:ascii="Book Antiqua" w:hAnsi="Book Antiqua"/>
        </w:rPr>
        <w:t>m</w:t>
      </w:r>
      <w:r w:rsidRPr="00E3232D">
        <w:rPr>
          <w:rFonts w:ascii="Book Antiqua" w:hAnsi="Book Antiqua"/>
          <w:spacing w:val="7"/>
        </w:rPr>
        <w:t xml:space="preserve"> </w:t>
      </w:r>
      <w:r w:rsidRPr="00E3232D">
        <w:rPr>
          <w:rFonts w:ascii="Book Antiqua" w:hAnsi="Book Antiqua"/>
        </w:rPr>
        <w:t>t</w:t>
      </w:r>
      <w:r w:rsidRPr="00E3232D">
        <w:rPr>
          <w:rFonts w:ascii="Book Antiqua" w:hAnsi="Book Antiqua"/>
          <w:spacing w:val="5"/>
        </w:rPr>
        <w:t>h</w:t>
      </w:r>
      <w:r w:rsidRPr="00E3232D">
        <w:rPr>
          <w:rFonts w:ascii="Book Antiqua" w:hAnsi="Book Antiqua"/>
        </w:rPr>
        <w:t>e</w:t>
      </w:r>
      <w:r w:rsidRPr="00E3232D">
        <w:rPr>
          <w:rFonts w:ascii="Book Antiqua" w:hAnsi="Book Antiqua"/>
          <w:spacing w:val="6"/>
        </w:rPr>
        <w:t xml:space="preserve"> </w:t>
      </w:r>
      <w:r w:rsidRPr="00E3232D">
        <w:rPr>
          <w:rFonts w:ascii="Book Antiqua" w:hAnsi="Book Antiqua"/>
        </w:rPr>
        <w:t>fo</w:t>
      </w:r>
      <w:r w:rsidRPr="00E3232D">
        <w:rPr>
          <w:rFonts w:ascii="Book Antiqua" w:hAnsi="Book Antiqua"/>
          <w:spacing w:val="-1"/>
        </w:rPr>
        <w:t>r</w:t>
      </w:r>
      <w:r w:rsidRPr="00E3232D">
        <w:rPr>
          <w:rFonts w:ascii="Book Antiqua" w:hAnsi="Book Antiqua"/>
        </w:rPr>
        <w:t>mal</w:t>
      </w:r>
      <w:r w:rsidRPr="00E3232D">
        <w:rPr>
          <w:rFonts w:ascii="Book Antiqua" w:hAnsi="Book Antiqua"/>
          <w:spacing w:val="7"/>
        </w:rPr>
        <w:t xml:space="preserve"> </w:t>
      </w:r>
      <w:r w:rsidRPr="00E3232D">
        <w:rPr>
          <w:rFonts w:ascii="Book Antiqua" w:hAnsi="Book Antiqua"/>
        </w:rPr>
        <w:t>to</w:t>
      </w:r>
      <w:r w:rsidRPr="00E3232D">
        <w:rPr>
          <w:rFonts w:ascii="Book Antiqua" w:hAnsi="Book Antiqua"/>
          <w:spacing w:val="7"/>
        </w:rPr>
        <w:t xml:space="preserve"> </w:t>
      </w:r>
      <w:r w:rsidRPr="00E3232D">
        <w:rPr>
          <w:rFonts w:ascii="Book Antiqua" w:hAnsi="Book Antiqua"/>
        </w:rPr>
        <w:t>t</w:t>
      </w:r>
      <w:r w:rsidRPr="00E3232D">
        <w:rPr>
          <w:rFonts w:ascii="Book Antiqua" w:hAnsi="Book Antiqua"/>
          <w:spacing w:val="3"/>
        </w:rPr>
        <w:t>h</w:t>
      </w:r>
      <w:r w:rsidRPr="00E3232D">
        <w:rPr>
          <w:rFonts w:ascii="Book Antiqua" w:hAnsi="Book Antiqua"/>
        </w:rPr>
        <w:t>e</w:t>
      </w:r>
      <w:r w:rsidRPr="00E3232D">
        <w:rPr>
          <w:rFonts w:ascii="Book Antiqua" w:hAnsi="Book Antiqua"/>
          <w:spacing w:val="6"/>
        </w:rPr>
        <w:t xml:space="preserve"> </w:t>
      </w:r>
      <w:r w:rsidRPr="00E3232D">
        <w:rPr>
          <w:rFonts w:ascii="Book Antiqua" w:hAnsi="Book Antiqua"/>
        </w:rPr>
        <w:t>info</w:t>
      </w:r>
      <w:r w:rsidRPr="00E3232D">
        <w:rPr>
          <w:rFonts w:ascii="Book Antiqua" w:hAnsi="Book Antiqua"/>
          <w:spacing w:val="1"/>
        </w:rPr>
        <w:t>r</w:t>
      </w:r>
      <w:r w:rsidRPr="00E3232D">
        <w:rPr>
          <w:rFonts w:ascii="Book Antiqua" w:hAnsi="Book Antiqua"/>
        </w:rPr>
        <w:t>mal</w:t>
      </w:r>
      <w:r w:rsidRPr="00E3232D">
        <w:rPr>
          <w:rFonts w:ascii="Book Antiqua" w:hAnsi="Book Antiqua"/>
          <w:spacing w:val="7"/>
        </w:rPr>
        <w:t xml:space="preserve"> </w:t>
      </w:r>
      <w:r w:rsidRPr="00E3232D">
        <w:rPr>
          <w:rFonts w:ascii="Book Antiqua" w:hAnsi="Book Antiqua"/>
          <w:spacing w:val="1"/>
        </w:rPr>
        <w:t>S</w:t>
      </w:r>
      <w:r w:rsidRPr="00E3232D">
        <w:rPr>
          <w:rFonts w:ascii="Book Antiqua" w:hAnsi="Book Antiqua"/>
          <w:spacing w:val="-1"/>
        </w:rPr>
        <w:t>ec</w:t>
      </w:r>
      <w:r w:rsidRPr="00E3232D">
        <w:rPr>
          <w:rFonts w:ascii="Book Antiqua" w:hAnsi="Book Antiqua"/>
        </w:rPr>
        <w:t>tor.</w:t>
      </w:r>
      <w:r w:rsidRPr="00E3232D">
        <w:rPr>
          <w:rFonts w:ascii="Book Antiqua" w:hAnsi="Book Antiqua"/>
          <w:spacing w:val="7"/>
        </w:rPr>
        <w:t xml:space="preserve"> </w:t>
      </w:r>
      <w:r w:rsidRPr="00E3232D">
        <w:rPr>
          <w:rFonts w:ascii="Book Antiqua" w:hAnsi="Book Antiqua"/>
        </w:rPr>
        <w:t xml:space="preserve">The </w:t>
      </w:r>
      <w:r w:rsidRPr="00E3232D">
        <w:rPr>
          <w:rFonts w:ascii="Book Antiqua" w:hAnsi="Book Antiqua"/>
          <w:spacing w:val="-1"/>
        </w:rPr>
        <w:t>ca</w:t>
      </w:r>
      <w:r w:rsidRPr="00E3232D">
        <w:rPr>
          <w:rFonts w:ascii="Book Antiqua" w:hAnsi="Book Antiqua"/>
        </w:rPr>
        <w:t>se</w:t>
      </w:r>
      <w:r w:rsidRPr="00E3232D">
        <w:rPr>
          <w:rFonts w:ascii="Book Antiqua" w:hAnsi="Book Antiqua"/>
          <w:spacing w:val="-1"/>
        </w:rPr>
        <w:t xml:space="preserve"> </w:t>
      </w:r>
      <w:r w:rsidRPr="00E3232D">
        <w:rPr>
          <w:rFonts w:ascii="Book Antiqua" w:hAnsi="Book Antiqua"/>
        </w:rPr>
        <w:t>stu</w:t>
      </w:r>
      <w:r w:rsidRPr="00E3232D">
        <w:rPr>
          <w:rFonts w:ascii="Book Antiqua" w:hAnsi="Book Antiqua"/>
          <w:spacing w:val="5"/>
        </w:rPr>
        <w:t>d</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rPr>
        <w:t>of the</w:t>
      </w:r>
      <w:r w:rsidRPr="00E3232D">
        <w:rPr>
          <w:rFonts w:ascii="Book Antiqua" w:hAnsi="Book Antiqua"/>
          <w:spacing w:val="1"/>
        </w:rPr>
        <w:t xml:space="preserve"> </w:t>
      </w:r>
      <w:r w:rsidRPr="00E3232D">
        <w:rPr>
          <w:rFonts w:ascii="Book Antiqua" w:hAnsi="Book Antiqua"/>
        </w:rPr>
        <w:t xml:space="preserve">Auto </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p</w:t>
      </w:r>
      <w:r w:rsidRPr="00E3232D">
        <w:rPr>
          <w:rFonts w:ascii="Book Antiqua" w:hAnsi="Book Antiqua"/>
          <w:spacing w:val="-1"/>
        </w:rPr>
        <w:t>a</w:t>
      </w:r>
      <w:r w:rsidRPr="00E3232D">
        <w:rPr>
          <w:rFonts w:ascii="Book Antiqua" w:hAnsi="Book Antiqua"/>
        </w:rPr>
        <w:t>ir indus</w:t>
      </w:r>
      <w:r w:rsidRPr="00E3232D">
        <w:rPr>
          <w:rFonts w:ascii="Book Antiqua" w:hAnsi="Book Antiqua"/>
          <w:spacing w:val="1"/>
        </w:rPr>
        <w:t>tr</w:t>
      </w:r>
      <w:r w:rsidRPr="00E3232D">
        <w:rPr>
          <w:rFonts w:ascii="Book Antiqua" w:hAnsi="Book Antiqua"/>
        </w:rPr>
        <w:t>y</w:t>
      </w:r>
      <w:r w:rsidRPr="00E3232D">
        <w:rPr>
          <w:rFonts w:ascii="Book Antiqua" w:hAnsi="Book Antiqua"/>
          <w:spacing w:val="-5"/>
        </w:rPr>
        <w:t xml:space="preserve"> </w:t>
      </w:r>
      <w:r w:rsidRPr="00E3232D">
        <w:rPr>
          <w:rFonts w:ascii="Book Antiqua" w:hAnsi="Book Antiqua"/>
        </w:rPr>
        <w:t>in G</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na</w:t>
      </w:r>
      <w:r w:rsidRPr="00E3232D">
        <w:rPr>
          <w:rFonts w:ascii="Book Antiqua" w:hAnsi="Book Antiqua"/>
          <w:spacing w:val="-1"/>
        </w:rPr>
        <w:t xml:space="preserve"> </w:t>
      </w:r>
      <w:r w:rsidRPr="00E3232D">
        <w:rPr>
          <w:rFonts w:ascii="Book Antiqua" w:hAnsi="Book Antiqua"/>
          <w:spacing w:val="1"/>
        </w:rPr>
        <w:t>(</w:t>
      </w:r>
      <w:r w:rsidRPr="00E3232D">
        <w:rPr>
          <w:rFonts w:ascii="Book Antiqua" w:hAnsi="Book Antiqua"/>
        </w:rPr>
        <w:t>G</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a</w:t>
      </w:r>
      <w:r w:rsidRPr="00E3232D">
        <w:rPr>
          <w:rFonts w:ascii="Book Antiqua" w:hAnsi="Book Antiqua"/>
        </w:rPr>
        <w:t>,</w:t>
      </w:r>
      <w:r w:rsidRPr="00E3232D">
        <w:rPr>
          <w:rFonts w:ascii="Book Antiqua" w:hAnsi="Book Antiqua"/>
          <w:spacing w:val="5"/>
        </w:rPr>
        <w:t xml:space="preserve"> </w:t>
      </w:r>
      <w:r w:rsidRPr="00E3232D">
        <w:rPr>
          <w:rFonts w:ascii="Book Antiqua" w:hAnsi="Book Antiqua"/>
        </w:rPr>
        <w:t>I</w:t>
      </w:r>
      <w:r w:rsidRPr="00E3232D">
        <w:rPr>
          <w:rFonts w:ascii="Book Antiqua" w:hAnsi="Book Antiqua"/>
          <w:spacing w:val="-3"/>
        </w:rPr>
        <w:t>L</w:t>
      </w:r>
      <w:r w:rsidRPr="00E3232D">
        <w:rPr>
          <w:rFonts w:ascii="Book Antiqua" w:hAnsi="Book Antiqua"/>
        </w:rPr>
        <w:t>O</w:t>
      </w:r>
      <w:r w:rsidRPr="00E3232D">
        <w:rPr>
          <w:rFonts w:ascii="Book Antiqua" w:hAnsi="Book Antiqua"/>
          <w:spacing w:val="-1"/>
        </w:rPr>
        <w:t>)</w:t>
      </w:r>
      <w:r w:rsidRPr="00E3232D">
        <w:rPr>
          <w:rFonts w:ascii="Book Antiqua" w:hAnsi="Book Antiqua"/>
        </w:rPr>
        <w:t>.</w:t>
      </w:r>
    </w:p>
    <w:p w14:paraId="4B26C2E9" w14:textId="77777777" w:rsidR="0057286B" w:rsidRPr="00E3232D" w:rsidRDefault="0057286B" w:rsidP="00465AE3">
      <w:pPr>
        <w:widowControl w:val="0"/>
        <w:autoSpaceDE w:val="0"/>
        <w:autoSpaceDN w:val="0"/>
        <w:adjustRightInd w:val="0"/>
        <w:ind w:left="720" w:right="794" w:hanging="720"/>
        <w:jc w:val="both"/>
        <w:rPr>
          <w:rFonts w:ascii="Book Antiqua" w:hAnsi="Book Antiqua"/>
        </w:rPr>
      </w:pPr>
      <w:r w:rsidRPr="00E3232D">
        <w:rPr>
          <w:rFonts w:ascii="Book Antiqua" w:hAnsi="Book Antiqua"/>
          <w:spacing w:val="-3"/>
        </w:rPr>
        <w:t xml:space="preserve">  IL</w:t>
      </w:r>
      <w:r w:rsidRPr="00E3232D">
        <w:rPr>
          <w:rFonts w:ascii="Book Antiqua" w:hAnsi="Book Antiqua"/>
          <w:spacing w:val="2"/>
        </w:rPr>
        <w:t>O</w:t>
      </w:r>
      <w:r w:rsidRPr="00E3232D">
        <w:rPr>
          <w:rFonts w:ascii="Book Antiqua" w:hAnsi="Book Antiqua"/>
        </w:rPr>
        <w:t>,</w:t>
      </w:r>
      <w:r w:rsidRPr="00E3232D">
        <w:rPr>
          <w:rFonts w:ascii="Book Antiqua" w:hAnsi="Book Antiqua"/>
          <w:spacing w:val="5"/>
        </w:rPr>
        <w:t xml:space="preserve"> </w:t>
      </w:r>
      <w:r w:rsidRPr="00E3232D">
        <w:rPr>
          <w:rFonts w:ascii="Book Antiqua" w:hAnsi="Book Antiqua"/>
        </w:rPr>
        <w:t>(1972)</w:t>
      </w:r>
      <w:r w:rsidRPr="00E3232D">
        <w:rPr>
          <w:rFonts w:ascii="Book Antiqua" w:hAnsi="Book Antiqua"/>
          <w:spacing w:val="4"/>
        </w:rPr>
        <w:t xml:space="preserve"> </w:t>
      </w:r>
      <w:r w:rsidRPr="00E3232D">
        <w:rPr>
          <w:rFonts w:ascii="Book Antiqua" w:hAnsi="Book Antiqua"/>
        </w:rPr>
        <w:t>Empl</w:t>
      </w:r>
      <w:r w:rsidRPr="00E3232D">
        <w:rPr>
          <w:rFonts w:ascii="Book Antiqua" w:hAnsi="Book Antiqua"/>
          <w:spacing w:val="2"/>
        </w:rPr>
        <w:t>o</w:t>
      </w:r>
      <w:r w:rsidRPr="00E3232D">
        <w:rPr>
          <w:rFonts w:ascii="Book Antiqua" w:hAnsi="Book Antiqua"/>
          <w:spacing w:val="-5"/>
        </w:rPr>
        <w:t>y</w:t>
      </w:r>
      <w:r w:rsidRPr="00E3232D">
        <w:rPr>
          <w:rFonts w:ascii="Book Antiqua" w:hAnsi="Book Antiqua"/>
        </w:rPr>
        <w:t>m</w:t>
      </w:r>
      <w:r w:rsidRPr="00E3232D">
        <w:rPr>
          <w:rFonts w:ascii="Book Antiqua" w:hAnsi="Book Antiqua"/>
          <w:spacing w:val="2"/>
        </w:rPr>
        <w:t>e</w:t>
      </w:r>
      <w:r w:rsidRPr="00E3232D">
        <w:rPr>
          <w:rFonts w:ascii="Book Antiqua" w:hAnsi="Book Antiqua"/>
        </w:rPr>
        <w:t>nt</w:t>
      </w:r>
      <w:r w:rsidRPr="00E3232D">
        <w:rPr>
          <w:rFonts w:ascii="Book Antiqua" w:hAnsi="Book Antiqua"/>
          <w:spacing w:val="5"/>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5"/>
        </w:rPr>
        <w:t xml:space="preserve"> </w:t>
      </w:r>
      <w:r w:rsidRPr="00E3232D">
        <w:rPr>
          <w:rFonts w:ascii="Book Antiqua" w:hAnsi="Book Antiqua"/>
        </w:rPr>
        <w:t>E</w:t>
      </w:r>
      <w:r w:rsidRPr="00E3232D">
        <w:rPr>
          <w:rFonts w:ascii="Book Antiqua" w:hAnsi="Book Antiqua"/>
          <w:spacing w:val="-1"/>
        </w:rPr>
        <w:t>c</w:t>
      </w:r>
      <w:r w:rsidRPr="00E3232D">
        <w:rPr>
          <w:rFonts w:ascii="Book Antiqua" w:hAnsi="Book Antiqua"/>
        </w:rPr>
        <w:t>onom</w:t>
      </w:r>
      <w:r w:rsidRPr="00E3232D">
        <w:rPr>
          <w:rFonts w:ascii="Book Antiqua" w:hAnsi="Book Antiqua"/>
          <w:spacing w:val="1"/>
        </w:rPr>
        <w:t>i</w:t>
      </w:r>
      <w:r w:rsidRPr="00E3232D">
        <w:rPr>
          <w:rFonts w:ascii="Book Antiqua" w:hAnsi="Book Antiqua"/>
        </w:rPr>
        <w:t>c</w:t>
      </w:r>
      <w:r w:rsidRPr="00E3232D">
        <w:rPr>
          <w:rFonts w:ascii="Book Antiqua" w:hAnsi="Book Antiqua"/>
          <w:spacing w:val="4"/>
        </w:rPr>
        <w:t xml:space="preserve"> </w:t>
      </w:r>
      <w:r w:rsidRPr="00E3232D">
        <w:rPr>
          <w:rFonts w:ascii="Book Antiqua" w:hAnsi="Book Antiqua"/>
        </w:rPr>
        <w:t>pol</w:t>
      </w:r>
      <w:r w:rsidRPr="00E3232D">
        <w:rPr>
          <w:rFonts w:ascii="Book Antiqua" w:hAnsi="Book Antiqua"/>
          <w:spacing w:val="1"/>
        </w:rPr>
        <w:t>ic</w:t>
      </w:r>
      <w:r w:rsidRPr="00E3232D">
        <w:rPr>
          <w:rFonts w:ascii="Book Antiqua" w:hAnsi="Book Antiqua"/>
        </w:rPr>
        <w:t>y n</w:t>
      </w:r>
      <w:r w:rsidRPr="00E3232D">
        <w:rPr>
          <w:rFonts w:ascii="Book Antiqua" w:hAnsi="Book Antiqua"/>
          <w:spacing w:val="5"/>
        </w:rPr>
        <w:t xml:space="preserve"> </w:t>
      </w:r>
      <w:r w:rsidRPr="00E3232D">
        <w:rPr>
          <w:rFonts w:ascii="Book Antiqua" w:hAnsi="Book Antiqua"/>
        </w:rPr>
        <w:t>Du</w:t>
      </w:r>
      <w:r w:rsidRPr="00E3232D">
        <w:rPr>
          <w:rFonts w:ascii="Book Antiqua" w:hAnsi="Book Antiqua"/>
          <w:spacing w:val="-1"/>
        </w:rPr>
        <w:t>a</w:t>
      </w:r>
      <w:r w:rsidRPr="00E3232D">
        <w:rPr>
          <w:rFonts w:ascii="Book Antiqua" w:hAnsi="Book Antiqua"/>
        </w:rPr>
        <w:t>l</w:t>
      </w:r>
      <w:r w:rsidRPr="00E3232D">
        <w:rPr>
          <w:rFonts w:ascii="Book Antiqua" w:hAnsi="Book Antiqua"/>
          <w:spacing w:val="5"/>
        </w:rPr>
        <w:t xml:space="preserve"> </w:t>
      </w:r>
      <w:r w:rsidRPr="00E3232D">
        <w:rPr>
          <w:rFonts w:ascii="Book Antiqua" w:hAnsi="Book Antiqua"/>
        </w:rPr>
        <w:t>soci</w:t>
      </w:r>
      <w:r w:rsidRPr="00E3232D">
        <w:rPr>
          <w:rFonts w:ascii="Book Antiqua" w:hAnsi="Book Antiqua"/>
          <w:spacing w:val="-1"/>
        </w:rPr>
        <w:t>e</w:t>
      </w:r>
      <w:r w:rsidRPr="00E3232D">
        <w:rPr>
          <w:rFonts w:ascii="Book Antiqua" w:hAnsi="Book Antiqua"/>
        </w:rPr>
        <w:t>t</w:t>
      </w:r>
      <w:r w:rsidRPr="00E3232D">
        <w:rPr>
          <w:rFonts w:ascii="Book Antiqua" w:hAnsi="Book Antiqua"/>
          <w:spacing w:val="1"/>
        </w:rPr>
        <w:t>i</w:t>
      </w:r>
      <w:r w:rsidRPr="00E3232D">
        <w:rPr>
          <w:rFonts w:ascii="Book Antiqua" w:hAnsi="Book Antiqua"/>
          <w:spacing w:val="-1"/>
        </w:rPr>
        <w:t>e</w:t>
      </w:r>
      <w:r w:rsidRPr="00E3232D">
        <w:rPr>
          <w:rFonts w:ascii="Book Antiqua" w:hAnsi="Book Antiqua"/>
        </w:rPr>
        <w:t>s:</w:t>
      </w:r>
      <w:r w:rsidRPr="00E3232D">
        <w:rPr>
          <w:rFonts w:ascii="Book Antiqua" w:hAnsi="Book Antiqua"/>
          <w:spacing w:val="5"/>
        </w:rPr>
        <w:t xml:space="preserve"> </w:t>
      </w:r>
      <w:r w:rsidRPr="00E3232D">
        <w:rPr>
          <w:rFonts w:ascii="Book Antiqua" w:hAnsi="Book Antiqua"/>
        </w:rPr>
        <w:t>A</w:t>
      </w:r>
      <w:r w:rsidRPr="00E3232D">
        <w:rPr>
          <w:rFonts w:ascii="Book Antiqua" w:hAnsi="Book Antiqua"/>
          <w:spacing w:val="4"/>
        </w:rPr>
        <w:t xml:space="preserve"> </w:t>
      </w:r>
      <w:r w:rsidRPr="00E3232D">
        <w:rPr>
          <w:rFonts w:ascii="Book Antiqua" w:hAnsi="Book Antiqua"/>
        </w:rPr>
        <w:t>sur</w:t>
      </w:r>
      <w:r w:rsidRPr="00E3232D">
        <w:rPr>
          <w:rFonts w:ascii="Book Antiqua" w:hAnsi="Book Antiqua"/>
          <w:spacing w:val="-3"/>
        </w:rPr>
        <w:t>v</w:t>
      </w:r>
      <w:r w:rsidRPr="00E3232D">
        <w:rPr>
          <w:rFonts w:ascii="Book Antiqua" w:hAnsi="Book Antiqua"/>
          <w:spacing w:val="1"/>
        </w:rPr>
        <w:t>e</w:t>
      </w:r>
      <w:r w:rsidRPr="00E3232D">
        <w:rPr>
          <w:rFonts w:ascii="Book Antiqua" w:hAnsi="Book Antiqua"/>
        </w:rPr>
        <w:t>y f</w:t>
      </w:r>
      <w:r w:rsidRPr="00E3232D">
        <w:rPr>
          <w:rFonts w:ascii="Book Antiqua" w:hAnsi="Book Antiqua"/>
          <w:spacing w:val="1"/>
        </w:rPr>
        <w:t>o</w:t>
      </w:r>
      <w:r w:rsidRPr="00E3232D">
        <w:rPr>
          <w:rFonts w:ascii="Book Antiqua" w:hAnsi="Book Antiqua"/>
        </w:rPr>
        <w:t>r</w:t>
      </w:r>
      <w:r w:rsidRPr="00E3232D">
        <w:rPr>
          <w:rFonts w:ascii="Book Antiqua" w:hAnsi="Book Antiqua"/>
          <w:spacing w:val="4"/>
        </w:rPr>
        <w:t xml:space="preserve"> </w:t>
      </w:r>
      <w:r w:rsidRPr="00E3232D">
        <w:rPr>
          <w:rFonts w:ascii="Book Antiqua" w:hAnsi="Book Antiqua"/>
        </w:rPr>
        <w:t>inc</w:t>
      </w:r>
      <w:r w:rsidRPr="00E3232D">
        <w:rPr>
          <w:rFonts w:ascii="Book Antiqua" w:hAnsi="Book Antiqua"/>
          <w:spacing w:val="-1"/>
        </w:rPr>
        <w:t>rea</w:t>
      </w:r>
      <w:r w:rsidRPr="00E3232D">
        <w:rPr>
          <w:rFonts w:ascii="Book Antiqua" w:hAnsi="Book Antiqua"/>
        </w:rPr>
        <w:t>si</w:t>
      </w:r>
      <w:r w:rsidRPr="00E3232D">
        <w:rPr>
          <w:rFonts w:ascii="Book Antiqua" w:hAnsi="Book Antiqua"/>
          <w:spacing w:val="3"/>
        </w:rPr>
        <w:t>n</w:t>
      </w:r>
      <w:r w:rsidRPr="00E3232D">
        <w:rPr>
          <w:rFonts w:ascii="Book Antiqua" w:hAnsi="Book Antiqua"/>
        </w:rPr>
        <w:t>g p</w:t>
      </w:r>
      <w:r w:rsidRPr="00E3232D">
        <w:rPr>
          <w:rFonts w:ascii="Book Antiqua" w:hAnsi="Book Antiqua"/>
          <w:spacing w:val="-1"/>
        </w:rPr>
        <w:t>r</w:t>
      </w:r>
      <w:r w:rsidRPr="00E3232D">
        <w:rPr>
          <w:rFonts w:ascii="Book Antiqua" w:hAnsi="Book Antiqua"/>
        </w:rPr>
        <w:t>odu</w:t>
      </w:r>
      <w:r w:rsidRPr="00E3232D">
        <w:rPr>
          <w:rFonts w:ascii="Book Antiqua" w:hAnsi="Book Antiqua"/>
          <w:spacing w:val="-1"/>
        </w:rPr>
        <w:t>c</w:t>
      </w:r>
      <w:r w:rsidRPr="00E3232D">
        <w:rPr>
          <w:rFonts w:ascii="Book Antiqua" w:hAnsi="Book Antiqua"/>
        </w:rPr>
        <w:t>t</w:t>
      </w:r>
      <w:r w:rsidRPr="00E3232D">
        <w:rPr>
          <w:rFonts w:ascii="Book Antiqua" w:hAnsi="Book Antiqua"/>
          <w:spacing w:val="1"/>
        </w:rPr>
        <w:t>i</w:t>
      </w:r>
      <w:r w:rsidRPr="00E3232D">
        <w:rPr>
          <w:rFonts w:ascii="Book Antiqua" w:hAnsi="Book Antiqua"/>
        </w:rPr>
        <w:t>ve</w:t>
      </w:r>
      <w:r w:rsidRPr="00E3232D">
        <w:rPr>
          <w:rFonts w:ascii="Book Antiqua" w:hAnsi="Book Antiqua"/>
          <w:spacing w:val="-1"/>
        </w:rPr>
        <w:t xml:space="preserve"> </w:t>
      </w:r>
      <w:r w:rsidRPr="00E3232D">
        <w:rPr>
          <w:rFonts w:ascii="Book Antiqua" w:hAnsi="Book Antiqua"/>
        </w:rPr>
        <w:t>Empl</w:t>
      </w:r>
      <w:r w:rsidRPr="00E3232D">
        <w:rPr>
          <w:rFonts w:ascii="Book Antiqua" w:hAnsi="Book Antiqua"/>
          <w:spacing w:val="2"/>
        </w:rPr>
        <w:t>o</w:t>
      </w:r>
      <w:r w:rsidRPr="00E3232D">
        <w:rPr>
          <w:rFonts w:ascii="Book Antiqua" w:hAnsi="Book Antiqua"/>
          <w:spacing w:val="-5"/>
        </w:rPr>
        <w:t>y</w:t>
      </w:r>
      <w:r w:rsidRPr="00E3232D">
        <w:rPr>
          <w:rFonts w:ascii="Book Antiqua" w:hAnsi="Book Antiqua"/>
          <w:spacing w:val="3"/>
        </w:rPr>
        <w:t>m</w:t>
      </w:r>
      <w:r w:rsidRPr="00E3232D">
        <w:rPr>
          <w:rFonts w:ascii="Book Antiqua" w:hAnsi="Book Antiqua"/>
          <w:spacing w:val="-1"/>
        </w:rPr>
        <w:t>e</w:t>
      </w:r>
      <w:r w:rsidRPr="00E3232D">
        <w:rPr>
          <w:rFonts w:ascii="Book Antiqua" w:hAnsi="Book Antiqua"/>
        </w:rPr>
        <w:t xml:space="preserve">nt </w:t>
      </w:r>
      <w:r w:rsidRPr="00E3232D">
        <w:rPr>
          <w:rFonts w:ascii="Book Antiqua" w:hAnsi="Book Antiqua"/>
          <w:spacing w:val="1"/>
        </w:rPr>
        <w:t>i</w:t>
      </w:r>
      <w:r w:rsidRPr="00E3232D">
        <w:rPr>
          <w:rFonts w:ascii="Book Antiqua" w:hAnsi="Book Antiqua"/>
        </w:rPr>
        <w:t>n K</w:t>
      </w:r>
      <w:r w:rsidRPr="00E3232D">
        <w:rPr>
          <w:rFonts w:ascii="Book Antiqua" w:hAnsi="Book Antiqua"/>
          <w:spacing w:val="-1"/>
        </w:rPr>
        <w:t>e</w:t>
      </w:r>
      <w:r w:rsidRPr="00E3232D">
        <w:rPr>
          <w:rFonts w:ascii="Book Antiqua" w:hAnsi="Book Antiqua"/>
          <w:spacing w:val="5"/>
        </w:rPr>
        <w:t>n</w:t>
      </w:r>
      <w:r w:rsidRPr="00E3232D">
        <w:rPr>
          <w:rFonts w:ascii="Book Antiqua" w:hAnsi="Book Antiqua"/>
          <w:spacing w:val="-5"/>
        </w:rPr>
        <w:t>y</w:t>
      </w:r>
      <w:r w:rsidRPr="00E3232D">
        <w:rPr>
          <w:rFonts w:ascii="Book Antiqua" w:hAnsi="Book Antiqua"/>
          <w:spacing w:val="-1"/>
        </w:rPr>
        <w:t>a</w:t>
      </w:r>
      <w:r w:rsidRPr="00E3232D">
        <w:rPr>
          <w:rFonts w:ascii="Book Antiqua" w:hAnsi="Book Antiqua"/>
        </w:rPr>
        <w:t xml:space="preserve">, </w:t>
      </w:r>
      <w:r w:rsidRPr="00E3232D">
        <w:rPr>
          <w:rFonts w:ascii="Book Antiqua" w:hAnsi="Book Antiqua"/>
          <w:spacing w:val="2"/>
        </w:rPr>
        <w:t>K</w:t>
      </w:r>
      <w:r w:rsidRPr="00E3232D">
        <w:rPr>
          <w:rFonts w:ascii="Book Antiqua" w:hAnsi="Book Antiqua"/>
          <w:spacing w:val="-1"/>
        </w:rPr>
        <w:t>e</w:t>
      </w:r>
      <w:r w:rsidRPr="00E3232D">
        <w:rPr>
          <w:rFonts w:ascii="Book Antiqua" w:hAnsi="Book Antiqua"/>
          <w:spacing w:val="5"/>
        </w:rPr>
        <w:t>n</w:t>
      </w:r>
      <w:r w:rsidRPr="00E3232D">
        <w:rPr>
          <w:rFonts w:ascii="Book Antiqua" w:hAnsi="Book Antiqua"/>
          <w:spacing w:val="-5"/>
        </w:rPr>
        <w:t>y</w:t>
      </w:r>
      <w:r w:rsidRPr="00E3232D">
        <w:rPr>
          <w:rFonts w:ascii="Book Antiqua" w:hAnsi="Book Antiqua"/>
        </w:rPr>
        <w:t>a</w:t>
      </w:r>
      <w:r w:rsidRPr="00E3232D">
        <w:rPr>
          <w:rFonts w:ascii="Book Antiqua" w:hAnsi="Book Antiqua"/>
          <w:spacing w:val="-1"/>
        </w:rPr>
        <w:t xml:space="preserve"> </w:t>
      </w:r>
      <w:r w:rsidRPr="00E3232D">
        <w:rPr>
          <w:rFonts w:ascii="Book Antiqua" w:hAnsi="Book Antiqua"/>
        </w:rPr>
        <w:t>R</w:t>
      </w:r>
      <w:r w:rsidRPr="00E3232D">
        <w:rPr>
          <w:rFonts w:ascii="Book Antiqua" w:hAnsi="Book Antiqua"/>
          <w:spacing w:val="-1"/>
        </w:rPr>
        <w:t>e</w:t>
      </w:r>
      <w:r w:rsidRPr="00E3232D">
        <w:rPr>
          <w:rFonts w:ascii="Book Antiqua" w:hAnsi="Book Antiqua"/>
        </w:rPr>
        <w:t>port,</w:t>
      </w:r>
      <w:r w:rsidRPr="00E3232D">
        <w:rPr>
          <w:rFonts w:ascii="Book Antiqua" w:hAnsi="Book Antiqua"/>
          <w:spacing w:val="2"/>
        </w:rPr>
        <w:t xml:space="preserve"> </w:t>
      </w:r>
      <w:r w:rsidRPr="00E3232D">
        <w:rPr>
          <w:rFonts w:ascii="Book Antiqua" w:hAnsi="Book Antiqua"/>
        </w:rPr>
        <w:t>G</w:t>
      </w:r>
      <w:r w:rsidRPr="00E3232D">
        <w:rPr>
          <w:rFonts w:ascii="Book Antiqua" w:hAnsi="Book Antiqua"/>
          <w:spacing w:val="-1"/>
        </w:rPr>
        <w:t>e</w:t>
      </w:r>
      <w:r w:rsidRPr="00E3232D">
        <w:rPr>
          <w:rFonts w:ascii="Book Antiqua" w:hAnsi="Book Antiqua"/>
        </w:rPr>
        <w:t>n</w:t>
      </w:r>
      <w:r w:rsidRPr="00E3232D">
        <w:rPr>
          <w:rFonts w:ascii="Book Antiqua" w:hAnsi="Book Antiqua"/>
          <w:spacing w:val="-1"/>
        </w:rPr>
        <w:t>e</w:t>
      </w:r>
      <w:r w:rsidRPr="00E3232D">
        <w:rPr>
          <w:rFonts w:ascii="Book Antiqua" w:hAnsi="Book Antiqua"/>
        </w:rPr>
        <w:t>v</w:t>
      </w:r>
      <w:r w:rsidRPr="00E3232D">
        <w:rPr>
          <w:rFonts w:ascii="Book Antiqua" w:hAnsi="Book Antiqua"/>
          <w:spacing w:val="-1"/>
        </w:rPr>
        <w:t>a</w:t>
      </w:r>
      <w:r w:rsidRPr="00E3232D">
        <w:rPr>
          <w:rFonts w:ascii="Book Antiqua" w:hAnsi="Book Antiqua"/>
        </w:rPr>
        <w:t>.</w:t>
      </w:r>
    </w:p>
    <w:p w14:paraId="291054F7" w14:textId="77777777" w:rsidR="0057286B" w:rsidRDefault="0057286B" w:rsidP="00465AE3">
      <w:pPr>
        <w:widowControl w:val="0"/>
        <w:autoSpaceDE w:val="0"/>
        <w:autoSpaceDN w:val="0"/>
        <w:adjustRightInd w:val="0"/>
        <w:spacing w:after="0"/>
        <w:ind w:left="720" w:right="76" w:hanging="720"/>
        <w:jc w:val="both"/>
        <w:rPr>
          <w:rFonts w:ascii="Book Antiqua" w:hAnsi="Book Antiqua"/>
        </w:rPr>
      </w:pPr>
      <w:r w:rsidRPr="00E3232D">
        <w:rPr>
          <w:rFonts w:ascii="Book Antiqua" w:hAnsi="Book Antiqua"/>
          <w:spacing w:val="2"/>
        </w:rPr>
        <w:t>J</w:t>
      </w:r>
      <w:r w:rsidRPr="00E3232D">
        <w:rPr>
          <w:rFonts w:ascii="Book Antiqua" w:hAnsi="Book Antiqua"/>
        </w:rPr>
        <w:t>o</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rPr>
        <w:t>,</w:t>
      </w:r>
      <w:r w:rsidRPr="00E3232D">
        <w:rPr>
          <w:rFonts w:ascii="Book Antiqua" w:hAnsi="Book Antiqua"/>
          <w:spacing w:val="4"/>
        </w:rPr>
        <w:t xml:space="preserve"> </w:t>
      </w:r>
      <w:r w:rsidRPr="00E3232D">
        <w:rPr>
          <w:rFonts w:ascii="Book Antiqua" w:hAnsi="Book Antiqua"/>
          <w:spacing w:val="-5"/>
        </w:rPr>
        <w:t>L</w:t>
      </w:r>
      <w:r w:rsidRPr="00E3232D">
        <w:rPr>
          <w:rFonts w:ascii="Book Antiqua" w:hAnsi="Book Antiqua"/>
        </w:rPr>
        <w:t>.</w:t>
      </w:r>
      <w:r w:rsidRPr="00E3232D">
        <w:rPr>
          <w:rFonts w:ascii="Book Antiqua" w:hAnsi="Book Antiqua"/>
          <w:spacing w:val="3"/>
        </w:rPr>
        <w:t xml:space="preserve"> </w:t>
      </w:r>
      <w:r w:rsidRPr="00E3232D">
        <w:rPr>
          <w:rFonts w:ascii="Book Antiqua" w:hAnsi="Book Antiqua"/>
          <w:spacing w:val="1"/>
        </w:rPr>
        <w:t>W</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(199</w:t>
      </w:r>
      <w:r w:rsidRPr="00E3232D">
        <w:rPr>
          <w:rFonts w:ascii="Book Antiqua" w:hAnsi="Book Antiqua"/>
          <w:spacing w:val="-1"/>
        </w:rPr>
        <w:t>8</w:t>
      </w:r>
      <w:r w:rsidRPr="00E3232D">
        <w:rPr>
          <w:rFonts w:ascii="Book Antiqua" w:hAnsi="Book Antiqua"/>
        </w:rPr>
        <w:t>).</w:t>
      </w:r>
      <w:r w:rsidRPr="00E3232D">
        <w:rPr>
          <w:rFonts w:ascii="Book Antiqua" w:hAnsi="Book Antiqua"/>
          <w:spacing w:val="3"/>
        </w:rPr>
        <w:t xml:space="preserve"> </w:t>
      </w:r>
      <w:r w:rsidRPr="00E3232D">
        <w:rPr>
          <w:rFonts w:ascii="Book Antiqua" w:hAnsi="Book Antiqua"/>
          <w:spacing w:val="1"/>
        </w:rPr>
        <w:t>S</w:t>
      </w:r>
      <w:r w:rsidRPr="00E3232D">
        <w:rPr>
          <w:rFonts w:ascii="Book Antiqua" w:hAnsi="Book Antiqua"/>
        </w:rPr>
        <w:t>ustain</w:t>
      </w:r>
      <w:r w:rsidRPr="00E3232D">
        <w:rPr>
          <w:rFonts w:ascii="Book Antiqua" w:hAnsi="Book Antiqua"/>
          <w:spacing w:val="-1"/>
        </w:rPr>
        <w:t>a</w:t>
      </w:r>
      <w:r w:rsidRPr="00E3232D">
        <w:rPr>
          <w:rFonts w:ascii="Book Antiqua" w:hAnsi="Book Antiqua"/>
        </w:rPr>
        <w:t>ble</w:t>
      </w:r>
      <w:r w:rsidRPr="00E3232D">
        <w:rPr>
          <w:rFonts w:ascii="Book Antiqua" w:hAnsi="Book Antiqua"/>
          <w:spacing w:val="1"/>
        </w:rPr>
        <w:t xml:space="preserve"> </w:t>
      </w:r>
      <w:r w:rsidRPr="00E3232D">
        <w:rPr>
          <w:rFonts w:ascii="Book Antiqua" w:hAnsi="Book Antiqua"/>
        </w:rPr>
        <w:t>b</w:t>
      </w:r>
      <w:r w:rsidRPr="00E3232D">
        <w:rPr>
          <w:rFonts w:ascii="Book Antiqua" w:hAnsi="Book Antiqua"/>
          <w:spacing w:val="-1"/>
        </w:rPr>
        <w:t>a</w:t>
      </w:r>
      <w:r w:rsidRPr="00E3232D">
        <w:rPr>
          <w:rFonts w:ascii="Book Antiqua" w:hAnsi="Book Antiqua"/>
        </w:rPr>
        <w:t>nki</w:t>
      </w:r>
      <w:r w:rsidRPr="00E3232D">
        <w:rPr>
          <w:rFonts w:ascii="Book Antiqua" w:hAnsi="Book Antiqua"/>
          <w:spacing w:val="3"/>
        </w:rPr>
        <w:t>n</w:t>
      </w:r>
      <w:r w:rsidRPr="00E3232D">
        <w:rPr>
          <w:rFonts w:ascii="Book Antiqua" w:hAnsi="Book Antiqua"/>
        </w:rPr>
        <w:t>g</w:t>
      </w:r>
      <w:r w:rsidRPr="00E3232D">
        <w:rPr>
          <w:rFonts w:ascii="Book Antiqua" w:hAnsi="Book Antiqua"/>
          <w:spacing w:val="1"/>
        </w:rPr>
        <w:t xml:space="preserve"> </w:t>
      </w:r>
      <w:r w:rsidRPr="00E3232D">
        <w:rPr>
          <w:rFonts w:ascii="Book Antiqua" w:hAnsi="Book Antiqua"/>
        </w:rPr>
        <w:t>with</w:t>
      </w:r>
      <w:r w:rsidRPr="00E3232D">
        <w:rPr>
          <w:rFonts w:ascii="Book Antiqua" w:hAnsi="Book Antiqua"/>
          <w:spacing w:val="2"/>
        </w:rPr>
        <w:t xml:space="preserve"> </w:t>
      </w:r>
      <w:r w:rsidRPr="00E3232D">
        <w:rPr>
          <w:rFonts w:ascii="Book Antiqua" w:hAnsi="Book Antiqua"/>
        </w:rPr>
        <w:t>the</w:t>
      </w:r>
      <w:r w:rsidRPr="00E3232D">
        <w:rPr>
          <w:rFonts w:ascii="Book Antiqua" w:hAnsi="Book Antiqua"/>
          <w:spacing w:val="3"/>
        </w:rPr>
        <w:t xml:space="preserve"> </w:t>
      </w:r>
      <w:r w:rsidRPr="00E3232D">
        <w:rPr>
          <w:rFonts w:ascii="Book Antiqua" w:hAnsi="Book Antiqua"/>
        </w:rPr>
        <w:t>poor. Mi</w:t>
      </w:r>
      <w:r w:rsidRPr="00E3232D">
        <w:rPr>
          <w:rFonts w:ascii="Book Antiqua" w:hAnsi="Book Antiqua"/>
          <w:spacing w:val="1"/>
        </w:rPr>
        <w:t>c</w:t>
      </w:r>
      <w:r w:rsidRPr="00E3232D">
        <w:rPr>
          <w:rFonts w:ascii="Book Antiqua" w:hAnsi="Book Antiqua"/>
        </w:rPr>
        <w:t>ro fi</w:t>
      </w:r>
      <w:r w:rsidRPr="00E3232D">
        <w:rPr>
          <w:rFonts w:ascii="Book Antiqua" w:hAnsi="Book Antiqua"/>
          <w:spacing w:val="2"/>
        </w:rPr>
        <w:t>n</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c</w:t>
      </w:r>
      <w:r w:rsidRPr="00E3232D">
        <w:rPr>
          <w:rFonts w:ascii="Book Antiqua" w:hAnsi="Book Antiqua"/>
        </w:rPr>
        <w:t>e</w:t>
      </w:r>
      <w:r w:rsidRPr="00E3232D">
        <w:rPr>
          <w:rFonts w:ascii="Book Antiqua" w:hAnsi="Book Antiqua"/>
          <w:spacing w:val="2"/>
        </w:rPr>
        <w:t xml:space="preserve"> </w:t>
      </w:r>
      <w:r w:rsidRPr="00E3232D">
        <w:rPr>
          <w:rFonts w:ascii="Book Antiqua" w:hAnsi="Book Antiqua"/>
        </w:rPr>
        <w:t>H</w:t>
      </w:r>
      <w:r w:rsidRPr="00E3232D">
        <w:rPr>
          <w:rFonts w:ascii="Book Antiqua" w:hAnsi="Book Antiqua"/>
          <w:spacing w:val="-1"/>
        </w:rPr>
        <w:t>a</w:t>
      </w:r>
      <w:r w:rsidRPr="00E3232D">
        <w:rPr>
          <w:rFonts w:ascii="Book Antiqua" w:hAnsi="Book Antiqua"/>
          <w:spacing w:val="2"/>
        </w:rPr>
        <w:t>n</w:t>
      </w:r>
      <w:r w:rsidRPr="00E3232D">
        <w:rPr>
          <w:rFonts w:ascii="Book Antiqua" w:hAnsi="Book Antiqua"/>
        </w:rPr>
        <w:t>db</w:t>
      </w:r>
      <w:r w:rsidRPr="00E3232D">
        <w:rPr>
          <w:rFonts w:ascii="Book Antiqua" w:hAnsi="Book Antiqua"/>
          <w:spacing w:val="7"/>
        </w:rPr>
        <w:t>o</w:t>
      </w:r>
      <w:r w:rsidRPr="00E3232D">
        <w:rPr>
          <w:rFonts w:ascii="Book Antiqua" w:hAnsi="Book Antiqua"/>
        </w:rPr>
        <w:t>ok.</w:t>
      </w:r>
      <w:r w:rsidRPr="00E3232D">
        <w:rPr>
          <w:rFonts w:ascii="Book Antiqua" w:hAnsi="Book Antiqua"/>
          <w:spacing w:val="1"/>
        </w:rPr>
        <w:t xml:space="preserve"> </w:t>
      </w:r>
      <w:r w:rsidRPr="00E3232D">
        <w:rPr>
          <w:rFonts w:ascii="Book Antiqua" w:hAnsi="Book Antiqua"/>
        </w:rPr>
        <w:t>1818</w:t>
      </w:r>
      <w:r w:rsidRPr="00E3232D">
        <w:rPr>
          <w:rFonts w:ascii="Book Antiqua" w:hAnsi="Book Antiqua"/>
          <w:spacing w:val="1"/>
        </w:rPr>
        <w:t xml:space="preserve"> </w:t>
      </w:r>
      <w:r w:rsidRPr="00E3232D">
        <w:rPr>
          <w:rFonts w:ascii="Book Antiqua" w:hAnsi="Book Antiqua"/>
        </w:rPr>
        <w:t xml:space="preserve">H </w:t>
      </w:r>
      <w:r w:rsidRPr="00E3232D">
        <w:rPr>
          <w:rFonts w:ascii="Book Antiqua" w:hAnsi="Book Antiqua"/>
          <w:spacing w:val="1"/>
        </w:rPr>
        <w:t>S</w:t>
      </w:r>
      <w:r w:rsidRPr="00E3232D">
        <w:rPr>
          <w:rFonts w:ascii="Book Antiqua" w:hAnsi="Book Antiqua"/>
        </w:rPr>
        <w:t>tr</w:t>
      </w:r>
      <w:r w:rsidRPr="00E3232D">
        <w:rPr>
          <w:rFonts w:ascii="Book Antiqua" w:hAnsi="Book Antiqua"/>
          <w:spacing w:val="-1"/>
        </w:rPr>
        <w:t>ee</w:t>
      </w:r>
      <w:r w:rsidRPr="00E3232D">
        <w:rPr>
          <w:rFonts w:ascii="Book Antiqua" w:hAnsi="Book Antiqua"/>
        </w:rPr>
        <w:t>t, N</w:t>
      </w:r>
      <w:r w:rsidRPr="00E3232D">
        <w:rPr>
          <w:rFonts w:ascii="Book Antiqua" w:hAnsi="Book Antiqua"/>
          <w:spacing w:val="1"/>
        </w:rPr>
        <w:t>W</w:t>
      </w:r>
      <w:r w:rsidRPr="00E3232D">
        <w:rPr>
          <w:rFonts w:ascii="Book Antiqua" w:hAnsi="Book Antiqua"/>
        </w:rPr>
        <w:t xml:space="preserve">. </w:t>
      </w:r>
      <w:r w:rsidRPr="00E3232D">
        <w:rPr>
          <w:rFonts w:ascii="Book Antiqua" w:hAnsi="Book Antiqua"/>
          <w:spacing w:val="1"/>
        </w:rPr>
        <w:t>W</w:t>
      </w:r>
      <w:r w:rsidRPr="00E3232D">
        <w:rPr>
          <w:rFonts w:ascii="Book Antiqua" w:hAnsi="Book Antiqua"/>
          <w:spacing w:val="-1"/>
        </w:rPr>
        <w:t>a</w:t>
      </w:r>
      <w:r w:rsidRPr="00E3232D">
        <w:rPr>
          <w:rFonts w:ascii="Book Antiqua" w:hAnsi="Book Antiqua"/>
        </w:rPr>
        <w:t>shin</w:t>
      </w:r>
      <w:r w:rsidRPr="00E3232D">
        <w:rPr>
          <w:rFonts w:ascii="Book Antiqua" w:hAnsi="Book Antiqua"/>
          <w:spacing w:val="-2"/>
        </w:rPr>
        <w:t>g</w:t>
      </w:r>
      <w:r w:rsidRPr="00E3232D">
        <w:rPr>
          <w:rFonts w:ascii="Book Antiqua" w:hAnsi="Book Antiqua"/>
        </w:rPr>
        <w:t>ton D.C.</w:t>
      </w:r>
    </w:p>
    <w:p w14:paraId="729845EB" w14:textId="77777777" w:rsidR="0057286B" w:rsidRPr="00E3232D" w:rsidRDefault="0057286B" w:rsidP="00465AE3">
      <w:pPr>
        <w:widowControl w:val="0"/>
        <w:autoSpaceDE w:val="0"/>
        <w:autoSpaceDN w:val="0"/>
        <w:adjustRightInd w:val="0"/>
        <w:spacing w:before="74"/>
        <w:ind w:left="720" w:right="567" w:hanging="720"/>
        <w:jc w:val="both"/>
        <w:rPr>
          <w:rFonts w:ascii="Book Antiqua" w:hAnsi="Book Antiqua"/>
        </w:rPr>
      </w:pPr>
      <w:r w:rsidRPr="00E3232D">
        <w:rPr>
          <w:rFonts w:ascii="Book Antiqua" w:hAnsi="Book Antiqua"/>
        </w:rPr>
        <w:t>20433.USA.</w:t>
      </w:r>
    </w:p>
    <w:p w14:paraId="56BF3F6E" w14:textId="77777777" w:rsidR="0057286B" w:rsidRPr="00E3232D" w:rsidRDefault="0057286B" w:rsidP="00465AE3">
      <w:pPr>
        <w:tabs>
          <w:tab w:val="left" w:pos="1530"/>
        </w:tabs>
        <w:ind w:left="1260" w:hanging="1260"/>
        <w:jc w:val="both"/>
        <w:rPr>
          <w:rFonts w:ascii="Book Antiqua" w:hAnsi="Book Antiqua"/>
        </w:rPr>
      </w:pPr>
      <w:r w:rsidRPr="00E3232D">
        <w:rPr>
          <w:rFonts w:ascii="Book Antiqua" w:hAnsi="Book Antiqua"/>
        </w:rPr>
        <w:t>Levy, B., (1991). Obstacles to enveloping small and medium – Sized Enterprises: An Empirical Assessment. 1818 H Street, NW.Washington D.C. USA.</w:t>
      </w:r>
    </w:p>
    <w:p w14:paraId="01F150EE" w14:textId="77777777" w:rsidR="0057286B" w:rsidRPr="00E3232D" w:rsidRDefault="0057286B" w:rsidP="000B54BC">
      <w:pPr>
        <w:widowControl w:val="0"/>
        <w:autoSpaceDE w:val="0"/>
        <w:autoSpaceDN w:val="0"/>
        <w:adjustRightInd w:val="0"/>
        <w:spacing w:before="74"/>
        <w:ind w:left="720" w:right="23" w:hanging="720"/>
        <w:jc w:val="both"/>
        <w:rPr>
          <w:rFonts w:ascii="Book Antiqua" w:hAnsi="Book Antiqua"/>
        </w:rPr>
      </w:pPr>
      <w:r w:rsidRPr="00E3232D">
        <w:rPr>
          <w:rFonts w:ascii="Book Antiqua" w:hAnsi="Book Antiqua"/>
        </w:rPr>
        <w:t xml:space="preserve"> </w:t>
      </w:r>
      <w:r w:rsidRPr="00E3232D">
        <w:rPr>
          <w:rFonts w:ascii="Book Antiqua" w:hAnsi="Book Antiqua"/>
          <w:spacing w:val="1"/>
        </w:rPr>
        <w:t>P</w:t>
      </w:r>
      <w:r w:rsidRPr="00E3232D">
        <w:rPr>
          <w:rFonts w:ascii="Book Antiqua" w:hAnsi="Book Antiqua"/>
          <w:spacing w:val="-1"/>
        </w:rPr>
        <w:t>a</w:t>
      </w:r>
      <w:r w:rsidRPr="00E3232D">
        <w:rPr>
          <w:rFonts w:ascii="Book Antiqua" w:hAnsi="Book Antiqua"/>
        </w:rPr>
        <w:t>rk</w:t>
      </w:r>
      <w:r w:rsidRPr="00E3232D">
        <w:rPr>
          <w:rFonts w:ascii="Book Antiqua" w:hAnsi="Book Antiqua"/>
          <w:spacing w:val="-2"/>
        </w:rPr>
        <w:t>e</w:t>
      </w:r>
      <w:r w:rsidRPr="00E3232D">
        <w:rPr>
          <w:rFonts w:ascii="Book Antiqua" w:hAnsi="Book Antiqua"/>
        </w:rPr>
        <w:t>r</w:t>
      </w:r>
      <w:r w:rsidRPr="00E3232D">
        <w:rPr>
          <w:rFonts w:ascii="Book Antiqua" w:hAnsi="Book Antiqua"/>
          <w:spacing w:val="2"/>
        </w:rPr>
        <w:t xml:space="preserve"> </w:t>
      </w:r>
      <w:r w:rsidRPr="00E3232D">
        <w:rPr>
          <w:rFonts w:ascii="Book Antiqua" w:hAnsi="Book Antiqua"/>
          <w:spacing w:val="-1"/>
        </w:rPr>
        <w:t>e</w:t>
      </w:r>
      <w:r w:rsidRPr="00E3232D">
        <w:rPr>
          <w:rFonts w:ascii="Book Antiqua" w:hAnsi="Book Antiqua"/>
        </w:rPr>
        <w:t>t</w:t>
      </w:r>
      <w:r w:rsidRPr="00E3232D">
        <w:rPr>
          <w:rFonts w:ascii="Book Antiqua" w:hAnsi="Book Antiqua"/>
          <w:spacing w:val="1"/>
        </w:rPr>
        <w:t xml:space="preserve"> </w:t>
      </w:r>
      <w:r w:rsidRPr="00E3232D">
        <w:rPr>
          <w:rFonts w:ascii="Book Antiqua" w:hAnsi="Book Antiqua"/>
          <w:spacing w:val="-1"/>
        </w:rPr>
        <w:t>a</w:t>
      </w:r>
      <w:r w:rsidRPr="00E3232D">
        <w:rPr>
          <w:rFonts w:ascii="Book Antiqua" w:hAnsi="Book Antiqua"/>
        </w:rPr>
        <w:t>l,</w:t>
      </w:r>
      <w:r w:rsidRPr="00E3232D">
        <w:rPr>
          <w:rFonts w:ascii="Book Antiqua" w:hAnsi="Book Antiqua"/>
          <w:spacing w:val="3"/>
        </w:rPr>
        <w:t xml:space="preserve"> </w:t>
      </w:r>
      <w:r w:rsidRPr="00E3232D">
        <w:rPr>
          <w:rFonts w:ascii="Book Antiqua" w:hAnsi="Book Antiqua"/>
        </w:rPr>
        <w:t>(19</w:t>
      </w:r>
      <w:r w:rsidRPr="00E3232D">
        <w:rPr>
          <w:rFonts w:ascii="Book Antiqua" w:hAnsi="Book Antiqua"/>
          <w:spacing w:val="1"/>
        </w:rPr>
        <w:t>9</w:t>
      </w:r>
      <w:r w:rsidRPr="00E3232D">
        <w:rPr>
          <w:rFonts w:ascii="Book Antiqua" w:hAnsi="Book Antiqua"/>
        </w:rPr>
        <w:t>5</w:t>
      </w:r>
      <w:r w:rsidRPr="00E3232D">
        <w:rPr>
          <w:rFonts w:ascii="Book Antiqua" w:hAnsi="Book Antiqua"/>
          <w:spacing w:val="-1"/>
        </w:rPr>
        <w:t>)</w:t>
      </w:r>
      <w:r w:rsidRPr="00E3232D">
        <w:rPr>
          <w:rFonts w:ascii="Book Antiqua" w:hAnsi="Book Antiqua"/>
        </w:rPr>
        <w:t xml:space="preserve">. </w:t>
      </w:r>
      <w:r w:rsidRPr="00E3232D">
        <w:rPr>
          <w:rFonts w:ascii="Book Antiqua" w:hAnsi="Book Antiqua"/>
          <w:spacing w:val="1"/>
        </w:rPr>
        <w:t>P</w:t>
      </w:r>
      <w:r w:rsidRPr="00E3232D">
        <w:rPr>
          <w:rFonts w:ascii="Book Antiqua" w:hAnsi="Book Antiqua"/>
        </w:rPr>
        <w:t>romotion of smal</w:t>
      </w:r>
      <w:r w:rsidRPr="00E3232D">
        <w:rPr>
          <w:rFonts w:ascii="Book Antiqua" w:hAnsi="Book Antiqua"/>
          <w:spacing w:val="4"/>
        </w:rPr>
        <w:t>l</w:t>
      </w:r>
      <w:r w:rsidRPr="00E3232D">
        <w:rPr>
          <w:rFonts w:ascii="Book Antiqua" w:hAnsi="Book Antiqua"/>
          <w:spacing w:val="-1"/>
        </w:rPr>
        <w:t>-</w:t>
      </w:r>
      <w:r w:rsidRPr="00E3232D">
        <w:rPr>
          <w:rFonts w:ascii="Book Antiqua" w:hAnsi="Book Antiqua"/>
          <w:spacing w:val="2"/>
        </w:rPr>
        <w:t>s</w:t>
      </w:r>
      <w:r w:rsidRPr="00E3232D">
        <w:rPr>
          <w:rFonts w:ascii="Book Antiqua" w:hAnsi="Book Antiqua"/>
          <w:spacing w:val="-1"/>
        </w:rPr>
        <w:t>ca</w:t>
      </w:r>
      <w:r w:rsidRPr="00E3232D">
        <w:rPr>
          <w:rFonts w:ascii="Book Antiqua" w:hAnsi="Book Antiqua"/>
        </w:rPr>
        <w:t>le En</w:t>
      </w:r>
      <w:r w:rsidRPr="00E3232D">
        <w:rPr>
          <w:rFonts w:ascii="Book Antiqua" w:hAnsi="Book Antiqua"/>
          <w:spacing w:val="2"/>
        </w:rPr>
        <w:t>t</w:t>
      </w:r>
      <w:r w:rsidRPr="00E3232D">
        <w:rPr>
          <w:rFonts w:ascii="Book Antiqua" w:hAnsi="Book Antiqua"/>
          <w:spacing w:val="-1"/>
        </w:rPr>
        <w:t>e</w:t>
      </w:r>
      <w:r w:rsidRPr="00E3232D">
        <w:rPr>
          <w:rFonts w:ascii="Book Antiqua" w:hAnsi="Book Antiqua"/>
        </w:rPr>
        <w:t>rp</w:t>
      </w:r>
      <w:r w:rsidRPr="00E3232D">
        <w:rPr>
          <w:rFonts w:ascii="Book Antiqua" w:hAnsi="Book Antiqua"/>
          <w:spacing w:val="-1"/>
        </w:rPr>
        <w:t>r</w:t>
      </w:r>
      <w:r w:rsidRPr="00E3232D">
        <w:rPr>
          <w:rFonts w:ascii="Book Antiqua" w:hAnsi="Book Antiqua"/>
        </w:rPr>
        <w:t>ises in</w:t>
      </w:r>
      <w:r w:rsidRPr="00E3232D">
        <w:rPr>
          <w:rFonts w:ascii="Book Antiqua" w:hAnsi="Book Antiqua"/>
          <w:spacing w:val="3"/>
        </w:rPr>
        <w:t xml:space="preserve"> </w:t>
      </w:r>
      <w:r w:rsidRPr="00E3232D">
        <w:rPr>
          <w:rFonts w:ascii="Book Antiqua" w:hAnsi="Book Antiqua"/>
        </w:rPr>
        <w:t>Gh</w:t>
      </w:r>
      <w:r w:rsidRPr="00E3232D">
        <w:rPr>
          <w:rFonts w:ascii="Book Antiqua" w:hAnsi="Book Antiqua"/>
          <w:spacing w:val="-1"/>
        </w:rPr>
        <w:t>a</w:t>
      </w:r>
      <w:r w:rsidRPr="00E3232D">
        <w:rPr>
          <w:rFonts w:ascii="Book Antiqua" w:hAnsi="Book Antiqua"/>
          <w:spacing w:val="2"/>
        </w:rPr>
        <w:t>n</w:t>
      </w:r>
      <w:r w:rsidRPr="00E3232D">
        <w:rPr>
          <w:rFonts w:ascii="Book Antiqua" w:hAnsi="Book Antiqua"/>
          <w:spacing w:val="-1"/>
        </w:rPr>
        <w:t>a</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the C</w:t>
      </w:r>
      <w:r w:rsidRPr="00E3232D">
        <w:rPr>
          <w:rFonts w:ascii="Book Antiqua" w:hAnsi="Book Antiqua"/>
          <w:spacing w:val="-1"/>
        </w:rPr>
        <w:t>a</w:t>
      </w:r>
      <w:r w:rsidRPr="00E3232D">
        <w:rPr>
          <w:rFonts w:ascii="Book Antiqua" w:hAnsi="Book Antiqua"/>
        </w:rPr>
        <w:t>se</w:t>
      </w:r>
      <w:r w:rsidRPr="00E3232D">
        <w:rPr>
          <w:rFonts w:ascii="Book Antiqua" w:hAnsi="Book Antiqua"/>
          <w:spacing w:val="2"/>
        </w:rPr>
        <w:t xml:space="preserve"> </w:t>
      </w:r>
      <w:r w:rsidRPr="00E3232D">
        <w:rPr>
          <w:rFonts w:ascii="Book Antiqua" w:hAnsi="Book Antiqua"/>
        </w:rPr>
        <w:t>of</w:t>
      </w:r>
      <w:r w:rsidRPr="00E3232D">
        <w:rPr>
          <w:rFonts w:ascii="Book Antiqua" w:hAnsi="Book Antiqua"/>
          <w:spacing w:val="2"/>
        </w:rPr>
        <w:t xml:space="preserve"> </w:t>
      </w:r>
      <w:r w:rsidRPr="00E3232D">
        <w:rPr>
          <w:rFonts w:ascii="Book Antiqua" w:hAnsi="Book Antiqua"/>
          <w:spacing w:val="-1"/>
        </w:rPr>
        <w:t>ca</w:t>
      </w:r>
      <w:r w:rsidRPr="00E3232D">
        <w:rPr>
          <w:rFonts w:ascii="Book Antiqua" w:hAnsi="Book Antiqua"/>
        </w:rPr>
        <w:t xml:space="preserve">pe  </w:t>
      </w:r>
      <w:r w:rsidRPr="00E3232D">
        <w:rPr>
          <w:rFonts w:ascii="Book Antiqua" w:hAnsi="Book Antiqua"/>
          <w:spacing w:val="-1"/>
        </w:rPr>
        <w:t>c</w:t>
      </w:r>
      <w:r w:rsidRPr="00E3232D">
        <w:rPr>
          <w:rFonts w:ascii="Book Antiqua" w:hAnsi="Book Antiqua"/>
        </w:rPr>
        <w:t>o</w:t>
      </w:r>
      <w:r w:rsidRPr="00E3232D">
        <w:rPr>
          <w:rFonts w:ascii="Book Antiqua" w:hAnsi="Book Antiqua"/>
          <w:spacing w:val="-1"/>
        </w:rPr>
        <w:t>a</w:t>
      </w:r>
      <w:r w:rsidRPr="00E3232D">
        <w:rPr>
          <w:rFonts w:ascii="Book Antiqua" w:hAnsi="Book Antiqua"/>
        </w:rPr>
        <w:t xml:space="preserve">st. </w:t>
      </w:r>
      <w:r w:rsidRPr="00E3232D">
        <w:rPr>
          <w:rFonts w:ascii="Book Antiqua" w:hAnsi="Book Antiqua"/>
          <w:spacing w:val="-1"/>
        </w:rPr>
        <w:t>B</w:t>
      </w:r>
      <w:r w:rsidRPr="00E3232D">
        <w:rPr>
          <w:rFonts w:ascii="Book Antiqua" w:hAnsi="Book Antiqua"/>
        </w:rPr>
        <w:t>usiness Adviso</w:t>
      </w:r>
      <w:r w:rsidRPr="00E3232D">
        <w:rPr>
          <w:rFonts w:ascii="Book Antiqua" w:hAnsi="Book Antiqua"/>
          <w:spacing w:val="4"/>
        </w:rPr>
        <w:t>r</w:t>
      </w:r>
      <w:r w:rsidRPr="00E3232D">
        <w:rPr>
          <w:rFonts w:ascii="Book Antiqua" w:hAnsi="Book Antiqua"/>
        </w:rPr>
        <w:t>y</w:t>
      </w:r>
      <w:r w:rsidRPr="00E3232D">
        <w:rPr>
          <w:rFonts w:ascii="Book Antiqua" w:hAnsi="Book Antiqua"/>
          <w:spacing w:val="-2"/>
        </w:rPr>
        <w:t xml:space="preserve"> </w:t>
      </w:r>
      <w:r w:rsidRPr="00E3232D">
        <w:rPr>
          <w:rFonts w:ascii="Book Antiqua" w:hAnsi="Book Antiqua"/>
          <w:spacing w:val="-1"/>
        </w:rPr>
        <w:t>ce</w:t>
      </w:r>
      <w:r w:rsidRPr="00E3232D">
        <w:rPr>
          <w:rFonts w:ascii="Book Antiqua" w:hAnsi="Book Antiqua"/>
        </w:rPr>
        <w:t>nte</w:t>
      </w:r>
      <w:r w:rsidRPr="00E3232D">
        <w:rPr>
          <w:rFonts w:ascii="Book Antiqua" w:hAnsi="Book Antiqua"/>
          <w:spacing w:val="-1"/>
        </w:rPr>
        <w:t>r</w:t>
      </w:r>
      <w:r w:rsidRPr="00E3232D">
        <w:rPr>
          <w:rFonts w:ascii="Book Antiqua" w:hAnsi="Book Antiqua"/>
        </w:rPr>
        <w:t xml:space="preserve">, </w:t>
      </w:r>
      <w:r w:rsidRPr="00E3232D">
        <w:rPr>
          <w:rFonts w:ascii="Book Antiqua" w:hAnsi="Book Antiqua"/>
          <w:spacing w:val="2"/>
        </w:rPr>
        <w:t>N</w:t>
      </w:r>
      <w:r w:rsidRPr="00E3232D">
        <w:rPr>
          <w:rFonts w:ascii="Book Antiqua" w:hAnsi="Book Antiqua"/>
          <w:spacing w:val="-2"/>
        </w:rPr>
        <w:t>B</w:t>
      </w:r>
      <w:r w:rsidRPr="00E3232D">
        <w:rPr>
          <w:rFonts w:ascii="Book Antiqua" w:hAnsi="Book Antiqua"/>
          <w:spacing w:val="1"/>
        </w:rPr>
        <w:t>S</w:t>
      </w:r>
      <w:r w:rsidRPr="00E3232D">
        <w:rPr>
          <w:rFonts w:ascii="Book Antiqua" w:hAnsi="Book Antiqua"/>
          <w:spacing w:val="3"/>
        </w:rPr>
        <w:t>S</w:t>
      </w:r>
      <w:r w:rsidRPr="00E3232D">
        <w:rPr>
          <w:rFonts w:ascii="Book Antiqua" w:hAnsi="Book Antiqua"/>
        </w:rPr>
        <w:t>I</w:t>
      </w:r>
      <w:r w:rsidRPr="00E3232D">
        <w:rPr>
          <w:rFonts w:ascii="Book Antiqua" w:hAnsi="Book Antiqua"/>
          <w:spacing w:val="-3"/>
        </w:rPr>
        <w:t xml:space="preserve"> </w:t>
      </w:r>
      <w:r w:rsidRPr="00E3232D">
        <w:rPr>
          <w:rFonts w:ascii="Book Antiqua" w:hAnsi="Book Antiqua"/>
          <w:spacing w:val="-1"/>
        </w:rPr>
        <w:t>a</w:t>
      </w:r>
      <w:r w:rsidRPr="00E3232D">
        <w:rPr>
          <w:rFonts w:ascii="Book Antiqua" w:hAnsi="Book Antiqua"/>
        </w:rPr>
        <w:t>nd</w:t>
      </w:r>
      <w:r w:rsidRPr="00E3232D">
        <w:rPr>
          <w:rFonts w:ascii="Book Antiqua" w:hAnsi="Book Antiqua"/>
          <w:spacing w:val="2"/>
        </w:rPr>
        <w:t xml:space="preserve"> </w:t>
      </w:r>
      <w:r w:rsidRPr="00E3232D">
        <w:rPr>
          <w:rFonts w:ascii="Book Antiqua" w:hAnsi="Book Antiqua"/>
          <w:spacing w:val="-1"/>
        </w:rPr>
        <w:t>F</w:t>
      </w:r>
      <w:r w:rsidRPr="00E3232D">
        <w:rPr>
          <w:rFonts w:ascii="Book Antiqua" w:hAnsi="Book Antiqua"/>
        </w:rPr>
        <w:t>ES, c</w:t>
      </w:r>
      <w:r w:rsidRPr="00E3232D">
        <w:rPr>
          <w:rFonts w:ascii="Book Antiqua" w:hAnsi="Book Antiqua"/>
          <w:spacing w:val="-1"/>
        </w:rPr>
        <w:t>a</w:t>
      </w:r>
      <w:r w:rsidRPr="00E3232D">
        <w:rPr>
          <w:rFonts w:ascii="Book Antiqua" w:hAnsi="Book Antiqua"/>
        </w:rPr>
        <w:t>pe</w:t>
      </w:r>
      <w:r w:rsidRPr="00E3232D">
        <w:rPr>
          <w:rFonts w:ascii="Book Antiqua" w:hAnsi="Book Antiqua"/>
          <w:spacing w:val="1"/>
        </w:rPr>
        <w:t xml:space="preserve"> </w:t>
      </w:r>
      <w:r w:rsidRPr="00E3232D">
        <w:rPr>
          <w:rFonts w:ascii="Book Antiqua" w:hAnsi="Book Antiqua"/>
          <w:spacing w:val="-1"/>
        </w:rPr>
        <w:t>c</w:t>
      </w:r>
      <w:r w:rsidRPr="00E3232D">
        <w:rPr>
          <w:rFonts w:ascii="Book Antiqua" w:hAnsi="Book Antiqua"/>
        </w:rPr>
        <w:t>o</w:t>
      </w:r>
      <w:r w:rsidRPr="00E3232D">
        <w:rPr>
          <w:rFonts w:ascii="Book Antiqua" w:hAnsi="Book Antiqua"/>
          <w:spacing w:val="-1"/>
        </w:rPr>
        <w:t>a</w:t>
      </w:r>
      <w:r w:rsidRPr="00E3232D">
        <w:rPr>
          <w:rFonts w:ascii="Book Antiqua" w:hAnsi="Book Antiqua"/>
        </w:rPr>
        <w:t xml:space="preserve">st. </w:t>
      </w:r>
      <w:r w:rsidRPr="00E3232D">
        <w:rPr>
          <w:rFonts w:ascii="Book Antiqua" w:hAnsi="Book Antiqua"/>
          <w:spacing w:val="1"/>
        </w:rPr>
        <w:t>P</w:t>
      </w:r>
      <w:r w:rsidRPr="00E3232D">
        <w:rPr>
          <w:rFonts w:ascii="Book Antiqua" w:hAnsi="Book Antiqua"/>
        </w:rPr>
        <w:t>p. 2</w:t>
      </w:r>
      <w:r w:rsidRPr="00E3232D">
        <w:rPr>
          <w:rFonts w:ascii="Book Antiqua" w:hAnsi="Book Antiqua"/>
          <w:spacing w:val="3"/>
        </w:rPr>
        <w:t>2</w:t>
      </w:r>
      <w:r w:rsidRPr="00E3232D">
        <w:rPr>
          <w:rFonts w:ascii="Book Antiqua" w:hAnsi="Book Antiqua"/>
          <w:spacing w:val="-1"/>
        </w:rPr>
        <w:t>-</w:t>
      </w:r>
      <w:r w:rsidRPr="00E3232D">
        <w:rPr>
          <w:rFonts w:ascii="Book Antiqua" w:hAnsi="Book Antiqua"/>
        </w:rPr>
        <w:t>35</w:t>
      </w:r>
    </w:p>
    <w:p w14:paraId="21BA7881" w14:textId="77777777" w:rsidR="0057286B" w:rsidRPr="00E3232D" w:rsidRDefault="0057286B" w:rsidP="000B54BC">
      <w:pPr>
        <w:widowControl w:val="0"/>
        <w:tabs>
          <w:tab w:val="left" w:pos="4050"/>
        </w:tabs>
        <w:autoSpaceDE w:val="0"/>
        <w:autoSpaceDN w:val="0"/>
        <w:adjustRightInd w:val="0"/>
        <w:ind w:left="720" w:right="567" w:hanging="720"/>
        <w:jc w:val="both"/>
        <w:rPr>
          <w:rFonts w:ascii="Book Antiqua" w:hAnsi="Book Antiqua"/>
        </w:rPr>
        <w:sectPr w:rsidR="0057286B" w:rsidRPr="00E3232D" w:rsidSect="008F6BC9">
          <w:type w:val="continuous"/>
          <w:pgSz w:w="11907" w:h="16839" w:code="9"/>
          <w:pgMar w:top="1360" w:right="1320" w:bottom="280" w:left="1720" w:header="720" w:footer="720" w:gutter="0"/>
          <w:cols w:num="2" w:space="720"/>
          <w:noEndnote/>
        </w:sectPr>
      </w:pPr>
      <w:r w:rsidRPr="00E3232D">
        <w:rPr>
          <w:rFonts w:ascii="Book Antiqua" w:hAnsi="Book Antiqua"/>
          <w:spacing w:val="1"/>
        </w:rPr>
        <w:t>W</w:t>
      </w:r>
      <w:r w:rsidRPr="00E3232D">
        <w:rPr>
          <w:rFonts w:ascii="Book Antiqua" w:hAnsi="Book Antiqua"/>
        </w:rPr>
        <w:t>o</w:t>
      </w:r>
      <w:r w:rsidRPr="00E3232D">
        <w:rPr>
          <w:rFonts w:ascii="Book Antiqua" w:hAnsi="Book Antiqua"/>
          <w:spacing w:val="-1"/>
        </w:rPr>
        <w:t>r</w:t>
      </w:r>
      <w:r w:rsidRPr="00E3232D">
        <w:rPr>
          <w:rFonts w:ascii="Book Antiqua" w:hAnsi="Book Antiqua"/>
        </w:rPr>
        <w:t>ld</w:t>
      </w:r>
      <w:r w:rsidRPr="00E3232D">
        <w:rPr>
          <w:rFonts w:ascii="Book Antiqua" w:hAnsi="Book Antiqua"/>
          <w:spacing w:val="17"/>
        </w:rPr>
        <w:t xml:space="preserve"> </w:t>
      </w:r>
      <w:r w:rsidRPr="00E3232D">
        <w:rPr>
          <w:rFonts w:ascii="Book Antiqua" w:hAnsi="Book Antiqua"/>
          <w:spacing w:val="-2"/>
        </w:rPr>
        <w:t>B</w:t>
      </w:r>
      <w:r w:rsidRPr="00E3232D">
        <w:rPr>
          <w:rFonts w:ascii="Book Antiqua" w:hAnsi="Book Antiqua"/>
          <w:spacing w:val="-1"/>
        </w:rPr>
        <w:t>a</w:t>
      </w:r>
      <w:r w:rsidRPr="00E3232D">
        <w:rPr>
          <w:rFonts w:ascii="Book Antiqua" w:hAnsi="Book Antiqua"/>
        </w:rPr>
        <w:t>nk,</w:t>
      </w:r>
      <w:r w:rsidRPr="00E3232D">
        <w:rPr>
          <w:rFonts w:ascii="Book Antiqua" w:hAnsi="Book Antiqua"/>
          <w:spacing w:val="17"/>
        </w:rPr>
        <w:t xml:space="preserve"> </w:t>
      </w:r>
      <w:r w:rsidRPr="00E3232D">
        <w:rPr>
          <w:rFonts w:ascii="Book Antiqua" w:hAnsi="Book Antiqua"/>
        </w:rPr>
        <w:t>(198</w:t>
      </w:r>
      <w:r w:rsidRPr="00E3232D">
        <w:rPr>
          <w:rFonts w:ascii="Book Antiqua" w:hAnsi="Book Antiqua"/>
          <w:spacing w:val="1"/>
        </w:rPr>
        <w:t>3</w:t>
      </w:r>
      <w:r w:rsidRPr="00E3232D">
        <w:rPr>
          <w:rFonts w:ascii="Book Antiqua" w:hAnsi="Book Antiqua"/>
        </w:rPr>
        <w:t>).</w:t>
      </w:r>
      <w:r w:rsidRPr="00E3232D">
        <w:rPr>
          <w:rFonts w:ascii="Book Antiqua" w:hAnsi="Book Antiqua"/>
          <w:spacing w:val="16"/>
        </w:rPr>
        <w:t xml:space="preserve"> </w:t>
      </w:r>
      <w:r w:rsidRPr="00E3232D">
        <w:rPr>
          <w:rFonts w:ascii="Book Antiqua" w:hAnsi="Book Antiqua"/>
        </w:rPr>
        <w:t>T</w:t>
      </w:r>
      <w:r w:rsidRPr="00E3232D">
        <w:rPr>
          <w:rFonts w:ascii="Book Antiqua" w:hAnsi="Book Antiqua"/>
          <w:spacing w:val="2"/>
        </w:rPr>
        <w:t>h</w:t>
      </w:r>
      <w:r w:rsidRPr="00E3232D">
        <w:rPr>
          <w:rFonts w:ascii="Book Antiqua" w:hAnsi="Book Antiqua"/>
        </w:rPr>
        <w:t>e</w:t>
      </w:r>
      <w:r w:rsidRPr="00E3232D">
        <w:rPr>
          <w:rFonts w:ascii="Book Antiqua" w:hAnsi="Book Antiqua"/>
          <w:spacing w:val="16"/>
        </w:rPr>
        <w:t xml:space="preserve"> </w:t>
      </w:r>
      <w:r w:rsidRPr="00E3232D">
        <w:rPr>
          <w:rFonts w:ascii="Book Antiqua" w:hAnsi="Book Antiqua"/>
        </w:rPr>
        <w:t>R</w:t>
      </w:r>
      <w:r w:rsidRPr="00E3232D">
        <w:rPr>
          <w:rFonts w:ascii="Book Antiqua" w:hAnsi="Book Antiqua"/>
          <w:spacing w:val="-1"/>
        </w:rPr>
        <w:t>e</w:t>
      </w:r>
      <w:r w:rsidRPr="00E3232D">
        <w:rPr>
          <w:rFonts w:ascii="Book Antiqua" w:hAnsi="Book Antiqua"/>
        </w:rPr>
        <w:t>lev</w:t>
      </w:r>
      <w:r w:rsidRPr="00E3232D">
        <w:rPr>
          <w:rFonts w:ascii="Book Antiqua" w:hAnsi="Book Antiqua"/>
          <w:spacing w:val="-1"/>
        </w:rPr>
        <w:t>a</w:t>
      </w:r>
      <w:r w:rsidRPr="00E3232D">
        <w:rPr>
          <w:rFonts w:ascii="Book Antiqua" w:hAnsi="Book Antiqua"/>
          <w:spacing w:val="2"/>
        </w:rPr>
        <w:t>n</w:t>
      </w:r>
      <w:r w:rsidRPr="00E3232D">
        <w:rPr>
          <w:rFonts w:ascii="Book Antiqua" w:hAnsi="Book Antiqua"/>
          <w:spacing w:val="-1"/>
        </w:rPr>
        <w:t>c</w:t>
      </w:r>
      <w:r w:rsidRPr="00E3232D">
        <w:rPr>
          <w:rFonts w:ascii="Book Antiqua" w:hAnsi="Book Antiqua"/>
        </w:rPr>
        <w:t>e</w:t>
      </w:r>
      <w:r w:rsidRPr="00E3232D">
        <w:rPr>
          <w:rFonts w:ascii="Book Antiqua" w:hAnsi="Book Antiqua"/>
          <w:spacing w:val="16"/>
        </w:rPr>
        <w:t xml:space="preserve"> </w:t>
      </w:r>
      <w:r w:rsidRPr="00E3232D">
        <w:rPr>
          <w:rFonts w:ascii="Book Antiqua" w:hAnsi="Book Antiqua"/>
        </w:rPr>
        <w:t>of</w:t>
      </w:r>
      <w:r w:rsidRPr="00E3232D">
        <w:rPr>
          <w:rFonts w:ascii="Book Antiqua" w:hAnsi="Book Antiqua"/>
          <w:spacing w:val="18"/>
        </w:rPr>
        <w:t xml:space="preserve"> </w:t>
      </w:r>
      <w:r w:rsidRPr="00E3232D">
        <w:rPr>
          <w:rFonts w:ascii="Book Antiqua" w:hAnsi="Book Antiqua"/>
        </w:rPr>
        <w:t>the</w:t>
      </w:r>
      <w:r w:rsidRPr="00E3232D">
        <w:rPr>
          <w:rFonts w:ascii="Book Antiqua" w:hAnsi="Book Antiqua"/>
          <w:spacing w:val="18"/>
        </w:rPr>
        <w:t xml:space="preserve"> </w:t>
      </w:r>
      <w:r w:rsidRPr="00E3232D">
        <w:rPr>
          <w:rFonts w:ascii="Book Antiqua" w:hAnsi="Book Antiqua"/>
          <w:spacing w:val="-1"/>
        </w:rPr>
        <w:t>F</w:t>
      </w:r>
      <w:r w:rsidRPr="00E3232D">
        <w:rPr>
          <w:rFonts w:ascii="Book Antiqua" w:hAnsi="Book Antiqua"/>
        </w:rPr>
        <w:t>le</w:t>
      </w:r>
      <w:r w:rsidRPr="00E3232D">
        <w:rPr>
          <w:rFonts w:ascii="Book Antiqua" w:hAnsi="Book Antiqua"/>
          <w:spacing w:val="2"/>
        </w:rPr>
        <w:t>x</w:t>
      </w:r>
      <w:r w:rsidRPr="00E3232D">
        <w:rPr>
          <w:rFonts w:ascii="Book Antiqua" w:hAnsi="Book Antiqua"/>
        </w:rPr>
        <w:t>ib</w:t>
      </w:r>
      <w:r w:rsidRPr="00E3232D">
        <w:rPr>
          <w:rFonts w:ascii="Book Antiqua" w:hAnsi="Book Antiqua"/>
          <w:spacing w:val="1"/>
        </w:rPr>
        <w:t>l</w:t>
      </w:r>
      <w:r w:rsidRPr="00E3232D">
        <w:rPr>
          <w:rFonts w:ascii="Book Antiqua" w:hAnsi="Book Antiqua"/>
        </w:rPr>
        <w:t>e</w:t>
      </w:r>
      <w:r w:rsidRPr="00E3232D">
        <w:rPr>
          <w:rFonts w:ascii="Book Antiqua" w:hAnsi="Book Antiqua"/>
          <w:spacing w:val="16"/>
        </w:rPr>
        <w:t xml:space="preserve"> </w:t>
      </w:r>
      <w:r w:rsidRPr="00E3232D">
        <w:rPr>
          <w:rFonts w:ascii="Book Antiqua" w:hAnsi="Book Antiqua"/>
          <w:spacing w:val="1"/>
        </w:rPr>
        <w:t>S</w:t>
      </w:r>
      <w:r w:rsidRPr="00E3232D">
        <w:rPr>
          <w:rFonts w:ascii="Book Antiqua" w:hAnsi="Book Antiqua"/>
        </w:rPr>
        <w:t>p</w:t>
      </w:r>
      <w:r w:rsidRPr="00E3232D">
        <w:rPr>
          <w:rFonts w:ascii="Book Antiqua" w:hAnsi="Book Antiqua"/>
          <w:spacing w:val="-1"/>
        </w:rPr>
        <w:t>ec</w:t>
      </w:r>
      <w:r w:rsidRPr="00E3232D">
        <w:rPr>
          <w:rFonts w:ascii="Book Antiqua" w:hAnsi="Book Antiqua"/>
        </w:rPr>
        <w:t>iali</w:t>
      </w:r>
      <w:r w:rsidRPr="00E3232D">
        <w:rPr>
          <w:rFonts w:ascii="Book Antiqua" w:hAnsi="Book Antiqua"/>
          <w:spacing w:val="2"/>
        </w:rPr>
        <w:t>z</w:t>
      </w:r>
      <w:r w:rsidRPr="00E3232D">
        <w:rPr>
          <w:rFonts w:ascii="Book Antiqua" w:hAnsi="Book Antiqua"/>
          <w:spacing w:val="-1"/>
        </w:rPr>
        <w:t>a</w:t>
      </w:r>
      <w:r w:rsidRPr="00E3232D">
        <w:rPr>
          <w:rFonts w:ascii="Book Antiqua" w:hAnsi="Book Antiqua"/>
        </w:rPr>
        <w:t>t</w:t>
      </w:r>
      <w:r w:rsidRPr="00E3232D">
        <w:rPr>
          <w:rFonts w:ascii="Book Antiqua" w:hAnsi="Book Antiqua"/>
          <w:spacing w:val="1"/>
        </w:rPr>
        <w:t>i</w:t>
      </w:r>
      <w:r w:rsidRPr="00E3232D">
        <w:rPr>
          <w:rFonts w:ascii="Book Antiqua" w:hAnsi="Book Antiqua"/>
        </w:rPr>
        <w:t>on</w:t>
      </w:r>
      <w:r w:rsidRPr="00E3232D">
        <w:rPr>
          <w:rFonts w:ascii="Book Antiqua" w:hAnsi="Book Antiqua"/>
          <w:spacing w:val="17"/>
        </w:rPr>
        <w:t xml:space="preserve"> </w:t>
      </w:r>
      <w:r w:rsidRPr="00E3232D">
        <w:rPr>
          <w:rFonts w:ascii="Book Antiqua" w:hAnsi="Book Antiqua"/>
          <w:spacing w:val="1"/>
        </w:rPr>
        <w:t>P</w:t>
      </w:r>
      <w:r w:rsidRPr="00E3232D">
        <w:rPr>
          <w:rFonts w:ascii="Book Antiqua" w:hAnsi="Book Antiqua"/>
          <w:spacing w:val="-1"/>
        </w:rPr>
        <w:t>a</w:t>
      </w:r>
      <w:r w:rsidRPr="00E3232D">
        <w:rPr>
          <w:rFonts w:ascii="Book Antiqua" w:hAnsi="Book Antiqua"/>
        </w:rPr>
        <w:t>r</w:t>
      </w:r>
      <w:r w:rsidRPr="00E3232D">
        <w:rPr>
          <w:rFonts w:ascii="Book Antiqua" w:hAnsi="Book Antiqua"/>
          <w:spacing w:val="-2"/>
        </w:rPr>
        <w:t>a</w:t>
      </w:r>
      <w:r w:rsidRPr="00E3232D">
        <w:rPr>
          <w:rFonts w:ascii="Book Antiqua" w:hAnsi="Book Antiqua"/>
        </w:rPr>
        <w:t>di</w:t>
      </w:r>
      <w:r w:rsidRPr="00E3232D">
        <w:rPr>
          <w:rFonts w:ascii="Book Antiqua" w:hAnsi="Book Antiqua"/>
          <w:spacing w:val="-2"/>
        </w:rPr>
        <w:t>g</w:t>
      </w:r>
      <w:r w:rsidRPr="00E3232D">
        <w:rPr>
          <w:rFonts w:ascii="Book Antiqua" w:hAnsi="Book Antiqua"/>
        </w:rPr>
        <w:t>m</w:t>
      </w:r>
      <w:r w:rsidRPr="00E3232D">
        <w:rPr>
          <w:rFonts w:ascii="Book Antiqua" w:hAnsi="Book Antiqua"/>
          <w:spacing w:val="17"/>
        </w:rPr>
        <w:t xml:space="preserve"> </w:t>
      </w:r>
      <w:r w:rsidRPr="00E3232D">
        <w:rPr>
          <w:rFonts w:ascii="Book Antiqua" w:hAnsi="Book Antiqua"/>
        </w:rPr>
        <w:t>f</w:t>
      </w:r>
      <w:r w:rsidRPr="00E3232D">
        <w:rPr>
          <w:rFonts w:ascii="Book Antiqua" w:hAnsi="Book Antiqua"/>
          <w:spacing w:val="1"/>
        </w:rPr>
        <w:t>o</w:t>
      </w:r>
      <w:r w:rsidRPr="00E3232D">
        <w:rPr>
          <w:rFonts w:ascii="Book Antiqua" w:hAnsi="Book Antiqua"/>
        </w:rPr>
        <w:t>r</w:t>
      </w:r>
      <w:r w:rsidRPr="00E3232D">
        <w:rPr>
          <w:rFonts w:ascii="Book Antiqua" w:hAnsi="Book Antiqua"/>
          <w:spacing w:val="16"/>
        </w:rPr>
        <w:t xml:space="preserve"> </w:t>
      </w:r>
      <w:r w:rsidRPr="00E3232D">
        <w:rPr>
          <w:rFonts w:ascii="Book Antiqua" w:hAnsi="Book Antiqua"/>
          <w:spacing w:val="1"/>
        </w:rPr>
        <w:t>S</w:t>
      </w:r>
      <w:r w:rsidRPr="00E3232D">
        <w:rPr>
          <w:rFonts w:ascii="Book Antiqua" w:hAnsi="Book Antiqua"/>
        </w:rPr>
        <w:t>mal</w:t>
      </w:r>
      <w:r w:rsidRPr="00E3232D">
        <w:rPr>
          <w:rFonts w:ascii="Book Antiqua" w:hAnsi="Book Antiqua"/>
          <w:spacing w:val="8"/>
        </w:rPr>
        <w:t>l</w:t>
      </w:r>
      <w:r w:rsidRPr="00E3232D">
        <w:rPr>
          <w:rFonts w:ascii="Book Antiqua" w:hAnsi="Book Antiqua"/>
        </w:rPr>
        <w:t>- s</w:t>
      </w:r>
      <w:r w:rsidRPr="00E3232D">
        <w:rPr>
          <w:rFonts w:ascii="Book Antiqua" w:hAnsi="Book Antiqua"/>
          <w:spacing w:val="-1"/>
        </w:rPr>
        <w:t>ca</w:t>
      </w:r>
      <w:r w:rsidRPr="00E3232D">
        <w:rPr>
          <w:rFonts w:ascii="Book Antiqua" w:hAnsi="Book Antiqua"/>
        </w:rPr>
        <w:t>le industri</w:t>
      </w:r>
      <w:r w:rsidRPr="00E3232D">
        <w:rPr>
          <w:rFonts w:ascii="Book Antiqua" w:hAnsi="Book Antiqua"/>
          <w:spacing w:val="-1"/>
        </w:rPr>
        <w:t>a</w:t>
      </w:r>
      <w:r w:rsidRPr="00E3232D">
        <w:rPr>
          <w:rFonts w:ascii="Book Antiqua" w:hAnsi="Book Antiqua"/>
        </w:rPr>
        <w:t xml:space="preserve">l </w:t>
      </w:r>
      <w:r w:rsidRPr="00E3232D">
        <w:rPr>
          <w:rFonts w:ascii="Book Antiqua" w:hAnsi="Book Antiqua"/>
          <w:spacing w:val="1"/>
        </w:rPr>
        <w:t>R</w:t>
      </w:r>
      <w:r w:rsidRPr="00E3232D">
        <w:rPr>
          <w:rFonts w:ascii="Book Antiqua" w:hAnsi="Book Antiqua"/>
          <w:spacing w:val="-1"/>
        </w:rPr>
        <w:t>e</w:t>
      </w:r>
      <w:r w:rsidRPr="00E3232D">
        <w:rPr>
          <w:rFonts w:ascii="Book Antiqua" w:hAnsi="Book Antiqua"/>
        </w:rPr>
        <w:t>stru</w:t>
      </w:r>
      <w:r w:rsidRPr="00E3232D">
        <w:rPr>
          <w:rFonts w:ascii="Book Antiqua" w:hAnsi="Book Antiqua"/>
          <w:spacing w:val="-1"/>
        </w:rPr>
        <w:t>c</w:t>
      </w:r>
      <w:r w:rsidRPr="00E3232D">
        <w:rPr>
          <w:rFonts w:ascii="Book Antiqua" w:hAnsi="Book Antiqua"/>
        </w:rPr>
        <w:t>t</w:t>
      </w:r>
      <w:r w:rsidRPr="00E3232D">
        <w:rPr>
          <w:rFonts w:ascii="Book Antiqua" w:hAnsi="Book Antiqua"/>
          <w:spacing w:val="3"/>
        </w:rPr>
        <w:t>u</w:t>
      </w:r>
      <w:r w:rsidRPr="00E3232D">
        <w:rPr>
          <w:rFonts w:ascii="Book Antiqua" w:hAnsi="Book Antiqua"/>
        </w:rPr>
        <w:t>ring</w:t>
      </w:r>
      <w:r w:rsidRPr="00E3232D">
        <w:rPr>
          <w:rFonts w:ascii="Book Antiqua" w:hAnsi="Book Antiqua"/>
          <w:spacing w:val="-3"/>
        </w:rPr>
        <w:t xml:space="preserve"> </w:t>
      </w:r>
      <w:r w:rsidRPr="00E3232D">
        <w:rPr>
          <w:rFonts w:ascii="Book Antiqua" w:hAnsi="Book Antiqua"/>
        </w:rPr>
        <w:t>in G</w:t>
      </w:r>
      <w:r w:rsidRPr="00E3232D">
        <w:rPr>
          <w:rFonts w:ascii="Book Antiqua" w:hAnsi="Book Antiqua"/>
          <w:spacing w:val="2"/>
        </w:rPr>
        <w:t>h</w:t>
      </w:r>
      <w:r w:rsidRPr="00E3232D">
        <w:rPr>
          <w:rFonts w:ascii="Book Antiqua" w:hAnsi="Book Antiqua"/>
          <w:spacing w:val="-1"/>
        </w:rPr>
        <w:t>a</w:t>
      </w:r>
      <w:r w:rsidRPr="00E3232D">
        <w:rPr>
          <w:rFonts w:ascii="Book Antiqua" w:hAnsi="Book Antiqua"/>
        </w:rPr>
        <w:t>n</w:t>
      </w:r>
      <w:r w:rsidRPr="00E3232D">
        <w:rPr>
          <w:rFonts w:ascii="Book Antiqua" w:hAnsi="Book Antiqua"/>
          <w:spacing w:val="-1"/>
        </w:rPr>
        <w:t>a</w:t>
      </w:r>
      <w:r w:rsidRPr="00E3232D">
        <w:rPr>
          <w:rFonts w:ascii="Book Antiqua" w:hAnsi="Book Antiqua"/>
        </w:rPr>
        <w:t>,</w:t>
      </w:r>
      <w:r w:rsidRPr="00E3232D">
        <w:rPr>
          <w:rFonts w:ascii="Book Antiqua" w:hAnsi="Book Antiqua"/>
          <w:spacing w:val="2"/>
        </w:rPr>
        <w:t xml:space="preserve"> </w:t>
      </w:r>
      <w:r w:rsidRPr="00E3232D">
        <w:rPr>
          <w:rFonts w:ascii="Book Antiqua" w:hAnsi="Book Antiqua"/>
          <w:spacing w:val="-3"/>
        </w:rPr>
        <w:t>I</w:t>
      </w:r>
      <w:r w:rsidRPr="00E3232D">
        <w:rPr>
          <w:rFonts w:ascii="Book Antiqua" w:hAnsi="Book Antiqua"/>
        </w:rPr>
        <w:t>DS</w:t>
      </w:r>
      <w:r w:rsidRPr="00E3232D">
        <w:rPr>
          <w:rFonts w:ascii="Book Antiqua" w:hAnsi="Book Antiqua"/>
          <w:spacing w:val="3"/>
        </w:rPr>
        <w:t xml:space="preserve"> </w:t>
      </w:r>
      <w:r w:rsidRPr="00E3232D">
        <w:rPr>
          <w:rFonts w:ascii="Book Antiqua" w:hAnsi="Book Antiqua"/>
          <w:spacing w:val="-2"/>
        </w:rPr>
        <w:t>B</w:t>
      </w:r>
      <w:r w:rsidRPr="00E3232D">
        <w:rPr>
          <w:rFonts w:ascii="Book Antiqua" w:hAnsi="Book Antiqua"/>
        </w:rPr>
        <w:t>ul</w:t>
      </w:r>
      <w:r w:rsidRPr="00E3232D">
        <w:rPr>
          <w:rFonts w:ascii="Book Antiqua" w:hAnsi="Book Antiqua"/>
          <w:spacing w:val="1"/>
        </w:rPr>
        <w:t>le</w:t>
      </w:r>
      <w:r w:rsidRPr="00E3232D">
        <w:rPr>
          <w:rFonts w:ascii="Book Antiqua" w:hAnsi="Book Antiqua"/>
        </w:rPr>
        <w:t>t</w:t>
      </w:r>
      <w:r w:rsidRPr="00E3232D">
        <w:rPr>
          <w:rFonts w:ascii="Book Antiqua" w:hAnsi="Book Antiqua"/>
          <w:spacing w:val="1"/>
        </w:rPr>
        <w:t>i</w:t>
      </w:r>
      <w:r w:rsidRPr="00E3232D">
        <w:rPr>
          <w:rFonts w:ascii="Book Antiqua" w:hAnsi="Book Antiqua"/>
        </w:rPr>
        <w:t>n Vol.23</w:t>
      </w:r>
    </w:p>
    <w:p w14:paraId="09ADAFA1" w14:textId="77777777" w:rsidR="00395328" w:rsidRDefault="00395328" w:rsidP="008275E1">
      <w:pPr>
        <w:widowControl w:val="0"/>
        <w:autoSpaceDE w:val="0"/>
        <w:autoSpaceDN w:val="0"/>
        <w:adjustRightInd w:val="0"/>
        <w:ind w:right="76"/>
        <w:rPr>
          <w:rFonts w:ascii="Book Antiqua" w:hAnsi="Book Antiqua"/>
        </w:rPr>
      </w:pPr>
    </w:p>
    <w:p w14:paraId="673777E5" w14:textId="77777777" w:rsidR="00465AE3" w:rsidRDefault="00465AE3" w:rsidP="008275E1">
      <w:pPr>
        <w:widowControl w:val="0"/>
        <w:autoSpaceDE w:val="0"/>
        <w:autoSpaceDN w:val="0"/>
        <w:adjustRightInd w:val="0"/>
        <w:ind w:right="76"/>
        <w:rPr>
          <w:rFonts w:ascii="Book Antiqua" w:hAnsi="Book Antiqua"/>
        </w:rPr>
        <w:sectPr w:rsidR="00465AE3" w:rsidSect="008F6BC9">
          <w:type w:val="continuous"/>
          <w:pgSz w:w="11907" w:h="16839" w:code="9"/>
          <w:pgMar w:top="1380" w:right="1320" w:bottom="280" w:left="1720" w:header="720" w:footer="720" w:gutter="0"/>
          <w:cols w:num="2" w:space="720"/>
          <w:noEndnote/>
        </w:sectPr>
      </w:pPr>
    </w:p>
    <w:p w14:paraId="55FF862C" w14:textId="77777777" w:rsidR="00C46BAF" w:rsidRDefault="00C46BAF" w:rsidP="00F074CC">
      <w:pPr>
        <w:rPr>
          <w:rFonts w:ascii="Book Antiqua" w:hAnsi="Book Antiqua"/>
          <w:b/>
          <w:sz w:val="26"/>
          <w:szCs w:val="26"/>
        </w:rPr>
        <w:sectPr w:rsidR="00C46BAF" w:rsidSect="008F6BC9">
          <w:type w:val="continuous"/>
          <w:pgSz w:w="11907" w:h="16839" w:code="9"/>
          <w:pgMar w:top="1380" w:right="1320" w:bottom="280" w:left="1720" w:header="720" w:footer="720" w:gutter="0"/>
          <w:cols w:space="720"/>
          <w:noEndnote/>
        </w:sectPr>
      </w:pPr>
    </w:p>
    <w:p w14:paraId="46CB3B19" w14:textId="77777777" w:rsidR="0057286B" w:rsidRPr="00181AF8" w:rsidRDefault="0057286B" w:rsidP="00465AE3">
      <w:pPr>
        <w:spacing w:after="0"/>
        <w:jc w:val="center"/>
        <w:rPr>
          <w:rFonts w:ascii="Book Antiqua" w:hAnsi="Book Antiqua"/>
          <w:b/>
          <w:sz w:val="26"/>
          <w:szCs w:val="26"/>
        </w:rPr>
      </w:pPr>
      <w:r w:rsidRPr="00181AF8">
        <w:rPr>
          <w:rFonts w:ascii="Book Antiqua" w:hAnsi="Book Antiqua"/>
          <w:b/>
          <w:sz w:val="26"/>
          <w:szCs w:val="26"/>
        </w:rPr>
        <w:t>Developing Capacity for the Production of Teaching Aids Using Locally Available Materials: Plastination of Three Types of Fishes (Tilapia, African</w:t>
      </w:r>
      <w:r w:rsidR="001765F6">
        <w:rPr>
          <w:rFonts w:ascii="Book Antiqua" w:hAnsi="Book Antiqua"/>
          <w:b/>
          <w:sz w:val="26"/>
          <w:szCs w:val="26"/>
        </w:rPr>
        <w:t xml:space="preserve"> </w:t>
      </w:r>
      <w:r w:rsidRPr="00181AF8">
        <w:rPr>
          <w:rFonts w:ascii="Book Antiqua" w:hAnsi="Book Antiqua"/>
          <w:b/>
          <w:sz w:val="26"/>
          <w:szCs w:val="26"/>
        </w:rPr>
        <w:t>Catfish</w:t>
      </w:r>
      <w:r w:rsidR="001765F6">
        <w:rPr>
          <w:rFonts w:ascii="Book Antiqua" w:hAnsi="Book Antiqua"/>
          <w:b/>
          <w:sz w:val="26"/>
          <w:szCs w:val="26"/>
        </w:rPr>
        <w:t xml:space="preserve"> </w:t>
      </w:r>
      <w:r w:rsidRPr="00181AF8">
        <w:rPr>
          <w:rFonts w:ascii="Book Antiqua" w:hAnsi="Book Antiqua"/>
          <w:b/>
          <w:sz w:val="26"/>
          <w:szCs w:val="26"/>
        </w:rPr>
        <w:t>and African Bonytongue)</w:t>
      </w:r>
    </w:p>
    <w:p w14:paraId="7DA7043F" w14:textId="77777777" w:rsidR="00577A98" w:rsidRDefault="00577A98" w:rsidP="00380077">
      <w:pPr>
        <w:spacing w:after="0"/>
        <w:jc w:val="center"/>
        <w:rPr>
          <w:rFonts w:ascii="Book Antiqua" w:hAnsi="Book Antiqua"/>
          <w:b/>
        </w:rPr>
      </w:pPr>
    </w:p>
    <w:p w14:paraId="0B5AE0BF" w14:textId="77777777" w:rsidR="00577A98" w:rsidRPr="00465AE3" w:rsidRDefault="00577A98" w:rsidP="00380077">
      <w:pPr>
        <w:spacing w:after="0"/>
        <w:jc w:val="center"/>
        <w:rPr>
          <w:rFonts w:ascii="Book Antiqua" w:hAnsi="Book Antiqua"/>
          <w:b/>
          <w:sz w:val="26"/>
        </w:rPr>
      </w:pPr>
      <w:r w:rsidRPr="00465AE3">
        <w:rPr>
          <w:rFonts w:ascii="Book Antiqua" w:hAnsi="Book Antiqua"/>
          <w:b/>
          <w:sz w:val="26"/>
        </w:rPr>
        <w:t>Ameko</w:t>
      </w:r>
      <w:r w:rsidR="008F2AED" w:rsidRPr="00465AE3">
        <w:rPr>
          <w:rFonts w:ascii="Book Antiqua" w:hAnsi="Book Antiqua"/>
          <w:b/>
          <w:sz w:val="26"/>
        </w:rPr>
        <w:t xml:space="preserve"> E.</w:t>
      </w:r>
      <w:r w:rsidRPr="00465AE3">
        <w:rPr>
          <w:rFonts w:ascii="Book Antiqua" w:hAnsi="Book Antiqua"/>
          <w:b/>
          <w:sz w:val="26"/>
        </w:rPr>
        <w:t>, Milla-Amekor</w:t>
      </w:r>
      <w:r w:rsidR="008F2AED" w:rsidRPr="00465AE3">
        <w:rPr>
          <w:rFonts w:ascii="Book Antiqua" w:hAnsi="Book Antiqua"/>
          <w:b/>
          <w:sz w:val="26"/>
        </w:rPr>
        <w:t xml:space="preserve"> E.</w:t>
      </w:r>
      <w:r w:rsidRPr="00465AE3">
        <w:rPr>
          <w:rFonts w:ascii="Book Antiqua" w:hAnsi="Book Antiqua"/>
          <w:b/>
          <w:sz w:val="26"/>
        </w:rPr>
        <w:t>, Achio</w:t>
      </w:r>
      <w:r w:rsidR="008F2AED" w:rsidRPr="00465AE3">
        <w:rPr>
          <w:rFonts w:ascii="Book Antiqua" w:hAnsi="Book Antiqua"/>
          <w:b/>
          <w:sz w:val="26"/>
        </w:rPr>
        <w:t xml:space="preserve"> S.</w:t>
      </w:r>
      <w:r w:rsidRPr="00465AE3">
        <w:rPr>
          <w:rFonts w:ascii="Book Antiqua" w:hAnsi="Book Antiqua"/>
          <w:b/>
          <w:sz w:val="26"/>
        </w:rPr>
        <w:t>, Alhassan</w:t>
      </w:r>
      <w:r w:rsidR="008F2AED" w:rsidRPr="00465AE3">
        <w:rPr>
          <w:rFonts w:ascii="Book Antiqua" w:hAnsi="Book Antiqua"/>
          <w:b/>
          <w:sz w:val="26"/>
        </w:rPr>
        <w:t xml:space="preserve"> S. </w:t>
      </w:r>
      <w:r w:rsidRPr="00465AE3">
        <w:rPr>
          <w:rFonts w:ascii="Book Antiqua" w:hAnsi="Book Antiqua"/>
          <w:b/>
          <w:sz w:val="26"/>
        </w:rPr>
        <w:t xml:space="preserve"> </w:t>
      </w:r>
      <w:r w:rsidR="00181AF8" w:rsidRPr="00465AE3">
        <w:rPr>
          <w:rFonts w:ascii="Book Antiqua" w:hAnsi="Book Antiqua"/>
          <w:b/>
          <w:sz w:val="26"/>
        </w:rPr>
        <w:t>&amp;</w:t>
      </w:r>
      <w:r w:rsidRPr="00465AE3">
        <w:rPr>
          <w:rFonts w:ascii="Book Antiqua" w:hAnsi="Book Antiqua"/>
          <w:b/>
          <w:sz w:val="26"/>
        </w:rPr>
        <w:t xml:space="preserve"> Ekpe</w:t>
      </w:r>
      <w:r w:rsidR="008F2AED" w:rsidRPr="00465AE3">
        <w:rPr>
          <w:rFonts w:ascii="Book Antiqua" w:hAnsi="Book Antiqua"/>
          <w:b/>
          <w:sz w:val="26"/>
        </w:rPr>
        <w:t xml:space="preserve"> J. </w:t>
      </w:r>
      <w:r w:rsidRPr="00465AE3">
        <w:rPr>
          <w:rFonts w:ascii="Book Antiqua" w:hAnsi="Book Antiqua"/>
          <w:b/>
          <w:sz w:val="26"/>
        </w:rPr>
        <w:t xml:space="preserve"> </w:t>
      </w:r>
    </w:p>
    <w:p w14:paraId="386CBC9B" w14:textId="77777777" w:rsidR="00577A98" w:rsidRPr="00285870" w:rsidRDefault="00E553A5" w:rsidP="000B54BC">
      <w:pPr>
        <w:spacing w:after="0"/>
        <w:jc w:val="center"/>
        <w:rPr>
          <w:rFonts w:ascii="Book Antiqua" w:hAnsi="Book Antiqua"/>
        </w:rPr>
      </w:pPr>
      <w:r w:rsidRPr="00285870">
        <w:rPr>
          <w:rFonts w:ascii="Book Antiqua" w:hAnsi="Book Antiqua"/>
        </w:rPr>
        <w:t>Accra Polytechnic, Accra</w:t>
      </w:r>
    </w:p>
    <w:p w14:paraId="3E8C4925" w14:textId="77777777" w:rsidR="00E553A5" w:rsidRPr="000B54BC" w:rsidRDefault="00E553A5" w:rsidP="000B54BC">
      <w:pPr>
        <w:spacing w:line="240" w:lineRule="auto"/>
        <w:jc w:val="center"/>
        <w:rPr>
          <w:rFonts w:ascii="Times New Roman" w:hAnsi="Times New Roman"/>
          <w:color w:val="000033"/>
          <w:sz w:val="24"/>
          <w:szCs w:val="24"/>
        </w:rPr>
      </w:pPr>
      <w:r>
        <w:rPr>
          <w:rFonts w:ascii="Book Antiqua" w:hAnsi="Book Antiqua"/>
          <w:b/>
        </w:rPr>
        <w:t>E-mail:</w:t>
      </w:r>
      <w:r w:rsidR="00380077">
        <w:rPr>
          <w:rFonts w:ascii="Book Antiqua" w:hAnsi="Book Antiqua"/>
          <w:b/>
        </w:rPr>
        <w:t xml:space="preserve"> </w:t>
      </w:r>
      <w:hyperlink r:id="rId216" w:history="1">
        <w:r w:rsidR="002365CA" w:rsidRPr="000B54BC">
          <w:rPr>
            <w:rStyle w:val="Hyperlink"/>
            <w:rFonts w:ascii="Times New Roman" w:hAnsi="Times New Roman"/>
            <w:color w:val="auto"/>
            <w:sz w:val="24"/>
            <w:szCs w:val="24"/>
            <w:u w:val="none"/>
          </w:rPr>
          <w:t>edmundameko@yahoo.com</w:t>
        </w:r>
      </w:hyperlink>
      <w:r w:rsidR="00285870" w:rsidRPr="000B54BC">
        <w:t xml:space="preserve">, </w:t>
      </w:r>
      <w:hyperlink r:id="rId217" w:history="1">
        <w:r w:rsidR="00285870" w:rsidRPr="000B54BC">
          <w:rPr>
            <w:rStyle w:val="Hyperlink"/>
            <w:rFonts w:ascii="Times New Roman" w:hAnsi="Times New Roman"/>
            <w:color w:val="auto"/>
            <w:sz w:val="24"/>
            <w:szCs w:val="24"/>
            <w:u w:val="none"/>
          </w:rPr>
          <w:t>s_achio@accrapolytechnic.edu.gh</w:t>
        </w:r>
      </w:hyperlink>
      <w:r w:rsidR="00285870" w:rsidRPr="000B54BC">
        <w:t xml:space="preserve"> </w:t>
      </w:r>
      <w:r w:rsidR="00F74D1E" w:rsidRPr="000B54BC">
        <w:rPr>
          <w:rFonts w:ascii="Times New Roman" w:hAnsi="Times New Roman"/>
          <w:sz w:val="24"/>
          <w:szCs w:val="24"/>
        </w:rPr>
        <w:t xml:space="preserve">&amp; </w:t>
      </w:r>
      <w:hyperlink r:id="rId218" w:history="1">
        <w:r w:rsidR="00285870" w:rsidRPr="000B54BC">
          <w:rPr>
            <w:rStyle w:val="Hyperlink"/>
            <w:rFonts w:ascii="Times New Roman" w:hAnsi="Times New Roman"/>
            <w:color w:val="auto"/>
            <w:sz w:val="24"/>
            <w:szCs w:val="24"/>
            <w:u w:val="none"/>
          </w:rPr>
          <w:t>alansah2001@yahoo.com</w:t>
        </w:r>
      </w:hyperlink>
    </w:p>
    <w:p w14:paraId="26DEEB2E" w14:textId="77777777" w:rsidR="0057286B" w:rsidRPr="000B54BC" w:rsidRDefault="0057286B" w:rsidP="000B54BC">
      <w:pPr>
        <w:pStyle w:val="Heading1"/>
        <w:jc w:val="both"/>
        <w:rPr>
          <w:rFonts w:ascii="Book Antiqua" w:hAnsi="Book Antiqua"/>
          <w:sz w:val="22"/>
          <w:szCs w:val="22"/>
        </w:rPr>
      </w:pPr>
      <w:bookmarkStart w:id="41" w:name="_Toc349330750"/>
      <w:bookmarkStart w:id="42" w:name="_Toc349330955"/>
      <w:bookmarkStart w:id="43" w:name="_Toc349331378"/>
      <w:r w:rsidRPr="000B54BC">
        <w:rPr>
          <w:rFonts w:ascii="Book Antiqua" w:hAnsi="Book Antiqua"/>
          <w:sz w:val="26"/>
          <w:szCs w:val="22"/>
        </w:rPr>
        <w:t>Abstract</w:t>
      </w:r>
      <w:bookmarkEnd w:id="41"/>
      <w:bookmarkEnd w:id="42"/>
      <w:bookmarkEnd w:id="43"/>
    </w:p>
    <w:p w14:paraId="50F11C47" w14:textId="77777777" w:rsidR="0051648C" w:rsidRPr="000B54BC" w:rsidRDefault="0057286B" w:rsidP="000B54BC">
      <w:pPr>
        <w:jc w:val="both"/>
        <w:rPr>
          <w:rFonts w:ascii="Book Antiqua" w:hAnsi="Book Antiqua"/>
        </w:rPr>
      </w:pPr>
      <w:r w:rsidRPr="00E3232D">
        <w:rPr>
          <w:rFonts w:ascii="Book Antiqua" w:hAnsi="Book Antiqua"/>
        </w:rPr>
        <w:t>The objective of this study was to preserve, through plastination, fresh samples of three species of fishes</w:t>
      </w:r>
      <w:r w:rsidR="00F74D1E">
        <w:rPr>
          <w:rFonts w:ascii="Book Antiqua" w:hAnsi="Book Antiqua"/>
        </w:rPr>
        <w:t xml:space="preserve"> </w:t>
      </w:r>
      <w:r w:rsidRPr="00E3232D">
        <w:rPr>
          <w:rFonts w:ascii="Book Antiqua" w:hAnsi="Book Antiqua"/>
        </w:rPr>
        <w:t>(</w:t>
      </w:r>
      <w:r w:rsidRPr="00E3232D">
        <w:rPr>
          <w:rFonts w:ascii="Book Antiqua" w:hAnsi="Book Antiqua"/>
          <w:i/>
        </w:rPr>
        <w:t>Tilapia, African Catfish and African Bonytongue</w:t>
      </w:r>
      <w:r w:rsidRPr="00E3232D">
        <w:rPr>
          <w:rFonts w:ascii="Book Antiqua" w:hAnsi="Book Antiqua"/>
        </w:rPr>
        <w:t>) for use as teaching aids. Distances between selected anatomical structures were measured on the surface of the fresh specimens and during various stages of plastination to determine changes in the shapes, sizes and physical structure of the samples. The plastinated specimens were markedly darker than the fresh specimens. Plastination caused shrinkage in all the samples but this was not significant (p≤0.05).The plastinated specimens retained their general shapes and their anatomical structures were preserved. These specimens,</w:t>
      </w:r>
      <w:r w:rsidR="005B25C4">
        <w:rPr>
          <w:rFonts w:ascii="Book Antiqua" w:hAnsi="Book Antiqua"/>
        </w:rPr>
        <w:t xml:space="preserve">  </w:t>
      </w:r>
      <w:r w:rsidRPr="00E3232D">
        <w:rPr>
          <w:rFonts w:ascii="Book Antiqua" w:hAnsi="Book Antiqua"/>
        </w:rPr>
        <w:t xml:space="preserve">therefore, areuseful models of the fishes and can be used as teaching aids. </w:t>
      </w:r>
    </w:p>
    <w:p w14:paraId="4CD69E18" w14:textId="77777777" w:rsidR="0057286B" w:rsidRPr="00380077" w:rsidRDefault="0057286B" w:rsidP="0057286B">
      <w:pPr>
        <w:rPr>
          <w:rFonts w:ascii="Book Antiqua" w:hAnsi="Book Antiqua"/>
        </w:rPr>
      </w:pPr>
      <w:r w:rsidRPr="00E3232D">
        <w:rPr>
          <w:rFonts w:ascii="Book Antiqua" w:hAnsi="Book Antiqua"/>
          <w:b/>
        </w:rPr>
        <w:t xml:space="preserve">Key words: </w:t>
      </w:r>
      <w:r w:rsidRPr="00380077">
        <w:rPr>
          <w:rFonts w:ascii="Book Antiqua" w:hAnsi="Book Antiqua"/>
        </w:rPr>
        <w:t>Preserve</w:t>
      </w:r>
      <w:r w:rsidR="000B54BC">
        <w:rPr>
          <w:rFonts w:ascii="Book Antiqua" w:hAnsi="Book Antiqua"/>
        </w:rPr>
        <w:t>;</w:t>
      </w:r>
      <w:r w:rsidRPr="00380077">
        <w:rPr>
          <w:rFonts w:ascii="Book Antiqua" w:hAnsi="Book Antiqua"/>
        </w:rPr>
        <w:t xml:space="preserve"> Plastinate</w:t>
      </w:r>
      <w:r w:rsidR="000B54BC">
        <w:rPr>
          <w:rFonts w:ascii="Book Antiqua" w:hAnsi="Book Antiqua"/>
        </w:rPr>
        <w:t>;</w:t>
      </w:r>
      <w:r w:rsidRPr="00380077">
        <w:rPr>
          <w:rFonts w:ascii="Book Antiqua" w:hAnsi="Book Antiqua"/>
        </w:rPr>
        <w:t xml:space="preserve"> Fishes</w:t>
      </w:r>
      <w:r w:rsidR="000B54BC">
        <w:rPr>
          <w:rFonts w:ascii="Book Antiqua" w:hAnsi="Book Antiqua"/>
        </w:rPr>
        <w:t>;</w:t>
      </w:r>
      <w:r w:rsidRPr="00380077">
        <w:rPr>
          <w:rFonts w:ascii="Book Antiqua" w:hAnsi="Book Antiqua"/>
        </w:rPr>
        <w:t xml:space="preserve"> Teaching </w:t>
      </w:r>
      <w:r w:rsidR="000B54BC" w:rsidRPr="00380077">
        <w:rPr>
          <w:rFonts w:ascii="Book Antiqua" w:hAnsi="Book Antiqua"/>
        </w:rPr>
        <w:t xml:space="preserve">Aids </w:t>
      </w:r>
    </w:p>
    <w:p w14:paraId="607BD170" w14:textId="77777777" w:rsidR="0057286B" w:rsidRPr="00E3232D" w:rsidRDefault="0057286B" w:rsidP="0057286B">
      <w:pPr>
        <w:widowControl w:val="0"/>
        <w:tabs>
          <w:tab w:val="left" w:pos="1240"/>
        </w:tabs>
        <w:autoSpaceDE w:val="0"/>
        <w:autoSpaceDN w:val="0"/>
        <w:adjustRightInd w:val="0"/>
        <w:spacing w:before="240"/>
        <w:ind w:right="80"/>
        <w:rPr>
          <w:rFonts w:ascii="Book Antiqua" w:hAnsi="Book Antiqua"/>
        </w:rPr>
        <w:sectPr w:rsidR="0057286B" w:rsidRPr="00E3232D" w:rsidSect="008F6BC9">
          <w:type w:val="continuous"/>
          <w:pgSz w:w="11907" w:h="16839" w:code="9"/>
          <w:pgMar w:top="1380" w:right="1320" w:bottom="280" w:left="1720" w:header="720" w:footer="720" w:gutter="0"/>
          <w:cols w:space="720"/>
          <w:noEndnote/>
        </w:sectPr>
      </w:pPr>
    </w:p>
    <w:p w14:paraId="091EA3E9" w14:textId="77777777" w:rsidR="0057286B" w:rsidRPr="00E3232D" w:rsidRDefault="0057286B" w:rsidP="00196385">
      <w:pPr>
        <w:pStyle w:val="Heading2"/>
        <w:keepLines/>
        <w:numPr>
          <w:ilvl w:val="0"/>
          <w:numId w:val="178"/>
        </w:numPr>
        <w:rPr>
          <w:rFonts w:ascii="Book Antiqua" w:hAnsi="Book Antiqua"/>
          <w:sz w:val="22"/>
          <w:szCs w:val="22"/>
        </w:rPr>
      </w:pPr>
      <w:r w:rsidRPr="000B54BC">
        <w:rPr>
          <w:rFonts w:ascii="Book Antiqua" w:hAnsi="Book Antiqua"/>
          <w:szCs w:val="22"/>
        </w:rPr>
        <w:t>Introduction</w:t>
      </w:r>
    </w:p>
    <w:p w14:paraId="7782DC89" w14:textId="77777777" w:rsidR="0057286B" w:rsidRPr="00E3232D" w:rsidRDefault="0057286B" w:rsidP="000B54BC">
      <w:pPr>
        <w:pStyle w:val="NormalWeb"/>
        <w:spacing w:after="0" w:afterAutospacing="0" w:line="276" w:lineRule="auto"/>
        <w:jc w:val="both"/>
        <w:rPr>
          <w:rStyle w:val="citation"/>
          <w:rFonts w:ascii="Book Antiqua" w:hAnsi="Book Antiqua"/>
          <w:sz w:val="22"/>
          <w:szCs w:val="22"/>
        </w:rPr>
      </w:pPr>
      <w:r w:rsidRPr="00E3232D">
        <w:rPr>
          <w:rStyle w:val="citation"/>
          <w:rFonts w:ascii="Book Antiqua" w:hAnsi="Book Antiqua"/>
          <w:sz w:val="22"/>
          <w:szCs w:val="22"/>
        </w:rPr>
        <w:t xml:space="preserve">For decades, courses in Life Sciences have relied on dissection to help students understand the anatomical complexities of variety of animals. Animal dissection, however, does not appeal to all students. Many biology teachers, in fact, speculate that having to dissect wet animal specimens frequently discourages students, particularly those with a marginal interest in the subject from electing to take Life Sciences courses (Faizah et al. 2004). </w:t>
      </w:r>
    </w:p>
    <w:p w14:paraId="72536B21" w14:textId="77777777" w:rsidR="00651FCD" w:rsidRDefault="00651FCD" w:rsidP="000B54BC">
      <w:pPr>
        <w:widowControl w:val="0"/>
        <w:autoSpaceDE w:val="0"/>
        <w:autoSpaceDN w:val="0"/>
        <w:adjustRightInd w:val="0"/>
        <w:ind w:right="76"/>
        <w:jc w:val="both"/>
        <w:rPr>
          <w:rStyle w:val="citation"/>
          <w:rFonts w:ascii="Book Antiqua" w:hAnsi="Book Antiqua"/>
        </w:rPr>
      </w:pPr>
    </w:p>
    <w:p w14:paraId="0541B878" w14:textId="77777777" w:rsidR="00746B24" w:rsidRPr="00651FCD" w:rsidRDefault="0057286B" w:rsidP="000B54BC">
      <w:pPr>
        <w:widowControl w:val="0"/>
        <w:autoSpaceDE w:val="0"/>
        <w:autoSpaceDN w:val="0"/>
        <w:adjustRightInd w:val="0"/>
        <w:ind w:right="76"/>
        <w:jc w:val="both"/>
        <w:rPr>
          <w:rFonts w:ascii="Book Antiqua" w:hAnsi="Book Antiqua"/>
        </w:rPr>
        <w:sectPr w:rsidR="00746B24" w:rsidRPr="00651FCD" w:rsidSect="008F6BC9">
          <w:footerReference w:type="default" r:id="rId219"/>
          <w:type w:val="continuous"/>
          <w:pgSz w:w="11907" w:h="16839" w:code="9"/>
          <w:pgMar w:top="1380" w:right="1320" w:bottom="280" w:left="1720" w:header="720" w:footer="720" w:gutter="0"/>
          <w:cols w:num="2" w:space="720"/>
          <w:noEndnote/>
        </w:sectPr>
      </w:pPr>
      <w:r w:rsidRPr="00E3232D">
        <w:rPr>
          <w:rStyle w:val="citation"/>
          <w:rFonts w:ascii="Book Antiqua" w:hAnsi="Book Antiqua"/>
        </w:rPr>
        <w:t xml:space="preserve">Animal dissection brings with it several important issues that cannot be ignored. The most serious of these involve the type of fluids used to preserve the specimens. Many of these fluids, especially those which contain formaldehyde,e.g. Formalin,are so toxic that prolonged exposure to them poseshealth risks to persons who handle the specimens or inhale the fumes. </w:t>
      </w:r>
      <w:r w:rsidRPr="00E3232D">
        <w:rPr>
          <w:rFonts w:ascii="Book Antiqua" w:hAnsi="Book Antiqua"/>
        </w:rPr>
        <w:t>Inhalation of formalin</w:t>
      </w:r>
      <w:r w:rsidR="00651FCD">
        <w:rPr>
          <w:rFonts w:ascii="Book Antiqua" w:hAnsi="Book Antiqua"/>
        </w:rPr>
        <w:t xml:space="preserve">  </w:t>
      </w:r>
    </w:p>
    <w:p w14:paraId="454E813A" w14:textId="77777777" w:rsidR="001C5D75" w:rsidRPr="00E3232D" w:rsidRDefault="001C5D75" w:rsidP="008275E1">
      <w:pPr>
        <w:widowControl w:val="0"/>
        <w:tabs>
          <w:tab w:val="left" w:pos="1240"/>
        </w:tabs>
        <w:autoSpaceDE w:val="0"/>
        <w:autoSpaceDN w:val="0"/>
        <w:adjustRightInd w:val="0"/>
        <w:spacing w:before="240"/>
        <w:ind w:right="80"/>
        <w:rPr>
          <w:rFonts w:ascii="Book Antiqua" w:hAnsi="Book Antiqua"/>
        </w:rPr>
        <w:sectPr w:rsidR="001C5D75" w:rsidRPr="00E3232D" w:rsidSect="008F6BC9">
          <w:type w:val="continuous"/>
          <w:pgSz w:w="11907" w:h="16839" w:code="9"/>
          <w:pgMar w:top="1380" w:right="1320" w:bottom="280" w:left="1720" w:header="720" w:footer="720" w:gutter="0"/>
          <w:cols w:num="2" w:space="720"/>
          <w:noEndnote/>
        </w:sectPr>
      </w:pPr>
    </w:p>
    <w:p w14:paraId="6FC0594C" w14:textId="77777777" w:rsidR="006D74A9" w:rsidRPr="00E3232D" w:rsidRDefault="006D74A9" w:rsidP="000B54BC">
      <w:pPr>
        <w:spacing w:after="120"/>
        <w:jc w:val="both"/>
        <w:rPr>
          <w:rFonts w:ascii="Book Antiqua" w:hAnsi="Book Antiqua"/>
          <w:bCs/>
        </w:rPr>
      </w:pPr>
      <w:r w:rsidRPr="00E3232D">
        <w:rPr>
          <w:rFonts w:ascii="Book Antiqua" w:hAnsi="Book Antiqua"/>
        </w:rPr>
        <w:t>fumes causes extreme discomfort and could be harmful. Contact with formaldehyde causes severe skin irritation andcontact with sore or raw spots causes extreme pain. Formaldehyde is also a carcinogen (</w:t>
      </w:r>
      <w:r w:rsidRPr="00E3232D">
        <w:rPr>
          <w:rFonts w:ascii="Book Antiqua" w:hAnsi="Book Antiqua"/>
          <w:bCs/>
        </w:rPr>
        <w:t xml:space="preserve">Lim and Sivasothi, 2004). </w:t>
      </w:r>
      <w:r w:rsidRPr="00E3232D">
        <w:rPr>
          <w:rStyle w:val="citation"/>
          <w:rFonts w:ascii="Book Antiqua" w:hAnsi="Book Antiqua"/>
        </w:rPr>
        <w:t xml:space="preserve">No matter how good modern preservation techniques are, they can never totally protect specimens from deteriorating through decay or desiccation or both. To prevent desiccation, specimens must always be moistened and covered when they are not in use, and whenever possible should also be refrigerated to provide them the best possible protection. </w:t>
      </w:r>
      <w:r w:rsidRPr="00E3232D">
        <w:rPr>
          <w:rFonts w:ascii="Book Antiqua" w:hAnsi="Book Antiqua"/>
        </w:rPr>
        <w:t>A pilot study by the authors of biology laboratories in five Senior High Schools in Accra showed that fish specimens for practical biology classes are preserved with formaldehyde or alcohol. Such specimens are wet with a fairly strong odor, and are oily and soft (Farihah et al. 2004).</w:t>
      </w:r>
    </w:p>
    <w:p w14:paraId="412EA089" w14:textId="77777777" w:rsidR="006D74A9" w:rsidRPr="00E3232D" w:rsidRDefault="006D74A9" w:rsidP="000B54BC">
      <w:pPr>
        <w:pStyle w:val="NormalWeb"/>
        <w:spacing w:after="0" w:afterAutospacing="0" w:line="276" w:lineRule="auto"/>
        <w:jc w:val="both"/>
        <w:rPr>
          <w:rStyle w:val="citation"/>
          <w:rFonts w:ascii="Book Antiqua" w:hAnsi="Book Antiqua"/>
          <w:sz w:val="22"/>
          <w:szCs w:val="22"/>
        </w:rPr>
      </w:pPr>
      <w:r w:rsidRPr="00E3232D">
        <w:rPr>
          <w:rStyle w:val="citation"/>
          <w:rFonts w:ascii="Book Antiqua" w:hAnsi="Book Antiqua"/>
          <w:sz w:val="22"/>
          <w:szCs w:val="22"/>
        </w:rPr>
        <w:t>Until recently there was nothing teachers could do but endure these problems. In the late 1970s, a permanent preservation process was developed by Dr. Gunther Von Hagens at the University of Heidelberg to specifically address many of the problems associated with wet specimen dissection. This patented process, which Dr Von Hagens called “Plastination”</w:t>
      </w:r>
      <w:r w:rsidRPr="00E3232D">
        <w:rPr>
          <w:rFonts w:ascii="Book Antiqua" w:hAnsi="Book Antiqua"/>
          <w:sz w:val="22"/>
          <w:szCs w:val="22"/>
        </w:rPr>
        <w:t>(Henry et al. 1997)</w:t>
      </w:r>
      <w:r w:rsidRPr="00E3232D">
        <w:rPr>
          <w:rStyle w:val="citation"/>
          <w:rFonts w:ascii="Book Antiqua" w:hAnsi="Book Antiqua"/>
          <w:sz w:val="22"/>
          <w:szCs w:val="22"/>
        </w:rPr>
        <w:t xml:space="preserve">. The Silicone 10 (S10) standard procedureinvolves the fixation of the tissues of the specimen with preservative, washing out all the preservative with water, removing all the water from the tissuesofthe specimen through the use of a suitable dehydrating agent. Then, under vacuum the specimen is impregnated with a liquid plastic polymer which is subsequently cured to harden by polymerization </w:t>
      </w:r>
      <w:r w:rsidRPr="00E3232D">
        <w:rPr>
          <w:rFonts w:ascii="Book Antiqua" w:hAnsi="Book Antiqua"/>
          <w:sz w:val="22"/>
          <w:szCs w:val="22"/>
        </w:rPr>
        <w:t>(Henry et al. 1997)</w:t>
      </w:r>
      <w:r w:rsidRPr="00E3232D">
        <w:rPr>
          <w:rStyle w:val="citation"/>
          <w:rFonts w:ascii="Book Antiqua" w:hAnsi="Book Antiqua"/>
          <w:sz w:val="22"/>
          <w:szCs w:val="22"/>
        </w:rPr>
        <w:t xml:space="preserve">. </w:t>
      </w:r>
    </w:p>
    <w:p w14:paraId="34D17F36" w14:textId="77777777" w:rsidR="006D74A9" w:rsidRPr="00E3232D" w:rsidRDefault="006D74A9" w:rsidP="000B54BC">
      <w:pPr>
        <w:pStyle w:val="NormalWeb"/>
        <w:spacing w:after="0" w:afterAutospacing="0" w:line="276" w:lineRule="auto"/>
        <w:jc w:val="both"/>
        <w:rPr>
          <w:rStyle w:val="citation"/>
          <w:rFonts w:ascii="Book Antiqua" w:hAnsi="Book Antiqua"/>
          <w:sz w:val="22"/>
          <w:szCs w:val="22"/>
        </w:rPr>
      </w:pPr>
      <w:r w:rsidRPr="00E3232D">
        <w:rPr>
          <w:rStyle w:val="citation"/>
          <w:rFonts w:ascii="Book Antiqua" w:hAnsi="Book Antiqua"/>
          <w:sz w:val="22"/>
          <w:szCs w:val="22"/>
        </w:rPr>
        <w:t xml:space="preserve">According to Zheng et al. (2000) it is possible for developing countries to plastinate specimens using locally available materials. Ameko, Achio, Alhassan and Korankye (2010) adapted the S10 plastination procedure for a pilot project on the use of silicone paste available in local hardware stores to “Plastinate biological specimen for use as teaching aids”, using the heart of a goat as the test specimen. The level of shrinkage of the preserved specimen was such that the shape of the specimen was grossly distorted. The final product was greatly discoloured and became dark brown. However, the plastinated specimen was well preserved, rigid, and odourless. </w:t>
      </w:r>
    </w:p>
    <w:p w14:paraId="640A137B" w14:textId="77777777" w:rsidR="006D74A9" w:rsidRPr="00E3232D" w:rsidRDefault="006D74A9" w:rsidP="000B54BC">
      <w:pPr>
        <w:pStyle w:val="NormalWeb"/>
        <w:spacing w:after="0" w:afterAutospacing="0" w:line="276" w:lineRule="auto"/>
        <w:jc w:val="both"/>
        <w:rPr>
          <w:rStyle w:val="citation"/>
          <w:rFonts w:ascii="Book Antiqua" w:hAnsi="Book Antiqua"/>
          <w:sz w:val="22"/>
          <w:szCs w:val="22"/>
        </w:rPr>
      </w:pPr>
      <w:r w:rsidRPr="00E3232D">
        <w:rPr>
          <w:rStyle w:val="citation"/>
          <w:rFonts w:ascii="Book Antiqua" w:hAnsi="Book Antiqua"/>
          <w:sz w:val="22"/>
          <w:szCs w:val="22"/>
        </w:rPr>
        <w:t xml:space="preserve">Ameko et al. (2012) with funding from Accra Polytechnic conducted a study on the use of locally available materials in Ghana to prepare plastinated specimens including the heart and kidneys of a Cow. This study modified the procedure used in the earlier study (Ameko et al. 2010) by the addition of a silicone hardener solution obtained from a local hardware store to the silicone paste at the post- impregnation stage prior to curing. Even though all the specimens showed various degrees of discolouration and some amount of shrinkage in the cow heart and kidney, the general shapes of the plastinated specimens were maintained. In a study Ameko et al. (2013) modified the procedure used by Ameko et al (2012) by applying the silicone paste and silicone hardener solution to three bovine hearts and kidneys at the pre-impregnation stage instead of at the post-impregnation stage. This aided the diffusion of the hardener into the tissues of the specimen andmade the specimen more rigid. </w:t>
      </w:r>
      <w:r w:rsidRPr="00E3232D">
        <w:rPr>
          <w:rFonts w:ascii="Book Antiqua" w:eastAsia="Calibri" w:hAnsi="Book Antiqua"/>
          <w:sz w:val="22"/>
          <w:szCs w:val="22"/>
        </w:rPr>
        <w:t>The plastinated specimens were dry, rigid, and odourless and their general shapes and structures were maintained making them easy to handle and suitable for use as teaching aids.</w:t>
      </w:r>
    </w:p>
    <w:p w14:paraId="719A3FDB" w14:textId="77777777" w:rsidR="0051648C" w:rsidRDefault="0051648C" w:rsidP="000B54BC">
      <w:pPr>
        <w:spacing w:after="120"/>
        <w:jc w:val="both"/>
        <w:rPr>
          <w:rFonts w:ascii="Book Antiqua" w:hAnsi="Book Antiqua"/>
        </w:rPr>
      </w:pPr>
    </w:p>
    <w:p w14:paraId="45909D29" w14:textId="77777777" w:rsidR="00380077" w:rsidRPr="00E3232D" w:rsidRDefault="006D74A9" w:rsidP="000B54BC">
      <w:pPr>
        <w:spacing w:after="120"/>
        <w:jc w:val="both"/>
        <w:rPr>
          <w:rFonts w:ascii="Book Antiqua" w:hAnsi="Book Antiqua"/>
        </w:rPr>
      </w:pPr>
      <w:r w:rsidRPr="00E3232D">
        <w:rPr>
          <w:rFonts w:ascii="Book Antiqua" w:hAnsi="Book Antiqua"/>
        </w:rPr>
        <w:t xml:space="preserve">In this study the method adapted by </w:t>
      </w:r>
      <w:r w:rsidRPr="00E3232D">
        <w:rPr>
          <w:rStyle w:val="citation"/>
          <w:rFonts w:ascii="Book Antiqua" w:hAnsi="Book Antiqua"/>
        </w:rPr>
        <w:t>Ameko et al. (2013)was used to</w:t>
      </w:r>
      <w:r w:rsidRPr="00E3232D">
        <w:rPr>
          <w:rFonts w:ascii="Book Antiqua" w:hAnsi="Book Antiqua"/>
        </w:rPr>
        <w:t>preserve fresh samples of three species of fish (</w:t>
      </w:r>
      <w:r w:rsidRPr="00E3232D">
        <w:rPr>
          <w:rFonts w:ascii="Book Antiqua" w:hAnsi="Book Antiqua"/>
          <w:i/>
        </w:rPr>
        <w:t>Tilapia, African Catfish and African Bonytongue</w:t>
      </w:r>
      <w:r w:rsidRPr="00E3232D">
        <w:rPr>
          <w:rFonts w:ascii="Book Antiqua" w:hAnsi="Book Antiqua"/>
        </w:rPr>
        <w:t xml:space="preserve">).Measurements were then done to determine if the plastinated specimens retained their general shapes enough for the specimens to be used as teaching aids. </w:t>
      </w:r>
    </w:p>
    <w:p w14:paraId="57E9F740" w14:textId="77777777" w:rsidR="006D74A9" w:rsidRPr="00E3232D" w:rsidRDefault="006D74A9" w:rsidP="00196385">
      <w:pPr>
        <w:pStyle w:val="Heading2"/>
        <w:keepLines/>
        <w:numPr>
          <w:ilvl w:val="0"/>
          <w:numId w:val="178"/>
        </w:numPr>
        <w:jc w:val="both"/>
        <w:rPr>
          <w:rFonts w:ascii="Book Antiqua" w:hAnsi="Book Antiqua"/>
          <w:sz w:val="22"/>
          <w:szCs w:val="22"/>
        </w:rPr>
      </w:pPr>
      <w:bookmarkStart w:id="44" w:name="_Toc349328402"/>
      <w:bookmarkStart w:id="45" w:name="_Toc349328950"/>
      <w:bookmarkStart w:id="46" w:name="_Toc349330719"/>
      <w:bookmarkStart w:id="47" w:name="_Toc349330853"/>
      <w:bookmarkStart w:id="48" w:name="_Toc349331276"/>
      <w:r w:rsidRPr="000B54BC">
        <w:rPr>
          <w:rFonts w:ascii="Book Antiqua" w:hAnsi="Book Antiqua"/>
          <w:szCs w:val="22"/>
        </w:rPr>
        <w:t>Methodology</w:t>
      </w:r>
      <w:bookmarkStart w:id="49" w:name="_Toc349328403"/>
      <w:bookmarkStart w:id="50" w:name="_Toc349328951"/>
      <w:bookmarkStart w:id="51" w:name="_Toc349330720"/>
      <w:bookmarkStart w:id="52" w:name="_Toc349330854"/>
      <w:bookmarkStart w:id="53" w:name="_Toc349331277"/>
      <w:bookmarkEnd w:id="44"/>
      <w:bookmarkEnd w:id="45"/>
      <w:bookmarkEnd w:id="46"/>
      <w:bookmarkEnd w:id="47"/>
      <w:bookmarkEnd w:id="48"/>
    </w:p>
    <w:p w14:paraId="45BF256C" w14:textId="77777777" w:rsidR="006D74A9" w:rsidRPr="00E3232D" w:rsidRDefault="006D74A9" w:rsidP="00196385">
      <w:pPr>
        <w:pStyle w:val="Heading2"/>
        <w:keepLines/>
        <w:numPr>
          <w:ilvl w:val="1"/>
          <w:numId w:val="178"/>
        </w:numPr>
        <w:tabs>
          <w:tab w:val="left" w:pos="360"/>
          <w:tab w:val="left" w:pos="540"/>
        </w:tabs>
        <w:ind w:left="360"/>
        <w:jc w:val="both"/>
        <w:rPr>
          <w:rFonts w:ascii="Book Antiqua" w:hAnsi="Book Antiqua"/>
          <w:sz w:val="22"/>
          <w:szCs w:val="22"/>
        </w:rPr>
      </w:pPr>
      <w:r w:rsidRPr="00E3232D">
        <w:rPr>
          <w:rFonts w:ascii="Book Antiqua" w:hAnsi="Book Antiqua"/>
          <w:sz w:val="22"/>
          <w:szCs w:val="22"/>
        </w:rPr>
        <w:tab/>
        <w:t>Specimens</w:t>
      </w:r>
      <w:bookmarkEnd w:id="49"/>
      <w:bookmarkEnd w:id="50"/>
      <w:bookmarkEnd w:id="51"/>
      <w:bookmarkEnd w:id="52"/>
      <w:bookmarkEnd w:id="53"/>
    </w:p>
    <w:p w14:paraId="510B6B89" w14:textId="77777777" w:rsidR="006D74A9" w:rsidRPr="00E3232D" w:rsidRDefault="006D74A9" w:rsidP="000B54BC">
      <w:pPr>
        <w:spacing w:after="120"/>
        <w:jc w:val="both"/>
        <w:rPr>
          <w:rFonts w:ascii="Book Antiqua" w:hAnsi="Book Antiqua"/>
        </w:rPr>
      </w:pPr>
      <w:r w:rsidRPr="00E3232D">
        <w:rPr>
          <w:rFonts w:ascii="Book Antiqua" w:hAnsi="Book Antiqua"/>
        </w:rPr>
        <w:t xml:space="preserve">Five </w:t>
      </w:r>
      <w:r w:rsidRPr="00E3232D">
        <w:rPr>
          <w:rFonts w:ascii="Book Antiqua" w:hAnsi="Book Antiqua"/>
          <w:i/>
        </w:rPr>
        <w:t>Tilapia</w:t>
      </w:r>
      <w:r w:rsidRPr="00E3232D">
        <w:rPr>
          <w:rFonts w:ascii="Book Antiqua" w:hAnsi="Book Antiqua"/>
        </w:rPr>
        <w:t xml:space="preserve"> (</w:t>
      </w:r>
      <w:r w:rsidRPr="00E3232D">
        <w:rPr>
          <w:rFonts w:ascii="Book Antiqua" w:hAnsi="Book Antiqua"/>
          <w:i/>
        </w:rPr>
        <w:t>OreochromisNiloticus</w:t>
      </w:r>
      <w:r w:rsidRPr="00E3232D">
        <w:rPr>
          <w:rFonts w:ascii="Book Antiqua" w:hAnsi="Book Antiqua"/>
        </w:rPr>
        <w:t xml:space="preserve">), five </w:t>
      </w:r>
      <w:r w:rsidRPr="00E3232D">
        <w:rPr>
          <w:rFonts w:ascii="Book Antiqua" w:hAnsi="Book Antiqua"/>
          <w:i/>
        </w:rPr>
        <w:t>African Catfish</w:t>
      </w:r>
      <w:r w:rsidRPr="00E3232D">
        <w:rPr>
          <w:rFonts w:ascii="Book Antiqua" w:hAnsi="Book Antiqua"/>
        </w:rPr>
        <w:t xml:space="preserve">and five </w:t>
      </w:r>
      <w:r w:rsidRPr="00E3232D">
        <w:rPr>
          <w:rFonts w:ascii="Book Antiqua" w:hAnsi="Book Antiqua"/>
          <w:i/>
        </w:rPr>
        <w:t>African Bonytongue</w:t>
      </w:r>
      <w:r w:rsidRPr="00E3232D">
        <w:rPr>
          <w:rFonts w:ascii="Book Antiqua" w:hAnsi="Book Antiqua"/>
        </w:rPr>
        <w:t>fishes were procured live from ponds on the Volta Lake (Fig 1). The live fishes were immediately immersed in 10% Formalin solution in plastic containers until they died. The specimens were tagged with different colored rubber bands for easy identification. The color and the texture of the fishes were also noted. The specimens were taken to the laboratory. Plastination was done using Silicone Paste (Asmaco Antifungal 100% sealant 2540</w:t>
      </w:r>
      <w:r w:rsidRPr="00E3232D">
        <w:rPr>
          <w:rFonts w:ascii="Book Antiqua" w:hAnsi="Book Antiqua"/>
          <w:vertAlign w:val="superscript"/>
        </w:rPr>
        <w:t xml:space="preserve"> TM</w:t>
      </w:r>
      <w:r w:rsidRPr="00E3232D">
        <w:rPr>
          <w:rFonts w:ascii="Book Antiqua" w:hAnsi="Book Antiqua"/>
        </w:rPr>
        <w:t>) and Silicone Hardener (Sikkens 123</w:t>
      </w:r>
      <w:r w:rsidRPr="00E3232D">
        <w:rPr>
          <w:rFonts w:ascii="Book Antiqua" w:hAnsi="Book Antiqua"/>
          <w:vertAlign w:val="superscript"/>
        </w:rPr>
        <w:t>TM</w:t>
      </w:r>
      <w:r w:rsidRPr="00E3232D">
        <w:rPr>
          <w:rFonts w:ascii="Book Antiqua" w:hAnsi="Book Antiqua"/>
        </w:rPr>
        <w:t xml:space="preserve">) purchased at a local hardware store. </w:t>
      </w:r>
    </w:p>
    <w:p w14:paraId="3E2955AA" w14:textId="77777777" w:rsidR="006D74A9" w:rsidRPr="00E3232D" w:rsidRDefault="007005B1" w:rsidP="008275E1">
      <w:pPr>
        <w:spacing w:after="120"/>
        <w:rPr>
          <w:rFonts w:ascii="Book Antiqua" w:hAnsi="Book Antiqua"/>
        </w:rPr>
      </w:pPr>
      <w:r>
        <w:rPr>
          <w:rFonts w:ascii="Book Antiqua" w:hAnsi="Book Antiqua"/>
          <w:noProof/>
          <w:lang w:bidi="ar-SA"/>
        </w:rPr>
        <w:drawing>
          <wp:inline distT="0" distB="0" distL="0" distR="0" wp14:anchorId="3A516588" wp14:editId="5FB0DEAF">
            <wp:extent cx="2857500" cy="971550"/>
            <wp:effectExtent l="1905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srcRect/>
                    <a:stretch>
                      <a:fillRect/>
                    </a:stretch>
                  </pic:blipFill>
                  <pic:spPr bwMode="auto">
                    <a:xfrm>
                      <a:off x="0" y="0"/>
                      <a:ext cx="2857500" cy="971550"/>
                    </a:xfrm>
                    <a:prstGeom prst="rect">
                      <a:avLst/>
                    </a:prstGeom>
                    <a:noFill/>
                    <a:ln w="9525">
                      <a:noFill/>
                      <a:miter lim="800000"/>
                      <a:headEnd/>
                      <a:tailEnd/>
                    </a:ln>
                  </pic:spPr>
                </pic:pic>
              </a:graphicData>
            </a:graphic>
          </wp:inline>
        </w:drawing>
      </w:r>
    </w:p>
    <w:p w14:paraId="52C82E01" w14:textId="77777777" w:rsidR="006D74A9" w:rsidRDefault="006D74A9" w:rsidP="008275E1">
      <w:pPr>
        <w:spacing w:after="120"/>
        <w:rPr>
          <w:rFonts w:ascii="Book Antiqua" w:hAnsi="Book Antiqua"/>
          <w:b/>
          <w:i/>
        </w:rPr>
      </w:pPr>
      <w:r w:rsidRPr="00E3232D">
        <w:rPr>
          <w:rFonts w:ascii="Book Antiqua" w:hAnsi="Book Antiqua"/>
          <w:b/>
        </w:rPr>
        <w:t xml:space="preserve">Fig 1 Fresh </w:t>
      </w:r>
      <w:r w:rsidRPr="00E3232D">
        <w:rPr>
          <w:rFonts w:ascii="Book Antiqua" w:hAnsi="Book Antiqua"/>
          <w:b/>
          <w:i/>
        </w:rPr>
        <w:t>Tilapias</w:t>
      </w:r>
      <w:r w:rsidRPr="00E3232D">
        <w:rPr>
          <w:rFonts w:ascii="Book Antiqua" w:hAnsi="Book Antiqua"/>
          <w:b/>
        </w:rPr>
        <w:t xml:space="preserve">, </w:t>
      </w:r>
      <w:r w:rsidRPr="00E3232D">
        <w:rPr>
          <w:rFonts w:ascii="Book Antiqua" w:hAnsi="Book Antiqua"/>
          <w:b/>
          <w:i/>
        </w:rPr>
        <w:t>Bonytongues</w:t>
      </w:r>
      <w:r w:rsidRPr="00E3232D">
        <w:rPr>
          <w:rFonts w:ascii="Book Antiqua" w:hAnsi="Book Antiqua"/>
          <w:b/>
        </w:rPr>
        <w:t xml:space="preserve"> and </w:t>
      </w:r>
      <w:r w:rsidRPr="00E3232D">
        <w:rPr>
          <w:rFonts w:ascii="Book Antiqua" w:hAnsi="Book Antiqua"/>
          <w:b/>
          <w:i/>
        </w:rPr>
        <w:t>Catfishes</w:t>
      </w:r>
    </w:p>
    <w:p w14:paraId="6499AEA2" w14:textId="77777777" w:rsidR="00380077" w:rsidRPr="00E3232D" w:rsidRDefault="00380077" w:rsidP="008275E1">
      <w:pPr>
        <w:spacing w:after="120"/>
        <w:rPr>
          <w:rFonts w:ascii="Book Antiqua" w:hAnsi="Book Antiqua"/>
          <w:b/>
        </w:rPr>
      </w:pPr>
    </w:p>
    <w:p w14:paraId="76CD679F" w14:textId="77777777" w:rsidR="006D74A9" w:rsidRPr="00E3232D" w:rsidRDefault="006D74A9" w:rsidP="00196385">
      <w:pPr>
        <w:pStyle w:val="Heading2"/>
        <w:keepLines/>
        <w:numPr>
          <w:ilvl w:val="1"/>
          <w:numId w:val="178"/>
        </w:numPr>
        <w:tabs>
          <w:tab w:val="left" w:pos="360"/>
          <w:tab w:val="left" w:pos="540"/>
        </w:tabs>
        <w:ind w:left="360"/>
        <w:jc w:val="both"/>
        <w:rPr>
          <w:rFonts w:ascii="Book Antiqua" w:hAnsi="Book Antiqua"/>
          <w:sz w:val="22"/>
          <w:szCs w:val="22"/>
        </w:rPr>
      </w:pPr>
      <w:r w:rsidRPr="00E3232D">
        <w:rPr>
          <w:rFonts w:ascii="Book Antiqua" w:hAnsi="Book Antiqua"/>
          <w:sz w:val="22"/>
          <w:szCs w:val="22"/>
        </w:rPr>
        <w:tab/>
        <w:t xml:space="preserve">Plastination procedure </w:t>
      </w:r>
    </w:p>
    <w:p w14:paraId="410D38BF" w14:textId="77777777" w:rsidR="006D74A9" w:rsidRPr="00E3232D" w:rsidRDefault="006D74A9" w:rsidP="00196385">
      <w:pPr>
        <w:pStyle w:val="Heading2"/>
        <w:keepLines/>
        <w:numPr>
          <w:ilvl w:val="2"/>
          <w:numId w:val="178"/>
        </w:numPr>
        <w:tabs>
          <w:tab w:val="left" w:pos="360"/>
          <w:tab w:val="left" w:pos="540"/>
        </w:tabs>
        <w:ind w:left="810"/>
        <w:jc w:val="both"/>
        <w:rPr>
          <w:rFonts w:ascii="Book Antiqua" w:hAnsi="Book Antiqua"/>
          <w:sz w:val="22"/>
          <w:szCs w:val="22"/>
        </w:rPr>
      </w:pPr>
      <w:bookmarkStart w:id="54" w:name="_Toc349328957"/>
      <w:bookmarkStart w:id="55" w:name="_Toc349330860"/>
      <w:bookmarkStart w:id="56" w:name="_Toc349331283"/>
      <w:r w:rsidRPr="00E3232D">
        <w:rPr>
          <w:rFonts w:ascii="Book Antiqua" w:hAnsi="Book Antiqua"/>
          <w:sz w:val="22"/>
          <w:szCs w:val="22"/>
        </w:rPr>
        <w:t>Fixation</w:t>
      </w:r>
      <w:bookmarkEnd w:id="54"/>
      <w:bookmarkEnd w:id="55"/>
      <w:bookmarkEnd w:id="56"/>
    </w:p>
    <w:p w14:paraId="3346C623" w14:textId="77777777" w:rsidR="006D74A9" w:rsidRPr="00E3232D" w:rsidRDefault="006D74A9" w:rsidP="000B54BC">
      <w:pPr>
        <w:spacing w:after="120"/>
        <w:jc w:val="both"/>
        <w:rPr>
          <w:rFonts w:ascii="Book Antiqua" w:hAnsi="Book Antiqua"/>
        </w:rPr>
      </w:pPr>
      <w:r w:rsidRPr="00E3232D">
        <w:rPr>
          <w:rFonts w:ascii="Book Antiqua" w:hAnsi="Book Antiqua"/>
        </w:rPr>
        <w:t>Some of the formalin fixative was injected into the body cavities of the fishes through their orifices (Fig 2). The specimens were left immersed in the formalin solution at room temperature for nine days.</w:t>
      </w:r>
    </w:p>
    <w:p w14:paraId="3D2C02E2" w14:textId="77777777" w:rsidR="006D74A9" w:rsidRPr="00E3232D" w:rsidRDefault="007005B1" w:rsidP="008275E1">
      <w:pPr>
        <w:spacing w:after="120"/>
        <w:rPr>
          <w:rFonts w:ascii="Book Antiqua" w:hAnsi="Book Antiqua"/>
        </w:rPr>
      </w:pPr>
      <w:r>
        <w:rPr>
          <w:rFonts w:ascii="Book Antiqua" w:hAnsi="Book Antiqua"/>
          <w:noProof/>
          <w:lang w:bidi="ar-SA"/>
        </w:rPr>
        <w:drawing>
          <wp:inline distT="0" distB="0" distL="0" distR="0" wp14:anchorId="1F5BB5F8" wp14:editId="1C60AF22">
            <wp:extent cx="2743200" cy="781050"/>
            <wp:effectExtent l="19050" t="0" r="0" b="0"/>
            <wp:docPr id="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srcRect/>
                    <a:stretch>
                      <a:fillRect/>
                    </a:stretch>
                  </pic:blipFill>
                  <pic:spPr bwMode="auto">
                    <a:xfrm>
                      <a:off x="0" y="0"/>
                      <a:ext cx="2743200" cy="781050"/>
                    </a:xfrm>
                    <a:prstGeom prst="rect">
                      <a:avLst/>
                    </a:prstGeom>
                    <a:noFill/>
                    <a:ln w="9525">
                      <a:noFill/>
                      <a:miter lim="800000"/>
                      <a:headEnd/>
                      <a:tailEnd/>
                    </a:ln>
                  </pic:spPr>
                </pic:pic>
              </a:graphicData>
            </a:graphic>
          </wp:inline>
        </w:drawing>
      </w:r>
    </w:p>
    <w:p w14:paraId="5C776D98" w14:textId="77777777" w:rsidR="006D74A9" w:rsidRPr="00E3232D" w:rsidRDefault="006D74A9" w:rsidP="008275E1">
      <w:pPr>
        <w:spacing w:after="120"/>
        <w:rPr>
          <w:rFonts w:ascii="Book Antiqua" w:hAnsi="Book Antiqua"/>
          <w:b/>
        </w:rPr>
      </w:pPr>
      <w:r w:rsidRPr="00E3232D">
        <w:rPr>
          <w:rFonts w:ascii="Book Antiqua" w:hAnsi="Book Antiqua"/>
          <w:b/>
        </w:rPr>
        <w:t xml:space="preserve">Fig 2 Injecting fixatives into fishes </w:t>
      </w:r>
    </w:p>
    <w:p w14:paraId="6CB443B9" w14:textId="77777777" w:rsidR="006D74A9" w:rsidRPr="00E3232D" w:rsidRDefault="006D74A9" w:rsidP="00196385">
      <w:pPr>
        <w:pStyle w:val="Heading2"/>
        <w:keepLines/>
        <w:numPr>
          <w:ilvl w:val="2"/>
          <w:numId w:val="178"/>
        </w:numPr>
        <w:tabs>
          <w:tab w:val="left" w:pos="360"/>
          <w:tab w:val="left" w:pos="540"/>
        </w:tabs>
        <w:ind w:left="810"/>
        <w:rPr>
          <w:rFonts w:ascii="Book Antiqua" w:hAnsi="Book Antiqua"/>
          <w:sz w:val="22"/>
          <w:szCs w:val="22"/>
        </w:rPr>
      </w:pPr>
      <w:bookmarkStart w:id="57" w:name="_Toc349328959"/>
      <w:bookmarkStart w:id="58" w:name="_Toc349330862"/>
      <w:bookmarkStart w:id="59" w:name="_Toc349331285"/>
      <w:r w:rsidRPr="00E3232D">
        <w:rPr>
          <w:rFonts w:ascii="Book Antiqua" w:hAnsi="Book Antiqua"/>
          <w:sz w:val="22"/>
          <w:szCs w:val="22"/>
        </w:rPr>
        <w:t>Dehydration</w:t>
      </w:r>
      <w:bookmarkEnd w:id="57"/>
      <w:bookmarkEnd w:id="58"/>
      <w:bookmarkEnd w:id="59"/>
    </w:p>
    <w:p w14:paraId="5A96F270" w14:textId="77777777" w:rsidR="006D74A9" w:rsidRPr="00E3232D" w:rsidRDefault="006D74A9" w:rsidP="000B54BC">
      <w:pPr>
        <w:jc w:val="both"/>
        <w:rPr>
          <w:rFonts w:ascii="Book Antiqua" w:hAnsi="Book Antiqua"/>
        </w:rPr>
      </w:pPr>
      <w:r w:rsidRPr="00E3232D">
        <w:rPr>
          <w:rFonts w:ascii="Book Antiqua" w:hAnsi="Book Antiqua"/>
        </w:rPr>
        <w:t xml:space="preserve">Samples were removed from the fixative, drained and then immersed for 21 days in 70% acetone solution under refrigeration (Fig 3). </w:t>
      </w:r>
    </w:p>
    <w:p w14:paraId="6BDF919F" w14:textId="77777777" w:rsidR="006D74A9" w:rsidRDefault="007005B1" w:rsidP="008275E1">
      <w:pPr>
        <w:rPr>
          <w:rFonts w:ascii="Book Antiqua" w:hAnsi="Book Antiqua"/>
          <w:noProof/>
          <w:lang w:val="en-GB" w:eastAsia="en-GB"/>
        </w:rPr>
      </w:pPr>
      <w:r>
        <w:rPr>
          <w:rFonts w:ascii="Book Antiqua" w:hAnsi="Book Antiqua"/>
          <w:noProof/>
          <w:lang w:bidi="ar-SA"/>
        </w:rPr>
        <w:drawing>
          <wp:inline distT="0" distB="0" distL="0" distR="0" wp14:anchorId="442B5C21" wp14:editId="4E7A4158">
            <wp:extent cx="2847975" cy="1781175"/>
            <wp:effectExtent l="19050" t="0" r="9525" b="0"/>
            <wp:docPr id="10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2"/>
                    <a:srcRect/>
                    <a:stretch>
                      <a:fillRect/>
                    </a:stretch>
                  </pic:blipFill>
                  <pic:spPr bwMode="auto">
                    <a:xfrm>
                      <a:off x="0" y="0"/>
                      <a:ext cx="2847975" cy="1781175"/>
                    </a:xfrm>
                    <a:prstGeom prst="rect">
                      <a:avLst/>
                    </a:prstGeom>
                    <a:noFill/>
                    <a:ln w="9525">
                      <a:noFill/>
                      <a:miter lim="800000"/>
                      <a:headEnd/>
                      <a:tailEnd/>
                    </a:ln>
                  </pic:spPr>
                </pic:pic>
              </a:graphicData>
            </a:graphic>
          </wp:inline>
        </w:drawing>
      </w:r>
    </w:p>
    <w:p w14:paraId="7AE25FEB" w14:textId="77777777" w:rsidR="00380077" w:rsidRPr="00E3232D" w:rsidRDefault="00380077" w:rsidP="008275E1">
      <w:pPr>
        <w:rPr>
          <w:rFonts w:ascii="Book Antiqua" w:hAnsi="Book Antiqua"/>
        </w:rPr>
      </w:pPr>
    </w:p>
    <w:p w14:paraId="5986AE95" w14:textId="77777777" w:rsidR="006D74A9" w:rsidRPr="00E3232D" w:rsidRDefault="006D74A9" w:rsidP="00196385">
      <w:pPr>
        <w:pStyle w:val="Heading2"/>
        <w:keepLines/>
        <w:numPr>
          <w:ilvl w:val="2"/>
          <w:numId w:val="178"/>
        </w:numPr>
        <w:tabs>
          <w:tab w:val="left" w:pos="360"/>
          <w:tab w:val="left" w:pos="540"/>
        </w:tabs>
        <w:ind w:left="810"/>
        <w:rPr>
          <w:rFonts w:ascii="Book Antiqua" w:hAnsi="Book Antiqua"/>
          <w:sz w:val="22"/>
          <w:szCs w:val="22"/>
        </w:rPr>
      </w:pPr>
      <w:bookmarkStart w:id="60" w:name="_Toc349328961"/>
      <w:bookmarkStart w:id="61" w:name="_Toc349330864"/>
      <w:bookmarkStart w:id="62" w:name="_Toc349331287"/>
      <w:r w:rsidRPr="00E3232D">
        <w:rPr>
          <w:rFonts w:ascii="Book Antiqua" w:hAnsi="Book Antiqua"/>
          <w:sz w:val="22"/>
          <w:szCs w:val="22"/>
        </w:rPr>
        <w:t>Impregnation</w:t>
      </w:r>
      <w:bookmarkEnd w:id="60"/>
      <w:bookmarkEnd w:id="61"/>
      <w:bookmarkEnd w:id="62"/>
    </w:p>
    <w:p w14:paraId="1EE47FD8" w14:textId="77777777" w:rsidR="006D74A9" w:rsidRPr="00E3232D" w:rsidRDefault="006D74A9" w:rsidP="000B54BC">
      <w:pPr>
        <w:spacing w:after="120"/>
        <w:jc w:val="both"/>
        <w:rPr>
          <w:rFonts w:ascii="Book Antiqua" w:hAnsi="Book Antiqua"/>
        </w:rPr>
      </w:pPr>
      <w:r w:rsidRPr="00E3232D">
        <w:rPr>
          <w:rFonts w:ascii="Book Antiqua" w:hAnsi="Book Antiqua"/>
        </w:rPr>
        <w:t>Impregnation consisted of three stages:pre-impregnation, intermittent impregnation, and post- impregnation.</w:t>
      </w:r>
    </w:p>
    <w:p w14:paraId="3F0942A8" w14:textId="77777777" w:rsidR="006D74A9" w:rsidRPr="00E3232D" w:rsidRDefault="006D74A9" w:rsidP="00196385">
      <w:pPr>
        <w:pStyle w:val="Heading2"/>
        <w:keepLines/>
        <w:numPr>
          <w:ilvl w:val="3"/>
          <w:numId w:val="178"/>
        </w:numPr>
        <w:tabs>
          <w:tab w:val="left" w:pos="360"/>
          <w:tab w:val="left" w:pos="540"/>
        </w:tabs>
        <w:ind w:left="900" w:hanging="810"/>
        <w:rPr>
          <w:rFonts w:ascii="Book Antiqua" w:hAnsi="Book Antiqua"/>
          <w:sz w:val="22"/>
          <w:szCs w:val="22"/>
        </w:rPr>
      </w:pPr>
      <w:bookmarkStart w:id="63" w:name="_Toc349328962"/>
      <w:bookmarkStart w:id="64" w:name="_Toc349330865"/>
      <w:bookmarkStart w:id="65" w:name="_Toc349331288"/>
      <w:r w:rsidRPr="00E3232D">
        <w:rPr>
          <w:rFonts w:ascii="Book Antiqua" w:hAnsi="Book Antiqua"/>
          <w:sz w:val="22"/>
          <w:szCs w:val="22"/>
        </w:rPr>
        <w:t>Pre-Impregnation</w:t>
      </w:r>
      <w:bookmarkEnd w:id="63"/>
      <w:bookmarkEnd w:id="64"/>
      <w:bookmarkEnd w:id="65"/>
    </w:p>
    <w:p w14:paraId="614F01EB" w14:textId="77777777" w:rsidR="00380077" w:rsidRPr="00E3232D" w:rsidRDefault="006D74A9" w:rsidP="000B54BC">
      <w:pPr>
        <w:jc w:val="both"/>
        <w:rPr>
          <w:rFonts w:ascii="Book Antiqua" w:hAnsi="Book Antiqua"/>
        </w:rPr>
      </w:pPr>
      <w:r w:rsidRPr="00E3232D">
        <w:rPr>
          <w:rFonts w:ascii="Book Antiqua" w:hAnsi="Book Antiqua"/>
        </w:rPr>
        <w:t>A Silicone Polymer Solution was prepared by dissolving 635g of Silicone Paste (Asmaco Antifungal 100% sealant 2540</w:t>
      </w:r>
      <w:r w:rsidRPr="00E3232D">
        <w:rPr>
          <w:rFonts w:ascii="Book Antiqua" w:hAnsi="Book Antiqua"/>
          <w:vertAlign w:val="superscript"/>
        </w:rPr>
        <w:t xml:space="preserve"> TM</w:t>
      </w:r>
      <w:r w:rsidRPr="00E3232D">
        <w:rPr>
          <w:rFonts w:ascii="Book Antiqua" w:hAnsi="Book Antiqua"/>
        </w:rPr>
        <w:t>) and 60ml of Silicone Hardener (Sikkens 123</w:t>
      </w:r>
      <w:r w:rsidRPr="00E3232D">
        <w:rPr>
          <w:rFonts w:ascii="Book Antiqua" w:hAnsi="Book Antiqua"/>
          <w:vertAlign w:val="superscript"/>
        </w:rPr>
        <w:t>TM</w:t>
      </w:r>
      <w:r w:rsidRPr="00E3232D">
        <w:rPr>
          <w:rFonts w:ascii="Book Antiqua" w:hAnsi="Book Antiqua"/>
        </w:rPr>
        <w:t xml:space="preserve">) in 6 liters of Xylene. The fish samples were removed from the acetone solution, drained of excess acetone, blotted dry with a napkin and then immersed for 8 days in the polymer solution. This process allowed excess acetone to escape from the specimen and for them to equilibrate with the silicone solution. </w:t>
      </w:r>
    </w:p>
    <w:p w14:paraId="2F097AE0" w14:textId="77777777" w:rsidR="006D74A9" w:rsidRPr="00E3232D" w:rsidRDefault="006D74A9" w:rsidP="00196385">
      <w:pPr>
        <w:pStyle w:val="Heading2"/>
        <w:keepLines/>
        <w:numPr>
          <w:ilvl w:val="3"/>
          <w:numId w:val="178"/>
        </w:numPr>
        <w:tabs>
          <w:tab w:val="left" w:pos="360"/>
          <w:tab w:val="left" w:pos="540"/>
        </w:tabs>
        <w:ind w:left="900" w:hanging="810"/>
        <w:rPr>
          <w:rFonts w:ascii="Book Antiqua" w:hAnsi="Book Antiqua"/>
          <w:sz w:val="22"/>
          <w:szCs w:val="22"/>
        </w:rPr>
      </w:pPr>
      <w:bookmarkStart w:id="66" w:name="_Toc349328965"/>
      <w:bookmarkStart w:id="67" w:name="_Toc349330868"/>
      <w:bookmarkStart w:id="68" w:name="_Toc349331291"/>
      <w:r w:rsidRPr="00E3232D">
        <w:rPr>
          <w:rFonts w:ascii="Book Antiqua" w:hAnsi="Book Antiqua"/>
          <w:sz w:val="22"/>
          <w:szCs w:val="22"/>
        </w:rPr>
        <w:t>Intermittent Forced Impregnation</w:t>
      </w:r>
      <w:bookmarkEnd w:id="66"/>
      <w:bookmarkEnd w:id="67"/>
      <w:bookmarkEnd w:id="68"/>
    </w:p>
    <w:p w14:paraId="19BBA970" w14:textId="77777777" w:rsidR="006D74A9" w:rsidRPr="00E3232D" w:rsidRDefault="006D74A9" w:rsidP="000B54BC">
      <w:pPr>
        <w:spacing w:after="120"/>
        <w:jc w:val="both"/>
        <w:rPr>
          <w:rFonts w:ascii="Book Antiqua" w:hAnsi="Book Antiqua"/>
        </w:rPr>
      </w:pPr>
      <w:r w:rsidRPr="00E3232D">
        <w:rPr>
          <w:rFonts w:ascii="Book Antiqua" w:hAnsi="Book Antiqua"/>
        </w:rPr>
        <w:t xml:space="preserve">This was done by subjecting the specimens in the polymer solution in a sealed and airtight chamber in a refrigerator to low pressure from a vacuum pump connected to the sealed chamber (Fig 4). The vacuum pump was intermittently turned on for 13 hours and then off for 11 hours for 6 days. The vacuum created by the suction caused the acetone to vaporize out of the cells and created spaces for the polymer to diffuse into the specimens. </w:t>
      </w:r>
    </w:p>
    <w:p w14:paraId="4F5FDACB" w14:textId="77777777" w:rsidR="006D74A9" w:rsidRPr="00E3232D" w:rsidRDefault="007005B1" w:rsidP="008275E1">
      <w:pPr>
        <w:spacing w:after="120"/>
        <w:rPr>
          <w:rFonts w:ascii="Book Antiqua" w:hAnsi="Book Antiqua"/>
          <w:noProof/>
        </w:rPr>
      </w:pPr>
      <w:r>
        <w:rPr>
          <w:rFonts w:ascii="Book Antiqua" w:hAnsi="Book Antiqua"/>
          <w:noProof/>
          <w:lang w:bidi="ar-SA"/>
        </w:rPr>
        <w:drawing>
          <wp:inline distT="0" distB="0" distL="0" distR="0" wp14:anchorId="4329A143" wp14:editId="2F1C6E71">
            <wp:extent cx="1552575" cy="742950"/>
            <wp:effectExtent l="19050" t="0" r="9525" b="0"/>
            <wp:docPr id="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srcRect/>
                    <a:stretch>
                      <a:fillRect/>
                    </a:stretch>
                  </pic:blipFill>
                  <pic:spPr bwMode="auto">
                    <a:xfrm>
                      <a:off x="0" y="0"/>
                      <a:ext cx="1552575" cy="742950"/>
                    </a:xfrm>
                    <a:prstGeom prst="rect">
                      <a:avLst/>
                    </a:prstGeom>
                    <a:noFill/>
                    <a:ln w="9525">
                      <a:noFill/>
                      <a:miter lim="800000"/>
                      <a:headEnd/>
                      <a:tailEnd/>
                    </a:ln>
                  </pic:spPr>
                </pic:pic>
              </a:graphicData>
            </a:graphic>
          </wp:inline>
        </w:drawing>
      </w:r>
    </w:p>
    <w:p w14:paraId="2B5984ED" w14:textId="77777777" w:rsidR="00380077" w:rsidRPr="00E3232D" w:rsidRDefault="006D74A9" w:rsidP="008275E1">
      <w:pPr>
        <w:spacing w:after="120"/>
        <w:rPr>
          <w:rFonts w:ascii="Book Antiqua" w:hAnsi="Book Antiqua"/>
          <w:b/>
          <w:noProof/>
        </w:rPr>
      </w:pPr>
      <w:r w:rsidRPr="00E3232D">
        <w:rPr>
          <w:rFonts w:ascii="Book Antiqua" w:hAnsi="Book Antiqua"/>
          <w:b/>
          <w:noProof/>
        </w:rPr>
        <w:t xml:space="preserve">Fig 4 Forced impregnation setup </w:t>
      </w:r>
    </w:p>
    <w:p w14:paraId="244D3025" w14:textId="77777777" w:rsidR="006D74A9" w:rsidRPr="00E3232D" w:rsidRDefault="006D74A9" w:rsidP="00196385">
      <w:pPr>
        <w:pStyle w:val="Heading2"/>
        <w:keepLines/>
        <w:numPr>
          <w:ilvl w:val="3"/>
          <w:numId w:val="178"/>
        </w:numPr>
        <w:tabs>
          <w:tab w:val="left" w:pos="360"/>
          <w:tab w:val="left" w:pos="540"/>
        </w:tabs>
        <w:ind w:left="900" w:hanging="810"/>
        <w:rPr>
          <w:rFonts w:ascii="Book Antiqua" w:hAnsi="Book Antiqua"/>
          <w:sz w:val="22"/>
          <w:szCs w:val="22"/>
        </w:rPr>
      </w:pPr>
      <w:bookmarkStart w:id="69" w:name="_Toc349328967"/>
      <w:bookmarkStart w:id="70" w:name="_Toc349330870"/>
      <w:bookmarkStart w:id="71" w:name="_Toc349331293"/>
      <w:r w:rsidRPr="00E3232D">
        <w:rPr>
          <w:rFonts w:ascii="Book Antiqua" w:hAnsi="Book Antiqua"/>
          <w:sz w:val="22"/>
          <w:szCs w:val="22"/>
        </w:rPr>
        <w:t>Post-Impregnation</w:t>
      </w:r>
      <w:bookmarkEnd w:id="69"/>
      <w:bookmarkEnd w:id="70"/>
      <w:bookmarkEnd w:id="71"/>
    </w:p>
    <w:p w14:paraId="403CD030" w14:textId="77777777" w:rsidR="006D74A9" w:rsidRPr="00E3232D" w:rsidRDefault="006D74A9" w:rsidP="000B54BC">
      <w:pPr>
        <w:spacing w:after="120"/>
        <w:jc w:val="both"/>
        <w:rPr>
          <w:rFonts w:ascii="Book Antiqua" w:hAnsi="Book Antiqua"/>
        </w:rPr>
      </w:pPr>
      <w:r w:rsidRPr="00E3232D">
        <w:rPr>
          <w:rFonts w:ascii="Book Antiqua" w:hAnsi="Book Antiqua"/>
        </w:rPr>
        <w:t>The vacuum pump was switched off, disconnected and the specimens left immersed in the silicone solution at 4</w:t>
      </w:r>
      <w:r w:rsidRPr="00E3232D">
        <w:rPr>
          <w:rFonts w:ascii="Book Antiqua" w:hAnsi="Book Antiqua"/>
          <w:vertAlign w:val="superscript"/>
        </w:rPr>
        <w:t>o</w:t>
      </w:r>
      <w:r w:rsidRPr="00E3232D">
        <w:rPr>
          <w:rFonts w:ascii="Book Antiqua" w:hAnsi="Book Antiqua"/>
        </w:rPr>
        <w:t xml:space="preserve">C for 8 days. </w:t>
      </w:r>
    </w:p>
    <w:p w14:paraId="780B859F" w14:textId="77777777" w:rsidR="006D74A9" w:rsidRPr="00E3232D" w:rsidRDefault="006D74A9" w:rsidP="00196385">
      <w:pPr>
        <w:pStyle w:val="Heading2"/>
        <w:keepLines/>
        <w:numPr>
          <w:ilvl w:val="2"/>
          <w:numId w:val="178"/>
        </w:numPr>
        <w:tabs>
          <w:tab w:val="left" w:pos="360"/>
          <w:tab w:val="left" w:pos="540"/>
        </w:tabs>
        <w:ind w:left="810"/>
        <w:rPr>
          <w:rFonts w:ascii="Book Antiqua" w:hAnsi="Book Antiqua"/>
          <w:sz w:val="22"/>
          <w:szCs w:val="22"/>
        </w:rPr>
      </w:pPr>
      <w:bookmarkStart w:id="72" w:name="_Toc349328969"/>
      <w:bookmarkStart w:id="73" w:name="_Toc349330872"/>
      <w:bookmarkStart w:id="74" w:name="_Toc349331295"/>
      <w:r w:rsidRPr="00E3232D">
        <w:rPr>
          <w:rFonts w:ascii="Book Antiqua" w:hAnsi="Book Antiqua"/>
          <w:sz w:val="22"/>
          <w:szCs w:val="22"/>
        </w:rPr>
        <w:t>Curing and hardening</w:t>
      </w:r>
      <w:bookmarkEnd w:id="72"/>
      <w:bookmarkEnd w:id="73"/>
      <w:bookmarkEnd w:id="74"/>
    </w:p>
    <w:p w14:paraId="6D1209D6" w14:textId="77777777" w:rsidR="006D74A9" w:rsidRPr="00E3232D" w:rsidRDefault="006D74A9" w:rsidP="000B54BC">
      <w:pPr>
        <w:spacing w:after="120"/>
        <w:jc w:val="both"/>
        <w:rPr>
          <w:rFonts w:ascii="Book Antiqua" w:hAnsi="Book Antiqua"/>
        </w:rPr>
      </w:pPr>
      <w:r w:rsidRPr="00E3232D">
        <w:rPr>
          <w:rFonts w:ascii="Book Antiqua" w:hAnsi="Book Antiqua"/>
        </w:rPr>
        <w:t>The specimens were removed from the silicone solution and excess polymer wiped off. The external surfaces of the specimens were coated with a Hardener solution (Sikkens 123</w:t>
      </w:r>
      <w:r w:rsidRPr="00E3232D">
        <w:rPr>
          <w:rFonts w:ascii="Book Antiqua" w:hAnsi="Book Antiqua"/>
          <w:vertAlign w:val="superscript"/>
        </w:rPr>
        <w:t>TM</w:t>
      </w:r>
      <w:r w:rsidRPr="00E3232D">
        <w:rPr>
          <w:rFonts w:ascii="Book Antiqua" w:hAnsi="Book Antiqua"/>
        </w:rPr>
        <w:t xml:space="preserve">) (Fig 5). </w:t>
      </w:r>
    </w:p>
    <w:p w14:paraId="6810584B" w14:textId="77777777" w:rsidR="006D74A9" w:rsidRPr="00E3232D" w:rsidRDefault="007005B1" w:rsidP="008275E1">
      <w:pPr>
        <w:spacing w:after="120"/>
        <w:rPr>
          <w:rFonts w:ascii="Book Antiqua" w:hAnsi="Book Antiqua"/>
        </w:rPr>
      </w:pPr>
      <w:r>
        <w:rPr>
          <w:rFonts w:ascii="Book Antiqua" w:hAnsi="Book Antiqua"/>
          <w:noProof/>
          <w:lang w:bidi="ar-SA"/>
        </w:rPr>
        <w:drawing>
          <wp:inline distT="0" distB="0" distL="0" distR="0" wp14:anchorId="70C5BC7D" wp14:editId="6CDD06A3">
            <wp:extent cx="2847975" cy="1485900"/>
            <wp:effectExtent l="19050" t="0" r="9525" b="0"/>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a:srcRect/>
                    <a:stretch>
                      <a:fillRect/>
                    </a:stretch>
                  </pic:blipFill>
                  <pic:spPr bwMode="auto">
                    <a:xfrm>
                      <a:off x="0" y="0"/>
                      <a:ext cx="2847975" cy="1485900"/>
                    </a:xfrm>
                    <a:prstGeom prst="rect">
                      <a:avLst/>
                    </a:prstGeom>
                    <a:noFill/>
                    <a:ln w="9525">
                      <a:noFill/>
                      <a:miter lim="800000"/>
                      <a:headEnd/>
                      <a:tailEnd/>
                    </a:ln>
                  </pic:spPr>
                </pic:pic>
              </a:graphicData>
            </a:graphic>
          </wp:inline>
        </w:drawing>
      </w:r>
    </w:p>
    <w:p w14:paraId="56181155" w14:textId="77777777" w:rsidR="00380077" w:rsidRPr="00E3232D" w:rsidRDefault="006D74A9" w:rsidP="000B54BC">
      <w:pPr>
        <w:spacing w:after="120"/>
        <w:jc w:val="both"/>
        <w:rPr>
          <w:rFonts w:ascii="Book Antiqua" w:hAnsi="Book Antiqua"/>
        </w:rPr>
      </w:pPr>
      <w:r w:rsidRPr="00E3232D">
        <w:rPr>
          <w:rFonts w:ascii="Book Antiqua" w:hAnsi="Book Antiqua"/>
        </w:rPr>
        <w:t>The specimens were arranged on shelves(Fig 6) and then exposed to acidic fumes from a dilute acid solution obtained by diluting a concentrated solution of H</w:t>
      </w:r>
      <w:r w:rsidRPr="00E3232D">
        <w:rPr>
          <w:rFonts w:ascii="Book Antiqua" w:hAnsi="Book Antiqua"/>
          <w:vertAlign w:val="subscript"/>
        </w:rPr>
        <w:t>2</w:t>
      </w:r>
      <w:r w:rsidRPr="00E3232D">
        <w:rPr>
          <w:rFonts w:ascii="Book Antiqua" w:hAnsi="Book Antiqua"/>
        </w:rPr>
        <w:t>SO</w:t>
      </w:r>
      <w:r w:rsidRPr="00E3232D">
        <w:rPr>
          <w:rFonts w:ascii="Book Antiqua" w:hAnsi="Book Antiqua"/>
          <w:vertAlign w:val="subscript"/>
        </w:rPr>
        <w:t>4</w:t>
      </w:r>
      <w:r w:rsidRPr="00E3232D">
        <w:rPr>
          <w:rFonts w:ascii="Book Antiqua" w:hAnsi="Book Antiqua"/>
        </w:rPr>
        <w:t xml:space="preserve"> by an equal volume of distilled water. The specimens and flasks filled with the acid solution were placed in a sealed chamber together with Petri dishes of calcium chloride desiccant to keep the environment </w:t>
      </w:r>
      <w:r w:rsidR="00285870" w:rsidRPr="00E3232D">
        <w:rPr>
          <w:rFonts w:ascii="Book Antiqua" w:hAnsi="Book Antiqua"/>
        </w:rPr>
        <w:t>dehumidified;</w:t>
      </w:r>
      <w:r w:rsidRPr="00E3232D">
        <w:rPr>
          <w:rFonts w:ascii="Book Antiqua" w:hAnsi="Book Antiqua"/>
        </w:rPr>
        <w:t xml:space="preserve"> andcuring was done under UV light for 14days. </w:t>
      </w:r>
    </w:p>
    <w:p w14:paraId="745DCCC8" w14:textId="77777777" w:rsidR="006D74A9" w:rsidRPr="00E3232D" w:rsidRDefault="006D74A9" w:rsidP="00196385">
      <w:pPr>
        <w:pStyle w:val="Heading2"/>
        <w:keepLines/>
        <w:numPr>
          <w:ilvl w:val="1"/>
          <w:numId w:val="178"/>
        </w:numPr>
        <w:tabs>
          <w:tab w:val="left" w:pos="360"/>
          <w:tab w:val="left" w:pos="540"/>
        </w:tabs>
        <w:ind w:left="360"/>
        <w:rPr>
          <w:rFonts w:ascii="Book Antiqua" w:hAnsi="Book Antiqua"/>
          <w:sz w:val="22"/>
          <w:szCs w:val="22"/>
        </w:rPr>
      </w:pPr>
      <w:bookmarkStart w:id="75" w:name="_Toc349328405"/>
      <w:bookmarkStart w:id="76" w:name="_Toc349328972"/>
      <w:bookmarkStart w:id="77" w:name="_Toc349330722"/>
      <w:bookmarkStart w:id="78" w:name="_Toc349330875"/>
      <w:bookmarkStart w:id="79" w:name="_Toc349331298"/>
      <w:r w:rsidRPr="00E3232D">
        <w:rPr>
          <w:rFonts w:ascii="Book Antiqua" w:hAnsi="Book Antiqua"/>
          <w:sz w:val="22"/>
          <w:szCs w:val="22"/>
        </w:rPr>
        <w:tab/>
        <w:t>Morphometric measurement on fishes</w:t>
      </w:r>
      <w:bookmarkEnd w:id="75"/>
      <w:bookmarkEnd w:id="76"/>
      <w:bookmarkEnd w:id="77"/>
      <w:bookmarkEnd w:id="78"/>
      <w:bookmarkEnd w:id="79"/>
    </w:p>
    <w:p w14:paraId="4D860BDE" w14:textId="77777777" w:rsidR="00380077" w:rsidRPr="00E3232D" w:rsidRDefault="006D74A9" w:rsidP="000B54BC">
      <w:pPr>
        <w:spacing w:after="120"/>
        <w:jc w:val="both"/>
        <w:rPr>
          <w:rFonts w:ascii="Book Antiqua" w:hAnsi="Book Antiqua"/>
        </w:rPr>
      </w:pPr>
      <w:r w:rsidRPr="00E3232D">
        <w:rPr>
          <w:rFonts w:ascii="Book Antiqua" w:hAnsi="Book Antiqua"/>
        </w:rPr>
        <w:t xml:space="preserve">Morphometric measurements were taken on each fresh fish at the beginning of plastination and at the end of each stage of plastination, to the nearest millimetre using a string and ruler. Body Girth behind the Operculum (GBO) and body Girth Medially (GM) were measured by the method of Stergiou and Karpouzi (2003). Total Length was measured Dorsally (TLD) by a modification of the method of Herrel, et al. (2005) where Total Length was measured along the ventral midline of the ﬁsh. </w:t>
      </w:r>
    </w:p>
    <w:p w14:paraId="2A821D30" w14:textId="77777777" w:rsidR="006D74A9" w:rsidRPr="00E3232D" w:rsidRDefault="006D74A9" w:rsidP="00196385">
      <w:pPr>
        <w:pStyle w:val="Heading2"/>
        <w:keepLines/>
        <w:numPr>
          <w:ilvl w:val="2"/>
          <w:numId w:val="178"/>
        </w:numPr>
        <w:tabs>
          <w:tab w:val="left" w:pos="360"/>
          <w:tab w:val="left" w:pos="540"/>
        </w:tabs>
        <w:ind w:left="810" w:hanging="810"/>
        <w:rPr>
          <w:rFonts w:ascii="Book Antiqua" w:hAnsi="Book Antiqua"/>
          <w:sz w:val="22"/>
          <w:szCs w:val="22"/>
        </w:rPr>
      </w:pPr>
      <w:bookmarkStart w:id="80" w:name="_Toc349328974"/>
      <w:bookmarkStart w:id="81" w:name="_Toc349330877"/>
      <w:bookmarkStart w:id="82" w:name="_Toc349331300"/>
      <w:r w:rsidRPr="00E3232D">
        <w:rPr>
          <w:rFonts w:ascii="Book Antiqua" w:hAnsi="Book Antiqua"/>
          <w:sz w:val="22"/>
          <w:szCs w:val="22"/>
        </w:rPr>
        <w:t>Measurement of Body Girth behind the Operculum(GBO)</w:t>
      </w:r>
      <w:bookmarkEnd w:id="80"/>
      <w:bookmarkEnd w:id="81"/>
      <w:bookmarkEnd w:id="82"/>
    </w:p>
    <w:p w14:paraId="5CA69699" w14:textId="77777777" w:rsidR="006D74A9" w:rsidRPr="00E3232D" w:rsidRDefault="006D74A9" w:rsidP="000B54BC">
      <w:pPr>
        <w:spacing w:after="120"/>
        <w:jc w:val="both"/>
        <w:rPr>
          <w:rFonts w:ascii="Book Antiqua" w:hAnsi="Book Antiqua"/>
        </w:rPr>
      </w:pPr>
      <w:r w:rsidRPr="00E3232D">
        <w:rPr>
          <w:rFonts w:ascii="Book Antiqua" w:hAnsi="Book Antiqua"/>
        </w:rPr>
        <w:t>Body Girth behind the Operculum(GBO)of a</w:t>
      </w:r>
      <w:r w:rsidRPr="00E3232D">
        <w:rPr>
          <w:rFonts w:ascii="Book Antiqua" w:hAnsi="Book Antiqua"/>
          <w:i/>
        </w:rPr>
        <w:t>Tilapia</w:t>
      </w:r>
      <w:r w:rsidRPr="00E3232D">
        <w:rPr>
          <w:rFonts w:ascii="Book Antiqua" w:hAnsi="Book Antiqua"/>
        </w:rPr>
        <w:t>was measured by stretching out a piece of rope around the head to pass behind the gill-cover and directly behind the right pectoral fin, pelvic fins, and left pectoral fin (Fig 7).</w:t>
      </w:r>
    </w:p>
    <w:p w14:paraId="7DEC5574" w14:textId="77777777" w:rsidR="006D74A9" w:rsidRPr="00E3232D" w:rsidRDefault="007005B1" w:rsidP="008275E1">
      <w:pPr>
        <w:spacing w:after="120"/>
        <w:rPr>
          <w:rFonts w:ascii="Book Antiqua" w:hAnsi="Book Antiqua"/>
        </w:rPr>
      </w:pPr>
      <w:r>
        <w:rPr>
          <w:rFonts w:ascii="Book Antiqua" w:hAnsi="Book Antiqua"/>
          <w:noProof/>
          <w:lang w:bidi="ar-SA"/>
        </w:rPr>
        <w:drawing>
          <wp:inline distT="0" distB="0" distL="0" distR="0" wp14:anchorId="76548589" wp14:editId="2393CF62">
            <wp:extent cx="2857500" cy="1171575"/>
            <wp:effectExtent l="19050" t="0" r="0" b="0"/>
            <wp:docPr id="1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5"/>
                    <a:srcRect/>
                    <a:stretch>
                      <a:fillRect/>
                    </a:stretch>
                  </pic:blipFill>
                  <pic:spPr bwMode="auto">
                    <a:xfrm>
                      <a:off x="0" y="0"/>
                      <a:ext cx="2857500" cy="1171575"/>
                    </a:xfrm>
                    <a:prstGeom prst="rect">
                      <a:avLst/>
                    </a:prstGeom>
                    <a:noFill/>
                    <a:ln w="9525">
                      <a:noFill/>
                      <a:miter lim="800000"/>
                      <a:headEnd/>
                      <a:tailEnd/>
                    </a:ln>
                  </pic:spPr>
                </pic:pic>
              </a:graphicData>
            </a:graphic>
          </wp:inline>
        </w:drawing>
      </w:r>
    </w:p>
    <w:p w14:paraId="6E97363A" w14:textId="77777777" w:rsidR="006D74A9" w:rsidRPr="00E3232D" w:rsidRDefault="006D74A9" w:rsidP="000B54BC">
      <w:pPr>
        <w:spacing w:after="120"/>
        <w:jc w:val="both"/>
        <w:rPr>
          <w:rFonts w:ascii="Book Antiqua" w:hAnsi="Book Antiqua"/>
        </w:rPr>
      </w:pPr>
      <w:r w:rsidRPr="00E3232D">
        <w:rPr>
          <w:rFonts w:ascii="Book Antiqua" w:hAnsi="Book Antiqua"/>
        </w:rPr>
        <w:t xml:space="preserve">For the </w:t>
      </w:r>
      <w:r w:rsidRPr="00E3232D">
        <w:rPr>
          <w:rFonts w:ascii="Book Antiqua" w:hAnsi="Book Antiqua"/>
          <w:i/>
        </w:rPr>
        <w:t>Catfishes</w:t>
      </w:r>
      <w:r w:rsidRPr="00E3232D">
        <w:rPr>
          <w:rFonts w:ascii="Book Antiqua" w:hAnsi="Book Antiqua"/>
        </w:rPr>
        <w:t xml:space="preserve"> the rope was stretched around the head to pass behind the gill-cover and directly behind the right pectoral fin, left pectoral fin and infront of the dorsal fin. </w:t>
      </w:r>
    </w:p>
    <w:p w14:paraId="3A084F46" w14:textId="77777777" w:rsidR="00380077" w:rsidRPr="00E3232D" w:rsidRDefault="006D74A9" w:rsidP="000B54BC">
      <w:pPr>
        <w:spacing w:after="120"/>
        <w:jc w:val="both"/>
        <w:rPr>
          <w:rFonts w:ascii="Book Antiqua" w:hAnsi="Book Antiqua"/>
        </w:rPr>
      </w:pPr>
      <w:r w:rsidRPr="00E3232D">
        <w:rPr>
          <w:rFonts w:ascii="Book Antiqua" w:hAnsi="Book Antiqua"/>
        </w:rPr>
        <w:t xml:space="preserve">For the </w:t>
      </w:r>
      <w:r w:rsidRPr="00E3232D">
        <w:rPr>
          <w:rFonts w:ascii="Book Antiqua" w:hAnsi="Book Antiqua"/>
          <w:i/>
        </w:rPr>
        <w:t>Bonytongues</w:t>
      </w:r>
      <w:r w:rsidRPr="00E3232D">
        <w:rPr>
          <w:rFonts w:ascii="Book Antiqua" w:hAnsi="Book Antiqua"/>
        </w:rPr>
        <w:t xml:space="preserve"> the rope was stretchedaround the head to pass behind the gill-cover and directly behind the right pectoral fin, and left pectoral fin.</w:t>
      </w:r>
    </w:p>
    <w:p w14:paraId="6BD6022D" w14:textId="77777777" w:rsidR="006D74A9" w:rsidRPr="00E3232D" w:rsidRDefault="006D74A9" w:rsidP="00196385">
      <w:pPr>
        <w:pStyle w:val="Heading2"/>
        <w:keepLines/>
        <w:numPr>
          <w:ilvl w:val="2"/>
          <w:numId w:val="178"/>
        </w:numPr>
        <w:tabs>
          <w:tab w:val="left" w:pos="360"/>
          <w:tab w:val="left" w:pos="540"/>
        </w:tabs>
        <w:ind w:left="810" w:hanging="810"/>
        <w:rPr>
          <w:rFonts w:ascii="Book Antiqua" w:hAnsi="Book Antiqua"/>
          <w:sz w:val="22"/>
          <w:szCs w:val="22"/>
        </w:rPr>
      </w:pPr>
      <w:bookmarkStart w:id="83" w:name="_Toc349328976"/>
      <w:bookmarkStart w:id="84" w:name="_Toc349330879"/>
      <w:bookmarkStart w:id="85" w:name="_Toc349331302"/>
      <w:r w:rsidRPr="00E3232D">
        <w:rPr>
          <w:rFonts w:ascii="Book Antiqua" w:hAnsi="Book Antiqua"/>
          <w:sz w:val="22"/>
          <w:szCs w:val="22"/>
        </w:rPr>
        <w:t>Measurement of Body Girth Medially (GM)</w:t>
      </w:r>
      <w:bookmarkEnd w:id="83"/>
      <w:bookmarkEnd w:id="84"/>
      <w:bookmarkEnd w:id="85"/>
    </w:p>
    <w:p w14:paraId="0C1E58B5" w14:textId="77777777" w:rsidR="006D74A9" w:rsidRPr="00E3232D" w:rsidRDefault="006D74A9" w:rsidP="000B54BC">
      <w:pPr>
        <w:spacing w:after="120"/>
        <w:jc w:val="both"/>
        <w:rPr>
          <w:rFonts w:ascii="Book Antiqua" w:hAnsi="Book Antiqua"/>
        </w:rPr>
      </w:pPr>
      <w:r w:rsidRPr="00E3232D">
        <w:rPr>
          <w:rFonts w:ascii="Book Antiqua" w:hAnsi="Book Antiqua"/>
        </w:rPr>
        <w:t xml:space="preserve">For the </w:t>
      </w:r>
      <w:r w:rsidRPr="00E3232D">
        <w:rPr>
          <w:rFonts w:ascii="Book Antiqua" w:hAnsi="Book Antiqua"/>
          <w:i/>
        </w:rPr>
        <w:t>Tilapia</w:t>
      </w:r>
      <w:r w:rsidRPr="00E3232D">
        <w:rPr>
          <w:rFonts w:ascii="Book Antiqua" w:hAnsi="Book Antiqua"/>
        </w:rPr>
        <w:t xml:space="preserve">s this was measured by stretching out a piece of rope around the medial girthby passing itover the first dorsal fin, and infront of the tips of the right pectoral fin, pelvic fins, and left pectoral fin (Fig 8). </w:t>
      </w:r>
    </w:p>
    <w:p w14:paraId="033DE203" w14:textId="77777777" w:rsidR="006D74A9" w:rsidRPr="00E3232D" w:rsidRDefault="007005B1" w:rsidP="008275E1">
      <w:pPr>
        <w:spacing w:after="120"/>
        <w:rPr>
          <w:rFonts w:ascii="Book Antiqua" w:hAnsi="Book Antiqua"/>
        </w:rPr>
      </w:pPr>
      <w:r>
        <w:rPr>
          <w:rFonts w:ascii="Book Antiqua" w:hAnsi="Book Antiqua"/>
          <w:noProof/>
          <w:lang w:bidi="ar-SA"/>
        </w:rPr>
        <w:drawing>
          <wp:inline distT="0" distB="0" distL="0" distR="0" wp14:anchorId="7887AAC1" wp14:editId="07AEAB3F">
            <wp:extent cx="2847975" cy="1104900"/>
            <wp:effectExtent l="19050" t="0" r="9525" b="0"/>
            <wp:docPr id="1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6"/>
                    <a:srcRect/>
                    <a:stretch>
                      <a:fillRect/>
                    </a:stretch>
                  </pic:blipFill>
                  <pic:spPr bwMode="auto">
                    <a:xfrm>
                      <a:off x="0" y="0"/>
                      <a:ext cx="2847975" cy="1104900"/>
                    </a:xfrm>
                    <a:prstGeom prst="rect">
                      <a:avLst/>
                    </a:prstGeom>
                    <a:noFill/>
                    <a:ln w="9525">
                      <a:noFill/>
                      <a:miter lim="800000"/>
                      <a:headEnd/>
                      <a:tailEnd/>
                    </a:ln>
                  </pic:spPr>
                </pic:pic>
              </a:graphicData>
            </a:graphic>
          </wp:inline>
        </w:drawing>
      </w:r>
    </w:p>
    <w:p w14:paraId="781440CA" w14:textId="77777777" w:rsidR="006D74A9" w:rsidRPr="00E3232D" w:rsidRDefault="006D74A9" w:rsidP="000B54BC">
      <w:pPr>
        <w:spacing w:after="120"/>
        <w:jc w:val="both"/>
        <w:rPr>
          <w:rFonts w:ascii="Book Antiqua" w:hAnsi="Book Antiqua"/>
        </w:rPr>
      </w:pPr>
      <w:r w:rsidRPr="00E3232D">
        <w:rPr>
          <w:rFonts w:ascii="Book Antiqua" w:hAnsi="Book Antiqua"/>
        </w:rPr>
        <w:t xml:space="preserve">For the </w:t>
      </w:r>
      <w:r w:rsidRPr="00E3232D">
        <w:rPr>
          <w:rFonts w:ascii="Book Antiqua" w:hAnsi="Book Antiqua"/>
          <w:i/>
        </w:rPr>
        <w:t>Catfishes</w:t>
      </w:r>
      <w:r w:rsidRPr="00E3232D">
        <w:rPr>
          <w:rFonts w:ascii="Book Antiqua" w:hAnsi="Book Antiqua"/>
        </w:rPr>
        <w:t xml:space="preserve"> the rope was stretched around the medial girth by passing it over the first dorsal fin, and behind the right and left pelvic fins.</w:t>
      </w:r>
    </w:p>
    <w:p w14:paraId="3C066BF6" w14:textId="77777777" w:rsidR="006D74A9" w:rsidRDefault="006D74A9" w:rsidP="000B54BC">
      <w:pPr>
        <w:spacing w:after="120"/>
        <w:jc w:val="both"/>
        <w:rPr>
          <w:rFonts w:ascii="Book Antiqua" w:hAnsi="Book Antiqua"/>
        </w:rPr>
      </w:pPr>
      <w:r w:rsidRPr="00E3232D">
        <w:rPr>
          <w:rFonts w:ascii="Book Antiqua" w:hAnsi="Book Antiqua"/>
        </w:rPr>
        <w:t xml:space="preserve">For the </w:t>
      </w:r>
      <w:r w:rsidRPr="00E3232D">
        <w:rPr>
          <w:rFonts w:ascii="Book Antiqua" w:hAnsi="Book Antiqua"/>
          <w:i/>
        </w:rPr>
        <w:t>Bonytongues</w:t>
      </w:r>
      <w:r w:rsidRPr="00E3232D">
        <w:rPr>
          <w:rFonts w:ascii="Book Antiqua" w:hAnsi="Book Antiqua"/>
        </w:rPr>
        <w:t xml:space="preserve">the rope was stretched around the medial girth and behind the right and left pelvic fins. </w:t>
      </w:r>
    </w:p>
    <w:p w14:paraId="5D68A065" w14:textId="77777777" w:rsidR="00380077" w:rsidRPr="00E3232D" w:rsidRDefault="00380077" w:rsidP="008275E1">
      <w:pPr>
        <w:spacing w:after="120"/>
        <w:rPr>
          <w:rFonts w:ascii="Book Antiqua" w:hAnsi="Book Antiqua"/>
        </w:rPr>
      </w:pPr>
    </w:p>
    <w:p w14:paraId="11DE2F57" w14:textId="77777777" w:rsidR="006D74A9" w:rsidRPr="00E3232D" w:rsidRDefault="006D74A9" w:rsidP="00196385">
      <w:pPr>
        <w:pStyle w:val="Heading2"/>
        <w:keepLines/>
        <w:numPr>
          <w:ilvl w:val="2"/>
          <w:numId w:val="178"/>
        </w:numPr>
        <w:tabs>
          <w:tab w:val="left" w:pos="360"/>
          <w:tab w:val="left" w:pos="540"/>
        </w:tabs>
        <w:ind w:left="810" w:hanging="810"/>
        <w:rPr>
          <w:rFonts w:ascii="Book Antiqua" w:hAnsi="Book Antiqua"/>
          <w:sz w:val="22"/>
          <w:szCs w:val="22"/>
        </w:rPr>
      </w:pPr>
      <w:bookmarkStart w:id="86" w:name="_Toc349328978"/>
      <w:bookmarkStart w:id="87" w:name="_Toc349330881"/>
      <w:bookmarkStart w:id="88" w:name="_Toc349331304"/>
      <w:r w:rsidRPr="00E3232D">
        <w:rPr>
          <w:rFonts w:ascii="Book Antiqua" w:hAnsi="Book Antiqua"/>
          <w:sz w:val="22"/>
          <w:szCs w:val="22"/>
        </w:rPr>
        <w:t>Measurement of Total Length (TLD)</w:t>
      </w:r>
      <w:bookmarkEnd w:id="86"/>
      <w:bookmarkEnd w:id="87"/>
      <w:bookmarkEnd w:id="88"/>
    </w:p>
    <w:p w14:paraId="13CADE9F" w14:textId="77777777" w:rsidR="006D74A9" w:rsidRPr="00E3232D" w:rsidRDefault="006D74A9" w:rsidP="000B54BC">
      <w:pPr>
        <w:spacing w:after="120"/>
        <w:jc w:val="both"/>
        <w:rPr>
          <w:rFonts w:ascii="Book Antiqua" w:hAnsi="Book Antiqua"/>
        </w:rPr>
      </w:pPr>
      <w:r w:rsidRPr="00E3232D">
        <w:rPr>
          <w:rFonts w:ascii="Book Antiqua" w:hAnsi="Book Antiqua"/>
        </w:rPr>
        <w:t xml:space="preserve">The Total Lengths(TLD) of samples of all three types of fisheswas measured by stretching out a piece of rope from the tip of the snout along the dorsal midline along the base of the dorsal fins to the tip of the caudal ﬁn (Fig 9). The rope was then measured using a ruler. </w:t>
      </w:r>
    </w:p>
    <w:p w14:paraId="68CB2E36" w14:textId="77777777" w:rsidR="006D74A9" w:rsidRDefault="000B54BC" w:rsidP="008275E1">
      <w:pPr>
        <w:spacing w:after="120"/>
        <w:rPr>
          <w:rFonts w:ascii="Book Antiqua" w:hAnsi="Book Antiqua"/>
          <w:noProof/>
          <w:lang w:val="en-GB" w:eastAsia="en-GB"/>
        </w:rPr>
      </w:pPr>
      <w:r>
        <w:rPr>
          <w:rFonts w:ascii="Book Antiqua" w:hAnsi="Book Antiqua"/>
          <w:noProof/>
          <w:lang w:bidi="ar-SA"/>
        </w:rPr>
        <w:drawing>
          <wp:anchor distT="0" distB="0" distL="114300" distR="114300" simplePos="0" relativeHeight="251653120" behindDoc="1" locked="0" layoutInCell="1" allowOverlap="1" wp14:anchorId="52EC508D" wp14:editId="4EDB01B2">
            <wp:simplePos x="0" y="0"/>
            <wp:positionH relativeFrom="column">
              <wp:posOffset>2771775</wp:posOffset>
            </wp:positionH>
            <wp:positionV relativeFrom="paragraph">
              <wp:posOffset>1905</wp:posOffset>
            </wp:positionV>
            <wp:extent cx="3143250" cy="2981325"/>
            <wp:effectExtent l="19050" t="0" r="0" b="0"/>
            <wp:wrapTight wrapText="bothSides">
              <wp:wrapPolygon edited="0">
                <wp:start x="-131" y="0"/>
                <wp:lineTo x="-131" y="21531"/>
                <wp:lineTo x="21600" y="21531"/>
                <wp:lineTo x="21600" y="0"/>
                <wp:lineTo x="-131" y="0"/>
              </wp:wrapPolygon>
            </wp:wrapTight>
            <wp:docPr id="1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7"/>
                    <a:srcRect/>
                    <a:stretch>
                      <a:fillRect/>
                    </a:stretch>
                  </pic:blipFill>
                  <pic:spPr bwMode="auto">
                    <a:xfrm>
                      <a:off x="0" y="0"/>
                      <a:ext cx="3143250" cy="2981325"/>
                    </a:xfrm>
                    <a:prstGeom prst="rect">
                      <a:avLst/>
                    </a:prstGeom>
                    <a:noFill/>
                    <a:ln w="9525">
                      <a:noFill/>
                      <a:miter lim="800000"/>
                      <a:headEnd/>
                      <a:tailEnd/>
                    </a:ln>
                  </pic:spPr>
                </pic:pic>
              </a:graphicData>
            </a:graphic>
          </wp:anchor>
        </w:drawing>
      </w:r>
      <w:r w:rsidR="007005B1">
        <w:rPr>
          <w:rFonts w:ascii="Book Antiqua" w:hAnsi="Book Antiqua"/>
          <w:noProof/>
          <w:lang w:bidi="ar-SA"/>
        </w:rPr>
        <w:drawing>
          <wp:inline distT="0" distB="0" distL="0" distR="0" wp14:anchorId="42DCE6A6" wp14:editId="2F89581B">
            <wp:extent cx="2695575" cy="1619250"/>
            <wp:effectExtent l="19050" t="0" r="9525" b="0"/>
            <wp:docPr id="10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8"/>
                    <a:srcRect/>
                    <a:stretch>
                      <a:fillRect/>
                    </a:stretch>
                  </pic:blipFill>
                  <pic:spPr bwMode="auto">
                    <a:xfrm>
                      <a:off x="0" y="0"/>
                      <a:ext cx="2695575" cy="1619250"/>
                    </a:xfrm>
                    <a:prstGeom prst="rect">
                      <a:avLst/>
                    </a:prstGeom>
                    <a:noFill/>
                    <a:ln w="9525">
                      <a:noFill/>
                      <a:miter lim="800000"/>
                      <a:headEnd/>
                      <a:tailEnd/>
                    </a:ln>
                  </pic:spPr>
                </pic:pic>
              </a:graphicData>
            </a:graphic>
          </wp:inline>
        </w:drawing>
      </w:r>
    </w:p>
    <w:p w14:paraId="55B8AD26" w14:textId="77777777" w:rsidR="00380077" w:rsidRPr="00E3232D" w:rsidRDefault="00380077" w:rsidP="008275E1">
      <w:pPr>
        <w:spacing w:after="120"/>
        <w:rPr>
          <w:rFonts w:ascii="Book Antiqua" w:hAnsi="Book Antiqua"/>
        </w:rPr>
      </w:pPr>
    </w:p>
    <w:p w14:paraId="28D77B59" w14:textId="77777777" w:rsidR="006D74A9" w:rsidRPr="00E3232D" w:rsidRDefault="006D74A9" w:rsidP="00196385">
      <w:pPr>
        <w:pStyle w:val="Heading2"/>
        <w:keepLines/>
        <w:numPr>
          <w:ilvl w:val="1"/>
          <w:numId w:val="178"/>
        </w:numPr>
        <w:tabs>
          <w:tab w:val="left" w:pos="360"/>
          <w:tab w:val="left" w:pos="540"/>
        </w:tabs>
        <w:ind w:left="360"/>
        <w:rPr>
          <w:rFonts w:ascii="Book Antiqua" w:hAnsi="Book Antiqua"/>
          <w:sz w:val="22"/>
          <w:szCs w:val="22"/>
        </w:rPr>
      </w:pPr>
      <w:bookmarkStart w:id="89" w:name="_Toc349328406"/>
      <w:bookmarkStart w:id="90" w:name="_Toc349328994"/>
      <w:bookmarkStart w:id="91" w:name="_Toc349330723"/>
      <w:bookmarkStart w:id="92" w:name="_Toc349330897"/>
      <w:bookmarkStart w:id="93" w:name="_Toc349331320"/>
      <w:r w:rsidRPr="00E3232D">
        <w:rPr>
          <w:rFonts w:ascii="Book Antiqua" w:hAnsi="Book Antiqua"/>
          <w:sz w:val="22"/>
          <w:szCs w:val="22"/>
        </w:rPr>
        <w:tab/>
        <w:t>Data analysis</w:t>
      </w:r>
      <w:bookmarkEnd w:id="89"/>
      <w:bookmarkEnd w:id="90"/>
      <w:bookmarkEnd w:id="91"/>
      <w:bookmarkEnd w:id="92"/>
      <w:bookmarkEnd w:id="93"/>
    </w:p>
    <w:p w14:paraId="6DA3D86D" w14:textId="77777777" w:rsidR="00F074CC" w:rsidRDefault="006D74A9" w:rsidP="000B54BC">
      <w:pPr>
        <w:spacing w:after="120"/>
        <w:jc w:val="both"/>
        <w:rPr>
          <w:rFonts w:ascii="Book Antiqua" w:hAnsi="Book Antiqua"/>
        </w:rPr>
      </w:pPr>
      <w:r w:rsidRPr="00E3232D">
        <w:rPr>
          <w:rFonts w:ascii="Book Antiqua" w:hAnsi="Book Antiqua"/>
        </w:rPr>
        <w:t>The paired t-test was used to test at α = 0.05 whether the means of the</w:t>
      </w:r>
    </w:p>
    <w:p w14:paraId="41B2B84C" w14:textId="77777777" w:rsidR="002319C6" w:rsidRPr="00E3232D" w:rsidRDefault="006D74A9" w:rsidP="000B54BC">
      <w:pPr>
        <w:spacing w:after="120"/>
        <w:jc w:val="both"/>
        <w:rPr>
          <w:rFonts w:ascii="Book Antiqua" w:hAnsi="Book Antiqua"/>
        </w:rPr>
      </w:pPr>
      <w:r w:rsidRPr="00E3232D">
        <w:rPr>
          <w:rFonts w:ascii="Book Antiqua" w:hAnsi="Book Antiqua"/>
        </w:rPr>
        <w:t xml:space="preserve"> measurementsfromthe samplesat the beginning and end of plastination were significantly different or not. </w:t>
      </w:r>
    </w:p>
    <w:p w14:paraId="00550844" w14:textId="77777777" w:rsidR="006D74A9" w:rsidRPr="00E3232D" w:rsidRDefault="000B54BC" w:rsidP="00196385">
      <w:pPr>
        <w:pStyle w:val="Heading2"/>
        <w:keepLines/>
        <w:numPr>
          <w:ilvl w:val="0"/>
          <w:numId w:val="178"/>
        </w:numPr>
        <w:rPr>
          <w:rFonts w:ascii="Book Antiqua" w:hAnsi="Book Antiqua"/>
          <w:sz w:val="22"/>
          <w:szCs w:val="22"/>
        </w:rPr>
      </w:pPr>
      <w:bookmarkStart w:id="94" w:name="_Toc349328408"/>
      <w:bookmarkStart w:id="95" w:name="_Toc349328996"/>
      <w:bookmarkStart w:id="96" w:name="_Toc349330725"/>
      <w:bookmarkStart w:id="97" w:name="_Toc349330899"/>
      <w:bookmarkStart w:id="98" w:name="_Toc349331322"/>
      <w:r>
        <w:rPr>
          <w:rFonts w:ascii="Book Antiqua" w:hAnsi="Book Antiqua"/>
          <w:noProof/>
          <w:szCs w:val="22"/>
          <w:lang w:bidi="ar-SA"/>
        </w:rPr>
        <w:drawing>
          <wp:anchor distT="0" distB="0" distL="114300" distR="114300" simplePos="0" relativeHeight="251655168" behindDoc="1" locked="0" layoutInCell="1" allowOverlap="1" wp14:anchorId="4305C991" wp14:editId="50129DA3">
            <wp:simplePos x="0" y="0"/>
            <wp:positionH relativeFrom="column">
              <wp:posOffset>19050</wp:posOffset>
            </wp:positionH>
            <wp:positionV relativeFrom="paragraph">
              <wp:posOffset>334010</wp:posOffset>
            </wp:positionV>
            <wp:extent cx="5162550" cy="3571875"/>
            <wp:effectExtent l="19050" t="0" r="0" b="0"/>
            <wp:wrapTight wrapText="bothSides">
              <wp:wrapPolygon edited="0">
                <wp:start x="-80" y="0"/>
                <wp:lineTo x="-80" y="21542"/>
                <wp:lineTo x="21600" y="21542"/>
                <wp:lineTo x="21600" y="0"/>
                <wp:lineTo x="-80" y="0"/>
              </wp:wrapPolygon>
            </wp:wrapTight>
            <wp:docPr id="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a:srcRect/>
                    <a:stretch>
                      <a:fillRect/>
                    </a:stretch>
                  </pic:blipFill>
                  <pic:spPr bwMode="auto">
                    <a:xfrm>
                      <a:off x="0" y="0"/>
                      <a:ext cx="5162550" cy="3571875"/>
                    </a:xfrm>
                    <a:prstGeom prst="rect">
                      <a:avLst/>
                    </a:prstGeom>
                    <a:noFill/>
                    <a:ln w="9525">
                      <a:noFill/>
                      <a:miter lim="800000"/>
                      <a:headEnd/>
                      <a:tailEnd/>
                    </a:ln>
                  </pic:spPr>
                </pic:pic>
              </a:graphicData>
            </a:graphic>
          </wp:anchor>
        </w:drawing>
      </w:r>
      <w:r w:rsidR="006D74A9" w:rsidRPr="000B54BC">
        <w:rPr>
          <w:rFonts w:ascii="Book Antiqua" w:hAnsi="Book Antiqua"/>
          <w:szCs w:val="22"/>
        </w:rPr>
        <w:t>Results</w:t>
      </w:r>
      <w:r w:rsidR="006D74A9" w:rsidRPr="00E3232D">
        <w:rPr>
          <w:rFonts w:ascii="Book Antiqua" w:hAnsi="Book Antiqua"/>
          <w:sz w:val="22"/>
          <w:szCs w:val="22"/>
        </w:rPr>
        <w:t xml:space="preserve"> </w:t>
      </w:r>
    </w:p>
    <w:p w14:paraId="592AC536" w14:textId="77777777" w:rsidR="006D74A9" w:rsidRPr="00E3232D" w:rsidRDefault="006D74A9" w:rsidP="008275E1">
      <w:pPr>
        <w:spacing w:after="120"/>
        <w:rPr>
          <w:rFonts w:ascii="Book Antiqua" w:hAnsi="Book Antiqua"/>
        </w:rPr>
      </w:pPr>
    </w:p>
    <w:p w14:paraId="58DC7E69" w14:textId="77777777" w:rsidR="006D74A9" w:rsidRPr="00E3232D" w:rsidRDefault="006D74A9" w:rsidP="008275E1">
      <w:pPr>
        <w:spacing w:after="120"/>
        <w:rPr>
          <w:rFonts w:ascii="Book Antiqua" w:hAnsi="Book Antiqua"/>
        </w:rPr>
      </w:pPr>
    </w:p>
    <w:p w14:paraId="1DEA698C" w14:textId="77777777" w:rsidR="006D74A9" w:rsidRPr="00E3232D" w:rsidRDefault="006D74A9" w:rsidP="008275E1">
      <w:pPr>
        <w:spacing w:after="120"/>
        <w:rPr>
          <w:rFonts w:ascii="Book Antiqua" w:hAnsi="Book Antiqua"/>
        </w:rPr>
      </w:pPr>
    </w:p>
    <w:p w14:paraId="44DFECD0" w14:textId="77777777" w:rsidR="006D74A9" w:rsidRPr="00E3232D" w:rsidRDefault="000B54BC" w:rsidP="008275E1">
      <w:pPr>
        <w:spacing w:after="120"/>
        <w:rPr>
          <w:rFonts w:ascii="Book Antiqua" w:hAnsi="Book Antiqua"/>
        </w:rPr>
      </w:pPr>
      <w:r>
        <w:rPr>
          <w:rFonts w:ascii="Book Antiqua" w:hAnsi="Book Antiqua"/>
          <w:noProof/>
          <w:lang w:bidi="ar-SA"/>
        </w:rPr>
        <w:drawing>
          <wp:anchor distT="0" distB="0" distL="114300" distR="114300" simplePos="0" relativeHeight="251657216" behindDoc="1" locked="0" layoutInCell="1" allowOverlap="1" wp14:anchorId="75364782" wp14:editId="3E624980">
            <wp:simplePos x="0" y="0"/>
            <wp:positionH relativeFrom="column">
              <wp:posOffset>19050</wp:posOffset>
            </wp:positionH>
            <wp:positionV relativeFrom="paragraph">
              <wp:posOffset>1905</wp:posOffset>
            </wp:positionV>
            <wp:extent cx="3581400" cy="2124075"/>
            <wp:effectExtent l="19050" t="0" r="0" b="0"/>
            <wp:wrapTight wrapText="bothSides">
              <wp:wrapPolygon edited="0">
                <wp:start x="-115" y="0"/>
                <wp:lineTo x="-115" y="21503"/>
                <wp:lineTo x="21600" y="21503"/>
                <wp:lineTo x="21600" y="0"/>
                <wp:lineTo x="-115" y="0"/>
              </wp:wrapPolygon>
            </wp:wrapTight>
            <wp:docPr id="2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0"/>
                    <a:srcRect/>
                    <a:stretch>
                      <a:fillRect/>
                    </a:stretch>
                  </pic:blipFill>
                  <pic:spPr bwMode="auto">
                    <a:xfrm>
                      <a:off x="0" y="0"/>
                      <a:ext cx="3581400" cy="2124075"/>
                    </a:xfrm>
                    <a:prstGeom prst="rect">
                      <a:avLst/>
                    </a:prstGeom>
                    <a:noFill/>
                    <a:ln w="9525">
                      <a:noFill/>
                      <a:miter lim="800000"/>
                      <a:headEnd/>
                      <a:tailEnd/>
                    </a:ln>
                  </pic:spPr>
                </pic:pic>
              </a:graphicData>
            </a:graphic>
          </wp:anchor>
        </w:drawing>
      </w:r>
      <w:r w:rsidR="007005B1">
        <w:rPr>
          <w:rFonts w:ascii="Book Antiqua" w:hAnsi="Book Antiqua"/>
          <w:noProof/>
          <w:lang w:bidi="ar-SA"/>
        </w:rPr>
        <w:drawing>
          <wp:anchor distT="0" distB="0" distL="114300" distR="114300" simplePos="0" relativeHeight="251659264" behindDoc="1" locked="0" layoutInCell="1" allowOverlap="1" wp14:anchorId="5BAA9654" wp14:editId="3A5604C2">
            <wp:simplePos x="0" y="0"/>
            <wp:positionH relativeFrom="column">
              <wp:posOffset>19050</wp:posOffset>
            </wp:positionH>
            <wp:positionV relativeFrom="paragraph">
              <wp:posOffset>2183130</wp:posOffset>
            </wp:positionV>
            <wp:extent cx="3143250" cy="2181225"/>
            <wp:effectExtent l="19050" t="0" r="0" b="0"/>
            <wp:wrapTight wrapText="bothSides">
              <wp:wrapPolygon edited="0">
                <wp:start x="-131" y="0"/>
                <wp:lineTo x="-131" y="21506"/>
                <wp:lineTo x="21600" y="21506"/>
                <wp:lineTo x="21600" y="0"/>
                <wp:lineTo x="-131" y="0"/>
              </wp:wrapPolygon>
            </wp:wrapTight>
            <wp:docPr id="11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1"/>
                    <a:srcRect/>
                    <a:stretch>
                      <a:fillRect/>
                    </a:stretch>
                  </pic:blipFill>
                  <pic:spPr bwMode="auto">
                    <a:xfrm>
                      <a:off x="0" y="0"/>
                      <a:ext cx="3143250" cy="2181225"/>
                    </a:xfrm>
                    <a:prstGeom prst="rect">
                      <a:avLst/>
                    </a:prstGeom>
                    <a:noFill/>
                    <a:ln w="9525">
                      <a:noFill/>
                      <a:miter lim="800000"/>
                      <a:headEnd/>
                      <a:tailEnd/>
                    </a:ln>
                  </pic:spPr>
                </pic:pic>
              </a:graphicData>
            </a:graphic>
          </wp:anchor>
        </w:drawing>
      </w:r>
    </w:p>
    <w:p w14:paraId="5D8CAFF1" w14:textId="77777777" w:rsidR="006D74A9" w:rsidRPr="00E3232D" w:rsidRDefault="007005B1" w:rsidP="008275E1">
      <w:pPr>
        <w:spacing w:after="120"/>
        <w:rPr>
          <w:rFonts w:ascii="Book Antiqua" w:hAnsi="Book Antiqua"/>
        </w:rPr>
      </w:pPr>
      <w:r>
        <w:rPr>
          <w:rFonts w:ascii="Book Antiqua" w:hAnsi="Book Antiqua"/>
          <w:noProof/>
          <w:lang w:bidi="ar-SA"/>
        </w:rPr>
        <w:drawing>
          <wp:anchor distT="0" distB="0" distL="114300" distR="114300" simplePos="0" relativeHeight="251661312" behindDoc="1" locked="0" layoutInCell="1" allowOverlap="1" wp14:anchorId="11016411" wp14:editId="7D688EA1">
            <wp:simplePos x="0" y="0"/>
            <wp:positionH relativeFrom="column">
              <wp:posOffset>19050</wp:posOffset>
            </wp:positionH>
            <wp:positionV relativeFrom="paragraph">
              <wp:posOffset>20320</wp:posOffset>
            </wp:positionV>
            <wp:extent cx="3324225" cy="2667000"/>
            <wp:effectExtent l="19050" t="19050" r="28575" b="19050"/>
            <wp:wrapTight wrapText="bothSides">
              <wp:wrapPolygon edited="0">
                <wp:start x="-124" y="-154"/>
                <wp:lineTo x="-124" y="21754"/>
                <wp:lineTo x="21786" y="21754"/>
                <wp:lineTo x="21786" y="-154"/>
                <wp:lineTo x="-124" y="-154"/>
              </wp:wrapPolygon>
            </wp:wrapTight>
            <wp:docPr id="1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2"/>
                    <a:srcRect/>
                    <a:stretch>
                      <a:fillRect/>
                    </a:stretch>
                  </pic:blipFill>
                  <pic:spPr bwMode="auto">
                    <a:xfrm>
                      <a:off x="0" y="0"/>
                      <a:ext cx="3324225" cy="2667000"/>
                    </a:xfrm>
                    <a:prstGeom prst="rect">
                      <a:avLst/>
                    </a:prstGeom>
                    <a:noFill/>
                    <a:ln w="9525" cmpd="sng">
                      <a:solidFill>
                        <a:srgbClr val="000000"/>
                      </a:solidFill>
                      <a:miter lim="800000"/>
                      <a:headEnd/>
                      <a:tailEnd/>
                    </a:ln>
                    <a:effectLst/>
                  </pic:spPr>
                </pic:pic>
              </a:graphicData>
            </a:graphic>
          </wp:anchor>
        </w:drawing>
      </w:r>
    </w:p>
    <w:p w14:paraId="79469C38" w14:textId="77777777" w:rsidR="006D74A9" w:rsidRPr="00E3232D" w:rsidRDefault="006D74A9" w:rsidP="00C64102">
      <w:pPr>
        <w:spacing w:after="120"/>
        <w:jc w:val="right"/>
        <w:rPr>
          <w:rFonts w:ascii="Book Antiqua" w:hAnsi="Book Antiqua"/>
        </w:rPr>
      </w:pPr>
    </w:p>
    <w:p w14:paraId="24E41139" w14:textId="77777777" w:rsidR="006D74A9" w:rsidRPr="00E3232D" w:rsidRDefault="006D74A9" w:rsidP="008275E1">
      <w:pPr>
        <w:spacing w:after="120"/>
        <w:rPr>
          <w:rFonts w:ascii="Book Antiqua" w:hAnsi="Book Antiqua"/>
        </w:rPr>
      </w:pPr>
    </w:p>
    <w:p w14:paraId="5C757B5E" w14:textId="77777777" w:rsidR="006D74A9" w:rsidRDefault="006D74A9" w:rsidP="008275E1">
      <w:pPr>
        <w:spacing w:after="120"/>
        <w:rPr>
          <w:rFonts w:ascii="Book Antiqua" w:hAnsi="Book Antiqua"/>
          <w:noProof/>
        </w:rPr>
      </w:pPr>
    </w:p>
    <w:p w14:paraId="220A9FD0" w14:textId="77777777" w:rsidR="00C64102" w:rsidRDefault="00C64102" w:rsidP="008275E1">
      <w:pPr>
        <w:spacing w:after="120"/>
        <w:rPr>
          <w:rFonts w:ascii="Book Antiqua" w:hAnsi="Book Antiqua"/>
          <w:noProof/>
        </w:rPr>
      </w:pPr>
    </w:p>
    <w:p w14:paraId="0CA1C02A" w14:textId="77777777" w:rsidR="00C64102" w:rsidRDefault="00C64102" w:rsidP="008275E1">
      <w:pPr>
        <w:spacing w:after="120"/>
        <w:rPr>
          <w:rFonts w:ascii="Book Antiqua" w:hAnsi="Book Antiqua"/>
          <w:noProof/>
        </w:rPr>
      </w:pPr>
    </w:p>
    <w:p w14:paraId="3455B751" w14:textId="77777777" w:rsidR="00C64102" w:rsidRDefault="00C64102" w:rsidP="008275E1">
      <w:pPr>
        <w:spacing w:after="120"/>
        <w:rPr>
          <w:rFonts w:ascii="Book Antiqua" w:hAnsi="Book Antiqua"/>
          <w:noProof/>
        </w:rPr>
      </w:pPr>
    </w:p>
    <w:p w14:paraId="576670C5" w14:textId="77777777" w:rsidR="00C64102" w:rsidRDefault="00C64102" w:rsidP="008275E1">
      <w:pPr>
        <w:spacing w:after="120"/>
        <w:rPr>
          <w:rFonts w:ascii="Book Antiqua" w:hAnsi="Book Antiqua"/>
          <w:noProof/>
        </w:rPr>
      </w:pPr>
    </w:p>
    <w:p w14:paraId="10012750" w14:textId="77777777" w:rsidR="00C64102" w:rsidRDefault="00C64102" w:rsidP="008275E1">
      <w:pPr>
        <w:spacing w:after="120"/>
        <w:rPr>
          <w:rFonts w:ascii="Book Antiqua" w:hAnsi="Book Antiqua"/>
          <w:noProof/>
        </w:rPr>
      </w:pPr>
    </w:p>
    <w:p w14:paraId="174DD133" w14:textId="77777777" w:rsidR="003C34E8" w:rsidRDefault="003C34E8" w:rsidP="008275E1">
      <w:pPr>
        <w:spacing w:after="120"/>
        <w:rPr>
          <w:rFonts w:ascii="Book Antiqua" w:hAnsi="Book Antiqua"/>
          <w:noProof/>
        </w:rPr>
      </w:pPr>
    </w:p>
    <w:p w14:paraId="1F5F60A7" w14:textId="77777777" w:rsidR="003C34E8" w:rsidRDefault="003C34E8" w:rsidP="008275E1">
      <w:pPr>
        <w:spacing w:after="120"/>
        <w:rPr>
          <w:rFonts w:ascii="Book Antiqua" w:hAnsi="Book Antiqua"/>
          <w:noProof/>
        </w:rPr>
      </w:pPr>
    </w:p>
    <w:p w14:paraId="290BB951" w14:textId="77777777" w:rsidR="003C34E8" w:rsidRDefault="003C34E8" w:rsidP="008275E1">
      <w:pPr>
        <w:spacing w:after="120"/>
        <w:rPr>
          <w:rFonts w:ascii="Book Antiqua" w:hAnsi="Book Antiqua"/>
          <w:noProof/>
        </w:rPr>
      </w:pPr>
    </w:p>
    <w:p w14:paraId="41D11950" w14:textId="77777777" w:rsidR="003C34E8" w:rsidRDefault="003C34E8" w:rsidP="008275E1">
      <w:pPr>
        <w:spacing w:after="120"/>
        <w:rPr>
          <w:rFonts w:ascii="Book Antiqua" w:hAnsi="Book Antiqua"/>
          <w:noProof/>
        </w:rPr>
      </w:pPr>
    </w:p>
    <w:p w14:paraId="0DC4F772" w14:textId="77777777" w:rsidR="00C64102" w:rsidRDefault="003C34E8" w:rsidP="008275E1">
      <w:pPr>
        <w:spacing w:after="120"/>
        <w:rPr>
          <w:rFonts w:ascii="Book Antiqua" w:hAnsi="Book Antiqua"/>
          <w:noProof/>
        </w:rPr>
      </w:pPr>
      <w:r>
        <w:rPr>
          <w:rFonts w:ascii="Book Antiqua" w:hAnsi="Book Antiqua"/>
          <w:noProof/>
          <w:lang w:bidi="ar-SA"/>
        </w:rPr>
        <w:drawing>
          <wp:inline distT="0" distB="0" distL="0" distR="0" wp14:anchorId="2F34A802" wp14:editId="121E0F66">
            <wp:extent cx="2514600" cy="2571750"/>
            <wp:effectExtent l="38100" t="19050" r="19050" b="19050"/>
            <wp:docPr id="2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3"/>
                    <a:srcRect/>
                    <a:stretch>
                      <a:fillRect/>
                    </a:stretch>
                  </pic:blipFill>
                  <pic:spPr bwMode="auto">
                    <a:xfrm>
                      <a:off x="0" y="0"/>
                      <a:ext cx="2514600" cy="2571750"/>
                    </a:xfrm>
                    <a:prstGeom prst="rect">
                      <a:avLst/>
                    </a:prstGeom>
                    <a:noFill/>
                    <a:ln w="9525" cmpd="sng">
                      <a:solidFill>
                        <a:srgbClr val="000000"/>
                      </a:solidFill>
                      <a:miter lim="800000"/>
                      <a:headEnd/>
                      <a:tailEnd/>
                    </a:ln>
                    <a:effectLst/>
                  </pic:spPr>
                </pic:pic>
              </a:graphicData>
            </a:graphic>
          </wp:inline>
        </w:drawing>
      </w:r>
    </w:p>
    <w:p w14:paraId="58557AAC" w14:textId="77777777" w:rsidR="003C34E8" w:rsidRDefault="003C34E8" w:rsidP="008275E1">
      <w:pPr>
        <w:spacing w:after="120"/>
        <w:rPr>
          <w:rFonts w:ascii="Book Antiqua" w:hAnsi="Book Antiqua"/>
          <w:noProof/>
        </w:rPr>
      </w:pPr>
    </w:p>
    <w:p w14:paraId="62500368" w14:textId="77777777" w:rsidR="003C34E8" w:rsidRDefault="003C34E8" w:rsidP="008275E1">
      <w:pPr>
        <w:spacing w:after="120"/>
        <w:rPr>
          <w:rFonts w:ascii="Book Antiqua" w:hAnsi="Book Antiqua"/>
          <w:noProof/>
        </w:rPr>
      </w:pPr>
    </w:p>
    <w:p w14:paraId="329F8E57" w14:textId="77777777" w:rsidR="00C64102" w:rsidRDefault="00C64102" w:rsidP="008275E1">
      <w:pPr>
        <w:spacing w:after="120"/>
        <w:rPr>
          <w:rFonts w:ascii="Book Antiqua" w:hAnsi="Book Antiqua"/>
          <w:noProof/>
        </w:rPr>
      </w:pPr>
    </w:p>
    <w:p w14:paraId="2E24661D" w14:textId="77777777" w:rsidR="00C64102" w:rsidRDefault="00C64102" w:rsidP="008275E1">
      <w:pPr>
        <w:spacing w:after="120"/>
        <w:rPr>
          <w:rFonts w:ascii="Book Antiqua" w:hAnsi="Book Antiqua"/>
          <w:noProof/>
        </w:rPr>
      </w:pPr>
    </w:p>
    <w:p w14:paraId="456E3D74" w14:textId="77777777" w:rsidR="00C64102" w:rsidRDefault="00C64102" w:rsidP="008275E1">
      <w:pPr>
        <w:spacing w:after="120"/>
        <w:rPr>
          <w:rFonts w:ascii="Book Antiqua" w:hAnsi="Book Antiqua"/>
          <w:noProof/>
        </w:rPr>
      </w:pPr>
      <w:r>
        <w:rPr>
          <w:rFonts w:ascii="Book Antiqua" w:hAnsi="Book Antiqua"/>
          <w:noProof/>
          <w:lang w:bidi="ar-SA"/>
        </w:rPr>
        <w:drawing>
          <wp:anchor distT="0" distB="0" distL="114300" distR="114300" simplePos="0" relativeHeight="251663360" behindDoc="1" locked="0" layoutInCell="1" allowOverlap="1" wp14:anchorId="26417826" wp14:editId="38AB1735">
            <wp:simplePos x="0" y="0"/>
            <wp:positionH relativeFrom="column">
              <wp:posOffset>19050</wp:posOffset>
            </wp:positionH>
            <wp:positionV relativeFrom="paragraph">
              <wp:posOffset>21590</wp:posOffset>
            </wp:positionV>
            <wp:extent cx="3219450" cy="2505075"/>
            <wp:effectExtent l="19050" t="19050" r="19050" b="28575"/>
            <wp:wrapTight wrapText="bothSides">
              <wp:wrapPolygon edited="0">
                <wp:start x="-128" y="-164"/>
                <wp:lineTo x="-128" y="21846"/>
                <wp:lineTo x="21728" y="21846"/>
                <wp:lineTo x="21728" y="-164"/>
                <wp:lineTo x="-128" y="-164"/>
              </wp:wrapPolygon>
            </wp:wrapTight>
            <wp:docPr id="2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4"/>
                    <a:srcRect/>
                    <a:stretch>
                      <a:fillRect/>
                    </a:stretch>
                  </pic:blipFill>
                  <pic:spPr bwMode="auto">
                    <a:xfrm>
                      <a:off x="0" y="0"/>
                      <a:ext cx="3219450" cy="2505075"/>
                    </a:xfrm>
                    <a:prstGeom prst="rect">
                      <a:avLst/>
                    </a:prstGeom>
                    <a:noFill/>
                    <a:ln w="9525" cmpd="sng">
                      <a:solidFill>
                        <a:srgbClr val="000000"/>
                      </a:solidFill>
                      <a:miter lim="800000"/>
                      <a:headEnd/>
                      <a:tailEnd/>
                    </a:ln>
                    <a:effectLst/>
                  </pic:spPr>
                </pic:pic>
              </a:graphicData>
            </a:graphic>
          </wp:anchor>
        </w:drawing>
      </w:r>
    </w:p>
    <w:p w14:paraId="31385997" w14:textId="77777777" w:rsidR="00C64102" w:rsidRDefault="00C64102" w:rsidP="008275E1">
      <w:pPr>
        <w:spacing w:after="120"/>
        <w:rPr>
          <w:rFonts w:ascii="Book Antiqua" w:hAnsi="Book Antiqua"/>
          <w:noProof/>
        </w:rPr>
      </w:pPr>
    </w:p>
    <w:p w14:paraId="59D1D683" w14:textId="77777777" w:rsidR="00C64102" w:rsidRDefault="00C64102" w:rsidP="008275E1">
      <w:pPr>
        <w:spacing w:after="120"/>
        <w:rPr>
          <w:rFonts w:ascii="Book Antiqua" w:hAnsi="Book Antiqua"/>
          <w:noProof/>
        </w:rPr>
      </w:pPr>
      <w:r>
        <w:rPr>
          <w:rFonts w:ascii="Book Antiqua" w:hAnsi="Book Antiqua"/>
          <w:noProof/>
          <w:lang w:bidi="ar-SA"/>
        </w:rPr>
        <w:drawing>
          <wp:inline distT="0" distB="0" distL="0" distR="0" wp14:anchorId="16A61816" wp14:editId="7CF6B092">
            <wp:extent cx="2571314" cy="2219325"/>
            <wp:effectExtent l="19050" t="0" r="436" b="0"/>
            <wp:docPr id="2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5"/>
                    <a:srcRect/>
                    <a:stretch>
                      <a:fillRect/>
                    </a:stretch>
                  </pic:blipFill>
                  <pic:spPr bwMode="auto">
                    <a:xfrm>
                      <a:off x="0" y="0"/>
                      <a:ext cx="2578735" cy="2225730"/>
                    </a:xfrm>
                    <a:prstGeom prst="rect">
                      <a:avLst/>
                    </a:prstGeom>
                    <a:noFill/>
                    <a:ln w="9525">
                      <a:noFill/>
                      <a:miter lim="800000"/>
                      <a:headEnd/>
                      <a:tailEnd/>
                    </a:ln>
                  </pic:spPr>
                </pic:pic>
              </a:graphicData>
            </a:graphic>
          </wp:inline>
        </w:drawing>
      </w:r>
    </w:p>
    <w:p w14:paraId="621F4591" w14:textId="77777777" w:rsidR="00C64102" w:rsidRPr="00E3232D" w:rsidRDefault="00C64102" w:rsidP="008275E1">
      <w:pPr>
        <w:spacing w:after="120"/>
        <w:rPr>
          <w:rFonts w:ascii="Book Antiqua" w:hAnsi="Book Antiqua"/>
          <w:noProof/>
        </w:rPr>
      </w:pPr>
    </w:p>
    <w:bookmarkEnd w:id="94"/>
    <w:bookmarkEnd w:id="95"/>
    <w:bookmarkEnd w:id="96"/>
    <w:bookmarkEnd w:id="97"/>
    <w:bookmarkEnd w:id="98"/>
    <w:p w14:paraId="64BCADAE" w14:textId="77777777" w:rsidR="00C64102" w:rsidRPr="00C64102" w:rsidRDefault="006D74A9" w:rsidP="00196385">
      <w:pPr>
        <w:pStyle w:val="Heading2"/>
        <w:keepLines/>
        <w:numPr>
          <w:ilvl w:val="0"/>
          <w:numId w:val="178"/>
        </w:numPr>
        <w:rPr>
          <w:rFonts w:ascii="Book Antiqua" w:hAnsi="Book Antiqua"/>
          <w:sz w:val="22"/>
          <w:szCs w:val="22"/>
        </w:rPr>
      </w:pPr>
      <w:r w:rsidRPr="004C29B8">
        <w:rPr>
          <w:rFonts w:ascii="Book Antiqua" w:hAnsi="Book Antiqua"/>
          <w:szCs w:val="22"/>
        </w:rPr>
        <w:t>Discussions</w:t>
      </w:r>
    </w:p>
    <w:p w14:paraId="355FDC88" w14:textId="77777777" w:rsidR="006D74A9" w:rsidRPr="00E3232D" w:rsidRDefault="006D74A9" w:rsidP="008275E1">
      <w:pPr>
        <w:rPr>
          <w:rFonts w:ascii="Book Antiqua" w:hAnsi="Book Antiqua"/>
        </w:rPr>
      </w:pPr>
      <w:r w:rsidRPr="00E3232D">
        <w:rPr>
          <w:rFonts w:ascii="Book Antiqua" w:hAnsi="Book Antiqua"/>
        </w:rPr>
        <w:t xml:space="preserve">Thefresh individual samples varied in sizes (Tables 1, 2 and 3) and the GBO, GM and TLD varied significantly (p≤0.05) among the different species. Changes occurred in the GBO, MR and TLD of the samples as plastination progressed through the various stages. </w:t>
      </w:r>
    </w:p>
    <w:p w14:paraId="399C0B99" w14:textId="77777777" w:rsidR="00285870" w:rsidRDefault="00285870" w:rsidP="008275E1">
      <w:pPr>
        <w:rPr>
          <w:rFonts w:ascii="Book Antiqua" w:hAnsi="Book Antiqua"/>
        </w:rPr>
      </w:pPr>
    </w:p>
    <w:p w14:paraId="3275BD48" w14:textId="77777777" w:rsidR="006D74A9" w:rsidRPr="00E3232D" w:rsidRDefault="006D74A9" w:rsidP="004C29B8">
      <w:pPr>
        <w:jc w:val="both"/>
        <w:rPr>
          <w:rFonts w:ascii="Book Antiqua" w:hAnsi="Book Antiqua"/>
        </w:rPr>
      </w:pPr>
      <w:r w:rsidRPr="00E3232D">
        <w:rPr>
          <w:rFonts w:ascii="Book Antiqua" w:hAnsi="Book Antiqua"/>
        </w:rPr>
        <w:t xml:space="preserve">For the GBO and TLD of </w:t>
      </w:r>
      <w:r w:rsidRPr="00E3232D">
        <w:rPr>
          <w:rFonts w:ascii="Book Antiqua" w:hAnsi="Book Antiqua"/>
          <w:i/>
        </w:rPr>
        <w:t>Tilapia</w:t>
      </w:r>
      <w:r w:rsidRPr="00E3232D">
        <w:rPr>
          <w:rFonts w:ascii="Book Antiqua" w:hAnsi="Book Antiqua"/>
        </w:rPr>
        <w:t xml:space="preserve"> the mean values for Fresh and Cured samples were not significantlydifferent(P&gt;0.05). However, the GMof Fresh and Cured </w:t>
      </w:r>
      <w:r w:rsidRPr="00E3232D">
        <w:rPr>
          <w:rFonts w:ascii="Book Antiqua" w:hAnsi="Book Antiqua"/>
          <w:i/>
        </w:rPr>
        <w:t>Tilapia</w:t>
      </w:r>
      <w:r w:rsidRPr="00E3232D">
        <w:rPr>
          <w:rFonts w:ascii="Book Antiqua" w:hAnsi="Book Antiqua"/>
        </w:rPr>
        <w:t xml:space="preserve">were significantly different(P≤0.05). The results show that plastination did not significantly alter theshape of the </w:t>
      </w:r>
      <w:r w:rsidRPr="00E3232D">
        <w:rPr>
          <w:rFonts w:ascii="Book Antiqua" w:hAnsi="Book Antiqua"/>
          <w:i/>
        </w:rPr>
        <w:t>Tilapia</w:t>
      </w:r>
      <w:r w:rsidRPr="00E3232D">
        <w:rPr>
          <w:rFonts w:ascii="Book Antiqua" w:hAnsi="Book Antiqua"/>
        </w:rPr>
        <w:t xml:space="preserve"> longitudinally and in the head region, but significantly altered the shape in the mid section. </w:t>
      </w:r>
    </w:p>
    <w:p w14:paraId="69EB3EAF" w14:textId="77777777" w:rsidR="00F074CC" w:rsidRDefault="00F074CC" w:rsidP="008275E1">
      <w:pPr>
        <w:rPr>
          <w:rFonts w:ascii="Book Antiqua" w:hAnsi="Book Antiqua"/>
        </w:rPr>
      </w:pPr>
    </w:p>
    <w:p w14:paraId="00D09D04" w14:textId="77777777" w:rsidR="006D74A9" w:rsidRPr="00E3232D" w:rsidRDefault="006D74A9" w:rsidP="004C29B8">
      <w:pPr>
        <w:jc w:val="both"/>
        <w:rPr>
          <w:rFonts w:ascii="Book Antiqua" w:hAnsi="Book Antiqua"/>
        </w:rPr>
      </w:pPr>
      <w:r w:rsidRPr="00E3232D">
        <w:rPr>
          <w:rFonts w:ascii="Book Antiqua" w:hAnsi="Book Antiqua"/>
        </w:rPr>
        <w:t xml:space="preserve">For the </w:t>
      </w:r>
      <w:r w:rsidRPr="00E3232D">
        <w:rPr>
          <w:rFonts w:ascii="Book Antiqua" w:hAnsi="Book Antiqua"/>
          <w:i/>
        </w:rPr>
        <w:t>Catfish</w:t>
      </w:r>
      <w:r w:rsidRPr="00E3232D">
        <w:rPr>
          <w:rFonts w:ascii="Book Antiqua" w:hAnsi="Book Antiqua"/>
        </w:rPr>
        <w:t xml:space="preserve"> the mean GBO,GM and TLD for Fresh and Cured samples were not significantly different (P&gt;0.05). The results indicate that the </w:t>
      </w:r>
      <w:r w:rsidRPr="00E3232D">
        <w:rPr>
          <w:rFonts w:ascii="Book Antiqua" w:hAnsi="Book Antiqua"/>
          <w:i/>
        </w:rPr>
        <w:t>Catfish</w:t>
      </w:r>
      <w:r w:rsidRPr="00E3232D">
        <w:rPr>
          <w:rFonts w:ascii="Book Antiqua" w:hAnsi="Book Antiqua"/>
        </w:rPr>
        <w:t xml:space="preserve">maintained its overall shape,i.e. longitudinally, in the mid section and in the head region as a result of the plastination. </w:t>
      </w:r>
    </w:p>
    <w:p w14:paraId="5E2442F8" w14:textId="77777777" w:rsidR="00F074CC" w:rsidRDefault="00F074CC" w:rsidP="008275E1">
      <w:pPr>
        <w:rPr>
          <w:rFonts w:ascii="Book Antiqua" w:hAnsi="Book Antiqua"/>
        </w:rPr>
      </w:pPr>
    </w:p>
    <w:p w14:paraId="302A1DDB" w14:textId="77777777" w:rsidR="006D74A9" w:rsidRPr="00E3232D" w:rsidRDefault="006D74A9" w:rsidP="004C29B8">
      <w:pPr>
        <w:jc w:val="both"/>
        <w:rPr>
          <w:rFonts w:ascii="Book Antiqua" w:hAnsi="Book Antiqua"/>
        </w:rPr>
      </w:pPr>
      <w:r w:rsidRPr="00E3232D">
        <w:rPr>
          <w:rFonts w:ascii="Book Antiqua" w:hAnsi="Book Antiqua"/>
        </w:rPr>
        <w:t xml:space="preserve">In the case of the </w:t>
      </w:r>
      <w:r w:rsidRPr="00E3232D">
        <w:rPr>
          <w:rFonts w:ascii="Book Antiqua" w:hAnsi="Book Antiqua"/>
          <w:i/>
        </w:rPr>
        <w:t>Bonytongues</w:t>
      </w:r>
      <w:r w:rsidRPr="00E3232D">
        <w:rPr>
          <w:rFonts w:ascii="Book Antiqua" w:hAnsi="Book Antiqua"/>
        </w:rPr>
        <w:t xml:space="preserve"> the mean GBO and GM for Fresh and Cured samples were significantlydifferent (P≤0.05). However, the mean TLD for Fresh and Cured samples were not significantly different (P&gt;0.05). The results show that the </w:t>
      </w:r>
      <w:r w:rsidRPr="00E3232D">
        <w:rPr>
          <w:rFonts w:ascii="Book Antiqua" w:hAnsi="Book Antiqua"/>
          <w:i/>
        </w:rPr>
        <w:t>Bonytongues</w:t>
      </w:r>
      <w:r w:rsidRPr="00E3232D">
        <w:rPr>
          <w:rFonts w:ascii="Book Antiqua" w:hAnsi="Book Antiqua"/>
        </w:rPr>
        <w:t xml:space="preserve">maintained its shape longitudinally but shrunk significantly around the head region and in the mid section. </w:t>
      </w:r>
    </w:p>
    <w:p w14:paraId="5AC81FDE" w14:textId="77777777" w:rsidR="00285870" w:rsidRDefault="00285870" w:rsidP="008275E1">
      <w:pPr>
        <w:rPr>
          <w:rFonts w:ascii="Book Antiqua" w:hAnsi="Book Antiqua"/>
        </w:rPr>
      </w:pPr>
    </w:p>
    <w:p w14:paraId="4A7B6229" w14:textId="77777777" w:rsidR="006D74A9" w:rsidRPr="00E3232D" w:rsidRDefault="006D74A9" w:rsidP="004C29B8">
      <w:pPr>
        <w:jc w:val="both"/>
        <w:rPr>
          <w:rFonts w:ascii="Book Antiqua" w:hAnsi="Book Antiqua"/>
        </w:rPr>
      </w:pPr>
      <w:r w:rsidRPr="00E3232D">
        <w:rPr>
          <w:rFonts w:ascii="Book Antiqua" w:hAnsi="Book Antiqua"/>
        </w:rPr>
        <w:t xml:space="preserve">The GBO/MR values assessed the sizes of the heads relative to the medial girth.The TLD/GBO values assessed the longitudinal lengths relative to the sizes of the heads while the TLD/MR values assessed the longitudinal lengths relative to the medial girth. The TLD/GBO, TLD/MR and GBO/MR values (Table 4) indicate that the </w:t>
      </w:r>
      <w:r w:rsidRPr="00E3232D">
        <w:rPr>
          <w:rFonts w:ascii="Book Antiqua" w:hAnsi="Book Antiqua"/>
          <w:i/>
        </w:rPr>
        <w:t>Catfish</w:t>
      </w:r>
      <w:r w:rsidRPr="00E3232D">
        <w:rPr>
          <w:rFonts w:ascii="Book Antiqua" w:hAnsi="Book Antiqua"/>
        </w:rPr>
        <w:t xml:space="preserve"> and </w:t>
      </w:r>
      <w:r w:rsidRPr="00E3232D">
        <w:rPr>
          <w:rFonts w:ascii="Book Antiqua" w:hAnsi="Book Antiqua"/>
          <w:i/>
        </w:rPr>
        <w:t>Bonytongue</w:t>
      </w:r>
      <w:r w:rsidRPr="00E3232D">
        <w:rPr>
          <w:rFonts w:ascii="Book Antiqua" w:hAnsi="Book Antiqua"/>
        </w:rPr>
        <w:t xml:space="preserve">samples have similar shapes which are markedly different from that of the </w:t>
      </w:r>
      <w:r w:rsidRPr="00E3232D">
        <w:rPr>
          <w:rFonts w:ascii="Book Antiqua" w:hAnsi="Book Antiqua"/>
          <w:i/>
        </w:rPr>
        <w:t>Tilapia</w:t>
      </w:r>
      <w:r w:rsidRPr="00E3232D">
        <w:rPr>
          <w:rFonts w:ascii="Book Antiqua" w:hAnsi="Book Antiqua"/>
        </w:rPr>
        <w:t xml:space="preserve"> samples. </w:t>
      </w:r>
    </w:p>
    <w:p w14:paraId="7A71A8EA" w14:textId="77777777" w:rsidR="006D74A9" w:rsidRPr="00E3232D" w:rsidRDefault="006D74A9" w:rsidP="004C29B8">
      <w:pPr>
        <w:jc w:val="both"/>
        <w:rPr>
          <w:rFonts w:ascii="Book Antiqua" w:hAnsi="Book Antiqua"/>
        </w:rPr>
      </w:pPr>
      <w:r w:rsidRPr="00E3232D">
        <w:rPr>
          <w:rFonts w:ascii="Book Antiqua" w:hAnsi="Book Antiqua"/>
        </w:rPr>
        <w:t xml:space="preserve">For all the three species of fishes, the TLD/GBO, TLD/MR and GBO/MR values for the cured samples were not significantly different (p&gt;0.05) from those of the fresh samples. This means that at the end of the plastination process the sizes of the head region, mid section and total length relative to each other were maintained. This agrees with Kularbkaewi </w:t>
      </w:r>
      <w:r w:rsidRPr="00E3232D">
        <w:rPr>
          <w:rFonts w:ascii="Book Antiqua" w:hAnsi="Book Antiqua"/>
          <w:i/>
        </w:rPr>
        <w:t>et al</w:t>
      </w:r>
      <w:r w:rsidRPr="00E3232D">
        <w:rPr>
          <w:rFonts w:ascii="Book Antiqua" w:hAnsi="Book Antiqua"/>
        </w:rPr>
        <w:t xml:space="preserve"> (1996) that plastinated specimens maintain their original shape. </w:t>
      </w:r>
    </w:p>
    <w:p w14:paraId="756A1A08" w14:textId="77777777" w:rsidR="00A850B8" w:rsidRDefault="006D74A9" w:rsidP="004C29B8">
      <w:pPr>
        <w:jc w:val="both"/>
        <w:rPr>
          <w:rFonts w:ascii="Book Antiqua" w:hAnsi="Book Antiqua"/>
        </w:rPr>
      </w:pPr>
      <w:r w:rsidRPr="00E3232D">
        <w:rPr>
          <w:rFonts w:ascii="Book Antiqua" w:hAnsi="Book Antiqua"/>
        </w:rPr>
        <w:t xml:space="preserve">Even though visually there were no noticeable changes in the sizes of the plastinated samples, measurements indicated that some amount of shrinkage and swelling did occur along the process. These were indicated by the changes in GBO, MR and TLD (Figures1, 2 and 3). </w:t>
      </w:r>
    </w:p>
    <w:p w14:paraId="02759D05" w14:textId="77777777" w:rsidR="00F074CC" w:rsidRDefault="006D74A9" w:rsidP="004C29B8">
      <w:pPr>
        <w:jc w:val="both"/>
        <w:rPr>
          <w:rFonts w:ascii="Book Antiqua" w:hAnsi="Book Antiqua"/>
        </w:rPr>
      </w:pPr>
      <w:r w:rsidRPr="00E3232D">
        <w:rPr>
          <w:rFonts w:ascii="Book Antiqua" w:hAnsi="Book Antiqua"/>
        </w:rPr>
        <w:t xml:space="preserve">For the </w:t>
      </w:r>
      <w:r w:rsidRPr="00E3232D">
        <w:rPr>
          <w:rFonts w:ascii="Book Antiqua" w:hAnsi="Book Antiqua"/>
          <w:i/>
        </w:rPr>
        <w:t>Tilapia</w:t>
      </w:r>
      <w:r w:rsidRPr="00E3232D">
        <w:rPr>
          <w:rFonts w:ascii="Book Antiqua" w:hAnsi="Book Antiqua"/>
        </w:rPr>
        <w:t xml:space="preserve">, </w:t>
      </w:r>
      <w:r w:rsidRPr="00E3232D">
        <w:rPr>
          <w:rFonts w:ascii="Book Antiqua" w:hAnsi="Book Antiqua"/>
          <w:i/>
        </w:rPr>
        <w:t>Catfish</w:t>
      </w:r>
      <w:r w:rsidRPr="00E3232D">
        <w:rPr>
          <w:rFonts w:ascii="Book Antiqua" w:hAnsi="Book Antiqua"/>
        </w:rPr>
        <w:t xml:space="preserve"> and</w:t>
      </w:r>
    </w:p>
    <w:p w14:paraId="751582E2" w14:textId="77777777" w:rsidR="006D74A9" w:rsidRPr="00E3232D" w:rsidRDefault="006D74A9" w:rsidP="004C29B8">
      <w:pPr>
        <w:jc w:val="both"/>
        <w:rPr>
          <w:rFonts w:ascii="Book Antiqua" w:hAnsi="Book Antiqua"/>
        </w:rPr>
      </w:pPr>
      <w:r w:rsidRPr="00E3232D">
        <w:rPr>
          <w:rFonts w:ascii="Book Antiqua" w:hAnsi="Book Antiqua"/>
        </w:rPr>
        <w:t xml:space="preserve"> </w:t>
      </w:r>
      <w:r w:rsidRPr="00E3232D">
        <w:rPr>
          <w:rFonts w:ascii="Book Antiqua" w:hAnsi="Book Antiqua"/>
          <w:i/>
        </w:rPr>
        <w:t>Bonytongue</w:t>
      </w:r>
      <w:r w:rsidRPr="00E3232D">
        <w:rPr>
          <w:rFonts w:ascii="Book Antiqua" w:hAnsi="Book Antiqua"/>
        </w:rPr>
        <w:t xml:space="preserve">significant (p&lt;0.05) changesoccurred in GBO between the dehydration and impregnation stages. Thelevelsof shrinkages in GBO reduced during impregnation due to the loss of Acetone and uptake of Silicone polymer by the fish tissues.There were no significant changes (p&gt;0.05) in GBO between Fixation and Dehydration, and between Impregnation and Curing. Similar results were observed for the GM of the three types of fishes. </w:t>
      </w:r>
    </w:p>
    <w:p w14:paraId="554B0F8A" w14:textId="77777777" w:rsidR="00285870" w:rsidRDefault="00285870" w:rsidP="004C29B8">
      <w:pPr>
        <w:jc w:val="both"/>
        <w:rPr>
          <w:rFonts w:ascii="Book Antiqua" w:hAnsi="Book Antiqua"/>
        </w:rPr>
      </w:pPr>
    </w:p>
    <w:p w14:paraId="3BA00038" w14:textId="77777777" w:rsidR="00F074CC" w:rsidRDefault="006D74A9" w:rsidP="004C29B8">
      <w:pPr>
        <w:jc w:val="both"/>
        <w:rPr>
          <w:rFonts w:ascii="Book Antiqua" w:hAnsi="Book Antiqua"/>
        </w:rPr>
      </w:pPr>
      <w:r w:rsidRPr="00E3232D">
        <w:rPr>
          <w:rFonts w:ascii="Book Antiqua" w:hAnsi="Book Antiqua"/>
        </w:rPr>
        <w:t xml:space="preserve">There was significant (p≤0.05) changes in GM between the Dehydration and Impregnation stages, but no significant changes (p&gt;0.05) between Fixation and Dehydration, and between Impregnation and Curing. </w:t>
      </w:r>
    </w:p>
    <w:p w14:paraId="04352B14" w14:textId="77777777" w:rsidR="00F074CC" w:rsidRDefault="006D74A9" w:rsidP="004C29B8">
      <w:pPr>
        <w:jc w:val="both"/>
        <w:rPr>
          <w:rFonts w:ascii="Book Antiqua" w:hAnsi="Book Antiqua"/>
        </w:rPr>
      </w:pPr>
      <w:r w:rsidRPr="00E3232D">
        <w:rPr>
          <w:rFonts w:ascii="Book Antiqua" w:hAnsi="Book Antiqua"/>
        </w:rPr>
        <w:t xml:space="preserve">Significant changes (p≤0.05) occurred in the TLD of the </w:t>
      </w:r>
      <w:r w:rsidRPr="00E3232D">
        <w:rPr>
          <w:rFonts w:ascii="Book Antiqua" w:hAnsi="Book Antiqua"/>
          <w:i/>
        </w:rPr>
        <w:t>Catfish</w:t>
      </w:r>
      <w:r w:rsidRPr="00E3232D">
        <w:rPr>
          <w:rFonts w:ascii="Book Antiqua" w:hAnsi="Book Antiqua"/>
        </w:rPr>
        <w:t xml:space="preserve"> and </w:t>
      </w:r>
      <w:r w:rsidRPr="00E3232D">
        <w:rPr>
          <w:rFonts w:ascii="Book Antiqua" w:hAnsi="Book Antiqua"/>
          <w:i/>
        </w:rPr>
        <w:t>Bonytongue</w:t>
      </w:r>
      <w:r w:rsidRPr="00E3232D">
        <w:rPr>
          <w:rFonts w:ascii="Book Antiqua" w:hAnsi="Book Antiqua"/>
        </w:rPr>
        <w:t xml:space="preserve"> between the Fixation – Dehydration stages. </w:t>
      </w:r>
    </w:p>
    <w:p w14:paraId="06C263BA" w14:textId="77777777" w:rsidR="00285870" w:rsidRPr="004C29B8" w:rsidRDefault="006D74A9" w:rsidP="004C29B8">
      <w:pPr>
        <w:jc w:val="both"/>
        <w:rPr>
          <w:rFonts w:ascii="Book Antiqua" w:hAnsi="Book Antiqua"/>
        </w:rPr>
      </w:pPr>
      <w:r w:rsidRPr="00E3232D">
        <w:rPr>
          <w:rFonts w:ascii="Book Antiqua" w:hAnsi="Book Antiqua"/>
        </w:rPr>
        <w:t xml:space="preserve">The plastinated </w:t>
      </w:r>
      <w:r w:rsidRPr="00E3232D">
        <w:rPr>
          <w:rFonts w:ascii="Book Antiqua" w:hAnsi="Book Antiqua"/>
          <w:i/>
        </w:rPr>
        <w:t>Tilapia</w:t>
      </w:r>
      <w:r w:rsidRPr="00E3232D">
        <w:rPr>
          <w:rFonts w:ascii="Book Antiqua" w:hAnsi="Book Antiqua"/>
        </w:rPr>
        <w:t xml:space="preserve">, </w:t>
      </w:r>
      <w:r w:rsidRPr="00E3232D">
        <w:rPr>
          <w:rFonts w:ascii="Book Antiqua" w:hAnsi="Book Antiqua"/>
          <w:i/>
        </w:rPr>
        <w:t>Catfish</w:t>
      </w:r>
      <w:r w:rsidRPr="00E3232D">
        <w:rPr>
          <w:rFonts w:ascii="Book Antiqua" w:hAnsi="Book Antiqua"/>
        </w:rPr>
        <w:t xml:space="preserve"> and </w:t>
      </w:r>
      <w:r w:rsidRPr="00E3232D">
        <w:rPr>
          <w:rFonts w:ascii="Book Antiqua" w:hAnsi="Book Antiqua"/>
          <w:i/>
        </w:rPr>
        <w:t>Bonytongue</w:t>
      </w:r>
      <w:r w:rsidRPr="00E3232D">
        <w:rPr>
          <w:rFonts w:ascii="Book Antiqua" w:hAnsi="Book Antiqua"/>
        </w:rPr>
        <w:t xml:space="preserve">were hard, odourless and rigid and these results are consistent with the findings of Weinhaus (2005) that plastinated specimens are hardened and dry and more rigid. </w:t>
      </w:r>
    </w:p>
    <w:p w14:paraId="6A7898A8" w14:textId="77777777" w:rsidR="006D74A9" w:rsidRPr="00E3232D" w:rsidRDefault="006D74A9" w:rsidP="004C29B8">
      <w:pPr>
        <w:jc w:val="both"/>
        <w:rPr>
          <w:rFonts w:ascii="Book Antiqua" w:hAnsi="Book Antiqua"/>
          <w:bCs/>
        </w:rPr>
      </w:pPr>
      <w:r w:rsidRPr="00E3232D">
        <w:rPr>
          <w:rFonts w:ascii="Book Antiqua" w:hAnsi="Book Antiqua"/>
          <w:bCs/>
        </w:rPr>
        <w:t xml:space="preserve">The plastinated </w:t>
      </w:r>
      <w:r w:rsidRPr="00E3232D">
        <w:rPr>
          <w:rFonts w:ascii="Book Antiqua" w:hAnsi="Book Antiqua"/>
          <w:bCs/>
          <w:i/>
        </w:rPr>
        <w:t>Tilapia</w:t>
      </w:r>
      <w:r w:rsidRPr="00E3232D">
        <w:rPr>
          <w:rFonts w:ascii="Book Antiqua" w:hAnsi="Book Antiqua"/>
          <w:bCs/>
        </w:rPr>
        <w:t xml:space="preserve"> retained its colour, but the </w:t>
      </w:r>
      <w:r w:rsidRPr="00E3232D">
        <w:rPr>
          <w:rFonts w:ascii="Book Antiqua" w:hAnsi="Book Antiqua"/>
          <w:bCs/>
          <w:i/>
        </w:rPr>
        <w:t>Catfish</w:t>
      </w:r>
      <w:r w:rsidRPr="00E3232D">
        <w:rPr>
          <w:rFonts w:ascii="Book Antiqua" w:hAnsi="Book Antiqua"/>
          <w:bCs/>
        </w:rPr>
        <w:t xml:space="preserve"> and </w:t>
      </w:r>
      <w:r w:rsidRPr="00E3232D">
        <w:rPr>
          <w:rFonts w:ascii="Book Antiqua" w:hAnsi="Book Antiqua"/>
          <w:bCs/>
          <w:i/>
        </w:rPr>
        <w:t>Bonytongue</w:t>
      </w:r>
      <w:r w:rsidRPr="00E3232D">
        <w:rPr>
          <w:rFonts w:ascii="Book Antiqua" w:hAnsi="Book Antiqua"/>
          <w:bCs/>
        </w:rPr>
        <w:t xml:space="preserve">decolourised at dehydration. The </w:t>
      </w:r>
      <w:r w:rsidRPr="00E3232D">
        <w:rPr>
          <w:rFonts w:ascii="Book Antiqua" w:hAnsi="Book Antiqua"/>
          <w:bCs/>
          <w:i/>
        </w:rPr>
        <w:t>Catfish</w:t>
      </w:r>
      <w:r w:rsidRPr="00E3232D">
        <w:rPr>
          <w:rFonts w:ascii="Book Antiqua" w:hAnsi="Book Antiqua"/>
          <w:bCs/>
        </w:rPr>
        <w:t xml:space="preserve"> and </w:t>
      </w:r>
      <w:r w:rsidRPr="00E3232D">
        <w:rPr>
          <w:rFonts w:ascii="Book Antiqua" w:hAnsi="Book Antiqua"/>
          <w:bCs/>
          <w:i/>
        </w:rPr>
        <w:t>Bonytongue</w:t>
      </w:r>
      <w:r w:rsidRPr="00E3232D">
        <w:rPr>
          <w:rFonts w:ascii="Book Antiqua" w:hAnsi="Book Antiqua"/>
          <w:bCs/>
        </w:rPr>
        <w:t xml:space="preserve"> underwent some amount of browning during storage after curing. The formalin used in this study was not buffered. According to Rolls (2012) unbuffered formalin will slowly oxidize to formic acid resulting in a fall in pH. Under these conditions the formic acid will react with hemoglobin to form acid formaldehyde haematin, a brown-black granular artefact pigment which is deposited in blood-rich tissues. The brown pigment acid formalin haematin pigment can be seen in sites containing blood (Tampa Pathology Laboratories - School of Histotechnology, 2013). </w:t>
      </w:r>
    </w:p>
    <w:p w14:paraId="2F8546D0" w14:textId="77777777" w:rsidR="00AB57D3" w:rsidRDefault="00AB57D3" w:rsidP="004C29B8">
      <w:pPr>
        <w:autoSpaceDE w:val="0"/>
        <w:autoSpaceDN w:val="0"/>
        <w:adjustRightInd w:val="0"/>
        <w:spacing w:after="0"/>
        <w:jc w:val="both"/>
        <w:rPr>
          <w:rFonts w:ascii="Book Antiqua" w:hAnsi="Book Antiqua"/>
        </w:rPr>
      </w:pPr>
    </w:p>
    <w:p w14:paraId="26FA74FA" w14:textId="77777777" w:rsidR="006D74A9" w:rsidRPr="00E3232D" w:rsidRDefault="006D74A9" w:rsidP="004C29B8">
      <w:pPr>
        <w:autoSpaceDE w:val="0"/>
        <w:autoSpaceDN w:val="0"/>
        <w:adjustRightInd w:val="0"/>
        <w:jc w:val="both"/>
        <w:rPr>
          <w:rFonts w:ascii="Book Antiqua" w:hAnsi="Book Antiqua"/>
        </w:rPr>
      </w:pPr>
      <w:r w:rsidRPr="00E3232D">
        <w:rPr>
          <w:rFonts w:ascii="Book Antiqua" w:hAnsi="Book Antiqua"/>
        </w:rPr>
        <w:t xml:space="preserve">According to Henry et al. (1997) the inherent nature of fixation and dehydration maximizes colour loss. Minimal fixation using low percentage of formalin and short time (1-2 days) will yield a more flexible and more natural looking specimen.According to Henry et al. (1997) fixation is not always necessary for Silicone plastination, and in some cases the natural specimen colour may be preserved if the tissue is not fixed. Apart from discolouration, colour loss can occur from bleaching during dehydration of the specimen (Henry et al. 1997). </w:t>
      </w:r>
    </w:p>
    <w:p w14:paraId="7166655F" w14:textId="77777777" w:rsidR="00285870" w:rsidRDefault="00285870" w:rsidP="004C29B8">
      <w:pPr>
        <w:spacing w:after="0"/>
        <w:jc w:val="both"/>
        <w:rPr>
          <w:rFonts w:ascii="Book Antiqua" w:hAnsi="Book Antiqua"/>
          <w:bCs/>
        </w:rPr>
      </w:pPr>
    </w:p>
    <w:p w14:paraId="004BE374" w14:textId="77777777" w:rsidR="006D74A9" w:rsidRPr="00E3232D" w:rsidRDefault="006D74A9" w:rsidP="004C29B8">
      <w:pPr>
        <w:jc w:val="both"/>
        <w:rPr>
          <w:rFonts w:ascii="Book Antiqua" w:hAnsi="Book Antiqua"/>
        </w:rPr>
      </w:pPr>
      <w:r w:rsidRPr="00E3232D">
        <w:rPr>
          <w:rFonts w:ascii="Book Antiqua" w:hAnsi="Book Antiqua"/>
          <w:bCs/>
        </w:rPr>
        <w:t xml:space="preserve">According to Diz et al (2004), </w:t>
      </w:r>
      <w:r w:rsidRPr="00E3232D">
        <w:rPr>
          <w:rFonts w:ascii="Book Antiqua" w:hAnsi="Book Antiqua"/>
        </w:rPr>
        <w:t xml:space="preserve">reptiles, amphibians and fishes are specimens which are well preserved with the S10 technique. However, there might be varying degrees of color loss. Moreover, the specimens might shrink depending on their structure and consistency. Shrinkage could be reduced by injecting polymer-mix from the forced impregnation bath by mouth, anus and corporal cavities (Diz </w:t>
      </w:r>
      <w:r w:rsidRPr="00E3232D">
        <w:rPr>
          <w:rFonts w:ascii="Book Antiqua" w:hAnsi="Book Antiqua"/>
          <w:i/>
        </w:rPr>
        <w:t>et al</w:t>
      </w:r>
      <w:r w:rsidRPr="00E3232D">
        <w:rPr>
          <w:rFonts w:ascii="Book Antiqua" w:hAnsi="Book Antiqua"/>
        </w:rPr>
        <w:t xml:space="preserve">., 2004). </w:t>
      </w:r>
    </w:p>
    <w:p w14:paraId="7A618904" w14:textId="77777777" w:rsidR="00285870" w:rsidRDefault="00285870" w:rsidP="004C29B8">
      <w:pPr>
        <w:jc w:val="both"/>
        <w:rPr>
          <w:rFonts w:ascii="Book Antiqua" w:hAnsi="Book Antiqua"/>
        </w:rPr>
      </w:pPr>
    </w:p>
    <w:p w14:paraId="0AD26148" w14:textId="77777777" w:rsidR="006D74A9" w:rsidRPr="00E3232D" w:rsidRDefault="006D74A9" w:rsidP="004C29B8">
      <w:pPr>
        <w:jc w:val="both"/>
        <w:rPr>
          <w:rFonts w:ascii="Book Antiqua" w:hAnsi="Book Antiqua"/>
        </w:rPr>
      </w:pPr>
      <w:r w:rsidRPr="00E3232D">
        <w:rPr>
          <w:rFonts w:ascii="Book Antiqua" w:hAnsi="Book Antiqua"/>
        </w:rPr>
        <w:t xml:space="preserve">The plastinated specimens in this study retained their general shapes and their anatomical structures were preserved. The plastinated specimens are therefore useful models of the fishes and can be used as teaching aids. </w:t>
      </w:r>
    </w:p>
    <w:p w14:paraId="43EACE90" w14:textId="77777777" w:rsidR="006D74A9" w:rsidRPr="00E3232D" w:rsidRDefault="006D74A9" w:rsidP="00196385">
      <w:pPr>
        <w:pStyle w:val="Heading2"/>
        <w:keepLines/>
        <w:numPr>
          <w:ilvl w:val="0"/>
          <w:numId w:val="178"/>
        </w:numPr>
        <w:jc w:val="both"/>
        <w:rPr>
          <w:rFonts w:ascii="Book Antiqua" w:hAnsi="Book Antiqua"/>
          <w:sz w:val="22"/>
          <w:szCs w:val="22"/>
        </w:rPr>
      </w:pPr>
      <w:bookmarkStart w:id="99" w:name="_Toc349328411"/>
      <w:bookmarkStart w:id="100" w:name="_Toc349329021"/>
      <w:bookmarkStart w:id="101" w:name="_Toc349330728"/>
      <w:bookmarkStart w:id="102" w:name="_Toc349330924"/>
      <w:bookmarkStart w:id="103" w:name="_Toc349331347"/>
      <w:r w:rsidRPr="004C29B8">
        <w:rPr>
          <w:rFonts w:ascii="Book Antiqua" w:hAnsi="Book Antiqua"/>
          <w:szCs w:val="22"/>
        </w:rPr>
        <w:t>Conclusions</w:t>
      </w:r>
      <w:bookmarkEnd w:id="99"/>
      <w:bookmarkEnd w:id="100"/>
      <w:bookmarkEnd w:id="101"/>
      <w:bookmarkEnd w:id="102"/>
      <w:bookmarkEnd w:id="103"/>
    </w:p>
    <w:p w14:paraId="22034820" w14:textId="77777777" w:rsidR="006D74A9" w:rsidRPr="00E3232D" w:rsidRDefault="006D74A9" w:rsidP="004C29B8">
      <w:pPr>
        <w:jc w:val="both"/>
        <w:rPr>
          <w:rFonts w:ascii="Book Antiqua" w:hAnsi="Book Antiqua"/>
        </w:rPr>
      </w:pPr>
      <w:r w:rsidRPr="00E3232D">
        <w:rPr>
          <w:rFonts w:ascii="Book Antiqua" w:hAnsi="Book Antiqua"/>
        </w:rPr>
        <w:t xml:space="preserve">The plastinated specimens are useful models ofthe </w:t>
      </w:r>
      <w:r w:rsidRPr="00E3232D">
        <w:rPr>
          <w:rFonts w:ascii="Book Antiqua" w:hAnsi="Book Antiqua"/>
          <w:i/>
        </w:rPr>
        <w:t>Tilapia</w:t>
      </w:r>
      <w:r w:rsidRPr="00E3232D">
        <w:rPr>
          <w:rFonts w:ascii="Book Antiqua" w:hAnsi="Book Antiqua"/>
        </w:rPr>
        <w:t xml:space="preserve">, </w:t>
      </w:r>
      <w:r w:rsidRPr="00E3232D">
        <w:rPr>
          <w:rFonts w:ascii="Book Antiqua" w:hAnsi="Book Antiqua"/>
          <w:i/>
        </w:rPr>
        <w:t>Catfish</w:t>
      </w:r>
      <w:r w:rsidRPr="00E3232D">
        <w:rPr>
          <w:rFonts w:ascii="Book Antiqua" w:hAnsi="Book Antiqua"/>
        </w:rPr>
        <w:t xml:space="preserve"> and </w:t>
      </w:r>
      <w:r w:rsidRPr="00E3232D">
        <w:rPr>
          <w:rFonts w:ascii="Book Antiqua" w:hAnsi="Book Antiqua"/>
          <w:i/>
        </w:rPr>
        <w:t>Bonytongue</w:t>
      </w:r>
      <w:r w:rsidRPr="00E3232D">
        <w:rPr>
          <w:rFonts w:ascii="Book Antiqua" w:hAnsi="Book Antiqua"/>
        </w:rPr>
        <w:t>samples and can therefore be used as teaching aids.The results show that it is possible to adapt the plastination procedure to produce plastinated specimen using Silicone Paste and Silicone Hardener Solutionavailablein local hardware stores.</w:t>
      </w:r>
    </w:p>
    <w:p w14:paraId="72F2B6FC" w14:textId="77777777" w:rsidR="006D74A9" w:rsidRPr="00E3232D" w:rsidRDefault="006D74A9" w:rsidP="004C29B8">
      <w:pPr>
        <w:pStyle w:val="Heading2"/>
        <w:jc w:val="both"/>
        <w:rPr>
          <w:rFonts w:ascii="Book Antiqua" w:hAnsi="Book Antiqua"/>
          <w:sz w:val="22"/>
          <w:szCs w:val="22"/>
        </w:rPr>
      </w:pPr>
      <w:r w:rsidRPr="00E3232D">
        <w:rPr>
          <w:rFonts w:ascii="Book Antiqua" w:hAnsi="Book Antiqua"/>
          <w:sz w:val="22"/>
          <w:szCs w:val="22"/>
        </w:rPr>
        <w:t xml:space="preserve">Acknowledgement </w:t>
      </w:r>
    </w:p>
    <w:p w14:paraId="6462C6B3" w14:textId="77777777" w:rsidR="006D74A9" w:rsidRPr="00E3232D" w:rsidRDefault="006D74A9" w:rsidP="004C29B8">
      <w:pPr>
        <w:jc w:val="both"/>
        <w:rPr>
          <w:rFonts w:ascii="Book Antiqua" w:hAnsi="Book Antiqua"/>
        </w:rPr>
      </w:pPr>
      <w:r w:rsidRPr="00E3232D">
        <w:rPr>
          <w:rFonts w:ascii="Book Antiqua" w:hAnsi="Book Antiqua"/>
        </w:rPr>
        <w:t xml:space="preserve">This is an ongoing project at the Department of Science Laboratory Technology of Accra Polytechnic, Ghana and is funded by the Polytechnic. </w:t>
      </w:r>
    </w:p>
    <w:p w14:paraId="3C6DA342" w14:textId="77777777" w:rsidR="006D74A9" w:rsidRPr="00E3232D" w:rsidRDefault="006D74A9" w:rsidP="004C29B8">
      <w:pPr>
        <w:jc w:val="both"/>
        <w:rPr>
          <w:rFonts w:ascii="Book Antiqua" w:hAnsi="Book Antiqua"/>
        </w:rPr>
      </w:pPr>
    </w:p>
    <w:p w14:paraId="551CF9D6" w14:textId="77777777" w:rsidR="006D74A9" w:rsidRPr="00E3232D" w:rsidRDefault="006D74A9" w:rsidP="004C29B8">
      <w:pPr>
        <w:jc w:val="both"/>
        <w:rPr>
          <w:rFonts w:ascii="Book Antiqua" w:hAnsi="Book Antiqua"/>
        </w:rPr>
        <w:sectPr w:rsidR="006D74A9" w:rsidRPr="00E3232D" w:rsidSect="000B54BC">
          <w:type w:val="continuous"/>
          <w:pgSz w:w="11907" w:h="16839" w:code="9"/>
          <w:pgMar w:top="1440" w:right="1354" w:bottom="864" w:left="1710" w:header="720" w:footer="720" w:gutter="0"/>
          <w:cols w:num="2" w:space="720"/>
          <w:docGrid w:linePitch="360"/>
        </w:sectPr>
      </w:pPr>
    </w:p>
    <w:p w14:paraId="53A95EEF" w14:textId="77777777" w:rsidR="004C29B8" w:rsidRDefault="004C29B8" w:rsidP="004C29B8">
      <w:pPr>
        <w:pStyle w:val="Heading2"/>
        <w:jc w:val="both"/>
        <w:rPr>
          <w:rFonts w:ascii="Book Antiqua" w:hAnsi="Book Antiqua"/>
          <w:szCs w:val="22"/>
        </w:rPr>
      </w:pPr>
      <w:bookmarkStart w:id="104" w:name="_Toc349328413"/>
      <w:bookmarkStart w:id="105" w:name="_Toc349329023"/>
      <w:bookmarkStart w:id="106" w:name="_Toc349330730"/>
      <w:bookmarkStart w:id="107" w:name="_Toc349330926"/>
      <w:bookmarkStart w:id="108" w:name="_Toc349331349"/>
    </w:p>
    <w:p w14:paraId="23ABC8A6" w14:textId="77777777" w:rsidR="006D74A9" w:rsidRPr="00E3232D" w:rsidRDefault="006D74A9" w:rsidP="004C29B8">
      <w:pPr>
        <w:pStyle w:val="Heading2"/>
        <w:jc w:val="both"/>
        <w:rPr>
          <w:rFonts w:ascii="Book Antiqua" w:hAnsi="Book Antiqua"/>
          <w:sz w:val="22"/>
          <w:szCs w:val="22"/>
        </w:rPr>
      </w:pPr>
      <w:r w:rsidRPr="004C29B8">
        <w:rPr>
          <w:rFonts w:ascii="Book Antiqua" w:hAnsi="Book Antiqua"/>
          <w:szCs w:val="22"/>
        </w:rPr>
        <w:t>References</w:t>
      </w:r>
      <w:bookmarkEnd w:id="104"/>
      <w:bookmarkEnd w:id="105"/>
      <w:bookmarkEnd w:id="106"/>
      <w:bookmarkEnd w:id="107"/>
      <w:bookmarkEnd w:id="108"/>
    </w:p>
    <w:p w14:paraId="103D4945"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r w:rsidRPr="00E3232D">
        <w:rPr>
          <w:rFonts w:ascii="Book Antiqua" w:hAnsi="Book Antiqua"/>
          <w:b w:val="0"/>
        </w:rPr>
        <w:t xml:space="preserve">Ameko, E. Achio, S. Alhassan, S. Sam, E. E. Quaynor,L. S. and Alorka,S. (2013). Plastination of Bovine Hearts and Kidneys for Use as Teaching Aids.Accra Polytechnic.Thesis, Unpublished </w:t>
      </w:r>
    </w:p>
    <w:p w14:paraId="1A30A20D"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r w:rsidRPr="00E3232D">
        <w:rPr>
          <w:rFonts w:ascii="Book Antiqua" w:hAnsi="Book Antiqua"/>
          <w:b w:val="0"/>
        </w:rPr>
        <w:t>Ameko, E. Achio, S. Alhassan, S. Adasu, C. Dzagbletey, E.T. and Abbey, P.R. (2012). Plastination of Some Cow and Ram Organ in Ghana for Use as Teaching Aids. International Journal of Pure and Applied Sciences and Technology, 8(1), pp. 57-68</w:t>
      </w:r>
    </w:p>
    <w:p w14:paraId="56C59939"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color w:val="000000"/>
        </w:rPr>
      </w:pPr>
      <w:r w:rsidRPr="00E3232D">
        <w:rPr>
          <w:rFonts w:ascii="Book Antiqua" w:hAnsi="Book Antiqua"/>
          <w:b w:val="0"/>
        </w:rPr>
        <w:t xml:space="preserve">Ameko, E. Achio, S. Alhassan, S. and Korankye, F. T. (2010). Plastination of the heart of a goat. Accra Polytechnic. Thesis, Unpublished </w:t>
      </w:r>
    </w:p>
    <w:p w14:paraId="75940B00"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bookmarkStart w:id="109" w:name="_Toc349328417"/>
      <w:bookmarkStart w:id="110" w:name="_Toc349329027"/>
      <w:bookmarkStart w:id="111" w:name="_Toc349330734"/>
      <w:bookmarkStart w:id="112" w:name="_Toc349330930"/>
      <w:bookmarkStart w:id="113" w:name="_Toc349331353"/>
      <w:r w:rsidRPr="00E3232D">
        <w:rPr>
          <w:rFonts w:ascii="Book Antiqua" w:hAnsi="Book Antiqua"/>
          <w:b w:val="0"/>
        </w:rPr>
        <w:t>Diz, A. Vivo, J. Miro, F. Morales, J. L. and Molero, J. M. (2004), Plastination of Exotic Animals in Veterinary Medicine, 12th International Conference on Plastination, Murcia, Spain</w:t>
      </w:r>
      <w:bookmarkEnd w:id="109"/>
      <w:bookmarkEnd w:id="110"/>
      <w:bookmarkEnd w:id="111"/>
      <w:bookmarkEnd w:id="112"/>
      <w:bookmarkEnd w:id="113"/>
      <w:r w:rsidRPr="00E3232D">
        <w:rPr>
          <w:rFonts w:ascii="Book Antiqua" w:hAnsi="Book Antiqua"/>
          <w:b w:val="0"/>
        </w:rPr>
        <w:t>.</w:t>
      </w:r>
    </w:p>
    <w:p w14:paraId="4B770366"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bookmarkStart w:id="114" w:name="_Toc349328418"/>
      <w:bookmarkStart w:id="115" w:name="_Toc349329028"/>
      <w:bookmarkStart w:id="116" w:name="_Toc349330735"/>
      <w:bookmarkStart w:id="117" w:name="_Toc349330931"/>
      <w:bookmarkStart w:id="118" w:name="_Toc349331354"/>
      <w:r w:rsidRPr="00E3232D">
        <w:rPr>
          <w:rFonts w:ascii="Book Antiqua" w:hAnsi="Book Antiqua"/>
          <w:b w:val="0"/>
        </w:rPr>
        <w:t>Faizah, O. Farihah, H. S. Fairuz, A. R.G. Hairi, G. Azian, A. L. (2004), Plastination of the Musculoskeletal System: A Useful Tool in Teaching, 12th International Conference on Plastination, Murcia, Spain,</w:t>
      </w:r>
      <w:bookmarkEnd w:id="114"/>
      <w:bookmarkEnd w:id="115"/>
      <w:bookmarkEnd w:id="116"/>
      <w:bookmarkEnd w:id="117"/>
      <w:bookmarkEnd w:id="118"/>
    </w:p>
    <w:p w14:paraId="2FCA3865"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r w:rsidRPr="00E3232D">
        <w:rPr>
          <w:rFonts w:ascii="Book Antiqua" w:hAnsi="Book Antiqua"/>
          <w:b w:val="0"/>
        </w:rPr>
        <w:t xml:space="preserve">Henry, R. W. Janick, L. and Henry, C. 1997. Specimen Preparation for Silicone Plastination. J IntSoc Plastination Vol 12, No 1:13-17. </w:t>
      </w:r>
    </w:p>
    <w:p w14:paraId="7BE25A72"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r w:rsidRPr="00E3232D">
        <w:rPr>
          <w:rFonts w:ascii="Book Antiqua" w:hAnsi="Book Antiqua"/>
          <w:b w:val="0"/>
        </w:rPr>
        <w:t xml:space="preserve">Herrel, A. Wassenbergh, S. V. Wouters, S. Adriaens, D. and Aerts, P. (2005).A functional morphological approach to the scaling of the feeding system in the African catfish, Clariasgariepinus.The Journal of Experimental Biology. (2005)2091 – 2102. </w:t>
      </w:r>
    </w:p>
    <w:p w14:paraId="35B4CCDD"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bookmarkStart w:id="119" w:name="_Toc349328420"/>
      <w:bookmarkStart w:id="120" w:name="_Toc349329030"/>
      <w:bookmarkStart w:id="121" w:name="_Toc349330737"/>
      <w:bookmarkStart w:id="122" w:name="_Toc349330933"/>
      <w:bookmarkStart w:id="123" w:name="_Toc349331356"/>
      <w:r w:rsidRPr="00E3232D">
        <w:rPr>
          <w:rFonts w:ascii="Book Antiqua" w:hAnsi="Book Antiqua"/>
          <w:b w:val="0"/>
        </w:rPr>
        <w:t>Kularbkaewi, C. Cook, P. Yutanawiboonchai, W. and von Hagens, G. (1996).Plastinated Pathology Specimens at Room Temperature in Thailand.</w:t>
      </w:r>
      <w:bookmarkEnd w:id="119"/>
      <w:bookmarkEnd w:id="120"/>
      <w:bookmarkEnd w:id="121"/>
      <w:bookmarkEnd w:id="122"/>
      <w:bookmarkEnd w:id="123"/>
    </w:p>
    <w:p w14:paraId="74240117"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bookmarkStart w:id="124" w:name="_Toc349328421"/>
      <w:bookmarkStart w:id="125" w:name="_Toc349329031"/>
      <w:bookmarkStart w:id="126" w:name="_Toc349330738"/>
      <w:bookmarkStart w:id="127" w:name="_Toc349330934"/>
      <w:bookmarkStart w:id="128" w:name="_Toc349331357"/>
      <w:r w:rsidRPr="00E3232D">
        <w:rPr>
          <w:rFonts w:ascii="Book Antiqua" w:hAnsi="Book Antiqua"/>
          <w:b w:val="0"/>
        </w:rPr>
        <w:t xml:space="preserve">Lim, K.K.P. and Sivasothi, N. (2004).A Guide to Methods of Preserving Animal Specimens in Liquid Preservatives. Retrieved from </w:t>
      </w:r>
      <w:r w:rsidR="001815AD" w:rsidRPr="00E3232D">
        <w:rPr>
          <w:rFonts w:ascii="Book Antiqua" w:hAnsi="Book Antiqua"/>
          <w:b w:val="0"/>
        </w:rPr>
        <w:fldChar w:fldCharType="begin"/>
      </w:r>
      <w:r w:rsidRPr="00E3232D">
        <w:rPr>
          <w:rFonts w:ascii="Book Antiqua" w:hAnsi="Book Antiqua"/>
          <w:b w:val="0"/>
        </w:rPr>
        <w:instrText xml:space="preserve"> "http://staf.science.nus.edu.sg/~sivasothi"</w:instrText>
      </w:r>
      <w:r w:rsidR="001815AD" w:rsidRPr="00E3232D">
        <w:rPr>
          <w:rFonts w:ascii="Book Antiqua" w:hAnsi="Book Antiqua"/>
          <w:b w:val="0"/>
        </w:rPr>
        <w:fldChar w:fldCharType="separate"/>
      </w:r>
      <w:r w:rsidRPr="00E3232D">
        <w:rPr>
          <w:rFonts w:ascii="Book Antiqua" w:hAnsi="Book Antiqua"/>
          <w:b w:val="0"/>
        </w:rPr>
        <w:t>http://staf.science.nus.edu.sg/~sivasothi</w:t>
      </w:r>
      <w:bookmarkEnd w:id="124"/>
      <w:bookmarkEnd w:id="125"/>
      <w:bookmarkEnd w:id="126"/>
      <w:bookmarkEnd w:id="127"/>
      <w:bookmarkEnd w:id="128"/>
      <w:r w:rsidR="001815AD" w:rsidRPr="00E3232D">
        <w:rPr>
          <w:rFonts w:ascii="Book Antiqua" w:hAnsi="Book Antiqua"/>
          <w:b w:val="0"/>
        </w:rPr>
        <w:fldChar w:fldCharType="end"/>
      </w:r>
    </w:p>
    <w:p w14:paraId="244AC226"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r w:rsidRPr="00E3232D">
        <w:rPr>
          <w:rFonts w:ascii="Book Antiqua" w:hAnsi="Book Antiqua"/>
          <w:b w:val="0"/>
        </w:rPr>
        <w:t>Rolls, G. 2012. Fixation and Fixatives (2) – Factors influencing chemical fixation, formaldehyde and Glutaraldehyde. Leica Biosystems, Wetzlar, Germany.</w:t>
      </w:r>
      <w:r w:rsidR="001815AD" w:rsidRPr="00E3232D">
        <w:rPr>
          <w:rFonts w:ascii="Book Antiqua" w:hAnsi="Book Antiqua"/>
          <w:b w:val="0"/>
        </w:rPr>
        <w:fldChar w:fldCharType="begin"/>
      </w:r>
      <w:r w:rsidRPr="00E3232D">
        <w:rPr>
          <w:rFonts w:ascii="Book Antiqua" w:hAnsi="Book Antiqua"/>
          <w:b w:val="0"/>
        </w:rPr>
        <w:instrText xml:space="preserve"> "http://www.leicabiosystems.com/pathologyleaders/fixation-and-fixatives-2-factors-influencing-chemical-fixation-formaldehyde-and-glutaraldehyde/"</w:instrText>
      </w:r>
      <w:r w:rsidR="001815AD" w:rsidRPr="00E3232D">
        <w:rPr>
          <w:rFonts w:ascii="Book Antiqua" w:hAnsi="Book Antiqua"/>
          <w:b w:val="0"/>
        </w:rPr>
        <w:fldChar w:fldCharType="separate"/>
      </w:r>
      <w:r w:rsidRPr="00E3232D">
        <w:rPr>
          <w:rFonts w:ascii="Book Antiqua" w:hAnsi="Book Antiqua"/>
          <w:b w:val="0"/>
        </w:rPr>
        <w:t>http://www.leicabiosystems.com/pathologyleaders/fixation-and-fixatives-2-factors-influencing-chemical-fixation-formaldehyde-and-glutaraldehyde/</w:t>
      </w:r>
      <w:r w:rsidR="001815AD" w:rsidRPr="00E3232D">
        <w:rPr>
          <w:rFonts w:ascii="Book Antiqua" w:hAnsi="Book Antiqua"/>
          <w:b w:val="0"/>
        </w:rPr>
        <w:fldChar w:fldCharType="end"/>
      </w:r>
    </w:p>
    <w:p w14:paraId="6306E9C5"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rPr>
      </w:pPr>
      <w:r w:rsidRPr="00E3232D">
        <w:rPr>
          <w:rFonts w:ascii="Book Antiqua" w:hAnsi="Book Antiqua"/>
          <w:b w:val="0"/>
        </w:rPr>
        <w:t>Stergiou, K. I. and Karpouzi, V. S. (2003). Length–girth relationships for several marine fishes. Fisheries Research 60 (2003) 161–168</w:t>
      </w:r>
    </w:p>
    <w:p w14:paraId="1B430CBA"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b w:val="0"/>
        </w:rPr>
      </w:pPr>
      <w:r w:rsidRPr="00E3232D">
        <w:rPr>
          <w:rFonts w:ascii="Book Antiqua" w:hAnsi="Book Antiqua"/>
          <w:b w:val="0"/>
        </w:rPr>
        <w:t>Tampa Pathology Laboratories - School of Histotechnology, 2013.Histology - Introduction to Tissue Fixation.</w:t>
      </w:r>
      <w:r w:rsidR="001815AD" w:rsidRPr="00E3232D">
        <w:rPr>
          <w:rFonts w:ascii="Book Antiqua" w:hAnsi="Book Antiqua"/>
          <w:b w:val="0"/>
        </w:rPr>
        <w:fldChar w:fldCharType="begin"/>
      </w:r>
      <w:r w:rsidRPr="00E3232D">
        <w:rPr>
          <w:rFonts w:ascii="Book Antiqua" w:hAnsi="Book Antiqua"/>
          <w:b w:val="0"/>
        </w:rPr>
        <w:instrText xml:space="preserve"> "http://histologycourse.com/Tissue%20Fixation-Lecture%2012.pdff"</w:instrText>
      </w:r>
      <w:r w:rsidR="001815AD" w:rsidRPr="00E3232D">
        <w:rPr>
          <w:rFonts w:ascii="Book Antiqua" w:hAnsi="Book Antiqua"/>
          <w:b w:val="0"/>
        </w:rPr>
        <w:fldChar w:fldCharType="separate"/>
      </w:r>
      <w:r w:rsidRPr="00E3232D">
        <w:rPr>
          <w:rFonts w:ascii="Book Antiqua" w:hAnsi="Book Antiqua"/>
          <w:b w:val="0"/>
        </w:rPr>
        <w:t>http://histologycourse.com/Tissue%20Fixation-Lecture%2012.pdf</w:t>
      </w:r>
      <w:r w:rsidR="001815AD" w:rsidRPr="00E3232D">
        <w:rPr>
          <w:rFonts w:ascii="Book Antiqua" w:hAnsi="Book Antiqua"/>
          <w:b w:val="0"/>
        </w:rPr>
        <w:fldChar w:fldCharType="end"/>
      </w:r>
    </w:p>
    <w:p w14:paraId="764BED18"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rPr>
      </w:pPr>
      <w:bookmarkStart w:id="129" w:name="_Toc349328426"/>
      <w:bookmarkStart w:id="130" w:name="_Toc349329036"/>
      <w:bookmarkStart w:id="131" w:name="_Toc349330743"/>
      <w:bookmarkStart w:id="132" w:name="_Toc349330939"/>
      <w:bookmarkStart w:id="133" w:name="_Toc349331362"/>
      <w:r w:rsidRPr="00E3232D">
        <w:rPr>
          <w:rFonts w:ascii="Book Antiqua" w:hAnsi="Book Antiqua"/>
          <w:b w:val="0"/>
        </w:rPr>
        <w:t xml:space="preserve">Weinhaus, A.J. (2005). Preparation of Tissues for Anatomical Study. Retrieved from </w:t>
      </w:r>
      <w:r w:rsidR="001815AD" w:rsidRPr="00E3232D">
        <w:rPr>
          <w:rFonts w:ascii="Book Antiqua" w:hAnsi="Book Antiqua"/>
          <w:b w:val="0"/>
        </w:rPr>
        <w:fldChar w:fldCharType="begin"/>
      </w:r>
      <w:r w:rsidRPr="00E3232D">
        <w:rPr>
          <w:rFonts w:ascii="Book Antiqua" w:hAnsi="Book Antiqua"/>
          <w:b w:val="0"/>
        </w:rPr>
        <w:instrText xml:space="preserve"> "http://physiology.med.umn.edu/anatomy/plastination.html"</w:instrText>
      </w:r>
      <w:r w:rsidR="001815AD" w:rsidRPr="00E3232D">
        <w:rPr>
          <w:rFonts w:ascii="Book Antiqua" w:hAnsi="Book Antiqua"/>
          <w:b w:val="0"/>
        </w:rPr>
        <w:fldChar w:fldCharType="separate"/>
      </w:r>
      <w:r w:rsidRPr="00E3232D">
        <w:rPr>
          <w:rFonts w:ascii="Book Antiqua" w:hAnsi="Book Antiqua"/>
          <w:b w:val="0"/>
        </w:rPr>
        <w:t>http://physiology.med.umn.edu/anatomy/plastination.html</w:t>
      </w:r>
      <w:bookmarkEnd w:id="129"/>
      <w:bookmarkEnd w:id="130"/>
      <w:bookmarkEnd w:id="131"/>
      <w:bookmarkEnd w:id="132"/>
      <w:bookmarkEnd w:id="133"/>
      <w:r w:rsidR="001815AD" w:rsidRPr="00E3232D">
        <w:rPr>
          <w:rFonts w:ascii="Book Antiqua" w:hAnsi="Book Antiqua"/>
          <w:b w:val="0"/>
        </w:rPr>
        <w:fldChar w:fldCharType="end"/>
      </w:r>
    </w:p>
    <w:p w14:paraId="59D3B464" w14:textId="77777777" w:rsidR="006D74A9" w:rsidRPr="00E3232D" w:rsidRDefault="006D74A9" w:rsidP="00196385">
      <w:pPr>
        <w:pStyle w:val="Heading3"/>
        <w:numPr>
          <w:ilvl w:val="0"/>
          <w:numId w:val="75"/>
        </w:numPr>
        <w:spacing w:before="100" w:beforeAutospacing="1" w:after="100" w:afterAutospacing="1"/>
        <w:jc w:val="both"/>
        <w:rPr>
          <w:rFonts w:ascii="Book Antiqua" w:hAnsi="Book Antiqua"/>
        </w:rPr>
      </w:pPr>
      <w:r w:rsidRPr="00E3232D">
        <w:rPr>
          <w:rFonts w:ascii="Book Antiqua" w:hAnsi="Book Antiqua"/>
          <w:b w:val="0"/>
        </w:rPr>
        <w:t xml:space="preserve">Zheng, Z. T. Xuegui, Y. Ling, C. and Jingren, L. 2000. The History of Plastination in China. J IntSoc PlastinationVol 15, No 1: 25-29. </w:t>
      </w:r>
    </w:p>
    <w:p w14:paraId="29BC5824" w14:textId="77777777" w:rsidR="006D74A9" w:rsidRPr="00E3232D" w:rsidRDefault="006D74A9" w:rsidP="004C29B8">
      <w:pPr>
        <w:jc w:val="both"/>
        <w:rPr>
          <w:rFonts w:ascii="Book Antiqua" w:hAnsi="Book Antiqua"/>
        </w:rPr>
      </w:pPr>
    </w:p>
    <w:p w14:paraId="398E2190" w14:textId="77777777" w:rsidR="006D74A9" w:rsidRPr="00E3232D" w:rsidRDefault="006D74A9" w:rsidP="004C29B8">
      <w:pPr>
        <w:jc w:val="both"/>
        <w:rPr>
          <w:rFonts w:ascii="Book Antiqua" w:hAnsi="Book Antiqua"/>
        </w:rPr>
      </w:pPr>
    </w:p>
    <w:p w14:paraId="1CAA6BE7" w14:textId="77777777" w:rsidR="00746B24" w:rsidRPr="00E3232D" w:rsidRDefault="00746B24" w:rsidP="004C29B8">
      <w:pPr>
        <w:widowControl w:val="0"/>
        <w:tabs>
          <w:tab w:val="left" w:pos="1240"/>
        </w:tabs>
        <w:autoSpaceDE w:val="0"/>
        <w:autoSpaceDN w:val="0"/>
        <w:adjustRightInd w:val="0"/>
        <w:spacing w:before="240"/>
        <w:ind w:right="80"/>
        <w:jc w:val="both"/>
        <w:rPr>
          <w:rFonts w:ascii="Book Antiqua" w:hAnsi="Book Antiqua"/>
        </w:rPr>
      </w:pPr>
    </w:p>
    <w:p w14:paraId="50FA478C" w14:textId="77777777" w:rsidR="00651FCD" w:rsidRDefault="00651FCD" w:rsidP="004C29B8">
      <w:pPr>
        <w:widowControl w:val="0"/>
        <w:tabs>
          <w:tab w:val="left" w:pos="1240"/>
        </w:tabs>
        <w:autoSpaceDE w:val="0"/>
        <w:autoSpaceDN w:val="0"/>
        <w:adjustRightInd w:val="0"/>
        <w:spacing w:before="240"/>
        <w:ind w:right="80"/>
        <w:jc w:val="both"/>
        <w:rPr>
          <w:rFonts w:ascii="Book Antiqua" w:hAnsi="Book Antiqua"/>
        </w:rPr>
        <w:sectPr w:rsidR="00651FCD" w:rsidSect="000B54BC">
          <w:type w:val="continuous"/>
          <w:pgSz w:w="11907" w:h="16839" w:code="9"/>
          <w:pgMar w:top="1440" w:right="1354" w:bottom="864" w:left="1710" w:header="720" w:footer="720" w:gutter="0"/>
          <w:cols w:num="2" w:space="720"/>
          <w:docGrid w:linePitch="360"/>
        </w:sectPr>
      </w:pPr>
    </w:p>
    <w:p w14:paraId="2C979C67" w14:textId="77777777" w:rsidR="00AC3A6E" w:rsidRPr="00E3232D" w:rsidRDefault="00AC3A6E" w:rsidP="004C29B8">
      <w:pPr>
        <w:widowControl w:val="0"/>
        <w:tabs>
          <w:tab w:val="left" w:pos="1240"/>
        </w:tabs>
        <w:autoSpaceDE w:val="0"/>
        <w:autoSpaceDN w:val="0"/>
        <w:adjustRightInd w:val="0"/>
        <w:spacing w:before="240"/>
        <w:ind w:right="80"/>
        <w:jc w:val="both"/>
        <w:rPr>
          <w:rFonts w:ascii="Book Antiqua" w:hAnsi="Book Antiqua"/>
        </w:rPr>
      </w:pPr>
    </w:p>
    <w:p w14:paraId="4F57ED64" w14:textId="77777777" w:rsidR="002319C6" w:rsidRDefault="002319C6" w:rsidP="008275E1">
      <w:pPr>
        <w:autoSpaceDE w:val="0"/>
        <w:autoSpaceDN w:val="0"/>
        <w:adjustRightInd w:val="0"/>
        <w:rPr>
          <w:rFonts w:ascii="Book Antiqua" w:hAnsi="Book Antiqua"/>
          <w:b/>
        </w:rPr>
      </w:pPr>
    </w:p>
    <w:p w14:paraId="7B3AE439" w14:textId="77777777" w:rsidR="002319C6" w:rsidRDefault="002319C6" w:rsidP="008275E1">
      <w:pPr>
        <w:autoSpaceDE w:val="0"/>
        <w:autoSpaceDN w:val="0"/>
        <w:adjustRightInd w:val="0"/>
        <w:rPr>
          <w:rFonts w:ascii="Book Antiqua" w:hAnsi="Book Antiqua"/>
          <w:b/>
        </w:rPr>
      </w:pPr>
    </w:p>
    <w:p w14:paraId="1D52692D" w14:textId="77777777" w:rsidR="002319C6" w:rsidRPr="00E3232D" w:rsidRDefault="002319C6" w:rsidP="008275E1">
      <w:pPr>
        <w:autoSpaceDE w:val="0"/>
        <w:autoSpaceDN w:val="0"/>
        <w:adjustRightInd w:val="0"/>
        <w:rPr>
          <w:rFonts w:ascii="Book Antiqua" w:hAnsi="Book Antiqua"/>
          <w:b/>
        </w:rPr>
        <w:sectPr w:rsidR="002319C6" w:rsidRPr="00E3232D" w:rsidSect="008F6BC9">
          <w:type w:val="continuous"/>
          <w:pgSz w:w="11907" w:h="16839" w:code="9"/>
          <w:pgMar w:top="1440" w:right="1354" w:bottom="864" w:left="1166" w:header="720" w:footer="720" w:gutter="0"/>
          <w:cols w:space="720"/>
          <w:docGrid w:linePitch="360"/>
        </w:sectPr>
      </w:pPr>
    </w:p>
    <w:p w14:paraId="7D99B098" w14:textId="77777777" w:rsidR="00EA4D30" w:rsidRPr="00285870" w:rsidRDefault="00EA4D30" w:rsidP="002319C6">
      <w:pPr>
        <w:autoSpaceDE w:val="0"/>
        <w:autoSpaceDN w:val="0"/>
        <w:adjustRightInd w:val="0"/>
        <w:spacing w:after="0"/>
        <w:jc w:val="center"/>
        <w:rPr>
          <w:rFonts w:ascii="Book Antiqua" w:hAnsi="Book Antiqua"/>
          <w:b/>
          <w:sz w:val="26"/>
          <w:szCs w:val="26"/>
        </w:rPr>
      </w:pPr>
      <w:r w:rsidRPr="00285870">
        <w:rPr>
          <w:rFonts w:ascii="Book Antiqua" w:hAnsi="Book Antiqua"/>
          <w:b/>
          <w:sz w:val="26"/>
          <w:szCs w:val="26"/>
        </w:rPr>
        <w:t>Model for Predicting the Pro-social Behavior of Students of Tertiary Institutions: A Discussion of Theoretical Constructs and their Links with some Tertiary Institution Tasks</w:t>
      </w:r>
    </w:p>
    <w:p w14:paraId="0C18C1D7" w14:textId="77777777" w:rsidR="00EA4D30" w:rsidRPr="00E3232D" w:rsidRDefault="00EA4D30" w:rsidP="002319C6">
      <w:pPr>
        <w:spacing w:after="0"/>
        <w:jc w:val="center"/>
        <w:rPr>
          <w:rFonts w:ascii="Book Antiqua" w:hAnsi="Book Antiqua"/>
        </w:rPr>
      </w:pPr>
    </w:p>
    <w:p w14:paraId="2CD10A15" w14:textId="77777777" w:rsidR="004C29B8" w:rsidRDefault="00EA4D30" w:rsidP="002319C6">
      <w:pPr>
        <w:spacing w:after="0"/>
        <w:jc w:val="center"/>
        <w:rPr>
          <w:rFonts w:ascii="Book Antiqua" w:hAnsi="Book Antiqua"/>
          <w:b/>
          <w:sz w:val="24"/>
        </w:rPr>
      </w:pPr>
      <w:r w:rsidRPr="004C29B8">
        <w:rPr>
          <w:rFonts w:ascii="Book Antiqua" w:hAnsi="Book Antiqua"/>
          <w:b/>
          <w:sz w:val="24"/>
        </w:rPr>
        <w:t>Quain</w:t>
      </w:r>
      <w:r w:rsidR="004C29B8" w:rsidRPr="004C29B8">
        <w:rPr>
          <w:rFonts w:ascii="Book Antiqua" w:hAnsi="Book Antiqua"/>
          <w:b/>
          <w:sz w:val="24"/>
        </w:rPr>
        <w:t xml:space="preserve"> </w:t>
      </w:r>
      <w:r w:rsidR="004C29B8">
        <w:rPr>
          <w:rFonts w:ascii="Book Antiqua" w:hAnsi="Book Antiqua"/>
          <w:b/>
          <w:sz w:val="24"/>
        </w:rPr>
        <w:t>S.</w:t>
      </w:r>
    </w:p>
    <w:p w14:paraId="6A7C8B36" w14:textId="77777777" w:rsidR="004C29B8" w:rsidRDefault="00EA4D30" w:rsidP="004C29B8">
      <w:pPr>
        <w:pStyle w:val="Heading2"/>
        <w:spacing w:before="0"/>
        <w:jc w:val="center"/>
        <w:rPr>
          <w:rFonts w:ascii="Book Antiqua" w:hAnsi="Book Antiqua"/>
          <w:b w:val="0"/>
          <w:sz w:val="22"/>
          <w:szCs w:val="22"/>
        </w:rPr>
      </w:pPr>
      <w:r w:rsidRPr="004C29B8">
        <w:rPr>
          <w:rFonts w:ascii="Book Antiqua" w:hAnsi="Book Antiqua"/>
          <w:b w:val="0"/>
        </w:rPr>
        <w:t>Professional</w:t>
      </w:r>
      <w:r w:rsidRPr="004C29B8">
        <w:rPr>
          <w:rFonts w:ascii="Book Antiqua" w:hAnsi="Book Antiqua"/>
          <w:b w:val="0"/>
          <w:i/>
        </w:rPr>
        <w:t xml:space="preserve"> </w:t>
      </w:r>
      <w:r w:rsidRPr="004C29B8">
        <w:rPr>
          <w:rFonts w:ascii="Book Antiqua" w:hAnsi="Book Antiqua"/>
          <w:b w:val="0"/>
        </w:rPr>
        <w:t>Studies Department</w:t>
      </w:r>
      <w:r w:rsidR="004C29B8" w:rsidRPr="004C29B8">
        <w:rPr>
          <w:rFonts w:ascii="Book Antiqua" w:hAnsi="Book Antiqua"/>
          <w:b w:val="0"/>
          <w:sz w:val="22"/>
          <w:szCs w:val="22"/>
        </w:rPr>
        <w:t xml:space="preserve"> Koforidua Polytechnic, Koforidua</w:t>
      </w:r>
    </w:p>
    <w:p w14:paraId="46F590AD" w14:textId="77777777" w:rsidR="004C29B8" w:rsidRPr="004C29B8" w:rsidRDefault="004C29B8" w:rsidP="004C29B8">
      <w:pPr>
        <w:jc w:val="center"/>
        <w:rPr>
          <w:rFonts w:ascii="Book Antiqua" w:hAnsi="Book Antiqua"/>
        </w:rPr>
      </w:pPr>
      <w:r w:rsidRPr="004C29B8">
        <w:rPr>
          <w:rFonts w:ascii="Book Antiqua" w:hAnsi="Book Antiqua"/>
          <w:b/>
        </w:rPr>
        <w:t>Email</w:t>
      </w:r>
      <w:r>
        <w:rPr>
          <w:rFonts w:ascii="Book Antiqua" w:hAnsi="Book Antiqua"/>
        </w:rPr>
        <w:t xml:space="preserve">: </w:t>
      </w:r>
      <w:r w:rsidRPr="004C29B8">
        <w:rPr>
          <w:rFonts w:ascii="Book Antiqua" w:hAnsi="Book Antiqua"/>
        </w:rPr>
        <w:t>manna_1880@yahoo.co.uk</w:t>
      </w:r>
    </w:p>
    <w:p w14:paraId="55BC1291" w14:textId="77777777" w:rsidR="00EA4D30" w:rsidRPr="004C29B8" w:rsidRDefault="00EA4D30" w:rsidP="002319C6">
      <w:pPr>
        <w:spacing w:after="0"/>
        <w:jc w:val="center"/>
        <w:rPr>
          <w:rFonts w:ascii="Book Antiqua" w:hAnsi="Book Antiqua"/>
        </w:rPr>
      </w:pPr>
    </w:p>
    <w:p w14:paraId="2B2116B9" w14:textId="77777777" w:rsidR="00C308D3" w:rsidRPr="00E3232D" w:rsidRDefault="00C308D3" w:rsidP="008275E1">
      <w:pPr>
        <w:pStyle w:val="Heading2"/>
        <w:rPr>
          <w:rFonts w:ascii="Book Antiqua" w:hAnsi="Book Antiqua"/>
          <w:sz w:val="22"/>
          <w:szCs w:val="22"/>
        </w:rPr>
        <w:sectPr w:rsidR="00C308D3" w:rsidRPr="00E3232D" w:rsidSect="008F6BC9">
          <w:footerReference w:type="default" r:id="rId236"/>
          <w:type w:val="continuous"/>
          <w:pgSz w:w="11907" w:h="16839" w:code="9"/>
          <w:pgMar w:top="1440" w:right="1827" w:bottom="1440" w:left="1440" w:header="720" w:footer="720" w:gutter="0"/>
          <w:cols w:space="720"/>
          <w:docGrid w:linePitch="360"/>
        </w:sectPr>
      </w:pPr>
    </w:p>
    <w:p w14:paraId="2F718D14" w14:textId="77777777" w:rsidR="00EA4D30" w:rsidRPr="006E5580" w:rsidRDefault="00EA4D30" w:rsidP="008275E1">
      <w:pPr>
        <w:pStyle w:val="Heading2"/>
        <w:rPr>
          <w:rFonts w:ascii="Book Antiqua" w:hAnsi="Book Antiqua"/>
          <w:sz w:val="22"/>
          <w:szCs w:val="22"/>
        </w:rPr>
      </w:pPr>
      <w:r w:rsidRPr="004C29B8">
        <w:rPr>
          <w:rFonts w:ascii="Book Antiqua" w:hAnsi="Book Antiqua"/>
          <w:szCs w:val="22"/>
        </w:rPr>
        <w:t>Abstract</w:t>
      </w:r>
    </w:p>
    <w:p w14:paraId="323DF1E3" w14:textId="77777777" w:rsidR="00AD429C" w:rsidRPr="00E3232D" w:rsidRDefault="00AD429C" w:rsidP="008275E1">
      <w:pPr>
        <w:spacing w:before="100" w:beforeAutospacing="1" w:after="100" w:afterAutospacing="1"/>
        <w:rPr>
          <w:rFonts w:ascii="Book Antiqua" w:hAnsi="Book Antiqua"/>
        </w:rPr>
        <w:sectPr w:rsidR="00AD429C" w:rsidRPr="00E3232D" w:rsidSect="008F6BC9">
          <w:type w:val="continuous"/>
          <w:pgSz w:w="11907" w:h="16839" w:code="9"/>
          <w:pgMar w:top="1440" w:right="1827" w:bottom="1440" w:left="1440" w:header="720" w:footer="720" w:gutter="0"/>
          <w:cols w:space="720"/>
          <w:docGrid w:linePitch="360"/>
        </w:sectPr>
      </w:pPr>
    </w:p>
    <w:p w14:paraId="0D755F18" w14:textId="77777777" w:rsidR="00EA4D30" w:rsidRPr="00E3232D" w:rsidRDefault="00EA4D30" w:rsidP="004C29B8">
      <w:pPr>
        <w:spacing w:after="0"/>
        <w:jc w:val="both"/>
        <w:rPr>
          <w:rFonts w:ascii="Book Antiqua" w:hAnsi="Book Antiqua"/>
        </w:rPr>
        <w:sectPr w:rsidR="00EA4D30" w:rsidRPr="00E3232D" w:rsidSect="008F6BC9">
          <w:type w:val="continuous"/>
          <w:pgSz w:w="11907" w:h="16839" w:code="9"/>
          <w:pgMar w:top="1440" w:right="1827" w:bottom="1440" w:left="1440" w:header="720" w:footer="720" w:gutter="0"/>
          <w:cols w:space="720"/>
          <w:docGrid w:linePitch="360"/>
        </w:sectPr>
      </w:pPr>
      <w:r w:rsidRPr="00E3232D">
        <w:rPr>
          <w:rFonts w:ascii="Book Antiqua" w:hAnsi="Book Antiqua"/>
        </w:rPr>
        <w:t xml:space="preserve">This paper aims to present a model for predicting the Pro-social Behavior of students of Tertiary institutions. As a model, it gives direction for further research by providing an illustration of theoretical constructs (and variables) of </w:t>
      </w:r>
      <w:r w:rsidR="00241897" w:rsidRPr="00E3232D">
        <w:rPr>
          <w:rFonts w:ascii="Book Antiqua" w:hAnsi="Book Antiqua"/>
        </w:rPr>
        <w:t xml:space="preserve">interest. </w:t>
      </w:r>
      <w:r w:rsidRPr="00E3232D">
        <w:rPr>
          <w:rFonts w:ascii="Book Antiqua" w:hAnsi="Book Antiqua"/>
        </w:rPr>
        <w:t>As a</w:t>
      </w:r>
      <w:r w:rsidR="00241897" w:rsidRPr="00241897">
        <w:rPr>
          <w:rFonts w:ascii="Book Antiqua" w:hAnsi="Book Antiqua"/>
        </w:rPr>
        <w:t xml:space="preserve"> </w:t>
      </w:r>
      <w:r w:rsidR="00241897" w:rsidRPr="00E3232D">
        <w:rPr>
          <w:rFonts w:ascii="Book Antiqua" w:hAnsi="Book Antiqua"/>
        </w:rPr>
        <w:t>conceptual</w:t>
      </w:r>
      <w:r w:rsidR="007C0AA0">
        <w:rPr>
          <w:rFonts w:ascii="Book Antiqua" w:hAnsi="Book Antiqua"/>
        </w:rPr>
        <w:t xml:space="preserve"> </w:t>
      </w:r>
      <w:r w:rsidRPr="00E3232D">
        <w:rPr>
          <w:rFonts w:ascii="Book Antiqua" w:hAnsi="Book Antiqua"/>
        </w:rPr>
        <w:t>viewpoint piece, this paper recognizes that Students have certain traits which are antecedents to Pro-social behavior. A review of the literature and a discussion of the antecedents of pro-social factors lead to the construction of the model.</w:t>
      </w:r>
      <w:r w:rsidRPr="00E3232D">
        <w:rPr>
          <w:rFonts w:ascii="Book Antiqua" w:hAnsi="Book Antiqua"/>
          <w:b/>
        </w:rPr>
        <w:t xml:space="preserve"> </w:t>
      </w:r>
      <w:r w:rsidRPr="00E3232D">
        <w:rPr>
          <w:rFonts w:ascii="Book Antiqua" w:hAnsi="Book Antiqua"/>
        </w:rPr>
        <w:t>The result is a Model predicting the Pro-social Behavior of students based on Cultural, Situational, Psychological and Gender factors</w:t>
      </w:r>
      <w:r w:rsidRPr="00E3232D">
        <w:rPr>
          <w:rFonts w:ascii="Book Antiqua" w:hAnsi="Book Antiqua"/>
          <w:b/>
        </w:rPr>
        <w:t xml:space="preserve"> .</w:t>
      </w:r>
      <w:r w:rsidRPr="00E3232D">
        <w:rPr>
          <w:rFonts w:ascii="Book Antiqua" w:hAnsi="Book Antiqua"/>
        </w:rPr>
        <w:t>The literature suggests that Cultural Differences, Personality Variables, Gender Differences, Effects of Religion and Rural-urban differences influence pro-social behavior. The factors found in the literature are adapted to develop a model of pro-social behavior of students for tertiary institutions. Students possess certain traits, antecedents to pro-social behavior. The promotion of the Pr</w:t>
      </w:r>
      <w:r w:rsidR="00C308D3" w:rsidRPr="00E3232D">
        <w:rPr>
          <w:rFonts w:ascii="Book Antiqua" w:hAnsi="Book Antiqua"/>
        </w:rPr>
        <w:t>o social</w:t>
      </w:r>
      <w:r w:rsidR="00902B83" w:rsidRPr="00E3232D">
        <w:rPr>
          <w:rFonts w:ascii="Book Antiqua" w:hAnsi="Book Antiqua"/>
        </w:rPr>
        <w:t xml:space="preserve"> behaviour of the students of</w:t>
      </w:r>
      <w:r w:rsidR="00066E8C" w:rsidRPr="00066E8C">
        <w:rPr>
          <w:rFonts w:ascii="Book Antiqua" w:hAnsi="Book Antiqua"/>
        </w:rPr>
        <w:t xml:space="preserve"> </w:t>
      </w:r>
      <w:r w:rsidR="00066E8C" w:rsidRPr="00E3232D">
        <w:rPr>
          <w:rFonts w:ascii="Book Antiqua" w:hAnsi="Book Antiqua"/>
        </w:rPr>
        <w:t>tertiary institutions especially</w:t>
      </w:r>
      <w:r w:rsidR="00066E8C" w:rsidRPr="00066E8C">
        <w:rPr>
          <w:rFonts w:ascii="Book Antiqua" w:hAnsi="Book Antiqua"/>
        </w:rPr>
        <w:t xml:space="preserve"> </w:t>
      </w:r>
      <w:r w:rsidR="00066E8C" w:rsidRPr="00E3232D">
        <w:rPr>
          <w:rFonts w:ascii="Book Antiqua" w:hAnsi="Book Antiqua"/>
        </w:rPr>
        <w:t>will make them</w:t>
      </w:r>
      <w:r w:rsidR="00066E8C" w:rsidRPr="00066E8C">
        <w:rPr>
          <w:rFonts w:ascii="Book Antiqua" w:hAnsi="Book Antiqua"/>
        </w:rPr>
        <w:t xml:space="preserve"> </w:t>
      </w:r>
      <w:r w:rsidR="00066E8C" w:rsidRPr="00E3232D">
        <w:rPr>
          <w:rFonts w:ascii="Book Antiqua" w:hAnsi="Book Antiqua"/>
        </w:rPr>
        <w:t>adapt</w:t>
      </w:r>
    </w:p>
    <w:p w14:paraId="6ACDD616" w14:textId="77777777" w:rsidR="00066E8C" w:rsidRDefault="00EA4D30" w:rsidP="007C0AA0">
      <w:pPr>
        <w:pStyle w:val="yiv510297308msonormal"/>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to society, including that of tertiary institutions.. Some changes in the curricula could be made to include elements of pro-social behavior. The conceptualization and operationalization of these lead into some observable phenomena. These can be linked to some tertiary institution tasks. Further research is roposed based on the variables/constructs   constituting the model. .The results can  be used as inputs for resource management planning and decision-making policies in areas such as disaster management and maintenance of infrastructure.</w:t>
      </w:r>
    </w:p>
    <w:p w14:paraId="759AF6EF" w14:textId="77777777" w:rsidR="007C0AA0" w:rsidRPr="007C0AA0" w:rsidRDefault="007C0AA0" w:rsidP="007C0AA0">
      <w:pPr>
        <w:pStyle w:val="yiv510297308msonormal"/>
        <w:spacing w:before="0" w:beforeAutospacing="0" w:after="0" w:afterAutospacing="0" w:line="276" w:lineRule="auto"/>
        <w:jc w:val="both"/>
        <w:rPr>
          <w:rFonts w:ascii="Book Antiqua" w:hAnsi="Book Antiqua"/>
          <w:sz w:val="22"/>
          <w:szCs w:val="22"/>
        </w:rPr>
      </w:pPr>
    </w:p>
    <w:p w14:paraId="55003339" w14:textId="77777777" w:rsidR="00EA4D30" w:rsidRPr="00E3232D" w:rsidRDefault="00EA4D30" w:rsidP="00E73780">
      <w:pPr>
        <w:autoSpaceDE w:val="0"/>
        <w:autoSpaceDN w:val="0"/>
        <w:adjustRightInd w:val="0"/>
        <w:ind w:left="1170" w:hanging="1170"/>
        <w:rPr>
          <w:rFonts w:ascii="Book Antiqua" w:hAnsi="Book Antiqua"/>
        </w:rPr>
      </w:pPr>
      <w:r w:rsidRPr="00E3232D">
        <w:rPr>
          <w:rFonts w:ascii="Book Antiqua" w:hAnsi="Book Antiqua"/>
          <w:b/>
        </w:rPr>
        <w:t>Keywords</w:t>
      </w:r>
      <w:r w:rsidR="00E73780">
        <w:rPr>
          <w:rFonts w:ascii="Book Antiqua" w:hAnsi="Book Antiqua"/>
        </w:rPr>
        <w:t xml:space="preserve">: </w:t>
      </w:r>
      <w:r w:rsidRPr="00E3232D">
        <w:rPr>
          <w:rFonts w:ascii="Book Antiqua" w:hAnsi="Book Antiqua"/>
        </w:rPr>
        <w:t>Pro</w:t>
      </w:r>
      <w:r w:rsidR="00E73780" w:rsidRPr="00E3232D">
        <w:rPr>
          <w:rFonts w:ascii="Book Antiqua" w:hAnsi="Book Antiqua"/>
        </w:rPr>
        <w:t xml:space="preserve">-Social </w:t>
      </w:r>
      <w:r w:rsidRPr="00E3232D">
        <w:rPr>
          <w:rFonts w:ascii="Book Antiqua" w:hAnsi="Book Antiqua"/>
        </w:rPr>
        <w:t>Behavior</w:t>
      </w:r>
      <w:r w:rsidR="00E73780" w:rsidRPr="00E3232D">
        <w:rPr>
          <w:rFonts w:ascii="Book Antiqua" w:hAnsi="Book Antiqua"/>
        </w:rPr>
        <w:t>; Tertiary Education; Students’ Education Administration Management; Disaster Management; Culture of Maintenance</w:t>
      </w:r>
      <w:r w:rsidRPr="00E3232D">
        <w:rPr>
          <w:rFonts w:ascii="Book Antiqua" w:hAnsi="Book Antiqua"/>
        </w:rPr>
        <w:t>.</w:t>
      </w:r>
    </w:p>
    <w:p w14:paraId="03B9EA0D" w14:textId="77777777" w:rsidR="00BE604B" w:rsidRDefault="00BE604B" w:rsidP="008275E1">
      <w:pPr>
        <w:autoSpaceDE w:val="0"/>
        <w:autoSpaceDN w:val="0"/>
        <w:adjustRightInd w:val="0"/>
        <w:rPr>
          <w:rFonts w:ascii="Book Antiqua" w:hAnsi="Book Antiqua"/>
        </w:rPr>
        <w:sectPr w:rsidR="00BE604B" w:rsidSect="008F6BC9">
          <w:type w:val="continuous"/>
          <w:pgSz w:w="11907" w:h="16839" w:code="9"/>
          <w:pgMar w:top="1440" w:right="1827" w:bottom="1440" w:left="1440" w:header="720" w:footer="720" w:gutter="0"/>
          <w:cols w:space="720"/>
          <w:docGrid w:linePitch="360"/>
        </w:sectPr>
      </w:pPr>
    </w:p>
    <w:p w14:paraId="0E54AE1F" w14:textId="77777777" w:rsidR="00E73780" w:rsidRDefault="00E73780" w:rsidP="007C0AA0">
      <w:pPr>
        <w:tabs>
          <w:tab w:val="left" w:pos="1275"/>
        </w:tabs>
        <w:autoSpaceDE w:val="0"/>
        <w:autoSpaceDN w:val="0"/>
        <w:adjustRightInd w:val="0"/>
        <w:jc w:val="both"/>
        <w:rPr>
          <w:rFonts w:ascii="Book Antiqua" w:hAnsi="Book Antiqua"/>
        </w:rPr>
        <w:sectPr w:rsidR="00E73780" w:rsidSect="008F6BC9">
          <w:type w:val="continuous"/>
          <w:pgSz w:w="11907" w:h="16839" w:code="9"/>
          <w:pgMar w:top="1440" w:right="1827" w:bottom="1440" w:left="1440" w:header="720" w:footer="720" w:gutter="0"/>
          <w:cols w:space="720"/>
          <w:docGrid w:linePitch="360"/>
        </w:sectPr>
      </w:pPr>
    </w:p>
    <w:p w14:paraId="61A893FB" w14:textId="77777777" w:rsidR="00F522D6" w:rsidRPr="00FD6F87" w:rsidRDefault="00B405C2" w:rsidP="007C0AA0">
      <w:pPr>
        <w:tabs>
          <w:tab w:val="left" w:pos="1275"/>
        </w:tabs>
        <w:autoSpaceDE w:val="0"/>
        <w:autoSpaceDN w:val="0"/>
        <w:adjustRightInd w:val="0"/>
        <w:jc w:val="both"/>
        <w:rPr>
          <w:rFonts w:ascii="Book Antiqua" w:hAnsi="Book Antiqua"/>
        </w:rPr>
      </w:pPr>
      <w:r>
        <w:rPr>
          <w:rFonts w:ascii="Book Antiqua" w:hAnsi="Book Antiqua"/>
          <w:b/>
          <w:sz w:val="26"/>
        </w:rPr>
        <w:t xml:space="preserve">1.0 </w:t>
      </w:r>
      <w:r w:rsidR="00F522D6" w:rsidRPr="007C0AA0">
        <w:rPr>
          <w:rFonts w:ascii="Book Antiqua" w:hAnsi="Book Antiqua"/>
          <w:b/>
          <w:sz w:val="26"/>
        </w:rPr>
        <w:t>Introduction</w:t>
      </w:r>
    </w:p>
    <w:p w14:paraId="1B41F148" w14:textId="77777777" w:rsidR="00F522D6" w:rsidRPr="00E3232D" w:rsidRDefault="00F522D6" w:rsidP="007C0AA0">
      <w:pPr>
        <w:autoSpaceDE w:val="0"/>
        <w:autoSpaceDN w:val="0"/>
        <w:adjustRightInd w:val="0"/>
        <w:jc w:val="both"/>
        <w:rPr>
          <w:rFonts w:ascii="Book Antiqua" w:hAnsi="Book Antiqua"/>
          <w:lang w:val="en-AU"/>
        </w:rPr>
      </w:pPr>
      <w:r w:rsidRPr="00E3232D">
        <w:rPr>
          <w:rFonts w:ascii="Book Antiqua" w:hAnsi="Book Antiqua"/>
        </w:rPr>
        <w:t xml:space="preserve">According to Zahn-Waxler and Smith (1992), various studies show that through helping and volunteering, young people can satisfy their own needs, learn about and express their values, understand their world gain career-related experience, and strengthen social competence and relationships. </w:t>
      </w:r>
      <w:r w:rsidRPr="00E3232D">
        <w:rPr>
          <w:rFonts w:ascii="Book Antiqua" w:hAnsi="Book Antiqua"/>
          <w:lang w:val="en-AU"/>
        </w:rPr>
        <w:t xml:space="preserve">Social behaviour refers to any behaviour where interaction occurs between two or more people. It may include, smiling at someone, voluntarily opening a door for someone to pass etc. Pro-social behaviour is positive. Anti-social behaviour is negative .Pro-social behaviour has been linked to national development in Malaysia (Leong,2003). </w:t>
      </w:r>
    </w:p>
    <w:p w14:paraId="4BD21C9D" w14:textId="77777777" w:rsidR="00F522D6" w:rsidRPr="00E3232D" w:rsidRDefault="00F522D6" w:rsidP="007C0AA0">
      <w:pPr>
        <w:autoSpaceDE w:val="0"/>
        <w:autoSpaceDN w:val="0"/>
        <w:adjustRightInd w:val="0"/>
        <w:spacing w:after="0"/>
        <w:jc w:val="both"/>
        <w:rPr>
          <w:rFonts w:ascii="Book Antiqua" w:hAnsi="Book Antiqua"/>
        </w:rPr>
      </w:pPr>
      <w:r w:rsidRPr="00E3232D">
        <w:rPr>
          <w:rFonts w:ascii="Book Antiqua" w:hAnsi="Book Antiqua"/>
        </w:rPr>
        <w:t xml:space="preserve">Sometime in the early part of last semester (October, 2012) I made an observation about the behavior of a student. Habitually, she had been putting off the classroom ceiling fans anytime lectures came to a close. On the fourth occasion I approached her to give me her reasons for doing that. “I only feel like doing this. At home, I have been branded as the energy ‘saver’. This has become my habit”, she replied. On a different occasion a student was making an attempt to block a damaged tap, which was overflowing, in one of the students urinals.  On a different campus, a student had run out of the classroom to put off an electrical meter after the meter caught fire. This behavior of the week-end school student and the other students ignited my interest in the progressive manner some of our students behave. I therefore decided to engage in the act of observing students behavior to build up some empirical data. </w:t>
      </w:r>
    </w:p>
    <w:p w14:paraId="56A09B7C" w14:textId="77777777" w:rsidR="001D5DFA" w:rsidRDefault="001D5DFA" w:rsidP="007C0AA0">
      <w:pPr>
        <w:autoSpaceDE w:val="0"/>
        <w:autoSpaceDN w:val="0"/>
        <w:adjustRightInd w:val="0"/>
        <w:spacing w:after="0"/>
        <w:jc w:val="both"/>
        <w:rPr>
          <w:rFonts w:ascii="Book Antiqua" w:hAnsi="Book Antiqua"/>
        </w:rPr>
      </w:pPr>
    </w:p>
    <w:p w14:paraId="6A79C5D3" w14:textId="77777777" w:rsidR="00F522D6" w:rsidRPr="00E3232D" w:rsidRDefault="00F522D6" w:rsidP="007C0AA0">
      <w:pPr>
        <w:autoSpaceDE w:val="0"/>
        <w:autoSpaceDN w:val="0"/>
        <w:adjustRightInd w:val="0"/>
        <w:spacing w:after="0"/>
        <w:jc w:val="both"/>
        <w:rPr>
          <w:rFonts w:ascii="Book Antiqua" w:hAnsi="Book Antiqua"/>
        </w:rPr>
      </w:pPr>
      <w:r w:rsidRPr="00E3232D">
        <w:rPr>
          <w:rFonts w:ascii="Book Antiqua" w:hAnsi="Book Antiqua"/>
        </w:rPr>
        <w:t>A lot of the time we focus on the anti-social behavior of people. For tertiary institutions the focus is on that of students. Anti-social behavior of students includes examination malpractices, rioting and destruction of school infrastructure, whether consciously or sub-consciously. There are cost consequences for such actions, such as monitoring and maintenance costs. It is therefore not surprising that most educational research have focused on the phenomenon of anti-social behavior behavior.</w:t>
      </w:r>
      <w:r w:rsidRPr="00E3232D">
        <w:rPr>
          <w:rStyle w:val="CommentReference"/>
          <w:rFonts w:ascii="Book Antiqua" w:hAnsi="Book Antiqua"/>
          <w:sz w:val="22"/>
          <w:szCs w:val="22"/>
        </w:rPr>
        <w:t xml:space="preserve"> </w:t>
      </w:r>
      <w:r w:rsidRPr="00E3232D">
        <w:rPr>
          <w:rFonts w:ascii="Book Antiqua" w:hAnsi="Book Antiqua"/>
        </w:rPr>
        <w:t xml:space="preserve">Few of educational research have looked at the other side of the coin: pro-social behavior, especially that of students of   Tertiary institutions in Ghana. Even where literature exists, most research on pro-social behavior has been focused in the United States and Europe Thus very little or no literature exists in Ghana. There are potential intangible benefits of the pro-social behavior of students Pro-social development is closely linked to various positive developmental outcomes for young people including academic success, positive self-worth, positive relationships with others, and higher social competence (Penner, Dovidio, Piliavin, and Schroeder, 2005.) Therefore knowing the status quo of undergraduates’ Pro-social Behavior in different situations, analyzing the influencing factors, and exploring the ways of cultivating the undergraduates’ Pro-social Behavior have a very important significance in the moral education of  undergraduates and the construction of campus culture, the cultivation of social and spiritual civilization and the building of harmonious society (Eisenberg </w:t>
      </w:r>
      <w:r w:rsidRPr="00E3232D">
        <w:rPr>
          <w:rFonts w:ascii="Book Antiqua" w:hAnsi="Book Antiqua"/>
          <w:i/>
          <w:iCs/>
        </w:rPr>
        <w:t>et al.</w:t>
      </w:r>
      <w:r w:rsidRPr="00E3232D">
        <w:rPr>
          <w:rFonts w:ascii="Book Antiqua" w:hAnsi="Book Antiqua"/>
        </w:rPr>
        <w:t>, 1990). The aim of this paper is, therefore, to develop a model of Pro-social behavior of students for tertiary institutions. The source of data for the model is a review of</w:t>
      </w:r>
      <w:r>
        <w:rPr>
          <w:rFonts w:ascii="Book Antiqua" w:hAnsi="Book Antiqua"/>
        </w:rPr>
        <w:t xml:space="preserve"> </w:t>
      </w:r>
      <w:r w:rsidRPr="00E3232D">
        <w:rPr>
          <w:rFonts w:ascii="Book Antiqua" w:hAnsi="Book Antiqua"/>
        </w:rPr>
        <w:t xml:space="preserve">literature on pro-social behavior. Ultimately, the model would be used to conduct an empirical research on the Pro-social Behavior of students of tertiary institutions. The rest of the paper is presented as follows; firstly, , a definition and clarification of the main concept, through a review of the literature is made. Secondly, a model of Pro-social Behavior showing the predictors is presented (under </w:t>
      </w:r>
      <w:r w:rsidRPr="00E3232D">
        <w:rPr>
          <w:rFonts w:ascii="Book Antiqua" w:hAnsi="Book Antiqua"/>
          <w:b/>
        </w:rPr>
        <w:t>results)</w:t>
      </w:r>
      <w:r w:rsidRPr="00E3232D">
        <w:rPr>
          <w:rFonts w:ascii="Book Antiqua" w:hAnsi="Book Antiqua"/>
        </w:rPr>
        <w:t>. Thirdly, a discussion of the relevance of the model in responding to some challenges faced by tertiary institutions and the need for changes in the area of student administration management is made. Last but not least, the conclusion, which includes a suggestion for future research.</w:t>
      </w:r>
    </w:p>
    <w:p w14:paraId="5CA7316D" w14:textId="77777777" w:rsidR="00F522D6" w:rsidRPr="007C0AA0" w:rsidRDefault="00F522D6" w:rsidP="007C0AA0">
      <w:pPr>
        <w:autoSpaceDE w:val="0"/>
        <w:autoSpaceDN w:val="0"/>
        <w:adjustRightInd w:val="0"/>
        <w:spacing w:before="100" w:beforeAutospacing="1"/>
        <w:jc w:val="both"/>
        <w:rPr>
          <w:rFonts w:ascii="Book Antiqua" w:hAnsi="Book Antiqua"/>
          <w:b/>
        </w:rPr>
      </w:pPr>
      <w:r w:rsidRPr="007C0AA0">
        <w:rPr>
          <w:rFonts w:ascii="Book Antiqua" w:hAnsi="Book Antiqua"/>
          <w:b/>
        </w:rPr>
        <w:t>1.1 Definition and clarification of Pro-social behavior</w:t>
      </w:r>
    </w:p>
    <w:p w14:paraId="15201384" w14:textId="77777777" w:rsidR="00F522D6" w:rsidRPr="00E3232D" w:rsidRDefault="00F522D6" w:rsidP="007C0AA0">
      <w:pPr>
        <w:autoSpaceDE w:val="0"/>
        <w:autoSpaceDN w:val="0"/>
        <w:adjustRightInd w:val="0"/>
        <w:jc w:val="both"/>
        <w:rPr>
          <w:rFonts w:ascii="Book Antiqua" w:hAnsi="Book Antiqua"/>
        </w:rPr>
      </w:pPr>
      <w:r w:rsidRPr="00E3232D">
        <w:rPr>
          <w:rFonts w:ascii="Book Antiqua" w:hAnsi="Book Antiqua"/>
        </w:rPr>
        <w:t>Pro-social behaviors are actions that aim to fulfill another person’s need for support or to promote and sustain a positive benefit for themar-Tal, 1982). It is the voluntary actions that are intended to help or benefit another individual or group of individuals. This definition refers to the consequences of a person’s actions, motivations and their behavior; behaviors which include a broad range of activities: sharing, comforting, rescuing, and helping. There are many different factors that influence this behavior, that affect one's decision to give, share, and help. However, investigators have shown that there are different types of pro-social Behaviors and that these types are related differently to theoretically related constructs (Batson, et al, 1991).</w:t>
      </w:r>
    </w:p>
    <w:p w14:paraId="0A997E88" w14:textId="77777777" w:rsidR="002E23F4" w:rsidRDefault="002E23F4" w:rsidP="008F4031">
      <w:pPr>
        <w:autoSpaceDE w:val="0"/>
        <w:autoSpaceDN w:val="0"/>
        <w:adjustRightInd w:val="0"/>
        <w:spacing w:after="0"/>
        <w:jc w:val="both"/>
        <w:rPr>
          <w:rFonts w:ascii="Book Antiqua" w:hAnsi="Book Antiqua"/>
        </w:rPr>
      </w:pPr>
    </w:p>
    <w:p w14:paraId="3D97D723" w14:textId="77777777" w:rsidR="00F522D6" w:rsidRPr="007C0AA0" w:rsidRDefault="00F522D6" w:rsidP="007C0AA0">
      <w:pPr>
        <w:autoSpaceDE w:val="0"/>
        <w:autoSpaceDN w:val="0"/>
        <w:adjustRightInd w:val="0"/>
        <w:jc w:val="both"/>
        <w:rPr>
          <w:rFonts w:ascii="Book Antiqua" w:hAnsi="Book Antiqua"/>
          <w:b/>
        </w:rPr>
      </w:pPr>
      <w:r w:rsidRPr="007C0AA0">
        <w:rPr>
          <w:rFonts w:ascii="Book Antiqua" w:hAnsi="Book Antiqua"/>
          <w:b/>
        </w:rPr>
        <w:t>1.2 According to the literature, there are two types of Pro-social Behavior</w:t>
      </w:r>
    </w:p>
    <w:p w14:paraId="0525283E" w14:textId="77777777" w:rsidR="00F522D6" w:rsidRPr="00E3232D" w:rsidRDefault="00F522D6" w:rsidP="007C0AA0">
      <w:pPr>
        <w:autoSpaceDE w:val="0"/>
        <w:autoSpaceDN w:val="0"/>
        <w:adjustRightInd w:val="0"/>
        <w:spacing w:before="100" w:beforeAutospacing="1"/>
        <w:jc w:val="both"/>
        <w:rPr>
          <w:rFonts w:ascii="Book Antiqua" w:hAnsi="Book Antiqua"/>
        </w:rPr>
      </w:pPr>
      <w:r w:rsidRPr="007C0AA0">
        <w:rPr>
          <w:rFonts w:ascii="Book Antiqua" w:hAnsi="Book Antiqua"/>
          <w:b/>
        </w:rPr>
        <w:t>1.2 . 1.2.1Altruism</w:t>
      </w:r>
    </w:p>
    <w:p w14:paraId="7D8593C8" w14:textId="77777777" w:rsidR="00F522D6" w:rsidRPr="00E3232D" w:rsidRDefault="00F522D6" w:rsidP="007C0AA0">
      <w:pPr>
        <w:autoSpaceDE w:val="0"/>
        <w:autoSpaceDN w:val="0"/>
        <w:adjustRightInd w:val="0"/>
        <w:jc w:val="both"/>
        <w:rPr>
          <w:rFonts w:ascii="Book Antiqua" w:hAnsi="Book Antiqua"/>
        </w:rPr>
      </w:pPr>
      <w:r w:rsidRPr="00E3232D">
        <w:rPr>
          <w:rFonts w:ascii="Book Antiqua" w:hAnsi="Book Antiqua"/>
        </w:rPr>
        <w:t xml:space="preserve">Altruistic Pro-social Behaviors were defined as voluntary helping motivated primarily by concern for the needs and welfare of another, often induced by sympathy responding and internalized norms/principles consistent with helping others (Eisenberg and Fabes, 1990). With this kind of Pro-social Behavior, because the helper is primarily concerned with the needy others’ welfare, this behavior sometimes incurs a cost to the helper. Although scholars have debated whether altruistic behaviors exist, there are at least three lines of evidence that support the existence of altruism (Eisenberg </w:t>
      </w:r>
      <w:r w:rsidRPr="00E3232D">
        <w:rPr>
          <w:rFonts w:ascii="Book Antiqua" w:hAnsi="Book Antiqua"/>
          <w:i/>
          <w:iCs/>
        </w:rPr>
        <w:t>et al.</w:t>
      </w:r>
      <w:r w:rsidRPr="00E3232D">
        <w:rPr>
          <w:rFonts w:ascii="Book Antiqua" w:hAnsi="Book Antiqua"/>
        </w:rPr>
        <w:t>, 1999). First, researchers have presented evidence of the heritability of sympathy (Batson. and Shaw, L. L1991) which is deemed evolutionarily adaptive. Second, there is longitudinal evidence of stability in the tendency to behave in a pro-social manner across childhood and adolescence (Gilbert. and Fisk, (2004). And third, researchers have found significant associations between personality variables and pro-social behaviors across different contexts (Eisenberg andFabes, 1990).</w:t>
      </w:r>
    </w:p>
    <w:p w14:paraId="088367E1" w14:textId="77777777" w:rsidR="00F522D6" w:rsidRPr="007C0AA0" w:rsidRDefault="00F522D6" w:rsidP="007C0AA0">
      <w:pPr>
        <w:autoSpaceDE w:val="0"/>
        <w:autoSpaceDN w:val="0"/>
        <w:adjustRightInd w:val="0"/>
        <w:spacing w:before="100" w:beforeAutospacing="1"/>
        <w:jc w:val="both"/>
        <w:rPr>
          <w:rFonts w:ascii="Book Antiqua" w:hAnsi="Book Antiqua"/>
          <w:b/>
        </w:rPr>
      </w:pPr>
      <w:r w:rsidRPr="007C0AA0">
        <w:rPr>
          <w:rFonts w:ascii="Book Antiqua" w:hAnsi="Book Antiqua"/>
          <w:b/>
        </w:rPr>
        <w:t>1.2.2. Public</w:t>
      </w:r>
    </w:p>
    <w:p w14:paraId="3434DEE8" w14:textId="77777777" w:rsidR="00F522D6" w:rsidRPr="00E3232D" w:rsidRDefault="00F522D6" w:rsidP="007C0AA0">
      <w:pPr>
        <w:autoSpaceDE w:val="0"/>
        <w:autoSpaceDN w:val="0"/>
        <w:adjustRightInd w:val="0"/>
        <w:jc w:val="both"/>
        <w:rPr>
          <w:rFonts w:ascii="Book Antiqua" w:hAnsi="Book Antiqua"/>
        </w:rPr>
      </w:pPr>
      <w:r w:rsidRPr="00E3232D">
        <w:rPr>
          <w:rFonts w:ascii="Book Antiqua" w:hAnsi="Book Antiqua"/>
        </w:rPr>
        <w:t>People are motivated to behave in a progressive manner when in public, at least in part, by a desire to gain the approval and respect of others such as parent and peers and also to enhance one’s self-worth. One common manipulation in research on pro-social behavior is to alter whether others serve as witnesses to the potential Prosocial act (Penner, Dovidio, Piliavin, and Schroeder(2005). Researchers have shown that helping conducted in front of others is</w:t>
      </w:r>
      <w:r>
        <w:rPr>
          <w:rFonts w:ascii="Book Antiqua" w:hAnsi="Book Antiqua"/>
        </w:rPr>
        <w:t xml:space="preserve"> </w:t>
      </w:r>
      <w:r w:rsidRPr="00E3232D">
        <w:rPr>
          <w:rFonts w:ascii="Book Antiqua" w:hAnsi="Book Antiqua"/>
        </w:rPr>
        <w:t>sometimes associated with self-oriented motives, although researchers have pointed out that social desirability concerns are not necessarily incompatible with pro-social behavior (Bar-Tal, (1992). Furthermore, helping is more likely to occur when one’s actions are conducted in front of an audience (Bar-Tal, 1992). Because gaining others’ approval is often a concern for adolescents, it was hypothesized that public pro-social behaviors would be related positively to approval-oriented modes of moral reasoning and to social desirability (i.e., tendency to present one’s self in a positive light). Moreover, public pro-social behaviors were expected to be related negatively (or unrelated) to higher levels of moral reasoning and other-oriented personal tendencies (e.g., sympathy, perspective taking).(Batson andShaw, 1991).</w:t>
      </w:r>
    </w:p>
    <w:p w14:paraId="6B583EA6" w14:textId="77777777" w:rsidR="00F522D6" w:rsidRPr="00E3232D" w:rsidRDefault="00F522D6" w:rsidP="008F4031">
      <w:pPr>
        <w:autoSpaceDE w:val="0"/>
        <w:autoSpaceDN w:val="0"/>
        <w:adjustRightInd w:val="0"/>
        <w:spacing w:after="0"/>
        <w:jc w:val="both"/>
        <w:rPr>
          <w:rFonts w:ascii="Book Antiqua" w:hAnsi="Book Antiqua"/>
          <w:b/>
        </w:rPr>
      </w:pPr>
    </w:p>
    <w:p w14:paraId="33685460" w14:textId="77777777" w:rsidR="00F522D6" w:rsidRPr="00E3232D" w:rsidRDefault="00F522D6" w:rsidP="007C0AA0">
      <w:pPr>
        <w:autoSpaceDE w:val="0"/>
        <w:autoSpaceDN w:val="0"/>
        <w:adjustRightInd w:val="0"/>
        <w:jc w:val="both"/>
        <w:rPr>
          <w:rFonts w:ascii="Book Antiqua" w:hAnsi="Book Antiqua"/>
          <w:b/>
        </w:rPr>
      </w:pPr>
      <w:r w:rsidRPr="00E3232D">
        <w:rPr>
          <w:rFonts w:ascii="Book Antiqua" w:hAnsi="Book Antiqua"/>
          <w:b/>
        </w:rPr>
        <w:t>1.3 Predictors of pro-social behavior</w:t>
      </w:r>
    </w:p>
    <w:p w14:paraId="4479BA45" w14:textId="77777777" w:rsidR="00F522D6" w:rsidRPr="007C0AA0" w:rsidRDefault="00F522D6" w:rsidP="007C0AA0">
      <w:pPr>
        <w:autoSpaceDE w:val="0"/>
        <w:autoSpaceDN w:val="0"/>
        <w:adjustRightInd w:val="0"/>
        <w:spacing w:before="100" w:beforeAutospacing="1"/>
        <w:jc w:val="both"/>
        <w:rPr>
          <w:rFonts w:ascii="Book Antiqua" w:hAnsi="Book Antiqua"/>
          <w:b/>
        </w:rPr>
      </w:pPr>
      <w:r w:rsidRPr="007C0AA0">
        <w:rPr>
          <w:rFonts w:ascii="Book Antiqua" w:hAnsi="Book Antiqua"/>
          <w:b/>
        </w:rPr>
        <w:t>1.3.1 Volunteerism</w:t>
      </w:r>
    </w:p>
    <w:p w14:paraId="0CEBC947" w14:textId="77777777" w:rsidR="00F522D6" w:rsidRPr="00E3232D" w:rsidRDefault="00F522D6" w:rsidP="007C0AA0">
      <w:pPr>
        <w:autoSpaceDE w:val="0"/>
        <w:autoSpaceDN w:val="0"/>
        <w:adjustRightInd w:val="0"/>
        <w:jc w:val="both"/>
        <w:rPr>
          <w:rFonts w:ascii="Book Antiqua" w:hAnsi="Book Antiqua"/>
        </w:rPr>
      </w:pPr>
      <w:r w:rsidRPr="00E3232D">
        <w:rPr>
          <w:rFonts w:ascii="Book Antiqua" w:hAnsi="Book Antiqua"/>
        </w:rPr>
        <w:t xml:space="preserve">Volunteering involves pro-social action in an organizational context, which is planned and that continues for an extended period (Penner, Dovidio, Piliavin, and. Schroeder2005). It differs from interpersonal helping in many ways, but the most important of these is that, relative to interpersonal helping, volunteering is less likely to result from a sense of personal obligation (Eisenberg and Fabes, 1998). That is, whereas most acts of interpersonal helping involve a sense of personal obligation to a particular person, volunteering to work for a charity or service organization is typically not motivated by such considerations. </w:t>
      </w:r>
    </w:p>
    <w:p w14:paraId="4C9564F6" w14:textId="77777777" w:rsidR="00F522D6" w:rsidRPr="007C0AA0" w:rsidRDefault="00F522D6" w:rsidP="007C0AA0">
      <w:pPr>
        <w:autoSpaceDE w:val="0"/>
        <w:autoSpaceDN w:val="0"/>
        <w:adjustRightInd w:val="0"/>
        <w:spacing w:before="100" w:beforeAutospacing="1"/>
        <w:jc w:val="both"/>
        <w:rPr>
          <w:rFonts w:ascii="Book Antiqua" w:hAnsi="Book Antiqua"/>
          <w:b/>
        </w:rPr>
      </w:pPr>
      <w:r w:rsidRPr="007C0AA0">
        <w:rPr>
          <w:rFonts w:ascii="Book Antiqua" w:hAnsi="Book Antiqua"/>
          <w:b/>
        </w:rPr>
        <w:t>1.3.2 Empathy</w:t>
      </w:r>
    </w:p>
    <w:p w14:paraId="1A4F05BD" w14:textId="77777777" w:rsidR="00F522D6" w:rsidRPr="00E3232D" w:rsidRDefault="00F522D6" w:rsidP="007C0AA0">
      <w:pPr>
        <w:autoSpaceDE w:val="0"/>
        <w:autoSpaceDN w:val="0"/>
        <w:adjustRightInd w:val="0"/>
        <w:jc w:val="both"/>
        <w:rPr>
          <w:rFonts w:ascii="Book Antiqua" w:hAnsi="Book Antiqua"/>
        </w:rPr>
      </w:pPr>
      <w:r w:rsidRPr="00E3232D">
        <w:rPr>
          <w:rFonts w:ascii="Book Antiqua" w:hAnsi="Book Antiqua"/>
        </w:rPr>
        <w:t>Empathy, or emotional perspective-taking, is generally defined as our ability to understand other people’s feelings (Penner,  Dovidio, Piliavin, and  Schroeder (2005). A more specific definition is proposed by Eisenberg andFabes (1990). In their view, empathy can be defined by a set of four conditions: we empathize with others when we have (a) an affective state, (b) which is isomorphic to another person’s affective state, (c) which was induced by observation</w:t>
      </w:r>
      <w:r w:rsidR="00F074CC">
        <w:rPr>
          <w:rFonts w:ascii="Book Antiqua" w:hAnsi="Book Antiqua"/>
        </w:rPr>
        <w:t xml:space="preserve"> </w:t>
      </w:r>
      <w:r w:rsidRPr="00E3232D">
        <w:rPr>
          <w:rFonts w:ascii="Book Antiqua" w:hAnsi="Book Antiqua"/>
        </w:rPr>
        <w:t>or imagination of another person’s affective state, and (d) when we know that the other person’s affective state is the source of our own affective state. Condition (a) is particularly important</w:t>
      </w:r>
      <w:r w:rsidR="00F074CC">
        <w:rPr>
          <w:rFonts w:ascii="Book Antiqua" w:hAnsi="Book Antiqua"/>
        </w:rPr>
        <w:t xml:space="preserve"> </w:t>
      </w:r>
      <w:r w:rsidRPr="00E3232D">
        <w:rPr>
          <w:rFonts w:ascii="Book Antiqua" w:hAnsi="Book Antiqua"/>
        </w:rPr>
        <w:t>as it helps to differentiate empathy from mentalizing, which denotes, instead, our ability to represent others’ mental states without emotional involvement.</w:t>
      </w:r>
    </w:p>
    <w:p w14:paraId="649BEB5D" w14:textId="77777777" w:rsidR="00F522D6" w:rsidRPr="00E3232D" w:rsidRDefault="00F522D6" w:rsidP="007C0AA0">
      <w:pPr>
        <w:autoSpaceDE w:val="0"/>
        <w:autoSpaceDN w:val="0"/>
        <w:adjustRightInd w:val="0"/>
        <w:spacing w:before="100" w:beforeAutospacing="1"/>
        <w:jc w:val="both"/>
        <w:rPr>
          <w:rFonts w:ascii="Book Antiqua" w:hAnsi="Book Antiqua"/>
          <w:b/>
        </w:rPr>
      </w:pPr>
      <w:r w:rsidRPr="00E3232D">
        <w:rPr>
          <w:rFonts w:ascii="Book Antiqua" w:hAnsi="Book Antiqua"/>
          <w:b/>
        </w:rPr>
        <w:t>1.4 Review of factors that influence Pro-social behavior</w:t>
      </w:r>
    </w:p>
    <w:p w14:paraId="4CA14878" w14:textId="77777777" w:rsidR="00F522D6" w:rsidRPr="00E3232D" w:rsidRDefault="00F522D6" w:rsidP="007C0AA0">
      <w:pPr>
        <w:autoSpaceDE w:val="0"/>
        <w:autoSpaceDN w:val="0"/>
        <w:adjustRightInd w:val="0"/>
        <w:spacing w:before="100" w:beforeAutospacing="1"/>
        <w:jc w:val="both"/>
        <w:rPr>
          <w:rFonts w:ascii="Book Antiqua" w:hAnsi="Book Antiqua"/>
        </w:rPr>
      </w:pPr>
      <w:r w:rsidRPr="00E3232D">
        <w:rPr>
          <w:rFonts w:ascii="Book Antiqua" w:hAnsi="Book Antiqua"/>
        </w:rPr>
        <w:t>Various articles have been written on the factors which influence pro-social behavior. For the purpose of this article, I wish to categorize these under the following: Cultural factors, Situational factors, Psychological factors and Gender Factors.</w:t>
      </w:r>
    </w:p>
    <w:p w14:paraId="6265FCD5" w14:textId="77777777" w:rsidR="00F522D6" w:rsidRPr="007C0AA0" w:rsidRDefault="00F522D6" w:rsidP="007C0AA0">
      <w:pPr>
        <w:autoSpaceDE w:val="0"/>
        <w:autoSpaceDN w:val="0"/>
        <w:adjustRightInd w:val="0"/>
        <w:spacing w:before="100" w:beforeAutospacing="1"/>
        <w:jc w:val="both"/>
        <w:rPr>
          <w:rFonts w:ascii="Book Antiqua" w:hAnsi="Book Antiqua"/>
          <w:b/>
        </w:rPr>
      </w:pPr>
      <w:r w:rsidRPr="007C0AA0">
        <w:rPr>
          <w:rFonts w:ascii="Book Antiqua" w:hAnsi="Book Antiqua"/>
          <w:b/>
        </w:rPr>
        <w:t>1.4.1 Cultural factors</w:t>
      </w:r>
    </w:p>
    <w:p w14:paraId="7DA15E07" w14:textId="77777777" w:rsidR="00F522D6" w:rsidRPr="00E3232D" w:rsidRDefault="00F522D6" w:rsidP="009253E6">
      <w:pPr>
        <w:pStyle w:val="Default"/>
        <w:spacing w:after="0"/>
        <w:ind w:firstLine="720"/>
        <w:rPr>
          <w:rFonts w:ascii="Book Antiqua" w:hAnsi="Book Antiqua"/>
          <w:color w:val="auto"/>
          <w:sz w:val="22"/>
          <w:szCs w:val="22"/>
        </w:rPr>
      </w:pPr>
      <w:r w:rsidRPr="00E3232D">
        <w:rPr>
          <w:rFonts w:ascii="Book Antiqua" w:hAnsi="Book Antiqua"/>
          <w:color w:val="auto"/>
          <w:sz w:val="22"/>
          <w:szCs w:val="22"/>
        </w:rPr>
        <w:t xml:space="preserve">Cultural differences, in relation to pro-social behavior, are expressed differently between individualistic and collectivistic societies: for instance; someone living in the U.S. is least likely to help someone in need than someone living in Australia, India or Kenya. </w:t>
      </w:r>
    </w:p>
    <w:p w14:paraId="32A12CE7" w14:textId="77777777" w:rsidR="00E73780" w:rsidRDefault="00E73780" w:rsidP="007C0AA0">
      <w:pPr>
        <w:tabs>
          <w:tab w:val="left" w:pos="1275"/>
        </w:tabs>
        <w:autoSpaceDE w:val="0"/>
        <w:autoSpaceDN w:val="0"/>
        <w:adjustRightInd w:val="0"/>
        <w:spacing w:after="0"/>
        <w:jc w:val="both"/>
        <w:rPr>
          <w:rFonts w:ascii="Book Antiqua" w:hAnsi="Book Antiqua"/>
        </w:rPr>
      </w:pPr>
    </w:p>
    <w:p w14:paraId="6C446538" w14:textId="77777777" w:rsidR="00F074CC" w:rsidRDefault="00F522D6" w:rsidP="007C0AA0">
      <w:pPr>
        <w:pStyle w:val="Default"/>
        <w:rPr>
          <w:rFonts w:ascii="Book Antiqua" w:hAnsi="Book Antiqua"/>
          <w:color w:val="auto"/>
          <w:sz w:val="22"/>
          <w:szCs w:val="22"/>
        </w:rPr>
      </w:pPr>
      <w:r w:rsidRPr="00E3232D">
        <w:rPr>
          <w:rFonts w:ascii="Book Antiqua" w:hAnsi="Book Antiqua"/>
          <w:color w:val="auto"/>
          <w:sz w:val="22"/>
          <w:szCs w:val="22"/>
        </w:rPr>
        <w:t>Collectivist cultures tend to have extended family structures in which children take responsibility for younger siblings from an early age (Whiting &amp; Whiting, 1988) .According to Whitting and Whitting (1988) individualist and collectivist cultures help others for different reasons. For Individualist societies helping are motivated by personal rewards e.g. feeling good about one self. For collectivist societies’ helping is motivated by continued survival of group (possible future reciprocation)</w:t>
      </w:r>
      <w:r w:rsidR="00F074CC">
        <w:rPr>
          <w:rFonts w:ascii="Book Antiqua" w:hAnsi="Book Antiqua"/>
          <w:color w:val="auto"/>
          <w:sz w:val="22"/>
          <w:szCs w:val="22"/>
        </w:rPr>
        <w:t>.</w:t>
      </w:r>
    </w:p>
    <w:p w14:paraId="16EC043E" w14:textId="77777777" w:rsidR="00F074CC" w:rsidRDefault="00F074CC" w:rsidP="008F4031">
      <w:pPr>
        <w:pStyle w:val="Default"/>
        <w:spacing w:after="0"/>
        <w:rPr>
          <w:rFonts w:ascii="Book Antiqua" w:hAnsi="Book Antiqua"/>
          <w:color w:val="auto"/>
          <w:sz w:val="22"/>
          <w:szCs w:val="22"/>
        </w:rPr>
      </w:pPr>
    </w:p>
    <w:p w14:paraId="776B6B67" w14:textId="77777777" w:rsidR="00F522D6" w:rsidRPr="00F074CC" w:rsidRDefault="00F522D6" w:rsidP="008F4031">
      <w:pPr>
        <w:pStyle w:val="Default"/>
        <w:spacing w:after="0"/>
        <w:rPr>
          <w:rFonts w:ascii="Book Antiqua" w:hAnsi="Book Antiqua"/>
          <w:color w:val="auto"/>
          <w:sz w:val="22"/>
          <w:szCs w:val="22"/>
        </w:rPr>
      </w:pPr>
      <w:r w:rsidRPr="00E3232D">
        <w:rPr>
          <w:rFonts w:ascii="Book Antiqua" w:hAnsi="Book Antiqua"/>
        </w:rPr>
        <w:t>Personality Variables are personality differences that affect pro-social behaviors by way of the helper’s feelings and different concepts of morality and values, their motivations are based upon internalized standards of justice and responsibility and greater empathy, and self-control (Bar-Tal1992)</w:t>
      </w:r>
      <w:r w:rsidRPr="00E3232D">
        <w:rPr>
          <w:rFonts w:ascii="Book Antiqua" w:hAnsi="Book Antiqua"/>
        </w:rPr>
        <w:br/>
      </w:r>
    </w:p>
    <w:p w14:paraId="6F04470D" w14:textId="77777777" w:rsidR="00F522D6" w:rsidRPr="007C0AA0" w:rsidRDefault="00F522D6" w:rsidP="001765F6">
      <w:pPr>
        <w:autoSpaceDE w:val="0"/>
        <w:autoSpaceDN w:val="0"/>
        <w:adjustRightInd w:val="0"/>
        <w:spacing w:after="0"/>
        <w:jc w:val="both"/>
        <w:rPr>
          <w:rFonts w:ascii="Book Antiqua" w:hAnsi="Book Antiqua"/>
          <w:b/>
        </w:rPr>
      </w:pPr>
      <w:r w:rsidRPr="007C0AA0">
        <w:rPr>
          <w:rFonts w:ascii="Book Antiqua" w:hAnsi="Book Antiqua"/>
          <w:b/>
        </w:rPr>
        <w:t>1.4.2 Situational Factors</w:t>
      </w:r>
    </w:p>
    <w:p w14:paraId="1226A8A6" w14:textId="77777777" w:rsidR="00F522D6" w:rsidRPr="007C0AA0" w:rsidRDefault="00F522D6" w:rsidP="007C0AA0">
      <w:pPr>
        <w:jc w:val="both"/>
        <w:rPr>
          <w:rFonts w:ascii="Book Antiqua" w:hAnsi="Book Antiqua"/>
          <w:b/>
        </w:rPr>
      </w:pPr>
      <w:r w:rsidRPr="007C0AA0">
        <w:rPr>
          <w:rFonts w:ascii="Book Antiqua" w:hAnsi="Book Antiqua"/>
          <w:b/>
        </w:rPr>
        <w:t>(a)Urban-Rural Factors</w:t>
      </w:r>
    </w:p>
    <w:p w14:paraId="7020A392" w14:textId="77777777" w:rsidR="00F522D6" w:rsidRPr="009253E6" w:rsidRDefault="00F522D6" w:rsidP="009253E6">
      <w:pPr>
        <w:ind w:firstLine="720"/>
        <w:jc w:val="both"/>
        <w:rPr>
          <w:rFonts w:ascii="Book Antiqua" w:hAnsi="Book Antiqua"/>
          <w:b/>
          <w:bCs/>
          <w:u w:val="single"/>
        </w:rPr>
      </w:pPr>
      <w:r w:rsidRPr="00E3232D">
        <w:rPr>
          <w:rFonts w:ascii="Book Antiqua" w:hAnsi="Book Antiqua"/>
        </w:rPr>
        <w:t>Zahn and Smith (1992) investigated differences between people in two cities and four small towns in Turkey. A variety of methods were used to assess helpfulness, such as willingness to change money or participate in a short interview. It was found that helpfulness was higher for people in small towns than for people in large cities.</w:t>
      </w:r>
    </w:p>
    <w:p w14:paraId="2F300BE1" w14:textId="77777777" w:rsidR="00F522D6" w:rsidRPr="00E3232D" w:rsidRDefault="00F522D6" w:rsidP="001765F6">
      <w:pPr>
        <w:spacing w:after="0"/>
        <w:jc w:val="both"/>
        <w:rPr>
          <w:rFonts w:ascii="Book Antiqua" w:hAnsi="Book Antiqua"/>
        </w:rPr>
      </w:pPr>
      <w:r w:rsidRPr="00E3232D">
        <w:rPr>
          <w:rFonts w:ascii="Book Antiqua" w:hAnsi="Book Antiqua"/>
        </w:rPr>
        <w:t>Based on his information overload theory, Eisenberg (2006) found out that people in urban environments, e.g. large cities, are exposed to excessive environmental stimulation and are so familiar with emergencies that they treat them as everyday events. To cope with this high level of stimulation, people screen out events that are not personally relevant to them. This results in people in urban areas having a more indifferent attitude to others needs, causing lower levels of pro-social behavior. This is based on the urban-overload hypothesis which states that people living in the city areas are constantly being bombarded by simulation and that they keep to themselves to avoid being overwhelmed by it.</w:t>
      </w:r>
    </w:p>
    <w:p w14:paraId="614489AF" w14:textId="77777777" w:rsidR="002E23F4" w:rsidRDefault="002E23F4" w:rsidP="007C0AA0">
      <w:pPr>
        <w:spacing w:after="0"/>
        <w:jc w:val="both"/>
        <w:rPr>
          <w:rFonts w:ascii="Book Antiqua" w:hAnsi="Book Antiqua"/>
        </w:rPr>
      </w:pPr>
    </w:p>
    <w:p w14:paraId="1D62DB56" w14:textId="77777777" w:rsidR="00F522D6" w:rsidRPr="007C0AA0" w:rsidRDefault="00F522D6" w:rsidP="007C0AA0">
      <w:pPr>
        <w:jc w:val="both"/>
        <w:rPr>
          <w:rFonts w:ascii="Book Antiqua" w:hAnsi="Book Antiqua"/>
          <w:b/>
        </w:rPr>
      </w:pPr>
      <w:r w:rsidRPr="007C0AA0">
        <w:rPr>
          <w:rFonts w:ascii="Book Antiqua" w:hAnsi="Book Antiqua"/>
          <w:b/>
        </w:rPr>
        <w:t>(b)Bystander effect</w:t>
      </w:r>
    </w:p>
    <w:p w14:paraId="74854722" w14:textId="77777777" w:rsidR="00F522D6" w:rsidRPr="00E3232D" w:rsidRDefault="00F522D6" w:rsidP="007C0AA0">
      <w:pPr>
        <w:jc w:val="both"/>
        <w:rPr>
          <w:rFonts w:ascii="Book Antiqua" w:hAnsi="Book Antiqua"/>
        </w:rPr>
      </w:pPr>
      <w:r w:rsidRPr="00E3232D">
        <w:rPr>
          <w:rFonts w:ascii="Book Antiqua" w:hAnsi="Book Antiqua"/>
        </w:rPr>
        <w:t>The bystander effect also applies here. The bystander effects states that the greater the number of bystanders who witness an event the less likely that any one of them will help. Bystanders assume that nothing is wrong in an emergency because no one else looks unconcerned. This is known as the Pluralistic ignorance.</w:t>
      </w:r>
    </w:p>
    <w:p w14:paraId="3806DBD6" w14:textId="77777777" w:rsidR="00F522D6" w:rsidRPr="007C0AA0" w:rsidRDefault="00F522D6" w:rsidP="007C0AA0">
      <w:pPr>
        <w:jc w:val="both"/>
        <w:rPr>
          <w:rFonts w:ascii="Book Antiqua" w:hAnsi="Book Antiqua"/>
          <w:b/>
        </w:rPr>
      </w:pPr>
      <w:r w:rsidRPr="007C0AA0">
        <w:rPr>
          <w:rFonts w:ascii="Book Antiqua" w:hAnsi="Book Antiqua"/>
          <w:b/>
        </w:rPr>
        <w:t>(c)Mood</w:t>
      </w:r>
    </w:p>
    <w:p w14:paraId="7A2C7D93" w14:textId="77777777" w:rsidR="00F522D6" w:rsidRPr="00E3232D" w:rsidRDefault="00F522D6" w:rsidP="007C0AA0">
      <w:pPr>
        <w:jc w:val="both"/>
        <w:rPr>
          <w:rFonts w:ascii="Book Antiqua" w:hAnsi="Book Antiqua"/>
        </w:rPr>
      </w:pPr>
      <w:r w:rsidRPr="00E3232D">
        <w:rPr>
          <w:rFonts w:ascii="Book Antiqua" w:hAnsi="Book Antiqua"/>
        </w:rPr>
        <w:t>People in good mood are likely to help, because helping makes them feel good.</w:t>
      </w:r>
    </w:p>
    <w:p w14:paraId="17DA72A1" w14:textId="77777777" w:rsidR="002E23F4" w:rsidRPr="007C0AA0" w:rsidRDefault="00F522D6" w:rsidP="007C0AA0">
      <w:pPr>
        <w:jc w:val="both"/>
        <w:rPr>
          <w:rFonts w:ascii="Book Antiqua" w:hAnsi="Book Antiqua"/>
          <w:b/>
        </w:rPr>
      </w:pPr>
      <w:r w:rsidRPr="007C0AA0">
        <w:rPr>
          <w:rFonts w:ascii="Book Antiqua" w:hAnsi="Book Antiqua"/>
          <w:b/>
        </w:rPr>
        <w:t>(d) Competence</w:t>
      </w:r>
    </w:p>
    <w:p w14:paraId="326C58A4" w14:textId="77777777" w:rsidR="001765F6" w:rsidRPr="00E3232D" w:rsidRDefault="00F522D6" w:rsidP="007C0AA0">
      <w:pPr>
        <w:jc w:val="both"/>
        <w:rPr>
          <w:rFonts w:ascii="Book Antiqua" w:hAnsi="Book Antiqua"/>
          <w:bCs/>
        </w:rPr>
      </w:pPr>
      <w:r w:rsidRPr="00E3232D">
        <w:rPr>
          <w:rFonts w:ascii="Book Antiqua" w:hAnsi="Book Antiqua"/>
          <w:bCs/>
        </w:rPr>
        <w:t>People with abilities or training relevant to situation in which help is required are more likely to help. Relevant training makes help more likely to be offered and more likely to be effective.</w:t>
      </w:r>
    </w:p>
    <w:p w14:paraId="0191505E" w14:textId="77777777" w:rsidR="00F522D6" w:rsidRPr="007C0AA0" w:rsidRDefault="00F522D6" w:rsidP="007C0AA0">
      <w:pPr>
        <w:jc w:val="both"/>
        <w:rPr>
          <w:rFonts w:ascii="Book Antiqua" w:hAnsi="Book Antiqua"/>
          <w:b/>
          <w:bCs/>
        </w:rPr>
      </w:pPr>
      <w:r w:rsidRPr="007C0AA0">
        <w:rPr>
          <w:rFonts w:ascii="Book Antiqua" w:hAnsi="Book Antiqua"/>
          <w:b/>
        </w:rPr>
        <w:t>1.4.3</w:t>
      </w:r>
      <w:r w:rsidR="00AE5C45" w:rsidRPr="007C0AA0">
        <w:rPr>
          <w:rFonts w:ascii="Book Antiqua" w:hAnsi="Book Antiqua"/>
          <w:b/>
        </w:rPr>
        <w:t xml:space="preserve"> </w:t>
      </w:r>
      <w:r w:rsidRPr="007C0AA0">
        <w:rPr>
          <w:rFonts w:ascii="Book Antiqua" w:hAnsi="Book Antiqua"/>
          <w:b/>
        </w:rPr>
        <w:t>Psychological Factors</w:t>
      </w:r>
    </w:p>
    <w:p w14:paraId="3EC4CFE2" w14:textId="77777777" w:rsidR="002E23F4" w:rsidRPr="002319C6" w:rsidRDefault="00F522D6" w:rsidP="007C0AA0">
      <w:pPr>
        <w:jc w:val="both"/>
        <w:rPr>
          <w:rFonts w:ascii="Book Antiqua" w:hAnsi="Book Antiqua"/>
          <w:bCs/>
        </w:rPr>
      </w:pPr>
      <w:r w:rsidRPr="00E3232D">
        <w:rPr>
          <w:rFonts w:ascii="Book Antiqua" w:hAnsi="Book Antiqua"/>
        </w:rPr>
        <w:t>(a) Intrinsic, extrinsic and reputational motivation</w:t>
      </w:r>
    </w:p>
    <w:p w14:paraId="1F67F19D" w14:textId="77777777" w:rsidR="00F522D6" w:rsidRPr="00E3232D" w:rsidRDefault="00F522D6" w:rsidP="007C0AA0">
      <w:pPr>
        <w:autoSpaceDE w:val="0"/>
        <w:autoSpaceDN w:val="0"/>
        <w:adjustRightInd w:val="0"/>
        <w:jc w:val="both"/>
        <w:rPr>
          <w:rFonts w:ascii="Book Antiqua" w:hAnsi="Book Antiqua"/>
        </w:rPr>
      </w:pPr>
      <w:r w:rsidRPr="00E3232D">
        <w:rPr>
          <w:rFonts w:ascii="Book Antiqua" w:hAnsi="Book Antiqua"/>
        </w:rPr>
        <w:t>Intrinsic motivation is defined as the inner good feeling of the individual associated with the pro social behavior act. This feeling is represented by the well being of others, such as altruism, according to</w:t>
      </w:r>
      <w:r>
        <w:rPr>
          <w:rFonts w:ascii="Book Antiqua" w:hAnsi="Book Antiqua"/>
        </w:rPr>
        <w:t xml:space="preserve"> </w:t>
      </w:r>
      <w:r w:rsidRPr="00E3232D">
        <w:rPr>
          <w:rFonts w:ascii="Book Antiqua" w:hAnsi="Book Antiqua"/>
        </w:rPr>
        <w:t>Benabou, Roland and Jean Tirole. (2003). Altruism is an example of intrinsic motivation. Extrinsic motivation represents any material reward, such as financial compensation or a tax reduction, that an individual may receive which encourages more giving. (Benabou, Roland and Jean Tirole. 2003).Finally, reputational motivation refers to the aspect of public recognition on the decision of the individual to make a donation. Whether individuals are interested in improving their social image in a community, whether they give expecting something in return, or whether they are ashamed to be perceived as selfish by others, studies emphasize the aspect of striving to signal traits that are deemed as “good" within a community on the decision of the individual to give.</w:t>
      </w:r>
    </w:p>
    <w:p w14:paraId="71ACD12D" w14:textId="77777777" w:rsidR="00F522D6" w:rsidRPr="007C0AA0" w:rsidRDefault="00F522D6" w:rsidP="007C0AA0">
      <w:pPr>
        <w:autoSpaceDE w:val="0"/>
        <w:autoSpaceDN w:val="0"/>
        <w:adjustRightInd w:val="0"/>
        <w:spacing w:before="100" w:beforeAutospacing="1"/>
        <w:jc w:val="both"/>
        <w:rPr>
          <w:rFonts w:ascii="Book Antiqua" w:hAnsi="Book Antiqua"/>
          <w:b/>
        </w:rPr>
      </w:pPr>
      <w:r w:rsidRPr="007C0AA0">
        <w:rPr>
          <w:rFonts w:ascii="Book Antiqua" w:hAnsi="Book Antiqua"/>
          <w:b/>
        </w:rPr>
        <w:t>(b) Role identity</w:t>
      </w:r>
    </w:p>
    <w:p w14:paraId="0DE18D95" w14:textId="77777777" w:rsidR="00F522D6" w:rsidRPr="00E3232D" w:rsidRDefault="00F522D6" w:rsidP="007C0AA0">
      <w:pPr>
        <w:autoSpaceDE w:val="0"/>
        <w:autoSpaceDN w:val="0"/>
        <w:adjustRightInd w:val="0"/>
        <w:jc w:val="both"/>
        <w:rPr>
          <w:rFonts w:ascii="Book Antiqua" w:hAnsi="Book Antiqua"/>
        </w:rPr>
      </w:pPr>
      <w:r w:rsidRPr="00E3232D">
        <w:rPr>
          <w:rFonts w:ascii="Book Antiqua" w:hAnsi="Book Antiqua"/>
        </w:rPr>
        <w:t>Bar-Tal (1992) defines the term role identity as a trademark of the individual. The individual will make charitable contributions only if this action sends the `right' message to his/her immediate network of friends. This action either represents her trademark image or improves her overall perception in the community. In the same way that individuals learn to be concerned with how others perceive them, they also learn to be concerned with the way they see themselves, according to Akerlof and Kranton</w:t>
      </w:r>
      <w:r w:rsidR="002E23F4">
        <w:rPr>
          <w:rFonts w:ascii="Book Antiqua" w:hAnsi="Book Antiqua"/>
        </w:rPr>
        <w:t xml:space="preserve"> </w:t>
      </w:r>
      <w:r w:rsidRPr="00E3232D">
        <w:rPr>
          <w:rFonts w:ascii="Book Antiqua" w:hAnsi="Book Antiqua"/>
        </w:rPr>
        <w:t>(2000).Bar-Tal (1992) introduced the concept of role identity into economic analysis and how it influences economic outcomes. According to him, identifying with an image, such as the image of a woman, affects the behavior of that person and thus her economic decisions. Also, identity is a new form of externality which imposes rules on both those who abide and those who do not abide by the definition or the requirements of that image. He goes on to say that an important aspect of this extension to the model is that the individual builds and invests in her social image only to create a trademark, an emblem that everyone else recognizes. The intuition for this is that the more visible the action, the more likely it is that more people will associate the donor with a characteristic of the action.</w:t>
      </w:r>
    </w:p>
    <w:p w14:paraId="210145B4" w14:textId="77777777" w:rsidR="00F074CC" w:rsidRDefault="00F074CC" w:rsidP="007C0AA0">
      <w:pPr>
        <w:autoSpaceDE w:val="0"/>
        <w:autoSpaceDN w:val="0"/>
        <w:adjustRightInd w:val="0"/>
        <w:spacing w:after="0"/>
        <w:jc w:val="both"/>
        <w:rPr>
          <w:rFonts w:ascii="Book Antiqua" w:hAnsi="Book Antiqua"/>
        </w:rPr>
      </w:pPr>
    </w:p>
    <w:p w14:paraId="48DBC330" w14:textId="77777777" w:rsidR="002E23F4" w:rsidRPr="007C0AA0" w:rsidRDefault="00F522D6" w:rsidP="007C0AA0">
      <w:pPr>
        <w:autoSpaceDE w:val="0"/>
        <w:autoSpaceDN w:val="0"/>
        <w:adjustRightInd w:val="0"/>
        <w:jc w:val="both"/>
        <w:rPr>
          <w:rFonts w:ascii="Book Antiqua" w:hAnsi="Book Antiqua"/>
          <w:b/>
        </w:rPr>
      </w:pPr>
      <w:r w:rsidRPr="007C0AA0">
        <w:rPr>
          <w:rFonts w:ascii="Book Antiqua" w:hAnsi="Book Antiqua"/>
          <w:b/>
        </w:rPr>
        <w:t>1.4.4. Gender Factors</w:t>
      </w:r>
    </w:p>
    <w:p w14:paraId="31DBD624" w14:textId="77777777" w:rsidR="002E23F4" w:rsidRDefault="00F522D6" w:rsidP="007C0AA0">
      <w:pPr>
        <w:autoSpaceDE w:val="0"/>
        <w:autoSpaceDN w:val="0"/>
        <w:adjustRightInd w:val="0"/>
        <w:jc w:val="both"/>
        <w:rPr>
          <w:rFonts w:ascii="Book Antiqua" w:hAnsi="Book Antiqua"/>
        </w:rPr>
      </w:pPr>
      <w:r w:rsidRPr="00E3232D">
        <w:rPr>
          <w:rFonts w:ascii="Book Antiqua" w:hAnsi="Book Antiqua"/>
        </w:rPr>
        <w:t>Gender is one of the most consistent correlates of pro-social behavior. Across many studies, girls and women have been found to be more pro-social than boys and men. For example, peers and teachers have been found to describe preschool-age, kindergarten-age, and elementary school-age girls as more pro-social than boys (Akerlof and Kranton, 2000).</w:t>
      </w:r>
    </w:p>
    <w:p w14:paraId="59B2E46A" w14:textId="77777777" w:rsidR="00F522D6" w:rsidRPr="00E3232D" w:rsidRDefault="00F522D6" w:rsidP="007C0AA0">
      <w:pPr>
        <w:jc w:val="both"/>
        <w:rPr>
          <w:rFonts w:ascii="Book Antiqua" w:hAnsi="Book Antiqua"/>
          <w:b/>
          <w:bCs/>
          <w:u w:val="single"/>
        </w:rPr>
      </w:pPr>
      <w:r w:rsidRPr="00E3232D">
        <w:rPr>
          <w:rFonts w:ascii="Book Antiqua" w:hAnsi="Book Antiqua"/>
        </w:rPr>
        <w:t>Eisenberg &amp;, Murphy (2008) conducted a meta-analysis of 16 studies</w:t>
      </w:r>
      <w:r w:rsidRPr="00E3232D">
        <w:rPr>
          <w:rFonts w:ascii="Book Antiqua" w:hAnsi="Book Antiqua"/>
          <w:bCs/>
        </w:rPr>
        <w:t>.</w:t>
      </w:r>
      <w:r w:rsidRPr="00E3232D">
        <w:rPr>
          <w:rFonts w:ascii="Book Antiqua" w:hAnsi="Book Antiqua"/>
        </w:rPr>
        <w:t xml:space="preserve"> The study found strong, consistent gender differences, with females showing greater empathy. Byrnes, Miller, and Schafer (1999) also found that females also typically feel greater guilt feelings than males, and they spend longer thinking about the incident that caused these feelings of guilt. A meta-analysis of 99 investigations found that men are more likely to intervene in an emergency. Sixty-two percent of the studies of a stimulated emergency showed that, males were more helpful.</w:t>
      </w:r>
    </w:p>
    <w:p w14:paraId="3EF19F55" w14:textId="77777777" w:rsidR="00F522D6" w:rsidRPr="002319C6" w:rsidRDefault="00F522D6" w:rsidP="007C0AA0">
      <w:pPr>
        <w:pStyle w:val="Default"/>
        <w:rPr>
          <w:rFonts w:ascii="Book Antiqua" w:hAnsi="Book Antiqua"/>
          <w:color w:val="auto"/>
          <w:sz w:val="22"/>
          <w:szCs w:val="22"/>
        </w:rPr>
      </w:pPr>
      <w:r w:rsidRPr="00E3232D">
        <w:rPr>
          <w:rFonts w:ascii="Book Antiqua" w:hAnsi="Book Antiqua"/>
          <w:color w:val="auto"/>
          <w:sz w:val="22"/>
          <w:szCs w:val="22"/>
        </w:rPr>
        <w:t>Females have more altruistic tendencies; however, males prefer to behave pro-socially more in public areas (Flynn, Slovic, and Mertz, 1994)</w:t>
      </w:r>
    </w:p>
    <w:p w14:paraId="567A5E23" w14:textId="77777777" w:rsidR="00F522D6" w:rsidRPr="00E3232D" w:rsidRDefault="00F522D6" w:rsidP="007C0AA0">
      <w:pPr>
        <w:autoSpaceDE w:val="0"/>
        <w:autoSpaceDN w:val="0"/>
        <w:adjustRightInd w:val="0"/>
        <w:jc w:val="both"/>
        <w:rPr>
          <w:rFonts w:ascii="Book Antiqua" w:hAnsi="Book Antiqua"/>
        </w:rPr>
      </w:pPr>
      <w:r w:rsidRPr="00E3232D">
        <w:rPr>
          <w:rFonts w:ascii="Book Antiqua" w:hAnsi="Book Antiqua"/>
        </w:rPr>
        <w:t>Flynn, Slovic, and Mertz (1994) in a , cross-cultural work has verified that gender differences in pro-social responding are not limited to only a few cultures and may develop with age. For example, Whiting et al (1988) found that helpfulness and support giving generally were greater for girls than boys across six different cultures, although these differences were significant for older but not younger children.</w:t>
      </w:r>
    </w:p>
    <w:p w14:paraId="2F7A51E3" w14:textId="77777777" w:rsidR="00F522D6" w:rsidRPr="00E3232D" w:rsidRDefault="00F522D6" w:rsidP="007C0AA0">
      <w:pPr>
        <w:jc w:val="both"/>
        <w:rPr>
          <w:rFonts w:ascii="Book Antiqua" w:hAnsi="Book Antiqua"/>
        </w:rPr>
      </w:pPr>
      <w:r w:rsidRPr="00E3232D">
        <w:rPr>
          <w:rFonts w:ascii="Book Antiqua" w:hAnsi="Book Antiqua"/>
        </w:rPr>
        <w:t>Esienberg (2006) has suggested that women display more empathy and guilt, and men are more likely to intervene in an emergency. According to Batson &amp; Powell, (2003) men have evolved a ‘fight or flight’ response to threatening situations, so they take a protective role. This is called nurturing versus heroic altruism. Also, men may behave heroically to fit in with male stereotypes that have been acquired through socialization. Whiting et al (1988) found that men may help because the cost of helping is low and the cost of not helping is high. They are expected to help in an emergency situation and may be negatively evaluated if they do not</w:t>
      </w:r>
    </w:p>
    <w:p w14:paraId="02A43DE5" w14:textId="77777777" w:rsidR="002E23F4" w:rsidRDefault="00F522D6" w:rsidP="007C0AA0">
      <w:pPr>
        <w:autoSpaceDE w:val="0"/>
        <w:autoSpaceDN w:val="0"/>
        <w:adjustRightInd w:val="0"/>
        <w:jc w:val="both"/>
        <w:rPr>
          <w:rFonts w:ascii="Book Antiqua" w:hAnsi="Book Antiqua"/>
        </w:rPr>
      </w:pPr>
      <w:r w:rsidRPr="00E3232D">
        <w:rPr>
          <w:rFonts w:ascii="Book Antiqua" w:hAnsi="Book Antiqua"/>
        </w:rPr>
        <w:t xml:space="preserve">A number of researchers have found gender differences for perceived risk (Flynn, Slovic and Mertz, 1994), and indeed, it has been argued that males are more likely to take risks than females (Byrnes, Miller and Schafer, 1999). In fact, Byrnes et al., (1999) found that males took more risks even when it was obviously a “bad idea to take risks” (p.378). In the context of perceived risk and Environmental issues, they also found females reported significantly higher perceived risk scores for a range of environmental hazards than males. Given these findings, it seems that the manner, in which people evaluate the risk associated with engaging in a positive social issue behavior, that is social issue exchange, may be related to some extent by their gender. </w:t>
      </w:r>
    </w:p>
    <w:p w14:paraId="71E73828" w14:textId="77777777" w:rsidR="00F522D6" w:rsidRPr="00E3232D" w:rsidRDefault="00F522D6" w:rsidP="007C0AA0">
      <w:pPr>
        <w:autoSpaceDE w:val="0"/>
        <w:autoSpaceDN w:val="0"/>
        <w:adjustRightInd w:val="0"/>
        <w:jc w:val="both"/>
        <w:rPr>
          <w:rFonts w:ascii="Book Antiqua" w:hAnsi="Book Antiqua"/>
        </w:rPr>
      </w:pPr>
      <w:r w:rsidRPr="00E3232D">
        <w:rPr>
          <w:rFonts w:ascii="Book Antiqua" w:hAnsi="Book Antiqua"/>
        </w:rPr>
        <w:t>Commonly held stereotypes and popular culture suggest that women have a greater capacity for understanding others’ thoughts and feelings than do men (Gilbert and Fiske, 2004). Also, empirical researchers have found that gender differences in empathy commonly indicate that women have higher levels than do men (Batson. &amp; Shaw, 1991).Further, research indicates the possibility that these differences may be the result of motivation rather than ability (Batson &amp; Powell, (2003)</w:t>
      </w:r>
    </w:p>
    <w:p w14:paraId="4E6238B0" w14:textId="77777777" w:rsidR="00F522D6" w:rsidRPr="00E3232D" w:rsidRDefault="00F522D6" w:rsidP="007C0AA0">
      <w:pPr>
        <w:autoSpaceDE w:val="0"/>
        <w:autoSpaceDN w:val="0"/>
        <w:adjustRightInd w:val="0"/>
        <w:spacing w:before="100" w:beforeAutospacing="1"/>
        <w:jc w:val="both"/>
        <w:rPr>
          <w:rFonts w:ascii="Book Antiqua" w:hAnsi="Book Antiqua"/>
          <w:b/>
        </w:rPr>
      </w:pPr>
      <w:r w:rsidRPr="00E3232D">
        <w:rPr>
          <w:rFonts w:ascii="Book Antiqua" w:hAnsi="Book Antiqua"/>
          <w:b/>
        </w:rPr>
        <w:t>2.</w:t>
      </w:r>
      <w:r w:rsidR="00B405C2">
        <w:rPr>
          <w:rFonts w:ascii="Book Antiqua" w:hAnsi="Book Antiqua"/>
          <w:b/>
        </w:rPr>
        <w:t>0</w:t>
      </w:r>
      <w:r w:rsidRPr="00E3232D">
        <w:rPr>
          <w:rFonts w:ascii="Book Antiqua" w:hAnsi="Book Antiqua"/>
          <w:b/>
        </w:rPr>
        <w:t xml:space="preserve"> </w:t>
      </w:r>
      <w:r w:rsidRPr="007C0AA0">
        <w:rPr>
          <w:rFonts w:ascii="Book Antiqua" w:hAnsi="Book Antiqua"/>
          <w:b/>
          <w:sz w:val="26"/>
        </w:rPr>
        <w:t>Results</w:t>
      </w:r>
    </w:p>
    <w:p w14:paraId="2925A6E8" w14:textId="77777777" w:rsidR="00651FCD" w:rsidRDefault="00F522D6" w:rsidP="008F4031">
      <w:pPr>
        <w:autoSpaceDE w:val="0"/>
        <w:autoSpaceDN w:val="0"/>
        <w:adjustRightInd w:val="0"/>
        <w:spacing w:before="100" w:beforeAutospacing="1"/>
        <w:jc w:val="both"/>
        <w:rPr>
          <w:rFonts w:ascii="Book Antiqua" w:hAnsi="Book Antiqua"/>
        </w:rPr>
      </w:pPr>
      <w:r w:rsidRPr="00E3232D">
        <w:rPr>
          <w:rFonts w:ascii="Book Antiqua" w:hAnsi="Book Antiqua"/>
        </w:rPr>
        <w:t>After reviewing the literature, I have customized the different views and come out with a Model fit for predicting the pro-social behavior of tertiary institution students of Ghana. A discussion of the model and its practical application follows immediately, under Discussion</w:t>
      </w:r>
      <w:r w:rsidR="008F4031">
        <w:rPr>
          <w:rFonts w:ascii="Book Antiqua" w:hAnsi="Book Antiqua"/>
        </w:rPr>
        <w:t>.</w:t>
      </w:r>
    </w:p>
    <w:p w14:paraId="2480EC7F" w14:textId="77777777" w:rsidR="008F4031" w:rsidRDefault="008F4031" w:rsidP="008F4031">
      <w:pPr>
        <w:autoSpaceDE w:val="0"/>
        <w:autoSpaceDN w:val="0"/>
        <w:adjustRightInd w:val="0"/>
        <w:spacing w:before="100" w:beforeAutospacing="1"/>
        <w:jc w:val="both"/>
        <w:rPr>
          <w:rFonts w:ascii="Book Antiqua" w:hAnsi="Book Antiqua"/>
        </w:rPr>
      </w:pPr>
    </w:p>
    <w:p w14:paraId="00FD924B" w14:textId="77777777" w:rsidR="008F4031" w:rsidRPr="008F4031" w:rsidRDefault="008F4031" w:rsidP="008F4031">
      <w:pPr>
        <w:autoSpaceDE w:val="0"/>
        <w:autoSpaceDN w:val="0"/>
        <w:adjustRightInd w:val="0"/>
        <w:spacing w:before="100" w:beforeAutospacing="1"/>
        <w:jc w:val="both"/>
        <w:rPr>
          <w:rFonts w:ascii="Book Antiqua" w:hAnsi="Book Antiqua"/>
          <w:b/>
        </w:rPr>
        <w:sectPr w:rsidR="008F4031" w:rsidRPr="008F4031" w:rsidSect="008F6BC9">
          <w:type w:val="continuous"/>
          <w:pgSz w:w="11907" w:h="16839" w:code="9"/>
          <w:pgMar w:top="1440" w:right="1827" w:bottom="1440" w:left="1440" w:header="720" w:footer="720" w:gutter="0"/>
          <w:cols w:num="2" w:space="720"/>
          <w:docGrid w:linePitch="360"/>
        </w:sectPr>
      </w:pPr>
    </w:p>
    <w:p w14:paraId="1AE1E5AB" w14:textId="77777777" w:rsidR="00902B83" w:rsidRPr="00E73780" w:rsidRDefault="00902B83" w:rsidP="007C0AA0">
      <w:pPr>
        <w:jc w:val="both"/>
        <w:rPr>
          <w:rFonts w:ascii="Book Antiqua" w:hAnsi="Book Antiqua"/>
        </w:rPr>
        <w:sectPr w:rsidR="00902B83" w:rsidRPr="00E73780" w:rsidSect="008F6BC9">
          <w:type w:val="continuous"/>
          <w:pgSz w:w="11907" w:h="16839" w:code="9"/>
          <w:pgMar w:top="1440" w:right="1827" w:bottom="1440" w:left="1440" w:header="720" w:footer="720" w:gutter="0"/>
          <w:cols w:space="720"/>
          <w:docGrid w:linePitch="360"/>
        </w:sectPr>
      </w:pPr>
    </w:p>
    <w:p w14:paraId="6734A138" w14:textId="77777777" w:rsidR="002319C6" w:rsidRDefault="002319C6" w:rsidP="007C0AA0">
      <w:pPr>
        <w:autoSpaceDE w:val="0"/>
        <w:autoSpaceDN w:val="0"/>
        <w:adjustRightInd w:val="0"/>
        <w:spacing w:before="100" w:beforeAutospacing="1"/>
        <w:jc w:val="both"/>
        <w:rPr>
          <w:rFonts w:ascii="Book Antiqua" w:hAnsi="Book Antiqua"/>
          <w:b/>
        </w:rPr>
      </w:pPr>
    </w:p>
    <w:p w14:paraId="6919CD5A" w14:textId="77777777" w:rsidR="002319C6" w:rsidRDefault="002319C6" w:rsidP="007C0AA0">
      <w:pPr>
        <w:autoSpaceDE w:val="0"/>
        <w:autoSpaceDN w:val="0"/>
        <w:adjustRightInd w:val="0"/>
        <w:spacing w:before="100" w:beforeAutospacing="1"/>
        <w:jc w:val="both"/>
        <w:rPr>
          <w:rFonts w:ascii="Book Antiqua" w:hAnsi="Book Antiqua"/>
          <w:b/>
        </w:rPr>
      </w:pPr>
    </w:p>
    <w:p w14:paraId="1DE7DC59" w14:textId="77777777" w:rsidR="002319C6" w:rsidRDefault="002319C6" w:rsidP="008275E1">
      <w:pPr>
        <w:autoSpaceDE w:val="0"/>
        <w:autoSpaceDN w:val="0"/>
        <w:adjustRightInd w:val="0"/>
        <w:spacing w:before="100" w:beforeAutospacing="1"/>
        <w:rPr>
          <w:rFonts w:ascii="Book Antiqua" w:hAnsi="Book Antiqua"/>
          <w:b/>
        </w:rPr>
      </w:pPr>
    </w:p>
    <w:p w14:paraId="62FD1653" w14:textId="77777777" w:rsidR="00B405C2" w:rsidRDefault="00B405C2" w:rsidP="008275E1">
      <w:pPr>
        <w:autoSpaceDE w:val="0"/>
        <w:autoSpaceDN w:val="0"/>
        <w:adjustRightInd w:val="0"/>
        <w:spacing w:before="100" w:beforeAutospacing="1"/>
        <w:rPr>
          <w:rFonts w:ascii="Book Antiqua" w:hAnsi="Book Antiqua"/>
          <w:b/>
        </w:rPr>
      </w:pPr>
    </w:p>
    <w:p w14:paraId="224E5FBF" w14:textId="77777777" w:rsidR="00B405C2" w:rsidRDefault="00B405C2" w:rsidP="008275E1">
      <w:pPr>
        <w:autoSpaceDE w:val="0"/>
        <w:autoSpaceDN w:val="0"/>
        <w:adjustRightInd w:val="0"/>
        <w:spacing w:before="100" w:beforeAutospacing="1"/>
        <w:rPr>
          <w:rFonts w:ascii="Book Antiqua" w:hAnsi="Book Antiqua"/>
          <w:b/>
        </w:rPr>
      </w:pPr>
    </w:p>
    <w:p w14:paraId="33BBE3F3" w14:textId="77777777" w:rsidR="002319C6" w:rsidRDefault="002319C6" w:rsidP="008275E1">
      <w:pPr>
        <w:autoSpaceDE w:val="0"/>
        <w:autoSpaceDN w:val="0"/>
        <w:adjustRightInd w:val="0"/>
        <w:spacing w:before="100" w:beforeAutospacing="1"/>
        <w:rPr>
          <w:rFonts w:ascii="Book Antiqua" w:hAnsi="Book Antiqua"/>
          <w:b/>
        </w:rPr>
      </w:pPr>
    </w:p>
    <w:p w14:paraId="4A24B8A5" w14:textId="77777777" w:rsidR="009B5D4D" w:rsidRPr="00E3232D" w:rsidRDefault="00D84443" w:rsidP="008275E1">
      <w:pPr>
        <w:autoSpaceDE w:val="0"/>
        <w:autoSpaceDN w:val="0"/>
        <w:adjustRightInd w:val="0"/>
        <w:spacing w:before="100" w:beforeAutospacing="1"/>
        <w:rPr>
          <w:rFonts w:ascii="Book Antiqua" w:hAnsi="Book Antiqua"/>
          <w:b/>
        </w:rPr>
      </w:pPr>
      <w:r w:rsidRPr="00E3232D">
        <w:rPr>
          <w:rFonts w:ascii="Book Antiqua" w:hAnsi="Book Antiqua"/>
          <w:b/>
        </w:rPr>
        <w:t>Figure 1: Predictor Model of Pro-social behavior of students for Tertiary institutions</w:t>
      </w:r>
    </w:p>
    <w:p w14:paraId="7DCC63D6" w14:textId="77777777" w:rsidR="00D84443" w:rsidRDefault="00850DC5" w:rsidP="008275E1">
      <w:pPr>
        <w:autoSpaceDE w:val="0"/>
        <w:autoSpaceDN w:val="0"/>
        <w:adjustRightInd w:val="0"/>
        <w:spacing w:before="100" w:beforeAutospacing="1"/>
        <w:rPr>
          <w:rFonts w:ascii="Book Antiqua" w:hAnsi="Book Antiqua"/>
          <w:b/>
        </w:rPr>
      </w:pPr>
      <w:r>
        <w:rPr>
          <w:rFonts w:ascii="Book Antiqua" w:hAnsi="Book Antiqua"/>
          <w:b/>
          <w:noProof/>
        </w:rPr>
        <w:pict w14:anchorId="1EE0D42A">
          <v:shape id="_x0000_s1230" type="#_x0000_t32" style="position:absolute;margin-left:-5.05pt;margin-top:25pt;width:158.25pt;height:0;z-index:251481600" o:connectortype="straight"/>
        </w:pict>
      </w:r>
      <w:r w:rsidR="00D84443" w:rsidRPr="00E3232D">
        <w:rPr>
          <w:rFonts w:ascii="Book Antiqua" w:hAnsi="Book Antiqua"/>
          <w:b/>
        </w:rPr>
        <w:t>In Ghana</w:t>
      </w:r>
    </w:p>
    <w:p w14:paraId="251EF70A" w14:textId="77777777" w:rsidR="00123EAA" w:rsidRPr="00E3232D" w:rsidRDefault="00123EAA" w:rsidP="008275E1">
      <w:pPr>
        <w:autoSpaceDE w:val="0"/>
        <w:autoSpaceDN w:val="0"/>
        <w:adjustRightInd w:val="0"/>
        <w:spacing w:before="100" w:beforeAutospacing="1"/>
        <w:rPr>
          <w:rFonts w:ascii="Book Antiqua" w:hAnsi="Book Antiqua"/>
          <w:b/>
        </w:rPr>
      </w:pPr>
    </w:p>
    <w:p w14:paraId="2FF7FC7F" w14:textId="77777777" w:rsidR="00D84443" w:rsidRPr="00E3232D" w:rsidRDefault="00850DC5" w:rsidP="008275E1">
      <w:pPr>
        <w:autoSpaceDE w:val="0"/>
        <w:autoSpaceDN w:val="0"/>
        <w:adjustRightInd w:val="0"/>
        <w:spacing w:before="100" w:beforeAutospacing="1"/>
        <w:rPr>
          <w:rFonts w:ascii="Book Antiqua" w:hAnsi="Book Antiqua"/>
          <w:b/>
        </w:rPr>
      </w:pPr>
      <w:r>
        <w:rPr>
          <w:rFonts w:ascii="Book Antiqua" w:hAnsi="Book Antiqua"/>
          <w:b/>
          <w:noProof/>
        </w:rPr>
        <w:pict w14:anchorId="3238244D">
          <v:shape id="_x0000_s1242" type="#_x0000_t32" style="position:absolute;margin-left:60.2pt;margin-top:17.65pt;width:75.75pt;height:59.45pt;z-index:251493888" o:connectortype="straight">
            <v:stroke endarrow="block"/>
          </v:shape>
        </w:pict>
      </w:r>
      <w:r>
        <w:rPr>
          <w:rFonts w:ascii="Book Antiqua" w:hAnsi="Book Antiqua"/>
          <w:b/>
          <w:noProof/>
        </w:rPr>
        <w:pict w14:anchorId="2ED57E08">
          <v:rect id="_x0000_s1231" style="position:absolute;margin-left:.2pt;margin-top:1.35pt;width:58.5pt;height:48.75pt;z-index:251482624">
            <v:textbox style="mso-next-textbox:#_x0000_s1231">
              <w:txbxContent>
                <w:p w14:paraId="5A6B314E" w14:textId="77777777" w:rsidR="00E2396E" w:rsidRDefault="00E2396E" w:rsidP="00D84443">
                  <w:r>
                    <w:t>Cultural</w:t>
                  </w:r>
                </w:p>
                <w:p w14:paraId="5D4F6197" w14:textId="77777777" w:rsidR="00E2396E" w:rsidRDefault="00E2396E" w:rsidP="00D84443">
                  <w:r>
                    <w:t>factors</w:t>
                  </w:r>
                </w:p>
              </w:txbxContent>
            </v:textbox>
          </v:rect>
        </w:pict>
      </w:r>
    </w:p>
    <w:p w14:paraId="579E6103" w14:textId="77777777" w:rsidR="00D84443" w:rsidRPr="00E3232D" w:rsidRDefault="00850DC5" w:rsidP="008275E1">
      <w:pPr>
        <w:autoSpaceDE w:val="0"/>
        <w:autoSpaceDN w:val="0"/>
        <w:adjustRightInd w:val="0"/>
        <w:spacing w:before="100" w:beforeAutospacing="1"/>
        <w:rPr>
          <w:rFonts w:ascii="Book Antiqua" w:hAnsi="Book Antiqua"/>
        </w:rPr>
      </w:pPr>
      <w:r>
        <w:rPr>
          <w:rFonts w:ascii="Book Antiqua" w:hAnsi="Book Antiqua"/>
          <w:b/>
          <w:noProof/>
        </w:rPr>
        <w:pict w14:anchorId="4F50CD80">
          <v:shape id="_x0000_s1243" type="#_x0000_t32" style="position:absolute;margin-left:60.2pt;margin-top:2.1pt;width:73.5pt;height:128.25pt;z-index:251494912" o:connectortype="straight">
            <v:stroke endarrow="block"/>
          </v:shape>
        </w:pict>
      </w:r>
      <w:r>
        <w:rPr>
          <w:rFonts w:ascii="Book Antiqua" w:hAnsi="Book Antiqua"/>
          <w:b/>
          <w:noProof/>
        </w:rPr>
        <w:pict w14:anchorId="69E8841C">
          <v:rect id="_x0000_s1235" style="position:absolute;margin-left:135.95pt;margin-top:20.85pt;width:75.55pt;height:48.75pt;z-index:251486720">
            <v:textbox style="mso-next-textbox:#_x0000_s1235">
              <w:txbxContent>
                <w:p w14:paraId="784AB701" w14:textId="77777777" w:rsidR="00E2396E" w:rsidRDefault="00E2396E" w:rsidP="00D84443">
                  <w:r>
                    <w:t>Empathy</w:t>
                  </w:r>
                </w:p>
              </w:txbxContent>
            </v:textbox>
          </v:rect>
        </w:pict>
      </w:r>
    </w:p>
    <w:p w14:paraId="71FC97DD" w14:textId="77777777" w:rsidR="00D84443" w:rsidRPr="00E3232D" w:rsidRDefault="00850DC5" w:rsidP="008275E1">
      <w:pPr>
        <w:autoSpaceDE w:val="0"/>
        <w:autoSpaceDN w:val="0"/>
        <w:adjustRightInd w:val="0"/>
        <w:spacing w:before="100" w:beforeAutospacing="1"/>
        <w:rPr>
          <w:rFonts w:ascii="Book Antiqua" w:hAnsi="Book Antiqua"/>
        </w:rPr>
      </w:pPr>
      <w:r>
        <w:rPr>
          <w:rFonts w:ascii="Book Antiqua" w:hAnsi="Book Antiqua"/>
          <w:b/>
          <w:noProof/>
        </w:rPr>
        <w:pict w14:anchorId="1821137F">
          <v:shape id="_x0000_s1245" type="#_x0000_t32" style="position:absolute;margin-left:60.2pt;margin-top:27.65pt;width:68.8pt;height:73pt;z-index:251496960" o:connectortype="straight">
            <v:stroke endarrow="block"/>
          </v:shape>
        </w:pict>
      </w:r>
      <w:r>
        <w:rPr>
          <w:rFonts w:ascii="Book Antiqua" w:hAnsi="Book Antiqua"/>
          <w:b/>
          <w:noProof/>
        </w:rPr>
        <w:pict w14:anchorId="47F5A323">
          <v:shape id="_x0000_s1246" type="#_x0000_t32" style="position:absolute;margin-left:60.95pt;margin-top:18.15pt;width:1in;height:82.5pt;flip:y;z-index:251497984" o:connectortype="straight">
            <v:stroke endarrow="block"/>
          </v:shape>
        </w:pict>
      </w:r>
      <w:r>
        <w:rPr>
          <w:rFonts w:ascii="Book Antiqua" w:hAnsi="Book Antiqua"/>
          <w:b/>
          <w:noProof/>
        </w:rPr>
        <w:pict w14:anchorId="358051CD">
          <v:shape id="_x0000_s1249" type="#_x0000_t32" style="position:absolute;margin-left:57.95pt;margin-top:18.15pt;width:78pt;height:132pt;flip:y;z-index:251501056" o:connectortype="straight">
            <v:stroke endarrow="block"/>
          </v:shape>
        </w:pict>
      </w:r>
      <w:r>
        <w:rPr>
          <w:rFonts w:ascii="Book Antiqua" w:hAnsi="Book Antiqua"/>
          <w:b/>
          <w:noProof/>
        </w:rPr>
        <w:pict w14:anchorId="16CF0861">
          <v:shape id="_x0000_s1244" type="#_x0000_t32" style="position:absolute;margin-left:60.2pt;margin-top:17.15pt;width:73.5pt;height:22.75pt;flip:y;z-index:251495936" o:connectortype="straight">
            <v:stroke endarrow="block"/>
          </v:shape>
        </w:pict>
      </w:r>
      <w:r>
        <w:rPr>
          <w:rFonts w:ascii="Book Antiqua" w:hAnsi="Book Antiqua"/>
          <w:b/>
          <w:noProof/>
        </w:rPr>
        <w:pict w14:anchorId="1F814217">
          <v:shape id="_x0000_s1239" type="#_x0000_t32" style="position:absolute;margin-left:212.45pt;margin-top:11.4pt;width:63.75pt;height:40.25pt;z-index:251490816" o:connectortype="straight">
            <v:stroke endarrow="block"/>
          </v:shape>
        </w:pict>
      </w:r>
      <w:r>
        <w:rPr>
          <w:rFonts w:ascii="Book Antiqua" w:hAnsi="Book Antiqua"/>
          <w:b/>
          <w:noProof/>
        </w:rPr>
        <w:pict w14:anchorId="3CD11F75">
          <v:rect id="_x0000_s1237" style="position:absolute;margin-left:275.45pt;margin-top:17.15pt;width:99.55pt;height:107.25pt;z-index:251488768">
            <v:textbox style="mso-next-textbox:#_x0000_s1237">
              <w:txbxContent>
                <w:p w14:paraId="07A285CE" w14:textId="77777777" w:rsidR="00E2396E" w:rsidRPr="00A01220" w:rsidRDefault="00E2396E" w:rsidP="00D84443">
                  <w:pPr>
                    <w:rPr>
                      <w:sz w:val="20"/>
                      <w:szCs w:val="20"/>
                    </w:rPr>
                  </w:pPr>
                  <w:r w:rsidRPr="00A01220">
                    <w:rPr>
                      <w:sz w:val="20"/>
                      <w:szCs w:val="20"/>
                    </w:rPr>
                    <w:t>Presocial  behavio</w:t>
                  </w:r>
                  <w:r>
                    <w:rPr>
                      <w:sz w:val="20"/>
                      <w:szCs w:val="20"/>
                    </w:rPr>
                    <w:t>u</w:t>
                  </w:r>
                  <w:r w:rsidRPr="00A01220">
                    <w:rPr>
                      <w:sz w:val="20"/>
                      <w:szCs w:val="20"/>
                    </w:rPr>
                    <w:t>r</w:t>
                  </w:r>
                </w:p>
                <w:p w14:paraId="00F3E989" w14:textId="77777777" w:rsidR="00E2396E" w:rsidRDefault="00E2396E" w:rsidP="00196385">
                  <w:pPr>
                    <w:pStyle w:val="ListParagraph"/>
                    <w:numPr>
                      <w:ilvl w:val="0"/>
                      <w:numId w:val="76"/>
                    </w:numPr>
                    <w:rPr>
                      <w:sz w:val="20"/>
                      <w:szCs w:val="20"/>
                    </w:rPr>
                  </w:pPr>
                  <w:r w:rsidRPr="00A01220">
                    <w:rPr>
                      <w:sz w:val="20"/>
                      <w:szCs w:val="20"/>
                    </w:rPr>
                    <w:t>Altrui</w:t>
                  </w:r>
                  <w:r>
                    <w:rPr>
                      <w:sz w:val="20"/>
                      <w:szCs w:val="20"/>
                    </w:rPr>
                    <w:t>s</w:t>
                  </w:r>
                  <w:r w:rsidRPr="00A01220">
                    <w:rPr>
                      <w:sz w:val="20"/>
                      <w:szCs w:val="20"/>
                    </w:rPr>
                    <w:t>m</w:t>
                  </w:r>
                </w:p>
                <w:p w14:paraId="2852DB01" w14:textId="77777777" w:rsidR="00E2396E" w:rsidRPr="00A01220" w:rsidRDefault="00E2396E" w:rsidP="00196385">
                  <w:pPr>
                    <w:pStyle w:val="ListParagraph"/>
                    <w:numPr>
                      <w:ilvl w:val="0"/>
                      <w:numId w:val="76"/>
                    </w:numPr>
                    <w:rPr>
                      <w:sz w:val="20"/>
                      <w:szCs w:val="20"/>
                    </w:rPr>
                  </w:pPr>
                  <w:r>
                    <w:rPr>
                      <w:sz w:val="20"/>
                      <w:szCs w:val="20"/>
                    </w:rPr>
                    <w:t>Public</w:t>
                  </w:r>
                </w:p>
                <w:p w14:paraId="0DA86B9E" w14:textId="77777777" w:rsidR="00E2396E" w:rsidRDefault="00E2396E" w:rsidP="00D84443"/>
              </w:txbxContent>
            </v:textbox>
            <w10:wrap type="square"/>
          </v:rect>
        </w:pict>
      </w:r>
      <w:r>
        <w:rPr>
          <w:rFonts w:ascii="Book Antiqua" w:hAnsi="Book Antiqua"/>
          <w:b/>
          <w:noProof/>
        </w:rPr>
        <w:pict w14:anchorId="3DB0A0B3">
          <v:rect id="_x0000_s1232" style="position:absolute;margin-left:2.45pt;margin-top:3.65pt;width:58.5pt;height:48.75pt;z-index:251483648">
            <v:textbox style="mso-next-textbox:#_x0000_s1232">
              <w:txbxContent>
                <w:p w14:paraId="41C522C9" w14:textId="77777777" w:rsidR="00E2396E" w:rsidRDefault="00E2396E" w:rsidP="00D84443">
                  <w:r>
                    <w:t>Situational factors</w:t>
                  </w:r>
                </w:p>
              </w:txbxContent>
            </v:textbox>
          </v:rect>
        </w:pict>
      </w:r>
    </w:p>
    <w:p w14:paraId="025AE915" w14:textId="77777777" w:rsidR="00D84443" w:rsidRPr="00E3232D" w:rsidRDefault="00850DC5" w:rsidP="008275E1">
      <w:pPr>
        <w:autoSpaceDE w:val="0"/>
        <w:autoSpaceDN w:val="0"/>
        <w:adjustRightInd w:val="0"/>
        <w:spacing w:before="100" w:beforeAutospacing="1"/>
        <w:rPr>
          <w:rFonts w:ascii="Book Antiqua" w:hAnsi="Book Antiqua"/>
        </w:rPr>
      </w:pPr>
      <w:r>
        <w:rPr>
          <w:rFonts w:ascii="Book Antiqua" w:hAnsi="Book Antiqua"/>
          <w:b/>
          <w:noProof/>
        </w:rPr>
        <w:pict w14:anchorId="3C11BAA9">
          <v:shape id="_x0000_s1240" type="#_x0000_t32" style="position:absolute;margin-left:154.55pt;margin-top:8.4pt;width:.05pt;height:39.25pt;flip:y;z-index:251491840" o:connectortype="straight">
            <v:stroke endarrow="block"/>
          </v:shape>
        </w:pict>
      </w:r>
      <w:r>
        <w:rPr>
          <w:rFonts w:ascii="Book Antiqua" w:hAnsi="Book Antiqua"/>
          <w:b/>
          <w:noProof/>
        </w:rPr>
        <w:pict w14:anchorId="0F32B1C0">
          <v:shape id="_x0000_s1241" type="#_x0000_t32" style="position:absolute;margin-left:191.3pt;margin-top:9.15pt;width:0;height:39.95pt;z-index:251492864" o:connectortype="straight">
            <v:stroke endarrow="block"/>
          </v:shape>
        </w:pict>
      </w:r>
    </w:p>
    <w:p w14:paraId="74AC7E67" w14:textId="77777777" w:rsidR="00D84443" w:rsidRPr="00E3232D" w:rsidRDefault="00850DC5" w:rsidP="008275E1">
      <w:pPr>
        <w:autoSpaceDE w:val="0"/>
        <w:autoSpaceDN w:val="0"/>
        <w:adjustRightInd w:val="0"/>
        <w:spacing w:before="100" w:beforeAutospacing="1"/>
        <w:rPr>
          <w:rFonts w:ascii="Book Antiqua" w:hAnsi="Book Antiqua"/>
        </w:rPr>
      </w:pPr>
      <w:r>
        <w:rPr>
          <w:rFonts w:ascii="Book Antiqua" w:hAnsi="Book Antiqua"/>
          <w:b/>
          <w:noProof/>
        </w:rPr>
        <w:pict w14:anchorId="26D9C9C0">
          <v:shape id="_x0000_s1247" type="#_x0000_t32" style="position:absolute;margin-left:60.95pt;margin-top:29pt;width:1in;height:13.45pt;z-index:251499008" o:connectortype="straight">
            <v:stroke endarrow="block"/>
          </v:shape>
        </w:pict>
      </w:r>
      <w:r>
        <w:rPr>
          <w:rFonts w:ascii="Book Antiqua" w:hAnsi="Book Antiqua"/>
          <w:b/>
          <w:noProof/>
        </w:rPr>
        <w:pict w14:anchorId="0C1D8AAB">
          <v:rect id="_x0000_s1236" style="position:absolute;margin-left:132.95pt;margin-top:18.7pt;width:80.25pt;height:48.75pt;z-index:251487744">
            <v:textbox style="mso-next-textbox:#_x0000_s1236">
              <w:txbxContent>
                <w:p w14:paraId="66E19F0A" w14:textId="77777777" w:rsidR="00E2396E" w:rsidRDefault="00E2396E" w:rsidP="00D84443">
                  <w:r>
                    <w:t>Volunteerism</w:t>
                  </w:r>
                </w:p>
              </w:txbxContent>
            </v:textbox>
          </v:rect>
        </w:pict>
      </w:r>
      <w:r>
        <w:rPr>
          <w:rFonts w:ascii="Book Antiqua" w:hAnsi="Book Antiqua"/>
          <w:b/>
          <w:noProof/>
        </w:rPr>
        <w:pict w14:anchorId="645D7346">
          <v:shape id="_x0000_s1238" type="#_x0000_t32" style="position:absolute;margin-left:213.95pt;margin-top:10.25pt;width:63.75pt;height:18.75pt;flip:y;z-index:251489792" o:connectortype="straight">
            <v:stroke endarrow="block"/>
          </v:shape>
        </w:pict>
      </w:r>
      <w:r>
        <w:rPr>
          <w:rFonts w:ascii="Book Antiqua" w:hAnsi="Book Antiqua"/>
          <w:b/>
          <w:noProof/>
        </w:rPr>
        <w:pict w14:anchorId="701C2443">
          <v:rect id="_x0000_s1233" style="position:absolute;margin-left:2.45pt;margin-top:4.35pt;width:58.5pt;height:48.75pt;z-index:251484672">
            <v:textbox style="mso-next-textbox:#_x0000_s1233">
              <w:txbxContent>
                <w:p w14:paraId="0C9B0E0B" w14:textId="77777777" w:rsidR="00E2396E" w:rsidRDefault="00E2396E" w:rsidP="00D84443">
                  <w:r>
                    <w:t>Psychological factors</w:t>
                  </w:r>
                </w:p>
              </w:txbxContent>
            </v:textbox>
          </v:rect>
        </w:pict>
      </w:r>
    </w:p>
    <w:p w14:paraId="187A22F8" w14:textId="77777777" w:rsidR="00D84443" w:rsidRPr="00E3232D" w:rsidRDefault="00850DC5" w:rsidP="008275E1">
      <w:pPr>
        <w:autoSpaceDE w:val="0"/>
        <w:autoSpaceDN w:val="0"/>
        <w:adjustRightInd w:val="0"/>
        <w:spacing w:before="100" w:beforeAutospacing="1"/>
        <w:rPr>
          <w:rFonts w:ascii="Book Antiqua" w:hAnsi="Book Antiqua"/>
        </w:rPr>
      </w:pPr>
      <w:r>
        <w:rPr>
          <w:rFonts w:ascii="Book Antiqua" w:hAnsi="Book Antiqua"/>
          <w:b/>
          <w:noProof/>
        </w:rPr>
        <w:pict w14:anchorId="02A80465">
          <v:shape id="_x0000_s1248" type="#_x0000_t32" style="position:absolute;margin-left:60.95pt;margin-top:16.45pt;width:1in;height:50.3pt;flip:y;z-index:251500032" o:connectortype="straight">
            <v:stroke endarrow="block"/>
          </v:shape>
        </w:pict>
      </w:r>
    </w:p>
    <w:p w14:paraId="209C3DB7" w14:textId="77777777" w:rsidR="00D84443" w:rsidRPr="00E3232D" w:rsidRDefault="00850DC5" w:rsidP="008275E1">
      <w:pPr>
        <w:autoSpaceDE w:val="0"/>
        <w:autoSpaceDN w:val="0"/>
        <w:adjustRightInd w:val="0"/>
        <w:spacing w:before="100" w:beforeAutospacing="1"/>
        <w:rPr>
          <w:rFonts w:ascii="Book Antiqua" w:hAnsi="Book Antiqua"/>
        </w:rPr>
      </w:pPr>
      <w:r>
        <w:rPr>
          <w:rFonts w:ascii="Book Antiqua" w:hAnsi="Book Antiqua"/>
          <w:b/>
          <w:noProof/>
        </w:rPr>
        <w:pict w14:anchorId="02BD5975">
          <v:rect id="_x0000_s1234" style="position:absolute;margin-left:1.7pt;margin-top:5.5pt;width:58.5pt;height:48.75pt;z-index:251485696">
            <v:textbox style="mso-next-textbox:#_x0000_s1234">
              <w:txbxContent>
                <w:p w14:paraId="63D2AD47" w14:textId="77777777" w:rsidR="00E2396E" w:rsidRDefault="00E2396E" w:rsidP="00D84443">
                  <w:r>
                    <w:t>Gender</w:t>
                  </w:r>
                </w:p>
                <w:p w14:paraId="244E7A73" w14:textId="77777777" w:rsidR="00E2396E" w:rsidRDefault="00E2396E" w:rsidP="00D84443">
                  <w:r>
                    <w:t>factors</w:t>
                  </w:r>
                </w:p>
              </w:txbxContent>
            </v:textbox>
          </v:rect>
        </w:pict>
      </w:r>
    </w:p>
    <w:p w14:paraId="24F8631C" w14:textId="77777777" w:rsidR="00C04220" w:rsidRDefault="00C04220" w:rsidP="008275E1">
      <w:pPr>
        <w:autoSpaceDE w:val="0"/>
        <w:autoSpaceDN w:val="0"/>
        <w:adjustRightInd w:val="0"/>
        <w:spacing w:before="100" w:beforeAutospacing="1"/>
        <w:rPr>
          <w:rFonts w:ascii="Book Antiqua" w:hAnsi="Book Antiqua"/>
        </w:rPr>
      </w:pPr>
    </w:p>
    <w:p w14:paraId="67FEE38A" w14:textId="77777777" w:rsidR="00D84443" w:rsidRPr="00E3232D" w:rsidRDefault="00D84443" w:rsidP="008275E1">
      <w:pPr>
        <w:autoSpaceDE w:val="0"/>
        <w:autoSpaceDN w:val="0"/>
        <w:adjustRightInd w:val="0"/>
        <w:spacing w:before="100" w:beforeAutospacing="1"/>
        <w:rPr>
          <w:rFonts w:ascii="Book Antiqua" w:hAnsi="Book Antiqua"/>
        </w:rPr>
      </w:pPr>
      <w:r w:rsidRPr="00E3232D">
        <w:rPr>
          <w:rFonts w:ascii="Book Antiqua" w:hAnsi="Book Antiqua"/>
        </w:rPr>
        <w:t>Source: Author (2013)</w:t>
      </w:r>
    </w:p>
    <w:p w14:paraId="386C1214" w14:textId="77777777" w:rsidR="00346697" w:rsidRDefault="00346697" w:rsidP="008275E1">
      <w:pPr>
        <w:autoSpaceDE w:val="0"/>
        <w:autoSpaceDN w:val="0"/>
        <w:adjustRightInd w:val="0"/>
        <w:spacing w:before="100" w:beforeAutospacing="1"/>
        <w:rPr>
          <w:rFonts w:ascii="Book Antiqua" w:hAnsi="Book Antiqua"/>
          <w:b/>
        </w:rPr>
        <w:sectPr w:rsidR="00346697" w:rsidSect="008F6BC9">
          <w:type w:val="continuous"/>
          <w:pgSz w:w="11907" w:h="16839" w:code="9"/>
          <w:pgMar w:top="1440" w:right="1440" w:bottom="1440" w:left="1440" w:header="0" w:footer="720" w:gutter="0"/>
          <w:cols w:space="720"/>
          <w:titlePg/>
          <w:docGrid w:linePitch="360"/>
        </w:sectPr>
      </w:pPr>
    </w:p>
    <w:p w14:paraId="24FE6727" w14:textId="77777777" w:rsidR="00D84443" w:rsidRPr="00E3232D" w:rsidRDefault="00B405C2" w:rsidP="00343C65">
      <w:pPr>
        <w:autoSpaceDE w:val="0"/>
        <w:autoSpaceDN w:val="0"/>
        <w:adjustRightInd w:val="0"/>
        <w:spacing w:before="100" w:beforeAutospacing="1"/>
        <w:jc w:val="both"/>
        <w:rPr>
          <w:rFonts w:ascii="Book Antiqua" w:hAnsi="Book Antiqua"/>
          <w:b/>
        </w:rPr>
      </w:pPr>
      <w:r>
        <w:rPr>
          <w:rFonts w:ascii="Book Antiqua" w:hAnsi="Book Antiqua"/>
          <w:b/>
        </w:rPr>
        <w:t>3</w:t>
      </w:r>
      <w:r w:rsidR="00D84443" w:rsidRPr="00E3232D">
        <w:rPr>
          <w:rFonts w:ascii="Book Antiqua" w:hAnsi="Book Antiqua"/>
          <w:b/>
        </w:rPr>
        <w:t xml:space="preserve">.0 </w:t>
      </w:r>
      <w:r w:rsidR="00D84443" w:rsidRPr="001765F6">
        <w:rPr>
          <w:rFonts w:ascii="Book Antiqua" w:hAnsi="Book Antiqua"/>
          <w:b/>
          <w:sz w:val="26"/>
        </w:rPr>
        <w:t>Discussion</w:t>
      </w:r>
    </w:p>
    <w:p w14:paraId="4EC80D7F" w14:textId="77777777" w:rsidR="000121D3" w:rsidRPr="00E3232D" w:rsidRDefault="00D84443" w:rsidP="00343C65">
      <w:pPr>
        <w:autoSpaceDE w:val="0"/>
        <w:autoSpaceDN w:val="0"/>
        <w:adjustRightInd w:val="0"/>
        <w:spacing w:before="100" w:beforeAutospacing="1"/>
        <w:jc w:val="both"/>
        <w:rPr>
          <w:rFonts w:ascii="Book Antiqua" w:hAnsi="Book Antiqua"/>
        </w:rPr>
      </w:pPr>
      <w:r w:rsidRPr="00E3232D">
        <w:rPr>
          <w:rFonts w:ascii="Book Antiqua" w:hAnsi="Book Antiqua"/>
        </w:rPr>
        <w:t xml:space="preserve"> In our everyday life, we engage in such actions like donating, sharing, comforting, expressing sympathy, helping, and providing physical assistance and support to others, often at a cost to ourselves. Classified generally as Pro-Social behaviors, these acts of doing good are not meant to help oneself, but to support society in general. Accordingly, interest in this area of study of pro-social behavior has been heightened up, especially among educational institutions. The development of the pro-social behavior of students can have a decisive impact on the improvement in the tertiary institution activities or task, such as infrastructural maintenance and disaster management.</w:t>
      </w:r>
    </w:p>
    <w:p w14:paraId="6BBAA22B" w14:textId="77777777" w:rsidR="00D84443" w:rsidRPr="00E3232D" w:rsidRDefault="00B405C2" w:rsidP="00343C65">
      <w:pPr>
        <w:autoSpaceDE w:val="0"/>
        <w:autoSpaceDN w:val="0"/>
        <w:adjustRightInd w:val="0"/>
        <w:spacing w:before="100" w:beforeAutospacing="1"/>
        <w:jc w:val="both"/>
        <w:rPr>
          <w:rFonts w:ascii="Book Antiqua" w:hAnsi="Book Antiqua"/>
          <w:b/>
        </w:rPr>
      </w:pPr>
      <w:r>
        <w:rPr>
          <w:rFonts w:ascii="Book Antiqua" w:hAnsi="Book Antiqua"/>
          <w:b/>
        </w:rPr>
        <w:t>3</w:t>
      </w:r>
      <w:r w:rsidR="00D84443" w:rsidRPr="00E3232D">
        <w:rPr>
          <w:rFonts w:ascii="Book Antiqua" w:hAnsi="Book Antiqua"/>
          <w:b/>
        </w:rPr>
        <w:t>.1 Infrastructural maintenance</w:t>
      </w:r>
    </w:p>
    <w:p w14:paraId="71EC2E13" w14:textId="77777777" w:rsidR="00D84443" w:rsidRPr="00E3232D" w:rsidRDefault="00D84443" w:rsidP="00343C65">
      <w:pPr>
        <w:spacing w:before="100" w:beforeAutospacing="1" w:after="100" w:afterAutospacing="1"/>
        <w:jc w:val="both"/>
        <w:rPr>
          <w:rFonts w:ascii="Book Antiqua" w:hAnsi="Book Antiqua"/>
        </w:rPr>
      </w:pPr>
      <w:r w:rsidRPr="00E3232D">
        <w:rPr>
          <w:rFonts w:ascii="Book Antiqua" w:hAnsi="Book Antiqua"/>
        </w:rPr>
        <w:t>A major hurdle for most governments in power is the maintenance of the infrastructure in government institutions, including educational institutions. In the March 20, 2012 Edition of the Daily Graphic, Mr Kwesi Ahwoi, Minister of Food and Agriculture then, bemoaned the lack of a maintenance culture in the country which was causing the nation a great deal of money which could have been channeled into development projects.</w:t>
      </w:r>
      <w:r w:rsidR="001034F8" w:rsidRPr="00E3232D">
        <w:rPr>
          <w:rFonts w:ascii="Book Antiqua" w:hAnsi="Book Antiqua"/>
        </w:rPr>
        <w:t xml:space="preserve"> </w:t>
      </w:r>
      <w:r w:rsidRPr="00E3232D">
        <w:rPr>
          <w:rFonts w:ascii="Book Antiqua" w:hAnsi="Book Antiqua"/>
        </w:rPr>
        <w:t>Mr Ahwoi, an Old Boy, was addressing the 82nd Speech and Prize-Giving Day celebration of the St. Augustine’s College in Cape Coast the under theme “The Culture of Maintenance as an integral part of Infrastructural Development”.</w:t>
      </w:r>
    </w:p>
    <w:p w14:paraId="0CB082D2" w14:textId="77777777" w:rsidR="00F522D6" w:rsidRPr="00343C65" w:rsidRDefault="00D84443" w:rsidP="00343C65">
      <w:pPr>
        <w:spacing w:before="100" w:beforeAutospacing="1" w:after="100" w:afterAutospacing="1"/>
        <w:jc w:val="both"/>
        <w:rPr>
          <w:rFonts w:ascii="Book Antiqua" w:hAnsi="Book Antiqua"/>
        </w:rPr>
      </w:pPr>
      <w:r w:rsidRPr="00E3232D">
        <w:rPr>
          <w:rFonts w:ascii="Book Antiqua" w:hAnsi="Book Antiqua"/>
        </w:rPr>
        <w:t>A high level of culture of maintenance is likely to occur in those students who have a high level of empathy. Female students tend to have that culture because of their high level of empathy compared to male students. The evening student showed empathy for the institution and so decided to act on its behalf in order to reduce cost of electricity and rate of depreciation of fittings Female students are therefore targets for infrastructural maintenance management.</w:t>
      </w:r>
    </w:p>
    <w:p w14:paraId="6A9765C3" w14:textId="77777777" w:rsidR="00D84443" w:rsidRPr="00E3232D" w:rsidRDefault="00B405C2" w:rsidP="00343C65">
      <w:pPr>
        <w:spacing w:before="100" w:beforeAutospacing="1" w:after="100" w:afterAutospacing="1"/>
        <w:jc w:val="both"/>
        <w:rPr>
          <w:rFonts w:ascii="Book Antiqua" w:hAnsi="Book Antiqua"/>
          <w:b/>
        </w:rPr>
      </w:pPr>
      <w:r>
        <w:rPr>
          <w:rFonts w:ascii="Book Antiqua" w:hAnsi="Book Antiqua"/>
          <w:b/>
        </w:rPr>
        <w:t>3</w:t>
      </w:r>
      <w:r w:rsidR="00D84443" w:rsidRPr="00E3232D">
        <w:rPr>
          <w:rFonts w:ascii="Book Antiqua" w:hAnsi="Book Antiqua"/>
          <w:b/>
        </w:rPr>
        <w:t>.2 Disaster management</w:t>
      </w:r>
      <w:r w:rsidR="00D84443" w:rsidRPr="00E3232D">
        <w:rPr>
          <w:rFonts w:ascii="Book Antiqua" w:hAnsi="Book Antiqua"/>
          <w:b/>
        </w:rPr>
        <w:tab/>
      </w:r>
    </w:p>
    <w:p w14:paraId="4D27E1E0" w14:textId="77777777" w:rsidR="001034F8" w:rsidRDefault="00D84443" w:rsidP="00343C65">
      <w:pPr>
        <w:spacing w:after="0"/>
        <w:jc w:val="both"/>
        <w:rPr>
          <w:rFonts w:ascii="Book Antiqua" w:hAnsi="Book Antiqua"/>
        </w:rPr>
      </w:pPr>
      <w:r w:rsidRPr="00E3232D">
        <w:rPr>
          <w:rFonts w:ascii="Book Antiqua" w:hAnsi="Book Antiqua"/>
        </w:rPr>
        <w:t>Pro-social behavior of the public type is likely to occur in male students because of their high level of volunteerism, especially in disaster situations.  Video shootings of people engaged in voluntary disaster relief activities, as we see them in the media, show the majority of men as compared to women. When planning for disaster management, institutions should target the male population of students.</w:t>
      </w:r>
    </w:p>
    <w:p w14:paraId="0E1127C5" w14:textId="77777777" w:rsidR="002319C6" w:rsidRDefault="002319C6" w:rsidP="00343C65">
      <w:pPr>
        <w:spacing w:after="0"/>
        <w:jc w:val="both"/>
        <w:rPr>
          <w:rFonts w:ascii="Book Antiqua" w:hAnsi="Book Antiqua"/>
        </w:rPr>
      </w:pPr>
    </w:p>
    <w:p w14:paraId="432F586E" w14:textId="77777777" w:rsidR="002319C6" w:rsidRPr="00E3232D" w:rsidRDefault="002319C6" w:rsidP="00343C65">
      <w:pPr>
        <w:spacing w:after="0"/>
        <w:jc w:val="both"/>
        <w:rPr>
          <w:rFonts w:ascii="Book Antiqua" w:hAnsi="Book Antiqua"/>
        </w:rPr>
      </w:pPr>
    </w:p>
    <w:p w14:paraId="0A603FB8" w14:textId="77777777" w:rsidR="002319C6" w:rsidRDefault="00B405C2" w:rsidP="00343C65">
      <w:pPr>
        <w:spacing w:after="0"/>
        <w:jc w:val="both"/>
        <w:rPr>
          <w:rFonts w:ascii="Book Antiqua" w:hAnsi="Book Antiqua"/>
          <w:b/>
        </w:rPr>
      </w:pPr>
      <w:r>
        <w:rPr>
          <w:rFonts w:ascii="Book Antiqua" w:hAnsi="Book Antiqua"/>
          <w:b/>
        </w:rPr>
        <w:t>4</w:t>
      </w:r>
      <w:r w:rsidR="00D84443" w:rsidRPr="00E3232D">
        <w:rPr>
          <w:rFonts w:ascii="Book Antiqua" w:hAnsi="Book Antiqua"/>
          <w:b/>
        </w:rPr>
        <w:t xml:space="preserve">. </w:t>
      </w:r>
      <w:r w:rsidR="00D84443" w:rsidRPr="00343C65">
        <w:rPr>
          <w:rFonts w:ascii="Book Antiqua" w:hAnsi="Book Antiqua"/>
          <w:b/>
          <w:sz w:val="26"/>
        </w:rPr>
        <w:t>Conclusion</w:t>
      </w:r>
    </w:p>
    <w:p w14:paraId="29791B76" w14:textId="77777777" w:rsidR="00D84443" w:rsidRPr="00E3232D" w:rsidRDefault="00D84443" w:rsidP="00343C65">
      <w:pPr>
        <w:spacing w:after="0"/>
        <w:jc w:val="both"/>
        <w:rPr>
          <w:rFonts w:ascii="Book Antiqua" w:hAnsi="Book Antiqua"/>
        </w:rPr>
      </w:pPr>
      <w:r w:rsidRPr="00E3232D">
        <w:rPr>
          <w:rFonts w:ascii="Book Antiqua" w:hAnsi="Book Antiqua"/>
        </w:rPr>
        <w:t>A review of the literature has resulted in a model of pro-social behavior of students. The model could serve as a diagnostic tool for the identification of the antecedents and predictors of Pro-social behavior of students. This study has particular implications for educational institutions. Pro-social behavior of students could be linked to some tertiary tasks such as maintenance of infrastructure and disaster management as well as public relations.</w:t>
      </w:r>
    </w:p>
    <w:p w14:paraId="261F3863" w14:textId="77777777" w:rsidR="00D84443" w:rsidRPr="00E3232D" w:rsidRDefault="00D84443" w:rsidP="00343C65">
      <w:pPr>
        <w:pStyle w:val="yiv510297308msonormal"/>
        <w:spacing w:line="276" w:lineRule="auto"/>
        <w:jc w:val="both"/>
        <w:rPr>
          <w:rFonts w:ascii="Book Antiqua" w:hAnsi="Book Antiqua"/>
          <w:sz w:val="22"/>
          <w:szCs w:val="22"/>
        </w:rPr>
      </w:pPr>
      <w:r w:rsidRPr="00E3232D">
        <w:rPr>
          <w:rFonts w:ascii="Book Antiqua" w:hAnsi="Book Antiqua"/>
          <w:sz w:val="22"/>
          <w:szCs w:val="22"/>
        </w:rPr>
        <w:t>Students on campus are potential assets for tertiary institution. The promotion of the pro-social behavior of the students of tertiary institutions especially will make them adapt to society, including that of tertiary institutions. In that, case knowing the status quo of students’ Prosocial Behavior in different situations, analyzing the influencing factors, and exploring the ways of cultivating the students’ Pro-social activities are vital. Pro- social behavior has a very important significance in the moral education to students and the construction of campus culture, the cultivation of social spiritual civilization and the building of harmonious society. However, it will require a strong organizational culture necessary to encourage pro-social sentiment. Some changes in curricula could be made to include elements of pro-social behavior.</w:t>
      </w:r>
    </w:p>
    <w:p w14:paraId="16C3027D" w14:textId="77777777" w:rsidR="00D84443" w:rsidRPr="00E3232D" w:rsidRDefault="00D84443" w:rsidP="00343C65">
      <w:pPr>
        <w:autoSpaceDE w:val="0"/>
        <w:autoSpaceDN w:val="0"/>
        <w:adjustRightInd w:val="0"/>
        <w:jc w:val="both"/>
        <w:rPr>
          <w:rFonts w:ascii="Book Antiqua" w:hAnsi="Book Antiqua"/>
        </w:rPr>
      </w:pPr>
      <w:r w:rsidRPr="00E3232D">
        <w:rPr>
          <w:rFonts w:ascii="Book Antiqua" w:hAnsi="Book Antiqua"/>
        </w:rPr>
        <w:t>Further research practicalizing the model into an empirical study is suggested.</w:t>
      </w:r>
    </w:p>
    <w:p w14:paraId="524324B0" w14:textId="77777777" w:rsidR="00D84443" w:rsidRPr="00821149" w:rsidRDefault="00D84443" w:rsidP="00343C65">
      <w:pPr>
        <w:autoSpaceDE w:val="0"/>
        <w:autoSpaceDN w:val="0"/>
        <w:adjustRightInd w:val="0"/>
        <w:jc w:val="both"/>
        <w:rPr>
          <w:rFonts w:ascii="Book Antiqua" w:hAnsi="Book Antiqua"/>
        </w:rPr>
      </w:pPr>
      <w:r w:rsidRPr="00821149">
        <w:rPr>
          <w:rFonts w:ascii="Book Antiqua" w:hAnsi="Book Antiqua"/>
          <w:b/>
        </w:rPr>
        <w:t>Acknowledgement</w:t>
      </w:r>
    </w:p>
    <w:p w14:paraId="74E36560" w14:textId="77777777" w:rsidR="002319C6" w:rsidRPr="00343C65" w:rsidRDefault="00D84443" w:rsidP="00343C65">
      <w:pPr>
        <w:jc w:val="both"/>
        <w:rPr>
          <w:rFonts w:ascii="Book Antiqua" w:hAnsi="Book Antiqua"/>
        </w:rPr>
      </w:pPr>
      <w:r w:rsidRPr="00E3232D">
        <w:rPr>
          <w:rFonts w:ascii="Book Antiqua" w:hAnsi="Book Antiqua"/>
        </w:rPr>
        <w:t>Special thanks to Professor Ron J. Tuninga of The Open University, The Netherlands and Professor Aba Andam of the Atomic Energy, Accra for their moral support. Also, thanks to Dr Augustine Tawiah of GIMPA, Dr. Brian Jennings, Caroline Aggrey-Fynn and Eric Ofori-Atta, all of Ghana Christian University for their valuable contributions to the article.</w:t>
      </w:r>
    </w:p>
    <w:p w14:paraId="52B5143A" w14:textId="77777777" w:rsidR="00343C65" w:rsidRDefault="00343C65" w:rsidP="00343C65">
      <w:pPr>
        <w:pStyle w:val="Default"/>
        <w:rPr>
          <w:rFonts w:ascii="Book Antiqua" w:hAnsi="Book Antiqua"/>
          <w:b/>
          <w:color w:val="auto"/>
          <w:sz w:val="22"/>
          <w:szCs w:val="22"/>
        </w:rPr>
      </w:pPr>
    </w:p>
    <w:p w14:paraId="07D5D4C2" w14:textId="77777777" w:rsidR="00D84443" w:rsidRPr="00E3232D" w:rsidRDefault="00D84443" w:rsidP="00343C65">
      <w:pPr>
        <w:pStyle w:val="Default"/>
        <w:rPr>
          <w:rFonts w:ascii="Book Antiqua" w:hAnsi="Book Antiqua"/>
          <w:b/>
          <w:color w:val="auto"/>
          <w:sz w:val="22"/>
          <w:szCs w:val="22"/>
        </w:rPr>
      </w:pPr>
      <w:r w:rsidRPr="00343C65">
        <w:rPr>
          <w:rFonts w:ascii="Book Antiqua" w:hAnsi="Book Antiqua"/>
          <w:b/>
          <w:color w:val="auto"/>
          <w:sz w:val="26"/>
          <w:szCs w:val="22"/>
        </w:rPr>
        <w:t>References</w:t>
      </w:r>
    </w:p>
    <w:p w14:paraId="314FC83B" w14:textId="77777777" w:rsidR="00D84443" w:rsidRPr="00E3232D" w:rsidRDefault="00D84443" w:rsidP="00B405C2">
      <w:pPr>
        <w:autoSpaceDE w:val="0"/>
        <w:autoSpaceDN w:val="0"/>
        <w:adjustRightInd w:val="0"/>
        <w:ind w:left="720" w:right="-707" w:hanging="720"/>
        <w:jc w:val="both"/>
        <w:rPr>
          <w:rFonts w:ascii="Book Antiqua" w:hAnsi="Book Antiqua"/>
        </w:rPr>
      </w:pPr>
      <w:r w:rsidRPr="00E3232D">
        <w:rPr>
          <w:rFonts w:ascii="Book Antiqua" w:hAnsi="Book Antiqua"/>
        </w:rPr>
        <w:t>Akerlof, G. A. and Rachel E. K (2000). “Economics and Identity."</w:t>
      </w:r>
      <w:r w:rsidRPr="00E3232D">
        <w:rPr>
          <w:rFonts w:ascii="Book Antiqua" w:hAnsi="Book Antiqua"/>
          <w:i/>
        </w:rPr>
        <w:t xml:space="preserve"> .</w:t>
      </w:r>
      <w:r w:rsidR="00B405C2">
        <w:rPr>
          <w:rFonts w:ascii="Book Antiqua" w:hAnsi="Book Antiqua"/>
        </w:rPr>
        <w:t>The Quarterly Journal</w:t>
      </w:r>
      <w:r w:rsidR="00B405C2">
        <w:rPr>
          <w:rFonts w:ascii="Book Antiqua" w:hAnsi="Book Antiqua"/>
        </w:rPr>
        <w:tab/>
      </w:r>
      <w:r w:rsidRPr="00E3232D">
        <w:rPr>
          <w:rFonts w:ascii="Book Antiqua" w:hAnsi="Book Antiqua"/>
        </w:rPr>
        <w:t>of Economics, MIT Press, vol. 115(3). 715</w:t>
      </w:r>
    </w:p>
    <w:p w14:paraId="5CC14A49" w14:textId="77777777" w:rsidR="00D84443" w:rsidRPr="00E3232D" w:rsidRDefault="00D84443" w:rsidP="00B405C2">
      <w:pPr>
        <w:autoSpaceDE w:val="0"/>
        <w:autoSpaceDN w:val="0"/>
        <w:adjustRightInd w:val="0"/>
        <w:ind w:left="720" w:right="-707" w:hanging="720"/>
        <w:jc w:val="both"/>
        <w:rPr>
          <w:rFonts w:ascii="Book Antiqua" w:hAnsi="Book Antiqua"/>
        </w:rPr>
      </w:pPr>
      <w:r w:rsidRPr="00E3232D">
        <w:rPr>
          <w:rFonts w:ascii="Book Antiqua" w:hAnsi="Book Antiqua"/>
        </w:rPr>
        <w:t>Bar-Tal, D (1992) “</w:t>
      </w:r>
      <w:r w:rsidRPr="00E3232D">
        <w:rPr>
          <w:rFonts w:ascii="Book Antiqua" w:hAnsi="Book Antiqua"/>
          <w:i/>
        </w:rPr>
        <w:t>Sequential development of helping be</w:t>
      </w:r>
      <w:r w:rsidR="00343C65">
        <w:rPr>
          <w:rFonts w:ascii="Book Antiqua" w:hAnsi="Book Antiqua"/>
          <w:i/>
        </w:rPr>
        <w:t xml:space="preserve">havior: a cognitive-learning   </w:t>
      </w:r>
      <w:r w:rsidRPr="00E3232D">
        <w:rPr>
          <w:rFonts w:ascii="Book Antiqua" w:hAnsi="Book Antiqua"/>
          <w:i/>
        </w:rPr>
        <w:t>approach</w:t>
      </w:r>
      <w:r w:rsidRPr="00E3232D">
        <w:rPr>
          <w:rFonts w:ascii="Book Antiqua" w:hAnsi="Book Antiqua"/>
        </w:rPr>
        <w:t>,” Developmental Review, vol. 2, no. 2, pp. 101–124, 1982</w:t>
      </w:r>
    </w:p>
    <w:p w14:paraId="7E4BBDF7" w14:textId="77777777" w:rsidR="00D84443" w:rsidRPr="00E3232D" w:rsidRDefault="00D84443" w:rsidP="00343C65">
      <w:pPr>
        <w:autoSpaceDE w:val="0"/>
        <w:autoSpaceDN w:val="0"/>
        <w:adjustRightInd w:val="0"/>
        <w:ind w:left="630" w:hanging="630"/>
        <w:jc w:val="both"/>
        <w:rPr>
          <w:rFonts w:ascii="Book Antiqua" w:hAnsi="Book Antiqua"/>
        </w:rPr>
      </w:pPr>
      <w:r w:rsidRPr="00E3232D">
        <w:rPr>
          <w:rFonts w:ascii="Book Antiqua" w:hAnsi="Book Antiqua"/>
        </w:rPr>
        <w:t xml:space="preserve">Batson, C. D. &amp; Shaw, L. L., (1991).” </w:t>
      </w:r>
      <w:r w:rsidRPr="00E3232D">
        <w:rPr>
          <w:rFonts w:ascii="Book Antiqua" w:hAnsi="Book Antiqua"/>
          <w:i/>
        </w:rPr>
        <w:t xml:space="preserve">Evidence for altruism: Toward a pluralism of pro-social </w:t>
      </w:r>
      <w:r w:rsidRPr="00E3232D">
        <w:rPr>
          <w:rFonts w:ascii="Book Antiqua" w:hAnsi="Book Antiqua"/>
          <w:i/>
        </w:rPr>
        <w:tab/>
        <w:t>motives.</w:t>
      </w:r>
      <w:r w:rsidRPr="00E3232D">
        <w:rPr>
          <w:rFonts w:ascii="Book Antiqua" w:hAnsi="Book Antiqua"/>
        </w:rPr>
        <w:t xml:space="preserve"> </w:t>
      </w:r>
      <w:r w:rsidRPr="00E3232D">
        <w:rPr>
          <w:rFonts w:ascii="Book Antiqua" w:hAnsi="Book Antiqua"/>
          <w:iCs/>
        </w:rPr>
        <w:t>Psychological Inquiry</w:t>
      </w:r>
      <w:r w:rsidRPr="00E3232D">
        <w:rPr>
          <w:rFonts w:ascii="Book Antiqua" w:hAnsi="Book Antiqua"/>
        </w:rPr>
        <w:t xml:space="preserve">, 2(2): 107-122. </w:t>
      </w:r>
    </w:p>
    <w:p w14:paraId="3AC398B4" w14:textId="77777777" w:rsidR="00D84443" w:rsidRPr="00E3232D" w:rsidRDefault="00D84443" w:rsidP="00343C65">
      <w:pPr>
        <w:tabs>
          <w:tab w:val="left" w:pos="630"/>
        </w:tabs>
        <w:autoSpaceDE w:val="0"/>
        <w:autoSpaceDN w:val="0"/>
        <w:adjustRightInd w:val="0"/>
        <w:ind w:left="630" w:hanging="630"/>
        <w:jc w:val="both"/>
        <w:rPr>
          <w:rFonts w:ascii="Book Antiqua" w:hAnsi="Book Antiqua"/>
        </w:rPr>
      </w:pPr>
      <w:r w:rsidRPr="00E3232D">
        <w:rPr>
          <w:rFonts w:ascii="Book Antiqua" w:hAnsi="Book Antiqua"/>
        </w:rPr>
        <w:t>Batson, C. D. &amp; Powell, A. A. (2003.)”</w:t>
      </w:r>
      <w:r w:rsidRPr="00E3232D">
        <w:rPr>
          <w:rFonts w:ascii="Book Antiqua" w:hAnsi="Book Antiqua"/>
          <w:i/>
        </w:rPr>
        <w:t>Altruism and pro-social behavior</w:t>
      </w:r>
      <w:r w:rsidRPr="00E3232D">
        <w:rPr>
          <w:rFonts w:ascii="Book Antiqua" w:hAnsi="Book Antiqua"/>
        </w:rPr>
        <w:t xml:space="preserve">”. In T. Million &amp; M. J. </w:t>
      </w:r>
      <w:r w:rsidRPr="00E3232D">
        <w:rPr>
          <w:rFonts w:ascii="Book Antiqua" w:hAnsi="Book Antiqua"/>
        </w:rPr>
        <w:tab/>
        <w:t xml:space="preserve">Lerner </w:t>
      </w:r>
      <w:r w:rsidRPr="00E3232D">
        <w:rPr>
          <w:rFonts w:ascii="Book Antiqua" w:hAnsi="Book Antiqua"/>
        </w:rPr>
        <w:tab/>
        <w:t xml:space="preserve">&amp; I. B. Weiner (Eds.), </w:t>
      </w:r>
      <w:r w:rsidRPr="00E3232D">
        <w:rPr>
          <w:rFonts w:ascii="Book Antiqua" w:hAnsi="Book Antiqua"/>
          <w:iCs/>
        </w:rPr>
        <w:t>Handbook of Psychology</w:t>
      </w:r>
      <w:r w:rsidRPr="00E3232D">
        <w:rPr>
          <w:rFonts w:ascii="Book Antiqua" w:hAnsi="Book Antiqua"/>
        </w:rPr>
        <w:t xml:space="preserve">, Vol. 5: 463-484. New Jersey: </w:t>
      </w:r>
      <w:r w:rsidRPr="00E3232D">
        <w:rPr>
          <w:rFonts w:ascii="Book Antiqua" w:hAnsi="Book Antiqua"/>
        </w:rPr>
        <w:tab/>
        <w:t xml:space="preserve">John </w:t>
      </w:r>
      <w:r w:rsidRPr="00E3232D">
        <w:rPr>
          <w:rFonts w:ascii="Book Antiqua" w:hAnsi="Book Antiqua"/>
        </w:rPr>
        <w:tab/>
        <w:t xml:space="preserve">Wiley </w:t>
      </w:r>
      <w:r w:rsidRPr="00E3232D">
        <w:rPr>
          <w:rFonts w:ascii="Book Antiqua" w:hAnsi="Book Antiqua"/>
        </w:rPr>
        <w:tab/>
        <w:t>and Sons Inc.</w:t>
      </w:r>
      <w:r w:rsidRPr="00E3232D">
        <w:rPr>
          <w:rFonts w:ascii="Book Antiqua" w:hAnsi="Book Antiqua"/>
        </w:rPr>
        <w:tab/>
      </w:r>
    </w:p>
    <w:p w14:paraId="7CC6017C" w14:textId="77777777" w:rsidR="00D84443" w:rsidRPr="00E3232D" w:rsidRDefault="00D84443" w:rsidP="00343C65">
      <w:pPr>
        <w:autoSpaceDE w:val="0"/>
        <w:autoSpaceDN w:val="0"/>
        <w:adjustRightInd w:val="0"/>
        <w:jc w:val="both"/>
        <w:rPr>
          <w:rFonts w:ascii="Book Antiqua" w:hAnsi="Book Antiqua"/>
        </w:rPr>
      </w:pPr>
      <w:r w:rsidRPr="00E3232D">
        <w:rPr>
          <w:rFonts w:ascii="Book Antiqua" w:hAnsi="Book Antiqua"/>
        </w:rPr>
        <w:t>Benabou, R and Jean T. (2003). “Intrinsic and Extrinsic Motivation</w:t>
      </w:r>
      <w:r w:rsidRPr="00E3232D">
        <w:rPr>
          <w:rFonts w:ascii="Book Antiqua" w:hAnsi="Book Antiqua"/>
          <w:i/>
        </w:rPr>
        <w:t xml:space="preserve">." </w:t>
      </w:r>
      <w:r w:rsidRPr="00E3232D">
        <w:rPr>
          <w:rFonts w:ascii="Book Antiqua" w:hAnsi="Book Antiqua"/>
        </w:rPr>
        <w:t xml:space="preserve">The Review of </w:t>
      </w:r>
      <w:r w:rsidRPr="00E3232D">
        <w:rPr>
          <w:rFonts w:ascii="Book Antiqua" w:hAnsi="Book Antiqua"/>
        </w:rPr>
        <w:tab/>
        <w:t>Economic Studies</w:t>
      </w:r>
    </w:p>
    <w:p w14:paraId="5333F8EB" w14:textId="77777777" w:rsidR="00D84443" w:rsidRPr="00E3232D" w:rsidRDefault="00D84443" w:rsidP="00343C65">
      <w:pPr>
        <w:autoSpaceDE w:val="0"/>
        <w:autoSpaceDN w:val="0"/>
        <w:adjustRightInd w:val="0"/>
        <w:ind w:left="630" w:hanging="630"/>
        <w:jc w:val="both"/>
        <w:rPr>
          <w:rFonts w:ascii="Book Antiqua" w:hAnsi="Book Antiqua"/>
        </w:rPr>
      </w:pPr>
      <w:r w:rsidRPr="00E3232D">
        <w:rPr>
          <w:rFonts w:ascii="Book Antiqua" w:hAnsi="Book Antiqua"/>
        </w:rPr>
        <w:t>Byrnes J.P., Miller, D. C., and Schafer, W. D. 1999.”Gender differences in risk-taking”</w:t>
      </w:r>
      <w:r w:rsidRPr="00E3232D">
        <w:rPr>
          <w:rFonts w:ascii="Book Antiqua" w:hAnsi="Book Antiqua"/>
          <w:i/>
        </w:rPr>
        <w:t>:</w:t>
      </w:r>
      <w:r w:rsidRPr="00E3232D">
        <w:rPr>
          <w:rFonts w:ascii="Book Antiqua" w:hAnsi="Book Antiqua"/>
        </w:rPr>
        <w:t xml:space="preserve"> a</w:t>
      </w:r>
      <w:r w:rsidRPr="00E3232D">
        <w:rPr>
          <w:rFonts w:ascii="Book Antiqua" w:hAnsi="Book Antiqua"/>
        </w:rPr>
        <w:tab/>
      </w:r>
      <w:r w:rsidRPr="00E3232D">
        <w:rPr>
          <w:rFonts w:ascii="Book Antiqua" w:hAnsi="Book Antiqua"/>
        </w:rPr>
        <w:tab/>
      </w:r>
      <w:r w:rsidRPr="00E3232D">
        <w:rPr>
          <w:rFonts w:ascii="Book Antiqua" w:hAnsi="Book Antiqua"/>
        </w:rPr>
        <w:tab/>
        <w:t>Meta-analysis. Psychological Bulletin 125 (3), 367-383.</w:t>
      </w:r>
    </w:p>
    <w:p w14:paraId="0BE1276A" w14:textId="77777777" w:rsidR="00D84443" w:rsidRPr="00343C65" w:rsidRDefault="00D84443" w:rsidP="00343C65">
      <w:pPr>
        <w:autoSpaceDE w:val="0"/>
        <w:autoSpaceDN w:val="0"/>
        <w:adjustRightInd w:val="0"/>
        <w:ind w:left="630" w:hanging="630"/>
        <w:jc w:val="both"/>
        <w:rPr>
          <w:rFonts w:ascii="Book Antiqua" w:hAnsi="Book Antiqua"/>
          <w:i/>
          <w:iCs/>
        </w:rPr>
      </w:pPr>
      <w:r w:rsidRPr="00E3232D">
        <w:rPr>
          <w:rFonts w:ascii="Book Antiqua" w:hAnsi="Book Antiqua"/>
        </w:rPr>
        <w:t>Eisenberg, N. (2006). “</w:t>
      </w:r>
      <w:r w:rsidRPr="00E3232D">
        <w:rPr>
          <w:rFonts w:ascii="Book Antiqua" w:hAnsi="Book Antiqua"/>
          <w:i/>
          <w:iCs/>
        </w:rPr>
        <w:t xml:space="preserve">Children’s needs III: Development, prevention, and intervention”  </w:t>
      </w:r>
      <w:r w:rsidRPr="00E3232D">
        <w:rPr>
          <w:rFonts w:ascii="Book Antiqua" w:hAnsi="Book Antiqua"/>
        </w:rPr>
        <w:t>(313–</w:t>
      </w:r>
      <w:r w:rsidRPr="00E3232D">
        <w:rPr>
          <w:rFonts w:ascii="Book Antiqua" w:hAnsi="Book Antiqua"/>
        </w:rPr>
        <w:tab/>
        <w:t>324). Washington, DC Pro-social behavior. In G. G. Bear &amp; K. M. Minke (Eds.),</w:t>
      </w:r>
    </w:p>
    <w:p w14:paraId="57B1D164" w14:textId="77777777" w:rsidR="00D84443" w:rsidRPr="00E3232D" w:rsidRDefault="00D84443" w:rsidP="00B405C2">
      <w:pPr>
        <w:autoSpaceDE w:val="0"/>
        <w:autoSpaceDN w:val="0"/>
        <w:adjustRightInd w:val="0"/>
        <w:ind w:left="630" w:hanging="630"/>
        <w:jc w:val="both"/>
        <w:rPr>
          <w:rFonts w:ascii="Book Antiqua" w:hAnsi="Book Antiqua"/>
        </w:rPr>
      </w:pPr>
      <w:r w:rsidRPr="00E3232D">
        <w:rPr>
          <w:rFonts w:ascii="Book Antiqua" w:hAnsi="Book Antiqua"/>
        </w:rPr>
        <w:t xml:space="preserve">Eisenberg, N, and Fabes, R.A, (1998.). </w:t>
      </w:r>
      <w:r w:rsidRPr="00E3232D">
        <w:rPr>
          <w:rFonts w:ascii="Book Antiqua" w:hAnsi="Book Antiqua"/>
          <w:i/>
        </w:rPr>
        <w:t>An Economic Analysis of Pro-Social Behavior."</w:t>
      </w:r>
      <w:r w:rsidRPr="00E3232D">
        <w:rPr>
          <w:rFonts w:ascii="Book Antiqua" w:hAnsi="Book Antiqua"/>
        </w:rPr>
        <w:t xml:space="preserve"> </w:t>
      </w:r>
      <w:r w:rsidRPr="00E3232D">
        <w:rPr>
          <w:rFonts w:ascii="Book Antiqua" w:hAnsi="Book Antiqua"/>
        </w:rPr>
        <w:tab/>
        <w:t xml:space="preserve">Dissertation  </w:t>
      </w:r>
      <w:r w:rsidRPr="00E3232D">
        <w:rPr>
          <w:rFonts w:ascii="Book Antiqua" w:hAnsi="Book Antiqua"/>
        </w:rPr>
        <w:tab/>
      </w:r>
    </w:p>
    <w:p w14:paraId="5BBAD8E5" w14:textId="77777777" w:rsidR="00D84443" w:rsidRPr="00E3232D" w:rsidRDefault="00D84443" w:rsidP="00B405C2">
      <w:pPr>
        <w:autoSpaceDE w:val="0"/>
        <w:autoSpaceDN w:val="0"/>
        <w:adjustRightInd w:val="0"/>
        <w:ind w:left="630" w:hanging="630"/>
        <w:jc w:val="both"/>
        <w:rPr>
          <w:rFonts w:ascii="Book Antiqua" w:hAnsi="Book Antiqua"/>
        </w:rPr>
      </w:pPr>
      <w:r w:rsidRPr="00E3232D">
        <w:rPr>
          <w:rFonts w:ascii="Book Antiqua" w:hAnsi="Book Antiqua"/>
        </w:rPr>
        <w:t xml:space="preserve">Eisenberg, N. &amp;Fabes, R.A,(1990). </w:t>
      </w:r>
      <w:r w:rsidRPr="00E3232D">
        <w:rPr>
          <w:rFonts w:ascii="Book Antiqua" w:hAnsi="Book Antiqua"/>
          <w:i/>
        </w:rPr>
        <w:t xml:space="preserve">Empathy: Conceptualization, measurement, and relation to </w:t>
      </w:r>
      <w:r w:rsidRPr="00E3232D">
        <w:rPr>
          <w:rFonts w:ascii="Book Antiqua" w:hAnsi="Book Antiqua"/>
          <w:i/>
        </w:rPr>
        <w:tab/>
        <w:t xml:space="preserve">pro-social behavior. </w:t>
      </w:r>
      <w:r w:rsidRPr="00E3232D">
        <w:rPr>
          <w:rFonts w:ascii="Book Antiqua" w:hAnsi="Book Antiqua"/>
          <w:i/>
          <w:iCs/>
        </w:rPr>
        <w:t>Motivation and Emotion</w:t>
      </w:r>
      <w:r w:rsidRPr="00E3232D">
        <w:rPr>
          <w:rFonts w:ascii="Book Antiqua" w:hAnsi="Book Antiqua"/>
        </w:rPr>
        <w:t xml:space="preserve">, 14(2): 131-149. </w:t>
      </w:r>
    </w:p>
    <w:p w14:paraId="2A1FB4CA" w14:textId="77777777" w:rsidR="00D84443" w:rsidRPr="00E3232D" w:rsidRDefault="00D84443" w:rsidP="00B405C2">
      <w:pPr>
        <w:autoSpaceDE w:val="0"/>
        <w:autoSpaceDN w:val="0"/>
        <w:adjustRightInd w:val="0"/>
        <w:ind w:left="720" w:hanging="720"/>
        <w:jc w:val="both"/>
        <w:rPr>
          <w:rFonts w:ascii="Book Antiqua" w:hAnsi="Book Antiqua"/>
        </w:rPr>
      </w:pPr>
      <w:r w:rsidRPr="00E3232D">
        <w:rPr>
          <w:rFonts w:ascii="Book Antiqua" w:hAnsi="Book Antiqua"/>
        </w:rPr>
        <w:t>Eisenberg, N.,&amp;, Murphy, B. C., Shepard. (2008</w:t>
      </w:r>
      <w:r w:rsidRPr="00E3232D">
        <w:rPr>
          <w:rFonts w:ascii="Book Antiqua" w:hAnsi="Book Antiqua"/>
          <w:i/>
        </w:rPr>
        <w:t xml:space="preserve">). Consistency and development of pro-social </w:t>
      </w:r>
      <w:r w:rsidRPr="00E3232D">
        <w:rPr>
          <w:rFonts w:ascii="Book Antiqua" w:hAnsi="Book Antiqua"/>
          <w:i/>
        </w:rPr>
        <w:tab/>
        <w:t xml:space="preserve">dispositions: A longitudinal study. </w:t>
      </w:r>
      <w:r w:rsidRPr="00E3232D">
        <w:rPr>
          <w:rFonts w:ascii="Book Antiqua" w:hAnsi="Book Antiqua"/>
          <w:i/>
          <w:iCs/>
        </w:rPr>
        <w:t>Child Development</w:t>
      </w:r>
      <w:r w:rsidRPr="00E3232D">
        <w:rPr>
          <w:rFonts w:ascii="Book Antiqua" w:hAnsi="Book Antiqua"/>
        </w:rPr>
        <w:t>, 70(6): 1360-1372.</w:t>
      </w:r>
    </w:p>
    <w:p w14:paraId="1D677CEE" w14:textId="77777777" w:rsidR="00D84443" w:rsidRPr="00343C65" w:rsidRDefault="00D84443" w:rsidP="00343C65">
      <w:pPr>
        <w:autoSpaceDE w:val="0"/>
        <w:autoSpaceDN w:val="0"/>
        <w:adjustRightInd w:val="0"/>
        <w:ind w:left="810" w:hanging="810"/>
        <w:jc w:val="both"/>
        <w:rPr>
          <w:rFonts w:ascii="Book Antiqua" w:hAnsi="Book Antiqua"/>
          <w:i/>
        </w:rPr>
      </w:pPr>
      <w:r w:rsidRPr="00E3232D">
        <w:rPr>
          <w:rFonts w:ascii="Book Antiqua" w:hAnsi="Book Antiqua"/>
        </w:rPr>
        <w:t xml:space="preserve">Flynn, J., Slovic, P., and Mertz, C. K., (1994). </w:t>
      </w:r>
      <w:r w:rsidRPr="00E3232D">
        <w:rPr>
          <w:rFonts w:ascii="Book Antiqua" w:hAnsi="Book Antiqua"/>
          <w:i/>
        </w:rPr>
        <w:t>Gender, race, and perception of env</w:t>
      </w:r>
      <w:r w:rsidR="00343C65">
        <w:rPr>
          <w:rFonts w:ascii="Book Antiqua" w:hAnsi="Book Antiqua"/>
          <w:i/>
        </w:rPr>
        <w:t>ironmental</w:t>
      </w:r>
      <w:r w:rsidR="00343C65">
        <w:rPr>
          <w:rFonts w:ascii="Book Antiqua" w:hAnsi="Book Antiqua"/>
          <w:i/>
        </w:rPr>
        <w:tab/>
        <w:t xml:space="preserve">health risks </w:t>
      </w:r>
      <w:r w:rsidRPr="00E3232D">
        <w:rPr>
          <w:rFonts w:ascii="Book Antiqua" w:hAnsi="Book Antiqua"/>
          <w:i/>
        </w:rPr>
        <w:t xml:space="preserve"> Risk Analysis</w:t>
      </w:r>
      <w:r w:rsidRPr="00E3232D">
        <w:rPr>
          <w:rFonts w:ascii="Book Antiqua" w:hAnsi="Book Antiqua"/>
        </w:rPr>
        <w:t xml:space="preserve"> 14 (6), 1101-1108</w:t>
      </w:r>
    </w:p>
    <w:p w14:paraId="26307E3F" w14:textId="77777777" w:rsidR="00D84443" w:rsidRPr="00E3232D" w:rsidRDefault="00D84443" w:rsidP="00343C65">
      <w:pPr>
        <w:autoSpaceDE w:val="0"/>
        <w:autoSpaceDN w:val="0"/>
        <w:adjustRightInd w:val="0"/>
        <w:ind w:left="810" w:hanging="810"/>
        <w:jc w:val="both"/>
        <w:rPr>
          <w:rFonts w:ascii="Book Antiqua" w:hAnsi="Book Antiqua"/>
        </w:rPr>
      </w:pPr>
      <w:r w:rsidRPr="00E3232D">
        <w:rPr>
          <w:rFonts w:ascii="Book Antiqua" w:hAnsi="Book Antiqua"/>
        </w:rPr>
        <w:t>Gilbert, D. T., and Fiske, S. T., (2004),</w:t>
      </w:r>
      <w:r w:rsidRPr="00E3232D">
        <w:rPr>
          <w:rFonts w:ascii="Book Antiqua" w:hAnsi="Book Antiqua"/>
          <w:i/>
          <w:iCs/>
        </w:rPr>
        <w:t xml:space="preserve"> The Handbook of Social Psychology </w:t>
      </w:r>
      <w:r w:rsidR="00343C65">
        <w:rPr>
          <w:rFonts w:ascii="Book Antiqua" w:hAnsi="Book Antiqua"/>
        </w:rPr>
        <w:t xml:space="preserve">(4th Edition. Vol.. 2 </w:t>
      </w:r>
      <w:r w:rsidRPr="00E3232D">
        <w:rPr>
          <w:rFonts w:ascii="Book Antiqua" w:hAnsi="Book Antiqua"/>
        </w:rPr>
        <w:t>McGraw-Hill, Boston, MA, pp. 282– 316</w:t>
      </w:r>
    </w:p>
    <w:p w14:paraId="2D67EAD0" w14:textId="77777777" w:rsidR="00D84443" w:rsidRPr="00E3232D" w:rsidRDefault="00D84443" w:rsidP="00343C65">
      <w:pPr>
        <w:autoSpaceDE w:val="0"/>
        <w:autoSpaceDN w:val="0"/>
        <w:adjustRightInd w:val="0"/>
        <w:ind w:left="810" w:hanging="810"/>
        <w:jc w:val="both"/>
        <w:rPr>
          <w:rFonts w:ascii="Book Antiqua" w:hAnsi="Book Antiqua"/>
          <w:i/>
        </w:rPr>
      </w:pPr>
      <w:r w:rsidRPr="00E3232D">
        <w:rPr>
          <w:rFonts w:ascii="Book Antiqua" w:hAnsi="Book Antiqua"/>
          <w:lang w:val="en-AU"/>
        </w:rPr>
        <w:t xml:space="preserve">Leong, K.C (2003), “Developing maintenance of culture”. </w:t>
      </w:r>
      <w:r w:rsidRPr="00E3232D">
        <w:rPr>
          <w:rFonts w:ascii="Book Antiqua" w:hAnsi="Book Antiqua"/>
          <w:i/>
          <w:lang w:val="en-AU"/>
        </w:rPr>
        <w:t xml:space="preserve">National Conference, Putrajaya. 22- </w:t>
      </w:r>
      <w:r w:rsidRPr="00E3232D">
        <w:rPr>
          <w:rFonts w:ascii="Book Antiqua" w:hAnsi="Book Antiqua"/>
          <w:i/>
          <w:lang w:val="en-AU"/>
        </w:rPr>
        <w:tab/>
        <w:t>23 September, 2003.</w:t>
      </w:r>
    </w:p>
    <w:p w14:paraId="06A802AF" w14:textId="77777777" w:rsidR="00D84443" w:rsidRPr="00343C65" w:rsidRDefault="00D84443" w:rsidP="00343C65">
      <w:pPr>
        <w:autoSpaceDE w:val="0"/>
        <w:autoSpaceDN w:val="0"/>
        <w:adjustRightInd w:val="0"/>
        <w:ind w:left="810" w:hanging="810"/>
        <w:jc w:val="both"/>
        <w:rPr>
          <w:rFonts w:ascii="Book Antiqua" w:hAnsi="Book Antiqua"/>
        </w:rPr>
      </w:pPr>
      <w:r w:rsidRPr="00E3232D">
        <w:rPr>
          <w:rFonts w:ascii="Book Antiqua" w:hAnsi="Book Antiqua"/>
        </w:rPr>
        <w:t>Penner, J., F.   and Schroeder, D. A  (2005), “</w:t>
      </w:r>
      <w:r w:rsidRPr="00E3232D">
        <w:rPr>
          <w:rFonts w:ascii="Book Antiqua" w:hAnsi="Book Antiqua"/>
          <w:i/>
        </w:rPr>
        <w:t xml:space="preserve">Pro-social behavior: </w:t>
      </w:r>
      <w:r w:rsidRPr="00E3232D">
        <w:rPr>
          <w:rFonts w:ascii="Book Antiqua" w:hAnsi="Book Antiqua"/>
          <w:i/>
        </w:rPr>
        <w:tab/>
        <w:t>multilevel perspectives,”</w:t>
      </w:r>
      <w:r w:rsidRPr="00E3232D">
        <w:rPr>
          <w:rFonts w:ascii="Book Antiqua" w:hAnsi="Book Antiqua"/>
        </w:rPr>
        <w:t xml:space="preserve"> </w:t>
      </w:r>
      <w:r w:rsidRPr="00E3232D">
        <w:rPr>
          <w:rFonts w:ascii="Book Antiqua" w:hAnsi="Book Antiqua"/>
        </w:rPr>
        <w:tab/>
        <w:t>Annual Review of Psychology, vol. 56, pp. 365–392, 2005</w:t>
      </w:r>
    </w:p>
    <w:p w14:paraId="767BB43C" w14:textId="77777777" w:rsidR="00D84443" w:rsidRPr="00E3232D" w:rsidRDefault="00D84443" w:rsidP="00343C65">
      <w:pPr>
        <w:autoSpaceDE w:val="0"/>
        <w:autoSpaceDN w:val="0"/>
        <w:adjustRightInd w:val="0"/>
        <w:ind w:left="810" w:hanging="810"/>
        <w:jc w:val="both"/>
        <w:rPr>
          <w:rFonts w:ascii="Book Antiqua" w:hAnsi="Book Antiqua"/>
        </w:rPr>
      </w:pPr>
      <w:r w:rsidRPr="00E3232D">
        <w:rPr>
          <w:rFonts w:ascii="Book Antiqua" w:hAnsi="Book Antiqua"/>
        </w:rPr>
        <w:t xml:space="preserve">Whiting &amp; Whiting, (1988) Hastings, Zahn-Waxler, Robinson, Usher, &amp; Bridges, 2000; Keane </w:t>
      </w:r>
      <w:r w:rsidRPr="00E3232D">
        <w:rPr>
          <w:rFonts w:ascii="Book Antiqua" w:hAnsi="Book Antiqua"/>
        </w:rPr>
        <w:tab/>
        <w:t>&amp;</w:t>
      </w:r>
      <w:r w:rsidRPr="00E3232D">
        <w:rPr>
          <w:rFonts w:ascii="Book Antiqua" w:hAnsi="Book Antiqua"/>
        </w:rPr>
        <w:tab/>
        <w:t>Calkins, 2004; Russell, Hart, Robinson, &amp; Olsen, 2003)</w:t>
      </w:r>
    </w:p>
    <w:p w14:paraId="02BE58A3" w14:textId="77777777" w:rsidR="00F074CC" w:rsidRPr="00343C65" w:rsidRDefault="00D84443" w:rsidP="00343C65">
      <w:pPr>
        <w:autoSpaceDE w:val="0"/>
        <w:autoSpaceDN w:val="0"/>
        <w:adjustRightInd w:val="0"/>
        <w:ind w:left="810" w:hanging="810"/>
        <w:jc w:val="both"/>
        <w:rPr>
          <w:rFonts w:ascii="Book Antiqua" w:hAnsi="Book Antiqua"/>
        </w:rPr>
        <w:sectPr w:rsidR="00F074CC" w:rsidRPr="00343C65" w:rsidSect="008F6BC9">
          <w:type w:val="continuous"/>
          <w:pgSz w:w="11907" w:h="16839" w:code="9"/>
          <w:pgMar w:top="1440" w:right="1440" w:bottom="1440" w:left="1440" w:header="0" w:footer="720" w:gutter="0"/>
          <w:cols w:num="2" w:space="720"/>
          <w:titlePg/>
          <w:docGrid w:linePitch="360"/>
        </w:sectPr>
      </w:pPr>
      <w:r w:rsidRPr="00E3232D">
        <w:rPr>
          <w:rFonts w:ascii="Book Antiqua" w:hAnsi="Book Antiqua"/>
        </w:rPr>
        <w:t xml:space="preserve">Zahn C-Waxler and D. Smith (1992), </w:t>
      </w:r>
      <w:r w:rsidRPr="00E3232D">
        <w:rPr>
          <w:rFonts w:ascii="Book Antiqua" w:hAnsi="Book Antiqua"/>
          <w:i/>
        </w:rPr>
        <w:t xml:space="preserve">“The development of pro-social behavior,” in Handbook </w:t>
      </w:r>
      <w:r w:rsidRPr="00E3232D">
        <w:rPr>
          <w:rFonts w:ascii="Book Antiqua" w:hAnsi="Book Antiqua"/>
          <w:i/>
        </w:rPr>
        <w:tab/>
        <w:t xml:space="preserve">of </w:t>
      </w:r>
      <w:r w:rsidRPr="00E3232D">
        <w:rPr>
          <w:rFonts w:ascii="Book Antiqua" w:hAnsi="Book Antiqua"/>
          <w:i/>
        </w:rPr>
        <w:tab/>
        <w:t>Social Development: A Life-Span Perspective,</w:t>
      </w:r>
      <w:r w:rsidRPr="00E3232D">
        <w:rPr>
          <w:rFonts w:ascii="Book Antiqua" w:hAnsi="Book Antiqua"/>
        </w:rPr>
        <w:t xml:space="preserve"> V. B. VanHasselt and M. Hersen, </w:t>
      </w:r>
      <w:r w:rsidRPr="00E3232D">
        <w:rPr>
          <w:rFonts w:ascii="Book Antiqua" w:hAnsi="Book Antiqua"/>
        </w:rPr>
        <w:tab/>
        <w:t xml:space="preserve">Eds., </w:t>
      </w:r>
      <w:r w:rsidRPr="00E3232D">
        <w:rPr>
          <w:rFonts w:ascii="Book Antiqua" w:hAnsi="Book Antiqua"/>
        </w:rPr>
        <w:tab/>
        <w:t>pp. 229–256, Pleum, New York, NY, USA, 1992. L. A.,</w:t>
      </w:r>
    </w:p>
    <w:p w14:paraId="5B5B1BFC" w14:textId="77777777" w:rsidR="00346697" w:rsidRDefault="00346697" w:rsidP="00F074CC">
      <w:pPr>
        <w:tabs>
          <w:tab w:val="left" w:pos="630"/>
        </w:tabs>
        <w:rPr>
          <w:rFonts w:ascii="Book Antiqua" w:hAnsi="Book Antiqua"/>
          <w:b/>
          <w:noProof/>
        </w:rPr>
        <w:sectPr w:rsidR="00346697" w:rsidSect="008F6BC9">
          <w:type w:val="continuous"/>
          <w:pgSz w:w="11907" w:h="16839" w:code="9"/>
          <w:pgMar w:top="1440" w:right="1440" w:bottom="1440" w:left="1440" w:header="0" w:footer="720" w:gutter="0"/>
          <w:cols w:num="2" w:space="720"/>
          <w:titlePg/>
          <w:docGrid w:linePitch="360"/>
        </w:sectPr>
      </w:pPr>
    </w:p>
    <w:p w14:paraId="514D8A49" w14:textId="77777777" w:rsidR="002319C6" w:rsidRDefault="002319C6" w:rsidP="00F074CC">
      <w:pPr>
        <w:tabs>
          <w:tab w:val="left" w:pos="630"/>
        </w:tabs>
        <w:rPr>
          <w:rFonts w:ascii="Book Antiqua" w:hAnsi="Book Antiqua"/>
          <w:b/>
          <w:noProof/>
          <w:sz w:val="26"/>
          <w:szCs w:val="26"/>
        </w:rPr>
        <w:sectPr w:rsidR="002319C6" w:rsidSect="008F6BC9">
          <w:type w:val="continuous"/>
          <w:pgSz w:w="11907" w:h="16839" w:code="9"/>
          <w:pgMar w:top="1440" w:right="1440" w:bottom="1440" w:left="1440" w:header="0" w:footer="720" w:gutter="0"/>
          <w:cols w:space="720"/>
          <w:titlePg/>
          <w:docGrid w:linePitch="360"/>
        </w:sectPr>
      </w:pPr>
    </w:p>
    <w:p w14:paraId="26BEE70A" w14:textId="77777777" w:rsidR="00E85019" w:rsidRPr="009B5D4D" w:rsidRDefault="00E85019" w:rsidP="00343C65">
      <w:pPr>
        <w:tabs>
          <w:tab w:val="left" w:pos="630"/>
        </w:tabs>
        <w:jc w:val="center"/>
        <w:rPr>
          <w:rFonts w:ascii="Book Antiqua" w:hAnsi="Book Antiqua"/>
          <w:b/>
          <w:noProof/>
          <w:sz w:val="26"/>
          <w:szCs w:val="26"/>
        </w:rPr>
      </w:pPr>
      <w:r w:rsidRPr="009B5D4D">
        <w:rPr>
          <w:rFonts w:ascii="Book Antiqua" w:hAnsi="Book Antiqua"/>
          <w:b/>
          <w:noProof/>
          <w:sz w:val="26"/>
          <w:szCs w:val="26"/>
        </w:rPr>
        <w:t xml:space="preserve">Technical </w:t>
      </w:r>
      <w:r w:rsidR="00050BBA" w:rsidRPr="009B5D4D">
        <w:rPr>
          <w:rFonts w:ascii="Book Antiqua" w:hAnsi="Book Antiqua"/>
          <w:b/>
          <w:noProof/>
          <w:sz w:val="26"/>
          <w:szCs w:val="26"/>
        </w:rPr>
        <w:t xml:space="preserve">Assessment </w:t>
      </w:r>
      <w:r w:rsidRPr="009B5D4D">
        <w:rPr>
          <w:rFonts w:ascii="Book Antiqua" w:hAnsi="Book Antiqua"/>
          <w:b/>
          <w:noProof/>
          <w:sz w:val="26"/>
          <w:szCs w:val="26"/>
        </w:rPr>
        <w:t xml:space="preserve">of </w:t>
      </w:r>
      <w:r w:rsidR="00050BBA" w:rsidRPr="009B5D4D">
        <w:rPr>
          <w:rFonts w:ascii="Book Antiqua" w:hAnsi="Book Antiqua"/>
          <w:b/>
          <w:noProof/>
          <w:sz w:val="26"/>
          <w:szCs w:val="26"/>
        </w:rPr>
        <w:t xml:space="preserve">Installing Solar Photovoltaic </w:t>
      </w:r>
      <w:r w:rsidRPr="009B5D4D">
        <w:rPr>
          <w:rFonts w:ascii="Book Antiqua" w:hAnsi="Book Antiqua"/>
          <w:b/>
          <w:noProof/>
          <w:sz w:val="26"/>
          <w:szCs w:val="26"/>
        </w:rPr>
        <w:t xml:space="preserve">(PV) </w:t>
      </w:r>
      <w:r w:rsidR="00050BBA" w:rsidRPr="009B5D4D">
        <w:rPr>
          <w:rFonts w:ascii="Book Antiqua" w:hAnsi="Book Antiqua"/>
          <w:b/>
          <w:noProof/>
          <w:sz w:val="26"/>
          <w:szCs w:val="26"/>
        </w:rPr>
        <w:t>System</w:t>
      </w:r>
      <w:r w:rsidRPr="009B5D4D">
        <w:rPr>
          <w:rFonts w:ascii="Book Antiqua" w:hAnsi="Book Antiqua"/>
          <w:b/>
          <w:noProof/>
          <w:sz w:val="26"/>
          <w:szCs w:val="26"/>
        </w:rPr>
        <w:t xml:space="preserve">: A </w:t>
      </w:r>
      <w:r w:rsidR="00050BBA" w:rsidRPr="009B5D4D">
        <w:rPr>
          <w:rFonts w:ascii="Book Antiqua" w:hAnsi="Book Antiqua"/>
          <w:b/>
          <w:noProof/>
          <w:sz w:val="26"/>
          <w:szCs w:val="26"/>
        </w:rPr>
        <w:t xml:space="preserve">Case Study </w:t>
      </w:r>
      <w:r w:rsidRPr="009B5D4D">
        <w:rPr>
          <w:rFonts w:ascii="Book Antiqua" w:hAnsi="Book Antiqua"/>
          <w:b/>
          <w:noProof/>
          <w:sz w:val="26"/>
          <w:szCs w:val="26"/>
        </w:rPr>
        <w:t xml:space="preserve">of the Getfund </w:t>
      </w:r>
      <w:r w:rsidR="00050BBA" w:rsidRPr="009B5D4D">
        <w:rPr>
          <w:rFonts w:ascii="Book Antiqua" w:hAnsi="Book Antiqua"/>
          <w:b/>
          <w:noProof/>
          <w:sz w:val="26"/>
          <w:szCs w:val="26"/>
        </w:rPr>
        <w:t>Hostel</w:t>
      </w:r>
      <w:r w:rsidRPr="009B5D4D">
        <w:rPr>
          <w:rFonts w:ascii="Book Antiqua" w:hAnsi="Book Antiqua"/>
          <w:b/>
          <w:noProof/>
          <w:sz w:val="26"/>
          <w:szCs w:val="26"/>
        </w:rPr>
        <w:t>, Koforidua Polytechnic, Koforidua, Ghana.</w:t>
      </w:r>
    </w:p>
    <w:p w14:paraId="04B24048" w14:textId="77777777" w:rsidR="00E85019" w:rsidRPr="00343C65" w:rsidRDefault="00E85019" w:rsidP="00E3179F">
      <w:pPr>
        <w:pStyle w:val="Authorname"/>
        <w:spacing w:before="0" w:after="0"/>
        <w:rPr>
          <w:rFonts w:ascii="Book Antiqua" w:hAnsi="Book Antiqua"/>
          <w:sz w:val="26"/>
          <w:lang w:val="en-CA"/>
        </w:rPr>
      </w:pPr>
      <w:r w:rsidRPr="00343C65">
        <w:rPr>
          <w:rFonts w:ascii="Book Antiqua" w:hAnsi="Book Antiqua"/>
          <w:sz w:val="26"/>
          <w:lang w:val="en-CA"/>
        </w:rPr>
        <w:t>Atsu</w:t>
      </w:r>
      <w:r w:rsidR="00D05701" w:rsidRPr="00343C65">
        <w:rPr>
          <w:rFonts w:ascii="Book Antiqua" w:hAnsi="Book Antiqua"/>
          <w:sz w:val="26"/>
          <w:lang w:val="en-CA"/>
        </w:rPr>
        <w:t xml:space="preserve"> D.</w:t>
      </w:r>
      <w:r w:rsidR="005470F3" w:rsidRPr="00343C65">
        <w:rPr>
          <w:rFonts w:ascii="Book Antiqua" w:hAnsi="Book Antiqua"/>
          <w:sz w:val="26"/>
          <w:vertAlign w:val="superscript"/>
          <w:lang w:val="en-CA"/>
        </w:rPr>
        <w:t>1</w:t>
      </w:r>
      <w:r w:rsidR="00690132" w:rsidRPr="00343C65">
        <w:rPr>
          <w:rFonts w:ascii="Book Antiqua" w:hAnsi="Book Antiqua"/>
          <w:sz w:val="26"/>
          <w:lang w:val="en-CA"/>
        </w:rPr>
        <w:t xml:space="preserve">, </w:t>
      </w:r>
      <w:r w:rsidRPr="00343C65">
        <w:rPr>
          <w:rFonts w:ascii="Book Antiqua" w:hAnsi="Book Antiqua"/>
          <w:sz w:val="26"/>
          <w:lang w:val="en-CA"/>
        </w:rPr>
        <w:t>Agyemang</w:t>
      </w:r>
      <w:r w:rsidR="00690132" w:rsidRPr="00343C65">
        <w:rPr>
          <w:rFonts w:ascii="Book Antiqua" w:hAnsi="Book Antiqua"/>
          <w:sz w:val="26"/>
          <w:lang w:val="en-CA"/>
        </w:rPr>
        <w:t xml:space="preserve"> E.O.</w:t>
      </w:r>
      <w:r w:rsidRPr="00343C65">
        <w:rPr>
          <w:rFonts w:ascii="Book Antiqua" w:hAnsi="Book Antiqua"/>
          <w:sz w:val="26"/>
          <w:vertAlign w:val="superscript"/>
          <w:lang w:val="en-CA"/>
        </w:rPr>
        <w:t>a</w:t>
      </w:r>
      <w:r w:rsidRPr="00343C65">
        <w:rPr>
          <w:rFonts w:ascii="Book Antiqua" w:hAnsi="Book Antiqua"/>
          <w:sz w:val="26"/>
          <w:lang w:val="en-CA"/>
        </w:rPr>
        <w:t>, Stephen Tsike A. K</w:t>
      </w:r>
      <w:r w:rsidRPr="00343C65">
        <w:rPr>
          <w:rFonts w:ascii="Book Antiqua" w:hAnsi="Book Antiqua"/>
          <w:sz w:val="26"/>
          <w:vertAlign w:val="superscript"/>
          <w:lang w:val="en-CA"/>
        </w:rPr>
        <w:t>a</w:t>
      </w:r>
    </w:p>
    <w:p w14:paraId="4558AEDF" w14:textId="77777777" w:rsidR="00E85019" w:rsidRPr="00E3232D" w:rsidRDefault="00E85019" w:rsidP="00E3179F">
      <w:pPr>
        <w:spacing w:after="0"/>
        <w:ind w:left="720" w:hanging="720"/>
        <w:jc w:val="center"/>
        <w:rPr>
          <w:rFonts w:ascii="Book Antiqua" w:hAnsi="Book Antiqua"/>
        </w:rPr>
      </w:pPr>
      <w:r w:rsidRPr="00E3232D">
        <w:rPr>
          <w:rFonts w:ascii="Book Antiqua" w:hAnsi="Book Antiqua"/>
          <w:vertAlign w:val="superscript"/>
        </w:rPr>
        <w:t xml:space="preserve">a </w:t>
      </w:r>
      <w:r w:rsidRPr="00E3232D">
        <w:rPr>
          <w:rFonts w:ascii="Book Antiqua" w:hAnsi="Book Antiqua"/>
        </w:rPr>
        <w:t>Department of Renewable Energy Systems Engineering, Koforidua Polytechnic, Ghana.</w:t>
      </w:r>
    </w:p>
    <w:p w14:paraId="76397AFF" w14:textId="77777777" w:rsidR="00E85019" w:rsidRDefault="00E85019" w:rsidP="00E3179F">
      <w:pPr>
        <w:spacing w:after="0"/>
        <w:ind w:left="720" w:hanging="720"/>
        <w:jc w:val="center"/>
        <w:rPr>
          <w:rFonts w:ascii="Book Antiqua" w:hAnsi="Book Antiqua"/>
        </w:rPr>
      </w:pPr>
      <w:r w:rsidRPr="00E3232D">
        <w:rPr>
          <w:rFonts w:ascii="Book Antiqua" w:hAnsi="Book Antiqua"/>
        </w:rPr>
        <w:t>* Corresponding authors email (atsud22@yahoo.com, Tel +241463736)</w:t>
      </w:r>
    </w:p>
    <w:p w14:paraId="16308E9D" w14:textId="77777777" w:rsidR="00F074CC" w:rsidRPr="00E3232D" w:rsidRDefault="00F074CC" w:rsidP="00E3179F">
      <w:pPr>
        <w:spacing w:after="0"/>
        <w:ind w:left="720" w:hanging="720"/>
        <w:jc w:val="center"/>
        <w:rPr>
          <w:rFonts w:ascii="Book Antiqua" w:hAnsi="Book Antiqua"/>
        </w:rPr>
      </w:pPr>
    </w:p>
    <w:p w14:paraId="5FDBC7D1" w14:textId="77777777" w:rsidR="00E85019" w:rsidRPr="00E3232D" w:rsidRDefault="00E85019" w:rsidP="008275E1">
      <w:pPr>
        <w:autoSpaceDE w:val="0"/>
        <w:autoSpaceDN w:val="0"/>
        <w:adjustRightInd w:val="0"/>
        <w:rPr>
          <w:rFonts w:ascii="Book Antiqua" w:hAnsi="Book Antiqua"/>
          <w:b/>
          <w:bCs/>
        </w:rPr>
      </w:pPr>
      <w:r w:rsidRPr="00DB6AE7">
        <w:rPr>
          <w:rFonts w:ascii="Book Antiqua" w:hAnsi="Book Antiqua"/>
          <w:b/>
          <w:noProof/>
          <w:sz w:val="26"/>
        </w:rPr>
        <w:t>Abstract</w:t>
      </w:r>
      <w:r w:rsidRPr="00E3232D">
        <w:rPr>
          <w:rFonts w:ascii="Book Antiqua" w:hAnsi="Book Antiqua"/>
          <w:b/>
          <w:bCs/>
        </w:rPr>
        <w:t xml:space="preserve"> </w:t>
      </w:r>
    </w:p>
    <w:p w14:paraId="0D8D9244" w14:textId="77777777" w:rsidR="00E85019" w:rsidRPr="00E3232D" w:rsidRDefault="00E85019" w:rsidP="00DB6AE7">
      <w:pPr>
        <w:autoSpaceDE w:val="0"/>
        <w:autoSpaceDN w:val="0"/>
        <w:adjustRightInd w:val="0"/>
        <w:jc w:val="both"/>
        <w:rPr>
          <w:rFonts w:ascii="Book Antiqua" w:hAnsi="Book Antiqua"/>
        </w:rPr>
      </w:pPr>
      <w:r w:rsidRPr="00E3232D">
        <w:rPr>
          <w:rFonts w:ascii="Book Antiqua" w:hAnsi="Book Antiqua"/>
        </w:rPr>
        <w:t xml:space="preserve">Solar photovoltaic industry is one of the fastest growing industries at present. Over the last five years, the production of photovoltaic solar cells has steadily increased at an annual average of 40%, driven not only by the progress in materials and processing technology, but by market introduction programmes in many countries. The growth of the solar photovoltaic industry has been attained by an increase in manufacturing capacities and the relative reduction in cost of Photovoltaics. This research was undertaken to technically investigate the suitability of installing a Photovoltaic PV system at Getfund (GETF) hostel Koforidua Polytechnic to cater for the lighting load needs of the hostel when the grid is off. Walk through audit and interview methods were used for the collection of data. The total lighting load of the Hostel was found to be </w:t>
      </w:r>
      <w:r w:rsidRPr="00E3232D">
        <w:rPr>
          <w:rFonts w:ascii="Book Antiqua" w:hAnsi="Book Antiqua"/>
          <w:color w:val="000000"/>
        </w:rPr>
        <w:t>112.58kWh/day.</w:t>
      </w:r>
      <w:r w:rsidRPr="00E3232D">
        <w:rPr>
          <w:rFonts w:ascii="Book Antiqua" w:hAnsi="Book Antiqua"/>
        </w:rPr>
        <w:t xml:space="preserve"> In order to satisfy the load demand based upon the data collected, the proposed PV system design and configuration stand alone and the system cost was GH</w:t>
      </w:r>
      <w:r w:rsidRPr="00E3232D">
        <w:rPr>
          <w:rFonts w:ascii="Times New Roman" w:hAnsi="Times New Roman"/>
        </w:rPr>
        <w:t>ȼ</w:t>
      </w:r>
      <w:r w:rsidRPr="00E3232D">
        <w:rPr>
          <w:rFonts w:ascii="Book Antiqua" w:hAnsi="Book Antiqua" w:cs="Book Antiqua"/>
        </w:rPr>
        <w:t xml:space="preserve">1,350,750 based on </w:t>
      </w:r>
      <w:r w:rsidRPr="00E3232D">
        <w:rPr>
          <w:rFonts w:ascii="Book Antiqua" w:hAnsi="Book Antiqua"/>
        </w:rPr>
        <w:t xml:space="preserve">local market prices. It was concluded that solar PV systems could be a feasible solution to lighting needs at some level of implementation for the Getfund hostel. </w:t>
      </w:r>
    </w:p>
    <w:p w14:paraId="0B30FF6A" w14:textId="77777777" w:rsidR="00E85019" w:rsidRPr="00E3232D" w:rsidRDefault="00E85019" w:rsidP="008275E1">
      <w:pPr>
        <w:autoSpaceDE w:val="0"/>
        <w:autoSpaceDN w:val="0"/>
        <w:adjustRightInd w:val="0"/>
        <w:rPr>
          <w:rFonts w:ascii="Book Antiqua" w:hAnsi="Book Antiqua"/>
        </w:rPr>
      </w:pPr>
      <w:r w:rsidRPr="00E3232D">
        <w:rPr>
          <w:rFonts w:ascii="Book Antiqua" w:hAnsi="Book Antiqua"/>
          <w:b/>
        </w:rPr>
        <w:t xml:space="preserve">Keywords: </w:t>
      </w:r>
      <w:r w:rsidRPr="00E3232D">
        <w:rPr>
          <w:rFonts w:ascii="Book Antiqua" w:hAnsi="Book Antiqua"/>
        </w:rPr>
        <w:t xml:space="preserve">Solar Photovoltaic; Technical </w:t>
      </w:r>
      <w:r w:rsidR="00DB6AE7" w:rsidRPr="00E3232D">
        <w:rPr>
          <w:rFonts w:ascii="Book Antiqua" w:hAnsi="Book Antiqua"/>
        </w:rPr>
        <w:t>Assessment</w:t>
      </w:r>
      <w:r w:rsidRPr="00E3232D">
        <w:rPr>
          <w:rFonts w:ascii="Book Antiqua" w:hAnsi="Book Antiqua"/>
        </w:rPr>
        <w:t xml:space="preserve">; </w:t>
      </w:r>
      <w:r w:rsidR="00DB6AE7" w:rsidRPr="00E3232D">
        <w:rPr>
          <w:rFonts w:ascii="Book Antiqua" w:hAnsi="Book Antiqua"/>
        </w:rPr>
        <w:t>Lighting</w:t>
      </w:r>
      <w:r w:rsidRPr="00E3232D">
        <w:rPr>
          <w:rFonts w:ascii="Book Antiqua" w:hAnsi="Book Antiqua"/>
        </w:rPr>
        <w:t xml:space="preserve">; </w:t>
      </w:r>
      <w:r w:rsidR="00DB6AE7" w:rsidRPr="00E3232D">
        <w:rPr>
          <w:rFonts w:ascii="Book Antiqua" w:hAnsi="Book Antiqua"/>
        </w:rPr>
        <w:t>Hostel</w:t>
      </w:r>
      <w:r w:rsidRPr="00E3232D">
        <w:rPr>
          <w:rFonts w:ascii="Book Antiqua" w:hAnsi="Book Antiqua"/>
        </w:rPr>
        <w:t>; Ghana</w:t>
      </w:r>
    </w:p>
    <w:p w14:paraId="71C34EA3" w14:textId="77777777" w:rsidR="004A1E36" w:rsidRPr="00E3232D" w:rsidRDefault="004A1E36" w:rsidP="008275E1">
      <w:pPr>
        <w:autoSpaceDE w:val="0"/>
        <w:autoSpaceDN w:val="0"/>
        <w:adjustRightInd w:val="0"/>
        <w:rPr>
          <w:rFonts w:ascii="Book Antiqua" w:hAnsi="Book Antiqua"/>
        </w:rPr>
        <w:sectPr w:rsidR="004A1E36" w:rsidRPr="00E3232D" w:rsidSect="008F6BC9">
          <w:type w:val="continuous"/>
          <w:pgSz w:w="11907" w:h="16839" w:code="9"/>
          <w:pgMar w:top="1135" w:right="1440" w:bottom="1440" w:left="1440" w:header="0" w:footer="720" w:gutter="0"/>
          <w:cols w:space="720"/>
          <w:titlePg/>
          <w:docGrid w:linePitch="360"/>
        </w:sectPr>
      </w:pPr>
    </w:p>
    <w:p w14:paraId="6CACA7D7" w14:textId="77777777" w:rsidR="00BD61C8" w:rsidRPr="00E3232D" w:rsidRDefault="00BD61C8" w:rsidP="008275E1">
      <w:pPr>
        <w:autoSpaceDE w:val="0"/>
        <w:autoSpaceDN w:val="0"/>
        <w:adjustRightInd w:val="0"/>
        <w:rPr>
          <w:rFonts w:ascii="Book Antiqua" w:hAnsi="Book Antiqua"/>
        </w:rPr>
      </w:pPr>
    </w:p>
    <w:p w14:paraId="36AFE136" w14:textId="77777777" w:rsidR="006D5371" w:rsidRPr="00EE6DFD" w:rsidRDefault="00BD61C8" w:rsidP="00196385">
      <w:pPr>
        <w:pStyle w:val="ListParagraph"/>
        <w:numPr>
          <w:ilvl w:val="0"/>
          <w:numId w:val="83"/>
        </w:numPr>
        <w:autoSpaceDE w:val="0"/>
        <w:autoSpaceDN w:val="0"/>
        <w:adjustRightInd w:val="0"/>
        <w:jc w:val="both"/>
        <w:rPr>
          <w:rFonts w:ascii="Book Antiqua" w:hAnsi="Book Antiqua"/>
          <w:b/>
        </w:rPr>
      </w:pPr>
      <w:r w:rsidRPr="00EE6DFD">
        <w:rPr>
          <w:rFonts w:ascii="Book Antiqua" w:hAnsi="Book Antiqua"/>
          <w:b/>
          <w:sz w:val="26"/>
        </w:rPr>
        <w:t>Introduction</w:t>
      </w:r>
    </w:p>
    <w:p w14:paraId="145FA312" w14:textId="77777777" w:rsidR="00E3179F" w:rsidRDefault="00BD61C8" w:rsidP="00EE6DFD">
      <w:pPr>
        <w:jc w:val="both"/>
        <w:rPr>
          <w:rFonts w:ascii="Book Antiqua" w:hAnsi="Book Antiqua"/>
        </w:rPr>
      </w:pPr>
      <w:r w:rsidRPr="00E3232D">
        <w:rPr>
          <w:rFonts w:ascii="Book Antiqua" w:hAnsi="Book Antiqua"/>
        </w:rPr>
        <w:t xml:space="preserve">Solar energy has experienced an impressive technological shift. While early solar technologies consisted of small-scale photovoltaic PV cells, recent technologies are represented by concentrated solar power (CSP) and also by large-scale PV systems that feed into electricity grids. The costs of solar energy technologies have dropped substantially over the last 30 years. For example, the cost of high </w:t>
      </w:r>
    </w:p>
    <w:p w14:paraId="33FFA3D6" w14:textId="77777777" w:rsidR="00E3179F" w:rsidRDefault="00E3179F" w:rsidP="00EE6DFD">
      <w:pPr>
        <w:jc w:val="both"/>
        <w:rPr>
          <w:rFonts w:ascii="Book Antiqua" w:hAnsi="Book Antiqua"/>
        </w:rPr>
      </w:pPr>
    </w:p>
    <w:p w14:paraId="713D085B" w14:textId="77777777" w:rsidR="00E3179F" w:rsidRDefault="00E3179F" w:rsidP="00EE6DFD">
      <w:pPr>
        <w:jc w:val="both"/>
        <w:rPr>
          <w:rFonts w:ascii="Book Antiqua" w:hAnsi="Book Antiqua"/>
        </w:rPr>
      </w:pPr>
    </w:p>
    <w:p w14:paraId="4D766D10" w14:textId="77777777" w:rsidR="00585E17" w:rsidRDefault="00BD61C8" w:rsidP="00EE6DFD">
      <w:pPr>
        <w:jc w:val="both"/>
        <w:rPr>
          <w:rFonts w:ascii="Book Antiqua" w:hAnsi="Book Antiqua"/>
        </w:rPr>
      </w:pPr>
      <w:r w:rsidRPr="00E3232D">
        <w:rPr>
          <w:rFonts w:ascii="Book Antiqua" w:hAnsi="Book Antiqua"/>
        </w:rPr>
        <w:t>power band solar modules has decreased from about $27,000/kW in 1982 to about $4,000/kW in</w:t>
      </w:r>
      <w:r w:rsidR="00346697">
        <w:rPr>
          <w:rFonts w:ascii="Book Antiqua" w:hAnsi="Book Antiqua"/>
        </w:rPr>
        <w:t xml:space="preserve"> </w:t>
      </w:r>
      <w:r w:rsidRPr="00E3232D">
        <w:rPr>
          <w:rFonts w:ascii="Book Antiqua" w:hAnsi="Book Antiqua"/>
        </w:rPr>
        <w:t>2006; the installed cost of a PV system declined from $16,000/kW in</w:t>
      </w:r>
    </w:p>
    <w:p w14:paraId="5342EF21" w14:textId="77777777" w:rsidR="00585E17" w:rsidRDefault="00585E17" w:rsidP="00EE6DFD">
      <w:pPr>
        <w:jc w:val="both"/>
        <w:rPr>
          <w:rFonts w:ascii="Book Antiqua" w:hAnsi="Book Antiqua"/>
        </w:rPr>
      </w:pPr>
    </w:p>
    <w:p w14:paraId="49DCA98B" w14:textId="77777777" w:rsidR="00585E17" w:rsidRDefault="00585E17" w:rsidP="00EE6DFD">
      <w:pPr>
        <w:jc w:val="both"/>
        <w:rPr>
          <w:rFonts w:ascii="Book Antiqua" w:hAnsi="Book Antiqua"/>
        </w:rPr>
      </w:pPr>
    </w:p>
    <w:p w14:paraId="31610A32" w14:textId="77777777" w:rsidR="00585E17" w:rsidRDefault="00585E17" w:rsidP="00EE6DFD">
      <w:pPr>
        <w:jc w:val="both"/>
        <w:rPr>
          <w:rFonts w:ascii="Book Antiqua" w:hAnsi="Book Antiqua"/>
        </w:rPr>
      </w:pPr>
    </w:p>
    <w:p w14:paraId="72D0EBB0" w14:textId="77777777" w:rsidR="00585E17" w:rsidRDefault="00585E17" w:rsidP="00EE6DFD">
      <w:pPr>
        <w:jc w:val="both"/>
        <w:rPr>
          <w:rFonts w:ascii="Book Antiqua" w:hAnsi="Book Antiqua"/>
        </w:rPr>
      </w:pPr>
    </w:p>
    <w:p w14:paraId="53EEC2BC" w14:textId="77777777" w:rsidR="00585E17" w:rsidRDefault="00585E17" w:rsidP="00EE6DFD">
      <w:pPr>
        <w:jc w:val="both"/>
        <w:rPr>
          <w:rFonts w:ascii="Book Antiqua" w:hAnsi="Book Antiqua"/>
        </w:rPr>
      </w:pPr>
    </w:p>
    <w:p w14:paraId="09B1939F" w14:textId="77777777" w:rsidR="00585E17" w:rsidRDefault="00585E17" w:rsidP="00EE6DFD">
      <w:pPr>
        <w:jc w:val="both"/>
        <w:rPr>
          <w:rFonts w:ascii="Book Antiqua" w:hAnsi="Book Antiqua"/>
        </w:rPr>
      </w:pPr>
    </w:p>
    <w:p w14:paraId="7C78EEC2" w14:textId="77777777" w:rsidR="00585E17" w:rsidRDefault="00585E17" w:rsidP="00EE6DFD">
      <w:pPr>
        <w:jc w:val="both"/>
        <w:rPr>
          <w:rFonts w:ascii="Book Antiqua" w:hAnsi="Book Antiqua"/>
        </w:rPr>
      </w:pPr>
    </w:p>
    <w:p w14:paraId="466C8AED" w14:textId="77777777" w:rsidR="00585E17" w:rsidRDefault="00585E17" w:rsidP="00EE6DFD">
      <w:pPr>
        <w:jc w:val="both"/>
        <w:rPr>
          <w:rFonts w:ascii="Book Antiqua" w:hAnsi="Book Antiqua"/>
        </w:rPr>
      </w:pPr>
    </w:p>
    <w:p w14:paraId="4D1A8914" w14:textId="77777777" w:rsidR="00EE6DFD" w:rsidRPr="00585E17" w:rsidRDefault="00BD61C8" w:rsidP="00585E17">
      <w:pPr>
        <w:jc w:val="both"/>
        <w:rPr>
          <w:rFonts w:ascii="Book Antiqua" w:hAnsi="Book Antiqua"/>
        </w:rPr>
      </w:pPr>
      <w:r w:rsidRPr="00E3232D">
        <w:rPr>
          <w:rFonts w:ascii="Book Antiqua" w:hAnsi="Book Antiqua"/>
        </w:rPr>
        <w:t xml:space="preserve"> </w:t>
      </w:r>
      <w:r w:rsidR="00EE6DFD" w:rsidRPr="00E3232D">
        <w:rPr>
          <w:rFonts w:ascii="Book Antiqua" w:hAnsi="Book Antiqua"/>
          <w:b/>
        </w:rPr>
        <w:t>Source: REN21 Renewables 2012. Global status report.</w:t>
      </w:r>
    </w:p>
    <w:p w14:paraId="0E099C16" w14:textId="77777777" w:rsidR="00BD61C8" w:rsidRPr="00E3232D" w:rsidRDefault="00BD61C8" w:rsidP="00EE6DFD">
      <w:pPr>
        <w:jc w:val="both"/>
        <w:rPr>
          <w:rFonts w:ascii="Book Antiqua" w:hAnsi="Book Antiqua"/>
        </w:rPr>
      </w:pPr>
      <w:r w:rsidRPr="00E3232D">
        <w:rPr>
          <w:rFonts w:ascii="Book Antiqua" w:hAnsi="Book Antiqua"/>
        </w:rPr>
        <w:t xml:space="preserve">1992 to around $6,000/kW in 2008 (IEA-PVPS , 2007: Lazard, 2009). The rapid expansion of the solar energy market can be attributed to a number of supportive policy instruments, the increased volatility of fossil fuel prices and the environmental externalities of fossil fuels, particularly greenhouse gas (GHG) emissions. Theoretically, solar energy has resource potential that far exceeds the entire global energy demand (EPIA/Greenpeace, 2008). Despite this technical potential and the recent growth of the market, the contribution of solar energy to the global energy supply mix is still negligible (IEA, 2009). </w:t>
      </w:r>
    </w:p>
    <w:p w14:paraId="21B5A6F9" w14:textId="77777777" w:rsidR="00DC5755" w:rsidRDefault="00585E17" w:rsidP="00EE6DFD">
      <w:pPr>
        <w:jc w:val="both"/>
        <w:rPr>
          <w:rFonts w:ascii="Book Antiqua" w:hAnsi="Book Antiqua"/>
        </w:rPr>
      </w:pPr>
      <w:r>
        <w:rPr>
          <w:rFonts w:ascii="Book Antiqua" w:hAnsi="Book Antiqua"/>
          <w:noProof/>
          <w:lang w:bidi="ar-SA"/>
        </w:rPr>
        <w:drawing>
          <wp:anchor distT="0" distB="0" distL="114300" distR="114300" simplePos="0" relativeHeight="251665408" behindDoc="1" locked="0" layoutInCell="1" allowOverlap="1" wp14:anchorId="351D8AEA" wp14:editId="49670054">
            <wp:simplePos x="0" y="0"/>
            <wp:positionH relativeFrom="column">
              <wp:posOffset>104775</wp:posOffset>
            </wp:positionH>
            <wp:positionV relativeFrom="paragraph">
              <wp:posOffset>-4391660</wp:posOffset>
            </wp:positionV>
            <wp:extent cx="4171950" cy="2686050"/>
            <wp:effectExtent l="19050" t="0" r="0" b="0"/>
            <wp:wrapTight wrapText="bothSides">
              <wp:wrapPolygon edited="0">
                <wp:start x="-99" y="0"/>
                <wp:lineTo x="-99" y="21447"/>
                <wp:lineTo x="21600" y="21447"/>
                <wp:lineTo x="21600" y="0"/>
                <wp:lineTo x="-99" y="0"/>
              </wp:wrapPolygon>
            </wp:wrapTight>
            <wp:docPr id="116" name="irc_mi" descr="http://upload.wikimedia.org/wikipedia/commons/thumb/6/67/Total_World_Energy_Consumption_by_Source_2010.png/800px-Total_World_Energy_Consumption_by_Source_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6/67/Total_World_Energy_Consumption_by_Source_2010.png/800px-Total_World_Energy_Consumption_by_Source_2010.png"/>
                    <pic:cNvPicPr>
                      <a:picLocks noChangeAspect="1" noChangeArrowheads="1"/>
                    </pic:cNvPicPr>
                  </pic:nvPicPr>
                  <pic:blipFill>
                    <a:blip r:embed="rId237"/>
                    <a:srcRect/>
                    <a:stretch>
                      <a:fillRect/>
                    </a:stretch>
                  </pic:blipFill>
                  <pic:spPr bwMode="auto">
                    <a:xfrm>
                      <a:off x="0" y="0"/>
                      <a:ext cx="4171950" cy="2686050"/>
                    </a:xfrm>
                    <a:prstGeom prst="rect">
                      <a:avLst/>
                    </a:prstGeom>
                    <a:noFill/>
                    <a:ln w="9525">
                      <a:noFill/>
                      <a:miter lim="800000"/>
                      <a:headEnd/>
                      <a:tailEnd/>
                    </a:ln>
                  </pic:spPr>
                </pic:pic>
              </a:graphicData>
            </a:graphic>
          </wp:anchor>
        </w:drawing>
      </w:r>
      <w:r w:rsidR="00BD61C8" w:rsidRPr="00E3232D">
        <w:rPr>
          <w:rFonts w:ascii="Book Antiqua" w:hAnsi="Book Antiqua"/>
        </w:rPr>
        <w:t xml:space="preserve">Energy and its use has become one of the important phenomena on which daily modern life activities of cities, industries, factories and transportation revolves, and should there be a shortage of energy supply, life on earth would not function properly. Energy is fundamental to quality live today, and we always find ourselves totally dependent on its supply for living and working (Qurashi and Tajammul, 2005). With the continuous situation of increasing energy demand, unstable energy prices and reinforcement of counter measures for global warming, renewable energy sources such as solar photovoltaic (PV) system, wind energy etc have taken the spotlight and have been widely exploited and developed in recent years (Ahmed and Bansal, 2007). The demand for energy continues to increase as the population of the world continues to increase. One of the world’s greatest challenges will be how to meet the rising energy demand. Many of these technologies are well suited in specific areas based on the natural resources available there. However, a common problem for the majority of these technologies is that they are often associated with very high initial capital cost and a dependency on foreign financing and expertise. One solution that has proven itself to be very useful in most rural areas in developing countries is the use of solar PV. </w:t>
      </w:r>
      <w:r w:rsidR="00BD61C8" w:rsidRPr="00E3232D">
        <w:rPr>
          <w:rFonts w:ascii="Book Antiqua" w:hAnsi="Book Antiqua"/>
          <w:color w:val="000000"/>
        </w:rPr>
        <w:t xml:space="preserve">Solar energy technologies can be classified along the following </w:t>
      </w:r>
      <w:r w:rsidR="00BD61C8" w:rsidRPr="00E3232D">
        <w:rPr>
          <w:rFonts w:ascii="Book Antiqua" w:hAnsi="Book Antiqua"/>
          <w:iCs/>
          <w:color w:val="000000"/>
        </w:rPr>
        <w:t>continuum</w:t>
      </w:r>
      <w:r w:rsidR="00BD61C8" w:rsidRPr="00E3232D">
        <w:rPr>
          <w:rFonts w:ascii="Book Antiqua" w:hAnsi="Book Antiqua"/>
          <w:color w:val="000000"/>
        </w:rPr>
        <w:t xml:space="preserve">: 1) passive and active; 2) thermal and photovoltaic; and 3) concentrating and non-concentrating. Passive solar energy technology merely collects the energy without converting the heat or light into other forms. It includes, for example, maximizing the use of day light or heat through building design. In contrast, active solar energy technology refers to the harnessing of solar energy to store it or convert it for other applications and can be broadly classified into two groups: (i) photovoltaic (PV) and (ii) solar thermal. The PV technology converts radiant energy contained in light quanta into electrical energy when light falls upon a semiconductor material, causing electron excitation and strongly enhancing conductivity </w:t>
      </w:r>
      <w:r w:rsidR="00BD61C8" w:rsidRPr="00E3232D">
        <w:rPr>
          <w:rFonts w:ascii="Book Antiqua" w:hAnsi="Book Antiqua"/>
        </w:rPr>
        <w:t>(Bradford, 2006).</w:t>
      </w:r>
    </w:p>
    <w:p w14:paraId="50D37406" w14:textId="77777777" w:rsidR="00EE6DFD" w:rsidRDefault="00EE6DFD" w:rsidP="00EE6DFD">
      <w:pPr>
        <w:jc w:val="both"/>
        <w:rPr>
          <w:rFonts w:ascii="Book Antiqua" w:hAnsi="Book Antiqua"/>
          <w:color w:val="000000"/>
        </w:rPr>
      </w:pPr>
      <w:r w:rsidRPr="00E3232D">
        <w:rPr>
          <w:rFonts w:ascii="Book Antiqua" w:hAnsi="Book Antiqua"/>
          <w:color w:val="000000"/>
        </w:rPr>
        <w:t xml:space="preserve">Two types of PV technology are currently available in the market: (a) crystalline silicon-based PV cells and (b) thin film technologies made out of a range of </w:t>
      </w:r>
      <w:r>
        <w:rPr>
          <w:rFonts w:ascii="Book Antiqua" w:hAnsi="Book Antiqua"/>
          <w:color w:val="000000"/>
        </w:rPr>
        <w:t xml:space="preserve"> </w:t>
      </w:r>
      <w:r w:rsidRPr="00E3232D">
        <w:rPr>
          <w:rFonts w:ascii="Book Antiqua" w:hAnsi="Book Antiqua"/>
          <w:color w:val="000000"/>
        </w:rPr>
        <w:t>different semi-conductor materials, including amorphous silicon, cadmium-telluride and copper indium gallium diselenide. Solar the technology uses solar heat, which can be used directly for either thermal or heating application or electricity generation</w:t>
      </w:r>
      <w:r>
        <w:rPr>
          <w:rFonts w:ascii="Book Antiqua" w:hAnsi="Book Antiqua"/>
          <w:color w:val="000000"/>
        </w:rPr>
        <w:t xml:space="preserve">. </w:t>
      </w:r>
    </w:p>
    <w:p w14:paraId="5B16F4A7" w14:textId="77777777" w:rsidR="00EE6DFD" w:rsidRDefault="00EE6DFD" w:rsidP="00EE6DFD">
      <w:pPr>
        <w:jc w:val="both"/>
        <w:rPr>
          <w:rFonts w:ascii="Book Antiqua" w:hAnsi="Book Antiqua"/>
          <w:color w:val="000000"/>
        </w:rPr>
      </w:pPr>
      <w:r w:rsidRPr="00E3232D">
        <w:rPr>
          <w:rFonts w:ascii="Book Antiqua" w:hAnsi="Book Antiqua"/>
          <w:color w:val="000000"/>
        </w:rPr>
        <w:t>Accordingly, it can be divided into two categories: (i) solar thermal non-electric and (ii) solar thermal electric. The former includes applications as agricultural drying, solar water heaters, solar air heaters, solar cooling systems and solar cookers (</w:t>
      </w:r>
      <w:r w:rsidRPr="00E3232D">
        <w:rPr>
          <w:rFonts w:ascii="Book Antiqua" w:hAnsi="Book Antiqua"/>
        </w:rPr>
        <w:t>Weiss et al, 2007)</w:t>
      </w:r>
      <w:r w:rsidRPr="00E3232D">
        <w:rPr>
          <w:rFonts w:ascii="Book Antiqua" w:hAnsi="Book Antiqua"/>
          <w:color w:val="000000"/>
        </w:rPr>
        <w:t>; the latter refers to use of solar heat to produce steam for electricity generation, also known as concentrated solar power (CSP)</w:t>
      </w:r>
      <w:r>
        <w:rPr>
          <w:rFonts w:ascii="Book Antiqua" w:hAnsi="Book Antiqua"/>
          <w:color w:val="000000"/>
        </w:rPr>
        <w:t>.</w:t>
      </w:r>
      <w:r w:rsidRPr="00EE6DFD">
        <w:rPr>
          <w:rFonts w:ascii="Book Antiqua" w:hAnsi="Book Antiqua"/>
          <w:color w:val="000000"/>
        </w:rPr>
        <w:t xml:space="preserve"> </w:t>
      </w:r>
      <w:r w:rsidRPr="00E3232D">
        <w:rPr>
          <w:rFonts w:ascii="Book Antiqua" w:hAnsi="Book Antiqua"/>
          <w:color w:val="000000"/>
        </w:rPr>
        <w:t>Four types of CSP technologies are currently available in the market: Parabolic Trough</w:t>
      </w:r>
    </w:p>
    <w:p w14:paraId="1AB488C8" w14:textId="77777777" w:rsidR="00EE6DFD" w:rsidRDefault="00EE6DFD" w:rsidP="00EE6DFD">
      <w:pPr>
        <w:jc w:val="both"/>
        <w:rPr>
          <w:rFonts w:ascii="Book Antiqua" w:hAnsi="Book Antiqua"/>
        </w:rPr>
      </w:pPr>
      <w:r w:rsidRPr="00E3232D">
        <w:rPr>
          <w:rFonts w:ascii="Book Antiqua" w:hAnsi="Book Antiqua"/>
          <w:color w:val="000000"/>
        </w:rPr>
        <w:t>, Fresnel Mirror, Power Tower and Solar Dish Collector (</w:t>
      </w:r>
      <w:r w:rsidRPr="00E3232D">
        <w:rPr>
          <w:rFonts w:ascii="Book Antiqua" w:hAnsi="Book Antiqua"/>
        </w:rPr>
        <w:t>Wolff, et al, 2008).  Presently Ghana’s power generation capacity is far less than what it should supply forcing the rationing of power. The worse of the situation is the lack of the right amount of investment from the government into the sector to expand the systems and to build new ones (Waqar, 2013).</w:t>
      </w:r>
      <w:r w:rsidRPr="00EE6DFD">
        <w:rPr>
          <w:rFonts w:ascii="Book Antiqua" w:hAnsi="Book Antiqua"/>
        </w:rPr>
        <w:t xml:space="preserve"> </w:t>
      </w:r>
    </w:p>
    <w:p w14:paraId="1AF01988" w14:textId="77777777" w:rsidR="002319C6" w:rsidRPr="00E3232D" w:rsidRDefault="00EE6DFD" w:rsidP="00EE6DFD">
      <w:pPr>
        <w:jc w:val="both"/>
        <w:rPr>
          <w:rFonts w:ascii="Book Antiqua" w:hAnsi="Book Antiqua"/>
        </w:rPr>
      </w:pPr>
      <w:r w:rsidRPr="00E3232D">
        <w:rPr>
          <w:rFonts w:ascii="Book Antiqua" w:hAnsi="Book Antiqua"/>
        </w:rPr>
        <w:t>The need arises therefore for alternative power sources to augment what is available.</w:t>
      </w:r>
      <w:r w:rsidRPr="00EE6DFD">
        <w:rPr>
          <w:rFonts w:ascii="Book Antiqua" w:hAnsi="Book Antiqua"/>
        </w:rPr>
        <w:t xml:space="preserve"> </w:t>
      </w:r>
      <w:r w:rsidRPr="00E3232D">
        <w:rPr>
          <w:rFonts w:ascii="Book Antiqua" w:hAnsi="Book Antiqua"/>
        </w:rPr>
        <w:t>The significance of the study therefore is to technically assess the possibility of installing a solar PV system to power the</w:t>
      </w:r>
      <w:r w:rsidRPr="00EE6DFD">
        <w:rPr>
          <w:rFonts w:ascii="Book Antiqua" w:hAnsi="Book Antiqua"/>
        </w:rPr>
        <w:t xml:space="preserve"> </w:t>
      </w:r>
      <w:r w:rsidRPr="00E3232D">
        <w:rPr>
          <w:rFonts w:ascii="Book Antiqua" w:hAnsi="Book Antiqua"/>
        </w:rPr>
        <w:t>lighting needs of the GETFUND hostel at</w:t>
      </w:r>
      <w:r w:rsidRPr="00EE6DFD">
        <w:rPr>
          <w:rFonts w:ascii="Book Antiqua" w:hAnsi="Book Antiqua"/>
        </w:rPr>
        <w:t xml:space="preserve"> </w:t>
      </w:r>
      <w:r w:rsidRPr="00E3232D">
        <w:rPr>
          <w:rFonts w:ascii="Book Antiqua" w:hAnsi="Book Antiqua"/>
        </w:rPr>
        <w:t>Koforidua polytechnic which houses</w:t>
      </w:r>
      <w:r>
        <w:rPr>
          <w:rFonts w:ascii="Book Antiqua" w:hAnsi="Book Antiqua"/>
        </w:rPr>
        <w:t xml:space="preserve"> students of the Polytechnic.</w:t>
      </w:r>
    </w:p>
    <w:p w14:paraId="081024B7" w14:textId="77777777" w:rsidR="002319C6" w:rsidRPr="00E3232D" w:rsidRDefault="002319C6" w:rsidP="002319C6">
      <w:pPr>
        <w:rPr>
          <w:rFonts w:ascii="Book Antiqua" w:hAnsi="Book Antiqua"/>
          <w:b/>
        </w:rPr>
      </w:pPr>
      <w:r w:rsidRPr="00E3232D">
        <w:rPr>
          <w:rFonts w:ascii="Book Antiqua" w:hAnsi="Book Antiqua"/>
          <w:b/>
        </w:rPr>
        <w:t>2.0</w:t>
      </w:r>
      <w:r w:rsidRPr="00E3232D">
        <w:rPr>
          <w:rFonts w:ascii="Book Antiqua" w:hAnsi="Book Antiqua"/>
        </w:rPr>
        <w:t xml:space="preserve"> </w:t>
      </w:r>
      <w:r w:rsidRPr="00EE6DFD">
        <w:rPr>
          <w:rFonts w:ascii="Book Antiqua" w:hAnsi="Book Antiqua"/>
          <w:b/>
          <w:sz w:val="26"/>
        </w:rPr>
        <w:t>Methods</w:t>
      </w:r>
      <w:r w:rsidRPr="00E3232D">
        <w:rPr>
          <w:rFonts w:ascii="Book Antiqua" w:hAnsi="Book Antiqua"/>
          <w:b/>
        </w:rPr>
        <w:t xml:space="preserve"> </w:t>
      </w:r>
      <w:r w:rsidR="00EE6DFD" w:rsidRPr="00EE6DFD">
        <w:rPr>
          <w:rFonts w:ascii="Book Antiqua" w:hAnsi="Book Antiqua"/>
          <w:b/>
          <w:sz w:val="26"/>
        </w:rPr>
        <w:t>Used</w:t>
      </w:r>
    </w:p>
    <w:p w14:paraId="6E5D3DB2" w14:textId="77777777" w:rsidR="002319C6" w:rsidRPr="00E3232D" w:rsidRDefault="002319C6" w:rsidP="002319C6">
      <w:pPr>
        <w:autoSpaceDE w:val="0"/>
        <w:autoSpaceDN w:val="0"/>
        <w:adjustRightInd w:val="0"/>
        <w:rPr>
          <w:rFonts w:ascii="Book Antiqua" w:hAnsi="Book Antiqua"/>
          <w:b/>
          <w:bCs/>
        </w:rPr>
      </w:pPr>
      <w:r w:rsidRPr="00E3232D">
        <w:rPr>
          <w:rFonts w:ascii="Book Antiqua" w:hAnsi="Book Antiqua"/>
          <w:b/>
          <w:bCs/>
        </w:rPr>
        <w:t>2.1 Data collection</w:t>
      </w:r>
    </w:p>
    <w:p w14:paraId="0A14BEDE" w14:textId="77777777" w:rsidR="002319C6" w:rsidRPr="00E3232D" w:rsidRDefault="002319C6" w:rsidP="00585E17">
      <w:pPr>
        <w:autoSpaceDE w:val="0"/>
        <w:autoSpaceDN w:val="0"/>
        <w:adjustRightInd w:val="0"/>
        <w:spacing w:after="0"/>
        <w:jc w:val="both"/>
        <w:rPr>
          <w:rFonts w:ascii="Book Antiqua" w:hAnsi="Book Antiqua"/>
          <w:bCs/>
        </w:rPr>
      </w:pPr>
      <w:r w:rsidRPr="00E3232D">
        <w:rPr>
          <w:rFonts w:ascii="Book Antiqua" w:hAnsi="Book Antiqua"/>
          <w:bCs/>
        </w:rPr>
        <w:t>Two methods were used to collect data for this research: field work and standard method. The field work involved moving to the Getfund hostel on Koforidua polytechnic campus, while the standard method involved quantifying energy needs. The data collection methods are described in detail below.</w:t>
      </w:r>
    </w:p>
    <w:p w14:paraId="58EAFF06" w14:textId="77777777" w:rsidR="002319C6" w:rsidRPr="00E3232D" w:rsidRDefault="002319C6" w:rsidP="00EE6DFD">
      <w:pPr>
        <w:autoSpaceDE w:val="0"/>
        <w:autoSpaceDN w:val="0"/>
        <w:adjustRightInd w:val="0"/>
        <w:spacing w:after="0"/>
        <w:rPr>
          <w:rFonts w:ascii="Book Antiqua" w:hAnsi="Book Antiqua"/>
          <w:bCs/>
        </w:rPr>
      </w:pPr>
    </w:p>
    <w:p w14:paraId="4A4661BF" w14:textId="77777777" w:rsidR="002319C6" w:rsidRPr="00E3232D" w:rsidRDefault="002319C6" w:rsidP="002319C6">
      <w:pPr>
        <w:autoSpaceDE w:val="0"/>
        <w:autoSpaceDN w:val="0"/>
        <w:adjustRightInd w:val="0"/>
        <w:rPr>
          <w:rFonts w:ascii="Book Antiqua" w:hAnsi="Book Antiqua"/>
          <w:b/>
          <w:bCs/>
        </w:rPr>
      </w:pPr>
      <w:r w:rsidRPr="00E3232D">
        <w:rPr>
          <w:rFonts w:ascii="Book Antiqua" w:hAnsi="Book Antiqua"/>
          <w:b/>
          <w:bCs/>
        </w:rPr>
        <w:t>2.1.1 Field work</w:t>
      </w:r>
    </w:p>
    <w:p w14:paraId="0920AAB1" w14:textId="77777777" w:rsidR="002319C6" w:rsidRPr="00585E17" w:rsidRDefault="002319C6" w:rsidP="00585E17">
      <w:pPr>
        <w:autoSpaceDE w:val="0"/>
        <w:autoSpaceDN w:val="0"/>
        <w:adjustRightInd w:val="0"/>
        <w:jc w:val="both"/>
        <w:rPr>
          <w:rFonts w:ascii="Book Antiqua" w:hAnsi="Book Antiqua"/>
          <w:bCs/>
        </w:rPr>
      </w:pPr>
      <w:r w:rsidRPr="00E3232D">
        <w:rPr>
          <w:rFonts w:ascii="Book Antiqua" w:hAnsi="Book Antiqua"/>
          <w:bCs/>
        </w:rPr>
        <w:t>Three (3) major activities were conducted during the field work stage of the study, a walk through audit, interviews and site survey. General and specific descriptions of the aforementioned activities are presented below.</w:t>
      </w:r>
    </w:p>
    <w:p w14:paraId="4540F4A9" w14:textId="77777777" w:rsidR="002319C6" w:rsidRPr="00E3232D" w:rsidRDefault="002319C6" w:rsidP="00EE6DFD">
      <w:pPr>
        <w:autoSpaceDE w:val="0"/>
        <w:autoSpaceDN w:val="0"/>
        <w:adjustRightInd w:val="0"/>
        <w:jc w:val="both"/>
        <w:rPr>
          <w:rFonts w:ascii="Book Antiqua" w:hAnsi="Book Antiqua"/>
          <w:bCs/>
        </w:rPr>
      </w:pPr>
      <w:r w:rsidRPr="00E3232D">
        <w:rPr>
          <w:rFonts w:ascii="Book Antiqua" w:hAnsi="Book Antiqua"/>
          <w:b/>
          <w:bCs/>
        </w:rPr>
        <w:t xml:space="preserve">2.1.1.1 Walk through audit </w:t>
      </w:r>
    </w:p>
    <w:p w14:paraId="67F6BF40" w14:textId="77777777" w:rsidR="002319C6" w:rsidRPr="00E3232D" w:rsidRDefault="002319C6" w:rsidP="00585E17">
      <w:pPr>
        <w:autoSpaceDE w:val="0"/>
        <w:autoSpaceDN w:val="0"/>
        <w:adjustRightInd w:val="0"/>
        <w:spacing w:after="0"/>
        <w:jc w:val="both"/>
        <w:rPr>
          <w:rFonts w:ascii="Book Antiqua" w:hAnsi="Book Antiqua"/>
          <w:bCs/>
        </w:rPr>
      </w:pPr>
      <w:r w:rsidRPr="00E3232D">
        <w:rPr>
          <w:rFonts w:ascii="Book Antiqua" w:hAnsi="Book Antiqua"/>
          <w:bCs/>
        </w:rPr>
        <w:t xml:space="preserve">The walk through method involved touring of the facility to visually inspect the type of each of the fixtures and the lamps being used at the hostel. It also included noting the number of lambs in each room at the hostel. </w:t>
      </w:r>
    </w:p>
    <w:p w14:paraId="0013DB83" w14:textId="77777777" w:rsidR="002319C6" w:rsidRPr="00E3232D" w:rsidRDefault="002319C6" w:rsidP="00EE6DFD">
      <w:pPr>
        <w:autoSpaceDE w:val="0"/>
        <w:autoSpaceDN w:val="0"/>
        <w:adjustRightInd w:val="0"/>
        <w:spacing w:after="0"/>
        <w:jc w:val="both"/>
        <w:rPr>
          <w:rFonts w:ascii="Book Antiqua" w:hAnsi="Book Antiqua"/>
          <w:b/>
          <w:bCs/>
        </w:rPr>
      </w:pPr>
    </w:p>
    <w:p w14:paraId="14D8DB3A" w14:textId="77777777" w:rsidR="002319C6" w:rsidRPr="00E3232D" w:rsidRDefault="002319C6" w:rsidP="00EE6DFD">
      <w:pPr>
        <w:autoSpaceDE w:val="0"/>
        <w:autoSpaceDN w:val="0"/>
        <w:adjustRightInd w:val="0"/>
        <w:jc w:val="both"/>
        <w:rPr>
          <w:rFonts w:ascii="Book Antiqua" w:hAnsi="Book Antiqua"/>
          <w:bCs/>
        </w:rPr>
      </w:pPr>
      <w:r w:rsidRPr="00E3232D">
        <w:rPr>
          <w:rFonts w:ascii="Book Antiqua" w:hAnsi="Book Antiqua"/>
          <w:b/>
          <w:bCs/>
        </w:rPr>
        <w:t>2.1.1.2 Interview method</w:t>
      </w:r>
    </w:p>
    <w:p w14:paraId="5E5F011C" w14:textId="77777777" w:rsidR="002319C6" w:rsidRPr="00E3232D" w:rsidRDefault="002319C6" w:rsidP="00EE6DFD">
      <w:pPr>
        <w:autoSpaceDE w:val="0"/>
        <w:autoSpaceDN w:val="0"/>
        <w:adjustRightInd w:val="0"/>
        <w:jc w:val="both"/>
        <w:rPr>
          <w:rFonts w:ascii="Book Antiqua" w:hAnsi="Book Antiqua"/>
          <w:bCs/>
        </w:rPr>
      </w:pPr>
      <w:r w:rsidRPr="00E3232D">
        <w:rPr>
          <w:rFonts w:ascii="Book Antiqua" w:hAnsi="Book Antiqua"/>
          <w:bCs/>
        </w:rPr>
        <w:t>This method was used to collect first hand information from the occupants of the various rooms on how the lights are controlled and the hours of usage. The people interviewed in this study included the occupants of the rooms at the hostel, the super market owner and attendants, restaurant owner and waitress, and the internet café attendant. Most of the questions posed during the interviews were centered on the hours of operation.</w:t>
      </w:r>
    </w:p>
    <w:p w14:paraId="7DBA69C7" w14:textId="77777777" w:rsidR="002319C6" w:rsidRPr="00E3232D" w:rsidRDefault="002319C6" w:rsidP="00EE6DFD">
      <w:pPr>
        <w:autoSpaceDE w:val="0"/>
        <w:autoSpaceDN w:val="0"/>
        <w:adjustRightInd w:val="0"/>
        <w:jc w:val="both"/>
        <w:rPr>
          <w:rFonts w:ascii="Book Antiqua" w:hAnsi="Book Antiqua"/>
          <w:bCs/>
        </w:rPr>
      </w:pPr>
      <w:r w:rsidRPr="00E3232D">
        <w:rPr>
          <w:rFonts w:ascii="Book Antiqua" w:hAnsi="Book Antiqua"/>
          <w:b/>
          <w:bCs/>
        </w:rPr>
        <w:t>2.1.1.3 Site survey</w:t>
      </w:r>
    </w:p>
    <w:p w14:paraId="7378E06A" w14:textId="77777777" w:rsidR="002319C6" w:rsidRPr="00E3232D" w:rsidRDefault="002319C6" w:rsidP="00EE6DFD">
      <w:pPr>
        <w:autoSpaceDE w:val="0"/>
        <w:autoSpaceDN w:val="0"/>
        <w:adjustRightInd w:val="0"/>
        <w:ind w:left="-180"/>
        <w:jc w:val="both"/>
        <w:rPr>
          <w:rFonts w:ascii="Book Antiqua" w:hAnsi="Book Antiqua"/>
          <w:bCs/>
        </w:rPr>
      </w:pPr>
      <w:r w:rsidRPr="00E3232D">
        <w:rPr>
          <w:rFonts w:ascii="Book Antiqua" w:hAnsi="Book Antiqua"/>
          <w:bCs/>
        </w:rPr>
        <w:t>This method was used to dimensionally measure the place suitable for mounting the    solar PV modules as well as the place to keep or house the batteries.</w:t>
      </w:r>
    </w:p>
    <w:p w14:paraId="7F463CB6" w14:textId="77777777" w:rsidR="002319C6" w:rsidRPr="00E3232D" w:rsidRDefault="002319C6" w:rsidP="00EE6DFD">
      <w:pPr>
        <w:autoSpaceDE w:val="0"/>
        <w:autoSpaceDN w:val="0"/>
        <w:adjustRightInd w:val="0"/>
        <w:ind w:left="-180" w:firstLine="90"/>
        <w:jc w:val="both"/>
        <w:rPr>
          <w:rFonts w:ascii="Book Antiqua" w:hAnsi="Book Antiqua"/>
          <w:bCs/>
        </w:rPr>
      </w:pPr>
      <w:r w:rsidRPr="00E3232D">
        <w:rPr>
          <w:rFonts w:ascii="Book Antiqua" w:hAnsi="Book Antiqua"/>
          <w:b/>
          <w:bCs/>
        </w:rPr>
        <w:t>2.2.0 Lighting load estimation</w:t>
      </w:r>
      <w:r w:rsidRPr="00E3232D">
        <w:rPr>
          <w:rFonts w:ascii="Book Antiqua" w:hAnsi="Book Antiqua"/>
          <w:bCs/>
        </w:rPr>
        <w:t xml:space="preserve">: </w:t>
      </w:r>
    </w:p>
    <w:p w14:paraId="44941C36" w14:textId="77777777" w:rsidR="002319C6" w:rsidRPr="00E3232D" w:rsidRDefault="002319C6" w:rsidP="00EE6DFD">
      <w:pPr>
        <w:autoSpaceDE w:val="0"/>
        <w:autoSpaceDN w:val="0"/>
        <w:adjustRightInd w:val="0"/>
        <w:ind w:left="-180" w:firstLine="90"/>
        <w:jc w:val="both"/>
        <w:rPr>
          <w:rFonts w:ascii="Book Antiqua" w:hAnsi="Book Antiqua"/>
          <w:bCs/>
        </w:rPr>
      </w:pPr>
      <w:r w:rsidRPr="00E3232D">
        <w:rPr>
          <w:rFonts w:ascii="Book Antiqua" w:hAnsi="Book Antiqua"/>
          <w:bCs/>
        </w:rPr>
        <w:t>In determining the lighting load, the following steps were taken:</w:t>
      </w:r>
    </w:p>
    <w:p w14:paraId="010B1478" w14:textId="77777777" w:rsidR="002319C6" w:rsidRPr="00E3232D" w:rsidRDefault="002319C6" w:rsidP="00196385">
      <w:pPr>
        <w:pStyle w:val="ListParagraph"/>
        <w:numPr>
          <w:ilvl w:val="0"/>
          <w:numId w:val="77"/>
        </w:numPr>
        <w:tabs>
          <w:tab w:val="left" w:pos="360"/>
        </w:tabs>
        <w:autoSpaceDE w:val="0"/>
        <w:autoSpaceDN w:val="0"/>
        <w:adjustRightInd w:val="0"/>
        <w:ind w:left="-90" w:firstLine="90"/>
        <w:jc w:val="both"/>
        <w:rPr>
          <w:rFonts w:ascii="Book Antiqua" w:hAnsi="Book Antiqua"/>
          <w:bCs/>
        </w:rPr>
      </w:pPr>
      <w:r w:rsidRPr="00E3232D">
        <w:rPr>
          <w:rFonts w:ascii="Book Antiqua" w:hAnsi="Book Antiqua"/>
          <w:bCs/>
        </w:rPr>
        <w:t>Assessing what was available: in assessing what was available the following steps were followed.</w:t>
      </w:r>
    </w:p>
    <w:p w14:paraId="211CF2B2" w14:textId="77777777" w:rsidR="002319C6" w:rsidRPr="00E3232D" w:rsidRDefault="002319C6" w:rsidP="00196385">
      <w:pPr>
        <w:pStyle w:val="ListParagraph"/>
        <w:numPr>
          <w:ilvl w:val="0"/>
          <w:numId w:val="78"/>
        </w:numPr>
        <w:tabs>
          <w:tab w:val="left" w:pos="360"/>
        </w:tabs>
        <w:autoSpaceDE w:val="0"/>
        <w:autoSpaceDN w:val="0"/>
        <w:adjustRightInd w:val="0"/>
        <w:ind w:left="-90" w:firstLine="90"/>
        <w:jc w:val="both"/>
        <w:rPr>
          <w:rFonts w:ascii="Book Antiqua" w:hAnsi="Book Antiqua"/>
          <w:bCs/>
        </w:rPr>
      </w:pPr>
      <w:r w:rsidRPr="00E3232D">
        <w:rPr>
          <w:rFonts w:ascii="Book Antiqua" w:hAnsi="Book Antiqua"/>
          <w:bCs/>
        </w:rPr>
        <w:t xml:space="preserve">Classification of the rooms whether, bedroom, office, warehouse, etc. </w:t>
      </w:r>
    </w:p>
    <w:p w14:paraId="6E976BDB" w14:textId="77777777" w:rsidR="002319C6" w:rsidRPr="00E3232D" w:rsidRDefault="002319C6" w:rsidP="00196385">
      <w:pPr>
        <w:pStyle w:val="ListParagraph"/>
        <w:numPr>
          <w:ilvl w:val="0"/>
          <w:numId w:val="78"/>
        </w:numPr>
        <w:tabs>
          <w:tab w:val="left" w:pos="360"/>
        </w:tabs>
        <w:autoSpaceDE w:val="0"/>
        <w:autoSpaceDN w:val="0"/>
        <w:adjustRightInd w:val="0"/>
        <w:spacing w:before="240"/>
        <w:ind w:left="-90" w:firstLine="90"/>
        <w:jc w:val="both"/>
        <w:rPr>
          <w:rFonts w:ascii="Book Antiqua" w:hAnsi="Book Antiqua"/>
          <w:bCs/>
        </w:rPr>
      </w:pPr>
      <w:r w:rsidRPr="00E3232D">
        <w:rPr>
          <w:rFonts w:ascii="Book Antiqua" w:hAnsi="Book Antiqua"/>
          <w:bCs/>
        </w:rPr>
        <w:t>Fixture characteristics (lamp type, number of fixtures, lamp wattage, methods of control and fixture mounting height)</w:t>
      </w:r>
    </w:p>
    <w:p w14:paraId="4211AA0E" w14:textId="77777777" w:rsidR="002319C6" w:rsidRPr="00E3232D" w:rsidRDefault="002319C6" w:rsidP="00196385">
      <w:pPr>
        <w:pStyle w:val="ListParagraph"/>
        <w:numPr>
          <w:ilvl w:val="0"/>
          <w:numId w:val="77"/>
        </w:numPr>
        <w:tabs>
          <w:tab w:val="left" w:pos="360"/>
        </w:tabs>
        <w:autoSpaceDE w:val="0"/>
        <w:autoSpaceDN w:val="0"/>
        <w:adjustRightInd w:val="0"/>
        <w:spacing w:before="240"/>
        <w:ind w:left="-90" w:firstLine="90"/>
        <w:jc w:val="both"/>
        <w:rPr>
          <w:rFonts w:ascii="Book Antiqua" w:hAnsi="Book Antiqua"/>
          <w:bCs/>
        </w:rPr>
      </w:pPr>
      <w:r w:rsidRPr="00E3232D">
        <w:rPr>
          <w:rFonts w:ascii="Book Antiqua" w:hAnsi="Book Antiqua"/>
          <w:bCs/>
        </w:rPr>
        <w:t>Evaluating lighting levels and lighting quality</w:t>
      </w:r>
    </w:p>
    <w:p w14:paraId="3AB5B620" w14:textId="77777777" w:rsidR="002319C6" w:rsidRPr="00E3232D" w:rsidRDefault="002319C6" w:rsidP="00196385">
      <w:pPr>
        <w:pStyle w:val="ListParagraph"/>
        <w:numPr>
          <w:ilvl w:val="0"/>
          <w:numId w:val="79"/>
        </w:numPr>
        <w:tabs>
          <w:tab w:val="left" w:pos="360"/>
        </w:tabs>
        <w:autoSpaceDE w:val="0"/>
        <w:autoSpaceDN w:val="0"/>
        <w:adjustRightInd w:val="0"/>
        <w:spacing w:before="240"/>
        <w:ind w:left="-90" w:firstLine="90"/>
        <w:jc w:val="both"/>
        <w:rPr>
          <w:rFonts w:ascii="Book Antiqua" w:hAnsi="Book Antiqua"/>
          <w:bCs/>
        </w:rPr>
      </w:pPr>
      <w:r w:rsidRPr="00E3232D">
        <w:rPr>
          <w:rFonts w:ascii="Book Antiqua" w:hAnsi="Book Antiqua"/>
          <w:bCs/>
        </w:rPr>
        <w:t>Checking for excessive glare and contrast</w:t>
      </w:r>
    </w:p>
    <w:p w14:paraId="6818B7B3" w14:textId="77777777" w:rsidR="002319C6" w:rsidRPr="00E3232D" w:rsidRDefault="002319C6" w:rsidP="00196385">
      <w:pPr>
        <w:pStyle w:val="ListParagraph"/>
        <w:numPr>
          <w:ilvl w:val="0"/>
          <w:numId w:val="79"/>
        </w:numPr>
        <w:tabs>
          <w:tab w:val="left" w:pos="360"/>
          <w:tab w:val="left" w:pos="450"/>
        </w:tabs>
        <w:autoSpaceDE w:val="0"/>
        <w:autoSpaceDN w:val="0"/>
        <w:adjustRightInd w:val="0"/>
        <w:spacing w:before="240"/>
        <w:ind w:left="-90" w:firstLine="90"/>
        <w:jc w:val="both"/>
        <w:rPr>
          <w:rFonts w:ascii="Book Antiqua" w:hAnsi="Book Antiqua"/>
          <w:bCs/>
        </w:rPr>
      </w:pPr>
      <w:r w:rsidRPr="00E3232D">
        <w:rPr>
          <w:rFonts w:ascii="Book Antiqua" w:hAnsi="Book Antiqua"/>
          <w:bCs/>
        </w:rPr>
        <w:t>Talking to users about lighting levels, control and quality</w:t>
      </w:r>
    </w:p>
    <w:p w14:paraId="174C3236" w14:textId="77777777" w:rsidR="002319C6" w:rsidRPr="00E3232D" w:rsidRDefault="002319C6" w:rsidP="00196385">
      <w:pPr>
        <w:pStyle w:val="ListParagraph"/>
        <w:numPr>
          <w:ilvl w:val="0"/>
          <w:numId w:val="82"/>
        </w:numPr>
        <w:autoSpaceDE w:val="0"/>
        <w:autoSpaceDN w:val="0"/>
        <w:adjustRightInd w:val="0"/>
        <w:spacing w:before="240"/>
        <w:ind w:left="360"/>
        <w:jc w:val="both"/>
        <w:rPr>
          <w:rFonts w:ascii="Book Antiqua" w:hAnsi="Book Antiqua"/>
          <w:bCs/>
        </w:rPr>
      </w:pPr>
      <w:r w:rsidRPr="00E3232D">
        <w:rPr>
          <w:rFonts w:ascii="Book Antiqua" w:hAnsi="Book Antiqua"/>
          <w:bCs/>
        </w:rPr>
        <w:t>Electrical consumption estimation was done as follows;</w:t>
      </w:r>
    </w:p>
    <w:p w14:paraId="612EEF79" w14:textId="77777777" w:rsidR="002319C6" w:rsidRPr="00E3232D" w:rsidRDefault="002319C6" w:rsidP="00196385">
      <w:pPr>
        <w:pStyle w:val="ListParagraph"/>
        <w:numPr>
          <w:ilvl w:val="0"/>
          <w:numId w:val="80"/>
        </w:numPr>
        <w:autoSpaceDE w:val="0"/>
        <w:autoSpaceDN w:val="0"/>
        <w:adjustRightInd w:val="0"/>
        <w:spacing w:before="240"/>
        <w:ind w:left="-90" w:firstLine="90"/>
        <w:jc w:val="both"/>
        <w:rPr>
          <w:rFonts w:ascii="Book Antiqua" w:hAnsi="Book Antiqua"/>
          <w:bCs/>
        </w:rPr>
      </w:pPr>
      <w:r w:rsidRPr="00E3232D">
        <w:rPr>
          <w:rFonts w:ascii="Book Antiqua" w:hAnsi="Book Antiqua"/>
          <w:bCs/>
        </w:rPr>
        <w:t xml:space="preserve">Calculating for total kilowatts </w:t>
      </w:r>
    </w:p>
    <w:p w14:paraId="60A5D517" w14:textId="77777777" w:rsidR="002319C6" w:rsidRPr="00E3232D" w:rsidRDefault="002319C6" w:rsidP="00EE6DFD">
      <w:pPr>
        <w:pStyle w:val="ListParagraph"/>
        <w:autoSpaceDE w:val="0"/>
        <w:autoSpaceDN w:val="0"/>
        <w:adjustRightInd w:val="0"/>
        <w:spacing w:before="240"/>
        <w:ind w:left="0"/>
        <w:jc w:val="both"/>
        <w:rPr>
          <w:rFonts w:ascii="Book Antiqua" w:hAnsi="Book Antiqua"/>
          <w:bCs/>
        </w:rPr>
      </w:pPr>
      <w:r w:rsidRPr="00E3232D">
        <w:rPr>
          <w:rFonts w:ascii="Book Antiqua" w:hAnsi="Book Antiqua"/>
          <w:bCs/>
        </w:rPr>
        <w:t>(wattage x number of lamps ÷ 1000 = Existing kW)</w:t>
      </w:r>
    </w:p>
    <w:p w14:paraId="54ECAEEB" w14:textId="77777777" w:rsidR="002319C6" w:rsidRPr="00E3232D" w:rsidRDefault="002319C6" w:rsidP="00196385">
      <w:pPr>
        <w:pStyle w:val="ListParagraph"/>
        <w:numPr>
          <w:ilvl w:val="0"/>
          <w:numId w:val="80"/>
        </w:numPr>
        <w:autoSpaceDE w:val="0"/>
        <w:autoSpaceDN w:val="0"/>
        <w:adjustRightInd w:val="0"/>
        <w:spacing w:before="240"/>
        <w:ind w:left="-90" w:firstLine="90"/>
        <w:jc w:val="both"/>
        <w:rPr>
          <w:rFonts w:ascii="Book Antiqua" w:hAnsi="Book Antiqua"/>
          <w:bCs/>
        </w:rPr>
      </w:pPr>
      <w:r w:rsidRPr="00E3232D">
        <w:rPr>
          <w:rFonts w:ascii="Book Antiqua" w:hAnsi="Book Antiqua"/>
          <w:bCs/>
        </w:rPr>
        <w:t>Estimating the total energy consumption in kWh of lighting system</w:t>
      </w:r>
    </w:p>
    <w:p w14:paraId="16FF45DD" w14:textId="77777777" w:rsidR="002319C6" w:rsidRPr="00E3232D" w:rsidRDefault="002319C6" w:rsidP="00196385">
      <w:pPr>
        <w:pStyle w:val="ListParagraph"/>
        <w:numPr>
          <w:ilvl w:val="0"/>
          <w:numId w:val="80"/>
        </w:numPr>
        <w:autoSpaceDE w:val="0"/>
        <w:autoSpaceDN w:val="0"/>
        <w:adjustRightInd w:val="0"/>
        <w:spacing w:before="240"/>
        <w:ind w:left="-90" w:firstLine="90"/>
        <w:jc w:val="both"/>
        <w:rPr>
          <w:rFonts w:ascii="Book Antiqua" w:hAnsi="Book Antiqua"/>
          <w:bCs/>
        </w:rPr>
      </w:pPr>
      <w:r w:rsidRPr="00E3232D">
        <w:rPr>
          <w:rFonts w:ascii="Book Antiqua" w:hAnsi="Book Antiqua"/>
          <w:bCs/>
        </w:rPr>
        <w:t xml:space="preserve">Estimating for </w:t>
      </w:r>
      <w:r w:rsidRPr="00E3232D">
        <w:rPr>
          <w:rFonts w:ascii="Book Antiqua" w:hAnsi="Book Antiqua"/>
        </w:rPr>
        <w:t>Lighting cost per month</w:t>
      </w:r>
    </w:p>
    <w:p w14:paraId="5A27F69E" w14:textId="77777777" w:rsidR="002319C6" w:rsidRPr="00E3232D" w:rsidRDefault="002319C6" w:rsidP="00196385">
      <w:pPr>
        <w:pStyle w:val="ListParagraph"/>
        <w:numPr>
          <w:ilvl w:val="0"/>
          <w:numId w:val="80"/>
        </w:numPr>
        <w:autoSpaceDE w:val="0"/>
        <w:autoSpaceDN w:val="0"/>
        <w:adjustRightInd w:val="0"/>
        <w:spacing w:before="240"/>
        <w:ind w:left="-90" w:firstLine="90"/>
        <w:jc w:val="both"/>
        <w:rPr>
          <w:rFonts w:ascii="Book Antiqua" w:hAnsi="Book Antiqua"/>
          <w:bCs/>
        </w:rPr>
      </w:pPr>
      <w:r w:rsidRPr="00E3232D">
        <w:rPr>
          <w:rFonts w:ascii="Book Antiqua" w:hAnsi="Book Antiqua"/>
          <w:bCs/>
        </w:rPr>
        <w:t xml:space="preserve">Estimating for the Annual Lighting Energy Cost (Existing kW × annual hours ×    </w:t>
      </w:r>
    </w:p>
    <w:p w14:paraId="4A2CE23D" w14:textId="77777777" w:rsidR="002319C6" w:rsidRPr="00E3232D" w:rsidRDefault="002319C6" w:rsidP="00EE6DFD">
      <w:pPr>
        <w:pStyle w:val="ListParagraph"/>
        <w:autoSpaceDE w:val="0"/>
        <w:autoSpaceDN w:val="0"/>
        <w:adjustRightInd w:val="0"/>
        <w:spacing w:before="240"/>
        <w:ind w:left="0"/>
        <w:jc w:val="both"/>
        <w:rPr>
          <w:rFonts w:ascii="Book Antiqua" w:hAnsi="Book Antiqua"/>
          <w:bCs/>
        </w:rPr>
      </w:pPr>
      <w:r w:rsidRPr="00E3232D">
        <w:rPr>
          <w:rFonts w:ascii="Book Antiqua" w:hAnsi="Book Antiqua"/>
          <w:bCs/>
        </w:rPr>
        <w:t xml:space="preserve">            GH</w:t>
      </w:r>
      <w:r w:rsidRPr="00E3232D">
        <w:rPr>
          <w:rFonts w:ascii="Times New Roman" w:hAnsi="Times New Roman"/>
        </w:rPr>
        <w:t>ȼ</w:t>
      </w:r>
      <w:r w:rsidRPr="00E3232D">
        <w:rPr>
          <w:rFonts w:ascii="Book Antiqua" w:hAnsi="Book Antiqua"/>
          <w:bCs/>
        </w:rPr>
        <w:t>/kWh = GH</w:t>
      </w:r>
      <w:r w:rsidRPr="00E3232D">
        <w:rPr>
          <w:rFonts w:ascii="Times New Roman" w:hAnsi="Times New Roman"/>
        </w:rPr>
        <w:t>ȼ</w:t>
      </w:r>
      <w:r w:rsidRPr="00E3232D">
        <w:rPr>
          <w:rFonts w:ascii="Book Antiqua" w:hAnsi="Book Antiqua"/>
          <w:bCs/>
        </w:rPr>
        <w:t xml:space="preserve"> /year)</w:t>
      </w:r>
    </w:p>
    <w:p w14:paraId="36F02C02" w14:textId="77777777" w:rsidR="002319C6" w:rsidRPr="00E3232D" w:rsidRDefault="002319C6" w:rsidP="00EE6DFD">
      <w:pPr>
        <w:autoSpaceDE w:val="0"/>
        <w:autoSpaceDN w:val="0"/>
        <w:adjustRightInd w:val="0"/>
        <w:jc w:val="both"/>
        <w:rPr>
          <w:rFonts w:ascii="Book Antiqua" w:hAnsi="Book Antiqua"/>
          <w:b/>
          <w:bCs/>
        </w:rPr>
      </w:pPr>
      <w:r>
        <w:rPr>
          <w:rFonts w:ascii="Book Antiqua" w:hAnsi="Book Antiqua"/>
          <w:b/>
          <w:bCs/>
        </w:rPr>
        <w:t xml:space="preserve">3.0 </w:t>
      </w:r>
      <w:r w:rsidRPr="00EE6DFD">
        <w:rPr>
          <w:rFonts w:ascii="Book Antiqua" w:hAnsi="Book Antiqua"/>
          <w:b/>
          <w:bCs/>
          <w:sz w:val="26"/>
        </w:rPr>
        <w:t>Results and Discussion</w:t>
      </w:r>
    </w:p>
    <w:p w14:paraId="36D50725" w14:textId="77777777" w:rsidR="002319C6" w:rsidRPr="00E3232D" w:rsidRDefault="002319C6" w:rsidP="00EE6DFD">
      <w:pPr>
        <w:autoSpaceDE w:val="0"/>
        <w:autoSpaceDN w:val="0"/>
        <w:adjustRightInd w:val="0"/>
        <w:jc w:val="both"/>
        <w:rPr>
          <w:rFonts w:ascii="Book Antiqua" w:hAnsi="Book Antiqua"/>
          <w:b/>
          <w:bCs/>
        </w:rPr>
      </w:pPr>
      <w:r w:rsidRPr="00E3232D">
        <w:rPr>
          <w:rFonts w:ascii="Book Antiqua" w:hAnsi="Book Antiqua"/>
          <w:b/>
          <w:bCs/>
        </w:rPr>
        <w:t>Getfund hostel lighting load estimation</w:t>
      </w:r>
    </w:p>
    <w:p w14:paraId="257FD5AF" w14:textId="77777777" w:rsidR="002319C6" w:rsidRPr="00E3232D" w:rsidRDefault="002319C6" w:rsidP="00EE6DFD">
      <w:pPr>
        <w:autoSpaceDE w:val="0"/>
        <w:autoSpaceDN w:val="0"/>
        <w:adjustRightInd w:val="0"/>
        <w:spacing w:before="240"/>
        <w:jc w:val="both"/>
        <w:rPr>
          <w:rFonts w:ascii="Book Antiqua" w:hAnsi="Book Antiqua"/>
        </w:rPr>
      </w:pPr>
      <w:r w:rsidRPr="00E3232D">
        <w:rPr>
          <w:rFonts w:ascii="Book Antiqua" w:hAnsi="Book Antiqua"/>
          <w:bCs/>
        </w:rPr>
        <w:t xml:space="preserve">The lighting system estimation was calculated by going through all the rooms, and noting the number of lamps per room, the wattages of each lamp and the average expected length of time the users use the lights. The total energy consumption of Getfund (GETF) hostel was </w:t>
      </w:r>
      <w:r w:rsidRPr="00E3232D">
        <w:rPr>
          <w:rFonts w:ascii="Book Antiqua" w:hAnsi="Book Antiqua"/>
          <w:color w:val="000000"/>
        </w:rPr>
        <w:t>3377.4kWh/month</w:t>
      </w:r>
      <w:r w:rsidRPr="00E3232D">
        <w:rPr>
          <w:rFonts w:ascii="Book Antiqua" w:hAnsi="Book Antiqua"/>
          <w:bCs/>
        </w:rPr>
        <w:t xml:space="preserve">. The monthly cost of energy consumed using the national grid was </w:t>
      </w:r>
      <w:r w:rsidRPr="00E3232D">
        <w:rPr>
          <w:rFonts w:ascii="Book Antiqua" w:hAnsi="Book Antiqua"/>
        </w:rPr>
        <w:t>Gh</w:t>
      </w:r>
      <w:r w:rsidRPr="00E3232D">
        <w:rPr>
          <w:rFonts w:ascii="Times New Roman" w:hAnsi="Times New Roman"/>
        </w:rPr>
        <w:t>ȼ</w:t>
      </w:r>
      <w:r w:rsidRPr="00E3232D">
        <w:rPr>
          <w:rFonts w:ascii="Book Antiqua" w:hAnsi="Book Antiqua" w:cs="Book Antiqua"/>
        </w:rPr>
        <w:t>1,649 an</w:t>
      </w:r>
      <w:r w:rsidRPr="00E3232D">
        <w:rPr>
          <w:rFonts w:ascii="Book Antiqua" w:hAnsi="Book Antiqua"/>
        </w:rPr>
        <w:t>d annual lighting energy cost was GH</w:t>
      </w:r>
      <w:r w:rsidRPr="00E3232D">
        <w:rPr>
          <w:rFonts w:ascii="Times New Roman" w:hAnsi="Times New Roman"/>
        </w:rPr>
        <w:t>ȼ</w:t>
      </w:r>
      <w:r w:rsidRPr="00E3232D">
        <w:rPr>
          <w:rFonts w:ascii="Book Antiqua" w:hAnsi="Book Antiqua" w:cs="Book Antiqua"/>
        </w:rPr>
        <w:t xml:space="preserve"> 19,788</w:t>
      </w:r>
      <w:r w:rsidRPr="00E3232D">
        <w:rPr>
          <w:rFonts w:ascii="Book Antiqua" w:hAnsi="Book Antiqua"/>
        </w:rPr>
        <w:t xml:space="preserve">. </w:t>
      </w:r>
    </w:p>
    <w:p w14:paraId="343559BD" w14:textId="77777777" w:rsidR="002319C6" w:rsidRPr="00E3232D" w:rsidRDefault="002319C6" w:rsidP="00EE6DFD">
      <w:pPr>
        <w:autoSpaceDE w:val="0"/>
        <w:autoSpaceDN w:val="0"/>
        <w:adjustRightInd w:val="0"/>
        <w:spacing w:before="240"/>
        <w:jc w:val="both"/>
        <w:rPr>
          <w:rFonts w:ascii="Book Antiqua" w:hAnsi="Book Antiqua"/>
          <w:b/>
        </w:rPr>
      </w:pPr>
      <w:r w:rsidRPr="00E3232D">
        <w:rPr>
          <w:rFonts w:ascii="Book Antiqua" w:hAnsi="Book Antiqua"/>
        </w:rPr>
        <w:t xml:space="preserve">Table 1 gives a detailed description of the lighting system estimation at the GETF hostel of Koforidua polytechnic campus. </w:t>
      </w:r>
    </w:p>
    <w:tbl>
      <w:tblPr>
        <w:tblpPr w:leftFromText="180" w:rightFromText="180" w:vertAnchor="page" w:horzAnchor="page" w:tblpX="1" w:tblpY="15539"/>
        <w:tblW w:w="15588" w:type="dxa"/>
        <w:tblLayout w:type="fixed"/>
        <w:tblLook w:val="04A0" w:firstRow="1" w:lastRow="0" w:firstColumn="1" w:lastColumn="0" w:noHBand="0" w:noVBand="1"/>
      </w:tblPr>
      <w:tblGrid>
        <w:gridCol w:w="468"/>
        <w:gridCol w:w="1890"/>
        <w:gridCol w:w="1440"/>
        <w:gridCol w:w="1440"/>
        <w:gridCol w:w="1260"/>
        <w:gridCol w:w="1350"/>
        <w:gridCol w:w="1350"/>
        <w:gridCol w:w="1350"/>
        <w:gridCol w:w="1350"/>
        <w:gridCol w:w="1620"/>
        <w:gridCol w:w="2070"/>
      </w:tblGrid>
      <w:tr w:rsidR="002319C6" w:rsidRPr="00D12E59" w14:paraId="731CD98A" w14:textId="77777777" w:rsidTr="00B80C42">
        <w:trPr>
          <w:trHeight w:val="315"/>
        </w:trPr>
        <w:tc>
          <w:tcPr>
            <w:tcW w:w="468" w:type="dxa"/>
            <w:tcBorders>
              <w:top w:val="nil"/>
              <w:left w:val="nil"/>
              <w:bottom w:val="nil"/>
              <w:right w:val="nil"/>
            </w:tcBorders>
            <w:shd w:val="clear" w:color="auto" w:fill="auto"/>
            <w:noWrap/>
            <w:vAlign w:val="bottom"/>
            <w:hideMark/>
          </w:tcPr>
          <w:p w14:paraId="7DC08637" w14:textId="77777777" w:rsidR="002319C6" w:rsidRPr="00D12E59" w:rsidRDefault="002319C6" w:rsidP="00B80C42">
            <w:pPr>
              <w:rPr>
                <w:rFonts w:ascii="Book Antiqua" w:hAnsi="Book Antiqua"/>
                <w:color w:val="000000"/>
              </w:rPr>
            </w:pPr>
          </w:p>
        </w:tc>
        <w:tc>
          <w:tcPr>
            <w:tcW w:w="1890" w:type="dxa"/>
            <w:tcBorders>
              <w:top w:val="nil"/>
              <w:left w:val="nil"/>
              <w:bottom w:val="nil"/>
              <w:right w:val="nil"/>
            </w:tcBorders>
            <w:shd w:val="clear" w:color="auto" w:fill="auto"/>
            <w:noWrap/>
            <w:vAlign w:val="bottom"/>
            <w:hideMark/>
          </w:tcPr>
          <w:p w14:paraId="5DE9F506" w14:textId="77777777" w:rsidR="002319C6" w:rsidRPr="00D12E59" w:rsidRDefault="002319C6" w:rsidP="00B80C42">
            <w:pPr>
              <w:rPr>
                <w:rFonts w:ascii="Book Antiqua" w:hAnsi="Book Antiqua"/>
                <w:color w:val="000000"/>
              </w:rPr>
            </w:pPr>
          </w:p>
        </w:tc>
        <w:tc>
          <w:tcPr>
            <w:tcW w:w="1440" w:type="dxa"/>
            <w:tcBorders>
              <w:top w:val="nil"/>
              <w:left w:val="nil"/>
              <w:bottom w:val="nil"/>
              <w:right w:val="nil"/>
            </w:tcBorders>
            <w:shd w:val="clear" w:color="auto" w:fill="auto"/>
            <w:noWrap/>
            <w:vAlign w:val="bottom"/>
            <w:hideMark/>
          </w:tcPr>
          <w:p w14:paraId="7369C98F" w14:textId="77777777" w:rsidR="002319C6" w:rsidRPr="00D12E59" w:rsidRDefault="002319C6" w:rsidP="00B80C42">
            <w:pPr>
              <w:rPr>
                <w:rFonts w:ascii="Book Antiqua" w:hAnsi="Book Antiqua"/>
                <w:color w:val="000000"/>
              </w:rPr>
            </w:pPr>
          </w:p>
        </w:tc>
        <w:tc>
          <w:tcPr>
            <w:tcW w:w="1440" w:type="dxa"/>
            <w:tcBorders>
              <w:top w:val="nil"/>
              <w:left w:val="nil"/>
              <w:bottom w:val="nil"/>
              <w:right w:val="nil"/>
            </w:tcBorders>
            <w:shd w:val="clear" w:color="auto" w:fill="auto"/>
            <w:noWrap/>
            <w:vAlign w:val="bottom"/>
            <w:hideMark/>
          </w:tcPr>
          <w:p w14:paraId="3C665FBF" w14:textId="77777777" w:rsidR="002319C6" w:rsidRPr="00D12E59" w:rsidRDefault="002319C6" w:rsidP="00B80C42">
            <w:pPr>
              <w:rPr>
                <w:rFonts w:ascii="Book Antiqua" w:hAnsi="Book Antiqua"/>
                <w:color w:val="000000"/>
              </w:rPr>
            </w:pPr>
          </w:p>
        </w:tc>
        <w:tc>
          <w:tcPr>
            <w:tcW w:w="1260" w:type="dxa"/>
            <w:tcBorders>
              <w:top w:val="nil"/>
              <w:left w:val="nil"/>
              <w:bottom w:val="nil"/>
              <w:right w:val="nil"/>
            </w:tcBorders>
            <w:shd w:val="clear" w:color="auto" w:fill="auto"/>
            <w:noWrap/>
            <w:vAlign w:val="bottom"/>
            <w:hideMark/>
          </w:tcPr>
          <w:p w14:paraId="3E73F256" w14:textId="77777777" w:rsidR="002319C6" w:rsidRPr="00D12E59" w:rsidRDefault="002319C6" w:rsidP="00B80C42">
            <w:pPr>
              <w:rPr>
                <w:rFonts w:ascii="Book Antiqua" w:hAnsi="Book Antiqua"/>
                <w:color w:val="000000"/>
              </w:rPr>
            </w:pPr>
          </w:p>
        </w:tc>
        <w:tc>
          <w:tcPr>
            <w:tcW w:w="1350" w:type="dxa"/>
            <w:tcBorders>
              <w:top w:val="nil"/>
              <w:left w:val="nil"/>
              <w:bottom w:val="nil"/>
              <w:right w:val="nil"/>
            </w:tcBorders>
            <w:shd w:val="clear" w:color="auto" w:fill="auto"/>
            <w:noWrap/>
            <w:vAlign w:val="bottom"/>
            <w:hideMark/>
          </w:tcPr>
          <w:p w14:paraId="01249FD1" w14:textId="77777777" w:rsidR="002319C6" w:rsidRPr="00D12E59" w:rsidRDefault="002319C6" w:rsidP="00B80C42">
            <w:pPr>
              <w:rPr>
                <w:rFonts w:ascii="Book Antiqua" w:hAnsi="Book Antiqua"/>
                <w:color w:val="000000"/>
              </w:rPr>
            </w:pPr>
          </w:p>
        </w:tc>
        <w:tc>
          <w:tcPr>
            <w:tcW w:w="1350" w:type="dxa"/>
            <w:tcBorders>
              <w:top w:val="nil"/>
              <w:left w:val="nil"/>
              <w:bottom w:val="nil"/>
              <w:right w:val="nil"/>
            </w:tcBorders>
            <w:shd w:val="clear" w:color="auto" w:fill="auto"/>
            <w:noWrap/>
            <w:vAlign w:val="bottom"/>
            <w:hideMark/>
          </w:tcPr>
          <w:p w14:paraId="7513CED8" w14:textId="77777777" w:rsidR="002319C6" w:rsidRPr="00D12E59" w:rsidRDefault="002319C6" w:rsidP="00B80C42">
            <w:pPr>
              <w:rPr>
                <w:rFonts w:ascii="Book Antiqua" w:hAnsi="Book Antiqua"/>
                <w:color w:val="000000"/>
              </w:rPr>
            </w:pPr>
          </w:p>
        </w:tc>
        <w:tc>
          <w:tcPr>
            <w:tcW w:w="1350" w:type="dxa"/>
            <w:tcBorders>
              <w:top w:val="nil"/>
              <w:left w:val="nil"/>
              <w:bottom w:val="nil"/>
              <w:right w:val="nil"/>
            </w:tcBorders>
            <w:shd w:val="clear" w:color="auto" w:fill="auto"/>
            <w:noWrap/>
            <w:vAlign w:val="bottom"/>
            <w:hideMark/>
          </w:tcPr>
          <w:p w14:paraId="13F31DF9" w14:textId="77777777" w:rsidR="002319C6" w:rsidRPr="00D12E59" w:rsidRDefault="002319C6" w:rsidP="00B80C42">
            <w:pPr>
              <w:rPr>
                <w:rFonts w:ascii="Book Antiqua" w:hAnsi="Book Antiqua"/>
                <w:color w:val="000000"/>
              </w:rPr>
            </w:pPr>
          </w:p>
        </w:tc>
        <w:tc>
          <w:tcPr>
            <w:tcW w:w="1350" w:type="dxa"/>
            <w:tcBorders>
              <w:top w:val="nil"/>
              <w:left w:val="nil"/>
              <w:bottom w:val="nil"/>
              <w:right w:val="nil"/>
            </w:tcBorders>
            <w:shd w:val="clear" w:color="auto" w:fill="auto"/>
            <w:noWrap/>
            <w:vAlign w:val="bottom"/>
            <w:hideMark/>
          </w:tcPr>
          <w:p w14:paraId="70D18EE1" w14:textId="77777777" w:rsidR="002319C6" w:rsidRPr="00D12E59" w:rsidRDefault="002319C6" w:rsidP="00B80C42">
            <w:pPr>
              <w:rPr>
                <w:rFonts w:ascii="Book Antiqua" w:hAnsi="Book Antiqua"/>
                <w:color w:val="000000"/>
              </w:rPr>
            </w:pPr>
          </w:p>
        </w:tc>
        <w:tc>
          <w:tcPr>
            <w:tcW w:w="1620" w:type="dxa"/>
            <w:tcBorders>
              <w:top w:val="nil"/>
              <w:left w:val="nil"/>
              <w:bottom w:val="nil"/>
              <w:right w:val="nil"/>
            </w:tcBorders>
            <w:shd w:val="clear" w:color="auto" w:fill="auto"/>
            <w:noWrap/>
            <w:vAlign w:val="bottom"/>
            <w:hideMark/>
          </w:tcPr>
          <w:p w14:paraId="32633B22" w14:textId="77777777" w:rsidR="002319C6" w:rsidRPr="00D12E59" w:rsidRDefault="002319C6" w:rsidP="00B80C42">
            <w:pPr>
              <w:rPr>
                <w:rFonts w:ascii="Book Antiqua" w:hAnsi="Book Antiqua"/>
                <w:color w:val="000000"/>
              </w:rPr>
            </w:pPr>
          </w:p>
        </w:tc>
        <w:tc>
          <w:tcPr>
            <w:tcW w:w="2070" w:type="dxa"/>
            <w:tcBorders>
              <w:top w:val="nil"/>
              <w:left w:val="nil"/>
              <w:bottom w:val="nil"/>
              <w:right w:val="nil"/>
            </w:tcBorders>
            <w:shd w:val="clear" w:color="auto" w:fill="auto"/>
            <w:noWrap/>
            <w:vAlign w:val="bottom"/>
            <w:hideMark/>
          </w:tcPr>
          <w:p w14:paraId="23E068AF" w14:textId="77777777" w:rsidR="002319C6" w:rsidRPr="00D12E59" w:rsidRDefault="002319C6" w:rsidP="00B80C42">
            <w:pPr>
              <w:rPr>
                <w:rFonts w:ascii="Book Antiqua" w:hAnsi="Book Antiqua"/>
                <w:color w:val="000000"/>
              </w:rPr>
            </w:pPr>
          </w:p>
        </w:tc>
      </w:tr>
    </w:tbl>
    <w:p w14:paraId="34D2666A" w14:textId="77777777" w:rsidR="002319C6" w:rsidRPr="00E3232D" w:rsidRDefault="002319C6" w:rsidP="002319C6">
      <w:pPr>
        <w:autoSpaceDE w:val="0"/>
        <w:autoSpaceDN w:val="0"/>
        <w:adjustRightInd w:val="0"/>
        <w:rPr>
          <w:rFonts w:ascii="Book Antiqua" w:hAnsi="Book Antiqua"/>
          <w:b/>
          <w:bCs/>
        </w:rPr>
      </w:pPr>
      <w:r w:rsidRPr="00E3232D">
        <w:rPr>
          <w:rFonts w:ascii="Book Antiqua" w:hAnsi="Book Antiqua"/>
          <w:b/>
          <w:bCs/>
        </w:rPr>
        <w:t>Lighting cost for Getfund hostel</w:t>
      </w:r>
    </w:p>
    <w:p w14:paraId="06AFBDEA" w14:textId="77777777" w:rsidR="002319C6" w:rsidRPr="00E3232D" w:rsidRDefault="002319C6" w:rsidP="002319C6">
      <w:pPr>
        <w:autoSpaceDE w:val="0"/>
        <w:autoSpaceDN w:val="0"/>
        <w:adjustRightInd w:val="0"/>
        <w:rPr>
          <w:rFonts w:ascii="Book Antiqua" w:hAnsi="Book Antiqua"/>
          <w:bCs/>
        </w:rPr>
      </w:pPr>
      <w:r w:rsidRPr="00E3232D">
        <w:rPr>
          <w:rFonts w:ascii="Book Antiqua" w:hAnsi="Book Antiqua"/>
          <w:bCs/>
        </w:rPr>
        <w:t xml:space="preserve">Total kWh of lighting system = </w:t>
      </w:r>
      <w:r w:rsidRPr="00E3232D">
        <w:rPr>
          <w:rFonts w:ascii="Book Antiqua" w:hAnsi="Book Antiqua"/>
          <w:color w:val="000000"/>
        </w:rPr>
        <w:t>3377.4kWh/month</w:t>
      </w:r>
    </w:p>
    <w:p w14:paraId="1F155F79" w14:textId="77777777" w:rsidR="002319C6" w:rsidRPr="00E3232D" w:rsidRDefault="002319C6" w:rsidP="002319C6">
      <w:pPr>
        <w:autoSpaceDE w:val="0"/>
        <w:autoSpaceDN w:val="0"/>
        <w:adjustRightInd w:val="0"/>
        <w:rPr>
          <w:rFonts w:ascii="Book Antiqua" w:hAnsi="Book Antiqua"/>
        </w:rPr>
      </w:pPr>
      <w:r w:rsidRPr="00E3232D">
        <w:rPr>
          <w:rFonts w:ascii="Book Antiqua" w:hAnsi="Book Antiqua"/>
        </w:rPr>
        <w:t>For non-residential, the tariff is Gh</w:t>
      </w:r>
      <w:r w:rsidRPr="00E3232D">
        <w:rPr>
          <w:rFonts w:ascii="Times New Roman" w:hAnsi="Times New Roman"/>
        </w:rPr>
        <w:t>ȼ</w:t>
      </w:r>
      <w:r w:rsidRPr="00E3232D">
        <w:rPr>
          <w:rFonts w:ascii="Book Antiqua" w:hAnsi="Book Antiqua" w:cs="Book Antiqua"/>
        </w:rPr>
        <w:t xml:space="preserve"> 0.4882 per kWh  </w:t>
      </w:r>
    </w:p>
    <w:p w14:paraId="11FC77E8" w14:textId="77777777" w:rsidR="002319C6" w:rsidRPr="00E3232D" w:rsidRDefault="002319C6" w:rsidP="002319C6">
      <w:pPr>
        <w:autoSpaceDE w:val="0"/>
        <w:autoSpaceDN w:val="0"/>
        <w:adjustRightInd w:val="0"/>
        <w:rPr>
          <w:rFonts w:ascii="Book Antiqua" w:hAnsi="Book Antiqua"/>
        </w:rPr>
      </w:pPr>
      <w:r w:rsidRPr="00E3232D">
        <w:rPr>
          <w:rFonts w:ascii="Book Antiqua" w:hAnsi="Book Antiqua"/>
        </w:rPr>
        <w:t xml:space="preserve">(PURC, Ghana 2013)  </w:t>
      </w:r>
    </w:p>
    <w:p w14:paraId="1D90B5AE" w14:textId="77777777" w:rsidR="002319C6" w:rsidRPr="00E3232D" w:rsidRDefault="002319C6" w:rsidP="002319C6">
      <w:pPr>
        <w:autoSpaceDE w:val="0"/>
        <w:autoSpaceDN w:val="0"/>
        <w:adjustRightInd w:val="0"/>
        <w:rPr>
          <w:rFonts w:ascii="Book Antiqua" w:hAnsi="Book Antiqua" w:cs="Book Antiqua"/>
        </w:rPr>
      </w:pPr>
      <w:r w:rsidRPr="00E3232D">
        <w:rPr>
          <w:rFonts w:ascii="Book Antiqua" w:hAnsi="Book Antiqua"/>
        </w:rPr>
        <w:t xml:space="preserve"> Lighting cost per month = </w:t>
      </w:r>
      <w:r w:rsidRPr="00E3232D">
        <w:rPr>
          <w:rFonts w:ascii="Book Antiqua" w:hAnsi="Book Antiqua"/>
          <w:color w:val="000000"/>
        </w:rPr>
        <w:t xml:space="preserve">3377.4kWh/month </w:t>
      </w:r>
      <w:r w:rsidRPr="00E3232D">
        <w:rPr>
          <w:rFonts w:ascii="Book Antiqua" w:hAnsi="Book Antiqua"/>
        </w:rPr>
        <w:t>x Gh</w:t>
      </w:r>
      <w:r w:rsidRPr="00E3232D">
        <w:rPr>
          <w:rFonts w:ascii="Times New Roman" w:hAnsi="Times New Roman"/>
        </w:rPr>
        <w:t>ȼ</w:t>
      </w:r>
      <w:r w:rsidRPr="00E3232D">
        <w:rPr>
          <w:rFonts w:ascii="Book Antiqua" w:hAnsi="Book Antiqua" w:cs="Book Antiqua"/>
        </w:rPr>
        <w:t xml:space="preserve"> 0.4882/kW</w:t>
      </w:r>
      <w:r w:rsidRPr="00E3232D">
        <w:rPr>
          <w:rFonts w:ascii="Book Antiqua" w:hAnsi="Book Antiqua"/>
        </w:rPr>
        <w:t>h = Gh</w:t>
      </w:r>
      <w:r w:rsidRPr="00E3232D">
        <w:rPr>
          <w:rFonts w:ascii="Times New Roman" w:hAnsi="Times New Roman"/>
        </w:rPr>
        <w:t>ȼ</w:t>
      </w:r>
      <w:r w:rsidRPr="00E3232D">
        <w:rPr>
          <w:rFonts w:ascii="Book Antiqua" w:hAnsi="Book Antiqua" w:cs="Book Antiqua"/>
        </w:rPr>
        <w:t>1648.8/month, rounded up to Gh</w:t>
      </w:r>
      <w:r w:rsidRPr="00E3232D">
        <w:rPr>
          <w:rFonts w:ascii="Times New Roman" w:hAnsi="Times New Roman"/>
        </w:rPr>
        <w:t>ȼ</w:t>
      </w:r>
      <w:r w:rsidRPr="00E3232D">
        <w:rPr>
          <w:rFonts w:ascii="Book Antiqua" w:hAnsi="Book Antiqua" w:cs="Book Antiqua"/>
        </w:rPr>
        <w:t xml:space="preserve"> 1, 649/month</w:t>
      </w:r>
    </w:p>
    <w:p w14:paraId="5396A91B" w14:textId="77777777" w:rsidR="002319C6" w:rsidRPr="00E3232D" w:rsidRDefault="002319C6" w:rsidP="002319C6">
      <w:pPr>
        <w:autoSpaceDE w:val="0"/>
        <w:autoSpaceDN w:val="0"/>
        <w:adjustRightInd w:val="0"/>
        <w:rPr>
          <w:rFonts w:ascii="Book Antiqua" w:hAnsi="Book Antiqua"/>
        </w:rPr>
      </w:pPr>
      <w:r w:rsidRPr="00E3232D">
        <w:rPr>
          <w:rFonts w:ascii="Book Antiqua" w:hAnsi="Book Antiqua"/>
        </w:rPr>
        <w:t>Annual lighting cost = Gh</w:t>
      </w:r>
      <w:r w:rsidRPr="00E3232D">
        <w:rPr>
          <w:rFonts w:ascii="Times New Roman" w:hAnsi="Times New Roman"/>
        </w:rPr>
        <w:t>ȼ</w:t>
      </w:r>
      <w:r w:rsidRPr="00E3232D">
        <w:rPr>
          <w:rFonts w:ascii="Book Antiqua" w:hAnsi="Book Antiqua" w:cs="Book Antiqua"/>
        </w:rPr>
        <w:t xml:space="preserve"> 1, 649/month x 12month</w:t>
      </w:r>
      <w:r w:rsidRPr="00E3232D">
        <w:rPr>
          <w:rFonts w:ascii="Book Antiqua" w:hAnsi="Book Antiqua"/>
        </w:rPr>
        <w:t>/yr = GH</w:t>
      </w:r>
      <w:r w:rsidRPr="00E3232D">
        <w:rPr>
          <w:rFonts w:ascii="Times New Roman" w:hAnsi="Times New Roman"/>
        </w:rPr>
        <w:t>ȼ</w:t>
      </w:r>
      <w:r w:rsidRPr="00E3232D">
        <w:rPr>
          <w:rFonts w:ascii="Book Antiqua" w:hAnsi="Book Antiqua" w:cs="Book Antiqua"/>
        </w:rPr>
        <w:t xml:space="preserve"> 19,788/yr</w:t>
      </w:r>
      <w:r w:rsidRPr="00E3232D">
        <w:rPr>
          <w:rFonts w:ascii="Book Antiqua" w:hAnsi="Book Antiqua"/>
          <w:b/>
        </w:rPr>
        <w:t xml:space="preserve"> </w:t>
      </w:r>
    </w:p>
    <w:p w14:paraId="55E242EE" w14:textId="77777777" w:rsidR="002319C6" w:rsidRPr="00E3232D" w:rsidRDefault="002319C6" w:rsidP="002319C6">
      <w:pPr>
        <w:autoSpaceDE w:val="0"/>
        <w:autoSpaceDN w:val="0"/>
        <w:adjustRightInd w:val="0"/>
        <w:rPr>
          <w:rFonts w:ascii="Book Antiqua" w:hAnsi="Book Antiqua"/>
          <w:b/>
        </w:rPr>
      </w:pPr>
      <w:r w:rsidRPr="00E3232D">
        <w:rPr>
          <w:rFonts w:ascii="Book Antiqua" w:hAnsi="Book Antiqua"/>
          <w:b/>
        </w:rPr>
        <w:t>Irradiance and insolation</w:t>
      </w:r>
    </w:p>
    <w:p w14:paraId="642E814C" w14:textId="77777777" w:rsidR="002319C6" w:rsidRPr="00E3232D" w:rsidRDefault="002319C6" w:rsidP="00B405C2">
      <w:pPr>
        <w:autoSpaceDE w:val="0"/>
        <w:autoSpaceDN w:val="0"/>
        <w:adjustRightInd w:val="0"/>
        <w:jc w:val="both"/>
        <w:rPr>
          <w:rFonts w:ascii="Book Antiqua" w:hAnsi="Book Antiqua"/>
          <w:b/>
        </w:rPr>
      </w:pPr>
      <w:r w:rsidRPr="00E3232D">
        <w:rPr>
          <w:rFonts w:ascii="Book Antiqua" w:hAnsi="Book Antiqua"/>
          <w:b/>
        </w:rPr>
        <w:t>Insolation:</w:t>
      </w:r>
      <w:r w:rsidRPr="00E3232D">
        <w:rPr>
          <w:rFonts w:ascii="Book Antiqua" w:hAnsi="Book Antiqua"/>
        </w:rPr>
        <w:t xml:space="preserve"> Insolation is the amount of solar energy that strikes a given area over a specific time and varies with latitude or the seasons. </w:t>
      </w:r>
    </w:p>
    <w:p w14:paraId="67231C78" w14:textId="77777777" w:rsidR="002319C6" w:rsidRPr="00E3232D" w:rsidRDefault="002319C6" w:rsidP="00B405C2">
      <w:pPr>
        <w:autoSpaceDE w:val="0"/>
        <w:autoSpaceDN w:val="0"/>
        <w:adjustRightInd w:val="0"/>
        <w:jc w:val="both"/>
        <w:rPr>
          <w:rFonts w:ascii="Book Antiqua" w:hAnsi="Book Antiqua"/>
        </w:rPr>
      </w:pPr>
      <w:r w:rsidRPr="00E3232D">
        <w:rPr>
          <w:rFonts w:ascii="Book Antiqua" w:hAnsi="Book Antiqua"/>
          <w:b/>
        </w:rPr>
        <w:t>Irradiation</w:t>
      </w:r>
      <w:r w:rsidRPr="00E3232D">
        <w:rPr>
          <w:rFonts w:ascii="Book Antiqua" w:hAnsi="Book Antiqua"/>
        </w:rPr>
        <w:t>: Irradiance means the amount of electromagnetic energy incident on the surface per unit time per unit area, so the total solar irradiation is defined as the amount of radiant energy emitted by the sun over all wavelengths that falls each second on 1m</w:t>
      </w:r>
      <w:r w:rsidRPr="00E3232D">
        <w:rPr>
          <w:rFonts w:ascii="Book Antiqua" w:hAnsi="Book Antiqua"/>
          <w:vertAlign w:val="superscript"/>
        </w:rPr>
        <w:t>2</w:t>
      </w:r>
      <w:r w:rsidRPr="00E3232D">
        <w:rPr>
          <w:rFonts w:ascii="Book Antiqua" w:hAnsi="Book Antiqua"/>
        </w:rPr>
        <w:t xml:space="preserve"> (11 ft</w:t>
      </w:r>
      <w:r w:rsidRPr="00E3232D">
        <w:rPr>
          <w:rFonts w:ascii="Book Antiqua" w:hAnsi="Book Antiqua"/>
          <w:vertAlign w:val="superscript"/>
        </w:rPr>
        <w:t>2</w:t>
      </w:r>
      <w:r w:rsidRPr="00E3232D">
        <w:rPr>
          <w:rFonts w:ascii="Book Antiqua" w:hAnsi="Book Antiqua"/>
        </w:rPr>
        <w:t>) outside earth’s atmosphere [10]. Irradiance of a site is given by the following relation:</w:t>
      </w:r>
    </w:p>
    <w:p w14:paraId="49081BF5" w14:textId="77777777" w:rsidR="002319C6" w:rsidRPr="00E3232D" w:rsidRDefault="002319C6" w:rsidP="002319C6">
      <w:pPr>
        <w:autoSpaceDE w:val="0"/>
        <w:autoSpaceDN w:val="0"/>
        <w:adjustRightInd w:val="0"/>
        <w:rPr>
          <w:rFonts w:ascii="Book Antiqua" w:hAnsi="Book Antiqua"/>
        </w:rPr>
      </w:pPr>
      <w:r w:rsidRPr="00E3232D">
        <w:rPr>
          <w:rFonts w:ascii="Book Antiqua" w:hAnsi="Book Antiqua"/>
        </w:rPr>
        <w:t xml:space="preserve">                      Irradiance </w:t>
      </w:r>
    </w:p>
    <w:p w14:paraId="57256337" w14:textId="77777777" w:rsidR="002319C6" w:rsidRPr="00E3232D" w:rsidRDefault="002319C6" w:rsidP="002319C6">
      <w:pPr>
        <w:autoSpaceDE w:val="0"/>
        <w:autoSpaceDN w:val="0"/>
        <w:adjustRightInd w:val="0"/>
        <w:rPr>
          <w:rFonts w:ascii="Book Antiqua" w:hAnsi="Book Antiqua"/>
          <w:bCs/>
          <w:u w:val="thick"/>
        </w:rPr>
      </w:pPr>
      <w:r w:rsidRPr="00E3232D">
        <w:rPr>
          <w:rFonts w:ascii="Book Antiqua" w:hAnsi="Book Antiqua"/>
        </w:rPr>
        <w:t xml:space="preserve">=   </w:t>
      </w:r>
      <m:oMath>
        <m:f>
          <m:fPr>
            <m:ctrlPr>
              <w:rPr>
                <w:rFonts w:ascii="Cambria Math" w:hAnsi="Cambria Math"/>
                <w:i/>
              </w:rPr>
            </m:ctrlPr>
          </m:fPr>
          <m:num>
            <m:r>
              <w:rPr>
                <w:rFonts w:ascii="Cambria Math" w:hAnsi="Cambria Math"/>
              </w:rPr>
              <m:t>Average insolation</m:t>
            </m:r>
          </m:num>
          <m:den>
            <m:r>
              <w:rPr>
                <w:rFonts w:ascii="Cambria Math" w:hAnsi="Cambria Math"/>
              </w:rPr>
              <m:t>Average daily bright sunshine hours</m:t>
            </m:r>
          </m:den>
        </m:f>
      </m:oMath>
      <w:r w:rsidRPr="00E3232D">
        <w:rPr>
          <w:rFonts w:ascii="Book Antiqua" w:hAnsi="Book Antiqua"/>
        </w:rPr>
        <w:t xml:space="preserve">   , KWh/m</w:t>
      </w:r>
      <w:r w:rsidRPr="00E3232D">
        <w:rPr>
          <w:rFonts w:ascii="Book Antiqua" w:hAnsi="Book Antiqua"/>
          <w:vertAlign w:val="superscript"/>
        </w:rPr>
        <w:t>2</w:t>
      </w:r>
      <w:r w:rsidRPr="00E3232D">
        <w:rPr>
          <w:rFonts w:ascii="Book Antiqua" w:hAnsi="Book Antiqua"/>
        </w:rPr>
        <w:t>…………[eqn 1]</w:t>
      </w:r>
      <w:r w:rsidRPr="00E3232D">
        <w:rPr>
          <w:rFonts w:ascii="Book Antiqua" w:hAnsi="Book Antiqua"/>
          <w:b/>
          <w:bCs/>
          <w:u w:val="thick"/>
        </w:rPr>
        <w:t xml:space="preserve"> </w:t>
      </w:r>
      <w:r w:rsidRPr="00E3232D">
        <w:rPr>
          <w:rFonts w:ascii="Book Antiqua" w:hAnsi="Book Antiqua"/>
          <w:bCs/>
          <w:u w:val="thick"/>
        </w:rPr>
        <w:t xml:space="preserve">     </w:t>
      </w:r>
    </w:p>
    <w:p w14:paraId="505C0D52" w14:textId="77777777" w:rsidR="002319C6" w:rsidRPr="00E3232D" w:rsidRDefault="002319C6" w:rsidP="002319C6">
      <w:pPr>
        <w:autoSpaceDE w:val="0"/>
        <w:autoSpaceDN w:val="0"/>
        <w:adjustRightInd w:val="0"/>
        <w:rPr>
          <w:rFonts w:ascii="Book Antiqua" w:hAnsi="Book Antiqua"/>
          <w:bCs/>
          <w:u w:val="thick"/>
        </w:rPr>
      </w:pPr>
      <w:r w:rsidRPr="00E3232D">
        <w:rPr>
          <w:rFonts w:ascii="Book Antiqua" w:hAnsi="Book Antiqua"/>
          <w:bCs/>
          <w:u w:val="thick"/>
        </w:rPr>
        <w:t>(</w:t>
      </w:r>
      <w:r w:rsidRPr="00E3232D">
        <w:rPr>
          <w:rFonts w:ascii="Book Antiqua" w:hAnsi="Book Antiqua"/>
        </w:rPr>
        <w:t xml:space="preserve">Markvart, 2000) </w:t>
      </w:r>
      <w:r w:rsidRPr="00E3232D">
        <w:rPr>
          <w:rFonts w:ascii="Book Antiqua" w:hAnsi="Book Antiqua"/>
          <w:bCs/>
          <w:u w:val="thick"/>
        </w:rPr>
        <w:t xml:space="preserve">                                                                               </w:t>
      </w:r>
    </w:p>
    <w:p w14:paraId="7677E28B" w14:textId="77777777" w:rsidR="00EE2FE1" w:rsidRDefault="002319C6" w:rsidP="00B405C2">
      <w:pPr>
        <w:autoSpaceDE w:val="0"/>
        <w:autoSpaceDN w:val="0"/>
        <w:adjustRightInd w:val="0"/>
        <w:jc w:val="both"/>
        <w:rPr>
          <w:rFonts w:ascii="Book Antiqua" w:hAnsi="Book Antiqua"/>
        </w:rPr>
      </w:pPr>
      <w:r w:rsidRPr="00E3232D">
        <w:rPr>
          <w:rFonts w:ascii="Book Antiqua" w:hAnsi="Book Antiqua"/>
        </w:rPr>
        <w:t>It was important to know the irradiation and insolation of a site during the design of a solar PV system for that site. The irradiation and insolation for Koforidua was estimated from Tables 2 and 3.</w:t>
      </w:r>
    </w:p>
    <w:p w14:paraId="703AF3F1" w14:textId="77777777" w:rsidR="00050BBA" w:rsidRDefault="00050BBA" w:rsidP="002319C6">
      <w:pPr>
        <w:autoSpaceDE w:val="0"/>
        <w:autoSpaceDN w:val="0"/>
        <w:adjustRightInd w:val="0"/>
        <w:rPr>
          <w:rFonts w:ascii="Book Antiqua" w:hAnsi="Book Antiqua"/>
          <w:b/>
        </w:rPr>
      </w:pPr>
    </w:p>
    <w:p w14:paraId="20AD51B9" w14:textId="77777777" w:rsidR="00050BBA" w:rsidRDefault="00050BBA" w:rsidP="002319C6">
      <w:pPr>
        <w:autoSpaceDE w:val="0"/>
        <w:autoSpaceDN w:val="0"/>
        <w:adjustRightInd w:val="0"/>
        <w:rPr>
          <w:rFonts w:ascii="Book Antiqua" w:hAnsi="Book Antiqua"/>
          <w:b/>
        </w:rPr>
      </w:pPr>
    </w:p>
    <w:p w14:paraId="3424F2B6" w14:textId="77777777" w:rsidR="00050BBA" w:rsidRDefault="00050BBA" w:rsidP="002319C6">
      <w:pPr>
        <w:autoSpaceDE w:val="0"/>
        <w:autoSpaceDN w:val="0"/>
        <w:adjustRightInd w:val="0"/>
        <w:rPr>
          <w:rFonts w:ascii="Book Antiqua" w:hAnsi="Book Antiqua"/>
          <w:b/>
        </w:rPr>
      </w:pPr>
    </w:p>
    <w:p w14:paraId="087FF50E" w14:textId="77777777" w:rsidR="00050BBA" w:rsidRDefault="00050BBA" w:rsidP="002319C6">
      <w:pPr>
        <w:autoSpaceDE w:val="0"/>
        <w:autoSpaceDN w:val="0"/>
        <w:adjustRightInd w:val="0"/>
        <w:rPr>
          <w:rFonts w:ascii="Book Antiqua" w:hAnsi="Book Antiqua"/>
          <w:b/>
        </w:rPr>
      </w:pPr>
    </w:p>
    <w:p w14:paraId="2FE8D1C2" w14:textId="77777777" w:rsidR="00050BBA" w:rsidRDefault="00050BBA" w:rsidP="002319C6">
      <w:pPr>
        <w:autoSpaceDE w:val="0"/>
        <w:autoSpaceDN w:val="0"/>
        <w:adjustRightInd w:val="0"/>
        <w:rPr>
          <w:rFonts w:ascii="Book Antiqua" w:hAnsi="Book Antiqua"/>
          <w:b/>
        </w:rPr>
      </w:pPr>
    </w:p>
    <w:p w14:paraId="11C3D7BF" w14:textId="77777777" w:rsidR="00050BBA" w:rsidRDefault="00050BBA" w:rsidP="002319C6">
      <w:pPr>
        <w:autoSpaceDE w:val="0"/>
        <w:autoSpaceDN w:val="0"/>
        <w:adjustRightInd w:val="0"/>
        <w:rPr>
          <w:rFonts w:ascii="Book Antiqua" w:hAnsi="Book Antiqua"/>
          <w:b/>
        </w:rPr>
      </w:pPr>
    </w:p>
    <w:p w14:paraId="21386CD1" w14:textId="77777777" w:rsidR="002319C6" w:rsidRPr="00EE2FE1" w:rsidRDefault="002319C6" w:rsidP="002319C6">
      <w:pPr>
        <w:autoSpaceDE w:val="0"/>
        <w:autoSpaceDN w:val="0"/>
        <w:adjustRightInd w:val="0"/>
        <w:rPr>
          <w:rFonts w:ascii="Book Antiqua" w:hAnsi="Book Antiqua"/>
        </w:rPr>
      </w:pPr>
      <w:r w:rsidRPr="00E3232D">
        <w:rPr>
          <w:rFonts w:ascii="Book Antiqua" w:hAnsi="Book Antiqua"/>
          <w:b/>
        </w:rPr>
        <w:t>Table 2: Monthly global solar insolation for Koforidua (</w:t>
      </w:r>
      <w:r w:rsidRPr="00E3232D">
        <w:rPr>
          <w:rFonts w:ascii="Book Antiqua" w:hAnsi="Book Antiqua"/>
        </w:rPr>
        <w:t>Markvart, 2000)</w:t>
      </w:r>
    </w:p>
    <w:tbl>
      <w:tblPr>
        <w:tblW w:w="0" w:type="auto"/>
        <w:tblBorders>
          <w:top w:val="single" w:sz="8" w:space="0" w:color="4F81BD"/>
          <w:bottom w:val="single" w:sz="8" w:space="0" w:color="4F81BD"/>
        </w:tblBorders>
        <w:tblLook w:val="04A0" w:firstRow="1" w:lastRow="0" w:firstColumn="1" w:lastColumn="0" w:noHBand="0" w:noVBand="1"/>
      </w:tblPr>
      <w:tblGrid>
        <w:gridCol w:w="1548"/>
        <w:gridCol w:w="2520"/>
      </w:tblGrid>
      <w:tr w:rsidR="002319C6" w:rsidRPr="00D12E59" w14:paraId="4D16A614" w14:textId="77777777" w:rsidTr="00B80C42">
        <w:trPr>
          <w:trHeight w:val="620"/>
        </w:trPr>
        <w:tc>
          <w:tcPr>
            <w:tcW w:w="1548" w:type="dxa"/>
            <w:tcBorders>
              <w:top w:val="single" w:sz="8" w:space="0" w:color="4F81BD"/>
              <w:left w:val="nil"/>
              <w:bottom w:val="single" w:sz="8" w:space="0" w:color="4F81BD"/>
              <w:right w:val="nil"/>
            </w:tcBorders>
            <w:shd w:val="clear" w:color="auto" w:fill="auto"/>
          </w:tcPr>
          <w:p w14:paraId="0CB34AC5"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Months</w:t>
            </w:r>
          </w:p>
        </w:tc>
        <w:tc>
          <w:tcPr>
            <w:tcW w:w="2520" w:type="dxa"/>
            <w:tcBorders>
              <w:top w:val="single" w:sz="8" w:space="0" w:color="4F81BD"/>
              <w:left w:val="nil"/>
              <w:bottom w:val="single" w:sz="8" w:space="0" w:color="4F81BD"/>
              <w:right w:val="nil"/>
            </w:tcBorders>
            <w:shd w:val="clear" w:color="auto" w:fill="auto"/>
          </w:tcPr>
          <w:p w14:paraId="55482DEC" w14:textId="77777777" w:rsidR="002319C6" w:rsidRPr="00D12E59" w:rsidRDefault="002319C6" w:rsidP="00B405C2">
            <w:pPr>
              <w:pStyle w:val="NoSpacing"/>
              <w:jc w:val="center"/>
              <w:rPr>
                <w:rFonts w:ascii="Book Antiqua" w:hAnsi="Book Antiqua"/>
                <w:b/>
                <w:bCs/>
                <w:color w:val="365F91"/>
              </w:rPr>
            </w:pPr>
            <w:r w:rsidRPr="00D12E59">
              <w:rPr>
                <w:rFonts w:ascii="Book Antiqua" w:hAnsi="Book Antiqua"/>
                <w:b/>
                <w:bCs/>
                <w:color w:val="365F91"/>
              </w:rPr>
              <w:t>Solar insolation, KWh/m</w:t>
            </w:r>
            <w:r w:rsidRPr="00D12E59">
              <w:rPr>
                <w:rFonts w:ascii="Book Antiqua" w:hAnsi="Book Antiqua"/>
                <w:b/>
                <w:bCs/>
                <w:color w:val="365F91"/>
                <w:vertAlign w:val="superscript"/>
              </w:rPr>
              <w:t>2</w:t>
            </w:r>
          </w:p>
        </w:tc>
      </w:tr>
      <w:tr w:rsidR="002319C6" w:rsidRPr="00D12E59" w14:paraId="3847D0AA" w14:textId="77777777" w:rsidTr="00B80C42">
        <w:trPr>
          <w:trHeight w:val="260"/>
        </w:trPr>
        <w:tc>
          <w:tcPr>
            <w:tcW w:w="1548" w:type="dxa"/>
            <w:tcBorders>
              <w:left w:val="nil"/>
              <w:right w:val="nil"/>
            </w:tcBorders>
            <w:shd w:val="clear" w:color="auto" w:fill="auto"/>
          </w:tcPr>
          <w:p w14:paraId="78EE23F4"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January</w:t>
            </w:r>
          </w:p>
        </w:tc>
        <w:tc>
          <w:tcPr>
            <w:tcW w:w="2520" w:type="dxa"/>
            <w:tcBorders>
              <w:left w:val="nil"/>
              <w:right w:val="nil"/>
            </w:tcBorders>
            <w:shd w:val="clear" w:color="auto" w:fill="auto"/>
          </w:tcPr>
          <w:p w14:paraId="62E64DE9"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000000"/>
                <w:shd w:val="clear" w:color="auto" w:fill="FFFFFF"/>
              </w:rPr>
              <w:t>5.78</w:t>
            </w:r>
          </w:p>
        </w:tc>
      </w:tr>
      <w:tr w:rsidR="002319C6" w:rsidRPr="00D12E59" w14:paraId="452102EE" w14:textId="77777777" w:rsidTr="00B80C42">
        <w:trPr>
          <w:trHeight w:val="260"/>
        </w:trPr>
        <w:tc>
          <w:tcPr>
            <w:tcW w:w="1548" w:type="dxa"/>
            <w:shd w:val="clear" w:color="auto" w:fill="auto"/>
          </w:tcPr>
          <w:p w14:paraId="361CEE9D"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February</w:t>
            </w:r>
          </w:p>
        </w:tc>
        <w:tc>
          <w:tcPr>
            <w:tcW w:w="2520" w:type="dxa"/>
            <w:shd w:val="clear" w:color="auto" w:fill="auto"/>
          </w:tcPr>
          <w:p w14:paraId="0EFAC33F"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6.09</w:t>
            </w:r>
          </w:p>
        </w:tc>
      </w:tr>
      <w:tr w:rsidR="002319C6" w:rsidRPr="00D12E59" w14:paraId="4AF570E5" w14:textId="77777777" w:rsidTr="00B80C42">
        <w:tc>
          <w:tcPr>
            <w:tcW w:w="1548" w:type="dxa"/>
            <w:tcBorders>
              <w:left w:val="nil"/>
              <w:right w:val="nil"/>
            </w:tcBorders>
            <w:shd w:val="clear" w:color="auto" w:fill="auto"/>
          </w:tcPr>
          <w:p w14:paraId="1E7A4366"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March</w:t>
            </w:r>
          </w:p>
        </w:tc>
        <w:tc>
          <w:tcPr>
            <w:tcW w:w="2520" w:type="dxa"/>
            <w:tcBorders>
              <w:left w:val="nil"/>
              <w:right w:val="nil"/>
            </w:tcBorders>
            <w:shd w:val="clear" w:color="auto" w:fill="auto"/>
          </w:tcPr>
          <w:p w14:paraId="537858D9"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5.94</w:t>
            </w:r>
          </w:p>
        </w:tc>
      </w:tr>
      <w:tr w:rsidR="002319C6" w:rsidRPr="00D12E59" w14:paraId="7AC7F3ED" w14:textId="77777777" w:rsidTr="00B80C42">
        <w:tc>
          <w:tcPr>
            <w:tcW w:w="1548" w:type="dxa"/>
            <w:shd w:val="clear" w:color="auto" w:fill="auto"/>
          </w:tcPr>
          <w:p w14:paraId="44F8E8E4"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April</w:t>
            </w:r>
          </w:p>
        </w:tc>
        <w:tc>
          <w:tcPr>
            <w:tcW w:w="2520" w:type="dxa"/>
            <w:shd w:val="clear" w:color="auto" w:fill="auto"/>
          </w:tcPr>
          <w:p w14:paraId="1C0B5BA8"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5.72</w:t>
            </w:r>
          </w:p>
        </w:tc>
      </w:tr>
      <w:tr w:rsidR="002319C6" w:rsidRPr="00D12E59" w14:paraId="31F1D4F9" w14:textId="77777777" w:rsidTr="00B80C42">
        <w:tc>
          <w:tcPr>
            <w:tcW w:w="1548" w:type="dxa"/>
            <w:tcBorders>
              <w:left w:val="nil"/>
              <w:right w:val="nil"/>
            </w:tcBorders>
            <w:shd w:val="clear" w:color="auto" w:fill="auto"/>
          </w:tcPr>
          <w:p w14:paraId="63E5B844"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May</w:t>
            </w:r>
          </w:p>
        </w:tc>
        <w:tc>
          <w:tcPr>
            <w:tcW w:w="2520" w:type="dxa"/>
            <w:tcBorders>
              <w:left w:val="nil"/>
              <w:right w:val="nil"/>
            </w:tcBorders>
            <w:shd w:val="clear" w:color="auto" w:fill="auto"/>
          </w:tcPr>
          <w:p w14:paraId="7EDAFB91"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5.32</w:t>
            </w:r>
          </w:p>
        </w:tc>
      </w:tr>
      <w:tr w:rsidR="002319C6" w:rsidRPr="00D12E59" w14:paraId="06E62C6D" w14:textId="77777777" w:rsidTr="00B80C42">
        <w:tc>
          <w:tcPr>
            <w:tcW w:w="1548" w:type="dxa"/>
            <w:shd w:val="clear" w:color="auto" w:fill="auto"/>
          </w:tcPr>
          <w:p w14:paraId="2584327E"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June</w:t>
            </w:r>
          </w:p>
        </w:tc>
        <w:tc>
          <w:tcPr>
            <w:tcW w:w="2520" w:type="dxa"/>
            <w:shd w:val="clear" w:color="auto" w:fill="auto"/>
          </w:tcPr>
          <w:p w14:paraId="5B91E40A"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4.71</w:t>
            </w:r>
          </w:p>
        </w:tc>
      </w:tr>
      <w:tr w:rsidR="002319C6" w:rsidRPr="00D12E59" w14:paraId="44C14420" w14:textId="77777777" w:rsidTr="00B80C42">
        <w:tc>
          <w:tcPr>
            <w:tcW w:w="1548" w:type="dxa"/>
            <w:tcBorders>
              <w:left w:val="nil"/>
              <w:right w:val="nil"/>
            </w:tcBorders>
            <w:shd w:val="clear" w:color="auto" w:fill="auto"/>
          </w:tcPr>
          <w:p w14:paraId="47430E70"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July</w:t>
            </w:r>
          </w:p>
        </w:tc>
        <w:tc>
          <w:tcPr>
            <w:tcW w:w="2520" w:type="dxa"/>
            <w:tcBorders>
              <w:left w:val="nil"/>
              <w:right w:val="nil"/>
            </w:tcBorders>
            <w:shd w:val="clear" w:color="auto" w:fill="auto"/>
          </w:tcPr>
          <w:p w14:paraId="728DCB68"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5.20</w:t>
            </w:r>
          </w:p>
        </w:tc>
      </w:tr>
      <w:tr w:rsidR="002319C6" w:rsidRPr="00D12E59" w14:paraId="0A871AAF" w14:textId="77777777" w:rsidTr="00B80C42">
        <w:tc>
          <w:tcPr>
            <w:tcW w:w="1548" w:type="dxa"/>
            <w:shd w:val="clear" w:color="auto" w:fill="auto"/>
          </w:tcPr>
          <w:p w14:paraId="455F5678"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August</w:t>
            </w:r>
          </w:p>
        </w:tc>
        <w:tc>
          <w:tcPr>
            <w:tcW w:w="2520" w:type="dxa"/>
            <w:shd w:val="clear" w:color="auto" w:fill="auto"/>
          </w:tcPr>
          <w:p w14:paraId="75850113"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5.31</w:t>
            </w:r>
          </w:p>
        </w:tc>
      </w:tr>
      <w:tr w:rsidR="002319C6" w:rsidRPr="00D12E59" w14:paraId="408321CE" w14:textId="77777777" w:rsidTr="00B80C42">
        <w:tc>
          <w:tcPr>
            <w:tcW w:w="1548" w:type="dxa"/>
            <w:tcBorders>
              <w:left w:val="nil"/>
              <w:right w:val="nil"/>
            </w:tcBorders>
            <w:shd w:val="clear" w:color="auto" w:fill="auto"/>
          </w:tcPr>
          <w:p w14:paraId="7C176AE3"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September</w:t>
            </w:r>
          </w:p>
        </w:tc>
        <w:tc>
          <w:tcPr>
            <w:tcW w:w="2520" w:type="dxa"/>
            <w:tcBorders>
              <w:left w:val="nil"/>
              <w:right w:val="nil"/>
            </w:tcBorders>
            <w:shd w:val="clear" w:color="auto" w:fill="auto"/>
          </w:tcPr>
          <w:p w14:paraId="296C72F6"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5.29</w:t>
            </w:r>
          </w:p>
        </w:tc>
      </w:tr>
      <w:tr w:rsidR="002319C6" w:rsidRPr="00D12E59" w14:paraId="7FBFCB42" w14:textId="77777777" w:rsidTr="00B80C42">
        <w:tc>
          <w:tcPr>
            <w:tcW w:w="1548" w:type="dxa"/>
            <w:shd w:val="clear" w:color="auto" w:fill="auto"/>
          </w:tcPr>
          <w:p w14:paraId="01B4BEE5"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October</w:t>
            </w:r>
          </w:p>
        </w:tc>
        <w:tc>
          <w:tcPr>
            <w:tcW w:w="2520" w:type="dxa"/>
            <w:shd w:val="clear" w:color="auto" w:fill="auto"/>
          </w:tcPr>
          <w:p w14:paraId="0E0C0F9E"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5.64</w:t>
            </w:r>
          </w:p>
        </w:tc>
      </w:tr>
      <w:tr w:rsidR="002319C6" w:rsidRPr="00D12E59" w14:paraId="174213E9" w14:textId="77777777" w:rsidTr="00B80C42">
        <w:tc>
          <w:tcPr>
            <w:tcW w:w="1548" w:type="dxa"/>
            <w:tcBorders>
              <w:left w:val="nil"/>
              <w:right w:val="nil"/>
            </w:tcBorders>
            <w:shd w:val="clear" w:color="auto" w:fill="auto"/>
          </w:tcPr>
          <w:p w14:paraId="7BE58FEB"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November</w:t>
            </w:r>
          </w:p>
        </w:tc>
        <w:tc>
          <w:tcPr>
            <w:tcW w:w="2520" w:type="dxa"/>
            <w:tcBorders>
              <w:left w:val="nil"/>
              <w:right w:val="nil"/>
            </w:tcBorders>
            <w:shd w:val="clear" w:color="auto" w:fill="auto"/>
          </w:tcPr>
          <w:p w14:paraId="30CF2EC5"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5.69</w:t>
            </w:r>
          </w:p>
        </w:tc>
      </w:tr>
      <w:tr w:rsidR="002319C6" w:rsidRPr="00D12E59" w14:paraId="2DF2A294" w14:textId="77777777" w:rsidTr="00B80C42">
        <w:tc>
          <w:tcPr>
            <w:tcW w:w="1548" w:type="dxa"/>
            <w:shd w:val="clear" w:color="auto" w:fill="auto"/>
          </w:tcPr>
          <w:p w14:paraId="5D028B0A"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December</w:t>
            </w:r>
          </w:p>
        </w:tc>
        <w:tc>
          <w:tcPr>
            <w:tcW w:w="2520" w:type="dxa"/>
            <w:shd w:val="clear" w:color="auto" w:fill="auto"/>
          </w:tcPr>
          <w:p w14:paraId="459CDDB8"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5.56</w:t>
            </w:r>
          </w:p>
        </w:tc>
      </w:tr>
      <w:tr w:rsidR="002319C6" w:rsidRPr="00D12E59" w14:paraId="04149C51" w14:textId="77777777" w:rsidTr="00B80C42">
        <w:tc>
          <w:tcPr>
            <w:tcW w:w="1548" w:type="dxa"/>
            <w:tcBorders>
              <w:left w:val="nil"/>
              <w:right w:val="nil"/>
            </w:tcBorders>
            <w:shd w:val="clear" w:color="auto" w:fill="auto"/>
          </w:tcPr>
          <w:p w14:paraId="5053CD39" w14:textId="77777777" w:rsidR="002319C6" w:rsidRPr="00D12E59" w:rsidRDefault="002319C6" w:rsidP="00B405C2">
            <w:pPr>
              <w:pStyle w:val="NoSpacing"/>
              <w:rPr>
                <w:rFonts w:ascii="Book Antiqua" w:hAnsi="Book Antiqua"/>
                <w:b/>
                <w:bCs/>
                <w:color w:val="365F91"/>
              </w:rPr>
            </w:pPr>
            <w:r w:rsidRPr="00D12E59">
              <w:rPr>
                <w:rFonts w:ascii="Book Antiqua" w:hAnsi="Book Antiqua"/>
                <w:b/>
                <w:bCs/>
                <w:color w:val="365F91"/>
              </w:rPr>
              <w:t>Average</w:t>
            </w:r>
          </w:p>
        </w:tc>
        <w:tc>
          <w:tcPr>
            <w:tcW w:w="2520" w:type="dxa"/>
            <w:tcBorders>
              <w:left w:val="nil"/>
              <w:right w:val="nil"/>
            </w:tcBorders>
            <w:shd w:val="clear" w:color="auto" w:fill="auto"/>
          </w:tcPr>
          <w:p w14:paraId="39F4EC28" w14:textId="77777777" w:rsidR="002319C6" w:rsidRPr="00D12E59" w:rsidRDefault="002319C6" w:rsidP="00B405C2">
            <w:pPr>
              <w:pStyle w:val="NoSpacing"/>
              <w:jc w:val="center"/>
              <w:rPr>
                <w:rFonts w:ascii="Book Antiqua" w:hAnsi="Book Antiqua"/>
                <w:color w:val="365F91"/>
              </w:rPr>
            </w:pPr>
            <w:r w:rsidRPr="00D12E59">
              <w:rPr>
                <w:rFonts w:ascii="Book Antiqua" w:hAnsi="Book Antiqua"/>
                <w:color w:val="365F91"/>
              </w:rPr>
              <w:t>5.52</w:t>
            </w:r>
          </w:p>
        </w:tc>
      </w:tr>
    </w:tbl>
    <w:p w14:paraId="25BD847A" w14:textId="77777777" w:rsidR="002319C6" w:rsidRPr="00E3232D" w:rsidRDefault="002319C6" w:rsidP="002319C6">
      <w:pPr>
        <w:rPr>
          <w:rFonts w:ascii="Book Antiqua" w:hAnsi="Book Antiqua"/>
          <w:b/>
        </w:rPr>
      </w:pPr>
    </w:p>
    <w:p w14:paraId="729006DF" w14:textId="77777777" w:rsidR="002319C6" w:rsidRPr="00E3232D" w:rsidRDefault="002319C6" w:rsidP="002319C6">
      <w:pPr>
        <w:autoSpaceDE w:val="0"/>
        <w:autoSpaceDN w:val="0"/>
        <w:adjustRightInd w:val="0"/>
        <w:rPr>
          <w:rFonts w:ascii="Book Antiqua" w:hAnsi="Book Antiqua"/>
        </w:rPr>
      </w:pPr>
      <w:r w:rsidRPr="00E3232D">
        <w:rPr>
          <w:rFonts w:ascii="Book Antiqua" w:hAnsi="Book Antiqua"/>
          <w:b/>
        </w:rPr>
        <w:t>Table 3: Daily average bright sunshine hours for Koforidua</w:t>
      </w:r>
      <w:r w:rsidRPr="00E3232D">
        <w:rPr>
          <w:rFonts w:ascii="Book Antiqua" w:hAnsi="Book Antiqua"/>
        </w:rPr>
        <w:t xml:space="preserve"> [10]</w:t>
      </w:r>
    </w:p>
    <w:tbl>
      <w:tblPr>
        <w:tblW w:w="4647" w:type="dxa"/>
        <w:tblBorders>
          <w:top w:val="single" w:sz="8" w:space="0" w:color="4F81BD"/>
          <w:bottom w:val="single" w:sz="8" w:space="0" w:color="4F81BD"/>
        </w:tblBorders>
        <w:tblLook w:val="04A0" w:firstRow="1" w:lastRow="0" w:firstColumn="1" w:lastColumn="0" w:noHBand="0" w:noVBand="1"/>
      </w:tblPr>
      <w:tblGrid>
        <w:gridCol w:w="1328"/>
        <w:gridCol w:w="799"/>
        <w:gridCol w:w="1243"/>
        <w:gridCol w:w="1277"/>
      </w:tblGrid>
      <w:tr w:rsidR="002319C6" w:rsidRPr="00D12E59" w14:paraId="0AFFE475" w14:textId="77777777" w:rsidTr="00EE6DFD">
        <w:trPr>
          <w:trHeight w:val="609"/>
        </w:trPr>
        <w:tc>
          <w:tcPr>
            <w:tcW w:w="1329" w:type="dxa"/>
            <w:tcBorders>
              <w:top w:val="single" w:sz="8" w:space="0" w:color="4F81BD"/>
              <w:left w:val="nil"/>
              <w:bottom w:val="single" w:sz="8" w:space="0" w:color="4F81BD"/>
              <w:right w:val="nil"/>
            </w:tcBorders>
            <w:shd w:val="clear" w:color="auto" w:fill="auto"/>
          </w:tcPr>
          <w:p w14:paraId="1A648EF4"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Months</w:t>
            </w:r>
          </w:p>
        </w:tc>
        <w:tc>
          <w:tcPr>
            <w:tcW w:w="800" w:type="dxa"/>
            <w:tcBorders>
              <w:top w:val="single" w:sz="8" w:space="0" w:color="4F81BD"/>
              <w:left w:val="nil"/>
              <w:bottom w:val="single" w:sz="8" w:space="0" w:color="4F81BD"/>
              <w:right w:val="nil"/>
            </w:tcBorders>
            <w:shd w:val="clear" w:color="auto" w:fill="auto"/>
          </w:tcPr>
          <w:p w14:paraId="1ECCD686"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Daily Mean</w:t>
            </w:r>
          </w:p>
        </w:tc>
        <w:tc>
          <w:tcPr>
            <w:tcW w:w="1239" w:type="dxa"/>
            <w:tcBorders>
              <w:top w:val="single" w:sz="8" w:space="0" w:color="4F81BD"/>
              <w:left w:val="nil"/>
              <w:bottom w:val="single" w:sz="8" w:space="0" w:color="4F81BD"/>
              <w:right w:val="nil"/>
            </w:tcBorders>
            <w:shd w:val="clear" w:color="auto" w:fill="auto"/>
          </w:tcPr>
          <w:p w14:paraId="334E88C7"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Minimum</w:t>
            </w:r>
          </w:p>
        </w:tc>
        <w:tc>
          <w:tcPr>
            <w:tcW w:w="1279" w:type="dxa"/>
            <w:tcBorders>
              <w:top w:val="single" w:sz="8" w:space="0" w:color="4F81BD"/>
              <w:left w:val="nil"/>
              <w:bottom w:val="single" w:sz="8" w:space="0" w:color="4F81BD"/>
              <w:right w:val="nil"/>
            </w:tcBorders>
            <w:shd w:val="clear" w:color="auto" w:fill="auto"/>
          </w:tcPr>
          <w:p w14:paraId="66E219AD"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Maximum</w:t>
            </w:r>
          </w:p>
        </w:tc>
      </w:tr>
      <w:tr w:rsidR="002319C6" w:rsidRPr="00D12E59" w14:paraId="09EC2B00" w14:textId="77777777" w:rsidTr="00EE6DFD">
        <w:trPr>
          <w:trHeight w:val="312"/>
        </w:trPr>
        <w:tc>
          <w:tcPr>
            <w:tcW w:w="1329" w:type="dxa"/>
            <w:tcBorders>
              <w:left w:val="nil"/>
              <w:right w:val="nil"/>
            </w:tcBorders>
            <w:shd w:val="clear" w:color="auto" w:fill="auto"/>
          </w:tcPr>
          <w:p w14:paraId="15EC117B"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January</w:t>
            </w:r>
          </w:p>
        </w:tc>
        <w:tc>
          <w:tcPr>
            <w:tcW w:w="800" w:type="dxa"/>
            <w:tcBorders>
              <w:left w:val="nil"/>
              <w:right w:val="nil"/>
            </w:tcBorders>
            <w:shd w:val="clear" w:color="auto" w:fill="auto"/>
          </w:tcPr>
          <w:p w14:paraId="1C675F45"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7.6</w:t>
            </w:r>
          </w:p>
        </w:tc>
        <w:tc>
          <w:tcPr>
            <w:tcW w:w="1239" w:type="dxa"/>
            <w:tcBorders>
              <w:left w:val="nil"/>
              <w:right w:val="nil"/>
            </w:tcBorders>
            <w:shd w:val="clear" w:color="auto" w:fill="auto"/>
          </w:tcPr>
          <w:p w14:paraId="44BEADC3"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6.5</w:t>
            </w:r>
          </w:p>
        </w:tc>
        <w:tc>
          <w:tcPr>
            <w:tcW w:w="1279" w:type="dxa"/>
            <w:tcBorders>
              <w:left w:val="nil"/>
              <w:right w:val="nil"/>
            </w:tcBorders>
            <w:shd w:val="clear" w:color="auto" w:fill="auto"/>
          </w:tcPr>
          <w:p w14:paraId="621CE78E"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8.9</w:t>
            </w:r>
          </w:p>
        </w:tc>
      </w:tr>
      <w:tr w:rsidR="002319C6" w:rsidRPr="00D12E59" w14:paraId="681423BE" w14:textId="77777777" w:rsidTr="00EE6DFD">
        <w:trPr>
          <w:trHeight w:val="312"/>
        </w:trPr>
        <w:tc>
          <w:tcPr>
            <w:tcW w:w="1329" w:type="dxa"/>
            <w:shd w:val="clear" w:color="auto" w:fill="auto"/>
          </w:tcPr>
          <w:p w14:paraId="443A4E81"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February</w:t>
            </w:r>
          </w:p>
        </w:tc>
        <w:tc>
          <w:tcPr>
            <w:tcW w:w="800" w:type="dxa"/>
            <w:shd w:val="clear" w:color="auto" w:fill="auto"/>
          </w:tcPr>
          <w:p w14:paraId="0BE28ADA"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8.1</w:t>
            </w:r>
          </w:p>
        </w:tc>
        <w:tc>
          <w:tcPr>
            <w:tcW w:w="1239" w:type="dxa"/>
            <w:shd w:val="clear" w:color="auto" w:fill="auto"/>
          </w:tcPr>
          <w:p w14:paraId="0CF57476"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7.7</w:t>
            </w:r>
          </w:p>
        </w:tc>
        <w:tc>
          <w:tcPr>
            <w:tcW w:w="1279" w:type="dxa"/>
            <w:shd w:val="clear" w:color="auto" w:fill="auto"/>
          </w:tcPr>
          <w:p w14:paraId="3F818D3D"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10.5</w:t>
            </w:r>
          </w:p>
        </w:tc>
      </w:tr>
      <w:tr w:rsidR="002319C6" w:rsidRPr="00D12E59" w14:paraId="43CDB50D" w14:textId="77777777" w:rsidTr="00EE6DFD">
        <w:trPr>
          <w:trHeight w:val="312"/>
        </w:trPr>
        <w:tc>
          <w:tcPr>
            <w:tcW w:w="1329" w:type="dxa"/>
            <w:tcBorders>
              <w:left w:val="nil"/>
              <w:right w:val="nil"/>
            </w:tcBorders>
            <w:shd w:val="clear" w:color="auto" w:fill="auto"/>
          </w:tcPr>
          <w:p w14:paraId="67AC0DE8"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March</w:t>
            </w:r>
          </w:p>
        </w:tc>
        <w:tc>
          <w:tcPr>
            <w:tcW w:w="800" w:type="dxa"/>
            <w:tcBorders>
              <w:left w:val="nil"/>
              <w:right w:val="nil"/>
            </w:tcBorders>
            <w:shd w:val="clear" w:color="auto" w:fill="auto"/>
          </w:tcPr>
          <w:p w14:paraId="4E9E6DF9"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8.8</w:t>
            </w:r>
          </w:p>
        </w:tc>
        <w:tc>
          <w:tcPr>
            <w:tcW w:w="1239" w:type="dxa"/>
            <w:tcBorders>
              <w:left w:val="nil"/>
              <w:right w:val="nil"/>
            </w:tcBorders>
            <w:shd w:val="clear" w:color="auto" w:fill="auto"/>
          </w:tcPr>
          <w:p w14:paraId="2EEDCA7E"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7.4</w:t>
            </w:r>
          </w:p>
        </w:tc>
        <w:tc>
          <w:tcPr>
            <w:tcW w:w="1279" w:type="dxa"/>
            <w:tcBorders>
              <w:left w:val="nil"/>
              <w:right w:val="nil"/>
            </w:tcBorders>
            <w:shd w:val="clear" w:color="auto" w:fill="auto"/>
          </w:tcPr>
          <w:p w14:paraId="737DFFDD"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10.1</w:t>
            </w:r>
          </w:p>
        </w:tc>
      </w:tr>
      <w:tr w:rsidR="002319C6" w:rsidRPr="00D12E59" w14:paraId="113756A1" w14:textId="77777777" w:rsidTr="00EE6DFD">
        <w:trPr>
          <w:trHeight w:val="312"/>
        </w:trPr>
        <w:tc>
          <w:tcPr>
            <w:tcW w:w="1329" w:type="dxa"/>
            <w:shd w:val="clear" w:color="auto" w:fill="auto"/>
          </w:tcPr>
          <w:p w14:paraId="45A77FA0"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April</w:t>
            </w:r>
          </w:p>
        </w:tc>
        <w:tc>
          <w:tcPr>
            <w:tcW w:w="800" w:type="dxa"/>
            <w:shd w:val="clear" w:color="auto" w:fill="auto"/>
          </w:tcPr>
          <w:p w14:paraId="45D7F70A"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8.9</w:t>
            </w:r>
          </w:p>
        </w:tc>
        <w:tc>
          <w:tcPr>
            <w:tcW w:w="1239" w:type="dxa"/>
            <w:shd w:val="clear" w:color="auto" w:fill="auto"/>
          </w:tcPr>
          <w:p w14:paraId="092D1347"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7.6</w:t>
            </w:r>
          </w:p>
        </w:tc>
        <w:tc>
          <w:tcPr>
            <w:tcW w:w="1279" w:type="dxa"/>
            <w:shd w:val="clear" w:color="auto" w:fill="auto"/>
          </w:tcPr>
          <w:p w14:paraId="214939B3"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10.2</w:t>
            </w:r>
          </w:p>
        </w:tc>
      </w:tr>
      <w:tr w:rsidR="002319C6" w:rsidRPr="00D12E59" w14:paraId="707F234D" w14:textId="77777777" w:rsidTr="00EE6DFD">
        <w:trPr>
          <w:trHeight w:val="312"/>
        </w:trPr>
        <w:tc>
          <w:tcPr>
            <w:tcW w:w="1329" w:type="dxa"/>
            <w:tcBorders>
              <w:left w:val="nil"/>
              <w:right w:val="nil"/>
            </w:tcBorders>
            <w:shd w:val="clear" w:color="auto" w:fill="auto"/>
          </w:tcPr>
          <w:p w14:paraId="130326B9"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May</w:t>
            </w:r>
          </w:p>
        </w:tc>
        <w:tc>
          <w:tcPr>
            <w:tcW w:w="800" w:type="dxa"/>
            <w:tcBorders>
              <w:left w:val="nil"/>
              <w:right w:val="nil"/>
            </w:tcBorders>
            <w:shd w:val="clear" w:color="auto" w:fill="auto"/>
          </w:tcPr>
          <w:p w14:paraId="7AF13E93"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8.3</w:t>
            </w:r>
          </w:p>
        </w:tc>
        <w:tc>
          <w:tcPr>
            <w:tcW w:w="1239" w:type="dxa"/>
            <w:tcBorders>
              <w:left w:val="nil"/>
              <w:right w:val="nil"/>
            </w:tcBorders>
            <w:shd w:val="clear" w:color="auto" w:fill="auto"/>
          </w:tcPr>
          <w:p w14:paraId="13FA9686"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5.6</w:t>
            </w:r>
          </w:p>
        </w:tc>
        <w:tc>
          <w:tcPr>
            <w:tcW w:w="1279" w:type="dxa"/>
            <w:tcBorders>
              <w:left w:val="nil"/>
              <w:right w:val="nil"/>
            </w:tcBorders>
            <w:shd w:val="clear" w:color="auto" w:fill="auto"/>
          </w:tcPr>
          <w:p w14:paraId="0F6D55BE"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9.6</w:t>
            </w:r>
          </w:p>
        </w:tc>
      </w:tr>
      <w:tr w:rsidR="002319C6" w:rsidRPr="00D12E59" w14:paraId="4D6FD27B" w14:textId="77777777" w:rsidTr="00EE6DFD">
        <w:trPr>
          <w:trHeight w:val="312"/>
        </w:trPr>
        <w:tc>
          <w:tcPr>
            <w:tcW w:w="1329" w:type="dxa"/>
            <w:shd w:val="clear" w:color="auto" w:fill="auto"/>
          </w:tcPr>
          <w:p w14:paraId="587A3389"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June</w:t>
            </w:r>
          </w:p>
        </w:tc>
        <w:tc>
          <w:tcPr>
            <w:tcW w:w="800" w:type="dxa"/>
            <w:shd w:val="clear" w:color="auto" w:fill="auto"/>
          </w:tcPr>
          <w:p w14:paraId="631804A1"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4.8</w:t>
            </w:r>
          </w:p>
        </w:tc>
        <w:tc>
          <w:tcPr>
            <w:tcW w:w="1239" w:type="dxa"/>
            <w:shd w:val="clear" w:color="auto" w:fill="auto"/>
          </w:tcPr>
          <w:p w14:paraId="2B7689FA"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3.8</w:t>
            </w:r>
          </w:p>
        </w:tc>
        <w:tc>
          <w:tcPr>
            <w:tcW w:w="1279" w:type="dxa"/>
            <w:shd w:val="clear" w:color="auto" w:fill="auto"/>
          </w:tcPr>
          <w:p w14:paraId="7D980E76"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7.4</w:t>
            </w:r>
          </w:p>
        </w:tc>
      </w:tr>
      <w:tr w:rsidR="002319C6" w:rsidRPr="00D12E59" w14:paraId="538D15A9" w14:textId="77777777" w:rsidTr="00EE6DFD">
        <w:trPr>
          <w:trHeight w:val="312"/>
        </w:trPr>
        <w:tc>
          <w:tcPr>
            <w:tcW w:w="1329" w:type="dxa"/>
            <w:tcBorders>
              <w:left w:val="nil"/>
              <w:right w:val="nil"/>
            </w:tcBorders>
            <w:shd w:val="clear" w:color="auto" w:fill="auto"/>
          </w:tcPr>
          <w:p w14:paraId="55EA9E36"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July</w:t>
            </w:r>
          </w:p>
        </w:tc>
        <w:tc>
          <w:tcPr>
            <w:tcW w:w="800" w:type="dxa"/>
            <w:tcBorders>
              <w:left w:val="nil"/>
              <w:right w:val="nil"/>
            </w:tcBorders>
            <w:shd w:val="clear" w:color="auto" w:fill="auto"/>
          </w:tcPr>
          <w:p w14:paraId="24C45C2E"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5.2</w:t>
            </w:r>
          </w:p>
        </w:tc>
        <w:tc>
          <w:tcPr>
            <w:tcW w:w="1239" w:type="dxa"/>
            <w:tcBorders>
              <w:left w:val="nil"/>
              <w:right w:val="nil"/>
            </w:tcBorders>
            <w:shd w:val="clear" w:color="auto" w:fill="auto"/>
          </w:tcPr>
          <w:p w14:paraId="1C110D08"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3.4</w:t>
            </w:r>
          </w:p>
        </w:tc>
        <w:tc>
          <w:tcPr>
            <w:tcW w:w="1279" w:type="dxa"/>
            <w:tcBorders>
              <w:left w:val="nil"/>
              <w:right w:val="nil"/>
            </w:tcBorders>
            <w:shd w:val="clear" w:color="auto" w:fill="auto"/>
          </w:tcPr>
          <w:p w14:paraId="552DA7D9"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6.7</w:t>
            </w:r>
          </w:p>
        </w:tc>
      </w:tr>
      <w:tr w:rsidR="002319C6" w:rsidRPr="00D12E59" w14:paraId="48DA0A45" w14:textId="77777777" w:rsidTr="00EE6DFD">
        <w:trPr>
          <w:trHeight w:val="312"/>
        </w:trPr>
        <w:tc>
          <w:tcPr>
            <w:tcW w:w="1329" w:type="dxa"/>
            <w:shd w:val="clear" w:color="auto" w:fill="auto"/>
          </w:tcPr>
          <w:p w14:paraId="6684C876"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August</w:t>
            </w:r>
          </w:p>
        </w:tc>
        <w:tc>
          <w:tcPr>
            <w:tcW w:w="800" w:type="dxa"/>
            <w:shd w:val="clear" w:color="auto" w:fill="auto"/>
          </w:tcPr>
          <w:p w14:paraId="0F0B4F6E"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5.7</w:t>
            </w:r>
          </w:p>
        </w:tc>
        <w:tc>
          <w:tcPr>
            <w:tcW w:w="1239" w:type="dxa"/>
            <w:shd w:val="clear" w:color="auto" w:fill="auto"/>
          </w:tcPr>
          <w:p w14:paraId="3FF2EC67"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4.1</w:t>
            </w:r>
          </w:p>
        </w:tc>
        <w:tc>
          <w:tcPr>
            <w:tcW w:w="1279" w:type="dxa"/>
            <w:shd w:val="clear" w:color="auto" w:fill="auto"/>
          </w:tcPr>
          <w:p w14:paraId="65640328"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7.2</w:t>
            </w:r>
          </w:p>
        </w:tc>
      </w:tr>
      <w:tr w:rsidR="002319C6" w:rsidRPr="00D12E59" w14:paraId="33E2275E" w14:textId="77777777" w:rsidTr="00EE6DFD">
        <w:trPr>
          <w:trHeight w:val="312"/>
        </w:trPr>
        <w:tc>
          <w:tcPr>
            <w:tcW w:w="1329" w:type="dxa"/>
            <w:tcBorders>
              <w:left w:val="nil"/>
              <w:right w:val="nil"/>
            </w:tcBorders>
            <w:shd w:val="clear" w:color="auto" w:fill="auto"/>
          </w:tcPr>
          <w:p w14:paraId="6FC8D2C1"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September</w:t>
            </w:r>
          </w:p>
        </w:tc>
        <w:tc>
          <w:tcPr>
            <w:tcW w:w="800" w:type="dxa"/>
            <w:tcBorders>
              <w:left w:val="nil"/>
              <w:right w:val="nil"/>
            </w:tcBorders>
            <w:shd w:val="clear" w:color="auto" w:fill="auto"/>
          </w:tcPr>
          <w:p w14:paraId="064A2037"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6.2</w:t>
            </w:r>
          </w:p>
        </w:tc>
        <w:tc>
          <w:tcPr>
            <w:tcW w:w="1239" w:type="dxa"/>
            <w:tcBorders>
              <w:left w:val="nil"/>
              <w:right w:val="nil"/>
            </w:tcBorders>
            <w:shd w:val="clear" w:color="auto" w:fill="auto"/>
          </w:tcPr>
          <w:p w14:paraId="64C2993F"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4.3</w:t>
            </w:r>
          </w:p>
        </w:tc>
        <w:tc>
          <w:tcPr>
            <w:tcW w:w="1279" w:type="dxa"/>
            <w:tcBorders>
              <w:left w:val="nil"/>
              <w:right w:val="nil"/>
            </w:tcBorders>
            <w:shd w:val="clear" w:color="auto" w:fill="auto"/>
          </w:tcPr>
          <w:p w14:paraId="187DF9BB"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8.7</w:t>
            </w:r>
          </w:p>
        </w:tc>
      </w:tr>
      <w:tr w:rsidR="002319C6" w:rsidRPr="00D12E59" w14:paraId="1EA77702" w14:textId="77777777" w:rsidTr="00EE6DFD">
        <w:trPr>
          <w:trHeight w:val="297"/>
        </w:trPr>
        <w:tc>
          <w:tcPr>
            <w:tcW w:w="1329" w:type="dxa"/>
            <w:shd w:val="clear" w:color="auto" w:fill="auto"/>
          </w:tcPr>
          <w:p w14:paraId="060D0FFA"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October</w:t>
            </w:r>
          </w:p>
        </w:tc>
        <w:tc>
          <w:tcPr>
            <w:tcW w:w="800" w:type="dxa"/>
            <w:shd w:val="clear" w:color="auto" w:fill="auto"/>
          </w:tcPr>
          <w:p w14:paraId="3E2AA098"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7.7</w:t>
            </w:r>
          </w:p>
        </w:tc>
        <w:tc>
          <w:tcPr>
            <w:tcW w:w="1239" w:type="dxa"/>
            <w:shd w:val="clear" w:color="auto" w:fill="auto"/>
          </w:tcPr>
          <w:p w14:paraId="045FB898"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6.8</w:t>
            </w:r>
          </w:p>
        </w:tc>
        <w:tc>
          <w:tcPr>
            <w:tcW w:w="1279" w:type="dxa"/>
            <w:shd w:val="clear" w:color="auto" w:fill="auto"/>
          </w:tcPr>
          <w:p w14:paraId="67395CBC"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9.4</w:t>
            </w:r>
          </w:p>
        </w:tc>
      </w:tr>
      <w:tr w:rsidR="002319C6" w:rsidRPr="00D12E59" w14:paraId="0EF35054" w14:textId="77777777" w:rsidTr="00EE6DFD">
        <w:trPr>
          <w:trHeight w:val="312"/>
        </w:trPr>
        <w:tc>
          <w:tcPr>
            <w:tcW w:w="1329" w:type="dxa"/>
            <w:tcBorders>
              <w:left w:val="nil"/>
              <w:right w:val="nil"/>
            </w:tcBorders>
            <w:shd w:val="clear" w:color="auto" w:fill="auto"/>
          </w:tcPr>
          <w:p w14:paraId="198D51FC"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November</w:t>
            </w:r>
          </w:p>
        </w:tc>
        <w:tc>
          <w:tcPr>
            <w:tcW w:w="800" w:type="dxa"/>
            <w:tcBorders>
              <w:left w:val="nil"/>
              <w:right w:val="nil"/>
            </w:tcBorders>
            <w:shd w:val="clear" w:color="auto" w:fill="auto"/>
          </w:tcPr>
          <w:p w14:paraId="5D8EE43F"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8.7</w:t>
            </w:r>
          </w:p>
        </w:tc>
        <w:tc>
          <w:tcPr>
            <w:tcW w:w="1239" w:type="dxa"/>
            <w:tcBorders>
              <w:left w:val="nil"/>
              <w:right w:val="nil"/>
            </w:tcBorders>
            <w:shd w:val="clear" w:color="auto" w:fill="auto"/>
          </w:tcPr>
          <w:p w14:paraId="4DD72B77"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7.1</w:t>
            </w:r>
          </w:p>
        </w:tc>
        <w:tc>
          <w:tcPr>
            <w:tcW w:w="1279" w:type="dxa"/>
            <w:tcBorders>
              <w:left w:val="nil"/>
              <w:right w:val="nil"/>
            </w:tcBorders>
            <w:shd w:val="clear" w:color="auto" w:fill="auto"/>
          </w:tcPr>
          <w:p w14:paraId="52AB4142"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10.0</w:t>
            </w:r>
          </w:p>
        </w:tc>
      </w:tr>
      <w:tr w:rsidR="002319C6" w:rsidRPr="00D12E59" w14:paraId="1E79ED98" w14:textId="77777777" w:rsidTr="00EE6DFD">
        <w:trPr>
          <w:trHeight w:val="312"/>
        </w:trPr>
        <w:tc>
          <w:tcPr>
            <w:tcW w:w="1329" w:type="dxa"/>
            <w:shd w:val="clear" w:color="auto" w:fill="auto"/>
          </w:tcPr>
          <w:p w14:paraId="275D67B4"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December</w:t>
            </w:r>
          </w:p>
        </w:tc>
        <w:tc>
          <w:tcPr>
            <w:tcW w:w="800" w:type="dxa"/>
            <w:shd w:val="clear" w:color="auto" w:fill="auto"/>
          </w:tcPr>
          <w:p w14:paraId="45603F47"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8.6</w:t>
            </w:r>
          </w:p>
        </w:tc>
        <w:tc>
          <w:tcPr>
            <w:tcW w:w="1239" w:type="dxa"/>
            <w:shd w:val="clear" w:color="auto" w:fill="auto"/>
          </w:tcPr>
          <w:p w14:paraId="18686D4C"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7.5</w:t>
            </w:r>
          </w:p>
        </w:tc>
        <w:tc>
          <w:tcPr>
            <w:tcW w:w="1279" w:type="dxa"/>
            <w:shd w:val="clear" w:color="auto" w:fill="auto"/>
          </w:tcPr>
          <w:p w14:paraId="7935C2AA"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10.3</w:t>
            </w:r>
          </w:p>
        </w:tc>
      </w:tr>
      <w:tr w:rsidR="002319C6" w:rsidRPr="00D12E59" w14:paraId="6DED0670" w14:textId="77777777" w:rsidTr="00EE6DFD">
        <w:trPr>
          <w:trHeight w:val="327"/>
        </w:trPr>
        <w:tc>
          <w:tcPr>
            <w:tcW w:w="1329" w:type="dxa"/>
            <w:tcBorders>
              <w:left w:val="nil"/>
              <w:right w:val="nil"/>
            </w:tcBorders>
            <w:shd w:val="clear" w:color="auto" w:fill="auto"/>
          </w:tcPr>
          <w:p w14:paraId="469CA12E" w14:textId="77777777" w:rsidR="002319C6" w:rsidRPr="00D12E59" w:rsidRDefault="002319C6" w:rsidP="00B80C42">
            <w:pPr>
              <w:pStyle w:val="NoSpacing"/>
              <w:spacing w:line="276" w:lineRule="auto"/>
              <w:rPr>
                <w:rFonts w:ascii="Book Antiqua" w:hAnsi="Book Antiqua"/>
                <w:b/>
                <w:bCs/>
                <w:color w:val="365F91"/>
              </w:rPr>
            </w:pPr>
            <w:r w:rsidRPr="00D12E59">
              <w:rPr>
                <w:rFonts w:ascii="Book Antiqua" w:hAnsi="Book Antiqua"/>
                <w:b/>
                <w:bCs/>
                <w:color w:val="365F91"/>
              </w:rPr>
              <w:t>Average</w:t>
            </w:r>
          </w:p>
        </w:tc>
        <w:tc>
          <w:tcPr>
            <w:tcW w:w="800" w:type="dxa"/>
            <w:tcBorders>
              <w:left w:val="nil"/>
              <w:right w:val="nil"/>
            </w:tcBorders>
            <w:shd w:val="clear" w:color="auto" w:fill="auto"/>
          </w:tcPr>
          <w:p w14:paraId="01E04E10"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7.38</w:t>
            </w:r>
          </w:p>
        </w:tc>
        <w:tc>
          <w:tcPr>
            <w:tcW w:w="1239" w:type="dxa"/>
            <w:tcBorders>
              <w:left w:val="nil"/>
              <w:right w:val="nil"/>
            </w:tcBorders>
            <w:shd w:val="clear" w:color="auto" w:fill="auto"/>
          </w:tcPr>
          <w:p w14:paraId="151F61F4"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5.98</w:t>
            </w:r>
          </w:p>
        </w:tc>
        <w:tc>
          <w:tcPr>
            <w:tcW w:w="1279" w:type="dxa"/>
            <w:tcBorders>
              <w:left w:val="nil"/>
              <w:right w:val="nil"/>
            </w:tcBorders>
            <w:shd w:val="clear" w:color="auto" w:fill="auto"/>
          </w:tcPr>
          <w:p w14:paraId="6FFD9293" w14:textId="77777777" w:rsidR="002319C6" w:rsidRPr="00D12E59" w:rsidRDefault="002319C6" w:rsidP="00B80C42">
            <w:pPr>
              <w:pStyle w:val="NoSpacing"/>
              <w:spacing w:line="276" w:lineRule="auto"/>
              <w:jc w:val="center"/>
              <w:rPr>
                <w:rFonts w:ascii="Book Antiqua" w:hAnsi="Book Antiqua"/>
                <w:color w:val="365F91"/>
              </w:rPr>
            </w:pPr>
            <w:r w:rsidRPr="00D12E59">
              <w:rPr>
                <w:rFonts w:ascii="Book Antiqua" w:hAnsi="Book Antiqua"/>
                <w:color w:val="365F91"/>
              </w:rPr>
              <w:t>9.08</w:t>
            </w:r>
          </w:p>
        </w:tc>
      </w:tr>
    </w:tbl>
    <w:p w14:paraId="391CEC67" w14:textId="77777777" w:rsidR="002319C6" w:rsidRPr="00E3232D" w:rsidRDefault="002319C6" w:rsidP="002319C6">
      <w:pPr>
        <w:autoSpaceDE w:val="0"/>
        <w:autoSpaceDN w:val="0"/>
        <w:adjustRightInd w:val="0"/>
        <w:rPr>
          <w:rFonts w:ascii="Book Antiqua" w:hAnsi="Book Antiqua"/>
        </w:rPr>
      </w:pPr>
    </w:p>
    <w:p w14:paraId="25A5ECAF" w14:textId="77777777" w:rsidR="002319C6" w:rsidRDefault="002319C6" w:rsidP="008275E1">
      <w:pPr>
        <w:rPr>
          <w:rFonts w:ascii="Book Antiqua" w:hAnsi="Book Antiqua"/>
          <w:color w:val="000000"/>
        </w:rPr>
        <w:sectPr w:rsidR="002319C6" w:rsidSect="008F6BC9">
          <w:type w:val="continuous"/>
          <w:pgSz w:w="11907" w:h="16839" w:code="9"/>
          <w:pgMar w:top="1440" w:right="1440" w:bottom="1440" w:left="1440" w:header="0" w:footer="720" w:gutter="0"/>
          <w:cols w:num="2" w:space="720"/>
          <w:titlePg/>
          <w:docGrid w:linePitch="360"/>
        </w:sectPr>
      </w:pPr>
    </w:p>
    <w:p w14:paraId="6975B111" w14:textId="77777777" w:rsidR="002319C6" w:rsidRDefault="002319C6" w:rsidP="008275E1">
      <w:pPr>
        <w:rPr>
          <w:rFonts w:ascii="Book Antiqua" w:hAnsi="Book Antiqua"/>
          <w:color w:val="000000"/>
        </w:rPr>
      </w:pPr>
    </w:p>
    <w:p w14:paraId="6316BB8E" w14:textId="77777777" w:rsidR="00585E17" w:rsidRDefault="00585E17" w:rsidP="008275E1">
      <w:pPr>
        <w:rPr>
          <w:rFonts w:ascii="Book Antiqua" w:hAnsi="Book Antiqua"/>
          <w:color w:val="000000"/>
        </w:rPr>
      </w:pPr>
    </w:p>
    <w:p w14:paraId="7A262361" w14:textId="77777777" w:rsidR="00050BBA" w:rsidRDefault="00050BBA" w:rsidP="002319C6">
      <w:pPr>
        <w:rPr>
          <w:rFonts w:ascii="Book Antiqua" w:hAnsi="Book Antiqua"/>
          <w:color w:val="000000"/>
        </w:rPr>
      </w:pPr>
    </w:p>
    <w:p w14:paraId="2428368D" w14:textId="77777777" w:rsidR="002319C6" w:rsidRPr="00E3232D" w:rsidRDefault="002319C6" w:rsidP="002319C6">
      <w:pPr>
        <w:rPr>
          <w:rFonts w:ascii="Book Antiqua" w:hAnsi="Book Antiqua"/>
          <w:b/>
        </w:rPr>
      </w:pPr>
      <w:r w:rsidRPr="00E3232D">
        <w:rPr>
          <w:rFonts w:ascii="Book Antiqua" w:hAnsi="Book Antiqua"/>
          <w:b/>
        </w:rPr>
        <w:t xml:space="preserve">Table 1: </w:t>
      </w:r>
      <w:r w:rsidR="008214F9" w:rsidRPr="00E3232D">
        <w:rPr>
          <w:rFonts w:ascii="Book Antiqua" w:hAnsi="Book Antiqua"/>
          <w:b/>
        </w:rPr>
        <w:t xml:space="preserve">Lighting System Estimation </w:t>
      </w:r>
      <w:r w:rsidRPr="00E3232D">
        <w:rPr>
          <w:rFonts w:ascii="Book Antiqua" w:hAnsi="Book Antiqua"/>
          <w:b/>
        </w:rPr>
        <w:t xml:space="preserve">at GETF </w:t>
      </w:r>
      <w:r w:rsidR="008214F9" w:rsidRPr="00E3232D">
        <w:rPr>
          <w:rFonts w:ascii="Book Antiqua" w:hAnsi="Book Antiqua"/>
          <w:b/>
        </w:rPr>
        <w:t>Hostel</w:t>
      </w:r>
    </w:p>
    <w:tbl>
      <w:tblPr>
        <w:tblW w:w="0" w:type="auto"/>
        <w:tblBorders>
          <w:top w:val="single" w:sz="8" w:space="0" w:color="4F81BD"/>
          <w:bottom w:val="single" w:sz="8" w:space="0" w:color="4F81BD"/>
        </w:tblBorders>
        <w:tblLook w:val="04A0" w:firstRow="1" w:lastRow="0" w:firstColumn="1" w:lastColumn="0" w:noHBand="0" w:noVBand="1"/>
      </w:tblPr>
      <w:tblGrid>
        <w:gridCol w:w="1222"/>
        <w:gridCol w:w="830"/>
        <w:gridCol w:w="830"/>
        <w:gridCol w:w="795"/>
        <w:gridCol w:w="813"/>
        <w:gridCol w:w="786"/>
        <w:gridCol w:w="904"/>
        <w:gridCol w:w="679"/>
        <w:gridCol w:w="1177"/>
        <w:gridCol w:w="1207"/>
      </w:tblGrid>
      <w:tr w:rsidR="002319C6" w:rsidRPr="00EE2FE1" w14:paraId="18D62C3D" w14:textId="77777777" w:rsidTr="00EE2FE1">
        <w:tc>
          <w:tcPr>
            <w:tcW w:w="0" w:type="auto"/>
            <w:tcBorders>
              <w:top w:val="single" w:sz="8" w:space="0" w:color="4F81BD"/>
              <w:left w:val="nil"/>
              <w:bottom w:val="single" w:sz="8" w:space="0" w:color="4F81BD"/>
              <w:right w:val="nil"/>
            </w:tcBorders>
            <w:shd w:val="clear" w:color="auto" w:fill="auto"/>
          </w:tcPr>
          <w:p w14:paraId="35C191DF"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 xml:space="preserve">Classification of   </w:t>
            </w:r>
          </w:p>
          <w:p w14:paraId="5E05D8E6"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 xml:space="preserve">        hostel</w:t>
            </w:r>
          </w:p>
        </w:tc>
        <w:tc>
          <w:tcPr>
            <w:tcW w:w="0" w:type="auto"/>
            <w:tcBorders>
              <w:top w:val="single" w:sz="8" w:space="0" w:color="4F81BD"/>
              <w:left w:val="nil"/>
              <w:bottom w:val="single" w:sz="8" w:space="0" w:color="4F81BD"/>
              <w:right w:val="nil"/>
            </w:tcBorders>
            <w:shd w:val="clear" w:color="auto" w:fill="auto"/>
          </w:tcPr>
          <w:p w14:paraId="215ED4EF"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Number of rooms</w:t>
            </w:r>
          </w:p>
        </w:tc>
        <w:tc>
          <w:tcPr>
            <w:tcW w:w="0" w:type="auto"/>
            <w:tcBorders>
              <w:top w:val="single" w:sz="8" w:space="0" w:color="4F81BD"/>
              <w:left w:val="nil"/>
              <w:bottom w:val="single" w:sz="8" w:space="0" w:color="4F81BD"/>
              <w:right w:val="nil"/>
            </w:tcBorders>
            <w:shd w:val="clear" w:color="auto" w:fill="auto"/>
          </w:tcPr>
          <w:p w14:paraId="4E1BA572"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Number of bulbs in each room</w:t>
            </w:r>
          </w:p>
        </w:tc>
        <w:tc>
          <w:tcPr>
            <w:tcW w:w="0" w:type="auto"/>
            <w:tcBorders>
              <w:top w:val="single" w:sz="8" w:space="0" w:color="4F81BD"/>
              <w:left w:val="nil"/>
              <w:bottom w:val="single" w:sz="8" w:space="0" w:color="4F81BD"/>
              <w:right w:val="nil"/>
            </w:tcBorders>
            <w:shd w:val="clear" w:color="auto" w:fill="auto"/>
          </w:tcPr>
          <w:p w14:paraId="15A6F157"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Total number</w:t>
            </w:r>
          </w:p>
          <w:p w14:paraId="408551CD"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 xml:space="preserve"> of bulbs</w:t>
            </w:r>
          </w:p>
        </w:tc>
        <w:tc>
          <w:tcPr>
            <w:tcW w:w="0" w:type="auto"/>
            <w:tcBorders>
              <w:top w:val="single" w:sz="8" w:space="0" w:color="4F81BD"/>
              <w:left w:val="nil"/>
              <w:bottom w:val="single" w:sz="8" w:space="0" w:color="4F81BD"/>
              <w:right w:val="nil"/>
            </w:tcBorders>
            <w:shd w:val="clear" w:color="auto" w:fill="auto"/>
          </w:tcPr>
          <w:p w14:paraId="559FEBFB"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 xml:space="preserve">Wattage of each bulb </w:t>
            </w:r>
          </w:p>
          <w:p w14:paraId="732CD319"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 xml:space="preserve">      (W)</w:t>
            </w:r>
          </w:p>
        </w:tc>
        <w:tc>
          <w:tcPr>
            <w:tcW w:w="0" w:type="auto"/>
            <w:tcBorders>
              <w:top w:val="single" w:sz="8" w:space="0" w:color="4F81BD"/>
              <w:left w:val="nil"/>
              <w:bottom w:val="single" w:sz="8" w:space="0" w:color="4F81BD"/>
              <w:right w:val="nil"/>
            </w:tcBorders>
            <w:shd w:val="clear" w:color="auto" w:fill="auto"/>
          </w:tcPr>
          <w:p w14:paraId="19AB5AE6"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Total wattage</w:t>
            </w:r>
          </w:p>
          <w:p w14:paraId="5DCAE3EC"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 xml:space="preserve">   (W) </w:t>
            </w:r>
          </w:p>
          <w:p w14:paraId="4B96C1AE" w14:textId="77777777" w:rsidR="002319C6" w:rsidRPr="00EE2FE1" w:rsidRDefault="002319C6" w:rsidP="00B80C42">
            <w:pPr>
              <w:pStyle w:val="NoSpacing"/>
              <w:spacing w:line="276" w:lineRule="auto"/>
              <w:rPr>
                <w:rFonts w:ascii="Book Antiqua" w:hAnsi="Book Antiqua"/>
                <w:b/>
                <w:bCs/>
                <w:color w:val="365F91"/>
                <w:sz w:val="24"/>
              </w:rPr>
            </w:pPr>
          </w:p>
        </w:tc>
        <w:tc>
          <w:tcPr>
            <w:tcW w:w="0" w:type="auto"/>
            <w:tcBorders>
              <w:top w:val="single" w:sz="8" w:space="0" w:color="4F81BD"/>
              <w:left w:val="nil"/>
              <w:bottom w:val="single" w:sz="8" w:space="0" w:color="4F81BD"/>
              <w:right w:val="nil"/>
            </w:tcBorders>
            <w:shd w:val="clear" w:color="auto" w:fill="auto"/>
          </w:tcPr>
          <w:p w14:paraId="71910E18"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Duration of usage (Hrs/day)</w:t>
            </w:r>
          </w:p>
        </w:tc>
        <w:tc>
          <w:tcPr>
            <w:tcW w:w="0" w:type="auto"/>
            <w:tcBorders>
              <w:top w:val="single" w:sz="8" w:space="0" w:color="4F81BD"/>
              <w:left w:val="nil"/>
              <w:bottom w:val="single" w:sz="8" w:space="0" w:color="4F81BD"/>
              <w:right w:val="nil"/>
            </w:tcBorders>
            <w:shd w:val="clear" w:color="auto" w:fill="auto"/>
          </w:tcPr>
          <w:p w14:paraId="64D69F69"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Power in (kW)</w:t>
            </w:r>
          </w:p>
        </w:tc>
        <w:tc>
          <w:tcPr>
            <w:tcW w:w="0" w:type="auto"/>
            <w:tcBorders>
              <w:top w:val="single" w:sz="8" w:space="0" w:color="4F81BD"/>
              <w:left w:val="nil"/>
              <w:bottom w:val="single" w:sz="8" w:space="0" w:color="4F81BD"/>
              <w:right w:val="nil"/>
            </w:tcBorders>
            <w:shd w:val="clear" w:color="auto" w:fill="auto"/>
          </w:tcPr>
          <w:p w14:paraId="18AE602E"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Energy consumption in (kWh/day)</w:t>
            </w:r>
          </w:p>
        </w:tc>
        <w:tc>
          <w:tcPr>
            <w:tcW w:w="0" w:type="auto"/>
            <w:tcBorders>
              <w:top w:val="single" w:sz="8" w:space="0" w:color="4F81BD"/>
              <w:left w:val="nil"/>
              <w:bottom w:val="single" w:sz="8" w:space="0" w:color="4F81BD"/>
              <w:right w:val="nil"/>
            </w:tcBorders>
            <w:shd w:val="clear" w:color="auto" w:fill="auto"/>
          </w:tcPr>
          <w:p w14:paraId="74AC80CD"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Energy consumption in (kWh/month)</w:t>
            </w:r>
          </w:p>
        </w:tc>
      </w:tr>
      <w:tr w:rsidR="002319C6" w:rsidRPr="00EE2FE1" w14:paraId="27526C9A" w14:textId="77777777" w:rsidTr="00EE2FE1">
        <w:tc>
          <w:tcPr>
            <w:tcW w:w="0" w:type="auto"/>
            <w:tcBorders>
              <w:left w:val="nil"/>
              <w:right w:val="nil"/>
            </w:tcBorders>
            <w:shd w:val="clear" w:color="auto" w:fill="auto"/>
          </w:tcPr>
          <w:p w14:paraId="6B6BEC0F"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4 in a room</w:t>
            </w:r>
          </w:p>
        </w:tc>
        <w:tc>
          <w:tcPr>
            <w:tcW w:w="0" w:type="auto"/>
            <w:tcBorders>
              <w:left w:val="nil"/>
              <w:right w:val="nil"/>
            </w:tcBorders>
            <w:shd w:val="clear" w:color="auto" w:fill="auto"/>
          </w:tcPr>
          <w:p w14:paraId="264BFBBA"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tcBorders>
              <w:left w:val="nil"/>
              <w:right w:val="nil"/>
            </w:tcBorders>
            <w:shd w:val="clear" w:color="auto" w:fill="auto"/>
          </w:tcPr>
          <w:p w14:paraId="4C04E736"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tcBorders>
              <w:left w:val="nil"/>
              <w:right w:val="nil"/>
            </w:tcBorders>
            <w:shd w:val="clear" w:color="auto" w:fill="auto"/>
          </w:tcPr>
          <w:p w14:paraId="7326D7E2"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80</w:t>
            </w:r>
          </w:p>
        </w:tc>
        <w:tc>
          <w:tcPr>
            <w:tcW w:w="0" w:type="auto"/>
            <w:tcBorders>
              <w:left w:val="nil"/>
              <w:right w:val="nil"/>
            </w:tcBorders>
            <w:shd w:val="clear" w:color="auto" w:fill="auto"/>
          </w:tcPr>
          <w:p w14:paraId="3434EE11"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20</w:t>
            </w:r>
          </w:p>
        </w:tc>
        <w:tc>
          <w:tcPr>
            <w:tcW w:w="0" w:type="auto"/>
            <w:tcBorders>
              <w:left w:val="nil"/>
              <w:right w:val="nil"/>
            </w:tcBorders>
            <w:shd w:val="clear" w:color="auto" w:fill="auto"/>
          </w:tcPr>
          <w:p w14:paraId="6D9DCA7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1600</w:t>
            </w:r>
          </w:p>
        </w:tc>
        <w:tc>
          <w:tcPr>
            <w:tcW w:w="0" w:type="auto"/>
            <w:tcBorders>
              <w:left w:val="nil"/>
              <w:right w:val="nil"/>
            </w:tcBorders>
            <w:shd w:val="clear" w:color="auto" w:fill="auto"/>
          </w:tcPr>
          <w:p w14:paraId="596DB563"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6</w:t>
            </w:r>
          </w:p>
        </w:tc>
        <w:tc>
          <w:tcPr>
            <w:tcW w:w="0" w:type="auto"/>
            <w:tcBorders>
              <w:left w:val="nil"/>
              <w:right w:val="nil"/>
            </w:tcBorders>
            <w:shd w:val="clear" w:color="auto" w:fill="auto"/>
          </w:tcPr>
          <w:p w14:paraId="60D47599"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1.6</w:t>
            </w:r>
          </w:p>
        </w:tc>
        <w:tc>
          <w:tcPr>
            <w:tcW w:w="0" w:type="auto"/>
            <w:tcBorders>
              <w:left w:val="nil"/>
              <w:right w:val="nil"/>
            </w:tcBorders>
            <w:shd w:val="clear" w:color="auto" w:fill="auto"/>
          </w:tcPr>
          <w:p w14:paraId="51B0583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9.6</w:t>
            </w:r>
          </w:p>
        </w:tc>
        <w:tc>
          <w:tcPr>
            <w:tcW w:w="0" w:type="auto"/>
            <w:tcBorders>
              <w:left w:val="nil"/>
              <w:right w:val="nil"/>
            </w:tcBorders>
            <w:shd w:val="clear" w:color="auto" w:fill="auto"/>
          </w:tcPr>
          <w:p w14:paraId="7535AD9E"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288</w:t>
            </w:r>
          </w:p>
        </w:tc>
      </w:tr>
      <w:tr w:rsidR="002319C6" w:rsidRPr="00EE2FE1" w14:paraId="2B9E62CD" w14:textId="77777777" w:rsidTr="00EE2FE1">
        <w:tc>
          <w:tcPr>
            <w:tcW w:w="0" w:type="auto"/>
            <w:shd w:val="clear" w:color="auto" w:fill="auto"/>
          </w:tcPr>
          <w:p w14:paraId="201D207F"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6 in room</w:t>
            </w:r>
          </w:p>
        </w:tc>
        <w:tc>
          <w:tcPr>
            <w:tcW w:w="0" w:type="auto"/>
            <w:shd w:val="clear" w:color="auto" w:fill="auto"/>
          </w:tcPr>
          <w:p w14:paraId="187465B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48</w:t>
            </w:r>
          </w:p>
        </w:tc>
        <w:tc>
          <w:tcPr>
            <w:tcW w:w="0" w:type="auto"/>
            <w:shd w:val="clear" w:color="auto" w:fill="auto"/>
          </w:tcPr>
          <w:p w14:paraId="446F764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shd w:val="clear" w:color="auto" w:fill="auto"/>
          </w:tcPr>
          <w:p w14:paraId="03183B63"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96</w:t>
            </w:r>
          </w:p>
        </w:tc>
        <w:tc>
          <w:tcPr>
            <w:tcW w:w="0" w:type="auto"/>
            <w:shd w:val="clear" w:color="auto" w:fill="auto"/>
          </w:tcPr>
          <w:p w14:paraId="53AAF90A"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20</w:t>
            </w:r>
          </w:p>
        </w:tc>
        <w:tc>
          <w:tcPr>
            <w:tcW w:w="0" w:type="auto"/>
            <w:shd w:val="clear" w:color="auto" w:fill="auto"/>
          </w:tcPr>
          <w:p w14:paraId="6120D7B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1920</w:t>
            </w:r>
          </w:p>
        </w:tc>
        <w:tc>
          <w:tcPr>
            <w:tcW w:w="0" w:type="auto"/>
            <w:shd w:val="clear" w:color="auto" w:fill="auto"/>
          </w:tcPr>
          <w:p w14:paraId="43FF70BA"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6</w:t>
            </w:r>
          </w:p>
        </w:tc>
        <w:tc>
          <w:tcPr>
            <w:tcW w:w="0" w:type="auto"/>
            <w:shd w:val="clear" w:color="auto" w:fill="auto"/>
          </w:tcPr>
          <w:p w14:paraId="399457BA"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1.92</w:t>
            </w:r>
          </w:p>
        </w:tc>
        <w:tc>
          <w:tcPr>
            <w:tcW w:w="0" w:type="auto"/>
            <w:shd w:val="clear" w:color="auto" w:fill="auto"/>
          </w:tcPr>
          <w:p w14:paraId="0AF6515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11.52</w:t>
            </w:r>
          </w:p>
        </w:tc>
        <w:tc>
          <w:tcPr>
            <w:tcW w:w="0" w:type="auto"/>
            <w:shd w:val="clear" w:color="auto" w:fill="auto"/>
          </w:tcPr>
          <w:p w14:paraId="269B371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345.6</w:t>
            </w:r>
          </w:p>
        </w:tc>
      </w:tr>
      <w:tr w:rsidR="002319C6" w:rsidRPr="00EE2FE1" w14:paraId="4A730909" w14:textId="77777777" w:rsidTr="00EE2FE1">
        <w:tc>
          <w:tcPr>
            <w:tcW w:w="0" w:type="auto"/>
            <w:tcBorders>
              <w:left w:val="nil"/>
              <w:right w:val="nil"/>
            </w:tcBorders>
            <w:shd w:val="clear" w:color="auto" w:fill="auto"/>
          </w:tcPr>
          <w:p w14:paraId="76411156"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Corridor</w:t>
            </w:r>
          </w:p>
        </w:tc>
        <w:tc>
          <w:tcPr>
            <w:tcW w:w="0" w:type="auto"/>
            <w:tcBorders>
              <w:left w:val="nil"/>
              <w:right w:val="nil"/>
            </w:tcBorders>
            <w:shd w:val="clear" w:color="auto" w:fill="auto"/>
          </w:tcPr>
          <w:p w14:paraId="3942F94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tcBorders>
              <w:left w:val="nil"/>
              <w:right w:val="nil"/>
            </w:tcBorders>
            <w:shd w:val="clear" w:color="auto" w:fill="auto"/>
          </w:tcPr>
          <w:p w14:paraId="59627F32"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64</w:t>
            </w:r>
          </w:p>
        </w:tc>
        <w:tc>
          <w:tcPr>
            <w:tcW w:w="0" w:type="auto"/>
            <w:tcBorders>
              <w:left w:val="nil"/>
              <w:right w:val="nil"/>
            </w:tcBorders>
            <w:shd w:val="clear" w:color="auto" w:fill="auto"/>
          </w:tcPr>
          <w:p w14:paraId="32B68FE9"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256</w:t>
            </w:r>
          </w:p>
        </w:tc>
        <w:tc>
          <w:tcPr>
            <w:tcW w:w="0" w:type="auto"/>
            <w:tcBorders>
              <w:left w:val="nil"/>
              <w:right w:val="nil"/>
            </w:tcBorders>
            <w:shd w:val="clear" w:color="auto" w:fill="auto"/>
          </w:tcPr>
          <w:p w14:paraId="20BBA2F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15</w:t>
            </w:r>
          </w:p>
        </w:tc>
        <w:tc>
          <w:tcPr>
            <w:tcW w:w="0" w:type="auto"/>
            <w:tcBorders>
              <w:left w:val="nil"/>
              <w:right w:val="nil"/>
            </w:tcBorders>
            <w:shd w:val="clear" w:color="auto" w:fill="auto"/>
          </w:tcPr>
          <w:p w14:paraId="5967452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3840</w:t>
            </w:r>
          </w:p>
        </w:tc>
        <w:tc>
          <w:tcPr>
            <w:tcW w:w="0" w:type="auto"/>
            <w:tcBorders>
              <w:left w:val="nil"/>
              <w:right w:val="nil"/>
            </w:tcBorders>
            <w:shd w:val="clear" w:color="auto" w:fill="auto"/>
          </w:tcPr>
          <w:p w14:paraId="69D4D33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12</w:t>
            </w:r>
          </w:p>
        </w:tc>
        <w:tc>
          <w:tcPr>
            <w:tcW w:w="0" w:type="auto"/>
            <w:tcBorders>
              <w:left w:val="nil"/>
              <w:right w:val="nil"/>
            </w:tcBorders>
            <w:shd w:val="clear" w:color="auto" w:fill="auto"/>
          </w:tcPr>
          <w:p w14:paraId="24B6D97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3.84</w:t>
            </w:r>
          </w:p>
        </w:tc>
        <w:tc>
          <w:tcPr>
            <w:tcW w:w="0" w:type="auto"/>
            <w:tcBorders>
              <w:left w:val="nil"/>
              <w:right w:val="nil"/>
            </w:tcBorders>
            <w:shd w:val="clear" w:color="auto" w:fill="auto"/>
          </w:tcPr>
          <w:p w14:paraId="15C17BD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46.08</w:t>
            </w:r>
          </w:p>
        </w:tc>
        <w:tc>
          <w:tcPr>
            <w:tcW w:w="0" w:type="auto"/>
            <w:tcBorders>
              <w:left w:val="nil"/>
              <w:right w:val="nil"/>
            </w:tcBorders>
            <w:shd w:val="clear" w:color="auto" w:fill="auto"/>
          </w:tcPr>
          <w:p w14:paraId="3AB8467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1382.4</w:t>
            </w:r>
          </w:p>
        </w:tc>
      </w:tr>
      <w:tr w:rsidR="002319C6" w:rsidRPr="00EE2FE1" w14:paraId="1C9F0824" w14:textId="77777777" w:rsidTr="00EE2FE1">
        <w:tc>
          <w:tcPr>
            <w:tcW w:w="0" w:type="auto"/>
            <w:shd w:val="clear" w:color="auto" w:fill="auto"/>
          </w:tcPr>
          <w:p w14:paraId="3A2E69A6"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Kitchen</w:t>
            </w:r>
          </w:p>
        </w:tc>
        <w:tc>
          <w:tcPr>
            <w:tcW w:w="0" w:type="auto"/>
            <w:shd w:val="clear" w:color="auto" w:fill="auto"/>
          </w:tcPr>
          <w:p w14:paraId="2197D4CE"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22</w:t>
            </w:r>
          </w:p>
        </w:tc>
        <w:tc>
          <w:tcPr>
            <w:tcW w:w="0" w:type="auto"/>
            <w:shd w:val="clear" w:color="auto" w:fill="auto"/>
          </w:tcPr>
          <w:p w14:paraId="58CBB1F6"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shd w:val="clear" w:color="auto" w:fill="auto"/>
          </w:tcPr>
          <w:p w14:paraId="1976FD0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44</w:t>
            </w:r>
          </w:p>
        </w:tc>
        <w:tc>
          <w:tcPr>
            <w:tcW w:w="0" w:type="auto"/>
            <w:shd w:val="clear" w:color="auto" w:fill="auto"/>
          </w:tcPr>
          <w:p w14:paraId="04D54358"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shd w:val="clear" w:color="auto" w:fill="auto"/>
          </w:tcPr>
          <w:p w14:paraId="048545F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1760</w:t>
            </w:r>
          </w:p>
        </w:tc>
        <w:tc>
          <w:tcPr>
            <w:tcW w:w="0" w:type="auto"/>
            <w:shd w:val="clear" w:color="auto" w:fill="auto"/>
          </w:tcPr>
          <w:p w14:paraId="07DAA52C"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5</w:t>
            </w:r>
          </w:p>
        </w:tc>
        <w:tc>
          <w:tcPr>
            <w:tcW w:w="0" w:type="auto"/>
            <w:shd w:val="clear" w:color="auto" w:fill="auto"/>
          </w:tcPr>
          <w:p w14:paraId="69FF4D8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1.76</w:t>
            </w:r>
          </w:p>
        </w:tc>
        <w:tc>
          <w:tcPr>
            <w:tcW w:w="0" w:type="auto"/>
            <w:shd w:val="clear" w:color="auto" w:fill="auto"/>
          </w:tcPr>
          <w:p w14:paraId="024EAF0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8.8</w:t>
            </w:r>
          </w:p>
        </w:tc>
        <w:tc>
          <w:tcPr>
            <w:tcW w:w="0" w:type="auto"/>
            <w:shd w:val="clear" w:color="auto" w:fill="auto"/>
          </w:tcPr>
          <w:p w14:paraId="1F9E7299"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264</w:t>
            </w:r>
          </w:p>
        </w:tc>
      </w:tr>
      <w:tr w:rsidR="002319C6" w:rsidRPr="00EE2FE1" w14:paraId="06D9331C" w14:textId="77777777" w:rsidTr="00EE2FE1">
        <w:tc>
          <w:tcPr>
            <w:tcW w:w="0" w:type="auto"/>
            <w:tcBorders>
              <w:left w:val="nil"/>
              <w:right w:val="nil"/>
            </w:tcBorders>
            <w:shd w:val="clear" w:color="auto" w:fill="auto"/>
          </w:tcPr>
          <w:p w14:paraId="1C080C2C"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Bath/Wc</w:t>
            </w:r>
          </w:p>
        </w:tc>
        <w:tc>
          <w:tcPr>
            <w:tcW w:w="0" w:type="auto"/>
            <w:tcBorders>
              <w:left w:val="nil"/>
              <w:right w:val="nil"/>
            </w:tcBorders>
            <w:shd w:val="clear" w:color="auto" w:fill="auto"/>
          </w:tcPr>
          <w:p w14:paraId="7BC7A53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24</w:t>
            </w:r>
          </w:p>
        </w:tc>
        <w:tc>
          <w:tcPr>
            <w:tcW w:w="0" w:type="auto"/>
            <w:tcBorders>
              <w:left w:val="nil"/>
              <w:right w:val="nil"/>
            </w:tcBorders>
            <w:shd w:val="clear" w:color="auto" w:fill="auto"/>
          </w:tcPr>
          <w:p w14:paraId="3519EF6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6</w:t>
            </w:r>
          </w:p>
        </w:tc>
        <w:tc>
          <w:tcPr>
            <w:tcW w:w="0" w:type="auto"/>
            <w:tcBorders>
              <w:left w:val="nil"/>
              <w:right w:val="nil"/>
            </w:tcBorders>
            <w:shd w:val="clear" w:color="auto" w:fill="auto"/>
          </w:tcPr>
          <w:p w14:paraId="3F02BDCE"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144</w:t>
            </w:r>
          </w:p>
        </w:tc>
        <w:tc>
          <w:tcPr>
            <w:tcW w:w="0" w:type="auto"/>
            <w:tcBorders>
              <w:left w:val="nil"/>
              <w:right w:val="nil"/>
            </w:tcBorders>
            <w:shd w:val="clear" w:color="auto" w:fill="auto"/>
          </w:tcPr>
          <w:p w14:paraId="67384AD2"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15</w:t>
            </w:r>
          </w:p>
        </w:tc>
        <w:tc>
          <w:tcPr>
            <w:tcW w:w="0" w:type="auto"/>
            <w:tcBorders>
              <w:left w:val="nil"/>
              <w:right w:val="nil"/>
            </w:tcBorders>
            <w:shd w:val="clear" w:color="auto" w:fill="auto"/>
          </w:tcPr>
          <w:p w14:paraId="759B42F6"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2160</w:t>
            </w:r>
          </w:p>
        </w:tc>
        <w:tc>
          <w:tcPr>
            <w:tcW w:w="0" w:type="auto"/>
            <w:tcBorders>
              <w:left w:val="nil"/>
              <w:right w:val="nil"/>
            </w:tcBorders>
            <w:shd w:val="clear" w:color="auto" w:fill="auto"/>
          </w:tcPr>
          <w:p w14:paraId="6064CE0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12</w:t>
            </w:r>
          </w:p>
        </w:tc>
        <w:tc>
          <w:tcPr>
            <w:tcW w:w="0" w:type="auto"/>
            <w:tcBorders>
              <w:left w:val="nil"/>
              <w:right w:val="nil"/>
            </w:tcBorders>
            <w:shd w:val="clear" w:color="auto" w:fill="auto"/>
          </w:tcPr>
          <w:p w14:paraId="1641BE23"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2.16</w:t>
            </w:r>
          </w:p>
        </w:tc>
        <w:tc>
          <w:tcPr>
            <w:tcW w:w="0" w:type="auto"/>
            <w:tcBorders>
              <w:left w:val="nil"/>
              <w:right w:val="nil"/>
            </w:tcBorders>
            <w:shd w:val="clear" w:color="auto" w:fill="auto"/>
          </w:tcPr>
          <w:p w14:paraId="7328106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25.92</w:t>
            </w:r>
          </w:p>
        </w:tc>
        <w:tc>
          <w:tcPr>
            <w:tcW w:w="0" w:type="auto"/>
            <w:tcBorders>
              <w:left w:val="nil"/>
              <w:right w:val="nil"/>
            </w:tcBorders>
            <w:shd w:val="clear" w:color="auto" w:fill="auto"/>
          </w:tcPr>
          <w:p w14:paraId="6309B7B3"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777.6</w:t>
            </w:r>
          </w:p>
        </w:tc>
      </w:tr>
      <w:tr w:rsidR="002319C6" w:rsidRPr="00EE2FE1" w14:paraId="1E845607" w14:textId="77777777" w:rsidTr="00EE2FE1">
        <w:tc>
          <w:tcPr>
            <w:tcW w:w="0" w:type="auto"/>
            <w:shd w:val="clear" w:color="auto" w:fill="auto"/>
          </w:tcPr>
          <w:p w14:paraId="558A6DEC"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Staircase</w:t>
            </w:r>
          </w:p>
        </w:tc>
        <w:tc>
          <w:tcPr>
            <w:tcW w:w="0" w:type="auto"/>
            <w:shd w:val="clear" w:color="auto" w:fill="auto"/>
          </w:tcPr>
          <w:p w14:paraId="3AA7CBC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w:t>
            </w:r>
          </w:p>
        </w:tc>
        <w:tc>
          <w:tcPr>
            <w:tcW w:w="0" w:type="auto"/>
            <w:shd w:val="clear" w:color="auto" w:fill="auto"/>
          </w:tcPr>
          <w:p w14:paraId="5241715A"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w:t>
            </w:r>
          </w:p>
        </w:tc>
        <w:tc>
          <w:tcPr>
            <w:tcW w:w="0" w:type="auto"/>
            <w:shd w:val="clear" w:color="auto" w:fill="auto"/>
          </w:tcPr>
          <w:p w14:paraId="33A65E4A"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9</w:t>
            </w:r>
          </w:p>
        </w:tc>
        <w:tc>
          <w:tcPr>
            <w:tcW w:w="0" w:type="auto"/>
            <w:shd w:val="clear" w:color="auto" w:fill="auto"/>
          </w:tcPr>
          <w:p w14:paraId="107C197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15</w:t>
            </w:r>
          </w:p>
        </w:tc>
        <w:tc>
          <w:tcPr>
            <w:tcW w:w="0" w:type="auto"/>
            <w:shd w:val="clear" w:color="auto" w:fill="auto"/>
          </w:tcPr>
          <w:p w14:paraId="03EAE419"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135</w:t>
            </w:r>
          </w:p>
        </w:tc>
        <w:tc>
          <w:tcPr>
            <w:tcW w:w="0" w:type="auto"/>
            <w:shd w:val="clear" w:color="auto" w:fill="auto"/>
          </w:tcPr>
          <w:p w14:paraId="653D471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12</w:t>
            </w:r>
          </w:p>
        </w:tc>
        <w:tc>
          <w:tcPr>
            <w:tcW w:w="0" w:type="auto"/>
            <w:shd w:val="clear" w:color="auto" w:fill="auto"/>
          </w:tcPr>
          <w:p w14:paraId="7ADCCCB6"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0.135</w:t>
            </w:r>
          </w:p>
        </w:tc>
        <w:tc>
          <w:tcPr>
            <w:tcW w:w="0" w:type="auto"/>
            <w:shd w:val="clear" w:color="auto" w:fill="auto"/>
          </w:tcPr>
          <w:p w14:paraId="03A66B6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1.62</w:t>
            </w:r>
          </w:p>
        </w:tc>
        <w:tc>
          <w:tcPr>
            <w:tcW w:w="0" w:type="auto"/>
            <w:shd w:val="clear" w:color="auto" w:fill="auto"/>
          </w:tcPr>
          <w:p w14:paraId="227285D1"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48.6</w:t>
            </w:r>
          </w:p>
        </w:tc>
      </w:tr>
      <w:tr w:rsidR="002319C6" w:rsidRPr="00EE2FE1" w14:paraId="1F75826F" w14:textId="77777777" w:rsidTr="00EE2FE1">
        <w:tc>
          <w:tcPr>
            <w:tcW w:w="0" w:type="auto"/>
            <w:tcBorders>
              <w:left w:val="nil"/>
              <w:right w:val="nil"/>
            </w:tcBorders>
            <w:shd w:val="clear" w:color="auto" w:fill="auto"/>
          </w:tcPr>
          <w:p w14:paraId="55E51FBC"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Study room</w:t>
            </w:r>
          </w:p>
        </w:tc>
        <w:tc>
          <w:tcPr>
            <w:tcW w:w="0" w:type="auto"/>
            <w:tcBorders>
              <w:left w:val="nil"/>
              <w:right w:val="nil"/>
            </w:tcBorders>
            <w:shd w:val="clear" w:color="auto" w:fill="auto"/>
          </w:tcPr>
          <w:p w14:paraId="51FF5D4A"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tcBorders>
              <w:left w:val="nil"/>
              <w:right w:val="nil"/>
            </w:tcBorders>
            <w:shd w:val="clear" w:color="auto" w:fill="auto"/>
          </w:tcPr>
          <w:p w14:paraId="4CAAD299"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tcBorders>
              <w:left w:val="nil"/>
              <w:right w:val="nil"/>
            </w:tcBorders>
            <w:shd w:val="clear" w:color="auto" w:fill="auto"/>
          </w:tcPr>
          <w:p w14:paraId="505E14F1"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8</w:t>
            </w:r>
          </w:p>
        </w:tc>
        <w:tc>
          <w:tcPr>
            <w:tcW w:w="0" w:type="auto"/>
            <w:tcBorders>
              <w:left w:val="nil"/>
              <w:right w:val="nil"/>
            </w:tcBorders>
            <w:shd w:val="clear" w:color="auto" w:fill="auto"/>
          </w:tcPr>
          <w:p w14:paraId="445647D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tcBorders>
              <w:left w:val="nil"/>
              <w:right w:val="nil"/>
            </w:tcBorders>
            <w:shd w:val="clear" w:color="auto" w:fill="auto"/>
          </w:tcPr>
          <w:p w14:paraId="3D0E6788"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320</w:t>
            </w:r>
          </w:p>
        </w:tc>
        <w:tc>
          <w:tcPr>
            <w:tcW w:w="0" w:type="auto"/>
            <w:tcBorders>
              <w:left w:val="nil"/>
              <w:right w:val="nil"/>
            </w:tcBorders>
            <w:shd w:val="clear" w:color="auto" w:fill="auto"/>
          </w:tcPr>
          <w:p w14:paraId="6CA6AC3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6</w:t>
            </w:r>
          </w:p>
        </w:tc>
        <w:tc>
          <w:tcPr>
            <w:tcW w:w="0" w:type="auto"/>
            <w:tcBorders>
              <w:left w:val="nil"/>
              <w:right w:val="nil"/>
            </w:tcBorders>
            <w:shd w:val="clear" w:color="auto" w:fill="auto"/>
          </w:tcPr>
          <w:p w14:paraId="512A8636"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0.32</w:t>
            </w:r>
          </w:p>
        </w:tc>
        <w:tc>
          <w:tcPr>
            <w:tcW w:w="0" w:type="auto"/>
            <w:tcBorders>
              <w:left w:val="nil"/>
              <w:right w:val="nil"/>
            </w:tcBorders>
            <w:shd w:val="clear" w:color="auto" w:fill="auto"/>
          </w:tcPr>
          <w:p w14:paraId="676BAEB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1.92</w:t>
            </w:r>
          </w:p>
        </w:tc>
        <w:tc>
          <w:tcPr>
            <w:tcW w:w="0" w:type="auto"/>
            <w:tcBorders>
              <w:left w:val="nil"/>
              <w:right w:val="nil"/>
            </w:tcBorders>
            <w:shd w:val="clear" w:color="auto" w:fill="auto"/>
          </w:tcPr>
          <w:p w14:paraId="291B82CC"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57.6</w:t>
            </w:r>
          </w:p>
        </w:tc>
      </w:tr>
      <w:tr w:rsidR="002319C6" w:rsidRPr="00EE2FE1" w14:paraId="3DAAFE32" w14:textId="77777777" w:rsidTr="00EE2FE1">
        <w:tc>
          <w:tcPr>
            <w:tcW w:w="0" w:type="auto"/>
            <w:shd w:val="clear" w:color="auto" w:fill="auto"/>
          </w:tcPr>
          <w:p w14:paraId="7A19AA3F"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Restaurant</w:t>
            </w:r>
          </w:p>
        </w:tc>
        <w:tc>
          <w:tcPr>
            <w:tcW w:w="0" w:type="auto"/>
            <w:shd w:val="clear" w:color="auto" w:fill="auto"/>
          </w:tcPr>
          <w:p w14:paraId="45A52F7E"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w:t>
            </w:r>
          </w:p>
        </w:tc>
        <w:tc>
          <w:tcPr>
            <w:tcW w:w="0" w:type="auto"/>
            <w:shd w:val="clear" w:color="auto" w:fill="auto"/>
          </w:tcPr>
          <w:p w14:paraId="6D1BD14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shd w:val="clear" w:color="auto" w:fill="auto"/>
          </w:tcPr>
          <w:p w14:paraId="5F39AA0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shd w:val="clear" w:color="auto" w:fill="auto"/>
          </w:tcPr>
          <w:p w14:paraId="423D935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shd w:val="clear" w:color="auto" w:fill="auto"/>
          </w:tcPr>
          <w:p w14:paraId="4F4AF3B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160</w:t>
            </w:r>
          </w:p>
        </w:tc>
        <w:tc>
          <w:tcPr>
            <w:tcW w:w="0" w:type="auto"/>
            <w:shd w:val="clear" w:color="auto" w:fill="auto"/>
          </w:tcPr>
          <w:p w14:paraId="097444F1"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w:t>
            </w:r>
          </w:p>
        </w:tc>
        <w:tc>
          <w:tcPr>
            <w:tcW w:w="0" w:type="auto"/>
            <w:shd w:val="clear" w:color="auto" w:fill="auto"/>
          </w:tcPr>
          <w:p w14:paraId="4C85916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0.16</w:t>
            </w:r>
          </w:p>
        </w:tc>
        <w:tc>
          <w:tcPr>
            <w:tcW w:w="0" w:type="auto"/>
            <w:shd w:val="clear" w:color="auto" w:fill="auto"/>
          </w:tcPr>
          <w:p w14:paraId="3B2779E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0.48</w:t>
            </w:r>
          </w:p>
        </w:tc>
        <w:tc>
          <w:tcPr>
            <w:tcW w:w="0" w:type="auto"/>
            <w:shd w:val="clear" w:color="auto" w:fill="auto"/>
          </w:tcPr>
          <w:p w14:paraId="747B6A5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14.4</w:t>
            </w:r>
          </w:p>
        </w:tc>
      </w:tr>
      <w:tr w:rsidR="002319C6" w:rsidRPr="00EE2FE1" w14:paraId="273FF4A4" w14:textId="77777777" w:rsidTr="00EE2FE1">
        <w:tc>
          <w:tcPr>
            <w:tcW w:w="0" w:type="auto"/>
            <w:tcBorders>
              <w:left w:val="nil"/>
              <w:right w:val="nil"/>
            </w:tcBorders>
            <w:shd w:val="clear" w:color="auto" w:fill="auto"/>
          </w:tcPr>
          <w:p w14:paraId="63E68A5F"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Super market</w:t>
            </w:r>
          </w:p>
        </w:tc>
        <w:tc>
          <w:tcPr>
            <w:tcW w:w="0" w:type="auto"/>
            <w:tcBorders>
              <w:left w:val="nil"/>
              <w:right w:val="nil"/>
            </w:tcBorders>
            <w:shd w:val="clear" w:color="auto" w:fill="auto"/>
          </w:tcPr>
          <w:p w14:paraId="1E573FEC"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w:t>
            </w:r>
          </w:p>
        </w:tc>
        <w:tc>
          <w:tcPr>
            <w:tcW w:w="0" w:type="auto"/>
            <w:tcBorders>
              <w:left w:val="nil"/>
              <w:right w:val="nil"/>
            </w:tcBorders>
            <w:shd w:val="clear" w:color="auto" w:fill="auto"/>
          </w:tcPr>
          <w:p w14:paraId="143BF94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tcBorders>
              <w:left w:val="nil"/>
              <w:right w:val="nil"/>
            </w:tcBorders>
            <w:shd w:val="clear" w:color="auto" w:fill="auto"/>
          </w:tcPr>
          <w:p w14:paraId="5BD8047E"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tcBorders>
              <w:left w:val="nil"/>
              <w:right w:val="nil"/>
            </w:tcBorders>
            <w:shd w:val="clear" w:color="auto" w:fill="auto"/>
          </w:tcPr>
          <w:p w14:paraId="093149D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tcBorders>
              <w:left w:val="nil"/>
              <w:right w:val="nil"/>
            </w:tcBorders>
            <w:shd w:val="clear" w:color="auto" w:fill="auto"/>
          </w:tcPr>
          <w:p w14:paraId="42EA7E71"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160</w:t>
            </w:r>
          </w:p>
        </w:tc>
        <w:tc>
          <w:tcPr>
            <w:tcW w:w="0" w:type="auto"/>
            <w:tcBorders>
              <w:left w:val="nil"/>
              <w:right w:val="nil"/>
            </w:tcBorders>
            <w:shd w:val="clear" w:color="auto" w:fill="auto"/>
          </w:tcPr>
          <w:p w14:paraId="39019DE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6</w:t>
            </w:r>
          </w:p>
        </w:tc>
        <w:tc>
          <w:tcPr>
            <w:tcW w:w="0" w:type="auto"/>
            <w:tcBorders>
              <w:left w:val="nil"/>
              <w:right w:val="nil"/>
            </w:tcBorders>
            <w:shd w:val="clear" w:color="auto" w:fill="auto"/>
          </w:tcPr>
          <w:p w14:paraId="0E1278A3"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0.16</w:t>
            </w:r>
          </w:p>
        </w:tc>
        <w:tc>
          <w:tcPr>
            <w:tcW w:w="0" w:type="auto"/>
            <w:tcBorders>
              <w:left w:val="nil"/>
              <w:right w:val="nil"/>
            </w:tcBorders>
            <w:shd w:val="clear" w:color="auto" w:fill="auto"/>
          </w:tcPr>
          <w:p w14:paraId="75AACC0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0.96</w:t>
            </w:r>
          </w:p>
        </w:tc>
        <w:tc>
          <w:tcPr>
            <w:tcW w:w="0" w:type="auto"/>
            <w:tcBorders>
              <w:left w:val="nil"/>
              <w:right w:val="nil"/>
            </w:tcBorders>
            <w:shd w:val="clear" w:color="auto" w:fill="auto"/>
          </w:tcPr>
          <w:p w14:paraId="3461CE9C"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28.8</w:t>
            </w:r>
          </w:p>
        </w:tc>
      </w:tr>
      <w:tr w:rsidR="002319C6" w:rsidRPr="00EE2FE1" w14:paraId="28C5617A" w14:textId="77777777" w:rsidTr="00EE2FE1">
        <w:tc>
          <w:tcPr>
            <w:tcW w:w="0" w:type="auto"/>
            <w:shd w:val="clear" w:color="auto" w:fill="auto"/>
          </w:tcPr>
          <w:p w14:paraId="5B98F35F"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Barbering salon</w:t>
            </w:r>
          </w:p>
        </w:tc>
        <w:tc>
          <w:tcPr>
            <w:tcW w:w="0" w:type="auto"/>
            <w:shd w:val="clear" w:color="auto" w:fill="auto"/>
          </w:tcPr>
          <w:p w14:paraId="15BD5B68"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w:t>
            </w:r>
          </w:p>
        </w:tc>
        <w:tc>
          <w:tcPr>
            <w:tcW w:w="0" w:type="auto"/>
            <w:shd w:val="clear" w:color="auto" w:fill="auto"/>
          </w:tcPr>
          <w:p w14:paraId="1C685AB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shd w:val="clear" w:color="auto" w:fill="auto"/>
          </w:tcPr>
          <w:p w14:paraId="6A6D8961"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shd w:val="clear" w:color="auto" w:fill="auto"/>
          </w:tcPr>
          <w:p w14:paraId="073C391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shd w:val="clear" w:color="auto" w:fill="auto"/>
          </w:tcPr>
          <w:p w14:paraId="2C66DB9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80</w:t>
            </w:r>
          </w:p>
        </w:tc>
        <w:tc>
          <w:tcPr>
            <w:tcW w:w="0" w:type="auto"/>
            <w:shd w:val="clear" w:color="auto" w:fill="auto"/>
          </w:tcPr>
          <w:p w14:paraId="0102ADC3"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w:t>
            </w:r>
          </w:p>
        </w:tc>
        <w:tc>
          <w:tcPr>
            <w:tcW w:w="0" w:type="auto"/>
            <w:shd w:val="clear" w:color="auto" w:fill="auto"/>
          </w:tcPr>
          <w:p w14:paraId="5ED0C20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0.08</w:t>
            </w:r>
          </w:p>
        </w:tc>
        <w:tc>
          <w:tcPr>
            <w:tcW w:w="0" w:type="auto"/>
            <w:shd w:val="clear" w:color="auto" w:fill="auto"/>
          </w:tcPr>
          <w:p w14:paraId="09B00BC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0.24</w:t>
            </w:r>
          </w:p>
        </w:tc>
        <w:tc>
          <w:tcPr>
            <w:tcW w:w="0" w:type="auto"/>
            <w:shd w:val="clear" w:color="auto" w:fill="auto"/>
          </w:tcPr>
          <w:p w14:paraId="41C11EB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7.2</w:t>
            </w:r>
          </w:p>
        </w:tc>
      </w:tr>
      <w:tr w:rsidR="002319C6" w:rsidRPr="00EE2FE1" w14:paraId="637F0C67" w14:textId="77777777" w:rsidTr="00EE2FE1">
        <w:tc>
          <w:tcPr>
            <w:tcW w:w="0" w:type="auto"/>
            <w:tcBorders>
              <w:left w:val="nil"/>
              <w:right w:val="nil"/>
            </w:tcBorders>
            <w:shd w:val="clear" w:color="auto" w:fill="auto"/>
          </w:tcPr>
          <w:p w14:paraId="373941DD"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Hair dressing salon</w:t>
            </w:r>
          </w:p>
        </w:tc>
        <w:tc>
          <w:tcPr>
            <w:tcW w:w="0" w:type="auto"/>
            <w:tcBorders>
              <w:left w:val="nil"/>
              <w:right w:val="nil"/>
            </w:tcBorders>
            <w:shd w:val="clear" w:color="auto" w:fill="auto"/>
          </w:tcPr>
          <w:p w14:paraId="2AA08C22"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w:t>
            </w:r>
          </w:p>
        </w:tc>
        <w:tc>
          <w:tcPr>
            <w:tcW w:w="0" w:type="auto"/>
            <w:tcBorders>
              <w:left w:val="nil"/>
              <w:right w:val="nil"/>
            </w:tcBorders>
            <w:shd w:val="clear" w:color="auto" w:fill="auto"/>
          </w:tcPr>
          <w:p w14:paraId="6C2CCDD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tcBorders>
              <w:left w:val="nil"/>
              <w:right w:val="nil"/>
            </w:tcBorders>
            <w:shd w:val="clear" w:color="auto" w:fill="auto"/>
          </w:tcPr>
          <w:p w14:paraId="0DE0A01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tcBorders>
              <w:left w:val="nil"/>
              <w:right w:val="nil"/>
            </w:tcBorders>
            <w:shd w:val="clear" w:color="auto" w:fill="auto"/>
          </w:tcPr>
          <w:p w14:paraId="7D6B8CF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tcBorders>
              <w:left w:val="nil"/>
              <w:right w:val="nil"/>
            </w:tcBorders>
            <w:shd w:val="clear" w:color="auto" w:fill="auto"/>
          </w:tcPr>
          <w:p w14:paraId="220BD96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80</w:t>
            </w:r>
          </w:p>
        </w:tc>
        <w:tc>
          <w:tcPr>
            <w:tcW w:w="0" w:type="auto"/>
            <w:tcBorders>
              <w:left w:val="nil"/>
              <w:right w:val="nil"/>
            </w:tcBorders>
            <w:shd w:val="clear" w:color="auto" w:fill="auto"/>
          </w:tcPr>
          <w:p w14:paraId="3BA090B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w:t>
            </w:r>
          </w:p>
        </w:tc>
        <w:tc>
          <w:tcPr>
            <w:tcW w:w="0" w:type="auto"/>
            <w:tcBorders>
              <w:left w:val="nil"/>
              <w:right w:val="nil"/>
            </w:tcBorders>
            <w:shd w:val="clear" w:color="auto" w:fill="auto"/>
          </w:tcPr>
          <w:p w14:paraId="19DDD60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0.08</w:t>
            </w:r>
          </w:p>
        </w:tc>
        <w:tc>
          <w:tcPr>
            <w:tcW w:w="0" w:type="auto"/>
            <w:tcBorders>
              <w:left w:val="nil"/>
              <w:right w:val="nil"/>
            </w:tcBorders>
            <w:shd w:val="clear" w:color="auto" w:fill="auto"/>
          </w:tcPr>
          <w:p w14:paraId="6E6911A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0.24</w:t>
            </w:r>
          </w:p>
        </w:tc>
        <w:tc>
          <w:tcPr>
            <w:tcW w:w="0" w:type="auto"/>
            <w:tcBorders>
              <w:left w:val="nil"/>
              <w:right w:val="nil"/>
            </w:tcBorders>
            <w:shd w:val="clear" w:color="auto" w:fill="auto"/>
          </w:tcPr>
          <w:p w14:paraId="4FD618B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7.2</w:t>
            </w:r>
          </w:p>
        </w:tc>
      </w:tr>
      <w:tr w:rsidR="002319C6" w:rsidRPr="00EE2FE1" w14:paraId="28F06925" w14:textId="77777777" w:rsidTr="00EE2FE1">
        <w:tc>
          <w:tcPr>
            <w:tcW w:w="0" w:type="auto"/>
            <w:shd w:val="clear" w:color="auto" w:fill="auto"/>
          </w:tcPr>
          <w:p w14:paraId="1C0BC926"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Internet café</w:t>
            </w:r>
          </w:p>
        </w:tc>
        <w:tc>
          <w:tcPr>
            <w:tcW w:w="0" w:type="auto"/>
            <w:shd w:val="clear" w:color="auto" w:fill="auto"/>
          </w:tcPr>
          <w:p w14:paraId="0B3088B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w:t>
            </w:r>
          </w:p>
        </w:tc>
        <w:tc>
          <w:tcPr>
            <w:tcW w:w="0" w:type="auto"/>
            <w:shd w:val="clear" w:color="auto" w:fill="auto"/>
          </w:tcPr>
          <w:p w14:paraId="5FF92952"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shd w:val="clear" w:color="auto" w:fill="auto"/>
          </w:tcPr>
          <w:p w14:paraId="74B31703"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shd w:val="clear" w:color="auto" w:fill="auto"/>
          </w:tcPr>
          <w:p w14:paraId="1586C15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shd w:val="clear" w:color="auto" w:fill="auto"/>
          </w:tcPr>
          <w:p w14:paraId="6DB39B7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160</w:t>
            </w:r>
          </w:p>
        </w:tc>
        <w:tc>
          <w:tcPr>
            <w:tcW w:w="0" w:type="auto"/>
            <w:shd w:val="clear" w:color="auto" w:fill="auto"/>
          </w:tcPr>
          <w:p w14:paraId="1E5F156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shd w:val="clear" w:color="auto" w:fill="auto"/>
          </w:tcPr>
          <w:p w14:paraId="40C57BE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0.16</w:t>
            </w:r>
          </w:p>
        </w:tc>
        <w:tc>
          <w:tcPr>
            <w:tcW w:w="0" w:type="auto"/>
            <w:shd w:val="clear" w:color="auto" w:fill="auto"/>
          </w:tcPr>
          <w:p w14:paraId="732FBC3C"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0.64</w:t>
            </w:r>
          </w:p>
        </w:tc>
        <w:tc>
          <w:tcPr>
            <w:tcW w:w="0" w:type="auto"/>
            <w:shd w:val="clear" w:color="auto" w:fill="auto"/>
          </w:tcPr>
          <w:p w14:paraId="09555026"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19.2</w:t>
            </w:r>
          </w:p>
        </w:tc>
      </w:tr>
      <w:tr w:rsidR="002319C6" w:rsidRPr="00EE2FE1" w14:paraId="31D6B9B8" w14:textId="77777777" w:rsidTr="00EE2FE1">
        <w:tc>
          <w:tcPr>
            <w:tcW w:w="0" w:type="auto"/>
            <w:tcBorders>
              <w:left w:val="nil"/>
              <w:right w:val="nil"/>
            </w:tcBorders>
            <w:shd w:val="clear" w:color="auto" w:fill="auto"/>
          </w:tcPr>
          <w:p w14:paraId="29FE71C8"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Offices</w:t>
            </w:r>
          </w:p>
        </w:tc>
        <w:tc>
          <w:tcPr>
            <w:tcW w:w="0" w:type="auto"/>
            <w:tcBorders>
              <w:left w:val="nil"/>
              <w:right w:val="nil"/>
            </w:tcBorders>
            <w:shd w:val="clear" w:color="auto" w:fill="auto"/>
          </w:tcPr>
          <w:p w14:paraId="215FC81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3</w:t>
            </w:r>
          </w:p>
        </w:tc>
        <w:tc>
          <w:tcPr>
            <w:tcW w:w="0" w:type="auto"/>
            <w:tcBorders>
              <w:left w:val="nil"/>
              <w:right w:val="nil"/>
            </w:tcBorders>
            <w:shd w:val="clear" w:color="auto" w:fill="auto"/>
          </w:tcPr>
          <w:p w14:paraId="728D0528"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tcBorders>
              <w:left w:val="nil"/>
              <w:right w:val="nil"/>
            </w:tcBorders>
            <w:shd w:val="clear" w:color="auto" w:fill="auto"/>
          </w:tcPr>
          <w:p w14:paraId="270BBCB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6</w:t>
            </w:r>
          </w:p>
        </w:tc>
        <w:tc>
          <w:tcPr>
            <w:tcW w:w="0" w:type="auto"/>
            <w:tcBorders>
              <w:left w:val="nil"/>
              <w:right w:val="nil"/>
            </w:tcBorders>
            <w:shd w:val="clear" w:color="auto" w:fill="auto"/>
          </w:tcPr>
          <w:p w14:paraId="085311E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tcBorders>
              <w:left w:val="nil"/>
              <w:right w:val="nil"/>
            </w:tcBorders>
            <w:shd w:val="clear" w:color="auto" w:fill="auto"/>
          </w:tcPr>
          <w:p w14:paraId="75E2431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240</w:t>
            </w:r>
          </w:p>
        </w:tc>
        <w:tc>
          <w:tcPr>
            <w:tcW w:w="0" w:type="auto"/>
            <w:tcBorders>
              <w:left w:val="nil"/>
              <w:right w:val="nil"/>
            </w:tcBorders>
            <w:shd w:val="clear" w:color="auto" w:fill="auto"/>
          </w:tcPr>
          <w:p w14:paraId="043600AA"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tcBorders>
              <w:left w:val="nil"/>
              <w:right w:val="nil"/>
            </w:tcBorders>
            <w:shd w:val="clear" w:color="auto" w:fill="auto"/>
          </w:tcPr>
          <w:p w14:paraId="26C42BB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0.24</w:t>
            </w:r>
          </w:p>
        </w:tc>
        <w:tc>
          <w:tcPr>
            <w:tcW w:w="0" w:type="auto"/>
            <w:tcBorders>
              <w:left w:val="nil"/>
              <w:right w:val="nil"/>
            </w:tcBorders>
            <w:shd w:val="clear" w:color="auto" w:fill="auto"/>
          </w:tcPr>
          <w:p w14:paraId="4ECEAB0E"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0.48</w:t>
            </w:r>
          </w:p>
        </w:tc>
        <w:tc>
          <w:tcPr>
            <w:tcW w:w="0" w:type="auto"/>
            <w:tcBorders>
              <w:left w:val="nil"/>
              <w:right w:val="nil"/>
            </w:tcBorders>
            <w:shd w:val="clear" w:color="auto" w:fill="auto"/>
          </w:tcPr>
          <w:p w14:paraId="6985172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14.4</w:t>
            </w:r>
          </w:p>
        </w:tc>
      </w:tr>
      <w:tr w:rsidR="002319C6" w:rsidRPr="00EE2FE1" w14:paraId="02F92118" w14:textId="77777777" w:rsidTr="00EE2FE1">
        <w:tc>
          <w:tcPr>
            <w:tcW w:w="0" w:type="auto"/>
            <w:shd w:val="clear" w:color="auto" w:fill="auto"/>
          </w:tcPr>
          <w:p w14:paraId="159F8D4E"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Porch</w:t>
            </w:r>
          </w:p>
        </w:tc>
        <w:tc>
          <w:tcPr>
            <w:tcW w:w="0" w:type="auto"/>
            <w:shd w:val="clear" w:color="auto" w:fill="auto"/>
          </w:tcPr>
          <w:p w14:paraId="24FCAB6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shd w:val="clear" w:color="auto" w:fill="auto"/>
          </w:tcPr>
          <w:p w14:paraId="0C49300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6</w:t>
            </w:r>
          </w:p>
        </w:tc>
        <w:tc>
          <w:tcPr>
            <w:tcW w:w="0" w:type="auto"/>
            <w:shd w:val="clear" w:color="auto" w:fill="auto"/>
          </w:tcPr>
          <w:p w14:paraId="6EC3E4D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12</w:t>
            </w:r>
          </w:p>
        </w:tc>
        <w:tc>
          <w:tcPr>
            <w:tcW w:w="0" w:type="auto"/>
            <w:shd w:val="clear" w:color="auto" w:fill="auto"/>
          </w:tcPr>
          <w:p w14:paraId="6C2FE333"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15</w:t>
            </w:r>
          </w:p>
        </w:tc>
        <w:tc>
          <w:tcPr>
            <w:tcW w:w="0" w:type="auto"/>
            <w:shd w:val="clear" w:color="auto" w:fill="auto"/>
          </w:tcPr>
          <w:p w14:paraId="042C118B"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180</w:t>
            </w:r>
          </w:p>
        </w:tc>
        <w:tc>
          <w:tcPr>
            <w:tcW w:w="0" w:type="auto"/>
            <w:shd w:val="clear" w:color="auto" w:fill="auto"/>
          </w:tcPr>
          <w:p w14:paraId="29A9B845"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12</w:t>
            </w:r>
          </w:p>
        </w:tc>
        <w:tc>
          <w:tcPr>
            <w:tcW w:w="0" w:type="auto"/>
            <w:shd w:val="clear" w:color="auto" w:fill="auto"/>
          </w:tcPr>
          <w:p w14:paraId="6F0F007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0.18</w:t>
            </w:r>
          </w:p>
        </w:tc>
        <w:tc>
          <w:tcPr>
            <w:tcW w:w="0" w:type="auto"/>
            <w:shd w:val="clear" w:color="auto" w:fill="auto"/>
          </w:tcPr>
          <w:p w14:paraId="2D90AC92"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2.16</w:t>
            </w:r>
          </w:p>
        </w:tc>
        <w:tc>
          <w:tcPr>
            <w:tcW w:w="0" w:type="auto"/>
            <w:shd w:val="clear" w:color="auto" w:fill="auto"/>
          </w:tcPr>
          <w:p w14:paraId="22391576"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64.8</w:t>
            </w:r>
          </w:p>
        </w:tc>
      </w:tr>
      <w:tr w:rsidR="002319C6" w:rsidRPr="00EE2FE1" w14:paraId="635BC034" w14:textId="77777777" w:rsidTr="00EE2FE1">
        <w:tc>
          <w:tcPr>
            <w:tcW w:w="0" w:type="auto"/>
            <w:tcBorders>
              <w:left w:val="nil"/>
              <w:right w:val="nil"/>
            </w:tcBorders>
            <w:shd w:val="clear" w:color="auto" w:fill="auto"/>
          </w:tcPr>
          <w:p w14:paraId="2A77454D"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Porter’s lodge</w:t>
            </w:r>
          </w:p>
        </w:tc>
        <w:tc>
          <w:tcPr>
            <w:tcW w:w="0" w:type="auto"/>
            <w:tcBorders>
              <w:left w:val="nil"/>
              <w:right w:val="nil"/>
            </w:tcBorders>
            <w:shd w:val="clear" w:color="auto" w:fill="auto"/>
          </w:tcPr>
          <w:p w14:paraId="3CAA5B90"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tcBorders>
              <w:left w:val="nil"/>
              <w:right w:val="nil"/>
            </w:tcBorders>
            <w:shd w:val="clear" w:color="auto" w:fill="auto"/>
          </w:tcPr>
          <w:p w14:paraId="6E8783D1"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2</w:t>
            </w:r>
          </w:p>
        </w:tc>
        <w:tc>
          <w:tcPr>
            <w:tcW w:w="0" w:type="auto"/>
            <w:tcBorders>
              <w:left w:val="nil"/>
              <w:right w:val="nil"/>
            </w:tcBorders>
            <w:shd w:val="clear" w:color="auto" w:fill="auto"/>
          </w:tcPr>
          <w:p w14:paraId="5FD8E75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w:t>
            </w:r>
          </w:p>
        </w:tc>
        <w:tc>
          <w:tcPr>
            <w:tcW w:w="0" w:type="auto"/>
            <w:tcBorders>
              <w:left w:val="nil"/>
              <w:right w:val="nil"/>
            </w:tcBorders>
            <w:shd w:val="clear" w:color="auto" w:fill="auto"/>
          </w:tcPr>
          <w:p w14:paraId="1F2F6BD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40</w:t>
            </w:r>
          </w:p>
        </w:tc>
        <w:tc>
          <w:tcPr>
            <w:tcW w:w="0" w:type="auto"/>
            <w:tcBorders>
              <w:left w:val="nil"/>
              <w:right w:val="nil"/>
            </w:tcBorders>
            <w:shd w:val="clear" w:color="auto" w:fill="auto"/>
          </w:tcPr>
          <w:p w14:paraId="7948E747"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160</w:t>
            </w:r>
          </w:p>
        </w:tc>
        <w:tc>
          <w:tcPr>
            <w:tcW w:w="0" w:type="auto"/>
            <w:tcBorders>
              <w:left w:val="nil"/>
              <w:right w:val="nil"/>
            </w:tcBorders>
            <w:shd w:val="clear" w:color="auto" w:fill="auto"/>
          </w:tcPr>
          <w:p w14:paraId="7CDD7644"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12</w:t>
            </w:r>
          </w:p>
        </w:tc>
        <w:tc>
          <w:tcPr>
            <w:tcW w:w="0" w:type="auto"/>
            <w:tcBorders>
              <w:left w:val="nil"/>
              <w:right w:val="nil"/>
            </w:tcBorders>
            <w:shd w:val="clear" w:color="auto" w:fill="auto"/>
          </w:tcPr>
          <w:p w14:paraId="570F090F"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0.16</w:t>
            </w:r>
          </w:p>
        </w:tc>
        <w:tc>
          <w:tcPr>
            <w:tcW w:w="0" w:type="auto"/>
            <w:tcBorders>
              <w:left w:val="nil"/>
              <w:right w:val="nil"/>
            </w:tcBorders>
            <w:shd w:val="clear" w:color="auto" w:fill="auto"/>
          </w:tcPr>
          <w:p w14:paraId="76DB761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1.92</w:t>
            </w:r>
          </w:p>
        </w:tc>
        <w:tc>
          <w:tcPr>
            <w:tcW w:w="0" w:type="auto"/>
            <w:tcBorders>
              <w:left w:val="nil"/>
              <w:right w:val="nil"/>
            </w:tcBorders>
            <w:shd w:val="clear" w:color="auto" w:fill="auto"/>
          </w:tcPr>
          <w:p w14:paraId="5C4F256D" w14:textId="77777777" w:rsidR="002319C6" w:rsidRPr="00EE2FE1" w:rsidRDefault="002319C6" w:rsidP="00B80C42">
            <w:pPr>
              <w:pStyle w:val="NoSpacing"/>
              <w:spacing w:line="276" w:lineRule="auto"/>
              <w:jc w:val="center"/>
              <w:rPr>
                <w:rFonts w:ascii="Book Antiqua" w:hAnsi="Book Antiqua"/>
                <w:color w:val="000000"/>
                <w:sz w:val="24"/>
              </w:rPr>
            </w:pPr>
            <w:r w:rsidRPr="00EE2FE1">
              <w:rPr>
                <w:rFonts w:ascii="Book Antiqua" w:hAnsi="Book Antiqua"/>
                <w:color w:val="000000"/>
                <w:sz w:val="24"/>
              </w:rPr>
              <w:t>57.6</w:t>
            </w:r>
          </w:p>
        </w:tc>
      </w:tr>
      <w:tr w:rsidR="002319C6" w:rsidRPr="00EE2FE1" w14:paraId="6B78C1CD" w14:textId="77777777" w:rsidTr="00EE2FE1">
        <w:tc>
          <w:tcPr>
            <w:tcW w:w="0" w:type="auto"/>
            <w:shd w:val="clear" w:color="auto" w:fill="auto"/>
          </w:tcPr>
          <w:p w14:paraId="51E98386" w14:textId="77777777" w:rsidR="002319C6" w:rsidRPr="00EE2FE1" w:rsidRDefault="002319C6" w:rsidP="00B80C42">
            <w:pPr>
              <w:pStyle w:val="NoSpacing"/>
              <w:spacing w:line="276" w:lineRule="auto"/>
              <w:rPr>
                <w:rFonts w:ascii="Book Antiqua" w:hAnsi="Book Antiqua"/>
                <w:b/>
                <w:bCs/>
                <w:color w:val="365F91"/>
                <w:sz w:val="24"/>
              </w:rPr>
            </w:pPr>
            <w:r w:rsidRPr="00EE2FE1">
              <w:rPr>
                <w:rFonts w:ascii="Book Antiqua" w:hAnsi="Book Antiqua"/>
                <w:b/>
                <w:bCs/>
                <w:color w:val="365F91"/>
                <w:sz w:val="24"/>
              </w:rPr>
              <w:t>Total</w:t>
            </w:r>
          </w:p>
        </w:tc>
        <w:tc>
          <w:tcPr>
            <w:tcW w:w="0" w:type="auto"/>
            <w:shd w:val="clear" w:color="auto" w:fill="auto"/>
          </w:tcPr>
          <w:p w14:paraId="06679675" w14:textId="77777777" w:rsidR="002319C6" w:rsidRPr="00EE2FE1" w:rsidRDefault="002319C6" w:rsidP="00B80C42">
            <w:pPr>
              <w:pStyle w:val="NoSpacing"/>
              <w:spacing w:line="276" w:lineRule="auto"/>
              <w:jc w:val="center"/>
              <w:rPr>
                <w:rFonts w:ascii="Book Antiqua" w:hAnsi="Book Antiqua"/>
                <w:color w:val="365F91"/>
                <w:sz w:val="24"/>
              </w:rPr>
            </w:pPr>
          </w:p>
        </w:tc>
        <w:tc>
          <w:tcPr>
            <w:tcW w:w="0" w:type="auto"/>
            <w:shd w:val="clear" w:color="auto" w:fill="auto"/>
          </w:tcPr>
          <w:p w14:paraId="4F03B3C3" w14:textId="77777777" w:rsidR="002319C6" w:rsidRPr="00EE2FE1" w:rsidRDefault="002319C6" w:rsidP="00B80C42">
            <w:pPr>
              <w:pStyle w:val="NoSpacing"/>
              <w:spacing w:line="276" w:lineRule="auto"/>
              <w:jc w:val="center"/>
              <w:rPr>
                <w:rFonts w:ascii="Book Antiqua" w:hAnsi="Book Antiqua"/>
                <w:color w:val="365F91"/>
                <w:sz w:val="24"/>
              </w:rPr>
            </w:pPr>
          </w:p>
        </w:tc>
        <w:tc>
          <w:tcPr>
            <w:tcW w:w="0" w:type="auto"/>
            <w:shd w:val="clear" w:color="auto" w:fill="auto"/>
          </w:tcPr>
          <w:p w14:paraId="5C140E97" w14:textId="77777777" w:rsidR="002319C6" w:rsidRPr="00EE2FE1" w:rsidRDefault="002319C6" w:rsidP="00B80C42">
            <w:pPr>
              <w:pStyle w:val="NoSpacing"/>
              <w:spacing w:line="276" w:lineRule="auto"/>
              <w:jc w:val="center"/>
              <w:rPr>
                <w:rFonts w:ascii="Book Antiqua" w:hAnsi="Book Antiqua"/>
                <w:color w:val="365F91"/>
                <w:sz w:val="24"/>
              </w:rPr>
            </w:pPr>
          </w:p>
        </w:tc>
        <w:tc>
          <w:tcPr>
            <w:tcW w:w="0" w:type="auto"/>
            <w:shd w:val="clear" w:color="auto" w:fill="auto"/>
          </w:tcPr>
          <w:p w14:paraId="08808D07" w14:textId="77777777" w:rsidR="002319C6" w:rsidRPr="00EE2FE1" w:rsidRDefault="002319C6" w:rsidP="00B80C42">
            <w:pPr>
              <w:pStyle w:val="NoSpacing"/>
              <w:spacing w:line="276" w:lineRule="auto"/>
              <w:jc w:val="center"/>
              <w:rPr>
                <w:rFonts w:ascii="Book Antiqua" w:hAnsi="Book Antiqua"/>
                <w:color w:val="365F91"/>
                <w:sz w:val="24"/>
              </w:rPr>
            </w:pPr>
          </w:p>
        </w:tc>
        <w:tc>
          <w:tcPr>
            <w:tcW w:w="0" w:type="auto"/>
            <w:shd w:val="clear" w:color="auto" w:fill="auto"/>
          </w:tcPr>
          <w:p w14:paraId="46AEF4AC" w14:textId="77777777" w:rsidR="002319C6" w:rsidRPr="00EE2FE1" w:rsidRDefault="002319C6" w:rsidP="00B80C42">
            <w:pPr>
              <w:pStyle w:val="NoSpacing"/>
              <w:spacing w:line="276" w:lineRule="auto"/>
              <w:jc w:val="center"/>
              <w:rPr>
                <w:rFonts w:ascii="Book Antiqua" w:hAnsi="Book Antiqua"/>
                <w:b/>
                <w:color w:val="000000"/>
                <w:sz w:val="24"/>
              </w:rPr>
            </w:pPr>
            <w:r w:rsidRPr="00EE2FE1">
              <w:rPr>
                <w:rFonts w:ascii="Book Antiqua" w:hAnsi="Book Antiqua"/>
                <w:b/>
                <w:color w:val="000000"/>
                <w:sz w:val="24"/>
              </w:rPr>
              <w:t>12955</w:t>
            </w:r>
          </w:p>
        </w:tc>
        <w:tc>
          <w:tcPr>
            <w:tcW w:w="0" w:type="auto"/>
            <w:shd w:val="clear" w:color="auto" w:fill="auto"/>
          </w:tcPr>
          <w:p w14:paraId="40ED4DFD" w14:textId="77777777" w:rsidR="002319C6" w:rsidRPr="00EE2FE1" w:rsidRDefault="002319C6" w:rsidP="00B80C42">
            <w:pPr>
              <w:pStyle w:val="NoSpacing"/>
              <w:spacing w:line="276" w:lineRule="auto"/>
              <w:jc w:val="center"/>
              <w:rPr>
                <w:rFonts w:ascii="Book Antiqua" w:hAnsi="Book Antiqua"/>
                <w:color w:val="000000"/>
                <w:sz w:val="24"/>
              </w:rPr>
            </w:pPr>
          </w:p>
        </w:tc>
        <w:tc>
          <w:tcPr>
            <w:tcW w:w="0" w:type="auto"/>
            <w:shd w:val="clear" w:color="auto" w:fill="auto"/>
          </w:tcPr>
          <w:p w14:paraId="6AD5C524" w14:textId="77777777" w:rsidR="002319C6" w:rsidRPr="00EE2FE1" w:rsidRDefault="002319C6" w:rsidP="00B80C42">
            <w:pPr>
              <w:pStyle w:val="NoSpacing"/>
              <w:spacing w:line="276" w:lineRule="auto"/>
              <w:jc w:val="center"/>
              <w:rPr>
                <w:rFonts w:ascii="Book Antiqua" w:hAnsi="Book Antiqua"/>
                <w:b/>
                <w:color w:val="000000"/>
                <w:sz w:val="24"/>
              </w:rPr>
            </w:pPr>
            <w:r w:rsidRPr="00EE2FE1">
              <w:rPr>
                <w:rFonts w:ascii="Book Antiqua" w:hAnsi="Book Antiqua"/>
                <w:b/>
                <w:color w:val="000000"/>
                <w:sz w:val="24"/>
              </w:rPr>
              <w:t>12.955</w:t>
            </w:r>
          </w:p>
        </w:tc>
        <w:tc>
          <w:tcPr>
            <w:tcW w:w="0" w:type="auto"/>
            <w:shd w:val="clear" w:color="auto" w:fill="auto"/>
          </w:tcPr>
          <w:p w14:paraId="25F8D4F0" w14:textId="77777777" w:rsidR="002319C6" w:rsidRPr="00EE2FE1" w:rsidRDefault="002319C6" w:rsidP="00B80C42">
            <w:pPr>
              <w:pStyle w:val="NoSpacing"/>
              <w:spacing w:line="276" w:lineRule="auto"/>
              <w:jc w:val="center"/>
              <w:rPr>
                <w:rFonts w:ascii="Book Antiqua" w:hAnsi="Book Antiqua"/>
                <w:b/>
                <w:color w:val="000000"/>
                <w:sz w:val="24"/>
              </w:rPr>
            </w:pPr>
            <w:r w:rsidRPr="00EE2FE1">
              <w:rPr>
                <w:rFonts w:ascii="Book Antiqua" w:hAnsi="Book Antiqua"/>
                <w:b/>
                <w:color w:val="000000"/>
                <w:sz w:val="24"/>
              </w:rPr>
              <w:t>112.58</w:t>
            </w:r>
          </w:p>
        </w:tc>
        <w:tc>
          <w:tcPr>
            <w:tcW w:w="0" w:type="auto"/>
            <w:shd w:val="clear" w:color="auto" w:fill="auto"/>
          </w:tcPr>
          <w:p w14:paraId="560DD387" w14:textId="77777777" w:rsidR="002319C6" w:rsidRPr="00EE2FE1" w:rsidRDefault="002319C6" w:rsidP="00B80C42">
            <w:pPr>
              <w:pStyle w:val="NoSpacing"/>
              <w:spacing w:line="276" w:lineRule="auto"/>
              <w:jc w:val="center"/>
              <w:rPr>
                <w:rFonts w:ascii="Book Antiqua" w:hAnsi="Book Antiqua"/>
                <w:b/>
                <w:color w:val="000000"/>
                <w:sz w:val="24"/>
              </w:rPr>
            </w:pPr>
            <w:r w:rsidRPr="00EE2FE1">
              <w:rPr>
                <w:rFonts w:ascii="Book Antiqua" w:hAnsi="Book Antiqua"/>
                <w:b/>
                <w:color w:val="000000"/>
                <w:sz w:val="24"/>
              </w:rPr>
              <w:t>3377.4</w:t>
            </w:r>
          </w:p>
        </w:tc>
      </w:tr>
    </w:tbl>
    <w:p w14:paraId="12AFB48F" w14:textId="77777777" w:rsidR="002319C6" w:rsidRPr="00E3232D" w:rsidRDefault="002319C6" w:rsidP="002319C6">
      <w:pPr>
        <w:rPr>
          <w:rFonts w:ascii="Book Antiqua" w:hAnsi="Book Antiqua"/>
        </w:rPr>
      </w:pPr>
    </w:p>
    <w:p w14:paraId="79AE98C1" w14:textId="77777777" w:rsidR="002319C6" w:rsidRDefault="002319C6" w:rsidP="008275E1">
      <w:pPr>
        <w:rPr>
          <w:rFonts w:ascii="Book Antiqua" w:hAnsi="Book Antiqua"/>
          <w:color w:val="000000"/>
        </w:rPr>
      </w:pPr>
    </w:p>
    <w:p w14:paraId="3A2716E7" w14:textId="77777777" w:rsidR="002319C6" w:rsidRDefault="002319C6" w:rsidP="008275E1">
      <w:pPr>
        <w:rPr>
          <w:rFonts w:ascii="Book Antiqua" w:hAnsi="Book Antiqua"/>
          <w:color w:val="000000"/>
        </w:rPr>
        <w:sectPr w:rsidR="002319C6" w:rsidSect="002319C6">
          <w:type w:val="continuous"/>
          <w:pgSz w:w="11907" w:h="16839" w:code="9"/>
          <w:pgMar w:top="1440" w:right="1440" w:bottom="1440" w:left="1440" w:header="0" w:footer="720" w:gutter="0"/>
          <w:cols w:space="720"/>
          <w:titlePg/>
          <w:docGrid w:linePitch="360"/>
        </w:sectPr>
      </w:pPr>
    </w:p>
    <w:p w14:paraId="08A68040" w14:textId="77777777" w:rsidR="002319C6" w:rsidRPr="00EE6DFD" w:rsidRDefault="002319C6" w:rsidP="00EE6DFD">
      <w:pPr>
        <w:autoSpaceDE w:val="0"/>
        <w:autoSpaceDN w:val="0"/>
        <w:adjustRightInd w:val="0"/>
        <w:jc w:val="both"/>
        <w:rPr>
          <w:rFonts w:ascii="Book Antiqua" w:hAnsi="Book Antiqua"/>
        </w:rPr>
      </w:pPr>
      <w:r w:rsidRPr="00E3232D">
        <w:rPr>
          <w:rFonts w:ascii="Book Antiqua" w:hAnsi="Book Antiqua"/>
        </w:rPr>
        <w:t>The daily average bright sunshine hour for Koforidua is 7.38 hours and the average solar insolation is 5.52 KWh/m</w:t>
      </w:r>
      <w:r w:rsidRPr="00E3232D">
        <w:rPr>
          <w:rFonts w:ascii="Book Antiqua" w:hAnsi="Book Antiqua"/>
          <w:vertAlign w:val="superscript"/>
        </w:rPr>
        <w:t>2</w:t>
      </w:r>
      <w:r w:rsidRPr="00E3232D">
        <w:rPr>
          <w:rFonts w:ascii="Book Antiqua" w:hAnsi="Book Antiqua"/>
        </w:rPr>
        <w:t>. From equation, we get estimate the irradiance for Koforidua to be 747.97W/m</w:t>
      </w:r>
      <w:r w:rsidRPr="00E3232D">
        <w:rPr>
          <w:rFonts w:ascii="Book Antiqua" w:hAnsi="Book Antiqua"/>
          <w:vertAlign w:val="superscript"/>
        </w:rPr>
        <w:t>2</w:t>
      </w:r>
      <w:r w:rsidRPr="00E3232D">
        <w:rPr>
          <w:rFonts w:ascii="Book Antiqua" w:hAnsi="Book Antiqua"/>
        </w:rPr>
        <w:t xml:space="preserve">. </w:t>
      </w:r>
    </w:p>
    <w:p w14:paraId="7692D30A" w14:textId="77777777" w:rsidR="002319C6" w:rsidRPr="00E3232D" w:rsidRDefault="002319C6" w:rsidP="00EE6DFD">
      <w:pPr>
        <w:autoSpaceDE w:val="0"/>
        <w:autoSpaceDN w:val="0"/>
        <w:adjustRightInd w:val="0"/>
        <w:jc w:val="both"/>
        <w:rPr>
          <w:rFonts w:ascii="Book Antiqua" w:hAnsi="Book Antiqua"/>
          <w:b/>
          <w:bCs/>
        </w:rPr>
      </w:pPr>
      <w:r w:rsidRPr="00E3232D">
        <w:rPr>
          <w:rFonts w:ascii="Book Antiqua" w:hAnsi="Book Antiqua"/>
          <w:b/>
          <w:bCs/>
        </w:rPr>
        <w:t>Proposed solar PV system design or configuration for GETF hostel</w:t>
      </w:r>
    </w:p>
    <w:p w14:paraId="79B724E2" w14:textId="77777777" w:rsidR="002319C6" w:rsidRPr="00E3232D" w:rsidRDefault="002319C6" w:rsidP="00EE6DFD">
      <w:pPr>
        <w:autoSpaceDE w:val="0"/>
        <w:autoSpaceDN w:val="0"/>
        <w:adjustRightInd w:val="0"/>
        <w:jc w:val="both"/>
        <w:rPr>
          <w:rFonts w:ascii="Book Antiqua" w:hAnsi="Book Antiqua"/>
        </w:rPr>
      </w:pPr>
      <w:r w:rsidRPr="00E3232D">
        <w:rPr>
          <w:rFonts w:ascii="Book Antiqua" w:hAnsi="Book Antiqua"/>
        </w:rPr>
        <w:t xml:space="preserve">There are many possible configurations of solar PV system. Each of these configurations has its own advantages and disadvantages. Depending on the system requirements an appropriate system configurations has to be chosen. Based upon the data collected the system design or configuration proposed for the GETF hostel is stand alone system to cater for the lighting needs when the grid is off. Below is a block diagram of the proposed stand alone solar PV system. </w:t>
      </w:r>
    </w:p>
    <w:p w14:paraId="020EF4DB" w14:textId="77777777" w:rsidR="002319C6" w:rsidRPr="00E3232D" w:rsidRDefault="002319C6" w:rsidP="00EE6DFD">
      <w:pPr>
        <w:jc w:val="both"/>
        <w:rPr>
          <w:rFonts w:ascii="Book Antiqua" w:hAnsi="Book Antiqua"/>
          <w:b/>
        </w:rPr>
      </w:pPr>
    </w:p>
    <w:p w14:paraId="12D427B0" w14:textId="77777777" w:rsidR="002319C6" w:rsidRPr="00E3232D" w:rsidRDefault="002319C6" w:rsidP="002319C6">
      <w:pPr>
        <w:rPr>
          <w:rFonts w:ascii="Book Antiqua" w:hAnsi="Book Antiqua"/>
          <w:b/>
          <w:bCs/>
        </w:rPr>
      </w:pPr>
    </w:p>
    <w:p w14:paraId="70035245" w14:textId="77777777" w:rsidR="002319C6" w:rsidRPr="00E3232D" w:rsidRDefault="002319C6" w:rsidP="002319C6">
      <w:pPr>
        <w:rPr>
          <w:rFonts w:ascii="Book Antiqua" w:hAnsi="Book Antiqua"/>
          <w:b/>
          <w:bCs/>
        </w:rPr>
      </w:pPr>
      <w:r w:rsidRPr="00E3232D">
        <w:rPr>
          <w:rFonts w:ascii="Book Antiqua" w:hAnsi="Book Antiqua"/>
          <w:b/>
          <w:bCs/>
        </w:rPr>
        <w:t>Plate 1: Block diagram showing the proposed solar PV system</w:t>
      </w:r>
    </w:p>
    <w:p w14:paraId="4A780EE9" w14:textId="77777777" w:rsidR="002319C6" w:rsidRPr="00E3232D" w:rsidRDefault="002319C6" w:rsidP="002319C6">
      <w:pPr>
        <w:autoSpaceDE w:val="0"/>
        <w:autoSpaceDN w:val="0"/>
        <w:adjustRightInd w:val="0"/>
        <w:rPr>
          <w:rFonts w:ascii="Book Antiqua" w:hAnsi="Book Antiqua"/>
          <w:b/>
          <w:bCs/>
        </w:rPr>
      </w:pPr>
      <w:r w:rsidRPr="00E3232D">
        <w:rPr>
          <w:rFonts w:ascii="Book Antiqua" w:hAnsi="Book Antiqua"/>
          <w:b/>
          <w:bCs/>
        </w:rPr>
        <w:t>System sizing</w:t>
      </w:r>
    </w:p>
    <w:p w14:paraId="7AE0E592" w14:textId="77777777" w:rsidR="002319C6" w:rsidRPr="00E3232D" w:rsidRDefault="002319C6" w:rsidP="00EE6DFD">
      <w:pPr>
        <w:autoSpaceDE w:val="0"/>
        <w:autoSpaceDN w:val="0"/>
        <w:adjustRightInd w:val="0"/>
        <w:jc w:val="both"/>
        <w:rPr>
          <w:rFonts w:ascii="Book Antiqua" w:hAnsi="Book Antiqua"/>
        </w:rPr>
      </w:pPr>
      <w:r w:rsidRPr="00E3232D">
        <w:rPr>
          <w:rFonts w:ascii="Book Antiqua" w:hAnsi="Book Antiqua"/>
        </w:rPr>
        <w:t xml:space="preserve">The total lighting loads is </w:t>
      </w:r>
      <w:r w:rsidRPr="00E3232D">
        <w:rPr>
          <w:rFonts w:ascii="Book Antiqua" w:hAnsi="Book Antiqua"/>
          <w:bCs/>
        </w:rPr>
        <w:t xml:space="preserve">112580Wh/day, with a system voltage of 12V and the total Ah demanded per day was </w:t>
      </w:r>
      <w:r w:rsidRPr="00E3232D">
        <w:rPr>
          <w:rFonts w:ascii="Book Antiqua" w:hAnsi="Book Antiqua"/>
        </w:rPr>
        <w:t xml:space="preserve">112580/12 </w:t>
      </w:r>
    </w:p>
    <w:p w14:paraId="20D40595" w14:textId="77777777" w:rsidR="002319C6" w:rsidRPr="00E3232D" w:rsidRDefault="002319C6" w:rsidP="00EE6DFD">
      <w:pPr>
        <w:autoSpaceDE w:val="0"/>
        <w:autoSpaceDN w:val="0"/>
        <w:adjustRightInd w:val="0"/>
        <w:jc w:val="both"/>
        <w:rPr>
          <w:rFonts w:ascii="Book Antiqua" w:hAnsi="Book Antiqua"/>
        </w:rPr>
      </w:pPr>
      <w:r w:rsidRPr="00E3232D">
        <w:rPr>
          <w:rFonts w:ascii="Book Antiqua" w:hAnsi="Book Antiqua"/>
        </w:rPr>
        <w:t>= 9381.7 Ah.</w:t>
      </w:r>
    </w:p>
    <w:p w14:paraId="00E6DC35" w14:textId="77777777" w:rsidR="002319C6" w:rsidRPr="00E3232D" w:rsidRDefault="002319C6" w:rsidP="00EE6DFD">
      <w:pPr>
        <w:autoSpaceDE w:val="0"/>
        <w:autoSpaceDN w:val="0"/>
        <w:adjustRightInd w:val="0"/>
        <w:jc w:val="both"/>
        <w:rPr>
          <w:rFonts w:ascii="Book Antiqua" w:hAnsi="Book Antiqua"/>
          <w:b/>
        </w:rPr>
      </w:pPr>
      <w:r w:rsidRPr="00E3232D">
        <w:rPr>
          <w:rFonts w:ascii="Book Antiqua" w:hAnsi="Book Antiqua"/>
          <w:b/>
        </w:rPr>
        <w:t>Photovoltaic (PV) Array sizing</w:t>
      </w:r>
    </w:p>
    <w:p w14:paraId="339A7DC6" w14:textId="77777777" w:rsidR="002319C6" w:rsidRPr="00E3232D" w:rsidRDefault="00EE6DFD" w:rsidP="00EE6DFD">
      <w:pPr>
        <w:autoSpaceDE w:val="0"/>
        <w:autoSpaceDN w:val="0"/>
        <w:adjustRightInd w:val="0"/>
        <w:jc w:val="both"/>
        <w:rPr>
          <w:rFonts w:ascii="Book Antiqua" w:hAnsi="Book Antiqua"/>
        </w:rPr>
      </w:pPr>
      <w:r>
        <w:rPr>
          <w:rFonts w:ascii="Book Antiqua" w:hAnsi="Book Antiqua"/>
          <w:noProof/>
          <w:lang w:bidi="ar-SA"/>
        </w:rPr>
        <w:drawing>
          <wp:anchor distT="0" distB="0" distL="114300" distR="114300" simplePos="0" relativeHeight="251667456" behindDoc="1" locked="0" layoutInCell="1" allowOverlap="1" wp14:anchorId="0F847A19" wp14:editId="684CD3EA">
            <wp:simplePos x="0" y="0"/>
            <wp:positionH relativeFrom="column">
              <wp:posOffset>19050</wp:posOffset>
            </wp:positionH>
            <wp:positionV relativeFrom="paragraph">
              <wp:posOffset>-2950845</wp:posOffset>
            </wp:positionV>
            <wp:extent cx="4686300" cy="2181225"/>
            <wp:effectExtent l="19050" t="0" r="0" b="0"/>
            <wp:wrapTight wrapText="bothSides">
              <wp:wrapPolygon edited="0">
                <wp:start x="-88" y="0"/>
                <wp:lineTo x="-88" y="21506"/>
                <wp:lineTo x="21600" y="21506"/>
                <wp:lineTo x="21600" y="0"/>
                <wp:lineTo x="-88" y="0"/>
              </wp:wrapPolygon>
            </wp:wrapTight>
            <wp:docPr id="119" name="Picture 1" descr="C:\Users\MA\Desktop\nutrition\pv 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esktop\nutrition\pv module.jpg"/>
                    <pic:cNvPicPr>
                      <a:picLocks noChangeAspect="1" noChangeArrowheads="1"/>
                    </pic:cNvPicPr>
                  </pic:nvPicPr>
                  <pic:blipFill>
                    <a:blip r:embed="rId238" cstate="print"/>
                    <a:srcRect/>
                    <a:stretch>
                      <a:fillRect/>
                    </a:stretch>
                  </pic:blipFill>
                  <pic:spPr bwMode="auto">
                    <a:xfrm>
                      <a:off x="0" y="0"/>
                      <a:ext cx="4686300" cy="2181225"/>
                    </a:xfrm>
                    <a:prstGeom prst="rect">
                      <a:avLst/>
                    </a:prstGeom>
                    <a:noFill/>
                    <a:ln w="9525">
                      <a:noFill/>
                      <a:miter lim="800000"/>
                      <a:headEnd/>
                      <a:tailEnd/>
                    </a:ln>
                  </pic:spPr>
                </pic:pic>
              </a:graphicData>
            </a:graphic>
          </wp:anchor>
        </w:drawing>
      </w:r>
      <w:r w:rsidR="002319C6" w:rsidRPr="00E3232D">
        <w:rPr>
          <w:rFonts w:ascii="Book Antiqua" w:hAnsi="Book Antiqua"/>
        </w:rPr>
        <w:t>Based on the data collected on the lighting system for the GETF hostel, the selected PV module is Monocrystalline silicon. The module selection is based upon cost and efficiency. The PV array consists of 407, 100W</w:t>
      </w:r>
      <w:r w:rsidR="002319C6" w:rsidRPr="00E3232D">
        <w:rPr>
          <w:rFonts w:ascii="Book Antiqua" w:hAnsi="Book Antiqua"/>
          <w:vertAlign w:val="subscript"/>
        </w:rPr>
        <w:t>P</w:t>
      </w:r>
      <w:r w:rsidR="002319C6" w:rsidRPr="00E3232D">
        <w:rPr>
          <w:rFonts w:ascii="Book Antiqua" w:hAnsi="Book Antiqua"/>
        </w:rPr>
        <w:t>, PV Monocrystalline modules to give a total installed rated capacity of 40700W</w:t>
      </w:r>
      <w:r w:rsidR="002319C6" w:rsidRPr="00E3232D">
        <w:rPr>
          <w:rFonts w:ascii="Book Antiqua" w:hAnsi="Book Antiqua"/>
          <w:vertAlign w:val="subscript"/>
        </w:rPr>
        <w:t>p</w:t>
      </w:r>
      <w:r w:rsidR="002319C6" w:rsidRPr="00E3232D">
        <w:rPr>
          <w:rFonts w:ascii="Book Antiqua" w:hAnsi="Book Antiqua"/>
        </w:rPr>
        <w:t xml:space="preserve">, and has a short circuit current of 6.07A at standard test condition and 5.78A at nominal condition. </w:t>
      </w:r>
    </w:p>
    <w:p w14:paraId="48D7E853" w14:textId="77777777" w:rsidR="00EE6DFD" w:rsidRDefault="00EE6DFD" w:rsidP="00EE6DFD">
      <w:pPr>
        <w:jc w:val="both"/>
        <w:rPr>
          <w:rFonts w:ascii="Book Antiqua" w:hAnsi="Book Antiqua"/>
          <w:b/>
        </w:rPr>
      </w:pPr>
    </w:p>
    <w:p w14:paraId="1DF8A3DD" w14:textId="77777777" w:rsidR="00EE6DFD" w:rsidRDefault="00EE6DFD" w:rsidP="00EE6DFD">
      <w:pPr>
        <w:jc w:val="both"/>
        <w:rPr>
          <w:rFonts w:ascii="Book Antiqua" w:hAnsi="Book Antiqua"/>
          <w:b/>
        </w:rPr>
      </w:pPr>
    </w:p>
    <w:p w14:paraId="66B32010" w14:textId="77777777" w:rsidR="00EE6DFD" w:rsidRDefault="00EE6DFD" w:rsidP="00EE6DFD">
      <w:pPr>
        <w:jc w:val="both"/>
        <w:rPr>
          <w:rFonts w:ascii="Book Antiqua" w:hAnsi="Book Antiqua"/>
          <w:b/>
        </w:rPr>
      </w:pPr>
    </w:p>
    <w:p w14:paraId="00E1EA4C" w14:textId="77777777" w:rsidR="00EE6DFD" w:rsidRDefault="00EE6DFD" w:rsidP="00EE6DFD">
      <w:pPr>
        <w:jc w:val="both"/>
        <w:rPr>
          <w:rFonts w:ascii="Book Antiqua" w:hAnsi="Book Antiqua"/>
          <w:b/>
        </w:rPr>
      </w:pPr>
    </w:p>
    <w:p w14:paraId="75E608F9" w14:textId="77777777" w:rsidR="00EE6DFD" w:rsidRDefault="00EE6DFD" w:rsidP="00EE6DFD">
      <w:pPr>
        <w:jc w:val="both"/>
        <w:rPr>
          <w:rFonts w:ascii="Book Antiqua" w:hAnsi="Book Antiqua"/>
          <w:b/>
        </w:rPr>
      </w:pPr>
    </w:p>
    <w:p w14:paraId="14F32E79" w14:textId="77777777" w:rsidR="00EE6DFD" w:rsidRDefault="00EE6DFD" w:rsidP="00EE6DFD">
      <w:pPr>
        <w:jc w:val="both"/>
        <w:rPr>
          <w:rFonts w:ascii="Book Antiqua" w:hAnsi="Book Antiqua"/>
          <w:b/>
        </w:rPr>
      </w:pPr>
    </w:p>
    <w:p w14:paraId="504A9A45" w14:textId="77777777" w:rsidR="00EE6DFD" w:rsidRDefault="00EE6DFD" w:rsidP="00EE6DFD">
      <w:pPr>
        <w:jc w:val="both"/>
        <w:rPr>
          <w:rFonts w:ascii="Book Antiqua" w:hAnsi="Book Antiqua"/>
          <w:b/>
        </w:rPr>
      </w:pPr>
    </w:p>
    <w:p w14:paraId="590D1963" w14:textId="77777777" w:rsidR="00EE6DFD" w:rsidRDefault="00EE6DFD" w:rsidP="00EE6DFD">
      <w:pPr>
        <w:jc w:val="both"/>
        <w:rPr>
          <w:rFonts w:ascii="Book Antiqua" w:hAnsi="Book Antiqua"/>
          <w:b/>
        </w:rPr>
      </w:pPr>
    </w:p>
    <w:p w14:paraId="6693E060" w14:textId="77777777" w:rsidR="00EE6DFD" w:rsidRDefault="00EE6DFD" w:rsidP="00EE6DFD">
      <w:pPr>
        <w:jc w:val="both"/>
        <w:rPr>
          <w:rFonts w:ascii="Book Antiqua" w:hAnsi="Book Antiqua"/>
          <w:b/>
        </w:rPr>
      </w:pPr>
    </w:p>
    <w:p w14:paraId="5213B4EA" w14:textId="77777777" w:rsidR="00EE6DFD" w:rsidRDefault="00EE6DFD" w:rsidP="00EE6DFD">
      <w:pPr>
        <w:jc w:val="both"/>
        <w:rPr>
          <w:rFonts w:ascii="Book Antiqua" w:hAnsi="Book Antiqua"/>
          <w:b/>
        </w:rPr>
      </w:pPr>
    </w:p>
    <w:p w14:paraId="59106061" w14:textId="77777777" w:rsidR="002319C6" w:rsidRPr="00E3232D" w:rsidRDefault="002319C6" w:rsidP="00EE6DFD">
      <w:pPr>
        <w:jc w:val="both"/>
        <w:rPr>
          <w:rFonts w:ascii="Book Antiqua" w:hAnsi="Book Antiqua"/>
          <w:b/>
        </w:rPr>
      </w:pPr>
      <w:r w:rsidRPr="00E3232D">
        <w:rPr>
          <w:rFonts w:ascii="Book Antiqua" w:hAnsi="Book Antiqua"/>
          <w:b/>
        </w:rPr>
        <w:t xml:space="preserve">PV </w:t>
      </w:r>
      <w:r w:rsidR="00EE6DFD" w:rsidRPr="00E3232D">
        <w:rPr>
          <w:rFonts w:ascii="Book Antiqua" w:hAnsi="Book Antiqua"/>
          <w:b/>
        </w:rPr>
        <w:t xml:space="preserve">System </w:t>
      </w:r>
      <w:r w:rsidRPr="00E3232D">
        <w:rPr>
          <w:rFonts w:ascii="Book Antiqua" w:hAnsi="Book Antiqua"/>
          <w:b/>
        </w:rPr>
        <w:t>sizing</w:t>
      </w:r>
    </w:p>
    <w:p w14:paraId="644E4E3D" w14:textId="77777777" w:rsidR="002319C6" w:rsidRPr="00E3232D" w:rsidRDefault="002319C6" w:rsidP="00EE6DFD">
      <w:pPr>
        <w:jc w:val="both"/>
        <w:rPr>
          <w:rFonts w:ascii="Book Antiqua" w:hAnsi="Book Antiqua"/>
          <w:b/>
        </w:rPr>
      </w:pPr>
      <w:r w:rsidRPr="00E3232D">
        <w:rPr>
          <w:rFonts w:ascii="Book Antiqua" w:hAnsi="Book Antiqua"/>
          <w:bCs/>
        </w:rPr>
        <w:t>Total lighting loads = 112580Wh</w:t>
      </w:r>
    </w:p>
    <w:p w14:paraId="2B1C74AB" w14:textId="77777777" w:rsidR="002319C6" w:rsidRPr="00E3232D" w:rsidRDefault="002319C6" w:rsidP="00EE6DFD">
      <w:pPr>
        <w:autoSpaceDE w:val="0"/>
        <w:autoSpaceDN w:val="0"/>
        <w:adjustRightInd w:val="0"/>
        <w:jc w:val="both"/>
        <w:rPr>
          <w:rFonts w:ascii="Book Antiqua" w:hAnsi="Book Antiqua"/>
          <w:bCs/>
        </w:rPr>
      </w:pPr>
      <w:r w:rsidRPr="00E3232D">
        <w:rPr>
          <w:rFonts w:ascii="Book Antiqua" w:hAnsi="Book Antiqua"/>
          <w:bCs/>
        </w:rPr>
        <w:t xml:space="preserve">System voltage = 12v </w:t>
      </w:r>
    </w:p>
    <w:p w14:paraId="7DB49D48" w14:textId="77777777" w:rsidR="002319C6" w:rsidRPr="00E3232D" w:rsidRDefault="002319C6" w:rsidP="00EE6DFD">
      <w:pPr>
        <w:autoSpaceDE w:val="0"/>
        <w:autoSpaceDN w:val="0"/>
        <w:adjustRightInd w:val="0"/>
        <w:jc w:val="both"/>
        <w:rPr>
          <w:rFonts w:ascii="Book Antiqua" w:hAnsi="Book Antiqua"/>
        </w:rPr>
      </w:pPr>
      <w:r w:rsidRPr="00E3232D">
        <w:rPr>
          <w:rFonts w:ascii="Book Antiqua" w:hAnsi="Book Antiqua"/>
        </w:rPr>
        <w:t xml:space="preserve">Total A-HR demanded per day =112580/12 = 9381.7 Ah </w:t>
      </w:r>
    </w:p>
    <w:p w14:paraId="1502D935" w14:textId="77777777" w:rsidR="002319C6" w:rsidRDefault="002319C6" w:rsidP="00EE6DFD">
      <w:pPr>
        <w:jc w:val="both"/>
        <w:rPr>
          <w:rFonts w:ascii="Book Antiqua" w:hAnsi="Book Antiqua"/>
          <w:b/>
        </w:rPr>
      </w:pPr>
      <w:r w:rsidRPr="00E3232D">
        <w:rPr>
          <w:rFonts w:ascii="Book Antiqua" w:hAnsi="Book Antiqua"/>
          <w:b/>
        </w:rPr>
        <w:t>Design consideration</w:t>
      </w:r>
    </w:p>
    <w:p w14:paraId="29537815" w14:textId="77777777" w:rsidR="002319C6" w:rsidRPr="00E3232D" w:rsidRDefault="002319C6" w:rsidP="00EE6DFD">
      <w:pPr>
        <w:pStyle w:val="NoSpacing"/>
        <w:spacing w:line="276" w:lineRule="auto"/>
        <w:jc w:val="both"/>
        <w:rPr>
          <w:rFonts w:ascii="Book Antiqua" w:hAnsi="Book Antiqua"/>
          <w:b/>
        </w:rPr>
      </w:pPr>
      <w:r w:rsidRPr="00E3232D">
        <w:rPr>
          <w:rFonts w:ascii="Book Antiqua" w:hAnsi="Book Antiqua"/>
        </w:rPr>
        <w:t>Days of autonomy =3 days</w:t>
      </w:r>
      <w:r w:rsidRPr="00E3232D">
        <w:rPr>
          <w:rFonts w:ascii="Book Antiqua" w:hAnsi="Book Antiqua"/>
          <w:b/>
        </w:rPr>
        <w:t xml:space="preserve"> </w:t>
      </w:r>
    </w:p>
    <w:p w14:paraId="02328F74" w14:textId="77777777" w:rsidR="002319C6" w:rsidRPr="00E3232D" w:rsidRDefault="002319C6" w:rsidP="00EE6DFD">
      <w:pPr>
        <w:pStyle w:val="NoSpacing"/>
        <w:spacing w:line="276" w:lineRule="auto"/>
        <w:jc w:val="both"/>
        <w:rPr>
          <w:rFonts w:ascii="Book Antiqua" w:hAnsi="Book Antiqua"/>
          <w:b/>
        </w:rPr>
      </w:pPr>
      <w:r w:rsidRPr="00E3232D">
        <w:rPr>
          <w:rFonts w:ascii="Book Antiqua" w:hAnsi="Book Antiqua"/>
        </w:rPr>
        <w:t>System voltage =12V</w:t>
      </w:r>
    </w:p>
    <w:p w14:paraId="68B6161A" w14:textId="77777777" w:rsidR="002319C6" w:rsidRPr="00E3232D" w:rsidRDefault="002319C6" w:rsidP="00EE6DFD">
      <w:pPr>
        <w:jc w:val="both"/>
        <w:rPr>
          <w:rFonts w:ascii="Book Antiqua" w:hAnsi="Book Antiqua"/>
        </w:rPr>
      </w:pPr>
      <w:r w:rsidRPr="00E3232D">
        <w:rPr>
          <w:rFonts w:ascii="Book Antiqua" w:hAnsi="Book Antiqua"/>
        </w:rPr>
        <w:t>Selected battery =12V, 160A-Hr, C</w:t>
      </w:r>
      <w:r w:rsidRPr="00E3232D">
        <w:rPr>
          <w:rFonts w:ascii="Book Antiqua" w:hAnsi="Book Antiqua"/>
          <w:vertAlign w:val="subscript"/>
        </w:rPr>
        <w:t>20</w:t>
      </w:r>
      <w:r w:rsidRPr="00E3232D">
        <w:rPr>
          <w:rFonts w:ascii="Book Antiqua" w:hAnsi="Book Antiqua"/>
        </w:rPr>
        <w:t>.</w:t>
      </w:r>
    </w:p>
    <w:p w14:paraId="2C7ACFCC" w14:textId="77777777" w:rsidR="002319C6" w:rsidRPr="00E3232D" w:rsidRDefault="002319C6" w:rsidP="00EE6DFD">
      <w:pPr>
        <w:jc w:val="both"/>
        <w:rPr>
          <w:rFonts w:ascii="Book Antiqua" w:hAnsi="Book Antiqua"/>
        </w:rPr>
      </w:pPr>
      <w:r w:rsidRPr="00E3232D">
        <w:rPr>
          <w:rFonts w:ascii="Book Antiqua" w:hAnsi="Book Antiqua"/>
        </w:rPr>
        <w:t>PV panel =12V, 100W, 6.07A at NOCT</w:t>
      </w:r>
    </w:p>
    <w:p w14:paraId="7E82823F" w14:textId="77777777" w:rsidR="002319C6" w:rsidRPr="00E3232D" w:rsidRDefault="002319C6" w:rsidP="00EE6DFD">
      <w:pPr>
        <w:jc w:val="both"/>
        <w:rPr>
          <w:rFonts w:ascii="Book Antiqua" w:hAnsi="Book Antiqua"/>
        </w:rPr>
      </w:pPr>
      <w:r w:rsidRPr="00E3232D">
        <w:rPr>
          <w:rFonts w:ascii="Book Antiqua" w:hAnsi="Book Antiqua"/>
        </w:rPr>
        <w:t>DOD of battery = 0.5</w:t>
      </w:r>
    </w:p>
    <w:p w14:paraId="6FCBB37A" w14:textId="77777777" w:rsidR="002319C6" w:rsidRPr="00E3232D" w:rsidRDefault="002319C6" w:rsidP="00EE6DFD">
      <w:pPr>
        <w:jc w:val="both"/>
        <w:rPr>
          <w:rFonts w:ascii="Book Antiqua" w:hAnsi="Book Antiqua"/>
        </w:rPr>
      </w:pPr>
      <w:r w:rsidRPr="00E3232D">
        <w:rPr>
          <w:rFonts w:ascii="Book Antiqua" w:hAnsi="Book Antiqua"/>
        </w:rPr>
        <w:t>Battery efficiency = 0.8</w:t>
      </w:r>
    </w:p>
    <w:p w14:paraId="74B1549D" w14:textId="77777777" w:rsidR="002319C6" w:rsidRPr="00E3232D" w:rsidRDefault="002319C6" w:rsidP="00EE6DFD">
      <w:pPr>
        <w:jc w:val="both"/>
        <w:rPr>
          <w:rFonts w:ascii="Book Antiqua" w:hAnsi="Book Antiqua"/>
        </w:rPr>
      </w:pPr>
      <w:r w:rsidRPr="00E3232D">
        <w:rPr>
          <w:rFonts w:ascii="Book Antiqua" w:hAnsi="Book Antiqua"/>
        </w:rPr>
        <w:t>Panel efficiency = 16.5 – 17%</w:t>
      </w:r>
    </w:p>
    <w:p w14:paraId="520810A2" w14:textId="77777777" w:rsidR="002319C6" w:rsidRPr="00E3232D" w:rsidRDefault="002319C6" w:rsidP="00EE6DFD">
      <w:pPr>
        <w:jc w:val="both"/>
        <w:rPr>
          <w:rFonts w:ascii="Book Antiqua" w:hAnsi="Book Antiqua"/>
        </w:rPr>
      </w:pPr>
      <w:r w:rsidRPr="00E3232D">
        <w:rPr>
          <w:rFonts w:ascii="Book Antiqua" w:hAnsi="Book Antiqua"/>
        </w:rPr>
        <w:t>Peak sun hours = 5hr</w:t>
      </w:r>
    </w:p>
    <w:p w14:paraId="1A72EB99" w14:textId="77777777" w:rsidR="002319C6" w:rsidRPr="00E3232D" w:rsidRDefault="002319C6" w:rsidP="00EE6DFD">
      <w:pPr>
        <w:contextualSpacing/>
        <w:jc w:val="both"/>
        <w:rPr>
          <w:rFonts w:ascii="Book Antiqua" w:hAnsi="Book Antiqua"/>
        </w:rPr>
      </w:pPr>
      <w:r w:rsidRPr="00E3232D">
        <w:rPr>
          <w:rFonts w:ascii="Book Antiqua" w:hAnsi="Book Antiqua"/>
        </w:rPr>
        <w:t>Design tilt = 15</w:t>
      </w:r>
      <w:r w:rsidRPr="00E3232D">
        <w:rPr>
          <w:rFonts w:ascii="Book Antiqua" w:hAnsi="Book Antiqua"/>
          <w:vertAlign w:val="superscript"/>
        </w:rPr>
        <w:t>o</w:t>
      </w:r>
    </w:p>
    <w:p w14:paraId="45C510C4" w14:textId="77777777" w:rsidR="002319C6" w:rsidRPr="00E3232D" w:rsidRDefault="002319C6" w:rsidP="00EE6DFD">
      <w:pPr>
        <w:contextualSpacing/>
        <w:jc w:val="both"/>
        <w:rPr>
          <w:rFonts w:ascii="Book Antiqua" w:hAnsi="Book Antiqua"/>
        </w:rPr>
      </w:pPr>
      <w:r w:rsidRPr="00E3232D">
        <w:rPr>
          <w:rFonts w:ascii="Book Antiqua" w:hAnsi="Book Antiqua"/>
        </w:rPr>
        <w:t xml:space="preserve">Design month = Year round </w:t>
      </w:r>
    </w:p>
    <w:p w14:paraId="34211448" w14:textId="77777777" w:rsidR="002319C6" w:rsidRPr="00E3232D" w:rsidRDefault="002319C6" w:rsidP="00EE6DFD">
      <w:pPr>
        <w:contextualSpacing/>
        <w:jc w:val="both"/>
        <w:rPr>
          <w:rFonts w:ascii="Book Antiqua" w:hAnsi="Book Antiqua"/>
        </w:rPr>
      </w:pPr>
      <w:r w:rsidRPr="00E3232D">
        <w:rPr>
          <w:rFonts w:ascii="Book Antiqua" w:hAnsi="Book Antiqua"/>
        </w:rPr>
        <w:t>Total A-hr demand per day = 9381.7 Ah</w:t>
      </w:r>
    </w:p>
    <w:p w14:paraId="7413E944" w14:textId="77777777" w:rsidR="002319C6" w:rsidRPr="00E3232D" w:rsidRDefault="002319C6" w:rsidP="00EE6DFD">
      <w:pPr>
        <w:contextualSpacing/>
        <w:jc w:val="both"/>
        <w:rPr>
          <w:rFonts w:ascii="Book Antiqua" w:hAnsi="Book Antiqua"/>
        </w:rPr>
      </w:pPr>
      <w:r w:rsidRPr="00E3232D">
        <w:rPr>
          <w:rFonts w:ascii="Book Antiqua" w:hAnsi="Book Antiqua"/>
        </w:rPr>
        <w:t>Battery efficiency = 0.8</w:t>
      </w:r>
    </w:p>
    <w:p w14:paraId="3AE8D11C" w14:textId="77777777" w:rsidR="002319C6" w:rsidRPr="00E3232D" w:rsidRDefault="002319C6" w:rsidP="00EE6DFD">
      <w:pPr>
        <w:contextualSpacing/>
        <w:jc w:val="both"/>
        <w:rPr>
          <w:rFonts w:ascii="Book Antiqua" w:hAnsi="Book Antiqua"/>
          <w:b/>
        </w:rPr>
      </w:pPr>
    </w:p>
    <w:p w14:paraId="10AAFF4F" w14:textId="77777777" w:rsidR="002319C6" w:rsidRPr="00E3232D" w:rsidRDefault="002319C6" w:rsidP="00EE6DFD">
      <w:pPr>
        <w:contextualSpacing/>
        <w:jc w:val="both"/>
        <w:rPr>
          <w:rFonts w:ascii="Book Antiqua" w:hAnsi="Book Antiqua"/>
          <w:b/>
        </w:rPr>
      </w:pPr>
      <w:r w:rsidRPr="00E3232D">
        <w:rPr>
          <w:rFonts w:ascii="Book Antiqua" w:hAnsi="Book Antiqua"/>
          <w:b/>
        </w:rPr>
        <w:t>Array sizing</w:t>
      </w:r>
    </w:p>
    <w:p w14:paraId="0B112EE7" w14:textId="77777777" w:rsidR="002319C6" w:rsidRPr="00E3232D" w:rsidRDefault="002319C6" w:rsidP="00EE6DFD">
      <w:pPr>
        <w:contextualSpacing/>
        <w:jc w:val="both"/>
        <w:rPr>
          <w:rFonts w:ascii="Book Antiqua" w:hAnsi="Book Antiqua"/>
        </w:rPr>
      </w:pPr>
      <w:r w:rsidRPr="00E3232D">
        <w:rPr>
          <w:rFonts w:ascii="Book Antiqua" w:hAnsi="Book Antiqua"/>
        </w:rPr>
        <w:t>Array output required per day = 9381.7/0.8 = 11727.13 Ah</w:t>
      </w:r>
    </w:p>
    <w:p w14:paraId="2D41060C" w14:textId="77777777" w:rsidR="002319C6" w:rsidRPr="00E3232D" w:rsidRDefault="002319C6" w:rsidP="00EE6DFD">
      <w:pPr>
        <w:contextualSpacing/>
        <w:jc w:val="both"/>
        <w:rPr>
          <w:rFonts w:ascii="Book Antiqua" w:hAnsi="Book Antiqua"/>
        </w:rPr>
      </w:pPr>
      <w:r w:rsidRPr="00E3232D">
        <w:rPr>
          <w:rFonts w:ascii="Book Antiqua" w:hAnsi="Book Antiqua"/>
        </w:rPr>
        <w:t>Peak sun hours = 5 hrs</w:t>
      </w:r>
    </w:p>
    <w:p w14:paraId="3291C1B1" w14:textId="77777777" w:rsidR="002319C6" w:rsidRPr="00E3232D" w:rsidRDefault="002319C6" w:rsidP="00EE6DFD">
      <w:pPr>
        <w:contextualSpacing/>
        <w:jc w:val="both"/>
        <w:rPr>
          <w:rFonts w:ascii="Book Antiqua" w:hAnsi="Book Antiqua"/>
        </w:rPr>
      </w:pPr>
      <w:r w:rsidRPr="00E3232D">
        <w:rPr>
          <w:rFonts w:ascii="Book Antiqua" w:hAnsi="Book Antiqua"/>
        </w:rPr>
        <w:t>Selected module = Monocrystalline</w:t>
      </w:r>
    </w:p>
    <w:p w14:paraId="1CC07A25" w14:textId="77777777" w:rsidR="002319C6" w:rsidRPr="00E3232D" w:rsidRDefault="002319C6" w:rsidP="00EE6DFD">
      <w:pPr>
        <w:contextualSpacing/>
        <w:jc w:val="both"/>
        <w:rPr>
          <w:rFonts w:ascii="Book Antiqua" w:hAnsi="Book Antiqua"/>
        </w:rPr>
      </w:pPr>
      <w:r w:rsidRPr="00E3232D">
        <w:rPr>
          <w:rFonts w:ascii="Book Antiqua" w:hAnsi="Book Antiqua"/>
        </w:rPr>
        <w:t>Selected module current at 14V at NOCT = 6.07A</w:t>
      </w:r>
    </w:p>
    <w:p w14:paraId="1F1AA4ED" w14:textId="77777777" w:rsidR="002319C6" w:rsidRPr="00E3232D" w:rsidRDefault="002319C6" w:rsidP="00EE6DFD">
      <w:pPr>
        <w:contextualSpacing/>
        <w:jc w:val="both"/>
        <w:rPr>
          <w:rFonts w:ascii="Book Antiqua" w:hAnsi="Book Antiqua"/>
        </w:rPr>
      </w:pPr>
      <w:r w:rsidRPr="00E3232D">
        <w:rPr>
          <w:rFonts w:ascii="Book Antiqua" w:hAnsi="Book Antiqua"/>
        </w:rPr>
        <w:t>Selected module nominal operating voltage = 12V</w:t>
      </w:r>
    </w:p>
    <w:p w14:paraId="5C35D683" w14:textId="77777777" w:rsidR="002319C6" w:rsidRPr="00E3232D" w:rsidRDefault="002319C6" w:rsidP="00EE6DFD">
      <w:pPr>
        <w:contextualSpacing/>
        <w:jc w:val="both"/>
        <w:rPr>
          <w:rFonts w:ascii="Book Antiqua" w:hAnsi="Book Antiqua"/>
        </w:rPr>
      </w:pPr>
    </w:p>
    <w:p w14:paraId="18734532" w14:textId="77777777" w:rsidR="002319C6" w:rsidRPr="00E3232D" w:rsidRDefault="002319C6" w:rsidP="00EE6DFD">
      <w:pPr>
        <w:contextualSpacing/>
        <w:jc w:val="both"/>
        <w:rPr>
          <w:rFonts w:ascii="Book Antiqua" w:hAnsi="Book Antiqua"/>
        </w:rPr>
      </w:pPr>
      <w:r w:rsidRPr="00E3232D">
        <w:rPr>
          <w:rFonts w:ascii="Book Antiqua" w:hAnsi="Book Antiqua"/>
        </w:rPr>
        <w:t>Guaranteed NOCT current = 6.07×0.95 =5.7665A</w:t>
      </w:r>
    </w:p>
    <w:p w14:paraId="19324E55" w14:textId="77777777" w:rsidR="002319C6" w:rsidRPr="00E3232D" w:rsidRDefault="002319C6" w:rsidP="00EE6DFD">
      <w:pPr>
        <w:contextualSpacing/>
        <w:jc w:val="both"/>
        <w:rPr>
          <w:rFonts w:ascii="Book Antiqua" w:hAnsi="Book Antiqua"/>
        </w:rPr>
      </w:pPr>
      <w:r w:rsidRPr="00E3232D">
        <w:rPr>
          <w:rFonts w:ascii="Book Antiqua" w:hAnsi="Book Antiqua"/>
        </w:rPr>
        <w:t>Number of modules in series = 12/12 =1 module</w:t>
      </w:r>
    </w:p>
    <w:p w14:paraId="39F3CB13" w14:textId="77777777" w:rsidR="002319C6" w:rsidRPr="00E3232D" w:rsidRDefault="002319C6" w:rsidP="00EE6DFD">
      <w:pPr>
        <w:contextualSpacing/>
        <w:jc w:val="both"/>
        <w:rPr>
          <w:rFonts w:ascii="Book Antiqua" w:hAnsi="Book Antiqua"/>
        </w:rPr>
      </w:pPr>
      <w:r w:rsidRPr="00E3232D">
        <w:rPr>
          <w:rFonts w:ascii="Book Antiqua" w:hAnsi="Book Antiqua"/>
        </w:rPr>
        <w:t>Average daily energy per module = 5.7665 x 5 = 28.8</w:t>
      </w:r>
    </w:p>
    <w:p w14:paraId="58C27A95" w14:textId="77777777" w:rsidR="002319C6" w:rsidRPr="00E3232D" w:rsidRDefault="002319C6" w:rsidP="00EE6DFD">
      <w:pPr>
        <w:contextualSpacing/>
        <w:jc w:val="both"/>
        <w:rPr>
          <w:rFonts w:ascii="Book Antiqua" w:hAnsi="Book Antiqua"/>
        </w:rPr>
      </w:pPr>
      <w:r w:rsidRPr="00E3232D">
        <w:rPr>
          <w:rFonts w:ascii="Book Antiqua" w:hAnsi="Book Antiqua"/>
        </w:rPr>
        <w:t>Number of parallel strings of module = 11727.13 /28.8 = 407.2 rounded up to 407 strings</w:t>
      </w:r>
    </w:p>
    <w:p w14:paraId="37E58870" w14:textId="77777777" w:rsidR="002319C6" w:rsidRPr="00E3232D" w:rsidRDefault="002319C6" w:rsidP="002319C6">
      <w:pPr>
        <w:autoSpaceDE w:val="0"/>
        <w:autoSpaceDN w:val="0"/>
        <w:adjustRightInd w:val="0"/>
        <w:rPr>
          <w:rFonts w:ascii="Book Antiqua" w:hAnsi="Book Antiqua"/>
          <w:b/>
        </w:rPr>
      </w:pPr>
    </w:p>
    <w:p w14:paraId="7BAFF026" w14:textId="77777777" w:rsidR="002319C6" w:rsidRPr="00E3232D" w:rsidRDefault="002319C6" w:rsidP="002319C6">
      <w:pPr>
        <w:autoSpaceDE w:val="0"/>
        <w:autoSpaceDN w:val="0"/>
        <w:adjustRightInd w:val="0"/>
        <w:jc w:val="center"/>
        <w:rPr>
          <w:rFonts w:ascii="Book Antiqua" w:hAnsi="Book Antiqua"/>
          <w:b/>
        </w:rPr>
      </w:pPr>
      <w:r w:rsidRPr="00E3232D">
        <w:rPr>
          <w:rFonts w:ascii="Book Antiqua" w:hAnsi="Book Antiqua"/>
          <w:b/>
        </w:rPr>
        <w:t>Table 4: Selected PV Panel specifications</w:t>
      </w:r>
    </w:p>
    <w:tbl>
      <w:tblPr>
        <w:tblW w:w="0" w:type="auto"/>
        <w:tblBorders>
          <w:top w:val="single" w:sz="8" w:space="0" w:color="000000"/>
          <w:bottom w:val="single" w:sz="8" w:space="0" w:color="000000"/>
        </w:tblBorders>
        <w:tblLook w:val="04A0" w:firstRow="1" w:lastRow="0" w:firstColumn="1" w:lastColumn="0" w:noHBand="0" w:noVBand="1"/>
      </w:tblPr>
      <w:tblGrid>
        <w:gridCol w:w="2209"/>
        <w:gridCol w:w="1800"/>
      </w:tblGrid>
      <w:tr w:rsidR="002319C6" w:rsidRPr="00D12E59" w14:paraId="4133609B" w14:textId="77777777" w:rsidTr="00B80C42">
        <w:trPr>
          <w:trHeight w:val="555"/>
        </w:trPr>
        <w:tc>
          <w:tcPr>
            <w:tcW w:w="2405" w:type="dxa"/>
            <w:shd w:val="clear" w:color="auto" w:fill="auto"/>
          </w:tcPr>
          <w:p w14:paraId="279CDC3D"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Manufacture</w:t>
            </w:r>
          </w:p>
        </w:tc>
        <w:tc>
          <w:tcPr>
            <w:tcW w:w="1663" w:type="dxa"/>
            <w:shd w:val="clear" w:color="auto" w:fill="auto"/>
          </w:tcPr>
          <w:p w14:paraId="47B9E282"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Fujian, China (mainland)</w:t>
            </w:r>
          </w:p>
        </w:tc>
      </w:tr>
      <w:tr w:rsidR="002319C6" w:rsidRPr="00D12E59" w14:paraId="256E37CD" w14:textId="77777777" w:rsidTr="00B80C42">
        <w:trPr>
          <w:trHeight w:val="555"/>
        </w:trPr>
        <w:tc>
          <w:tcPr>
            <w:tcW w:w="2405" w:type="dxa"/>
            <w:shd w:val="clear" w:color="auto" w:fill="auto"/>
          </w:tcPr>
          <w:p w14:paraId="6B0DE9CE"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Brand Name</w:t>
            </w:r>
          </w:p>
        </w:tc>
        <w:tc>
          <w:tcPr>
            <w:tcW w:w="1663" w:type="dxa"/>
            <w:shd w:val="clear" w:color="auto" w:fill="auto"/>
          </w:tcPr>
          <w:p w14:paraId="0FCF7954"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DPL, Energy</w:t>
            </w:r>
          </w:p>
        </w:tc>
      </w:tr>
      <w:tr w:rsidR="002319C6" w:rsidRPr="00D12E59" w14:paraId="4946D318" w14:textId="77777777" w:rsidTr="00B80C42">
        <w:trPr>
          <w:trHeight w:val="555"/>
        </w:trPr>
        <w:tc>
          <w:tcPr>
            <w:tcW w:w="2405" w:type="dxa"/>
            <w:shd w:val="clear" w:color="auto" w:fill="auto"/>
          </w:tcPr>
          <w:p w14:paraId="105F745D"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Cell type</w:t>
            </w:r>
          </w:p>
        </w:tc>
        <w:tc>
          <w:tcPr>
            <w:tcW w:w="1663" w:type="dxa"/>
            <w:shd w:val="clear" w:color="auto" w:fill="auto"/>
          </w:tcPr>
          <w:p w14:paraId="38FFD2CD"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Monocrystalline</w:t>
            </w:r>
          </w:p>
        </w:tc>
      </w:tr>
      <w:tr w:rsidR="002319C6" w:rsidRPr="00D12E59" w14:paraId="60F38038" w14:textId="77777777" w:rsidTr="00B80C42">
        <w:trPr>
          <w:trHeight w:val="555"/>
        </w:trPr>
        <w:tc>
          <w:tcPr>
            <w:tcW w:w="2405" w:type="dxa"/>
            <w:shd w:val="clear" w:color="auto" w:fill="auto"/>
          </w:tcPr>
          <w:p w14:paraId="3D1D2AA4"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Maximum power(Wp)</w:t>
            </w:r>
          </w:p>
        </w:tc>
        <w:tc>
          <w:tcPr>
            <w:tcW w:w="1663" w:type="dxa"/>
            <w:shd w:val="clear" w:color="auto" w:fill="auto"/>
          </w:tcPr>
          <w:p w14:paraId="22F9B723"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100W</w:t>
            </w:r>
          </w:p>
        </w:tc>
      </w:tr>
      <w:tr w:rsidR="002319C6" w:rsidRPr="00D12E59" w14:paraId="79573922" w14:textId="77777777" w:rsidTr="00B80C42">
        <w:trPr>
          <w:trHeight w:val="555"/>
        </w:trPr>
        <w:tc>
          <w:tcPr>
            <w:tcW w:w="2405" w:type="dxa"/>
            <w:shd w:val="clear" w:color="auto" w:fill="auto"/>
          </w:tcPr>
          <w:p w14:paraId="788AE19F"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Short circuit current (Isc)</w:t>
            </w:r>
          </w:p>
        </w:tc>
        <w:tc>
          <w:tcPr>
            <w:tcW w:w="1663" w:type="dxa"/>
            <w:shd w:val="clear" w:color="auto" w:fill="auto"/>
          </w:tcPr>
          <w:p w14:paraId="02FE8594"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6.07A</w:t>
            </w:r>
          </w:p>
        </w:tc>
      </w:tr>
      <w:tr w:rsidR="002319C6" w:rsidRPr="00D12E59" w14:paraId="581DD1A2" w14:textId="77777777" w:rsidTr="00B80C42">
        <w:trPr>
          <w:trHeight w:val="555"/>
        </w:trPr>
        <w:tc>
          <w:tcPr>
            <w:tcW w:w="2405" w:type="dxa"/>
            <w:shd w:val="clear" w:color="auto" w:fill="auto"/>
          </w:tcPr>
          <w:p w14:paraId="2237BA4D"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Open circuit voltage (Voc)</w:t>
            </w:r>
          </w:p>
        </w:tc>
        <w:tc>
          <w:tcPr>
            <w:tcW w:w="1663" w:type="dxa"/>
            <w:shd w:val="clear" w:color="auto" w:fill="auto"/>
          </w:tcPr>
          <w:p w14:paraId="4EF2EA92"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22.6V</w:t>
            </w:r>
          </w:p>
        </w:tc>
      </w:tr>
      <w:tr w:rsidR="002319C6" w:rsidRPr="00D12E59" w14:paraId="15577C2A" w14:textId="77777777" w:rsidTr="00B80C42">
        <w:trPr>
          <w:trHeight w:val="555"/>
        </w:trPr>
        <w:tc>
          <w:tcPr>
            <w:tcW w:w="2405" w:type="dxa"/>
            <w:shd w:val="clear" w:color="auto" w:fill="auto"/>
          </w:tcPr>
          <w:p w14:paraId="0B001197"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Maximum system voltage</w:t>
            </w:r>
          </w:p>
        </w:tc>
        <w:tc>
          <w:tcPr>
            <w:tcW w:w="1663" w:type="dxa"/>
            <w:shd w:val="clear" w:color="auto" w:fill="auto"/>
          </w:tcPr>
          <w:p w14:paraId="1CAF8A40"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1000V DC</w:t>
            </w:r>
          </w:p>
        </w:tc>
      </w:tr>
      <w:tr w:rsidR="002319C6" w:rsidRPr="00D12E59" w14:paraId="0A8A3502" w14:textId="77777777" w:rsidTr="00B80C42">
        <w:trPr>
          <w:trHeight w:val="555"/>
        </w:trPr>
        <w:tc>
          <w:tcPr>
            <w:tcW w:w="2405" w:type="dxa"/>
            <w:shd w:val="clear" w:color="auto" w:fill="auto"/>
          </w:tcPr>
          <w:p w14:paraId="5843129A"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Optimum operating voltage (Vmp)</w:t>
            </w:r>
          </w:p>
        </w:tc>
        <w:tc>
          <w:tcPr>
            <w:tcW w:w="1663" w:type="dxa"/>
            <w:shd w:val="clear" w:color="auto" w:fill="auto"/>
          </w:tcPr>
          <w:p w14:paraId="202D7264"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181V</w:t>
            </w:r>
          </w:p>
        </w:tc>
      </w:tr>
      <w:tr w:rsidR="002319C6" w:rsidRPr="00D12E59" w14:paraId="0908663B" w14:textId="77777777" w:rsidTr="00B80C42">
        <w:trPr>
          <w:trHeight w:val="540"/>
        </w:trPr>
        <w:tc>
          <w:tcPr>
            <w:tcW w:w="2405" w:type="dxa"/>
            <w:shd w:val="clear" w:color="auto" w:fill="auto"/>
          </w:tcPr>
          <w:p w14:paraId="7320368F"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Optimum operating current (Imp)</w:t>
            </w:r>
          </w:p>
        </w:tc>
        <w:tc>
          <w:tcPr>
            <w:tcW w:w="1663" w:type="dxa"/>
            <w:shd w:val="clear" w:color="auto" w:fill="auto"/>
          </w:tcPr>
          <w:p w14:paraId="35DA0BED"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5.52A</w:t>
            </w:r>
          </w:p>
        </w:tc>
      </w:tr>
      <w:tr w:rsidR="002319C6" w:rsidRPr="00D12E59" w14:paraId="7EB9656D" w14:textId="77777777" w:rsidTr="00B80C42">
        <w:trPr>
          <w:trHeight w:val="555"/>
        </w:trPr>
        <w:tc>
          <w:tcPr>
            <w:tcW w:w="2405" w:type="dxa"/>
            <w:shd w:val="clear" w:color="auto" w:fill="auto"/>
          </w:tcPr>
          <w:p w14:paraId="2246A4D3"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Efficiency of cell</w:t>
            </w:r>
          </w:p>
        </w:tc>
        <w:tc>
          <w:tcPr>
            <w:tcW w:w="1663" w:type="dxa"/>
            <w:shd w:val="clear" w:color="auto" w:fill="auto"/>
          </w:tcPr>
          <w:p w14:paraId="0B2DFFC2"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16.5 – 17%</w:t>
            </w:r>
          </w:p>
        </w:tc>
      </w:tr>
      <w:tr w:rsidR="002319C6" w:rsidRPr="00D12E59" w14:paraId="7FE70EB4" w14:textId="77777777" w:rsidTr="00B80C42">
        <w:trPr>
          <w:trHeight w:val="555"/>
        </w:trPr>
        <w:tc>
          <w:tcPr>
            <w:tcW w:w="2405" w:type="dxa"/>
            <w:shd w:val="clear" w:color="auto" w:fill="auto"/>
          </w:tcPr>
          <w:p w14:paraId="29751064"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Dimension</w:t>
            </w:r>
          </w:p>
        </w:tc>
        <w:tc>
          <w:tcPr>
            <w:tcW w:w="1663" w:type="dxa"/>
            <w:shd w:val="clear" w:color="auto" w:fill="auto"/>
          </w:tcPr>
          <w:p w14:paraId="0B02A7AB"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1200  × 550  × 35mm</w:t>
            </w:r>
          </w:p>
        </w:tc>
      </w:tr>
      <w:tr w:rsidR="002319C6" w:rsidRPr="00D12E59" w14:paraId="15CCF80F" w14:textId="77777777" w:rsidTr="00B80C42">
        <w:trPr>
          <w:trHeight w:val="555"/>
        </w:trPr>
        <w:tc>
          <w:tcPr>
            <w:tcW w:w="2405" w:type="dxa"/>
            <w:shd w:val="clear" w:color="auto" w:fill="auto"/>
          </w:tcPr>
          <w:p w14:paraId="5E2C0973"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Temperature coefficient</w:t>
            </w:r>
          </w:p>
        </w:tc>
        <w:tc>
          <w:tcPr>
            <w:tcW w:w="1663" w:type="dxa"/>
            <w:shd w:val="clear" w:color="auto" w:fill="auto"/>
          </w:tcPr>
          <w:p w14:paraId="5A735692"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0.48</w:t>
            </w:r>
          </w:p>
        </w:tc>
      </w:tr>
      <w:tr w:rsidR="002319C6" w:rsidRPr="00D12E59" w14:paraId="6EC96DE9" w14:textId="77777777" w:rsidTr="00B80C42">
        <w:trPr>
          <w:trHeight w:val="555"/>
        </w:trPr>
        <w:tc>
          <w:tcPr>
            <w:tcW w:w="2405" w:type="dxa"/>
            <w:shd w:val="clear" w:color="auto" w:fill="auto"/>
          </w:tcPr>
          <w:p w14:paraId="735502D4" w14:textId="77777777" w:rsidR="002319C6" w:rsidRPr="00D12E59" w:rsidRDefault="002319C6" w:rsidP="00B80C42">
            <w:pPr>
              <w:pStyle w:val="NoSpacing"/>
              <w:rPr>
                <w:rFonts w:ascii="Book Antiqua" w:hAnsi="Book Antiqua"/>
                <w:b/>
                <w:bCs/>
                <w:color w:val="000000"/>
              </w:rPr>
            </w:pPr>
            <w:r w:rsidRPr="00D12E59">
              <w:rPr>
                <w:rFonts w:ascii="Book Antiqua" w:hAnsi="Book Antiqua"/>
                <w:b/>
                <w:bCs/>
                <w:color w:val="000000"/>
              </w:rPr>
              <w:t>Weight</w:t>
            </w:r>
          </w:p>
        </w:tc>
        <w:tc>
          <w:tcPr>
            <w:tcW w:w="1663" w:type="dxa"/>
            <w:shd w:val="clear" w:color="auto" w:fill="auto"/>
          </w:tcPr>
          <w:p w14:paraId="1F5A85BD" w14:textId="77777777" w:rsidR="002319C6" w:rsidRPr="00D12E59" w:rsidRDefault="002319C6" w:rsidP="00B80C42">
            <w:pPr>
              <w:pStyle w:val="NoSpacing"/>
              <w:rPr>
                <w:rFonts w:ascii="Book Antiqua" w:hAnsi="Book Antiqua"/>
                <w:color w:val="000000"/>
              </w:rPr>
            </w:pPr>
            <w:r w:rsidRPr="00D12E59">
              <w:rPr>
                <w:rFonts w:ascii="Book Antiqua" w:hAnsi="Book Antiqua"/>
                <w:color w:val="000000"/>
              </w:rPr>
              <w:t>8.5Kg</w:t>
            </w:r>
          </w:p>
        </w:tc>
      </w:tr>
    </w:tbl>
    <w:p w14:paraId="408A8412" w14:textId="77777777" w:rsidR="002319C6" w:rsidRPr="00E3232D" w:rsidRDefault="002319C6" w:rsidP="002319C6">
      <w:pPr>
        <w:autoSpaceDE w:val="0"/>
        <w:autoSpaceDN w:val="0"/>
        <w:adjustRightInd w:val="0"/>
        <w:rPr>
          <w:rFonts w:ascii="Book Antiqua" w:hAnsi="Book Antiqua"/>
          <w:b/>
        </w:rPr>
      </w:pPr>
    </w:p>
    <w:p w14:paraId="1CF98D45" w14:textId="77777777" w:rsidR="00EE6DFD" w:rsidRDefault="00EE6DFD" w:rsidP="002319C6">
      <w:pPr>
        <w:autoSpaceDE w:val="0"/>
        <w:autoSpaceDN w:val="0"/>
        <w:adjustRightInd w:val="0"/>
        <w:rPr>
          <w:rFonts w:ascii="Book Antiqua" w:hAnsi="Book Antiqua"/>
          <w:b/>
        </w:rPr>
      </w:pPr>
    </w:p>
    <w:p w14:paraId="2CAD44AB" w14:textId="77777777" w:rsidR="00EE6DFD" w:rsidRDefault="00EE6DFD" w:rsidP="002319C6">
      <w:pPr>
        <w:autoSpaceDE w:val="0"/>
        <w:autoSpaceDN w:val="0"/>
        <w:adjustRightInd w:val="0"/>
        <w:rPr>
          <w:rFonts w:ascii="Book Antiqua" w:hAnsi="Book Antiqua"/>
          <w:b/>
        </w:rPr>
      </w:pPr>
    </w:p>
    <w:p w14:paraId="0E301B3B" w14:textId="77777777" w:rsidR="002319C6" w:rsidRPr="00E3232D" w:rsidRDefault="002319C6" w:rsidP="00EE6DFD">
      <w:pPr>
        <w:autoSpaceDE w:val="0"/>
        <w:autoSpaceDN w:val="0"/>
        <w:adjustRightInd w:val="0"/>
        <w:jc w:val="both"/>
        <w:rPr>
          <w:rFonts w:ascii="Book Antiqua" w:hAnsi="Book Antiqua"/>
          <w:b/>
        </w:rPr>
      </w:pPr>
      <w:r w:rsidRPr="00E3232D">
        <w:rPr>
          <w:rFonts w:ascii="Book Antiqua" w:hAnsi="Book Antiqua"/>
          <w:b/>
        </w:rPr>
        <w:t xml:space="preserve">Battery </w:t>
      </w:r>
      <w:r w:rsidR="008214F9" w:rsidRPr="00E3232D">
        <w:rPr>
          <w:rFonts w:ascii="Book Antiqua" w:hAnsi="Book Antiqua"/>
          <w:b/>
        </w:rPr>
        <w:t xml:space="preserve">Sizing </w:t>
      </w:r>
    </w:p>
    <w:p w14:paraId="6691685E" w14:textId="77777777" w:rsidR="002319C6" w:rsidRPr="00216E9D" w:rsidRDefault="002319C6" w:rsidP="00EE6DFD">
      <w:pPr>
        <w:autoSpaceDE w:val="0"/>
        <w:autoSpaceDN w:val="0"/>
        <w:adjustRightInd w:val="0"/>
        <w:jc w:val="both"/>
        <w:rPr>
          <w:rFonts w:ascii="Book Antiqua" w:hAnsi="Book Antiqua"/>
          <w:b/>
        </w:rPr>
      </w:pPr>
      <w:r w:rsidRPr="00E3232D">
        <w:rPr>
          <w:rFonts w:ascii="Book Antiqua" w:hAnsi="Book Antiqua"/>
        </w:rPr>
        <w:t>The system will have an installed battery capacity of 56290.2 A/hr, with 3days estimated days of autonomy, the system is 12V DC system and the maximum allowable depth of discharge (DOD) of battery is 0.5.</w:t>
      </w:r>
      <w:r w:rsidRPr="00E3232D">
        <w:rPr>
          <w:rFonts w:ascii="Book Antiqua" w:hAnsi="Book Antiqua"/>
          <w:b/>
        </w:rPr>
        <w:t xml:space="preserve"> </w:t>
      </w:r>
      <w:r w:rsidRPr="00E3232D">
        <w:rPr>
          <w:rFonts w:ascii="Book Antiqua" w:hAnsi="Book Antiqua"/>
        </w:rPr>
        <w:t>The selected battery is Rolls Surrette S12-160AGM deep cycle batteries, each</w:t>
      </w:r>
      <w:r>
        <w:rPr>
          <w:rFonts w:ascii="Book Antiqua" w:hAnsi="Book Antiqua"/>
        </w:rPr>
        <w:t xml:space="preserve"> </w:t>
      </w:r>
      <w:r w:rsidRPr="00E3232D">
        <w:rPr>
          <w:rFonts w:ascii="Book Antiqua" w:hAnsi="Book Antiqua"/>
        </w:rPr>
        <w:t>with a capacity of 160A-hr and an efficiency of 80%.The number of batteries required for the installation is 352 strings and the battery’s life expectancy is 5 years. Batteries will be housed in a cement building; the size of the building will be 7m long and 5.5m wide.</w:t>
      </w:r>
    </w:p>
    <w:p w14:paraId="735DD85B" w14:textId="77777777" w:rsidR="002319C6" w:rsidRPr="00E3232D" w:rsidRDefault="002319C6" w:rsidP="00EE6DFD">
      <w:pPr>
        <w:autoSpaceDE w:val="0"/>
        <w:autoSpaceDN w:val="0"/>
        <w:adjustRightInd w:val="0"/>
        <w:jc w:val="both"/>
        <w:rPr>
          <w:rFonts w:ascii="Book Antiqua" w:hAnsi="Book Antiqua"/>
          <w:b/>
        </w:rPr>
      </w:pPr>
      <w:r w:rsidRPr="00E3232D">
        <w:rPr>
          <w:rFonts w:ascii="Book Antiqua" w:hAnsi="Book Antiqua"/>
          <w:b/>
        </w:rPr>
        <w:t xml:space="preserve">Battery sizing calculations are as follows  </w:t>
      </w:r>
    </w:p>
    <w:p w14:paraId="7241FEB6" w14:textId="77777777" w:rsidR="002319C6" w:rsidRPr="00E3232D" w:rsidRDefault="002319C6" w:rsidP="00EE6DFD">
      <w:pPr>
        <w:contextualSpacing/>
        <w:jc w:val="both"/>
        <w:rPr>
          <w:rFonts w:ascii="Book Antiqua" w:hAnsi="Book Antiqua"/>
        </w:rPr>
      </w:pPr>
      <w:r w:rsidRPr="00E3232D">
        <w:rPr>
          <w:rFonts w:ascii="Book Antiqua" w:hAnsi="Book Antiqua"/>
        </w:rPr>
        <w:t>Number of days of autonomy = 3 days</w:t>
      </w:r>
    </w:p>
    <w:p w14:paraId="68D57C6F" w14:textId="77777777" w:rsidR="002319C6" w:rsidRPr="00E3232D" w:rsidRDefault="002319C6" w:rsidP="00EE6DFD">
      <w:pPr>
        <w:contextualSpacing/>
        <w:jc w:val="both"/>
        <w:rPr>
          <w:rFonts w:ascii="Book Antiqua" w:hAnsi="Book Antiqua"/>
        </w:rPr>
      </w:pPr>
      <w:r w:rsidRPr="00E3232D">
        <w:rPr>
          <w:rFonts w:ascii="Book Antiqua" w:hAnsi="Book Antiqua"/>
        </w:rPr>
        <w:t>Maximum allowable depth of discharge DOD of battery = 0.5</w:t>
      </w:r>
    </w:p>
    <w:p w14:paraId="611392F4" w14:textId="77777777" w:rsidR="002319C6" w:rsidRPr="00E3232D" w:rsidRDefault="002319C6" w:rsidP="00EE6DFD">
      <w:pPr>
        <w:contextualSpacing/>
        <w:jc w:val="both"/>
        <w:rPr>
          <w:rFonts w:ascii="Book Antiqua" w:hAnsi="Book Antiqua"/>
        </w:rPr>
      </w:pPr>
      <w:r w:rsidRPr="00E3232D">
        <w:rPr>
          <w:rFonts w:ascii="Book Antiqua" w:hAnsi="Book Antiqua"/>
        </w:rPr>
        <w:t>Required battery capacity = 9381.7 x 3/0.5 = 56290.2 A-hr</w:t>
      </w:r>
    </w:p>
    <w:p w14:paraId="46F9724E" w14:textId="77777777" w:rsidR="002319C6" w:rsidRPr="00E3232D" w:rsidRDefault="002319C6" w:rsidP="00EE6DFD">
      <w:pPr>
        <w:contextualSpacing/>
        <w:jc w:val="both"/>
        <w:rPr>
          <w:rFonts w:ascii="Book Antiqua" w:hAnsi="Book Antiqua"/>
        </w:rPr>
      </w:pPr>
      <w:r w:rsidRPr="00E3232D">
        <w:rPr>
          <w:rFonts w:ascii="Book Antiqua" w:hAnsi="Book Antiqua"/>
        </w:rPr>
        <w:t>Selected battery capacity = 160 Ah, C</w:t>
      </w:r>
      <w:r w:rsidRPr="00E3232D">
        <w:rPr>
          <w:rFonts w:ascii="Book Antiqua" w:hAnsi="Book Antiqua"/>
          <w:vertAlign w:val="subscript"/>
        </w:rPr>
        <w:t>20</w:t>
      </w:r>
    </w:p>
    <w:p w14:paraId="6AA3081B" w14:textId="77777777" w:rsidR="002319C6" w:rsidRPr="00E3232D" w:rsidRDefault="002319C6" w:rsidP="00EE6DFD">
      <w:pPr>
        <w:contextualSpacing/>
        <w:jc w:val="both"/>
        <w:rPr>
          <w:rFonts w:ascii="Book Antiqua" w:hAnsi="Book Antiqua"/>
        </w:rPr>
      </w:pPr>
      <w:r w:rsidRPr="00E3232D">
        <w:rPr>
          <w:rFonts w:ascii="Book Antiqua" w:hAnsi="Book Antiqua"/>
        </w:rPr>
        <w:t>Selected battery given discharge rate = 20hr</w:t>
      </w:r>
    </w:p>
    <w:p w14:paraId="0B7AD19F" w14:textId="77777777" w:rsidR="002319C6" w:rsidRPr="00E3232D" w:rsidRDefault="002319C6" w:rsidP="00EE6DFD">
      <w:pPr>
        <w:contextualSpacing/>
        <w:jc w:val="both"/>
        <w:rPr>
          <w:rFonts w:ascii="Book Antiqua" w:hAnsi="Book Antiqua"/>
        </w:rPr>
      </w:pPr>
      <w:r w:rsidRPr="00E3232D">
        <w:rPr>
          <w:rFonts w:ascii="Book Antiqua" w:hAnsi="Book Antiqua"/>
        </w:rPr>
        <w:t>Selected battery discharge current at discharge rate = 5A</w:t>
      </w:r>
    </w:p>
    <w:p w14:paraId="01C88420" w14:textId="77777777" w:rsidR="002319C6" w:rsidRPr="00E3232D" w:rsidRDefault="002319C6" w:rsidP="00EE6DFD">
      <w:pPr>
        <w:contextualSpacing/>
        <w:jc w:val="both"/>
        <w:rPr>
          <w:rFonts w:ascii="Book Antiqua" w:hAnsi="Book Antiqua"/>
        </w:rPr>
      </w:pPr>
      <w:r w:rsidRPr="00E3232D">
        <w:rPr>
          <w:rFonts w:ascii="Book Antiqua" w:hAnsi="Book Antiqua"/>
        </w:rPr>
        <w:t>Number of batteries in parallel = 56290.2/160 = 351.8, rounded up to 352 strings</w:t>
      </w:r>
    </w:p>
    <w:p w14:paraId="04817E6B" w14:textId="77777777" w:rsidR="002319C6" w:rsidRPr="00E3232D" w:rsidRDefault="002319C6" w:rsidP="00EE6DFD">
      <w:pPr>
        <w:contextualSpacing/>
        <w:jc w:val="both"/>
        <w:rPr>
          <w:rFonts w:ascii="Book Antiqua" w:hAnsi="Book Antiqua"/>
        </w:rPr>
      </w:pPr>
      <w:r w:rsidRPr="00E3232D">
        <w:rPr>
          <w:rFonts w:ascii="Book Antiqua" w:hAnsi="Book Antiqua"/>
        </w:rPr>
        <w:t>Effective capacity of battery bank at given discharge rate = 352 x 160 = 56320 Ah</w:t>
      </w:r>
    </w:p>
    <w:p w14:paraId="76DB8A97" w14:textId="77777777" w:rsidR="002319C6" w:rsidRPr="00E3232D" w:rsidRDefault="002319C6" w:rsidP="00EE6DFD">
      <w:pPr>
        <w:contextualSpacing/>
        <w:jc w:val="both"/>
        <w:rPr>
          <w:rFonts w:ascii="Book Antiqua" w:hAnsi="Book Antiqua"/>
        </w:rPr>
      </w:pPr>
      <w:r w:rsidRPr="00E3232D">
        <w:rPr>
          <w:rFonts w:ascii="Book Antiqua" w:hAnsi="Book Antiqua"/>
        </w:rPr>
        <w:t>Selected battery bank discharge current at discharge rate = 5 x 352= 1760A</w:t>
      </w:r>
    </w:p>
    <w:p w14:paraId="5F60AAC5" w14:textId="77777777" w:rsidR="002319C6" w:rsidRPr="00E3232D" w:rsidRDefault="002319C6" w:rsidP="00EE2FE1">
      <w:pPr>
        <w:autoSpaceDE w:val="0"/>
        <w:autoSpaceDN w:val="0"/>
        <w:adjustRightInd w:val="0"/>
        <w:rPr>
          <w:rFonts w:ascii="Book Antiqua" w:hAnsi="Book Antiqua"/>
          <w:b/>
          <w:bCs/>
        </w:rPr>
      </w:pPr>
      <w:r w:rsidRPr="00E3232D">
        <w:rPr>
          <w:rFonts w:ascii="Book Antiqua" w:hAnsi="Book Antiqua"/>
          <w:b/>
          <w:bCs/>
        </w:rPr>
        <w:t>Table 5: Selected battery specification</w:t>
      </w:r>
    </w:p>
    <w:tbl>
      <w:tblPr>
        <w:tblW w:w="0" w:type="auto"/>
        <w:tblBorders>
          <w:top w:val="single" w:sz="8" w:space="0" w:color="000000"/>
          <w:bottom w:val="single" w:sz="8" w:space="0" w:color="000000"/>
        </w:tblBorders>
        <w:tblLook w:val="04A0" w:firstRow="1" w:lastRow="0" w:firstColumn="1" w:lastColumn="0" w:noHBand="0" w:noVBand="1"/>
      </w:tblPr>
      <w:tblGrid>
        <w:gridCol w:w="2116"/>
        <w:gridCol w:w="1754"/>
      </w:tblGrid>
      <w:tr w:rsidR="002319C6" w:rsidRPr="00D12E59" w14:paraId="0CBEB95B" w14:textId="77777777" w:rsidTr="00B80C42">
        <w:tc>
          <w:tcPr>
            <w:tcW w:w="2116" w:type="dxa"/>
            <w:shd w:val="clear" w:color="auto" w:fill="auto"/>
          </w:tcPr>
          <w:p w14:paraId="1A843617"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Manufacture</w:t>
            </w:r>
          </w:p>
        </w:tc>
        <w:tc>
          <w:tcPr>
            <w:tcW w:w="1754" w:type="dxa"/>
            <w:shd w:val="clear" w:color="auto" w:fill="auto"/>
          </w:tcPr>
          <w:p w14:paraId="5D1BC0C2"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Rolls battery Engineering</w:t>
            </w:r>
          </w:p>
        </w:tc>
      </w:tr>
      <w:tr w:rsidR="002319C6" w:rsidRPr="00D12E59" w14:paraId="1D276477" w14:textId="77777777" w:rsidTr="00B80C42">
        <w:tc>
          <w:tcPr>
            <w:tcW w:w="2116" w:type="dxa"/>
            <w:shd w:val="clear" w:color="auto" w:fill="auto"/>
          </w:tcPr>
          <w:p w14:paraId="0BD99A99"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Model</w:t>
            </w:r>
          </w:p>
        </w:tc>
        <w:tc>
          <w:tcPr>
            <w:tcW w:w="1754" w:type="dxa"/>
            <w:shd w:val="clear" w:color="auto" w:fill="auto"/>
          </w:tcPr>
          <w:p w14:paraId="360C9E73" w14:textId="77777777" w:rsidR="002319C6" w:rsidRPr="00D12E59" w:rsidRDefault="002319C6" w:rsidP="00761254">
            <w:pPr>
              <w:pStyle w:val="NoSpacing"/>
              <w:rPr>
                <w:rFonts w:ascii="Book Antiqua" w:hAnsi="Book Antiqua"/>
                <w:color w:val="000000"/>
              </w:rPr>
            </w:pPr>
            <w:r w:rsidRPr="00D12E59">
              <w:rPr>
                <w:rFonts w:ascii="Book Antiqua" w:hAnsi="Book Antiqua"/>
                <w:color w:val="000000"/>
              </w:rPr>
              <w:t>S12 – 160AGM</w:t>
            </w:r>
          </w:p>
        </w:tc>
      </w:tr>
      <w:tr w:rsidR="002319C6" w:rsidRPr="00D12E59" w14:paraId="10A34709" w14:textId="77777777" w:rsidTr="00B80C42">
        <w:tc>
          <w:tcPr>
            <w:tcW w:w="2116" w:type="dxa"/>
            <w:shd w:val="clear" w:color="auto" w:fill="auto"/>
          </w:tcPr>
          <w:p w14:paraId="0B45F609"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Nominal voltage</w:t>
            </w:r>
          </w:p>
        </w:tc>
        <w:tc>
          <w:tcPr>
            <w:tcW w:w="1754" w:type="dxa"/>
            <w:shd w:val="clear" w:color="auto" w:fill="auto"/>
          </w:tcPr>
          <w:p w14:paraId="15FC71B7" w14:textId="77777777" w:rsidR="002319C6" w:rsidRPr="00D12E59" w:rsidRDefault="002319C6" w:rsidP="00761254">
            <w:pPr>
              <w:pStyle w:val="NoSpacing"/>
              <w:rPr>
                <w:rFonts w:ascii="Book Antiqua" w:hAnsi="Book Antiqua"/>
                <w:color w:val="000000"/>
              </w:rPr>
            </w:pPr>
            <w:r w:rsidRPr="00D12E59">
              <w:rPr>
                <w:rFonts w:ascii="Book Antiqua" w:hAnsi="Book Antiqua"/>
                <w:color w:val="000000"/>
              </w:rPr>
              <w:t>12V</w:t>
            </w:r>
          </w:p>
        </w:tc>
      </w:tr>
      <w:tr w:rsidR="002319C6" w:rsidRPr="00D12E59" w14:paraId="2A288AF3" w14:textId="77777777" w:rsidTr="00B80C42">
        <w:tc>
          <w:tcPr>
            <w:tcW w:w="2116" w:type="dxa"/>
            <w:shd w:val="clear" w:color="auto" w:fill="auto"/>
          </w:tcPr>
          <w:p w14:paraId="62E8D7AB"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Rated capacity</w:t>
            </w:r>
          </w:p>
        </w:tc>
        <w:tc>
          <w:tcPr>
            <w:tcW w:w="1754" w:type="dxa"/>
            <w:shd w:val="clear" w:color="auto" w:fill="auto"/>
          </w:tcPr>
          <w:p w14:paraId="19A6AC31" w14:textId="77777777" w:rsidR="002319C6" w:rsidRPr="00D12E59" w:rsidRDefault="002319C6" w:rsidP="00761254">
            <w:pPr>
              <w:pStyle w:val="NoSpacing"/>
              <w:rPr>
                <w:rFonts w:ascii="Book Antiqua" w:hAnsi="Book Antiqua"/>
                <w:color w:val="000000"/>
              </w:rPr>
            </w:pPr>
            <w:r w:rsidRPr="00D12E59">
              <w:rPr>
                <w:rFonts w:ascii="Book Antiqua" w:hAnsi="Book Antiqua"/>
                <w:color w:val="000000"/>
              </w:rPr>
              <w:t>160 Ah</w:t>
            </w:r>
          </w:p>
        </w:tc>
      </w:tr>
      <w:tr w:rsidR="002319C6" w:rsidRPr="00D12E59" w14:paraId="47C7B212" w14:textId="77777777" w:rsidTr="00B80C42">
        <w:tc>
          <w:tcPr>
            <w:tcW w:w="2116" w:type="dxa"/>
            <w:shd w:val="clear" w:color="auto" w:fill="auto"/>
          </w:tcPr>
          <w:p w14:paraId="70675A20"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Maximum discharge rate</w:t>
            </w:r>
          </w:p>
        </w:tc>
        <w:tc>
          <w:tcPr>
            <w:tcW w:w="1754" w:type="dxa"/>
            <w:shd w:val="clear" w:color="auto" w:fill="auto"/>
          </w:tcPr>
          <w:p w14:paraId="47F97343" w14:textId="77777777" w:rsidR="002319C6" w:rsidRPr="00D12E59" w:rsidRDefault="002319C6" w:rsidP="00761254">
            <w:pPr>
              <w:pStyle w:val="NoSpacing"/>
              <w:rPr>
                <w:rFonts w:ascii="Book Antiqua" w:hAnsi="Book Antiqua"/>
                <w:color w:val="000000"/>
              </w:rPr>
            </w:pPr>
            <w:r w:rsidRPr="00D12E59">
              <w:rPr>
                <w:rFonts w:ascii="Book Antiqua" w:hAnsi="Book Antiqua"/>
                <w:color w:val="000000"/>
              </w:rPr>
              <w:t>1400W</w:t>
            </w:r>
          </w:p>
        </w:tc>
      </w:tr>
      <w:tr w:rsidR="002319C6" w:rsidRPr="00D12E59" w14:paraId="29265628" w14:textId="77777777" w:rsidTr="00B80C42">
        <w:tc>
          <w:tcPr>
            <w:tcW w:w="2116" w:type="dxa"/>
            <w:shd w:val="clear" w:color="auto" w:fill="auto"/>
          </w:tcPr>
          <w:p w14:paraId="5307497C"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Weight</w:t>
            </w:r>
          </w:p>
        </w:tc>
        <w:tc>
          <w:tcPr>
            <w:tcW w:w="1754" w:type="dxa"/>
            <w:shd w:val="clear" w:color="auto" w:fill="auto"/>
          </w:tcPr>
          <w:p w14:paraId="599AF7EE" w14:textId="77777777" w:rsidR="002319C6" w:rsidRPr="00D12E59" w:rsidRDefault="002319C6" w:rsidP="00761254">
            <w:pPr>
              <w:pStyle w:val="NoSpacing"/>
              <w:rPr>
                <w:rFonts w:ascii="Book Antiqua" w:hAnsi="Book Antiqua"/>
                <w:color w:val="000000"/>
              </w:rPr>
            </w:pPr>
            <w:r w:rsidRPr="00D12E59">
              <w:rPr>
                <w:rFonts w:ascii="Book Antiqua" w:hAnsi="Book Antiqua"/>
                <w:color w:val="000000"/>
              </w:rPr>
              <w:t>44.3 kg</w:t>
            </w:r>
          </w:p>
        </w:tc>
      </w:tr>
      <w:tr w:rsidR="002319C6" w:rsidRPr="00D12E59" w14:paraId="3BC32DF3" w14:textId="77777777" w:rsidTr="00B80C42">
        <w:tc>
          <w:tcPr>
            <w:tcW w:w="2116" w:type="dxa"/>
            <w:shd w:val="clear" w:color="auto" w:fill="auto"/>
          </w:tcPr>
          <w:p w14:paraId="3EC3F733"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Dimension</w:t>
            </w:r>
          </w:p>
        </w:tc>
        <w:tc>
          <w:tcPr>
            <w:tcW w:w="1754" w:type="dxa"/>
            <w:shd w:val="clear" w:color="auto" w:fill="auto"/>
          </w:tcPr>
          <w:p w14:paraId="7EEF41FB" w14:textId="77777777" w:rsidR="002319C6" w:rsidRPr="00D12E59" w:rsidRDefault="002319C6" w:rsidP="00761254">
            <w:pPr>
              <w:pStyle w:val="NoSpacing"/>
              <w:rPr>
                <w:rFonts w:ascii="Book Antiqua" w:hAnsi="Book Antiqua"/>
                <w:color w:val="000000"/>
              </w:rPr>
            </w:pPr>
            <w:r w:rsidRPr="00D12E59">
              <w:rPr>
                <w:rFonts w:ascii="Book Antiqua" w:hAnsi="Book Antiqua"/>
                <w:color w:val="000000"/>
              </w:rPr>
              <w:t>281</w:t>
            </w:r>
            <w:r w:rsidRPr="00D12E59">
              <w:rPr>
                <w:rFonts w:ascii="Book Antiqua" w:hAnsi="Book Antiqua"/>
                <w:color w:val="000000"/>
                <w:vertAlign w:val="superscript"/>
              </w:rPr>
              <w:t>x</w:t>
            </w:r>
            <w:r w:rsidRPr="00D12E59">
              <w:rPr>
                <w:rFonts w:ascii="Book Antiqua" w:hAnsi="Book Antiqua"/>
                <w:color w:val="000000"/>
              </w:rPr>
              <w:t>341</w:t>
            </w:r>
            <w:r w:rsidRPr="00D12E59">
              <w:rPr>
                <w:rFonts w:ascii="Book Antiqua" w:hAnsi="Book Antiqua"/>
                <w:color w:val="000000"/>
                <w:vertAlign w:val="superscript"/>
              </w:rPr>
              <w:t>x</w:t>
            </w:r>
            <w:r w:rsidRPr="00D12E59">
              <w:rPr>
                <w:rFonts w:ascii="Book Antiqua" w:hAnsi="Book Antiqua"/>
                <w:color w:val="000000"/>
              </w:rPr>
              <w:t>173</w:t>
            </w:r>
          </w:p>
        </w:tc>
      </w:tr>
      <w:tr w:rsidR="002319C6" w:rsidRPr="00D12E59" w14:paraId="14FE1FC5" w14:textId="77777777" w:rsidTr="00B80C42">
        <w:tc>
          <w:tcPr>
            <w:tcW w:w="2116" w:type="dxa"/>
            <w:shd w:val="clear" w:color="auto" w:fill="auto"/>
          </w:tcPr>
          <w:p w14:paraId="49C68F2E"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Efficiency</w:t>
            </w:r>
          </w:p>
        </w:tc>
        <w:tc>
          <w:tcPr>
            <w:tcW w:w="1754" w:type="dxa"/>
            <w:shd w:val="clear" w:color="auto" w:fill="auto"/>
          </w:tcPr>
          <w:p w14:paraId="616FB1A0" w14:textId="77777777" w:rsidR="002319C6" w:rsidRPr="00D12E59" w:rsidRDefault="002319C6" w:rsidP="00761254">
            <w:pPr>
              <w:pStyle w:val="NoSpacing"/>
              <w:rPr>
                <w:rFonts w:ascii="Book Antiqua" w:hAnsi="Book Antiqua"/>
                <w:color w:val="000000"/>
              </w:rPr>
            </w:pPr>
            <w:r w:rsidRPr="00D12E59">
              <w:rPr>
                <w:rFonts w:ascii="Book Antiqua" w:hAnsi="Book Antiqua"/>
                <w:color w:val="000000"/>
              </w:rPr>
              <w:t>80%</w:t>
            </w:r>
          </w:p>
        </w:tc>
      </w:tr>
    </w:tbl>
    <w:p w14:paraId="74157778" w14:textId="77777777" w:rsidR="00216E9D" w:rsidRDefault="00216E9D" w:rsidP="002319C6">
      <w:pPr>
        <w:autoSpaceDE w:val="0"/>
        <w:autoSpaceDN w:val="0"/>
        <w:adjustRightInd w:val="0"/>
        <w:rPr>
          <w:rFonts w:ascii="Book Antiqua" w:hAnsi="Book Antiqua"/>
          <w:b/>
        </w:rPr>
      </w:pPr>
    </w:p>
    <w:p w14:paraId="76952B8E" w14:textId="77777777" w:rsidR="002319C6" w:rsidRPr="00E3232D" w:rsidRDefault="002319C6" w:rsidP="002319C6">
      <w:pPr>
        <w:autoSpaceDE w:val="0"/>
        <w:autoSpaceDN w:val="0"/>
        <w:adjustRightInd w:val="0"/>
        <w:rPr>
          <w:rFonts w:ascii="Book Antiqua" w:hAnsi="Book Antiqua"/>
        </w:rPr>
      </w:pPr>
      <w:r w:rsidRPr="00E3232D">
        <w:rPr>
          <w:rFonts w:ascii="Book Antiqua" w:hAnsi="Book Antiqua"/>
          <w:b/>
        </w:rPr>
        <w:t>Inverter sizing</w:t>
      </w:r>
    </w:p>
    <w:p w14:paraId="53B4D541" w14:textId="77777777" w:rsidR="002319C6" w:rsidRPr="00E3232D" w:rsidRDefault="002319C6" w:rsidP="00216E9D">
      <w:pPr>
        <w:autoSpaceDE w:val="0"/>
        <w:autoSpaceDN w:val="0"/>
        <w:adjustRightInd w:val="0"/>
        <w:jc w:val="both"/>
        <w:rPr>
          <w:rFonts w:ascii="Book Antiqua" w:hAnsi="Book Antiqua"/>
        </w:rPr>
      </w:pPr>
      <w:r w:rsidRPr="00E3232D">
        <w:rPr>
          <w:rFonts w:ascii="Book Antiqua" w:hAnsi="Book Antiqua"/>
        </w:rPr>
        <w:t>An inverter is used in a system where AC power output is needed. Per the data collected the selected inverter is IVT Invertech, with efficiency between 85-90%, the total wattage of the loads is 12955W, with a system voltage of 12V and maximum amperes continuous of 1070A. The rated power of the selected inverter is 5000W and it has a frequency of 60HZ. Table 6 gives the specification of the selected inverter.</w:t>
      </w:r>
    </w:p>
    <w:p w14:paraId="5B660364" w14:textId="77777777" w:rsidR="002319C6" w:rsidRPr="00E3232D" w:rsidRDefault="002319C6" w:rsidP="002319C6">
      <w:pPr>
        <w:autoSpaceDE w:val="0"/>
        <w:autoSpaceDN w:val="0"/>
        <w:adjustRightInd w:val="0"/>
        <w:rPr>
          <w:rFonts w:ascii="Book Antiqua" w:hAnsi="Book Antiqua"/>
          <w:b/>
        </w:rPr>
      </w:pPr>
      <w:r w:rsidRPr="00E3232D">
        <w:rPr>
          <w:rFonts w:ascii="Book Antiqua" w:hAnsi="Book Antiqua"/>
          <w:b/>
        </w:rPr>
        <w:t>Table 6: selected inverter specification</w:t>
      </w:r>
    </w:p>
    <w:tbl>
      <w:tblPr>
        <w:tblW w:w="0" w:type="auto"/>
        <w:tblBorders>
          <w:top w:val="single" w:sz="8" w:space="0" w:color="000000"/>
          <w:bottom w:val="single" w:sz="8" w:space="0" w:color="000000"/>
        </w:tblBorders>
        <w:tblLook w:val="04A0" w:firstRow="1" w:lastRow="0" w:firstColumn="1" w:lastColumn="0" w:noHBand="0" w:noVBand="1"/>
      </w:tblPr>
      <w:tblGrid>
        <w:gridCol w:w="2580"/>
        <w:gridCol w:w="1429"/>
      </w:tblGrid>
      <w:tr w:rsidR="002319C6" w:rsidRPr="00D12E59" w14:paraId="6267738B" w14:textId="77777777" w:rsidTr="00B80C42">
        <w:tc>
          <w:tcPr>
            <w:tcW w:w="2700" w:type="dxa"/>
            <w:shd w:val="clear" w:color="auto" w:fill="auto"/>
          </w:tcPr>
          <w:p w14:paraId="739CF8EE"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Manufacture</w:t>
            </w:r>
          </w:p>
        </w:tc>
        <w:tc>
          <w:tcPr>
            <w:tcW w:w="1458" w:type="dxa"/>
            <w:shd w:val="clear" w:color="auto" w:fill="auto"/>
          </w:tcPr>
          <w:p w14:paraId="6806A7FD"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IVT Invertech</w:t>
            </w:r>
          </w:p>
        </w:tc>
      </w:tr>
      <w:tr w:rsidR="002319C6" w:rsidRPr="00D12E59" w14:paraId="2C0C7254" w14:textId="77777777" w:rsidTr="00B80C42">
        <w:tc>
          <w:tcPr>
            <w:tcW w:w="2700" w:type="dxa"/>
            <w:shd w:val="clear" w:color="auto" w:fill="auto"/>
          </w:tcPr>
          <w:p w14:paraId="35C88525"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Model</w:t>
            </w:r>
          </w:p>
        </w:tc>
        <w:tc>
          <w:tcPr>
            <w:tcW w:w="1458" w:type="dxa"/>
            <w:shd w:val="clear" w:color="auto" w:fill="auto"/>
          </w:tcPr>
          <w:p w14:paraId="68A8BAA0"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IVT 5000W</w:t>
            </w:r>
          </w:p>
        </w:tc>
      </w:tr>
      <w:tr w:rsidR="002319C6" w:rsidRPr="00D12E59" w14:paraId="20D8E308" w14:textId="77777777" w:rsidTr="00B80C42">
        <w:tc>
          <w:tcPr>
            <w:tcW w:w="2700" w:type="dxa"/>
            <w:shd w:val="clear" w:color="auto" w:fill="auto"/>
          </w:tcPr>
          <w:p w14:paraId="748AD110"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Input voltage</w:t>
            </w:r>
          </w:p>
        </w:tc>
        <w:tc>
          <w:tcPr>
            <w:tcW w:w="1458" w:type="dxa"/>
            <w:shd w:val="clear" w:color="auto" w:fill="auto"/>
          </w:tcPr>
          <w:p w14:paraId="0C8336C5"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Dc 10 V – 16 V</w:t>
            </w:r>
          </w:p>
        </w:tc>
      </w:tr>
      <w:tr w:rsidR="002319C6" w:rsidRPr="00D12E59" w14:paraId="342D2742" w14:textId="77777777" w:rsidTr="00B80C42">
        <w:tc>
          <w:tcPr>
            <w:tcW w:w="2700" w:type="dxa"/>
            <w:shd w:val="clear" w:color="auto" w:fill="auto"/>
          </w:tcPr>
          <w:p w14:paraId="3B8A7DFA"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Output voltage</w:t>
            </w:r>
          </w:p>
        </w:tc>
        <w:tc>
          <w:tcPr>
            <w:tcW w:w="1458" w:type="dxa"/>
            <w:shd w:val="clear" w:color="auto" w:fill="auto"/>
          </w:tcPr>
          <w:p w14:paraId="4B0FB204"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100V</w:t>
            </w:r>
          </w:p>
        </w:tc>
      </w:tr>
      <w:tr w:rsidR="002319C6" w:rsidRPr="00D12E59" w14:paraId="79681108" w14:textId="77777777" w:rsidTr="00B80C42">
        <w:tc>
          <w:tcPr>
            <w:tcW w:w="2700" w:type="dxa"/>
            <w:shd w:val="clear" w:color="auto" w:fill="auto"/>
          </w:tcPr>
          <w:p w14:paraId="4347E6B8"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Rated power</w:t>
            </w:r>
          </w:p>
        </w:tc>
        <w:tc>
          <w:tcPr>
            <w:tcW w:w="1458" w:type="dxa"/>
            <w:shd w:val="clear" w:color="auto" w:fill="auto"/>
          </w:tcPr>
          <w:p w14:paraId="386AEF38"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5000W</w:t>
            </w:r>
          </w:p>
        </w:tc>
      </w:tr>
      <w:tr w:rsidR="002319C6" w:rsidRPr="00D12E59" w14:paraId="59C6A91C" w14:textId="77777777" w:rsidTr="00B80C42">
        <w:tc>
          <w:tcPr>
            <w:tcW w:w="2700" w:type="dxa"/>
            <w:shd w:val="clear" w:color="auto" w:fill="auto"/>
          </w:tcPr>
          <w:p w14:paraId="28624A02"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Output wave form</w:t>
            </w:r>
          </w:p>
        </w:tc>
        <w:tc>
          <w:tcPr>
            <w:tcW w:w="1458" w:type="dxa"/>
            <w:shd w:val="clear" w:color="auto" w:fill="auto"/>
          </w:tcPr>
          <w:p w14:paraId="5DBDE9FE"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Modified sine wave</w:t>
            </w:r>
          </w:p>
        </w:tc>
      </w:tr>
      <w:tr w:rsidR="002319C6" w:rsidRPr="00D12E59" w14:paraId="00346588" w14:textId="77777777" w:rsidTr="00B80C42">
        <w:tc>
          <w:tcPr>
            <w:tcW w:w="2700" w:type="dxa"/>
            <w:shd w:val="clear" w:color="auto" w:fill="auto"/>
          </w:tcPr>
          <w:p w14:paraId="35529055"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Output frequency</w:t>
            </w:r>
          </w:p>
        </w:tc>
        <w:tc>
          <w:tcPr>
            <w:tcW w:w="1458" w:type="dxa"/>
            <w:shd w:val="clear" w:color="auto" w:fill="auto"/>
          </w:tcPr>
          <w:p w14:paraId="3B77DBB4"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60Hz</w:t>
            </w:r>
          </w:p>
        </w:tc>
      </w:tr>
    </w:tbl>
    <w:p w14:paraId="7527BD6A" w14:textId="77777777" w:rsidR="002319C6" w:rsidRPr="00E3232D" w:rsidRDefault="002319C6" w:rsidP="002319C6">
      <w:pPr>
        <w:rPr>
          <w:rFonts w:ascii="Book Antiqua" w:hAnsi="Book Antiqua"/>
          <w:b/>
        </w:rPr>
      </w:pPr>
    </w:p>
    <w:tbl>
      <w:tblPr>
        <w:tblpPr w:leftFromText="180" w:rightFromText="180" w:vertAnchor="page" w:horzAnchor="margin" w:tblpY="3256"/>
        <w:tblW w:w="0" w:type="auto"/>
        <w:tblBorders>
          <w:top w:val="single" w:sz="8" w:space="0" w:color="000000"/>
          <w:bottom w:val="single" w:sz="8" w:space="0" w:color="000000"/>
        </w:tblBorders>
        <w:tblLook w:val="04A0" w:firstRow="1" w:lastRow="0" w:firstColumn="1" w:lastColumn="0" w:noHBand="0" w:noVBand="1"/>
      </w:tblPr>
      <w:tblGrid>
        <w:gridCol w:w="2580"/>
        <w:gridCol w:w="1429"/>
      </w:tblGrid>
      <w:tr w:rsidR="002319C6" w:rsidRPr="00D12E59" w14:paraId="714E0924" w14:textId="77777777" w:rsidTr="00761254">
        <w:tc>
          <w:tcPr>
            <w:tcW w:w="2580" w:type="dxa"/>
            <w:shd w:val="clear" w:color="auto" w:fill="auto"/>
          </w:tcPr>
          <w:p w14:paraId="109A6F64"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Standby current</w:t>
            </w:r>
          </w:p>
        </w:tc>
        <w:tc>
          <w:tcPr>
            <w:tcW w:w="1429" w:type="dxa"/>
            <w:shd w:val="clear" w:color="auto" w:fill="auto"/>
          </w:tcPr>
          <w:p w14:paraId="0FB01623"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0.6A</w:t>
            </w:r>
          </w:p>
        </w:tc>
      </w:tr>
      <w:tr w:rsidR="002319C6" w:rsidRPr="00D12E59" w14:paraId="7F0367F2" w14:textId="77777777" w:rsidTr="00761254">
        <w:tc>
          <w:tcPr>
            <w:tcW w:w="2580" w:type="dxa"/>
            <w:shd w:val="clear" w:color="auto" w:fill="auto"/>
          </w:tcPr>
          <w:p w14:paraId="59C18E68"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Efficiency</w:t>
            </w:r>
          </w:p>
        </w:tc>
        <w:tc>
          <w:tcPr>
            <w:tcW w:w="1429" w:type="dxa"/>
            <w:shd w:val="clear" w:color="auto" w:fill="auto"/>
          </w:tcPr>
          <w:p w14:paraId="71810E02"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85-90%</w:t>
            </w:r>
          </w:p>
        </w:tc>
      </w:tr>
      <w:tr w:rsidR="002319C6" w:rsidRPr="00D12E59" w14:paraId="623ACB7C" w14:textId="77777777" w:rsidTr="00761254">
        <w:tc>
          <w:tcPr>
            <w:tcW w:w="2580" w:type="dxa"/>
            <w:shd w:val="clear" w:color="auto" w:fill="auto"/>
          </w:tcPr>
          <w:p w14:paraId="40B7AD9E"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Size</w:t>
            </w:r>
          </w:p>
        </w:tc>
        <w:tc>
          <w:tcPr>
            <w:tcW w:w="1429" w:type="dxa"/>
            <w:shd w:val="clear" w:color="auto" w:fill="auto"/>
          </w:tcPr>
          <w:p w14:paraId="618C663B"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500</w:t>
            </w:r>
            <w:r w:rsidRPr="00D12E59">
              <w:rPr>
                <w:rFonts w:ascii="Book Antiqua" w:hAnsi="Book Antiqua"/>
                <w:color w:val="000000"/>
                <w:vertAlign w:val="superscript"/>
              </w:rPr>
              <w:t xml:space="preserve"> </w:t>
            </w:r>
            <w:r w:rsidRPr="00D12E59">
              <w:rPr>
                <w:rFonts w:ascii="Book Antiqua" w:hAnsi="Book Antiqua"/>
                <w:color w:val="000000"/>
              </w:rPr>
              <w:t>×210</w:t>
            </w:r>
            <w:r w:rsidRPr="00D12E59">
              <w:rPr>
                <w:rFonts w:ascii="Book Antiqua" w:hAnsi="Book Antiqua"/>
                <w:color w:val="000000"/>
                <w:vertAlign w:val="superscript"/>
              </w:rPr>
              <w:t xml:space="preserve">  </w:t>
            </w:r>
            <w:r w:rsidRPr="00D12E59">
              <w:rPr>
                <w:rFonts w:ascii="Book Antiqua" w:hAnsi="Book Antiqua"/>
                <w:color w:val="000000"/>
              </w:rPr>
              <w:t>×159mm</w:t>
            </w:r>
          </w:p>
        </w:tc>
      </w:tr>
      <w:tr w:rsidR="002319C6" w:rsidRPr="00D12E59" w14:paraId="2F0AB905" w14:textId="77777777" w:rsidTr="00761254">
        <w:tc>
          <w:tcPr>
            <w:tcW w:w="2580" w:type="dxa"/>
            <w:shd w:val="clear" w:color="auto" w:fill="auto"/>
          </w:tcPr>
          <w:p w14:paraId="049D3D06"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Weight</w:t>
            </w:r>
          </w:p>
        </w:tc>
        <w:tc>
          <w:tcPr>
            <w:tcW w:w="1429" w:type="dxa"/>
            <w:shd w:val="clear" w:color="auto" w:fill="auto"/>
          </w:tcPr>
          <w:p w14:paraId="1F3AD504"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11.7 Kgs</w:t>
            </w:r>
          </w:p>
        </w:tc>
      </w:tr>
      <w:tr w:rsidR="002319C6" w:rsidRPr="00D12E59" w14:paraId="048CEF43" w14:textId="77777777" w:rsidTr="00761254">
        <w:tc>
          <w:tcPr>
            <w:tcW w:w="2580" w:type="dxa"/>
            <w:shd w:val="clear" w:color="auto" w:fill="auto"/>
          </w:tcPr>
          <w:p w14:paraId="4968C1FE"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Surge output power</w:t>
            </w:r>
          </w:p>
        </w:tc>
        <w:tc>
          <w:tcPr>
            <w:tcW w:w="1429" w:type="dxa"/>
            <w:shd w:val="clear" w:color="auto" w:fill="auto"/>
          </w:tcPr>
          <w:p w14:paraId="52E70A8F"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10000W</w:t>
            </w:r>
          </w:p>
        </w:tc>
      </w:tr>
      <w:tr w:rsidR="002319C6" w:rsidRPr="00D12E59" w14:paraId="1DD47B5A" w14:textId="77777777" w:rsidTr="00761254">
        <w:tc>
          <w:tcPr>
            <w:tcW w:w="2580" w:type="dxa"/>
            <w:shd w:val="clear" w:color="auto" w:fill="auto"/>
          </w:tcPr>
          <w:p w14:paraId="2DC3929E" w14:textId="77777777" w:rsidR="002319C6" w:rsidRPr="00D12E59" w:rsidRDefault="002319C6" w:rsidP="00761254">
            <w:pPr>
              <w:pStyle w:val="NoSpacing"/>
              <w:rPr>
                <w:rFonts w:ascii="Book Antiqua" w:hAnsi="Book Antiqua"/>
                <w:b/>
                <w:bCs/>
                <w:color w:val="000000"/>
              </w:rPr>
            </w:pPr>
            <w:r w:rsidRPr="00D12E59">
              <w:rPr>
                <w:rFonts w:ascii="Book Antiqua" w:hAnsi="Book Antiqua"/>
                <w:b/>
                <w:bCs/>
                <w:color w:val="000000"/>
              </w:rPr>
              <w:t>Continuous output power</w:t>
            </w:r>
          </w:p>
        </w:tc>
        <w:tc>
          <w:tcPr>
            <w:tcW w:w="1429" w:type="dxa"/>
            <w:shd w:val="clear" w:color="auto" w:fill="auto"/>
          </w:tcPr>
          <w:p w14:paraId="42DC707E" w14:textId="77777777" w:rsidR="002319C6" w:rsidRPr="00D12E59" w:rsidRDefault="002319C6" w:rsidP="00761254">
            <w:pPr>
              <w:pStyle w:val="NoSpacing"/>
              <w:jc w:val="center"/>
              <w:rPr>
                <w:rFonts w:ascii="Book Antiqua" w:hAnsi="Book Antiqua"/>
                <w:color w:val="000000"/>
              </w:rPr>
            </w:pPr>
            <w:r w:rsidRPr="00D12E59">
              <w:rPr>
                <w:rFonts w:ascii="Book Antiqua" w:hAnsi="Book Antiqua"/>
                <w:color w:val="000000"/>
              </w:rPr>
              <w:t>5000W</w:t>
            </w:r>
          </w:p>
        </w:tc>
      </w:tr>
    </w:tbl>
    <w:p w14:paraId="7B8CDC8C" w14:textId="77777777" w:rsidR="002319C6" w:rsidRPr="00E3232D" w:rsidRDefault="002319C6" w:rsidP="002319C6">
      <w:pPr>
        <w:autoSpaceDE w:val="0"/>
        <w:autoSpaceDN w:val="0"/>
        <w:adjustRightInd w:val="0"/>
        <w:rPr>
          <w:rFonts w:ascii="Book Antiqua" w:hAnsi="Book Antiqua"/>
          <w:b/>
          <w:bCs/>
        </w:rPr>
      </w:pPr>
      <w:r w:rsidRPr="00E3232D">
        <w:rPr>
          <w:rFonts w:ascii="Book Antiqua" w:hAnsi="Book Antiqua"/>
          <w:b/>
          <w:bCs/>
        </w:rPr>
        <w:t>Controller sizing</w:t>
      </w:r>
    </w:p>
    <w:p w14:paraId="65F5D12E" w14:textId="77777777" w:rsidR="00761254" w:rsidRDefault="00761254" w:rsidP="002319C6">
      <w:pPr>
        <w:autoSpaceDE w:val="0"/>
        <w:autoSpaceDN w:val="0"/>
        <w:adjustRightInd w:val="0"/>
        <w:rPr>
          <w:rFonts w:ascii="Book Antiqua" w:hAnsi="Book Antiqua"/>
        </w:rPr>
      </w:pPr>
    </w:p>
    <w:p w14:paraId="2266C853" w14:textId="77777777" w:rsidR="002319C6" w:rsidRPr="00E3232D" w:rsidRDefault="002319C6" w:rsidP="00D12C4C">
      <w:pPr>
        <w:autoSpaceDE w:val="0"/>
        <w:autoSpaceDN w:val="0"/>
        <w:adjustRightInd w:val="0"/>
        <w:jc w:val="both"/>
        <w:rPr>
          <w:rFonts w:ascii="Book Antiqua" w:hAnsi="Book Antiqua"/>
        </w:rPr>
      </w:pPr>
      <w:r w:rsidRPr="00E3232D">
        <w:rPr>
          <w:rFonts w:ascii="Book Antiqua" w:hAnsi="Book Antiqua"/>
        </w:rPr>
        <w:t>A charge controller will be installed between the PV array and the batteries to regulate the power supply from the power source and to protect the batteries from too low discharge. The selected controller is FLEXmax with a</w:t>
      </w:r>
      <w:r w:rsidRPr="00E3232D">
        <w:rPr>
          <w:rFonts w:ascii="Book Antiqua" w:hAnsi="Book Antiqua"/>
          <w:bCs/>
        </w:rPr>
        <w:t xml:space="preserve"> maximum output current</w:t>
      </w:r>
      <w:r w:rsidRPr="00E3232D">
        <w:rPr>
          <w:rFonts w:ascii="Book Antiqua" w:hAnsi="Book Antiqua"/>
        </w:rPr>
        <w:t xml:space="preserve"> of 80A and an </w:t>
      </w:r>
      <w:r w:rsidRPr="00E3232D">
        <w:rPr>
          <w:rFonts w:ascii="Book Antiqua" w:hAnsi="Book Antiqua"/>
          <w:bCs/>
        </w:rPr>
        <w:t>Open circuit voltage (Voc) of 150V.</w:t>
      </w:r>
      <w:r w:rsidRPr="00E3232D">
        <w:rPr>
          <w:rFonts w:ascii="Book Antiqua" w:hAnsi="Book Antiqua"/>
        </w:rPr>
        <w:t xml:space="preserve"> The controller has an efficiency of 97.5%.  The charge controller specifications are given in table 7.</w:t>
      </w:r>
    </w:p>
    <w:p w14:paraId="5C1FE03B" w14:textId="77777777" w:rsidR="002319C6" w:rsidRPr="00E3232D" w:rsidRDefault="002319C6" w:rsidP="002319C6">
      <w:pPr>
        <w:autoSpaceDE w:val="0"/>
        <w:autoSpaceDN w:val="0"/>
        <w:adjustRightInd w:val="0"/>
        <w:rPr>
          <w:rFonts w:ascii="Book Antiqua" w:hAnsi="Book Antiqua"/>
          <w:b/>
          <w:bCs/>
        </w:rPr>
      </w:pPr>
      <w:r w:rsidRPr="00E3232D">
        <w:rPr>
          <w:rFonts w:ascii="Book Antiqua" w:hAnsi="Book Antiqua"/>
          <w:b/>
          <w:bCs/>
        </w:rPr>
        <w:t>Table 7: Controller specification</w:t>
      </w:r>
    </w:p>
    <w:tbl>
      <w:tblPr>
        <w:tblW w:w="0" w:type="auto"/>
        <w:tblBorders>
          <w:top w:val="single" w:sz="8" w:space="0" w:color="000000"/>
          <w:bottom w:val="single" w:sz="8" w:space="0" w:color="000000"/>
        </w:tblBorders>
        <w:tblLook w:val="04A0" w:firstRow="1" w:lastRow="0" w:firstColumn="1" w:lastColumn="0" w:noHBand="0" w:noVBand="1"/>
      </w:tblPr>
      <w:tblGrid>
        <w:gridCol w:w="2015"/>
        <w:gridCol w:w="1994"/>
      </w:tblGrid>
      <w:tr w:rsidR="002319C6" w:rsidRPr="00D12E59" w14:paraId="668F2581" w14:textId="77777777" w:rsidTr="00B80C42">
        <w:tc>
          <w:tcPr>
            <w:tcW w:w="2268" w:type="dxa"/>
            <w:shd w:val="clear" w:color="auto" w:fill="auto"/>
          </w:tcPr>
          <w:p w14:paraId="4DEA2D98" w14:textId="77777777" w:rsidR="002319C6" w:rsidRPr="00D12E59" w:rsidRDefault="002319C6" w:rsidP="00761254">
            <w:pPr>
              <w:autoSpaceDE w:val="0"/>
              <w:autoSpaceDN w:val="0"/>
              <w:adjustRightInd w:val="0"/>
              <w:spacing w:after="0" w:line="240" w:lineRule="auto"/>
              <w:rPr>
                <w:rFonts w:ascii="Book Antiqua" w:hAnsi="Book Antiqua"/>
                <w:b/>
                <w:bCs/>
                <w:color w:val="000000"/>
              </w:rPr>
            </w:pPr>
            <w:r w:rsidRPr="00D12E59">
              <w:rPr>
                <w:rFonts w:ascii="Book Antiqua" w:hAnsi="Book Antiqua"/>
                <w:b/>
                <w:bCs/>
                <w:color w:val="000000"/>
              </w:rPr>
              <w:t>Manufacture</w:t>
            </w:r>
          </w:p>
        </w:tc>
        <w:tc>
          <w:tcPr>
            <w:tcW w:w="2250" w:type="dxa"/>
            <w:shd w:val="clear" w:color="auto" w:fill="auto"/>
          </w:tcPr>
          <w:p w14:paraId="2BE40B38" w14:textId="77777777" w:rsidR="002319C6" w:rsidRPr="00D12E59" w:rsidRDefault="002319C6" w:rsidP="00761254">
            <w:pPr>
              <w:autoSpaceDE w:val="0"/>
              <w:autoSpaceDN w:val="0"/>
              <w:adjustRightInd w:val="0"/>
              <w:spacing w:after="0" w:line="240" w:lineRule="auto"/>
              <w:rPr>
                <w:rFonts w:ascii="Book Antiqua" w:hAnsi="Book Antiqua"/>
                <w:b/>
                <w:bCs/>
                <w:color w:val="000000"/>
              </w:rPr>
            </w:pPr>
            <w:r w:rsidRPr="00D12E59">
              <w:rPr>
                <w:rFonts w:ascii="Book Antiqua" w:hAnsi="Book Antiqua"/>
                <w:b/>
                <w:bCs/>
                <w:color w:val="000000"/>
              </w:rPr>
              <w:t xml:space="preserve">Outback power technologies  </w:t>
            </w:r>
          </w:p>
        </w:tc>
      </w:tr>
      <w:tr w:rsidR="002319C6" w:rsidRPr="00D12E59" w14:paraId="4E502572" w14:textId="77777777" w:rsidTr="00B80C42">
        <w:tc>
          <w:tcPr>
            <w:tcW w:w="2268" w:type="dxa"/>
            <w:shd w:val="clear" w:color="auto" w:fill="auto"/>
          </w:tcPr>
          <w:p w14:paraId="1C9EAE9E" w14:textId="77777777" w:rsidR="002319C6" w:rsidRPr="00D12E59" w:rsidRDefault="002319C6" w:rsidP="00761254">
            <w:pPr>
              <w:autoSpaceDE w:val="0"/>
              <w:autoSpaceDN w:val="0"/>
              <w:adjustRightInd w:val="0"/>
              <w:spacing w:after="0" w:line="240" w:lineRule="auto"/>
              <w:rPr>
                <w:rFonts w:ascii="Book Antiqua" w:hAnsi="Book Antiqua"/>
                <w:b/>
                <w:bCs/>
                <w:color w:val="000000"/>
              </w:rPr>
            </w:pPr>
            <w:r w:rsidRPr="00D12E59">
              <w:rPr>
                <w:rFonts w:ascii="Book Antiqua" w:hAnsi="Book Antiqua"/>
                <w:b/>
                <w:bCs/>
                <w:color w:val="000000"/>
              </w:rPr>
              <w:t>Model</w:t>
            </w:r>
          </w:p>
        </w:tc>
        <w:tc>
          <w:tcPr>
            <w:tcW w:w="2250" w:type="dxa"/>
            <w:shd w:val="clear" w:color="auto" w:fill="auto"/>
          </w:tcPr>
          <w:p w14:paraId="0E9D9454" w14:textId="77777777" w:rsidR="002319C6" w:rsidRPr="00D12E59" w:rsidRDefault="002319C6" w:rsidP="00761254">
            <w:pPr>
              <w:autoSpaceDE w:val="0"/>
              <w:autoSpaceDN w:val="0"/>
              <w:adjustRightInd w:val="0"/>
              <w:spacing w:after="0" w:line="240" w:lineRule="auto"/>
              <w:rPr>
                <w:rFonts w:ascii="Book Antiqua" w:hAnsi="Book Antiqua"/>
                <w:bCs/>
                <w:color w:val="000000"/>
              </w:rPr>
            </w:pPr>
            <w:r w:rsidRPr="00D12E59">
              <w:rPr>
                <w:rFonts w:ascii="Book Antiqua" w:hAnsi="Book Antiqua"/>
                <w:bCs/>
                <w:color w:val="000000"/>
              </w:rPr>
              <w:t>FLEXmax 80A</w:t>
            </w:r>
          </w:p>
        </w:tc>
      </w:tr>
      <w:tr w:rsidR="002319C6" w:rsidRPr="00D12E59" w14:paraId="6154012D" w14:textId="77777777" w:rsidTr="00B80C42">
        <w:tc>
          <w:tcPr>
            <w:tcW w:w="2268" w:type="dxa"/>
            <w:shd w:val="clear" w:color="auto" w:fill="auto"/>
          </w:tcPr>
          <w:p w14:paraId="73B95277" w14:textId="77777777" w:rsidR="002319C6" w:rsidRPr="00D12E59" w:rsidRDefault="002319C6" w:rsidP="00761254">
            <w:pPr>
              <w:autoSpaceDE w:val="0"/>
              <w:autoSpaceDN w:val="0"/>
              <w:adjustRightInd w:val="0"/>
              <w:spacing w:after="0" w:line="240" w:lineRule="auto"/>
              <w:rPr>
                <w:rFonts w:ascii="Book Antiqua" w:hAnsi="Book Antiqua"/>
                <w:b/>
                <w:bCs/>
                <w:color w:val="000000"/>
              </w:rPr>
            </w:pPr>
            <w:r w:rsidRPr="00D12E59">
              <w:rPr>
                <w:rFonts w:ascii="Book Antiqua" w:hAnsi="Book Antiqua"/>
                <w:b/>
                <w:bCs/>
                <w:color w:val="000000"/>
              </w:rPr>
              <w:t>Maximum output current</w:t>
            </w:r>
          </w:p>
        </w:tc>
        <w:tc>
          <w:tcPr>
            <w:tcW w:w="2250" w:type="dxa"/>
            <w:shd w:val="clear" w:color="auto" w:fill="auto"/>
          </w:tcPr>
          <w:p w14:paraId="279D8715" w14:textId="77777777" w:rsidR="002319C6" w:rsidRPr="00D12E59" w:rsidRDefault="002319C6" w:rsidP="00761254">
            <w:pPr>
              <w:autoSpaceDE w:val="0"/>
              <w:autoSpaceDN w:val="0"/>
              <w:adjustRightInd w:val="0"/>
              <w:spacing w:after="0" w:line="240" w:lineRule="auto"/>
              <w:rPr>
                <w:rFonts w:ascii="Book Antiqua" w:hAnsi="Book Antiqua"/>
                <w:bCs/>
                <w:color w:val="000000"/>
              </w:rPr>
            </w:pPr>
            <w:r w:rsidRPr="00D12E59">
              <w:rPr>
                <w:rFonts w:ascii="Book Antiqua" w:hAnsi="Book Antiqua"/>
                <w:bCs/>
                <w:color w:val="000000"/>
              </w:rPr>
              <w:t>80A @ 40</w:t>
            </w:r>
            <w:r w:rsidRPr="00D12E59">
              <w:rPr>
                <w:rFonts w:ascii="Book Antiqua" w:hAnsi="Book Antiqua"/>
                <w:bCs/>
                <w:color w:val="000000"/>
                <w:vertAlign w:val="superscript"/>
              </w:rPr>
              <w:t>O</w:t>
            </w:r>
            <w:r w:rsidRPr="00D12E59">
              <w:rPr>
                <w:rFonts w:ascii="Book Antiqua" w:hAnsi="Book Antiqua"/>
                <w:bCs/>
                <w:color w:val="000000"/>
              </w:rPr>
              <w:t xml:space="preserve"> C</w:t>
            </w:r>
          </w:p>
        </w:tc>
      </w:tr>
      <w:tr w:rsidR="002319C6" w:rsidRPr="00D12E59" w14:paraId="0CF056E1" w14:textId="77777777" w:rsidTr="00B80C42">
        <w:tc>
          <w:tcPr>
            <w:tcW w:w="2268" w:type="dxa"/>
            <w:shd w:val="clear" w:color="auto" w:fill="auto"/>
          </w:tcPr>
          <w:p w14:paraId="6EBDFF4D" w14:textId="77777777" w:rsidR="002319C6" w:rsidRPr="00D12E59" w:rsidRDefault="002319C6" w:rsidP="00761254">
            <w:pPr>
              <w:autoSpaceDE w:val="0"/>
              <w:autoSpaceDN w:val="0"/>
              <w:adjustRightInd w:val="0"/>
              <w:spacing w:after="0" w:line="240" w:lineRule="auto"/>
              <w:rPr>
                <w:rFonts w:ascii="Book Antiqua" w:hAnsi="Book Antiqua"/>
                <w:b/>
                <w:bCs/>
                <w:color w:val="000000"/>
              </w:rPr>
            </w:pPr>
            <w:r w:rsidRPr="00D12E59">
              <w:rPr>
                <w:rFonts w:ascii="Book Antiqua" w:hAnsi="Book Antiqua"/>
                <w:b/>
                <w:bCs/>
                <w:color w:val="000000"/>
              </w:rPr>
              <w:t>Open circuit voltage (Voc)</w:t>
            </w:r>
          </w:p>
        </w:tc>
        <w:tc>
          <w:tcPr>
            <w:tcW w:w="2250" w:type="dxa"/>
            <w:shd w:val="clear" w:color="auto" w:fill="auto"/>
          </w:tcPr>
          <w:p w14:paraId="09F812A7" w14:textId="77777777" w:rsidR="002319C6" w:rsidRPr="00D12E59" w:rsidRDefault="002319C6" w:rsidP="00761254">
            <w:pPr>
              <w:autoSpaceDE w:val="0"/>
              <w:autoSpaceDN w:val="0"/>
              <w:adjustRightInd w:val="0"/>
              <w:spacing w:after="0" w:line="240" w:lineRule="auto"/>
              <w:rPr>
                <w:rFonts w:ascii="Book Antiqua" w:hAnsi="Book Antiqua"/>
                <w:bCs/>
                <w:color w:val="000000"/>
              </w:rPr>
            </w:pPr>
            <w:r w:rsidRPr="00D12E59">
              <w:rPr>
                <w:rFonts w:ascii="Book Antiqua" w:hAnsi="Book Antiqua"/>
                <w:bCs/>
                <w:color w:val="000000"/>
              </w:rPr>
              <w:t>150V</w:t>
            </w:r>
          </w:p>
        </w:tc>
      </w:tr>
      <w:tr w:rsidR="002319C6" w:rsidRPr="00D12E59" w14:paraId="6B20CB16" w14:textId="77777777" w:rsidTr="00B80C42">
        <w:tc>
          <w:tcPr>
            <w:tcW w:w="2268" w:type="dxa"/>
            <w:shd w:val="clear" w:color="auto" w:fill="auto"/>
          </w:tcPr>
          <w:p w14:paraId="7B41B0C7" w14:textId="77777777" w:rsidR="002319C6" w:rsidRPr="00D12E59" w:rsidRDefault="002319C6" w:rsidP="00761254">
            <w:pPr>
              <w:autoSpaceDE w:val="0"/>
              <w:autoSpaceDN w:val="0"/>
              <w:adjustRightInd w:val="0"/>
              <w:spacing w:after="0" w:line="240" w:lineRule="auto"/>
              <w:rPr>
                <w:rFonts w:ascii="Book Antiqua" w:hAnsi="Book Antiqua"/>
                <w:b/>
                <w:bCs/>
                <w:color w:val="000000"/>
              </w:rPr>
            </w:pPr>
            <w:r w:rsidRPr="00D12E59">
              <w:rPr>
                <w:rFonts w:ascii="Book Antiqua" w:hAnsi="Book Antiqua"/>
                <w:b/>
                <w:bCs/>
                <w:color w:val="000000"/>
              </w:rPr>
              <w:t>Power conversion efficiency</w:t>
            </w:r>
          </w:p>
        </w:tc>
        <w:tc>
          <w:tcPr>
            <w:tcW w:w="2250" w:type="dxa"/>
            <w:shd w:val="clear" w:color="auto" w:fill="auto"/>
          </w:tcPr>
          <w:p w14:paraId="2227C798" w14:textId="77777777" w:rsidR="002319C6" w:rsidRPr="00D12E59" w:rsidRDefault="002319C6" w:rsidP="00761254">
            <w:pPr>
              <w:autoSpaceDE w:val="0"/>
              <w:autoSpaceDN w:val="0"/>
              <w:adjustRightInd w:val="0"/>
              <w:spacing w:after="0" w:line="240" w:lineRule="auto"/>
              <w:rPr>
                <w:rFonts w:ascii="Book Antiqua" w:hAnsi="Book Antiqua"/>
                <w:bCs/>
                <w:color w:val="000000"/>
              </w:rPr>
            </w:pPr>
            <w:r w:rsidRPr="00D12E59">
              <w:rPr>
                <w:rFonts w:ascii="Book Antiqua" w:hAnsi="Book Antiqua"/>
                <w:bCs/>
                <w:color w:val="000000"/>
              </w:rPr>
              <w:t>97.5%</w:t>
            </w:r>
          </w:p>
        </w:tc>
      </w:tr>
      <w:tr w:rsidR="002319C6" w:rsidRPr="00D12E59" w14:paraId="3F76766B" w14:textId="77777777" w:rsidTr="00B80C42">
        <w:tc>
          <w:tcPr>
            <w:tcW w:w="2268" w:type="dxa"/>
            <w:shd w:val="clear" w:color="auto" w:fill="auto"/>
          </w:tcPr>
          <w:p w14:paraId="641C0606" w14:textId="77777777" w:rsidR="002319C6" w:rsidRPr="00D12E59" w:rsidRDefault="002319C6" w:rsidP="00761254">
            <w:pPr>
              <w:autoSpaceDE w:val="0"/>
              <w:autoSpaceDN w:val="0"/>
              <w:adjustRightInd w:val="0"/>
              <w:spacing w:after="0" w:line="240" w:lineRule="auto"/>
              <w:rPr>
                <w:rFonts w:ascii="Book Antiqua" w:hAnsi="Book Antiqua"/>
                <w:b/>
                <w:bCs/>
                <w:color w:val="000000"/>
              </w:rPr>
            </w:pPr>
            <w:r w:rsidRPr="00D12E59">
              <w:rPr>
                <w:rFonts w:ascii="Book Antiqua" w:hAnsi="Book Antiqua"/>
                <w:b/>
                <w:bCs/>
                <w:color w:val="000000"/>
              </w:rPr>
              <w:t>weight</w:t>
            </w:r>
          </w:p>
        </w:tc>
        <w:tc>
          <w:tcPr>
            <w:tcW w:w="2250" w:type="dxa"/>
            <w:shd w:val="clear" w:color="auto" w:fill="auto"/>
          </w:tcPr>
          <w:p w14:paraId="221FF7E9" w14:textId="77777777" w:rsidR="002319C6" w:rsidRPr="00D12E59" w:rsidRDefault="002319C6" w:rsidP="00761254">
            <w:pPr>
              <w:autoSpaceDE w:val="0"/>
              <w:autoSpaceDN w:val="0"/>
              <w:adjustRightInd w:val="0"/>
              <w:spacing w:after="0" w:line="240" w:lineRule="auto"/>
              <w:rPr>
                <w:rFonts w:ascii="Book Antiqua" w:hAnsi="Book Antiqua"/>
                <w:bCs/>
                <w:color w:val="000000"/>
              </w:rPr>
            </w:pPr>
            <w:r w:rsidRPr="00D12E59">
              <w:rPr>
                <w:rFonts w:ascii="Book Antiqua" w:hAnsi="Book Antiqua"/>
                <w:bCs/>
                <w:color w:val="000000"/>
              </w:rPr>
              <w:t>5.56kg</w:t>
            </w:r>
          </w:p>
        </w:tc>
      </w:tr>
      <w:tr w:rsidR="002319C6" w:rsidRPr="00D12E59" w14:paraId="7B38B07C" w14:textId="77777777" w:rsidTr="00B80C42">
        <w:tc>
          <w:tcPr>
            <w:tcW w:w="2268" w:type="dxa"/>
            <w:shd w:val="clear" w:color="auto" w:fill="auto"/>
          </w:tcPr>
          <w:p w14:paraId="3EA9B95E" w14:textId="77777777" w:rsidR="002319C6" w:rsidRPr="00D12E59" w:rsidRDefault="002319C6" w:rsidP="00761254">
            <w:pPr>
              <w:autoSpaceDE w:val="0"/>
              <w:autoSpaceDN w:val="0"/>
              <w:adjustRightInd w:val="0"/>
              <w:spacing w:after="0" w:line="240" w:lineRule="auto"/>
              <w:rPr>
                <w:rFonts w:ascii="Book Antiqua" w:hAnsi="Book Antiqua"/>
                <w:b/>
                <w:bCs/>
                <w:color w:val="000000"/>
              </w:rPr>
            </w:pPr>
            <w:r w:rsidRPr="00D12E59">
              <w:rPr>
                <w:rFonts w:ascii="Book Antiqua" w:hAnsi="Book Antiqua"/>
                <w:b/>
                <w:bCs/>
                <w:color w:val="000000"/>
              </w:rPr>
              <w:t>Dimension</w:t>
            </w:r>
          </w:p>
        </w:tc>
        <w:tc>
          <w:tcPr>
            <w:tcW w:w="2250" w:type="dxa"/>
            <w:shd w:val="clear" w:color="auto" w:fill="auto"/>
          </w:tcPr>
          <w:p w14:paraId="10392477" w14:textId="77777777" w:rsidR="002319C6" w:rsidRPr="00D12E59" w:rsidRDefault="002319C6" w:rsidP="00761254">
            <w:pPr>
              <w:autoSpaceDE w:val="0"/>
              <w:autoSpaceDN w:val="0"/>
              <w:adjustRightInd w:val="0"/>
              <w:spacing w:after="0" w:line="240" w:lineRule="auto"/>
              <w:rPr>
                <w:rFonts w:ascii="Book Antiqua" w:hAnsi="Book Antiqua"/>
                <w:bCs/>
                <w:color w:val="000000"/>
              </w:rPr>
            </w:pPr>
            <w:r w:rsidRPr="00D12E59">
              <w:rPr>
                <w:rFonts w:ascii="Book Antiqua" w:hAnsi="Book Antiqua"/>
                <w:bCs/>
                <w:color w:val="000000"/>
              </w:rPr>
              <w:t xml:space="preserve">41.3 </w:t>
            </w:r>
            <w:r w:rsidRPr="00D12E59">
              <w:rPr>
                <w:rFonts w:ascii="Book Antiqua" w:hAnsi="Book Antiqua"/>
                <w:bCs/>
                <w:color w:val="000000"/>
                <w:vertAlign w:val="superscript"/>
              </w:rPr>
              <w:t xml:space="preserve">x </w:t>
            </w:r>
            <w:r w:rsidRPr="00D12E59">
              <w:rPr>
                <w:rFonts w:ascii="Book Antiqua" w:hAnsi="Book Antiqua"/>
                <w:bCs/>
                <w:color w:val="000000"/>
              </w:rPr>
              <w:t xml:space="preserve">14 </w:t>
            </w:r>
            <w:r w:rsidRPr="00D12E59">
              <w:rPr>
                <w:rFonts w:ascii="Book Antiqua" w:hAnsi="Book Antiqua"/>
                <w:bCs/>
                <w:color w:val="000000"/>
                <w:vertAlign w:val="superscript"/>
              </w:rPr>
              <w:t xml:space="preserve">x </w:t>
            </w:r>
            <w:r w:rsidRPr="00D12E59">
              <w:rPr>
                <w:rFonts w:ascii="Book Antiqua" w:hAnsi="Book Antiqua"/>
                <w:bCs/>
                <w:color w:val="000000"/>
              </w:rPr>
              <w:t>10</w:t>
            </w:r>
          </w:p>
        </w:tc>
      </w:tr>
      <w:tr w:rsidR="002319C6" w:rsidRPr="00D12E59" w14:paraId="049D2869" w14:textId="77777777" w:rsidTr="00B80C42">
        <w:trPr>
          <w:trHeight w:val="584"/>
        </w:trPr>
        <w:tc>
          <w:tcPr>
            <w:tcW w:w="2268" w:type="dxa"/>
            <w:shd w:val="clear" w:color="auto" w:fill="auto"/>
          </w:tcPr>
          <w:p w14:paraId="48D77B49" w14:textId="77777777" w:rsidR="002319C6" w:rsidRPr="00D12E59" w:rsidRDefault="002319C6" w:rsidP="00761254">
            <w:pPr>
              <w:autoSpaceDE w:val="0"/>
              <w:autoSpaceDN w:val="0"/>
              <w:adjustRightInd w:val="0"/>
              <w:spacing w:after="0" w:line="240" w:lineRule="auto"/>
              <w:rPr>
                <w:rFonts w:ascii="Book Antiqua" w:hAnsi="Book Antiqua"/>
                <w:b/>
                <w:bCs/>
                <w:color w:val="000000"/>
              </w:rPr>
            </w:pPr>
            <w:r w:rsidRPr="00D12E59">
              <w:rPr>
                <w:rFonts w:ascii="Book Antiqua" w:hAnsi="Book Antiqua"/>
                <w:b/>
                <w:bCs/>
                <w:color w:val="000000"/>
              </w:rPr>
              <w:t>Maximum solar array STC Nameplates</w:t>
            </w:r>
          </w:p>
        </w:tc>
        <w:tc>
          <w:tcPr>
            <w:tcW w:w="2250" w:type="dxa"/>
            <w:shd w:val="clear" w:color="auto" w:fill="auto"/>
          </w:tcPr>
          <w:p w14:paraId="0DA16B47" w14:textId="77777777" w:rsidR="002319C6" w:rsidRPr="00D12E59" w:rsidRDefault="002319C6" w:rsidP="00761254">
            <w:pPr>
              <w:autoSpaceDE w:val="0"/>
              <w:autoSpaceDN w:val="0"/>
              <w:adjustRightInd w:val="0"/>
              <w:spacing w:after="0" w:line="240" w:lineRule="auto"/>
              <w:rPr>
                <w:rFonts w:ascii="Book Antiqua" w:hAnsi="Book Antiqua"/>
                <w:bCs/>
                <w:color w:val="000000"/>
              </w:rPr>
            </w:pPr>
            <w:r w:rsidRPr="00D12E59">
              <w:rPr>
                <w:rFonts w:ascii="Book Antiqua" w:hAnsi="Book Antiqua"/>
                <w:bCs/>
                <w:color w:val="000000"/>
              </w:rPr>
              <w:t>1250W</w:t>
            </w:r>
          </w:p>
        </w:tc>
      </w:tr>
    </w:tbl>
    <w:p w14:paraId="1C23FEAB" w14:textId="77777777" w:rsidR="002319C6" w:rsidRPr="00E3232D" w:rsidRDefault="002319C6" w:rsidP="00761254">
      <w:pPr>
        <w:autoSpaceDE w:val="0"/>
        <w:autoSpaceDN w:val="0"/>
        <w:adjustRightInd w:val="0"/>
        <w:spacing w:after="0"/>
        <w:rPr>
          <w:rFonts w:ascii="Book Antiqua" w:hAnsi="Book Antiqua"/>
          <w:bCs/>
        </w:rPr>
      </w:pPr>
    </w:p>
    <w:p w14:paraId="2BED9447" w14:textId="77777777" w:rsidR="002319C6" w:rsidRPr="00E3232D" w:rsidRDefault="002319C6" w:rsidP="002319C6">
      <w:pPr>
        <w:autoSpaceDE w:val="0"/>
        <w:autoSpaceDN w:val="0"/>
        <w:adjustRightInd w:val="0"/>
        <w:rPr>
          <w:rFonts w:ascii="Book Antiqua" w:hAnsi="Book Antiqua"/>
        </w:rPr>
      </w:pPr>
    </w:p>
    <w:p w14:paraId="545E3D6F" w14:textId="77777777" w:rsidR="002319C6" w:rsidRPr="00E3232D" w:rsidRDefault="002319C6" w:rsidP="002319C6">
      <w:pPr>
        <w:autoSpaceDE w:val="0"/>
        <w:autoSpaceDN w:val="0"/>
        <w:adjustRightInd w:val="0"/>
        <w:rPr>
          <w:rFonts w:ascii="Book Antiqua" w:hAnsi="Book Antiqua"/>
          <w:bCs/>
        </w:rPr>
      </w:pPr>
      <w:r w:rsidRPr="00E3232D">
        <w:rPr>
          <w:rFonts w:ascii="Book Antiqua" w:hAnsi="Book Antiqua"/>
          <w:b/>
          <w:bCs/>
        </w:rPr>
        <w:t>Proposed PV module mounting for GETFund hostel</w:t>
      </w:r>
    </w:p>
    <w:p w14:paraId="3E67BCC4" w14:textId="77777777" w:rsidR="002319C6" w:rsidRPr="00E3232D" w:rsidRDefault="002319C6" w:rsidP="00761254">
      <w:pPr>
        <w:autoSpaceDE w:val="0"/>
        <w:autoSpaceDN w:val="0"/>
        <w:adjustRightInd w:val="0"/>
        <w:jc w:val="both"/>
        <w:rPr>
          <w:rFonts w:ascii="Book Antiqua" w:hAnsi="Book Antiqua"/>
          <w:bCs/>
        </w:rPr>
      </w:pPr>
      <w:r w:rsidRPr="00E3232D">
        <w:rPr>
          <w:rFonts w:ascii="Book Antiqua" w:hAnsi="Book Antiqua"/>
          <w:bCs/>
        </w:rPr>
        <w:t>Based upon the data collected during the site survey the proposed mounting for GETFund hostel is ground mount. The available land for the proposed mounting was measured as 36m *42m*18*12m*12m*24m</w:t>
      </w:r>
      <w:r w:rsidRPr="00E3232D">
        <w:rPr>
          <w:rFonts w:ascii="Book Antiqua" w:hAnsi="Book Antiqua"/>
          <w:b/>
          <w:bCs/>
        </w:rPr>
        <w:t xml:space="preserve">. </w:t>
      </w:r>
      <w:r w:rsidRPr="00E3232D">
        <w:rPr>
          <w:rFonts w:ascii="Book Antiqua" w:hAnsi="Book Antiqua"/>
          <w:bCs/>
        </w:rPr>
        <w:t>Below is a picture of the proposed land for the mounting of the PV modules.</w:t>
      </w:r>
    </w:p>
    <w:p w14:paraId="2CC18532" w14:textId="77777777" w:rsidR="002319C6" w:rsidRPr="00E3232D" w:rsidRDefault="007005B1" w:rsidP="002319C6">
      <w:pPr>
        <w:rPr>
          <w:rFonts w:ascii="Book Antiqua" w:hAnsi="Book Antiqua"/>
          <w:b/>
        </w:rPr>
      </w:pPr>
      <w:r>
        <w:rPr>
          <w:rFonts w:ascii="Book Antiqua" w:hAnsi="Book Antiqua"/>
          <w:b/>
          <w:noProof/>
          <w:lang w:bidi="ar-SA"/>
        </w:rPr>
        <w:drawing>
          <wp:inline distT="0" distB="0" distL="0" distR="0" wp14:anchorId="666AB91B" wp14:editId="274C3FBD">
            <wp:extent cx="2543175" cy="2714625"/>
            <wp:effectExtent l="19050" t="0" r="9525" b="0"/>
            <wp:docPr id="120" name="Picture 1" descr="C:\Users\MA\Desktop\kwahin\Photo076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esktop\kwahin\Photo0761_001.jpg"/>
                    <pic:cNvPicPr>
                      <a:picLocks noChangeAspect="1" noChangeArrowheads="1"/>
                    </pic:cNvPicPr>
                  </pic:nvPicPr>
                  <pic:blipFill>
                    <a:blip r:embed="rId239"/>
                    <a:srcRect/>
                    <a:stretch>
                      <a:fillRect/>
                    </a:stretch>
                  </pic:blipFill>
                  <pic:spPr bwMode="auto">
                    <a:xfrm>
                      <a:off x="0" y="0"/>
                      <a:ext cx="2543175" cy="2714625"/>
                    </a:xfrm>
                    <a:prstGeom prst="rect">
                      <a:avLst/>
                    </a:prstGeom>
                    <a:noFill/>
                    <a:ln w="9525">
                      <a:noFill/>
                      <a:miter lim="800000"/>
                      <a:headEnd/>
                      <a:tailEnd/>
                    </a:ln>
                  </pic:spPr>
                </pic:pic>
              </a:graphicData>
            </a:graphic>
          </wp:inline>
        </w:drawing>
      </w:r>
    </w:p>
    <w:p w14:paraId="171F8869" w14:textId="77777777" w:rsidR="002319C6" w:rsidRPr="00E3232D" w:rsidRDefault="002319C6" w:rsidP="002319C6">
      <w:pPr>
        <w:rPr>
          <w:rFonts w:ascii="Book Antiqua" w:hAnsi="Book Antiqua"/>
          <w:b/>
        </w:rPr>
      </w:pPr>
    </w:p>
    <w:p w14:paraId="2FC0F54B" w14:textId="77777777" w:rsidR="002319C6" w:rsidRPr="00E3232D" w:rsidRDefault="002319C6" w:rsidP="002319C6">
      <w:pPr>
        <w:autoSpaceDE w:val="0"/>
        <w:autoSpaceDN w:val="0"/>
        <w:adjustRightInd w:val="0"/>
        <w:rPr>
          <w:rFonts w:ascii="Book Antiqua" w:hAnsi="Book Antiqua"/>
          <w:b/>
          <w:bCs/>
        </w:rPr>
      </w:pPr>
      <w:r w:rsidRPr="00E3232D">
        <w:rPr>
          <w:rFonts w:ascii="Book Antiqua" w:hAnsi="Book Antiqua"/>
          <w:b/>
          <w:bCs/>
        </w:rPr>
        <w:t>Plate 1: Site for the proposed PV module mounting</w:t>
      </w:r>
    </w:p>
    <w:p w14:paraId="188F0D39" w14:textId="77777777" w:rsidR="00761254" w:rsidRDefault="00761254" w:rsidP="002319C6">
      <w:pPr>
        <w:rPr>
          <w:rFonts w:ascii="Book Antiqua" w:hAnsi="Book Antiqua"/>
          <w:b/>
          <w:bCs/>
        </w:rPr>
      </w:pPr>
      <w:r>
        <w:rPr>
          <w:rFonts w:ascii="Book Antiqua" w:hAnsi="Book Antiqua"/>
          <w:b/>
          <w:bCs/>
        </w:rPr>
        <w:t xml:space="preserve">      </w:t>
      </w:r>
    </w:p>
    <w:p w14:paraId="42FB086B" w14:textId="77777777" w:rsidR="00761254" w:rsidRDefault="00761254" w:rsidP="002319C6">
      <w:pPr>
        <w:rPr>
          <w:rFonts w:ascii="Book Antiqua" w:hAnsi="Book Antiqua"/>
          <w:b/>
          <w:bCs/>
        </w:rPr>
      </w:pPr>
    </w:p>
    <w:p w14:paraId="337EBA01" w14:textId="77777777" w:rsidR="00761254" w:rsidRDefault="00761254" w:rsidP="002319C6">
      <w:pPr>
        <w:rPr>
          <w:rFonts w:ascii="Book Antiqua" w:hAnsi="Book Antiqua"/>
          <w:b/>
          <w:bCs/>
        </w:rPr>
      </w:pPr>
    </w:p>
    <w:p w14:paraId="1FB276A2" w14:textId="77777777" w:rsidR="00761254" w:rsidRDefault="00761254" w:rsidP="002319C6">
      <w:pPr>
        <w:rPr>
          <w:rFonts w:ascii="Book Antiqua" w:hAnsi="Book Antiqua"/>
          <w:b/>
          <w:bCs/>
        </w:rPr>
      </w:pPr>
    </w:p>
    <w:p w14:paraId="1C7DD628" w14:textId="77777777" w:rsidR="00761254" w:rsidRDefault="00761254" w:rsidP="002319C6">
      <w:pPr>
        <w:rPr>
          <w:rFonts w:ascii="Book Antiqua" w:hAnsi="Book Antiqua"/>
          <w:b/>
          <w:bCs/>
        </w:rPr>
      </w:pPr>
    </w:p>
    <w:p w14:paraId="228D83F1" w14:textId="77777777" w:rsidR="008214F9" w:rsidRDefault="002319C6" w:rsidP="002319C6">
      <w:pPr>
        <w:rPr>
          <w:rFonts w:ascii="Book Antiqua" w:hAnsi="Book Antiqua"/>
          <w:b/>
          <w:bCs/>
        </w:rPr>
      </w:pPr>
      <w:r w:rsidRPr="00E3232D">
        <w:rPr>
          <w:rFonts w:ascii="Book Antiqua" w:hAnsi="Book Antiqua"/>
          <w:b/>
          <w:bCs/>
        </w:rPr>
        <w:t xml:space="preserve">         </w:t>
      </w:r>
    </w:p>
    <w:p w14:paraId="2A0B6C00" w14:textId="77777777" w:rsidR="002319C6" w:rsidRPr="00E3232D" w:rsidRDefault="002319C6" w:rsidP="002319C6">
      <w:pPr>
        <w:rPr>
          <w:rFonts w:ascii="Book Antiqua" w:hAnsi="Book Antiqua"/>
          <w:b/>
          <w:bCs/>
        </w:rPr>
      </w:pPr>
      <w:r w:rsidRPr="00E3232D">
        <w:rPr>
          <w:rFonts w:ascii="Book Antiqua" w:hAnsi="Book Antiqua"/>
          <w:b/>
          <w:bCs/>
        </w:rPr>
        <w:t>Table 8: Cost calculation for the Proposed PV System</w:t>
      </w:r>
    </w:p>
    <w:p w14:paraId="133AFF5D" w14:textId="77777777" w:rsidR="002319C6" w:rsidRPr="00E3232D" w:rsidRDefault="002319C6" w:rsidP="002319C6">
      <w:pPr>
        <w:pStyle w:val="NoSpacing"/>
        <w:spacing w:line="276" w:lineRule="auto"/>
        <w:rPr>
          <w:rFonts w:ascii="Book Antiqua" w:hAnsi="Book Antiqua"/>
        </w:rPr>
      </w:pPr>
    </w:p>
    <w:tbl>
      <w:tblPr>
        <w:tblW w:w="4608" w:type="dxa"/>
        <w:tblBorders>
          <w:top w:val="single" w:sz="8" w:space="0" w:color="000000"/>
          <w:bottom w:val="single" w:sz="8" w:space="0" w:color="000000"/>
        </w:tblBorders>
        <w:tblLook w:val="04A0" w:firstRow="1" w:lastRow="0" w:firstColumn="1" w:lastColumn="0" w:noHBand="0" w:noVBand="1"/>
      </w:tblPr>
      <w:tblGrid>
        <w:gridCol w:w="1499"/>
        <w:gridCol w:w="1121"/>
        <w:gridCol w:w="871"/>
        <w:gridCol w:w="1117"/>
      </w:tblGrid>
      <w:tr w:rsidR="002319C6" w:rsidRPr="00D12E59" w14:paraId="7EB8ABE7" w14:textId="77777777" w:rsidTr="00B80C42">
        <w:tc>
          <w:tcPr>
            <w:tcW w:w="1459" w:type="dxa"/>
            <w:shd w:val="clear" w:color="auto" w:fill="auto"/>
          </w:tcPr>
          <w:p w14:paraId="59635193"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Component</w:t>
            </w:r>
          </w:p>
        </w:tc>
        <w:tc>
          <w:tcPr>
            <w:tcW w:w="1121" w:type="dxa"/>
            <w:shd w:val="clear" w:color="auto" w:fill="auto"/>
          </w:tcPr>
          <w:p w14:paraId="523D567C"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Quantity</w:t>
            </w:r>
          </w:p>
        </w:tc>
        <w:tc>
          <w:tcPr>
            <w:tcW w:w="895" w:type="dxa"/>
            <w:shd w:val="clear" w:color="auto" w:fill="auto"/>
          </w:tcPr>
          <w:p w14:paraId="162BA3F9" w14:textId="77777777" w:rsidR="002319C6" w:rsidRPr="00D12E59" w:rsidRDefault="002319C6" w:rsidP="00B80C42">
            <w:pPr>
              <w:pStyle w:val="NoSpacing"/>
              <w:spacing w:line="276" w:lineRule="auto"/>
              <w:rPr>
                <w:rFonts w:ascii="Book Antiqua" w:hAnsi="Book Antiqua" w:cs="Book Antiqua"/>
                <w:b/>
                <w:bCs/>
                <w:color w:val="000000"/>
              </w:rPr>
            </w:pPr>
            <w:r w:rsidRPr="00D12E59">
              <w:rPr>
                <w:rFonts w:ascii="Book Antiqua" w:hAnsi="Book Antiqua"/>
                <w:b/>
                <w:bCs/>
                <w:color w:val="000000"/>
              </w:rPr>
              <w:t>Unit price (GH</w:t>
            </w:r>
            <w:r w:rsidRPr="00D12E59">
              <w:rPr>
                <w:rFonts w:ascii="Times New Roman" w:hAnsi="Times New Roman"/>
                <w:b/>
                <w:bCs/>
                <w:color w:val="000000"/>
              </w:rPr>
              <w:t>ȼ</w:t>
            </w:r>
            <w:r w:rsidRPr="00D12E59">
              <w:rPr>
                <w:rFonts w:ascii="Book Antiqua" w:hAnsi="Book Antiqua" w:cs="Book Antiqua"/>
                <w:b/>
                <w:bCs/>
                <w:color w:val="000000"/>
              </w:rPr>
              <w:t>)</w:t>
            </w:r>
          </w:p>
        </w:tc>
        <w:tc>
          <w:tcPr>
            <w:tcW w:w="1133" w:type="dxa"/>
            <w:shd w:val="clear" w:color="auto" w:fill="auto"/>
          </w:tcPr>
          <w:p w14:paraId="233E4187"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Amount</w:t>
            </w:r>
          </w:p>
          <w:p w14:paraId="2664A91E" w14:textId="77777777" w:rsidR="002319C6" w:rsidRPr="00D12E59" w:rsidRDefault="002319C6" w:rsidP="00B80C42">
            <w:pPr>
              <w:pStyle w:val="NoSpacing"/>
              <w:spacing w:line="276" w:lineRule="auto"/>
              <w:rPr>
                <w:rFonts w:ascii="Book Antiqua" w:hAnsi="Book Antiqua" w:cs="Book Antiqua"/>
                <w:b/>
                <w:bCs/>
                <w:color w:val="000000"/>
              </w:rPr>
            </w:pPr>
            <w:r w:rsidRPr="00D12E59">
              <w:rPr>
                <w:rFonts w:ascii="Book Antiqua" w:hAnsi="Book Antiqua"/>
                <w:b/>
                <w:bCs/>
                <w:color w:val="000000"/>
              </w:rPr>
              <w:t>( GH</w:t>
            </w:r>
            <w:r w:rsidRPr="00D12E59">
              <w:rPr>
                <w:rFonts w:ascii="Times New Roman" w:hAnsi="Times New Roman"/>
                <w:b/>
                <w:bCs/>
                <w:color w:val="000000"/>
              </w:rPr>
              <w:t>ȼ</w:t>
            </w:r>
            <w:r w:rsidRPr="00D12E59">
              <w:rPr>
                <w:rFonts w:ascii="Book Antiqua" w:hAnsi="Book Antiqua" w:cs="Book Antiqua"/>
                <w:b/>
                <w:bCs/>
                <w:color w:val="000000"/>
              </w:rPr>
              <w:t>)</w:t>
            </w:r>
          </w:p>
        </w:tc>
      </w:tr>
      <w:tr w:rsidR="002319C6" w:rsidRPr="00D12E59" w14:paraId="7E23F4FB" w14:textId="77777777" w:rsidTr="00B80C42">
        <w:tc>
          <w:tcPr>
            <w:tcW w:w="1459" w:type="dxa"/>
            <w:shd w:val="clear" w:color="auto" w:fill="auto"/>
          </w:tcPr>
          <w:p w14:paraId="0DA7AC1D"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PV Module</w:t>
            </w:r>
          </w:p>
        </w:tc>
        <w:tc>
          <w:tcPr>
            <w:tcW w:w="1121" w:type="dxa"/>
            <w:shd w:val="clear" w:color="auto" w:fill="auto"/>
          </w:tcPr>
          <w:p w14:paraId="74829D4A"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407</w:t>
            </w:r>
          </w:p>
        </w:tc>
        <w:tc>
          <w:tcPr>
            <w:tcW w:w="895" w:type="dxa"/>
            <w:shd w:val="clear" w:color="auto" w:fill="auto"/>
          </w:tcPr>
          <w:p w14:paraId="51D90808"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700</w:t>
            </w:r>
          </w:p>
        </w:tc>
        <w:tc>
          <w:tcPr>
            <w:tcW w:w="1133" w:type="dxa"/>
            <w:shd w:val="clear" w:color="auto" w:fill="auto"/>
          </w:tcPr>
          <w:p w14:paraId="0E160755"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284,900</w:t>
            </w:r>
          </w:p>
        </w:tc>
      </w:tr>
      <w:tr w:rsidR="002319C6" w:rsidRPr="00D12E59" w14:paraId="7D749567" w14:textId="77777777" w:rsidTr="00B80C42">
        <w:tc>
          <w:tcPr>
            <w:tcW w:w="1459" w:type="dxa"/>
            <w:shd w:val="clear" w:color="auto" w:fill="auto"/>
          </w:tcPr>
          <w:p w14:paraId="447A4EB9"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Inverter</w:t>
            </w:r>
          </w:p>
        </w:tc>
        <w:tc>
          <w:tcPr>
            <w:tcW w:w="1121" w:type="dxa"/>
            <w:shd w:val="clear" w:color="auto" w:fill="auto"/>
          </w:tcPr>
          <w:p w14:paraId="232AEDB2"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3</w:t>
            </w:r>
          </w:p>
        </w:tc>
        <w:tc>
          <w:tcPr>
            <w:tcW w:w="895" w:type="dxa"/>
            <w:shd w:val="clear" w:color="auto" w:fill="auto"/>
          </w:tcPr>
          <w:p w14:paraId="40ED7B03"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600</w:t>
            </w:r>
          </w:p>
        </w:tc>
        <w:tc>
          <w:tcPr>
            <w:tcW w:w="1133" w:type="dxa"/>
            <w:shd w:val="clear" w:color="auto" w:fill="auto"/>
          </w:tcPr>
          <w:p w14:paraId="71950884"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1,800</w:t>
            </w:r>
          </w:p>
        </w:tc>
      </w:tr>
      <w:tr w:rsidR="002319C6" w:rsidRPr="00D12E59" w14:paraId="1F298545" w14:textId="77777777" w:rsidTr="00B80C42">
        <w:tc>
          <w:tcPr>
            <w:tcW w:w="1459" w:type="dxa"/>
            <w:shd w:val="clear" w:color="auto" w:fill="auto"/>
          </w:tcPr>
          <w:p w14:paraId="7C948E85"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Controller</w:t>
            </w:r>
          </w:p>
        </w:tc>
        <w:tc>
          <w:tcPr>
            <w:tcW w:w="1121" w:type="dxa"/>
            <w:shd w:val="clear" w:color="auto" w:fill="auto"/>
          </w:tcPr>
          <w:p w14:paraId="6A2C7921"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1</w:t>
            </w:r>
          </w:p>
        </w:tc>
        <w:tc>
          <w:tcPr>
            <w:tcW w:w="895" w:type="dxa"/>
            <w:shd w:val="clear" w:color="auto" w:fill="auto"/>
          </w:tcPr>
          <w:p w14:paraId="472FC7B8"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850</w:t>
            </w:r>
          </w:p>
        </w:tc>
        <w:tc>
          <w:tcPr>
            <w:tcW w:w="1133" w:type="dxa"/>
            <w:shd w:val="clear" w:color="auto" w:fill="auto"/>
          </w:tcPr>
          <w:p w14:paraId="0F0DCACB"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850</w:t>
            </w:r>
          </w:p>
        </w:tc>
      </w:tr>
      <w:tr w:rsidR="002319C6" w:rsidRPr="00D12E59" w14:paraId="44FE8FB9" w14:textId="77777777" w:rsidTr="00B80C42">
        <w:tc>
          <w:tcPr>
            <w:tcW w:w="1459" w:type="dxa"/>
            <w:shd w:val="clear" w:color="auto" w:fill="auto"/>
          </w:tcPr>
          <w:p w14:paraId="16EA7266"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Batteries</w:t>
            </w:r>
          </w:p>
        </w:tc>
        <w:tc>
          <w:tcPr>
            <w:tcW w:w="1121" w:type="dxa"/>
            <w:shd w:val="clear" w:color="auto" w:fill="auto"/>
          </w:tcPr>
          <w:p w14:paraId="3B336DB9"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352</w:t>
            </w:r>
          </w:p>
        </w:tc>
        <w:tc>
          <w:tcPr>
            <w:tcW w:w="895" w:type="dxa"/>
            <w:shd w:val="clear" w:color="auto" w:fill="auto"/>
          </w:tcPr>
          <w:p w14:paraId="3F0534AA"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600</w:t>
            </w:r>
          </w:p>
        </w:tc>
        <w:tc>
          <w:tcPr>
            <w:tcW w:w="1133" w:type="dxa"/>
            <w:shd w:val="clear" w:color="auto" w:fill="auto"/>
          </w:tcPr>
          <w:p w14:paraId="45C22B29"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211,200</w:t>
            </w:r>
          </w:p>
        </w:tc>
      </w:tr>
      <w:tr w:rsidR="002319C6" w:rsidRPr="00D12E59" w14:paraId="248C0055" w14:textId="77777777" w:rsidTr="00B80C42">
        <w:tc>
          <w:tcPr>
            <w:tcW w:w="1459" w:type="dxa"/>
            <w:shd w:val="clear" w:color="auto" w:fill="auto"/>
          </w:tcPr>
          <w:p w14:paraId="74DC7F26"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Battery house</w:t>
            </w:r>
          </w:p>
        </w:tc>
        <w:tc>
          <w:tcPr>
            <w:tcW w:w="1121" w:type="dxa"/>
            <w:shd w:val="clear" w:color="auto" w:fill="auto"/>
          </w:tcPr>
          <w:p w14:paraId="4A06D7EE"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1</w:t>
            </w:r>
          </w:p>
        </w:tc>
        <w:tc>
          <w:tcPr>
            <w:tcW w:w="895" w:type="dxa"/>
            <w:shd w:val="clear" w:color="auto" w:fill="auto"/>
          </w:tcPr>
          <w:p w14:paraId="03969A82"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w:t>
            </w:r>
          </w:p>
        </w:tc>
        <w:tc>
          <w:tcPr>
            <w:tcW w:w="1133" w:type="dxa"/>
            <w:shd w:val="clear" w:color="auto" w:fill="auto"/>
          </w:tcPr>
          <w:p w14:paraId="43B226EC"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2,500</w:t>
            </w:r>
          </w:p>
        </w:tc>
      </w:tr>
      <w:tr w:rsidR="002319C6" w:rsidRPr="00D12E59" w14:paraId="5808C6A4" w14:textId="77777777" w:rsidTr="00B80C42">
        <w:tc>
          <w:tcPr>
            <w:tcW w:w="1459" w:type="dxa"/>
            <w:shd w:val="clear" w:color="auto" w:fill="auto"/>
          </w:tcPr>
          <w:p w14:paraId="29F57321"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Meters</w:t>
            </w:r>
          </w:p>
        </w:tc>
        <w:tc>
          <w:tcPr>
            <w:tcW w:w="1121" w:type="dxa"/>
            <w:shd w:val="clear" w:color="auto" w:fill="auto"/>
          </w:tcPr>
          <w:p w14:paraId="484E7FF2"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1</w:t>
            </w:r>
          </w:p>
        </w:tc>
        <w:tc>
          <w:tcPr>
            <w:tcW w:w="895" w:type="dxa"/>
            <w:shd w:val="clear" w:color="auto" w:fill="auto"/>
          </w:tcPr>
          <w:p w14:paraId="068F4148"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200</w:t>
            </w:r>
          </w:p>
        </w:tc>
        <w:tc>
          <w:tcPr>
            <w:tcW w:w="1133" w:type="dxa"/>
            <w:shd w:val="clear" w:color="auto" w:fill="auto"/>
          </w:tcPr>
          <w:p w14:paraId="40C81CE1"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200</w:t>
            </w:r>
          </w:p>
        </w:tc>
      </w:tr>
      <w:tr w:rsidR="002319C6" w:rsidRPr="00D12E59" w14:paraId="6F99C6B2" w14:textId="77777777" w:rsidTr="00B80C42">
        <w:tc>
          <w:tcPr>
            <w:tcW w:w="1459" w:type="dxa"/>
            <w:shd w:val="clear" w:color="auto" w:fill="auto"/>
          </w:tcPr>
          <w:p w14:paraId="63B978CA"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Wiring</w:t>
            </w:r>
          </w:p>
        </w:tc>
        <w:tc>
          <w:tcPr>
            <w:tcW w:w="1121" w:type="dxa"/>
            <w:shd w:val="clear" w:color="auto" w:fill="auto"/>
          </w:tcPr>
          <w:p w14:paraId="5D5BB6D9"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w:t>
            </w:r>
          </w:p>
        </w:tc>
        <w:tc>
          <w:tcPr>
            <w:tcW w:w="895" w:type="dxa"/>
            <w:shd w:val="clear" w:color="auto" w:fill="auto"/>
          </w:tcPr>
          <w:p w14:paraId="22827807"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w:t>
            </w:r>
          </w:p>
        </w:tc>
        <w:tc>
          <w:tcPr>
            <w:tcW w:w="1133" w:type="dxa"/>
            <w:shd w:val="clear" w:color="auto" w:fill="auto"/>
          </w:tcPr>
          <w:p w14:paraId="02436C2E"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1,000</w:t>
            </w:r>
          </w:p>
        </w:tc>
      </w:tr>
      <w:tr w:rsidR="002319C6" w:rsidRPr="00D12E59" w14:paraId="0D6882A1" w14:textId="77777777" w:rsidTr="00B80C42">
        <w:tc>
          <w:tcPr>
            <w:tcW w:w="1459" w:type="dxa"/>
            <w:shd w:val="clear" w:color="auto" w:fill="auto"/>
          </w:tcPr>
          <w:p w14:paraId="79689E63"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Mounting</w:t>
            </w:r>
          </w:p>
        </w:tc>
        <w:tc>
          <w:tcPr>
            <w:tcW w:w="1121" w:type="dxa"/>
            <w:shd w:val="clear" w:color="auto" w:fill="auto"/>
          </w:tcPr>
          <w:p w14:paraId="3D913952"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w:t>
            </w:r>
          </w:p>
        </w:tc>
        <w:tc>
          <w:tcPr>
            <w:tcW w:w="895" w:type="dxa"/>
            <w:shd w:val="clear" w:color="auto" w:fill="auto"/>
          </w:tcPr>
          <w:p w14:paraId="0750D449"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w:t>
            </w:r>
          </w:p>
        </w:tc>
        <w:tc>
          <w:tcPr>
            <w:tcW w:w="1133" w:type="dxa"/>
            <w:shd w:val="clear" w:color="auto" w:fill="auto"/>
          </w:tcPr>
          <w:p w14:paraId="42ECB1A9"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3,500</w:t>
            </w:r>
          </w:p>
        </w:tc>
      </w:tr>
      <w:tr w:rsidR="002319C6" w:rsidRPr="00D12E59" w14:paraId="0BE4199C" w14:textId="77777777" w:rsidTr="00B80C42">
        <w:tc>
          <w:tcPr>
            <w:tcW w:w="1459" w:type="dxa"/>
            <w:shd w:val="clear" w:color="auto" w:fill="auto"/>
          </w:tcPr>
          <w:p w14:paraId="7D6812FB"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 xml:space="preserve">Operation &amp; </w:t>
            </w:r>
          </w:p>
          <w:p w14:paraId="1CAD25BD"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maintenance (for 20yrs)</w:t>
            </w:r>
          </w:p>
        </w:tc>
        <w:tc>
          <w:tcPr>
            <w:tcW w:w="1121" w:type="dxa"/>
            <w:shd w:val="clear" w:color="auto" w:fill="auto"/>
          </w:tcPr>
          <w:p w14:paraId="398D958F"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w:t>
            </w:r>
          </w:p>
        </w:tc>
        <w:tc>
          <w:tcPr>
            <w:tcW w:w="895" w:type="dxa"/>
            <w:shd w:val="clear" w:color="auto" w:fill="auto"/>
          </w:tcPr>
          <w:p w14:paraId="07AF56E2"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w:t>
            </w:r>
          </w:p>
        </w:tc>
        <w:tc>
          <w:tcPr>
            <w:tcW w:w="1133" w:type="dxa"/>
            <w:shd w:val="clear" w:color="auto" w:fill="auto"/>
          </w:tcPr>
          <w:p w14:paraId="6CA4DDF6"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844800</w:t>
            </w:r>
          </w:p>
        </w:tc>
      </w:tr>
      <w:tr w:rsidR="002319C6" w:rsidRPr="00D12E59" w14:paraId="7A1217AB" w14:textId="77777777" w:rsidTr="00B80C42">
        <w:trPr>
          <w:trHeight w:val="711"/>
        </w:trPr>
        <w:tc>
          <w:tcPr>
            <w:tcW w:w="1459" w:type="dxa"/>
            <w:shd w:val="clear" w:color="auto" w:fill="auto"/>
          </w:tcPr>
          <w:p w14:paraId="48B7373C" w14:textId="77777777" w:rsidR="002319C6" w:rsidRPr="00D12E59" w:rsidRDefault="002319C6" w:rsidP="00B80C42">
            <w:pPr>
              <w:pStyle w:val="NoSpacing"/>
              <w:spacing w:line="276" w:lineRule="auto"/>
              <w:rPr>
                <w:rFonts w:ascii="Book Antiqua" w:hAnsi="Book Antiqua"/>
                <w:b/>
                <w:bCs/>
                <w:color w:val="000000"/>
              </w:rPr>
            </w:pPr>
            <w:r w:rsidRPr="00D12E59">
              <w:rPr>
                <w:rFonts w:ascii="Book Antiqua" w:hAnsi="Book Antiqua"/>
                <w:b/>
                <w:bCs/>
                <w:color w:val="000000"/>
              </w:rPr>
              <w:t>Total Cost</w:t>
            </w:r>
          </w:p>
        </w:tc>
        <w:tc>
          <w:tcPr>
            <w:tcW w:w="1121" w:type="dxa"/>
            <w:shd w:val="clear" w:color="auto" w:fill="auto"/>
          </w:tcPr>
          <w:p w14:paraId="37CED02A" w14:textId="77777777" w:rsidR="002319C6" w:rsidRPr="00D12E59" w:rsidRDefault="002319C6" w:rsidP="00B80C42">
            <w:pPr>
              <w:pStyle w:val="NoSpacing"/>
              <w:spacing w:line="276" w:lineRule="auto"/>
              <w:jc w:val="center"/>
              <w:rPr>
                <w:rFonts w:ascii="Book Antiqua" w:hAnsi="Book Antiqua"/>
                <w:color w:val="000000"/>
              </w:rPr>
            </w:pPr>
          </w:p>
        </w:tc>
        <w:tc>
          <w:tcPr>
            <w:tcW w:w="895" w:type="dxa"/>
            <w:shd w:val="clear" w:color="auto" w:fill="auto"/>
          </w:tcPr>
          <w:p w14:paraId="1414AD28" w14:textId="77777777" w:rsidR="002319C6" w:rsidRPr="00D12E59" w:rsidRDefault="002319C6" w:rsidP="00B80C42">
            <w:pPr>
              <w:pStyle w:val="NoSpacing"/>
              <w:spacing w:line="276" w:lineRule="auto"/>
              <w:jc w:val="center"/>
              <w:rPr>
                <w:rFonts w:ascii="Book Antiqua" w:hAnsi="Book Antiqua"/>
                <w:color w:val="000000"/>
              </w:rPr>
            </w:pPr>
          </w:p>
        </w:tc>
        <w:tc>
          <w:tcPr>
            <w:tcW w:w="1133" w:type="dxa"/>
            <w:shd w:val="clear" w:color="auto" w:fill="auto"/>
          </w:tcPr>
          <w:p w14:paraId="78439F76" w14:textId="77777777" w:rsidR="002319C6" w:rsidRPr="00D12E59" w:rsidRDefault="002319C6" w:rsidP="00B80C42">
            <w:pPr>
              <w:pStyle w:val="NoSpacing"/>
              <w:spacing w:line="276" w:lineRule="auto"/>
              <w:jc w:val="center"/>
              <w:rPr>
                <w:rFonts w:ascii="Book Antiqua" w:hAnsi="Book Antiqua"/>
                <w:color w:val="000000"/>
              </w:rPr>
            </w:pPr>
            <w:r w:rsidRPr="00D12E59">
              <w:rPr>
                <w:rFonts w:ascii="Book Antiqua" w:hAnsi="Book Antiqua"/>
                <w:color w:val="000000"/>
              </w:rPr>
              <w:t>1,350,750</w:t>
            </w:r>
          </w:p>
          <w:p w14:paraId="55495A17" w14:textId="77777777" w:rsidR="002319C6" w:rsidRPr="00D12E59" w:rsidRDefault="002319C6" w:rsidP="00B80C42">
            <w:pPr>
              <w:pStyle w:val="NoSpacing"/>
              <w:spacing w:line="276" w:lineRule="auto"/>
              <w:jc w:val="center"/>
              <w:rPr>
                <w:rFonts w:ascii="Book Antiqua" w:hAnsi="Book Antiqua"/>
                <w:color w:val="000000"/>
              </w:rPr>
            </w:pPr>
          </w:p>
        </w:tc>
      </w:tr>
    </w:tbl>
    <w:p w14:paraId="2322E9DE" w14:textId="77777777" w:rsidR="002319C6" w:rsidRPr="00E3232D" w:rsidRDefault="002319C6" w:rsidP="002319C6">
      <w:pPr>
        <w:rPr>
          <w:rFonts w:ascii="Book Antiqua" w:hAnsi="Book Antiqua"/>
          <w:b/>
        </w:rPr>
      </w:pPr>
      <w:r w:rsidRPr="00E3232D">
        <w:rPr>
          <w:rFonts w:ascii="Book Antiqua" w:hAnsi="Book Antiqua"/>
          <w:b/>
        </w:rPr>
        <w:t>Source: Deng solar company, Ghana</w:t>
      </w:r>
    </w:p>
    <w:p w14:paraId="0D72AF1C" w14:textId="77777777" w:rsidR="002319C6" w:rsidRPr="00E3232D" w:rsidRDefault="002319C6" w:rsidP="002319C6">
      <w:pPr>
        <w:rPr>
          <w:rFonts w:ascii="Book Antiqua" w:hAnsi="Book Antiqua"/>
          <w:b/>
        </w:rPr>
      </w:pPr>
      <w:r w:rsidRPr="00E3232D">
        <w:rPr>
          <w:rFonts w:ascii="Book Antiqua" w:hAnsi="Book Antiqua"/>
          <w:b/>
        </w:rPr>
        <w:t xml:space="preserve">4.0 </w:t>
      </w:r>
      <w:r w:rsidRPr="008214F9">
        <w:rPr>
          <w:rFonts w:ascii="Book Antiqua" w:hAnsi="Book Antiqua"/>
          <w:b/>
        </w:rPr>
        <w:t>Conclusion and Recommendation</w:t>
      </w:r>
    </w:p>
    <w:p w14:paraId="03B48743" w14:textId="77777777" w:rsidR="002319C6" w:rsidRPr="00E3232D" w:rsidRDefault="002319C6" w:rsidP="00D12C4C">
      <w:pPr>
        <w:autoSpaceDE w:val="0"/>
        <w:autoSpaceDN w:val="0"/>
        <w:adjustRightInd w:val="0"/>
        <w:jc w:val="both"/>
        <w:rPr>
          <w:rFonts w:ascii="Book Antiqua" w:hAnsi="Book Antiqua"/>
        </w:rPr>
      </w:pPr>
      <w:r w:rsidRPr="00E3232D">
        <w:rPr>
          <w:rFonts w:ascii="Book Antiqua" w:hAnsi="Book Antiqua"/>
        </w:rPr>
        <w:t>The proposed PV system design is described based on the data collected for the estimated lighting system and the system sizing and specification are provided based on the design made. The cost analysis was carried out for the proposed PV system design; the total estimated cost of installing the PV system was Gh</w:t>
      </w:r>
      <w:r w:rsidRPr="00E3232D">
        <w:rPr>
          <w:rFonts w:ascii="Times New Roman" w:hAnsi="Times New Roman"/>
        </w:rPr>
        <w:t>ȼ</w:t>
      </w:r>
      <w:r w:rsidRPr="00E3232D">
        <w:rPr>
          <w:rFonts w:ascii="Book Antiqua" w:hAnsi="Book Antiqua"/>
          <w:bCs/>
        </w:rPr>
        <w:t>505,950</w:t>
      </w:r>
      <w:r w:rsidRPr="00E3232D">
        <w:rPr>
          <w:rFonts w:ascii="Book Antiqua" w:hAnsi="Book Antiqua"/>
          <w:b/>
          <w:bCs/>
        </w:rPr>
        <w:t xml:space="preserve">, </w:t>
      </w:r>
      <w:r w:rsidRPr="00E3232D">
        <w:rPr>
          <w:rFonts w:ascii="Book Antiqua" w:hAnsi="Book Antiqua"/>
          <w:bCs/>
        </w:rPr>
        <w:t>and</w:t>
      </w:r>
      <w:r w:rsidRPr="00E3232D">
        <w:rPr>
          <w:rFonts w:ascii="Book Antiqua" w:hAnsi="Book Antiqua"/>
          <w:b/>
          <w:bCs/>
        </w:rPr>
        <w:t xml:space="preserve"> </w:t>
      </w:r>
      <w:r w:rsidRPr="00E3232D">
        <w:rPr>
          <w:rFonts w:ascii="Book Antiqua" w:hAnsi="Book Antiqua"/>
          <w:bCs/>
        </w:rPr>
        <w:t>the lifetime cost was</w:t>
      </w:r>
      <w:r w:rsidRPr="00E3232D">
        <w:rPr>
          <w:rFonts w:ascii="Book Antiqua" w:hAnsi="Book Antiqua"/>
        </w:rPr>
        <w:t xml:space="preserve"> Gh</w:t>
      </w:r>
      <w:r w:rsidRPr="00E3232D">
        <w:rPr>
          <w:rFonts w:ascii="Times New Roman" w:hAnsi="Times New Roman"/>
        </w:rPr>
        <w:t>ȼ</w:t>
      </w:r>
      <w:r w:rsidRPr="00E3232D">
        <w:rPr>
          <w:rFonts w:ascii="Book Antiqua" w:hAnsi="Book Antiqua"/>
          <w:bCs/>
        </w:rPr>
        <w:t xml:space="preserve">1,350,750. However, the monthly and annual lighting cost was </w:t>
      </w:r>
      <w:r w:rsidRPr="00E3232D">
        <w:rPr>
          <w:rFonts w:ascii="Book Antiqua" w:hAnsi="Book Antiqua"/>
        </w:rPr>
        <w:t>Gh</w:t>
      </w:r>
      <w:r w:rsidRPr="00E3232D">
        <w:rPr>
          <w:rFonts w:ascii="Times New Roman" w:hAnsi="Times New Roman"/>
        </w:rPr>
        <w:t>ȼ</w:t>
      </w:r>
      <w:r w:rsidRPr="00E3232D">
        <w:rPr>
          <w:rFonts w:ascii="Book Antiqua" w:hAnsi="Book Antiqua" w:cs="Book Antiqua"/>
        </w:rPr>
        <w:t>1,649 per month and Gh</w:t>
      </w:r>
      <w:r w:rsidRPr="00E3232D">
        <w:rPr>
          <w:rFonts w:ascii="Times New Roman" w:hAnsi="Times New Roman"/>
        </w:rPr>
        <w:t>ȼ</w:t>
      </w:r>
      <w:r w:rsidRPr="00E3232D">
        <w:rPr>
          <w:rFonts w:ascii="Book Antiqua" w:hAnsi="Book Antiqua"/>
        </w:rPr>
        <w:t xml:space="preserve">19,788 per year respectively. It can be concluded that solar PV systems can be a feasible solution at some level of implementation for the Getfund hostel. Even though it is not economical implementing this project, considering factors such as the unreliability of the national grid and environmental impacts it could be implemented as an avenue of exploiting renewable and environmental friendly sources of energy to reduce the pressure on the conventional sources to attain the millennium goals. </w:t>
      </w:r>
    </w:p>
    <w:p w14:paraId="3FB5D0C2" w14:textId="77777777" w:rsidR="002319C6" w:rsidRPr="00E3232D" w:rsidRDefault="002319C6" w:rsidP="002319C6">
      <w:pPr>
        <w:autoSpaceDE w:val="0"/>
        <w:autoSpaceDN w:val="0"/>
        <w:adjustRightInd w:val="0"/>
        <w:rPr>
          <w:rFonts w:ascii="Book Antiqua" w:hAnsi="Book Antiqua"/>
        </w:rPr>
      </w:pPr>
      <w:r w:rsidRPr="00D12C4C">
        <w:rPr>
          <w:rFonts w:ascii="Book Antiqua" w:hAnsi="Book Antiqua"/>
          <w:b/>
          <w:sz w:val="26"/>
        </w:rPr>
        <w:t>References</w:t>
      </w:r>
    </w:p>
    <w:p w14:paraId="3D167DE4" w14:textId="77777777" w:rsidR="002319C6" w:rsidRPr="00050BBA" w:rsidRDefault="002319C6" w:rsidP="00050BBA">
      <w:pPr>
        <w:ind w:left="900" w:hanging="900"/>
        <w:jc w:val="both"/>
        <w:rPr>
          <w:rFonts w:ascii="Book Antiqua" w:hAnsi="Book Antiqua"/>
        </w:rPr>
      </w:pPr>
      <w:r w:rsidRPr="00050BBA">
        <w:rPr>
          <w:rFonts w:ascii="Book Antiqua" w:hAnsi="Book Antiqua"/>
        </w:rPr>
        <w:t xml:space="preserve">IEA-PVPS (2007). </w:t>
      </w:r>
      <w:r w:rsidRPr="00050BBA">
        <w:rPr>
          <w:rFonts w:ascii="Book Antiqua" w:hAnsi="Book Antiqua"/>
          <w:i/>
          <w:iCs/>
        </w:rPr>
        <w:t>Trends in Photovoltaic Applications: Survey report of selected IEA countries between 1992 and 2006</w:t>
      </w:r>
      <w:r w:rsidRPr="00050BBA">
        <w:rPr>
          <w:rFonts w:ascii="Book Antiqua" w:hAnsi="Book Antiqua"/>
        </w:rPr>
        <w:t>. IEA Photovoltaic Power Systems Program.</w:t>
      </w:r>
    </w:p>
    <w:p w14:paraId="22E85E62" w14:textId="77777777" w:rsidR="002319C6" w:rsidRPr="00050BBA" w:rsidRDefault="002319C6" w:rsidP="00050BBA">
      <w:pPr>
        <w:ind w:left="900" w:hanging="900"/>
        <w:jc w:val="both"/>
        <w:rPr>
          <w:rFonts w:ascii="Book Antiqua" w:hAnsi="Book Antiqua"/>
        </w:rPr>
      </w:pPr>
      <w:r w:rsidRPr="00050BBA">
        <w:rPr>
          <w:rFonts w:ascii="Book Antiqua" w:hAnsi="Book Antiqua"/>
        </w:rPr>
        <w:t>Lazard P. (2009). Levelized Cost of Energy Analysis - Version 3.0. New York: USA.</w:t>
      </w:r>
    </w:p>
    <w:p w14:paraId="4779A52D" w14:textId="77777777" w:rsidR="002319C6" w:rsidRPr="00050BBA" w:rsidRDefault="002319C6" w:rsidP="00050BBA">
      <w:pPr>
        <w:ind w:left="900" w:hanging="900"/>
        <w:jc w:val="both"/>
        <w:rPr>
          <w:rFonts w:ascii="Book Antiqua" w:hAnsi="Book Antiqua"/>
        </w:rPr>
      </w:pPr>
      <w:r w:rsidRPr="00050BBA">
        <w:rPr>
          <w:rFonts w:ascii="Book Antiqua" w:hAnsi="Book Antiqua"/>
        </w:rPr>
        <w:t xml:space="preserve">EPIA/Greenpeace (2008). </w:t>
      </w:r>
      <w:r w:rsidRPr="00050BBA">
        <w:rPr>
          <w:rFonts w:ascii="Book Antiqua" w:hAnsi="Book Antiqua"/>
          <w:i/>
          <w:iCs/>
        </w:rPr>
        <w:t xml:space="preserve">Solar Generation V – 2008. </w:t>
      </w:r>
      <w:r w:rsidRPr="00050BBA">
        <w:rPr>
          <w:rFonts w:ascii="Book Antiqua" w:hAnsi="Book Antiqua"/>
        </w:rPr>
        <w:t>Greenpeace and European Photovoltaic Industry Association: California</w:t>
      </w:r>
    </w:p>
    <w:p w14:paraId="20C28571" w14:textId="77777777" w:rsidR="00936980" w:rsidRDefault="002319C6" w:rsidP="00050BBA">
      <w:pPr>
        <w:ind w:left="900" w:hanging="900"/>
        <w:jc w:val="both"/>
        <w:rPr>
          <w:rFonts w:ascii="Book Antiqua" w:hAnsi="Book Antiqua"/>
        </w:rPr>
      </w:pPr>
      <w:r w:rsidRPr="00E3232D">
        <w:rPr>
          <w:rFonts w:ascii="Book Antiqua" w:hAnsi="Book Antiqua"/>
        </w:rPr>
        <w:t xml:space="preserve">IEA, (2009). International Energy Agency (IEA) Database Vol. alances of Non-O2010, Release 01: (a) Energy B ECD Member Countries; (b) Energy Balances of OECD </w:t>
      </w:r>
      <w:r w:rsidR="00050BBA">
        <w:rPr>
          <w:rFonts w:ascii="Book Antiqua" w:hAnsi="Book Antiqua"/>
        </w:rPr>
        <w:t>Member Countries. Available at:</w:t>
      </w:r>
      <w:r w:rsidRPr="00E3232D">
        <w:rPr>
          <w:rFonts w:ascii="Book Antiqua" w:hAnsi="Book Antiqua"/>
        </w:rPr>
        <w:t>&lt;http://caliban.sourceoecd.org/vl=213511/cl=25/nw=1/rpsv</w:t>
      </w:r>
      <w:r>
        <w:rPr>
          <w:rFonts w:ascii="Book Antiqua" w:hAnsi="Book Antiqua"/>
        </w:rPr>
        <w:t xml:space="preserve">             </w:t>
      </w:r>
    </w:p>
    <w:p w14:paraId="61860E93" w14:textId="77777777" w:rsidR="00936980" w:rsidRPr="00050BBA" w:rsidRDefault="00936980" w:rsidP="00050BBA">
      <w:pPr>
        <w:ind w:left="900" w:hanging="900"/>
        <w:jc w:val="both"/>
        <w:rPr>
          <w:rFonts w:ascii="Book Antiqua" w:hAnsi="Book Antiqua"/>
        </w:rPr>
      </w:pPr>
      <w:r w:rsidRPr="00050BBA">
        <w:rPr>
          <w:rFonts w:ascii="Book Antiqua" w:hAnsi="Book Antiqua"/>
        </w:rPr>
        <w:t>/iea_database.htm&gt;.  [Accessed 12-03-12]</w:t>
      </w:r>
    </w:p>
    <w:p w14:paraId="6EEA0507" w14:textId="77777777" w:rsidR="00936980" w:rsidRPr="00050BBA" w:rsidRDefault="00936980" w:rsidP="00050BBA">
      <w:pPr>
        <w:ind w:left="900" w:hanging="900"/>
        <w:jc w:val="both"/>
        <w:rPr>
          <w:rFonts w:ascii="Book Antiqua" w:hAnsi="Book Antiqua"/>
        </w:rPr>
      </w:pPr>
      <w:r w:rsidRPr="00050BBA">
        <w:rPr>
          <w:rFonts w:ascii="Book Antiqua" w:hAnsi="Book Antiqua"/>
        </w:rPr>
        <w:t>Qurashi M. M., Engr. Tajammul, (2005), Renewable Energy Technologies for Developing Countries now and to 2023, Islamic Educational, Scientific and Cultural Organization –ISESCO-1426A.H</w:t>
      </w:r>
    </w:p>
    <w:p w14:paraId="22CFBF67" w14:textId="77777777" w:rsidR="00936980" w:rsidRPr="00050BBA" w:rsidRDefault="00936980" w:rsidP="00050BBA">
      <w:pPr>
        <w:ind w:left="900" w:hanging="900"/>
        <w:jc w:val="both"/>
        <w:rPr>
          <w:rFonts w:ascii="Book Antiqua" w:hAnsi="Book Antiqua"/>
        </w:rPr>
      </w:pPr>
      <w:r w:rsidRPr="00050BBA">
        <w:rPr>
          <w:rFonts w:ascii="Book Antiqua" w:hAnsi="Book Antiqua"/>
        </w:rPr>
        <w:t xml:space="preserve">Ahmed F. Z., Bansal C., (2011), Handbook of Renewable Energy Technologies, World    </w:t>
      </w:r>
    </w:p>
    <w:p w14:paraId="16EE8E97" w14:textId="77777777" w:rsidR="00936980" w:rsidRPr="00E3232D" w:rsidRDefault="00936980" w:rsidP="00050BBA">
      <w:pPr>
        <w:pStyle w:val="ListParagraph"/>
        <w:ind w:left="900" w:hanging="900"/>
        <w:jc w:val="both"/>
        <w:rPr>
          <w:rFonts w:ascii="Book Antiqua" w:hAnsi="Book Antiqua"/>
        </w:rPr>
      </w:pPr>
      <w:r w:rsidRPr="00E3232D">
        <w:rPr>
          <w:rFonts w:ascii="Book Antiqua" w:hAnsi="Book Antiqua"/>
        </w:rPr>
        <w:t>Scientific Publishing Co. Pte. Ltd., pp.56.</w:t>
      </w:r>
    </w:p>
    <w:p w14:paraId="58E0E4DC" w14:textId="77777777" w:rsidR="00936980" w:rsidRPr="00050BBA" w:rsidRDefault="00936980" w:rsidP="00050BBA">
      <w:pPr>
        <w:ind w:left="900" w:hanging="900"/>
        <w:jc w:val="both"/>
        <w:rPr>
          <w:rFonts w:ascii="Book Antiqua" w:hAnsi="Book Antiqua"/>
        </w:rPr>
      </w:pPr>
      <w:r w:rsidRPr="00050BBA">
        <w:rPr>
          <w:rFonts w:ascii="Book Antiqua" w:hAnsi="Book Antiqua"/>
        </w:rPr>
        <w:t xml:space="preserve">Bradford, T. (2006). Solar Revolution. </w:t>
      </w:r>
      <w:r w:rsidRPr="00050BBA">
        <w:rPr>
          <w:rFonts w:ascii="Book Antiqua" w:hAnsi="Book Antiqua"/>
          <w:i/>
          <w:iCs/>
        </w:rPr>
        <w:t xml:space="preserve">The Economic Transformation of the Global Energy Industry. </w:t>
      </w:r>
      <w:r w:rsidRPr="00050BBA">
        <w:rPr>
          <w:rFonts w:ascii="Book Antiqua" w:hAnsi="Book Antiqua"/>
        </w:rPr>
        <w:t>Cambridge, MA: The MIT Press.</w:t>
      </w:r>
    </w:p>
    <w:p w14:paraId="46B8B9FE" w14:textId="77777777" w:rsidR="00936980" w:rsidRPr="00050BBA" w:rsidRDefault="00936980" w:rsidP="00050BBA">
      <w:pPr>
        <w:ind w:left="900" w:hanging="900"/>
        <w:jc w:val="both"/>
        <w:rPr>
          <w:rFonts w:ascii="Book Antiqua" w:hAnsi="Book Antiqua"/>
        </w:rPr>
      </w:pPr>
      <w:r w:rsidRPr="00050BBA">
        <w:rPr>
          <w:rFonts w:ascii="Book Antiqua" w:hAnsi="Book Antiqua"/>
        </w:rPr>
        <w:t>Weiss, W., Bergmann, I., and Faninger, G. (2005 to 2011 Issues). Solar Heat Worldwide: Markets and Contribution to the Energy Supply 2006. Paris: International Energy Agency Solar Heating and Cooling Program</w:t>
      </w:r>
    </w:p>
    <w:p w14:paraId="37C41898" w14:textId="77777777" w:rsidR="00936980" w:rsidRPr="00050BBA" w:rsidRDefault="00936980" w:rsidP="00050BBA">
      <w:pPr>
        <w:ind w:left="900" w:hanging="900"/>
        <w:jc w:val="both"/>
        <w:rPr>
          <w:rFonts w:ascii="Book Antiqua" w:hAnsi="Book Antiqua"/>
        </w:rPr>
      </w:pPr>
      <w:r w:rsidRPr="00050BBA">
        <w:rPr>
          <w:rFonts w:ascii="Book Antiqua" w:hAnsi="Book Antiqua"/>
        </w:rPr>
        <w:t xml:space="preserve">Wolff, G., Gallego, B., Tisdale, R., and Hopwood, D. (2008). CSP Concentrates the Mind. </w:t>
      </w:r>
      <w:r w:rsidRPr="00050BBA">
        <w:rPr>
          <w:rFonts w:ascii="Book Antiqua" w:hAnsi="Book Antiqua"/>
          <w:i/>
          <w:iCs/>
        </w:rPr>
        <w:t>Renewable Energy Focus</w:t>
      </w:r>
      <w:r w:rsidRPr="00050BBA">
        <w:rPr>
          <w:rFonts w:ascii="Book Antiqua" w:hAnsi="Book Antiqua"/>
        </w:rPr>
        <w:t>, January/February, 42-47.</w:t>
      </w:r>
    </w:p>
    <w:p w14:paraId="78F05875" w14:textId="77777777" w:rsidR="00936980" w:rsidRPr="00050BBA" w:rsidRDefault="00936980" w:rsidP="00050BBA">
      <w:pPr>
        <w:ind w:left="900" w:hanging="900"/>
        <w:jc w:val="both"/>
        <w:rPr>
          <w:rFonts w:ascii="Book Antiqua" w:hAnsi="Book Antiqua"/>
        </w:rPr>
      </w:pPr>
      <w:r w:rsidRPr="00050BBA">
        <w:rPr>
          <w:rFonts w:ascii="Book Antiqua" w:hAnsi="Book Antiqua"/>
        </w:rPr>
        <w:t xml:space="preserve">Solar radiation data available at </w:t>
      </w:r>
      <w:hyperlink r:id="rId240" w:history="1">
        <w:r w:rsidRPr="00050BBA">
          <w:rPr>
            <w:rStyle w:val="Hyperlink"/>
            <w:rFonts w:ascii="Book Antiqua" w:hAnsi="Book Antiqua"/>
          </w:rPr>
          <w:t>http://www.enotes.com/earth-science/insolation-total-solar-irradiance</w:t>
        </w:r>
      </w:hyperlink>
    </w:p>
    <w:p w14:paraId="377E6728" w14:textId="77777777" w:rsidR="00936980" w:rsidRPr="00E3232D" w:rsidRDefault="00936980" w:rsidP="00050BBA">
      <w:pPr>
        <w:pStyle w:val="ListParagraph"/>
        <w:ind w:left="900" w:hanging="900"/>
        <w:jc w:val="both"/>
        <w:rPr>
          <w:rFonts w:ascii="Book Antiqua" w:hAnsi="Book Antiqua"/>
        </w:rPr>
      </w:pPr>
      <w:r w:rsidRPr="00E3232D">
        <w:rPr>
          <w:rFonts w:ascii="Book Antiqua" w:hAnsi="Book Antiqua"/>
        </w:rPr>
        <w:t>[Accessed 12-10-12]</w:t>
      </w:r>
    </w:p>
    <w:p w14:paraId="07483DAE" w14:textId="77777777" w:rsidR="00936980" w:rsidRPr="00050BBA" w:rsidRDefault="00936980" w:rsidP="00050BBA">
      <w:pPr>
        <w:ind w:left="900" w:hanging="900"/>
        <w:jc w:val="both"/>
        <w:rPr>
          <w:rFonts w:ascii="Book Antiqua" w:hAnsi="Book Antiqua"/>
        </w:rPr>
      </w:pPr>
      <w:r w:rsidRPr="00050BBA">
        <w:rPr>
          <w:rFonts w:ascii="Book Antiqua" w:hAnsi="Book Antiqua"/>
        </w:rPr>
        <w:t xml:space="preserve">Waqar H. (2013) Power outages in Ghana </w:t>
      </w:r>
      <w:hyperlink r:id="rId241" w:history="1">
        <w:r w:rsidRPr="00050BBA">
          <w:rPr>
            <w:rStyle w:val="Hyperlink"/>
            <w:rFonts w:ascii="Book Antiqua" w:hAnsi="Book Antiqua"/>
          </w:rPr>
          <w:t>http://graphic.com.gh/Business-News/power-crisis-wont-end-now-says-world-bank.html</w:t>
        </w:r>
      </w:hyperlink>
      <w:r w:rsidRPr="00050BBA">
        <w:rPr>
          <w:rFonts w:ascii="Book Antiqua" w:hAnsi="Book Antiqua"/>
        </w:rPr>
        <w:t xml:space="preserve"> </w:t>
      </w:r>
    </w:p>
    <w:p w14:paraId="7972EF02" w14:textId="77777777" w:rsidR="00936980" w:rsidRPr="00E3232D" w:rsidRDefault="00936980" w:rsidP="00050BBA">
      <w:pPr>
        <w:pStyle w:val="ListParagraph"/>
        <w:ind w:left="900" w:hanging="900"/>
        <w:jc w:val="both"/>
        <w:rPr>
          <w:rFonts w:ascii="Book Antiqua" w:hAnsi="Book Antiqua"/>
        </w:rPr>
      </w:pPr>
      <w:r w:rsidRPr="00E3232D">
        <w:rPr>
          <w:rFonts w:ascii="Book Antiqua" w:hAnsi="Book Antiqua"/>
        </w:rPr>
        <w:t>[Assessed 12-05-13]</w:t>
      </w:r>
    </w:p>
    <w:p w14:paraId="494825C6" w14:textId="77777777" w:rsidR="00936980" w:rsidRPr="00050BBA" w:rsidRDefault="00936980" w:rsidP="00050BBA">
      <w:pPr>
        <w:ind w:left="900" w:hanging="900"/>
        <w:jc w:val="both"/>
        <w:rPr>
          <w:rFonts w:ascii="Book Antiqua" w:hAnsi="Book Antiqua"/>
        </w:rPr>
      </w:pPr>
      <w:r w:rsidRPr="00050BBA">
        <w:rPr>
          <w:rFonts w:ascii="Book Antiqua" w:hAnsi="Book Antiqua"/>
        </w:rPr>
        <w:t xml:space="preserve">IEA, (2012).  International Energy Agency (IEA) Database Vol. 2012 </w:t>
      </w:r>
      <w:hyperlink r:id="rId242" w:history="1">
        <w:r w:rsidRPr="00050BBA">
          <w:rPr>
            <w:rStyle w:val="Hyperlink"/>
            <w:rFonts w:ascii="Book Antiqua" w:hAnsi="Book Antiqua"/>
          </w:rPr>
          <w:t>http://www.iea.org/publications/freepublications/publication/kwes.pdf</w:t>
        </w:r>
      </w:hyperlink>
    </w:p>
    <w:p w14:paraId="6FDDF51E" w14:textId="77777777" w:rsidR="00936980" w:rsidRPr="00E3232D" w:rsidRDefault="00936980" w:rsidP="00050BBA">
      <w:pPr>
        <w:pStyle w:val="ListParagraph"/>
        <w:ind w:left="900" w:hanging="900"/>
        <w:jc w:val="both"/>
        <w:rPr>
          <w:rFonts w:ascii="Book Antiqua" w:hAnsi="Book Antiqua"/>
        </w:rPr>
      </w:pPr>
      <w:r w:rsidRPr="00E3232D">
        <w:rPr>
          <w:rFonts w:ascii="Book Antiqua" w:hAnsi="Book Antiqua"/>
        </w:rPr>
        <w:t>[Accessed 12-03-13]</w:t>
      </w:r>
    </w:p>
    <w:p w14:paraId="31117816" w14:textId="77777777" w:rsidR="00936980" w:rsidRPr="00050BBA" w:rsidRDefault="00936980" w:rsidP="00050BBA">
      <w:pPr>
        <w:ind w:left="900" w:hanging="900"/>
        <w:jc w:val="both"/>
        <w:rPr>
          <w:rFonts w:ascii="Book Antiqua" w:hAnsi="Book Antiqua"/>
        </w:rPr>
      </w:pPr>
      <w:r w:rsidRPr="00050BBA">
        <w:rPr>
          <w:rFonts w:ascii="Book Antiqua" w:hAnsi="Book Antiqua"/>
        </w:rPr>
        <w:t>REN21 Renewables 2012. Global status report.</w:t>
      </w:r>
    </w:p>
    <w:p w14:paraId="0638A4F5" w14:textId="77777777" w:rsidR="00936980" w:rsidRPr="00E3232D" w:rsidRDefault="00850DC5" w:rsidP="00050BBA">
      <w:pPr>
        <w:pStyle w:val="ListParagraph"/>
        <w:ind w:left="900" w:hanging="900"/>
        <w:jc w:val="both"/>
        <w:rPr>
          <w:rFonts w:ascii="Book Antiqua" w:hAnsi="Book Antiqua"/>
        </w:rPr>
      </w:pPr>
      <w:hyperlink r:id="rId243" w:history="1">
        <w:r w:rsidR="00936980" w:rsidRPr="00E3232D">
          <w:rPr>
            <w:rStyle w:val="Hyperlink"/>
            <w:rFonts w:ascii="Book Antiqua" w:hAnsi="Book Antiqua"/>
          </w:rPr>
          <w:t>www.map.ren21.net/GSR/GSR2012.pdf</w:t>
        </w:r>
      </w:hyperlink>
      <w:r w:rsidR="00936980" w:rsidRPr="00E3232D">
        <w:rPr>
          <w:rFonts w:ascii="Book Antiqua" w:hAnsi="Book Antiqua"/>
        </w:rPr>
        <w:t xml:space="preserve"> [Accessed 12-03-13]</w:t>
      </w:r>
    </w:p>
    <w:p w14:paraId="461D10FD" w14:textId="77777777" w:rsidR="00936980" w:rsidRPr="00050BBA" w:rsidRDefault="00936980" w:rsidP="00050BBA">
      <w:pPr>
        <w:autoSpaceDE w:val="0"/>
        <w:autoSpaceDN w:val="0"/>
        <w:adjustRightInd w:val="0"/>
        <w:ind w:left="900" w:hanging="900"/>
        <w:jc w:val="both"/>
        <w:rPr>
          <w:rFonts w:ascii="Book Antiqua" w:hAnsi="Book Antiqua"/>
        </w:rPr>
      </w:pPr>
      <w:r w:rsidRPr="00050BBA">
        <w:rPr>
          <w:rFonts w:ascii="Book Antiqua" w:hAnsi="Book Antiqua"/>
        </w:rPr>
        <w:t xml:space="preserve"> Public Utilities Regulation Commission (PURC), Ghana 2013  http://www.purc.com.gh/purc/sites/default/files/tariffs2010.pdf  [assessed 10/01/13] </w:t>
      </w:r>
    </w:p>
    <w:p w14:paraId="64218669" w14:textId="77777777" w:rsidR="00936980" w:rsidRPr="00050BBA" w:rsidRDefault="00936980" w:rsidP="00050BBA">
      <w:pPr>
        <w:ind w:left="900" w:hanging="900"/>
        <w:jc w:val="both"/>
        <w:rPr>
          <w:rFonts w:ascii="Book Antiqua" w:hAnsi="Book Antiqua"/>
        </w:rPr>
      </w:pPr>
      <w:r w:rsidRPr="00050BBA">
        <w:rPr>
          <w:rFonts w:ascii="Book Antiqua" w:hAnsi="Book Antiqua"/>
        </w:rPr>
        <w:t>Markvart, T. (2000) Solar electricity. 2 uppl. Chichester: Wiley. (280 s) ISBN 0-471-98852-9</w:t>
      </w:r>
    </w:p>
    <w:p w14:paraId="752E5570" w14:textId="77777777" w:rsidR="00936980" w:rsidRDefault="00936980" w:rsidP="00050BBA">
      <w:pPr>
        <w:pStyle w:val="ListParagraph"/>
        <w:autoSpaceDE w:val="0"/>
        <w:autoSpaceDN w:val="0"/>
        <w:adjustRightInd w:val="0"/>
        <w:jc w:val="both"/>
        <w:rPr>
          <w:rFonts w:ascii="Book Antiqua" w:hAnsi="Book Antiqua"/>
        </w:rPr>
        <w:sectPr w:rsidR="00936980" w:rsidSect="002319C6">
          <w:footerReference w:type="default" r:id="rId244"/>
          <w:type w:val="continuous"/>
          <w:pgSz w:w="11907" w:h="16839" w:code="9"/>
          <w:pgMar w:top="1440" w:right="1440" w:bottom="1440" w:left="2160" w:header="720" w:footer="720" w:gutter="0"/>
          <w:cols w:num="2" w:space="720"/>
          <w:docGrid w:linePitch="360"/>
        </w:sectPr>
      </w:pPr>
    </w:p>
    <w:p w14:paraId="0D90AE17" w14:textId="77777777" w:rsidR="00936980" w:rsidRPr="00E3232D" w:rsidRDefault="00936980" w:rsidP="00050BBA">
      <w:pPr>
        <w:pStyle w:val="ListParagraph"/>
        <w:autoSpaceDE w:val="0"/>
        <w:autoSpaceDN w:val="0"/>
        <w:adjustRightInd w:val="0"/>
        <w:rPr>
          <w:rFonts w:ascii="Book Antiqua" w:hAnsi="Book Antiqua"/>
        </w:rPr>
      </w:pPr>
    </w:p>
    <w:p w14:paraId="02735A56" w14:textId="77777777" w:rsidR="0053177A" w:rsidRDefault="0053177A" w:rsidP="00050BBA">
      <w:pPr>
        <w:jc w:val="center"/>
        <w:rPr>
          <w:rFonts w:ascii="Book Antiqua" w:hAnsi="Book Antiqua"/>
          <w:color w:val="000000"/>
        </w:rPr>
        <w:sectPr w:rsidR="0053177A" w:rsidSect="002319C6">
          <w:type w:val="continuous"/>
          <w:pgSz w:w="11907" w:h="16839" w:code="9"/>
          <w:pgMar w:top="1440" w:right="1440" w:bottom="1440" w:left="1440" w:header="0" w:footer="720" w:gutter="0"/>
          <w:cols w:num="2" w:space="720"/>
          <w:titlePg/>
          <w:docGrid w:linePitch="360"/>
        </w:sectPr>
      </w:pPr>
    </w:p>
    <w:p w14:paraId="1E5D4EA4" w14:textId="77777777" w:rsidR="0053177A" w:rsidRDefault="0053177A" w:rsidP="00050BBA">
      <w:pPr>
        <w:jc w:val="center"/>
        <w:rPr>
          <w:rFonts w:ascii="Book Antiqua" w:hAnsi="Book Antiqua"/>
          <w:b/>
          <w:sz w:val="26"/>
          <w:szCs w:val="26"/>
        </w:rPr>
      </w:pPr>
      <w:r w:rsidRPr="00DE4BEC">
        <w:rPr>
          <w:rFonts w:ascii="Book Antiqua" w:hAnsi="Book Antiqua"/>
          <w:b/>
          <w:sz w:val="26"/>
          <w:szCs w:val="26"/>
        </w:rPr>
        <w:t>Service Qual</w:t>
      </w:r>
      <w:r>
        <w:rPr>
          <w:rFonts w:ascii="Book Antiqua" w:hAnsi="Book Antiqua"/>
          <w:b/>
          <w:sz w:val="26"/>
          <w:szCs w:val="26"/>
        </w:rPr>
        <w:t>ity Among ‘Chop Bar’ Operators i</w:t>
      </w:r>
      <w:r w:rsidRPr="00DE4BEC">
        <w:rPr>
          <w:rFonts w:ascii="Book Antiqua" w:hAnsi="Book Antiqua"/>
          <w:b/>
          <w:sz w:val="26"/>
          <w:szCs w:val="26"/>
        </w:rPr>
        <w:t>n Koforidua, Eastern Region, Ghana.</w:t>
      </w:r>
    </w:p>
    <w:p w14:paraId="7C9EA24C" w14:textId="77777777" w:rsidR="0053177A" w:rsidRPr="005F71D8" w:rsidRDefault="00761254" w:rsidP="00761254">
      <w:pPr>
        <w:tabs>
          <w:tab w:val="center" w:pos="4513"/>
          <w:tab w:val="right" w:pos="9027"/>
        </w:tabs>
        <w:spacing w:after="0"/>
        <w:rPr>
          <w:rFonts w:ascii="Book Antiqua" w:hAnsi="Book Antiqua"/>
          <w:b/>
          <w:bCs/>
        </w:rPr>
      </w:pPr>
      <w:r>
        <w:rPr>
          <w:rFonts w:ascii="Book Antiqua" w:hAnsi="Book Antiqua"/>
          <w:b/>
          <w:bCs/>
        </w:rPr>
        <w:tab/>
      </w:r>
      <w:r w:rsidR="0053177A" w:rsidRPr="005F71D8">
        <w:rPr>
          <w:rFonts w:ascii="Book Antiqua" w:hAnsi="Book Antiqua"/>
          <w:b/>
          <w:bCs/>
        </w:rPr>
        <w:t xml:space="preserve">Ayittah S.K, Yaw B., </w:t>
      </w:r>
      <w:r w:rsidR="0053177A">
        <w:rPr>
          <w:rFonts w:ascii="Book Antiqua" w:hAnsi="Book Antiqua"/>
          <w:b/>
          <w:bCs/>
        </w:rPr>
        <w:t xml:space="preserve">&amp; </w:t>
      </w:r>
      <w:r w:rsidR="0053177A" w:rsidRPr="005F71D8">
        <w:rPr>
          <w:rFonts w:ascii="Book Antiqua" w:hAnsi="Book Antiqua"/>
          <w:b/>
          <w:bCs/>
        </w:rPr>
        <w:t>Addae-Boateng S.</w:t>
      </w:r>
      <w:r>
        <w:rPr>
          <w:rFonts w:ascii="Book Antiqua" w:hAnsi="Book Antiqua"/>
          <w:b/>
          <w:bCs/>
        </w:rPr>
        <w:tab/>
      </w:r>
    </w:p>
    <w:p w14:paraId="6CC541B5" w14:textId="77777777" w:rsidR="0053177A" w:rsidRPr="00DE4BEC" w:rsidRDefault="0053177A" w:rsidP="0053177A">
      <w:pPr>
        <w:spacing w:after="0"/>
        <w:jc w:val="center"/>
        <w:rPr>
          <w:rFonts w:ascii="Book Antiqua" w:hAnsi="Book Antiqua"/>
          <w:bCs/>
        </w:rPr>
      </w:pPr>
      <w:r w:rsidRPr="00DE4BEC">
        <w:rPr>
          <w:rFonts w:ascii="Book Antiqua" w:hAnsi="Book Antiqua"/>
          <w:bCs/>
        </w:rPr>
        <w:t>Department of Marketing, Koforidua Polytechnic, Eastern Region, Ghana</w:t>
      </w:r>
    </w:p>
    <w:p w14:paraId="66769F95" w14:textId="77777777" w:rsidR="0053177A" w:rsidRPr="00DE4BEC" w:rsidRDefault="0053177A" w:rsidP="0053177A">
      <w:pPr>
        <w:spacing w:after="0"/>
        <w:ind w:left="720" w:hanging="720"/>
        <w:rPr>
          <w:rFonts w:ascii="Book Antiqua" w:hAnsi="Book Antiqua"/>
        </w:rPr>
      </w:pPr>
    </w:p>
    <w:p w14:paraId="6FD50772" w14:textId="77777777" w:rsidR="0053177A" w:rsidRPr="00E3232D" w:rsidRDefault="0053177A" w:rsidP="0053177A">
      <w:pPr>
        <w:rPr>
          <w:rFonts w:ascii="Book Antiqua" w:hAnsi="Book Antiqua"/>
          <w:b/>
        </w:rPr>
      </w:pPr>
      <w:r w:rsidRPr="00D12C4C">
        <w:rPr>
          <w:rFonts w:ascii="Book Antiqua" w:hAnsi="Book Antiqua"/>
          <w:b/>
          <w:sz w:val="26"/>
          <w:lang w:val="en-GB"/>
        </w:rPr>
        <w:t>Abstract</w:t>
      </w:r>
    </w:p>
    <w:p w14:paraId="5A8B84F7" w14:textId="77777777" w:rsidR="0053177A" w:rsidRPr="00E3232D" w:rsidRDefault="0053177A" w:rsidP="003F57BD">
      <w:pPr>
        <w:jc w:val="both"/>
        <w:rPr>
          <w:rFonts w:ascii="Book Antiqua" w:hAnsi="Book Antiqua"/>
          <w:b/>
        </w:rPr>
      </w:pPr>
      <w:r w:rsidRPr="00E3232D">
        <w:rPr>
          <w:rFonts w:ascii="Book Antiqua" w:hAnsi="Book Antiqua"/>
        </w:rPr>
        <w:t xml:space="preserve">The study attempts to assess the quality of customer service among chop bars in Koforidua to identify customer service gaps that need to be filled for improved service quality to facilitate customer loyalty and business growth. The study evaluated the tangibles; reliability in delivering service; responsiveness of staff; level of assurance; and the level of empathy of staff towards customers. Snowball sampling was used in selecting 5 chop bars. A sample of 200 customers was used. Convenience sampling was used in selecting the 40 customers for each of the 5 chop bars. Purposive sampling was used to interview the owners of the chop bars. Self-administered questionnaire comprising 17 close-ended and 3 open-ended questions were used. 14 of the 17 questions were designed on Likert 5-point attitude evaluation scale. The study indicated that 70% of the customers are satisfied with service quality of the chop bars, but 30% are not. This means that there are still significant service quality gaps that the chop bars must endeavour to close to improve customer loyalty and business growth.  </w:t>
      </w:r>
    </w:p>
    <w:p w14:paraId="3578EEF1" w14:textId="77777777" w:rsidR="0053177A" w:rsidRPr="00E3232D" w:rsidRDefault="0053177A" w:rsidP="0053177A">
      <w:pPr>
        <w:spacing w:after="240"/>
        <w:rPr>
          <w:rFonts w:ascii="Book Antiqua" w:hAnsi="Book Antiqua"/>
          <w:b/>
          <w:bCs/>
        </w:rPr>
      </w:pPr>
      <w:r w:rsidRPr="00E3232D">
        <w:rPr>
          <w:rFonts w:ascii="Book Antiqua" w:hAnsi="Book Antiqua"/>
          <w:b/>
          <w:bCs/>
        </w:rPr>
        <w:t>Key words:</w:t>
      </w:r>
      <w:r w:rsidRPr="00E3232D">
        <w:rPr>
          <w:rFonts w:ascii="Book Antiqua" w:hAnsi="Book Antiqua"/>
        </w:rPr>
        <w:t xml:space="preserve"> tangibles; reliability; responsiveness; assurance, and empathy.</w:t>
      </w:r>
    </w:p>
    <w:p w14:paraId="7B736D03" w14:textId="77777777" w:rsidR="0053177A" w:rsidRDefault="0053177A" w:rsidP="008275E1">
      <w:pPr>
        <w:rPr>
          <w:rFonts w:ascii="Book Antiqua" w:hAnsi="Book Antiqua"/>
          <w:color w:val="000000"/>
        </w:rPr>
        <w:sectPr w:rsidR="0053177A" w:rsidSect="0053177A">
          <w:type w:val="continuous"/>
          <w:pgSz w:w="11907" w:h="16839" w:code="9"/>
          <w:pgMar w:top="1440" w:right="1440" w:bottom="1440" w:left="1440" w:header="0" w:footer="720" w:gutter="0"/>
          <w:cols w:space="720"/>
          <w:titlePg/>
          <w:docGrid w:linePitch="360"/>
        </w:sectPr>
      </w:pPr>
    </w:p>
    <w:p w14:paraId="162A07A6" w14:textId="77777777" w:rsidR="002319C6" w:rsidRDefault="002319C6" w:rsidP="008275E1">
      <w:pPr>
        <w:rPr>
          <w:rFonts w:ascii="Book Antiqua" w:hAnsi="Book Antiqua"/>
          <w:color w:val="000000"/>
        </w:rPr>
      </w:pPr>
    </w:p>
    <w:p w14:paraId="65743302" w14:textId="77777777" w:rsidR="00E3179F" w:rsidRPr="00E3232D" w:rsidRDefault="008214F9" w:rsidP="003F57BD">
      <w:pPr>
        <w:jc w:val="both"/>
        <w:rPr>
          <w:rFonts w:ascii="Book Antiqua" w:hAnsi="Book Antiqua"/>
          <w:b/>
          <w:bCs/>
        </w:rPr>
      </w:pPr>
      <w:r>
        <w:rPr>
          <w:rFonts w:ascii="Book Antiqua" w:hAnsi="Book Antiqua"/>
          <w:b/>
          <w:bCs/>
          <w:sz w:val="24"/>
        </w:rPr>
        <w:t xml:space="preserve">1.0 </w:t>
      </w:r>
      <w:r w:rsidR="00E3179F" w:rsidRPr="008214F9">
        <w:rPr>
          <w:rFonts w:ascii="Book Antiqua" w:hAnsi="Book Antiqua"/>
          <w:b/>
          <w:bCs/>
          <w:sz w:val="26"/>
        </w:rPr>
        <w:t>Introduction</w:t>
      </w:r>
    </w:p>
    <w:p w14:paraId="35D5CD69" w14:textId="77777777" w:rsidR="00E3179F" w:rsidRDefault="00E3179F" w:rsidP="003F57BD">
      <w:pPr>
        <w:jc w:val="both"/>
        <w:rPr>
          <w:rFonts w:ascii="Book Antiqua" w:hAnsi="Book Antiqua"/>
        </w:rPr>
      </w:pPr>
      <w:r w:rsidRPr="00E3232D">
        <w:rPr>
          <w:rFonts w:ascii="Book Antiqua" w:hAnsi="Book Antiqua"/>
        </w:rPr>
        <w:t>There is no doubt that competition has become more intense across</w:t>
      </w:r>
      <w:r>
        <w:rPr>
          <w:rFonts w:ascii="Book Antiqua" w:hAnsi="Book Antiqua"/>
        </w:rPr>
        <w:t xml:space="preserve"> </w:t>
      </w:r>
      <w:r w:rsidRPr="00E3232D">
        <w:rPr>
          <w:rFonts w:ascii="Book Antiqua" w:hAnsi="Book Antiqua"/>
        </w:rPr>
        <w:t xml:space="preserve">industries. Consequently, many organizations have realized that it is no longer enough to compete on the traditional elements of marketing, namely product quality, promotion, distribution, and price only. In view of this, most contemporary organizations that are success-oriented are gradually realizing how effective and competitive customer service or customer cares trategy can be used to differentiate their products and services from the competition to facilitate customer loyalty </w:t>
      </w:r>
    </w:p>
    <w:p w14:paraId="66360E62" w14:textId="77777777" w:rsidR="00E3179F" w:rsidRDefault="00E3179F" w:rsidP="003F57BD">
      <w:pPr>
        <w:jc w:val="both"/>
        <w:rPr>
          <w:rFonts w:ascii="Book Antiqua" w:hAnsi="Book Antiqua"/>
        </w:rPr>
      </w:pPr>
    </w:p>
    <w:p w14:paraId="42D2AC41" w14:textId="77777777" w:rsidR="00E3179F" w:rsidRDefault="00E3179F" w:rsidP="003F57BD">
      <w:pPr>
        <w:jc w:val="both"/>
        <w:rPr>
          <w:rFonts w:ascii="Book Antiqua" w:hAnsi="Book Antiqua"/>
        </w:rPr>
      </w:pPr>
    </w:p>
    <w:p w14:paraId="27270D9C" w14:textId="77777777" w:rsidR="00E3179F" w:rsidRDefault="00E3179F" w:rsidP="003F57BD">
      <w:pPr>
        <w:jc w:val="both"/>
        <w:rPr>
          <w:rFonts w:ascii="Book Antiqua" w:hAnsi="Book Antiqua"/>
        </w:rPr>
      </w:pPr>
    </w:p>
    <w:p w14:paraId="2041E4E7" w14:textId="77777777" w:rsidR="00E3179F" w:rsidRPr="00E3232D" w:rsidRDefault="00E3179F" w:rsidP="003F57BD">
      <w:pPr>
        <w:jc w:val="both"/>
        <w:rPr>
          <w:rFonts w:ascii="Book Antiqua" w:hAnsi="Book Antiqua"/>
        </w:rPr>
      </w:pPr>
      <w:r w:rsidRPr="00E3232D">
        <w:rPr>
          <w:rFonts w:ascii="Book Antiqua" w:hAnsi="Book Antiqua"/>
        </w:rPr>
        <w:t>and long-run business survival.“Chop bars” (small local restaurants) in Ghana are not left out in this trend. However, the quality of customer service delivery among most of the bars seem to be mediocre. The study attempts to examine the quality of customer service delivery at these chop bars to identify service delivery gaps that should be filled to improve customer satisfaction and loyalty.</w:t>
      </w:r>
    </w:p>
    <w:p w14:paraId="1AF7337C" w14:textId="77777777" w:rsidR="002319C6" w:rsidRDefault="002319C6" w:rsidP="003F57BD">
      <w:pPr>
        <w:jc w:val="both"/>
        <w:rPr>
          <w:rFonts w:ascii="Book Antiqua" w:hAnsi="Book Antiqua"/>
          <w:color w:val="000000"/>
        </w:rPr>
      </w:pPr>
    </w:p>
    <w:p w14:paraId="187ECD0D" w14:textId="77777777" w:rsidR="002319C6" w:rsidRDefault="002319C6" w:rsidP="008275E1">
      <w:pPr>
        <w:rPr>
          <w:rFonts w:ascii="Book Antiqua" w:hAnsi="Book Antiqua"/>
          <w:color w:val="000000"/>
        </w:rPr>
      </w:pPr>
    </w:p>
    <w:p w14:paraId="538D3D9E" w14:textId="77777777" w:rsidR="002319C6" w:rsidRDefault="002319C6" w:rsidP="008275E1">
      <w:pPr>
        <w:rPr>
          <w:rFonts w:ascii="Book Antiqua" w:hAnsi="Book Antiqua"/>
          <w:color w:val="000000"/>
        </w:rPr>
      </w:pPr>
    </w:p>
    <w:p w14:paraId="6C81C4B1" w14:textId="77777777" w:rsidR="00936980" w:rsidRDefault="00936980" w:rsidP="008275E1">
      <w:pPr>
        <w:rPr>
          <w:rFonts w:ascii="Book Antiqua" w:hAnsi="Book Antiqua"/>
          <w:color w:val="000000"/>
        </w:rPr>
        <w:sectPr w:rsidR="00936980" w:rsidSect="0053177A">
          <w:type w:val="continuous"/>
          <w:pgSz w:w="11907" w:h="16839" w:code="9"/>
          <w:pgMar w:top="1440" w:right="1440" w:bottom="1440" w:left="1440" w:header="0" w:footer="720" w:gutter="0"/>
          <w:cols w:num="2" w:space="720"/>
          <w:titlePg/>
          <w:docGrid w:linePitch="360"/>
        </w:sectPr>
      </w:pPr>
    </w:p>
    <w:p w14:paraId="4963A287" w14:textId="77777777" w:rsidR="002319C6" w:rsidRPr="00E3232D" w:rsidRDefault="002319C6" w:rsidP="008275E1">
      <w:pPr>
        <w:rPr>
          <w:rFonts w:ascii="Book Antiqua" w:hAnsi="Book Antiqua"/>
          <w:color w:val="000000"/>
        </w:rPr>
      </w:pPr>
    </w:p>
    <w:p w14:paraId="0E5EE1FF" w14:textId="77777777" w:rsidR="00BD61C8" w:rsidRPr="002319C6" w:rsidRDefault="00BD61C8" w:rsidP="002319C6">
      <w:pPr>
        <w:pageBreakBefore/>
        <w:autoSpaceDE w:val="0"/>
        <w:autoSpaceDN w:val="0"/>
        <w:adjustRightInd w:val="0"/>
        <w:rPr>
          <w:rFonts w:ascii="Book Antiqua" w:hAnsi="Book Antiqua"/>
        </w:rPr>
        <w:sectPr w:rsidR="00BD61C8" w:rsidRPr="002319C6" w:rsidSect="0053177A">
          <w:type w:val="continuous"/>
          <w:pgSz w:w="11907" w:h="16839" w:code="9"/>
          <w:pgMar w:top="1440" w:right="1440" w:bottom="1440" w:left="1440" w:header="0" w:footer="720" w:gutter="0"/>
          <w:cols w:num="2" w:space="720"/>
          <w:titlePg/>
          <w:docGrid w:linePitch="360"/>
        </w:sectPr>
      </w:pPr>
    </w:p>
    <w:p w14:paraId="6910BC04" w14:textId="77777777" w:rsidR="00936980" w:rsidRPr="00E3232D" w:rsidRDefault="00936980" w:rsidP="003F57BD">
      <w:pPr>
        <w:jc w:val="both"/>
        <w:rPr>
          <w:rFonts w:ascii="Book Antiqua" w:hAnsi="Book Antiqua"/>
          <w:b/>
        </w:rPr>
      </w:pPr>
      <w:r w:rsidRPr="00E3232D">
        <w:rPr>
          <w:rFonts w:ascii="Book Antiqua" w:hAnsi="Book Antiqua"/>
          <w:b/>
          <w:lang w:val="en-GB"/>
        </w:rPr>
        <w:t xml:space="preserve">Service </w:t>
      </w:r>
      <w:r w:rsidR="008214F9" w:rsidRPr="00E3232D">
        <w:rPr>
          <w:rFonts w:ascii="Book Antiqua" w:hAnsi="Book Antiqua"/>
          <w:b/>
          <w:lang w:val="en-GB"/>
        </w:rPr>
        <w:t>Quality</w:t>
      </w:r>
    </w:p>
    <w:p w14:paraId="4209D120" w14:textId="77777777" w:rsidR="00936980" w:rsidRDefault="00936980" w:rsidP="003F57BD">
      <w:pPr>
        <w:jc w:val="both"/>
        <w:rPr>
          <w:rFonts w:ascii="Book Antiqua" w:hAnsi="Book Antiqua"/>
          <w:b/>
        </w:rPr>
      </w:pPr>
      <w:r w:rsidRPr="00E3232D">
        <w:rPr>
          <w:rFonts w:ascii="Book Antiqua" w:hAnsi="Book Antiqua"/>
          <w:lang w:val="en-GB"/>
        </w:rPr>
        <w:t xml:space="preserve">Service quality is influenced by expectations, process quality and output quality. In other words, the standard of service is defined by customers who have experienced that service and used their experience and feelings to form judgement (Chen </w:t>
      </w:r>
      <w:r w:rsidRPr="00E3232D">
        <w:rPr>
          <w:rFonts w:ascii="Book Antiqua" w:hAnsi="Book Antiqua"/>
          <w:i/>
          <w:lang w:val="en-GB"/>
        </w:rPr>
        <w:t>et al</w:t>
      </w:r>
      <w:r w:rsidRPr="00E3232D">
        <w:rPr>
          <w:rFonts w:ascii="Book Antiqua" w:hAnsi="Book Antiqua"/>
          <w:lang w:val="en-GB"/>
        </w:rPr>
        <w:t xml:space="preserve">., 2001). Customer service quality and customer satisfaction are so closely related that one can hardly talk about one without the other.  </w:t>
      </w:r>
      <w:r w:rsidRPr="00E3232D">
        <w:rPr>
          <w:rFonts w:ascii="Book Antiqua" w:hAnsi="Book Antiqua"/>
        </w:rPr>
        <w:t>According to Palmer (2008) ‘quality is determined by the difference between what a customer expects and the perceived level of actual performance’. These findings have evolved from a set of qualitative marketing research procedures, culminating in quantitative technique for measuring service quality that is known as SERVQUAL (Parasuraman</w:t>
      </w:r>
      <w:r w:rsidRPr="00E3232D">
        <w:rPr>
          <w:rFonts w:ascii="Book Antiqua" w:hAnsi="Book Antiqua"/>
          <w:i/>
        </w:rPr>
        <w:t xml:space="preserve">et al., </w:t>
      </w:r>
      <w:r w:rsidRPr="00E3232D">
        <w:rPr>
          <w:rFonts w:ascii="Book Antiqua" w:hAnsi="Book Antiqua"/>
        </w:rPr>
        <w:t>1985). The SERVQUAL model has been widely applied in the service industry.The SERVQUAL model can be used by companies to better understand the expectations and perceptions of their customers. It is applicable across a broad range of services industries and can be easily modified to take account of the specific requirements of a company. In a nutshell, the model provides a framework or guideline for an investigatory instrument, which can be adapted or added to as needed. SERVQUAL is originally based on a generic 22-item questionnaire, which is designed to cover five broad dimensions of service quality that the research team consolidated from their original qualitative investigations. The five dimensions covered, with some description of each of them are as follows</w:t>
      </w:r>
      <w:r>
        <w:rPr>
          <w:rFonts w:ascii="Book Antiqua" w:hAnsi="Book Antiqua"/>
        </w:rPr>
        <w:t>:</w:t>
      </w:r>
    </w:p>
    <w:p w14:paraId="0DA89324" w14:textId="77777777" w:rsidR="00936980" w:rsidRPr="00936980" w:rsidRDefault="00936980" w:rsidP="003F57BD">
      <w:pPr>
        <w:jc w:val="both"/>
        <w:rPr>
          <w:rFonts w:ascii="Book Antiqua" w:hAnsi="Book Antiqua"/>
        </w:rPr>
      </w:pPr>
      <w:r w:rsidRPr="00E3232D">
        <w:rPr>
          <w:rFonts w:ascii="Book Antiqua" w:hAnsi="Book Antiqua"/>
          <w:b/>
          <w:i/>
        </w:rPr>
        <w:t>Dimensions for Evaluating Service Quality</w:t>
      </w:r>
    </w:p>
    <w:p w14:paraId="17218FBE" w14:textId="77777777" w:rsidR="00936980" w:rsidRPr="00E3232D" w:rsidRDefault="00936980" w:rsidP="003F57BD">
      <w:pPr>
        <w:jc w:val="both"/>
        <w:rPr>
          <w:rFonts w:ascii="Book Antiqua" w:hAnsi="Book Antiqua"/>
        </w:rPr>
      </w:pPr>
      <w:r w:rsidRPr="00E3232D">
        <w:rPr>
          <w:rFonts w:ascii="Book Antiqua" w:hAnsi="Book Antiqua"/>
        </w:rPr>
        <w:t>Based on this service-quality model, researchers have identified the following five determinants of service quality in order of importance (Berry and Parasuraman, 1991):</w:t>
      </w:r>
    </w:p>
    <w:p w14:paraId="7D942052" w14:textId="77777777" w:rsidR="00936980" w:rsidRPr="00E3232D" w:rsidRDefault="00936980" w:rsidP="00196385">
      <w:pPr>
        <w:pStyle w:val="ListParagraph"/>
        <w:numPr>
          <w:ilvl w:val="0"/>
          <w:numId w:val="84"/>
        </w:numPr>
        <w:ind w:left="1080"/>
        <w:jc w:val="both"/>
        <w:rPr>
          <w:rFonts w:ascii="Book Antiqua" w:hAnsi="Book Antiqua"/>
        </w:rPr>
      </w:pPr>
      <w:r w:rsidRPr="00E3232D">
        <w:rPr>
          <w:rFonts w:ascii="Book Antiqua" w:hAnsi="Book Antiqua"/>
          <w:b/>
          <w:i/>
        </w:rPr>
        <w:t>Reliability</w:t>
      </w:r>
      <w:r w:rsidRPr="00E3232D">
        <w:rPr>
          <w:rFonts w:ascii="Book Antiqua" w:hAnsi="Book Antiqua"/>
          <w:i/>
        </w:rPr>
        <w:t>:</w:t>
      </w:r>
      <w:r w:rsidRPr="00E3232D">
        <w:rPr>
          <w:rFonts w:ascii="Book Antiqua" w:hAnsi="Book Antiqua"/>
        </w:rPr>
        <w:t xml:space="preserve"> Ability to perform the promised service dependably with consistency and accuracy. Reliability means performing the service right the first time.</w:t>
      </w:r>
    </w:p>
    <w:p w14:paraId="36A8E1C0" w14:textId="77777777" w:rsidR="00936980" w:rsidRPr="00E3232D" w:rsidRDefault="00936980" w:rsidP="00196385">
      <w:pPr>
        <w:pStyle w:val="ListParagraph"/>
        <w:numPr>
          <w:ilvl w:val="0"/>
          <w:numId w:val="84"/>
        </w:numPr>
        <w:ind w:left="1080"/>
        <w:jc w:val="both"/>
        <w:rPr>
          <w:rFonts w:ascii="Book Antiqua" w:hAnsi="Book Antiqua"/>
        </w:rPr>
      </w:pPr>
      <w:r w:rsidRPr="00E3232D">
        <w:rPr>
          <w:rFonts w:ascii="Book Antiqua" w:hAnsi="Book Antiqua"/>
          <w:b/>
          <w:i/>
        </w:rPr>
        <w:t>Responsiveness</w:t>
      </w:r>
      <w:r w:rsidRPr="00E3232D">
        <w:rPr>
          <w:rFonts w:ascii="Book Antiqua" w:hAnsi="Book Antiqua"/>
          <w:i/>
        </w:rPr>
        <w:t>:</w:t>
      </w:r>
      <w:r w:rsidRPr="00E3232D">
        <w:rPr>
          <w:rFonts w:ascii="Book Antiqua" w:hAnsi="Book Antiqua"/>
        </w:rPr>
        <w:t xml:space="preserve"> The willingness to help customers and to provide prompt service.</w:t>
      </w:r>
    </w:p>
    <w:p w14:paraId="07E95540" w14:textId="77777777" w:rsidR="00936980" w:rsidRPr="00E3232D" w:rsidRDefault="00936980" w:rsidP="00196385">
      <w:pPr>
        <w:pStyle w:val="ListParagraph"/>
        <w:numPr>
          <w:ilvl w:val="0"/>
          <w:numId w:val="84"/>
        </w:numPr>
        <w:ind w:left="1080"/>
        <w:jc w:val="both"/>
        <w:rPr>
          <w:rFonts w:ascii="Book Antiqua" w:hAnsi="Book Antiqua"/>
        </w:rPr>
      </w:pPr>
      <w:r w:rsidRPr="00E3232D">
        <w:rPr>
          <w:rFonts w:ascii="Book Antiqua" w:hAnsi="Book Antiqua"/>
          <w:b/>
          <w:i/>
        </w:rPr>
        <w:t>Assurance</w:t>
      </w:r>
      <w:r w:rsidRPr="00E3232D">
        <w:rPr>
          <w:rFonts w:ascii="Book Antiqua" w:hAnsi="Book Antiqua"/>
        </w:rPr>
        <w:t>: The knowledge and courtesy of employees and their ability to convey trust and confidence.</w:t>
      </w:r>
    </w:p>
    <w:p w14:paraId="1D782B34" w14:textId="77777777" w:rsidR="00936980" w:rsidRPr="00E3232D" w:rsidRDefault="00936980" w:rsidP="00196385">
      <w:pPr>
        <w:pStyle w:val="ListParagraph"/>
        <w:numPr>
          <w:ilvl w:val="0"/>
          <w:numId w:val="84"/>
        </w:numPr>
        <w:ind w:left="1080"/>
        <w:jc w:val="both"/>
        <w:rPr>
          <w:rFonts w:ascii="Book Antiqua" w:hAnsi="Book Antiqua"/>
        </w:rPr>
      </w:pPr>
      <w:r w:rsidRPr="00E3232D">
        <w:rPr>
          <w:rFonts w:ascii="Book Antiqua" w:hAnsi="Book Antiqua"/>
          <w:b/>
          <w:i/>
        </w:rPr>
        <w:t>Empathy</w:t>
      </w:r>
      <w:r w:rsidRPr="00E3232D">
        <w:rPr>
          <w:rFonts w:ascii="Book Antiqua" w:hAnsi="Book Antiqua"/>
        </w:rPr>
        <w:t xml:space="preserve">: The provision of caring and individual attention to customers’ problems. </w:t>
      </w:r>
    </w:p>
    <w:p w14:paraId="261E3126" w14:textId="77777777" w:rsidR="00936980" w:rsidRPr="008214F9" w:rsidRDefault="00936980" w:rsidP="00196385">
      <w:pPr>
        <w:pStyle w:val="ListParagraph"/>
        <w:numPr>
          <w:ilvl w:val="0"/>
          <w:numId w:val="84"/>
        </w:numPr>
        <w:ind w:left="1080"/>
        <w:jc w:val="both"/>
        <w:rPr>
          <w:rFonts w:ascii="Book Antiqua" w:hAnsi="Book Antiqua"/>
        </w:rPr>
      </w:pPr>
      <w:r w:rsidRPr="00E3232D">
        <w:rPr>
          <w:rFonts w:ascii="Book Antiqua" w:hAnsi="Book Antiqua"/>
          <w:b/>
          <w:i/>
        </w:rPr>
        <w:t>Tangibles</w:t>
      </w:r>
      <w:r w:rsidRPr="00E3232D">
        <w:rPr>
          <w:rFonts w:ascii="Book Antiqua" w:hAnsi="Book Antiqua"/>
        </w:rPr>
        <w:t>: The appearance of physical facilities, such as cutlery and furniture sets, television and radio sets, the building, equipment, personnel, communication materials, etc.</w:t>
      </w:r>
    </w:p>
    <w:p w14:paraId="6F504EAD" w14:textId="77777777" w:rsidR="00936980" w:rsidRPr="00E3232D" w:rsidRDefault="00936980" w:rsidP="003F57BD">
      <w:pPr>
        <w:jc w:val="both"/>
        <w:rPr>
          <w:rFonts w:ascii="Book Antiqua" w:hAnsi="Book Antiqua"/>
        </w:rPr>
      </w:pPr>
      <w:r w:rsidRPr="00E3232D">
        <w:rPr>
          <w:rFonts w:ascii="Book Antiqua" w:hAnsi="Book Antiqua"/>
        </w:rPr>
        <w:t>This framework was used to guide this study in measuring customer service quality and satisfaction levels among customers of the selected chop bars.  Literature on the topic indicates that, while the majority of research suggests that service quality is a vital antecedent to customer satisfaction (Parasuraman</w:t>
      </w:r>
      <w:r w:rsidRPr="00E3232D">
        <w:rPr>
          <w:rFonts w:ascii="Book Antiqua" w:hAnsi="Book Antiqua"/>
          <w:i/>
        </w:rPr>
        <w:t>et al</w:t>
      </w:r>
      <w:r w:rsidRPr="00E3232D">
        <w:rPr>
          <w:rFonts w:ascii="Book Antiqua" w:hAnsi="Book Antiqua"/>
        </w:rPr>
        <w:t xml:space="preserve">., 1985; Cronin and Taylor, 1992), there is also evidence to suggest that satisfaction may be a vital antecedent of service quality (Bitner, 1990). Irrespective of which view is taken, the fact remains that the relationship between satisfaction and service quality is strong when examined from either direction. </w:t>
      </w:r>
    </w:p>
    <w:p w14:paraId="76E734D0" w14:textId="77777777" w:rsidR="00936980" w:rsidRPr="003F57BD" w:rsidRDefault="00936980" w:rsidP="003F57BD">
      <w:pPr>
        <w:jc w:val="both"/>
        <w:rPr>
          <w:rFonts w:ascii="Book Antiqua" w:hAnsi="Book Antiqua"/>
        </w:rPr>
      </w:pPr>
      <w:r w:rsidRPr="00E3232D">
        <w:rPr>
          <w:rFonts w:ascii="Book Antiqua" w:hAnsi="Book Antiqua"/>
        </w:rPr>
        <w:t xml:space="preserve">Thus, satisfaction affects assessment of service quality and assessment of service quality affects satisfaction (McAlexander </w:t>
      </w:r>
      <w:r w:rsidRPr="00E3232D">
        <w:rPr>
          <w:rFonts w:ascii="Book Antiqua" w:hAnsi="Book Antiqua"/>
          <w:i/>
        </w:rPr>
        <w:t>et al</w:t>
      </w:r>
      <w:r w:rsidRPr="00E3232D">
        <w:rPr>
          <w:rFonts w:ascii="Book Antiqua" w:hAnsi="Book Antiqua"/>
        </w:rPr>
        <w:t>., 1994). This indicates that both are vital in helping buyers develop their future purchase intentions. In an empirical study of the relationship between satisfaction and quality, Iacobucci, Ostrom, and Grayson (1995) concluded that the key difference between the two constructs is that quality relates to managerial delivery of the service while satisfaction reflects customers’ experience with that of service. They also advanced a very important argument that quality improvements that are not based on customer needs (and wants) will not lead to improved customer satisfaction. It is important that chop bars take note of this when</w:t>
      </w:r>
      <w:r>
        <w:rPr>
          <w:rFonts w:ascii="Book Antiqua" w:hAnsi="Book Antiqua"/>
        </w:rPr>
        <w:t xml:space="preserve"> </w:t>
      </w:r>
      <w:r w:rsidRPr="00E3232D">
        <w:rPr>
          <w:rFonts w:ascii="Book Antiqua" w:hAnsi="Book Antiqua"/>
        </w:rPr>
        <w:t>taking steps to improve service quality.</w:t>
      </w:r>
    </w:p>
    <w:p w14:paraId="1EE1F40B" w14:textId="77777777" w:rsidR="00936980" w:rsidRPr="00E3232D" w:rsidRDefault="00936980" w:rsidP="003F57BD">
      <w:pPr>
        <w:jc w:val="both"/>
        <w:rPr>
          <w:rFonts w:ascii="Book Antiqua" w:hAnsi="Book Antiqua"/>
          <w:b/>
          <w:bCs/>
        </w:rPr>
      </w:pPr>
      <w:r w:rsidRPr="00E3232D">
        <w:rPr>
          <w:rFonts w:ascii="Book Antiqua" w:hAnsi="Book Antiqua"/>
          <w:b/>
          <w:bCs/>
        </w:rPr>
        <w:t>1.1 The Problem</w:t>
      </w:r>
    </w:p>
    <w:p w14:paraId="5D5C13CD" w14:textId="77777777" w:rsidR="00AB41AE" w:rsidRDefault="00936980" w:rsidP="003F57BD">
      <w:pPr>
        <w:jc w:val="both"/>
        <w:rPr>
          <w:rFonts w:ascii="Book Antiqua" w:hAnsi="Book Antiqua"/>
          <w:b/>
          <w:bCs/>
        </w:rPr>
      </w:pPr>
      <w:r w:rsidRPr="00E3232D">
        <w:rPr>
          <w:rFonts w:ascii="Book Antiqua" w:hAnsi="Book Antiqua"/>
          <w:bCs/>
        </w:rPr>
        <w:t xml:space="preserve">The fact that chop bars provide breakfast, especially launch, and in some instances supper for workers, ranging from somepeople in both the public and private sectors indicates that chop bars are engaged in a very important economic activity.With the level of competition ever intensifying entities that operate in this sector must be competitive to remain in this lucrative sector. </w:t>
      </w:r>
      <w:r w:rsidRPr="00E3232D">
        <w:rPr>
          <w:rFonts w:ascii="Book Antiqua" w:hAnsi="Book Antiqua"/>
        </w:rPr>
        <w:t>As indicated in the introduction, customer service has become a key tool for creating competitive advantage for facilitating customer loyalty of every business enterprise today. In spite of this,</w:t>
      </w:r>
      <w:r>
        <w:rPr>
          <w:rFonts w:ascii="Book Antiqua" w:hAnsi="Book Antiqua"/>
        </w:rPr>
        <w:t xml:space="preserve"> </w:t>
      </w:r>
      <w:r w:rsidRPr="00E3232D">
        <w:rPr>
          <w:rFonts w:ascii="Book Antiqua" w:hAnsi="Book Antiqua"/>
        </w:rPr>
        <w:t>customer service practices among chopbar operators seem to leave much to be desired. This is because customers often complain about one form of dissatisfaction or the other after patronizing most of these chop bars. As a result, most chop bars have existed for ten years or even more but have not being able to grow significantly. Preliminary studies indicates that the sector has not caught the attention of service quality management researchers in Ghana yet.In view of this,the study attempts to assess the quality of customer service among five chopbars in Koforidua to identify customer service gaps that need to be filled to serve as a guide for improvingservice quality to facilitate customer loyalty and business growth in the sector.</w:t>
      </w:r>
    </w:p>
    <w:p w14:paraId="30707617" w14:textId="77777777" w:rsidR="00936980" w:rsidRPr="00E3232D" w:rsidRDefault="00936980" w:rsidP="003F57BD">
      <w:pPr>
        <w:spacing w:after="240"/>
        <w:jc w:val="both"/>
        <w:rPr>
          <w:rFonts w:ascii="Book Antiqua" w:hAnsi="Book Antiqua"/>
          <w:b/>
          <w:bCs/>
        </w:rPr>
      </w:pPr>
      <w:r w:rsidRPr="00E3232D">
        <w:rPr>
          <w:rFonts w:ascii="Book Antiqua" w:hAnsi="Book Antiqua"/>
          <w:b/>
          <w:bCs/>
        </w:rPr>
        <w:t>1.2 General Objective</w:t>
      </w:r>
    </w:p>
    <w:p w14:paraId="656F294B" w14:textId="77777777" w:rsidR="00936980" w:rsidRPr="003F57BD" w:rsidRDefault="00936980" w:rsidP="003F57BD">
      <w:pPr>
        <w:jc w:val="both"/>
        <w:rPr>
          <w:rFonts w:ascii="Book Antiqua" w:hAnsi="Book Antiqua"/>
        </w:rPr>
      </w:pPr>
      <w:r w:rsidRPr="00E3232D">
        <w:rPr>
          <w:rFonts w:ascii="Book Antiqua" w:hAnsi="Book Antiqua"/>
        </w:rPr>
        <w:t>The studyassesses the quality of customer service among five chop bars in Koforidua to identify service gaps that need to be filled to serve as a guide to improve service quality.</w:t>
      </w:r>
    </w:p>
    <w:p w14:paraId="74901363" w14:textId="77777777" w:rsidR="00936980" w:rsidRDefault="00936980" w:rsidP="003F57BD">
      <w:pPr>
        <w:spacing w:after="240"/>
        <w:jc w:val="both"/>
        <w:rPr>
          <w:rFonts w:ascii="Book Antiqua" w:hAnsi="Book Antiqua"/>
        </w:rPr>
      </w:pPr>
      <w:r w:rsidRPr="00E3232D">
        <w:rPr>
          <w:rFonts w:ascii="Book Antiqua" w:hAnsi="Book Antiqua"/>
          <w:b/>
          <w:bCs/>
        </w:rPr>
        <w:t>1.3 Specific Objectives</w:t>
      </w:r>
    </w:p>
    <w:p w14:paraId="5644A171" w14:textId="77777777" w:rsidR="00936980" w:rsidRDefault="00936980" w:rsidP="003F57BD">
      <w:pPr>
        <w:spacing w:after="240"/>
        <w:jc w:val="both"/>
        <w:rPr>
          <w:rFonts w:ascii="Book Antiqua" w:hAnsi="Book Antiqua"/>
        </w:rPr>
      </w:pPr>
      <w:r w:rsidRPr="00E3232D">
        <w:rPr>
          <w:rFonts w:ascii="Book Antiqua" w:hAnsi="Book Antiqua"/>
        </w:rPr>
        <w:t xml:space="preserve">The study evaluated the tangibles of these chop bar; reliability of staff in </w:t>
      </w:r>
      <w:r>
        <w:rPr>
          <w:rFonts w:ascii="Book Antiqua" w:hAnsi="Book Antiqua"/>
        </w:rPr>
        <w:t xml:space="preserve">delivering </w:t>
      </w:r>
      <w:r w:rsidRPr="00E3232D">
        <w:rPr>
          <w:rFonts w:ascii="Book Antiqua" w:hAnsi="Book Antiqua"/>
        </w:rPr>
        <w:t>service quality</w:t>
      </w:r>
      <w:r>
        <w:rPr>
          <w:rFonts w:ascii="Book Antiqua" w:hAnsi="Book Antiqua"/>
        </w:rPr>
        <w:t>;</w:t>
      </w:r>
      <w:r w:rsidRPr="005F71D8">
        <w:rPr>
          <w:rFonts w:ascii="Book Antiqua" w:hAnsi="Book Antiqua"/>
        </w:rPr>
        <w:t xml:space="preserve"> </w:t>
      </w:r>
    </w:p>
    <w:p w14:paraId="21F25C38" w14:textId="77777777" w:rsidR="00936980" w:rsidRPr="005C4AE5" w:rsidRDefault="00936980" w:rsidP="003F57BD">
      <w:pPr>
        <w:spacing w:after="0"/>
        <w:jc w:val="both"/>
        <w:rPr>
          <w:rFonts w:ascii="Book Antiqua" w:hAnsi="Book Antiqua"/>
        </w:rPr>
      </w:pPr>
      <w:r w:rsidRPr="00E3232D">
        <w:rPr>
          <w:rFonts w:ascii="Book Antiqua" w:hAnsi="Book Antiqua"/>
        </w:rPr>
        <w:t>responsiveness of staff to customers; level of assurance of staff give to customers; and  the level of empathy of staff towards customers.</w:t>
      </w:r>
    </w:p>
    <w:p w14:paraId="69C8A6F5" w14:textId="77777777" w:rsidR="00936980" w:rsidRDefault="00936980" w:rsidP="003F57BD">
      <w:pPr>
        <w:spacing w:after="0"/>
        <w:jc w:val="both"/>
        <w:rPr>
          <w:rFonts w:ascii="Book Antiqua" w:hAnsi="Book Antiqua"/>
          <w:b/>
          <w:bCs/>
        </w:rPr>
      </w:pPr>
    </w:p>
    <w:p w14:paraId="51BA044E" w14:textId="77777777" w:rsidR="008214F9" w:rsidRDefault="008214F9" w:rsidP="003F57BD">
      <w:pPr>
        <w:spacing w:after="0"/>
        <w:jc w:val="both"/>
        <w:rPr>
          <w:rFonts w:ascii="Book Antiqua" w:hAnsi="Book Antiqua"/>
          <w:b/>
          <w:bCs/>
        </w:rPr>
      </w:pPr>
    </w:p>
    <w:p w14:paraId="6844157A" w14:textId="77777777" w:rsidR="00936980" w:rsidRPr="00E3232D" w:rsidRDefault="00936980" w:rsidP="003F57BD">
      <w:pPr>
        <w:spacing w:after="0"/>
        <w:jc w:val="both"/>
        <w:rPr>
          <w:rFonts w:ascii="Book Antiqua" w:hAnsi="Book Antiqua"/>
          <w:b/>
          <w:bCs/>
        </w:rPr>
      </w:pPr>
      <w:r w:rsidRPr="00E3232D">
        <w:rPr>
          <w:rFonts w:ascii="Book Antiqua" w:hAnsi="Book Antiqua"/>
          <w:b/>
          <w:bCs/>
        </w:rPr>
        <w:t>1.4 Research Questions</w:t>
      </w:r>
    </w:p>
    <w:p w14:paraId="16F8CDCD" w14:textId="77777777" w:rsidR="00936980" w:rsidRPr="00E3232D" w:rsidRDefault="00936980" w:rsidP="003F57BD">
      <w:pPr>
        <w:jc w:val="both"/>
        <w:rPr>
          <w:rFonts w:ascii="Book Antiqua" w:hAnsi="Book Antiqua"/>
        </w:rPr>
      </w:pPr>
      <w:r w:rsidRPr="00E3232D">
        <w:rPr>
          <w:rFonts w:ascii="Book Antiqua" w:hAnsi="Book Antiqua"/>
        </w:rPr>
        <w:t>The following are the research questions: What is the quality of tangibles of these chop bars? How reliable arestaff of these chopbars in customer service delivery?What is the level of responsiveness of staff to customers?What is the assurance level staff give customers?How empathetic are staff towards customers?</w:t>
      </w:r>
    </w:p>
    <w:p w14:paraId="61FBFB33" w14:textId="77777777" w:rsidR="00AB41AE" w:rsidRPr="00E3232D" w:rsidRDefault="00AB41AE" w:rsidP="003F57BD">
      <w:pPr>
        <w:jc w:val="both"/>
        <w:rPr>
          <w:rFonts w:ascii="Book Antiqua" w:hAnsi="Book Antiqua"/>
          <w:b/>
        </w:rPr>
      </w:pPr>
      <w:r w:rsidRPr="00E3232D">
        <w:rPr>
          <w:rFonts w:ascii="Book Antiqua" w:hAnsi="Book Antiqua"/>
          <w:b/>
        </w:rPr>
        <w:t>1.5</w:t>
      </w:r>
      <w:r>
        <w:rPr>
          <w:rFonts w:ascii="Book Antiqua" w:hAnsi="Book Antiqua"/>
          <w:b/>
        </w:rPr>
        <w:t xml:space="preserve"> </w:t>
      </w:r>
      <w:r w:rsidRPr="00E3232D">
        <w:rPr>
          <w:rFonts w:ascii="Book Antiqua" w:hAnsi="Book Antiqua"/>
          <w:b/>
        </w:rPr>
        <w:t xml:space="preserve">Scope of the Study </w:t>
      </w:r>
    </w:p>
    <w:p w14:paraId="1AE0C98B" w14:textId="77777777" w:rsidR="00AB41AE" w:rsidRPr="003F57BD" w:rsidRDefault="00AB41AE" w:rsidP="003F57BD">
      <w:pPr>
        <w:jc w:val="both"/>
        <w:rPr>
          <w:rFonts w:ascii="Book Antiqua" w:hAnsi="Book Antiqua"/>
        </w:rPr>
      </w:pPr>
      <w:r w:rsidRPr="00E3232D">
        <w:rPr>
          <w:rFonts w:ascii="Book Antiqua" w:hAnsi="Book Antiqua"/>
        </w:rPr>
        <w:t>The study focused on five chop bars in Koforidua. It included customers, staff and management of these chop bars due to lack of time and funds for a larger scale of work.</w:t>
      </w:r>
    </w:p>
    <w:p w14:paraId="3CA09032" w14:textId="77777777" w:rsidR="00AB41AE" w:rsidRPr="005E0419" w:rsidRDefault="005E0419" w:rsidP="003F57BD">
      <w:pPr>
        <w:jc w:val="both"/>
        <w:rPr>
          <w:rFonts w:ascii="Book Antiqua" w:hAnsi="Book Antiqua"/>
          <w:b/>
          <w:bCs/>
        </w:rPr>
      </w:pPr>
      <w:r>
        <w:rPr>
          <w:rFonts w:ascii="Book Antiqua" w:hAnsi="Book Antiqua"/>
          <w:b/>
          <w:bCs/>
        </w:rPr>
        <w:t>2.</w:t>
      </w:r>
      <w:r w:rsidR="008214F9">
        <w:rPr>
          <w:rFonts w:ascii="Book Antiqua" w:hAnsi="Book Antiqua"/>
          <w:b/>
          <w:bCs/>
        </w:rPr>
        <w:t>0</w:t>
      </w:r>
      <w:r>
        <w:rPr>
          <w:rFonts w:ascii="Book Antiqua" w:hAnsi="Book Antiqua"/>
          <w:b/>
          <w:bCs/>
        </w:rPr>
        <w:t xml:space="preserve"> </w:t>
      </w:r>
      <w:r w:rsidR="003F57BD" w:rsidRPr="003F57BD">
        <w:rPr>
          <w:rFonts w:ascii="Book Antiqua" w:hAnsi="Book Antiqua"/>
          <w:b/>
          <w:bCs/>
          <w:sz w:val="26"/>
        </w:rPr>
        <w:t>Methodology</w:t>
      </w:r>
    </w:p>
    <w:p w14:paraId="76C89891" w14:textId="77777777" w:rsidR="00AB41AE" w:rsidRPr="003F57BD" w:rsidRDefault="00AB41AE" w:rsidP="008214F9">
      <w:pPr>
        <w:pStyle w:val="ListParagraph"/>
        <w:numPr>
          <w:ilvl w:val="1"/>
          <w:numId w:val="1"/>
        </w:numPr>
        <w:ind w:left="0" w:firstLine="0"/>
        <w:jc w:val="both"/>
        <w:rPr>
          <w:rFonts w:ascii="Book Antiqua" w:hAnsi="Book Antiqua"/>
          <w:b/>
          <w:bCs/>
          <w:i/>
        </w:rPr>
      </w:pPr>
      <w:r w:rsidRPr="008214F9">
        <w:rPr>
          <w:rFonts w:ascii="Book Antiqua" w:hAnsi="Book Antiqua"/>
          <w:b/>
          <w:bCs/>
        </w:rPr>
        <w:t>Population of the Study</w:t>
      </w:r>
      <w:r w:rsidRPr="0057706E">
        <w:rPr>
          <w:rFonts w:ascii="Book Antiqua" w:hAnsi="Book Antiqua"/>
          <w:b/>
          <w:bCs/>
          <w:i/>
        </w:rPr>
        <w:t xml:space="preserve">: </w:t>
      </w:r>
      <w:r w:rsidRPr="0057706E">
        <w:rPr>
          <w:rFonts w:ascii="Book Antiqua" w:hAnsi="Book Antiqua"/>
        </w:rPr>
        <w:t xml:space="preserve">The population of the study is made up of the management, staff and customers of the five chop bars in the Koforidua. </w:t>
      </w:r>
    </w:p>
    <w:p w14:paraId="0891DAAE" w14:textId="77777777" w:rsidR="00AB41AE" w:rsidRPr="003F57BD" w:rsidRDefault="00AB41AE" w:rsidP="003F57BD">
      <w:pPr>
        <w:jc w:val="both"/>
        <w:rPr>
          <w:rFonts w:ascii="Book Antiqua" w:hAnsi="Book Antiqua"/>
          <w:b/>
          <w:bCs/>
          <w:i/>
        </w:rPr>
      </w:pPr>
      <w:r w:rsidRPr="00E3232D">
        <w:rPr>
          <w:rFonts w:ascii="Book Antiqua" w:hAnsi="Book Antiqua"/>
          <w:b/>
          <w:bCs/>
          <w:i/>
        </w:rPr>
        <w:t>2.2.</w:t>
      </w:r>
      <w:r>
        <w:rPr>
          <w:rFonts w:ascii="Book Antiqua" w:hAnsi="Book Antiqua"/>
          <w:b/>
          <w:bCs/>
          <w:i/>
        </w:rPr>
        <w:t xml:space="preserve"> </w:t>
      </w:r>
      <w:r w:rsidRPr="008214F9">
        <w:rPr>
          <w:rFonts w:ascii="Book Antiqua" w:hAnsi="Book Antiqua"/>
          <w:b/>
          <w:bCs/>
        </w:rPr>
        <w:t>Sample Size and Sampling Procedure</w:t>
      </w:r>
      <w:r w:rsidRPr="00E3232D">
        <w:rPr>
          <w:rFonts w:ascii="Book Antiqua" w:hAnsi="Book Antiqua"/>
          <w:b/>
          <w:bCs/>
          <w:i/>
        </w:rPr>
        <w:t xml:space="preserve">: </w:t>
      </w:r>
      <w:r w:rsidRPr="00E3232D">
        <w:rPr>
          <w:rFonts w:ascii="Book Antiqua" w:hAnsi="Book Antiqua"/>
        </w:rPr>
        <w:t>Due to time and financial constraints and the fact that data on the target populationare not documented, non-probability sampling methods were used. Thus snowball sampling was usedin selecting the 5 chopbars. This enabled the researchers to locate the locations of the selected chop bars used in the study. A sample size of 200 respondents was used. Convenience sampling was used in selecting the 40 respondents for each of the chopbars involved in the study because there were no records on the customers to serve as a sampling frame.Purposive sampling was used to interview the owners and managers of the chopbars.</w:t>
      </w:r>
    </w:p>
    <w:p w14:paraId="5E7EFD2E" w14:textId="77777777" w:rsidR="00AB41AE" w:rsidRDefault="00AB41AE" w:rsidP="003F57BD">
      <w:pPr>
        <w:pStyle w:val="ListParagraph"/>
        <w:ind w:left="0"/>
        <w:jc w:val="both"/>
        <w:rPr>
          <w:rFonts w:ascii="Book Antiqua" w:hAnsi="Book Antiqua"/>
        </w:rPr>
      </w:pPr>
      <w:r w:rsidRPr="00E3232D">
        <w:rPr>
          <w:rFonts w:ascii="Book Antiqua" w:hAnsi="Book Antiqua"/>
        </w:rPr>
        <w:t xml:space="preserve">2.3. </w:t>
      </w:r>
      <w:r w:rsidRPr="00E3232D">
        <w:rPr>
          <w:rFonts w:ascii="Book Antiqua" w:hAnsi="Book Antiqua"/>
          <w:b/>
          <w:bCs/>
          <w:i/>
        </w:rPr>
        <w:t xml:space="preserve">Instruments: </w:t>
      </w:r>
      <w:r w:rsidRPr="00E3232D">
        <w:rPr>
          <w:rFonts w:ascii="Book Antiqua" w:hAnsi="Book Antiqua"/>
        </w:rPr>
        <w:t xml:space="preserve">Given the objectives and nature of the target </w:t>
      </w:r>
      <w:r>
        <w:rPr>
          <w:rFonts w:ascii="Book Antiqua" w:hAnsi="Book Antiqua"/>
        </w:rPr>
        <w:t>population, a self-administered questionnaire</w:t>
      </w:r>
    </w:p>
    <w:p w14:paraId="48C3C1D9" w14:textId="77777777" w:rsidR="00AB41AE" w:rsidRPr="00E3232D" w:rsidRDefault="00AB41AE" w:rsidP="003F57BD">
      <w:pPr>
        <w:pStyle w:val="ListParagraph"/>
        <w:ind w:left="0"/>
        <w:jc w:val="both"/>
        <w:rPr>
          <w:rFonts w:ascii="Book Antiqua" w:hAnsi="Book Antiqua"/>
          <w:b/>
          <w:bCs/>
          <w:i/>
        </w:rPr>
      </w:pPr>
      <w:r>
        <w:rPr>
          <w:rFonts w:ascii="Book Antiqua" w:hAnsi="Book Antiqua"/>
        </w:rPr>
        <w:t xml:space="preserve"> </w:t>
      </w:r>
      <w:r w:rsidRPr="00E3232D">
        <w:rPr>
          <w:rFonts w:ascii="Book Antiqua" w:hAnsi="Book Antiqua"/>
        </w:rPr>
        <w:t xml:space="preserve">comprising 17 close-ended and3 open-ended questionsused. 14 of the 17 questions were designed onLikert 5-point scale. This wasused to evaluate statements on a scale of agreement among customers about their attitude to the chop bars’ customer service quality within the framework of the SERQUAL model, i.e. </w:t>
      </w:r>
      <w:r w:rsidRPr="00E3232D">
        <w:rPr>
          <w:rFonts w:ascii="Book Antiqua" w:hAnsi="Book Antiqua"/>
          <w:i/>
        </w:rPr>
        <w:t>tangibles or physical evidence, reliability, responsiveness, assurance, and empathy</w:t>
      </w:r>
      <w:r w:rsidRPr="00E3232D">
        <w:rPr>
          <w:rFonts w:ascii="Book Antiqua" w:hAnsi="Book Antiqua"/>
        </w:rPr>
        <w:t>(Parasuraman</w:t>
      </w:r>
      <w:r w:rsidRPr="00E3232D">
        <w:rPr>
          <w:rFonts w:ascii="Book Antiqua" w:hAnsi="Book Antiqua"/>
          <w:i/>
        </w:rPr>
        <w:t>et al</w:t>
      </w:r>
      <w:r w:rsidRPr="00E3232D">
        <w:rPr>
          <w:rFonts w:ascii="Book Antiqua" w:hAnsi="Book Antiqua"/>
        </w:rPr>
        <w:t>., 1985).</w:t>
      </w:r>
      <w:r>
        <w:rPr>
          <w:rFonts w:ascii="Book Antiqua" w:hAnsi="Book Antiqua"/>
        </w:rPr>
        <w:t xml:space="preserve"> </w:t>
      </w:r>
      <w:r w:rsidRPr="00E3232D">
        <w:rPr>
          <w:rFonts w:ascii="Book Antiqua" w:hAnsi="Book Antiqua"/>
        </w:rPr>
        <w:t>To observe things for themselves, the researchers went to these chop bars as customers and bought food to have a fill of howstaff perform customer service.</w:t>
      </w:r>
    </w:p>
    <w:p w14:paraId="18F09081" w14:textId="77777777" w:rsidR="00AB41AE" w:rsidRPr="003F57BD" w:rsidRDefault="00AB41AE" w:rsidP="003F57BD">
      <w:pPr>
        <w:jc w:val="both"/>
        <w:rPr>
          <w:rFonts w:ascii="Book Antiqua" w:hAnsi="Book Antiqua"/>
          <w:i/>
        </w:rPr>
      </w:pPr>
      <w:r w:rsidRPr="00E3232D">
        <w:rPr>
          <w:rFonts w:ascii="Book Antiqua" w:hAnsi="Book Antiqua"/>
          <w:b/>
          <w:bCs/>
          <w:i/>
        </w:rPr>
        <w:t>2.4. Procedure for Data Collection:</w:t>
      </w:r>
      <w:r w:rsidRPr="00E3232D">
        <w:rPr>
          <w:rFonts w:ascii="Book Antiqua" w:hAnsi="Book Antiqua"/>
        </w:rPr>
        <w:t xml:space="preserve">It was not difficult obtaining data because all the chop bars were friendly and happy about the project. The researchers were introduced to the customers of the chop bars. The management entreated their customers co-operate with the researchers to achieve the objectives of the study.The questionnaires were distributed personally by the researchers to customers and where necessary helped them out. Secondary data were gathered from text books, journals, internet, while </w:t>
      </w:r>
      <w:r w:rsidRPr="00E3232D">
        <w:rPr>
          <w:rFonts w:ascii="Book Antiqua" w:hAnsi="Book Antiqua"/>
          <w:bCs/>
        </w:rPr>
        <w:t>primary data</w:t>
      </w:r>
      <w:r w:rsidRPr="00E3232D">
        <w:rPr>
          <w:rFonts w:ascii="Book Antiqua" w:hAnsi="Book Antiqua"/>
        </w:rPr>
        <w:t>were gathered from the customers through questionnaires and personal interviews. The personal interviews</w:t>
      </w:r>
      <w:r>
        <w:rPr>
          <w:rFonts w:ascii="Book Antiqua" w:hAnsi="Book Antiqua"/>
        </w:rPr>
        <w:t xml:space="preserve"> </w:t>
      </w:r>
      <w:r w:rsidRPr="00E3232D">
        <w:rPr>
          <w:rFonts w:ascii="Book Antiqua" w:hAnsi="Book Antiqua"/>
        </w:rPr>
        <w:t>were used to gather data from management.</w:t>
      </w:r>
    </w:p>
    <w:p w14:paraId="5FE46334" w14:textId="77777777" w:rsidR="00AB41AE" w:rsidRPr="003F57BD" w:rsidRDefault="00AB41AE" w:rsidP="003F57BD">
      <w:pPr>
        <w:jc w:val="both"/>
        <w:rPr>
          <w:rFonts w:ascii="Book Antiqua" w:hAnsi="Book Antiqua"/>
          <w:b/>
          <w:bCs/>
          <w:i/>
        </w:rPr>
      </w:pPr>
      <w:r w:rsidRPr="00E3232D">
        <w:rPr>
          <w:rFonts w:ascii="Book Antiqua" w:hAnsi="Book Antiqua"/>
          <w:b/>
          <w:bCs/>
          <w:i/>
        </w:rPr>
        <w:t xml:space="preserve">2.5. Procedure for Data Analysis: </w:t>
      </w:r>
      <w:r w:rsidRPr="00E3232D">
        <w:rPr>
          <w:rFonts w:ascii="Book Antiqua" w:hAnsi="Book Antiqua"/>
        </w:rPr>
        <w:t>Data collected from the primary source were sorted,</w:t>
      </w:r>
      <w:r>
        <w:rPr>
          <w:rFonts w:ascii="Book Antiqua" w:hAnsi="Book Antiqua"/>
        </w:rPr>
        <w:t xml:space="preserve"> </w:t>
      </w:r>
      <w:r w:rsidRPr="00E3232D">
        <w:rPr>
          <w:rFonts w:ascii="Book Antiqua" w:hAnsi="Book Antiqua"/>
        </w:rPr>
        <w:t>edited, counted to determine their respective frequencies and percentages. Descriptive statistical method was used. Tabulations and cross-tabulations, and charts were used to present data.</w:t>
      </w:r>
    </w:p>
    <w:p w14:paraId="57BEA086" w14:textId="77777777" w:rsidR="00AB41AE" w:rsidRPr="00E3232D" w:rsidRDefault="00AB41AE" w:rsidP="003F57BD">
      <w:pPr>
        <w:jc w:val="both"/>
        <w:rPr>
          <w:rFonts w:ascii="Book Antiqua" w:hAnsi="Book Antiqua"/>
          <w:b/>
        </w:rPr>
      </w:pPr>
      <w:r w:rsidRPr="00E3232D">
        <w:rPr>
          <w:rFonts w:ascii="Book Antiqua" w:hAnsi="Book Antiqua"/>
          <w:b/>
        </w:rPr>
        <w:t>3.</w:t>
      </w:r>
      <w:r w:rsidR="008214F9">
        <w:rPr>
          <w:rFonts w:ascii="Book Antiqua" w:hAnsi="Book Antiqua"/>
          <w:b/>
        </w:rPr>
        <w:t>0</w:t>
      </w:r>
      <w:r w:rsidRPr="00E3232D">
        <w:rPr>
          <w:rFonts w:ascii="Book Antiqua" w:hAnsi="Book Antiqua"/>
          <w:b/>
        </w:rPr>
        <w:t xml:space="preserve"> </w:t>
      </w:r>
      <w:r w:rsidRPr="008214F9">
        <w:rPr>
          <w:rFonts w:ascii="Book Antiqua" w:hAnsi="Book Antiqua"/>
          <w:b/>
          <w:sz w:val="26"/>
        </w:rPr>
        <w:t xml:space="preserve">Results and </w:t>
      </w:r>
      <w:r w:rsidRPr="003F57BD">
        <w:rPr>
          <w:rFonts w:ascii="Book Antiqua" w:hAnsi="Book Antiqua"/>
          <w:b/>
          <w:sz w:val="26"/>
        </w:rPr>
        <w:t xml:space="preserve">Discussions </w:t>
      </w:r>
    </w:p>
    <w:p w14:paraId="47211E54" w14:textId="77777777" w:rsidR="00AB41AE" w:rsidRPr="003F57BD" w:rsidRDefault="00AB41AE" w:rsidP="003F57BD">
      <w:pPr>
        <w:jc w:val="both"/>
        <w:rPr>
          <w:rFonts w:ascii="Book Antiqua" w:hAnsi="Book Antiqua"/>
        </w:rPr>
      </w:pPr>
      <w:r w:rsidRPr="00E3232D">
        <w:rPr>
          <w:rFonts w:ascii="Book Antiqua" w:hAnsi="Book Antiqua"/>
        </w:rPr>
        <w:t>Questionnaires and observation were the main instruments used to gather primary data for the study. Questionnaires were mainly used for customers, interviews were used for management and observations were made for more insights. Descriptive statistic, tabulations, cross-tabulations, and charts were used to analyze the data.170 questionnaires were retrieved from the 200 administered. Out of the 170 retrieved, 144 were males representing 84.7% while 26 were females representing 15.3%. See Table 1 of Appendix I.</w:t>
      </w:r>
    </w:p>
    <w:p w14:paraId="5C955AB3" w14:textId="77777777" w:rsidR="00AB41AE" w:rsidRPr="00E3232D" w:rsidRDefault="00AB41AE" w:rsidP="003F57BD">
      <w:pPr>
        <w:jc w:val="both"/>
        <w:rPr>
          <w:rFonts w:ascii="Book Antiqua" w:hAnsi="Book Antiqua"/>
        </w:rPr>
      </w:pPr>
      <w:r w:rsidRPr="00E3232D">
        <w:rPr>
          <w:rFonts w:ascii="Book Antiqua" w:hAnsi="Book Antiqua"/>
          <w:b/>
        </w:rPr>
        <w:t>3.1 General information</w:t>
      </w:r>
    </w:p>
    <w:p w14:paraId="68C56B3A" w14:textId="77777777" w:rsidR="00AB41AE" w:rsidRPr="003F57BD" w:rsidRDefault="00AB41AE" w:rsidP="003F57BD">
      <w:pPr>
        <w:jc w:val="both"/>
        <w:rPr>
          <w:rFonts w:ascii="Book Antiqua" w:hAnsi="Book Antiqua"/>
          <w:i/>
        </w:rPr>
      </w:pPr>
      <w:r w:rsidRPr="00E3232D">
        <w:rPr>
          <w:rFonts w:ascii="Book Antiqua" w:hAnsi="Book Antiqua"/>
          <w:b/>
          <w:i/>
        </w:rPr>
        <w:t>3.1.1Gender distribution of</w:t>
      </w:r>
      <w:r>
        <w:rPr>
          <w:rFonts w:ascii="Book Antiqua" w:hAnsi="Book Antiqua"/>
          <w:b/>
          <w:i/>
        </w:rPr>
        <w:t xml:space="preserve"> </w:t>
      </w:r>
      <w:r w:rsidRPr="00E3232D">
        <w:rPr>
          <w:rFonts w:ascii="Book Antiqua" w:hAnsi="Book Antiqua"/>
          <w:b/>
          <w:i/>
        </w:rPr>
        <w:t>respondents:</w:t>
      </w:r>
      <w:r>
        <w:t xml:space="preserve"> </w:t>
      </w:r>
      <w:r w:rsidRPr="00E3232D">
        <w:rPr>
          <w:rFonts w:ascii="Book Antiqua" w:hAnsi="Book Antiqua"/>
        </w:rPr>
        <w:t>Moremales (i.e. 84.7%) patronize chop bars than females (15.3%) and this is most probably because most males do not cook in their home.  See Table 2 of Appendix i</w:t>
      </w:r>
    </w:p>
    <w:p w14:paraId="78AF86FA" w14:textId="77777777" w:rsidR="00AB41AE" w:rsidRPr="003F57BD" w:rsidRDefault="00AB41AE" w:rsidP="003F57BD">
      <w:pPr>
        <w:jc w:val="both"/>
        <w:rPr>
          <w:rFonts w:ascii="Book Antiqua" w:hAnsi="Book Antiqua"/>
          <w:i/>
        </w:rPr>
      </w:pPr>
      <w:r w:rsidRPr="00E3232D">
        <w:rPr>
          <w:rFonts w:ascii="Book Antiqua" w:hAnsi="Book Antiqua"/>
          <w:b/>
          <w:i/>
        </w:rPr>
        <w:t xml:space="preserve">3.1.2. A </w:t>
      </w:r>
      <w:r w:rsidRPr="008214F9">
        <w:rPr>
          <w:rFonts w:ascii="Book Antiqua" w:hAnsi="Book Antiqua"/>
          <w:b/>
        </w:rPr>
        <w:t>distribution of respondents’ age range (in years):</w:t>
      </w:r>
      <w:r w:rsidRPr="00E3232D">
        <w:rPr>
          <w:rFonts w:ascii="Book Antiqua" w:hAnsi="Book Antiqua"/>
          <w:b/>
          <w:i/>
        </w:rPr>
        <w:t xml:space="preserve"> </w:t>
      </w:r>
      <w:r w:rsidRPr="00E3232D">
        <w:rPr>
          <w:rFonts w:ascii="Book Antiqua" w:hAnsi="Book Antiqua"/>
        </w:rPr>
        <w:t>Age 15-20 (5.9%)-this low percentage may be as resultof the fact that most people of this age brackets still live with their parents or relatives and therefore eat at home.Most of the respondents fall within the following age brackets: 21-25 (38.8%), 26-30 (27.1%), and31-35 (16.5%). These high percentages may be due to the fact that most people of these age brackets are working class spinsters and bachelors who hardly eat at home,while respondents within the age brackets of36-40 and 41 or more are only(4.7%) and(7.1%) respectively. This indicates that although they belong to the active working class, only few of them i.e. (4.7%) and (7.1%) respectively in these age brackets eat from chop bars.See Table 2 of Appendixi</w:t>
      </w:r>
    </w:p>
    <w:p w14:paraId="00DA2F24" w14:textId="77777777" w:rsidR="00AB41AE" w:rsidRPr="00E3232D" w:rsidRDefault="00AB41AE" w:rsidP="003F57BD">
      <w:pPr>
        <w:pStyle w:val="NoSpacing"/>
        <w:spacing w:line="276" w:lineRule="auto"/>
        <w:jc w:val="both"/>
        <w:rPr>
          <w:rFonts w:ascii="Book Antiqua" w:hAnsi="Book Antiqua"/>
        </w:rPr>
      </w:pPr>
      <w:r w:rsidRPr="008214F9">
        <w:rPr>
          <w:rFonts w:ascii="Book Antiqua" w:hAnsi="Book Antiqua"/>
          <w:b/>
        </w:rPr>
        <w:t>3.1.3. A distribution of respondents’ occupations</w:t>
      </w:r>
      <w:r w:rsidRPr="00E3232D">
        <w:rPr>
          <w:rFonts w:ascii="Book Antiqua" w:hAnsi="Book Antiqua"/>
          <w:b/>
          <w:i/>
        </w:rPr>
        <w:t xml:space="preserve">: </w:t>
      </w:r>
      <w:r w:rsidRPr="00E3232D">
        <w:rPr>
          <w:rFonts w:ascii="Book Antiqua" w:hAnsi="Book Antiqua"/>
        </w:rPr>
        <w:t>23.5% were trader/business,20% were civil servants, 17.6% were professionals, 20.0% were students and 18.8% were into other occupations. See Table 3 of Appendixi</w:t>
      </w:r>
    </w:p>
    <w:p w14:paraId="4D4F378B" w14:textId="77777777" w:rsidR="00AB41AE" w:rsidRPr="00E3232D" w:rsidRDefault="00AB41AE" w:rsidP="003F57BD">
      <w:pPr>
        <w:pStyle w:val="NoSpacing"/>
        <w:spacing w:line="276" w:lineRule="auto"/>
        <w:jc w:val="both"/>
        <w:rPr>
          <w:rFonts w:ascii="Book Antiqua" w:hAnsi="Book Antiqua"/>
          <w:i/>
        </w:rPr>
      </w:pPr>
    </w:p>
    <w:p w14:paraId="7312A390" w14:textId="77777777" w:rsidR="00AB41AE" w:rsidRPr="00E3232D" w:rsidRDefault="00850DC5" w:rsidP="003F57BD">
      <w:pPr>
        <w:tabs>
          <w:tab w:val="left" w:pos="1890"/>
        </w:tabs>
        <w:jc w:val="both"/>
        <w:rPr>
          <w:rFonts w:ascii="Book Antiqua" w:hAnsi="Book Antiqua"/>
          <w:b/>
          <w:i/>
        </w:rPr>
      </w:pPr>
      <w:r>
        <w:rPr>
          <w:rFonts w:ascii="Book Antiqua" w:hAnsi="Book Antiqua"/>
          <w:b/>
          <w:i/>
          <w:noProof/>
        </w:rPr>
        <w:pict w14:anchorId="333603F6">
          <v:shape id="Text Box 16" o:spid="_x0000_s1811" type="#_x0000_t202" style="position:absolute;left:0;text-align:left;margin-left:99pt;margin-top:206.65pt;width:50.25pt;height:28.5pt;z-index:251818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aPbtwIAALo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" filled="f" stroked="f">
            <v:textbox style="mso-next-textbox:#Text Box 16">
              <w:txbxContent>
                <w:p w14:paraId="61A3E3CE" w14:textId="77777777" w:rsidR="00E2396E" w:rsidRPr="00703B2E" w:rsidRDefault="00E2396E" w:rsidP="00AB41AE">
                  <w:pPr>
                    <w:rPr>
                      <w:b/>
                    </w:rPr>
                  </w:pPr>
                </w:p>
              </w:txbxContent>
            </v:textbox>
          </v:shape>
        </w:pict>
      </w:r>
      <w:r>
        <w:rPr>
          <w:rFonts w:ascii="Book Antiqua" w:hAnsi="Book Antiqua"/>
          <w:b/>
          <w:i/>
          <w:noProof/>
        </w:rPr>
        <w:pict w14:anchorId="3A42C717">
          <v:shape id="Text Box 15" o:spid="_x0000_s1810" type="#_x0000_t202" style="position:absolute;left:0;text-align:left;margin-left:162.75pt;margin-top:166.15pt;width:36.75pt;height:17.25pt;z-index:251817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" filled="f" stroked="f">
            <v:textbox style="mso-next-textbox:#Text Box 15">
              <w:txbxContent>
                <w:p w14:paraId="7EB93934" w14:textId="77777777" w:rsidR="00E2396E" w:rsidRPr="00703B2E" w:rsidRDefault="00E2396E" w:rsidP="00AB41AE">
                  <w:pPr>
                    <w:rPr>
                      <w:b/>
                    </w:rPr>
                  </w:pPr>
                </w:p>
              </w:txbxContent>
            </v:textbox>
          </v:shape>
        </w:pict>
      </w:r>
      <w:r>
        <w:rPr>
          <w:rFonts w:ascii="Book Antiqua" w:hAnsi="Book Antiqua"/>
          <w:b/>
          <w:i/>
          <w:noProof/>
        </w:rPr>
        <w:pict w14:anchorId="2EDC8537">
          <v:shape id="Text Box 17" o:spid="_x0000_s1812" type="#_x0000_t202" style="position:absolute;left:0;text-align:left;margin-left:62.25pt;margin-top:155.65pt;width:36.75pt;height:17.25pt;z-index:251819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" filled="f" stroked="f">
            <v:textbox style="mso-next-textbox:#Text Box 17">
              <w:txbxContent>
                <w:p w14:paraId="4C12382C" w14:textId="77777777" w:rsidR="00E2396E" w:rsidRPr="00703B2E" w:rsidRDefault="00E2396E" w:rsidP="00AB41AE">
                  <w:pPr>
                    <w:rPr>
                      <w:b/>
                    </w:rPr>
                  </w:pPr>
                </w:p>
              </w:txbxContent>
            </v:textbox>
          </v:shape>
        </w:pict>
      </w:r>
      <w:r w:rsidR="00AB41AE" w:rsidRPr="00E3232D">
        <w:rPr>
          <w:rFonts w:ascii="Book Antiqua" w:hAnsi="Book Antiqua"/>
          <w:b/>
          <w:i/>
        </w:rPr>
        <w:t xml:space="preserve">3.1.4. Respondents’ ratings of quality of food: </w:t>
      </w:r>
      <w:r w:rsidR="00AB41AE" w:rsidRPr="00E3232D">
        <w:rPr>
          <w:rFonts w:ascii="Book Antiqua" w:hAnsi="Book Antiqua"/>
        </w:rPr>
        <w:t xml:space="preserve">20% believe that quality of the food is </w:t>
      </w:r>
      <w:r w:rsidR="00AB41AE" w:rsidRPr="00E3232D">
        <w:rPr>
          <w:rFonts w:ascii="Book Antiqua" w:hAnsi="Book Antiqua"/>
          <w:i/>
        </w:rPr>
        <w:t>very high</w:t>
      </w:r>
      <w:r w:rsidR="00AB41AE" w:rsidRPr="00E3232D">
        <w:rPr>
          <w:rFonts w:ascii="Book Antiqua" w:hAnsi="Book Antiqua"/>
        </w:rPr>
        <w:t xml:space="preserve">;68.2% believe that the quality is </w:t>
      </w:r>
      <w:r w:rsidR="00AB41AE" w:rsidRPr="00E3232D">
        <w:rPr>
          <w:rFonts w:ascii="Book Antiqua" w:hAnsi="Book Antiqua"/>
          <w:i/>
        </w:rPr>
        <w:t>high</w:t>
      </w:r>
      <w:r w:rsidR="00AB41AE" w:rsidRPr="00E3232D">
        <w:rPr>
          <w:rFonts w:ascii="Book Antiqua" w:hAnsi="Book Antiqua"/>
        </w:rPr>
        <w:t xml:space="preserve">, 10.6% are </w:t>
      </w:r>
      <w:r w:rsidR="00AB41AE" w:rsidRPr="00E3232D">
        <w:rPr>
          <w:rFonts w:ascii="Book Antiqua" w:hAnsi="Book Antiqua"/>
          <w:i/>
        </w:rPr>
        <w:t>not sure</w:t>
      </w:r>
      <w:r w:rsidR="00AB41AE" w:rsidRPr="00E3232D">
        <w:rPr>
          <w:rFonts w:ascii="Book Antiqua" w:hAnsi="Book Antiqua"/>
        </w:rPr>
        <w:t xml:space="preserve"> of the</w:t>
      </w:r>
      <w:r w:rsidR="00AB41AE">
        <w:rPr>
          <w:rFonts w:ascii="Book Antiqua" w:hAnsi="Book Antiqua"/>
        </w:rPr>
        <w:t xml:space="preserve"> </w:t>
      </w:r>
      <w:r w:rsidR="00AB41AE" w:rsidRPr="00E3232D">
        <w:rPr>
          <w:rFonts w:ascii="Book Antiqua" w:hAnsi="Book Antiqua"/>
        </w:rPr>
        <w:t>quality, and 1.2% are</w:t>
      </w:r>
      <w:r w:rsidR="00AB41AE" w:rsidRPr="00E3232D">
        <w:rPr>
          <w:rFonts w:ascii="Book Antiqua" w:hAnsi="Book Antiqua"/>
          <w:i/>
        </w:rPr>
        <w:t>not satisfied</w:t>
      </w:r>
      <w:r w:rsidR="00AB41AE" w:rsidRPr="00E3232D">
        <w:rPr>
          <w:rFonts w:ascii="Book Antiqua" w:hAnsi="Book Antiqua"/>
        </w:rPr>
        <w:t xml:space="preserve"> with the quality.This indicates that most people who visit these chop bars enjoy the food but 11.8% think otherwise. Therefore these chop bars should find out the causes of the indifference and the dissatisfaction among these customers.See Table 4 Appendixi</w:t>
      </w:r>
    </w:p>
    <w:p w14:paraId="2D19CF56" w14:textId="77777777" w:rsidR="00AB41AE" w:rsidRDefault="00AB41AE" w:rsidP="003F57BD">
      <w:pPr>
        <w:jc w:val="both"/>
        <w:rPr>
          <w:rFonts w:ascii="Book Antiqua" w:hAnsi="Book Antiqua"/>
          <w:b/>
        </w:rPr>
      </w:pPr>
    </w:p>
    <w:p w14:paraId="5233F22E" w14:textId="77777777" w:rsidR="00AB41AE" w:rsidRDefault="00AB41AE" w:rsidP="003F57BD">
      <w:pPr>
        <w:spacing w:after="0" w:line="240" w:lineRule="auto"/>
        <w:jc w:val="both"/>
        <w:rPr>
          <w:rFonts w:ascii="Book Antiqua" w:hAnsi="Book Antiqua"/>
          <w:b/>
        </w:rPr>
      </w:pPr>
      <w:r>
        <w:rPr>
          <w:rFonts w:ascii="Book Antiqua" w:hAnsi="Book Antiqua"/>
          <w:b/>
        </w:rPr>
        <w:t xml:space="preserve">3.2 </w:t>
      </w:r>
      <w:r w:rsidR="003F57BD">
        <w:rPr>
          <w:rFonts w:ascii="Book Antiqua" w:hAnsi="Book Antiqua"/>
          <w:b/>
        </w:rPr>
        <w:t>Dimensions fo</w:t>
      </w:r>
      <w:r w:rsidR="003F57BD" w:rsidRPr="00E3232D">
        <w:rPr>
          <w:rFonts w:ascii="Book Antiqua" w:hAnsi="Book Antiqua"/>
          <w:b/>
        </w:rPr>
        <w:t xml:space="preserve">r </w:t>
      </w:r>
    </w:p>
    <w:p w14:paraId="2DDEA3AE" w14:textId="77777777" w:rsidR="00AB41AE" w:rsidRPr="00E3232D" w:rsidRDefault="003F57BD" w:rsidP="003F57BD">
      <w:pPr>
        <w:spacing w:after="0" w:line="240" w:lineRule="auto"/>
        <w:jc w:val="both"/>
        <w:rPr>
          <w:rFonts w:ascii="Book Antiqua" w:hAnsi="Book Antiqua"/>
          <w:b/>
        </w:rPr>
      </w:pPr>
      <w:r w:rsidRPr="00E3232D">
        <w:rPr>
          <w:rFonts w:ascii="Book Antiqua" w:hAnsi="Book Antiqua"/>
          <w:b/>
        </w:rPr>
        <w:t>Evaluating Service Quality</w:t>
      </w:r>
    </w:p>
    <w:p w14:paraId="513A234D" w14:textId="77777777" w:rsidR="00AB41AE" w:rsidRDefault="00AB41AE" w:rsidP="003F57BD">
      <w:pPr>
        <w:spacing w:after="0"/>
        <w:jc w:val="both"/>
        <w:rPr>
          <w:rFonts w:ascii="Book Antiqua" w:hAnsi="Book Antiqua"/>
          <w:b/>
        </w:rPr>
      </w:pPr>
    </w:p>
    <w:p w14:paraId="3E6919B0" w14:textId="77777777" w:rsidR="00AB41AE" w:rsidRPr="00E3232D" w:rsidRDefault="00AB41AE" w:rsidP="003F57BD">
      <w:pPr>
        <w:jc w:val="both"/>
        <w:rPr>
          <w:rFonts w:ascii="Book Antiqua" w:hAnsi="Book Antiqua"/>
          <w:b/>
          <w:i/>
        </w:rPr>
      </w:pPr>
      <w:r w:rsidRPr="00E3232D">
        <w:rPr>
          <w:rFonts w:ascii="Book Antiqua" w:hAnsi="Book Antiqua"/>
          <w:b/>
        </w:rPr>
        <w:t>3.2.1. Reliability</w:t>
      </w:r>
      <w:r w:rsidRPr="00E3232D">
        <w:rPr>
          <w:rFonts w:ascii="Book Antiqua" w:hAnsi="Book Antiqua"/>
        </w:rPr>
        <w:t>:  i.e. ability to perform the promised service dependably with consistency and accuracy.</w:t>
      </w:r>
      <w:r w:rsidR="00850DC5">
        <w:rPr>
          <w:rFonts w:ascii="Book Antiqua" w:hAnsi="Book Antiqua"/>
          <w:b/>
          <w:i/>
          <w:noProof/>
        </w:rPr>
        <w:pict w14:anchorId="5CEF49DF">
          <v:shape id="Text Box 36" o:spid="_x0000_s1813" type="#_x0000_t202" style="position:absolute;left:0;text-align:left;margin-left:98.25pt;margin-top:187.05pt;width:39.75pt;height:19.5pt;z-index:251820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" filled="f" stroked="f">
            <v:textbox style="mso-next-textbox:#Text Box 36">
              <w:txbxContent>
                <w:p w14:paraId="4CDBB077" w14:textId="77777777" w:rsidR="00E2396E" w:rsidRDefault="00E2396E" w:rsidP="00AB41AE"/>
              </w:txbxContent>
            </v:textbox>
          </v:shape>
        </w:pict>
      </w:r>
      <w:r w:rsidR="00850DC5">
        <w:rPr>
          <w:rFonts w:ascii="Book Antiqua" w:hAnsi="Book Antiqua"/>
          <w:b/>
          <w:i/>
          <w:noProof/>
        </w:rPr>
        <w:pict w14:anchorId="62F1E75F">
          <v:shape id="Text Box 37" o:spid="_x0000_s1814" type="#_x0000_t202" style="position:absolute;left:0;text-align:left;margin-left:44.25pt;margin-top:148.05pt;width:39.75pt;height:19.5pt;z-index:251821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" filled="f" stroked="f">
            <v:textbox style="mso-next-textbox:#Text Box 37">
              <w:txbxContent>
                <w:p w14:paraId="5EC42E61" w14:textId="77777777" w:rsidR="00E2396E" w:rsidRDefault="00E2396E" w:rsidP="00AB41AE"/>
              </w:txbxContent>
            </v:textbox>
          </v:shape>
        </w:pict>
      </w:r>
      <w:r w:rsidR="00850DC5">
        <w:rPr>
          <w:rFonts w:ascii="Book Antiqua" w:hAnsi="Book Antiqua"/>
          <w:b/>
          <w:i/>
          <w:noProof/>
        </w:rPr>
        <w:pict w14:anchorId="75460EE9">
          <v:shape id="Text Box 38" o:spid="_x0000_s1815" type="#_x0000_t202" style="position:absolute;left:0;text-align:left;margin-left:146.25pt;margin-top:128.55pt;width:39.75pt;height:19.5pt;z-index:251822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" filled="f" stroked="f">
            <v:textbox style="mso-next-textbox:#Text Box 38">
              <w:txbxContent>
                <w:p w14:paraId="16C98DE3" w14:textId="77777777" w:rsidR="00E2396E" w:rsidRDefault="00E2396E" w:rsidP="00AB41AE"/>
              </w:txbxContent>
            </v:textbox>
          </v:shape>
        </w:pict>
      </w:r>
      <w:r w:rsidR="00850DC5">
        <w:rPr>
          <w:rFonts w:ascii="Book Antiqua" w:hAnsi="Book Antiqua"/>
          <w:b/>
          <w:i/>
          <w:noProof/>
        </w:rPr>
        <w:pict w14:anchorId="1BB6F3F6">
          <v:shape id="Text Box 40" o:spid="_x0000_s1816" type="#_x0000_t202" style="position:absolute;left:0;text-align:left;margin-left:118.5pt;margin-top:76.8pt;width:39.75pt;height:19.5pt;z-index:251823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" filled="f" stroked="f">
            <v:textbox style="mso-next-textbox:#Text Box 40">
              <w:txbxContent>
                <w:p w14:paraId="4EB79EB4" w14:textId="77777777" w:rsidR="00E2396E" w:rsidRDefault="00E2396E" w:rsidP="00AB41AE"/>
              </w:txbxContent>
            </v:textbox>
          </v:shape>
        </w:pict>
      </w:r>
    </w:p>
    <w:p w14:paraId="610B512C" w14:textId="77777777" w:rsidR="00AB41AE" w:rsidRPr="00E3232D" w:rsidRDefault="00AB41AE" w:rsidP="00196385">
      <w:pPr>
        <w:pStyle w:val="ListParagraph"/>
        <w:numPr>
          <w:ilvl w:val="0"/>
          <w:numId w:val="88"/>
        </w:numPr>
        <w:jc w:val="both"/>
        <w:rPr>
          <w:rFonts w:ascii="Book Antiqua" w:hAnsi="Book Antiqua"/>
          <w:i/>
        </w:rPr>
      </w:pPr>
      <w:r w:rsidRPr="00E3232D">
        <w:rPr>
          <w:rFonts w:ascii="Book Antiqua" w:hAnsi="Book Antiqua"/>
          <w:b/>
          <w:i/>
        </w:rPr>
        <w:t>Statement: Staff are reliable in meeting customers’ expectations</w:t>
      </w:r>
    </w:p>
    <w:p w14:paraId="0A35F5D4" w14:textId="77777777" w:rsidR="00AB41AE" w:rsidRPr="00E3232D" w:rsidRDefault="00AB41AE" w:rsidP="003F57BD">
      <w:pPr>
        <w:tabs>
          <w:tab w:val="left" w:pos="2590"/>
        </w:tabs>
        <w:jc w:val="both"/>
        <w:rPr>
          <w:rFonts w:ascii="Book Antiqua" w:hAnsi="Book Antiqua"/>
          <w:i/>
        </w:rPr>
      </w:pPr>
      <w:r w:rsidRPr="00E3232D">
        <w:rPr>
          <w:rFonts w:ascii="Book Antiqua" w:hAnsi="Book Antiqua"/>
        </w:rPr>
        <w:t xml:space="preserve">41.2% strongly agree that the staff meet customers’ expectation,36.5% agree, 16.5% are not sure, 2.4% disagree, 3.5% strongly disagree, </w:t>
      </w:r>
      <w:r w:rsidRPr="00E3232D">
        <w:rPr>
          <w:rFonts w:ascii="Book Antiqua" w:hAnsi="Book Antiqua"/>
          <w:i/>
        </w:rPr>
        <w:t>to the statement that customers can depend on staffs in meeting their expectations.</w:t>
      </w:r>
      <w:r w:rsidRPr="00E3232D">
        <w:rPr>
          <w:rFonts w:ascii="Book Antiqua" w:hAnsi="Book Antiqua"/>
        </w:rPr>
        <w:t>See Table 5 of Appendixi</w:t>
      </w:r>
    </w:p>
    <w:p w14:paraId="53248E9F" w14:textId="77777777" w:rsidR="00AB41AE" w:rsidRPr="00E3232D" w:rsidRDefault="00AB41AE" w:rsidP="003F57BD">
      <w:pPr>
        <w:tabs>
          <w:tab w:val="left" w:pos="2590"/>
        </w:tabs>
        <w:jc w:val="both"/>
        <w:rPr>
          <w:rFonts w:ascii="Book Antiqua" w:hAnsi="Book Antiqua"/>
          <w:b/>
        </w:rPr>
      </w:pPr>
      <w:r w:rsidRPr="00E3232D">
        <w:rPr>
          <w:rFonts w:ascii="Book Antiqua" w:hAnsi="Book Antiqua"/>
          <w:b/>
        </w:rPr>
        <w:t xml:space="preserve">3.2.2. Responsiveness: </w:t>
      </w:r>
      <w:r w:rsidRPr="00E3232D">
        <w:rPr>
          <w:rFonts w:ascii="Book Antiqua" w:hAnsi="Book Antiqua"/>
        </w:rPr>
        <w:t>i.e. the willingness to help customers and to provide prompt service.</w:t>
      </w:r>
    </w:p>
    <w:p w14:paraId="3C8043FA" w14:textId="77777777" w:rsidR="00AB41AE" w:rsidRPr="00E3232D" w:rsidRDefault="00AB41AE" w:rsidP="00196385">
      <w:pPr>
        <w:pStyle w:val="ListParagraph"/>
        <w:numPr>
          <w:ilvl w:val="0"/>
          <w:numId w:val="86"/>
        </w:numPr>
        <w:jc w:val="both"/>
        <w:rPr>
          <w:rFonts w:ascii="Book Antiqua" w:hAnsi="Book Antiqua"/>
          <w:b/>
          <w:i/>
        </w:rPr>
      </w:pPr>
      <w:r w:rsidRPr="00E3232D">
        <w:rPr>
          <w:rFonts w:ascii="Book Antiqua" w:hAnsi="Book Antiqua"/>
          <w:b/>
          <w:i/>
        </w:rPr>
        <w:t>Statement: Staff are willing to provide prompt services</w:t>
      </w:r>
    </w:p>
    <w:p w14:paraId="1FBC9BF9" w14:textId="77777777" w:rsidR="00AB41AE" w:rsidRPr="00E3232D" w:rsidRDefault="00AB41AE" w:rsidP="003F57BD">
      <w:pPr>
        <w:pStyle w:val="ListParagraph"/>
        <w:tabs>
          <w:tab w:val="left" w:pos="2590"/>
        </w:tabs>
        <w:jc w:val="both"/>
        <w:rPr>
          <w:rFonts w:ascii="Book Antiqua" w:hAnsi="Book Antiqua"/>
        </w:rPr>
      </w:pPr>
      <w:r w:rsidRPr="00E3232D">
        <w:rPr>
          <w:rFonts w:ascii="Book Antiqua" w:hAnsi="Book Antiqua"/>
        </w:rPr>
        <w:t>44.7% agree that staff deliver prompt service to customers, 24.7% strongly agree, 22.4% were not sure, 4.7% strongly disagree and 3.5% disagree. See Table 6 of Appendixi</w:t>
      </w:r>
    </w:p>
    <w:p w14:paraId="21B8643E" w14:textId="77777777" w:rsidR="00AB41AE" w:rsidRDefault="00850DC5" w:rsidP="003F57BD">
      <w:pPr>
        <w:pStyle w:val="ListParagraph"/>
        <w:tabs>
          <w:tab w:val="left" w:pos="2590"/>
        </w:tabs>
        <w:ind w:left="0"/>
        <w:jc w:val="both"/>
        <w:rPr>
          <w:rFonts w:ascii="Book Antiqua" w:hAnsi="Book Antiqua"/>
          <w:b/>
          <w:i/>
        </w:rPr>
      </w:pPr>
      <w:r>
        <w:rPr>
          <w:rFonts w:ascii="Book Antiqua" w:hAnsi="Book Antiqua"/>
          <w:noProof/>
        </w:rPr>
        <w:pict w14:anchorId="54B9ECD2">
          <v:shape id="Text Box 51" o:spid="_x0000_s1823" type="#_x0000_t202" style="position:absolute;left:0;text-align:left;margin-left:148.5pt;margin-top:104.25pt;width:39.75pt;height:19.5pt;z-index:251830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" filled="f" stroked="f">
            <v:textbox style="mso-next-textbox:#Text Box 51">
              <w:txbxContent>
                <w:p w14:paraId="24E6791F" w14:textId="77777777" w:rsidR="00E2396E" w:rsidRDefault="00E2396E" w:rsidP="00AB41AE">
                  <w:r>
                    <w:t xml:space="preserve">   %%%%5555555%%%%%</w:t>
                  </w:r>
                </w:p>
              </w:txbxContent>
            </v:textbox>
          </v:shape>
        </w:pict>
      </w:r>
      <w:r>
        <w:rPr>
          <w:rFonts w:ascii="Book Antiqua" w:hAnsi="Book Antiqua"/>
          <w:noProof/>
        </w:rPr>
        <w:pict w14:anchorId="7BBF26ED">
          <v:shape id="Text Box 52" o:spid="_x0000_s1824" type="#_x0000_t202" style="position:absolute;left:0;text-align:left;margin-left:89.25pt;margin-top:70.5pt;width:39.75pt;height:19.5pt;z-index:251831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" filled="f" stroked="f">
            <v:textbox style="mso-next-textbox:#Text Box 52">
              <w:txbxContent>
                <w:p w14:paraId="6C570BBE" w14:textId="77777777" w:rsidR="00E2396E" w:rsidRDefault="00E2396E" w:rsidP="00AB41AE"/>
                <w:p w14:paraId="626A6066" w14:textId="77777777" w:rsidR="00E2396E" w:rsidRDefault="00E2396E" w:rsidP="00AB41AE"/>
              </w:txbxContent>
            </v:textbox>
          </v:shape>
        </w:pict>
      </w:r>
      <w:r>
        <w:rPr>
          <w:rFonts w:ascii="Book Antiqua" w:hAnsi="Book Antiqua"/>
          <w:noProof/>
        </w:rPr>
        <w:pict w14:anchorId="6F454EDA">
          <v:shape id="Text Box 49" o:spid="_x0000_s1822" type="#_x0000_t202" style="position:absolute;left:0;text-align:left;margin-left:109.5pt;margin-top:179.25pt;width:39.75pt;height:19.5pt;z-index:251829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" filled="f" stroked="f">
            <v:textbox style="mso-next-textbox:#Text Box 49">
              <w:txbxContent>
                <w:p w14:paraId="10011B0E" w14:textId="77777777" w:rsidR="00E2396E" w:rsidRDefault="00E2396E" w:rsidP="00AB41AE"/>
                <w:p w14:paraId="1577AE26" w14:textId="77777777" w:rsidR="00E2396E" w:rsidRDefault="00E2396E" w:rsidP="00AB41AE">
                  <w:r>
                    <w:t>455555555555</w:t>
                  </w:r>
                </w:p>
              </w:txbxContent>
            </v:textbox>
          </v:shape>
        </w:pict>
      </w:r>
      <w:r w:rsidR="00AB41AE">
        <w:rPr>
          <w:rFonts w:ascii="Book Antiqua" w:hAnsi="Book Antiqua"/>
          <w:b/>
          <w:i/>
        </w:rPr>
        <w:t xml:space="preserve">ii.          </w:t>
      </w:r>
      <w:r w:rsidR="00AB41AE" w:rsidRPr="00E3232D">
        <w:rPr>
          <w:rFonts w:ascii="Book Antiqua" w:hAnsi="Book Antiqua"/>
          <w:b/>
          <w:i/>
        </w:rPr>
        <w:t xml:space="preserve">Statement: Staff are willing to </w:t>
      </w:r>
      <w:r w:rsidR="00AB41AE">
        <w:rPr>
          <w:rFonts w:ascii="Book Antiqua" w:hAnsi="Book Antiqua"/>
          <w:b/>
          <w:i/>
        </w:rPr>
        <w:t xml:space="preserve">   </w:t>
      </w:r>
    </w:p>
    <w:p w14:paraId="39EA6E9F" w14:textId="77777777" w:rsidR="00AB41AE" w:rsidRPr="004A1E36" w:rsidRDefault="00AB41AE" w:rsidP="003F57BD">
      <w:pPr>
        <w:pStyle w:val="ListParagraph"/>
        <w:tabs>
          <w:tab w:val="left" w:pos="2590"/>
        </w:tabs>
        <w:ind w:left="0"/>
        <w:jc w:val="both"/>
        <w:rPr>
          <w:rFonts w:ascii="Book Antiqua" w:hAnsi="Book Antiqua"/>
          <w:b/>
          <w:i/>
        </w:rPr>
      </w:pPr>
      <w:r>
        <w:rPr>
          <w:rFonts w:ascii="Book Antiqua" w:hAnsi="Book Antiqua"/>
          <w:b/>
          <w:i/>
        </w:rPr>
        <w:t xml:space="preserve">             </w:t>
      </w:r>
      <w:r w:rsidRPr="00E3232D">
        <w:rPr>
          <w:rFonts w:ascii="Book Antiqua" w:hAnsi="Book Antiqua"/>
          <w:b/>
          <w:i/>
        </w:rPr>
        <w:t>help customers in difficulty</w:t>
      </w:r>
    </w:p>
    <w:p w14:paraId="71A2AA44" w14:textId="77777777" w:rsidR="00AB41AE" w:rsidRPr="00E3232D" w:rsidRDefault="00AB41AE" w:rsidP="003F57BD">
      <w:pPr>
        <w:pStyle w:val="ListParagraph"/>
        <w:jc w:val="both"/>
        <w:rPr>
          <w:rFonts w:ascii="Book Antiqua" w:hAnsi="Book Antiqua"/>
        </w:rPr>
      </w:pPr>
      <w:r w:rsidRPr="00E3232D">
        <w:rPr>
          <w:rFonts w:ascii="Book Antiqua" w:hAnsi="Book Antiqua"/>
        </w:rPr>
        <w:t>43.5% agree that staff show willingness to help customers in difficulties, 27.1% strongly agree, 17.6% were not sure, 9.4% of them strongly disagree and 2.4% disagree. See Table 7 of Appendixi</w:t>
      </w:r>
    </w:p>
    <w:p w14:paraId="086AF11C" w14:textId="77777777" w:rsidR="00AB41AE" w:rsidRDefault="00AB41AE" w:rsidP="003F57BD">
      <w:pPr>
        <w:spacing w:after="0"/>
        <w:jc w:val="both"/>
        <w:rPr>
          <w:rFonts w:ascii="Book Antiqua" w:hAnsi="Book Antiqua"/>
          <w:b/>
        </w:rPr>
      </w:pPr>
    </w:p>
    <w:p w14:paraId="09B08323" w14:textId="77777777" w:rsidR="00AB41AE" w:rsidRPr="00E3232D" w:rsidRDefault="00AB41AE" w:rsidP="003F57BD">
      <w:pPr>
        <w:jc w:val="both"/>
        <w:rPr>
          <w:rFonts w:ascii="Book Antiqua" w:hAnsi="Book Antiqua"/>
          <w:b/>
        </w:rPr>
      </w:pPr>
      <w:r w:rsidRPr="00E3232D">
        <w:rPr>
          <w:rFonts w:ascii="Book Antiqua" w:hAnsi="Book Antiqua"/>
          <w:b/>
        </w:rPr>
        <w:t>3.2.3. Assurance:</w:t>
      </w:r>
      <w:r w:rsidRPr="00E3232D">
        <w:rPr>
          <w:rFonts w:ascii="Book Antiqua" w:hAnsi="Book Antiqua"/>
        </w:rPr>
        <w:t xml:space="preserve">  i.e. the knowledge and courtesy of employees and their ability to convey trust and confidence.</w:t>
      </w:r>
    </w:p>
    <w:p w14:paraId="53A37F86" w14:textId="77777777" w:rsidR="00AB41AE" w:rsidRPr="00E3232D" w:rsidRDefault="00850DC5" w:rsidP="00196385">
      <w:pPr>
        <w:pStyle w:val="ListParagraph"/>
        <w:numPr>
          <w:ilvl w:val="0"/>
          <w:numId w:val="87"/>
        </w:numPr>
        <w:jc w:val="both"/>
        <w:rPr>
          <w:rFonts w:ascii="Book Antiqua" w:hAnsi="Book Antiqua"/>
          <w:i/>
          <w:noProof/>
        </w:rPr>
      </w:pPr>
      <w:r>
        <w:rPr>
          <w:rFonts w:ascii="Book Antiqua" w:hAnsi="Book Antiqua"/>
          <w:noProof/>
        </w:rPr>
        <w:pict w14:anchorId="50EEEBAB">
          <v:shape id="Text Box 57" o:spid="_x0000_s1818" type="#_x0000_t202" style="position:absolute;left:0;text-align:left;margin-left:22.5pt;margin-top:88.5pt;width:39.75pt;height:19.5pt;z-index:251825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nQyuwIAAMI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" filled="f" stroked="f">
            <v:textbox style="mso-next-textbox:#Text Box 57">
              <w:txbxContent>
                <w:p w14:paraId="333D95D2" w14:textId="77777777" w:rsidR="00E2396E" w:rsidRDefault="00E2396E" w:rsidP="00AB41AE"/>
              </w:txbxContent>
            </v:textbox>
          </v:shape>
        </w:pict>
      </w:r>
      <w:r>
        <w:rPr>
          <w:rFonts w:ascii="Book Antiqua" w:hAnsi="Book Antiqua"/>
          <w:noProof/>
        </w:rPr>
        <w:pict w14:anchorId="78D3DD4E">
          <v:shape id="Text Box 58" o:spid="_x0000_s1819" type="#_x0000_t202" style="position:absolute;left:0;text-align:left;margin-left:105.75pt;margin-top:168.4pt;width:39.75pt;height:19.5pt;z-index:251826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OupuwIAAMI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" filled="f" stroked="f">
            <v:textbox style="mso-next-textbox:#Text Box 58">
              <w:txbxContent>
                <w:p w14:paraId="6C61E2C5" w14:textId="77777777" w:rsidR="00E2396E" w:rsidRDefault="00E2396E" w:rsidP="00AB41AE"/>
              </w:txbxContent>
            </v:textbox>
          </v:shape>
        </w:pict>
      </w:r>
      <w:r>
        <w:rPr>
          <w:rFonts w:ascii="Book Antiqua" w:hAnsi="Book Antiqua"/>
          <w:noProof/>
        </w:rPr>
        <w:pict w14:anchorId="72DDDF89">
          <v:shape id="Text Box 59" o:spid="_x0000_s1820" type="#_x0000_t202" style="position:absolute;left:0;text-align:left;margin-left:46.5pt;margin-top:39pt;width:39.75pt;height:19.5pt;z-index:251827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" filled="f" stroked="f">
            <v:textbox style="mso-next-textbox:#Text Box 59">
              <w:txbxContent>
                <w:p w14:paraId="40D05FC3" w14:textId="77777777" w:rsidR="00E2396E" w:rsidRDefault="00E2396E" w:rsidP="00AB41AE"/>
              </w:txbxContent>
            </v:textbox>
          </v:shape>
        </w:pict>
      </w:r>
      <w:r>
        <w:rPr>
          <w:rFonts w:ascii="Book Antiqua" w:hAnsi="Book Antiqua"/>
          <w:noProof/>
        </w:rPr>
        <w:pict w14:anchorId="44D581AE">
          <v:shape id="Text Box 60" o:spid="_x0000_s1821" type="#_x0000_t202" style="position:absolute;left:0;text-align:left;margin-left:81pt;margin-top:28.5pt;width:39.75pt;height:19.5pt;z-index:251828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" filled="f" stroked="f">
            <v:textbox style="mso-next-textbox:#Text Box 60">
              <w:txbxContent>
                <w:p w14:paraId="5520A2A2" w14:textId="77777777" w:rsidR="00E2396E" w:rsidRDefault="00E2396E" w:rsidP="00AB41AE"/>
              </w:txbxContent>
            </v:textbox>
          </v:shape>
        </w:pict>
      </w:r>
      <w:r>
        <w:rPr>
          <w:rFonts w:ascii="Book Antiqua" w:hAnsi="Book Antiqua"/>
          <w:noProof/>
        </w:rPr>
        <w:pict w14:anchorId="4DDCD43D">
          <v:shape id="Text Box 55" o:spid="_x0000_s1817" type="#_x0000_t202" style="position:absolute;left:0;text-align:left;margin-left:145.5pt;margin-top:69pt;width:39.75pt;height:19.5pt;z-index:251824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" filled="f" stroked="f">
            <v:textbox style="mso-next-textbox:#Text Box 55">
              <w:txbxContent>
                <w:p w14:paraId="464CAD98" w14:textId="77777777" w:rsidR="00E2396E" w:rsidRDefault="00E2396E" w:rsidP="00AB41AE"/>
              </w:txbxContent>
            </v:textbox>
          </v:shape>
        </w:pict>
      </w:r>
      <w:r w:rsidR="00AB41AE" w:rsidRPr="00E3232D">
        <w:rPr>
          <w:rFonts w:ascii="Book Antiqua" w:hAnsi="Book Antiqua"/>
          <w:b/>
          <w:i/>
        </w:rPr>
        <w:t>Statement: Staff are aware of their responsibility to customers</w:t>
      </w:r>
    </w:p>
    <w:p w14:paraId="42601F28" w14:textId="77777777" w:rsidR="00AB41AE" w:rsidRPr="00E3232D" w:rsidRDefault="00AB41AE" w:rsidP="003F57BD">
      <w:pPr>
        <w:pStyle w:val="ListParagraph"/>
        <w:tabs>
          <w:tab w:val="left" w:pos="2590"/>
        </w:tabs>
        <w:jc w:val="both"/>
        <w:rPr>
          <w:rFonts w:ascii="Book Antiqua" w:hAnsi="Book Antiqua"/>
        </w:rPr>
      </w:pPr>
      <w:r w:rsidRPr="00E3232D">
        <w:rPr>
          <w:rFonts w:ascii="Book Antiqua" w:hAnsi="Book Antiqua"/>
        </w:rPr>
        <w:t>24.7% strongly agree,52.9% agree, 9.4% were not sure and 9.4% disagree and 3.5% strongly disagree. In other words, 77.6% agree that staff of chop bar services knows there duties, 12.9% disagree.See Table 8 of Appendixi</w:t>
      </w:r>
    </w:p>
    <w:p w14:paraId="7C981573" w14:textId="77777777" w:rsidR="00AB41AE" w:rsidRPr="00E3232D" w:rsidRDefault="00AB41AE" w:rsidP="003F57BD">
      <w:pPr>
        <w:pStyle w:val="ListParagraph"/>
        <w:tabs>
          <w:tab w:val="left" w:pos="2590"/>
        </w:tabs>
        <w:jc w:val="both"/>
        <w:rPr>
          <w:rFonts w:ascii="Book Antiqua" w:hAnsi="Book Antiqua"/>
          <w:color w:val="FF0000"/>
        </w:rPr>
      </w:pPr>
    </w:p>
    <w:p w14:paraId="717BC766" w14:textId="77777777" w:rsidR="00AB41AE" w:rsidRPr="00E3232D" w:rsidRDefault="00AB41AE" w:rsidP="00196385">
      <w:pPr>
        <w:pStyle w:val="ListParagraph"/>
        <w:numPr>
          <w:ilvl w:val="0"/>
          <w:numId w:val="87"/>
        </w:numPr>
        <w:jc w:val="both"/>
        <w:rPr>
          <w:rFonts w:ascii="Book Antiqua" w:hAnsi="Book Antiqua"/>
          <w:b/>
          <w:i/>
        </w:rPr>
      </w:pPr>
      <w:r w:rsidRPr="00E3232D">
        <w:rPr>
          <w:rFonts w:ascii="Book Antiqua" w:hAnsi="Book Antiqua"/>
          <w:b/>
          <w:i/>
        </w:rPr>
        <w:t>Statement</w:t>
      </w:r>
      <w:r w:rsidRPr="00E3232D">
        <w:rPr>
          <w:rFonts w:ascii="Book Antiqua" w:hAnsi="Book Antiqua"/>
          <w:b/>
        </w:rPr>
        <w:t xml:space="preserve">: </w:t>
      </w:r>
      <w:r w:rsidRPr="00E3232D">
        <w:rPr>
          <w:rFonts w:ascii="Book Antiqua" w:hAnsi="Book Antiqua"/>
          <w:b/>
          <w:i/>
        </w:rPr>
        <w:t>Staff attitudeinspire confidence and trust in customers</w:t>
      </w:r>
    </w:p>
    <w:p w14:paraId="349D802D" w14:textId="77777777" w:rsidR="00AB41AE" w:rsidRPr="00E3232D" w:rsidRDefault="00AB41AE" w:rsidP="003F57BD">
      <w:pPr>
        <w:pStyle w:val="ListParagraph"/>
        <w:jc w:val="both"/>
        <w:rPr>
          <w:rFonts w:ascii="Book Antiqua" w:hAnsi="Book Antiqua"/>
        </w:rPr>
      </w:pPr>
      <w:r w:rsidRPr="00E3232D">
        <w:rPr>
          <w:rFonts w:ascii="Book Antiqua" w:hAnsi="Book Antiqua"/>
        </w:rPr>
        <w:t>53% agreed that staff are  inspire confidence and trust in serving their customers, 18.8% strongly agree, 17.6% were not sure, 9.4% disagree and 1.2% strongly disagree. In effect, 71.8% think that staff are to be</w:t>
      </w:r>
      <w:r>
        <w:rPr>
          <w:rFonts w:ascii="Book Antiqua" w:hAnsi="Book Antiqua"/>
        </w:rPr>
        <w:t xml:space="preserve"> </w:t>
      </w:r>
      <w:r w:rsidRPr="00E3232D">
        <w:rPr>
          <w:rFonts w:ascii="Book Antiqua" w:hAnsi="Book Antiqua"/>
        </w:rPr>
        <w:t>trusted with much confidence. This means that staff of these chop bars are trustworthy, 10.6% disagree that staff inspire confidence and trust. See Table 9 of Appendixi</w:t>
      </w:r>
    </w:p>
    <w:p w14:paraId="194B1C63" w14:textId="77777777" w:rsidR="00AB41AE" w:rsidRPr="00E3232D" w:rsidRDefault="00AB41AE" w:rsidP="003F57BD">
      <w:pPr>
        <w:pStyle w:val="ListParagraph"/>
        <w:jc w:val="both"/>
        <w:rPr>
          <w:rFonts w:ascii="Book Antiqua" w:hAnsi="Book Antiqua"/>
        </w:rPr>
      </w:pPr>
    </w:p>
    <w:p w14:paraId="718CB3DD" w14:textId="77777777" w:rsidR="00AB41AE" w:rsidRPr="00E3232D" w:rsidRDefault="00AB41AE" w:rsidP="00196385">
      <w:pPr>
        <w:pStyle w:val="ListParagraph"/>
        <w:numPr>
          <w:ilvl w:val="0"/>
          <w:numId w:val="87"/>
        </w:numPr>
        <w:jc w:val="both"/>
        <w:rPr>
          <w:rFonts w:ascii="Book Antiqua" w:hAnsi="Book Antiqua"/>
          <w:i/>
          <w:noProof/>
        </w:rPr>
      </w:pPr>
      <w:r w:rsidRPr="00E3232D">
        <w:rPr>
          <w:rFonts w:ascii="Book Antiqua" w:hAnsi="Book Antiqua"/>
          <w:b/>
          <w:i/>
        </w:rPr>
        <w:t>Statement: Staff are courteousin providing service</w:t>
      </w:r>
    </w:p>
    <w:p w14:paraId="3DDD2470" w14:textId="77777777" w:rsidR="00AB41AE" w:rsidRPr="00E3232D" w:rsidRDefault="00AB41AE" w:rsidP="003F57BD">
      <w:pPr>
        <w:pStyle w:val="ListParagraph"/>
        <w:tabs>
          <w:tab w:val="left" w:pos="2590"/>
        </w:tabs>
        <w:jc w:val="both"/>
        <w:rPr>
          <w:rFonts w:ascii="Book Antiqua" w:hAnsi="Book Antiqua"/>
        </w:rPr>
      </w:pPr>
      <w:r w:rsidRPr="00E3232D">
        <w:rPr>
          <w:rFonts w:ascii="Book Antiqua" w:hAnsi="Book Antiqua"/>
        </w:rPr>
        <w:t>47.1% agree that staffs care for customers, 23.5% strongly agree, 21.2% were not sure, 4.7% strongly disagree and 3.5% disagree.In other words, 70.6% believe staffs of chop bar are caring, 8.2% disagree and 21.2% do not know. See Table10 of Appendixi.However, it was observed that most of the chop bar staff do not know how important the customer is to the business.</w:t>
      </w:r>
    </w:p>
    <w:p w14:paraId="67CBBFF7" w14:textId="77777777" w:rsidR="00AB41AE" w:rsidRDefault="00AB41AE" w:rsidP="003F57BD">
      <w:pPr>
        <w:tabs>
          <w:tab w:val="left" w:pos="2590"/>
        </w:tabs>
        <w:spacing w:after="0"/>
        <w:jc w:val="both"/>
        <w:rPr>
          <w:rFonts w:ascii="Book Antiqua" w:hAnsi="Book Antiqua"/>
          <w:b/>
        </w:rPr>
      </w:pPr>
    </w:p>
    <w:p w14:paraId="0E905A6C" w14:textId="77777777" w:rsidR="00AB41AE" w:rsidRPr="00E3232D" w:rsidRDefault="00AB41AE" w:rsidP="003F57BD">
      <w:pPr>
        <w:tabs>
          <w:tab w:val="left" w:pos="2590"/>
        </w:tabs>
        <w:jc w:val="both"/>
        <w:rPr>
          <w:rFonts w:ascii="Book Antiqua" w:hAnsi="Book Antiqua"/>
          <w:b/>
        </w:rPr>
      </w:pPr>
      <w:r w:rsidRPr="00E3232D">
        <w:rPr>
          <w:rFonts w:ascii="Book Antiqua" w:hAnsi="Book Antiqua"/>
          <w:b/>
        </w:rPr>
        <w:t xml:space="preserve">3.2.4. Empathy: </w:t>
      </w:r>
      <w:r w:rsidRPr="00E3232D">
        <w:rPr>
          <w:rFonts w:ascii="Book Antiqua" w:hAnsi="Book Antiqua"/>
        </w:rPr>
        <w:t xml:space="preserve">i.e.the provision of caring and individual attention to customers’ problems. </w:t>
      </w:r>
    </w:p>
    <w:p w14:paraId="52E9A618" w14:textId="77777777" w:rsidR="00AB41AE" w:rsidRPr="00E3232D" w:rsidRDefault="00AB41AE" w:rsidP="00196385">
      <w:pPr>
        <w:pStyle w:val="ListParagraph"/>
        <w:numPr>
          <w:ilvl w:val="0"/>
          <w:numId w:val="89"/>
        </w:numPr>
        <w:jc w:val="both"/>
        <w:rPr>
          <w:rFonts w:ascii="Book Antiqua" w:hAnsi="Book Antiqua"/>
          <w:b/>
          <w:i/>
        </w:rPr>
      </w:pPr>
      <w:r w:rsidRPr="00E3232D">
        <w:rPr>
          <w:rFonts w:ascii="Book Antiqua" w:hAnsi="Book Antiqua"/>
          <w:b/>
          <w:i/>
        </w:rPr>
        <w:t>Statement: Staff are caring and give customers quality individual attention</w:t>
      </w:r>
    </w:p>
    <w:p w14:paraId="6895BDC9" w14:textId="77777777" w:rsidR="00AB41AE" w:rsidRPr="003F57BD" w:rsidRDefault="00AB41AE" w:rsidP="003F57BD">
      <w:pPr>
        <w:tabs>
          <w:tab w:val="left" w:pos="2590"/>
        </w:tabs>
        <w:jc w:val="both"/>
        <w:rPr>
          <w:rFonts w:ascii="Book Antiqua" w:hAnsi="Book Antiqua"/>
        </w:rPr>
      </w:pPr>
      <w:r w:rsidRPr="00E3232D">
        <w:rPr>
          <w:rFonts w:ascii="Book Antiqua" w:hAnsi="Book Antiqua"/>
        </w:rPr>
        <w:t>51.8% agreed that staff give customers individual attention, 24.7% strongly agreed, 8.2% are not sure, 4.7% strongly disagreed and 10.6% disagreed. Generally,most customers (76.5%) think that staff give individual customer attention.See Table 11of AppendixIIt was however observed that some customersthink they are special and therefore must be givenspecial treatment.</w:t>
      </w:r>
    </w:p>
    <w:p w14:paraId="539EA468" w14:textId="77777777" w:rsidR="00AB41AE" w:rsidRPr="00E3232D" w:rsidRDefault="00AB41AE" w:rsidP="003F57BD">
      <w:pPr>
        <w:jc w:val="both"/>
        <w:rPr>
          <w:rFonts w:ascii="Book Antiqua" w:hAnsi="Book Antiqua"/>
        </w:rPr>
      </w:pPr>
      <w:r w:rsidRPr="00E3232D">
        <w:rPr>
          <w:rFonts w:ascii="Book Antiqua" w:hAnsi="Book Antiqua"/>
          <w:b/>
        </w:rPr>
        <w:t>3.2.5. Tangibles</w:t>
      </w:r>
      <w:r w:rsidRPr="00E3232D">
        <w:rPr>
          <w:rFonts w:ascii="Book Antiqua" w:hAnsi="Book Antiqua"/>
        </w:rPr>
        <w:t xml:space="preserve">: i.e.The appearance of physical facilities, such as cutlery and furniture sets, </w:t>
      </w:r>
      <w:r>
        <w:rPr>
          <w:rFonts w:ascii="Book Antiqua" w:hAnsi="Book Antiqua"/>
        </w:rPr>
        <w:t xml:space="preserve">television sets and radio sets, </w:t>
      </w:r>
      <w:r w:rsidRPr="00E3232D">
        <w:rPr>
          <w:rFonts w:ascii="Book Antiqua" w:hAnsi="Book Antiqua"/>
        </w:rPr>
        <w:t>the buildings, equipment, personnel, communication materials, etc.</w:t>
      </w:r>
    </w:p>
    <w:p w14:paraId="08160233" w14:textId="77777777" w:rsidR="00AB41AE" w:rsidRPr="00E3232D" w:rsidRDefault="00AB41AE" w:rsidP="003F57BD">
      <w:pPr>
        <w:spacing w:after="0"/>
        <w:jc w:val="both"/>
        <w:rPr>
          <w:rFonts w:ascii="Book Antiqua" w:hAnsi="Book Antiqua"/>
        </w:rPr>
      </w:pPr>
    </w:p>
    <w:p w14:paraId="4F5F1EE4" w14:textId="77777777" w:rsidR="00AB41AE" w:rsidRPr="00E3232D" w:rsidRDefault="00AB41AE" w:rsidP="00196385">
      <w:pPr>
        <w:pStyle w:val="ListParagraph"/>
        <w:numPr>
          <w:ilvl w:val="0"/>
          <w:numId w:val="90"/>
        </w:numPr>
        <w:jc w:val="both"/>
        <w:rPr>
          <w:rFonts w:ascii="Book Antiqua" w:hAnsi="Book Antiqua"/>
          <w:b/>
          <w:i/>
        </w:rPr>
      </w:pPr>
      <w:r w:rsidRPr="00E3232D">
        <w:rPr>
          <w:rFonts w:ascii="Book Antiqua" w:hAnsi="Book Antiqua"/>
          <w:b/>
          <w:i/>
        </w:rPr>
        <w:t>Statement: television sets, sound systems, electric fan, chairs and tables are available.</w:t>
      </w:r>
    </w:p>
    <w:p w14:paraId="0F30EBCB" w14:textId="77777777" w:rsidR="00AB41AE" w:rsidRPr="00E3232D" w:rsidRDefault="00AB41AE" w:rsidP="003F57BD">
      <w:pPr>
        <w:pStyle w:val="ListParagraph"/>
        <w:jc w:val="both"/>
        <w:rPr>
          <w:rFonts w:ascii="Book Antiqua" w:hAnsi="Book Antiqua"/>
        </w:rPr>
      </w:pPr>
      <w:r w:rsidRPr="00E3232D">
        <w:rPr>
          <w:rFonts w:ascii="Book Antiqua" w:hAnsi="Book Antiqua"/>
        </w:rPr>
        <w:t xml:space="preserve">16.5% of the respondents strongly disagree, 60% agree, 12.9% are not sure, 4.7% disagree, and 5.9 strongly disagree. See Table 12 of Appendix I. This shows that most customers are comfortable with the available facilities at these chop bars but 4.7% are not satisfied. However, it was observed that some of the chop bars do not have the required facilities to serve customers and that many customers go to these bars mainly for food, every other thing is secondary. </w:t>
      </w:r>
    </w:p>
    <w:p w14:paraId="62D291DA" w14:textId="77777777" w:rsidR="00AB41AE" w:rsidRPr="00E3232D" w:rsidRDefault="00AB41AE" w:rsidP="003F57BD">
      <w:pPr>
        <w:pStyle w:val="ListParagraph"/>
        <w:jc w:val="both"/>
        <w:rPr>
          <w:rFonts w:ascii="Book Antiqua" w:hAnsi="Book Antiqua"/>
        </w:rPr>
      </w:pPr>
    </w:p>
    <w:p w14:paraId="4332407F" w14:textId="77777777" w:rsidR="00AB41AE" w:rsidRPr="00E3232D" w:rsidRDefault="00AB41AE" w:rsidP="00196385">
      <w:pPr>
        <w:pStyle w:val="ListParagraph"/>
        <w:numPr>
          <w:ilvl w:val="0"/>
          <w:numId w:val="90"/>
        </w:numPr>
        <w:jc w:val="both"/>
        <w:rPr>
          <w:rFonts w:ascii="Book Antiqua" w:hAnsi="Book Antiqua"/>
          <w:b/>
          <w:i/>
        </w:rPr>
      </w:pPr>
      <w:r w:rsidRPr="00E3232D">
        <w:rPr>
          <w:rFonts w:ascii="Book Antiqua" w:hAnsi="Book Antiqua"/>
          <w:b/>
          <w:i/>
        </w:rPr>
        <w:t>Statement: the facilities at the chop bars are in good condition.</w:t>
      </w:r>
    </w:p>
    <w:p w14:paraId="79E11BFA" w14:textId="77777777" w:rsidR="00AB41AE" w:rsidRPr="00E3232D" w:rsidRDefault="00AB41AE" w:rsidP="003F57BD">
      <w:pPr>
        <w:pStyle w:val="ListParagraph"/>
        <w:tabs>
          <w:tab w:val="left" w:pos="2590"/>
        </w:tabs>
        <w:jc w:val="both"/>
        <w:rPr>
          <w:rFonts w:ascii="Book Antiqua" w:hAnsi="Book Antiqua"/>
        </w:rPr>
      </w:pPr>
      <w:r w:rsidRPr="00E3232D">
        <w:rPr>
          <w:rFonts w:ascii="Book Antiqua" w:hAnsi="Book Antiqua"/>
        </w:rPr>
        <w:t xml:space="preserve">56.5% agree, 9.4% strongly agree, 16.5% were not sure, 11.8% disagree and 5.9% strongly disagree. See Table 13 of Appendix I.This indicates that 76.5% think the chop bars facilities are of high quality; only 15.3% believe the facilities of the chop bars are not good. </w:t>
      </w:r>
    </w:p>
    <w:p w14:paraId="4BFB4FD6" w14:textId="77777777" w:rsidR="00AB41AE" w:rsidRPr="00E3232D" w:rsidRDefault="00AB41AE" w:rsidP="003F57BD">
      <w:pPr>
        <w:pStyle w:val="ListParagraph"/>
        <w:tabs>
          <w:tab w:val="left" w:pos="2590"/>
        </w:tabs>
        <w:jc w:val="both"/>
        <w:rPr>
          <w:rFonts w:ascii="Book Antiqua" w:hAnsi="Book Antiqua"/>
        </w:rPr>
      </w:pPr>
      <w:r w:rsidRPr="00E3232D">
        <w:rPr>
          <w:rFonts w:ascii="Book Antiqua" w:hAnsi="Book Antiqua"/>
        </w:rPr>
        <w:t>It was however observed that the physical</w:t>
      </w:r>
      <w:r>
        <w:rPr>
          <w:rFonts w:ascii="Book Antiqua" w:hAnsi="Book Antiqua"/>
        </w:rPr>
        <w:t xml:space="preserve"> facilities of Abease, EnyeNyeme </w:t>
      </w:r>
      <w:r w:rsidRPr="00E3232D">
        <w:rPr>
          <w:rFonts w:ascii="Book Antiqua" w:hAnsi="Book Antiqua"/>
        </w:rPr>
        <w:t xml:space="preserve">Den, ObaaYaa, and NyameBekyere chop bars were not good enough because sitting positions were not comfortable enough; they were open places exposed to all kinds of flies; electric fans and television sets too were not available at these bars at the time. </w:t>
      </w:r>
    </w:p>
    <w:p w14:paraId="0332B510" w14:textId="77777777" w:rsidR="00AB41AE" w:rsidRPr="00E3232D" w:rsidRDefault="00AB41AE" w:rsidP="003F57BD">
      <w:pPr>
        <w:pStyle w:val="ListParagraph"/>
        <w:tabs>
          <w:tab w:val="left" w:pos="2590"/>
        </w:tabs>
        <w:jc w:val="both"/>
        <w:rPr>
          <w:rFonts w:ascii="Book Antiqua" w:hAnsi="Book Antiqua"/>
          <w:color w:val="FF0000"/>
        </w:rPr>
      </w:pPr>
    </w:p>
    <w:p w14:paraId="4B58E501" w14:textId="77777777" w:rsidR="00AB41AE" w:rsidRPr="00E3232D" w:rsidRDefault="00850DC5" w:rsidP="00196385">
      <w:pPr>
        <w:pStyle w:val="ListParagraph"/>
        <w:numPr>
          <w:ilvl w:val="0"/>
          <w:numId w:val="90"/>
        </w:numPr>
        <w:tabs>
          <w:tab w:val="left" w:pos="2590"/>
        </w:tabs>
        <w:jc w:val="both"/>
        <w:rPr>
          <w:rFonts w:ascii="Book Antiqua" w:hAnsi="Book Antiqua"/>
          <w:b/>
          <w:i/>
          <w:color w:val="FF0000"/>
        </w:rPr>
      </w:pPr>
      <w:r>
        <w:rPr>
          <w:rFonts w:ascii="Book Antiqua" w:hAnsi="Book Antiqua"/>
          <w:noProof/>
        </w:rPr>
        <w:pict w14:anchorId="2BC714CF">
          <v:shape id="Text Box 31" o:spid="_x0000_s1825" type="#_x0000_t202" style="position:absolute;left:0;text-align:left;margin-left:141pt;margin-top:60pt;width:31.5pt;height:19.5pt;z-index:251832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b8uQ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" filled="f" stroked="f">
            <v:textbox style="mso-next-textbox:#Text Box 31">
              <w:txbxContent>
                <w:p w14:paraId="21CDA362" w14:textId="77777777" w:rsidR="00E2396E" w:rsidRDefault="00E2396E" w:rsidP="00AB41AE"/>
              </w:txbxContent>
            </v:textbox>
          </v:shape>
        </w:pict>
      </w:r>
      <w:r>
        <w:rPr>
          <w:rFonts w:ascii="Book Antiqua" w:hAnsi="Book Antiqua"/>
          <w:noProof/>
        </w:rPr>
        <w:pict w14:anchorId="0F760B37">
          <v:shape id="Text Box 33" o:spid="_x0000_s1827" type="#_x0000_t202" style="position:absolute;left:0;text-align:left;margin-left:105pt;margin-top:51pt;width:31.5pt;height:19.5pt;z-index:251834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NuQIAAMI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" filled="f" stroked="f">
            <v:textbox style="mso-next-textbox:#Text Box 33">
              <w:txbxContent>
                <w:p w14:paraId="7EABB57C" w14:textId="77777777" w:rsidR="00E2396E" w:rsidRDefault="00E2396E" w:rsidP="00AB41AE"/>
              </w:txbxContent>
            </v:textbox>
          </v:shape>
        </w:pict>
      </w:r>
      <w:r>
        <w:rPr>
          <w:rFonts w:ascii="Book Antiqua" w:hAnsi="Book Antiqua"/>
          <w:noProof/>
        </w:rPr>
        <w:pict w14:anchorId="3E98F16E">
          <v:shape id="Text Box 35" o:spid="_x0000_s1829" type="#_x0000_t202" style="position:absolute;left:0;text-align:left;margin-left:71.25pt;margin-top:78.75pt;width:41.25pt;height:19.5pt;z-index:251836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" filled="f" stroked="f">
            <v:textbox style="mso-next-textbox:#Text Box 35">
              <w:txbxContent>
                <w:p w14:paraId="69117327" w14:textId="77777777" w:rsidR="00E2396E" w:rsidRDefault="00E2396E" w:rsidP="00AB41AE"/>
              </w:txbxContent>
            </v:textbox>
          </v:shape>
        </w:pict>
      </w:r>
      <w:r>
        <w:rPr>
          <w:rFonts w:ascii="Book Antiqua" w:hAnsi="Book Antiqua"/>
          <w:noProof/>
        </w:rPr>
        <w:pict w14:anchorId="0C72E87F">
          <v:shape id="Text Box 34" o:spid="_x0000_s1828" type="#_x0000_t202" style="position:absolute;left:0;text-align:left;margin-left:61.5pt;margin-top:129.75pt;width:40.5pt;height:19.5pt;z-index:251835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SnluQ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" filled="f" stroked="f">
            <v:textbox style="mso-next-textbox:#Text Box 34">
              <w:txbxContent>
                <w:p w14:paraId="6667E1AE" w14:textId="77777777" w:rsidR="00E2396E" w:rsidRDefault="00E2396E" w:rsidP="00AB41AE"/>
              </w:txbxContent>
            </v:textbox>
          </v:shape>
        </w:pict>
      </w:r>
      <w:r>
        <w:rPr>
          <w:rFonts w:ascii="Book Antiqua" w:hAnsi="Book Antiqua"/>
          <w:noProof/>
        </w:rPr>
        <w:pict w14:anchorId="2F4E1A51">
          <v:shape id="Text Box 32" o:spid="_x0000_s1826" type="#_x0000_t202" style="position:absolute;left:0;text-align:left;margin-left:148.5pt;margin-top:157.5pt;width:39.75pt;height:19.5pt;z-index:251833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" filled="f" stroked="f">
            <v:textbox style="mso-next-textbox:#Text Box 32">
              <w:txbxContent>
                <w:p w14:paraId="389D146B" w14:textId="77777777" w:rsidR="00E2396E" w:rsidRDefault="00E2396E" w:rsidP="00AB41AE"/>
              </w:txbxContent>
            </v:textbox>
          </v:shape>
        </w:pict>
      </w:r>
      <w:r w:rsidR="00AB41AE" w:rsidRPr="00E3232D">
        <w:rPr>
          <w:rFonts w:ascii="Book Antiqua" w:hAnsi="Book Antiqua"/>
          <w:b/>
          <w:i/>
        </w:rPr>
        <w:t>Statement: Menu boards or cards are available at the chop bars.</w:t>
      </w:r>
    </w:p>
    <w:p w14:paraId="2C562811" w14:textId="77777777" w:rsidR="005E0419" w:rsidRPr="003F57BD" w:rsidRDefault="00AB41AE" w:rsidP="003F57BD">
      <w:pPr>
        <w:pStyle w:val="ListParagraph"/>
        <w:tabs>
          <w:tab w:val="left" w:pos="2590"/>
        </w:tabs>
        <w:jc w:val="both"/>
        <w:rPr>
          <w:rFonts w:ascii="Book Antiqua" w:hAnsi="Book Antiqua"/>
          <w:b/>
          <w:color w:val="FF0000"/>
        </w:rPr>
      </w:pPr>
      <w:r w:rsidRPr="00E3232D">
        <w:rPr>
          <w:rFonts w:ascii="Book Antiqua" w:hAnsi="Book Antiqua"/>
        </w:rPr>
        <w:t xml:space="preserve">31.8% were not sure whether the chop bars provide menu board or card, 23.5% agree that chop bars provide menu board, 21.2% strongly disagree that the chop bars provide menu board or card, 12.9% and 10.6% disagree and strongly agree respectively. See Table 13ofAppendix I.This implies that41.1% customers agree that the chop bars provide menu boards or cards, 34.1% agree that these chop bar do not provide menu board, 31% are not sure whether the bars have menu boards or cards to make choice of dish easier for customers. </w:t>
      </w:r>
    </w:p>
    <w:p w14:paraId="004BD059" w14:textId="77777777" w:rsidR="00AB41AE" w:rsidRPr="00E3232D" w:rsidRDefault="00AB41AE" w:rsidP="003F57BD">
      <w:pPr>
        <w:jc w:val="both"/>
        <w:rPr>
          <w:rFonts w:ascii="Book Antiqua" w:hAnsi="Book Antiqua"/>
          <w:b/>
        </w:rPr>
      </w:pPr>
      <w:r w:rsidRPr="00E3232D">
        <w:rPr>
          <w:rFonts w:ascii="Book Antiqua" w:hAnsi="Book Antiqua"/>
          <w:b/>
        </w:rPr>
        <w:t>3.3. Observations</w:t>
      </w:r>
    </w:p>
    <w:p w14:paraId="77849456" w14:textId="77777777" w:rsidR="008214F9" w:rsidRPr="00050BBA" w:rsidRDefault="00AB41AE" w:rsidP="003F57BD">
      <w:pPr>
        <w:jc w:val="both"/>
        <w:rPr>
          <w:rFonts w:ascii="Book Antiqua" w:hAnsi="Book Antiqua"/>
        </w:rPr>
      </w:pPr>
      <w:r w:rsidRPr="00E3232D">
        <w:rPr>
          <w:rFonts w:ascii="Book Antiqua" w:hAnsi="Book Antiqua"/>
        </w:rPr>
        <w:t>It was observed that, Abease and NyameBekyerechop bars do not have television, ceiling or standing fan and cutlery sets for customers.Big T chop bar do not have either ceiling or standing fan. ObaaYaa Chop bar has a television but it is placed away from customers.</w:t>
      </w:r>
      <w:r>
        <w:rPr>
          <w:rFonts w:ascii="Book Antiqua" w:hAnsi="Book Antiqua"/>
        </w:rPr>
        <w:t xml:space="preserve"> </w:t>
      </w:r>
      <w:r w:rsidRPr="00E3232D">
        <w:rPr>
          <w:rFonts w:ascii="Book Antiqua" w:hAnsi="Book Antiqua"/>
        </w:rPr>
        <w:t>NyameBekyere</w:t>
      </w:r>
      <w:r>
        <w:rPr>
          <w:rFonts w:ascii="Book Antiqua" w:hAnsi="Book Antiqua"/>
        </w:rPr>
        <w:t xml:space="preserve"> </w:t>
      </w:r>
      <w:r w:rsidRPr="00E3232D">
        <w:rPr>
          <w:rFonts w:ascii="Book Antiqua" w:hAnsi="Book Antiqua"/>
        </w:rPr>
        <w:t>and EnyeNyameDen chop bars need to improve on their buildings. Their buildings are not attractive enough to appeal to more people.It was also observed that almost all the chop bars have certain customers that are givenspecial treatment or service as compared to other customers.</w:t>
      </w:r>
    </w:p>
    <w:p w14:paraId="343B9550" w14:textId="77777777" w:rsidR="00AB41AE" w:rsidRPr="00E3232D" w:rsidRDefault="00AB41AE" w:rsidP="003F57BD">
      <w:pPr>
        <w:jc w:val="both"/>
        <w:rPr>
          <w:rFonts w:ascii="Book Antiqua" w:hAnsi="Book Antiqua"/>
          <w:b/>
        </w:rPr>
      </w:pPr>
      <w:r w:rsidRPr="00E3232D">
        <w:rPr>
          <w:rFonts w:ascii="Book Antiqua" w:hAnsi="Book Antiqua"/>
          <w:b/>
        </w:rPr>
        <w:t>4.</w:t>
      </w:r>
      <w:r w:rsidR="008214F9">
        <w:rPr>
          <w:rFonts w:ascii="Book Antiqua" w:hAnsi="Book Antiqua"/>
          <w:b/>
        </w:rPr>
        <w:t>0</w:t>
      </w:r>
      <w:r w:rsidRPr="00E3232D">
        <w:rPr>
          <w:rFonts w:ascii="Book Antiqua" w:hAnsi="Book Antiqua"/>
          <w:b/>
        </w:rPr>
        <w:t xml:space="preserve"> </w:t>
      </w:r>
      <w:r w:rsidRPr="003F57BD">
        <w:rPr>
          <w:rFonts w:ascii="Book Antiqua" w:hAnsi="Book Antiqua"/>
          <w:b/>
          <w:sz w:val="26"/>
        </w:rPr>
        <w:t>Conclusions</w:t>
      </w:r>
      <w:r w:rsidRPr="00E3232D">
        <w:rPr>
          <w:rFonts w:ascii="Book Antiqua" w:hAnsi="Book Antiqua"/>
          <w:b/>
        </w:rPr>
        <w:t xml:space="preserve"> </w:t>
      </w:r>
    </w:p>
    <w:p w14:paraId="6CDBFFD7" w14:textId="77777777" w:rsidR="00AB41AE" w:rsidRPr="00E3232D" w:rsidRDefault="00AB41AE" w:rsidP="003F57BD">
      <w:pPr>
        <w:jc w:val="both"/>
        <w:rPr>
          <w:rFonts w:ascii="Book Antiqua" w:hAnsi="Book Antiqua"/>
        </w:rPr>
      </w:pPr>
      <w:r w:rsidRPr="00E3232D">
        <w:rPr>
          <w:rFonts w:ascii="Book Antiqua" w:hAnsi="Book Antiqua"/>
        </w:rPr>
        <w:t>The study is a survey research which was undertaken to assess the service quality levels among chop bar operators in Koforidua.The objective of the research was to examine the tangibles, reliability, responsiveness; empathy and assurance of these chop bars.The population was made up customers, managers and owners five selected chop bars in Koforidua from which a sample of 200 customers was chosen. In all 170 of the questionnaire</w:t>
      </w:r>
      <w:r>
        <w:rPr>
          <w:rFonts w:ascii="Book Antiqua" w:hAnsi="Book Antiqua"/>
          <w:b/>
        </w:rPr>
        <w:t xml:space="preserve">  </w:t>
      </w:r>
      <w:r w:rsidRPr="00E3232D">
        <w:rPr>
          <w:rFonts w:ascii="Book Antiqua" w:hAnsi="Book Antiqua"/>
        </w:rPr>
        <w:t>were retrieved. From the discussions above the following conclusions could be drawn:</w:t>
      </w:r>
    </w:p>
    <w:p w14:paraId="4EF2DCE1" w14:textId="77777777" w:rsidR="00AB41AE" w:rsidRPr="00E3232D" w:rsidRDefault="00AB41AE" w:rsidP="00196385">
      <w:pPr>
        <w:pStyle w:val="ListParagraph"/>
        <w:numPr>
          <w:ilvl w:val="0"/>
          <w:numId w:val="91"/>
        </w:numPr>
        <w:jc w:val="both"/>
        <w:rPr>
          <w:rFonts w:ascii="Book Antiqua" w:hAnsi="Book Antiqua"/>
        </w:rPr>
      </w:pPr>
      <w:r w:rsidRPr="00E3232D">
        <w:rPr>
          <w:rFonts w:ascii="Book Antiqua" w:hAnsi="Book Antiqua"/>
        </w:rPr>
        <w:t>More males (84.7%)patronized chop bars than females (15.3%) and that majority of them are in their youthful age.</w:t>
      </w:r>
    </w:p>
    <w:p w14:paraId="561094A7" w14:textId="77777777" w:rsidR="00AB41AE" w:rsidRPr="00E3232D" w:rsidRDefault="00AB41AE" w:rsidP="00196385">
      <w:pPr>
        <w:pStyle w:val="ListParagraph"/>
        <w:numPr>
          <w:ilvl w:val="0"/>
          <w:numId w:val="91"/>
        </w:numPr>
        <w:jc w:val="both"/>
        <w:rPr>
          <w:rFonts w:ascii="Book Antiqua" w:hAnsi="Book Antiqua"/>
        </w:rPr>
      </w:pPr>
      <w:r w:rsidRPr="00E3232D">
        <w:rPr>
          <w:rFonts w:ascii="Book Antiqua" w:hAnsi="Book Antiqua"/>
        </w:rPr>
        <w:t>Customers of the chop bars cut across all professions</w:t>
      </w:r>
    </w:p>
    <w:p w14:paraId="5523C09B" w14:textId="77777777" w:rsidR="00AB41AE" w:rsidRPr="00E3232D" w:rsidRDefault="00AB41AE" w:rsidP="00196385">
      <w:pPr>
        <w:pStyle w:val="ListParagraph"/>
        <w:numPr>
          <w:ilvl w:val="0"/>
          <w:numId w:val="91"/>
        </w:numPr>
        <w:jc w:val="both"/>
        <w:rPr>
          <w:rFonts w:ascii="Book Antiqua" w:hAnsi="Book Antiqua"/>
        </w:rPr>
      </w:pPr>
      <w:r w:rsidRPr="00E3232D">
        <w:rPr>
          <w:rFonts w:ascii="Book Antiqua" w:hAnsi="Book Antiqua"/>
        </w:rPr>
        <w:t>Most</w:t>
      </w:r>
      <w:r>
        <w:rPr>
          <w:rFonts w:ascii="Book Antiqua" w:hAnsi="Book Antiqua"/>
        </w:rPr>
        <w:t xml:space="preserve"> </w:t>
      </w:r>
      <w:r w:rsidRPr="00E3232D">
        <w:rPr>
          <w:rFonts w:ascii="Book Antiqua" w:hAnsi="Book Antiqua"/>
        </w:rPr>
        <w:t>(88.2%) of the respondents are satisfied with the quality of food served at the chop bars; few</w:t>
      </w:r>
      <w:r>
        <w:rPr>
          <w:rFonts w:ascii="Book Antiqua" w:hAnsi="Book Antiqua"/>
        </w:rPr>
        <w:t xml:space="preserve"> </w:t>
      </w:r>
      <w:r w:rsidRPr="00E3232D">
        <w:rPr>
          <w:rFonts w:ascii="Book Antiqua" w:hAnsi="Book Antiqua"/>
        </w:rPr>
        <w:t>(11.8%) of them are not.</w:t>
      </w:r>
    </w:p>
    <w:p w14:paraId="57A0D066" w14:textId="77777777" w:rsidR="00AB41AE" w:rsidRPr="00E3232D" w:rsidRDefault="00AB41AE" w:rsidP="00196385">
      <w:pPr>
        <w:pStyle w:val="ListParagraph"/>
        <w:numPr>
          <w:ilvl w:val="0"/>
          <w:numId w:val="91"/>
        </w:numPr>
        <w:jc w:val="both"/>
        <w:rPr>
          <w:rFonts w:ascii="Book Antiqua" w:hAnsi="Book Antiqua"/>
        </w:rPr>
      </w:pPr>
      <w:r w:rsidRPr="00E3232D">
        <w:rPr>
          <w:rFonts w:ascii="Book Antiqua" w:hAnsi="Book Antiqua"/>
          <w:i/>
        </w:rPr>
        <w:t>Reliability:</w:t>
      </w:r>
      <w:r>
        <w:rPr>
          <w:rFonts w:ascii="Book Antiqua" w:hAnsi="Book Antiqua"/>
          <w:i/>
        </w:rPr>
        <w:t xml:space="preserve"> </w:t>
      </w:r>
      <w:r w:rsidRPr="00E3232D">
        <w:rPr>
          <w:rFonts w:ascii="Book Antiqua" w:hAnsi="Book Antiqua"/>
        </w:rPr>
        <w:t>the study indicates that most (77.7%) of the customers are satisfied with staff level of reliability; a significant percent</w:t>
      </w:r>
      <w:r>
        <w:rPr>
          <w:rFonts w:ascii="Book Antiqua" w:hAnsi="Book Antiqua"/>
        </w:rPr>
        <w:t xml:space="preserve"> </w:t>
      </w:r>
      <w:r w:rsidRPr="00E3232D">
        <w:rPr>
          <w:rFonts w:ascii="Book Antiqua" w:hAnsi="Book Antiqua"/>
        </w:rPr>
        <w:t>(33.3%) of them are not.</w:t>
      </w:r>
    </w:p>
    <w:p w14:paraId="4F67CDF1" w14:textId="77777777" w:rsidR="00AB41AE" w:rsidRPr="00E3232D" w:rsidRDefault="00AB41AE" w:rsidP="00196385">
      <w:pPr>
        <w:pStyle w:val="ListParagraph"/>
        <w:numPr>
          <w:ilvl w:val="0"/>
          <w:numId w:val="91"/>
        </w:numPr>
        <w:jc w:val="both"/>
        <w:rPr>
          <w:rFonts w:ascii="Book Antiqua" w:hAnsi="Book Antiqua"/>
        </w:rPr>
      </w:pPr>
      <w:r w:rsidRPr="00E3232D">
        <w:rPr>
          <w:rFonts w:ascii="Book Antiqua" w:hAnsi="Book Antiqua"/>
          <w:i/>
        </w:rPr>
        <w:t>Responsiveness:</w:t>
      </w:r>
      <w:r w:rsidRPr="00E3232D">
        <w:rPr>
          <w:rFonts w:ascii="Book Antiqua" w:hAnsi="Book Antiqua"/>
        </w:rPr>
        <w:t xml:space="preserve"> most (69.4%) of the customers are satisfied the level of promptness in service delivery; 30.6% of them are not. Similarly, most (70.6%)of the customers are satisfied the level of help staff give to customers; 29.4% of them are not. This implies that thoughmost of the customers are satisfied with the level of responsiveness among staff of the chop bars, a significant percentage (about 30%) of them are dissatisfiedwith the level of responsiveness among staff.</w:t>
      </w:r>
    </w:p>
    <w:p w14:paraId="5C547E2D" w14:textId="77777777" w:rsidR="00AB41AE" w:rsidRPr="00E3232D" w:rsidRDefault="00AB41AE" w:rsidP="00196385">
      <w:pPr>
        <w:pStyle w:val="ListParagraph"/>
        <w:numPr>
          <w:ilvl w:val="0"/>
          <w:numId w:val="91"/>
        </w:numPr>
        <w:jc w:val="both"/>
        <w:rPr>
          <w:rFonts w:ascii="Book Antiqua" w:hAnsi="Book Antiqua"/>
          <w:noProof/>
        </w:rPr>
      </w:pPr>
      <w:r w:rsidRPr="00E3232D">
        <w:rPr>
          <w:rFonts w:ascii="Book Antiqua" w:hAnsi="Book Antiqua"/>
          <w:i/>
        </w:rPr>
        <w:t>Assurance:</w:t>
      </w:r>
      <w:r w:rsidRPr="00E3232D">
        <w:rPr>
          <w:rFonts w:ascii="Book Antiqua" w:hAnsi="Book Antiqua"/>
        </w:rPr>
        <w:t>most (77.6%) of the customers are satisfied the level of knowledge of staff about their responsibilities to customers; 22.4% of them are not. Also, most (71.8%) of the customers are satisfied the level of confidence and trust staff attitude inspire in customers, but 28.2% of them are not.Similarly, most (70.6%) of the customers are satisfied the level ofcourtesy staff show in providing service to customers; 29.4% of them are not.</w:t>
      </w:r>
    </w:p>
    <w:p w14:paraId="30796635" w14:textId="77777777" w:rsidR="00AB41AE" w:rsidRPr="00E3232D" w:rsidRDefault="00AB41AE" w:rsidP="00196385">
      <w:pPr>
        <w:pStyle w:val="ListParagraph"/>
        <w:numPr>
          <w:ilvl w:val="0"/>
          <w:numId w:val="91"/>
        </w:numPr>
        <w:jc w:val="both"/>
        <w:rPr>
          <w:rFonts w:ascii="Book Antiqua" w:hAnsi="Book Antiqua"/>
          <w:noProof/>
        </w:rPr>
      </w:pPr>
      <w:r w:rsidRPr="00E3232D">
        <w:rPr>
          <w:rFonts w:ascii="Book Antiqua" w:hAnsi="Book Antiqua"/>
          <w:i/>
        </w:rPr>
        <w:t>Empathy:</w:t>
      </w:r>
      <w:r w:rsidRPr="00E3232D">
        <w:rPr>
          <w:rFonts w:ascii="Book Antiqua" w:hAnsi="Book Antiqua"/>
        </w:rPr>
        <w:t xml:space="preserve">  most (76.5%) of the customers are satisfied with the quality of care and the qualityof individual attention staff give to customers; 23.5% of them are not.</w:t>
      </w:r>
    </w:p>
    <w:p w14:paraId="3C52BB46" w14:textId="77777777" w:rsidR="00AB41AE" w:rsidRDefault="00AB41AE" w:rsidP="00196385">
      <w:pPr>
        <w:pStyle w:val="ListParagraph"/>
        <w:numPr>
          <w:ilvl w:val="0"/>
          <w:numId w:val="91"/>
        </w:numPr>
        <w:jc w:val="both"/>
        <w:rPr>
          <w:rFonts w:ascii="Book Antiqua" w:hAnsi="Book Antiqua"/>
          <w:noProof/>
        </w:rPr>
      </w:pPr>
      <w:r w:rsidRPr="00E3232D">
        <w:rPr>
          <w:rFonts w:ascii="Book Antiqua" w:hAnsi="Book Antiqua"/>
          <w:i/>
        </w:rPr>
        <w:t>Tangibles:</w:t>
      </w:r>
      <w:r w:rsidRPr="00E3232D">
        <w:rPr>
          <w:rFonts w:ascii="Book Antiqua" w:hAnsi="Book Antiqua"/>
        </w:rPr>
        <w:t xml:space="preserve"> most (76.5%)of the customers agree that the chop bars have the facilities in question; about 23.5% of them disagree that they are available. On the condition of the facilities, most (65.9%) of the respondents agree that they are in good condition,</w:t>
      </w:r>
      <w:r>
        <w:rPr>
          <w:rFonts w:ascii="Book Antiqua" w:hAnsi="Book Antiqua"/>
        </w:rPr>
        <w:t xml:space="preserve"> </w:t>
      </w:r>
      <w:r w:rsidRPr="00E3232D">
        <w:rPr>
          <w:rFonts w:ascii="Book Antiqua" w:hAnsi="Book Antiqua"/>
        </w:rPr>
        <w:t>34.1% are not sure or disagree. On the availability of menu boards and cards, most (55.3%) the facilities at the chop bars are available; 44.7% disagree that they are available at the bars.</w:t>
      </w:r>
    </w:p>
    <w:p w14:paraId="4CE732DD" w14:textId="77777777" w:rsidR="00AB41AE" w:rsidRPr="00E3232D" w:rsidRDefault="00AB41AE" w:rsidP="003F57BD">
      <w:pPr>
        <w:pStyle w:val="ListParagraph"/>
        <w:ind w:left="1080"/>
        <w:jc w:val="both"/>
        <w:rPr>
          <w:rFonts w:ascii="Book Antiqua" w:hAnsi="Book Antiqua"/>
          <w:noProof/>
        </w:rPr>
      </w:pPr>
    </w:p>
    <w:p w14:paraId="5C97183B" w14:textId="77777777" w:rsidR="00AB41AE" w:rsidRPr="00E3232D" w:rsidRDefault="00AB41AE" w:rsidP="003F57BD">
      <w:pPr>
        <w:jc w:val="both"/>
        <w:rPr>
          <w:rFonts w:ascii="Book Antiqua" w:hAnsi="Book Antiqua"/>
          <w:b/>
        </w:rPr>
      </w:pPr>
      <w:r w:rsidRPr="00E3232D">
        <w:rPr>
          <w:rFonts w:ascii="Book Antiqua" w:hAnsi="Book Antiqua"/>
          <w:b/>
        </w:rPr>
        <w:t>5.</w:t>
      </w:r>
      <w:r w:rsidR="008214F9">
        <w:rPr>
          <w:rFonts w:ascii="Book Antiqua" w:hAnsi="Book Antiqua"/>
          <w:b/>
        </w:rPr>
        <w:t>0</w:t>
      </w:r>
      <w:r w:rsidRPr="00E3232D">
        <w:rPr>
          <w:rFonts w:ascii="Book Antiqua" w:hAnsi="Book Antiqua"/>
          <w:b/>
        </w:rPr>
        <w:t xml:space="preserve"> </w:t>
      </w:r>
      <w:r w:rsidRPr="003F57BD">
        <w:rPr>
          <w:rFonts w:ascii="Book Antiqua" w:hAnsi="Book Antiqua"/>
          <w:b/>
          <w:sz w:val="26"/>
        </w:rPr>
        <w:t>Recommendations</w:t>
      </w:r>
    </w:p>
    <w:p w14:paraId="2B89885F" w14:textId="77777777" w:rsidR="00AB41AE" w:rsidRPr="003F57BD" w:rsidRDefault="00AB41AE" w:rsidP="003F57BD">
      <w:pPr>
        <w:jc w:val="both"/>
        <w:rPr>
          <w:rFonts w:ascii="Book Antiqua" w:hAnsi="Book Antiqua"/>
          <w:b/>
        </w:rPr>
      </w:pPr>
      <w:r w:rsidRPr="00E3232D">
        <w:rPr>
          <w:rFonts w:ascii="Book Antiqua" w:hAnsi="Book Antiqua"/>
        </w:rPr>
        <w:t>The study shows that a significant value of about 71% of the respondents are satisfiedwith the quality of the chop bars’ service delivery on the bases of the five key service-quality dimensions in the SERVQUAL model. Although this is an indication the chop bars are performing satisfactorily, it must be pointed out that another significant value of about 29% of the respondents are dissatisfied with the quality of the chop bars’ service delivery on the same bases. This should be a source of concern to managements of the chop bars because literature supports the fact that it is always dangerous for any business to have a significant numbers of dissatisfied customers.</w:t>
      </w:r>
    </w:p>
    <w:p w14:paraId="56415E6E" w14:textId="77777777" w:rsidR="00AB41AE" w:rsidRPr="00E3232D" w:rsidRDefault="00AB41AE" w:rsidP="003F57BD">
      <w:pPr>
        <w:jc w:val="both"/>
        <w:rPr>
          <w:rFonts w:ascii="Book Antiqua" w:hAnsi="Book Antiqua"/>
        </w:rPr>
      </w:pPr>
      <w:r w:rsidRPr="00E3232D">
        <w:rPr>
          <w:rFonts w:ascii="Book Antiqua" w:hAnsi="Book Antiqua"/>
        </w:rPr>
        <w:t>According to Salter J. M (1991) it is believed that 96% of dissatisfied customers never complain; 60 to 90% of these ‘’silent’’ dissatisfied customers will not buy from you again; 90% of those who complain will not buy from you again. Salter’s statistics might sound alarming and may not necessarily be always applicable in situations where customers are addicted or loyal to the company’s product or service; or where the company enjoys monopoly;it is fairly applicable to chop bars because business entities in this industry do not enjoy monopoly; neither are the customers dogmatically loyal or addicted to any particular bar for good—they switch very often when they are satisfied or even for purposes of enjoying variety.In view of this, it is recommended that:</w:t>
      </w:r>
    </w:p>
    <w:p w14:paraId="24D08B76" w14:textId="77777777" w:rsidR="00AB41AE" w:rsidRPr="00E3232D" w:rsidRDefault="00AB41AE" w:rsidP="00196385">
      <w:pPr>
        <w:pStyle w:val="ListParagraph"/>
        <w:numPr>
          <w:ilvl w:val="0"/>
          <w:numId w:val="85"/>
        </w:numPr>
        <w:jc w:val="both"/>
        <w:rPr>
          <w:rFonts w:ascii="Book Antiqua" w:hAnsi="Book Antiqua"/>
        </w:rPr>
      </w:pPr>
      <w:r w:rsidRPr="00E3232D">
        <w:rPr>
          <w:rFonts w:ascii="Book Antiqua" w:hAnsi="Book Antiqua"/>
        </w:rPr>
        <w:t>Management set high but realistic customer service standards to close the gaps identified in the five key service-quality dimensions used in the evaluation.</w:t>
      </w:r>
    </w:p>
    <w:p w14:paraId="6F82FE1D" w14:textId="77777777" w:rsidR="00AB41AE" w:rsidRPr="00E3232D" w:rsidRDefault="00AB41AE" w:rsidP="00196385">
      <w:pPr>
        <w:pStyle w:val="ListParagraph"/>
        <w:numPr>
          <w:ilvl w:val="0"/>
          <w:numId w:val="85"/>
        </w:numPr>
        <w:jc w:val="both"/>
        <w:rPr>
          <w:rFonts w:ascii="Book Antiqua" w:hAnsi="Book Antiqua"/>
        </w:rPr>
      </w:pPr>
      <w:r w:rsidRPr="00E3232D">
        <w:rPr>
          <w:rFonts w:ascii="Book Antiqua" w:hAnsi="Book Antiqua"/>
        </w:rPr>
        <w:t>Comprehensive customer service training programmes should be organized for staff at least once at the beginning of every year or twice in a year to keep staff abreast with current customer service imperatives in the model.</w:t>
      </w:r>
    </w:p>
    <w:p w14:paraId="0F5B8CFC" w14:textId="77777777" w:rsidR="00AB41AE" w:rsidRPr="003F57BD" w:rsidRDefault="00AB41AE" w:rsidP="00196385">
      <w:pPr>
        <w:pStyle w:val="ListParagraph"/>
        <w:numPr>
          <w:ilvl w:val="0"/>
          <w:numId w:val="85"/>
        </w:numPr>
        <w:jc w:val="both"/>
        <w:rPr>
          <w:rFonts w:ascii="Book Antiqua" w:hAnsi="Book Antiqua"/>
          <w:b/>
        </w:rPr>
      </w:pPr>
      <w:r w:rsidRPr="00E3232D">
        <w:rPr>
          <w:rFonts w:ascii="Book Antiqua" w:hAnsi="Book Antiqua"/>
        </w:rPr>
        <w:t>Managements of the bars should improve the hygiene and continually upgrade the tangibles of the bars to remain contemporary, serve customers better and competitive.</w:t>
      </w:r>
    </w:p>
    <w:p w14:paraId="463C4922" w14:textId="77777777" w:rsidR="008214F9" w:rsidRDefault="008214F9" w:rsidP="003F57BD">
      <w:pPr>
        <w:pStyle w:val="ListParagraph"/>
        <w:jc w:val="both"/>
        <w:rPr>
          <w:rFonts w:ascii="Book Antiqua" w:hAnsi="Book Antiqua"/>
          <w:b/>
        </w:rPr>
      </w:pPr>
    </w:p>
    <w:p w14:paraId="11CE6FED" w14:textId="77777777" w:rsidR="005E0419" w:rsidRDefault="005E0419" w:rsidP="003F57BD">
      <w:pPr>
        <w:pStyle w:val="ListParagraph"/>
        <w:jc w:val="both"/>
        <w:rPr>
          <w:rFonts w:ascii="Book Antiqua" w:hAnsi="Book Antiqua"/>
          <w:b/>
        </w:rPr>
      </w:pPr>
      <w:r w:rsidRPr="00AB41AE">
        <w:rPr>
          <w:rFonts w:ascii="Book Antiqua" w:hAnsi="Book Antiqua"/>
          <w:b/>
        </w:rPr>
        <w:t>Limitations of the Study</w:t>
      </w:r>
    </w:p>
    <w:p w14:paraId="37A89105" w14:textId="77777777" w:rsidR="005E0419" w:rsidRPr="00AB41AE" w:rsidRDefault="005E0419" w:rsidP="003F57BD">
      <w:pPr>
        <w:pStyle w:val="ListParagraph"/>
        <w:jc w:val="both"/>
        <w:rPr>
          <w:rFonts w:ascii="Book Antiqua" w:hAnsi="Book Antiqua"/>
          <w:b/>
        </w:rPr>
      </w:pPr>
    </w:p>
    <w:p w14:paraId="58D02FF3" w14:textId="77777777" w:rsidR="0050153C" w:rsidRDefault="005E0419" w:rsidP="003F57BD">
      <w:pPr>
        <w:pStyle w:val="ListParagraph"/>
        <w:jc w:val="both"/>
        <w:rPr>
          <w:rFonts w:ascii="Book Antiqua" w:hAnsi="Book Antiqua"/>
        </w:rPr>
      </w:pPr>
      <w:r w:rsidRPr="00E3232D">
        <w:rPr>
          <w:rFonts w:ascii="Book Antiqua" w:hAnsi="Book Antiqua"/>
          <w:i/>
        </w:rPr>
        <w:t>Financial constraints</w:t>
      </w:r>
      <w:r w:rsidRPr="00E3232D">
        <w:rPr>
          <w:rFonts w:ascii="Book Antiqua" w:hAnsi="Book Antiqua"/>
        </w:rPr>
        <w:t xml:space="preserve">: The researchers’ work was not funded and so was funded from the researchers’ meager income and affected the sample size and quantity of data gathered for the study. </w:t>
      </w:r>
      <w:r w:rsidRPr="00E3232D">
        <w:rPr>
          <w:rFonts w:ascii="Book Antiqua" w:hAnsi="Book Antiqua"/>
          <w:i/>
        </w:rPr>
        <w:t>Data:</w:t>
      </w:r>
      <w:r w:rsidRPr="00E3232D">
        <w:rPr>
          <w:rFonts w:ascii="Book Antiqua" w:hAnsi="Book Antiqua"/>
        </w:rPr>
        <w:t xml:space="preserve"> Secondary data were inadequate for the literature review of the study as the researchers wished they could gather more current information. Because data on chop bar activities are not available, non-probability sampling technique such as snow balling, accidental and purposive were used in spite of their inherent weaknesses.  </w:t>
      </w:r>
      <w:r>
        <w:rPr>
          <w:rFonts w:ascii="Book Antiqua" w:hAnsi="Book Antiqua"/>
        </w:rPr>
        <w:t xml:space="preserve">  </w:t>
      </w:r>
    </w:p>
    <w:p w14:paraId="45CC73E4" w14:textId="77777777" w:rsidR="0050153C" w:rsidRPr="00E3232D" w:rsidRDefault="003F57BD" w:rsidP="003F57BD">
      <w:pPr>
        <w:jc w:val="both"/>
        <w:rPr>
          <w:rFonts w:ascii="Book Antiqua" w:hAnsi="Book Antiqua"/>
          <w:b/>
        </w:rPr>
      </w:pPr>
      <w:r w:rsidRPr="003F57BD">
        <w:rPr>
          <w:rFonts w:ascii="Book Antiqua" w:hAnsi="Book Antiqua"/>
          <w:b/>
          <w:sz w:val="26"/>
        </w:rPr>
        <w:t>References</w:t>
      </w:r>
    </w:p>
    <w:p w14:paraId="4F86B9E9" w14:textId="77777777" w:rsidR="0050153C" w:rsidRPr="00E3232D" w:rsidRDefault="0050153C" w:rsidP="008214F9">
      <w:pPr>
        <w:ind w:left="900" w:hanging="900"/>
        <w:jc w:val="both"/>
        <w:rPr>
          <w:rFonts w:ascii="Book Antiqua" w:hAnsi="Book Antiqua"/>
        </w:rPr>
      </w:pPr>
      <w:r w:rsidRPr="00E3232D">
        <w:rPr>
          <w:rFonts w:ascii="Book Antiqua" w:hAnsi="Book Antiqua"/>
        </w:rPr>
        <w:t>Berry, L.L. and Parasuraman, A. (1991) Marketing Services: Competing through Quality, New York Press, p. 16</w:t>
      </w:r>
    </w:p>
    <w:p w14:paraId="7E96EF71" w14:textId="77777777" w:rsidR="0050153C" w:rsidRPr="00E3232D" w:rsidRDefault="0050153C" w:rsidP="008214F9">
      <w:pPr>
        <w:ind w:left="900" w:hanging="900"/>
        <w:jc w:val="both"/>
        <w:rPr>
          <w:rFonts w:ascii="Book Antiqua" w:hAnsi="Book Antiqua"/>
        </w:rPr>
      </w:pPr>
      <w:r w:rsidRPr="00E3232D">
        <w:rPr>
          <w:rFonts w:ascii="Book Antiqua" w:hAnsi="Book Antiqua"/>
        </w:rPr>
        <w:t>Bitner, M. (1990) Evaluation of service encounters: the effects of physical surroundings and employees’ responses’, Journal of Marketing, 54 (2), 69-82.</w:t>
      </w:r>
    </w:p>
    <w:p w14:paraId="7F6CAD0B" w14:textId="77777777" w:rsidR="0050153C" w:rsidRPr="00E3232D" w:rsidRDefault="0050153C" w:rsidP="008214F9">
      <w:pPr>
        <w:ind w:left="900" w:hanging="900"/>
        <w:jc w:val="both"/>
        <w:rPr>
          <w:rFonts w:ascii="Book Antiqua" w:hAnsi="Book Antiqua"/>
        </w:rPr>
      </w:pPr>
      <w:r w:rsidRPr="00E3232D">
        <w:rPr>
          <w:rFonts w:ascii="Book Antiqua" w:hAnsi="Book Antiqua"/>
        </w:rPr>
        <w:t>Chen, F.P., Chen, C.K.N., and Chen, S.K. (2001) the integrated evaluation model for administration of quality based on service time. Managing Service Quality, 11, 342- 349.</w:t>
      </w:r>
    </w:p>
    <w:p w14:paraId="07378DE3" w14:textId="77777777" w:rsidR="0050153C" w:rsidRPr="00E3232D" w:rsidRDefault="0050153C" w:rsidP="008214F9">
      <w:pPr>
        <w:ind w:left="900" w:hanging="900"/>
        <w:jc w:val="both"/>
        <w:rPr>
          <w:rFonts w:ascii="Book Antiqua" w:hAnsi="Book Antiqua"/>
        </w:rPr>
      </w:pPr>
      <w:r w:rsidRPr="00E3232D">
        <w:rPr>
          <w:rFonts w:ascii="Book Antiqua" w:hAnsi="Book Antiqua"/>
        </w:rPr>
        <w:t>Cronin, J.J. and Taylor, S.A., (1992) ‘measuring service quality: a re-examination and extension’, Journal of Marketing, 56 (3), 55- 68.</w:t>
      </w:r>
    </w:p>
    <w:p w14:paraId="794AFFEC" w14:textId="77777777" w:rsidR="0050153C" w:rsidRPr="00E3232D" w:rsidRDefault="0050153C" w:rsidP="008214F9">
      <w:pPr>
        <w:ind w:left="900" w:hanging="900"/>
        <w:jc w:val="both"/>
        <w:rPr>
          <w:rFonts w:ascii="Book Antiqua" w:hAnsi="Book Antiqua"/>
        </w:rPr>
      </w:pPr>
      <w:r w:rsidRPr="00E3232D">
        <w:rPr>
          <w:rFonts w:ascii="Book Antiqua" w:hAnsi="Book Antiqua"/>
        </w:rPr>
        <w:t>Crosby, P.B. (1984) Quality Without Tears, New American Library, New York.</w:t>
      </w:r>
    </w:p>
    <w:p w14:paraId="4D49055B" w14:textId="77777777" w:rsidR="0050153C" w:rsidRPr="00E3232D" w:rsidRDefault="0050153C" w:rsidP="008214F9">
      <w:pPr>
        <w:ind w:left="900" w:hanging="900"/>
        <w:jc w:val="both"/>
        <w:rPr>
          <w:rFonts w:ascii="Book Antiqua" w:hAnsi="Book Antiqua"/>
        </w:rPr>
      </w:pPr>
    </w:p>
    <w:p w14:paraId="055F6162" w14:textId="77777777" w:rsidR="0050153C" w:rsidRDefault="0050153C" w:rsidP="008214F9">
      <w:pPr>
        <w:ind w:left="900" w:hanging="900"/>
        <w:jc w:val="both"/>
        <w:rPr>
          <w:rFonts w:ascii="Book Antiqua" w:hAnsi="Book Antiqua"/>
        </w:rPr>
      </w:pPr>
      <w:r w:rsidRPr="00E3232D">
        <w:rPr>
          <w:rFonts w:ascii="Book Antiqua" w:hAnsi="Book Antiqua"/>
        </w:rPr>
        <w:t xml:space="preserve">Gronroos, C. (1984a) ‘A service quality model and its marketing implications,’ </w:t>
      </w:r>
    </w:p>
    <w:p w14:paraId="3727A09A" w14:textId="77777777" w:rsidR="0050153C" w:rsidRDefault="0050153C" w:rsidP="008214F9">
      <w:pPr>
        <w:ind w:left="900" w:hanging="900"/>
        <w:jc w:val="both"/>
        <w:rPr>
          <w:rFonts w:ascii="Book Antiqua" w:hAnsi="Book Antiqua"/>
        </w:rPr>
      </w:pPr>
    </w:p>
    <w:p w14:paraId="06491009" w14:textId="77777777" w:rsidR="0050153C" w:rsidRPr="00E3232D" w:rsidRDefault="0050153C" w:rsidP="008214F9">
      <w:pPr>
        <w:ind w:left="900" w:hanging="900"/>
        <w:jc w:val="both"/>
        <w:rPr>
          <w:rFonts w:ascii="Book Antiqua" w:hAnsi="Book Antiqua"/>
        </w:rPr>
      </w:pPr>
      <w:r w:rsidRPr="00E3232D">
        <w:rPr>
          <w:rFonts w:ascii="Book Antiqua" w:hAnsi="Book Antiqua"/>
        </w:rPr>
        <w:t>European Journal of \marketing, 18 (4), 36-44.</w:t>
      </w:r>
    </w:p>
    <w:p w14:paraId="3BF8E5D0" w14:textId="77777777" w:rsidR="0050153C" w:rsidRPr="00E3232D" w:rsidRDefault="0050153C" w:rsidP="008214F9">
      <w:pPr>
        <w:ind w:left="900" w:hanging="900"/>
        <w:jc w:val="both"/>
        <w:rPr>
          <w:rFonts w:ascii="Book Antiqua" w:hAnsi="Book Antiqua"/>
        </w:rPr>
      </w:pPr>
      <w:r w:rsidRPr="00E3232D">
        <w:rPr>
          <w:rFonts w:ascii="Book Antiqua" w:hAnsi="Book Antiqua"/>
        </w:rPr>
        <w:t>Gronroos, C. (1984b) Strategic Management and Marketing in the Service Sector, Chartwell-Bratt, Bromley.</w:t>
      </w:r>
    </w:p>
    <w:p w14:paraId="56952D69" w14:textId="77777777" w:rsidR="0050153C" w:rsidRPr="00E3232D" w:rsidRDefault="0050153C" w:rsidP="008214F9">
      <w:pPr>
        <w:ind w:left="900" w:hanging="900"/>
        <w:jc w:val="both"/>
        <w:rPr>
          <w:rFonts w:ascii="Book Antiqua" w:hAnsi="Book Antiqua"/>
        </w:rPr>
      </w:pPr>
      <w:r w:rsidRPr="00E3232D">
        <w:rPr>
          <w:rFonts w:ascii="Book Antiqua" w:hAnsi="Book Antiqua"/>
        </w:rPr>
        <w:t>Iacobucci, D., Ostrom, A. and Grayson, K. (1995) ‘Distinguishing service quality and customer satisfaction: the voice of the customer’, Journal of Consumer Psychology, 4 (3), 277-303.</w:t>
      </w:r>
    </w:p>
    <w:p w14:paraId="33FBEE9C" w14:textId="77777777" w:rsidR="0050153C" w:rsidRPr="00E3232D" w:rsidRDefault="0050153C" w:rsidP="008214F9">
      <w:pPr>
        <w:ind w:left="900" w:hanging="900"/>
        <w:jc w:val="both"/>
        <w:rPr>
          <w:rFonts w:ascii="Book Antiqua" w:hAnsi="Book Antiqua"/>
        </w:rPr>
      </w:pPr>
      <w:r w:rsidRPr="00E3232D">
        <w:rPr>
          <w:rFonts w:ascii="Book Antiqua" w:hAnsi="Book Antiqua"/>
        </w:rPr>
        <w:t>McDaniel, C., Lamb Jr. C.W. and Hair Jr., J. F. (2006) Introduction to Marketing 8th ed., Ohio, Thomson Higher Education.</w:t>
      </w:r>
    </w:p>
    <w:p w14:paraId="62FDABDD" w14:textId="77777777" w:rsidR="0050153C" w:rsidRPr="00E3232D" w:rsidRDefault="0050153C" w:rsidP="008214F9">
      <w:pPr>
        <w:ind w:left="900" w:hanging="900"/>
        <w:jc w:val="both"/>
        <w:rPr>
          <w:rFonts w:ascii="Book Antiqua" w:hAnsi="Book Antiqua"/>
        </w:rPr>
      </w:pPr>
      <w:r w:rsidRPr="00E3232D">
        <w:rPr>
          <w:rFonts w:ascii="Book Antiqua" w:hAnsi="Book Antiqua"/>
        </w:rPr>
        <w:t xml:space="preserve">Palmer, A. (2008a) Principles of Service Marketing, 5th ed., UK McGraw-Hill Education. </w:t>
      </w:r>
    </w:p>
    <w:p w14:paraId="38B72B48" w14:textId="77777777" w:rsidR="0050153C" w:rsidRPr="00E3232D" w:rsidRDefault="0050153C" w:rsidP="008214F9">
      <w:pPr>
        <w:ind w:left="900" w:hanging="900"/>
        <w:jc w:val="both"/>
        <w:rPr>
          <w:rFonts w:ascii="Book Antiqua" w:hAnsi="Book Antiqua"/>
        </w:rPr>
      </w:pPr>
      <w:r w:rsidRPr="00E3232D">
        <w:rPr>
          <w:rFonts w:ascii="Book Antiqua" w:hAnsi="Book Antiqua"/>
        </w:rPr>
        <w:t>Palmer, A. (2008b) Principles of Service Marketing, 5th ed., UK McGraw-Hill Education.</w:t>
      </w:r>
    </w:p>
    <w:p w14:paraId="66043582" w14:textId="77777777" w:rsidR="0050153C" w:rsidRPr="00E3232D" w:rsidRDefault="0050153C" w:rsidP="008214F9">
      <w:pPr>
        <w:ind w:left="900" w:hanging="900"/>
        <w:jc w:val="both"/>
        <w:rPr>
          <w:rFonts w:ascii="Book Antiqua" w:hAnsi="Book Antiqua"/>
        </w:rPr>
      </w:pPr>
      <w:r w:rsidRPr="00E3232D">
        <w:rPr>
          <w:rFonts w:ascii="Book Antiqua" w:hAnsi="Book Antiqua"/>
        </w:rPr>
        <w:t>Parasuraman, A., Zeithmal, V.A. and Berry, L.L. (1988) ‘SERVQUAL: A multiple-item scale for measuring consumer perceptions of service quality’, Journal of Retailing, 64 (1), 12-40.</w:t>
      </w:r>
    </w:p>
    <w:p w14:paraId="4A859996" w14:textId="77777777" w:rsidR="0050153C" w:rsidRPr="00E3232D" w:rsidRDefault="0050153C" w:rsidP="008214F9">
      <w:pPr>
        <w:ind w:left="900" w:hanging="900"/>
        <w:jc w:val="both"/>
        <w:rPr>
          <w:rFonts w:ascii="Book Antiqua" w:hAnsi="Book Antiqua"/>
        </w:rPr>
      </w:pPr>
      <w:r w:rsidRPr="00E3232D">
        <w:rPr>
          <w:rFonts w:ascii="Book Antiqua" w:hAnsi="Book Antiqua"/>
        </w:rPr>
        <w:t xml:space="preserve">Parasuraman, A., Zeithmal, V.A. and Berry, L.L. (1985) ‘A Conceptual model of service quality and it implications for future research’, Journal of Marketing 49 (4), 41-50.           </w:t>
      </w:r>
    </w:p>
    <w:p w14:paraId="0261F5C6" w14:textId="77777777" w:rsidR="0050153C" w:rsidRPr="003F57BD" w:rsidRDefault="0050153C" w:rsidP="008214F9">
      <w:pPr>
        <w:ind w:left="900" w:hanging="900"/>
        <w:jc w:val="both"/>
        <w:rPr>
          <w:rFonts w:ascii="Book Antiqua" w:hAnsi="Book Antiqua"/>
        </w:rPr>
        <w:sectPr w:rsidR="0050153C" w:rsidRPr="003F57BD" w:rsidSect="008F6BC9">
          <w:footerReference w:type="default" r:id="rId245"/>
          <w:type w:val="continuous"/>
          <w:pgSz w:w="11907" w:h="16839" w:code="9"/>
          <w:pgMar w:top="1080" w:right="1440" w:bottom="630" w:left="1260" w:header="720" w:footer="720" w:gutter="0"/>
          <w:cols w:num="2" w:space="720"/>
          <w:docGrid w:linePitch="360"/>
        </w:sectPr>
      </w:pPr>
      <w:r w:rsidRPr="00E3232D">
        <w:rPr>
          <w:rFonts w:ascii="Book Antiqua" w:hAnsi="Book Antiqua"/>
        </w:rPr>
        <w:t>Swan, J.E. and Coombs, L.J. (9176) ‘Product Performance and Consumer Satisfaction: a new concept</w:t>
      </w:r>
      <w:r w:rsidR="008214F9">
        <w:rPr>
          <w:rFonts w:ascii="Book Antiqua" w:hAnsi="Book Antiqua"/>
        </w:rPr>
        <w:t>’, Journal of Marketing, 40 (2)</w:t>
      </w:r>
    </w:p>
    <w:p w14:paraId="031E5E16" w14:textId="77777777" w:rsidR="005E0419" w:rsidRPr="0050153C" w:rsidRDefault="005E0419" w:rsidP="003F57BD">
      <w:pPr>
        <w:jc w:val="both"/>
        <w:rPr>
          <w:rFonts w:ascii="Book Antiqua" w:hAnsi="Book Antiqua"/>
          <w:b/>
          <w:bCs/>
        </w:rPr>
        <w:sectPr w:rsidR="005E0419" w:rsidRPr="0050153C" w:rsidSect="008F6BC9">
          <w:footerReference w:type="default" r:id="rId246"/>
          <w:type w:val="continuous"/>
          <w:pgSz w:w="11907" w:h="16839" w:code="9"/>
          <w:pgMar w:top="1440" w:right="1440" w:bottom="1440" w:left="2160" w:header="720" w:footer="720" w:gutter="0"/>
          <w:cols w:num="2" w:space="720"/>
          <w:docGrid w:linePitch="360"/>
        </w:sectPr>
      </w:pPr>
    </w:p>
    <w:p w14:paraId="3F0C2B77" w14:textId="77777777" w:rsidR="00462FD1" w:rsidRDefault="00462FD1" w:rsidP="00462FD1">
      <w:pPr>
        <w:spacing w:after="0"/>
        <w:rPr>
          <w:rFonts w:ascii="Book Antiqua" w:hAnsi="Book Antiqua"/>
          <w:b/>
          <w:sz w:val="26"/>
          <w:szCs w:val="26"/>
        </w:rPr>
        <w:sectPr w:rsidR="00462FD1" w:rsidSect="00462FD1">
          <w:type w:val="continuous"/>
          <w:pgSz w:w="11907" w:h="16839" w:code="9"/>
          <w:pgMar w:top="1080" w:right="1440" w:bottom="630" w:left="1260" w:header="720" w:footer="720" w:gutter="0"/>
          <w:cols w:num="2" w:space="720"/>
          <w:docGrid w:linePitch="360"/>
        </w:sectPr>
      </w:pPr>
    </w:p>
    <w:p w14:paraId="50EC4AEB" w14:textId="77777777" w:rsidR="00462FD1" w:rsidRDefault="00462FD1" w:rsidP="00050BBA">
      <w:pPr>
        <w:spacing w:after="0"/>
        <w:jc w:val="center"/>
        <w:rPr>
          <w:rFonts w:ascii="Book Antiqua" w:hAnsi="Book Antiqua"/>
          <w:b/>
          <w:sz w:val="26"/>
          <w:szCs w:val="26"/>
        </w:rPr>
      </w:pPr>
      <w:r w:rsidRPr="00AB7790">
        <w:rPr>
          <w:rFonts w:ascii="Book Antiqua" w:hAnsi="Book Antiqua"/>
          <w:b/>
          <w:sz w:val="26"/>
          <w:szCs w:val="26"/>
        </w:rPr>
        <w:t>Construction of a Portable Wooden Box Electric Dehydrator and Comparative Performance Assessmentto a Laboratory Oven</w:t>
      </w:r>
    </w:p>
    <w:p w14:paraId="1402F1A4" w14:textId="77777777" w:rsidR="00462FD1" w:rsidRPr="00AB7790" w:rsidRDefault="00462FD1" w:rsidP="00462FD1">
      <w:pPr>
        <w:spacing w:after="0"/>
        <w:jc w:val="center"/>
        <w:rPr>
          <w:rFonts w:ascii="Book Antiqua" w:hAnsi="Book Antiqua"/>
          <w:b/>
          <w:sz w:val="26"/>
          <w:szCs w:val="26"/>
        </w:rPr>
      </w:pPr>
    </w:p>
    <w:p w14:paraId="4FFCD301" w14:textId="77777777" w:rsidR="00462FD1" w:rsidRPr="00E3232D" w:rsidRDefault="00462FD1" w:rsidP="00462FD1">
      <w:pPr>
        <w:autoSpaceDE w:val="0"/>
        <w:autoSpaceDN w:val="0"/>
        <w:adjustRightInd w:val="0"/>
        <w:spacing w:after="0"/>
        <w:jc w:val="center"/>
        <w:rPr>
          <w:rFonts w:ascii="Book Antiqua" w:hAnsi="Book Antiqua"/>
          <w:b/>
        </w:rPr>
      </w:pPr>
      <w:r w:rsidRPr="00E3232D">
        <w:rPr>
          <w:rFonts w:ascii="Book Antiqua" w:hAnsi="Book Antiqua"/>
          <w:b/>
        </w:rPr>
        <w:t>Ameko</w:t>
      </w:r>
      <w:r>
        <w:rPr>
          <w:rFonts w:ascii="Book Antiqua" w:hAnsi="Book Antiqua"/>
          <w:b/>
        </w:rPr>
        <w:t xml:space="preserve"> </w:t>
      </w:r>
      <w:r w:rsidRPr="00E3232D">
        <w:rPr>
          <w:rFonts w:ascii="Book Antiqua" w:hAnsi="Book Antiqua"/>
          <w:b/>
          <w:vertAlign w:val="superscript"/>
        </w:rPr>
        <w:t>*</w:t>
      </w:r>
      <w:r w:rsidRPr="00E3232D">
        <w:rPr>
          <w:rFonts w:ascii="Book Antiqua" w:hAnsi="Book Antiqua"/>
          <w:b/>
        </w:rPr>
        <w:t>E., Achio</w:t>
      </w:r>
      <w:r>
        <w:rPr>
          <w:rFonts w:ascii="Book Antiqua" w:hAnsi="Book Antiqua"/>
          <w:b/>
        </w:rPr>
        <w:t xml:space="preserve"> </w:t>
      </w:r>
      <w:r w:rsidRPr="00E3232D">
        <w:rPr>
          <w:rFonts w:ascii="Book Antiqua" w:hAnsi="Book Antiqua"/>
          <w:b/>
        </w:rPr>
        <w:t xml:space="preserve">S., Abrokwah A. </w:t>
      </w:r>
      <w:r>
        <w:rPr>
          <w:rFonts w:ascii="Book Antiqua" w:hAnsi="Book Antiqua"/>
          <w:b/>
        </w:rPr>
        <w:t>&amp;</w:t>
      </w:r>
      <w:r w:rsidRPr="00E3232D">
        <w:rPr>
          <w:rFonts w:ascii="Book Antiqua" w:hAnsi="Book Antiqua"/>
          <w:b/>
        </w:rPr>
        <w:t xml:space="preserve"> Dunyo</w:t>
      </w:r>
      <w:r>
        <w:rPr>
          <w:rFonts w:ascii="Book Antiqua" w:hAnsi="Book Antiqua"/>
          <w:b/>
        </w:rPr>
        <w:t xml:space="preserve"> </w:t>
      </w:r>
      <w:r w:rsidRPr="00E3232D">
        <w:rPr>
          <w:rFonts w:ascii="Book Antiqua" w:hAnsi="Book Antiqua"/>
          <w:b/>
        </w:rPr>
        <w:t>R.</w:t>
      </w:r>
    </w:p>
    <w:p w14:paraId="3137B092" w14:textId="77777777" w:rsidR="00462FD1" w:rsidRDefault="00462FD1" w:rsidP="00462FD1">
      <w:pPr>
        <w:spacing w:after="0"/>
        <w:jc w:val="center"/>
        <w:rPr>
          <w:rFonts w:ascii="Book Antiqua" w:hAnsi="Book Antiqua"/>
        </w:rPr>
      </w:pPr>
      <w:r w:rsidRPr="00AB7790">
        <w:rPr>
          <w:rFonts w:ascii="Book Antiqua" w:hAnsi="Book Antiqua"/>
        </w:rPr>
        <w:t xml:space="preserve">Department of Science Laboratory Technology, Accra Polytechnic, Ghana </w:t>
      </w:r>
    </w:p>
    <w:p w14:paraId="407D9766" w14:textId="77777777" w:rsidR="00462FD1" w:rsidRPr="00AB7790" w:rsidRDefault="00462FD1" w:rsidP="00462FD1">
      <w:pPr>
        <w:jc w:val="center"/>
        <w:rPr>
          <w:rFonts w:ascii="Book Antiqua" w:hAnsi="Book Antiqua"/>
        </w:rPr>
      </w:pPr>
    </w:p>
    <w:p w14:paraId="2D25ED09" w14:textId="77777777" w:rsidR="00462FD1" w:rsidRPr="00AB7790" w:rsidRDefault="00462FD1" w:rsidP="00462FD1">
      <w:pPr>
        <w:rPr>
          <w:rFonts w:ascii="Book Antiqua" w:hAnsi="Book Antiqua"/>
          <w:b/>
        </w:rPr>
      </w:pPr>
      <w:r w:rsidRPr="008214F9">
        <w:rPr>
          <w:rFonts w:ascii="Book Antiqua" w:hAnsi="Book Antiqua"/>
          <w:b/>
          <w:sz w:val="26"/>
        </w:rPr>
        <w:t>Abstract</w:t>
      </w:r>
      <w:r w:rsidRPr="00AB7790">
        <w:rPr>
          <w:rFonts w:ascii="Book Antiqua" w:hAnsi="Book Antiqua"/>
          <w:b/>
        </w:rPr>
        <w:t xml:space="preserve"> </w:t>
      </w:r>
    </w:p>
    <w:p w14:paraId="230348F7" w14:textId="77777777" w:rsidR="00462FD1" w:rsidRPr="00E3232D" w:rsidRDefault="00462FD1" w:rsidP="00462FD1">
      <w:pPr>
        <w:rPr>
          <w:rFonts w:ascii="Book Antiqua" w:hAnsi="Book Antiqua"/>
        </w:rPr>
      </w:pPr>
      <w:r w:rsidRPr="00E3232D">
        <w:rPr>
          <w:rFonts w:ascii="Book Antiqua" w:hAnsi="Book Antiqua"/>
        </w:rPr>
        <w:t>The aim of the project was to construct and assess the performance of a Portable Wooden Box Electric Dehydrator (PWBED) to determine if it could serve as an alternative to the laboratory oven in schools which do not have a conventional laboratory oven. The PWBED constructed from ¼ inch plywood has inner dimension of 17.5 x 23.5 x 13.75 inches. Air enters the base of the dehydrator through a 1½ inch diameter air vent and warmed by radiating heat from nine incandescent 100 watt bulbs. Warm air is circulated by a CPU fan at the base then rises and exits through a 1½ inch diameter air vent at the top of the dehydrator. Slices of tomatoes from the same lot were dried separately to constant weight at 105</w:t>
      </w:r>
      <w:r w:rsidRPr="00E3232D">
        <w:rPr>
          <w:rFonts w:ascii="Book Antiqua" w:hAnsi="Book Antiqua"/>
          <w:vertAlign w:val="superscript"/>
        </w:rPr>
        <w:t>o</w:t>
      </w:r>
      <w:r w:rsidRPr="00E3232D">
        <w:rPr>
          <w:rFonts w:ascii="Book Antiqua" w:hAnsi="Book Antiqua"/>
        </w:rPr>
        <w:t xml:space="preserve">C in the dehydrator and a conventional electric laboratory oven. It took seven hours and nine hours to determine the moisture content of the samples with the PWBED and oven respectively and both equipment indicated 95.9% moisture in the samples. There was no significant difference (p≤0.05) in rate of moisture loss from the PWBED and oven. Drying efficiencies did not differ significantly (p≤0.05) between the PWBED and oven. Electrical energy input to the PWBED cost 48.0% that of the oven. The PWBED is easy and cheap to construct, portable, easy to maintain and relatively cheaper to use compared to the oven. The PWBED could be used as an alternative or support to the laboratory oven, especially for teaching purposes. </w:t>
      </w:r>
    </w:p>
    <w:p w14:paraId="5012E546" w14:textId="77777777" w:rsidR="00462FD1" w:rsidRDefault="00462FD1" w:rsidP="00462FD1">
      <w:pPr>
        <w:ind w:left="1440" w:hanging="1440"/>
        <w:rPr>
          <w:rFonts w:ascii="Book Antiqua" w:hAnsi="Book Antiqua"/>
          <w:b/>
        </w:rPr>
      </w:pPr>
    </w:p>
    <w:p w14:paraId="7FF29B72" w14:textId="77777777" w:rsidR="00462FD1" w:rsidRDefault="008214F9" w:rsidP="00462FD1">
      <w:pPr>
        <w:ind w:left="1440" w:hanging="1440"/>
        <w:rPr>
          <w:rFonts w:ascii="Book Antiqua" w:hAnsi="Book Antiqua"/>
          <w:b/>
        </w:rPr>
      </w:pPr>
      <w:r>
        <w:rPr>
          <w:rFonts w:ascii="Book Antiqua" w:hAnsi="Book Antiqua"/>
          <w:b/>
        </w:rPr>
        <w:t>Key</w:t>
      </w:r>
      <w:r w:rsidR="00462FD1" w:rsidRPr="00E3232D">
        <w:rPr>
          <w:rFonts w:ascii="Book Antiqua" w:hAnsi="Book Antiqua"/>
          <w:b/>
        </w:rPr>
        <w:t xml:space="preserve">words: </w:t>
      </w:r>
      <w:r w:rsidR="00462FD1" w:rsidRPr="00E3232D">
        <w:rPr>
          <w:rFonts w:ascii="Book Antiqua" w:hAnsi="Book Antiqua"/>
          <w:b/>
        </w:rPr>
        <w:tab/>
      </w:r>
      <w:r w:rsidR="00462FD1" w:rsidRPr="008214F9">
        <w:rPr>
          <w:rFonts w:ascii="Book Antiqua" w:hAnsi="Book Antiqua"/>
        </w:rPr>
        <w:t xml:space="preserve">Laboratory </w:t>
      </w:r>
      <w:r w:rsidRPr="008214F9">
        <w:rPr>
          <w:rFonts w:ascii="Book Antiqua" w:hAnsi="Book Antiqua"/>
        </w:rPr>
        <w:t>Oven</w:t>
      </w:r>
      <w:r>
        <w:rPr>
          <w:rFonts w:ascii="Book Antiqua" w:hAnsi="Book Antiqua"/>
        </w:rPr>
        <w:t>; Improvisation;</w:t>
      </w:r>
      <w:r w:rsidR="00462FD1" w:rsidRPr="008214F9">
        <w:rPr>
          <w:rFonts w:ascii="Book Antiqua" w:hAnsi="Book Antiqua"/>
        </w:rPr>
        <w:t xml:space="preserve"> Portable Wooden Box Electric Dehydrator</w:t>
      </w:r>
      <w:r>
        <w:rPr>
          <w:rFonts w:ascii="Book Antiqua" w:hAnsi="Book Antiqua"/>
        </w:rPr>
        <w:t>;</w:t>
      </w:r>
      <w:r w:rsidR="00462FD1" w:rsidRPr="008214F9">
        <w:rPr>
          <w:rFonts w:ascii="Book Antiqua" w:hAnsi="Book Antiqua"/>
        </w:rPr>
        <w:t xml:space="preserve"> Performance </w:t>
      </w:r>
      <w:r w:rsidRPr="008214F9">
        <w:rPr>
          <w:rFonts w:ascii="Book Antiqua" w:hAnsi="Book Antiqua"/>
        </w:rPr>
        <w:t>Assessment</w:t>
      </w:r>
      <w:r w:rsidRPr="00E3232D">
        <w:rPr>
          <w:rFonts w:ascii="Book Antiqua" w:hAnsi="Book Antiqua"/>
          <w:b/>
        </w:rPr>
        <w:t xml:space="preserve"> </w:t>
      </w:r>
    </w:p>
    <w:p w14:paraId="19426FA2" w14:textId="77777777" w:rsidR="00462FD1" w:rsidRDefault="00462FD1" w:rsidP="00462FD1">
      <w:pPr>
        <w:ind w:left="1440" w:hanging="1440"/>
        <w:rPr>
          <w:rFonts w:ascii="Book Antiqua" w:hAnsi="Book Antiqua"/>
          <w:b/>
        </w:rPr>
        <w:sectPr w:rsidR="00462FD1" w:rsidSect="00462FD1">
          <w:type w:val="continuous"/>
          <w:pgSz w:w="11907" w:h="16839" w:code="9"/>
          <w:pgMar w:top="1080" w:right="1440" w:bottom="630" w:left="1260" w:header="720" w:footer="720" w:gutter="0"/>
          <w:cols w:space="720"/>
          <w:docGrid w:linePitch="360"/>
        </w:sectPr>
      </w:pPr>
    </w:p>
    <w:p w14:paraId="24C16036" w14:textId="77777777" w:rsidR="00462FD1" w:rsidRPr="00E3232D" w:rsidRDefault="00462FD1" w:rsidP="00462FD1">
      <w:pPr>
        <w:ind w:left="1440" w:hanging="1440"/>
        <w:rPr>
          <w:rFonts w:ascii="Book Antiqua" w:hAnsi="Book Antiqua"/>
          <w:b/>
        </w:rPr>
      </w:pPr>
    </w:p>
    <w:p w14:paraId="2994C099" w14:textId="77777777" w:rsidR="00462FD1" w:rsidRPr="00E3232D" w:rsidRDefault="00462FD1" w:rsidP="00462FD1">
      <w:pPr>
        <w:pStyle w:val="ListParagraph"/>
        <w:tabs>
          <w:tab w:val="left" w:pos="1916"/>
        </w:tabs>
        <w:ind w:left="0"/>
        <w:jc w:val="both"/>
        <w:rPr>
          <w:rFonts w:ascii="Book Antiqua" w:hAnsi="Book Antiqua"/>
          <w:b/>
        </w:rPr>
      </w:pPr>
      <w:r>
        <w:rPr>
          <w:rFonts w:ascii="Book Antiqua" w:hAnsi="Book Antiqua"/>
          <w:b/>
        </w:rPr>
        <w:t xml:space="preserve">1. </w:t>
      </w:r>
      <w:r w:rsidR="008214F9">
        <w:rPr>
          <w:rFonts w:ascii="Book Antiqua" w:hAnsi="Book Antiqua"/>
          <w:b/>
        </w:rPr>
        <w:t xml:space="preserve">0 </w:t>
      </w:r>
      <w:r w:rsidRPr="008214F9">
        <w:rPr>
          <w:rFonts w:ascii="Book Antiqua" w:hAnsi="Book Antiqua"/>
          <w:b/>
          <w:sz w:val="26"/>
        </w:rPr>
        <w:t>Introduction</w:t>
      </w:r>
      <w:r w:rsidRPr="00E3232D">
        <w:rPr>
          <w:rFonts w:ascii="Book Antiqua" w:hAnsi="Book Antiqua"/>
          <w:b/>
        </w:rPr>
        <w:t xml:space="preserve"> </w:t>
      </w:r>
    </w:p>
    <w:p w14:paraId="4AAD8446" w14:textId="77777777" w:rsidR="00462FD1" w:rsidRDefault="00462FD1" w:rsidP="00462FD1">
      <w:pPr>
        <w:tabs>
          <w:tab w:val="left" w:pos="1916"/>
        </w:tabs>
        <w:jc w:val="both"/>
        <w:rPr>
          <w:rFonts w:ascii="Book Antiqua" w:hAnsi="Book Antiqua"/>
        </w:rPr>
      </w:pPr>
      <w:r w:rsidRPr="00E3232D">
        <w:rPr>
          <w:rFonts w:ascii="Book Antiqua" w:hAnsi="Book Antiqua"/>
        </w:rPr>
        <w:t>Laboratory equipment are essential for interactive teaching of science at all levels of education. The absence of these teaching aids makes the teaching and learning of science to be abstract. One way of solving the problem is through</w:t>
      </w:r>
      <w:r w:rsidRPr="00462FD1">
        <w:rPr>
          <w:rFonts w:ascii="Book Antiqua" w:hAnsi="Book Antiqua"/>
        </w:rPr>
        <w:t xml:space="preserve"> </w:t>
      </w:r>
      <w:r w:rsidRPr="00E3232D">
        <w:rPr>
          <w:rFonts w:ascii="Book Antiqua" w:hAnsi="Book Antiqua"/>
        </w:rPr>
        <w:t>improvisation.</w:t>
      </w:r>
    </w:p>
    <w:p w14:paraId="7DB85156" w14:textId="77777777" w:rsidR="00462FD1" w:rsidRDefault="00462FD1" w:rsidP="00462FD1">
      <w:pPr>
        <w:tabs>
          <w:tab w:val="left" w:pos="1916"/>
        </w:tabs>
        <w:jc w:val="both"/>
        <w:rPr>
          <w:rFonts w:ascii="Book Antiqua" w:hAnsi="Book Antiqua"/>
        </w:rPr>
      </w:pPr>
    </w:p>
    <w:p w14:paraId="23153D44" w14:textId="77777777" w:rsidR="008214F9" w:rsidRPr="00E3232D" w:rsidRDefault="00462FD1" w:rsidP="008214F9">
      <w:pPr>
        <w:tabs>
          <w:tab w:val="left" w:pos="0"/>
        </w:tabs>
        <w:jc w:val="both"/>
        <w:rPr>
          <w:rFonts w:ascii="Book Antiqua" w:hAnsi="Book Antiqua"/>
        </w:rPr>
      </w:pPr>
      <w:r w:rsidRPr="00E3232D">
        <w:rPr>
          <w:rFonts w:ascii="Book Antiqua" w:hAnsi="Book Antiqua"/>
        </w:rPr>
        <w:t>Improvisation is the act of creating</w:t>
      </w:r>
      <w:r w:rsidRPr="00462FD1">
        <w:rPr>
          <w:rFonts w:ascii="Book Antiqua" w:hAnsi="Book Antiqua"/>
        </w:rPr>
        <w:t xml:space="preserve"> </w:t>
      </w:r>
      <w:r w:rsidRPr="00E3232D">
        <w:rPr>
          <w:rFonts w:ascii="Book Antiqua" w:hAnsi="Book Antiqua"/>
        </w:rPr>
        <w:t>something or using something in theabsence of the ideal tool. Science teachersoften try to teach students about scientific</w:t>
      </w:r>
      <w:r w:rsidRPr="00462FD1">
        <w:rPr>
          <w:rFonts w:ascii="Book Antiqua" w:hAnsi="Book Antiqua"/>
        </w:rPr>
        <w:t xml:space="preserve"> </w:t>
      </w:r>
      <w:r w:rsidRPr="00E3232D">
        <w:rPr>
          <w:rFonts w:ascii="Book Antiqua" w:hAnsi="Book Antiqua"/>
        </w:rPr>
        <w:t>principles through the use of lab</w:t>
      </w:r>
      <w:r w:rsidRPr="00462FD1">
        <w:rPr>
          <w:rFonts w:ascii="Book Antiqua" w:hAnsi="Book Antiqua"/>
        </w:rPr>
        <w:t xml:space="preserve"> </w:t>
      </w:r>
      <w:r w:rsidRPr="00E3232D">
        <w:rPr>
          <w:rFonts w:ascii="Book Antiqua" w:hAnsi="Book Antiqua"/>
        </w:rPr>
        <w:t>experiments, though they do not always</w:t>
      </w:r>
      <w:r w:rsidRPr="00462FD1">
        <w:rPr>
          <w:rFonts w:ascii="Book Antiqua" w:hAnsi="Book Antiqua"/>
        </w:rPr>
        <w:t xml:space="preserve"> </w:t>
      </w:r>
      <w:r w:rsidRPr="00E3232D">
        <w:rPr>
          <w:rFonts w:ascii="Book Antiqua" w:hAnsi="Book Antiqua"/>
        </w:rPr>
        <w:t>have access to the resources needed to</w:t>
      </w:r>
      <w:r w:rsidR="008214F9">
        <w:rPr>
          <w:rFonts w:ascii="Book Antiqua" w:hAnsi="Book Antiqua"/>
        </w:rPr>
        <w:t xml:space="preserve"> </w:t>
      </w:r>
      <w:r w:rsidR="008214F9" w:rsidRPr="00E3232D">
        <w:rPr>
          <w:rFonts w:ascii="Book Antiqua" w:hAnsi="Book Antiqua"/>
        </w:rPr>
        <w:t>optimally perform experiments. Innovative teachers can use cheaper products to</w:t>
      </w:r>
      <w:r w:rsidR="008214F9">
        <w:rPr>
          <w:rFonts w:ascii="Book Antiqua" w:hAnsi="Book Antiqua"/>
        </w:rPr>
        <w:t xml:space="preserve"> </w:t>
      </w:r>
      <w:r w:rsidR="008214F9" w:rsidRPr="00E3232D">
        <w:rPr>
          <w:rFonts w:ascii="Book Antiqua" w:hAnsi="Book Antiqua"/>
        </w:rPr>
        <w:t xml:space="preserve">simulate experiments. Teachers can also help students learn improvisation as an important life skill. Teachers can work with students to come up with ways to improvise, forcing students to think critically about the scientific concepts underlying the devices. Improvisation requires that teachers use resources available in the surrounding area. Despite having knowledge of the scientific principles, many teachers do not realize that they have plenty of resources available for lab experiments. Once the teachers begin to understand the principles behind improvisation, they can begin improvising their own tools. Also, a lot of teachers lack confidence in their abilities to design their own experiments (Pearson, 2013). </w:t>
      </w:r>
    </w:p>
    <w:p w14:paraId="00DC1846" w14:textId="77777777" w:rsidR="008214F9" w:rsidRDefault="008214F9" w:rsidP="008214F9">
      <w:pPr>
        <w:spacing w:after="0"/>
        <w:jc w:val="both"/>
        <w:rPr>
          <w:rFonts w:ascii="Book Antiqua" w:hAnsi="Book Antiqua"/>
        </w:rPr>
      </w:pPr>
      <w:r w:rsidRPr="00E3232D">
        <w:rPr>
          <w:rFonts w:ascii="Book Antiqua" w:hAnsi="Book Antiqua"/>
        </w:rPr>
        <w:t>Zambia has established the National Science Centre to produce locally made laboratory equipment for interactive science teaching. Under this arrangement, schools across Zambia can purchase laboratory supplies and apparatus. Local materials and labour are used, so expertise and capital are developed within the country, and the products are affordable (Malata and Landreman, n.d.). A study by Owolabi and Oginni (2012) on the improvisation of science equipment in Nigerian schools showed that the performances of science students in senior secondary schools who used improvised equipment were significantly better than those in senior secondary schools who did not have any equipment and did not improvise. According to UNESCO (n.d.) i</w:t>
      </w:r>
      <w:r>
        <w:rPr>
          <w:rFonts w:ascii="Book Antiqua" w:hAnsi="Book Antiqua"/>
        </w:rPr>
        <w:t>t</w:t>
      </w:r>
    </w:p>
    <w:p w14:paraId="169BDC3F" w14:textId="77777777" w:rsidR="008214F9" w:rsidRPr="00E3232D" w:rsidRDefault="008214F9" w:rsidP="008214F9">
      <w:pPr>
        <w:spacing w:after="0"/>
        <w:jc w:val="both"/>
        <w:rPr>
          <w:rFonts w:ascii="Book Antiqua" w:hAnsi="Book Antiqua"/>
        </w:rPr>
      </w:pPr>
      <w:r w:rsidRPr="00E3232D">
        <w:rPr>
          <w:rFonts w:ascii="Book Antiqua" w:hAnsi="Book Antiqua"/>
        </w:rPr>
        <w:t>is possible to build low cost equipment for science and technology education. These include simple test tube racks, tripod stands, simple gas generators, simple elementary balance, artificial lungs, etc.</w:t>
      </w:r>
      <w:r w:rsidRPr="008214F9">
        <w:rPr>
          <w:rFonts w:ascii="Book Antiqua" w:hAnsi="Book Antiqua"/>
        </w:rPr>
        <w:t xml:space="preserve"> </w:t>
      </w:r>
      <w:r w:rsidRPr="00E3232D">
        <w:rPr>
          <w:rFonts w:ascii="Book Antiqua" w:hAnsi="Book Antiqua"/>
        </w:rPr>
        <w:t xml:space="preserve">A UNDP (1982) project in Philippines established a centre for the design, production and distribution of school science equipment to improve science education. In the first phase of the project no less than 278 prototype items of general laboratory equipment, one complete science kits containing 172 items for elementary science and four separate complete science kits for high schools - General Science (93 items), Biology (25 items), Chemistry (5 items), and Physics (5 items) were produced. In the second phase there was transfer of technology to the private sector for the large-scale commercial production of science items and kits. The main firm concerned has a production capacity of about 2,000 kits a month. Over 12,000 of the country's 30,000 odd public elementary schools have already received kits. A substantial part of the country's needs for low cost and home-produced school science equipment has been met, the required technology has been successfully transferred to the private sector, and adequate production capacity to meet remaining and future needs has been generated. </w:t>
      </w:r>
    </w:p>
    <w:p w14:paraId="745D13CF" w14:textId="77777777" w:rsidR="008214F9" w:rsidRPr="00462FD1" w:rsidRDefault="008214F9" w:rsidP="008214F9">
      <w:pPr>
        <w:tabs>
          <w:tab w:val="left" w:pos="0"/>
        </w:tabs>
        <w:jc w:val="both"/>
        <w:rPr>
          <w:rFonts w:ascii="Book Antiqua" w:hAnsi="Book Antiqua"/>
        </w:rPr>
        <w:sectPr w:rsidR="008214F9" w:rsidRPr="00462FD1" w:rsidSect="00462FD1">
          <w:type w:val="continuous"/>
          <w:pgSz w:w="11907" w:h="16839" w:code="9"/>
          <w:pgMar w:top="1080" w:right="1440" w:bottom="630" w:left="1260" w:header="720" w:footer="720" w:gutter="0"/>
          <w:cols w:num="2" w:space="720"/>
          <w:docGrid w:linePitch="360"/>
        </w:sectPr>
      </w:pPr>
      <w:r>
        <w:rPr>
          <w:rFonts w:ascii="Book Antiqua" w:hAnsi="Book Antiqua"/>
        </w:rPr>
        <w:t xml:space="preserve"> </w:t>
      </w:r>
    </w:p>
    <w:p w14:paraId="31CDD703" w14:textId="77777777" w:rsidR="00462FD1" w:rsidRPr="008214F9" w:rsidRDefault="008214F9" w:rsidP="00462FD1">
      <w:pPr>
        <w:jc w:val="both"/>
        <w:rPr>
          <w:rFonts w:ascii="Book Antiqua" w:hAnsi="Book Antiqua"/>
        </w:rPr>
      </w:pPr>
      <w:r w:rsidRPr="00E3232D">
        <w:rPr>
          <w:rFonts w:ascii="Book Antiqua" w:hAnsi="Book Antiqua"/>
        </w:rPr>
        <w:t>In general school laboratories in Ghana are equipped with equipment imported from abroad. Ther</w:t>
      </w:r>
      <w:r>
        <w:rPr>
          <w:rFonts w:ascii="Book Antiqua" w:hAnsi="Book Antiqua"/>
        </w:rPr>
        <w:t>e are difficulties in procuring these</w:t>
      </w:r>
      <w:r w:rsidRPr="00E3232D">
        <w:rPr>
          <w:rFonts w:ascii="Book Antiqua" w:hAnsi="Book Antiqua"/>
        </w:rPr>
        <w:t xml:space="preserve"> equipment. Apart from being imported they are expensive. They seldom come with replaceable parts. Furthermore, when the need arises to replace a part the part has to be imported from abroad. Schools, research institutions and hospital laboratories are littered with equipment which cannot be used because the parts required to r</w:t>
      </w:r>
      <w:r>
        <w:rPr>
          <w:rFonts w:ascii="Book Antiqua" w:hAnsi="Book Antiqua"/>
        </w:rPr>
        <w:t xml:space="preserve">epair them cannot be obtained. </w:t>
      </w:r>
    </w:p>
    <w:p w14:paraId="40BE520D" w14:textId="77777777" w:rsidR="008214F9" w:rsidRDefault="008214F9" w:rsidP="008214F9">
      <w:pPr>
        <w:jc w:val="both"/>
        <w:rPr>
          <w:rFonts w:ascii="Book Antiqua" w:hAnsi="Book Antiqua"/>
        </w:rPr>
      </w:pPr>
      <w:r w:rsidRPr="00E3232D">
        <w:rPr>
          <w:rFonts w:ascii="Book Antiqua" w:hAnsi="Book Antiqua"/>
        </w:rPr>
        <w:t xml:space="preserve">A survey by Yeboah (2012) of biology practical work in selected Senior High Schools in the Eastern Region of Ghana showed that teachers lacked among others equipment and chemicals, and laboratories for practical work resulting in the poor performance of biology students. the lack of equipment and resources for science education does not make the study of science attractive to students. In one SHS in the Central Region of Ghana the school lacked adequate resources and equipment to aid the study of science. Out of 865 students only 94 were studying science (GNA, 2004). </w:t>
      </w:r>
    </w:p>
    <w:p w14:paraId="605E8CE5" w14:textId="77777777" w:rsidR="008214F9" w:rsidRDefault="008214F9" w:rsidP="008214F9">
      <w:pPr>
        <w:spacing w:after="0"/>
        <w:jc w:val="both"/>
        <w:rPr>
          <w:rFonts w:ascii="Book Antiqua" w:hAnsi="Book Antiqua"/>
        </w:rPr>
      </w:pPr>
    </w:p>
    <w:p w14:paraId="265014AB" w14:textId="77777777" w:rsidR="008214F9" w:rsidRDefault="008214F9" w:rsidP="008214F9">
      <w:pPr>
        <w:jc w:val="both"/>
        <w:rPr>
          <w:rFonts w:ascii="Book Antiqua" w:hAnsi="Book Antiqua"/>
        </w:rPr>
      </w:pPr>
      <w:r w:rsidRPr="00E3232D">
        <w:rPr>
          <w:rFonts w:ascii="Book Antiqua" w:hAnsi="Book Antiqua"/>
        </w:rPr>
        <w:t xml:space="preserve">In the absence of original equipment, the teaching of science can be enhanced through the use of improvised equipment obtained by designing and constructing them from scratch, or through the modification or conversion of other equipment into the required one. For example, it is possible to construct a homemade incubator for incubating eggs of domestic birds from Styrofoam ice chest to hold about 40-45 eggs (Clemson Extension, 1996), or a more durable incubator can be constructed of plywood and glass to accommodate up to 100 large eggs (MSUES, 2010). Both incubators are heated by a heating cable. The heating cable can be replaced with two or three ordinary light bulbs (MSUES, 2010). Plans and designs by Price and Kirk (1943) and slightly modified by Meier (n.d.) can be used to build a Portable Electric Food Dehydrator. The dehydrator is constructed from plywood and is supplied with heat from standard incandescent household light bulbs. The heat is circulated in the heating chamber by either a 20.32 cm or 15.24c m diameter air-duct fan. </w:t>
      </w:r>
    </w:p>
    <w:p w14:paraId="6935B80A" w14:textId="77777777" w:rsidR="008214F9" w:rsidRPr="008214F9" w:rsidRDefault="008214F9" w:rsidP="00462FD1">
      <w:pPr>
        <w:jc w:val="both"/>
        <w:rPr>
          <w:rFonts w:ascii="Book Antiqua" w:hAnsi="Book Antiqua"/>
        </w:rPr>
        <w:sectPr w:rsidR="008214F9" w:rsidRPr="008214F9" w:rsidSect="00462FD1">
          <w:type w:val="continuous"/>
          <w:pgSz w:w="11907" w:h="16839" w:orient="landscape" w:code="9"/>
          <w:pgMar w:top="1440" w:right="1440" w:bottom="1440" w:left="1440" w:header="720" w:footer="720" w:gutter="0"/>
          <w:cols w:num="2" w:space="720"/>
          <w:docGrid w:linePitch="360"/>
        </w:sectPr>
      </w:pPr>
      <w:r w:rsidRPr="00E3232D">
        <w:rPr>
          <w:rFonts w:ascii="Book Antiqua" w:hAnsi="Book Antiqua"/>
        </w:rPr>
        <w:t>In this study the plans and designs of Price and Kirk (1943) which had been slightly modified by Meier (n.d.) were adapted to construct a portable wooden box electric dehydrator (PWBED) and the performance of the PWBED compared to that of a standard electric laboratory oven to determine if the PWBED could serve as an alte</w:t>
      </w:r>
      <w:r>
        <w:rPr>
          <w:rFonts w:ascii="Book Antiqua" w:hAnsi="Book Antiqua"/>
        </w:rPr>
        <w:t>rnative to the laboratory oven.</w:t>
      </w:r>
    </w:p>
    <w:p w14:paraId="4CE24241" w14:textId="77777777" w:rsidR="00AB41AE" w:rsidRDefault="00AB41AE" w:rsidP="00462FD1">
      <w:pPr>
        <w:jc w:val="both"/>
        <w:rPr>
          <w:rFonts w:ascii="Book Antiqua" w:hAnsi="Book Antiqua"/>
          <w:b/>
          <w:sz w:val="26"/>
          <w:szCs w:val="26"/>
        </w:rPr>
        <w:sectPr w:rsidR="00AB41AE" w:rsidSect="00462FD1">
          <w:footerReference w:type="default" r:id="rId247"/>
          <w:type w:val="continuous"/>
          <w:pgSz w:w="11907" w:h="16839" w:code="9"/>
          <w:pgMar w:top="1080" w:right="1440" w:bottom="630" w:left="1260" w:header="720" w:footer="720" w:gutter="0"/>
          <w:cols w:num="2" w:space="720"/>
          <w:docGrid w:linePitch="360"/>
        </w:sectPr>
      </w:pPr>
    </w:p>
    <w:p w14:paraId="1F14A3AA" w14:textId="77777777" w:rsidR="00462FD1" w:rsidRDefault="00462FD1" w:rsidP="00462FD1">
      <w:pPr>
        <w:jc w:val="both"/>
        <w:rPr>
          <w:rFonts w:ascii="Book Antiqua" w:hAnsi="Book Antiqua"/>
        </w:rPr>
        <w:sectPr w:rsidR="00462FD1" w:rsidSect="00462FD1">
          <w:type w:val="continuous"/>
          <w:pgSz w:w="11907" w:h="16839" w:code="9"/>
          <w:pgMar w:top="1080" w:right="1440" w:bottom="630" w:left="1260" w:header="720" w:footer="720" w:gutter="0"/>
          <w:cols w:num="2" w:space="720"/>
          <w:docGrid w:linePitch="360"/>
        </w:sectPr>
      </w:pPr>
    </w:p>
    <w:p w14:paraId="75D76162" w14:textId="77777777" w:rsidR="002F199C" w:rsidRPr="008214F9" w:rsidRDefault="002F199C" w:rsidP="00196385">
      <w:pPr>
        <w:pStyle w:val="ListParagraph"/>
        <w:numPr>
          <w:ilvl w:val="0"/>
          <w:numId w:val="83"/>
        </w:numPr>
        <w:tabs>
          <w:tab w:val="left" w:pos="1916"/>
        </w:tabs>
        <w:jc w:val="both"/>
        <w:rPr>
          <w:rFonts w:ascii="Book Antiqua" w:hAnsi="Book Antiqua"/>
          <w:b/>
        </w:rPr>
      </w:pPr>
      <w:r w:rsidRPr="008214F9">
        <w:rPr>
          <w:rFonts w:ascii="Book Antiqua" w:hAnsi="Book Antiqua"/>
          <w:b/>
          <w:sz w:val="26"/>
        </w:rPr>
        <w:t>Methodology</w:t>
      </w:r>
      <w:r w:rsidRPr="008214F9">
        <w:rPr>
          <w:rFonts w:ascii="Book Antiqua" w:hAnsi="Book Antiqua"/>
          <w:b/>
        </w:rPr>
        <w:t xml:space="preserve"> </w:t>
      </w:r>
    </w:p>
    <w:p w14:paraId="62BFE862" w14:textId="77777777" w:rsidR="002F199C" w:rsidRPr="008214F9" w:rsidRDefault="002F199C" w:rsidP="00196385">
      <w:pPr>
        <w:pStyle w:val="ListParagraph"/>
        <w:numPr>
          <w:ilvl w:val="1"/>
          <w:numId w:val="83"/>
        </w:numPr>
        <w:tabs>
          <w:tab w:val="left" w:pos="1916"/>
        </w:tabs>
        <w:jc w:val="both"/>
        <w:rPr>
          <w:rFonts w:ascii="Book Antiqua" w:hAnsi="Book Antiqua"/>
          <w:b/>
        </w:rPr>
      </w:pPr>
      <w:r w:rsidRPr="008214F9">
        <w:rPr>
          <w:rFonts w:ascii="Book Antiqua" w:hAnsi="Book Antiqua"/>
          <w:b/>
        </w:rPr>
        <w:t xml:space="preserve">Equipment </w:t>
      </w:r>
      <w:r w:rsidR="00462FD1" w:rsidRPr="008214F9">
        <w:rPr>
          <w:rFonts w:ascii="Book Antiqua" w:hAnsi="Book Antiqua"/>
          <w:b/>
        </w:rPr>
        <w:t xml:space="preserve">Design </w:t>
      </w:r>
    </w:p>
    <w:p w14:paraId="7742D423" w14:textId="77777777" w:rsidR="002F199C" w:rsidRPr="00E3232D" w:rsidRDefault="002F199C" w:rsidP="00462FD1">
      <w:pPr>
        <w:tabs>
          <w:tab w:val="left" w:pos="1916"/>
        </w:tabs>
        <w:jc w:val="both"/>
        <w:rPr>
          <w:rFonts w:ascii="Book Antiqua" w:hAnsi="Book Antiqua"/>
        </w:rPr>
      </w:pPr>
      <w:r w:rsidRPr="00E3232D">
        <w:rPr>
          <w:rFonts w:ascii="Book Antiqua" w:hAnsi="Book Antiqua"/>
        </w:rPr>
        <w:t xml:space="preserve">The following were considered in the design: Temperature, Circulation, Size, Controls, Location, Motor protection, and Mounting (Durham Geo-Enterprises, 2013). </w:t>
      </w:r>
    </w:p>
    <w:p w14:paraId="59D12911" w14:textId="77777777" w:rsidR="00B86A25" w:rsidRPr="00E3232D" w:rsidRDefault="002F199C" w:rsidP="00462FD1">
      <w:pPr>
        <w:tabs>
          <w:tab w:val="left" w:pos="1916"/>
        </w:tabs>
        <w:jc w:val="both"/>
        <w:rPr>
          <w:rFonts w:ascii="Book Antiqua" w:hAnsi="Book Antiqua"/>
        </w:rPr>
      </w:pPr>
      <w:r w:rsidRPr="00E3232D">
        <w:rPr>
          <w:rFonts w:ascii="Book Antiqua" w:hAnsi="Book Antiqua"/>
        </w:rPr>
        <w:t xml:space="preserve">The plans and designs used are those of Price and Kirk (1943) which were slightly modified by Meier (n.d.) for building a Portable Electric Food Dehydrator. Again, the modified plans of Meier (n.d.) have been modified by the author (Ameko et al, 2012) with regard to wiring and the choice of materials. </w:t>
      </w:r>
    </w:p>
    <w:p w14:paraId="48214FCF" w14:textId="77777777" w:rsidR="002F199C" w:rsidRPr="00E3232D" w:rsidRDefault="002F199C" w:rsidP="00196385">
      <w:pPr>
        <w:pStyle w:val="ListParagraph"/>
        <w:numPr>
          <w:ilvl w:val="1"/>
          <w:numId w:val="83"/>
        </w:numPr>
        <w:tabs>
          <w:tab w:val="left" w:pos="1916"/>
        </w:tabs>
        <w:spacing w:after="0"/>
        <w:ind w:hanging="792"/>
        <w:rPr>
          <w:rFonts w:ascii="Book Antiqua" w:hAnsi="Book Antiqua"/>
          <w:b/>
        </w:rPr>
      </w:pPr>
      <w:r w:rsidRPr="00462FD1">
        <w:rPr>
          <w:rFonts w:ascii="Book Antiqua" w:hAnsi="Book Antiqua"/>
          <w:b/>
          <w:sz w:val="26"/>
        </w:rPr>
        <w:t>Materials</w:t>
      </w:r>
      <w:r w:rsidRPr="00E3232D">
        <w:rPr>
          <w:rFonts w:ascii="Book Antiqua" w:hAnsi="Book Antiqua"/>
          <w:b/>
        </w:rPr>
        <w:t xml:space="preserve"> </w:t>
      </w:r>
    </w:p>
    <w:p w14:paraId="40FFA1D9" w14:textId="77777777" w:rsidR="002F199C" w:rsidRPr="00E3232D" w:rsidRDefault="002F199C" w:rsidP="00462FD1">
      <w:pPr>
        <w:tabs>
          <w:tab w:val="left" w:pos="1916"/>
        </w:tabs>
        <w:spacing w:after="0"/>
        <w:rPr>
          <w:rFonts w:ascii="Book Antiqua" w:hAnsi="Book Antiqua"/>
          <w:b/>
        </w:rPr>
      </w:pPr>
      <w:r w:rsidRPr="00E3232D">
        <w:rPr>
          <w:rFonts w:ascii="Book Antiqua" w:hAnsi="Book Antiqua"/>
          <w:b/>
        </w:rPr>
        <w:t xml:space="preserve">Table 1 Costs of main materials </w:t>
      </w:r>
    </w:p>
    <w:p w14:paraId="29F0E005" w14:textId="77777777" w:rsidR="002F199C" w:rsidRPr="00E3232D" w:rsidRDefault="007005B1" w:rsidP="008275E1">
      <w:pPr>
        <w:tabs>
          <w:tab w:val="left" w:pos="1916"/>
        </w:tabs>
        <w:rPr>
          <w:rFonts w:ascii="Book Antiqua" w:hAnsi="Book Antiqua"/>
          <w:b/>
        </w:rPr>
      </w:pPr>
      <w:r>
        <w:rPr>
          <w:rFonts w:ascii="Book Antiqua" w:hAnsi="Book Antiqua"/>
          <w:b/>
          <w:noProof/>
          <w:lang w:bidi="ar-SA"/>
        </w:rPr>
        <w:drawing>
          <wp:inline distT="0" distB="0" distL="0" distR="0" wp14:anchorId="62546885" wp14:editId="5B3AA103">
            <wp:extent cx="3409950" cy="3468945"/>
            <wp:effectExtent l="19050" t="0" r="0" b="0"/>
            <wp:docPr id="12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8"/>
                    <a:srcRect r="9590" b="6863"/>
                    <a:stretch>
                      <a:fillRect/>
                    </a:stretch>
                  </pic:blipFill>
                  <pic:spPr bwMode="auto">
                    <a:xfrm>
                      <a:off x="0" y="0"/>
                      <a:ext cx="3409950" cy="3468945"/>
                    </a:xfrm>
                    <a:prstGeom prst="rect">
                      <a:avLst/>
                    </a:prstGeom>
                    <a:noFill/>
                    <a:ln w="9525">
                      <a:noFill/>
                      <a:miter lim="800000"/>
                      <a:headEnd/>
                      <a:tailEnd/>
                    </a:ln>
                  </pic:spPr>
                </pic:pic>
              </a:graphicData>
            </a:graphic>
          </wp:inline>
        </w:drawing>
      </w:r>
    </w:p>
    <w:p w14:paraId="18CEDFA8" w14:textId="77777777" w:rsidR="008214F9" w:rsidRDefault="008214F9" w:rsidP="008275E1">
      <w:pPr>
        <w:tabs>
          <w:tab w:val="left" w:pos="1916"/>
        </w:tabs>
        <w:rPr>
          <w:rFonts w:ascii="Book Antiqua" w:hAnsi="Book Antiqua"/>
          <w:b/>
        </w:rPr>
      </w:pPr>
    </w:p>
    <w:p w14:paraId="53670094" w14:textId="77777777" w:rsidR="002F199C" w:rsidRPr="00E3232D" w:rsidRDefault="002F199C" w:rsidP="008275E1">
      <w:pPr>
        <w:tabs>
          <w:tab w:val="left" w:pos="1916"/>
        </w:tabs>
        <w:rPr>
          <w:rFonts w:ascii="Book Antiqua" w:hAnsi="Book Antiqua"/>
          <w:b/>
        </w:rPr>
      </w:pPr>
      <w:r w:rsidRPr="00E3232D">
        <w:rPr>
          <w:rFonts w:ascii="Book Antiqua" w:hAnsi="Book Antiqua"/>
          <w:b/>
        </w:rPr>
        <w:t xml:space="preserve">Table 2 Joining materials </w:t>
      </w:r>
    </w:p>
    <w:p w14:paraId="318E11B9" w14:textId="77777777" w:rsidR="008B47FB" w:rsidRDefault="007005B1" w:rsidP="008275E1">
      <w:pPr>
        <w:tabs>
          <w:tab w:val="left" w:pos="1916"/>
        </w:tabs>
        <w:rPr>
          <w:rFonts w:ascii="Book Antiqua" w:hAnsi="Book Antiqua"/>
          <w:b/>
        </w:rPr>
      </w:pPr>
      <w:r>
        <w:rPr>
          <w:rFonts w:ascii="Book Antiqua" w:hAnsi="Book Antiqua"/>
          <w:b/>
          <w:noProof/>
          <w:lang w:bidi="ar-SA"/>
        </w:rPr>
        <w:drawing>
          <wp:inline distT="0" distB="0" distL="0" distR="0" wp14:anchorId="733FE31A" wp14:editId="74F855AD">
            <wp:extent cx="2828925" cy="876300"/>
            <wp:effectExtent l="19050" t="0" r="9525" b="0"/>
            <wp:docPr id="12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9"/>
                    <a:srcRect r="39023" b="17194"/>
                    <a:stretch>
                      <a:fillRect/>
                    </a:stretch>
                  </pic:blipFill>
                  <pic:spPr bwMode="auto">
                    <a:xfrm>
                      <a:off x="0" y="0"/>
                      <a:ext cx="2828925" cy="876300"/>
                    </a:xfrm>
                    <a:prstGeom prst="rect">
                      <a:avLst/>
                    </a:prstGeom>
                    <a:noFill/>
                    <a:ln w="9525">
                      <a:noFill/>
                      <a:miter lim="800000"/>
                      <a:headEnd/>
                      <a:tailEnd/>
                    </a:ln>
                  </pic:spPr>
                </pic:pic>
              </a:graphicData>
            </a:graphic>
          </wp:inline>
        </w:drawing>
      </w:r>
    </w:p>
    <w:p w14:paraId="324AA586" w14:textId="77777777" w:rsidR="00462FD1" w:rsidRDefault="00462FD1" w:rsidP="008275E1">
      <w:pPr>
        <w:tabs>
          <w:tab w:val="left" w:pos="1916"/>
        </w:tabs>
        <w:rPr>
          <w:rFonts w:ascii="Book Antiqua" w:hAnsi="Book Antiqua"/>
          <w:b/>
        </w:rPr>
      </w:pPr>
    </w:p>
    <w:p w14:paraId="74BCCBCF" w14:textId="77777777" w:rsidR="00462FD1" w:rsidRDefault="00462FD1" w:rsidP="008275E1">
      <w:pPr>
        <w:tabs>
          <w:tab w:val="left" w:pos="1916"/>
        </w:tabs>
        <w:rPr>
          <w:rFonts w:ascii="Book Antiqua" w:hAnsi="Book Antiqua"/>
          <w:b/>
        </w:rPr>
      </w:pPr>
    </w:p>
    <w:p w14:paraId="09E3C501" w14:textId="77777777" w:rsidR="00462FD1" w:rsidRDefault="00462FD1" w:rsidP="008275E1">
      <w:pPr>
        <w:tabs>
          <w:tab w:val="left" w:pos="1916"/>
        </w:tabs>
        <w:rPr>
          <w:rFonts w:ascii="Book Antiqua" w:hAnsi="Book Antiqua"/>
          <w:b/>
        </w:rPr>
      </w:pPr>
    </w:p>
    <w:p w14:paraId="02097422" w14:textId="77777777" w:rsidR="00462FD1" w:rsidRDefault="00462FD1" w:rsidP="008275E1">
      <w:pPr>
        <w:tabs>
          <w:tab w:val="left" w:pos="1916"/>
        </w:tabs>
        <w:rPr>
          <w:rFonts w:ascii="Book Antiqua" w:hAnsi="Book Antiqua"/>
          <w:b/>
        </w:rPr>
      </w:pPr>
    </w:p>
    <w:p w14:paraId="3FB8FBBE" w14:textId="77777777" w:rsidR="002F199C" w:rsidRPr="00E3232D" w:rsidRDefault="002F199C" w:rsidP="008275E1">
      <w:pPr>
        <w:tabs>
          <w:tab w:val="left" w:pos="1916"/>
        </w:tabs>
        <w:rPr>
          <w:rFonts w:ascii="Book Antiqua" w:hAnsi="Book Antiqua"/>
          <w:b/>
        </w:rPr>
      </w:pPr>
      <w:r w:rsidRPr="00E3232D">
        <w:rPr>
          <w:rFonts w:ascii="Book Antiqua" w:hAnsi="Book Antiqua"/>
          <w:b/>
        </w:rPr>
        <w:t xml:space="preserve">Table 3 Pieces of wood cut from one 4 feet x 8 feet ¼ inch plywood </w:t>
      </w:r>
    </w:p>
    <w:tbl>
      <w:tblPr>
        <w:tblW w:w="3628" w:type="dxa"/>
        <w:tblBorders>
          <w:top w:val="single" w:sz="8" w:space="0" w:color="4F81BD"/>
          <w:bottom w:val="single" w:sz="8" w:space="0" w:color="4F81BD"/>
        </w:tblBorders>
        <w:tblLook w:val="04A0" w:firstRow="1" w:lastRow="0" w:firstColumn="1" w:lastColumn="0" w:noHBand="0" w:noVBand="1"/>
      </w:tblPr>
      <w:tblGrid>
        <w:gridCol w:w="2066"/>
        <w:gridCol w:w="1562"/>
      </w:tblGrid>
      <w:tr w:rsidR="002F199C" w:rsidRPr="00D12E59" w14:paraId="3BBBD347" w14:textId="77777777" w:rsidTr="00462FD1">
        <w:trPr>
          <w:trHeight w:val="468"/>
        </w:trPr>
        <w:tc>
          <w:tcPr>
            <w:tcW w:w="0" w:type="auto"/>
            <w:tcBorders>
              <w:top w:val="single" w:sz="8" w:space="0" w:color="4F81BD"/>
              <w:left w:val="nil"/>
              <w:bottom w:val="single" w:sz="8" w:space="0" w:color="4F81BD"/>
              <w:right w:val="nil"/>
            </w:tcBorders>
            <w:shd w:val="clear" w:color="auto" w:fill="auto"/>
          </w:tcPr>
          <w:p w14:paraId="369E7521"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Part of PWBED </w:t>
            </w:r>
          </w:p>
        </w:tc>
        <w:tc>
          <w:tcPr>
            <w:tcW w:w="0" w:type="auto"/>
            <w:tcBorders>
              <w:top w:val="single" w:sz="8" w:space="0" w:color="4F81BD"/>
              <w:left w:val="nil"/>
              <w:bottom w:val="single" w:sz="8" w:space="0" w:color="4F81BD"/>
              <w:right w:val="nil"/>
            </w:tcBorders>
            <w:shd w:val="clear" w:color="auto" w:fill="auto"/>
          </w:tcPr>
          <w:p w14:paraId="780039F1"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Size </w:t>
            </w:r>
          </w:p>
        </w:tc>
      </w:tr>
      <w:tr w:rsidR="002F199C" w:rsidRPr="00D12E59" w14:paraId="72352691" w14:textId="77777777" w:rsidTr="00462FD1">
        <w:trPr>
          <w:trHeight w:val="358"/>
        </w:trPr>
        <w:tc>
          <w:tcPr>
            <w:tcW w:w="0" w:type="auto"/>
            <w:tcBorders>
              <w:left w:val="nil"/>
              <w:right w:val="nil"/>
            </w:tcBorders>
            <w:shd w:val="clear" w:color="auto" w:fill="auto"/>
          </w:tcPr>
          <w:p w14:paraId="2FA52708"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Top </w:t>
            </w:r>
          </w:p>
        </w:tc>
        <w:tc>
          <w:tcPr>
            <w:tcW w:w="0" w:type="auto"/>
            <w:tcBorders>
              <w:left w:val="nil"/>
              <w:right w:val="nil"/>
            </w:tcBorders>
            <w:shd w:val="clear" w:color="auto" w:fill="auto"/>
          </w:tcPr>
          <w:p w14:paraId="6DD72862" w14:textId="77777777" w:rsidR="002F199C" w:rsidRPr="00D12E59" w:rsidRDefault="002F199C" w:rsidP="00462FD1">
            <w:pPr>
              <w:spacing w:after="0" w:line="240" w:lineRule="auto"/>
              <w:rPr>
                <w:rFonts w:ascii="Book Antiqua" w:hAnsi="Book Antiqua"/>
                <w:color w:val="365F91"/>
              </w:rPr>
            </w:pPr>
            <w:r w:rsidRPr="00D12E59">
              <w:rPr>
                <w:rFonts w:ascii="Book Antiqua" w:hAnsi="Book Antiqua"/>
                <w:color w:val="365F91"/>
              </w:rPr>
              <w:t xml:space="preserve">10” x 24” </w:t>
            </w:r>
          </w:p>
        </w:tc>
      </w:tr>
      <w:tr w:rsidR="002F199C" w:rsidRPr="00D12E59" w14:paraId="43537DD3" w14:textId="77777777" w:rsidTr="00462FD1">
        <w:trPr>
          <w:trHeight w:val="243"/>
        </w:trPr>
        <w:tc>
          <w:tcPr>
            <w:tcW w:w="0" w:type="auto"/>
            <w:shd w:val="clear" w:color="auto" w:fill="auto"/>
          </w:tcPr>
          <w:p w14:paraId="7C158953"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Left side </w:t>
            </w:r>
          </w:p>
        </w:tc>
        <w:tc>
          <w:tcPr>
            <w:tcW w:w="0" w:type="auto"/>
            <w:shd w:val="clear" w:color="auto" w:fill="auto"/>
          </w:tcPr>
          <w:p w14:paraId="614230B5" w14:textId="77777777" w:rsidR="002F199C" w:rsidRPr="00D12E59" w:rsidRDefault="002F199C" w:rsidP="00462FD1">
            <w:pPr>
              <w:spacing w:after="0" w:line="240" w:lineRule="auto"/>
              <w:rPr>
                <w:rFonts w:ascii="Book Antiqua" w:hAnsi="Book Antiqua"/>
                <w:color w:val="365F91"/>
              </w:rPr>
            </w:pPr>
            <w:r w:rsidRPr="00D12E59">
              <w:rPr>
                <w:rFonts w:ascii="Book Antiqua" w:hAnsi="Book Antiqua"/>
                <w:color w:val="365F91"/>
              </w:rPr>
              <w:t xml:space="preserve">24” x 24” </w:t>
            </w:r>
          </w:p>
        </w:tc>
      </w:tr>
      <w:tr w:rsidR="002F199C" w:rsidRPr="00D12E59" w14:paraId="7411A263" w14:textId="77777777" w:rsidTr="00462FD1">
        <w:trPr>
          <w:trHeight w:val="315"/>
        </w:trPr>
        <w:tc>
          <w:tcPr>
            <w:tcW w:w="0" w:type="auto"/>
            <w:tcBorders>
              <w:left w:val="nil"/>
              <w:right w:val="nil"/>
            </w:tcBorders>
            <w:shd w:val="clear" w:color="auto" w:fill="auto"/>
          </w:tcPr>
          <w:p w14:paraId="750EDAF8"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Right side </w:t>
            </w:r>
          </w:p>
        </w:tc>
        <w:tc>
          <w:tcPr>
            <w:tcW w:w="0" w:type="auto"/>
            <w:tcBorders>
              <w:left w:val="nil"/>
              <w:right w:val="nil"/>
            </w:tcBorders>
            <w:shd w:val="clear" w:color="auto" w:fill="auto"/>
          </w:tcPr>
          <w:p w14:paraId="55F35BB2" w14:textId="77777777" w:rsidR="002F199C" w:rsidRPr="00D12E59" w:rsidRDefault="002F199C" w:rsidP="00462FD1">
            <w:pPr>
              <w:spacing w:after="0" w:line="240" w:lineRule="auto"/>
              <w:rPr>
                <w:rFonts w:ascii="Book Antiqua" w:hAnsi="Book Antiqua"/>
                <w:color w:val="365F91"/>
              </w:rPr>
            </w:pPr>
            <w:r w:rsidRPr="00D12E59">
              <w:rPr>
                <w:rFonts w:ascii="Book Antiqua" w:hAnsi="Book Antiqua"/>
                <w:color w:val="365F91"/>
              </w:rPr>
              <w:t xml:space="preserve">24” x 24” </w:t>
            </w:r>
          </w:p>
        </w:tc>
      </w:tr>
      <w:tr w:rsidR="002F199C" w:rsidRPr="00D12E59" w14:paraId="53F091BC" w14:textId="77777777" w:rsidTr="00462FD1">
        <w:trPr>
          <w:trHeight w:val="468"/>
        </w:trPr>
        <w:tc>
          <w:tcPr>
            <w:tcW w:w="0" w:type="auto"/>
            <w:shd w:val="clear" w:color="auto" w:fill="auto"/>
          </w:tcPr>
          <w:p w14:paraId="638FB14A"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Back side </w:t>
            </w:r>
          </w:p>
        </w:tc>
        <w:tc>
          <w:tcPr>
            <w:tcW w:w="0" w:type="auto"/>
            <w:shd w:val="clear" w:color="auto" w:fill="auto"/>
          </w:tcPr>
          <w:p w14:paraId="1A915181" w14:textId="77777777" w:rsidR="002F199C" w:rsidRPr="00D12E59" w:rsidRDefault="002F199C" w:rsidP="00462FD1">
            <w:pPr>
              <w:spacing w:after="0" w:line="240" w:lineRule="auto"/>
              <w:rPr>
                <w:rFonts w:ascii="Book Antiqua" w:hAnsi="Book Antiqua"/>
                <w:color w:val="365F91"/>
              </w:rPr>
            </w:pPr>
            <w:r w:rsidRPr="00D12E59">
              <w:rPr>
                <w:rFonts w:ascii="Book Antiqua" w:hAnsi="Book Antiqua"/>
                <w:color w:val="365F91"/>
              </w:rPr>
              <w:t xml:space="preserve">17” x 24” </w:t>
            </w:r>
          </w:p>
        </w:tc>
      </w:tr>
      <w:tr w:rsidR="002F199C" w:rsidRPr="00D12E59" w14:paraId="023B3B27" w14:textId="77777777" w:rsidTr="00462FD1">
        <w:trPr>
          <w:trHeight w:val="315"/>
        </w:trPr>
        <w:tc>
          <w:tcPr>
            <w:tcW w:w="0" w:type="auto"/>
            <w:tcBorders>
              <w:left w:val="nil"/>
              <w:right w:val="nil"/>
            </w:tcBorders>
            <w:shd w:val="clear" w:color="auto" w:fill="auto"/>
          </w:tcPr>
          <w:p w14:paraId="4F13CB43"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Bottom </w:t>
            </w:r>
          </w:p>
        </w:tc>
        <w:tc>
          <w:tcPr>
            <w:tcW w:w="0" w:type="auto"/>
            <w:tcBorders>
              <w:left w:val="nil"/>
              <w:right w:val="nil"/>
            </w:tcBorders>
            <w:shd w:val="clear" w:color="auto" w:fill="auto"/>
          </w:tcPr>
          <w:p w14:paraId="4569ADBE" w14:textId="77777777" w:rsidR="002F199C" w:rsidRPr="00D12E59" w:rsidRDefault="002F199C" w:rsidP="00462FD1">
            <w:pPr>
              <w:spacing w:after="0" w:line="240" w:lineRule="auto"/>
              <w:rPr>
                <w:rFonts w:ascii="Book Antiqua" w:hAnsi="Book Antiqua"/>
                <w:color w:val="365F91"/>
              </w:rPr>
            </w:pPr>
            <w:r w:rsidRPr="00D12E59">
              <w:rPr>
                <w:rFonts w:ascii="Book Antiqua" w:hAnsi="Book Antiqua"/>
                <w:color w:val="365F91"/>
              </w:rPr>
              <w:t xml:space="preserve">17” x 23” </w:t>
            </w:r>
          </w:p>
        </w:tc>
      </w:tr>
      <w:tr w:rsidR="002F199C" w:rsidRPr="00D12E59" w14:paraId="3F90BF49" w14:textId="77777777" w:rsidTr="00462FD1">
        <w:trPr>
          <w:trHeight w:val="315"/>
        </w:trPr>
        <w:tc>
          <w:tcPr>
            <w:tcW w:w="0" w:type="auto"/>
            <w:shd w:val="clear" w:color="auto" w:fill="auto"/>
          </w:tcPr>
          <w:p w14:paraId="3558F493"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Front </w:t>
            </w:r>
          </w:p>
        </w:tc>
        <w:tc>
          <w:tcPr>
            <w:tcW w:w="0" w:type="auto"/>
            <w:shd w:val="clear" w:color="auto" w:fill="auto"/>
          </w:tcPr>
          <w:p w14:paraId="30AB8818" w14:textId="77777777" w:rsidR="002F199C" w:rsidRPr="00D12E59" w:rsidRDefault="002F199C" w:rsidP="00462FD1">
            <w:pPr>
              <w:spacing w:after="0" w:line="240" w:lineRule="auto"/>
              <w:rPr>
                <w:rFonts w:ascii="Book Antiqua" w:hAnsi="Book Antiqua"/>
                <w:color w:val="365F91"/>
              </w:rPr>
            </w:pPr>
            <w:r w:rsidRPr="00D12E59">
              <w:rPr>
                <w:rFonts w:ascii="Book Antiqua" w:hAnsi="Book Antiqua"/>
                <w:color w:val="365F91"/>
              </w:rPr>
              <w:t xml:space="preserve">10 ¾” x 17” </w:t>
            </w:r>
          </w:p>
        </w:tc>
      </w:tr>
      <w:tr w:rsidR="002F199C" w:rsidRPr="00D12E59" w14:paraId="661C2E96" w14:textId="77777777" w:rsidTr="00462FD1">
        <w:trPr>
          <w:trHeight w:val="252"/>
        </w:trPr>
        <w:tc>
          <w:tcPr>
            <w:tcW w:w="0" w:type="auto"/>
            <w:tcBorders>
              <w:left w:val="nil"/>
              <w:right w:val="nil"/>
            </w:tcBorders>
            <w:shd w:val="clear" w:color="auto" w:fill="auto"/>
          </w:tcPr>
          <w:p w14:paraId="2F0720B2"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Door </w:t>
            </w:r>
          </w:p>
        </w:tc>
        <w:tc>
          <w:tcPr>
            <w:tcW w:w="0" w:type="auto"/>
            <w:tcBorders>
              <w:left w:val="nil"/>
              <w:right w:val="nil"/>
            </w:tcBorders>
            <w:shd w:val="clear" w:color="auto" w:fill="auto"/>
          </w:tcPr>
          <w:p w14:paraId="3F7E29F3" w14:textId="77777777" w:rsidR="002F199C" w:rsidRPr="00D12E59" w:rsidRDefault="002F199C" w:rsidP="00462FD1">
            <w:pPr>
              <w:spacing w:after="0" w:line="240" w:lineRule="auto"/>
              <w:rPr>
                <w:rFonts w:ascii="Book Antiqua" w:hAnsi="Book Antiqua"/>
                <w:color w:val="365F91"/>
              </w:rPr>
            </w:pPr>
            <w:r w:rsidRPr="00D12E59">
              <w:rPr>
                <w:rFonts w:ascii="Book Antiqua" w:hAnsi="Book Antiqua"/>
                <w:color w:val="365F91"/>
              </w:rPr>
              <w:t xml:space="preserve">13 ¼” x 17” </w:t>
            </w:r>
          </w:p>
        </w:tc>
      </w:tr>
      <w:tr w:rsidR="002F199C" w:rsidRPr="00D12E59" w14:paraId="115657FE" w14:textId="77777777" w:rsidTr="00462FD1">
        <w:trPr>
          <w:trHeight w:val="252"/>
        </w:trPr>
        <w:tc>
          <w:tcPr>
            <w:tcW w:w="0" w:type="auto"/>
            <w:shd w:val="clear" w:color="auto" w:fill="auto"/>
          </w:tcPr>
          <w:p w14:paraId="62340C21"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Fan bulkhead </w:t>
            </w:r>
          </w:p>
        </w:tc>
        <w:tc>
          <w:tcPr>
            <w:tcW w:w="0" w:type="auto"/>
            <w:shd w:val="clear" w:color="auto" w:fill="auto"/>
          </w:tcPr>
          <w:p w14:paraId="01C22D73" w14:textId="77777777" w:rsidR="002F199C" w:rsidRPr="00D12E59" w:rsidRDefault="002F199C" w:rsidP="00462FD1">
            <w:pPr>
              <w:spacing w:after="0" w:line="240" w:lineRule="auto"/>
              <w:rPr>
                <w:rFonts w:ascii="Book Antiqua" w:hAnsi="Book Antiqua"/>
                <w:color w:val="365F91"/>
              </w:rPr>
            </w:pPr>
            <w:r w:rsidRPr="00D12E59">
              <w:rPr>
                <w:rFonts w:ascii="Book Antiqua" w:hAnsi="Book Antiqua"/>
                <w:color w:val="365F91"/>
              </w:rPr>
              <w:t xml:space="preserve">10 ¾” x 17” </w:t>
            </w:r>
          </w:p>
        </w:tc>
      </w:tr>
      <w:tr w:rsidR="002F199C" w:rsidRPr="00D12E59" w14:paraId="66EEAFBF" w14:textId="77777777" w:rsidTr="00462FD1">
        <w:trPr>
          <w:trHeight w:val="243"/>
        </w:trPr>
        <w:tc>
          <w:tcPr>
            <w:tcW w:w="0" w:type="auto"/>
            <w:tcBorders>
              <w:left w:val="nil"/>
              <w:right w:val="nil"/>
            </w:tcBorders>
            <w:shd w:val="clear" w:color="auto" w:fill="auto"/>
          </w:tcPr>
          <w:p w14:paraId="387A5C21" w14:textId="77777777" w:rsidR="002F199C" w:rsidRPr="00D12E59" w:rsidRDefault="002F199C" w:rsidP="00462FD1">
            <w:pPr>
              <w:spacing w:after="0" w:line="240" w:lineRule="auto"/>
              <w:rPr>
                <w:rFonts w:ascii="Book Antiqua" w:hAnsi="Book Antiqua"/>
                <w:b/>
                <w:bCs/>
                <w:color w:val="365F91"/>
              </w:rPr>
            </w:pPr>
            <w:r w:rsidRPr="00D12E59">
              <w:rPr>
                <w:rFonts w:ascii="Book Antiqua" w:hAnsi="Book Antiqua"/>
                <w:b/>
                <w:bCs/>
                <w:color w:val="365F91"/>
              </w:rPr>
              <w:t xml:space="preserve">Heatshield </w:t>
            </w:r>
          </w:p>
        </w:tc>
        <w:tc>
          <w:tcPr>
            <w:tcW w:w="0" w:type="auto"/>
            <w:tcBorders>
              <w:left w:val="nil"/>
              <w:right w:val="nil"/>
            </w:tcBorders>
            <w:shd w:val="clear" w:color="auto" w:fill="auto"/>
          </w:tcPr>
          <w:p w14:paraId="492D38F3" w14:textId="77777777" w:rsidR="002F199C" w:rsidRPr="00D12E59" w:rsidRDefault="002F199C" w:rsidP="00462FD1">
            <w:pPr>
              <w:spacing w:after="0" w:line="240" w:lineRule="auto"/>
              <w:rPr>
                <w:rFonts w:ascii="Book Antiqua" w:hAnsi="Book Antiqua"/>
                <w:color w:val="365F91"/>
              </w:rPr>
            </w:pPr>
            <w:r w:rsidRPr="00D12E59">
              <w:rPr>
                <w:rFonts w:ascii="Book Antiqua" w:hAnsi="Book Antiqua"/>
                <w:color w:val="365F91"/>
              </w:rPr>
              <w:t xml:space="preserve">14” x 16 ¾” </w:t>
            </w:r>
          </w:p>
        </w:tc>
      </w:tr>
    </w:tbl>
    <w:p w14:paraId="6DD91AAF" w14:textId="77777777" w:rsidR="00B86A25" w:rsidRPr="00E3232D" w:rsidRDefault="00B86A25" w:rsidP="00462FD1">
      <w:pPr>
        <w:tabs>
          <w:tab w:val="left" w:pos="1916"/>
        </w:tabs>
        <w:spacing w:after="0"/>
        <w:rPr>
          <w:rFonts w:ascii="Book Antiqua" w:hAnsi="Book Antiqua"/>
          <w:b/>
        </w:rPr>
      </w:pPr>
    </w:p>
    <w:p w14:paraId="3CE1A5C8" w14:textId="77777777" w:rsidR="002F199C" w:rsidRPr="00E3232D" w:rsidRDefault="002F199C" w:rsidP="00196385">
      <w:pPr>
        <w:pStyle w:val="ListParagraph"/>
        <w:numPr>
          <w:ilvl w:val="1"/>
          <w:numId w:val="83"/>
        </w:numPr>
        <w:tabs>
          <w:tab w:val="left" w:pos="1916"/>
        </w:tabs>
        <w:ind w:hanging="792"/>
        <w:rPr>
          <w:rFonts w:ascii="Book Antiqua" w:hAnsi="Book Antiqua"/>
          <w:b/>
        </w:rPr>
      </w:pPr>
      <w:r w:rsidRPr="00E3232D">
        <w:rPr>
          <w:rFonts w:ascii="Book Antiqua" w:hAnsi="Book Antiqua"/>
          <w:b/>
        </w:rPr>
        <w:t xml:space="preserve">Drawings </w:t>
      </w:r>
    </w:p>
    <w:p w14:paraId="37A1CD63" w14:textId="77777777" w:rsidR="002F199C" w:rsidRPr="00E3232D" w:rsidRDefault="00462FD1" w:rsidP="00462FD1">
      <w:pPr>
        <w:tabs>
          <w:tab w:val="left" w:pos="1916"/>
        </w:tabs>
        <w:ind w:left="720"/>
        <w:rPr>
          <w:rFonts w:ascii="Book Antiqua" w:hAnsi="Book Antiqua"/>
        </w:rPr>
      </w:pPr>
      <w:r>
        <w:rPr>
          <w:rFonts w:ascii="Book Antiqua" w:hAnsi="Book Antiqua"/>
        </w:rPr>
        <w:tab/>
      </w:r>
      <w:r w:rsidR="007005B1">
        <w:rPr>
          <w:rFonts w:ascii="Book Antiqua" w:hAnsi="Book Antiqua"/>
          <w:b/>
          <w:noProof/>
          <w:lang w:bidi="ar-SA"/>
        </w:rPr>
        <w:drawing>
          <wp:inline distT="0" distB="0" distL="0" distR="0" wp14:anchorId="75FBCA27" wp14:editId="57872131">
            <wp:extent cx="1828800" cy="2743200"/>
            <wp:effectExtent l="19050" t="0" r="0" b="0"/>
            <wp:docPr id="1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0"/>
                    <a:srcRect/>
                    <a:stretch>
                      <a:fillRect/>
                    </a:stretch>
                  </pic:blipFill>
                  <pic:spPr bwMode="auto">
                    <a:xfrm>
                      <a:off x="0" y="0"/>
                      <a:ext cx="1828800" cy="2743200"/>
                    </a:xfrm>
                    <a:prstGeom prst="rect">
                      <a:avLst/>
                    </a:prstGeom>
                    <a:noFill/>
                    <a:ln w="9525">
                      <a:noFill/>
                      <a:miter lim="800000"/>
                      <a:headEnd/>
                      <a:tailEnd/>
                    </a:ln>
                  </pic:spPr>
                </pic:pic>
              </a:graphicData>
            </a:graphic>
          </wp:inline>
        </w:drawing>
      </w:r>
    </w:p>
    <w:p w14:paraId="55511FBD" w14:textId="77777777" w:rsidR="00462FD1" w:rsidRPr="00E3232D" w:rsidRDefault="00462FD1" w:rsidP="00462FD1">
      <w:pPr>
        <w:tabs>
          <w:tab w:val="left" w:pos="1916"/>
        </w:tabs>
        <w:spacing w:after="0" w:line="240" w:lineRule="auto"/>
        <w:ind w:left="270" w:hanging="270"/>
        <w:rPr>
          <w:rFonts w:ascii="Book Antiqua" w:hAnsi="Book Antiqua"/>
          <w:b/>
        </w:rPr>
      </w:pPr>
      <w:r>
        <w:rPr>
          <w:rFonts w:ascii="Book Antiqua" w:hAnsi="Book Antiqua"/>
          <w:b/>
        </w:rPr>
        <w:t xml:space="preserve">     </w:t>
      </w:r>
      <w:r w:rsidR="002F199C" w:rsidRPr="00E3232D">
        <w:rPr>
          <w:rFonts w:ascii="Book Antiqua" w:hAnsi="Book Antiqua"/>
          <w:b/>
        </w:rPr>
        <w:t xml:space="preserve">Figure 1Layout of sockets and wiring </w:t>
      </w:r>
      <w:r>
        <w:rPr>
          <w:rFonts w:ascii="Book Antiqua" w:hAnsi="Book Antiqua"/>
          <w:b/>
        </w:rPr>
        <w:t xml:space="preserve">  </w:t>
      </w:r>
      <w:r w:rsidR="002F199C" w:rsidRPr="00E3232D">
        <w:rPr>
          <w:rFonts w:ascii="Book Antiqua" w:hAnsi="Book Antiqua"/>
          <w:b/>
        </w:rPr>
        <w:t xml:space="preserve">plan </w:t>
      </w:r>
    </w:p>
    <w:p w14:paraId="243B6829" w14:textId="77777777" w:rsidR="002F199C" w:rsidRPr="00E3232D" w:rsidRDefault="00462FD1" w:rsidP="00462FD1">
      <w:pPr>
        <w:tabs>
          <w:tab w:val="left" w:pos="1916"/>
        </w:tabs>
        <w:spacing w:after="0"/>
        <w:ind w:left="720"/>
        <w:rPr>
          <w:rFonts w:ascii="Book Antiqua" w:hAnsi="Book Antiqua"/>
        </w:rPr>
      </w:pPr>
      <w:r>
        <w:rPr>
          <w:rFonts w:ascii="Book Antiqua" w:hAnsi="Book Antiqua"/>
        </w:rPr>
        <w:tab/>
      </w:r>
      <w:r w:rsidR="007005B1">
        <w:rPr>
          <w:rFonts w:ascii="Book Antiqua" w:hAnsi="Book Antiqua"/>
          <w:noProof/>
          <w:lang w:bidi="ar-SA"/>
        </w:rPr>
        <w:drawing>
          <wp:inline distT="0" distB="0" distL="0" distR="0" wp14:anchorId="76114BB6" wp14:editId="10926913">
            <wp:extent cx="1828800" cy="1219200"/>
            <wp:effectExtent l="19050" t="0" r="0" b="0"/>
            <wp:docPr id="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1"/>
                    <a:srcRect/>
                    <a:stretch>
                      <a:fillRect/>
                    </a:stretch>
                  </pic:blipFill>
                  <pic:spPr bwMode="auto">
                    <a:xfrm>
                      <a:off x="0" y="0"/>
                      <a:ext cx="1828800" cy="1219200"/>
                    </a:xfrm>
                    <a:prstGeom prst="rect">
                      <a:avLst/>
                    </a:prstGeom>
                    <a:noFill/>
                    <a:ln w="9525">
                      <a:noFill/>
                      <a:miter lim="800000"/>
                      <a:headEnd/>
                      <a:tailEnd/>
                    </a:ln>
                  </pic:spPr>
                </pic:pic>
              </a:graphicData>
            </a:graphic>
          </wp:inline>
        </w:drawing>
      </w:r>
    </w:p>
    <w:p w14:paraId="16179FD9" w14:textId="77777777" w:rsidR="002F199C" w:rsidRPr="00E3232D" w:rsidRDefault="002F199C" w:rsidP="008275E1">
      <w:pPr>
        <w:tabs>
          <w:tab w:val="left" w:pos="1916"/>
        </w:tabs>
        <w:rPr>
          <w:rFonts w:ascii="Book Antiqua" w:hAnsi="Book Antiqua"/>
          <w:b/>
        </w:rPr>
      </w:pPr>
      <w:r w:rsidRPr="00E3232D">
        <w:rPr>
          <w:rFonts w:ascii="Book Antiqua" w:hAnsi="Book Antiqua"/>
          <w:b/>
        </w:rPr>
        <w:t xml:space="preserve">Figure 2Fan positioned between the front panel and bulkhead </w:t>
      </w:r>
    </w:p>
    <w:p w14:paraId="235C0F17" w14:textId="77777777" w:rsidR="002F199C" w:rsidRPr="00E3232D" w:rsidRDefault="007005B1" w:rsidP="008275E1">
      <w:pPr>
        <w:tabs>
          <w:tab w:val="left" w:pos="1916"/>
        </w:tabs>
        <w:rPr>
          <w:rFonts w:ascii="Book Antiqua" w:hAnsi="Book Antiqua"/>
        </w:rPr>
      </w:pPr>
      <w:r>
        <w:rPr>
          <w:rFonts w:ascii="Book Antiqua" w:hAnsi="Book Antiqua"/>
          <w:noProof/>
          <w:lang w:bidi="ar-SA"/>
        </w:rPr>
        <w:drawing>
          <wp:inline distT="0" distB="0" distL="0" distR="0" wp14:anchorId="5BD5BD5E" wp14:editId="31CE9338">
            <wp:extent cx="1828800" cy="1047750"/>
            <wp:effectExtent l="19050" t="0" r="0" b="0"/>
            <wp:docPr id="1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2"/>
                    <a:srcRect/>
                    <a:stretch>
                      <a:fillRect/>
                    </a:stretch>
                  </pic:blipFill>
                  <pic:spPr bwMode="auto">
                    <a:xfrm>
                      <a:off x="0" y="0"/>
                      <a:ext cx="1828800" cy="1047750"/>
                    </a:xfrm>
                    <a:prstGeom prst="rect">
                      <a:avLst/>
                    </a:prstGeom>
                    <a:noFill/>
                    <a:ln w="9525">
                      <a:noFill/>
                      <a:miter lim="800000"/>
                      <a:headEnd/>
                      <a:tailEnd/>
                    </a:ln>
                  </pic:spPr>
                </pic:pic>
              </a:graphicData>
            </a:graphic>
          </wp:inline>
        </w:drawing>
      </w:r>
    </w:p>
    <w:p w14:paraId="1DBBB53B" w14:textId="77777777" w:rsidR="002F199C" w:rsidRPr="00E3232D" w:rsidRDefault="002F199C" w:rsidP="008275E1">
      <w:pPr>
        <w:tabs>
          <w:tab w:val="left" w:pos="1916"/>
        </w:tabs>
        <w:rPr>
          <w:rFonts w:ascii="Book Antiqua" w:hAnsi="Book Antiqua"/>
          <w:b/>
        </w:rPr>
      </w:pPr>
      <w:r w:rsidRPr="00E3232D">
        <w:rPr>
          <w:rFonts w:ascii="Book Antiqua" w:hAnsi="Book Antiqua"/>
          <w:b/>
        </w:rPr>
        <w:t xml:space="preserve">Figure 3Air vent hole, switch and thermostat in the front panel </w:t>
      </w:r>
    </w:p>
    <w:p w14:paraId="45246409" w14:textId="77777777" w:rsidR="002F199C" w:rsidRPr="00E3232D" w:rsidRDefault="002F199C" w:rsidP="008275E1">
      <w:pPr>
        <w:tabs>
          <w:tab w:val="left" w:pos="1916"/>
        </w:tabs>
        <w:rPr>
          <w:rFonts w:ascii="Book Antiqua" w:hAnsi="Book Antiqua"/>
        </w:rPr>
      </w:pPr>
    </w:p>
    <w:p w14:paraId="201E91AD" w14:textId="77777777" w:rsidR="002F199C" w:rsidRPr="00E3232D" w:rsidRDefault="007005B1" w:rsidP="008275E1">
      <w:pPr>
        <w:tabs>
          <w:tab w:val="left" w:pos="1916"/>
        </w:tabs>
        <w:rPr>
          <w:rFonts w:ascii="Book Antiqua" w:hAnsi="Book Antiqua"/>
        </w:rPr>
      </w:pPr>
      <w:r>
        <w:rPr>
          <w:rFonts w:ascii="Book Antiqua" w:hAnsi="Book Antiqua"/>
          <w:noProof/>
          <w:lang w:bidi="ar-SA"/>
        </w:rPr>
        <w:drawing>
          <wp:inline distT="0" distB="0" distL="0" distR="0" wp14:anchorId="5CF29D8A" wp14:editId="62929AEF">
            <wp:extent cx="1828800" cy="1228725"/>
            <wp:effectExtent l="19050" t="0" r="0" b="0"/>
            <wp:docPr id="1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3"/>
                    <a:srcRect/>
                    <a:stretch>
                      <a:fillRect/>
                    </a:stretch>
                  </pic:blipFill>
                  <pic:spPr bwMode="auto">
                    <a:xfrm>
                      <a:off x="0" y="0"/>
                      <a:ext cx="1828800" cy="1228725"/>
                    </a:xfrm>
                    <a:prstGeom prst="rect">
                      <a:avLst/>
                    </a:prstGeom>
                    <a:noFill/>
                    <a:ln w="9525">
                      <a:noFill/>
                      <a:miter lim="800000"/>
                      <a:headEnd/>
                      <a:tailEnd/>
                    </a:ln>
                  </pic:spPr>
                </pic:pic>
              </a:graphicData>
            </a:graphic>
          </wp:inline>
        </w:drawing>
      </w:r>
    </w:p>
    <w:p w14:paraId="4FC75C9C" w14:textId="77777777" w:rsidR="002F199C" w:rsidRPr="00E3232D" w:rsidRDefault="002F199C" w:rsidP="008275E1">
      <w:pPr>
        <w:tabs>
          <w:tab w:val="left" w:pos="1916"/>
        </w:tabs>
        <w:rPr>
          <w:rFonts w:ascii="Book Antiqua" w:hAnsi="Book Antiqua"/>
          <w:b/>
        </w:rPr>
      </w:pPr>
      <w:r w:rsidRPr="00E3232D">
        <w:rPr>
          <w:rFonts w:ascii="Book Antiqua" w:hAnsi="Book Antiqua"/>
          <w:b/>
        </w:rPr>
        <w:t xml:space="preserve">Figure 4Heatshield in position over the heating chamber </w:t>
      </w:r>
    </w:p>
    <w:p w14:paraId="2E38A071" w14:textId="77777777" w:rsidR="002F199C" w:rsidRPr="00E3232D" w:rsidRDefault="002F199C" w:rsidP="008275E1">
      <w:pPr>
        <w:tabs>
          <w:tab w:val="left" w:pos="1916"/>
        </w:tabs>
        <w:rPr>
          <w:rFonts w:ascii="Book Antiqua" w:hAnsi="Book Antiqua"/>
        </w:rPr>
      </w:pPr>
    </w:p>
    <w:p w14:paraId="4D6FEBBD" w14:textId="77777777" w:rsidR="002F199C" w:rsidRPr="00E3232D" w:rsidRDefault="007005B1" w:rsidP="008275E1">
      <w:pPr>
        <w:tabs>
          <w:tab w:val="left" w:pos="1916"/>
        </w:tabs>
        <w:rPr>
          <w:rFonts w:ascii="Book Antiqua" w:hAnsi="Book Antiqua"/>
        </w:rPr>
      </w:pPr>
      <w:r>
        <w:rPr>
          <w:rFonts w:ascii="Book Antiqua" w:hAnsi="Book Antiqua"/>
          <w:noProof/>
          <w:lang w:bidi="ar-SA"/>
        </w:rPr>
        <w:drawing>
          <wp:inline distT="0" distB="0" distL="0" distR="0" wp14:anchorId="2D4EC0EE" wp14:editId="414C38D6">
            <wp:extent cx="1828800" cy="1390650"/>
            <wp:effectExtent l="19050" t="0" r="0" b="0"/>
            <wp:docPr id="127" name="Picture 21" descr="C:\Users\Mr. Ameko\PROJECTS\2012 DUNYO DEHYDRATOR\Project pictures\New Folder\Fig. 23. T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r. Ameko\PROJECTS\2012 DUNYO DEHYDRATOR\Project pictures\New Folder\Fig. 23. TRAY..JPG"/>
                    <pic:cNvPicPr>
                      <a:picLocks noChangeAspect="1" noChangeArrowheads="1"/>
                    </pic:cNvPicPr>
                  </pic:nvPicPr>
                  <pic:blipFill>
                    <a:blip r:embed="rId254"/>
                    <a:srcRect r="12462"/>
                    <a:stretch>
                      <a:fillRect/>
                    </a:stretch>
                  </pic:blipFill>
                  <pic:spPr bwMode="auto">
                    <a:xfrm>
                      <a:off x="0" y="0"/>
                      <a:ext cx="1828800" cy="1390650"/>
                    </a:xfrm>
                    <a:prstGeom prst="rect">
                      <a:avLst/>
                    </a:prstGeom>
                    <a:noFill/>
                    <a:ln w="9525">
                      <a:noFill/>
                      <a:miter lim="800000"/>
                      <a:headEnd/>
                      <a:tailEnd/>
                    </a:ln>
                  </pic:spPr>
                </pic:pic>
              </a:graphicData>
            </a:graphic>
          </wp:inline>
        </w:drawing>
      </w:r>
    </w:p>
    <w:p w14:paraId="59B37F96" w14:textId="77777777" w:rsidR="002F199C" w:rsidRPr="00E3232D" w:rsidRDefault="002F199C" w:rsidP="008275E1">
      <w:pPr>
        <w:tabs>
          <w:tab w:val="left" w:pos="1916"/>
        </w:tabs>
        <w:rPr>
          <w:rFonts w:ascii="Book Antiqua" w:hAnsi="Book Antiqua"/>
          <w:b/>
        </w:rPr>
      </w:pPr>
      <w:r w:rsidRPr="00E3232D">
        <w:rPr>
          <w:rFonts w:ascii="Book Antiqua" w:hAnsi="Book Antiqua"/>
          <w:b/>
        </w:rPr>
        <w:t xml:space="preserve">Figure 5Wire mesh screen (1 mm) laid over the finished tray frames </w:t>
      </w:r>
    </w:p>
    <w:p w14:paraId="563273BC" w14:textId="77777777" w:rsidR="002F199C" w:rsidRPr="00E3232D" w:rsidRDefault="002F199C" w:rsidP="008275E1">
      <w:pPr>
        <w:tabs>
          <w:tab w:val="left" w:pos="1916"/>
        </w:tabs>
        <w:rPr>
          <w:rFonts w:ascii="Book Antiqua" w:hAnsi="Book Antiqua"/>
        </w:rPr>
      </w:pPr>
    </w:p>
    <w:p w14:paraId="688ECFC2" w14:textId="77777777" w:rsidR="002F199C" w:rsidRPr="00E3232D" w:rsidRDefault="007005B1" w:rsidP="008275E1">
      <w:pPr>
        <w:tabs>
          <w:tab w:val="left" w:pos="1916"/>
        </w:tabs>
        <w:rPr>
          <w:rFonts w:ascii="Book Antiqua" w:hAnsi="Book Antiqua"/>
        </w:rPr>
      </w:pPr>
      <w:r>
        <w:rPr>
          <w:rFonts w:ascii="Book Antiqua" w:hAnsi="Book Antiqua"/>
          <w:noProof/>
          <w:lang w:bidi="ar-SA"/>
        </w:rPr>
        <w:drawing>
          <wp:inline distT="0" distB="0" distL="0" distR="0" wp14:anchorId="242D436F" wp14:editId="7780BD0E">
            <wp:extent cx="1828800" cy="1219200"/>
            <wp:effectExtent l="19050" t="0" r="0" b="0"/>
            <wp:docPr id="128" name="Picture 27" descr="C:\Users\Mr. Ameko\PROJECTS\2012 DUNYO DEHYDRATOR\DUNYO PJ 2\DUNYO FINAL  AUG 16 2012\projct pic 1\å02_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r. Ameko\PROJECTS\2012 DUNYO DEHYDRATOR\DUNYO PJ 2\DUNYO FINAL  AUG 16 2012\projct pic 1\å02_0652.JPG"/>
                    <pic:cNvPicPr>
                      <a:picLocks noChangeAspect="1" noChangeArrowheads="1"/>
                    </pic:cNvPicPr>
                  </pic:nvPicPr>
                  <pic:blipFill>
                    <a:blip r:embed="rId255" cstate="print"/>
                    <a:srcRect/>
                    <a:stretch>
                      <a:fillRect/>
                    </a:stretch>
                  </pic:blipFill>
                  <pic:spPr bwMode="auto">
                    <a:xfrm>
                      <a:off x="0" y="0"/>
                      <a:ext cx="1828800" cy="1219200"/>
                    </a:xfrm>
                    <a:prstGeom prst="rect">
                      <a:avLst/>
                    </a:prstGeom>
                    <a:noFill/>
                    <a:ln w="9525">
                      <a:noFill/>
                      <a:miter lim="800000"/>
                      <a:headEnd/>
                      <a:tailEnd/>
                    </a:ln>
                  </pic:spPr>
                </pic:pic>
              </a:graphicData>
            </a:graphic>
          </wp:inline>
        </w:drawing>
      </w:r>
    </w:p>
    <w:p w14:paraId="49C524DC" w14:textId="77777777" w:rsidR="002F199C" w:rsidRPr="00E3232D" w:rsidRDefault="002F199C" w:rsidP="008275E1">
      <w:pPr>
        <w:tabs>
          <w:tab w:val="left" w:pos="1916"/>
        </w:tabs>
        <w:rPr>
          <w:rFonts w:ascii="Book Antiqua" w:hAnsi="Book Antiqua"/>
          <w:b/>
        </w:rPr>
      </w:pPr>
      <w:r w:rsidRPr="00E3232D">
        <w:rPr>
          <w:rFonts w:ascii="Book Antiqua" w:hAnsi="Book Antiqua"/>
          <w:b/>
        </w:rPr>
        <w:t xml:space="preserve">Figure 6Tray place holders fixed to the walls of the dehydrator </w:t>
      </w:r>
    </w:p>
    <w:p w14:paraId="2B23EE87" w14:textId="77777777" w:rsidR="002F199C" w:rsidRPr="00E3232D" w:rsidRDefault="007005B1" w:rsidP="008275E1">
      <w:pPr>
        <w:tabs>
          <w:tab w:val="left" w:pos="1916"/>
        </w:tabs>
        <w:rPr>
          <w:rFonts w:ascii="Book Antiqua" w:hAnsi="Book Antiqua"/>
        </w:rPr>
      </w:pPr>
      <w:r>
        <w:rPr>
          <w:rFonts w:ascii="Book Antiqua" w:hAnsi="Book Antiqua"/>
          <w:noProof/>
          <w:lang w:bidi="ar-SA"/>
        </w:rPr>
        <w:drawing>
          <wp:inline distT="0" distB="0" distL="0" distR="0" wp14:anchorId="20E1CA15" wp14:editId="1112552F">
            <wp:extent cx="1828800" cy="1219200"/>
            <wp:effectExtent l="19050" t="0" r="0" b="0"/>
            <wp:docPr id="129" name="Picture 22" descr="C:\Users\Mr. Ameko\PROJECTS\2012 DUNYO DEHYDRATOR\Project pictures\New Folder\102_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r. Ameko\PROJECTS\2012 DUNYO DEHYDRATOR\Project pictures\New Folder\102_0706.JPG"/>
                    <pic:cNvPicPr>
                      <a:picLocks noChangeAspect="1" noChangeArrowheads="1"/>
                    </pic:cNvPicPr>
                  </pic:nvPicPr>
                  <pic:blipFill>
                    <a:blip r:embed="rId256"/>
                    <a:srcRect/>
                    <a:stretch>
                      <a:fillRect/>
                    </a:stretch>
                  </pic:blipFill>
                  <pic:spPr bwMode="auto">
                    <a:xfrm>
                      <a:off x="0" y="0"/>
                      <a:ext cx="1828800" cy="1219200"/>
                    </a:xfrm>
                    <a:prstGeom prst="rect">
                      <a:avLst/>
                    </a:prstGeom>
                    <a:noFill/>
                    <a:ln w="9525">
                      <a:noFill/>
                      <a:miter lim="800000"/>
                      <a:headEnd/>
                      <a:tailEnd/>
                    </a:ln>
                  </pic:spPr>
                </pic:pic>
              </a:graphicData>
            </a:graphic>
          </wp:inline>
        </w:drawing>
      </w:r>
    </w:p>
    <w:p w14:paraId="1C828C62" w14:textId="77777777" w:rsidR="00B86A25" w:rsidRPr="00E3232D" w:rsidRDefault="002F199C" w:rsidP="008275E1">
      <w:pPr>
        <w:tabs>
          <w:tab w:val="left" w:pos="1916"/>
        </w:tabs>
        <w:rPr>
          <w:rFonts w:ascii="Book Antiqua" w:hAnsi="Book Antiqua"/>
          <w:b/>
        </w:rPr>
      </w:pPr>
      <w:r w:rsidRPr="00E3232D">
        <w:rPr>
          <w:rFonts w:ascii="Book Antiqua" w:hAnsi="Book Antiqua"/>
          <w:b/>
        </w:rPr>
        <w:t xml:space="preserve">Figure 7Door fixed to the front panel with hinges </w:t>
      </w:r>
    </w:p>
    <w:p w14:paraId="57504F30" w14:textId="77777777" w:rsidR="002F199C" w:rsidRPr="00E3232D" w:rsidRDefault="002F199C" w:rsidP="00196385">
      <w:pPr>
        <w:pStyle w:val="ListParagraph"/>
        <w:numPr>
          <w:ilvl w:val="2"/>
          <w:numId w:val="83"/>
        </w:numPr>
        <w:tabs>
          <w:tab w:val="left" w:pos="1916"/>
        </w:tabs>
        <w:ind w:hanging="1224"/>
        <w:rPr>
          <w:rFonts w:ascii="Book Antiqua" w:hAnsi="Book Antiqua"/>
          <w:b/>
        </w:rPr>
      </w:pPr>
      <w:r w:rsidRPr="00E3232D">
        <w:rPr>
          <w:rFonts w:ascii="Book Antiqua" w:hAnsi="Book Antiqua"/>
          <w:b/>
        </w:rPr>
        <w:t xml:space="preserve">Workshop processes </w:t>
      </w:r>
    </w:p>
    <w:p w14:paraId="3EFAB822" w14:textId="77777777" w:rsidR="008B47FB" w:rsidRDefault="002F199C" w:rsidP="008214F9">
      <w:pPr>
        <w:jc w:val="both"/>
        <w:rPr>
          <w:rFonts w:ascii="Book Antiqua" w:hAnsi="Book Antiqua"/>
        </w:rPr>
      </w:pPr>
      <w:r w:rsidRPr="00E3232D">
        <w:rPr>
          <w:rFonts w:ascii="Book Antiqua" w:hAnsi="Book Antiqua"/>
        </w:rPr>
        <w:t xml:space="preserve">The 4 feet x 8 feet plywood was cut into various sizes for the various parts of the PWBED (Table 1). The base was placed on a flat surface. The porcelain sockets were laid out on the base and fastened to the base of the box with screws. The wires were fastened to the porcelain sockets. The left side and front side panel were screwed to the base. The thermostat, switch and indicator lights were mounted on the front panel. The wires from the sockets were connected to the thermostat. A 4½ inch hole was cut in the bulkhead. The bulkhead was fixed 5 to 5½ inches from the front panel (figure 4) and fastened in position by two screws through the left side panel. The fan was first positioned between the bulkhead and front panel and was then fixed to the bulkhead so that the fan blades faced the direction of the porcelain sockets (figure 4). The 1½ inch diameter air vent hole in the front panel was centered directly in front of the fan motor, about 1- inch away from the fan motor (figure 5). This allowed the relatively cool room temperature air to pass over the motor and cool it. The right side panel, back panel and top panel were fixed in place using wood glue and wood screws. The heat shield was wrapped in heavy aluminum foil (figure 6). This provided a reﬂective surface to protect the plywood heat shield. It also provided a smooth surface for easier removal of juices that may drip from the drying trays. The heat shield was slid into position over the heating chamber containing the light sockets (figure 7). Drying trays were built using 1” x 1” pieces of wood cut to the required lengths. L-brackets were used to re-enforce the corners of the trays. Wire mesh screen (1 mm) was laid over the finished tray frames (Figures 10).Place holders were fixed to the walls of the right and left panels to hold the trays (Figures 11). A 1½ inch diameter air vent was cut in the middle at the top of the door panel. The door panelwas then fixed with hinges to the front panel (Figures 12). Nine 100 watt incandescent bulbs were fixed in the sockets to provide heat for drying. </w:t>
      </w:r>
    </w:p>
    <w:p w14:paraId="3376C612" w14:textId="77777777" w:rsidR="00BA6CF6" w:rsidRPr="00E3232D" w:rsidRDefault="002F199C" w:rsidP="00462FD1">
      <w:pPr>
        <w:tabs>
          <w:tab w:val="left" w:pos="1916"/>
        </w:tabs>
        <w:jc w:val="both"/>
        <w:rPr>
          <w:rFonts w:ascii="Book Antiqua" w:hAnsi="Book Antiqua"/>
        </w:rPr>
      </w:pPr>
      <w:r w:rsidRPr="00E3232D">
        <w:rPr>
          <w:rFonts w:ascii="Book Antiqua" w:hAnsi="Book Antiqua"/>
        </w:rPr>
        <w:t xml:space="preserve">The completed dehydrator had inner dimension of 17.5 x 23.5 x 13.75 inches, and five stackable removable wire mesh trays for drying. The PWBED is a vertical airflow dehydrator. Air enters the base of the dehydrator through the 1½ inch diameter air vent in the front panel and is warmed by radiating heat from the nine lighted 100 watts incandescent bulbs at the base. The CPU fan at the base circulates the warm air which then rises through the trays and exits through the 1½ inch diameter air vent at the top of the door. </w:t>
      </w:r>
    </w:p>
    <w:p w14:paraId="6E997295" w14:textId="77777777" w:rsidR="002F199C" w:rsidRPr="004F284F" w:rsidRDefault="004F284F" w:rsidP="004F284F">
      <w:pPr>
        <w:tabs>
          <w:tab w:val="left" w:pos="1916"/>
        </w:tabs>
        <w:rPr>
          <w:rFonts w:ascii="Book Antiqua" w:hAnsi="Book Antiqua"/>
          <w:b/>
        </w:rPr>
      </w:pPr>
      <w:r>
        <w:rPr>
          <w:rFonts w:ascii="Book Antiqua" w:hAnsi="Book Antiqua"/>
          <w:b/>
        </w:rPr>
        <w:t xml:space="preserve">2.4 </w:t>
      </w:r>
      <w:r w:rsidR="002F199C" w:rsidRPr="004F284F">
        <w:rPr>
          <w:rFonts w:ascii="Book Antiqua" w:hAnsi="Book Antiqua"/>
          <w:b/>
        </w:rPr>
        <w:t xml:space="preserve">Comparative performance assessment of the PWBED to that of a standard laboratory oven </w:t>
      </w:r>
    </w:p>
    <w:p w14:paraId="0FCDBA5D" w14:textId="77777777" w:rsidR="002F199C" w:rsidRDefault="002F199C" w:rsidP="00462FD1">
      <w:pPr>
        <w:jc w:val="both"/>
        <w:rPr>
          <w:rFonts w:ascii="Book Antiqua" w:hAnsi="Book Antiqua"/>
        </w:rPr>
      </w:pPr>
      <w:r w:rsidRPr="00E3232D">
        <w:rPr>
          <w:rFonts w:ascii="Book Antiqua" w:hAnsi="Book Antiqua"/>
        </w:rPr>
        <w:t xml:space="preserve">The oven used for the comparative tests was a standard laboratory electric oven (Genlab Model G63-CF, 2KW, 240V AC). It is a horizontal flow with forced convection. It has been used for over ten years now in the Chemistry Laboratory of Accra Polytechnic and has undergone a series of maintenances over its lifespan. </w:t>
      </w:r>
    </w:p>
    <w:p w14:paraId="62733B8E" w14:textId="77777777" w:rsidR="009528DC" w:rsidRDefault="009528DC" w:rsidP="008275E1">
      <w:pPr>
        <w:rPr>
          <w:rFonts w:ascii="Book Antiqua" w:hAnsi="Book Antiqua"/>
        </w:rPr>
      </w:pPr>
    </w:p>
    <w:p w14:paraId="79C09225" w14:textId="77777777" w:rsidR="008214F9" w:rsidRPr="00E3232D" w:rsidRDefault="008214F9" w:rsidP="008275E1">
      <w:pPr>
        <w:rPr>
          <w:rFonts w:ascii="Book Antiqua" w:hAnsi="Book Antiqua"/>
        </w:rPr>
      </w:pPr>
    </w:p>
    <w:p w14:paraId="6BB3944B" w14:textId="77777777" w:rsidR="002F199C" w:rsidRPr="004F284F" w:rsidRDefault="004F284F" w:rsidP="004F284F">
      <w:pPr>
        <w:tabs>
          <w:tab w:val="left" w:pos="1916"/>
        </w:tabs>
        <w:rPr>
          <w:rFonts w:ascii="Book Antiqua" w:hAnsi="Book Antiqua"/>
          <w:b/>
        </w:rPr>
      </w:pPr>
      <w:r>
        <w:rPr>
          <w:rFonts w:ascii="Book Antiqua" w:hAnsi="Book Antiqua"/>
          <w:b/>
        </w:rPr>
        <w:t xml:space="preserve">2.4.1 </w:t>
      </w:r>
      <w:r w:rsidR="002F199C" w:rsidRPr="004F284F">
        <w:rPr>
          <w:rFonts w:ascii="Book Antiqua" w:hAnsi="Book Antiqua"/>
          <w:b/>
        </w:rPr>
        <w:t xml:space="preserve">Percent moisture content and percent moisture loss </w:t>
      </w:r>
    </w:p>
    <w:p w14:paraId="634CEF04" w14:textId="77777777" w:rsidR="002F199C" w:rsidRPr="00E3232D" w:rsidRDefault="002F199C" w:rsidP="00462FD1">
      <w:pPr>
        <w:jc w:val="both"/>
        <w:rPr>
          <w:rFonts w:ascii="Book Antiqua" w:hAnsi="Book Antiqua"/>
        </w:rPr>
      </w:pPr>
      <w:r w:rsidRPr="00E3232D">
        <w:rPr>
          <w:rFonts w:ascii="Book Antiqua" w:hAnsi="Book Antiqua"/>
        </w:rPr>
        <w:t>The initial weight (Mass</w:t>
      </w:r>
      <w:r w:rsidRPr="00E3232D">
        <w:rPr>
          <w:rFonts w:ascii="Book Antiqua" w:hAnsi="Book Antiqua"/>
          <w:vertAlign w:val="subscript"/>
        </w:rPr>
        <w:t>init</w:t>
      </w:r>
      <w:r w:rsidRPr="00E3232D">
        <w:rPr>
          <w:rFonts w:ascii="Book Antiqua" w:hAnsi="Book Antiqua"/>
        </w:rPr>
        <w:t>) of slices of tomatoes was determined. The tomato slices were placed in the PWBED at 105</w:t>
      </w:r>
      <w:r w:rsidRPr="00E3232D">
        <w:rPr>
          <w:rFonts w:ascii="Book Antiqua" w:hAnsi="Book Antiqua"/>
          <w:vertAlign w:val="superscript"/>
        </w:rPr>
        <w:t>o</w:t>
      </w:r>
      <w:r w:rsidRPr="00E3232D">
        <w:rPr>
          <w:rFonts w:ascii="Book Antiqua" w:hAnsi="Book Antiqua"/>
        </w:rPr>
        <w:t>C and at hourly intervals the current weight (Mass</w:t>
      </w:r>
      <w:r w:rsidRPr="00E3232D">
        <w:rPr>
          <w:rFonts w:ascii="Book Antiqua" w:hAnsi="Book Antiqua"/>
          <w:vertAlign w:val="subscript"/>
        </w:rPr>
        <w:t>curr</w:t>
      </w:r>
      <w:r w:rsidRPr="00E3232D">
        <w:rPr>
          <w:rFonts w:ascii="Book Antiqua" w:hAnsi="Book Antiqua"/>
        </w:rPr>
        <w:t xml:space="preserve">) of the drying sample was determined. Drying continue until a constant weight was obtained. The same was done with the oven using separate samples of tomato slices. The percent moisture content and percent moisture loss were determined from the formulae: </w:t>
      </w:r>
    </w:p>
    <w:p w14:paraId="197A4A57" w14:textId="77777777" w:rsidR="002F199C" w:rsidRPr="00E3232D" w:rsidRDefault="002F199C" w:rsidP="008275E1">
      <w:pPr>
        <w:rPr>
          <w:rFonts w:ascii="Book Antiqua" w:hAnsi="Book Antiqua"/>
        </w:rPr>
      </w:pPr>
      <w:r w:rsidRPr="00E3232D">
        <w:rPr>
          <w:rFonts w:ascii="Book Antiqua" w:hAnsi="Book Antiqua"/>
        </w:rPr>
        <w:t>Percentmoisture content (% mc) = [(Mass</w:t>
      </w:r>
      <w:r w:rsidRPr="00E3232D">
        <w:rPr>
          <w:rFonts w:ascii="Book Antiqua" w:hAnsi="Book Antiqua"/>
          <w:vertAlign w:val="subscript"/>
        </w:rPr>
        <w:t>init</w:t>
      </w:r>
      <w:r w:rsidRPr="00E3232D">
        <w:rPr>
          <w:rFonts w:ascii="Book Antiqua" w:hAnsi="Book Antiqua"/>
        </w:rPr>
        <w:t>-Mass</w:t>
      </w:r>
      <w:r w:rsidRPr="00E3232D">
        <w:rPr>
          <w:rFonts w:ascii="Book Antiqua" w:hAnsi="Book Antiqua"/>
          <w:vertAlign w:val="subscript"/>
        </w:rPr>
        <w:t>curr</w:t>
      </w:r>
      <w:r w:rsidRPr="00E3232D">
        <w:rPr>
          <w:rFonts w:ascii="Book Antiqua" w:hAnsi="Book Antiqua"/>
        </w:rPr>
        <w:t>)/Mass</w:t>
      </w:r>
      <w:r w:rsidRPr="00E3232D">
        <w:rPr>
          <w:rFonts w:ascii="Book Antiqua" w:hAnsi="Book Antiqua"/>
          <w:vertAlign w:val="subscript"/>
        </w:rPr>
        <w:t>init</w:t>
      </w:r>
      <w:r w:rsidRPr="00E3232D">
        <w:rPr>
          <w:rFonts w:ascii="Book Antiqua" w:hAnsi="Book Antiqua"/>
        </w:rPr>
        <w:t xml:space="preserve">] x 100% </w:t>
      </w:r>
      <w:r w:rsidRPr="00E3232D">
        <w:rPr>
          <w:rFonts w:ascii="Book Antiqua" w:hAnsi="Book Antiqua"/>
        </w:rPr>
        <w:tab/>
      </w:r>
      <w:r w:rsidRPr="00E3232D">
        <w:rPr>
          <w:rFonts w:ascii="Book Antiqua" w:hAnsi="Book Antiqua"/>
        </w:rPr>
        <w:tab/>
        <w:t xml:space="preserve">(1) </w:t>
      </w:r>
    </w:p>
    <w:p w14:paraId="0382B5F0" w14:textId="77777777" w:rsidR="002F199C" w:rsidRDefault="002F199C" w:rsidP="008275E1">
      <w:pPr>
        <w:rPr>
          <w:rFonts w:ascii="Book Antiqua" w:hAnsi="Book Antiqua"/>
        </w:rPr>
      </w:pPr>
      <w:r w:rsidRPr="00E3232D">
        <w:rPr>
          <w:rFonts w:ascii="Book Antiqua" w:hAnsi="Book Antiqua"/>
        </w:rPr>
        <w:t xml:space="preserve">Percent moisture loss = (100% - % mc) (2) </w:t>
      </w:r>
    </w:p>
    <w:p w14:paraId="488A72DB" w14:textId="77777777" w:rsidR="009528DC" w:rsidRPr="00E3232D" w:rsidRDefault="009528DC" w:rsidP="008275E1">
      <w:pPr>
        <w:rPr>
          <w:rFonts w:ascii="Book Antiqua" w:hAnsi="Book Antiqua"/>
        </w:rPr>
      </w:pPr>
    </w:p>
    <w:p w14:paraId="02651E05" w14:textId="77777777" w:rsidR="002F199C" w:rsidRPr="009528DC" w:rsidRDefault="002F199C" w:rsidP="00196385">
      <w:pPr>
        <w:pStyle w:val="ListParagraph"/>
        <w:numPr>
          <w:ilvl w:val="2"/>
          <w:numId w:val="155"/>
        </w:numPr>
        <w:tabs>
          <w:tab w:val="left" w:pos="1916"/>
        </w:tabs>
        <w:rPr>
          <w:rFonts w:ascii="Book Antiqua" w:hAnsi="Book Antiqua"/>
          <w:b/>
        </w:rPr>
      </w:pPr>
      <w:r w:rsidRPr="009528DC">
        <w:rPr>
          <w:rFonts w:ascii="Book Antiqua" w:hAnsi="Book Antiqua"/>
          <w:b/>
        </w:rPr>
        <w:t xml:space="preserve">Total moisture content (g) </w:t>
      </w:r>
    </w:p>
    <w:p w14:paraId="7C3D4CDA" w14:textId="77777777" w:rsidR="009528DC" w:rsidRPr="00462FD1" w:rsidRDefault="002F199C" w:rsidP="00462FD1">
      <w:pPr>
        <w:jc w:val="both"/>
        <w:rPr>
          <w:rFonts w:ascii="Book Antiqua" w:hAnsi="Book Antiqua"/>
        </w:rPr>
      </w:pPr>
      <w:r w:rsidRPr="00E3232D">
        <w:rPr>
          <w:rFonts w:ascii="Book Antiqua" w:hAnsi="Book Antiqua"/>
        </w:rPr>
        <w:t xml:space="preserve">The total moisture content (g) of the tomato slices was determined by multiplying the percent moisture content of the tomato slices at constant drying weight by the initial weight of the tomato slices. The same was done with the oven dried samples. </w:t>
      </w:r>
    </w:p>
    <w:p w14:paraId="56BA3963" w14:textId="77777777" w:rsidR="002F199C" w:rsidRPr="009528DC" w:rsidRDefault="009528DC" w:rsidP="009528DC">
      <w:pPr>
        <w:tabs>
          <w:tab w:val="left" w:pos="1916"/>
        </w:tabs>
        <w:rPr>
          <w:rFonts w:ascii="Book Antiqua" w:hAnsi="Book Antiqua"/>
          <w:b/>
        </w:rPr>
      </w:pPr>
      <w:r>
        <w:rPr>
          <w:rFonts w:ascii="Book Antiqua" w:hAnsi="Book Antiqua"/>
          <w:b/>
        </w:rPr>
        <w:t>2.4.3</w:t>
      </w:r>
      <w:r w:rsidR="002F199C" w:rsidRPr="009528DC">
        <w:rPr>
          <w:rFonts w:ascii="Book Antiqua" w:hAnsi="Book Antiqua"/>
          <w:b/>
        </w:rPr>
        <w:t xml:space="preserve">Residual moisture content of food at specific drying times </w:t>
      </w:r>
    </w:p>
    <w:p w14:paraId="413874FD" w14:textId="77777777" w:rsidR="007D5DCE" w:rsidRPr="00462FD1" w:rsidRDefault="002F199C" w:rsidP="00462FD1">
      <w:pPr>
        <w:jc w:val="both"/>
        <w:rPr>
          <w:rFonts w:ascii="Book Antiqua" w:hAnsi="Book Antiqua"/>
        </w:rPr>
      </w:pPr>
      <w:r w:rsidRPr="00E3232D">
        <w:rPr>
          <w:rFonts w:ascii="Book Antiqua" w:hAnsi="Book Antiqua"/>
        </w:rPr>
        <w:t xml:space="preserve">The mass of residual moisture of the slices at specific drying times was determined by multiplying the percent moisture content of the tomato slices at the specific times by the initial weight of the tomato slices. The same was done with the oven dried samples. </w:t>
      </w:r>
    </w:p>
    <w:p w14:paraId="2DECE893" w14:textId="77777777" w:rsidR="002F199C" w:rsidRPr="009528DC" w:rsidRDefault="009528DC" w:rsidP="009528DC">
      <w:pPr>
        <w:tabs>
          <w:tab w:val="left" w:pos="1916"/>
        </w:tabs>
        <w:rPr>
          <w:rFonts w:ascii="Book Antiqua" w:hAnsi="Book Antiqua"/>
          <w:b/>
        </w:rPr>
      </w:pPr>
      <w:r>
        <w:rPr>
          <w:rFonts w:ascii="Book Antiqua" w:hAnsi="Book Antiqua"/>
          <w:b/>
        </w:rPr>
        <w:t xml:space="preserve">2.4.4 </w:t>
      </w:r>
      <w:r w:rsidR="002F199C" w:rsidRPr="009528DC">
        <w:rPr>
          <w:rFonts w:ascii="Book Antiqua" w:hAnsi="Book Antiqua"/>
          <w:b/>
        </w:rPr>
        <w:t>Mass of moisture</w:t>
      </w:r>
      <w:r w:rsidR="00DB7054">
        <w:rPr>
          <w:rFonts w:ascii="Book Antiqua" w:hAnsi="Book Antiqua"/>
          <w:b/>
        </w:rPr>
        <w:t xml:space="preserve"> </w:t>
      </w:r>
      <w:r w:rsidR="002F199C" w:rsidRPr="009528DC">
        <w:rPr>
          <w:rFonts w:ascii="Book Antiqua" w:hAnsi="Book Antiqua"/>
          <w:b/>
        </w:rPr>
        <w:t xml:space="preserve">(g) removed from food at specific drying times </w:t>
      </w:r>
    </w:p>
    <w:p w14:paraId="74A320FF" w14:textId="77777777" w:rsidR="007D5DCE" w:rsidRPr="00462FD1" w:rsidRDefault="002F199C" w:rsidP="00462FD1">
      <w:pPr>
        <w:jc w:val="both"/>
        <w:rPr>
          <w:rFonts w:ascii="Book Antiqua" w:hAnsi="Book Antiqua"/>
        </w:rPr>
      </w:pPr>
      <w:r w:rsidRPr="00E3232D">
        <w:rPr>
          <w:rFonts w:ascii="Book Antiqua" w:hAnsi="Book Antiqua"/>
        </w:rPr>
        <w:t xml:space="preserve">The mass of water removed from the slices at specific drying times was determined by multiplying the percent moisture loss of the tomato slices at the specific times by the initial weight of the tomato slices. The same was done with the oven dried samples. </w:t>
      </w:r>
    </w:p>
    <w:p w14:paraId="3135CF6C" w14:textId="77777777" w:rsidR="002F199C" w:rsidRPr="00DB7054" w:rsidRDefault="00DB7054" w:rsidP="00DB7054">
      <w:pPr>
        <w:tabs>
          <w:tab w:val="left" w:pos="1916"/>
        </w:tabs>
        <w:rPr>
          <w:rFonts w:ascii="Book Antiqua" w:hAnsi="Book Antiqua"/>
          <w:b/>
        </w:rPr>
      </w:pPr>
      <w:r>
        <w:rPr>
          <w:rFonts w:ascii="Book Antiqua" w:hAnsi="Book Antiqua"/>
          <w:b/>
        </w:rPr>
        <w:t xml:space="preserve">2.4.5 </w:t>
      </w:r>
      <w:r w:rsidR="002F199C" w:rsidRPr="00DB7054">
        <w:rPr>
          <w:rFonts w:ascii="Book Antiqua" w:hAnsi="Book Antiqua"/>
          <w:b/>
        </w:rPr>
        <w:t xml:space="preserve">Energy (J) absorbed by moisture in food during drying </w:t>
      </w:r>
    </w:p>
    <w:p w14:paraId="78633494" w14:textId="77777777" w:rsidR="002F199C" w:rsidRPr="00E3232D" w:rsidRDefault="002F199C" w:rsidP="008275E1">
      <w:pPr>
        <w:rPr>
          <w:rFonts w:ascii="Book Antiqua" w:hAnsi="Book Antiqua"/>
        </w:rPr>
      </w:pPr>
      <w:r w:rsidRPr="00E3232D">
        <w:rPr>
          <w:rFonts w:ascii="Book Antiqua" w:hAnsi="Book Antiqua"/>
        </w:rPr>
        <w:t xml:space="preserve">This was calculated from the mass of residual moisture by the formula: </w:t>
      </w:r>
    </w:p>
    <w:p w14:paraId="10E50383" w14:textId="77777777" w:rsidR="002F199C" w:rsidRPr="00E3232D" w:rsidRDefault="002F199C" w:rsidP="00050BBA">
      <w:pPr>
        <w:jc w:val="both"/>
        <w:rPr>
          <w:rFonts w:ascii="Book Antiqua" w:hAnsi="Book Antiqua"/>
        </w:rPr>
      </w:pPr>
      <w:r w:rsidRPr="00E3232D">
        <w:rPr>
          <w:rFonts w:ascii="Book Antiqua" w:hAnsi="Book Antiqua"/>
        </w:rPr>
        <w:t>E (J) = mcΔT</w:t>
      </w:r>
      <w:r w:rsidRPr="00E3232D">
        <w:rPr>
          <w:rFonts w:ascii="Book Antiqua" w:hAnsi="Book Antiqua"/>
        </w:rPr>
        <w:tab/>
      </w:r>
      <w:r w:rsidRPr="00E3232D">
        <w:rPr>
          <w:rFonts w:ascii="Book Antiqua" w:hAnsi="Book Antiqua"/>
        </w:rPr>
        <w:tab/>
      </w:r>
      <w:r w:rsidRPr="00E3232D">
        <w:rPr>
          <w:rFonts w:ascii="Book Antiqua" w:hAnsi="Book Antiqua"/>
        </w:rPr>
        <w:tab/>
      </w:r>
      <w:r w:rsidRPr="00E3232D">
        <w:rPr>
          <w:rFonts w:ascii="Book Antiqua" w:hAnsi="Book Antiqua"/>
        </w:rPr>
        <w:tab/>
        <w:t xml:space="preserve">(3) </w:t>
      </w:r>
    </w:p>
    <w:p w14:paraId="3CC461E0" w14:textId="77777777" w:rsidR="002F199C" w:rsidRPr="00E3232D" w:rsidRDefault="002F199C" w:rsidP="00050BBA">
      <w:pPr>
        <w:jc w:val="both"/>
        <w:rPr>
          <w:rFonts w:ascii="Book Antiqua" w:hAnsi="Book Antiqua"/>
        </w:rPr>
      </w:pPr>
      <w:r w:rsidRPr="00E3232D">
        <w:rPr>
          <w:rFonts w:ascii="Book Antiqua" w:hAnsi="Book Antiqua"/>
        </w:rPr>
        <w:t xml:space="preserve">E - Energy absorbed by water in food (J) </w:t>
      </w:r>
    </w:p>
    <w:p w14:paraId="54EBAB6F" w14:textId="77777777" w:rsidR="002F199C" w:rsidRPr="00E3232D" w:rsidRDefault="002F199C" w:rsidP="00050BBA">
      <w:pPr>
        <w:jc w:val="both"/>
        <w:rPr>
          <w:rFonts w:ascii="Book Antiqua" w:hAnsi="Book Antiqua"/>
        </w:rPr>
      </w:pPr>
      <w:r w:rsidRPr="00E3232D">
        <w:rPr>
          <w:rFonts w:ascii="Book Antiqua" w:hAnsi="Book Antiqua"/>
        </w:rPr>
        <w:t xml:space="preserve">m - Mass of residual moisture in food (g) </w:t>
      </w:r>
    </w:p>
    <w:p w14:paraId="701CB217" w14:textId="77777777" w:rsidR="002F199C" w:rsidRPr="00E3232D" w:rsidRDefault="002F199C" w:rsidP="00050BBA">
      <w:pPr>
        <w:jc w:val="both"/>
        <w:rPr>
          <w:rFonts w:ascii="Book Antiqua" w:hAnsi="Book Antiqua"/>
        </w:rPr>
      </w:pPr>
      <w:r w:rsidRPr="00E3232D">
        <w:rPr>
          <w:rFonts w:ascii="Book Antiqua" w:hAnsi="Book Antiqua"/>
        </w:rPr>
        <w:t xml:space="preserve">c – Specific heat capacity of water (J/g) </w:t>
      </w:r>
    </w:p>
    <w:p w14:paraId="17E9045C" w14:textId="77777777" w:rsidR="002F199C" w:rsidRPr="00E3232D" w:rsidRDefault="002F199C" w:rsidP="00050BBA">
      <w:pPr>
        <w:jc w:val="both"/>
        <w:rPr>
          <w:rFonts w:ascii="Book Antiqua" w:hAnsi="Book Antiqua"/>
        </w:rPr>
      </w:pPr>
      <w:r w:rsidRPr="00E3232D">
        <w:rPr>
          <w:rFonts w:ascii="Book Antiqua" w:hAnsi="Book Antiqua"/>
        </w:rPr>
        <w:t xml:space="preserve">ΔTemp= T </w:t>
      </w:r>
      <w:r w:rsidRPr="00E3232D">
        <w:rPr>
          <w:rFonts w:ascii="Book Antiqua" w:hAnsi="Book Antiqua"/>
          <w:vertAlign w:val="subscript"/>
        </w:rPr>
        <w:t>Fin</w:t>
      </w:r>
      <w:r w:rsidRPr="00E3232D">
        <w:rPr>
          <w:rFonts w:ascii="Book Antiqua" w:hAnsi="Book Antiqua"/>
        </w:rPr>
        <w:t xml:space="preserve"> – T </w:t>
      </w:r>
      <w:r w:rsidRPr="00E3232D">
        <w:rPr>
          <w:rFonts w:ascii="Book Antiqua" w:hAnsi="Book Antiqua"/>
          <w:vertAlign w:val="subscript"/>
        </w:rPr>
        <w:t>Init</w:t>
      </w:r>
      <w:r w:rsidRPr="00E3232D">
        <w:rPr>
          <w:rFonts w:ascii="Book Antiqua" w:hAnsi="Book Antiqua"/>
        </w:rPr>
        <w:tab/>
      </w:r>
      <w:r w:rsidRPr="00E3232D">
        <w:rPr>
          <w:rFonts w:ascii="Book Antiqua" w:hAnsi="Book Antiqua"/>
        </w:rPr>
        <w:tab/>
      </w:r>
      <w:r w:rsidRPr="00E3232D">
        <w:rPr>
          <w:rFonts w:ascii="Book Antiqua" w:hAnsi="Book Antiqua"/>
        </w:rPr>
        <w:tab/>
        <w:t xml:space="preserve">(4) </w:t>
      </w:r>
    </w:p>
    <w:p w14:paraId="6158F564" w14:textId="77777777" w:rsidR="007D5DCE" w:rsidRPr="00462FD1" w:rsidRDefault="002F199C" w:rsidP="00462FD1">
      <w:pPr>
        <w:rPr>
          <w:rFonts w:ascii="Book Antiqua" w:hAnsi="Book Antiqua"/>
        </w:rPr>
      </w:pPr>
      <w:r w:rsidRPr="00E3232D">
        <w:rPr>
          <w:rFonts w:ascii="Book Antiqua" w:hAnsi="Book Antiqua"/>
        </w:rPr>
        <w:t xml:space="preserve">Where: </w:t>
      </w:r>
      <w:r w:rsidRPr="00E3232D">
        <w:rPr>
          <w:rFonts w:ascii="Book Antiqua" w:hAnsi="Book Antiqua"/>
        </w:rPr>
        <w:tab/>
        <w:t xml:space="preserve">T </w:t>
      </w:r>
      <w:r w:rsidRPr="00E3232D">
        <w:rPr>
          <w:rFonts w:ascii="Book Antiqua" w:hAnsi="Book Antiqua"/>
          <w:vertAlign w:val="subscript"/>
        </w:rPr>
        <w:t>Fin</w:t>
      </w:r>
      <w:r w:rsidRPr="00E3232D">
        <w:rPr>
          <w:rFonts w:ascii="Book Antiqua" w:hAnsi="Book Antiqua"/>
        </w:rPr>
        <w:t xml:space="preserve"> – 105</w:t>
      </w:r>
      <w:r w:rsidRPr="00E3232D">
        <w:rPr>
          <w:rFonts w:ascii="Book Antiqua" w:hAnsi="Book Antiqua"/>
          <w:vertAlign w:val="superscript"/>
        </w:rPr>
        <w:t>o</w:t>
      </w:r>
      <w:r w:rsidRPr="00E3232D">
        <w:rPr>
          <w:rFonts w:ascii="Book Antiqua" w:hAnsi="Book Antiqua"/>
        </w:rPr>
        <w:t xml:space="preserve">C and T </w:t>
      </w:r>
      <w:r w:rsidRPr="00E3232D">
        <w:rPr>
          <w:rFonts w:ascii="Book Antiqua" w:hAnsi="Book Antiqua"/>
          <w:vertAlign w:val="subscript"/>
        </w:rPr>
        <w:t>Init</w:t>
      </w:r>
      <w:r w:rsidRPr="00E3232D">
        <w:rPr>
          <w:rFonts w:ascii="Book Antiqua" w:hAnsi="Book Antiqua"/>
        </w:rPr>
        <w:t xml:space="preserve"> – 25</w:t>
      </w:r>
      <w:r w:rsidRPr="00E3232D">
        <w:rPr>
          <w:rFonts w:ascii="Book Antiqua" w:hAnsi="Book Antiqua"/>
          <w:vertAlign w:val="superscript"/>
        </w:rPr>
        <w:t>o</w:t>
      </w:r>
      <w:r w:rsidRPr="00E3232D">
        <w:rPr>
          <w:rFonts w:ascii="Book Antiqua" w:hAnsi="Book Antiqua"/>
        </w:rPr>
        <w:t xml:space="preserve">C </w:t>
      </w:r>
    </w:p>
    <w:p w14:paraId="2CCAF178" w14:textId="77777777" w:rsidR="002F199C" w:rsidRPr="007D5DCE" w:rsidRDefault="007D5DCE" w:rsidP="007D5DCE">
      <w:pPr>
        <w:tabs>
          <w:tab w:val="left" w:pos="1916"/>
        </w:tabs>
        <w:rPr>
          <w:rFonts w:ascii="Book Antiqua" w:hAnsi="Book Antiqua"/>
          <w:b/>
        </w:rPr>
      </w:pPr>
      <w:r>
        <w:rPr>
          <w:rFonts w:ascii="Book Antiqua" w:hAnsi="Book Antiqua"/>
          <w:b/>
        </w:rPr>
        <w:t xml:space="preserve">2.4.6 </w:t>
      </w:r>
      <w:r w:rsidR="002F199C" w:rsidRPr="007D5DCE">
        <w:rPr>
          <w:rFonts w:ascii="Book Antiqua" w:hAnsi="Book Antiqua"/>
          <w:b/>
        </w:rPr>
        <w:t xml:space="preserve">Energy (J) used in evaporating moisture from food during drying </w:t>
      </w:r>
    </w:p>
    <w:p w14:paraId="009E50E7" w14:textId="77777777" w:rsidR="002F199C" w:rsidRPr="00E3232D" w:rsidRDefault="002F199C" w:rsidP="008275E1">
      <w:pPr>
        <w:rPr>
          <w:rFonts w:ascii="Book Antiqua" w:hAnsi="Book Antiqua"/>
        </w:rPr>
      </w:pPr>
      <w:r w:rsidRPr="00E3232D">
        <w:rPr>
          <w:rFonts w:ascii="Book Antiqua" w:hAnsi="Book Antiqua"/>
        </w:rPr>
        <w:t xml:space="preserve">This was calculated from the mass of moisture removed by the formula: </w:t>
      </w:r>
    </w:p>
    <w:p w14:paraId="54926C42" w14:textId="77777777" w:rsidR="002F199C" w:rsidRPr="00E3232D" w:rsidRDefault="002F199C" w:rsidP="008275E1">
      <w:pPr>
        <w:rPr>
          <w:rFonts w:ascii="Book Antiqua" w:hAnsi="Book Antiqua"/>
        </w:rPr>
      </w:pPr>
      <w:r w:rsidRPr="00E3232D">
        <w:rPr>
          <w:rFonts w:ascii="Book Antiqua" w:hAnsi="Book Antiqua"/>
        </w:rPr>
        <w:t>E (J) = mcΔT</w:t>
      </w:r>
    </w:p>
    <w:p w14:paraId="104FFE9E" w14:textId="77777777" w:rsidR="002F199C" w:rsidRPr="00E3232D" w:rsidRDefault="002F199C" w:rsidP="008275E1">
      <w:pPr>
        <w:rPr>
          <w:rFonts w:ascii="Book Antiqua" w:hAnsi="Book Antiqua"/>
        </w:rPr>
      </w:pPr>
      <w:r w:rsidRPr="00E3232D">
        <w:rPr>
          <w:rFonts w:ascii="Book Antiqua" w:hAnsi="Book Antiqua"/>
        </w:rPr>
        <w:t xml:space="preserve">m - Mass of moisture removed from food (g) </w:t>
      </w:r>
    </w:p>
    <w:p w14:paraId="67E79BC8" w14:textId="77777777" w:rsidR="002F199C" w:rsidRDefault="002F199C" w:rsidP="008275E1">
      <w:pPr>
        <w:rPr>
          <w:rFonts w:ascii="Book Antiqua" w:hAnsi="Book Antiqua"/>
        </w:rPr>
      </w:pPr>
      <w:r w:rsidRPr="00E3232D">
        <w:rPr>
          <w:rFonts w:ascii="Book Antiqua" w:hAnsi="Book Antiqua"/>
        </w:rPr>
        <w:t xml:space="preserve">Where: T </w:t>
      </w:r>
      <w:r w:rsidRPr="00E3232D">
        <w:rPr>
          <w:rFonts w:ascii="Book Antiqua" w:hAnsi="Book Antiqua"/>
          <w:vertAlign w:val="subscript"/>
        </w:rPr>
        <w:t>Fin</w:t>
      </w:r>
      <w:r w:rsidRPr="00E3232D">
        <w:rPr>
          <w:rFonts w:ascii="Book Antiqua" w:hAnsi="Book Antiqua"/>
        </w:rPr>
        <w:t xml:space="preserve"> – 105</w:t>
      </w:r>
      <w:r w:rsidRPr="00E3232D">
        <w:rPr>
          <w:rFonts w:ascii="Book Antiqua" w:hAnsi="Book Antiqua"/>
          <w:vertAlign w:val="superscript"/>
        </w:rPr>
        <w:t>o</w:t>
      </w:r>
      <w:r w:rsidRPr="00E3232D">
        <w:rPr>
          <w:rFonts w:ascii="Book Antiqua" w:hAnsi="Book Antiqua"/>
        </w:rPr>
        <w:t xml:space="preserve">C and T </w:t>
      </w:r>
      <w:r w:rsidRPr="00E3232D">
        <w:rPr>
          <w:rFonts w:ascii="Book Antiqua" w:hAnsi="Book Antiqua"/>
          <w:vertAlign w:val="subscript"/>
        </w:rPr>
        <w:t>Init</w:t>
      </w:r>
      <w:r w:rsidRPr="00E3232D">
        <w:rPr>
          <w:rFonts w:ascii="Book Antiqua" w:hAnsi="Book Antiqua"/>
        </w:rPr>
        <w:t xml:space="preserve"> – 25</w:t>
      </w:r>
      <w:r w:rsidRPr="00E3232D">
        <w:rPr>
          <w:rFonts w:ascii="Book Antiqua" w:hAnsi="Book Antiqua"/>
          <w:vertAlign w:val="superscript"/>
        </w:rPr>
        <w:t>o</w:t>
      </w:r>
      <w:r w:rsidRPr="00E3232D">
        <w:rPr>
          <w:rFonts w:ascii="Book Antiqua" w:hAnsi="Book Antiqua"/>
        </w:rPr>
        <w:t xml:space="preserve">C </w:t>
      </w:r>
    </w:p>
    <w:p w14:paraId="3B504430" w14:textId="77777777" w:rsidR="007D5DCE" w:rsidRPr="00E3232D" w:rsidRDefault="007D5DCE" w:rsidP="006E25F9">
      <w:pPr>
        <w:spacing w:after="0"/>
        <w:rPr>
          <w:rFonts w:ascii="Book Antiqua" w:hAnsi="Book Antiqua"/>
        </w:rPr>
      </w:pPr>
    </w:p>
    <w:p w14:paraId="1154BAEF" w14:textId="77777777" w:rsidR="002F199C" w:rsidRPr="007D5DCE" w:rsidRDefault="002F199C" w:rsidP="00196385">
      <w:pPr>
        <w:pStyle w:val="ListParagraph"/>
        <w:numPr>
          <w:ilvl w:val="2"/>
          <w:numId w:val="156"/>
        </w:numPr>
        <w:tabs>
          <w:tab w:val="left" w:pos="1916"/>
        </w:tabs>
        <w:rPr>
          <w:rFonts w:ascii="Book Antiqua" w:hAnsi="Book Antiqua"/>
          <w:b/>
        </w:rPr>
      </w:pPr>
      <w:r w:rsidRPr="007D5DCE">
        <w:rPr>
          <w:rFonts w:ascii="Book Antiqua" w:hAnsi="Book Antiqua"/>
          <w:b/>
        </w:rPr>
        <w:t>Efficiency of drying equipment</w:t>
      </w:r>
    </w:p>
    <w:p w14:paraId="7A941FF6" w14:textId="77777777" w:rsidR="002F199C" w:rsidRPr="00E3232D" w:rsidRDefault="002F199C" w:rsidP="008275E1">
      <w:pPr>
        <w:rPr>
          <w:rFonts w:ascii="Book Antiqua" w:hAnsi="Book Antiqua"/>
        </w:rPr>
      </w:pPr>
      <w:r w:rsidRPr="00E3232D">
        <w:rPr>
          <w:rFonts w:ascii="Book Antiqua" w:hAnsi="Book Antiqua"/>
        </w:rPr>
        <w:t xml:space="preserve">This was calculated at hourly intervals by the formula: </w:t>
      </w:r>
    </w:p>
    <w:p w14:paraId="1F9B28F7" w14:textId="77777777" w:rsidR="002F199C" w:rsidRPr="00E3232D" w:rsidRDefault="002F199C" w:rsidP="008275E1">
      <w:pPr>
        <w:rPr>
          <w:rFonts w:ascii="Book Antiqua" w:hAnsi="Book Antiqua"/>
        </w:rPr>
      </w:pPr>
      <w:r w:rsidRPr="00E3232D">
        <w:rPr>
          <w:rFonts w:ascii="Book Antiqua" w:hAnsi="Book Antiqua"/>
        </w:rPr>
        <w:t xml:space="preserve">(5) </w:t>
      </w:r>
    </w:p>
    <w:p w14:paraId="1E7F444E" w14:textId="77777777" w:rsidR="002F199C" w:rsidRPr="007D5DCE" w:rsidRDefault="007D5DCE" w:rsidP="007D5DCE">
      <w:pPr>
        <w:tabs>
          <w:tab w:val="left" w:pos="1916"/>
        </w:tabs>
        <w:rPr>
          <w:rFonts w:ascii="Book Antiqua" w:hAnsi="Book Antiqua"/>
          <w:b/>
        </w:rPr>
      </w:pPr>
      <w:r>
        <w:rPr>
          <w:rFonts w:ascii="Book Antiqua" w:hAnsi="Book Antiqua"/>
          <w:b/>
        </w:rPr>
        <w:t xml:space="preserve">2.4.8 </w:t>
      </w:r>
      <w:r w:rsidR="002F199C" w:rsidRPr="007D5DCE">
        <w:rPr>
          <w:rFonts w:ascii="Book Antiqua" w:hAnsi="Book Antiqua"/>
          <w:b/>
        </w:rPr>
        <w:t xml:space="preserve">Energy Input Rate </w:t>
      </w:r>
    </w:p>
    <w:p w14:paraId="136C1D22" w14:textId="77777777" w:rsidR="002F199C" w:rsidRPr="00E3232D" w:rsidRDefault="002F199C" w:rsidP="00470677">
      <w:pPr>
        <w:jc w:val="both"/>
        <w:rPr>
          <w:rFonts w:ascii="Book Antiqua" w:hAnsi="Book Antiqua"/>
        </w:rPr>
      </w:pPr>
      <w:r w:rsidRPr="00E3232D">
        <w:rPr>
          <w:rFonts w:ascii="Book Antiqua" w:hAnsi="Book Antiqua"/>
        </w:rPr>
        <w:t xml:space="preserve">It is the maximum rate at which an appliance draws energy. It can be expressed in joules or kilojoules. </w:t>
      </w:r>
    </w:p>
    <w:p w14:paraId="35A66F0E" w14:textId="77777777" w:rsidR="008B47FB" w:rsidRDefault="002F199C" w:rsidP="006E25F9">
      <w:pPr>
        <w:spacing w:after="0"/>
        <w:rPr>
          <w:rFonts w:ascii="Book Antiqua" w:hAnsi="Book Antiqua"/>
        </w:rPr>
      </w:pPr>
      <w:r w:rsidRPr="00E3232D">
        <w:rPr>
          <w:rFonts w:ascii="Book Antiqua" w:hAnsi="Book Antiqua"/>
        </w:rPr>
        <w:t xml:space="preserve">Energy (J) =Power (W) x time (sec) </w:t>
      </w:r>
      <w:r w:rsidRPr="00E3232D">
        <w:rPr>
          <w:rFonts w:ascii="Book Antiqua" w:hAnsi="Book Antiqua"/>
        </w:rPr>
        <w:tab/>
        <w:t xml:space="preserve">(6) </w:t>
      </w:r>
    </w:p>
    <w:p w14:paraId="4CFF2D6C" w14:textId="77777777" w:rsidR="00462FD1" w:rsidRPr="00462FD1" w:rsidRDefault="00462FD1" w:rsidP="00462FD1">
      <w:pPr>
        <w:spacing w:after="0"/>
        <w:rPr>
          <w:rFonts w:ascii="Book Antiqua" w:hAnsi="Book Antiqua"/>
        </w:rPr>
      </w:pPr>
    </w:p>
    <w:p w14:paraId="747E710E" w14:textId="77777777" w:rsidR="002F199C" w:rsidRPr="00B45605" w:rsidRDefault="00B45605" w:rsidP="00B45605">
      <w:pPr>
        <w:tabs>
          <w:tab w:val="left" w:pos="1916"/>
        </w:tabs>
        <w:rPr>
          <w:rFonts w:ascii="Book Antiqua" w:hAnsi="Book Antiqua"/>
          <w:b/>
        </w:rPr>
      </w:pPr>
      <w:r>
        <w:rPr>
          <w:rFonts w:ascii="Book Antiqua" w:hAnsi="Book Antiqua"/>
          <w:b/>
        </w:rPr>
        <w:t xml:space="preserve">2.4.9 </w:t>
      </w:r>
      <w:r w:rsidR="002F199C" w:rsidRPr="00B45605">
        <w:rPr>
          <w:rFonts w:ascii="Book Antiqua" w:hAnsi="Book Antiqua"/>
          <w:b/>
        </w:rPr>
        <w:t xml:space="preserve">Production Capacity </w:t>
      </w:r>
    </w:p>
    <w:p w14:paraId="31C42AB6" w14:textId="77777777" w:rsidR="002F199C" w:rsidRPr="00E3232D" w:rsidRDefault="002F199C" w:rsidP="00470677">
      <w:pPr>
        <w:jc w:val="both"/>
        <w:rPr>
          <w:rFonts w:ascii="Book Antiqua" w:hAnsi="Book Antiqua"/>
        </w:rPr>
      </w:pPr>
      <w:r w:rsidRPr="00E3232D">
        <w:rPr>
          <w:rFonts w:ascii="Book Antiqua" w:hAnsi="Book Antiqua"/>
        </w:rPr>
        <w:t xml:space="preserve">This is the amount of material that can be dried in an oven in a given time period and is directly related to the drying time. A shorter drying time for a given material results in higher production capacity. </w:t>
      </w:r>
    </w:p>
    <w:p w14:paraId="4DA74F13" w14:textId="77777777" w:rsidR="002F199C" w:rsidRPr="00B45605" w:rsidRDefault="002F199C" w:rsidP="00196385">
      <w:pPr>
        <w:pStyle w:val="ListParagraph"/>
        <w:numPr>
          <w:ilvl w:val="2"/>
          <w:numId w:val="157"/>
        </w:numPr>
        <w:tabs>
          <w:tab w:val="left" w:pos="1916"/>
        </w:tabs>
        <w:rPr>
          <w:rFonts w:ascii="Book Antiqua" w:hAnsi="Book Antiqua"/>
          <w:b/>
        </w:rPr>
      </w:pPr>
      <w:r w:rsidRPr="00B45605">
        <w:rPr>
          <w:rFonts w:ascii="Book Antiqua" w:hAnsi="Book Antiqua"/>
          <w:b/>
        </w:rPr>
        <w:t>Cost of drying</w:t>
      </w:r>
    </w:p>
    <w:p w14:paraId="26916645" w14:textId="77777777" w:rsidR="002F199C" w:rsidRPr="00E3232D" w:rsidRDefault="00470677" w:rsidP="00470677">
      <w:pPr>
        <w:jc w:val="both"/>
        <w:rPr>
          <w:rFonts w:ascii="Book Antiqua" w:hAnsi="Book Antiqua"/>
        </w:rPr>
      </w:pPr>
      <w:r>
        <w:rPr>
          <w:rFonts w:ascii="Book Antiqua" w:hAnsi="Book Antiqua"/>
          <w:noProof/>
          <w:lang w:bidi="ar-SA"/>
        </w:rPr>
        <w:drawing>
          <wp:anchor distT="0" distB="0" distL="114300" distR="114300" simplePos="0" relativeHeight="251671552" behindDoc="1" locked="0" layoutInCell="1" allowOverlap="1" wp14:anchorId="075A9F7B" wp14:editId="3AA4D606">
            <wp:simplePos x="0" y="0"/>
            <wp:positionH relativeFrom="column">
              <wp:posOffset>2733675</wp:posOffset>
            </wp:positionH>
            <wp:positionV relativeFrom="paragraph">
              <wp:posOffset>225425</wp:posOffset>
            </wp:positionV>
            <wp:extent cx="3419475" cy="3371850"/>
            <wp:effectExtent l="19050" t="0" r="9525" b="0"/>
            <wp:wrapTight wrapText="bothSides">
              <wp:wrapPolygon edited="0">
                <wp:start x="-120" y="0"/>
                <wp:lineTo x="-120" y="21478"/>
                <wp:lineTo x="21660" y="21478"/>
                <wp:lineTo x="21660" y="0"/>
                <wp:lineTo x="-120" y="0"/>
              </wp:wrapPolygon>
            </wp:wrapTight>
            <wp:docPr id="1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7"/>
                    <a:srcRect b="7593"/>
                    <a:stretch>
                      <a:fillRect/>
                    </a:stretch>
                  </pic:blipFill>
                  <pic:spPr bwMode="auto">
                    <a:xfrm>
                      <a:off x="0" y="0"/>
                      <a:ext cx="3419475" cy="3371850"/>
                    </a:xfrm>
                    <a:prstGeom prst="rect">
                      <a:avLst/>
                    </a:prstGeom>
                    <a:noFill/>
                    <a:ln w="9525">
                      <a:noFill/>
                      <a:miter lim="800000"/>
                      <a:headEnd/>
                      <a:tailEnd/>
                    </a:ln>
                  </pic:spPr>
                </pic:pic>
              </a:graphicData>
            </a:graphic>
          </wp:anchor>
        </w:drawing>
      </w:r>
      <w:r w:rsidR="002F199C" w:rsidRPr="00E3232D">
        <w:rPr>
          <w:rFonts w:ascii="Book Antiqua" w:hAnsi="Book Antiqua"/>
        </w:rPr>
        <w:t xml:space="preserve">The cost of drying was calculated from the formula: </w:t>
      </w:r>
    </w:p>
    <w:p w14:paraId="330D1ACB" w14:textId="77777777" w:rsidR="002F199C" w:rsidRPr="00E3232D" w:rsidRDefault="002F199C" w:rsidP="00470677">
      <w:pPr>
        <w:jc w:val="both"/>
        <w:rPr>
          <w:rFonts w:ascii="Book Antiqua" w:hAnsi="Book Antiqua"/>
        </w:rPr>
      </w:pPr>
      <w:r w:rsidRPr="00E3232D">
        <w:rPr>
          <w:rFonts w:ascii="Book Antiqua" w:hAnsi="Book Antiqua"/>
        </w:rPr>
        <w:t xml:space="preserve">Cost=watts x hrs used x cost per 1000kwh (7) </w:t>
      </w:r>
    </w:p>
    <w:p w14:paraId="18C99A4A" w14:textId="77777777" w:rsidR="00B51574" w:rsidRPr="00E3232D" w:rsidRDefault="002F199C" w:rsidP="00470677">
      <w:pPr>
        <w:jc w:val="both"/>
        <w:rPr>
          <w:rFonts w:ascii="Book Antiqua" w:hAnsi="Book Antiqua"/>
        </w:rPr>
      </w:pPr>
      <w:r w:rsidRPr="00E3232D">
        <w:rPr>
          <w:rFonts w:ascii="Book Antiqua" w:hAnsi="Book Antiqua"/>
        </w:rPr>
        <w:t xml:space="preserve">Cost of electricity = 17 pesewas/KWh for consumers in the residential category of between 51-300 units (GNA, 2010). </w:t>
      </w:r>
    </w:p>
    <w:p w14:paraId="0930D9BC" w14:textId="77777777" w:rsidR="00470677" w:rsidRPr="00470677" w:rsidRDefault="00470677" w:rsidP="00470677">
      <w:pPr>
        <w:tabs>
          <w:tab w:val="left" w:pos="1916"/>
        </w:tabs>
        <w:rPr>
          <w:rFonts w:ascii="Book Antiqua" w:hAnsi="Book Antiqua"/>
          <w:b/>
        </w:rPr>
      </w:pPr>
      <w:r>
        <w:rPr>
          <w:rFonts w:ascii="Book Antiqua" w:hAnsi="Book Antiqua"/>
          <w:b/>
          <w:noProof/>
          <w:lang w:bidi="ar-SA"/>
        </w:rPr>
        <w:drawing>
          <wp:anchor distT="0" distB="0" distL="114300" distR="114300" simplePos="0" relativeHeight="251673600" behindDoc="1" locked="0" layoutInCell="1" allowOverlap="1" wp14:anchorId="60B381B0" wp14:editId="61833126">
            <wp:simplePos x="0" y="0"/>
            <wp:positionH relativeFrom="column">
              <wp:posOffset>-66675</wp:posOffset>
            </wp:positionH>
            <wp:positionV relativeFrom="paragraph">
              <wp:posOffset>189865</wp:posOffset>
            </wp:positionV>
            <wp:extent cx="2819400" cy="2609850"/>
            <wp:effectExtent l="19050" t="0" r="0" b="0"/>
            <wp:wrapTight wrapText="bothSides">
              <wp:wrapPolygon edited="0">
                <wp:start x="-146" y="0"/>
                <wp:lineTo x="-146" y="21442"/>
                <wp:lineTo x="21600" y="21442"/>
                <wp:lineTo x="21600" y="0"/>
                <wp:lineTo x="-146" y="0"/>
              </wp:wrapPolygon>
            </wp:wrapTight>
            <wp:docPr id="13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8"/>
                    <a:srcRect b="8643"/>
                    <a:stretch>
                      <a:fillRect/>
                    </a:stretch>
                  </pic:blipFill>
                  <pic:spPr bwMode="auto">
                    <a:xfrm>
                      <a:off x="0" y="0"/>
                      <a:ext cx="2819400" cy="2609850"/>
                    </a:xfrm>
                    <a:prstGeom prst="rect">
                      <a:avLst/>
                    </a:prstGeom>
                    <a:noFill/>
                    <a:ln w="9525">
                      <a:noFill/>
                      <a:miter lim="800000"/>
                      <a:headEnd/>
                      <a:tailEnd/>
                    </a:ln>
                  </pic:spPr>
                </pic:pic>
              </a:graphicData>
            </a:graphic>
          </wp:anchor>
        </w:drawing>
      </w:r>
      <w:r>
        <w:rPr>
          <w:rFonts w:ascii="Book Antiqua" w:hAnsi="Book Antiqua"/>
          <w:b/>
          <w:noProof/>
          <w:lang w:bidi="ar-SA"/>
        </w:rPr>
        <w:drawing>
          <wp:anchor distT="0" distB="0" distL="114300" distR="114300" simplePos="0" relativeHeight="251677696" behindDoc="1" locked="0" layoutInCell="1" allowOverlap="1" wp14:anchorId="01017472" wp14:editId="2FDCF3A2">
            <wp:simplePos x="0" y="0"/>
            <wp:positionH relativeFrom="column">
              <wp:posOffset>20955</wp:posOffset>
            </wp:positionH>
            <wp:positionV relativeFrom="paragraph">
              <wp:posOffset>-5840730</wp:posOffset>
            </wp:positionV>
            <wp:extent cx="3957320" cy="517525"/>
            <wp:effectExtent l="19050" t="0" r="5080" b="0"/>
            <wp:wrapTight wrapText="bothSides">
              <wp:wrapPolygon edited="0">
                <wp:start x="-104" y="0"/>
                <wp:lineTo x="-104" y="20672"/>
                <wp:lineTo x="21628" y="20672"/>
                <wp:lineTo x="21628" y="0"/>
                <wp:lineTo x="-104" y="0"/>
              </wp:wrapPolygon>
            </wp:wrapTight>
            <wp:docPr id="13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9"/>
                    <a:srcRect/>
                    <a:stretch>
                      <a:fillRect/>
                    </a:stretch>
                  </pic:blipFill>
                  <pic:spPr bwMode="auto">
                    <a:xfrm>
                      <a:off x="0" y="0"/>
                      <a:ext cx="3957320" cy="517525"/>
                    </a:xfrm>
                    <a:prstGeom prst="rect">
                      <a:avLst/>
                    </a:prstGeom>
                    <a:noFill/>
                    <a:ln w="9525">
                      <a:noFill/>
                      <a:miter lim="800000"/>
                      <a:headEnd/>
                      <a:tailEnd/>
                    </a:ln>
                  </pic:spPr>
                </pic:pic>
              </a:graphicData>
            </a:graphic>
          </wp:anchor>
        </w:drawing>
      </w:r>
    </w:p>
    <w:p w14:paraId="321DB466" w14:textId="77777777" w:rsidR="00470677" w:rsidRPr="00470677" w:rsidRDefault="00470677" w:rsidP="00470677">
      <w:pPr>
        <w:tabs>
          <w:tab w:val="left" w:pos="1916"/>
        </w:tabs>
        <w:rPr>
          <w:rFonts w:ascii="Book Antiqua" w:hAnsi="Book Antiqua"/>
          <w:b/>
        </w:rPr>
      </w:pPr>
    </w:p>
    <w:p w14:paraId="389E8240" w14:textId="77777777" w:rsidR="002F199C" w:rsidRPr="008214F9" w:rsidRDefault="002F199C" w:rsidP="00196385">
      <w:pPr>
        <w:pStyle w:val="ListParagraph"/>
        <w:numPr>
          <w:ilvl w:val="0"/>
          <w:numId w:val="83"/>
        </w:numPr>
        <w:tabs>
          <w:tab w:val="left" w:pos="1916"/>
        </w:tabs>
        <w:rPr>
          <w:rFonts w:ascii="Book Antiqua" w:hAnsi="Book Antiqua"/>
          <w:b/>
        </w:rPr>
      </w:pPr>
      <w:r w:rsidRPr="008214F9">
        <w:rPr>
          <w:rFonts w:ascii="Book Antiqua" w:hAnsi="Book Antiqua"/>
          <w:b/>
          <w:sz w:val="26"/>
        </w:rPr>
        <w:t>Results</w:t>
      </w:r>
      <w:r w:rsidRPr="008214F9">
        <w:rPr>
          <w:rFonts w:ascii="Book Antiqua" w:hAnsi="Book Antiqua"/>
          <w:b/>
        </w:rPr>
        <w:t xml:space="preserve"> </w:t>
      </w:r>
    </w:p>
    <w:p w14:paraId="33F798E2" w14:textId="77777777" w:rsidR="002F199C" w:rsidRPr="006E25F9" w:rsidRDefault="00470677" w:rsidP="008275E1">
      <w:pPr>
        <w:tabs>
          <w:tab w:val="left" w:pos="1916"/>
        </w:tabs>
        <w:rPr>
          <w:rFonts w:ascii="Book Antiqua" w:hAnsi="Book Antiqua"/>
          <w:b/>
          <w:sz w:val="12"/>
        </w:rPr>
      </w:pPr>
      <w:r>
        <w:rPr>
          <w:rFonts w:ascii="Book Antiqua" w:hAnsi="Book Antiqua"/>
          <w:b/>
          <w:noProof/>
          <w:lang w:bidi="ar-SA"/>
        </w:rPr>
        <w:drawing>
          <wp:inline distT="0" distB="0" distL="0" distR="0" wp14:anchorId="4A7B6CDD" wp14:editId="7C0C258C">
            <wp:extent cx="2694305" cy="1347153"/>
            <wp:effectExtent l="19050" t="0" r="0" b="0"/>
            <wp:docPr id="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0"/>
                    <a:srcRect r="7222" b="17755"/>
                    <a:stretch>
                      <a:fillRect/>
                    </a:stretch>
                  </pic:blipFill>
                  <pic:spPr bwMode="auto">
                    <a:xfrm>
                      <a:off x="0" y="0"/>
                      <a:ext cx="2694305" cy="1347153"/>
                    </a:xfrm>
                    <a:prstGeom prst="rect">
                      <a:avLst/>
                    </a:prstGeom>
                    <a:noFill/>
                    <a:ln w="9525">
                      <a:noFill/>
                      <a:miter lim="800000"/>
                      <a:headEnd/>
                      <a:tailEnd/>
                    </a:ln>
                  </pic:spPr>
                </pic:pic>
              </a:graphicData>
            </a:graphic>
          </wp:inline>
        </w:drawing>
      </w:r>
    </w:p>
    <w:p w14:paraId="3CB0E274" w14:textId="77777777" w:rsidR="002F199C" w:rsidRPr="00E3232D" w:rsidRDefault="002F199C" w:rsidP="006E25F9">
      <w:pPr>
        <w:tabs>
          <w:tab w:val="left" w:pos="1916"/>
        </w:tabs>
        <w:spacing w:after="0" w:line="240" w:lineRule="auto"/>
        <w:rPr>
          <w:rFonts w:ascii="Book Antiqua" w:hAnsi="Book Antiqua"/>
        </w:rPr>
      </w:pPr>
      <w:r w:rsidRPr="00E3232D">
        <w:rPr>
          <w:rFonts w:ascii="Book Antiqua" w:hAnsi="Book Antiqua"/>
        </w:rPr>
        <w:t xml:space="preserve">Percent moisture content of tomato slices (% mc) = 95% </w:t>
      </w:r>
    </w:p>
    <w:p w14:paraId="68EC5980" w14:textId="77777777" w:rsidR="002F199C" w:rsidRPr="00E3232D" w:rsidRDefault="002F199C" w:rsidP="006E25F9">
      <w:pPr>
        <w:tabs>
          <w:tab w:val="left" w:pos="1916"/>
        </w:tabs>
        <w:spacing w:after="0" w:line="240" w:lineRule="auto"/>
        <w:rPr>
          <w:rFonts w:ascii="Book Antiqua" w:hAnsi="Book Antiqua"/>
        </w:rPr>
      </w:pPr>
      <w:r w:rsidRPr="00E3232D">
        <w:rPr>
          <w:rFonts w:ascii="Book Antiqua" w:hAnsi="Book Antiqua"/>
        </w:rPr>
        <w:t xml:space="preserve">Initial mass of slices = 250g </w:t>
      </w:r>
    </w:p>
    <w:p w14:paraId="4E3269C7" w14:textId="77777777" w:rsidR="002F199C" w:rsidRPr="00E3232D" w:rsidRDefault="002F199C" w:rsidP="006E25F9">
      <w:pPr>
        <w:tabs>
          <w:tab w:val="left" w:pos="1916"/>
        </w:tabs>
        <w:spacing w:after="0" w:line="240" w:lineRule="auto"/>
        <w:rPr>
          <w:rFonts w:ascii="Book Antiqua" w:hAnsi="Book Antiqua"/>
        </w:rPr>
      </w:pPr>
      <w:r w:rsidRPr="00E3232D">
        <w:rPr>
          <w:rFonts w:ascii="Book Antiqua" w:hAnsi="Book Antiqua"/>
        </w:rPr>
        <w:t xml:space="preserve">Total moisture content (g) = 250g x 95.9% </w:t>
      </w:r>
    </w:p>
    <w:p w14:paraId="7F10CECE" w14:textId="77777777" w:rsidR="002F199C" w:rsidRPr="00E3232D" w:rsidRDefault="002F199C" w:rsidP="006E25F9">
      <w:pPr>
        <w:tabs>
          <w:tab w:val="left" w:pos="1916"/>
        </w:tabs>
        <w:spacing w:after="0" w:line="240" w:lineRule="auto"/>
        <w:rPr>
          <w:rFonts w:ascii="Book Antiqua" w:hAnsi="Book Antiqua"/>
        </w:rPr>
      </w:pPr>
      <w:r w:rsidRPr="00E3232D">
        <w:rPr>
          <w:rFonts w:ascii="Book Antiqua" w:hAnsi="Book Antiqua"/>
        </w:rPr>
        <w:tab/>
      </w:r>
      <w:r w:rsidRPr="00E3232D">
        <w:rPr>
          <w:rFonts w:ascii="Book Antiqua" w:hAnsi="Book Antiqua"/>
        </w:rPr>
        <w:tab/>
        <w:t xml:space="preserve">= 239.8g </w:t>
      </w:r>
    </w:p>
    <w:p w14:paraId="42DABB08" w14:textId="77777777" w:rsidR="002F199C" w:rsidRPr="00E3232D" w:rsidRDefault="002F199C" w:rsidP="00470677">
      <w:pPr>
        <w:tabs>
          <w:tab w:val="left" w:pos="0"/>
        </w:tabs>
        <w:spacing w:after="0" w:line="240" w:lineRule="auto"/>
        <w:rPr>
          <w:rFonts w:ascii="Book Antiqua" w:hAnsi="Book Antiqua"/>
        </w:rPr>
      </w:pPr>
    </w:p>
    <w:p w14:paraId="5C460808" w14:textId="77777777" w:rsidR="002F199C" w:rsidRPr="00E3232D" w:rsidRDefault="006E25F9" w:rsidP="006E25F9">
      <w:pPr>
        <w:tabs>
          <w:tab w:val="left" w:pos="1916"/>
        </w:tabs>
        <w:spacing w:after="0"/>
        <w:rPr>
          <w:rFonts w:ascii="Book Antiqua" w:hAnsi="Book Antiqua"/>
        </w:rPr>
      </w:pPr>
      <w:r>
        <w:rPr>
          <w:rFonts w:ascii="Book Antiqua" w:hAnsi="Book Antiqua"/>
          <w:noProof/>
          <w:lang w:bidi="ar-SA"/>
        </w:rPr>
        <w:drawing>
          <wp:anchor distT="0" distB="0" distL="114300" distR="114300" simplePos="0" relativeHeight="251675648" behindDoc="1" locked="0" layoutInCell="1" allowOverlap="1" wp14:anchorId="79096A7C" wp14:editId="79471659">
            <wp:simplePos x="0" y="0"/>
            <wp:positionH relativeFrom="column">
              <wp:posOffset>-379730</wp:posOffset>
            </wp:positionH>
            <wp:positionV relativeFrom="paragraph">
              <wp:posOffset>204470</wp:posOffset>
            </wp:positionV>
            <wp:extent cx="3495675" cy="3581400"/>
            <wp:effectExtent l="19050" t="0" r="9525" b="0"/>
            <wp:wrapTight wrapText="bothSides">
              <wp:wrapPolygon edited="0">
                <wp:start x="-118" y="0"/>
                <wp:lineTo x="-118" y="21485"/>
                <wp:lineTo x="21659" y="21485"/>
                <wp:lineTo x="21659" y="0"/>
                <wp:lineTo x="-118" y="0"/>
              </wp:wrapPolygon>
            </wp:wrapTight>
            <wp:docPr id="1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1"/>
                    <a:srcRect b="7826"/>
                    <a:stretch>
                      <a:fillRect/>
                    </a:stretch>
                  </pic:blipFill>
                  <pic:spPr bwMode="auto">
                    <a:xfrm>
                      <a:off x="0" y="0"/>
                      <a:ext cx="3495675" cy="3581400"/>
                    </a:xfrm>
                    <a:prstGeom prst="rect">
                      <a:avLst/>
                    </a:prstGeom>
                    <a:noFill/>
                    <a:ln w="9525">
                      <a:noFill/>
                      <a:miter lim="800000"/>
                      <a:headEnd/>
                      <a:tailEnd/>
                    </a:ln>
                  </pic:spPr>
                </pic:pic>
              </a:graphicData>
            </a:graphic>
          </wp:anchor>
        </w:drawing>
      </w:r>
    </w:p>
    <w:p w14:paraId="05AF0ADA" w14:textId="77777777" w:rsidR="002F199C" w:rsidRPr="00E3232D" w:rsidRDefault="002F199C" w:rsidP="008275E1">
      <w:pPr>
        <w:rPr>
          <w:rFonts w:ascii="Book Antiqua" w:hAnsi="Book Antiqua"/>
          <w:b/>
          <w:bCs/>
          <w:color w:val="000000"/>
        </w:rPr>
      </w:pPr>
    </w:p>
    <w:p w14:paraId="27400EE9" w14:textId="77777777" w:rsidR="002F199C" w:rsidRPr="00E3232D" w:rsidRDefault="002F199C" w:rsidP="008275E1">
      <w:pPr>
        <w:rPr>
          <w:rFonts w:ascii="Book Antiqua" w:hAnsi="Book Antiqua"/>
          <w:bCs/>
          <w:color w:val="000000"/>
        </w:rPr>
      </w:pPr>
    </w:p>
    <w:p w14:paraId="5F88BF95" w14:textId="77777777" w:rsidR="002F199C" w:rsidRPr="00E3232D" w:rsidRDefault="007005B1" w:rsidP="008275E1">
      <w:pPr>
        <w:tabs>
          <w:tab w:val="left" w:pos="1916"/>
        </w:tabs>
        <w:rPr>
          <w:rFonts w:ascii="Book Antiqua" w:hAnsi="Book Antiqua"/>
        </w:rPr>
      </w:pPr>
      <w:r>
        <w:rPr>
          <w:rFonts w:ascii="Book Antiqua" w:hAnsi="Book Antiqua"/>
          <w:noProof/>
          <w:lang w:bidi="ar-SA"/>
        </w:rPr>
        <w:drawing>
          <wp:inline distT="0" distB="0" distL="0" distR="0" wp14:anchorId="3731458D" wp14:editId="7845F761">
            <wp:extent cx="2324100" cy="1000125"/>
            <wp:effectExtent l="19050" t="0" r="0" b="0"/>
            <wp:docPr id="1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2"/>
                    <a:srcRect r="17255" b="17741"/>
                    <a:stretch>
                      <a:fillRect/>
                    </a:stretch>
                  </pic:blipFill>
                  <pic:spPr bwMode="auto">
                    <a:xfrm>
                      <a:off x="0" y="0"/>
                      <a:ext cx="2324100" cy="1000125"/>
                    </a:xfrm>
                    <a:prstGeom prst="rect">
                      <a:avLst/>
                    </a:prstGeom>
                    <a:noFill/>
                    <a:ln w="9525">
                      <a:noFill/>
                      <a:miter lim="800000"/>
                      <a:headEnd/>
                      <a:tailEnd/>
                    </a:ln>
                  </pic:spPr>
                </pic:pic>
              </a:graphicData>
            </a:graphic>
          </wp:inline>
        </w:drawing>
      </w:r>
    </w:p>
    <w:p w14:paraId="1C2AA726" w14:textId="77777777" w:rsidR="002F199C" w:rsidRPr="00E3232D" w:rsidRDefault="007005B1" w:rsidP="008275E1">
      <w:pPr>
        <w:tabs>
          <w:tab w:val="left" w:pos="1916"/>
        </w:tabs>
        <w:rPr>
          <w:rFonts w:ascii="Book Antiqua" w:hAnsi="Book Antiqua"/>
          <w:b/>
        </w:rPr>
      </w:pPr>
      <w:r>
        <w:rPr>
          <w:rFonts w:ascii="Book Antiqua" w:hAnsi="Book Antiqua"/>
          <w:b/>
          <w:noProof/>
          <w:lang w:bidi="ar-SA"/>
        </w:rPr>
        <w:drawing>
          <wp:inline distT="0" distB="0" distL="0" distR="0" wp14:anchorId="2F30372E" wp14:editId="67C1ABC3">
            <wp:extent cx="2895600" cy="1924050"/>
            <wp:effectExtent l="19050" t="0" r="0" b="0"/>
            <wp:docPr id="13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3"/>
                    <a:srcRect/>
                    <a:stretch>
                      <a:fillRect/>
                    </a:stretch>
                  </pic:blipFill>
                  <pic:spPr bwMode="auto">
                    <a:xfrm>
                      <a:off x="0" y="0"/>
                      <a:ext cx="2895600" cy="1924050"/>
                    </a:xfrm>
                    <a:prstGeom prst="rect">
                      <a:avLst/>
                    </a:prstGeom>
                    <a:noFill/>
                    <a:ln w="9525">
                      <a:noFill/>
                      <a:miter lim="800000"/>
                      <a:headEnd/>
                      <a:tailEnd/>
                    </a:ln>
                  </pic:spPr>
                </pic:pic>
              </a:graphicData>
            </a:graphic>
          </wp:inline>
        </w:drawing>
      </w:r>
    </w:p>
    <w:p w14:paraId="2B5B257D" w14:textId="77777777" w:rsidR="002F199C" w:rsidRPr="00E3232D" w:rsidRDefault="002F199C" w:rsidP="006E25F9">
      <w:pPr>
        <w:jc w:val="both"/>
        <w:rPr>
          <w:rFonts w:ascii="Book Antiqua" w:hAnsi="Book Antiqua"/>
          <w:b/>
          <w:bCs/>
          <w:color w:val="000000"/>
        </w:rPr>
      </w:pPr>
      <w:r w:rsidRPr="00E3232D">
        <w:rPr>
          <w:rFonts w:ascii="Book Antiqua" w:hAnsi="Book Antiqua"/>
          <w:b/>
        </w:rPr>
        <w:t>Figure 8 Amount of energy absorbed, used in evaporating moisture, and efficiency of drying</w:t>
      </w:r>
      <w:r w:rsidRPr="00E3232D">
        <w:rPr>
          <w:rFonts w:ascii="Book Antiqua" w:hAnsi="Book Antiqua"/>
          <w:b/>
          <w:bCs/>
          <w:color w:val="000000"/>
        </w:rPr>
        <w:t xml:space="preserve"> in a portable wooden box electric dehydrator and a conventional electric laboratory oven </w:t>
      </w:r>
    </w:p>
    <w:p w14:paraId="62B9E73A" w14:textId="77777777" w:rsidR="002F199C" w:rsidRPr="00E3232D" w:rsidRDefault="002F199C" w:rsidP="008275E1">
      <w:pPr>
        <w:tabs>
          <w:tab w:val="left" w:pos="1916"/>
        </w:tabs>
        <w:rPr>
          <w:rFonts w:ascii="Book Antiqua" w:hAnsi="Book Antiqua"/>
        </w:rPr>
      </w:pPr>
    </w:p>
    <w:p w14:paraId="10E88C77" w14:textId="77777777" w:rsidR="002F199C" w:rsidRPr="00E3232D" w:rsidRDefault="007005B1" w:rsidP="008275E1">
      <w:pPr>
        <w:tabs>
          <w:tab w:val="left" w:pos="1916"/>
        </w:tabs>
        <w:rPr>
          <w:rFonts w:ascii="Book Antiqua" w:hAnsi="Book Antiqua"/>
        </w:rPr>
      </w:pPr>
      <w:r>
        <w:rPr>
          <w:rFonts w:ascii="Book Antiqua" w:hAnsi="Book Antiqua"/>
          <w:noProof/>
          <w:lang w:bidi="ar-SA"/>
        </w:rPr>
        <w:drawing>
          <wp:inline distT="0" distB="0" distL="0" distR="0" wp14:anchorId="0BE73FB2" wp14:editId="418339B3">
            <wp:extent cx="2857500" cy="1981200"/>
            <wp:effectExtent l="19050" t="0" r="0" b="0"/>
            <wp:docPr id="13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4"/>
                    <a:srcRect/>
                    <a:stretch>
                      <a:fillRect/>
                    </a:stretch>
                  </pic:blipFill>
                  <pic:spPr bwMode="auto">
                    <a:xfrm>
                      <a:off x="0" y="0"/>
                      <a:ext cx="2857500" cy="1981200"/>
                    </a:xfrm>
                    <a:prstGeom prst="rect">
                      <a:avLst/>
                    </a:prstGeom>
                    <a:noFill/>
                    <a:ln w="9525">
                      <a:noFill/>
                      <a:miter lim="800000"/>
                      <a:headEnd/>
                      <a:tailEnd/>
                    </a:ln>
                  </pic:spPr>
                </pic:pic>
              </a:graphicData>
            </a:graphic>
          </wp:inline>
        </w:drawing>
      </w:r>
    </w:p>
    <w:p w14:paraId="44617664" w14:textId="77777777" w:rsidR="002F199C" w:rsidRPr="00E3232D" w:rsidRDefault="002F199C" w:rsidP="008275E1">
      <w:pPr>
        <w:rPr>
          <w:rFonts w:ascii="Book Antiqua" w:hAnsi="Book Antiqua"/>
          <w:b/>
          <w:bCs/>
          <w:color w:val="000000"/>
        </w:rPr>
      </w:pPr>
      <w:r w:rsidRPr="00E3232D">
        <w:rPr>
          <w:rFonts w:ascii="Book Antiqua" w:hAnsi="Book Antiqua"/>
          <w:b/>
        </w:rPr>
        <w:t>Figure 9 Amount of moisture loss and efficiency of drying</w:t>
      </w:r>
      <w:r w:rsidRPr="00E3232D">
        <w:rPr>
          <w:rFonts w:ascii="Book Antiqua" w:hAnsi="Book Antiqua"/>
          <w:b/>
          <w:bCs/>
          <w:color w:val="000000"/>
        </w:rPr>
        <w:t xml:space="preserve"> in a portable wooden box electric dehydrator and a conventional electric laboratory oven </w:t>
      </w:r>
    </w:p>
    <w:p w14:paraId="6A07A6E7" w14:textId="77777777" w:rsidR="002F199C" w:rsidRPr="00E3232D" w:rsidRDefault="002F199C" w:rsidP="008275E1">
      <w:pPr>
        <w:tabs>
          <w:tab w:val="left" w:pos="1916"/>
        </w:tabs>
        <w:rPr>
          <w:rFonts w:ascii="Book Antiqua" w:hAnsi="Book Antiqua"/>
        </w:rPr>
      </w:pPr>
    </w:p>
    <w:p w14:paraId="429ADE2F" w14:textId="77777777" w:rsidR="002F199C" w:rsidRPr="00E3232D" w:rsidRDefault="007005B1" w:rsidP="008275E1">
      <w:pPr>
        <w:tabs>
          <w:tab w:val="left" w:pos="1916"/>
        </w:tabs>
        <w:rPr>
          <w:rFonts w:ascii="Book Antiqua" w:hAnsi="Book Antiqua"/>
        </w:rPr>
      </w:pPr>
      <w:r>
        <w:rPr>
          <w:rFonts w:ascii="Book Antiqua" w:hAnsi="Book Antiqua"/>
          <w:noProof/>
          <w:lang w:bidi="ar-SA"/>
        </w:rPr>
        <w:drawing>
          <wp:inline distT="0" distB="0" distL="0" distR="0" wp14:anchorId="62495E0B" wp14:editId="33A9B9EB">
            <wp:extent cx="2762250" cy="1914525"/>
            <wp:effectExtent l="19050" t="0" r="0" b="0"/>
            <wp:docPr id="13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5"/>
                    <a:srcRect/>
                    <a:stretch>
                      <a:fillRect/>
                    </a:stretch>
                  </pic:blipFill>
                  <pic:spPr bwMode="auto">
                    <a:xfrm>
                      <a:off x="0" y="0"/>
                      <a:ext cx="2762250" cy="1914525"/>
                    </a:xfrm>
                    <a:prstGeom prst="rect">
                      <a:avLst/>
                    </a:prstGeom>
                    <a:noFill/>
                    <a:ln w="9525">
                      <a:noFill/>
                      <a:miter lim="800000"/>
                      <a:headEnd/>
                      <a:tailEnd/>
                    </a:ln>
                  </pic:spPr>
                </pic:pic>
              </a:graphicData>
            </a:graphic>
          </wp:inline>
        </w:drawing>
      </w:r>
    </w:p>
    <w:p w14:paraId="4A4A8AFD" w14:textId="77777777" w:rsidR="002F199C" w:rsidRPr="00E3232D" w:rsidRDefault="002F199C" w:rsidP="006E25F9">
      <w:pPr>
        <w:jc w:val="both"/>
        <w:rPr>
          <w:rFonts w:ascii="Book Antiqua" w:hAnsi="Book Antiqua"/>
          <w:b/>
          <w:bCs/>
          <w:color w:val="000000"/>
        </w:rPr>
      </w:pPr>
      <w:r w:rsidRPr="00E3232D">
        <w:rPr>
          <w:rFonts w:ascii="Book Antiqua" w:hAnsi="Book Antiqua"/>
          <w:b/>
        </w:rPr>
        <w:t>Figure 10 Amount of residual moisture and efficiency of drying</w:t>
      </w:r>
      <w:r w:rsidRPr="00E3232D">
        <w:rPr>
          <w:rFonts w:ascii="Book Antiqua" w:hAnsi="Book Antiqua"/>
          <w:b/>
          <w:bCs/>
          <w:color w:val="000000"/>
        </w:rPr>
        <w:t xml:space="preserve"> in a portable wooden box electric dehydrator and a conventional electric laboratory oven </w:t>
      </w:r>
    </w:p>
    <w:p w14:paraId="28C2E48D" w14:textId="77777777" w:rsidR="002F199C" w:rsidRPr="00E3232D" w:rsidRDefault="002F199C" w:rsidP="008275E1">
      <w:pPr>
        <w:tabs>
          <w:tab w:val="left" w:pos="1916"/>
        </w:tabs>
        <w:rPr>
          <w:rFonts w:ascii="Book Antiqua" w:hAnsi="Book Antiqua"/>
        </w:rPr>
      </w:pPr>
    </w:p>
    <w:p w14:paraId="57C6CA7D" w14:textId="77777777" w:rsidR="002F199C" w:rsidRPr="00E3232D" w:rsidRDefault="002F199C" w:rsidP="006E25F9">
      <w:pPr>
        <w:jc w:val="both"/>
        <w:rPr>
          <w:rFonts w:ascii="Book Antiqua" w:hAnsi="Book Antiqua"/>
          <w:b/>
          <w:bCs/>
          <w:color w:val="000000"/>
        </w:rPr>
      </w:pPr>
      <w:r w:rsidRPr="00E3232D">
        <w:rPr>
          <w:rFonts w:ascii="Book Antiqua" w:hAnsi="Book Antiqua"/>
          <w:b/>
        </w:rPr>
        <w:t xml:space="preserve">Table9 Cost of energy input </w:t>
      </w:r>
      <w:r w:rsidRPr="00E3232D">
        <w:rPr>
          <w:rFonts w:ascii="Book Antiqua" w:hAnsi="Book Antiqua"/>
          <w:b/>
          <w:bCs/>
          <w:color w:val="000000"/>
        </w:rPr>
        <w:t xml:space="preserve">in a portable wooden box electric dehydrator and a conventional electric laboratory oven </w:t>
      </w:r>
    </w:p>
    <w:p w14:paraId="00531261" w14:textId="77777777" w:rsidR="002F199C" w:rsidRPr="00E3232D" w:rsidRDefault="007005B1" w:rsidP="008275E1">
      <w:pPr>
        <w:rPr>
          <w:rFonts w:ascii="Book Antiqua" w:hAnsi="Book Antiqua"/>
          <w:b/>
          <w:bCs/>
          <w:color w:val="000000"/>
        </w:rPr>
      </w:pPr>
      <w:r>
        <w:rPr>
          <w:rFonts w:ascii="Book Antiqua" w:hAnsi="Book Antiqua"/>
          <w:b/>
          <w:noProof/>
          <w:color w:val="000000"/>
          <w:lang w:bidi="ar-SA"/>
        </w:rPr>
        <w:drawing>
          <wp:inline distT="0" distB="0" distL="0" distR="0" wp14:anchorId="114E31C2" wp14:editId="7FD79A97">
            <wp:extent cx="2838450" cy="1057275"/>
            <wp:effectExtent l="19050" t="0" r="0" b="0"/>
            <wp:docPr id="13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6"/>
                    <a:srcRect t="32603" b="15152"/>
                    <a:stretch>
                      <a:fillRect/>
                    </a:stretch>
                  </pic:blipFill>
                  <pic:spPr bwMode="auto">
                    <a:xfrm>
                      <a:off x="0" y="0"/>
                      <a:ext cx="2838450" cy="1057275"/>
                    </a:xfrm>
                    <a:prstGeom prst="rect">
                      <a:avLst/>
                    </a:prstGeom>
                    <a:noFill/>
                    <a:ln w="9525">
                      <a:noFill/>
                      <a:miter lim="800000"/>
                      <a:headEnd/>
                      <a:tailEnd/>
                    </a:ln>
                  </pic:spPr>
                </pic:pic>
              </a:graphicData>
            </a:graphic>
          </wp:inline>
        </w:drawing>
      </w:r>
    </w:p>
    <w:p w14:paraId="0DF4B51C" w14:textId="77777777" w:rsidR="002F199C" w:rsidRPr="00E3232D" w:rsidRDefault="002F199C" w:rsidP="006E25F9">
      <w:pPr>
        <w:tabs>
          <w:tab w:val="left" w:pos="1916"/>
        </w:tabs>
        <w:jc w:val="both"/>
        <w:rPr>
          <w:rFonts w:ascii="Book Antiqua" w:hAnsi="Book Antiqua"/>
          <w:b/>
          <w:i/>
        </w:rPr>
      </w:pPr>
      <w:r w:rsidRPr="00E3232D">
        <w:rPr>
          <w:rFonts w:ascii="Book Antiqua" w:hAnsi="Book Antiqua"/>
          <w:b/>
          <w:i/>
        </w:rPr>
        <w:t xml:space="preserve">Energy (J) input rate of equipment = Power (W) x Time (sec) </w:t>
      </w:r>
    </w:p>
    <w:p w14:paraId="7FD4AA8B" w14:textId="77777777" w:rsidR="002F199C" w:rsidRPr="00E3232D" w:rsidRDefault="002F199C" w:rsidP="006E25F9">
      <w:pPr>
        <w:tabs>
          <w:tab w:val="left" w:pos="1916"/>
        </w:tabs>
        <w:jc w:val="both"/>
        <w:rPr>
          <w:rFonts w:ascii="Book Antiqua" w:hAnsi="Book Antiqua"/>
          <w:b/>
          <w:i/>
        </w:rPr>
      </w:pPr>
      <w:r w:rsidRPr="00E3232D">
        <w:rPr>
          <w:rFonts w:ascii="Book Antiqua" w:hAnsi="Book Antiqua"/>
          <w:b/>
          <w:i/>
        </w:rPr>
        <w:t xml:space="preserve">Electricity tariff = 17 pesewas /KWh (GNA, 2010) </w:t>
      </w:r>
    </w:p>
    <w:p w14:paraId="1C9F879F" w14:textId="77777777" w:rsidR="002F199C" w:rsidRPr="006E25F9" w:rsidRDefault="002F199C" w:rsidP="006E25F9">
      <w:pPr>
        <w:tabs>
          <w:tab w:val="left" w:pos="1916"/>
        </w:tabs>
        <w:jc w:val="both"/>
        <w:rPr>
          <w:rFonts w:ascii="Book Antiqua" w:hAnsi="Book Antiqua"/>
          <w:b/>
          <w:i/>
        </w:rPr>
      </w:pPr>
      <w:r w:rsidRPr="00E3232D">
        <w:rPr>
          <w:rFonts w:ascii="Book Antiqua" w:hAnsi="Book Antiqua"/>
          <w:b/>
          <w:i/>
        </w:rPr>
        <w:t xml:space="preserve">Cost (GH P) = KW x hrs used x tariff (GHP/ KWh) </w:t>
      </w:r>
    </w:p>
    <w:p w14:paraId="2F22A4D2" w14:textId="77777777" w:rsidR="002F199C" w:rsidRPr="00E3232D" w:rsidRDefault="002F199C" w:rsidP="006E25F9">
      <w:pPr>
        <w:tabs>
          <w:tab w:val="left" w:pos="1916"/>
        </w:tabs>
        <w:spacing w:line="240" w:lineRule="auto"/>
        <w:jc w:val="both"/>
        <w:rPr>
          <w:rFonts w:ascii="Book Antiqua" w:hAnsi="Book Antiqua"/>
        </w:rPr>
      </w:pPr>
      <w:r w:rsidRPr="00E3232D">
        <w:rPr>
          <w:rFonts w:ascii="Book Antiqua" w:hAnsi="Book Antiqua"/>
        </w:rPr>
        <w:t xml:space="preserve">Cost of drying with </w:t>
      </w:r>
      <w:r w:rsidRPr="00E3232D">
        <w:rPr>
          <w:rFonts w:ascii="Book Antiqua" w:hAnsi="Book Antiqua"/>
          <w:color w:val="000000"/>
        </w:rPr>
        <w:t>PWBED</w:t>
      </w:r>
      <w:r w:rsidRPr="00E3232D">
        <w:rPr>
          <w:rFonts w:ascii="Book Antiqua" w:hAnsi="Book Antiqua"/>
        </w:rPr>
        <w:t xml:space="preserve">for 7 hours </w:t>
      </w:r>
    </w:p>
    <w:p w14:paraId="5F19DFC2" w14:textId="77777777" w:rsidR="002F199C" w:rsidRPr="00E3232D" w:rsidRDefault="002F199C" w:rsidP="006E25F9">
      <w:pPr>
        <w:tabs>
          <w:tab w:val="left" w:pos="1916"/>
        </w:tabs>
        <w:spacing w:line="240" w:lineRule="auto"/>
        <w:jc w:val="both"/>
        <w:rPr>
          <w:rFonts w:ascii="Book Antiqua" w:hAnsi="Book Antiqua"/>
        </w:rPr>
      </w:pPr>
      <w:r w:rsidRPr="00E3232D">
        <w:rPr>
          <w:rFonts w:ascii="Book Antiqua" w:hAnsi="Book Antiqua"/>
        </w:rPr>
        <w:t xml:space="preserve">= </w:t>
      </w:r>
      <w:r w:rsidRPr="00E3232D">
        <w:rPr>
          <w:rFonts w:ascii="Book Antiqua" w:hAnsi="Book Antiqua"/>
          <w:bCs/>
        </w:rPr>
        <w:t xml:space="preserve">GHC </w:t>
      </w:r>
      <w:r w:rsidRPr="00E3232D">
        <w:rPr>
          <w:rFonts w:ascii="Book Antiqua" w:hAnsi="Book Antiqua"/>
        </w:rPr>
        <w:t xml:space="preserve">1.07+ 0.02 = </w:t>
      </w:r>
      <w:r w:rsidRPr="00E3232D">
        <w:rPr>
          <w:rFonts w:ascii="Book Antiqua" w:hAnsi="Book Antiqua"/>
          <w:bCs/>
        </w:rPr>
        <w:t>GH¢</w:t>
      </w:r>
      <w:r w:rsidRPr="00E3232D">
        <w:rPr>
          <w:rFonts w:ascii="Book Antiqua" w:hAnsi="Book Antiqua"/>
        </w:rPr>
        <w:t xml:space="preserve">1.09 </w:t>
      </w:r>
    </w:p>
    <w:p w14:paraId="7EA9FCA6" w14:textId="77777777" w:rsidR="002F199C" w:rsidRPr="00E3232D" w:rsidRDefault="002F199C" w:rsidP="006E25F9">
      <w:pPr>
        <w:tabs>
          <w:tab w:val="left" w:pos="1916"/>
        </w:tabs>
        <w:spacing w:line="240" w:lineRule="auto"/>
        <w:jc w:val="both"/>
        <w:rPr>
          <w:rFonts w:ascii="Book Antiqua" w:hAnsi="Book Antiqua"/>
        </w:rPr>
      </w:pPr>
      <w:r w:rsidRPr="00E3232D">
        <w:rPr>
          <w:rFonts w:ascii="Book Antiqua" w:hAnsi="Book Antiqua"/>
        </w:rPr>
        <w:t xml:space="preserve">Cost of drying with ovenfor 8 hours = </w:t>
      </w:r>
      <w:r w:rsidRPr="00E3232D">
        <w:rPr>
          <w:rFonts w:ascii="Book Antiqua" w:hAnsi="Book Antiqua"/>
          <w:bCs/>
        </w:rPr>
        <w:t>GH¢</w:t>
      </w:r>
      <w:r w:rsidRPr="00E3232D">
        <w:rPr>
          <w:rFonts w:ascii="Book Antiqua" w:hAnsi="Book Antiqua"/>
        </w:rPr>
        <w:t>2.27</w:t>
      </w:r>
    </w:p>
    <w:p w14:paraId="5A4E7114" w14:textId="77777777" w:rsidR="002F199C" w:rsidRPr="00E3232D" w:rsidRDefault="002F199C" w:rsidP="006E25F9">
      <w:pPr>
        <w:tabs>
          <w:tab w:val="left" w:pos="1916"/>
        </w:tabs>
        <w:spacing w:line="240" w:lineRule="auto"/>
        <w:rPr>
          <w:rFonts w:ascii="Book Antiqua" w:hAnsi="Book Antiqua"/>
        </w:rPr>
      </w:pPr>
      <w:r w:rsidRPr="00E3232D">
        <w:rPr>
          <w:rFonts w:ascii="Book Antiqua" w:hAnsi="Book Antiqua"/>
        </w:rPr>
        <w:t xml:space="preserve">Cost of PWBED relative to electric oven </w:t>
      </w:r>
    </w:p>
    <w:p w14:paraId="0E54E103" w14:textId="77777777" w:rsidR="00B45605" w:rsidRPr="00E3232D" w:rsidRDefault="002F199C" w:rsidP="006E25F9">
      <w:pPr>
        <w:tabs>
          <w:tab w:val="left" w:pos="1916"/>
        </w:tabs>
        <w:spacing w:line="240" w:lineRule="auto"/>
        <w:rPr>
          <w:rFonts w:ascii="Book Antiqua" w:hAnsi="Book Antiqua"/>
        </w:rPr>
      </w:pPr>
      <w:r w:rsidRPr="00E3232D">
        <w:rPr>
          <w:rFonts w:ascii="Book Antiqua" w:hAnsi="Book Antiqua"/>
        </w:rPr>
        <w:t>= (</w:t>
      </w:r>
      <w:r w:rsidRPr="00E3232D">
        <w:rPr>
          <w:rFonts w:ascii="Book Antiqua" w:hAnsi="Book Antiqua"/>
          <w:bCs/>
        </w:rPr>
        <w:t>GH¢</w:t>
      </w:r>
      <w:r w:rsidRPr="00E3232D">
        <w:rPr>
          <w:rFonts w:ascii="Book Antiqua" w:hAnsi="Book Antiqua"/>
        </w:rPr>
        <w:t xml:space="preserve">1.09 / </w:t>
      </w:r>
      <w:r w:rsidRPr="00E3232D">
        <w:rPr>
          <w:rFonts w:ascii="Book Antiqua" w:hAnsi="Book Antiqua"/>
          <w:bCs/>
        </w:rPr>
        <w:t>GHC</w:t>
      </w:r>
      <w:r w:rsidRPr="00E3232D">
        <w:rPr>
          <w:rFonts w:ascii="Book Antiqua" w:hAnsi="Book Antiqua"/>
        </w:rPr>
        <w:t xml:space="preserve"> 2.27) = 48.0% </w:t>
      </w:r>
    </w:p>
    <w:p w14:paraId="6948F446" w14:textId="77777777" w:rsidR="002F199C" w:rsidRPr="008214F9" w:rsidRDefault="002F199C" w:rsidP="00196385">
      <w:pPr>
        <w:pStyle w:val="ListParagraph"/>
        <w:numPr>
          <w:ilvl w:val="0"/>
          <w:numId w:val="83"/>
        </w:numPr>
        <w:tabs>
          <w:tab w:val="left" w:pos="1916"/>
        </w:tabs>
        <w:jc w:val="both"/>
        <w:rPr>
          <w:rFonts w:ascii="Book Antiqua" w:hAnsi="Book Antiqua"/>
          <w:b/>
        </w:rPr>
      </w:pPr>
      <w:r w:rsidRPr="008214F9">
        <w:rPr>
          <w:rFonts w:ascii="Book Antiqua" w:hAnsi="Book Antiqua"/>
          <w:b/>
          <w:sz w:val="26"/>
        </w:rPr>
        <w:t>Discussion</w:t>
      </w:r>
      <w:r w:rsidRPr="008214F9">
        <w:rPr>
          <w:rFonts w:ascii="Book Antiqua" w:hAnsi="Book Antiqua"/>
          <w:b/>
        </w:rPr>
        <w:t xml:space="preserve"> </w:t>
      </w:r>
    </w:p>
    <w:p w14:paraId="2ED00682" w14:textId="77777777" w:rsidR="00B45605" w:rsidRDefault="002F199C" w:rsidP="006E25F9">
      <w:pPr>
        <w:jc w:val="both"/>
        <w:rPr>
          <w:rFonts w:ascii="Book Antiqua" w:hAnsi="Book Antiqua"/>
        </w:rPr>
      </w:pPr>
      <w:r w:rsidRPr="00E3232D">
        <w:rPr>
          <w:rFonts w:ascii="Book Antiqua" w:hAnsi="Book Antiqua"/>
        </w:rPr>
        <w:t>The maximum temperature of the PWBED is 130</w:t>
      </w:r>
      <w:r w:rsidRPr="00E3232D">
        <w:rPr>
          <w:rFonts w:ascii="Book Antiqua" w:hAnsi="Book Antiqua"/>
          <w:vertAlign w:val="superscript"/>
        </w:rPr>
        <w:t>o</w:t>
      </w:r>
      <w:r w:rsidRPr="00E3232D">
        <w:rPr>
          <w:rFonts w:ascii="Book Antiqua" w:hAnsi="Book Antiqua"/>
        </w:rPr>
        <w:t>C. The standard laboratory oven is a high temperature electric oven with maximum temperature of500°C. This temperature allows it to be used both as a furnace and an oven and therefore suitable for a variety of applications. The interior chamber is made from high grade, rust proof stainless steel. The oven is fitted with high density thermal insulation to minimise heat loss throughout. It has a single front opening, side hinged door and feature an air cooled front fascia (Genlab, n.d.). Its dimensions are 54cm x 36cm x 36cm (L x B x H) which is 69,984cm</w:t>
      </w:r>
      <w:r w:rsidRPr="00E3232D">
        <w:rPr>
          <w:rFonts w:ascii="Book Antiqua" w:hAnsi="Book Antiqua"/>
          <w:vertAlign w:val="superscript"/>
        </w:rPr>
        <w:t>3</w:t>
      </w:r>
      <w:r w:rsidRPr="00E3232D">
        <w:rPr>
          <w:rFonts w:ascii="Book Antiqua" w:hAnsi="Book Antiqua"/>
        </w:rPr>
        <w:t>, with three trays with a total drying area of 5,076 cm</w:t>
      </w:r>
      <w:r w:rsidRPr="00E3232D">
        <w:rPr>
          <w:rFonts w:ascii="Book Antiqua" w:hAnsi="Book Antiqua"/>
          <w:vertAlign w:val="superscript"/>
        </w:rPr>
        <w:t>2</w:t>
      </w:r>
      <w:r w:rsidRPr="00E3232D">
        <w:rPr>
          <w:rFonts w:ascii="Book Antiqua" w:hAnsi="Book Antiqua"/>
        </w:rPr>
        <w:t>. The PWBED has internal diameter of 44.5 cm x 59.7 cm x 34.9 cm which gives 92,664 cm</w:t>
      </w:r>
      <w:r w:rsidRPr="00E3232D">
        <w:rPr>
          <w:rFonts w:ascii="Book Antiqua" w:hAnsi="Book Antiqua"/>
          <w:vertAlign w:val="superscript"/>
        </w:rPr>
        <w:t>3</w:t>
      </w:r>
      <w:r w:rsidRPr="00E3232D">
        <w:rPr>
          <w:rFonts w:ascii="Book Antiqua" w:hAnsi="Book Antiqua"/>
        </w:rPr>
        <w:t xml:space="preserve"> of heating space and carries five drying trays with a total drying area of 8460 cm</w:t>
      </w:r>
      <w:r w:rsidRPr="00E3232D">
        <w:rPr>
          <w:rFonts w:ascii="Book Antiqua" w:hAnsi="Book Antiqua"/>
          <w:vertAlign w:val="superscript"/>
        </w:rPr>
        <w:t>2</w:t>
      </w:r>
      <w:r w:rsidRPr="00E3232D">
        <w:rPr>
          <w:rFonts w:ascii="Book Antiqua" w:hAnsi="Book Antiqua"/>
        </w:rPr>
        <w:t xml:space="preserve">. </w:t>
      </w:r>
    </w:p>
    <w:p w14:paraId="7D968456" w14:textId="77777777" w:rsidR="00B45605" w:rsidRDefault="002F199C" w:rsidP="006E25F9">
      <w:pPr>
        <w:jc w:val="both"/>
        <w:rPr>
          <w:rFonts w:ascii="Book Antiqua" w:hAnsi="Book Antiqua"/>
        </w:rPr>
      </w:pPr>
      <w:r w:rsidRPr="00E3232D">
        <w:rPr>
          <w:rFonts w:ascii="Book Antiqua" w:hAnsi="Book Antiqua"/>
        </w:rPr>
        <w:t xml:space="preserve">Results from both the PWBED and oven indicated that the tomato slices contained 95.9% moisture (Table 4). It took the PWBED seven hours and the oven nine hours to obtain this result. However, statistically there is no significant difference (p≤0.05) in the rate of moisture loss from the PWBED and oven (Table 5). </w:t>
      </w:r>
    </w:p>
    <w:p w14:paraId="125FD2A7" w14:textId="77777777" w:rsidR="00B45605" w:rsidRPr="008214F9" w:rsidRDefault="002F199C" w:rsidP="006E25F9">
      <w:pPr>
        <w:jc w:val="both"/>
        <w:rPr>
          <w:rFonts w:ascii="Book Antiqua" w:hAnsi="Book Antiqua"/>
        </w:rPr>
      </w:pPr>
      <w:r w:rsidRPr="00E3232D">
        <w:rPr>
          <w:rFonts w:ascii="Book Antiqua" w:hAnsi="Book Antiqua"/>
        </w:rPr>
        <w:t xml:space="preserve">There were very strong negative correlations of (-0.96) and (-0.89) between the lengths of drying period and the efficiencies of drying for the PWBED and oven respectively. The efficiency of drying decreased with increasing drying period. There were positive correlations of (0.73) and (0.76) between the amounts of moisture in the tomato slices and the efficiencies of drying for the PWBED and oven respectively. There are two types of water in food and these are free or bulk water, and bound water. Free water can easily be extracted from food by the application of pressure to the food. Bound water cannot be easily removed from food and even upon dehydration, food contains bound water. During the initial three hours of drying free water was easily removed from the tomato slices(Figure 9) and the efficiency of drying was high at 54% – 59% for the PWBED and 55% – 66% for the oven (Tables 6 and 7). As the residual moisture content decreased the drying efficiency also decreased (Figure 10). The drying efficiencies at different lengths of drying periods were differed significantly (p&gt;0.05), but not significantly between the PWBED and oven (Table 8). It took seven hours and eight hours for the PWBED and oven respectively to dry the tomato slices. The input of electrical energy to the PWBED and oven cost </w:t>
      </w:r>
      <w:r w:rsidRPr="00E3232D">
        <w:rPr>
          <w:rFonts w:ascii="Book Antiqua" w:hAnsi="Book Antiqua"/>
          <w:bCs/>
        </w:rPr>
        <w:t>GH¢</w:t>
      </w:r>
      <w:r w:rsidRPr="00E3232D">
        <w:rPr>
          <w:rFonts w:ascii="Book Antiqua" w:hAnsi="Book Antiqua"/>
        </w:rPr>
        <w:t xml:space="preserve">1.09 and </w:t>
      </w:r>
      <w:r w:rsidRPr="00E3232D">
        <w:rPr>
          <w:rFonts w:ascii="Book Antiqua" w:hAnsi="Book Antiqua"/>
          <w:bCs/>
        </w:rPr>
        <w:t>GH¢</w:t>
      </w:r>
      <w:r w:rsidRPr="00E3232D">
        <w:rPr>
          <w:rFonts w:ascii="Book Antiqua" w:hAnsi="Book Antiqua"/>
        </w:rPr>
        <w:t xml:space="preserve">2.27 respectively. This made the cost of electrical energy to the PWBED to be 48.0% of the cost of electrical energy to the oven. </w:t>
      </w:r>
    </w:p>
    <w:p w14:paraId="01210A71" w14:textId="77777777" w:rsidR="00B45605" w:rsidRPr="00E3232D" w:rsidRDefault="002F199C" w:rsidP="006E25F9">
      <w:pPr>
        <w:jc w:val="both"/>
        <w:rPr>
          <w:rFonts w:ascii="Book Antiqua" w:hAnsi="Book Antiqua"/>
        </w:rPr>
      </w:pPr>
      <w:r w:rsidRPr="00E3232D">
        <w:rPr>
          <w:rFonts w:ascii="Book Antiqua" w:hAnsi="Book Antiqua"/>
          <w:bCs/>
        </w:rPr>
        <w:t>Laboratories of any discipline are extremely energy intensive, with processes and experimental instruments running around the clock. Essential equipmentlike laboratory ovens frequently run for lengthy periods and use large amounts of electricity and are a major contributor to overall energy use. Reducing the amount of energy used by an oven can provide significant cost savings over time within the laboratory</w:t>
      </w:r>
      <w:r w:rsidR="00B45605">
        <w:rPr>
          <w:rFonts w:ascii="Book Antiqua" w:hAnsi="Book Antiqua"/>
          <w:bCs/>
        </w:rPr>
        <w:t xml:space="preserve"> </w:t>
      </w:r>
      <w:r w:rsidRPr="00E3232D">
        <w:rPr>
          <w:rFonts w:ascii="Book Antiqua" w:hAnsi="Book Antiqua"/>
        </w:rPr>
        <w:t>(Lab Manager Magazine, 2011).</w:t>
      </w:r>
      <w:r w:rsidRPr="00E3232D">
        <w:rPr>
          <w:rFonts w:ascii="Book Antiqua" w:hAnsi="Book Antiqua"/>
          <w:bCs/>
        </w:rPr>
        <w:t xml:space="preserve">The PWBED could be used as an alternative to the laboratory oven and it would help in cost savings in laboratory operations. The materials used to construct the PWBED cost GH¢ </w:t>
      </w:r>
      <w:r w:rsidRPr="00E3232D">
        <w:rPr>
          <w:rFonts w:ascii="Book Antiqua" w:hAnsi="Book Antiqua"/>
        </w:rPr>
        <w:t xml:space="preserve">211.06. </w:t>
      </w:r>
    </w:p>
    <w:p w14:paraId="6B9A463F" w14:textId="77777777" w:rsidR="002F199C" w:rsidRPr="00E3232D" w:rsidRDefault="002F199C" w:rsidP="00196385">
      <w:pPr>
        <w:pStyle w:val="ListParagraph"/>
        <w:numPr>
          <w:ilvl w:val="0"/>
          <w:numId w:val="83"/>
        </w:numPr>
        <w:tabs>
          <w:tab w:val="left" w:pos="1916"/>
        </w:tabs>
        <w:jc w:val="both"/>
        <w:rPr>
          <w:rFonts w:ascii="Book Antiqua" w:hAnsi="Book Antiqua"/>
          <w:b/>
        </w:rPr>
      </w:pPr>
      <w:r w:rsidRPr="008214F9">
        <w:rPr>
          <w:rFonts w:ascii="Book Antiqua" w:hAnsi="Book Antiqua"/>
          <w:b/>
          <w:sz w:val="26"/>
        </w:rPr>
        <w:t>Conclusion</w:t>
      </w:r>
      <w:r w:rsidRPr="00E3232D">
        <w:rPr>
          <w:rFonts w:ascii="Book Antiqua" w:hAnsi="Book Antiqua"/>
          <w:b/>
        </w:rPr>
        <w:t xml:space="preserve"> </w:t>
      </w:r>
    </w:p>
    <w:p w14:paraId="1885DDBF" w14:textId="77777777" w:rsidR="002F199C" w:rsidRPr="00E3232D" w:rsidRDefault="002F199C" w:rsidP="006E25F9">
      <w:pPr>
        <w:jc w:val="both"/>
        <w:rPr>
          <w:rFonts w:ascii="Book Antiqua" w:hAnsi="Book Antiqua"/>
        </w:rPr>
      </w:pPr>
      <w:r w:rsidRPr="00E3232D">
        <w:rPr>
          <w:rFonts w:ascii="Book Antiqua" w:hAnsi="Book Antiqua"/>
        </w:rPr>
        <w:t>The PWBED is easy and cheap to construct, relatively cheaper to use compared to the laboratory oven used for comparison, portable and easy to maintain. It could be used as an alternative or support to the laboratory oven, especially for teaching purposes when the temperature required does not exceed 130</w:t>
      </w:r>
      <w:r w:rsidRPr="00E3232D">
        <w:rPr>
          <w:rFonts w:ascii="Book Antiqua" w:hAnsi="Book Antiqua"/>
          <w:vertAlign w:val="superscript"/>
        </w:rPr>
        <w:t>o</w:t>
      </w:r>
      <w:r w:rsidRPr="00E3232D">
        <w:rPr>
          <w:rFonts w:ascii="Book Antiqua" w:hAnsi="Book Antiqua"/>
        </w:rPr>
        <w:t xml:space="preserve">C. </w:t>
      </w:r>
    </w:p>
    <w:p w14:paraId="629894F8" w14:textId="77777777" w:rsidR="00FF2F5C" w:rsidRPr="00E3232D" w:rsidRDefault="00FF2F5C" w:rsidP="006E25F9">
      <w:pPr>
        <w:jc w:val="both"/>
        <w:rPr>
          <w:rFonts w:ascii="Book Antiqua" w:hAnsi="Book Antiqua"/>
        </w:rPr>
        <w:sectPr w:rsidR="00FF2F5C" w:rsidRPr="00E3232D" w:rsidSect="008F6BC9">
          <w:type w:val="continuous"/>
          <w:pgSz w:w="11907" w:h="16839" w:code="9"/>
          <w:pgMar w:top="1080" w:right="1440" w:bottom="630" w:left="1260" w:header="720" w:footer="720" w:gutter="0"/>
          <w:cols w:num="2" w:space="720"/>
          <w:docGrid w:linePitch="360"/>
        </w:sectPr>
      </w:pPr>
    </w:p>
    <w:p w14:paraId="1297CADC" w14:textId="77777777" w:rsidR="00470677" w:rsidRDefault="00470677" w:rsidP="008214F9">
      <w:pPr>
        <w:jc w:val="both"/>
        <w:rPr>
          <w:rFonts w:ascii="Book Antiqua" w:hAnsi="Book Antiqua"/>
          <w:b/>
          <w:sz w:val="26"/>
        </w:rPr>
      </w:pPr>
    </w:p>
    <w:p w14:paraId="644E0873" w14:textId="77777777" w:rsidR="002F199C" w:rsidRPr="00E3232D" w:rsidRDefault="002F199C" w:rsidP="008214F9">
      <w:pPr>
        <w:jc w:val="both"/>
        <w:rPr>
          <w:rFonts w:ascii="Book Antiqua" w:hAnsi="Book Antiqua"/>
          <w:b/>
        </w:rPr>
      </w:pPr>
      <w:r w:rsidRPr="008214F9">
        <w:rPr>
          <w:rFonts w:ascii="Book Antiqua" w:hAnsi="Book Antiqua"/>
          <w:b/>
          <w:sz w:val="26"/>
        </w:rPr>
        <w:t>References</w:t>
      </w:r>
      <w:r w:rsidRPr="00E3232D">
        <w:rPr>
          <w:rFonts w:ascii="Book Antiqua" w:hAnsi="Book Antiqua"/>
          <w:b/>
        </w:rPr>
        <w:t xml:space="preserve"> </w:t>
      </w:r>
    </w:p>
    <w:p w14:paraId="20A71C44" w14:textId="77777777" w:rsidR="002F199C" w:rsidRPr="008214F9" w:rsidRDefault="002F199C" w:rsidP="008214F9">
      <w:pPr>
        <w:tabs>
          <w:tab w:val="left" w:pos="1916"/>
        </w:tabs>
        <w:ind w:left="810" w:right="-707" w:hanging="810"/>
        <w:jc w:val="both"/>
        <w:rPr>
          <w:rFonts w:ascii="Book Antiqua" w:hAnsi="Book Antiqua"/>
        </w:rPr>
      </w:pPr>
      <w:r w:rsidRPr="008214F9">
        <w:rPr>
          <w:rFonts w:ascii="Book Antiqua" w:hAnsi="Book Antiqua"/>
        </w:rPr>
        <w:t xml:space="preserve">Moore, J. Davis, C. Coplan, M. and Greer, S. (2009). Building Scientific Apparatus: A Practical Guide to Design and Construction. Fourth Edition. Cambridge University Press, United Kingdom. pp. 39 – 49. </w:t>
      </w:r>
    </w:p>
    <w:p w14:paraId="45F4132D" w14:textId="77777777" w:rsidR="002F199C" w:rsidRPr="008214F9" w:rsidRDefault="002F199C" w:rsidP="008214F9">
      <w:pPr>
        <w:tabs>
          <w:tab w:val="left" w:pos="1916"/>
        </w:tabs>
        <w:ind w:left="810" w:right="-707" w:hanging="810"/>
        <w:jc w:val="both"/>
        <w:rPr>
          <w:rFonts w:ascii="Book Antiqua" w:hAnsi="Book Antiqua"/>
        </w:rPr>
      </w:pPr>
      <w:r w:rsidRPr="008214F9">
        <w:rPr>
          <w:rFonts w:ascii="Book Antiqua" w:hAnsi="Book Antiqua"/>
        </w:rPr>
        <w:t xml:space="preserve">DePalma, A. 2011. Lab Ovens: Basic utilities for heating, drying, processing. Lab Manager Magazine February 28 2011. </w:t>
      </w:r>
      <w:hyperlink r:id="rId267" w:history="1">
        <w:r w:rsidRPr="008214F9">
          <w:rPr>
            <w:rFonts w:ascii="Book Antiqua" w:hAnsi="Book Antiqua"/>
          </w:rPr>
          <w:t>http://www.labmanager.com/?articles.view/articleNo/4218/title/Lab-Ovens--Basic-utilities-for-heating--drying--processing/</w:t>
        </w:r>
      </w:hyperlink>
    </w:p>
    <w:p w14:paraId="3F908136" w14:textId="77777777" w:rsidR="002F199C" w:rsidRPr="008214F9" w:rsidRDefault="002F199C" w:rsidP="008214F9">
      <w:pPr>
        <w:tabs>
          <w:tab w:val="left" w:pos="1916"/>
        </w:tabs>
        <w:ind w:left="810" w:right="-707" w:hanging="810"/>
        <w:jc w:val="both"/>
        <w:rPr>
          <w:rFonts w:ascii="Book Antiqua" w:hAnsi="Book Antiqua"/>
        </w:rPr>
      </w:pPr>
      <w:r w:rsidRPr="008214F9">
        <w:rPr>
          <w:rFonts w:ascii="Book Antiqua" w:hAnsi="Book Antiqua"/>
        </w:rPr>
        <w:t xml:space="preserve">DePalma, A. 2010. Laboratory Ovens, the Essential Lab Component. Lab Manager Magazine. October 7 2010. </w:t>
      </w:r>
      <w:hyperlink r:id="rId268" w:history="1">
        <w:r w:rsidRPr="008214F9">
          <w:rPr>
            <w:rFonts w:ascii="Book Antiqua" w:hAnsi="Book Antiqua"/>
          </w:rPr>
          <w:t>http://www.labmanager.com/?articles.view/articleNo/3851/title/Laboratory-Ovens--the-Essential-Lab-Component/</w:t>
        </w:r>
      </w:hyperlink>
    </w:p>
    <w:p w14:paraId="25B9C29F"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 xml:space="preserve">Clemson Extension. (1996). Incubating eggs of domestic birds. The Clemson University Cooperative Extension Service. EC 530 Rev. October 1996. </w:t>
      </w:r>
      <w:hyperlink r:id="rId269" w:history="1">
        <w:r w:rsidRPr="008214F9">
          <w:rPr>
            <w:rStyle w:val="Hyperlink"/>
            <w:rFonts w:ascii="Book Antiqua" w:hAnsi="Book Antiqua"/>
          </w:rPr>
          <w:t>http://www.clemson.edu/psapublishing/pages/ADVS/EC530.PDF</w:t>
        </w:r>
      </w:hyperlink>
    </w:p>
    <w:p w14:paraId="626C049C" w14:textId="77777777" w:rsidR="002F199C" w:rsidRPr="008214F9" w:rsidRDefault="002F199C" w:rsidP="008214F9">
      <w:pPr>
        <w:tabs>
          <w:tab w:val="left" w:pos="1916"/>
        </w:tabs>
        <w:ind w:left="810" w:right="-707" w:hanging="810"/>
        <w:jc w:val="both"/>
        <w:rPr>
          <w:rFonts w:ascii="Book Antiqua" w:hAnsi="Book Antiqua"/>
        </w:rPr>
      </w:pPr>
      <w:r w:rsidRPr="008214F9">
        <w:rPr>
          <w:rFonts w:ascii="Book Antiqua" w:hAnsi="Book Antiqua"/>
        </w:rPr>
        <w:t xml:space="preserve">Mississippi State University Extension Service (MSUES). 2010. Poultry: Reproduction and Incubation: Construction of a still-air incubator. </w:t>
      </w:r>
      <w:hyperlink r:id="rId270" w:history="1">
        <w:r w:rsidRPr="008214F9">
          <w:rPr>
            <w:rFonts w:ascii="Book Antiqua" w:hAnsi="Book Antiqua"/>
          </w:rPr>
          <w:t>http://msucares.com/poultry/reproductions/poultry_make_incubator.html</w:t>
        </w:r>
      </w:hyperlink>
    </w:p>
    <w:p w14:paraId="64F9AD03"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 xml:space="preserve">Price, F. E. and Kirk, D. F. 1943. Construction and operation of a home electric food dehydrator. Agricultural Extension Station. Oregon State College. Station Circular of Information No. 309 April 1943. </w:t>
      </w:r>
      <w:hyperlink r:id="rId271" w:history="1">
        <w:r w:rsidRPr="008214F9">
          <w:rPr>
            <w:rFonts w:ascii="Book Antiqua" w:hAnsi="Book Antiqua"/>
          </w:rPr>
          <w:t>http://ir.library.oregonstate.edu/xmlui/bitstream/handle/1957/21595/309.pdf?sequence=1</w:t>
        </w:r>
      </w:hyperlink>
    </w:p>
    <w:p w14:paraId="596F2BD9"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 xml:space="preserve">IVOLTA Automation Technologies LLP. 2012. Appropriate Technology. </w:t>
      </w:r>
      <w:hyperlink r:id="rId272" w:history="1">
        <w:r w:rsidRPr="008214F9">
          <w:rPr>
            <w:rFonts w:ascii="Book Antiqua" w:hAnsi="Book Antiqua"/>
          </w:rPr>
          <w:t>http://ivolta.in/sustainable_automation.html</w:t>
        </w:r>
      </w:hyperlink>
    </w:p>
    <w:p w14:paraId="18F202EB"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Pearson, C. 2013. Practices of Science Improvisation in School. http://www.ehow.com/info_8169958_practices-science-improvisation-school.html</w:t>
      </w:r>
    </w:p>
    <w:p w14:paraId="1766B81B"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Yeboah, E. A. 2012. A Survey of Biology Practical Work in Selected Senior High Schools in the Eastern Region of Ghana. Thesis. University of Education, Winneba, Ghana. http://www.uew.edu.gh/content/survey-biology-practical-work-selected-senior-high-schools-eastern-region-ghana</w:t>
      </w:r>
    </w:p>
    <w:p w14:paraId="5AB1A944"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 xml:space="preserve">GNA. 2004. Headmaster decries lack of interest in the pursuit of science. </w:t>
      </w:r>
      <w:hyperlink r:id="rId273" w:history="1">
        <w:r w:rsidRPr="008214F9">
          <w:rPr>
            <w:rFonts w:ascii="Book Antiqua" w:hAnsi="Book Antiqua"/>
          </w:rPr>
          <w:t>http://www.modernghana.com/news/62643/1/headmaster-decries-lack-of-interest-in-the-pursuit.html</w:t>
        </w:r>
      </w:hyperlink>
    </w:p>
    <w:p w14:paraId="6CB77E27"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Meier, C. L. Building a Portable Electric Food Dehydrator. http://www.artifex.org/~meiercl/dehydrator/</w:t>
      </w:r>
    </w:p>
    <w:p w14:paraId="566F7FF3"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 xml:space="preserve">Malata, M. and Landreman, M. (n.d.). Locally made laboratory equipment for interactive science teaching. Zambia’s National Science Centre. </w:t>
      </w:r>
      <w:hyperlink r:id="rId274" w:history="1">
        <w:r w:rsidRPr="008214F9">
          <w:rPr>
            <w:rFonts w:ascii="Book Antiqua" w:hAnsi="Book Antiqua"/>
          </w:rPr>
          <w:t>http://www.wcpsd.org/posters/education/Landreman.pdf</w:t>
        </w:r>
      </w:hyperlink>
    </w:p>
    <w:p w14:paraId="0E8C68C5"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Owolabi, O. T. and Oginni, O. I. (2012). Improvisation of science equipment in Nigerian schools. Universal Journal of Education and General Studies Vol. 1(3) pp. 044-048, March, 2012. http://universalresearchjournals.org/ujegs/pdf/2012/Mar/Owolabi%20and%20Oginni.pdf</w:t>
      </w:r>
    </w:p>
    <w:p w14:paraId="3B9BF8BA"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UNESCO. Low cost equipment for science and technology education. A resource document on low cost equipment that you can make and use. Division of Science, technical and Environmental Education, UNESCO. Paris, France. http://unesdoc.unesco.org/images/0010/001023/102321eb.pdf</w:t>
      </w:r>
    </w:p>
    <w:p w14:paraId="69A1C305"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UNDP. 1982. School Science Equipment Production and Distribution in the Philippines: Project Findings and Recommendations. Serial No. FMR/ED/OPS/82/265 (UNDP). . Paris, France. http://unesdoc.unesco.org/images/0005/000513/051331eo.pdf</w:t>
      </w:r>
    </w:p>
    <w:p w14:paraId="7DC393A5"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Genlab Ltd. High Temperature Ovens. http://www.genlab.co.uk/industrial/high-temperature-ovens</w:t>
      </w:r>
    </w:p>
    <w:p w14:paraId="5304124F" w14:textId="77777777" w:rsidR="002F199C" w:rsidRPr="008214F9" w:rsidRDefault="002F199C" w:rsidP="008214F9">
      <w:pPr>
        <w:ind w:left="810" w:right="-707" w:hanging="810"/>
        <w:jc w:val="both"/>
        <w:rPr>
          <w:rFonts w:ascii="Book Antiqua" w:hAnsi="Book Antiqua"/>
        </w:rPr>
      </w:pPr>
      <w:r w:rsidRPr="008214F9">
        <w:rPr>
          <w:rFonts w:ascii="Book Antiqua" w:hAnsi="Book Antiqua"/>
        </w:rPr>
        <w:t>GNA. June 2010. 2013. PURC Announces Increases In Electricity, Water Tariffs. Ghana Government Portal. http://www.ghana.gov.gh/index.php/news/general-news/2272-purc-announces-increases-in-electricity-water-tariffs</w:t>
      </w:r>
    </w:p>
    <w:p w14:paraId="5E3F33CB" w14:textId="77777777" w:rsidR="002F199C" w:rsidRPr="008214F9" w:rsidRDefault="002F199C" w:rsidP="008214F9">
      <w:pPr>
        <w:tabs>
          <w:tab w:val="left" w:pos="1916"/>
        </w:tabs>
        <w:ind w:left="810" w:right="-707" w:hanging="810"/>
        <w:jc w:val="both"/>
        <w:rPr>
          <w:rFonts w:ascii="Book Antiqua" w:hAnsi="Book Antiqua"/>
        </w:rPr>
      </w:pPr>
      <w:r w:rsidRPr="008214F9">
        <w:rPr>
          <w:rFonts w:ascii="Book Antiqua" w:hAnsi="Book Antiqua"/>
        </w:rPr>
        <w:t xml:space="preserve">Long, A. K. (2010, January 18). The Many Applications of the Laboratory Oven. Retrieved March 30, 2013, from </w:t>
      </w:r>
      <w:hyperlink r:id="rId275" w:history="1">
        <w:r w:rsidRPr="008214F9">
          <w:rPr>
            <w:rStyle w:val="Hyperlink"/>
            <w:rFonts w:ascii="Book Antiqua" w:hAnsi="Book Antiqua"/>
          </w:rPr>
          <w:t>http://ezinearticles.com/?The Many Applications of the Laboratory Oven&amp;id=3598769</w:t>
        </w:r>
      </w:hyperlink>
    </w:p>
    <w:p w14:paraId="39B2DD72" w14:textId="77777777" w:rsidR="002F199C" w:rsidRPr="008214F9" w:rsidRDefault="002F199C" w:rsidP="008214F9">
      <w:pPr>
        <w:tabs>
          <w:tab w:val="left" w:pos="1916"/>
        </w:tabs>
        <w:ind w:left="810" w:right="-707" w:hanging="810"/>
        <w:jc w:val="both"/>
        <w:rPr>
          <w:rFonts w:ascii="Book Antiqua" w:hAnsi="Book Antiqua"/>
        </w:rPr>
      </w:pPr>
      <w:r w:rsidRPr="008214F9">
        <w:rPr>
          <w:rFonts w:ascii="Book Antiqua" w:hAnsi="Book Antiqua"/>
        </w:rPr>
        <w:t xml:space="preserve">Lab Manager Magazine. October 7 2011. An Energy Efficient Laboratory Oven. </w:t>
      </w:r>
      <w:hyperlink r:id="rId276" w:history="1">
        <w:r w:rsidRPr="008214F9">
          <w:rPr>
            <w:rFonts w:ascii="Book Antiqua" w:hAnsi="Book Antiqua"/>
          </w:rPr>
          <w:t>http://www.labmanager.com/?articles.view/articleNo/5783/title/An-Energy-Efficient-Laboratory-Oven/</w:t>
        </w:r>
      </w:hyperlink>
    </w:p>
    <w:p w14:paraId="1DE62B11" w14:textId="77777777" w:rsidR="002F199C" w:rsidRPr="00E3232D" w:rsidRDefault="002F199C" w:rsidP="008214F9">
      <w:pPr>
        <w:ind w:left="810" w:right="-707" w:hanging="810"/>
        <w:jc w:val="both"/>
        <w:rPr>
          <w:rFonts w:ascii="Book Antiqua" w:hAnsi="Book Antiqua"/>
        </w:rPr>
      </w:pPr>
    </w:p>
    <w:p w14:paraId="220EFE0C" w14:textId="77777777" w:rsidR="001534BA" w:rsidRPr="00E3232D" w:rsidRDefault="001534BA" w:rsidP="008214F9">
      <w:pPr>
        <w:ind w:left="810" w:right="-707" w:hanging="810"/>
        <w:jc w:val="both"/>
        <w:rPr>
          <w:rFonts w:ascii="Book Antiqua" w:hAnsi="Book Antiqua"/>
          <w:b/>
        </w:rPr>
      </w:pPr>
    </w:p>
    <w:p w14:paraId="3434E827" w14:textId="77777777" w:rsidR="008B47FB" w:rsidRDefault="008B47FB" w:rsidP="008275E1">
      <w:pPr>
        <w:rPr>
          <w:rFonts w:ascii="Book Antiqua" w:hAnsi="Book Antiqua"/>
          <w:b/>
        </w:rPr>
        <w:sectPr w:rsidR="008B47FB" w:rsidSect="008214F9">
          <w:type w:val="continuous"/>
          <w:pgSz w:w="11907" w:h="16839" w:code="9"/>
          <w:pgMar w:top="1440" w:right="1440" w:bottom="1440" w:left="1260" w:header="720" w:footer="720" w:gutter="0"/>
          <w:cols w:num="2" w:space="720"/>
          <w:docGrid w:linePitch="360"/>
        </w:sectPr>
      </w:pPr>
    </w:p>
    <w:p w14:paraId="6CBAF92E" w14:textId="77777777" w:rsidR="00FF2F5C" w:rsidRPr="00E3232D" w:rsidRDefault="00FF2F5C" w:rsidP="008275E1">
      <w:pPr>
        <w:rPr>
          <w:rFonts w:ascii="Book Antiqua" w:hAnsi="Book Antiqua"/>
          <w:b/>
        </w:rPr>
        <w:sectPr w:rsidR="00FF2F5C" w:rsidRPr="00E3232D" w:rsidSect="008F6BC9">
          <w:type w:val="continuous"/>
          <w:pgSz w:w="11907" w:h="16839" w:code="9"/>
          <w:pgMar w:top="1440" w:right="1440" w:bottom="1440" w:left="2160" w:header="720" w:footer="720" w:gutter="0"/>
          <w:cols w:space="720"/>
          <w:docGrid w:linePitch="360"/>
        </w:sectPr>
      </w:pPr>
    </w:p>
    <w:p w14:paraId="5BF651D2" w14:textId="77777777" w:rsidR="00AB41AE" w:rsidRDefault="00AB41AE" w:rsidP="008214F9">
      <w:pPr>
        <w:rPr>
          <w:rFonts w:ascii="Book Antiqua" w:hAnsi="Book Antiqua"/>
          <w:b/>
        </w:rPr>
      </w:pPr>
    </w:p>
    <w:p w14:paraId="13ADC5BA" w14:textId="77777777" w:rsidR="00AB41AE" w:rsidRDefault="00AB41AE" w:rsidP="008B47FB">
      <w:pPr>
        <w:jc w:val="center"/>
        <w:rPr>
          <w:rFonts w:ascii="Book Antiqua" w:hAnsi="Book Antiqua"/>
          <w:b/>
        </w:rPr>
      </w:pPr>
    </w:p>
    <w:p w14:paraId="0C871B48" w14:textId="77777777" w:rsidR="00AB41AE" w:rsidRDefault="00AB41AE" w:rsidP="008B47FB">
      <w:pPr>
        <w:jc w:val="center"/>
        <w:rPr>
          <w:rFonts w:ascii="Book Antiqua" w:hAnsi="Book Antiqua"/>
          <w:b/>
        </w:rPr>
      </w:pPr>
    </w:p>
    <w:p w14:paraId="362E612A" w14:textId="77777777" w:rsidR="00AB41AE" w:rsidRDefault="00AB41AE" w:rsidP="008B47FB">
      <w:pPr>
        <w:jc w:val="center"/>
        <w:rPr>
          <w:rFonts w:ascii="Book Antiqua" w:hAnsi="Book Antiqua"/>
          <w:b/>
        </w:rPr>
      </w:pPr>
    </w:p>
    <w:p w14:paraId="2C525117" w14:textId="77777777" w:rsidR="00470677" w:rsidRDefault="00F22AE6" w:rsidP="00470677">
      <w:pPr>
        <w:spacing w:after="0"/>
        <w:jc w:val="center"/>
        <w:rPr>
          <w:rFonts w:ascii="Book Antiqua" w:hAnsi="Book Antiqua"/>
          <w:b/>
          <w:sz w:val="26"/>
          <w:szCs w:val="26"/>
        </w:rPr>
      </w:pPr>
      <w:r w:rsidRPr="007C6BC4">
        <w:rPr>
          <w:rFonts w:ascii="Book Antiqua" w:hAnsi="Book Antiqua"/>
          <w:b/>
          <w:sz w:val="26"/>
          <w:szCs w:val="26"/>
        </w:rPr>
        <w:t xml:space="preserve">The Use </w:t>
      </w:r>
      <w:r w:rsidR="001F6043" w:rsidRPr="007C6BC4">
        <w:rPr>
          <w:rFonts w:ascii="Book Antiqua" w:hAnsi="Book Antiqua"/>
          <w:b/>
          <w:sz w:val="26"/>
          <w:szCs w:val="26"/>
        </w:rPr>
        <w:t>of</w:t>
      </w:r>
      <w:r w:rsidRPr="007C6BC4">
        <w:rPr>
          <w:rFonts w:ascii="Book Antiqua" w:hAnsi="Book Antiqua"/>
          <w:b/>
          <w:sz w:val="26"/>
          <w:szCs w:val="26"/>
        </w:rPr>
        <w:t xml:space="preserve"> Mobile Phone </w:t>
      </w:r>
      <w:r w:rsidR="001F6043" w:rsidRPr="007C6BC4">
        <w:rPr>
          <w:rFonts w:ascii="Book Antiqua" w:hAnsi="Book Antiqua"/>
          <w:b/>
          <w:sz w:val="26"/>
          <w:szCs w:val="26"/>
        </w:rPr>
        <w:t>by</w:t>
      </w:r>
      <w:r w:rsidRPr="007C6BC4">
        <w:rPr>
          <w:rFonts w:ascii="Book Antiqua" w:hAnsi="Book Antiqua"/>
          <w:b/>
          <w:sz w:val="26"/>
          <w:szCs w:val="26"/>
        </w:rPr>
        <w:t xml:space="preserve"> Students </w:t>
      </w:r>
      <w:r w:rsidR="001F6043" w:rsidRPr="007C6BC4">
        <w:rPr>
          <w:rFonts w:ascii="Book Antiqua" w:hAnsi="Book Antiqua"/>
          <w:b/>
          <w:sz w:val="26"/>
          <w:szCs w:val="26"/>
        </w:rPr>
        <w:t>during</w:t>
      </w:r>
      <w:r w:rsidRPr="007C6BC4">
        <w:rPr>
          <w:rFonts w:ascii="Book Antiqua" w:hAnsi="Book Antiqua"/>
          <w:b/>
          <w:sz w:val="26"/>
          <w:szCs w:val="26"/>
        </w:rPr>
        <w:t xml:space="preserve"> Lectures </w:t>
      </w:r>
      <w:r w:rsidR="001F6043" w:rsidRPr="007C6BC4">
        <w:rPr>
          <w:rFonts w:ascii="Book Antiqua" w:hAnsi="Book Antiqua"/>
          <w:b/>
          <w:sz w:val="26"/>
          <w:szCs w:val="26"/>
        </w:rPr>
        <w:t>and</w:t>
      </w:r>
      <w:r w:rsidRPr="007C6BC4">
        <w:rPr>
          <w:rFonts w:ascii="Book Antiqua" w:hAnsi="Book Antiqua"/>
          <w:b/>
          <w:sz w:val="26"/>
          <w:szCs w:val="26"/>
        </w:rPr>
        <w:t xml:space="preserve"> Its Implications </w:t>
      </w:r>
      <w:r w:rsidR="001F6043" w:rsidRPr="007C6BC4">
        <w:rPr>
          <w:rFonts w:ascii="Book Antiqua" w:hAnsi="Book Antiqua"/>
          <w:b/>
          <w:sz w:val="26"/>
          <w:szCs w:val="26"/>
        </w:rPr>
        <w:t>on</w:t>
      </w:r>
      <w:r w:rsidRPr="007C6BC4">
        <w:rPr>
          <w:rFonts w:ascii="Book Antiqua" w:hAnsi="Book Antiqua"/>
          <w:b/>
          <w:sz w:val="26"/>
          <w:szCs w:val="26"/>
        </w:rPr>
        <w:t xml:space="preserve"> Academic Work</w:t>
      </w:r>
      <w:r w:rsidR="00470677">
        <w:rPr>
          <w:rFonts w:ascii="Book Antiqua" w:hAnsi="Book Antiqua"/>
          <w:b/>
          <w:sz w:val="26"/>
          <w:szCs w:val="26"/>
        </w:rPr>
        <w:t>:</w:t>
      </w:r>
      <w:r w:rsidR="00470677" w:rsidRPr="00470677">
        <w:rPr>
          <w:rFonts w:ascii="Book Antiqua" w:hAnsi="Book Antiqua"/>
          <w:b/>
          <w:sz w:val="26"/>
          <w:szCs w:val="26"/>
        </w:rPr>
        <w:t xml:space="preserve"> </w:t>
      </w:r>
      <w:r w:rsidR="00470677" w:rsidRPr="007C6BC4">
        <w:rPr>
          <w:rFonts w:ascii="Book Antiqua" w:hAnsi="Book Antiqua"/>
          <w:b/>
          <w:sz w:val="26"/>
          <w:szCs w:val="26"/>
        </w:rPr>
        <w:t>A Case Study of Koforidua Polytechnic</w:t>
      </w:r>
    </w:p>
    <w:p w14:paraId="6CFDA81C" w14:textId="77777777" w:rsidR="00AB41AE" w:rsidRPr="00AB41AE" w:rsidRDefault="00AB41AE" w:rsidP="00470677">
      <w:pPr>
        <w:spacing w:after="0"/>
        <w:rPr>
          <w:rFonts w:ascii="Book Antiqua" w:hAnsi="Book Antiqua"/>
          <w:b/>
          <w:sz w:val="26"/>
          <w:szCs w:val="26"/>
        </w:rPr>
      </w:pPr>
    </w:p>
    <w:p w14:paraId="5A272252" w14:textId="77777777" w:rsidR="00466C6E" w:rsidRPr="0088118F" w:rsidRDefault="00466C6E" w:rsidP="00AB41AE">
      <w:pPr>
        <w:spacing w:after="0"/>
        <w:jc w:val="center"/>
        <w:rPr>
          <w:rFonts w:ascii="Book Antiqua" w:hAnsi="Book Antiqua"/>
          <w:b/>
        </w:rPr>
      </w:pPr>
      <w:r w:rsidRPr="0088118F">
        <w:rPr>
          <w:rFonts w:ascii="Book Antiqua" w:hAnsi="Book Antiqua"/>
          <w:b/>
        </w:rPr>
        <w:t>Bekoe-Biney</w:t>
      </w:r>
      <w:r w:rsidR="006B3268">
        <w:rPr>
          <w:rFonts w:ascii="Book Antiqua" w:hAnsi="Book Antiqua"/>
          <w:b/>
        </w:rPr>
        <w:t xml:space="preserve"> R.</w:t>
      </w:r>
      <w:r w:rsidRPr="0088118F">
        <w:rPr>
          <w:rFonts w:ascii="Book Antiqua" w:hAnsi="Book Antiqua"/>
          <w:b/>
        </w:rPr>
        <w:t xml:space="preserve">, </w:t>
      </w:r>
      <w:r w:rsidR="0088118F" w:rsidRPr="0088118F">
        <w:rPr>
          <w:rFonts w:ascii="Book Antiqua" w:hAnsi="Book Antiqua"/>
          <w:b/>
        </w:rPr>
        <w:t>Quartey</w:t>
      </w:r>
      <w:r w:rsidR="0088118F">
        <w:rPr>
          <w:rFonts w:ascii="Book Antiqua" w:hAnsi="Book Antiqua"/>
          <w:b/>
        </w:rPr>
        <w:t xml:space="preserve"> E.</w:t>
      </w:r>
      <w:r w:rsidR="00C95ACB">
        <w:rPr>
          <w:rFonts w:ascii="Book Antiqua" w:hAnsi="Book Antiqua"/>
          <w:b/>
        </w:rPr>
        <w:t xml:space="preserve"> </w:t>
      </w:r>
      <w:r w:rsidR="0088118F">
        <w:rPr>
          <w:rFonts w:ascii="Book Antiqua" w:hAnsi="Book Antiqua"/>
          <w:b/>
        </w:rPr>
        <w:t>F.</w:t>
      </w:r>
      <w:r w:rsidRPr="0088118F">
        <w:rPr>
          <w:rFonts w:ascii="Book Antiqua" w:hAnsi="Book Antiqua"/>
          <w:b/>
        </w:rPr>
        <w:t xml:space="preserve"> </w:t>
      </w:r>
      <w:r w:rsidR="005525E1">
        <w:rPr>
          <w:rFonts w:ascii="Book Antiqua" w:hAnsi="Book Antiqua"/>
          <w:b/>
        </w:rPr>
        <w:t>&amp;</w:t>
      </w:r>
      <w:r w:rsidRPr="0088118F">
        <w:rPr>
          <w:rFonts w:ascii="Book Antiqua" w:hAnsi="Book Antiqua"/>
          <w:b/>
        </w:rPr>
        <w:t xml:space="preserve"> </w:t>
      </w:r>
      <w:r w:rsidRPr="0088118F">
        <w:rPr>
          <w:rFonts w:ascii="Book Antiqua" w:hAnsi="Book Antiqua"/>
          <w:b/>
          <w:lang w:val="en-GB"/>
        </w:rPr>
        <w:t>Lartey</w:t>
      </w:r>
      <w:r w:rsidR="0088118F">
        <w:rPr>
          <w:rFonts w:ascii="Book Antiqua" w:hAnsi="Book Antiqua"/>
          <w:b/>
          <w:lang w:val="en-GB"/>
        </w:rPr>
        <w:t xml:space="preserve"> V. C.</w:t>
      </w:r>
    </w:p>
    <w:p w14:paraId="2A5C9036" w14:textId="77777777" w:rsidR="00466C6E" w:rsidRDefault="006E25F9" w:rsidP="006E25F9">
      <w:pPr>
        <w:spacing w:after="0"/>
        <w:jc w:val="center"/>
        <w:rPr>
          <w:rFonts w:ascii="Book Antiqua" w:hAnsi="Book Antiqua"/>
          <w:szCs w:val="26"/>
        </w:rPr>
      </w:pPr>
      <w:r w:rsidRPr="006E25F9">
        <w:rPr>
          <w:rFonts w:ascii="Book Antiqua" w:hAnsi="Book Antiqua"/>
          <w:szCs w:val="26"/>
        </w:rPr>
        <w:t>Koforidua Polytechnic</w:t>
      </w:r>
      <w:r>
        <w:rPr>
          <w:rFonts w:ascii="Book Antiqua" w:hAnsi="Book Antiqua"/>
          <w:szCs w:val="26"/>
        </w:rPr>
        <w:t>, Koforidua</w:t>
      </w:r>
    </w:p>
    <w:p w14:paraId="3C153B16" w14:textId="77777777" w:rsidR="00C95ACB" w:rsidRPr="00C95ACB" w:rsidRDefault="00C95ACB" w:rsidP="00C95ACB">
      <w:pPr>
        <w:jc w:val="center"/>
        <w:rPr>
          <w:rFonts w:ascii="Times New Roman" w:hAnsi="Times New Roman"/>
          <w:sz w:val="24"/>
          <w:szCs w:val="24"/>
          <w:lang w:bidi="ar-SA"/>
        </w:rPr>
      </w:pPr>
      <w:r w:rsidRPr="00C95ACB">
        <w:rPr>
          <w:rFonts w:ascii="Book Antiqua" w:hAnsi="Book Antiqua"/>
          <w:b/>
          <w:szCs w:val="26"/>
        </w:rPr>
        <w:t>Email</w:t>
      </w:r>
      <w:r>
        <w:rPr>
          <w:rFonts w:ascii="Book Antiqua" w:hAnsi="Book Antiqua"/>
          <w:szCs w:val="26"/>
        </w:rPr>
        <w:t>:</w:t>
      </w:r>
      <w:r w:rsidRPr="00C95ACB">
        <w:t xml:space="preserve"> </w:t>
      </w:r>
      <w:r>
        <w:rPr>
          <w:rFonts w:ascii="Times New Roman" w:hAnsi="Times New Roman"/>
          <w:noProof/>
          <w:sz w:val="24"/>
          <w:szCs w:val="24"/>
          <w:lang w:bidi="ar-SA"/>
        </w:rPr>
        <w:drawing>
          <wp:inline distT="0" distB="0" distL="0" distR="0" wp14:anchorId="0D529F20" wp14:editId="35AF434D">
            <wp:extent cx="9525" cy="9525"/>
            <wp:effectExtent l="0" t="0" r="0" b="0"/>
            <wp:docPr id="20" name="Picture 37"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ail.google.com/mail/u/0/images/cleardot.gif"/>
                    <pic:cNvPicPr>
                      <a:picLocks noChangeAspect="1" noChangeArrowheads="1"/>
                    </pic:cNvPicPr>
                  </pic:nvPicPr>
                  <pic:blipFill>
                    <a:blip r:embed="rId277"/>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C95ACB">
        <w:rPr>
          <w:rFonts w:ascii="Times New Roman" w:hAnsi="Times New Roman"/>
          <w:sz w:val="24"/>
          <w:szCs w:val="24"/>
          <w:lang w:bidi="ar-SA"/>
        </w:rPr>
        <w:t>regibekoee@yahoo.com</w:t>
      </w:r>
    </w:p>
    <w:tbl>
      <w:tblPr>
        <w:tblW w:w="0" w:type="auto"/>
        <w:tblCellSpacing w:w="15" w:type="dxa"/>
        <w:tblCellMar>
          <w:left w:w="0" w:type="dxa"/>
          <w:right w:w="0" w:type="dxa"/>
        </w:tblCellMar>
        <w:tblLook w:val="04A0" w:firstRow="1" w:lastRow="0" w:firstColumn="1" w:lastColumn="0" w:noHBand="0" w:noVBand="1"/>
      </w:tblPr>
      <w:tblGrid>
        <w:gridCol w:w="51"/>
        <w:gridCol w:w="36"/>
        <w:gridCol w:w="60"/>
      </w:tblGrid>
      <w:tr w:rsidR="00C95ACB" w:rsidRPr="00C95ACB" w14:paraId="68BD4FDA" w14:textId="77777777" w:rsidTr="00C95ACB">
        <w:trPr>
          <w:tblCellSpacing w:w="15" w:type="dxa"/>
        </w:trPr>
        <w:tc>
          <w:tcPr>
            <w:tcW w:w="0" w:type="auto"/>
            <w:vAlign w:val="center"/>
            <w:hideMark/>
          </w:tcPr>
          <w:p w14:paraId="1588A22C" w14:textId="77777777" w:rsidR="00C95ACB" w:rsidRPr="00C95ACB" w:rsidRDefault="00C95ACB" w:rsidP="00C95ACB">
            <w:pPr>
              <w:spacing w:after="0" w:line="240" w:lineRule="auto"/>
              <w:rPr>
                <w:rFonts w:ascii="Times New Roman" w:hAnsi="Times New Roman"/>
                <w:sz w:val="24"/>
                <w:szCs w:val="24"/>
                <w:lang w:bidi="ar-SA"/>
              </w:rPr>
            </w:pPr>
          </w:p>
        </w:tc>
        <w:tc>
          <w:tcPr>
            <w:tcW w:w="0" w:type="auto"/>
            <w:vAlign w:val="center"/>
            <w:hideMark/>
          </w:tcPr>
          <w:p w14:paraId="35C22A08" w14:textId="77777777" w:rsidR="00C95ACB" w:rsidRPr="00C95ACB" w:rsidRDefault="00C95ACB" w:rsidP="00C95ACB">
            <w:pPr>
              <w:spacing w:after="0" w:line="240" w:lineRule="auto"/>
              <w:rPr>
                <w:rFonts w:ascii="Times New Roman" w:hAnsi="Times New Roman"/>
                <w:sz w:val="24"/>
                <w:szCs w:val="24"/>
                <w:lang w:bidi="ar-SA"/>
              </w:rPr>
            </w:pPr>
          </w:p>
        </w:tc>
        <w:tc>
          <w:tcPr>
            <w:tcW w:w="0" w:type="auto"/>
            <w:vAlign w:val="center"/>
            <w:hideMark/>
          </w:tcPr>
          <w:p w14:paraId="74D349A6" w14:textId="77777777" w:rsidR="00C95ACB" w:rsidRPr="00C95ACB" w:rsidRDefault="00C95ACB" w:rsidP="00C95ACB">
            <w:pPr>
              <w:spacing w:after="0" w:line="240" w:lineRule="auto"/>
              <w:rPr>
                <w:rFonts w:ascii="Times New Roman" w:hAnsi="Times New Roman"/>
                <w:sz w:val="24"/>
                <w:szCs w:val="24"/>
                <w:lang w:bidi="ar-SA"/>
              </w:rPr>
            </w:pPr>
            <w:r>
              <w:rPr>
                <w:rFonts w:ascii="Times New Roman" w:hAnsi="Times New Roman"/>
                <w:noProof/>
                <w:sz w:val="24"/>
                <w:szCs w:val="24"/>
                <w:lang w:bidi="ar-SA"/>
              </w:rPr>
              <w:drawing>
                <wp:inline distT="0" distB="0" distL="0" distR="0" wp14:anchorId="1FB5AF0D" wp14:editId="1809438B">
                  <wp:extent cx="9525" cy="9525"/>
                  <wp:effectExtent l="0" t="0" r="0" b="0"/>
                  <wp:docPr id="12" name="Picture 38" descr="Not sta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t starred"/>
                          <pic:cNvPicPr>
                            <a:picLocks noChangeAspect="1" noChangeArrowheads="1"/>
                          </pic:cNvPicPr>
                        </pic:nvPicPr>
                        <pic:blipFill>
                          <a:blip r:embed="rId277"/>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bl>
    <w:p w14:paraId="41AD436C" w14:textId="77777777" w:rsidR="00C95ACB" w:rsidRPr="006E25F9" w:rsidRDefault="00C95ACB" w:rsidP="006E25F9">
      <w:pPr>
        <w:spacing w:after="0"/>
        <w:jc w:val="center"/>
        <w:rPr>
          <w:rFonts w:ascii="Book Antiqua" w:hAnsi="Book Antiqua"/>
        </w:rPr>
      </w:pPr>
    </w:p>
    <w:p w14:paraId="2F006F49" w14:textId="77777777" w:rsidR="00AB41AE" w:rsidRDefault="00AB41AE" w:rsidP="00AB41AE">
      <w:pPr>
        <w:spacing w:after="0"/>
        <w:rPr>
          <w:rFonts w:ascii="Book Antiqua" w:hAnsi="Book Antiqua"/>
          <w:b/>
        </w:rPr>
      </w:pPr>
    </w:p>
    <w:p w14:paraId="3EBA1052" w14:textId="77777777" w:rsidR="00466C6E" w:rsidRPr="00E3232D" w:rsidRDefault="00466C6E" w:rsidP="00AB41AE">
      <w:pPr>
        <w:spacing w:after="0"/>
        <w:rPr>
          <w:rFonts w:ascii="Book Antiqua" w:hAnsi="Book Antiqua"/>
          <w:b/>
        </w:rPr>
      </w:pPr>
      <w:r w:rsidRPr="008214F9">
        <w:rPr>
          <w:rFonts w:ascii="Book Antiqua" w:hAnsi="Book Antiqua"/>
          <w:b/>
          <w:sz w:val="26"/>
        </w:rPr>
        <w:t>Abstract</w:t>
      </w:r>
    </w:p>
    <w:p w14:paraId="0310FA9A" w14:textId="77777777" w:rsidR="00466C6E" w:rsidRPr="00771EC6" w:rsidRDefault="00466C6E" w:rsidP="00771EC6">
      <w:pPr>
        <w:jc w:val="both"/>
        <w:rPr>
          <w:rFonts w:ascii="Book Antiqua" w:hAnsi="Book Antiqua"/>
          <w:lang w:val="en-GB"/>
        </w:rPr>
      </w:pPr>
      <w:r w:rsidRPr="00E3232D">
        <w:rPr>
          <w:rFonts w:ascii="Book Antiqua" w:hAnsi="Book Antiqua"/>
          <w:color w:val="000000"/>
        </w:rPr>
        <w:t xml:space="preserve">The main objective of this research is to find out the implications of mobile phone usage during lectures on academic work. </w:t>
      </w:r>
      <w:r w:rsidRPr="00E3232D">
        <w:rPr>
          <w:rFonts w:ascii="Book Antiqua" w:hAnsi="Book Antiqua"/>
        </w:rPr>
        <w:t xml:space="preserve">The research was centered on the three schools and all the departments in the various schools. The main tool for data collection was questionnaires. The conclusions drawn in the study were that almost all the students used in the study have mobile phone. It was found out that students use mobile phones to </w:t>
      </w:r>
      <w:r w:rsidRPr="00E3232D">
        <w:rPr>
          <w:rFonts w:ascii="Book Antiqua" w:hAnsi="Book Antiqua"/>
          <w:lang w:val="en-GB"/>
        </w:rPr>
        <w:t>make and receive calls, send and receive text messages, search for information on the internet, do calculations, checking time and recording lectures. Those who use the phones during lectures do so to inform friends that lecture is going on, to remind lecturers that they have lectures with them, and to enquire from lecturers whether they (lecturers) would be able to come to teach.</w:t>
      </w:r>
      <w:r w:rsidRPr="00E3232D">
        <w:rPr>
          <w:rFonts w:ascii="Book Antiqua" w:hAnsi="Book Antiqua"/>
        </w:rPr>
        <w:t xml:space="preserve">The study showed that some students and lecturers feel disturbed and frustrated when mobile phones/cell phones ring during lectures. Some of the respondents suggested that those whose phones ring during lectures </w:t>
      </w:r>
      <w:r w:rsidR="00A7586B">
        <w:rPr>
          <w:rFonts w:ascii="Book Antiqua" w:hAnsi="Book Antiqua"/>
          <w:lang w:val="en-GB"/>
        </w:rPr>
        <w:t>should be advised</w:t>
      </w:r>
      <w:r w:rsidRPr="00E3232D">
        <w:rPr>
          <w:rFonts w:ascii="Book Antiqua" w:hAnsi="Book Antiqua"/>
          <w:lang w:val="en-GB"/>
        </w:rPr>
        <w:t>counselled on the effects of phone usage during lectures, lecturers should order students to switch off phones, also lecturers   should be authorised to seize phones or students should be walked out from the lectures.</w:t>
      </w:r>
    </w:p>
    <w:p w14:paraId="3D6A8D22" w14:textId="77777777" w:rsidR="00466C6E" w:rsidRPr="00E3232D" w:rsidRDefault="00466C6E" w:rsidP="008275E1">
      <w:pPr>
        <w:rPr>
          <w:rFonts w:ascii="Book Antiqua" w:hAnsi="Book Antiqua"/>
        </w:rPr>
      </w:pPr>
      <w:r w:rsidRPr="00E3232D">
        <w:rPr>
          <w:rFonts w:ascii="Book Antiqua" w:hAnsi="Book Antiqua"/>
          <w:b/>
        </w:rPr>
        <w:t>Keywords:</w:t>
      </w:r>
      <w:r w:rsidR="008B47FB">
        <w:rPr>
          <w:rFonts w:ascii="Book Antiqua" w:hAnsi="Book Antiqua"/>
          <w:b/>
        </w:rPr>
        <w:t xml:space="preserve"> </w:t>
      </w:r>
      <w:r w:rsidR="00771EC6" w:rsidRPr="00E3232D">
        <w:rPr>
          <w:rFonts w:ascii="Book Antiqua" w:hAnsi="Book Antiqua"/>
        </w:rPr>
        <w:t xml:space="preserve">Mobile Phones; Communication; </w:t>
      </w:r>
      <w:r w:rsidRPr="00E3232D">
        <w:rPr>
          <w:rFonts w:ascii="Book Antiqua" w:hAnsi="Book Antiqua"/>
        </w:rPr>
        <w:t xml:space="preserve">Information </w:t>
      </w:r>
      <w:r w:rsidR="00771EC6" w:rsidRPr="00E3232D">
        <w:rPr>
          <w:rFonts w:ascii="Book Antiqua" w:hAnsi="Book Antiqua"/>
        </w:rPr>
        <w:t>And Communication Technology; Internet.</w:t>
      </w:r>
    </w:p>
    <w:p w14:paraId="3BB52B1E" w14:textId="77777777" w:rsidR="008214F9" w:rsidRDefault="008214F9" w:rsidP="0008137F">
      <w:pPr>
        <w:jc w:val="both"/>
        <w:rPr>
          <w:rFonts w:ascii="Book Antiqua" w:hAnsi="Book Antiqua"/>
          <w:b/>
          <w:sz w:val="26"/>
        </w:rPr>
      </w:pPr>
    </w:p>
    <w:p w14:paraId="3043FF9B" w14:textId="77777777" w:rsidR="00466C6E" w:rsidRPr="00E3232D" w:rsidRDefault="008214F9" w:rsidP="0008137F">
      <w:pPr>
        <w:jc w:val="both"/>
        <w:rPr>
          <w:rFonts w:ascii="Book Antiqua" w:hAnsi="Book Antiqua"/>
          <w:b/>
        </w:rPr>
      </w:pPr>
      <w:r>
        <w:rPr>
          <w:rFonts w:ascii="Book Antiqua" w:hAnsi="Book Antiqua"/>
          <w:b/>
          <w:sz w:val="26"/>
        </w:rPr>
        <w:t xml:space="preserve">1.0 </w:t>
      </w:r>
      <w:r w:rsidR="0008137F" w:rsidRPr="0008137F">
        <w:rPr>
          <w:rFonts w:ascii="Book Antiqua" w:hAnsi="Book Antiqua"/>
          <w:b/>
          <w:sz w:val="26"/>
        </w:rPr>
        <w:t>Introduction</w:t>
      </w:r>
      <w:r w:rsidR="0008137F">
        <w:rPr>
          <w:rFonts w:ascii="Book Antiqua" w:hAnsi="Book Antiqua"/>
          <w:b/>
        </w:rPr>
        <w:t xml:space="preserve"> </w:t>
      </w:r>
    </w:p>
    <w:p w14:paraId="3BB1B1C1" w14:textId="77777777" w:rsidR="008713EC" w:rsidRPr="00E3232D" w:rsidRDefault="008713EC" w:rsidP="0008137F">
      <w:pPr>
        <w:jc w:val="both"/>
        <w:rPr>
          <w:rFonts w:ascii="Book Antiqua" w:hAnsi="Book Antiqua"/>
          <w:b/>
        </w:rPr>
        <w:sectPr w:rsidR="008713EC" w:rsidRPr="00E3232D" w:rsidSect="008F6BC9">
          <w:type w:val="continuous"/>
          <w:pgSz w:w="11907" w:h="16839" w:code="9"/>
          <w:pgMar w:top="1440" w:right="1440" w:bottom="1440" w:left="1440" w:header="720" w:footer="720" w:gutter="0"/>
          <w:cols w:space="720"/>
          <w:docGrid w:linePitch="360"/>
        </w:sectPr>
      </w:pPr>
    </w:p>
    <w:p w14:paraId="2AFD07CA" w14:textId="77777777" w:rsidR="009D343F" w:rsidRPr="00E3232D" w:rsidRDefault="008214F9" w:rsidP="0008137F">
      <w:pPr>
        <w:jc w:val="both"/>
        <w:rPr>
          <w:rFonts w:ascii="Book Antiqua" w:hAnsi="Book Antiqua"/>
          <w:b/>
        </w:rPr>
      </w:pPr>
      <w:r>
        <w:rPr>
          <w:rFonts w:ascii="Book Antiqua" w:hAnsi="Book Antiqua"/>
          <w:b/>
        </w:rPr>
        <w:t xml:space="preserve">1.1 </w:t>
      </w:r>
      <w:r w:rsidR="009D343F" w:rsidRPr="00E3232D">
        <w:rPr>
          <w:rFonts w:ascii="Book Antiqua" w:hAnsi="Book Antiqua"/>
          <w:b/>
        </w:rPr>
        <w:t>Background of the study</w:t>
      </w:r>
    </w:p>
    <w:p w14:paraId="48209F95" w14:textId="77777777" w:rsidR="00A7586B" w:rsidRDefault="009D343F" w:rsidP="0008137F">
      <w:pPr>
        <w:spacing w:before="100" w:beforeAutospacing="1" w:after="100" w:afterAutospacing="1"/>
        <w:jc w:val="both"/>
        <w:rPr>
          <w:rFonts w:ascii="Book Antiqua" w:hAnsi="Book Antiqua"/>
          <w:color w:val="000000"/>
        </w:rPr>
      </w:pPr>
      <w:r w:rsidRPr="00E3232D">
        <w:rPr>
          <w:rFonts w:ascii="Book Antiqua" w:hAnsi="Book Antiqua"/>
          <w:color w:val="000000"/>
        </w:rPr>
        <w:t xml:space="preserve">Communication is a vital tool for learning and there is nothing human being can do without communication. </w:t>
      </w:r>
    </w:p>
    <w:p w14:paraId="2696F0BF" w14:textId="77777777" w:rsidR="009D343F" w:rsidRPr="00E3232D" w:rsidRDefault="009D343F" w:rsidP="0008137F">
      <w:pPr>
        <w:spacing w:before="100" w:beforeAutospacing="1" w:after="100" w:afterAutospacing="1"/>
        <w:jc w:val="both"/>
        <w:rPr>
          <w:rFonts w:ascii="Book Antiqua" w:hAnsi="Book Antiqua"/>
          <w:color w:val="000000"/>
        </w:rPr>
      </w:pPr>
      <w:r w:rsidRPr="00E3232D">
        <w:rPr>
          <w:rFonts w:ascii="Book Antiqua" w:hAnsi="Book Antiqua"/>
          <w:color w:val="000000"/>
        </w:rPr>
        <w:t xml:space="preserve"> Communication is the art and process of creating and sharin</w:t>
      </w:r>
      <w:r w:rsidR="001F6043">
        <w:rPr>
          <w:rFonts w:ascii="Book Antiqua" w:hAnsi="Book Antiqua"/>
          <w:color w:val="000000"/>
        </w:rPr>
        <w:t>g ideas (MTD training 2012). In</w:t>
      </w:r>
      <w:r w:rsidRPr="00E3232D">
        <w:rPr>
          <w:rFonts w:ascii="Book Antiqua" w:hAnsi="Book Antiqua"/>
          <w:color w:val="000000"/>
        </w:rPr>
        <w:t xml:space="preserve"> the academic field everything is done through communication that is sharing of ideas by students and lecturers. This sharing of ideas is a way of learning on the part of both students and lecturers who most of the times act as facilitators to help the students acquire knowledge, skills and abilities to lead them in life.  This takes the form of oral, written, visual and non-verbal communication.</w:t>
      </w:r>
    </w:p>
    <w:p w14:paraId="079E8C28" w14:textId="77777777" w:rsidR="009D343F" w:rsidRPr="00E3232D" w:rsidRDefault="009D343F" w:rsidP="0008137F">
      <w:pPr>
        <w:spacing w:before="100" w:beforeAutospacing="1" w:after="100" w:afterAutospacing="1"/>
        <w:jc w:val="both"/>
        <w:rPr>
          <w:rFonts w:ascii="Book Antiqua" w:hAnsi="Book Antiqua"/>
          <w:color w:val="000000"/>
        </w:rPr>
      </w:pPr>
      <w:r w:rsidRPr="00E3232D">
        <w:rPr>
          <w:rFonts w:ascii="Book Antiqua" w:hAnsi="Book Antiqua"/>
          <w:color w:val="000000"/>
        </w:rPr>
        <w:t>Communication has t</w:t>
      </w:r>
      <w:r w:rsidR="001F6043">
        <w:rPr>
          <w:rFonts w:ascii="Book Antiqua" w:hAnsi="Book Antiqua"/>
          <w:color w:val="000000"/>
        </w:rPr>
        <w:t xml:space="preserve">aken a very fast means through </w:t>
      </w:r>
      <w:r w:rsidRPr="00E3232D">
        <w:rPr>
          <w:rFonts w:ascii="Book Antiqua" w:hAnsi="Book Antiqua"/>
          <w:color w:val="000000"/>
        </w:rPr>
        <w:t>texts and emails. Written communication is becoming a more sophisticated and efficient way of communication. When correctly used, it provides documentation for our work. Written communications as a means of sharing information enables the reader read, and get the message correctly without additional sources.</w:t>
      </w:r>
    </w:p>
    <w:p w14:paraId="687399EB" w14:textId="77777777" w:rsidR="009D343F" w:rsidRPr="00E3232D" w:rsidRDefault="009D343F" w:rsidP="0008137F">
      <w:pPr>
        <w:spacing w:before="100" w:beforeAutospacing="1" w:after="100" w:afterAutospacing="1"/>
        <w:jc w:val="both"/>
        <w:rPr>
          <w:rFonts w:ascii="Book Antiqua" w:hAnsi="Book Antiqua"/>
          <w:color w:val="000000"/>
        </w:rPr>
      </w:pPr>
      <w:r w:rsidRPr="00E3232D">
        <w:rPr>
          <w:rFonts w:ascii="Book Antiqua" w:hAnsi="Book Antiqua"/>
          <w:color w:val="000000"/>
        </w:rPr>
        <w:t xml:space="preserve"> In most of the tertiary institutions in Ghana the use of cell phones has become the norm and almost every student have the mobile/cell phone and the phones are used for many purposes including texting, listening to calls, browsing the internet, taking pictures etc. </w:t>
      </w:r>
      <w:r w:rsidRPr="00E3232D">
        <w:rPr>
          <w:rFonts w:ascii="Book Antiqua" w:hAnsi="Book Antiqua"/>
        </w:rPr>
        <w:t>Cell phones have great academic value. For instance, they can support language lessons, display animations of medical and chemical processes, be used for polling and testing, and serve as the gateway to larger lear</w:t>
      </w:r>
      <w:r w:rsidR="00283C7D">
        <w:rPr>
          <w:rFonts w:ascii="Book Antiqua" w:hAnsi="Book Antiqua"/>
        </w:rPr>
        <w:t>ning resources (Rosenberg, 2009</w:t>
      </w:r>
      <w:r w:rsidRPr="00E3232D">
        <w:rPr>
          <w:rFonts w:ascii="Book Antiqua" w:hAnsi="Book Antiqua"/>
        </w:rPr>
        <w:t>; Abdel-wahab and El-Masry, 2011)).</w:t>
      </w:r>
    </w:p>
    <w:p w14:paraId="35E4BFD6" w14:textId="77777777" w:rsidR="009D343F" w:rsidRPr="00E3232D" w:rsidRDefault="009D343F" w:rsidP="0008137F">
      <w:pPr>
        <w:spacing w:before="150" w:after="150"/>
        <w:jc w:val="both"/>
        <w:rPr>
          <w:rFonts w:ascii="Book Antiqua" w:hAnsi="Book Antiqua"/>
          <w:color w:val="000000"/>
        </w:rPr>
      </w:pPr>
      <w:r w:rsidRPr="00E3232D">
        <w:rPr>
          <w:rFonts w:ascii="Book Antiqua" w:hAnsi="Book Antiqua"/>
          <w:color w:val="000000"/>
        </w:rPr>
        <w:t>Ever since the early 1990s when cell phone use became widespread, the devices have had a major impact on society. Cell phone use has become an integral part of everyday life. Everywhere you turn students are using cell phones to call, text, take pictures and even browse the internet. The advanced technologies that cell phones have taken on has affected educational institutions in a way that has increased the need to enforce policies that ban students from using cell phones while in school.</w:t>
      </w:r>
    </w:p>
    <w:p w14:paraId="23A04B10" w14:textId="77777777" w:rsidR="009D343F" w:rsidRPr="00E3232D" w:rsidRDefault="009D343F" w:rsidP="0008137F">
      <w:pPr>
        <w:spacing w:before="150" w:after="150"/>
        <w:jc w:val="both"/>
        <w:rPr>
          <w:rFonts w:ascii="Book Antiqua" w:hAnsi="Book Antiqua"/>
        </w:rPr>
      </w:pPr>
      <w:r w:rsidRPr="00E3232D">
        <w:rPr>
          <w:rFonts w:ascii="Book Antiqua" w:hAnsi="Book Antiqua"/>
          <w:color w:val="000000"/>
        </w:rPr>
        <w:t>Cell phones have revolutionized wireless communication and have broken the barriers of geography and distance for global communication. They have changed the socio-cultural-economic dynamics of communities and countries. The impact of cell phones on society, business, educational institutions, entertainment and life has been far-reaching. While some effects have been negative, such as the practice of driving while talking on cell phones, they have also had many positive effects. Cell phones can facilitate communication and help family and friends keep in close contact. They have also played a positive role in the operation of businesses. Communication is the act of will directed towards a living entity that reacts. It has to do with what one does or observed doing. Communication is the process of making and sharing information and ideas in the work place or is the process of finding and using information and sharing meaning (Markel, 2012; Davito, 2012; Helio, 2012;</w:t>
      </w:r>
      <w:r w:rsidRPr="00E3232D">
        <w:rPr>
          <w:rFonts w:ascii="Book Antiqua" w:hAnsi="Book Antiqua"/>
        </w:rPr>
        <w:t xml:space="preserve"> Blithe, 2009). Living things do communicate to make life work. Without communication it will be impossible to live on planet earth. To communicate with a living thing means to do so for the living entity to understand. When there is understanding before communication can provoke reaction.</w:t>
      </w:r>
    </w:p>
    <w:p w14:paraId="576C61E1" w14:textId="77777777" w:rsidR="009D343F" w:rsidRPr="00E3232D" w:rsidRDefault="009D343F" w:rsidP="0008137F">
      <w:pPr>
        <w:spacing w:before="150" w:after="150"/>
        <w:jc w:val="both"/>
        <w:rPr>
          <w:rFonts w:ascii="Book Antiqua" w:hAnsi="Book Antiqua"/>
        </w:rPr>
      </w:pPr>
      <w:r w:rsidRPr="00E3232D">
        <w:rPr>
          <w:rFonts w:ascii="Book Antiqua" w:hAnsi="Book Antiqua"/>
        </w:rPr>
        <w:t>Mobile phones have got a great impact on our life style, education and business. Some of this impact could be negative or positive. Most of the mobile phones offer telephone functionality as well as e-mail and internet access. Most mobile phones, essentially micro-computers, also have great academic value. According to Madanmohan (2011), close to 200, 000 text messages are sent every second globally. This means text messages is gaining more patronage as it cost less than making phone calls and browsing the internet. Technology tools such as digital software, online systems, global networks and personal computers are literally reshaping global civilization (McLeod, 2008).</w:t>
      </w:r>
    </w:p>
    <w:p w14:paraId="73F3D000" w14:textId="77777777" w:rsidR="009D343F" w:rsidRPr="00E3232D" w:rsidRDefault="009D343F" w:rsidP="0008137F">
      <w:pPr>
        <w:pStyle w:val="otherpagestxt"/>
        <w:spacing w:line="276" w:lineRule="auto"/>
        <w:jc w:val="both"/>
        <w:rPr>
          <w:rFonts w:ascii="Book Antiqua" w:hAnsi="Book Antiqua"/>
          <w:sz w:val="22"/>
          <w:szCs w:val="22"/>
        </w:rPr>
      </w:pPr>
      <w:r w:rsidRPr="00E3232D">
        <w:rPr>
          <w:rFonts w:ascii="Book Antiqua" w:hAnsi="Book Antiqua"/>
          <w:color w:val="000000"/>
          <w:sz w:val="22"/>
          <w:szCs w:val="22"/>
        </w:rPr>
        <w:t>One technology which has a positive impact on education is the social networking sites such as Facebook, MySpace, Flickr and YouTube. This technology allows users to create personal profiles of themselves as well as connect, network and interact with families and friends all over the world (Teclehaimanot and Hickman 2011).</w:t>
      </w:r>
      <w:r w:rsidRPr="00E3232D">
        <w:rPr>
          <w:rFonts w:ascii="Book Antiqua" w:hAnsi="Book Antiqua"/>
          <w:sz w:val="22"/>
          <w:szCs w:val="22"/>
        </w:rPr>
        <w:tab/>
      </w:r>
    </w:p>
    <w:p w14:paraId="6B7F72FA" w14:textId="77777777" w:rsidR="009D343F" w:rsidRPr="00E3232D" w:rsidRDefault="008214F9" w:rsidP="0008137F">
      <w:pPr>
        <w:spacing w:before="150" w:after="150"/>
        <w:jc w:val="both"/>
        <w:rPr>
          <w:rFonts w:ascii="Book Antiqua" w:hAnsi="Book Antiqua"/>
          <w:b/>
          <w:color w:val="000000"/>
        </w:rPr>
      </w:pPr>
      <w:r>
        <w:rPr>
          <w:rFonts w:ascii="Book Antiqua" w:hAnsi="Book Antiqua"/>
          <w:b/>
          <w:color w:val="000000"/>
        </w:rPr>
        <w:t xml:space="preserve">1.2 </w:t>
      </w:r>
      <w:r w:rsidR="009D343F" w:rsidRPr="00E3232D">
        <w:rPr>
          <w:rFonts w:ascii="Book Antiqua" w:hAnsi="Book Antiqua"/>
          <w:b/>
          <w:color w:val="000000"/>
        </w:rPr>
        <w:t>Problem Statement</w:t>
      </w:r>
    </w:p>
    <w:p w14:paraId="136ADF14" w14:textId="77777777" w:rsidR="009D343F" w:rsidRPr="00E3232D" w:rsidRDefault="009D343F" w:rsidP="0008137F">
      <w:pPr>
        <w:spacing w:before="100" w:beforeAutospacing="1" w:after="100" w:afterAutospacing="1"/>
        <w:jc w:val="both"/>
        <w:rPr>
          <w:rFonts w:ascii="Book Antiqua" w:hAnsi="Book Antiqua"/>
          <w:color w:val="000000"/>
        </w:rPr>
      </w:pPr>
      <w:r w:rsidRPr="00E3232D">
        <w:rPr>
          <w:rFonts w:ascii="Book Antiqua" w:hAnsi="Book Antiqua"/>
          <w:color w:val="000000"/>
        </w:rPr>
        <w:t>With the number of mobile phones that are present in school every day, lecturers have to struggle between allowing students to use mobile phones and containing the potential distraction that they present during lectures.</w:t>
      </w:r>
    </w:p>
    <w:p w14:paraId="05FCB84B" w14:textId="77777777" w:rsidR="009D343F" w:rsidRPr="00E3232D" w:rsidRDefault="009D343F" w:rsidP="0008137F">
      <w:pPr>
        <w:spacing w:before="100" w:beforeAutospacing="1" w:after="100" w:afterAutospacing="1"/>
        <w:jc w:val="both"/>
        <w:outlineLvl w:val="1"/>
        <w:rPr>
          <w:rFonts w:ascii="Book Antiqua" w:hAnsi="Book Antiqua"/>
          <w:color w:val="000000"/>
        </w:rPr>
      </w:pPr>
      <w:r w:rsidRPr="00E3232D">
        <w:rPr>
          <w:rFonts w:ascii="Book Antiqua" w:hAnsi="Book Antiqua"/>
          <w:color w:val="000000"/>
        </w:rPr>
        <w:t xml:space="preserve">Most of the times lecturers oppose cell phones usage during lectures because they believe that students spend too much time texting their friends and on face book and other social media and this will impact on their ability to pay attention to what is being discussed during the lecture. During examination some students use their phone to search for answers to question and sometimes share information with their colleague in the examination room which is not allowed in the institution. These have caused nuisance to school authorities and has led to educational authorities in Ghana to ban the use of mobile/cell phones in basic and senior high schools.  </w:t>
      </w:r>
    </w:p>
    <w:p w14:paraId="4B36C74C" w14:textId="77777777" w:rsidR="009D343F" w:rsidRPr="00E3232D" w:rsidRDefault="009D343F" w:rsidP="0008137F">
      <w:pPr>
        <w:spacing w:before="100" w:beforeAutospacing="1" w:after="100" w:afterAutospacing="1"/>
        <w:jc w:val="both"/>
        <w:outlineLvl w:val="1"/>
        <w:rPr>
          <w:rFonts w:ascii="Book Antiqua" w:hAnsi="Book Antiqua"/>
          <w:color w:val="000000"/>
        </w:rPr>
      </w:pPr>
      <w:r w:rsidRPr="00E3232D">
        <w:rPr>
          <w:rFonts w:ascii="Book Antiqua" w:hAnsi="Book Antiqua"/>
          <w:color w:val="000000"/>
        </w:rPr>
        <w:t xml:space="preserve">This, however, does not stop students from continuing to use their mobile phones to chat, play games and not pay attention during class. It is on these bases that this research is conducted to assess the implications of the cell phone usage on academic performance of students in Koforidua Polytechnic. </w:t>
      </w:r>
    </w:p>
    <w:p w14:paraId="0F889557" w14:textId="77777777" w:rsidR="009D343F" w:rsidRPr="00E3232D" w:rsidRDefault="009D343F" w:rsidP="0008137F">
      <w:pPr>
        <w:spacing w:before="150" w:after="150"/>
        <w:jc w:val="both"/>
        <w:rPr>
          <w:rFonts w:ascii="Book Antiqua" w:hAnsi="Book Antiqua"/>
          <w:color w:val="000000"/>
        </w:rPr>
      </w:pPr>
      <w:r w:rsidRPr="00E3232D">
        <w:rPr>
          <w:rFonts w:ascii="Book Antiqua" w:hAnsi="Book Antiqua"/>
          <w:color w:val="000000"/>
        </w:rPr>
        <w:t>The main objective of this research is to find out the implications of mobile phone usage on academic performance.</w:t>
      </w:r>
    </w:p>
    <w:p w14:paraId="05D5DF36" w14:textId="77777777" w:rsidR="009D343F" w:rsidRPr="00E3232D" w:rsidRDefault="009D343F" w:rsidP="00196385">
      <w:pPr>
        <w:pStyle w:val="ListParagraph"/>
        <w:numPr>
          <w:ilvl w:val="0"/>
          <w:numId w:val="92"/>
        </w:numPr>
        <w:spacing w:before="150" w:after="150"/>
        <w:jc w:val="both"/>
        <w:rPr>
          <w:rFonts w:ascii="Book Antiqua" w:hAnsi="Book Antiqua"/>
          <w:color w:val="000000"/>
        </w:rPr>
      </w:pPr>
      <w:r w:rsidRPr="00E3232D">
        <w:rPr>
          <w:rFonts w:ascii="Book Antiqua" w:hAnsi="Book Antiqua"/>
          <w:color w:val="000000"/>
        </w:rPr>
        <w:t>Find out if lecturers and students use mobile phones during lectures.</w:t>
      </w:r>
    </w:p>
    <w:p w14:paraId="78E0BB5C" w14:textId="77777777" w:rsidR="009D343F" w:rsidRPr="00E3232D" w:rsidRDefault="009D343F" w:rsidP="00196385">
      <w:pPr>
        <w:pStyle w:val="ListParagraph"/>
        <w:numPr>
          <w:ilvl w:val="0"/>
          <w:numId w:val="92"/>
        </w:numPr>
        <w:spacing w:before="150" w:after="150"/>
        <w:jc w:val="both"/>
        <w:rPr>
          <w:rFonts w:ascii="Book Antiqua" w:hAnsi="Book Antiqua"/>
          <w:color w:val="000000"/>
        </w:rPr>
      </w:pPr>
      <w:r w:rsidRPr="00E3232D">
        <w:rPr>
          <w:rFonts w:ascii="Book Antiqua" w:hAnsi="Book Antiqua"/>
          <w:color w:val="000000"/>
        </w:rPr>
        <w:t>Evaluate the importance of the usage of mobile phones to lecturers and students.</w:t>
      </w:r>
    </w:p>
    <w:p w14:paraId="6080A0B8" w14:textId="77777777" w:rsidR="009D343F" w:rsidRPr="00E3232D" w:rsidRDefault="009D343F" w:rsidP="00196385">
      <w:pPr>
        <w:pStyle w:val="ListParagraph"/>
        <w:numPr>
          <w:ilvl w:val="0"/>
          <w:numId w:val="92"/>
        </w:numPr>
        <w:spacing w:before="150" w:after="150"/>
        <w:jc w:val="both"/>
        <w:rPr>
          <w:rFonts w:ascii="Book Antiqua" w:hAnsi="Book Antiqua"/>
          <w:color w:val="000000"/>
        </w:rPr>
      </w:pPr>
      <w:r w:rsidRPr="00E3232D">
        <w:rPr>
          <w:rFonts w:ascii="Book Antiqua" w:hAnsi="Book Antiqua"/>
          <w:color w:val="000000"/>
        </w:rPr>
        <w:t xml:space="preserve">Provide an overview of what the situation is in the use of mobile phones in education and how institutions can take advantage of mobile phone usage for teaching and learning.  </w:t>
      </w:r>
    </w:p>
    <w:p w14:paraId="41A2AD0D" w14:textId="77777777" w:rsidR="009D343F" w:rsidRPr="00E3232D" w:rsidRDefault="009D343F" w:rsidP="00196385">
      <w:pPr>
        <w:pStyle w:val="ListParagraph"/>
        <w:numPr>
          <w:ilvl w:val="0"/>
          <w:numId w:val="92"/>
        </w:numPr>
        <w:spacing w:before="150" w:after="150"/>
        <w:jc w:val="both"/>
        <w:rPr>
          <w:rFonts w:ascii="Book Antiqua" w:hAnsi="Book Antiqua"/>
          <w:color w:val="000000"/>
        </w:rPr>
      </w:pPr>
      <w:r w:rsidRPr="00E3232D">
        <w:rPr>
          <w:rFonts w:ascii="Book Antiqua" w:hAnsi="Book Antiqua"/>
          <w:color w:val="000000"/>
        </w:rPr>
        <w:t>Access the  implications of the usage of the phones on academic life of students</w:t>
      </w:r>
    </w:p>
    <w:p w14:paraId="18D5AF61" w14:textId="77777777" w:rsidR="009D343F" w:rsidRPr="00E3232D" w:rsidRDefault="009D343F" w:rsidP="00196385">
      <w:pPr>
        <w:pStyle w:val="ListParagraph"/>
        <w:numPr>
          <w:ilvl w:val="0"/>
          <w:numId w:val="92"/>
        </w:numPr>
        <w:spacing w:before="150" w:after="150"/>
        <w:jc w:val="both"/>
        <w:rPr>
          <w:rFonts w:ascii="Book Antiqua" w:hAnsi="Book Antiqua"/>
          <w:color w:val="000000"/>
        </w:rPr>
      </w:pPr>
      <w:r w:rsidRPr="00E3232D">
        <w:rPr>
          <w:rFonts w:ascii="Book Antiqua" w:hAnsi="Book Antiqua"/>
          <w:color w:val="000000"/>
        </w:rPr>
        <w:t>Suggest recommendations on the way forward on how to use the mobile phones correctly during lecture.</w:t>
      </w:r>
    </w:p>
    <w:p w14:paraId="58B5E60B" w14:textId="77777777" w:rsidR="009D343F" w:rsidRPr="00E3232D" w:rsidRDefault="009D343F" w:rsidP="0008137F">
      <w:pPr>
        <w:spacing w:before="150" w:after="150"/>
        <w:ind w:firstLine="360"/>
        <w:jc w:val="both"/>
        <w:rPr>
          <w:rFonts w:ascii="Book Antiqua" w:hAnsi="Book Antiqua"/>
          <w:color w:val="000000"/>
        </w:rPr>
      </w:pPr>
      <w:r w:rsidRPr="00E3232D">
        <w:rPr>
          <w:rFonts w:ascii="Book Antiqua" w:hAnsi="Book Antiqua"/>
          <w:color w:val="000000"/>
        </w:rPr>
        <w:t>The study seeks to answer the following questions:</w:t>
      </w:r>
    </w:p>
    <w:p w14:paraId="55470A9D" w14:textId="77777777" w:rsidR="009D343F" w:rsidRPr="00E3232D" w:rsidRDefault="009D343F" w:rsidP="00196385">
      <w:pPr>
        <w:pStyle w:val="ListParagraph"/>
        <w:numPr>
          <w:ilvl w:val="0"/>
          <w:numId w:val="93"/>
        </w:numPr>
        <w:spacing w:before="150" w:after="150"/>
        <w:jc w:val="both"/>
        <w:rPr>
          <w:rFonts w:ascii="Book Antiqua" w:hAnsi="Book Antiqua"/>
          <w:color w:val="000000"/>
        </w:rPr>
      </w:pPr>
      <w:r w:rsidRPr="00E3232D">
        <w:rPr>
          <w:rFonts w:ascii="Book Antiqua" w:hAnsi="Book Antiqua"/>
          <w:color w:val="000000"/>
        </w:rPr>
        <w:t>How important is the usage of mobile phones during the period of lecture?</w:t>
      </w:r>
    </w:p>
    <w:p w14:paraId="216F01FA" w14:textId="77777777" w:rsidR="009D343F" w:rsidRPr="00E3232D" w:rsidRDefault="009D343F" w:rsidP="00196385">
      <w:pPr>
        <w:pStyle w:val="ListParagraph"/>
        <w:numPr>
          <w:ilvl w:val="0"/>
          <w:numId w:val="93"/>
        </w:numPr>
        <w:spacing w:before="150" w:after="150"/>
        <w:jc w:val="both"/>
        <w:rPr>
          <w:rFonts w:ascii="Book Antiqua" w:hAnsi="Book Antiqua"/>
          <w:color w:val="000000"/>
        </w:rPr>
      </w:pPr>
      <w:r w:rsidRPr="00E3232D">
        <w:rPr>
          <w:rFonts w:ascii="Book Antiqua" w:hAnsi="Book Antiqua"/>
          <w:color w:val="000000"/>
        </w:rPr>
        <w:t>What are the implications of the usage of the mobile phones during lectures?</w:t>
      </w:r>
    </w:p>
    <w:p w14:paraId="3AAB9E99" w14:textId="77777777" w:rsidR="009D343F" w:rsidRPr="00E3232D" w:rsidRDefault="009D343F" w:rsidP="00196385">
      <w:pPr>
        <w:pStyle w:val="ListParagraph"/>
        <w:numPr>
          <w:ilvl w:val="0"/>
          <w:numId w:val="93"/>
        </w:numPr>
        <w:spacing w:before="150" w:after="150"/>
        <w:jc w:val="both"/>
        <w:rPr>
          <w:rFonts w:ascii="Book Antiqua" w:hAnsi="Book Antiqua"/>
          <w:color w:val="000000"/>
        </w:rPr>
      </w:pPr>
      <w:r w:rsidRPr="00E3232D">
        <w:rPr>
          <w:rFonts w:ascii="Book Antiqua" w:hAnsi="Book Antiqua"/>
          <w:color w:val="000000"/>
        </w:rPr>
        <w:t xml:space="preserve">Can there be a way out to effectively use the phones during lecture? </w:t>
      </w:r>
    </w:p>
    <w:p w14:paraId="64F0380F" w14:textId="77777777" w:rsidR="009D343F" w:rsidRPr="00E3232D" w:rsidRDefault="009D343F" w:rsidP="0008137F">
      <w:pPr>
        <w:jc w:val="both"/>
        <w:rPr>
          <w:rFonts w:ascii="Book Antiqua" w:hAnsi="Book Antiqua"/>
          <w:color w:val="000000"/>
        </w:rPr>
      </w:pPr>
      <w:r w:rsidRPr="00E3232D">
        <w:rPr>
          <w:rFonts w:ascii="Book Antiqua" w:hAnsi="Book Antiqua"/>
          <w:color w:val="000000"/>
        </w:rPr>
        <w:t>The significance of this study is to assist in understanding the reasons for using mobile phones during lecture hours by both students and lecturers. This study will help policy makers that is, the polytechnic authorities, respondents and readers to be mindful of the negative or positive implications of the usage of mobile phones on academic work and how to deal with the situation.</w:t>
      </w:r>
    </w:p>
    <w:p w14:paraId="6EA3878A" w14:textId="77777777" w:rsidR="009D343F" w:rsidRPr="00E3232D" w:rsidRDefault="008214F9" w:rsidP="0008137F">
      <w:pPr>
        <w:spacing w:before="150" w:after="150"/>
        <w:jc w:val="both"/>
        <w:rPr>
          <w:rFonts w:ascii="Book Antiqua" w:hAnsi="Book Antiqua"/>
          <w:b/>
          <w:color w:val="000000"/>
        </w:rPr>
      </w:pPr>
      <w:r>
        <w:rPr>
          <w:rFonts w:ascii="Book Antiqua" w:hAnsi="Book Antiqua"/>
          <w:b/>
          <w:color w:val="000000"/>
          <w:sz w:val="26"/>
        </w:rPr>
        <w:t xml:space="preserve">2.0 </w:t>
      </w:r>
      <w:r w:rsidR="009D343F" w:rsidRPr="0008137F">
        <w:rPr>
          <w:rFonts w:ascii="Book Antiqua" w:hAnsi="Book Antiqua"/>
          <w:b/>
          <w:color w:val="000000"/>
          <w:sz w:val="26"/>
        </w:rPr>
        <w:t>Methodology</w:t>
      </w:r>
    </w:p>
    <w:p w14:paraId="1293AF26" w14:textId="77777777" w:rsidR="001D7E21" w:rsidRPr="0008137F" w:rsidRDefault="009D343F" w:rsidP="0008137F">
      <w:pPr>
        <w:jc w:val="both"/>
        <w:rPr>
          <w:rFonts w:ascii="Book Antiqua" w:hAnsi="Book Antiqua"/>
        </w:rPr>
      </w:pPr>
      <w:r w:rsidRPr="00E3232D">
        <w:rPr>
          <w:rFonts w:ascii="Book Antiqua" w:hAnsi="Book Antiqua"/>
        </w:rPr>
        <w:t xml:space="preserve">The study used the descriptive survey design. This involved gathering data with the aid of survey instruments on which was based a description of the phenomenon under study, that is, the use of mobile phone by students during lectures and its implications on academic work. The study was conducted at Koforidua polytechnic. Four Hundred (400) respondents were drawn from three (3) schools and fifteen departments. These were asked to complete a set of questionnaires. </w:t>
      </w:r>
    </w:p>
    <w:p w14:paraId="46B2FB94" w14:textId="77777777" w:rsidR="001D7E21" w:rsidRPr="0008137F" w:rsidRDefault="009D343F" w:rsidP="0008137F">
      <w:pPr>
        <w:jc w:val="both"/>
        <w:rPr>
          <w:rFonts w:ascii="Book Antiqua" w:hAnsi="Book Antiqua"/>
        </w:rPr>
      </w:pPr>
      <w:r w:rsidRPr="00E3232D">
        <w:rPr>
          <w:rFonts w:ascii="Book Antiqua" w:hAnsi="Book Antiqua"/>
          <w:color w:val="000000"/>
        </w:rPr>
        <w:t xml:space="preserve">The focus of this research is on the students of the institution. The total population of the students was </w:t>
      </w:r>
      <w:r w:rsidRPr="00E3232D">
        <w:rPr>
          <w:rFonts w:ascii="Book Antiqua" w:hAnsi="Book Antiqua"/>
        </w:rPr>
        <w:t xml:space="preserve">5711. The institution has three main schools including School of Business and Management Studies SBMS), School of Applied Science and Technology (SAST) and School of Engineering (SOE) and with these schools, SBMS has about 2/3 of the total population. A sample of 400 was taken from the total population. SBMS sample was 308, SAST 62 and 30 for SOE students. </w:t>
      </w:r>
    </w:p>
    <w:p w14:paraId="5B6A2E23" w14:textId="77777777" w:rsidR="00D93F91" w:rsidRDefault="009D343F" w:rsidP="0008137F">
      <w:pPr>
        <w:jc w:val="both"/>
        <w:rPr>
          <w:rFonts w:ascii="Book Antiqua" w:hAnsi="Book Antiqua"/>
          <w:color w:val="000000"/>
        </w:rPr>
      </w:pPr>
      <w:r w:rsidRPr="00E3232D">
        <w:rPr>
          <w:rFonts w:ascii="Book Antiqua" w:hAnsi="Book Antiqua"/>
          <w:color w:val="000000"/>
        </w:rPr>
        <w:t>It wa</w:t>
      </w:r>
      <w:r w:rsidR="001D7E21">
        <w:rPr>
          <w:rFonts w:ascii="Book Antiqua" w:hAnsi="Book Antiqua"/>
          <w:color w:val="000000"/>
        </w:rPr>
        <w:t xml:space="preserve">s also impossible to cover the </w:t>
      </w:r>
      <w:r w:rsidRPr="00E3232D">
        <w:rPr>
          <w:rFonts w:ascii="Book Antiqua" w:hAnsi="Book Antiqua"/>
          <w:color w:val="000000"/>
        </w:rPr>
        <w:t>entire</w:t>
      </w:r>
      <w:r w:rsidR="001D7E21">
        <w:rPr>
          <w:rFonts w:ascii="Book Antiqua" w:hAnsi="Book Antiqua"/>
          <w:color w:val="000000"/>
        </w:rPr>
        <w:t xml:space="preserve"> </w:t>
      </w:r>
      <w:r w:rsidRPr="00E3232D">
        <w:rPr>
          <w:rFonts w:ascii="Book Antiqua" w:hAnsi="Book Antiqua"/>
          <w:color w:val="000000"/>
        </w:rPr>
        <w:t xml:space="preserve">population within the limited time frame. Financial constraint was also a factor for selecting the total of </w:t>
      </w:r>
      <w:r w:rsidR="009D2DFF">
        <w:rPr>
          <w:rFonts w:ascii="Book Antiqua" w:hAnsi="Book Antiqua"/>
          <w:color w:val="000000"/>
        </w:rPr>
        <w:t>four hundred(400) respondents.</w:t>
      </w:r>
      <w:r w:rsidRPr="00E3232D">
        <w:rPr>
          <w:rFonts w:ascii="Book Antiqua" w:hAnsi="Book Antiqua"/>
          <w:color w:val="000000"/>
        </w:rPr>
        <w:t>Data was collected purposively from the three main schools and the fifteen departments.  Each member of the departments was selected using the simple random sampling technique using a table of random numbers. This was done to give everybody in the departments an equal chance to be selected.</w:t>
      </w:r>
    </w:p>
    <w:p w14:paraId="1378D899" w14:textId="77777777" w:rsidR="00D93F91" w:rsidRPr="0008137F" w:rsidRDefault="009D343F" w:rsidP="0008137F">
      <w:pPr>
        <w:jc w:val="both"/>
        <w:rPr>
          <w:rFonts w:ascii="Book Antiqua" w:hAnsi="Book Antiqua"/>
          <w:color w:val="000000"/>
        </w:rPr>
      </w:pPr>
      <w:r w:rsidRPr="00E3232D">
        <w:rPr>
          <w:rFonts w:ascii="Book Antiqua" w:hAnsi="Book Antiqua"/>
          <w:color w:val="000000"/>
        </w:rPr>
        <w:t xml:space="preserve">The various items in the questionnaires were tallied and averaged. </w:t>
      </w:r>
      <w:r w:rsidRPr="00E3232D">
        <w:rPr>
          <w:rFonts w:ascii="Book Antiqua" w:hAnsi="Book Antiqua"/>
        </w:rPr>
        <w:t xml:space="preserve">The data analysis was done by the use of Statistical Package for Social Science (SPSS) version 17. The SPSS generated tables and charts from the averaged values for the analysis to be done. </w:t>
      </w:r>
      <w:r w:rsidRPr="00E3232D">
        <w:rPr>
          <w:rFonts w:ascii="Book Antiqua" w:hAnsi="Book Antiqua"/>
          <w:color w:val="000000"/>
        </w:rPr>
        <w:t xml:space="preserve">Narrative coding and descriptions were also used for the qualitative presentation of the results on the views of respondents. </w:t>
      </w:r>
    </w:p>
    <w:p w14:paraId="1E1A1DEE" w14:textId="77777777" w:rsidR="009D343F" w:rsidRPr="0008137F" w:rsidRDefault="008214F9" w:rsidP="0008137F">
      <w:pPr>
        <w:spacing w:before="150" w:after="150"/>
        <w:jc w:val="both"/>
        <w:rPr>
          <w:rFonts w:ascii="Book Antiqua" w:hAnsi="Book Antiqua"/>
          <w:b/>
          <w:color w:val="000000"/>
          <w:sz w:val="26"/>
        </w:rPr>
      </w:pPr>
      <w:r>
        <w:rPr>
          <w:rFonts w:ascii="Book Antiqua" w:hAnsi="Book Antiqua"/>
          <w:b/>
          <w:color w:val="000000"/>
          <w:sz w:val="26"/>
        </w:rPr>
        <w:t xml:space="preserve">3.0 </w:t>
      </w:r>
      <w:r w:rsidR="009D343F" w:rsidRPr="0008137F">
        <w:rPr>
          <w:rFonts w:ascii="Book Antiqua" w:hAnsi="Book Antiqua"/>
          <w:b/>
          <w:color w:val="000000"/>
          <w:sz w:val="26"/>
        </w:rPr>
        <w:t xml:space="preserve">Results and </w:t>
      </w:r>
      <w:r w:rsidRPr="0008137F">
        <w:rPr>
          <w:rFonts w:ascii="Book Antiqua" w:hAnsi="Book Antiqua"/>
          <w:b/>
          <w:color w:val="000000"/>
          <w:sz w:val="26"/>
        </w:rPr>
        <w:t>Discussion</w:t>
      </w:r>
    </w:p>
    <w:p w14:paraId="6AFAFDB6" w14:textId="77777777" w:rsidR="001D7E21" w:rsidRDefault="009D343F" w:rsidP="0008137F">
      <w:pPr>
        <w:jc w:val="both"/>
        <w:rPr>
          <w:rFonts w:ascii="Book Antiqua" w:hAnsi="Book Antiqua"/>
        </w:rPr>
      </w:pPr>
      <w:r w:rsidRPr="00E3232D">
        <w:rPr>
          <w:rFonts w:ascii="Book Antiqua" w:hAnsi="Book Antiqua"/>
        </w:rPr>
        <w:t>This section deals with the presentation and discussion of the findings of the data gathered from the schools and departments.  The study primarily aimed at assessing the implications of mobile phone usage on academic work.  As the study was basically and essential</w:t>
      </w:r>
      <w:r w:rsidR="001D7E21">
        <w:rPr>
          <w:rFonts w:ascii="Book Antiqua" w:hAnsi="Book Antiqua"/>
        </w:rPr>
        <w:t xml:space="preserve">ly qualitative and quantitative </w:t>
      </w:r>
      <w:r w:rsidRPr="00E3232D">
        <w:rPr>
          <w:rFonts w:ascii="Book Antiqua" w:hAnsi="Book Antiqua"/>
        </w:rPr>
        <w:t xml:space="preserve">in nature, narrative descriptions, </w:t>
      </w:r>
    </w:p>
    <w:p w14:paraId="39E42F8C" w14:textId="77777777" w:rsidR="009D343F" w:rsidRPr="0008137F" w:rsidRDefault="001F6043" w:rsidP="0008137F">
      <w:pPr>
        <w:jc w:val="both"/>
        <w:rPr>
          <w:rFonts w:ascii="Book Antiqua" w:hAnsi="Book Antiqua"/>
        </w:rPr>
      </w:pPr>
      <w:r w:rsidRPr="00E3232D">
        <w:rPr>
          <w:rFonts w:ascii="Book Antiqua" w:hAnsi="Book Antiqua"/>
        </w:rPr>
        <w:t>Frequencies</w:t>
      </w:r>
      <w:r w:rsidR="009D343F" w:rsidRPr="00E3232D">
        <w:rPr>
          <w:rFonts w:ascii="Book Antiqua" w:hAnsi="Book Antiqua"/>
        </w:rPr>
        <w:t xml:space="preserve"> and percentages were used in presenting the data.  The presentations are in the form of tables, graphs and narrative to facilitate easy and quick reading and for better understanding. </w:t>
      </w:r>
      <w:r w:rsidR="009D343F" w:rsidRPr="00E3232D">
        <w:rPr>
          <w:rFonts w:ascii="Book Antiqua" w:hAnsi="Book Antiqua"/>
          <w:lang w:val="en-GB"/>
        </w:rPr>
        <w:t>In all 400 students were used for the study out of the total population of 5711 students.</w:t>
      </w:r>
    </w:p>
    <w:p w14:paraId="0200CE3A" w14:textId="77777777" w:rsidR="009D343F" w:rsidRPr="00E3232D" w:rsidRDefault="008214F9" w:rsidP="0008137F">
      <w:pPr>
        <w:jc w:val="both"/>
        <w:rPr>
          <w:rFonts w:ascii="Book Antiqua" w:hAnsi="Book Antiqua"/>
          <w:b/>
          <w:bCs/>
        </w:rPr>
      </w:pPr>
      <w:r>
        <w:rPr>
          <w:rFonts w:ascii="Book Antiqua" w:hAnsi="Book Antiqua"/>
          <w:b/>
          <w:bCs/>
        </w:rPr>
        <w:t xml:space="preserve">3.1 </w:t>
      </w:r>
      <w:r w:rsidR="009D343F" w:rsidRPr="00E3232D">
        <w:rPr>
          <w:rFonts w:ascii="Book Antiqua" w:hAnsi="Book Antiqua"/>
          <w:b/>
          <w:bCs/>
        </w:rPr>
        <w:t>Students who have mobile phones</w:t>
      </w:r>
    </w:p>
    <w:p w14:paraId="73F43BAB" w14:textId="77777777" w:rsidR="009D343F" w:rsidRPr="00E3232D" w:rsidRDefault="009D343F" w:rsidP="0008137F">
      <w:pPr>
        <w:jc w:val="both"/>
        <w:rPr>
          <w:rFonts w:ascii="Book Antiqua" w:hAnsi="Book Antiqua"/>
          <w:lang w:val="en-GB"/>
        </w:rPr>
      </w:pPr>
      <w:r w:rsidRPr="00E3232D">
        <w:rPr>
          <w:rFonts w:ascii="Book Antiqua" w:hAnsi="Book Antiqua"/>
          <w:lang w:val="en-GB"/>
        </w:rPr>
        <w:t xml:space="preserve">All the students used for this study indicated that they have mobile phone. This shows the trend in the use of </w:t>
      </w:r>
      <w:r w:rsidRPr="00E3232D">
        <w:rPr>
          <w:rFonts w:ascii="Book Antiqua" w:hAnsi="Book Antiqua"/>
        </w:rPr>
        <w:t>information and communication technology in tertiary institutions in Ghana. The use of such technology has gone up such that if you do not have a mobile phone on campus you will be seen as out of place. During the study it came out that some of the students are using very sophisticated mobile phones which they protect so much and will not want to lose them.</w:t>
      </w:r>
    </w:p>
    <w:p w14:paraId="7BA1FC97" w14:textId="77777777" w:rsidR="009D343F" w:rsidRPr="00490079" w:rsidRDefault="009D343F" w:rsidP="0008137F">
      <w:pPr>
        <w:jc w:val="both"/>
        <w:rPr>
          <w:rFonts w:ascii="Book Antiqua" w:hAnsi="Book Antiqua"/>
          <w:bCs/>
        </w:rPr>
      </w:pPr>
      <w:r w:rsidRPr="00E3232D">
        <w:rPr>
          <w:rFonts w:ascii="Book Antiqua" w:hAnsi="Book Antiqua"/>
          <w:bCs/>
        </w:rPr>
        <w:t>Fig. 1:   Students who switch off/on their phones during lectures</w:t>
      </w:r>
    </w:p>
    <w:p w14:paraId="10642C29" w14:textId="77777777" w:rsidR="009D343F" w:rsidRPr="00E3232D" w:rsidRDefault="007005B1" w:rsidP="008275E1">
      <w:pPr>
        <w:rPr>
          <w:rFonts w:ascii="Book Antiqua" w:hAnsi="Book Antiqua"/>
          <w:lang w:val="en-GB"/>
        </w:rPr>
      </w:pPr>
      <w:r>
        <w:rPr>
          <w:rFonts w:ascii="Book Antiqua" w:hAnsi="Book Antiqua"/>
          <w:noProof/>
          <w:lang w:bidi="ar-SA"/>
        </w:rPr>
        <w:drawing>
          <wp:inline distT="0" distB="0" distL="0" distR="0" wp14:anchorId="3670D95A" wp14:editId="224F31D5">
            <wp:extent cx="2609850" cy="1200150"/>
            <wp:effectExtent l="0" t="0" r="0" b="0"/>
            <wp:docPr id="140"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14:paraId="6DFEEBBF" w14:textId="77777777" w:rsidR="009D343F" w:rsidRPr="00E3232D" w:rsidRDefault="009D343F" w:rsidP="008275E1">
      <w:pPr>
        <w:rPr>
          <w:rFonts w:ascii="Book Antiqua" w:hAnsi="Book Antiqua"/>
          <w:lang w:val="en-GB"/>
        </w:rPr>
      </w:pPr>
      <w:r w:rsidRPr="00E3232D">
        <w:rPr>
          <w:rFonts w:ascii="Book Antiqua" w:hAnsi="Book Antiqua"/>
          <w:lang w:val="en-GB"/>
        </w:rPr>
        <w:t>Source: fieldwork 2013</w:t>
      </w:r>
    </w:p>
    <w:p w14:paraId="67A6E9D5" w14:textId="77777777" w:rsidR="009D343F" w:rsidRPr="00E3232D" w:rsidRDefault="009D343F" w:rsidP="0008137F">
      <w:pPr>
        <w:jc w:val="both"/>
        <w:rPr>
          <w:rFonts w:ascii="Book Antiqua" w:hAnsi="Book Antiqua"/>
          <w:lang w:val="en-GB"/>
        </w:rPr>
      </w:pPr>
      <w:r w:rsidRPr="00E3232D">
        <w:rPr>
          <w:rFonts w:ascii="Book Antiqua" w:hAnsi="Book Antiqua"/>
          <w:lang w:val="en-GB"/>
        </w:rPr>
        <w:t>This indicates that the probability of students using mobile phones during lectures is 79%. This means 84 students out of the 400 respondents switch off their phones during lectures. It is good to use mobile phones but we think during lecture could hinder the user’s ability to concentrate on what is being discussed as lecture is on-going. The implications here could be that the student will have a divided attention during that period and this could affect the performance of the students’ academic performance.</w:t>
      </w:r>
    </w:p>
    <w:p w14:paraId="09657C81" w14:textId="77777777" w:rsidR="009D343F" w:rsidRPr="00E3232D" w:rsidRDefault="009D343F" w:rsidP="008275E1">
      <w:pPr>
        <w:rPr>
          <w:rFonts w:ascii="Book Antiqua" w:hAnsi="Book Antiqua"/>
          <w:b/>
          <w:lang w:val="en-GB"/>
        </w:rPr>
      </w:pPr>
    </w:p>
    <w:p w14:paraId="15661877" w14:textId="77777777" w:rsidR="009D343F" w:rsidRPr="00E3232D" w:rsidRDefault="008214F9" w:rsidP="008275E1">
      <w:pPr>
        <w:rPr>
          <w:rFonts w:ascii="Book Antiqua" w:hAnsi="Book Antiqua"/>
          <w:b/>
          <w:lang w:val="en-GB"/>
        </w:rPr>
      </w:pPr>
      <w:r>
        <w:rPr>
          <w:rFonts w:ascii="Book Antiqua" w:hAnsi="Book Antiqua"/>
          <w:b/>
          <w:lang w:val="en-GB"/>
        </w:rPr>
        <w:t xml:space="preserve">3.2 </w:t>
      </w:r>
      <w:r w:rsidR="009D343F" w:rsidRPr="00E3232D">
        <w:rPr>
          <w:rFonts w:ascii="Book Antiqua" w:hAnsi="Book Antiqua"/>
          <w:b/>
          <w:lang w:val="en-GB"/>
        </w:rPr>
        <w:t>Various uses of mobile phones by students during lectures</w:t>
      </w:r>
    </w:p>
    <w:p w14:paraId="08C5382B" w14:textId="77777777" w:rsidR="009D343F" w:rsidRPr="00E3232D" w:rsidRDefault="009D343F" w:rsidP="0008137F">
      <w:pPr>
        <w:jc w:val="both"/>
        <w:rPr>
          <w:rFonts w:ascii="Book Antiqua" w:hAnsi="Book Antiqua"/>
          <w:lang w:val="en-GB"/>
        </w:rPr>
      </w:pPr>
      <w:r w:rsidRPr="00E3232D">
        <w:rPr>
          <w:rFonts w:ascii="Book Antiqua" w:hAnsi="Book Antiqua"/>
          <w:lang w:val="en-GB"/>
        </w:rPr>
        <w:t>Technology provides the means of meeting the challenges of moving from one far end of distance to another which mean with the introduction of technology movement has been restricted as much as possible. Respondents were asked how they use mobile phones during lectures. This is a summary of how mobile phones are used while a lecture is going on.</w:t>
      </w:r>
    </w:p>
    <w:p w14:paraId="1108802C" w14:textId="77777777" w:rsidR="009D343F" w:rsidRPr="0008137F" w:rsidRDefault="009D343F" w:rsidP="0008137F">
      <w:pPr>
        <w:spacing w:before="150" w:after="150"/>
        <w:jc w:val="both"/>
        <w:rPr>
          <w:rFonts w:ascii="Book Antiqua" w:hAnsi="Book Antiqua"/>
          <w:lang w:val="en-GB"/>
        </w:rPr>
      </w:pPr>
      <w:r w:rsidRPr="00E3232D">
        <w:rPr>
          <w:rFonts w:ascii="Book Antiqua" w:hAnsi="Book Antiqua"/>
          <w:lang w:val="en-GB"/>
        </w:rPr>
        <w:t>The respondents stated that students use mobile phones to receive text messages, make and receive calls,</w:t>
      </w:r>
      <w:r w:rsidRPr="00E3232D">
        <w:rPr>
          <w:rFonts w:ascii="Book Antiqua" w:hAnsi="Book Antiqua"/>
          <w:color w:val="000000"/>
        </w:rPr>
        <w:t xml:space="preserve"> </w:t>
      </w:r>
      <w:r w:rsidRPr="00E3232D">
        <w:rPr>
          <w:rFonts w:ascii="Book Antiqua" w:hAnsi="Book Antiqua"/>
          <w:lang w:val="en-GB"/>
        </w:rPr>
        <w:t>search for information on the internet, chat on the internet, and use the phones as calculators for calculating figures,</w:t>
      </w:r>
      <w:r w:rsidRPr="00E3232D">
        <w:rPr>
          <w:rFonts w:ascii="Book Antiqua" w:hAnsi="Book Antiqua"/>
          <w:color w:val="000000"/>
        </w:rPr>
        <w:t xml:space="preserve"> </w:t>
      </w:r>
      <w:r w:rsidRPr="00E3232D">
        <w:rPr>
          <w:rFonts w:ascii="Book Antiqua" w:hAnsi="Book Antiqua"/>
          <w:lang w:val="en-GB"/>
        </w:rPr>
        <w:t>checking time, recording lectures,</w:t>
      </w:r>
      <w:r w:rsidRPr="00E3232D">
        <w:rPr>
          <w:rFonts w:ascii="Book Antiqua" w:hAnsi="Book Antiqua"/>
          <w:color w:val="000000"/>
        </w:rPr>
        <w:t xml:space="preserve"> </w:t>
      </w:r>
      <w:r w:rsidRPr="00E3232D">
        <w:rPr>
          <w:rFonts w:ascii="Book Antiqua" w:hAnsi="Book Antiqua"/>
          <w:lang w:val="en-GB"/>
        </w:rPr>
        <w:t>listening to news and sports and</w:t>
      </w:r>
      <w:r w:rsidRPr="00E3232D">
        <w:rPr>
          <w:rFonts w:ascii="Book Antiqua" w:hAnsi="Book Antiqua"/>
          <w:color w:val="000000"/>
        </w:rPr>
        <w:t xml:space="preserve"> </w:t>
      </w:r>
      <w:r w:rsidRPr="00E3232D">
        <w:rPr>
          <w:rFonts w:ascii="Book Antiqua" w:hAnsi="Book Antiqua"/>
          <w:lang w:val="en-GB"/>
        </w:rPr>
        <w:t>listening to music</w:t>
      </w:r>
      <w:r w:rsidRPr="00E3232D">
        <w:rPr>
          <w:rFonts w:ascii="Book Antiqua" w:hAnsi="Book Antiqua"/>
          <w:color w:val="000000"/>
        </w:rPr>
        <w:t>.</w:t>
      </w:r>
    </w:p>
    <w:p w14:paraId="0E29D474" w14:textId="77777777" w:rsidR="00D93F91" w:rsidRDefault="009D343F" w:rsidP="0008137F">
      <w:pPr>
        <w:jc w:val="both"/>
        <w:rPr>
          <w:rFonts w:ascii="Book Antiqua" w:hAnsi="Book Antiqua"/>
          <w:lang w:val="en-GB"/>
        </w:rPr>
        <w:sectPr w:rsidR="00D93F91" w:rsidSect="008F6BC9">
          <w:type w:val="continuous"/>
          <w:pgSz w:w="11907" w:h="16839" w:code="9"/>
          <w:pgMar w:top="1440" w:right="1440" w:bottom="1440" w:left="1440" w:header="720" w:footer="720" w:gutter="0"/>
          <w:cols w:num="2" w:space="720"/>
          <w:docGrid w:linePitch="360"/>
        </w:sectPr>
      </w:pPr>
      <w:r w:rsidRPr="00E3232D">
        <w:rPr>
          <w:rFonts w:ascii="Book Antiqua" w:hAnsi="Book Antiqua"/>
          <w:lang w:val="en-GB"/>
        </w:rPr>
        <w:t xml:space="preserve">This findings support Marcoux (2011) that cell phones should be made a constructive learning tool not just something a student has to use outside of school only. However, Marcoux (2011) does not support the improper use of the phones when lecture is going on. Using the mobile phone to search for information on the internet is a very important means of learning and students would have to be supported to do so to improve their research skills. There is lot of </w:t>
      </w:r>
    </w:p>
    <w:p w14:paraId="75C83004" w14:textId="77777777" w:rsidR="009D343F" w:rsidRPr="00E3232D" w:rsidRDefault="009D343F" w:rsidP="0008137F">
      <w:pPr>
        <w:jc w:val="both"/>
        <w:rPr>
          <w:rFonts w:ascii="Book Antiqua" w:hAnsi="Book Antiqua"/>
          <w:lang w:val="en-GB"/>
        </w:rPr>
      </w:pPr>
      <w:r w:rsidRPr="00E3232D">
        <w:rPr>
          <w:rFonts w:ascii="Book Antiqua" w:hAnsi="Book Antiqua"/>
          <w:lang w:val="en-GB"/>
        </w:rPr>
        <w:t>information on the internet which supports learning and students could take advantage of that to read and broaden their horizon and also find out what is happening in other parts of the world. However, if using the mobile phone to listen to music and other means which will not in any way help the student’s academic performance then there is a problem that needs to be solved. Some students use their time just chatting on some of the social media networks and getting themselves involved in practices that will not benefit them academically. When this happens then educators would have to take a look at the use of the phones and how best to educate students on the negative use of the mobile phones.</w:t>
      </w:r>
    </w:p>
    <w:p w14:paraId="1BE70D68" w14:textId="77777777" w:rsidR="000258E4" w:rsidRDefault="000258E4" w:rsidP="008275E1">
      <w:pPr>
        <w:rPr>
          <w:rFonts w:ascii="Book Antiqua" w:hAnsi="Book Antiqua"/>
        </w:rPr>
        <w:sectPr w:rsidR="000258E4" w:rsidSect="008F6BC9">
          <w:type w:val="continuous"/>
          <w:pgSz w:w="11907" w:h="16839" w:code="9"/>
          <w:pgMar w:top="1440" w:right="1440" w:bottom="1440" w:left="1440" w:header="720" w:footer="720" w:gutter="0"/>
          <w:cols w:num="2" w:space="720"/>
          <w:docGrid w:linePitch="360"/>
        </w:sectPr>
      </w:pPr>
    </w:p>
    <w:p w14:paraId="09F9FD51" w14:textId="77777777" w:rsidR="00490079" w:rsidRDefault="00490079" w:rsidP="008275E1">
      <w:pPr>
        <w:rPr>
          <w:rFonts w:ascii="Book Antiqua" w:hAnsi="Book Antiqua"/>
        </w:rPr>
      </w:pPr>
    </w:p>
    <w:p w14:paraId="5677B82F" w14:textId="77777777" w:rsidR="009D343F" w:rsidRPr="00B7604D" w:rsidRDefault="009D343F" w:rsidP="00B7604D">
      <w:pPr>
        <w:jc w:val="both"/>
        <w:rPr>
          <w:rFonts w:ascii="Book Antiqua" w:hAnsi="Book Antiqua"/>
        </w:rPr>
      </w:pPr>
      <w:r w:rsidRPr="00E3232D">
        <w:rPr>
          <w:rFonts w:ascii="Book Antiqua" w:hAnsi="Book Antiqua"/>
        </w:rPr>
        <w:t>Fig. 2: How often students receive or make phone calls during lectures</w:t>
      </w:r>
    </w:p>
    <w:p w14:paraId="49E1BFE9" w14:textId="77777777" w:rsidR="009D343F" w:rsidRPr="00E3232D" w:rsidRDefault="007005B1" w:rsidP="008275E1">
      <w:pPr>
        <w:rPr>
          <w:rFonts w:ascii="Book Antiqua" w:hAnsi="Book Antiqua"/>
          <w:lang w:val="en-GB"/>
        </w:rPr>
      </w:pPr>
      <w:r>
        <w:rPr>
          <w:rFonts w:ascii="Book Antiqua" w:hAnsi="Book Antiqua"/>
          <w:noProof/>
          <w:lang w:bidi="ar-SA"/>
        </w:rPr>
        <w:drawing>
          <wp:inline distT="0" distB="0" distL="0" distR="0" wp14:anchorId="53376D94" wp14:editId="10739F42">
            <wp:extent cx="2438400" cy="1533525"/>
            <wp:effectExtent l="0" t="0" r="0" b="0"/>
            <wp:docPr id="141"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14:paraId="748C2981" w14:textId="77777777" w:rsidR="00D93F91" w:rsidRPr="00490079" w:rsidRDefault="00D93F91" w:rsidP="00B7604D">
      <w:pPr>
        <w:jc w:val="both"/>
        <w:rPr>
          <w:rFonts w:ascii="Book Antiqua" w:hAnsi="Book Antiqua"/>
          <w:lang w:val="en-GB"/>
        </w:rPr>
      </w:pPr>
      <w:r w:rsidRPr="00E3232D">
        <w:rPr>
          <w:rFonts w:ascii="Book Antiqua" w:hAnsi="Book Antiqua"/>
          <w:lang w:val="en-GB"/>
        </w:rPr>
        <w:t>Source: fieldwork 2013</w:t>
      </w:r>
      <w:r w:rsidRPr="00E3232D">
        <w:rPr>
          <w:rFonts w:ascii="Book Antiqua" w:hAnsi="Book Antiqua"/>
          <w:bCs/>
        </w:rPr>
        <w:t>Fig. 3: How often students receive or send text messages during lectures?</w:t>
      </w:r>
    </w:p>
    <w:p w14:paraId="40212E3A" w14:textId="77777777" w:rsidR="000258E4" w:rsidRDefault="00136BA7" w:rsidP="00B7604D">
      <w:pPr>
        <w:spacing w:after="0"/>
        <w:rPr>
          <w:rFonts w:ascii="Book Antiqua" w:hAnsi="Book Antiqua"/>
          <w:lang w:val="en-GB"/>
        </w:rPr>
      </w:pPr>
      <w:r>
        <w:rPr>
          <w:rFonts w:ascii="Book Antiqua" w:hAnsi="Book Antiqua"/>
          <w:lang w:val="en-GB"/>
        </w:rPr>
        <w:t xml:space="preserve">The study shows that 59% of </w:t>
      </w:r>
      <w:r w:rsidR="009D343F" w:rsidRPr="00E3232D">
        <w:rPr>
          <w:rFonts w:ascii="Book Antiqua" w:hAnsi="Book Antiqua"/>
          <w:lang w:val="en-GB"/>
        </w:rPr>
        <w:t>the</w:t>
      </w:r>
    </w:p>
    <w:p w14:paraId="53F7445B" w14:textId="77777777" w:rsidR="009D2DFF" w:rsidRDefault="009D343F" w:rsidP="00B7604D">
      <w:pPr>
        <w:spacing w:after="0"/>
        <w:jc w:val="both"/>
        <w:rPr>
          <w:rFonts w:ascii="Book Antiqua" w:hAnsi="Book Antiqua"/>
          <w:lang w:val="en-GB"/>
        </w:rPr>
      </w:pPr>
      <w:r w:rsidRPr="00E3232D">
        <w:rPr>
          <w:rFonts w:ascii="Book Antiqua" w:hAnsi="Book Antiqua"/>
          <w:lang w:val="en-GB"/>
        </w:rPr>
        <w:t xml:space="preserve">respondents received phone calls and 16% make phone calls during lectures. The issue here is that how can students concentrate on </w:t>
      </w:r>
    </w:p>
    <w:p w14:paraId="5006365E" w14:textId="77777777" w:rsidR="009D343F" w:rsidRPr="00E3232D" w:rsidRDefault="009D343F" w:rsidP="00B7604D">
      <w:pPr>
        <w:spacing w:after="0"/>
        <w:jc w:val="both"/>
        <w:rPr>
          <w:rFonts w:ascii="Book Antiqua" w:hAnsi="Book Antiqua"/>
          <w:lang w:val="en-GB"/>
        </w:rPr>
      </w:pPr>
      <w:r w:rsidRPr="00E3232D">
        <w:rPr>
          <w:rFonts w:ascii="Book Antiqua" w:hAnsi="Book Antiqua"/>
          <w:lang w:val="en-GB"/>
        </w:rPr>
        <w:t>what is being discussed during a lecture if they are making and receiving calls at the say time? This could have a negative effect on the performance of some students.</w:t>
      </w:r>
    </w:p>
    <w:p w14:paraId="19608FCA" w14:textId="77777777" w:rsidR="009D343F" w:rsidRPr="00E3232D" w:rsidRDefault="009D343F" w:rsidP="00B7604D">
      <w:pPr>
        <w:spacing w:after="0"/>
        <w:rPr>
          <w:rFonts w:ascii="Book Antiqua" w:hAnsi="Book Antiqua"/>
          <w:bCs/>
        </w:rPr>
      </w:pPr>
    </w:p>
    <w:p w14:paraId="2878F17B" w14:textId="77777777" w:rsidR="009D343F" w:rsidRDefault="007005B1" w:rsidP="008275E1">
      <w:r>
        <w:rPr>
          <w:rFonts w:ascii="Book Antiqua" w:hAnsi="Book Antiqua"/>
          <w:noProof/>
          <w:lang w:bidi="ar-SA"/>
        </w:rPr>
        <w:drawing>
          <wp:inline distT="0" distB="0" distL="0" distR="0" wp14:anchorId="3EB16E4F" wp14:editId="37E1A38B">
            <wp:extent cx="2381250" cy="1990725"/>
            <wp:effectExtent l="0" t="0" r="0" b="0"/>
            <wp:docPr id="142"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14:paraId="42D4BEE5" w14:textId="77777777" w:rsidR="00490079" w:rsidRDefault="00490079" w:rsidP="00490079">
      <w:pPr>
        <w:rPr>
          <w:rFonts w:ascii="Book Antiqua" w:hAnsi="Book Antiqua"/>
          <w:lang w:val="en-GB"/>
        </w:rPr>
      </w:pPr>
      <w:r w:rsidRPr="00E3232D">
        <w:rPr>
          <w:rFonts w:ascii="Book Antiqua" w:hAnsi="Book Antiqua"/>
          <w:lang w:val="en-GB"/>
        </w:rPr>
        <w:t>Source: fieldwork, 2013</w:t>
      </w:r>
    </w:p>
    <w:p w14:paraId="76AC2E68" w14:textId="77777777" w:rsidR="00490079" w:rsidRPr="00E3232D" w:rsidRDefault="00490079" w:rsidP="008275E1">
      <w:pPr>
        <w:rPr>
          <w:rFonts w:ascii="Book Antiqua" w:hAnsi="Book Antiqua"/>
          <w:lang w:val="en-GB"/>
        </w:rPr>
        <w:sectPr w:rsidR="00490079" w:rsidRPr="00E3232D" w:rsidSect="008F6BC9">
          <w:type w:val="continuous"/>
          <w:pgSz w:w="11907" w:h="16839" w:code="9"/>
          <w:pgMar w:top="1440" w:right="1440" w:bottom="1440" w:left="1440" w:header="720" w:footer="720" w:gutter="0"/>
          <w:cols w:num="2" w:space="720"/>
          <w:docGrid w:linePitch="360"/>
        </w:sectPr>
      </w:pPr>
    </w:p>
    <w:p w14:paraId="467D361B" w14:textId="77777777" w:rsidR="00D93F91" w:rsidRDefault="00D93F91" w:rsidP="008275E1">
      <w:pPr>
        <w:sectPr w:rsidR="00D93F91" w:rsidSect="00490079">
          <w:type w:val="continuous"/>
          <w:pgSz w:w="11907" w:h="16839" w:code="9"/>
          <w:pgMar w:top="1440" w:right="1440" w:bottom="1440" w:left="1440" w:header="720" w:footer="720" w:gutter="0"/>
          <w:cols w:num="2" w:space="720"/>
          <w:docGrid w:linePitch="360"/>
        </w:sectPr>
      </w:pPr>
    </w:p>
    <w:p w14:paraId="4C917A0E" w14:textId="77777777" w:rsidR="00490079" w:rsidRDefault="00490079" w:rsidP="008275E1">
      <w:pPr>
        <w:rPr>
          <w:rFonts w:ascii="Book Antiqua" w:hAnsi="Book Antiqua"/>
          <w:lang w:val="en-GB"/>
        </w:rPr>
      </w:pPr>
    </w:p>
    <w:p w14:paraId="04045989" w14:textId="77777777" w:rsidR="00490079" w:rsidRDefault="00490079" w:rsidP="008275E1">
      <w:pPr>
        <w:rPr>
          <w:rFonts w:ascii="Book Antiqua" w:hAnsi="Book Antiqua"/>
          <w:lang w:val="en-GB"/>
        </w:rPr>
      </w:pPr>
    </w:p>
    <w:p w14:paraId="35EB8635" w14:textId="77777777" w:rsidR="00490079" w:rsidRDefault="00490079" w:rsidP="008275E1">
      <w:pPr>
        <w:rPr>
          <w:rFonts w:ascii="Book Antiqua" w:hAnsi="Book Antiqua"/>
          <w:lang w:val="en-GB"/>
        </w:rPr>
        <w:sectPr w:rsidR="00490079" w:rsidSect="00490079">
          <w:type w:val="continuous"/>
          <w:pgSz w:w="11907" w:h="16839" w:code="9"/>
          <w:pgMar w:top="1440" w:right="1440" w:bottom="1440" w:left="1440" w:header="720" w:footer="720" w:gutter="0"/>
          <w:cols w:num="2" w:space="720"/>
          <w:docGrid w:linePitch="360"/>
        </w:sectPr>
      </w:pPr>
    </w:p>
    <w:p w14:paraId="278863E4" w14:textId="77777777" w:rsidR="00490079" w:rsidRPr="00E3232D" w:rsidRDefault="00490079" w:rsidP="008275E1">
      <w:pPr>
        <w:rPr>
          <w:rFonts w:ascii="Book Antiqua" w:hAnsi="Book Antiqua"/>
          <w:lang w:val="en-GB"/>
        </w:rPr>
        <w:sectPr w:rsidR="00490079" w:rsidRPr="00E3232D" w:rsidSect="008F6BC9">
          <w:type w:val="continuous"/>
          <w:pgSz w:w="11907" w:h="16839" w:code="9"/>
          <w:pgMar w:top="1440" w:right="1440" w:bottom="1440" w:left="1440" w:header="720" w:footer="720" w:gutter="0"/>
          <w:cols w:space="720"/>
          <w:docGrid w:linePitch="360"/>
        </w:sectPr>
      </w:pPr>
    </w:p>
    <w:p w14:paraId="366CE3FE" w14:textId="77777777" w:rsidR="000258E4" w:rsidRDefault="000258E4" w:rsidP="00B7604D">
      <w:pPr>
        <w:spacing w:before="150" w:after="150"/>
        <w:jc w:val="both"/>
        <w:rPr>
          <w:rFonts w:ascii="Book Antiqua" w:hAnsi="Book Antiqua"/>
          <w:lang w:val="en-GB"/>
        </w:rPr>
        <w:sectPr w:rsidR="000258E4" w:rsidSect="008F6BC9">
          <w:pgSz w:w="11907" w:h="16839" w:code="9"/>
          <w:pgMar w:top="1440" w:right="1440" w:bottom="1440" w:left="1440" w:header="720" w:footer="720" w:gutter="0"/>
          <w:cols w:num="2" w:space="720"/>
          <w:titlePg/>
          <w:docGrid w:linePitch="360"/>
        </w:sectPr>
      </w:pPr>
    </w:p>
    <w:p w14:paraId="0A7349AA" w14:textId="77777777" w:rsidR="009D343F" w:rsidRPr="00E3232D" w:rsidRDefault="009D343F" w:rsidP="00B7604D">
      <w:pPr>
        <w:spacing w:before="150" w:after="150"/>
        <w:jc w:val="both"/>
        <w:rPr>
          <w:rFonts w:ascii="Book Antiqua" w:hAnsi="Book Antiqua"/>
        </w:rPr>
      </w:pPr>
      <w:r w:rsidRPr="00E3232D">
        <w:rPr>
          <w:rFonts w:ascii="Book Antiqua" w:hAnsi="Book Antiqua"/>
          <w:lang w:val="en-GB"/>
        </w:rPr>
        <w:t xml:space="preserve">About 55% of respondents received text messages and 22% send text messages during lectures. </w:t>
      </w:r>
      <w:r w:rsidRPr="00E3232D">
        <w:rPr>
          <w:rFonts w:ascii="Book Antiqua" w:hAnsi="Book Antiqua"/>
          <w:color w:val="000000"/>
        </w:rPr>
        <w:t xml:space="preserve">Text messaging is an example of technological communication which is student centered approach to communication from the student’s view point. Students use text messages to ask for permission to be absent from class. According to 100% of the respondents who use this mean say it is relatively inexpensive, fast, short and feedback is received from most of the recipients of the message promptly. This means of communication make students use abbreviation, acronyms and sometimes combinations of letters and figures which is student centred. This  supports </w:t>
      </w:r>
      <w:r w:rsidRPr="00E3232D">
        <w:rPr>
          <w:rFonts w:ascii="Book Antiqua" w:hAnsi="Book Antiqua"/>
        </w:rPr>
        <w:t xml:space="preserve">John-Harmen, Rashid and Elder (2010) that mobile phones make learner-centred learning possible by enabling students to customize the transfer of information in order to build on their skills and knowledge. This is surely the implication or effect ICT is having on students experience at the tertiary institution. This supports (Conole et al. 2008) on how research is going on by researchers to find out the impact of ICT on study and learning practices. This finding also supports Rosenberg (2009), that cell phone can be used for texting which serves as the learning resource. </w:t>
      </w:r>
    </w:p>
    <w:p w14:paraId="03DDAFB1" w14:textId="77777777" w:rsidR="009D343F" w:rsidRPr="00E3232D" w:rsidRDefault="009D343F" w:rsidP="00B7604D">
      <w:pPr>
        <w:spacing w:before="150" w:after="150"/>
        <w:jc w:val="both"/>
        <w:rPr>
          <w:rFonts w:ascii="Book Antiqua" w:hAnsi="Book Antiqua"/>
          <w:lang w:val="en-GB"/>
        </w:rPr>
      </w:pPr>
      <w:r w:rsidRPr="00E3232D">
        <w:rPr>
          <w:rFonts w:ascii="Book Antiqua" w:hAnsi="Book Antiqua"/>
          <w:color w:val="000000"/>
        </w:rPr>
        <w:t>However 65% of the respondents complained that sometimes they find it very difficult to understand some of the text messages sent to them by their colleagues because of the customization of words and figures. In this regard communication then becomes ineffective because there is no meaning to the information.  Some of the students find themselves using some of these customized ways of sending text message in examinations and expect the lecturers to understand them.</w:t>
      </w:r>
      <w:r w:rsidRPr="00E3232D">
        <w:rPr>
          <w:rFonts w:ascii="Book Antiqua" w:hAnsi="Book Antiqua"/>
          <w:lang w:val="en-GB"/>
        </w:rPr>
        <w:t xml:space="preserve">  If this negative transformation is not dealt with immediately it will destroy the correct use of written communication.</w:t>
      </w:r>
    </w:p>
    <w:p w14:paraId="6AA9BDDD" w14:textId="77777777" w:rsidR="009D343F" w:rsidRPr="00E3232D" w:rsidRDefault="009D343F" w:rsidP="00B7604D">
      <w:pPr>
        <w:jc w:val="both"/>
        <w:rPr>
          <w:rFonts w:ascii="Book Antiqua" w:hAnsi="Book Antiqua"/>
          <w:b/>
          <w:lang w:val="en-GB"/>
        </w:rPr>
      </w:pPr>
    </w:p>
    <w:p w14:paraId="0CE5B9B4" w14:textId="77777777" w:rsidR="009D343F" w:rsidRPr="00E3232D" w:rsidRDefault="008214F9" w:rsidP="00B7604D">
      <w:pPr>
        <w:jc w:val="both"/>
        <w:rPr>
          <w:rFonts w:ascii="Book Antiqua" w:hAnsi="Book Antiqua"/>
          <w:b/>
          <w:lang w:val="en-GB"/>
        </w:rPr>
      </w:pPr>
      <w:r>
        <w:rPr>
          <w:rFonts w:ascii="Book Antiqua" w:hAnsi="Book Antiqua"/>
          <w:b/>
          <w:lang w:val="en-GB"/>
        </w:rPr>
        <w:t xml:space="preserve">3.3 </w:t>
      </w:r>
      <w:r w:rsidR="009D343F" w:rsidRPr="00E3232D">
        <w:rPr>
          <w:rFonts w:ascii="Book Antiqua" w:hAnsi="Book Antiqua"/>
          <w:b/>
          <w:lang w:val="en-GB"/>
        </w:rPr>
        <w:t xml:space="preserve">Purposes of </w:t>
      </w:r>
      <w:r w:rsidRPr="00E3232D">
        <w:rPr>
          <w:rFonts w:ascii="Book Antiqua" w:hAnsi="Book Antiqua"/>
          <w:b/>
          <w:lang w:val="en-GB"/>
        </w:rPr>
        <w:t>Calls</w:t>
      </w:r>
      <w:r w:rsidR="009D343F" w:rsidRPr="00E3232D">
        <w:rPr>
          <w:rFonts w:ascii="Book Antiqua" w:hAnsi="Book Antiqua"/>
          <w:b/>
          <w:lang w:val="en-GB"/>
        </w:rPr>
        <w:t>/</w:t>
      </w:r>
      <w:r w:rsidRPr="00E3232D">
        <w:rPr>
          <w:rFonts w:ascii="Book Antiqua" w:hAnsi="Book Antiqua"/>
          <w:b/>
          <w:lang w:val="en-GB"/>
        </w:rPr>
        <w:t>Texts During Lectures</w:t>
      </w:r>
    </w:p>
    <w:p w14:paraId="6411EFE0" w14:textId="77777777" w:rsidR="009D343F" w:rsidRPr="00E3232D" w:rsidRDefault="009D343F" w:rsidP="00B7604D">
      <w:pPr>
        <w:jc w:val="both"/>
        <w:rPr>
          <w:rFonts w:ascii="Book Antiqua" w:hAnsi="Book Antiqua"/>
          <w:lang w:val="en-GB"/>
        </w:rPr>
      </w:pPr>
      <w:r w:rsidRPr="00E3232D">
        <w:rPr>
          <w:rFonts w:ascii="Book Antiqua" w:hAnsi="Book Antiqua"/>
          <w:lang w:val="en-GB"/>
        </w:rPr>
        <w:t>According to the respondents the purpose for making and receiving calls and text messages are:</w:t>
      </w:r>
    </w:p>
    <w:p w14:paraId="1F2C5B23" w14:textId="77777777" w:rsidR="00490079" w:rsidRDefault="009D343F" w:rsidP="00B7604D">
      <w:pPr>
        <w:jc w:val="both"/>
        <w:rPr>
          <w:rFonts w:ascii="Book Antiqua" w:hAnsi="Book Antiqua"/>
          <w:lang w:val="en-GB"/>
        </w:rPr>
      </w:pPr>
      <w:r w:rsidRPr="00E3232D">
        <w:rPr>
          <w:rFonts w:ascii="Book Antiqua" w:hAnsi="Book Antiqua"/>
          <w:lang w:val="en-GB"/>
        </w:rPr>
        <w:t>To inform friends that lecture is going on. According to an interview with some of the respondents, some of their colleagues may have forgotten that they have lecture at a particular time so they call them to come to class. 20% of these respondents stated that sometimes their lecturers come to class late and are not sure if they the lecturers will come at all so they call to remind lecturers that they have lectures with them. According to these respondents in most cases some of the lecturers forget or are caught up in meeting so the class would have to be rescheduled for them. Thanks to the use of mobile phones they would have being waiting till the period is over.</w:t>
      </w:r>
    </w:p>
    <w:p w14:paraId="03B123BD" w14:textId="77777777" w:rsidR="009D343F" w:rsidRPr="00E3232D" w:rsidRDefault="009D343F" w:rsidP="00B7604D">
      <w:pPr>
        <w:jc w:val="both"/>
        <w:rPr>
          <w:rFonts w:ascii="Book Antiqua" w:hAnsi="Book Antiqua"/>
          <w:lang w:val="en-GB"/>
        </w:rPr>
      </w:pPr>
      <w:r w:rsidRPr="00E3232D">
        <w:rPr>
          <w:rFonts w:ascii="Book Antiqua" w:hAnsi="Book Antiqua"/>
          <w:lang w:val="en-GB"/>
        </w:rPr>
        <w:t>Respondents, who make, receive calls and text messages stated other purpose as important and personal information. When asked if these calls/text messages could not wait after the lecture, 80% stated that some of them could actually wait till after the lecture but they think they should just respond or they will forget. 20% stated those calls and text messages could not just wait so must be responded to immediately.</w:t>
      </w:r>
    </w:p>
    <w:p w14:paraId="3DB4AADB" w14:textId="77777777" w:rsidR="009D343F" w:rsidRPr="00E3232D" w:rsidRDefault="009D343F" w:rsidP="00B7604D">
      <w:pPr>
        <w:jc w:val="both"/>
        <w:rPr>
          <w:rFonts w:ascii="Book Antiqua" w:hAnsi="Book Antiqua"/>
          <w:lang w:val="en-GB"/>
        </w:rPr>
      </w:pPr>
      <w:r w:rsidRPr="00E3232D">
        <w:rPr>
          <w:rFonts w:ascii="Book Antiqua" w:hAnsi="Book Antiqua"/>
          <w:lang w:val="en-GB"/>
        </w:rPr>
        <w:t>When asked how these affect their learning 65% say they are able to cope and follow what is being discussed during that period after the call or text message. The other 35% stated that sometimes they just get lost and not able to understand what was said during the time of call or texting. The issue here is students should be made to concentrate on academic work for that period of three hours and could make, receive messages or call just after the lesson is over. This will prevent divided attention during lectures.</w:t>
      </w:r>
    </w:p>
    <w:p w14:paraId="570B58F1" w14:textId="77777777" w:rsidR="009D343F" w:rsidRPr="00E3232D" w:rsidRDefault="009D343F" w:rsidP="00B7604D">
      <w:pPr>
        <w:jc w:val="both"/>
        <w:rPr>
          <w:rFonts w:ascii="Book Antiqua" w:hAnsi="Book Antiqua"/>
          <w:lang w:val="en-GB"/>
        </w:rPr>
      </w:pPr>
      <w:r w:rsidRPr="00E3232D">
        <w:rPr>
          <w:rFonts w:ascii="Book Antiqua" w:hAnsi="Book Antiqua"/>
          <w:lang w:val="en-GB"/>
        </w:rPr>
        <w:t>Table 2: How students feel when they hear a phone ring or one takes phone call during lectures?</w:t>
      </w:r>
    </w:p>
    <w:tbl>
      <w:tblPr>
        <w:tblW w:w="4770" w:type="dxa"/>
        <w:tblBorders>
          <w:top w:val="single" w:sz="8" w:space="0" w:color="4F81BD"/>
          <w:bottom w:val="single" w:sz="8" w:space="0" w:color="4F81BD"/>
        </w:tblBorders>
        <w:tblLook w:val="04A0" w:firstRow="1" w:lastRow="0" w:firstColumn="1" w:lastColumn="0" w:noHBand="0" w:noVBand="1"/>
      </w:tblPr>
      <w:tblGrid>
        <w:gridCol w:w="1585"/>
        <w:gridCol w:w="436"/>
        <w:gridCol w:w="987"/>
        <w:gridCol w:w="949"/>
        <w:gridCol w:w="962"/>
      </w:tblGrid>
      <w:tr w:rsidR="009D343F" w:rsidRPr="00D12E59" w14:paraId="01EB38C5" w14:textId="77777777" w:rsidTr="008D6FB2">
        <w:trPr>
          <w:trHeight w:val="435"/>
        </w:trPr>
        <w:tc>
          <w:tcPr>
            <w:tcW w:w="1483" w:type="dxa"/>
            <w:shd w:val="clear" w:color="auto" w:fill="auto"/>
          </w:tcPr>
          <w:p w14:paraId="695FF708"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Issues</w:t>
            </w:r>
          </w:p>
        </w:tc>
        <w:tc>
          <w:tcPr>
            <w:tcW w:w="425" w:type="dxa"/>
            <w:shd w:val="clear" w:color="auto" w:fill="auto"/>
          </w:tcPr>
          <w:p w14:paraId="2194D3D0"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w:t>
            </w:r>
          </w:p>
          <w:p w14:paraId="658E873C" w14:textId="77777777" w:rsidR="009D343F" w:rsidRPr="00D12E59" w:rsidRDefault="009D343F" w:rsidP="0007771F">
            <w:pPr>
              <w:pStyle w:val="NoSpacing"/>
              <w:rPr>
                <w:rFonts w:ascii="Book Antiqua" w:hAnsi="Book Antiqua"/>
                <w:b/>
                <w:bCs/>
                <w:color w:val="365F91"/>
                <w:lang w:val="en-GB"/>
              </w:rPr>
            </w:pPr>
          </w:p>
        </w:tc>
        <w:tc>
          <w:tcPr>
            <w:tcW w:w="950" w:type="dxa"/>
            <w:shd w:val="clear" w:color="auto" w:fill="auto"/>
          </w:tcPr>
          <w:p w14:paraId="27E6FD3D" w14:textId="77777777" w:rsidR="009D343F" w:rsidRPr="00D12E59" w:rsidRDefault="00421142" w:rsidP="0007771F">
            <w:pPr>
              <w:pStyle w:val="NoSpacing"/>
              <w:rPr>
                <w:rFonts w:ascii="Book Antiqua" w:hAnsi="Book Antiqua"/>
                <w:b/>
                <w:bCs/>
                <w:color w:val="365F91"/>
                <w:lang w:val="en-GB"/>
              </w:rPr>
            </w:pPr>
            <w:r w:rsidRPr="00D12E59">
              <w:rPr>
                <w:rFonts w:ascii="Book Antiqua" w:hAnsi="Book Antiqua"/>
                <w:b/>
                <w:bCs/>
                <w:color w:val="365F91"/>
                <w:lang w:val="en-GB"/>
              </w:rPr>
              <w:t>Normal %</w:t>
            </w:r>
          </w:p>
        </w:tc>
        <w:tc>
          <w:tcPr>
            <w:tcW w:w="914" w:type="dxa"/>
            <w:shd w:val="clear" w:color="auto" w:fill="auto"/>
          </w:tcPr>
          <w:p w14:paraId="638DCAF9"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Excited</w:t>
            </w:r>
          </w:p>
        </w:tc>
        <w:tc>
          <w:tcPr>
            <w:tcW w:w="998" w:type="dxa"/>
            <w:shd w:val="clear" w:color="auto" w:fill="auto"/>
          </w:tcPr>
          <w:p w14:paraId="51B0AD0A"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 xml:space="preserve">Total percent </w:t>
            </w:r>
          </w:p>
        </w:tc>
      </w:tr>
      <w:tr w:rsidR="009D343F" w:rsidRPr="00D12E59" w14:paraId="260393E3" w14:textId="77777777" w:rsidTr="008D6FB2">
        <w:trPr>
          <w:trHeight w:val="2555"/>
        </w:trPr>
        <w:tc>
          <w:tcPr>
            <w:tcW w:w="1483" w:type="dxa"/>
            <w:shd w:val="clear" w:color="auto" w:fill="auto"/>
          </w:tcPr>
          <w:p w14:paraId="37ED92C4"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 xml:space="preserve"> Disturbed</w:t>
            </w:r>
          </w:p>
          <w:p w14:paraId="302441B2"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Feel bad</w:t>
            </w:r>
          </w:p>
          <w:p w14:paraId="79F927FF"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Irritated</w:t>
            </w:r>
          </w:p>
          <w:p w14:paraId="668055C6"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Unhappy</w:t>
            </w:r>
          </w:p>
          <w:p w14:paraId="64677BBF"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disappointed</w:t>
            </w:r>
          </w:p>
          <w:p w14:paraId="71034106"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Lose concentration</w:t>
            </w:r>
          </w:p>
          <w:p w14:paraId="24E27FF0" w14:textId="77777777" w:rsidR="009D343F" w:rsidRPr="00D12E59" w:rsidRDefault="009D343F" w:rsidP="0007771F">
            <w:pPr>
              <w:pStyle w:val="NoSpacing"/>
              <w:rPr>
                <w:rFonts w:ascii="Book Antiqua" w:hAnsi="Book Antiqua"/>
                <w:b/>
                <w:bCs/>
                <w:color w:val="365F91"/>
                <w:lang w:val="en-GB"/>
              </w:rPr>
            </w:pPr>
            <w:r w:rsidRPr="00D12E59">
              <w:rPr>
                <w:rFonts w:ascii="Book Antiqua" w:hAnsi="Book Antiqua"/>
                <w:b/>
                <w:bCs/>
                <w:color w:val="365F91"/>
                <w:lang w:val="en-GB"/>
              </w:rPr>
              <w:t>Very angry</w:t>
            </w:r>
          </w:p>
          <w:p w14:paraId="2052DE4D" w14:textId="77777777" w:rsidR="009D343F" w:rsidRPr="00D12E59" w:rsidRDefault="009D343F" w:rsidP="0007771F">
            <w:pPr>
              <w:pStyle w:val="NoSpacing"/>
              <w:rPr>
                <w:rFonts w:ascii="Book Antiqua" w:hAnsi="Book Antiqua"/>
                <w:b/>
                <w:bCs/>
                <w:color w:val="365F91"/>
                <w:lang w:val="en-GB"/>
              </w:rPr>
            </w:pPr>
          </w:p>
          <w:p w14:paraId="2626E7B9" w14:textId="77777777" w:rsidR="009D343F" w:rsidRPr="00D12E59" w:rsidRDefault="009D343F" w:rsidP="0007771F">
            <w:pPr>
              <w:pStyle w:val="NoSpacing"/>
              <w:rPr>
                <w:rFonts w:ascii="Book Antiqua" w:hAnsi="Book Antiqua"/>
                <w:b/>
                <w:bCs/>
                <w:color w:val="365F91"/>
                <w:lang w:val="en-GB"/>
              </w:rPr>
            </w:pPr>
          </w:p>
        </w:tc>
        <w:tc>
          <w:tcPr>
            <w:tcW w:w="425" w:type="dxa"/>
            <w:shd w:val="clear" w:color="auto" w:fill="auto"/>
          </w:tcPr>
          <w:p w14:paraId="3D945D14"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80</w:t>
            </w:r>
          </w:p>
          <w:p w14:paraId="7FC39CEE"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90</w:t>
            </w:r>
          </w:p>
          <w:p w14:paraId="0E686068"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80</w:t>
            </w:r>
          </w:p>
          <w:p w14:paraId="554738B1"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75</w:t>
            </w:r>
          </w:p>
          <w:p w14:paraId="2856C002"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60</w:t>
            </w:r>
          </w:p>
          <w:p w14:paraId="2310E12C"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70</w:t>
            </w:r>
          </w:p>
          <w:p w14:paraId="599B23A8" w14:textId="77777777" w:rsidR="009D343F" w:rsidRPr="00D12E59" w:rsidRDefault="009D343F" w:rsidP="0007771F">
            <w:pPr>
              <w:pStyle w:val="NoSpacing"/>
              <w:rPr>
                <w:rFonts w:ascii="Book Antiqua" w:hAnsi="Book Antiqua"/>
                <w:color w:val="365F91"/>
                <w:lang w:val="en-GB"/>
              </w:rPr>
            </w:pPr>
          </w:p>
          <w:p w14:paraId="2FB3D998"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80</w:t>
            </w:r>
          </w:p>
        </w:tc>
        <w:tc>
          <w:tcPr>
            <w:tcW w:w="950" w:type="dxa"/>
            <w:shd w:val="clear" w:color="auto" w:fill="auto"/>
          </w:tcPr>
          <w:p w14:paraId="21AF75D6"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20</w:t>
            </w:r>
          </w:p>
          <w:p w14:paraId="63484F82"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10</w:t>
            </w:r>
          </w:p>
          <w:p w14:paraId="681F13FA"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20</w:t>
            </w:r>
          </w:p>
          <w:p w14:paraId="0B4E514A"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25</w:t>
            </w:r>
          </w:p>
          <w:p w14:paraId="569133D6"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40</w:t>
            </w:r>
          </w:p>
          <w:p w14:paraId="1B7E7C2D"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30</w:t>
            </w:r>
          </w:p>
          <w:p w14:paraId="5E6E7F3F" w14:textId="77777777" w:rsidR="009D343F" w:rsidRPr="00D12E59" w:rsidRDefault="009D343F" w:rsidP="0007771F">
            <w:pPr>
              <w:pStyle w:val="NoSpacing"/>
              <w:rPr>
                <w:rFonts w:ascii="Book Antiqua" w:hAnsi="Book Antiqua"/>
                <w:color w:val="365F91"/>
                <w:lang w:val="en-GB"/>
              </w:rPr>
            </w:pPr>
          </w:p>
          <w:p w14:paraId="501476DE"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20</w:t>
            </w:r>
          </w:p>
          <w:p w14:paraId="3C20FA77" w14:textId="77777777" w:rsidR="009D343F" w:rsidRPr="00D12E59" w:rsidRDefault="009D343F" w:rsidP="0007771F">
            <w:pPr>
              <w:pStyle w:val="NoSpacing"/>
              <w:rPr>
                <w:rFonts w:ascii="Book Antiqua" w:hAnsi="Book Antiqua"/>
                <w:color w:val="365F91"/>
                <w:lang w:val="en-GB"/>
              </w:rPr>
            </w:pPr>
          </w:p>
        </w:tc>
        <w:tc>
          <w:tcPr>
            <w:tcW w:w="914" w:type="dxa"/>
            <w:shd w:val="clear" w:color="auto" w:fill="auto"/>
          </w:tcPr>
          <w:p w14:paraId="58357C93"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w:t>
            </w:r>
          </w:p>
          <w:p w14:paraId="16F8E8F9"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w:t>
            </w:r>
          </w:p>
          <w:p w14:paraId="660E5C91"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w:t>
            </w:r>
          </w:p>
          <w:p w14:paraId="500204C9"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w:t>
            </w:r>
          </w:p>
          <w:p w14:paraId="787E7240"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w:t>
            </w:r>
          </w:p>
          <w:p w14:paraId="25F1FC49"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w:t>
            </w:r>
          </w:p>
          <w:p w14:paraId="4F6839E3" w14:textId="77777777" w:rsidR="009D343F" w:rsidRPr="00D12E59" w:rsidRDefault="009D343F" w:rsidP="0007771F">
            <w:pPr>
              <w:pStyle w:val="NoSpacing"/>
              <w:rPr>
                <w:rFonts w:ascii="Book Antiqua" w:hAnsi="Book Antiqua"/>
                <w:color w:val="365F91"/>
                <w:lang w:val="en-GB"/>
              </w:rPr>
            </w:pPr>
          </w:p>
          <w:p w14:paraId="6C818A3C"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w:t>
            </w:r>
          </w:p>
          <w:p w14:paraId="40A118A8" w14:textId="77777777" w:rsidR="009D343F" w:rsidRPr="00D12E59" w:rsidRDefault="009D343F" w:rsidP="0007771F">
            <w:pPr>
              <w:pStyle w:val="NoSpacing"/>
              <w:rPr>
                <w:rFonts w:ascii="Book Antiqua" w:hAnsi="Book Antiqua"/>
                <w:color w:val="365F91"/>
                <w:lang w:val="en-GB"/>
              </w:rPr>
            </w:pPr>
          </w:p>
        </w:tc>
        <w:tc>
          <w:tcPr>
            <w:tcW w:w="998" w:type="dxa"/>
            <w:shd w:val="clear" w:color="auto" w:fill="auto"/>
          </w:tcPr>
          <w:p w14:paraId="7F3BBE6B" w14:textId="77777777" w:rsidR="009D343F" w:rsidRPr="00D12E59" w:rsidRDefault="009D343F" w:rsidP="0007771F">
            <w:pPr>
              <w:pStyle w:val="NoSpacing"/>
              <w:rPr>
                <w:rFonts w:ascii="Book Antiqua" w:hAnsi="Book Antiqua"/>
                <w:color w:val="365F91"/>
                <w:lang w:val="en-GB"/>
              </w:rPr>
            </w:pPr>
          </w:p>
          <w:p w14:paraId="32050376"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100</w:t>
            </w:r>
          </w:p>
          <w:p w14:paraId="056291A0"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100</w:t>
            </w:r>
          </w:p>
          <w:p w14:paraId="31794CBD"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100</w:t>
            </w:r>
          </w:p>
          <w:p w14:paraId="1581CF8C"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100</w:t>
            </w:r>
          </w:p>
          <w:p w14:paraId="3003DC04"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100</w:t>
            </w:r>
          </w:p>
          <w:p w14:paraId="1F1C5B19" w14:textId="77777777" w:rsidR="009D343F" w:rsidRPr="00D12E59" w:rsidRDefault="00421142" w:rsidP="0007771F">
            <w:pPr>
              <w:pStyle w:val="NoSpacing"/>
              <w:rPr>
                <w:rFonts w:ascii="Book Antiqua" w:hAnsi="Book Antiqua"/>
                <w:color w:val="365F91"/>
                <w:lang w:val="en-GB"/>
              </w:rPr>
            </w:pPr>
            <w:r w:rsidRPr="00D12E59">
              <w:rPr>
                <w:rFonts w:ascii="Book Antiqua" w:hAnsi="Book Antiqua"/>
                <w:color w:val="365F91"/>
                <w:lang w:val="en-GB"/>
              </w:rPr>
              <w:t>100</w:t>
            </w:r>
          </w:p>
          <w:p w14:paraId="1DDF992A" w14:textId="77777777" w:rsidR="009D343F" w:rsidRPr="00D12E59" w:rsidRDefault="009D343F" w:rsidP="0007771F">
            <w:pPr>
              <w:pStyle w:val="NoSpacing"/>
              <w:rPr>
                <w:rFonts w:ascii="Book Antiqua" w:hAnsi="Book Antiqua"/>
                <w:color w:val="365F91"/>
                <w:lang w:val="en-GB"/>
              </w:rPr>
            </w:pPr>
            <w:r w:rsidRPr="00D12E59">
              <w:rPr>
                <w:rFonts w:ascii="Book Antiqua" w:hAnsi="Book Antiqua"/>
                <w:color w:val="365F91"/>
                <w:lang w:val="en-GB"/>
              </w:rPr>
              <w:t>100</w:t>
            </w:r>
          </w:p>
        </w:tc>
      </w:tr>
    </w:tbl>
    <w:p w14:paraId="724D24B5" w14:textId="77777777" w:rsidR="009D343F" w:rsidRPr="00E3232D" w:rsidRDefault="009D343F" w:rsidP="008275E1">
      <w:pPr>
        <w:pStyle w:val="NoSpacing"/>
        <w:spacing w:line="276" w:lineRule="auto"/>
        <w:rPr>
          <w:rFonts w:ascii="Book Antiqua" w:hAnsi="Book Antiqua"/>
          <w:lang w:val="en-GB"/>
        </w:rPr>
      </w:pPr>
      <w:r w:rsidRPr="00E3232D">
        <w:rPr>
          <w:rFonts w:ascii="Book Antiqua" w:hAnsi="Book Antiqua"/>
          <w:lang w:val="en-GB"/>
        </w:rPr>
        <w:t>Source: fieldwork, 2013</w:t>
      </w:r>
    </w:p>
    <w:p w14:paraId="14862B44" w14:textId="77777777" w:rsidR="009D343F" w:rsidRPr="00E3232D" w:rsidRDefault="009D343F" w:rsidP="008275E1">
      <w:pPr>
        <w:rPr>
          <w:rFonts w:ascii="Book Antiqua" w:hAnsi="Book Antiqua"/>
          <w:lang w:val="en-GB"/>
        </w:rPr>
      </w:pPr>
    </w:p>
    <w:p w14:paraId="7A369EC0" w14:textId="77777777" w:rsidR="009D343F" w:rsidRPr="00E3232D" w:rsidRDefault="009D343F" w:rsidP="00B7604D">
      <w:pPr>
        <w:spacing w:after="0"/>
        <w:jc w:val="both"/>
        <w:rPr>
          <w:rFonts w:ascii="Book Antiqua" w:hAnsi="Book Antiqua"/>
          <w:lang w:val="en-GB"/>
        </w:rPr>
      </w:pPr>
      <w:r w:rsidRPr="00E3232D">
        <w:rPr>
          <w:rFonts w:ascii="Book Antiqua" w:hAnsi="Book Antiqua"/>
          <w:lang w:val="en-GB"/>
        </w:rPr>
        <w:t>The data above reveals that no respondent is excited when their colleagues make or receive calls during lecture hours. A few of them however, think it is normal for phones to ring during lecture hours. Some of the ring tones of the phones are so loud and distractive that as soon as you hear them you may lose concentration or be tempted to look in the direction of the noise. So long as mobile phones are an integral part of students’ life the ring tone could be put off during lecture period to aid concentration during that period.</w:t>
      </w:r>
    </w:p>
    <w:p w14:paraId="1C751DCB" w14:textId="77777777" w:rsidR="009D343F" w:rsidRPr="00E3232D" w:rsidRDefault="009D343F" w:rsidP="00B7604D">
      <w:pPr>
        <w:spacing w:after="0"/>
        <w:jc w:val="both"/>
        <w:rPr>
          <w:rFonts w:ascii="Book Antiqua" w:hAnsi="Book Antiqua"/>
          <w:lang w:val="en-GB"/>
        </w:rPr>
      </w:pPr>
    </w:p>
    <w:p w14:paraId="5404B9E7" w14:textId="77777777" w:rsidR="009D343F" w:rsidRPr="00E3232D" w:rsidRDefault="00283C7D" w:rsidP="00B7604D">
      <w:pPr>
        <w:spacing w:after="0"/>
        <w:jc w:val="both"/>
        <w:rPr>
          <w:rFonts w:ascii="Book Antiqua" w:hAnsi="Book Antiqua"/>
          <w:lang w:val="en-GB"/>
        </w:rPr>
      </w:pPr>
      <w:r>
        <w:rPr>
          <w:rFonts w:ascii="Book Antiqua" w:hAnsi="Book Antiqua"/>
          <w:lang w:val="en-GB"/>
        </w:rPr>
        <w:t xml:space="preserve">Respondents were asked </w:t>
      </w:r>
      <w:r w:rsidR="009D343F" w:rsidRPr="00E3232D">
        <w:rPr>
          <w:rFonts w:ascii="Book Antiqua" w:hAnsi="Book Antiqua"/>
          <w:lang w:val="en-GB"/>
        </w:rPr>
        <w:t xml:space="preserve">some of the effects the mobile phone calls make on them during lecture period, the research revealed that some of the lecturers are unhappy and sometime allow the students to take the calls or finish responding to the phone calls before the lecturer continues with his/her work. By so doing it delays their work in the lecture room. Other respondents stated that some of the lecturers get so angry that the course prefects would have to plead on behalf of the students before the lecturers come back to continue while other lecturers  do not come back at all. The polytechnic authorities would have to come out with a policy on the use of mobile phone during lecture period to avoid some of these frustrations. </w:t>
      </w:r>
    </w:p>
    <w:p w14:paraId="545CC5DB" w14:textId="77777777" w:rsidR="009D343F" w:rsidRDefault="009D343F" w:rsidP="008275E1">
      <w:pPr>
        <w:rPr>
          <w:rFonts w:ascii="Book Antiqua" w:hAnsi="Book Antiqua"/>
          <w:lang w:val="en-GB"/>
        </w:rPr>
      </w:pPr>
    </w:p>
    <w:p w14:paraId="061F54D4" w14:textId="77777777" w:rsidR="005B5589" w:rsidRDefault="005B5589" w:rsidP="008275E1">
      <w:pPr>
        <w:rPr>
          <w:rFonts w:ascii="Book Antiqua" w:hAnsi="Book Antiqua"/>
          <w:lang w:val="en-GB"/>
        </w:rPr>
      </w:pPr>
    </w:p>
    <w:p w14:paraId="7B05FC90" w14:textId="77777777" w:rsidR="005B5589" w:rsidRDefault="005B5589" w:rsidP="008275E1">
      <w:pPr>
        <w:rPr>
          <w:rFonts w:ascii="Book Antiqua" w:hAnsi="Book Antiqua"/>
          <w:lang w:val="en-GB"/>
        </w:rPr>
      </w:pPr>
    </w:p>
    <w:p w14:paraId="2FB71F51" w14:textId="77777777" w:rsidR="005B5589" w:rsidRDefault="005B5589" w:rsidP="008275E1">
      <w:pPr>
        <w:rPr>
          <w:rFonts w:ascii="Book Antiqua" w:hAnsi="Book Antiqua"/>
          <w:lang w:val="en-GB"/>
        </w:rPr>
      </w:pPr>
    </w:p>
    <w:p w14:paraId="1F393BC5" w14:textId="77777777" w:rsidR="005B5589" w:rsidRPr="00E3232D" w:rsidRDefault="005B5589" w:rsidP="008275E1">
      <w:pPr>
        <w:rPr>
          <w:rFonts w:ascii="Book Antiqua" w:hAnsi="Book Antiqua"/>
          <w:lang w:val="en-GB"/>
        </w:rPr>
      </w:pPr>
    </w:p>
    <w:p w14:paraId="71B6CA22" w14:textId="77777777" w:rsidR="00384480" w:rsidRPr="00E3232D" w:rsidRDefault="009D343F" w:rsidP="00B7604D">
      <w:pPr>
        <w:spacing w:after="0"/>
        <w:rPr>
          <w:rFonts w:ascii="Book Antiqua" w:hAnsi="Book Antiqua"/>
          <w:lang w:val="en-GB"/>
        </w:rPr>
      </w:pPr>
      <w:r w:rsidRPr="00E3232D">
        <w:rPr>
          <w:rFonts w:ascii="Book Antiqua" w:hAnsi="Book Antiqua"/>
          <w:lang w:val="en-GB"/>
        </w:rPr>
        <w:t>Table 3: What could be done to students who disturb with mobile phones during lectures?</w:t>
      </w:r>
    </w:p>
    <w:tbl>
      <w:tblPr>
        <w:tblW w:w="4573" w:type="dxa"/>
        <w:tblBorders>
          <w:top w:val="single" w:sz="8" w:space="0" w:color="4F81BD"/>
          <w:bottom w:val="single" w:sz="8" w:space="0" w:color="4F81BD"/>
        </w:tblBorders>
        <w:tblLayout w:type="fixed"/>
        <w:tblLook w:val="04A0" w:firstRow="1" w:lastRow="0" w:firstColumn="1" w:lastColumn="0" w:noHBand="0" w:noVBand="1"/>
      </w:tblPr>
      <w:tblGrid>
        <w:gridCol w:w="2520"/>
        <w:gridCol w:w="810"/>
        <w:gridCol w:w="1243"/>
      </w:tblGrid>
      <w:tr w:rsidR="009D343F" w:rsidRPr="00D12E59" w14:paraId="39151F76" w14:textId="77777777" w:rsidTr="008D6FB2">
        <w:trPr>
          <w:trHeight w:val="279"/>
        </w:trPr>
        <w:tc>
          <w:tcPr>
            <w:tcW w:w="2520" w:type="dxa"/>
            <w:shd w:val="clear" w:color="auto" w:fill="auto"/>
          </w:tcPr>
          <w:p w14:paraId="0C7564D4"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 xml:space="preserve">Issues </w:t>
            </w:r>
          </w:p>
        </w:tc>
        <w:tc>
          <w:tcPr>
            <w:tcW w:w="810" w:type="dxa"/>
            <w:shd w:val="clear" w:color="auto" w:fill="auto"/>
          </w:tcPr>
          <w:p w14:paraId="0EA9D0D7"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w:t>
            </w:r>
          </w:p>
        </w:tc>
        <w:tc>
          <w:tcPr>
            <w:tcW w:w="1243" w:type="dxa"/>
            <w:shd w:val="clear" w:color="auto" w:fill="auto"/>
          </w:tcPr>
          <w:p w14:paraId="23BD87F2"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 xml:space="preserve">Numbers </w:t>
            </w:r>
          </w:p>
        </w:tc>
      </w:tr>
      <w:tr w:rsidR="009D343F" w:rsidRPr="00D12E59" w14:paraId="0DB0D107" w14:textId="77777777" w:rsidTr="008D6FB2">
        <w:trPr>
          <w:trHeight w:val="1037"/>
        </w:trPr>
        <w:tc>
          <w:tcPr>
            <w:tcW w:w="2520" w:type="dxa"/>
            <w:shd w:val="clear" w:color="auto" w:fill="auto"/>
          </w:tcPr>
          <w:p w14:paraId="7A64D5D1" w14:textId="77777777" w:rsidR="009D343F" w:rsidRPr="00D12E59" w:rsidRDefault="009D343F" w:rsidP="000553AA">
            <w:pPr>
              <w:pStyle w:val="NoSpacing"/>
              <w:rPr>
                <w:rFonts w:ascii="Book Antiqua" w:hAnsi="Book Antiqua"/>
                <w:b/>
                <w:bCs/>
                <w:color w:val="365F91"/>
                <w:lang w:val="en-GB"/>
              </w:rPr>
            </w:pPr>
          </w:p>
          <w:p w14:paraId="096BBEF8"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 xml:space="preserve">The institution should advise/counsel </w:t>
            </w:r>
          </w:p>
          <w:p w14:paraId="0589F64E"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students on effects of phone usage during lectures</w:t>
            </w:r>
          </w:p>
          <w:p w14:paraId="18BAC962" w14:textId="77777777" w:rsidR="009D343F" w:rsidRPr="00D12E59" w:rsidRDefault="009D343F" w:rsidP="000553AA">
            <w:pPr>
              <w:pStyle w:val="NoSpacing"/>
              <w:rPr>
                <w:rFonts w:ascii="Book Antiqua" w:hAnsi="Book Antiqua"/>
                <w:b/>
                <w:bCs/>
                <w:color w:val="365F91"/>
                <w:lang w:val="en-GB"/>
              </w:rPr>
            </w:pPr>
          </w:p>
          <w:p w14:paraId="50CC6D2C"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 xml:space="preserve">Should order students to switch off the ring tones of their  phones </w:t>
            </w:r>
          </w:p>
          <w:p w14:paraId="4D851025"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during lecture periods</w:t>
            </w:r>
          </w:p>
          <w:p w14:paraId="04C92925" w14:textId="77777777" w:rsidR="009D343F" w:rsidRPr="00D12E59" w:rsidRDefault="009D343F" w:rsidP="000553AA">
            <w:pPr>
              <w:pStyle w:val="NoSpacing"/>
              <w:rPr>
                <w:rFonts w:ascii="Book Antiqua" w:hAnsi="Book Antiqua"/>
                <w:b/>
                <w:bCs/>
                <w:color w:val="365F91"/>
                <w:lang w:val="en-GB"/>
              </w:rPr>
            </w:pPr>
          </w:p>
          <w:p w14:paraId="343C31C8"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 xml:space="preserve">Students should be walked out </w:t>
            </w:r>
            <w:r w:rsidR="00384480" w:rsidRPr="00D12E59">
              <w:rPr>
                <w:rFonts w:ascii="Book Antiqua" w:hAnsi="Book Antiqua"/>
                <w:b/>
                <w:bCs/>
                <w:color w:val="365F91"/>
                <w:lang w:val="en-GB"/>
              </w:rPr>
              <w:t>from the</w:t>
            </w:r>
          </w:p>
          <w:p w14:paraId="044E881F"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lectures</w:t>
            </w:r>
          </w:p>
          <w:p w14:paraId="53C8C528" w14:textId="77777777" w:rsidR="009D343F" w:rsidRPr="00D12E59" w:rsidRDefault="009D343F" w:rsidP="000553AA">
            <w:pPr>
              <w:pStyle w:val="NoSpacing"/>
              <w:rPr>
                <w:rFonts w:ascii="Book Antiqua" w:hAnsi="Book Antiqua"/>
                <w:b/>
                <w:bCs/>
                <w:color w:val="365F91"/>
                <w:lang w:val="en-GB"/>
              </w:rPr>
            </w:pPr>
          </w:p>
          <w:p w14:paraId="58407CB3"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 xml:space="preserve">Students be warned first time, </w:t>
            </w:r>
            <w:r w:rsidR="00134F5B" w:rsidRPr="00D12E59">
              <w:rPr>
                <w:rFonts w:ascii="Book Antiqua" w:hAnsi="Book Antiqua"/>
                <w:b/>
                <w:bCs/>
                <w:color w:val="365F91"/>
                <w:lang w:val="en-GB"/>
              </w:rPr>
              <w:t>phone</w:t>
            </w:r>
            <w:r w:rsidR="00946B34" w:rsidRPr="00D12E59">
              <w:rPr>
                <w:rFonts w:ascii="Book Antiqua" w:hAnsi="Book Antiqua"/>
                <w:b/>
                <w:bCs/>
                <w:color w:val="365F91"/>
                <w:lang w:val="en-GB"/>
              </w:rPr>
              <w:t xml:space="preserve"> seized</w:t>
            </w:r>
          </w:p>
          <w:p w14:paraId="3CFCD1D1"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second time</w:t>
            </w:r>
          </w:p>
          <w:p w14:paraId="4A0A2341" w14:textId="77777777" w:rsidR="009D343F" w:rsidRPr="00D12E59" w:rsidRDefault="009D343F" w:rsidP="000553AA">
            <w:pPr>
              <w:pStyle w:val="NoSpacing"/>
              <w:rPr>
                <w:rFonts w:ascii="Book Antiqua" w:hAnsi="Book Antiqua"/>
                <w:b/>
                <w:bCs/>
                <w:color w:val="365F91"/>
                <w:lang w:val="en-GB"/>
              </w:rPr>
            </w:pPr>
          </w:p>
          <w:p w14:paraId="01F756C6"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 xml:space="preserve">Phone be seized, and returned  </w:t>
            </w:r>
            <w:r w:rsidR="00946B34" w:rsidRPr="00D12E59">
              <w:rPr>
                <w:rFonts w:ascii="Book Antiqua" w:hAnsi="Book Antiqua"/>
                <w:b/>
                <w:bCs/>
                <w:color w:val="365F91"/>
                <w:lang w:val="en-GB"/>
              </w:rPr>
              <w:t>to students</w:t>
            </w:r>
          </w:p>
          <w:p w14:paraId="08C89B76"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after lectures</w:t>
            </w:r>
          </w:p>
          <w:p w14:paraId="1300B3D2" w14:textId="77777777" w:rsidR="009D343F" w:rsidRPr="00D12E59" w:rsidRDefault="009D343F" w:rsidP="000553AA">
            <w:pPr>
              <w:pStyle w:val="NoSpacing"/>
              <w:rPr>
                <w:rFonts w:ascii="Book Antiqua" w:hAnsi="Book Antiqua"/>
                <w:b/>
                <w:bCs/>
                <w:color w:val="365F91"/>
                <w:lang w:val="en-GB"/>
              </w:rPr>
            </w:pPr>
          </w:p>
          <w:p w14:paraId="1CFF415E"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 xml:space="preserve">Nothing be done to students </w:t>
            </w:r>
          </w:p>
        </w:tc>
        <w:tc>
          <w:tcPr>
            <w:tcW w:w="810" w:type="dxa"/>
            <w:shd w:val="clear" w:color="auto" w:fill="auto"/>
          </w:tcPr>
          <w:p w14:paraId="077B85B0" w14:textId="77777777" w:rsidR="009D343F" w:rsidRPr="00D12E59" w:rsidRDefault="009D343F" w:rsidP="000553AA">
            <w:pPr>
              <w:pStyle w:val="NoSpacing"/>
              <w:rPr>
                <w:rFonts w:ascii="Book Antiqua" w:hAnsi="Book Antiqua"/>
                <w:color w:val="365F91"/>
                <w:lang w:val="en-GB"/>
              </w:rPr>
            </w:pPr>
          </w:p>
          <w:p w14:paraId="28C45431"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29</w:t>
            </w:r>
          </w:p>
          <w:p w14:paraId="0EDEB42F" w14:textId="77777777" w:rsidR="009D343F" w:rsidRPr="00D12E59" w:rsidRDefault="009D343F" w:rsidP="000553AA">
            <w:pPr>
              <w:pStyle w:val="NoSpacing"/>
              <w:rPr>
                <w:rFonts w:ascii="Book Antiqua" w:hAnsi="Book Antiqua"/>
                <w:color w:val="365F91"/>
                <w:lang w:val="en-GB"/>
              </w:rPr>
            </w:pPr>
          </w:p>
          <w:p w14:paraId="10B318C6" w14:textId="77777777" w:rsidR="009D343F" w:rsidRPr="00D12E59" w:rsidRDefault="009D343F" w:rsidP="000553AA">
            <w:pPr>
              <w:pStyle w:val="NoSpacing"/>
              <w:rPr>
                <w:rFonts w:ascii="Book Antiqua" w:hAnsi="Book Antiqua"/>
                <w:color w:val="365F91"/>
                <w:lang w:val="en-GB"/>
              </w:rPr>
            </w:pPr>
          </w:p>
          <w:p w14:paraId="41CA2DC6" w14:textId="77777777" w:rsidR="009D343F" w:rsidRPr="00D12E59" w:rsidRDefault="009D343F" w:rsidP="000553AA">
            <w:pPr>
              <w:pStyle w:val="NoSpacing"/>
              <w:rPr>
                <w:rFonts w:ascii="Book Antiqua" w:hAnsi="Book Antiqua"/>
                <w:color w:val="365F91"/>
                <w:lang w:val="en-GB"/>
              </w:rPr>
            </w:pPr>
          </w:p>
          <w:p w14:paraId="044ACBDA" w14:textId="77777777" w:rsidR="009D343F" w:rsidRPr="00D12E59" w:rsidRDefault="009D343F" w:rsidP="000553AA">
            <w:pPr>
              <w:pStyle w:val="NoSpacing"/>
              <w:rPr>
                <w:rFonts w:ascii="Book Antiqua" w:hAnsi="Book Antiqua"/>
                <w:color w:val="365F91"/>
                <w:lang w:val="en-GB"/>
              </w:rPr>
            </w:pPr>
          </w:p>
          <w:p w14:paraId="447B2DEE" w14:textId="77777777" w:rsidR="00384480" w:rsidRPr="00D12E59" w:rsidRDefault="00384480" w:rsidP="000553AA">
            <w:pPr>
              <w:pStyle w:val="NoSpacing"/>
              <w:rPr>
                <w:rFonts w:ascii="Book Antiqua" w:hAnsi="Book Antiqua"/>
                <w:color w:val="365F91"/>
                <w:lang w:val="en-GB"/>
              </w:rPr>
            </w:pPr>
          </w:p>
          <w:p w14:paraId="449DE518"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57</w:t>
            </w:r>
          </w:p>
          <w:p w14:paraId="786A9731" w14:textId="77777777" w:rsidR="009D343F" w:rsidRPr="00D12E59" w:rsidRDefault="009D343F" w:rsidP="000553AA">
            <w:pPr>
              <w:pStyle w:val="NoSpacing"/>
              <w:rPr>
                <w:rFonts w:ascii="Book Antiqua" w:hAnsi="Book Antiqua"/>
                <w:color w:val="365F91"/>
                <w:lang w:val="en-GB"/>
              </w:rPr>
            </w:pPr>
          </w:p>
          <w:p w14:paraId="2C372BF6" w14:textId="77777777" w:rsidR="009D343F" w:rsidRPr="00D12E59" w:rsidRDefault="009D343F" w:rsidP="000553AA">
            <w:pPr>
              <w:pStyle w:val="NoSpacing"/>
              <w:rPr>
                <w:rFonts w:ascii="Book Antiqua" w:hAnsi="Book Antiqua"/>
                <w:color w:val="365F91"/>
                <w:lang w:val="en-GB"/>
              </w:rPr>
            </w:pPr>
          </w:p>
          <w:p w14:paraId="5B9E4B44" w14:textId="77777777" w:rsidR="009D343F" w:rsidRPr="00D12E59" w:rsidRDefault="009D343F" w:rsidP="000553AA">
            <w:pPr>
              <w:pStyle w:val="NoSpacing"/>
              <w:rPr>
                <w:rFonts w:ascii="Book Antiqua" w:hAnsi="Book Antiqua"/>
                <w:color w:val="365F91"/>
                <w:lang w:val="en-GB"/>
              </w:rPr>
            </w:pPr>
          </w:p>
          <w:p w14:paraId="62BA53CE" w14:textId="77777777" w:rsidR="00384480" w:rsidRPr="00D12E59" w:rsidRDefault="00384480" w:rsidP="000553AA">
            <w:pPr>
              <w:pStyle w:val="NoSpacing"/>
              <w:rPr>
                <w:rFonts w:ascii="Book Antiqua" w:hAnsi="Book Antiqua"/>
                <w:color w:val="365F91"/>
                <w:lang w:val="en-GB"/>
              </w:rPr>
            </w:pPr>
          </w:p>
          <w:p w14:paraId="212DF974"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5</w:t>
            </w:r>
          </w:p>
          <w:p w14:paraId="7BC79507" w14:textId="77777777" w:rsidR="009D343F" w:rsidRPr="00D12E59" w:rsidRDefault="009D343F" w:rsidP="000553AA">
            <w:pPr>
              <w:pStyle w:val="NoSpacing"/>
              <w:rPr>
                <w:rFonts w:ascii="Book Antiqua" w:hAnsi="Book Antiqua"/>
                <w:color w:val="365F91"/>
                <w:lang w:val="en-GB"/>
              </w:rPr>
            </w:pPr>
          </w:p>
          <w:p w14:paraId="32AD2F18" w14:textId="77777777" w:rsidR="009D343F" w:rsidRPr="00D12E59" w:rsidRDefault="009D343F" w:rsidP="000553AA">
            <w:pPr>
              <w:pStyle w:val="NoSpacing"/>
              <w:rPr>
                <w:rFonts w:ascii="Book Antiqua" w:hAnsi="Book Antiqua"/>
                <w:color w:val="365F91"/>
                <w:lang w:val="en-GB"/>
              </w:rPr>
            </w:pPr>
          </w:p>
          <w:p w14:paraId="38F487CE" w14:textId="77777777" w:rsidR="00384480" w:rsidRPr="00D12E59" w:rsidRDefault="00384480" w:rsidP="000553AA">
            <w:pPr>
              <w:pStyle w:val="NoSpacing"/>
              <w:rPr>
                <w:rFonts w:ascii="Book Antiqua" w:hAnsi="Book Antiqua"/>
                <w:color w:val="365F91"/>
                <w:lang w:val="en-GB"/>
              </w:rPr>
            </w:pPr>
          </w:p>
          <w:p w14:paraId="180ACCBE"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4</w:t>
            </w:r>
          </w:p>
          <w:p w14:paraId="715D65DE" w14:textId="77777777" w:rsidR="009D343F" w:rsidRPr="00D12E59" w:rsidRDefault="009D343F" w:rsidP="000553AA">
            <w:pPr>
              <w:pStyle w:val="NoSpacing"/>
              <w:rPr>
                <w:rFonts w:ascii="Book Antiqua" w:hAnsi="Book Antiqua"/>
                <w:color w:val="365F91"/>
                <w:lang w:val="en-GB"/>
              </w:rPr>
            </w:pPr>
          </w:p>
          <w:p w14:paraId="2719F57A" w14:textId="77777777" w:rsidR="009D343F" w:rsidRPr="00D12E59" w:rsidRDefault="009D343F" w:rsidP="000553AA">
            <w:pPr>
              <w:pStyle w:val="NoSpacing"/>
              <w:rPr>
                <w:rFonts w:ascii="Book Antiqua" w:hAnsi="Book Antiqua"/>
                <w:color w:val="365F91"/>
                <w:lang w:val="en-GB"/>
              </w:rPr>
            </w:pPr>
          </w:p>
          <w:p w14:paraId="29EB1EAA" w14:textId="77777777" w:rsidR="00946B34" w:rsidRPr="00D12E59" w:rsidRDefault="00946B34" w:rsidP="000553AA">
            <w:pPr>
              <w:pStyle w:val="NoSpacing"/>
              <w:rPr>
                <w:rFonts w:ascii="Book Antiqua" w:hAnsi="Book Antiqua"/>
                <w:color w:val="365F91"/>
                <w:lang w:val="en-GB"/>
              </w:rPr>
            </w:pPr>
          </w:p>
          <w:p w14:paraId="3C043554"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3</w:t>
            </w:r>
          </w:p>
          <w:p w14:paraId="087E9BA1" w14:textId="77777777" w:rsidR="009D343F" w:rsidRPr="00D12E59" w:rsidRDefault="009D343F" w:rsidP="000553AA">
            <w:pPr>
              <w:pStyle w:val="NoSpacing"/>
              <w:rPr>
                <w:rFonts w:ascii="Book Antiqua" w:hAnsi="Book Antiqua"/>
                <w:color w:val="365F91"/>
                <w:lang w:val="en-GB"/>
              </w:rPr>
            </w:pPr>
          </w:p>
          <w:p w14:paraId="7C25273B" w14:textId="77777777" w:rsidR="009D343F" w:rsidRPr="00D12E59" w:rsidRDefault="009D343F" w:rsidP="000553AA">
            <w:pPr>
              <w:pStyle w:val="NoSpacing"/>
              <w:rPr>
                <w:rFonts w:ascii="Book Antiqua" w:hAnsi="Book Antiqua"/>
                <w:color w:val="365F91"/>
                <w:lang w:val="en-GB"/>
              </w:rPr>
            </w:pPr>
          </w:p>
          <w:p w14:paraId="385F0808" w14:textId="77777777" w:rsidR="00946B34" w:rsidRPr="00D12E59" w:rsidRDefault="00946B34" w:rsidP="000553AA">
            <w:pPr>
              <w:pStyle w:val="NoSpacing"/>
              <w:rPr>
                <w:rFonts w:ascii="Book Antiqua" w:hAnsi="Book Antiqua"/>
                <w:color w:val="365F91"/>
                <w:lang w:val="en-GB"/>
              </w:rPr>
            </w:pPr>
          </w:p>
          <w:p w14:paraId="30C3EFA7"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2</w:t>
            </w:r>
          </w:p>
        </w:tc>
        <w:tc>
          <w:tcPr>
            <w:tcW w:w="1243" w:type="dxa"/>
            <w:shd w:val="clear" w:color="auto" w:fill="auto"/>
          </w:tcPr>
          <w:p w14:paraId="67CD9DDA" w14:textId="77777777" w:rsidR="009D343F" w:rsidRPr="00D12E59" w:rsidRDefault="009D343F" w:rsidP="000553AA">
            <w:pPr>
              <w:pStyle w:val="NoSpacing"/>
              <w:rPr>
                <w:rFonts w:ascii="Book Antiqua" w:hAnsi="Book Antiqua"/>
                <w:color w:val="365F91"/>
                <w:lang w:val="en-GB"/>
              </w:rPr>
            </w:pPr>
          </w:p>
          <w:p w14:paraId="562D9946"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116</w:t>
            </w:r>
          </w:p>
          <w:p w14:paraId="2E5DED8B" w14:textId="77777777" w:rsidR="009D343F" w:rsidRPr="00D12E59" w:rsidRDefault="009D343F" w:rsidP="000553AA">
            <w:pPr>
              <w:pStyle w:val="NoSpacing"/>
              <w:rPr>
                <w:rFonts w:ascii="Book Antiqua" w:hAnsi="Book Antiqua"/>
                <w:color w:val="365F91"/>
                <w:lang w:val="en-GB"/>
              </w:rPr>
            </w:pPr>
          </w:p>
          <w:p w14:paraId="646EC28A" w14:textId="77777777" w:rsidR="009D343F" w:rsidRPr="00D12E59" w:rsidRDefault="009D343F" w:rsidP="000553AA">
            <w:pPr>
              <w:pStyle w:val="NoSpacing"/>
              <w:rPr>
                <w:rFonts w:ascii="Book Antiqua" w:hAnsi="Book Antiqua"/>
                <w:color w:val="365F91"/>
                <w:lang w:val="en-GB"/>
              </w:rPr>
            </w:pPr>
          </w:p>
          <w:p w14:paraId="082A0832" w14:textId="77777777" w:rsidR="009D343F" w:rsidRPr="00D12E59" w:rsidRDefault="009D343F" w:rsidP="000553AA">
            <w:pPr>
              <w:pStyle w:val="NoSpacing"/>
              <w:rPr>
                <w:rFonts w:ascii="Book Antiqua" w:hAnsi="Book Antiqua"/>
                <w:color w:val="365F91"/>
                <w:lang w:val="en-GB"/>
              </w:rPr>
            </w:pPr>
          </w:p>
          <w:p w14:paraId="4F891465" w14:textId="77777777" w:rsidR="009D343F" w:rsidRPr="00D12E59" w:rsidRDefault="009D343F" w:rsidP="000553AA">
            <w:pPr>
              <w:pStyle w:val="NoSpacing"/>
              <w:rPr>
                <w:rFonts w:ascii="Book Antiqua" w:hAnsi="Book Antiqua"/>
                <w:color w:val="365F91"/>
                <w:lang w:val="en-GB"/>
              </w:rPr>
            </w:pPr>
          </w:p>
          <w:p w14:paraId="58E0434D" w14:textId="77777777" w:rsidR="00384480" w:rsidRPr="00D12E59" w:rsidRDefault="00384480" w:rsidP="000553AA">
            <w:pPr>
              <w:pStyle w:val="NoSpacing"/>
              <w:rPr>
                <w:rFonts w:ascii="Book Antiqua" w:hAnsi="Book Antiqua"/>
                <w:color w:val="365F91"/>
                <w:lang w:val="en-GB"/>
              </w:rPr>
            </w:pPr>
          </w:p>
          <w:p w14:paraId="2E82CE4B"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228</w:t>
            </w:r>
          </w:p>
          <w:p w14:paraId="6B30ED9B" w14:textId="77777777" w:rsidR="009D343F" w:rsidRPr="00D12E59" w:rsidRDefault="009D343F" w:rsidP="000553AA">
            <w:pPr>
              <w:pStyle w:val="NoSpacing"/>
              <w:rPr>
                <w:rFonts w:ascii="Book Antiqua" w:hAnsi="Book Antiqua"/>
                <w:color w:val="365F91"/>
                <w:lang w:val="en-GB"/>
              </w:rPr>
            </w:pPr>
          </w:p>
          <w:p w14:paraId="4F1855C2" w14:textId="77777777" w:rsidR="009D343F" w:rsidRPr="00D12E59" w:rsidRDefault="009D343F" w:rsidP="000553AA">
            <w:pPr>
              <w:pStyle w:val="NoSpacing"/>
              <w:rPr>
                <w:rFonts w:ascii="Book Antiqua" w:hAnsi="Book Antiqua"/>
                <w:color w:val="365F91"/>
                <w:lang w:val="en-GB"/>
              </w:rPr>
            </w:pPr>
          </w:p>
          <w:p w14:paraId="739ED674" w14:textId="77777777" w:rsidR="009D343F" w:rsidRPr="00D12E59" w:rsidRDefault="009D343F" w:rsidP="000553AA">
            <w:pPr>
              <w:pStyle w:val="NoSpacing"/>
              <w:rPr>
                <w:rFonts w:ascii="Book Antiqua" w:hAnsi="Book Antiqua"/>
                <w:color w:val="365F91"/>
                <w:lang w:val="en-GB"/>
              </w:rPr>
            </w:pPr>
          </w:p>
          <w:p w14:paraId="2F961E52" w14:textId="77777777" w:rsidR="00384480" w:rsidRPr="00D12E59" w:rsidRDefault="00384480" w:rsidP="000553AA">
            <w:pPr>
              <w:pStyle w:val="NoSpacing"/>
              <w:rPr>
                <w:rFonts w:ascii="Book Antiqua" w:hAnsi="Book Antiqua"/>
                <w:color w:val="365F91"/>
                <w:lang w:val="en-GB"/>
              </w:rPr>
            </w:pPr>
          </w:p>
          <w:p w14:paraId="2D160522"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20</w:t>
            </w:r>
          </w:p>
          <w:p w14:paraId="40CFBEEC" w14:textId="77777777" w:rsidR="009D343F" w:rsidRPr="00D12E59" w:rsidRDefault="009D343F" w:rsidP="000553AA">
            <w:pPr>
              <w:pStyle w:val="NoSpacing"/>
              <w:rPr>
                <w:rFonts w:ascii="Book Antiqua" w:hAnsi="Book Antiqua"/>
                <w:color w:val="365F91"/>
                <w:lang w:val="en-GB"/>
              </w:rPr>
            </w:pPr>
          </w:p>
          <w:p w14:paraId="7CDC27D7" w14:textId="77777777" w:rsidR="009D343F" w:rsidRPr="00D12E59" w:rsidRDefault="009D343F" w:rsidP="000553AA">
            <w:pPr>
              <w:pStyle w:val="NoSpacing"/>
              <w:rPr>
                <w:rFonts w:ascii="Book Antiqua" w:hAnsi="Book Antiqua"/>
                <w:color w:val="365F91"/>
                <w:lang w:val="en-GB"/>
              </w:rPr>
            </w:pPr>
          </w:p>
          <w:p w14:paraId="24F16795" w14:textId="77777777" w:rsidR="00384480" w:rsidRPr="00D12E59" w:rsidRDefault="00384480" w:rsidP="000553AA">
            <w:pPr>
              <w:pStyle w:val="NoSpacing"/>
              <w:rPr>
                <w:rFonts w:ascii="Book Antiqua" w:hAnsi="Book Antiqua"/>
                <w:color w:val="365F91"/>
                <w:lang w:val="en-GB"/>
              </w:rPr>
            </w:pPr>
          </w:p>
          <w:p w14:paraId="5C1F7800"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16</w:t>
            </w:r>
          </w:p>
          <w:p w14:paraId="3E4B6CAB" w14:textId="77777777" w:rsidR="009D343F" w:rsidRPr="00D12E59" w:rsidRDefault="009D343F" w:rsidP="000553AA">
            <w:pPr>
              <w:pStyle w:val="NoSpacing"/>
              <w:rPr>
                <w:rFonts w:ascii="Book Antiqua" w:hAnsi="Book Antiqua"/>
                <w:color w:val="365F91"/>
                <w:lang w:val="en-GB"/>
              </w:rPr>
            </w:pPr>
          </w:p>
          <w:p w14:paraId="6E94BFB3" w14:textId="77777777" w:rsidR="009D343F" w:rsidRPr="00D12E59" w:rsidRDefault="009D343F" w:rsidP="000553AA">
            <w:pPr>
              <w:pStyle w:val="NoSpacing"/>
              <w:rPr>
                <w:rFonts w:ascii="Book Antiqua" w:hAnsi="Book Antiqua"/>
                <w:color w:val="365F91"/>
                <w:lang w:val="en-GB"/>
              </w:rPr>
            </w:pPr>
          </w:p>
          <w:p w14:paraId="5B8B1F3A" w14:textId="77777777" w:rsidR="00946B34" w:rsidRPr="00D12E59" w:rsidRDefault="00946B34" w:rsidP="000553AA">
            <w:pPr>
              <w:pStyle w:val="NoSpacing"/>
              <w:rPr>
                <w:rFonts w:ascii="Book Antiqua" w:hAnsi="Book Antiqua"/>
                <w:color w:val="365F91"/>
                <w:lang w:val="en-GB"/>
              </w:rPr>
            </w:pPr>
          </w:p>
          <w:p w14:paraId="0339CED0"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12</w:t>
            </w:r>
          </w:p>
          <w:p w14:paraId="5BBFB3C3" w14:textId="77777777" w:rsidR="009D343F" w:rsidRPr="00D12E59" w:rsidRDefault="009D343F" w:rsidP="000553AA">
            <w:pPr>
              <w:pStyle w:val="NoSpacing"/>
              <w:rPr>
                <w:rFonts w:ascii="Book Antiqua" w:hAnsi="Book Antiqua"/>
                <w:color w:val="365F91"/>
                <w:lang w:val="en-GB"/>
              </w:rPr>
            </w:pPr>
          </w:p>
          <w:p w14:paraId="64603481" w14:textId="77777777" w:rsidR="009D343F" w:rsidRPr="00D12E59" w:rsidRDefault="009D343F" w:rsidP="000553AA">
            <w:pPr>
              <w:pStyle w:val="NoSpacing"/>
              <w:rPr>
                <w:rFonts w:ascii="Book Antiqua" w:hAnsi="Book Antiqua"/>
                <w:color w:val="365F91"/>
                <w:lang w:val="en-GB"/>
              </w:rPr>
            </w:pPr>
          </w:p>
          <w:p w14:paraId="59CB2296" w14:textId="77777777" w:rsidR="00946B34" w:rsidRPr="00D12E59" w:rsidRDefault="00946B34" w:rsidP="000553AA">
            <w:pPr>
              <w:pStyle w:val="NoSpacing"/>
              <w:rPr>
                <w:rFonts w:ascii="Book Antiqua" w:hAnsi="Book Antiqua"/>
                <w:color w:val="365F91"/>
                <w:lang w:val="en-GB"/>
              </w:rPr>
            </w:pPr>
          </w:p>
          <w:p w14:paraId="60FAB9A5"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8</w:t>
            </w:r>
          </w:p>
        </w:tc>
      </w:tr>
      <w:tr w:rsidR="009D343F" w:rsidRPr="00D12E59" w14:paraId="048D3C93" w14:textId="77777777" w:rsidTr="008D6FB2">
        <w:trPr>
          <w:trHeight w:val="281"/>
        </w:trPr>
        <w:tc>
          <w:tcPr>
            <w:tcW w:w="2520" w:type="dxa"/>
            <w:shd w:val="clear" w:color="auto" w:fill="auto"/>
          </w:tcPr>
          <w:p w14:paraId="534FA41A" w14:textId="77777777" w:rsidR="009D343F" w:rsidRPr="00D12E59" w:rsidRDefault="009D343F" w:rsidP="000553AA">
            <w:pPr>
              <w:pStyle w:val="NoSpacing"/>
              <w:rPr>
                <w:rFonts w:ascii="Book Antiqua" w:hAnsi="Book Antiqua"/>
                <w:b/>
                <w:bCs/>
                <w:color w:val="365F91"/>
                <w:lang w:val="en-GB"/>
              </w:rPr>
            </w:pPr>
            <w:r w:rsidRPr="00D12E59">
              <w:rPr>
                <w:rFonts w:ascii="Book Antiqua" w:hAnsi="Book Antiqua"/>
                <w:b/>
                <w:bCs/>
                <w:color w:val="365F91"/>
                <w:lang w:val="en-GB"/>
              </w:rPr>
              <w:t xml:space="preserve">Total </w:t>
            </w:r>
          </w:p>
        </w:tc>
        <w:tc>
          <w:tcPr>
            <w:tcW w:w="810" w:type="dxa"/>
            <w:shd w:val="clear" w:color="auto" w:fill="auto"/>
          </w:tcPr>
          <w:p w14:paraId="315759E1"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100</w:t>
            </w:r>
          </w:p>
        </w:tc>
        <w:tc>
          <w:tcPr>
            <w:tcW w:w="1243" w:type="dxa"/>
            <w:shd w:val="clear" w:color="auto" w:fill="auto"/>
          </w:tcPr>
          <w:p w14:paraId="7F1FDDCF" w14:textId="77777777" w:rsidR="009D343F" w:rsidRPr="00D12E59" w:rsidRDefault="009D343F" w:rsidP="000553AA">
            <w:pPr>
              <w:pStyle w:val="NoSpacing"/>
              <w:rPr>
                <w:rFonts w:ascii="Book Antiqua" w:hAnsi="Book Antiqua"/>
                <w:color w:val="365F91"/>
                <w:lang w:val="en-GB"/>
              </w:rPr>
            </w:pPr>
            <w:r w:rsidRPr="00D12E59">
              <w:rPr>
                <w:rFonts w:ascii="Book Antiqua" w:hAnsi="Book Antiqua"/>
                <w:color w:val="365F91"/>
                <w:lang w:val="en-GB"/>
              </w:rPr>
              <w:t>400</w:t>
            </w:r>
          </w:p>
        </w:tc>
      </w:tr>
    </w:tbl>
    <w:p w14:paraId="395975F2" w14:textId="77777777" w:rsidR="009D343F" w:rsidRPr="00E3232D" w:rsidRDefault="009D343F" w:rsidP="008275E1">
      <w:pPr>
        <w:rPr>
          <w:rFonts w:ascii="Book Antiqua" w:hAnsi="Book Antiqua"/>
          <w:lang w:val="en-GB"/>
        </w:rPr>
      </w:pPr>
      <w:r w:rsidRPr="00E3232D">
        <w:rPr>
          <w:rFonts w:ascii="Book Antiqua" w:hAnsi="Book Antiqua"/>
          <w:lang w:val="en-GB"/>
        </w:rPr>
        <w:t>Source: fieldwork 2013</w:t>
      </w:r>
    </w:p>
    <w:p w14:paraId="380E94A3" w14:textId="77777777" w:rsidR="009D343F" w:rsidRPr="00E3232D" w:rsidRDefault="009D343F" w:rsidP="008275E1">
      <w:pPr>
        <w:rPr>
          <w:rFonts w:ascii="Book Antiqua" w:hAnsi="Book Antiqua"/>
          <w:lang w:val="en-GB"/>
        </w:rPr>
      </w:pPr>
    </w:p>
    <w:p w14:paraId="2269153F" w14:textId="77777777" w:rsidR="009D343F" w:rsidRPr="00E3232D" w:rsidRDefault="009D343F" w:rsidP="00B7604D">
      <w:pPr>
        <w:jc w:val="both"/>
        <w:rPr>
          <w:rFonts w:ascii="Book Antiqua" w:hAnsi="Book Antiqua"/>
          <w:lang w:val="en-GB"/>
        </w:rPr>
      </w:pPr>
      <w:r w:rsidRPr="00E3232D">
        <w:rPr>
          <w:rFonts w:ascii="Book Antiqua" w:hAnsi="Book Antiqua"/>
          <w:lang w:val="en-GB"/>
        </w:rPr>
        <w:t>From the table above it shows that respondents are not in favour of their mobile phones seized. However, 57% forming majority would want the ring tones of their phones switched off during lecture period to avoid disturbing the class as lectures go on. Based on this revelation it could be prudent on the part of the polytechnic authorities to come out with a policy on switching off the ring tones from mobile phones during lecture periods so that some lecturers will not be forced to leave the lecture as a form of punishment for even those whose phone did not ring. The institution could also take clue from the research to advice students during their orientation when they are admitted into the polytechnic on the effects or impact of mobile phone usage during lecture period if it is not for the purpose of the lecture.</w:t>
      </w:r>
    </w:p>
    <w:p w14:paraId="3460D82C" w14:textId="77777777" w:rsidR="009D343F" w:rsidRPr="00E3232D" w:rsidRDefault="009D343F" w:rsidP="008275E1">
      <w:pPr>
        <w:rPr>
          <w:rFonts w:ascii="Book Antiqua" w:hAnsi="Book Antiqua"/>
          <w:lang w:val="en-GB"/>
        </w:rPr>
      </w:pPr>
    </w:p>
    <w:p w14:paraId="0251D200" w14:textId="77777777" w:rsidR="009D343F" w:rsidRPr="00E3232D" w:rsidRDefault="009D343F" w:rsidP="008275E1">
      <w:pPr>
        <w:rPr>
          <w:rFonts w:ascii="Book Antiqua" w:hAnsi="Book Antiqua"/>
        </w:rPr>
      </w:pPr>
      <w:r w:rsidRPr="00E3232D">
        <w:rPr>
          <w:rFonts w:ascii="Book Antiqua" w:hAnsi="Book Antiqua"/>
          <w:bCs/>
        </w:rPr>
        <w:t>fig.4: The use of mobile phones by lecturers during lectures</w:t>
      </w:r>
    </w:p>
    <w:p w14:paraId="17F1FE74" w14:textId="77777777" w:rsidR="009D343F" w:rsidRPr="00E3232D" w:rsidRDefault="007005B1" w:rsidP="008275E1">
      <w:pPr>
        <w:pStyle w:val="NoSpacing"/>
        <w:spacing w:line="276" w:lineRule="auto"/>
        <w:rPr>
          <w:rFonts w:ascii="Book Antiqua" w:hAnsi="Book Antiqua"/>
          <w:lang w:val="en-GB"/>
        </w:rPr>
      </w:pPr>
      <w:r>
        <w:rPr>
          <w:rFonts w:ascii="Book Antiqua" w:hAnsi="Book Antiqua"/>
          <w:noProof/>
          <w:lang w:bidi="ar-SA"/>
        </w:rPr>
        <w:drawing>
          <wp:inline distT="0" distB="0" distL="0" distR="0" wp14:anchorId="664BD2FA" wp14:editId="05E9A59A">
            <wp:extent cx="2857500" cy="2114550"/>
            <wp:effectExtent l="0" t="0" r="0" b="0"/>
            <wp:docPr id="143"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14:paraId="39BB6150" w14:textId="77777777" w:rsidR="009D343F" w:rsidRPr="00E3232D" w:rsidRDefault="009D343F" w:rsidP="008275E1">
      <w:pPr>
        <w:rPr>
          <w:rFonts w:ascii="Book Antiqua" w:hAnsi="Book Antiqua"/>
          <w:lang w:val="en-GB"/>
        </w:rPr>
      </w:pPr>
      <w:r w:rsidRPr="00E3232D">
        <w:rPr>
          <w:rFonts w:ascii="Book Antiqua" w:hAnsi="Book Antiqua"/>
          <w:lang w:val="en-GB"/>
        </w:rPr>
        <w:t>Source: fieldwork 2013</w:t>
      </w:r>
    </w:p>
    <w:p w14:paraId="64911B3E" w14:textId="77777777" w:rsidR="00490079" w:rsidRPr="00E3232D" w:rsidRDefault="009D343F" w:rsidP="00B7604D">
      <w:pPr>
        <w:jc w:val="both"/>
        <w:rPr>
          <w:rFonts w:ascii="Book Antiqua" w:hAnsi="Book Antiqua"/>
          <w:bCs/>
        </w:rPr>
      </w:pPr>
      <w:r w:rsidRPr="00E3232D">
        <w:rPr>
          <w:rFonts w:ascii="Book Antiqua" w:hAnsi="Book Antiqua"/>
          <w:bCs/>
        </w:rPr>
        <w:t xml:space="preserve">During the research respondents were asked if lecturers also use their mobile phones during the lecture period. It revealed that only 11% of the lecturers do not use their mobile phone to make or receive calls during lecture hours. While 24% are in the habit of making and receiving mobile phone calls during lecture periods. According to some of the respondents when some of the lecturers receive or make calls during the lecture period it takes their time of study and when that of student’s ring, some of the lecturers get mad at them. On the issue of lectures making calls 80% of the respondents stated that lecturers should not be allowed to make or receive calls during lecture period and they will also make sure they, as students would not do same. </w:t>
      </w:r>
    </w:p>
    <w:p w14:paraId="2DCF09EB" w14:textId="77777777" w:rsidR="009D343F" w:rsidRPr="00490079" w:rsidRDefault="009D343F" w:rsidP="008275E1">
      <w:pPr>
        <w:rPr>
          <w:rFonts w:ascii="Book Antiqua" w:hAnsi="Book Antiqua"/>
          <w:bCs/>
        </w:rPr>
      </w:pPr>
      <w:r w:rsidRPr="00E3232D">
        <w:rPr>
          <w:rFonts w:ascii="Book Antiqua" w:hAnsi="Book Antiqua"/>
          <w:bCs/>
        </w:rPr>
        <w:t>Fig. 5: Students who have seen colleagues using mobile phones during examinations</w:t>
      </w:r>
    </w:p>
    <w:p w14:paraId="7ABC4187" w14:textId="77777777" w:rsidR="009D343F" w:rsidRPr="00E3232D" w:rsidRDefault="007005B1" w:rsidP="008275E1">
      <w:pPr>
        <w:rPr>
          <w:rFonts w:ascii="Book Antiqua" w:hAnsi="Book Antiqua"/>
          <w:lang w:val="en-GB"/>
        </w:rPr>
      </w:pPr>
      <w:r>
        <w:rPr>
          <w:rFonts w:ascii="Book Antiqua" w:hAnsi="Book Antiqua"/>
          <w:noProof/>
          <w:lang w:bidi="ar-SA"/>
        </w:rPr>
        <w:drawing>
          <wp:inline distT="0" distB="0" distL="0" distR="0" wp14:anchorId="6F82C42F" wp14:editId="06AD249B">
            <wp:extent cx="2171700" cy="1438275"/>
            <wp:effectExtent l="0" t="0" r="0" b="0"/>
            <wp:docPr id="144"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14:paraId="232ACAFC" w14:textId="77777777" w:rsidR="009D343F" w:rsidRPr="00E3232D" w:rsidRDefault="009D343F" w:rsidP="00B7604D">
      <w:pPr>
        <w:rPr>
          <w:rFonts w:ascii="Book Antiqua" w:hAnsi="Book Antiqua"/>
          <w:lang w:val="en-GB"/>
        </w:rPr>
      </w:pPr>
      <w:r w:rsidRPr="00E3232D">
        <w:rPr>
          <w:rFonts w:ascii="Book Antiqua" w:hAnsi="Book Antiqua"/>
          <w:lang w:val="en-GB"/>
        </w:rPr>
        <w:t>Source: fieldwork 2013</w:t>
      </w:r>
    </w:p>
    <w:p w14:paraId="3BB9F19A" w14:textId="77777777" w:rsidR="009D343F" w:rsidRPr="00E3232D" w:rsidRDefault="009D343F" w:rsidP="00B7604D">
      <w:pPr>
        <w:jc w:val="both"/>
        <w:rPr>
          <w:rFonts w:ascii="Book Antiqua" w:hAnsi="Book Antiqua"/>
          <w:lang w:val="en-GB"/>
        </w:rPr>
      </w:pPr>
      <w:r w:rsidRPr="00E3232D">
        <w:rPr>
          <w:rFonts w:ascii="Book Antiqua" w:hAnsi="Book Antiqua"/>
          <w:lang w:val="en-GB"/>
        </w:rPr>
        <w:t>The data shows that most students (93%) do not use mobile phones during examinations. They either do not take the phones to the exams hall, or do not use the phones even if they take them to the exams hall. However, about 7% use their phones during examinations. Students who send their mobile phones into examination halls are most of the times tempted to copy from the phones information they had stored in the memory of the phones. This amount to cheating during examination and when caught are punished by the polytechnic authorities. Some students could be very smart and may not be caught using the phones during examinations so they go scout fee. The institution will have to be extra vigilant during examinations so that students using mobile phones during that time could be apprehended.</w:t>
      </w:r>
    </w:p>
    <w:p w14:paraId="6776626E" w14:textId="77777777" w:rsidR="009D343F" w:rsidRPr="00490079" w:rsidRDefault="009D343F" w:rsidP="008275E1">
      <w:pPr>
        <w:rPr>
          <w:rFonts w:ascii="Book Antiqua" w:hAnsi="Book Antiqua"/>
        </w:rPr>
      </w:pPr>
      <w:r w:rsidRPr="00E3232D">
        <w:rPr>
          <w:rFonts w:ascii="Book Antiqua" w:hAnsi="Book Antiqua"/>
          <w:bCs/>
        </w:rPr>
        <w:t>Fig. 6: The use of mobile phone by lecturers/invigilators during examinations</w:t>
      </w:r>
    </w:p>
    <w:p w14:paraId="43AB0CB9" w14:textId="77777777" w:rsidR="009D343F" w:rsidRPr="00E3232D" w:rsidRDefault="007005B1" w:rsidP="008275E1">
      <w:pPr>
        <w:rPr>
          <w:rFonts w:ascii="Book Antiqua" w:hAnsi="Book Antiqua"/>
          <w:lang w:val="en-GB"/>
        </w:rPr>
      </w:pPr>
      <w:r>
        <w:rPr>
          <w:rFonts w:ascii="Book Antiqua" w:hAnsi="Book Antiqua"/>
          <w:noProof/>
          <w:lang w:bidi="ar-SA"/>
        </w:rPr>
        <w:drawing>
          <wp:inline distT="0" distB="0" distL="0" distR="0" wp14:anchorId="3B620695" wp14:editId="3AA3456A">
            <wp:extent cx="2447925" cy="1819275"/>
            <wp:effectExtent l="0" t="0" r="0" b="0"/>
            <wp:docPr id="145" name="Object 1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1413EB3A" w14:textId="77777777" w:rsidR="009D343F" w:rsidRPr="00E3232D" w:rsidRDefault="009D343F" w:rsidP="00B7604D">
      <w:pPr>
        <w:ind w:firstLine="720"/>
        <w:rPr>
          <w:rFonts w:ascii="Book Antiqua" w:hAnsi="Book Antiqua"/>
          <w:lang w:val="en-GB"/>
        </w:rPr>
      </w:pPr>
      <w:r w:rsidRPr="00E3232D">
        <w:rPr>
          <w:rFonts w:ascii="Book Antiqua" w:hAnsi="Book Antiqua"/>
          <w:lang w:val="en-GB"/>
        </w:rPr>
        <w:t>Source: field work, 201</w:t>
      </w:r>
    </w:p>
    <w:p w14:paraId="5B33D7A0" w14:textId="77777777" w:rsidR="0006162A" w:rsidRDefault="009D343F" w:rsidP="00B7604D">
      <w:pPr>
        <w:jc w:val="both"/>
        <w:rPr>
          <w:rFonts w:ascii="Book Antiqua" w:hAnsi="Book Antiqua"/>
          <w:lang w:val="en-GB"/>
        </w:rPr>
      </w:pPr>
      <w:r w:rsidRPr="00E3232D">
        <w:rPr>
          <w:rFonts w:ascii="Book Antiqua" w:hAnsi="Book Antiqua"/>
          <w:lang w:val="en-GB"/>
        </w:rPr>
        <w:t xml:space="preserve">According to the respondents, only 14% of lecturers/invigilators do not use their mobile phones when examination is in progress while 86% use the phones for calls and text messages when examination is in progress. If lecturers/invigilators use mobile phones when examination is in progress this could detract the students attention and could even cause some of them to make mistakes. According to the </w:t>
      </w:r>
      <w:r w:rsidR="00F31750">
        <w:rPr>
          <w:rFonts w:ascii="Book Antiqua" w:hAnsi="Book Antiqua"/>
          <w:lang w:val="en-GB"/>
        </w:rPr>
        <w:t>respondents some of</w:t>
      </w:r>
      <w:r w:rsidRPr="00E3232D">
        <w:rPr>
          <w:rFonts w:ascii="Book Antiqua" w:hAnsi="Book Antiqua"/>
          <w:lang w:val="en-GB"/>
        </w:rPr>
        <w:t xml:space="preserve"> </w:t>
      </w:r>
      <w:r w:rsidR="0094054E" w:rsidRPr="00E3232D">
        <w:rPr>
          <w:rFonts w:ascii="Book Antiqua" w:hAnsi="Book Antiqua"/>
          <w:lang w:val="en-GB"/>
        </w:rPr>
        <w:t>Lecturers/invigilators</w:t>
      </w:r>
      <w:r w:rsidRPr="00E3232D">
        <w:rPr>
          <w:rFonts w:ascii="Book Antiqua" w:hAnsi="Book Antiqua"/>
          <w:lang w:val="en-GB"/>
        </w:rPr>
        <w:t xml:space="preserve"> use the phones to request for more examination material or ask for clarifications on some of the questions or instruction which are not clear on the examination. According to 48% of the respo</w:t>
      </w:r>
      <w:r w:rsidR="0006162A">
        <w:rPr>
          <w:rFonts w:ascii="Book Antiqua" w:hAnsi="Book Antiqua"/>
          <w:lang w:val="en-GB"/>
        </w:rPr>
        <w:t xml:space="preserve">ndents </w:t>
      </w:r>
      <w:r w:rsidRPr="00E3232D">
        <w:rPr>
          <w:rFonts w:ascii="Book Antiqua" w:hAnsi="Book Antiqua"/>
          <w:lang w:val="en-GB"/>
        </w:rPr>
        <w:t>some of the</w:t>
      </w:r>
    </w:p>
    <w:p w14:paraId="6EE400DF" w14:textId="77777777" w:rsidR="009D343F" w:rsidRPr="00E3232D" w:rsidRDefault="00F31750" w:rsidP="00B7604D">
      <w:pPr>
        <w:jc w:val="both"/>
        <w:rPr>
          <w:rFonts w:ascii="Book Antiqua" w:hAnsi="Book Antiqua"/>
          <w:lang w:val="en-GB"/>
        </w:rPr>
      </w:pPr>
      <w:r>
        <w:rPr>
          <w:rFonts w:ascii="Book Antiqua" w:hAnsi="Book Antiqua"/>
          <w:lang w:val="en-GB"/>
        </w:rPr>
        <w:t xml:space="preserve"> </w:t>
      </w:r>
      <w:r w:rsidRPr="00E3232D">
        <w:rPr>
          <w:rFonts w:ascii="Book Antiqua" w:hAnsi="Book Antiqua"/>
          <w:lang w:val="en-GB"/>
        </w:rPr>
        <w:t>Lecturers/invigilators</w:t>
      </w:r>
      <w:r w:rsidR="009D343F" w:rsidRPr="00E3232D">
        <w:rPr>
          <w:rFonts w:ascii="Book Antiqua" w:hAnsi="Book Antiqua"/>
          <w:lang w:val="en-GB"/>
        </w:rPr>
        <w:t xml:space="preserve"> discuss personal issues that could have been done before or after the examination period to avoid disturbing students.</w:t>
      </w:r>
    </w:p>
    <w:p w14:paraId="3C024C7E" w14:textId="77777777" w:rsidR="009D343F" w:rsidRPr="00E3232D" w:rsidRDefault="008214F9" w:rsidP="00470677">
      <w:pPr>
        <w:ind w:left="360" w:hanging="360"/>
        <w:jc w:val="both"/>
        <w:rPr>
          <w:rFonts w:ascii="Book Antiqua" w:hAnsi="Book Antiqua"/>
          <w:b/>
          <w:lang w:val="en-GB"/>
        </w:rPr>
      </w:pPr>
      <w:r>
        <w:rPr>
          <w:rFonts w:ascii="Book Antiqua" w:hAnsi="Book Antiqua"/>
          <w:b/>
          <w:lang w:val="en-GB"/>
        </w:rPr>
        <w:t xml:space="preserve">3.4 </w:t>
      </w:r>
      <w:r w:rsidR="009D343F" w:rsidRPr="00E3232D">
        <w:rPr>
          <w:rFonts w:ascii="Book Antiqua" w:hAnsi="Book Antiqua"/>
          <w:b/>
          <w:lang w:val="en-GB"/>
        </w:rPr>
        <w:t xml:space="preserve">Students’ advice on the use of mobile phones </w:t>
      </w:r>
    </w:p>
    <w:p w14:paraId="3F3D63C0" w14:textId="77777777" w:rsidR="009D343F" w:rsidRPr="00E3232D" w:rsidRDefault="009D343F" w:rsidP="00B7604D">
      <w:pPr>
        <w:jc w:val="both"/>
        <w:rPr>
          <w:rFonts w:ascii="Book Antiqua" w:hAnsi="Book Antiqua"/>
          <w:lang w:val="en-GB"/>
        </w:rPr>
      </w:pPr>
      <w:r w:rsidRPr="00E3232D">
        <w:rPr>
          <w:rFonts w:ascii="Book Antiqua" w:hAnsi="Book Antiqua"/>
          <w:lang w:val="en-GB"/>
        </w:rPr>
        <w:t xml:space="preserve">Respondents were asked to give advice on the effective use of mobile phones in the institution and these are some of their comments: </w:t>
      </w:r>
    </w:p>
    <w:p w14:paraId="31289EC2" w14:textId="77777777" w:rsidR="009D343F" w:rsidRPr="00E3232D" w:rsidRDefault="009D343F" w:rsidP="00196385">
      <w:pPr>
        <w:pStyle w:val="ListParagraph"/>
        <w:numPr>
          <w:ilvl w:val="0"/>
          <w:numId w:val="95"/>
        </w:numPr>
        <w:jc w:val="both"/>
        <w:rPr>
          <w:rFonts w:ascii="Book Antiqua" w:hAnsi="Book Antiqua"/>
          <w:lang w:val="en-GB"/>
        </w:rPr>
      </w:pPr>
      <w:r w:rsidRPr="00E3232D">
        <w:rPr>
          <w:rFonts w:ascii="Book Antiqua" w:hAnsi="Book Antiqua"/>
          <w:lang w:val="en-GB"/>
        </w:rPr>
        <w:t>The use of mobile phones has become instrument of learning so students should explore more of the positive uses of the phones to enhance academic performance.</w:t>
      </w:r>
    </w:p>
    <w:p w14:paraId="7E5F426D" w14:textId="77777777" w:rsidR="009D343F" w:rsidRPr="00B7604D" w:rsidRDefault="009D343F" w:rsidP="00196385">
      <w:pPr>
        <w:pStyle w:val="ListParagraph"/>
        <w:numPr>
          <w:ilvl w:val="0"/>
          <w:numId w:val="95"/>
        </w:numPr>
        <w:jc w:val="both"/>
        <w:rPr>
          <w:rFonts w:ascii="Book Antiqua" w:hAnsi="Book Antiqua"/>
          <w:lang w:val="en-GB"/>
        </w:rPr>
      </w:pPr>
      <w:r w:rsidRPr="00E3232D">
        <w:rPr>
          <w:rFonts w:ascii="Book Antiqua" w:hAnsi="Book Antiqua"/>
          <w:lang w:val="en-GB"/>
        </w:rPr>
        <w:t xml:space="preserve">Most of the mobile phones have internet connection so students should take advantage of that to search for more information on their course area so that they can be knowledgeable. </w:t>
      </w:r>
    </w:p>
    <w:p w14:paraId="27845A84" w14:textId="77777777" w:rsidR="009D343F" w:rsidRPr="00E3232D" w:rsidRDefault="009D343F" w:rsidP="00196385">
      <w:pPr>
        <w:pStyle w:val="ListParagraph"/>
        <w:numPr>
          <w:ilvl w:val="0"/>
          <w:numId w:val="95"/>
        </w:numPr>
        <w:jc w:val="both"/>
        <w:rPr>
          <w:rFonts w:ascii="Book Antiqua" w:hAnsi="Book Antiqua"/>
          <w:lang w:val="en-GB"/>
        </w:rPr>
      </w:pPr>
      <w:r w:rsidRPr="00E3232D">
        <w:rPr>
          <w:rFonts w:ascii="Book Antiqua" w:hAnsi="Book Antiqua"/>
          <w:lang w:val="en-GB"/>
        </w:rPr>
        <w:t>Some of the students spend most of their time chatting on Face Book and other social networks, if students can channel that time to learning and searching for information that will help improve academic performance of students.</w:t>
      </w:r>
    </w:p>
    <w:p w14:paraId="1B914ACE" w14:textId="77777777" w:rsidR="009D343F" w:rsidRPr="00E3232D" w:rsidRDefault="009D343F" w:rsidP="00196385">
      <w:pPr>
        <w:pStyle w:val="ListParagraph"/>
        <w:numPr>
          <w:ilvl w:val="0"/>
          <w:numId w:val="95"/>
        </w:numPr>
        <w:jc w:val="both"/>
        <w:rPr>
          <w:rFonts w:ascii="Book Antiqua" w:hAnsi="Book Antiqua"/>
          <w:lang w:val="en-GB"/>
        </w:rPr>
      </w:pPr>
      <w:r w:rsidRPr="00E3232D">
        <w:rPr>
          <w:rFonts w:ascii="Book Antiqua" w:hAnsi="Book Antiqua"/>
          <w:lang w:val="en-GB"/>
        </w:rPr>
        <w:t>When sending text messages to people we should avoid the use of some short forms that could not be understood by the receivers.</w:t>
      </w:r>
    </w:p>
    <w:p w14:paraId="2FEF73F0" w14:textId="77777777" w:rsidR="009D343F" w:rsidRPr="00E3232D" w:rsidRDefault="009D343F" w:rsidP="00196385">
      <w:pPr>
        <w:pStyle w:val="ListParagraph"/>
        <w:numPr>
          <w:ilvl w:val="0"/>
          <w:numId w:val="95"/>
        </w:numPr>
        <w:jc w:val="both"/>
        <w:rPr>
          <w:rFonts w:ascii="Book Antiqua" w:hAnsi="Book Antiqua"/>
          <w:lang w:val="en-GB"/>
        </w:rPr>
      </w:pPr>
      <w:r w:rsidRPr="00E3232D">
        <w:rPr>
          <w:rFonts w:ascii="Book Antiqua" w:hAnsi="Book Antiqua"/>
          <w:lang w:val="en-GB"/>
        </w:rPr>
        <w:t>Students should be allowed to use text messages to ask permission if they cannot be in class as it cost less to send text messages than to call the lecturers.</w:t>
      </w:r>
    </w:p>
    <w:p w14:paraId="103F9362" w14:textId="77777777" w:rsidR="009D343F" w:rsidRPr="00E3232D" w:rsidRDefault="009D343F" w:rsidP="00196385">
      <w:pPr>
        <w:pStyle w:val="ListParagraph"/>
        <w:numPr>
          <w:ilvl w:val="0"/>
          <w:numId w:val="95"/>
        </w:numPr>
        <w:jc w:val="both"/>
        <w:rPr>
          <w:rFonts w:ascii="Book Antiqua" w:hAnsi="Book Antiqua"/>
          <w:lang w:val="en-GB"/>
        </w:rPr>
      </w:pPr>
      <w:r w:rsidRPr="00E3232D">
        <w:rPr>
          <w:rFonts w:ascii="Book Antiqua" w:hAnsi="Book Antiqua"/>
          <w:lang w:val="en-GB"/>
        </w:rPr>
        <w:t xml:space="preserve">Students who go to write examination with their mobile phones and try to cheat when caught should be sacked from the polytechnic to maintain discipline. </w:t>
      </w:r>
    </w:p>
    <w:p w14:paraId="7205DE3B" w14:textId="77777777" w:rsidR="009D343F" w:rsidRPr="00E3232D" w:rsidRDefault="009D343F" w:rsidP="00196385">
      <w:pPr>
        <w:pStyle w:val="ListParagraph"/>
        <w:numPr>
          <w:ilvl w:val="0"/>
          <w:numId w:val="95"/>
        </w:numPr>
        <w:jc w:val="both"/>
        <w:rPr>
          <w:rFonts w:ascii="Book Antiqua" w:hAnsi="Book Antiqua"/>
          <w:lang w:val="en-GB"/>
        </w:rPr>
      </w:pPr>
      <w:r w:rsidRPr="00E3232D">
        <w:rPr>
          <w:rFonts w:ascii="Book Antiqua" w:hAnsi="Book Antiqua"/>
          <w:lang w:val="en-GB"/>
        </w:rPr>
        <w:t>Lecturers should use mobile phones to send students lesson materials and supply students with web-based curricula.</w:t>
      </w:r>
    </w:p>
    <w:p w14:paraId="662B7026" w14:textId="77777777" w:rsidR="009D343F" w:rsidRPr="00E3232D" w:rsidRDefault="009D343F" w:rsidP="00B7604D">
      <w:pPr>
        <w:pStyle w:val="Heading1"/>
        <w:spacing w:before="0"/>
        <w:jc w:val="both"/>
        <w:rPr>
          <w:rFonts w:ascii="Book Antiqua" w:hAnsi="Book Antiqua"/>
          <w:color w:val="000000"/>
          <w:sz w:val="22"/>
          <w:szCs w:val="22"/>
        </w:rPr>
      </w:pPr>
    </w:p>
    <w:p w14:paraId="2B7A3F3E" w14:textId="77777777" w:rsidR="00A42A0E" w:rsidRPr="00B7604D" w:rsidRDefault="008214F9" w:rsidP="00B7604D">
      <w:pPr>
        <w:pStyle w:val="Heading1"/>
        <w:spacing w:before="0"/>
        <w:jc w:val="both"/>
        <w:rPr>
          <w:rFonts w:ascii="Book Antiqua" w:hAnsi="Book Antiqua"/>
          <w:color w:val="000000"/>
          <w:sz w:val="24"/>
          <w:szCs w:val="22"/>
        </w:rPr>
      </w:pPr>
      <w:r>
        <w:rPr>
          <w:rFonts w:ascii="Book Antiqua" w:hAnsi="Book Antiqua"/>
          <w:color w:val="000000"/>
          <w:sz w:val="24"/>
          <w:szCs w:val="22"/>
        </w:rPr>
        <w:t xml:space="preserve">4.0 </w:t>
      </w:r>
      <w:r w:rsidR="009D343F" w:rsidRPr="008214F9">
        <w:rPr>
          <w:rFonts w:ascii="Book Antiqua" w:hAnsi="Book Antiqua"/>
          <w:color w:val="000000"/>
          <w:sz w:val="26"/>
          <w:szCs w:val="22"/>
        </w:rPr>
        <w:t>Conclusions</w:t>
      </w:r>
      <w:r w:rsidR="009D343F" w:rsidRPr="008214F9">
        <w:rPr>
          <w:rFonts w:ascii="Book Antiqua" w:hAnsi="Book Antiqua"/>
          <w:color w:val="000000"/>
          <w:sz w:val="22"/>
          <w:szCs w:val="22"/>
        </w:rPr>
        <w:t xml:space="preserve"> </w:t>
      </w:r>
    </w:p>
    <w:p w14:paraId="0BD8F469" w14:textId="77777777" w:rsidR="00A42A0E" w:rsidRPr="00B7604D" w:rsidRDefault="009D343F" w:rsidP="00B7604D">
      <w:pPr>
        <w:jc w:val="both"/>
        <w:rPr>
          <w:rFonts w:ascii="Book Antiqua" w:hAnsi="Book Antiqua"/>
          <w:color w:val="000000"/>
        </w:rPr>
      </w:pPr>
      <w:r w:rsidRPr="00E3232D">
        <w:rPr>
          <w:rFonts w:ascii="Book Antiqua" w:hAnsi="Book Antiqua"/>
          <w:color w:val="000000"/>
        </w:rPr>
        <w:t xml:space="preserve">The main objective of this research is to find out the implications of mobile phone usage on academic performance in Koforidua Polytechnic.  This was done by collecting data on the usage and the implications on students and lecturers. Questionnaires, interview and documental review were the sources of data collected. Only the returned questionnaires were used in the analyses to arrive at the findings. </w:t>
      </w:r>
    </w:p>
    <w:p w14:paraId="1D250D2E" w14:textId="77777777" w:rsidR="00A42A0E" w:rsidRDefault="009D343F" w:rsidP="00B7604D">
      <w:pPr>
        <w:jc w:val="both"/>
        <w:rPr>
          <w:rFonts w:ascii="Book Antiqua" w:hAnsi="Book Antiqua"/>
          <w:lang w:val="en-GB"/>
        </w:rPr>
      </w:pPr>
      <w:r w:rsidRPr="00E3232D">
        <w:rPr>
          <w:rFonts w:ascii="Book Antiqua" w:hAnsi="Book Antiqua"/>
        </w:rPr>
        <w:t>The findings revealed that</w:t>
      </w:r>
      <w:r w:rsidRPr="00E3232D">
        <w:rPr>
          <w:rFonts w:ascii="Book Antiqua" w:hAnsi="Book Antiqua"/>
          <w:color w:val="000000"/>
        </w:rPr>
        <w:t xml:space="preserve"> students use their mobile phone to make and receive calls, send text messages, for </w:t>
      </w:r>
      <w:r w:rsidRPr="00E3232D">
        <w:rPr>
          <w:rFonts w:ascii="Book Antiqua" w:hAnsi="Book Antiqua"/>
          <w:lang w:val="en-GB"/>
        </w:rPr>
        <w:t>calculation, checking time, recording lectures, search for information on the internet, chatting on the internet listening to news, sports and music. The research revealed that most of the uses are done when lecture is going on. Respondent complained about how the ring tones on the phones disturb and divert their attention from what is being discussed during lecture hours when the phones ring.</w:t>
      </w:r>
    </w:p>
    <w:p w14:paraId="3177578F" w14:textId="77777777" w:rsidR="00490079" w:rsidRPr="00B7604D" w:rsidRDefault="009D343F" w:rsidP="00B7604D">
      <w:pPr>
        <w:jc w:val="both"/>
        <w:rPr>
          <w:rFonts w:ascii="Book Antiqua" w:hAnsi="Book Antiqua"/>
          <w:lang w:val="en-GB"/>
        </w:rPr>
      </w:pPr>
      <w:r w:rsidRPr="00E3232D">
        <w:rPr>
          <w:rFonts w:ascii="Book Antiqua" w:hAnsi="Book Antiqua"/>
          <w:lang w:val="en-GB"/>
        </w:rPr>
        <w:t>It also came to light that the students use their phones to inform lecturers that they have lectures with them. Some of the lecturers also use their phone during lectures but get angry when students use theirs during class. Some of the lecturers leave the class as a result of students’ phone ringing during the lecture period.  It was found out that a few of the students use their mobile phones during examination. It came to light that a few of the lecturers/ invigilators also use their mobile phones during examinations and that distract students attention from the examination. Most of the students would not want their phones to be seized when it rings during lecture periods but would want to switch off the ring tones during lecture periods.</w:t>
      </w:r>
    </w:p>
    <w:p w14:paraId="4A66C51E" w14:textId="77777777" w:rsidR="009D343F" w:rsidRPr="00E3232D" w:rsidRDefault="008214F9" w:rsidP="00B7604D">
      <w:pPr>
        <w:spacing w:before="150" w:after="150"/>
        <w:jc w:val="both"/>
        <w:rPr>
          <w:rFonts w:ascii="Book Antiqua" w:hAnsi="Book Antiqua"/>
          <w:b/>
          <w:color w:val="000000"/>
        </w:rPr>
      </w:pPr>
      <w:r>
        <w:rPr>
          <w:rFonts w:ascii="Book Antiqua" w:hAnsi="Book Antiqua"/>
          <w:b/>
          <w:color w:val="000000"/>
        </w:rPr>
        <w:t xml:space="preserve">5.0 </w:t>
      </w:r>
      <w:r w:rsidR="009D343F" w:rsidRPr="008214F9">
        <w:rPr>
          <w:rFonts w:ascii="Book Antiqua" w:hAnsi="Book Antiqua"/>
          <w:b/>
          <w:color w:val="000000"/>
          <w:sz w:val="26"/>
        </w:rPr>
        <w:t>Recommendations</w:t>
      </w:r>
      <w:r w:rsidR="009D343F" w:rsidRPr="00E3232D">
        <w:rPr>
          <w:rFonts w:ascii="Book Antiqua" w:hAnsi="Book Antiqua"/>
          <w:b/>
          <w:color w:val="000000"/>
        </w:rPr>
        <w:t xml:space="preserve"> </w:t>
      </w:r>
    </w:p>
    <w:p w14:paraId="63A4E444" w14:textId="77777777" w:rsidR="009D343F" w:rsidRPr="00E3232D" w:rsidRDefault="009D343F" w:rsidP="00196385">
      <w:pPr>
        <w:pStyle w:val="ListParagraph"/>
        <w:numPr>
          <w:ilvl w:val="0"/>
          <w:numId w:val="94"/>
        </w:numPr>
        <w:spacing w:before="150" w:after="150"/>
        <w:jc w:val="both"/>
        <w:rPr>
          <w:rFonts w:ascii="Book Antiqua" w:hAnsi="Book Antiqua"/>
          <w:color w:val="000000"/>
        </w:rPr>
      </w:pPr>
      <w:r w:rsidRPr="00E3232D">
        <w:rPr>
          <w:rFonts w:ascii="Book Antiqua" w:hAnsi="Book Antiqua"/>
          <w:color w:val="000000"/>
        </w:rPr>
        <w:t>Invigilators/lecturers should be strict and observant during examination period so as to avoid cheating with mobile phones during examinations.</w:t>
      </w:r>
    </w:p>
    <w:p w14:paraId="47D5F2C6" w14:textId="77777777" w:rsidR="009D343F" w:rsidRPr="00E3232D" w:rsidRDefault="009D343F" w:rsidP="00196385">
      <w:pPr>
        <w:pStyle w:val="ListParagraph"/>
        <w:numPr>
          <w:ilvl w:val="0"/>
          <w:numId w:val="94"/>
        </w:numPr>
        <w:spacing w:before="150" w:after="150"/>
        <w:jc w:val="both"/>
        <w:rPr>
          <w:rFonts w:ascii="Book Antiqua" w:hAnsi="Book Antiqua"/>
          <w:color w:val="000000"/>
        </w:rPr>
      </w:pPr>
      <w:r w:rsidRPr="00E3232D">
        <w:rPr>
          <w:rFonts w:ascii="Book Antiqua" w:hAnsi="Book Antiqua"/>
          <w:color w:val="000000"/>
        </w:rPr>
        <w:t>Lecturers should keep to their time-table and be on time for lectures.</w:t>
      </w:r>
    </w:p>
    <w:p w14:paraId="75CF693F" w14:textId="77777777" w:rsidR="009D343F" w:rsidRPr="00E3232D" w:rsidRDefault="009D343F" w:rsidP="00196385">
      <w:pPr>
        <w:pStyle w:val="ListParagraph"/>
        <w:numPr>
          <w:ilvl w:val="0"/>
          <w:numId w:val="94"/>
        </w:numPr>
        <w:spacing w:before="150" w:after="150"/>
        <w:jc w:val="both"/>
        <w:rPr>
          <w:rFonts w:ascii="Book Antiqua" w:hAnsi="Book Antiqua"/>
          <w:color w:val="000000"/>
        </w:rPr>
      </w:pPr>
      <w:r w:rsidRPr="00E3232D">
        <w:rPr>
          <w:rFonts w:ascii="Book Antiqua" w:hAnsi="Book Antiqua"/>
          <w:color w:val="000000"/>
        </w:rPr>
        <w:t>Ring tones of mobile phones should be put off during lecture periods by both students and lecturers to aid concentration.</w:t>
      </w:r>
    </w:p>
    <w:p w14:paraId="3105957E" w14:textId="77777777" w:rsidR="009D343F" w:rsidRPr="00E3232D" w:rsidRDefault="009D343F" w:rsidP="00196385">
      <w:pPr>
        <w:pStyle w:val="ListParagraph"/>
        <w:numPr>
          <w:ilvl w:val="0"/>
          <w:numId w:val="94"/>
        </w:numPr>
        <w:spacing w:before="150" w:after="150"/>
        <w:jc w:val="both"/>
        <w:rPr>
          <w:rFonts w:ascii="Book Antiqua" w:hAnsi="Book Antiqua"/>
          <w:color w:val="000000"/>
        </w:rPr>
      </w:pPr>
      <w:r w:rsidRPr="00E3232D">
        <w:rPr>
          <w:rFonts w:ascii="Book Antiqua" w:hAnsi="Book Antiqua"/>
          <w:color w:val="000000"/>
        </w:rPr>
        <w:t>Students should be given orientation when admitted into the institution on the effects of mobile phone usage during lecture period.</w:t>
      </w:r>
    </w:p>
    <w:p w14:paraId="3E44C323" w14:textId="77777777" w:rsidR="009D343F" w:rsidRPr="00E3232D" w:rsidRDefault="009D343F" w:rsidP="00196385">
      <w:pPr>
        <w:pStyle w:val="ListParagraph"/>
        <w:numPr>
          <w:ilvl w:val="0"/>
          <w:numId w:val="94"/>
        </w:numPr>
        <w:spacing w:before="150" w:after="150"/>
        <w:jc w:val="both"/>
        <w:rPr>
          <w:rFonts w:ascii="Book Antiqua" w:hAnsi="Book Antiqua"/>
          <w:color w:val="000000"/>
        </w:rPr>
      </w:pPr>
      <w:r w:rsidRPr="00E3232D">
        <w:rPr>
          <w:rFonts w:ascii="Book Antiqua" w:hAnsi="Book Antiqua"/>
          <w:color w:val="000000"/>
        </w:rPr>
        <w:t>The polytechnic authorities should come out with a policy on the use of mobile phones while lecture is going on.</w:t>
      </w:r>
    </w:p>
    <w:p w14:paraId="6EFEF0AD" w14:textId="77777777" w:rsidR="009D343F" w:rsidRPr="00E3232D" w:rsidRDefault="009D343F" w:rsidP="00196385">
      <w:pPr>
        <w:pStyle w:val="ListParagraph"/>
        <w:numPr>
          <w:ilvl w:val="0"/>
          <w:numId w:val="94"/>
        </w:numPr>
        <w:spacing w:before="150" w:after="150"/>
        <w:jc w:val="both"/>
        <w:rPr>
          <w:rFonts w:ascii="Book Antiqua" w:hAnsi="Book Antiqua"/>
          <w:color w:val="000000"/>
        </w:rPr>
      </w:pPr>
      <w:r w:rsidRPr="00E3232D">
        <w:rPr>
          <w:rFonts w:ascii="Book Antiqua" w:hAnsi="Book Antiqua"/>
          <w:color w:val="000000"/>
        </w:rPr>
        <w:t>There should be a seminar for lectures and students on the use of mobile phones to foster effective teaching and learning.</w:t>
      </w:r>
    </w:p>
    <w:p w14:paraId="45640A51" w14:textId="77777777" w:rsidR="00490079" w:rsidRDefault="00490079" w:rsidP="00B7604D">
      <w:pPr>
        <w:pStyle w:val="Heading2"/>
        <w:spacing w:before="0"/>
        <w:jc w:val="both"/>
        <w:rPr>
          <w:rFonts w:ascii="Book Antiqua" w:hAnsi="Book Antiqua"/>
          <w:color w:val="000000"/>
          <w:sz w:val="22"/>
          <w:szCs w:val="22"/>
        </w:rPr>
      </w:pPr>
    </w:p>
    <w:p w14:paraId="29ECADCD" w14:textId="77777777" w:rsidR="008214F9" w:rsidRDefault="008214F9" w:rsidP="00B7604D">
      <w:pPr>
        <w:pStyle w:val="Heading2"/>
        <w:spacing w:before="0"/>
        <w:jc w:val="both"/>
        <w:rPr>
          <w:rFonts w:ascii="Book Antiqua" w:hAnsi="Book Antiqua"/>
          <w:color w:val="000000"/>
          <w:szCs w:val="22"/>
        </w:rPr>
      </w:pPr>
    </w:p>
    <w:p w14:paraId="77D46C48" w14:textId="77777777" w:rsidR="009D343F" w:rsidRPr="00E3232D" w:rsidRDefault="009D343F" w:rsidP="00B7604D">
      <w:pPr>
        <w:pStyle w:val="Heading2"/>
        <w:spacing w:before="0"/>
        <w:jc w:val="both"/>
        <w:rPr>
          <w:rFonts w:ascii="Book Antiqua" w:hAnsi="Book Antiqua"/>
          <w:b w:val="0"/>
          <w:color w:val="000000"/>
          <w:sz w:val="22"/>
          <w:szCs w:val="22"/>
        </w:rPr>
      </w:pPr>
      <w:r w:rsidRPr="00B7604D">
        <w:rPr>
          <w:rFonts w:ascii="Book Antiqua" w:hAnsi="Book Antiqua"/>
          <w:color w:val="000000"/>
          <w:szCs w:val="22"/>
        </w:rPr>
        <w:t>References</w:t>
      </w:r>
    </w:p>
    <w:p w14:paraId="2B4B0C0E" w14:textId="77777777" w:rsidR="009D343F" w:rsidRPr="00E3232D" w:rsidRDefault="009D343F" w:rsidP="00B7604D">
      <w:pPr>
        <w:pStyle w:val="Heading2"/>
        <w:spacing w:before="0"/>
        <w:jc w:val="both"/>
        <w:rPr>
          <w:rFonts w:ascii="Book Antiqua" w:hAnsi="Book Antiqua"/>
          <w:sz w:val="22"/>
          <w:szCs w:val="22"/>
        </w:rPr>
      </w:pPr>
      <w:r w:rsidRPr="00E3232D">
        <w:rPr>
          <w:rFonts w:ascii="Book Antiqua" w:hAnsi="Book Antiqua"/>
          <w:sz w:val="22"/>
          <w:szCs w:val="22"/>
        </w:rPr>
        <w:t xml:space="preserve">Abdel-wahab, A. G. and El-Masry, A. A. </w:t>
      </w:r>
    </w:p>
    <w:p w14:paraId="791A3F56" w14:textId="77777777" w:rsidR="009D343F" w:rsidRPr="00E3232D" w:rsidRDefault="009D343F" w:rsidP="00B7604D">
      <w:pPr>
        <w:pStyle w:val="Heading2"/>
        <w:spacing w:before="0"/>
        <w:ind w:left="720"/>
        <w:jc w:val="both"/>
        <w:rPr>
          <w:rFonts w:ascii="Book Antiqua" w:hAnsi="Book Antiqua"/>
          <w:sz w:val="22"/>
          <w:szCs w:val="22"/>
        </w:rPr>
      </w:pPr>
      <w:r w:rsidRPr="00E3232D">
        <w:rPr>
          <w:rFonts w:ascii="Book Antiqua" w:hAnsi="Book Antiqua"/>
          <w:sz w:val="22"/>
          <w:szCs w:val="22"/>
        </w:rPr>
        <w:t>(2011). Mobile information communication technologies adoption in developing countries: effects and implications. Information science reference.ebook.</w:t>
      </w:r>
    </w:p>
    <w:p w14:paraId="7EFCC6AA" w14:textId="77777777" w:rsidR="009D343F" w:rsidRPr="00E3232D" w:rsidRDefault="009D343F" w:rsidP="00B7604D">
      <w:pPr>
        <w:pStyle w:val="Heading2"/>
        <w:spacing w:before="0"/>
        <w:jc w:val="both"/>
        <w:rPr>
          <w:rFonts w:ascii="Book Antiqua" w:hAnsi="Book Antiqua"/>
          <w:sz w:val="22"/>
          <w:szCs w:val="22"/>
        </w:rPr>
      </w:pPr>
    </w:p>
    <w:p w14:paraId="425E74D9" w14:textId="77777777" w:rsidR="009D343F" w:rsidRPr="00E3232D" w:rsidRDefault="009D343F" w:rsidP="00B7604D">
      <w:pPr>
        <w:pStyle w:val="Heading2"/>
        <w:spacing w:before="0"/>
        <w:jc w:val="both"/>
        <w:rPr>
          <w:rFonts w:ascii="Book Antiqua" w:hAnsi="Book Antiqua"/>
          <w:sz w:val="22"/>
          <w:szCs w:val="22"/>
        </w:rPr>
      </w:pPr>
      <w:r w:rsidRPr="00E3232D">
        <w:rPr>
          <w:rFonts w:ascii="Book Antiqua" w:hAnsi="Book Antiqua"/>
          <w:sz w:val="22"/>
          <w:szCs w:val="22"/>
        </w:rPr>
        <w:t xml:space="preserve">Blithe, J. (2009).Principles and practice of </w:t>
      </w:r>
    </w:p>
    <w:p w14:paraId="3CB583DF" w14:textId="77777777" w:rsidR="009D343F" w:rsidRPr="00E3232D" w:rsidRDefault="009D343F" w:rsidP="00B7604D">
      <w:pPr>
        <w:pStyle w:val="Heading2"/>
        <w:spacing w:before="0"/>
        <w:jc w:val="both"/>
        <w:rPr>
          <w:rFonts w:ascii="Book Antiqua" w:hAnsi="Book Antiqua"/>
          <w:sz w:val="22"/>
          <w:szCs w:val="22"/>
        </w:rPr>
      </w:pPr>
      <w:r w:rsidRPr="00E3232D">
        <w:rPr>
          <w:rFonts w:ascii="Book Antiqua" w:hAnsi="Book Antiqua"/>
          <w:sz w:val="22"/>
          <w:szCs w:val="22"/>
        </w:rPr>
        <w:tab/>
        <w:t>marketing. Thomson learning.</w:t>
      </w:r>
    </w:p>
    <w:p w14:paraId="1A90D017" w14:textId="77777777" w:rsidR="009D343F" w:rsidRPr="00E3232D" w:rsidRDefault="009D343F" w:rsidP="00B7604D">
      <w:pPr>
        <w:pStyle w:val="Heading2"/>
        <w:spacing w:before="0"/>
        <w:jc w:val="both"/>
        <w:rPr>
          <w:rFonts w:ascii="Book Antiqua" w:hAnsi="Book Antiqua"/>
          <w:color w:val="000000"/>
          <w:sz w:val="22"/>
          <w:szCs w:val="22"/>
        </w:rPr>
      </w:pPr>
    </w:p>
    <w:p w14:paraId="408BC02C" w14:textId="77777777" w:rsidR="009D343F" w:rsidRPr="00E3232D" w:rsidRDefault="009D343F" w:rsidP="00B7604D">
      <w:pPr>
        <w:pStyle w:val="NoSpacing"/>
        <w:tabs>
          <w:tab w:val="left" w:pos="3858"/>
        </w:tabs>
        <w:spacing w:line="276" w:lineRule="auto"/>
        <w:jc w:val="both"/>
        <w:outlineLvl w:val="0"/>
        <w:rPr>
          <w:rFonts w:ascii="Book Antiqua" w:hAnsi="Book Antiqua"/>
        </w:rPr>
      </w:pPr>
      <w:r w:rsidRPr="00E3232D">
        <w:rPr>
          <w:rFonts w:ascii="Book Antiqua" w:hAnsi="Book Antiqua"/>
        </w:rPr>
        <w:t xml:space="preserve">Conole, G.; De Laat, M.; Dillon, T. and </w:t>
      </w:r>
    </w:p>
    <w:p w14:paraId="4C582C34" w14:textId="77777777" w:rsidR="009D343F" w:rsidRPr="00E3232D" w:rsidRDefault="009D343F" w:rsidP="00B7604D">
      <w:pPr>
        <w:pStyle w:val="NoSpacing"/>
        <w:tabs>
          <w:tab w:val="left" w:pos="3858"/>
        </w:tabs>
        <w:spacing w:line="276" w:lineRule="auto"/>
        <w:ind w:left="720"/>
        <w:jc w:val="both"/>
        <w:outlineLvl w:val="0"/>
        <w:rPr>
          <w:rFonts w:ascii="Book Antiqua" w:hAnsi="Book Antiqua"/>
        </w:rPr>
      </w:pPr>
      <w:r w:rsidRPr="00E3232D">
        <w:rPr>
          <w:rFonts w:ascii="Book Antiqua" w:hAnsi="Book Antiqua"/>
        </w:rPr>
        <w:t>Darby, J. (2008). Disruptive  technologies, pedagogical innovation: what’s new? Computers and education, vol.50 issue 2 p. 511 – 524.</w:t>
      </w:r>
    </w:p>
    <w:p w14:paraId="6DA4A705" w14:textId="77777777" w:rsidR="009D343F" w:rsidRPr="00E3232D" w:rsidRDefault="009D343F" w:rsidP="00B7604D">
      <w:pPr>
        <w:pStyle w:val="Heading2"/>
        <w:spacing w:before="0"/>
        <w:jc w:val="both"/>
        <w:rPr>
          <w:rFonts w:ascii="Book Antiqua" w:hAnsi="Book Antiqua"/>
          <w:sz w:val="22"/>
          <w:szCs w:val="22"/>
        </w:rPr>
      </w:pPr>
    </w:p>
    <w:p w14:paraId="60A86CBE" w14:textId="77777777" w:rsidR="009D343F" w:rsidRPr="00E3232D" w:rsidRDefault="009D343F" w:rsidP="00B7604D">
      <w:pPr>
        <w:pStyle w:val="Heading2"/>
        <w:spacing w:before="0"/>
        <w:jc w:val="both"/>
        <w:rPr>
          <w:rFonts w:ascii="Book Antiqua" w:hAnsi="Book Antiqua"/>
          <w:sz w:val="22"/>
          <w:szCs w:val="22"/>
        </w:rPr>
      </w:pPr>
      <w:r w:rsidRPr="00E3232D">
        <w:rPr>
          <w:rFonts w:ascii="Book Antiqua" w:hAnsi="Book Antiqua"/>
          <w:sz w:val="22"/>
          <w:szCs w:val="22"/>
        </w:rPr>
        <w:t xml:space="preserve">Davito, J. A. (2012). Interpersonal </w:t>
      </w:r>
    </w:p>
    <w:p w14:paraId="38608DAA" w14:textId="77777777" w:rsidR="009D343F" w:rsidRPr="00E3232D" w:rsidRDefault="009D343F" w:rsidP="00B7604D">
      <w:pPr>
        <w:pStyle w:val="Heading2"/>
        <w:spacing w:before="0"/>
        <w:ind w:left="720"/>
        <w:jc w:val="both"/>
        <w:rPr>
          <w:rFonts w:ascii="Book Antiqua" w:hAnsi="Book Antiqua"/>
          <w:sz w:val="22"/>
          <w:szCs w:val="22"/>
        </w:rPr>
      </w:pPr>
      <w:r w:rsidRPr="00E3232D">
        <w:rPr>
          <w:rFonts w:ascii="Book Antiqua" w:hAnsi="Book Antiqua"/>
          <w:sz w:val="22"/>
          <w:szCs w:val="22"/>
        </w:rPr>
        <w:t>communication book: the plus NEW my communication lab with e text. 13</w:t>
      </w:r>
      <w:r w:rsidRPr="00E3232D">
        <w:rPr>
          <w:rFonts w:ascii="Book Antiqua" w:hAnsi="Book Antiqua"/>
          <w:sz w:val="22"/>
          <w:szCs w:val="22"/>
          <w:vertAlign w:val="superscript"/>
        </w:rPr>
        <w:t>th</w:t>
      </w:r>
      <w:r w:rsidRPr="00E3232D">
        <w:rPr>
          <w:rFonts w:ascii="Book Antiqua" w:hAnsi="Book Antiqua"/>
          <w:sz w:val="22"/>
          <w:szCs w:val="22"/>
        </w:rPr>
        <w:t xml:space="preserve"> edition.Access card package.</w:t>
      </w:r>
    </w:p>
    <w:p w14:paraId="6B278806" w14:textId="77777777" w:rsidR="009D343F" w:rsidRPr="00E3232D" w:rsidRDefault="009D343F" w:rsidP="00B7604D">
      <w:pPr>
        <w:pStyle w:val="Heading2"/>
        <w:spacing w:before="0"/>
        <w:jc w:val="both"/>
        <w:rPr>
          <w:rFonts w:ascii="Book Antiqua" w:hAnsi="Book Antiqua"/>
          <w:sz w:val="22"/>
          <w:szCs w:val="22"/>
        </w:rPr>
      </w:pPr>
      <w:r w:rsidRPr="00E3232D">
        <w:rPr>
          <w:rFonts w:ascii="Book Antiqua" w:hAnsi="Book Antiqua"/>
          <w:sz w:val="22"/>
          <w:szCs w:val="22"/>
        </w:rPr>
        <w:t xml:space="preserve">Helio, F. G. (2012). The power of </w:t>
      </w:r>
    </w:p>
    <w:p w14:paraId="669A4324" w14:textId="77777777" w:rsidR="009D343F" w:rsidRPr="00E3232D" w:rsidRDefault="009D343F" w:rsidP="00B7604D">
      <w:pPr>
        <w:pStyle w:val="Heading2"/>
        <w:spacing w:before="0"/>
        <w:ind w:left="720"/>
        <w:jc w:val="both"/>
        <w:rPr>
          <w:rFonts w:ascii="Book Antiqua" w:hAnsi="Book Antiqua"/>
          <w:sz w:val="22"/>
          <w:szCs w:val="22"/>
        </w:rPr>
      </w:pPr>
      <w:r w:rsidRPr="00E3232D">
        <w:rPr>
          <w:rFonts w:ascii="Book Antiqua" w:hAnsi="Book Antiqua"/>
          <w:sz w:val="22"/>
          <w:szCs w:val="22"/>
        </w:rPr>
        <w:t>communication skills to build trust, inspire loyalty and lead effectively. Pearson education  Inc. New Jersey.</w:t>
      </w:r>
    </w:p>
    <w:p w14:paraId="470EAABF" w14:textId="77777777" w:rsidR="009D343F" w:rsidRPr="00E3232D" w:rsidRDefault="009D343F" w:rsidP="00B7604D">
      <w:pPr>
        <w:pStyle w:val="NoSpacing"/>
        <w:spacing w:line="276" w:lineRule="auto"/>
        <w:jc w:val="both"/>
        <w:rPr>
          <w:rFonts w:ascii="Book Antiqua" w:hAnsi="Book Antiqua"/>
        </w:rPr>
      </w:pPr>
    </w:p>
    <w:p w14:paraId="18B94618" w14:textId="77777777" w:rsidR="009D343F" w:rsidRPr="00E3232D" w:rsidRDefault="009D343F" w:rsidP="00B7604D">
      <w:pPr>
        <w:pStyle w:val="NoSpacing"/>
        <w:spacing w:line="276" w:lineRule="auto"/>
        <w:jc w:val="both"/>
        <w:rPr>
          <w:rFonts w:ascii="Book Antiqua" w:hAnsi="Book Antiqua"/>
        </w:rPr>
      </w:pPr>
      <w:r w:rsidRPr="00E3232D">
        <w:rPr>
          <w:rFonts w:ascii="Book Antiqua" w:hAnsi="Book Antiqua"/>
        </w:rPr>
        <w:t xml:space="preserve">John-Harmen, V.; Rashid, A. T.and </w:t>
      </w:r>
    </w:p>
    <w:p w14:paraId="16C2BEFE" w14:textId="77777777" w:rsidR="009D343F" w:rsidRPr="00E3232D" w:rsidRDefault="009D343F" w:rsidP="00B7604D">
      <w:pPr>
        <w:pStyle w:val="NoSpacing"/>
        <w:spacing w:line="276" w:lineRule="auto"/>
        <w:ind w:left="720"/>
        <w:jc w:val="both"/>
        <w:rPr>
          <w:rFonts w:ascii="Book Antiqua" w:hAnsi="Book Antiqua"/>
          <w:kern w:val="36"/>
        </w:rPr>
      </w:pPr>
      <w:r w:rsidRPr="00E3232D">
        <w:rPr>
          <w:rFonts w:ascii="Book Antiqua" w:hAnsi="Book Antiqua"/>
        </w:rPr>
        <w:t xml:space="preserve">Elder, L. (2010). </w:t>
      </w:r>
      <w:r w:rsidRPr="00E3232D">
        <w:rPr>
          <w:rFonts w:ascii="Book Antiqua" w:hAnsi="Book Antiqua"/>
          <w:kern w:val="36"/>
        </w:rPr>
        <w:t>Using  mobile phones to improve educational outcomes: an analysis of evidence from Asia.</w:t>
      </w:r>
      <w:r w:rsidRPr="00E3232D">
        <w:rPr>
          <w:rFonts w:ascii="Book Antiqua" w:hAnsi="Book Antiqua"/>
        </w:rPr>
        <w:t xml:space="preserve"> The international review of research in open and distance education. Vol.11 issue 1.</w:t>
      </w:r>
    </w:p>
    <w:p w14:paraId="4825D98F" w14:textId="77777777" w:rsidR="009D343F" w:rsidRPr="00E3232D" w:rsidRDefault="009D343F" w:rsidP="008275E1">
      <w:pPr>
        <w:rPr>
          <w:rFonts w:ascii="Book Antiqua" w:hAnsi="Book Antiqua"/>
        </w:rPr>
      </w:pPr>
      <w:r w:rsidRPr="00E3232D">
        <w:rPr>
          <w:rFonts w:ascii="Book Antiqua" w:hAnsi="Book Antiqua"/>
        </w:rPr>
        <w:t xml:space="preserve">Madanmohan, R. (2011). Mobile Africa </w:t>
      </w:r>
    </w:p>
    <w:p w14:paraId="6F182122" w14:textId="77777777" w:rsidR="009D343F" w:rsidRPr="00E3232D" w:rsidRDefault="009D343F" w:rsidP="008275E1">
      <w:pPr>
        <w:ind w:left="720"/>
        <w:rPr>
          <w:rFonts w:ascii="Book Antiqua" w:hAnsi="Book Antiqua"/>
        </w:rPr>
      </w:pPr>
      <w:r w:rsidRPr="00E3232D">
        <w:rPr>
          <w:rFonts w:ascii="Book Antiqua" w:hAnsi="Book Antiqua"/>
        </w:rPr>
        <w:t>report 2011: reginal hubs of excellence and innovation. MobileMonday. Extensia.</w:t>
      </w:r>
    </w:p>
    <w:p w14:paraId="0BBBFB8F" w14:textId="77777777" w:rsidR="009D343F" w:rsidRPr="00E3232D" w:rsidRDefault="009D343F" w:rsidP="008275E1">
      <w:pPr>
        <w:pStyle w:val="Heading2"/>
        <w:spacing w:before="0"/>
        <w:ind w:left="720"/>
        <w:rPr>
          <w:rFonts w:ascii="Book Antiqua" w:hAnsi="Book Antiqua"/>
          <w:sz w:val="22"/>
          <w:szCs w:val="22"/>
        </w:rPr>
      </w:pPr>
    </w:p>
    <w:p w14:paraId="45AE4722" w14:textId="77777777" w:rsidR="009D343F" w:rsidRPr="00E3232D" w:rsidRDefault="009D343F" w:rsidP="008275E1">
      <w:pPr>
        <w:autoSpaceDE w:val="0"/>
        <w:autoSpaceDN w:val="0"/>
        <w:adjustRightInd w:val="0"/>
        <w:rPr>
          <w:rFonts w:ascii="Book Antiqua" w:hAnsi="Book Antiqua"/>
        </w:rPr>
      </w:pPr>
      <w:r w:rsidRPr="00E3232D">
        <w:rPr>
          <w:rFonts w:ascii="Book Antiqua" w:hAnsi="Book Antiqua"/>
        </w:rPr>
        <w:t xml:space="preserve">Marcoux, E. (2011). Technotes.Teacher </w:t>
      </w:r>
    </w:p>
    <w:p w14:paraId="49EBC74E" w14:textId="77777777" w:rsidR="009D343F" w:rsidRPr="00E3232D" w:rsidRDefault="009D343F" w:rsidP="008275E1">
      <w:pPr>
        <w:autoSpaceDE w:val="0"/>
        <w:autoSpaceDN w:val="0"/>
        <w:adjustRightInd w:val="0"/>
        <w:rPr>
          <w:rFonts w:ascii="Book Antiqua" w:hAnsi="Book Antiqua"/>
        </w:rPr>
      </w:pPr>
      <w:r w:rsidRPr="00E3232D">
        <w:rPr>
          <w:rFonts w:ascii="Book Antiqua" w:hAnsi="Book Antiqua"/>
        </w:rPr>
        <w:tab/>
        <w:t>librarian vol.39 issue 2 p.69 – 69.</w:t>
      </w:r>
    </w:p>
    <w:p w14:paraId="7549E103" w14:textId="77777777" w:rsidR="009D343F" w:rsidRPr="00E3232D" w:rsidRDefault="009D343F" w:rsidP="008275E1">
      <w:pPr>
        <w:rPr>
          <w:rFonts w:ascii="Book Antiqua" w:hAnsi="Book Antiqua"/>
        </w:rPr>
      </w:pPr>
    </w:p>
    <w:p w14:paraId="2E4A1C96" w14:textId="77777777" w:rsidR="009D343F" w:rsidRPr="00E3232D" w:rsidRDefault="009D343F" w:rsidP="008275E1">
      <w:pPr>
        <w:pStyle w:val="Heading2"/>
        <w:spacing w:before="0"/>
        <w:rPr>
          <w:rFonts w:ascii="Book Antiqua" w:hAnsi="Book Antiqua"/>
          <w:sz w:val="22"/>
          <w:szCs w:val="22"/>
        </w:rPr>
      </w:pPr>
      <w:r w:rsidRPr="00E3232D">
        <w:rPr>
          <w:rFonts w:ascii="Book Antiqua" w:hAnsi="Book Antiqua"/>
          <w:sz w:val="22"/>
          <w:szCs w:val="22"/>
        </w:rPr>
        <w:t xml:space="preserve">Markel, M. (2012).Technical </w:t>
      </w:r>
    </w:p>
    <w:p w14:paraId="6C3780EE" w14:textId="77777777" w:rsidR="009D343F" w:rsidRPr="00E3232D" w:rsidRDefault="009D343F" w:rsidP="008275E1">
      <w:pPr>
        <w:pStyle w:val="Heading2"/>
        <w:spacing w:before="0"/>
        <w:ind w:left="720"/>
        <w:rPr>
          <w:rFonts w:ascii="Book Antiqua" w:hAnsi="Book Antiqua"/>
          <w:sz w:val="22"/>
          <w:szCs w:val="22"/>
        </w:rPr>
      </w:pPr>
      <w:r w:rsidRPr="00E3232D">
        <w:rPr>
          <w:rFonts w:ascii="Book Antiqua" w:hAnsi="Book Antiqua"/>
          <w:sz w:val="22"/>
          <w:szCs w:val="22"/>
        </w:rPr>
        <w:t>communication. 10</w:t>
      </w:r>
      <w:r w:rsidRPr="00E3232D">
        <w:rPr>
          <w:rFonts w:ascii="Book Antiqua" w:hAnsi="Book Antiqua"/>
          <w:sz w:val="22"/>
          <w:szCs w:val="22"/>
          <w:vertAlign w:val="superscript"/>
        </w:rPr>
        <w:t>th</w:t>
      </w:r>
      <w:r w:rsidRPr="00E3232D">
        <w:rPr>
          <w:rFonts w:ascii="Book Antiqua" w:hAnsi="Book Antiqua"/>
          <w:sz w:val="22"/>
          <w:szCs w:val="22"/>
        </w:rPr>
        <w:t xml:space="preserve"> edition. Bedford/St. Martin’s: New York.</w:t>
      </w:r>
    </w:p>
    <w:p w14:paraId="285A0D85" w14:textId="77777777" w:rsidR="009D343F" w:rsidRPr="00E3232D" w:rsidRDefault="009D343F" w:rsidP="008275E1">
      <w:pPr>
        <w:pStyle w:val="Heading2"/>
        <w:spacing w:before="0"/>
        <w:rPr>
          <w:rFonts w:ascii="Book Antiqua" w:hAnsi="Book Antiqua"/>
          <w:sz w:val="22"/>
          <w:szCs w:val="22"/>
        </w:rPr>
      </w:pPr>
    </w:p>
    <w:p w14:paraId="21C55FE4" w14:textId="77777777" w:rsidR="009D343F" w:rsidRPr="00E3232D" w:rsidRDefault="009D343F" w:rsidP="008275E1">
      <w:pPr>
        <w:pStyle w:val="Heading2"/>
        <w:spacing w:before="0"/>
        <w:rPr>
          <w:rFonts w:ascii="Book Antiqua" w:hAnsi="Book Antiqua"/>
          <w:sz w:val="22"/>
          <w:szCs w:val="22"/>
        </w:rPr>
      </w:pPr>
      <w:r w:rsidRPr="00E3232D">
        <w:rPr>
          <w:rFonts w:ascii="Book Antiqua" w:hAnsi="Book Antiqua"/>
          <w:sz w:val="22"/>
          <w:szCs w:val="22"/>
        </w:rPr>
        <w:t xml:space="preserve">McLeod, S. (2008).Blocking the Future. </w:t>
      </w:r>
    </w:p>
    <w:p w14:paraId="2BFC66A0" w14:textId="77777777" w:rsidR="009D343F" w:rsidRPr="00E3232D" w:rsidRDefault="009D343F" w:rsidP="008275E1">
      <w:pPr>
        <w:pStyle w:val="Heading2"/>
        <w:spacing w:before="0"/>
        <w:ind w:left="720"/>
        <w:rPr>
          <w:rFonts w:ascii="Book Antiqua" w:hAnsi="Book Antiqua"/>
          <w:sz w:val="22"/>
          <w:szCs w:val="22"/>
        </w:rPr>
      </w:pPr>
      <w:r w:rsidRPr="00E3232D">
        <w:rPr>
          <w:rFonts w:ascii="Book Antiqua" w:hAnsi="Book Antiqua"/>
          <w:sz w:val="22"/>
          <w:szCs w:val="22"/>
        </w:rPr>
        <w:t>School Administrator. Vol. 65, Issue 5.</w:t>
      </w:r>
      <w:r w:rsidRPr="00E3232D">
        <w:rPr>
          <w:rFonts w:ascii="Book Antiqua" w:hAnsi="Book Antiqua"/>
          <w:sz w:val="22"/>
          <w:szCs w:val="22"/>
        </w:rPr>
        <w:tab/>
      </w:r>
    </w:p>
    <w:p w14:paraId="0CF9D5D4" w14:textId="77777777" w:rsidR="009D343F" w:rsidRPr="00E3232D" w:rsidRDefault="009D343F" w:rsidP="008275E1">
      <w:pPr>
        <w:pStyle w:val="Heading2"/>
        <w:spacing w:before="0"/>
        <w:rPr>
          <w:rFonts w:ascii="Book Antiqua" w:hAnsi="Book Antiqua"/>
          <w:color w:val="000000"/>
          <w:sz w:val="22"/>
          <w:szCs w:val="22"/>
        </w:rPr>
      </w:pPr>
      <w:r w:rsidRPr="00E3232D">
        <w:rPr>
          <w:rFonts w:ascii="Book Antiqua" w:hAnsi="Book Antiqua"/>
          <w:color w:val="000000"/>
          <w:sz w:val="22"/>
          <w:szCs w:val="22"/>
        </w:rPr>
        <w:t xml:space="preserve">MTD Training, (2012).Effective </w:t>
      </w:r>
    </w:p>
    <w:p w14:paraId="678CE75A" w14:textId="77777777" w:rsidR="009D343F" w:rsidRPr="00E3232D" w:rsidRDefault="009D343F" w:rsidP="008275E1">
      <w:pPr>
        <w:pStyle w:val="Heading2"/>
        <w:spacing w:before="0"/>
        <w:ind w:left="720"/>
        <w:rPr>
          <w:rFonts w:ascii="Book Antiqua" w:hAnsi="Book Antiqua"/>
          <w:color w:val="000000"/>
          <w:sz w:val="22"/>
          <w:szCs w:val="22"/>
        </w:rPr>
      </w:pPr>
      <w:r w:rsidRPr="00E3232D">
        <w:rPr>
          <w:rFonts w:ascii="Book Antiqua" w:hAnsi="Book Antiqua"/>
          <w:color w:val="000000"/>
          <w:sz w:val="22"/>
          <w:szCs w:val="22"/>
        </w:rPr>
        <w:t>Communication skills.Ventus publishing ApS.</w:t>
      </w:r>
    </w:p>
    <w:p w14:paraId="23945086" w14:textId="77777777" w:rsidR="009D343F" w:rsidRPr="00E3232D" w:rsidRDefault="009D343F" w:rsidP="008275E1">
      <w:pPr>
        <w:pStyle w:val="Heading2"/>
        <w:spacing w:before="0"/>
        <w:rPr>
          <w:rFonts w:ascii="Book Antiqua" w:hAnsi="Book Antiqua"/>
          <w:color w:val="000000"/>
          <w:sz w:val="22"/>
          <w:szCs w:val="22"/>
        </w:rPr>
      </w:pPr>
    </w:p>
    <w:p w14:paraId="0BE1DC94" w14:textId="77777777" w:rsidR="009D343F" w:rsidRPr="00E3232D" w:rsidRDefault="009D343F" w:rsidP="008275E1">
      <w:pPr>
        <w:pStyle w:val="Heading2"/>
        <w:spacing w:before="0"/>
        <w:rPr>
          <w:rFonts w:ascii="Book Antiqua" w:hAnsi="Book Antiqua"/>
          <w:sz w:val="22"/>
          <w:szCs w:val="22"/>
        </w:rPr>
      </w:pPr>
      <w:r w:rsidRPr="00E3232D">
        <w:rPr>
          <w:rFonts w:ascii="Book Antiqua" w:hAnsi="Book Antiqua"/>
          <w:sz w:val="22"/>
          <w:szCs w:val="22"/>
        </w:rPr>
        <w:t xml:space="preserve">Rosenberg, D. (2009). Plato’s iPod: can </w:t>
      </w:r>
    </w:p>
    <w:p w14:paraId="72D7E092" w14:textId="77777777" w:rsidR="009D343F" w:rsidRPr="00E3232D" w:rsidRDefault="009D343F" w:rsidP="008275E1">
      <w:pPr>
        <w:pStyle w:val="Heading2"/>
        <w:spacing w:before="0"/>
        <w:ind w:left="720"/>
        <w:rPr>
          <w:rFonts w:ascii="Book Antiqua" w:hAnsi="Book Antiqua"/>
          <w:sz w:val="22"/>
          <w:szCs w:val="22"/>
        </w:rPr>
      </w:pPr>
      <w:r w:rsidRPr="00E3232D">
        <w:rPr>
          <w:rFonts w:ascii="Book Antiqua" w:hAnsi="Book Antiqua"/>
          <w:sz w:val="22"/>
          <w:szCs w:val="22"/>
        </w:rPr>
        <w:t>hand-held electronics be valuable tool of learning? Independent school vol. 68 issue 2 p. 92 – 95.</w:t>
      </w:r>
    </w:p>
    <w:p w14:paraId="5ECF33D4" w14:textId="77777777" w:rsidR="009D343F" w:rsidRPr="00E3232D" w:rsidRDefault="009D343F" w:rsidP="008275E1">
      <w:pPr>
        <w:pStyle w:val="Heading2"/>
        <w:spacing w:before="0"/>
        <w:rPr>
          <w:rFonts w:ascii="Book Antiqua" w:hAnsi="Book Antiqua"/>
          <w:sz w:val="22"/>
          <w:szCs w:val="22"/>
        </w:rPr>
      </w:pPr>
    </w:p>
    <w:p w14:paraId="4E043058" w14:textId="77777777" w:rsidR="009D343F" w:rsidRPr="00E3232D" w:rsidRDefault="009D343F" w:rsidP="008275E1">
      <w:pPr>
        <w:pStyle w:val="Heading2"/>
        <w:spacing w:before="0"/>
        <w:rPr>
          <w:rFonts w:ascii="Book Antiqua" w:hAnsi="Book Antiqua"/>
          <w:sz w:val="22"/>
          <w:szCs w:val="22"/>
        </w:rPr>
      </w:pPr>
    </w:p>
    <w:p w14:paraId="11BF8221" w14:textId="77777777" w:rsidR="009D343F" w:rsidRPr="00E3232D" w:rsidRDefault="009D343F" w:rsidP="008275E1">
      <w:pPr>
        <w:rPr>
          <w:rFonts w:ascii="Book Antiqua" w:hAnsi="Book Antiqua"/>
          <w:color w:val="000000"/>
        </w:rPr>
      </w:pPr>
      <w:r w:rsidRPr="00E3232D">
        <w:rPr>
          <w:rFonts w:ascii="Book Antiqua" w:hAnsi="Book Antiqua"/>
          <w:color w:val="000000"/>
        </w:rPr>
        <w:t xml:space="preserve">Teclehaimanot, B.  and Hickman, T. (2011). </w:t>
      </w:r>
    </w:p>
    <w:p w14:paraId="7AEFDD83" w14:textId="77777777" w:rsidR="009D343F" w:rsidRPr="00E3232D" w:rsidRDefault="009D343F" w:rsidP="008275E1">
      <w:pPr>
        <w:ind w:left="720"/>
        <w:rPr>
          <w:rFonts w:ascii="Book Antiqua" w:hAnsi="Book Antiqua"/>
          <w:color w:val="000000"/>
        </w:rPr>
      </w:pPr>
      <w:r w:rsidRPr="00E3232D">
        <w:rPr>
          <w:rFonts w:ascii="Book Antiqua" w:hAnsi="Book Antiqua"/>
          <w:color w:val="000000"/>
        </w:rPr>
        <w:t>Student-teacher interaction on Facebook: what students find appropriate. TechTrends.Vol.55 no. 3 p. 19 – 30.</w:t>
      </w:r>
    </w:p>
    <w:p w14:paraId="5F11ED43" w14:textId="77777777" w:rsidR="0006162A" w:rsidRDefault="0006162A" w:rsidP="008275E1">
      <w:pPr>
        <w:rPr>
          <w:rFonts w:ascii="Book Antiqua" w:hAnsi="Book Antiqua"/>
          <w:b/>
          <w:color w:val="000000"/>
        </w:rPr>
        <w:sectPr w:rsidR="0006162A" w:rsidSect="008F6BC9">
          <w:type w:val="continuous"/>
          <w:pgSz w:w="11907" w:h="16839" w:code="9"/>
          <w:pgMar w:top="1440" w:right="1440" w:bottom="1440" w:left="1440" w:header="720" w:footer="720" w:gutter="0"/>
          <w:cols w:num="2" w:space="720"/>
          <w:titlePg/>
          <w:docGrid w:linePitch="360"/>
        </w:sectPr>
      </w:pPr>
    </w:p>
    <w:p w14:paraId="4DC81B26" w14:textId="77777777" w:rsidR="009D343F" w:rsidRPr="00E3232D" w:rsidRDefault="009D343F" w:rsidP="008275E1">
      <w:pPr>
        <w:rPr>
          <w:rFonts w:ascii="Book Antiqua" w:hAnsi="Book Antiqua"/>
          <w:b/>
          <w:color w:val="000000"/>
        </w:rPr>
      </w:pPr>
    </w:p>
    <w:p w14:paraId="10C66BA8" w14:textId="77777777" w:rsidR="009D343F" w:rsidRPr="00E3232D" w:rsidRDefault="009D343F" w:rsidP="008275E1">
      <w:pPr>
        <w:rPr>
          <w:rFonts w:ascii="Book Antiqua" w:hAnsi="Book Antiqua"/>
          <w:color w:val="000000"/>
        </w:rPr>
      </w:pPr>
    </w:p>
    <w:p w14:paraId="271CC042" w14:textId="77777777" w:rsidR="009D343F" w:rsidRPr="00E3232D" w:rsidRDefault="009D343F" w:rsidP="008275E1">
      <w:pPr>
        <w:rPr>
          <w:rFonts w:ascii="Book Antiqua" w:hAnsi="Book Antiqua"/>
          <w:b/>
          <w:color w:val="000000"/>
        </w:rPr>
      </w:pPr>
    </w:p>
    <w:p w14:paraId="15086E9C" w14:textId="77777777" w:rsidR="00D555FD" w:rsidRPr="00E3232D" w:rsidRDefault="00D555FD" w:rsidP="008275E1">
      <w:pPr>
        <w:autoSpaceDE w:val="0"/>
        <w:autoSpaceDN w:val="0"/>
        <w:adjustRightInd w:val="0"/>
        <w:rPr>
          <w:rFonts w:ascii="Book Antiqua" w:hAnsi="Book Antiqua"/>
          <w:b/>
        </w:rPr>
      </w:pPr>
    </w:p>
    <w:p w14:paraId="7F8806D9" w14:textId="77777777" w:rsidR="00B752AF" w:rsidRPr="00E3232D" w:rsidRDefault="00B752AF" w:rsidP="008275E1">
      <w:pPr>
        <w:autoSpaceDE w:val="0"/>
        <w:autoSpaceDN w:val="0"/>
        <w:adjustRightInd w:val="0"/>
        <w:rPr>
          <w:rFonts w:ascii="Book Antiqua" w:hAnsi="Book Antiqua"/>
          <w:b/>
        </w:rPr>
      </w:pPr>
    </w:p>
    <w:p w14:paraId="207BAB2B" w14:textId="77777777" w:rsidR="00B752AF" w:rsidRPr="00E3232D" w:rsidRDefault="00B752AF" w:rsidP="008275E1">
      <w:pPr>
        <w:autoSpaceDE w:val="0"/>
        <w:autoSpaceDN w:val="0"/>
        <w:adjustRightInd w:val="0"/>
        <w:rPr>
          <w:rFonts w:ascii="Book Antiqua" w:hAnsi="Book Antiqua"/>
          <w:b/>
        </w:rPr>
      </w:pPr>
    </w:p>
    <w:p w14:paraId="43625FAC" w14:textId="77777777" w:rsidR="00B752AF" w:rsidRPr="00E3232D" w:rsidRDefault="00B752AF" w:rsidP="008275E1">
      <w:pPr>
        <w:autoSpaceDE w:val="0"/>
        <w:autoSpaceDN w:val="0"/>
        <w:adjustRightInd w:val="0"/>
        <w:rPr>
          <w:rFonts w:ascii="Book Antiqua" w:hAnsi="Book Antiqua"/>
          <w:b/>
        </w:rPr>
      </w:pPr>
    </w:p>
    <w:p w14:paraId="2FFD152A" w14:textId="77777777" w:rsidR="00B752AF" w:rsidRPr="00E3232D" w:rsidRDefault="00B752AF" w:rsidP="008275E1">
      <w:pPr>
        <w:autoSpaceDE w:val="0"/>
        <w:autoSpaceDN w:val="0"/>
        <w:adjustRightInd w:val="0"/>
        <w:rPr>
          <w:rFonts w:ascii="Book Antiqua" w:hAnsi="Book Antiqua"/>
          <w:b/>
        </w:rPr>
      </w:pPr>
    </w:p>
    <w:p w14:paraId="1B21B145" w14:textId="77777777" w:rsidR="00B752AF" w:rsidRPr="00E3232D" w:rsidRDefault="00B752AF" w:rsidP="008275E1">
      <w:pPr>
        <w:autoSpaceDE w:val="0"/>
        <w:autoSpaceDN w:val="0"/>
        <w:adjustRightInd w:val="0"/>
        <w:rPr>
          <w:rFonts w:ascii="Book Antiqua" w:hAnsi="Book Antiqua"/>
          <w:b/>
        </w:rPr>
      </w:pPr>
    </w:p>
    <w:p w14:paraId="769A62B4" w14:textId="77777777" w:rsidR="00B752AF" w:rsidRPr="00E3232D" w:rsidRDefault="00B752AF" w:rsidP="008275E1">
      <w:pPr>
        <w:autoSpaceDE w:val="0"/>
        <w:autoSpaceDN w:val="0"/>
        <w:adjustRightInd w:val="0"/>
        <w:rPr>
          <w:rFonts w:ascii="Book Antiqua" w:hAnsi="Book Antiqua"/>
          <w:b/>
        </w:rPr>
      </w:pPr>
    </w:p>
    <w:p w14:paraId="1BC98DE7" w14:textId="77777777" w:rsidR="00B752AF" w:rsidRPr="00E3232D" w:rsidRDefault="00B752AF" w:rsidP="008275E1">
      <w:pPr>
        <w:autoSpaceDE w:val="0"/>
        <w:autoSpaceDN w:val="0"/>
        <w:adjustRightInd w:val="0"/>
        <w:rPr>
          <w:rFonts w:ascii="Book Antiqua" w:hAnsi="Book Antiqua"/>
          <w:b/>
        </w:rPr>
      </w:pPr>
    </w:p>
    <w:p w14:paraId="1E5589CC" w14:textId="77777777" w:rsidR="008713EC" w:rsidRDefault="008713EC" w:rsidP="005B5589">
      <w:pPr>
        <w:spacing w:before="100" w:beforeAutospacing="1" w:after="120"/>
        <w:jc w:val="center"/>
        <w:rPr>
          <w:rFonts w:ascii="Book Antiqua" w:hAnsi="Book Antiqua"/>
          <w:b/>
        </w:rPr>
      </w:pPr>
    </w:p>
    <w:p w14:paraId="52941766" w14:textId="77777777" w:rsidR="00B7604D" w:rsidRDefault="00B7604D" w:rsidP="005B5589">
      <w:pPr>
        <w:spacing w:before="100" w:beforeAutospacing="1" w:after="120"/>
        <w:jc w:val="center"/>
        <w:rPr>
          <w:rFonts w:ascii="Book Antiqua" w:hAnsi="Book Antiqua"/>
          <w:b/>
        </w:rPr>
      </w:pPr>
    </w:p>
    <w:p w14:paraId="1652780D" w14:textId="77777777" w:rsidR="00B7604D" w:rsidRDefault="00B7604D" w:rsidP="005B5589">
      <w:pPr>
        <w:spacing w:before="100" w:beforeAutospacing="1" w:after="120"/>
        <w:jc w:val="center"/>
        <w:rPr>
          <w:rFonts w:ascii="Book Antiqua" w:hAnsi="Book Antiqua"/>
          <w:b/>
        </w:rPr>
      </w:pPr>
    </w:p>
    <w:p w14:paraId="74D455F3" w14:textId="77777777" w:rsidR="00B7604D" w:rsidRPr="00E3232D" w:rsidRDefault="00B7604D" w:rsidP="005B5589">
      <w:pPr>
        <w:spacing w:before="100" w:beforeAutospacing="1" w:after="120"/>
        <w:jc w:val="center"/>
        <w:rPr>
          <w:rFonts w:ascii="Book Antiqua" w:hAnsi="Book Antiqua"/>
          <w:b/>
        </w:rPr>
        <w:sectPr w:rsidR="00B7604D" w:rsidRPr="00E3232D" w:rsidSect="008F6BC9">
          <w:type w:val="continuous"/>
          <w:pgSz w:w="11907" w:h="16839" w:code="9"/>
          <w:pgMar w:top="1440" w:right="1440" w:bottom="1440" w:left="1440" w:header="720" w:footer="720" w:gutter="0"/>
          <w:cols w:space="720"/>
          <w:titlePg/>
          <w:docGrid w:linePitch="360"/>
        </w:sectPr>
      </w:pPr>
    </w:p>
    <w:p w14:paraId="10F23335" w14:textId="77777777" w:rsidR="005A4869" w:rsidRDefault="005A4869" w:rsidP="008275E1">
      <w:pPr>
        <w:spacing w:before="100" w:after="120"/>
        <w:jc w:val="center"/>
        <w:rPr>
          <w:rFonts w:ascii="Book Antiqua" w:hAnsi="Book Antiqua"/>
          <w:b/>
          <w:sz w:val="26"/>
          <w:szCs w:val="26"/>
        </w:rPr>
        <w:sectPr w:rsidR="005A4869" w:rsidSect="008F6BC9">
          <w:type w:val="continuous"/>
          <w:pgSz w:w="11907" w:h="16839" w:code="9"/>
          <w:pgMar w:top="1440" w:right="1440" w:bottom="1440" w:left="1440" w:header="720" w:footer="720" w:gutter="0"/>
          <w:cols w:space="720"/>
          <w:titlePg/>
          <w:docGrid w:linePitch="360"/>
        </w:sectPr>
      </w:pPr>
    </w:p>
    <w:p w14:paraId="36A32955" w14:textId="77777777" w:rsidR="00A42A0E" w:rsidRDefault="009F40C7" w:rsidP="008275E1">
      <w:pPr>
        <w:spacing w:before="100" w:after="120"/>
        <w:jc w:val="center"/>
        <w:rPr>
          <w:rFonts w:ascii="Book Antiqua" w:hAnsi="Book Antiqua"/>
          <w:color w:val="000000"/>
        </w:rPr>
      </w:pPr>
      <w:r>
        <w:rPr>
          <w:rFonts w:ascii="Book Antiqua" w:hAnsi="Book Antiqua"/>
          <w:b/>
          <w:sz w:val="26"/>
          <w:szCs w:val="26"/>
        </w:rPr>
        <w:t>Image Denoising in t</w:t>
      </w:r>
      <w:r w:rsidRPr="00A42A0E">
        <w:rPr>
          <w:rFonts w:ascii="Book Antiqua" w:hAnsi="Book Antiqua"/>
          <w:b/>
          <w:sz w:val="26"/>
          <w:szCs w:val="26"/>
        </w:rPr>
        <w:t>he</w:t>
      </w:r>
      <w:r>
        <w:rPr>
          <w:rFonts w:ascii="Book Antiqua" w:hAnsi="Book Antiqua"/>
          <w:b/>
          <w:sz w:val="26"/>
          <w:szCs w:val="26"/>
        </w:rPr>
        <w:t xml:space="preserve"> Wavelet Domain Using a</w:t>
      </w:r>
      <w:r w:rsidRPr="00A42A0E">
        <w:rPr>
          <w:rFonts w:ascii="Book Antiqua" w:hAnsi="Book Antiqua"/>
          <w:b/>
          <w:sz w:val="26"/>
          <w:szCs w:val="26"/>
        </w:rPr>
        <w:t xml:space="preserve"> New Adaptive Thresholding Function</w:t>
      </w:r>
    </w:p>
    <w:p w14:paraId="2C757ABF" w14:textId="77777777" w:rsidR="008713EC" w:rsidRPr="008214F9" w:rsidRDefault="008713EC" w:rsidP="00490079">
      <w:pPr>
        <w:spacing w:after="0"/>
        <w:jc w:val="center"/>
        <w:rPr>
          <w:rFonts w:ascii="Book Antiqua" w:hAnsi="Book Antiqua"/>
          <w:b/>
          <w:color w:val="000000"/>
          <w:sz w:val="26"/>
          <w:vertAlign w:val="superscript"/>
        </w:rPr>
      </w:pPr>
      <w:r w:rsidRPr="008214F9">
        <w:rPr>
          <w:rFonts w:ascii="Book Antiqua" w:hAnsi="Book Antiqua"/>
          <w:b/>
          <w:color w:val="000000"/>
          <w:sz w:val="26"/>
        </w:rPr>
        <w:t>Shankar S</w:t>
      </w:r>
      <w:r w:rsidR="009F40C7" w:rsidRPr="008214F9">
        <w:rPr>
          <w:rFonts w:ascii="Book Antiqua" w:hAnsi="Book Antiqua"/>
          <w:b/>
          <w:color w:val="000000"/>
          <w:sz w:val="26"/>
        </w:rPr>
        <w:t>.</w:t>
      </w:r>
      <w:r w:rsidRPr="008214F9">
        <w:rPr>
          <w:rFonts w:ascii="Book Antiqua" w:hAnsi="Book Antiqua"/>
          <w:b/>
          <w:color w:val="000000"/>
          <w:sz w:val="26"/>
          <w:vertAlign w:val="superscript"/>
        </w:rPr>
        <w:t>1</w:t>
      </w:r>
      <w:r w:rsidRPr="008214F9">
        <w:rPr>
          <w:rFonts w:ascii="Book Antiqua" w:hAnsi="Book Antiqua"/>
          <w:b/>
          <w:color w:val="000000"/>
          <w:sz w:val="26"/>
        </w:rPr>
        <w:t>, Sonukumar M</w:t>
      </w:r>
      <w:r w:rsidR="009F40C7" w:rsidRPr="008214F9">
        <w:rPr>
          <w:rFonts w:ascii="Book Antiqua" w:hAnsi="Book Antiqua"/>
          <w:b/>
          <w:color w:val="000000"/>
          <w:sz w:val="26"/>
        </w:rPr>
        <w:t>.</w:t>
      </w:r>
      <w:r w:rsidRPr="008214F9">
        <w:rPr>
          <w:rFonts w:ascii="Book Antiqua" w:hAnsi="Book Antiqua"/>
          <w:b/>
          <w:color w:val="000000"/>
          <w:sz w:val="26"/>
          <w:vertAlign w:val="superscript"/>
        </w:rPr>
        <w:t>2</w:t>
      </w:r>
      <w:r w:rsidR="009F40C7" w:rsidRPr="008214F9">
        <w:rPr>
          <w:rFonts w:ascii="Book Antiqua" w:hAnsi="Book Antiqua"/>
          <w:b/>
          <w:color w:val="000000"/>
          <w:sz w:val="26"/>
          <w:vertAlign w:val="superscript"/>
        </w:rPr>
        <w:t>,</w:t>
      </w:r>
      <w:r w:rsidR="009F40C7" w:rsidRPr="008214F9">
        <w:rPr>
          <w:rFonts w:ascii="Book Antiqua" w:hAnsi="Book Antiqua"/>
          <w:b/>
          <w:color w:val="000000"/>
          <w:sz w:val="26"/>
        </w:rPr>
        <w:t xml:space="preserve"> Saptarshi</w:t>
      </w:r>
      <w:r w:rsidRPr="008214F9">
        <w:rPr>
          <w:rFonts w:ascii="Book Antiqua" w:hAnsi="Book Antiqua"/>
          <w:b/>
          <w:color w:val="000000"/>
          <w:sz w:val="26"/>
        </w:rPr>
        <w:t xml:space="preserve"> G</w:t>
      </w:r>
      <w:r w:rsidR="009F40C7" w:rsidRPr="008214F9">
        <w:rPr>
          <w:rFonts w:ascii="Book Antiqua" w:hAnsi="Book Antiqua"/>
          <w:b/>
          <w:color w:val="000000"/>
          <w:sz w:val="26"/>
        </w:rPr>
        <w:t>.</w:t>
      </w:r>
      <w:r w:rsidRPr="008214F9">
        <w:rPr>
          <w:rFonts w:ascii="Book Antiqua" w:hAnsi="Book Antiqua"/>
          <w:b/>
          <w:color w:val="000000"/>
          <w:sz w:val="26"/>
          <w:vertAlign w:val="superscript"/>
        </w:rPr>
        <w:t>3</w:t>
      </w:r>
    </w:p>
    <w:p w14:paraId="31F2B533" w14:textId="77777777" w:rsidR="00AE360B" w:rsidRPr="00AE360B" w:rsidRDefault="008713EC" w:rsidP="008214F9">
      <w:pPr>
        <w:spacing w:after="0" w:line="240" w:lineRule="auto"/>
        <w:jc w:val="center"/>
        <w:rPr>
          <w:rFonts w:ascii="Book Antiqua" w:hAnsi="Book Antiqua"/>
        </w:rPr>
      </w:pPr>
      <w:r w:rsidRPr="00AE360B">
        <w:rPr>
          <w:rFonts w:ascii="Book Antiqua" w:hAnsi="Book Antiqua"/>
          <w:vertAlign w:val="superscript"/>
        </w:rPr>
        <w:t xml:space="preserve">1 </w:t>
      </w:r>
      <w:r w:rsidRPr="00AE360B">
        <w:rPr>
          <w:rFonts w:ascii="Book Antiqua" w:hAnsi="Book Antiqua"/>
        </w:rPr>
        <w:t>Department of Biomedical Engineering, University of Ghana;</w:t>
      </w:r>
      <w:r w:rsidR="00AE360B" w:rsidRPr="00AE360B">
        <w:rPr>
          <w:rFonts w:ascii="Book Antiqua" w:hAnsi="Book Antiqua"/>
        </w:rPr>
        <w:t xml:space="preserve"> Accra</w:t>
      </w:r>
    </w:p>
    <w:p w14:paraId="471E27C4" w14:textId="77777777" w:rsidR="00AE360B" w:rsidRPr="00AE360B" w:rsidRDefault="008713EC" w:rsidP="008214F9">
      <w:pPr>
        <w:spacing w:after="0" w:line="240" w:lineRule="auto"/>
        <w:jc w:val="center"/>
        <w:rPr>
          <w:rFonts w:ascii="Book Antiqua" w:hAnsi="Book Antiqua"/>
        </w:rPr>
      </w:pPr>
      <w:r w:rsidRPr="00AE360B">
        <w:rPr>
          <w:rFonts w:ascii="Book Antiqua" w:hAnsi="Book Antiqua"/>
          <w:vertAlign w:val="superscript"/>
        </w:rPr>
        <w:t>2</w:t>
      </w:r>
      <w:r w:rsidRPr="00AE360B">
        <w:rPr>
          <w:rFonts w:ascii="Book Antiqua" w:hAnsi="Book Antiqua"/>
        </w:rPr>
        <w:t>Department of Electronics and Communication Engineering, Buddha Institute of Technology, India</w:t>
      </w:r>
    </w:p>
    <w:p w14:paraId="6AE8538E" w14:textId="77777777" w:rsidR="008713EC" w:rsidRPr="00AE360B" w:rsidRDefault="008713EC" w:rsidP="008214F9">
      <w:pPr>
        <w:spacing w:after="0" w:line="240" w:lineRule="auto"/>
        <w:jc w:val="center"/>
        <w:rPr>
          <w:rFonts w:ascii="Book Antiqua" w:hAnsi="Book Antiqua"/>
          <w:color w:val="000000"/>
          <w:vertAlign w:val="superscript"/>
        </w:rPr>
      </w:pPr>
      <w:r w:rsidRPr="00AE360B">
        <w:rPr>
          <w:rFonts w:ascii="Book Antiqua" w:hAnsi="Book Antiqua"/>
          <w:vertAlign w:val="superscript"/>
        </w:rPr>
        <w:t>3</w:t>
      </w:r>
      <w:r w:rsidRPr="00AE360B">
        <w:rPr>
          <w:rFonts w:ascii="Book Antiqua" w:hAnsi="Book Antiqua"/>
        </w:rPr>
        <w:t>Department of Electronics and Communication Engineering, All Nations University College, Koforidua,</w:t>
      </w:r>
    </w:p>
    <w:p w14:paraId="6DDA681E" w14:textId="77777777" w:rsidR="008713EC" w:rsidRPr="007817EA" w:rsidRDefault="008713EC" w:rsidP="00490079">
      <w:pPr>
        <w:spacing w:before="100" w:beforeAutospacing="1" w:after="0"/>
        <w:rPr>
          <w:rFonts w:ascii="Book Antiqua" w:hAnsi="Book Antiqua"/>
          <w:b/>
        </w:rPr>
      </w:pPr>
      <w:r w:rsidRPr="008214F9">
        <w:rPr>
          <w:rFonts w:ascii="Book Antiqua" w:hAnsi="Book Antiqua"/>
          <w:b/>
          <w:sz w:val="26"/>
        </w:rPr>
        <w:t>Abstract</w:t>
      </w:r>
    </w:p>
    <w:p w14:paraId="6ED938B6" w14:textId="77777777" w:rsidR="007817EA" w:rsidRDefault="007817EA" w:rsidP="008275E1">
      <w:pPr>
        <w:pStyle w:val="NoSpacing"/>
        <w:spacing w:line="276" w:lineRule="auto"/>
        <w:rPr>
          <w:rFonts w:ascii="Book Antiqua" w:hAnsi="Book Antiqua"/>
        </w:rPr>
        <w:sectPr w:rsidR="007817EA" w:rsidSect="008F6BC9">
          <w:type w:val="continuous"/>
          <w:pgSz w:w="11907" w:h="16839" w:code="9"/>
          <w:pgMar w:top="1440" w:right="1440" w:bottom="1440" w:left="1440" w:header="720" w:footer="720" w:gutter="0"/>
          <w:cols w:space="720"/>
          <w:titlePg/>
          <w:docGrid w:linePitch="360"/>
        </w:sectPr>
      </w:pPr>
    </w:p>
    <w:p w14:paraId="1E619B06" w14:textId="77777777" w:rsidR="008713EC" w:rsidRPr="00E3232D" w:rsidRDefault="008713EC" w:rsidP="00B7604D">
      <w:pPr>
        <w:pStyle w:val="NoSpacing"/>
        <w:spacing w:line="276" w:lineRule="auto"/>
        <w:jc w:val="both"/>
        <w:rPr>
          <w:rFonts w:ascii="Book Antiqua" w:hAnsi="Book Antiqua"/>
        </w:rPr>
      </w:pPr>
      <w:r w:rsidRPr="00E3232D">
        <w:rPr>
          <w:rFonts w:ascii="Book Antiqua" w:hAnsi="Book Antiqua"/>
        </w:rPr>
        <w:t>During image processing most of the images are corrupted by different types of noises in channel (wireless and wired in both cases) while transmitting or receiving the desired signal. Therefore at the receiversend there should be some type of filter which can eliminate the existing noises and deliver the actual image with actual size and shape. There areseveral techniques depending upon wavelet theory to denoise a noisy image. Wavelet analysis allows the use of long time intervals where we want more precise low frequency information and shorter region where we want high frequency information. One major advantage offered by wavelet is the ability to perform local analysis, which is to analyze a localized area of a larger signal. Wavelet analysis can often compress or denoise a signal without appreciable degradation. Methodology: In this study, a new thresholding function was used for image denoising in the wavelet domain. The function is further used to improve the efficiency of the denoising procedure. The threshold and thresholding function effects were considered simultaneously. These methods were used to suppress four types of important noises that is Gaussian, Poisson, (salt and pepper), speckle, which ranges from natural images to ultrasound and synthetic aperture radar (SAR) pictures. Results: The simulation results show that the proposed thresholding function has superior features compared to conventional methods when used with the proposed adaptive learning types. Conclusion: This makes it an efficient method in image denoising applications.</w:t>
      </w:r>
    </w:p>
    <w:p w14:paraId="2185073A" w14:textId="77777777" w:rsidR="008713EC" w:rsidRPr="00E3232D" w:rsidRDefault="008713EC" w:rsidP="008275E1">
      <w:pPr>
        <w:pStyle w:val="NoSpacing"/>
        <w:spacing w:line="276" w:lineRule="auto"/>
        <w:rPr>
          <w:rFonts w:ascii="Book Antiqua" w:hAnsi="Book Antiqua"/>
        </w:rPr>
      </w:pPr>
    </w:p>
    <w:p w14:paraId="077311F1" w14:textId="77777777" w:rsidR="005F7EE0" w:rsidRDefault="005F7EE0" w:rsidP="008275E1">
      <w:pPr>
        <w:pStyle w:val="NoSpacing"/>
        <w:spacing w:line="276" w:lineRule="auto"/>
        <w:rPr>
          <w:rFonts w:ascii="Book Antiqua" w:hAnsi="Book Antiqua"/>
          <w:b/>
        </w:rPr>
        <w:sectPr w:rsidR="005F7EE0" w:rsidSect="008F6BC9">
          <w:type w:val="continuous"/>
          <w:pgSz w:w="11907" w:h="16839" w:code="9"/>
          <w:pgMar w:top="1440" w:right="1440" w:bottom="1440" w:left="1440" w:header="720" w:footer="720" w:gutter="0"/>
          <w:cols w:space="720"/>
          <w:titlePg/>
          <w:docGrid w:linePitch="360"/>
        </w:sectPr>
      </w:pPr>
    </w:p>
    <w:p w14:paraId="6484042B" w14:textId="77777777" w:rsidR="005F7EE0" w:rsidRDefault="005F7EE0" w:rsidP="008275E1">
      <w:pPr>
        <w:pStyle w:val="NoSpacing"/>
        <w:spacing w:line="276" w:lineRule="auto"/>
        <w:rPr>
          <w:rFonts w:ascii="Book Antiqua" w:hAnsi="Book Antiqua"/>
          <w:b/>
        </w:rPr>
      </w:pPr>
    </w:p>
    <w:p w14:paraId="37A0D99C" w14:textId="77777777" w:rsidR="008713EC" w:rsidRPr="00E3232D" w:rsidRDefault="008713EC" w:rsidP="008275E1">
      <w:pPr>
        <w:pStyle w:val="NoSpacing"/>
        <w:spacing w:line="276" w:lineRule="auto"/>
        <w:rPr>
          <w:rFonts w:ascii="Book Antiqua" w:hAnsi="Book Antiqua"/>
        </w:rPr>
      </w:pPr>
      <w:r w:rsidRPr="00E3232D">
        <w:rPr>
          <w:rFonts w:ascii="Book Antiqua" w:hAnsi="Book Antiqua"/>
          <w:b/>
        </w:rPr>
        <w:t>Keywords:</w:t>
      </w:r>
      <w:r w:rsidR="00B7604D">
        <w:rPr>
          <w:rFonts w:ascii="Book Antiqua" w:hAnsi="Book Antiqua"/>
        </w:rPr>
        <w:t xml:space="preserve"> Wavelet;</w:t>
      </w:r>
      <w:r w:rsidRPr="00E3232D">
        <w:rPr>
          <w:rFonts w:ascii="Book Antiqua" w:hAnsi="Book Antiqua"/>
        </w:rPr>
        <w:t xml:space="preserve"> Denoise</w:t>
      </w:r>
      <w:r w:rsidR="00B7604D">
        <w:rPr>
          <w:rFonts w:ascii="Book Antiqua" w:hAnsi="Book Antiqua"/>
        </w:rPr>
        <w:t>;</w:t>
      </w:r>
      <w:r w:rsidRPr="00E3232D">
        <w:rPr>
          <w:rFonts w:ascii="Book Antiqua" w:hAnsi="Book Antiqua"/>
        </w:rPr>
        <w:t xml:space="preserve"> Thresholding function</w:t>
      </w:r>
      <w:r w:rsidR="00B7604D">
        <w:rPr>
          <w:rFonts w:ascii="Book Antiqua" w:hAnsi="Book Antiqua"/>
        </w:rPr>
        <w:t>;</w:t>
      </w:r>
      <w:r w:rsidRPr="00E3232D">
        <w:rPr>
          <w:rFonts w:ascii="Book Antiqua" w:hAnsi="Book Antiqua"/>
        </w:rPr>
        <w:t xml:space="preserve"> Gaussian and Poisson.</w:t>
      </w:r>
    </w:p>
    <w:p w14:paraId="30C91668" w14:textId="77777777" w:rsidR="008713EC" w:rsidRPr="00E3232D" w:rsidRDefault="008713EC" w:rsidP="008275E1">
      <w:pPr>
        <w:pStyle w:val="NoSpacing"/>
        <w:spacing w:line="276" w:lineRule="auto"/>
        <w:rPr>
          <w:rFonts w:ascii="Book Antiqua" w:hAnsi="Book Antiqua"/>
          <w:b/>
        </w:rPr>
        <w:sectPr w:rsidR="008713EC" w:rsidRPr="00E3232D" w:rsidSect="008F6BC9">
          <w:type w:val="continuous"/>
          <w:pgSz w:w="11907" w:h="16839" w:code="9"/>
          <w:pgMar w:top="1440" w:right="1440" w:bottom="1440" w:left="1440" w:header="720" w:footer="720" w:gutter="0"/>
          <w:cols w:space="720"/>
          <w:titlePg/>
          <w:docGrid w:linePitch="360"/>
        </w:sectPr>
      </w:pPr>
    </w:p>
    <w:p w14:paraId="2D6D5A5D" w14:textId="77777777" w:rsidR="0006162A" w:rsidRDefault="0006162A" w:rsidP="008275E1">
      <w:pPr>
        <w:pStyle w:val="NoSpacing"/>
        <w:spacing w:line="276" w:lineRule="auto"/>
        <w:rPr>
          <w:rFonts w:ascii="Book Antiqua" w:hAnsi="Book Antiqua"/>
          <w:b/>
        </w:rPr>
        <w:sectPr w:rsidR="0006162A" w:rsidSect="008F6BC9">
          <w:footerReference w:type="default" r:id="rId284"/>
          <w:type w:val="continuous"/>
          <w:pgSz w:w="11907" w:h="16839" w:code="9"/>
          <w:pgMar w:top="1440" w:right="1440" w:bottom="1440" w:left="1440" w:header="720" w:footer="720" w:gutter="0"/>
          <w:cols w:space="720"/>
          <w:docGrid w:linePitch="360"/>
        </w:sectPr>
      </w:pPr>
    </w:p>
    <w:p w14:paraId="57307FAB" w14:textId="77777777" w:rsidR="008713EC" w:rsidRPr="00B7604D" w:rsidRDefault="008713EC" w:rsidP="00B7604D">
      <w:pPr>
        <w:pStyle w:val="NoSpacing"/>
        <w:spacing w:line="276" w:lineRule="auto"/>
        <w:jc w:val="both"/>
        <w:rPr>
          <w:rFonts w:ascii="Book Antiqua" w:hAnsi="Book Antiqua"/>
          <w:b/>
        </w:rPr>
      </w:pPr>
      <w:r w:rsidRPr="00E3232D">
        <w:rPr>
          <w:rFonts w:ascii="Book Antiqua" w:hAnsi="Book Antiqua"/>
          <w:b/>
        </w:rPr>
        <w:t>1.</w:t>
      </w:r>
      <w:r w:rsidR="008214F9">
        <w:rPr>
          <w:rFonts w:ascii="Book Antiqua" w:hAnsi="Book Antiqua"/>
          <w:b/>
        </w:rPr>
        <w:t xml:space="preserve">0 </w:t>
      </w:r>
      <w:r w:rsidRPr="00E3232D">
        <w:rPr>
          <w:rFonts w:ascii="Book Antiqua" w:hAnsi="Book Antiqua"/>
          <w:b/>
        </w:rPr>
        <w:t xml:space="preserve"> </w:t>
      </w:r>
      <w:r w:rsidR="00B7604D" w:rsidRPr="00B7604D">
        <w:rPr>
          <w:rFonts w:ascii="Book Antiqua" w:hAnsi="Book Antiqua"/>
          <w:b/>
          <w:sz w:val="26"/>
        </w:rPr>
        <w:t>Introduction</w:t>
      </w:r>
    </w:p>
    <w:p w14:paraId="7A9EB3CF" w14:textId="77777777" w:rsidR="005F7EE0" w:rsidRDefault="008713EC" w:rsidP="00B7604D">
      <w:pPr>
        <w:jc w:val="both"/>
        <w:rPr>
          <w:rFonts w:ascii="Book Antiqua" w:hAnsi="Book Antiqua"/>
        </w:rPr>
      </w:pPr>
      <w:r w:rsidRPr="00E3232D">
        <w:rPr>
          <w:rFonts w:ascii="Book Antiqua" w:hAnsi="Book Antiqua"/>
        </w:rPr>
        <w:t xml:space="preserve">Previously image denoising was based on statistical filters. Currently, the wavelet transform has become an important tool to </w:t>
      </w:r>
      <w:r w:rsidR="008214F9" w:rsidRPr="00E3232D">
        <w:rPr>
          <w:rFonts w:ascii="Book Antiqua" w:hAnsi="Book Antiqua"/>
        </w:rPr>
        <w:t>suppress the noise due to its effectiveness</w:t>
      </w:r>
      <w:r w:rsidR="008214F9" w:rsidRPr="008214F9">
        <w:rPr>
          <w:rFonts w:ascii="Book Antiqua" w:hAnsi="Book Antiqua"/>
        </w:rPr>
        <w:t xml:space="preserve"> </w:t>
      </w:r>
      <w:r w:rsidR="008214F9" w:rsidRPr="00E3232D">
        <w:rPr>
          <w:rFonts w:ascii="Book Antiqua" w:hAnsi="Book Antiqua"/>
        </w:rPr>
        <w:t>and ability to produce better results.</w:t>
      </w:r>
      <w:r w:rsidR="008214F9" w:rsidRPr="008214F9">
        <w:rPr>
          <w:rFonts w:ascii="Book Antiqua" w:hAnsi="Book Antiqua"/>
        </w:rPr>
        <w:t xml:space="preserve"> </w:t>
      </w:r>
      <w:r w:rsidR="008214F9" w:rsidRPr="00E3232D">
        <w:rPr>
          <w:rFonts w:ascii="Book Antiqua" w:hAnsi="Book Antiqua"/>
        </w:rPr>
        <w:t>The wavelet transform has primary</w:t>
      </w:r>
      <w:r w:rsidR="008214F9" w:rsidRPr="008214F9">
        <w:rPr>
          <w:rFonts w:ascii="Book Antiqua" w:hAnsi="Book Antiqua"/>
        </w:rPr>
        <w:t xml:space="preserve"> </w:t>
      </w:r>
      <w:r w:rsidR="008214F9" w:rsidRPr="00E3232D">
        <w:rPr>
          <w:rFonts w:ascii="Book Antiqua" w:hAnsi="Book Antiqua"/>
        </w:rPr>
        <w:t>properties such as compression</w:t>
      </w:r>
    </w:p>
    <w:p w14:paraId="35651398" w14:textId="77777777" w:rsidR="008713EC" w:rsidRPr="00E3232D" w:rsidRDefault="008713EC" w:rsidP="00B7604D">
      <w:pPr>
        <w:jc w:val="both"/>
        <w:rPr>
          <w:rFonts w:ascii="Book Antiqua" w:hAnsi="Book Antiqua"/>
        </w:rPr>
      </w:pPr>
      <w:r w:rsidRPr="00E3232D">
        <w:rPr>
          <w:rFonts w:ascii="Book Antiqua" w:hAnsi="Book Antiqua"/>
        </w:rPr>
        <w:t>or sparsity, which means that wavelet; transforms of real-world signals tend to be sparse. They have a few large coefficients that contain the main energy of the signal and other small coefficients, which can be ignored. Moreover, the energy of the noise is spread among all the coefficients in the wavelet domain. Due to the fact that the wavelet transform of a noisy signal is a linear combination of the wavelet transform of the noise and the original signal, the noise power can be suppressed significantly with a suitable threshold while the main signal features can be preserved (1).</w:t>
      </w:r>
    </w:p>
    <w:p w14:paraId="01AD90C1" w14:textId="77777777" w:rsidR="008713EC" w:rsidRPr="00E3232D" w:rsidRDefault="007817EA" w:rsidP="00B7604D">
      <w:pPr>
        <w:jc w:val="both"/>
        <w:rPr>
          <w:rFonts w:ascii="Book Antiqua" w:hAnsi="Book Antiqua"/>
        </w:rPr>
      </w:pPr>
      <w:r>
        <w:rPr>
          <w:rFonts w:ascii="Book Antiqua" w:hAnsi="Book Antiqua"/>
        </w:rPr>
        <w:t xml:space="preserve">During </w:t>
      </w:r>
      <w:r w:rsidR="008713EC" w:rsidRPr="00E3232D">
        <w:rPr>
          <w:rFonts w:ascii="Book Antiqua" w:hAnsi="Book Antiqua"/>
        </w:rPr>
        <w:t>the noise reduction process known as wavelet shrinkage, the wavelet coefficients of a noisy image are divided into important and non-important coefficients and each of these groups are modified by certain rules. The functionality of the shrinkage process is due to the threshold value and the thresholding rule. Hard and soft thresholding functions are the basic ones introduced by (Donohoet al.</w:t>
      </w:r>
      <w:r w:rsidRPr="00E3232D">
        <w:rPr>
          <w:rFonts w:ascii="Book Antiqua" w:hAnsi="Book Antiqua"/>
        </w:rPr>
        <w:t>, 1995</w:t>
      </w:r>
      <w:r w:rsidR="008713EC" w:rsidRPr="00E3232D">
        <w:rPr>
          <w:rFonts w:ascii="Book Antiqua" w:hAnsi="Book Antiqua"/>
        </w:rPr>
        <w:t>) one to get her with garrote, and semisoft thresholding functions that are more powerful, are used in noise suppression applications. In these methods,</w:t>
      </w:r>
      <w:r>
        <w:rPr>
          <w:rFonts w:ascii="Book Antiqua" w:hAnsi="Book Antiqua"/>
        </w:rPr>
        <w:t xml:space="preserve"> </w:t>
      </w:r>
      <w:r w:rsidR="008713EC" w:rsidRPr="00E3232D">
        <w:rPr>
          <w:rFonts w:ascii="Book Antiqua" w:hAnsi="Book Antiqua"/>
        </w:rPr>
        <w:t>the non- important coefficients are set to zero. In hard thresholding,the important coefficients remain unchanged. In soft thresholding, the important coefficients are reduced by the absolute threshold value (1).</w:t>
      </w:r>
    </w:p>
    <w:p w14:paraId="7A96EA1E" w14:textId="77777777" w:rsidR="008713EC" w:rsidRPr="00E3232D" w:rsidRDefault="008713EC" w:rsidP="00B7604D">
      <w:pPr>
        <w:jc w:val="both"/>
        <w:rPr>
          <w:rFonts w:ascii="Book Antiqua" w:hAnsi="Book Antiqua"/>
        </w:rPr>
      </w:pPr>
      <w:r w:rsidRPr="00E3232D">
        <w:rPr>
          <w:rFonts w:ascii="Book Antiqua" w:hAnsi="Book Antiqua"/>
        </w:rPr>
        <w:t>The existing methods do not determine the thresholding value and the thresholding function simultaneously.None of the existing methods treat about four of the speckle noise, Gaussian noise, and the salt &amp;pepper noise effectively.Many of the existing methods need to consider some priori assumptions about the statistical distribution of sub-bands of noise-free wavelet coefficients. Therefore, presenting a method to suppress the noise regardless of soft-distribution and modeling of the distribution of the image wavelet coefficients will be very valuable (1).</w:t>
      </w:r>
    </w:p>
    <w:p w14:paraId="0AA06EF9" w14:textId="77777777" w:rsidR="00200D58" w:rsidRDefault="008713EC" w:rsidP="00B7604D">
      <w:pPr>
        <w:jc w:val="both"/>
        <w:rPr>
          <w:rFonts w:ascii="Book Antiqua" w:hAnsi="Book Antiqua"/>
        </w:rPr>
      </w:pPr>
      <w:r w:rsidRPr="00E3232D">
        <w:rPr>
          <w:rFonts w:ascii="Book Antiqua" w:hAnsi="Book Antiqua"/>
        </w:rPr>
        <w:t>In this view, a new nonlinear thresholding function is proposed for image denoising in the wavelet domain. This function has some advantages over classical methods and produces better results in speckle, poisson, salt &amp; pepper and Gaussian noise reduction. To improve the capability of the function, three shape tuning factors have been added which lead to a comprehensive-</w:t>
      </w:r>
    </w:p>
    <w:p w14:paraId="47CE0A6B" w14:textId="77777777" w:rsidR="008713EC" w:rsidRPr="00E3232D" w:rsidRDefault="008713EC" w:rsidP="00B7604D">
      <w:pPr>
        <w:jc w:val="both"/>
        <w:rPr>
          <w:rFonts w:ascii="Book Antiqua" w:hAnsi="Book Antiqua"/>
        </w:rPr>
      </w:pPr>
      <w:r w:rsidRPr="00E3232D">
        <w:rPr>
          <w:rFonts w:ascii="Book Antiqua" w:hAnsi="Book Antiqua"/>
        </w:rPr>
        <w:t>thresholding function that can be adjusted to any desired thresholding function. This function is used in an adaptive manner in a method that inspired form Zhang’s Thresholding Neural Network (TNN). A new method of adaptive learning is also proposed for TNN-based image denoising. In this method, the shape tuning parameters of the thresholdingfunction are tuned through an LMS-based learning algorithm similar to the threshold value. Using this method, the effect of two important factors (threshold value and proper thresholding function) is considered in denoising simultaneously (2).</w:t>
      </w:r>
    </w:p>
    <w:p w14:paraId="46727B0B" w14:textId="77777777" w:rsidR="008713EC" w:rsidRPr="00E3232D" w:rsidRDefault="008713EC" w:rsidP="00B7604D">
      <w:pPr>
        <w:jc w:val="both"/>
        <w:rPr>
          <w:rFonts w:ascii="Book Antiqua" w:hAnsi="Book Antiqua"/>
        </w:rPr>
      </w:pPr>
      <w:r w:rsidRPr="00E3232D">
        <w:rPr>
          <w:rFonts w:ascii="Book Antiqua" w:hAnsi="Book Antiqua"/>
        </w:rPr>
        <w:t>The noisy image is decomposed in the wavelet domain,by selecting a proper threshold value detailed coefficients are modified based on a thresholding function. Finally, by applying inverse wavelet transform on modified coefficients, the reconstructed image is obtained. In Visu Shrink method, the universal threshold is calculated based on noise statistics and it is calculated as</w:t>
      </w:r>
    </w:p>
    <w:p w14:paraId="30E73C79" w14:textId="77777777" w:rsidR="00200D58" w:rsidRDefault="008713EC" w:rsidP="00B7604D">
      <w:pPr>
        <w:jc w:val="both"/>
        <w:rPr>
          <w:rFonts w:ascii="Book Antiqua" w:hAnsi="Book Antiqua"/>
        </w:rPr>
      </w:pPr>
      <w:r w:rsidRPr="00E3232D">
        <w:rPr>
          <w:rFonts w:ascii="Book Antiqua" w:hAnsi="Book Antiqua"/>
        </w:rPr>
        <w:t>thr</w:t>
      </w:r>
      <w:r w:rsidRPr="00E3232D">
        <w:rPr>
          <w:rFonts w:ascii="Book Antiqua" w:hAnsi="Book Antiqua"/>
          <w:vertAlign w:val="subscript"/>
        </w:rPr>
        <w:t>universal</w:t>
      </w:r>
      <w:r w:rsidRPr="00E3232D">
        <w:rPr>
          <w:rFonts w:ascii="Book Antiqua" w:hAnsi="Book Antiqua"/>
        </w:rPr>
        <w:t>=σ√2ln(n)          (1)</w:t>
      </w:r>
    </w:p>
    <w:p w14:paraId="3207C1E1" w14:textId="77777777" w:rsidR="00200D58" w:rsidRDefault="008713EC" w:rsidP="00B7604D">
      <w:pPr>
        <w:jc w:val="both"/>
        <w:rPr>
          <w:rFonts w:ascii="Book Antiqua" w:hAnsi="Book Antiqua"/>
        </w:rPr>
      </w:pPr>
      <w:r w:rsidRPr="00E3232D">
        <w:rPr>
          <w:rFonts w:ascii="Book Antiqua" w:hAnsi="Book Antiqua"/>
        </w:rPr>
        <w:t xml:space="preserve">Due to multiplicative nature of speckle noise, it must be first converted to an additive noise source by applying the logarithmic operator. Then, the thresholding step is applied similar to the Gaussian one. Finally, the exponential operator gives the final reconstructed image. </w:t>
      </w:r>
    </w:p>
    <w:p w14:paraId="6EA598FF" w14:textId="77777777" w:rsidR="008713EC" w:rsidRPr="00E3232D" w:rsidRDefault="008713EC" w:rsidP="00B7604D">
      <w:pPr>
        <w:jc w:val="both"/>
        <w:rPr>
          <w:rFonts w:ascii="Book Antiqua" w:hAnsi="Book Antiqua"/>
        </w:rPr>
      </w:pPr>
      <w:r w:rsidRPr="00E3232D">
        <w:rPr>
          <w:rFonts w:ascii="Book Antiqua" w:hAnsi="Book Antiqua"/>
        </w:rPr>
        <w:t>The main difference between this function and other thresholding functions is in the non-important coefficients. Classic functions set the coefficients below the threshold value to zero,but in our proposed method these coefficients are tuned by a polynomial function. These tuning increases the capability of the function since it can attenuate the coefficients that are below the threshold value and close to it to a value less than the far coefficients. Moreover, for important coefficients, the function is garrote-like, hence it leads to a more powerful function (2).</w:t>
      </w:r>
    </w:p>
    <w:p w14:paraId="61EB5AAE" w14:textId="77777777" w:rsidR="008713EC" w:rsidRPr="00E3232D" w:rsidRDefault="008713EC" w:rsidP="00B7604D">
      <w:pPr>
        <w:jc w:val="both"/>
        <w:rPr>
          <w:rFonts w:ascii="Book Antiqua" w:hAnsi="Book Antiqua"/>
          <w:b/>
          <w:bCs/>
        </w:rPr>
      </w:pPr>
      <w:r w:rsidRPr="00E3232D">
        <w:rPr>
          <w:rFonts w:ascii="Book Antiqua" w:hAnsi="Book Antiqua"/>
          <w:b/>
          <w:bCs/>
        </w:rPr>
        <w:t>1.1Wavelet</w:t>
      </w:r>
    </w:p>
    <w:p w14:paraId="1D02C2B8" w14:textId="77777777" w:rsidR="008713EC" w:rsidRPr="00E3232D" w:rsidRDefault="008713EC" w:rsidP="00B7604D">
      <w:pPr>
        <w:jc w:val="both"/>
        <w:rPr>
          <w:rFonts w:ascii="Book Antiqua" w:hAnsi="Book Antiqua"/>
        </w:rPr>
      </w:pPr>
      <w:r w:rsidRPr="00E3232D">
        <w:rPr>
          <w:rFonts w:ascii="Book Antiqua" w:hAnsi="Book Antiqua"/>
        </w:rPr>
        <w:t>Wavelets are mathematical functions that cut up data into different frequency components, and then study each component with a resolution matched to its scale. They have advantages over traditional Fourier methods in analyzing physical situations where the signal contains discontinuities and sharp spikes.It can typically be visualized as a "brief oscillation" like one might see recorded by a seismograph or heart monitor. Wavelets can be combined using a technique called convolution to extract information from the unknown signal (2).</w:t>
      </w:r>
    </w:p>
    <w:p w14:paraId="0DF4C9D7" w14:textId="77777777" w:rsidR="00200D58" w:rsidRDefault="00200D58" w:rsidP="00B7604D">
      <w:pPr>
        <w:jc w:val="both"/>
        <w:rPr>
          <w:rFonts w:ascii="Book Antiqua" w:hAnsi="Book Antiqua"/>
        </w:rPr>
      </w:pPr>
    </w:p>
    <w:p w14:paraId="02EFEB0A" w14:textId="77777777" w:rsidR="008713EC" w:rsidRPr="00E3232D" w:rsidRDefault="008713EC" w:rsidP="00B7604D">
      <w:pPr>
        <w:jc w:val="both"/>
        <w:rPr>
          <w:rFonts w:ascii="Book Antiqua" w:hAnsi="Book Antiqua"/>
        </w:rPr>
      </w:pPr>
      <w:r w:rsidRPr="00E3232D">
        <w:rPr>
          <w:rFonts w:ascii="Book Antiqua" w:hAnsi="Book Antiqua"/>
        </w:rPr>
        <w:t>Recent works on image denoising using wavelet transforms have shown that wavelet is an efficient tool for noise removal of noisy images. Since wavelet transform divides an image domain into the low and high frequency domains by its filters, it is natural that some noise which is closely related to the high frequency domain can be removed by  (Replaced)  small coefficients in the high frequency part. Wavelet coefficients are not strongly correlated, but they still have dependency on each other.</w:t>
      </w:r>
    </w:p>
    <w:p w14:paraId="49189F5F" w14:textId="77777777" w:rsidR="008713EC" w:rsidRPr="00E3232D" w:rsidRDefault="008713EC" w:rsidP="00B7604D">
      <w:pPr>
        <w:jc w:val="both"/>
        <w:rPr>
          <w:rFonts w:ascii="Book Antiqua" w:hAnsi="Book Antiqua"/>
        </w:rPr>
      </w:pPr>
      <w:r w:rsidRPr="00E3232D">
        <w:rPr>
          <w:rFonts w:ascii="Book Antiqua" w:hAnsi="Book Antiqua"/>
          <w:bCs/>
        </w:rPr>
        <w:t>A novel speckle suppression method for medical ultrasound images is presented (6). The logarithmic transform of the original image is analyzed into the multi-scale wavelet domain.  (</w:t>
      </w:r>
      <w:r w:rsidRPr="00E3232D">
        <w:rPr>
          <w:rFonts w:ascii="Book Antiqua" w:hAnsi="Book Antiqua"/>
        </w:rPr>
        <w:t>A.Raheja et al.,2005)</w:t>
      </w:r>
      <w:r w:rsidRPr="00E3232D">
        <w:rPr>
          <w:rFonts w:ascii="Book Antiqua" w:hAnsi="Book Antiqua"/>
          <w:bCs/>
        </w:rPr>
        <w:t xml:space="preserve"> showed that the subband decompositions of ultrasound image have significantly non-Gaussian statistics that are best described by families of heavy-tailed distributions such as the alpha-stable. </w:t>
      </w:r>
      <w:r w:rsidRPr="00E3232D">
        <w:rPr>
          <w:rFonts w:ascii="Book Antiqua" w:hAnsi="Book Antiqua"/>
        </w:rPr>
        <w:t>Recently, there has been considerably interest in using the wavelet transform as a powerful tool for recovering signals from noisy data. The main reason for the choice of multi-scale bases of decompositions is that the statistics of many natural signals, when decomposed in such bases, are significantly simplified. More specifically, methods based on multi-scale decompositions consist of three main steps: First, the raw data are analyzed by means of the wavelet transform, then the empirical wavelet coefficients are shrunk, and finally, the denoised signal is synthesized from the processed wavelet coefficients through the inverse wavelet transform (6).</w:t>
      </w:r>
    </w:p>
    <w:p w14:paraId="50A6D6F4" w14:textId="77777777" w:rsidR="008713EC" w:rsidRPr="00B7604D" w:rsidRDefault="00B7604D" w:rsidP="00B7604D">
      <w:pPr>
        <w:pStyle w:val="Authors"/>
        <w:jc w:val="both"/>
        <w:rPr>
          <w:rFonts w:ascii="Book Antiqua" w:hAnsi="Book Antiqua"/>
          <w:sz w:val="40"/>
          <w:szCs w:val="26"/>
          <w:vertAlign w:val="subscript"/>
        </w:rPr>
      </w:pPr>
      <w:r w:rsidRPr="00B7604D">
        <w:rPr>
          <w:rFonts w:ascii="Book Antiqua" w:hAnsi="Book Antiqua"/>
          <w:sz w:val="40"/>
          <w:szCs w:val="26"/>
          <w:vertAlign w:val="subscript"/>
        </w:rPr>
        <w:t>2.</w:t>
      </w:r>
      <w:r w:rsidR="008214F9">
        <w:rPr>
          <w:rFonts w:ascii="Book Antiqua" w:hAnsi="Book Antiqua"/>
          <w:sz w:val="40"/>
          <w:szCs w:val="26"/>
          <w:vertAlign w:val="subscript"/>
        </w:rPr>
        <w:t>0</w:t>
      </w:r>
      <w:r w:rsidRPr="00B7604D">
        <w:rPr>
          <w:rFonts w:ascii="Book Antiqua" w:hAnsi="Book Antiqua"/>
          <w:sz w:val="40"/>
          <w:szCs w:val="26"/>
          <w:vertAlign w:val="subscript"/>
        </w:rPr>
        <w:t xml:space="preserve"> </w:t>
      </w:r>
      <w:r w:rsidRPr="00B7604D">
        <w:rPr>
          <w:rFonts w:ascii="Book Antiqua" w:hAnsi="Book Antiqua"/>
          <w:sz w:val="38"/>
          <w:szCs w:val="26"/>
          <w:vertAlign w:val="subscript"/>
        </w:rPr>
        <w:t>Methodolgy</w:t>
      </w:r>
    </w:p>
    <w:p w14:paraId="2B913E83" w14:textId="77777777" w:rsidR="008713EC" w:rsidRPr="00E3232D" w:rsidRDefault="008713EC" w:rsidP="00B7604D">
      <w:pPr>
        <w:jc w:val="both"/>
        <w:rPr>
          <w:rFonts w:ascii="Book Antiqua" w:hAnsi="Book Antiqua"/>
        </w:rPr>
      </w:pPr>
      <w:r w:rsidRPr="00E3232D">
        <w:rPr>
          <w:rFonts w:ascii="Book Antiqua" w:hAnsi="Book Antiqua"/>
        </w:rPr>
        <w:t xml:space="preserve">Image file has to be selected then apply noise in successive way one by one. In next step there will be filter so each noisy image has to pass from that filter. If the output is appreciable then measure PSNR value and if it is not so then go to next step and find out the value of threshold and then apply wavelet decomposition for inverse transformation then take inverse transformation for original image. </w:t>
      </w:r>
    </w:p>
    <w:p w14:paraId="7E17E255" w14:textId="77777777" w:rsidR="008713EC" w:rsidRPr="00E3232D" w:rsidRDefault="007005B1" w:rsidP="008275E1">
      <w:pPr>
        <w:rPr>
          <w:rFonts w:ascii="Book Antiqua" w:hAnsi="Book Antiqua"/>
        </w:rPr>
      </w:pPr>
      <w:r>
        <w:rPr>
          <w:rFonts w:ascii="Book Antiqua" w:hAnsi="Book Antiqua"/>
          <w:noProof/>
          <w:lang w:bidi="ar-SA"/>
        </w:rPr>
        <w:drawing>
          <wp:inline distT="0" distB="0" distL="0" distR="0" wp14:anchorId="24AAD1B2" wp14:editId="483B5981">
            <wp:extent cx="2771775" cy="1190625"/>
            <wp:effectExtent l="19050" t="0" r="9525" b="0"/>
            <wp:docPr id="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srcRect/>
                    <a:stretch>
                      <a:fillRect/>
                    </a:stretch>
                  </pic:blipFill>
                  <pic:spPr bwMode="auto">
                    <a:xfrm>
                      <a:off x="0" y="0"/>
                      <a:ext cx="2771775" cy="1190625"/>
                    </a:xfrm>
                    <a:prstGeom prst="rect">
                      <a:avLst/>
                    </a:prstGeom>
                    <a:noFill/>
                    <a:ln w="9525">
                      <a:noFill/>
                      <a:miter lim="800000"/>
                      <a:headEnd/>
                      <a:tailEnd/>
                    </a:ln>
                  </pic:spPr>
                </pic:pic>
              </a:graphicData>
            </a:graphic>
          </wp:inline>
        </w:drawing>
      </w:r>
    </w:p>
    <w:p w14:paraId="7552C04D" w14:textId="77777777" w:rsidR="008713EC" w:rsidRPr="008214F9" w:rsidRDefault="008713EC" w:rsidP="008275E1">
      <w:pPr>
        <w:rPr>
          <w:rFonts w:ascii="Book Antiqua" w:hAnsi="Book Antiqua"/>
        </w:rPr>
      </w:pPr>
      <w:r w:rsidRPr="00E3232D">
        <w:rPr>
          <w:rFonts w:ascii="Book Antiqua" w:hAnsi="Book Antiqua"/>
        </w:rPr>
        <w:t xml:space="preserve">figure 1 The flow model of the image de-noising. </w:t>
      </w:r>
    </w:p>
    <w:p w14:paraId="02A839B2" w14:textId="77777777" w:rsidR="008713EC" w:rsidRPr="00E3232D" w:rsidRDefault="008713EC" w:rsidP="008214F9">
      <w:pPr>
        <w:jc w:val="both"/>
        <w:rPr>
          <w:rFonts w:ascii="Book Antiqua" w:hAnsi="Book Antiqua"/>
        </w:rPr>
      </w:pPr>
      <w:r w:rsidRPr="00E3232D">
        <w:rPr>
          <w:rFonts w:ascii="Book Antiqua" w:hAnsi="Book Antiqua"/>
        </w:rPr>
        <w:t>Denoising problem can be considered as estimation of the original image from the noisy one. Therefore, by modeling the subbands of noise-free wavelet coefficients with different statistical distributions, such as generalized Gaussian, Gaussian scale mixture, Mixture of Laplacians, and alpha-stable, different methods (based on various estimators such as Bayesian technique) are introduced. Dependency of these methods on a specific noise type and distribution decrease their flexibility to process real world images (2).</w:t>
      </w:r>
    </w:p>
    <w:p w14:paraId="0ABA0E8D" w14:textId="77777777" w:rsidR="008713EC" w:rsidRPr="00E3232D" w:rsidRDefault="008713EC" w:rsidP="008275E1">
      <w:pPr>
        <w:rPr>
          <w:rFonts w:ascii="Book Antiqua" w:hAnsi="Book Antiqua"/>
          <w:b/>
        </w:rPr>
      </w:pPr>
      <w:r w:rsidRPr="00E3232D">
        <w:rPr>
          <w:rFonts w:ascii="Book Antiqua" w:hAnsi="Book Antiqua"/>
          <w:b/>
        </w:rPr>
        <w:t>2.2New nonlinear thresholding function</w:t>
      </w:r>
    </w:p>
    <w:p w14:paraId="1ECCE323" w14:textId="77777777" w:rsidR="008713EC" w:rsidRPr="00E3232D" w:rsidRDefault="008713EC" w:rsidP="008214F9">
      <w:pPr>
        <w:jc w:val="both"/>
        <w:rPr>
          <w:rFonts w:ascii="Book Antiqua" w:hAnsi="Book Antiqua"/>
          <w:bCs/>
        </w:rPr>
      </w:pPr>
      <w:r w:rsidRPr="00E3232D">
        <w:rPr>
          <w:rFonts w:ascii="Book Antiqua" w:hAnsi="Book Antiqua"/>
          <w:bCs/>
        </w:rPr>
        <w:t>The main difference between this function and other thresholding functions is in the non-important coefficients. Classic functions set the coefficients below the threshold value to zero, but in their proposed method these coefficients are tuned by a polynomial function. This tuning increases the capability of the function since they can attenuate the coefficients that are below the threshold value and close to it to a value less than the far coefficients. Moreover,for important coefficients, the function is garrote-like, hence it leads to a more powerful function.</w:t>
      </w:r>
    </w:p>
    <w:p w14:paraId="35326AC1" w14:textId="77777777" w:rsidR="008713EC" w:rsidRPr="00E3232D" w:rsidRDefault="008713EC" w:rsidP="00470677">
      <w:pPr>
        <w:jc w:val="both"/>
        <w:rPr>
          <w:rFonts w:ascii="Book Antiqua" w:hAnsi="Book Antiqua"/>
        </w:rPr>
      </w:pPr>
      <w:r w:rsidRPr="00E3232D">
        <w:rPr>
          <w:rFonts w:ascii="Microsoft Sans Serif" w:hAnsi="Microsoft Sans Serif" w:cs="Microsoft Sans Serif"/>
        </w:rPr>
        <w:t>Ƞ</w:t>
      </w:r>
      <w:r w:rsidRPr="00E3232D">
        <w:rPr>
          <w:rFonts w:ascii="Book Antiqua" w:hAnsi="Book Antiqua"/>
        </w:rPr>
        <w:t xml:space="preserve"> (x,thr) = x-0.5 thr</w:t>
      </w:r>
      <w:r w:rsidRPr="00E3232D">
        <w:rPr>
          <w:rFonts w:ascii="Book Antiqua" w:hAnsi="Book Antiqua"/>
          <w:vertAlign w:val="superscript"/>
        </w:rPr>
        <w:t>2</w:t>
      </w:r>
      <w:r w:rsidRPr="00E3232D">
        <w:rPr>
          <w:rFonts w:ascii="Book Antiqua" w:hAnsi="Book Antiqua"/>
        </w:rPr>
        <w:t>/x,       |x| &gt;thr</w:t>
      </w:r>
    </w:p>
    <w:p w14:paraId="6A364FC8" w14:textId="77777777" w:rsidR="008713EC" w:rsidRPr="00E3232D" w:rsidRDefault="008713EC" w:rsidP="00470677">
      <w:pPr>
        <w:jc w:val="both"/>
        <w:rPr>
          <w:rFonts w:ascii="Book Antiqua" w:hAnsi="Book Antiqua"/>
        </w:rPr>
      </w:pPr>
      <w:r w:rsidRPr="00E3232D">
        <w:rPr>
          <w:rFonts w:ascii="Book Antiqua" w:hAnsi="Book Antiqua"/>
        </w:rPr>
        <w:t>0.5 x</w:t>
      </w:r>
      <w:r w:rsidRPr="00E3232D">
        <w:rPr>
          <w:rFonts w:ascii="Book Antiqua" w:hAnsi="Book Antiqua"/>
          <w:vertAlign w:val="superscript"/>
        </w:rPr>
        <w:t>3</w:t>
      </w:r>
      <w:r w:rsidRPr="00E3232D">
        <w:rPr>
          <w:rFonts w:ascii="Book Antiqua" w:hAnsi="Book Antiqua"/>
        </w:rPr>
        <w:t>/thr</w:t>
      </w:r>
      <w:r w:rsidRPr="00E3232D">
        <w:rPr>
          <w:rFonts w:ascii="Book Antiqua" w:hAnsi="Book Antiqua"/>
          <w:vertAlign w:val="superscript"/>
        </w:rPr>
        <w:t>2</w:t>
      </w:r>
      <w:r w:rsidRPr="00E3232D">
        <w:rPr>
          <w:rFonts w:ascii="Book Antiqua" w:hAnsi="Book Antiqua"/>
        </w:rPr>
        <w:t>.   |x| ≤ thr</w:t>
      </w:r>
      <w:r w:rsidRPr="00E3232D">
        <w:rPr>
          <w:rFonts w:ascii="Book Antiqua" w:hAnsi="Book Antiqua"/>
        </w:rPr>
        <w:tab/>
        <w:t>(2.2)</w:t>
      </w:r>
    </w:p>
    <w:p w14:paraId="409F8FCC" w14:textId="77777777" w:rsidR="008713EC" w:rsidRPr="00E3232D" w:rsidRDefault="008713EC" w:rsidP="00470677">
      <w:pPr>
        <w:jc w:val="both"/>
        <w:rPr>
          <w:rFonts w:ascii="Book Antiqua" w:hAnsi="Book Antiqua" w:cs="Book Antiqua"/>
        </w:rPr>
      </w:pPr>
      <w:r w:rsidRPr="00E3232D">
        <w:rPr>
          <w:rFonts w:ascii="Book Antiqua" w:hAnsi="Book Antiqua"/>
        </w:rPr>
        <w:t xml:space="preserve">Where, </w:t>
      </w:r>
      <w:r w:rsidRPr="00E3232D">
        <w:rPr>
          <w:rFonts w:ascii="Microsoft Sans Serif" w:hAnsi="Microsoft Sans Serif" w:cs="Microsoft Sans Serif"/>
        </w:rPr>
        <w:t>Ƞ</w:t>
      </w:r>
      <w:r w:rsidRPr="00E3232D">
        <w:rPr>
          <w:rFonts w:ascii="Book Antiqua" w:hAnsi="Book Antiqua" w:cs="Book Antiqua"/>
        </w:rPr>
        <w:t xml:space="preserve"> = thresholding function</w:t>
      </w:r>
    </w:p>
    <w:p w14:paraId="445C6910" w14:textId="77777777" w:rsidR="008713EC" w:rsidRPr="00E3232D" w:rsidRDefault="008713EC" w:rsidP="00470677">
      <w:pPr>
        <w:jc w:val="both"/>
        <w:rPr>
          <w:rFonts w:ascii="Book Antiqua" w:hAnsi="Book Antiqua"/>
        </w:rPr>
      </w:pPr>
      <w:r w:rsidRPr="00E3232D">
        <w:rPr>
          <w:rFonts w:ascii="Book Antiqua" w:hAnsi="Book Antiqua"/>
        </w:rPr>
        <w:t>x = noise image in the wavelet domain.</w:t>
      </w:r>
    </w:p>
    <w:p w14:paraId="2837707E" w14:textId="77777777" w:rsidR="008713EC" w:rsidRPr="00E3232D" w:rsidRDefault="008713EC" w:rsidP="00470677">
      <w:pPr>
        <w:jc w:val="both"/>
        <w:rPr>
          <w:rFonts w:ascii="Book Antiqua" w:hAnsi="Book Antiqua"/>
        </w:rPr>
      </w:pPr>
    </w:p>
    <w:p w14:paraId="71E357E7" w14:textId="77777777" w:rsidR="008713EC" w:rsidRPr="00E3232D" w:rsidRDefault="008713EC" w:rsidP="00470677">
      <w:pPr>
        <w:jc w:val="both"/>
        <w:rPr>
          <w:rFonts w:ascii="Book Antiqua" w:hAnsi="Book Antiqua"/>
          <w:lang w:bidi="he-IL"/>
        </w:rPr>
      </w:pPr>
      <w:r w:rsidRPr="00E3232D">
        <w:rPr>
          <w:rFonts w:ascii="Book Antiqua" w:hAnsi="Book Antiqua"/>
        </w:rPr>
        <w:t>J</w:t>
      </w:r>
      <w:r w:rsidRPr="00E3232D">
        <w:rPr>
          <w:rFonts w:ascii="Book Antiqua" w:hAnsi="Book Antiqua"/>
          <w:vertAlign w:val="subscript"/>
        </w:rPr>
        <w:t>MSE</w:t>
      </w:r>
      <w:r w:rsidRPr="00E3232D">
        <w:rPr>
          <w:rFonts w:ascii="Book Antiqua" w:hAnsi="Book Antiqua"/>
        </w:rPr>
        <w:t xml:space="preserve"> = ½ E </w:t>
      </w:r>
      <w:r w:rsidRPr="00E3232D">
        <w:rPr>
          <w:rFonts w:ascii="Book Antiqua" w:hAnsi="Book Antiqua"/>
          <w:rtl/>
          <w:lang w:bidi="he-IL"/>
        </w:rPr>
        <w:t>׀׀</w:t>
      </w:r>
      <w:r w:rsidRPr="00E3232D">
        <w:rPr>
          <w:rFonts w:ascii="Book Antiqua" w:hAnsi="Book Antiqua"/>
        </w:rPr>
        <w:t>Ā-A</w:t>
      </w:r>
      <w:r w:rsidRPr="00E3232D">
        <w:rPr>
          <w:rFonts w:ascii="Book Antiqua" w:hAnsi="Book Antiqua"/>
          <w:rtl/>
          <w:lang w:bidi="he-IL"/>
        </w:rPr>
        <w:t>׀׀</w:t>
      </w:r>
      <w:r w:rsidRPr="00E3232D">
        <w:rPr>
          <w:rFonts w:ascii="Book Antiqua" w:hAnsi="Book Antiqua"/>
          <w:vertAlign w:val="superscript"/>
        </w:rPr>
        <w:t>2</w:t>
      </w:r>
      <w:r w:rsidRPr="00E3232D">
        <w:rPr>
          <w:rFonts w:ascii="Book Antiqua" w:hAnsi="Book Antiqua"/>
        </w:rPr>
        <w:t>= 1/2N ∑ (Ā</w:t>
      </w:r>
      <w:r w:rsidRPr="00E3232D">
        <w:rPr>
          <w:rFonts w:ascii="Book Antiqua" w:hAnsi="Book Antiqua"/>
          <w:vertAlign w:val="subscript"/>
        </w:rPr>
        <w:t>i</w:t>
      </w:r>
      <w:r w:rsidRPr="00E3232D">
        <w:rPr>
          <w:rFonts w:ascii="Book Antiqua" w:hAnsi="Book Antiqua"/>
        </w:rPr>
        <w:t>-A</w:t>
      </w:r>
      <w:r w:rsidRPr="00E3232D">
        <w:rPr>
          <w:rFonts w:ascii="Book Antiqua" w:hAnsi="Book Antiqua"/>
          <w:vertAlign w:val="subscript"/>
        </w:rPr>
        <w:t>i</w:t>
      </w:r>
      <w:r w:rsidRPr="00E3232D">
        <w:rPr>
          <w:rFonts w:ascii="Book Antiqua" w:hAnsi="Book Antiqua"/>
        </w:rPr>
        <w:t>)</w:t>
      </w:r>
      <w:r w:rsidRPr="00E3232D">
        <w:rPr>
          <w:rFonts w:ascii="Book Antiqua" w:hAnsi="Book Antiqua"/>
          <w:vertAlign w:val="superscript"/>
        </w:rPr>
        <w:t>2</w:t>
      </w:r>
      <w:r w:rsidRPr="00E3232D">
        <w:rPr>
          <w:rFonts w:ascii="Book Antiqua" w:hAnsi="Book Antiqua"/>
        </w:rPr>
        <w:t>where,  i=0 to N-1.                              (2.3)</w:t>
      </w:r>
    </w:p>
    <w:p w14:paraId="39B039B8" w14:textId="77777777" w:rsidR="008713EC" w:rsidRPr="00E3232D" w:rsidRDefault="008713EC" w:rsidP="00470677">
      <w:pPr>
        <w:jc w:val="both"/>
        <w:rPr>
          <w:rFonts w:ascii="Book Antiqua" w:hAnsi="Book Antiqua"/>
        </w:rPr>
      </w:pPr>
      <w:r w:rsidRPr="00E3232D">
        <w:rPr>
          <w:rFonts w:ascii="Book Antiqua" w:hAnsi="Book Antiqua"/>
        </w:rPr>
        <w:t>Thresholding function is proposed by</w:t>
      </w:r>
    </w:p>
    <w:p w14:paraId="38A32AFA" w14:textId="77777777" w:rsidR="008713EC" w:rsidRPr="00E3232D" w:rsidRDefault="008713EC" w:rsidP="00470677">
      <w:pPr>
        <w:jc w:val="both"/>
        <w:rPr>
          <w:rFonts w:ascii="Book Antiqua" w:hAnsi="Book Antiqua"/>
        </w:rPr>
      </w:pPr>
      <w:r w:rsidRPr="00E3232D">
        <w:rPr>
          <w:rFonts w:ascii="Microsoft Sans Serif" w:hAnsi="Microsoft Sans Serif" w:cs="Microsoft Sans Serif"/>
        </w:rPr>
        <w:t>Ƞ</w:t>
      </w:r>
      <w:r w:rsidRPr="00E3232D">
        <w:rPr>
          <w:rFonts w:ascii="Book Antiqua" w:hAnsi="Book Antiqua"/>
          <w:vertAlign w:val="subscript"/>
        </w:rPr>
        <w:t>zhang</w:t>
      </w:r>
      <w:r w:rsidRPr="00E3232D">
        <w:rPr>
          <w:rFonts w:ascii="Book Antiqua" w:hAnsi="Book Antiqua"/>
        </w:rPr>
        <w:t xml:space="preserve"> (x, thr, k) = x + thr – thr/2k+1,x&lt;- thr</w:t>
      </w:r>
    </w:p>
    <w:p w14:paraId="66B47835" w14:textId="77777777" w:rsidR="008713EC" w:rsidRPr="00E3232D" w:rsidRDefault="008713EC" w:rsidP="00470677">
      <w:pPr>
        <w:jc w:val="both"/>
        <w:rPr>
          <w:rFonts w:ascii="Book Antiqua" w:hAnsi="Book Antiqua"/>
        </w:rPr>
      </w:pPr>
      <w:r w:rsidRPr="00E3232D">
        <w:rPr>
          <w:rFonts w:ascii="Book Antiqua" w:hAnsi="Book Antiqua"/>
        </w:rPr>
        <w:t>1/(2k+1)thr</w:t>
      </w:r>
      <w:r w:rsidRPr="00E3232D">
        <w:rPr>
          <w:rFonts w:ascii="Book Antiqua" w:hAnsi="Book Antiqua"/>
          <w:vertAlign w:val="superscript"/>
        </w:rPr>
        <w:t>2k</w:t>
      </w:r>
      <w:r w:rsidRPr="00E3232D">
        <w:rPr>
          <w:rFonts w:ascii="Book Antiqua" w:hAnsi="Book Antiqua"/>
        </w:rPr>
        <w:t>.x</w:t>
      </w:r>
      <w:r w:rsidRPr="00E3232D">
        <w:rPr>
          <w:rFonts w:ascii="Book Antiqua" w:hAnsi="Book Antiqua"/>
          <w:vertAlign w:val="superscript"/>
        </w:rPr>
        <w:t>2k+1</w:t>
      </w:r>
      <w:r w:rsidRPr="00E3232D">
        <w:rPr>
          <w:rFonts w:ascii="Book Antiqua" w:hAnsi="Book Antiqua"/>
        </w:rPr>
        <w:t>,</w:t>
      </w:r>
      <w:r w:rsidRPr="00E3232D">
        <w:rPr>
          <w:rFonts w:ascii="Book Antiqua" w:hAnsi="Book Antiqua"/>
          <w:rtl/>
          <w:lang w:bidi="he-IL"/>
        </w:rPr>
        <w:t>׀</w:t>
      </w:r>
      <w:r w:rsidRPr="00E3232D">
        <w:rPr>
          <w:rFonts w:ascii="Book Antiqua" w:hAnsi="Book Antiqua"/>
        </w:rPr>
        <w:t>x</w:t>
      </w:r>
      <w:r w:rsidRPr="00E3232D">
        <w:rPr>
          <w:rFonts w:ascii="Book Antiqua" w:hAnsi="Book Antiqua"/>
          <w:rtl/>
          <w:lang w:bidi="he-IL"/>
        </w:rPr>
        <w:t>׀</w:t>
      </w:r>
      <w:r w:rsidRPr="00E3232D">
        <w:rPr>
          <w:rFonts w:ascii="Book Antiqua" w:hAnsi="Book Antiqua"/>
        </w:rPr>
        <w:t xml:space="preserve"> ≤  thr</w:t>
      </w:r>
    </w:p>
    <w:p w14:paraId="34747CB8" w14:textId="77777777" w:rsidR="008713EC" w:rsidRPr="00E3232D" w:rsidRDefault="008713EC" w:rsidP="00B7604D">
      <w:pPr>
        <w:jc w:val="both"/>
        <w:rPr>
          <w:rFonts w:ascii="Book Antiqua" w:hAnsi="Book Antiqua"/>
        </w:rPr>
      </w:pPr>
      <w:r w:rsidRPr="00E3232D">
        <w:rPr>
          <w:rFonts w:ascii="Book Antiqua" w:hAnsi="Book Antiqua"/>
        </w:rPr>
        <w:t>x – thr + thr/2k+1.x &gt;thr                                                                                    (2.4)</w:t>
      </w:r>
    </w:p>
    <w:p w14:paraId="73E17529" w14:textId="77777777" w:rsidR="008713EC" w:rsidRPr="00E3232D" w:rsidRDefault="008713EC" w:rsidP="00B7604D">
      <w:pPr>
        <w:jc w:val="both"/>
        <w:rPr>
          <w:rFonts w:ascii="Book Antiqua" w:hAnsi="Book Antiqua"/>
        </w:rPr>
      </w:pPr>
    </w:p>
    <w:p w14:paraId="2B588953" w14:textId="77777777" w:rsidR="008713EC" w:rsidRPr="00E3232D" w:rsidRDefault="008713EC" w:rsidP="00B7604D">
      <w:pPr>
        <w:jc w:val="both"/>
        <w:rPr>
          <w:rFonts w:ascii="Book Antiqua" w:hAnsi="Book Antiqua"/>
        </w:rPr>
      </w:pPr>
      <w:r w:rsidRPr="00E3232D">
        <w:rPr>
          <w:rFonts w:ascii="Microsoft Sans Serif" w:hAnsi="Microsoft Sans Serif" w:cs="Microsoft Sans Serif"/>
        </w:rPr>
        <w:t>Ƞ</w:t>
      </w:r>
      <w:r w:rsidRPr="00E3232D">
        <w:rPr>
          <w:rFonts w:ascii="Book Antiqua" w:hAnsi="Book Antiqua"/>
          <w:vertAlign w:val="subscript"/>
        </w:rPr>
        <w:t>zhang</w:t>
      </w:r>
      <w:r w:rsidRPr="00E3232D">
        <w:rPr>
          <w:rFonts w:ascii="Book Antiqua" w:hAnsi="Book Antiqua"/>
        </w:rPr>
        <w:t xml:space="preserve"> (x, thr, </w:t>
      </w:r>
      <w:r w:rsidRPr="00E3232D">
        <w:rPr>
          <w:rFonts w:ascii="Book Antiqua" w:hAnsi="Book Antiqua"/>
          <w:lang w:val="el-GR"/>
        </w:rPr>
        <w:t>λ</w:t>
      </w:r>
      <w:r w:rsidRPr="00E3232D">
        <w:rPr>
          <w:rFonts w:ascii="Book Antiqua" w:hAnsi="Book Antiqua"/>
        </w:rPr>
        <w:t>) = x + 0.5(√(x-thr)</w:t>
      </w:r>
      <w:r w:rsidRPr="00E3232D">
        <w:rPr>
          <w:rFonts w:ascii="Book Antiqua" w:hAnsi="Book Antiqua"/>
          <w:vertAlign w:val="superscript"/>
        </w:rPr>
        <w:t>2</w:t>
      </w:r>
      <w:r w:rsidRPr="00E3232D">
        <w:rPr>
          <w:rFonts w:ascii="Book Antiqua" w:hAnsi="Book Antiqua"/>
        </w:rPr>
        <w:t>+</w:t>
      </w:r>
      <w:r w:rsidRPr="00E3232D">
        <w:rPr>
          <w:rFonts w:ascii="Book Antiqua" w:hAnsi="Book Antiqua"/>
          <w:lang w:val="el-GR"/>
        </w:rPr>
        <w:t>λ</w:t>
      </w:r>
      <w:r w:rsidRPr="00E3232D">
        <w:rPr>
          <w:rFonts w:ascii="Book Antiqua" w:hAnsi="Book Antiqua"/>
        </w:rPr>
        <w:t xml:space="preserve"> - √(x +thr)</w:t>
      </w:r>
      <w:r w:rsidRPr="00E3232D">
        <w:rPr>
          <w:rFonts w:ascii="Book Antiqua" w:hAnsi="Book Antiqua"/>
          <w:vertAlign w:val="superscript"/>
        </w:rPr>
        <w:t>2</w:t>
      </w:r>
      <w:r w:rsidRPr="00E3232D">
        <w:rPr>
          <w:rFonts w:ascii="Book Antiqua" w:hAnsi="Book Antiqua"/>
        </w:rPr>
        <w:t xml:space="preserve">+ </w:t>
      </w:r>
      <w:r w:rsidRPr="00E3232D">
        <w:rPr>
          <w:rFonts w:ascii="Book Antiqua" w:hAnsi="Book Antiqua"/>
          <w:lang w:val="el-GR"/>
        </w:rPr>
        <w:t>λ</w:t>
      </w:r>
      <w:r w:rsidRPr="00E3232D">
        <w:rPr>
          <w:rFonts w:ascii="Book Antiqua" w:hAnsi="Book Antiqua"/>
        </w:rPr>
        <w:t>)                                (2.5)</w:t>
      </w:r>
    </w:p>
    <w:p w14:paraId="7E99107D" w14:textId="77777777" w:rsidR="005F7EE0" w:rsidRDefault="005F7EE0" w:rsidP="008275E1">
      <w:pPr>
        <w:rPr>
          <w:rFonts w:ascii="Book Antiqua" w:hAnsi="Book Antiqua"/>
          <w:b/>
          <w:bCs/>
        </w:rPr>
      </w:pPr>
    </w:p>
    <w:p w14:paraId="511A755C" w14:textId="77777777" w:rsidR="008713EC" w:rsidRPr="00E3232D" w:rsidRDefault="008713EC" w:rsidP="008275E1">
      <w:pPr>
        <w:rPr>
          <w:rFonts w:ascii="Book Antiqua" w:hAnsi="Book Antiqua"/>
          <w:b/>
          <w:bCs/>
        </w:rPr>
      </w:pPr>
      <w:r w:rsidRPr="00E3232D">
        <w:rPr>
          <w:rFonts w:ascii="Book Antiqua" w:hAnsi="Book Antiqua"/>
          <w:b/>
          <w:bCs/>
        </w:rPr>
        <w:t>2.1.3 Block diagram for whole operation:</w:t>
      </w:r>
    </w:p>
    <w:p w14:paraId="7F151E43" w14:textId="77777777" w:rsidR="008713EC" w:rsidRPr="00E3232D" w:rsidRDefault="007005B1" w:rsidP="008275E1">
      <w:pPr>
        <w:rPr>
          <w:rFonts w:ascii="Book Antiqua" w:hAnsi="Book Antiqua"/>
        </w:rPr>
      </w:pPr>
      <w:r>
        <w:rPr>
          <w:rFonts w:ascii="Book Antiqua" w:hAnsi="Book Antiqua"/>
          <w:noProof/>
          <w:lang w:bidi="ar-SA"/>
        </w:rPr>
        <w:drawing>
          <wp:inline distT="0" distB="0" distL="0" distR="0" wp14:anchorId="27E57A6A" wp14:editId="2995F21A">
            <wp:extent cx="2771775" cy="1495425"/>
            <wp:effectExtent l="19050" t="0" r="9525" b="0"/>
            <wp:docPr id="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6"/>
                    <a:srcRect/>
                    <a:stretch>
                      <a:fillRect/>
                    </a:stretch>
                  </pic:blipFill>
                  <pic:spPr bwMode="auto">
                    <a:xfrm>
                      <a:off x="0" y="0"/>
                      <a:ext cx="2771775" cy="1495425"/>
                    </a:xfrm>
                    <a:prstGeom prst="rect">
                      <a:avLst/>
                    </a:prstGeom>
                    <a:noFill/>
                    <a:ln w="9525">
                      <a:noFill/>
                      <a:miter lim="800000"/>
                      <a:headEnd/>
                      <a:tailEnd/>
                    </a:ln>
                  </pic:spPr>
                </pic:pic>
              </a:graphicData>
            </a:graphic>
          </wp:inline>
        </w:drawing>
      </w:r>
    </w:p>
    <w:p w14:paraId="6836FA5B" w14:textId="77777777" w:rsidR="008713EC" w:rsidRPr="00E3232D" w:rsidRDefault="008713EC" w:rsidP="008275E1">
      <w:pPr>
        <w:rPr>
          <w:rFonts w:ascii="Book Antiqua" w:hAnsi="Book Antiqua"/>
        </w:rPr>
      </w:pPr>
      <w:r w:rsidRPr="00E3232D">
        <w:rPr>
          <w:rFonts w:ascii="Book Antiqua" w:hAnsi="Book Antiqua"/>
        </w:rPr>
        <w:t>figure 2 Noise reduction in wavelet domain block diagram.</w:t>
      </w:r>
    </w:p>
    <w:p w14:paraId="202F6561" w14:textId="77777777" w:rsidR="008713EC" w:rsidRPr="00E3232D" w:rsidRDefault="008713EC" w:rsidP="008275E1">
      <w:pPr>
        <w:rPr>
          <w:rFonts w:ascii="Book Antiqua" w:hAnsi="Book Antiqua"/>
        </w:rPr>
      </w:pPr>
    </w:p>
    <w:p w14:paraId="5550F86E" w14:textId="77777777" w:rsidR="008713EC" w:rsidRPr="00E3232D" w:rsidRDefault="008713EC" w:rsidP="00B7604D">
      <w:pPr>
        <w:jc w:val="both"/>
        <w:rPr>
          <w:rFonts w:ascii="Book Antiqua" w:hAnsi="Book Antiqua"/>
        </w:rPr>
      </w:pPr>
      <w:r w:rsidRPr="00E3232D">
        <w:rPr>
          <w:rFonts w:ascii="Book Antiqua" w:hAnsi="Book Antiqua"/>
        </w:rPr>
        <w:t>A new thresholding function is proposed for image denoising in the wavelet domain. The proposed function is further used in a new subband-adaptive thresholding based network to improve the efficiency of the denoising procedure. In these learning methods, the threshold and the thresholding function effects are considered simultaneously. These methods are used to suppress four types of important noises, Gaussian</w:t>
      </w:r>
      <w:r w:rsidR="00734B20" w:rsidRPr="00E3232D">
        <w:rPr>
          <w:rFonts w:ascii="Book Antiqua" w:hAnsi="Book Antiqua"/>
        </w:rPr>
        <w:t>, Poisson, salt</w:t>
      </w:r>
      <w:r w:rsidR="00734B20">
        <w:rPr>
          <w:rFonts w:ascii="Book Antiqua" w:hAnsi="Book Antiqua"/>
        </w:rPr>
        <w:t xml:space="preserve"> </w:t>
      </w:r>
      <w:r w:rsidRPr="00E3232D">
        <w:rPr>
          <w:rFonts w:ascii="Book Antiqua" w:hAnsi="Book Antiqua"/>
        </w:rPr>
        <w:t>&amp; pepper and speckle, ranging from natural images to ultrasound and SAR pictures. The simulation results showed that the proposed thresholding function has superior features compared to conventional methods when used with the proposed adaptive learning types. This makes it an efficient method in image denoising applications.</w:t>
      </w:r>
    </w:p>
    <w:p w14:paraId="1E5764A9" w14:textId="77777777" w:rsidR="008713EC" w:rsidRPr="00E3232D" w:rsidRDefault="008713EC" w:rsidP="008275E1">
      <w:pPr>
        <w:rPr>
          <w:rFonts w:ascii="Book Antiqua" w:hAnsi="Book Antiqua"/>
        </w:rPr>
      </w:pPr>
    </w:p>
    <w:p w14:paraId="19BD72ED" w14:textId="77777777" w:rsidR="008713EC" w:rsidRPr="00E3232D" w:rsidRDefault="008713EC" w:rsidP="00B7604D">
      <w:pPr>
        <w:jc w:val="both"/>
        <w:rPr>
          <w:rFonts w:ascii="Book Antiqua" w:hAnsi="Book Antiqua"/>
          <w:bCs/>
        </w:rPr>
      </w:pPr>
      <w:r w:rsidRPr="00E3232D">
        <w:rPr>
          <w:rFonts w:ascii="Book Antiqua" w:hAnsi="Book Antiqua"/>
          <w:bCs/>
        </w:rPr>
        <w:t>First of all, one image(2-dim picture) was taken (either rgb or gray). Four types of noises were introduced to that image &amp; affects were analyzed.Median filter was applied to remove all the noises one by one from the entire noisy image. It can be easily seen that this filter is suitable to remove all the noises but it is particularly useful to reduce speckle, poisson and salt and pepper noises. Error between original &amp;filtered images were analyzed.Wave displays of filtered out images were seen.The performance was measured by plotting various graphs.</w:t>
      </w:r>
    </w:p>
    <w:p w14:paraId="13EEA52C" w14:textId="77777777" w:rsidR="008713EC" w:rsidRPr="00E3232D" w:rsidRDefault="008713EC" w:rsidP="008275E1">
      <w:pPr>
        <w:rPr>
          <w:rFonts w:ascii="Book Antiqua" w:hAnsi="Book Antiqua"/>
          <w:bCs/>
        </w:rPr>
      </w:pPr>
    </w:p>
    <w:p w14:paraId="45434FDE" w14:textId="77777777" w:rsidR="008713EC" w:rsidRPr="00E3232D" w:rsidRDefault="007005B1" w:rsidP="008275E1">
      <w:pPr>
        <w:rPr>
          <w:rFonts w:ascii="Book Antiqua" w:hAnsi="Book Antiqua"/>
        </w:rPr>
      </w:pPr>
      <w:r>
        <w:rPr>
          <w:rFonts w:ascii="Book Antiqua" w:hAnsi="Book Antiqua"/>
          <w:noProof/>
          <w:lang w:bidi="ar-SA"/>
        </w:rPr>
        <w:drawing>
          <wp:inline distT="0" distB="0" distL="0" distR="0" wp14:anchorId="78758EC2" wp14:editId="50F294F9">
            <wp:extent cx="2771775" cy="2247900"/>
            <wp:effectExtent l="19050" t="0" r="9525" b="0"/>
            <wp:docPr id="1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7"/>
                    <a:srcRect/>
                    <a:stretch>
                      <a:fillRect/>
                    </a:stretch>
                  </pic:blipFill>
                  <pic:spPr bwMode="auto">
                    <a:xfrm>
                      <a:off x="0" y="0"/>
                      <a:ext cx="2771775" cy="2247900"/>
                    </a:xfrm>
                    <a:prstGeom prst="rect">
                      <a:avLst/>
                    </a:prstGeom>
                    <a:noFill/>
                    <a:ln w="9525">
                      <a:noFill/>
                      <a:miter lim="800000"/>
                      <a:headEnd/>
                      <a:tailEnd/>
                    </a:ln>
                  </pic:spPr>
                </pic:pic>
              </a:graphicData>
            </a:graphic>
          </wp:inline>
        </w:drawing>
      </w:r>
    </w:p>
    <w:p w14:paraId="425BCB0B" w14:textId="77777777" w:rsidR="008713EC" w:rsidRPr="00E3232D" w:rsidRDefault="008713EC" w:rsidP="008275E1">
      <w:pPr>
        <w:pStyle w:val="Caption"/>
        <w:spacing w:line="276" w:lineRule="auto"/>
        <w:jc w:val="center"/>
        <w:rPr>
          <w:rFonts w:ascii="Book Antiqua" w:hAnsi="Book Antiqua"/>
          <w:b w:val="0"/>
          <w:bCs w:val="0"/>
          <w:sz w:val="22"/>
          <w:szCs w:val="22"/>
        </w:rPr>
      </w:pPr>
      <w:r w:rsidRPr="00E3232D">
        <w:rPr>
          <w:rFonts w:ascii="Book Antiqua" w:hAnsi="Book Antiqua"/>
          <w:b w:val="0"/>
          <w:bCs w:val="0"/>
          <w:sz w:val="22"/>
          <w:szCs w:val="22"/>
        </w:rPr>
        <w:t>Figure 3 Image (RGB and GRAY) without noise, with Poisson noise and filtered out image.</w:t>
      </w:r>
    </w:p>
    <w:p w14:paraId="56894534" w14:textId="77777777" w:rsidR="00200D58" w:rsidRPr="00B7604D" w:rsidRDefault="008713EC" w:rsidP="00B7604D">
      <w:pPr>
        <w:jc w:val="both"/>
        <w:rPr>
          <w:rFonts w:ascii="Book Antiqua" w:hAnsi="Book Antiqua"/>
        </w:rPr>
      </w:pPr>
      <w:r w:rsidRPr="00E3232D">
        <w:rPr>
          <w:rFonts w:ascii="Book Antiqua" w:hAnsi="Book Antiqua"/>
        </w:rPr>
        <w:t>In the following results the error between the filtered out image &amp; original gray image has been shown. Further the speckle noises were added to the original gray image and effect were seen then median filter were applied to make it filtered out from speckle noise. Then how much error was found were clearly shown.</w:t>
      </w:r>
    </w:p>
    <w:p w14:paraId="6B30BE6B" w14:textId="77777777" w:rsidR="00200D58" w:rsidRDefault="008713EC" w:rsidP="00077671">
      <w:pPr>
        <w:jc w:val="both"/>
        <w:rPr>
          <w:rFonts w:ascii="Book Antiqua" w:hAnsi="Book Antiqua"/>
        </w:rPr>
      </w:pPr>
      <w:r w:rsidRPr="00E3232D">
        <w:rPr>
          <w:rFonts w:ascii="Book Antiqua" w:hAnsi="Book Antiqua"/>
          <w:bCs/>
        </w:rPr>
        <w:t>Speckle noise</w:t>
      </w:r>
      <w:r w:rsidRPr="00E3232D">
        <w:rPr>
          <w:rFonts w:ascii="Book Antiqua" w:hAnsi="Book Antiqua"/>
        </w:rPr>
        <w:t xml:space="preserve"> is a granular noise that inherently exists in and degrades the quality of the active radar and synthetic aperture radar (SAR) images.</w:t>
      </w:r>
    </w:p>
    <w:p w14:paraId="4806099A" w14:textId="77777777" w:rsidR="00077671" w:rsidRPr="00E3232D" w:rsidRDefault="008713EC" w:rsidP="008275E1">
      <w:pPr>
        <w:rPr>
          <w:rFonts w:ascii="Book Antiqua" w:hAnsi="Book Antiqua"/>
        </w:rPr>
      </w:pPr>
      <w:r w:rsidRPr="00E3232D">
        <w:rPr>
          <w:rFonts w:ascii="Book Antiqua" w:hAnsi="Book Antiqua"/>
        </w:rPr>
        <w:t>Speckle noise in conventional radar results from random fluctuations in the return signal from an object that is no bigger than a single image-processing element. It increases the mean grey level of a local area.</w:t>
      </w:r>
    </w:p>
    <w:p w14:paraId="2AAB472B" w14:textId="77777777" w:rsidR="008713EC" w:rsidRPr="00E3232D" w:rsidRDefault="008713EC" w:rsidP="008275E1">
      <w:pPr>
        <w:rPr>
          <w:rFonts w:ascii="Book Antiqua" w:hAnsi="Book Antiqua"/>
          <w:b/>
          <w:bCs/>
        </w:rPr>
      </w:pPr>
      <w:r w:rsidRPr="00E3232D">
        <w:rPr>
          <w:rFonts w:ascii="Book Antiqua" w:hAnsi="Book Antiqua"/>
          <w:b/>
          <w:bCs/>
        </w:rPr>
        <w:t xml:space="preserve">3.1 </w:t>
      </w:r>
      <w:r w:rsidR="00077671" w:rsidRPr="008214F9">
        <w:rPr>
          <w:rFonts w:ascii="Book Antiqua" w:hAnsi="Book Antiqua"/>
          <w:b/>
          <w:bCs/>
          <w:sz w:val="26"/>
        </w:rPr>
        <w:t>Results</w:t>
      </w:r>
    </w:p>
    <w:p w14:paraId="07D5F785" w14:textId="77777777" w:rsidR="008713EC" w:rsidRDefault="008713EC" w:rsidP="00B7604D">
      <w:pPr>
        <w:jc w:val="both"/>
        <w:rPr>
          <w:rFonts w:ascii="Book Antiqua" w:hAnsi="Book Antiqua"/>
        </w:rPr>
      </w:pPr>
      <w:r w:rsidRPr="00E3232D">
        <w:rPr>
          <w:rFonts w:ascii="Book Antiqua" w:hAnsi="Book Antiqua"/>
        </w:rPr>
        <w:t xml:space="preserve"> To investigate the effectiveness of the proposed thresholding function and the image denoising methods, they are applied to noisy Gaussian, Poisson, salt &amp; pepper and speckled corrupted images and compared with the original ones. The wavelet transform used in all the methods is Db8 in eleven level decompositions. To evaluate Gaussian denoising methods, this noise is added to the standard image with different noise variances. Again thesame procedure has to be repeated for Poisson and salt &amp; pepper. In th</w:t>
      </w:r>
      <w:r w:rsidR="00200D58">
        <w:rPr>
          <w:rFonts w:ascii="Book Antiqua" w:hAnsi="Book Antiqua"/>
        </w:rPr>
        <w:t xml:space="preserve">e specklecase, somerealspeckled </w:t>
      </w:r>
      <w:r w:rsidRPr="00E3232D">
        <w:rPr>
          <w:rFonts w:ascii="Book Antiqua" w:hAnsi="Book Antiqua"/>
        </w:rPr>
        <w:t>images</w:t>
      </w:r>
      <w:r w:rsidR="00200D58">
        <w:rPr>
          <w:rFonts w:ascii="Book Antiqua" w:hAnsi="Book Antiqua"/>
        </w:rPr>
        <w:t xml:space="preserve"> </w:t>
      </w:r>
      <w:r w:rsidRPr="00E3232D">
        <w:rPr>
          <w:rFonts w:ascii="Book Antiqua" w:hAnsi="Book Antiqua"/>
        </w:rPr>
        <w:t>such</w:t>
      </w:r>
      <w:r w:rsidR="00200D58">
        <w:rPr>
          <w:rFonts w:ascii="Book Antiqua" w:hAnsi="Book Antiqua"/>
        </w:rPr>
        <w:t xml:space="preserve"> </w:t>
      </w:r>
      <w:r w:rsidRPr="00E3232D">
        <w:rPr>
          <w:rFonts w:ascii="Book Antiqua" w:hAnsi="Book Antiqua"/>
        </w:rPr>
        <w:t>as</w:t>
      </w:r>
      <w:r w:rsidR="00200D58">
        <w:rPr>
          <w:rFonts w:ascii="Book Antiqua" w:hAnsi="Book Antiqua"/>
        </w:rPr>
        <w:t xml:space="preserve"> </w:t>
      </w:r>
      <w:r w:rsidRPr="00E3232D">
        <w:rPr>
          <w:rFonts w:ascii="Book Antiqua" w:hAnsi="Book Antiqua"/>
        </w:rPr>
        <w:t>realultra</w:t>
      </w:r>
      <w:r w:rsidR="00200D58">
        <w:rPr>
          <w:rFonts w:ascii="Book Antiqua" w:hAnsi="Book Antiqua"/>
        </w:rPr>
        <w:t xml:space="preserve"> </w:t>
      </w:r>
      <w:r w:rsidRPr="00E3232D">
        <w:rPr>
          <w:rFonts w:ascii="Book Antiqua" w:hAnsi="Book Antiqua"/>
        </w:rPr>
        <w:t>sound</w:t>
      </w:r>
      <w:r w:rsidR="00200D58">
        <w:rPr>
          <w:rFonts w:ascii="Book Antiqua" w:hAnsi="Book Antiqua"/>
        </w:rPr>
        <w:t xml:space="preserve"> </w:t>
      </w:r>
      <w:r w:rsidRPr="00E3232D">
        <w:rPr>
          <w:rFonts w:ascii="Book Antiqua" w:hAnsi="Book Antiqua"/>
        </w:rPr>
        <w:t>and</w:t>
      </w:r>
      <w:r w:rsidR="00200D58">
        <w:rPr>
          <w:rFonts w:ascii="Book Antiqua" w:hAnsi="Book Antiqua"/>
        </w:rPr>
        <w:t xml:space="preserve"> </w:t>
      </w:r>
      <w:r w:rsidRPr="00E3232D">
        <w:rPr>
          <w:rFonts w:ascii="Book Antiqua" w:hAnsi="Book Antiqua"/>
        </w:rPr>
        <w:t>SAR</w:t>
      </w:r>
      <w:r w:rsidR="00200D58">
        <w:rPr>
          <w:rFonts w:ascii="Book Antiqua" w:hAnsi="Book Antiqua"/>
        </w:rPr>
        <w:t xml:space="preserve"> </w:t>
      </w:r>
      <w:r w:rsidRPr="00E3232D">
        <w:rPr>
          <w:rFonts w:ascii="Book Antiqua" w:hAnsi="Book Antiqua"/>
        </w:rPr>
        <w:t>image</w:t>
      </w:r>
      <w:r w:rsidR="00200D58">
        <w:rPr>
          <w:rFonts w:ascii="Book Antiqua" w:hAnsi="Book Antiqua"/>
        </w:rPr>
        <w:t xml:space="preserve"> </w:t>
      </w:r>
      <w:r w:rsidRPr="00E3232D">
        <w:rPr>
          <w:rFonts w:ascii="Book Antiqua" w:hAnsi="Book Antiqua"/>
        </w:rPr>
        <w:t>are</w:t>
      </w:r>
      <w:r w:rsidR="00200D58">
        <w:rPr>
          <w:rFonts w:ascii="Book Antiqua" w:hAnsi="Book Antiqua"/>
        </w:rPr>
        <w:t xml:space="preserve"> </w:t>
      </w:r>
      <w:r w:rsidRPr="00E3232D">
        <w:rPr>
          <w:rFonts w:ascii="Book Antiqua" w:hAnsi="Book Antiqua"/>
        </w:rPr>
        <w:t>selected</w:t>
      </w:r>
      <w:r w:rsidR="00200D58">
        <w:rPr>
          <w:rFonts w:ascii="Book Antiqua" w:hAnsi="Book Antiqua"/>
        </w:rPr>
        <w:t xml:space="preserve"> </w:t>
      </w:r>
      <w:r w:rsidRPr="00E3232D">
        <w:rPr>
          <w:rFonts w:ascii="Book Antiqua" w:hAnsi="Book Antiqua"/>
        </w:rPr>
        <w:t xml:space="preserve">despite the presenceofartificial noise. </w:t>
      </w:r>
    </w:p>
    <w:p w14:paraId="368553F4" w14:textId="77777777" w:rsidR="00B7604D" w:rsidRDefault="00B7604D" w:rsidP="00B7604D">
      <w:pPr>
        <w:spacing w:after="0"/>
        <w:jc w:val="both"/>
        <w:rPr>
          <w:rFonts w:ascii="Book Antiqua" w:hAnsi="Book Antiqua"/>
        </w:rPr>
      </w:pPr>
    </w:p>
    <w:p w14:paraId="33F278AE" w14:textId="77777777" w:rsidR="008214F9" w:rsidRPr="00B7604D" w:rsidRDefault="008214F9" w:rsidP="00B7604D">
      <w:pPr>
        <w:spacing w:after="0"/>
        <w:jc w:val="both"/>
        <w:rPr>
          <w:rFonts w:ascii="Book Antiqua" w:hAnsi="Book Antiqua"/>
        </w:rPr>
      </w:pPr>
    </w:p>
    <w:p w14:paraId="780C7829" w14:textId="77777777" w:rsidR="008713EC" w:rsidRPr="00E3232D" w:rsidRDefault="008713EC" w:rsidP="008275E1">
      <w:pPr>
        <w:rPr>
          <w:rFonts w:ascii="Book Antiqua" w:hAnsi="Book Antiqua"/>
          <w:b/>
          <w:bCs/>
        </w:rPr>
      </w:pPr>
      <w:r w:rsidRPr="00E3232D">
        <w:rPr>
          <w:rFonts w:ascii="Book Antiqua" w:hAnsi="Book Antiqua"/>
          <w:b/>
          <w:bCs/>
        </w:rPr>
        <w:t>3.2.1Gaussiannoisereductionresults</w:t>
      </w:r>
    </w:p>
    <w:p w14:paraId="116AABA4" w14:textId="77777777" w:rsidR="008713EC" w:rsidRPr="00E3232D" w:rsidRDefault="008713EC" w:rsidP="00B7604D">
      <w:pPr>
        <w:jc w:val="both"/>
        <w:rPr>
          <w:rFonts w:ascii="Book Antiqua" w:hAnsi="Book Antiqua"/>
        </w:rPr>
      </w:pPr>
      <w:r w:rsidRPr="00E3232D">
        <w:rPr>
          <w:rFonts w:ascii="Book Antiqua" w:hAnsi="Book Antiqua"/>
        </w:rPr>
        <w:t xml:space="preserve"> For Gaussiannoisereduction,they firstcomparetheproposed thresholdingfunctionwithclassiconesinauniversalthreshold case. Thentheproposednew-TNNmethodiscomparedwithsome conventionalimagedenoisingmethods.Fortheconventional methods the</w:t>
      </w:r>
      <w:r w:rsidR="00200D58">
        <w:rPr>
          <w:rFonts w:ascii="Book Antiqua" w:hAnsi="Book Antiqua"/>
        </w:rPr>
        <w:t xml:space="preserve"> </w:t>
      </w:r>
      <w:r w:rsidRPr="00E3232D">
        <w:rPr>
          <w:rFonts w:ascii="Book Antiqua" w:hAnsi="Book Antiqua"/>
        </w:rPr>
        <w:t>best</w:t>
      </w:r>
      <w:r w:rsidR="00200D58">
        <w:rPr>
          <w:rFonts w:ascii="Book Antiqua" w:hAnsi="Book Antiqua"/>
        </w:rPr>
        <w:t xml:space="preserve"> </w:t>
      </w:r>
      <w:r w:rsidRPr="00E3232D">
        <w:rPr>
          <w:rFonts w:ascii="Book Antiqua" w:hAnsi="Book Antiqua"/>
        </w:rPr>
        <w:t>param</w:t>
      </w:r>
      <w:r w:rsidR="00200D58">
        <w:rPr>
          <w:rFonts w:ascii="Book Antiqua" w:hAnsi="Book Antiqua"/>
        </w:rPr>
        <w:t xml:space="preserve">eters recommended in the literature </w:t>
      </w:r>
      <w:r w:rsidRPr="00E3232D">
        <w:rPr>
          <w:rFonts w:ascii="Book Antiqua" w:hAnsi="Book Antiqua"/>
        </w:rPr>
        <w:t>have</w:t>
      </w:r>
      <w:r w:rsidR="00200D58">
        <w:rPr>
          <w:rFonts w:ascii="Book Antiqua" w:hAnsi="Book Antiqua"/>
        </w:rPr>
        <w:t xml:space="preserve"> </w:t>
      </w:r>
      <w:r w:rsidRPr="00E3232D">
        <w:rPr>
          <w:rFonts w:ascii="Book Antiqua" w:hAnsi="Book Antiqua"/>
        </w:rPr>
        <w:t>been</w:t>
      </w:r>
      <w:r w:rsidR="00200D58">
        <w:rPr>
          <w:rFonts w:ascii="Book Antiqua" w:hAnsi="Book Antiqua"/>
        </w:rPr>
        <w:t xml:space="preserve"> </w:t>
      </w:r>
      <w:r w:rsidRPr="00E3232D">
        <w:rPr>
          <w:rFonts w:ascii="Book Antiqua" w:hAnsi="Book Antiqua"/>
        </w:rPr>
        <w:t>used.Finally,the</w:t>
      </w:r>
      <w:r w:rsidR="00200D58">
        <w:rPr>
          <w:rFonts w:ascii="Book Antiqua" w:hAnsi="Book Antiqua"/>
        </w:rPr>
        <w:t xml:space="preserve"> </w:t>
      </w:r>
      <w:r w:rsidRPr="00E3232D">
        <w:rPr>
          <w:rFonts w:ascii="Book Antiqua" w:hAnsi="Book Antiqua"/>
        </w:rPr>
        <w:t>results</w:t>
      </w:r>
      <w:r w:rsidR="00200D58">
        <w:rPr>
          <w:rFonts w:ascii="Book Antiqua" w:hAnsi="Book Antiqua"/>
        </w:rPr>
        <w:t xml:space="preserve"> </w:t>
      </w:r>
      <w:r w:rsidRPr="00E3232D">
        <w:rPr>
          <w:rFonts w:ascii="Book Antiqua" w:hAnsi="Book Antiqua"/>
        </w:rPr>
        <w:t>of</w:t>
      </w:r>
      <w:r w:rsidR="00200D58">
        <w:rPr>
          <w:rFonts w:ascii="Book Antiqua" w:hAnsi="Book Antiqua"/>
        </w:rPr>
        <w:t xml:space="preserve"> </w:t>
      </w:r>
      <w:r w:rsidRPr="00E3232D">
        <w:rPr>
          <w:rFonts w:ascii="Book Antiqua" w:hAnsi="Book Antiqua"/>
        </w:rPr>
        <w:t>the</w:t>
      </w:r>
      <w:r w:rsidR="00200D58">
        <w:rPr>
          <w:rFonts w:ascii="Book Antiqua" w:hAnsi="Book Antiqua"/>
        </w:rPr>
        <w:t xml:space="preserve"> </w:t>
      </w:r>
      <w:r w:rsidRPr="00E3232D">
        <w:rPr>
          <w:rFonts w:ascii="Book Antiqua" w:hAnsi="Book Antiqua"/>
        </w:rPr>
        <w:t>proposed extended learning schemein new TNN</w:t>
      </w:r>
      <w:r w:rsidR="00200D58">
        <w:rPr>
          <w:rFonts w:ascii="Book Antiqua" w:hAnsi="Book Antiqua"/>
        </w:rPr>
        <w:t xml:space="preserve"> </w:t>
      </w:r>
      <w:r w:rsidRPr="00E3232D">
        <w:rPr>
          <w:rFonts w:ascii="Book Antiqua" w:hAnsi="Book Antiqua"/>
        </w:rPr>
        <w:t>are</w:t>
      </w:r>
      <w:r w:rsidR="00200D58">
        <w:rPr>
          <w:rFonts w:ascii="Book Antiqua" w:hAnsi="Book Antiqua"/>
        </w:rPr>
        <w:t xml:space="preserve"> </w:t>
      </w:r>
      <w:r w:rsidRPr="00E3232D">
        <w:rPr>
          <w:rFonts w:ascii="Book Antiqua" w:hAnsi="Book Antiqua"/>
        </w:rPr>
        <w:t>presented. The below mentioned simulation results are the plots for new thresholding function.The following two graphs are:First for Gaussian noise (PSNR Vs. different values of sigma)Second for Poisson noise (PSNR Vs. different values of sigma).</w:t>
      </w:r>
    </w:p>
    <w:p w14:paraId="44477809" w14:textId="77777777" w:rsidR="008713EC" w:rsidRPr="00E3232D" w:rsidRDefault="008713EC" w:rsidP="008275E1">
      <w:pPr>
        <w:rPr>
          <w:rFonts w:ascii="Book Antiqua" w:hAnsi="Book Antiqua"/>
        </w:rPr>
      </w:pPr>
    </w:p>
    <w:tbl>
      <w:tblPr>
        <w:tblpPr w:leftFromText="180" w:rightFromText="180" w:vertAnchor="text" w:horzAnchor="page" w:tblpX="6253" w:tblpY="1290"/>
        <w:tblW w:w="4804" w:type="dxa"/>
        <w:tblBorders>
          <w:top w:val="single" w:sz="4" w:space="0" w:color="auto"/>
          <w:bottom w:val="single" w:sz="4" w:space="0" w:color="auto"/>
        </w:tblBorders>
        <w:tblLook w:val="01E0" w:firstRow="1" w:lastRow="1" w:firstColumn="1" w:lastColumn="1" w:noHBand="0" w:noVBand="0"/>
      </w:tblPr>
      <w:tblGrid>
        <w:gridCol w:w="1812"/>
        <w:gridCol w:w="1465"/>
        <w:gridCol w:w="1527"/>
      </w:tblGrid>
      <w:tr w:rsidR="00077671" w:rsidRPr="00D12E59" w14:paraId="68382AAF" w14:textId="77777777" w:rsidTr="00077671">
        <w:trPr>
          <w:trHeight w:val="188"/>
        </w:trPr>
        <w:tc>
          <w:tcPr>
            <w:tcW w:w="1812" w:type="dxa"/>
            <w:tcBorders>
              <w:top w:val="single" w:sz="4" w:space="0" w:color="auto"/>
              <w:bottom w:val="single" w:sz="4" w:space="0" w:color="auto"/>
            </w:tcBorders>
            <w:shd w:val="clear" w:color="auto" w:fill="auto"/>
          </w:tcPr>
          <w:p w14:paraId="04D4D9B9" w14:textId="77777777" w:rsidR="00077671" w:rsidRPr="00D12E59" w:rsidRDefault="00077671" w:rsidP="00077671">
            <w:pPr>
              <w:rPr>
                <w:rFonts w:ascii="Book Antiqua" w:hAnsi="Book Antiqua"/>
                <w:b/>
              </w:rPr>
            </w:pPr>
            <w:r w:rsidRPr="00D12E59">
              <w:rPr>
                <w:rFonts w:ascii="Book Antiqua" w:hAnsi="Book Antiqua"/>
                <w:b/>
              </w:rPr>
              <w:t>Different noise</w:t>
            </w:r>
          </w:p>
        </w:tc>
        <w:tc>
          <w:tcPr>
            <w:tcW w:w="1465" w:type="dxa"/>
            <w:tcBorders>
              <w:top w:val="single" w:sz="4" w:space="0" w:color="auto"/>
              <w:bottom w:val="single" w:sz="4" w:space="0" w:color="auto"/>
            </w:tcBorders>
            <w:shd w:val="clear" w:color="auto" w:fill="auto"/>
          </w:tcPr>
          <w:p w14:paraId="74B1499F" w14:textId="77777777" w:rsidR="00077671" w:rsidRPr="00D12E59" w:rsidRDefault="00077671" w:rsidP="00077671">
            <w:pPr>
              <w:rPr>
                <w:rFonts w:ascii="Book Antiqua" w:hAnsi="Book Antiqua"/>
                <w:b/>
              </w:rPr>
            </w:pPr>
            <w:r w:rsidRPr="00D12E59">
              <w:rPr>
                <w:rFonts w:ascii="Book Antiqua" w:hAnsi="Book Antiqua"/>
                <w:b/>
              </w:rPr>
              <w:t>Sigma value</w:t>
            </w:r>
          </w:p>
        </w:tc>
        <w:tc>
          <w:tcPr>
            <w:tcW w:w="1527" w:type="dxa"/>
            <w:tcBorders>
              <w:top w:val="single" w:sz="4" w:space="0" w:color="auto"/>
              <w:bottom w:val="single" w:sz="4" w:space="0" w:color="auto"/>
            </w:tcBorders>
            <w:shd w:val="clear" w:color="auto" w:fill="auto"/>
          </w:tcPr>
          <w:p w14:paraId="50625A89" w14:textId="77777777" w:rsidR="00077671" w:rsidRPr="00D12E59" w:rsidRDefault="00077671" w:rsidP="00077671">
            <w:pPr>
              <w:rPr>
                <w:rFonts w:ascii="Book Antiqua" w:hAnsi="Book Antiqua"/>
                <w:b/>
              </w:rPr>
            </w:pPr>
            <w:r w:rsidRPr="00D12E59">
              <w:rPr>
                <w:rFonts w:ascii="Book Antiqua" w:hAnsi="Book Antiqua"/>
                <w:b/>
              </w:rPr>
              <w:t>PSNR</w:t>
            </w:r>
          </w:p>
        </w:tc>
      </w:tr>
      <w:tr w:rsidR="00077671" w:rsidRPr="00D12E59" w14:paraId="210332B6" w14:textId="77777777" w:rsidTr="00077671">
        <w:trPr>
          <w:trHeight w:val="188"/>
        </w:trPr>
        <w:tc>
          <w:tcPr>
            <w:tcW w:w="1812" w:type="dxa"/>
            <w:tcBorders>
              <w:top w:val="single" w:sz="4" w:space="0" w:color="auto"/>
            </w:tcBorders>
            <w:shd w:val="clear" w:color="auto" w:fill="auto"/>
          </w:tcPr>
          <w:p w14:paraId="4DCA7183" w14:textId="77777777" w:rsidR="00077671" w:rsidRPr="00D12E59" w:rsidRDefault="00077671" w:rsidP="00077671">
            <w:pPr>
              <w:rPr>
                <w:rFonts w:ascii="Book Antiqua" w:hAnsi="Book Antiqua"/>
              </w:rPr>
            </w:pPr>
            <w:r w:rsidRPr="00D12E59">
              <w:rPr>
                <w:rFonts w:ascii="Book Antiqua" w:hAnsi="Book Antiqua"/>
              </w:rPr>
              <w:t xml:space="preserve">Gaussian </w:t>
            </w:r>
          </w:p>
        </w:tc>
        <w:tc>
          <w:tcPr>
            <w:tcW w:w="1465" w:type="dxa"/>
            <w:tcBorders>
              <w:top w:val="single" w:sz="4" w:space="0" w:color="auto"/>
            </w:tcBorders>
            <w:shd w:val="clear" w:color="auto" w:fill="auto"/>
          </w:tcPr>
          <w:p w14:paraId="6A7184AE" w14:textId="77777777" w:rsidR="00077671" w:rsidRPr="00D12E59" w:rsidRDefault="00077671" w:rsidP="00077671">
            <w:pPr>
              <w:rPr>
                <w:rFonts w:ascii="Book Antiqua" w:hAnsi="Book Antiqua"/>
              </w:rPr>
            </w:pPr>
            <w:r w:rsidRPr="00D12E59">
              <w:rPr>
                <w:rFonts w:ascii="Book Antiqua" w:hAnsi="Book Antiqua"/>
              </w:rPr>
              <w:t>0.6745</w:t>
            </w:r>
          </w:p>
        </w:tc>
        <w:tc>
          <w:tcPr>
            <w:tcW w:w="1527" w:type="dxa"/>
            <w:tcBorders>
              <w:top w:val="single" w:sz="4" w:space="0" w:color="auto"/>
            </w:tcBorders>
            <w:shd w:val="clear" w:color="auto" w:fill="auto"/>
          </w:tcPr>
          <w:p w14:paraId="1FFBFC1A" w14:textId="77777777" w:rsidR="00077671" w:rsidRPr="00D12E59" w:rsidRDefault="00077671" w:rsidP="00077671">
            <w:pPr>
              <w:rPr>
                <w:rFonts w:ascii="Book Antiqua" w:hAnsi="Book Antiqua"/>
              </w:rPr>
            </w:pPr>
            <w:r w:rsidRPr="00D12E59">
              <w:rPr>
                <w:rFonts w:ascii="Book Antiqua" w:hAnsi="Book Antiqua"/>
              </w:rPr>
              <w:t>27.433</w:t>
            </w:r>
          </w:p>
        </w:tc>
      </w:tr>
      <w:tr w:rsidR="00077671" w:rsidRPr="00D12E59" w14:paraId="4EDB3344" w14:textId="77777777" w:rsidTr="00077671">
        <w:trPr>
          <w:trHeight w:val="188"/>
        </w:trPr>
        <w:tc>
          <w:tcPr>
            <w:tcW w:w="1812" w:type="dxa"/>
            <w:shd w:val="clear" w:color="auto" w:fill="auto"/>
          </w:tcPr>
          <w:p w14:paraId="12BD2B9D" w14:textId="77777777" w:rsidR="00077671" w:rsidRPr="00D12E59" w:rsidRDefault="00077671" w:rsidP="00077671">
            <w:pPr>
              <w:rPr>
                <w:rFonts w:ascii="Book Antiqua" w:hAnsi="Book Antiqua"/>
              </w:rPr>
            </w:pPr>
          </w:p>
        </w:tc>
        <w:tc>
          <w:tcPr>
            <w:tcW w:w="1465" w:type="dxa"/>
            <w:shd w:val="clear" w:color="auto" w:fill="auto"/>
          </w:tcPr>
          <w:p w14:paraId="7E3EE20D" w14:textId="77777777" w:rsidR="00077671" w:rsidRPr="00D12E59" w:rsidRDefault="00077671" w:rsidP="00077671">
            <w:pPr>
              <w:rPr>
                <w:rFonts w:ascii="Book Antiqua" w:hAnsi="Book Antiqua"/>
              </w:rPr>
            </w:pPr>
            <w:r w:rsidRPr="00D12E59">
              <w:rPr>
                <w:rFonts w:ascii="Book Antiqua" w:hAnsi="Book Antiqua"/>
              </w:rPr>
              <w:t>0.7745</w:t>
            </w:r>
          </w:p>
        </w:tc>
        <w:tc>
          <w:tcPr>
            <w:tcW w:w="1527" w:type="dxa"/>
            <w:shd w:val="clear" w:color="auto" w:fill="auto"/>
          </w:tcPr>
          <w:p w14:paraId="4D72F985" w14:textId="77777777" w:rsidR="00077671" w:rsidRPr="00D12E59" w:rsidRDefault="00077671" w:rsidP="00077671">
            <w:pPr>
              <w:rPr>
                <w:rFonts w:ascii="Book Antiqua" w:hAnsi="Book Antiqua"/>
              </w:rPr>
            </w:pPr>
            <w:r w:rsidRPr="00D12E59">
              <w:rPr>
                <w:rFonts w:ascii="Book Antiqua" w:hAnsi="Book Antiqua"/>
              </w:rPr>
              <w:t>28.505</w:t>
            </w:r>
          </w:p>
        </w:tc>
      </w:tr>
      <w:tr w:rsidR="00077671" w:rsidRPr="00D12E59" w14:paraId="44FD47A6" w14:textId="77777777" w:rsidTr="00077671">
        <w:trPr>
          <w:trHeight w:val="188"/>
        </w:trPr>
        <w:tc>
          <w:tcPr>
            <w:tcW w:w="1812" w:type="dxa"/>
            <w:shd w:val="clear" w:color="auto" w:fill="auto"/>
          </w:tcPr>
          <w:p w14:paraId="4A4A8A46" w14:textId="77777777" w:rsidR="00077671" w:rsidRPr="00D12E59" w:rsidRDefault="00077671" w:rsidP="00077671">
            <w:pPr>
              <w:rPr>
                <w:rFonts w:ascii="Book Antiqua" w:hAnsi="Book Antiqua"/>
              </w:rPr>
            </w:pPr>
          </w:p>
        </w:tc>
        <w:tc>
          <w:tcPr>
            <w:tcW w:w="1465" w:type="dxa"/>
            <w:shd w:val="clear" w:color="auto" w:fill="auto"/>
          </w:tcPr>
          <w:p w14:paraId="28A77FB7" w14:textId="77777777" w:rsidR="00077671" w:rsidRPr="00D12E59" w:rsidRDefault="00077671" w:rsidP="00077671">
            <w:pPr>
              <w:rPr>
                <w:rFonts w:ascii="Book Antiqua" w:hAnsi="Book Antiqua"/>
              </w:rPr>
            </w:pPr>
            <w:r w:rsidRPr="00D12E59">
              <w:rPr>
                <w:rFonts w:ascii="Book Antiqua" w:hAnsi="Book Antiqua"/>
              </w:rPr>
              <w:t>0.8745</w:t>
            </w:r>
          </w:p>
        </w:tc>
        <w:tc>
          <w:tcPr>
            <w:tcW w:w="1527" w:type="dxa"/>
            <w:shd w:val="clear" w:color="auto" w:fill="auto"/>
          </w:tcPr>
          <w:p w14:paraId="3CDB529E" w14:textId="77777777" w:rsidR="00077671" w:rsidRPr="00D12E59" w:rsidRDefault="00077671" w:rsidP="00077671">
            <w:pPr>
              <w:rPr>
                <w:rFonts w:ascii="Book Antiqua" w:hAnsi="Book Antiqua"/>
              </w:rPr>
            </w:pPr>
            <w:r w:rsidRPr="00D12E59">
              <w:rPr>
                <w:rFonts w:ascii="Book Antiqua" w:hAnsi="Book Antiqua"/>
              </w:rPr>
              <w:t>28.155</w:t>
            </w:r>
          </w:p>
        </w:tc>
      </w:tr>
      <w:tr w:rsidR="00077671" w:rsidRPr="00D12E59" w14:paraId="0C877D45" w14:textId="77777777" w:rsidTr="00077671">
        <w:trPr>
          <w:trHeight w:val="198"/>
        </w:trPr>
        <w:tc>
          <w:tcPr>
            <w:tcW w:w="1812" w:type="dxa"/>
            <w:shd w:val="clear" w:color="auto" w:fill="auto"/>
          </w:tcPr>
          <w:p w14:paraId="43B27363" w14:textId="77777777" w:rsidR="00077671" w:rsidRPr="00D12E59" w:rsidRDefault="00077671" w:rsidP="00077671">
            <w:pPr>
              <w:rPr>
                <w:rFonts w:ascii="Book Antiqua" w:hAnsi="Book Antiqua"/>
              </w:rPr>
            </w:pPr>
          </w:p>
        </w:tc>
        <w:tc>
          <w:tcPr>
            <w:tcW w:w="1465" w:type="dxa"/>
            <w:shd w:val="clear" w:color="auto" w:fill="auto"/>
          </w:tcPr>
          <w:p w14:paraId="30016CC4" w14:textId="77777777" w:rsidR="00077671" w:rsidRPr="00D12E59" w:rsidRDefault="00077671" w:rsidP="00077671">
            <w:pPr>
              <w:rPr>
                <w:rFonts w:ascii="Book Antiqua" w:hAnsi="Book Antiqua"/>
              </w:rPr>
            </w:pPr>
            <w:r w:rsidRPr="00D12E59">
              <w:rPr>
                <w:rFonts w:ascii="Book Antiqua" w:hAnsi="Book Antiqua"/>
              </w:rPr>
              <w:t>0.9745</w:t>
            </w:r>
          </w:p>
        </w:tc>
        <w:tc>
          <w:tcPr>
            <w:tcW w:w="1527" w:type="dxa"/>
            <w:shd w:val="clear" w:color="auto" w:fill="auto"/>
          </w:tcPr>
          <w:p w14:paraId="41B65FD6" w14:textId="77777777" w:rsidR="00077671" w:rsidRPr="00D12E59" w:rsidRDefault="00077671" w:rsidP="00077671">
            <w:pPr>
              <w:rPr>
                <w:rFonts w:ascii="Book Antiqua" w:hAnsi="Book Antiqua"/>
              </w:rPr>
            </w:pPr>
            <w:r w:rsidRPr="00D12E59">
              <w:rPr>
                <w:rFonts w:ascii="Book Antiqua" w:hAnsi="Book Antiqua"/>
              </w:rPr>
              <w:t>27.907</w:t>
            </w:r>
          </w:p>
        </w:tc>
      </w:tr>
      <w:tr w:rsidR="00077671" w:rsidRPr="00D12E59" w14:paraId="00A86DAC" w14:textId="77777777" w:rsidTr="00077671">
        <w:trPr>
          <w:trHeight w:val="188"/>
        </w:trPr>
        <w:tc>
          <w:tcPr>
            <w:tcW w:w="1812" w:type="dxa"/>
            <w:shd w:val="clear" w:color="auto" w:fill="auto"/>
          </w:tcPr>
          <w:p w14:paraId="44DD8274" w14:textId="77777777" w:rsidR="00077671" w:rsidRPr="00D12E59" w:rsidRDefault="00077671" w:rsidP="00077671">
            <w:pPr>
              <w:rPr>
                <w:rFonts w:ascii="Book Antiqua" w:hAnsi="Book Antiqua"/>
              </w:rPr>
            </w:pPr>
          </w:p>
        </w:tc>
        <w:tc>
          <w:tcPr>
            <w:tcW w:w="1465" w:type="dxa"/>
            <w:shd w:val="clear" w:color="auto" w:fill="auto"/>
          </w:tcPr>
          <w:p w14:paraId="00E27370" w14:textId="77777777" w:rsidR="00077671" w:rsidRPr="00D12E59" w:rsidRDefault="00077671" w:rsidP="00077671">
            <w:pPr>
              <w:rPr>
                <w:rFonts w:ascii="Book Antiqua" w:hAnsi="Book Antiqua"/>
              </w:rPr>
            </w:pPr>
            <w:r w:rsidRPr="00D12E59">
              <w:rPr>
                <w:rFonts w:ascii="Book Antiqua" w:hAnsi="Book Antiqua"/>
              </w:rPr>
              <w:t>1.5745</w:t>
            </w:r>
          </w:p>
        </w:tc>
        <w:tc>
          <w:tcPr>
            <w:tcW w:w="1527" w:type="dxa"/>
            <w:shd w:val="clear" w:color="auto" w:fill="auto"/>
          </w:tcPr>
          <w:p w14:paraId="0A733442" w14:textId="77777777" w:rsidR="00077671" w:rsidRPr="00D12E59" w:rsidRDefault="00077671" w:rsidP="00077671">
            <w:pPr>
              <w:rPr>
                <w:rFonts w:ascii="Book Antiqua" w:hAnsi="Book Antiqua"/>
              </w:rPr>
            </w:pPr>
            <w:r w:rsidRPr="00D12E59">
              <w:rPr>
                <w:rFonts w:ascii="Book Antiqua" w:hAnsi="Book Antiqua"/>
              </w:rPr>
              <w:t>27.615</w:t>
            </w:r>
          </w:p>
        </w:tc>
      </w:tr>
      <w:tr w:rsidR="00077671" w:rsidRPr="00D12E59" w14:paraId="746D4BC7" w14:textId="77777777" w:rsidTr="00077671">
        <w:trPr>
          <w:trHeight w:val="188"/>
        </w:trPr>
        <w:tc>
          <w:tcPr>
            <w:tcW w:w="1812" w:type="dxa"/>
            <w:shd w:val="clear" w:color="auto" w:fill="auto"/>
          </w:tcPr>
          <w:p w14:paraId="5884061C" w14:textId="77777777" w:rsidR="00077671" w:rsidRPr="00D12E59" w:rsidRDefault="00077671" w:rsidP="00077671">
            <w:pPr>
              <w:rPr>
                <w:rFonts w:ascii="Book Antiqua" w:hAnsi="Book Antiqua"/>
              </w:rPr>
            </w:pPr>
            <w:r w:rsidRPr="00D12E59">
              <w:rPr>
                <w:rFonts w:ascii="Book Antiqua" w:hAnsi="Book Antiqua"/>
              </w:rPr>
              <w:t>Poisson</w:t>
            </w:r>
          </w:p>
        </w:tc>
        <w:tc>
          <w:tcPr>
            <w:tcW w:w="1465" w:type="dxa"/>
            <w:shd w:val="clear" w:color="auto" w:fill="auto"/>
          </w:tcPr>
          <w:p w14:paraId="5BEB3F38" w14:textId="77777777" w:rsidR="00077671" w:rsidRPr="00D12E59" w:rsidRDefault="00077671" w:rsidP="00077671">
            <w:pPr>
              <w:rPr>
                <w:rFonts w:ascii="Book Antiqua" w:hAnsi="Book Antiqua"/>
              </w:rPr>
            </w:pPr>
            <w:r w:rsidRPr="00D12E59">
              <w:rPr>
                <w:rFonts w:ascii="Book Antiqua" w:hAnsi="Book Antiqua"/>
              </w:rPr>
              <w:t>0.6745</w:t>
            </w:r>
          </w:p>
        </w:tc>
        <w:tc>
          <w:tcPr>
            <w:tcW w:w="1527" w:type="dxa"/>
            <w:shd w:val="clear" w:color="auto" w:fill="auto"/>
          </w:tcPr>
          <w:p w14:paraId="6AE52946" w14:textId="77777777" w:rsidR="00077671" w:rsidRPr="00D12E59" w:rsidRDefault="00077671" w:rsidP="00077671">
            <w:pPr>
              <w:rPr>
                <w:rFonts w:ascii="Book Antiqua" w:hAnsi="Book Antiqua"/>
              </w:rPr>
            </w:pPr>
            <w:r w:rsidRPr="00D12E59">
              <w:rPr>
                <w:rFonts w:ascii="Book Antiqua" w:hAnsi="Book Antiqua"/>
              </w:rPr>
              <w:t>27.921</w:t>
            </w:r>
          </w:p>
        </w:tc>
      </w:tr>
      <w:tr w:rsidR="00077671" w:rsidRPr="00D12E59" w14:paraId="14CF75B6" w14:textId="77777777" w:rsidTr="00077671">
        <w:trPr>
          <w:trHeight w:val="188"/>
        </w:trPr>
        <w:tc>
          <w:tcPr>
            <w:tcW w:w="1812" w:type="dxa"/>
            <w:shd w:val="clear" w:color="auto" w:fill="auto"/>
          </w:tcPr>
          <w:p w14:paraId="2000FA1F" w14:textId="77777777" w:rsidR="00077671" w:rsidRPr="00D12E59" w:rsidRDefault="00077671" w:rsidP="00077671">
            <w:pPr>
              <w:rPr>
                <w:rFonts w:ascii="Book Antiqua" w:hAnsi="Book Antiqua"/>
              </w:rPr>
            </w:pPr>
          </w:p>
        </w:tc>
        <w:tc>
          <w:tcPr>
            <w:tcW w:w="1465" w:type="dxa"/>
            <w:shd w:val="clear" w:color="auto" w:fill="auto"/>
          </w:tcPr>
          <w:p w14:paraId="60882F3B" w14:textId="77777777" w:rsidR="00077671" w:rsidRPr="00D12E59" w:rsidRDefault="00077671" w:rsidP="00077671">
            <w:pPr>
              <w:rPr>
                <w:rFonts w:ascii="Book Antiqua" w:hAnsi="Book Antiqua"/>
              </w:rPr>
            </w:pPr>
            <w:r w:rsidRPr="00D12E59">
              <w:rPr>
                <w:rFonts w:ascii="Book Antiqua" w:hAnsi="Book Antiqua"/>
              </w:rPr>
              <w:t>0.7745</w:t>
            </w:r>
          </w:p>
        </w:tc>
        <w:tc>
          <w:tcPr>
            <w:tcW w:w="1527" w:type="dxa"/>
            <w:shd w:val="clear" w:color="auto" w:fill="auto"/>
          </w:tcPr>
          <w:p w14:paraId="6388DE92" w14:textId="77777777" w:rsidR="00077671" w:rsidRPr="00D12E59" w:rsidRDefault="00077671" w:rsidP="00077671">
            <w:pPr>
              <w:rPr>
                <w:rFonts w:ascii="Book Antiqua" w:hAnsi="Book Antiqua"/>
              </w:rPr>
            </w:pPr>
            <w:r w:rsidRPr="00D12E59">
              <w:rPr>
                <w:rFonts w:ascii="Book Antiqua" w:hAnsi="Book Antiqua"/>
              </w:rPr>
              <w:t>28.237</w:t>
            </w:r>
          </w:p>
        </w:tc>
      </w:tr>
      <w:tr w:rsidR="00077671" w:rsidRPr="00D12E59" w14:paraId="64E9ADD7" w14:textId="77777777" w:rsidTr="00077671">
        <w:trPr>
          <w:trHeight w:val="188"/>
        </w:trPr>
        <w:tc>
          <w:tcPr>
            <w:tcW w:w="1812" w:type="dxa"/>
            <w:shd w:val="clear" w:color="auto" w:fill="auto"/>
          </w:tcPr>
          <w:p w14:paraId="75E38574" w14:textId="77777777" w:rsidR="00077671" w:rsidRPr="00D12E59" w:rsidRDefault="00077671" w:rsidP="00077671">
            <w:pPr>
              <w:rPr>
                <w:rFonts w:ascii="Book Antiqua" w:hAnsi="Book Antiqua"/>
              </w:rPr>
            </w:pPr>
          </w:p>
        </w:tc>
        <w:tc>
          <w:tcPr>
            <w:tcW w:w="1465" w:type="dxa"/>
            <w:shd w:val="clear" w:color="auto" w:fill="auto"/>
          </w:tcPr>
          <w:p w14:paraId="3483B824" w14:textId="77777777" w:rsidR="00077671" w:rsidRPr="00D12E59" w:rsidRDefault="00077671" w:rsidP="00077671">
            <w:pPr>
              <w:rPr>
                <w:rFonts w:ascii="Book Antiqua" w:hAnsi="Book Antiqua"/>
              </w:rPr>
            </w:pPr>
            <w:r w:rsidRPr="00D12E59">
              <w:rPr>
                <w:rFonts w:ascii="Book Antiqua" w:hAnsi="Book Antiqua"/>
              </w:rPr>
              <w:t>0.8745</w:t>
            </w:r>
          </w:p>
        </w:tc>
        <w:tc>
          <w:tcPr>
            <w:tcW w:w="1527" w:type="dxa"/>
            <w:shd w:val="clear" w:color="auto" w:fill="auto"/>
          </w:tcPr>
          <w:p w14:paraId="3C3C0070" w14:textId="77777777" w:rsidR="00077671" w:rsidRPr="00D12E59" w:rsidRDefault="00077671" w:rsidP="00077671">
            <w:pPr>
              <w:rPr>
                <w:rFonts w:ascii="Book Antiqua" w:hAnsi="Book Antiqua"/>
              </w:rPr>
            </w:pPr>
            <w:r w:rsidRPr="00D12E59">
              <w:rPr>
                <w:rFonts w:ascii="Book Antiqua" w:hAnsi="Book Antiqua"/>
              </w:rPr>
              <w:t>28.629</w:t>
            </w:r>
          </w:p>
        </w:tc>
      </w:tr>
      <w:tr w:rsidR="00077671" w:rsidRPr="00D12E59" w14:paraId="28B558B5" w14:textId="77777777" w:rsidTr="00077671">
        <w:trPr>
          <w:trHeight w:val="188"/>
        </w:trPr>
        <w:tc>
          <w:tcPr>
            <w:tcW w:w="1812" w:type="dxa"/>
            <w:shd w:val="clear" w:color="auto" w:fill="auto"/>
          </w:tcPr>
          <w:p w14:paraId="73BEF32F" w14:textId="77777777" w:rsidR="00077671" w:rsidRPr="00D12E59" w:rsidRDefault="00077671" w:rsidP="00077671">
            <w:pPr>
              <w:rPr>
                <w:rFonts w:ascii="Book Antiqua" w:hAnsi="Book Antiqua"/>
              </w:rPr>
            </w:pPr>
          </w:p>
        </w:tc>
        <w:tc>
          <w:tcPr>
            <w:tcW w:w="1465" w:type="dxa"/>
            <w:shd w:val="clear" w:color="auto" w:fill="auto"/>
          </w:tcPr>
          <w:p w14:paraId="7F84495B" w14:textId="77777777" w:rsidR="00077671" w:rsidRPr="00D12E59" w:rsidRDefault="00077671" w:rsidP="00077671">
            <w:pPr>
              <w:rPr>
                <w:rFonts w:ascii="Book Antiqua" w:hAnsi="Book Antiqua"/>
              </w:rPr>
            </w:pPr>
            <w:r w:rsidRPr="00D12E59">
              <w:rPr>
                <w:rFonts w:ascii="Book Antiqua" w:hAnsi="Book Antiqua"/>
              </w:rPr>
              <w:t>0.9745</w:t>
            </w:r>
          </w:p>
        </w:tc>
        <w:tc>
          <w:tcPr>
            <w:tcW w:w="1527" w:type="dxa"/>
            <w:shd w:val="clear" w:color="auto" w:fill="auto"/>
          </w:tcPr>
          <w:p w14:paraId="10FF2EDC" w14:textId="77777777" w:rsidR="00077671" w:rsidRPr="00D12E59" w:rsidRDefault="00077671" w:rsidP="00077671">
            <w:pPr>
              <w:rPr>
                <w:rFonts w:ascii="Book Antiqua" w:hAnsi="Book Antiqua"/>
              </w:rPr>
            </w:pPr>
            <w:r w:rsidRPr="00D12E59">
              <w:rPr>
                <w:rFonts w:ascii="Book Antiqua" w:hAnsi="Book Antiqua"/>
              </w:rPr>
              <w:t>28.591</w:t>
            </w:r>
          </w:p>
        </w:tc>
      </w:tr>
      <w:tr w:rsidR="00077671" w:rsidRPr="00D12E59" w14:paraId="4577462B" w14:textId="77777777" w:rsidTr="00077671">
        <w:trPr>
          <w:trHeight w:val="188"/>
        </w:trPr>
        <w:tc>
          <w:tcPr>
            <w:tcW w:w="1812" w:type="dxa"/>
            <w:shd w:val="clear" w:color="auto" w:fill="auto"/>
          </w:tcPr>
          <w:p w14:paraId="5018E6BA" w14:textId="77777777" w:rsidR="00077671" w:rsidRPr="00D12E59" w:rsidRDefault="00077671" w:rsidP="00077671">
            <w:pPr>
              <w:rPr>
                <w:rFonts w:ascii="Book Antiqua" w:hAnsi="Book Antiqua"/>
              </w:rPr>
            </w:pPr>
          </w:p>
        </w:tc>
        <w:tc>
          <w:tcPr>
            <w:tcW w:w="1465" w:type="dxa"/>
            <w:shd w:val="clear" w:color="auto" w:fill="auto"/>
          </w:tcPr>
          <w:p w14:paraId="665858A4" w14:textId="77777777" w:rsidR="00077671" w:rsidRPr="00D12E59" w:rsidRDefault="00077671" w:rsidP="00077671">
            <w:pPr>
              <w:rPr>
                <w:rFonts w:ascii="Book Antiqua" w:hAnsi="Book Antiqua"/>
              </w:rPr>
            </w:pPr>
            <w:r w:rsidRPr="00D12E59">
              <w:rPr>
                <w:rFonts w:ascii="Book Antiqua" w:hAnsi="Book Antiqua"/>
              </w:rPr>
              <w:t>1.5745</w:t>
            </w:r>
          </w:p>
        </w:tc>
        <w:tc>
          <w:tcPr>
            <w:tcW w:w="1527" w:type="dxa"/>
            <w:shd w:val="clear" w:color="auto" w:fill="auto"/>
          </w:tcPr>
          <w:p w14:paraId="664D7B12" w14:textId="77777777" w:rsidR="00077671" w:rsidRPr="00D12E59" w:rsidRDefault="00077671" w:rsidP="00077671">
            <w:pPr>
              <w:rPr>
                <w:rFonts w:ascii="Book Antiqua" w:hAnsi="Book Antiqua"/>
              </w:rPr>
            </w:pPr>
            <w:r w:rsidRPr="00D12E59">
              <w:rPr>
                <w:rFonts w:ascii="Book Antiqua" w:hAnsi="Book Antiqua"/>
              </w:rPr>
              <w:t>28.918</w:t>
            </w:r>
          </w:p>
        </w:tc>
      </w:tr>
      <w:tr w:rsidR="00077671" w:rsidRPr="00D12E59" w14:paraId="3EA8F506" w14:textId="77777777" w:rsidTr="00077671">
        <w:trPr>
          <w:trHeight w:val="188"/>
        </w:trPr>
        <w:tc>
          <w:tcPr>
            <w:tcW w:w="1812" w:type="dxa"/>
            <w:shd w:val="clear" w:color="auto" w:fill="auto"/>
          </w:tcPr>
          <w:p w14:paraId="0BCBB74A" w14:textId="77777777" w:rsidR="00077671" w:rsidRPr="00D12E59" w:rsidRDefault="00077671" w:rsidP="00077671">
            <w:pPr>
              <w:rPr>
                <w:rFonts w:ascii="Book Antiqua" w:hAnsi="Book Antiqua"/>
              </w:rPr>
            </w:pPr>
            <w:r w:rsidRPr="00D12E59">
              <w:rPr>
                <w:rFonts w:ascii="Book Antiqua" w:hAnsi="Book Antiqua"/>
              </w:rPr>
              <w:t>Speckle</w:t>
            </w:r>
          </w:p>
        </w:tc>
        <w:tc>
          <w:tcPr>
            <w:tcW w:w="1465" w:type="dxa"/>
            <w:shd w:val="clear" w:color="auto" w:fill="auto"/>
          </w:tcPr>
          <w:p w14:paraId="2143594B" w14:textId="77777777" w:rsidR="00077671" w:rsidRPr="00D12E59" w:rsidRDefault="00077671" w:rsidP="00077671">
            <w:pPr>
              <w:rPr>
                <w:rFonts w:ascii="Book Antiqua" w:hAnsi="Book Antiqua"/>
              </w:rPr>
            </w:pPr>
            <w:r w:rsidRPr="00D12E59">
              <w:rPr>
                <w:rFonts w:ascii="Book Antiqua" w:hAnsi="Book Antiqua"/>
              </w:rPr>
              <w:t>0.6745</w:t>
            </w:r>
          </w:p>
        </w:tc>
        <w:tc>
          <w:tcPr>
            <w:tcW w:w="1527" w:type="dxa"/>
            <w:shd w:val="clear" w:color="auto" w:fill="auto"/>
          </w:tcPr>
          <w:p w14:paraId="2FC549B2" w14:textId="77777777" w:rsidR="00077671" w:rsidRPr="00D12E59" w:rsidRDefault="00077671" w:rsidP="00077671">
            <w:pPr>
              <w:rPr>
                <w:rFonts w:ascii="Book Antiqua" w:hAnsi="Book Antiqua"/>
              </w:rPr>
            </w:pPr>
            <w:r w:rsidRPr="00D12E59">
              <w:rPr>
                <w:rFonts w:ascii="Book Antiqua" w:hAnsi="Book Antiqua"/>
              </w:rPr>
              <w:t>27.491</w:t>
            </w:r>
          </w:p>
        </w:tc>
      </w:tr>
      <w:tr w:rsidR="00077671" w:rsidRPr="00D12E59" w14:paraId="501E172F" w14:textId="77777777" w:rsidTr="00077671">
        <w:trPr>
          <w:trHeight w:val="188"/>
        </w:trPr>
        <w:tc>
          <w:tcPr>
            <w:tcW w:w="1812" w:type="dxa"/>
            <w:shd w:val="clear" w:color="auto" w:fill="auto"/>
          </w:tcPr>
          <w:p w14:paraId="72CCCC55" w14:textId="77777777" w:rsidR="00077671" w:rsidRPr="00D12E59" w:rsidRDefault="00077671" w:rsidP="00077671">
            <w:pPr>
              <w:rPr>
                <w:rFonts w:ascii="Book Antiqua" w:hAnsi="Book Antiqua"/>
              </w:rPr>
            </w:pPr>
          </w:p>
        </w:tc>
        <w:tc>
          <w:tcPr>
            <w:tcW w:w="1465" w:type="dxa"/>
            <w:shd w:val="clear" w:color="auto" w:fill="auto"/>
          </w:tcPr>
          <w:p w14:paraId="35C7BAF6" w14:textId="77777777" w:rsidR="00077671" w:rsidRPr="00D12E59" w:rsidRDefault="00077671" w:rsidP="00077671">
            <w:pPr>
              <w:rPr>
                <w:rFonts w:ascii="Book Antiqua" w:hAnsi="Book Antiqua"/>
              </w:rPr>
            </w:pPr>
            <w:r w:rsidRPr="00D12E59">
              <w:rPr>
                <w:rFonts w:ascii="Book Antiqua" w:hAnsi="Book Antiqua"/>
              </w:rPr>
              <w:t>0.7745</w:t>
            </w:r>
          </w:p>
        </w:tc>
        <w:tc>
          <w:tcPr>
            <w:tcW w:w="1527" w:type="dxa"/>
            <w:shd w:val="clear" w:color="auto" w:fill="auto"/>
          </w:tcPr>
          <w:p w14:paraId="4A5C405D" w14:textId="77777777" w:rsidR="00077671" w:rsidRPr="00D12E59" w:rsidRDefault="00077671" w:rsidP="00077671">
            <w:pPr>
              <w:rPr>
                <w:rFonts w:ascii="Book Antiqua" w:hAnsi="Book Antiqua"/>
              </w:rPr>
            </w:pPr>
            <w:r w:rsidRPr="00D12E59">
              <w:rPr>
                <w:rFonts w:ascii="Book Antiqua" w:hAnsi="Book Antiqua"/>
              </w:rPr>
              <w:t>27.934</w:t>
            </w:r>
          </w:p>
        </w:tc>
      </w:tr>
      <w:tr w:rsidR="00077671" w:rsidRPr="00D12E59" w14:paraId="5271D01C" w14:textId="77777777" w:rsidTr="00077671">
        <w:trPr>
          <w:trHeight w:val="188"/>
        </w:trPr>
        <w:tc>
          <w:tcPr>
            <w:tcW w:w="1812" w:type="dxa"/>
            <w:shd w:val="clear" w:color="auto" w:fill="auto"/>
          </w:tcPr>
          <w:p w14:paraId="2D6C5964" w14:textId="77777777" w:rsidR="00077671" w:rsidRPr="00D12E59" w:rsidRDefault="00077671" w:rsidP="00077671">
            <w:pPr>
              <w:rPr>
                <w:rFonts w:ascii="Book Antiqua" w:hAnsi="Book Antiqua"/>
              </w:rPr>
            </w:pPr>
          </w:p>
        </w:tc>
        <w:tc>
          <w:tcPr>
            <w:tcW w:w="1465" w:type="dxa"/>
            <w:shd w:val="clear" w:color="auto" w:fill="auto"/>
          </w:tcPr>
          <w:p w14:paraId="30AE19B6" w14:textId="77777777" w:rsidR="00077671" w:rsidRPr="00D12E59" w:rsidRDefault="00077671" w:rsidP="00077671">
            <w:pPr>
              <w:rPr>
                <w:rFonts w:ascii="Book Antiqua" w:hAnsi="Book Antiqua"/>
              </w:rPr>
            </w:pPr>
            <w:r w:rsidRPr="00D12E59">
              <w:rPr>
                <w:rFonts w:ascii="Book Antiqua" w:hAnsi="Book Antiqua"/>
              </w:rPr>
              <w:t>0.8745</w:t>
            </w:r>
          </w:p>
        </w:tc>
        <w:tc>
          <w:tcPr>
            <w:tcW w:w="1527" w:type="dxa"/>
            <w:shd w:val="clear" w:color="auto" w:fill="auto"/>
          </w:tcPr>
          <w:p w14:paraId="221D206E" w14:textId="77777777" w:rsidR="00077671" w:rsidRPr="00D12E59" w:rsidRDefault="00077671" w:rsidP="00077671">
            <w:pPr>
              <w:rPr>
                <w:rFonts w:ascii="Book Antiqua" w:hAnsi="Book Antiqua"/>
              </w:rPr>
            </w:pPr>
            <w:r w:rsidRPr="00D12E59">
              <w:rPr>
                <w:rFonts w:ascii="Book Antiqua" w:hAnsi="Book Antiqua"/>
              </w:rPr>
              <w:t>27.939</w:t>
            </w:r>
          </w:p>
        </w:tc>
      </w:tr>
      <w:tr w:rsidR="00077671" w:rsidRPr="00D12E59" w14:paraId="1B620B46" w14:textId="77777777" w:rsidTr="00077671">
        <w:trPr>
          <w:trHeight w:val="188"/>
        </w:trPr>
        <w:tc>
          <w:tcPr>
            <w:tcW w:w="1812" w:type="dxa"/>
            <w:shd w:val="clear" w:color="auto" w:fill="auto"/>
          </w:tcPr>
          <w:p w14:paraId="7349AC31" w14:textId="77777777" w:rsidR="00077671" w:rsidRPr="00D12E59" w:rsidRDefault="00077671" w:rsidP="00077671">
            <w:pPr>
              <w:rPr>
                <w:rFonts w:ascii="Book Antiqua" w:hAnsi="Book Antiqua"/>
              </w:rPr>
            </w:pPr>
          </w:p>
        </w:tc>
        <w:tc>
          <w:tcPr>
            <w:tcW w:w="1465" w:type="dxa"/>
            <w:shd w:val="clear" w:color="auto" w:fill="auto"/>
          </w:tcPr>
          <w:p w14:paraId="6C5FD4D3" w14:textId="77777777" w:rsidR="00077671" w:rsidRPr="00D12E59" w:rsidRDefault="00077671" w:rsidP="00077671">
            <w:pPr>
              <w:rPr>
                <w:rFonts w:ascii="Book Antiqua" w:hAnsi="Book Antiqua"/>
              </w:rPr>
            </w:pPr>
            <w:r w:rsidRPr="00D12E59">
              <w:rPr>
                <w:rFonts w:ascii="Book Antiqua" w:hAnsi="Book Antiqua"/>
              </w:rPr>
              <w:t>0.9745</w:t>
            </w:r>
          </w:p>
        </w:tc>
        <w:tc>
          <w:tcPr>
            <w:tcW w:w="1527" w:type="dxa"/>
            <w:shd w:val="clear" w:color="auto" w:fill="auto"/>
          </w:tcPr>
          <w:p w14:paraId="33749AC3" w14:textId="77777777" w:rsidR="00077671" w:rsidRPr="00D12E59" w:rsidRDefault="00077671" w:rsidP="00077671">
            <w:pPr>
              <w:rPr>
                <w:rFonts w:ascii="Book Antiqua" w:hAnsi="Book Antiqua"/>
              </w:rPr>
            </w:pPr>
            <w:r w:rsidRPr="00D12E59">
              <w:rPr>
                <w:rFonts w:ascii="Book Antiqua" w:hAnsi="Book Antiqua"/>
              </w:rPr>
              <w:t>27.791</w:t>
            </w:r>
          </w:p>
        </w:tc>
      </w:tr>
      <w:tr w:rsidR="00077671" w:rsidRPr="00D12E59" w14:paraId="6F462B39" w14:textId="77777777" w:rsidTr="00077671">
        <w:trPr>
          <w:trHeight w:val="188"/>
        </w:trPr>
        <w:tc>
          <w:tcPr>
            <w:tcW w:w="1812" w:type="dxa"/>
            <w:shd w:val="clear" w:color="auto" w:fill="auto"/>
          </w:tcPr>
          <w:p w14:paraId="1B574D81" w14:textId="77777777" w:rsidR="00077671" w:rsidRPr="00D12E59" w:rsidRDefault="00077671" w:rsidP="00077671">
            <w:pPr>
              <w:rPr>
                <w:rFonts w:ascii="Book Antiqua" w:hAnsi="Book Antiqua"/>
              </w:rPr>
            </w:pPr>
          </w:p>
        </w:tc>
        <w:tc>
          <w:tcPr>
            <w:tcW w:w="1465" w:type="dxa"/>
            <w:shd w:val="clear" w:color="auto" w:fill="auto"/>
          </w:tcPr>
          <w:p w14:paraId="7F4515DE" w14:textId="77777777" w:rsidR="00077671" w:rsidRPr="00D12E59" w:rsidRDefault="00077671" w:rsidP="00077671">
            <w:pPr>
              <w:rPr>
                <w:rFonts w:ascii="Book Antiqua" w:hAnsi="Book Antiqua"/>
              </w:rPr>
            </w:pPr>
            <w:r w:rsidRPr="00D12E59">
              <w:rPr>
                <w:rFonts w:ascii="Book Antiqua" w:hAnsi="Book Antiqua"/>
              </w:rPr>
              <w:t>1.5745</w:t>
            </w:r>
          </w:p>
        </w:tc>
        <w:tc>
          <w:tcPr>
            <w:tcW w:w="1527" w:type="dxa"/>
            <w:shd w:val="clear" w:color="auto" w:fill="auto"/>
          </w:tcPr>
          <w:p w14:paraId="1864D4D8" w14:textId="77777777" w:rsidR="00077671" w:rsidRPr="00D12E59" w:rsidRDefault="00077671" w:rsidP="00077671">
            <w:pPr>
              <w:rPr>
                <w:rFonts w:ascii="Book Antiqua" w:hAnsi="Book Antiqua"/>
              </w:rPr>
            </w:pPr>
            <w:r w:rsidRPr="00D12E59">
              <w:rPr>
                <w:rFonts w:ascii="Book Antiqua" w:hAnsi="Book Antiqua"/>
              </w:rPr>
              <w:t>27.311</w:t>
            </w:r>
          </w:p>
        </w:tc>
      </w:tr>
      <w:tr w:rsidR="00077671" w:rsidRPr="00D12E59" w14:paraId="499F37B7" w14:textId="77777777" w:rsidTr="00077671">
        <w:trPr>
          <w:trHeight w:val="188"/>
        </w:trPr>
        <w:tc>
          <w:tcPr>
            <w:tcW w:w="1812" w:type="dxa"/>
            <w:shd w:val="clear" w:color="auto" w:fill="auto"/>
          </w:tcPr>
          <w:p w14:paraId="71F511DB" w14:textId="77777777" w:rsidR="00077671" w:rsidRPr="00D12E59" w:rsidRDefault="00077671" w:rsidP="00077671">
            <w:pPr>
              <w:rPr>
                <w:rFonts w:ascii="Book Antiqua" w:hAnsi="Book Antiqua"/>
              </w:rPr>
            </w:pPr>
            <w:r w:rsidRPr="00D12E59">
              <w:rPr>
                <w:rFonts w:ascii="Book Antiqua" w:hAnsi="Book Antiqua"/>
              </w:rPr>
              <w:t>Salt &amp; pepper</w:t>
            </w:r>
          </w:p>
        </w:tc>
        <w:tc>
          <w:tcPr>
            <w:tcW w:w="1465" w:type="dxa"/>
            <w:shd w:val="clear" w:color="auto" w:fill="auto"/>
          </w:tcPr>
          <w:p w14:paraId="61BAEAFA" w14:textId="77777777" w:rsidR="00077671" w:rsidRPr="00D12E59" w:rsidRDefault="00077671" w:rsidP="00077671">
            <w:pPr>
              <w:rPr>
                <w:rFonts w:ascii="Book Antiqua" w:hAnsi="Book Antiqua"/>
              </w:rPr>
            </w:pPr>
            <w:r w:rsidRPr="00D12E59">
              <w:rPr>
                <w:rFonts w:ascii="Book Antiqua" w:hAnsi="Book Antiqua"/>
              </w:rPr>
              <w:t>0.6745</w:t>
            </w:r>
          </w:p>
        </w:tc>
        <w:tc>
          <w:tcPr>
            <w:tcW w:w="1527" w:type="dxa"/>
            <w:shd w:val="clear" w:color="auto" w:fill="auto"/>
          </w:tcPr>
          <w:p w14:paraId="5AD572BA" w14:textId="77777777" w:rsidR="00077671" w:rsidRPr="00D12E59" w:rsidRDefault="00077671" w:rsidP="00077671">
            <w:pPr>
              <w:rPr>
                <w:rFonts w:ascii="Book Antiqua" w:hAnsi="Book Antiqua"/>
              </w:rPr>
            </w:pPr>
            <w:r w:rsidRPr="00D12E59">
              <w:rPr>
                <w:rFonts w:ascii="Book Antiqua" w:hAnsi="Book Antiqua"/>
              </w:rPr>
              <w:t>27.804</w:t>
            </w:r>
          </w:p>
        </w:tc>
      </w:tr>
      <w:tr w:rsidR="00077671" w:rsidRPr="00D12E59" w14:paraId="4063736B" w14:textId="77777777" w:rsidTr="00077671">
        <w:trPr>
          <w:trHeight w:val="188"/>
        </w:trPr>
        <w:tc>
          <w:tcPr>
            <w:tcW w:w="1812" w:type="dxa"/>
            <w:shd w:val="clear" w:color="auto" w:fill="auto"/>
          </w:tcPr>
          <w:p w14:paraId="7C2941C4" w14:textId="77777777" w:rsidR="00077671" w:rsidRPr="00D12E59" w:rsidRDefault="00077671" w:rsidP="00077671">
            <w:pPr>
              <w:rPr>
                <w:rFonts w:ascii="Book Antiqua" w:hAnsi="Book Antiqua"/>
              </w:rPr>
            </w:pPr>
          </w:p>
        </w:tc>
        <w:tc>
          <w:tcPr>
            <w:tcW w:w="1465" w:type="dxa"/>
            <w:shd w:val="clear" w:color="auto" w:fill="auto"/>
          </w:tcPr>
          <w:p w14:paraId="55CCF7AF" w14:textId="77777777" w:rsidR="00077671" w:rsidRPr="00D12E59" w:rsidRDefault="00077671" w:rsidP="00077671">
            <w:pPr>
              <w:rPr>
                <w:rFonts w:ascii="Book Antiqua" w:hAnsi="Book Antiqua"/>
              </w:rPr>
            </w:pPr>
            <w:r w:rsidRPr="00D12E59">
              <w:rPr>
                <w:rFonts w:ascii="Book Antiqua" w:hAnsi="Book Antiqua"/>
              </w:rPr>
              <w:t>0.7745</w:t>
            </w:r>
          </w:p>
        </w:tc>
        <w:tc>
          <w:tcPr>
            <w:tcW w:w="1527" w:type="dxa"/>
            <w:shd w:val="clear" w:color="auto" w:fill="auto"/>
          </w:tcPr>
          <w:p w14:paraId="3346DB9A" w14:textId="77777777" w:rsidR="00077671" w:rsidRPr="00D12E59" w:rsidRDefault="00077671" w:rsidP="00077671">
            <w:pPr>
              <w:rPr>
                <w:rFonts w:ascii="Book Antiqua" w:hAnsi="Book Antiqua"/>
              </w:rPr>
            </w:pPr>
            <w:r w:rsidRPr="00D12E59">
              <w:rPr>
                <w:rFonts w:ascii="Book Antiqua" w:hAnsi="Book Antiqua"/>
              </w:rPr>
              <w:t>28.156</w:t>
            </w:r>
          </w:p>
        </w:tc>
      </w:tr>
      <w:tr w:rsidR="00077671" w:rsidRPr="00D12E59" w14:paraId="51D8E4AC" w14:textId="77777777" w:rsidTr="00077671">
        <w:trPr>
          <w:trHeight w:val="188"/>
        </w:trPr>
        <w:tc>
          <w:tcPr>
            <w:tcW w:w="1812" w:type="dxa"/>
            <w:shd w:val="clear" w:color="auto" w:fill="auto"/>
          </w:tcPr>
          <w:p w14:paraId="424FACDB" w14:textId="77777777" w:rsidR="00077671" w:rsidRPr="00D12E59" w:rsidRDefault="00077671" w:rsidP="00077671">
            <w:pPr>
              <w:rPr>
                <w:rFonts w:ascii="Book Antiqua" w:hAnsi="Book Antiqua"/>
              </w:rPr>
            </w:pPr>
          </w:p>
        </w:tc>
        <w:tc>
          <w:tcPr>
            <w:tcW w:w="1465" w:type="dxa"/>
            <w:shd w:val="clear" w:color="auto" w:fill="auto"/>
          </w:tcPr>
          <w:p w14:paraId="05A7375C" w14:textId="77777777" w:rsidR="00077671" w:rsidRPr="00D12E59" w:rsidRDefault="00077671" w:rsidP="00077671">
            <w:pPr>
              <w:rPr>
                <w:rFonts w:ascii="Book Antiqua" w:hAnsi="Book Antiqua"/>
              </w:rPr>
            </w:pPr>
            <w:r w:rsidRPr="00D12E59">
              <w:rPr>
                <w:rFonts w:ascii="Book Antiqua" w:hAnsi="Book Antiqua"/>
              </w:rPr>
              <w:t>0.8745</w:t>
            </w:r>
          </w:p>
        </w:tc>
        <w:tc>
          <w:tcPr>
            <w:tcW w:w="1527" w:type="dxa"/>
            <w:shd w:val="clear" w:color="auto" w:fill="auto"/>
          </w:tcPr>
          <w:p w14:paraId="7B038A2D" w14:textId="77777777" w:rsidR="00077671" w:rsidRPr="00D12E59" w:rsidRDefault="00077671" w:rsidP="00077671">
            <w:pPr>
              <w:rPr>
                <w:rFonts w:ascii="Book Antiqua" w:hAnsi="Book Antiqua"/>
              </w:rPr>
            </w:pPr>
            <w:r w:rsidRPr="00D12E59">
              <w:rPr>
                <w:rFonts w:ascii="Book Antiqua" w:hAnsi="Book Antiqua"/>
              </w:rPr>
              <w:t>28.649</w:t>
            </w:r>
          </w:p>
        </w:tc>
      </w:tr>
      <w:tr w:rsidR="00077671" w:rsidRPr="00D12E59" w14:paraId="38034283" w14:textId="77777777" w:rsidTr="00077671">
        <w:trPr>
          <w:trHeight w:val="188"/>
        </w:trPr>
        <w:tc>
          <w:tcPr>
            <w:tcW w:w="1812" w:type="dxa"/>
            <w:shd w:val="clear" w:color="auto" w:fill="auto"/>
          </w:tcPr>
          <w:p w14:paraId="08C96BEF" w14:textId="77777777" w:rsidR="00077671" w:rsidRPr="00D12E59" w:rsidRDefault="00077671" w:rsidP="00077671">
            <w:pPr>
              <w:rPr>
                <w:rFonts w:ascii="Book Antiqua" w:hAnsi="Book Antiqua"/>
              </w:rPr>
            </w:pPr>
          </w:p>
        </w:tc>
        <w:tc>
          <w:tcPr>
            <w:tcW w:w="1465" w:type="dxa"/>
            <w:shd w:val="clear" w:color="auto" w:fill="auto"/>
          </w:tcPr>
          <w:p w14:paraId="323E744F" w14:textId="77777777" w:rsidR="00077671" w:rsidRPr="00D12E59" w:rsidRDefault="00077671" w:rsidP="00077671">
            <w:pPr>
              <w:rPr>
                <w:rFonts w:ascii="Book Antiqua" w:hAnsi="Book Antiqua"/>
              </w:rPr>
            </w:pPr>
            <w:r w:rsidRPr="00D12E59">
              <w:rPr>
                <w:rFonts w:ascii="Book Antiqua" w:hAnsi="Book Antiqua"/>
              </w:rPr>
              <w:t>0.9745</w:t>
            </w:r>
          </w:p>
        </w:tc>
        <w:tc>
          <w:tcPr>
            <w:tcW w:w="1527" w:type="dxa"/>
            <w:shd w:val="clear" w:color="auto" w:fill="auto"/>
          </w:tcPr>
          <w:p w14:paraId="2100D54A" w14:textId="77777777" w:rsidR="00077671" w:rsidRPr="00D12E59" w:rsidRDefault="00077671" w:rsidP="00077671">
            <w:pPr>
              <w:rPr>
                <w:rFonts w:ascii="Book Antiqua" w:hAnsi="Book Antiqua"/>
              </w:rPr>
            </w:pPr>
            <w:r w:rsidRPr="00D12E59">
              <w:rPr>
                <w:rFonts w:ascii="Book Antiqua" w:hAnsi="Book Antiqua"/>
              </w:rPr>
              <w:t>28.159</w:t>
            </w:r>
          </w:p>
        </w:tc>
      </w:tr>
      <w:tr w:rsidR="00077671" w:rsidRPr="00D12E59" w14:paraId="5B066D91" w14:textId="77777777" w:rsidTr="00077671">
        <w:trPr>
          <w:trHeight w:val="198"/>
        </w:trPr>
        <w:tc>
          <w:tcPr>
            <w:tcW w:w="1812" w:type="dxa"/>
            <w:shd w:val="clear" w:color="auto" w:fill="auto"/>
          </w:tcPr>
          <w:p w14:paraId="701B7221" w14:textId="77777777" w:rsidR="00077671" w:rsidRPr="00D12E59" w:rsidRDefault="00077671" w:rsidP="00077671">
            <w:pPr>
              <w:rPr>
                <w:rFonts w:ascii="Book Antiqua" w:hAnsi="Book Antiqua"/>
              </w:rPr>
            </w:pPr>
          </w:p>
        </w:tc>
        <w:tc>
          <w:tcPr>
            <w:tcW w:w="1465" w:type="dxa"/>
            <w:shd w:val="clear" w:color="auto" w:fill="auto"/>
          </w:tcPr>
          <w:p w14:paraId="67F65452" w14:textId="77777777" w:rsidR="00077671" w:rsidRPr="00D12E59" w:rsidRDefault="00077671" w:rsidP="00077671">
            <w:pPr>
              <w:rPr>
                <w:rFonts w:ascii="Book Antiqua" w:hAnsi="Book Antiqua"/>
              </w:rPr>
            </w:pPr>
            <w:r w:rsidRPr="00D12E59">
              <w:rPr>
                <w:rFonts w:ascii="Book Antiqua" w:hAnsi="Book Antiqua"/>
              </w:rPr>
              <w:t>1.5745</w:t>
            </w:r>
          </w:p>
        </w:tc>
        <w:tc>
          <w:tcPr>
            <w:tcW w:w="1527" w:type="dxa"/>
            <w:shd w:val="clear" w:color="auto" w:fill="auto"/>
          </w:tcPr>
          <w:p w14:paraId="700DC333" w14:textId="77777777" w:rsidR="00077671" w:rsidRPr="00D12E59" w:rsidRDefault="00077671" w:rsidP="00077671">
            <w:pPr>
              <w:rPr>
                <w:rFonts w:ascii="Book Antiqua" w:hAnsi="Book Antiqua"/>
              </w:rPr>
            </w:pPr>
            <w:r w:rsidRPr="00D12E59">
              <w:rPr>
                <w:rFonts w:ascii="Book Antiqua" w:hAnsi="Book Antiqua"/>
              </w:rPr>
              <w:t>30.469</w:t>
            </w:r>
          </w:p>
        </w:tc>
      </w:tr>
    </w:tbl>
    <w:p w14:paraId="20A63F33" w14:textId="77777777" w:rsidR="008713EC" w:rsidRPr="00E3232D" w:rsidRDefault="007005B1" w:rsidP="008275E1">
      <w:pPr>
        <w:rPr>
          <w:rFonts w:ascii="Book Antiqua" w:hAnsi="Book Antiqua"/>
        </w:rPr>
      </w:pPr>
      <w:r>
        <w:rPr>
          <w:rFonts w:ascii="Book Antiqua" w:hAnsi="Book Antiqua"/>
          <w:noProof/>
          <w:lang w:bidi="ar-SA"/>
        </w:rPr>
        <w:drawing>
          <wp:inline distT="0" distB="0" distL="0" distR="0" wp14:anchorId="0549EEE6" wp14:editId="005EAA40">
            <wp:extent cx="2771775" cy="1143000"/>
            <wp:effectExtent l="19050" t="0" r="9525" b="0"/>
            <wp:docPr id="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8"/>
                    <a:srcRect/>
                    <a:stretch>
                      <a:fillRect/>
                    </a:stretch>
                  </pic:blipFill>
                  <pic:spPr bwMode="auto">
                    <a:xfrm>
                      <a:off x="0" y="0"/>
                      <a:ext cx="2771775" cy="1143000"/>
                    </a:xfrm>
                    <a:prstGeom prst="rect">
                      <a:avLst/>
                    </a:prstGeom>
                    <a:noFill/>
                    <a:ln w="9525">
                      <a:noFill/>
                      <a:miter lim="800000"/>
                      <a:headEnd/>
                      <a:tailEnd/>
                    </a:ln>
                  </pic:spPr>
                </pic:pic>
              </a:graphicData>
            </a:graphic>
          </wp:inline>
        </w:drawing>
      </w:r>
    </w:p>
    <w:p w14:paraId="24D3541B" w14:textId="77777777" w:rsidR="00806C8E" w:rsidRDefault="008713EC" w:rsidP="008275E1">
      <w:pPr>
        <w:rPr>
          <w:rFonts w:ascii="Book Antiqua" w:hAnsi="Book Antiqua"/>
        </w:rPr>
      </w:pPr>
      <w:r w:rsidRPr="00E3232D">
        <w:rPr>
          <w:rFonts w:ascii="Book Antiqua" w:hAnsi="Book Antiqua"/>
        </w:rPr>
        <w:t>Figure 4 both graphs between PSNR &amp; different values of sigma.</w:t>
      </w:r>
    </w:p>
    <w:p w14:paraId="5A4E5BB6" w14:textId="77777777" w:rsidR="008713EC" w:rsidRPr="00E3232D" w:rsidRDefault="008713EC" w:rsidP="00077671">
      <w:pPr>
        <w:jc w:val="both"/>
        <w:rPr>
          <w:rFonts w:ascii="Book Antiqua" w:hAnsi="Book Antiqua"/>
        </w:rPr>
      </w:pPr>
      <w:r w:rsidRPr="00E3232D">
        <w:rPr>
          <w:rFonts w:ascii="Book Antiqua" w:hAnsi="Book Antiqua"/>
        </w:rPr>
        <w:t>The below mentioned simulation results are the plots for new thresholding</w:t>
      </w:r>
      <w:r w:rsidR="00200D58">
        <w:rPr>
          <w:rFonts w:ascii="Book Antiqua" w:hAnsi="Book Antiqua"/>
        </w:rPr>
        <w:t xml:space="preserve"> </w:t>
      </w:r>
      <w:r w:rsidRPr="00E3232D">
        <w:rPr>
          <w:rFonts w:ascii="Book Antiqua" w:hAnsi="Book Antiqua"/>
        </w:rPr>
        <w:t>function.</w:t>
      </w:r>
      <w:r w:rsidR="00200D58">
        <w:rPr>
          <w:rFonts w:ascii="Book Antiqua" w:hAnsi="Book Antiqua"/>
        </w:rPr>
        <w:t xml:space="preserve"> </w:t>
      </w:r>
      <w:r w:rsidRPr="00E3232D">
        <w:rPr>
          <w:rFonts w:ascii="Book Antiqua" w:hAnsi="Book Antiqua"/>
        </w:rPr>
        <w:t>Thefollowing two graphs are:First for Gaussian noise (PSNR Vs different values of sigma)</w:t>
      </w:r>
      <w:r w:rsidR="00200D58">
        <w:rPr>
          <w:rFonts w:ascii="Book Antiqua" w:hAnsi="Book Antiqua"/>
        </w:rPr>
        <w:t>.</w:t>
      </w:r>
    </w:p>
    <w:p w14:paraId="0B212F09" w14:textId="77777777" w:rsidR="00806C8E" w:rsidRDefault="00806C8E" w:rsidP="008275E1">
      <w:pPr>
        <w:rPr>
          <w:rFonts w:ascii="Book Antiqua" w:hAnsi="Book Antiqua"/>
        </w:rPr>
      </w:pPr>
    </w:p>
    <w:p w14:paraId="13161E8D" w14:textId="77777777" w:rsidR="008713EC" w:rsidRPr="00E3232D" w:rsidRDefault="008713EC" w:rsidP="00077671">
      <w:pPr>
        <w:jc w:val="both"/>
        <w:rPr>
          <w:rFonts w:ascii="Book Antiqua" w:hAnsi="Book Antiqua"/>
        </w:rPr>
      </w:pPr>
      <w:r w:rsidRPr="00E3232D">
        <w:rPr>
          <w:rFonts w:ascii="Book Antiqua" w:hAnsi="Book Antiqua"/>
        </w:rPr>
        <w:t>Second for Poisson noise (PSNR Vs different values of sigma)</w:t>
      </w:r>
    </w:p>
    <w:p w14:paraId="529EB621" w14:textId="77777777" w:rsidR="008713EC" w:rsidRPr="00E3232D" w:rsidRDefault="007005B1" w:rsidP="008275E1">
      <w:pPr>
        <w:rPr>
          <w:rFonts w:ascii="Book Antiqua" w:hAnsi="Book Antiqua"/>
        </w:rPr>
      </w:pPr>
      <w:r>
        <w:rPr>
          <w:rFonts w:ascii="Book Antiqua" w:hAnsi="Book Antiqua"/>
          <w:noProof/>
          <w:lang w:bidi="ar-SA"/>
        </w:rPr>
        <w:drawing>
          <wp:inline distT="0" distB="0" distL="0" distR="0" wp14:anchorId="4AB611AC" wp14:editId="45D0C4B5">
            <wp:extent cx="2771775" cy="828675"/>
            <wp:effectExtent l="19050" t="0" r="9525" b="0"/>
            <wp:docPr id="1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a:srcRect/>
                    <a:stretch>
                      <a:fillRect/>
                    </a:stretch>
                  </pic:blipFill>
                  <pic:spPr bwMode="auto">
                    <a:xfrm>
                      <a:off x="0" y="0"/>
                      <a:ext cx="2771775" cy="828675"/>
                    </a:xfrm>
                    <a:prstGeom prst="rect">
                      <a:avLst/>
                    </a:prstGeom>
                    <a:noFill/>
                    <a:ln w="9525">
                      <a:noFill/>
                      <a:miter lim="800000"/>
                      <a:headEnd/>
                      <a:tailEnd/>
                    </a:ln>
                  </pic:spPr>
                </pic:pic>
              </a:graphicData>
            </a:graphic>
          </wp:inline>
        </w:drawing>
      </w:r>
    </w:p>
    <w:p w14:paraId="2DBDDE97" w14:textId="77777777" w:rsidR="008713EC" w:rsidRPr="00E3232D" w:rsidRDefault="008713EC" w:rsidP="00077671">
      <w:pPr>
        <w:jc w:val="both"/>
        <w:rPr>
          <w:rFonts w:ascii="Book Antiqua" w:hAnsi="Book Antiqua"/>
        </w:rPr>
      </w:pPr>
      <w:r w:rsidRPr="00E3232D">
        <w:rPr>
          <w:rFonts w:ascii="Book Antiqua" w:hAnsi="Book Antiqua"/>
        </w:rPr>
        <w:t>Figure 5 both graphs between PSNR &amp; different values of sigma.</w:t>
      </w:r>
    </w:p>
    <w:p w14:paraId="68110F16" w14:textId="77777777" w:rsidR="004A1C7D" w:rsidRPr="00806C8E" w:rsidRDefault="008713EC" w:rsidP="00077671">
      <w:pPr>
        <w:jc w:val="both"/>
        <w:rPr>
          <w:rFonts w:ascii="Book Antiqua" w:hAnsi="Book Antiqua"/>
        </w:rPr>
      </w:pPr>
      <w:r w:rsidRPr="00E3232D">
        <w:rPr>
          <w:rFonts w:ascii="Book Antiqua" w:hAnsi="Book Antiqua"/>
        </w:rPr>
        <w:t>All the above discussed ideas, different plots, and simulation results are related to the performance evaluation of this project. The plots showed the better performance compare with conventional method and the important things is that it can be seen that median filter is suitable to de-noise the noisyimage with noise Poisson and best in salt &amp; pepper noise.</w:t>
      </w:r>
    </w:p>
    <w:p w14:paraId="717C9CBA" w14:textId="77777777" w:rsidR="008713EC" w:rsidRPr="00077671" w:rsidRDefault="008713EC" w:rsidP="008275E1">
      <w:pPr>
        <w:rPr>
          <w:rFonts w:ascii="Book Antiqua" w:hAnsi="Book Antiqua"/>
          <w:b/>
        </w:rPr>
      </w:pPr>
      <w:r w:rsidRPr="00E3232D">
        <w:rPr>
          <w:rFonts w:ascii="Book Antiqua" w:hAnsi="Book Antiqua"/>
          <w:b/>
        </w:rPr>
        <w:t>Table: 1 Different noise having different values of PSNR corresponding to different values of sigma.</w:t>
      </w:r>
    </w:p>
    <w:p w14:paraId="54956E53" w14:textId="77777777" w:rsidR="008713EC" w:rsidRPr="00E3232D" w:rsidRDefault="008713EC" w:rsidP="008275E1">
      <w:pPr>
        <w:rPr>
          <w:rFonts w:ascii="Book Antiqua" w:hAnsi="Book Antiqua"/>
          <w:b/>
          <w:bCs/>
          <w:vertAlign w:val="subscript"/>
        </w:rPr>
      </w:pPr>
    </w:p>
    <w:p w14:paraId="03B64F95" w14:textId="77777777" w:rsidR="008713EC" w:rsidRPr="00E3232D" w:rsidRDefault="008713EC" w:rsidP="00077671">
      <w:pPr>
        <w:jc w:val="both"/>
        <w:rPr>
          <w:rFonts w:ascii="Book Antiqua" w:hAnsi="Book Antiqua"/>
          <w:b/>
          <w:bCs/>
        </w:rPr>
      </w:pPr>
      <w:r w:rsidRPr="00E3232D">
        <w:rPr>
          <w:rFonts w:ascii="Book Antiqua" w:hAnsi="Book Antiqua"/>
          <w:b/>
          <w:bCs/>
        </w:rPr>
        <w:t>4.</w:t>
      </w:r>
      <w:r w:rsidR="008214F9">
        <w:rPr>
          <w:rFonts w:ascii="Book Antiqua" w:hAnsi="Book Antiqua"/>
          <w:b/>
          <w:bCs/>
        </w:rPr>
        <w:t>0</w:t>
      </w:r>
      <w:r w:rsidRPr="00E3232D">
        <w:rPr>
          <w:rFonts w:ascii="Book Antiqua" w:hAnsi="Book Antiqua"/>
          <w:b/>
          <w:bCs/>
        </w:rPr>
        <w:t xml:space="preserve"> </w:t>
      </w:r>
      <w:r w:rsidR="00077671" w:rsidRPr="00077671">
        <w:rPr>
          <w:rFonts w:ascii="Book Antiqua" w:hAnsi="Book Antiqua"/>
          <w:b/>
          <w:bCs/>
          <w:sz w:val="26"/>
        </w:rPr>
        <w:t>Conclusion</w:t>
      </w:r>
      <w:r w:rsidR="00077671" w:rsidRPr="00E3232D">
        <w:rPr>
          <w:rFonts w:ascii="Book Antiqua" w:hAnsi="Book Antiqua"/>
          <w:b/>
          <w:bCs/>
        </w:rPr>
        <w:t xml:space="preserve"> </w:t>
      </w:r>
    </w:p>
    <w:p w14:paraId="0417AA0D" w14:textId="77777777" w:rsidR="008713EC" w:rsidRPr="00E3232D" w:rsidRDefault="008713EC" w:rsidP="006B1FA3">
      <w:pPr>
        <w:spacing w:after="0"/>
        <w:jc w:val="both"/>
        <w:rPr>
          <w:rFonts w:ascii="Book Antiqua" w:hAnsi="Book Antiqua"/>
        </w:rPr>
      </w:pPr>
      <w:r w:rsidRPr="00E3232D">
        <w:rPr>
          <w:rFonts w:ascii="Book Antiqua" w:hAnsi="Book Antiqua"/>
        </w:rPr>
        <w:t>The efficient wavelet-based image de-noising methods are proposed and utilized in different image de-noising applications. A remarkable point is that Gaussian, Poisson, salt and pepper,and speckle noise reduction subjects are considered together. The present studyis efficient in suppressing four cases. Another important consideration is that the methods are utilized in universal threshold and sub-band adaptive cases as compared with similar methods. Implementing the method in spatial adaptive case can be the subject of future work. However, these methods only consider the primary properties of wavelet transform. Utilizing secondary wavelet properties such as parent-child relation in network learning can be another topic for future work and may improve the efficiency of the method.The simulation results show that the present study ofthresholding function has superior features compared to conventional methods when used with the proposed adaptive learning types. This makes it an efficient method in image denoising applications.</w:t>
      </w:r>
    </w:p>
    <w:p w14:paraId="1AE35A90" w14:textId="77777777" w:rsidR="008713EC" w:rsidRPr="006B1FA3" w:rsidRDefault="008214F9" w:rsidP="006B1FA3">
      <w:pPr>
        <w:pStyle w:val="Heading1"/>
        <w:spacing w:before="0"/>
        <w:rPr>
          <w:rFonts w:ascii="Book Antiqua" w:hAnsi="Book Antiqua"/>
          <w:sz w:val="40"/>
          <w:szCs w:val="26"/>
          <w:vertAlign w:val="subscript"/>
        </w:rPr>
      </w:pPr>
      <w:r w:rsidRPr="006B1FA3">
        <w:rPr>
          <w:rFonts w:ascii="Book Antiqua" w:hAnsi="Book Antiqua"/>
          <w:sz w:val="40"/>
          <w:szCs w:val="26"/>
          <w:vertAlign w:val="subscript"/>
        </w:rPr>
        <w:t>5.</w:t>
      </w:r>
      <w:r w:rsidR="006B1FA3">
        <w:rPr>
          <w:rFonts w:ascii="Book Antiqua" w:hAnsi="Book Antiqua"/>
          <w:sz w:val="40"/>
          <w:szCs w:val="26"/>
          <w:vertAlign w:val="subscript"/>
        </w:rPr>
        <w:t xml:space="preserve">0 </w:t>
      </w:r>
      <w:r w:rsidRPr="006B1FA3">
        <w:rPr>
          <w:rFonts w:ascii="Book Antiqua" w:hAnsi="Book Antiqua"/>
          <w:sz w:val="40"/>
          <w:szCs w:val="26"/>
          <w:vertAlign w:val="subscript"/>
        </w:rPr>
        <w:t xml:space="preserve"> References</w:t>
      </w:r>
    </w:p>
    <w:p w14:paraId="1F1615BD"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 xml:space="preserve">Mehdi Nasri, HosseinNezamabadi-pour, (2009).‘‘Image denoising in the wavelet domain using a new adaptive thresholding function’’, Department of Electrical Engineering, ShahidBahonar University of Kerman,P.O.Box76169-133, Kerman, Iran Received 3 February 2008 Received in revised form 29 March 2008 Accepted 14 April 2008 Communicated by R. Capobianco Guido Available online 21 May 2008, </w:t>
      </w:r>
      <w:r w:rsidRPr="006B1FA3">
        <w:rPr>
          <w:rFonts w:ascii="Book Antiqua" w:hAnsi="Book Antiqua"/>
          <w:i/>
          <w:iCs/>
        </w:rPr>
        <w:t>Neurocomputing</w:t>
      </w:r>
      <w:r w:rsidRPr="006B1FA3">
        <w:rPr>
          <w:rFonts w:ascii="Book Antiqua" w:hAnsi="Book Antiqua"/>
        </w:rPr>
        <w:t>72 ,1012– 1025.</w:t>
      </w:r>
    </w:p>
    <w:p w14:paraId="2D4CBBD1"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A.Achim,A.Bezerianos,P.Tsakalides, (2001). ‘‘NovelBayesianmultiscalemethodfor speckle removalinmedicalultrasoundImages’’,</w:t>
      </w:r>
      <w:r w:rsidRPr="006B1FA3">
        <w:rPr>
          <w:rFonts w:ascii="Book Antiqua" w:hAnsi="Book Antiqua"/>
          <w:i/>
        </w:rPr>
        <w:t>IEEETrans.</w:t>
      </w:r>
      <w:r w:rsidRPr="006B1FA3">
        <w:rPr>
          <w:rFonts w:ascii="Book Antiqua" w:hAnsi="Book Antiqua"/>
        </w:rPr>
        <w:t>Med.Imaging20 (8) ,772–783.</w:t>
      </w:r>
    </w:p>
    <w:p w14:paraId="73CE17B1"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S.Chang, B.Yu,M.Vetterli, (2000) .‘‘Adaptivewaveletthresholdingforimagedenoising andcompression’’,</w:t>
      </w:r>
      <w:r w:rsidRPr="006B1FA3">
        <w:rPr>
          <w:rFonts w:ascii="Book Antiqua" w:hAnsi="Book Antiqua"/>
          <w:i/>
        </w:rPr>
        <w:t>IEEETrans.</w:t>
      </w:r>
      <w:r w:rsidRPr="006B1FA3">
        <w:rPr>
          <w:rFonts w:ascii="Book Antiqua" w:hAnsi="Book Antiqua"/>
        </w:rPr>
        <w:t xml:space="preserve">ImageProcess.91532–1546. </w:t>
      </w:r>
    </w:p>
    <w:p w14:paraId="446FC82D"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 xml:space="preserve">G.Y.Chen,T.D.Bui,A.Krzyzak, (2005). ‘‘Imagedenoisingwithneighbourdependency and customizedwaveletandthreshold’’,PatternRecogn.38,115–124. </w:t>
      </w:r>
    </w:p>
    <w:p w14:paraId="0F5F4F53"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Y.Chen,A.Raheja, (2005) .‘‘Waveletliftingforspecklenoisereductionin ultrasound images’’, in ProceedingsofIEEEEngineeringinMedicineandBiology27th Annual Conference,Shanghai,China, pp.3129–3132.</w:t>
      </w:r>
    </w:p>
    <w:p w14:paraId="5672E8FC"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 xml:space="preserve">D.Cho,T.D.Bui, (2005) .‘‘Multivariatestatisticalmodelingforimagedenoisingusingwavelettransforms’’,Signal Process ImageCommon.2077–89. </w:t>
      </w:r>
    </w:p>
    <w:p w14:paraId="1160F07A"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M.S.Crouse,R.D.Nowak,R.G.Baraniuk, (1998). ‘‘Wavelet-basedsignalprocessing using hiddenMarkovmodels’’,</w:t>
      </w:r>
      <w:r w:rsidRPr="006B1FA3">
        <w:rPr>
          <w:rFonts w:ascii="Book Antiqua" w:hAnsi="Book Antiqua"/>
          <w:i/>
        </w:rPr>
        <w:t>IEEETrans.</w:t>
      </w:r>
      <w:r w:rsidRPr="006B1FA3">
        <w:rPr>
          <w:rFonts w:ascii="Book Antiqua" w:hAnsi="Book Antiqua"/>
        </w:rPr>
        <w:t xml:space="preserve">SignalProcess.46886–902. </w:t>
      </w:r>
    </w:p>
    <w:p w14:paraId="4EF6457F"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 xml:space="preserve">D.L.Donoho,I.M.Johnstone, (1994). ‘‘Idealspatialadaptationbywaveletshrinkage’’, Biometric 81(3) 425–455. </w:t>
      </w:r>
    </w:p>
    <w:p w14:paraId="58D4F66C"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 xml:space="preserve">D.L.Donoho,I.M. John stone, (1995). ‘‘Adaptingtounknownsmoothnessviawavelet shrinkage’’, J.Am.Stat. Assoc. 90 (432),1200–1224. </w:t>
      </w:r>
    </w:p>
    <w:p w14:paraId="7CFE6C8A"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H.Gao,‘‘Waveletshrinkagedenoisingusingthenon-negativegarrote’’, J. Comput. Graph.Stat.7 (1998).469–488.</w:t>
      </w:r>
    </w:p>
    <w:p w14:paraId="4796EC22"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 xml:space="preserve">H.Gao,A.G.Bruce,‘‘WaveShrinkwithfirmshrinkage’’, Stat.Sin.7 (1997). 855–874. </w:t>
      </w:r>
    </w:p>
    <w:p w14:paraId="03EDB3E4"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R.C.Gonzalez,R.E.Woods, (2002). ‘‘DigitalImageProcessing’’,seconded.Prentice-Hall, Inc.,.</w:t>
      </w:r>
    </w:p>
    <w:p w14:paraId="511AD5A5"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S.Gupta,R.C.Chauhan,S.C.Sexana, (2004). ‘‘Wavelet-basedstatisticalapproachfor speckle reductioninmedicalultrasoundimage’’,Med.Biol.Eng.Comput.42, 182–192.</w:t>
      </w:r>
    </w:p>
    <w:p w14:paraId="0D82EE0A"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S. Haykin, (1996). ‘‘Adaptive Filter Theory’’, Prentice-Hall, Englewood Cliffs, NJ,.</w:t>
      </w:r>
    </w:p>
    <w:p w14:paraId="72F2B9F7" w14:textId="77777777" w:rsidR="008713EC" w:rsidRPr="006B1FA3" w:rsidRDefault="008713EC" w:rsidP="00F02F21">
      <w:pPr>
        <w:ind w:left="810" w:right="-797" w:hanging="810"/>
        <w:jc w:val="both"/>
        <w:rPr>
          <w:rFonts w:ascii="Book Antiqua" w:hAnsi="Book Antiqua"/>
        </w:rPr>
      </w:pPr>
      <w:r w:rsidRPr="006B1FA3">
        <w:rPr>
          <w:rFonts w:ascii="Book Antiqua" w:hAnsi="Book Antiqua"/>
        </w:rPr>
        <w:t xml:space="preserve">S. Haykin, (1999). Neural Network: ‘‘A Comprehensive Foundation’’, second ed., Prentice-Hall, NJ.  </w:t>
      </w:r>
    </w:p>
    <w:p w14:paraId="64D52BBE" w14:textId="77777777" w:rsidR="008713EC" w:rsidRPr="00E3232D" w:rsidRDefault="008713EC" w:rsidP="00F02F21">
      <w:pPr>
        <w:ind w:left="810" w:right="-797" w:hanging="810"/>
        <w:jc w:val="both"/>
        <w:rPr>
          <w:rFonts w:ascii="Book Antiqua" w:hAnsi="Book Antiqua"/>
        </w:rPr>
      </w:pPr>
    </w:p>
    <w:p w14:paraId="60FC1155" w14:textId="77777777" w:rsidR="0006162A" w:rsidRDefault="0006162A" w:rsidP="00077671">
      <w:pPr>
        <w:autoSpaceDE w:val="0"/>
        <w:autoSpaceDN w:val="0"/>
        <w:adjustRightInd w:val="0"/>
        <w:jc w:val="both"/>
        <w:rPr>
          <w:rFonts w:ascii="Book Antiqua" w:hAnsi="Book Antiqua"/>
          <w:b/>
        </w:rPr>
        <w:sectPr w:rsidR="0006162A" w:rsidSect="008F6BC9">
          <w:type w:val="continuous"/>
          <w:pgSz w:w="11907" w:h="16839" w:code="9"/>
          <w:pgMar w:top="1440" w:right="1440" w:bottom="1440" w:left="1440" w:header="720" w:footer="720" w:gutter="0"/>
          <w:cols w:num="2" w:space="720"/>
          <w:docGrid w:linePitch="360"/>
        </w:sectPr>
      </w:pPr>
    </w:p>
    <w:p w14:paraId="4131C6A4" w14:textId="77777777" w:rsidR="00B752AF" w:rsidRPr="00E3232D" w:rsidRDefault="00B752AF" w:rsidP="00077671">
      <w:pPr>
        <w:autoSpaceDE w:val="0"/>
        <w:autoSpaceDN w:val="0"/>
        <w:adjustRightInd w:val="0"/>
        <w:jc w:val="both"/>
        <w:rPr>
          <w:rFonts w:ascii="Book Antiqua" w:hAnsi="Book Antiqua"/>
          <w:b/>
        </w:rPr>
      </w:pPr>
    </w:p>
    <w:p w14:paraId="2D9E5679" w14:textId="77777777" w:rsidR="00D555FD" w:rsidRPr="00E3232D" w:rsidRDefault="00D555FD" w:rsidP="008275E1">
      <w:pPr>
        <w:autoSpaceDE w:val="0"/>
        <w:autoSpaceDN w:val="0"/>
        <w:adjustRightInd w:val="0"/>
        <w:rPr>
          <w:rFonts w:ascii="Book Antiqua" w:hAnsi="Book Antiqua"/>
          <w:b/>
        </w:rPr>
      </w:pPr>
    </w:p>
    <w:p w14:paraId="2E683214" w14:textId="77777777" w:rsidR="00D555FD" w:rsidRPr="00E3232D" w:rsidRDefault="00D555FD" w:rsidP="008275E1">
      <w:pPr>
        <w:autoSpaceDE w:val="0"/>
        <w:autoSpaceDN w:val="0"/>
        <w:adjustRightInd w:val="0"/>
        <w:rPr>
          <w:rFonts w:ascii="Book Antiqua" w:hAnsi="Book Antiqua"/>
          <w:b/>
        </w:rPr>
      </w:pPr>
    </w:p>
    <w:p w14:paraId="6E560619" w14:textId="77777777" w:rsidR="00D555FD" w:rsidRPr="00E3232D" w:rsidRDefault="00D555FD" w:rsidP="008275E1">
      <w:pPr>
        <w:autoSpaceDE w:val="0"/>
        <w:autoSpaceDN w:val="0"/>
        <w:adjustRightInd w:val="0"/>
        <w:rPr>
          <w:rFonts w:ascii="Book Antiqua" w:hAnsi="Book Antiqua"/>
          <w:b/>
        </w:rPr>
      </w:pPr>
    </w:p>
    <w:p w14:paraId="7534EF4E" w14:textId="77777777" w:rsidR="007817EA" w:rsidRDefault="007817EA" w:rsidP="008275E1">
      <w:pPr>
        <w:autoSpaceDE w:val="0"/>
        <w:autoSpaceDN w:val="0"/>
        <w:adjustRightInd w:val="0"/>
        <w:rPr>
          <w:rFonts w:ascii="Book Antiqua" w:hAnsi="Book Antiqua"/>
          <w:b/>
        </w:rPr>
        <w:sectPr w:rsidR="007817EA" w:rsidSect="008F6BC9">
          <w:type w:val="continuous"/>
          <w:pgSz w:w="11907" w:h="16839" w:code="9"/>
          <w:pgMar w:top="1440" w:right="1440" w:bottom="1440" w:left="1440" w:header="720" w:footer="720" w:gutter="0"/>
          <w:cols w:space="720"/>
          <w:docGrid w:linePitch="360"/>
        </w:sectPr>
      </w:pPr>
    </w:p>
    <w:p w14:paraId="0ACD77DA" w14:textId="77777777" w:rsidR="00D555FD" w:rsidRPr="00E3232D" w:rsidRDefault="00D555FD" w:rsidP="008275E1">
      <w:pPr>
        <w:autoSpaceDE w:val="0"/>
        <w:autoSpaceDN w:val="0"/>
        <w:adjustRightInd w:val="0"/>
        <w:rPr>
          <w:rFonts w:ascii="Book Antiqua" w:hAnsi="Book Antiqua"/>
          <w:b/>
        </w:rPr>
      </w:pPr>
    </w:p>
    <w:p w14:paraId="077BAB0F" w14:textId="77777777" w:rsidR="00D555FD" w:rsidRDefault="00D555FD" w:rsidP="008275E1">
      <w:pPr>
        <w:autoSpaceDE w:val="0"/>
        <w:autoSpaceDN w:val="0"/>
        <w:adjustRightInd w:val="0"/>
        <w:rPr>
          <w:rFonts w:ascii="Book Antiqua" w:hAnsi="Book Antiqua"/>
          <w:b/>
        </w:rPr>
      </w:pPr>
    </w:p>
    <w:p w14:paraId="2E5E0F27" w14:textId="77777777" w:rsidR="00077671" w:rsidRDefault="00077671" w:rsidP="008275E1">
      <w:pPr>
        <w:autoSpaceDE w:val="0"/>
        <w:autoSpaceDN w:val="0"/>
        <w:adjustRightInd w:val="0"/>
        <w:rPr>
          <w:rFonts w:ascii="Book Antiqua" w:hAnsi="Book Antiqua"/>
          <w:b/>
        </w:rPr>
      </w:pPr>
    </w:p>
    <w:p w14:paraId="6978278D" w14:textId="77777777" w:rsidR="00077671" w:rsidRDefault="00077671" w:rsidP="008275E1">
      <w:pPr>
        <w:autoSpaceDE w:val="0"/>
        <w:autoSpaceDN w:val="0"/>
        <w:adjustRightInd w:val="0"/>
        <w:rPr>
          <w:rFonts w:ascii="Book Antiqua" w:hAnsi="Book Antiqua"/>
          <w:b/>
        </w:rPr>
      </w:pPr>
    </w:p>
    <w:p w14:paraId="41924B00" w14:textId="77777777" w:rsidR="00077671" w:rsidRDefault="00077671" w:rsidP="008275E1">
      <w:pPr>
        <w:autoSpaceDE w:val="0"/>
        <w:autoSpaceDN w:val="0"/>
        <w:adjustRightInd w:val="0"/>
        <w:rPr>
          <w:rFonts w:ascii="Book Antiqua" w:hAnsi="Book Antiqua"/>
          <w:b/>
        </w:rPr>
      </w:pPr>
    </w:p>
    <w:p w14:paraId="245425BB" w14:textId="77777777" w:rsidR="00077671" w:rsidRPr="00E3232D" w:rsidRDefault="00077671" w:rsidP="008275E1">
      <w:pPr>
        <w:autoSpaceDE w:val="0"/>
        <w:autoSpaceDN w:val="0"/>
        <w:adjustRightInd w:val="0"/>
        <w:rPr>
          <w:rFonts w:ascii="Book Antiqua" w:hAnsi="Book Antiqua"/>
          <w:b/>
        </w:rPr>
      </w:pPr>
    </w:p>
    <w:p w14:paraId="4B382B88" w14:textId="77777777" w:rsidR="00D555FD" w:rsidRPr="00E3232D" w:rsidRDefault="00D555FD" w:rsidP="008275E1">
      <w:pPr>
        <w:autoSpaceDE w:val="0"/>
        <w:autoSpaceDN w:val="0"/>
        <w:adjustRightInd w:val="0"/>
        <w:rPr>
          <w:rFonts w:ascii="Book Antiqua" w:hAnsi="Book Antiqua"/>
          <w:b/>
        </w:rPr>
      </w:pPr>
    </w:p>
    <w:p w14:paraId="44EAEDE0" w14:textId="77777777" w:rsidR="00734B20" w:rsidRDefault="00734B20" w:rsidP="00806C8E">
      <w:pPr>
        <w:pStyle w:val="Default"/>
        <w:rPr>
          <w:rFonts w:ascii="Book Antiqua" w:hAnsi="Book Antiqua"/>
          <w:b/>
          <w:bCs/>
          <w:sz w:val="26"/>
          <w:szCs w:val="26"/>
        </w:rPr>
      </w:pPr>
    </w:p>
    <w:p w14:paraId="03B492AE" w14:textId="77777777" w:rsidR="00F02F21" w:rsidRDefault="00F02F21" w:rsidP="00806C8E">
      <w:pPr>
        <w:pStyle w:val="Default"/>
        <w:rPr>
          <w:rFonts w:ascii="Book Antiqua" w:hAnsi="Book Antiqua"/>
          <w:b/>
          <w:bCs/>
          <w:sz w:val="26"/>
          <w:szCs w:val="26"/>
        </w:rPr>
      </w:pPr>
    </w:p>
    <w:p w14:paraId="416BCAB1" w14:textId="77777777" w:rsidR="00F02F21" w:rsidRDefault="00F02F21" w:rsidP="00806C8E">
      <w:pPr>
        <w:pStyle w:val="Default"/>
        <w:rPr>
          <w:rFonts w:ascii="Book Antiqua" w:hAnsi="Book Antiqua"/>
          <w:b/>
          <w:bCs/>
          <w:sz w:val="26"/>
          <w:szCs w:val="26"/>
        </w:rPr>
      </w:pPr>
    </w:p>
    <w:p w14:paraId="5F4BCBF4" w14:textId="77777777" w:rsidR="00F02F21" w:rsidRDefault="00F02F21" w:rsidP="00806C8E">
      <w:pPr>
        <w:pStyle w:val="Default"/>
        <w:rPr>
          <w:rFonts w:ascii="Book Antiqua" w:hAnsi="Book Antiqua"/>
          <w:b/>
          <w:bCs/>
          <w:sz w:val="26"/>
          <w:szCs w:val="26"/>
        </w:rPr>
      </w:pPr>
    </w:p>
    <w:p w14:paraId="79DC3FCE" w14:textId="77777777" w:rsidR="00F02F21" w:rsidRDefault="00F02F21" w:rsidP="00806C8E">
      <w:pPr>
        <w:pStyle w:val="Default"/>
        <w:rPr>
          <w:rFonts w:ascii="Book Antiqua" w:hAnsi="Book Antiqua"/>
          <w:b/>
          <w:bCs/>
          <w:sz w:val="26"/>
          <w:szCs w:val="26"/>
        </w:rPr>
        <w:sectPr w:rsidR="00F02F21" w:rsidSect="008F6BC9">
          <w:type w:val="continuous"/>
          <w:pgSz w:w="11907" w:h="16839" w:code="9"/>
          <w:pgMar w:top="1440" w:right="1440" w:bottom="1440" w:left="1440" w:header="720" w:footer="720" w:gutter="0"/>
          <w:cols w:space="720"/>
          <w:docGrid w:linePitch="360"/>
        </w:sectPr>
      </w:pPr>
    </w:p>
    <w:p w14:paraId="1188BED2" w14:textId="77777777" w:rsidR="00734B20" w:rsidRPr="00077671" w:rsidRDefault="00AC50E9" w:rsidP="00077671">
      <w:pPr>
        <w:pStyle w:val="Default"/>
        <w:jc w:val="center"/>
        <w:rPr>
          <w:rFonts w:ascii="Book Antiqua" w:hAnsi="Book Antiqua"/>
          <w:b/>
          <w:bCs/>
          <w:sz w:val="26"/>
          <w:szCs w:val="26"/>
        </w:rPr>
      </w:pPr>
      <w:r w:rsidRPr="003F6E8A">
        <w:rPr>
          <w:rFonts w:ascii="Book Antiqua" w:hAnsi="Book Antiqua"/>
          <w:b/>
          <w:bCs/>
          <w:sz w:val="26"/>
          <w:szCs w:val="26"/>
        </w:rPr>
        <w:t>An Empirical Analysis of the Performance of the Ghana Stock Exchange and Treasury Bills</w:t>
      </w:r>
    </w:p>
    <w:p w14:paraId="460D30DE" w14:textId="77777777" w:rsidR="00AC50E9" w:rsidRPr="008D4111" w:rsidRDefault="00AC50E9" w:rsidP="00077671">
      <w:pPr>
        <w:pStyle w:val="Default"/>
        <w:spacing w:after="0"/>
        <w:jc w:val="center"/>
        <w:rPr>
          <w:rFonts w:ascii="Book Antiqua" w:hAnsi="Book Antiqua"/>
          <w:b/>
          <w:bCs/>
          <w:sz w:val="22"/>
          <w:szCs w:val="22"/>
        </w:rPr>
      </w:pPr>
      <w:r w:rsidRPr="00E3232D">
        <w:rPr>
          <w:rFonts w:ascii="Book Antiqua" w:hAnsi="Book Antiqua"/>
          <w:b/>
          <w:bCs/>
          <w:sz w:val="22"/>
          <w:szCs w:val="22"/>
        </w:rPr>
        <w:t>Antwi</w:t>
      </w:r>
      <w:r w:rsidR="004A1C7D">
        <w:rPr>
          <w:rFonts w:ascii="Book Antiqua" w:hAnsi="Book Antiqua"/>
          <w:b/>
          <w:bCs/>
          <w:sz w:val="22"/>
          <w:szCs w:val="22"/>
        </w:rPr>
        <w:t xml:space="preserve"> </w:t>
      </w:r>
      <w:r w:rsidR="00EF5CFB">
        <w:rPr>
          <w:rFonts w:ascii="Book Antiqua" w:hAnsi="Book Antiqua"/>
          <w:b/>
          <w:bCs/>
          <w:sz w:val="22"/>
          <w:szCs w:val="22"/>
        </w:rPr>
        <w:t>S. &amp;</w:t>
      </w:r>
      <w:r w:rsidR="00F06FB8">
        <w:rPr>
          <w:rFonts w:ascii="Book Antiqua" w:hAnsi="Book Antiqua"/>
          <w:b/>
          <w:bCs/>
          <w:sz w:val="22"/>
          <w:szCs w:val="22"/>
        </w:rPr>
        <w:t xml:space="preserve"> </w:t>
      </w:r>
      <w:r w:rsidR="00F06FB8" w:rsidRPr="00E3232D">
        <w:rPr>
          <w:rFonts w:ascii="Book Antiqua" w:hAnsi="Book Antiqua"/>
          <w:b/>
          <w:bCs/>
          <w:sz w:val="22"/>
          <w:szCs w:val="22"/>
        </w:rPr>
        <w:t>Boadi</w:t>
      </w:r>
      <w:r w:rsidR="00F06FB8">
        <w:rPr>
          <w:rFonts w:ascii="Book Antiqua" w:hAnsi="Book Antiqua"/>
          <w:b/>
          <w:bCs/>
          <w:sz w:val="22"/>
          <w:szCs w:val="22"/>
        </w:rPr>
        <w:t xml:space="preserve"> E. K</w:t>
      </w:r>
    </w:p>
    <w:p w14:paraId="03187F6E" w14:textId="77777777" w:rsidR="00AC50E9" w:rsidRPr="00E3232D" w:rsidRDefault="00AC50E9" w:rsidP="00077671">
      <w:pPr>
        <w:pStyle w:val="Default"/>
        <w:spacing w:after="0"/>
        <w:jc w:val="center"/>
        <w:rPr>
          <w:rFonts w:ascii="Book Antiqua" w:hAnsi="Book Antiqua"/>
          <w:sz w:val="22"/>
          <w:szCs w:val="22"/>
        </w:rPr>
      </w:pPr>
      <w:r w:rsidRPr="00E3232D">
        <w:rPr>
          <w:rFonts w:ascii="Book Antiqua" w:hAnsi="Book Antiqua"/>
          <w:sz w:val="22"/>
          <w:szCs w:val="22"/>
        </w:rPr>
        <w:t>Accountancy Department,</w:t>
      </w:r>
      <w:r w:rsidR="00077671" w:rsidRPr="00077671">
        <w:rPr>
          <w:rFonts w:ascii="Book Antiqua" w:hAnsi="Book Antiqua"/>
          <w:sz w:val="22"/>
          <w:szCs w:val="22"/>
        </w:rPr>
        <w:t xml:space="preserve"> </w:t>
      </w:r>
      <w:r w:rsidR="00077671">
        <w:rPr>
          <w:rFonts w:ascii="Book Antiqua" w:hAnsi="Book Antiqua"/>
          <w:sz w:val="22"/>
          <w:szCs w:val="22"/>
        </w:rPr>
        <w:t>Koforidua Polytechnic,</w:t>
      </w:r>
      <w:r w:rsidR="00077671" w:rsidRPr="00E3232D">
        <w:rPr>
          <w:rFonts w:ascii="Book Antiqua" w:hAnsi="Book Antiqua"/>
          <w:sz w:val="22"/>
          <w:szCs w:val="22"/>
        </w:rPr>
        <w:t xml:space="preserve"> Koforidua, Ghana</w:t>
      </w:r>
    </w:p>
    <w:p w14:paraId="5DDD5D13" w14:textId="77777777" w:rsidR="008D4111" w:rsidRPr="00AA0C97" w:rsidRDefault="00AC50E9" w:rsidP="00AA0C97">
      <w:pPr>
        <w:pStyle w:val="Default"/>
        <w:jc w:val="center"/>
        <w:rPr>
          <w:rFonts w:ascii="Book Antiqua" w:hAnsi="Book Antiqua"/>
          <w:sz w:val="22"/>
          <w:szCs w:val="22"/>
        </w:rPr>
      </w:pPr>
      <w:r w:rsidRPr="008D4111">
        <w:rPr>
          <w:rFonts w:ascii="Book Antiqua" w:hAnsi="Book Antiqua"/>
          <w:b/>
          <w:sz w:val="22"/>
          <w:szCs w:val="22"/>
        </w:rPr>
        <w:t>E-</w:t>
      </w:r>
      <w:r w:rsidR="008D4111" w:rsidRPr="008D4111">
        <w:rPr>
          <w:rFonts w:ascii="Book Antiqua" w:hAnsi="Book Antiqua"/>
          <w:b/>
          <w:sz w:val="22"/>
          <w:szCs w:val="22"/>
        </w:rPr>
        <w:t>mail:</w:t>
      </w:r>
      <w:r w:rsidR="008D4111">
        <w:rPr>
          <w:rFonts w:ascii="Book Antiqua" w:hAnsi="Book Antiqua"/>
          <w:sz w:val="22"/>
          <w:szCs w:val="22"/>
        </w:rPr>
        <w:t xml:space="preserve"> </w:t>
      </w:r>
      <w:hyperlink r:id="rId290" w:history="1">
        <w:r w:rsidR="00390246" w:rsidRPr="002D386A">
          <w:rPr>
            <w:rStyle w:val="Hyperlink"/>
            <w:rFonts w:ascii="Book Antiqua" w:hAnsi="Book Antiqua"/>
            <w:sz w:val="22"/>
            <w:szCs w:val="22"/>
          </w:rPr>
          <w:t>samyantwi@yahoo.com</w:t>
        </w:r>
      </w:hyperlink>
      <w:r w:rsidR="008D4111">
        <w:rPr>
          <w:rFonts w:ascii="Book Antiqua" w:hAnsi="Book Antiqua"/>
          <w:sz w:val="22"/>
          <w:szCs w:val="22"/>
        </w:rPr>
        <w:t>,</w:t>
      </w:r>
      <w:r w:rsidR="00390246">
        <w:rPr>
          <w:rFonts w:ascii="Book Antiqua" w:hAnsi="Book Antiqua"/>
          <w:sz w:val="22"/>
          <w:szCs w:val="22"/>
        </w:rPr>
        <w:t xml:space="preserve"> &amp;</w:t>
      </w:r>
      <w:r w:rsidR="00EF5CFB">
        <w:rPr>
          <w:rFonts w:ascii="Book Antiqua" w:hAnsi="Book Antiqua"/>
          <w:sz w:val="22"/>
          <w:szCs w:val="22"/>
        </w:rPr>
        <w:t xml:space="preserve"> </w:t>
      </w:r>
      <w:r w:rsidR="00EF5CFB" w:rsidRPr="00E3232D">
        <w:rPr>
          <w:rFonts w:ascii="Book Antiqua" w:hAnsi="Book Antiqua"/>
          <w:bCs/>
          <w:sz w:val="22"/>
          <w:szCs w:val="22"/>
        </w:rPr>
        <w:t>boadikofieric@gmail.com</w:t>
      </w:r>
    </w:p>
    <w:p w14:paraId="10489200" w14:textId="77777777" w:rsidR="00AC50E9" w:rsidRPr="00390246" w:rsidRDefault="00AC50E9" w:rsidP="008275E1">
      <w:pPr>
        <w:pStyle w:val="Default"/>
        <w:rPr>
          <w:rFonts w:ascii="Book Antiqua" w:hAnsi="Book Antiqua"/>
          <w:b/>
          <w:bCs/>
          <w:sz w:val="22"/>
          <w:szCs w:val="22"/>
        </w:rPr>
      </w:pPr>
      <w:r w:rsidRPr="00E26E3F">
        <w:rPr>
          <w:rFonts w:ascii="Book Antiqua" w:hAnsi="Book Antiqua"/>
          <w:b/>
          <w:bCs/>
          <w:sz w:val="26"/>
          <w:szCs w:val="22"/>
        </w:rPr>
        <w:t>Abstract</w:t>
      </w:r>
      <w:r w:rsidRPr="00390246">
        <w:rPr>
          <w:rFonts w:ascii="Book Antiqua" w:hAnsi="Book Antiqua"/>
          <w:b/>
          <w:bCs/>
          <w:sz w:val="22"/>
          <w:szCs w:val="22"/>
        </w:rPr>
        <w:t xml:space="preserve"> </w:t>
      </w:r>
    </w:p>
    <w:p w14:paraId="4B15CA4A" w14:textId="77777777" w:rsidR="00AC50E9" w:rsidRPr="00390246" w:rsidRDefault="00AC50E9" w:rsidP="008275E1">
      <w:pPr>
        <w:pStyle w:val="Default"/>
        <w:rPr>
          <w:rFonts w:ascii="Book Antiqua" w:hAnsi="Book Antiqua"/>
          <w:iCs/>
          <w:sz w:val="22"/>
          <w:szCs w:val="22"/>
        </w:rPr>
      </w:pPr>
      <w:r w:rsidRPr="00390246">
        <w:rPr>
          <w:rFonts w:ascii="Book Antiqua" w:hAnsi="Book Antiqua"/>
          <w:iCs/>
          <w:sz w:val="22"/>
          <w:szCs w:val="22"/>
        </w:rPr>
        <w:t xml:space="preserve">The study compared risk and returns characteristics of stock exchange traded shares and treasury bills in Ghana to find out which of the two instruments gives better rewards to investors. We made use of annualized returns of these instruments and applied statistical measures of average annual returns, standard deviations and co-efficient of variations for the analysis. Comparing investor ‘A’ (Treasury Bills Investment) and investor ‘B’ (GSE All-Share Investment) as sample study for the period of 1990 to 2010, it was revealed that GSE All-Shares Index has higher risk and higher return. This result confirms the general expectation of the relationship between rate of returns and the risk associated with investment – the higher the risk, the higher the return. The Study further revealed that the market performance of both treasury bills and GSE All-Share Index outperformed the rate at which prices were rising (average inflation rate) for the period 1990 – 2010. </w:t>
      </w:r>
    </w:p>
    <w:p w14:paraId="1DFE4CE1" w14:textId="77777777" w:rsidR="00AC50E9" w:rsidRPr="00390246" w:rsidRDefault="00AC50E9" w:rsidP="008275E1">
      <w:pPr>
        <w:pStyle w:val="Default"/>
        <w:rPr>
          <w:rFonts w:ascii="Book Antiqua" w:hAnsi="Book Antiqua"/>
          <w:sz w:val="22"/>
          <w:szCs w:val="22"/>
        </w:rPr>
      </w:pPr>
      <w:r w:rsidRPr="00390246">
        <w:rPr>
          <w:rFonts w:ascii="Book Antiqua" w:hAnsi="Book Antiqua"/>
          <w:b/>
          <w:bCs/>
          <w:sz w:val="22"/>
          <w:szCs w:val="22"/>
        </w:rPr>
        <w:t>Key Words</w:t>
      </w:r>
      <w:r w:rsidRPr="00390246">
        <w:rPr>
          <w:rFonts w:ascii="Book Antiqua" w:hAnsi="Book Antiqua"/>
          <w:sz w:val="22"/>
          <w:szCs w:val="22"/>
        </w:rPr>
        <w:t>: Ghana Stock Exchange</w:t>
      </w:r>
      <w:r w:rsidR="00AA0C97">
        <w:rPr>
          <w:rFonts w:ascii="Book Antiqua" w:hAnsi="Book Antiqua"/>
          <w:sz w:val="22"/>
          <w:szCs w:val="22"/>
        </w:rPr>
        <w:t>; Stocks;</w:t>
      </w:r>
      <w:r w:rsidRPr="00390246">
        <w:rPr>
          <w:rFonts w:ascii="Book Antiqua" w:hAnsi="Book Antiqua"/>
          <w:sz w:val="22"/>
          <w:szCs w:val="22"/>
        </w:rPr>
        <w:t xml:space="preserve"> Treasury </w:t>
      </w:r>
      <w:r w:rsidR="00AA0C97" w:rsidRPr="00390246">
        <w:rPr>
          <w:rFonts w:ascii="Book Antiqua" w:hAnsi="Book Antiqua"/>
          <w:sz w:val="22"/>
          <w:szCs w:val="22"/>
        </w:rPr>
        <w:t>Bills</w:t>
      </w:r>
      <w:r w:rsidR="00AA0C97">
        <w:rPr>
          <w:rFonts w:ascii="Book Antiqua" w:hAnsi="Book Antiqua"/>
          <w:sz w:val="22"/>
          <w:szCs w:val="22"/>
        </w:rPr>
        <w:t>;</w:t>
      </w:r>
      <w:r w:rsidRPr="00390246">
        <w:rPr>
          <w:rFonts w:ascii="Book Antiqua" w:hAnsi="Book Antiqua"/>
          <w:sz w:val="22"/>
          <w:szCs w:val="22"/>
        </w:rPr>
        <w:t xml:space="preserve"> </w:t>
      </w:r>
      <w:r w:rsidR="00AA0C97">
        <w:rPr>
          <w:rFonts w:ascii="Book Antiqua" w:hAnsi="Book Antiqua"/>
          <w:sz w:val="22"/>
          <w:szCs w:val="22"/>
        </w:rPr>
        <w:t>Returns;</w:t>
      </w:r>
      <w:r w:rsidR="00AA0C97" w:rsidRPr="00390246">
        <w:rPr>
          <w:rFonts w:ascii="Book Antiqua" w:hAnsi="Book Antiqua"/>
          <w:sz w:val="22"/>
          <w:szCs w:val="22"/>
        </w:rPr>
        <w:t xml:space="preserve"> Risk </w:t>
      </w:r>
    </w:p>
    <w:p w14:paraId="3FD81EF7" w14:textId="77777777" w:rsidR="00D555FD" w:rsidRPr="00AA0C97" w:rsidRDefault="00D555FD" w:rsidP="008275E1">
      <w:pPr>
        <w:autoSpaceDE w:val="0"/>
        <w:autoSpaceDN w:val="0"/>
        <w:adjustRightInd w:val="0"/>
        <w:rPr>
          <w:rFonts w:ascii="Book Antiqua" w:hAnsi="Book Antiqua"/>
          <w:b/>
          <w:i/>
        </w:rPr>
      </w:pPr>
    </w:p>
    <w:p w14:paraId="6128D1A8" w14:textId="77777777" w:rsidR="00AC50E9" w:rsidRPr="00AA0C97" w:rsidRDefault="00AC50E9" w:rsidP="00AA0C97">
      <w:pPr>
        <w:pStyle w:val="Default"/>
        <w:rPr>
          <w:rFonts w:ascii="Book Antiqua" w:hAnsi="Book Antiqua"/>
          <w:b/>
          <w:bCs/>
          <w:iCs/>
          <w:sz w:val="22"/>
          <w:szCs w:val="22"/>
        </w:rPr>
        <w:sectPr w:rsidR="00AC50E9" w:rsidRPr="00AA0C97" w:rsidSect="008F6BC9">
          <w:type w:val="continuous"/>
          <w:pgSz w:w="11907" w:h="16839" w:code="9"/>
          <w:pgMar w:top="1440" w:right="1440" w:bottom="1440" w:left="1440" w:header="720" w:footer="720" w:gutter="0"/>
          <w:cols w:space="720"/>
          <w:docGrid w:linePitch="360"/>
        </w:sectPr>
      </w:pPr>
    </w:p>
    <w:p w14:paraId="75FFF165" w14:textId="77777777" w:rsidR="00AC50E9" w:rsidRPr="00E3232D" w:rsidRDefault="00AC50E9" w:rsidP="00196385">
      <w:pPr>
        <w:pStyle w:val="Default"/>
        <w:numPr>
          <w:ilvl w:val="0"/>
          <w:numId w:val="96"/>
        </w:numPr>
        <w:rPr>
          <w:rFonts w:ascii="Book Antiqua" w:hAnsi="Book Antiqua"/>
          <w:b/>
          <w:bCs/>
          <w:i/>
          <w:iCs/>
          <w:sz w:val="22"/>
          <w:szCs w:val="22"/>
        </w:rPr>
      </w:pPr>
      <w:r w:rsidRPr="00AA0C97">
        <w:rPr>
          <w:rFonts w:ascii="Book Antiqua" w:hAnsi="Book Antiqua"/>
          <w:b/>
          <w:bCs/>
          <w:iCs/>
          <w:sz w:val="26"/>
          <w:szCs w:val="22"/>
        </w:rPr>
        <w:t>Introduction</w:t>
      </w:r>
      <w:r w:rsidRPr="00E3232D">
        <w:rPr>
          <w:rFonts w:ascii="Book Antiqua" w:hAnsi="Book Antiqua"/>
          <w:b/>
          <w:bCs/>
          <w:i/>
          <w:iCs/>
          <w:sz w:val="22"/>
          <w:szCs w:val="22"/>
        </w:rPr>
        <w:t xml:space="preserve"> </w:t>
      </w:r>
    </w:p>
    <w:p w14:paraId="76DCA7F3"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The influence of market imperfections on security pricing has long been recognized. Market performance, in particular, has attracted a lot of attention from traders, regulators, exchange officials as well as academics. Recent financial crises, however, suggest that, at times, market conditions can be severe and improvements can decline or even disappear, such shocks are a potential channel through which asset prices are influenced by macroeconomic variables. Jacoby, et al (2000) provides theoretical arguments to show how treasury bills impacts stock market prices. Jones (2001) show that stock prices predict expected returns in the time-series. Pastor and Stambaugh (2003) in their findings concluded that expected stock returns are cross-sectionally related to risk. As more data has become available, recent work has shifted focus on studying time-series properties of risk in equity markets as well as in Treasury bills. Hasbrouck et al, 2001, document commonality in trading activity and risk in the equity markets. Huang, et al (2001) relates risk to return volatility, while Brandt (2002) study the relationship between liquidity, order flow and the yield curve. </w:t>
      </w:r>
    </w:p>
    <w:p w14:paraId="0A2403A6"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So far, the literature on stock and Treasury bill risk has developed in separate strands. There is good reason; however, to believe that risk in the stock and money markets covaries. Although the unconditional correlation between stock and Treasury bill returns is low (Campbell, 1993), there are strong volatility linkages between the two markets (Fleming, 1998), which can affect risk in both markets by altering the inventory risk borne by market making agents (O</w:t>
      </w:r>
      <w:r w:rsidRPr="00E3232D">
        <w:rPr>
          <w:rFonts w:ascii="MS Mincho" w:eastAsia="MS Mincho" w:hAnsi="MS Mincho" w:cs="MS Mincho" w:hint="eastAsia"/>
          <w:sz w:val="22"/>
          <w:szCs w:val="22"/>
        </w:rPr>
        <w:t>‟</w:t>
      </w:r>
      <w:r w:rsidRPr="00E3232D">
        <w:rPr>
          <w:rFonts w:ascii="Book Antiqua" w:hAnsi="Book Antiqua"/>
          <w:sz w:val="22"/>
          <w:szCs w:val="22"/>
        </w:rPr>
        <w:t>Hara et al, 1986). Second, stock and money market risk may interact via trading activity. A negative information shock in stocks often causes a “flight to quality” as investors substitute safe assets for risky assets.</w:t>
      </w:r>
    </w:p>
    <w:p w14:paraId="22ACC036"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The resulting outflow from stocks into Treasury bills may cause price pressures and also impact stock and Treasury bill returns. In other situations, stock and Treasury bills order flows may be complementary. Further, systematic wealth or informational shocks could induce positively correlated trading while the extant literature has examined the dynamic interaction of treasury bills and returns in stock markets (Hasbrouck, 1991). Earlier work has analyzed the effects of monetary policy and fund flows on financial markets. Fleming et al (1997) document that monetary shocks are associated with large changes in treasury bills and stock prices. For fund flows, Edelen et al (2001) show a positive association between aggregate flow and concurrent market returns, while Goetzmann et al (2002) document that fund flows affect price formation in equity markets. These findings indicate that fund flows and monetary factors can affect returns and volatility. </w:t>
      </w:r>
    </w:p>
    <w:p w14:paraId="5856A757"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Oudet et al (1973) propose that stocks would be a perfect hedge against inflation given that they are held up to a suitable investment horizon. They argue that factors such as the expected stock prices, nominal earnings forecast and the interest rate adjustment mechanism determine the length of the appropriate investment horizon. In a related study, Oudet (1973) revisits the notion of stocks being a good hedge against inflation. In the theoretical part of his study, he elaborates the factors that may render stocks as a good hedge against inflation. He explains that a rise in inflation may result in growth in the real earnings due to the lead-lag proposition, i.e. the cost of the production do not increase as fast as the price of the final products, resulting in higher profits. However, the empirical results of his study did not find any evidence of positive inflation hedging capacity of stocks. </w:t>
      </w:r>
    </w:p>
    <w:p w14:paraId="0F5E98A3"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Modigliani and Cohn (1979) attribute the perverse hedging capacity of stocks to the mispricing of stock markets due to inflation illusion. They argue that the mispricing of stock markets result in undervaluation of stocks during periods of high (positive) inflation. They elaborate that this mispricing is the outcome of two inflation induced errors committed in the valuation of stocks. Firstly, the accounting profits ignore the gains resulting from the decrease in the real value of nominal debt. Secondly, the equity earnings should be capitalized using real rather than nominal rates. The discounting of the earnings at the nominal interest rate results in undervaluation of stocks. Fama (1981) documents an alternative hypothesis, known as the proxy hypothesis, and elaborates on the underlying role of real activity in the relation between stock returns and inflation. The proxy hypothesis postulates that the negative relation between stock returns and inflation is spurious and owes to the fact that inflation is negatively related to real activity while stock returns have a positive relation with real activity. Geske et al (1983) supplement and extend Fama</w:t>
      </w:r>
      <w:r w:rsidRPr="00E3232D">
        <w:rPr>
          <w:rFonts w:ascii="MS Mincho" w:eastAsia="MS Mincho" w:hAnsi="MS Mincho" w:cs="MS Mincho" w:hint="eastAsia"/>
          <w:sz w:val="22"/>
          <w:szCs w:val="22"/>
        </w:rPr>
        <w:t>‟</w:t>
      </w:r>
      <w:r w:rsidRPr="00E3232D">
        <w:rPr>
          <w:rFonts w:ascii="Book Antiqua" w:hAnsi="Book Antiqua"/>
          <w:sz w:val="22"/>
          <w:szCs w:val="22"/>
        </w:rPr>
        <w:t xml:space="preserve">s proxy hypothesis by adding another piece to the puzzle by elaborating on the role of the fiscal sector in explaining the spurious relation between stock returns and inflation. Boudoukh et al. (1994) test the Fisher hypothesis for US stocks at the industry level. </w:t>
      </w:r>
    </w:p>
    <w:p w14:paraId="3B126B80"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They group the entire market of stocks into 22 industries and analyze the relation between inflation and stock returns. They document that the hedging capacity of stocks depends upon the cyclical tendency of a particular industry and conclude that non-cyclical industries, in general, have better hedging capacity. Campbell (2004) analyzes the relation between stock prices and inflation by employing the dividend-price ratio model of Campbell et al (1988). They test three alternative explanations of the effect of inflation on the stock</w:t>
      </w:r>
      <w:r w:rsidRPr="00E3232D">
        <w:rPr>
          <w:rFonts w:ascii="Book Antiqua" w:eastAsia="MS Mincho" w:hAnsi="Book Antiqua"/>
          <w:sz w:val="22"/>
          <w:szCs w:val="22"/>
        </w:rPr>
        <w:t>’</w:t>
      </w:r>
      <w:r w:rsidRPr="00E3232D">
        <w:rPr>
          <w:rFonts w:ascii="Book Antiqua" w:hAnsi="Book Antiqua"/>
          <w:sz w:val="22"/>
          <w:szCs w:val="22"/>
        </w:rPr>
        <w:t xml:space="preserve">s yield or the dividend-price ratio. Firstly, if stocks were claims on real assets, an increase in expected inflation would result in an increase in future earnings of the stocks, thereby rendering no effect on the dividend price ratio, implying positive relation between inflation and stocks. Secondly, the long run growth rate of dividends may be affected by inflation resulting in an increase in the nominal dividend-price ratio. The risk of inflation in turn, could induce investors to increase the equity risk premium and the real discount rate. As per this explanation, inflation is positively related to stock prices. Lastly, they test the Modiglani and Cohn (1979) hypothesis of mispricing driven by inflation illusion. Their findings validate only the Modigliani-Cohn hypothesis that the negative relation between stock prices and inflation is due to mispricing driven by inflation illusion. They document that the mispricing effect tends to diminish with an increase in the investment horizon. </w:t>
      </w:r>
    </w:p>
    <w:p w14:paraId="4CB2CF83" w14:textId="77777777" w:rsidR="00806C8E" w:rsidRDefault="00AC50E9" w:rsidP="008275E1">
      <w:pPr>
        <w:pStyle w:val="Default"/>
        <w:rPr>
          <w:rFonts w:ascii="Book Antiqua" w:hAnsi="Book Antiqua"/>
          <w:sz w:val="22"/>
          <w:szCs w:val="22"/>
        </w:rPr>
      </w:pPr>
      <w:r w:rsidRPr="00E3232D">
        <w:rPr>
          <w:rFonts w:ascii="Book Antiqua" w:hAnsi="Book Antiqua"/>
          <w:sz w:val="22"/>
          <w:szCs w:val="22"/>
        </w:rPr>
        <w:t>Empirical studies of Barro (1991) have shown that low-income countries have greater policy uncertainty than high-income countries and that policy uncertainty is an important factor for the lower long-run investment and output in these countries. Recent theoretical and empirical works have also demonstrated a clear negative link between macro-economic and political uncertainty and levels of private investment across countries. For example, Serven et al (1993) reported a negative impact of inflation and real exchange rate volatility on private investment in a sample of</w:t>
      </w:r>
    </w:p>
    <w:p w14:paraId="02CFAF68"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 developing countries.</w:t>
      </w:r>
    </w:p>
    <w:p w14:paraId="7488E1F3"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Aizenman et al (1995) found a negative correlation between indicators of macro-economic volatility (terms of trade, inflation, real exchange rate) and private investment. Green et al (1991) found that higher inflation rate had negative effect on private investment of 23 developing countries in their pooled time series cross-sectional study. Another strand of literature has examined the effects of political uncertainty on investment. These studies have focused on the role of government instability, rapid government turnover, unstable incentive frameworks, social unrest and fundamental uncertainties about property rights. In the light of the above theories, it is clear that private investment decisions may be subject to multiplicity of influences and evidences, different behaviour under different circumstances and time period. </w:t>
      </w:r>
    </w:p>
    <w:p w14:paraId="425117D2"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Every investment entails some degree of risk, according to Francis (1991); it requires a present sacrifice for a future uncertain benefit. Every investor has his or her own attitude about risk and how much he or she can tolerate, (Cheney and Moses 1999). They pointed out that since investment alternatives have different types of risks associated with them, the investor must determine which combination of alternatives matches his/her particular risk tolerance. They also pointed out that intelligent investing involves combining investment alternatives in a portfolio that offers a fair return for the risk one is willing to assume. </w:t>
      </w:r>
    </w:p>
    <w:p w14:paraId="3C0BBD77" w14:textId="77777777" w:rsidR="00806C8E" w:rsidRDefault="00AC50E9" w:rsidP="008275E1">
      <w:pPr>
        <w:pStyle w:val="Default"/>
        <w:rPr>
          <w:rFonts w:ascii="Book Antiqua" w:hAnsi="Book Antiqua"/>
          <w:sz w:val="22"/>
          <w:szCs w:val="22"/>
        </w:rPr>
      </w:pPr>
      <w:r w:rsidRPr="00E3232D">
        <w:rPr>
          <w:rFonts w:ascii="Book Antiqua" w:hAnsi="Book Antiqua"/>
          <w:sz w:val="22"/>
          <w:szCs w:val="22"/>
        </w:rPr>
        <w:t xml:space="preserve">Mckinnon and Shaw (1973) argued that developing countries suffer from financial repression and that if these countries were liberated from repressive conditions, this would induce savings, investment and growth. This conclusion however, applies only when the capital market is in disequilibrium with the demand for funds exceeding supply. </w:t>
      </w:r>
    </w:p>
    <w:p w14:paraId="29704078" w14:textId="77777777" w:rsidR="008D4111" w:rsidRPr="00AA0C97" w:rsidRDefault="00AC50E9" w:rsidP="008275E1">
      <w:pPr>
        <w:pStyle w:val="Default"/>
        <w:rPr>
          <w:rFonts w:ascii="Book Antiqua" w:hAnsi="Book Antiqua"/>
          <w:sz w:val="22"/>
          <w:szCs w:val="22"/>
        </w:rPr>
      </w:pPr>
      <w:r w:rsidRPr="00E3232D">
        <w:rPr>
          <w:rFonts w:ascii="Book Antiqua" w:hAnsi="Book Antiqua"/>
          <w:sz w:val="22"/>
          <w:szCs w:val="22"/>
        </w:rPr>
        <w:t xml:space="preserve">Aboagye et al (2008) in studying the performance of stocks in Ghana, using an investment of the same amount in treasury bills and shares over a period of 1991 and 2001, found out that investors in stock exchange traded shares earned on average 54% per annum, whereas treasury bill investors Earned 36.3%. Thus stock exchange traded shares returned a positive risk premium of about 18 percentage point on average per annum. Risk is therefore rewarded. He further pointed out that investors in treasury bills as well as investors in shares all realised average annual returns that exceeded the average rate at which prices were increasing. He noticed with concern the establishment of an organised stock exchange where limited liability companies now have a chance to raise capital. But Ghanaians are so impressed with the observable high rate of returns on treasury bills that many believe treasury bills offer the chance to earn higher returns than can be earned on other financial securities. In general, this study aims at comparing and analyzing the annual returns on treasury bills and equity securities for the period 1990-2010. To determine whether investors are given premiums for taking risk and to find out whether investors are adequately compensated in real terms, that is after considering inflation. </w:t>
      </w:r>
    </w:p>
    <w:p w14:paraId="526604F3" w14:textId="77777777" w:rsidR="00AC50E9" w:rsidRPr="007246B7" w:rsidRDefault="00AC50E9" w:rsidP="008275E1">
      <w:pPr>
        <w:pStyle w:val="Default"/>
        <w:rPr>
          <w:rFonts w:ascii="Book Antiqua" w:hAnsi="Book Antiqua"/>
          <w:b/>
          <w:bCs/>
          <w:i/>
          <w:iCs/>
          <w:sz w:val="22"/>
          <w:szCs w:val="22"/>
        </w:rPr>
      </w:pPr>
      <w:r w:rsidRPr="007246B7">
        <w:rPr>
          <w:rFonts w:ascii="Book Antiqua" w:hAnsi="Book Antiqua"/>
          <w:b/>
          <w:bCs/>
          <w:i/>
          <w:iCs/>
          <w:sz w:val="22"/>
          <w:szCs w:val="22"/>
        </w:rPr>
        <w:t xml:space="preserve">2.0 </w:t>
      </w:r>
      <w:r w:rsidR="00AA0C97" w:rsidRPr="00AA0C97">
        <w:rPr>
          <w:rFonts w:ascii="Book Antiqua" w:hAnsi="Book Antiqua"/>
          <w:b/>
          <w:bCs/>
          <w:iCs/>
          <w:sz w:val="26"/>
          <w:szCs w:val="22"/>
        </w:rPr>
        <w:t>Methods</w:t>
      </w:r>
      <w:r w:rsidR="00AA0C97" w:rsidRPr="007246B7">
        <w:rPr>
          <w:rFonts w:ascii="Book Antiqua" w:hAnsi="Book Antiqua"/>
          <w:b/>
          <w:bCs/>
          <w:i/>
          <w:iCs/>
          <w:sz w:val="22"/>
          <w:szCs w:val="22"/>
        </w:rPr>
        <w:t xml:space="preserve"> </w:t>
      </w:r>
    </w:p>
    <w:p w14:paraId="2ED8B173" w14:textId="77777777" w:rsidR="00AC50E9" w:rsidRPr="00E3232D" w:rsidRDefault="00AC50E9" w:rsidP="008275E1">
      <w:pPr>
        <w:pStyle w:val="Default"/>
        <w:rPr>
          <w:rFonts w:ascii="Book Antiqua" w:hAnsi="Book Antiqua"/>
          <w:b/>
          <w:bCs/>
          <w:sz w:val="22"/>
          <w:szCs w:val="22"/>
        </w:rPr>
      </w:pPr>
      <w:r w:rsidRPr="00E3232D">
        <w:rPr>
          <w:rFonts w:ascii="Book Antiqua" w:hAnsi="Book Antiqua"/>
          <w:b/>
          <w:bCs/>
          <w:sz w:val="22"/>
          <w:szCs w:val="22"/>
        </w:rPr>
        <w:t xml:space="preserve">2.1 Study area </w:t>
      </w:r>
    </w:p>
    <w:p w14:paraId="4A1C5414"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The Ghana Stock Exchange (GSE), Ghana’s only stock exchange, was incorporated in July 1989 as a company limited by guarantee under the Companies Code, 1963 (Act 179). Approval to operate as a stock exchange was obtained under the now repealed Stock Exchange Act 1971 (Act 384). Trading on the GSE commenced in 1990. It currently has 35 listed companies whose shares and bonds are traded on the floor of the exchange. These listed companies commit to disclosure standards and compliance with regulations. GSE All-Share Index is the only index that is compiled and published by GSE. GSE-All Share Index is a market capitalization index of all share listed on GSE. All listed companies are included in the index at total market for a period from 12 November 1990 to 30 December 1993 calculated by averaging the market capitalization for all trading sessions during this period. Base index value is 100. To maintain the continuity of the index, the base year total market value is adjusted for all events affecting the capitalization of the companies included in the index that are not caused by price changes. These invents include new share issues, new listings, de-listings, and right issues. </w:t>
      </w:r>
    </w:p>
    <w:p w14:paraId="3BD27229" w14:textId="77777777" w:rsidR="00AC50E9" w:rsidRPr="00E3232D" w:rsidRDefault="00AC50E9" w:rsidP="008275E1">
      <w:pPr>
        <w:pStyle w:val="Default"/>
        <w:rPr>
          <w:rFonts w:ascii="Book Antiqua" w:hAnsi="Book Antiqua"/>
          <w:b/>
          <w:bCs/>
          <w:sz w:val="22"/>
          <w:szCs w:val="22"/>
        </w:rPr>
      </w:pPr>
      <w:r w:rsidRPr="00E3232D">
        <w:rPr>
          <w:rFonts w:ascii="Book Antiqua" w:hAnsi="Book Antiqua"/>
          <w:b/>
          <w:bCs/>
          <w:sz w:val="22"/>
          <w:szCs w:val="22"/>
        </w:rPr>
        <w:t xml:space="preserve">2.2 Source of Data </w:t>
      </w:r>
    </w:p>
    <w:p w14:paraId="13726225"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Data was collected from Bank of Ghana Library, others from the FACTS BOOK issued by the Ghana Stock Exchange as well as Statistical Services of Ghana. The study population was made up of the results of the Ghana Stock Exchange all-share index since the year of establishment in 1990 to 2010, and treasury bills rates as published by the Bank of Ghana for the same period.</w:t>
      </w:r>
    </w:p>
    <w:p w14:paraId="262BD15A"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The study therefore used documentary data on annual returns of the two investment instruments- T-bills and GSE- All Share Index-and compared these results with the inflation rates for the period 1990 – 2010. This research work relied on information from documentary source or secondary data. Historical data on annual returns were collected and processed to determine the average annual returns of the listed stocks and Treasury bills in Ghana for a period. Data collected covered the period 1990-2010.</w:t>
      </w:r>
    </w:p>
    <w:p w14:paraId="7A0B2E1A" w14:textId="77777777" w:rsidR="00AC50E9" w:rsidRPr="00E3232D" w:rsidRDefault="00AC50E9" w:rsidP="008275E1">
      <w:pPr>
        <w:pStyle w:val="Default"/>
        <w:rPr>
          <w:rFonts w:ascii="Book Antiqua" w:hAnsi="Book Antiqua"/>
          <w:b/>
          <w:bCs/>
          <w:sz w:val="22"/>
          <w:szCs w:val="22"/>
        </w:rPr>
      </w:pPr>
      <w:r w:rsidRPr="00E3232D">
        <w:rPr>
          <w:rFonts w:ascii="Book Antiqua" w:hAnsi="Book Antiqua"/>
          <w:b/>
          <w:bCs/>
          <w:sz w:val="22"/>
          <w:szCs w:val="22"/>
        </w:rPr>
        <w:t xml:space="preserve">2.3 Model specification, estimation and test </w:t>
      </w:r>
    </w:p>
    <w:p w14:paraId="19F4956E" w14:textId="77777777" w:rsidR="00806C8E" w:rsidRDefault="00AC50E9" w:rsidP="008275E1">
      <w:pPr>
        <w:pStyle w:val="Default"/>
        <w:rPr>
          <w:rFonts w:ascii="Book Antiqua" w:hAnsi="Book Antiqua"/>
          <w:sz w:val="22"/>
          <w:szCs w:val="22"/>
        </w:rPr>
      </w:pPr>
      <w:r w:rsidRPr="00E3232D">
        <w:rPr>
          <w:rFonts w:ascii="Book Antiqua" w:hAnsi="Book Antiqua"/>
          <w:sz w:val="22"/>
          <w:szCs w:val="22"/>
        </w:rPr>
        <w:t>The investment variables used in the comparative study are the 91 – Day Treasury Bill and the Capital Market Instruments, represented by the GSE - All Share Index. The choice of the 91 – Day Treasury Bill was based on its popularity among investors in Ghana. The GSE index is chosen because it tracks performance of the capital market as a whole and is therefore quiet representative of the market. We considered two investors, investor „A</w:t>
      </w:r>
      <w:r w:rsidRPr="00E3232D">
        <w:rPr>
          <w:rFonts w:ascii="MS Mincho" w:eastAsia="MS Mincho" w:hAnsi="MS Mincho" w:cs="MS Mincho" w:hint="eastAsia"/>
          <w:sz w:val="22"/>
          <w:szCs w:val="22"/>
        </w:rPr>
        <w:t>‟</w:t>
      </w:r>
      <w:r w:rsidRPr="00E3232D">
        <w:rPr>
          <w:rFonts w:ascii="Book Antiqua" w:hAnsi="Book Antiqua"/>
          <w:sz w:val="22"/>
          <w:szCs w:val="22"/>
        </w:rPr>
        <w:t xml:space="preserve"> and investor „B</w:t>
      </w:r>
      <w:r w:rsidRPr="00E3232D">
        <w:rPr>
          <w:rFonts w:ascii="MS Mincho" w:eastAsia="MS Mincho" w:hAnsi="MS Mincho" w:cs="MS Mincho" w:hint="eastAsia"/>
          <w:sz w:val="22"/>
          <w:szCs w:val="22"/>
        </w:rPr>
        <w:t>‟</w:t>
      </w:r>
      <w:r w:rsidRPr="00E3232D">
        <w:rPr>
          <w:rFonts w:ascii="Book Antiqua" w:hAnsi="Book Antiqua"/>
          <w:sz w:val="22"/>
          <w:szCs w:val="22"/>
        </w:rPr>
        <w:t>. Investor „A</w:t>
      </w:r>
      <w:r w:rsidRPr="00E3232D">
        <w:rPr>
          <w:rFonts w:ascii="MS Mincho" w:eastAsia="MS Mincho" w:hAnsi="MS Mincho" w:cs="MS Mincho" w:hint="eastAsia"/>
          <w:sz w:val="22"/>
          <w:szCs w:val="22"/>
        </w:rPr>
        <w:t>‟</w:t>
      </w:r>
      <w:r w:rsidRPr="00E3232D">
        <w:rPr>
          <w:rFonts w:ascii="Book Antiqua" w:hAnsi="Book Antiqua"/>
          <w:sz w:val="22"/>
          <w:szCs w:val="22"/>
        </w:rPr>
        <w:t xml:space="preserve"> started the year 1990 by investing an amount of money in a 91-day treasury bill. Investor „B</w:t>
      </w:r>
      <w:r w:rsidRPr="00E3232D">
        <w:rPr>
          <w:rFonts w:ascii="MS Mincho" w:eastAsia="MS Mincho" w:hAnsi="MS Mincho" w:cs="MS Mincho" w:hint="eastAsia"/>
          <w:sz w:val="22"/>
          <w:szCs w:val="22"/>
        </w:rPr>
        <w:t>‟</w:t>
      </w:r>
      <w:r w:rsidRPr="00E3232D">
        <w:rPr>
          <w:rFonts w:ascii="Book Antiqua" w:hAnsi="Book Antiqua"/>
          <w:sz w:val="22"/>
          <w:szCs w:val="22"/>
        </w:rPr>
        <w:t xml:space="preserve"> started the same year by purchasing one share each of the listed companies on the GSE with the same amount of money. By buying a share each of the companies listed on the GSE, the investor had created an investment portfolio. After 91 days, investor „A</w:t>
      </w:r>
      <w:r w:rsidRPr="00E3232D">
        <w:rPr>
          <w:rFonts w:ascii="MS Mincho" w:eastAsia="MS Mincho" w:hAnsi="MS Mincho" w:cs="MS Mincho" w:hint="eastAsia"/>
          <w:sz w:val="22"/>
          <w:szCs w:val="22"/>
        </w:rPr>
        <w:t>‟</w:t>
      </w:r>
      <w:r w:rsidRPr="00E3232D">
        <w:rPr>
          <w:rFonts w:ascii="Book Antiqua" w:hAnsi="Book Antiqua"/>
          <w:sz w:val="22"/>
          <w:szCs w:val="22"/>
        </w:rPr>
        <w:t xml:space="preserve"> reinvested all proceeds from his Treasury bill investment in yet another 91-day Treasury bill investment again. He did this till the year ended. His returns were then rolled over. This means that his returns are calculated as the compound return earned for the year. This roll over was done after every 91 days for every year till to the end of 2010. </w:t>
      </w:r>
    </w:p>
    <w:p w14:paraId="57156BB6"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For investor „B</w:t>
      </w:r>
      <w:r w:rsidRPr="00E3232D">
        <w:rPr>
          <w:rFonts w:ascii="MS Mincho" w:eastAsia="MS Mincho" w:hAnsi="MS Mincho" w:cs="MS Mincho" w:hint="eastAsia"/>
          <w:sz w:val="22"/>
          <w:szCs w:val="22"/>
        </w:rPr>
        <w:t>‟</w:t>
      </w:r>
      <w:r w:rsidRPr="00E3232D">
        <w:rPr>
          <w:rFonts w:ascii="Book Antiqua" w:hAnsi="Book Antiqua"/>
          <w:sz w:val="22"/>
          <w:szCs w:val="22"/>
        </w:rPr>
        <w:t xml:space="preserve"> at the end of 2010, his portfolio had a value equivalent to the dividends he received on each company share in addition to the market value of each share in the portfolio. Most often, dividends paid by a company were used to buy more shares of the same company. The gains or return realized for the year is equivalent to the end-of-year value of the portfolio minus the value of the portfolio at the start of the year. The rate of return equaled the gain divided by the value of the portfolio at the start of the year. This process is repeated yearly in computing the annual rates of return on the portfolio of shares. If within the course of any particular year, any company listed on the GSE issued additional shares to shareholders probably in lieu of cash dividends, stock dividends and /or stock splits, the increased number of shares is used in computing the value of the portfolio thereafter. Some companies also undertook ―rights issue. These were additional shares sold exclusively to existing shareholders in proportion to their share quantity or the number of shares they hold. If a company in investor „B„s portfolio sold him a rights of issue, in computing the rate of return, consideration is given to the additional investment that was made by „B</w:t>
      </w:r>
      <w:r w:rsidRPr="00E3232D">
        <w:rPr>
          <w:rFonts w:ascii="MS Mincho" w:eastAsia="MS Mincho" w:hAnsi="MS Mincho" w:cs="MS Mincho" w:hint="eastAsia"/>
          <w:sz w:val="22"/>
          <w:szCs w:val="22"/>
        </w:rPr>
        <w:t>‟</w:t>
      </w:r>
      <w:r w:rsidRPr="00E3232D">
        <w:rPr>
          <w:rFonts w:ascii="Book Antiqua" w:hAnsi="Book Antiqua"/>
          <w:sz w:val="22"/>
          <w:szCs w:val="22"/>
        </w:rPr>
        <w:t xml:space="preserve">. Comparing the annual returns on the treasury bills and equities, the following are calculated for the two instruments; </w:t>
      </w:r>
    </w:p>
    <w:p w14:paraId="6BD1FB48"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 The average annual rate of return (nominal and real) </w:t>
      </w:r>
    </w:p>
    <w:p w14:paraId="71A1F503"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 The standard deviations and </w:t>
      </w:r>
    </w:p>
    <w:p w14:paraId="6D4157AB"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 Co-efficient of variations </w:t>
      </w:r>
    </w:p>
    <w:p w14:paraId="7ECD2464"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The average annual rates of returns are obtained by using the Arithmetic Mean formula and the Geometric</w:t>
      </w:r>
    </w:p>
    <w:p w14:paraId="1EFA187A" w14:textId="77777777" w:rsidR="00AC50E9" w:rsidRPr="00E3232D" w:rsidRDefault="00850DC5" w:rsidP="008275E1">
      <w:pPr>
        <w:pStyle w:val="Default"/>
        <w:rPr>
          <w:rFonts w:ascii="Book Antiqua" w:hAnsi="Book Antiqua"/>
          <w:sz w:val="22"/>
          <w:szCs w:val="22"/>
        </w:rPr>
      </w:pPr>
      <m:oMath>
        <m:nary>
          <m:naryPr>
            <m:chr m:val="∑"/>
            <m:limLoc m:val="undOvr"/>
            <m:subHide m:val="1"/>
            <m:supHide m:val="1"/>
            <m:ctrlPr>
              <w:rPr>
                <w:rFonts w:ascii="Cambria Math" w:hAnsi="Cambria Math"/>
                <w:i/>
              </w:rPr>
            </m:ctrlPr>
          </m:naryPr>
          <m:sub/>
          <m:sup/>
          <m:e>
            <m:r>
              <w:rPr>
                <w:rFonts w:ascii="Cambria Math" w:hAnsi="Cambria Math"/>
              </w:rPr>
              <m:t>ARR</m:t>
            </m:r>
          </m:e>
        </m:nary>
      </m:oMath>
      <w:r w:rsidR="00AC50E9" w:rsidRPr="00E3232D">
        <w:rPr>
          <w:rFonts w:ascii="Book Antiqua" w:hAnsi="Book Antiqua"/>
          <w:sz w:val="22"/>
          <w:szCs w:val="22"/>
        </w:rPr>
        <w:t xml:space="preserve"> is the total of annual rates of returns and n is the number of year </w:t>
      </w:r>
    </w:p>
    <w:p w14:paraId="7B89B571"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The Geometric Average = {(HPR1+1.0) (HPR2+1.0) (HPR3 + 1.0) ………….}1/n-1.</w:t>
      </w:r>
    </w:p>
    <w:p w14:paraId="6D02A7EF"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Where, HPRi is a holding period for exactly one year.</w:t>
      </w:r>
    </w:p>
    <w:p w14:paraId="19F16DA5"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The – real average annual rates of return have been computed using the formula </w:t>
      </w:r>
    </w:p>
    <w:p w14:paraId="5E08031E" w14:textId="77777777" w:rsidR="00AC50E9" w:rsidRPr="00E3232D" w:rsidRDefault="00850DC5" w:rsidP="008275E1">
      <w:pPr>
        <w:pStyle w:val="Default"/>
        <w:rPr>
          <w:rFonts w:ascii="Book Antiqua" w:hAnsi="Book Antiqua"/>
          <w:sz w:val="22"/>
          <w:szCs w:val="22"/>
        </w:rPr>
      </w:pPr>
      <m:oMathPara>
        <m:oMath>
          <m:f>
            <m:fPr>
              <m:ctrlPr>
                <w:rPr>
                  <w:rFonts w:ascii="Cambria Math" w:hAnsi="Cambria Math"/>
                  <w:i/>
                </w:rPr>
              </m:ctrlPr>
            </m:fPr>
            <m:num>
              <m:r>
                <w:rPr>
                  <w:rFonts w:ascii="Cambria Math" w:hAnsi="Cambria Math"/>
                </w:rPr>
                <m:t>(1+Norminal Interest)</m:t>
              </m:r>
            </m:num>
            <m:den>
              <m:r>
                <w:rPr>
                  <w:rFonts w:ascii="Cambria Math" w:hAnsi="Cambria Math"/>
                </w:rPr>
                <m:t>(1+Inflation Rate</m:t>
              </m:r>
            </m:den>
          </m:f>
          <m:r>
            <w:rPr>
              <w:rFonts w:ascii="Cambria Math" w:hAnsi="Cambria Math"/>
            </w:rPr>
            <m:t>- 1</m:t>
          </m:r>
        </m:oMath>
      </m:oMathPara>
    </w:p>
    <w:p w14:paraId="746C8E3B"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The standard deviations are computed using the formula.</w:t>
      </w:r>
    </w:p>
    <w:p w14:paraId="039962B3" w14:textId="77777777" w:rsidR="00AC50E9" w:rsidRPr="00E3232D" w:rsidRDefault="007005B1" w:rsidP="008275E1">
      <w:pPr>
        <w:pStyle w:val="Default"/>
        <w:rPr>
          <w:rFonts w:ascii="Book Antiqua" w:hAnsi="Book Antiqua"/>
          <w:sz w:val="22"/>
          <w:szCs w:val="22"/>
        </w:rPr>
      </w:pPr>
      <m:oMathPara>
        <m:oMath>
          <m:r>
            <w:rPr>
              <w:rFonts w:ascii="Cambria Math" w:hAnsi="Cambria Math"/>
            </w:rPr>
            <m:t>θ=</m:t>
          </m:r>
          <m:f>
            <m:fPr>
              <m:ctrlPr>
                <w:rPr>
                  <w:rFonts w:ascii="Cambria Math" w:hAnsi="Cambria Math"/>
                  <w:i/>
                </w:rPr>
              </m:ctrlPr>
            </m:fPr>
            <m:num>
              <m:rad>
                <m:radPr>
                  <m:degHide m:val="1"/>
                  <m:ctrlPr>
                    <w:rPr>
                      <w:rFonts w:ascii="Cambria Math" w:hAnsi="Cambria Math"/>
                      <w:i/>
                    </w:rPr>
                  </m:ctrlPr>
                </m:radPr>
                <m:deg/>
                <m:e>
                  <m:r>
                    <w:rPr>
                      <w:rFonts w:ascii="Cambria Math" w:hAnsi="Cambria Math"/>
                    </w:rPr>
                    <m:t>Ri-</m:t>
                  </m:r>
                  <m:sSup>
                    <m:sSupPr>
                      <m:ctrlPr>
                        <w:rPr>
                          <w:rFonts w:ascii="Cambria Math" w:hAnsi="Cambria Math"/>
                          <w:i/>
                        </w:rPr>
                      </m:ctrlPr>
                    </m:sSupPr>
                    <m:e>
                      <m:r>
                        <w:rPr>
                          <w:rFonts w:ascii="Cambria Math" w:hAnsi="Cambria Math"/>
                        </w:rPr>
                        <m:t>R</m:t>
                      </m:r>
                    </m:e>
                    <m:sup>
                      <m:r>
                        <w:rPr>
                          <w:rFonts w:ascii="Cambria Math" w:hAnsi="Cambria Math"/>
                        </w:rPr>
                        <m:t>2</m:t>
                      </m:r>
                    </m:sup>
                  </m:sSup>
                </m:e>
              </m:rad>
            </m:num>
            <m:den>
              <m:r>
                <w:rPr>
                  <w:rFonts w:ascii="Cambria Math" w:hAnsi="Cambria Math"/>
                </w:rPr>
                <m:t>n</m:t>
              </m:r>
            </m:den>
          </m:f>
        </m:oMath>
      </m:oMathPara>
    </w:p>
    <w:p w14:paraId="2E6C2AD8"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Where: </w:t>
      </w:r>
      <m:oMath>
        <m:f>
          <m:fPr>
            <m:ctrlPr>
              <w:rPr>
                <w:rFonts w:ascii="Cambria Math" w:hAnsi="Cambria Math"/>
                <w:i/>
              </w:rPr>
            </m:ctrlPr>
          </m:fPr>
          <m:num>
            <m:r>
              <w:rPr>
                <w:rFonts w:ascii="Cambria Math" w:hAnsi="Cambria Math"/>
              </w:rPr>
              <m:t>⅀</m:t>
            </m:r>
          </m:num>
          <m:den>
            <m:r>
              <w:rPr>
                <w:rFonts w:ascii="Cambria Math" w:hAnsi="Cambria Math"/>
              </w:rPr>
              <m:t>n</m:t>
            </m:r>
          </m:den>
        </m:f>
        <m:d>
          <m:dPr>
            <m:ctrlPr>
              <w:rPr>
                <w:rFonts w:ascii="Cambria Math" w:hAnsi="Cambria Math"/>
                <w:i/>
              </w:rPr>
            </m:ctrlPr>
          </m:dPr>
          <m:e>
            <m:r>
              <w:rPr>
                <w:rFonts w:ascii="Cambria Math" w:hAnsi="Cambria Math"/>
              </w:rPr>
              <m:t>Ri-</m:t>
            </m:r>
            <m:sSup>
              <m:sSupPr>
                <m:ctrlPr>
                  <w:rPr>
                    <w:rFonts w:ascii="Cambria Math" w:hAnsi="Cambria Math"/>
                    <w:i/>
                  </w:rPr>
                </m:ctrlPr>
              </m:sSupPr>
              <m:e>
                <m:r>
                  <w:rPr>
                    <w:rFonts w:ascii="Cambria Math" w:hAnsi="Cambria Math"/>
                  </w:rPr>
                  <m:t>R</m:t>
                </m:r>
              </m:e>
              <m:sup>
                <m:r>
                  <w:rPr>
                    <w:rFonts w:ascii="Cambria Math" w:hAnsi="Cambria Math"/>
                  </w:rPr>
                  <m:t>2</m:t>
                </m:r>
              </m:sup>
            </m:sSup>
          </m:e>
        </m:d>
        <m:r>
          <w:rPr>
            <w:rFonts w:ascii="Cambria Math" w:hAnsi="Cambria Math"/>
          </w:rPr>
          <m:t>=</m:t>
        </m:r>
        <m:sSup>
          <m:sSupPr>
            <m:ctrlPr>
              <w:rPr>
                <w:rFonts w:ascii="Cambria Math" w:hAnsi="Cambria Math"/>
                <w:i/>
              </w:rPr>
            </m:ctrlPr>
          </m:sSupPr>
          <m:e>
            <m:r>
              <w:rPr>
                <w:rFonts w:ascii="Cambria Math" w:hAnsi="Cambria Math"/>
              </w:rPr>
              <m:t>δ</m:t>
            </m:r>
          </m:e>
          <m:sup>
            <m:r>
              <w:rPr>
                <w:rFonts w:ascii="Cambria Math" w:hAnsi="Cambria Math"/>
              </w:rPr>
              <m:t>2</m:t>
            </m:r>
          </m:sup>
        </m:sSup>
        <m:r>
          <w:rPr>
            <w:rFonts w:ascii="Cambria Math" w:hAnsi="Cambria Math"/>
          </w:rPr>
          <m:t>(variance)</m:t>
        </m:r>
      </m:oMath>
    </w:p>
    <w:p w14:paraId="06B474B1"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Ri = Annual Rate of Return during period (i)</w:t>
      </w:r>
    </w:p>
    <w:p w14:paraId="53ED6412"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R</w:t>
      </w:r>
      <w:r w:rsidRPr="00E3232D">
        <w:rPr>
          <w:rFonts w:ascii="Book Antiqua" w:hAnsi="Book Antiqua"/>
          <w:sz w:val="22"/>
          <w:szCs w:val="22"/>
          <w:vertAlign w:val="superscript"/>
        </w:rPr>
        <w:t>2</w:t>
      </w:r>
      <w:r w:rsidRPr="00E3232D">
        <w:rPr>
          <w:rFonts w:ascii="Book Antiqua" w:hAnsi="Book Antiqua"/>
          <w:sz w:val="22"/>
          <w:szCs w:val="22"/>
        </w:rPr>
        <w:t xml:space="preserve"> = the expected value of the holding period yields i.e. the Geometric mean or the Arithmetic mean of the series </w:t>
      </w:r>
    </w:p>
    <w:p w14:paraId="5524E21A"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And n = the number of observations </w:t>
      </w:r>
    </w:p>
    <w:p w14:paraId="0302D7F1"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The co-efficient of variation have been calculated by dividing the standard deviation of the returns by the expected rate of the returns i.e. the geometric or arithmetic average of the series. Two hypotheses have been generated for the study; </w:t>
      </w:r>
    </w:p>
    <w:p w14:paraId="1F22D986"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(1) </w:t>
      </w:r>
      <w:r w:rsidRPr="00E3232D">
        <w:rPr>
          <w:rFonts w:ascii="Cambria Math" w:hAnsi="Cambria Math" w:cs="Cambria Math"/>
          <w:sz w:val="22"/>
          <w:szCs w:val="22"/>
        </w:rPr>
        <w:t>𝐻𝑜</w:t>
      </w:r>
      <w:r w:rsidRPr="00E3232D">
        <w:rPr>
          <w:rFonts w:ascii="Book Antiqua" w:hAnsi="Book Antiqua"/>
          <w:sz w:val="22"/>
          <w:szCs w:val="22"/>
        </w:rPr>
        <w:t xml:space="preserve"> = investments in equities have higher returns in the long run than investments in treasury bills </w:t>
      </w:r>
    </w:p>
    <w:p w14:paraId="16FF9A2A"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     </w:t>
      </w:r>
      <w:r w:rsidRPr="00E3232D">
        <w:rPr>
          <w:rFonts w:ascii="Cambria Math" w:hAnsi="Cambria Math" w:cs="Cambria Math"/>
          <w:sz w:val="22"/>
          <w:szCs w:val="22"/>
        </w:rPr>
        <w:t>𝐻𝑖</w:t>
      </w:r>
      <w:r w:rsidRPr="00E3232D">
        <w:rPr>
          <w:rFonts w:ascii="Book Antiqua" w:hAnsi="Book Antiqua"/>
          <w:sz w:val="22"/>
          <w:szCs w:val="22"/>
        </w:rPr>
        <w:t xml:space="preserve"> = investments in equities do not have higher returns in the long run than investments in treasury bills </w:t>
      </w:r>
    </w:p>
    <w:p w14:paraId="66C9F561"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(2) </w:t>
      </w:r>
      <w:r w:rsidRPr="00E3232D">
        <w:rPr>
          <w:rFonts w:ascii="Cambria Math" w:hAnsi="Cambria Math" w:cs="Cambria Math"/>
          <w:sz w:val="22"/>
          <w:szCs w:val="22"/>
        </w:rPr>
        <w:t>𝐻𝑜</w:t>
      </w:r>
      <w:r w:rsidRPr="00E3232D">
        <w:rPr>
          <w:rFonts w:ascii="Book Antiqua" w:hAnsi="Book Antiqua"/>
          <w:sz w:val="22"/>
          <w:szCs w:val="22"/>
        </w:rPr>
        <w:t xml:space="preserve"> = average annual returns on both treasury bills and listed equities are normally over and above the average rate of inflation </w:t>
      </w:r>
    </w:p>
    <w:p w14:paraId="6CD765F3"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     </w:t>
      </w:r>
      <w:r w:rsidRPr="00E3232D">
        <w:rPr>
          <w:rFonts w:ascii="Cambria Math" w:hAnsi="Cambria Math" w:cs="Cambria Math"/>
          <w:sz w:val="22"/>
          <w:szCs w:val="22"/>
        </w:rPr>
        <w:t>𝐻𝑖</w:t>
      </w:r>
      <w:r w:rsidRPr="00E3232D">
        <w:rPr>
          <w:rFonts w:ascii="Book Antiqua" w:hAnsi="Book Antiqua"/>
          <w:sz w:val="22"/>
          <w:szCs w:val="22"/>
        </w:rPr>
        <w:t xml:space="preserve"> = average annual returns on both treasury bills and listed equities are not over and over the average rate of inflation </w:t>
      </w:r>
    </w:p>
    <w:p w14:paraId="1E6F01B5" w14:textId="77777777" w:rsidR="00AC50E9" w:rsidRPr="00E3232D" w:rsidRDefault="00AC50E9" w:rsidP="008275E1">
      <w:pPr>
        <w:pStyle w:val="Default"/>
        <w:rPr>
          <w:rFonts w:ascii="Book Antiqua" w:hAnsi="Book Antiqua"/>
          <w:b/>
          <w:bCs/>
          <w:iCs/>
          <w:sz w:val="22"/>
          <w:szCs w:val="22"/>
        </w:rPr>
      </w:pPr>
      <w:r w:rsidRPr="00E3232D">
        <w:rPr>
          <w:rFonts w:ascii="Book Antiqua" w:hAnsi="Book Antiqua"/>
          <w:b/>
          <w:bCs/>
          <w:iCs/>
          <w:sz w:val="22"/>
          <w:szCs w:val="22"/>
        </w:rPr>
        <w:t xml:space="preserve">3.0 </w:t>
      </w:r>
      <w:r w:rsidRPr="00AA0C97">
        <w:rPr>
          <w:rFonts w:ascii="Book Antiqua" w:hAnsi="Book Antiqua"/>
          <w:b/>
          <w:bCs/>
          <w:iCs/>
          <w:szCs w:val="22"/>
        </w:rPr>
        <w:t xml:space="preserve">Empirical Results and Discussion </w:t>
      </w:r>
    </w:p>
    <w:p w14:paraId="23A13BEC" w14:textId="77777777" w:rsidR="00AC50E9" w:rsidRPr="00E3232D" w:rsidRDefault="00AC50E9" w:rsidP="008275E1">
      <w:pPr>
        <w:pStyle w:val="Default"/>
        <w:rPr>
          <w:rFonts w:ascii="Book Antiqua" w:hAnsi="Book Antiqua"/>
          <w:b/>
          <w:bCs/>
          <w:sz w:val="22"/>
          <w:szCs w:val="22"/>
        </w:rPr>
      </w:pPr>
      <w:r w:rsidRPr="00E3232D">
        <w:rPr>
          <w:rFonts w:ascii="Book Antiqua" w:hAnsi="Book Antiqua"/>
          <w:b/>
          <w:bCs/>
          <w:sz w:val="22"/>
          <w:szCs w:val="22"/>
        </w:rPr>
        <w:t xml:space="preserve">3.1 Analysis of the 91- day Treasury bill </w:t>
      </w:r>
    </w:p>
    <w:p w14:paraId="7B8484ED"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The annualized historical returns obtained by investors in Treasury bill in Ghana for the period 1990– 2010, in the form of interest are analyzed by comparing them with the average rate of return for the period. The historical annual rates of return are also compared with corresponding annual inflation rate to see how the instrument fared against the inflation. In terms of the riskiness of the instrument during the period, the standard deviation and the co – efficient of variation of the security are also computed for use in the overall analysis.</w:t>
      </w:r>
    </w:p>
    <w:p w14:paraId="25EC8125" w14:textId="77777777" w:rsidR="00AC50E9" w:rsidRPr="00E3232D" w:rsidRDefault="00AC50E9" w:rsidP="008275E1">
      <w:pPr>
        <w:pStyle w:val="Default"/>
        <w:rPr>
          <w:rFonts w:ascii="Book Antiqua" w:hAnsi="Book Antiqua"/>
          <w:sz w:val="22"/>
          <w:szCs w:val="22"/>
        </w:rPr>
      </w:pPr>
    </w:p>
    <w:p w14:paraId="7D232475" w14:textId="77777777" w:rsidR="006A6123" w:rsidRDefault="006A6123" w:rsidP="008275E1">
      <w:pPr>
        <w:pStyle w:val="Default"/>
        <w:rPr>
          <w:rFonts w:ascii="Book Antiqua" w:hAnsi="Book Antiqua"/>
          <w:b/>
          <w:bCs/>
          <w:sz w:val="22"/>
          <w:szCs w:val="22"/>
        </w:rPr>
        <w:sectPr w:rsidR="006A6123" w:rsidSect="008F6BC9">
          <w:type w:val="continuous"/>
          <w:pgSz w:w="11907" w:h="16839" w:code="9"/>
          <w:pgMar w:top="1440" w:right="1440" w:bottom="1440" w:left="1440" w:header="720" w:footer="720" w:gutter="0"/>
          <w:cols w:num="2" w:space="720"/>
          <w:docGrid w:linePitch="360"/>
        </w:sectPr>
      </w:pPr>
    </w:p>
    <w:p w14:paraId="483A894D" w14:textId="77777777" w:rsidR="006A6123" w:rsidRDefault="006A6123" w:rsidP="008275E1">
      <w:pPr>
        <w:pStyle w:val="Default"/>
        <w:rPr>
          <w:rFonts w:ascii="Book Antiqua" w:hAnsi="Book Antiqua"/>
          <w:b/>
          <w:bCs/>
          <w:sz w:val="22"/>
          <w:szCs w:val="22"/>
        </w:rPr>
      </w:pPr>
    </w:p>
    <w:p w14:paraId="08B21EED" w14:textId="77777777" w:rsidR="0006162A" w:rsidRDefault="0006162A" w:rsidP="008275E1">
      <w:pPr>
        <w:pStyle w:val="Default"/>
        <w:rPr>
          <w:rFonts w:ascii="Book Antiqua" w:hAnsi="Book Antiqua"/>
          <w:b/>
          <w:bCs/>
          <w:sz w:val="22"/>
          <w:szCs w:val="22"/>
        </w:rPr>
      </w:pPr>
    </w:p>
    <w:p w14:paraId="3459164E" w14:textId="77777777" w:rsidR="00AA0C97" w:rsidRDefault="00AA0C97" w:rsidP="008275E1">
      <w:pPr>
        <w:pStyle w:val="Default"/>
        <w:rPr>
          <w:rFonts w:ascii="Book Antiqua" w:hAnsi="Book Antiqua"/>
          <w:b/>
          <w:bCs/>
          <w:sz w:val="22"/>
          <w:szCs w:val="22"/>
        </w:rPr>
      </w:pPr>
    </w:p>
    <w:p w14:paraId="58B98E9E" w14:textId="77777777" w:rsidR="00AA0C97" w:rsidRDefault="00AA0C97" w:rsidP="008275E1">
      <w:pPr>
        <w:pStyle w:val="Default"/>
        <w:rPr>
          <w:rFonts w:ascii="Book Antiqua" w:hAnsi="Book Antiqua"/>
          <w:b/>
          <w:bCs/>
          <w:sz w:val="22"/>
          <w:szCs w:val="22"/>
        </w:rPr>
      </w:pPr>
    </w:p>
    <w:p w14:paraId="61A12CE5" w14:textId="77777777" w:rsidR="00AA0C97" w:rsidRDefault="00AA0C97" w:rsidP="008275E1">
      <w:pPr>
        <w:pStyle w:val="Default"/>
        <w:rPr>
          <w:rFonts w:ascii="Book Antiqua" w:hAnsi="Book Antiqua"/>
          <w:b/>
          <w:bCs/>
          <w:sz w:val="22"/>
          <w:szCs w:val="22"/>
        </w:rPr>
      </w:pPr>
    </w:p>
    <w:p w14:paraId="7F4443CD" w14:textId="77777777" w:rsidR="00AA0C97" w:rsidRDefault="00AA0C97" w:rsidP="008275E1">
      <w:pPr>
        <w:pStyle w:val="Default"/>
        <w:rPr>
          <w:rFonts w:ascii="Book Antiqua" w:hAnsi="Book Antiqua"/>
          <w:b/>
          <w:bCs/>
          <w:sz w:val="22"/>
          <w:szCs w:val="22"/>
        </w:rPr>
      </w:pPr>
    </w:p>
    <w:p w14:paraId="78E9FDEA" w14:textId="77777777" w:rsidR="00AA0C97" w:rsidRDefault="00AA0C97" w:rsidP="008275E1">
      <w:pPr>
        <w:pStyle w:val="Default"/>
        <w:rPr>
          <w:rFonts w:ascii="Book Antiqua" w:hAnsi="Book Antiqua"/>
          <w:b/>
          <w:bCs/>
          <w:sz w:val="22"/>
          <w:szCs w:val="22"/>
        </w:rPr>
      </w:pPr>
    </w:p>
    <w:p w14:paraId="43BEF052" w14:textId="77777777" w:rsidR="00AA0C97" w:rsidRDefault="00AA0C97" w:rsidP="008275E1">
      <w:pPr>
        <w:pStyle w:val="Default"/>
        <w:rPr>
          <w:rFonts w:ascii="Book Antiqua" w:hAnsi="Book Antiqua"/>
          <w:b/>
          <w:bCs/>
          <w:sz w:val="22"/>
          <w:szCs w:val="22"/>
        </w:rPr>
      </w:pPr>
    </w:p>
    <w:p w14:paraId="0F164C70" w14:textId="77777777" w:rsidR="00AA0C97" w:rsidRDefault="00AA0C97" w:rsidP="008275E1">
      <w:pPr>
        <w:pStyle w:val="Default"/>
        <w:rPr>
          <w:rFonts w:ascii="Book Antiqua" w:hAnsi="Book Antiqua"/>
          <w:b/>
          <w:bCs/>
          <w:sz w:val="22"/>
          <w:szCs w:val="22"/>
        </w:rPr>
      </w:pPr>
    </w:p>
    <w:p w14:paraId="657F2593" w14:textId="77777777" w:rsidR="00AA0C97" w:rsidRDefault="00AA0C97" w:rsidP="008275E1">
      <w:pPr>
        <w:pStyle w:val="Default"/>
        <w:rPr>
          <w:rFonts w:ascii="Book Antiqua" w:hAnsi="Book Antiqua"/>
          <w:b/>
          <w:bCs/>
          <w:sz w:val="22"/>
          <w:szCs w:val="22"/>
        </w:rPr>
        <w:sectPr w:rsidR="00AA0C97" w:rsidSect="008F6BC9">
          <w:type w:val="continuous"/>
          <w:pgSz w:w="11907" w:h="16839" w:code="9"/>
          <w:pgMar w:top="1440" w:right="1440" w:bottom="1440" w:left="1440" w:header="720" w:footer="720" w:gutter="0"/>
          <w:cols w:num="2" w:space="720"/>
          <w:docGrid w:linePitch="360"/>
        </w:sectPr>
      </w:pPr>
    </w:p>
    <w:p w14:paraId="59D15DC7" w14:textId="77777777" w:rsidR="00AC50E9" w:rsidRPr="00E3232D" w:rsidRDefault="00AC50E9" w:rsidP="008275E1">
      <w:pPr>
        <w:pStyle w:val="Default"/>
        <w:rPr>
          <w:rFonts w:ascii="Book Antiqua" w:hAnsi="Book Antiqua"/>
          <w:b/>
          <w:bCs/>
          <w:sz w:val="22"/>
          <w:szCs w:val="22"/>
        </w:rPr>
      </w:pPr>
      <w:r w:rsidRPr="00E3232D">
        <w:rPr>
          <w:rFonts w:ascii="Book Antiqua" w:hAnsi="Book Antiqua"/>
          <w:b/>
          <w:bCs/>
          <w:sz w:val="22"/>
          <w:szCs w:val="22"/>
        </w:rPr>
        <w:t>Table 1: Nominal Interest Rate, Rate of Inflation and Real Rate of Returns of Treasury Bills for the Period 1990 to 2010</w:t>
      </w:r>
    </w:p>
    <w:p w14:paraId="50079247" w14:textId="77777777" w:rsidR="0006162A" w:rsidRDefault="0006162A" w:rsidP="008D6FB2">
      <w:pPr>
        <w:pStyle w:val="Default"/>
        <w:jc w:val="center"/>
        <w:rPr>
          <w:rFonts w:ascii="Book Antiqua" w:hAnsi="Book Antiqua"/>
          <w:b/>
          <w:bCs/>
          <w:sz w:val="22"/>
          <w:szCs w:val="22"/>
        </w:rPr>
        <w:sectPr w:rsidR="0006162A" w:rsidSect="008F6BC9">
          <w:type w:val="continuous"/>
          <w:pgSz w:w="11907" w:h="16839" w:code="9"/>
          <w:pgMar w:top="1440" w:right="1440" w:bottom="1440" w:left="1440" w:header="720" w:footer="720" w:gutter="0"/>
          <w:cols w:space="720"/>
          <w:docGrid w:linePitch="360"/>
        </w:sectPr>
      </w:pPr>
    </w:p>
    <w:p w14:paraId="4D8398B7" w14:textId="77777777" w:rsidR="0006162A" w:rsidRDefault="0006162A" w:rsidP="008D6FB2">
      <w:pPr>
        <w:pStyle w:val="Default"/>
        <w:jc w:val="center"/>
        <w:rPr>
          <w:rFonts w:ascii="Book Antiqua" w:hAnsi="Book Antiqua"/>
          <w:b/>
          <w:bCs/>
          <w:sz w:val="22"/>
          <w:szCs w:val="22"/>
        </w:rPr>
        <w:sectPr w:rsidR="0006162A" w:rsidSect="008F6BC9">
          <w:type w:val="continuous"/>
          <w:pgSz w:w="11907" w:h="16839" w:code="9"/>
          <w:pgMar w:top="1440" w:right="1440" w:bottom="1440" w:left="1440" w:header="720" w:footer="720" w:gutter="0"/>
          <w:cols w:space="720"/>
          <w:docGrid w:linePitch="360"/>
        </w:sectPr>
      </w:pPr>
    </w:p>
    <w:tbl>
      <w:tblPr>
        <w:tblW w:w="7222" w:type="dxa"/>
        <w:tblInd w:w="567" w:type="dxa"/>
        <w:tblLook w:val="04A0" w:firstRow="1" w:lastRow="0" w:firstColumn="1" w:lastColumn="0" w:noHBand="0" w:noVBand="1"/>
      </w:tblPr>
      <w:tblGrid>
        <w:gridCol w:w="1014"/>
        <w:gridCol w:w="2322"/>
        <w:gridCol w:w="1876"/>
        <w:gridCol w:w="2010"/>
      </w:tblGrid>
      <w:tr w:rsidR="00AC50E9" w:rsidRPr="00D12E59" w14:paraId="04EB14BB" w14:textId="77777777" w:rsidTr="008D6FB2">
        <w:trPr>
          <w:trHeight w:val="349"/>
        </w:trPr>
        <w:tc>
          <w:tcPr>
            <w:tcW w:w="1014" w:type="dxa"/>
            <w:tcBorders>
              <w:top w:val="single" w:sz="4" w:space="0" w:color="auto"/>
              <w:bottom w:val="single" w:sz="4" w:space="0" w:color="auto"/>
            </w:tcBorders>
          </w:tcPr>
          <w:p w14:paraId="4C868609" w14:textId="77777777" w:rsidR="00AC50E9" w:rsidRPr="00D12E59" w:rsidRDefault="00AC50E9" w:rsidP="00AA0C97">
            <w:pPr>
              <w:pStyle w:val="Default"/>
              <w:spacing w:after="0"/>
              <w:jc w:val="center"/>
              <w:rPr>
                <w:rFonts w:ascii="Book Antiqua" w:hAnsi="Book Antiqua"/>
                <w:b/>
                <w:bCs/>
                <w:sz w:val="22"/>
                <w:szCs w:val="22"/>
              </w:rPr>
            </w:pPr>
            <w:r w:rsidRPr="00D12E59">
              <w:rPr>
                <w:rFonts w:ascii="Book Antiqua" w:hAnsi="Book Antiqua"/>
                <w:b/>
                <w:bCs/>
                <w:sz w:val="22"/>
                <w:szCs w:val="22"/>
              </w:rPr>
              <w:t>Year</w:t>
            </w:r>
          </w:p>
        </w:tc>
        <w:tc>
          <w:tcPr>
            <w:tcW w:w="2322" w:type="dxa"/>
            <w:tcBorders>
              <w:top w:val="single" w:sz="4" w:space="0" w:color="auto"/>
              <w:bottom w:val="single" w:sz="4" w:space="0" w:color="auto"/>
            </w:tcBorders>
          </w:tcPr>
          <w:p w14:paraId="5FD0F424" w14:textId="77777777" w:rsidR="00AC50E9" w:rsidRPr="00D12E59" w:rsidRDefault="00AC50E9" w:rsidP="00AA0C97">
            <w:pPr>
              <w:pStyle w:val="Default"/>
              <w:spacing w:after="0"/>
              <w:jc w:val="center"/>
              <w:rPr>
                <w:rFonts w:ascii="Book Antiqua" w:hAnsi="Book Antiqua"/>
                <w:b/>
                <w:bCs/>
                <w:sz w:val="22"/>
                <w:szCs w:val="22"/>
              </w:rPr>
            </w:pPr>
            <w:r w:rsidRPr="00D12E59">
              <w:rPr>
                <w:rFonts w:ascii="Book Antiqua" w:hAnsi="Book Antiqua"/>
                <w:b/>
                <w:bCs/>
                <w:sz w:val="22"/>
                <w:szCs w:val="22"/>
              </w:rPr>
              <w:t>91-Day Treasury Bill Return %</w:t>
            </w:r>
          </w:p>
        </w:tc>
        <w:tc>
          <w:tcPr>
            <w:tcW w:w="1876" w:type="dxa"/>
            <w:tcBorders>
              <w:top w:val="single" w:sz="4" w:space="0" w:color="auto"/>
              <w:bottom w:val="single" w:sz="4" w:space="0" w:color="auto"/>
            </w:tcBorders>
          </w:tcPr>
          <w:p w14:paraId="6E32DFFE" w14:textId="77777777" w:rsidR="00AC50E9" w:rsidRPr="00D12E59" w:rsidRDefault="00AC50E9" w:rsidP="00AA0C97">
            <w:pPr>
              <w:pStyle w:val="Default"/>
              <w:spacing w:after="0"/>
              <w:jc w:val="center"/>
              <w:rPr>
                <w:rFonts w:ascii="Book Antiqua" w:hAnsi="Book Antiqua"/>
                <w:b/>
                <w:bCs/>
                <w:sz w:val="22"/>
                <w:szCs w:val="22"/>
              </w:rPr>
            </w:pPr>
            <w:r w:rsidRPr="00D12E59">
              <w:rPr>
                <w:rFonts w:ascii="Book Antiqua" w:hAnsi="Book Antiqua"/>
                <w:b/>
                <w:bCs/>
                <w:sz w:val="22"/>
                <w:szCs w:val="22"/>
              </w:rPr>
              <w:t>Rate of Inflation (%)</w:t>
            </w:r>
          </w:p>
        </w:tc>
        <w:tc>
          <w:tcPr>
            <w:tcW w:w="2010" w:type="dxa"/>
            <w:tcBorders>
              <w:top w:val="single" w:sz="4" w:space="0" w:color="auto"/>
              <w:bottom w:val="single" w:sz="4" w:space="0" w:color="auto"/>
            </w:tcBorders>
          </w:tcPr>
          <w:p w14:paraId="30C80817" w14:textId="77777777" w:rsidR="00AC50E9" w:rsidRPr="00D12E59" w:rsidRDefault="00AC50E9" w:rsidP="00AA0C97">
            <w:pPr>
              <w:pStyle w:val="Default"/>
              <w:spacing w:after="0"/>
              <w:jc w:val="center"/>
              <w:rPr>
                <w:rFonts w:ascii="Book Antiqua" w:hAnsi="Book Antiqua"/>
                <w:b/>
                <w:bCs/>
                <w:sz w:val="22"/>
                <w:szCs w:val="22"/>
              </w:rPr>
            </w:pPr>
            <w:r w:rsidRPr="00D12E59">
              <w:rPr>
                <w:rFonts w:ascii="Book Antiqua" w:hAnsi="Book Antiqua"/>
                <w:b/>
                <w:bCs/>
                <w:sz w:val="22"/>
                <w:szCs w:val="22"/>
              </w:rPr>
              <w:t>Real Rate of Returns %</w:t>
            </w:r>
          </w:p>
        </w:tc>
      </w:tr>
      <w:tr w:rsidR="00AC50E9" w:rsidRPr="00D12E59" w14:paraId="09A63A98" w14:textId="77777777" w:rsidTr="008D6FB2">
        <w:trPr>
          <w:trHeight w:val="349"/>
        </w:trPr>
        <w:tc>
          <w:tcPr>
            <w:tcW w:w="1014" w:type="dxa"/>
            <w:tcBorders>
              <w:top w:val="single" w:sz="4" w:space="0" w:color="auto"/>
            </w:tcBorders>
          </w:tcPr>
          <w:p w14:paraId="4986EA27"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1990</w:t>
            </w:r>
          </w:p>
        </w:tc>
        <w:tc>
          <w:tcPr>
            <w:tcW w:w="2322" w:type="dxa"/>
            <w:tcBorders>
              <w:top w:val="single" w:sz="4" w:space="0" w:color="auto"/>
            </w:tcBorders>
          </w:tcPr>
          <w:p w14:paraId="57D1B80D"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29.53</w:t>
            </w:r>
          </w:p>
        </w:tc>
        <w:tc>
          <w:tcPr>
            <w:tcW w:w="1876" w:type="dxa"/>
            <w:tcBorders>
              <w:top w:val="single" w:sz="4" w:space="0" w:color="auto"/>
            </w:tcBorders>
          </w:tcPr>
          <w:p w14:paraId="238EBB6B"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35.9</w:t>
            </w:r>
          </w:p>
        </w:tc>
        <w:tc>
          <w:tcPr>
            <w:tcW w:w="2010" w:type="dxa"/>
            <w:tcBorders>
              <w:top w:val="single" w:sz="4" w:space="0" w:color="auto"/>
            </w:tcBorders>
          </w:tcPr>
          <w:p w14:paraId="35B8B28A"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-6.37</w:t>
            </w:r>
          </w:p>
        </w:tc>
      </w:tr>
      <w:tr w:rsidR="00AC50E9" w:rsidRPr="00D12E59" w14:paraId="0F1922C5" w14:textId="77777777" w:rsidTr="008D6FB2">
        <w:trPr>
          <w:trHeight w:val="349"/>
        </w:trPr>
        <w:tc>
          <w:tcPr>
            <w:tcW w:w="1014" w:type="dxa"/>
          </w:tcPr>
          <w:p w14:paraId="49228042"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1991</w:t>
            </w:r>
          </w:p>
        </w:tc>
        <w:tc>
          <w:tcPr>
            <w:tcW w:w="2322" w:type="dxa"/>
          </w:tcPr>
          <w:p w14:paraId="4B9F2FCE"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21.05</w:t>
            </w:r>
          </w:p>
        </w:tc>
        <w:tc>
          <w:tcPr>
            <w:tcW w:w="1876" w:type="dxa"/>
          </w:tcPr>
          <w:p w14:paraId="34F9C4C8"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10.3</w:t>
            </w:r>
          </w:p>
        </w:tc>
        <w:tc>
          <w:tcPr>
            <w:tcW w:w="2010" w:type="dxa"/>
          </w:tcPr>
          <w:p w14:paraId="6CFF096A"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10.75</w:t>
            </w:r>
          </w:p>
        </w:tc>
      </w:tr>
      <w:tr w:rsidR="00AC50E9" w:rsidRPr="00D12E59" w14:paraId="60C6F80A" w14:textId="77777777" w:rsidTr="008D6FB2">
        <w:trPr>
          <w:trHeight w:val="349"/>
        </w:trPr>
        <w:tc>
          <w:tcPr>
            <w:tcW w:w="1014" w:type="dxa"/>
          </w:tcPr>
          <w:p w14:paraId="52578B66"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1992</w:t>
            </w:r>
          </w:p>
        </w:tc>
        <w:tc>
          <w:tcPr>
            <w:tcW w:w="2322" w:type="dxa"/>
          </w:tcPr>
          <w:p w14:paraId="038BABDD"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27.13</w:t>
            </w:r>
          </w:p>
        </w:tc>
        <w:tc>
          <w:tcPr>
            <w:tcW w:w="1876" w:type="dxa"/>
          </w:tcPr>
          <w:p w14:paraId="204CEEAA"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13.3</w:t>
            </w:r>
          </w:p>
        </w:tc>
        <w:tc>
          <w:tcPr>
            <w:tcW w:w="2010" w:type="dxa"/>
          </w:tcPr>
          <w:p w14:paraId="426CBE22"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13.83</w:t>
            </w:r>
          </w:p>
        </w:tc>
      </w:tr>
      <w:tr w:rsidR="00AC50E9" w:rsidRPr="00D12E59" w14:paraId="255AF04D" w14:textId="77777777" w:rsidTr="008D6FB2">
        <w:trPr>
          <w:trHeight w:val="349"/>
        </w:trPr>
        <w:tc>
          <w:tcPr>
            <w:tcW w:w="1014" w:type="dxa"/>
          </w:tcPr>
          <w:p w14:paraId="4C2681BB"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1993</w:t>
            </w:r>
          </w:p>
        </w:tc>
        <w:tc>
          <w:tcPr>
            <w:tcW w:w="2322" w:type="dxa"/>
          </w:tcPr>
          <w:p w14:paraId="7C4BC490"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34.78</w:t>
            </w:r>
          </w:p>
        </w:tc>
        <w:tc>
          <w:tcPr>
            <w:tcW w:w="1876" w:type="dxa"/>
          </w:tcPr>
          <w:p w14:paraId="01C0BC28"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27.7</w:t>
            </w:r>
          </w:p>
        </w:tc>
        <w:tc>
          <w:tcPr>
            <w:tcW w:w="2010" w:type="dxa"/>
          </w:tcPr>
          <w:p w14:paraId="59FEF71D"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7.08</w:t>
            </w:r>
          </w:p>
        </w:tc>
      </w:tr>
      <w:tr w:rsidR="00AC50E9" w:rsidRPr="00D12E59" w14:paraId="6A92AE96" w14:textId="77777777" w:rsidTr="008D6FB2">
        <w:trPr>
          <w:trHeight w:val="349"/>
        </w:trPr>
        <w:tc>
          <w:tcPr>
            <w:tcW w:w="1014" w:type="dxa"/>
          </w:tcPr>
          <w:p w14:paraId="2CC17F82"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1994</w:t>
            </w:r>
          </w:p>
        </w:tc>
        <w:tc>
          <w:tcPr>
            <w:tcW w:w="2322" w:type="dxa"/>
          </w:tcPr>
          <w:p w14:paraId="16456749"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34.78</w:t>
            </w:r>
          </w:p>
        </w:tc>
        <w:tc>
          <w:tcPr>
            <w:tcW w:w="1876" w:type="dxa"/>
          </w:tcPr>
          <w:p w14:paraId="7F9812D0"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34.2</w:t>
            </w:r>
          </w:p>
        </w:tc>
        <w:tc>
          <w:tcPr>
            <w:tcW w:w="2010" w:type="dxa"/>
          </w:tcPr>
          <w:p w14:paraId="0816B7B7"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0.58</w:t>
            </w:r>
          </w:p>
        </w:tc>
      </w:tr>
      <w:tr w:rsidR="00AC50E9" w:rsidRPr="00D12E59" w14:paraId="510FDACF" w14:textId="77777777" w:rsidTr="008D6FB2">
        <w:trPr>
          <w:trHeight w:val="349"/>
        </w:trPr>
        <w:tc>
          <w:tcPr>
            <w:tcW w:w="1014" w:type="dxa"/>
          </w:tcPr>
          <w:p w14:paraId="184098CC"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1995</w:t>
            </w:r>
          </w:p>
        </w:tc>
        <w:tc>
          <w:tcPr>
            <w:tcW w:w="2322" w:type="dxa"/>
          </w:tcPr>
          <w:p w14:paraId="01327798"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45.06</w:t>
            </w:r>
          </w:p>
        </w:tc>
        <w:tc>
          <w:tcPr>
            <w:tcW w:w="1876" w:type="dxa"/>
          </w:tcPr>
          <w:p w14:paraId="0822BF84"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70.8</w:t>
            </w:r>
          </w:p>
        </w:tc>
        <w:tc>
          <w:tcPr>
            <w:tcW w:w="2010" w:type="dxa"/>
          </w:tcPr>
          <w:p w14:paraId="3819CE65"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-25.74</w:t>
            </w:r>
          </w:p>
        </w:tc>
      </w:tr>
      <w:tr w:rsidR="00AC50E9" w:rsidRPr="00D12E59" w14:paraId="64E13263" w14:textId="77777777" w:rsidTr="008D6FB2">
        <w:trPr>
          <w:trHeight w:val="349"/>
        </w:trPr>
        <w:tc>
          <w:tcPr>
            <w:tcW w:w="1014" w:type="dxa"/>
          </w:tcPr>
          <w:p w14:paraId="684A1EBF"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1996</w:t>
            </w:r>
          </w:p>
        </w:tc>
        <w:tc>
          <w:tcPr>
            <w:tcW w:w="2322" w:type="dxa"/>
          </w:tcPr>
          <w:p w14:paraId="7E8A86A2"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47.88</w:t>
            </w:r>
          </w:p>
        </w:tc>
        <w:tc>
          <w:tcPr>
            <w:tcW w:w="1876" w:type="dxa"/>
          </w:tcPr>
          <w:p w14:paraId="235C01B8"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32.7</w:t>
            </w:r>
          </w:p>
        </w:tc>
        <w:tc>
          <w:tcPr>
            <w:tcW w:w="2010" w:type="dxa"/>
          </w:tcPr>
          <w:p w14:paraId="1BBAB5E7"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15.18</w:t>
            </w:r>
          </w:p>
        </w:tc>
      </w:tr>
      <w:tr w:rsidR="00AC50E9" w:rsidRPr="00D12E59" w14:paraId="7373C18E" w14:textId="77777777" w:rsidTr="008D6FB2">
        <w:trPr>
          <w:trHeight w:val="349"/>
        </w:trPr>
        <w:tc>
          <w:tcPr>
            <w:tcW w:w="1014" w:type="dxa"/>
          </w:tcPr>
          <w:p w14:paraId="2E56E724"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1997</w:t>
            </w:r>
          </w:p>
        </w:tc>
        <w:tc>
          <w:tcPr>
            <w:tcW w:w="2322" w:type="dxa"/>
          </w:tcPr>
          <w:p w14:paraId="56EE2E7D"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47.53</w:t>
            </w:r>
          </w:p>
        </w:tc>
        <w:tc>
          <w:tcPr>
            <w:tcW w:w="1876" w:type="dxa"/>
          </w:tcPr>
          <w:p w14:paraId="0A7A4628"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20.5</w:t>
            </w:r>
          </w:p>
        </w:tc>
        <w:tc>
          <w:tcPr>
            <w:tcW w:w="2010" w:type="dxa"/>
          </w:tcPr>
          <w:p w14:paraId="0FE230B8"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27.03</w:t>
            </w:r>
          </w:p>
        </w:tc>
      </w:tr>
      <w:tr w:rsidR="00AC50E9" w:rsidRPr="00D12E59" w14:paraId="63072AE2" w14:textId="77777777" w:rsidTr="008D6FB2">
        <w:trPr>
          <w:trHeight w:val="349"/>
        </w:trPr>
        <w:tc>
          <w:tcPr>
            <w:tcW w:w="1014" w:type="dxa"/>
          </w:tcPr>
          <w:p w14:paraId="3AD56610"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1998</w:t>
            </w:r>
          </w:p>
        </w:tc>
        <w:tc>
          <w:tcPr>
            <w:tcW w:w="2322" w:type="dxa"/>
          </w:tcPr>
          <w:p w14:paraId="27B948DC"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28.67</w:t>
            </w:r>
          </w:p>
        </w:tc>
        <w:tc>
          <w:tcPr>
            <w:tcW w:w="1876" w:type="dxa"/>
          </w:tcPr>
          <w:p w14:paraId="0A2CD99F"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15.7</w:t>
            </w:r>
          </w:p>
        </w:tc>
        <w:tc>
          <w:tcPr>
            <w:tcW w:w="2010" w:type="dxa"/>
          </w:tcPr>
          <w:p w14:paraId="75A556FD"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12.97</w:t>
            </w:r>
          </w:p>
        </w:tc>
      </w:tr>
      <w:tr w:rsidR="00AC50E9" w:rsidRPr="00D12E59" w14:paraId="63EF0F64" w14:textId="77777777" w:rsidTr="008D6FB2">
        <w:trPr>
          <w:trHeight w:val="349"/>
        </w:trPr>
        <w:tc>
          <w:tcPr>
            <w:tcW w:w="1014" w:type="dxa"/>
          </w:tcPr>
          <w:p w14:paraId="25050D6D"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1999</w:t>
            </w:r>
          </w:p>
        </w:tc>
        <w:tc>
          <w:tcPr>
            <w:tcW w:w="2322" w:type="dxa"/>
          </w:tcPr>
          <w:p w14:paraId="4DE0C299"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34.18</w:t>
            </w:r>
          </w:p>
        </w:tc>
        <w:tc>
          <w:tcPr>
            <w:tcW w:w="1876" w:type="dxa"/>
          </w:tcPr>
          <w:p w14:paraId="429643AB"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13.8</w:t>
            </w:r>
          </w:p>
        </w:tc>
        <w:tc>
          <w:tcPr>
            <w:tcW w:w="2010" w:type="dxa"/>
          </w:tcPr>
          <w:p w14:paraId="19AEDA07"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20.38</w:t>
            </w:r>
          </w:p>
        </w:tc>
      </w:tr>
      <w:tr w:rsidR="00AC50E9" w:rsidRPr="00D12E59" w14:paraId="7C4A22F4" w14:textId="77777777" w:rsidTr="008D6FB2">
        <w:trPr>
          <w:trHeight w:val="349"/>
        </w:trPr>
        <w:tc>
          <w:tcPr>
            <w:tcW w:w="1014" w:type="dxa"/>
          </w:tcPr>
          <w:p w14:paraId="652E48CA"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2000</w:t>
            </w:r>
          </w:p>
        </w:tc>
        <w:tc>
          <w:tcPr>
            <w:tcW w:w="2322" w:type="dxa"/>
          </w:tcPr>
          <w:p w14:paraId="3BAB68F1"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41.99</w:t>
            </w:r>
          </w:p>
        </w:tc>
        <w:tc>
          <w:tcPr>
            <w:tcW w:w="1876" w:type="dxa"/>
          </w:tcPr>
          <w:p w14:paraId="39E5AD2F"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40.5</w:t>
            </w:r>
          </w:p>
        </w:tc>
        <w:tc>
          <w:tcPr>
            <w:tcW w:w="2010" w:type="dxa"/>
          </w:tcPr>
          <w:p w14:paraId="3B31B06D"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1.49</w:t>
            </w:r>
          </w:p>
        </w:tc>
      </w:tr>
      <w:tr w:rsidR="00AC50E9" w:rsidRPr="00D12E59" w14:paraId="7943E892" w14:textId="77777777" w:rsidTr="008D6FB2">
        <w:trPr>
          <w:trHeight w:val="349"/>
        </w:trPr>
        <w:tc>
          <w:tcPr>
            <w:tcW w:w="1014" w:type="dxa"/>
          </w:tcPr>
          <w:p w14:paraId="432BF748"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2001</w:t>
            </w:r>
          </w:p>
        </w:tc>
        <w:tc>
          <w:tcPr>
            <w:tcW w:w="2322" w:type="dxa"/>
          </w:tcPr>
          <w:p w14:paraId="08BA5CC0"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41.99</w:t>
            </w:r>
          </w:p>
        </w:tc>
        <w:tc>
          <w:tcPr>
            <w:tcW w:w="1876" w:type="dxa"/>
          </w:tcPr>
          <w:p w14:paraId="7084F230"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40.5</w:t>
            </w:r>
          </w:p>
        </w:tc>
        <w:tc>
          <w:tcPr>
            <w:tcW w:w="2010" w:type="dxa"/>
          </w:tcPr>
          <w:p w14:paraId="374BFD5F"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1.49</w:t>
            </w:r>
          </w:p>
        </w:tc>
      </w:tr>
      <w:tr w:rsidR="00AC50E9" w:rsidRPr="00D12E59" w14:paraId="072AA02D" w14:textId="77777777" w:rsidTr="008D6FB2">
        <w:trPr>
          <w:trHeight w:val="349"/>
        </w:trPr>
        <w:tc>
          <w:tcPr>
            <w:tcW w:w="1014" w:type="dxa"/>
          </w:tcPr>
          <w:p w14:paraId="3D3E18AF"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2002</w:t>
            </w:r>
          </w:p>
        </w:tc>
        <w:tc>
          <w:tcPr>
            <w:tcW w:w="2322" w:type="dxa"/>
          </w:tcPr>
          <w:p w14:paraId="1245BDEE"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26.6</w:t>
            </w:r>
          </w:p>
        </w:tc>
        <w:tc>
          <w:tcPr>
            <w:tcW w:w="1876" w:type="dxa"/>
          </w:tcPr>
          <w:p w14:paraId="18940A76"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17</w:t>
            </w:r>
          </w:p>
        </w:tc>
        <w:tc>
          <w:tcPr>
            <w:tcW w:w="2010" w:type="dxa"/>
          </w:tcPr>
          <w:p w14:paraId="026210C9"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9.6</w:t>
            </w:r>
          </w:p>
        </w:tc>
      </w:tr>
      <w:tr w:rsidR="00AC50E9" w:rsidRPr="00D12E59" w14:paraId="60348EAF" w14:textId="77777777" w:rsidTr="008D6FB2">
        <w:trPr>
          <w:trHeight w:val="349"/>
        </w:trPr>
        <w:tc>
          <w:tcPr>
            <w:tcW w:w="1014" w:type="dxa"/>
          </w:tcPr>
          <w:p w14:paraId="094F97D3"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2003</w:t>
            </w:r>
          </w:p>
        </w:tc>
        <w:tc>
          <w:tcPr>
            <w:tcW w:w="2322" w:type="dxa"/>
          </w:tcPr>
          <w:p w14:paraId="4D8029F9"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19.6</w:t>
            </w:r>
          </w:p>
        </w:tc>
        <w:tc>
          <w:tcPr>
            <w:tcW w:w="1876" w:type="dxa"/>
          </w:tcPr>
          <w:p w14:paraId="48D7061C"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31.3</w:t>
            </w:r>
          </w:p>
        </w:tc>
        <w:tc>
          <w:tcPr>
            <w:tcW w:w="2010" w:type="dxa"/>
          </w:tcPr>
          <w:p w14:paraId="7C122C25"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-11.7</w:t>
            </w:r>
          </w:p>
        </w:tc>
      </w:tr>
      <w:tr w:rsidR="00AC50E9" w:rsidRPr="00D12E59" w14:paraId="34EE1D7C" w14:textId="77777777" w:rsidTr="008D6FB2">
        <w:trPr>
          <w:trHeight w:val="349"/>
        </w:trPr>
        <w:tc>
          <w:tcPr>
            <w:tcW w:w="1014" w:type="dxa"/>
          </w:tcPr>
          <w:p w14:paraId="5B52CA88"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2004</w:t>
            </w:r>
          </w:p>
        </w:tc>
        <w:tc>
          <w:tcPr>
            <w:tcW w:w="2322" w:type="dxa"/>
          </w:tcPr>
          <w:p w14:paraId="1230A005"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17.1</w:t>
            </w:r>
          </w:p>
        </w:tc>
        <w:tc>
          <w:tcPr>
            <w:tcW w:w="1876" w:type="dxa"/>
          </w:tcPr>
          <w:p w14:paraId="6E77A6C5"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16.4</w:t>
            </w:r>
          </w:p>
        </w:tc>
        <w:tc>
          <w:tcPr>
            <w:tcW w:w="2010" w:type="dxa"/>
          </w:tcPr>
          <w:p w14:paraId="7F45D44A"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0.7</w:t>
            </w:r>
          </w:p>
        </w:tc>
      </w:tr>
      <w:tr w:rsidR="00AC50E9" w:rsidRPr="00D12E59" w14:paraId="4C0C64BF" w14:textId="77777777" w:rsidTr="008D6FB2">
        <w:trPr>
          <w:trHeight w:val="349"/>
        </w:trPr>
        <w:tc>
          <w:tcPr>
            <w:tcW w:w="1014" w:type="dxa"/>
          </w:tcPr>
          <w:p w14:paraId="2DEDE89A"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2006</w:t>
            </w:r>
          </w:p>
        </w:tc>
        <w:tc>
          <w:tcPr>
            <w:tcW w:w="2322" w:type="dxa"/>
          </w:tcPr>
          <w:p w14:paraId="1B012B86"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9.6</w:t>
            </w:r>
          </w:p>
        </w:tc>
        <w:tc>
          <w:tcPr>
            <w:tcW w:w="1876" w:type="dxa"/>
          </w:tcPr>
          <w:p w14:paraId="16EF6369"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10.9</w:t>
            </w:r>
          </w:p>
        </w:tc>
        <w:tc>
          <w:tcPr>
            <w:tcW w:w="2010" w:type="dxa"/>
          </w:tcPr>
          <w:p w14:paraId="78C581AB"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-1.3</w:t>
            </w:r>
          </w:p>
        </w:tc>
      </w:tr>
      <w:tr w:rsidR="00AC50E9" w:rsidRPr="00D12E59" w14:paraId="75FA0CE6" w14:textId="77777777" w:rsidTr="008D6FB2">
        <w:trPr>
          <w:trHeight w:val="349"/>
        </w:trPr>
        <w:tc>
          <w:tcPr>
            <w:tcW w:w="1014" w:type="dxa"/>
          </w:tcPr>
          <w:p w14:paraId="1281D552"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2007</w:t>
            </w:r>
          </w:p>
        </w:tc>
        <w:tc>
          <w:tcPr>
            <w:tcW w:w="2322" w:type="dxa"/>
          </w:tcPr>
          <w:p w14:paraId="19E16DC7"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10.6</w:t>
            </w:r>
          </w:p>
        </w:tc>
        <w:tc>
          <w:tcPr>
            <w:tcW w:w="1876" w:type="dxa"/>
          </w:tcPr>
          <w:p w14:paraId="783D2D9A"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12.7</w:t>
            </w:r>
          </w:p>
        </w:tc>
        <w:tc>
          <w:tcPr>
            <w:tcW w:w="2010" w:type="dxa"/>
          </w:tcPr>
          <w:p w14:paraId="5E0B63A1"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-2.1</w:t>
            </w:r>
          </w:p>
        </w:tc>
      </w:tr>
      <w:tr w:rsidR="00AC50E9" w:rsidRPr="00D12E59" w14:paraId="17AADDD3" w14:textId="77777777" w:rsidTr="008D6FB2">
        <w:trPr>
          <w:trHeight w:val="349"/>
        </w:trPr>
        <w:tc>
          <w:tcPr>
            <w:tcW w:w="1014" w:type="dxa"/>
          </w:tcPr>
          <w:p w14:paraId="14CDC599"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2008</w:t>
            </w:r>
          </w:p>
        </w:tc>
        <w:tc>
          <w:tcPr>
            <w:tcW w:w="2322" w:type="dxa"/>
          </w:tcPr>
          <w:p w14:paraId="352243BE"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24.7</w:t>
            </w:r>
          </w:p>
        </w:tc>
        <w:tc>
          <w:tcPr>
            <w:tcW w:w="1876" w:type="dxa"/>
          </w:tcPr>
          <w:p w14:paraId="7E8D9C99"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18.1</w:t>
            </w:r>
          </w:p>
        </w:tc>
        <w:tc>
          <w:tcPr>
            <w:tcW w:w="2010" w:type="dxa"/>
          </w:tcPr>
          <w:p w14:paraId="19BD8BDA"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6.6</w:t>
            </w:r>
          </w:p>
        </w:tc>
      </w:tr>
      <w:tr w:rsidR="00AC50E9" w:rsidRPr="00D12E59" w14:paraId="290A030E" w14:textId="77777777" w:rsidTr="008D6FB2">
        <w:trPr>
          <w:trHeight w:val="349"/>
        </w:trPr>
        <w:tc>
          <w:tcPr>
            <w:tcW w:w="1014" w:type="dxa"/>
          </w:tcPr>
          <w:p w14:paraId="110CA0E7"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2009</w:t>
            </w:r>
          </w:p>
        </w:tc>
        <w:tc>
          <w:tcPr>
            <w:tcW w:w="2322" w:type="dxa"/>
          </w:tcPr>
          <w:p w14:paraId="2C8568B4"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22.5</w:t>
            </w:r>
          </w:p>
        </w:tc>
        <w:tc>
          <w:tcPr>
            <w:tcW w:w="1876" w:type="dxa"/>
          </w:tcPr>
          <w:p w14:paraId="150E905E"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16</w:t>
            </w:r>
          </w:p>
        </w:tc>
        <w:tc>
          <w:tcPr>
            <w:tcW w:w="2010" w:type="dxa"/>
          </w:tcPr>
          <w:p w14:paraId="6AC52ADB"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6.5</w:t>
            </w:r>
          </w:p>
        </w:tc>
      </w:tr>
      <w:tr w:rsidR="00AC50E9" w:rsidRPr="00D12E59" w14:paraId="24D3F370" w14:textId="77777777" w:rsidTr="008D6FB2">
        <w:trPr>
          <w:trHeight w:val="349"/>
        </w:trPr>
        <w:tc>
          <w:tcPr>
            <w:tcW w:w="1014" w:type="dxa"/>
            <w:tcBorders>
              <w:bottom w:val="single" w:sz="4" w:space="0" w:color="auto"/>
            </w:tcBorders>
          </w:tcPr>
          <w:p w14:paraId="0023EE5B"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2010</w:t>
            </w:r>
          </w:p>
        </w:tc>
        <w:tc>
          <w:tcPr>
            <w:tcW w:w="2322" w:type="dxa"/>
            <w:tcBorders>
              <w:bottom w:val="single" w:sz="4" w:space="0" w:color="auto"/>
            </w:tcBorders>
          </w:tcPr>
          <w:p w14:paraId="7D7BCA5C"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12.25</w:t>
            </w:r>
          </w:p>
        </w:tc>
        <w:tc>
          <w:tcPr>
            <w:tcW w:w="1876" w:type="dxa"/>
            <w:tcBorders>
              <w:bottom w:val="single" w:sz="4" w:space="0" w:color="auto"/>
            </w:tcBorders>
          </w:tcPr>
          <w:p w14:paraId="110F1932"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8.58</w:t>
            </w:r>
          </w:p>
        </w:tc>
        <w:tc>
          <w:tcPr>
            <w:tcW w:w="2010" w:type="dxa"/>
            <w:tcBorders>
              <w:bottom w:val="single" w:sz="4" w:space="0" w:color="auto"/>
            </w:tcBorders>
          </w:tcPr>
          <w:p w14:paraId="0B465913" w14:textId="77777777" w:rsidR="00AC50E9" w:rsidRPr="00D12E59" w:rsidRDefault="00AC50E9" w:rsidP="00AA0C97">
            <w:pPr>
              <w:pStyle w:val="Default"/>
              <w:spacing w:after="0"/>
              <w:jc w:val="center"/>
              <w:rPr>
                <w:rFonts w:ascii="Book Antiqua" w:hAnsi="Book Antiqua"/>
                <w:bCs/>
                <w:sz w:val="22"/>
                <w:szCs w:val="22"/>
              </w:rPr>
            </w:pPr>
            <w:r w:rsidRPr="00D12E59">
              <w:rPr>
                <w:rFonts w:ascii="Book Antiqua" w:hAnsi="Book Antiqua"/>
                <w:bCs/>
                <w:sz w:val="22"/>
                <w:szCs w:val="22"/>
              </w:rPr>
              <w:t>3.67</w:t>
            </w:r>
          </w:p>
        </w:tc>
      </w:tr>
    </w:tbl>
    <w:p w14:paraId="722ED8BD" w14:textId="77777777" w:rsidR="006A6123" w:rsidRDefault="006A6123" w:rsidP="00AA0C97">
      <w:pPr>
        <w:pStyle w:val="Default"/>
        <w:spacing w:after="0"/>
        <w:rPr>
          <w:rFonts w:ascii="Book Antiqua" w:hAnsi="Book Antiqua"/>
          <w:sz w:val="22"/>
          <w:szCs w:val="22"/>
        </w:rPr>
        <w:sectPr w:rsidR="006A6123" w:rsidSect="008F6BC9">
          <w:type w:val="continuous"/>
          <w:pgSz w:w="11907" w:h="16839" w:code="9"/>
          <w:pgMar w:top="1440" w:right="1440" w:bottom="1440" w:left="1440" w:header="720" w:footer="720" w:gutter="0"/>
          <w:cols w:space="720"/>
          <w:docGrid w:linePitch="360"/>
        </w:sectPr>
      </w:pPr>
    </w:p>
    <w:p w14:paraId="0A3DCEB0" w14:textId="77777777" w:rsidR="00AC50E9" w:rsidRPr="00E3232D" w:rsidRDefault="00AC50E9" w:rsidP="008275E1">
      <w:pPr>
        <w:pStyle w:val="Default"/>
        <w:rPr>
          <w:rFonts w:ascii="Book Antiqua" w:hAnsi="Book Antiqua"/>
          <w:sz w:val="22"/>
          <w:szCs w:val="22"/>
        </w:rPr>
      </w:pPr>
    </w:p>
    <w:p w14:paraId="002EEB84" w14:textId="77777777" w:rsidR="00AA0C97" w:rsidRDefault="00AC50E9" w:rsidP="008275E1">
      <w:pPr>
        <w:pStyle w:val="Default"/>
        <w:rPr>
          <w:rFonts w:ascii="Book Antiqua" w:hAnsi="Book Antiqua"/>
          <w:sz w:val="22"/>
          <w:szCs w:val="22"/>
        </w:rPr>
      </w:pPr>
      <w:r w:rsidRPr="00E3232D">
        <w:rPr>
          <w:rFonts w:ascii="Book Antiqua" w:hAnsi="Book Antiqua"/>
          <w:sz w:val="22"/>
          <w:szCs w:val="22"/>
        </w:rPr>
        <w:t xml:space="preserve">Table 1 shows that the nominal return an investor gets from investing in treasury bills increased from 29.53% in 1990 to as high as 41.99% in 2000.This means that an investor (A) who invested GH¢1,000 in 1990 would have his money increased to the value of GH¢28,902 by the end of 2000(Ref. Appendix A).That is realizing a monetary return of GH¢27,092 over the 11-year period, based on our assumption </w:t>
      </w:r>
    </w:p>
    <w:p w14:paraId="230DD590" w14:textId="77777777" w:rsidR="00AA0C97" w:rsidRDefault="00AA0C97" w:rsidP="008275E1">
      <w:pPr>
        <w:pStyle w:val="Default"/>
        <w:rPr>
          <w:rFonts w:ascii="Book Antiqua" w:hAnsi="Book Antiqua"/>
          <w:sz w:val="22"/>
          <w:szCs w:val="22"/>
        </w:rPr>
      </w:pPr>
    </w:p>
    <w:p w14:paraId="64C6A80A"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that the investor rolls over both principals and interest earned. Table 1 further shows that, there has been a persistent drop in the rate of return from the year 2000 to 2006 then it fluctuates by a smaller magnitude in 2007.The rate dropped to as low as 9.6% as at the end of year 2006. The investor (A) would have a monetary value of GH¢78,415 at the end of 2006 (Ref Appendix A).The data further means that on the average the investor in treasury bills obtains a 27.42% rate of return per annum on this risk free investment.</w:t>
      </w:r>
    </w:p>
    <w:p w14:paraId="34296EBC"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The returns on the Treasury bills earned have not factored the time value of money. This means that, we need to factor the concept that the GH¢1,000 invested in 1990, is not the same as GH¢1,000 obtained in 2010.This is mainly because of inflation. Thus to be able to obtain the true return the investor earned over the period we need to factor in the respective annual inflation rates. In order words we need to calculate the real rate of return. The inflation rates for the respective years and calculations of the real rate of return are depicted on Table 1 above. From Table 1 above, it will be seen that the real rate of returns were negative in certain years. For examples, it was a negative 25.74% in 1995 and negative 2.5% in 2005. This means that for those years it was not worth investing in treasury bills, as the returns earned from such investments in those years fell short of increases in general price levels. </w:t>
      </w:r>
    </w:p>
    <w:p w14:paraId="3489F9BD"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The negative returns recorded further means investible funds, committed to treasury bills for those years lost value. For Investor A, given the real rate of return above, it means that the investors real value of his money at the end of 2000 was GH¢1,906 (Ref. Appendix B). This further means that in real terms the investor had made a monetary return of GH¢906. </w:t>
      </w:r>
    </w:p>
    <w:p w14:paraId="2C3EA087" w14:textId="77777777" w:rsidR="0006162A" w:rsidRPr="007A0633" w:rsidRDefault="00AC50E9" w:rsidP="008275E1">
      <w:pPr>
        <w:pStyle w:val="Default"/>
        <w:rPr>
          <w:rFonts w:ascii="Book Antiqua" w:hAnsi="Book Antiqua"/>
          <w:sz w:val="22"/>
          <w:szCs w:val="22"/>
        </w:rPr>
      </w:pPr>
      <w:r w:rsidRPr="00E3232D">
        <w:rPr>
          <w:rFonts w:ascii="Book Antiqua" w:hAnsi="Book Antiqua"/>
          <w:sz w:val="22"/>
          <w:szCs w:val="22"/>
        </w:rPr>
        <w:t>The Table1 also indicates a persistent drop in the real rate of returns from 1999 onwards; with the rate dropping from 20.38% in 1999 to 3% by the end of 2010. This means that the return from T-bills has performed poorly compared to inflation in those years. Investor A„s real monetary value at the end of 2010 was thus GH¢2217 (Ref. Appendix A). Indicating a growth of GH¢1217 in real money terms from the investment made in 1990. This means an average annual growth of 4.49% over the period. This average real rate of return for the period means that investment in Treasury bill over the period especially when rolled over with interest resulted in a real gain. The real gain over the period seems to be quite low, this confirms the finance theory that the lower the risk, the lower the return. However to further confirm this maxim; we need to ascertain the level of risk associated with treasury bills over the period. To measure the risk therefore, the standard deviation of this investment is computed in Table 2.</w:t>
      </w:r>
    </w:p>
    <w:p w14:paraId="79A11EDA" w14:textId="77777777" w:rsidR="007A0633" w:rsidRDefault="007A0633" w:rsidP="008275E1">
      <w:pPr>
        <w:pStyle w:val="Default"/>
        <w:rPr>
          <w:rFonts w:ascii="Book Antiqua" w:hAnsi="Book Antiqua"/>
          <w:b/>
          <w:sz w:val="22"/>
          <w:szCs w:val="22"/>
        </w:rPr>
        <w:sectPr w:rsidR="007A0633" w:rsidSect="008F6BC9">
          <w:type w:val="continuous"/>
          <w:pgSz w:w="11907" w:h="16839" w:code="9"/>
          <w:pgMar w:top="1440" w:right="1440" w:bottom="1440" w:left="1440" w:header="720" w:footer="720" w:gutter="0"/>
          <w:cols w:num="2" w:space="720"/>
          <w:docGrid w:linePitch="360"/>
        </w:sectPr>
      </w:pPr>
    </w:p>
    <w:p w14:paraId="352979CC" w14:textId="77777777" w:rsidR="008B47FB" w:rsidRDefault="007A0633" w:rsidP="008275E1">
      <w:pPr>
        <w:pStyle w:val="Default"/>
        <w:rPr>
          <w:rFonts w:ascii="Book Antiqua" w:hAnsi="Book Antiqua"/>
          <w:b/>
          <w:sz w:val="22"/>
          <w:szCs w:val="22"/>
        </w:rPr>
      </w:pPr>
      <w:r>
        <w:rPr>
          <w:rFonts w:ascii="Book Antiqua" w:hAnsi="Book Antiqua"/>
          <w:b/>
          <w:sz w:val="22"/>
          <w:szCs w:val="22"/>
        </w:rPr>
        <w:t xml:space="preserve">                     </w:t>
      </w:r>
    </w:p>
    <w:p w14:paraId="13325078" w14:textId="77777777" w:rsidR="008B47FB" w:rsidRDefault="008B47FB" w:rsidP="008275E1">
      <w:pPr>
        <w:pStyle w:val="Default"/>
        <w:rPr>
          <w:rFonts w:ascii="Book Antiqua" w:hAnsi="Book Antiqua"/>
          <w:b/>
          <w:sz w:val="22"/>
          <w:szCs w:val="22"/>
        </w:rPr>
      </w:pPr>
    </w:p>
    <w:p w14:paraId="0C45B868" w14:textId="77777777" w:rsidR="008B47FB" w:rsidRDefault="008B47FB" w:rsidP="008275E1">
      <w:pPr>
        <w:pStyle w:val="Default"/>
        <w:rPr>
          <w:rFonts w:ascii="Book Antiqua" w:hAnsi="Book Antiqua"/>
          <w:b/>
          <w:sz w:val="22"/>
          <w:szCs w:val="22"/>
        </w:rPr>
      </w:pPr>
    </w:p>
    <w:p w14:paraId="69C012B8" w14:textId="77777777" w:rsidR="008B47FB" w:rsidRDefault="008B47FB" w:rsidP="008275E1">
      <w:pPr>
        <w:pStyle w:val="Default"/>
        <w:rPr>
          <w:rFonts w:ascii="Book Antiqua" w:hAnsi="Book Antiqua"/>
          <w:b/>
          <w:sz w:val="22"/>
          <w:szCs w:val="22"/>
        </w:rPr>
      </w:pPr>
    </w:p>
    <w:p w14:paraId="089B0BBE" w14:textId="77777777" w:rsidR="008B47FB" w:rsidRDefault="008B47FB" w:rsidP="008275E1">
      <w:pPr>
        <w:pStyle w:val="Default"/>
        <w:rPr>
          <w:rFonts w:ascii="Book Antiqua" w:hAnsi="Book Antiqua"/>
          <w:b/>
          <w:sz w:val="22"/>
          <w:szCs w:val="22"/>
        </w:rPr>
      </w:pPr>
    </w:p>
    <w:p w14:paraId="3F1E24E8" w14:textId="77777777" w:rsidR="008B47FB" w:rsidRDefault="008B47FB" w:rsidP="008275E1">
      <w:pPr>
        <w:pStyle w:val="Default"/>
        <w:rPr>
          <w:rFonts w:ascii="Book Antiqua" w:hAnsi="Book Antiqua"/>
          <w:b/>
          <w:sz w:val="22"/>
          <w:szCs w:val="22"/>
        </w:rPr>
      </w:pPr>
    </w:p>
    <w:p w14:paraId="027AAA8E" w14:textId="77777777" w:rsidR="00AA0C97" w:rsidRDefault="00AA0C97" w:rsidP="00AA0C97">
      <w:pPr>
        <w:pStyle w:val="Default"/>
        <w:spacing w:after="0"/>
        <w:jc w:val="center"/>
        <w:rPr>
          <w:rFonts w:ascii="Book Antiqua" w:hAnsi="Book Antiqua"/>
          <w:b/>
          <w:sz w:val="22"/>
          <w:szCs w:val="22"/>
        </w:rPr>
      </w:pPr>
      <w:r w:rsidRPr="00E3232D">
        <w:rPr>
          <w:rFonts w:ascii="Book Antiqua" w:hAnsi="Book Antiqua"/>
          <w:b/>
          <w:sz w:val="22"/>
          <w:szCs w:val="22"/>
        </w:rPr>
        <w:t>Table 2: Treasury Bill Rate and Standard Deviation</w:t>
      </w:r>
    </w:p>
    <w:p w14:paraId="36EDCDFF" w14:textId="77777777" w:rsidR="008B47FB" w:rsidRPr="00AA0C97" w:rsidRDefault="008B47FB" w:rsidP="00AA0C97">
      <w:pPr>
        <w:pStyle w:val="Default"/>
        <w:spacing w:after="0"/>
        <w:rPr>
          <w:rFonts w:ascii="Book Antiqua" w:hAnsi="Book Antiqua"/>
          <w:b/>
          <w:sz w:val="18"/>
          <w:szCs w:val="22"/>
        </w:rPr>
      </w:pPr>
    </w:p>
    <w:p w14:paraId="5C048342" w14:textId="77777777" w:rsidR="008B47FB" w:rsidRDefault="008B47FB" w:rsidP="008275E1">
      <w:pPr>
        <w:pStyle w:val="Default"/>
        <w:rPr>
          <w:rFonts w:ascii="Book Antiqua" w:hAnsi="Book Antiqua"/>
          <w:b/>
          <w:sz w:val="22"/>
          <w:szCs w:val="22"/>
        </w:rPr>
      </w:pPr>
    </w:p>
    <w:p w14:paraId="342C60BB" w14:textId="77777777" w:rsidR="008B47FB" w:rsidRDefault="008B47FB" w:rsidP="008275E1">
      <w:pPr>
        <w:pStyle w:val="Default"/>
        <w:rPr>
          <w:rFonts w:ascii="Book Antiqua" w:hAnsi="Book Antiqua"/>
          <w:b/>
          <w:sz w:val="22"/>
          <w:szCs w:val="22"/>
        </w:rPr>
      </w:pPr>
    </w:p>
    <w:p w14:paraId="2587B309" w14:textId="77777777" w:rsidR="008B47FB" w:rsidRDefault="008B47FB" w:rsidP="008275E1">
      <w:pPr>
        <w:pStyle w:val="Default"/>
        <w:rPr>
          <w:rFonts w:ascii="Book Antiqua" w:hAnsi="Book Antiqua"/>
          <w:b/>
          <w:sz w:val="22"/>
          <w:szCs w:val="22"/>
        </w:rPr>
      </w:pPr>
    </w:p>
    <w:p w14:paraId="61EC3696" w14:textId="77777777" w:rsidR="008B47FB" w:rsidRDefault="008B47FB" w:rsidP="008275E1">
      <w:pPr>
        <w:pStyle w:val="Default"/>
        <w:rPr>
          <w:rFonts w:ascii="Book Antiqua" w:hAnsi="Book Antiqua"/>
          <w:b/>
          <w:sz w:val="22"/>
          <w:szCs w:val="22"/>
        </w:rPr>
      </w:pPr>
    </w:p>
    <w:p w14:paraId="3DF6FBEC" w14:textId="77777777" w:rsidR="008B47FB" w:rsidRDefault="008B47FB" w:rsidP="008275E1">
      <w:pPr>
        <w:pStyle w:val="Default"/>
        <w:rPr>
          <w:rFonts w:ascii="Book Antiqua" w:hAnsi="Book Antiqua"/>
          <w:b/>
          <w:sz w:val="22"/>
          <w:szCs w:val="22"/>
        </w:rPr>
      </w:pPr>
    </w:p>
    <w:p w14:paraId="472B67FF" w14:textId="77777777" w:rsidR="008B47FB" w:rsidRDefault="008B47FB" w:rsidP="008275E1">
      <w:pPr>
        <w:pStyle w:val="Default"/>
        <w:rPr>
          <w:rFonts w:ascii="Book Antiqua" w:hAnsi="Book Antiqua"/>
          <w:b/>
          <w:sz w:val="22"/>
          <w:szCs w:val="22"/>
        </w:rPr>
      </w:pPr>
    </w:p>
    <w:p w14:paraId="6741849D" w14:textId="77777777" w:rsidR="008B47FB" w:rsidRDefault="008B47FB" w:rsidP="008275E1">
      <w:pPr>
        <w:pStyle w:val="Default"/>
        <w:rPr>
          <w:rFonts w:ascii="Book Antiqua" w:hAnsi="Book Antiqua"/>
          <w:b/>
          <w:sz w:val="22"/>
          <w:szCs w:val="22"/>
        </w:rPr>
      </w:pPr>
    </w:p>
    <w:p w14:paraId="57897937" w14:textId="77777777" w:rsidR="008B47FB" w:rsidRDefault="008B47FB" w:rsidP="008275E1">
      <w:pPr>
        <w:pStyle w:val="Default"/>
        <w:rPr>
          <w:rFonts w:ascii="Book Antiqua" w:hAnsi="Book Antiqua"/>
          <w:b/>
          <w:sz w:val="22"/>
          <w:szCs w:val="22"/>
        </w:rPr>
      </w:pPr>
    </w:p>
    <w:p w14:paraId="4FFC0853" w14:textId="77777777" w:rsidR="008B47FB" w:rsidRDefault="008B47FB" w:rsidP="008275E1">
      <w:pPr>
        <w:pStyle w:val="Default"/>
        <w:rPr>
          <w:rFonts w:ascii="Book Antiqua" w:hAnsi="Book Antiqua"/>
          <w:b/>
          <w:sz w:val="22"/>
          <w:szCs w:val="22"/>
        </w:rPr>
      </w:pPr>
    </w:p>
    <w:p w14:paraId="12D82DB9" w14:textId="77777777" w:rsidR="008B47FB" w:rsidRDefault="008B47FB" w:rsidP="008275E1">
      <w:pPr>
        <w:pStyle w:val="Default"/>
        <w:rPr>
          <w:rFonts w:ascii="Book Antiqua" w:hAnsi="Book Antiqua"/>
          <w:b/>
          <w:sz w:val="22"/>
          <w:szCs w:val="22"/>
        </w:rPr>
      </w:pPr>
    </w:p>
    <w:p w14:paraId="0A5ED652" w14:textId="77777777" w:rsidR="008B47FB" w:rsidRDefault="008B47FB" w:rsidP="008275E1">
      <w:pPr>
        <w:pStyle w:val="Default"/>
        <w:rPr>
          <w:rFonts w:ascii="Book Antiqua" w:hAnsi="Book Antiqua"/>
          <w:b/>
          <w:sz w:val="22"/>
          <w:szCs w:val="22"/>
        </w:rPr>
      </w:pPr>
    </w:p>
    <w:p w14:paraId="7350BF88" w14:textId="77777777" w:rsidR="008B47FB" w:rsidRDefault="008B47FB" w:rsidP="008275E1">
      <w:pPr>
        <w:pStyle w:val="Default"/>
        <w:rPr>
          <w:rFonts w:ascii="Book Antiqua" w:hAnsi="Book Antiqua"/>
          <w:b/>
          <w:sz w:val="22"/>
          <w:szCs w:val="22"/>
        </w:rPr>
      </w:pPr>
    </w:p>
    <w:p w14:paraId="7BD0CA00" w14:textId="77777777" w:rsidR="008B47FB" w:rsidRDefault="008B47FB" w:rsidP="008275E1">
      <w:pPr>
        <w:pStyle w:val="Default"/>
        <w:rPr>
          <w:rFonts w:ascii="Book Antiqua" w:hAnsi="Book Antiqua"/>
          <w:b/>
          <w:sz w:val="22"/>
          <w:szCs w:val="22"/>
        </w:rPr>
      </w:pPr>
    </w:p>
    <w:p w14:paraId="13E25D1C" w14:textId="77777777" w:rsidR="008B47FB" w:rsidRDefault="008B47FB" w:rsidP="008275E1">
      <w:pPr>
        <w:pStyle w:val="Default"/>
        <w:rPr>
          <w:rFonts w:ascii="Book Antiqua" w:hAnsi="Book Antiqua"/>
          <w:b/>
          <w:sz w:val="22"/>
          <w:szCs w:val="22"/>
        </w:rPr>
      </w:pPr>
    </w:p>
    <w:p w14:paraId="6E1ABF6E" w14:textId="77777777" w:rsidR="008B47FB" w:rsidRDefault="008B47FB" w:rsidP="008275E1">
      <w:pPr>
        <w:pStyle w:val="Default"/>
        <w:rPr>
          <w:rFonts w:ascii="Book Antiqua" w:hAnsi="Book Antiqua"/>
          <w:b/>
          <w:sz w:val="22"/>
          <w:szCs w:val="22"/>
        </w:rPr>
      </w:pPr>
    </w:p>
    <w:p w14:paraId="132ECB03" w14:textId="77777777" w:rsidR="008B47FB" w:rsidRDefault="008B47FB" w:rsidP="008275E1">
      <w:pPr>
        <w:pStyle w:val="Default"/>
        <w:rPr>
          <w:rFonts w:ascii="Book Antiqua" w:hAnsi="Book Antiqua"/>
          <w:b/>
          <w:sz w:val="22"/>
          <w:szCs w:val="22"/>
        </w:rPr>
      </w:pPr>
    </w:p>
    <w:p w14:paraId="052EE2DF" w14:textId="77777777" w:rsidR="008B47FB" w:rsidRDefault="008B47FB" w:rsidP="008275E1">
      <w:pPr>
        <w:pStyle w:val="Default"/>
        <w:rPr>
          <w:rFonts w:ascii="Book Antiqua" w:hAnsi="Book Antiqua"/>
          <w:b/>
          <w:sz w:val="22"/>
          <w:szCs w:val="22"/>
        </w:rPr>
      </w:pPr>
    </w:p>
    <w:p w14:paraId="72C24200" w14:textId="77777777" w:rsidR="008B47FB" w:rsidRDefault="008B47FB" w:rsidP="008275E1">
      <w:pPr>
        <w:pStyle w:val="Default"/>
        <w:rPr>
          <w:rFonts w:ascii="Book Antiqua" w:hAnsi="Book Antiqua"/>
          <w:b/>
          <w:sz w:val="22"/>
          <w:szCs w:val="22"/>
        </w:rPr>
      </w:pPr>
    </w:p>
    <w:p w14:paraId="216AF4A9" w14:textId="77777777" w:rsidR="008B47FB" w:rsidRDefault="007A0633" w:rsidP="008275E1">
      <w:pPr>
        <w:pStyle w:val="Default"/>
        <w:rPr>
          <w:rFonts w:ascii="Book Antiqua" w:hAnsi="Book Antiqua"/>
          <w:b/>
          <w:sz w:val="22"/>
          <w:szCs w:val="22"/>
        </w:rPr>
      </w:pPr>
      <w:r>
        <w:rPr>
          <w:rFonts w:ascii="Book Antiqua" w:hAnsi="Book Antiqua"/>
          <w:b/>
          <w:sz w:val="22"/>
          <w:szCs w:val="22"/>
        </w:rPr>
        <w:t xml:space="preserve">     </w:t>
      </w:r>
    </w:p>
    <w:p w14:paraId="1F38B836" w14:textId="77777777" w:rsidR="007A0633" w:rsidRDefault="007A0633" w:rsidP="00D30448">
      <w:pPr>
        <w:pStyle w:val="Default"/>
        <w:rPr>
          <w:rFonts w:ascii="Book Antiqua" w:hAnsi="Book Antiqua"/>
          <w:sz w:val="22"/>
          <w:szCs w:val="22"/>
        </w:rPr>
        <w:sectPr w:rsidR="007A0633" w:rsidSect="008F6BC9">
          <w:type w:val="continuous"/>
          <w:pgSz w:w="11907" w:h="16839" w:code="9"/>
          <w:pgMar w:top="1440" w:right="1440" w:bottom="1440" w:left="1440" w:header="720" w:footer="720" w:gutter="0"/>
          <w:cols w:space="720"/>
          <w:docGrid w:linePitch="360"/>
        </w:sectPr>
      </w:pPr>
    </w:p>
    <w:tbl>
      <w:tblPr>
        <w:tblpPr w:leftFromText="180" w:rightFromText="180" w:vertAnchor="page" w:horzAnchor="margin" w:tblpXSpec="center" w:tblpY="3886"/>
        <w:tblW w:w="6500" w:type="dxa"/>
        <w:tblBorders>
          <w:top w:val="single" w:sz="8" w:space="0" w:color="000000"/>
          <w:bottom w:val="single" w:sz="8" w:space="0" w:color="000000"/>
        </w:tblBorders>
        <w:tblLook w:val="04A0" w:firstRow="1" w:lastRow="0" w:firstColumn="1" w:lastColumn="0" w:noHBand="0" w:noVBand="1"/>
      </w:tblPr>
      <w:tblGrid>
        <w:gridCol w:w="913"/>
        <w:gridCol w:w="1913"/>
        <w:gridCol w:w="1837"/>
        <w:gridCol w:w="1837"/>
      </w:tblGrid>
      <w:tr w:rsidR="00F16182" w:rsidRPr="00D12E59" w14:paraId="7BFA6ECC" w14:textId="77777777" w:rsidTr="00AA0C97">
        <w:trPr>
          <w:trHeight w:val="800"/>
        </w:trPr>
        <w:tc>
          <w:tcPr>
            <w:tcW w:w="913" w:type="dxa"/>
            <w:tcBorders>
              <w:top w:val="single" w:sz="8" w:space="0" w:color="000000"/>
              <w:left w:val="nil"/>
              <w:bottom w:val="single" w:sz="8" w:space="0" w:color="000000"/>
              <w:right w:val="nil"/>
            </w:tcBorders>
            <w:shd w:val="clear" w:color="auto" w:fill="auto"/>
          </w:tcPr>
          <w:p w14:paraId="5DFFA7A9" w14:textId="77777777" w:rsidR="007A0633" w:rsidRPr="00D12E59" w:rsidRDefault="007A0633" w:rsidP="00AA0C97">
            <w:pPr>
              <w:pStyle w:val="Default"/>
              <w:spacing w:after="0"/>
              <w:rPr>
                <w:rFonts w:ascii="Book Antiqua" w:hAnsi="Book Antiqua"/>
                <w:b/>
                <w:bCs/>
                <w:sz w:val="22"/>
                <w:szCs w:val="22"/>
              </w:rPr>
            </w:pPr>
            <w:r w:rsidRPr="00D12E59">
              <w:rPr>
                <w:rFonts w:ascii="Book Antiqua" w:hAnsi="Book Antiqua"/>
                <w:b/>
                <w:bCs/>
                <w:sz w:val="22"/>
                <w:szCs w:val="22"/>
              </w:rPr>
              <w:t xml:space="preserve">Year </w:t>
            </w:r>
          </w:p>
        </w:tc>
        <w:tc>
          <w:tcPr>
            <w:tcW w:w="1913" w:type="dxa"/>
            <w:tcBorders>
              <w:top w:val="single" w:sz="8" w:space="0" w:color="000000"/>
              <w:left w:val="nil"/>
              <w:bottom w:val="single" w:sz="8" w:space="0" w:color="000000"/>
              <w:right w:val="nil"/>
            </w:tcBorders>
            <w:shd w:val="clear" w:color="auto" w:fill="auto"/>
          </w:tcPr>
          <w:p w14:paraId="33CFF981"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91-Day Treasury Bill Return %</w:t>
            </w:r>
          </w:p>
        </w:tc>
        <w:tc>
          <w:tcPr>
            <w:tcW w:w="1837" w:type="dxa"/>
            <w:tcBorders>
              <w:top w:val="single" w:sz="8" w:space="0" w:color="000000"/>
              <w:left w:val="nil"/>
              <w:bottom w:val="single" w:sz="8" w:space="0" w:color="000000"/>
              <w:right w:val="nil"/>
            </w:tcBorders>
            <w:shd w:val="clear" w:color="auto" w:fill="auto"/>
          </w:tcPr>
          <w:p w14:paraId="4CA38E0C"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Deviation from the Average Return</w:t>
            </w:r>
          </w:p>
        </w:tc>
        <w:tc>
          <w:tcPr>
            <w:tcW w:w="1837" w:type="dxa"/>
            <w:tcBorders>
              <w:top w:val="single" w:sz="8" w:space="0" w:color="000000"/>
              <w:left w:val="nil"/>
              <w:bottom w:val="single" w:sz="8" w:space="0" w:color="000000"/>
              <w:right w:val="nil"/>
            </w:tcBorders>
            <w:shd w:val="clear" w:color="auto" w:fill="auto"/>
          </w:tcPr>
          <w:p w14:paraId="398D4770"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Squared Deviation</w:t>
            </w:r>
          </w:p>
        </w:tc>
      </w:tr>
      <w:tr w:rsidR="00F16182" w:rsidRPr="00D12E59" w14:paraId="177B409A" w14:textId="77777777" w:rsidTr="00AA0C97">
        <w:trPr>
          <w:trHeight w:val="384"/>
        </w:trPr>
        <w:tc>
          <w:tcPr>
            <w:tcW w:w="913" w:type="dxa"/>
            <w:tcBorders>
              <w:left w:val="nil"/>
              <w:right w:val="nil"/>
            </w:tcBorders>
            <w:shd w:val="clear" w:color="auto" w:fill="auto"/>
          </w:tcPr>
          <w:p w14:paraId="51798384"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1990</w:t>
            </w:r>
          </w:p>
        </w:tc>
        <w:tc>
          <w:tcPr>
            <w:tcW w:w="1913" w:type="dxa"/>
            <w:tcBorders>
              <w:left w:val="nil"/>
              <w:right w:val="nil"/>
            </w:tcBorders>
            <w:shd w:val="clear" w:color="auto" w:fill="auto"/>
          </w:tcPr>
          <w:p w14:paraId="3DB73F16"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29.53</w:t>
            </w:r>
          </w:p>
        </w:tc>
        <w:tc>
          <w:tcPr>
            <w:tcW w:w="1837" w:type="dxa"/>
            <w:tcBorders>
              <w:left w:val="nil"/>
              <w:right w:val="nil"/>
            </w:tcBorders>
            <w:shd w:val="clear" w:color="auto" w:fill="auto"/>
          </w:tcPr>
          <w:p w14:paraId="39FC0A8E" w14:textId="77777777" w:rsidR="007A0633" w:rsidRPr="00D12E59" w:rsidRDefault="007A0633" w:rsidP="00AA0C97">
            <w:pPr>
              <w:pStyle w:val="Default"/>
              <w:spacing w:after="0"/>
              <w:jc w:val="center"/>
              <w:rPr>
                <w:rFonts w:ascii="Book Antiqua" w:hAnsi="Book Antiqua"/>
                <w:bCs/>
                <w:sz w:val="22"/>
                <w:szCs w:val="22"/>
              </w:rPr>
            </w:pPr>
            <w:r w:rsidRPr="00D12E59">
              <w:rPr>
                <w:rFonts w:ascii="Book Antiqua" w:hAnsi="Book Antiqua"/>
                <w:sz w:val="22"/>
                <w:szCs w:val="22"/>
              </w:rPr>
              <w:t>2.107619048</w:t>
            </w:r>
          </w:p>
        </w:tc>
        <w:tc>
          <w:tcPr>
            <w:tcW w:w="1837" w:type="dxa"/>
            <w:tcBorders>
              <w:left w:val="nil"/>
              <w:right w:val="nil"/>
            </w:tcBorders>
            <w:shd w:val="clear" w:color="auto" w:fill="auto"/>
          </w:tcPr>
          <w:p w14:paraId="152DC214"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4.44205805 </w:t>
            </w:r>
          </w:p>
        </w:tc>
      </w:tr>
      <w:tr w:rsidR="007A0633" w:rsidRPr="00D12E59" w14:paraId="04CEDEC4" w14:textId="77777777" w:rsidTr="00AA0C97">
        <w:trPr>
          <w:trHeight w:val="384"/>
        </w:trPr>
        <w:tc>
          <w:tcPr>
            <w:tcW w:w="913" w:type="dxa"/>
            <w:shd w:val="clear" w:color="auto" w:fill="auto"/>
          </w:tcPr>
          <w:p w14:paraId="6E6A046C"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1991</w:t>
            </w:r>
          </w:p>
        </w:tc>
        <w:tc>
          <w:tcPr>
            <w:tcW w:w="1913" w:type="dxa"/>
            <w:shd w:val="clear" w:color="auto" w:fill="auto"/>
          </w:tcPr>
          <w:p w14:paraId="74389114"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21.05</w:t>
            </w:r>
          </w:p>
        </w:tc>
        <w:tc>
          <w:tcPr>
            <w:tcW w:w="1837" w:type="dxa"/>
            <w:shd w:val="clear" w:color="auto" w:fill="auto"/>
          </w:tcPr>
          <w:p w14:paraId="39229132"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-6.372380952 </w:t>
            </w:r>
          </w:p>
        </w:tc>
        <w:tc>
          <w:tcPr>
            <w:tcW w:w="1837" w:type="dxa"/>
            <w:shd w:val="clear" w:color="auto" w:fill="auto"/>
          </w:tcPr>
          <w:p w14:paraId="7E28F869"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40.607239 </w:t>
            </w:r>
          </w:p>
        </w:tc>
      </w:tr>
      <w:tr w:rsidR="00F16182" w:rsidRPr="00D12E59" w14:paraId="7F0DEA21" w14:textId="77777777" w:rsidTr="00AA0C97">
        <w:trPr>
          <w:trHeight w:val="384"/>
        </w:trPr>
        <w:tc>
          <w:tcPr>
            <w:tcW w:w="913" w:type="dxa"/>
            <w:tcBorders>
              <w:left w:val="nil"/>
              <w:right w:val="nil"/>
            </w:tcBorders>
            <w:shd w:val="clear" w:color="auto" w:fill="auto"/>
          </w:tcPr>
          <w:p w14:paraId="0F44BA2E"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1992</w:t>
            </w:r>
          </w:p>
        </w:tc>
        <w:tc>
          <w:tcPr>
            <w:tcW w:w="1913" w:type="dxa"/>
            <w:tcBorders>
              <w:left w:val="nil"/>
              <w:right w:val="nil"/>
            </w:tcBorders>
            <w:shd w:val="clear" w:color="auto" w:fill="auto"/>
          </w:tcPr>
          <w:p w14:paraId="5AA73A4C"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27.13</w:t>
            </w:r>
          </w:p>
        </w:tc>
        <w:tc>
          <w:tcPr>
            <w:tcW w:w="1837" w:type="dxa"/>
            <w:tcBorders>
              <w:left w:val="nil"/>
              <w:right w:val="nil"/>
            </w:tcBorders>
            <w:shd w:val="clear" w:color="auto" w:fill="auto"/>
          </w:tcPr>
          <w:p w14:paraId="5C74494E"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-0.292380952 </w:t>
            </w:r>
          </w:p>
        </w:tc>
        <w:tc>
          <w:tcPr>
            <w:tcW w:w="1837" w:type="dxa"/>
            <w:tcBorders>
              <w:left w:val="nil"/>
              <w:right w:val="nil"/>
            </w:tcBorders>
            <w:shd w:val="clear" w:color="auto" w:fill="auto"/>
          </w:tcPr>
          <w:p w14:paraId="742D0B0D"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0.085486621 </w:t>
            </w:r>
          </w:p>
        </w:tc>
      </w:tr>
      <w:tr w:rsidR="007A0633" w:rsidRPr="00D12E59" w14:paraId="7766F2B7" w14:textId="77777777" w:rsidTr="00AA0C97">
        <w:trPr>
          <w:trHeight w:val="384"/>
        </w:trPr>
        <w:tc>
          <w:tcPr>
            <w:tcW w:w="913" w:type="dxa"/>
            <w:shd w:val="clear" w:color="auto" w:fill="auto"/>
          </w:tcPr>
          <w:p w14:paraId="53DBF04B"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1993</w:t>
            </w:r>
          </w:p>
        </w:tc>
        <w:tc>
          <w:tcPr>
            <w:tcW w:w="1913" w:type="dxa"/>
            <w:shd w:val="clear" w:color="auto" w:fill="auto"/>
          </w:tcPr>
          <w:p w14:paraId="379E5446"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34.78</w:t>
            </w:r>
          </w:p>
        </w:tc>
        <w:tc>
          <w:tcPr>
            <w:tcW w:w="1837" w:type="dxa"/>
            <w:shd w:val="clear" w:color="auto" w:fill="auto"/>
          </w:tcPr>
          <w:p w14:paraId="5013D1E7"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7.357619048 </w:t>
            </w:r>
          </w:p>
        </w:tc>
        <w:tc>
          <w:tcPr>
            <w:tcW w:w="1837" w:type="dxa"/>
            <w:shd w:val="clear" w:color="auto" w:fill="auto"/>
          </w:tcPr>
          <w:p w14:paraId="236867E8"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54.13455805 </w:t>
            </w:r>
          </w:p>
        </w:tc>
      </w:tr>
      <w:tr w:rsidR="00F16182" w:rsidRPr="00D12E59" w14:paraId="186055E2" w14:textId="77777777" w:rsidTr="00AA0C97">
        <w:trPr>
          <w:trHeight w:val="384"/>
        </w:trPr>
        <w:tc>
          <w:tcPr>
            <w:tcW w:w="913" w:type="dxa"/>
            <w:tcBorders>
              <w:left w:val="nil"/>
              <w:right w:val="nil"/>
            </w:tcBorders>
            <w:shd w:val="clear" w:color="auto" w:fill="auto"/>
          </w:tcPr>
          <w:p w14:paraId="437A429A"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1994</w:t>
            </w:r>
          </w:p>
        </w:tc>
        <w:tc>
          <w:tcPr>
            <w:tcW w:w="1913" w:type="dxa"/>
            <w:tcBorders>
              <w:left w:val="nil"/>
              <w:right w:val="nil"/>
            </w:tcBorders>
            <w:shd w:val="clear" w:color="auto" w:fill="auto"/>
          </w:tcPr>
          <w:p w14:paraId="4459EBFB"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34.78</w:t>
            </w:r>
          </w:p>
        </w:tc>
        <w:tc>
          <w:tcPr>
            <w:tcW w:w="1837" w:type="dxa"/>
            <w:tcBorders>
              <w:left w:val="nil"/>
              <w:right w:val="nil"/>
            </w:tcBorders>
            <w:shd w:val="clear" w:color="auto" w:fill="auto"/>
          </w:tcPr>
          <w:p w14:paraId="48BED473"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7.357619048 </w:t>
            </w:r>
          </w:p>
        </w:tc>
        <w:tc>
          <w:tcPr>
            <w:tcW w:w="1837" w:type="dxa"/>
            <w:tcBorders>
              <w:left w:val="nil"/>
              <w:right w:val="nil"/>
            </w:tcBorders>
            <w:shd w:val="clear" w:color="auto" w:fill="auto"/>
          </w:tcPr>
          <w:p w14:paraId="5BE91891"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54.13455805 </w:t>
            </w:r>
          </w:p>
        </w:tc>
      </w:tr>
      <w:tr w:rsidR="007A0633" w:rsidRPr="00D12E59" w14:paraId="065A6684" w14:textId="77777777" w:rsidTr="00AA0C97">
        <w:trPr>
          <w:trHeight w:val="384"/>
        </w:trPr>
        <w:tc>
          <w:tcPr>
            <w:tcW w:w="913" w:type="dxa"/>
            <w:shd w:val="clear" w:color="auto" w:fill="auto"/>
          </w:tcPr>
          <w:p w14:paraId="42CB8576"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1995</w:t>
            </w:r>
          </w:p>
        </w:tc>
        <w:tc>
          <w:tcPr>
            <w:tcW w:w="1913" w:type="dxa"/>
            <w:shd w:val="clear" w:color="auto" w:fill="auto"/>
          </w:tcPr>
          <w:p w14:paraId="14CBC8DA"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45.06</w:t>
            </w:r>
          </w:p>
        </w:tc>
        <w:tc>
          <w:tcPr>
            <w:tcW w:w="1837" w:type="dxa"/>
            <w:shd w:val="clear" w:color="auto" w:fill="auto"/>
          </w:tcPr>
          <w:p w14:paraId="68E50386"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17.63761905 </w:t>
            </w:r>
          </w:p>
        </w:tc>
        <w:tc>
          <w:tcPr>
            <w:tcW w:w="1837" w:type="dxa"/>
            <w:shd w:val="clear" w:color="auto" w:fill="auto"/>
          </w:tcPr>
          <w:p w14:paraId="34C50B97"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311.0856057 </w:t>
            </w:r>
          </w:p>
        </w:tc>
      </w:tr>
      <w:tr w:rsidR="00F16182" w:rsidRPr="00D12E59" w14:paraId="33366ED2" w14:textId="77777777" w:rsidTr="00AA0C97">
        <w:trPr>
          <w:trHeight w:val="384"/>
        </w:trPr>
        <w:tc>
          <w:tcPr>
            <w:tcW w:w="913" w:type="dxa"/>
            <w:tcBorders>
              <w:left w:val="nil"/>
              <w:right w:val="nil"/>
            </w:tcBorders>
            <w:shd w:val="clear" w:color="auto" w:fill="auto"/>
          </w:tcPr>
          <w:p w14:paraId="551B9471"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1996</w:t>
            </w:r>
          </w:p>
        </w:tc>
        <w:tc>
          <w:tcPr>
            <w:tcW w:w="1913" w:type="dxa"/>
            <w:tcBorders>
              <w:left w:val="nil"/>
              <w:right w:val="nil"/>
            </w:tcBorders>
            <w:shd w:val="clear" w:color="auto" w:fill="auto"/>
          </w:tcPr>
          <w:p w14:paraId="1E1A9FA0"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47.88</w:t>
            </w:r>
          </w:p>
        </w:tc>
        <w:tc>
          <w:tcPr>
            <w:tcW w:w="1837" w:type="dxa"/>
            <w:tcBorders>
              <w:left w:val="nil"/>
              <w:right w:val="nil"/>
            </w:tcBorders>
            <w:shd w:val="clear" w:color="auto" w:fill="auto"/>
          </w:tcPr>
          <w:p w14:paraId="7E6A782A"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20.45761905 </w:t>
            </w:r>
          </w:p>
        </w:tc>
        <w:tc>
          <w:tcPr>
            <w:tcW w:w="1837" w:type="dxa"/>
            <w:tcBorders>
              <w:left w:val="nil"/>
              <w:right w:val="nil"/>
            </w:tcBorders>
            <w:shd w:val="clear" w:color="auto" w:fill="auto"/>
          </w:tcPr>
          <w:p w14:paraId="5590E88E"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418.5141771 </w:t>
            </w:r>
          </w:p>
        </w:tc>
      </w:tr>
      <w:tr w:rsidR="007A0633" w:rsidRPr="00D12E59" w14:paraId="6E006C2D" w14:textId="77777777" w:rsidTr="00AA0C97">
        <w:trPr>
          <w:trHeight w:val="384"/>
        </w:trPr>
        <w:tc>
          <w:tcPr>
            <w:tcW w:w="913" w:type="dxa"/>
            <w:shd w:val="clear" w:color="auto" w:fill="auto"/>
          </w:tcPr>
          <w:p w14:paraId="4A4642F5"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1997</w:t>
            </w:r>
          </w:p>
        </w:tc>
        <w:tc>
          <w:tcPr>
            <w:tcW w:w="1913" w:type="dxa"/>
            <w:shd w:val="clear" w:color="auto" w:fill="auto"/>
          </w:tcPr>
          <w:p w14:paraId="04839496"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47.53</w:t>
            </w:r>
          </w:p>
        </w:tc>
        <w:tc>
          <w:tcPr>
            <w:tcW w:w="1837" w:type="dxa"/>
            <w:shd w:val="clear" w:color="auto" w:fill="auto"/>
          </w:tcPr>
          <w:p w14:paraId="46E80154"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20.10761905 </w:t>
            </w:r>
          </w:p>
        </w:tc>
        <w:tc>
          <w:tcPr>
            <w:tcW w:w="1837" w:type="dxa"/>
            <w:shd w:val="clear" w:color="auto" w:fill="auto"/>
          </w:tcPr>
          <w:p w14:paraId="4D87CE41"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404.3163438 </w:t>
            </w:r>
          </w:p>
        </w:tc>
      </w:tr>
      <w:tr w:rsidR="00F16182" w:rsidRPr="00D12E59" w14:paraId="117C5831" w14:textId="77777777" w:rsidTr="00AA0C97">
        <w:trPr>
          <w:trHeight w:val="384"/>
        </w:trPr>
        <w:tc>
          <w:tcPr>
            <w:tcW w:w="913" w:type="dxa"/>
            <w:tcBorders>
              <w:left w:val="nil"/>
              <w:right w:val="nil"/>
            </w:tcBorders>
            <w:shd w:val="clear" w:color="auto" w:fill="auto"/>
          </w:tcPr>
          <w:p w14:paraId="2142EF03"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1998</w:t>
            </w:r>
          </w:p>
        </w:tc>
        <w:tc>
          <w:tcPr>
            <w:tcW w:w="1913" w:type="dxa"/>
            <w:tcBorders>
              <w:left w:val="nil"/>
              <w:right w:val="nil"/>
            </w:tcBorders>
            <w:shd w:val="clear" w:color="auto" w:fill="auto"/>
          </w:tcPr>
          <w:p w14:paraId="1FD818E3"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28.67</w:t>
            </w:r>
          </w:p>
        </w:tc>
        <w:tc>
          <w:tcPr>
            <w:tcW w:w="1837" w:type="dxa"/>
            <w:tcBorders>
              <w:left w:val="nil"/>
              <w:right w:val="nil"/>
            </w:tcBorders>
            <w:shd w:val="clear" w:color="auto" w:fill="auto"/>
          </w:tcPr>
          <w:p w14:paraId="403F8B4A"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1.247619048 </w:t>
            </w:r>
          </w:p>
        </w:tc>
        <w:tc>
          <w:tcPr>
            <w:tcW w:w="1837" w:type="dxa"/>
            <w:tcBorders>
              <w:left w:val="nil"/>
              <w:right w:val="nil"/>
            </w:tcBorders>
            <w:shd w:val="clear" w:color="auto" w:fill="auto"/>
          </w:tcPr>
          <w:p w14:paraId="60CF7304"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1.556553288 </w:t>
            </w:r>
          </w:p>
        </w:tc>
      </w:tr>
      <w:tr w:rsidR="007A0633" w:rsidRPr="00D12E59" w14:paraId="49894842" w14:textId="77777777" w:rsidTr="00AA0C97">
        <w:trPr>
          <w:trHeight w:val="384"/>
        </w:trPr>
        <w:tc>
          <w:tcPr>
            <w:tcW w:w="913" w:type="dxa"/>
            <w:shd w:val="clear" w:color="auto" w:fill="auto"/>
          </w:tcPr>
          <w:p w14:paraId="6A500D51"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1999</w:t>
            </w:r>
          </w:p>
        </w:tc>
        <w:tc>
          <w:tcPr>
            <w:tcW w:w="1913" w:type="dxa"/>
            <w:shd w:val="clear" w:color="auto" w:fill="auto"/>
          </w:tcPr>
          <w:p w14:paraId="1C1BBB23"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34.18</w:t>
            </w:r>
          </w:p>
        </w:tc>
        <w:tc>
          <w:tcPr>
            <w:tcW w:w="1837" w:type="dxa"/>
            <w:shd w:val="clear" w:color="auto" w:fill="auto"/>
          </w:tcPr>
          <w:p w14:paraId="6EE6F7F7"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6.757619048 </w:t>
            </w:r>
          </w:p>
        </w:tc>
        <w:tc>
          <w:tcPr>
            <w:tcW w:w="1837" w:type="dxa"/>
            <w:shd w:val="clear" w:color="auto" w:fill="auto"/>
          </w:tcPr>
          <w:p w14:paraId="2DC3BF29"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45.66541519 </w:t>
            </w:r>
          </w:p>
        </w:tc>
      </w:tr>
      <w:tr w:rsidR="00F16182" w:rsidRPr="00D12E59" w14:paraId="5748A3DC" w14:textId="77777777" w:rsidTr="00AA0C97">
        <w:trPr>
          <w:trHeight w:val="384"/>
        </w:trPr>
        <w:tc>
          <w:tcPr>
            <w:tcW w:w="913" w:type="dxa"/>
            <w:tcBorders>
              <w:left w:val="nil"/>
              <w:right w:val="nil"/>
            </w:tcBorders>
            <w:shd w:val="clear" w:color="auto" w:fill="auto"/>
          </w:tcPr>
          <w:p w14:paraId="32A5E6F1"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2000</w:t>
            </w:r>
          </w:p>
        </w:tc>
        <w:tc>
          <w:tcPr>
            <w:tcW w:w="1913" w:type="dxa"/>
            <w:tcBorders>
              <w:left w:val="nil"/>
              <w:right w:val="nil"/>
            </w:tcBorders>
            <w:shd w:val="clear" w:color="auto" w:fill="auto"/>
          </w:tcPr>
          <w:p w14:paraId="219972A9"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41.99</w:t>
            </w:r>
          </w:p>
        </w:tc>
        <w:tc>
          <w:tcPr>
            <w:tcW w:w="1837" w:type="dxa"/>
            <w:tcBorders>
              <w:left w:val="nil"/>
              <w:right w:val="nil"/>
            </w:tcBorders>
            <w:shd w:val="clear" w:color="auto" w:fill="auto"/>
          </w:tcPr>
          <w:p w14:paraId="16D07F56"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14.56761905 </w:t>
            </w:r>
          </w:p>
        </w:tc>
        <w:tc>
          <w:tcPr>
            <w:tcW w:w="1837" w:type="dxa"/>
            <w:tcBorders>
              <w:left w:val="nil"/>
              <w:right w:val="nil"/>
            </w:tcBorders>
            <w:shd w:val="clear" w:color="auto" w:fill="auto"/>
          </w:tcPr>
          <w:p w14:paraId="57B1B3B9"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212.2155247 </w:t>
            </w:r>
          </w:p>
        </w:tc>
      </w:tr>
      <w:tr w:rsidR="007A0633" w:rsidRPr="00D12E59" w14:paraId="492F9F02" w14:textId="77777777" w:rsidTr="00AA0C97">
        <w:trPr>
          <w:trHeight w:val="384"/>
        </w:trPr>
        <w:tc>
          <w:tcPr>
            <w:tcW w:w="913" w:type="dxa"/>
            <w:shd w:val="clear" w:color="auto" w:fill="auto"/>
          </w:tcPr>
          <w:p w14:paraId="18C31F18"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2001</w:t>
            </w:r>
          </w:p>
        </w:tc>
        <w:tc>
          <w:tcPr>
            <w:tcW w:w="1913" w:type="dxa"/>
            <w:shd w:val="clear" w:color="auto" w:fill="auto"/>
          </w:tcPr>
          <w:p w14:paraId="108C8BFA"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28.94</w:t>
            </w:r>
          </w:p>
        </w:tc>
        <w:tc>
          <w:tcPr>
            <w:tcW w:w="1837" w:type="dxa"/>
            <w:shd w:val="clear" w:color="auto" w:fill="auto"/>
          </w:tcPr>
          <w:p w14:paraId="7AE2A865"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1.517619048 </w:t>
            </w:r>
          </w:p>
        </w:tc>
        <w:tc>
          <w:tcPr>
            <w:tcW w:w="1837" w:type="dxa"/>
            <w:shd w:val="clear" w:color="auto" w:fill="auto"/>
          </w:tcPr>
          <w:p w14:paraId="64631BD5"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2.303167574 </w:t>
            </w:r>
          </w:p>
        </w:tc>
      </w:tr>
      <w:tr w:rsidR="00F16182" w:rsidRPr="00D12E59" w14:paraId="3ED6EF60" w14:textId="77777777" w:rsidTr="00AA0C97">
        <w:trPr>
          <w:trHeight w:val="384"/>
        </w:trPr>
        <w:tc>
          <w:tcPr>
            <w:tcW w:w="913" w:type="dxa"/>
            <w:tcBorders>
              <w:left w:val="nil"/>
              <w:right w:val="nil"/>
            </w:tcBorders>
            <w:shd w:val="clear" w:color="auto" w:fill="auto"/>
          </w:tcPr>
          <w:p w14:paraId="42F3E765"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2002</w:t>
            </w:r>
          </w:p>
        </w:tc>
        <w:tc>
          <w:tcPr>
            <w:tcW w:w="1913" w:type="dxa"/>
            <w:tcBorders>
              <w:left w:val="nil"/>
              <w:right w:val="nil"/>
            </w:tcBorders>
            <w:shd w:val="clear" w:color="auto" w:fill="auto"/>
          </w:tcPr>
          <w:p w14:paraId="2200D51A"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26.6</w:t>
            </w:r>
          </w:p>
        </w:tc>
        <w:tc>
          <w:tcPr>
            <w:tcW w:w="1837" w:type="dxa"/>
            <w:tcBorders>
              <w:left w:val="nil"/>
              <w:right w:val="nil"/>
            </w:tcBorders>
            <w:shd w:val="clear" w:color="auto" w:fill="auto"/>
          </w:tcPr>
          <w:p w14:paraId="14FBFDE5"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-0.822380952 </w:t>
            </w:r>
          </w:p>
        </w:tc>
        <w:tc>
          <w:tcPr>
            <w:tcW w:w="1837" w:type="dxa"/>
            <w:tcBorders>
              <w:left w:val="nil"/>
              <w:right w:val="nil"/>
            </w:tcBorders>
            <w:shd w:val="clear" w:color="auto" w:fill="auto"/>
          </w:tcPr>
          <w:p w14:paraId="2247FD8E"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0.676310431 </w:t>
            </w:r>
          </w:p>
        </w:tc>
      </w:tr>
      <w:tr w:rsidR="007A0633" w:rsidRPr="00D12E59" w14:paraId="20FA4EB1" w14:textId="77777777" w:rsidTr="00AA0C97">
        <w:trPr>
          <w:trHeight w:val="384"/>
        </w:trPr>
        <w:tc>
          <w:tcPr>
            <w:tcW w:w="913" w:type="dxa"/>
            <w:shd w:val="clear" w:color="auto" w:fill="auto"/>
          </w:tcPr>
          <w:p w14:paraId="56AA17F4"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2003</w:t>
            </w:r>
          </w:p>
        </w:tc>
        <w:tc>
          <w:tcPr>
            <w:tcW w:w="1913" w:type="dxa"/>
            <w:shd w:val="clear" w:color="auto" w:fill="auto"/>
          </w:tcPr>
          <w:p w14:paraId="5665E2ED"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19.6</w:t>
            </w:r>
          </w:p>
        </w:tc>
        <w:tc>
          <w:tcPr>
            <w:tcW w:w="1837" w:type="dxa"/>
            <w:shd w:val="clear" w:color="auto" w:fill="auto"/>
          </w:tcPr>
          <w:p w14:paraId="1DBF7E88"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-7.822380952 </w:t>
            </w:r>
          </w:p>
        </w:tc>
        <w:tc>
          <w:tcPr>
            <w:tcW w:w="1837" w:type="dxa"/>
            <w:shd w:val="clear" w:color="auto" w:fill="auto"/>
          </w:tcPr>
          <w:p w14:paraId="5665F87A"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61.18964376 </w:t>
            </w:r>
          </w:p>
        </w:tc>
      </w:tr>
      <w:tr w:rsidR="00F16182" w:rsidRPr="00D12E59" w14:paraId="160B8554" w14:textId="77777777" w:rsidTr="00AA0C97">
        <w:trPr>
          <w:trHeight w:val="384"/>
        </w:trPr>
        <w:tc>
          <w:tcPr>
            <w:tcW w:w="913" w:type="dxa"/>
            <w:tcBorders>
              <w:left w:val="nil"/>
              <w:right w:val="nil"/>
            </w:tcBorders>
            <w:shd w:val="clear" w:color="auto" w:fill="auto"/>
          </w:tcPr>
          <w:p w14:paraId="3DA9A522"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2004</w:t>
            </w:r>
          </w:p>
        </w:tc>
        <w:tc>
          <w:tcPr>
            <w:tcW w:w="1913" w:type="dxa"/>
            <w:tcBorders>
              <w:left w:val="nil"/>
              <w:right w:val="nil"/>
            </w:tcBorders>
            <w:shd w:val="clear" w:color="auto" w:fill="auto"/>
          </w:tcPr>
          <w:p w14:paraId="3030D21C"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17.1</w:t>
            </w:r>
          </w:p>
        </w:tc>
        <w:tc>
          <w:tcPr>
            <w:tcW w:w="1837" w:type="dxa"/>
            <w:tcBorders>
              <w:left w:val="nil"/>
              <w:right w:val="nil"/>
            </w:tcBorders>
            <w:shd w:val="clear" w:color="auto" w:fill="auto"/>
          </w:tcPr>
          <w:p w14:paraId="5BF93DF5"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-10.32238095 </w:t>
            </w:r>
          </w:p>
        </w:tc>
        <w:tc>
          <w:tcPr>
            <w:tcW w:w="1837" w:type="dxa"/>
            <w:tcBorders>
              <w:left w:val="nil"/>
              <w:right w:val="nil"/>
            </w:tcBorders>
            <w:shd w:val="clear" w:color="auto" w:fill="auto"/>
          </w:tcPr>
          <w:p w14:paraId="03CACC47"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106.5515485 </w:t>
            </w:r>
          </w:p>
        </w:tc>
      </w:tr>
      <w:tr w:rsidR="007A0633" w:rsidRPr="00D12E59" w14:paraId="34C75456" w14:textId="77777777" w:rsidTr="00AA0C97">
        <w:trPr>
          <w:trHeight w:val="384"/>
        </w:trPr>
        <w:tc>
          <w:tcPr>
            <w:tcW w:w="913" w:type="dxa"/>
            <w:shd w:val="clear" w:color="auto" w:fill="auto"/>
          </w:tcPr>
          <w:p w14:paraId="5306B092"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2005</w:t>
            </w:r>
          </w:p>
        </w:tc>
        <w:tc>
          <w:tcPr>
            <w:tcW w:w="1913" w:type="dxa"/>
            <w:shd w:val="clear" w:color="auto" w:fill="auto"/>
          </w:tcPr>
          <w:p w14:paraId="42B0AEB3"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11.4</w:t>
            </w:r>
          </w:p>
        </w:tc>
        <w:tc>
          <w:tcPr>
            <w:tcW w:w="1837" w:type="dxa"/>
            <w:shd w:val="clear" w:color="auto" w:fill="auto"/>
          </w:tcPr>
          <w:p w14:paraId="0F2AE4D1"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-16.02238095 </w:t>
            </w:r>
          </w:p>
        </w:tc>
        <w:tc>
          <w:tcPr>
            <w:tcW w:w="1837" w:type="dxa"/>
            <w:shd w:val="clear" w:color="auto" w:fill="auto"/>
          </w:tcPr>
          <w:p w14:paraId="7B98ECF4"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256.7166914 </w:t>
            </w:r>
          </w:p>
        </w:tc>
      </w:tr>
      <w:tr w:rsidR="00F16182" w:rsidRPr="00D12E59" w14:paraId="77AFB2FC" w14:textId="77777777" w:rsidTr="00AA0C97">
        <w:trPr>
          <w:trHeight w:val="384"/>
        </w:trPr>
        <w:tc>
          <w:tcPr>
            <w:tcW w:w="913" w:type="dxa"/>
            <w:tcBorders>
              <w:left w:val="nil"/>
              <w:right w:val="nil"/>
            </w:tcBorders>
            <w:shd w:val="clear" w:color="auto" w:fill="auto"/>
          </w:tcPr>
          <w:p w14:paraId="5DFB3F48"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2006</w:t>
            </w:r>
          </w:p>
        </w:tc>
        <w:tc>
          <w:tcPr>
            <w:tcW w:w="1913" w:type="dxa"/>
            <w:tcBorders>
              <w:left w:val="nil"/>
              <w:right w:val="nil"/>
            </w:tcBorders>
            <w:shd w:val="clear" w:color="auto" w:fill="auto"/>
          </w:tcPr>
          <w:p w14:paraId="0AB79768"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9.6</w:t>
            </w:r>
          </w:p>
        </w:tc>
        <w:tc>
          <w:tcPr>
            <w:tcW w:w="1837" w:type="dxa"/>
            <w:tcBorders>
              <w:left w:val="nil"/>
              <w:right w:val="nil"/>
            </w:tcBorders>
            <w:shd w:val="clear" w:color="auto" w:fill="auto"/>
          </w:tcPr>
          <w:p w14:paraId="403839FD"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-17.82238095 </w:t>
            </w:r>
          </w:p>
        </w:tc>
        <w:tc>
          <w:tcPr>
            <w:tcW w:w="1837" w:type="dxa"/>
            <w:tcBorders>
              <w:left w:val="nil"/>
              <w:right w:val="nil"/>
            </w:tcBorders>
            <w:shd w:val="clear" w:color="auto" w:fill="auto"/>
          </w:tcPr>
          <w:p w14:paraId="48156425"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317.6372628 </w:t>
            </w:r>
          </w:p>
        </w:tc>
      </w:tr>
      <w:tr w:rsidR="007A0633" w:rsidRPr="00D12E59" w14:paraId="33161763" w14:textId="77777777" w:rsidTr="00AA0C97">
        <w:trPr>
          <w:trHeight w:val="384"/>
        </w:trPr>
        <w:tc>
          <w:tcPr>
            <w:tcW w:w="913" w:type="dxa"/>
            <w:shd w:val="clear" w:color="auto" w:fill="auto"/>
          </w:tcPr>
          <w:p w14:paraId="2A725BB1"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2007</w:t>
            </w:r>
          </w:p>
        </w:tc>
        <w:tc>
          <w:tcPr>
            <w:tcW w:w="1913" w:type="dxa"/>
            <w:shd w:val="clear" w:color="auto" w:fill="auto"/>
          </w:tcPr>
          <w:p w14:paraId="00346FBE"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10.6</w:t>
            </w:r>
          </w:p>
        </w:tc>
        <w:tc>
          <w:tcPr>
            <w:tcW w:w="1837" w:type="dxa"/>
            <w:shd w:val="clear" w:color="auto" w:fill="auto"/>
          </w:tcPr>
          <w:p w14:paraId="76AF88B6"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-16.82238095 </w:t>
            </w:r>
          </w:p>
        </w:tc>
        <w:tc>
          <w:tcPr>
            <w:tcW w:w="1837" w:type="dxa"/>
            <w:shd w:val="clear" w:color="auto" w:fill="auto"/>
          </w:tcPr>
          <w:p w14:paraId="471CB344"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282.9925009 </w:t>
            </w:r>
          </w:p>
        </w:tc>
      </w:tr>
      <w:tr w:rsidR="00F16182" w:rsidRPr="00D12E59" w14:paraId="12951349" w14:textId="77777777" w:rsidTr="00AA0C97">
        <w:trPr>
          <w:trHeight w:val="384"/>
        </w:trPr>
        <w:tc>
          <w:tcPr>
            <w:tcW w:w="913" w:type="dxa"/>
            <w:tcBorders>
              <w:left w:val="nil"/>
              <w:right w:val="nil"/>
            </w:tcBorders>
            <w:shd w:val="clear" w:color="auto" w:fill="auto"/>
          </w:tcPr>
          <w:p w14:paraId="718C0914"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2008</w:t>
            </w:r>
          </w:p>
        </w:tc>
        <w:tc>
          <w:tcPr>
            <w:tcW w:w="1913" w:type="dxa"/>
            <w:tcBorders>
              <w:left w:val="nil"/>
              <w:right w:val="nil"/>
            </w:tcBorders>
            <w:shd w:val="clear" w:color="auto" w:fill="auto"/>
          </w:tcPr>
          <w:p w14:paraId="2445357C"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24.7</w:t>
            </w:r>
          </w:p>
        </w:tc>
        <w:tc>
          <w:tcPr>
            <w:tcW w:w="1837" w:type="dxa"/>
            <w:tcBorders>
              <w:left w:val="nil"/>
              <w:right w:val="nil"/>
            </w:tcBorders>
            <w:shd w:val="clear" w:color="auto" w:fill="auto"/>
          </w:tcPr>
          <w:p w14:paraId="0E219B36"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-2.722380952 </w:t>
            </w:r>
          </w:p>
        </w:tc>
        <w:tc>
          <w:tcPr>
            <w:tcW w:w="1837" w:type="dxa"/>
            <w:tcBorders>
              <w:left w:val="nil"/>
              <w:right w:val="nil"/>
            </w:tcBorders>
            <w:shd w:val="clear" w:color="auto" w:fill="auto"/>
          </w:tcPr>
          <w:p w14:paraId="3A4C0CD5"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7.41135805 </w:t>
            </w:r>
          </w:p>
        </w:tc>
      </w:tr>
      <w:tr w:rsidR="007A0633" w:rsidRPr="00D12E59" w14:paraId="35DAA324" w14:textId="77777777" w:rsidTr="00AA0C97">
        <w:trPr>
          <w:trHeight w:val="384"/>
        </w:trPr>
        <w:tc>
          <w:tcPr>
            <w:tcW w:w="913" w:type="dxa"/>
            <w:shd w:val="clear" w:color="auto" w:fill="auto"/>
          </w:tcPr>
          <w:p w14:paraId="7C118B11"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2009</w:t>
            </w:r>
          </w:p>
        </w:tc>
        <w:tc>
          <w:tcPr>
            <w:tcW w:w="1913" w:type="dxa"/>
            <w:shd w:val="clear" w:color="auto" w:fill="auto"/>
          </w:tcPr>
          <w:p w14:paraId="48110A2E"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22.5</w:t>
            </w:r>
          </w:p>
        </w:tc>
        <w:tc>
          <w:tcPr>
            <w:tcW w:w="1837" w:type="dxa"/>
            <w:shd w:val="clear" w:color="auto" w:fill="auto"/>
          </w:tcPr>
          <w:p w14:paraId="50C05C0E"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-4.922380952 </w:t>
            </w:r>
          </w:p>
        </w:tc>
        <w:tc>
          <w:tcPr>
            <w:tcW w:w="1837" w:type="dxa"/>
            <w:shd w:val="clear" w:color="auto" w:fill="auto"/>
          </w:tcPr>
          <w:p w14:paraId="7E985AA7"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24.22983424 </w:t>
            </w:r>
          </w:p>
        </w:tc>
      </w:tr>
      <w:tr w:rsidR="00F16182" w:rsidRPr="00D12E59" w14:paraId="21FACBD4" w14:textId="77777777" w:rsidTr="00AA0C97">
        <w:trPr>
          <w:trHeight w:val="384"/>
        </w:trPr>
        <w:tc>
          <w:tcPr>
            <w:tcW w:w="913" w:type="dxa"/>
            <w:tcBorders>
              <w:left w:val="nil"/>
              <w:right w:val="nil"/>
            </w:tcBorders>
            <w:shd w:val="clear" w:color="auto" w:fill="auto"/>
          </w:tcPr>
          <w:p w14:paraId="1FB17A44" w14:textId="77777777" w:rsidR="007A0633" w:rsidRPr="00D12E59" w:rsidRDefault="007A0633" w:rsidP="00AA0C97">
            <w:pPr>
              <w:pStyle w:val="Default"/>
              <w:spacing w:after="0"/>
              <w:jc w:val="center"/>
              <w:rPr>
                <w:rFonts w:ascii="Book Antiqua" w:hAnsi="Book Antiqua"/>
                <w:b/>
                <w:bCs/>
                <w:sz w:val="22"/>
                <w:szCs w:val="22"/>
              </w:rPr>
            </w:pPr>
            <w:r w:rsidRPr="00D12E59">
              <w:rPr>
                <w:rFonts w:ascii="Book Antiqua" w:hAnsi="Book Antiqua"/>
                <w:b/>
                <w:bCs/>
                <w:sz w:val="22"/>
                <w:szCs w:val="22"/>
              </w:rPr>
              <w:t>2010</w:t>
            </w:r>
          </w:p>
        </w:tc>
        <w:tc>
          <w:tcPr>
            <w:tcW w:w="1913" w:type="dxa"/>
            <w:tcBorders>
              <w:left w:val="nil"/>
              <w:right w:val="nil"/>
            </w:tcBorders>
            <w:shd w:val="clear" w:color="auto" w:fill="auto"/>
          </w:tcPr>
          <w:p w14:paraId="76AC428A" w14:textId="77777777" w:rsidR="007A0633" w:rsidRPr="00D12E59" w:rsidRDefault="007A0633" w:rsidP="00AA0C97">
            <w:pPr>
              <w:pStyle w:val="Default"/>
              <w:spacing w:after="0"/>
              <w:jc w:val="center"/>
              <w:rPr>
                <w:rFonts w:ascii="Book Antiqua" w:hAnsi="Book Antiqua"/>
                <w:sz w:val="22"/>
                <w:szCs w:val="22"/>
              </w:rPr>
            </w:pPr>
            <w:r w:rsidRPr="00D12E59">
              <w:rPr>
                <w:rFonts w:ascii="Book Antiqua" w:hAnsi="Book Antiqua"/>
                <w:sz w:val="22"/>
                <w:szCs w:val="22"/>
              </w:rPr>
              <w:t>12.5</w:t>
            </w:r>
          </w:p>
        </w:tc>
        <w:tc>
          <w:tcPr>
            <w:tcW w:w="1837" w:type="dxa"/>
            <w:tcBorders>
              <w:left w:val="nil"/>
              <w:right w:val="nil"/>
            </w:tcBorders>
            <w:shd w:val="clear" w:color="auto" w:fill="auto"/>
          </w:tcPr>
          <w:p w14:paraId="49819F0B"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-15.17238095</w:t>
            </w:r>
          </w:p>
        </w:tc>
        <w:tc>
          <w:tcPr>
            <w:tcW w:w="1837" w:type="dxa"/>
            <w:tcBorders>
              <w:left w:val="nil"/>
              <w:right w:val="nil"/>
            </w:tcBorders>
            <w:shd w:val="clear" w:color="auto" w:fill="auto"/>
          </w:tcPr>
          <w:p w14:paraId="0CBF4D07" w14:textId="77777777" w:rsidR="007A0633" w:rsidRPr="00D12E59" w:rsidRDefault="007A0633" w:rsidP="00AA0C97">
            <w:pPr>
              <w:pStyle w:val="Default"/>
              <w:spacing w:after="0"/>
              <w:rPr>
                <w:rFonts w:ascii="Book Antiqua" w:hAnsi="Book Antiqua"/>
                <w:sz w:val="22"/>
                <w:szCs w:val="22"/>
              </w:rPr>
            </w:pPr>
            <w:r w:rsidRPr="00D12E59">
              <w:rPr>
                <w:rFonts w:ascii="Book Antiqua" w:hAnsi="Book Antiqua"/>
                <w:sz w:val="22"/>
                <w:szCs w:val="22"/>
              </w:rPr>
              <w:t xml:space="preserve">230.2011438 </w:t>
            </w:r>
          </w:p>
        </w:tc>
      </w:tr>
    </w:tbl>
    <w:p w14:paraId="2D6A4607" w14:textId="77777777" w:rsidR="007A0633" w:rsidRDefault="007A0633" w:rsidP="008275E1">
      <w:pPr>
        <w:pStyle w:val="Default"/>
        <w:rPr>
          <w:rFonts w:ascii="Book Antiqua" w:hAnsi="Book Antiqua"/>
          <w:b/>
          <w:sz w:val="22"/>
          <w:szCs w:val="22"/>
        </w:rPr>
      </w:pPr>
    </w:p>
    <w:p w14:paraId="610D555B" w14:textId="77777777" w:rsidR="007A0633" w:rsidRDefault="007A0633" w:rsidP="008275E1">
      <w:pPr>
        <w:pStyle w:val="Default"/>
        <w:rPr>
          <w:rFonts w:ascii="Book Antiqua" w:hAnsi="Book Antiqua"/>
          <w:b/>
          <w:sz w:val="22"/>
          <w:szCs w:val="22"/>
        </w:rPr>
      </w:pPr>
    </w:p>
    <w:p w14:paraId="57906397" w14:textId="77777777" w:rsidR="007A0633" w:rsidRDefault="007A0633" w:rsidP="008275E1">
      <w:pPr>
        <w:pStyle w:val="Default"/>
        <w:rPr>
          <w:rFonts w:ascii="Book Antiqua" w:hAnsi="Book Antiqua"/>
          <w:b/>
          <w:sz w:val="22"/>
          <w:szCs w:val="22"/>
        </w:rPr>
      </w:pPr>
    </w:p>
    <w:p w14:paraId="59498866" w14:textId="77777777" w:rsidR="007A0633" w:rsidRDefault="007A0633" w:rsidP="008275E1">
      <w:pPr>
        <w:pStyle w:val="Default"/>
        <w:rPr>
          <w:rFonts w:ascii="Book Antiqua" w:hAnsi="Book Antiqua"/>
          <w:b/>
          <w:sz w:val="22"/>
          <w:szCs w:val="22"/>
        </w:rPr>
      </w:pPr>
    </w:p>
    <w:p w14:paraId="75028426" w14:textId="77777777" w:rsidR="007A0633" w:rsidRPr="00E3232D" w:rsidRDefault="007A0633" w:rsidP="008275E1">
      <w:pPr>
        <w:pStyle w:val="Default"/>
        <w:rPr>
          <w:rFonts w:ascii="Book Antiqua" w:hAnsi="Book Antiqua"/>
          <w:b/>
          <w:sz w:val="22"/>
          <w:szCs w:val="22"/>
        </w:rPr>
      </w:pPr>
    </w:p>
    <w:p w14:paraId="7C949080" w14:textId="77777777" w:rsidR="00AC50E9" w:rsidRPr="00E3232D" w:rsidRDefault="00AC50E9" w:rsidP="008275E1">
      <w:pPr>
        <w:pStyle w:val="Default"/>
        <w:rPr>
          <w:rFonts w:ascii="Book Antiqua" w:hAnsi="Book Antiqua"/>
          <w:sz w:val="22"/>
          <w:szCs w:val="22"/>
        </w:rPr>
      </w:pPr>
    </w:p>
    <w:p w14:paraId="6A787183" w14:textId="77777777" w:rsidR="007A0633" w:rsidRDefault="007A0633" w:rsidP="008275E1">
      <w:pPr>
        <w:pStyle w:val="Default"/>
        <w:rPr>
          <w:rFonts w:ascii="Book Antiqua" w:hAnsi="Book Antiqua"/>
          <w:sz w:val="22"/>
          <w:szCs w:val="22"/>
        </w:rPr>
      </w:pPr>
    </w:p>
    <w:p w14:paraId="29A7A7E7" w14:textId="77777777" w:rsidR="007A0633" w:rsidRDefault="007A0633" w:rsidP="008275E1">
      <w:pPr>
        <w:pStyle w:val="Default"/>
        <w:rPr>
          <w:rFonts w:ascii="Book Antiqua" w:hAnsi="Book Antiqua"/>
          <w:sz w:val="22"/>
          <w:szCs w:val="22"/>
        </w:rPr>
      </w:pPr>
    </w:p>
    <w:p w14:paraId="1FE0FF51" w14:textId="77777777" w:rsidR="00AC50E9" w:rsidRPr="00E3232D" w:rsidRDefault="007A0633" w:rsidP="007A0633">
      <w:pPr>
        <w:pStyle w:val="Default"/>
        <w:rPr>
          <w:rFonts w:ascii="Book Antiqua" w:hAnsi="Book Antiqua"/>
          <w:sz w:val="22"/>
          <w:szCs w:val="22"/>
        </w:rPr>
      </w:pPr>
      <w:r>
        <w:rPr>
          <w:rFonts w:ascii="Book Antiqua" w:hAnsi="Book Antiqua"/>
          <w:sz w:val="22"/>
          <w:szCs w:val="22"/>
        </w:rPr>
        <w:t xml:space="preserve">Table </w:t>
      </w:r>
      <w:r w:rsidR="00AC50E9" w:rsidRPr="00E3232D">
        <w:rPr>
          <w:rFonts w:ascii="Book Antiqua" w:hAnsi="Book Antiqua"/>
          <w:sz w:val="22"/>
          <w:szCs w:val="22"/>
        </w:rPr>
        <w:t>2 above also shows that Standard Deviation for Treasury bills for the period is 11.62%, implying that the yearly returns (actual returns) deviated from the average returns that are Expected Returns by 11.62% representing a relatively low risk. This confirms with the finance theory mentioned above.</w:t>
      </w:r>
    </w:p>
    <w:p w14:paraId="15AF9B53" w14:textId="77777777" w:rsidR="00F9157C" w:rsidRDefault="00AC50E9" w:rsidP="008275E1">
      <w:pPr>
        <w:pStyle w:val="Default"/>
        <w:rPr>
          <w:rFonts w:ascii="Book Antiqua" w:hAnsi="Book Antiqua"/>
          <w:sz w:val="22"/>
          <w:szCs w:val="22"/>
        </w:rPr>
      </w:pPr>
      <w:r w:rsidRPr="00E3232D">
        <w:rPr>
          <w:rFonts w:ascii="Book Antiqua" w:hAnsi="Book Antiqua"/>
          <w:sz w:val="22"/>
          <w:szCs w:val="22"/>
        </w:rPr>
        <w:t xml:space="preserve">The relationship between the nominal rate of returns and inflation rates over the period is depicted on the figure below. It can therefore be argued that, to gain a higher return on ones investments therefore one ought to take a higher risk in terms of </w:t>
      </w:r>
    </w:p>
    <w:p w14:paraId="0CE66AEA"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 xml:space="preserve">investments. Shares as said earlier in this research, is of a higher risk than treasury bills. Therefore it is essential to analyze shares or equity investments over the same period to ascertain the level of truthfulness of this theory. </w:t>
      </w:r>
    </w:p>
    <w:p w14:paraId="7EA0497A" w14:textId="77777777" w:rsidR="00AC50E9" w:rsidRPr="00E3232D" w:rsidRDefault="00AC50E9" w:rsidP="008275E1">
      <w:pPr>
        <w:pStyle w:val="Default"/>
        <w:rPr>
          <w:rFonts w:ascii="Book Antiqua" w:hAnsi="Book Antiqua"/>
          <w:bCs/>
          <w:sz w:val="22"/>
          <w:szCs w:val="22"/>
        </w:rPr>
      </w:pPr>
      <w:r w:rsidRPr="00E3232D">
        <w:rPr>
          <w:rFonts w:ascii="Book Antiqua" w:hAnsi="Book Antiqua"/>
          <w:bCs/>
          <w:sz w:val="22"/>
          <w:szCs w:val="22"/>
        </w:rPr>
        <w:t xml:space="preserve">3.2 Analysis of capital market instruments (GSE all share index) </w:t>
      </w:r>
    </w:p>
    <w:p w14:paraId="662FCF8B"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The historical annual return obtainable on the capital market as represented by the GSE All- Share Index, are analyzed by comparing them with the average rate of return for the period. The annual rates of return are also compared with their corresponding annual rates of inflation to see how the capital market fared against inflation. The Standard Deviation and Co – efficient of variation are also calculated for use in the overall analysis. Table 3 shows the nominal rates of return on the stock market as represented by the GSE index for the period 1990 to 2010. From which the average rate of returns for each year, Standard Deviation have been calculated.</w:t>
      </w:r>
    </w:p>
    <w:p w14:paraId="5339FC02" w14:textId="77777777" w:rsidR="00AC50E9" w:rsidRDefault="00AC50E9" w:rsidP="008275E1">
      <w:pPr>
        <w:pStyle w:val="Default"/>
        <w:rPr>
          <w:rFonts w:ascii="Book Antiqua" w:hAnsi="Book Antiqua"/>
          <w:sz w:val="22"/>
          <w:szCs w:val="22"/>
        </w:rPr>
      </w:pPr>
    </w:p>
    <w:p w14:paraId="7285C3DF" w14:textId="77777777" w:rsidR="00F9157C" w:rsidRDefault="00F9157C" w:rsidP="008F5243">
      <w:pPr>
        <w:pStyle w:val="Default"/>
        <w:rPr>
          <w:rFonts w:ascii="Book Antiqua" w:hAnsi="Book Antiqua"/>
          <w:b/>
          <w:sz w:val="22"/>
          <w:szCs w:val="22"/>
        </w:rPr>
        <w:sectPr w:rsidR="00F9157C" w:rsidSect="008F6BC9">
          <w:type w:val="continuous"/>
          <w:pgSz w:w="11907" w:h="16839" w:code="9"/>
          <w:pgMar w:top="1440" w:right="1440" w:bottom="1440" w:left="1440" w:header="720" w:footer="720" w:gutter="0"/>
          <w:cols w:num="2" w:space="720"/>
          <w:docGrid w:linePitch="360"/>
        </w:sectPr>
      </w:pPr>
    </w:p>
    <w:p w14:paraId="10B8387A" w14:textId="77777777" w:rsidR="00F9157C" w:rsidRDefault="00F9157C" w:rsidP="008F5243">
      <w:pPr>
        <w:pStyle w:val="Default"/>
        <w:rPr>
          <w:rFonts w:ascii="Book Antiqua" w:hAnsi="Book Antiqua"/>
          <w:b/>
          <w:sz w:val="22"/>
          <w:szCs w:val="22"/>
        </w:rPr>
      </w:pPr>
    </w:p>
    <w:p w14:paraId="065B5A8B" w14:textId="77777777" w:rsidR="00F9157C" w:rsidRDefault="00F9157C" w:rsidP="008F5243">
      <w:pPr>
        <w:pStyle w:val="Default"/>
        <w:rPr>
          <w:rFonts w:ascii="Book Antiqua" w:hAnsi="Book Antiqua"/>
          <w:b/>
          <w:sz w:val="22"/>
          <w:szCs w:val="22"/>
        </w:rPr>
      </w:pPr>
    </w:p>
    <w:p w14:paraId="79AD3F24" w14:textId="77777777" w:rsidR="00AA0C97" w:rsidRDefault="00AA0C97" w:rsidP="008F5243">
      <w:pPr>
        <w:pStyle w:val="Default"/>
        <w:rPr>
          <w:rFonts w:ascii="Book Antiqua" w:hAnsi="Book Antiqua"/>
          <w:b/>
          <w:sz w:val="22"/>
          <w:szCs w:val="22"/>
        </w:rPr>
      </w:pPr>
    </w:p>
    <w:p w14:paraId="065C2E36" w14:textId="77777777" w:rsidR="00AA0C97" w:rsidRDefault="00AA0C97" w:rsidP="008F5243">
      <w:pPr>
        <w:pStyle w:val="Default"/>
        <w:rPr>
          <w:rFonts w:ascii="Book Antiqua" w:hAnsi="Book Antiqua"/>
          <w:b/>
          <w:sz w:val="22"/>
          <w:szCs w:val="22"/>
        </w:rPr>
      </w:pPr>
    </w:p>
    <w:p w14:paraId="196570E9" w14:textId="77777777" w:rsidR="00AA0C97" w:rsidRDefault="00AA0C97" w:rsidP="008F5243">
      <w:pPr>
        <w:pStyle w:val="Default"/>
        <w:rPr>
          <w:rFonts w:ascii="Book Antiqua" w:hAnsi="Book Antiqua"/>
          <w:b/>
          <w:sz w:val="22"/>
          <w:szCs w:val="22"/>
        </w:rPr>
      </w:pPr>
    </w:p>
    <w:p w14:paraId="63A96353" w14:textId="77777777" w:rsidR="00AA0C97" w:rsidRDefault="00AA0C97" w:rsidP="008F5243">
      <w:pPr>
        <w:pStyle w:val="Default"/>
        <w:rPr>
          <w:rFonts w:ascii="Book Antiqua" w:hAnsi="Book Antiqua"/>
          <w:b/>
          <w:sz w:val="22"/>
          <w:szCs w:val="22"/>
        </w:rPr>
      </w:pPr>
    </w:p>
    <w:p w14:paraId="74544855" w14:textId="77777777" w:rsidR="00AA0C97" w:rsidRDefault="00AA0C97" w:rsidP="008F5243">
      <w:pPr>
        <w:pStyle w:val="Default"/>
        <w:rPr>
          <w:rFonts w:ascii="Book Antiqua" w:hAnsi="Book Antiqua"/>
          <w:b/>
          <w:sz w:val="22"/>
          <w:szCs w:val="22"/>
        </w:rPr>
      </w:pPr>
    </w:p>
    <w:p w14:paraId="6067D545" w14:textId="77777777" w:rsidR="00AA0C97" w:rsidRDefault="00AA0C97" w:rsidP="008F5243">
      <w:pPr>
        <w:pStyle w:val="Default"/>
        <w:rPr>
          <w:rFonts w:ascii="Book Antiqua" w:hAnsi="Book Antiqua"/>
          <w:b/>
          <w:sz w:val="22"/>
          <w:szCs w:val="22"/>
        </w:rPr>
      </w:pPr>
    </w:p>
    <w:p w14:paraId="0A6DA398" w14:textId="77777777" w:rsidR="00E26E3F" w:rsidRDefault="00E26E3F" w:rsidP="008F5243">
      <w:pPr>
        <w:pStyle w:val="Default"/>
        <w:rPr>
          <w:rFonts w:ascii="Book Antiqua" w:hAnsi="Book Antiqua"/>
          <w:b/>
          <w:sz w:val="22"/>
          <w:szCs w:val="22"/>
        </w:rPr>
      </w:pPr>
    </w:p>
    <w:p w14:paraId="2B29A46F" w14:textId="77777777" w:rsidR="00E26E3F" w:rsidRDefault="00E26E3F" w:rsidP="008F5243">
      <w:pPr>
        <w:pStyle w:val="Default"/>
        <w:rPr>
          <w:rFonts w:ascii="Book Antiqua" w:hAnsi="Book Antiqua"/>
          <w:b/>
          <w:sz w:val="22"/>
          <w:szCs w:val="22"/>
        </w:rPr>
      </w:pPr>
    </w:p>
    <w:p w14:paraId="77960239" w14:textId="77777777" w:rsidR="00AA0C97" w:rsidRDefault="00AA0C97" w:rsidP="008F5243">
      <w:pPr>
        <w:pStyle w:val="Default"/>
        <w:rPr>
          <w:rFonts w:ascii="Book Antiqua" w:hAnsi="Book Antiqua"/>
          <w:b/>
          <w:sz w:val="22"/>
          <w:szCs w:val="22"/>
        </w:rPr>
      </w:pPr>
    </w:p>
    <w:p w14:paraId="50E044FC" w14:textId="77777777" w:rsidR="00AA0C97" w:rsidRDefault="00AA0C97" w:rsidP="008F5243">
      <w:pPr>
        <w:pStyle w:val="Default"/>
        <w:rPr>
          <w:rFonts w:ascii="Book Antiqua" w:hAnsi="Book Antiqua"/>
          <w:b/>
          <w:sz w:val="22"/>
          <w:szCs w:val="22"/>
        </w:rPr>
      </w:pPr>
    </w:p>
    <w:p w14:paraId="46C35030" w14:textId="77777777" w:rsidR="00AA0C97" w:rsidRDefault="00AA0C97" w:rsidP="008F5243">
      <w:pPr>
        <w:pStyle w:val="Default"/>
        <w:rPr>
          <w:rFonts w:ascii="Book Antiqua" w:hAnsi="Book Antiqua"/>
          <w:b/>
          <w:sz w:val="22"/>
          <w:szCs w:val="22"/>
        </w:rPr>
      </w:pPr>
    </w:p>
    <w:p w14:paraId="4DE816B5" w14:textId="77777777" w:rsidR="00AA0C97" w:rsidRDefault="00AA0C97" w:rsidP="008F5243">
      <w:pPr>
        <w:pStyle w:val="Default"/>
        <w:rPr>
          <w:rFonts w:ascii="Book Antiqua" w:hAnsi="Book Antiqua"/>
          <w:b/>
          <w:sz w:val="22"/>
          <w:szCs w:val="22"/>
        </w:rPr>
      </w:pPr>
    </w:p>
    <w:p w14:paraId="5BBBEC5A" w14:textId="77777777" w:rsidR="00AA0C97" w:rsidRDefault="00AA0C97" w:rsidP="008F5243">
      <w:pPr>
        <w:pStyle w:val="Default"/>
        <w:rPr>
          <w:rFonts w:ascii="Book Antiqua" w:hAnsi="Book Antiqua"/>
          <w:b/>
          <w:sz w:val="22"/>
          <w:szCs w:val="22"/>
        </w:rPr>
      </w:pPr>
    </w:p>
    <w:p w14:paraId="5367274A" w14:textId="77777777" w:rsidR="00AA0C97" w:rsidRDefault="00AA0C97" w:rsidP="008F5243">
      <w:pPr>
        <w:pStyle w:val="Default"/>
        <w:rPr>
          <w:rFonts w:ascii="Book Antiqua" w:hAnsi="Book Antiqua"/>
          <w:b/>
          <w:sz w:val="22"/>
          <w:szCs w:val="22"/>
        </w:rPr>
      </w:pPr>
    </w:p>
    <w:p w14:paraId="375B1F9E" w14:textId="77777777" w:rsidR="00AA0C97" w:rsidRDefault="00AA0C97" w:rsidP="008F5243">
      <w:pPr>
        <w:pStyle w:val="Default"/>
        <w:rPr>
          <w:rFonts w:ascii="Book Antiqua" w:hAnsi="Book Antiqua"/>
          <w:b/>
          <w:sz w:val="22"/>
          <w:szCs w:val="22"/>
        </w:rPr>
      </w:pPr>
    </w:p>
    <w:p w14:paraId="3DD8D328" w14:textId="77777777" w:rsidR="00F9157C" w:rsidRDefault="00F9157C" w:rsidP="008F5243">
      <w:pPr>
        <w:pStyle w:val="Default"/>
        <w:rPr>
          <w:rFonts w:ascii="Book Antiqua" w:hAnsi="Book Antiqua"/>
          <w:b/>
          <w:sz w:val="22"/>
          <w:szCs w:val="22"/>
        </w:rPr>
      </w:pPr>
    </w:p>
    <w:p w14:paraId="42296871" w14:textId="77777777" w:rsidR="00F9157C" w:rsidRDefault="00F9157C" w:rsidP="008F5243">
      <w:pPr>
        <w:pStyle w:val="Default"/>
        <w:rPr>
          <w:rFonts w:ascii="Book Antiqua" w:hAnsi="Book Antiqua"/>
          <w:b/>
          <w:sz w:val="22"/>
          <w:szCs w:val="22"/>
        </w:rPr>
      </w:pPr>
    </w:p>
    <w:p w14:paraId="499898C2" w14:textId="77777777" w:rsidR="0006162A" w:rsidRDefault="0006162A" w:rsidP="008F5243">
      <w:pPr>
        <w:pStyle w:val="Default"/>
        <w:rPr>
          <w:rFonts w:ascii="Book Antiqua" w:hAnsi="Book Antiqua"/>
          <w:b/>
          <w:sz w:val="22"/>
          <w:szCs w:val="22"/>
        </w:rPr>
        <w:sectPr w:rsidR="0006162A" w:rsidSect="008F6BC9">
          <w:type w:val="continuous"/>
          <w:pgSz w:w="11907" w:h="16839" w:code="9"/>
          <w:pgMar w:top="1440" w:right="1440" w:bottom="1440" w:left="1440" w:header="720" w:footer="720" w:gutter="0"/>
          <w:cols w:num="2" w:space="720"/>
          <w:docGrid w:linePitch="360"/>
        </w:sectPr>
      </w:pPr>
    </w:p>
    <w:p w14:paraId="7E291EEB" w14:textId="77777777" w:rsidR="00AC50E9" w:rsidRPr="00E3232D" w:rsidRDefault="00AC50E9" w:rsidP="008F5243">
      <w:pPr>
        <w:pStyle w:val="Default"/>
        <w:rPr>
          <w:rFonts w:ascii="Book Antiqua" w:hAnsi="Book Antiqua"/>
          <w:b/>
          <w:sz w:val="22"/>
          <w:szCs w:val="22"/>
        </w:rPr>
      </w:pPr>
      <w:r w:rsidRPr="00E3232D">
        <w:rPr>
          <w:rFonts w:ascii="Book Antiqua" w:hAnsi="Book Antiqua"/>
          <w:b/>
          <w:sz w:val="22"/>
          <w:szCs w:val="22"/>
        </w:rPr>
        <w:t>Table 3: Nominal Returns, Real Rate of Returns, Rates of Inflation and Standard Deviation for GSE shares in Ghana for the Period 1990 – 2010</w:t>
      </w:r>
    </w:p>
    <w:p w14:paraId="0A94126A" w14:textId="77777777" w:rsidR="00F9157C" w:rsidRDefault="00F9157C" w:rsidP="006C549E">
      <w:pPr>
        <w:pStyle w:val="Authors"/>
        <w:rPr>
          <w:vertAlign w:val="superscript"/>
        </w:rPr>
        <w:sectPr w:rsidR="00F9157C" w:rsidSect="008F6BC9">
          <w:type w:val="continuous"/>
          <w:pgSz w:w="11907" w:h="16839" w:code="9"/>
          <w:pgMar w:top="1440" w:right="1440" w:bottom="1440" w:left="1440" w:header="720" w:footer="720" w:gutter="0"/>
          <w:cols w:space="720"/>
          <w:docGrid w:linePitch="360"/>
        </w:sectPr>
      </w:pPr>
    </w:p>
    <w:tbl>
      <w:tblPr>
        <w:tblW w:w="8524" w:type="dxa"/>
        <w:tblLook w:val="04A0" w:firstRow="1" w:lastRow="0" w:firstColumn="1" w:lastColumn="0" w:noHBand="0" w:noVBand="1"/>
      </w:tblPr>
      <w:tblGrid>
        <w:gridCol w:w="765"/>
        <w:gridCol w:w="1603"/>
        <w:gridCol w:w="1539"/>
        <w:gridCol w:w="1539"/>
        <w:gridCol w:w="1539"/>
        <w:gridCol w:w="1539"/>
      </w:tblGrid>
      <w:tr w:rsidR="00AC50E9" w:rsidRPr="00D12E59" w14:paraId="718F54BF" w14:textId="77777777" w:rsidTr="008D6FB2">
        <w:trPr>
          <w:trHeight w:val="701"/>
        </w:trPr>
        <w:tc>
          <w:tcPr>
            <w:tcW w:w="765" w:type="dxa"/>
            <w:tcBorders>
              <w:top w:val="single" w:sz="4" w:space="0" w:color="auto"/>
              <w:bottom w:val="single" w:sz="4" w:space="0" w:color="auto"/>
            </w:tcBorders>
          </w:tcPr>
          <w:p w14:paraId="6D93157E" w14:textId="77777777" w:rsidR="00AC50E9" w:rsidRPr="008D6FB2" w:rsidRDefault="00AC50E9" w:rsidP="00AA0C97">
            <w:pPr>
              <w:pStyle w:val="Authors"/>
              <w:spacing w:after="0"/>
              <w:rPr>
                <w:vertAlign w:val="superscript"/>
              </w:rPr>
            </w:pPr>
            <w:r w:rsidRPr="008D6FB2">
              <w:rPr>
                <w:vertAlign w:val="superscript"/>
              </w:rPr>
              <w:t xml:space="preserve">Year </w:t>
            </w:r>
          </w:p>
        </w:tc>
        <w:tc>
          <w:tcPr>
            <w:tcW w:w="1603" w:type="dxa"/>
            <w:tcBorders>
              <w:top w:val="single" w:sz="4" w:space="0" w:color="auto"/>
              <w:bottom w:val="single" w:sz="4" w:space="0" w:color="auto"/>
            </w:tcBorders>
          </w:tcPr>
          <w:p w14:paraId="3EAC6A53" w14:textId="77777777" w:rsidR="00AC50E9" w:rsidRPr="008D6FB2" w:rsidRDefault="00AC50E9" w:rsidP="00AA0C97">
            <w:pPr>
              <w:pStyle w:val="Authors"/>
              <w:spacing w:after="0"/>
              <w:rPr>
                <w:vertAlign w:val="superscript"/>
              </w:rPr>
            </w:pPr>
            <w:r w:rsidRPr="008D6FB2">
              <w:rPr>
                <w:vertAlign w:val="superscript"/>
              </w:rPr>
              <w:t>Nominal Rate Return (%)</w:t>
            </w:r>
          </w:p>
        </w:tc>
        <w:tc>
          <w:tcPr>
            <w:tcW w:w="1539" w:type="dxa"/>
            <w:tcBorders>
              <w:top w:val="single" w:sz="4" w:space="0" w:color="auto"/>
              <w:bottom w:val="single" w:sz="4" w:space="0" w:color="auto"/>
            </w:tcBorders>
          </w:tcPr>
          <w:p w14:paraId="7777CD30" w14:textId="77777777" w:rsidR="00AC50E9" w:rsidRPr="008D6FB2" w:rsidRDefault="00AC50E9" w:rsidP="00AA0C97">
            <w:pPr>
              <w:pStyle w:val="Authors"/>
              <w:spacing w:after="0"/>
              <w:rPr>
                <w:vertAlign w:val="superscript"/>
              </w:rPr>
            </w:pPr>
            <w:r w:rsidRPr="008D6FB2">
              <w:rPr>
                <w:vertAlign w:val="superscript"/>
              </w:rPr>
              <w:t>Rate of Inflation (%)</w:t>
            </w:r>
          </w:p>
        </w:tc>
        <w:tc>
          <w:tcPr>
            <w:tcW w:w="1539" w:type="dxa"/>
            <w:tcBorders>
              <w:top w:val="single" w:sz="4" w:space="0" w:color="auto"/>
              <w:bottom w:val="single" w:sz="4" w:space="0" w:color="auto"/>
            </w:tcBorders>
          </w:tcPr>
          <w:p w14:paraId="4A079EE0" w14:textId="77777777" w:rsidR="00AC50E9" w:rsidRPr="008D6FB2" w:rsidRDefault="00AC50E9" w:rsidP="00AA0C97">
            <w:pPr>
              <w:pStyle w:val="Authors"/>
              <w:spacing w:after="0"/>
              <w:rPr>
                <w:vertAlign w:val="superscript"/>
              </w:rPr>
            </w:pPr>
            <w:r w:rsidRPr="008D6FB2">
              <w:rPr>
                <w:vertAlign w:val="superscript"/>
              </w:rPr>
              <w:t>Real Rate of Return %</w:t>
            </w:r>
          </w:p>
        </w:tc>
        <w:tc>
          <w:tcPr>
            <w:tcW w:w="1539" w:type="dxa"/>
            <w:tcBorders>
              <w:top w:val="single" w:sz="4" w:space="0" w:color="auto"/>
              <w:bottom w:val="single" w:sz="4" w:space="0" w:color="auto"/>
            </w:tcBorders>
          </w:tcPr>
          <w:p w14:paraId="2166DBB5" w14:textId="77777777" w:rsidR="00AC50E9" w:rsidRPr="00D12E59" w:rsidRDefault="00AC50E9" w:rsidP="00AA0C97">
            <w:pPr>
              <w:pStyle w:val="Default"/>
              <w:spacing w:after="0"/>
              <w:rPr>
                <w:rFonts w:ascii="Book Antiqua" w:hAnsi="Book Antiqua"/>
                <w:b/>
                <w:bCs/>
                <w:sz w:val="22"/>
                <w:szCs w:val="22"/>
              </w:rPr>
            </w:pPr>
            <w:r w:rsidRPr="00D12E59">
              <w:rPr>
                <w:rFonts w:ascii="Book Antiqua" w:hAnsi="Book Antiqua"/>
                <w:b/>
                <w:bCs/>
                <w:sz w:val="22"/>
                <w:szCs w:val="22"/>
              </w:rPr>
              <w:t>Deviation from Average Return</w:t>
            </w:r>
          </w:p>
        </w:tc>
        <w:tc>
          <w:tcPr>
            <w:tcW w:w="1539" w:type="dxa"/>
            <w:tcBorders>
              <w:top w:val="single" w:sz="4" w:space="0" w:color="auto"/>
              <w:bottom w:val="single" w:sz="4" w:space="0" w:color="auto"/>
            </w:tcBorders>
          </w:tcPr>
          <w:p w14:paraId="02076A8D" w14:textId="77777777" w:rsidR="00AC50E9" w:rsidRPr="00D12E59" w:rsidRDefault="00AC50E9" w:rsidP="00AA0C97">
            <w:pPr>
              <w:pStyle w:val="Default"/>
              <w:spacing w:after="0"/>
              <w:rPr>
                <w:rFonts w:ascii="Book Antiqua" w:hAnsi="Book Antiqua"/>
                <w:b/>
                <w:bCs/>
                <w:sz w:val="22"/>
                <w:szCs w:val="22"/>
              </w:rPr>
            </w:pPr>
            <w:r w:rsidRPr="00D12E59">
              <w:rPr>
                <w:rFonts w:ascii="Book Antiqua" w:hAnsi="Book Antiqua"/>
                <w:b/>
                <w:bCs/>
                <w:sz w:val="22"/>
                <w:szCs w:val="22"/>
              </w:rPr>
              <w:t xml:space="preserve">Squared Deviation </w:t>
            </w:r>
          </w:p>
        </w:tc>
      </w:tr>
      <w:tr w:rsidR="00AC50E9" w:rsidRPr="00D12E59" w14:paraId="66647645" w14:textId="77777777" w:rsidTr="008D6FB2">
        <w:trPr>
          <w:trHeight w:val="388"/>
        </w:trPr>
        <w:tc>
          <w:tcPr>
            <w:tcW w:w="765" w:type="dxa"/>
            <w:tcBorders>
              <w:top w:val="single" w:sz="4" w:space="0" w:color="auto"/>
            </w:tcBorders>
          </w:tcPr>
          <w:p w14:paraId="22B3261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1990 </w:t>
            </w:r>
          </w:p>
        </w:tc>
        <w:tc>
          <w:tcPr>
            <w:tcW w:w="1603" w:type="dxa"/>
            <w:tcBorders>
              <w:top w:val="single" w:sz="4" w:space="0" w:color="auto"/>
            </w:tcBorders>
          </w:tcPr>
          <w:p w14:paraId="4DC81C56"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-29.75 </w:t>
            </w:r>
          </w:p>
        </w:tc>
        <w:tc>
          <w:tcPr>
            <w:tcW w:w="1539" w:type="dxa"/>
            <w:tcBorders>
              <w:top w:val="single" w:sz="4" w:space="0" w:color="auto"/>
            </w:tcBorders>
          </w:tcPr>
          <w:p w14:paraId="10F3F7F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35.9 </w:t>
            </w:r>
          </w:p>
        </w:tc>
        <w:tc>
          <w:tcPr>
            <w:tcW w:w="1539" w:type="dxa"/>
            <w:tcBorders>
              <w:top w:val="single" w:sz="4" w:space="0" w:color="auto"/>
            </w:tcBorders>
          </w:tcPr>
          <w:p w14:paraId="7A7DA290"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-65.65 </w:t>
            </w:r>
          </w:p>
        </w:tc>
        <w:tc>
          <w:tcPr>
            <w:tcW w:w="1539" w:type="dxa"/>
            <w:tcBorders>
              <w:top w:val="single" w:sz="4" w:space="0" w:color="auto"/>
            </w:tcBorders>
          </w:tcPr>
          <w:p w14:paraId="40D25F9B"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62.29571429 </w:t>
            </w:r>
          </w:p>
        </w:tc>
        <w:tc>
          <w:tcPr>
            <w:tcW w:w="1539" w:type="dxa"/>
            <w:tcBorders>
              <w:top w:val="single" w:sz="4" w:space="0" w:color="auto"/>
            </w:tcBorders>
          </w:tcPr>
          <w:p w14:paraId="61AA895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3880.756018 </w:t>
            </w:r>
          </w:p>
        </w:tc>
      </w:tr>
      <w:tr w:rsidR="00AC50E9" w:rsidRPr="00D12E59" w14:paraId="2BBDB4F5" w14:textId="77777777" w:rsidTr="008D6FB2">
        <w:trPr>
          <w:trHeight w:val="388"/>
        </w:trPr>
        <w:tc>
          <w:tcPr>
            <w:tcW w:w="765" w:type="dxa"/>
          </w:tcPr>
          <w:p w14:paraId="371A2BD4"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1991 </w:t>
            </w:r>
          </w:p>
        </w:tc>
        <w:tc>
          <w:tcPr>
            <w:tcW w:w="1603" w:type="dxa"/>
          </w:tcPr>
          <w:p w14:paraId="02103A0A"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-8.18 </w:t>
            </w:r>
          </w:p>
        </w:tc>
        <w:tc>
          <w:tcPr>
            <w:tcW w:w="1539" w:type="dxa"/>
          </w:tcPr>
          <w:p w14:paraId="438F32D3"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10.3 </w:t>
            </w:r>
          </w:p>
        </w:tc>
        <w:tc>
          <w:tcPr>
            <w:tcW w:w="1539" w:type="dxa"/>
          </w:tcPr>
          <w:p w14:paraId="679DB466"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-18.48 </w:t>
            </w:r>
          </w:p>
        </w:tc>
        <w:tc>
          <w:tcPr>
            <w:tcW w:w="1539" w:type="dxa"/>
          </w:tcPr>
          <w:p w14:paraId="281EA58B"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40.72571429 </w:t>
            </w:r>
          </w:p>
        </w:tc>
        <w:tc>
          <w:tcPr>
            <w:tcW w:w="1539" w:type="dxa"/>
          </w:tcPr>
          <w:p w14:paraId="3AC17BF8"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1658.583804 </w:t>
            </w:r>
          </w:p>
        </w:tc>
      </w:tr>
      <w:tr w:rsidR="00AC50E9" w:rsidRPr="00D12E59" w14:paraId="006BACB8" w14:textId="77777777" w:rsidTr="008D6FB2">
        <w:trPr>
          <w:trHeight w:val="388"/>
        </w:trPr>
        <w:tc>
          <w:tcPr>
            <w:tcW w:w="765" w:type="dxa"/>
          </w:tcPr>
          <w:p w14:paraId="27D3E902"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1992 </w:t>
            </w:r>
          </w:p>
        </w:tc>
        <w:tc>
          <w:tcPr>
            <w:tcW w:w="1603" w:type="dxa"/>
          </w:tcPr>
          <w:p w14:paraId="079EA894"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-3.62 </w:t>
            </w:r>
          </w:p>
        </w:tc>
        <w:tc>
          <w:tcPr>
            <w:tcW w:w="1539" w:type="dxa"/>
          </w:tcPr>
          <w:p w14:paraId="6CB5E7B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13.3 </w:t>
            </w:r>
          </w:p>
        </w:tc>
        <w:tc>
          <w:tcPr>
            <w:tcW w:w="1539" w:type="dxa"/>
          </w:tcPr>
          <w:p w14:paraId="198843C9"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-16.92 </w:t>
            </w:r>
          </w:p>
        </w:tc>
        <w:tc>
          <w:tcPr>
            <w:tcW w:w="1539" w:type="dxa"/>
          </w:tcPr>
          <w:p w14:paraId="1B9D2EE5"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36.16571429 </w:t>
            </w:r>
          </w:p>
        </w:tc>
        <w:tc>
          <w:tcPr>
            <w:tcW w:w="1539" w:type="dxa"/>
          </w:tcPr>
          <w:p w14:paraId="781CB57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1307.95889 </w:t>
            </w:r>
          </w:p>
        </w:tc>
      </w:tr>
      <w:tr w:rsidR="00AC50E9" w:rsidRPr="00D12E59" w14:paraId="3040B945" w14:textId="77777777" w:rsidTr="008D6FB2">
        <w:trPr>
          <w:trHeight w:val="388"/>
        </w:trPr>
        <w:tc>
          <w:tcPr>
            <w:tcW w:w="765" w:type="dxa"/>
          </w:tcPr>
          <w:p w14:paraId="3DCDD1C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1993 </w:t>
            </w:r>
          </w:p>
        </w:tc>
        <w:tc>
          <w:tcPr>
            <w:tcW w:w="1603" w:type="dxa"/>
          </w:tcPr>
          <w:p w14:paraId="1BF4BAD3"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113.73 </w:t>
            </w:r>
          </w:p>
        </w:tc>
        <w:tc>
          <w:tcPr>
            <w:tcW w:w="1539" w:type="dxa"/>
          </w:tcPr>
          <w:p w14:paraId="16AFEA33"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27.7 </w:t>
            </w:r>
          </w:p>
        </w:tc>
        <w:tc>
          <w:tcPr>
            <w:tcW w:w="1539" w:type="dxa"/>
          </w:tcPr>
          <w:p w14:paraId="75B86D2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86.03 </w:t>
            </w:r>
          </w:p>
        </w:tc>
        <w:tc>
          <w:tcPr>
            <w:tcW w:w="1539" w:type="dxa"/>
          </w:tcPr>
          <w:p w14:paraId="3F4188E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81.18428571 </w:t>
            </w:r>
          </w:p>
        </w:tc>
        <w:tc>
          <w:tcPr>
            <w:tcW w:w="1539" w:type="dxa"/>
          </w:tcPr>
          <w:p w14:paraId="502ED8D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6590.888247 </w:t>
            </w:r>
          </w:p>
        </w:tc>
      </w:tr>
      <w:tr w:rsidR="00AC50E9" w:rsidRPr="00D12E59" w14:paraId="2E59F56B" w14:textId="77777777" w:rsidTr="008D6FB2">
        <w:trPr>
          <w:trHeight w:val="388"/>
        </w:trPr>
        <w:tc>
          <w:tcPr>
            <w:tcW w:w="765" w:type="dxa"/>
          </w:tcPr>
          <w:p w14:paraId="3E1062C2"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1994 </w:t>
            </w:r>
          </w:p>
        </w:tc>
        <w:tc>
          <w:tcPr>
            <w:tcW w:w="1603" w:type="dxa"/>
          </w:tcPr>
          <w:p w14:paraId="15A98C63"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124.35 </w:t>
            </w:r>
          </w:p>
        </w:tc>
        <w:tc>
          <w:tcPr>
            <w:tcW w:w="1539" w:type="dxa"/>
          </w:tcPr>
          <w:p w14:paraId="247B78A0"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34.2 </w:t>
            </w:r>
          </w:p>
        </w:tc>
        <w:tc>
          <w:tcPr>
            <w:tcW w:w="1539" w:type="dxa"/>
          </w:tcPr>
          <w:p w14:paraId="2FCF509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90.15 </w:t>
            </w:r>
          </w:p>
        </w:tc>
        <w:tc>
          <w:tcPr>
            <w:tcW w:w="1539" w:type="dxa"/>
          </w:tcPr>
          <w:p w14:paraId="3F54839B"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91.80428571 </w:t>
            </w:r>
          </w:p>
        </w:tc>
        <w:tc>
          <w:tcPr>
            <w:tcW w:w="1539" w:type="dxa"/>
          </w:tcPr>
          <w:p w14:paraId="2849B2B8"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8428.026876 </w:t>
            </w:r>
          </w:p>
        </w:tc>
      </w:tr>
      <w:tr w:rsidR="00AC50E9" w:rsidRPr="00D12E59" w14:paraId="23A420E8" w14:textId="77777777" w:rsidTr="008D6FB2">
        <w:trPr>
          <w:trHeight w:val="388"/>
        </w:trPr>
        <w:tc>
          <w:tcPr>
            <w:tcW w:w="765" w:type="dxa"/>
          </w:tcPr>
          <w:p w14:paraId="4C28C2AB"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1995 </w:t>
            </w:r>
          </w:p>
        </w:tc>
        <w:tc>
          <w:tcPr>
            <w:tcW w:w="1603" w:type="dxa"/>
          </w:tcPr>
          <w:p w14:paraId="52C0E7D2"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6.33 </w:t>
            </w:r>
          </w:p>
        </w:tc>
        <w:tc>
          <w:tcPr>
            <w:tcW w:w="1539" w:type="dxa"/>
          </w:tcPr>
          <w:p w14:paraId="4D8A4AFD"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70.8 </w:t>
            </w:r>
          </w:p>
        </w:tc>
        <w:tc>
          <w:tcPr>
            <w:tcW w:w="1539" w:type="dxa"/>
          </w:tcPr>
          <w:p w14:paraId="4D6BB4B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-64.47 </w:t>
            </w:r>
          </w:p>
        </w:tc>
        <w:tc>
          <w:tcPr>
            <w:tcW w:w="1539" w:type="dxa"/>
          </w:tcPr>
          <w:p w14:paraId="38016E8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26.21571429 </w:t>
            </w:r>
          </w:p>
        </w:tc>
        <w:tc>
          <w:tcPr>
            <w:tcW w:w="1539" w:type="dxa"/>
          </w:tcPr>
          <w:p w14:paraId="29FB2AC2"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687.2636755 </w:t>
            </w:r>
          </w:p>
        </w:tc>
      </w:tr>
      <w:tr w:rsidR="00AC50E9" w:rsidRPr="00D12E59" w14:paraId="163D0FD1" w14:textId="77777777" w:rsidTr="008D6FB2">
        <w:trPr>
          <w:trHeight w:val="388"/>
        </w:trPr>
        <w:tc>
          <w:tcPr>
            <w:tcW w:w="765" w:type="dxa"/>
          </w:tcPr>
          <w:p w14:paraId="6A8F223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1996 </w:t>
            </w:r>
          </w:p>
        </w:tc>
        <w:tc>
          <w:tcPr>
            <w:tcW w:w="1603" w:type="dxa"/>
          </w:tcPr>
          <w:p w14:paraId="1021AD0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13.82 </w:t>
            </w:r>
          </w:p>
        </w:tc>
        <w:tc>
          <w:tcPr>
            <w:tcW w:w="1539" w:type="dxa"/>
          </w:tcPr>
          <w:p w14:paraId="76F856E2"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32.7 </w:t>
            </w:r>
          </w:p>
        </w:tc>
        <w:tc>
          <w:tcPr>
            <w:tcW w:w="1539" w:type="dxa"/>
          </w:tcPr>
          <w:p w14:paraId="302A1EC7"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-18.88 </w:t>
            </w:r>
          </w:p>
        </w:tc>
        <w:tc>
          <w:tcPr>
            <w:tcW w:w="1539" w:type="dxa"/>
          </w:tcPr>
          <w:p w14:paraId="5AEB89BD"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18.72571429 </w:t>
            </w:r>
          </w:p>
        </w:tc>
        <w:tc>
          <w:tcPr>
            <w:tcW w:w="1539" w:type="dxa"/>
          </w:tcPr>
          <w:p w14:paraId="19100283"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350.6523755 </w:t>
            </w:r>
          </w:p>
        </w:tc>
      </w:tr>
      <w:tr w:rsidR="00AC50E9" w:rsidRPr="00D12E59" w14:paraId="34B56A08" w14:textId="77777777" w:rsidTr="008D6FB2">
        <w:trPr>
          <w:trHeight w:val="388"/>
        </w:trPr>
        <w:tc>
          <w:tcPr>
            <w:tcW w:w="765" w:type="dxa"/>
          </w:tcPr>
          <w:p w14:paraId="3F948F8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1997 </w:t>
            </w:r>
          </w:p>
        </w:tc>
        <w:tc>
          <w:tcPr>
            <w:tcW w:w="1603" w:type="dxa"/>
          </w:tcPr>
          <w:p w14:paraId="4154112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41.85 </w:t>
            </w:r>
          </w:p>
        </w:tc>
        <w:tc>
          <w:tcPr>
            <w:tcW w:w="1539" w:type="dxa"/>
          </w:tcPr>
          <w:p w14:paraId="5121F0F6"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20.5 </w:t>
            </w:r>
          </w:p>
        </w:tc>
        <w:tc>
          <w:tcPr>
            <w:tcW w:w="1539" w:type="dxa"/>
          </w:tcPr>
          <w:p w14:paraId="1E25DC45"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21.35 </w:t>
            </w:r>
          </w:p>
        </w:tc>
        <w:tc>
          <w:tcPr>
            <w:tcW w:w="1539" w:type="dxa"/>
          </w:tcPr>
          <w:p w14:paraId="2D8000C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9.304285714 </w:t>
            </w:r>
          </w:p>
        </w:tc>
        <w:tc>
          <w:tcPr>
            <w:tcW w:w="1539" w:type="dxa"/>
          </w:tcPr>
          <w:p w14:paraId="22ABD274"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86.56973265 </w:t>
            </w:r>
          </w:p>
        </w:tc>
      </w:tr>
      <w:tr w:rsidR="00AC50E9" w:rsidRPr="00D12E59" w14:paraId="0721FBE2" w14:textId="77777777" w:rsidTr="008D6FB2">
        <w:trPr>
          <w:trHeight w:val="388"/>
        </w:trPr>
        <w:tc>
          <w:tcPr>
            <w:tcW w:w="765" w:type="dxa"/>
          </w:tcPr>
          <w:p w14:paraId="2EB19018"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1998 </w:t>
            </w:r>
          </w:p>
        </w:tc>
        <w:tc>
          <w:tcPr>
            <w:tcW w:w="1603" w:type="dxa"/>
          </w:tcPr>
          <w:p w14:paraId="6CF1C4BA"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69.69 </w:t>
            </w:r>
          </w:p>
        </w:tc>
        <w:tc>
          <w:tcPr>
            <w:tcW w:w="1539" w:type="dxa"/>
          </w:tcPr>
          <w:p w14:paraId="121515E0"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15.7 </w:t>
            </w:r>
          </w:p>
        </w:tc>
        <w:tc>
          <w:tcPr>
            <w:tcW w:w="1539" w:type="dxa"/>
          </w:tcPr>
          <w:p w14:paraId="4DF4E10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53.99 </w:t>
            </w:r>
          </w:p>
        </w:tc>
        <w:tc>
          <w:tcPr>
            <w:tcW w:w="1539" w:type="dxa"/>
          </w:tcPr>
          <w:p w14:paraId="466AB625"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37.14428571 </w:t>
            </w:r>
          </w:p>
        </w:tc>
        <w:tc>
          <w:tcPr>
            <w:tcW w:w="1539" w:type="dxa"/>
          </w:tcPr>
          <w:p w14:paraId="06DA7E0A"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1379.697961 </w:t>
            </w:r>
          </w:p>
        </w:tc>
      </w:tr>
      <w:tr w:rsidR="00AC50E9" w:rsidRPr="00D12E59" w14:paraId="4EDD3EDB" w14:textId="77777777" w:rsidTr="008D6FB2">
        <w:trPr>
          <w:trHeight w:val="388"/>
        </w:trPr>
        <w:tc>
          <w:tcPr>
            <w:tcW w:w="765" w:type="dxa"/>
          </w:tcPr>
          <w:p w14:paraId="3DC8D40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1999 </w:t>
            </w:r>
          </w:p>
        </w:tc>
        <w:tc>
          <w:tcPr>
            <w:tcW w:w="1603" w:type="dxa"/>
          </w:tcPr>
          <w:p w14:paraId="5C7C1DD0"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-15.22 </w:t>
            </w:r>
          </w:p>
        </w:tc>
        <w:tc>
          <w:tcPr>
            <w:tcW w:w="1539" w:type="dxa"/>
          </w:tcPr>
          <w:p w14:paraId="209090A7"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13.8 </w:t>
            </w:r>
          </w:p>
        </w:tc>
        <w:tc>
          <w:tcPr>
            <w:tcW w:w="1539" w:type="dxa"/>
          </w:tcPr>
          <w:p w14:paraId="650A1335"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-29.02 </w:t>
            </w:r>
          </w:p>
        </w:tc>
        <w:tc>
          <w:tcPr>
            <w:tcW w:w="1539" w:type="dxa"/>
          </w:tcPr>
          <w:p w14:paraId="4E8FCF77"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47.76571429 </w:t>
            </w:r>
          </w:p>
        </w:tc>
        <w:tc>
          <w:tcPr>
            <w:tcW w:w="1539" w:type="dxa"/>
          </w:tcPr>
          <w:p w14:paraId="7E16E1B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2281.563461 </w:t>
            </w:r>
          </w:p>
        </w:tc>
      </w:tr>
      <w:tr w:rsidR="00AC50E9" w:rsidRPr="00D12E59" w14:paraId="50B464E9" w14:textId="77777777" w:rsidTr="008D6FB2">
        <w:trPr>
          <w:trHeight w:val="388"/>
        </w:trPr>
        <w:tc>
          <w:tcPr>
            <w:tcW w:w="765" w:type="dxa"/>
          </w:tcPr>
          <w:p w14:paraId="18C145A2"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2000 </w:t>
            </w:r>
          </w:p>
        </w:tc>
        <w:tc>
          <w:tcPr>
            <w:tcW w:w="1603" w:type="dxa"/>
          </w:tcPr>
          <w:p w14:paraId="499904C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16.55 </w:t>
            </w:r>
          </w:p>
        </w:tc>
        <w:tc>
          <w:tcPr>
            <w:tcW w:w="1539" w:type="dxa"/>
          </w:tcPr>
          <w:p w14:paraId="0E5A527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40.5 </w:t>
            </w:r>
          </w:p>
        </w:tc>
        <w:tc>
          <w:tcPr>
            <w:tcW w:w="1539" w:type="dxa"/>
          </w:tcPr>
          <w:p w14:paraId="3A197957"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-23.95 </w:t>
            </w:r>
          </w:p>
        </w:tc>
        <w:tc>
          <w:tcPr>
            <w:tcW w:w="1539" w:type="dxa"/>
          </w:tcPr>
          <w:p w14:paraId="7E50D299"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15.99571429 </w:t>
            </w:r>
          </w:p>
        </w:tc>
        <w:tc>
          <w:tcPr>
            <w:tcW w:w="1539" w:type="dxa"/>
          </w:tcPr>
          <w:p w14:paraId="7DAC292B"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255.8628755 </w:t>
            </w:r>
          </w:p>
        </w:tc>
      </w:tr>
      <w:tr w:rsidR="00AC50E9" w:rsidRPr="00D12E59" w14:paraId="6EA10748" w14:textId="77777777" w:rsidTr="008D6FB2">
        <w:trPr>
          <w:trHeight w:val="388"/>
        </w:trPr>
        <w:tc>
          <w:tcPr>
            <w:tcW w:w="765" w:type="dxa"/>
          </w:tcPr>
          <w:p w14:paraId="33901616"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2001 </w:t>
            </w:r>
          </w:p>
        </w:tc>
        <w:tc>
          <w:tcPr>
            <w:tcW w:w="1603" w:type="dxa"/>
          </w:tcPr>
          <w:p w14:paraId="39AC22D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11.42 </w:t>
            </w:r>
          </w:p>
        </w:tc>
        <w:tc>
          <w:tcPr>
            <w:tcW w:w="1539" w:type="dxa"/>
          </w:tcPr>
          <w:p w14:paraId="1BC215B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21.3 </w:t>
            </w:r>
          </w:p>
        </w:tc>
        <w:tc>
          <w:tcPr>
            <w:tcW w:w="1539" w:type="dxa"/>
          </w:tcPr>
          <w:p w14:paraId="7FC88F88"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-9.88 </w:t>
            </w:r>
          </w:p>
        </w:tc>
        <w:tc>
          <w:tcPr>
            <w:tcW w:w="1539" w:type="dxa"/>
          </w:tcPr>
          <w:p w14:paraId="4C374420"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21.12571429 </w:t>
            </w:r>
          </w:p>
        </w:tc>
        <w:tc>
          <w:tcPr>
            <w:tcW w:w="1539" w:type="dxa"/>
          </w:tcPr>
          <w:p w14:paraId="7F3D52D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446.2958041 </w:t>
            </w:r>
          </w:p>
        </w:tc>
      </w:tr>
      <w:tr w:rsidR="00AC50E9" w:rsidRPr="00D12E59" w14:paraId="1FB4D5AE" w14:textId="77777777" w:rsidTr="008D6FB2">
        <w:trPr>
          <w:trHeight w:val="388"/>
        </w:trPr>
        <w:tc>
          <w:tcPr>
            <w:tcW w:w="765" w:type="dxa"/>
          </w:tcPr>
          <w:p w14:paraId="32A14014"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2002 </w:t>
            </w:r>
          </w:p>
        </w:tc>
        <w:tc>
          <w:tcPr>
            <w:tcW w:w="1603" w:type="dxa"/>
          </w:tcPr>
          <w:p w14:paraId="6F2420E5"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45.96 </w:t>
            </w:r>
          </w:p>
        </w:tc>
        <w:tc>
          <w:tcPr>
            <w:tcW w:w="1539" w:type="dxa"/>
          </w:tcPr>
          <w:p w14:paraId="580EE508"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17 </w:t>
            </w:r>
          </w:p>
        </w:tc>
        <w:tc>
          <w:tcPr>
            <w:tcW w:w="1539" w:type="dxa"/>
          </w:tcPr>
          <w:p w14:paraId="4E7536DA"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28.96 </w:t>
            </w:r>
          </w:p>
        </w:tc>
        <w:tc>
          <w:tcPr>
            <w:tcW w:w="1539" w:type="dxa"/>
          </w:tcPr>
          <w:p w14:paraId="01C625F6"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13.41428571 </w:t>
            </w:r>
          </w:p>
        </w:tc>
        <w:tc>
          <w:tcPr>
            <w:tcW w:w="1539" w:type="dxa"/>
          </w:tcPr>
          <w:p w14:paraId="29AAFCE6"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179.9430612 </w:t>
            </w:r>
          </w:p>
        </w:tc>
      </w:tr>
      <w:tr w:rsidR="00AC50E9" w:rsidRPr="00D12E59" w14:paraId="10CD3567" w14:textId="77777777" w:rsidTr="008D6FB2">
        <w:trPr>
          <w:trHeight w:val="388"/>
        </w:trPr>
        <w:tc>
          <w:tcPr>
            <w:tcW w:w="765" w:type="dxa"/>
          </w:tcPr>
          <w:p w14:paraId="777641A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2003 </w:t>
            </w:r>
          </w:p>
        </w:tc>
        <w:tc>
          <w:tcPr>
            <w:tcW w:w="1603" w:type="dxa"/>
          </w:tcPr>
          <w:p w14:paraId="0EC2CFBD"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154.67 </w:t>
            </w:r>
          </w:p>
        </w:tc>
        <w:tc>
          <w:tcPr>
            <w:tcW w:w="1539" w:type="dxa"/>
          </w:tcPr>
          <w:p w14:paraId="62A82E32"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31.3 </w:t>
            </w:r>
          </w:p>
        </w:tc>
        <w:tc>
          <w:tcPr>
            <w:tcW w:w="1539" w:type="dxa"/>
          </w:tcPr>
          <w:p w14:paraId="69011844"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123.37 </w:t>
            </w:r>
          </w:p>
        </w:tc>
        <w:tc>
          <w:tcPr>
            <w:tcW w:w="1539" w:type="dxa"/>
          </w:tcPr>
          <w:p w14:paraId="6A0CDC5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122.1242857 </w:t>
            </w:r>
          </w:p>
        </w:tc>
        <w:tc>
          <w:tcPr>
            <w:tcW w:w="1539" w:type="dxa"/>
          </w:tcPr>
          <w:p w14:paraId="0A6CF3A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14914.34116 </w:t>
            </w:r>
          </w:p>
        </w:tc>
      </w:tr>
      <w:tr w:rsidR="00AC50E9" w:rsidRPr="00D12E59" w14:paraId="706F9E16" w14:textId="77777777" w:rsidTr="008D6FB2">
        <w:trPr>
          <w:trHeight w:val="388"/>
        </w:trPr>
        <w:tc>
          <w:tcPr>
            <w:tcW w:w="765" w:type="dxa"/>
          </w:tcPr>
          <w:p w14:paraId="2B86661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2004 </w:t>
            </w:r>
          </w:p>
        </w:tc>
        <w:tc>
          <w:tcPr>
            <w:tcW w:w="1603" w:type="dxa"/>
          </w:tcPr>
          <w:p w14:paraId="5E06761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91.33 </w:t>
            </w:r>
          </w:p>
        </w:tc>
        <w:tc>
          <w:tcPr>
            <w:tcW w:w="1539" w:type="dxa"/>
          </w:tcPr>
          <w:p w14:paraId="38EE0B8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16.4 </w:t>
            </w:r>
          </w:p>
        </w:tc>
        <w:tc>
          <w:tcPr>
            <w:tcW w:w="1539" w:type="dxa"/>
          </w:tcPr>
          <w:p w14:paraId="1F3C2CF5"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74.93 </w:t>
            </w:r>
          </w:p>
        </w:tc>
        <w:tc>
          <w:tcPr>
            <w:tcW w:w="1539" w:type="dxa"/>
          </w:tcPr>
          <w:p w14:paraId="6295655B"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58.78428571 </w:t>
            </w:r>
          </w:p>
        </w:tc>
        <w:tc>
          <w:tcPr>
            <w:tcW w:w="1539" w:type="dxa"/>
          </w:tcPr>
          <w:p w14:paraId="185E304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3455.592247 </w:t>
            </w:r>
          </w:p>
        </w:tc>
      </w:tr>
      <w:tr w:rsidR="00AC50E9" w:rsidRPr="00D12E59" w14:paraId="493F1866" w14:textId="77777777" w:rsidTr="008D6FB2">
        <w:trPr>
          <w:trHeight w:val="388"/>
        </w:trPr>
        <w:tc>
          <w:tcPr>
            <w:tcW w:w="765" w:type="dxa"/>
          </w:tcPr>
          <w:p w14:paraId="0510A0F7"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2005 </w:t>
            </w:r>
          </w:p>
        </w:tc>
        <w:tc>
          <w:tcPr>
            <w:tcW w:w="1603" w:type="dxa"/>
          </w:tcPr>
          <w:p w14:paraId="69FBD7A7"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-29.72 </w:t>
            </w:r>
          </w:p>
        </w:tc>
        <w:tc>
          <w:tcPr>
            <w:tcW w:w="1539" w:type="dxa"/>
          </w:tcPr>
          <w:p w14:paraId="7D8D1D25"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13.9 </w:t>
            </w:r>
          </w:p>
        </w:tc>
        <w:tc>
          <w:tcPr>
            <w:tcW w:w="1539" w:type="dxa"/>
          </w:tcPr>
          <w:p w14:paraId="29A421D5"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-43.62 </w:t>
            </w:r>
          </w:p>
        </w:tc>
        <w:tc>
          <w:tcPr>
            <w:tcW w:w="1539" w:type="dxa"/>
          </w:tcPr>
          <w:p w14:paraId="18B2B8E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62.26571429 </w:t>
            </w:r>
          </w:p>
        </w:tc>
        <w:tc>
          <w:tcPr>
            <w:tcW w:w="1539" w:type="dxa"/>
          </w:tcPr>
          <w:p w14:paraId="1B6D400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3877.019176 </w:t>
            </w:r>
          </w:p>
        </w:tc>
      </w:tr>
      <w:tr w:rsidR="00AC50E9" w:rsidRPr="00D12E59" w14:paraId="7CA95F11" w14:textId="77777777" w:rsidTr="008D6FB2">
        <w:trPr>
          <w:trHeight w:val="388"/>
        </w:trPr>
        <w:tc>
          <w:tcPr>
            <w:tcW w:w="765" w:type="dxa"/>
          </w:tcPr>
          <w:p w14:paraId="1497ED8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2006 </w:t>
            </w:r>
          </w:p>
        </w:tc>
        <w:tc>
          <w:tcPr>
            <w:tcW w:w="1603" w:type="dxa"/>
          </w:tcPr>
          <w:p w14:paraId="238114AA"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5.21 </w:t>
            </w:r>
          </w:p>
        </w:tc>
        <w:tc>
          <w:tcPr>
            <w:tcW w:w="1539" w:type="dxa"/>
          </w:tcPr>
          <w:p w14:paraId="2A027A74"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10.9 </w:t>
            </w:r>
          </w:p>
        </w:tc>
        <w:tc>
          <w:tcPr>
            <w:tcW w:w="1539" w:type="dxa"/>
          </w:tcPr>
          <w:p w14:paraId="3C206C90"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-5.69 </w:t>
            </w:r>
          </w:p>
        </w:tc>
        <w:tc>
          <w:tcPr>
            <w:tcW w:w="1539" w:type="dxa"/>
          </w:tcPr>
          <w:p w14:paraId="42F1A189"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27.33571429 </w:t>
            </w:r>
          </w:p>
        </w:tc>
        <w:tc>
          <w:tcPr>
            <w:tcW w:w="1539" w:type="dxa"/>
          </w:tcPr>
          <w:p w14:paraId="4ACEDAB6"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747.2412755 </w:t>
            </w:r>
          </w:p>
        </w:tc>
      </w:tr>
      <w:tr w:rsidR="00AC50E9" w:rsidRPr="00D12E59" w14:paraId="23BBF9F4" w14:textId="77777777" w:rsidTr="008D6FB2">
        <w:trPr>
          <w:trHeight w:val="388"/>
        </w:trPr>
        <w:tc>
          <w:tcPr>
            <w:tcW w:w="765" w:type="dxa"/>
          </w:tcPr>
          <w:p w14:paraId="08B0FF0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2007 </w:t>
            </w:r>
          </w:p>
        </w:tc>
        <w:tc>
          <w:tcPr>
            <w:tcW w:w="1603" w:type="dxa"/>
          </w:tcPr>
          <w:p w14:paraId="09352A2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31.21 </w:t>
            </w:r>
          </w:p>
        </w:tc>
        <w:tc>
          <w:tcPr>
            <w:tcW w:w="1539" w:type="dxa"/>
          </w:tcPr>
          <w:p w14:paraId="579FF0BD"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12.7 </w:t>
            </w:r>
          </w:p>
        </w:tc>
        <w:tc>
          <w:tcPr>
            <w:tcW w:w="1539" w:type="dxa"/>
          </w:tcPr>
          <w:p w14:paraId="2DE36E2F"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18.51 </w:t>
            </w:r>
          </w:p>
        </w:tc>
        <w:tc>
          <w:tcPr>
            <w:tcW w:w="1539" w:type="dxa"/>
          </w:tcPr>
          <w:p w14:paraId="0906CDA8"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1.335714286 </w:t>
            </w:r>
          </w:p>
        </w:tc>
        <w:tc>
          <w:tcPr>
            <w:tcW w:w="1539" w:type="dxa"/>
          </w:tcPr>
          <w:p w14:paraId="650C4B92"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1.784132653 </w:t>
            </w:r>
          </w:p>
        </w:tc>
      </w:tr>
      <w:tr w:rsidR="00AC50E9" w:rsidRPr="00D12E59" w14:paraId="1F95C7BB" w14:textId="77777777" w:rsidTr="008D6FB2">
        <w:trPr>
          <w:trHeight w:val="388"/>
        </w:trPr>
        <w:tc>
          <w:tcPr>
            <w:tcW w:w="765" w:type="dxa"/>
          </w:tcPr>
          <w:p w14:paraId="7D70DE47"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2008 </w:t>
            </w:r>
          </w:p>
        </w:tc>
        <w:tc>
          <w:tcPr>
            <w:tcW w:w="1603" w:type="dxa"/>
          </w:tcPr>
          <w:p w14:paraId="6E0C456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58.16 </w:t>
            </w:r>
          </w:p>
        </w:tc>
        <w:tc>
          <w:tcPr>
            <w:tcW w:w="1539" w:type="dxa"/>
          </w:tcPr>
          <w:p w14:paraId="67D03558"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18.1 </w:t>
            </w:r>
          </w:p>
        </w:tc>
        <w:tc>
          <w:tcPr>
            <w:tcW w:w="1539" w:type="dxa"/>
          </w:tcPr>
          <w:p w14:paraId="399B6D93"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40.06 </w:t>
            </w:r>
          </w:p>
        </w:tc>
        <w:tc>
          <w:tcPr>
            <w:tcW w:w="1539" w:type="dxa"/>
          </w:tcPr>
          <w:p w14:paraId="1AC77CD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25.61428571 </w:t>
            </w:r>
          </w:p>
        </w:tc>
        <w:tc>
          <w:tcPr>
            <w:tcW w:w="1539" w:type="dxa"/>
          </w:tcPr>
          <w:p w14:paraId="720E09AB"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656.0916327 </w:t>
            </w:r>
          </w:p>
        </w:tc>
      </w:tr>
      <w:tr w:rsidR="00AC50E9" w:rsidRPr="00D12E59" w14:paraId="5650C9BD" w14:textId="77777777" w:rsidTr="008D6FB2">
        <w:trPr>
          <w:trHeight w:val="388"/>
        </w:trPr>
        <w:tc>
          <w:tcPr>
            <w:tcW w:w="765" w:type="dxa"/>
          </w:tcPr>
          <w:p w14:paraId="501C05E8"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2009 </w:t>
            </w:r>
          </w:p>
        </w:tc>
        <w:tc>
          <w:tcPr>
            <w:tcW w:w="1603" w:type="dxa"/>
          </w:tcPr>
          <w:p w14:paraId="5E1B7F3A"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-46.58 </w:t>
            </w:r>
          </w:p>
        </w:tc>
        <w:tc>
          <w:tcPr>
            <w:tcW w:w="1539" w:type="dxa"/>
          </w:tcPr>
          <w:p w14:paraId="5FECCE20"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16 </w:t>
            </w:r>
          </w:p>
        </w:tc>
        <w:tc>
          <w:tcPr>
            <w:tcW w:w="1539" w:type="dxa"/>
          </w:tcPr>
          <w:p w14:paraId="1AAC9DB5"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-62.58 </w:t>
            </w:r>
          </w:p>
        </w:tc>
        <w:tc>
          <w:tcPr>
            <w:tcW w:w="1539" w:type="dxa"/>
          </w:tcPr>
          <w:p w14:paraId="6B2AFACC"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79.12571429 </w:t>
            </w:r>
          </w:p>
        </w:tc>
        <w:tc>
          <w:tcPr>
            <w:tcW w:w="1539" w:type="dxa"/>
          </w:tcPr>
          <w:p w14:paraId="6AE46057"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6260.878661 </w:t>
            </w:r>
          </w:p>
        </w:tc>
      </w:tr>
      <w:tr w:rsidR="00AC50E9" w:rsidRPr="00D12E59" w14:paraId="02A7E066" w14:textId="77777777" w:rsidTr="008D6FB2">
        <w:trPr>
          <w:trHeight w:val="388"/>
        </w:trPr>
        <w:tc>
          <w:tcPr>
            <w:tcW w:w="765" w:type="dxa"/>
            <w:tcBorders>
              <w:bottom w:val="single" w:sz="4" w:space="0" w:color="auto"/>
            </w:tcBorders>
          </w:tcPr>
          <w:p w14:paraId="7458334B"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2010 </w:t>
            </w:r>
          </w:p>
        </w:tc>
        <w:tc>
          <w:tcPr>
            <w:tcW w:w="1603" w:type="dxa"/>
            <w:tcBorders>
              <w:bottom w:val="single" w:sz="4" w:space="0" w:color="auto"/>
            </w:tcBorders>
          </w:tcPr>
          <w:p w14:paraId="76B4CA11"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32.25 </w:t>
            </w:r>
          </w:p>
        </w:tc>
        <w:tc>
          <w:tcPr>
            <w:tcW w:w="1539" w:type="dxa"/>
            <w:tcBorders>
              <w:bottom w:val="single" w:sz="4" w:space="0" w:color="auto"/>
            </w:tcBorders>
          </w:tcPr>
          <w:p w14:paraId="10B8D7E7"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8.58 </w:t>
            </w:r>
          </w:p>
        </w:tc>
        <w:tc>
          <w:tcPr>
            <w:tcW w:w="1539" w:type="dxa"/>
            <w:tcBorders>
              <w:bottom w:val="single" w:sz="4" w:space="0" w:color="auto"/>
            </w:tcBorders>
          </w:tcPr>
          <w:p w14:paraId="1E3F77C9"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23.67 </w:t>
            </w:r>
          </w:p>
        </w:tc>
        <w:tc>
          <w:tcPr>
            <w:tcW w:w="1539" w:type="dxa"/>
            <w:tcBorders>
              <w:bottom w:val="single" w:sz="4" w:space="0" w:color="auto"/>
            </w:tcBorders>
          </w:tcPr>
          <w:p w14:paraId="03E31CB6"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0.295714286 </w:t>
            </w:r>
          </w:p>
        </w:tc>
        <w:tc>
          <w:tcPr>
            <w:tcW w:w="1539" w:type="dxa"/>
            <w:tcBorders>
              <w:bottom w:val="single" w:sz="4" w:space="0" w:color="auto"/>
            </w:tcBorders>
          </w:tcPr>
          <w:p w14:paraId="3AD1188E" w14:textId="77777777" w:rsidR="00AC50E9" w:rsidRPr="00D12E59" w:rsidRDefault="00AC50E9" w:rsidP="00AA0C97">
            <w:pPr>
              <w:pStyle w:val="Default"/>
              <w:spacing w:after="0"/>
              <w:rPr>
                <w:rFonts w:ascii="Book Antiqua" w:hAnsi="Book Antiqua"/>
                <w:sz w:val="22"/>
                <w:szCs w:val="22"/>
              </w:rPr>
            </w:pPr>
            <w:r w:rsidRPr="00D12E59">
              <w:rPr>
                <w:rFonts w:ascii="Book Antiqua" w:hAnsi="Book Antiqua"/>
                <w:sz w:val="22"/>
                <w:szCs w:val="22"/>
              </w:rPr>
              <w:t xml:space="preserve">0.087446939 </w:t>
            </w:r>
          </w:p>
        </w:tc>
      </w:tr>
    </w:tbl>
    <w:p w14:paraId="7D58503D" w14:textId="77777777" w:rsidR="00F9157C" w:rsidRDefault="00F9157C" w:rsidP="00AA0C97">
      <w:pPr>
        <w:pStyle w:val="Default"/>
        <w:spacing w:after="0"/>
        <w:rPr>
          <w:rFonts w:ascii="Book Antiqua" w:hAnsi="Book Antiqua"/>
          <w:sz w:val="22"/>
          <w:szCs w:val="22"/>
        </w:rPr>
        <w:sectPr w:rsidR="00F9157C" w:rsidSect="008F6BC9">
          <w:type w:val="continuous"/>
          <w:pgSz w:w="11907" w:h="16839" w:code="9"/>
          <w:pgMar w:top="1440" w:right="1440" w:bottom="1440" w:left="1440" w:header="720" w:footer="720" w:gutter="0"/>
          <w:cols w:space="720"/>
          <w:docGrid w:linePitch="360"/>
        </w:sectPr>
      </w:pPr>
    </w:p>
    <w:p w14:paraId="400B344A" w14:textId="77777777" w:rsidR="00AC50E9" w:rsidRPr="00E3232D" w:rsidRDefault="00AC50E9" w:rsidP="008275E1">
      <w:pPr>
        <w:pStyle w:val="Default"/>
        <w:rPr>
          <w:rFonts w:ascii="Book Antiqua" w:hAnsi="Book Antiqua"/>
          <w:sz w:val="22"/>
          <w:szCs w:val="22"/>
        </w:rPr>
      </w:pPr>
    </w:p>
    <w:p w14:paraId="08E1DCAB" w14:textId="77777777" w:rsidR="00AA0C97" w:rsidRDefault="00AC50E9" w:rsidP="008275E1">
      <w:pPr>
        <w:pStyle w:val="Default"/>
        <w:rPr>
          <w:rFonts w:ascii="Book Antiqua" w:hAnsi="Book Antiqua"/>
          <w:sz w:val="22"/>
          <w:szCs w:val="22"/>
        </w:rPr>
      </w:pPr>
      <w:r w:rsidRPr="00E3232D">
        <w:rPr>
          <w:rFonts w:ascii="Book Antiqua" w:hAnsi="Book Antiqua"/>
          <w:sz w:val="22"/>
          <w:szCs w:val="22"/>
        </w:rPr>
        <w:t xml:space="preserve">Table 3 shows that nominal annual returns on the stock market for the period 1990 to 2010 ranged between - 46.58% and 154.67 % with an average annual return of </w:t>
      </w:r>
    </w:p>
    <w:p w14:paraId="5BDB412B" w14:textId="77777777" w:rsidR="00AA0C97" w:rsidRDefault="00AA0C97" w:rsidP="008275E1">
      <w:pPr>
        <w:pStyle w:val="Default"/>
        <w:rPr>
          <w:rFonts w:ascii="Book Antiqua" w:hAnsi="Book Antiqua"/>
          <w:sz w:val="22"/>
          <w:szCs w:val="22"/>
        </w:rPr>
      </w:pPr>
    </w:p>
    <w:p w14:paraId="055FFF8B" w14:textId="77777777" w:rsidR="00AA0C97" w:rsidRDefault="00AA0C97" w:rsidP="008275E1">
      <w:pPr>
        <w:pStyle w:val="Default"/>
        <w:rPr>
          <w:rFonts w:ascii="Book Antiqua" w:hAnsi="Book Antiqua"/>
          <w:sz w:val="22"/>
          <w:szCs w:val="22"/>
        </w:rPr>
      </w:pPr>
    </w:p>
    <w:p w14:paraId="4EDB20B5" w14:textId="77777777" w:rsidR="00F9157C" w:rsidRDefault="00AC50E9" w:rsidP="008275E1">
      <w:pPr>
        <w:pStyle w:val="Default"/>
        <w:rPr>
          <w:rFonts w:ascii="Book Antiqua" w:hAnsi="Book Antiqua"/>
          <w:sz w:val="22"/>
          <w:szCs w:val="22"/>
        </w:rPr>
      </w:pPr>
      <w:r w:rsidRPr="00E3232D">
        <w:rPr>
          <w:rFonts w:ascii="Book Antiqua" w:hAnsi="Book Antiqua"/>
          <w:sz w:val="22"/>
          <w:szCs w:val="22"/>
        </w:rPr>
        <w:t xml:space="preserve">32.55%. In 1993, 1994, 1997, 1998, 2002, 2003, 2004 and 2008 the market made above average returns. Returns on the market for 2003 in </w:t>
      </w:r>
    </w:p>
    <w:p w14:paraId="478295D9" w14:textId="77777777" w:rsidR="00F9157C" w:rsidRDefault="00F9157C" w:rsidP="008275E1">
      <w:pPr>
        <w:pStyle w:val="Default"/>
        <w:rPr>
          <w:rFonts w:ascii="Book Antiqua" w:hAnsi="Book Antiqua"/>
          <w:sz w:val="22"/>
          <w:szCs w:val="22"/>
        </w:rPr>
      </w:pPr>
    </w:p>
    <w:p w14:paraId="77BB745B" w14:textId="77777777" w:rsidR="00806C8E" w:rsidRDefault="00AC50E9" w:rsidP="008275E1">
      <w:pPr>
        <w:pStyle w:val="Default"/>
        <w:rPr>
          <w:rFonts w:ascii="Book Antiqua" w:hAnsi="Book Antiqua"/>
          <w:sz w:val="22"/>
          <w:szCs w:val="22"/>
        </w:rPr>
      </w:pPr>
      <w:r w:rsidRPr="00E3232D">
        <w:rPr>
          <w:rFonts w:ascii="Book Antiqua" w:hAnsi="Book Antiqua"/>
          <w:sz w:val="22"/>
          <w:szCs w:val="22"/>
        </w:rPr>
        <w:t xml:space="preserve">particular were splendid. The position of Investor B, who invested the same amount of money as Investor A above (that is GH¢1,000) in 1990 is analyzed as follows: the return rates achieved means that, the nominal value of his portfolio will be GH¢47787 at the end of 2005, the real value of the investment at the end of the period, that is after considering inflation trends over the period will however be GH¢612 (Ref .Appendix B). </w:t>
      </w:r>
    </w:p>
    <w:p w14:paraId="6D6BAEAF" w14:textId="77777777" w:rsidR="007A0633" w:rsidRDefault="00AC50E9" w:rsidP="008275E1">
      <w:pPr>
        <w:pStyle w:val="Default"/>
        <w:rPr>
          <w:rFonts w:ascii="Book Antiqua" w:hAnsi="Book Antiqua"/>
          <w:sz w:val="22"/>
          <w:szCs w:val="22"/>
        </w:rPr>
      </w:pPr>
      <w:r w:rsidRPr="00E3232D">
        <w:rPr>
          <w:rFonts w:ascii="Book Antiqua" w:hAnsi="Book Antiqua"/>
          <w:sz w:val="22"/>
          <w:szCs w:val="22"/>
        </w:rPr>
        <w:t xml:space="preserve">The Table further shows average real returns of 9.61%, this shows that the average investor is being rewarded above </w:t>
      </w:r>
    </w:p>
    <w:p w14:paraId="57195181"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the general increases in prices over the period. This is consistent with finance theory. In terms of the risk of shares, the table shows that the Standard Deviation of returns on the market was 52.30% which means that actual returns deviated from the average return (expected return) by as much as 52.30% an indication of high risk. This again is consistent with finance theory.</w:t>
      </w:r>
    </w:p>
    <w:p w14:paraId="0158AB4B" w14:textId="77777777" w:rsidR="0069035A" w:rsidRPr="00E9470A" w:rsidRDefault="0069035A" w:rsidP="0069035A">
      <w:pPr>
        <w:pStyle w:val="Default"/>
        <w:rPr>
          <w:rFonts w:ascii="Book Antiqua" w:hAnsi="Book Antiqua"/>
          <w:b/>
          <w:sz w:val="22"/>
          <w:szCs w:val="22"/>
        </w:rPr>
      </w:pPr>
      <w:r w:rsidRPr="00E3232D">
        <w:rPr>
          <w:rFonts w:ascii="Book Antiqua" w:hAnsi="Book Antiqua"/>
          <w:b/>
          <w:sz w:val="22"/>
          <w:szCs w:val="22"/>
        </w:rPr>
        <w:t>Table 4: Summary of results for the period 1990 to 2010</w:t>
      </w:r>
      <w:r w:rsidRPr="00E3232D">
        <w:rPr>
          <w:rFonts w:ascii="Book Antiqua" w:hAnsi="Book Antiqua"/>
          <w:sz w:val="22"/>
          <w:szCs w:val="22"/>
        </w:rPr>
        <w:tab/>
      </w:r>
    </w:p>
    <w:tbl>
      <w:tblPr>
        <w:tblStyle w:val="LightShading-Accent12"/>
        <w:tblW w:w="0" w:type="auto"/>
        <w:tblLook w:val="04E0" w:firstRow="1" w:lastRow="1" w:firstColumn="1" w:lastColumn="0" w:noHBand="0" w:noVBand="1"/>
      </w:tblPr>
      <w:tblGrid>
        <w:gridCol w:w="1093"/>
        <w:gridCol w:w="1044"/>
        <w:gridCol w:w="1032"/>
        <w:gridCol w:w="1200"/>
      </w:tblGrid>
      <w:tr w:rsidR="0069035A" w:rsidRPr="00E9470A" w14:paraId="723FF074" w14:textId="77777777" w:rsidTr="00754D01">
        <w:trPr>
          <w:cnfStyle w:val="100000000000" w:firstRow="1" w:lastRow="0" w:firstColumn="0" w:lastColumn="0" w:oddVBand="0" w:evenVBand="0" w:oddHBand="0" w:evenHBand="0" w:firstRowFirstColumn="0" w:firstRowLastColumn="0" w:lastRowFirstColumn="0" w:lastRowLastColumn="0"/>
          <w:trHeight w:val="1384"/>
        </w:trPr>
        <w:tc>
          <w:tcPr>
            <w:cnfStyle w:val="001000000000" w:firstRow="0" w:lastRow="0" w:firstColumn="1" w:lastColumn="0" w:oddVBand="0" w:evenVBand="0" w:oddHBand="0" w:evenHBand="0" w:firstRowFirstColumn="0" w:firstRowLastColumn="0" w:lastRowFirstColumn="0" w:lastRowLastColumn="0"/>
            <w:tcW w:w="1503" w:type="dxa"/>
            <w:shd w:val="clear" w:color="auto" w:fill="auto"/>
          </w:tcPr>
          <w:p w14:paraId="41AFFF2A" w14:textId="77777777" w:rsidR="0069035A" w:rsidRPr="00E9470A" w:rsidRDefault="0069035A" w:rsidP="00754D01">
            <w:pPr>
              <w:pStyle w:val="Default"/>
              <w:spacing w:after="0" w:line="240" w:lineRule="auto"/>
              <w:rPr>
                <w:rFonts w:ascii="Book Antiqua" w:hAnsi="Book Antiqua"/>
                <w:sz w:val="22"/>
                <w:szCs w:val="22"/>
              </w:rPr>
            </w:pPr>
          </w:p>
        </w:tc>
        <w:tc>
          <w:tcPr>
            <w:tcW w:w="1174" w:type="dxa"/>
            <w:shd w:val="clear" w:color="auto" w:fill="auto"/>
          </w:tcPr>
          <w:p w14:paraId="17DCBA77" w14:textId="77777777" w:rsidR="0069035A" w:rsidRPr="00E9470A" w:rsidRDefault="0069035A" w:rsidP="00754D01">
            <w:pPr>
              <w:pStyle w:val="Default"/>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sz w:val="22"/>
                <w:szCs w:val="22"/>
              </w:rPr>
            </w:pPr>
            <w:r w:rsidRPr="00E9470A">
              <w:rPr>
                <w:rFonts w:ascii="Book Antiqua" w:hAnsi="Book Antiqua"/>
                <w:sz w:val="22"/>
                <w:szCs w:val="22"/>
              </w:rPr>
              <w:t>Average annual nominal returns       (%)</w:t>
            </w:r>
          </w:p>
        </w:tc>
        <w:tc>
          <w:tcPr>
            <w:tcW w:w="1354" w:type="dxa"/>
            <w:shd w:val="clear" w:color="auto" w:fill="auto"/>
          </w:tcPr>
          <w:p w14:paraId="09EA1BC2" w14:textId="77777777" w:rsidR="0069035A" w:rsidRPr="00E9470A" w:rsidRDefault="0069035A" w:rsidP="00754D01">
            <w:pPr>
              <w:pStyle w:val="Default"/>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sz w:val="22"/>
                <w:szCs w:val="22"/>
              </w:rPr>
            </w:pPr>
            <w:r w:rsidRPr="00E9470A">
              <w:rPr>
                <w:rFonts w:ascii="Book Antiqua" w:hAnsi="Book Antiqua"/>
                <w:sz w:val="22"/>
                <w:szCs w:val="22"/>
              </w:rPr>
              <w:t>Average annual real returns (%)</w:t>
            </w:r>
          </w:p>
        </w:tc>
        <w:tc>
          <w:tcPr>
            <w:tcW w:w="2860" w:type="dxa"/>
            <w:shd w:val="clear" w:color="auto" w:fill="auto"/>
          </w:tcPr>
          <w:p w14:paraId="7537A19D" w14:textId="77777777" w:rsidR="0069035A" w:rsidRPr="00E9470A" w:rsidRDefault="0069035A" w:rsidP="00754D01">
            <w:pPr>
              <w:pStyle w:val="Default"/>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sz w:val="22"/>
                <w:szCs w:val="22"/>
              </w:rPr>
            </w:pPr>
            <w:r w:rsidRPr="00E9470A">
              <w:rPr>
                <w:rFonts w:ascii="Book Antiqua" w:hAnsi="Book Antiqua"/>
                <w:sz w:val="22"/>
                <w:szCs w:val="22"/>
              </w:rPr>
              <w:t>Standard Deviation</w:t>
            </w:r>
            <w:r>
              <w:rPr>
                <w:rFonts w:ascii="Book Antiqua" w:hAnsi="Book Antiqua"/>
                <w:sz w:val="22"/>
                <w:szCs w:val="22"/>
              </w:rPr>
              <w:t xml:space="preserve"> </w:t>
            </w:r>
            <w:r w:rsidRPr="00E9470A">
              <w:rPr>
                <w:rFonts w:ascii="Book Antiqua" w:hAnsi="Book Antiqua"/>
                <w:sz w:val="22"/>
                <w:szCs w:val="22"/>
              </w:rPr>
              <w:t>(%)</w:t>
            </w:r>
          </w:p>
        </w:tc>
      </w:tr>
      <w:tr w:rsidR="0069035A" w:rsidRPr="00E9470A" w14:paraId="64B09590" w14:textId="77777777" w:rsidTr="00754D01">
        <w:trPr>
          <w:cnfStyle w:val="000000100000" w:firstRow="0" w:lastRow="0" w:firstColumn="0" w:lastColumn="0" w:oddVBand="0" w:evenVBand="0" w:oddHBand="1" w:evenHBand="0" w:firstRowFirstColumn="0" w:firstRowLastColumn="0" w:lastRowFirstColumn="0" w:lastRowLastColumn="0"/>
          <w:trHeight w:val="771"/>
        </w:trPr>
        <w:tc>
          <w:tcPr>
            <w:cnfStyle w:val="001000000000" w:firstRow="0" w:lastRow="0" w:firstColumn="1" w:lastColumn="0" w:oddVBand="0" w:evenVBand="0" w:oddHBand="0" w:evenHBand="0" w:firstRowFirstColumn="0" w:firstRowLastColumn="0" w:lastRowFirstColumn="0" w:lastRowLastColumn="0"/>
            <w:tcW w:w="1503" w:type="dxa"/>
            <w:shd w:val="clear" w:color="auto" w:fill="auto"/>
          </w:tcPr>
          <w:p w14:paraId="19F88C0D" w14:textId="77777777" w:rsidR="0069035A" w:rsidRPr="00E9470A" w:rsidRDefault="0069035A" w:rsidP="00754D01">
            <w:pPr>
              <w:pStyle w:val="Default"/>
              <w:spacing w:after="0" w:line="240" w:lineRule="auto"/>
              <w:rPr>
                <w:rFonts w:ascii="Book Antiqua" w:hAnsi="Book Antiqua"/>
                <w:sz w:val="22"/>
                <w:szCs w:val="22"/>
              </w:rPr>
            </w:pPr>
            <w:r w:rsidRPr="00E9470A">
              <w:rPr>
                <w:rFonts w:ascii="Book Antiqua" w:hAnsi="Book Antiqua"/>
                <w:sz w:val="22"/>
                <w:szCs w:val="22"/>
              </w:rPr>
              <w:t>91-Day Treasury bill</w:t>
            </w:r>
          </w:p>
        </w:tc>
        <w:tc>
          <w:tcPr>
            <w:tcW w:w="1174" w:type="dxa"/>
            <w:shd w:val="clear" w:color="auto" w:fill="auto"/>
          </w:tcPr>
          <w:p w14:paraId="6F219694" w14:textId="77777777" w:rsidR="0069035A" w:rsidRPr="00E9470A" w:rsidRDefault="0069035A" w:rsidP="00754D01">
            <w:pPr>
              <w:pStyle w:val="Default"/>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2"/>
                <w:szCs w:val="22"/>
              </w:rPr>
            </w:pPr>
            <w:r w:rsidRPr="00E9470A">
              <w:rPr>
                <w:rFonts w:ascii="Book Antiqua" w:hAnsi="Book Antiqua"/>
                <w:sz w:val="22"/>
                <w:szCs w:val="22"/>
              </w:rPr>
              <w:t>27.42</w:t>
            </w:r>
          </w:p>
        </w:tc>
        <w:tc>
          <w:tcPr>
            <w:tcW w:w="1354" w:type="dxa"/>
            <w:shd w:val="clear" w:color="auto" w:fill="auto"/>
          </w:tcPr>
          <w:p w14:paraId="769A8D05" w14:textId="77777777" w:rsidR="0069035A" w:rsidRPr="00E9470A" w:rsidRDefault="0069035A" w:rsidP="00754D01">
            <w:pPr>
              <w:pStyle w:val="Default"/>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2"/>
                <w:szCs w:val="22"/>
              </w:rPr>
            </w:pPr>
            <w:r w:rsidRPr="00E9470A">
              <w:rPr>
                <w:rFonts w:ascii="Book Antiqua" w:hAnsi="Book Antiqua"/>
                <w:sz w:val="22"/>
                <w:szCs w:val="22"/>
              </w:rPr>
              <w:t>4.49</w:t>
            </w:r>
          </w:p>
        </w:tc>
        <w:tc>
          <w:tcPr>
            <w:tcW w:w="2860" w:type="dxa"/>
            <w:shd w:val="clear" w:color="auto" w:fill="auto"/>
          </w:tcPr>
          <w:p w14:paraId="2220F054" w14:textId="77777777" w:rsidR="0069035A" w:rsidRPr="00E9470A" w:rsidRDefault="0069035A" w:rsidP="00754D01">
            <w:pPr>
              <w:pStyle w:val="Default"/>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2"/>
                <w:szCs w:val="22"/>
              </w:rPr>
            </w:pPr>
            <w:r w:rsidRPr="00E9470A">
              <w:rPr>
                <w:rFonts w:ascii="Book Antiqua" w:hAnsi="Book Antiqua"/>
                <w:sz w:val="22"/>
                <w:szCs w:val="22"/>
              </w:rPr>
              <w:t>11.62</w:t>
            </w:r>
          </w:p>
        </w:tc>
      </w:tr>
      <w:tr w:rsidR="0069035A" w:rsidRPr="00E9470A" w14:paraId="29F79ABA" w14:textId="77777777" w:rsidTr="00754D01">
        <w:trPr>
          <w:cnfStyle w:val="010000000000" w:firstRow="0" w:lastRow="1"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1503" w:type="dxa"/>
            <w:shd w:val="clear" w:color="auto" w:fill="auto"/>
          </w:tcPr>
          <w:p w14:paraId="6566A75A" w14:textId="77777777" w:rsidR="0069035A" w:rsidRPr="00E9470A" w:rsidRDefault="0069035A" w:rsidP="00754D01">
            <w:pPr>
              <w:pStyle w:val="Default"/>
              <w:spacing w:after="0" w:line="240" w:lineRule="auto"/>
              <w:rPr>
                <w:rFonts w:ascii="Book Antiqua" w:hAnsi="Book Antiqua"/>
                <w:sz w:val="22"/>
                <w:szCs w:val="22"/>
              </w:rPr>
            </w:pPr>
            <w:r w:rsidRPr="00E9470A">
              <w:rPr>
                <w:rFonts w:ascii="Book Antiqua" w:hAnsi="Book Antiqua"/>
                <w:sz w:val="22"/>
                <w:szCs w:val="22"/>
              </w:rPr>
              <w:t>GSE All share Index</w:t>
            </w:r>
          </w:p>
        </w:tc>
        <w:tc>
          <w:tcPr>
            <w:tcW w:w="1174" w:type="dxa"/>
            <w:shd w:val="clear" w:color="auto" w:fill="auto"/>
          </w:tcPr>
          <w:p w14:paraId="2E2F1312" w14:textId="77777777" w:rsidR="0069035A" w:rsidRPr="00E9470A" w:rsidRDefault="0069035A" w:rsidP="00754D01">
            <w:pPr>
              <w:pStyle w:val="Default"/>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sz w:val="22"/>
                <w:szCs w:val="22"/>
              </w:rPr>
            </w:pPr>
            <w:r w:rsidRPr="00E9470A">
              <w:rPr>
                <w:rFonts w:ascii="Book Antiqua" w:hAnsi="Book Antiqua"/>
                <w:sz w:val="22"/>
                <w:szCs w:val="22"/>
              </w:rPr>
              <w:t>32.55</w:t>
            </w:r>
          </w:p>
        </w:tc>
        <w:tc>
          <w:tcPr>
            <w:tcW w:w="1354" w:type="dxa"/>
            <w:shd w:val="clear" w:color="auto" w:fill="auto"/>
          </w:tcPr>
          <w:p w14:paraId="5EFB582D" w14:textId="77777777" w:rsidR="0069035A" w:rsidRPr="00E9470A" w:rsidRDefault="0069035A" w:rsidP="00754D01">
            <w:pPr>
              <w:pStyle w:val="Default"/>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sz w:val="22"/>
                <w:szCs w:val="22"/>
              </w:rPr>
            </w:pPr>
            <w:r w:rsidRPr="00E9470A">
              <w:rPr>
                <w:rFonts w:ascii="Book Antiqua" w:hAnsi="Book Antiqua"/>
                <w:sz w:val="22"/>
                <w:szCs w:val="22"/>
              </w:rPr>
              <w:t>9.61</w:t>
            </w:r>
          </w:p>
        </w:tc>
        <w:tc>
          <w:tcPr>
            <w:tcW w:w="2860" w:type="dxa"/>
            <w:shd w:val="clear" w:color="auto" w:fill="auto"/>
          </w:tcPr>
          <w:p w14:paraId="6B72B0DA" w14:textId="77777777" w:rsidR="0069035A" w:rsidRPr="00E9470A" w:rsidRDefault="0069035A" w:rsidP="00754D01">
            <w:pPr>
              <w:pStyle w:val="Default"/>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sz w:val="22"/>
                <w:szCs w:val="22"/>
              </w:rPr>
            </w:pPr>
            <w:r w:rsidRPr="00E9470A">
              <w:rPr>
                <w:rFonts w:ascii="Book Antiqua" w:hAnsi="Book Antiqua"/>
                <w:sz w:val="22"/>
                <w:szCs w:val="22"/>
              </w:rPr>
              <w:t>52.3</w:t>
            </w:r>
          </w:p>
        </w:tc>
      </w:tr>
    </w:tbl>
    <w:p w14:paraId="1AF78B0B" w14:textId="77777777" w:rsidR="00AC50E9" w:rsidRPr="0069035A" w:rsidRDefault="00AC50E9" w:rsidP="008275E1">
      <w:pPr>
        <w:pStyle w:val="Default"/>
        <w:rPr>
          <w:rFonts w:ascii="Book Antiqua" w:hAnsi="Book Antiqua"/>
          <w:sz w:val="22"/>
          <w:szCs w:val="22"/>
        </w:rPr>
      </w:pPr>
      <w:r w:rsidRPr="00E3232D">
        <w:rPr>
          <w:rFonts w:ascii="Book Antiqua" w:hAnsi="Book Antiqua"/>
          <w:sz w:val="22"/>
          <w:szCs w:val="22"/>
        </w:rPr>
        <w:t xml:space="preserve">From the Table above, it is clear that reward was being gained for bearing risk. However in the case of Investor A and B analyzed above, A turned to have a higher amount of money in real terms at the end of the period. This finding would on the surface seem to be inconsistent with economic theory. However, it must be pointed out that these investments are exposed to both systematic risk (economy wide risk) and unsystematic risk (company specific factors).Again economic/finance theory is stated in the context of long –run returns. This study has considered twenty-one (21) annual observations only. These may not be enough points from which to draw observations that may be said to be holding in the long run. </w:t>
      </w:r>
    </w:p>
    <w:p w14:paraId="259DE4B0" w14:textId="77777777" w:rsidR="00AC50E9" w:rsidRPr="00E3232D" w:rsidRDefault="00AC50E9" w:rsidP="008275E1">
      <w:pPr>
        <w:pStyle w:val="Default"/>
        <w:rPr>
          <w:rFonts w:ascii="Book Antiqua" w:hAnsi="Book Antiqua"/>
          <w:bCs/>
          <w:sz w:val="22"/>
          <w:szCs w:val="22"/>
        </w:rPr>
      </w:pPr>
      <w:r w:rsidRPr="00E3232D">
        <w:rPr>
          <w:rFonts w:ascii="Book Antiqua" w:hAnsi="Book Antiqua"/>
          <w:bCs/>
          <w:sz w:val="22"/>
          <w:szCs w:val="22"/>
        </w:rPr>
        <w:t>3</w:t>
      </w:r>
      <w:r w:rsidRPr="0069035A">
        <w:rPr>
          <w:rFonts w:ascii="Book Antiqua" w:hAnsi="Book Antiqua"/>
          <w:b/>
          <w:bCs/>
          <w:sz w:val="22"/>
          <w:szCs w:val="22"/>
        </w:rPr>
        <w:t xml:space="preserve">.3 Risk return </w:t>
      </w:r>
      <w:r w:rsidR="0069035A" w:rsidRPr="0069035A">
        <w:rPr>
          <w:rFonts w:ascii="Book Antiqua" w:hAnsi="Book Antiqua"/>
          <w:b/>
          <w:bCs/>
          <w:sz w:val="22"/>
          <w:szCs w:val="22"/>
        </w:rPr>
        <w:t>Analysis</w:t>
      </w:r>
      <w:r w:rsidR="0069035A" w:rsidRPr="00E3232D">
        <w:rPr>
          <w:rFonts w:ascii="Book Antiqua" w:hAnsi="Book Antiqua"/>
          <w:bCs/>
          <w:sz w:val="22"/>
          <w:szCs w:val="22"/>
        </w:rPr>
        <w:t xml:space="preserve"> </w:t>
      </w:r>
    </w:p>
    <w:p w14:paraId="355AF68D"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Finally, this research seeks to find out whether risk was being compensated over the period. This can be measured by the level of risk premium obtained over the period. The market risk premium can be estimated by using the average annual returns on Treasury Bill Instruments and the Average Annual Returns on GSE All-Share index. This is shown on the table 5 below. The returns from treasury bills are used as risk free to complete the risk premium of the shares investments.</w:t>
      </w:r>
    </w:p>
    <w:p w14:paraId="7DB1450D" w14:textId="77777777" w:rsidR="00AC50E9" w:rsidRPr="00E3232D" w:rsidRDefault="00AC50E9" w:rsidP="008275E1">
      <w:pPr>
        <w:pStyle w:val="Default"/>
        <w:jc w:val="center"/>
        <w:rPr>
          <w:rFonts w:ascii="Book Antiqua" w:hAnsi="Book Antiqua"/>
          <w:b/>
          <w:sz w:val="22"/>
          <w:szCs w:val="22"/>
        </w:rPr>
      </w:pPr>
    </w:p>
    <w:p w14:paraId="14B30F04" w14:textId="77777777" w:rsidR="00AC50E9" w:rsidRDefault="00AC50E9" w:rsidP="008275E1">
      <w:pPr>
        <w:pStyle w:val="Default"/>
        <w:jc w:val="center"/>
        <w:rPr>
          <w:rFonts w:ascii="Book Antiqua" w:hAnsi="Book Antiqua"/>
          <w:b/>
          <w:sz w:val="22"/>
          <w:szCs w:val="22"/>
        </w:rPr>
      </w:pPr>
    </w:p>
    <w:p w14:paraId="3453D9B5" w14:textId="77777777" w:rsidR="0069035A" w:rsidRDefault="0069035A" w:rsidP="008275E1">
      <w:pPr>
        <w:pStyle w:val="Default"/>
        <w:jc w:val="center"/>
        <w:rPr>
          <w:rFonts w:ascii="Book Antiqua" w:hAnsi="Book Antiqua"/>
          <w:b/>
          <w:sz w:val="22"/>
          <w:szCs w:val="22"/>
        </w:rPr>
      </w:pPr>
    </w:p>
    <w:p w14:paraId="0FD3B2A6" w14:textId="77777777" w:rsidR="0069035A" w:rsidRPr="00E3232D" w:rsidRDefault="0069035A" w:rsidP="008275E1">
      <w:pPr>
        <w:pStyle w:val="Default"/>
        <w:jc w:val="center"/>
        <w:rPr>
          <w:rFonts w:ascii="Book Antiqua" w:hAnsi="Book Antiqua"/>
          <w:b/>
          <w:sz w:val="22"/>
          <w:szCs w:val="22"/>
        </w:rPr>
      </w:pPr>
    </w:p>
    <w:p w14:paraId="47793F21" w14:textId="77777777" w:rsidR="00AC50E9" w:rsidRPr="0069035A" w:rsidRDefault="00AC50E9" w:rsidP="008275E1">
      <w:pPr>
        <w:pStyle w:val="Default"/>
        <w:rPr>
          <w:rFonts w:ascii="Book Antiqua" w:hAnsi="Book Antiqua"/>
          <w:b/>
          <w:sz w:val="22"/>
          <w:szCs w:val="22"/>
        </w:rPr>
      </w:pPr>
      <w:r w:rsidRPr="00E3232D">
        <w:rPr>
          <w:rFonts w:ascii="Book Antiqua" w:hAnsi="Book Antiqua"/>
          <w:b/>
          <w:sz w:val="22"/>
          <w:szCs w:val="22"/>
        </w:rPr>
        <w:t>Table 5: The Market Risk Premium</w:t>
      </w:r>
    </w:p>
    <w:tbl>
      <w:tblPr>
        <w:tblpPr w:leftFromText="180" w:rightFromText="180" w:vertAnchor="text" w:horzAnchor="margin" w:tblpY="32"/>
        <w:tblW w:w="4419" w:type="dxa"/>
        <w:tblLook w:val="04A0" w:firstRow="1" w:lastRow="0" w:firstColumn="1" w:lastColumn="0" w:noHBand="0" w:noVBand="1"/>
      </w:tblPr>
      <w:tblGrid>
        <w:gridCol w:w="669"/>
        <w:gridCol w:w="1268"/>
        <w:gridCol w:w="1240"/>
        <w:gridCol w:w="1242"/>
      </w:tblGrid>
      <w:tr w:rsidR="00AC50E9" w:rsidRPr="00D12E59" w14:paraId="6F19BB8D" w14:textId="77777777" w:rsidTr="008D6FB2">
        <w:trPr>
          <w:trHeight w:val="348"/>
        </w:trPr>
        <w:tc>
          <w:tcPr>
            <w:tcW w:w="621" w:type="dxa"/>
            <w:tcBorders>
              <w:top w:val="single" w:sz="4" w:space="0" w:color="auto"/>
              <w:bottom w:val="single" w:sz="4" w:space="0" w:color="auto"/>
            </w:tcBorders>
          </w:tcPr>
          <w:p w14:paraId="1177B101"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Year</w:t>
            </w:r>
          </w:p>
        </w:tc>
        <w:tc>
          <w:tcPr>
            <w:tcW w:w="1300" w:type="dxa"/>
            <w:tcBorders>
              <w:top w:val="single" w:sz="4" w:space="0" w:color="auto"/>
              <w:bottom w:val="single" w:sz="4" w:space="0" w:color="auto"/>
            </w:tcBorders>
          </w:tcPr>
          <w:p w14:paraId="37CE28F0"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GSE-All-Share (%)</w:t>
            </w:r>
          </w:p>
        </w:tc>
        <w:tc>
          <w:tcPr>
            <w:tcW w:w="1249" w:type="dxa"/>
            <w:tcBorders>
              <w:top w:val="single" w:sz="4" w:space="0" w:color="auto"/>
              <w:bottom w:val="single" w:sz="4" w:space="0" w:color="auto"/>
            </w:tcBorders>
          </w:tcPr>
          <w:p w14:paraId="7B05542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91-Day Treasury Bill</w:t>
            </w:r>
          </w:p>
        </w:tc>
        <w:tc>
          <w:tcPr>
            <w:tcW w:w="1249" w:type="dxa"/>
            <w:tcBorders>
              <w:top w:val="single" w:sz="4" w:space="0" w:color="auto"/>
              <w:bottom w:val="single" w:sz="4" w:space="0" w:color="auto"/>
            </w:tcBorders>
          </w:tcPr>
          <w:p w14:paraId="167A5BA0"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Risk Premium</w:t>
            </w:r>
          </w:p>
        </w:tc>
      </w:tr>
      <w:tr w:rsidR="00AC50E9" w:rsidRPr="00D12E59" w14:paraId="73C4FEE2" w14:textId="77777777" w:rsidTr="008D6FB2">
        <w:trPr>
          <w:trHeight w:val="291"/>
        </w:trPr>
        <w:tc>
          <w:tcPr>
            <w:tcW w:w="621" w:type="dxa"/>
            <w:tcBorders>
              <w:top w:val="single" w:sz="4" w:space="0" w:color="auto"/>
            </w:tcBorders>
          </w:tcPr>
          <w:p w14:paraId="493CF36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1990</w:t>
            </w:r>
          </w:p>
        </w:tc>
        <w:tc>
          <w:tcPr>
            <w:tcW w:w="1300" w:type="dxa"/>
            <w:tcBorders>
              <w:top w:val="single" w:sz="4" w:space="0" w:color="auto"/>
            </w:tcBorders>
          </w:tcPr>
          <w:p w14:paraId="4253895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-29.75</w:t>
            </w:r>
          </w:p>
        </w:tc>
        <w:tc>
          <w:tcPr>
            <w:tcW w:w="1249" w:type="dxa"/>
            <w:tcBorders>
              <w:top w:val="single" w:sz="4" w:space="0" w:color="auto"/>
            </w:tcBorders>
          </w:tcPr>
          <w:p w14:paraId="19C7D7C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29.53</w:t>
            </w:r>
          </w:p>
        </w:tc>
        <w:tc>
          <w:tcPr>
            <w:tcW w:w="1249" w:type="dxa"/>
            <w:tcBorders>
              <w:top w:val="single" w:sz="4" w:space="0" w:color="auto"/>
            </w:tcBorders>
          </w:tcPr>
          <w:p w14:paraId="22AD774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-59.28</w:t>
            </w:r>
          </w:p>
        </w:tc>
      </w:tr>
      <w:tr w:rsidR="00AC50E9" w:rsidRPr="00D12E59" w14:paraId="4C25461E" w14:textId="77777777" w:rsidTr="008D6FB2">
        <w:trPr>
          <w:trHeight w:val="291"/>
        </w:trPr>
        <w:tc>
          <w:tcPr>
            <w:tcW w:w="621" w:type="dxa"/>
          </w:tcPr>
          <w:p w14:paraId="6773111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1991</w:t>
            </w:r>
          </w:p>
        </w:tc>
        <w:tc>
          <w:tcPr>
            <w:tcW w:w="1300" w:type="dxa"/>
          </w:tcPr>
          <w:p w14:paraId="4464B73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-8.18</w:t>
            </w:r>
          </w:p>
        </w:tc>
        <w:tc>
          <w:tcPr>
            <w:tcW w:w="1249" w:type="dxa"/>
          </w:tcPr>
          <w:p w14:paraId="66D49FF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21.05</w:t>
            </w:r>
          </w:p>
        </w:tc>
        <w:tc>
          <w:tcPr>
            <w:tcW w:w="1249" w:type="dxa"/>
          </w:tcPr>
          <w:p w14:paraId="060A171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-29.23</w:t>
            </w:r>
          </w:p>
        </w:tc>
      </w:tr>
      <w:tr w:rsidR="00AC50E9" w:rsidRPr="00D12E59" w14:paraId="734FCADA" w14:textId="77777777" w:rsidTr="008D6FB2">
        <w:trPr>
          <w:trHeight w:val="291"/>
        </w:trPr>
        <w:tc>
          <w:tcPr>
            <w:tcW w:w="621" w:type="dxa"/>
          </w:tcPr>
          <w:p w14:paraId="4CFFC88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1992</w:t>
            </w:r>
          </w:p>
        </w:tc>
        <w:tc>
          <w:tcPr>
            <w:tcW w:w="1300" w:type="dxa"/>
          </w:tcPr>
          <w:p w14:paraId="0BBD0F3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-3.62</w:t>
            </w:r>
          </w:p>
        </w:tc>
        <w:tc>
          <w:tcPr>
            <w:tcW w:w="1249" w:type="dxa"/>
          </w:tcPr>
          <w:p w14:paraId="6EFE0DA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27.13</w:t>
            </w:r>
          </w:p>
        </w:tc>
        <w:tc>
          <w:tcPr>
            <w:tcW w:w="1249" w:type="dxa"/>
          </w:tcPr>
          <w:p w14:paraId="235E4A2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-30.75</w:t>
            </w:r>
          </w:p>
        </w:tc>
      </w:tr>
      <w:tr w:rsidR="00AC50E9" w:rsidRPr="00D12E59" w14:paraId="351562C7" w14:textId="77777777" w:rsidTr="008D6FB2">
        <w:trPr>
          <w:trHeight w:val="291"/>
        </w:trPr>
        <w:tc>
          <w:tcPr>
            <w:tcW w:w="621" w:type="dxa"/>
          </w:tcPr>
          <w:p w14:paraId="572603B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1993</w:t>
            </w:r>
          </w:p>
        </w:tc>
        <w:tc>
          <w:tcPr>
            <w:tcW w:w="1300" w:type="dxa"/>
          </w:tcPr>
          <w:p w14:paraId="686A048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113.73</w:t>
            </w:r>
          </w:p>
        </w:tc>
        <w:tc>
          <w:tcPr>
            <w:tcW w:w="1249" w:type="dxa"/>
          </w:tcPr>
          <w:p w14:paraId="463DC3C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34.78</w:t>
            </w:r>
          </w:p>
        </w:tc>
        <w:tc>
          <w:tcPr>
            <w:tcW w:w="1249" w:type="dxa"/>
          </w:tcPr>
          <w:p w14:paraId="4A8D983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78.95</w:t>
            </w:r>
          </w:p>
        </w:tc>
      </w:tr>
      <w:tr w:rsidR="00AC50E9" w:rsidRPr="00D12E59" w14:paraId="488131BF" w14:textId="77777777" w:rsidTr="008D6FB2">
        <w:trPr>
          <w:trHeight w:val="291"/>
        </w:trPr>
        <w:tc>
          <w:tcPr>
            <w:tcW w:w="621" w:type="dxa"/>
          </w:tcPr>
          <w:p w14:paraId="107B3C3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1994</w:t>
            </w:r>
          </w:p>
        </w:tc>
        <w:tc>
          <w:tcPr>
            <w:tcW w:w="1300" w:type="dxa"/>
          </w:tcPr>
          <w:p w14:paraId="62C2E91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124.35</w:t>
            </w:r>
          </w:p>
        </w:tc>
        <w:tc>
          <w:tcPr>
            <w:tcW w:w="1249" w:type="dxa"/>
          </w:tcPr>
          <w:p w14:paraId="6A751E0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34.78</w:t>
            </w:r>
          </w:p>
        </w:tc>
        <w:tc>
          <w:tcPr>
            <w:tcW w:w="1249" w:type="dxa"/>
          </w:tcPr>
          <w:p w14:paraId="2A0CCF8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89.57</w:t>
            </w:r>
          </w:p>
        </w:tc>
      </w:tr>
      <w:tr w:rsidR="00AC50E9" w:rsidRPr="00D12E59" w14:paraId="1D946B87" w14:textId="77777777" w:rsidTr="008D6FB2">
        <w:trPr>
          <w:trHeight w:val="291"/>
        </w:trPr>
        <w:tc>
          <w:tcPr>
            <w:tcW w:w="621" w:type="dxa"/>
          </w:tcPr>
          <w:p w14:paraId="1F5E5AD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1995</w:t>
            </w:r>
          </w:p>
        </w:tc>
        <w:tc>
          <w:tcPr>
            <w:tcW w:w="1300" w:type="dxa"/>
          </w:tcPr>
          <w:p w14:paraId="01CF6D2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6.33</w:t>
            </w:r>
          </w:p>
        </w:tc>
        <w:tc>
          <w:tcPr>
            <w:tcW w:w="1249" w:type="dxa"/>
          </w:tcPr>
          <w:p w14:paraId="0D9C425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45.06</w:t>
            </w:r>
          </w:p>
        </w:tc>
        <w:tc>
          <w:tcPr>
            <w:tcW w:w="1249" w:type="dxa"/>
          </w:tcPr>
          <w:p w14:paraId="3EAA127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-38.73</w:t>
            </w:r>
          </w:p>
        </w:tc>
      </w:tr>
      <w:tr w:rsidR="00AC50E9" w:rsidRPr="00D12E59" w14:paraId="6A9BB1C1" w14:textId="77777777" w:rsidTr="008D6FB2">
        <w:trPr>
          <w:trHeight w:val="291"/>
        </w:trPr>
        <w:tc>
          <w:tcPr>
            <w:tcW w:w="621" w:type="dxa"/>
          </w:tcPr>
          <w:p w14:paraId="61EDE84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1996</w:t>
            </w:r>
          </w:p>
        </w:tc>
        <w:tc>
          <w:tcPr>
            <w:tcW w:w="1300" w:type="dxa"/>
          </w:tcPr>
          <w:p w14:paraId="7EF46AD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13.82</w:t>
            </w:r>
          </w:p>
        </w:tc>
        <w:tc>
          <w:tcPr>
            <w:tcW w:w="1249" w:type="dxa"/>
          </w:tcPr>
          <w:p w14:paraId="01B2C64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47.88</w:t>
            </w:r>
          </w:p>
        </w:tc>
        <w:tc>
          <w:tcPr>
            <w:tcW w:w="1249" w:type="dxa"/>
          </w:tcPr>
          <w:p w14:paraId="426CFFB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-34.06</w:t>
            </w:r>
          </w:p>
        </w:tc>
      </w:tr>
      <w:tr w:rsidR="00AC50E9" w:rsidRPr="00D12E59" w14:paraId="1F8FFCD3" w14:textId="77777777" w:rsidTr="008D6FB2">
        <w:trPr>
          <w:trHeight w:val="291"/>
        </w:trPr>
        <w:tc>
          <w:tcPr>
            <w:tcW w:w="621" w:type="dxa"/>
          </w:tcPr>
          <w:p w14:paraId="71FF1D8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1997</w:t>
            </w:r>
          </w:p>
        </w:tc>
        <w:tc>
          <w:tcPr>
            <w:tcW w:w="1300" w:type="dxa"/>
          </w:tcPr>
          <w:p w14:paraId="631C3A1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41.85</w:t>
            </w:r>
          </w:p>
        </w:tc>
        <w:tc>
          <w:tcPr>
            <w:tcW w:w="1249" w:type="dxa"/>
          </w:tcPr>
          <w:p w14:paraId="4CECE51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47.53</w:t>
            </w:r>
          </w:p>
        </w:tc>
        <w:tc>
          <w:tcPr>
            <w:tcW w:w="1249" w:type="dxa"/>
          </w:tcPr>
          <w:p w14:paraId="371E46D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-5.68</w:t>
            </w:r>
          </w:p>
        </w:tc>
      </w:tr>
      <w:tr w:rsidR="00AC50E9" w:rsidRPr="00D12E59" w14:paraId="1FCD2BAA" w14:textId="77777777" w:rsidTr="008D6FB2">
        <w:trPr>
          <w:trHeight w:val="291"/>
        </w:trPr>
        <w:tc>
          <w:tcPr>
            <w:tcW w:w="621" w:type="dxa"/>
          </w:tcPr>
          <w:p w14:paraId="71E2DAE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1998</w:t>
            </w:r>
          </w:p>
        </w:tc>
        <w:tc>
          <w:tcPr>
            <w:tcW w:w="1300" w:type="dxa"/>
          </w:tcPr>
          <w:p w14:paraId="26F4CF3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69.69</w:t>
            </w:r>
          </w:p>
        </w:tc>
        <w:tc>
          <w:tcPr>
            <w:tcW w:w="1249" w:type="dxa"/>
          </w:tcPr>
          <w:p w14:paraId="18BE889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28.67</w:t>
            </w:r>
          </w:p>
        </w:tc>
        <w:tc>
          <w:tcPr>
            <w:tcW w:w="1249" w:type="dxa"/>
          </w:tcPr>
          <w:p w14:paraId="6089C16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41.02</w:t>
            </w:r>
          </w:p>
        </w:tc>
      </w:tr>
      <w:tr w:rsidR="00AC50E9" w:rsidRPr="00D12E59" w14:paraId="4017B745" w14:textId="77777777" w:rsidTr="008D6FB2">
        <w:trPr>
          <w:trHeight w:val="291"/>
        </w:trPr>
        <w:tc>
          <w:tcPr>
            <w:tcW w:w="621" w:type="dxa"/>
          </w:tcPr>
          <w:p w14:paraId="1D10E8C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1999</w:t>
            </w:r>
          </w:p>
        </w:tc>
        <w:tc>
          <w:tcPr>
            <w:tcW w:w="1300" w:type="dxa"/>
          </w:tcPr>
          <w:p w14:paraId="2CBF1A3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-15.22</w:t>
            </w:r>
          </w:p>
        </w:tc>
        <w:tc>
          <w:tcPr>
            <w:tcW w:w="1249" w:type="dxa"/>
          </w:tcPr>
          <w:p w14:paraId="3A5CCC5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34.18</w:t>
            </w:r>
          </w:p>
        </w:tc>
        <w:tc>
          <w:tcPr>
            <w:tcW w:w="1249" w:type="dxa"/>
          </w:tcPr>
          <w:p w14:paraId="1517760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-49.4</w:t>
            </w:r>
          </w:p>
        </w:tc>
      </w:tr>
      <w:tr w:rsidR="00AC50E9" w:rsidRPr="00D12E59" w14:paraId="0648FF1C" w14:textId="77777777" w:rsidTr="008D6FB2">
        <w:trPr>
          <w:trHeight w:val="291"/>
        </w:trPr>
        <w:tc>
          <w:tcPr>
            <w:tcW w:w="621" w:type="dxa"/>
          </w:tcPr>
          <w:p w14:paraId="68DEABE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2000</w:t>
            </w:r>
          </w:p>
        </w:tc>
        <w:tc>
          <w:tcPr>
            <w:tcW w:w="1300" w:type="dxa"/>
          </w:tcPr>
          <w:p w14:paraId="4175B4F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16.55</w:t>
            </w:r>
          </w:p>
        </w:tc>
        <w:tc>
          <w:tcPr>
            <w:tcW w:w="1249" w:type="dxa"/>
          </w:tcPr>
          <w:p w14:paraId="5BABCE0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41.99</w:t>
            </w:r>
          </w:p>
        </w:tc>
        <w:tc>
          <w:tcPr>
            <w:tcW w:w="1249" w:type="dxa"/>
          </w:tcPr>
          <w:p w14:paraId="690BD72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-25.44</w:t>
            </w:r>
          </w:p>
        </w:tc>
      </w:tr>
      <w:tr w:rsidR="00AC50E9" w:rsidRPr="00D12E59" w14:paraId="11E204F6" w14:textId="77777777" w:rsidTr="008D6FB2">
        <w:trPr>
          <w:trHeight w:val="291"/>
        </w:trPr>
        <w:tc>
          <w:tcPr>
            <w:tcW w:w="621" w:type="dxa"/>
          </w:tcPr>
          <w:p w14:paraId="396F7AC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2001</w:t>
            </w:r>
          </w:p>
        </w:tc>
        <w:tc>
          <w:tcPr>
            <w:tcW w:w="1300" w:type="dxa"/>
          </w:tcPr>
          <w:p w14:paraId="04C651E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11.42</w:t>
            </w:r>
          </w:p>
        </w:tc>
        <w:tc>
          <w:tcPr>
            <w:tcW w:w="1249" w:type="dxa"/>
          </w:tcPr>
          <w:p w14:paraId="4740DF7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28.94</w:t>
            </w:r>
          </w:p>
        </w:tc>
        <w:tc>
          <w:tcPr>
            <w:tcW w:w="1249" w:type="dxa"/>
          </w:tcPr>
          <w:p w14:paraId="1EC8A15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-17.52</w:t>
            </w:r>
          </w:p>
        </w:tc>
      </w:tr>
      <w:tr w:rsidR="00AC50E9" w:rsidRPr="00D12E59" w14:paraId="5A81D9C7" w14:textId="77777777" w:rsidTr="008D6FB2">
        <w:trPr>
          <w:trHeight w:val="291"/>
        </w:trPr>
        <w:tc>
          <w:tcPr>
            <w:tcW w:w="621" w:type="dxa"/>
          </w:tcPr>
          <w:p w14:paraId="26E504F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2002</w:t>
            </w:r>
          </w:p>
        </w:tc>
        <w:tc>
          <w:tcPr>
            <w:tcW w:w="1300" w:type="dxa"/>
          </w:tcPr>
          <w:p w14:paraId="3AFD63E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45.96</w:t>
            </w:r>
          </w:p>
        </w:tc>
        <w:tc>
          <w:tcPr>
            <w:tcW w:w="1249" w:type="dxa"/>
          </w:tcPr>
          <w:p w14:paraId="25EDA64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26.6</w:t>
            </w:r>
          </w:p>
        </w:tc>
        <w:tc>
          <w:tcPr>
            <w:tcW w:w="1249" w:type="dxa"/>
          </w:tcPr>
          <w:p w14:paraId="290FB43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19.36</w:t>
            </w:r>
          </w:p>
        </w:tc>
      </w:tr>
      <w:tr w:rsidR="00AC50E9" w:rsidRPr="00D12E59" w14:paraId="5DD18B18" w14:textId="77777777" w:rsidTr="008D6FB2">
        <w:trPr>
          <w:trHeight w:val="291"/>
        </w:trPr>
        <w:tc>
          <w:tcPr>
            <w:tcW w:w="621" w:type="dxa"/>
          </w:tcPr>
          <w:p w14:paraId="428C96C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2003</w:t>
            </w:r>
          </w:p>
        </w:tc>
        <w:tc>
          <w:tcPr>
            <w:tcW w:w="1300" w:type="dxa"/>
          </w:tcPr>
          <w:p w14:paraId="268181A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154.67</w:t>
            </w:r>
          </w:p>
        </w:tc>
        <w:tc>
          <w:tcPr>
            <w:tcW w:w="1249" w:type="dxa"/>
          </w:tcPr>
          <w:p w14:paraId="515794F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19.6</w:t>
            </w:r>
          </w:p>
        </w:tc>
        <w:tc>
          <w:tcPr>
            <w:tcW w:w="1249" w:type="dxa"/>
          </w:tcPr>
          <w:p w14:paraId="27FADBD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135.07</w:t>
            </w:r>
          </w:p>
        </w:tc>
      </w:tr>
      <w:tr w:rsidR="00AC50E9" w:rsidRPr="00D12E59" w14:paraId="0C80479F" w14:textId="77777777" w:rsidTr="008D6FB2">
        <w:trPr>
          <w:trHeight w:val="291"/>
        </w:trPr>
        <w:tc>
          <w:tcPr>
            <w:tcW w:w="621" w:type="dxa"/>
          </w:tcPr>
          <w:p w14:paraId="4AD2017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2004</w:t>
            </w:r>
          </w:p>
        </w:tc>
        <w:tc>
          <w:tcPr>
            <w:tcW w:w="1300" w:type="dxa"/>
          </w:tcPr>
          <w:p w14:paraId="758E313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91.33</w:t>
            </w:r>
          </w:p>
        </w:tc>
        <w:tc>
          <w:tcPr>
            <w:tcW w:w="1249" w:type="dxa"/>
          </w:tcPr>
          <w:p w14:paraId="6B0279F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17.1</w:t>
            </w:r>
          </w:p>
        </w:tc>
        <w:tc>
          <w:tcPr>
            <w:tcW w:w="1249" w:type="dxa"/>
          </w:tcPr>
          <w:p w14:paraId="590E167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74.23</w:t>
            </w:r>
          </w:p>
        </w:tc>
      </w:tr>
      <w:tr w:rsidR="00AC50E9" w:rsidRPr="00D12E59" w14:paraId="36F38759" w14:textId="77777777" w:rsidTr="008D6FB2">
        <w:trPr>
          <w:trHeight w:val="291"/>
        </w:trPr>
        <w:tc>
          <w:tcPr>
            <w:tcW w:w="621" w:type="dxa"/>
          </w:tcPr>
          <w:p w14:paraId="30484C5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2005</w:t>
            </w:r>
          </w:p>
        </w:tc>
        <w:tc>
          <w:tcPr>
            <w:tcW w:w="1300" w:type="dxa"/>
          </w:tcPr>
          <w:p w14:paraId="60A4AA0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-29.72</w:t>
            </w:r>
          </w:p>
        </w:tc>
        <w:tc>
          <w:tcPr>
            <w:tcW w:w="1249" w:type="dxa"/>
          </w:tcPr>
          <w:p w14:paraId="281C7A6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11.4</w:t>
            </w:r>
          </w:p>
        </w:tc>
        <w:tc>
          <w:tcPr>
            <w:tcW w:w="1249" w:type="dxa"/>
          </w:tcPr>
          <w:p w14:paraId="6790BEC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-41.12</w:t>
            </w:r>
          </w:p>
        </w:tc>
      </w:tr>
      <w:tr w:rsidR="00AC50E9" w:rsidRPr="00D12E59" w14:paraId="6CD07AC6" w14:textId="77777777" w:rsidTr="008D6FB2">
        <w:trPr>
          <w:trHeight w:val="291"/>
        </w:trPr>
        <w:tc>
          <w:tcPr>
            <w:tcW w:w="621" w:type="dxa"/>
          </w:tcPr>
          <w:p w14:paraId="379C3DD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2006</w:t>
            </w:r>
          </w:p>
        </w:tc>
        <w:tc>
          <w:tcPr>
            <w:tcW w:w="1300" w:type="dxa"/>
          </w:tcPr>
          <w:p w14:paraId="7FFE53F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5.21</w:t>
            </w:r>
          </w:p>
        </w:tc>
        <w:tc>
          <w:tcPr>
            <w:tcW w:w="1249" w:type="dxa"/>
          </w:tcPr>
          <w:p w14:paraId="5AE9627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9.6</w:t>
            </w:r>
          </w:p>
        </w:tc>
        <w:tc>
          <w:tcPr>
            <w:tcW w:w="1249" w:type="dxa"/>
          </w:tcPr>
          <w:p w14:paraId="46740AD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-4.39</w:t>
            </w:r>
          </w:p>
        </w:tc>
      </w:tr>
      <w:tr w:rsidR="00AC50E9" w:rsidRPr="00D12E59" w14:paraId="59B72AA2" w14:textId="77777777" w:rsidTr="008D6FB2">
        <w:trPr>
          <w:trHeight w:val="291"/>
        </w:trPr>
        <w:tc>
          <w:tcPr>
            <w:tcW w:w="621" w:type="dxa"/>
          </w:tcPr>
          <w:p w14:paraId="1502DF4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2007</w:t>
            </w:r>
          </w:p>
        </w:tc>
        <w:tc>
          <w:tcPr>
            <w:tcW w:w="1300" w:type="dxa"/>
          </w:tcPr>
          <w:p w14:paraId="2A3BE56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31.21</w:t>
            </w:r>
          </w:p>
        </w:tc>
        <w:tc>
          <w:tcPr>
            <w:tcW w:w="1249" w:type="dxa"/>
          </w:tcPr>
          <w:p w14:paraId="56DBA47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10.6</w:t>
            </w:r>
          </w:p>
        </w:tc>
        <w:tc>
          <w:tcPr>
            <w:tcW w:w="1249" w:type="dxa"/>
          </w:tcPr>
          <w:p w14:paraId="4342189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20.61</w:t>
            </w:r>
          </w:p>
        </w:tc>
      </w:tr>
      <w:tr w:rsidR="00AC50E9" w:rsidRPr="00D12E59" w14:paraId="31114D14" w14:textId="77777777" w:rsidTr="008D6FB2">
        <w:trPr>
          <w:trHeight w:val="291"/>
        </w:trPr>
        <w:tc>
          <w:tcPr>
            <w:tcW w:w="621" w:type="dxa"/>
          </w:tcPr>
          <w:p w14:paraId="62EB5C6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2008</w:t>
            </w:r>
          </w:p>
        </w:tc>
        <w:tc>
          <w:tcPr>
            <w:tcW w:w="1300" w:type="dxa"/>
          </w:tcPr>
          <w:p w14:paraId="7A447CD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58.16</w:t>
            </w:r>
          </w:p>
        </w:tc>
        <w:tc>
          <w:tcPr>
            <w:tcW w:w="1249" w:type="dxa"/>
          </w:tcPr>
          <w:p w14:paraId="3075F80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24.7</w:t>
            </w:r>
          </w:p>
        </w:tc>
        <w:tc>
          <w:tcPr>
            <w:tcW w:w="1249" w:type="dxa"/>
          </w:tcPr>
          <w:p w14:paraId="38B9201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33.46</w:t>
            </w:r>
          </w:p>
        </w:tc>
      </w:tr>
      <w:tr w:rsidR="00AC50E9" w:rsidRPr="00D12E59" w14:paraId="7C841919" w14:textId="77777777" w:rsidTr="008D6FB2">
        <w:trPr>
          <w:trHeight w:val="291"/>
        </w:trPr>
        <w:tc>
          <w:tcPr>
            <w:tcW w:w="621" w:type="dxa"/>
          </w:tcPr>
          <w:p w14:paraId="7FC6C49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2009</w:t>
            </w:r>
          </w:p>
        </w:tc>
        <w:tc>
          <w:tcPr>
            <w:tcW w:w="1300" w:type="dxa"/>
          </w:tcPr>
          <w:p w14:paraId="0771BEC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-46.58</w:t>
            </w:r>
          </w:p>
        </w:tc>
        <w:tc>
          <w:tcPr>
            <w:tcW w:w="1249" w:type="dxa"/>
          </w:tcPr>
          <w:p w14:paraId="31AFFEE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22.5</w:t>
            </w:r>
          </w:p>
        </w:tc>
        <w:tc>
          <w:tcPr>
            <w:tcW w:w="1249" w:type="dxa"/>
          </w:tcPr>
          <w:p w14:paraId="47D2C95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-69.08</w:t>
            </w:r>
          </w:p>
        </w:tc>
      </w:tr>
      <w:tr w:rsidR="00AC50E9" w:rsidRPr="00D12E59" w14:paraId="0B35F207" w14:textId="77777777" w:rsidTr="008D6FB2">
        <w:trPr>
          <w:trHeight w:val="291"/>
        </w:trPr>
        <w:tc>
          <w:tcPr>
            <w:tcW w:w="621" w:type="dxa"/>
            <w:tcBorders>
              <w:bottom w:val="single" w:sz="4" w:space="0" w:color="auto"/>
            </w:tcBorders>
          </w:tcPr>
          <w:p w14:paraId="72C3E13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2010</w:t>
            </w:r>
          </w:p>
        </w:tc>
        <w:tc>
          <w:tcPr>
            <w:tcW w:w="1300" w:type="dxa"/>
            <w:tcBorders>
              <w:bottom w:val="single" w:sz="4" w:space="0" w:color="auto"/>
            </w:tcBorders>
          </w:tcPr>
          <w:p w14:paraId="5FA50FD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32.25</w:t>
            </w:r>
          </w:p>
        </w:tc>
        <w:tc>
          <w:tcPr>
            <w:tcW w:w="1249" w:type="dxa"/>
            <w:tcBorders>
              <w:bottom w:val="single" w:sz="4" w:space="0" w:color="auto"/>
            </w:tcBorders>
          </w:tcPr>
          <w:p w14:paraId="5A5CAE5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12.25</w:t>
            </w:r>
          </w:p>
        </w:tc>
        <w:tc>
          <w:tcPr>
            <w:tcW w:w="1249" w:type="dxa"/>
            <w:tcBorders>
              <w:bottom w:val="single" w:sz="4" w:space="0" w:color="auto"/>
            </w:tcBorders>
          </w:tcPr>
          <w:p w14:paraId="30997BF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w:t>
            </w:r>
          </w:p>
        </w:tc>
      </w:tr>
    </w:tbl>
    <w:p w14:paraId="2F929F9B" w14:textId="77777777" w:rsidR="00AC50E9" w:rsidRPr="00E3232D" w:rsidRDefault="00AC50E9" w:rsidP="0069035A">
      <w:pPr>
        <w:pStyle w:val="Default"/>
        <w:spacing w:after="0"/>
        <w:rPr>
          <w:rFonts w:ascii="Book Antiqua" w:hAnsi="Book Antiqua"/>
          <w:sz w:val="22"/>
          <w:szCs w:val="22"/>
        </w:rPr>
      </w:pPr>
    </w:p>
    <w:p w14:paraId="2701C577" w14:textId="77777777" w:rsidR="00AC50E9" w:rsidRPr="00E3232D" w:rsidRDefault="00AC50E9" w:rsidP="008275E1">
      <w:pPr>
        <w:pStyle w:val="Default"/>
        <w:rPr>
          <w:rFonts w:ascii="Book Antiqua" w:hAnsi="Book Antiqua"/>
          <w:sz w:val="22"/>
          <w:szCs w:val="22"/>
        </w:rPr>
      </w:pPr>
      <w:r w:rsidRPr="00E3232D">
        <w:rPr>
          <w:rFonts w:ascii="Book Antiqua" w:hAnsi="Book Antiqua"/>
          <w:sz w:val="22"/>
          <w:szCs w:val="22"/>
        </w:rPr>
        <w:t>Table 5 indicates an average risk premium of 5.12% over the 21 years. That is on average, investors who own share would demand a premium of 5.12% over the Treasury Bills rate to induce them to hold the share. The Table further gives an interesting revelation that 12 out of the 21 years studied, indicated negative risk premium, meaning that investors were rather lost out, as result of taking risk and investing in shares. The results can be further analyzed using the comparative approach.</w:t>
      </w:r>
    </w:p>
    <w:p w14:paraId="0A013D00" w14:textId="77777777" w:rsidR="00AC50E9" w:rsidRPr="00E3232D" w:rsidRDefault="00AC50E9" w:rsidP="008275E1">
      <w:pPr>
        <w:pStyle w:val="Default"/>
        <w:rPr>
          <w:rFonts w:ascii="Book Antiqua" w:hAnsi="Book Antiqua"/>
          <w:b/>
          <w:bCs/>
          <w:sz w:val="22"/>
          <w:szCs w:val="22"/>
        </w:rPr>
      </w:pPr>
      <w:r w:rsidRPr="00E3232D">
        <w:rPr>
          <w:rFonts w:ascii="Book Antiqua" w:hAnsi="Book Antiqua"/>
          <w:b/>
          <w:bCs/>
          <w:sz w:val="22"/>
          <w:szCs w:val="22"/>
        </w:rPr>
        <w:t xml:space="preserve">3.3.1 Return Analysis </w:t>
      </w:r>
    </w:p>
    <w:p w14:paraId="6C8DE983" w14:textId="77777777" w:rsidR="00AC50E9" w:rsidRPr="0069035A" w:rsidRDefault="00AC50E9" w:rsidP="008275E1">
      <w:pPr>
        <w:pStyle w:val="Default"/>
        <w:rPr>
          <w:rFonts w:ascii="Book Antiqua" w:hAnsi="Book Antiqua"/>
          <w:sz w:val="22"/>
          <w:szCs w:val="22"/>
        </w:rPr>
      </w:pPr>
      <w:r w:rsidRPr="00E3232D">
        <w:rPr>
          <w:rFonts w:ascii="Book Antiqua" w:hAnsi="Book Antiqua"/>
          <w:sz w:val="22"/>
          <w:szCs w:val="22"/>
        </w:rPr>
        <w:t xml:space="preserve">Column 1 and 2 (Ref. Table 4) show estimates of arithmetic mean annual rates of returns (nominal and real) for treasury bills and stocks (equities) represented by GSE index for the period 1990 to 2010. The results shows that in nominal terms both treasury bills and GSE index posted positive returns over the period. However, GSE index posted a higher average rate of return of 32.55% per annum over the period. The return analysis also indicates that in real terms the GSE index performed better than Treasury bills as shown by the average real return estimates for both instruments. The GSE index and Treasury bills recorded positive average real returns of 9.61% and 4.49% per annum respectively. The average real rate of return recorded by GSE index during the period 1990 to 2010 was relatively better hedged against inflation than the treasury bills. </w:t>
      </w:r>
    </w:p>
    <w:p w14:paraId="1B442F7E" w14:textId="77777777" w:rsidR="00AC50E9" w:rsidRPr="00E3232D" w:rsidRDefault="00AC50E9" w:rsidP="008275E1">
      <w:pPr>
        <w:pStyle w:val="Default"/>
        <w:rPr>
          <w:rFonts w:ascii="Book Antiqua" w:hAnsi="Book Antiqua"/>
          <w:sz w:val="22"/>
          <w:szCs w:val="22"/>
        </w:rPr>
      </w:pPr>
      <w:r w:rsidRPr="00E3232D">
        <w:rPr>
          <w:rFonts w:ascii="Book Antiqua" w:hAnsi="Book Antiqua"/>
          <w:b/>
          <w:bCs/>
          <w:sz w:val="22"/>
          <w:szCs w:val="22"/>
        </w:rPr>
        <w:t xml:space="preserve">3.3.2 Risk Analysis </w:t>
      </w:r>
    </w:p>
    <w:p w14:paraId="21DEB3A4" w14:textId="77777777" w:rsidR="00AC50E9" w:rsidRPr="00E3232D" w:rsidRDefault="00AC50E9" w:rsidP="008275E1">
      <w:pPr>
        <w:pStyle w:val="Default"/>
        <w:rPr>
          <w:rFonts w:ascii="Book Antiqua" w:hAnsi="Book Antiqua"/>
          <w:sz w:val="22"/>
          <w:szCs w:val="22"/>
        </w:rPr>
      </w:pPr>
      <w:r w:rsidRPr="00E3232D">
        <w:rPr>
          <w:rFonts w:ascii="Book Antiqua" w:hAnsi="Book Antiqua"/>
          <w:bCs/>
          <w:sz w:val="22"/>
          <w:szCs w:val="22"/>
        </w:rPr>
        <w:t xml:space="preserve">a. Standard Deviation (a measure of risk) </w:t>
      </w:r>
    </w:p>
    <w:p w14:paraId="779E5D43" w14:textId="77777777" w:rsidR="00AC50E9" w:rsidRPr="0069035A" w:rsidRDefault="00AC50E9" w:rsidP="008275E1">
      <w:pPr>
        <w:pStyle w:val="Default"/>
        <w:rPr>
          <w:rFonts w:ascii="Book Antiqua" w:hAnsi="Book Antiqua"/>
          <w:sz w:val="22"/>
          <w:szCs w:val="22"/>
        </w:rPr>
      </w:pPr>
      <w:r w:rsidRPr="00E3232D">
        <w:rPr>
          <w:rFonts w:ascii="Book Antiqua" w:hAnsi="Book Antiqua"/>
          <w:sz w:val="22"/>
          <w:szCs w:val="22"/>
        </w:rPr>
        <w:t xml:space="preserve">Table 4 shows standard deviation of treasury bills and GSE index .The GSE Index turned to be by far riskier instruments than treasury bills. The risk involved is indicated by the standard deviation of 52.30%. Thus in terms of risk, the 91 Day – Treasury bills had lower risk as measured by the standard deviation of the instrument and in terms of returns; the treasury bills recorded the lower returns in both nominal and real terms over the period of 1990 to 2010. </w:t>
      </w:r>
    </w:p>
    <w:p w14:paraId="116CC682" w14:textId="77777777" w:rsidR="00AC50E9" w:rsidRPr="00E3232D" w:rsidRDefault="00AC50E9" w:rsidP="008275E1">
      <w:pPr>
        <w:pStyle w:val="Default"/>
        <w:rPr>
          <w:rFonts w:ascii="Book Antiqua" w:hAnsi="Book Antiqua"/>
          <w:sz w:val="22"/>
          <w:szCs w:val="22"/>
        </w:rPr>
      </w:pPr>
      <w:r w:rsidRPr="00E3232D">
        <w:rPr>
          <w:rFonts w:ascii="Book Antiqua" w:hAnsi="Book Antiqua"/>
          <w:bCs/>
          <w:sz w:val="22"/>
          <w:szCs w:val="22"/>
        </w:rPr>
        <w:t xml:space="preserve">b. </w:t>
      </w:r>
      <w:r w:rsidRPr="00470677">
        <w:rPr>
          <w:rFonts w:ascii="Book Antiqua" w:hAnsi="Book Antiqua"/>
          <w:b/>
          <w:bCs/>
          <w:sz w:val="22"/>
          <w:szCs w:val="22"/>
        </w:rPr>
        <w:t>Co-efficient of Variation</w:t>
      </w:r>
      <w:r w:rsidRPr="00E3232D">
        <w:rPr>
          <w:rFonts w:ascii="Book Antiqua" w:hAnsi="Book Antiqua"/>
          <w:bCs/>
          <w:sz w:val="22"/>
          <w:szCs w:val="22"/>
        </w:rPr>
        <w:t xml:space="preserve"> </w:t>
      </w:r>
    </w:p>
    <w:p w14:paraId="150823C0" w14:textId="77777777" w:rsidR="007A0633" w:rsidRPr="0069035A" w:rsidRDefault="00AC50E9" w:rsidP="008275E1">
      <w:pPr>
        <w:pStyle w:val="Default"/>
        <w:rPr>
          <w:rFonts w:ascii="Book Antiqua" w:hAnsi="Book Antiqua"/>
          <w:sz w:val="22"/>
          <w:szCs w:val="22"/>
        </w:rPr>
      </w:pPr>
      <w:r w:rsidRPr="00E3232D">
        <w:rPr>
          <w:rFonts w:ascii="Book Antiqua" w:hAnsi="Book Antiqua"/>
          <w:sz w:val="22"/>
          <w:szCs w:val="22"/>
        </w:rPr>
        <w:t xml:space="preserve">The assertion is further confirmed by the Co – efficient of Variation, which measures the relative risk. In terms of co – efficient of variation, the 91 – Day Treasury bill recorded the lower co – efficient of 0.42, emphasizing the fact that Treasury bills is less risky than GSE index. The GSE index had a very high co – efficient of variation of 1.61 because of its large standard deviation. </w:t>
      </w:r>
    </w:p>
    <w:p w14:paraId="74502AE7" w14:textId="77777777" w:rsidR="00AC50E9" w:rsidRPr="00E3232D" w:rsidRDefault="00AC50E9" w:rsidP="008275E1">
      <w:pPr>
        <w:pStyle w:val="Default"/>
        <w:rPr>
          <w:rFonts w:ascii="Book Antiqua" w:hAnsi="Book Antiqua"/>
          <w:b/>
          <w:bCs/>
          <w:iCs/>
          <w:sz w:val="22"/>
          <w:szCs w:val="22"/>
        </w:rPr>
      </w:pPr>
      <w:r w:rsidRPr="00E3232D">
        <w:rPr>
          <w:rFonts w:ascii="Book Antiqua" w:hAnsi="Book Antiqua"/>
          <w:b/>
          <w:bCs/>
          <w:iCs/>
          <w:sz w:val="22"/>
          <w:szCs w:val="22"/>
        </w:rPr>
        <w:t xml:space="preserve">5.0 </w:t>
      </w:r>
      <w:r w:rsidRPr="0069035A">
        <w:rPr>
          <w:rFonts w:ascii="Book Antiqua" w:hAnsi="Book Antiqua"/>
          <w:b/>
          <w:bCs/>
          <w:iCs/>
          <w:sz w:val="26"/>
          <w:szCs w:val="22"/>
        </w:rPr>
        <w:t>Conclusion</w:t>
      </w:r>
      <w:r w:rsidRPr="00E3232D">
        <w:rPr>
          <w:rFonts w:ascii="Book Antiqua" w:hAnsi="Book Antiqua"/>
          <w:b/>
          <w:bCs/>
          <w:iCs/>
          <w:sz w:val="22"/>
          <w:szCs w:val="22"/>
        </w:rPr>
        <w:t xml:space="preserve"> </w:t>
      </w:r>
    </w:p>
    <w:p w14:paraId="428ADBED" w14:textId="77777777" w:rsidR="00AC50E9" w:rsidRPr="00E3232D" w:rsidRDefault="00AC50E9" w:rsidP="008275E1">
      <w:pPr>
        <w:pStyle w:val="Default"/>
        <w:rPr>
          <w:rFonts w:ascii="Book Antiqua" w:hAnsi="Book Antiqua"/>
          <w:b/>
          <w:bCs/>
          <w:i/>
          <w:iCs/>
          <w:sz w:val="22"/>
          <w:szCs w:val="22"/>
        </w:rPr>
      </w:pPr>
      <w:r w:rsidRPr="00E3232D">
        <w:rPr>
          <w:rFonts w:ascii="Book Antiqua" w:hAnsi="Book Antiqua"/>
          <w:sz w:val="22"/>
          <w:szCs w:val="22"/>
        </w:rPr>
        <w:t>The study based on the above summary has proved the hypothesis that average annual returns on both treasury bills and listed equities are normally over and above the average rate of inflation. It also confirms the hypothesis that investments in equities have higher returns in the long run than investments in treasury bills. A disclaimer however, needs to be made that future performance may differ from past performance. Investments in shares, thus appears to be a better instrument than treasury bills. Additionally investors have been adequately rewarded for bearing risk as stock exchange traded shares for the period under study returned a positive average annual risk (market risk) premium of 5.12% over treasury bills. It is recommended that the government should pursue sound macroeconomic policies that will ensure inflation and other factors are fairly stable, to encourage greater savings and investment.</w:t>
      </w:r>
    </w:p>
    <w:p w14:paraId="6423DE40" w14:textId="77777777" w:rsidR="00AC50E9" w:rsidRPr="00E3232D" w:rsidRDefault="00AC50E9" w:rsidP="008275E1">
      <w:pPr>
        <w:pStyle w:val="Default"/>
        <w:rPr>
          <w:rFonts w:ascii="Book Antiqua" w:hAnsi="Book Antiqua"/>
          <w:b/>
          <w:bCs/>
          <w:i/>
          <w:iCs/>
          <w:sz w:val="22"/>
          <w:szCs w:val="22"/>
        </w:rPr>
      </w:pPr>
    </w:p>
    <w:p w14:paraId="4F121E35" w14:textId="77777777" w:rsidR="00AC50E9" w:rsidRPr="00E3232D" w:rsidRDefault="00AC50E9" w:rsidP="008275E1">
      <w:pPr>
        <w:pStyle w:val="Default"/>
        <w:rPr>
          <w:rFonts w:ascii="Book Antiqua" w:hAnsi="Book Antiqua"/>
          <w:b/>
          <w:sz w:val="22"/>
          <w:szCs w:val="22"/>
        </w:rPr>
      </w:pPr>
      <w:r w:rsidRPr="00E3232D">
        <w:rPr>
          <w:rFonts w:ascii="Book Antiqua" w:hAnsi="Book Antiqua"/>
          <w:b/>
          <w:sz w:val="22"/>
          <w:szCs w:val="22"/>
        </w:rPr>
        <w:t>Acknowledgements</w:t>
      </w:r>
    </w:p>
    <w:p w14:paraId="051DB2BF" w14:textId="77777777" w:rsidR="00805729" w:rsidRPr="0069035A" w:rsidRDefault="00AC50E9" w:rsidP="008275E1">
      <w:pPr>
        <w:pStyle w:val="Default"/>
        <w:rPr>
          <w:rFonts w:ascii="Book Antiqua" w:hAnsi="Book Antiqua"/>
          <w:b/>
          <w:bCs/>
          <w:iCs/>
          <w:sz w:val="22"/>
          <w:szCs w:val="22"/>
        </w:rPr>
      </w:pPr>
      <w:r w:rsidRPr="00E3232D">
        <w:rPr>
          <w:rFonts w:ascii="Book Antiqua" w:hAnsi="Book Antiqua"/>
          <w:sz w:val="22"/>
          <w:szCs w:val="22"/>
        </w:rPr>
        <w:t xml:space="preserve">The researchers are grateful to the management of Koforidua Polytechnic for sponsoring this research work. </w:t>
      </w:r>
    </w:p>
    <w:p w14:paraId="5F5EF48B" w14:textId="77777777" w:rsidR="00AC50E9" w:rsidRPr="00E3232D" w:rsidRDefault="00AC50E9" w:rsidP="008275E1">
      <w:pPr>
        <w:pStyle w:val="Default"/>
        <w:rPr>
          <w:rFonts w:ascii="Book Antiqua" w:hAnsi="Book Antiqua"/>
          <w:b/>
          <w:bCs/>
          <w:i/>
          <w:iCs/>
          <w:sz w:val="22"/>
          <w:szCs w:val="22"/>
        </w:rPr>
      </w:pPr>
      <w:r w:rsidRPr="0069035A">
        <w:rPr>
          <w:rFonts w:ascii="Book Antiqua" w:hAnsi="Book Antiqua"/>
          <w:b/>
          <w:bCs/>
          <w:iCs/>
          <w:sz w:val="26"/>
          <w:szCs w:val="22"/>
        </w:rPr>
        <w:t>References</w:t>
      </w:r>
      <w:r w:rsidRPr="00E3232D">
        <w:rPr>
          <w:rFonts w:ascii="Book Antiqua" w:hAnsi="Book Antiqua"/>
          <w:b/>
          <w:bCs/>
          <w:i/>
          <w:iCs/>
          <w:sz w:val="22"/>
          <w:szCs w:val="22"/>
        </w:rPr>
        <w:t xml:space="preserve"> </w:t>
      </w:r>
    </w:p>
    <w:p w14:paraId="58D86A50"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A. Q. Q. Aboagye, S. K. Akoena, T. O. Antwi-Asare and F. A. Gockel, (2008), “Explaining Interest Rate Spreads in Ghana”, </w:t>
      </w:r>
      <w:r w:rsidRPr="00E3232D">
        <w:rPr>
          <w:rFonts w:ascii="Book Antiqua" w:hAnsi="Book Antiqua"/>
          <w:i/>
          <w:iCs/>
          <w:sz w:val="22"/>
          <w:szCs w:val="22"/>
        </w:rPr>
        <w:t xml:space="preserve">African Development Review, </w:t>
      </w:r>
      <w:r w:rsidRPr="00E3232D">
        <w:rPr>
          <w:rFonts w:ascii="Book Antiqua" w:hAnsi="Book Antiqua"/>
          <w:sz w:val="22"/>
          <w:szCs w:val="22"/>
        </w:rPr>
        <w:t xml:space="preserve">vol. 20 no 3, 378 - 399. </w:t>
      </w:r>
    </w:p>
    <w:p w14:paraId="01735589"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Boudoukh, J., Richardson, M. and Whitelaw, R. F. (1994). Industry Returns and the fisher effect. The Journal of Finance 49, 1595-1615. Bradley, M., Jarrell, G. and Kim, E. (1984), “On the existence of an optimal capital structure”, Journal of Finance, Vol. 39, pp. 857-78. </w:t>
      </w:r>
    </w:p>
    <w:p w14:paraId="40A50D69" w14:textId="77777777" w:rsidR="00AC50E9" w:rsidRPr="00E3232D" w:rsidRDefault="00AC50E9" w:rsidP="0069035A">
      <w:pPr>
        <w:pStyle w:val="Default"/>
        <w:ind w:left="720" w:hanging="720"/>
        <w:rPr>
          <w:rFonts w:ascii="Book Antiqua" w:hAnsi="Book Antiqua"/>
          <w:sz w:val="22"/>
          <w:szCs w:val="22"/>
        </w:rPr>
      </w:pPr>
    </w:p>
    <w:p w14:paraId="1700482B"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Brandt, M., and K. Kavajecz, 2002, Price discovery in the U.S. Treasury Market: The impact of orderflow and liquidity on the yield curve, working paper, University of Pennsylvania, Philadelphia, PA. </w:t>
      </w:r>
    </w:p>
    <w:p w14:paraId="00DD6275" w14:textId="77777777" w:rsidR="00AC50E9" w:rsidRPr="00E3232D" w:rsidRDefault="00AC50E9" w:rsidP="0069035A">
      <w:pPr>
        <w:pStyle w:val="Default"/>
        <w:ind w:left="720" w:hanging="720"/>
        <w:rPr>
          <w:rFonts w:ascii="Book Antiqua" w:hAnsi="Book Antiqua"/>
          <w:sz w:val="22"/>
          <w:szCs w:val="22"/>
        </w:rPr>
      </w:pPr>
    </w:p>
    <w:p w14:paraId="4816C4E5"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Campbell, J. and J. Ammer, 1993, what moves the stock and bond markets? A variance decomposition for long-term asset returns, Journal of Finance 48, 3-37. </w:t>
      </w:r>
    </w:p>
    <w:p w14:paraId="2C8C6D58" w14:textId="77777777" w:rsidR="00AC50E9" w:rsidRPr="00E3232D" w:rsidRDefault="00AC50E9" w:rsidP="0069035A">
      <w:pPr>
        <w:pStyle w:val="Default"/>
        <w:ind w:left="720" w:hanging="720"/>
        <w:rPr>
          <w:rFonts w:ascii="Book Antiqua" w:hAnsi="Book Antiqua"/>
          <w:sz w:val="22"/>
          <w:szCs w:val="22"/>
        </w:rPr>
      </w:pPr>
    </w:p>
    <w:p w14:paraId="224B9A58"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Campbell, J.Y. and Vuolteenaho, T. (2004). Inflation Illusion and Stock Prices. The American Economic Review 94, 19-23. </w:t>
      </w:r>
    </w:p>
    <w:p w14:paraId="496CDF7C" w14:textId="77777777" w:rsidR="00AC50E9" w:rsidRPr="00E3232D" w:rsidRDefault="00AC50E9" w:rsidP="0069035A">
      <w:pPr>
        <w:pStyle w:val="Default"/>
        <w:ind w:left="720" w:hanging="720"/>
        <w:rPr>
          <w:rFonts w:ascii="Book Antiqua" w:hAnsi="Book Antiqua"/>
          <w:sz w:val="22"/>
          <w:szCs w:val="22"/>
        </w:rPr>
      </w:pPr>
    </w:p>
    <w:p w14:paraId="70C676C1"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Edelen R., and J. Warner, 2001, Aggregate price effects of institutional trading: a study of mutual fund flow and market returns, Journal of Financial Economics 59, 195-220. </w:t>
      </w:r>
    </w:p>
    <w:p w14:paraId="08C6BABC" w14:textId="77777777" w:rsidR="00AC50E9" w:rsidRPr="00E3232D" w:rsidRDefault="00AC50E9" w:rsidP="0069035A">
      <w:pPr>
        <w:pStyle w:val="Default"/>
        <w:ind w:left="720" w:hanging="720"/>
        <w:rPr>
          <w:rFonts w:ascii="Book Antiqua" w:hAnsi="Book Antiqua"/>
          <w:sz w:val="22"/>
          <w:szCs w:val="22"/>
        </w:rPr>
      </w:pPr>
    </w:p>
    <w:p w14:paraId="4AF67212"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Fama, E.F. and Gibbons, M. R. (1981). Inflation, real returns and capital investment. Journal of Monetary Economics 9, 297-323. Fisher, I. (1930). The Theory of Interest. New York, MacMillan.</w:t>
      </w:r>
    </w:p>
    <w:p w14:paraId="6B830A15" w14:textId="77777777" w:rsidR="00AC50E9" w:rsidRPr="00E3232D" w:rsidRDefault="00AC50E9" w:rsidP="0069035A">
      <w:pPr>
        <w:pStyle w:val="Default"/>
        <w:ind w:left="720" w:hanging="720"/>
        <w:rPr>
          <w:rFonts w:ascii="Book Antiqua" w:hAnsi="Book Antiqua"/>
          <w:sz w:val="22"/>
          <w:szCs w:val="22"/>
        </w:rPr>
      </w:pPr>
    </w:p>
    <w:p w14:paraId="1D26B6E6"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Fleming, M., and E. Remolona, 1997, what moves the bond market? Economic Policy Review, Vol. 3, No. 4, December 1997, 31-50. </w:t>
      </w:r>
    </w:p>
    <w:p w14:paraId="7143655A" w14:textId="77777777" w:rsidR="00AC50E9" w:rsidRPr="00E3232D" w:rsidRDefault="00AC50E9" w:rsidP="0069035A">
      <w:pPr>
        <w:pStyle w:val="Default"/>
        <w:ind w:left="720" w:hanging="720"/>
        <w:rPr>
          <w:rFonts w:ascii="Book Antiqua" w:hAnsi="Book Antiqua"/>
          <w:sz w:val="22"/>
          <w:szCs w:val="22"/>
        </w:rPr>
      </w:pPr>
    </w:p>
    <w:p w14:paraId="419418B1"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Fleming, J., C. Kirby, and B. Ostdiek, 1998, Information and volatility linkages in the stock, bond, and money markets, Journal of Financial Economics 49, 111-137. </w:t>
      </w:r>
    </w:p>
    <w:p w14:paraId="698426D3" w14:textId="77777777" w:rsidR="00AC50E9" w:rsidRPr="00E3232D" w:rsidRDefault="00AC50E9" w:rsidP="0069035A">
      <w:pPr>
        <w:pStyle w:val="Default"/>
        <w:ind w:left="720" w:hanging="720"/>
        <w:rPr>
          <w:rFonts w:ascii="Book Antiqua" w:hAnsi="Book Antiqua"/>
          <w:sz w:val="22"/>
          <w:szCs w:val="22"/>
        </w:rPr>
      </w:pPr>
    </w:p>
    <w:p w14:paraId="0DD25568" w14:textId="77777777" w:rsidR="00AC50E9" w:rsidRPr="00E3232D" w:rsidRDefault="00AC50E9" w:rsidP="0069035A">
      <w:pPr>
        <w:pStyle w:val="Default"/>
        <w:ind w:left="720" w:hanging="720"/>
        <w:rPr>
          <w:rFonts w:ascii="Book Antiqua" w:hAnsi="Book Antiqua"/>
          <w:sz w:val="22"/>
          <w:szCs w:val="22"/>
        </w:rPr>
      </w:pPr>
    </w:p>
    <w:p w14:paraId="592327B5" w14:textId="77777777" w:rsidR="00AC50E9" w:rsidRPr="00E3232D" w:rsidRDefault="00AC50E9" w:rsidP="0069035A">
      <w:pPr>
        <w:pStyle w:val="Default"/>
        <w:ind w:left="720" w:hanging="720"/>
        <w:rPr>
          <w:rFonts w:ascii="Book Antiqua" w:hAnsi="Book Antiqua"/>
          <w:sz w:val="22"/>
          <w:szCs w:val="22"/>
        </w:rPr>
      </w:pPr>
    </w:p>
    <w:p w14:paraId="34B73C0C"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Geske, R. and Roll, R. (1983). The fiscal and monetary linkage between stock returns and inflation. Journal of Finance 38, 1-33. </w:t>
      </w:r>
    </w:p>
    <w:p w14:paraId="74876469" w14:textId="77777777" w:rsidR="00AC50E9" w:rsidRPr="00E3232D" w:rsidRDefault="00AC50E9" w:rsidP="0069035A">
      <w:pPr>
        <w:pStyle w:val="Default"/>
        <w:ind w:left="720" w:hanging="720"/>
        <w:rPr>
          <w:rFonts w:ascii="Book Antiqua" w:hAnsi="Book Antiqua"/>
          <w:sz w:val="22"/>
          <w:szCs w:val="22"/>
        </w:rPr>
      </w:pPr>
    </w:p>
    <w:p w14:paraId="0923F800"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Goetzmann, W., and M. Massa, 2002, Daily momentum and contrarian behavior of index fund investors, Journal of Financial and Quantitative Analysis 37, 375-389. </w:t>
      </w:r>
    </w:p>
    <w:p w14:paraId="43EDC22F" w14:textId="77777777" w:rsidR="00AC50E9" w:rsidRPr="00E3232D" w:rsidRDefault="00AC50E9" w:rsidP="0069035A">
      <w:pPr>
        <w:pStyle w:val="Default"/>
        <w:ind w:left="720" w:hanging="720"/>
        <w:rPr>
          <w:rFonts w:ascii="Book Antiqua" w:hAnsi="Book Antiqua"/>
          <w:sz w:val="22"/>
          <w:szCs w:val="22"/>
        </w:rPr>
      </w:pPr>
    </w:p>
    <w:p w14:paraId="133F6908"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Hasbrouck, J., and D. Seppi, 2001, Common factors in prices, order flows and liquidity, Journal of Financial Economics 59, 383-411. </w:t>
      </w:r>
    </w:p>
    <w:p w14:paraId="02AD173A" w14:textId="77777777" w:rsidR="00AC50E9" w:rsidRPr="00E3232D" w:rsidRDefault="00AC50E9" w:rsidP="0069035A">
      <w:pPr>
        <w:pStyle w:val="Default"/>
        <w:ind w:left="720" w:hanging="720"/>
        <w:rPr>
          <w:rFonts w:ascii="Book Antiqua" w:hAnsi="Book Antiqua"/>
          <w:sz w:val="22"/>
          <w:szCs w:val="22"/>
        </w:rPr>
      </w:pPr>
    </w:p>
    <w:p w14:paraId="4560ABD7"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Huang, R., J. Cai, and X. Wang, 2001, Inventory risk-sharing and public information-based trading in the Treasury Note interdealer broker market, working paper, University of Notre Dame, Notre Dame, IN. </w:t>
      </w:r>
    </w:p>
    <w:p w14:paraId="28AD318C" w14:textId="77777777" w:rsidR="00AC50E9" w:rsidRPr="00E3232D" w:rsidRDefault="00AC50E9" w:rsidP="0069035A">
      <w:pPr>
        <w:pStyle w:val="Default"/>
        <w:ind w:left="720" w:hanging="720"/>
        <w:rPr>
          <w:rFonts w:ascii="Book Antiqua" w:hAnsi="Book Antiqua"/>
          <w:sz w:val="22"/>
          <w:szCs w:val="22"/>
        </w:rPr>
      </w:pPr>
    </w:p>
    <w:p w14:paraId="17529B8F"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Jacoby, G., D. Fowler, and A. Gottesman, 2000, The capital asset pricing model and the liquidity effect: A theoretical approach, Journal of Financial Markets 3, 69-81. </w:t>
      </w:r>
    </w:p>
    <w:p w14:paraId="57266C4E" w14:textId="77777777" w:rsidR="00AC50E9" w:rsidRPr="00E3232D" w:rsidRDefault="00AC50E9" w:rsidP="0069035A">
      <w:pPr>
        <w:pStyle w:val="Default"/>
        <w:ind w:left="720" w:hanging="720"/>
        <w:rPr>
          <w:rFonts w:ascii="Book Antiqua" w:hAnsi="Book Antiqua"/>
          <w:sz w:val="22"/>
          <w:szCs w:val="22"/>
        </w:rPr>
      </w:pPr>
    </w:p>
    <w:p w14:paraId="7815BE61" w14:textId="77777777" w:rsidR="00AC50E9" w:rsidRPr="00E3232D" w:rsidRDefault="00AC50E9" w:rsidP="0069035A">
      <w:pPr>
        <w:pStyle w:val="Default"/>
        <w:ind w:left="720" w:hanging="720"/>
        <w:rPr>
          <w:rFonts w:ascii="Book Antiqua" w:hAnsi="Book Antiqua"/>
          <w:sz w:val="22"/>
          <w:szCs w:val="22"/>
        </w:rPr>
      </w:pPr>
      <w:r w:rsidRPr="00E3232D">
        <w:rPr>
          <w:rFonts w:ascii="Book Antiqua" w:hAnsi="Book Antiqua"/>
          <w:sz w:val="22"/>
          <w:szCs w:val="22"/>
        </w:rPr>
        <w:t xml:space="preserve">Jones, C., 2001, A century of stock market liquidity and trading costs, working paper, Columbia University, New York, NY. Modigliani, F. and Cohn, R. A. (1979). Inflation, Rational Valuation and the Market. Financial Analyst Journal 35, 24-34. Noe, T.H. (1988), “Capital structure and signalling game equilibria”, The Review of Financial Studies, Vol. 1, pp. 331-55. </w:t>
      </w:r>
    </w:p>
    <w:p w14:paraId="75358B77" w14:textId="77777777" w:rsidR="00AC50E9" w:rsidRPr="00E3232D" w:rsidRDefault="00AC50E9" w:rsidP="0069035A">
      <w:pPr>
        <w:pStyle w:val="Default"/>
        <w:ind w:left="720" w:hanging="720"/>
        <w:rPr>
          <w:rFonts w:ascii="Book Antiqua" w:hAnsi="Book Antiqua"/>
          <w:sz w:val="22"/>
          <w:szCs w:val="22"/>
        </w:rPr>
      </w:pPr>
    </w:p>
    <w:p w14:paraId="22345ABB" w14:textId="77777777" w:rsidR="00AC50E9" w:rsidRPr="00E3232D" w:rsidRDefault="00AC50E9" w:rsidP="00470677">
      <w:pPr>
        <w:pStyle w:val="Default"/>
        <w:ind w:left="720" w:hanging="720"/>
        <w:rPr>
          <w:rFonts w:ascii="Book Antiqua" w:hAnsi="Book Antiqua"/>
          <w:sz w:val="22"/>
          <w:szCs w:val="22"/>
        </w:rPr>
      </w:pPr>
      <w:r w:rsidRPr="00E3232D">
        <w:rPr>
          <w:rFonts w:ascii="Book Antiqua" w:hAnsi="Book Antiqua"/>
          <w:sz w:val="22"/>
          <w:szCs w:val="22"/>
        </w:rPr>
        <w:t>O</w:t>
      </w:r>
      <w:r w:rsidRPr="00E3232D">
        <w:rPr>
          <w:rFonts w:ascii="MS Mincho" w:eastAsia="MS Mincho" w:hAnsi="MS Mincho" w:cs="MS Mincho" w:hint="eastAsia"/>
          <w:sz w:val="22"/>
          <w:szCs w:val="22"/>
        </w:rPr>
        <w:t>‟</w:t>
      </w:r>
      <w:r w:rsidRPr="00E3232D">
        <w:rPr>
          <w:rFonts w:ascii="Book Antiqua" w:hAnsi="Book Antiqua"/>
          <w:sz w:val="22"/>
          <w:szCs w:val="22"/>
        </w:rPr>
        <w:t xml:space="preserve">Hara, M., and G. Oldfield, 1986, The microeconomics of market making, Journal of Financial and Quantitative Analysis 21, 361-376. </w:t>
      </w:r>
    </w:p>
    <w:p w14:paraId="4D896D35" w14:textId="77777777" w:rsidR="00AC50E9" w:rsidRPr="00E3232D" w:rsidRDefault="00AC50E9" w:rsidP="00470677">
      <w:pPr>
        <w:pStyle w:val="Default"/>
        <w:ind w:left="720" w:hanging="720"/>
        <w:rPr>
          <w:rFonts w:ascii="Book Antiqua" w:hAnsi="Book Antiqua"/>
          <w:sz w:val="22"/>
          <w:szCs w:val="22"/>
        </w:rPr>
      </w:pPr>
    </w:p>
    <w:p w14:paraId="2C2F69B7" w14:textId="77777777" w:rsidR="00AC50E9" w:rsidRPr="00E3232D" w:rsidRDefault="00AC50E9" w:rsidP="00470677">
      <w:pPr>
        <w:pStyle w:val="Default"/>
        <w:ind w:left="720" w:hanging="720"/>
        <w:rPr>
          <w:rFonts w:ascii="Book Antiqua" w:hAnsi="Book Antiqua"/>
          <w:sz w:val="22"/>
          <w:szCs w:val="22"/>
        </w:rPr>
      </w:pPr>
      <w:r w:rsidRPr="00E3232D">
        <w:rPr>
          <w:rFonts w:ascii="Book Antiqua" w:hAnsi="Book Antiqua"/>
          <w:sz w:val="22"/>
          <w:szCs w:val="22"/>
        </w:rPr>
        <w:t xml:space="preserve">Oudet, B.A. (1973). The variation of the return on stocks in periods of inflation. The Journal of Financial and Quantitative Analysis 8, 247- 258. </w:t>
      </w:r>
    </w:p>
    <w:p w14:paraId="31F754B1" w14:textId="77777777" w:rsidR="00AC50E9" w:rsidRPr="00E3232D" w:rsidRDefault="00AC50E9" w:rsidP="00470677">
      <w:pPr>
        <w:pStyle w:val="Default"/>
        <w:ind w:left="720" w:hanging="720"/>
        <w:rPr>
          <w:rFonts w:ascii="Book Antiqua" w:hAnsi="Book Antiqua"/>
          <w:sz w:val="22"/>
          <w:szCs w:val="22"/>
        </w:rPr>
      </w:pPr>
      <w:r w:rsidRPr="00E3232D">
        <w:rPr>
          <w:rFonts w:ascii="Book Antiqua" w:hAnsi="Book Antiqua"/>
          <w:sz w:val="22"/>
          <w:szCs w:val="22"/>
        </w:rPr>
        <w:t xml:space="preserve">Oudet, B.A. and Furstenberg, G. M. V. (1973). The valuation of common stocks during periods of inflation. Zeitchrift fur Nationalokomie 33, 67- 78. </w:t>
      </w:r>
    </w:p>
    <w:p w14:paraId="7878E184" w14:textId="77777777" w:rsidR="00AC50E9" w:rsidRPr="00E3232D" w:rsidRDefault="00AC50E9" w:rsidP="00470677">
      <w:pPr>
        <w:pStyle w:val="Default"/>
        <w:ind w:left="720" w:hanging="720"/>
        <w:rPr>
          <w:rFonts w:ascii="Book Antiqua" w:hAnsi="Book Antiqua"/>
          <w:b/>
          <w:bCs/>
          <w:sz w:val="22"/>
          <w:szCs w:val="22"/>
        </w:rPr>
      </w:pPr>
    </w:p>
    <w:p w14:paraId="50706F47" w14:textId="77777777" w:rsidR="00AC50E9" w:rsidRDefault="00AC50E9" w:rsidP="00470677">
      <w:pPr>
        <w:pStyle w:val="Default"/>
        <w:ind w:left="720" w:hanging="720"/>
        <w:rPr>
          <w:rFonts w:ascii="Book Antiqua" w:hAnsi="Book Antiqua"/>
          <w:b/>
          <w:bCs/>
          <w:sz w:val="22"/>
          <w:szCs w:val="22"/>
        </w:rPr>
      </w:pPr>
    </w:p>
    <w:p w14:paraId="0469C70C" w14:textId="77777777" w:rsidR="00390246" w:rsidRDefault="00390246" w:rsidP="00470677">
      <w:pPr>
        <w:pStyle w:val="Default"/>
        <w:ind w:left="720" w:hanging="720"/>
        <w:rPr>
          <w:rFonts w:ascii="Book Antiqua" w:hAnsi="Book Antiqua"/>
          <w:b/>
          <w:bCs/>
          <w:sz w:val="22"/>
          <w:szCs w:val="22"/>
        </w:rPr>
      </w:pPr>
    </w:p>
    <w:p w14:paraId="6905B913" w14:textId="77777777" w:rsidR="00390246" w:rsidRDefault="00390246" w:rsidP="00470677">
      <w:pPr>
        <w:pStyle w:val="Default"/>
        <w:ind w:left="720" w:hanging="720"/>
        <w:rPr>
          <w:rFonts w:ascii="Book Antiqua" w:hAnsi="Book Antiqua"/>
          <w:b/>
          <w:bCs/>
          <w:sz w:val="22"/>
          <w:szCs w:val="22"/>
        </w:rPr>
      </w:pPr>
    </w:p>
    <w:p w14:paraId="1B9A0411" w14:textId="77777777" w:rsidR="00390246" w:rsidRDefault="00390246" w:rsidP="00470677">
      <w:pPr>
        <w:pStyle w:val="Default"/>
        <w:ind w:left="720" w:hanging="720"/>
        <w:rPr>
          <w:rFonts w:ascii="Book Antiqua" w:hAnsi="Book Antiqua"/>
          <w:b/>
          <w:bCs/>
          <w:sz w:val="22"/>
          <w:szCs w:val="22"/>
        </w:rPr>
      </w:pPr>
    </w:p>
    <w:p w14:paraId="7E9AC4CE" w14:textId="77777777" w:rsidR="00390246" w:rsidRDefault="00390246" w:rsidP="00470677">
      <w:pPr>
        <w:pStyle w:val="Default"/>
        <w:ind w:left="720" w:hanging="720"/>
        <w:rPr>
          <w:rFonts w:ascii="Book Antiqua" w:hAnsi="Book Antiqua"/>
          <w:b/>
          <w:bCs/>
          <w:sz w:val="22"/>
          <w:szCs w:val="22"/>
        </w:rPr>
      </w:pPr>
    </w:p>
    <w:p w14:paraId="127D21BA" w14:textId="77777777" w:rsidR="00390246" w:rsidRDefault="00390246" w:rsidP="00470677">
      <w:pPr>
        <w:pStyle w:val="Default"/>
        <w:ind w:left="720" w:hanging="720"/>
        <w:rPr>
          <w:rFonts w:ascii="Book Antiqua" w:hAnsi="Book Antiqua"/>
          <w:b/>
          <w:bCs/>
          <w:sz w:val="22"/>
          <w:szCs w:val="22"/>
        </w:rPr>
      </w:pPr>
    </w:p>
    <w:p w14:paraId="65839F08" w14:textId="77777777" w:rsidR="00390246" w:rsidRDefault="00390246" w:rsidP="00470677">
      <w:pPr>
        <w:pStyle w:val="Default"/>
        <w:ind w:left="720" w:hanging="720"/>
        <w:rPr>
          <w:rFonts w:ascii="Book Antiqua" w:hAnsi="Book Antiqua"/>
          <w:b/>
          <w:bCs/>
          <w:sz w:val="22"/>
          <w:szCs w:val="22"/>
        </w:rPr>
      </w:pPr>
    </w:p>
    <w:p w14:paraId="0578D42C" w14:textId="77777777" w:rsidR="00390246" w:rsidRPr="00E3232D" w:rsidRDefault="00390246" w:rsidP="00470677">
      <w:pPr>
        <w:pStyle w:val="Default"/>
        <w:ind w:left="720" w:hanging="720"/>
        <w:rPr>
          <w:rFonts w:ascii="Book Antiqua" w:hAnsi="Book Antiqua"/>
          <w:b/>
          <w:bCs/>
          <w:sz w:val="22"/>
          <w:szCs w:val="22"/>
        </w:rPr>
        <w:sectPr w:rsidR="00390246" w:rsidRPr="00E3232D" w:rsidSect="008F6BC9">
          <w:type w:val="continuous"/>
          <w:pgSz w:w="11907" w:h="16839" w:code="9"/>
          <w:pgMar w:top="1440" w:right="1440" w:bottom="1440" w:left="1440" w:header="720" w:footer="720" w:gutter="0"/>
          <w:cols w:num="2" w:space="720"/>
          <w:docGrid w:linePitch="360"/>
        </w:sectPr>
      </w:pPr>
    </w:p>
    <w:p w14:paraId="07703C6F" w14:textId="77777777" w:rsidR="00805729" w:rsidRDefault="00805729" w:rsidP="00470677">
      <w:pPr>
        <w:pStyle w:val="Default"/>
        <w:ind w:left="720" w:hanging="720"/>
        <w:rPr>
          <w:rFonts w:ascii="Book Antiqua" w:hAnsi="Book Antiqua"/>
          <w:b/>
          <w:bCs/>
          <w:sz w:val="22"/>
          <w:szCs w:val="22"/>
        </w:rPr>
      </w:pPr>
    </w:p>
    <w:p w14:paraId="77CB1462" w14:textId="77777777" w:rsidR="007A0633" w:rsidRDefault="007A0633" w:rsidP="008275E1">
      <w:pPr>
        <w:pStyle w:val="Default"/>
        <w:rPr>
          <w:rFonts w:ascii="Book Antiqua" w:hAnsi="Book Antiqua"/>
          <w:b/>
          <w:bCs/>
          <w:sz w:val="22"/>
          <w:szCs w:val="22"/>
        </w:rPr>
      </w:pPr>
    </w:p>
    <w:p w14:paraId="44D9FE4B" w14:textId="77777777" w:rsidR="0069035A" w:rsidRDefault="0069035A" w:rsidP="008275E1">
      <w:pPr>
        <w:pStyle w:val="Default"/>
        <w:rPr>
          <w:rFonts w:ascii="Book Antiqua" w:hAnsi="Book Antiqua"/>
          <w:b/>
          <w:bCs/>
          <w:sz w:val="22"/>
          <w:szCs w:val="22"/>
        </w:rPr>
      </w:pPr>
    </w:p>
    <w:p w14:paraId="79FD6579" w14:textId="77777777" w:rsidR="0069035A" w:rsidRDefault="0069035A" w:rsidP="008275E1">
      <w:pPr>
        <w:pStyle w:val="Default"/>
        <w:rPr>
          <w:rFonts w:ascii="Book Antiqua" w:hAnsi="Book Antiqua"/>
          <w:b/>
          <w:bCs/>
          <w:sz w:val="22"/>
          <w:szCs w:val="22"/>
        </w:rPr>
      </w:pPr>
    </w:p>
    <w:p w14:paraId="092AD82F" w14:textId="77777777" w:rsidR="0069035A" w:rsidRDefault="0069035A" w:rsidP="008275E1">
      <w:pPr>
        <w:pStyle w:val="Default"/>
        <w:rPr>
          <w:rFonts w:ascii="Book Antiqua" w:hAnsi="Book Antiqua"/>
          <w:b/>
          <w:bCs/>
          <w:sz w:val="22"/>
          <w:szCs w:val="22"/>
        </w:rPr>
      </w:pPr>
    </w:p>
    <w:p w14:paraId="4BB4350D" w14:textId="77777777" w:rsidR="0069035A" w:rsidRDefault="0069035A" w:rsidP="008275E1">
      <w:pPr>
        <w:pStyle w:val="Default"/>
        <w:rPr>
          <w:rFonts w:ascii="Book Antiqua" w:hAnsi="Book Antiqua"/>
          <w:b/>
          <w:bCs/>
          <w:sz w:val="22"/>
          <w:szCs w:val="22"/>
        </w:rPr>
      </w:pPr>
    </w:p>
    <w:p w14:paraId="5B64137B" w14:textId="77777777" w:rsidR="0069035A" w:rsidRDefault="0069035A" w:rsidP="008275E1">
      <w:pPr>
        <w:pStyle w:val="Default"/>
        <w:rPr>
          <w:rFonts w:ascii="Book Antiqua" w:hAnsi="Book Antiqua"/>
          <w:b/>
          <w:bCs/>
          <w:sz w:val="22"/>
          <w:szCs w:val="22"/>
        </w:rPr>
      </w:pPr>
    </w:p>
    <w:p w14:paraId="294C34C5" w14:textId="77777777" w:rsidR="0069035A" w:rsidRDefault="0069035A" w:rsidP="008275E1">
      <w:pPr>
        <w:pStyle w:val="Default"/>
        <w:rPr>
          <w:rFonts w:ascii="Book Antiqua" w:hAnsi="Book Antiqua"/>
          <w:b/>
          <w:bCs/>
          <w:sz w:val="22"/>
          <w:szCs w:val="22"/>
        </w:rPr>
      </w:pPr>
    </w:p>
    <w:p w14:paraId="6B91304C" w14:textId="77777777" w:rsidR="0069035A" w:rsidRDefault="0069035A" w:rsidP="008275E1">
      <w:pPr>
        <w:pStyle w:val="Default"/>
        <w:rPr>
          <w:rFonts w:ascii="Book Antiqua" w:hAnsi="Book Antiqua"/>
          <w:b/>
          <w:bCs/>
          <w:sz w:val="22"/>
          <w:szCs w:val="22"/>
        </w:rPr>
      </w:pPr>
    </w:p>
    <w:p w14:paraId="3BF6BF6F" w14:textId="77777777" w:rsidR="0069035A" w:rsidRDefault="0069035A" w:rsidP="008275E1">
      <w:pPr>
        <w:pStyle w:val="Default"/>
        <w:rPr>
          <w:rFonts w:ascii="Book Antiqua" w:hAnsi="Book Antiqua"/>
          <w:b/>
          <w:bCs/>
          <w:sz w:val="22"/>
          <w:szCs w:val="22"/>
        </w:rPr>
      </w:pPr>
    </w:p>
    <w:p w14:paraId="041AC77D" w14:textId="77777777" w:rsidR="0069035A" w:rsidRDefault="0069035A" w:rsidP="008275E1">
      <w:pPr>
        <w:pStyle w:val="Default"/>
        <w:rPr>
          <w:rFonts w:ascii="Book Antiqua" w:hAnsi="Book Antiqua"/>
          <w:b/>
          <w:bCs/>
          <w:sz w:val="22"/>
          <w:szCs w:val="22"/>
        </w:rPr>
      </w:pPr>
    </w:p>
    <w:p w14:paraId="1263C8CD" w14:textId="77777777" w:rsidR="00E26E3F" w:rsidRDefault="00E26E3F" w:rsidP="008275E1">
      <w:pPr>
        <w:pStyle w:val="Default"/>
        <w:rPr>
          <w:rFonts w:ascii="Book Antiqua" w:hAnsi="Book Antiqua"/>
          <w:b/>
          <w:bCs/>
          <w:sz w:val="22"/>
          <w:szCs w:val="22"/>
        </w:rPr>
      </w:pPr>
    </w:p>
    <w:p w14:paraId="191B1167" w14:textId="77777777" w:rsidR="00E26E3F" w:rsidRDefault="00E26E3F" w:rsidP="008275E1">
      <w:pPr>
        <w:pStyle w:val="Default"/>
        <w:rPr>
          <w:rFonts w:ascii="Book Antiqua" w:hAnsi="Book Antiqua"/>
          <w:b/>
          <w:bCs/>
          <w:sz w:val="22"/>
          <w:szCs w:val="22"/>
        </w:rPr>
      </w:pPr>
    </w:p>
    <w:p w14:paraId="3E776759" w14:textId="77777777" w:rsidR="00E26E3F" w:rsidRDefault="00E26E3F" w:rsidP="008275E1">
      <w:pPr>
        <w:pStyle w:val="Default"/>
        <w:rPr>
          <w:rFonts w:ascii="Book Antiqua" w:hAnsi="Book Antiqua"/>
          <w:b/>
          <w:bCs/>
          <w:sz w:val="22"/>
          <w:szCs w:val="22"/>
        </w:rPr>
      </w:pPr>
    </w:p>
    <w:p w14:paraId="05C48D63" w14:textId="77777777" w:rsidR="00E26E3F" w:rsidRDefault="00E26E3F" w:rsidP="008275E1">
      <w:pPr>
        <w:pStyle w:val="Default"/>
        <w:rPr>
          <w:rFonts w:ascii="Book Antiqua" w:hAnsi="Book Antiqua"/>
          <w:b/>
          <w:bCs/>
          <w:sz w:val="22"/>
          <w:szCs w:val="22"/>
        </w:rPr>
      </w:pPr>
    </w:p>
    <w:p w14:paraId="6070D073" w14:textId="77777777" w:rsidR="0069035A" w:rsidRDefault="0069035A" w:rsidP="008275E1">
      <w:pPr>
        <w:pStyle w:val="Default"/>
        <w:rPr>
          <w:rFonts w:ascii="Book Antiqua" w:hAnsi="Book Antiqua"/>
          <w:b/>
          <w:bCs/>
          <w:sz w:val="22"/>
          <w:szCs w:val="22"/>
        </w:rPr>
      </w:pPr>
    </w:p>
    <w:p w14:paraId="62F9C289" w14:textId="77777777" w:rsidR="0069035A" w:rsidRDefault="0069035A" w:rsidP="008275E1">
      <w:pPr>
        <w:pStyle w:val="Default"/>
        <w:rPr>
          <w:rFonts w:ascii="Book Antiqua" w:hAnsi="Book Antiqua"/>
          <w:b/>
          <w:bCs/>
          <w:sz w:val="22"/>
          <w:szCs w:val="22"/>
        </w:rPr>
      </w:pPr>
    </w:p>
    <w:p w14:paraId="22A8FE27" w14:textId="77777777" w:rsidR="0069035A" w:rsidRDefault="0069035A" w:rsidP="008275E1">
      <w:pPr>
        <w:pStyle w:val="Default"/>
        <w:rPr>
          <w:rFonts w:ascii="Book Antiqua" w:hAnsi="Book Antiqua"/>
          <w:b/>
          <w:bCs/>
          <w:sz w:val="22"/>
          <w:szCs w:val="22"/>
        </w:rPr>
      </w:pPr>
    </w:p>
    <w:p w14:paraId="482AE5B9" w14:textId="77777777" w:rsidR="0069035A" w:rsidRDefault="0069035A" w:rsidP="008275E1">
      <w:pPr>
        <w:pStyle w:val="Default"/>
        <w:rPr>
          <w:rFonts w:ascii="Book Antiqua" w:hAnsi="Book Antiqua"/>
          <w:b/>
          <w:bCs/>
          <w:sz w:val="22"/>
          <w:szCs w:val="22"/>
        </w:rPr>
      </w:pPr>
    </w:p>
    <w:p w14:paraId="30BBD5F5" w14:textId="77777777" w:rsidR="0069035A" w:rsidRDefault="0069035A" w:rsidP="008275E1">
      <w:pPr>
        <w:pStyle w:val="Default"/>
        <w:rPr>
          <w:rFonts w:ascii="Book Antiqua" w:hAnsi="Book Antiqua"/>
          <w:b/>
          <w:bCs/>
          <w:sz w:val="22"/>
          <w:szCs w:val="22"/>
        </w:rPr>
      </w:pPr>
    </w:p>
    <w:p w14:paraId="310BD320" w14:textId="77777777" w:rsidR="0069035A" w:rsidRDefault="0069035A" w:rsidP="008275E1">
      <w:pPr>
        <w:pStyle w:val="Default"/>
        <w:rPr>
          <w:rFonts w:ascii="Book Antiqua" w:hAnsi="Book Antiqua"/>
          <w:b/>
          <w:bCs/>
          <w:sz w:val="22"/>
          <w:szCs w:val="22"/>
        </w:rPr>
      </w:pPr>
    </w:p>
    <w:p w14:paraId="2DAF322A" w14:textId="77777777" w:rsidR="0069035A" w:rsidRDefault="0069035A" w:rsidP="008275E1">
      <w:pPr>
        <w:pStyle w:val="Default"/>
        <w:rPr>
          <w:rFonts w:ascii="Book Antiqua" w:hAnsi="Book Antiqua"/>
          <w:b/>
          <w:bCs/>
          <w:sz w:val="22"/>
          <w:szCs w:val="22"/>
        </w:rPr>
      </w:pPr>
    </w:p>
    <w:p w14:paraId="3524504C" w14:textId="77777777" w:rsidR="0069035A" w:rsidRDefault="0069035A" w:rsidP="008275E1">
      <w:pPr>
        <w:pStyle w:val="Default"/>
        <w:rPr>
          <w:rFonts w:ascii="Book Antiqua" w:hAnsi="Book Antiqua"/>
          <w:b/>
          <w:bCs/>
          <w:sz w:val="22"/>
          <w:szCs w:val="22"/>
        </w:rPr>
      </w:pPr>
    </w:p>
    <w:p w14:paraId="4D2941AF" w14:textId="77777777" w:rsidR="0069035A" w:rsidRDefault="0069035A" w:rsidP="008275E1">
      <w:pPr>
        <w:pStyle w:val="Default"/>
        <w:rPr>
          <w:rFonts w:ascii="Book Antiqua" w:hAnsi="Book Antiqua"/>
          <w:b/>
          <w:bCs/>
          <w:sz w:val="22"/>
          <w:szCs w:val="22"/>
        </w:rPr>
      </w:pPr>
    </w:p>
    <w:p w14:paraId="42C9BAC1" w14:textId="77777777" w:rsidR="0069035A" w:rsidRDefault="0069035A" w:rsidP="008275E1">
      <w:pPr>
        <w:pStyle w:val="Default"/>
        <w:rPr>
          <w:rFonts w:ascii="Book Antiqua" w:hAnsi="Book Antiqua"/>
          <w:b/>
          <w:bCs/>
          <w:sz w:val="22"/>
          <w:szCs w:val="22"/>
        </w:rPr>
      </w:pPr>
    </w:p>
    <w:p w14:paraId="500E5255" w14:textId="77777777" w:rsidR="0069035A" w:rsidRDefault="0069035A" w:rsidP="008275E1">
      <w:pPr>
        <w:pStyle w:val="Default"/>
        <w:rPr>
          <w:rFonts w:ascii="Book Antiqua" w:hAnsi="Book Antiqua"/>
          <w:b/>
          <w:bCs/>
          <w:sz w:val="22"/>
          <w:szCs w:val="22"/>
        </w:rPr>
        <w:sectPr w:rsidR="0069035A" w:rsidSect="008F6BC9">
          <w:type w:val="continuous"/>
          <w:pgSz w:w="11907" w:h="16839" w:code="9"/>
          <w:pgMar w:top="1440" w:right="1440" w:bottom="1440" w:left="1440" w:header="720" w:footer="720" w:gutter="0"/>
          <w:cols w:num="2" w:space="720"/>
          <w:titlePg/>
          <w:docGrid w:linePitch="360"/>
        </w:sectPr>
      </w:pPr>
    </w:p>
    <w:p w14:paraId="50796703" w14:textId="77777777" w:rsidR="00AC50E9" w:rsidRPr="00E3232D" w:rsidRDefault="00AC50E9" w:rsidP="008275E1">
      <w:pPr>
        <w:pStyle w:val="Default"/>
        <w:rPr>
          <w:rFonts w:ascii="Book Antiqua" w:hAnsi="Book Antiqua"/>
          <w:b/>
          <w:bCs/>
          <w:sz w:val="22"/>
          <w:szCs w:val="22"/>
        </w:rPr>
      </w:pPr>
      <w:r w:rsidRPr="00E3232D">
        <w:rPr>
          <w:rFonts w:ascii="Book Antiqua" w:hAnsi="Book Antiqua"/>
          <w:b/>
          <w:bCs/>
          <w:sz w:val="22"/>
          <w:szCs w:val="22"/>
        </w:rPr>
        <w:t xml:space="preserve">Appendix A. </w:t>
      </w:r>
    </w:p>
    <w:p w14:paraId="5C71B9A7" w14:textId="77777777" w:rsidR="007A0633" w:rsidRDefault="007A0633" w:rsidP="008275E1">
      <w:pPr>
        <w:pStyle w:val="Default"/>
        <w:rPr>
          <w:rFonts w:ascii="Book Antiqua" w:hAnsi="Book Antiqua"/>
          <w:b/>
          <w:bCs/>
          <w:sz w:val="22"/>
          <w:szCs w:val="22"/>
        </w:rPr>
        <w:sectPr w:rsidR="007A0633" w:rsidSect="008F6BC9">
          <w:type w:val="continuous"/>
          <w:pgSz w:w="11907" w:h="16839" w:code="9"/>
          <w:pgMar w:top="1440" w:right="1440" w:bottom="1440" w:left="1440" w:header="720" w:footer="720" w:gutter="0"/>
          <w:cols w:space="720"/>
          <w:titlePg/>
          <w:docGrid w:linePitch="360"/>
        </w:sectPr>
      </w:pPr>
    </w:p>
    <w:p w14:paraId="11EC1429" w14:textId="77777777" w:rsidR="00AC50E9" w:rsidRPr="00E3232D" w:rsidRDefault="00AC50E9" w:rsidP="008275E1">
      <w:pPr>
        <w:pStyle w:val="Default"/>
        <w:rPr>
          <w:rFonts w:ascii="Book Antiqua" w:hAnsi="Book Antiqua"/>
          <w:sz w:val="22"/>
          <w:szCs w:val="22"/>
        </w:rPr>
      </w:pPr>
      <w:r w:rsidRPr="00E3232D">
        <w:rPr>
          <w:rFonts w:ascii="Book Antiqua" w:hAnsi="Book Antiqua"/>
          <w:b/>
          <w:bCs/>
          <w:sz w:val="22"/>
          <w:szCs w:val="22"/>
        </w:rPr>
        <w:t>Calculation of Nominal Growth in Investment in Treasury Bill (Investor A)</w:t>
      </w:r>
    </w:p>
    <w:p w14:paraId="28CE303A" w14:textId="77777777" w:rsidR="007A0633" w:rsidRDefault="007A0633" w:rsidP="008D6FB2">
      <w:pPr>
        <w:pStyle w:val="Default"/>
        <w:jc w:val="center"/>
        <w:rPr>
          <w:rFonts w:ascii="Book Antiqua" w:hAnsi="Book Antiqua"/>
          <w:b/>
          <w:sz w:val="22"/>
          <w:szCs w:val="22"/>
        </w:rPr>
        <w:sectPr w:rsidR="007A0633" w:rsidSect="008F6BC9">
          <w:type w:val="continuous"/>
          <w:pgSz w:w="11907" w:h="16839" w:code="9"/>
          <w:pgMar w:top="1440" w:right="1440" w:bottom="1440" w:left="1440" w:header="720" w:footer="720" w:gutter="0"/>
          <w:cols w:space="720"/>
          <w:titlePg/>
          <w:docGrid w:linePitch="360"/>
        </w:sectPr>
      </w:pPr>
    </w:p>
    <w:tbl>
      <w:tblPr>
        <w:tblW w:w="0" w:type="auto"/>
        <w:tblBorders>
          <w:top w:val="single" w:sz="8" w:space="0" w:color="4F81BD"/>
          <w:bottom w:val="single" w:sz="8" w:space="0" w:color="4F81BD"/>
        </w:tblBorders>
        <w:tblLook w:val="04A0" w:firstRow="1" w:lastRow="0" w:firstColumn="1" w:lastColumn="0" w:noHBand="0" w:noVBand="1"/>
      </w:tblPr>
      <w:tblGrid>
        <w:gridCol w:w="898"/>
        <w:gridCol w:w="2793"/>
        <w:gridCol w:w="1822"/>
        <w:gridCol w:w="1856"/>
        <w:gridCol w:w="1874"/>
      </w:tblGrid>
      <w:tr w:rsidR="00E940FD" w:rsidRPr="00D12E59" w14:paraId="78D6E673" w14:textId="77777777" w:rsidTr="00E940FD">
        <w:tc>
          <w:tcPr>
            <w:tcW w:w="918" w:type="dxa"/>
            <w:tcBorders>
              <w:top w:val="single" w:sz="8" w:space="0" w:color="4F81BD"/>
              <w:left w:val="nil"/>
              <w:bottom w:val="single" w:sz="8" w:space="0" w:color="4F81BD"/>
              <w:right w:val="nil"/>
            </w:tcBorders>
            <w:shd w:val="clear" w:color="auto" w:fill="auto"/>
          </w:tcPr>
          <w:p w14:paraId="091CF7E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Year</w:t>
            </w:r>
          </w:p>
        </w:tc>
        <w:tc>
          <w:tcPr>
            <w:tcW w:w="2912" w:type="dxa"/>
            <w:tcBorders>
              <w:top w:val="single" w:sz="8" w:space="0" w:color="4F81BD"/>
              <w:left w:val="nil"/>
              <w:bottom w:val="single" w:sz="8" w:space="0" w:color="4F81BD"/>
              <w:right w:val="nil"/>
            </w:tcBorders>
            <w:shd w:val="clear" w:color="auto" w:fill="auto"/>
          </w:tcPr>
          <w:p w14:paraId="375F937E"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Amounted Invested</w:t>
            </w:r>
          </w:p>
        </w:tc>
        <w:tc>
          <w:tcPr>
            <w:tcW w:w="1915" w:type="dxa"/>
            <w:tcBorders>
              <w:top w:val="single" w:sz="8" w:space="0" w:color="4F81BD"/>
              <w:left w:val="nil"/>
              <w:bottom w:val="single" w:sz="8" w:space="0" w:color="4F81BD"/>
              <w:right w:val="nil"/>
            </w:tcBorders>
            <w:shd w:val="clear" w:color="auto" w:fill="auto"/>
          </w:tcPr>
          <w:p w14:paraId="68AA0730"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Rate</w:t>
            </w:r>
          </w:p>
        </w:tc>
        <w:tc>
          <w:tcPr>
            <w:tcW w:w="1915" w:type="dxa"/>
            <w:tcBorders>
              <w:top w:val="single" w:sz="8" w:space="0" w:color="4F81BD"/>
              <w:left w:val="nil"/>
              <w:bottom w:val="single" w:sz="8" w:space="0" w:color="4F81BD"/>
              <w:right w:val="nil"/>
            </w:tcBorders>
            <w:shd w:val="clear" w:color="auto" w:fill="auto"/>
          </w:tcPr>
          <w:p w14:paraId="5DE2A20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Interest</w:t>
            </w:r>
          </w:p>
        </w:tc>
        <w:tc>
          <w:tcPr>
            <w:tcW w:w="1916" w:type="dxa"/>
            <w:tcBorders>
              <w:top w:val="single" w:sz="8" w:space="0" w:color="4F81BD"/>
              <w:left w:val="nil"/>
              <w:bottom w:val="single" w:sz="8" w:space="0" w:color="4F81BD"/>
              <w:right w:val="nil"/>
            </w:tcBorders>
            <w:shd w:val="clear" w:color="auto" w:fill="auto"/>
          </w:tcPr>
          <w:p w14:paraId="5A6F3F29"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Closing Value</w:t>
            </w:r>
          </w:p>
        </w:tc>
      </w:tr>
      <w:tr w:rsidR="00E940FD" w:rsidRPr="00D12E59" w14:paraId="779FF4B4" w14:textId="77777777" w:rsidTr="00E940FD">
        <w:tc>
          <w:tcPr>
            <w:tcW w:w="918" w:type="dxa"/>
            <w:tcBorders>
              <w:left w:val="nil"/>
              <w:right w:val="nil"/>
            </w:tcBorders>
            <w:shd w:val="clear" w:color="auto" w:fill="auto"/>
          </w:tcPr>
          <w:p w14:paraId="6753D2D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1990</w:t>
            </w:r>
          </w:p>
        </w:tc>
        <w:tc>
          <w:tcPr>
            <w:tcW w:w="2912" w:type="dxa"/>
            <w:tcBorders>
              <w:left w:val="nil"/>
              <w:right w:val="nil"/>
            </w:tcBorders>
            <w:shd w:val="clear" w:color="auto" w:fill="auto"/>
          </w:tcPr>
          <w:p w14:paraId="15CBA4A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1000</w:t>
            </w:r>
          </w:p>
        </w:tc>
        <w:tc>
          <w:tcPr>
            <w:tcW w:w="1915" w:type="dxa"/>
            <w:tcBorders>
              <w:left w:val="nil"/>
              <w:right w:val="nil"/>
            </w:tcBorders>
            <w:shd w:val="clear" w:color="auto" w:fill="auto"/>
          </w:tcPr>
          <w:p w14:paraId="407920E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29.53</w:t>
            </w:r>
          </w:p>
        </w:tc>
        <w:tc>
          <w:tcPr>
            <w:tcW w:w="1915" w:type="dxa"/>
            <w:tcBorders>
              <w:left w:val="nil"/>
              <w:right w:val="nil"/>
            </w:tcBorders>
            <w:shd w:val="clear" w:color="auto" w:fill="auto"/>
          </w:tcPr>
          <w:p w14:paraId="01F0A75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295.3</w:t>
            </w:r>
          </w:p>
        </w:tc>
        <w:tc>
          <w:tcPr>
            <w:tcW w:w="1916" w:type="dxa"/>
            <w:tcBorders>
              <w:left w:val="nil"/>
              <w:right w:val="nil"/>
            </w:tcBorders>
            <w:shd w:val="clear" w:color="auto" w:fill="auto"/>
          </w:tcPr>
          <w:p w14:paraId="084FC75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1295.3</w:t>
            </w:r>
          </w:p>
        </w:tc>
      </w:tr>
      <w:tr w:rsidR="00E940FD" w:rsidRPr="00D12E59" w14:paraId="3C18F852" w14:textId="77777777" w:rsidTr="00E940FD">
        <w:tc>
          <w:tcPr>
            <w:tcW w:w="918" w:type="dxa"/>
            <w:shd w:val="clear" w:color="auto" w:fill="auto"/>
          </w:tcPr>
          <w:p w14:paraId="4E7B9DE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1991</w:t>
            </w:r>
          </w:p>
        </w:tc>
        <w:tc>
          <w:tcPr>
            <w:tcW w:w="2912" w:type="dxa"/>
            <w:shd w:val="clear" w:color="auto" w:fill="auto"/>
          </w:tcPr>
          <w:p w14:paraId="7764C56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1295.3</w:t>
            </w:r>
          </w:p>
        </w:tc>
        <w:tc>
          <w:tcPr>
            <w:tcW w:w="1915" w:type="dxa"/>
            <w:shd w:val="clear" w:color="auto" w:fill="auto"/>
          </w:tcPr>
          <w:p w14:paraId="6FF7277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21.05</w:t>
            </w:r>
          </w:p>
        </w:tc>
        <w:tc>
          <w:tcPr>
            <w:tcW w:w="1915" w:type="dxa"/>
            <w:shd w:val="clear" w:color="auto" w:fill="auto"/>
          </w:tcPr>
          <w:p w14:paraId="77B1C8A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272.66065</w:t>
            </w:r>
          </w:p>
        </w:tc>
        <w:tc>
          <w:tcPr>
            <w:tcW w:w="1916" w:type="dxa"/>
            <w:shd w:val="clear" w:color="auto" w:fill="auto"/>
          </w:tcPr>
          <w:p w14:paraId="7A6CD44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1567.96065</w:t>
            </w:r>
          </w:p>
        </w:tc>
      </w:tr>
      <w:tr w:rsidR="00E940FD" w:rsidRPr="00D12E59" w14:paraId="3D8088A2" w14:textId="77777777" w:rsidTr="00E940FD">
        <w:tc>
          <w:tcPr>
            <w:tcW w:w="918" w:type="dxa"/>
            <w:tcBorders>
              <w:left w:val="nil"/>
              <w:right w:val="nil"/>
            </w:tcBorders>
            <w:shd w:val="clear" w:color="auto" w:fill="auto"/>
          </w:tcPr>
          <w:p w14:paraId="24FB28C0"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1992</w:t>
            </w:r>
          </w:p>
        </w:tc>
        <w:tc>
          <w:tcPr>
            <w:tcW w:w="2912" w:type="dxa"/>
            <w:tcBorders>
              <w:left w:val="nil"/>
              <w:right w:val="nil"/>
            </w:tcBorders>
            <w:shd w:val="clear" w:color="auto" w:fill="auto"/>
          </w:tcPr>
          <w:p w14:paraId="525701C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1567.96065</w:t>
            </w:r>
          </w:p>
        </w:tc>
        <w:tc>
          <w:tcPr>
            <w:tcW w:w="1915" w:type="dxa"/>
            <w:tcBorders>
              <w:left w:val="nil"/>
              <w:right w:val="nil"/>
            </w:tcBorders>
            <w:shd w:val="clear" w:color="auto" w:fill="auto"/>
          </w:tcPr>
          <w:p w14:paraId="6EEAFED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27.13</w:t>
            </w:r>
          </w:p>
        </w:tc>
        <w:tc>
          <w:tcPr>
            <w:tcW w:w="1915" w:type="dxa"/>
            <w:tcBorders>
              <w:left w:val="nil"/>
              <w:right w:val="nil"/>
            </w:tcBorders>
            <w:shd w:val="clear" w:color="auto" w:fill="auto"/>
          </w:tcPr>
          <w:p w14:paraId="483F3AA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425.38772</w:t>
            </w:r>
          </w:p>
        </w:tc>
        <w:tc>
          <w:tcPr>
            <w:tcW w:w="1916" w:type="dxa"/>
            <w:tcBorders>
              <w:left w:val="nil"/>
              <w:right w:val="nil"/>
            </w:tcBorders>
            <w:shd w:val="clear" w:color="auto" w:fill="auto"/>
          </w:tcPr>
          <w:p w14:paraId="3CB9C32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1993.348374</w:t>
            </w:r>
          </w:p>
        </w:tc>
      </w:tr>
      <w:tr w:rsidR="00E940FD" w:rsidRPr="00D12E59" w14:paraId="7B5448AA" w14:textId="77777777" w:rsidTr="00E940FD">
        <w:tc>
          <w:tcPr>
            <w:tcW w:w="918" w:type="dxa"/>
            <w:shd w:val="clear" w:color="auto" w:fill="auto"/>
          </w:tcPr>
          <w:p w14:paraId="0706840D"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1993</w:t>
            </w:r>
          </w:p>
        </w:tc>
        <w:tc>
          <w:tcPr>
            <w:tcW w:w="2912" w:type="dxa"/>
            <w:shd w:val="clear" w:color="auto" w:fill="auto"/>
          </w:tcPr>
          <w:p w14:paraId="200487F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1993.348374</w:t>
            </w:r>
          </w:p>
        </w:tc>
        <w:tc>
          <w:tcPr>
            <w:tcW w:w="1915" w:type="dxa"/>
            <w:shd w:val="clear" w:color="auto" w:fill="auto"/>
          </w:tcPr>
          <w:p w14:paraId="68E1E7A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34.78</w:t>
            </w:r>
          </w:p>
        </w:tc>
        <w:tc>
          <w:tcPr>
            <w:tcW w:w="1915" w:type="dxa"/>
            <w:shd w:val="clear" w:color="auto" w:fill="auto"/>
          </w:tcPr>
          <w:p w14:paraId="3D7FC27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693.28656</w:t>
            </w:r>
          </w:p>
        </w:tc>
        <w:tc>
          <w:tcPr>
            <w:tcW w:w="1916" w:type="dxa"/>
            <w:shd w:val="clear" w:color="auto" w:fill="auto"/>
          </w:tcPr>
          <w:p w14:paraId="6954F55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2686.634939</w:t>
            </w:r>
          </w:p>
        </w:tc>
      </w:tr>
      <w:tr w:rsidR="00E940FD" w:rsidRPr="00D12E59" w14:paraId="22A307BA" w14:textId="77777777" w:rsidTr="00E940FD">
        <w:tc>
          <w:tcPr>
            <w:tcW w:w="918" w:type="dxa"/>
            <w:tcBorders>
              <w:left w:val="nil"/>
              <w:right w:val="nil"/>
            </w:tcBorders>
            <w:shd w:val="clear" w:color="auto" w:fill="auto"/>
          </w:tcPr>
          <w:p w14:paraId="6B74A7F4"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1994</w:t>
            </w:r>
          </w:p>
        </w:tc>
        <w:tc>
          <w:tcPr>
            <w:tcW w:w="2912" w:type="dxa"/>
            <w:tcBorders>
              <w:left w:val="nil"/>
              <w:right w:val="nil"/>
            </w:tcBorders>
            <w:shd w:val="clear" w:color="auto" w:fill="auto"/>
          </w:tcPr>
          <w:p w14:paraId="755C21C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2686.634939</w:t>
            </w:r>
          </w:p>
        </w:tc>
        <w:tc>
          <w:tcPr>
            <w:tcW w:w="1915" w:type="dxa"/>
            <w:tcBorders>
              <w:left w:val="nil"/>
              <w:right w:val="nil"/>
            </w:tcBorders>
            <w:shd w:val="clear" w:color="auto" w:fill="auto"/>
          </w:tcPr>
          <w:p w14:paraId="6A884C3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34.78</w:t>
            </w:r>
          </w:p>
        </w:tc>
        <w:tc>
          <w:tcPr>
            <w:tcW w:w="1915" w:type="dxa"/>
            <w:tcBorders>
              <w:left w:val="nil"/>
              <w:right w:val="nil"/>
            </w:tcBorders>
            <w:shd w:val="clear" w:color="auto" w:fill="auto"/>
          </w:tcPr>
          <w:p w14:paraId="09E0EF7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934.41163</w:t>
            </w:r>
          </w:p>
        </w:tc>
        <w:tc>
          <w:tcPr>
            <w:tcW w:w="1916" w:type="dxa"/>
            <w:tcBorders>
              <w:left w:val="nil"/>
              <w:right w:val="nil"/>
            </w:tcBorders>
            <w:shd w:val="clear" w:color="auto" w:fill="auto"/>
          </w:tcPr>
          <w:p w14:paraId="154F6A0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3621.046571</w:t>
            </w:r>
          </w:p>
        </w:tc>
      </w:tr>
      <w:tr w:rsidR="00E940FD" w:rsidRPr="00D12E59" w14:paraId="6EF19290" w14:textId="77777777" w:rsidTr="00E940FD">
        <w:tc>
          <w:tcPr>
            <w:tcW w:w="918" w:type="dxa"/>
            <w:shd w:val="clear" w:color="auto" w:fill="auto"/>
          </w:tcPr>
          <w:p w14:paraId="636C301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1995</w:t>
            </w:r>
          </w:p>
        </w:tc>
        <w:tc>
          <w:tcPr>
            <w:tcW w:w="2912" w:type="dxa"/>
            <w:shd w:val="clear" w:color="auto" w:fill="auto"/>
          </w:tcPr>
          <w:p w14:paraId="487E44D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3621.046571</w:t>
            </w:r>
          </w:p>
        </w:tc>
        <w:tc>
          <w:tcPr>
            <w:tcW w:w="1915" w:type="dxa"/>
            <w:shd w:val="clear" w:color="auto" w:fill="auto"/>
          </w:tcPr>
          <w:p w14:paraId="2F24AFF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45.06</w:t>
            </w:r>
          </w:p>
        </w:tc>
        <w:tc>
          <w:tcPr>
            <w:tcW w:w="1915" w:type="dxa"/>
            <w:shd w:val="clear" w:color="auto" w:fill="auto"/>
          </w:tcPr>
          <w:p w14:paraId="2D7EB2B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1631.6436</w:t>
            </w:r>
          </w:p>
        </w:tc>
        <w:tc>
          <w:tcPr>
            <w:tcW w:w="1916" w:type="dxa"/>
            <w:shd w:val="clear" w:color="auto" w:fill="auto"/>
          </w:tcPr>
          <w:p w14:paraId="709A6A6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5252.690155</w:t>
            </w:r>
          </w:p>
        </w:tc>
      </w:tr>
      <w:tr w:rsidR="00E940FD" w:rsidRPr="00D12E59" w14:paraId="66F9EA79" w14:textId="77777777" w:rsidTr="00E940FD">
        <w:tc>
          <w:tcPr>
            <w:tcW w:w="918" w:type="dxa"/>
            <w:tcBorders>
              <w:left w:val="nil"/>
              <w:right w:val="nil"/>
            </w:tcBorders>
            <w:shd w:val="clear" w:color="auto" w:fill="auto"/>
          </w:tcPr>
          <w:p w14:paraId="44909CB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1996</w:t>
            </w:r>
          </w:p>
        </w:tc>
        <w:tc>
          <w:tcPr>
            <w:tcW w:w="2912" w:type="dxa"/>
            <w:tcBorders>
              <w:left w:val="nil"/>
              <w:right w:val="nil"/>
            </w:tcBorders>
            <w:shd w:val="clear" w:color="auto" w:fill="auto"/>
          </w:tcPr>
          <w:p w14:paraId="7AD902C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5252.690155</w:t>
            </w:r>
          </w:p>
        </w:tc>
        <w:tc>
          <w:tcPr>
            <w:tcW w:w="1915" w:type="dxa"/>
            <w:tcBorders>
              <w:left w:val="nil"/>
              <w:right w:val="nil"/>
            </w:tcBorders>
            <w:shd w:val="clear" w:color="auto" w:fill="auto"/>
          </w:tcPr>
          <w:p w14:paraId="724D690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47.88</w:t>
            </w:r>
          </w:p>
        </w:tc>
        <w:tc>
          <w:tcPr>
            <w:tcW w:w="1915" w:type="dxa"/>
            <w:tcBorders>
              <w:left w:val="nil"/>
              <w:right w:val="nil"/>
            </w:tcBorders>
            <w:shd w:val="clear" w:color="auto" w:fill="auto"/>
          </w:tcPr>
          <w:p w14:paraId="1EC2595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2514.988</w:t>
            </w:r>
          </w:p>
        </w:tc>
        <w:tc>
          <w:tcPr>
            <w:tcW w:w="1916" w:type="dxa"/>
            <w:tcBorders>
              <w:left w:val="nil"/>
              <w:right w:val="nil"/>
            </w:tcBorders>
            <w:shd w:val="clear" w:color="auto" w:fill="auto"/>
          </w:tcPr>
          <w:p w14:paraId="20EAB3A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7767.678202</w:t>
            </w:r>
          </w:p>
        </w:tc>
      </w:tr>
      <w:tr w:rsidR="00E940FD" w:rsidRPr="00D12E59" w14:paraId="5BAEF2A3" w14:textId="77777777" w:rsidTr="00E940FD">
        <w:tc>
          <w:tcPr>
            <w:tcW w:w="918" w:type="dxa"/>
            <w:shd w:val="clear" w:color="auto" w:fill="auto"/>
          </w:tcPr>
          <w:p w14:paraId="1CA50CA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1997</w:t>
            </w:r>
          </w:p>
        </w:tc>
        <w:tc>
          <w:tcPr>
            <w:tcW w:w="2912" w:type="dxa"/>
            <w:shd w:val="clear" w:color="auto" w:fill="auto"/>
          </w:tcPr>
          <w:p w14:paraId="02E2732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7767.678202</w:t>
            </w:r>
          </w:p>
        </w:tc>
        <w:tc>
          <w:tcPr>
            <w:tcW w:w="1915" w:type="dxa"/>
            <w:shd w:val="clear" w:color="auto" w:fill="auto"/>
          </w:tcPr>
          <w:p w14:paraId="4469546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47.53</w:t>
            </w:r>
          </w:p>
        </w:tc>
        <w:tc>
          <w:tcPr>
            <w:tcW w:w="1915" w:type="dxa"/>
            <w:shd w:val="clear" w:color="auto" w:fill="auto"/>
          </w:tcPr>
          <w:p w14:paraId="17D798B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3691.9774</w:t>
            </w:r>
          </w:p>
        </w:tc>
        <w:tc>
          <w:tcPr>
            <w:tcW w:w="1916" w:type="dxa"/>
            <w:shd w:val="clear" w:color="auto" w:fill="auto"/>
          </w:tcPr>
          <w:p w14:paraId="450B404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11459.65565</w:t>
            </w:r>
          </w:p>
        </w:tc>
      </w:tr>
      <w:tr w:rsidR="00E940FD" w:rsidRPr="00D12E59" w14:paraId="294FAA0C" w14:textId="77777777" w:rsidTr="00E940FD">
        <w:tc>
          <w:tcPr>
            <w:tcW w:w="918" w:type="dxa"/>
            <w:tcBorders>
              <w:left w:val="nil"/>
              <w:right w:val="nil"/>
            </w:tcBorders>
            <w:shd w:val="clear" w:color="auto" w:fill="auto"/>
          </w:tcPr>
          <w:p w14:paraId="619F2C2F"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1998</w:t>
            </w:r>
          </w:p>
        </w:tc>
        <w:tc>
          <w:tcPr>
            <w:tcW w:w="2912" w:type="dxa"/>
            <w:tcBorders>
              <w:left w:val="nil"/>
              <w:right w:val="nil"/>
            </w:tcBorders>
            <w:shd w:val="clear" w:color="auto" w:fill="auto"/>
          </w:tcPr>
          <w:p w14:paraId="326EE02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11459.65565</w:t>
            </w:r>
          </w:p>
        </w:tc>
        <w:tc>
          <w:tcPr>
            <w:tcW w:w="1915" w:type="dxa"/>
            <w:tcBorders>
              <w:left w:val="nil"/>
              <w:right w:val="nil"/>
            </w:tcBorders>
            <w:shd w:val="clear" w:color="auto" w:fill="auto"/>
          </w:tcPr>
          <w:p w14:paraId="629A83F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28.67</w:t>
            </w:r>
          </w:p>
        </w:tc>
        <w:tc>
          <w:tcPr>
            <w:tcW w:w="1915" w:type="dxa"/>
            <w:tcBorders>
              <w:left w:val="nil"/>
              <w:right w:val="nil"/>
            </w:tcBorders>
            <w:shd w:val="clear" w:color="auto" w:fill="auto"/>
          </w:tcPr>
          <w:p w14:paraId="5CC5C3B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3285.4833</w:t>
            </w:r>
          </w:p>
        </w:tc>
        <w:tc>
          <w:tcPr>
            <w:tcW w:w="1916" w:type="dxa"/>
            <w:tcBorders>
              <w:left w:val="nil"/>
              <w:right w:val="nil"/>
            </w:tcBorders>
            <w:shd w:val="clear" w:color="auto" w:fill="auto"/>
          </w:tcPr>
          <w:p w14:paraId="29F14E2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14745.13893</w:t>
            </w:r>
          </w:p>
        </w:tc>
      </w:tr>
      <w:tr w:rsidR="00E940FD" w:rsidRPr="00D12E59" w14:paraId="17D67EF5" w14:textId="77777777" w:rsidTr="00E940FD">
        <w:tc>
          <w:tcPr>
            <w:tcW w:w="918" w:type="dxa"/>
            <w:shd w:val="clear" w:color="auto" w:fill="auto"/>
          </w:tcPr>
          <w:p w14:paraId="703B689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1999</w:t>
            </w:r>
          </w:p>
        </w:tc>
        <w:tc>
          <w:tcPr>
            <w:tcW w:w="2912" w:type="dxa"/>
            <w:shd w:val="clear" w:color="auto" w:fill="auto"/>
          </w:tcPr>
          <w:p w14:paraId="32279D8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14745.13893</w:t>
            </w:r>
          </w:p>
        </w:tc>
        <w:tc>
          <w:tcPr>
            <w:tcW w:w="1915" w:type="dxa"/>
            <w:shd w:val="clear" w:color="auto" w:fill="auto"/>
          </w:tcPr>
          <w:p w14:paraId="34D4157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34.18</w:t>
            </w:r>
          </w:p>
        </w:tc>
        <w:tc>
          <w:tcPr>
            <w:tcW w:w="1915" w:type="dxa"/>
            <w:shd w:val="clear" w:color="auto" w:fill="auto"/>
          </w:tcPr>
          <w:p w14:paraId="47478D7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5039.8885</w:t>
            </w:r>
          </w:p>
        </w:tc>
        <w:tc>
          <w:tcPr>
            <w:tcW w:w="1916" w:type="dxa"/>
            <w:shd w:val="clear" w:color="auto" w:fill="auto"/>
          </w:tcPr>
          <w:p w14:paraId="1F0B841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19785.02741</w:t>
            </w:r>
          </w:p>
        </w:tc>
      </w:tr>
      <w:tr w:rsidR="00E940FD" w:rsidRPr="00D12E59" w14:paraId="23EF1EC9" w14:textId="77777777" w:rsidTr="00E940FD">
        <w:tc>
          <w:tcPr>
            <w:tcW w:w="918" w:type="dxa"/>
            <w:tcBorders>
              <w:left w:val="nil"/>
              <w:right w:val="nil"/>
            </w:tcBorders>
            <w:shd w:val="clear" w:color="auto" w:fill="auto"/>
          </w:tcPr>
          <w:p w14:paraId="1AD13D5F"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2000</w:t>
            </w:r>
          </w:p>
        </w:tc>
        <w:tc>
          <w:tcPr>
            <w:tcW w:w="2912" w:type="dxa"/>
            <w:tcBorders>
              <w:left w:val="nil"/>
              <w:right w:val="nil"/>
            </w:tcBorders>
            <w:shd w:val="clear" w:color="auto" w:fill="auto"/>
          </w:tcPr>
          <w:p w14:paraId="682C1A1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19785.02741</w:t>
            </w:r>
          </w:p>
        </w:tc>
        <w:tc>
          <w:tcPr>
            <w:tcW w:w="1915" w:type="dxa"/>
            <w:tcBorders>
              <w:left w:val="nil"/>
              <w:right w:val="nil"/>
            </w:tcBorders>
            <w:shd w:val="clear" w:color="auto" w:fill="auto"/>
          </w:tcPr>
          <w:p w14:paraId="7EF291A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41.99</w:t>
            </w:r>
          </w:p>
        </w:tc>
        <w:tc>
          <w:tcPr>
            <w:tcW w:w="1915" w:type="dxa"/>
            <w:tcBorders>
              <w:left w:val="nil"/>
              <w:right w:val="nil"/>
            </w:tcBorders>
            <w:shd w:val="clear" w:color="auto" w:fill="auto"/>
          </w:tcPr>
          <w:p w14:paraId="3ACA28E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8307.733</w:t>
            </w:r>
          </w:p>
        </w:tc>
        <w:tc>
          <w:tcPr>
            <w:tcW w:w="1916" w:type="dxa"/>
            <w:tcBorders>
              <w:left w:val="nil"/>
              <w:right w:val="nil"/>
            </w:tcBorders>
            <w:shd w:val="clear" w:color="auto" w:fill="auto"/>
          </w:tcPr>
          <w:p w14:paraId="788F139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28092.76042</w:t>
            </w:r>
          </w:p>
        </w:tc>
      </w:tr>
      <w:tr w:rsidR="00E940FD" w:rsidRPr="00D12E59" w14:paraId="6EBED866" w14:textId="77777777" w:rsidTr="00E940FD">
        <w:tc>
          <w:tcPr>
            <w:tcW w:w="918" w:type="dxa"/>
            <w:shd w:val="clear" w:color="auto" w:fill="auto"/>
          </w:tcPr>
          <w:p w14:paraId="277CCEF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2001</w:t>
            </w:r>
          </w:p>
        </w:tc>
        <w:tc>
          <w:tcPr>
            <w:tcW w:w="2912" w:type="dxa"/>
            <w:shd w:val="clear" w:color="auto" w:fill="auto"/>
          </w:tcPr>
          <w:p w14:paraId="7A1D0B0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28092.76042</w:t>
            </w:r>
          </w:p>
        </w:tc>
        <w:tc>
          <w:tcPr>
            <w:tcW w:w="1915" w:type="dxa"/>
            <w:shd w:val="clear" w:color="auto" w:fill="auto"/>
          </w:tcPr>
          <w:p w14:paraId="473C42C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28.94</w:t>
            </w:r>
          </w:p>
        </w:tc>
        <w:tc>
          <w:tcPr>
            <w:tcW w:w="1915" w:type="dxa"/>
            <w:shd w:val="clear" w:color="auto" w:fill="auto"/>
          </w:tcPr>
          <w:p w14:paraId="6DDB0AF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8130.0449</w:t>
            </w:r>
          </w:p>
        </w:tc>
        <w:tc>
          <w:tcPr>
            <w:tcW w:w="1916" w:type="dxa"/>
            <w:shd w:val="clear" w:color="auto" w:fill="auto"/>
          </w:tcPr>
          <w:p w14:paraId="074149F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36222.80529</w:t>
            </w:r>
          </w:p>
        </w:tc>
      </w:tr>
      <w:tr w:rsidR="00E940FD" w:rsidRPr="00D12E59" w14:paraId="063DDA6D" w14:textId="77777777" w:rsidTr="00E940FD">
        <w:tc>
          <w:tcPr>
            <w:tcW w:w="918" w:type="dxa"/>
            <w:tcBorders>
              <w:left w:val="nil"/>
              <w:right w:val="nil"/>
            </w:tcBorders>
            <w:shd w:val="clear" w:color="auto" w:fill="auto"/>
          </w:tcPr>
          <w:p w14:paraId="2A80BB30"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2002</w:t>
            </w:r>
          </w:p>
        </w:tc>
        <w:tc>
          <w:tcPr>
            <w:tcW w:w="2912" w:type="dxa"/>
            <w:tcBorders>
              <w:left w:val="nil"/>
              <w:right w:val="nil"/>
            </w:tcBorders>
            <w:shd w:val="clear" w:color="auto" w:fill="auto"/>
          </w:tcPr>
          <w:p w14:paraId="2799FD4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36222.80529</w:t>
            </w:r>
          </w:p>
        </w:tc>
        <w:tc>
          <w:tcPr>
            <w:tcW w:w="1915" w:type="dxa"/>
            <w:tcBorders>
              <w:left w:val="nil"/>
              <w:right w:val="nil"/>
            </w:tcBorders>
            <w:shd w:val="clear" w:color="auto" w:fill="auto"/>
          </w:tcPr>
          <w:p w14:paraId="5996424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26.6</w:t>
            </w:r>
          </w:p>
        </w:tc>
        <w:tc>
          <w:tcPr>
            <w:tcW w:w="1915" w:type="dxa"/>
            <w:tcBorders>
              <w:left w:val="nil"/>
              <w:right w:val="nil"/>
            </w:tcBorders>
            <w:shd w:val="clear" w:color="auto" w:fill="auto"/>
          </w:tcPr>
          <w:p w14:paraId="747A053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9635.2662</w:t>
            </w:r>
          </w:p>
        </w:tc>
        <w:tc>
          <w:tcPr>
            <w:tcW w:w="1916" w:type="dxa"/>
            <w:tcBorders>
              <w:left w:val="nil"/>
              <w:right w:val="nil"/>
            </w:tcBorders>
            <w:shd w:val="clear" w:color="auto" w:fill="auto"/>
          </w:tcPr>
          <w:p w14:paraId="08281F1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45858.07149</w:t>
            </w:r>
          </w:p>
        </w:tc>
      </w:tr>
      <w:tr w:rsidR="00E940FD" w:rsidRPr="00D12E59" w14:paraId="3E8A3F34" w14:textId="77777777" w:rsidTr="00E940FD">
        <w:tc>
          <w:tcPr>
            <w:tcW w:w="918" w:type="dxa"/>
            <w:shd w:val="clear" w:color="auto" w:fill="auto"/>
          </w:tcPr>
          <w:p w14:paraId="0DF140FF"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2003</w:t>
            </w:r>
          </w:p>
        </w:tc>
        <w:tc>
          <w:tcPr>
            <w:tcW w:w="2912" w:type="dxa"/>
            <w:shd w:val="clear" w:color="auto" w:fill="auto"/>
          </w:tcPr>
          <w:p w14:paraId="7B572F5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45858.07149</w:t>
            </w:r>
          </w:p>
        </w:tc>
        <w:tc>
          <w:tcPr>
            <w:tcW w:w="1915" w:type="dxa"/>
            <w:shd w:val="clear" w:color="auto" w:fill="auto"/>
          </w:tcPr>
          <w:p w14:paraId="5AC0A32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19.6</w:t>
            </w:r>
          </w:p>
        </w:tc>
        <w:tc>
          <w:tcPr>
            <w:tcW w:w="1915" w:type="dxa"/>
            <w:shd w:val="clear" w:color="auto" w:fill="auto"/>
          </w:tcPr>
          <w:p w14:paraId="2B3FFAF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8988.182</w:t>
            </w:r>
          </w:p>
        </w:tc>
        <w:tc>
          <w:tcPr>
            <w:tcW w:w="1916" w:type="dxa"/>
            <w:shd w:val="clear" w:color="auto" w:fill="auto"/>
          </w:tcPr>
          <w:p w14:paraId="508CA45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54846.25351</w:t>
            </w:r>
          </w:p>
        </w:tc>
      </w:tr>
      <w:tr w:rsidR="00E940FD" w:rsidRPr="00D12E59" w14:paraId="249F6E2A" w14:textId="77777777" w:rsidTr="00E940FD">
        <w:tc>
          <w:tcPr>
            <w:tcW w:w="918" w:type="dxa"/>
            <w:tcBorders>
              <w:left w:val="nil"/>
              <w:right w:val="nil"/>
            </w:tcBorders>
            <w:shd w:val="clear" w:color="auto" w:fill="auto"/>
          </w:tcPr>
          <w:p w14:paraId="58A7894D"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2004</w:t>
            </w:r>
          </w:p>
        </w:tc>
        <w:tc>
          <w:tcPr>
            <w:tcW w:w="2912" w:type="dxa"/>
            <w:tcBorders>
              <w:left w:val="nil"/>
              <w:right w:val="nil"/>
            </w:tcBorders>
            <w:shd w:val="clear" w:color="auto" w:fill="auto"/>
          </w:tcPr>
          <w:p w14:paraId="2E4B3FE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54846.25351</w:t>
            </w:r>
          </w:p>
        </w:tc>
        <w:tc>
          <w:tcPr>
            <w:tcW w:w="1915" w:type="dxa"/>
            <w:tcBorders>
              <w:left w:val="nil"/>
              <w:right w:val="nil"/>
            </w:tcBorders>
            <w:shd w:val="clear" w:color="auto" w:fill="auto"/>
          </w:tcPr>
          <w:p w14:paraId="17DEDD6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17.1</w:t>
            </w:r>
          </w:p>
        </w:tc>
        <w:tc>
          <w:tcPr>
            <w:tcW w:w="1915" w:type="dxa"/>
            <w:tcBorders>
              <w:left w:val="nil"/>
              <w:right w:val="nil"/>
            </w:tcBorders>
            <w:shd w:val="clear" w:color="auto" w:fill="auto"/>
          </w:tcPr>
          <w:p w14:paraId="5BE08E8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9378.7093</w:t>
            </w:r>
          </w:p>
        </w:tc>
        <w:tc>
          <w:tcPr>
            <w:tcW w:w="1916" w:type="dxa"/>
            <w:tcBorders>
              <w:left w:val="nil"/>
              <w:right w:val="nil"/>
            </w:tcBorders>
            <w:shd w:val="clear" w:color="auto" w:fill="auto"/>
          </w:tcPr>
          <w:p w14:paraId="50C8061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64224.96286</w:t>
            </w:r>
          </w:p>
        </w:tc>
      </w:tr>
      <w:tr w:rsidR="00E940FD" w:rsidRPr="00D12E59" w14:paraId="467B8E0A" w14:textId="77777777" w:rsidTr="00E940FD">
        <w:tc>
          <w:tcPr>
            <w:tcW w:w="918" w:type="dxa"/>
            <w:shd w:val="clear" w:color="auto" w:fill="auto"/>
          </w:tcPr>
          <w:p w14:paraId="1351FCC1"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2005</w:t>
            </w:r>
          </w:p>
        </w:tc>
        <w:tc>
          <w:tcPr>
            <w:tcW w:w="2912" w:type="dxa"/>
            <w:shd w:val="clear" w:color="auto" w:fill="auto"/>
          </w:tcPr>
          <w:p w14:paraId="4B5A342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64224.96286</w:t>
            </w:r>
          </w:p>
        </w:tc>
        <w:tc>
          <w:tcPr>
            <w:tcW w:w="1915" w:type="dxa"/>
            <w:shd w:val="clear" w:color="auto" w:fill="auto"/>
          </w:tcPr>
          <w:p w14:paraId="5E8EC2C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11.4</w:t>
            </w:r>
          </w:p>
        </w:tc>
        <w:tc>
          <w:tcPr>
            <w:tcW w:w="1915" w:type="dxa"/>
            <w:shd w:val="clear" w:color="auto" w:fill="auto"/>
          </w:tcPr>
          <w:p w14:paraId="25D368F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7321.6458</w:t>
            </w:r>
          </w:p>
        </w:tc>
        <w:tc>
          <w:tcPr>
            <w:tcW w:w="1916" w:type="dxa"/>
            <w:shd w:val="clear" w:color="auto" w:fill="auto"/>
          </w:tcPr>
          <w:p w14:paraId="3A6EC4A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71546.60862</w:t>
            </w:r>
          </w:p>
        </w:tc>
      </w:tr>
      <w:tr w:rsidR="00E940FD" w:rsidRPr="00D12E59" w14:paraId="23852379" w14:textId="77777777" w:rsidTr="00E940FD">
        <w:tc>
          <w:tcPr>
            <w:tcW w:w="918" w:type="dxa"/>
            <w:tcBorders>
              <w:left w:val="nil"/>
              <w:right w:val="nil"/>
            </w:tcBorders>
            <w:shd w:val="clear" w:color="auto" w:fill="auto"/>
          </w:tcPr>
          <w:p w14:paraId="0D04FF2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2006</w:t>
            </w:r>
          </w:p>
        </w:tc>
        <w:tc>
          <w:tcPr>
            <w:tcW w:w="2912" w:type="dxa"/>
            <w:tcBorders>
              <w:left w:val="nil"/>
              <w:right w:val="nil"/>
            </w:tcBorders>
            <w:shd w:val="clear" w:color="auto" w:fill="auto"/>
          </w:tcPr>
          <w:p w14:paraId="13BC8B9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71546.60862</w:t>
            </w:r>
          </w:p>
        </w:tc>
        <w:tc>
          <w:tcPr>
            <w:tcW w:w="1915" w:type="dxa"/>
            <w:tcBorders>
              <w:left w:val="nil"/>
              <w:right w:val="nil"/>
            </w:tcBorders>
            <w:shd w:val="clear" w:color="auto" w:fill="auto"/>
          </w:tcPr>
          <w:p w14:paraId="43445B0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9.6</w:t>
            </w:r>
          </w:p>
        </w:tc>
        <w:tc>
          <w:tcPr>
            <w:tcW w:w="1915" w:type="dxa"/>
            <w:tcBorders>
              <w:left w:val="nil"/>
              <w:right w:val="nil"/>
            </w:tcBorders>
            <w:shd w:val="clear" w:color="auto" w:fill="auto"/>
          </w:tcPr>
          <w:p w14:paraId="3064EB5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6868.4744</w:t>
            </w:r>
          </w:p>
        </w:tc>
        <w:tc>
          <w:tcPr>
            <w:tcW w:w="1916" w:type="dxa"/>
            <w:tcBorders>
              <w:left w:val="nil"/>
              <w:right w:val="nil"/>
            </w:tcBorders>
            <w:shd w:val="clear" w:color="auto" w:fill="auto"/>
          </w:tcPr>
          <w:p w14:paraId="2AA5539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78415.08305</w:t>
            </w:r>
          </w:p>
        </w:tc>
      </w:tr>
      <w:tr w:rsidR="00E940FD" w:rsidRPr="00D12E59" w14:paraId="79057E25" w14:textId="77777777" w:rsidTr="00E940FD">
        <w:tc>
          <w:tcPr>
            <w:tcW w:w="918" w:type="dxa"/>
            <w:shd w:val="clear" w:color="auto" w:fill="auto"/>
          </w:tcPr>
          <w:p w14:paraId="45AE9B58"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2007</w:t>
            </w:r>
          </w:p>
        </w:tc>
        <w:tc>
          <w:tcPr>
            <w:tcW w:w="2912" w:type="dxa"/>
            <w:shd w:val="clear" w:color="auto" w:fill="auto"/>
          </w:tcPr>
          <w:p w14:paraId="568A564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78415.08305</w:t>
            </w:r>
          </w:p>
        </w:tc>
        <w:tc>
          <w:tcPr>
            <w:tcW w:w="1915" w:type="dxa"/>
            <w:shd w:val="clear" w:color="auto" w:fill="auto"/>
          </w:tcPr>
          <w:p w14:paraId="141C134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10.6</w:t>
            </w:r>
          </w:p>
        </w:tc>
        <w:tc>
          <w:tcPr>
            <w:tcW w:w="1915" w:type="dxa"/>
            <w:shd w:val="clear" w:color="auto" w:fill="auto"/>
          </w:tcPr>
          <w:p w14:paraId="141C0A1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8311.9988</w:t>
            </w:r>
          </w:p>
        </w:tc>
        <w:tc>
          <w:tcPr>
            <w:tcW w:w="1916" w:type="dxa"/>
            <w:shd w:val="clear" w:color="auto" w:fill="auto"/>
          </w:tcPr>
          <w:p w14:paraId="12BD08C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86727.08185</w:t>
            </w:r>
          </w:p>
        </w:tc>
      </w:tr>
      <w:tr w:rsidR="00E940FD" w:rsidRPr="00D12E59" w14:paraId="2CC46288" w14:textId="77777777" w:rsidTr="00E940FD">
        <w:tc>
          <w:tcPr>
            <w:tcW w:w="918" w:type="dxa"/>
            <w:tcBorders>
              <w:left w:val="nil"/>
              <w:right w:val="nil"/>
            </w:tcBorders>
            <w:shd w:val="clear" w:color="auto" w:fill="auto"/>
          </w:tcPr>
          <w:p w14:paraId="62C54DD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2008</w:t>
            </w:r>
          </w:p>
        </w:tc>
        <w:tc>
          <w:tcPr>
            <w:tcW w:w="2912" w:type="dxa"/>
            <w:tcBorders>
              <w:left w:val="nil"/>
              <w:right w:val="nil"/>
            </w:tcBorders>
            <w:shd w:val="clear" w:color="auto" w:fill="auto"/>
          </w:tcPr>
          <w:p w14:paraId="46475F3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86727.08185</w:t>
            </w:r>
          </w:p>
        </w:tc>
        <w:tc>
          <w:tcPr>
            <w:tcW w:w="1915" w:type="dxa"/>
            <w:tcBorders>
              <w:left w:val="nil"/>
              <w:right w:val="nil"/>
            </w:tcBorders>
            <w:shd w:val="clear" w:color="auto" w:fill="auto"/>
          </w:tcPr>
          <w:p w14:paraId="3B1C600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24.7</w:t>
            </w:r>
          </w:p>
        </w:tc>
        <w:tc>
          <w:tcPr>
            <w:tcW w:w="1915" w:type="dxa"/>
            <w:tcBorders>
              <w:left w:val="nil"/>
              <w:right w:val="nil"/>
            </w:tcBorders>
            <w:shd w:val="clear" w:color="auto" w:fill="auto"/>
          </w:tcPr>
          <w:p w14:paraId="4A9BC17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21421.589</w:t>
            </w:r>
          </w:p>
        </w:tc>
        <w:tc>
          <w:tcPr>
            <w:tcW w:w="1916" w:type="dxa"/>
            <w:tcBorders>
              <w:left w:val="nil"/>
              <w:right w:val="nil"/>
            </w:tcBorders>
            <w:shd w:val="clear" w:color="auto" w:fill="auto"/>
          </w:tcPr>
          <w:p w14:paraId="545A719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108148.6711</w:t>
            </w:r>
          </w:p>
        </w:tc>
      </w:tr>
      <w:tr w:rsidR="00E940FD" w:rsidRPr="00D12E59" w14:paraId="188A9C05" w14:textId="77777777" w:rsidTr="00E940FD">
        <w:tc>
          <w:tcPr>
            <w:tcW w:w="918" w:type="dxa"/>
            <w:shd w:val="clear" w:color="auto" w:fill="auto"/>
          </w:tcPr>
          <w:p w14:paraId="0504C97C"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2009</w:t>
            </w:r>
          </w:p>
        </w:tc>
        <w:tc>
          <w:tcPr>
            <w:tcW w:w="2912" w:type="dxa"/>
            <w:shd w:val="clear" w:color="auto" w:fill="auto"/>
          </w:tcPr>
          <w:p w14:paraId="23B257D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108148.6711</w:t>
            </w:r>
          </w:p>
        </w:tc>
        <w:tc>
          <w:tcPr>
            <w:tcW w:w="1915" w:type="dxa"/>
            <w:shd w:val="clear" w:color="auto" w:fill="auto"/>
          </w:tcPr>
          <w:p w14:paraId="0BE18D8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22.5</w:t>
            </w:r>
          </w:p>
        </w:tc>
        <w:tc>
          <w:tcPr>
            <w:tcW w:w="1915" w:type="dxa"/>
            <w:shd w:val="clear" w:color="auto" w:fill="auto"/>
          </w:tcPr>
          <w:p w14:paraId="66FE6DF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24333.451</w:t>
            </w:r>
          </w:p>
        </w:tc>
        <w:tc>
          <w:tcPr>
            <w:tcW w:w="1916" w:type="dxa"/>
            <w:shd w:val="clear" w:color="auto" w:fill="auto"/>
          </w:tcPr>
          <w:p w14:paraId="49CEAB3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132482.1221</w:t>
            </w:r>
          </w:p>
        </w:tc>
      </w:tr>
      <w:tr w:rsidR="00E940FD" w:rsidRPr="00D12E59" w14:paraId="1028F74D" w14:textId="77777777" w:rsidTr="00E940FD">
        <w:tc>
          <w:tcPr>
            <w:tcW w:w="918" w:type="dxa"/>
            <w:tcBorders>
              <w:left w:val="nil"/>
              <w:right w:val="nil"/>
            </w:tcBorders>
            <w:shd w:val="clear" w:color="auto" w:fill="auto"/>
          </w:tcPr>
          <w:p w14:paraId="1890332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2010</w:t>
            </w:r>
          </w:p>
        </w:tc>
        <w:tc>
          <w:tcPr>
            <w:tcW w:w="2912" w:type="dxa"/>
            <w:tcBorders>
              <w:left w:val="nil"/>
              <w:right w:val="nil"/>
            </w:tcBorders>
            <w:shd w:val="clear" w:color="auto" w:fill="auto"/>
          </w:tcPr>
          <w:p w14:paraId="6F070FA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132482.1221</w:t>
            </w:r>
          </w:p>
        </w:tc>
        <w:tc>
          <w:tcPr>
            <w:tcW w:w="1915" w:type="dxa"/>
            <w:tcBorders>
              <w:left w:val="nil"/>
              <w:right w:val="nil"/>
            </w:tcBorders>
            <w:shd w:val="clear" w:color="auto" w:fill="auto"/>
          </w:tcPr>
          <w:p w14:paraId="7CF01AC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12.25</w:t>
            </w:r>
          </w:p>
        </w:tc>
        <w:tc>
          <w:tcPr>
            <w:tcW w:w="1915" w:type="dxa"/>
            <w:tcBorders>
              <w:left w:val="nil"/>
              <w:right w:val="nil"/>
            </w:tcBorders>
            <w:shd w:val="clear" w:color="auto" w:fill="auto"/>
          </w:tcPr>
          <w:p w14:paraId="224075F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16229.06</w:t>
            </w:r>
          </w:p>
        </w:tc>
        <w:tc>
          <w:tcPr>
            <w:tcW w:w="1916" w:type="dxa"/>
            <w:tcBorders>
              <w:left w:val="nil"/>
              <w:right w:val="nil"/>
            </w:tcBorders>
            <w:shd w:val="clear" w:color="auto" w:fill="auto"/>
          </w:tcPr>
          <w:p w14:paraId="1DF9B88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148711.182</w:t>
            </w:r>
          </w:p>
        </w:tc>
      </w:tr>
    </w:tbl>
    <w:p w14:paraId="0EA3F9CD" w14:textId="77777777" w:rsidR="007A0633" w:rsidRDefault="007A0633" w:rsidP="0069035A">
      <w:pPr>
        <w:pStyle w:val="Default"/>
        <w:spacing w:after="0"/>
        <w:rPr>
          <w:rFonts w:ascii="Book Antiqua" w:hAnsi="Book Antiqua"/>
          <w:sz w:val="22"/>
          <w:szCs w:val="22"/>
        </w:rPr>
        <w:sectPr w:rsidR="007A0633" w:rsidSect="008F6BC9">
          <w:type w:val="continuous"/>
          <w:pgSz w:w="11907" w:h="16839" w:code="9"/>
          <w:pgMar w:top="1440" w:right="1440" w:bottom="1440" w:left="1440" w:header="720" w:footer="720" w:gutter="0"/>
          <w:cols w:space="720"/>
          <w:titlePg/>
          <w:docGrid w:linePitch="360"/>
        </w:sectPr>
      </w:pPr>
    </w:p>
    <w:p w14:paraId="43B2E31F" w14:textId="77777777" w:rsidR="00AC50E9" w:rsidRPr="00E3232D" w:rsidRDefault="00AC50E9" w:rsidP="008275E1">
      <w:pPr>
        <w:pStyle w:val="Default"/>
        <w:rPr>
          <w:rFonts w:ascii="Book Antiqua" w:hAnsi="Book Antiqua"/>
          <w:sz w:val="22"/>
          <w:szCs w:val="22"/>
        </w:rPr>
      </w:pPr>
    </w:p>
    <w:p w14:paraId="40BFF833" w14:textId="77777777" w:rsidR="00D932E0" w:rsidRDefault="00D932E0" w:rsidP="008275E1">
      <w:pPr>
        <w:pStyle w:val="Default"/>
        <w:rPr>
          <w:rFonts w:ascii="Book Antiqua" w:hAnsi="Book Antiqua"/>
          <w:b/>
          <w:bCs/>
          <w:sz w:val="22"/>
          <w:szCs w:val="22"/>
        </w:rPr>
        <w:sectPr w:rsidR="00D932E0" w:rsidSect="008F6BC9">
          <w:type w:val="continuous"/>
          <w:pgSz w:w="11907" w:h="16839" w:code="9"/>
          <w:pgMar w:top="1440" w:right="1440" w:bottom="1440" w:left="1440" w:header="720" w:footer="720" w:gutter="0"/>
          <w:cols w:num="2" w:space="720"/>
          <w:titlePg/>
          <w:docGrid w:linePitch="360"/>
        </w:sectPr>
      </w:pPr>
    </w:p>
    <w:p w14:paraId="1FA19180" w14:textId="77777777" w:rsidR="00AC50E9" w:rsidRPr="00E3232D" w:rsidRDefault="00AC50E9" w:rsidP="008275E1">
      <w:pPr>
        <w:pStyle w:val="Default"/>
        <w:rPr>
          <w:rFonts w:ascii="Book Antiqua" w:hAnsi="Book Antiqua"/>
          <w:b/>
          <w:bCs/>
          <w:sz w:val="22"/>
          <w:szCs w:val="22"/>
        </w:rPr>
      </w:pPr>
      <w:r w:rsidRPr="00E3232D">
        <w:rPr>
          <w:rFonts w:ascii="Book Antiqua" w:hAnsi="Book Antiqua"/>
          <w:b/>
          <w:bCs/>
          <w:sz w:val="22"/>
          <w:szCs w:val="22"/>
        </w:rPr>
        <w:t>Calculation of Real Growth in Investment in Treasury Bill (Investor A)</w:t>
      </w:r>
    </w:p>
    <w:p w14:paraId="14578E3B" w14:textId="77777777" w:rsidR="00D932E0" w:rsidRDefault="00D932E0" w:rsidP="008D6FB2">
      <w:pPr>
        <w:pStyle w:val="Default"/>
        <w:jc w:val="center"/>
        <w:rPr>
          <w:rFonts w:ascii="Book Antiqua" w:hAnsi="Book Antiqua"/>
          <w:b/>
          <w:sz w:val="22"/>
          <w:szCs w:val="22"/>
        </w:rPr>
        <w:sectPr w:rsidR="00D932E0" w:rsidSect="008F6BC9">
          <w:type w:val="continuous"/>
          <w:pgSz w:w="11907" w:h="16839" w:code="9"/>
          <w:pgMar w:top="1440" w:right="1440" w:bottom="1440" w:left="1440" w:header="720" w:footer="720" w:gutter="0"/>
          <w:cols w:space="720"/>
          <w:titlePg/>
          <w:docGrid w:linePitch="360"/>
        </w:sectPr>
      </w:pPr>
    </w:p>
    <w:tbl>
      <w:tblPr>
        <w:tblW w:w="0" w:type="auto"/>
        <w:tblBorders>
          <w:top w:val="single" w:sz="8" w:space="0" w:color="4F81BD"/>
          <w:bottom w:val="single" w:sz="8" w:space="0" w:color="4F81BD"/>
        </w:tblBorders>
        <w:tblLook w:val="04A0" w:firstRow="1" w:lastRow="0" w:firstColumn="1" w:lastColumn="0" w:noHBand="0" w:noVBand="1"/>
      </w:tblPr>
      <w:tblGrid>
        <w:gridCol w:w="897"/>
        <w:gridCol w:w="2786"/>
        <w:gridCol w:w="1817"/>
        <w:gridCol w:w="1871"/>
        <w:gridCol w:w="1872"/>
      </w:tblGrid>
      <w:tr w:rsidR="00E940FD" w:rsidRPr="00D12E59" w14:paraId="00E9ED53" w14:textId="77777777" w:rsidTr="00E940FD">
        <w:tc>
          <w:tcPr>
            <w:tcW w:w="918" w:type="dxa"/>
            <w:tcBorders>
              <w:top w:val="single" w:sz="8" w:space="0" w:color="4F81BD"/>
              <w:left w:val="nil"/>
              <w:bottom w:val="single" w:sz="8" w:space="0" w:color="4F81BD"/>
              <w:right w:val="nil"/>
            </w:tcBorders>
            <w:shd w:val="clear" w:color="auto" w:fill="auto"/>
          </w:tcPr>
          <w:p w14:paraId="7DF81FC8"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Year</w:t>
            </w:r>
          </w:p>
        </w:tc>
        <w:tc>
          <w:tcPr>
            <w:tcW w:w="2912" w:type="dxa"/>
            <w:tcBorders>
              <w:top w:val="single" w:sz="8" w:space="0" w:color="4F81BD"/>
              <w:left w:val="nil"/>
              <w:bottom w:val="single" w:sz="8" w:space="0" w:color="4F81BD"/>
              <w:right w:val="nil"/>
            </w:tcBorders>
            <w:shd w:val="clear" w:color="auto" w:fill="auto"/>
          </w:tcPr>
          <w:p w14:paraId="32E83E4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Amounted Invested</w:t>
            </w:r>
          </w:p>
        </w:tc>
        <w:tc>
          <w:tcPr>
            <w:tcW w:w="1915" w:type="dxa"/>
            <w:tcBorders>
              <w:top w:val="single" w:sz="8" w:space="0" w:color="4F81BD"/>
              <w:left w:val="nil"/>
              <w:bottom w:val="single" w:sz="8" w:space="0" w:color="4F81BD"/>
              <w:right w:val="nil"/>
            </w:tcBorders>
            <w:shd w:val="clear" w:color="auto" w:fill="auto"/>
          </w:tcPr>
          <w:p w14:paraId="12A93489"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Rate</w:t>
            </w:r>
          </w:p>
        </w:tc>
        <w:tc>
          <w:tcPr>
            <w:tcW w:w="1915" w:type="dxa"/>
            <w:tcBorders>
              <w:top w:val="single" w:sz="8" w:space="0" w:color="4F81BD"/>
              <w:left w:val="nil"/>
              <w:bottom w:val="single" w:sz="8" w:space="0" w:color="4F81BD"/>
              <w:right w:val="nil"/>
            </w:tcBorders>
            <w:shd w:val="clear" w:color="auto" w:fill="auto"/>
          </w:tcPr>
          <w:p w14:paraId="005114FC"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Interest</w:t>
            </w:r>
          </w:p>
        </w:tc>
        <w:tc>
          <w:tcPr>
            <w:tcW w:w="1916" w:type="dxa"/>
            <w:tcBorders>
              <w:top w:val="single" w:sz="8" w:space="0" w:color="4F81BD"/>
              <w:left w:val="nil"/>
              <w:bottom w:val="single" w:sz="8" w:space="0" w:color="4F81BD"/>
              <w:right w:val="nil"/>
            </w:tcBorders>
            <w:shd w:val="clear" w:color="auto" w:fill="auto"/>
          </w:tcPr>
          <w:p w14:paraId="419EB74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Closing Value</w:t>
            </w:r>
          </w:p>
        </w:tc>
      </w:tr>
      <w:tr w:rsidR="00E940FD" w:rsidRPr="00D12E59" w14:paraId="33FD5C9D" w14:textId="77777777" w:rsidTr="00E940FD">
        <w:tc>
          <w:tcPr>
            <w:tcW w:w="918" w:type="dxa"/>
            <w:tcBorders>
              <w:left w:val="nil"/>
              <w:right w:val="nil"/>
            </w:tcBorders>
            <w:shd w:val="clear" w:color="auto" w:fill="auto"/>
          </w:tcPr>
          <w:p w14:paraId="29423271"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1990</w:t>
            </w:r>
          </w:p>
        </w:tc>
        <w:tc>
          <w:tcPr>
            <w:tcW w:w="2912" w:type="dxa"/>
            <w:tcBorders>
              <w:left w:val="nil"/>
              <w:right w:val="nil"/>
            </w:tcBorders>
            <w:shd w:val="clear" w:color="auto" w:fill="auto"/>
          </w:tcPr>
          <w:p w14:paraId="6B95CFB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1000</w:t>
            </w:r>
          </w:p>
        </w:tc>
        <w:tc>
          <w:tcPr>
            <w:tcW w:w="1915" w:type="dxa"/>
            <w:tcBorders>
              <w:left w:val="nil"/>
              <w:right w:val="nil"/>
            </w:tcBorders>
            <w:shd w:val="clear" w:color="auto" w:fill="auto"/>
          </w:tcPr>
          <w:p w14:paraId="6D4FCEA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-6.37</w:t>
            </w:r>
          </w:p>
        </w:tc>
        <w:tc>
          <w:tcPr>
            <w:tcW w:w="1915" w:type="dxa"/>
            <w:tcBorders>
              <w:left w:val="nil"/>
              <w:right w:val="nil"/>
            </w:tcBorders>
            <w:shd w:val="clear" w:color="auto" w:fill="auto"/>
          </w:tcPr>
          <w:p w14:paraId="29B7D36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-63.7</w:t>
            </w:r>
          </w:p>
        </w:tc>
        <w:tc>
          <w:tcPr>
            <w:tcW w:w="1916" w:type="dxa"/>
            <w:tcBorders>
              <w:left w:val="nil"/>
              <w:right w:val="nil"/>
            </w:tcBorders>
            <w:shd w:val="clear" w:color="auto" w:fill="auto"/>
          </w:tcPr>
          <w:p w14:paraId="0C36F90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936.3</w:t>
            </w:r>
          </w:p>
        </w:tc>
      </w:tr>
      <w:tr w:rsidR="00E940FD" w:rsidRPr="00D12E59" w14:paraId="64E66711" w14:textId="77777777" w:rsidTr="00E940FD">
        <w:tc>
          <w:tcPr>
            <w:tcW w:w="918" w:type="dxa"/>
            <w:shd w:val="clear" w:color="auto" w:fill="auto"/>
          </w:tcPr>
          <w:p w14:paraId="19D6B44D"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1991</w:t>
            </w:r>
          </w:p>
        </w:tc>
        <w:tc>
          <w:tcPr>
            <w:tcW w:w="2912" w:type="dxa"/>
            <w:shd w:val="clear" w:color="auto" w:fill="auto"/>
          </w:tcPr>
          <w:p w14:paraId="5CCFA97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936.3</w:t>
            </w:r>
          </w:p>
        </w:tc>
        <w:tc>
          <w:tcPr>
            <w:tcW w:w="1915" w:type="dxa"/>
            <w:shd w:val="clear" w:color="auto" w:fill="auto"/>
          </w:tcPr>
          <w:p w14:paraId="25A51C9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10.75</w:t>
            </w:r>
          </w:p>
        </w:tc>
        <w:tc>
          <w:tcPr>
            <w:tcW w:w="1915" w:type="dxa"/>
            <w:shd w:val="clear" w:color="auto" w:fill="auto"/>
          </w:tcPr>
          <w:p w14:paraId="4A47797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100.65225</w:t>
            </w:r>
          </w:p>
        </w:tc>
        <w:tc>
          <w:tcPr>
            <w:tcW w:w="1916" w:type="dxa"/>
            <w:shd w:val="clear" w:color="auto" w:fill="auto"/>
          </w:tcPr>
          <w:p w14:paraId="330BC08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1036.95225</w:t>
            </w:r>
          </w:p>
        </w:tc>
      </w:tr>
      <w:tr w:rsidR="00E940FD" w:rsidRPr="00D12E59" w14:paraId="77CADFA9" w14:textId="77777777" w:rsidTr="00E940FD">
        <w:tc>
          <w:tcPr>
            <w:tcW w:w="918" w:type="dxa"/>
            <w:tcBorders>
              <w:left w:val="nil"/>
              <w:right w:val="nil"/>
            </w:tcBorders>
            <w:shd w:val="clear" w:color="auto" w:fill="auto"/>
          </w:tcPr>
          <w:p w14:paraId="760CD775"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1992</w:t>
            </w:r>
          </w:p>
        </w:tc>
        <w:tc>
          <w:tcPr>
            <w:tcW w:w="2912" w:type="dxa"/>
            <w:tcBorders>
              <w:left w:val="nil"/>
              <w:right w:val="nil"/>
            </w:tcBorders>
            <w:shd w:val="clear" w:color="auto" w:fill="auto"/>
          </w:tcPr>
          <w:p w14:paraId="65B28D0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1036.95225</w:t>
            </w:r>
          </w:p>
        </w:tc>
        <w:tc>
          <w:tcPr>
            <w:tcW w:w="1915" w:type="dxa"/>
            <w:tcBorders>
              <w:left w:val="nil"/>
              <w:right w:val="nil"/>
            </w:tcBorders>
            <w:shd w:val="clear" w:color="auto" w:fill="auto"/>
          </w:tcPr>
          <w:p w14:paraId="0DD82F9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13.83</w:t>
            </w:r>
          </w:p>
        </w:tc>
        <w:tc>
          <w:tcPr>
            <w:tcW w:w="1915" w:type="dxa"/>
            <w:tcBorders>
              <w:left w:val="nil"/>
              <w:right w:val="nil"/>
            </w:tcBorders>
            <w:shd w:val="clear" w:color="auto" w:fill="auto"/>
          </w:tcPr>
          <w:p w14:paraId="39A7621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143.4104962</w:t>
            </w:r>
          </w:p>
        </w:tc>
        <w:tc>
          <w:tcPr>
            <w:tcW w:w="1916" w:type="dxa"/>
            <w:tcBorders>
              <w:left w:val="nil"/>
              <w:right w:val="nil"/>
            </w:tcBorders>
            <w:shd w:val="clear" w:color="auto" w:fill="auto"/>
          </w:tcPr>
          <w:p w14:paraId="656BE8B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1180.362746</w:t>
            </w:r>
          </w:p>
        </w:tc>
      </w:tr>
      <w:tr w:rsidR="00E940FD" w:rsidRPr="00D12E59" w14:paraId="5B9FBD95" w14:textId="77777777" w:rsidTr="00E940FD">
        <w:tc>
          <w:tcPr>
            <w:tcW w:w="918" w:type="dxa"/>
            <w:shd w:val="clear" w:color="auto" w:fill="auto"/>
          </w:tcPr>
          <w:p w14:paraId="3CF33EEC"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1993</w:t>
            </w:r>
          </w:p>
        </w:tc>
        <w:tc>
          <w:tcPr>
            <w:tcW w:w="2912" w:type="dxa"/>
            <w:shd w:val="clear" w:color="auto" w:fill="auto"/>
          </w:tcPr>
          <w:p w14:paraId="5AC1A63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1180.362746</w:t>
            </w:r>
          </w:p>
        </w:tc>
        <w:tc>
          <w:tcPr>
            <w:tcW w:w="1915" w:type="dxa"/>
            <w:shd w:val="clear" w:color="auto" w:fill="auto"/>
          </w:tcPr>
          <w:p w14:paraId="5211AA6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7.08</w:t>
            </w:r>
          </w:p>
        </w:tc>
        <w:tc>
          <w:tcPr>
            <w:tcW w:w="1915" w:type="dxa"/>
            <w:shd w:val="clear" w:color="auto" w:fill="auto"/>
          </w:tcPr>
          <w:p w14:paraId="0AC3DE6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83.56968243</w:t>
            </w:r>
          </w:p>
        </w:tc>
        <w:tc>
          <w:tcPr>
            <w:tcW w:w="1916" w:type="dxa"/>
            <w:shd w:val="clear" w:color="auto" w:fill="auto"/>
          </w:tcPr>
          <w:p w14:paraId="1738083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1263.932429</w:t>
            </w:r>
          </w:p>
        </w:tc>
      </w:tr>
      <w:tr w:rsidR="00E940FD" w:rsidRPr="00D12E59" w14:paraId="5AC2FB28" w14:textId="77777777" w:rsidTr="00E940FD">
        <w:tc>
          <w:tcPr>
            <w:tcW w:w="918" w:type="dxa"/>
            <w:tcBorders>
              <w:left w:val="nil"/>
              <w:right w:val="nil"/>
            </w:tcBorders>
            <w:shd w:val="clear" w:color="auto" w:fill="auto"/>
          </w:tcPr>
          <w:p w14:paraId="1A38DF4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1994</w:t>
            </w:r>
          </w:p>
        </w:tc>
        <w:tc>
          <w:tcPr>
            <w:tcW w:w="2912" w:type="dxa"/>
            <w:tcBorders>
              <w:left w:val="nil"/>
              <w:right w:val="nil"/>
            </w:tcBorders>
            <w:shd w:val="clear" w:color="auto" w:fill="auto"/>
          </w:tcPr>
          <w:p w14:paraId="12DACB6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1263.932429</w:t>
            </w:r>
          </w:p>
        </w:tc>
        <w:tc>
          <w:tcPr>
            <w:tcW w:w="1915" w:type="dxa"/>
            <w:tcBorders>
              <w:left w:val="nil"/>
              <w:right w:val="nil"/>
            </w:tcBorders>
            <w:shd w:val="clear" w:color="auto" w:fill="auto"/>
          </w:tcPr>
          <w:p w14:paraId="6EBA577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0.58</w:t>
            </w:r>
          </w:p>
        </w:tc>
        <w:tc>
          <w:tcPr>
            <w:tcW w:w="1915" w:type="dxa"/>
            <w:tcBorders>
              <w:left w:val="nil"/>
              <w:right w:val="nil"/>
            </w:tcBorders>
            <w:shd w:val="clear" w:color="auto" w:fill="auto"/>
          </w:tcPr>
          <w:p w14:paraId="7DB9F4F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7.330808086</w:t>
            </w:r>
          </w:p>
        </w:tc>
        <w:tc>
          <w:tcPr>
            <w:tcW w:w="1916" w:type="dxa"/>
            <w:tcBorders>
              <w:left w:val="nil"/>
              <w:right w:val="nil"/>
            </w:tcBorders>
            <w:shd w:val="clear" w:color="auto" w:fill="auto"/>
          </w:tcPr>
          <w:p w14:paraId="61F6F93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1271.263237</w:t>
            </w:r>
          </w:p>
        </w:tc>
      </w:tr>
      <w:tr w:rsidR="00E940FD" w:rsidRPr="00D12E59" w14:paraId="46DD3C7D" w14:textId="77777777" w:rsidTr="00E940FD">
        <w:tc>
          <w:tcPr>
            <w:tcW w:w="918" w:type="dxa"/>
            <w:shd w:val="clear" w:color="auto" w:fill="auto"/>
          </w:tcPr>
          <w:p w14:paraId="052A2160"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1995</w:t>
            </w:r>
          </w:p>
        </w:tc>
        <w:tc>
          <w:tcPr>
            <w:tcW w:w="2912" w:type="dxa"/>
            <w:shd w:val="clear" w:color="auto" w:fill="auto"/>
          </w:tcPr>
          <w:p w14:paraId="3C4F0C4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1271.263237</w:t>
            </w:r>
          </w:p>
        </w:tc>
        <w:tc>
          <w:tcPr>
            <w:tcW w:w="1915" w:type="dxa"/>
            <w:shd w:val="clear" w:color="auto" w:fill="auto"/>
          </w:tcPr>
          <w:p w14:paraId="3F98018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-25.74</w:t>
            </w:r>
          </w:p>
        </w:tc>
        <w:tc>
          <w:tcPr>
            <w:tcW w:w="1915" w:type="dxa"/>
            <w:shd w:val="clear" w:color="auto" w:fill="auto"/>
          </w:tcPr>
          <w:p w14:paraId="457F4ED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-327.2231571</w:t>
            </w:r>
          </w:p>
        </w:tc>
        <w:tc>
          <w:tcPr>
            <w:tcW w:w="1916" w:type="dxa"/>
            <w:shd w:val="clear" w:color="auto" w:fill="auto"/>
          </w:tcPr>
          <w:p w14:paraId="3FFF794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944.0400796</w:t>
            </w:r>
          </w:p>
        </w:tc>
      </w:tr>
      <w:tr w:rsidR="00E940FD" w:rsidRPr="00D12E59" w14:paraId="1705FA2D" w14:textId="77777777" w:rsidTr="00E940FD">
        <w:tc>
          <w:tcPr>
            <w:tcW w:w="918" w:type="dxa"/>
            <w:tcBorders>
              <w:left w:val="nil"/>
              <w:right w:val="nil"/>
            </w:tcBorders>
            <w:shd w:val="clear" w:color="auto" w:fill="auto"/>
          </w:tcPr>
          <w:p w14:paraId="3066661F"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1996</w:t>
            </w:r>
          </w:p>
        </w:tc>
        <w:tc>
          <w:tcPr>
            <w:tcW w:w="2912" w:type="dxa"/>
            <w:tcBorders>
              <w:left w:val="nil"/>
              <w:right w:val="nil"/>
            </w:tcBorders>
            <w:shd w:val="clear" w:color="auto" w:fill="auto"/>
          </w:tcPr>
          <w:p w14:paraId="63687D8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944.0400796</w:t>
            </w:r>
          </w:p>
        </w:tc>
        <w:tc>
          <w:tcPr>
            <w:tcW w:w="1915" w:type="dxa"/>
            <w:tcBorders>
              <w:left w:val="nil"/>
              <w:right w:val="nil"/>
            </w:tcBorders>
            <w:shd w:val="clear" w:color="auto" w:fill="auto"/>
          </w:tcPr>
          <w:p w14:paraId="3AA40B0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15.18</w:t>
            </w:r>
          </w:p>
        </w:tc>
        <w:tc>
          <w:tcPr>
            <w:tcW w:w="1915" w:type="dxa"/>
            <w:tcBorders>
              <w:left w:val="nil"/>
              <w:right w:val="nil"/>
            </w:tcBorders>
            <w:shd w:val="clear" w:color="auto" w:fill="auto"/>
          </w:tcPr>
          <w:p w14:paraId="42477F0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143.3052841</w:t>
            </w:r>
          </w:p>
        </w:tc>
        <w:tc>
          <w:tcPr>
            <w:tcW w:w="1916" w:type="dxa"/>
            <w:tcBorders>
              <w:left w:val="nil"/>
              <w:right w:val="nil"/>
            </w:tcBorders>
            <w:shd w:val="clear" w:color="auto" w:fill="auto"/>
          </w:tcPr>
          <w:p w14:paraId="4BE122E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1087.345364</w:t>
            </w:r>
          </w:p>
        </w:tc>
      </w:tr>
      <w:tr w:rsidR="00E940FD" w:rsidRPr="00D12E59" w14:paraId="642F6718" w14:textId="77777777" w:rsidTr="00E940FD">
        <w:tc>
          <w:tcPr>
            <w:tcW w:w="918" w:type="dxa"/>
            <w:shd w:val="clear" w:color="auto" w:fill="auto"/>
          </w:tcPr>
          <w:p w14:paraId="5B5B5189"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1997</w:t>
            </w:r>
          </w:p>
        </w:tc>
        <w:tc>
          <w:tcPr>
            <w:tcW w:w="2912" w:type="dxa"/>
            <w:shd w:val="clear" w:color="auto" w:fill="auto"/>
          </w:tcPr>
          <w:p w14:paraId="5953CFA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1087.345364</w:t>
            </w:r>
          </w:p>
        </w:tc>
        <w:tc>
          <w:tcPr>
            <w:tcW w:w="1915" w:type="dxa"/>
            <w:shd w:val="clear" w:color="auto" w:fill="auto"/>
          </w:tcPr>
          <w:p w14:paraId="7F52468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27.03</w:t>
            </w:r>
          </w:p>
        </w:tc>
        <w:tc>
          <w:tcPr>
            <w:tcW w:w="1915" w:type="dxa"/>
            <w:shd w:val="clear" w:color="auto" w:fill="auto"/>
          </w:tcPr>
          <w:p w14:paraId="1268BBD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293.9094518</w:t>
            </w:r>
          </w:p>
        </w:tc>
        <w:tc>
          <w:tcPr>
            <w:tcW w:w="1916" w:type="dxa"/>
            <w:shd w:val="clear" w:color="auto" w:fill="auto"/>
          </w:tcPr>
          <w:p w14:paraId="56FA878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1381.254815</w:t>
            </w:r>
          </w:p>
        </w:tc>
      </w:tr>
      <w:tr w:rsidR="00E940FD" w:rsidRPr="00D12E59" w14:paraId="2DA56793" w14:textId="77777777" w:rsidTr="00E940FD">
        <w:tc>
          <w:tcPr>
            <w:tcW w:w="918" w:type="dxa"/>
            <w:tcBorders>
              <w:left w:val="nil"/>
              <w:right w:val="nil"/>
            </w:tcBorders>
            <w:shd w:val="clear" w:color="auto" w:fill="auto"/>
          </w:tcPr>
          <w:p w14:paraId="0992DE0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1998</w:t>
            </w:r>
          </w:p>
        </w:tc>
        <w:tc>
          <w:tcPr>
            <w:tcW w:w="2912" w:type="dxa"/>
            <w:tcBorders>
              <w:left w:val="nil"/>
              <w:right w:val="nil"/>
            </w:tcBorders>
            <w:shd w:val="clear" w:color="auto" w:fill="auto"/>
          </w:tcPr>
          <w:p w14:paraId="625BC7D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1381.254815</w:t>
            </w:r>
          </w:p>
        </w:tc>
        <w:tc>
          <w:tcPr>
            <w:tcW w:w="1915" w:type="dxa"/>
            <w:tcBorders>
              <w:left w:val="nil"/>
              <w:right w:val="nil"/>
            </w:tcBorders>
            <w:shd w:val="clear" w:color="auto" w:fill="auto"/>
          </w:tcPr>
          <w:p w14:paraId="760E907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12.97</w:t>
            </w:r>
          </w:p>
        </w:tc>
        <w:tc>
          <w:tcPr>
            <w:tcW w:w="1915" w:type="dxa"/>
            <w:tcBorders>
              <w:left w:val="nil"/>
              <w:right w:val="nil"/>
            </w:tcBorders>
            <w:shd w:val="clear" w:color="auto" w:fill="auto"/>
          </w:tcPr>
          <w:p w14:paraId="27CA289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179.1487496</w:t>
            </w:r>
          </w:p>
        </w:tc>
        <w:tc>
          <w:tcPr>
            <w:tcW w:w="1916" w:type="dxa"/>
            <w:tcBorders>
              <w:left w:val="nil"/>
              <w:right w:val="nil"/>
            </w:tcBorders>
            <w:shd w:val="clear" w:color="auto" w:fill="auto"/>
          </w:tcPr>
          <w:p w14:paraId="1184C5D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1560.403565</w:t>
            </w:r>
          </w:p>
        </w:tc>
      </w:tr>
      <w:tr w:rsidR="00E940FD" w:rsidRPr="00D12E59" w14:paraId="5352B1CF" w14:textId="77777777" w:rsidTr="00E940FD">
        <w:tc>
          <w:tcPr>
            <w:tcW w:w="918" w:type="dxa"/>
            <w:shd w:val="clear" w:color="auto" w:fill="auto"/>
          </w:tcPr>
          <w:p w14:paraId="3D832FEB"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1999</w:t>
            </w:r>
          </w:p>
        </w:tc>
        <w:tc>
          <w:tcPr>
            <w:tcW w:w="2912" w:type="dxa"/>
            <w:shd w:val="clear" w:color="auto" w:fill="auto"/>
          </w:tcPr>
          <w:p w14:paraId="6CD2291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1560.403565</w:t>
            </w:r>
          </w:p>
        </w:tc>
        <w:tc>
          <w:tcPr>
            <w:tcW w:w="1915" w:type="dxa"/>
            <w:shd w:val="clear" w:color="auto" w:fill="auto"/>
          </w:tcPr>
          <w:p w14:paraId="557ED4E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20.38</w:t>
            </w:r>
          </w:p>
        </w:tc>
        <w:tc>
          <w:tcPr>
            <w:tcW w:w="1915" w:type="dxa"/>
            <w:shd w:val="clear" w:color="auto" w:fill="auto"/>
          </w:tcPr>
          <w:p w14:paraId="7DB9BC3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318.0102465</w:t>
            </w:r>
          </w:p>
        </w:tc>
        <w:tc>
          <w:tcPr>
            <w:tcW w:w="1916" w:type="dxa"/>
            <w:shd w:val="clear" w:color="auto" w:fill="auto"/>
          </w:tcPr>
          <w:p w14:paraId="59775DB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1878.413812</w:t>
            </w:r>
          </w:p>
        </w:tc>
      </w:tr>
      <w:tr w:rsidR="00E940FD" w:rsidRPr="00D12E59" w14:paraId="13D3667E" w14:textId="77777777" w:rsidTr="00E940FD">
        <w:tc>
          <w:tcPr>
            <w:tcW w:w="918" w:type="dxa"/>
            <w:tcBorders>
              <w:left w:val="nil"/>
              <w:right w:val="nil"/>
            </w:tcBorders>
            <w:shd w:val="clear" w:color="auto" w:fill="auto"/>
          </w:tcPr>
          <w:p w14:paraId="267C2FDD"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2000</w:t>
            </w:r>
          </w:p>
        </w:tc>
        <w:tc>
          <w:tcPr>
            <w:tcW w:w="2912" w:type="dxa"/>
            <w:tcBorders>
              <w:left w:val="nil"/>
              <w:right w:val="nil"/>
            </w:tcBorders>
            <w:shd w:val="clear" w:color="auto" w:fill="auto"/>
          </w:tcPr>
          <w:p w14:paraId="0544E6B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1878.413812</w:t>
            </w:r>
          </w:p>
        </w:tc>
        <w:tc>
          <w:tcPr>
            <w:tcW w:w="1915" w:type="dxa"/>
            <w:tcBorders>
              <w:left w:val="nil"/>
              <w:right w:val="nil"/>
            </w:tcBorders>
            <w:shd w:val="clear" w:color="auto" w:fill="auto"/>
          </w:tcPr>
          <w:p w14:paraId="3F539B2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1.49</w:t>
            </w:r>
          </w:p>
        </w:tc>
        <w:tc>
          <w:tcPr>
            <w:tcW w:w="1915" w:type="dxa"/>
            <w:tcBorders>
              <w:left w:val="nil"/>
              <w:right w:val="nil"/>
            </w:tcBorders>
            <w:shd w:val="clear" w:color="auto" w:fill="auto"/>
          </w:tcPr>
          <w:p w14:paraId="0573E22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27.98836579</w:t>
            </w:r>
          </w:p>
        </w:tc>
        <w:tc>
          <w:tcPr>
            <w:tcW w:w="1916" w:type="dxa"/>
            <w:tcBorders>
              <w:left w:val="nil"/>
              <w:right w:val="nil"/>
            </w:tcBorders>
            <w:shd w:val="clear" w:color="auto" w:fill="auto"/>
          </w:tcPr>
          <w:p w14:paraId="49B730A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1906.402177</w:t>
            </w:r>
          </w:p>
        </w:tc>
      </w:tr>
      <w:tr w:rsidR="00E940FD" w:rsidRPr="00D12E59" w14:paraId="1F0941FB" w14:textId="77777777" w:rsidTr="00E940FD">
        <w:tc>
          <w:tcPr>
            <w:tcW w:w="918" w:type="dxa"/>
            <w:shd w:val="clear" w:color="auto" w:fill="auto"/>
          </w:tcPr>
          <w:p w14:paraId="300FBD1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2001</w:t>
            </w:r>
          </w:p>
        </w:tc>
        <w:tc>
          <w:tcPr>
            <w:tcW w:w="2912" w:type="dxa"/>
            <w:shd w:val="clear" w:color="auto" w:fill="auto"/>
          </w:tcPr>
          <w:p w14:paraId="66D6534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1906.402177</w:t>
            </w:r>
          </w:p>
        </w:tc>
        <w:tc>
          <w:tcPr>
            <w:tcW w:w="1915" w:type="dxa"/>
            <w:shd w:val="clear" w:color="auto" w:fill="auto"/>
          </w:tcPr>
          <w:p w14:paraId="4746AE6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7.64</w:t>
            </w:r>
          </w:p>
        </w:tc>
        <w:tc>
          <w:tcPr>
            <w:tcW w:w="1915" w:type="dxa"/>
            <w:shd w:val="clear" w:color="auto" w:fill="auto"/>
          </w:tcPr>
          <w:p w14:paraId="7D9D81C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145.6491263</w:t>
            </w:r>
          </w:p>
        </w:tc>
        <w:tc>
          <w:tcPr>
            <w:tcW w:w="1916" w:type="dxa"/>
            <w:shd w:val="clear" w:color="auto" w:fill="auto"/>
          </w:tcPr>
          <w:p w14:paraId="1E89944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2052.051304</w:t>
            </w:r>
          </w:p>
        </w:tc>
      </w:tr>
      <w:tr w:rsidR="00E940FD" w:rsidRPr="00D12E59" w14:paraId="49C00235" w14:textId="77777777" w:rsidTr="00E940FD">
        <w:tc>
          <w:tcPr>
            <w:tcW w:w="918" w:type="dxa"/>
            <w:tcBorders>
              <w:left w:val="nil"/>
              <w:right w:val="nil"/>
            </w:tcBorders>
            <w:shd w:val="clear" w:color="auto" w:fill="auto"/>
          </w:tcPr>
          <w:p w14:paraId="4134EEC9"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2002</w:t>
            </w:r>
          </w:p>
        </w:tc>
        <w:tc>
          <w:tcPr>
            <w:tcW w:w="2912" w:type="dxa"/>
            <w:tcBorders>
              <w:left w:val="nil"/>
              <w:right w:val="nil"/>
            </w:tcBorders>
            <w:shd w:val="clear" w:color="auto" w:fill="auto"/>
          </w:tcPr>
          <w:p w14:paraId="26B95C2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2052.051304</w:t>
            </w:r>
          </w:p>
        </w:tc>
        <w:tc>
          <w:tcPr>
            <w:tcW w:w="1915" w:type="dxa"/>
            <w:tcBorders>
              <w:left w:val="nil"/>
              <w:right w:val="nil"/>
            </w:tcBorders>
            <w:shd w:val="clear" w:color="auto" w:fill="auto"/>
          </w:tcPr>
          <w:p w14:paraId="30101FE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9.6</w:t>
            </w:r>
          </w:p>
        </w:tc>
        <w:tc>
          <w:tcPr>
            <w:tcW w:w="1915" w:type="dxa"/>
            <w:tcBorders>
              <w:left w:val="nil"/>
              <w:right w:val="nil"/>
            </w:tcBorders>
            <w:shd w:val="clear" w:color="auto" w:fill="auto"/>
          </w:tcPr>
          <w:p w14:paraId="75A59AF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196.9969252</w:t>
            </w:r>
          </w:p>
        </w:tc>
        <w:tc>
          <w:tcPr>
            <w:tcW w:w="1916" w:type="dxa"/>
            <w:tcBorders>
              <w:left w:val="nil"/>
              <w:right w:val="nil"/>
            </w:tcBorders>
            <w:shd w:val="clear" w:color="auto" w:fill="auto"/>
          </w:tcPr>
          <w:p w14:paraId="6D35F33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2249.048229</w:t>
            </w:r>
          </w:p>
        </w:tc>
      </w:tr>
      <w:tr w:rsidR="00E940FD" w:rsidRPr="00D12E59" w14:paraId="4FF76EC0" w14:textId="77777777" w:rsidTr="00E940FD">
        <w:tc>
          <w:tcPr>
            <w:tcW w:w="918" w:type="dxa"/>
            <w:shd w:val="clear" w:color="auto" w:fill="auto"/>
          </w:tcPr>
          <w:p w14:paraId="66218FE1"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2003</w:t>
            </w:r>
          </w:p>
        </w:tc>
        <w:tc>
          <w:tcPr>
            <w:tcW w:w="2912" w:type="dxa"/>
            <w:shd w:val="clear" w:color="auto" w:fill="auto"/>
          </w:tcPr>
          <w:p w14:paraId="3099A8C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2249.048229</w:t>
            </w:r>
          </w:p>
        </w:tc>
        <w:tc>
          <w:tcPr>
            <w:tcW w:w="1915" w:type="dxa"/>
            <w:shd w:val="clear" w:color="auto" w:fill="auto"/>
          </w:tcPr>
          <w:p w14:paraId="11EC54F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-11.7</w:t>
            </w:r>
          </w:p>
        </w:tc>
        <w:tc>
          <w:tcPr>
            <w:tcW w:w="1915" w:type="dxa"/>
            <w:shd w:val="clear" w:color="auto" w:fill="auto"/>
          </w:tcPr>
          <w:p w14:paraId="3284B24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-263.1386428</w:t>
            </w:r>
          </w:p>
        </w:tc>
        <w:tc>
          <w:tcPr>
            <w:tcW w:w="1916" w:type="dxa"/>
            <w:shd w:val="clear" w:color="auto" w:fill="auto"/>
          </w:tcPr>
          <w:p w14:paraId="27B7C46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1985.909586</w:t>
            </w:r>
          </w:p>
        </w:tc>
      </w:tr>
      <w:tr w:rsidR="00E940FD" w:rsidRPr="00D12E59" w14:paraId="7E341581" w14:textId="77777777" w:rsidTr="00E940FD">
        <w:tc>
          <w:tcPr>
            <w:tcW w:w="918" w:type="dxa"/>
            <w:tcBorders>
              <w:left w:val="nil"/>
              <w:right w:val="nil"/>
            </w:tcBorders>
            <w:shd w:val="clear" w:color="auto" w:fill="auto"/>
          </w:tcPr>
          <w:p w14:paraId="62609DD4"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2004</w:t>
            </w:r>
          </w:p>
        </w:tc>
        <w:tc>
          <w:tcPr>
            <w:tcW w:w="2912" w:type="dxa"/>
            <w:tcBorders>
              <w:left w:val="nil"/>
              <w:right w:val="nil"/>
            </w:tcBorders>
            <w:shd w:val="clear" w:color="auto" w:fill="auto"/>
          </w:tcPr>
          <w:p w14:paraId="2F93C54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1985.909586</w:t>
            </w:r>
          </w:p>
        </w:tc>
        <w:tc>
          <w:tcPr>
            <w:tcW w:w="1915" w:type="dxa"/>
            <w:tcBorders>
              <w:left w:val="nil"/>
              <w:right w:val="nil"/>
            </w:tcBorders>
            <w:shd w:val="clear" w:color="auto" w:fill="auto"/>
          </w:tcPr>
          <w:p w14:paraId="5304FB6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0.7</w:t>
            </w:r>
          </w:p>
        </w:tc>
        <w:tc>
          <w:tcPr>
            <w:tcW w:w="1915" w:type="dxa"/>
            <w:tcBorders>
              <w:left w:val="nil"/>
              <w:right w:val="nil"/>
            </w:tcBorders>
            <w:shd w:val="clear" w:color="auto" w:fill="auto"/>
          </w:tcPr>
          <w:p w14:paraId="012D95D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13.9013671</w:t>
            </w:r>
          </w:p>
        </w:tc>
        <w:tc>
          <w:tcPr>
            <w:tcW w:w="1916" w:type="dxa"/>
            <w:tcBorders>
              <w:left w:val="nil"/>
              <w:right w:val="nil"/>
            </w:tcBorders>
            <w:shd w:val="clear" w:color="auto" w:fill="auto"/>
          </w:tcPr>
          <w:p w14:paraId="4CDABA9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1999.810953</w:t>
            </w:r>
          </w:p>
        </w:tc>
      </w:tr>
      <w:tr w:rsidR="00E940FD" w:rsidRPr="00D12E59" w14:paraId="0F11586A" w14:textId="77777777" w:rsidTr="00E940FD">
        <w:tc>
          <w:tcPr>
            <w:tcW w:w="918" w:type="dxa"/>
            <w:shd w:val="clear" w:color="auto" w:fill="auto"/>
          </w:tcPr>
          <w:p w14:paraId="2F29F07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2005</w:t>
            </w:r>
          </w:p>
        </w:tc>
        <w:tc>
          <w:tcPr>
            <w:tcW w:w="2912" w:type="dxa"/>
            <w:shd w:val="clear" w:color="auto" w:fill="auto"/>
          </w:tcPr>
          <w:p w14:paraId="76FA258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1999.810953</w:t>
            </w:r>
          </w:p>
        </w:tc>
        <w:tc>
          <w:tcPr>
            <w:tcW w:w="1915" w:type="dxa"/>
            <w:shd w:val="clear" w:color="auto" w:fill="auto"/>
          </w:tcPr>
          <w:p w14:paraId="757F476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-2.5</w:t>
            </w:r>
          </w:p>
        </w:tc>
        <w:tc>
          <w:tcPr>
            <w:tcW w:w="1915" w:type="dxa"/>
            <w:shd w:val="clear" w:color="auto" w:fill="auto"/>
          </w:tcPr>
          <w:p w14:paraId="2EE3D2E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-49.99527383</w:t>
            </w:r>
          </w:p>
        </w:tc>
        <w:tc>
          <w:tcPr>
            <w:tcW w:w="1916" w:type="dxa"/>
            <w:shd w:val="clear" w:color="auto" w:fill="auto"/>
          </w:tcPr>
          <w:p w14:paraId="751DB0B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1949.815679</w:t>
            </w:r>
          </w:p>
        </w:tc>
      </w:tr>
      <w:tr w:rsidR="00E940FD" w:rsidRPr="00D12E59" w14:paraId="72326C3B" w14:textId="77777777" w:rsidTr="00E940FD">
        <w:tc>
          <w:tcPr>
            <w:tcW w:w="918" w:type="dxa"/>
            <w:tcBorders>
              <w:left w:val="nil"/>
              <w:right w:val="nil"/>
            </w:tcBorders>
            <w:shd w:val="clear" w:color="auto" w:fill="auto"/>
          </w:tcPr>
          <w:p w14:paraId="27799EC5"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2006</w:t>
            </w:r>
          </w:p>
        </w:tc>
        <w:tc>
          <w:tcPr>
            <w:tcW w:w="2912" w:type="dxa"/>
            <w:tcBorders>
              <w:left w:val="nil"/>
              <w:right w:val="nil"/>
            </w:tcBorders>
            <w:shd w:val="clear" w:color="auto" w:fill="auto"/>
          </w:tcPr>
          <w:p w14:paraId="7FCCB13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1949.815679</w:t>
            </w:r>
          </w:p>
        </w:tc>
        <w:tc>
          <w:tcPr>
            <w:tcW w:w="1915" w:type="dxa"/>
            <w:tcBorders>
              <w:left w:val="nil"/>
              <w:right w:val="nil"/>
            </w:tcBorders>
            <w:shd w:val="clear" w:color="auto" w:fill="auto"/>
          </w:tcPr>
          <w:p w14:paraId="6AB8BB3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w:t>
            </w:r>
          </w:p>
        </w:tc>
        <w:tc>
          <w:tcPr>
            <w:tcW w:w="1915" w:type="dxa"/>
            <w:tcBorders>
              <w:left w:val="nil"/>
              <w:right w:val="nil"/>
            </w:tcBorders>
            <w:shd w:val="clear" w:color="auto" w:fill="auto"/>
          </w:tcPr>
          <w:p w14:paraId="4BF40F0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-25.34760383</w:t>
            </w:r>
          </w:p>
        </w:tc>
        <w:tc>
          <w:tcPr>
            <w:tcW w:w="1916" w:type="dxa"/>
            <w:tcBorders>
              <w:left w:val="nil"/>
              <w:right w:val="nil"/>
            </w:tcBorders>
            <w:shd w:val="clear" w:color="auto" w:fill="auto"/>
          </w:tcPr>
          <w:p w14:paraId="6CF0EFF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1924.468076</w:t>
            </w:r>
          </w:p>
        </w:tc>
      </w:tr>
      <w:tr w:rsidR="00E940FD" w:rsidRPr="00D12E59" w14:paraId="6B3173E9" w14:textId="77777777" w:rsidTr="00E940FD">
        <w:tc>
          <w:tcPr>
            <w:tcW w:w="918" w:type="dxa"/>
            <w:shd w:val="clear" w:color="auto" w:fill="auto"/>
          </w:tcPr>
          <w:p w14:paraId="136F18BC"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2007</w:t>
            </w:r>
          </w:p>
        </w:tc>
        <w:tc>
          <w:tcPr>
            <w:tcW w:w="2912" w:type="dxa"/>
            <w:shd w:val="clear" w:color="auto" w:fill="auto"/>
          </w:tcPr>
          <w:p w14:paraId="28149D2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1924.468076</w:t>
            </w:r>
          </w:p>
        </w:tc>
        <w:tc>
          <w:tcPr>
            <w:tcW w:w="1915" w:type="dxa"/>
            <w:shd w:val="clear" w:color="auto" w:fill="auto"/>
          </w:tcPr>
          <w:p w14:paraId="39DE4F4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w:t>
            </w:r>
          </w:p>
        </w:tc>
        <w:tc>
          <w:tcPr>
            <w:tcW w:w="1915" w:type="dxa"/>
            <w:shd w:val="clear" w:color="auto" w:fill="auto"/>
          </w:tcPr>
          <w:p w14:paraId="2094AD7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-40.41382959</w:t>
            </w:r>
          </w:p>
        </w:tc>
        <w:tc>
          <w:tcPr>
            <w:tcW w:w="1916" w:type="dxa"/>
            <w:shd w:val="clear" w:color="auto" w:fill="auto"/>
          </w:tcPr>
          <w:p w14:paraId="02CF711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1884.054246</w:t>
            </w:r>
          </w:p>
        </w:tc>
      </w:tr>
      <w:tr w:rsidR="00E940FD" w:rsidRPr="00D12E59" w14:paraId="00AAA325" w14:textId="77777777" w:rsidTr="00E940FD">
        <w:tc>
          <w:tcPr>
            <w:tcW w:w="918" w:type="dxa"/>
            <w:tcBorders>
              <w:left w:val="nil"/>
              <w:right w:val="nil"/>
            </w:tcBorders>
            <w:shd w:val="clear" w:color="auto" w:fill="auto"/>
          </w:tcPr>
          <w:p w14:paraId="6338B09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2008</w:t>
            </w:r>
          </w:p>
        </w:tc>
        <w:tc>
          <w:tcPr>
            <w:tcW w:w="2912" w:type="dxa"/>
            <w:tcBorders>
              <w:left w:val="nil"/>
              <w:right w:val="nil"/>
            </w:tcBorders>
            <w:shd w:val="clear" w:color="auto" w:fill="auto"/>
          </w:tcPr>
          <w:p w14:paraId="10DADCC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1884.054246</w:t>
            </w:r>
          </w:p>
        </w:tc>
        <w:tc>
          <w:tcPr>
            <w:tcW w:w="1915" w:type="dxa"/>
            <w:tcBorders>
              <w:left w:val="nil"/>
              <w:right w:val="nil"/>
            </w:tcBorders>
            <w:shd w:val="clear" w:color="auto" w:fill="auto"/>
          </w:tcPr>
          <w:p w14:paraId="3754B54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6.6</w:t>
            </w:r>
          </w:p>
        </w:tc>
        <w:tc>
          <w:tcPr>
            <w:tcW w:w="1915" w:type="dxa"/>
            <w:tcBorders>
              <w:left w:val="nil"/>
              <w:right w:val="nil"/>
            </w:tcBorders>
            <w:shd w:val="clear" w:color="auto" w:fill="auto"/>
          </w:tcPr>
          <w:p w14:paraId="47BB4FB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124.3475802</w:t>
            </w:r>
          </w:p>
        </w:tc>
        <w:tc>
          <w:tcPr>
            <w:tcW w:w="1916" w:type="dxa"/>
            <w:tcBorders>
              <w:left w:val="nil"/>
              <w:right w:val="nil"/>
            </w:tcBorders>
            <w:shd w:val="clear" w:color="auto" w:fill="auto"/>
          </w:tcPr>
          <w:p w14:paraId="77EE010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2008.401826</w:t>
            </w:r>
          </w:p>
        </w:tc>
      </w:tr>
      <w:tr w:rsidR="00E940FD" w:rsidRPr="00D12E59" w14:paraId="58801130" w14:textId="77777777" w:rsidTr="00E940FD">
        <w:tc>
          <w:tcPr>
            <w:tcW w:w="918" w:type="dxa"/>
            <w:shd w:val="clear" w:color="auto" w:fill="auto"/>
          </w:tcPr>
          <w:p w14:paraId="2D41731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2009</w:t>
            </w:r>
          </w:p>
        </w:tc>
        <w:tc>
          <w:tcPr>
            <w:tcW w:w="2912" w:type="dxa"/>
            <w:shd w:val="clear" w:color="auto" w:fill="auto"/>
          </w:tcPr>
          <w:p w14:paraId="42E84EF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2008.401826</w:t>
            </w:r>
          </w:p>
        </w:tc>
        <w:tc>
          <w:tcPr>
            <w:tcW w:w="1915" w:type="dxa"/>
            <w:shd w:val="clear" w:color="auto" w:fill="auto"/>
          </w:tcPr>
          <w:p w14:paraId="6529F50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6.5</w:t>
            </w:r>
          </w:p>
        </w:tc>
        <w:tc>
          <w:tcPr>
            <w:tcW w:w="1915" w:type="dxa"/>
            <w:shd w:val="clear" w:color="auto" w:fill="auto"/>
          </w:tcPr>
          <w:p w14:paraId="15AA75A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130.5461187</w:t>
            </w:r>
          </w:p>
        </w:tc>
        <w:tc>
          <w:tcPr>
            <w:tcW w:w="1916" w:type="dxa"/>
            <w:shd w:val="clear" w:color="auto" w:fill="auto"/>
          </w:tcPr>
          <w:p w14:paraId="477116A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2138.947945</w:t>
            </w:r>
          </w:p>
        </w:tc>
      </w:tr>
      <w:tr w:rsidR="00E940FD" w:rsidRPr="00D12E59" w14:paraId="714E9B22" w14:textId="77777777" w:rsidTr="00E940FD">
        <w:tc>
          <w:tcPr>
            <w:tcW w:w="918" w:type="dxa"/>
            <w:tcBorders>
              <w:left w:val="nil"/>
              <w:right w:val="nil"/>
            </w:tcBorders>
            <w:shd w:val="clear" w:color="auto" w:fill="auto"/>
          </w:tcPr>
          <w:p w14:paraId="44204191"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2010</w:t>
            </w:r>
          </w:p>
        </w:tc>
        <w:tc>
          <w:tcPr>
            <w:tcW w:w="2912" w:type="dxa"/>
            <w:tcBorders>
              <w:left w:val="nil"/>
              <w:right w:val="nil"/>
            </w:tcBorders>
            <w:shd w:val="clear" w:color="auto" w:fill="auto"/>
          </w:tcPr>
          <w:p w14:paraId="24803D6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2138.947945</w:t>
            </w:r>
          </w:p>
        </w:tc>
        <w:tc>
          <w:tcPr>
            <w:tcW w:w="1915" w:type="dxa"/>
            <w:tcBorders>
              <w:left w:val="nil"/>
              <w:right w:val="nil"/>
            </w:tcBorders>
            <w:shd w:val="clear" w:color="auto" w:fill="auto"/>
          </w:tcPr>
          <w:p w14:paraId="66C1720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3.67</w:t>
            </w:r>
          </w:p>
        </w:tc>
        <w:tc>
          <w:tcPr>
            <w:tcW w:w="1915" w:type="dxa"/>
            <w:tcBorders>
              <w:left w:val="nil"/>
              <w:right w:val="nil"/>
            </w:tcBorders>
            <w:shd w:val="clear" w:color="auto" w:fill="auto"/>
          </w:tcPr>
          <w:p w14:paraId="2641A62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78.49938958</w:t>
            </w:r>
          </w:p>
        </w:tc>
        <w:tc>
          <w:tcPr>
            <w:tcW w:w="1916" w:type="dxa"/>
            <w:tcBorders>
              <w:left w:val="nil"/>
              <w:right w:val="nil"/>
            </w:tcBorders>
            <w:shd w:val="clear" w:color="auto" w:fill="auto"/>
          </w:tcPr>
          <w:p w14:paraId="3F8F236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2217.447334</w:t>
            </w:r>
          </w:p>
        </w:tc>
      </w:tr>
    </w:tbl>
    <w:p w14:paraId="6FA24A54" w14:textId="77777777" w:rsidR="00D932E0" w:rsidRDefault="00D932E0" w:rsidP="0069035A">
      <w:pPr>
        <w:pStyle w:val="Default"/>
        <w:spacing w:after="0"/>
        <w:rPr>
          <w:rFonts w:ascii="Book Antiqua" w:hAnsi="Book Antiqua"/>
          <w:b/>
          <w:bCs/>
          <w:sz w:val="22"/>
          <w:szCs w:val="22"/>
        </w:rPr>
        <w:sectPr w:rsidR="00D932E0" w:rsidSect="008F6BC9">
          <w:type w:val="continuous"/>
          <w:pgSz w:w="11907" w:h="16839" w:code="9"/>
          <w:pgMar w:top="1440" w:right="1440" w:bottom="1440" w:left="1440" w:header="720" w:footer="720" w:gutter="0"/>
          <w:cols w:space="720"/>
          <w:titlePg/>
          <w:docGrid w:linePitch="360"/>
        </w:sectPr>
      </w:pPr>
    </w:p>
    <w:p w14:paraId="400A76C5" w14:textId="77777777" w:rsidR="00D932E0" w:rsidRDefault="00D932E0" w:rsidP="008275E1">
      <w:pPr>
        <w:pStyle w:val="Default"/>
        <w:rPr>
          <w:rFonts w:ascii="Book Antiqua" w:hAnsi="Book Antiqua"/>
          <w:b/>
          <w:bCs/>
          <w:sz w:val="22"/>
          <w:szCs w:val="22"/>
        </w:rPr>
      </w:pPr>
    </w:p>
    <w:p w14:paraId="6C7B3FF3" w14:textId="77777777" w:rsidR="00FD447E" w:rsidRDefault="00FD447E" w:rsidP="008275E1">
      <w:pPr>
        <w:pStyle w:val="Default"/>
        <w:rPr>
          <w:rFonts w:ascii="Book Antiqua" w:hAnsi="Book Antiqua"/>
          <w:b/>
          <w:bCs/>
          <w:sz w:val="22"/>
          <w:szCs w:val="22"/>
        </w:rPr>
      </w:pPr>
    </w:p>
    <w:p w14:paraId="4F514C0E" w14:textId="77777777" w:rsidR="008B47FB" w:rsidRDefault="008B47FB" w:rsidP="008275E1">
      <w:pPr>
        <w:pStyle w:val="Default"/>
        <w:rPr>
          <w:rFonts w:ascii="Book Antiqua" w:hAnsi="Book Antiqua"/>
          <w:b/>
          <w:bCs/>
          <w:sz w:val="22"/>
          <w:szCs w:val="22"/>
        </w:rPr>
      </w:pPr>
    </w:p>
    <w:p w14:paraId="7CDF9BCF" w14:textId="77777777" w:rsidR="00AC50E9" w:rsidRPr="00E3232D" w:rsidRDefault="00AC50E9" w:rsidP="008275E1">
      <w:pPr>
        <w:pStyle w:val="Default"/>
        <w:rPr>
          <w:rFonts w:ascii="Book Antiqua" w:hAnsi="Book Antiqua"/>
          <w:sz w:val="22"/>
          <w:szCs w:val="22"/>
        </w:rPr>
      </w:pPr>
      <w:r w:rsidRPr="00E3232D">
        <w:rPr>
          <w:rFonts w:ascii="Book Antiqua" w:hAnsi="Book Antiqua"/>
          <w:b/>
          <w:bCs/>
          <w:sz w:val="22"/>
          <w:szCs w:val="22"/>
        </w:rPr>
        <w:t>B. Calculation of Nominal Growth in Investment in GSE Shares (Investor B)</w:t>
      </w:r>
    </w:p>
    <w:p w14:paraId="29695587" w14:textId="77777777" w:rsidR="00D932E0" w:rsidRDefault="00D932E0" w:rsidP="008D6FB2">
      <w:pPr>
        <w:pStyle w:val="Default"/>
        <w:jc w:val="center"/>
        <w:rPr>
          <w:rFonts w:ascii="Book Antiqua" w:hAnsi="Book Antiqua"/>
          <w:b/>
          <w:sz w:val="22"/>
          <w:szCs w:val="22"/>
        </w:rPr>
        <w:sectPr w:rsidR="00D932E0" w:rsidSect="008F6BC9">
          <w:type w:val="continuous"/>
          <w:pgSz w:w="11907" w:h="16839" w:code="9"/>
          <w:pgMar w:top="1440" w:right="1440" w:bottom="1440" w:left="1440" w:header="720" w:footer="720" w:gutter="0"/>
          <w:cols w:space="720"/>
          <w:titlePg/>
          <w:docGrid w:linePitch="360"/>
        </w:sectPr>
      </w:pPr>
    </w:p>
    <w:tbl>
      <w:tblPr>
        <w:tblW w:w="0" w:type="auto"/>
        <w:tblBorders>
          <w:top w:val="single" w:sz="8" w:space="0" w:color="4F81BD"/>
          <w:bottom w:val="single" w:sz="8" w:space="0" w:color="4F81BD"/>
        </w:tblBorders>
        <w:tblLook w:val="04A0" w:firstRow="1" w:lastRow="0" w:firstColumn="1" w:lastColumn="0" w:noHBand="0" w:noVBand="1"/>
      </w:tblPr>
      <w:tblGrid>
        <w:gridCol w:w="899"/>
        <w:gridCol w:w="2793"/>
        <w:gridCol w:w="1830"/>
        <w:gridCol w:w="1847"/>
        <w:gridCol w:w="1874"/>
      </w:tblGrid>
      <w:tr w:rsidR="00E940FD" w:rsidRPr="00D12E59" w14:paraId="0036BE70" w14:textId="77777777" w:rsidTr="00E940FD">
        <w:tc>
          <w:tcPr>
            <w:tcW w:w="918" w:type="dxa"/>
            <w:tcBorders>
              <w:top w:val="single" w:sz="8" w:space="0" w:color="4F81BD"/>
              <w:left w:val="nil"/>
              <w:bottom w:val="single" w:sz="8" w:space="0" w:color="4F81BD"/>
              <w:right w:val="nil"/>
            </w:tcBorders>
            <w:shd w:val="clear" w:color="auto" w:fill="auto"/>
          </w:tcPr>
          <w:p w14:paraId="4902E34D"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Year</w:t>
            </w:r>
          </w:p>
        </w:tc>
        <w:tc>
          <w:tcPr>
            <w:tcW w:w="2912" w:type="dxa"/>
            <w:tcBorders>
              <w:top w:val="single" w:sz="8" w:space="0" w:color="4F81BD"/>
              <w:left w:val="nil"/>
              <w:bottom w:val="single" w:sz="8" w:space="0" w:color="4F81BD"/>
              <w:right w:val="nil"/>
            </w:tcBorders>
            <w:shd w:val="clear" w:color="auto" w:fill="auto"/>
          </w:tcPr>
          <w:p w14:paraId="0ED6D0D9"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Amounted Invested</w:t>
            </w:r>
          </w:p>
        </w:tc>
        <w:tc>
          <w:tcPr>
            <w:tcW w:w="1915" w:type="dxa"/>
            <w:tcBorders>
              <w:top w:val="single" w:sz="8" w:space="0" w:color="4F81BD"/>
              <w:left w:val="nil"/>
              <w:bottom w:val="single" w:sz="8" w:space="0" w:color="4F81BD"/>
              <w:right w:val="nil"/>
            </w:tcBorders>
            <w:shd w:val="clear" w:color="auto" w:fill="auto"/>
          </w:tcPr>
          <w:p w14:paraId="6216E06F"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Rate</w:t>
            </w:r>
          </w:p>
        </w:tc>
        <w:tc>
          <w:tcPr>
            <w:tcW w:w="1915" w:type="dxa"/>
            <w:tcBorders>
              <w:top w:val="single" w:sz="8" w:space="0" w:color="4F81BD"/>
              <w:left w:val="nil"/>
              <w:bottom w:val="single" w:sz="8" w:space="0" w:color="4F81BD"/>
              <w:right w:val="nil"/>
            </w:tcBorders>
            <w:shd w:val="clear" w:color="auto" w:fill="auto"/>
          </w:tcPr>
          <w:p w14:paraId="22ACE6BB"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Interest</w:t>
            </w:r>
          </w:p>
        </w:tc>
        <w:tc>
          <w:tcPr>
            <w:tcW w:w="1916" w:type="dxa"/>
            <w:tcBorders>
              <w:top w:val="single" w:sz="8" w:space="0" w:color="4F81BD"/>
              <w:left w:val="nil"/>
              <w:bottom w:val="single" w:sz="8" w:space="0" w:color="4F81BD"/>
              <w:right w:val="nil"/>
            </w:tcBorders>
            <w:shd w:val="clear" w:color="auto" w:fill="auto"/>
          </w:tcPr>
          <w:p w14:paraId="5E1C56B1"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Closing Value</w:t>
            </w:r>
          </w:p>
        </w:tc>
      </w:tr>
      <w:tr w:rsidR="00E940FD" w:rsidRPr="00D12E59" w14:paraId="1B856344" w14:textId="77777777" w:rsidTr="00E940FD">
        <w:tc>
          <w:tcPr>
            <w:tcW w:w="918" w:type="dxa"/>
            <w:tcBorders>
              <w:left w:val="nil"/>
              <w:right w:val="nil"/>
            </w:tcBorders>
            <w:shd w:val="clear" w:color="auto" w:fill="auto"/>
          </w:tcPr>
          <w:p w14:paraId="4F34850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1990</w:t>
            </w:r>
          </w:p>
        </w:tc>
        <w:tc>
          <w:tcPr>
            <w:tcW w:w="2912" w:type="dxa"/>
            <w:tcBorders>
              <w:left w:val="nil"/>
              <w:right w:val="nil"/>
            </w:tcBorders>
            <w:shd w:val="clear" w:color="auto" w:fill="auto"/>
          </w:tcPr>
          <w:p w14:paraId="2CDF920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1000</w:t>
            </w:r>
          </w:p>
        </w:tc>
        <w:tc>
          <w:tcPr>
            <w:tcW w:w="1915" w:type="dxa"/>
            <w:tcBorders>
              <w:left w:val="nil"/>
              <w:right w:val="nil"/>
            </w:tcBorders>
            <w:shd w:val="clear" w:color="auto" w:fill="auto"/>
          </w:tcPr>
          <w:p w14:paraId="17F1881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-29.75</w:t>
            </w:r>
          </w:p>
        </w:tc>
        <w:tc>
          <w:tcPr>
            <w:tcW w:w="1915" w:type="dxa"/>
            <w:tcBorders>
              <w:left w:val="nil"/>
              <w:right w:val="nil"/>
            </w:tcBorders>
            <w:shd w:val="clear" w:color="auto" w:fill="auto"/>
          </w:tcPr>
          <w:p w14:paraId="27FE654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-297.5</w:t>
            </w:r>
          </w:p>
        </w:tc>
        <w:tc>
          <w:tcPr>
            <w:tcW w:w="1916" w:type="dxa"/>
            <w:tcBorders>
              <w:left w:val="nil"/>
              <w:right w:val="nil"/>
            </w:tcBorders>
            <w:shd w:val="clear" w:color="auto" w:fill="auto"/>
          </w:tcPr>
          <w:p w14:paraId="6580DC0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702.5</w:t>
            </w:r>
          </w:p>
        </w:tc>
      </w:tr>
      <w:tr w:rsidR="00E940FD" w:rsidRPr="00D12E59" w14:paraId="7A890EC1" w14:textId="77777777" w:rsidTr="00E940FD">
        <w:tc>
          <w:tcPr>
            <w:tcW w:w="918" w:type="dxa"/>
            <w:shd w:val="clear" w:color="auto" w:fill="auto"/>
          </w:tcPr>
          <w:p w14:paraId="673DEB10"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1991</w:t>
            </w:r>
          </w:p>
        </w:tc>
        <w:tc>
          <w:tcPr>
            <w:tcW w:w="2912" w:type="dxa"/>
            <w:shd w:val="clear" w:color="auto" w:fill="auto"/>
          </w:tcPr>
          <w:p w14:paraId="4D6FA9F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702.5</w:t>
            </w:r>
          </w:p>
        </w:tc>
        <w:tc>
          <w:tcPr>
            <w:tcW w:w="1915" w:type="dxa"/>
            <w:shd w:val="clear" w:color="auto" w:fill="auto"/>
          </w:tcPr>
          <w:p w14:paraId="4FD84AD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-8.18</w:t>
            </w:r>
          </w:p>
        </w:tc>
        <w:tc>
          <w:tcPr>
            <w:tcW w:w="1915" w:type="dxa"/>
            <w:shd w:val="clear" w:color="auto" w:fill="auto"/>
          </w:tcPr>
          <w:p w14:paraId="37BADE7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-57.4645</w:t>
            </w:r>
          </w:p>
        </w:tc>
        <w:tc>
          <w:tcPr>
            <w:tcW w:w="1916" w:type="dxa"/>
            <w:shd w:val="clear" w:color="auto" w:fill="auto"/>
          </w:tcPr>
          <w:p w14:paraId="16F61B7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645.0355</w:t>
            </w:r>
          </w:p>
        </w:tc>
      </w:tr>
      <w:tr w:rsidR="00E940FD" w:rsidRPr="00D12E59" w14:paraId="506289E8" w14:textId="77777777" w:rsidTr="00E940FD">
        <w:tc>
          <w:tcPr>
            <w:tcW w:w="918" w:type="dxa"/>
            <w:tcBorders>
              <w:left w:val="nil"/>
              <w:right w:val="nil"/>
            </w:tcBorders>
            <w:shd w:val="clear" w:color="auto" w:fill="auto"/>
          </w:tcPr>
          <w:p w14:paraId="7707F07B"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1992</w:t>
            </w:r>
          </w:p>
        </w:tc>
        <w:tc>
          <w:tcPr>
            <w:tcW w:w="2912" w:type="dxa"/>
            <w:tcBorders>
              <w:left w:val="nil"/>
              <w:right w:val="nil"/>
            </w:tcBorders>
            <w:shd w:val="clear" w:color="auto" w:fill="auto"/>
          </w:tcPr>
          <w:p w14:paraId="06A18DF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645.0355</w:t>
            </w:r>
          </w:p>
        </w:tc>
        <w:tc>
          <w:tcPr>
            <w:tcW w:w="1915" w:type="dxa"/>
            <w:tcBorders>
              <w:left w:val="nil"/>
              <w:right w:val="nil"/>
            </w:tcBorders>
            <w:shd w:val="clear" w:color="auto" w:fill="auto"/>
          </w:tcPr>
          <w:p w14:paraId="7ECF997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-3.62</w:t>
            </w:r>
          </w:p>
        </w:tc>
        <w:tc>
          <w:tcPr>
            <w:tcW w:w="1915" w:type="dxa"/>
            <w:tcBorders>
              <w:left w:val="nil"/>
              <w:right w:val="nil"/>
            </w:tcBorders>
            <w:shd w:val="clear" w:color="auto" w:fill="auto"/>
          </w:tcPr>
          <w:p w14:paraId="7D3E48A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-23.3503</w:t>
            </w:r>
          </w:p>
        </w:tc>
        <w:tc>
          <w:tcPr>
            <w:tcW w:w="1916" w:type="dxa"/>
            <w:tcBorders>
              <w:left w:val="nil"/>
              <w:right w:val="nil"/>
            </w:tcBorders>
            <w:shd w:val="clear" w:color="auto" w:fill="auto"/>
          </w:tcPr>
          <w:p w14:paraId="59774A1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621.6852149</w:t>
            </w:r>
          </w:p>
        </w:tc>
      </w:tr>
      <w:tr w:rsidR="00E940FD" w:rsidRPr="00D12E59" w14:paraId="216F3864" w14:textId="77777777" w:rsidTr="00E940FD">
        <w:tc>
          <w:tcPr>
            <w:tcW w:w="918" w:type="dxa"/>
            <w:shd w:val="clear" w:color="auto" w:fill="auto"/>
          </w:tcPr>
          <w:p w14:paraId="6F51678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1993</w:t>
            </w:r>
          </w:p>
        </w:tc>
        <w:tc>
          <w:tcPr>
            <w:tcW w:w="2912" w:type="dxa"/>
            <w:shd w:val="clear" w:color="auto" w:fill="auto"/>
          </w:tcPr>
          <w:p w14:paraId="20FE064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621.6852149</w:t>
            </w:r>
          </w:p>
        </w:tc>
        <w:tc>
          <w:tcPr>
            <w:tcW w:w="1915" w:type="dxa"/>
            <w:shd w:val="clear" w:color="auto" w:fill="auto"/>
          </w:tcPr>
          <w:p w14:paraId="4C44AAD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113.73</w:t>
            </w:r>
          </w:p>
        </w:tc>
        <w:tc>
          <w:tcPr>
            <w:tcW w:w="1915" w:type="dxa"/>
            <w:shd w:val="clear" w:color="auto" w:fill="auto"/>
          </w:tcPr>
          <w:p w14:paraId="015ABF0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707.0426</w:t>
            </w:r>
          </w:p>
        </w:tc>
        <w:tc>
          <w:tcPr>
            <w:tcW w:w="1916" w:type="dxa"/>
            <w:shd w:val="clear" w:color="auto" w:fill="auto"/>
          </w:tcPr>
          <w:p w14:paraId="115FC0A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1328.72781</w:t>
            </w:r>
          </w:p>
        </w:tc>
      </w:tr>
      <w:tr w:rsidR="00E940FD" w:rsidRPr="00D12E59" w14:paraId="028CC411" w14:textId="77777777" w:rsidTr="00E940FD">
        <w:tc>
          <w:tcPr>
            <w:tcW w:w="918" w:type="dxa"/>
            <w:tcBorders>
              <w:left w:val="nil"/>
              <w:right w:val="nil"/>
            </w:tcBorders>
            <w:shd w:val="clear" w:color="auto" w:fill="auto"/>
          </w:tcPr>
          <w:p w14:paraId="42D3124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1994</w:t>
            </w:r>
          </w:p>
        </w:tc>
        <w:tc>
          <w:tcPr>
            <w:tcW w:w="2912" w:type="dxa"/>
            <w:tcBorders>
              <w:left w:val="nil"/>
              <w:right w:val="nil"/>
            </w:tcBorders>
            <w:shd w:val="clear" w:color="auto" w:fill="auto"/>
          </w:tcPr>
          <w:p w14:paraId="3670397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1328.72781</w:t>
            </w:r>
          </w:p>
        </w:tc>
        <w:tc>
          <w:tcPr>
            <w:tcW w:w="1915" w:type="dxa"/>
            <w:tcBorders>
              <w:left w:val="nil"/>
              <w:right w:val="nil"/>
            </w:tcBorders>
            <w:shd w:val="clear" w:color="auto" w:fill="auto"/>
          </w:tcPr>
          <w:p w14:paraId="0A59775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124.35</w:t>
            </w:r>
          </w:p>
        </w:tc>
        <w:tc>
          <w:tcPr>
            <w:tcW w:w="1915" w:type="dxa"/>
            <w:tcBorders>
              <w:left w:val="nil"/>
              <w:right w:val="nil"/>
            </w:tcBorders>
            <w:shd w:val="clear" w:color="auto" w:fill="auto"/>
          </w:tcPr>
          <w:p w14:paraId="254396F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1652.273</w:t>
            </w:r>
          </w:p>
        </w:tc>
        <w:tc>
          <w:tcPr>
            <w:tcW w:w="1916" w:type="dxa"/>
            <w:tcBorders>
              <w:left w:val="nil"/>
              <w:right w:val="nil"/>
            </w:tcBorders>
            <w:shd w:val="clear" w:color="auto" w:fill="auto"/>
          </w:tcPr>
          <w:p w14:paraId="2D03B6E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2981.000841</w:t>
            </w:r>
          </w:p>
        </w:tc>
      </w:tr>
      <w:tr w:rsidR="00E940FD" w:rsidRPr="00D12E59" w14:paraId="1FA155E6" w14:textId="77777777" w:rsidTr="00E940FD">
        <w:tc>
          <w:tcPr>
            <w:tcW w:w="918" w:type="dxa"/>
            <w:shd w:val="clear" w:color="auto" w:fill="auto"/>
          </w:tcPr>
          <w:p w14:paraId="6D4A7539"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1995</w:t>
            </w:r>
          </w:p>
        </w:tc>
        <w:tc>
          <w:tcPr>
            <w:tcW w:w="2912" w:type="dxa"/>
            <w:shd w:val="clear" w:color="auto" w:fill="auto"/>
          </w:tcPr>
          <w:p w14:paraId="5C7FFCA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2981.000841</w:t>
            </w:r>
          </w:p>
        </w:tc>
        <w:tc>
          <w:tcPr>
            <w:tcW w:w="1915" w:type="dxa"/>
            <w:shd w:val="clear" w:color="auto" w:fill="auto"/>
          </w:tcPr>
          <w:p w14:paraId="350B6CB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6.33</w:t>
            </w:r>
          </w:p>
        </w:tc>
        <w:tc>
          <w:tcPr>
            <w:tcW w:w="1915" w:type="dxa"/>
            <w:shd w:val="clear" w:color="auto" w:fill="auto"/>
          </w:tcPr>
          <w:p w14:paraId="1256026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188.6974</w:t>
            </w:r>
          </w:p>
        </w:tc>
        <w:tc>
          <w:tcPr>
            <w:tcW w:w="1916" w:type="dxa"/>
            <w:shd w:val="clear" w:color="auto" w:fill="auto"/>
          </w:tcPr>
          <w:p w14:paraId="08A7923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3169.698195</w:t>
            </w:r>
          </w:p>
        </w:tc>
      </w:tr>
      <w:tr w:rsidR="00E940FD" w:rsidRPr="00D12E59" w14:paraId="3D79B81B" w14:textId="77777777" w:rsidTr="00E940FD">
        <w:tc>
          <w:tcPr>
            <w:tcW w:w="918" w:type="dxa"/>
            <w:tcBorders>
              <w:left w:val="nil"/>
              <w:right w:val="nil"/>
            </w:tcBorders>
            <w:shd w:val="clear" w:color="auto" w:fill="auto"/>
          </w:tcPr>
          <w:p w14:paraId="0B690D15"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1996</w:t>
            </w:r>
          </w:p>
        </w:tc>
        <w:tc>
          <w:tcPr>
            <w:tcW w:w="2912" w:type="dxa"/>
            <w:tcBorders>
              <w:left w:val="nil"/>
              <w:right w:val="nil"/>
            </w:tcBorders>
            <w:shd w:val="clear" w:color="auto" w:fill="auto"/>
          </w:tcPr>
          <w:p w14:paraId="58279EC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3169.698195</w:t>
            </w:r>
          </w:p>
        </w:tc>
        <w:tc>
          <w:tcPr>
            <w:tcW w:w="1915" w:type="dxa"/>
            <w:tcBorders>
              <w:left w:val="nil"/>
              <w:right w:val="nil"/>
            </w:tcBorders>
            <w:shd w:val="clear" w:color="auto" w:fill="auto"/>
          </w:tcPr>
          <w:p w14:paraId="0302B1A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13.82</w:t>
            </w:r>
          </w:p>
        </w:tc>
        <w:tc>
          <w:tcPr>
            <w:tcW w:w="1915" w:type="dxa"/>
            <w:tcBorders>
              <w:left w:val="nil"/>
              <w:right w:val="nil"/>
            </w:tcBorders>
            <w:shd w:val="clear" w:color="auto" w:fill="auto"/>
          </w:tcPr>
          <w:p w14:paraId="19651A9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438.0523</w:t>
            </w:r>
          </w:p>
        </w:tc>
        <w:tc>
          <w:tcPr>
            <w:tcW w:w="1916" w:type="dxa"/>
            <w:tcBorders>
              <w:left w:val="nil"/>
              <w:right w:val="nil"/>
            </w:tcBorders>
            <w:shd w:val="clear" w:color="auto" w:fill="auto"/>
          </w:tcPr>
          <w:p w14:paraId="56BA206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3607.750485</w:t>
            </w:r>
          </w:p>
        </w:tc>
      </w:tr>
      <w:tr w:rsidR="00E940FD" w:rsidRPr="00D12E59" w14:paraId="047353A4" w14:textId="77777777" w:rsidTr="00E940FD">
        <w:tc>
          <w:tcPr>
            <w:tcW w:w="918" w:type="dxa"/>
            <w:shd w:val="clear" w:color="auto" w:fill="auto"/>
          </w:tcPr>
          <w:p w14:paraId="0198AF7E"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1997</w:t>
            </w:r>
          </w:p>
        </w:tc>
        <w:tc>
          <w:tcPr>
            <w:tcW w:w="2912" w:type="dxa"/>
            <w:shd w:val="clear" w:color="auto" w:fill="auto"/>
          </w:tcPr>
          <w:p w14:paraId="5991136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3607.750485</w:t>
            </w:r>
          </w:p>
        </w:tc>
        <w:tc>
          <w:tcPr>
            <w:tcW w:w="1915" w:type="dxa"/>
            <w:shd w:val="clear" w:color="auto" w:fill="auto"/>
          </w:tcPr>
          <w:p w14:paraId="2DA2D4E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41.85</w:t>
            </w:r>
          </w:p>
        </w:tc>
        <w:tc>
          <w:tcPr>
            <w:tcW w:w="1915" w:type="dxa"/>
            <w:shd w:val="clear" w:color="auto" w:fill="auto"/>
          </w:tcPr>
          <w:p w14:paraId="5ACD74F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1509.844</w:t>
            </w:r>
          </w:p>
        </w:tc>
        <w:tc>
          <w:tcPr>
            <w:tcW w:w="1916" w:type="dxa"/>
            <w:shd w:val="clear" w:color="auto" w:fill="auto"/>
          </w:tcPr>
          <w:p w14:paraId="170DB8B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5117.594063</w:t>
            </w:r>
          </w:p>
        </w:tc>
      </w:tr>
      <w:tr w:rsidR="00E940FD" w:rsidRPr="00D12E59" w14:paraId="06243C73" w14:textId="77777777" w:rsidTr="00E940FD">
        <w:tc>
          <w:tcPr>
            <w:tcW w:w="918" w:type="dxa"/>
            <w:tcBorders>
              <w:left w:val="nil"/>
              <w:right w:val="nil"/>
            </w:tcBorders>
            <w:shd w:val="clear" w:color="auto" w:fill="auto"/>
          </w:tcPr>
          <w:p w14:paraId="575C7F49"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1998</w:t>
            </w:r>
          </w:p>
        </w:tc>
        <w:tc>
          <w:tcPr>
            <w:tcW w:w="2912" w:type="dxa"/>
            <w:tcBorders>
              <w:left w:val="nil"/>
              <w:right w:val="nil"/>
            </w:tcBorders>
            <w:shd w:val="clear" w:color="auto" w:fill="auto"/>
          </w:tcPr>
          <w:p w14:paraId="128C030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5117.594063</w:t>
            </w:r>
          </w:p>
        </w:tc>
        <w:tc>
          <w:tcPr>
            <w:tcW w:w="1915" w:type="dxa"/>
            <w:tcBorders>
              <w:left w:val="nil"/>
              <w:right w:val="nil"/>
            </w:tcBorders>
            <w:shd w:val="clear" w:color="auto" w:fill="auto"/>
          </w:tcPr>
          <w:p w14:paraId="205C6EB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69.69</w:t>
            </w:r>
          </w:p>
        </w:tc>
        <w:tc>
          <w:tcPr>
            <w:tcW w:w="1915" w:type="dxa"/>
            <w:tcBorders>
              <w:left w:val="nil"/>
              <w:right w:val="nil"/>
            </w:tcBorders>
            <w:shd w:val="clear" w:color="auto" w:fill="auto"/>
          </w:tcPr>
          <w:p w14:paraId="1510608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3566.451</w:t>
            </w:r>
          </w:p>
        </w:tc>
        <w:tc>
          <w:tcPr>
            <w:tcW w:w="1916" w:type="dxa"/>
            <w:tcBorders>
              <w:left w:val="nil"/>
              <w:right w:val="nil"/>
            </w:tcBorders>
            <w:shd w:val="clear" w:color="auto" w:fill="auto"/>
          </w:tcPr>
          <w:p w14:paraId="305348F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8684.045366</w:t>
            </w:r>
          </w:p>
        </w:tc>
      </w:tr>
      <w:tr w:rsidR="00E940FD" w:rsidRPr="00D12E59" w14:paraId="3DED7459" w14:textId="77777777" w:rsidTr="00E940FD">
        <w:tc>
          <w:tcPr>
            <w:tcW w:w="918" w:type="dxa"/>
            <w:shd w:val="clear" w:color="auto" w:fill="auto"/>
          </w:tcPr>
          <w:p w14:paraId="372FCB24"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1999</w:t>
            </w:r>
          </w:p>
        </w:tc>
        <w:tc>
          <w:tcPr>
            <w:tcW w:w="2912" w:type="dxa"/>
            <w:shd w:val="clear" w:color="auto" w:fill="auto"/>
          </w:tcPr>
          <w:p w14:paraId="3F90E2D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8684.045366</w:t>
            </w:r>
          </w:p>
        </w:tc>
        <w:tc>
          <w:tcPr>
            <w:tcW w:w="1915" w:type="dxa"/>
            <w:shd w:val="clear" w:color="auto" w:fill="auto"/>
          </w:tcPr>
          <w:p w14:paraId="345C40B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-15.22</w:t>
            </w:r>
          </w:p>
        </w:tc>
        <w:tc>
          <w:tcPr>
            <w:tcW w:w="1915" w:type="dxa"/>
            <w:shd w:val="clear" w:color="auto" w:fill="auto"/>
          </w:tcPr>
          <w:p w14:paraId="522C16D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-1321.71</w:t>
            </w:r>
          </w:p>
        </w:tc>
        <w:tc>
          <w:tcPr>
            <w:tcW w:w="1916" w:type="dxa"/>
            <w:shd w:val="clear" w:color="auto" w:fill="auto"/>
          </w:tcPr>
          <w:p w14:paraId="0075AFF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7362.333661</w:t>
            </w:r>
          </w:p>
        </w:tc>
      </w:tr>
      <w:tr w:rsidR="00E940FD" w:rsidRPr="00D12E59" w14:paraId="7F61B575" w14:textId="77777777" w:rsidTr="00E940FD">
        <w:tc>
          <w:tcPr>
            <w:tcW w:w="918" w:type="dxa"/>
            <w:tcBorders>
              <w:left w:val="nil"/>
              <w:right w:val="nil"/>
            </w:tcBorders>
            <w:shd w:val="clear" w:color="auto" w:fill="auto"/>
          </w:tcPr>
          <w:p w14:paraId="5995425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2000</w:t>
            </w:r>
          </w:p>
        </w:tc>
        <w:tc>
          <w:tcPr>
            <w:tcW w:w="2912" w:type="dxa"/>
            <w:tcBorders>
              <w:left w:val="nil"/>
              <w:right w:val="nil"/>
            </w:tcBorders>
            <w:shd w:val="clear" w:color="auto" w:fill="auto"/>
          </w:tcPr>
          <w:p w14:paraId="4E1ED7E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7362.333661</w:t>
            </w:r>
          </w:p>
        </w:tc>
        <w:tc>
          <w:tcPr>
            <w:tcW w:w="1915" w:type="dxa"/>
            <w:tcBorders>
              <w:left w:val="nil"/>
              <w:right w:val="nil"/>
            </w:tcBorders>
            <w:shd w:val="clear" w:color="auto" w:fill="auto"/>
          </w:tcPr>
          <w:p w14:paraId="104D79A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16.55</w:t>
            </w:r>
          </w:p>
        </w:tc>
        <w:tc>
          <w:tcPr>
            <w:tcW w:w="1915" w:type="dxa"/>
            <w:tcBorders>
              <w:left w:val="nil"/>
              <w:right w:val="nil"/>
            </w:tcBorders>
            <w:shd w:val="clear" w:color="auto" w:fill="auto"/>
          </w:tcPr>
          <w:p w14:paraId="0740F97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1218.466</w:t>
            </w:r>
          </w:p>
        </w:tc>
        <w:tc>
          <w:tcPr>
            <w:tcW w:w="1916" w:type="dxa"/>
            <w:tcBorders>
              <w:left w:val="nil"/>
              <w:right w:val="nil"/>
            </w:tcBorders>
            <w:shd w:val="clear" w:color="auto" w:fill="auto"/>
          </w:tcPr>
          <w:p w14:paraId="62AF6FD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8580.799882</w:t>
            </w:r>
          </w:p>
        </w:tc>
      </w:tr>
      <w:tr w:rsidR="00E940FD" w:rsidRPr="00D12E59" w14:paraId="58579A24" w14:textId="77777777" w:rsidTr="00E940FD">
        <w:tc>
          <w:tcPr>
            <w:tcW w:w="918" w:type="dxa"/>
            <w:shd w:val="clear" w:color="auto" w:fill="auto"/>
          </w:tcPr>
          <w:p w14:paraId="627B587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2001</w:t>
            </w:r>
          </w:p>
        </w:tc>
        <w:tc>
          <w:tcPr>
            <w:tcW w:w="2912" w:type="dxa"/>
            <w:shd w:val="clear" w:color="auto" w:fill="auto"/>
          </w:tcPr>
          <w:p w14:paraId="30FDBCF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8580.799882</w:t>
            </w:r>
          </w:p>
        </w:tc>
        <w:tc>
          <w:tcPr>
            <w:tcW w:w="1915" w:type="dxa"/>
            <w:shd w:val="clear" w:color="auto" w:fill="auto"/>
          </w:tcPr>
          <w:p w14:paraId="1146897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11.42</w:t>
            </w:r>
          </w:p>
        </w:tc>
        <w:tc>
          <w:tcPr>
            <w:tcW w:w="1915" w:type="dxa"/>
            <w:shd w:val="clear" w:color="auto" w:fill="auto"/>
          </w:tcPr>
          <w:p w14:paraId="5A13CC1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979.9273</w:t>
            </w:r>
          </w:p>
        </w:tc>
        <w:tc>
          <w:tcPr>
            <w:tcW w:w="1916" w:type="dxa"/>
            <w:shd w:val="clear" w:color="auto" w:fill="auto"/>
          </w:tcPr>
          <w:p w14:paraId="44890A2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9560.727228</w:t>
            </w:r>
          </w:p>
        </w:tc>
      </w:tr>
      <w:tr w:rsidR="00E940FD" w:rsidRPr="00D12E59" w14:paraId="01846D04" w14:textId="77777777" w:rsidTr="00E940FD">
        <w:tc>
          <w:tcPr>
            <w:tcW w:w="918" w:type="dxa"/>
            <w:tcBorders>
              <w:left w:val="nil"/>
              <w:right w:val="nil"/>
            </w:tcBorders>
            <w:shd w:val="clear" w:color="auto" w:fill="auto"/>
          </w:tcPr>
          <w:p w14:paraId="33C1295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2002</w:t>
            </w:r>
          </w:p>
        </w:tc>
        <w:tc>
          <w:tcPr>
            <w:tcW w:w="2912" w:type="dxa"/>
            <w:tcBorders>
              <w:left w:val="nil"/>
              <w:right w:val="nil"/>
            </w:tcBorders>
            <w:shd w:val="clear" w:color="auto" w:fill="auto"/>
          </w:tcPr>
          <w:p w14:paraId="145C261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9560.727228</w:t>
            </w:r>
          </w:p>
        </w:tc>
        <w:tc>
          <w:tcPr>
            <w:tcW w:w="1915" w:type="dxa"/>
            <w:tcBorders>
              <w:left w:val="nil"/>
              <w:right w:val="nil"/>
            </w:tcBorders>
            <w:shd w:val="clear" w:color="auto" w:fill="auto"/>
          </w:tcPr>
          <w:p w14:paraId="2E2EAD6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45.96</w:t>
            </w:r>
          </w:p>
        </w:tc>
        <w:tc>
          <w:tcPr>
            <w:tcW w:w="1915" w:type="dxa"/>
            <w:tcBorders>
              <w:left w:val="nil"/>
              <w:right w:val="nil"/>
            </w:tcBorders>
            <w:shd w:val="clear" w:color="auto" w:fill="auto"/>
          </w:tcPr>
          <w:p w14:paraId="4FC023B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4394.11</w:t>
            </w:r>
          </w:p>
        </w:tc>
        <w:tc>
          <w:tcPr>
            <w:tcW w:w="1916" w:type="dxa"/>
            <w:tcBorders>
              <w:left w:val="nil"/>
              <w:right w:val="nil"/>
            </w:tcBorders>
            <w:shd w:val="clear" w:color="auto" w:fill="auto"/>
          </w:tcPr>
          <w:p w14:paraId="1926D34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13954.83746</w:t>
            </w:r>
          </w:p>
        </w:tc>
      </w:tr>
      <w:tr w:rsidR="00E940FD" w:rsidRPr="00D12E59" w14:paraId="3891404C" w14:textId="77777777" w:rsidTr="00E940FD">
        <w:tc>
          <w:tcPr>
            <w:tcW w:w="918" w:type="dxa"/>
            <w:shd w:val="clear" w:color="auto" w:fill="auto"/>
          </w:tcPr>
          <w:p w14:paraId="5056EF98"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2003</w:t>
            </w:r>
          </w:p>
        </w:tc>
        <w:tc>
          <w:tcPr>
            <w:tcW w:w="2912" w:type="dxa"/>
            <w:shd w:val="clear" w:color="auto" w:fill="auto"/>
          </w:tcPr>
          <w:p w14:paraId="32327C7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13954.83746</w:t>
            </w:r>
          </w:p>
        </w:tc>
        <w:tc>
          <w:tcPr>
            <w:tcW w:w="1915" w:type="dxa"/>
            <w:shd w:val="clear" w:color="auto" w:fill="auto"/>
          </w:tcPr>
          <w:p w14:paraId="55DD321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154.67</w:t>
            </w:r>
          </w:p>
        </w:tc>
        <w:tc>
          <w:tcPr>
            <w:tcW w:w="1915" w:type="dxa"/>
            <w:shd w:val="clear" w:color="auto" w:fill="auto"/>
          </w:tcPr>
          <w:p w14:paraId="21D7DF9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21583.95</w:t>
            </w:r>
          </w:p>
        </w:tc>
        <w:tc>
          <w:tcPr>
            <w:tcW w:w="1916" w:type="dxa"/>
            <w:shd w:val="clear" w:color="auto" w:fill="auto"/>
          </w:tcPr>
          <w:p w14:paraId="71AA97D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35538.78457</w:t>
            </w:r>
          </w:p>
        </w:tc>
      </w:tr>
      <w:tr w:rsidR="00E940FD" w:rsidRPr="00D12E59" w14:paraId="7C81B14D" w14:textId="77777777" w:rsidTr="00E940FD">
        <w:tc>
          <w:tcPr>
            <w:tcW w:w="918" w:type="dxa"/>
            <w:tcBorders>
              <w:left w:val="nil"/>
              <w:right w:val="nil"/>
            </w:tcBorders>
            <w:shd w:val="clear" w:color="auto" w:fill="auto"/>
          </w:tcPr>
          <w:p w14:paraId="375C67DF"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2004</w:t>
            </w:r>
          </w:p>
        </w:tc>
        <w:tc>
          <w:tcPr>
            <w:tcW w:w="2912" w:type="dxa"/>
            <w:tcBorders>
              <w:left w:val="nil"/>
              <w:right w:val="nil"/>
            </w:tcBorders>
            <w:shd w:val="clear" w:color="auto" w:fill="auto"/>
          </w:tcPr>
          <w:p w14:paraId="6F099BB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35538.78457</w:t>
            </w:r>
          </w:p>
        </w:tc>
        <w:tc>
          <w:tcPr>
            <w:tcW w:w="1915" w:type="dxa"/>
            <w:tcBorders>
              <w:left w:val="nil"/>
              <w:right w:val="nil"/>
            </w:tcBorders>
            <w:shd w:val="clear" w:color="auto" w:fill="auto"/>
          </w:tcPr>
          <w:p w14:paraId="5EA6D2A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91.33</w:t>
            </w:r>
          </w:p>
        </w:tc>
        <w:tc>
          <w:tcPr>
            <w:tcW w:w="1915" w:type="dxa"/>
            <w:tcBorders>
              <w:left w:val="nil"/>
              <w:right w:val="nil"/>
            </w:tcBorders>
            <w:shd w:val="clear" w:color="auto" w:fill="auto"/>
          </w:tcPr>
          <w:p w14:paraId="40EC4C8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32457.57</w:t>
            </w:r>
          </w:p>
        </w:tc>
        <w:tc>
          <w:tcPr>
            <w:tcW w:w="1916" w:type="dxa"/>
            <w:tcBorders>
              <w:left w:val="nil"/>
              <w:right w:val="nil"/>
            </w:tcBorders>
            <w:shd w:val="clear" w:color="auto" w:fill="auto"/>
          </w:tcPr>
          <w:p w14:paraId="4440942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67996.35651</w:t>
            </w:r>
          </w:p>
        </w:tc>
      </w:tr>
      <w:tr w:rsidR="00E940FD" w:rsidRPr="00D12E59" w14:paraId="4DA26722" w14:textId="77777777" w:rsidTr="00E940FD">
        <w:tc>
          <w:tcPr>
            <w:tcW w:w="918" w:type="dxa"/>
            <w:shd w:val="clear" w:color="auto" w:fill="auto"/>
          </w:tcPr>
          <w:p w14:paraId="167BDC3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2005</w:t>
            </w:r>
          </w:p>
        </w:tc>
        <w:tc>
          <w:tcPr>
            <w:tcW w:w="2912" w:type="dxa"/>
            <w:shd w:val="clear" w:color="auto" w:fill="auto"/>
          </w:tcPr>
          <w:p w14:paraId="28BB428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67996.35651</w:t>
            </w:r>
          </w:p>
        </w:tc>
        <w:tc>
          <w:tcPr>
            <w:tcW w:w="1915" w:type="dxa"/>
            <w:shd w:val="clear" w:color="auto" w:fill="auto"/>
          </w:tcPr>
          <w:p w14:paraId="32F32E9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-29.72</w:t>
            </w:r>
          </w:p>
        </w:tc>
        <w:tc>
          <w:tcPr>
            <w:tcW w:w="1915" w:type="dxa"/>
            <w:shd w:val="clear" w:color="auto" w:fill="auto"/>
          </w:tcPr>
          <w:p w14:paraId="365068D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-20208.5</w:t>
            </w:r>
          </w:p>
        </w:tc>
        <w:tc>
          <w:tcPr>
            <w:tcW w:w="1916" w:type="dxa"/>
            <w:shd w:val="clear" w:color="auto" w:fill="auto"/>
          </w:tcPr>
          <w:p w14:paraId="45D3139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47787.83935</w:t>
            </w:r>
          </w:p>
        </w:tc>
      </w:tr>
      <w:tr w:rsidR="00E940FD" w:rsidRPr="00D12E59" w14:paraId="5A942E1F" w14:textId="77777777" w:rsidTr="00E940FD">
        <w:tc>
          <w:tcPr>
            <w:tcW w:w="918" w:type="dxa"/>
            <w:tcBorders>
              <w:left w:val="nil"/>
              <w:right w:val="nil"/>
            </w:tcBorders>
            <w:shd w:val="clear" w:color="auto" w:fill="auto"/>
          </w:tcPr>
          <w:p w14:paraId="6A5B6BCD"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2006</w:t>
            </w:r>
          </w:p>
        </w:tc>
        <w:tc>
          <w:tcPr>
            <w:tcW w:w="2912" w:type="dxa"/>
            <w:tcBorders>
              <w:left w:val="nil"/>
              <w:right w:val="nil"/>
            </w:tcBorders>
            <w:shd w:val="clear" w:color="auto" w:fill="auto"/>
          </w:tcPr>
          <w:p w14:paraId="5043794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47787.83935</w:t>
            </w:r>
          </w:p>
        </w:tc>
        <w:tc>
          <w:tcPr>
            <w:tcW w:w="1915" w:type="dxa"/>
            <w:tcBorders>
              <w:left w:val="nil"/>
              <w:right w:val="nil"/>
            </w:tcBorders>
            <w:shd w:val="clear" w:color="auto" w:fill="auto"/>
          </w:tcPr>
          <w:p w14:paraId="478F8E0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5.21</w:t>
            </w:r>
          </w:p>
        </w:tc>
        <w:tc>
          <w:tcPr>
            <w:tcW w:w="1915" w:type="dxa"/>
            <w:tcBorders>
              <w:left w:val="nil"/>
              <w:right w:val="nil"/>
            </w:tcBorders>
            <w:shd w:val="clear" w:color="auto" w:fill="auto"/>
          </w:tcPr>
          <w:p w14:paraId="69486D1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2489.746</w:t>
            </w:r>
          </w:p>
        </w:tc>
        <w:tc>
          <w:tcPr>
            <w:tcW w:w="1916" w:type="dxa"/>
            <w:tcBorders>
              <w:left w:val="nil"/>
              <w:right w:val="nil"/>
            </w:tcBorders>
            <w:shd w:val="clear" w:color="auto" w:fill="auto"/>
          </w:tcPr>
          <w:p w14:paraId="1A8E27A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50277.58579</w:t>
            </w:r>
          </w:p>
        </w:tc>
      </w:tr>
      <w:tr w:rsidR="00E940FD" w:rsidRPr="00D12E59" w14:paraId="3E0F8BCF" w14:textId="77777777" w:rsidTr="00E940FD">
        <w:tc>
          <w:tcPr>
            <w:tcW w:w="918" w:type="dxa"/>
            <w:shd w:val="clear" w:color="auto" w:fill="auto"/>
          </w:tcPr>
          <w:p w14:paraId="01BA502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2007</w:t>
            </w:r>
          </w:p>
        </w:tc>
        <w:tc>
          <w:tcPr>
            <w:tcW w:w="2912" w:type="dxa"/>
            <w:shd w:val="clear" w:color="auto" w:fill="auto"/>
          </w:tcPr>
          <w:p w14:paraId="63A1A96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50277.58579</w:t>
            </w:r>
          </w:p>
        </w:tc>
        <w:tc>
          <w:tcPr>
            <w:tcW w:w="1915" w:type="dxa"/>
            <w:shd w:val="clear" w:color="auto" w:fill="auto"/>
          </w:tcPr>
          <w:p w14:paraId="4BEDC2D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31.21</w:t>
            </w:r>
          </w:p>
        </w:tc>
        <w:tc>
          <w:tcPr>
            <w:tcW w:w="1915" w:type="dxa"/>
            <w:shd w:val="clear" w:color="auto" w:fill="auto"/>
          </w:tcPr>
          <w:p w14:paraId="7B57C54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15691.63</w:t>
            </w:r>
          </w:p>
        </w:tc>
        <w:tc>
          <w:tcPr>
            <w:tcW w:w="1916" w:type="dxa"/>
            <w:shd w:val="clear" w:color="auto" w:fill="auto"/>
          </w:tcPr>
          <w:p w14:paraId="71394B6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65969.22031</w:t>
            </w:r>
          </w:p>
        </w:tc>
      </w:tr>
      <w:tr w:rsidR="00E940FD" w:rsidRPr="00D12E59" w14:paraId="2C04F10B" w14:textId="77777777" w:rsidTr="00E940FD">
        <w:tc>
          <w:tcPr>
            <w:tcW w:w="918" w:type="dxa"/>
            <w:tcBorders>
              <w:left w:val="nil"/>
              <w:right w:val="nil"/>
            </w:tcBorders>
            <w:shd w:val="clear" w:color="auto" w:fill="auto"/>
          </w:tcPr>
          <w:p w14:paraId="75735DBC"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2008</w:t>
            </w:r>
          </w:p>
        </w:tc>
        <w:tc>
          <w:tcPr>
            <w:tcW w:w="2912" w:type="dxa"/>
            <w:tcBorders>
              <w:left w:val="nil"/>
              <w:right w:val="nil"/>
            </w:tcBorders>
            <w:shd w:val="clear" w:color="auto" w:fill="auto"/>
          </w:tcPr>
          <w:p w14:paraId="65DFF7D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65969.22031</w:t>
            </w:r>
          </w:p>
        </w:tc>
        <w:tc>
          <w:tcPr>
            <w:tcW w:w="1915" w:type="dxa"/>
            <w:tcBorders>
              <w:left w:val="nil"/>
              <w:right w:val="nil"/>
            </w:tcBorders>
            <w:shd w:val="clear" w:color="auto" w:fill="auto"/>
          </w:tcPr>
          <w:p w14:paraId="5C331D5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58.16</w:t>
            </w:r>
          </w:p>
        </w:tc>
        <w:tc>
          <w:tcPr>
            <w:tcW w:w="1915" w:type="dxa"/>
            <w:tcBorders>
              <w:left w:val="nil"/>
              <w:right w:val="nil"/>
            </w:tcBorders>
            <w:shd w:val="clear" w:color="auto" w:fill="auto"/>
          </w:tcPr>
          <w:p w14:paraId="2FF860B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38367.7</w:t>
            </w:r>
          </w:p>
        </w:tc>
        <w:tc>
          <w:tcPr>
            <w:tcW w:w="1916" w:type="dxa"/>
            <w:tcBorders>
              <w:left w:val="nil"/>
              <w:right w:val="nil"/>
            </w:tcBorders>
            <w:shd w:val="clear" w:color="auto" w:fill="auto"/>
          </w:tcPr>
          <w:p w14:paraId="66A3912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104336.9188</w:t>
            </w:r>
          </w:p>
        </w:tc>
      </w:tr>
      <w:tr w:rsidR="00E940FD" w:rsidRPr="00D12E59" w14:paraId="0676DC7B" w14:textId="77777777" w:rsidTr="00E940FD">
        <w:tc>
          <w:tcPr>
            <w:tcW w:w="918" w:type="dxa"/>
            <w:shd w:val="clear" w:color="auto" w:fill="auto"/>
          </w:tcPr>
          <w:p w14:paraId="54A0055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2009</w:t>
            </w:r>
          </w:p>
        </w:tc>
        <w:tc>
          <w:tcPr>
            <w:tcW w:w="2912" w:type="dxa"/>
            <w:shd w:val="clear" w:color="auto" w:fill="auto"/>
          </w:tcPr>
          <w:p w14:paraId="19F9CC5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104336.9188</w:t>
            </w:r>
          </w:p>
        </w:tc>
        <w:tc>
          <w:tcPr>
            <w:tcW w:w="1915" w:type="dxa"/>
            <w:shd w:val="clear" w:color="auto" w:fill="auto"/>
          </w:tcPr>
          <w:p w14:paraId="1F2141D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-46.58</w:t>
            </w:r>
          </w:p>
        </w:tc>
        <w:tc>
          <w:tcPr>
            <w:tcW w:w="1915" w:type="dxa"/>
            <w:shd w:val="clear" w:color="auto" w:fill="auto"/>
          </w:tcPr>
          <w:p w14:paraId="59E7578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-48600.1</w:t>
            </w:r>
          </w:p>
        </w:tc>
        <w:tc>
          <w:tcPr>
            <w:tcW w:w="1916" w:type="dxa"/>
            <w:shd w:val="clear" w:color="auto" w:fill="auto"/>
          </w:tcPr>
          <w:p w14:paraId="1B14C28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55736.78204</w:t>
            </w:r>
          </w:p>
        </w:tc>
      </w:tr>
      <w:tr w:rsidR="00E940FD" w:rsidRPr="00D12E59" w14:paraId="05026C8F" w14:textId="77777777" w:rsidTr="00E940FD">
        <w:tc>
          <w:tcPr>
            <w:tcW w:w="918" w:type="dxa"/>
            <w:tcBorders>
              <w:left w:val="nil"/>
              <w:right w:val="nil"/>
            </w:tcBorders>
            <w:shd w:val="clear" w:color="auto" w:fill="auto"/>
          </w:tcPr>
          <w:p w14:paraId="18F519B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2010</w:t>
            </w:r>
          </w:p>
        </w:tc>
        <w:tc>
          <w:tcPr>
            <w:tcW w:w="2912" w:type="dxa"/>
            <w:tcBorders>
              <w:left w:val="nil"/>
              <w:right w:val="nil"/>
            </w:tcBorders>
            <w:shd w:val="clear" w:color="auto" w:fill="auto"/>
          </w:tcPr>
          <w:p w14:paraId="0DE7B8A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55736.78204</w:t>
            </w:r>
          </w:p>
        </w:tc>
        <w:tc>
          <w:tcPr>
            <w:tcW w:w="1915" w:type="dxa"/>
            <w:tcBorders>
              <w:left w:val="nil"/>
              <w:right w:val="nil"/>
            </w:tcBorders>
            <w:shd w:val="clear" w:color="auto" w:fill="auto"/>
          </w:tcPr>
          <w:p w14:paraId="0DA3A33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32.25</w:t>
            </w:r>
          </w:p>
        </w:tc>
        <w:tc>
          <w:tcPr>
            <w:tcW w:w="1915" w:type="dxa"/>
            <w:tcBorders>
              <w:left w:val="nil"/>
              <w:right w:val="nil"/>
            </w:tcBorders>
            <w:shd w:val="clear" w:color="auto" w:fill="auto"/>
          </w:tcPr>
          <w:p w14:paraId="59B9C9A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17975.11</w:t>
            </w:r>
          </w:p>
        </w:tc>
        <w:tc>
          <w:tcPr>
            <w:tcW w:w="1916" w:type="dxa"/>
            <w:tcBorders>
              <w:left w:val="nil"/>
              <w:right w:val="nil"/>
            </w:tcBorders>
            <w:shd w:val="clear" w:color="auto" w:fill="auto"/>
          </w:tcPr>
          <w:p w14:paraId="4778EBF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73711.89425</w:t>
            </w:r>
          </w:p>
        </w:tc>
      </w:tr>
    </w:tbl>
    <w:p w14:paraId="490B5209" w14:textId="77777777" w:rsidR="00D932E0" w:rsidRDefault="00D932E0" w:rsidP="0069035A">
      <w:pPr>
        <w:pStyle w:val="Default"/>
        <w:spacing w:after="0"/>
        <w:rPr>
          <w:rFonts w:ascii="Book Antiqua" w:hAnsi="Book Antiqua"/>
          <w:sz w:val="22"/>
          <w:szCs w:val="22"/>
        </w:rPr>
        <w:sectPr w:rsidR="00D932E0" w:rsidSect="008F6BC9">
          <w:type w:val="continuous"/>
          <w:pgSz w:w="11907" w:h="16839" w:code="9"/>
          <w:pgMar w:top="1440" w:right="1440" w:bottom="1440" w:left="1440" w:header="720" w:footer="720" w:gutter="0"/>
          <w:cols w:space="720"/>
          <w:titlePg/>
          <w:docGrid w:linePitch="360"/>
        </w:sectPr>
      </w:pPr>
    </w:p>
    <w:p w14:paraId="525703ED" w14:textId="77777777" w:rsidR="00805729" w:rsidRDefault="00805729" w:rsidP="008275E1">
      <w:pPr>
        <w:pStyle w:val="Default"/>
        <w:rPr>
          <w:rFonts w:ascii="Book Antiqua" w:hAnsi="Book Antiqua"/>
          <w:b/>
          <w:bCs/>
          <w:sz w:val="22"/>
          <w:szCs w:val="22"/>
        </w:rPr>
      </w:pPr>
    </w:p>
    <w:p w14:paraId="6F3E8113" w14:textId="77777777" w:rsidR="00805729" w:rsidRDefault="00805729" w:rsidP="008275E1">
      <w:pPr>
        <w:pStyle w:val="Default"/>
        <w:rPr>
          <w:rFonts w:ascii="Book Antiqua" w:hAnsi="Book Antiqua"/>
          <w:b/>
          <w:bCs/>
          <w:sz w:val="22"/>
          <w:szCs w:val="22"/>
        </w:rPr>
      </w:pPr>
    </w:p>
    <w:p w14:paraId="4BEA97E8" w14:textId="77777777" w:rsidR="00D932E0" w:rsidRDefault="00D932E0" w:rsidP="008275E1">
      <w:pPr>
        <w:pStyle w:val="Default"/>
        <w:rPr>
          <w:rFonts w:ascii="Book Antiqua" w:hAnsi="Book Antiqua"/>
          <w:b/>
          <w:bCs/>
          <w:sz w:val="22"/>
          <w:szCs w:val="22"/>
        </w:rPr>
        <w:sectPr w:rsidR="00D932E0" w:rsidSect="008F6BC9">
          <w:type w:val="continuous"/>
          <w:pgSz w:w="11907" w:h="16839" w:code="9"/>
          <w:pgMar w:top="1440" w:right="1440" w:bottom="1440" w:left="1440" w:header="720" w:footer="720" w:gutter="0"/>
          <w:cols w:num="2" w:space="720"/>
          <w:titlePg/>
          <w:docGrid w:linePitch="360"/>
        </w:sectPr>
      </w:pPr>
    </w:p>
    <w:p w14:paraId="01D28F9A" w14:textId="77777777" w:rsidR="00AC50E9" w:rsidRPr="00E3232D" w:rsidRDefault="00AC50E9" w:rsidP="008275E1">
      <w:pPr>
        <w:pStyle w:val="Default"/>
        <w:rPr>
          <w:rFonts w:ascii="Book Antiqua" w:hAnsi="Book Antiqua"/>
          <w:b/>
          <w:bCs/>
          <w:sz w:val="22"/>
          <w:szCs w:val="22"/>
        </w:rPr>
      </w:pPr>
      <w:r w:rsidRPr="00E3232D">
        <w:rPr>
          <w:rFonts w:ascii="Book Antiqua" w:hAnsi="Book Antiqua"/>
          <w:b/>
          <w:bCs/>
          <w:sz w:val="22"/>
          <w:szCs w:val="22"/>
        </w:rPr>
        <w:t>Calculation of Real Growth in Investment in GSE Shares (Investor B)</w:t>
      </w:r>
    </w:p>
    <w:p w14:paraId="05DBC524" w14:textId="77777777" w:rsidR="00D932E0" w:rsidRDefault="00D932E0" w:rsidP="008D6FB2">
      <w:pPr>
        <w:pStyle w:val="Default"/>
        <w:jc w:val="center"/>
        <w:rPr>
          <w:rFonts w:ascii="Book Antiqua" w:hAnsi="Book Antiqua"/>
          <w:b/>
          <w:sz w:val="22"/>
          <w:szCs w:val="22"/>
        </w:rPr>
        <w:sectPr w:rsidR="00D932E0" w:rsidSect="008F6BC9">
          <w:type w:val="continuous"/>
          <w:pgSz w:w="11907" w:h="16839" w:code="9"/>
          <w:pgMar w:top="1440" w:right="1440" w:bottom="1440" w:left="1440" w:header="720" w:footer="720" w:gutter="0"/>
          <w:cols w:space="720"/>
          <w:titlePg/>
          <w:docGrid w:linePitch="360"/>
        </w:sectPr>
      </w:pPr>
    </w:p>
    <w:tbl>
      <w:tblPr>
        <w:tblW w:w="0" w:type="auto"/>
        <w:tblBorders>
          <w:top w:val="single" w:sz="8" w:space="0" w:color="4F81BD"/>
          <w:bottom w:val="single" w:sz="8" w:space="0" w:color="4F81BD"/>
        </w:tblBorders>
        <w:tblLook w:val="04A0" w:firstRow="1" w:lastRow="0" w:firstColumn="1" w:lastColumn="0" w:noHBand="0" w:noVBand="1"/>
      </w:tblPr>
      <w:tblGrid>
        <w:gridCol w:w="898"/>
        <w:gridCol w:w="2790"/>
        <w:gridCol w:w="1828"/>
        <w:gridCol w:w="1854"/>
        <w:gridCol w:w="1873"/>
      </w:tblGrid>
      <w:tr w:rsidR="00E940FD" w:rsidRPr="00D12E59" w14:paraId="6DD1B3F1" w14:textId="77777777" w:rsidTr="00E940FD">
        <w:tc>
          <w:tcPr>
            <w:tcW w:w="918" w:type="dxa"/>
            <w:tcBorders>
              <w:top w:val="single" w:sz="8" w:space="0" w:color="4F81BD"/>
              <w:left w:val="nil"/>
              <w:bottom w:val="single" w:sz="8" w:space="0" w:color="4F81BD"/>
              <w:right w:val="nil"/>
            </w:tcBorders>
            <w:shd w:val="clear" w:color="auto" w:fill="auto"/>
          </w:tcPr>
          <w:p w14:paraId="5B26A06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Year</w:t>
            </w:r>
          </w:p>
        </w:tc>
        <w:tc>
          <w:tcPr>
            <w:tcW w:w="2912" w:type="dxa"/>
            <w:tcBorders>
              <w:top w:val="single" w:sz="8" w:space="0" w:color="4F81BD"/>
              <w:left w:val="nil"/>
              <w:bottom w:val="single" w:sz="8" w:space="0" w:color="4F81BD"/>
              <w:right w:val="nil"/>
            </w:tcBorders>
            <w:shd w:val="clear" w:color="auto" w:fill="auto"/>
          </w:tcPr>
          <w:p w14:paraId="73E4E50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Amounted Invested</w:t>
            </w:r>
          </w:p>
        </w:tc>
        <w:tc>
          <w:tcPr>
            <w:tcW w:w="1915" w:type="dxa"/>
            <w:tcBorders>
              <w:top w:val="single" w:sz="8" w:space="0" w:color="4F81BD"/>
              <w:left w:val="nil"/>
              <w:bottom w:val="single" w:sz="8" w:space="0" w:color="4F81BD"/>
              <w:right w:val="nil"/>
            </w:tcBorders>
            <w:shd w:val="clear" w:color="auto" w:fill="auto"/>
          </w:tcPr>
          <w:p w14:paraId="2F3328FE"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Rate</w:t>
            </w:r>
          </w:p>
        </w:tc>
        <w:tc>
          <w:tcPr>
            <w:tcW w:w="1915" w:type="dxa"/>
            <w:tcBorders>
              <w:top w:val="single" w:sz="8" w:space="0" w:color="4F81BD"/>
              <w:left w:val="nil"/>
              <w:bottom w:val="single" w:sz="8" w:space="0" w:color="4F81BD"/>
              <w:right w:val="nil"/>
            </w:tcBorders>
            <w:shd w:val="clear" w:color="auto" w:fill="auto"/>
          </w:tcPr>
          <w:p w14:paraId="58B85E08"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Interest</w:t>
            </w:r>
          </w:p>
        </w:tc>
        <w:tc>
          <w:tcPr>
            <w:tcW w:w="1916" w:type="dxa"/>
            <w:tcBorders>
              <w:top w:val="single" w:sz="8" w:space="0" w:color="4F81BD"/>
              <w:left w:val="nil"/>
              <w:bottom w:val="single" w:sz="8" w:space="0" w:color="4F81BD"/>
              <w:right w:val="nil"/>
            </w:tcBorders>
            <w:shd w:val="clear" w:color="auto" w:fill="auto"/>
          </w:tcPr>
          <w:p w14:paraId="33FC36DE"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Closing Value</w:t>
            </w:r>
          </w:p>
        </w:tc>
      </w:tr>
      <w:tr w:rsidR="00E940FD" w:rsidRPr="00D12E59" w14:paraId="08276ED9" w14:textId="77777777" w:rsidTr="00E940FD">
        <w:tc>
          <w:tcPr>
            <w:tcW w:w="918" w:type="dxa"/>
            <w:tcBorders>
              <w:left w:val="nil"/>
              <w:right w:val="nil"/>
            </w:tcBorders>
            <w:shd w:val="clear" w:color="auto" w:fill="auto"/>
          </w:tcPr>
          <w:p w14:paraId="20F127D4"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1990</w:t>
            </w:r>
          </w:p>
        </w:tc>
        <w:tc>
          <w:tcPr>
            <w:tcW w:w="2912" w:type="dxa"/>
            <w:tcBorders>
              <w:left w:val="nil"/>
              <w:right w:val="nil"/>
            </w:tcBorders>
            <w:shd w:val="clear" w:color="auto" w:fill="auto"/>
          </w:tcPr>
          <w:p w14:paraId="5E91AC7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1000</w:t>
            </w:r>
          </w:p>
        </w:tc>
        <w:tc>
          <w:tcPr>
            <w:tcW w:w="1915" w:type="dxa"/>
            <w:tcBorders>
              <w:left w:val="nil"/>
              <w:right w:val="nil"/>
            </w:tcBorders>
            <w:shd w:val="clear" w:color="auto" w:fill="auto"/>
          </w:tcPr>
          <w:p w14:paraId="1592DAE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-65.65</w:t>
            </w:r>
          </w:p>
        </w:tc>
        <w:tc>
          <w:tcPr>
            <w:tcW w:w="1915" w:type="dxa"/>
            <w:tcBorders>
              <w:left w:val="nil"/>
              <w:right w:val="nil"/>
            </w:tcBorders>
            <w:shd w:val="clear" w:color="auto" w:fill="auto"/>
          </w:tcPr>
          <w:p w14:paraId="3DE593A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-656.5</w:t>
            </w:r>
          </w:p>
        </w:tc>
        <w:tc>
          <w:tcPr>
            <w:tcW w:w="1916" w:type="dxa"/>
            <w:tcBorders>
              <w:left w:val="nil"/>
              <w:right w:val="nil"/>
            </w:tcBorders>
            <w:shd w:val="clear" w:color="auto" w:fill="auto"/>
          </w:tcPr>
          <w:p w14:paraId="2B5F756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343.5</w:t>
            </w:r>
          </w:p>
        </w:tc>
      </w:tr>
      <w:tr w:rsidR="00E940FD" w:rsidRPr="00D12E59" w14:paraId="6CBDFC74" w14:textId="77777777" w:rsidTr="00E940FD">
        <w:tc>
          <w:tcPr>
            <w:tcW w:w="918" w:type="dxa"/>
            <w:shd w:val="clear" w:color="auto" w:fill="auto"/>
          </w:tcPr>
          <w:p w14:paraId="6BD4356C"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1991</w:t>
            </w:r>
          </w:p>
        </w:tc>
        <w:tc>
          <w:tcPr>
            <w:tcW w:w="2912" w:type="dxa"/>
            <w:shd w:val="clear" w:color="auto" w:fill="auto"/>
          </w:tcPr>
          <w:p w14:paraId="4712721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343.5</w:t>
            </w:r>
          </w:p>
        </w:tc>
        <w:tc>
          <w:tcPr>
            <w:tcW w:w="1915" w:type="dxa"/>
            <w:shd w:val="clear" w:color="auto" w:fill="auto"/>
          </w:tcPr>
          <w:p w14:paraId="29AF879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-18.48</w:t>
            </w:r>
          </w:p>
        </w:tc>
        <w:tc>
          <w:tcPr>
            <w:tcW w:w="1915" w:type="dxa"/>
            <w:shd w:val="clear" w:color="auto" w:fill="auto"/>
          </w:tcPr>
          <w:p w14:paraId="4DF17E4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-63.4788</w:t>
            </w:r>
          </w:p>
        </w:tc>
        <w:tc>
          <w:tcPr>
            <w:tcW w:w="1916" w:type="dxa"/>
            <w:shd w:val="clear" w:color="auto" w:fill="auto"/>
          </w:tcPr>
          <w:p w14:paraId="44863C2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280.0212</w:t>
            </w:r>
          </w:p>
        </w:tc>
      </w:tr>
      <w:tr w:rsidR="00E940FD" w:rsidRPr="00D12E59" w14:paraId="5F56E29F" w14:textId="77777777" w:rsidTr="00E940FD">
        <w:tc>
          <w:tcPr>
            <w:tcW w:w="918" w:type="dxa"/>
            <w:tcBorders>
              <w:left w:val="nil"/>
              <w:right w:val="nil"/>
            </w:tcBorders>
            <w:shd w:val="clear" w:color="auto" w:fill="auto"/>
          </w:tcPr>
          <w:p w14:paraId="4F8AE401"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1992</w:t>
            </w:r>
          </w:p>
        </w:tc>
        <w:tc>
          <w:tcPr>
            <w:tcW w:w="2912" w:type="dxa"/>
            <w:tcBorders>
              <w:left w:val="nil"/>
              <w:right w:val="nil"/>
            </w:tcBorders>
            <w:shd w:val="clear" w:color="auto" w:fill="auto"/>
          </w:tcPr>
          <w:p w14:paraId="1E59C99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280.0212</w:t>
            </w:r>
          </w:p>
        </w:tc>
        <w:tc>
          <w:tcPr>
            <w:tcW w:w="1915" w:type="dxa"/>
            <w:tcBorders>
              <w:left w:val="nil"/>
              <w:right w:val="nil"/>
            </w:tcBorders>
            <w:shd w:val="clear" w:color="auto" w:fill="auto"/>
          </w:tcPr>
          <w:p w14:paraId="759672E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-16.92</w:t>
            </w:r>
          </w:p>
        </w:tc>
        <w:tc>
          <w:tcPr>
            <w:tcW w:w="1915" w:type="dxa"/>
            <w:tcBorders>
              <w:left w:val="nil"/>
              <w:right w:val="nil"/>
            </w:tcBorders>
            <w:shd w:val="clear" w:color="auto" w:fill="auto"/>
          </w:tcPr>
          <w:p w14:paraId="27C3D13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-47.37959</w:t>
            </w:r>
          </w:p>
        </w:tc>
        <w:tc>
          <w:tcPr>
            <w:tcW w:w="1916" w:type="dxa"/>
            <w:tcBorders>
              <w:left w:val="nil"/>
              <w:right w:val="nil"/>
            </w:tcBorders>
            <w:shd w:val="clear" w:color="auto" w:fill="auto"/>
          </w:tcPr>
          <w:p w14:paraId="1E3E83E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232.641613</w:t>
            </w:r>
          </w:p>
        </w:tc>
      </w:tr>
      <w:tr w:rsidR="00E940FD" w:rsidRPr="00D12E59" w14:paraId="4B5CFE37" w14:textId="77777777" w:rsidTr="00E940FD">
        <w:tc>
          <w:tcPr>
            <w:tcW w:w="918" w:type="dxa"/>
            <w:shd w:val="clear" w:color="auto" w:fill="auto"/>
          </w:tcPr>
          <w:p w14:paraId="2340E65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1993</w:t>
            </w:r>
          </w:p>
        </w:tc>
        <w:tc>
          <w:tcPr>
            <w:tcW w:w="2912" w:type="dxa"/>
            <w:shd w:val="clear" w:color="auto" w:fill="auto"/>
          </w:tcPr>
          <w:p w14:paraId="0BD0BB9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232.641613</w:t>
            </w:r>
          </w:p>
        </w:tc>
        <w:tc>
          <w:tcPr>
            <w:tcW w:w="1915" w:type="dxa"/>
            <w:shd w:val="clear" w:color="auto" w:fill="auto"/>
          </w:tcPr>
          <w:p w14:paraId="61B98DF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86.03</w:t>
            </w:r>
          </w:p>
        </w:tc>
        <w:tc>
          <w:tcPr>
            <w:tcW w:w="1915" w:type="dxa"/>
            <w:shd w:val="clear" w:color="auto" w:fill="auto"/>
          </w:tcPr>
          <w:p w14:paraId="2687E4B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200.14158</w:t>
            </w:r>
          </w:p>
        </w:tc>
        <w:tc>
          <w:tcPr>
            <w:tcW w:w="1916" w:type="dxa"/>
            <w:shd w:val="clear" w:color="auto" w:fill="auto"/>
          </w:tcPr>
          <w:p w14:paraId="465F26B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432.7831926</w:t>
            </w:r>
          </w:p>
        </w:tc>
      </w:tr>
      <w:tr w:rsidR="00E940FD" w:rsidRPr="00D12E59" w14:paraId="3A1D36B0" w14:textId="77777777" w:rsidTr="00E940FD">
        <w:tc>
          <w:tcPr>
            <w:tcW w:w="918" w:type="dxa"/>
            <w:tcBorders>
              <w:left w:val="nil"/>
              <w:right w:val="nil"/>
            </w:tcBorders>
            <w:shd w:val="clear" w:color="auto" w:fill="auto"/>
          </w:tcPr>
          <w:p w14:paraId="4991659D"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1994</w:t>
            </w:r>
          </w:p>
        </w:tc>
        <w:tc>
          <w:tcPr>
            <w:tcW w:w="2912" w:type="dxa"/>
            <w:tcBorders>
              <w:left w:val="nil"/>
              <w:right w:val="nil"/>
            </w:tcBorders>
            <w:shd w:val="clear" w:color="auto" w:fill="auto"/>
          </w:tcPr>
          <w:p w14:paraId="69F4058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432.7831926</w:t>
            </w:r>
          </w:p>
        </w:tc>
        <w:tc>
          <w:tcPr>
            <w:tcW w:w="1915" w:type="dxa"/>
            <w:tcBorders>
              <w:left w:val="nil"/>
              <w:right w:val="nil"/>
            </w:tcBorders>
            <w:shd w:val="clear" w:color="auto" w:fill="auto"/>
          </w:tcPr>
          <w:p w14:paraId="5184456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90.15</w:t>
            </w:r>
          </w:p>
        </w:tc>
        <w:tc>
          <w:tcPr>
            <w:tcW w:w="1915" w:type="dxa"/>
            <w:tcBorders>
              <w:left w:val="nil"/>
              <w:right w:val="nil"/>
            </w:tcBorders>
            <w:shd w:val="clear" w:color="auto" w:fill="auto"/>
          </w:tcPr>
          <w:p w14:paraId="5A66B5C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390.15405</w:t>
            </w:r>
          </w:p>
        </w:tc>
        <w:tc>
          <w:tcPr>
            <w:tcW w:w="1916" w:type="dxa"/>
            <w:tcBorders>
              <w:left w:val="nil"/>
              <w:right w:val="nil"/>
            </w:tcBorders>
            <w:shd w:val="clear" w:color="auto" w:fill="auto"/>
          </w:tcPr>
          <w:p w14:paraId="3158E38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822.9372407</w:t>
            </w:r>
          </w:p>
        </w:tc>
      </w:tr>
      <w:tr w:rsidR="00E940FD" w:rsidRPr="00D12E59" w14:paraId="779DE1B2" w14:textId="77777777" w:rsidTr="00E940FD">
        <w:tc>
          <w:tcPr>
            <w:tcW w:w="918" w:type="dxa"/>
            <w:shd w:val="clear" w:color="auto" w:fill="auto"/>
          </w:tcPr>
          <w:p w14:paraId="0DC7E1D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1995</w:t>
            </w:r>
          </w:p>
        </w:tc>
        <w:tc>
          <w:tcPr>
            <w:tcW w:w="2912" w:type="dxa"/>
            <w:shd w:val="clear" w:color="auto" w:fill="auto"/>
          </w:tcPr>
          <w:p w14:paraId="482EEDA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822.9372407</w:t>
            </w:r>
          </w:p>
        </w:tc>
        <w:tc>
          <w:tcPr>
            <w:tcW w:w="1915" w:type="dxa"/>
            <w:shd w:val="clear" w:color="auto" w:fill="auto"/>
          </w:tcPr>
          <w:p w14:paraId="4B5F5078"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-64.47</w:t>
            </w:r>
          </w:p>
        </w:tc>
        <w:tc>
          <w:tcPr>
            <w:tcW w:w="1915" w:type="dxa"/>
            <w:shd w:val="clear" w:color="auto" w:fill="auto"/>
          </w:tcPr>
          <w:p w14:paraId="229EE5A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-530.5476</w:t>
            </w:r>
          </w:p>
        </w:tc>
        <w:tc>
          <w:tcPr>
            <w:tcW w:w="1916" w:type="dxa"/>
            <w:shd w:val="clear" w:color="auto" w:fill="auto"/>
          </w:tcPr>
          <w:p w14:paraId="44DD449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292.3896016</w:t>
            </w:r>
          </w:p>
        </w:tc>
      </w:tr>
      <w:tr w:rsidR="00E940FD" w:rsidRPr="00D12E59" w14:paraId="4D299033" w14:textId="77777777" w:rsidTr="00E940FD">
        <w:tc>
          <w:tcPr>
            <w:tcW w:w="918" w:type="dxa"/>
            <w:tcBorders>
              <w:left w:val="nil"/>
              <w:right w:val="nil"/>
            </w:tcBorders>
            <w:shd w:val="clear" w:color="auto" w:fill="auto"/>
          </w:tcPr>
          <w:p w14:paraId="7EE85F5F"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1996</w:t>
            </w:r>
          </w:p>
        </w:tc>
        <w:tc>
          <w:tcPr>
            <w:tcW w:w="2912" w:type="dxa"/>
            <w:tcBorders>
              <w:left w:val="nil"/>
              <w:right w:val="nil"/>
            </w:tcBorders>
            <w:shd w:val="clear" w:color="auto" w:fill="auto"/>
          </w:tcPr>
          <w:p w14:paraId="339FCD8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292.3896016</w:t>
            </w:r>
          </w:p>
        </w:tc>
        <w:tc>
          <w:tcPr>
            <w:tcW w:w="1915" w:type="dxa"/>
            <w:tcBorders>
              <w:left w:val="nil"/>
              <w:right w:val="nil"/>
            </w:tcBorders>
            <w:shd w:val="clear" w:color="auto" w:fill="auto"/>
          </w:tcPr>
          <w:p w14:paraId="149B896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-18.88</w:t>
            </w:r>
          </w:p>
        </w:tc>
        <w:tc>
          <w:tcPr>
            <w:tcW w:w="1915" w:type="dxa"/>
            <w:tcBorders>
              <w:left w:val="nil"/>
              <w:right w:val="nil"/>
            </w:tcBorders>
            <w:shd w:val="clear" w:color="auto" w:fill="auto"/>
          </w:tcPr>
          <w:p w14:paraId="2DF42A5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-55.20316</w:t>
            </w:r>
          </w:p>
        </w:tc>
        <w:tc>
          <w:tcPr>
            <w:tcW w:w="1916" w:type="dxa"/>
            <w:tcBorders>
              <w:left w:val="nil"/>
              <w:right w:val="nil"/>
            </w:tcBorders>
            <w:shd w:val="clear" w:color="auto" w:fill="auto"/>
          </w:tcPr>
          <w:p w14:paraId="0B08016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237.1864448</w:t>
            </w:r>
          </w:p>
        </w:tc>
      </w:tr>
      <w:tr w:rsidR="00E940FD" w:rsidRPr="00D12E59" w14:paraId="228F6781" w14:textId="77777777" w:rsidTr="00E940FD">
        <w:tc>
          <w:tcPr>
            <w:tcW w:w="918" w:type="dxa"/>
            <w:shd w:val="clear" w:color="auto" w:fill="auto"/>
          </w:tcPr>
          <w:p w14:paraId="4E8DC39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1997</w:t>
            </w:r>
          </w:p>
        </w:tc>
        <w:tc>
          <w:tcPr>
            <w:tcW w:w="2912" w:type="dxa"/>
            <w:shd w:val="clear" w:color="auto" w:fill="auto"/>
          </w:tcPr>
          <w:p w14:paraId="2F94D072"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237.1864448</w:t>
            </w:r>
          </w:p>
        </w:tc>
        <w:tc>
          <w:tcPr>
            <w:tcW w:w="1915" w:type="dxa"/>
            <w:shd w:val="clear" w:color="auto" w:fill="auto"/>
          </w:tcPr>
          <w:p w14:paraId="7B0D6A6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21.35</w:t>
            </w:r>
          </w:p>
        </w:tc>
        <w:tc>
          <w:tcPr>
            <w:tcW w:w="1915" w:type="dxa"/>
            <w:shd w:val="clear" w:color="auto" w:fill="auto"/>
          </w:tcPr>
          <w:p w14:paraId="4CB8963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50.639306</w:t>
            </w:r>
          </w:p>
        </w:tc>
        <w:tc>
          <w:tcPr>
            <w:tcW w:w="1916" w:type="dxa"/>
            <w:shd w:val="clear" w:color="auto" w:fill="auto"/>
          </w:tcPr>
          <w:p w14:paraId="6068764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287.8257508</w:t>
            </w:r>
          </w:p>
        </w:tc>
      </w:tr>
      <w:tr w:rsidR="00E940FD" w:rsidRPr="00D12E59" w14:paraId="381F0340" w14:textId="77777777" w:rsidTr="00E940FD">
        <w:tc>
          <w:tcPr>
            <w:tcW w:w="918" w:type="dxa"/>
            <w:tcBorders>
              <w:left w:val="nil"/>
              <w:right w:val="nil"/>
            </w:tcBorders>
            <w:shd w:val="clear" w:color="auto" w:fill="auto"/>
          </w:tcPr>
          <w:p w14:paraId="7282792E"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1998</w:t>
            </w:r>
          </w:p>
        </w:tc>
        <w:tc>
          <w:tcPr>
            <w:tcW w:w="2912" w:type="dxa"/>
            <w:tcBorders>
              <w:left w:val="nil"/>
              <w:right w:val="nil"/>
            </w:tcBorders>
            <w:shd w:val="clear" w:color="auto" w:fill="auto"/>
          </w:tcPr>
          <w:p w14:paraId="126FD83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287.8257508</w:t>
            </w:r>
          </w:p>
        </w:tc>
        <w:tc>
          <w:tcPr>
            <w:tcW w:w="1915" w:type="dxa"/>
            <w:tcBorders>
              <w:left w:val="nil"/>
              <w:right w:val="nil"/>
            </w:tcBorders>
            <w:shd w:val="clear" w:color="auto" w:fill="auto"/>
          </w:tcPr>
          <w:p w14:paraId="67C59AA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53.99</w:t>
            </w:r>
          </w:p>
        </w:tc>
        <w:tc>
          <w:tcPr>
            <w:tcW w:w="1915" w:type="dxa"/>
            <w:tcBorders>
              <w:left w:val="nil"/>
              <w:right w:val="nil"/>
            </w:tcBorders>
            <w:shd w:val="clear" w:color="auto" w:fill="auto"/>
          </w:tcPr>
          <w:p w14:paraId="22CAE41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155.39712</w:t>
            </w:r>
          </w:p>
        </w:tc>
        <w:tc>
          <w:tcPr>
            <w:tcW w:w="1916" w:type="dxa"/>
            <w:tcBorders>
              <w:left w:val="nil"/>
              <w:right w:val="nil"/>
            </w:tcBorders>
            <w:shd w:val="clear" w:color="auto" w:fill="auto"/>
          </w:tcPr>
          <w:p w14:paraId="5C9E188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443.2228737</w:t>
            </w:r>
          </w:p>
        </w:tc>
      </w:tr>
      <w:tr w:rsidR="00E940FD" w:rsidRPr="00D12E59" w14:paraId="29F63490" w14:textId="77777777" w:rsidTr="00E940FD">
        <w:tc>
          <w:tcPr>
            <w:tcW w:w="918" w:type="dxa"/>
            <w:shd w:val="clear" w:color="auto" w:fill="auto"/>
          </w:tcPr>
          <w:p w14:paraId="18CC87CB"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1999</w:t>
            </w:r>
          </w:p>
        </w:tc>
        <w:tc>
          <w:tcPr>
            <w:tcW w:w="2912" w:type="dxa"/>
            <w:shd w:val="clear" w:color="auto" w:fill="auto"/>
          </w:tcPr>
          <w:p w14:paraId="79822C8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443.2228737</w:t>
            </w:r>
          </w:p>
        </w:tc>
        <w:tc>
          <w:tcPr>
            <w:tcW w:w="1915" w:type="dxa"/>
            <w:shd w:val="clear" w:color="auto" w:fill="auto"/>
          </w:tcPr>
          <w:p w14:paraId="11F3BA5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-29.02</w:t>
            </w:r>
          </w:p>
        </w:tc>
        <w:tc>
          <w:tcPr>
            <w:tcW w:w="1915" w:type="dxa"/>
            <w:shd w:val="clear" w:color="auto" w:fill="auto"/>
          </w:tcPr>
          <w:p w14:paraId="4E419B50"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-128.6233</w:t>
            </w:r>
          </w:p>
        </w:tc>
        <w:tc>
          <w:tcPr>
            <w:tcW w:w="1916" w:type="dxa"/>
            <w:shd w:val="clear" w:color="auto" w:fill="auto"/>
          </w:tcPr>
          <w:p w14:paraId="45F02CD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314.5995957</w:t>
            </w:r>
          </w:p>
        </w:tc>
      </w:tr>
      <w:tr w:rsidR="00E940FD" w:rsidRPr="00D12E59" w14:paraId="69876434" w14:textId="77777777" w:rsidTr="00E940FD">
        <w:tc>
          <w:tcPr>
            <w:tcW w:w="918" w:type="dxa"/>
            <w:tcBorders>
              <w:left w:val="nil"/>
              <w:right w:val="nil"/>
            </w:tcBorders>
            <w:shd w:val="clear" w:color="auto" w:fill="auto"/>
          </w:tcPr>
          <w:p w14:paraId="654B5213"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2000</w:t>
            </w:r>
          </w:p>
        </w:tc>
        <w:tc>
          <w:tcPr>
            <w:tcW w:w="2912" w:type="dxa"/>
            <w:tcBorders>
              <w:left w:val="nil"/>
              <w:right w:val="nil"/>
            </w:tcBorders>
            <w:shd w:val="clear" w:color="auto" w:fill="auto"/>
          </w:tcPr>
          <w:p w14:paraId="159893F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314.5995957</w:t>
            </w:r>
          </w:p>
        </w:tc>
        <w:tc>
          <w:tcPr>
            <w:tcW w:w="1915" w:type="dxa"/>
            <w:tcBorders>
              <w:left w:val="nil"/>
              <w:right w:val="nil"/>
            </w:tcBorders>
            <w:shd w:val="clear" w:color="auto" w:fill="auto"/>
          </w:tcPr>
          <w:p w14:paraId="19716E9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-23.95</w:t>
            </w:r>
          </w:p>
        </w:tc>
        <w:tc>
          <w:tcPr>
            <w:tcW w:w="1915" w:type="dxa"/>
            <w:tcBorders>
              <w:left w:val="nil"/>
              <w:right w:val="nil"/>
            </w:tcBorders>
            <w:shd w:val="clear" w:color="auto" w:fill="auto"/>
          </w:tcPr>
          <w:p w14:paraId="2FACFE2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-75.3466</w:t>
            </w:r>
          </w:p>
        </w:tc>
        <w:tc>
          <w:tcPr>
            <w:tcW w:w="1916" w:type="dxa"/>
            <w:tcBorders>
              <w:left w:val="nil"/>
              <w:right w:val="nil"/>
            </w:tcBorders>
            <w:shd w:val="clear" w:color="auto" w:fill="auto"/>
          </w:tcPr>
          <w:p w14:paraId="1A9F3A2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239.2529926</w:t>
            </w:r>
          </w:p>
        </w:tc>
      </w:tr>
      <w:tr w:rsidR="00E940FD" w:rsidRPr="00D12E59" w14:paraId="2E216A74" w14:textId="77777777" w:rsidTr="00E940FD">
        <w:tc>
          <w:tcPr>
            <w:tcW w:w="918" w:type="dxa"/>
            <w:shd w:val="clear" w:color="auto" w:fill="auto"/>
          </w:tcPr>
          <w:p w14:paraId="0A1BFDE7"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2001</w:t>
            </w:r>
          </w:p>
        </w:tc>
        <w:tc>
          <w:tcPr>
            <w:tcW w:w="2912" w:type="dxa"/>
            <w:shd w:val="clear" w:color="auto" w:fill="auto"/>
          </w:tcPr>
          <w:p w14:paraId="6EE846A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239.2529926</w:t>
            </w:r>
          </w:p>
        </w:tc>
        <w:tc>
          <w:tcPr>
            <w:tcW w:w="1915" w:type="dxa"/>
            <w:shd w:val="clear" w:color="auto" w:fill="auto"/>
          </w:tcPr>
          <w:p w14:paraId="5FEC712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-9.88</w:t>
            </w:r>
          </w:p>
        </w:tc>
        <w:tc>
          <w:tcPr>
            <w:tcW w:w="1915" w:type="dxa"/>
            <w:shd w:val="clear" w:color="auto" w:fill="auto"/>
          </w:tcPr>
          <w:p w14:paraId="0CBDCD6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-23.6382</w:t>
            </w:r>
          </w:p>
        </w:tc>
        <w:tc>
          <w:tcPr>
            <w:tcW w:w="1916" w:type="dxa"/>
            <w:shd w:val="clear" w:color="auto" w:fill="auto"/>
          </w:tcPr>
          <w:p w14:paraId="687D689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215.6147969</w:t>
            </w:r>
          </w:p>
        </w:tc>
      </w:tr>
      <w:tr w:rsidR="00E940FD" w:rsidRPr="00D12E59" w14:paraId="75E7EDDD" w14:textId="77777777" w:rsidTr="00E940FD">
        <w:tc>
          <w:tcPr>
            <w:tcW w:w="918" w:type="dxa"/>
            <w:tcBorders>
              <w:left w:val="nil"/>
              <w:right w:val="nil"/>
            </w:tcBorders>
            <w:shd w:val="clear" w:color="auto" w:fill="auto"/>
          </w:tcPr>
          <w:p w14:paraId="52FDAD92"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2002</w:t>
            </w:r>
          </w:p>
        </w:tc>
        <w:tc>
          <w:tcPr>
            <w:tcW w:w="2912" w:type="dxa"/>
            <w:tcBorders>
              <w:left w:val="nil"/>
              <w:right w:val="nil"/>
            </w:tcBorders>
            <w:shd w:val="clear" w:color="auto" w:fill="auto"/>
          </w:tcPr>
          <w:p w14:paraId="68F8942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215.6147969</w:t>
            </w:r>
          </w:p>
        </w:tc>
        <w:tc>
          <w:tcPr>
            <w:tcW w:w="1915" w:type="dxa"/>
            <w:tcBorders>
              <w:left w:val="nil"/>
              <w:right w:val="nil"/>
            </w:tcBorders>
            <w:shd w:val="clear" w:color="auto" w:fill="auto"/>
          </w:tcPr>
          <w:p w14:paraId="23596FE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28.96</w:t>
            </w:r>
          </w:p>
        </w:tc>
        <w:tc>
          <w:tcPr>
            <w:tcW w:w="1915" w:type="dxa"/>
            <w:tcBorders>
              <w:left w:val="nil"/>
              <w:right w:val="nil"/>
            </w:tcBorders>
            <w:shd w:val="clear" w:color="auto" w:fill="auto"/>
          </w:tcPr>
          <w:p w14:paraId="39266D1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62.442045</w:t>
            </w:r>
          </w:p>
        </w:tc>
        <w:tc>
          <w:tcPr>
            <w:tcW w:w="1916" w:type="dxa"/>
            <w:tcBorders>
              <w:left w:val="nil"/>
              <w:right w:val="nil"/>
            </w:tcBorders>
            <w:shd w:val="clear" w:color="auto" w:fill="auto"/>
          </w:tcPr>
          <w:p w14:paraId="123427C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278.0568421</w:t>
            </w:r>
          </w:p>
        </w:tc>
      </w:tr>
      <w:tr w:rsidR="00E940FD" w:rsidRPr="00D12E59" w14:paraId="0A2A6BAB" w14:textId="77777777" w:rsidTr="00E940FD">
        <w:tc>
          <w:tcPr>
            <w:tcW w:w="918" w:type="dxa"/>
            <w:shd w:val="clear" w:color="auto" w:fill="auto"/>
          </w:tcPr>
          <w:p w14:paraId="5D9D23EE"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2003</w:t>
            </w:r>
          </w:p>
        </w:tc>
        <w:tc>
          <w:tcPr>
            <w:tcW w:w="2912" w:type="dxa"/>
            <w:shd w:val="clear" w:color="auto" w:fill="auto"/>
          </w:tcPr>
          <w:p w14:paraId="707849F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278.0568421</w:t>
            </w:r>
          </w:p>
        </w:tc>
        <w:tc>
          <w:tcPr>
            <w:tcW w:w="1915" w:type="dxa"/>
            <w:shd w:val="clear" w:color="auto" w:fill="auto"/>
          </w:tcPr>
          <w:p w14:paraId="51BB314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123.37</w:t>
            </w:r>
          </w:p>
        </w:tc>
        <w:tc>
          <w:tcPr>
            <w:tcW w:w="1915" w:type="dxa"/>
            <w:shd w:val="clear" w:color="auto" w:fill="auto"/>
          </w:tcPr>
          <w:p w14:paraId="155F080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343.03873</w:t>
            </w:r>
          </w:p>
        </w:tc>
        <w:tc>
          <w:tcPr>
            <w:tcW w:w="1916" w:type="dxa"/>
            <w:shd w:val="clear" w:color="auto" w:fill="auto"/>
          </w:tcPr>
          <w:p w14:paraId="79C4B39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621.0955681</w:t>
            </w:r>
          </w:p>
        </w:tc>
      </w:tr>
      <w:tr w:rsidR="00E940FD" w:rsidRPr="00D12E59" w14:paraId="5B65E820" w14:textId="77777777" w:rsidTr="00E940FD">
        <w:tc>
          <w:tcPr>
            <w:tcW w:w="918" w:type="dxa"/>
            <w:tcBorders>
              <w:left w:val="nil"/>
              <w:right w:val="nil"/>
            </w:tcBorders>
            <w:shd w:val="clear" w:color="auto" w:fill="auto"/>
          </w:tcPr>
          <w:p w14:paraId="1871416F"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2004</w:t>
            </w:r>
          </w:p>
        </w:tc>
        <w:tc>
          <w:tcPr>
            <w:tcW w:w="2912" w:type="dxa"/>
            <w:tcBorders>
              <w:left w:val="nil"/>
              <w:right w:val="nil"/>
            </w:tcBorders>
            <w:shd w:val="clear" w:color="auto" w:fill="auto"/>
          </w:tcPr>
          <w:p w14:paraId="4BE80FA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621.0955681</w:t>
            </w:r>
          </w:p>
        </w:tc>
        <w:tc>
          <w:tcPr>
            <w:tcW w:w="1915" w:type="dxa"/>
            <w:tcBorders>
              <w:left w:val="nil"/>
              <w:right w:val="nil"/>
            </w:tcBorders>
            <w:shd w:val="clear" w:color="auto" w:fill="auto"/>
          </w:tcPr>
          <w:p w14:paraId="20AD225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74.93</w:t>
            </w:r>
          </w:p>
        </w:tc>
        <w:tc>
          <w:tcPr>
            <w:tcW w:w="1915" w:type="dxa"/>
            <w:tcBorders>
              <w:left w:val="nil"/>
              <w:right w:val="nil"/>
            </w:tcBorders>
            <w:shd w:val="clear" w:color="auto" w:fill="auto"/>
          </w:tcPr>
          <w:p w14:paraId="2D0BC8BD"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465.38691</w:t>
            </w:r>
          </w:p>
        </w:tc>
        <w:tc>
          <w:tcPr>
            <w:tcW w:w="1916" w:type="dxa"/>
            <w:tcBorders>
              <w:left w:val="nil"/>
              <w:right w:val="nil"/>
            </w:tcBorders>
            <w:shd w:val="clear" w:color="auto" w:fill="auto"/>
          </w:tcPr>
          <w:p w14:paraId="3820BFA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1086.482477</w:t>
            </w:r>
          </w:p>
        </w:tc>
      </w:tr>
      <w:tr w:rsidR="00E940FD" w:rsidRPr="00D12E59" w14:paraId="59C7F3B0" w14:textId="77777777" w:rsidTr="00E940FD">
        <w:tc>
          <w:tcPr>
            <w:tcW w:w="918" w:type="dxa"/>
            <w:shd w:val="clear" w:color="auto" w:fill="auto"/>
          </w:tcPr>
          <w:p w14:paraId="6F86E7C4"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2005</w:t>
            </w:r>
          </w:p>
        </w:tc>
        <w:tc>
          <w:tcPr>
            <w:tcW w:w="2912" w:type="dxa"/>
            <w:shd w:val="clear" w:color="auto" w:fill="auto"/>
          </w:tcPr>
          <w:p w14:paraId="257649B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1086.482477</w:t>
            </w:r>
          </w:p>
        </w:tc>
        <w:tc>
          <w:tcPr>
            <w:tcW w:w="1915" w:type="dxa"/>
            <w:shd w:val="clear" w:color="auto" w:fill="auto"/>
          </w:tcPr>
          <w:p w14:paraId="45F76AC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-43.62</w:t>
            </w:r>
          </w:p>
        </w:tc>
        <w:tc>
          <w:tcPr>
            <w:tcW w:w="1915" w:type="dxa"/>
            <w:shd w:val="clear" w:color="auto" w:fill="auto"/>
          </w:tcPr>
          <w:p w14:paraId="3FC7C74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-473.9237</w:t>
            </w:r>
          </w:p>
        </w:tc>
        <w:tc>
          <w:tcPr>
            <w:tcW w:w="1916" w:type="dxa"/>
            <w:shd w:val="clear" w:color="auto" w:fill="auto"/>
          </w:tcPr>
          <w:p w14:paraId="6E33F19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612.5588207</w:t>
            </w:r>
          </w:p>
        </w:tc>
      </w:tr>
      <w:tr w:rsidR="00E940FD" w:rsidRPr="00D12E59" w14:paraId="6F71FF76" w14:textId="77777777" w:rsidTr="00E940FD">
        <w:tc>
          <w:tcPr>
            <w:tcW w:w="918" w:type="dxa"/>
            <w:tcBorders>
              <w:left w:val="nil"/>
              <w:right w:val="nil"/>
            </w:tcBorders>
            <w:shd w:val="clear" w:color="auto" w:fill="auto"/>
          </w:tcPr>
          <w:p w14:paraId="66DC8BDD"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2006</w:t>
            </w:r>
          </w:p>
        </w:tc>
        <w:tc>
          <w:tcPr>
            <w:tcW w:w="2912" w:type="dxa"/>
            <w:tcBorders>
              <w:left w:val="nil"/>
              <w:right w:val="nil"/>
            </w:tcBorders>
            <w:shd w:val="clear" w:color="auto" w:fill="auto"/>
          </w:tcPr>
          <w:p w14:paraId="35EE90D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612.5588207</w:t>
            </w:r>
          </w:p>
        </w:tc>
        <w:tc>
          <w:tcPr>
            <w:tcW w:w="1915" w:type="dxa"/>
            <w:tcBorders>
              <w:left w:val="nil"/>
              <w:right w:val="nil"/>
            </w:tcBorders>
            <w:shd w:val="clear" w:color="auto" w:fill="auto"/>
          </w:tcPr>
          <w:p w14:paraId="1C36CBF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-5.69</w:t>
            </w:r>
          </w:p>
        </w:tc>
        <w:tc>
          <w:tcPr>
            <w:tcW w:w="1915" w:type="dxa"/>
            <w:tcBorders>
              <w:left w:val="nil"/>
              <w:right w:val="nil"/>
            </w:tcBorders>
            <w:shd w:val="clear" w:color="auto" w:fill="auto"/>
          </w:tcPr>
          <w:p w14:paraId="7D3A957E"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-34.8546</w:t>
            </w:r>
          </w:p>
        </w:tc>
        <w:tc>
          <w:tcPr>
            <w:tcW w:w="1916" w:type="dxa"/>
            <w:tcBorders>
              <w:left w:val="nil"/>
              <w:right w:val="nil"/>
            </w:tcBorders>
            <w:shd w:val="clear" w:color="auto" w:fill="auto"/>
          </w:tcPr>
          <w:p w14:paraId="4B8604C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577.7042238</w:t>
            </w:r>
          </w:p>
        </w:tc>
      </w:tr>
      <w:tr w:rsidR="00E940FD" w:rsidRPr="00D12E59" w14:paraId="5C350ABE" w14:textId="77777777" w:rsidTr="00E940FD">
        <w:tc>
          <w:tcPr>
            <w:tcW w:w="918" w:type="dxa"/>
            <w:shd w:val="clear" w:color="auto" w:fill="auto"/>
          </w:tcPr>
          <w:p w14:paraId="0362426A"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2007</w:t>
            </w:r>
          </w:p>
        </w:tc>
        <w:tc>
          <w:tcPr>
            <w:tcW w:w="2912" w:type="dxa"/>
            <w:shd w:val="clear" w:color="auto" w:fill="auto"/>
          </w:tcPr>
          <w:p w14:paraId="6B9A896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577.7042238</w:t>
            </w:r>
          </w:p>
        </w:tc>
        <w:tc>
          <w:tcPr>
            <w:tcW w:w="1915" w:type="dxa"/>
            <w:shd w:val="clear" w:color="auto" w:fill="auto"/>
          </w:tcPr>
          <w:p w14:paraId="2295939A"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18.51</w:t>
            </w:r>
          </w:p>
        </w:tc>
        <w:tc>
          <w:tcPr>
            <w:tcW w:w="1915" w:type="dxa"/>
            <w:shd w:val="clear" w:color="auto" w:fill="auto"/>
          </w:tcPr>
          <w:p w14:paraId="5F4C3F8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106.93305</w:t>
            </w:r>
          </w:p>
        </w:tc>
        <w:tc>
          <w:tcPr>
            <w:tcW w:w="1916" w:type="dxa"/>
            <w:shd w:val="clear" w:color="auto" w:fill="auto"/>
          </w:tcPr>
          <w:p w14:paraId="0B2D196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684.6372756</w:t>
            </w:r>
          </w:p>
        </w:tc>
      </w:tr>
      <w:tr w:rsidR="00E940FD" w:rsidRPr="00D12E59" w14:paraId="11B9D033" w14:textId="77777777" w:rsidTr="00E940FD">
        <w:tc>
          <w:tcPr>
            <w:tcW w:w="918" w:type="dxa"/>
            <w:tcBorders>
              <w:left w:val="nil"/>
              <w:right w:val="nil"/>
            </w:tcBorders>
            <w:shd w:val="clear" w:color="auto" w:fill="auto"/>
          </w:tcPr>
          <w:p w14:paraId="79E9F1F0"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2008</w:t>
            </w:r>
          </w:p>
        </w:tc>
        <w:tc>
          <w:tcPr>
            <w:tcW w:w="2912" w:type="dxa"/>
            <w:tcBorders>
              <w:left w:val="nil"/>
              <w:right w:val="nil"/>
            </w:tcBorders>
            <w:shd w:val="clear" w:color="auto" w:fill="auto"/>
          </w:tcPr>
          <w:p w14:paraId="1EF3790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684.6372756</w:t>
            </w:r>
          </w:p>
        </w:tc>
        <w:tc>
          <w:tcPr>
            <w:tcW w:w="1915" w:type="dxa"/>
            <w:tcBorders>
              <w:left w:val="nil"/>
              <w:right w:val="nil"/>
            </w:tcBorders>
            <w:shd w:val="clear" w:color="auto" w:fill="auto"/>
          </w:tcPr>
          <w:p w14:paraId="7D75D5BB"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40.06</w:t>
            </w:r>
          </w:p>
        </w:tc>
        <w:tc>
          <w:tcPr>
            <w:tcW w:w="1915" w:type="dxa"/>
            <w:tcBorders>
              <w:left w:val="nil"/>
              <w:right w:val="nil"/>
            </w:tcBorders>
            <w:shd w:val="clear" w:color="auto" w:fill="auto"/>
          </w:tcPr>
          <w:p w14:paraId="2C9553E1"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274.26569</w:t>
            </w:r>
          </w:p>
        </w:tc>
        <w:tc>
          <w:tcPr>
            <w:tcW w:w="1916" w:type="dxa"/>
            <w:tcBorders>
              <w:left w:val="nil"/>
              <w:right w:val="nil"/>
            </w:tcBorders>
            <w:shd w:val="clear" w:color="auto" w:fill="auto"/>
          </w:tcPr>
          <w:p w14:paraId="77BFBCC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958.9029683</w:t>
            </w:r>
          </w:p>
        </w:tc>
      </w:tr>
      <w:tr w:rsidR="00E940FD" w:rsidRPr="00D12E59" w14:paraId="50DA5721" w14:textId="77777777" w:rsidTr="00E940FD">
        <w:tc>
          <w:tcPr>
            <w:tcW w:w="918" w:type="dxa"/>
            <w:shd w:val="clear" w:color="auto" w:fill="auto"/>
          </w:tcPr>
          <w:p w14:paraId="2074E71B"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2009</w:t>
            </w:r>
          </w:p>
        </w:tc>
        <w:tc>
          <w:tcPr>
            <w:tcW w:w="2912" w:type="dxa"/>
            <w:shd w:val="clear" w:color="auto" w:fill="auto"/>
          </w:tcPr>
          <w:p w14:paraId="3FD2C196"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958.9029683</w:t>
            </w:r>
          </w:p>
        </w:tc>
        <w:tc>
          <w:tcPr>
            <w:tcW w:w="1915" w:type="dxa"/>
            <w:shd w:val="clear" w:color="auto" w:fill="auto"/>
          </w:tcPr>
          <w:p w14:paraId="13597BF9"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-62.58</w:t>
            </w:r>
          </w:p>
        </w:tc>
        <w:tc>
          <w:tcPr>
            <w:tcW w:w="1915" w:type="dxa"/>
            <w:shd w:val="clear" w:color="auto" w:fill="auto"/>
          </w:tcPr>
          <w:p w14:paraId="6AF5C92F"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-600.0815</w:t>
            </w:r>
          </w:p>
        </w:tc>
        <w:tc>
          <w:tcPr>
            <w:tcW w:w="1916" w:type="dxa"/>
            <w:shd w:val="clear" w:color="auto" w:fill="auto"/>
          </w:tcPr>
          <w:p w14:paraId="72340615"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358.8214907</w:t>
            </w:r>
          </w:p>
        </w:tc>
      </w:tr>
      <w:tr w:rsidR="00E940FD" w:rsidRPr="00D12E59" w14:paraId="2EE291D3" w14:textId="77777777" w:rsidTr="00E940FD">
        <w:tc>
          <w:tcPr>
            <w:tcW w:w="918" w:type="dxa"/>
            <w:tcBorders>
              <w:left w:val="nil"/>
              <w:right w:val="nil"/>
            </w:tcBorders>
            <w:shd w:val="clear" w:color="auto" w:fill="auto"/>
          </w:tcPr>
          <w:p w14:paraId="634D5E6F" w14:textId="77777777" w:rsidR="00AC50E9" w:rsidRPr="00D12E59" w:rsidRDefault="00AC50E9" w:rsidP="0069035A">
            <w:pPr>
              <w:pStyle w:val="Default"/>
              <w:spacing w:after="0"/>
              <w:jc w:val="center"/>
              <w:rPr>
                <w:rFonts w:ascii="Book Antiqua" w:hAnsi="Book Antiqua"/>
                <w:b/>
                <w:bCs/>
                <w:sz w:val="22"/>
                <w:szCs w:val="22"/>
              </w:rPr>
            </w:pPr>
            <w:r w:rsidRPr="00D12E59">
              <w:rPr>
                <w:rFonts w:ascii="Book Antiqua" w:hAnsi="Book Antiqua"/>
                <w:b/>
                <w:bCs/>
                <w:sz w:val="22"/>
                <w:szCs w:val="22"/>
              </w:rPr>
              <w:t>2010</w:t>
            </w:r>
          </w:p>
        </w:tc>
        <w:tc>
          <w:tcPr>
            <w:tcW w:w="2912" w:type="dxa"/>
            <w:tcBorders>
              <w:left w:val="nil"/>
              <w:right w:val="nil"/>
            </w:tcBorders>
            <w:shd w:val="clear" w:color="auto" w:fill="auto"/>
          </w:tcPr>
          <w:p w14:paraId="2A2CB32C"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358.8214907</w:t>
            </w:r>
          </w:p>
        </w:tc>
        <w:tc>
          <w:tcPr>
            <w:tcW w:w="1915" w:type="dxa"/>
            <w:tcBorders>
              <w:left w:val="nil"/>
              <w:right w:val="nil"/>
            </w:tcBorders>
            <w:shd w:val="clear" w:color="auto" w:fill="auto"/>
          </w:tcPr>
          <w:p w14:paraId="0FE27993"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23.67</w:t>
            </w:r>
          </w:p>
        </w:tc>
        <w:tc>
          <w:tcPr>
            <w:tcW w:w="1915" w:type="dxa"/>
            <w:tcBorders>
              <w:left w:val="nil"/>
              <w:right w:val="nil"/>
            </w:tcBorders>
            <w:shd w:val="clear" w:color="auto" w:fill="auto"/>
          </w:tcPr>
          <w:p w14:paraId="7E5EC707"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84.933047</w:t>
            </w:r>
          </w:p>
        </w:tc>
        <w:tc>
          <w:tcPr>
            <w:tcW w:w="1916" w:type="dxa"/>
            <w:tcBorders>
              <w:left w:val="nil"/>
              <w:right w:val="nil"/>
            </w:tcBorders>
            <w:shd w:val="clear" w:color="auto" w:fill="auto"/>
          </w:tcPr>
          <w:p w14:paraId="15065474" w14:textId="77777777" w:rsidR="00AC50E9" w:rsidRPr="00D12E59" w:rsidRDefault="00AC50E9" w:rsidP="0069035A">
            <w:pPr>
              <w:pStyle w:val="Default"/>
              <w:spacing w:after="0"/>
              <w:jc w:val="center"/>
              <w:rPr>
                <w:rFonts w:ascii="Book Antiqua" w:hAnsi="Book Antiqua"/>
                <w:sz w:val="22"/>
                <w:szCs w:val="22"/>
              </w:rPr>
            </w:pPr>
            <w:r w:rsidRPr="00D12E59">
              <w:rPr>
                <w:rFonts w:ascii="Book Antiqua" w:hAnsi="Book Antiqua"/>
                <w:sz w:val="22"/>
                <w:szCs w:val="22"/>
              </w:rPr>
              <w:t>443.7545376</w:t>
            </w:r>
          </w:p>
        </w:tc>
      </w:tr>
    </w:tbl>
    <w:p w14:paraId="45012185" w14:textId="77777777" w:rsidR="0006162A" w:rsidRDefault="0006162A" w:rsidP="0069035A">
      <w:pPr>
        <w:spacing w:after="0"/>
        <w:rPr>
          <w:rFonts w:ascii="Book Antiqua" w:hAnsi="Book Antiqua"/>
        </w:rPr>
        <w:sectPr w:rsidR="0006162A" w:rsidSect="008F6BC9">
          <w:type w:val="continuous"/>
          <w:pgSz w:w="11907" w:h="16839" w:code="9"/>
          <w:pgMar w:top="1440" w:right="1440" w:bottom="1440" w:left="1440" w:header="720" w:footer="720" w:gutter="0"/>
          <w:cols w:space="720"/>
          <w:titlePg/>
          <w:docGrid w:linePitch="360"/>
        </w:sectPr>
      </w:pPr>
    </w:p>
    <w:p w14:paraId="576FCB4C" w14:textId="77777777" w:rsidR="00AC50E9" w:rsidRPr="00E3232D" w:rsidRDefault="00AC50E9" w:rsidP="008275E1">
      <w:pPr>
        <w:rPr>
          <w:rFonts w:ascii="Book Antiqua" w:hAnsi="Book Antiqua"/>
        </w:rPr>
      </w:pPr>
    </w:p>
    <w:p w14:paraId="76D71698" w14:textId="77777777" w:rsidR="00AC50E9" w:rsidRPr="00E3232D" w:rsidRDefault="00AC50E9" w:rsidP="008275E1">
      <w:pPr>
        <w:autoSpaceDE w:val="0"/>
        <w:autoSpaceDN w:val="0"/>
        <w:adjustRightInd w:val="0"/>
        <w:rPr>
          <w:rFonts w:ascii="Book Antiqua" w:hAnsi="Book Antiqua"/>
          <w:b/>
        </w:rPr>
      </w:pPr>
    </w:p>
    <w:p w14:paraId="348ACC51" w14:textId="77777777" w:rsidR="0080617A" w:rsidRPr="00E3232D" w:rsidRDefault="0080617A" w:rsidP="008275E1">
      <w:pPr>
        <w:autoSpaceDE w:val="0"/>
        <w:autoSpaceDN w:val="0"/>
        <w:adjustRightInd w:val="0"/>
        <w:rPr>
          <w:rFonts w:ascii="Book Antiqua" w:hAnsi="Book Antiqua"/>
          <w:b/>
        </w:rPr>
      </w:pPr>
    </w:p>
    <w:p w14:paraId="4BCD0615" w14:textId="77777777" w:rsidR="0080617A" w:rsidRPr="00E3232D" w:rsidRDefault="0080617A" w:rsidP="008275E1">
      <w:pPr>
        <w:autoSpaceDE w:val="0"/>
        <w:autoSpaceDN w:val="0"/>
        <w:adjustRightInd w:val="0"/>
        <w:rPr>
          <w:rFonts w:ascii="Book Antiqua" w:hAnsi="Book Antiqua"/>
          <w:b/>
        </w:rPr>
      </w:pPr>
    </w:p>
    <w:p w14:paraId="136F387C" w14:textId="77777777" w:rsidR="0080617A" w:rsidRPr="00E3232D" w:rsidRDefault="0080617A" w:rsidP="008275E1">
      <w:pPr>
        <w:autoSpaceDE w:val="0"/>
        <w:autoSpaceDN w:val="0"/>
        <w:adjustRightInd w:val="0"/>
        <w:rPr>
          <w:rFonts w:ascii="Book Antiqua" w:hAnsi="Book Antiqua"/>
          <w:b/>
        </w:rPr>
      </w:pPr>
    </w:p>
    <w:p w14:paraId="2CD6B342" w14:textId="77777777" w:rsidR="009D3F5A" w:rsidRPr="00E3232D" w:rsidRDefault="009D3F5A" w:rsidP="008275E1">
      <w:pPr>
        <w:pStyle w:val="Title"/>
        <w:spacing w:line="276" w:lineRule="auto"/>
        <w:rPr>
          <w:rFonts w:ascii="Book Antiqua" w:hAnsi="Book Antiqua"/>
          <w:sz w:val="22"/>
          <w:szCs w:val="22"/>
        </w:rPr>
        <w:sectPr w:rsidR="009D3F5A" w:rsidRPr="00E3232D" w:rsidSect="008F6BC9">
          <w:type w:val="continuous"/>
          <w:pgSz w:w="11907" w:h="16839" w:code="9"/>
          <w:pgMar w:top="1440" w:right="1440" w:bottom="1440" w:left="1440" w:header="720" w:footer="720" w:gutter="0"/>
          <w:cols w:space="720"/>
          <w:titlePg/>
          <w:docGrid w:linePitch="360"/>
        </w:sectPr>
      </w:pPr>
    </w:p>
    <w:p w14:paraId="43A7A605" w14:textId="77777777" w:rsidR="0069035A" w:rsidRDefault="0069035A" w:rsidP="0069035A"/>
    <w:p w14:paraId="1198ECC1" w14:textId="77777777" w:rsidR="0069035A" w:rsidRDefault="0069035A" w:rsidP="0069035A">
      <w:pPr>
        <w:rPr>
          <w:rFonts w:ascii="Book Antiqua" w:hAnsi="Book Antiqua"/>
          <w:b/>
          <w:sz w:val="26"/>
        </w:rPr>
      </w:pPr>
    </w:p>
    <w:p w14:paraId="32BF60E9" w14:textId="77777777" w:rsidR="0069035A" w:rsidRDefault="0069035A" w:rsidP="0069035A">
      <w:pPr>
        <w:jc w:val="center"/>
        <w:rPr>
          <w:rFonts w:ascii="Book Antiqua" w:hAnsi="Book Antiqua"/>
          <w:b/>
          <w:sz w:val="26"/>
        </w:rPr>
      </w:pPr>
    </w:p>
    <w:p w14:paraId="72F59858" w14:textId="77777777" w:rsidR="00397DD9" w:rsidRPr="0069035A" w:rsidRDefault="0069035A" w:rsidP="00470677">
      <w:pPr>
        <w:jc w:val="center"/>
        <w:rPr>
          <w:rFonts w:ascii="Book Antiqua" w:hAnsi="Book Antiqua"/>
          <w:b/>
          <w:sz w:val="26"/>
        </w:rPr>
      </w:pPr>
      <w:r w:rsidRPr="0069035A">
        <w:rPr>
          <w:rFonts w:ascii="Book Antiqua" w:hAnsi="Book Antiqua"/>
          <w:b/>
          <w:sz w:val="26"/>
        </w:rPr>
        <w:t>Lan</w:t>
      </w:r>
      <w:r>
        <w:rPr>
          <w:rFonts w:ascii="Book Antiqua" w:hAnsi="Book Antiqua"/>
          <w:b/>
          <w:sz w:val="26"/>
        </w:rPr>
        <w:t>d Acqu</w:t>
      </w:r>
      <w:r w:rsidRPr="0069035A">
        <w:rPr>
          <w:rFonts w:ascii="Book Antiqua" w:hAnsi="Book Antiqua"/>
          <w:b/>
          <w:sz w:val="26"/>
        </w:rPr>
        <w:t>isit</w:t>
      </w:r>
      <w:r>
        <w:rPr>
          <w:rFonts w:ascii="Book Antiqua" w:hAnsi="Book Antiqua"/>
          <w:b/>
          <w:sz w:val="26"/>
        </w:rPr>
        <w:t>i</w:t>
      </w:r>
      <w:r w:rsidRPr="0069035A">
        <w:rPr>
          <w:rFonts w:ascii="Book Antiqua" w:hAnsi="Book Antiqua"/>
          <w:b/>
          <w:sz w:val="26"/>
        </w:rPr>
        <w:t xml:space="preserve">on Chalelenges </w:t>
      </w:r>
      <w:r>
        <w:rPr>
          <w:rFonts w:ascii="Book Antiqua" w:hAnsi="Book Antiqua"/>
          <w:b/>
          <w:sz w:val="26"/>
        </w:rPr>
        <w:t>for Urban Housing Development i</w:t>
      </w:r>
      <w:r w:rsidRPr="0069035A">
        <w:rPr>
          <w:rFonts w:ascii="Book Antiqua" w:hAnsi="Book Antiqua"/>
          <w:b/>
          <w:sz w:val="26"/>
        </w:rPr>
        <w:t>n Ghana</w:t>
      </w:r>
    </w:p>
    <w:p w14:paraId="52E24FAB" w14:textId="77777777" w:rsidR="00C15FC7" w:rsidRPr="00E26E3F" w:rsidRDefault="00DA6B02" w:rsidP="00D932E0">
      <w:pPr>
        <w:pStyle w:val="Authors"/>
        <w:spacing w:before="0" w:after="0"/>
        <w:rPr>
          <w:rFonts w:ascii="Book Antiqua" w:hAnsi="Book Antiqua"/>
          <w:sz w:val="26"/>
          <w:szCs w:val="22"/>
          <w:vertAlign w:val="superscript"/>
          <w:lang w:val="en-GB"/>
        </w:rPr>
      </w:pPr>
      <w:r w:rsidRPr="00E26E3F">
        <w:rPr>
          <w:rFonts w:ascii="Book Antiqua" w:hAnsi="Book Antiqua"/>
          <w:sz w:val="26"/>
          <w:szCs w:val="22"/>
          <w:vertAlign w:val="superscript"/>
          <w:lang w:val="en-GB"/>
        </w:rPr>
        <w:t>1</w:t>
      </w:r>
      <w:r w:rsidR="00C15FC7" w:rsidRPr="00E26E3F">
        <w:rPr>
          <w:rFonts w:ascii="Book Antiqua" w:hAnsi="Book Antiqua"/>
          <w:sz w:val="26"/>
          <w:szCs w:val="22"/>
          <w:lang w:val="en-GB"/>
        </w:rPr>
        <w:t>Morgan</w:t>
      </w:r>
      <w:r w:rsidRPr="00E26E3F">
        <w:rPr>
          <w:rFonts w:ascii="Book Antiqua" w:hAnsi="Book Antiqua"/>
          <w:sz w:val="26"/>
          <w:szCs w:val="22"/>
          <w:lang w:val="en-GB"/>
        </w:rPr>
        <w:t xml:space="preserve"> J</w:t>
      </w:r>
      <w:r w:rsidR="00C15FC7" w:rsidRPr="00E26E3F">
        <w:rPr>
          <w:rFonts w:ascii="Book Antiqua" w:hAnsi="Book Antiqua"/>
          <w:sz w:val="26"/>
          <w:szCs w:val="22"/>
        </w:rPr>
        <w:t xml:space="preserve">, </w:t>
      </w:r>
      <w:r w:rsidR="00C15FC7" w:rsidRPr="00E26E3F">
        <w:rPr>
          <w:rFonts w:ascii="Book Antiqua" w:hAnsi="Book Antiqua"/>
          <w:sz w:val="26"/>
          <w:szCs w:val="22"/>
          <w:lang w:val="en-GB"/>
        </w:rPr>
        <w:t>Kwofie</w:t>
      </w:r>
      <w:r w:rsidRPr="00E26E3F">
        <w:rPr>
          <w:rFonts w:ascii="Book Antiqua" w:hAnsi="Book Antiqua"/>
          <w:sz w:val="26"/>
          <w:szCs w:val="22"/>
          <w:lang w:val="en-GB"/>
        </w:rPr>
        <w:t xml:space="preserve"> E.T.</w:t>
      </w:r>
      <w:r w:rsidR="00C15FC7" w:rsidRPr="00E26E3F">
        <w:rPr>
          <w:rFonts w:ascii="Book Antiqua" w:hAnsi="Book Antiqua"/>
          <w:sz w:val="26"/>
          <w:szCs w:val="22"/>
          <w:vertAlign w:val="superscript"/>
          <w:lang w:val="en-GB"/>
        </w:rPr>
        <w:t>2</w:t>
      </w:r>
      <w:r w:rsidR="00C15FC7" w:rsidRPr="00E26E3F">
        <w:rPr>
          <w:rFonts w:ascii="Book Antiqua" w:hAnsi="Book Antiqua"/>
          <w:sz w:val="26"/>
          <w:szCs w:val="22"/>
          <w:vertAlign w:val="superscript"/>
        </w:rPr>
        <w:t xml:space="preserve"> </w:t>
      </w:r>
      <w:r w:rsidR="00D932E0" w:rsidRPr="00E26E3F">
        <w:rPr>
          <w:rFonts w:ascii="Book Antiqua" w:hAnsi="Book Antiqua"/>
          <w:sz w:val="26"/>
          <w:szCs w:val="22"/>
        </w:rPr>
        <w:t>&amp;</w:t>
      </w:r>
      <w:r w:rsidRPr="00E26E3F">
        <w:rPr>
          <w:rFonts w:ascii="Book Antiqua" w:hAnsi="Book Antiqua"/>
          <w:sz w:val="26"/>
          <w:szCs w:val="22"/>
        </w:rPr>
        <w:t xml:space="preserve"> </w:t>
      </w:r>
      <w:r w:rsidRPr="00E26E3F">
        <w:rPr>
          <w:rFonts w:ascii="Book Antiqua" w:hAnsi="Book Antiqua"/>
          <w:sz w:val="26"/>
          <w:szCs w:val="22"/>
          <w:lang w:val="en-GB"/>
        </w:rPr>
        <w:t>Afranie</w:t>
      </w:r>
      <w:r w:rsidR="00C15FC7" w:rsidRPr="00E26E3F">
        <w:rPr>
          <w:rFonts w:ascii="Book Antiqua" w:hAnsi="Book Antiqua"/>
          <w:sz w:val="26"/>
          <w:szCs w:val="22"/>
        </w:rPr>
        <w:t xml:space="preserve"> </w:t>
      </w:r>
      <w:r w:rsidRPr="00E26E3F">
        <w:rPr>
          <w:rFonts w:ascii="Book Antiqua" w:hAnsi="Book Antiqua"/>
          <w:sz w:val="26"/>
          <w:szCs w:val="22"/>
          <w:lang w:val="en-GB"/>
        </w:rPr>
        <w:t>I.</w:t>
      </w:r>
      <w:r w:rsidR="00C15FC7" w:rsidRPr="00E26E3F">
        <w:rPr>
          <w:rFonts w:ascii="Book Antiqua" w:hAnsi="Book Antiqua"/>
          <w:sz w:val="26"/>
          <w:szCs w:val="22"/>
          <w:lang w:val="en-GB"/>
        </w:rPr>
        <w:t xml:space="preserve"> </w:t>
      </w:r>
      <w:r w:rsidR="00C15FC7" w:rsidRPr="00E26E3F">
        <w:rPr>
          <w:rFonts w:ascii="Book Antiqua" w:hAnsi="Book Antiqua"/>
          <w:sz w:val="26"/>
          <w:szCs w:val="22"/>
          <w:vertAlign w:val="superscript"/>
          <w:lang w:val="en-GB"/>
        </w:rPr>
        <w:t>3</w:t>
      </w:r>
    </w:p>
    <w:p w14:paraId="4F173BF2" w14:textId="77777777" w:rsidR="00C15FC7" w:rsidRPr="00E3232D" w:rsidRDefault="00072E23" w:rsidP="00072E23">
      <w:pPr>
        <w:pStyle w:val="FootnoteText"/>
        <w:jc w:val="center"/>
        <w:rPr>
          <w:rFonts w:ascii="Book Antiqua" w:hAnsi="Book Antiqua"/>
          <w:sz w:val="22"/>
          <w:szCs w:val="22"/>
        </w:rPr>
      </w:pPr>
      <w:r>
        <w:rPr>
          <w:rFonts w:ascii="Book Antiqua" w:hAnsi="Book Antiqua"/>
          <w:sz w:val="22"/>
          <w:szCs w:val="22"/>
          <w:vertAlign w:val="superscript"/>
        </w:rPr>
        <w:t>1</w:t>
      </w:r>
      <w:r w:rsidR="00C15FC7" w:rsidRPr="00E3232D">
        <w:rPr>
          <w:rFonts w:ascii="Book Antiqua" w:hAnsi="Book Antiqua"/>
          <w:sz w:val="22"/>
          <w:szCs w:val="22"/>
        </w:rPr>
        <w:t>Institute for Housing, Urban and Real Estate Research, School of the Built Environment, Heriot-Watt University, Edinburgh, UK</w:t>
      </w:r>
    </w:p>
    <w:p w14:paraId="4963912C" w14:textId="77777777" w:rsidR="00C15FC7" w:rsidRPr="00E3232D" w:rsidRDefault="00072E23" w:rsidP="00072E23">
      <w:pPr>
        <w:pStyle w:val="FootnoteText"/>
        <w:jc w:val="center"/>
        <w:rPr>
          <w:rFonts w:ascii="Book Antiqua" w:hAnsi="Book Antiqua"/>
          <w:sz w:val="22"/>
          <w:szCs w:val="22"/>
        </w:rPr>
      </w:pPr>
      <w:r>
        <w:rPr>
          <w:rFonts w:ascii="Book Antiqua" w:hAnsi="Book Antiqua"/>
          <w:sz w:val="22"/>
          <w:szCs w:val="22"/>
          <w:vertAlign w:val="superscript"/>
        </w:rPr>
        <w:t>2</w:t>
      </w:r>
      <w:r w:rsidR="00C15FC7" w:rsidRPr="00E3232D">
        <w:rPr>
          <w:rFonts w:ascii="Book Antiqua" w:hAnsi="Book Antiqua"/>
          <w:sz w:val="22"/>
          <w:szCs w:val="22"/>
        </w:rPr>
        <w:t>Department of Architecture, Kwame Nkrumah University of Science and Technology-Kumasi, Ghana</w:t>
      </w:r>
    </w:p>
    <w:p w14:paraId="0BC53229" w14:textId="77777777" w:rsidR="00C15FC7" w:rsidRPr="00072E23" w:rsidRDefault="00072E23" w:rsidP="00072E23">
      <w:pPr>
        <w:pStyle w:val="Authors"/>
        <w:rPr>
          <w:rFonts w:ascii="Book Antiqua" w:hAnsi="Book Antiqua"/>
          <w:b w:val="0"/>
          <w:sz w:val="22"/>
          <w:szCs w:val="22"/>
        </w:rPr>
      </w:pPr>
      <w:r w:rsidRPr="00072E23">
        <w:rPr>
          <w:rFonts w:ascii="Book Antiqua" w:hAnsi="Book Antiqua"/>
          <w:b w:val="0"/>
          <w:sz w:val="22"/>
          <w:szCs w:val="22"/>
          <w:vertAlign w:val="superscript"/>
        </w:rPr>
        <w:t>3</w:t>
      </w:r>
      <w:r w:rsidR="00C15FC7" w:rsidRPr="00072E23">
        <w:rPr>
          <w:rFonts w:ascii="Book Antiqua" w:hAnsi="Book Antiqua"/>
          <w:b w:val="0"/>
          <w:sz w:val="22"/>
          <w:szCs w:val="22"/>
        </w:rPr>
        <w:t>Head of Estate Department, Koforidua Polytechnic, Ghana</w:t>
      </w:r>
    </w:p>
    <w:p w14:paraId="2721F4F6" w14:textId="77777777" w:rsidR="00C15FC7" w:rsidRDefault="00072E23" w:rsidP="00072E23">
      <w:pPr>
        <w:pStyle w:val="Authors"/>
        <w:rPr>
          <w:rFonts w:ascii="Book Antiqua" w:hAnsi="Book Antiqua"/>
          <w:b w:val="0"/>
          <w:sz w:val="22"/>
          <w:szCs w:val="22"/>
        </w:rPr>
      </w:pPr>
      <w:r w:rsidRPr="00805729">
        <w:rPr>
          <w:rFonts w:ascii="Book Antiqua" w:hAnsi="Book Antiqua"/>
          <w:sz w:val="22"/>
          <w:szCs w:val="22"/>
        </w:rPr>
        <w:t>E-mail:</w:t>
      </w:r>
      <w:r w:rsidRPr="00072E23">
        <w:rPr>
          <w:rFonts w:ascii="Book Antiqua" w:hAnsi="Book Antiqua"/>
          <w:b w:val="0"/>
          <w:sz w:val="22"/>
          <w:szCs w:val="22"/>
        </w:rPr>
        <w:t xml:space="preserve"> </w:t>
      </w:r>
      <w:hyperlink r:id="rId291" w:history="1">
        <w:r w:rsidR="008D4428" w:rsidRPr="002D386A">
          <w:rPr>
            <w:rStyle w:val="Hyperlink"/>
            <w:rFonts w:ascii="Book Antiqua" w:hAnsi="Book Antiqua"/>
            <w:b w:val="0"/>
            <w:sz w:val="22"/>
            <w:szCs w:val="22"/>
          </w:rPr>
          <w:t>afranieisaac@yahoo.com</w:t>
        </w:r>
      </w:hyperlink>
    </w:p>
    <w:p w14:paraId="5CBF3F55" w14:textId="77777777" w:rsidR="008D4428" w:rsidRPr="00072E23" w:rsidRDefault="008D4428" w:rsidP="00072E23">
      <w:pPr>
        <w:pStyle w:val="Authors"/>
        <w:rPr>
          <w:rFonts w:ascii="Book Antiqua" w:hAnsi="Book Antiqua"/>
          <w:b w:val="0"/>
          <w:sz w:val="22"/>
          <w:szCs w:val="22"/>
        </w:rPr>
      </w:pPr>
    </w:p>
    <w:p w14:paraId="2FED8209" w14:textId="77777777" w:rsidR="00C15FC7" w:rsidRPr="00E3232D" w:rsidRDefault="00C15FC7" w:rsidP="008D4428">
      <w:pPr>
        <w:pStyle w:val="Authors"/>
        <w:jc w:val="left"/>
      </w:pPr>
      <w:r w:rsidRPr="005E6810">
        <w:rPr>
          <w:sz w:val="26"/>
        </w:rPr>
        <w:t>Abstract</w:t>
      </w:r>
      <w:r w:rsidRPr="00E3232D">
        <w:t xml:space="preserve"> </w:t>
      </w:r>
    </w:p>
    <w:p w14:paraId="45A26B29" w14:textId="77777777" w:rsidR="00C15FC7" w:rsidRPr="00E3232D" w:rsidRDefault="00C15FC7" w:rsidP="005E6810">
      <w:pPr>
        <w:jc w:val="both"/>
        <w:rPr>
          <w:rFonts w:ascii="Book Antiqua" w:hAnsi="Book Antiqua"/>
        </w:rPr>
      </w:pPr>
      <w:r w:rsidRPr="00E3232D">
        <w:rPr>
          <w:rFonts w:ascii="Book Antiqua" w:hAnsi="Book Antiqua"/>
        </w:rPr>
        <w:t>Housing is one of the basic necessities for human existence. According to the United Nations Universal Declaration of Human Rights (1948), housing is a right to adequate standard of living. However, its supply is inadequate and bedevilled with numerous challenges, especially in the developing countries. In Ghana, access to land, access to finance and cost of housing delivery are some of the noted challenges facing urban housing supply and as a result denies the populace rights of adequate living. This study therefore aims to assess various challenges facing private individuals in their efforts to acquire land for urban housing delivery in Koforidua municipality, Ghana. Through the questionnaire survey, the study revealed a number of critical challenges confronting land acquisition for urban housing in Koforidua, which include delay in getting full ownership of land, documentation problems, issues on types of land acquired, means of getting land, official search difficulties and non-involvement of professionals. The results reflect the highly undeveloped and informal nature of the property market in Ghana which calls for urgent action and policy framework for the sector.</w:t>
      </w:r>
    </w:p>
    <w:p w14:paraId="02F5E036" w14:textId="77777777" w:rsidR="00C15FC7" w:rsidRPr="00E3232D" w:rsidRDefault="00C15FC7" w:rsidP="008275E1">
      <w:pPr>
        <w:rPr>
          <w:rFonts w:ascii="Book Antiqua" w:hAnsi="Book Antiqua"/>
        </w:rPr>
      </w:pPr>
      <w:r w:rsidRPr="005E6810">
        <w:rPr>
          <w:rFonts w:ascii="Book Antiqua" w:hAnsi="Book Antiqua"/>
          <w:b/>
        </w:rPr>
        <w:t>Keywords</w:t>
      </w:r>
      <w:r w:rsidRPr="00E3232D">
        <w:rPr>
          <w:rFonts w:ascii="Book Antiqua" w:hAnsi="Book Antiqua"/>
        </w:rPr>
        <w:t xml:space="preserve">: </w:t>
      </w:r>
      <w:r w:rsidR="005E6810" w:rsidRPr="005E6810">
        <w:rPr>
          <w:rFonts w:ascii="Book Antiqua" w:hAnsi="Book Antiqua"/>
        </w:rPr>
        <w:t xml:space="preserve">Challenges; Ghana; </w:t>
      </w:r>
      <w:r w:rsidRPr="005E6810">
        <w:rPr>
          <w:rFonts w:ascii="Book Antiqua" w:hAnsi="Book Antiqua"/>
        </w:rPr>
        <w:t>Koforidua</w:t>
      </w:r>
      <w:r w:rsidR="005E6810" w:rsidRPr="005E6810">
        <w:rPr>
          <w:rFonts w:ascii="Book Antiqua" w:hAnsi="Book Antiqua"/>
        </w:rPr>
        <w:t>;</w:t>
      </w:r>
      <w:r w:rsidRPr="005E6810">
        <w:rPr>
          <w:rFonts w:ascii="Book Antiqua" w:hAnsi="Book Antiqua"/>
        </w:rPr>
        <w:t xml:space="preserve"> Land Acquisition</w:t>
      </w:r>
      <w:r w:rsidR="005E6810" w:rsidRPr="005E6810">
        <w:rPr>
          <w:rFonts w:ascii="Book Antiqua" w:hAnsi="Book Antiqua"/>
        </w:rPr>
        <w:t>;</w:t>
      </w:r>
      <w:r w:rsidRPr="005E6810">
        <w:rPr>
          <w:rFonts w:ascii="Book Antiqua" w:hAnsi="Book Antiqua"/>
        </w:rPr>
        <w:t xml:space="preserve"> Urban Housing</w:t>
      </w:r>
    </w:p>
    <w:p w14:paraId="2DA722B4" w14:textId="77777777" w:rsidR="009D3F5A" w:rsidRPr="00E3232D" w:rsidRDefault="009D3F5A" w:rsidP="008275E1">
      <w:pPr>
        <w:rPr>
          <w:rFonts w:ascii="Book Antiqua" w:hAnsi="Book Antiqua"/>
        </w:rPr>
        <w:sectPr w:rsidR="009D3F5A" w:rsidRPr="00E3232D" w:rsidSect="008F6BC9">
          <w:type w:val="continuous"/>
          <w:pgSz w:w="11907" w:h="16839" w:code="9"/>
          <w:pgMar w:top="1440" w:right="1440" w:bottom="1440" w:left="1440" w:header="720" w:footer="720" w:gutter="0"/>
          <w:cols w:space="720"/>
          <w:titlePg/>
          <w:docGrid w:linePitch="360"/>
        </w:sectPr>
      </w:pPr>
    </w:p>
    <w:p w14:paraId="7FEB17E0" w14:textId="77777777" w:rsidR="00C15FC7" w:rsidRPr="00E3232D" w:rsidRDefault="00C15FC7" w:rsidP="008275E1">
      <w:pPr>
        <w:rPr>
          <w:rFonts w:ascii="Book Antiqua" w:hAnsi="Book Antiqua"/>
        </w:rPr>
      </w:pPr>
    </w:p>
    <w:p w14:paraId="78FFDDF7" w14:textId="77777777" w:rsidR="00A9249D" w:rsidRPr="00E26E3F" w:rsidRDefault="005E6810" w:rsidP="00196385">
      <w:pPr>
        <w:pStyle w:val="ListParagraph"/>
        <w:numPr>
          <w:ilvl w:val="0"/>
          <w:numId w:val="179"/>
        </w:numPr>
        <w:spacing w:before="120" w:after="120"/>
        <w:jc w:val="both"/>
        <w:rPr>
          <w:rFonts w:ascii="Book Antiqua" w:hAnsi="Book Antiqua"/>
          <w:b/>
        </w:rPr>
      </w:pPr>
      <w:r w:rsidRPr="00E26E3F">
        <w:rPr>
          <w:rFonts w:ascii="Book Antiqua" w:hAnsi="Book Antiqua"/>
          <w:b/>
          <w:sz w:val="26"/>
        </w:rPr>
        <w:t>Introduction</w:t>
      </w:r>
      <w:r w:rsidRPr="00E26E3F">
        <w:rPr>
          <w:rFonts w:ascii="Book Antiqua" w:hAnsi="Book Antiqua"/>
          <w:b/>
        </w:rPr>
        <w:t xml:space="preserve"> </w:t>
      </w:r>
    </w:p>
    <w:p w14:paraId="0AF334A9" w14:textId="77777777" w:rsidR="005E6810" w:rsidRDefault="00A9249D" w:rsidP="005E6810">
      <w:pPr>
        <w:jc w:val="both"/>
        <w:rPr>
          <w:rFonts w:ascii="Book Antiqua" w:hAnsi="Book Antiqua"/>
          <w:i/>
        </w:rPr>
      </w:pPr>
      <w:r w:rsidRPr="00E3232D">
        <w:rPr>
          <w:rFonts w:ascii="Book Antiqua" w:hAnsi="Book Antiqua"/>
        </w:rPr>
        <w:t>Housing is one of the basic necessities for human existence and as such, it is considered as a very important issue of everyday life. The work of Barker et. al (2009, p. 1) presents the 1948 United Nations’ Universal Declaration of  Human Rights which states that  “</w:t>
      </w:r>
      <w:r w:rsidRPr="00E3232D">
        <w:rPr>
          <w:rFonts w:ascii="Book Antiqua" w:hAnsi="Book Antiqua"/>
          <w:i/>
        </w:rPr>
        <w:t xml:space="preserve">everyone has the right to a standard of living adequate for the </w:t>
      </w:r>
    </w:p>
    <w:p w14:paraId="2F37E879" w14:textId="77777777" w:rsidR="005E6810" w:rsidRDefault="005E6810" w:rsidP="005E6810">
      <w:pPr>
        <w:jc w:val="both"/>
        <w:rPr>
          <w:rFonts w:ascii="Book Antiqua" w:hAnsi="Book Antiqua"/>
          <w:i/>
        </w:rPr>
      </w:pPr>
    </w:p>
    <w:p w14:paraId="0EDE42D3" w14:textId="77777777" w:rsidR="005E6810" w:rsidRDefault="005E6810" w:rsidP="005E6810">
      <w:pPr>
        <w:jc w:val="both"/>
        <w:rPr>
          <w:rFonts w:ascii="Book Antiqua" w:hAnsi="Book Antiqua"/>
          <w:i/>
        </w:rPr>
      </w:pPr>
    </w:p>
    <w:p w14:paraId="7FB65C75" w14:textId="77777777" w:rsidR="00397DD9" w:rsidRPr="005E6810" w:rsidRDefault="00A9249D" w:rsidP="005E6810">
      <w:pPr>
        <w:jc w:val="both"/>
        <w:rPr>
          <w:rFonts w:ascii="Book Antiqua" w:hAnsi="Book Antiqua"/>
          <w:i/>
        </w:rPr>
      </w:pPr>
      <w:r w:rsidRPr="00E3232D">
        <w:rPr>
          <w:rFonts w:ascii="Book Antiqua" w:hAnsi="Book Antiqua"/>
          <w:i/>
        </w:rPr>
        <w:t>health, and well-being of himself and of his family including food, clothing, housing and medical care and necessary social services...”</w:t>
      </w:r>
      <w:r w:rsidRPr="00E3232D">
        <w:rPr>
          <w:rFonts w:ascii="Book Antiqua" w:hAnsi="Book Antiqua"/>
        </w:rPr>
        <w:t>. This presupposes that discussions on housing have human right connotations which transcend across the universal arena and hence, receive attention from the United Nations.</w:t>
      </w:r>
    </w:p>
    <w:p w14:paraId="12060378" w14:textId="77777777" w:rsidR="00FD447E" w:rsidRDefault="00A9249D" w:rsidP="005E6810">
      <w:pPr>
        <w:jc w:val="both"/>
        <w:rPr>
          <w:rFonts w:ascii="Book Antiqua" w:hAnsi="Book Antiqua"/>
        </w:rPr>
      </w:pPr>
      <w:r w:rsidRPr="00E3232D">
        <w:rPr>
          <w:rFonts w:ascii="Book Antiqua" w:hAnsi="Book Antiqua"/>
        </w:rPr>
        <w:t xml:space="preserve">The importance of housing cannot be over-emphasised as it has, amongst others, key social, economic, political, and cultural benefits to human living. It is adopted as one of the key indicators of a person’s standard of living and status in a particular society (Ademiluyi, 2010). However, Konadu-Agyemang (2001) states that the supply of housing remains one of the major challenges facing developing countries, especially in urban areas.  </w:t>
      </w:r>
    </w:p>
    <w:p w14:paraId="0BBFDBF4" w14:textId="77777777" w:rsidR="00A9249D" w:rsidRPr="00E3232D" w:rsidRDefault="00A9249D" w:rsidP="005E6810">
      <w:pPr>
        <w:jc w:val="both"/>
        <w:rPr>
          <w:rFonts w:ascii="Book Antiqua" w:hAnsi="Book Antiqua"/>
        </w:rPr>
      </w:pPr>
      <w:r w:rsidRPr="00E3232D">
        <w:rPr>
          <w:rFonts w:ascii="Book Antiqua" w:hAnsi="Book Antiqua"/>
        </w:rPr>
        <w:t xml:space="preserve">Ghana faces an acute housing shortage with a housing supply deficit of over one million units which has been attributed to rapid population growth as well as rising urban population (GoG, 2011). However, Ghana’s urban growth has not had the required corresponding physical development especially in the housing supply. The supply of adequate urban housing units in Ghana to meet the growing needs of the populace over the years continues to be a major problem confronting Ghanaian society. The reported annual supply of housing in Ghana has always been far below the national requirement. According to Amoa-Mensah (2008) Ghana’s housing supply is reported to be around 37,000 units per annum which is dominated by the private sector as against an annual requirement of 199,000 units. The government’s contribution to the national housing delivery in the recent times has virtually been non-existent.  </w:t>
      </w:r>
    </w:p>
    <w:p w14:paraId="5A65CC72" w14:textId="77777777" w:rsidR="00FD447E" w:rsidRDefault="00A9249D" w:rsidP="005E6810">
      <w:pPr>
        <w:jc w:val="both"/>
        <w:rPr>
          <w:rFonts w:ascii="Book Antiqua" w:hAnsi="Book Antiqua"/>
        </w:rPr>
      </w:pPr>
      <w:r w:rsidRPr="00E3232D">
        <w:rPr>
          <w:rFonts w:ascii="Book Antiqua" w:hAnsi="Book Antiqua"/>
        </w:rPr>
        <w:t xml:space="preserve">In Ghana, the private sector is the dominant contributor to urban housing. In Bank of Ghana (BoG) (2007), about 90 percent of the national housing supply is contributed by the private sector. Out of this figure, between 70 to 80 percent is delivered by the private individuals whose operations are largely informal, while the remaining figure is assigned to private real Estate developers and Non-Governmental Organizations. This indicates that contributions by the private individuals to Ghana’s housing delivery cannot be overlooked. </w:t>
      </w:r>
    </w:p>
    <w:p w14:paraId="0E612315" w14:textId="77777777" w:rsidR="00A9249D" w:rsidRPr="00E3232D" w:rsidRDefault="00A9249D" w:rsidP="005E6810">
      <w:pPr>
        <w:jc w:val="both"/>
        <w:rPr>
          <w:rFonts w:ascii="Book Antiqua" w:hAnsi="Book Antiqua"/>
          <w:color w:val="000000"/>
        </w:rPr>
      </w:pPr>
      <w:r w:rsidRPr="00E3232D">
        <w:rPr>
          <w:rFonts w:ascii="Book Antiqua" w:hAnsi="Book Antiqua"/>
        </w:rPr>
        <w:t xml:space="preserve">The efforts of private individuals in housing supply are heavily challenged by many factors. Several studies have been conducted in assessing the challenges facing urban housing delivery in Ghana and these have concentrated mainly on the property markets, housing finance, land administration and housing labour. The exact impact of land acquisition for housing in the urban centres needs to be interrogated further to reveal the inherent causes and effects on housing provision in the urban Ghanaian society. </w:t>
      </w:r>
      <w:r w:rsidRPr="00E3232D">
        <w:rPr>
          <w:rFonts w:ascii="Book Antiqua" w:hAnsi="Book Antiqua"/>
          <w:color w:val="000000"/>
        </w:rPr>
        <w:t>This paper looks at the land acquisition challenges faced by the private individuals in Ghana in their efforts to acquire land for housing development in urban centres. Koforidua, one of the regional capitals in Ghana was chosen as a study area to review different land tenure systems available for urban housing with their attendant inherent challenges.. The paper explores those challenges which private individual house builders encounter specifically in</w:t>
      </w:r>
      <w:r w:rsidR="005E6810">
        <w:rPr>
          <w:rFonts w:ascii="Book Antiqua" w:hAnsi="Book Antiqua"/>
          <w:color w:val="000000"/>
        </w:rPr>
        <w:t xml:space="preserve"> Koforidua.</w:t>
      </w:r>
    </w:p>
    <w:p w14:paraId="3F8BA529" w14:textId="77777777" w:rsidR="00A9249D" w:rsidRPr="00E3232D" w:rsidRDefault="00A9249D" w:rsidP="005E6810">
      <w:pPr>
        <w:jc w:val="both"/>
        <w:rPr>
          <w:rFonts w:ascii="Book Antiqua" w:hAnsi="Book Antiqua"/>
          <w:color w:val="000000"/>
        </w:rPr>
      </w:pPr>
    </w:p>
    <w:p w14:paraId="6B4BE923" w14:textId="77777777" w:rsidR="00A9249D" w:rsidRPr="005E6810" w:rsidRDefault="005E6810" w:rsidP="00196385">
      <w:pPr>
        <w:numPr>
          <w:ilvl w:val="0"/>
          <w:numId w:val="97"/>
        </w:numPr>
        <w:spacing w:before="120" w:after="120"/>
        <w:jc w:val="both"/>
        <w:rPr>
          <w:rFonts w:ascii="Book Antiqua" w:hAnsi="Book Antiqua"/>
          <w:b/>
          <w:sz w:val="26"/>
        </w:rPr>
      </w:pPr>
      <w:r w:rsidRPr="005E6810">
        <w:rPr>
          <w:rFonts w:ascii="Book Antiqua" w:hAnsi="Book Antiqua"/>
          <w:b/>
          <w:sz w:val="26"/>
        </w:rPr>
        <w:t xml:space="preserve">Literature Review </w:t>
      </w:r>
    </w:p>
    <w:p w14:paraId="5A3BDC59" w14:textId="77777777" w:rsidR="00A9249D" w:rsidRPr="00E3232D" w:rsidRDefault="00A9249D" w:rsidP="005E6810">
      <w:pPr>
        <w:jc w:val="both"/>
        <w:rPr>
          <w:rFonts w:ascii="Book Antiqua" w:hAnsi="Book Antiqua"/>
          <w:b/>
        </w:rPr>
      </w:pPr>
      <w:r w:rsidRPr="00E3232D">
        <w:rPr>
          <w:rFonts w:ascii="Book Antiqua" w:hAnsi="Book Antiqua"/>
          <w:b/>
        </w:rPr>
        <w:t xml:space="preserve">2.1 Urbanization and Ghana’s Housing Supply Situation. </w:t>
      </w:r>
    </w:p>
    <w:p w14:paraId="45812D41" w14:textId="77777777" w:rsidR="008D4428" w:rsidRDefault="00A9249D" w:rsidP="005E6810">
      <w:pPr>
        <w:jc w:val="both"/>
        <w:rPr>
          <w:rFonts w:ascii="Book Antiqua" w:hAnsi="Book Antiqua"/>
        </w:rPr>
      </w:pPr>
      <w:r w:rsidRPr="00E3232D">
        <w:rPr>
          <w:rFonts w:ascii="Book Antiqua" w:hAnsi="Book Antiqua"/>
        </w:rPr>
        <w:t xml:space="preserve">The provision of adequate housing to meet the diverse needs of the population and its growth in any country according to Kwofie (2012) remains a very critical challenge to ensuring full socio-economic stability that promotes national development. The housing situation has been a daunting issue not only in its under supply but this situation is also being aggravated by the rapidly increasing urban population globally. The worse affected countries are in developing and Sub-Saharan Africa (Owusu, 2010).  This is further confirmed by Werna (1999) who declares that a full supply of proper decent affordable housing for the low-income people of the population of many countries is still an unresolved issue in many notable cities throughout the world. </w:t>
      </w:r>
    </w:p>
    <w:p w14:paraId="07B1F82C" w14:textId="77777777" w:rsidR="00A9249D" w:rsidRPr="00E3232D" w:rsidRDefault="00A9249D" w:rsidP="005E6810">
      <w:pPr>
        <w:jc w:val="both"/>
        <w:rPr>
          <w:rFonts w:ascii="Book Antiqua" w:hAnsi="Book Antiqua"/>
        </w:rPr>
      </w:pPr>
      <w:r w:rsidRPr="00E3232D">
        <w:rPr>
          <w:rFonts w:ascii="Book Antiqua" w:hAnsi="Book Antiqua"/>
        </w:rPr>
        <w:t xml:space="preserve">The United Nations (2012) reports that more than half of the world population lives in the urban area,  though not all regions, specifically, the developing world have reached this level of urbanization trends. It is however worth noting that urbanization trends in developing countries in relation to  the rural and urban settlements will progressively and speedily be tilted in favour of the urban as illustrated in the Figure 1.    </w:t>
      </w:r>
    </w:p>
    <w:p w14:paraId="518A767E" w14:textId="77777777" w:rsidR="00A9249D" w:rsidRPr="00E3232D" w:rsidRDefault="00A9249D" w:rsidP="005E6810">
      <w:pPr>
        <w:jc w:val="both"/>
        <w:rPr>
          <w:rFonts w:ascii="Book Antiqua" w:hAnsi="Book Antiqua"/>
        </w:rPr>
      </w:pPr>
    </w:p>
    <w:p w14:paraId="47F096B1" w14:textId="650C4BDA" w:rsidR="00A9249D" w:rsidRPr="00E3232D" w:rsidRDefault="00A9249D" w:rsidP="005E6810">
      <w:pPr>
        <w:pStyle w:val="Caption"/>
        <w:keepNext/>
        <w:spacing w:line="276" w:lineRule="auto"/>
        <w:jc w:val="both"/>
        <w:rPr>
          <w:rFonts w:ascii="Book Antiqua" w:hAnsi="Book Antiqua"/>
          <w:sz w:val="22"/>
          <w:szCs w:val="22"/>
        </w:rPr>
      </w:pPr>
      <w:r w:rsidRPr="00E3232D">
        <w:rPr>
          <w:rFonts w:ascii="Book Antiqua" w:hAnsi="Book Antiqua"/>
          <w:sz w:val="22"/>
          <w:szCs w:val="22"/>
        </w:rPr>
        <w:t xml:space="preserve">Figure </w:t>
      </w:r>
      <w:r w:rsidR="001815AD" w:rsidRPr="00E3232D">
        <w:rPr>
          <w:rFonts w:ascii="Book Antiqua" w:hAnsi="Book Antiqua"/>
          <w:sz w:val="22"/>
          <w:szCs w:val="22"/>
        </w:rPr>
        <w:fldChar w:fldCharType="begin"/>
      </w:r>
      <w:r w:rsidRPr="00E3232D">
        <w:rPr>
          <w:rFonts w:ascii="Book Antiqua" w:hAnsi="Book Antiqua"/>
          <w:sz w:val="22"/>
          <w:szCs w:val="22"/>
        </w:rPr>
        <w:instrText xml:space="preserve"> SEQ Figure \* ARABIC </w:instrText>
      </w:r>
      <w:r w:rsidR="001815AD" w:rsidRPr="00E3232D">
        <w:rPr>
          <w:rFonts w:ascii="Book Antiqua" w:hAnsi="Book Antiqua"/>
          <w:sz w:val="22"/>
          <w:szCs w:val="22"/>
        </w:rPr>
        <w:fldChar w:fldCharType="separate"/>
      </w:r>
      <w:r w:rsidR="00850DC5">
        <w:rPr>
          <w:rFonts w:ascii="Book Antiqua" w:hAnsi="Book Antiqua"/>
          <w:noProof/>
          <w:sz w:val="22"/>
          <w:szCs w:val="22"/>
        </w:rPr>
        <w:t>2</w:t>
      </w:r>
      <w:r w:rsidR="001815AD" w:rsidRPr="00E3232D">
        <w:rPr>
          <w:rFonts w:ascii="Book Antiqua" w:hAnsi="Book Antiqua"/>
          <w:sz w:val="22"/>
          <w:szCs w:val="22"/>
        </w:rPr>
        <w:fldChar w:fldCharType="end"/>
      </w:r>
      <w:r w:rsidRPr="00E3232D">
        <w:rPr>
          <w:rFonts w:ascii="Book Antiqua" w:hAnsi="Book Antiqua"/>
          <w:sz w:val="22"/>
          <w:szCs w:val="22"/>
        </w:rPr>
        <w:t>: World Urban and Rural Population Trends (1950-2050)</w:t>
      </w:r>
    </w:p>
    <w:p w14:paraId="73D1D2BF" w14:textId="77777777" w:rsidR="00A9249D" w:rsidRPr="00E3232D" w:rsidRDefault="007005B1" w:rsidP="008275E1">
      <w:pPr>
        <w:rPr>
          <w:rFonts w:ascii="Book Antiqua" w:hAnsi="Book Antiqua"/>
        </w:rPr>
      </w:pPr>
      <w:r>
        <w:rPr>
          <w:rFonts w:ascii="Book Antiqua" w:hAnsi="Book Antiqua"/>
          <w:noProof/>
          <w:lang w:bidi="ar-SA"/>
        </w:rPr>
        <w:drawing>
          <wp:inline distT="0" distB="0" distL="0" distR="0" wp14:anchorId="75173814" wp14:editId="16CF5FCA">
            <wp:extent cx="2724150" cy="2596551"/>
            <wp:effectExtent l="19050" t="0" r="0" b="0"/>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srcRect/>
                    <a:stretch>
                      <a:fillRect/>
                    </a:stretch>
                  </pic:blipFill>
                  <pic:spPr bwMode="auto">
                    <a:xfrm>
                      <a:off x="0" y="0"/>
                      <a:ext cx="2728109" cy="2600325"/>
                    </a:xfrm>
                    <a:prstGeom prst="rect">
                      <a:avLst/>
                    </a:prstGeom>
                    <a:noFill/>
                    <a:ln w="9525">
                      <a:noFill/>
                      <a:miter lim="800000"/>
                      <a:headEnd/>
                      <a:tailEnd/>
                    </a:ln>
                  </pic:spPr>
                </pic:pic>
              </a:graphicData>
            </a:graphic>
          </wp:inline>
        </w:drawing>
      </w:r>
    </w:p>
    <w:p w14:paraId="538EF068" w14:textId="77777777" w:rsidR="00A9249D" w:rsidRPr="00E3232D" w:rsidRDefault="00A9249D" w:rsidP="00FD447E">
      <w:pPr>
        <w:rPr>
          <w:rFonts w:ascii="Book Antiqua" w:hAnsi="Book Antiqua"/>
        </w:rPr>
      </w:pPr>
      <w:r w:rsidRPr="00E3232D">
        <w:rPr>
          <w:rFonts w:ascii="Book Antiqua" w:hAnsi="Book Antiqua"/>
        </w:rPr>
        <w:t xml:space="preserve">Source: United Nations (2012, p.3) </w:t>
      </w:r>
    </w:p>
    <w:p w14:paraId="2DA9ABE9" w14:textId="77777777" w:rsidR="00A9249D" w:rsidRPr="00E3232D" w:rsidRDefault="00A9249D" w:rsidP="00F63A4C">
      <w:pPr>
        <w:jc w:val="both"/>
        <w:rPr>
          <w:rFonts w:ascii="Book Antiqua" w:hAnsi="Book Antiqua"/>
        </w:rPr>
      </w:pPr>
      <w:r w:rsidRPr="00E3232D">
        <w:rPr>
          <w:rFonts w:ascii="Book Antiqua" w:hAnsi="Book Antiqua"/>
        </w:rPr>
        <w:t>When this urbanization trend is narrowed down to Africa, it is further projected by the United Nations (2012) that Africa is to reach urbanization rate of 50 percent by the year 2035. With the rapid urbanization which characterizes many urban areas in Africa, Owusu (2010) argues that it does not keep pace with the infrastructure delivery notably, urban housing needs. There have been a considerable number of literature which suggests lack of finance and lack of goodwill from government being argued as critical challenges to urban housing delivery. However, Amoa-Mensah (2011) identifies access, ownership and secured land tenure as essentially great constraints in housing delivery especially in many urban cities in Africa.</w:t>
      </w:r>
    </w:p>
    <w:p w14:paraId="6134D339" w14:textId="77777777" w:rsidR="008D4428" w:rsidRDefault="008D4428" w:rsidP="008275E1">
      <w:pPr>
        <w:rPr>
          <w:rFonts w:ascii="Book Antiqua" w:hAnsi="Book Antiqua"/>
        </w:rPr>
      </w:pPr>
    </w:p>
    <w:p w14:paraId="429819C8" w14:textId="77777777" w:rsidR="008D4428" w:rsidRDefault="00A9249D" w:rsidP="007B4FCD">
      <w:pPr>
        <w:jc w:val="both"/>
        <w:rPr>
          <w:rFonts w:ascii="Book Antiqua" w:hAnsi="Book Antiqua"/>
        </w:rPr>
      </w:pPr>
      <w:r w:rsidRPr="00E3232D">
        <w:rPr>
          <w:rFonts w:ascii="Book Antiqua" w:hAnsi="Book Antiqua"/>
        </w:rPr>
        <w:t xml:space="preserve">Ghana as a developing country cannot be exempted from the urban growth trend and with its associated challenges, especially when it comes to urban housing supply. The Country Program Document, 2008-2009, UN-Habitat (2008) indicates that there are more people living in the urban centres than rural areas in Ghana. Ironically, data provided by the BoG (2007) show that urban housing stock constitutes only 34.1 percent of the total national housing stock in Ghana. The situation in major urban centres in Ghana is at alarming heights due to the high influx of the population from rural areas. This has resulted in worsening situation in the country leading to incidence of slums and squatter communities. The slum population in 2005 was about 5.4 million, about 25% of the population and was expected to reach 7.1 million by 2010 (Atiemo, 2009).  </w:t>
      </w:r>
    </w:p>
    <w:p w14:paraId="6021F2F5" w14:textId="77777777" w:rsidR="008D4428" w:rsidRPr="007B4FCD" w:rsidRDefault="00A9249D" w:rsidP="007B4FCD">
      <w:pPr>
        <w:jc w:val="both"/>
        <w:rPr>
          <w:rFonts w:ascii="Book Antiqua" w:hAnsi="Book Antiqua"/>
        </w:rPr>
      </w:pPr>
      <w:r w:rsidRPr="00E3232D">
        <w:rPr>
          <w:rFonts w:ascii="Book Antiqua" w:hAnsi="Book Antiqua"/>
        </w:rPr>
        <w:t>Ghana’s housing deficits continue to be one of the most critical socio-economic challenges various successive governments have battled with over the years. Notwithstanding this, efforts by private individuals to the national housing stock through ‘piece meal’ construction have been the most significant and dominant contributor to the urban housing delivery. The common procedure is to purchase bare land and then start a long process of incremental building.   However, as noted by Akuffo (2006) urban housing supply by private individuals is severely hampered by land acquisition constraints. In recent times, in Ghana, it has been widely argued by housing experts and major stakeholders that given the almost non-existent supply of housing from government and unaffordable houses from the real estate market, a conscious effort to improve the informal nature of private individual delivery through access to land and financing will greatly and significantly increase and improve access to urban housing.</w:t>
      </w:r>
    </w:p>
    <w:p w14:paraId="11729106" w14:textId="77777777" w:rsidR="00A9249D" w:rsidRPr="00E3232D" w:rsidRDefault="00A9249D" w:rsidP="008275E1">
      <w:pPr>
        <w:rPr>
          <w:rFonts w:ascii="Book Antiqua" w:hAnsi="Book Antiqua"/>
          <w:b/>
        </w:rPr>
      </w:pPr>
      <w:r w:rsidRPr="00E3232D">
        <w:rPr>
          <w:rFonts w:ascii="Book Antiqua" w:hAnsi="Book Antiqua"/>
          <w:b/>
        </w:rPr>
        <w:t xml:space="preserve">2.2 Land Tenure Systems in Ghana and their Acquisition Challenges </w:t>
      </w:r>
    </w:p>
    <w:p w14:paraId="73325BDB" w14:textId="77777777" w:rsidR="00A9249D" w:rsidRPr="00E3232D" w:rsidRDefault="00A9249D" w:rsidP="007B4FCD">
      <w:pPr>
        <w:jc w:val="both"/>
        <w:rPr>
          <w:rFonts w:ascii="Book Antiqua" w:hAnsi="Book Antiqua"/>
        </w:rPr>
      </w:pPr>
      <w:r w:rsidRPr="00E3232D">
        <w:rPr>
          <w:rFonts w:ascii="Book Antiqua" w:hAnsi="Book Antiqua"/>
        </w:rPr>
        <w:t xml:space="preserve">Land tenure system is described by the Food and Agricultural Organization (FAO) (2002) as a system that defines how access is granted to use, control and transfer of land as well as its associated responsibilities. It has also been defined by Ministry of Lands and Forestry (MLF) as “the system of landholding, which have evolved from the peculiar political and economic circumstances, cultural norms and religious practices of a people regarding land as natural resources, its use and development” (2003 p.7). Implicit in this definition according to WaterAid (2009) are the rules, regulations and institutional structures – both customary and statutory enactments, which influence the holding and appropriation of land and its resources for socioeconomic development. Land tenure systems give scope as to who can use what parcel of land for how long, and under which terms and conditions for a defined purpose. </w:t>
      </w:r>
    </w:p>
    <w:p w14:paraId="6DFAE81A" w14:textId="77777777" w:rsidR="008D4428" w:rsidRDefault="008D4428" w:rsidP="008275E1">
      <w:pPr>
        <w:rPr>
          <w:rFonts w:ascii="Book Antiqua" w:hAnsi="Book Antiqua"/>
        </w:rPr>
      </w:pPr>
    </w:p>
    <w:p w14:paraId="4DA71DEA" w14:textId="77777777" w:rsidR="00A9249D" w:rsidRPr="00E3232D" w:rsidRDefault="00A9249D" w:rsidP="007B4FCD">
      <w:pPr>
        <w:jc w:val="both"/>
        <w:rPr>
          <w:rFonts w:ascii="Book Antiqua" w:hAnsi="Book Antiqua"/>
          <w:b/>
        </w:rPr>
      </w:pPr>
      <w:r w:rsidRPr="00E3232D">
        <w:rPr>
          <w:rFonts w:ascii="Book Antiqua" w:hAnsi="Book Antiqua"/>
        </w:rPr>
        <w:t xml:space="preserve">Ghana’s land tenure system according to Djokoto and Opoku (2010) is usually characterized as one of legal pluralism in which customary and statutory laws co-exist in a concurrent manner, where a range of institutions and regulations have authority over land. In other words, land tenure system in Ghana is governed by a mixture of customary and statutory laws. The 1992 Constitution of the Republic Ghana recognises three distinct land tenure systems. These are public lands, customary land ownership and private freehold lands. However, the National Land Policy of Ghana (1999), section 2(1) groups them into two main headings – public or state land and private. Alhassan and Manuh (2005) identify that state lands account for 22 percent of the land area in Ghana. However, statutory laws apply exclusively to 20 percent of the total land area (Alhasan and Manuh, 2005).. The remaining 78 to 80 percent of the land in Ghana belongs to different categories mainly; individuals and families, communities represented by stools, skins, and families and clans (Kasanga and Kotey, 2001, Mends and De Meijere 2006). It is worth noting that each of these land tenure systems has its own unique features and types and sometimes there are overlaps between them and are briefly discussed in terms of their respective frameworks and acquisition challenges in the subsections below. </w:t>
      </w:r>
    </w:p>
    <w:p w14:paraId="1F336636" w14:textId="77777777" w:rsidR="00A9249D" w:rsidRPr="00E3232D" w:rsidRDefault="00A9249D" w:rsidP="00196385">
      <w:pPr>
        <w:numPr>
          <w:ilvl w:val="0"/>
          <w:numId w:val="98"/>
        </w:numPr>
        <w:spacing w:before="120" w:after="120"/>
        <w:rPr>
          <w:rFonts w:ascii="Book Antiqua" w:hAnsi="Book Antiqua"/>
          <w:b/>
        </w:rPr>
      </w:pPr>
      <w:r w:rsidRPr="00E3232D">
        <w:rPr>
          <w:rFonts w:ascii="Book Antiqua" w:hAnsi="Book Antiqua"/>
          <w:b/>
        </w:rPr>
        <w:t xml:space="preserve">Pubic/ State Lands </w:t>
      </w:r>
    </w:p>
    <w:p w14:paraId="11E4F50B" w14:textId="77777777" w:rsidR="008D4428" w:rsidRDefault="00A9249D" w:rsidP="007B4FCD">
      <w:pPr>
        <w:jc w:val="both"/>
        <w:rPr>
          <w:rFonts w:ascii="Book Antiqua" w:hAnsi="Book Antiqua"/>
        </w:rPr>
      </w:pPr>
      <w:r w:rsidRPr="00E3232D">
        <w:rPr>
          <w:rFonts w:ascii="Book Antiqua" w:hAnsi="Book Antiqua"/>
        </w:rPr>
        <w:t>Ghana’s National Land Policy (1999, p.2) defines state lands as “lands compulsory acquired by the government through the invocation of appropriate legislation, vested in the President and held in trust by the state for the entire people of Ghana.” The State has the power to compulsorily acquire land in the public interest when it deems it necessary by virtue of its power of eminent domain under Article 20 of the 1992 Constitution of Ghana and the State Lands Act of Ghana, 1962 (Act 125) by publishing Executive Instrument. It must be emphasized that there are guiding rules and conditions which the state must meet in exercising this power as set out in Article 20, clauses 1- 6. Key among them, for the purpose of this research are; adequate and prompt payment of compensation to the affected landowners, and also, the subject land must be used for the purpose for which it was acquired. Article 20(6) of the Constitution provides that “where the property is not used in the public interest or for the purpose for which it was acquired, the owner of the property immediately before the compulsory acquisition, shall be given the first option for acquiring the property...</w:t>
      </w:r>
      <w:r w:rsidR="008D4428" w:rsidRPr="00E3232D">
        <w:rPr>
          <w:rFonts w:ascii="Book Antiqua" w:hAnsi="Book Antiqua"/>
        </w:rPr>
        <w:t>”</w:t>
      </w:r>
      <w:r w:rsidRPr="00E3232D">
        <w:rPr>
          <w:rFonts w:ascii="Book Antiqua" w:hAnsi="Book Antiqua"/>
        </w:rPr>
        <w:t xml:space="preserve">  </w:t>
      </w:r>
    </w:p>
    <w:p w14:paraId="17996F28" w14:textId="77777777" w:rsidR="007B4FCD" w:rsidRDefault="007B4FCD" w:rsidP="007B4FCD">
      <w:pPr>
        <w:spacing w:after="0"/>
        <w:jc w:val="both"/>
        <w:rPr>
          <w:rFonts w:ascii="Book Antiqua" w:hAnsi="Book Antiqua"/>
        </w:rPr>
      </w:pPr>
    </w:p>
    <w:p w14:paraId="744A01EF" w14:textId="77777777" w:rsidR="00A9249D" w:rsidRPr="00E3232D" w:rsidRDefault="00A9249D" w:rsidP="007B4FCD">
      <w:pPr>
        <w:jc w:val="both"/>
        <w:rPr>
          <w:rFonts w:ascii="Book Antiqua" w:hAnsi="Book Antiqua"/>
        </w:rPr>
      </w:pPr>
      <w:r w:rsidRPr="00E3232D">
        <w:rPr>
          <w:rFonts w:ascii="Book Antiqua" w:hAnsi="Book Antiqua"/>
        </w:rPr>
        <w:t>State lands in Ghana are directly managed by delegated state institutions, specifically, the Lands Commission. Access to the state lands by private individuals for housing and other developments is highly restricted in Ghana due mainly to the constitutional provision under Article 20(6) of the 1992 Constitution of the Republic of Ghana which states among other things that the owner whom the property was compulsorily acquired is given the first option for acquiring where the property is not used for the purpose for which it was acquired.</w:t>
      </w:r>
    </w:p>
    <w:p w14:paraId="563914B3" w14:textId="77777777" w:rsidR="008D4428" w:rsidRDefault="008D4428" w:rsidP="007B4FCD">
      <w:pPr>
        <w:spacing w:after="0"/>
        <w:rPr>
          <w:rFonts w:ascii="Book Antiqua" w:hAnsi="Book Antiqua"/>
        </w:rPr>
      </w:pPr>
    </w:p>
    <w:p w14:paraId="66DC0000" w14:textId="77777777" w:rsidR="00A9249D" w:rsidRPr="00E3232D" w:rsidRDefault="00A9249D" w:rsidP="007B4FCD">
      <w:pPr>
        <w:jc w:val="both"/>
        <w:rPr>
          <w:rFonts w:ascii="Book Antiqua" w:hAnsi="Book Antiqua"/>
        </w:rPr>
      </w:pPr>
      <w:r w:rsidRPr="00E3232D">
        <w:rPr>
          <w:rFonts w:ascii="Book Antiqua" w:hAnsi="Book Antiqua"/>
        </w:rPr>
        <w:t xml:space="preserve">Over the years, Fiadzigbey (2006) notes that government has acquired parcels of customary lands in excess over and above the actual need, while compensation has not been paid for such lands.  This is in clear contradiction of the constitutional provision highlighted above. Consequently, this in most cases has the potential of breeding conflicts and mistrust between original landowners and the government. Illegal sale of state lands by customary land owners to private individuals is very prevalent in Ghana. At the end of the day, private individuals become victims and suffer adverse consequences including loss of capital as a result of such transactions. These occurrences impact negatively on the urban housing delivery.      </w:t>
      </w:r>
    </w:p>
    <w:p w14:paraId="20F8EC33" w14:textId="77777777" w:rsidR="00A9249D" w:rsidRPr="00E3232D" w:rsidRDefault="00A9249D" w:rsidP="00196385">
      <w:pPr>
        <w:numPr>
          <w:ilvl w:val="0"/>
          <w:numId w:val="98"/>
        </w:numPr>
        <w:spacing w:before="120" w:after="120"/>
        <w:rPr>
          <w:rFonts w:ascii="Book Antiqua" w:hAnsi="Book Antiqua"/>
          <w:b/>
        </w:rPr>
      </w:pPr>
      <w:r w:rsidRPr="00E3232D">
        <w:rPr>
          <w:rFonts w:ascii="Book Antiqua" w:hAnsi="Book Antiqua"/>
          <w:b/>
        </w:rPr>
        <w:t>Customary Lands</w:t>
      </w:r>
    </w:p>
    <w:p w14:paraId="088A1F19" w14:textId="77777777" w:rsidR="00A9249D" w:rsidRPr="00E3232D" w:rsidRDefault="00A9249D" w:rsidP="007B4FCD">
      <w:pPr>
        <w:jc w:val="both"/>
        <w:rPr>
          <w:rFonts w:ascii="Book Antiqua" w:hAnsi="Book Antiqua"/>
        </w:rPr>
      </w:pPr>
      <w:r w:rsidRPr="00E3232D">
        <w:rPr>
          <w:rFonts w:ascii="Book Antiqua" w:hAnsi="Book Antiqua"/>
        </w:rPr>
        <w:t>Article 36(8) of the 1992 Republican Constitution of Ghana recognises ownership and possession of land in the form of customary tenurial system. Customary form of land ownership according to Cooperative Housing Foundation (CHF) International (2004) occurs when the right to use or dispose of user-rights over land is governed by customary laws of the one residing on and using the land. This kind of land ownership remains the most dominant in Ghana’s land market in respect of its acquisition by both formal and informal private sector for development including urban housing.</w:t>
      </w:r>
    </w:p>
    <w:p w14:paraId="35D7A8E5" w14:textId="77777777" w:rsidR="00A9249D" w:rsidRPr="00E3232D" w:rsidRDefault="00A9249D" w:rsidP="007B4FCD">
      <w:pPr>
        <w:jc w:val="both"/>
        <w:rPr>
          <w:rFonts w:ascii="Book Antiqua" w:hAnsi="Book Antiqua"/>
        </w:rPr>
      </w:pPr>
      <w:r w:rsidRPr="00E3232D">
        <w:rPr>
          <w:rFonts w:ascii="Book Antiqua" w:hAnsi="Book Antiqua"/>
        </w:rPr>
        <w:t>Customary lands are basically owned by stools, skins, families and clans, held in trust by the respective chief, head of family and clan, or fetish priest and in some cases individuals for the benefit of the subjects of the group concerned (WaterAid, 2009). In Ghana, people of common descent owe allegiance to a symbol of collective authority such as the “stool” for the Akans in the south and “skin” for the northern people, and own land communally (Antwi and Deakin, 1996). The chiefs and community leaders hold the land as their fiduciary duty for whole community concerned. As stated earlier on, lands under customary tenure account for 78 to 80 percent of the land area in Ghana which comprise stool, family, and individual lands. Family land together with individual lands, according to MLF (2003) consist of 35% of the total land under customary ownership</w:t>
      </w:r>
      <w:r w:rsidR="008D4428">
        <w:rPr>
          <w:rFonts w:ascii="Book Antiqua" w:hAnsi="Book Antiqua"/>
        </w:rPr>
        <w:t>.</w:t>
      </w:r>
    </w:p>
    <w:p w14:paraId="2D77367B" w14:textId="77777777" w:rsidR="008D4428" w:rsidRDefault="008D4428" w:rsidP="007B4FCD">
      <w:pPr>
        <w:spacing w:after="0"/>
        <w:rPr>
          <w:rFonts w:ascii="Book Antiqua" w:hAnsi="Book Antiqua"/>
        </w:rPr>
      </w:pPr>
    </w:p>
    <w:p w14:paraId="5171C5A1" w14:textId="77777777" w:rsidR="008D4428" w:rsidRPr="00E3232D" w:rsidRDefault="00A9249D" w:rsidP="007B4FCD">
      <w:pPr>
        <w:jc w:val="both"/>
        <w:rPr>
          <w:rFonts w:ascii="Book Antiqua" w:hAnsi="Book Antiqua"/>
        </w:rPr>
      </w:pPr>
      <w:r w:rsidRPr="00E3232D">
        <w:rPr>
          <w:rFonts w:ascii="Book Antiqua" w:hAnsi="Book Antiqua"/>
        </w:rPr>
        <w:t xml:space="preserve">Among constraints that have bedevilled land acquisition, the National Land Policy of Ghana (NLP) (1999) outlines general indiscipline in the land market, indeterminate boundaries of stool and family lands resulting directly from lack of reliable maps which results in land litigation, inadequate land tenure security due to conflicts of interest among and within land-owning groups. Also, Fiadzigbey (2006) declares that the performance of customary land authorities has been poor. Poor record keeping has been the bane of many customary land authorities and this has led to multiple sale or lease of parcels of land, especially in  the urban areas. This poor record keeping according to Sarpong (2006) includes indigenes of various stools and families who hold customary freeholds but do not have written agreements which guarantee their interest in the land. This means that those who acquire such lands for development are likely not guaranteed to obtain clean title and thereby creating turmoil in the land market. One of such turmoil in more recent time which was reported by Myjoyonline (2012) is the dispute between the Ghana Atomic Energy Commission and private individuals which resulted </w:t>
      </w:r>
      <w:r w:rsidR="00334549" w:rsidRPr="00E3232D">
        <w:rPr>
          <w:rFonts w:ascii="Book Antiqua" w:hAnsi="Book Antiqua"/>
        </w:rPr>
        <w:t>in the</w:t>
      </w:r>
      <w:r w:rsidRPr="00E3232D">
        <w:rPr>
          <w:rFonts w:ascii="Book Antiqua" w:hAnsi="Book Antiqua"/>
        </w:rPr>
        <w:t xml:space="preserve"> demolition of an ongoing housing project.</w:t>
      </w:r>
    </w:p>
    <w:p w14:paraId="14B78D21" w14:textId="77777777" w:rsidR="00A9249D" w:rsidRPr="00E3232D" w:rsidRDefault="00A9249D" w:rsidP="00196385">
      <w:pPr>
        <w:numPr>
          <w:ilvl w:val="0"/>
          <w:numId w:val="98"/>
        </w:numPr>
        <w:spacing w:before="120" w:after="120"/>
        <w:rPr>
          <w:rFonts w:ascii="Book Antiqua" w:hAnsi="Book Antiqua"/>
          <w:b/>
        </w:rPr>
      </w:pPr>
      <w:r w:rsidRPr="00E3232D">
        <w:rPr>
          <w:rFonts w:ascii="Book Antiqua" w:hAnsi="Book Antiqua"/>
          <w:b/>
        </w:rPr>
        <w:t xml:space="preserve">Vested Lands </w:t>
      </w:r>
    </w:p>
    <w:p w14:paraId="60ADE415" w14:textId="77777777" w:rsidR="00A9249D" w:rsidRPr="00E3232D" w:rsidRDefault="00A9249D" w:rsidP="007B4FCD">
      <w:pPr>
        <w:spacing w:after="0"/>
        <w:jc w:val="both"/>
        <w:rPr>
          <w:rFonts w:ascii="Book Antiqua" w:hAnsi="Book Antiqua"/>
        </w:rPr>
      </w:pPr>
      <w:r w:rsidRPr="00E3232D">
        <w:rPr>
          <w:rFonts w:ascii="Book Antiqua" w:hAnsi="Book Antiqua"/>
        </w:rPr>
        <w:t xml:space="preserve">Vested land as pertained in Ghana’s land tenure system are land which has been vested in the President, for a landholding community under the Administration of lands Act, 1962 (Act 123). The National Land Policy of Ghana (1999) also describes vested lands as sandwiched between the state lands and customary lands, which is a form of split ownership between the state and the traditional owners. In the creation of vested lands, Kasanga and Kotey (2001) explain that the Executive Instrument creates dual ownership where the legal title is transferred to the state, whist the beneficial interest rest with the community. Therefore, vested land is owned under customary system but their management is under the state on behalf of the community concerned. </w:t>
      </w:r>
    </w:p>
    <w:p w14:paraId="0A13E335" w14:textId="77777777" w:rsidR="008D4428" w:rsidRDefault="008D4428" w:rsidP="008275E1">
      <w:pPr>
        <w:rPr>
          <w:rFonts w:ascii="Book Antiqua" w:hAnsi="Book Antiqua"/>
        </w:rPr>
      </w:pPr>
    </w:p>
    <w:p w14:paraId="3800191C" w14:textId="77777777" w:rsidR="00A9249D" w:rsidRPr="00E3232D" w:rsidRDefault="00A9249D" w:rsidP="007B4FCD">
      <w:pPr>
        <w:jc w:val="both"/>
        <w:rPr>
          <w:rFonts w:ascii="Book Antiqua" w:hAnsi="Book Antiqua"/>
        </w:rPr>
      </w:pPr>
      <w:r w:rsidRPr="00E3232D">
        <w:rPr>
          <w:rFonts w:ascii="Book Antiqua" w:hAnsi="Book Antiqua"/>
        </w:rPr>
        <w:t>Though vested land is administered by the state on behalf of customary land owners, there are inherent problems associated with this type of land ownership which affect access to land for urban housing supply. The implementation of specific legislation instruments like the Administration of lands Act, 1962 (Act 123), according to Kasanga and Kortey (2001) stifles traditional and customary land management functions, their influence and basis for economic support. Consequently, customary land owners often resist the state on vesting their land and sometimes the land are encroached upon. Also, MLF (2003) states that there is lack of consultation on the part of the state with the customary landowners in decision-making when it comes to land allocation, acquisition among others. This generates disputes between the state and private land owning groups and within communities, in the sense that private house owners, having paid for the land to the customary land owners, again make payments to the Lands Commission on behalf of government for a lease on the same land, and further pay annual rent. At the end of the day, private house builders are restricted from gaining easy and hassle-free access to clean land title housing supply.</w:t>
      </w:r>
    </w:p>
    <w:p w14:paraId="76D00B21" w14:textId="77777777" w:rsidR="00A9249D" w:rsidRPr="00E3232D" w:rsidRDefault="00A9249D" w:rsidP="008275E1">
      <w:pPr>
        <w:rPr>
          <w:rFonts w:ascii="Book Antiqua" w:hAnsi="Book Antiqua"/>
          <w:b/>
        </w:rPr>
      </w:pPr>
    </w:p>
    <w:p w14:paraId="2647E787" w14:textId="77777777" w:rsidR="00A9249D" w:rsidRPr="00E3232D" w:rsidRDefault="00A9249D" w:rsidP="008275E1">
      <w:pPr>
        <w:rPr>
          <w:rFonts w:ascii="Book Antiqua" w:hAnsi="Book Antiqua"/>
          <w:b/>
        </w:rPr>
      </w:pPr>
    </w:p>
    <w:p w14:paraId="2F89E74F" w14:textId="77777777" w:rsidR="00A9249D" w:rsidRPr="00E3232D" w:rsidRDefault="00E26E3F" w:rsidP="00196385">
      <w:pPr>
        <w:numPr>
          <w:ilvl w:val="0"/>
          <w:numId w:val="97"/>
        </w:numPr>
        <w:spacing w:before="120" w:after="120"/>
        <w:rPr>
          <w:rFonts w:ascii="Book Antiqua" w:hAnsi="Book Antiqua"/>
          <w:b/>
        </w:rPr>
      </w:pPr>
      <w:r w:rsidRPr="00E3232D">
        <w:rPr>
          <w:rFonts w:ascii="Book Antiqua" w:hAnsi="Book Antiqua"/>
          <w:b/>
        </w:rPr>
        <w:t xml:space="preserve">The Study Area – Koforidua   </w:t>
      </w:r>
    </w:p>
    <w:p w14:paraId="587B7D31" w14:textId="77777777" w:rsidR="00A9249D" w:rsidRPr="00E3232D" w:rsidRDefault="00A9249D" w:rsidP="007B4FCD">
      <w:pPr>
        <w:jc w:val="both"/>
        <w:rPr>
          <w:rFonts w:ascii="Book Antiqua" w:hAnsi="Book Antiqua"/>
        </w:rPr>
      </w:pPr>
      <w:r w:rsidRPr="00E3232D">
        <w:rPr>
          <w:rFonts w:ascii="Book Antiqua" w:hAnsi="Book Antiqua"/>
        </w:rPr>
        <w:t xml:space="preserve">Koforidua is the municipal capital of the New Juaben </w:t>
      </w:r>
      <w:r w:rsidR="008D4428" w:rsidRPr="00E3232D">
        <w:rPr>
          <w:rFonts w:ascii="Book Antiqua" w:hAnsi="Book Antiqua"/>
        </w:rPr>
        <w:t>Municipality in</w:t>
      </w:r>
      <w:r w:rsidRPr="00E3232D">
        <w:rPr>
          <w:rFonts w:ascii="Book Antiqua" w:hAnsi="Book Antiqua"/>
        </w:rPr>
        <w:t xml:space="preserve"> the Eastern Region of Ghana. It also serves as the Eastern Regional capital as well the traditional capital of the people of New Juaben Traditional Area, Ghana. Koforidua possesses historical and unique urban characteristics, especially, when it comes to land ownership and its access for housing supply and other developments. Koforidua has different types of land ownership systems available for urban housing development with their antecedent characteristics and acquisition challenges.  As noted in Attua and Fisher (2011), Koforidua being an administrative capital, performs the most essential social, economic and political services in the region, resulting to the influx of population to the municipality.. From GSS (2005) Koforidua is the most urbanised and densely populated in the Eastern Region with the population density of 684 persons per square kilometres, which is above the regional and national figures of 109 and 90 respectively. </w:t>
      </w:r>
    </w:p>
    <w:p w14:paraId="147EA32F" w14:textId="77777777" w:rsidR="008D4428" w:rsidRDefault="00A9249D" w:rsidP="007B4FCD">
      <w:pPr>
        <w:jc w:val="both"/>
        <w:rPr>
          <w:rFonts w:ascii="Book Antiqua" w:hAnsi="Book Antiqua"/>
        </w:rPr>
      </w:pPr>
      <w:r w:rsidRPr="00E3232D">
        <w:rPr>
          <w:rFonts w:ascii="Book Antiqua" w:hAnsi="Book Antiqua"/>
        </w:rPr>
        <w:t xml:space="preserve">Lands in Koforidua have a very unique historical background which can be traced back in seventh centuries. According to Nuakoh (2005), the people of New Juaben were allies of the then British Colonial Government having revolted and lost the war against the rest of the Ashanti Kingdom. They consequently migrated in 1874 and settled in their present location around 1882. The British Colonial Government purchased land from the people of Akim Abuakwa State to settle the New Juaben people. </w:t>
      </w:r>
    </w:p>
    <w:p w14:paraId="59470881" w14:textId="77777777" w:rsidR="007B4FCD" w:rsidRPr="00E3232D" w:rsidRDefault="00A9249D" w:rsidP="007B4FCD">
      <w:pPr>
        <w:jc w:val="both"/>
        <w:rPr>
          <w:rFonts w:ascii="Book Antiqua" w:hAnsi="Book Antiqua"/>
        </w:rPr>
      </w:pPr>
      <w:r w:rsidRPr="00E3232D">
        <w:rPr>
          <w:rFonts w:ascii="Book Antiqua" w:hAnsi="Book Antiqua"/>
        </w:rPr>
        <w:t xml:space="preserve">By the early, 1960’s, Koforidua had assumed the status of an urban area and the Government of the day’s ambition to speed up economic development led to the promulgation an Executive Instrument 195 (1961) which vested all lands in the area in the President in trust for the subjects of the New Juaben Traditional Area (Gyamfi, 2005). Through urbanization, the physical boundaries of Koforidua have expanded and merged with other traditional areas such as the Akwapims and Krobos, all in the Eastern Region. Hence, various types of land ownership can be identified in Koforidua with their attendance characteristics and challenges. A classical example given by ISSER (2007) is that New Juaben people are controlling portions of land the Akwapims claim to be theirs. Such multiple claims lead to land disputes.  ISSER (2007) identifies vested lands, state lands, stool lands, family lands and private individual </w:t>
      </w:r>
      <w:r w:rsidR="008D4428" w:rsidRPr="00E3232D">
        <w:rPr>
          <w:rFonts w:ascii="Book Antiqua" w:hAnsi="Book Antiqua"/>
        </w:rPr>
        <w:t>lands as</w:t>
      </w:r>
      <w:r w:rsidRPr="00E3232D">
        <w:rPr>
          <w:rFonts w:ascii="Book Antiqua" w:hAnsi="Book Antiqua"/>
        </w:rPr>
        <w:t xml:space="preserve"> the main predominant lands in Koforidua. </w:t>
      </w:r>
    </w:p>
    <w:p w14:paraId="151E332E" w14:textId="77777777" w:rsidR="00A9249D" w:rsidRPr="00E26E3F" w:rsidRDefault="007B4FCD" w:rsidP="00196385">
      <w:pPr>
        <w:pStyle w:val="ListParagraph"/>
        <w:numPr>
          <w:ilvl w:val="0"/>
          <w:numId w:val="179"/>
        </w:numPr>
        <w:spacing w:before="120" w:after="120"/>
        <w:jc w:val="both"/>
        <w:rPr>
          <w:rFonts w:ascii="Book Antiqua" w:hAnsi="Book Antiqua"/>
          <w:b/>
          <w:sz w:val="24"/>
        </w:rPr>
      </w:pPr>
      <w:r w:rsidRPr="00E26E3F">
        <w:rPr>
          <w:rFonts w:ascii="Book Antiqua" w:hAnsi="Book Antiqua"/>
          <w:b/>
          <w:sz w:val="24"/>
        </w:rPr>
        <w:t xml:space="preserve">Methodology and Data Collection </w:t>
      </w:r>
    </w:p>
    <w:p w14:paraId="429E17EB" w14:textId="77777777" w:rsidR="00A9249D" w:rsidRPr="00E3232D" w:rsidRDefault="00A9249D" w:rsidP="007B4FCD">
      <w:pPr>
        <w:jc w:val="both"/>
        <w:rPr>
          <w:rFonts w:ascii="Book Antiqua" w:hAnsi="Book Antiqua"/>
          <w:b/>
        </w:rPr>
      </w:pPr>
      <w:r w:rsidRPr="00E3232D">
        <w:rPr>
          <w:rFonts w:ascii="Book Antiqua" w:hAnsi="Book Antiqua"/>
        </w:rPr>
        <w:t xml:space="preserve">In Ghana, traditional and customary practices and laws differ from a particular geographical area to another. Customary laws which are recognised by the 1992 Constitution of Ghana under section 11, vary in different parts of the country. In gathering the primary data, a specific urban centre, Koforidua, a regional capital of Eastern Region, Ghana, was chosen as a study area so as to organise this research work more relevant and applicable to the chosen area. This was necessitated by the fact that greater portions of lands in Ghana are customary owned as identified in the literature review. Again, the area possesses unique characteristics in land ownership distribution and various types of land as compared to other urban areas.  </w:t>
      </w:r>
    </w:p>
    <w:p w14:paraId="460872A7" w14:textId="77777777" w:rsidR="00372F8F" w:rsidRDefault="00372F8F" w:rsidP="008275E1">
      <w:pPr>
        <w:rPr>
          <w:rFonts w:ascii="Book Antiqua" w:hAnsi="Book Antiqua"/>
        </w:rPr>
      </w:pPr>
    </w:p>
    <w:p w14:paraId="4D235A2B" w14:textId="77777777" w:rsidR="00A9249D" w:rsidRPr="00E3232D" w:rsidRDefault="00A9249D" w:rsidP="007B4FCD">
      <w:pPr>
        <w:jc w:val="both"/>
        <w:rPr>
          <w:rFonts w:ascii="Book Antiqua" w:hAnsi="Book Antiqua"/>
        </w:rPr>
      </w:pPr>
      <w:r w:rsidRPr="00E3232D">
        <w:rPr>
          <w:rFonts w:ascii="Book Antiqua" w:hAnsi="Book Antiqua"/>
        </w:rPr>
        <w:t>The authors sought to engage stakeholders such as chiefs, family heads, the regional officers of Lands Commission and the Office of the Administrator of Stool Lands through semi-structured interview to establish some ground facts on land acquisition by prospective builders for housing in the study area. Being exploratory in nature through the semi-structured interviews, the findings were modelled into questionnaires to elicit the experience of individual private house builders of their experience in acquisition of land in the area. A sample size of</w:t>
      </w:r>
      <w:r w:rsidRPr="00E3232D">
        <w:rPr>
          <w:rFonts w:ascii="Book Antiqua" w:hAnsi="Book Antiqua"/>
          <w:lang w:eastAsia="en-GB"/>
        </w:rPr>
        <w:t xml:space="preserve"> 200 randomly selected people who have had the experience of acquiring  land for housing development in Koforidua were reached for the study.</w:t>
      </w:r>
      <w:r w:rsidRPr="00E3232D">
        <w:rPr>
          <w:rFonts w:ascii="Book Antiqua" w:hAnsi="Book Antiqua"/>
        </w:rPr>
        <w:t xml:space="preserve"> Respondents were reached randomly by moving from house to house of house owners (landlords) to administer the questionnaire. Also persons were randomly selected at first contact on being asked whether they have acquired land before for home building purposes. Also some of the questionnaires were sent through the internet to respondents. The study area composes of varied types of land, and respondents were reached at different locations of the various types of land and interests. </w:t>
      </w:r>
    </w:p>
    <w:p w14:paraId="6046F3DE" w14:textId="77777777" w:rsidR="008D4428" w:rsidRDefault="008D4428" w:rsidP="008275E1">
      <w:pPr>
        <w:rPr>
          <w:rFonts w:ascii="Book Antiqua" w:hAnsi="Book Antiqua"/>
        </w:rPr>
      </w:pPr>
    </w:p>
    <w:p w14:paraId="1D067A18" w14:textId="77777777" w:rsidR="00A9249D" w:rsidRDefault="00A9249D" w:rsidP="007B4FCD">
      <w:pPr>
        <w:jc w:val="both"/>
        <w:rPr>
          <w:rFonts w:ascii="Book Antiqua" w:hAnsi="Book Antiqua"/>
        </w:rPr>
      </w:pPr>
      <w:r w:rsidRPr="00E3232D">
        <w:rPr>
          <w:rFonts w:ascii="Book Antiqua" w:hAnsi="Book Antiqua"/>
        </w:rPr>
        <w:t>In all, a total of 145 people were reached. Through the internet, 41 questionnaires were sent and the remaining 104 were reached by personal and face to face contact. Out of the 145 questionnaires distributed, 104 were received constituting 71.7% response rate. Out of these, 31 were received through internet, 73 were through personal contact. Descriptive statistics using percentages, chats and frequencies to reveal inherent land acquisition challenges encountered by urban house builders were conducted.</w:t>
      </w:r>
    </w:p>
    <w:p w14:paraId="1C86BA85" w14:textId="77777777" w:rsidR="007B4FCD" w:rsidRPr="007B4FCD" w:rsidRDefault="007B4FCD" w:rsidP="007B4FCD">
      <w:pPr>
        <w:jc w:val="both"/>
        <w:rPr>
          <w:rFonts w:ascii="Book Antiqua" w:hAnsi="Book Antiqua"/>
        </w:rPr>
      </w:pPr>
    </w:p>
    <w:p w14:paraId="77AE44F3" w14:textId="77777777" w:rsidR="00A9249D" w:rsidRPr="007B4FCD" w:rsidRDefault="007B4FCD" w:rsidP="00196385">
      <w:pPr>
        <w:numPr>
          <w:ilvl w:val="0"/>
          <w:numId w:val="179"/>
        </w:numPr>
        <w:spacing w:before="120" w:after="120"/>
        <w:rPr>
          <w:rFonts w:ascii="Book Antiqua" w:hAnsi="Book Antiqua"/>
          <w:b/>
          <w:sz w:val="26"/>
        </w:rPr>
      </w:pPr>
      <w:r w:rsidRPr="007B4FCD">
        <w:rPr>
          <w:rFonts w:ascii="Book Antiqua" w:hAnsi="Book Antiqua"/>
          <w:b/>
          <w:sz w:val="26"/>
        </w:rPr>
        <w:t>Findings and Discussions</w:t>
      </w:r>
    </w:p>
    <w:p w14:paraId="739806CD" w14:textId="77777777" w:rsidR="00A9249D" w:rsidRPr="00E3232D" w:rsidRDefault="00A9249D" w:rsidP="007B4FCD">
      <w:pPr>
        <w:jc w:val="both"/>
        <w:rPr>
          <w:rFonts w:ascii="Book Antiqua" w:hAnsi="Book Antiqua"/>
        </w:rPr>
      </w:pPr>
      <w:r w:rsidRPr="00E3232D">
        <w:rPr>
          <w:rFonts w:ascii="Book Antiqua" w:hAnsi="Book Antiqua"/>
        </w:rPr>
        <w:t xml:space="preserve">This basically involved the use of descriptive statistics on key dependent variables. Descriptive statistics according to Coates and Steed (2001) helps to explore the data gathered, summarise and describe the characteristics of observations. Mean scores, standard deviation and standard mean errors were computed on the data to test for consistency and reliability. </w:t>
      </w:r>
    </w:p>
    <w:p w14:paraId="2A49CF4D" w14:textId="77777777" w:rsidR="00372F8F" w:rsidRDefault="00372F8F" w:rsidP="008275E1">
      <w:pPr>
        <w:rPr>
          <w:rFonts w:ascii="Book Antiqua" w:hAnsi="Book Antiqua"/>
          <w:b/>
        </w:rPr>
      </w:pPr>
    </w:p>
    <w:p w14:paraId="6CA274F1" w14:textId="77777777" w:rsidR="007B4FCD" w:rsidRDefault="007B4FCD" w:rsidP="008275E1">
      <w:pPr>
        <w:rPr>
          <w:rFonts w:ascii="Book Antiqua" w:hAnsi="Book Antiqua"/>
          <w:b/>
        </w:rPr>
      </w:pPr>
    </w:p>
    <w:p w14:paraId="2F6D35B1" w14:textId="77777777" w:rsidR="00E26E3F" w:rsidRDefault="00E26E3F" w:rsidP="008275E1">
      <w:pPr>
        <w:rPr>
          <w:rFonts w:ascii="Book Antiqua" w:hAnsi="Book Antiqua"/>
          <w:b/>
        </w:rPr>
      </w:pPr>
    </w:p>
    <w:p w14:paraId="0BB18FC3" w14:textId="77777777" w:rsidR="00E26E3F" w:rsidRDefault="00E26E3F" w:rsidP="008275E1">
      <w:pPr>
        <w:rPr>
          <w:rFonts w:ascii="Book Antiqua" w:hAnsi="Book Antiqua"/>
          <w:b/>
        </w:rPr>
      </w:pPr>
    </w:p>
    <w:p w14:paraId="35E4D1C1" w14:textId="77777777" w:rsidR="007B4FCD" w:rsidRDefault="007B4FCD" w:rsidP="008275E1">
      <w:pPr>
        <w:rPr>
          <w:rFonts w:ascii="Book Antiqua" w:hAnsi="Book Antiqua"/>
          <w:b/>
        </w:rPr>
      </w:pPr>
    </w:p>
    <w:p w14:paraId="264FAF82" w14:textId="77777777" w:rsidR="00A9249D" w:rsidRPr="007B4FCD" w:rsidRDefault="00A9249D" w:rsidP="007B4FCD">
      <w:pPr>
        <w:rPr>
          <w:rFonts w:ascii="Book Antiqua" w:hAnsi="Book Antiqua"/>
          <w:b/>
        </w:rPr>
      </w:pPr>
      <w:r w:rsidRPr="00E3232D">
        <w:rPr>
          <w:rFonts w:ascii="Book Antiqua" w:hAnsi="Book Antiqua"/>
          <w:b/>
        </w:rPr>
        <w:t>Table 1.0: Ranking of Challenges Using the Mean and Standard Deviation</w:t>
      </w:r>
    </w:p>
    <w:tbl>
      <w:tblPr>
        <w:tblW w:w="5946" w:type="dxa"/>
        <w:tblBorders>
          <w:top w:val="single" w:sz="8" w:space="0" w:color="000000"/>
          <w:bottom w:val="single" w:sz="8" w:space="0" w:color="000000"/>
        </w:tblBorders>
        <w:tblLook w:val="04A0" w:firstRow="1" w:lastRow="0" w:firstColumn="1" w:lastColumn="0" w:noHBand="0" w:noVBand="1"/>
      </w:tblPr>
      <w:tblGrid>
        <w:gridCol w:w="2051"/>
        <w:gridCol w:w="763"/>
        <w:gridCol w:w="766"/>
        <w:gridCol w:w="1207"/>
        <w:gridCol w:w="1159"/>
      </w:tblGrid>
      <w:tr w:rsidR="00A9249D" w:rsidRPr="00D12E59" w14:paraId="760B3AF7" w14:textId="77777777" w:rsidTr="007B4FCD">
        <w:trPr>
          <w:trHeight w:val="116"/>
        </w:trPr>
        <w:tc>
          <w:tcPr>
            <w:tcW w:w="2051" w:type="dxa"/>
            <w:tcBorders>
              <w:top w:val="single" w:sz="8" w:space="0" w:color="000000"/>
              <w:left w:val="nil"/>
              <w:bottom w:val="single" w:sz="8" w:space="0" w:color="000000"/>
              <w:right w:val="nil"/>
            </w:tcBorders>
            <w:shd w:val="clear" w:color="auto" w:fill="auto"/>
          </w:tcPr>
          <w:p w14:paraId="5A0CD243" w14:textId="77777777" w:rsidR="00A9249D" w:rsidRPr="00D12E59" w:rsidRDefault="00A9249D" w:rsidP="007B4FCD">
            <w:pPr>
              <w:spacing w:after="0"/>
              <w:rPr>
                <w:rFonts w:ascii="Book Antiqua" w:hAnsi="Book Antiqua"/>
                <w:b/>
                <w:bCs/>
                <w:i/>
                <w:iCs/>
              </w:rPr>
            </w:pPr>
            <w:r w:rsidRPr="00D12E59">
              <w:rPr>
                <w:rFonts w:ascii="Book Antiqua" w:hAnsi="Book Antiqua"/>
                <w:b/>
                <w:bCs/>
                <w:i/>
                <w:iCs/>
              </w:rPr>
              <w:t>Variable</w:t>
            </w:r>
          </w:p>
        </w:tc>
        <w:tc>
          <w:tcPr>
            <w:tcW w:w="763" w:type="dxa"/>
            <w:tcBorders>
              <w:top w:val="single" w:sz="8" w:space="0" w:color="000000"/>
              <w:left w:val="nil"/>
              <w:bottom w:val="single" w:sz="8" w:space="0" w:color="000000"/>
              <w:right w:val="nil"/>
            </w:tcBorders>
            <w:shd w:val="clear" w:color="auto" w:fill="auto"/>
          </w:tcPr>
          <w:p w14:paraId="38EB2B7B" w14:textId="77777777" w:rsidR="00A9249D" w:rsidRPr="00D12E59" w:rsidRDefault="00A9249D" w:rsidP="007B4FCD">
            <w:pPr>
              <w:spacing w:after="0"/>
              <w:rPr>
                <w:rFonts w:ascii="Book Antiqua" w:hAnsi="Book Antiqua"/>
                <w:b/>
                <w:bCs/>
                <w:i/>
                <w:iCs/>
              </w:rPr>
            </w:pPr>
            <w:r w:rsidRPr="00D12E59">
              <w:rPr>
                <w:rFonts w:ascii="Book Antiqua" w:hAnsi="Book Antiqua"/>
                <w:b/>
                <w:bCs/>
                <w:i/>
                <w:iCs/>
              </w:rPr>
              <w:t>N</w:t>
            </w:r>
          </w:p>
        </w:tc>
        <w:tc>
          <w:tcPr>
            <w:tcW w:w="766" w:type="dxa"/>
            <w:tcBorders>
              <w:top w:val="single" w:sz="8" w:space="0" w:color="000000"/>
              <w:left w:val="nil"/>
              <w:bottom w:val="single" w:sz="8" w:space="0" w:color="000000"/>
              <w:right w:val="nil"/>
            </w:tcBorders>
            <w:shd w:val="clear" w:color="auto" w:fill="auto"/>
          </w:tcPr>
          <w:p w14:paraId="30EFF10A" w14:textId="77777777" w:rsidR="00A9249D" w:rsidRPr="00D12E59" w:rsidRDefault="00A9249D" w:rsidP="007B4FCD">
            <w:pPr>
              <w:spacing w:after="0"/>
              <w:rPr>
                <w:rFonts w:ascii="Book Antiqua" w:hAnsi="Book Antiqua"/>
                <w:b/>
                <w:bCs/>
                <w:i/>
                <w:iCs/>
              </w:rPr>
            </w:pPr>
            <w:r w:rsidRPr="00D12E59">
              <w:rPr>
                <w:rFonts w:ascii="Book Antiqua" w:hAnsi="Book Antiqua"/>
                <w:b/>
                <w:bCs/>
                <w:i/>
                <w:iCs/>
              </w:rPr>
              <w:t>Mean</w:t>
            </w:r>
          </w:p>
        </w:tc>
        <w:tc>
          <w:tcPr>
            <w:tcW w:w="1207" w:type="dxa"/>
            <w:tcBorders>
              <w:top w:val="single" w:sz="8" w:space="0" w:color="000000"/>
              <w:left w:val="nil"/>
              <w:bottom w:val="single" w:sz="8" w:space="0" w:color="000000"/>
              <w:right w:val="nil"/>
            </w:tcBorders>
            <w:shd w:val="clear" w:color="auto" w:fill="auto"/>
          </w:tcPr>
          <w:p w14:paraId="7FFEE0EC" w14:textId="77777777" w:rsidR="00A9249D" w:rsidRPr="00D12E59" w:rsidRDefault="00A9249D" w:rsidP="007B4FCD">
            <w:pPr>
              <w:spacing w:after="0"/>
              <w:rPr>
                <w:rFonts w:ascii="Book Antiqua" w:hAnsi="Book Antiqua"/>
                <w:b/>
                <w:bCs/>
                <w:i/>
                <w:iCs/>
              </w:rPr>
            </w:pPr>
            <w:r w:rsidRPr="00D12E59">
              <w:rPr>
                <w:rFonts w:ascii="Book Antiqua" w:hAnsi="Book Antiqua"/>
                <w:b/>
                <w:bCs/>
                <w:i/>
                <w:iCs/>
              </w:rPr>
              <w:t>Std. Deviation</w:t>
            </w:r>
          </w:p>
        </w:tc>
        <w:tc>
          <w:tcPr>
            <w:tcW w:w="1159" w:type="dxa"/>
            <w:tcBorders>
              <w:top w:val="single" w:sz="8" w:space="0" w:color="000000"/>
              <w:left w:val="nil"/>
              <w:bottom w:val="single" w:sz="8" w:space="0" w:color="000000"/>
              <w:right w:val="nil"/>
            </w:tcBorders>
            <w:shd w:val="clear" w:color="auto" w:fill="auto"/>
          </w:tcPr>
          <w:p w14:paraId="7007CB32" w14:textId="77777777" w:rsidR="00A9249D" w:rsidRPr="00D12E59" w:rsidRDefault="00A9249D" w:rsidP="007B4FCD">
            <w:pPr>
              <w:spacing w:after="0"/>
              <w:rPr>
                <w:rFonts w:ascii="Book Antiqua" w:hAnsi="Book Antiqua"/>
                <w:b/>
                <w:bCs/>
                <w:i/>
                <w:iCs/>
              </w:rPr>
            </w:pPr>
            <w:r w:rsidRPr="00D12E59">
              <w:rPr>
                <w:rFonts w:ascii="Book Antiqua" w:hAnsi="Book Antiqua"/>
                <w:b/>
                <w:bCs/>
                <w:i/>
                <w:iCs/>
              </w:rPr>
              <w:t xml:space="preserve"> rank</w:t>
            </w:r>
          </w:p>
        </w:tc>
      </w:tr>
      <w:tr w:rsidR="00A9249D" w:rsidRPr="00D12E59" w14:paraId="0B105BA2" w14:textId="77777777" w:rsidTr="007B4FCD">
        <w:trPr>
          <w:trHeight w:val="31"/>
        </w:trPr>
        <w:tc>
          <w:tcPr>
            <w:tcW w:w="2051" w:type="dxa"/>
            <w:tcBorders>
              <w:left w:val="nil"/>
              <w:right w:val="nil"/>
            </w:tcBorders>
            <w:shd w:val="clear" w:color="auto" w:fill="auto"/>
          </w:tcPr>
          <w:p w14:paraId="27E21509" w14:textId="77777777" w:rsidR="00A9249D" w:rsidRPr="007B4FCD" w:rsidRDefault="00A9249D" w:rsidP="007B4FCD">
            <w:pPr>
              <w:spacing w:after="0"/>
              <w:rPr>
                <w:rFonts w:ascii="Book Antiqua" w:hAnsi="Book Antiqua"/>
                <w:bCs/>
              </w:rPr>
            </w:pPr>
            <w:r w:rsidRPr="007B4FCD">
              <w:rPr>
                <w:rFonts w:ascii="Book Antiqua" w:hAnsi="Book Antiqua"/>
                <w:bCs/>
              </w:rPr>
              <w:t>Duration of getting full ownership</w:t>
            </w:r>
          </w:p>
        </w:tc>
        <w:tc>
          <w:tcPr>
            <w:tcW w:w="763" w:type="dxa"/>
            <w:tcBorders>
              <w:left w:val="nil"/>
              <w:right w:val="nil"/>
            </w:tcBorders>
            <w:shd w:val="clear" w:color="auto" w:fill="auto"/>
          </w:tcPr>
          <w:p w14:paraId="274DC520" w14:textId="77777777" w:rsidR="00A9249D" w:rsidRPr="00D12E59" w:rsidRDefault="00A9249D" w:rsidP="007B4FCD">
            <w:pPr>
              <w:spacing w:after="0"/>
              <w:rPr>
                <w:rFonts w:ascii="Book Antiqua" w:hAnsi="Book Antiqua"/>
              </w:rPr>
            </w:pPr>
            <w:r w:rsidRPr="00D12E59">
              <w:rPr>
                <w:rFonts w:ascii="Book Antiqua" w:hAnsi="Book Antiqua"/>
              </w:rPr>
              <w:t>104</w:t>
            </w:r>
          </w:p>
        </w:tc>
        <w:tc>
          <w:tcPr>
            <w:tcW w:w="766" w:type="dxa"/>
            <w:tcBorders>
              <w:left w:val="nil"/>
              <w:right w:val="nil"/>
            </w:tcBorders>
            <w:shd w:val="clear" w:color="auto" w:fill="auto"/>
          </w:tcPr>
          <w:p w14:paraId="6D9021B5" w14:textId="77777777" w:rsidR="00A9249D" w:rsidRPr="00D12E59" w:rsidRDefault="00A9249D" w:rsidP="007B4FCD">
            <w:pPr>
              <w:spacing w:after="0"/>
              <w:rPr>
                <w:rFonts w:ascii="Book Antiqua" w:hAnsi="Book Antiqua"/>
              </w:rPr>
            </w:pPr>
            <w:r w:rsidRPr="00D12E59">
              <w:rPr>
                <w:rFonts w:ascii="Book Antiqua" w:hAnsi="Book Antiqua"/>
              </w:rPr>
              <w:t>4.19</w:t>
            </w:r>
          </w:p>
        </w:tc>
        <w:tc>
          <w:tcPr>
            <w:tcW w:w="1207" w:type="dxa"/>
            <w:tcBorders>
              <w:left w:val="nil"/>
              <w:right w:val="nil"/>
            </w:tcBorders>
            <w:shd w:val="clear" w:color="auto" w:fill="auto"/>
          </w:tcPr>
          <w:p w14:paraId="4D6A08BA" w14:textId="77777777" w:rsidR="00A9249D" w:rsidRPr="00D12E59" w:rsidRDefault="00A9249D" w:rsidP="007B4FCD">
            <w:pPr>
              <w:spacing w:after="0"/>
              <w:rPr>
                <w:rFonts w:ascii="Book Antiqua" w:hAnsi="Book Antiqua"/>
              </w:rPr>
            </w:pPr>
            <w:r w:rsidRPr="00D12E59">
              <w:rPr>
                <w:rFonts w:ascii="Book Antiqua" w:hAnsi="Book Antiqua"/>
              </w:rPr>
              <w:t>1.215*</w:t>
            </w:r>
          </w:p>
        </w:tc>
        <w:tc>
          <w:tcPr>
            <w:tcW w:w="1159" w:type="dxa"/>
            <w:tcBorders>
              <w:left w:val="nil"/>
              <w:right w:val="nil"/>
            </w:tcBorders>
            <w:shd w:val="clear" w:color="auto" w:fill="auto"/>
          </w:tcPr>
          <w:p w14:paraId="77DD97AA" w14:textId="77777777" w:rsidR="00A9249D" w:rsidRPr="00D12E59" w:rsidRDefault="00A9249D" w:rsidP="007B4FCD">
            <w:pPr>
              <w:spacing w:after="0"/>
              <w:rPr>
                <w:rFonts w:ascii="Book Antiqua" w:hAnsi="Book Antiqua"/>
              </w:rPr>
            </w:pPr>
            <w:r w:rsidRPr="00D12E59">
              <w:rPr>
                <w:rFonts w:ascii="Book Antiqua" w:hAnsi="Book Antiqua"/>
              </w:rPr>
              <w:t>1st</w:t>
            </w:r>
          </w:p>
        </w:tc>
      </w:tr>
      <w:tr w:rsidR="00A9249D" w:rsidRPr="00D12E59" w14:paraId="7B780203" w14:textId="77777777" w:rsidTr="007B4FCD">
        <w:trPr>
          <w:trHeight w:val="176"/>
        </w:trPr>
        <w:tc>
          <w:tcPr>
            <w:tcW w:w="2051" w:type="dxa"/>
            <w:shd w:val="clear" w:color="auto" w:fill="auto"/>
          </w:tcPr>
          <w:p w14:paraId="0D980788" w14:textId="77777777" w:rsidR="00A9249D" w:rsidRPr="007B4FCD" w:rsidRDefault="00A9249D" w:rsidP="007B4FCD">
            <w:pPr>
              <w:spacing w:after="0"/>
              <w:rPr>
                <w:rFonts w:ascii="Book Antiqua" w:hAnsi="Book Antiqua"/>
                <w:bCs/>
              </w:rPr>
            </w:pPr>
            <w:r w:rsidRPr="007B4FCD">
              <w:rPr>
                <w:rFonts w:ascii="Book Antiqua" w:hAnsi="Book Antiqua"/>
                <w:bCs/>
              </w:rPr>
              <w:t>Problems encountered in documentation processes</w:t>
            </w:r>
          </w:p>
        </w:tc>
        <w:tc>
          <w:tcPr>
            <w:tcW w:w="763" w:type="dxa"/>
            <w:shd w:val="clear" w:color="auto" w:fill="auto"/>
          </w:tcPr>
          <w:p w14:paraId="1C65B04B" w14:textId="77777777" w:rsidR="00A9249D" w:rsidRPr="00D12E59" w:rsidRDefault="00A9249D" w:rsidP="007B4FCD">
            <w:pPr>
              <w:spacing w:after="0"/>
              <w:rPr>
                <w:rFonts w:ascii="Book Antiqua" w:hAnsi="Book Antiqua"/>
              </w:rPr>
            </w:pPr>
            <w:r w:rsidRPr="00D12E59">
              <w:rPr>
                <w:rFonts w:ascii="Book Antiqua" w:hAnsi="Book Antiqua"/>
              </w:rPr>
              <w:t>104</w:t>
            </w:r>
          </w:p>
        </w:tc>
        <w:tc>
          <w:tcPr>
            <w:tcW w:w="766" w:type="dxa"/>
            <w:shd w:val="clear" w:color="auto" w:fill="auto"/>
          </w:tcPr>
          <w:p w14:paraId="0428F674" w14:textId="77777777" w:rsidR="00A9249D" w:rsidRPr="00D12E59" w:rsidRDefault="00A9249D" w:rsidP="007B4FCD">
            <w:pPr>
              <w:spacing w:after="0"/>
              <w:rPr>
                <w:rFonts w:ascii="Book Antiqua" w:hAnsi="Book Antiqua"/>
              </w:rPr>
            </w:pPr>
            <w:r w:rsidRPr="00D12E59">
              <w:rPr>
                <w:rFonts w:ascii="Book Antiqua" w:hAnsi="Book Antiqua"/>
              </w:rPr>
              <w:t>2.96</w:t>
            </w:r>
          </w:p>
        </w:tc>
        <w:tc>
          <w:tcPr>
            <w:tcW w:w="1207" w:type="dxa"/>
            <w:shd w:val="clear" w:color="auto" w:fill="auto"/>
          </w:tcPr>
          <w:p w14:paraId="32838560" w14:textId="77777777" w:rsidR="00A9249D" w:rsidRPr="00D12E59" w:rsidRDefault="00A9249D" w:rsidP="007B4FCD">
            <w:pPr>
              <w:spacing w:after="0"/>
              <w:rPr>
                <w:rFonts w:ascii="Book Antiqua" w:hAnsi="Book Antiqua"/>
              </w:rPr>
            </w:pPr>
            <w:r w:rsidRPr="00D12E59">
              <w:rPr>
                <w:rFonts w:ascii="Book Antiqua" w:hAnsi="Book Antiqua"/>
              </w:rPr>
              <w:t>.985</w:t>
            </w:r>
          </w:p>
        </w:tc>
        <w:tc>
          <w:tcPr>
            <w:tcW w:w="1159" w:type="dxa"/>
            <w:shd w:val="clear" w:color="auto" w:fill="auto"/>
          </w:tcPr>
          <w:p w14:paraId="7AA0876B" w14:textId="77777777" w:rsidR="00A9249D" w:rsidRPr="00D12E59" w:rsidRDefault="00A9249D" w:rsidP="007B4FCD">
            <w:pPr>
              <w:spacing w:after="0"/>
              <w:rPr>
                <w:rFonts w:ascii="Book Antiqua" w:hAnsi="Book Antiqua"/>
              </w:rPr>
            </w:pPr>
            <w:r w:rsidRPr="00D12E59">
              <w:rPr>
                <w:rFonts w:ascii="Book Antiqua" w:hAnsi="Book Antiqua"/>
              </w:rPr>
              <w:t>2nd</w:t>
            </w:r>
          </w:p>
        </w:tc>
      </w:tr>
      <w:tr w:rsidR="00A9249D" w:rsidRPr="00D12E59" w14:paraId="722CB9D6" w14:textId="77777777" w:rsidTr="007B4FCD">
        <w:trPr>
          <w:trHeight w:val="113"/>
        </w:trPr>
        <w:tc>
          <w:tcPr>
            <w:tcW w:w="2051" w:type="dxa"/>
            <w:tcBorders>
              <w:left w:val="nil"/>
              <w:right w:val="nil"/>
            </w:tcBorders>
            <w:shd w:val="clear" w:color="auto" w:fill="auto"/>
          </w:tcPr>
          <w:p w14:paraId="45F22DE4" w14:textId="77777777" w:rsidR="00A9249D" w:rsidRPr="007B4FCD" w:rsidRDefault="00A9249D" w:rsidP="007B4FCD">
            <w:pPr>
              <w:spacing w:after="0"/>
              <w:rPr>
                <w:rFonts w:ascii="Book Antiqua" w:hAnsi="Book Antiqua"/>
                <w:bCs/>
              </w:rPr>
            </w:pPr>
            <w:r w:rsidRPr="007B4FCD">
              <w:rPr>
                <w:rFonts w:ascii="Book Antiqua" w:hAnsi="Book Antiqua"/>
                <w:bCs/>
              </w:rPr>
              <w:t>Issues on types of land acquired</w:t>
            </w:r>
          </w:p>
        </w:tc>
        <w:tc>
          <w:tcPr>
            <w:tcW w:w="763" w:type="dxa"/>
            <w:tcBorders>
              <w:left w:val="nil"/>
              <w:right w:val="nil"/>
            </w:tcBorders>
            <w:shd w:val="clear" w:color="auto" w:fill="auto"/>
          </w:tcPr>
          <w:p w14:paraId="76D766F5" w14:textId="77777777" w:rsidR="00A9249D" w:rsidRPr="00D12E59" w:rsidRDefault="00A9249D" w:rsidP="007B4FCD">
            <w:pPr>
              <w:spacing w:after="0"/>
              <w:rPr>
                <w:rFonts w:ascii="Book Antiqua" w:hAnsi="Book Antiqua"/>
              </w:rPr>
            </w:pPr>
            <w:r w:rsidRPr="00D12E59">
              <w:rPr>
                <w:rFonts w:ascii="Book Antiqua" w:hAnsi="Book Antiqua"/>
              </w:rPr>
              <w:t>104</w:t>
            </w:r>
          </w:p>
        </w:tc>
        <w:tc>
          <w:tcPr>
            <w:tcW w:w="766" w:type="dxa"/>
            <w:tcBorders>
              <w:left w:val="nil"/>
              <w:right w:val="nil"/>
            </w:tcBorders>
            <w:shd w:val="clear" w:color="auto" w:fill="auto"/>
          </w:tcPr>
          <w:p w14:paraId="4095AAC2" w14:textId="77777777" w:rsidR="00A9249D" w:rsidRPr="00D12E59" w:rsidRDefault="00A9249D" w:rsidP="007B4FCD">
            <w:pPr>
              <w:spacing w:after="0"/>
              <w:rPr>
                <w:rFonts w:ascii="Book Antiqua" w:hAnsi="Book Antiqua"/>
              </w:rPr>
            </w:pPr>
            <w:r w:rsidRPr="00D12E59">
              <w:rPr>
                <w:rFonts w:ascii="Book Antiqua" w:hAnsi="Book Antiqua"/>
              </w:rPr>
              <w:t>2.93</w:t>
            </w:r>
          </w:p>
        </w:tc>
        <w:tc>
          <w:tcPr>
            <w:tcW w:w="1207" w:type="dxa"/>
            <w:tcBorders>
              <w:left w:val="nil"/>
              <w:right w:val="nil"/>
            </w:tcBorders>
            <w:shd w:val="clear" w:color="auto" w:fill="auto"/>
          </w:tcPr>
          <w:p w14:paraId="48C4A1BA" w14:textId="77777777" w:rsidR="00A9249D" w:rsidRPr="00D12E59" w:rsidRDefault="00A9249D" w:rsidP="007B4FCD">
            <w:pPr>
              <w:spacing w:after="0"/>
              <w:rPr>
                <w:rFonts w:ascii="Book Antiqua" w:hAnsi="Book Antiqua"/>
              </w:rPr>
            </w:pPr>
            <w:r w:rsidRPr="00D12E59">
              <w:rPr>
                <w:rFonts w:ascii="Book Antiqua" w:hAnsi="Book Antiqua"/>
              </w:rPr>
              <w:t>.968</w:t>
            </w:r>
          </w:p>
        </w:tc>
        <w:tc>
          <w:tcPr>
            <w:tcW w:w="1159" w:type="dxa"/>
            <w:tcBorders>
              <w:left w:val="nil"/>
              <w:right w:val="nil"/>
            </w:tcBorders>
            <w:shd w:val="clear" w:color="auto" w:fill="auto"/>
          </w:tcPr>
          <w:p w14:paraId="3A7D40D3" w14:textId="77777777" w:rsidR="00A9249D" w:rsidRPr="00D12E59" w:rsidRDefault="00A9249D" w:rsidP="007B4FCD">
            <w:pPr>
              <w:spacing w:after="0"/>
              <w:rPr>
                <w:rFonts w:ascii="Book Antiqua" w:hAnsi="Book Antiqua"/>
              </w:rPr>
            </w:pPr>
            <w:r w:rsidRPr="00D12E59">
              <w:rPr>
                <w:rFonts w:ascii="Book Antiqua" w:hAnsi="Book Antiqua"/>
              </w:rPr>
              <w:t>3rd</w:t>
            </w:r>
          </w:p>
        </w:tc>
      </w:tr>
      <w:tr w:rsidR="00A9249D" w:rsidRPr="00D12E59" w14:paraId="1102EF55" w14:textId="77777777" w:rsidTr="007B4FCD">
        <w:trPr>
          <w:trHeight w:val="116"/>
        </w:trPr>
        <w:tc>
          <w:tcPr>
            <w:tcW w:w="2051" w:type="dxa"/>
            <w:shd w:val="clear" w:color="auto" w:fill="auto"/>
          </w:tcPr>
          <w:p w14:paraId="38E2491E" w14:textId="77777777" w:rsidR="00A9249D" w:rsidRPr="007B4FCD" w:rsidRDefault="00A9249D" w:rsidP="007B4FCD">
            <w:pPr>
              <w:spacing w:after="0"/>
              <w:rPr>
                <w:rFonts w:ascii="Book Antiqua" w:hAnsi="Book Antiqua"/>
                <w:bCs/>
              </w:rPr>
            </w:pPr>
            <w:r w:rsidRPr="007B4FCD">
              <w:rPr>
                <w:rFonts w:ascii="Book Antiqua" w:hAnsi="Book Antiqua"/>
                <w:bCs/>
              </w:rPr>
              <w:t>Means of getting land</w:t>
            </w:r>
          </w:p>
        </w:tc>
        <w:tc>
          <w:tcPr>
            <w:tcW w:w="763" w:type="dxa"/>
            <w:shd w:val="clear" w:color="auto" w:fill="auto"/>
          </w:tcPr>
          <w:p w14:paraId="5C1BDFD6" w14:textId="77777777" w:rsidR="00A9249D" w:rsidRPr="00D12E59" w:rsidRDefault="00A9249D" w:rsidP="007B4FCD">
            <w:pPr>
              <w:spacing w:after="0"/>
              <w:rPr>
                <w:rFonts w:ascii="Book Antiqua" w:hAnsi="Book Antiqua"/>
              </w:rPr>
            </w:pPr>
            <w:r w:rsidRPr="00D12E59">
              <w:rPr>
                <w:rFonts w:ascii="Book Antiqua" w:hAnsi="Book Antiqua"/>
              </w:rPr>
              <w:t>104</w:t>
            </w:r>
          </w:p>
        </w:tc>
        <w:tc>
          <w:tcPr>
            <w:tcW w:w="766" w:type="dxa"/>
            <w:shd w:val="clear" w:color="auto" w:fill="auto"/>
          </w:tcPr>
          <w:p w14:paraId="3466E9B6" w14:textId="77777777" w:rsidR="00A9249D" w:rsidRPr="00D12E59" w:rsidRDefault="00A9249D" w:rsidP="007B4FCD">
            <w:pPr>
              <w:spacing w:after="0"/>
              <w:rPr>
                <w:rFonts w:ascii="Book Antiqua" w:hAnsi="Book Antiqua"/>
              </w:rPr>
            </w:pPr>
            <w:r w:rsidRPr="00D12E59">
              <w:rPr>
                <w:rFonts w:ascii="Book Antiqua" w:hAnsi="Book Antiqua"/>
              </w:rPr>
              <w:t>2.88</w:t>
            </w:r>
          </w:p>
        </w:tc>
        <w:tc>
          <w:tcPr>
            <w:tcW w:w="1207" w:type="dxa"/>
            <w:shd w:val="clear" w:color="auto" w:fill="auto"/>
          </w:tcPr>
          <w:p w14:paraId="6B20C434" w14:textId="77777777" w:rsidR="00A9249D" w:rsidRPr="00D12E59" w:rsidRDefault="00A9249D" w:rsidP="007B4FCD">
            <w:pPr>
              <w:spacing w:after="0"/>
              <w:rPr>
                <w:rFonts w:ascii="Book Antiqua" w:hAnsi="Book Antiqua"/>
              </w:rPr>
            </w:pPr>
            <w:r w:rsidRPr="00D12E59">
              <w:rPr>
                <w:rFonts w:ascii="Book Antiqua" w:hAnsi="Book Antiqua"/>
              </w:rPr>
              <w:t>.402</w:t>
            </w:r>
          </w:p>
        </w:tc>
        <w:tc>
          <w:tcPr>
            <w:tcW w:w="1159" w:type="dxa"/>
            <w:shd w:val="clear" w:color="auto" w:fill="auto"/>
          </w:tcPr>
          <w:p w14:paraId="6313FDF8" w14:textId="77777777" w:rsidR="00A9249D" w:rsidRPr="00D12E59" w:rsidRDefault="00A9249D" w:rsidP="007B4FCD">
            <w:pPr>
              <w:spacing w:after="0"/>
              <w:rPr>
                <w:rFonts w:ascii="Book Antiqua" w:hAnsi="Book Antiqua"/>
              </w:rPr>
            </w:pPr>
            <w:r w:rsidRPr="00D12E59">
              <w:rPr>
                <w:rFonts w:ascii="Book Antiqua" w:hAnsi="Book Antiqua"/>
              </w:rPr>
              <w:t>4th</w:t>
            </w:r>
          </w:p>
        </w:tc>
      </w:tr>
      <w:tr w:rsidR="00A9249D" w:rsidRPr="00D12E59" w14:paraId="24616088" w14:textId="77777777" w:rsidTr="007B4FCD">
        <w:trPr>
          <w:trHeight w:val="113"/>
        </w:trPr>
        <w:tc>
          <w:tcPr>
            <w:tcW w:w="2051" w:type="dxa"/>
            <w:tcBorders>
              <w:left w:val="nil"/>
              <w:right w:val="nil"/>
            </w:tcBorders>
            <w:shd w:val="clear" w:color="auto" w:fill="auto"/>
          </w:tcPr>
          <w:p w14:paraId="38A45A5C" w14:textId="77777777" w:rsidR="00A9249D" w:rsidRPr="007B4FCD" w:rsidRDefault="00A9249D" w:rsidP="007B4FCD">
            <w:pPr>
              <w:spacing w:after="0"/>
              <w:rPr>
                <w:rFonts w:ascii="Book Antiqua" w:hAnsi="Book Antiqua"/>
                <w:bCs/>
              </w:rPr>
            </w:pPr>
            <w:r w:rsidRPr="007B4FCD">
              <w:rPr>
                <w:rFonts w:ascii="Book Antiqua" w:hAnsi="Book Antiqua"/>
                <w:bCs/>
              </w:rPr>
              <w:t>Result of search</w:t>
            </w:r>
          </w:p>
        </w:tc>
        <w:tc>
          <w:tcPr>
            <w:tcW w:w="763" w:type="dxa"/>
            <w:tcBorders>
              <w:left w:val="nil"/>
              <w:right w:val="nil"/>
            </w:tcBorders>
            <w:shd w:val="clear" w:color="auto" w:fill="auto"/>
          </w:tcPr>
          <w:p w14:paraId="142B4408" w14:textId="77777777" w:rsidR="00A9249D" w:rsidRPr="00D12E59" w:rsidRDefault="00A9249D" w:rsidP="007B4FCD">
            <w:pPr>
              <w:spacing w:after="0"/>
              <w:rPr>
                <w:rFonts w:ascii="Book Antiqua" w:hAnsi="Book Antiqua"/>
              </w:rPr>
            </w:pPr>
            <w:r w:rsidRPr="00D12E59">
              <w:rPr>
                <w:rFonts w:ascii="Book Antiqua" w:hAnsi="Book Antiqua"/>
              </w:rPr>
              <w:t>62</w:t>
            </w:r>
          </w:p>
        </w:tc>
        <w:tc>
          <w:tcPr>
            <w:tcW w:w="766" w:type="dxa"/>
            <w:tcBorders>
              <w:left w:val="nil"/>
              <w:right w:val="nil"/>
            </w:tcBorders>
            <w:shd w:val="clear" w:color="auto" w:fill="auto"/>
          </w:tcPr>
          <w:p w14:paraId="5ADD9AC1" w14:textId="77777777" w:rsidR="00A9249D" w:rsidRPr="00D12E59" w:rsidRDefault="00A9249D" w:rsidP="007B4FCD">
            <w:pPr>
              <w:spacing w:after="0"/>
              <w:rPr>
                <w:rFonts w:ascii="Book Antiqua" w:hAnsi="Book Antiqua"/>
              </w:rPr>
            </w:pPr>
            <w:r w:rsidRPr="00D12E59">
              <w:rPr>
                <w:rFonts w:ascii="Book Antiqua" w:hAnsi="Book Antiqua"/>
              </w:rPr>
              <w:t>1.94</w:t>
            </w:r>
          </w:p>
        </w:tc>
        <w:tc>
          <w:tcPr>
            <w:tcW w:w="1207" w:type="dxa"/>
            <w:tcBorders>
              <w:left w:val="nil"/>
              <w:right w:val="nil"/>
            </w:tcBorders>
            <w:shd w:val="clear" w:color="auto" w:fill="auto"/>
          </w:tcPr>
          <w:p w14:paraId="0286D2A1" w14:textId="77777777" w:rsidR="00A9249D" w:rsidRPr="00D12E59" w:rsidRDefault="00A9249D" w:rsidP="007B4FCD">
            <w:pPr>
              <w:spacing w:after="0"/>
              <w:rPr>
                <w:rFonts w:ascii="Book Antiqua" w:hAnsi="Book Antiqua"/>
              </w:rPr>
            </w:pPr>
            <w:r w:rsidRPr="00D12E59">
              <w:rPr>
                <w:rFonts w:ascii="Book Antiqua" w:hAnsi="Book Antiqua"/>
              </w:rPr>
              <w:t>.939</w:t>
            </w:r>
          </w:p>
        </w:tc>
        <w:tc>
          <w:tcPr>
            <w:tcW w:w="1159" w:type="dxa"/>
            <w:tcBorders>
              <w:left w:val="nil"/>
              <w:right w:val="nil"/>
            </w:tcBorders>
            <w:shd w:val="clear" w:color="auto" w:fill="auto"/>
          </w:tcPr>
          <w:p w14:paraId="094B2F47" w14:textId="77777777" w:rsidR="00A9249D" w:rsidRPr="00D12E59" w:rsidRDefault="00A9249D" w:rsidP="007B4FCD">
            <w:pPr>
              <w:spacing w:after="0"/>
              <w:rPr>
                <w:rFonts w:ascii="Book Antiqua" w:hAnsi="Book Antiqua"/>
              </w:rPr>
            </w:pPr>
            <w:r w:rsidRPr="00D12E59">
              <w:rPr>
                <w:rFonts w:ascii="Book Antiqua" w:hAnsi="Book Antiqua"/>
              </w:rPr>
              <w:t>5th</w:t>
            </w:r>
          </w:p>
        </w:tc>
      </w:tr>
      <w:tr w:rsidR="00A9249D" w:rsidRPr="00D12E59" w14:paraId="5D107BB6" w14:textId="77777777" w:rsidTr="007B4FCD">
        <w:trPr>
          <w:trHeight w:val="176"/>
        </w:trPr>
        <w:tc>
          <w:tcPr>
            <w:tcW w:w="2051" w:type="dxa"/>
            <w:shd w:val="clear" w:color="auto" w:fill="auto"/>
          </w:tcPr>
          <w:p w14:paraId="46C1128B" w14:textId="77777777" w:rsidR="00A9249D" w:rsidRPr="007B4FCD" w:rsidRDefault="00A9249D" w:rsidP="007B4FCD">
            <w:pPr>
              <w:spacing w:after="0"/>
              <w:rPr>
                <w:rFonts w:ascii="Book Antiqua" w:hAnsi="Book Antiqua"/>
                <w:bCs/>
              </w:rPr>
            </w:pPr>
            <w:r w:rsidRPr="007B4FCD">
              <w:rPr>
                <w:rFonts w:ascii="Book Antiqua" w:hAnsi="Book Antiqua"/>
                <w:bCs/>
              </w:rPr>
              <w:t>Non-involvement of professionals</w:t>
            </w:r>
          </w:p>
        </w:tc>
        <w:tc>
          <w:tcPr>
            <w:tcW w:w="763" w:type="dxa"/>
            <w:shd w:val="clear" w:color="auto" w:fill="auto"/>
          </w:tcPr>
          <w:p w14:paraId="77F14495" w14:textId="77777777" w:rsidR="00A9249D" w:rsidRPr="00D12E59" w:rsidRDefault="00A9249D" w:rsidP="007B4FCD">
            <w:pPr>
              <w:spacing w:after="0"/>
              <w:rPr>
                <w:rFonts w:ascii="Book Antiqua" w:hAnsi="Book Antiqua"/>
              </w:rPr>
            </w:pPr>
            <w:r w:rsidRPr="00D12E59">
              <w:rPr>
                <w:rFonts w:ascii="Book Antiqua" w:hAnsi="Book Antiqua"/>
              </w:rPr>
              <w:t>104</w:t>
            </w:r>
          </w:p>
        </w:tc>
        <w:tc>
          <w:tcPr>
            <w:tcW w:w="766" w:type="dxa"/>
            <w:shd w:val="clear" w:color="auto" w:fill="auto"/>
          </w:tcPr>
          <w:p w14:paraId="7DE107CE" w14:textId="77777777" w:rsidR="00A9249D" w:rsidRPr="00D12E59" w:rsidRDefault="00A9249D" w:rsidP="007B4FCD">
            <w:pPr>
              <w:spacing w:after="0"/>
              <w:rPr>
                <w:rFonts w:ascii="Book Antiqua" w:hAnsi="Book Antiqua"/>
              </w:rPr>
            </w:pPr>
            <w:r w:rsidRPr="00D12E59">
              <w:rPr>
                <w:rFonts w:ascii="Book Antiqua" w:hAnsi="Book Antiqua"/>
              </w:rPr>
              <w:t>1.68</w:t>
            </w:r>
          </w:p>
        </w:tc>
        <w:tc>
          <w:tcPr>
            <w:tcW w:w="1207" w:type="dxa"/>
            <w:shd w:val="clear" w:color="auto" w:fill="auto"/>
          </w:tcPr>
          <w:p w14:paraId="3CF55775" w14:textId="77777777" w:rsidR="00A9249D" w:rsidRPr="00D12E59" w:rsidRDefault="00A9249D" w:rsidP="007B4FCD">
            <w:pPr>
              <w:spacing w:after="0"/>
              <w:rPr>
                <w:rFonts w:ascii="Book Antiqua" w:hAnsi="Book Antiqua"/>
              </w:rPr>
            </w:pPr>
            <w:r w:rsidRPr="00D12E59">
              <w:rPr>
                <w:rFonts w:ascii="Book Antiqua" w:hAnsi="Book Antiqua"/>
              </w:rPr>
              <w:t>.468</w:t>
            </w:r>
          </w:p>
        </w:tc>
        <w:tc>
          <w:tcPr>
            <w:tcW w:w="1159" w:type="dxa"/>
            <w:shd w:val="clear" w:color="auto" w:fill="auto"/>
          </w:tcPr>
          <w:p w14:paraId="2B28F374" w14:textId="77777777" w:rsidR="00A9249D" w:rsidRPr="00D12E59" w:rsidRDefault="00A9249D" w:rsidP="007B4FCD">
            <w:pPr>
              <w:spacing w:after="0"/>
              <w:rPr>
                <w:rFonts w:ascii="Book Antiqua" w:hAnsi="Book Antiqua"/>
              </w:rPr>
            </w:pPr>
            <w:r w:rsidRPr="00D12E59">
              <w:rPr>
                <w:rFonts w:ascii="Book Antiqua" w:hAnsi="Book Antiqua"/>
              </w:rPr>
              <w:t>6th</w:t>
            </w:r>
          </w:p>
        </w:tc>
      </w:tr>
      <w:tr w:rsidR="00A9249D" w:rsidRPr="00D12E59" w14:paraId="08AC5DAB" w14:textId="77777777" w:rsidTr="007B4FCD">
        <w:trPr>
          <w:trHeight w:val="176"/>
        </w:trPr>
        <w:tc>
          <w:tcPr>
            <w:tcW w:w="2051" w:type="dxa"/>
            <w:tcBorders>
              <w:left w:val="nil"/>
              <w:right w:val="nil"/>
            </w:tcBorders>
            <w:shd w:val="clear" w:color="auto" w:fill="auto"/>
          </w:tcPr>
          <w:p w14:paraId="5C66D566" w14:textId="77777777" w:rsidR="00A9249D" w:rsidRPr="00D12E59" w:rsidRDefault="00A9249D" w:rsidP="007B4FCD">
            <w:pPr>
              <w:spacing w:after="0"/>
              <w:rPr>
                <w:rFonts w:ascii="Book Antiqua" w:hAnsi="Book Antiqua"/>
                <w:bCs/>
              </w:rPr>
            </w:pPr>
            <w:r w:rsidRPr="00D12E59">
              <w:rPr>
                <w:rFonts w:ascii="Book Antiqua" w:hAnsi="Book Antiqua"/>
                <w:bCs/>
              </w:rPr>
              <w:t>Any official search done before payment</w:t>
            </w:r>
          </w:p>
        </w:tc>
        <w:tc>
          <w:tcPr>
            <w:tcW w:w="763" w:type="dxa"/>
            <w:tcBorders>
              <w:left w:val="nil"/>
              <w:right w:val="nil"/>
            </w:tcBorders>
            <w:shd w:val="clear" w:color="auto" w:fill="auto"/>
          </w:tcPr>
          <w:p w14:paraId="7015938D" w14:textId="77777777" w:rsidR="00A9249D" w:rsidRPr="00D12E59" w:rsidRDefault="00A9249D" w:rsidP="007B4FCD">
            <w:pPr>
              <w:spacing w:after="0"/>
              <w:rPr>
                <w:rFonts w:ascii="Book Antiqua" w:hAnsi="Book Antiqua"/>
              </w:rPr>
            </w:pPr>
            <w:r w:rsidRPr="00D12E59">
              <w:rPr>
                <w:rFonts w:ascii="Book Antiqua" w:hAnsi="Book Antiqua"/>
              </w:rPr>
              <w:t>102</w:t>
            </w:r>
          </w:p>
        </w:tc>
        <w:tc>
          <w:tcPr>
            <w:tcW w:w="766" w:type="dxa"/>
            <w:tcBorders>
              <w:left w:val="nil"/>
              <w:right w:val="nil"/>
            </w:tcBorders>
            <w:shd w:val="clear" w:color="auto" w:fill="auto"/>
          </w:tcPr>
          <w:p w14:paraId="06CA7ED7" w14:textId="77777777" w:rsidR="00A9249D" w:rsidRPr="00D12E59" w:rsidRDefault="00A9249D" w:rsidP="007B4FCD">
            <w:pPr>
              <w:spacing w:after="0"/>
              <w:rPr>
                <w:rFonts w:ascii="Book Antiqua" w:hAnsi="Book Antiqua"/>
              </w:rPr>
            </w:pPr>
            <w:r w:rsidRPr="00D12E59">
              <w:rPr>
                <w:rFonts w:ascii="Book Antiqua" w:hAnsi="Book Antiqua"/>
              </w:rPr>
              <w:t>1.39</w:t>
            </w:r>
          </w:p>
        </w:tc>
        <w:tc>
          <w:tcPr>
            <w:tcW w:w="1207" w:type="dxa"/>
            <w:tcBorders>
              <w:left w:val="nil"/>
              <w:right w:val="nil"/>
            </w:tcBorders>
            <w:shd w:val="clear" w:color="auto" w:fill="auto"/>
          </w:tcPr>
          <w:p w14:paraId="21709FE6" w14:textId="77777777" w:rsidR="00A9249D" w:rsidRPr="00D12E59" w:rsidRDefault="00A9249D" w:rsidP="007B4FCD">
            <w:pPr>
              <w:spacing w:after="0"/>
              <w:rPr>
                <w:rFonts w:ascii="Book Antiqua" w:hAnsi="Book Antiqua"/>
              </w:rPr>
            </w:pPr>
            <w:r w:rsidRPr="00D12E59">
              <w:rPr>
                <w:rFonts w:ascii="Book Antiqua" w:hAnsi="Book Antiqua"/>
              </w:rPr>
              <w:t>.491</w:t>
            </w:r>
          </w:p>
        </w:tc>
        <w:tc>
          <w:tcPr>
            <w:tcW w:w="1159" w:type="dxa"/>
            <w:tcBorders>
              <w:left w:val="nil"/>
              <w:right w:val="nil"/>
            </w:tcBorders>
            <w:shd w:val="clear" w:color="auto" w:fill="auto"/>
          </w:tcPr>
          <w:p w14:paraId="78B31152" w14:textId="77777777" w:rsidR="00A9249D" w:rsidRPr="00D12E59" w:rsidRDefault="00A9249D" w:rsidP="007B4FCD">
            <w:pPr>
              <w:spacing w:after="0"/>
              <w:rPr>
                <w:rFonts w:ascii="Book Antiqua" w:hAnsi="Book Antiqua"/>
              </w:rPr>
            </w:pPr>
            <w:r w:rsidRPr="00D12E59">
              <w:rPr>
                <w:rFonts w:ascii="Book Antiqua" w:hAnsi="Book Antiqua"/>
              </w:rPr>
              <w:t>7th</w:t>
            </w:r>
          </w:p>
        </w:tc>
      </w:tr>
    </w:tbl>
    <w:p w14:paraId="57922BBB" w14:textId="77777777" w:rsidR="00A9249D" w:rsidRPr="00E3232D" w:rsidRDefault="00A9249D" w:rsidP="007B4FCD">
      <w:pPr>
        <w:spacing w:after="0"/>
        <w:rPr>
          <w:rFonts w:ascii="Book Antiqua" w:hAnsi="Book Antiqua"/>
        </w:rPr>
      </w:pPr>
      <w:r w:rsidRPr="00E3232D">
        <w:rPr>
          <w:rFonts w:ascii="Book Antiqua" w:hAnsi="Book Antiqua"/>
        </w:rPr>
        <w:t xml:space="preserve"> Source: Field Data (2012)</w:t>
      </w:r>
    </w:p>
    <w:p w14:paraId="1DA49122" w14:textId="77777777" w:rsidR="00372F8F" w:rsidRDefault="00372F8F" w:rsidP="008275E1">
      <w:pPr>
        <w:rPr>
          <w:rFonts w:ascii="Book Antiqua" w:hAnsi="Book Antiqua"/>
        </w:rPr>
      </w:pPr>
    </w:p>
    <w:p w14:paraId="4D6083EB" w14:textId="77777777" w:rsidR="00A9249D" w:rsidRPr="00E3232D" w:rsidRDefault="00A9249D" w:rsidP="007B4FCD">
      <w:pPr>
        <w:jc w:val="both"/>
        <w:rPr>
          <w:rFonts w:ascii="Book Antiqua" w:hAnsi="Book Antiqua"/>
        </w:rPr>
      </w:pPr>
      <w:r w:rsidRPr="00E3232D">
        <w:rPr>
          <w:rFonts w:ascii="Book Antiqua" w:hAnsi="Book Antiqua"/>
        </w:rPr>
        <w:t xml:space="preserve">From Table 1.0, most of the standard deviations were less than 1.00. This according to Field (2005) indicates a high level of consistency in the interpretations given by respondents on the variables which suggest that there is little variability in the data. However,  it is very important to draw attention to the variables asterisk (*) from Table 1  where their standard deviations were more than 1.00, suggesting that there might be differences in how these variables were interpreted by the respondents. It can also be deduced from Table 1.0 that long duration in getting full ownership of land acquired was ranked first which represents as the most critical challenge for land acquisition by the respondents. In addition to this, problems in documentation of acquisition processes </w:t>
      </w:r>
      <w:r w:rsidRPr="007B4FCD">
        <w:rPr>
          <w:rFonts w:ascii="Book Antiqua" w:hAnsi="Book Antiqua"/>
        </w:rPr>
        <w:t>and</w:t>
      </w:r>
      <w:r w:rsidRPr="007B4FCD">
        <w:rPr>
          <w:rFonts w:ascii="Book Antiqua" w:hAnsi="Book Antiqua"/>
          <w:bCs/>
        </w:rPr>
        <w:t xml:space="preserve"> issues on types of land acquired were second and third most critical challenges respectively on land acquisition by respondents for the purpose of urban housing development in the study area.</w:t>
      </w:r>
      <w:r w:rsidRPr="007B4FCD">
        <w:rPr>
          <w:rFonts w:ascii="Book Antiqua" w:hAnsi="Book Antiqua"/>
        </w:rPr>
        <w:t xml:space="preserve"> It is worth noting that</w:t>
      </w:r>
      <w:r w:rsidRPr="00E3232D">
        <w:rPr>
          <w:rFonts w:ascii="Book Antiqua" w:hAnsi="Book Antiqua"/>
        </w:rPr>
        <w:t xml:space="preserve"> in spite of acrimonious nature surrounding land transactions and series of litigations on land, search done before payments was emerged as the least critical challenge from the study.   </w:t>
      </w:r>
    </w:p>
    <w:p w14:paraId="0AB19B8D" w14:textId="77777777" w:rsidR="00A9249D" w:rsidRPr="00E3232D" w:rsidRDefault="00A9249D" w:rsidP="008275E1">
      <w:pPr>
        <w:rPr>
          <w:rFonts w:ascii="Book Antiqua" w:hAnsi="Book Antiqua"/>
          <w:b/>
        </w:rPr>
      </w:pPr>
      <w:r w:rsidRPr="00E3232D">
        <w:rPr>
          <w:rFonts w:ascii="Book Antiqua" w:hAnsi="Book Antiqua"/>
          <w:b/>
        </w:rPr>
        <w:t>5.1 Types of Land Acquired for Housing Development</w:t>
      </w:r>
    </w:p>
    <w:p w14:paraId="5AA92725" w14:textId="77777777" w:rsidR="00A9249D" w:rsidRPr="007B4FCD" w:rsidRDefault="00A9249D" w:rsidP="007B4FCD">
      <w:pPr>
        <w:jc w:val="both"/>
        <w:rPr>
          <w:rFonts w:ascii="Book Antiqua" w:hAnsi="Book Antiqua"/>
        </w:rPr>
      </w:pPr>
      <w:r w:rsidRPr="00E3232D">
        <w:rPr>
          <w:rFonts w:ascii="Book Antiqua" w:hAnsi="Book Antiqua"/>
        </w:rPr>
        <w:t>From the study, four main land types had responses from the respondents. These were vested lands, stool lands, state lands, and private individual lands. Out of these, vested lands were revealed to be the most predominant land type assessed by persons in the study area for housing development as it accounted for 42% of the response. This confirms the findings from the Regional Lands Officer from the interview. According to the Officer, vested land dominates various forms of land which private individuals in Koforidua acquire for housing development. The officer further explained that this is due to the passage of Executive Instrument, 195 in 1961which vested all lands within the New Juaben traditional area in the State in trust for the subjects. However, as a result of the urban growth, Koforidua which serves as both traditional and regional capital of the New Juaben Traditional Area and Eastern Region of Ghana respectively has expanded to other traditional areas which has resulted in the emergence of other types of lands in the study area. Details of the four types of lands identified by the study are represented in Figure 2.</w:t>
      </w:r>
    </w:p>
    <w:p w14:paraId="264F95C1" w14:textId="45850E1E" w:rsidR="00A9249D" w:rsidRPr="00E3232D" w:rsidRDefault="00A9249D" w:rsidP="008275E1">
      <w:pPr>
        <w:pStyle w:val="Caption"/>
        <w:keepNext/>
        <w:spacing w:line="276" w:lineRule="auto"/>
        <w:rPr>
          <w:rFonts w:ascii="Book Antiqua" w:hAnsi="Book Antiqua"/>
          <w:sz w:val="22"/>
          <w:szCs w:val="22"/>
        </w:rPr>
      </w:pPr>
      <w:r w:rsidRPr="00E3232D">
        <w:rPr>
          <w:rFonts w:ascii="Book Antiqua" w:hAnsi="Book Antiqua"/>
          <w:sz w:val="22"/>
          <w:szCs w:val="22"/>
        </w:rPr>
        <w:t xml:space="preserve">Figure </w:t>
      </w:r>
      <w:r w:rsidR="001815AD" w:rsidRPr="00E3232D">
        <w:rPr>
          <w:rFonts w:ascii="Book Antiqua" w:hAnsi="Book Antiqua"/>
          <w:sz w:val="22"/>
          <w:szCs w:val="22"/>
        </w:rPr>
        <w:fldChar w:fldCharType="begin"/>
      </w:r>
      <w:r w:rsidRPr="00E3232D">
        <w:rPr>
          <w:rFonts w:ascii="Book Antiqua" w:hAnsi="Book Antiqua"/>
          <w:sz w:val="22"/>
          <w:szCs w:val="22"/>
        </w:rPr>
        <w:instrText xml:space="preserve"> SEQ Figure \* ARABIC </w:instrText>
      </w:r>
      <w:r w:rsidR="001815AD" w:rsidRPr="00E3232D">
        <w:rPr>
          <w:rFonts w:ascii="Book Antiqua" w:hAnsi="Book Antiqua"/>
          <w:sz w:val="22"/>
          <w:szCs w:val="22"/>
        </w:rPr>
        <w:fldChar w:fldCharType="separate"/>
      </w:r>
      <w:r w:rsidR="00850DC5">
        <w:rPr>
          <w:rFonts w:ascii="Book Antiqua" w:hAnsi="Book Antiqua"/>
          <w:noProof/>
          <w:sz w:val="22"/>
          <w:szCs w:val="22"/>
        </w:rPr>
        <w:t>3</w:t>
      </w:r>
      <w:r w:rsidR="001815AD" w:rsidRPr="00E3232D">
        <w:rPr>
          <w:rFonts w:ascii="Book Antiqua" w:hAnsi="Book Antiqua"/>
          <w:sz w:val="22"/>
          <w:szCs w:val="22"/>
        </w:rPr>
        <w:fldChar w:fldCharType="end"/>
      </w:r>
      <w:r w:rsidRPr="00E3232D">
        <w:rPr>
          <w:rFonts w:ascii="Book Antiqua" w:hAnsi="Book Antiqua"/>
          <w:sz w:val="22"/>
          <w:szCs w:val="22"/>
        </w:rPr>
        <w:t>: Types of lands acquired by private individuals for housing development</w:t>
      </w:r>
    </w:p>
    <w:p w14:paraId="5630C263" w14:textId="77777777" w:rsidR="00A9249D" w:rsidRPr="00E3232D" w:rsidRDefault="007005B1" w:rsidP="008275E1">
      <w:pPr>
        <w:rPr>
          <w:rFonts w:ascii="Book Antiqua" w:hAnsi="Book Antiqua"/>
          <w:noProof/>
          <w:lang w:val="en-GB" w:eastAsia="en-GB"/>
        </w:rPr>
      </w:pPr>
      <w:r>
        <w:rPr>
          <w:rFonts w:ascii="Book Antiqua" w:hAnsi="Book Antiqua"/>
          <w:noProof/>
          <w:lang w:bidi="ar-SA"/>
        </w:rPr>
        <w:drawing>
          <wp:inline distT="0" distB="0" distL="0" distR="0" wp14:anchorId="2C9A7A10" wp14:editId="3D497BB3">
            <wp:extent cx="2934312" cy="2384676"/>
            <wp:effectExtent l="12202" t="6099" r="6236" b="0"/>
            <wp:docPr id="15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14:paraId="279E2F6D" w14:textId="77777777" w:rsidR="00A9249D" w:rsidRPr="00E3232D" w:rsidRDefault="00A9249D" w:rsidP="008275E1">
      <w:pPr>
        <w:ind w:firstLine="720"/>
        <w:rPr>
          <w:rFonts w:ascii="Book Antiqua" w:hAnsi="Book Antiqua"/>
        </w:rPr>
      </w:pPr>
      <w:r w:rsidRPr="00E3232D">
        <w:rPr>
          <w:rFonts w:ascii="Book Antiqua" w:hAnsi="Book Antiqua"/>
          <w:noProof/>
          <w:lang w:val="en-GB" w:eastAsia="en-GB"/>
        </w:rPr>
        <w:t>Source: Field Data (2012)</w:t>
      </w:r>
    </w:p>
    <w:p w14:paraId="7A8E2BCE" w14:textId="77777777" w:rsidR="00A9249D" w:rsidRPr="007B4FCD" w:rsidRDefault="00A9249D" w:rsidP="007B4FCD">
      <w:pPr>
        <w:jc w:val="both"/>
        <w:rPr>
          <w:rFonts w:ascii="Book Antiqua" w:hAnsi="Book Antiqua"/>
        </w:rPr>
      </w:pPr>
      <w:r w:rsidRPr="00E3232D">
        <w:rPr>
          <w:rFonts w:ascii="Book Antiqua" w:hAnsi="Book Antiqua"/>
        </w:rPr>
        <w:t xml:space="preserve">However, it must be noted that state lands had no response from the respondents. This could be mainly due to the constitutional provision highlighted in section 2.2 of this research report, which enjoins the State to give the original landowners from whom the lands were compulsorily acquired the first option for repossession should the purpose for which the lands were acquired was not carry out. Stool lands received low patronage and interest as it registered as low as 8% out of the total responses from the questionnaire survey. An early interview conducted with the Regional Administrator of Stool Lands revealed that the administration of stool lands is faced with numerous challenges which tend to scare off many people wishing to acquire stool lands for housing development. These challenges according to the Regional Administrator of Stool Lands   emanate from various disputes among heirs to thrones, couple </w:t>
      </w:r>
      <w:r w:rsidR="00372F8F" w:rsidRPr="00E3232D">
        <w:rPr>
          <w:rFonts w:ascii="Book Antiqua" w:hAnsi="Book Antiqua"/>
        </w:rPr>
        <w:t>with poor</w:t>
      </w:r>
      <w:r w:rsidRPr="00E3232D">
        <w:rPr>
          <w:rFonts w:ascii="Book Antiqua" w:hAnsi="Book Antiqua"/>
        </w:rPr>
        <w:t xml:space="preserve"> documentation of sales which often become elements of disputes on land acquisition processes.. Various persons who have already acquired stool lands have been made to make top-up payments when a new chief is installed.</w:t>
      </w:r>
    </w:p>
    <w:p w14:paraId="3B337B6B" w14:textId="77777777" w:rsidR="00A9249D" w:rsidRPr="00E3232D" w:rsidRDefault="00A9249D" w:rsidP="008275E1">
      <w:pPr>
        <w:rPr>
          <w:rFonts w:ascii="Book Antiqua" w:hAnsi="Book Antiqua"/>
          <w:b/>
        </w:rPr>
      </w:pPr>
      <w:r w:rsidRPr="00E3232D">
        <w:rPr>
          <w:rFonts w:ascii="Book Antiqua" w:hAnsi="Book Antiqua"/>
          <w:b/>
        </w:rPr>
        <w:t xml:space="preserve">5.2 </w:t>
      </w:r>
      <w:r w:rsidR="00372F8F" w:rsidRPr="00E3232D">
        <w:rPr>
          <w:rFonts w:ascii="Book Antiqua" w:hAnsi="Book Antiqua"/>
          <w:b/>
        </w:rPr>
        <w:t>Bottlenecks in</w:t>
      </w:r>
      <w:r w:rsidRPr="00E3232D">
        <w:rPr>
          <w:rFonts w:ascii="Book Antiqua" w:hAnsi="Book Antiqua"/>
          <w:b/>
        </w:rPr>
        <w:t xml:space="preserve"> Acquisition of Land for Housing  </w:t>
      </w:r>
    </w:p>
    <w:p w14:paraId="41127BD5" w14:textId="77777777" w:rsidR="00FD447E" w:rsidRDefault="00A9249D" w:rsidP="007B4FCD">
      <w:pPr>
        <w:jc w:val="both"/>
        <w:rPr>
          <w:rFonts w:ascii="Book Antiqua" w:hAnsi="Book Antiqua"/>
        </w:rPr>
      </w:pPr>
      <w:r w:rsidRPr="00E3232D">
        <w:rPr>
          <w:rFonts w:ascii="Book Antiqua" w:hAnsi="Book Antiqua"/>
        </w:rPr>
        <w:t>The study revealed that access to vested land, family, individual and stool lands for housing delivery are confronted with numerous limiting challenges. Key among them are multiple sales as  some indigenes, heirs of stool and sub-chiefs who claim to have right to dispose land without Lands Commission, sitting family heads and chiefs illegally sell land to private individuals including vested lands. Also, administrative bottlenecks like the use of outdated systems for record keeping on the part of Lands Commission to discharge its duties in timely and efficient manner were revealed to be challenges confronting the Commission. Furthermore, information gathered from the interview with the Administrator of Stool Lands also backed this assertion in the sense that, some chiefs sell lands without involving the Office of the Administrator of Stool Lands.</w:t>
      </w:r>
    </w:p>
    <w:p w14:paraId="7D256A8C" w14:textId="77777777" w:rsidR="00A9249D" w:rsidRPr="007B4FCD" w:rsidRDefault="00A9249D" w:rsidP="007B4FCD">
      <w:pPr>
        <w:jc w:val="both"/>
        <w:rPr>
          <w:rFonts w:ascii="Book Antiqua" w:hAnsi="Book Antiqua"/>
        </w:rPr>
      </w:pPr>
      <w:r w:rsidRPr="00E3232D">
        <w:rPr>
          <w:rFonts w:ascii="Book Antiqua" w:hAnsi="Book Antiqua"/>
        </w:rPr>
        <w:t xml:space="preserve">Also, problems in the land acquisition processes can be assigned to acquirers in the sense that majority of them fail to </w:t>
      </w:r>
      <w:r w:rsidR="00372F8F" w:rsidRPr="00E3232D">
        <w:rPr>
          <w:rFonts w:ascii="Book Antiqua" w:hAnsi="Book Antiqua"/>
        </w:rPr>
        <w:t>involve qualified</w:t>
      </w:r>
      <w:r w:rsidRPr="00E3232D">
        <w:rPr>
          <w:rFonts w:ascii="Book Antiqua" w:hAnsi="Book Antiqua"/>
        </w:rPr>
        <w:t xml:space="preserve"> professionals in the land administration. As indicated in Table 2, 68 percent of respondents did not seek professional advice in their land acquisition transactions. This indicates that the state of land and property market in Ghana is at the rudimentary stage and largely informal which largely lacks professionalism and transparency. </w:t>
      </w:r>
    </w:p>
    <w:p w14:paraId="1F758AB3" w14:textId="29A6108A" w:rsidR="00A9249D" w:rsidRPr="00E3232D" w:rsidRDefault="00A9249D" w:rsidP="008275E1">
      <w:pPr>
        <w:pStyle w:val="Caption"/>
        <w:keepNext/>
        <w:spacing w:line="276" w:lineRule="auto"/>
        <w:rPr>
          <w:rFonts w:ascii="Book Antiqua" w:hAnsi="Book Antiqua"/>
          <w:sz w:val="22"/>
          <w:szCs w:val="22"/>
        </w:rPr>
      </w:pPr>
      <w:r w:rsidRPr="00E3232D">
        <w:rPr>
          <w:rFonts w:ascii="Book Antiqua" w:hAnsi="Book Antiqua"/>
          <w:sz w:val="22"/>
          <w:szCs w:val="22"/>
        </w:rPr>
        <w:t xml:space="preserve">Table </w:t>
      </w:r>
      <w:r w:rsidR="001815AD" w:rsidRPr="00E3232D">
        <w:rPr>
          <w:rFonts w:ascii="Book Antiqua" w:hAnsi="Book Antiqua"/>
          <w:sz w:val="22"/>
          <w:szCs w:val="22"/>
        </w:rPr>
        <w:fldChar w:fldCharType="begin"/>
      </w:r>
      <w:r w:rsidRPr="00E3232D">
        <w:rPr>
          <w:rFonts w:ascii="Book Antiqua" w:hAnsi="Book Antiqua"/>
          <w:sz w:val="22"/>
          <w:szCs w:val="22"/>
        </w:rPr>
        <w:instrText xml:space="preserve"> SEQ Table \* ARABIC </w:instrText>
      </w:r>
      <w:r w:rsidR="001815AD" w:rsidRPr="00E3232D">
        <w:rPr>
          <w:rFonts w:ascii="Book Antiqua" w:hAnsi="Book Antiqua"/>
          <w:sz w:val="22"/>
          <w:szCs w:val="22"/>
        </w:rPr>
        <w:fldChar w:fldCharType="separate"/>
      </w:r>
      <w:r w:rsidR="00850DC5">
        <w:rPr>
          <w:rFonts w:ascii="Book Antiqua" w:hAnsi="Book Antiqua"/>
          <w:noProof/>
          <w:sz w:val="22"/>
          <w:szCs w:val="22"/>
        </w:rPr>
        <w:t>3</w:t>
      </w:r>
      <w:r w:rsidR="001815AD" w:rsidRPr="00E3232D">
        <w:rPr>
          <w:rFonts w:ascii="Book Antiqua" w:hAnsi="Book Antiqua"/>
          <w:sz w:val="22"/>
          <w:szCs w:val="22"/>
        </w:rPr>
        <w:fldChar w:fldCharType="end"/>
      </w:r>
      <w:r w:rsidRPr="00E3232D">
        <w:rPr>
          <w:rFonts w:ascii="Book Antiqua" w:hAnsi="Book Antiqua"/>
          <w:sz w:val="22"/>
          <w:szCs w:val="22"/>
        </w:rPr>
        <w:t>: Category of professionals involved in land acquisition transactions</w:t>
      </w:r>
    </w:p>
    <w:tbl>
      <w:tblPr>
        <w:tblW w:w="0" w:type="auto"/>
        <w:tblBorders>
          <w:top w:val="single" w:sz="8" w:space="0" w:color="000000"/>
          <w:bottom w:val="single" w:sz="8" w:space="0" w:color="000000"/>
        </w:tblBorders>
        <w:tblLook w:val="04A0" w:firstRow="1" w:lastRow="0" w:firstColumn="1" w:lastColumn="0" w:noHBand="0" w:noVBand="1"/>
      </w:tblPr>
      <w:tblGrid>
        <w:gridCol w:w="1761"/>
        <w:gridCol w:w="1091"/>
        <w:gridCol w:w="1517"/>
      </w:tblGrid>
      <w:tr w:rsidR="00A9249D" w:rsidRPr="00D12E59" w14:paraId="7836461E" w14:textId="77777777" w:rsidTr="00F5779C">
        <w:trPr>
          <w:trHeight w:val="338"/>
        </w:trPr>
        <w:tc>
          <w:tcPr>
            <w:tcW w:w="1813" w:type="dxa"/>
            <w:tcBorders>
              <w:top w:val="single" w:sz="8" w:space="0" w:color="000000"/>
              <w:left w:val="nil"/>
              <w:bottom w:val="single" w:sz="8" w:space="0" w:color="000000"/>
              <w:right w:val="nil"/>
            </w:tcBorders>
            <w:shd w:val="clear" w:color="auto" w:fill="auto"/>
          </w:tcPr>
          <w:p w14:paraId="7B56C905" w14:textId="77777777" w:rsidR="00A9249D" w:rsidRPr="00D12E59" w:rsidRDefault="00A9249D" w:rsidP="007B4FCD">
            <w:pPr>
              <w:spacing w:after="0"/>
              <w:rPr>
                <w:rFonts w:ascii="Book Antiqua" w:hAnsi="Book Antiqua"/>
                <w:b/>
                <w:bCs/>
                <w:i/>
                <w:iCs/>
              </w:rPr>
            </w:pPr>
            <w:r w:rsidRPr="00D12E59">
              <w:rPr>
                <w:rFonts w:ascii="Book Antiqua" w:hAnsi="Book Antiqua"/>
                <w:b/>
                <w:bCs/>
                <w:i/>
                <w:iCs/>
              </w:rPr>
              <w:t>Professional Engaged</w:t>
            </w:r>
          </w:p>
        </w:tc>
        <w:tc>
          <w:tcPr>
            <w:tcW w:w="1813" w:type="dxa"/>
            <w:tcBorders>
              <w:top w:val="single" w:sz="8" w:space="0" w:color="000000"/>
              <w:left w:val="nil"/>
              <w:bottom w:val="single" w:sz="8" w:space="0" w:color="000000"/>
              <w:right w:val="nil"/>
            </w:tcBorders>
            <w:shd w:val="clear" w:color="auto" w:fill="auto"/>
          </w:tcPr>
          <w:p w14:paraId="4B6AB668" w14:textId="77777777" w:rsidR="00A9249D" w:rsidRPr="00D12E59" w:rsidRDefault="00A9249D" w:rsidP="007B4FCD">
            <w:pPr>
              <w:spacing w:after="0"/>
              <w:rPr>
                <w:rFonts w:ascii="Book Antiqua" w:hAnsi="Book Antiqua"/>
                <w:b/>
                <w:bCs/>
                <w:i/>
                <w:iCs/>
              </w:rPr>
            </w:pPr>
            <w:r w:rsidRPr="00D12E59">
              <w:rPr>
                <w:rFonts w:ascii="Book Antiqua" w:hAnsi="Book Antiqua"/>
                <w:b/>
                <w:bCs/>
                <w:i/>
                <w:iCs/>
              </w:rPr>
              <w:t>Frequency</w:t>
            </w:r>
          </w:p>
        </w:tc>
        <w:tc>
          <w:tcPr>
            <w:tcW w:w="1813" w:type="dxa"/>
            <w:tcBorders>
              <w:top w:val="single" w:sz="8" w:space="0" w:color="000000"/>
              <w:left w:val="nil"/>
              <w:bottom w:val="single" w:sz="8" w:space="0" w:color="000000"/>
              <w:right w:val="nil"/>
            </w:tcBorders>
            <w:shd w:val="clear" w:color="auto" w:fill="auto"/>
          </w:tcPr>
          <w:p w14:paraId="57E49BB5" w14:textId="77777777" w:rsidR="00A9249D" w:rsidRPr="00D12E59" w:rsidRDefault="00A9249D" w:rsidP="007B4FCD">
            <w:pPr>
              <w:spacing w:after="0"/>
              <w:rPr>
                <w:rFonts w:ascii="Book Antiqua" w:hAnsi="Book Antiqua"/>
                <w:b/>
                <w:bCs/>
                <w:i/>
                <w:iCs/>
              </w:rPr>
            </w:pPr>
            <w:r w:rsidRPr="00D12E59">
              <w:rPr>
                <w:rFonts w:ascii="Book Antiqua" w:hAnsi="Book Antiqua"/>
                <w:b/>
                <w:bCs/>
                <w:i/>
                <w:iCs/>
              </w:rPr>
              <w:t>Percentage (%) in approximation</w:t>
            </w:r>
          </w:p>
        </w:tc>
      </w:tr>
      <w:tr w:rsidR="00A9249D" w:rsidRPr="00D12E59" w14:paraId="4E656181" w14:textId="77777777" w:rsidTr="00F5779C">
        <w:trPr>
          <w:trHeight w:val="338"/>
        </w:trPr>
        <w:tc>
          <w:tcPr>
            <w:tcW w:w="1813" w:type="dxa"/>
            <w:tcBorders>
              <w:left w:val="nil"/>
              <w:right w:val="nil"/>
            </w:tcBorders>
            <w:shd w:val="clear" w:color="auto" w:fill="auto"/>
          </w:tcPr>
          <w:p w14:paraId="552CE528" w14:textId="77777777" w:rsidR="00A9249D" w:rsidRPr="00D12E59" w:rsidRDefault="00A9249D" w:rsidP="007B4FCD">
            <w:pPr>
              <w:spacing w:after="0"/>
              <w:rPr>
                <w:rFonts w:ascii="Book Antiqua" w:hAnsi="Book Antiqua"/>
                <w:bCs/>
              </w:rPr>
            </w:pPr>
            <w:r w:rsidRPr="00D12E59">
              <w:rPr>
                <w:rFonts w:ascii="Book Antiqua" w:hAnsi="Book Antiqua"/>
                <w:bCs/>
              </w:rPr>
              <w:t>Legal Practitioners</w:t>
            </w:r>
          </w:p>
        </w:tc>
        <w:tc>
          <w:tcPr>
            <w:tcW w:w="1813" w:type="dxa"/>
            <w:tcBorders>
              <w:left w:val="nil"/>
              <w:right w:val="nil"/>
            </w:tcBorders>
            <w:shd w:val="clear" w:color="auto" w:fill="auto"/>
          </w:tcPr>
          <w:p w14:paraId="36601DE7" w14:textId="77777777" w:rsidR="00A9249D" w:rsidRPr="00D12E59" w:rsidRDefault="00A9249D" w:rsidP="007B4FCD">
            <w:pPr>
              <w:spacing w:after="0"/>
              <w:rPr>
                <w:rFonts w:ascii="Book Antiqua" w:hAnsi="Book Antiqua"/>
              </w:rPr>
            </w:pPr>
            <w:r w:rsidRPr="00D12E59">
              <w:rPr>
                <w:rFonts w:ascii="Book Antiqua" w:hAnsi="Book Antiqua"/>
              </w:rPr>
              <w:t>1</w:t>
            </w:r>
          </w:p>
        </w:tc>
        <w:tc>
          <w:tcPr>
            <w:tcW w:w="1813" w:type="dxa"/>
            <w:tcBorders>
              <w:left w:val="nil"/>
              <w:right w:val="nil"/>
            </w:tcBorders>
            <w:shd w:val="clear" w:color="auto" w:fill="auto"/>
          </w:tcPr>
          <w:p w14:paraId="2067EFC0" w14:textId="77777777" w:rsidR="00A9249D" w:rsidRPr="00D12E59" w:rsidRDefault="00A9249D" w:rsidP="007B4FCD">
            <w:pPr>
              <w:spacing w:after="0"/>
              <w:rPr>
                <w:rFonts w:ascii="Book Antiqua" w:hAnsi="Book Antiqua"/>
              </w:rPr>
            </w:pPr>
            <w:r w:rsidRPr="00D12E59">
              <w:rPr>
                <w:rFonts w:ascii="Book Antiqua" w:hAnsi="Book Antiqua"/>
              </w:rPr>
              <w:t>1</w:t>
            </w:r>
          </w:p>
        </w:tc>
      </w:tr>
      <w:tr w:rsidR="00A9249D" w:rsidRPr="00D12E59" w14:paraId="5161CCD8" w14:textId="77777777" w:rsidTr="00F5779C">
        <w:trPr>
          <w:trHeight w:val="347"/>
        </w:trPr>
        <w:tc>
          <w:tcPr>
            <w:tcW w:w="1813" w:type="dxa"/>
            <w:shd w:val="clear" w:color="auto" w:fill="auto"/>
          </w:tcPr>
          <w:p w14:paraId="225A7A04" w14:textId="77777777" w:rsidR="00A9249D" w:rsidRPr="00D12E59" w:rsidRDefault="00A9249D" w:rsidP="007B4FCD">
            <w:pPr>
              <w:spacing w:after="0"/>
              <w:rPr>
                <w:rFonts w:ascii="Book Antiqua" w:hAnsi="Book Antiqua"/>
                <w:bCs/>
              </w:rPr>
            </w:pPr>
            <w:r w:rsidRPr="00D12E59">
              <w:rPr>
                <w:rFonts w:ascii="Book Antiqua" w:hAnsi="Book Antiqua"/>
                <w:bCs/>
              </w:rPr>
              <w:t>Land Economist/Estate Manager</w:t>
            </w:r>
          </w:p>
        </w:tc>
        <w:tc>
          <w:tcPr>
            <w:tcW w:w="1813" w:type="dxa"/>
            <w:shd w:val="clear" w:color="auto" w:fill="auto"/>
          </w:tcPr>
          <w:p w14:paraId="0407B15D" w14:textId="77777777" w:rsidR="00A9249D" w:rsidRPr="00D12E59" w:rsidRDefault="00A9249D" w:rsidP="007B4FCD">
            <w:pPr>
              <w:spacing w:after="0"/>
              <w:rPr>
                <w:rFonts w:ascii="Book Antiqua" w:hAnsi="Book Antiqua"/>
              </w:rPr>
            </w:pPr>
            <w:r w:rsidRPr="00D12E59">
              <w:rPr>
                <w:rFonts w:ascii="Book Antiqua" w:hAnsi="Book Antiqua"/>
              </w:rPr>
              <w:t>6</w:t>
            </w:r>
          </w:p>
        </w:tc>
        <w:tc>
          <w:tcPr>
            <w:tcW w:w="1813" w:type="dxa"/>
            <w:shd w:val="clear" w:color="auto" w:fill="auto"/>
          </w:tcPr>
          <w:p w14:paraId="362C0252" w14:textId="77777777" w:rsidR="00A9249D" w:rsidRPr="00D12E59" w:rsidRDefault="00A9249D" w:rsidP="007B4FCD">
            <w:pPr>
              <w:spacing w:after="0"/>
              <w:rPr>
                <w:rFonts w:ascii="Book Antiqua" w:hAnsi="Book Antiqua"/>
              </w:rPr>
            </w:pPr>
            <w:r w:rsidRPr="00D12E59">
              <w:rPr>
                <w:rFonts w:ascii="Book Antiqua" w:hAnsi="Book Antiqua"/>
              </w:rPr>
              <w:t>6</w:t>
            </w:r>
          </w:p>
        </w:tc>
      </w:tr>
      <w:tr w:rsidR="00A9249D" w:rsidRPr="00D12E59" w14:paraId="4149937C" w14:textId="77777777" w:rsidTr="00F5779C">
        <w:trPr>
          <w:trHeight w:val="347"/>
        </w:trPr>
        <w:tc>
          <w:tcPr>
            <w:tcW w:w="1813" w:type="dxa"/>
            <w:tcBorders>
              <w:left w:val="nil"/>
              <w:right w:val="nil"/>
            </w:tcBorders>
            <w:shd w:val="clear" w:color="auto" w:fill="auto"/>
          </w:tcPr>
          <w:p w14:paraId="2FFC5821" w14:textId="77777777" w:rsidR="00A9249D" w:rsidRPr="00D12E59" w:rsidRDefault="00A9249D" w:rsidP="007B4FCD">
            <w:pPr>
              <w:spacing w:after="0"/>
              <w:rPr>
                <w:rFonts w:ascii="Book Antiqua" w:hAnsi="Book Antiqua"/>
                <w:bCs/>
              </w:rPr>
            </w:pPr>
            <w:r w:rsidRPr="00D12E59">
              <w:rPr>
                <w:rFonts w:ascii="Book Antiqua" w:hAnsi="Book Antiqua"/>
                <w:bCs/>
              </w:rPr>
              <w:t>Land Surveyors</w:t>
            </w:r>
          </w:p>
        </w:tc>
        <w:tc>
          <w:tcPr>
            <w:tcW w:w="1813" w:type="dxa"/>
            <w:tcBorders>
              <w:left w:val="nil"/>
              <w:right w:val="nil"/>
            </w:tcBorders>
            <w:shd w:val="clear" w:color="auto" w:fill="auto"/>
          </w:tcPr>
          <w:p w14:paraId="7ECDC5C6" w14:textId="77777777" w:rsidR="00A9249D" w:rsidRPr="00D12E59" w:rsidRDefault="00A9249D" w:rsidP="007B4FCD">
            <w:pPr>
              <w:spacing w:after="0"/>
              <w:rPr>
                <w:rFonts w:ascii="Book Antiqua" w:hAnsi="Book Antiqua"/>
              </w:rPr>
            </w:pPr>
            <w:r w:rsidRPr="00D12E59">
              <w:rPr>
                <w:rFonts w:ascii="Book Antiqua" w:hAnsi="Book Antiqua"/>
              </w:rPr>
              <w:t>6</w:t>
            </w:r>
          </w:p>
        </w:tc>
        <w:tc>
          <w:tcPr>
            <w:tcW w:w="1813" w:type="dxa"/>
            <w:tcBorders>
              <w:left w:val="nil"/>
              <w:right w:val="nil"/>
            </w:tcBorders>
            <w:shd w:val="clear" w:color="auto" w:fill="auto"/>
          </w:tcPr>
          <w:p w14:paraId="37292A53" w14:textId="77777777" w:rsidR="00A9249D" w:rsidRPr="00D12E59" w:rsidRDefault="00A9249D" w:rsidP="007B4FCD">
            <w:pPr>
              <w:spacing w:after="0"/>
              <w:rPr>
                <w:rFonts w:ascii="Book Antiqua" w:hAnsi="Book Antiqua"/>
              </w:rPr>
            </w:pPr>
            <w:r w:rsidRPr="00D12E59">
              <w:rPr>
                <w:rFonts w:ascii="Book Antiqua" w:hAnsi="Book Antiqua"/>
              </w:rPr>
              <w:t>6</w:t>
            </w:r>
          </w:p>
        </w:tc>
      </w:tr>
      <w:tr w:rsidR="00A9249D" w:rsidRPr="00D12E59" w14:paraId="6A46EBF6" w14:textId="77777777" w:rsidTr="00F5779C">
        <w:trPr>
          <w:trHeight w:val="500"/>
        </w:trPr>
        <w:tc>
          <w:tcPr>
            <w:tcW w:w="1813" w:type="dxa"/>
            <w:shd w:val="clear" w:color="auto" w:fill="auto"/>
          </w:tcPr>
          <w:p w14:paraId="3EABD403" w14:textId="77777777" w:rsidR="00A9249D" w:rsidRPr="00D12E59" w:rsidRDefault="00A9249D" w:rsidP="007B4FCD">
            <w:pPr>
              <w:spacing w:after="0"/>
              <w:rPr>
                <w:rFonts w:ascii="Book Antiqua" w:hAnsi="Book Antiqua"/>
                <w:bCs/>
              </w:rPr>
            </w:pPr>
            <w:r w:rsidRPr="00D12E59">
              <w:rPr>
                <w:rFonts w:ascii="Book Antiqua" w:hAnsi="Book Antiqua"/>
                <w:bCs/>
              </w:rPr>
              <w:t xml:space="preserve">Architects/other Related Professionals  </w:t>
            </w:r>
          </w:p>
        </w:tc>
        <w:tc>
          <w:tcPr>
            <w:tcW w:w="1813" w:type="dxa"/>
            <w:shd w:val="clear" w:color="auto" w:fill="auto"/>
          </w:tcPr>
          <w:p w14:paraId="60F15A5E" w14:textId="77777777" w:rsidR="00A9249D" w:rsidRPr="00D12E59" w:rsidRDefault="00A9249D" w:rsidP="007B4FCD">
            <w:pPr>
              <w:spacing w:after="0"/>
              <w:rPr>
                <w:rFonts w:ascii="Book Antiqua" w:hAnsi="Book Antiqua"/>
              </w:rPr>
            </w:pPr>
            <w:r w:rsidRPr="00D12E59">
              <w:rPr>
                <w:rFonts w:ascii="Book Antiqua" w:hAnsi="Book Antiqua"/>
              </w:rPr>
              <w:t>2</w:t>
            </w:r>
          </w:p>
        </w:tc>
        <w:tc>
          <w:tcPr>
            <w:tcW w:w="1813" w:type="dxa"/>
            <w:shd w:val="clear" w:color="auto" w:fill="auto"/>
          </w:tcPr>
          <w:p w14:paraId="2624BBD7" w14:textId="77777777" w:rsidR="00A9249D" w:rsidRPr="00D12E59" w:rsidRDefault="00A9249D" w:rsidP="007B4FCD">
            <w:pPr>
              <w:spacing w:after="0"/>
              <w:rPr>
                <w:rFonts w:ascii="Book Antiqua" w:hAnsi="Book Antiqua"/>
              </w:rPr>
            </w:pPr>
            <w:r w:rsidRPr="00D12E59">
              <w:rPr>
                <w:rFonts w:ascii="Book Antiqua" w:hAnsi="Book Antiqua"/>
              </w:rPr>
              <w:t>2</w:t>
            </w:r>
          </w:p>
        </w:tc>
      </w:tr>
      <w:tr w:rsidR="00A9249D" w:rsidRPr="00D12E59" w14:paraId="7D01E2F2" w14:textId="77777777" w:rsidTr="00F5779C">
        <w:trPr>
          <w:trHeight w:val="347"/>
        </w:trPr>
        <w:tc>
          <w:tcPr>
            <w:tcW w:w="1813" w:type="dxa"/>
            <w:tcBorders>
              <w:left w:val="nil"/>
              <w:right w:val="nil"/>
            </w:tcBorders>
            <w:shd w:val="clear" w:color="auto" w:fill="auto"/>
          </w:tcPr>
          <w:p w14:paraId="3DD739CC" w14:textId="77777777" w:rsidR="00A9249D" w:rsidRPr="00D12E59" w:rsidRDefault="00A9249D" w:rsidP="007B4FCD">
            <w:pPr>
              <w:spacing w:after="0"/>
              <w:rPr>
                <w:rFonts w:ascii="Book Antiqua" w:hAnsi="Book Antiqua"/>
                <w:bCs/>
              </w:rPr>
            </w:pPr>
            <w:r w:rsidRPr="00D12E59">
              <w:rPr>
                <w:rFonts w:ascii="Book Antiqua" w:hAnsi="Book Antiqua"/>
                <w:bCs/>
              </w:rPr>
              <w:t>Unlicensed Estate Agents</w:t>
            </w:r>
          </w:p>
        </w:tc>
        <w:tc>
          <w:tcPr>
            <w:tcW w:w="1813" w:type="dxa"/>
            <w:tcBorders>
              <w:left w:val="nil"/>
              <w:right w:val="nil"/>
            </w:tcBorders>
            <w:shd w:val="clear" w:color="auto" w:fill="auto"/>
          </w:tcPr>
          <w:p w14:paraId="04D12380" w14:textId="77777777" w:rsidR="00A9249D" w:rsidRPr="00D12E59" w:rsidRDefault="00A9249D" w:rsidP="007B4FCD">
            <w:pPr>
              <w:spacing w:after="0"/>
              <w:rPr>
                <w:rFonts w:ascii="Book Antiqua" w:hAnsi="Book Antiqua"/>
              </w:rPr>
            </w:pPr>
            <w:r w:rsidRPr="00D12E59">
              <w:rPr>
                <w:rFonts w:ascii="Book Antiqua" w:hAnsi="Book Antiqua"/>
              </w:rPr>
              <w:t>18</w:t>
            </w:r>
          </w:p>
        </w:tc>
        <w:tc>
          <w:tcPr>
            <w:tcW w:w="1813" w:type="dxa"/>
            <w:tcBorders>
              <w:left w:val="nil"/>
              <w:right w:val="nil"/>
            </w:tcBorders>
            <w:shd w:val="clear" w:color="auto" w:fill="auto"/>
          </w:tcPr>
          <w:p w14:paraId="664B978D" w14:textId="77777777" w:rsidR="00A9249D" w:rsidRPr="00D12E59" w:rsidRDefault="00A9249D" w:rsidP="007B4FCD">
            <w:pPr>
              <w:spacing w:after="0"/>
              <w:rPr>
                <w:rFonts w:ascii="Book Antiqua" w:hAnsi="Book Antiqua"/>
              </w:rPr>
            </w:pPr>
            <w:r w:rsidRPr="00D12E59">
              <w:rPr>
                <w:rFonts w:ascii="Book Antiqua" w:hAnsi="Book Antiqua"/>
              </w:rPr>
              <w:t>17</w:t>
            </w:r>
          </w:p>
        </w:tc>
      </w:tr>
      <w:tr w:rsidR="00A9249D" w:rsidRPr="00D12E59" w14:paraId="0692092A" w14:textId="77777777" w:rsidTr="00F5779C">
        <w:trPr>
          <w:trHeight w:val="338"/>
        </w:trPr>
        <w:tc>
          <w:tcPr>
            <w:tcW w:w="1813" w:type="dxa"/>
            <w:tcBorders>
              <w:bottom w:val="single" w:sz="4" w:space="0" w:color="auto"/>
            </w:tcBorders>
            <w:shd w:val="clear" w:color="auto" w:fill="auto"/>
          </w:tcPr>
          <w:p w14:paraId="4C6C5F3D" w14:textId="77777777" w:rsidR="00A9249D" w:rsidRPr="00D12E59" w:rsidRDefault="00A9249D" w:rsidP="007B4FCD">
            <w:pPr>
              <w:spacing w:after="0"/>
              <w:rPr>
                <w:rFonts w:ascii="Book Antiqua" w:hAnsi="Book Antiqua"/>
                <w:bCs/>
              </w:rPr>
            </w:pPr>
            <w:r w:rsidRPr="00D12E59">
              <w:rPr>
                <w:rFonts w:ascii="Book Antiqua" w:hAnsi="Book Antiqua"/>
                <w:bCs/>
              </w:rPr>
              <w:t>No professional engaged</w:t>
            </w:r>
          </w:p>
        </w:tc>
        <w:tc>
          <w:tcPr>
            <w:tcW w:w="1813" w:type="dxa"/>
            <w:tcBorders>
              <w:bottom w:val="single" w:sz="4" w:space="0" w:color="auto"/>
            </w:tcBorders>
            <w:shd w:val="clear" w:color="auto" w:fill="auto"/>
          </w:tcPr>
          <w:p w14:paraId="748E94C7" w14:textId="77777777" w:rsidR="00A9249D" w:rsidRPr="00D12E59" w:rsidRDefault="00A9249D" w:rsidP="007B4FCD">
            <w:pPr>
              <w:spacing w:after="0"/>
              <w:rPr>
                <w:rFonts w:ascii="Book Antiqua" w:hAnsi="Book Antiqua"/>
              </w:rPr>
            </w:pPr>
            <w:r w:rsidRPr="00D12E59">
              <w:rPr>
                <w:rFonts w:ascii="Book Antiqua" w:hAnsi="Book Antiqua"/>
              </w:rPr>
              <w:t>71</w:t>
            </w:r>
          </w:p>
        </w:tc>
        <w:tc>
          <w:tcPr>
            <w:tcW w:w="1813" w:type="dxa"/>
            <w:tcBorders>
              <w:bottom w:val="single" w:sz="4" w:space="0" w:color="auto"/>
            </w:tcBorders>
            <w:shd w:val="clear" w:color="auto" w:fill="auto"/>
          </w:tcPr>
          <w:p w14:paraId="1CEE8C88" w14:textId="77777777" w:rsidR="00A9249D" w:rsidRPr="00D12E59" w:rsidRDefault="00A9249D" w:rsidP="007B4FCD">
            <w:pPr>
              <w:spacing w:after="0"/>
              <w:rPr>
                <w:rFonts w:ascii="Book Antiqua" w:hAnsi="Book Antiqua"/>
              </w:rPr>
            </w:pPr>
            <w:r w:rsidRPr="00D12E59">
              <w:rPr>
                <w:rFonts w:ascii="Book Antiqua" w:hAnsi="Book Antiqua"/>
              </w:rPr>
              <w:t>68</w:t>
            </w:r>
          </w:p>
        </w:tc>
      </w:tr>
      <w:tr w:rsidR="00A9249D" w:rsidRPr="00D12E59" w14:paraId="563578C2" w14:textId="77777777" w:rsidTr="00F5779C">
        <w:trPr>
          <w:trHeight w:val="338"/>
        </w:trPr>
        <w:tc>
          <w:tcPr>
            <w:tcW w:w="1813" w:type="dxa"/>
            <w:tcBorders>
              <w:top w:val="single" w:sz="4" w:space="0" w:color="auto"/>
              <w:left w:val="nil"/>
              <w:right w:val="nil"/>
            </w:tcBorders>
            <w:shd w:val="clear" w:color="auto" w:fill="auto"/>
          </w:tcPr>
          <w:p w14:paraId="2B7635E0" w14:textId="77777777" w:rsidR="00A9249D" w:rsidRPr="00D12E59" w:rsidRDefault="00A9249D" w:rsidP="007B4FCD">
            <w:pPr>
              <w:spacing w:after="0"/>
              <w:rPr>
                <w:rFonts w:ascii="Book Antiqua" w:hAnsi="Book Antiqua"/>
                <w:bCs/>
              </w:rPr>
            </w:pPr>
            <w:r w:rsidRPr="00D12E59">
              <w:rPr>
                <w:rFonts w:ascii="Book Antiqua" w:hAnsi="Book Antiqua"/>
                <w:bCs/>
              </w:rPr>
              <w:t xml:space="preserve">Total </w:t>
            </w:r>
          </w:p>
        </w:tc>
        <w:tc>
          <w:tcPr>
            <w:tcW w:w="1813" w:type="dxa"/>
            <w:tcBorders>
              <w:top w:val="single" w:sz="4" w:space="0" w:color="auto"/>
              <w:left w:val="nil"/>
              <w:right w:val="nil"/>
            </w:tcBorders>
            <w:shd w:val="clear" w:color="auto" w:fill="auto"/>
          </w:tcPr>
          <w:p w14:paraId="70FD8CE4" w14:textId="77777777" w:rsidR="00A9249D" w:rsidRPr="00D12E59" w:rsidRDefault="00A9249D" w:rsidP="007B4FCD">
            <w:pPr>
              <w:spacing w:after="0"/>
              <w:rPr>
                <w:rFonts w:ascii="Book Antiqua" w:hAnsi="Book Antiqua"/>
              </w:rPr>
            </w:pPr>
            <w:r w:rsidRPr="00D12E59">
              <w:rPr>
                <w:rFonts w:ascii="Book Antiqua" w:hAnsi="Book Antiqua"/>
              </w:rPr>
              <w:t>104</w:t>
            </w:r>
          </w:p>
        </w:tc>
        <w:tc>
          <w:tcPr>
            <w:tcW w:w="1813" w:type="dxa"/>
            <w:tcBorders>
              <w:top w:val="single" w:sz="4" w:space="0" w:color="auto"/>
              <w:left w:val="nil"/>
              <w:right w:val="nil"/>
            </w:tcBorders>
            <w:shd w:val="clear" w:color="auto" w:fill="auto"/>
          </w:tcPr>
          <w:p w14:paraId="4A1301B6" w14:textId="77777777" w:rsidR="00A9249D" w:rsidRPr="00D12E59" w:rsidRDefault="00A9249D" w:rsidP="007B4FCD">
            <w:pPr>
              <w:spacing w:after="0"/>
              <w:rPr>
                <w:rFonts w:ascii="Book Antiqua" w:hAnsi="Book Antiqua"/>
              </w:rPr>
            </w:pPr>
            <w:r w:rsidRPr="00D12E59">
              <w:rPr>
                <w:rFonts w:ascii="Book Antiqua" w:hAnsi="Book Antiqua"/>
              </w:rPr>
              <w:t>100.0</w:t>
            </w:r>
          </w:p>
        </w:tc>
      </w:tr>
    </w:tbl>
    <w:p w14:paraId="5C669BEB" w14:textId="77777777" w:rsidR="00A9249D" w:rsidRPr="00E3232D" w:rsidRDefault="00A9249D" w:rsidP="007B4FCD">
      <w:pPr>
        <w:spacing w:after="0"/>
        <w:rPr>
          <w:rFonts w:ascii="Book Antiqua" w:hAnsi="Book Antiqua"/>
        </w:rPr>
      </w:pPr>
      <w:r w:rsidRPr="00E3232D">
        <w:rPr>
          <w:rFonts w:ascii="Book Antiqua" w:hAnsi="Book Antiqua"/>
        </w:rPr>
        <w:t>Source: Field Data (2012)</w:t>
      </w:r>
    </w:p>
    <w:p w14:paraId="6778605C" w14:textId="77777777" w:rsidR="00372F8F" w:rsidRDefault="00A9249D" w:rsidP="007B4FCD">
      <w:pPr>
        <w:jc w:val="both"/>
        <w:rPr>
          <w:rFonts w:ascii="Book Antiqua" w:hAnsi="Book Antiqua"/>
        </w:rPr>
      </w:pPr>
      <w:r w:rsidRPr="00E3232D">
        <w:rPr>
          <w:rFonts w:ascii="Book Antiqua" w:hAnsi="Book Antiqua"/>
        </w:rPr>
        <w:t xml:space="preserve">It can be seen from Table 2 that persons sought professional advice from predominantly unlicensed estate agents with no formal training in land sale and acquisition. This according to the Regional Lands officer, compounds the already challenging titleship documentation process and double sale. It also endangers and increases the risks and problems encountered at the development stage which sometimes could lead to death and long standing disputes that stagnate the construction period. </w:t>
      </w:r>
    </w:p>
    <w:p w14:paraId="10158909" w14:textId="77777777" w:rsidR="00A9249D" w:rsidRPr="00E3232D" w:rsidRDefault="00A9249D" w:rsidP="007B4FCD">
      <w:pPr>
        <w:jc w:val="both"/>
        <w:rPr>
          <w:rFonts w:ascii="Book Antiqua" w:hAnsi="Book Antiqua"/>
        </w:rPr>
      </w:pPr>
      <w:r w:rsidRPr="00E3232D">
        <w:rPr>
          <w:rFonts w:ascii="Book Antiqua" w:hAnsi="Book Antiqua"/>
        </w:rPr>
        <w:t xml:space="preserve">According to Mahama and Antwi (2006), most land transactions in Ghana take place outside formal registration process and this development raises huge set back on 'clean' acquisition that makes legal documentation and titleship incident or problem free. From Figure 3, only 1% of the respondents did not encounter any problem on his transaction at the documentation stage. The main problems encountered were 'Delay in getting Indenture' and 'Multiple sales'. These accounted for 52% and 19% respectively as shown in Figure 3. </w:t>
      </w:r>
    </w:p>
    <w:p w14:paraId="2536C90E" w14:textId="77777777" w:rsidR="00A9249D" w:rsidRPr="00E3232D" w:rsidRDefault="00A9249D" w:rsidP="008275E1">
      <w:pPr>
        <w:rPr>
          <w:rFonts w:ascii="Book Antiqua" w:hAnsi="Book Antiqua"/>
        </w:rPr>
      </w:pPr>
    </w:p>
    <w:p w14:paraId="41CBED10" w14:textId="1BB764AF" w:rsidR="00A9249D" w:rsidRPr="00E3232D" w:rsidRDefault="00A9249D" w:rsidP="008275E1">
      <w:pPr>
        <w:pStyle w:val="Caption"/>
        <w:keepNext/>
        <w:spacing w:line="276" w:lineRule="auto"/>
        <w:rPr>
          <w:rFonts w:ascii="Book Antiqua" w:hAnsi="Book Antiqua"/>
          <w:sz w:val="22"/>
          <w:szCs w:val="22"/>
        </w:rPr>
      </w:pPr>
      <w:r w:rsidRPr="00E3232D">
        <w:rPr>
          <w:rFonts w:ascii="Book Antiqua" w:hAnsi="Book Antiqua"/>
          <w:sz w:val="22"/>
          <w:szCs w:val="22"/>
        </w:rPr>
        <w:t xml:space="preserve">Figure </w:t>
      </w:r>
      <w:r w:rsidR="001815AD" w:rsidRPr="00E3232D">
        <w:rPr>
          <w:rFonts w:ascii="Book Antiqua" w:hAnsi="Book Antiqua"/>
          <w:sz w:val="22"/>
          <w:szCs w:val="22"/>
        </w:rPr>
        <w:fldChar w:fldCharType="begin"/>
      </w:r>
      <w:r w:rsidRPr="00E3232D">
        <w:rPr>
          <w:rFonts w:ascii="Book Antiqua" w:hAnsi="Book Antiqua"/>
          <w:sz w:val="22"/>
          <w:szCs w:val="22"/>
        </w:rPr>
        <w:instrText xml:space="preserve"> SEQ Figure \* ARABIC </w:instrText>
      </w:r>
      <w:r w:rsidR="001815AD" w:rsidRPr="00E3232D">
        <w:rPr>
          <w:rFonts w:ascii="Book Antiqua" w:hAnsi="Book Antiqua"/>
          <w:sz w:val="22"/>
          <w:szCs w:val="22"/>
        </w:rPr>
        <w:fldChar w:fldCharType="separate"/>
      </w:r>
      <w:r w:rsidR="00850DC5">
        <w:rPr>
          <w:rFonts w:ascii="Book Antiqua" w:hAnsi="Book Antiqua"/>
          <w:noProof/>
          <w:sz w:val="22"/>
          <w:szCs w:val="22"/>
        </w:rPr>
        <w:t>4</w:t>
      </w:r>
      <w:r w:rsidR="001815AD" w:rsidRPr="00E3232D">
        <w:rPr>
          <w:rFonts w:ascii="Book Antiqua" w:hAnsi="Book Antiqua"/>
          <w:sz w:val="22"/>
          <w:szCs w:val="22"/>
        </w:rPr>
        <w:fldChar w:fldCharType="end"/>
      </w:r>
      <w:r w:rsidRPr="00E3232D">
        <w:rPr>
          <w:rFonts w:ascii="Book Antiqua" w:hAnsi="Book Antiqua"/>
          <w:sz w:val="22"/>
          <w:szCs w:val="22"/>
        </w:rPr>
        <w:t>: Problems encountered in the documentation process</w:t>
      </w:r>
    </w:p>
    <w:p w14:paraId="47524386" w14:textId="77777777" w:rsidR="00A9249D" w:rsidRPr="00E3232D" w:rsidRDefault="007005B1" w:rsidP="008275E1">
      <w:pPr>
        <w:rPr>
          <w:rFonts w:ascii="Book Antiqua" w:hAnsi="Book Antiqua"/>
        </w:rPr>
      </w:pPr>
      <w:r>
        <w:rPr>
          <w:rFonts w:ascii="Book Antiqua" w:hAnsi="Book Antiqua"/>
          <w:noProof/>
          <w:lang w:bidi="ar-SA"/>
        </w:rPr>
        <w:drawing>
          <wp:inline distT="0" distB="0" distL="0" distR="0" wp14:anchorId="471B4B3B" wp14:editId="7D220207">
            <wp:extent cx="3514725" cy="2600325"/>
            <wp:effectExtent l="0" t="0" r="0" b="0"/>
            <wp:docPr id="159" name="Object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14:paraId="39F534CF" w14:textId="77777777" w:rsidR="00A9249D" w:rsidRPr="00E3232D" w:rsidRDefault="00A9249D" w:rsidP="008275E1">
      <w:pPr>
        <w:rPr>
          <w:rFonts w:ascii="Book Antiqua" w:hAnsi="Book Antiqua"/>
        </w:rPr>
      </w:pPr>
      <w:r w:rsidRPr="00E3232D">
        <w:rPr>
          <w:rFonts w:ascii="Book Antiqua" w:hAnsi="Book Antiqua"/>
        </w:rPr>
        <w:t>Source: Field Data (2012)</w:t>
      </w:r>
    </w:p>
    <w:p w14:paraId="0EF7CDD5" w14:textId="77777777" w:rsidR="00FA2C43" w:rsidRDefault="00A9249D" w:rsidP="007B4FCD">
      <w:pPr>
        <w:jc w:val="both"/>
        <w:rPr>
          <w:rFonts w:ascii="Book Antiqua" w:hAnsi="Book Antiqua"/>
        </w:rPr>
      </w:pPr>
      <w:r w:rsidRPr="00E3232D">
        <w:rPr>
          <w:rFonts w:ascii="Book Antiqua" w:hAnsi="Book Antiqua"/>
        </w:rPr>
        <w:t xml:space="preserve">The inability to complete titleship and documentation in timely manner,, and also lack of involvement of field professionals have greatly contributed to the problem of multiple sales and wrongful demarcation in land acquisition. These occurrences obviously do not promote people’s desire and effort to acquire land for housing development and consequently impact negatively on the national delivery. </w:t>
      </w:r>
    </w:p>
    <w:p w14:paraId="53A015AE" w14:textId="77777777" w:rsidR="00A9249D" w:rsidRPr="00E3232D" w:rsidRDefault="007B4FCD" w:rsidP="007B4FCD">
      <w:pPr>
        <w:spacing w:after="0"/>
        <w:rPr>
          <w:rFonts w:ascii="Book Antiqua" w:hAnsi="Book Antiqua"/>
        </w:rPr>
      </w:pPr>
      <w:r>
        <w:rPr>
          <w:rFonts w:ascii="Book Antiqua" w:hAnsi="Book Antiqua"/>
        </w:rPr>
        <w:t xml:space="preserve"> </w:t>
      </w:r>
    </w:p>
    <w:p w14:paraId="3F6CA1FB" w14:textId="77777777" w:rsidR="00A9249D" w:rsidRPr="00E3232D" w:rsidRDefault="007B4FCD" w:rsidP="00196385">
      <w:pPr>
        <w:numPr>
          <w:ilvl w:val="0"/>
          <w:numId w:val="179"/>
        </w:numPr>
        <w:spacing w:before="120" w:after="120"/>
        <w:rPr>
          <w:rFonts w:ascii="Book Antiqua" w:hAnsi="Book Antiqua"/>
          <w:b/>
        </w:rPr>
      </w:pPr>
      <w:r w:rsidRPr="007B4FCD">
        <w:rPr>
          <w:rFonts w:ascii="Book Antiqua" w:hAnsi="Book Antiqua"/>
          <w:b/>
          <w:sz w:val="26"/>
        </w:rPr>
        <w:t>Conclusions</w:t>
      </w:r>
      <w:r w:rsidRPr="00E3232D">
        <w:rPr>
          <w:rFonts w:ascii="Book Antiqua" w:hAnsi="Book Antiqua"/>
          <w:b/>
        </w:rPr>
        <w:t xml:space="preserve"> </w:t>
      </w:r>
    </w:p>
    <w:p w14:paraId="458EF7FE" w14:textId="77777777" w:rsidR="00A9249D" w:rsidRPr="00E3232D" w:rsidRDefault="00A9249D" w:rsidP="007B4FCD">
      <w:pPr>
        <w:jc w:val="both"/>
        <w:rPr>
          <w:rFonts w:ascii="Book Antiqua" w:hAnsi="Book Antiqua"/>
        </w:rPr>
      </w:pPr>
      <w:r w:rsidRPr="00E3232D">
        <w:rPr>
          <w:rFonts w:ascii="Book Antiqua" w:hAnsi="Book Antiqua"/>
        </w:rPr>
        <w:t xml:space="preserve">Ghana faces a huge housing deficit. The provision of housing to meet the ever rising housing needs, especially in the urban centres is wilfully inadequate as the nation is confronted with over one million housing </w:t>
      </w:r>
      <w:r w:rsidR="004D1E25" w:rsidRPr="00E3232D">
        <w:rPr>
          <w:rFonts w:ascii="Book Antiqua" w:hAnsi="Book Antiqua"/>
        </w:rPr>
        <w:t>unit’s</w:t>
      </w:r>
      <w:r w:rsidRPr="00E3232D">
        <w:rPr>
          <w:rFonts w:ascii="Book Antiqua" w:hAnsi="Book Antiqua"/>
        </w:rPr>
        <w:t xml:space="preserve"> backlog. Government, private real estate developers, and private individuals have been identified as three main contributors in the provision of housing units in Ghana. However, the private individuals’ contribution to the national housing stock remains the most significant in terms </w:t>
      </w:r>
      <w:r w:rsidR="004D1E25" w:rsidRPr="00E3232D">
        <w:rPr>
          <w:rFonts w:ascii="Book Antiqua" w:hAnsi="Book Antiqua"/>
        </w:rPr>
        <w:t>of number</w:t>
      </w:r>
      <w:r w:rsidRPr="00E3232D">
        <w:rPr>
          <w:rFonts w:ascii="Book Antiqua" w:hAnsi="Book Antiqua"/>
        </w:rPr>
        <w:t xml:space="preserve"> of delivery of housing units. The operations of private individuals vis the urban housing development in Ghana are highly informal. There </w:t>
      </w:r>
      <w:r w:rsidR="004D1E25" w:rsidRPr="00E3232D">
        <w:rPr>
          <w:rFonts w:ascii="Book Antiqua" w:hAnsi="Book Antiqua"/>
        </w:rPr>
        <w:t>are number</w:t>
      </w:r>
      <w:r w:rsidRPr="00E3232D">
        <w:rPr>
          <w:rFonts w:ascii="Book Antiqua" w:hAnsi="Book Antiqua"/>
        </w:rPr>
        <w:t xml:space="preserve"> of constraints which hinder the urban housing development in Ghana, especially by the private individuals in Ghana. Key among these constraints identified by various study include access to land, access to finance and cost of housing delivery. This paper mainly looked at the land acquisition challenges faced by private individuals in Ghana in their quest to secure land for housing development. The paper specifically picked one of the urban centres in Ghana</w:t>
      </w:r>
      <w:r w:rsidR="004D1E25" w:rsidRPr="00E3232D">
        <w:rPr>
          <w:rFonts w:ascii="Book Antiqua" w:hAnsi="Book Antiqua"/>
        </w:rPr>
        <w:t>, Koforidua</w:t>
      </w:r>
      <w:r w:rsidRPr="00E3232D">
        <w:rPr>
          <w:rFonts w:ascii="Book Antiqua" w:hAnsi="Book Antiqua"/>
        </w:rPr>
        <w:t xml:space="preserve">, to critically examine the different types of land with their associated problems which private individuals faced in acquiring land for urban housing.  </w:t>
      </w:r>
    </w:p>
    <w:p w14:paraId="18CCB500" w14:textId="77777777" w:rsidR="00372F8F" w:rsidRDefault="00372F8F" w:rsidP="008275E1">
      <w:pPr>
        <w:rPr>
          <w:rFonts w:ascii="Book Antiqua" w:hAnsi="Book Antiqua"/>
        </w:rPr>
      </w:pPr>
    </w:p>
    <w:p w14:paraId="00487FCB" w14:textId="77777777" w:rsidR="008309D3" w:rsidRDefault="00A9249D" w:rsidP="007B4FCD">
      <w:pPr>
        <w:jc w:val="both"/>
        <w:rPr>
          <w:rFonts w:ascii="Book Antiqua" w:hAnsi="Book Antiqua"/>
        </w:rPr>
      </w:pPr>
      <w:r w:rsidRPr="00E3232D">
        <w:rPr>
          <w:rFonts w:ascii="Book Antiqua" w:hAnsi="Book Antiqua"/>
        </w:rPr>
        <w:t>The conclusion we deduced from the paper can be summarized as:</w:t>
      </w:r>
    </w:p>
    <w:p w14:paraId="785B4A76" w14:textId="77777777" w:rsidR="00A9249D" w:rsidRPr="00E3232D" w:rsidRDefault="00A9249D" w:rsidP="007B4FCD">
      <w:pPr>
        <w:jc w:val="both"/>
        <w:rPr>
          <w:rFonts w:ascii="Book Antiqua" w:hAnsi="Book Antiqua"/>
        </w:rPr>
      </w:pPr>
      <w:r w:rsidRPr="00E3232D">
        <w:rPr>
          <w:rFonts w:ascii="Book Antiqua" w:hAnsi="Book Antiqua"/>
        </w:rPr>
        <w:t xml:space="preserve">The study revealed four main land types acquired by the private individuals’ housing development in the study area which were vested lands, family lands, stool lands and private individual lands. It has been clearly established in the study that the acquisition of any type of land identified is bedevilled with numerous challenges which adversely affects urban housing development by private individuals. Major challenges identified include multiple sales and land disputes. These often lead to long standing dispute and litigation that stifle private individuals’ effort to build their houses in the urban centres. This presupposes that housing developers would feel unsecured about their investment which will eventually scare people from building their own houses to augment the national housing stock. It was also revealed that non-involvement of qualified professionals in land acquisition transactions is very prevalent in the study area. This combined with huge urban housing needs in Ghana clearly indicate that land and property market in Ghana is highly undeveloped and largely informal. This would obviously compound problems associated with land acquisition transactions, and hence adversely affect private individuals’ housing development. </w:t>
      </w:r>
    </w:p>
    <w:p w14:paraId="61448827" w14:textId="77777777" w:rsidR="00A9249D" w:rsidRPr="00E3232D" w:rsidRDefault="00A9249D" w:rsidP="007B4FCD">
      <w:pPr>
        <w:jc w:val="both"/>
        <w:rPr>
          <w:rFonts w:ascii="Book Antiqua" w:hAnsi="Book Antiqua"/>
        </w:rPr>
      </w:pPr>
      <w:r w:rsidRPr="00E3232D">
        <w:rPr>
          <w:rFonts w:ascii="Book Antiqua" w:hAnsi="Book Antiqua"/>
        </w:rPr>
        <w:t xml:space="preserve">Base on the findings of this research, there is an urgent need for an immediate action and policy framework which seeks to formalise the operations of the land and property market in Ghana. This calls for considerable investment by both public and private sectors. The government can play an effective role by ensuring that regulations on land transactions are put in place to facilitate smooth land transaction processes. Also, the state land agencies should initiate program to specifically sensitize the populace on land acquisition and other related procedures.   </w:t>
      </w:r>
    </w:p>
    <w:p w14:paraId="1D282EFD" w14:textId="77777777" w:rsidR="004D1E25" w:rsidRDefault="004D1E25" w:rsidP="008275E1">
      <w:pPr>
        <w:rPr>
          <w:rFonts w:ascii="Book Antiqua" w:hAnsi="Book Antiqua"/>
          <w:b/>
        </w:rPr>
      </w:pPr>
    </w:p>
    <w:p w14:paraId="299F6C30" w14:textId="77777777" w:rsidR="00A9249D" w:rsidRPr="00E3232D" w:rsidRDefault="00A9249D" w:rsidP="008275E1">
      <w:pPr>
        <w:rPr>
          <w:rFonts w:ascii="Book Antiqua" w:hAnsi="Book Antiqua"/>
          <w:b/>
        </w:rPr>
      </w:pPr>
      <w:r w:rsidRPr="00E3232D">
        <w:rPr>
          <w:rFonts w:ascii="Book Antiqua" w:hAnsi="Book Antiqua"/>
          <w:b/>
        </w:rPr>
        <w:t>Acknowledgement</w:t>
      </w:r>
    </w:p>
    <w:p w14:paraId="640643D4" w14:textId="77777777" w:rsidR="00A9249D" w:rsidRPr="007B4FCD" w:rsidRDefault="00A9249D" w:rsidP="007B4FCD">
      <w:pPr>
        <w:jc w:val="both"/>
        <w:rPr>
          <w:rFonts w:ascii="Book Antiqua" w:hAnsi="Book Antiqua"/>
        </w:rPr>
      </w:pPr>
      <w:r w:rsidRPr="00E3232D">
        <w:rPr>
          <w:rFonts w:ascii="Book Antiqua" w:hAnsi="Book Antiqua"/>
        </w:rPr>
        <w:t xml:space="preserve">We acknowledge the time and support we received from staff and heads of  the Lands Commission, and the Office of the Administrator of Stool Lands, all in the Eastern Regional Capital, Koforidua, Ghana. Also, we sincerely thank Wrempehene Nana Agyei-Kwakye Frimpong I, a divisional chief of Oyoko-Koforidua, New Juaben Traditional Area, and Arc.  P.N-O Yemofio for their rich knowledge and experience in land matters in Koforidua they shared with us during our data collection exercise. We also thank all our respondents who took time to answer our questionnaire sent out.   </w:t>
      </w:r>
    </w:p>
    <w:p w14:paraId="5F65066A" w14:textId="77777777" w:rsidR="00A9249D" w:rsidRPr="00E3232D" w:rsidRDefault="007B4FCD" w:rsidP="008275E1">
      <w:pPr>
        <w:rPr>
          <w:rFonts w:ascii="Book Antiqua" w:hAnsi="Book Antiqua"/>
          <w:b/>
        </w:rPr>
      </w:pPr>
      <w:r w:rsidRPr="007B4FCD">
        <w:rPr>
          <w:rFonts w:ascii="Book Antiqua" w:hAnsi="Book Antiqua"/>
          <w:b/>
          <w:sz w:val="26"/>
        </w:rPr>
        <w:t>References</w:t>
      </w:r>
    </w:p>
    <w:p w14:paraId="41B3E7A6" w14:textId="77777777" w:rsidR="00A9249D" w:rsidRPr="00E3232D" w:rsidRDefault="00A9249D" w:rsidP="007B4FCD">
      <w:pPr>
        <w:spacing w:before="240"/>
        <w:ind w:left="900" w:hanging="900"/>
        <w:jc w:val="both"/>
        <w:rPr>
          <w:rFonts w:ascii="Book Antiqua" w:hAnsi="Book Antiqua"/>
        </w:rPr>
      </w:pPr>
      <w:r w:rsidRPr="00E3232D">
        <w:rPr>
          <w:rFonts w:ascii="Book Antiqua" w:hAnsi="Book Antiqua"/>
        </w:rPr>
        <w:t xml:space="preserve"> Ademiluyi, I. A. (2010). “Public Housing Delivery Strategies in Nigeria: A Historical Perspective of Policy and Programmes”, </w:t>
      </w:r>
      <w:r w:rsidRPr="00E3232D">
        <w:rPr>
          <w:rFonts w:ascii="Book Antiqua" w:hAnsi="Book Antiqua"/>
          <w:i/>
        </w:rPr>
        <w:t>Journal of Sustainable Development in Africa</w:t>
      </w:r>
      <w:r w:rsidRPr="00E3232D">
        <w:rPr>
          <w:rFonts w:ascii="Book Antiqua" w:hAnsi="Book Antiqua"/>
        </w:rPr>
        <w:t xml:space="preserve"> [online], vol 12, No.6, p. 153-161. Available from: http://www.jsd-africa.com/Jsda/V12No6_Fall2010_B/PDF/Public%20Housing%20Delivery%20Strategies%20in%20Nigeria.pdf (accessed on 30</w:t>
      </w:r>
      <w:r w:rsidRPr="00E3232D">
        <w:rPr>
          <w:rFonts w:ascii="Book Antiqua" w:hAnsi="Book Antiqua"/>
          <w:vertAlign w:val="superscript"/>
        </w:rPr>
        <w:t>th</w:t>
      </w:r>
      <w:r w:rsidRPr="00E3232D">
        <w:rPr>
          <w:rFonts w:ascii="Book Antiqua" w:hAnsi="Book Antiqua"/>
        </w:rPr>
        <w:t xml:space="preserve"> May, 2012)</w:t>
      </w:r>
    </w:p>
    <w:p w14:paraId="2DCAAEA9" w14:textId="77777777" w:rsidR="00A9249D" w:rsidRPr="00E3232D" w:rsidRDefault="00A9249D" w:rsidP="007B4FCD">
      <w:pPr>
        <w:ind w:left="900" w:hanging="900"/>
        <w:jc w:val="both"/>
        <w:rPr>
          <w:rFonts w:ascii="Book Antiqua" w:hAnsi="Book Antiqua"/>
        </w:rPr>
      </w:pPr>
      <w:r w:rsidRPr="00E3232D">
        <w:rPr>
          <w:rFonts w:ascii="Book Antiqua" w:hAnsi="Book Antiqua"/>
        </w:rPr>
        <w:t xml:space="preserve">Administration of Lands Act (Act 123) (1962). Government of Ghana Document, Accra: Ghana Publishing Corporation </w:t>
      </w:r>
    </w:p>
    <w:p w14:paraId="539B5DB0" w14:textId="77777777" w:rsidR="00A9249D" w:rsidRPr="00E3232D" w:rsidRDefault="00A9249D" w:rsidP="007B4FCD">
      <w:pPr>
        <w:spacing w:before="240"/>
        <w:ind w:left="900" w:hanging="900"/>
        <w:jc w:val="both"/>
        <w:rPr>
          <w:rFonts w:ascii="Book Antiqua" w:hAnsi="Book Antiqua"/>
        </w:rPr>
      </w:pPr>
      <w:r w:rsidRPr="00E3232D">
        <w:rPr>
          <w:rFonts w:ascii="Book Antiqua" w:hAnsi="Book Antiqua"/>
        </w:rPr>
        <w:t>Akuffo A. (2006).“HFC’s Pioneering Role and Rationale for Conversion to Full Banking Activities:  Sustainability of Specialised Lender</w:t>
      </w:r>
      <w:r w:rsidRPr="00E3232D">
        <w:rPr>
          <w:rFonts w:ascii="Book Antiqua" w:hAnsi="Book Antiqua"/>
          <w:i/>
        </w:rPr>
        <w:t>s”</w:t>
      </w:r>
      <w:r w:rsidRPr="00E3232D">
        <w:rPr>
          <w:rFonts w:ascii="Book Antiqua" w:hAnsi="Book Antiqua"/>
        </w:rPr>
        <w:t xml:space="preserve"> </w:t>
      </w:r>
      <w:r w:rsidRPr="00E3232D">
        <w:rPr>
          <w:rFonts w:ascii="Book Antiqua" w:hAnsi="Book Antiqua"/>
          <w:i/>
        </w:rPr>
        <w:t>Proceedings of the World Bank/International Finance Corporation (IFC)</w:t>
      </w:r>
      <w:r w:rsidRPr="00E3232D">
        <w:rPr>
          <w:rFonts w:ascii="Book Antiqua" w:hAnsi="Book Antiqua"/>
        </w:rPr>
        <w:t xml:space="preserve"> </w:t>
      </w:r>
      <w:r w:rsidRPr="00E3232D">
        <w:rPr>
          <w:rFonts w:ascii="Book Antiqua" w:hAnsi="Book Antiqua"/>
          <w:i/>
        </w:rPr>
        <w:t xml:space="preserve">Housing Finance Conference, </w:t>
      </w:r>
      <w:r w:rsidRPr="00E3232D">
        <w:rPr>
          <w:rFonts w:ascii="Book Antiqua" w:hAnsi="Book Antiqua"/>
        </w:rPr>
        <w:t xml:space="preserve">Washington DC,  16 – 17 March </w:t>
      </w:r>
    </w:p>
    <w:p w14:paraId="0A66100B" w14:textId="77777777" w:rsidR="00FD447E" w:rsidRDefault="00A9249D" w:rsidP="007B4FCD">
      <w:pPr>
        <w:ind w:left="900" w:hanging="900"/>
        <w:jc w:val="both"/>
        <w:rPr>
          <w:rFonts w:ascii="Book Antiqua" w:hAnsi="Book Antiqua"/>
        </w:rPr>
      </w:pPr>
      <w:r w:rsidRPr="00E3232D">
        <w:rPr>
          <w:rFonts w:ascii="Book Antiqua" w:hAnsi="Book Antiqua"/>
        </w:rPr>
        <w:t>Alhassan, O. and Manuh, T. (2005). “Land Registration in Eastern and Western Regions, Ghana</w:t>
      </w:r>
      <w:r w:rsidRPr="00E3232D">
        <w:rPr>
          <w:rFonts w:ascii="Book Antiqua" w:hAnsi="Book Antiqua"/>
          <w:i/>
        </w:rPr>
        <w:t>”</w:t>
      </w:r>
      <w:r w:rsidRPr="00E3232D">
        <w:rPr>
          <w:rFonts w:ascii="Book Antiqua" w:hAnsi="Book Antiqua"/>
        </w:rPr>
        <w:t>, Research Report 5</w:t>
      </w:r>
      <w:r w:rsidRPr="00E3232D">
        <w:rPr>
          <w:rFonts w:ascii="Book Antiqua" w:hAnsi="Book Antiqua"/>
          <w:i/>
        </w:rPr>
        <w:t xml:space="preserve"> </w:t>
      </w:r>
      <w:r w:rsidRPr="00E3232D">
        <w:rPr>
          <w:rFonts w:ascii="Book Antiqua" w:hAnsi="Book Antiqua"/>
        </w:rPr>
        <w:t>[Online], Hertfordshire: International Institute for Environment and</w:t>
      </w:r>
    </w:p>
    <w:p w14:paraId="08822714" w14:textId="77777777" w:rsidR="00A9249D" w:rsidRPr="00E3232D" w:rsidRDefault="00A9249D" w:rsidP="007B4FCD">
      <w:pPr>
        <w:ind w:left="900" w:hanging="900"/>
        <w:jc w:val="both"/>
        <w:rPr>
          <w:rFonts w:ascii="Book Antiqua" w:hAnsi="Book Antiqua"/>
        </w:rPr>
      </w:pPr>
      <w:r w:rsidRPr="00E3232D">
        <w:rPr>
          <w:rFonts w:ascii="Book Antiqua" w:hAnsi="Book Antiqua"/>
        </w:rPr>
        <w:t xml:space="preserve"> Development. Available from: http://pubs.iied.org/pdfs/12522IIED.pdf? (Accessed on 20</w:t>
      </w:r>
      <w:r w:rsidRPr="00E3232D">
        <w:rPr>
          <w:rFonts w:ascii="Book Antiqua" w:hAnsi="Book Antiqua"/>
          <w:vertAlign w:val="superscript"/>
        </w:rPr>
        <w:t>th</w:t>
      </w:r>
      <w:r w:rsidRPr="00E3232D">
        <w:rPr>
          <w:rFonts w:ascii="Book Antiqua" w:hAnsi="Book Antiqua"/>
        </w:rPr>
        <w:t xml:space="preserve"> June, 2012). </w:t>
      </w:r>
    </w:p>
    <w:p w14:paraId="0421DCC5" w14:textId="77777777" w:rsidR="00A9249D" w:rsidRPr="00E3232D" w:rsidRDefault="00A9249D" w:rsidP="007B4FCD">
      <w:pPr>
        <w:ind w:left="900" w:hanging="900"/>
        <w:jc w:val="both"/>
        <w:rPr>
          <w:rFonts w:ascii="Book Antiqua" w:hAnsi="Book Antiqua"/>
        </w:rPr>
      </w:pPr>
      <w:r w:rsidRPr="00E3232D">
        <w:rPr>
          <w:rFonts w:ascii="Book Antiqua" w:hAnsi="Book Antiqua"/>
        </w:rPr>
        <w:t xml:space="preserve">Amoa-Mensah, K. (2008). “Housing in Ghana: A Search for Sustainable Options as the Way Forward for Enhanced Output- Year 2003 and Beyond”, </w:t>
      </w:r>
      <w:r w:rsidRPr="00E3232D">
        <w:rPr>
          <w:rFonts w:ascii="Book Antiqua" w:hAnsi="Book Antiqua"/>
          <w:i/>
        </w:rPr>
        <w:t>A paper presented at the International Building Exhibition Seminar,</w:t>
      </w:r>
      <w:r w:rsidRPr="00E3232D">
        <w:rPr>
          <w:rFonts w:ascii="Book Antiqua" w:hAnsi="Book Antiqua"/>
        </w:rPr>
        <w:t xml:space="preserve"> Accra, 27th-28 August.</w:t>
      </w:r>
    </w:p>
    <w:p w14:paraId="221F3561" w14:textId="77777777" w:rsidR="00A9249D" w:rsidRPr="00E3232D" w:rsidRDefault="00A9249D" w:rsidP="007B4FCD">
      <w:pPr>
        <w:ind w:left="900" w:hanging="900"/>
        <w:jc w:val="both"/>
        <w:rPr>
          <w:rFonts w:ascii="Book Antiqua" w:hAnsi="Book Antiqua"/>
        </w:rPr>
      </w:pPr>
      <w:r w:rsidRPr="00E3232D">
        <w:rPr>
          <w:rFonts w:ascii="Book Antiqua" w:hAnsi="Book Antiqua"/>
        </w:rPr>
        <w:t>Amoa-Mensah, K. (2011). “Housing Delivery in Ghana: Re-Packaging Lesson from Successful Local Interventions as Knowledge-based Tools for Enhanced Housing Output</w:t>
      </w:r>
      <w:r w:rsidRPr="00E3232D">
        <w:rPr>
          <w:rFonts w:ascii="Book Antiqua" w:hAnsi="Book Antiqua"/>
          <w:i/>
        </w:rPr>
        <w:t>”, A paper presented at the 2011 Annual Seminar of Ghana Institution of Surveyors- Quantity Surveying Division</w:t>
      </w:r>
    </w:p>
    <w:p w14:paraId="224F8C7A" w14:textId="77777777" w:rsidR="00A9249D" w:rsidRPr="00E3232D" w:rsidRDefault="00A9249D" w:rsidP="007B4FCD">
      <w:pPr>
        <w:ind w:left="900" w:hanging="900"/>
        <w:jc w:val="both"/>
        <w:rPr>
          <w:rFonts w:ascii="Book Antiqua" w:hAnsi="Book Antiqua"/>
        </w:rPr>
      </w:pPr>
      <w:r w:rsidRPr="00E3232D">
        <w:rPr>
          <w:rFonts w:ascii="Book Antiqua" w:hAnsi="Book Antiqua"/>
        </w:rPr>
        <w:t xml:space="preserve">Antwi, A. and Deakin, M. (1996). “Tenurial Structures, Urban Markets and Land Policy Issues in Agrarian Economic: Case Study of Ghana” </w:t>
      </w:r>
      <w:r w:rsidRPr="00E3232D">
        <w:rPr>
          <w:rFonts w:ascii="Book Antiqua" w:hAnsi="Book Antiqua"/>
          <w:i/>
        </w:rPr>
        <w:t>RICS Research, Cutting Edge,</w:t>
      </w:r>
      <w:r w:rsidRPr="00E3232D">
        <w:rPr>
          <w:rFonts w:ascii="Book Antiqua" w:hAnsi="Book Antiqua"/>
        </w:rPr>
        <w:t xml:space="preserve"> [online]. Available from: http://www.rics.org/site/download_feed.aspx?fileID=2201&amp;fileExtension=PDF  (Accessed on 12th June, 2012)</w:t>
      </w:r>
    </w:p>
    <w:p w14:paraId="60CCEDAC" w14:textId="77777777" w:rsidR="00A9249D" w:rsidRPr="00E3232D" w:rsidRDefault="00A9249D" w:rsidP="007B4FCD">
      <w:pPr>
        <w:autoSpaceDE w:val="0"/>
        <w:autoSpaceDN w:val="0"/>
        <w:adjustRightInd w:val="0"/>
        <w:ind w:left="900" w:hanging="900"/>
        <w:jc w:val="both"/>
        <w:rPr>
          <w:rFonts w:ascii="Book Antiqua" w:hAnsi="Book Antiqua"/>
        </w:rPr>
      </w:pPr>
      <w:r w:rsidRPr="00E3232D">
        <w:rPr>
          <w:rFonts w:ascii="Book Antiqua" w:hAnsi="Book Antiqua"/>
        </w:rPr>
        <w:t>Atiemo, E. (2009). “The Housing Situation in Ghana Strategies to Overcome Challenges”, CSIR/GIA (eds.):</w:t>
      </w:r>
      <w:r w:rsidRPr="00E3232D">
        <w:rPr>
          <w:rFonts w:ascii="Book Antiqua" w:hAnsi="Book Antiqua"/>
          <w:i/>
        </w:rPr>
        <w:t xml:space="preserve"> Proceedings of the 2009 National Housing Conference,</w:t>
      </w:r>
      <w:r w:rsidRPr="00E3232D">
        <w:rPr>
          <w:rFonts w:ascii="Book Antiqua" w:hAnsi="Book Antiqua"/>
        </w:rPr>
        <w:t xml:space="preserve"> Accra, 7</w:t>
      </w:r>
      <w:r w:rsidRPr="00E3232D">
        <w:rPr>
          <w:rFonts w:ascii="Book Antiqua" w:hAnsi="Book Antiqua"/>
          <w:vertAlign w:val="superscript"/>
        </w:rPr>
        <w:t>th</w:t>
      </w:r>
      <w:r w:rsidRPr="00E3232D">
        <w:rPr>
          <w:rFonts w:ascii="Book Antiqua" w:hAnsi="Book Antiqua"/>
        </w:rPr>
        <w:t xml:space="preserve"> -8</w:t>
      </w:r>
      <w:r w:rsidRPr="00E3232D">
        <w:rPr>
          <w:rFonts w:ascii="Book Antiqua" w:hAnsi="Book Antiqua"/>
          <w:vertAlign w:val="superscript"/>
        </w:rPr>
        <w:t>th</w:t>
      </w:r>
      <w:r w:rsidRPr="00E3232D">
        <w:rPr>
          <w:rFonts w:ascii="Book Antiqua" w:hAnsi="Book Antiqua"/>
        </w:rPr>
        <w:t xml:space="preserve"> October, p. 10-14 </w:t>
      </w:r>
    </w:p>
    <w:p w14:paraId="30C6D905" w14:textId="77777777" w:rsidR="00A9249D" w:rsidRPr="00E3232D" w:rsidRDefault="00A9249D" w:rsidP="007B4FCD">
      <w:pPr>
        <w:autoSpaceDE w:val="0"/>
        <w:autoSpaceDN w:val="0"/>
        <w:adjustRightInd w:val="0"/>
        <w:ind w:left="900" w:hanging="900"/>
        <w:jc w:val="both"/>
        <w:rPr>
          <w:rFonts w:ascii="Book Antiqua" w:hAnsi="Book Antiqua"/>
        </w:rPr>
      </w:pPr>
      <w:r w:rsidRPr="00E3232D">
        <w:rPr>
          <w:rFonts w:ascii="Book Antiqua" w:hAnsi="Book Antiqua"/>
        </w:rPr>
        <w:t xml:space="preserve">Attuah, E. M., Fisher, J. B. (2011). “Historical and Future Land-Cover Change in a Municipality of Ghana”, </w:t>
      </w:r>
      <w:r w:rsidRPr="00E3232D">
        <w:rPr>
          <w:rFonts w:ascii="Book Antiqua" w:hAnsi="Book Antiqua"/>
          <w:i/>
        </w:rPr>
        <w:t xml:space="preserve">Earth Interactions, </w:t>
      </w:r>
      <w:r w:rsidRPr="00E3232D">
        <w:rPr>
          <w:rFonts w:ascii="Book Antiqua" w:hAnsi="Book Antiqua"/>
        </w:rPr>
        <w:t>Vol. 15, No. 9, p. 1-26</w:t>
      </w:r>
    </w:p>
    <w:p w14:paraId="5780601E" w14:textId="77777777" w:rsidR="00A9249D" w:rsidRPr="00E3232D" w:rsidRDefault="00A9249D" w:rsidP="007B4FCD">
      <w:pPr>
        <w:spacing w:before="240"/>
        <w:ind w:left="900" w:hanging="900"/>
        <w:jc w:val="both"/>
        <w:rPr>
          <w:rFonts w:ascii="Book Antiqua" w:hAnsi="Book Antiqua"/>
        </w:rPr>
      </w:pPr>
      <w:r w:rsidRPr="00E3232D">
        <w:rPr>
          <w:rFonts w:ascii="Book Antiqua" w:hAnsi="Book Antiqua"/>
        </w:rPr>
        <w:t xml:space="preserve">Baker, A. H.A., Razak, A. A., Abdulla, S. and Awang, A. (2009). “Project Management Success Factors for Sustainable Housing: A Framework”, </w:t>
      </w:r>
      <w:r w:rsidRPr="00E3232D">
        <w:rPr>
          <w:rFonts w:ascii="Book Antiqua" w:hAnsi="Book Antiqua"/>
          <w:i/>
        </w:rPr>
        <w:t>Universiti Sains Malaysia</w:t>
      </w:r>
      <w:r w:rsidRPr="00E3232D">
        <w:rPr>
          <w:rFonts w:ascii="Book Antiqua" w:hAnsi="Book Antiqua"/>
        </w:rPr>
        <w:t xml:space="preserve"> [online], Available from: http://eprints.usm.my/16076/1/ICCI09-_14_aidah_awang.pdf (accessed on 30th May, 2012) </w:t>
      </w:r>
    </w:p>
    <w:p w14:paraId="72F44DCA" w14:textId="77777777" w:rsidR="00A9249D" w:rsidRPr="00E3232D" w:rsidRDefault="00A9249D" w:rsidP="007B4FCD">
      <w:pPr>
        <w:autoSpaceDE w:val="0"/>
        <w:autoSpaceDN w:val="0"/>
        <w:adjustRightInd w:val="0"/>
        <w:ind w:left="900" w:hanging="900"/>
        <w:jc w:val="both"/>
        <w:rPr>
          <w:rFonts w:ascii="Book Antiqua" w:hAnsi="Book Antiqua"/>
        </w:rPr>
      </w:pPr>
      <w:r w:rsidRPr="00E3232D">
        <w:rPr>
          <w:rFonts w:ascii="Book Antiqua" w:hAnsi="Book Antiqua"/>
        </w:rPr>
        <w:t xml:space="preserve">BoG (Bank of Ghana) (2007). </w:t>
      </w:r>
      <w:r w:rsidRPr="00E3232D">
        <w:rPr>
          <w:rFonts w:ascii="Book Antiqua" w:hAnsi="Book Antiqua"/>
          <w:i/>
        </w:rPr>
        <w:t>Th</w:t>
      </w:r>
      <w:r w:rsidRPr="00E3232D">
        <w:rPr>
          <w:rFonts w:ascii="Book Antiqua" w:hAnsi="Book Antiqua"/>
        </w:rPr>
        <w:t xml:space="preserve">e </w:t>
      </w:r>
      <w:r w:rsidRPr="00E3232D">
        <w:rPr>
          <w:rFonts w:ascii="Book Antiqua" w:hAnsi="Book Antiqua"/>
          <w:i/>
        </w:rPr>
        <w:t>Housing Market in Ghana</w:t>
      </w:r>
      <w:r w:rsidRPr="00E3232D">
        <w:rPr>
          <w:rFonts w:ascii="Book Antiqua" w:hAnsi="Book Antiqua"/>
        </w:rPr>
        <w:t xml:space="preserve"> [online]. Available from: http://www.bog.gov.gh/privatecontent/Research/Research%20Papers/bog%20housing.pdf (Accessed on 15</w:t>
      </w:r>
      <w:r w:rsidRPr="00E3232D">
        <w:rPr>
          <w:rFonts w:ascii="Book Antiqua" w:hAnsi="Book Antiqua"/>
          <w:vertAlign w:val="superscript"/>
        </w:rPr>
        <w:t>th</w:t>
      </w:r>
      <w:r w:rsidRPr="00E3232D">
        <w:rPr>
          <w:rFonts w:ascii="Book Antiqua" w:hAnsi="Book Antiqua"/>
        </w:rPr>
        <w:t xml:space="preserve"> May, 2012)</w:t>
      </w:r>
    </w:p>
    <w:p w14:paraId="215937FE" w14:textId="77777777" w:rsidR="00A9249D" w:rsidRPr="00E3232D" w:rsidRDefault="00A9249D" w:rsidP="007B4FCD">
      <w:pPr>
        <w:autoSpaceDE w:val="0"/>
        <w:autoSpaceDN w:val="0"/>
        <w:adjustRightInd w:val="0"/>
        <w:ind w:left="900" w:hanging="900"/>
        <w:jc w:val="both"/>
        <w:rPr>
          <w:rFonts w:ascii="Book Antiqua" w:hAnsi="Book Antiqua"/>
        </w:rPr>
      </w:pPr>
      <w:r w:rsidRPr="00E3232D">
        <w:rPr>
          <w:rFonts w:ascii="Book Antiqua" w:hAnsi="Book Antiqua"/>
        </w:rPr>
        <w:t xml:space="preserve">BoG (Bank of Ghana) (2007). </w:t>
      </w:r>
      <w:r w:rsidRPr="00E3232D">
        <w:rPr>
          <w:rFonts w:ascii="Book Antiqua" w:hAnsi="Book Antiqua"/>
          <w:i/>
        </w:rPr>
        <w:t>Th</w:t>
      </w:r>
      <w:r w:rsidRPr="00E3232D">
        <w:rPr>
          <w:rFonts w:ascii="Book Antiqua" w:hAnsi="Book Antiqua"/>
        </w:rPr>
        <w:t xml:space="preserve">e </w:t>
      </w:r>
      <w:r w:rsidRPr="00E3232D">
        <w:rPr>
          <w:rFonts w:ascii="Book Antiqua" w:hAnsi="Book Antiqua"/>
          <w:i/>
        </w:rPr>
        <w:t>Housing Market in Ghana</w:t>
      </w:r>
      <w:r w:rsidRPr="00E3232D">
        <w:rPr>
          <w:rFonts w:ascii="Book Antiqua" w:hAnsi="Book Antiqua"/>
        </w:rPr>
        <w:t xml:space="preserve"> [online]. Available from: http://www.bog.gov.gh/privatecontent/Research/Research%20Papers/bog%20housing.pdf (Accessed on 15</w:t>
      </w:r>
      <w:r w:rsidRPr="00E3232D">
        <w:rPr>
          <w:rFonts w:ascii="Book Antiqua" w:hAnsi="Book Antiqua"/>
          <w:vertAlign w:val="superscript"/>
        </w:rPr>
        <w:t>th</w:t>
      </w:r>
      <w:r w:rsidRPr="00E3232D">
        <w:rPr>
          <w:rFonts w:ascii="Book Antiqua" w:hAnsi="Book Antiqua"/>
        </w:rPr>
        <w:t xml:space="preserve"> May, 2012)</w:t>
      </w:r>
    </w:p>
    <w:p w14:paraId="76C5DD9E" w14:textId="77777777" w:rsidR="00A9249D" w:rsidRPr="00E3232D" w:rsidRDefault="00A9249D" w:rsidP="007B4FCD">
      <w:pPr>
        <w:autoSpaceDE w:val="0"/>
        <w:autoSpaceDN w:val="0"/>
        <w:adjustRightInd w:val="0"/>
        <w:ind w:left="900" w:hanging="900"/>
        <w:jc w:val="both"/>
        <w:rPr>
          <w:rFonts w:ascii="Book Antiqua" w:hAnsi="Book Antiqua"/>
        </w:rPr>
      </w:pPr>
      <w:r w:rsidRPr="00E3232D">
        <w:rPr>
          <w:rFonts w:ascii="Book Antiqua" w:hAnsi="Book Antiqua"/>
        </w:rPr>
        <w:t xml:space="preserve">CHF International (2004). </w:t>
      </w:r>
      <w:r w:rsidRPr="00E3232D">
        <w:rPr>
          <w:rFonts w:ascii="Book Antiqua" w:hAnsi="Book Antiqua"/>
          <w:i/>
        </w:rPr>
        <w:t xml:space="preserve">Strategic Assessment of the Affordable Housing Sector in Ghana </w:t>
      </w:r>
      <w:r w:rsidRPr="00E3232D">
        <w:rPr>
          <w:rFonts w:ascii="Book Antiqua" w:hAnsi="Book Antiqua"/>
        </w:rPr>
        <w:t>[online], Available from: http://www.chfinternational.org/files/1428_file_Ghana_Housing_Report_PDF_.pdf (Accessed on 28th February, 2012)</w:t>
      </w:r>
    </w:p>
    <w:p w14:paraId="1FD3E824" w14:textId="77777777" w:rsidR="00A9249D" w:rsidRPr="00E3232D" w:rsidRDefault="00A9249D" w:rsidP="007B4FCD">
      <w:pPr>
        <w:autoSpaceDE w:val="0"/>
        <w:autoSpaceDN w:val="0"/>
        <w:adjustRightInd w:val="0"/>
        <w:ind w:left="900" w:hanging="900"/>
        <w:jc w:val="both"/>
        <w:rPr>
          <w:rFonts w:ascii="Book Antiqua" w:hAnsi="Book Antiqua"/>
        </w:rPr>
      </w:pPr>
      <w:r w:rsidRPr="00E3232D">
        <w:rPr>
          <w:rFonts w:ascii="Book Antiqua" w:hAnsi="Book Antiqua"/>
        </w:rPr>
        <w:t xml:space="preserve">Coates S. J. and Steed L. G. (2001). </w:t>
      </w:r>
      <w:r w:rsidRPr="00E3232D">
        <w:rPr>
          <w:rFonts w:ascii="Book Antiqua" w:hAnsi="Book Antiqua"/>
          <w:i/>
        </w:rPr>
        <w:t>SPSS Analysis without Anguish, (Version 10)</w:t>
      </w:r>
      <w:r w:rsidRPr="00E3232D">
        <w:rPr>
          <w:rFonts w:ascii="Book Antiqua" w:hAnsi="Book Antiqua"/>
        </w:rPr>
        <w:t xml:space="preserve">, Sydney: John Wiley </w:t>
      </w:r>
      <w:r w:rsidRPr="00E3232D">
        <w:rPr>
          <w:rFonts w:ascii="Book Antiqua" w:hAnsi="Book Antiqua"/>
        </w:rPr>
        <w:tab/>
        <w:t>&amp; Sons Ltd</w:t>
      </w:r>
    </w:p>
    <w:p w14:paraId="1F7D7CBB" w14:textId="77777777" w:rsidR="00A9249D" w:rsidRPr="00E3232D" w:rsidRDefault="00A9249D" w:rsidP="007B4FCD">
      <w:pPr>
        <w:autoSpaceDE w:val="0"/>
        <w:autoSpaceDN w:val="0"/>
        <w:adjustRightInd w:val="0"/>
        <w:ind w:left="900" w:hanging="900"/>
        <w:rPr>
          <w:rFonts w:ascii="Book Antiqua" w:hAnsi="Book Antiqua"/>
        </w:rPr>
      </w:pPr>
      <w:r w:rsidRPr="00E3232D">
        <w:rPr>
          <w:rFonts w:ascii="Book Antiqua" w:hAnsi="Book Antiqua"/>
        </w:rPr>
        <w:t>Constitution of the Republic of Ghana (1992). Government of Ghana Document, Accra: Ghana Publishing Corporation</w:t>
      </w:r>
    </w:p>
    <w:p w14:paraId="2C26C8A2" w14:textId="77777777" w:rsidR="00A9249D" w:rsidRPr="00E3232D" w:rsidRDefault="00A9249D" w:rsidP="007B4FCD">
      <w:pPr>
        <w:ind w:left="900" w:hanging="900"/>
        <w:rPr>
          <w:rFonts w:ascii="Book Antiqua" w:hAnsi="Book Antiqua"/>
        </w:rPr>
      </w:pPr>
      <w:r w:rsidRPr="00E3232D">
        <w:rPr>
          <w:rFonts w:ascii="Book Antiqua" w:hAnsi="Book Antiqua"/>
        </w:rPr>
        <w:t xml:space="preserve">Djokoto, G. and Opoku, K. (2010). “Land Tenure in Ghana: Making a Case for Incorporation of Customary Law in Land Administration and Areas of Intervention by the Growing Forest Partnership”, </w:t>
      </w:r>
      <w:r w:rsidRPr="00E3232D">
        <w:rPr>
          <w:rFonts w:ascii="Book Antiqua" w:hAnsi="Book Antiqua"/>
          <w:i/>
        </w:rPr>
        <w:t>Commissioned by International Union for the Conservation of Nature and Growing Forest Partnership</w:t>
      </w:r>
      <w:r w:rsidRPr="00E3232D">
        <w:rPr>
          <w:rFonts w:ascii="Book Antiqua" w:hAnsi="Book Antiqua"/>
        </w:rPr>
        <w:t xml:space="preserve"> [Online]. Available from: http://www.growingforestpartnerships.org/sites/growingforestpartnerships.org/files/gfp_a_land_tenure-gfp_project.pdf (Accessed on 28th June, 2012)</w:t>
      </w:r>
    </w:p>
    <w:p w14:paraId="66EBB941" w14:textId="77777777" w:rsidR="00A9249D" w:rsidRPr="00E3232D" w:rsidRDefault="00A9249D" w:rsidP="007B4FCD">
      <w:pPr>
        <w:ind w:left="900" w:hanging="900"/>
        <w:rPr>
          <w:rFonts w:ascii="Book Antiqua" w:hAnsi="Book Antiqua"/>
        </w:rPr>
      </w:pPr>
      <w:r w:rsidRPr="00E3232D">
        <w:rPr>
          <w:rFonts w:ascii="Book Antiqua" w:hAnsi="Book Antiqua"/>
        </w:rPr>
        <w:t xml:space="preserve">FAO (Food and Agriculture Organization) (2002). “Land Tenure and Rural Development”, </w:t>
      </w:r>
      <w:r w:rsidRPr="00E3232D">
        <w:rPr>
          <w:rFonts w:ascii="Book Antiqua" w:hAnsi="Book Antiqua"/>
          <w:i/>
        </w:rPr>
        <w:t>FAO Land Tenure Studies 3,</w:t>
      </w:r>
      <w:r w:rsidRPr="00E3232D">
        <w:rPr>
          <w:rFonts w:ascii="Book Antiqua" w:hAnsi="Book Antiqua"/>
        </w:rPr>
        <w:t xml:space="preserve"> [online], available from: ftp://ftp.fao.org/docrep/fao/005/y4307E/y4307E00.pdf (Accessed on 19th June, 2012)</w:t>
      </w:r>
    </w:p>
    <w:p w14:paraId="7C2EDA9C" w14:textId="77777777" w:rsidR="00A9249D" w:rsidRPr="00E3232D" w:rsidRDefault="00A9249D" w:rsidP="007B4FCD">
      <w:pPr>
        <w:ind w:left="900" w:hanging="900"/>
        <w:rPr>
          <w:rFonts w:ascii="Book Antiqua" w:hAnsi="Book Antiqua"/>
        </w:rPr>
      </w:pPr>
      <w:r w:rsidRPr="00E3232D">
        <w:rPr>
          <w:rFonts w:ascii="Book Antiqua" w:hAnsi="Book Antiqua"/>
        </w:rPr>
        <w:t xml:space="preserve">Fiadzigbey, M. E. (2006). “Customary Land Administrator in Ghana – Challenges and Prospects”, </w:t>
      </w:r>
      <w:r w:rsidRPr="00E3232D">
        <w:rPr>
          <w:rFonts w:ascii="Book Antiqua" w:hAnsi="Book Antiqua"/>
          <w:i/>
        </w:rPr>
        <w:t xml:space="preserve">XXIII FIG Congress on Shaping the change </w:t>
      </w:r>
      <w:r w:rsidRPr="00E3232D">
        <w:rPr>
          <w:rFonts w:ascii="Book Antiqua" w:hAnsi="Book Antiqua"/>
        </w:rPr>
        <w:t>[online], Munich, Germany, October 8</w:t>
      </w:r>
      <w:r w:rsidRPr="00E3232D">
        <w:rPr>
          <w:rFonts w:ascii="Book Antiqua" w:hAnsi="Book Antiqua"/>
          <w:vertAlign w:val="superscript"/>
        </w:rPr>
        <w:t>th</w:t>
      </w:r>
      <w:r w:rsidRPr="00E3232D">
        <w:rPr>
          <w:rFonts w:ascii="Book Antiqua" w:hAnsi="Book Antiqua"/>
        </w:rPr>
        <w:t xml:space="preserve"> -13</w:t>
      </w:r>
      <w:r w:rsidRPr="00E3232D">
        <w:rPr>
          <w:rFonts w:ascii="Book Antiqua" w:hAnsi="Book Antiqua"/>
          <w:vertAlign w:val="superscript"/>
        </w:rPr>
        <w:t>th</w:t>
      </w:r>
      <w:r w:rsidRPr="00E3232D">
        <w:rPr>
          <w:rFonts w:ascii="Book Antiqua" w:hAnsi="Book Antiqua"/>
        </w:rPr>
        <w:t xml:space="preserve"> , 2006 Available from: http://www.fig.net/pub/fig2006/papers/ps07/ps07_16_fiadzigbey_0849.pdf (Accessed on 1st June, 2012)</w:t>
      </w:r>
    </w:p>
    <w:p w14:paraId="2C85975F" w14:textId="77777777" w:rsidR="00A9249D" w:rsidRPr="00E3232D" w:rsidRDefault="00A9249D" w:rsidP="007B4FCD">
      <w:pPr>
        <w:ind w:left="900" w:hanging="900"/>
        <w:rPr>
          <w:rFonts w:ascii="Book Antiqua" w:hAnsi="Book Antiqua"/>
        </w:rPr>
      </w:pPr>
      <w:r w:rsidRPr="00E3232D">
        <w:rPr>
          <w:rFonts w:ascii="Book Antiqua" w:hAnsi="Book Antiqua"/>
        </w:rPr>
        <w:t>Field A. (2005). Factor Analysis Using SPSS: Theory and Application [online], Available from: http://www.statisticshell.com/docs/factor.pdf (Accessed on 23rd June, 2012)</w:t>
      </w:r>
    </w:p>
    <w:p w14:paraId="1C0CE55D" w14:textId="77777777" w:rsidR="00A9249D" w:rsidRPr="00E3232D" w:rsidRDefault="00A9249D" w:rsidP="007B4FCD">
      <w:pPr>
        <w:ind w:left="900" w:hanging="900"/>
        <w:rPr>
          <w:rFonts w:ascii="Book Antiqua" w:hAnsi="Book Antiqua"/>
        </w:rPr>
      </w:pPr>
      <w:r w:rsidRPr="00E3232D">
        <w:rPr>
          <w:rFonts w:ascii="Book Antiqua" w:hAnsi="Book Antiqua"/>
        </w:rPr>
        <w:t>GoG (Government of Ghana) (2011) “Brief on the Ghana National Housing Project to Be Executed by STX Engineering and Construction, Ghana Ltd”, A Speech Delivered by the Minister of Works and Housing [online]. Available from: http://www.ghana.gov.gh/index.php/information/speeches/5739-brief-on-the-ghana-national-housing-project-to-be-executed-by-stx-engineering-and-construction-ghana-ltd (Accessed on 4th February, 2012)</w:t>
      </w:r>
    </w:p>
    <w:p w14:paraId="35C7F00F" w14:textId="77777777" w:rsidR="00A9249D" w:rsidRPr="00E3232D" w:rsidRDefault="00A9249D" w:rsidP="007B4FCD">
      <w:pPr>
        <w:ind w:left="900" w:hanging="900"/>
        <w:rPr>
          <w:rFonts w:ascii="Book Antiqua" w:hAnsi="Book Antiqua"/>
        </w:rPr>
      </w:pPr>
      <w:r w:rsidRPr="00E3232D">
        <w:rPr>
          <w:rFonts w:ascii="Book Antiqua" w:hAnsi="Book Antiqua"/>
        </w:rPr>
        <w:t xml:space="preserve">GSS (Ghana Statistical Services) (2005). 2000 Population and Housing census: Eastern Region, Analysis of District Data and Implications for Planning. Ghana Statistical Services Report </w:t>
      </w:r>
    </w:p>
    <w:p w14:paraId="52515008" w14:textId="77777777" w:rsidR="00A9249D" w:rsidRPr="00E3232D" w:rsidRDefault="00A9249D" w:rsidP="007B4FCD">
      <w:pPr>
        <w:ind w:left="900" w:hanging="900"/>
        <w:rPr>
          <w:rFonts w:ascii="Book Antiqua" w:hAnsi="Book Antiqua"/>
        </w:rPr>
      </w:pPr>
      <w:r w:rsidRPr="00E3232D">
        <w:rPr>
          <w:rFonts w:ascii="Book Antiqua" w:hAnsi="Book Antiqua"/>
        </w:rPr>
        <w:t xml:space="preserve">Gyamfi, O. (2005). The Causes and Effects of Vesting Lands in Ghana, An Unpublished Essay Report Presented to the Department of Estate Management, Kumasi Polytechnic, for the Award of Higher National Diploma in Estate Management   </w:t>
      </w:r>
    </w:p>
    <w:p w14:paraId="147821EB" w14:textId="77777777" w:rsidR="00A9249D" w:rsidRPr="00E3232D" w:rsidRDefault="00A9249D" w:rsidP="007B4FCD">
      <w:pPr>
        <w:ind w:left="900" w:hanging="900"/>
        <w:rPr>
          <w:rFonts w:ascii="Book Antiqua" w:hAnsi="Book Antiqua"/>
        </w:rPr>
      </w:pPr>
      <w:r w:rsidRPr="00E3232D">
        <w:rPr>
          <w:rFonts w:ascii="Book Antiqua" w:hAnsi="Book Antiqua"/>
        </w:rPr>
        <w:t xml:space="preserve">ISSER (Institute of Statistical, Social and Economic Research (2007). Synthesised Regional Report for Land Administration Project Ministry of Lands, Forestry and Mines. Unpublished Document. </w:t>
      </w:r>
    </w:p>
    <w:p w14:paraId="5FB9F422" w14:textId="77777777" w:rsidR="00A9249D" w:rsidRPr="00E3232D" w:rsidRDefault="00A9249D" w:rsidP="007B4FCD">
      <w:pPr>
        <w:spacing w:before="240"/>
        <w:ind w:left="900" w:hanging="900"/>
        <w:rPr>
          <w:rFonts w:ascii="Book Antiqua" w:hAnsi="Book Antiqua"/>
        </w:rPr>
      </w:pPr>
      <w:r w:rsidRPr="00E3232D">
        <w:rPr>
          <w:rFonts w:ascii="Book Antiqua" w:hAnsi="Book Antiqua"/>
        </w:rPr>
        <w:t xml:space="preserve">Kasanga, K. and Kotey, N.A. (2001). </w:t>
      </w:r>
      <w:r w:rsidRPr="00E3232D">
        <w:rPr>
          <w:rFonts w:ascii="Book Antiqua" w:hAnsi="Book Antiqua"/>
          <w:i/>
        </w:rPr>
        <w:t>Land Management in Ghana</w:t>
      </w:r>
      <w:r w:rsidRPr="00E3232D">
        <w:rPr>
          <w:rFonts w:ascii="Book Antiqua" w:hAnsi="Book Antiqua"/>
        </w:rPr>
        <w:t xml:space="preserve">: </w:t>
      </w:r>
      <w:r w:rsidRPr="00E3232D">
        <w:rPr>
          <w:rFonts w:ascii="Book Antiqua" w:hAnsi="Book Antiqua"/>
          <w:i/>
        </w:rPr>
        <w:t xml:space="preserve">Building on Tradition and Modernity, </w:t>
      </w:r>
      <w:r w:rsidRPr="00E3232D">
        <w:rPr>
          <w:rFonts w:ascii="Book Antiqua" w:hAnsi="Book Antiqua"/>
        </w:rPr>
        <w:t>[online], London: International Institute for Environment and Development. Available from:  http://pubs.iied.org/pdfs/9002IIED.pdf?pagewanted=all    (Accessed on 28</w:t>
      </w:r>
      <w:r w:rsidRPr="00E3232D">
        <w:rPr>
          <w:rFonts w:ascii="Book Antiqua" w:hAnsi="Book Antiqua"/>
          <w:vertAlign w:val="superscript"/>
        </w:rPr>
        <w:t>th</w:t>
      </w:r>
      <w:r w:rsidRPr="00E3232D">
        <w:rPr>
          <w:rFonts w:ascii="Book Antiqua" w:hAnsi="Book Antiqua"/>
        </w:rPr>
        <w:t xml:space="preserve"> February, 2012) </w:t>
      </w:r>
    </w:p>
    <w:p w14:paraId="7BD7AC4B" w14:textId="77777777" w:rsidR="00A9249D" w:rsidRPr="00E3232D" w:rsidRDefault="00A9249D" w:rsidP="007B4FCD">
      <w:pPr>
        <w:spacing w:before="240"/>
        <w:ind w:left="900" w:hanging="900"/>
        <w:rPr>
          <w:rFonts w:ascii="Book Antiqua" w:hAnsi="Book Antiqua"/>
        </w:rPr>
      </w:pPr>
      <w:r w:rsidRPr="00E3232D">
        <w:rPr>
          <w:rFonts w:ascii="Book Antiqua" w:hAnsi="Book Antiqua"/>
        </w:rPr>
        <w:t xml:space="preserve">Konadu-Agyemang, K. (2001). </w:t>
      </w:r>
      <w:r w:rsidRPr="00E3232D">
        <w:rPr>
          <w:rFonts w:ascii="Book Antiqua" w:hAnsi="Book Antiqua"/>
          <w:i/>
        </w:rPr>
        <w:t xml:space="preserve">The Political Economy of Housing and Urban Development in Africa: Ghana’s Experience from Colonial to 1998, </w:t>
      </w:r>
      <w:r w:rsidRPr="00E3232D">
        <w:rPr>
          <w:rFonts w:ascii="Book Antiqua" w:hAnsi="Book Antiqua"/>
        </w:rPr>
        <w:t>London:</w:t>
      </w:r>
      <w:r w:rsidRPr="00E3232D">
        <w:rPr>
          <w:rFonts w:ascii="Book Antiqua" w:hAnsi="Book Antiqua"/>
          <w:i/>
        </w:rPr>
        <w:t xml:space="preserve"> </w:t>
      </w:r>
      <w:r w:rsidRPr="00E3232D">
        <w:rPr>
          <w:rFonts w:ascii="Book Antiqua" w:hAnsi="Book Antiqua"/>
        </w:rPr>
        <w:t xml:space="preserve">Praeger </w:t>
      </w:r>
    </w:p>
    <w:p w14:paraId="1BF9A153" w14:textId="77777777" w:rsidR="00A9249D" w:rsidRPr="00E3232D" w:rsidRDefault="00A9249D" w:rsidP="007B4FCD">
      <w:pPr>
        <w:ind w:left="900" w:hanging="900"/>
        <w:rPr>
          <w:rFonts w:ascii="Book Antiqua" w:hAnsi="Book Antiqua"/>
        </w:rPr>
      </w:pPr>
      <w:r w:rsidRPr="00E3232D">
        <w:rPr>
          <w:rFonts w:ascii="Book Antiqua" w:hAnsi="Book Antiqua"/>
        </w:rPr>
        <w:t xml:space="preserve">Kwofie, T. E. (2012). “Determine Critical Project Success Criteria  for Improving Public Housing Building Project (PHBP) Delivery in Ghana”, Unpublished Master of Philosophy Thesis Submitted to Kwame Nkrumah University of Technology, Kumasi </w:t>
      </w:r>
    </w:p>
    <w:p w14:paraId="52AEAC2B" w14:textId="77777777" w:rsidR="00A9249D" w:rsidRPr="00E3232D" w:rsidRDefault="00A9249D" w:rsidP="007B4FCD">
      <w:pPr>
        <w:autoSpaceDE w:val="0"/>
        <w:autoSpaceDN w:val="0"/>
        <w:adjustRightInd w:val="0"/>
        <w:ind w:left="900" w:hanging="900"/>
        <w:rPr>
          <w:rFonts w:ascii="Book Antiqua" w:hAnsi="Book Antiqua"/>
        </w:rPr>
      </w:pPr>
      <w:r w:rsidRPr="00E3232D">
        <w:rPr>
          <w:rFonts w:ascii="Book Antiqua" w:hAnsi="Book Antiqua"/>
        </w:rPr>
        <w:t xml:space="preserve">Mahama, C. and Antwi (2006). “Land and Property Markets in Ghana”, </w:t>
      </w:r>
      <w:r w:rsidRPr="00E3232D">
        <w:rPr>
          <w:rFonts w:ascii="Book Antiqua" w:hAnsi="Book Antiqua"/>
          <w:i/>
        </w:rPr>
        <w:t>A discussion paper prepared for the Royal Institution of Chartered Surveyors for presentation at the 2006 World Urban Forum,</w:t>
      </w:r>
      <w:r w:rsidRPr="00E3232D">
        <w:rPr>
          <w:rFonts w:ascii="Book Antiqua" w:hAnsi="Book Antiqua"/>
        </w:rPr>
        <w:t xml:space="preserve"> [online], London: RICS Research. Available from:  http://www.urbanlandmark.org.za/downloads/Land_property_market-ghana.pdf (Accessed on 4</w:t>
      </w:r>
      <w:r w:rsidRPr="00E3232D">
        <w:rPr>
          <w:rFonts w:ascii="Book Antiqua" w:hAnsi="Book Antiqua"/>
          <w:vertAlign w:val="superscript"/>
        </w:rPr>
        <w:t>th</w:t>
      </w:r>
      <w:r w:rsidRPr="00E3232D">
        <w:rPr>
          <w:rFonts w:ascii="Book Antiqua" w:hAnsi="Book Antiqua"/>
        </w:rPr>
        <w:t xml:space="preserve"> March, 2012)</w:t>
      </w:r>
    </w:p>
    <w:p w14:paraId="120FBE3F" w14:textId="77777777" w:rsidR="00A9249D" w:rsidRPr="00E3232D" w:rsidRDefault="00A9249D" w:rsidP="007B4FCD">
      <w:pPr>
        <w:spacing w:before="240"/>
        <w:ind w:left="900" w:hanging="900"/>
        <w:rPr>
          <w:rFonts w:ascii="Book Antiqua" w:hAnsi="Book Antiqua"/>
        </w:rPr>
      </w:pPr>
      <w:r w:rsidRPr="00E3232D">
        <w:rPr>
          <w:rFonts w:ascii="Book Antiqua" w:hAnsi="Book Antiqua"/>
        </w:rPr>
        <w:t xml:space="preserve">Mends, T. M. and De Meijere, J. (2006). “A study of the Institution of the Customary Land Tenure System in the Supply of Property Rights for Urban Development – An Example of Accra, Ghana”, </w:t>
      </w:r>
      <w:r w:rsidRPr="00E3232D">
        <w:rPr>
          <w:rFonts w:ascii="Book Antiqua" w:hAnsi="Book Antiqua"/>
          <w:i/>
        </w:rPr>
        <w:t>5th FIG Regional Conference</w:t>
      </w:r>
      <w:r w:rsidRPr="00E3232D">
        <w:rPr>
          <w:rFonts w:ascii="Book Antiqua" w:hAnsi="Book Antiqua"/>
        </w:rPr>
        <w:t xml:space="preserve">  [online] Accra, March 8-11, 2006. Available from: http://www.fig.net/pub/accra/papers/ts03/ts03_01_mends_demeijere.pdf (Accessed on 28th February, 2012)</w:t>
      </w:r>
    </w:p>
    <w:p w14:paraId="01023B73" w14:textId="77777777" w:rsidR="00A9249D" w:rsidRPr="00E3232D" w:rsidRDefault="00A9249D" w:rsidP="007B4FCD">
      <w:pPr>
        <w:autoSpaceDE w:val="0"/>
        <w:autoSpaceDN w:val="0"/>
        <w:adjustRightInd w:val="0"/>
        <w:ind w:left="900" w:hanging="900"/>
        <w:rPr>
          <w:rFonts w:ascii="Book Antiqua" w:hAnsi="Book Antiqua"/>
        </w:rPr>
      </w:pPr>
      <w:r w:rsidRPr="00E3232D">
        <w:rPr>
          <w:rFonts w:ascii="Book Antiqua" w:hAnsi="Book Antiqua"/>
        </w:rPr>
        <w:t xml:space="preserve">MLF (Ministry of Lands and Forestry) (2003). </w:t>
      </w:r>
      <w:r w:rsidRPr="00E3232D">
        <w:rPr>
          <w:rFonts w:ascii="Book Antiqua" w:hAnsi="Book Antiqua"/>
          <w:i/>
        </w:rPr>
        <w:t>Emerging Land Tenure Issues</w:t>
      </w:r>
      <w:r w:rsidRPr="00E3232D">
        <w:rPr>
          <w:rFonts w:ascii="Book Antiqua" w:hAnsi="Book Antiqua"/>
        </w:rPr>
        <w:t>, [online], Government of Ghana Document.   Available from: http://www.cilss.bf/htm/praia/Ghana.pdf (Accessed on 5th June, 2012)</w:t>
      </w:r>
    </w:p>
    <w:p w14:paraId="4DAF65F8" w14:textId="77777777" w:rsidR="00A9249D" w:rsidRPr="00E3232D" w:rsidRDefault="00A9249D" w:rsidP="007B4FCD">
      <w:pPr>
        <w:ind w:left="900" w:hanging="900"/>
        <w:rPr>
          <w:rFonts w:ascii="Book Antiqua" w:hAnsi="Book Antiqua"/>
        </w:rPr>
      </w:pPr>
      <w:r w:rsidRPr="00E3232D">
        <w:rPr>
          <w:rFonts w:ascii="Book Antiqua" w:hAnsi="Book Antiqua"/>
        </w:rPr>
        <w:t xml:space="preserve">Myjoyonline (2012). </w:t>
      </w:r>
      <w:r w:rsidRPr="00E3232D">
        <w:rPr>
          <w:rFonts w:ascii="Book Antiqua" w:hAnsi="Book Antiqua"/>
          <w:i/>
        </w:rPr>
        <w:t xml:space="preserve">Atomic workers freed </w:t>
      </w:r>
      <w:r w:rsidRPr="00E3232D">
        <w:rPr>
          <w:rFonts w:ascii="Book Antiqua" w:hAnsi="Book Antiqua"/>
        </w:rPr>
        <w:t>[online]. Available from: http://edition.myjoyonline.com/pages/news/201201/80448.php (Accessed on 8th April, 2012)</w:t>
      </w:r>
    </w:p>
    <w:p w14:paraId="5CE7C7F7" w14:textId="77777777" w:rsidR="00A9249D" w:rsidRPr="00E3232D" w:rsidRDefault="00A9249D" w:rsidP="007B4FCD">
      <w:pPr>
        <w:ind w:left="900" w:hanging="900"/>
        <w:rPr>
          <w:rFonts w:ascii="Book Antiqua" w:hAnsi="Book Antiqua"/>
        </w:rPr>
      </w:pPr>
      <w:r w:rsidRPr="00E3232D">
        <w:rPr>
          <w:rFonts w:ascii="Book Antiqua" w:hAnsi="Book Antiqua"/>
        </w:rPr>
        <w:t>National Land Policy (1999). Ministry of Lands and Forestry, Accra, [online], Government of Ghana Document. Available from: http://www.uneca.org/fssdd/lpi/land_policies/ghana_national_land_policy.pdf (Accessed on 5th June, 2012)</w:t>
      </w:r>
    </w:p>
    <w:p w14:paraId="42EF311D" w14:textId="77777777" w:rsidR="00A9249D" w:rsidRPr="00E3232D" w:rsidRDefault="00A9249D" w:rsidP="007B4FCD">
      <w:pPr>
        <w:spacing w:before="240"/>
        <w:ind w:left="900" w:hanging="900"/>
        <w:rPr>
          <w:rFonts w:ascii="Book Antiqua" w:hAnsi="Book Antiqua"/>
        </w:rPr>
      </w:pPr>
      <w:r w:rsidRPr="00E3232D">
        <w:rPr>
          <w:rFonts w:ascii="Book Antiqua" w:hAnsi="Book Antiqua"/>
        </w:rPr>
        <w:t xml:space="preserve">Nuakoh, G. O. (2005). </w:t>
      </w:r>
      <w:r w:rsidRPr="00E3232D">
        <w:rPr>
          <w:rFonts w:ascii="Book Antiqua" w:hAnsi="Book Antiqua"/>
          <w:i/>
        </w:rPr>
        <w:t>The Causes and Effects of Vesting Lands in Ghana</w:t>
      </w:r>
      <w:r w:rsidRPr="00E3232D">
        <w:rPr>
          <w:rFonts w:ascii="Book Antiqua" w:hAnsi="Book Antiqua"/>
        </w:rPr>
        <w:t xml:space="preserve">, An Unpublished Essay Report Presented to the Department of Estate Management, Kumasi Polytechnic, for the Award of Higher National Diploma in Estate Management </w:t>
      </w:r>
    </w:p>
    <w:p w14:paraId="6D3BEBF7" w14:textId="77777777" w:rsidR="00A9249D" w:rsidRPr="00E3232D" w:rsidRDefault="00A9249D" w:rsidP="007B4FCD">
      <w:pPr>
        <w:spacing w:before="240"/>
        <w:ind w:left="900" w:hanging="900"/>
        <w:rPr>
          <w:rFonts w:ascii="Book Antiqua" w:hAnsi="Book Antiqua"/>
        </w:rPr>
      </w:pPr>
      <w:r w:rsidRPr="00E3232D">
        <w:rPr>
          <w:rFonts w:ascii="Book Antiqua" w:hAnsi="Book Antiqua"/>
        </w:rPr>
        <w:t xml:space="preserve">Owusu, G. (2010). </w:t>
      </w:r>
      <w:r w:rsidRPr="00E3232D">
        <w:rPr>
          <w:rFonts w:ascii="Book Antiqua" w:hAnsi="Book Antiqua"/>
          <w:i/>
        </w:rPr>
        <w:t>Urban Growth, Globalization and Access to Housing in Ghana’s Largest Metropolitan Area, Accra</w:t>
      </w:r>
      <w:r w:rsidRPr="00E3232D">
        <w:rPr>
          <w:rFonts w:ascii="Book Antiqua" w:hAnsi="Book Antiqua"/>
        </w:rPr>
        <w:t>: [online], University of Ghana: Institute of Statistical, Social, and Economic Research (ISSER)   Available from: http://www.nai.uu.se/ecas-4/panels/81-100/panel-90/ECAS-FULL-PAPER-GEORGE-OWUSU.pdf (Accessed on 15</w:t>
      </w:r>
      <w:r w:rsidRPr="00E3232D">
        <w:rPr>
          <w:rFonts w:ascii="Book Antiqua" w:hAnsi="Book Antiqua"/>
          <w:vertAlign w:val="superscript"/>
        </w:rPr>
        <w:t>th</w:t>
      </w:r>
      <w:r w:rsidRPr="00E3232D">
        <w:rPr>
          <w:rFonts w:ascii="Book Antiqua" w:hAnsi="Book Antiqua"/>
        </w:rPr>
        <w:t xml:space="preserve"> May, 2012)</w:t>
      </w:r>
    </w:p>
    <w:p w14:paraId="2ED8590B" w14:textId="77777777" w:rsidR="00A9249D" w:rsidRPr="00E3232D" w:rsidRDefault="00A9249D" w:rsidP="007B4FCD">
      <w:pPr>
        <w:ind w:left="900" w:hanging="900"/>
        <w:rPr>
          <w:rFonts w:ascii="Book Antiqua" w:hAnsi="Book Antiqua"/>
        </w:rPr>
      </w:pPr>
      <w:r w:rsidRPr="00E3232D">
        <w:rPr>
          <w:rFonts w:ascii="Book Antiqua" w:hAnsi="Book Antiqua"/>
        </w:rPr>
        <w:t xml:space="preserve">Sarpong, G. A. (2006). “Improving Tenure Security for the Rural Poor Ghana – Country Case Study”, </w:t>
      </w:r>
      <w:r w:rsidRPr="00E3232D">
        <w:rPr>
          <w:rFonts w:ascii="Book Antiqua" w:hAnsi="Book Antiqua"/>
          <w:i/>
        </w:rPr>
        <w:t>Food and Agriculture Organization of the United Nations Working paper No. 2</w:t>
      </w:r>
      <w:r w:rsidRPr="00E3232D">
        <w:rPr>
          <w:rFonts w:ascii="Book Antiqua" w:hAnsi="Book Antiqua"/>
        </w:rPr>
        <w:t xml:space="preserve"> [online], available from: ftp://ftp.fao.org/docrep/fao/010/k0783e/k0783e00.pdf  (Accessed on 22nd June, 2006</w:t>
      </w:r>
    </w:p>
    <w:p w14:paraId="3CDCCDA4" w14:textId="77777777" w:rsidR="00A9249D" w:rsidRPr="00E3232D" w:rsidRDefault="00A9249D" w:rsidP="007B4FCD">
      <w:pPr>
        <w:autoSpaceDE w:val="0"/>
        <w:autoSpaceDN w:val="0"/>
        <w:adjustRightInd w:val="0"/>
        <w:ind w:left="900" w:hanging="900"/>
        <w:rPr>
          <w:rFonts w:ascii="Book Antiqua" w:hAnsi="Book Antiqua"/>
        </w:rPr>
      </w:pPr>
      <w:r w:rsidRPr="00E3232D">
        <w:rPr>
          <w:rFonts w:ascii="Book Antiqua" w:hAnsi="Book Antiqua"/>
        </w:rPr>
        <w:t xml:space="preserve">State Lands Act, (Act 125) (1962). </w:t>
      </w:r>
      <w:r w:rsidRPr="00E3232D">
        <w:rPr>
          <w:rFonts w:ascii="Book Antiqua" w:hAnsi="Book Antiqua"/>
          <w:i/>
        </w:rPr>
        <w:t>Government of Ghana Document</w:t>
      </w:r>
      <w:r w:rsidRPr="00E3232D">
        <w:rPr>
          <w:rFonts w:ascii="Book Antiqua" w:hAnsi="Book Antiqua"/>
        </w:rPr>
        <w:t>, Accra: Ghana Publishing Corporation</w:t>
      </w:r>
    </w:p>
    <w:p w14:paraId="7DC9F3D3" w14:textId="77777777" w:rsidR="00A9249D" w:rsidRPr="00E3232D" w:rsidRDefault="00A9249D" w:rsidP="007B4FCD">
      <w:pPr>
        <w:autoSpaceDE w:val="0"/>
        <w:autoSpaceDN w:val="0"/>
        <w:adjustRightInd w:val="0"/>
        <w:ind w:left="900" w:hanging="900"/>
        <w:rPr>
          <w:rFonts w:ascii="Book Antiqua" w:hAnsi="Book Antiqua"/>
        </w:rPr>
      </w:pPr>
      <w:r w:rsidRPr="00E3232D">
        <w:rPr>
          <w:rFonts w:ascii="Book Antiqua" w:hAnsi="Book Antiqua"/>
        </w:rPr>
        <w:t xml:space="preserve">UN-Habitat (2008). </w:t>
      </w:r>
      <w:r w:rsidRPr="00E3232D">
        <w:rPr>
          <w:rFonts w:ascii="Book Antiqua" w:hAnsi="Book Antiqua"/>
          <w:i/>
        </w:rPr>
        <w:t>Country Program Document 2008-2009 Ghana,</w:t>
      </w:r>
      <w:r w:rsidRPr="00E3232D">
        <w:rPr>
          <w:rFonts w:ascii="Book Antiqua" w:hAnsi="Book Antiqua"/>
        </w:rPr>
        <w:t xml:space="preserve"> [online],</w:t>
      </w:r>
      <w:r w:rsidRPr="00E3232D">
        <w:rPr>
          <w:rFonts w:ascii="Book Antiqua" w:hAnsi="Book Antiqua"/>
          <w:i/>
        </w:rPr>
        <w:t xml:space="preserve"> </w:t>
      </w:r>
      <w:r w:rsidRPr="00E3232D">
        <w:rPr>
          <w:rFonts w:ascii="Book Antiqua" w:hAnsi="Book Antiqua"/>
        </w:rPr>
        <w:t>available from: http://www.unhabitat.org/pmss/listItemDetails.aspx?publicationID=2698 (accessed on 13</w:t>
      </w:r>
      <w:r w:rsidRPr="00E3232D">
        <w:rPr>
          <w:rFonts w:ascii="Book Antiqua" w:hAnsi="Book Antiqua"/>
          <w:vertAlign w:val="superscript"/>
        </w:rPr>
        <w:t>th</w:t>
      </w:r>
      <w:r w:rsidRPr="00E3232D">
        <w:rPr>
          <w:rFonts w:ascii="Book Antiqua" w:hAnsi="Book Antiqua"/>
        </w:rPr>
        <w:t xml:space="preserve"> June, 2012)</w:t>
      </w:r>
    </w:p>
    <w:p w14:paraId="479BF165" w14:textId="77777777" w:rsidR="00A9249D" w:rsidRPr="00E3232D" w:rsidRDefault="00A9249D" w:rsidP="007B4FCD">
      <w:pPr>
        <w:ind w:left="900" w:hanging="900"/>
        <w:rPr>
          <w:rFonts w:ascii="Book Antiqua" w:hAnsi="Book Antiqua"/>
        </w:rPr>
      </w:pPr>
      <w:r w:rsidRPr="00E3232D">
        <w:rPr>
          <w:rFonts w:ascii="Book Antiqua" w:hAnsi="Book Antiqua"/>
        </w:rPr>
        <w:t xml:space="preserve">United Nations (2012). </w:t>
      </w:r>
      <w:r w:rsidRPr="00E3232D">
        <w:rPr>
          <w:rFonts w:ascii="Book Antiqua" w:hAnsi="Book Antiqua"/>
          <w:i/>
        </w:rPr>
        <w:t>World Urbanization Prospects, The 2011 Revision, New York: Department of Economic and Social Welfare, Populations Division</w:t>
      </w:r>
      <w:r w:rsidRPr="00E3232D">
        <w:rPr>
          <w:rFonts w:ascii="Book Antiqua" w:hAnsi="Book Antiqua"/>
        </w:rPr>
        <w:t xml:space="preserve">, [online], Available from: http://esa.un.org/unup/pdf/WUP2011_Highlights.pdf (Accessed on 31st August, 2012) </w:t>
      </w:r>
    </w:p>
    <w:p w14:paraId="44888064" w14:textId="77777777" w:rsidR="00A9249D" w:rsidRPr="00E3232D" w:rsidRDefault="00A9249D" w:rsidP="007B4FCD">
      <w:pPr>
        <w:autoSpaceDE w:val="0"/>
        <w:autoSpaceDN w:val="0"/>
        <w:adjustRightInd w:val="0"/>
        <w:ind w:left="900" w:hanging="900"/>
        <w:rPr>
          <w:rFonts w:ascii="Book Antiqua" w:hAnsi="Book Antiqua"/>
        </w:rPr>
      </w:pPr>
      <w:r w:rsidRPr="00E3232D">
        <w:rPr>
          <w:rFonts w:ascii="Book Antiqua" w:hAnsi="Book Antiqua"/>
        </w:rPr>
        <w:t xml:space="preserve">WaterAid (2009). </w:t>
      </w:r>
      <w:r w:rsidRPr="00E3232D">
        <w:rPr>
          <w:rFonts w:ascii="Book Antiqua" w:hAnsi="Book Antiqua"/>
          <w:i/>
        </w:rPr>
        <w:t>A Study on Land Tenure in Urban Areas Report,</w:t>
      </w:r>
      <w:r w:rsidRPr="00E3232D">
        <w:rPr>
          <w:rFonts w:ascii="Book Antiqua" w:hAnsi="Book Antiqua"/>
        </w:rPr>
        <w:t xml:space="preserve"> [online]. Available from: http://www.wateraid.org/documents/plugin_documents/land_tenure_study_report.pdf (Accessed on 28</w:t>
      </w:r>
      <w:r w:rsidRPr="00E3232D">
        <w:rPr>
          <w:rFonts w:ascii="Book Antiqua" w:hAnsi="Book Antiqua"/>
          <w:vertAlign w:val="superscript"/>
        </w:rPr>
        <w:t>th</w:t>
      </w:r>
      <w:r w:rsidRPr="00E3232D">
        <w:rPr>
          <w:rFonts w:ascii="Book Antiqua" w:hAnsi="Book Antiqua"/>
        </w:rPr>
        <w:t xml:space="preserve"> February, 2012) </w:t>
      </w:r>
    </w:p>
    <w:p w14:paraId="43B247DB" w14:textId="77777777" w:rsidR="00A9249D" w:rsidRPr="00E3232D" w:rsidRDefault="00A9249D" w:rsidP="007B4FCD">
      <w:pPr>
        <w:autoSpaceDE w:val="0"/>
        <w:autoSpaceDN w:val="0"/>
        <w:adjustRightInd w:val="0"/>
        <w:ind w:left="900" w:hanging="900"/>
        <w:rPr>
          <w:rFonts w:ascii="Book Antiqua" w:hAnsi="Book Antiqua"/>
        </w:rPr>
      </w:pPr>
      <w:r w:rsidRPr="00E3232D">
        <w:rPr>
          <w:rFonts w:ascii="Book Antiqua" w:hAnsi="Book Antiqua"/>
        </w:rPr>
        <w:t xml:space="preserve">Werna, E. (1999). </w:t>
      </w:r>
      <w:r w:rsidRPr="00E3232D">
        <w:rPr>
          <w:rFonts w:ascii="Book Antiqua" w:hAnsi="Book Antiqua"/>
          <w:i/>
        </w:rPr>
        <w:t xml:space="preserve">Modes of Low-Income Housing Provision in Washington D.C.: A Comparative Look at Policymaking for Developing Countries [online], </w:t>
      </w:r>
      <w:r w:rsidRPr="00E3232D">
        <w:rPr>
          <w:rFonts w:ascii="Book Antiqua" w:hAnsi="Book Antiqua"/>
        </w:rPr>
        <w:t>Washington D.C.:  Woodrow Wilson International. Available from: http://www.wilsoncenter.org/sites/default/files/ACF1C2.pdf (Accessed on 24th May, 2012)</w:t>
      </w:r>
    </w:p>
    <w:p w14:paraId="297B79FF" w14:textId="77777777" w:rsidR="0080617A" w:rsidRPr="00E3232D" w:rsidRDefault="0080617A" w:rsidP="007B4FCD">
      <w:pPr>
        <w:autoSpaceDE w:val="0"/>
        <w:autoSpaceDN w:val="0"/>
        <w:adjustRightInd w:val="0"/>
        <w:ind w:left="900" w:hanging="900"/>
        <w:rPr>
          <w:rFonts w:ascii="Book Antiqua" w:hAnsi="Book Antiqua"/>
          <w:b/>
        </w:rPr>
      </w:pPr>
    </w:p>
    <w:p w14:paraId="0103F286" w14:textId="77777777" w:rsidR="00C15FC7" w:rsidRPr="00E3232D" w:rsidRDefault="00C15FC7" w:rsidP="007B4FCD">
      <w:pPr>
        <w:autoSpaceDE w:val="0"/>
        <w:autoSpaceDN w:val="0"/>
        <w:adjustRightInd w:val="0"/>
        <w:ind w:left="900" w:hanging="900"/>
        <w:rPr>
          <w:rFonts w:ascii="Book Antiqua" w:hAnsi="Book Antiqua"/>
          <w:b/>
        </w:rPr>
      </w:pPr>
    </w:p>
    <w:p w14:paraId="0F7BABB7" w14:textId="77777777" w:rsidR="00C15FC7" w:rsidRPr="00E3232D" w:rsidRDefault="00C15FC7" w:rsidP="008275E1">
      <w:pPr>
        <w:autoSpaceDE w:val="0"/>
        <w:autoSpaceDN w:val="0"/>
        <w:adjustRightInd w:val="0"/>
        <w:rPr>
          <w:rFonts w:ascii="Book Antiqua" w:hAnsi="Book Antiqua"/>
          <w:b/>
        </w:rPr>
      </w:pPr>
    </w:p>
    <w:p w14:paraId="16774554" w14:textId="77777777" w:rsidR="00D932E0" w:rsidRDefault="00D932E0" w:rsidP="008275E1">
      <w:pPr>
        <w:autoSpaceDE w:val="0"/>
        <w:autoSpaceDN w:val="0"/>
        <w:adjustRightInd w:val="0"/>
        <w:rPr>
          <w:rFonts w:ascii="Book Antiqua" w:hAnsi="Book Antiqua"/>
          <w:b/>
        </w:rPr>
        <w:sectPr w:rsidR="00D932E0" w:rsidSect="008F6BC9">
          <w:type w:val="continuous"/>
          <w:pgSz w:w="11907" w:h="16839" w:code="9"/>
          <w:pgMar w:top="1440" w:right="1440" w:bottom="1440" w:left="1440" w:header="720" w:footer="720" w:gutter="0"/>
          <w:cols w:num="2" w:space="720"/>
          <w:titlePg/>
          <w:docGrid w:linePitch="360"/>
        </w:sectPr>
      </w:pPr>
    </w:p>
    <w:p w14:paraId="78AB6F2E" w14:textId="77777777" w:rsidR="00C15FC7" w:rsidRPr="00E3232D" w:rsidRDefault="00C15FC7" w:rsidP="008275E1">
      <w:pPr>
        <w:autoSpaceDE w:val="0"/>
        <w:autoSpaceDN w:val="0"/>
        <w:adjustRightInd w:val="0"/>
        <w:rPr>
          <w:rFonts w:ascii="Book Antiqua" w:hAnsi="Book Antiqua"/>
          <w:b/>
        </w:rPr>
      </w:pPr>
    </w:p>
    <w:p w14:paraId="63D54117" w14:textId="77777777" w:rsidR="00C15FC7" w:rsidRDefault="00C15FC7" w:rsidP="008275E1">
      <w:pPr>
        <w:autoSpaceDE w:val="0"/>
        <w:autoSpaceDN w:val="0"/>
        <w:adjustRightInd w:val="0"/>
        <w:rPr>
          <w:rFonts w:ascii="Book Antiqua" w:hAnsi="Book Antiqua"/>
          <w:b/>
        </w:rPr>
      </w:pPr>
    </w:p>
    <w:p w14:paraId="072EFDE1" w14:textId="77777777" w:rsidR="00FD447E" w:rsidRDefault="00FD447E" w:rsidP="008275E1">
      <w:pPr>
        <w:autoSpaceDE w:val="0"/>
        <w:autoSpaceDN w:val="0"/>
        <w:adjustRightInd w:val="0"/>
        <w:rPr>
          <w:rFonts w:ascii="Book Antiqua" w:hAnsi="Book Antiqua"/>
          <w:b/>
        </w:rPr>
      </w:pPr>
    </w:p>
    <w:p w14:paraId="30CE5125" w14:textId="77777777" w:rsidR="00FD447E" w:rsidRDefault="00FD447E" w:rsidP="008275E1">
      <w:pPr>
        <w:autoSpaceDE w:val="0"/>
        <w:autoSpaceDN w:val="0"/>
        <w:adjustRightInd w:val="0"/>
        <w:rPr>
          <w:rFonts w:ascii="Book Antiqua" w:hAnsi="Book Antiqua"/>
          <w:b/>
        </w:rPr>
      </w:pPr>
    </w:p>
    <w:p w14:paraId="760BB8F4" w14:textId="77777777" w:rsidR="00FD447E" w:rsidRDefault="00FD447E" w:rsidP="008275E1">
      <w:pPr>
        <w:autoSpaceDE w:val="0"/>
        <w:autoSpaceDN w:val="0"/>
        <w:adjustRightInd w:val="0"/>
        <w:rPr>
          <w:rFonts w:ascii="Book Antiqua" w:hAnsi="Book Antiqua"/>
          <w:b/>
        </w:rPr>
      </w:pPr>
    </w:p>
    <w:p w14:paraId="3AC3518A" w14:textId="77777777" w:rsidR="00FD447E" w:rsidRDefault="00FD447E" w:rsidP="008275E1">
      <w:pPr>
        <w:autoSpaceDE w:val="0"/>
        <w:autoSpaceDN w:val="0"/>
        <w:adjustRightInd w:val="0"/>
        <w:rPr>
          <w:rFonts w:ascii="Book Antiqua" w:hAnsi="Book Antiqua"/>
          <w:b/>
        </w:rPr>
      </w:pPr>
    </w:p>
    <w:p w14:paraId="721C005C" w14:textId="77777777" w:rsidR="00FD447E" w:rsidRDefault="00FD447E" w:rsidP="008275E1">
      <w:pPr>
        <w:autoSpaceDE w:val="0"/>
        <w:autoSpaceDN w:val="0"/>
        <w:adjustRightInd w:val="0"/>
        <w:rPr>
          <w:rFonts w:ascii="Book Antiqua" w:hAnsi="Book Antiqua"/>
          <w:b/>
        </w:rPr>
      </w:pPr>
    </w:p>
    <w:p w14:paraId="3746B279" w14:textId="77777777" w:rsidR="00FD447E" w:rsidRDefault="00FD447E" w:rsidP="008275E1">
      <w:pPr>
        <w:autoSpaceDE w:val="0"/>
        <w:autoSpaceDN w:val="0"/>
        <w:adjustRightInd w:val="0"/>
        <w:rPr>
          <w:rFonts w:ascii="Book Antiqua" w:hAnsi="Book Antiqua"/>
          <w:b/>
        </w:rPr>
      </w:pPr>
    </w:p>
    <w:p w14:paraId="2E3998E9" w14:textId="77777777" w:rsidR="00FD447E" w:rsidRDefault="00FD447E" w:rsidP="008275E1">
      <w:pPr>
        <w:autoSpaceDE w:val="0"/>
        <w:autoSpaceDN w:val="0"/>
        <w:adjustRightInd w:val="0"/>
        <w:rPr>
          <w:rFonts w:ascii="Book Antiqua" w:hAnsi="Book Antiqua"/>
          <w:b/>
        </w:rPr>
      </w:pPr>
    </w:p>
    <w:p w14:paraId="72ABEB06" w14:textId="77777777" w:rsidR="00FD447E" w:rsidRDefault="00FD447E" w:rsidP="008275E1">
      <w:pPr>
        <w:autoSpaceDE w:val="0"/>
        <w:autoSpaceDN w:val="0"/>
        <w:adjustRightInd w:val="0"/>
        <w:rPr>
          <w:rFonts w:ascii="Book Antiqua" w:hAnsi="Book Antiqua"/>
          <w:b/>
        </w:rPr>
      </w:pPr>
    </w:p>
    <w:p w14:paraId="486430DA" w14:textId="77777777" w:rsidR="00FD447E" w:rsidRDefault="00FD447E" w:rsidP="008275E1">
      <w:pPr>
        <w:autoSpaceDE w:val="0"/>
        <w:autoSpaceDN w:val="0"/>
        <w:adjustRightInd w:val="0"/>
        <w:rPr>
          <w:rFonts w:ascii="Book Antiqua" w:hAnsi="Book Antiqua"/>
          <w:b/>
        </w:rPr>
      </w:pPr>
    </w:p>
    <w:p w14:paraId="46B2F5C9" w14:textId="77777777" w:rsidR="00EB13D0" w:rsidRDefault="00EB13D0" w:rsidP="008275E1">
      <w:pPr>
        <w:autoSpaceDE w:val="0"/>
        <w:autoSpaceDN w:val="0"/>
        <w:adjustRightInd w:val="0"/>
        <w:rPr>
          <w:rFonts w:ascii="Book Antiqua" w:hAnsi="Book Antiqua"/>
          <w:b/>
        </w:rPr>
      </w:pPr>
    </w:p>
    <w:p w14:paraId="5A8BEAA6" w14:textId="77777777" w:rsidR="00EB13D0" w:rsidRDefault="00EB13D0" w:rsidP="008275E1">
      <w:pPr>
        <w:autoSpaceDE w:val="0"/>
        <w:autoSpaceDN w:val="0"/>
        <w:adjustRightInd w:val="0"/>
        <w:rPr>
          <w:rFonts w:ascii="Book Antiqua" w:hAnsi="Book Antiqua"/>
          <w:b/>
        </w:rPr>
      </w:pPr>
    </w:p>
    <w:p w14:paraId="44B5B8D9" w14:textId="77777777" w:rsidR="0012151E" w:rsidRDefault="0012151E" w:rsidP="008275E1">
      <w:pPr>
        <w:autoSpaceDE w:val="0"/>
        <w:autoSpaceDN w:val="0"/>
        <w:adjustRightInd w:val="0"/>
        <w:rPr>
          <w:rFonts w:ascii="Book Antiqua" w:hAnsi="Book Antiqua"/>
          <w:b/>
        </w:rPr>
      </w:pPr>
    </w:p>
    <w:p w14:paraId="0A812ECF" w14:textId="77777777" w:rsidR="0012151E" w:rsidRDefault="0012151E" w:rsidP="008275E1">
      <w:pPr>
        <w:autoSpaceDE w:val="0"/>
        <w:autoSpaceDN w:val="0"/>
        <w:adjustRightInd w:val="0"/>
        <w:rPr>
          <w:rFonts w:ascii="Book Antiqua" w:hAnsi="Book Antiqua"/>
          <w:b/>
        </w:rPr>
      </w:pPr>
    </w:p>
    <w:p w14:paraId="18ED63BD" w14:textId="77777777" w:rsidR="007B4FCD" w:rsidRDefault="007B4FCD" w:rsidP="008275E1">
      <w:pPr>
        <w:autoSpaceDE w:val="0"/>
        <w:autoSpaceDN w:val="0"/>
        <w:adjustRightInd w:val="0"/>
        <w:rPr>
          <w:rFonts w:ascii="Book Antiqua" w:hAnsi="Book Antiqua"/>
          <w:b/>
        </w:rPr>
      </w:pPr>
    </w:p>
    <w:p w14:paraId="66180766" w14:textId="77777777" w:rsidR="007B4FCD" w:rsidRDefault="007B4FCD" w:rsidP="008275E1">
      <w:pPr>
        <w:autoSpaceDE w:val="0"/>
        <w:autoSpaceDN w:val="0"/>
        <w:adjustRightInd w:val="0"/>
        <w:rPr>
          <w:rFonts w:ascii="Book Antiqua" w:hAnsi="Book Antiqua"/>
          <w:b/>
        </w:rPr>
      </w:pPr>
    </w:p>
    <w:p w14:paraId="42E0C7AB" w14:textId="77777777" w:rsidR="00FD447E" w:rsidRPr="00E3232D" w:rsidRDefault="00FD447E" w:rsidP="008275E1">
      <w:pPr>
        <w:autoSpaceDE w:val="0"/>
        <w:autoSpaceDN w:val="0"/>
        <w:adjustRightInd w:val="0"/>
        <w:rPr>
          <w:rFonts w:ascii="Book Antiqua" w:hAnsi="Book Antiqua"/>
          <w:b/>
        </w:rPr>
      </w:pPr>
    </w:p>
    <w:p w14:paraId="4458CF60" w14:textId="77777777" w:rsidR="004D1E25" w:rsidRPr="00E3232D" w:rsidRDefault="004D1E25" w:rsidP="002D2E04">
      <w:pPr>
        <w:rPr>
          <w:rFonts w:ascii="Book Antiqua" w:hAnsi="Book Antiqua"/>
          <w:b/>
        </w:rPr>
        <w:sectPr w:rsidR="004D1E25" w:rsidRPr="00E3232D" w:rsidSect="008F6BC9">
          <w:type w:val="continuous"/>
          <w:pgSz w:w="11907" w:h="16839" w:code="9"/>
          <w:pgMar w:top="1440" w:right="1440" w:bottom="1440" w:left="1440" w:header="720" w:footer="720" w:gutter="0"/>
          <w:cols w:space="720"/>
          <w:titlePg/>
          <w:docGrid w:linePitch="360"/>
        </w:sectPr>
      </w:pPr>
    </w:p>
    <w:p w14:paraId="1E187111" w14:textId="77777777" w:rsidR="007B6DBD" w:rsidRPr="007C2E55" w:rsidRDefault="00C626FC" w:rsidP="007C2E55">
      <w:pPr>
        <w:jc w:val="center"/>
        <w:rPr>
          <w:rFonts w:ascii="Book Antiqua" w:hAnsi="Book Antiqua"/>
          <w:b/>
          <w:sz w:val="26"/>
          <w:szCs w:val="26"/>
        </w:rPr>
      </w:pPr>
      <w:r w:rsidRPr="002D2E04">
        <w:rPr>
          <w:rFonts w:ascii="Book Antiqua" w:hAnsi="Book Antiqua"/>
          <w:b/>
          <w:sz w:val="26"/>
          <w:szCs w:val="26"/>
        </w:rPr>
        <w:t>Academia and Industry Collaboration: Towards a More Responsive Polytechnic Education in Ghana</w:t>
      </w:r>
    </w:p>
    <w:p w14:paraId="2AB64ED3" w14:textId="77777777" w:rsidR="002D7C45" w:rsidRDefault="007B6DBD" w:rsidP="007C2E55">
      <w:pPr>
        <w:spacing w:after="0" w:line="240" w:lineRule="auto"/>
        <w:jc w:val="center"/>
        <w:rPr>
          <w:rFonts w:ascii="Book Antiqua" w:hAnsi="Book Antiqua"/>
          <w:b/>
        </w:rPr>
      </w:pPr>
      <w:r w:rsidRPr="007B6DBD">
        <w:rPr>
          <w:rFonts w:ascii="Book Antiqua" w:hAnsi="Book Antiqua"/>
          <w:b/>
        </w:rPr>
        <w:t>Dzisi</w:t>
      </w:r>
      <w:r w:rsidR="0086444E">
        <w:rPr>
          <w:rFonts w:ascii="Book Antiqua" w:hAnsi="Book Antiqua"/>
          <w:b/>
        </w:rPr>
        <w:t xml:space="preserve"> </w:t>
      </w:r>
      <w:r w:rsidR="002D7C45" w:rsidRPr="007B6DBD">
        <w:rPr>
          <w:rFonts w:ascii="Book Antiqua" w:hAnsi="Book Antiqua"/>
          <w:b/>
        </w:rPr>
        <w:t>S</w:t>
      </w:r>
      <w:r w:rsidR="002D7C45">
        <w:rPr>
          <w:rFonts w:ascii="Book Antiqua" w:hAnsi="Book Antiqua"/>
          <w:b/>
        </w:rPr>
        <w:t>. &amp;</w:t>
      </w:r>
      <w:r w:rsidR="002D7C45" w:rsidRPr="007B6DBD">
        <w:rPr>
          <w:rFonts w:ascii="Book Antiqua" w:hAnsi="Book Antiqua"/>
          <w:b/>
        </w:rPr>
        <w:t xml:space="preserve"> Kwofie</w:t>
      </w:r>
      <w:r w:rsidR="002D7C45">
        <w:rPr>
          <w:rFonts w:ascii="Book Antiqua" w:hAnsi="Book Antiqua"/>
          <w:b/>
        </w:rPr>
        <w:t xml:space="preserve"> B.</w:t>
      </w:r>
    </w:p>
    <w:p w14:paraId="2EFAD097" w14:textId="77777777" w:rsidR="002D7C45" w:rsidRPr="007C2E55" w:rsidRDefault="007B6DBD" w:rsidP="007C2E55">
      <w:pPr>
        <w:spacing w:after="0" w:line="240" w:lineRule="auto"/>
        <w:jc w:val="center"/>
        <w:rPr>
          <w:rFonts w:ascii="Book Antiqua" w:hAnsi="Book Antiqua"/>
        </w:rPr>
      </w:pPr>
      <w:r w:rsidRPr="007B6DBD">
        <w:rPr>
          <w:rFonts w:ascii="Book Antiqua" w:hAnsi="Book Antiqua"/>
          <w:b/>
        </w:rPr>
        <w:t xml:space="preserve"> </w:t>
      </w:r>
      <w:r w:rsidRPr="007C2E55">
        <w:rPr>
          <w:rFonts w:ascii="Book Antiqua" w:hAnsi="Book Antiqua"/>
        </w:rPr>
        <w:t xml:space="preserve">Koforidua Polytechnic, Koforidua, </w:t>
      </w:r>
    </w:p>
    <w:p w14:paraId="672105D2" w14:textId="77777777" w:rsidR="002D7C45" w:rsidRPr="007C2E55" w:rsidRDefault="002D7C45" w:rsidP="007C2E55">
      <w:pPr>
        <w:spacing w:after="0" w:line="240" w:lineRule="auto"/>
        <w:jc w:val="center"/>
        <w:rPr>
          <w:rFonts w:ascii="Book Antiqua" w:hAnsi="Book Antiqua"/>
        </w:rPr>
      </w:pPr>
      <w:r w:rsidRPr="007C2E55">
        <w:rPr>
          <w:rFonts w:ascii="Book Antiqua" w:hAnsi="Book Antiqua"/>
          <w:b/>
        </w:rPr>
        <w:t>E-mail:</w:t>
      </w:r>
      <w:r w:rsidRPr="007C2E55">
        <w:rPr>
          <w:rFonts w:ascii="Book Antiqua" w:hAnsi="Book Antiqua"/>
        </w:rPr>
        <w:t xml:space="preserve"> </w:t>
      </w:r>
      <w:hyperlink r:id="rId295" w:history="1">
        <w:r w:rsidR="007B6DBD" w:rsidRPr="007C2E55">
          <w:rPr>
            <w:rStyle w:val="Hyperlink"/>
            <w:rFonts w:ascii="Book Antiqua" w:hAnsi="Book Antiqua"/>
          </w:rPr>
          <w:t>afuasmile@yahoo.com</w:t>
        </w:r>
      </w:hyperlink>
      <w:r w:rsidR="00F3081F" w:rsidRPr="007C2E55">
        <w:rPr>
          <w:rFonts w:ascii="Book Antiqua" w:hAnsi="Book Antiqua"/>
        </w:rPr>
        <w:t xml:space="preserve"> &amp;</w:t>
      </w:r>
      <w:r w:rsidRPr="007C2E55">
        <w:rPr>
          <w:rFonts w:ascii="Book Antiqua" w:hAnsi="Book Antiqua"/>
        </w:rPr>
        <w:t xml:space="preserve"> </w:t>
      </w:r>
      <w:hyperlink r:id="rId296" w:history="1">
        <w:r w:rsidRPr="007C2E55">
          <w:rPr>
            <w:rStyle w:val="Hyperlink"/>
            <w:rFonts w:ascii="Book Antiqua" w:hAnsi="Book Antiqua"/>
          </w:rPr>
          <w:t>Kwofie@gmail.com</w:t>
        </w:r>
      </w:hyperlink>
      <w:r w:rsidRPr="007C2E55">
        <w:rPr>
          <w:rFonts w:ascii="Book Antiqua" w:hAnsi="Book Antiqua"/>
        </w:rPr>
        <w:t xml:space="preserve">, </w:t>
      </w:r>
    </w:p>
    <w:p w14:paraId="78E948BD" w14:textId="77777777" w:rsidR="00556AD2" w:rsidRPr="002D2E04" w:rsidRDefault="00556AD2" w:rsidP="0012151E">
      <w:pPr>
        <w:tabs>
          <w:tab w:val="left" w:pos="720"/>
        </w:tabs>
        <w:rPr>
          <w:rFonts w:ascii="Book Antiqua" w:hAnsi="Book Antiqua"/>
          <w:b/>
          <w:sz w:val="26"/>
          <w:szCs w:val="26"/>
        </w:rPr>
      </w:pPr>
    </w:p>
    <w:p w14:paraId="289879BE" w14:textId="77777777" w:rsidR="00C626FC" w:rsidRPr="00E3232D" w:rsidRDefault="00C626FC" w:rsidP="007C2E55">
      <w:pPr>
        <w:jc w:val="both"/>
        <w:rPr>
          <w:rFonts w:ascii="Book Antiqua" w:hAnsi="Book Antiqua"/>
          <w:b/>
        </w:rPr>
      </w:pPr>
      <w:r w:rsidRPr="007C2E55">
        <w:rPr>
          <w:rFonts w:ascii="Book Antiqua" w:hAnsi="Book Antiqua"/>
          <w:b/>
          <w:sz w:val="26"/>
        </w:rPr>
        <w:t>Abstract</w:t>
      </w:r>
      <w:r w:rsidRPr="00E3232D">
        <w:rPr>
          <w:rFonts w:ascii="Book Antiqua" w:hAnsi="Book Antiqua"/>
          <w:b/>
        </w:rPr>
        <w:t xml:space="preserve"> </w:t>
      </w:r>
    </w:p>
    <w:p w14:paraId="7C8323E5" w14:textId="77777777" w:rsidR="00C626FC" w:rsidRPr="00E3232D" w:rsidRDefault="00C626FC" w:rsidP="007C2E55">
      <w:pPr>
        <w:jc w:val="both"/>
        <w:rPr>
          <w:rFonts w:ascii="Book Antiqua" w:hAnsi="Book Antiqua"/>
        </w:rPr>
      </w:pPr>
      <w:r w:rsidRPr="00E3232D">
        <w:rPr>
          <w:rFonts w:ascii="Book Antiqua" w:hAnsi="Book Antiqua"/>
        </w:rPr>
        <w:t xml:space="preserve">Tertiary educational institutions all over the world are charged with research, training and the development of critical higher-level manpower for the growth and competitiveness of a country’s different industries. The performance of such functions are however dependent on effective collaboration of beneficiaries of such end products, especially the government and the industry. Over the past 20 decades, such collaborations between the academia and industry in Ghana have seen little development. Models of such collaborations of mutual benefit to stakeholders in a country play a critical role in providing essential on the job experience for students, funding for critical research resulting in innovations, providing students with state of the art skills required by the industry. This study aims at exploring the nature of collaboration that exists between polytechnics in Ghana and industry, the challenges associated with such collaborations and the expectations from both the polytechnics and industry. Using a descriptive research design, five out of the ten polytechnics in Ghana were randomly selected for in-depth interviews which explored the perspectives of students, lecturers and administrators on polytechnic-industry collaboration. In addition, twenty industries were also purposively selected and interviewed. Findings revealed that although diverse forms of collaboration exist between polytechnics and industry they occur at minimal level. The inherent challenges were identified and expectations mapped out. </w:t>
      </w:r>
    </w:p>
    <w:p w14:paraId="4E04F908" w14:textId="77777777" w:rsidR="002D2E04" w:rsidRDefault="002D2E04" w:rsidP="008275E1">
      <w:pPr>
        <w:rPr>
          <w:rFonts w:ascii="Book Antiqua" w:hAnsi="Book Antiqua"/>
          <w:b/>
        </w:rPr>
      </w:pPr>
    </w:p>
    <w:p w14:paraId="2FD29707" w14:textId="77777777" w:rsidR="00C626FC" w:rsidRPr="00E3232D" w:rsidRDefault="00C626FC" w:rsidP="008275E1">
      <w:pPr>
        <w:rPr>
          <w:rFonts w:ascii="Book Antiqua" w:hAnsi="Book Antiqua"/>
        </w:rPr>
      </w:pPr>
      <w:r w:rsidRPr="00E3232D">
        <w:rPr>
          <w:rFonts w:ascii="Book Antiqua" w:hAnsi="Book Antiqua"/>
          <w:b/>
        </w:rPr>
        <w:t xml:space="preserve">Key Words: </w:t>
      </w:r>
      <w:r w:rsidRPr="00E3232D">
        <w:rPr>
          <w:rFonts w:ascii="Book Antiqua" w:hAnsi="Book Antiqua"/>
        </w:rPr>
        <w:t xml:space="preserve">Tertiary </w:t>
      </w:r>
      <w:r w:rsidR="007C2E55" w:rsidRPr="00E3232D">
        <w:rPr>
          <w:rFonts w:ascii="Book Antiqua" w:hAnsi="Book Antiqua"/>
        </w:rPr>
        <w:t>Educational Institutions; Polytechnics</w:t>
      </w:r>
      <w:r w:rsidR="007C2E55">
        <w:rPr>
          <w:rFonts w:ascii="Book Antiqua" w:hAnsi="Book Antiqua"/>
          <w:b/>
        </w:rPr>
        <w:t>;</w:t>
      </w:r>
      <w:r w:rsidR="007C2E55" w:rsidRPr="00E3232D">
        <w:rPr>
          <w:rFonts w:ascii="Book Antiqua" w:hAnsi="Book Antiqua"/>
          <w:b/>
        </w:rPr>
        <w:t xml:space="preserve"> </w:t>
      </w:r>
      <w:r w:rsidR="007C2E55">
        <w:rPr>
          <w:rFonts w:ascii="Book Antiqua" w:hAnsi="Book Antiqua"/>
        </w:rPr>
        <w:t>Industry;</w:t>
      </w:r>
      <w:r w:rsidR="007C2E55" w:rsidRPr="00E3232D">
        <w:rPr>
          <w:rFonts w:ascii="Book Antiqua" w:hAnsi="Book Antiqua"/>
        </w:rPr>
        <w:t xml:space="preserve"> Governmental Agencies; Collaboration </w:t>
      </w:r>
    </w:p>
    <w:p w14:paraId="3CF8A955" w14:textId="77777777" w:rsidR="009D3F5A" w:rsidRPr="00E3232D" w:rsidRDefault="009D3F5A" w:rsidP="008275E1">
      <w:pPr>
        <w:rPr>
          <w:rFonts w:ascii="Book Antiqua" w:hAnsi="Book Antiqua"/>
          <w:b/>
        </w:rPr>
        <w:sectPr w:rsidR="009D3F5A" w:rsidRPr="00E3232D" w:rsidSect="008F6BC9">
          <w:type w:val="continuous"/>
          <w:pgSz w:w="11907" w:h="16839" w:code="9"/>
          <w:pgMar w:top="1440" w:right="1440" w:bottom="1440" w:left="1440" w:header="720" w:footer="720" w:gutter="0"/>
          <w:cols w:space="720"/>
          <w:titlePg/>
          <w:docGrid w:linePitch="360"/>
        </w:sectPr>
      </w:pPr>
    </w:p>
    <w:p w14:paraId="2A84E7CA" w14:textId="77777777" w:rsidR="00CF4E6C" w:rsidRPr="00E3232D" w:rsidRDefault="00CF4E6C" w:rsidP="008275E1">
      <w:pPr>
        <w:rPr>
          <w:rFonts w:ascii="Book Antiqua" w:hAnsi="Book Antiqua"/>
          <w:b/>
        </w:rPr>
      </w:pPr>
    </w:p>
    <w:p w14:paraId="47BCF5EB" w14:textId="77777777" w:rsidR="00CF4E6C" w:rsidRPr="00E3232D" w:rsidRDefault="00CF4E6C" w:rsidP="008275E1">
      <w:pPr>
        <w:rPr>
          <w:rFonts w:ascii="Book Antiqua" w:hAnsi="Book Antiqua"/>
          <w:b/>
        </w:rPr>
      </w:pPr>
      <w:r w:rsidRPr="00E3232D">
        <w:rPr>
          <w:rFonts w:ascii="Book Antiqua" w:hAnsi="Book Antiqua"/>
          <w:b/>
        </w:rPr>
        <w:t>1.</w:t>
      </w:r>
      <w:r w:rsidR="002D5D59">
        <w:rPr>
          <w:rFonts w:ascii="Book Antiqua" w:hAnsi="Book Antiqua"/>
          <w:b/>
        </w:rPr>
        <w:t>0</w:t>
      </w:r>
      <w:r w:rsidRPr="00E3232D">
        <w:rPr>
          <w:rFonts w:ascii="Book Antiqua" w:hAnsi="Book Antiqua"/>
          <w:b/>
        </w:rPr>
        <w:t xml:space="preserve"> </w:t>
      </w:r>
      <w:r w:rsidRPr="007C2E55">
        <w:rPr>
          <w:rFonts w:ascii="Book Antiqua" w:hAnsi="Book Antiqua"/>
          <w:b/>
          <w:sz w:val="26"/>
        </w:rPr>
        <w:t>Introduction</w:t>
      </w:r>
      <w:r w:rsidRPr="00E3232D">
        <w:rPr>
          <w:rFonts w:ascii="Book Antiqua" w:hAnsi="Book Antiqua"/>
          <w:b/>
        </w:rPr>
        <w:t xml:space="preserve"> </w:t>
      </w:r>
    </w:p>
    <w:p w14:paraId="3733016D" w14:textId="77777777" w:rsidR="0012151E" w:rsidRDefault="00CF4E6C" w:rsidP="008275E1">
      <w:pPr>
        <w:rPr>
          <w:rFonts w:ascii="Book Antiqua" w:hAnsi="Book Antiqua"/>
        </w:rPr>
      </w:pPr>
      <w:r w:rsidRPr="00E3232D">
        <w:rPr>
          <w:rFonts w:ascii="Book Antiqua" w:hAnsi="Book Antiqua"/>
        </w:rPr>
        <w:t xml:space="preserve">Tertiary educational institutions have over the past ten decades transformed </w:t>
      </w:r>
    </w:p>
    <w:p w14:paraId="3ACA9042" w14:textId="77777777" w:rsidR="0012151E" w:rsidRDefault="0012151E" w:rsidP="008275E1">
      <w:pPr>
        <w:rPr>
          <w:rFonts w:ascii="Book Antiqua" w:hAnsi="Book Antiqua"/>
        </w:rPr>
      </w:pPr>
    </w:p>
    <w:p w14:paraId="080D0FC4" w14:textId="77777777" w:rsidR="007C2E55" w:rsidRDefault="007C2E55" w:rsidP="008275E1">
      <w:pPr>
        <w:rPr>
          <w:rFonts w:ascii="Book Antiqua" w:hAnsi="Book Antiqua"/>
        </w:rPr>
      </w:pPr>
    </w:p>
    <w:p w14:paraId="7822993B" w14:textId="77777777" w:rsidR="007C2E55" w:rsidRDefault="007C2E55" w:rsidP="008275E1">
      <w:pPr>
        <w:rPr>
          <w:rFonts w:ascii="Book Antiqua" w:hAnsi="Book Antiqua"/>
        </w:rPr>
      </w:pPr>
    </w:p>
    <w:p w14:paraId="625D7421" w14:textId="77777777" w:rsidR="002D2E04" w:rsidRDefault="00CF4E6C" w:rsidP="007C2E55">
      <w:pPr>
        <w:jc w:val="both"/>
        <w:rPr>
          <w:rFonts w:ascii="Book Antiqua" w:hAnsi="Book Antiqua"/>
        </w:rPr>
      </w:pPr>
      <w:r w:rsidRPr="00E3232D">
        <w:rPr>
          <w:rFonts w:ascii="Book Antiqua" w:hAnsi="Book Antiqua"/>
        </w:rPr>
        <w:t xml:space="preserve">industries all over the world and made tremendous contributions to the economies of different nations. In developing countries like Ghana, these contributions mostly encompass the development of the critical manpower needs, with very little contribution to industry problem-solving through research collaborations and consultancies. The nature of such collaborations and the anticipated results and impacts are also not clearly defined, resulting in the conduct of ‘mere’ collaborative formalities. These </w:t>
      </w:r>
    </w:p>
    <w:p w14:paraId="363CEE08" w14:textId="77777777" w:rsidR="00CF4E6C" w:rsidRPr="00E3232D" w:rsidRDefault="00CF4E6C" w:rsidP="007C2E55">
      <w:pPr>
        <w:jc w:val="both"/>
        <w:rPr>
          <w:rFonts w:ascii="Book Antiqua" w:hAnsi="Book Antiqua"/>
        </w:rPr>
      </w:pPr>
      <w:r w:rsidRPr="00E3232D">
        <w:rPr>
          <w:rFonts w:ascii="Book Antiqua" w:hAnsi="Book Antiqua"/>
        </w:rPr>
        <w:t xml:space="preserve">developments, coupled with increasing number of students necessitate a critical diagnosis of the polytechnic and industrial relationship towards introducing innovative ideas and inventions, developing critical manpower capable of meeting the current expectations of businesses and the economy at large. </w:t>
      </w:r>
    </w:p>
    <w:p w14:paraId="5A846CCA" w14:textId="77777777" w:rsidR="00FD447E" w:rsidRDefault="00FD447E" w:rsidP="007C2E55">
      <w:pPr>
        <w:spacing w:after="0"/>
        <w:jc w:val="both"/>
        <w:rPr>
          <w:rFonts w:ascii="Book Antiqua" w:hAnsi="Book Antiqua"/>
        </w:rPr>
      </w:pPr>
    </w:p>
    <w:p w14:paraId="254E70F4" w14:textId="77777777" w:rsidR="00CF4E6C" w:rsidRPr="00E3232D" w:rsidRDefault="00CF4E6C" w:rsidP="007C2E55">
      <w:pPr>
        <w:jc w:val="both"/>
        <w:rPr>
          <w:rFonts w:ascii="Book Antiqua" w:hAnsi="Book Antiqua"/>
        </w:rPr>
      </w:pPr>
      <w:r w:rsidRPr="00E3232D">
        <w:rPr>
          <w:rFonts w:ascii="Book Antiqua" w:hAnsi="Book Antiqua"/>
        </w:rPr>
        <w:t>Polytechnic education is a critical component of tertiary education system that provides career focused education and relevant skill training programmes to meet the changing needs of students, industry and society. In furtherance of this, polytechnics in Ghana were upgraded from the technical institutes into tertiary status to offer advanced technician training and craft certificates for practice-oriented middle-level profession (Ghana MOESS, 2008).The mission and mandate of the polytechnics as spelt out in the Polytechnic Law are to:</w:t>
      </w:r>
    </w:p>
    <w:p w14:paraId="4D5005E0" w14:textId="77777777" w:rsidR="00CF4E6C" w:rsidRPr="00E3232D" w:rsidRDefault="00CF4E6C" w:rsidP="007C2E55">
      <w:pPr>
        <w:numPr>
          <w:ilvl w:val="0"/>
          <w:numId w:val="14"/>
        </w:numPr>
        <w:tabs>
          <w:tab w:val="clear" w:pos="720"/>
          <w:tab w:val="num" w:pos="360"/>
        </w:tabs>
        <w:ind w:left="360"/>
        <w:jc w:val="both"/>
        <w:rPr>
          <w:rFonts w:ascii="Book Antiqua" w:hAnsi="Book Antiqua"/>
        </w:rPr>
      </w:pPr>
      <w:r w:rsidRPr="00E3232D">
        <w:rPr>
          <w:rFonts w:ascii="Book Antiqua" w:hAnsi="Book Antiqua"/>
        </w:rPr>
        <w:t>Provide tertiary education in the field of manufacturing, commerce, Science technology, applied social sciences, applied Arts and such other areas as may be determined by the Ministry of Education,</w:t>
      </w:r>
    </w:p>
    <w:p w14:paraId="11FE35EC" w14:textId="77777777" w:rsidR="00CF4E6C" w:rsidRPr="00E3232D" w:rsidRDefault="00CF4E6C" w:rsidP="007C2E55">
      <w:pPr>
        <w:numPr>
          <w:ilvl w:val="0"/>
          <w:numId w:val="14"/>
        </w:numPr>
        <w:tabs>
          <w:tab w:val="clear" w:pos="720"/>
          <w:tab w:val="num" w:pos="360"/>
        </w:tabs>
        <w:ind w:left="360"/>
        <w:jc w:val="both"/>
        <w:rPr>
          <w:rFonts w:ascii="Book Antiqua" w:hAnsi="Book Antiqua"/>
        </w:rPr>
      </w:pPr>
      <w:r w:rsidRPr="00E3232D">
        <w:rPr>
          <w:rFonts w:ascii="Book Antiqua" w:hAnsi="Book Antiqua"/>
        </w:rPr>
        <w:t xml:space="preserve">Encourage study in  technical subjects  at the tertiary level, and </w:t>
      </w:r>
    </w:p>
    <w:p w14:paraId="60676684" w14:textId="77777777" w:rsidR="00CF4E6C" w:rsidRPr="00E3232D" w:rsidRDefault="00CF4E6C" w:rsidP="007C2E55">
      <w:pPr>
        <w:numPr>
          <w:ilvl w:val="0"/>
          <w:numId w:val="14"/>
        </w:numPr>
        <w:tabs>
          <w:tab w:val="clear" w:pos="720"/>
          <w:tab w:val="num" w:pos="360"/>
        </w:tabs>
        <w:ind w:left="360"/>
        <w:jc w:val="both"/>
        <w:rPr>
          <w:rFonts w:ascii="Book Antiqua" w:hAnsi="Book Antiqua"/>
        </w:rPr>
      </w:pPr>
      <w:r w:rsidRPr="00E3232D">
        <w:rPr>
          <w:rFonts w:ascii="Book Antiqua" w:hAnsi="Book Antiqua"/>
        </w:rPr>
        <w:t>Provide opportunity for development, research and publications of research findings.</w:t>
      </w:r>
    </w:p>
    <w:p w14:paraId="79D4B03D" w14:textId="77777777" w:rsidR="00CF4E6C" w:rsidRPr="00E3232D" w:rsidRDefault="00CF4E6C" w:rsidP="007C2E55">
      <w:pPr>
        <w:jc w:val="both"/>
        <w:rPr>
          <w:rFonts w:ascii="Book Antiqua" w:hAnsi="Book Antiqua"/>
        </w:rPr>
      </w:pPr>
      <w:r w:rsidRPr="00E3232D">
        <w:rPr>
          <w:rFonts w:ascii="Book Antiqua" w:hAnsi="Book Antiqua"/>
        </w:rPr>
        <w:t xml:space="preserve">  The Government White Paper specifically stated that; ‘The polytechnics have a distinctive and important role to play in developing  middle level personnel and that programmes and courses were to be offered at the higher level of technician training leading to the award of higher diplomas but not depart from syllabi dedicated to practical technician training’ (Ministry of Education, 1993). </w:t>
      </w:r>
    </w:p>
    <w:p w14:paraId="6F7A0FA4" w14:textId="77777777" w:rsidR="00CF4E6C" w:rsidRPr="00E3232D" w:rsidRDefault="00CF4E6C" w:rsidP="007C2E55">
      <w:pPr>
        <w:jc w:val="both"/>
        <w:rPr>
          <w:rFonts w:ascii="Book Antiqua" w:hAnsi="Book Antiqua"/>
        </w:rPr>
      </w:pPr>
      <w:r w:rsidRPr="00E3232D">
        <w:rPr>
          <w:rFonts w:ascii="Book Antiqua" w:hAnsi="Book Antiqua"/>
        </w:rPr>
        <w:t xml:space="preserve">There are many who share the concerns that some tertiary education programmes are completely out of touch with specific industry needs. The argument people often put up to support this claim is that many tertiary institutions develop academic programmes without any significant input from industry experts. The consequence of this seeming negligence if it is really the case is the production of graduates whose skills level fall short of industry requirement making it difficult for such graduates to get jobs or perform poorly on the job. It was observed that over the last decade, the polytechnic institutions have not been able to achieve the objective of producing middle-level skilled personnel due to reasons such as theory-based curricula, severe shortages of technical teachers with applied experience from industry, weak linkages and engagement with industry leading to mismatch of courses with technologies currently in use by firms, inefficient schemes of industrial attachment and limited job placements (JICA, 2008). Other constraints include poor public image about Technical and Vocational Education and Training (TVET) and limited progression in the TVET system leading to steady drift of polytechnic graduates towards academic degree programmes (JICA 2001; JICA, 2008; Boahin &amp; Hofman, 2012). The main thrust of the study therefore is to find out the existing nature of </w:t>
      </w:r>
      <w:r w:rsidR="002D2E04" w:rsidRPr="00E3232D">
        <w:rPr>
          <w:rFonts w:ascii="Book Antiqua" w:hAnsi="Book Antiqua"/>
        </w:rPr>
        <w:t>collaboration,</w:t>
      </w:r>
      <w:r w:rsidRPr="00E3232D">
        <w:rPr>
          <w:rFonts w:ascii="Book Antiqua" w:hAnsi="Book Antiqua"/>
        </w:rPr>
        <w:t xml:space="preserve"> the challenges and expectations.</w:t>
      </w:r>
    </w:p>
    <w:p w14:paraId="38B6ED9B" w14:textId="77777777" w:rsidR="002D2E04" w:rsidRDefault="002D2E04" w:rsidP="007C2E55">
      <w:pPr>
        <w:spacing w:after="0"/>
        <w:jc w:val="both"/>
        <w:rPr>
          <w:rFonts w:ascii="Book Antiqua" w:hAnsi="Book Antiqua"/>
        </w:rPr>
      </w:pPr>
    </w:p>
    <w:p w14:paraId="5CC623DB" w14:textId="77777777" w:rsidR="00CF4E6C" w:rsidRPr="00E3232D" w:rsidRDefault="00CF4E6C" w:rsidP="007C2E55">
      <w:pPr>
        <w:jc w:val="both"/>
        <w:rPr>
          <w:rFonts w:ascii="Book Antiqua" w:hAnsi="Book Antiqua"/>
        </w:rPr>
      </w:pPr>
      <w:r w:rsidRPr="00E3232D">
        <w:rPr>
          <w:rFonts w:ascii="Book Antiqua" w:hAnsi="Book Antiqua"/>
        </w:rPr>
        <w:t>Tertiary educational institutions, all over the world are mandated to teach, research and provide services to the communities within which they are located for innovation and developmental purposes. These core activities require the collaborative efforts of stakeholders (government and industry) in order to be successful giving the recent decreases in funding of higher education all over the world and increasing student numbers. Most higher education institutions, especially in developing countries, however focus more on some of the core mandate than others. In Ghana, majority of the tertiary institutions focus on offering teaching programmes. Little is seen on effective collaboration with industries and governmental agencies in areas of research, sponsorship, industrial attachments and community services. This paper therefore aims at exploring the nature of collaboration that exists between the polytechnics and industry, the challenges involve in such collaborations and their expectations.</w:t>
      </w:r>
    </w:p>
    <w:p w14:paraId="385A6C84" w14:textId="77777777" w:rsidR="00CF4E6C" w:rsidRPr="00E3232D" w:rsidRDefault="00CF4E6C" w:rsidP="007C2E55">
      <w:pPr>
        <w:jc w:val="both"/>
        <w:rPr>
          <w:rFonts w:ascii="Book Antiqua" w:hAnsi="Book Antiqua"/>
          <w:b/>
          <w:i/>
        </w:rPr>
      </w:pPr>
      <w:r w:rsidRPr="00E3232D">
        <w:rPr>
          <w:rFonts w:ascii="Book Antiqua" w:hAnsi="Book Antiqua"/>
        </w:rPr>
        <w:t xml:space="preserve">In the following sections a review of literature on the three core mandates of tertiary institutions is presented. This is then followed by a description of the roles of three stakeholders – academia, government and industry in the provision of these mandates. </w:t>
      </w:r>
    </w:p>
    <w:p w14:paraId="0001C346" w14:textId="77777777" w:rsidR="00556AED" w:rsidRDefault="00556AED" w:rsidP="007C2E55">
      <w:pPr>
        <w:spacing w:after="0"/>
        <w:jc w:val="both"/>
        <w:rPr>
          <w:rFonts w:ascii="Book Antiqua" w:hAnsi="Book Antiqua"/>
          <w:b/>
        </w:rPr>
      </w:pPr>
    </w:p>
    <w:p w14:paraId="5EACF433" w14:textId="77777777" w:rsidR="00CF4E6C" w:rsidRPr="00E3232D" w:rsidRDefault="00CF4E6C" w:rsidP="007C2E55">
      <w:pPr>
        <w:jc w:val="both"/>
        <w:rPr>
          <w:rFonts w:ascii="Book Antiqua" w:hAnsi="Book Antiqua"/>
        </w:rPr>
      </w:pPr>
      <w:r w:rsidRPr="00E3232D">
        <w:rPr>
          <w:rFonts w:ascii="Book Antiqua" w:hAnsi="Book Antiqua"/>
          <w:b/>
        </w:rPr>
        <w:t>1.1 Teaching in Tertiary Educational Institutions</w:t>
      </w:r>
    </w:p>
    <w:p w14:paraId="2C2122F8" w14:textId="77777777" w:rsidR="00CF4E6C" w:rsidRPr="00E3232D" w:rsidRDefault="00CF4E6C" w:rsidP="007C2E55">
      <w:pPr>
        <w:jc w:val="both"/>
        <w:rPr>
          <w:rFonts w:ascii="Book Antiqua" w:hAnsi="Book Antiqua"/>
        </w:rPr>
      </w:pPr>
      <w:r w:rsidRPr="00E3232D">
        <w:rPr>
          <w:rFonts w:ascii="Book Antiqua" w:hAnsi="Book Antiqua"/>
        </w:rPr>
        <w:t>The teaching function is seen as the most important function in many tertiary educational institutions. Programmes of studies are developed, submitted for accreditation and subsequently offered to students. Such programmes are aimed at training people in areas believed to be needed by industries, governments and the society at large. The programmes are designed to offer the needed technical and general knowledge; skills and experience that will enable graduates perform creditably wherever they find themselves. These programmes subsequently are reviewed and re-accredited to make them more relevant after a period of time as the institution engages in research and interacts with industry. A large number of the human resources in most of these tertiary institutions, especially in developing countries are engaged in classroom teaching. The teaching tasks are however dependent on research into knowledge by the teachers, who are also required to do research by the terms of their appointments.</w:t>
      </w:r>
    </w:p>
    <w:p w14:paraId="0E474EA7" w14:textId="77777777" w:rsidR="00CF4E6C" w:rsidRPr="00E3232D" w:rsidRDefault="00CF4E6C" w:rsidP="007C2E55">
      <w:pPr>
        <w:spacing w:after="0"/>
        <w:jc w:val="both"/>
        <w:rPr>
          <w:rFonts w:ascii="Book Antiqua" w:hAnsi="Book Antiqua"/>
        </w:rPr>
      </w:pPr>
    </w:p>
    <w:p w14:paraId="60A105E0" w14:textId="77777777" w:rsidR="00CF4E6C" w:rsidRPr="00E3232D" w:rsidRDefault="00CF4E6C" w:rsidP="007C2E55">
      <w:pPr>
        <w:jc w:val="both"/>
        <w:rPr>
          <w:rFonts w:ascii="Book Antiqua" w:hAnsi="Book Antiqua"/>
        </w:rPr>
      </w:pPr>
      <w:r w:rsidRPr="00E3232D">
        <w:rPr>
          <w:rFonts w:ascii="Book Antiqua" w:hAnsi="Book Antiqua"/>
          <w:b/>
        </w:rPr>
        <w:t>1.2 Research in Tertiary Educational Institutions</w:t>
      </w:r>
    </w:p>
    <w:p w14:paraId="1C6B5ED5" w14:textId="77777777" w:rsidR="00CF4E6C" w:rsidRPr="00E3232D" w:rsidRDefault="00CF4E6C" w:rsidP="007C2E55">
      <w:pPr>
        <w:jc w:val="both"/>
        <w:rPr>
          <w:rFonts w:ascii="Book Antiqua" w:hAnsi="Book Antiqua"/>
        </w:rPr>
      </w:pPr>
      <w:r w:rsidRPr="00E3232D">
        <w:rPr>
          <w:rFonts w:ascii="Book Antiqua" w:hAnsi="Book Antiqua"/>
        </w:rPr>
        <w:t>Research often provided by Higher Educational Institutions (HEIs can be classified into different several categories as consultancies, knowledge advancement, problem solving and solution generation ( Vessuri, 2011)  These researches are either funded by the institution, the government, the external collaborator(s) or a combination of two or more of the potential funders. Results of such researches are used in teaching, made available to the general public, restricted for public use or sometimes sold to generate internal funds for additional researches. Some of the HEIs have research centres and agendas into which interested teachers are absorbed. The teachers likewise are allowed to engage in research in their personal areas of interest with guidelines provided on institutional support, funding, dissemination etc. Strong ties between an institution and its immediate society</w:t>
      </w:r>
      <w:r w:rsidR="00556AED">
        <w:rPr>
          <w:rFonts w:ascii="Book Antiqua" w:hAnsi="Book Antiqua"/>
        </w:rPr>
        <w:t xml:space="preserve"> has often seen some remarkable collaborations leading to </w:t>
      </w:r>
      <w:r w:rsidRPr="00E3232D">
        <w:rPr>
          <w:rFonts w:ascii="Book Antiqua" w:hAnsi="Book Antiqua"/>
        </w:rPr>
        <w:t xml:space="preserve">developments in such societies something which has lost its impact in modern societies in some part of the world. Developments taking place in some countries and industries around the world can be traced to the kind and nature of collaborations existing between the institutions engaged in research and the stakeholders. </w:t>
      </w:r>
    </w:p>
    <w:p w14:paraId="5E21DFE7" w14:textId="77777777" w:rsidR="00CF4E6C" w:rsidRPr="00E3232D" w:rsidRDefault="00CF4E6C" w:rsidP="007C2E55">
      <w:pPr>
        <w:jc w:val="both"/>
        <w:rPr>
          <w:rFonts w:ascii="Book Antiqua" w:hAnsi="Book Antiqua"/>
        </w:rPr>
      </w:pPr>
      <w:r w:rsidRPr="00E3232D">
        <w:rPr>
          <w:rFonts w:ascii="Book Antiqua" w:hAnsi="Book Antiqua"/>
          <w:b/>
        </w:rPr>
        <w:t>1.3 Community Services by Tertiary Educational Institutions</w:t>
      </w:r>
    </w:p>
    <w:p w14:paraId="5497888B" w14:textId="77777777" w:rsidR="00CF4E6C" w:rsidRPr="00E3232D" w:rsidRDefault="00CF4E6C" w:rsidP="007C2E55">
      <w:pPr>
        <w:jc w:val="both"/>
        <w:rPr>
          <w:rFonts w:ascii="Book Antiqua" w:hAnsi="Book Antiqua"/>
        </w:rPr>
      </w:pPr>
      <w:r w:rsidRPr="00E3232D">
        <w:rPr>
          <w:rFonts w:ascii="Book Antiqua" w:hAnsi="Book Antiqua"/>
        </w:rPr>
        <w:t>Tertiary Educational Institutions provide numerous services to the communities within which they are located. Where institutions have been successful in providing meaningful services, clear understanding and awareness have been created and shared by stakeholders involved in the relationship (Wiewel and Lieber</w:t>
      </w:r>
      <w:r w:rsidR="00556AED" w:rsidRPr="00E3232D">
        <w:rPr>
          <w:rFonts w:ascii="Book Antiqua" w:hAnsi="Book Antiqua"/>
        </w:rPr>
        <w:t>, 1998</w:t>
      </w:r>
      <w:r w:rsidRPr="00E3232D">
        <w:rPr>
          <w:rFonts w:ascii="Book Antiqua" w:hAnsi="Book Antiqua"/>
        </w:rPr>
        <w:t>). Common among such services are trainings, voluntary services, research, funding, consultancy services, etc. The beneficiaries of such collaborative efforts are often found in public and private sectors, profit and non-profit making organisations. Some institutions have drawn-out programmes of community involvement by providing short training courses, entrepreneurial skills and organize workshops for their immediate communities. Such institutions have a good understanding of the community’s structure and needs, and have good working relationships with decision makers within the community.</w:t>
      </w:r>
    </w:p>
    <w:p w14:paraId="545E1E5A" w14:textId="77777777" w:rsidR="00CF4E6C" w:rsidRPr="00E3232D" w:rsidRDefault="00CF4E6C" w:rsidP="007C2E55">
      <w:pPr>
        <w:spacing w:after="0"/>
        <w:jc w:val="both"/>
        <w:rPr>
          <w:rFonts w:ascii="Book Antiqua" w:hAnsi="Book Antiqua"/>
        </w:rPr>
      </w:pPr>
    </w:p>
    <w:p w14:paraId="39BF4514" w14:textId="77777777" w:rsidR="00CF4E6C" w:rsidRPr="00E3232D" w:rsidRDefault="00CF4E6C" w:rsidP="007C2E55">
      <w:pPr>
        <w:jc w:val="both"/>
        <w:rPr>
          <w:rFonts w:ascii="Book Antiqua" w:hAnsi="Book Antiqua"/>
        </w:rPr>
      </w:pPr>
      <w:r w:rsidRPr="00E3232D">
        <w:rPr>
          <w:rFonts w:ascii="Book Antiqua" w:hAnsi="Book Antiqua"/>
          <w:b/>
        </w:rPr>
        <w:t>1.4 Role of Academic Institutions, Government and Industry in mutually beneficial collaborative efforts</w:t>
      </w:r>
    </w:p>
    <w:p w14:paraId="79C9D6B2" w14:textId="77777777" w:rsidR="00CF4E6C" w:rsidRPr="00E3232D" w:rsidRDefault="00CF4E6C" w:rsidP="007C2E55">
      <w:pPr>
        <w:jc w:val="both"/>
        <w:rPr>
          <w:rFonts w:ascii="Book Antiqua" w:hAnsi="Book Antiqua"/>
        </w:rPr>
      </w:pPr>
      <w:r w:rsidRPr="00E3232D">
        <w:rPr>
          <w:rFonts w:ascii="Book Antiqua" w:hAnsi="Book Antiqua"/>
        </w:rPr>
        <w:t>In this section, the role of academic institutions, governments and industry in tertiary education is discussed highlighting areas of mutual benefit for the collaborators.</w:t>
      </w:r>
    </w:p>
    <w:p w14:paraId="4F3E60FA" w14:textId="77777777" w:rsidR="00CF4E6C" w:rsidRDefault="00CF4E6C" w:rsidP="007C2E55">
      <w:pPr>
        <w:jc w:val="both"/>
        <w:rPr>
          <w:rFonts w:ascii="Book Antiqua" w:hAnsi="Book Antiqua"/>
          <w:b/>
        </w:rPr>
      </w:pPr>
    </w:p>
    <w:p w14:paraId="271B2978" w14:textId="77777777" w:rsidR="007C2E55" w:rsidRPr="00E3232D" w:rsidRDefault="007C2E55" w:rsidP="007C2E55">
      <w:pPr>
        <w:jc w:val="both"/>
        <w:rPr>
          <w:rFonts w:ascii="Book Antiqua" w:hAnsi="Book Antiqua"/>
          <w:b/>
        </w:rPr>
      </w:pPr>
    </w:p>
    <w:p w14:paraId="5812A17B" w14:textId="77777777" w:rsidR="00CF4E6C" w:rsidRPr="00E3232D" w:rsidRDefault="00CF4E6C" w:rsidP="007C2E55">
      <w:pPr>
        <w:jc w:val="both"/>
        <w:rPr>
          <w:rFonts w:ascii="Book Antiqua" w:hAnsi="Book Antiqua"/>
        </w:rPr>
      </w:pPr>
      <w:r w:rsidRPr="00E3232D">
        <w:rPr>
          <w:rFonts w:ascii="Book Antiqua" w:hAnsi="Book Antiqua"/>
          <w:b/>
        </w:rPr>
        <w:t xml:space="preserve">1.4.1 Academic Institutions </w:t>
      </w:r>
    </w:p>
    <w:p w14:paraId="5DC9D10F" w14:textId="77777777" w:rsidR="00CF4E6C" w:rsidRPr="00E3232D" w:rsidRDefault="00CF4E6C" w:rsidP="007C2E55">
      <w:pPr>
        <w:jc w:val="both"/>
        <w:rPr>
          <w:rFonts w:ascii="Book Antiqua" w:hAnsi="Book Antiqua"/>
        </w:rPr>
      </w:pPr>
      <w:r w:rsidRPr="00E3232D">
        <w:rPr>
          <w:rFonts w:ascii="Book Antiqua" w:hAnsi="Book Antiqua"/>
        </w:rPr>
        <w:t xml:space="preserve">Academic institutions have the responsibility to recruit, train and equip students with the needed knowledge, skills and qualifications required by the society within which they are located. Tertiary education requires higher-level critical thinking for the developmental of a nation’s human resource (Schumaker et al. 2000). Technical as well as general cognitive development required by government institutions and profit making business ventures are provided by such high level institutions. Academic institutions have the mandate to research into knowledge, generate innovative ideas, contribute to providing solution and educate society’s human resources to undertake higher-level developmental works. Such researches can be from the pure sciences or social sciences, helping to meet the diverse needs of the society. The performance of these roles require funding which cannot be solely provided by tertiary institutions, hence they have been supported extensively in the past </w:t>
      </w:r>
      <w:r w:rsidR="00556AED" w:rsidRPr="00E3232D">
        <w:rPr>
          <w:rFonts w:ascii="Book Antiqua" w:hAnsi="Book Antiqua"/>
        </w:rPr>
        <w:t>by governments</w:t>
      </w:r>
      <w:r w:rsidRPr="00E3232D">
        <w:rPr>
          <w:rFonts w:ascii="Book Antiqua" w:hAnsi="Book Antiqua"/>
        </w:rPr>
        <w:t>. Part of their total funding has also been supported in part by organisations in different industries through scholarships, grants and research funding sometimes directed at specific projects. The graduates from these tertiary educational institutions find their way into organisations in the societies, both public and private, thereby providing the much needed critical human expertise. Institutions also sometimes organise refresher and short-courses to update the graduates with latest findings in the fields of knowledge, provide progression opportunities for higher education, master’s and doctorate degrees , provide on-site training opportunities and generally support developmental efforts of governments and industry alike.</w:t>
      </w:r>
    </w:p>
    <w:p w14:paraId="22662370" w14:textId="77777777" w:rsidR="00556AED" w:rsidRDefault="00556AED" w:rsidP="007C2E55">
      <w:pPr>
        <w:spacing w:after="0"/>
        <w:jc w:val="both"/>
        <w:rPr>
          <w:rFonts w:ascii="Book Antiqua" w:hAnsi="Book Antiqua"/>
          <w:b/>
        </w:rPr>
      </w:pPr>
    </w:p>
    <w:p w14:paraId="436A443F" w14:textId="77777777" w:rsidR="00CF4E6C" w:rsidRPr="00E3232D" w:rsidRDefault="00CF4E6C" w:rsidP="007C2E55">
      <w:pPr>
        <w:jc w:val="both"/>
        <w:rPr>
          <w:rFonts w:ascii="Book Antiqua" w:hAnsi="Book Antiqua"/>
        </w:rPr>
      </w:pPr>
      <w:r w:rsidRPr="00E3232D">
        <w:rPr>
          <w:rFonts w:ascii="Book Antiqua" w:hAnsi="Book Antiqua"/>
          <w:b/>
        </w:rPr>
        <w:t xml:space="preserve">1.4.2 Governments </w:t>
      </w:r>
    </w:p>
    <w:p w14:paraId="5EC90671" w14:textId="77777777" w:rsidR="00CF4E6C" w:rsidRPr="00E3232D" w:rsidRDefault="00CF4E6C" w:rsidP="007C2E55">
      <w:pPr>
        <w:jc w:val="both"/>
        <w:rPr>
          <w:rFonts w:ascii="Book Antiqua" w:hAnsi="Book Antiqua"/>
        </w:rPr>
      </w:pPr>
      <w:r w:rsidRPr="00E3232D">
        <w:rPr>
          <w:rFonts w:ascii="Book Antiqua" w:hAnsi="Book Antiqua"/>
        </w:rPr>
        <w:t xml:space="preserve">Governments have been noted for establishing the frameworks within which tertiary educational institutions operate. Such frameworks include standards and regulations often enforced by education ministries and accreditation boards. </w:t>
      </w:r>
      <w:r w:rsidRPr="00E3232D">
        <w:rPr>
          <w:rFonts w:ascii="Book Antiqua" w:hAnsi="Book Antiqua"/>
          <w:color w:val="000000"/>
        </w:rPr>
        <w:t xml:space="preserve">Enos and Morton, (2003) stated that </w:t>
      </w:r>
      <w:r w:rsidRPr="00E3232D">
        <w:rPr>
          <w:rFonts w:ascii="Book Antiqua" w:hAnsi="Book Antiqua"/>
        </w:rPr>
        <w:t>based on national developmental needs, governments make inputs into the type of programmes offered and research engaged in by these institutions. Funding is subsequently provided for these activities some of which continue over long periods of time. These funding have reduced in recent times, causing institutions to identify other sources of funds and having to cut down on research and new programme introductions. Globalization and the emergence of e-learning have also enabled international tertiary educational institutions to penetrate other countries creating serious competitions in the process (LeGates and Robinson, 1998). The government however plays a major role in shaping the nature of such competitions and the developments that take place in the tertiary educational field, in order not to cripple the local tertiary educational institutions.</w:t>
      </w:r>
    </w:p>
    <w:p w14:paraId="610909EB" w14:textId="77777777" w:rsidR="00CF4E6C" w:rsidRPr="00E3232D" w:rsidRDefault="00CF4E6C" w:rsidP="007C2E55">
      <w:pPr>
        <w:jc w:val="both"/>
        <w:rPr>
          <w:rFonts w:ascii="Book Antiqua" w:hAnsi="Book Antiqua"/>
        </w:rPr>
      </w:pPr>
      <w:r w:rsidRPr="00E3232D">
        <w:rPr>
          <w:rFonts w:ascii="Book Antiqua" w:hAnsi="Book Antiqua"/>
          <w:b/>
        </w:rPr>
        <w:t xml:space="preserve">1.4.3 Industry </w:t>
      </w:r>
    </w:p>
    <w:p w14:paraId="32CE79A7" w14:textId="77777777" w:rsidR="00CF4E6C" w:rsidRPr="00E3232D" w:rsidRDefault="00CF4E6C" w:rsidP="007C2E55">
      <w:pPr>
        <w:jc w:val="both"/>
        <w:rPr>
          <w:rFonts w:ascii="Book Antiqua" w:hAnsi="Book Antiqua"/>
        </w:rPr>
      </w:pPr>
      <w:r w:rsidRPr="00E3232D">
        <w:rPr>
          <w:rFonts w:ascii="Book Antiqua" w:hAnsi="Book Antiqua"/>
        </w:rPr>
        <w:t>The industry is a recipient of the outputs generated by tertiary educational institutions. Industry represents institutions that are not government owned, are profit oriented and have social responsibilities. Industry comprises of different types of organisations engaged in different visions, missions and objectives which may not be supported by a particular tertiary educational institutions. According to Reardon (2000) industries tend to collaborate with tertiary educational institutions on different projects. Some of these projects are initiated by the organisation, while others are initiated by the institution, probably as an area of research interest in which the organisation has a stake. Amuwo and Jenkins (2001) pointed out that organisations however sometimes require motivation in order to participate in collaborations. Such motivations can be inspired by the government and also facilitated by the tertiary educational institutions. The objectives of these two institutions may vary, but are aimed at attracting more meaningful and development oriented collaborative effort between the tertiary educational institutions and industry</w:t>
      </w:r>
    </w:p>
    <w:p w14:paraId="361DCA1E" w14:textId="77777777" w:rsidR="00CF4E6C" w:rsidRPr="00E3232D" w:rsidRDefault="00CF4E6C" w:rsidP="007C2E55">
      <w:pPr>
        <w:spacing w:after="0"/>
        <w:jc w:val="both"/>
        <w:rPr>
          <w:rFonts w:ascii="Book Antiqua" w:hAnsi="Book Antiqua"/>
        </w:rPr>
      </w:pPr>
    </w:p>
    <w:p w14:paraId="2FDFC18F" w14:textId="77777777" w:rsidR="00CF4E6C" w:rsidRPr="00E3232D" w:rsidRDefault="00CF4E6C" w:rsidP="007C2E55">
      <w:pPr>
        <w:jc w:val="both"/>
        <w:rPr>
          <w:rFonts w:ascii="Book Antiqua" w:hAnsi="Book Antiqua"/>
          <w:b/>
        </w:rPr>
      </w:pPr>
      <w:r w:rsidRPr="00E3232D">
        <w:rPr>
          <w:rFonts w:ascii="Book Antiqua" w:hAnsi="Book Antiqua"/>
          <w:b/>
        </w:rPr>
        <w:t>2.</w:t>
      </w:r>
      <w:r w:rsidR="002D5D59">
        <w:rPr>
          <w:rFonts w:ascii="Book Antiqua" w:hAnsi="Book Antiqua"/>
          <w:b/>
        </w:rPr>
        <w:t>0</w:t>
      </w:r>
      <w:r w:rsidRPr="00E3232D">
        <w:rPr>
          <w:rFonts w:ascii="Book Antiqua" w:hAnsi="Book Antiqua"/>
          <w:b/>
        </w:rPr>
        <w:t xml:space="preserve"> </w:t>
      </w:r>
      <w:r w:rsidRPr="007C2E55">
        <w:rPr>
          <w:rFonts w:ascii="Book Antiqua" w:hAnsi="Book Antiqua"/>
          <w:b/>
          <w:sz w:val="26"/>
        </w:rPr>
        <w:t>Methodology</w:t>
      </w:r>
    </w:p>
    <w:p w14:paraId="36114A90" w14:textId="77777777" w:rsidR="00CF4E6C" w:rsidRPr="00E3232D" w:rsidRDefault="00CF4E6C" w:rsidP="007C2E55">
      <w:pPr>
        <w:jc w:val="both"/>
        <w:rPr>
          <w:rFonts w:ascii="Book Antiqua" w:hAnsi="Book Antiqua"/>
        </w:rPr>
      </w:pPr>
      <w:r w:rsidRPr="00E3232D">
        <w:rPr>
          <w:rFonts w:ascii="Book Antiqua" w:hAnsi="Book Antiqua"/>
        </w:rPr>
        <w:t xml:space="preserve">The study used descriptive research design approach and employed qualitative method of data collection analysis and interpretation. The methods employed to collect data were key informants’ interviews, discussion and observation. The population of the study comprised of the ten (10) polytechnics in Ghana and industries including private and government organisations. Simple random sampling method was used to select five (5) out of ten (10) polytechnics. The selected ones were Accra, Koforidua, Ho, Cape Coast and Tamale Polytechnics. These institutions also reflect geopolitical distribution of the polytechnics in Ghana. </w:t>
      </w:r>
    </w:p>
    <w:p w14:paraId="50665851" w14:textId="77777777" w:rsidR="00CF4E6C" w:rsidRPr="00E3232D" w:rsidRDefault="00CF4E6C" w:rsidP="007C2E55">
      <w:pPr>
        <w:jc w:val="both"/>
        <w:rPr>
          <w:rFonts w:ascii="Book Antiqua" w:hAnsi="Book Antiqua"/>
        </w:rPr>
      </w:pPr>
      <w:r w:rsidRPr="00E3232D">
        <w:rPr>
          <w:rFonts w:ascii="Book Antiqua" w:hAnsi="Book Antiqua"/>
        </w:rPr>
        <w:t>In the selected polytechnics, key informant purposive sampling was employed to select participants for the study; because the participants who were most likely to be knowledgeable about the issues being researched and be able and willing to communicate about them were recommended for such a study (Kumar, Stern and Anderson 1993). The participants for the study in the 5 polytechnics were the lecturers, administrative staff and students. The convenience sampling technique was adopted to select 50 each in these categories. The research required knowledge on the nature of collaborations between the institution and industry, the challenges encountered and their expectations.  The first set of qualitative data was therefore collected through interviews from key informants in the five (5) polytechnics such as the Rectors/Registrars, the Liaison Officers, the Director of Institute of Distance Learning, the World of Works Director, the Head of Research and New Programmes, some Heads of academic departments, lecturers and students.</w:t>
      </w:r>
    </w:p>
    <w:p w14:paraId="01570BBF" w14:textId="77777777" w:rsidR="00556AED" w:rsidRDefault="00556AED" w:rsidP="007C2E55">
      <w:pPr>
        <w:jc w:val="both"/>
        <w:rPr>
          <w:rFonts w:ascii="Book Antiqua" w:hAnsi="Book Antiqua"/>
        </w:rPr>
      </w:pPr>
    </w:p>
    <w:p w14:paraId="036A5C95" w14:textId="77777777" w:rsidR="00CF4E6C" w:rsidRPr="00E3232D" w:rsidRDefault="00CF4E6C" w:rsidP="007C2E55">
      <w:pPr>
        <w:jc w:val="both"/>
        <w:rPr>
          <w:rFonts w:ascii="Book Antiqua" w:hAnsi="Book Antiqua"/>
        </w:rPr>
      </w:pPr>
      <w:r w:rsidRPr="00E3232D">
        <w:rPr>
          <w:rFonts w:ascii="Book Antiqua" w:hAnsi="Book Antiqua"/>
        </w:rPr>
        <w:t>The second set of qualitative data was collected from the industry including both private and governmental organisations. A representative each was purposively selected for the interviews from 20 industries. Some of these organisations include Intravenous Infusions limited, Ghana Cocoa Board, Accra Brewery Limited, Koforidua Regional Hospital, Nestle Ghana Limited, Capital View Hotel, Coca Cola Bottling Limited, SG-SSB, Social Security and National Insurance Trust, New Juaben Municipal Assembly, Regional Medical Stores and Zoomlion Ghana Limited.</w:t>
      </w:r>
    </w:p>
    <w:p w14:paraId="226E6A77" w14:textId="77777777" w:rsidR="00556AED" w:rsidRDefault="00556AED" w:rsidP="007C2E55">
      <w:pPr>
        <w:spacing w:after="0"/>
        <w:jc w:val="both"/>
        <w:rPr>
          <w:rFonts w:ascii="Book Antiqua" w:hAnsi="Book Antiqua"/>
        </w:rPr>
      </w:pPr>
    </w:p>
    <w:p w14:paraId="00F72E42" w14:textId="77777777" w:rsidR="00CF4E6C" w:rsidRPr="00E3232D" w:rsidRDefault="00CF4E6C" w:rsidP="007C2E55">
      <w:pPr>
        <w:jc w:val="both"/>
        <w:rPr>
          <w:rFonts w:ascii="Book Antiqua" w:hAnsi="Book Antiqua"/>
        </w:rPr>
      </w:pPr>
      <w:r w:rsidRPr="00E3232D">
        <w:rPr>
          <w:rFonts w:ascii="Book Antiqua" w:hAnsi="Book Antiqua"/>
        </w:rPr>
        <w:t>The third set of data was gathered from the National Council for Tertiary Education, National Accreditation Board and the National Board for Professional and Technical Examinations on the nature of collaboration between the industries and polytechnics.</w:t>
      </w:r>
    </w:p>
    <w:p w14:paraId="25B6580E" w14:textId="77777777" w:rsidR="00556AED" w:rsidRDefault="00556AED" w:rsidP="007C2E55">
      <w:pPr>
        <w:spacing w:after="0"/>
        <w:jc w:val="both"/>
        <w:rPr>
          <w:rFonts w:ascii="Book Antiqua" w:hAnsi="Book Antiqua"/>
        </w:rPr>
      </w:pPr>
    </w:p>
    <w:p w14:paraId="5F5CEA83" w14:textId="77777777" w:rsidR="00CF4E6C" w:rsidRPr="00E3232D" w:rsidRDefault="00CF4E6C" w:rsidP="007C2E55">
      <w:pPr>
        <w:jc w:val="both"/>
        <w:rPr>
          <w:rFonts w:ascii="Book Antiqua" w:hAnsi="Book Antiqua"/>
        </w:rPr>
      </w:pPr>
      <w:r w:rsidRPr="00E3232D">
        <w:rPr>
          <w:rFonts w:ascii="Book Antiqua" w:hAnsi="Book Antiqua"/>
        </w:rPr>
        <w:t>As is the characteristics of many qualitative studies, our aim was to obtain understanding of our participants’ views, Denzin and Lincoln (2000:21) in  their study used term ‘such as credibility, transferability, dependability and confirmability to replace the usual positivist criteria of internal and external validity, reliability and objectivity’</w:t>
      </w:r>
      <w:r w:rsidRPr="00E3232D">
        <w:rPr>
          <w:rStyle w:val="CommentReference"/>
          <w:rFonts w:ascii="Book Antiqua" w:hAnsi="Book Antiqua"/>
          <w:sz w:val="22"/>
          <w:szCs w:val="22"/>
        </w:rPr>
        <w:t>.</w:t>
      </w:r>
      <w:r w:rsidRPr="00E3232D">
        <w:rPr>
          <w:rFonts w:ascii="Book Antiqua" w:hAnsi="Book Antiqua"/>
        </w:rPr>
        <w:t xml:space="preserve"> This enables the findings of the study to be more credible and transparent to other researchers</w:t>
      </w:r>
    </w:p>
    <w:p w14:paraId="0A9D93FC" w14:textId="77777777" w:rsidR="00CF4E6C" w:rsidRPr="00E3232D" w:rsidRDefault="00CF4E6C" w:rsidP="007C2E55">
      <w:pPr>
        <w:jc w:val="both"/>
        <w:rPr>
          <w:rFonts w:ascii="Book Antiqua" w:hAnsi="Book Antiqua"/>
        </w:rPr>
      </w:pPr>
      <w:r w:rsidRPr="00E3232D">
        <w:rPr>
          <w:rFonts w:ascii="Book Antiqua" w:hAnsi="Book Antiqua"/>
        </w:rPr>
        <w:t>The data were audio-recorded and transcribed verbatim. The final analysis was done using the content analytic approach. On ethical issues, informed consent was obtained from the respondents and assurance of confidentiality was given to the respondents.</w:t>
      </w:r>
    </w:p>
    <w:p w14:paraId="5A42EFB4" w14:textId="77777777" w:rsidR="00F3081F" w:rsidRDefault="00F3081F" w:rsidP="007C2E55">
      <w:pPr>
        <w:tabs>
          <w:tab w:val="left" w:pos="5171"/>
        </w:tabs>
        <w:spacing w:after="0"/>
        <w:jc w:val="both"/>
        <w:rPr>
          <w:rFonts w:ascii="Book Antiqua" w:hAnsi="Book Antiqua"/>
          <w:b/>
        </w:rPr>
      </w:pPr>
    </w:p>
    <w:p w14:paraId="54F2BF54" w14:textId="77777777" w:rsidR="00CF4E6C" w:rsidRPr="00E3232D" w:rsidRDefault="00CF4E6C" w:rsidP="007C2E55">
      <w:pPr>
        <w:tabs>
          <w:tab w:val="left" w:pos="5171"/>
        </w:tabs>
        <w:jc w:val="both"/>
        <w:rPr>
          <w:rFonts w:ascii="Book Antiqua" w:hAnsi="Book Antiqua"/>
          <w:b/>
        </w:rPr>
      </w:pPr>
      <w:r w:rsidRPr="00E3232D">
        <w:rPr>
          <w:rFonts w:ascii="Book Antiqua" w:hAnsi="Book Antiqua"/>
          <w:b/>
        </w:rPr>
        <w:t>3.</w:t>
      </w:r>
      <w:r w:rsidR="002D5D59">
        <w:rPr>
          <w:rFonts w:ascii="Book Antiqua" w:hAnsi="Book Antiqua"/>
          <w:b/>
        </w:rPr>
        <w:t>0</w:t>
      </w:r>
      <w:r w:rsidRPr="00E3232D">
        <w:rPr>
          <w:rFonts w:ascii="Book Antiqua" w:hAnsi="Book Antiqua"/>
          <w:b/>
        </w:rPr>
        <w:t xml:space="preserve"> </w:t>
      </w:r>
      <w:r w:rsidRPr="007C2E55">
        <w:rPr>
          <w:rFonts w:ascii="Book Antiqua" w:hAnsi="Book Antiqua"/>
          <w:b/>
          <w:sz w:val="26"/>
        </w:rPr>
        <w:t>Results and Discussion</w:t>
      </w:r>
    </w:p>
    <w:p w14:paraId="7FA2EBC7"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 xml:space="preserve">Three major areas were explored in the study: first, the nature of collaboration between the polytechnic and industry; second, the challenges associated with the collaboration; and third the expectations of the collaboration. The results from interviews conducted in these areas in the five polytechnics (Accra, Cape Coast, Ho, Koforidua and Tamale) who participated in the study are presented below: </w:t>
      </w:r>
    </w:p>
    <w:p w14:paraId="283C3192" w14:textId="77777777" w:rsidR="00CF4E6C" w:rsidRPr="00E3232D" w:rsidRDefault="00CF4E6C" w:rsidP="007C2E55">
      <w:pPr>
        <w:tabs>
          <w:tab w:val="left" w:pos="5171"/>
        </w:tabs>
        <w:jc w:val="both"/>
        <w:rPr>
          <w:rFonts w:ascii="Book Antiqua" w:hAnsi="Book Antiqua"/>
          <w:b/>
        </w:rPr>
      </w:pPr>
      <w:r w:rsidRPr="00E3232D">
        <w:rPr>
          <w:rFonts w:ascii="Book Antiqua" w:hAnsi="Book Antiqua"/>
          <w:b/>
        </w:rPr>
        <w:t>3.1 The nature of collaboration between the polytechnics and industry</w:t>
      </w:r>
    </w:p>
    <w:p w14:paraId="284686AE" w14:textId="77777777" w:rsidR="00556AED" w:rsidRDefault="00CF4E6C" w:rsidP="002D5D59">
      <w:pPr>
        <w:tabs>
          <w:tab w:val="left" w:pos="5171"/>
        </w:tabs>
        <w:jc w:val="both"/>
        <w:rPr>
          <w:rFonts w:ascii="Book Antiqua" w:hAnsi="Book Antiqua"/>
        </w:rPr>
      </w:pPr>
      <w:r w:rsidRPr="00E3232D">
        <w:rPr>
          <w:rFonts w:ascii="Book Antiqua" w:hAnsi="Book Antiqua"/>
        </w:rPr>
        <w:t xml:space="preserve">It was revealed in the study that a minimal level of collaboration existed between the polytechnics and industry. The only clear area where collaboration with industry can be said to be strong or good was in the area of students’ industrial attachment. For all the five (5) polytechnics, students’ industrial attachments and field trips are the major avenue of interaction with industry. One of the polytechnics has a special arrangement for students who could not get placement in the industries for attachment to also have that experience on campus. During the attachment period, industrialists and experts are invited from the workplace to impart practical knowledge and share workplace experience with the students. This arrangement is called Virtual Industrial Attachment (VIRA). </w:t>
      </w:r>
    </w:p>
    <w:p w14:paraId="34A9967B" w14:textId="77777777" w:rsidR="00F3081F" w:rsidRDefault="00CF4E6C" w:rsidP="002D5D59">
      <w:pPr>
        <w:tabs>
          <w:tab w:val="left" w:pos="5171"/>
        </w:tabs>
        <w:jc w:val="both"/>
        <w:rPr>
          <w:rFonts w:ascii="Book Antiqua" w:hAnsi="Book Antiqua"/>
        </w:rPr>
      </w:pPr>
      <w:r w:rsidRPr="00E3232D">
        <w:rPr>
          <w:rFonts w:ascii="Book Antiqua" w:hAnsi="Book Antiqua"/>
        </w:rPr>
        <w:t>Sadly, most of the lecturers in the five polytechnics studied have never been on an attachment in any industry although the opportunity exists in the various polytechnics. It was clear from the results of the study that only twenty percent (20 %) out of the 250 sampled lecturers have been on attachment in industry to gain practical knowledge and to provide students with state of the art skills required by the industry. The opportunity for lecturers to be abreast with development in industry, as well as come to grips with problems that industry faces is thus lost.</w:t>
      </w:r>
    </w:p>
    <w:p w14:paraId="68FEBB48"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Industry involvement in the curriculum development of programmes pursued in the polytechnics was also explored. The evidence gathered from the study shows that the polytechnics to some extent (about thirty percent (30%) of the Polytechnics involve industry in their curriculum development. For instance, they identify experts from the industry to team up with lecturers to develop the</w:t>
      </w:r>
      <w:r w:rsidR="0084614A">
        <w:rPr>
          <w:rFonts w:ascii="Book Antiqua" w:hAnsi="Book Antiqua"/>
        </w:rPr>
        <w:t xml:space="preserve"> curriculum and then submitted </w:t>
      </w:r>
      <w:r w:rsidRPr="00E3232D">
        <w:rPr>
          <w:rFonts w:ascii="Book Antiqua" w:hAnsi="Book Antiqua"/>
        </w:rPr>
        <w:t>to National Board for Professional and Technician Examination (NABPTEX) which also does quality assurance of the curriculum by submitting it to another set of experts from both industry and academia for review. It was however observed that most of the polytechnics (3 out of 5) have stopped holding stakeholders forum on the curriculums where representatives from diverse fields or industry were normally invited to a brainstorming session to obtain input on the content and pedagogy of the new curriculum before submission to NAPBTEX.</w:t>
      </w:r>
    </w:p>
    <w:p w14:paraId="0F63A7C1" w14:textId="77777777" w:rsidR="00556AED" w:rsidRDefault="00CF4E6C" w:rsidP="002D5D59">
      <w:pPr>
        <w:tabs>
          <w:tab w:val="left" w:pos="5171"/>
        </w:tabs>
        <w:jc w:val="both"/>
        <w:rPr>
          <w:rFonts w:ascii="Book Antiqua" w:hAnsi="Book Antiqua"/>
        </w:rPr>
      </w:pPr>
      <w:r w:rsidRPr="00E3232D">
        <w:rPr>
          <w:rFonts w:ascii="Book Antiqua" w:hAnsi="Book Antiqua"/>
        </w:rPr>
        <w:t xml:space="preserve">The study further reveals that although the staffs of the polytechnics engage in various research activities, most (95%) of these research work are gathering dust on shelves without being used by industries. This is mostly as a result of the staff of the polytechnics not collaborating with industry in the conduct of research. The interviews conducted with the industry shows that most of them (industry) do not know about the activities and researches being carried out by the polytechnics. The industry also has very little knowledge about the programmes being offered in the polytechnics. The study reveals that industry rarely knows the expertise of the polytechnic staff, and the areas in which they could collaborate effectively for their mutual benefit. </w:t>
      </w:r>
    </w:p>
    <w:p w14:paraId="7D274E7B" w14:textId="77777777" w:rsidR="00CF4E6C" w:rsidRPr="00E3232D" w:rsidRDefault="00CF4E6C" w:rsidP="007C2E55">
      <w:pPr>
        <w:tabs>
          <w:tab w:val="left" w:pos="5171"/>
        </w:tabs>
        <w:jc w:val="both"/>
        <w:rPr>
          <w:rFonts w:ascii="Book Antiqua" w:hAnsi="Book Antiqua"/>
          <w:b/>
          <w:i/>
        </w:rPr>
      </w:pPr>
      <w:r w:rsidRPr="00E3232D">
        <w:rPr>
          <w:rFonts w:ascii="Book Antiqua" w:hAnsi="Book Antiqua"/>
        </w:rPr>
        <w:t>However, some of the results from the interviews also show that some of the industries have donated equipments to the polytechnics, mostly to the engineering departments and one of them gives cash prize annually to a best graduating student in a department in one of the polytechnics.</w:t>
      </w:r>
    </w:p>
    <w:p w14:paraId="67FACDCD" w14:textId="77777777" w:rsidR="00CF4E6C" w:rsidRDefault="00CF4E6C" w:rsidP="007C2E55">
      <w:pPr>
        <w:tabs>
          <w:tab w:val="left" w:pos="5171"/>
        </w:tabs>
        <w:spacing w:after="0"/>
        <w:jc w:val="both"/>
        <w:rPr>
          <w:rFonts w:ascii="Book Antiqua" w:hAnsi="Book Antiqua"/>
          <w:b/>
          <w:i/>
        </w:rPr>
      </w:pPr>
    </w:p>
    <w:p w14:paraId="1BB61AE6" w14:textId="77777777" w:rsidR="002D5D59" w:rsidRPr="00E3232D" w:rsidRDefault="002D5D59" w:rsidP="007C2E55">
      <w:pPr>
        <w:tabs>
          <w:tab w:val="left" w:pos="5171"/>
        </w:tabs>
        <w:spacing w:after="0"/>
        <w:jc w:val="both"/>
        <w:rPr>
          <w:rFonts w:ascii="Book Antiqua" w:hAnsi="Book Antiqua"/>
          <w:b/>
          <w:i/>
        </w:rPr>
      </w:pPr>
    </w:p>
    <w:p w14:paraId="3432B2D6" w14:textId="77777777" w:rsidR="00CF4E6C" w:rsidRPr="00E3232D" w:rsidRDefault="00CF4E6C" w:rsidP="007C2E55">
      <w:pPr>
        <w:tabs>
          <w:tab w:val="left" w:pos="5171"/>
        </w:tabs>
        <w:jc w:val="both"/>
        <w:rPr>
          <w:rFonts w:ascii="Book Antiqua" w:hAnsi="Book Antiqua"/>
          <w:b/>
        </w:rPr>
      </w:pPr>
      <w:r w:rsidRPr="00E3232D">
        <w:rPr>
          <w:rFonts w:ascii="Book Antiqua" w:hAnsi="Book Antiqua"/>
          <w:b/>
        </w:rPr>
        <w:t>3.2 Challenges with collaborations</w:t>
      </w:r>
    </w:p>
    <w:p w14:paraId="180387F2" w14:textId="77777777" w:rsidR="00A46E62" w:rsidRDefault="00CF4E6C" w:rsidP="002D5D59">
      <w:pPr>
        <w:tabs>
          <w:tab w:val="left" w:pos="5171"/>
        </w:tabs>
        <w:jc w:val="both"/>
        <w:rPr>
          <w:rFonts w:ascii="Book Antiqua" w:hAnsi="Book Antiqua"/>
        </w:rPr>
      </w:pPr>
      <w:r w:rsidRPr="00E3232D">
        <w:rPr>
          <w:rFonts w:ascii="Book Antiqua" w:hAnsi="Book Antiqua"/>
        </w:rPr>
        <w:t>Although the study revealed that there is a good collaboration between polytechnics and industry in the area of students’ industrial attachment, ample evidence gathered from the results shows that there are many challenges to this collaboration, making it difficult to achieve its desired result.  First, all the ten (10) polytechnics go on industrial attachment at the same, that is during the long vacation, making it very difficult for the industries to absorb all the students from the Polytechnics. It was also found that there are fewer industries in the northern part of the country. Students from the three polytechnics in the northern part of the country have to travel all the way to the south for attachment which makes them encounter accommodation and financial challenges. This situation prevents most students from taking part in the industrial attachment, a very critical component of the polytechnic education.</w:t>
      </w:r>
    </w:p>
    <w:p w14:paraId="5A831E56" w14:textId="77777777" w:rsidR="00F3081F" w:rsidRDefault="00CF4E6C" w:rsidP="007C2E55">
      <w:pPr>
        <w:tabs>
          <w:tab w:val="left" w:pos="5171"/>
        </w:tabs>
        <w:jc w:val="both"/>
        <w:rPr>
          <w:rFonts w:ascii="Book Antiqua" w:hAnsi="Book Antiqua"/>
        </w:rPr>
      </w:pPr>
      <w:r w:rsidRPr="00E3232D">
        <w:rPr>
          <w:rFonts w:ascii="Book Antiqua" w:hAnsi="Book Antiqua"/>
        </w:rPr>
        <w:t>There is also no policy or law that encourages industry including governmental agencies to accept students for industrial attachment. All the Industrial Liaison Officers in the five (5) polytechnics complained about the difficulties they faced in getting placements especially from ministries, departments and district assemblies.</w:t>
      </w:r>
    </w:p>
    <w:p w14:paraId="732FB7C2"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It was realised from the information gathered that not all polytechnics grade industrial attachment. One of the major reasons cited by the polytechnics’ Industrial Liaison Officers was that placement could not be secured for all students who ought to undertake industrial attachment. This stance does not help as students are then under no legal compulsion to undertake industrial attachment. There is a need for a uniform stance and this must be along the line of having all industrial attachment graded and be a requirement that students must fulfil in order to successfully graduate.</w:t>
      </w:r>
    </w:p>
    <w:p w14:paraId="08A98A9C"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 xml:space="preserve">The Industrial Liaison Officers also mentioned inadequate resources as one of their biggest challenges. They pointed out that the lack of office equipment and materials as well as vehicles are a challenge to the effective functioning of their office. </w:t>
      </w:r>
    </w:p>
    <w:p w14:paraId="6B374355" w14:textId="77777777" w:rsidR="00A46E62" w:rsidRDefault="00CF4E6C" w:rsidP="007C2E55">
      <w:pPr>
        <w:tabs>
          <w:tab w:val="left" w:pos="5171"/>
        </w:tabs>
        <w:jc w:val="both"/>
        <w:rPr>
          <w:rFonts w:ascii="Book Antiqua" w:hAnsi="Book Antiqua"/>
        </w:rPr>
      </w:pPr>
      <w:r w:rsidRPr="00E3232D">
        <w:rPr>
          <w:rFonts w:ascii="Book Antiqua" w:hAnsi="Book Antiqua"/>
        </w:rPr>
        <w:t xml:space="preserve">Another challenge identified is the high cost associated with the engagement of experts from industry in the development of curriculum. Interestingly, the in all the management staff interviewed in the five (5) Polytechnics bemoan the high cost involved in engaging the services of experts from the industry to develop or revise the curriculum, organising stakeholders’ forum and in addition pay NABPTEX for the engagement of another set of experts to review the work done. Some of the polytechnics thus ended up eliminating the stakeholders’ forum from the process to cut down cost. </w:t>
      </w:r>
    </w:p>
    <w:p w14:paraId="421F0AB7" w14:textId="77777777" w:rsidR="0012151E" w:rsidRPr="002D5D59" w:rsidRDefault="00CF4E6C" w:rsidP="002D5D59">
      <w:pPr>
        <w:tabs>
          <w:tab w:val="left" w:pos="5171"/>
        </w:tabs>
        <w:jc w:val="both"/>
        <w:rPr>
          <w:rFonts w:ascii="Book Antiqua" w:hAnsi="Book Antiqua"/>
        </w:rPr>
      </w:pPr>
      <w:r w:rsidRPr="00E3232D">
        <w:rPr>
          <w:rFonts w:ascii="Book Antiqua" w:hAnsi="Book Antiqua"/>
        </w:rPr>
        <w:t xml:space="preserve">It was also identified from the study that most of the industries prefer doing business with the universities as compared to the polytechnics. The major reason gathered from the responses was that most of the industries do not know much about the courses offered in the polytechnics. Some of the industries also accused the polytechnics of not being proactive in initiating the collaboration between them. </w:t>
      </w:r>
    </w:p>
    <w:p w14:paraId="3BEAEB9E" w14:textId="77777777" w:rsidR="00A46E62" w:rsidRDefault="00CF4E6C" w:rsidP="007C2E55">
      <w:pPr>
        <w:tabs>
          <w:tab w:val="left" w:pos="5171"/>
        </w:tabs>
        <w:jc w:val="both"/>
        <w:rPr>
          <w:rFonts w:ascii="Book Antiqua" w:hAnsi="Book Antiqua"/>
          <w:b/>
        </w:rPr>
      </w:pPr>
      <w:r w:rsidRPr="00E3232D">
        <w:rPr>
          <w:rFonts w:ascii="Book Antiqua" w:hAnsi="Book Antiqua"/>
          <w:b/>
        </w:rPr>
        <w:t>3.3 Expectations of Collaborations</w:t>
      </w:r>
    </w:p>
    <w:p w14:paraId="3E5DDDC5" w14:textId="77777777" w:rsidR="00CF4E6C" w:rsidRPr="00E3232D" w:rsidRDefault="00CF4E6C" w:rsidP="007C2E55">
      <w:pPr>
        <w:tabs>
          <w:tab w:val="left" w:pos="5171"/>
        </w:tabs>
        <w:jc w:val="both"/>
        <w:rPr>
          <w:rFonts w:ascii="Book Antiqua" w:hAnsi="Book Antiqua"/>
          <w:b/>
        </w:rPr>
      </w:pPr>
      <w:r w:rsidRPr="00E3232D">
        <w:rPr>
          <w:rFonts w:ascii="Book Antiqua" w:hAnsi="Book Antiqua"/>
          <w:b/>
        </w:rPr>
        <w:t>3.3.1 From Industry</w:t>
      </w:r>
    </w:p>
    <w:p w14:paraId="3211B272"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Industry should be involved thoroughly in the development of curriculum and pedagogy.</w:t>
      </w:r>
    </w:p>
    <w:p w14:paraId="6BF79E1F"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Polytechnics should conduct research in collaboration with industry to find solutions to pertinent problems in industry or promote products they want to sell.</w:t>
      </w:r>
    </w:p>
    <w:p w14:paraId="1579FBE2"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That polytechnics should be more pro-active when opportunities for collaboration come up; and support efforts to foster collaborations.</w:t>
      </w:r>
    </w:p>
    <w:p w14:paraId="03C0C0E2" w14:textId="77777777" w:rsidR="009D3F5A" w:rsidRPr="00E3232D" w:rsidRDefault="009D3F5A" w:rsidP="007C2E55">
      <w:pPr>
        <w:tabs>
          <w:tab w:val="left" w:pos="5171"/>
        </w:tabs>
        <w:spacing w:after="0"/>
        <w:jc w:val="both"/>
        <w:rPr>
          <w:rFonts w:ascii="Book Antiqua" w:hAnsi="Book Antiqua"/>
        </w:rPr>
      </w:pPr>
    </w:p>
    <w:p w14:paraId="14B43EEC" w14:textId="77777777" w:rsidR="00CF4E6C" w:rsidRPr="00E3232D" w:rsidRDefault="00CF4E6C" w:rsidP="007C2E55">
      <w:pPr>
        <w:tabs>
          <w:tab w:val="left" w:pos="5171"/>
        </w:tabs>
        <w:jc w:val="both"/>
        <w:rPr>
          <w:rFonts w:ascii="Book Antiqua" w:hAnsi="Book Antiqua"/>
          <w:b/>
        </w:rPr>
      </w:pPr>
      <w:r w:rsidRPr="00E3232D">
        <w:rPr>
          <w:rFonts w:ascii="Book Antiqua" w:hAnsi="Book Antiqua"/>
          <w:b/>
        </w:rPr>
        <w:t>3.3.2 From Polytechnics</w:t>
      </w:r>
    </w:p>
    <w:p w14:paraId="61DEACA3"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The industries must offer placement to students for attachment.</w:t>
      </w:r>
    </w:p>
    <w:p w14:paraId="3691DF4D"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Industries must fund programmes in the polytechnics, offer scholarships to staff and also donate equipments and books to the polytechnics. The polytechnics staff must also be engaged by industry for consultancy services.</w:t>
      </w:r>
    </w:p>
    <w:p w14:paraId="15307101" w14:textId="77777777" w:rsidR="00CF4E6C" w:rsidRPr="00E3232D" w:rsidRDefault="00CF4E6C" w:rsidP="007C2E55">
      <w:pPr>
        <w:tabs>
          <w:tab w:val="left" w:pos="5171"/>
        </w:tabs>
        <w:spacing w:after="0"/>
        <w:jc w:val="both"/>
        <w:rPr>
          <w:rFonts w:ascii="Book Antiqua" w:hAnsi="Book Antiqua"/>
          <w:b/>
        </w:rPr>
      </w:pPr>
    </w:p>
    <w:p w14:paraId="7E6BF9A4" w14:textId="77777777" w:rsidR="00CF4E6C" w:rsidRPr="00E3232D" w:rsidRDefault="00CF4E6C" w:rsidP="007C2E55">
      <w:pPr>
        <w:tabs>
          <w:tab w:val="left" w:pos="5171"/>
        </w:tabs>
        <w:jc w:val="both"/>
        <w:rPr>
          <w:rFonts w:ascii="Book Antiqua" w:hAnsi="Book Antiqua"/>
          <w:b/>
        </w:rPr>
      </w:pPr>
      <w:r w:rsidRPr="00E3232D">
        <w:rPr>
          <w:rFonts w:ascii="Book Antiqua" w:hAnsi="Book Antiqua"/>
          <w:b/>
        </w:rPr>
        <w:t>4.</w:t>
      </w:r>
      <w:r w:rsidR="002D5D59">
        <w:rPr>
          <w:rFonts w:ascii="Book Antiqua" w:hAnsi="Book Antiqua"/>
          <w:b/>
        </w:rPr>
        <w:t>0</w:t>
      </w:r>
      <w:r w:rsidRPr="00E3232D">
        <w:rPr>
          <w:rFonts w:ascii="Book Antiqua" w:hAnsi="Book Antiqua"/>
          <w:b/>
        </w:rPr>
        <w:t xml:space="preserve"> </w:t>
      </w:r>
      <w:r w:rsidRPr="007C2E55">
        <w:rPr>
          <w:rFonts w:ascii="Book Antiqua" w:hAnsi="Book Antiqua"/>
          <w:b/>
          <w:sz w:val="24"/>
        </w:rPr>
        <w:t>Conclusion and Recommendation</w:t>
      </w:r>
    </w:p>
    <w:p w14:paraId="0F551752" w14:textId="77777777" w:rsidR="00F3081F" w:rsidRDefault="00CF4E6C" w:rsidP="002D5D59">
      <w:pPr>
        <w:tabs>
          <w:tab w:val="left" w:pos="5171"/>
        </w:tabs>
        <w:jc w:val="both"/>
        <w:rPr>
          <w:rFonts w:ascii="Book Antiqua" w:hAnsi="Book Antiqua"/>
        </w:rPr>
      </w:pPr>
      <w:r w:rsidRPr="00E3232D">
        <w:rPr>
          <w:rFonts w:ascii="Book Antiqua" w:hAnsi="Book Antiqua"/>
        </w:rPr>
        <w:t xml:space="preserve">As it is evident in the study, the industry that will inarguably absorb most of the polytechnic products does not have strong collaboration with the polytechnics. The industry plays little role as regards the development of new curriculum, and only few lecturers are interested in going for industrial attachment to learn new pedagogy. </w:t>
      </w:r>
    </w:p>
    <w:p w14:paraId="4E6C5950" w14:textId="77777777" w:rsidR="00A46E62" w:rsidRDefault="00CF4E6C" w:rsidP="007C2E55">
      <w:pPr>
        <w:tabs>
          <w:tab w:val="left" w:pos="5171"/>
        </w:tabs>
        <w:jc w:val="both"/>
        <w:rPr>
          <w:rFonts w:ascii="Book Antiqua" w:hAnsi="Book Antiqua"/>
        </w:rPr>
      </w:pPr>
      <w:r w:rsidRPr="00E3232D">
        <w:rPr>
          <w:rFonts w:ascii="Book Antiqua" w:hAnsi="Book Antiqua"/>
        </w:rPr>
        <w:t>Not a single institution questioned could point to an edifice on its campus that had been put up through its collaboration with industry. The polytechnics need to step out and state their cases forcefully as to why they need specific facilities and why industry stands to benefit by helping them out.</w:t>
      </w:r>
    </w:p>
    <w:p w14:paraId="2DAB3891" w14:textId="77777777" w:rsidR="00A46E62" w:rsidRDefault="00CF4E6C" w:rsidP="007C2E55">
      <w:pPr>
        <w:tabs>
          <w:tab w:val="left" w:pos="5171"/>
        </w:tabs>
        <w:jc w:val="both"/>
        <w:rPr>
          <w:rFonts w:ascii="Book Antiqua" w:hAnsi="Book Antiqua"/>
        </w:rPr>
      </w:pPr>
      <w:r w:rsidRPr="00E3232D">
        <w:rPr>
          <w:rFonts w:ascii="Book Antiqua" w:hAnsi="Book Antiqua"/>
        </w:rPr>
        <w:t>It was clear from the study that while polytechnics as academic institutions invariably carry out research, there is a need to lay more emphasis on research that will make the polytechnics relevant to industry and government portraying the polytechnics as places of solutions to the problems they face. The polytechnics must play more proactive roles in seeking out problems faced by industry by building closer contact with these important stakeholders. This will partially answer industry’s question of what they stand to gain if they collaborate with academic institutions. Both students and lecturers will need to be encouraged to go into research with the provision of research grants. Research carried out by the polytechnics must be relevant to industry (and government).</w:t>
      </w:r>
    </w:p>
    <w:p w14:paraId="1CA5D8BC" w14:textId="77777777" w:rsidR="00A46E62" w:rsidRDefault="00CF4E6C" w:rsidP="007C2E55">
      <w:pPr>
        <w:tabs>
          <w:tab w:val="left" w:pos="5171"/>
        </w:tabs>
        <w:jc w:val="both"/>
        <w:rPr>
          <w:rFonts w:ascii="Book Antiqua" w:hAnsi="Book Antiqua"/>
        </w:rPr>
      </w:pPr>
      <w:r w:rsidRPr="00E3232D">
        <w:rPr>
          <w:rFonts w:ascii="Book Antiqua" w:hAnsi="Book Antiqua"/>
        </w:rPr>
        <w:t>Industrial att</w:t>
      </w:r>
      <w:r w:rsidR="00A46E62">
        <w:rPr>
          <w:rFonts w:ascii="Book Antiqua" w:hAnsi="Book Antiqua"/>
        </w:rPr>
        <w:t>achment being the polytechnic’s</w:t>
      </w:r>
      <w:r w:rsidRPr="00E3232D">
        <w:rPr>
          <w:rFonts w:ascii="Book Antiqua" w:hAnsi="Book Antiqua"/>
        </w:rPr>
        <w:t xml:space="preserve"> main point of collaboration with industry still needs to be strengthened by equipping the industrial liaison Offices adequately.</w:t>
      </w:r>
    </w:p>
    <w:p w14:paraId="217877C5" w14:textId="77777777" w:rsidR="00A46E62" w:rsidRDefault="00CF4E6C" w:rsidP="007C2E55">
      <w:pPr>
        <w:tabs>
          <w:tab w:val="left" w:pos="5171"/>
        </w:tabs>
        <w:jc w:val="both"/>
        <w:rPr>
          <w:rFonts w:ascii="Book Antiqua" w:hAnsi="Book Antiqua"/>
        </w:rPr>
      </w:pPr>
      <w:r w:rsidRPr="00E3232D">
        <w:rPr>
          <w:rFonts w:ascii="Book Antiqua" w:hAnsi="Book Antiqua"/>
        </w:rPr>
        <w:t>Also there is also the need to have policies that encourage industry and governmental agencies to accept students for industrial attachment. Most Industiral Laision Officers (ILOs) complained about the difficulties they faced in getting placements especially from ministries, departments and district assemblies.</w:t>
      </w:r>
    </w:p>
    <w:p w14:paraId="25978162"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Polytechnics need to be business-like and brand themselves as the hub of technical solutions for industry as part of making themselves relevant to industry. ILO needs to be empowered not to just seek out placements but also problems of industry which the polytechnic can seek to offer solutions for example, offering computer training to banking staff, governmental agencies, and private agencies in accounting/business software at</w:t>
      </w:r>
      <w:r w:rsidR="007C2E55">
        <w:rPr>
          <w:rFonts w:ascii="Book Antiqua" w:hAnsi="Book Antiqua"/>
        </w:rPr>
        <w:t xml:space="preserve"> </w:t>
      </w:r>
      <w:r w:rsidRPr="00E3232D">
        <w:rPr>
          <w:rFonts w:ascii="Book Antiqua" w:hAnsi="Book Antiqua"/>
        </w:rPr>
        <w:t>competitive prices.</w:t>
      </w:r>
    </w:p>
    <w:p w14:paraId="404B44A6" w14:textId="77777777" w:rsidR="00CF4E6C" w:rsidRPr="00E3232D" w:rsidRDefault="00CF4E6C" w:rsidP="007C2E55">
      <w:pPr>
        <w:tabs>
          <w:tab w:val="left" w:pos="5171"/>
        </w:tabs>
        <w:jc w:val="both"/>
        <w:rPr>
          <w:rFonts w:ascii="Book Antiqua" w:hAnsi="Book Antiqua"/>
        </w:rPr>
      </w:pPr>
      <w:r w:rsidRPr="00E3232D">
        <w:rPr>
          <w:rFonts w:ascii="Book Antiqua" w:hAnsi="Book Antiqua"/>
        </w:rPr>
        <w:t>Industry must be offered incentives (for example tax rebates) for entering into collaboration with academic institutions (as a way of answering the question of the benefits that may accrue to them when they collaborate with academic institutions).</w:t>
      </w:r>
    </w:p>
    <w:p w14:paraId="2295690D" w14:textId="77777777" w:rsidR="00A46E62" w:rsidRDefault="00CF4E6C" w:rsidP="007C2E55">
      <w:pPr>
        <w:tabs>
          <w:tab w:val="left" w:pos="5171"/>
        </w:tabs>
        <w:jc w:val="both"/>
        <w:rPr>
          <w:rFonts w:ascii="Book Antiqua" w:hAnsi="Book Antiqua"/>
        </w:rPr>
      </w:pPr>
      <w:r w:rsidRPr="00E3232D">
        <w:rPr>
          <w:rFonts w:ascii="Book Antiqua" w:hAnsi="Book Antiqua"/>
        </w:rPr>
        <w:t>Research arm of institutions should be strengthened. Research and</w:t>
      </w:r>
    </w:p>
    <w:p w14:paraId="58EBDBE8" w14:textId="77777777" w:rsidR="00401E7E" w:rsidRDefault="00CF4E6C" w:rsidP="007C2E55">
      <w:pPr>
        <w:tabs>
          <w:tab w:val="left" w:pos="5171"/>
        </w:tabs>
        <w:jc w:val="both"/>
        <w:rPr>
          <w:rFonts w:ascii="Book Antiqua" w:hAnsi="Book Antiqua"/>
        </w:rPr>
      </w:pPr>
      <w:r w:rsidRPr="00E3232D">
        <w:rPr>
          <w:rFonts w:ascii="Book Antiqua" w:hAnsi="Book Antiqua"/>
        </w:rPr>
        <w:t xml:space="preserve"> </w:t>
      </w:r>
      <w:r w:rsidR="00A46E62" w:rsidRPr="00E3232D">
        <w:rPr>
          <w:rFonts w:ascii="Book Antiqua" w:hAnsi="Book Antiqua"/>
        </w:rPr>
        <w:t>Practical/technical</w:t>
      </w:r>
      <w:r w:rsidRPr="00E3232D">
        <w:rPr>
          <w:rFonts w:ascii="Book Antiqua" w:hAnsi="Book Antiqua"/>
        </w:rPr>
        <w:t xml:space="preserve"> study should be highlighted not only vocally or on paper. It is also recommended that polytechnics should adopt the VIRA system whereby students who could not get placements for industrial attachment can receive such trainings on the polytechnic campuses during the holidays.</w:t>
      </w:r>
    </w:p>
    <w:p w14:paraId="6B60385B" w14:textId="77777777" w:rsidR="00CF4E6C" w:rsidRPr="00E3232D" w:rsidRDefault="00A46E62" w:rsidP="007C2E55">
      <w:pPr>
        <w:spacing w:after="240"/>
        <w:jc w:val="both"/>
        <w:rPr>
          <w:rFonts w:ascii="Book Antiqua" w:hAnsi="Book Antiqua"/>
        </w:rPr>
      </w:pPr>
      <w:r>
        <w:rPr>
          <w:rFonts w:ascii="Book Antiqua" w:hAnsi="Book Antiqua"/>
        </w:rPr>
        <w:t xml:space="preserve">All the stakeholders should be </w:t>
      </w:r>
      <w:r w:rsidR="00CF4E6C" w:rsidRPr="00E3232D">
        <w:rPr>
          <w:rFonts w:ascii="Book Antiqua" w:hAnsi="Book Antiqua"/>
        </w:rPr>
        <w:t xml:space="preserve">part in determining course contents as well </w:t>
      </w:r>
      <w:r w:rsidR="00401E7E" w:rsidRPr="00E3232D">
        <w:rPr>
          <w:rFonts w:ascii="Book Antiqua" w:hAnsi="Book Antiqua"/>
        </w:rPr>
        <w:t>as commit</w:t>
      </w:r>
      <w:r w:rsidR="00CF4E6C" w:rsidRPr="00E3232D">
        <w:rPr>
          <w:rFonts w:ascii="Book Antiqua" w:hAnsi="Book Antiqua"/>
        </w:rPr>
        <w:t xml:space="preserve"> themselves to bringing in experts and teaching materials to aid with the teaching where the polytechnics lack such expertise and equipment.  Unfortunately polytechnics have stopped holding stakeholder meetings to determine course contents for new courses as they argue that it is expensive; and that having to submit the documents to NABPTEX at extra cost makes hosting such stakeholder meetings untenable. Although NABPTEX in the assessment of these courses brings in experts from the industry, provision should be made for industry to be involved in the formulation of these courses at the beginning and not at the end of the process. These suggestions when taken into consideration could enhance teaching and learning in the polytechnics to produce better qualified graduates who match well with industry needs.</w:t>
      </w:r>
    </w:p>
    <w:p w14:paraId="655EFC88" w14:textId="77777777" w:rsidR="00A46E62" w:rsidRDefault="00CF4E6C" w:rsidP="007C2E55">
      <w:pPr>
        <w:jc w:val="both"/>
        <w:rPr>
          <w:rFonts w:ascii="Book Antiqua" w:hAnsi="Book Antiqua"/>
        </w:rPr>
      </w:pPr>
      <w:r w:rsidRPr="00E3232D">
        <w:rPr>
          <w:rFonts w:ascii="Book Antiqua" w:hAnsi="Book Antiqua"/>
        </w:rPr>
        <w:t>In conclusion, the current findings from the research show great deficiencies in the current levels of collaboration between the polytechnics and industry. Academic institutions do not get the needed corporation and assistance from industry including government institutions due to what may be termed as ‘lack of communication’ about what they are engaged in and how the stakeholders can facilitate. Currently, no model is in place guiding the collaborations identified above. There are expectations from both the government and industry sectors for the polytechnics to initiate such collaborations for further discussion and enhancement through stakeholder-consultative meetings. This would ensure that the anticipated benefits from such collaborations are achieved to the satisfaction of all stakeholders.</w:t>
      </w:r>
    </w:p>
    <w:p w14:paraId="080AE8D1" w14:textId="77777777" w:rsidR="007C2E55" w:rsidRPr="007C2E55" w:rsidRDefault="007C2E55" w:rsidP="007C2E55">
      <w:pPr>
        <w:jc w:val="both"/>
        <w:rPr>
          <w:rFonts w:ascii="Book Antiqua" w:hAnsi="Book Antiqua"/>
        </w:rPr>
      </w:pPr>
    </w:p>
    <w:p w14:paraId="2592539F" w14:textId="77777777" w:rsidR="00CF4E6C" w:rsidRPr="00E3232D" w:rsidRDefault="00CF4E6C" w:rsidP="007C2E55">
      <w:pPr>
        <w:autoSpaceDE w:val="0"/>
        <w:autoSpaceDN w:val="0"/>
        <w:adjustRightInd w:val="0"/>
        <w:jc w:val="both"/>
        <w:rPr>
          <w:rFonts w:ascii="Book Antiqua" w:hAnsi="Book Antiqua"/>
          <w:b/>
        </w:rPr>
      </w:pPr>
      <w:r w:rsidRPr="007C2E55">
        <w:rPr>
          <w:rFonts w:ascii="Book Antiqua" w:hAnsi="Book Antiqua"/>
          <w:b/>
          <w:sz w:val="26"/>
        </w:rPr>
        <w:t>References</w:t>
      </w:r>
    </w:p>
    <w:p w14:paraId="799ECF5A" w14:textId="77777777" w:rsidR="00CF4E6C" w:rsidRPr="002D5D59" w:rsidRDefault="00CF4E6C" w:rsidP="002D5D59">
      <w:pPr>
        <w:autoSpaceDE w:val="0"/>
        <w:autoSpaceDN w:val="0"/>
        <w:adjustRightInd w:val="0"/>
        <w:ind w:left="810" w:hanging="810"/>
        <w:jc w:val="both"/>
        <w:rPr>
          <w:rFonts w:ascii="Book Antiqua" w:hAnsi="Book Antiqua"/>
        </w:rPr>
      </w:pPr>
      <w:r w:rsidRPr="00E3232D">
        <w:rPr>
          <w:rFonts w:ascii="Book Antiqua" w:hAnsi="Book Antiqua"/>
        </w:rPr>
        <w:t xml:space="preserve">Amuwo, S. A. and Jenkins, E. (2001). ‘‘True Partnership Evolves Over Time’’. In: M. Sullivan and J. Kelley, </w:t>
      </w:r>
      <w:r w:rsidRPr="00E3232D">
        <w:rPr>
          <w:rFonts w:ascii="Book Antiqua" w:hAnsi="Book Antiqua"/>
          <w:i/>
          <w:iCs/>
        </w:rPr>
        <w:t>Collaborative Research: University and Community Partnership</w:t>
      </w:r>
      <w:r w:rsidRPr="00E3232D">
        <w:rPr>
          <w:rFonts w:ascii="Book Antiqua" w:hAnsi="Book Antiqua"/>
        </w:rPr>
        <w:t>, American Public Health Association</w:t>
      </w:r>
      <w:r w:rsidRPr="00E3232D">
        <w:rPr>
          <w:rFonts w:ascii="Book Antiqua" w:hAnsi="Book Antiqua"/>
          <w:b/>
          <w:bCs/>
        </w:rPr>
        <w:t xml:space="preserve">, </w:t>
      </w:r>
      <w:r w:rsidRPr="00E3232D">
        <w:rPr>
          <w:rFonts w:ascii="Book Antiqua" w:hAnsi="Book Antiqua"/>
        </w:rPr>
        <w:t>Washington,</w:t>
      </w:r>
      <w:r w:rsidRPr="00E3232D">
        <w:rPr>
          <w:rFonts w:ascii="Book Antiqua" w:hAnsi="Book Antiqua"/>
          <w:i/>
          <w:iCs/>
        </w:rPr>
        <w:t xml:space="preserve"> </w:t>
      </w:r>
      <w:r w:rsidRPr="00E3232D">
        <w:rPr>
          <w:rFonts w:ascii="Book Antiqua" w:hAnsi="Book Antiqua"/>
        </w:rPr>
        <w:t>DC, pp.25-43.</w:t>
      </w:r>
    </w:p>
    <w:p w14:paraId="5C85B2AB" w14:textId="77777777" w:rsidR="00CF4E6C" w:rsidRPr="00E3232D" w:rsidRDefault="00CF4E6C" w:rsidP="002D5D59">
      <w:pPr>
        <w:ind w:left="810" w:hanging="810"/>
        <w:jc w:val="both"/>
        <w:rPr>
          <w:rFonts w:ascii="Book Antiqua" w:hAnsi="Book Antiqua"/>
          <w:color w:val="000000"/>
        </w:rPr>
      </w:pPr>
      <w:r w:rsidRPr="00E3232D">
        <w:rPr>
          <w:rFonts w:ascii="Book Antiqua" w:hAnsi="Book Antiqua"/>
          <w:color w:val="000000"/>
        </w:rPr>
        <w:t xml:space="preserve">Enos, S. and Morton, K. (2003). ‘‘Developing a Theory and Practice of Campus-Community Partnerships’’. In : B. Jacoby (Ed.), </w:t>
      </w:r>
      <w:r w:rsidRPr="00E3232D">
        <w:rPr>
          <w:rFonts w:ascii="Book Antiqua" w:hAnsi="Book Antiqua"/>
          <w:i/>
          <w:iCs/>
          <w:color w:val="000000"/>
        </w:rPr>
        <w:t>Building partnerships for service-learning</w:t>
      </w:r>
      <w:r w:rsidRPr="00E3232D">
        <w:rPr>
          <w:rFonts w:ascii="Book Antiqua" w:hAnsi="Book Antiqua"/>
          <w:color w:val="000000"/>
        </w:rPr>
        <w:t>. San Francisco: Jossey-Bass.</w:t>
      </w:r>
    </w:p>
    <w:p w14:paraId="10243772" w14:textId="77777777" w:rsidR="00CF4E6C" w:rsidRPr="00E3232D" w:rsidRDefault="00CF4E6C" w:rsidP="002D5D59">
      <w:pPr>
        <w:adjustRightInd w:val="0"/>
        <w:ind w:left="810" w:right="-144" w:hanging="810"/>
        <w:jc w:val="both"/>
        <w:rPr>
          <w:rFonts w:ascii="Book Antiqua" w:hAnsi="Book Antiqua"/>
        </w:rPr>
      </w:pPr>
      <w:r w:rsidRPr="00E3232D">
        <w:rPr>
          <w:rFonts w:ascii="Book Antiqua" w:hAnsi="Book Antiqua"/>
          <w:iCs/>
        </w:rPr>
        <w:t xml:space="preserve">Barrie, S. (2005). </w:t>
      </w:r>
      <w:r w:rsidRPr="00E3232D">
        <w:rPr>
          <w:rFonts w:ascii="Book Antiqua" w:hAnsi="Book Antiqua"/>
          <w:i/>
          <w:iCs/>
        </w:rPr>
        <w:t xml:space="preserve">Rethinking Generic Graduate Attributes, </w:t>
      </w:r>
      <w:r w:rsidRPr="00E3232D">
        <w:rPr>
          <w:rFonts w:ascii="Book Antiqua" w:hAnsi="Book Antiqua"/>
          <w:iCs/>
        </w:rPr>
        <w:t>HERDSA News, University of Sydney, Australia.</w:t>
      </w:r>
    </w:p>
    <w:p w14:paraId="586FC46A" w14:textId="77777777" w:rsidR="00CF4E6C" w:rsidRPr="00E3232D" w:rsidRDefault="00CF4E6C" w:rsidP="002D5D59">
      <w:pPr>
        <w:adjustRightInd w:val="0"/>
        <w:ind w:left="810" w:right="-144" w:hanging="810"/>
        <w:jc w:val="both"/>
        <w:rPr>
          <w:rFonts w:ascii="Book Antiqua" w:hAnsi="Book Antiqua"/>
          <w:i/>
        </w:rPr>
      </w:pPr>
      <w:r w:rsidRPr="00E3232D">
        <w:rPr>
          <w:rFonts w:ascii="Book Antiqua" w:hAnsi="Book Antiqua"/>
        </w:rPr>
        <w:t xml:space="preserve">Boahin, P., Kamphorst, J.C. and Hofman, W.H.A.  (2010). </w:t>
      </w:r>
      <w:r w:rsidRPr="00E3232D">
        <w:rPr>
          <w:rFonts w:ascii="Book Antiqua" w:hAnsi="Book Antiqua"/>
          <w:i/>
        </w:rPr>
        <w:t>Tracer Study on the Performance of Polytechnic Graduates in Ghanaian Labour Market</w:t>
      </w:r>
      <w:r w:rsidRPr="00E3232D">
        <w:rPr>
          <w:rFonts w:ascii="Book Antiqua" w:hAnsi="Book Antiqua"/>
        </w:rPr>
        <w:t>, Accra, Ghana.</w:t>
      </w:r>
    </w:p>
    <w:p w14:paraId="52CEF298" w14:textId="77777777" w:rsidR="00CF4E6C" w:rsidRPr="00E3232D" w:rsidRDefault="00CF4E6C" w:rsidP="002D5D59">
      <w:pPr>
        <w:ind w:left="810" w:hanging="810"/>
        <w:jc w:val="both"/>
        <w:rPr>
          <w:rFonts w:ascii="Book Antiqua" w:hAnsi="Book Antiqua"/>
          <w:iCs/>
        </w:rPr>
      </w:pPr>
      <w:r w:rsidRPr="00E3232D">
        <w:rPr>
          <w:rFonts w:ascii="Book Antiqua" w:hAnsi="Book Antiqua"/>
        </w:rPr>
        <w:t xml:space="preserve">Boateng, K. and Sarpong, E. (2002). </w:t>
      </w:r>
      <w:r w:rsidRPr="00E3232D">
        <w:rPr>
          <w:rFonts w:ascii="Book Antiqua" w:hAnsi="Book Antiqua"/>
          <w:i/>
        </w:rPr>
        <w:t>An Analytical Study of the Labour Market for Graduates in Ghana</w:t>
      </w:r>
      <w:r w:rsidRPr="00E3232D">
        <w:rPr>
          <w:rFonts w:ascii="Book Antiqua" w:hAnsi="Book Antiqua"/>
        </w:rPr>
        <w:t xml:space="preserve">, </w:t>
      </w:r>
      <w:r w:rsidRPr="00E3232D">
        <w:rPr>
          <w:rFonts w:ascii="Book Antiqua" w:hAnsi="Book Antiqua"/>
          <w:iCs/>
        </w:rPr>
        <w:t>World Bank/National Council for Tertiary Education Project, Accra.</w:t>
      </w:r>
    </w:p>
    <w:p w14:paraId="683D941F" w14:textId="77777777" w:rsidR="00CF4E6C" w:rsidRPr="00E3232D" w:rsidRDefault="00CF4E6C" w:rsidP="007C2E55">
      <w:pPr>
        <w:ind w:left="720" w:hanging="720"/>
        <w:jc w:val="both"/>
        <w:rPr>
          <w:rFonts w:ascii="Book Antiqua" w:hAnsi="Book Antiqua"/>
          <w:i/>
        </w:rPr>
      </w:pPr>
      <w:r w:rsidRPr="00E3232D">
        <w:rPr>
          <w:rFonts w:ascii="Book Antiqua" w:hAnsi="Book Antiqua"/>
        </w:rPr>
        <w:t xml:space="preserve">Ghana MOESS (Ministry of Education, Science and Sports) (2008). </w:t>
      </w:r>
      <w:r w:rsidRPr="00E3232D">
        <w:rPr>
          <w:rFonts w:ascii="Book Antiqua" w:hAnsi="Book Antiqua"/>
          <w:i/>
        </w:rPr>
        <w:t xml:space="preserve">Preliminary Education </w:t>
      </w:r>
    </w:p>
    <w:p w14:paraId="1D68607A" w14:textId="77777777" w:rsidR="00CF4E6C" w:rsidRPr="00E3232D" w:rsidRDefault="00CF4E6C" w:rsidP="007C2E55">
      <w:pPr>
        <w:ind w:left="720" w:hanging="720"/>
        <w:jc w:val="both"/>
        <w:rPr>
          <w:rFonts w:ascii="Book Antiqua" w:hAnsi="Book Antiqua"/>
        </w:rPr>
      </w:pPr>
      <w:r w:rsidRPr="00E3232D">
        <w:rPr>
          <w:rFonts w:ascii="Book Antiqua" w:hAnsi="Book Antiqua"/>
          <w:i/>
        </w:rPr>
        <w:t>Sector Performance Report (ESPR)</w:t>
      </w:r>
      <w:r w:rsidRPr="00E3232D">
        <w:rPr>
          <w:rFonts w:ascii="Book Antiqua" w:hAnsi="Book Antiqua"/>
        </w:rPr>
        <w:t>, Accra, Ghana.</w:t>
      </w:r>
    </w:p>
    <w:p w14:paraId="4849DB6C" w14:textId="77777777" w:rsidR="00CF4E6C" w:rsidRPr="00E3232D" w:rsidRDefault="00CF4E6C" w:rsidP="007C2E55">
      <w:pPr>
        <w:autoSpaceDE w:val="0"/>
        <w:autoSpaceDN w:val="0"/>
        <w:adjustRightInd w:val="0"/>
        <w:jc w:val="both"/>
        <w:rPr>
          <w:rFonts w:ascii="Book Antiqua" w:hAnsi="Book Antiqua"/>
        </w:rPr>
      </w:pPr>
    </w:p>
    <w:p w14:paraId="5473936D" w14:textId="77777777" w:rsidR="00CF4E6C" w:rsidRPr="002D5D59" w:rsidRDefault="00CF4E6C" w:rsidP="007C2E55">
      <w:pPr>
        <w:adjustRightInd w:val="0"/>
        <w:ind w:right="-144"/>
        <w:jc w:val="both"/>
        <w:rPr>
          <w:rFonts w:ascii="Book Antiqua" w:hAnsi="Book Antiqua"/>
          <w:i/>
        </w:rPr>
      </w:pPr>
      <w:r w:rsidRPr="00E3232D">
        <w:rPr>
          <w:rFonts w:ascii="Book Antiqua" w:hAnsi="Book Antiqua"/>
        </w:rPr>
        <w:t xml:space="preserve">JICA, (2008). </w:t>
      </w:r>
      <w:r w:rsidRPr="00E3232D">
        <w:rPr>
          <w:rFonts w:ascii="Book Antiqua" w:hAnsi="Book Antiqua"/>
          <w:i/>
        </w:rPr>
        <w:t>Report of Baseline survey of Competency</w:t>
      </w:r>
      <w:r w:rsidR="002D5D59">
        <w:rPr>
          <w:rFonts w:ascii="Book Antiqua" w:hAnsi="Book Antiqua"/>
          <w:i/>
        </w:rPr>
        <w:t xml:space="preserve">-Based Training: Technical and </w:t>
      </w:r>
      <w:r w:rsidRPr="00E3232D">
        <w:rPr>
          <w:rFonts w:ascii="Book Antiqua" w:hAnsi="Book Antiqua"/>
          <w:i/>
        </w:rPr>
        <w:t>Vocational Education and Training Support Project</w:t>
      </w:r>
      <w:r w:rsidRPr="00E3232D">
        <w:rPr>
          <w:rFonts w:ascii="Book Antiqua" w:hAnsi="Book Antiqua"/>
        </w:rPr>
        <w:t>, Ghana.</w:t>
      </w:r>
    </w:p>
    <w:p w14:paraId="70EBAA97" w14:textId="77777777" w:rsidR="00CF4E6C" w:rsidRPr="002D5D59" w:rsidRDefault="00CF4E6C" w:rsidP="002D5D59">
      <w:pPr>
        <w:ind w:left="720" w:hanging="720"/>
        <w:jc w:val="both"/>
        <w:rPr>
          <w:rFonts w:ascii="Book Antiqua" w:hAnsi="Book Antiqua"/>
          <w:i/>
        </w:rPr>
      </w:pPr>
      <w:r w:rsidRPr="00E3232D">
        <w:rPr>
          <w:rFonts w:ascii="Book Antiqua" w:hAnsi="Book Antiqua"/>
        </w:rPr>
        <w:t xml:space="preserve">JICA, (2001). </w:t>
      </w:r>
      <w:r w:rsidRPr="00E3232D">
        <w:rPr>
          <w:rFonts w:ascii="Book Antiqua" w:hAnsi="Book Antiqua"/>
          <w:i/>
        </w:rPr>
        <w:t xml:space="preserve">Development of a Master Plan to Strengthen Technical Education in Ghana, </w:t>
      </w:r>
      <w:r w:rsidRPr="00E3232D">
        <w:rPr>
          <w:rFonts w:ascii="Book Antiqua" w:hAnsi="Book Antiqua"/>
        </w:rPr>
        <w:t>Accra, Ghana.</w:t>
      </w:r>
    </w:p>
    <w:p w14:paraId="1BFC5593" w14:textId="77777777" w:rsidR="00CF4E6C" w:rsidRPr="00E3232D" w:rsidRDefault="00CF4E6C" w:rsidP="007C2E55">
      <w:pPr>
        <w:autoSpaceDE w:val="0"/>
        <w:autoSpaceDN w:val="0"/>
        <w:adjustRightInd w:val="0"/>
        <w:jc w:val="both"/>
        <w:rPr>
          <w:rFonts w:ascii="Book Antiqua" w:hAnsi="Book Antiqua"/>
        </w:rPr>
      </w:pPr>
      <w:r w:rsidRPr="00E3232D">
        <w:rPr>
          <w:rFonts w:ascii="Book Antiqua" w:hAnsi="Book Antiqua"/>
        </w:rPr>
        <w:t>LeGates, R. T. and Robinson, G. (1998). Institutionalizing University-Community</w:t>
      </w:r>
      <w:r w:rsidR="002D5D59">
        <w:rPr>
          <w:rFonts w:ascii="Book Antiqua" w:hAnsi="Book Antiqua"/>
        </w:rPr>
        <w:t xml:space="preserve"> </w:t>
      </w:r>
      <w:r w:rsidRPr="00E3232D">
        <w:rPr>
          <w:rFonts w:ascii="Book Antiqua" w:hAnsi="Book Antiqua"/>
        </w:rPr>
        <w:t xml:space="preserve">Partnerships, </w:t>
      </w:r>
      <w:r w:rsidRPr="00E3232D">
        <w:rPr>
          <w:rFonts w:ascii="Book Antiqua" w:hAnsi="Book Antiqua"/>
          <w:i/>
          <w:iCs/>
        </w:rPr>
        <w:t xml:space="preserve">Journal of Planning Education and Research, </w:t>
      </w:r>
      <w:r w:rsidRPr="00E3232D">
        <w:rPr>
          <w:rFonts w:ascii="Book Antiqua" w:hAnsi="Book Antiqua"/>
        </w:rPr>
        <w:t>17(4), pp.312-322.</w:t>
      </w:r>
    </w:p>
    <w:p w14:paraId="3A6B9F7A" w14:textId="77777777" w:rsidR="00CF4E6C" w:rsidRPr="00E3232D" w:rsidRDefault="00CF4E6C" w:rsidP="007C2E55">
      <w:pPr>
        <w:jc w:val="both"/>
        <w:rPr>
          <w:rFonts w:ascii="Book Antiqua" w:hAnsi="Book Antiqua"/>
        </w:rPr>
      </w:pPr>
      <w:r w:rsidRPr="00E3232D">
        <w:rPr>
          <w:rFonts w:ascii="Book Antiqua" w:hAnsi="Book Antiqua"/>
        </w:rPr>
        <w:t xml:space="preserve">Ministry of Education, (1993). </w:t>
      </w:r>
      <w:r w:rsidRPr="00E3232D">
        <w:rPr>
          <w:rFonts w:ascii="Book Antiqua" w:hAnsi="Book Antiqua"/>
          <w:i/>
        </w:rPr>
        <w:t>The Polytechnic Law 1992, PNDCL 321</w:t>
      </w:r>
      <w:r w:rsidRPr="00E3232D">
        <w:rPr>
          <w:rFonts w:ascii="Book Antiqua" w:hAnsi="Book Antiqua"/>
        </w:rPr>
        <w:t>, Accra, Ghana.</w:t>
      </w:r>
    </w:p>
    <w:p w14:paraId="4DD1D234" w14:textId="77777777" w:rsidR="00CF4E6C" w:rsidRPr="002D5D59" w:rsidRDefault="00CF4E6C" w:rsidP="002D5D59">
      <w:pPr>
        <w:autoSpaceDE w:val="0"/>
        <w:autoSpaceDN w:val="0"/>
        <w:adjustRightInd w:val="0"/>
        <w:ind w:left="720" w:hanging="720"/>
        <w:jc w:val="both"/>
        <w:rPr>
          <w:rFonts w:ascii="Book Antiqua" w:hAnsi="Book Antiqua"/>
          <w:i/>
          <w:iCs/>
        </w:rPr>
      </w:pPr>
      <w:r w:rsidRPr="00E3232D">
        <w:rPr>
          <w:rFonts w:ascii="Book Antiqua" w:hAnsi="Book Antiqua"/>
          <w:iCs/>
        </w:rPr>
        <w:t xml:space="preserve">NCTVET, (2006). </w:t>
      </w:r>
      <w:r w:rsidRPr="00E3232D">
        <w:rPr>
          <w:rFonts w:ascii="Book Antiqua" w:hAnsi="Book Antiqua"/>
          <w:i/>
          <w:iCs/>
        </w:rPr>
        <w:t>A Coordinator’s Guide to Implementing Competency-Based Education in Schools</w:t>
      </w:r>
      <w:r w:rsidRPr="00E3232D">
        <w:rPr>
          <w:rFonts w:ascii="Book Antiqua" w:hAnsi="Book Antiqua"/>
          <w:iCs/>
        </w:rPr>
        <w:t>, Jamaica.</w:t>
      </w:r>
    </w:p>
    <w:p w14:paraId="0579E84A" w14:textId="77777777" w:rsidR="00CF4E6C" w:rsidRPr="00E3232D" w:rsidRDefault="00CF4E6C" w:rsidP="007C2E55">
      <w:pPr>
        <w:ind w:left="720" w:hanging="720"/>
        <w:jc w:val="both"/>
        <w:rPr>
          <w:rFonts w:ascii="Book Antiqua" w:hAnsi="Book Antiqua"/>
        </w:rPr>
      </w:pPr>
      <w:r w:rsidRPr="00E3232D">
        <w:rPr>
          <w:rFonts w:ascii="Book Antiqua" w:hAnsi="Book Antiqua"/>
        </w:rPr>
        <w:t xml:space="preserve">Peterson, O.T. and Van Fleet, D.D. (2004). The Ongoing Legacy of R.L.Katz: An Updated </w:t>
      </w:r>
    </w:p>
    <w:p w14:paraId="30D118BB" w14:textId="77777777" w:rsidR="00CF4E6C" w:rsidRPr="00E3232D" w:rsidRDefault="00CF4E6C" w:rsidP="007C2E55">
      <w:pPr>
        <w:ind w:left="720" w:hanging="720"/>
        <w:jc w:val="both"/>
        <w:rPr>
          <w:rFonts w:ascii="Book Antiqua" w:hAnsi="Book Antiqua"/>
        </w:rPr>
      </w:pPr>
      <w:r w:rsidRPr="00E3232D">
        <w:rPr>
          <w:rFonts w:ascii="Book Antiqua" w:hAnsi="Book Antiqua"/>
        </w:rPr>
        <w:t xml:space="preserve">Typology of Management Skills, </w:t>
      </w:r>
      <w:r w:rsidRPr="00E3232D">
        <w:rPr>
          <w:rFonts w:ascii="Book Antiqua" w:hAnsi="Book Antiqua"/>
          <w:i/>
          <w:iCs/>
        </w:rPr>
        <w:t>Management Decision</w:t>
      </w:r>
      <w:r w:rsidRPr="00E3232D">
        <w:rPr>
          <w:rFonts w:ascii="Book Antiqua" w:hAnsi="Book Antiqua"/>
        </w:rPr>
        <w:t>, 42 (10), pp.1297-1308.</w:t>
      </w:r>
    </w:p>
    <w:p w14:paraId="60AE7A19" w14:textId="77777777" w:rsidR="00CF4E6C" w:rsidRPr="00E3232D" w:rsidRDefault="00CF4E6C" w:rsidP="007C2E55">
      <w:pPr>
        <w:autoSpaceDE w:val="0"/>
        <w:autoSpaceDN w:val="0"/>
        <w:adjustRightInd w:val="0"/>
        <w:jc w:val="both"/>
        <w:rPr>
          <w:rFonts w:ascii="Book Antiqua" w:hAnsi="Book Antiqua"/>
        </w:rPr>
      </w:pPr>
      <w:r w:rsidRPr="00E3232D">
        <w:rPr>
          <w:rFonts w:ascii="Book Antiqua" w:hAnsi="Book Antiqua"/>
        </w:rPr>
        <w:t>Reardon, K.M. (2000). An Experiential Approach to Creating an Effective Community-</w:t>
      </w:r>
    </w:p>
    <w:p w14:paraId="208F0BD1" w14:textId="77777777" w:rsidR="00CF4E6C" w:rsidRPr="00E3232D" w:rsidRDefault="00CF4E6C" w:rsidP="007C2E55">
      <w:pPr>
        <w:autoSpaceDE w:val="0"/>
        <w:autoSpaceDN w:val="0"/>
        <w:adjustRightInd w:val="0"/>
        <w:jc w:val="both"/>
        <w:rPr>
          <w:rFonts w:ascii="Book Antiqua" w:hAnsi="Book Antiqua"/>
        </w:rPr>
      </w:pPr>
      <w:r w:rsidRPr="00E3232D">
        <w:rPr>
          <w:rFonts w:ascii="Book Antiqua" w:hAnsi="Book Antiqua"/>
        </w:rPr>
        <w:t xml:space="preserve">University Partnership: The East St. Louis Action Research Project, </w:t>
      </w:r>
      <w:r w:rsidRPr="00E3232D">
        <w:rPr>
          <w:rFonts w:ascii="Book Antiqua" w:hAnsi="Book Antiqua"/>
          <w:i/>
          <w:iCs/>
        </w:rPr>
        <w:t xml:space="preserve">Cityscape: A Journal of Policy Development and Research, </w:t>
      </w:r>
      <w:r w:rsidRPr="00E3232D">
        <w:rPr>
          <w:rFonts w:ascii="Book Antiqua" w:hAnsi="Book Antiqua"/>
        </w:rPr>
        <w:t>5(1).</w:t>
      </w:r>
    </w:p>
    <w:p w14:paraId="2AC518A2" w14:textId="77777777" w:rsidR="00CF4E6C" w:rsidRPr="0012151E" w:rsidRDefault="00CF4E6C" w:rsidP="007C2E55">
      <w:pPr>
        <w:autoSpaceDE w:val="0"/>
        <w:autoSpaceDN w:val="0"/>
        <w:adjustRightInd w:val="0"/>
        <w:jc w:val="both"/>
        <w:rPr>
          <w:rFonts w:ascii="Book Antiqua" w:hAnsi="Book Antiqua"/>
        </w:rPr>
      </w:pPr>
      <w:r w:rsidRPr="00E3232D">
        <w:rPr>
          <w:rFonts w:ascii="Book Antiqua" w:hAnsi="Book Antiqua"/>
        </w:rPr>
        <w:t xml:space="preserve">Schumaker, A., Reed, B. J. Woode S. (2000). Collaborative Models for Metropolitan University Outreach: The Omaha Experience, </w:t>
      </w:r>
      <w:r w:rsidRPr="00E3232D">
        <w:rPr>
          <w:rFonts w:ascii="Book Antiqua" w:hAnsi="Book Antiqua"/>
          <w:i/>
          <w:iCs/>
        </w:rPr>
        <w:t>Cityscape: A Journal of Policy Development and</w:t>
      </w:r>
      <w:r w:rsidR="002D5D59">
        <w:rPr>
          <w:rFonts w:ascii="Book Antiqua" w:hAnsi="Book Antiqua"/>
        </w:rPr>
        <w:t xml:space="preserve"> </w:t>
      </w:r>
      <w:r w:rsidRPr="00E3232D">
        <w:rPr>
          <w:rFonts w:ascii="Book Antiqua" w:hAnsi="Book Antiqua"/>
          <w:i/>
          <w:iCs/>
        </w:rPr>
        <w:t>Research</w:t>
      </w:r>
      <w:r w:rsidRPr="00E3232D">
        <w:rPr>
          <w:rFonts w:ascii="Book Antiqua" w:hAnsi="Book Antiqua"/>
        </w:rPr>
        <w:t>, 5(1).</w:t>
      </w:r>
    </w:p>
    <w:p w14:paraId="664ED22B" w14:textId="77777777" w:rsidR="00CF4E6C" w:rsidRPr="00E3232D" w:rsidRDefault="00CF4E6C" w:rsidP="007C2E55">
      <w:pPr>
        <w:ind w:left="720" w:hanging="720"/>
        <w:jc w:val="both"/>
        <w:rPr>
          <w:rFonts w:ascii="Book Antiqua" w:hAnsi="Book Antiqua"/>
          <w:iCs/>
        </w:rPr>
      </w:pPr>
      <w:r w:rsidRPr="00E3232D">
        <w:rPr>
          <w:rFonts w:ascii="Book Antiqua" w:hAnsi="Book Antiqua"/>
          <w:iCs/>
        </w:rPr>
        <w:t xml:space="preserve">Stiwne, E. and Jungert, T. (2010). Engineering Students’ Experiences of Transition From </w:t>
      </w:r>
    </w:p>
    <w:p w14:paraId="78E1BB39" w14:textId="77777777" w:rsidR="00CF4E6C" w:rsidRPr="002D5D59" w:rsidRDefault="00CF4E6C" w:rsidP="002D5D59">
      <w:pPr>
        <w:ind w:left="720" w:hanging="720"/>
        <w:jc w:val="both"/>
        <w:rPr>
          <w:rFonts w:ascii="Book Antiqua" w:hAnsi="Book Antiqua"/>
          <w:iCs/>
        </w:rPr>
      </w:pPr>
      <w:r w:rsidRPr="00E3232D">
        <w:rPr>
          <w:rFonts w:ascii="Book Antiqua" w:hAnsi="Book Antiqua"/>
          <w:iCs/>
        </w:rPr>
        <w:t xml:space="preserve">Study to Work,  </w:t>
      </w:r>
      <w:r w:rsidRPr="00E3232D">
        <w:rPr>
          <w:rFonts w:ascii="Book Antiqua" w:hAnsi="Book Antiqua"/>
          <w:i/>
          <w:iCs/>
        </w:rPr>
        <w:t>Journal of Education and Work</w:t>
      </w:r>
      <w:r w:rsidRPr="00E3232D">
        <w:rPr>
          <w:rFonts w:ascii="Book Antiqua" w:hAnsi="Book Antiqua"/>
          <w:iCs/>
        </w:rPr>
        <w:t xml:space="preserve"> ,23 (5), pp 417- 437.</w:t>
      </w:r>
    </w:p>
    <w:p w14:paraId="06D8605D" w14:textId="77777777" w:rsidR="00CF4E6C" w:rsidRPr="00E3232D" w:rsidRDefault="00CF4E6C" w:rsidP="007C2E55">
      <w:pPr>
        <w:autoSpaceDE w:val="0"/>
        <w:autoSpaceDN w:val="0"/>
        <w:adjustRightInd w:val="0"/>
        <w:jc w:val="both"/>
        <w:rPr>
          <w:rFonts w:ascii="Book Antiqua" w:hAnsi="Book Antiqua"/>
        </w:rPr>
      </w:pPr>
      <w:r w:rsidRPr="00E3232D">
        <w:rPr>
          <w:rFonts w:ascii="Book Antiqua" w:hAnsi="Book Antiqua"/>
        </w:rPr>
        <w:t>Wiewel, W. and Lieber, M. (1998). Goal Achievement, Relationship Building, and</w:t>
      </w:r>
      <w:r w:rsidR="002D5D59">
        <w:rPr>
          <w:rFonts w:ascii="Book Antiqua" w:hAnsi="Book Antiqua"/>
        </w:rPr>
        <w:t xml:space="preserve"> </w:t>
      </w:r>
      <w:r w:rsidRPr="00E3232D">
        <w:rPr>
          <w:rFonts w:ascii="Book Antiqua" w:hAnsi="Book Antiqua"/>
        </w:rPr>
        <w:t xml:space="preserve">Incrementalism: The Challenges of University-Community Partnerships, </w:t>
      </w:r>
      <w:r w:rsidRPr="00E3232D">
        <w:rPr>
          <w:rFonts w:ascii="Book Antiqua" w:hAnsi="Book Antiqua"/>
          <w:i/>
          <w:iCs/>
        </w:rPr>
        <w:t xml:space="preserve">Journal of Planning Education and Research, </w:t>
      </w:r>
      <w:r w:rsidRPr="00E3232D">
        <w:rPr>
          <w:rFonts w:ascii="Book Antiqua" w:hAnsi="Book Antiqua"/>
        </w:rPr>
        <w:t>17(4), pp.291-301.</w:t>
      </w:r>
    </w:p>
    <w:p w14:paraId="35F57D91" w14:textId="77777777" w:rsidR="00CF4E6C" w:rsidRPr="00E3232D" w:rsidRDefault="00CF4E6C" w:rsidP="007C2E55">
      <w:pPr>
        <w:pStyle w:val="BodyText"/>
        <w:spacing w:line="276" w:lineRule="auto"/>
        <w:jc w:val="both"/>
        <w:rPr>
          <w:rFonts w:ascii="Book Antiqua" w:hAnsi="Book Antiqua"/>
          <w:sz w:val="22"/>
          <w:szCs w:val="22"/>
          <w:lang w:val="en-GB"/>
        </w:rPr>
      </w:pPr>
      <w:r w:rsidRPr="00E3232D">
        <w:rPr>
          <w:rFonts w:ascii="Book Antiqua" w:hAnsi="Book Antiqua"/>
          <w:sz w:val="22"/>
          <w:szCs w:val="22"/>
          <w:lang w:val="en-GB"/>
        </w:rPr>
        <w:t xml:space="preserve">World Bank. (2009). </w:t>
      </w:r>
      <w:r w:rsidRPr="00E3232D">
        <w:rPr>
          <w:rFonts w:ascii="Book Antiqua" w:hAnsi="Book Antiqua"/>
          <w:i/>
          <w:sz w:val="22"/>
          <w:szCs w:val="22"/>
          <w:lang w:val="en-GB"/>
        </w:rPr>
        <w:t>Accelerating Catch-Up: Tertiary Education for Growth in Sub-Saharan Africa</w:t>
      </w:r>
      <w:r w:rsidRPr="00E3232D">
        <w:rPr>
          <w:rFonts w:ascii="Book Antiqua" w:hAnsi="Book Antiqua"/>
          <w:sz w:val="22"/>
          <w:szCs w:val="22"/>
          <w:lang w:val="en-GB"/>
        </w:rPr>
        <w:t>, AFTHD (World Bank).</w:t>
      </w:r>
    </w:p>
    <w:p w14:paraId="25DEFCD8" w14:textId="77777777" w:rsidR="0080617A" w:rsidRPr="00E3232D" w:rsidRDefault="0080617A" w:rsidP="007C2E55">
      <w:pPr>
        <w:autoSpaceDE w:val="0"/>
        <w:autoSpaceDN w:val="0"/>
        <w:adjustRightInd w:val="0"/>
        <w:jc w:val="both"/>
        <w:rPr>
          <w:rFonts w:ascii="Book Antiqua" w:hAnsi="Book Antiqua"/>
          <w:b/>
        </w:rPr>
      </w:pPr>
    </w:p>
    <w:p w14:paraId="7696A3C9" w14:textId="77777777" w:rsidR="0084614A" w:rsidRDefault="0084614A" w:rsidP="007C2E55">
      <w:pPr>
        <w:autoSpaceDE w:val="0"/>
        <w:autoSpaceDN w:val="0"/>
        <w:adjustRightInd w:val="0"/>
        <w:jc w:val="both"/>
        <w:rPr>
          <w:rFonts w:ascii="Book Antiqua" w:eastAsia="Swift-Regular" w:hAnsi="Book Antiqua"/>
          <w:b/>
          <w:lang w:val="en-GB" w:eastAsia="en-GB"/>
        </w:rPr>
        <w:sectPr w:rsidR="0084614A" w:rsidSect="008F6BC9">
          <w:type w:val="continuous"/>
          <w:pgSz w:w="11907" w:h="16839" w:code="9"/>
          <w:pgMar w:top="1440" w:right="1440" w:bottom="1440" w:left="1440" w:header="720" w:footer="720" w:gutter="0"/>
          <w:cols w:num="2" w:space="720"/>
          <w:titlePg/>
          <w:docGrid w:linePitch="360"/>
        </w:sectPr>
      </w:pPr>
    </w:p>
    <w:p w14:paraId="0C165481" w14:textId="77777777" w:rsidR="00401E7E" w:rsidRDefault="00401E7E" w:rsidP="007C2E55">
      <w:pPr>
        <w:autoSpaceDE w:val="0"/>
        <w:autoSpaceDN w:val="0"/>
        <w:adjustRightInd w:val="0"/>
        <w:jc w:val="both"/>
        <w:rPr>
          <w:rFonts w:ascii="Book Antiqua" w:eastAsia="Swift-Regular" w:hAnsi="Book Antiqua"/>
          <w:b/>
          <w:lang w:val="en-GB" w:eastAsia="en-GB"/>
        </w:rPr>
      </w:pPr>
    </w:p>
    <w:p w14:paraId="4FB47D5A" w14:textId="77777777" w:rsidR="00401E7E" w:rsidRDefault="00401E7E" w:rsidP="007C2E55">
      <w:pPr>
        <w:autoSpaceDE w:val="0"/>
        <w:autoSpaceDN w:val="0"/>
        <w:adjustRightInd w:val="0"/>
        <w:jc w:val="both"/>
        <w:rPr>
          <w:rFonts w:ascii="Book Antiqua" w:eastAsia="Swift-Regular" w:hAnsi="Book Antiqua"/>
          <w:b/>
          <w:lang w:val="en-GB" w:eastAsia="en-GB"/>
        </w:rPr>
      </w:pPr>
    </w:p>
    <w:p w14:paraId="5A39D124" w14:textId="77777777" w:rsidR="00B16DEC" w:rsidRDefault="00B16DEC" w:rsidP="007C2E55">
      <w:pPr>
        <w:autoSpaceDE w:val="0"/>
        <w:autoSpaceDN w:val="0"/>
        <w:adjustRightInd w:val="0"/>
        <w:jc w:val="both"/>
        <w:rPr>
          <w:rFonts w:ascii="Book Antiqua" w:eastAsia="Swift-Regular" w:hAnsi="Book Antiqua"/>
          <w:b/>
          <w:lang w:val="en-GB" w:eastAsia="en-GB"/>
        </w:rPr>
        <w:sectPr w:rsidR="00B16DEC" w:rsidSect="008F6BC9">
          <w:type w:val="continuous"/>
          <w:pgSz w:w="11907" w:h="16839" w:code="9"/>
          <w:pgMar w:top="1440" w:right="1440" w:bottom="1440" w:left="1440" w:header="720" w:footer="720" w:gutter="0"/>
          <w:cols w:num="2" w:space="720"/>
          <w:titlePg/>
          <w:docGrid w:linePitch="360"/>
        </w:sectPr>
      </w:pPr>
    </w:p>
    <w:p w14:paraId="77193E0C" w14:textId="77777777" w:rsidR="00FA2C43" w:rsidRDefault="00FA2C43" w:rsidP="007C2E55">
      <w:pPr>
        <w:autoSpaceDE w:val="0"/>
        <w:autoSpaceDN w:val="0"/>
        <w:adjustRightInd w:val="0"/>
        <w:jc w:val="both"/>
        <w:rPr>
          <w:rFonts w:ascii="Book Antiqua" w:eastAsia="Swift-Regular" w:hAnsi="Book Antiqua"/>
          <w:b/>
          <w:sz w:val="26"/>
          <w:szCs w:val="26"/>
          <w:lang w:val="en-GB" w:eastAsia="en-GB"/>
        </w:rPr>
      </w:pPr>
    </w:p>
    <w:p w14:paraId="1E6E48C0" w14:textId="77777777" w:rsidR="00FA2C43" w:rsidRDefault="00FA2C43" w:rsidP="007C2E55">
      <w:pPr>
        <w:autoSpaceDE w:val="0"/>
        <w:autoSpaceDN w:val="0"/>
        <w:adjustRightInd w:val="0"/>
        <w:jc w:val="both"/>
        <w:rPr>
          <w:rFonts w:ascii="Book Antiqua" w:eastAsia="Swift-Regular" w:hAnsi="Book Antiqua"/>
          <w:b/>
          <w:sz w:val="26"/>
          <w:szCs w:val="26"/>
          <w:lang w:val="en-GB" w:eastAsia="en-GB"/>
        </w:rPr>
      </w:pPr>
    </w:p>
    <w:p w14:paraId="07E9A0EE" w14:textId="77777777" w:rsidR="0012151E" w:rsidRDefault="0012151E" w:rsidP="00012E00">
      <w:pPr>
        <w:autoSpaceDE w:val="0"/>
        <w:autoSpaceDN w:val="0"/>
        <w:adjustRightInd w:val="0"/>
        <w:jc w:val="center"/>
        <w:rPr>
          <w:rFonts w:ascii="Book Antiqua" w:eastAsia="Swift-Regular" w:hAnsi="Book Antiqua"/>
          <w:b/>
          <w:sz w:val="26"/>
          <w:szCs w:val="26"/>
          <w:lang w:val="en-GB" w:eastAsia="en-GB"/>
        </w:rPr>
      </w:pPr>
    </w:p>
    <w:p w14:paraId="28CF8043" w14:textId="77777777" w:rsidR="002D5D59" w:rsidRDefault="002D5D59" w:rsidP="00012E00">
      <w:pPr>
        <w:autoSpaceDE w:val="0"/>
        <w:autoSpaceDN w:val="0"/>
        <w:adjustRightInd w:val="0"/>
        <w:jc w:val="center"/>
        <w:rPr>
          <w:rFonts w:ascii="Book Antiqua" w:eastAsia="Swift-Regular" w:hAnsi="Book Antiqua"/>
          <w:b/>
          <w:sz w:val="26"/>
          <w:szCs w:val="26"/>
          <w:lang w:val="en-GB" w:eastAsia="en-GB"/>
        </w:rPr>
      </w:pPr>
    </w:p>
    <w:p w14:paraId="3B784DDA" w14:textId="77777777" w:rsidR="0012151E" w:rsidRDefault="0012151E" w:rsidP="00012E00">
      <w:pPr>
        <w:autoSpaceDE w:val="0"/>
        <w:autoSpaceDN w:val="0"/>
        <w:adjustRightInd w:val="0"/>
        <w:jc w:val="center"/>
        <w:rPr>
          <w:rFonts w:ascii="Book Antiqua" w:eastAsia="Swift-Regular" w:hAnsi="Book Antiqua"/>
          <w:b/>
          <w:sz w:val="26"/>
          <w:szCs w:val="26"/>
          <w:lang w:val="en-GB" w:eastAsia="en-GB"/>
        </w:rPr>
      </w:pPr>
    </w:p>
    <w:p w14:paraId="114F70ED" w14:textId="77777777" w:rsidR="002D5D59" w:rsidRDefault="002D5D59" w:rsidP="00012E00">
      <w:pPr>
        <w:autoSpaceDE w:val="0"/>
        <w:autoSpaceDN w:val="0"/>
        <w:adjustRightInd w:val="0"/>
        <w:jc w:val="center"/>
        <w:rPr>
          <w:rFonts w:ascii="Book Antiqua" w:eastAsia="Swift-Regular" w:hAnsi="Book Antiqua"/>
          <w:b/>
          <w:sz w:val="26"/>
          <w:szCs w:val="26"/>
          <w:lang w:val="en-GB" w:eastAsia="en-GB"/>
        </w:rPr>
      </w:pPr>
    </w:p>
    <w:p w14:paraId="2FABE793" w14:textId="77777777" w:rsidR="002D5D59" w:rsidRDefault="002D5D59" w:rsidP="00012E00">
      <w:pPr>
        <w:autoSpaceDE w:val="0"/>
        <w:autoSpaceDN w:val="0"/>
        <w:adjustRightInd w:val="0"/>
        <w:jc w:val="center"/>
        <w:rPr>
          <w:rFonts w:ascii="Book Antiqua" w:eastAsia="Swift-Regular" w:hAnsi="Book Antiqua"/>
          <w:b/>
          <w:sz w:val="26"/>
          <w:szCs w:val="26"/>
          <w:lang w:val="en-GB" w:eastAsia="en-GB"/>
        </w:rPr>
      </w:pPr>
    </w:p>
    <w:p w14:paraId="70DFC412" w14:textId="77777777" w:rsidR="002D5D59" w:rsidRDefault="002D5D59" w:rsidP="00012E00">
      <w:pPr>
        <w:autoSpaceDE w:val="0"/>
        <w:autoSpaceDN w:val="0"/>
        <w:adjustRightInd w:val="0"/>
        <w:jc w:val="center"/>
        <w:rPr>
          <w:rFonts w:ascii="Book Antiqua" w:eastAsia="Swift-Regular" w:hAnsi="Book Antiqua"/>
          <w:b/>
          <w:sz w:val="26"/>
          <w:szCs w:val="26"/>
          <w:lang w:val="en-GB" w:eastAsia="en-GB"/>
        </w:rPr>
      </w:pPr>
    </w:p>
    <w:p w14:paraId="5371E64A" w14:textId="77777777" w:rsidR="002D5D59" w:rsidRDefault="002D5D59" w:rsidP="00012E00">
      <w:pPr>
        <w:autoSpaceDE w:val="0"/>
        <w:autoSpaceDN w:val="0"/>
        <w:adjustRightInd w:val="0"/>
        <w:jc w:val="center"/>
        <w:rPr>
          <w:rFonts w:ascii="Book Antiqua" w:eastAsia="Swift-Regular" w:hAnsi="Book Antiqua"/>
          <w:b/>
          <w:sz w:val="26"/>
          <w:szCs w:val="26"/>
          <w:lang w:val="en-GB" w:eastAsia="en-GB"/>
        </w:rPr>
      </w:pPr>
    </w:p>
    <w:p w14:paraId="539C998C" w14:textId="77777777" w:rsidR="002D5D59" w:rsidRDefault="002D5D59" w:rsidP="00012E00">
      <w:pPr>
        <w:autoSpaceDE w:val="0"/>
        <w:autoSpaceDN w:val="0"/>
        <w:adjustRightInd w:val="0"/>
        <w:jc w:val="center"/>
        <w:rPr>
          <w:rFonts w:ascii="Book Antiqua" w:eastAsia="Swift-Regular" w:hAnsi="Book Antiqua"/>
          <w:b/>
          <w:sz w:val="26"/>
          <w:szCs w:val="26"/>
          <w:lang w:val="en-GB" w:eastAsia="en-GB"/>
        </w:rPr>
      </w:pPr>
    </w:p>
    <w:p w14:paraId="39BB6295" w14:textId="77777777" w:rsidR="002D5D59" w:rsidRDefault="002D5D59" w:rsidP="00012E00">
      <w:pPr>
        <w:autoSpaceDE w:val="0"/>
        <w:autoSpaceDN w:val="0"/>
        <w:adjustRightInd w:val="0"/>
        <w:jc w:val="center"/>
        <w:rPr>
          <w:rFonts w:ascii="Book Antiqua" w:eastAsia="Swift-Regular" w:hAnsi="Book Antiqua"/>
          <w:b/>
          <w:sz w:val="26"/>
          <w:szCs w:val="26"/>
          <w:lang w:val="en-GB" w:eastAsia="en-GB"/>
        </w:rPr>
      </w:pPr>
    </w:p>
    <w:p w14:paraId="64C1B5FC" w14:textId="77777777" w:rsidR="002D5D59" w:rsidRDefault="002D5D59" w:rsidP="00012E00">
      <w:pPr>
        <w:autoSpaceDE w:val="0"/>
        <w:autoSpaceDN w:val="0"/>
        <w:adjustRightInd w:val="0"/>
        <w:jc w:val="center"/>
        <w:rPr>
          <w:rFonts w:ascii="Book Antiqua" w:eastAsia="Swift-Regular" w:hAnsi="Book Antiqua"/>
          <w:b/>
          <w:sz w:val="26"/>
          <w:szCs w:val="26"/>
          <w:lang w:val="en-GB" w:eastAsia="en-GB"/>
        </w:rPr>
      </w:pPr>
    </w:p>
    <w:p w14:paraId="766F65CD" w14:textId="77777777" w:rsidR="00EB13D0" w:rsidRDefault="00EB13D0" w:rsidP="00012E00">
      <w:pPr>
        <w:autoSpaceDE w:val="0"/>
        <w:autoSpaceDN w:val="0"/>
        <w:adjustRightInd w:val="0"/>
        <w:jc w:val="center"/>
        <w:rPr>
          <w:rFonts w:ascii="Book Antiqua" w:eastAsia="Swift-Regular" w:hAnsi="Book Antiqua"/>
          <w:b/>
          <w:sz w:val="26"/>
          <w:szCs w:val="26"/>
          <w:lang w:val="en-GB" w:eastAsia="en-GB"/>
        </w:rPr>
        <w:sectPr w:rsidR="00EB13D0" w:rsidSect="008F6BC9">
          <w:type w:val="continuous"/>
          <w:pgSz w:w="11907" w:h="16839" w:code="9"/>
          <w:pgMar w:top="1440" w:right="1440" w:bottom="1440" w:left="1440" w:header="720" w:footer="720" w:gutter="0"/>
          <w:cols w:space="720"/>
          <w:titlePg/>
          <w:docGrid w:linePitch="360"/>
        </w:sectPr>
      </w:pPr>
    </w:p>
    <w:p w14:paraId="2AA160D6" w14:textId="77777777" w:rsidR="0084614A" w:rsidRPr="00012E00" w:rsidRDefault="0086444E" w:rsidP="0012151E">
      <w:pPr>
        <w:autoSpaceDE w:val="0"/>
        <w:autoSpaceDN w:val="0"/>
        <w:adjustRightInd w:val="0"/>
        <w:spacing w:after="0"/>
        <w:jc w:val="center"/>
        <w:rPr>
          <w:rFonts w:ascii="Book Antiqua" w:eastAsia="Swift-Regular" w:hAnsi="Book Antiqua"/>
          <w:b/>
          <w:sz w:val="26"/>
          <w:szCs w:val="26"/>
          <w:lang w:val="en-GB" w:eastAsia="en-GB"/>
        </w:rPr>
        <w:sectPr w:rsidR="0084614A" w:rsidRPr="00012E00" w:rsidSect="008F6BC9">
          <w:type w:val="continuous"/>
          <w:pgSz w:w="11907" w:h="16839" w:code="9"/>
          <w:pgMar w:top="1440" w:right="1440" w:bottom="1440" w:left="1440" w:header="720" w:footer="720" w:gutter="0"/>
          <w:cols w:space="720"/>
          <w:titlePg/>
          <w:docGrid w:linePitch="360"/>
        </w:sectPr>
      </w:pPr>
      <w:r w:rsidRPr="00012E00">
        <w:rPr>
          <w:rFonts w:ascii="Book Antiqua" w:eastAsia="Swift-Regular" w:hAnsi="Book Antiqua"/>
          <w:b/>
          <w:sz w:val="26"/>
          <w:szCs w:val="26"/>
          <w:lang w:val="en-GB" w:eastAsia="en-GB"/>
        </w:rPr>
        <w:t>Modelling the Volatility of Ghc_Usd Exchange Rate Using Garch Model</w:t>
      </w:r>
    </w:p>
    <w:p w14:paraId="0C0CB2DC" w14:textId="77777777" w:rsidR="00401E7E" w:rsidRDefault="00401E7E" w:rsidP="00760287">
      <w:pPr>
        <w:pStyle w:val="NormalWeb"/>
        <w:spacing w:before="96" w:beforeAutospacing="0" w:after="0" w:afterAutospacing="0"/>
        <w:rPr>
          <w:rFonts w:ascii="Book Antiqua" w:hAnsi="Book Antiqua"/>
          <w:color w:val="000000"/>
          <w:sz w:val="22"/>
          <w:szCs w:val="22"/>
        </w:rPr>
        <w:sectPr w:rsidR="00401E7E" w:rsidSect="008F6BC9">
          <w:type w:val="continuous"/>
          <w:pgSz w:w="11907" w:h="16839" w:code="9"/>
          <w:pgMar w:top="1440" w:right="1440" w:bottom="1440" w:left="1440" w:header="720" w:footer="720" w:gutter="0"/>
          <w:cols w:space="720"/>
          <w:titlePg/>
          <w:docGrid w:linePitch="360"/>
        </w:sectPr>
      </w:pPr>
    </w:p>
    <w:p w14:paraId="5E364F7A" w14:textId="77777777" w:rsidR="00A86A96" w:rsidRPr="002D5D59" w:rsidRDefault="00012E00" w:rsidP="0012151E">
      <w:pPr>
        <w:pStyle w:val="NormalWeb"/>
        <w:spacing w:before="0" w:beforeAutospacing="0" w:after="0" w:afterAutospacing="0"/>
        <w:jc w:val="center"/>
        <w:rPr>
          <w:rFonts w:ascii="Book Antiqua" w:hAnsi="Book Antiqua"/>
          <w:b/>
          <w:color w:val="000000"/>
          <w:sz w:val="26"/>
          <w:szCs w:val="22"/>
        </w:rPr>
      </w:pPr>
      <w:r w:rsidRPr="002D5D59">
        <w:rPr>
          <w:rFonts w:ascii="Book Antiqua" w:hAnsi="Book Antiqua"/>
          <w:b/>
          <w:color w:val="000000"/>
          <w:sz w:val="26"/>
          <w:szCs w:val="22"/>
        </w:rPr>
        <w:t>Okyere</w:t>
      </w:r>
      <w:r w:rsidR="00A86A96" w:rsidRPr="002D5D59">
        <w:rPr>
          <w:rFonts w:ascii="Book Antiqua" w:hAnsi="Book Antiqua"/>
          <w:b/>
          <w:color w:val="000000"/>
          <w:sz w:val="26"/>
          <w:szCs w:val="22"/>
        </w:rPr>
        <w:t xml:space="preserve"> E</w:t>
      </w:r>
      <w:r w:rsidR="001F14F6" w:rsidRPr="002D5D59">
        <w:rPr>
          <w:rFonts w:ascii="Book Antiqua" w:hAnsi="Book Antiqua"/>
          <w:b/>
          <w:color w:val="000000"/>
          <w:sz w:val="26"/>
          <w:szCs w:val="22"/>
        </w:rPr>
        <w:t>. &amp;</w:t>
      </w:r>
      <w:r w:rsidR="00A86A96" w:rsidRPr="002D5D59">
        <w:rPr>
          <w:rFonts w:ascii="Book Antiqua" w:hAnsi="Book Antiqua"/>
          <w:b/>
          <w:color w:val="000000"/>
          <w:sz w:val="26"/>
          <w:szCs w:val="22"/>
        </w:rPr>
        <w:t xml:space="preserve"> </w:t>
      </w:r>
      <w:r w:rsidR="001F14F6" w:rsidRPr="002D5D59">
        <w:rPr>
          <w:rFonts w:ascii="Book Antiqua" w:hAnsi="Book Antiqua"/>
          <w:b/>
          <w:color w:val="000000"/>
          <w:sz w:val="26"/>
          <w:szCs w:val="22"/>
        </w:rPr>
        <w:t>Abaka A.C.</w:t>
      </w:r>
    </w:p>
    <w:p w14:paraId="6493E5F1" w14:textId="77777777" w:rsidR="00D816BE" w:rsidRPr="00B32502" w:rsidRDefault="001F14F6" w:rsidP="00B16DEC">
      <w:pPr>
        <w:pStyle w:val="NormalWeb"/>
        <w:spacing w:before="0" w:beforeAutospacing="0" w:after="0" w:afterAutospacing="0"/>
        <w:jc w:val="center"/>
        <w:rPr>
          <w:rFonts w:ascii="Book Antiqua" w:hAnsi="Book Antiqua"/>
          <w:color w:val="000000"/>
          <w:sz w:val="22"/>
          <w:szCs w:val="22"/>
        </w:rPr>
      </w:pPr>
      <w:r w:rsidRPr="00B32502">
        <w:rPr>
          <w:rFonts w:ascii="Book Antiqua" w:hAnsi="Book Antiqua"/>
          <w:color w:val="000000"/>
          <w:sz w:val="22"/>
          <w:szCs w:val="22"/>
          <w:vertAlign w:val="superscript"/>
        </w:rPr>
        <w:t>1</w:t>
      </w:r>
      <w:r w:rsidR="00012E00" w:rsidRPr="00B32502">
        <w:rPr>
          <w:rFonts w:ascii="Book Antiqua" w:hAnsi="Book Antiqua"/>
          <w:color w:val="000000"/>
          <w:sz w:val="22"/>
          <w:szCs w:val="22"/>
        </w:rPr>
        <w:t xml:space="preserve">Research Departmen, </w:t>
      </w:r>
      <w:r w:rsidR="00F5779C" w:rsidRPr="00B32502">
        <w:rPr>
          <w:rFonts w:ascii="Book Antiqua" w:hAnsi="Book Antiqua"/>
          <w:color w:val="000000"/>
          <w:sz w:val="22"/>
          <w:szCs w:val="22"/>
        </w:rPr>
        <w:t>Bank of Ghana</w:t>
      </w:r>
      <w:r w:rsidR="00D816BE" w:rsidRPr="00B32502">
        <w:rPr>
          <w:rFonts w:ascii="Book Antiqua" w:hAnsi="Book Antiqua"/>
          <w:color w:val="000000"/>
          <w:sz w:val="22"/>
          <w:szCs w:val="22"/>
        </w:rPr>
        <w:t xml:space="preserve">, </w:t>
      </w:r>
      <w:r w:rsidR="00025862" w:rsidRPr="00B32502">
        <w:rPr>
          <w:rFonts w:ascii="Book Antiqua" w:hAnsi="Book Antiqua"/>
          <w:color w:val="000000"/>
          <w:sz w:val="22"/>
          <w:szCs w:val="22"/>
        </w:rPr>
        <w:t>P.O.Box GP 2674, Accra, Ghana.</w:t>
      </w:r>
    </w:p>
    <w:p w14:paraId="18E93A9A" w14:textId="77777777" w:rsidR="00025862" w:rsidRPr="00B32502" w:rsidRDefault="00D816BE" w:rsidP="00B16DEC">
      <w:pPr>
        <w:pStyle w:val="NormalWeb"/>
        <w:spacing w:before="0" w:beforeAutospacing="0" w:after="0" w:afterAutospacing="0"/>
        <w:jc w:val="center"/>
        <w:rPr>
          <w:rFonts w:ascii="Book Antiqua" w:hAnsi="Book Antiqua"/>
          <w:color w:val="000000"/>
          <w:sz w:val="22"/>
          <w:szCs w:val="22"/>
        </w:rPr>
      </w:pPr>
      <w:r w:rsidRPr="00B32502">
        <w:rPr>
          <w:rFonts w:ascii="Book Antiqua" w:hAnsi="Book Antiqua"/>
          <w:color w:val="000000"/>
          <w:sz w:val="22"/>
          <w:szCs w:val="22"/>
          <w:vertAlign w:val="superscript"/>
        </w:rPr>
        <w:t>2</w:t>
      </w:r>
      <w:r w:rsidRPr="00B32502">
        <w:rPr>
          <w:rFonts w:ascii="Book Antiqua" w:hAnsi="Book Antiqua"/>
          <w:color w:val="000000"/>
          <w:sz w:val="22"/>
          <w:szCs w:val="22"/>
        </w:rPr>
        <w:t>Mathematics and Statistics Department</w:t>
      </w:r>
      <w:r w:rsidR="00025862" w:rsidRPr="00B32502">
        <w:rPr>
          <w:rFonts w:ascii="Book Antiqua" w:hAnsi="Book Antiqua"/>
          <w:color w:val="000000"/>
          <w:sz w:val="22"/>
          <w:szCs w:val="22"/>
        </w:rPr>
        <w:t>, Accra Polytechnic P. O. Box GP561, Accra, Ghana</w:t>
      </w:r>
    </w:p>
    <w:p w14:paraId="4679D693" w14:textId="77777777" w:rsidR="00F5779C" w:rsidRPr="00B32502" w:rsidRDefault="00F5779C" w:rsidP="00B16DEC">
      <w:pPr>
        <w:pStyle w:val="NormalWeb"/>
        <w:spacing w:before="0" w:beforeAutospacing="0" w:after="0" w:afterAutospacing="0"/>
        <w:jc w:val="center"/>
        <w:rPr>
          <w:rFonts w:ascii="Book Antiqua" w:hAnsi="Book Antiqua"/>
          <w:sz w:val="22"/>
          <w:szCs w:val="22"/>
        </w:rPr>
      </w:pPr>
      <w:r w:rsidRPr="00B32502">
        <w:rPr>
          <w:rFonts w:ascii="Book Antiqua" w:hAnsi="Book Antiqua"/>
          <w:b/>
          <w:color w:val="000000"/>
          <w:sz w:val="22"/>
          <w:szCs w:val="22"/>
        </w:rPr>
        <w:t>E</w:t>
      </w:r>
      <w:r w:rsidR="00B16DEC">
        <w:rPr>
          <w:rFonts w:ascii="Book Antiqua" w:hAnsi="Book Antiqua"/>
          <w:b/>
          <w:color w:val="000000"/>
          <w:sz w:val="22"/>
          <w:szCs w:val="22"/>
        </w:rPr>
        <w:t>-</w:t>
      </w:r>
      <w:r w:rsidRPr="00B32502">
        <w:rPr>
          <w:rFonts w:ascii="Book Antiqua" w:hAnsi="Book Antiqua"/>
          <w:b/>
          <w:color w:val="000000"/>
          <w:sz w:val="22"/>
          <w:szCs w:val="22"/>
        </w:rPr>
        <w:t>mail:</w:t>
      </w:r>
      <w:r w:rsidRPr="00B32502">
        <w:rPr>
          <w:rFonts w:ascii="Book Antiqua" w:hAnsi="Book Antiqua"/>
          <w:color w:val="000000"/>
          <w:sz w:val="22"/>
          <w:szCs w:val="22"/>
        </w:rPr>
        <w:t xml:space="preserve"> </w:t>
      </w:r>
      <w:hyperlink r:id="rId297" w:history="1">
        <w:r w:rsidRPr="00B32502">
          <w:rPr>
            <w:rStyle w:val="Hyperlink"/>
            <w:rFonts w:ascii="Book Antiqua" w:hAnsi="Book Antiqua"/>
            <w:sz w:val="22"/>
            <w:szCs w:val="22"/>
          </w:rPr>
          <w:t>ebenezer.okyere@bog.gov.gh</w:t>
        </w:r>
      </w:hyperlink>
      <w:r w:rsidR="00025862" w:rsidRPr="00B32502">
        <w:t xml:space="preserve"> &amp; </w:t>
      </w:r>
      <w:hyperlink r:id="rId298" w:history="1">
        <w:r w:rsidR="00025862" w:rsidRPr="00B32502">
          <w:rPr>
            <w:rStyle w:val="Hyperlink"/>
            <w:rFonts w:ascii="Book Antiqua" w:hAnsi="Book Antiqua"/>
            <w:sz w:val="22"/>
            <w:szCs w:val="22"/>
          </w:rPr>
          <w:t>alicemen_sah@yahoo.co.uk</w:t>
        </w:r>
      </w:hyperlink>
    </w:p>
    <w:p w14:paraId="4B299AD2" w14:textId="77777777" w:rsidR="00F5779C" w:rsidRPr="00E3232D" w:rsidRDefault="00F5779C" w:rsidP="005601AD">
      <w:pPr>
        <w:pStyle w:val="NormalWeb"/>
        <w:spacing w:before="96" w:beforeAutospacing="0" w:after="120" w:afterAutospacing="0" w:line="276" w:lineRule="auto"/>
        <w:jc w:val="center"/>
        <w:rPr>
          <w:rFonts w:ascii="Book Antiqua" w:hAnsi="Book Antiqua"/>
          <w:i/>
          <w:color w:val="000000"/>
          <w:sz w:val="22"/>
          <w:szCs w:val="22"/>
        </w:rPr>
      </w:pPr>
    </w:p>
    <w:p w14:paraId="162546D4" w14:textId="77777777" w:rsidR="00401E7E" w:rsidRPr="00B32502" w:rsidRDefault="00401E7E" w:rsidP="00B32502">
      <w:pPr>
        <w:pStyle w:val="NormalWeb"/>
        <w:spacing w:before="96" w:beforeAutospacing="0" w:after="120" w:afterAutospacing="0" w:line="276" w:lineRule="auto"/>
        <w:rPr>
          <w:rFonts w:ascii="Book Antiqua" w:hAnsi="Book Antiqua"/>
          <w:i/>
          <w:color w:val="000000"/>
          <w:sz w:val="22"/>
          <w:szCs w:val="22"/>
        </w:rPr>
        <w:sectPr w:rsidR="00401E7E" w:rsidRPr="00B32502" w:rsidSect="008F6BC9">
          <w:type w:val="continuous"/>
          <w:pgSz w:w="11907" w:h="16839" w:code="9"/>
          <w:pgMar w:top="1440" w:right="1440" w:bottom="1440" w:left="1440" w:header="720" w:footer="720" w:gutter="0"/>
          <w:cols w:space="720"/>
          <w:titlePg/>
          <w:docGrid w:linePitch="360"/>
        </w:sectPr>
      </w:pPr>
    </w:p>
    <w:p w14:paraId="2F1AF301" w14:textId="77777777" w:rsidR="00F5779C" w:rsidRPr="00E3232D" w:rsidRDefault="00F5779C" w:rsidP="008275E1">
      <w:pPr>
        <w:autoSpaceDE w:val="0"/>
        <w:autoSpaceDN w:val="0"/>
        <w:adjustRightInd w:val="0"/>
        <w:rPr>
          <w:rFonts w:ascii="Book Antiqua" w:eastAsia="Swift-Regular" w:hAnsi="Book Antiqua"/>
          <w:b/>
          <w:lang w:val="en-GB" w:eastAsia="en-GB"/>
        </w:rPr>
      </w:pPr>
    </w:p>
    <w:p w14:paraId="37E94BD9" w14:textId="77777777" w:rsidR="00F5779C" w:rsidRPr="00D27995" w:rsidRDefault="00F5779C" w:rsidP="008275E1">
      <w:pPr>
        <w:autoSpaceDE w:val="0"/>
        <w:autoSpaceDN w:val="0"/>
        <w:adjustRightInd w:val="0"/>
        <w:rPr>
          <w:rFonts w:ascii="Book Antiqua" w:eastAsia="Swift-Regular" w:hAnsi="Book Antiqua"/>
          <w:b/>
          <w:sz w:val="26"/>
          <w:szCs w:val="26"/>
          <w:lang w:val="en-GB" w:eastAsia="en-GB"/>
        </w:rPr>
      </w:pPr>
      <w:r w:rsidRPr="00D27995">
        <w:rPr>
          <w:rFonts w:ascii="Book Antiqua" w:eastAsia="Swift-Regular" w:hAnsi="Book Antiqua"/>
          <w:b/>
          <w:sz w:val="26"/>
          <w:szCs w:val="26"/>
          <w:lang w:val="en-GB" w:eastAsia="en-GB"/>
        </w:rPr>
        <w:t>Abstract</w:t>
      </w:r>
    </w:p>
    <w:p w14:paraId="0C0F9F8C" w14:textId="77777777" w:rsidR="00B16DEC" w:rsidRPr="00760287" w:rsidRDefault="00F5779C" w:rsidP="00760287">
      <w:pPr>
        <w:autoSpaceDE w:val="0"/>
        <w:autoSpaceDN w:val="0"/>
        <w:adjustRightInd w:val="0"/>
        <w:jc w:val="both"/>
        <w:rPr>
          <w:rFonts w:ascii="Book Antiqua" w:eastAsia="Swift-Regular" w:hAnsi="Book Antiqua"/>
          <w:lang w:val="en-GB" w:eastAsia="en-GB"/>
        </w:rPr>
      </w:pPr>
      <w:r w:rsidRPr="00E3232D">
        <w:rPr>
          <w:rFonts w:ascii="Book Antiqua" w:eastAsia="Swift-Regular" w:hAnsi="Book Antiqua"/>
          <w:lang w:val="en-GB" w:eastAsia="en-GB"/>
        </w:rPr>
        <w:t xml:space="preserve">This paper attempts to study Generalised </w:t>
      </w:r>
      <w:r w:rsidRPr="00E3232D">
        <w:rPr>
          <w:rFonts w:ascii="Book Antiqua" w:hAnsi="Book Antiqua"/>
          <w:lang w:val="en-GB" w:eastAsia="en-GB"/>
        </w:rPr>
        <w:t>Autoregressive Conditional Heteroskedasticity (</w:t>
      </w:r>
      <w:r w:rsidRPr="00E3232D">
        <w:rPr>
          <w:rFonts w:ascii="Book Antiqua" w:eastAsia="Swift-Regular" w:hAnsi="Book Antiqua"/>
          <w:lang w:val="en-GB" w:eastAsia="en-GB"/>
        </w:rPr>
        <w:t>GARCH) models with their modifications, in capturing the volatility of the exchange rates. S</w:t>
      </w:r>
      <w:r w:rsidRPr="00E3232D">
        <w:rPr>
          <w:rFonts w:ascii="Book Antiqua" w:hAnsi="Book Antiqua"/>
          <w:lang w:val="en-GB" w:eastAsia="en-GB"/>
        </w:rPr>
        <w:t xml:space="preserve">imple rate of returns is employed to model the currency exchange rate volatility of Ghana Cedi-United States Dollar. The daily closing exchange rates were used as the daily observations. The analysis is done using the econometric package EViews 5. </w:t>
      </w:r>
      <w:r w:rsidRPr="00E3232D">
        <w:rPr>
          <w:rFonts w:ascii="Book Antiqua" w:eastAsia="Swift-Regular" w:hAnsi="Book Antiqua"/>
          <w:lang w:val="en-GB" w:eastAsia="en-GB"/>
        </w:rPr>
        <w:t xml:space="preserve">The parameters of these models are estimated using the maximum likelihood method. The results indicate that the volatility of the GHC_USD exchange rate is persistent. The asymmetry terms </w:t>
      </w:r>
      <w:r w:rsidRPr="00E3232D">
        <w:rPr>
          <w:rFonts w:ascii="Book Antiqua" w:hAnsi="Book Antiqua"/>
          <w:color w:val="000000"/>
          <w:lang w:val="en-GB" w:eastAsia="en-GB"/>
        </w:rPr>
        <w:t>for TARCH are not statistically significant. Also in TARCH case, the coefficient estimate is negative, suggesting that positive shocks imply a higher next period conditional variance than negative shocks of the same sign. This is the opposite to what would have been expected in the case of the application of a GARCH model to a set of stock returns. But arguably, neither the leverage effect or volatility feedback explanations for asymmetries in the context of stocks apply here.</w:t>
      </w:r>
      <w:r w:rsidRPr="00E3232D">
        <w:rPr>
          <w:rFonts w:ascii="Book Antiqua" w:hAnsi="Book Antiqua"/>
          <w:lang w:val="en-GB" w:eastAsia="en-GB"/>
        </w:rPr>
        <w:t xml:space="preserve"> </w:t>
      </w:r>
    </w:p>
    <w:p w14:paraId="4E687DEC" w14:textId="77777777" w:rsidR="00F5779C" w:rsidRPr="00E3232D" w:rsidRDefault="00F5779C" w:rsidP="008275E1">
      <w:pPr>
        <w:autoSpaceDE w:val="0"/>
        <w:autoSpaceDN w:val="0"/>
        <w:adjustRightInd w:val="0"/>
        <w:rPr>
          <w:rFonts w:ascii="Book Antiqua" w:hAnsi="Book Antiqua"/>
          <w:lang w:val="en-GB" w:eastAsia="en-GB"/>
        </w:rPr>
      </w:pPr>
      <w:r w:rsidRPr="00760287">
        <w:rPr>
          <w:rFonts w:ascii="Book Antiqua" w:hAnsi="Book Antiqua"/>
          <w:b/>
          <w:lang w:val="en-GB" w:eastAsia="en-GB"/>
        </w:rPr>
        <w:t>Keywords</w:t>
      </w:r>
      <w:r w:rsidRPr="00E3232D">
        <w:rPr>
          <w:rFonts w:ascii="Book Antiqua" w:hAnsi="Book Antiqua"/>
          <w:lang w:val="en-GB" w:eastAsia="en-GB"/>
        </w:rPr>
        <w:t>: Exchange rate</w:t>
      </w:r>
      <w:r w:rsidR="00760287">
        <w:rPr>
          <w:rFonts w:ascii="Book Antiqua" w:hAnsi="Book Antiqua"/>
          <w:lang w:val="en-GB" w:eastAsia="en-GB"/>
        </w:rPr>
        <w:t>; volatility;</w:t>
      </w:r>
      <w:r w:rsidRPr="00E3232D">
        <w:rPr>
          <w:rFonts w:ascii="Book Antiqua" w:hAnsi="Book Antiqua"/>
          <w:lang w:val="en-GB" w:eastAsia="en-GB"/>
        </w:rPr>
        <w:t xml:space="preserve"> </w:t>
      </w:r>
      <w:r w:rsidRPr="00E3232D">
        <w:rPr>
          <w:rFonts w:ascii="Book Antiqua" w:hAnsi="Book Antiqua"/>
          <w:color w:val="000000"/>
          <w:lang w:val="en-GB" w:eastAsia="en-GB"/>
        </w:rPr>
        <w:t>GARCH model</w:t>
      </w:r>
    </w:p>
    <w:p w14:paraId="19B3AC31" w14:textId="77777777" w:rsidR="00FA2C43" w:rsidRDefault="00FA2C43" w:rsidP="008275E1">
      <w:pPr>
        <w:autoSpaceDE w:val="0"/>
        <w:autoSpaceDN w:val="0"/>
        <w:adjustRightInd w:val="0"/>
        <w:rPr>
          <w:rFonts w:ascii="Book Antiqua" w:hAnsi="Book Antiqua"/>
          <w:b/>
          <w:lang w:val="en-GB" w:eastAsia="en-GB"/>
        </w:rPr>
        <w:sectPr w:rsidR="00FA2C43" w:rsidSect="008F6BC9">
          <w:type w:val="continuous"/>
          <w:pgSz w:w="11907" w:h="16839" w:code="9"/>
          <w:pgMar w:top="1440" w:right="1440" w:bottom="1440" w:left="1440" w:header="720" w:footer="720" w:gutter="0"/>
          <w:cols w:space="720"/>
          <w:titlePg/>
          <w:docGrid w:linePitch="360"/>
        </w:sectPr>
      </w:pPr>
    </w:p>
    <w:p w14:paraId="1CE18508" w14:textId="77777777" w:rsidR="00F5779C" w:rsidRPr="00E3232D" w:rsidRDefault="00F5779C" w:rsidP="008275E1">
      <w:pPr>
        <w:autoSpaceDE w:val="0"/>
        <w:autoSpaceDN w:val="0"/>
        <w:adjustRightInd w:val="0"/>
        <w:rPr>
          <w:rFonts w:ascii="Book Antiqua" w:hAnsi="Book Antiqua"/>
          <w:b/>
          <w:lang w:val="en-GB" w:eastAsia="en-GB"/>
        </w:rPr>
      </w:pPr>
    </w:p>
    <w:p w14:paraId="12B94459" w14:textId="77777777" w:rsidR="00B16DEC" w:rsidRDefault="00B16DEC" w:rsidP="008275E1">
      <w:pPr>
        <w:autoSpaceDE w:val="0"/>
        <w:autoSpaceDN w:val="0"/>
        <w:adjustRightInd w:val="0"/>
        <w:rPr>
          <w:rFonts w:ascii="Book Antiqua" w:hAnsi="Book Antiqua"/>
          <w:b/>
          <w:lang w:val="en-GB" w:eastAsia="en-GB"/>
        </w:rPr>
        <w:sectPr w:rsidR="00B16DEC" w:rsidSect="008F6BC9">
          <w:type w:val="continuous"/>
          <w:pgSz w:w="11907" w:h="16839" w:code="9"/>
          <w:pgMar w:top="1440" w:right="1440" w:bottom="1440" w:left="1440" w:header="720" w:footer="720" w:gutter="0"/>
          <w:cols w:space="720"/>
          <w:titlePg/>
          <w:docGrid w:linePitch="360"/>
        </w:sectPr>
      </w:pPr>
    </w:p>
    <w:p w14:paraId="687FC5E6" w14:textId="77777777" w:rsidR="00F5779C" w:rsidRPr="00D27995" w:rsidRDefault="00F5779C" w:rsidP="008275E1">
      <w:pPr>
        <w:autoSpaceDE w:val="0"/>
        <w:autoSpaceDN w:val="0"/>
        <w:adjustRightInd w:val="0"/>
        <w:rPr>
          <w:rFonts w:ascii="Book Antiqua" w:hAnsi="Book Antiqua"/>
          <w:b/>
          <w:sz w:val="26"/>
          <w:szCs w:val="26"/>
          <w:lang w:val="en-GB" w:eastAsia="en-GB"/>
        </w:rPr>
      </w:pPr>
      <w:r w:rsidRPr="00D27995">
        <w:rPr>
          <w:rFonts w:ascii="Book Antiqua" w:hAnsi="Book Antiqua"/>
          <w:b/>
          <w:sz w:val="26"/>
          <w:szCs w:val="26"/>
          <w:lang w:val="en-GB" w:eastAsia="en-GB"/>
        </w:rPr>
        <w:t>1.0 Introduction</w:t>
      </w:r>
    </w:p>
    <w:p w14:paraId="08D7F1E8" w14:textId="77777777" w:rsidR="005C200E" w:rsidRDefault="00F5779C" w:rsidP="00580F4A">
      <w:pPr>
        <w:autoSpaceDE w:val="0"/>
        <w:autoSpaceDN w:val="0"/>
        <w:adjustRightInd w:val="0"/>
        <w:jc w:val="both"/>
        <w:rPr>
          <w:rFonts w:ascii="Book Antiqua" w:hAnsi="Book Antiqua"/>
          <w:lang w:val="en-GB" w:eastAsia="en-GB"/>
        </w:rPr>
      </w:pPr>
      <w:r w:rsidRPr="00E3232D">
        <w:rPr>
          <w:rFonts w:ascii="Book Antiqua" w:hAnsi="Book Antiqua"/>
          <w:lang w:val="en-GB" w:eastAsia="en-GB"/>
        </w:rPr>
        <w:t>Issues related to foreign exchange rate have always been the interest of researchers in modern financial theory. Exchange rate, which is the price of one currency in terms of another currency, has a great impact on the volume of foreign trade and investment. Its volatility has increased during the last decade and is harmful to economic welfare (Laopodis 1997). The exchange rate fluctuated according to demand and supply of currencies. The exchange rate volatility will reduce the volume of international trade and the foreign investment.</w:t>
      </w:r>
    </w:p>
    <w:p w14:paraId="5F681397" w14:textId="77777777" w:rsidR="005C200E" w:rsidRPr="00735F75"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Financial economists are concerned with modelling volatility in asset returns. This is important as volatility is considered a measure of risk, and investors want a premium for investing in risky assets. Banks and other financial institutions apply so-called value-at-risk models to assess their risks. Modelling and forecasting volatility or, in other words, the covariance structure of asset returns, is therefore important.</w:t>
      </w:r>
    </w:p>
    <w:p w14:paraId="36C47E8B" w14:textId="77777777" w:rsidR="00F5779C" w:rsidRPr="00E3232D" w:rsidRDefault="00F5779C" w:rsidP="00735F75">
      <w:pPr>
        <w:autoSpaceDE w:val="0"/>
        <w:autoSpaceDN w:val="0"/>
        <w:adjustRightInd w:val="0"/>
        <w:jc w:val="both"/>
        <w:rPr>
          <w:rFonts w:ascii="Book Antiqua" w:hAnsi="Book Antiqua"/>
          <w:b/>
          <w:lang w:val="en-GB" w:eastAsia="en-GB"/>
        </w:rPr>
      </w:pPr>
      <w:r w:rsidRPr="00E3232D">
        <w:rPr>
          <w:rFonts w:ascii="Book Antiqua" w:hAnsi="Book Antiqua"/>
          <w:b/>
          <w:lang w:val="en-GB" w:eastAsia="en-GB"/>
        </w:rPr>
        <w:t>1.1 Problem Statement</w:t>
      </w:r>
    </w:p>
    <w:p w14:paraId="2B37698C" w14:textId="77777777" w:rsidR="005C200E"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Modelling and forecasting the exchange rate volatility is a crucial area for research, as it has implications for many issues in the arena of finance and economics. In view of this, knowledge of currency volatility should assist one to formulate investment and hedging strategies.</w:t>
      </w:r>
    </w:p>
    <w:p w14:paraId="07D8EB8A" w14:textId="77777777" w:rsidR="00F5779C" w:rsidRPr="00E3232D" w:rsidRDefault="00F5779C" w:rsidP="00735F75">
      <w:pPr>
        <w:autoSpaceDE w:val="0"/>
        <w:autoSpaceDN w:val="0"/>
        <w:adjustRightInd w:val="0"/>
        <w:jc w:val="both"/>
        <w:rPr>
          <w:rFonts w:ascii="Book Antiqua" w:hAnsi="Book Antiqua"/>
          <w:iCs/>
          <w:lang w:val="en-GB" w:eastAsia="en-GB"/>
        </w:rPr>
      </w:pPr>
      <w:r w:rsidRPr="00E3232D">
        <w:rPr>
          <w:rFonts w:ascii="Book Antiqua" w:hAnsi="Book Antiqua"/>
          <w:lang w:val="en-GB" w:eastAsia="en-GB"/>
        </w:rPr>
        <w:t xml:space="preserve">The implication of foreign exchange rate volatility for hedging strategies is also a recent issue. These strategies are essential for any investment in a foreign asset, which is a combination of an investment in the performance of the foreign asset and an investment in the performance of the domestic currency relative to the foreign currency. Hence, investing in foreign markets that are exposed to this foreign currency exchange rate risk should hedge for any source of risk that is not compensated in terms of expected returns (Santis </w:t>
      </w:r>
      <w:r w:rsidRPr="00E3232D">
        <w:rPr>
          <w:rFonts w:ascii="Book Antiqua" w:hAnsi="Book Antiqua"/>
          <w:iCs/>
          <w:lang w:val="en-GB" w:eastAsia="en-GB"/>
        </w:rPr>
        <w:t>et al. 1998).</w:t>
      </w:r>
    </w:p>
    <w:p w14:paraId="27D0D225" w14:textId="77777777" w:rsidR="00F5779C" w:rsidRPr="00E3232D"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 xml:space="preserve">Foreign exchange rate volatility may also impact on global trade patterns that will affect a country's balance of payments position and thus influence the government's national policymaking decisions. </w:t>
      </w:r>
    </w:p>
    <w:p w14:paraId="111A9416" w14:textId="77777777" w:rsidR="005C200E" w:rsidRPr="00735F75" w:rsidRDefault="00F5779C" w:rsidP="00735F75">
      <w:pPr>
        <w:autoSpaceDE w:val="0"/>
        <w:autoSpaceDN w:val="0"/>
        <w:adjustRightInd w:val="0"/>
        <w:jc w:val="both"/>
        <w:rPr>
          <w:rFonts w:ascii="Book Antiqua" w:hAnsi="Book Antiqua"/>
        </w:rPr>
      </w:pPr>
      <w:r w:rsidRPr="00E3232D">
        <w:rPr>
          <w:rFonts w:ascii="Book Antiqua" w:hAnsi="Book Antiqua"/>
        </w:rPr>
        <w:t>Ghana public debt in American dollar represents 50 percent of the total debt portfolio, that in euro is about 20 percent and that expressed in Britain pound is around 20 percent. As a result of that, forecasting the future movement and volatility of the Ghana cedi to United States of America dollar exchange rate is crucially important and of interest to many diverse groups including market participants and Ghana government.</w:t>
      </w:r>
    </w:p>
    <w:p w14:paraId="43AFBDC6" w14:textId="77777777" w:rsidR="00F5779C" w:rsidRPr="00E3232D" w:rsidRDefault="00F5779C" w:rsidP="00735F75">
      <w:pPr>
        <w:autoSpaceDE w:val="0"/>
        <w:autoSpaceDN w:val="0"/>
        <w:adjustRightInd w:val="0"/>
        <w:jc w:val="both"/>
        <w:rPr>
          <w:rFonts w:ascii="Book Antiqua" w:hAnsi="Book Antiqua"/>
          <w:b/>
          <w:lang w:val="en-GB" w:eastAsia="en-GB"/>
        </w:rPr>
      </w:pPr>
      <w:r w:rsidRPr="00E3232D">
        <w:rPr>
          <w:rFonts w:ascii="Book Antiqua" w:hAnsi="Book Antiqua"/>
          <w:b/>
          <w:lang w:val="en-GB" w:eastAsia="en-GB"/>
        </w:rPr>
        <w:t>1.2 Objective</w:t>
      </w:r>
    </w:p>
    <w:p w14:paraId="48102E18" w14:textId="77777777" w:rsidR="00F5779C" w:rsidRPr="00735F75"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The main objective of the study was to model the currency exchange rate volatility of Ghana Cedi-United States Dollar using</w:t>
      </w:r>
      <w:r w:rsidRPr="00E3232D">
        <w:rPr>
          <w:rFonts w:ascii="Book Antiqua" w:eastAsia="Swift-Regular" w:hAnsi="Book Antiqua"/>
          <w:lang w:val="en-GB" w:eastAsia="en-GB"/>
        </w:rPr>
        <w:t xml:space="preserve"> Generalised </w:t>
      </w:r>
      <w:r w:rsidRPr="00E3232D">
        <w:rPr>
          <w:rFonts w:ascii="Book Antiqua" w:hAnsi="Book Antiqua"/>
          <w:lang w:val="en-GB" w:eastAsia="en-GB"/>
        </w:rPr>
        <w:t>Autoregressive Conditional Heteroskedasticity (</w:t>
      </w:r>
      <w:r w:rsidRPr="00E3232D">
        <w:rPr>
          <w:rFonts w:ascii="Book Antiqua" w:eastAsia="Swift-Regular" w:hAnsi="Book Antiqua"/>
          <w:lang w:val="en-GB" w:eastAsia="en-GB"/>
        </w:rPr>
        <w:t>GARCH) models.</w:t>
      </w:r>
      <w:r w:rsidRPr="00E3232D">
        <w:rPr>
          <w:rFonts w:ascii="Book Antiqua" w:hAnsi="Book Antiqua"/>
          <w:lang w:val="en-GB" w:eastAsia="en-GB"/>
        </w:rPr>
        <w:t xml:space="preserve">    </w:t>
      </w:r>
    </w:p>
    <w:p w14:paraId="2FC52E67" w14:textId="77777777" w:rsidR="00F5779C" w:rsidRPr="00D27995" w:rsidRDefault="00F5779C" w:rsidP="00735F75">
      <w:pPr>
        <w:autoSpaceDE w:val="0"/>
        <w:autoSpaceDN w:val="0"/>
        <w:adjustRightInd w:val="0"/>
        <w:jc w:val="both"/>
        <w:rPr>
          <w:rFonts w:ascii="Book Antiqua" w:hAnsi="Book Antiqua"/>
          <w:b/>
          <w:sz w:val="26"/>
          <w:szCs w:val="26"/>
          <w:lang w:val="en-GB" w:eastAsia="en-GB"/>
        </w:rPr>
      </w:pPr>
      <w:r w:rsidRPr="00D27995">
        <w:rPr>
          <w:rFonts w:ascii="Book Antiqua" w:hAnsi="Book Antiqua"/>
          <w:b/>
          <w:sz w:val="26"/>
          <w:szCs w:val="26"/>
        </w:rPr>
        <w:t>1.3 Significance of the Study</w:t>
      </w:r>
    </w:p>
    <w:p w14:paraId="3A91FD89" w14:textId="77777777" w:rsidR="00F5779C" w:rsidRPr="00E3232D"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In international capital budgeting of multinational companies, the knowledge of foreign exchange volatility will help them in estimating the future cash flows of projects and thus the viability of the projects. Consequently, forecasting the future movement and volatility of the foreign exchange rate is crucially important and of interest to many diverse groups including market participants and decision makers.</w:t>
      </w:r>
    </w:p>
    <w:p w14:paraId="0DB83BA0" w14:textId="77777777" w:rsidR="00F5779C" w:rsidRPr="00D27995" w:rsidRDefault="002D5D59" w:rsidP="00735F75">
      <w:pPr>
        <w:autoSpaceDE w:val="0"/>
        <w:autoSpaceDN w:val="0"/>
        <w:adjustRightInd w:val="0"/>
        <w:jc w:val="both"/>
        <w:rPr>
          <w:rFonts w:ascii="Book Antiqua" w:hAnsi="Book Antiqua"/>
          <w:b/>
          <w:sz w:val="26"/>
          <w:szCs w:val="26"/>
          <w:lang w:val="en-GB" w:eastAsia="en-GB"/>
        </w:rPr>
      </w:pPr>
      <w:r>
        <w:rPr>
          <w:rFonts w:ascii="Book Antiqua" w:hAnsi="Book Antiqua"/>
          <w:b/>
          <w:sz w:val="26"/>
          <w:szCs w:val="26"/>
          <w:lang w:val="en-GB" w:eastAsia="en-GB"/>
        </w:rPr>
        <w:t>1</w:t>
      </w:r>
      <w:r w:rsidR="00F5779C" w:rsidRPr="00D27995">
        <w:rPr>
          <w:rFonts w:ascii="Book Antiqua" w:hAnsi="Book Antiqua"/>
          <w:b/>
          <w:sz w:val="26"/>
          <w:szCs w:val="26"/>
          <w:lang w:val="en-GB" w:eastAsia="en-GB"/>
        </w:rPr>
        <w:t>.</w:t>
      </w:r>
      <w:r>
        <w:rPr>
          <w:rFonts w:ascii="Book Antiqua" w:hAnsi="Book Antiqua"/>
          <w:b/>
          <w:sz w:val="26"/>
          <w:szCs w:val="26"/>
          <w:lang w:val="en-GB" w:eastAsia="en-GB"/>
        </w:rPr>
        <w:t>4</w:t>
      </w:r>
      <w:r w:rsidR="00F5779C" w:rsidRPr="00D27995">
        <w:rPr>
          <w:rFonts w:ascii="Book Antiqua" w:hAnsi="Book Antiqua"/>
          <w:b/>
          <w:sz w:val="26"/>
          <w:szCs w:val="26"/>
          <w:lang w:val="en-GB" w:eastAsia="en-GB"/>
        </w:rPr>
        <w:t xml:space="preserve"> Literature Review</w:t>
      </w:r>
    </w:p>
    <w:p w14:paraId="6FD42E35" w14:textId="77777777" w:rsidR="005C200E"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Beginning with the seminal works of Mandelbrot (1963) and Fama (1965), many researchers have found that the stylized characteristics of the foreign currency exchange returns are non-linear temporal dependence and the distribution of exchange rate returns are leptokurtic, such as Friedman and Vandersteel (1982), Bollerslev (1987), Diebold (1988), Hsieh (1988, 1989a, 1989b), Diebold and erlove (1989), Baillie and Bollerslev (1989). Their studies have found that large and small changes in returns are ' clustered' together over time, and that their distribution is bell-shaped, symmetric and fat-tailed.</w:t>
      </w:r>
    </w:p>
    <w:p w14:paraId="39FD933A" w14:textId="77777777" w:rsidR="005C200E" w:rsidRPr="00735F75" w:rsidRDefault="00F5779C" w:rsidP="00735F75">
      <w:pPr>
        <w:autoSpaceDE w:val="0"/>
        <w:autoSpaceDN w:val="0"/>
        <w:adjustRightInd w:val="0"/>
        <w:jc w:val="both"/>
        <w:rPr>
          <w:rFonts w:ascii="Book Antiqua" w:hAnsi="Book Antiqua"/>
          <w:iCs/>
          <w:lang w:val="en-GB" w:eastAsia="en-GB"/>
        </w:rPr>
      </w:pPr>
      <w:r w:rsidRPr="00E3232D">
        <w:rPr>
          <w:rFonts w:ascii="Book Antiqua" w:hAnsi="Book Antiqua"/>
          <w:lang w:val="en-GB" w:eastAsia="en-GB"/>
        </w:rPr>
        <w:t xml:space="preserve">These features of data are normally thought to be captured by using the Autoregressive Conditional Heteroskedasticity (ARCH) model introduced by Engle (1982) and the Generalised ARCH (GARCH) model developed by Bollerslev (1986), which is an extension of the ARCH model to allow for a more flexible lag structure. The use of ARCH/GARCH models and its extensions and modifications in modeling and forecasting stock market volatility is now very common in finance and economics, such as French </w:t>
      </w:r>
      <w:r w:rsidRPr="00E3232D">
        <w:rPr>
          <w:rFonts w:ascii="Book Antiqua" w:hAnsi="Book Antiqua"/>
          <w:iCs/>
          <w:lang w:val="en-GB" w:eastAsia="en-GB"/>
        </w:rPr>
        <w:t xml:space="preserve">et al. </w:t>
      </w:r>
      <w:r w:rsidRPr="00E3232D">
        <w:rPr>
          <w:rFonts w:ascii="Book Antiqua" w:hAnsi="Book Antiqua"/>
          <w:lang w:val="en-GB" w:eastAsia="en-GB"/>
        </w:rPr>
        <w:t xml:space="preserve">(1987), Akgiray (1989), Lau </w:t>
      </w:r>
      <w:r w:rsidRPr="00E3232D">
        <w:rPr>
          <w:rFonts w:ascii="Book Antiqua" w:hAnsi="Book Antiqua"/>
          <w:iCs/>
          <w:lang w:val="en-GB" w:eastAsia="en-GB"/>
        </w:rPr>
        <w:t xml:space="preserve">et al. </w:t>
      </w:r>
      <w:r w:rsidRPr="00E3232D">
        <w:rPr>
          <w:rFonts w:ascii="Book Antiqua" w:hAnsi="Book Antiqua"/>
          <w:lang w:val="en-GB" w:eastAsia="en-GB"/>
        </w:rPr>
        <w:t xml:space="preserve">(1990), Pagan and Schwert (1990), Day and Lewis (1992), Kim and Kon (1994), Franses and Van Dijk (1996) and Choo </w:t>
      </w:r>
      <w:r w:rsidRPr="00E3232D">
        <w:rPr>
          <w:rFonts w:ascii="Book Antiqua" w:hAnsi="Book Antiqua"/>
          <w:iCs/>
          <w:lang w:val="en-GB" w:eastAsia="en-GB"/>
        </w:rPr>
        <w:t>et al. (1999).</w:t>
      </w:r>
    </w:p>
    <w:p w14:paraId="5005E82B" w14:textId="77777777" w:rsidR="00F5779C" w:rsidRPr="00E3232D"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On the other hand, the ARCH model was first applied in modeling the currency exchange rate by Hsieh only in 1988. In a study done by Hsieh (1989a) to investigate whether daily changes in five major foreign exchange rates contain any nonlinearities, he found that although the data contain no linear correlation, evidence indicates the presence of substantial nonlinearity in a multiplicative rather than additive form. He further concludes that a generalized ARCH (GARCH) model can explain a large part of the nonlinearities for all five exchange rates.</w:t>
      </w:r>
    </w:p>
    <w:p w14:paraId="0DA89A22" w14:textId="77777777" w:rsidR="005C200E" w:rsidRPr="00735F75" w:rsidRDefault="00F5779C" w:rsidP="00735F75">
      <w:pPr>
        <w:autoSpaceDE w:val="0"/>
        <w:autoSpaceDN w:val="0"/>
        <w:adjustRightInd w:val="0"/>
        <w:jc w:val="both"/>
        <w:rPr>
          <w:rFonts w:ascii="Book Antiqua" w:hAnsi="Book Antiqua"/>
          <w:iCs/>
          <w:lang w:val="en-GB" w:eastAsia="en-GB"/>
        </w:rPr>
      </w:pPr>
      <w:r w:rsidRPr="00E3232D">
        <w:rPr>
          <w:rFonts w:ascii="Book Antiqua" w:hAnsi="Book Antiqua"/>
          <w:lang w:val="en-GB" w:eastAsia="en-GB"/>
        </w:rPr>
        <w:t xml:space="preserve">Since then, applications of these models to currency exchange rates have increased tremendously, such as by Hsieh (1989b), Bollerslev, (1990), Pesaran and Robinson (1993), Copeland </w:t>
      </w:r>
      <w:r w:rsidRPr="00E3232D">
        <w:rPr>
          <w:rFonts w:ascii="Book Antiqua" w:hAnsi="Book Antiqua"/>
          <w:iCs/>
          <w:lang w:val="en-GB" w:eastAsia="en-GB"/>
        </w:rPr>
        <w:t xml:space="preserve">et al. </w:t>
      </w:r>
      <w:r w:rsidRPr="00E3232D">
        <w:rPr>
          <w:rFonts w:ascii="Book Antiqua" w:hAnsi="Book Antiqua"/>
          <w:lang w:val="en-GB" w:eastAsia="en-GB"/>
        </w:rPr>
        <w:t xml:space="preserve">(1994), Takezawa (1995), Episcopos and Davies (1995), Brooks (1997), Hopper (1997), Cheung </w:t>
      </w:r>
      <w:r w:rsidRPr="00E3232D">
        <w:rPr>
          <w:rFonts w:ascii="Book Antiqua" w:hAnsi="Book Antiqua"/>
          <w:iCs/>
          <w:lang w:val="en-GB" w:eastAsia="en-GB"/>
        </w:rPr>
        <w:t xml:space="preserve">et al. </w:t>
      </w:r>
      <w:r w:rsidRPr="00E3232D">
        <w:rPr>
          <w:rFonts w:ascii="Book Antiqua" w:hAnsi="Book Antiqua"/>
          <w:lang w:val="en-GB" w:eastAsia="en-GB"/>
        </w:rPr>
        <w:t xml:space="preserve">(1997), Laopodis (1997), Lobo </w:t>
      </w:r>
      <w:r w:rsidRPr="00E3232D">
        <w:rPr>
          <w:rFonts w:ascii="Book Antiqua" w:hAnsi="Book Antiqua"/>
          <w:iCs/>
          <w:lang w:val="en-GB" w:eastAsia="en-GB"/>
        </w:rPr>
        <w:t xml:space="preserve">et al. </w:t>
      </w:r>
      <w:r w:rsidRPr="00E3232D">
        <w:rPr>
          <w:rFonts w:ascii="Book Antiqua" w:hAnsi="Book Antiqua"/>
          <w:lang w:val="en-GB" w:eastAsia="en-GB"/>
        </w:rPr>
        <w:t xml:space="preserve">(1998) and Duan </w:t>
      </w:r>
      <w:r w:rsidRPr="00E3232D">
        <w:rPr>
          <w:rFonts w:ascii="Book Antiqua" w:hAnsi="Book Antiqua"/>
          <w:iCs/>
          <w:lang w:val="en-GB" w:eastAsia="en-GB"/>
        </w:rPr>
        <w:t>et al. (1999).</w:t>
      </w:r>
    </w:p>
    <w:p w14:paraId="182DBC08" w14:textId="77777777" w:rsidR="005C200E"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 xml:space="preserve">In many of the applications, it was found that a very high-order ARCH model is required to model the changing variance. The alternative and more flexible lag structure is the Generalised ARCH (GARCH) introduced by </w:t>
      </w:r>
      <w:r w:rsidR="005C200E" w:rsidRPr="00E3232D">
        <w:rPr>
          <w:rFonts w:ascii="Book Antiqua" w:hAnsi="Book Antiqua"/>
          <w:lang w:val="en-GB" w:eastAsia="en-GB"/>
        </w:rPr>
        <w:t>Bollerslev (</w:t>
      </w:r>
      <w:r w:rsidRPr="00E3232D">
        <w:rPr>
          <w:rFonts w:ascii="Book Antiqua" w:hAnsi="Book Antiqua"/>
          <w:lang w:val="en-GB" w:eastAsia="en-GB"/>
        </w:rPr>
        <w:t xml:space="preserve">1986). Bollerslev </w:t>
      </w:r>
      <w:r w:rsidRPr="00E3232D">
        <w:rPr>
          <w:rFonts w:ascii="Book Antiqua" w:hAnsi="Book Antiqua"/>
          <w:iCs/>
          <w:lang w:val="en-GB" w:eastAsia="en-GB"/>
        </w:rPr>
        <w:t xml:space="preserve">et at. </w:t>
      </w:r>
      <w:r w:rsidRPr="00E3232D">
        <w:rPr>
          <w:rFonts w:ascii="Book Antiqua" w:hAnsi="Book Antiqua"/>
          <w:lang w:val="en-GB" w:eastAsia="en-GB"/>
        </w:rPr>
        <w:t xml:space="preserve">(1992) indicated that the squared returns of not only exchange rate data, but all speculative price series, typically exhibit autocorrelation in that large and small errors tend to cluster together in contiguous time periods in what has come to be known as volatility clustering. It is also proven that small lag such as </w:t>
      </w:r>
      <w:r w:rsidR="005C200E" w:rsidRPr="00E3232D">
        <w:rPr>
          <w:rFonts w:ascii="Book Antiqua" w:hAnsi="Book Antiqua"/>
          <w:lang w:val="en-GB" w:eastAsia="en-GB"/>
        </w:rPr>
        <w:t>GARCH (</w:t>
      </w:r>
      <w:r w:rsidRPr="00E3232D">
        <w:rPr>
          <w:rFonts w:ascii="Book Antiqua" w:hAnsi="Book Antiqua"/>
          <w:lang w:val="en-GB" w:eastAsia="en-GB"/>
        </w:rPr>
        <w:t>1</w:t>
      </w:r>
      <w:r w:rsidR="005C200E" w:rsidRPr="00E3232D">
        <w:rPr>
          <w:rFonts w:ascii="Book Antiqua" w:hAnsi="Book Antiqua"/>
          <w:lang w:val="en-GB" w:eastAsia="en-GB"/>
        </w:rPr>
        <w:t>, l</w:t>
      </w:r>
      <w:r w:rsidRPr="00E3232D">
        <w:rPr>
          <w:rFonts w:ascii="Book Antiqua" w:hAnsi="Book Antiqua"/>
          <w:lang w:val="en-GB" w:eastAsia="en-GB"/>
        </w:rPr>
        <w:t xml:space="preserve">) is sufficient to model the variance changing over long sample periods (French </w:t>
      </w:r>
      <w:r w:rsidRPr="00E3232D">
        <w:rPr>
          <w:rFonts w:ascii="Book Antiqua" w:hAnsi="Book Antiqua"/>
          <w:iCs/>
          <w:lang w:val="en-GB" w:eastAsia="en-GB"/>
        </w:rPr>
        <w:t xml:space="preserve">et at. </w:t>
      </w:r>
      <w:r w:rsidRPr="00E3232D">
        <w:rPr>
          <w:rFonts w:ascii="Book Antiqua" w:hAnsi="Book Antiqua"/>
          <w:lang w:val="en-GB" w:eastAsia="en-GB"/>
        </w:rPr>
        <w:t xml:space="preserve">1987; Franses and Van Dijk 1996; Choo </w:t>
      </w:r>
      <w:r w:rsidRPr="00E3232D">
        <w:rPr>
          <w:rFonts w:ascii="Book Antiqua" w:hAnsi="Book Antiqua"/>
          <w:iCs/>
          <w:lang w:val="en-GB" w:eastAsia="en-GB"/>
        </w:rPr>
        <w:t>et al. 1999).</w:t>
      </w:r>
    </w:p>
    <w:p w14:paraId="2D9342CB" w14:textId="77777777" w:rsidR="005C200E"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Even though the GARCH model can effectively remove the excess kurtosis in returns, it cannot cope with the skewness of the distribution of returns, especially the financial time series which are commonly skewed. Hence, the forecasts and forecast error variances from a GARCH model can be expected to be biased for skewed time series. Recently, a few modifications to the GARCH model have been proposed, which explicitly take into account skewed distributions. One of the alternatives of non-linear models that can cope with skewness is the Exponential GARCH or EGARCH model introduced by Nelson (1991). For stock indices, Nelson's exponential GARCH is proven to be the best model of the conditional heteroskedasticity.</w:t>
      </w:r>
    </w:p>
    <w:p w14:paraId="05762EF4" w14:textId="77777777" w:rsidR="005C200E"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 xml:space="preserve">In 1987, Engle </w:t>
      </w:r>
      <w:r w:rsidRPr="00E3232D">
        <w:rPr>
          <w:rFonts w:ascii="Book Antiqua" w:hAnsi="Book Antiqua"/>
          <w:iCs/>
          <w:lang w:val="en-GB" w:eastAsia="en-GB"/>
        </w:rPr>
        <w:t xml:space="preserve">et al </w:t>
      </w:r>
      <w:r w:rsidRPr="00E3232D">
        <w:rPr>
          <w:rFonts w:ascii="Book Antiqua" w:hAnsi="Book Antiqua"/>
          <w:lang w:val="en-GB" w:eastAsia="en-GB"/>
        </w:rPr>
        <w:t>developed the GARCH-M to formulate the conditional mean as function of the conditional variance as well as an autoregressive function of the past values of the underlying variable. This GARCH in the mean (GARCH-M) model is the natural extension due to the suggestion of the financial theory that an increase in variance (risk proxy) will result in a higher expected return.</w:t>
      </w:r>
    </w:p>
    <w:p w14:paraId="21F40BE0" w14:textId="77777777" w:rsidR="00F5779C" w:rsidRPr="00E3232D"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 xml:space="preserve">Choo </w:t>
      </w:r>
      <w:r w:rsidRPr="00E3232D">
        <w:rPr>
          <w:rFonts w:ascii="Book Antiqua" w:hAnsi="Book Antiqua"/>
          <w:iCs/>
          <w:lang w:val="en-GB" w:eastAsia="en-GB"/>
        </w:rPr>
        <w:t xml:space="preserve">et al. </w:t>
      </w:r>
      <w:r w:rsidRPr="00E3232D">
        <w:rPr>
          <w:rFonts w:ascii="Book Antiqua" w:hAnsi="Book Antiqua"/>
          <w:lang w:val="en-GB" w:eastAsia="en-GB"/>
        </w:rPr>
        <w:t xml:space="preserve">(1999) studies the performance of GARCH models in forecasting the stock market volatility and they found that the hypotheses of constant variance models could be rejected since almost all the parameter estimates of the non-constant variance (GARCH) models are significant at the 5% level; </w:t>
      </w:r>
    </w:p>
    <w:p w14:paraId="2A7863EC" w14:textId="77777777" w:rsidR="00F5779C" w:rsidRPr="00E3232D" w:rsidRDefault="00F5779C" w:rsidP="00196385">
      <w:pPr>
        <w:pStyle w:val="ListParagraph"/>
        <w:numPr>
          <w:ilvl w:val="0"/>
          <w:numId w:val="99"/>
        </w:numPr>
        <w:autoSpaceDE w:val="0"/>
        <w:autoSpaceDN w:val="0"/>
        <w:adjustRightInd w:val="0"/>
        <w:jc w:val="both"/>
        <w:rPr>
          <w:rFonts w:ascii="Book Antiqua" w:hAnsi="Book Antiqua"/>
          <w:lang w:val="en-GB" w:eastAsia="en-GB"/>
        </w:rPr>
      </w:pPr>
      <w:r w:rsidRPr="00E3232D">
        <w:rPr>
          <w:rFonts w:ascii="Book Antiqua" w:hAnsi="Book Antiqua"/>
          <w:lang w:val="en-GB" w:eastAsia="en-GB"/>
        </w:rPr>
        <w:t xml:space="preserve"> the EGARCH model has no restrictions and constraints on the parameters;</w:t>
      </w:r>
    </w:p>
    <w:p w14:paraId="679E1C83" w14:textId="77777777" w:rsidR="00F5779C" w:rsidRPr="00E3232D" w:rsidRDefault="00F5779C" w:rsidP="00196385">
      <w:pPr>
        <w:pStyle w:val="ListParagraph"/>
        <w:numPr>
          <w:ilvl w:val="0"/>
          <w:numId w:val="99"/>
        </w:numPr>
        <w:autoSpaceDE w:val="0"/>
        <w:autoSpaceDN w:val="0"/>
        <w:adjustRightInd w:val="0"/>
        <w:jc w:val="both"/>
        <w:rPr>
          <w:rFonts w:ascii="Book Antiqua" w:hAnsi="Book Antiqua"/>
          <w:lang w:val="en-GB" w:eastAsia="en-GB"/>
        </w:rPr>
      </w:pPr>
      <w:r w:rsidRPr="00E3232D">
        <w:rPr>
          <w:rFonts w:ascii="Book Antiqua" w:hAnsi="Book Antiqua"/>
          <w:lang w:val="en-GB" w:eastAsia="en-GB"/>
        </w:rPr>
        <w:t xml:space="preserve"> the long-memory GARCH model is more suitable than the short-memory and high-order ARCH model in modelling the heteroscedasticity of the financial time series;</w:t>
      </w:r>
    </w:p>
    <w:p w14:paraId="37B8CE3E" w14:textId="77777777" w:rsidR="00F5779C" w:rsidRPr="00E3232D" w:rsidRDefault="00F5779C" w:rsidP="00196385">
      <w:pPr>
        <w:pStyle w:val="ListParagraph"/>
        <w:numPr>
          <w:ilvl w:val="0"/>
          <w:numId w:val="99"/>
        </w:numPr>
        <w:autoSpaceDE w:val="0"/>
        <w:autoSpaceDN w:val="0"/>
        <w:adjustRightInd w:val="0"/>
        <w:jc w:val="both"/>
        <w:rPr>
          <w:rFonts w:ascii="Book Antiqua" w:hAnsi="Book Antiqua"/>
          <w:lang w:val="en-GB" w:eastAsia="en-GB"/>
        </w:rPr>
      </w:pPr>
      <w:r w:rsidRPr="00E3232D">
        <w:rPr>
          <w:rFonts w:ascii="Book Antiqua" w:hAnsi="Book Antiqua"/>
          <w:lang w:val="en-GB" w:eastAsia="en-GB"/>
        </w:rPr>
        <w:t xml:space="preserve">the GARCH-M is best in fitting the historical data whereas the EGARCH model is best in out-of-sample (one-step-ahead) forecasting; </w:t>
      </w:r>
    </w:p>
    <w:p w14:paraId="47CCF5A4" w14:textId="77777777" w:rsidR="003672A3" w:rsidRPr="00735F75" w:rsidRDefault="00F5779C" w:rsidP="00196385">
      <w:pPr>
        <w:pStyle w:val="ListParagraph"/>
        <w:numPr>
          <w:ilvl w:val="0"/>
          <w:numId w:val="99"/>
        </w:numPr>
        <w:autoSpaceDE w:val="0"/>
        <w:autoSpaceDN w:val="0"/>
        <w:adjustRightInd w:val="0"/>
        <w:jc w:val="both"/>
        <w:rPr>
          <w:rFonts w:ascii="Book Antiqua" w:hAnsi="Book Antiqua"/>
          <w:b/>
          <w:lang w:val="en-GB" w:eastAsia="en-GB"/>
        </w:rPr>
      </w:pPr>
      <w:r w:rsidRPr="00E3232D">
        <w:rPr>
          <w:rFonts w:ascii="Book Antiqua" w:hAnsi="Book Antiqua"/>
          <w:lang w:val="en-GB" w:eastAsia="en-GB"/>
        </w:rPr>
        <w:t>the IGARCH is the poorest model in both aspects.</w:t>
      </w:r>
    </w:p>
    <w:p w14:paraId="1CF87B9B" w14:textId="77777777" w:rsidR="002D5D59" w:rsidRDefault="002D5D59" w:rsidP="00735F75">
      <w:pPr>
        <w:autoSpaceDE w:val="0"/>
        <w:autoSpaceDN w:val="0"/>
        <w:adjustRightInd w:val="0"/>
        <w:jc w:val="both"/>
        <w:rPr>
          <w:rFonts w:ascii="Book Antiqua" w:hAnsi="Book Antiqua"/>
          <w:b/>
          <w:lang w:val="en-GB" w:eastAsia="en-GB"/>
        </w:rPr>
      </w:pPr>
      <w:r>
        <w:rPr>
          <w:rFonts w:ascii="Book Antiqua" w:hAnsi="Book Antiqua"/>
          <w:b/>
          <w:lang w:val="en-GB" w:eastAsia="en-GB"/>
        </w:rPr>
        <w:t xml:space="preserve">1.5  </w:t>
      </w:r>
      <w:r w:rsidRPr="002D5D59">
        <w:rPr>
          <w:rFonts w:ascii="Book Antiqua" w:hAnsi="Book Antiqua"/>
          <w:b/>
          <w:sz w:val="24"/>
          <w:lang w:val="en-GB" w:eastAsia="en-GB"/>
        </w:rPr>
        <w:t>Methodolgy</w:t>
      </w:r>
      <w:r>
        <w:rPr>
          <w:rFonts w:ascii="Book Antiqua" w:hAnsi="Book Antiqua"/>
          <w:b/>
          <w:lang w:val="en-GB" w:eastAsia="en-GB"/>
        </w:rPr>
        <w:t xml:space="preserve"> </w:t>
      </w:r>
    </w:p>
    <w:p w14:paraId="03AAB9C9" w14:textId="77777777" w:rsidR="00F5779C" w:rsidRPr="00E3232D" w:rsidRDefault="002D5D59" w:rsidP="00735F75">
      <w:pPr>
        <w:autoSpaceDE w:val="0"/>
        <w:autoSpaceDN w:val="0"/>
        <w:adjustRightInd w:val="0"/>
        <w:jc w:val="both"/>
        <w:rPr>
          <w:rFonts w:ascii="Book Antiqua" w:hAnsi="Book Antiqua"/>
          <w:b/>
          <w:lang w:val="en-GB" w:eastAsia="en-GB"/>
        </w:rPr>
      </w:pPr>
      <w:r>
        <w:rPr>
          <w:rFonts w:ascii="Book Antiqua" w:hAnsi="Book Antiqua"/>
          <w:b/>
          <w:lang w:val="en-GB" w:eastAsia="en-GB"/>
        </w:rPr>
        <w:t>1.5</w:t>
      </w:r>
      <w:r w:rsidR="00F5779C" w:rsidRPr="00E3232D">
        <w:rPr>
          <w:rFonts w:ascii="Book Antiqua" w:hAnsi="Book Antiqua"/>
          <w:b/>
          <w:lang w:val="en-GB" w:eastAsia="en-GB"/>
        </w:rPr>
        <w:t>.1 Review of Methods</w:t>
      </w:r>
    </w:p>
    <w:p w14:paraId="47A60AA4" w14:textId="77777777" w:rsidR="00F5779C" w:rsidRPr="00E3232D" w:rsidRDefault="00F5779C" w:rsidP="00735F75">
      <w:pPr>
        <w:jc w:val="both"/>
        <w:rPr>
          <w:rFonts w:ascii="Book Antiqua" w:hAnsi="Book Antiqua"/>
          <w:b/>
        </w:rPr>
      </w:pPr>
      <w:r w:rsidRPr="00E3232D">
        <w:rPr>
          <w:rFonts w:ascii="Book Antiqua" w:hAnsi="Book Antiqua"/>
          <w:b/>
        </w:rPr>
        <w:t>The GARCH (p,q) model:</w:t>
      </w:r>
    </w:p>
    <w:p w14:paraId="47F31F60" w14:textId="77777777" w:rsidR="00F5779C" w:rsidRPr="00E3232D"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The GARCH models, which are generalized ARCH models, allow for both autoregressive and moving average components in the heteroscedastic variance developed by Bollerslev (1986). The general GARCH (p,q) model has the following form:</w:t>
      </w:r>
    </w:p>
    <w:p w14:paraId="550791FF" w14:textId="77777777" w:rsidR="00F5779C" w:rsidRPr="00E3232D" w:rsidRDefault="00F5779C" w:rsidP="00735F75">
      <w:pPr>
        <w:autoSpaceDE w:val="0"/>
        <w:autoSpaceDN w:val="0"/>
        <w:adjustRightInd w:val="0"/>
        <w:jc w:val="both"/>
        <w:rPr>
          <w:rFonts w:ascii="Book Antiqua" w:hAnsi="Book Antiqua"/>
        </w:rPr>
      </w:pPr>
      <w:r w:rsidRPr="00E3232D">
        <w:rPr>
          <w:rFonts w:ascii="Book Antiqua" w:hAnsi="Book Antiqua"/>
        </w:rPr>
        <w:tab/>
      </w:r>
      <m:oMath>
        <m:sSub>
          <m:sSubPr>
            <m:ctrlPr>
              <w:rPr>
                <w:rFonts w:ascii="Cambria Math" w:hAnsi="Cambria Math"/>
              </w:rPr>
            </m:ctrlPr>
          </m:sSubPr>
          <m:e>
            <m:r>
              <m:rPr>
                <m:sty m:val="p"/>
              </m:rPr>
              <w:rPr>
                <w:rFonts w:ascii="Cambria Math" w:hAnsi="Cambria Math"/>
              </w:rPr>
              <m:t>Y</m:t>
            </m:r>
          </m:e>
          <m:sub>
            <m:r>
              <m:rPr>
                <m:sty m:val="p"/>
              </m:rPr>
              <w:rPr>
                <w:rFonts w:ascii="Cambria Math" w:hAnsi="Cambria Math"/>
              </w:rPr>
              <m:t>t</m:t>
            </m:r>
          </m:sub>
        </m:sSub>
        <m:r>
          <m:rPr>
            <m:sty m:val="p"/>
          </m:rPr>
          <w:rPr>
            <w:rFonts w:ascii="Cambria Math" w:hAnsi="Cambria Math"/>
          </w:rPr>
          <m:t>=a+</m:t>
        </m:r>
        <m:sSup>
          <m:sSupPr>
            <m:ctrlPr>
              <w:rPr>
                <w:rFonts w:ascii="Cambria Math" w:hAnsi="Cambria Math"/>
              </w:rPr>
            </m:ctrlPr>
          </m:sSupPr>
          <m:e>
            <m:r>
              <m:rPr>
                <m:sty m:val="p"/>
              </m:rPr>
              <w:rPr>
                <w:rFonts w:ascii="Cambria Math" w:hAnsi="Cambria Math"/>
              </w:rPr>
              <m:t>β</m:t>
            </m:r>
          </m:e>
          <m:sup>
            <m:r>
              <m:rPr>
                <m:sty m:val="p"/>
              </m:rPr>
              <w:rPr>
                <w:rFonts w:ascii="Cambria Math" w:hAnsi="Cambria Math"/>
              </w:rPr>
              <m:t>'</m:t>
            </m:r>
          </m:sup>
        </m:sSup>
        <m:sSub>
          <m:sSubPr>
            <m:ctrlPr>
              <w:rPr>
                <w:rFonts w:ascii="Cambria Math" w:hAnsi="Cambria Math"/>
              </w:rPr>
            </m:ctrlPr>
          </m:sSubPr>
          <m:e>
            <m:r>
              <m:rPr>
                <m:sty m:val="p"/>
              </m:rPr>
              <w:rPr>
                <w:rFonts w:ascii="Cambria Math" w:hAnsi="Cambria Math"/>
              </w:rPr>
              <m:t>X</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t</m:t>
            </m:r>
          </m:sub>
        </m:sSub>
      </m:oMath>
      <w:r w:rsidRPr="00E3232D">
        <w:rPr>
          <w:rFonts w:ascii="Book Antiqua" w:hAnsi="Book Antiqua"/>
        </w:rPr>
        <w:tab/>
      </w:r>
      <w:r w:rsidRPr="00E3232D">
        <w:rPr>
          <w:rFonts w:ascii="Book Antiqua" w:hAnsi="Book Antiqua"/>
        </w:rPr>
        <w:tab/>
      </w:r>
      <w:r w:rsidR="00735F75" w:rsidRPr="00E3232D">
        <w:rPr>
          <w:rFonts w:ascii="Book Antiqua" w:hAnsi="Book Antiqua"/>
        </w:rPr>
        <w:t xml:space="preserve"> </w:t>
      </w:r>
      <w:r w:rsidRPr="00E3232D">
        <w:rPr>
          <w:rFonts w:ascii="Book Antiqua" w:hAnsi="Book Antiqua"/>
        </w:rPr>
        <w:t>(1)</w:t>
      </w:r>
    </w:p>
    <w:p w14:paraId="1E78C199" w14:textId="77777777" w:rsidR="00F5779C" w:rsidRPr="00E3232D" w:rsidRDefault="00850DC5" w:rsidP="00735F75">
      <w:pPr>
        <w:autoSpaceDE w:val="0"/>
        <w:autoSpaceDN w:val="0"/>
        <w:adjustRightInd w:val="0"/>
        <w:jc w:val="both"/>
        <w:rPr>
          <w:rFonts w:ascii="Book Antiqua" w:hAnsi="Book Antiqua"/>
        </w:rPr>
      </w:pPr>
      <m:oMathPara>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Ω</m:t>
              </m:r>
            </m:e>
            <m:sub>
              <m:r>
                <m:rPr>
                  <m:sty m:val="p"/>
                </m:rPr>
                <w:rPr>
                  <w:rFonts w:ascii="Cambria Math" w:hAnsi="Cambria Math"/>
                </w:rPr>
                <m:t>t</m:t>
              </m:r>
            </m:sub>
          </m:sSub>
          <m:r>
            <m:rPr>
              <m:sty m:val="p"/>
            </m:rPr>
            <w:rPr>
              <w:rFonts w:ascii="Cambria Math" w:hAnsi="Cambria Math"/>
            </w:rPr>
            <m:t>∼iid N(0,</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t</m:t>
              </m:r>
            </m:sub>
          </m:sSub>
          <m:r>
            <m:rPr>
              <m:sty m:val="p"/>
            </m:rPr>
            <w:rPr>
              <w:rFonts w:ascii="Cambria Math" w:hAnsi="Cambria Math"/>
            </w:rPr>
            <m:t>)</m:t>
          </m:r>
        </m:oMath>
      </m:oMathPara>
    </w:p>
    <w:p w14:paraId="19A7DBE2" w14:textId="77777777" w:rsidR="00F5779C" w:rsidRPr="00E3232D" w:rsidRDefault="00850DC5" w:rsidP="00735F75">
      <w:pPr>
        <w:autoSpaceDE w:val="0"/>
        <w:autoSpaceDN w:val="0"/>
        <w:adjustRightInd w:val="0"/>
        <w:jc w:val="both"/>
        <w:rPr>
          <w:rFonts w:ascii="Book Antiqua" w:hAnsi="Book Antiqua"/>
        </w:rPr>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0</m:t>
            </m:r>
          </m:sub>
        </m:sSub>
        <m:r>
          <m:rPr>
            <m:sty m:val="p"/>
          </m:rPr>
          <w:rPr>
            <w:rFonts w:ascii="Cambria Math" w:hAnsi="Cambria Math"/>
          </w:rPr>
          <m:t>+</m:t>
        </m:r>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p</m:t>
            </m:r>
          </m:sup>
          <m:e>
            <m:sSub>
              <m:sSubPr>
                <m:ctrlPr>
                  <w:rPr>
                    <w:rFonts w:ascii="Cambria Math" w:hAnsi="Cambria Math"/>
                  </w:rPr>
                </m:ctrlPr>
              </m:sSubPr>
              <m:e>
                <m:r>
                  <m:rPr>
                    <m:sty m:val="p"/>
                  </m:rPr>
                  <w:rPr>
                    <w:rFonts w:ascii="Cambria Math" w:hAnsi="Cambria Math"/>
                  </w:rPr>
                  <m:t>δ</m:t>
                </m:r>
              </m:e>
              <m:sub>
                <m:r>
                  <m:rPr>
                    <m:sty m:val="p"/>
                  </m:rPr>
                  <w:rPr>
                    <w:rFonts w:ascii="Cambria Math" w:hAnsi="Cambria Math"/>
                  </w:rPr>
                  <m:t>i</m:t>
                </m:r>
              </m:sub>
            </m:sSub>
          </m:e>
        </m:nary>
        <m:sSub>
          <m:sSubPr>
            <m:ctrlPr>
              <w:rPr>
                <w:rFonts w:ascii="Cambria Math" w:hAnsi="Cambria Math"/>
              </w:rPr>
            </m:ctrlPr>
          </m:sSubPr>
          <m:e>
            <m:r>
              <m:rPr>
                <m:sty m:val="p"/>
              </m:rPr>
              <w:rPr>
                <w:rFonts w:ascii="Cambria Math" w:hAnsi="Cambria Math"/>
              </w:rPr>
              <m:t>h</m:t>
            </m:r>
          </m:e>
          <m:sub>
            <m:r>
              <m:rPr>
                <m:sty m:val="p"/>
              </m:rPr>
              <w:rPr>
                <w:rFonts w:ascii="Cambria Math" w:hAnsi="Cambria Math"/>
              </w:rPr>
              <m:t>t-i</m:t>
            </m:r>
          </m:sub>
        </m:sSub>
        <m:r>
          <m:rPr>
            <m:sty m:val="p"/>
          </m:rPr>
          <w:rPr>
            <w:rFonts w:ascii="Cambria Math" w:hAnsi="Cambria Math"/>
          </w:rPr>
          <m:t>+</m:t>
        </m:r>
        <m:nary>
          <m:naryPr>
            <m:chr m:val="∑"/>
            <m:limLoc m:val="undOvr"/>
            <m:ctrlPr>
              <w:rPr>
                <w:rFonts w:ascii="Cambria Math" w:hAnsi="Cambria Math"/>
              </w:rPr>
            </m:ctrlPr>
          </m:naryPr>
          <m:sub>
            <m:r>
              <m:rPr>
                <m:sty m:val="p"/>
              </m:rPr>
              <w:rPr>
                <w:rFonts w:ascii="Cambria Math" w:hAnsi="Cambria Math"/>
              </w:rPr>
              <m:t>j=1</m:t>
            </m:r>
          </m:sub>
          <m:sup>
            <m:r>
              <m:rPr>
                <m:sty m:val="p"/>
              </m:rPr>
              <w:rPr>
                <w:rFonts w:ascii="Cambria Math" w:hAnsi="Cambria Math"/>
              </w:rPr>
              <m:t>q</m:t>
            </m:r>
          </m:sup>
          <m:e>
            <m:sSub>
              <m:sSubPr>
                <m:ctrlPr>
                  <w:rPr>
                    <w:rFonts w:ascii="Cambria Math" w:hAnsi="Cambria Math"/>
                  </w:rPr>
                </m:ctrlPr>
              </m:sSubPr>
              <m:e>
                <m:r>
                  <m:rPr>
                    <m:sty m:val="p"/>
                  </m:rPr>
                  <w:rPr>
                    <w:rFonts w:ascii="Cambria Math" w:hAnsi="Cambria Math"/>
                  </w:rPr>
                  <m:t>γ</m:t>
                </m:r>
              </m:e>
              <m:sub>
                <m:r>
                  <m:rPr>
                    <m:sty m:val="p"/>
                  </m:rPr>
                  <w:rPr>
                    <w:rFonts w:ascii="Cambria Math" w:hAnsi="Cambria Math"/>
                  </w:rPr>
                  <m:t>j</m:t>
                </m:r>
              </m:sub>
            </m:sSub>
          </m:e>
        </m:nary>
        <m:sSubSup>
          <m:sSubSupPr>
            <m:ctrlPr>
              <w:rPr>
                <w:rFonts w:ascii="Cambria Math" w:hAnsi="Cambria Math"/>
              </w:rPr>
            </m:ctrlPr>
          </m:sSubSupPr>
          <m:e>
            <m:r>
              <m:rPr>
                <m:sty m:val="p"/>
              </m:rPr>
              <w:rPr>
                <w:rFonts w:ascii="Cambria Math" w:hAnsi="Cambria Math"/>
              </w:rPr>
              <m:t>u</m:t>
            </m:r>
          </m:e>
          <m:sub>
            <m:r>
              <m:rPr>
                <m:sty m:val="p"/>
              </m:rPr>
              <w:rPr>
                <w:rFonts w:ascii="Cambria Math" w:hAnsi="Cambria Math"/>
              </w:rPr>
              <m:t>t-j</m:t>
            </m:r>
          </m:sub>
          <m:sup>
            <m:r>
              <m:rPr>
                <m:sty m:val="p"/>
              </m:rPr>
              <w:rPr>
                <w:rFonts w:ascii="Cambria Math" w:hAnsi="Cambria Math"/>
              </w:rPr>
              <m:t>2</m:t>
            </m:r>
          </m:sup>
        </m:sSubSup>
      </m:oMath>
      <w:r w:rsidR="00735F75">
        <w:rPr>
          <w:rFonts w:ascii="Book Antiqua" w:hAnsi="Book Antiqua"/>
        </w:rPr>
        <w:tab/>
      </w:r>
      <w:r w:rsidR="00F5779C" w:rsidRPr="00E3232D">
        <w:rPr>
          <w:rFonts w:ascii="Book Antiqua" w:hAnsi="Book Antiqua"/>
        </w:rPr>
        <w:t>(2)</w:t>
      </w:r>
    </w:p>
    <w:p w14:paraId="57AB23A6" w14:textId="77777777" w:rsidR="00F5779C" w:rsidRPr="00E3232D" w:rsidRDefault="007005B1" w:rsidP="00735F75">
      <w:pPr>
        <w:autoSpaceDE w:val="0"/>
        <w:autoSpaceDN w:val="0"/>
        <w:adjustRightInd w:val="0"/>
        <w:jc w:val="both"/>
        <w:rPr>
          <w:rFonts w:ascii="Book Antiqua" w:hAnsi="Book Antiqua"/>
        </w:rPr>
      </w:pPr>
      <m:oMathPara>
        <m:oMath>
          <m:r>
            <m:rPr>
              <m:sty m:val="p"/>
            </m:rPr>
            <w:rPr>
              <w:rFonts w:ascii="Cambria Math" w:hAnsi="Cambria Math"/>
            </w:rPr>
            <m:t>p≥0,q</m:t>
          </m:r>
          <m:r>
            <w:rPr>
              <w:rFonts w:ascii="Cambria Math" w:hAnsi="Cambria Math"/>
            </w:rPr>
            <m:t>&gt;0,</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0</m:t>
              </m:r>
            </m:sub>
          </m:sSub>
          <m:r>
            <m:rPr>
              <m:sty m:val="p"/>
            </m:rPr>
            <w:rPr>
              <w:rFonts w:ascii="Cambria Math" w:hAnsi="Cambria Math"/>
            </w:rPr>
            <m:t>&gt;</m:t>
          </m:r>
          <m:r>
            <w:rPr>
              <w:rFonts w:ascii="Cambria Math" w:hAnsi="Cambria Math"/>
            </w:rPr>
            <m:t xml:space="preserve">0, </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i</m:t>
              </m:r>
            </m:sub>
          </m:sSub>
          <m:r>
            <m:rPr>
              <m:sty m:val="p"/>
            </m:rPr>
            <w:rPr>
              <w:rFonts w:ascii="Cambria Math" w:hAnsi="Cambria Math"/>
            </w:rPr>
            <m:t xml:space="preserve">≥0 ∀i≥1, i=1,….,p,  </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j</m:t>
              </m:r>
            </m:sub>
          </m:sSub>
          <m:r>
            <m:rPr>
              <m:sty m:val="p"/>
            </m:rPr>
            <w:rPr>
              <w:rFonts w:ascii="Cambria Math" w:hAnsi="Cambria Math"/>
            </w:rPr>
            <m:t>≥0 ∀ j≥1</m:t>
          </m:r>
        </m:oMath>
      </m:oMathPara>
    </w:p>
    <w:p w14:paraId="5B837A22" w14:textId="77777777" w:rsidR="00F5779C" w:rsidRPr="00E3232D" w:rsidRDefault="00F5779C" w:rsidP="00735F75">
      <w:pPr>
        <w:autoSpaceDE w:val="0"/>
        <w:autoSpaceDN w:val="0"/>
        <w:adjustRightInd w:val="0"/>
        <w:jc w:val="both"/>
        <w:rPr>
          <w:rFonts w:ascii="Book Antiqua" w:hAnsi="Book Antiqua"/>
        </w:rPr>
      </w:pPr>
      <w:r w:rsidRPr="00E3232D">
        <w:rPr>
          <w:rFonts w:ascii="Book Antiqua" w:hAnsi="Book Antiqua"/>
        </w:rPr>
        <w:t xml:space="preserve">For </w:t>
      </w:r>
      <m:oMath>
        <m:r>
          <m:rPr>
            <m:sty m:val="p"/>
          </m:rPr>
          <w:rPr>
            <w:rFonts w:ascii="Cambria Math" w:hAnsi="Cambria Math"/>
          </w:rPr>
          <m:t>p=0</m:t>
        </m:r>
      </m:oMath>
      <w:r w:rsidRPr="00E3232D">
        <w:rPr>
          <w:rFonts w:ascii="Book Antiqua" w:hAnsi="Book Antiqua"/>
        </w:rPr>
        <w:t xml:space="preserve"> the model reduces to ARCH (q).  In the basic ARCH (1) model we assume that: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1</m:t>
            </m:r>
          </m:sub>
        </m:sSub>
        <m:sSubSup>
          <m:sSubSupPr>
            <m:ctrlPr>
              <w:rPr>
                <w:rFonts w:ascii="Cambria Math" w:hAnsi="Cambria Math"/>
              </w:rPr>
            </m:ctrlPr>
          </m:sSubSupPr>
          <m:e>
            <m:r>
              <m:rPr>
                <m:sty m:val="p"/>
              </m:rPr>
              <w:rPr>
                <w:rFonts w:ascii="Cambria Math" w:hAnsi="Cambria Math"/>
              </w:rPr>
              <m:t>u</m:t>
            </m:r>
          </m:e>
          <m:sub>
            <m:r>
              <m:rPr>
                <m:sty m:val="p"/>
              </m:rPr>
              <w:rPr>
                <w:rFonts w:ascii="Cambria Math" w:hAnsi="Cambria Math"/>
              </w:rPr>
              <m:t>t-1</m:t>
            </m:r>
          </m:sub>
          <m:sup>
            <m:r>
              <m:rPr>
                <m:sty m:val="p"/>
              </m:rPr>
              <w:rPr>
                <w:rFonts w:ascii="Cambria Math" w:hAnsi="Cambria Math"/>
              </w:rPr>
              <m:t>2</m:t>
            </m:r>
          </m:sup>
        </m:sSubSup>
      </m:oMath>
    </w:p>
    <w:p w14:paraId="5DF15A98" w14:textId="77777777" w:rsidR="00F5779C" w:rsidRPr="00E3232D" w:rsidRDefault="00F5779C" w:rsidP="00735F75">
      <w:pPr>
        <w:autoSpaceDE w:val="0"/>
        <w:autoSpaceDN w:val="0"/>
        <w:adjustRightInd w:val="0"/>
        <w:jc w:val="both"/>
        <w:rPr>
          <w:rFonts w:ascii="Book Antiqua" w:hAnsi="Book Antiqua"/>
        </w:rPr>
      </w:pPr>
      <w:r w:rsidRPr="00E3232D">
        <w:rPr>
          <w:rFonts w:ascii="Book Antiqua" w:hAnsi="Book Antiqua"/>
        </w:rPr>
        <w:t>The simplest form of the GARCH (p,q) model is the GARCH (1,1) model for which the variance equation has the form:</w:t>
      </w:r>
    </w:p>
    <w:p w14:paraId="0F2D56CF" w14:textId="77777777" w:rsidR="00F5779C" w:rsidRPr="00E3232D" w:rsidRDefault="00F5779C" w:rsidP="00735F75">
      <w:pPr>
        <w:autoSpaceDE w:val="0"/>
        <w:autoSpaceDN w:val="0"/>
        <w:adjustRightInd w:val="0"/>
        <w:jc w:val="both"/>
        <w:rPr>
          <w:rFonts w:ascii="Book Antiqua" w:hAnsi="Book Antiqua"/>
        </w:rPr>
      </w:pPr>
      <w:r w:rsidRPr="00E3232D">
        <w:rPr>
          <w:rFonts w:ascii="Book Antiqua" w:hAnsi="Book Antiqua"/>
        </w:rPr>
        <w:t xml:space="preserve">  </w:t>
      </w:r>
      <w:r w:rsidRPr="00E3232D">
        <w:rPr>
          <w:rFonts w:ascii="Book Antiqua" w:hAnsi="Book Antiqua"/>
        </w:rPr>
        <w:tab/>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h</m:t>
            </m:r>
          </m:e>
          <m:sub>
            <m:r>
              <m:rPr>
                <m:sty m:val="p"/>
              </m:rPr>
              <w:rPr>
                <w:rFonts w:ascii="Cambria Math" w:hAnsi="Cambria Math"/>
              </w:rPr>
              <m:t>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1</m:t>
            </m:r>
          </m:sub>
        </m:sSub>
        <m:sSubSup>
          <m:sSubSupPr>
            <m:ctrlPr>
              <w:rPr>
                <w:rFonts w:ascii="Cambria Math" w:hAnsi="Cambria Math"/>
              </w:rPr>
            </m:ctrlPr>
          </m:sSubSupPr>
          <m:e>
            <m:r>
              <m:rPr>
                <m:sty m:val="p"/>
              </m:rPr>
              <w:rPr>
                <w:rFonts w:ascii="Cambria Math" w:hAnsi="Cambria Math"/>
              </w:rPr>
              <m:t>u</m:t>
            </m:r>
          </m:e>
          <m:sub>
            <m:r>
              <m:rPr>
                <m:sty m:val="p"/>
              </m:rPr>
              <w:rPr>
                <w:rFonts w:ascii="Cambria Math" w:hAnsi="Cambria Math"/>
              </w:rPr>
              <m:t>t-1</m:t>
            </m:r>
          </m:sub>
          <m:sup>
            <m:r>
              <m:rPr>
                <m:sty m:val="p"/>
              </m:rPr>
              <w:rPr>
                <w:rFonts w:ascii="Cambria Math" w:hAnsi="Cambria Math"/>
              </w:rPr>
              <m:t>2</m:t>
            </m:r>
          </m:sup>
        </m:sSubSup>
      </m:oMath>
      <w:r w:rsidR="00735F75">
        <w:rPr>
          <w:rFonts w:ascii="Book Antiqua" w:hAnsi="Book Antiqua"/>
        </w:rPr>
        <w:tab/>
      </w:r>
      <w:r w:rsidRPr="00E3232D">
        <w:rPr>
          <w:rFonts w:ascii="Book Antiqua" w:hAnsi="Book Antiqua"/>
        </w:rPr>
        <w:t>(3)</w:t>
      </w:r>
    </w:p>
    <w:p w14:paraId="5967F1A7" w14:textId="77777777" w:rsidR="00F5779C" w:rsidRPr="00E3232D" w:rsidRDefault="00F5779C" w:rsidP="008275E1">
      <w:pPr>
        <w:autoSpaceDE w:val="0"/>
        <w:autoSpaceDN w:val="0"/>
        <w:adjustRightInd w:val="0"/>
        <w:rPr>
          <w:rFonts w:ascii="Book Antiqua" w:hAnsi="Book Antiqua"/>
          <w:b/>
        </w:rPr>
      </w:pPr>
      <w:r w:rsidRPr="00E3232D">
        <w:rPr>
          <w:rFonts w:ascii="Book Antiqua" w:hAnsi="Book Antiqua"/>
          <w:b/>
        </w:rPr>
        <w:t>The GARCH in mean or GARCH-M model:</w:t>
      </w:r>
    </w:p>
    <w:p w14:paraId="03AE8530" w14:textId="77777777" w:rsidR="00F5779C" w:rsidRPr="00E3232D" w:rsidRDefault="00F5779C" w:rsidP="00735F75">
      <w:pPr>
        <w:autoSpaceDE w:val="0"/>
        <w:autoSpaceDN w:val="0"/>
        <w:adjustRightInd w:val="0"/>
        <w:jc w:val="both"/>
        <w:rPr>
          <w:rFonts w:ascii="Book Antiqua" w:hAnsi="Book Antiqua"/>
        </w:rPr>
      </w:pPr>
      <w:r w:rsidRPr="00E3232D">
        <w:rPr>
          <w:rFonts w:ascii="Book Antiqua" w:hAnsi="Book Antiqua"/>
        </w:rPr>
        <w:t>This model allows the conditional mean to depend on its own conditional variance. The GARCH-M (p,q) model has the following form:</w:t>
      </w:r>
    </w:p>
    <w:p w14:paraId="59383D08" w14:textId="77777777" w:rsidR="00F5779C" w:rsidRPr="00E3232D" w:rsidRDefault="00850DC5" w:rsidP="008275E1">
      <w:pPr>
        <w:autoSpaceDE w:val="0"/>
        <w:autoSpaceDN w:val="0"/>
        <w:adjustRightInd w:val="0"/>
        <w:rPr>
          <w:rFonts w:ascii="Book Antiqua" w:hAnsi="Book Antiqua"/>
        </w:rPr>
      </w:pPr>
      <m:oMath>
        <m:sSub>
          <m:sSubPr>
            <m:ctrlPr>
              <w:rPr>
                <w:rFonts w:ascii="Cambria Math" w:hAnsi="Cambria Math"/>
              </w:rPr>
            </m:ctrlPr>
          </m:sSubPr>
          <m:e>
            <m:r>
              <m:rPr>
                <m:sty m:val="p"/>
              </m:rPr>
              <w:rPr>
                <w:rFonts w:ascii="Cambria Math" w:hAnsi="Cambria Math"/>
              </w:rPr>
              <m:t>Y</m:t>
            </m:r>
          </m:e>
          <m:sub>
            <m:r>
              <m:rPr>
                <m:sty m:val="p"/>
              </m:rPr>
              <w:rPr>
                <w:rFonts w:ascii="Cambria Math" w:hAnsi="Cambria Math"/>
              </w:rPr>
              <m:t>t</m:t>
            </m:r>
          </m:sub>
        </m:sSub>
        <m:r>
          <m:rPr>
            <m:sty m:val="p"/>
          </m:rPr>
          <w:rPr>
            <w:rFonts w:ascii="Cambria Math" w:hAnsi="Cambria Math"/>
          </w:rPr>
          <m:t>=a+</m:t>
        </m:r>
        <m:sSup>
          <m:sSupPr>
            <m:ctrlPr>
              <w:rPr>
                <w:rFonts w:ascii="Cambria Math" w:hAnsi="Cambria Math"/>
              </w:rPr>
            </m:ctrlPr>
          </m:sSupPr>
          <m:e>
            <m:r>
              <m:rPr>
                <m:sty m:val="p"/>
              </m:rPr>
              <w:rPr>
                <w:rFonts w:ascii="Cambria Math" w:hAnsi="Cambria Math"/>
              </w:rPr>
              <m:t>β</m:t>
            </m:r>
          </m:e>
          <m:sup>
            <m:r>
              <m:rPr>
                <m:sty m:val="p"/>
              </m:rPr>
              <w:rPr>
                <w:rFonts w:ascii="Cambria Math" w:hAnsi="Cambria Math"/>
              </w:rPr>
              <m:t>'</m:t>
            </m:r>
          </m:sup>
        </m:sSup>
        <m:sSub>
          <m:sSubPr>
            <m:ctrlPr>
              <w:rPr>
                <w:rFonts w:ascii="Cambria Math" w:hAnsi="Cambria Math"/>
              </w:rPr>
            </m:ctrlPr>
          </m:sSubPr>
          <m:e>
            <m:r>
              <m:rPr>
                <m:sty m:val="p"/>
              </m:rPr>
              <w:rPr>
                <w:rFonts w:ascii="Cambria Math" w:hAnsi="Cambria Math"/>
              </w:rPr>
              <m:t>X</m:t>
            </m:r>
          </m:e>
          <m:sub>
            <m:r>
              <m:rPr>
                <m:sty m:val="p"/>
              </m:rPr>
              <w:rPr>
                <w:rFonts w:ascii="Cambria Math" w:hAnsi="Cambria Math"/>
              </w:rPr>
              <m:t>t</m:t>
            </m:r>
          </m:sub>
        </m:sSub>
        <m:r>
          <m:rPr>
            <m:sty m:val="p"/>
          </m:rPr>
          <w:rPr>
            <w:rFonts w:ascii="Cambria Math" w:hAnsi="Cambria Math"/>
          </w:rPr>
          <m:t>+θ</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t</m:t>
            </m:r>
          </m:sub>
        </m:sSub>
      </m:oMath>
      <w:r w:rsidR="00735F75">
        <w:rPr>
          <w:rFonts w:ascii="Book Antiqua" w:hAnsi="Book Antiqua"/>
        </w:rPr>
        <w:t xml:space="preserve"> </w:t>
      </w:r>
      <w:r w:rsidR="00735F75">
        <w:rPr>
          <w:rFonts w:ascii="Book Antiqua" w:hAnsi="Book Antiqua"/>
        </w:rPr>
        <w:tab/>
      </w:r>
      <w:r w:rsidR="00735F75">
        <w:rPr>
          <w:rFonts w:ascii="Book Antiqua" w:hAnsi="Book Antiqua"/>
        </w:rPr>
        <w:tab/>
      </w:r>
      <w:r w:rsidR="00F5779C" w:rsidRPr="00E3232D">
        <w:rPr>
          <w:rFonts w:ascii="Book Antiqua" w:hAnsi="Book Antiqua"/>
        </w:rPr>
        <w:t>(4)</w:t>
      </w:r>
    </w:p>
    <w:p w14:paraId="5D8A3764" w14:textId="77777777" w:rsidR="00F5779C" w:rsidRPr="00E3232D" w:rsidRDefault="00850DC5" w:rsidP="008275E1">
      <w:pPr>
        <w:autoSpaceDE w:val="0"/>
        <w:autoSpaceDN w:val="0"/>
        <w:adjustRightInd w:val="0"/>
        <w:rPr>
          <w:rFonts w:ascii="Book Antiqua" w:hAnsi="Book Antiqua"/>
        </w:rPr>
      </w:pPr>
      <m:oMathPara>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Ω</m:t>
              </m:r>
            </m:e>
            <m:sub>
              <m:r>
                <m:rPr>
                  <m:sty m:val="p"/>
                </m:rPr>
                <w:rPr>
                  <w:rFonts w:ascii="Cambria Math" w:hAnsi="Cambria Math"/>
                </w:rPr>
                <m:t>t</m:t>
              </m:r>
            </m:sub>
          </m:sSub>
          <m:r>
            <m:rPr>
              <m:sty m:val="p"/>
            </m:rPr>
            <w:rPr>
              <w:rFonts w:ascii="Cambria Math" w:hAnsi="Cambria Math"/>
            </w:rPr>
            <m:t>∼iid N(0,</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t</m:t>
              </m:r>
            </m:sub>
          </m:sSub>
          <m:r>
            <m:rPr>
              <m:sty m:val="p"/>
            </m:rPr>
            <w:rPr>
              <w:rFonts w:ascii="Cambria Math" w:hAnsi="Cambria Math"/>
            </w:rPr>
            <m:t>)</m:t>
          </m:r>
        </m:oMath>
      </m:oMathPara>
    </w:p>
    <w:p w14:paraId="1A7BEF37" w14:textId="77777777" w:rsidR="00F5779C" w:rsidRPr="00735F75" w:rsidRDefault="00850DC5" w:rsidP="008275E1">
      <w:pPr>
        <w:autoSpaceDE w:val="0"/>
        <w:autoSpaceDN w:val="0"/>
        <w:adjustRightInd w:val="0"/>
        <w:rPr>
          <w:rFonts w:ascii="Book Antiqua" w:hAnsi="Book Antiqua"/>
        </w:rPr>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0</m:t>
            </m:r>
          </m:sub>
        </m:sSub>
        <m:r>
          <m:rPr>
            <m:sty m:val="p"/>
          </m:rPr>
          <w:rPr>
            <w:rFonts w:ascii="Cambria Math" w:hAnsi="Cambria Math"/>
          </w:rPr>
          <m:t>+</m:t>
        </m:r>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p</m:t>
            </m:r>
          </m:sup>
          <m:e>
            <m:sSub>
              <m:sSubPr>
                <m:ctrlPr>
                  <w:rPr>
                    <w:rFonts w:ascii="Cambria Math" w:hAnsi="Cambria Math"/>
                  </w:rPr>
                </m:ctrlPr>
              </m:sSubPr>
              <m:e>
                <m:r>
                  <m:rPr>
                    <m:sty m:val="p"/>
                  </m:rPr>
                  <w:rPr>
                    <w:rFonts w:ascii="Cambria Math" w:hAnsi="Cambria Math"/>
                  </w:rPr>
                  <m:t>δ</m:t>
                </m:r>
              </m:e>
              <m:sub>
                <m:r>
                  <m:rPr>
                    <m:sty m:val="p"/>
                  </m:rPr>
                  <w:rPr>
                    <w:rFonts w:ascii="Cambria Math" w:hAnsi="Cambria Math"/>
                  </w:rPr>
                  <m:t>i</m:t>
                </m:r>
              </m:sub>
            </m:sSub>
          </m:e>
        </m:nary>
        <m:sSub>
          <m:sSubPr>
            <m:ctrlPr>
              <w:rPr>
                <w:rFonts w:ascii="Cambria Math" w:hAnsi="Cambria Math"/>
              </w:rPr>
            </m:ctrlPr>
          </m:sSubPr>
          <m:e>
            <m:r>
              <m:rPr>
                <m:sty m:val="p"/>
              </m:rPr>
              <w:rPr>
                <w:rFonts w:ascii="Cambria Math" w:hAnsi="Cambria Math"/>
              </w:rPr>
              <m:t>h</m:t>
            </m:r>
          </m:e>
          <m:sub>
            <m:r>
              <m:rPr>
                <m:sty m:val="p"/>
              </m:rPr>
              <w:rPr>
                <w:rFonts w:ascii="Cambria Math" w:hAnsi="Cambria Math"/>
              </w:rPr>
              <m:t>t-i</m:t>
            </m:r>
          </m:sub>
        </m:sSub>
        <m:r>
          <m:rPr>
            <m:sty m:val="p"/>
          </m:rPr>
          <w:rPr>
            <w:rFonts w:ascii="Cambria Math" w:hAnsi="Cambria Math"/>
          </w:rPr>
          <m:t>+</m:t>
        </m:r>
        <m:nary>
          <m:naryPr>
            <m:chr m:val="∑"/>
            <m:limLoc m:val="undOvr"/>
            <m:ctrlPr>
              <w:rPr>
                <w:rFonts w:ascii="Cambria Math" w:hAnsi="Cambria Math"/>
              </w:rPr>
            </m:ctrlPr>
          </m:naryPr>
          <m:sub>
            <m:r>
              <m:rPr>
                <m:sty m:val="p"/>
              </m:rPr>
              <w:rPr>
                <w:rFonts w:ascii="Cambria Math" w:hAnsi="Cambria Math"/>
              </w:rPr>
              <m:t>j=1</m:t>
            </m:r>
          </m:sub>
          <m:sup>
            <m:r>
              <m:rPr>
                <m:sty m:val="p"/>
              </m:rPr>
              <w:rPr>
                <w:rFonts w:ascii="Cambria Math" w:hAnsi="Cambria Math"/>
              </w:rPr>
              <m:t>q</m:t>
            </m:r>
          </m:sup>
          <m:e>
            <m:sSub>
              <m:sSubPr>
                <m:ctrlPr>
                  <w:rPr>
                    <w:rFonts w:ascii="Cambria Math" w:hAnsi="Cambria Math"/>
                  </w:rPr>
                </m:ctrlPr>
              </m:sSubPr>
              <m:e>
                <m:r>
                  <m:rPr>
                    <m:sty m:val="p"/>
                  </m:rPr>
                  <w:rPr>
                    <w:rFonts w:ascii="Cambria Math" w:hAnsi="Cambria Math"/>
                  </w:rPr>
                  <m:t>γ</m:t>
                </m:r>
              </m:e>
              <m:sub>
                <m:r>
                  <m:rPr>
                    <m:sty m:val="p"/>
                  </m:rPr>
                  <w:rPr>
                    <w:rFonts w:ascii="Cambria Math" w:hAnsi="Cambria Math"/>
                  </w:rPr>
                  <m:t>j</m:t>
                </m:r>
              </m:sub>
            </m:sSub>
          </m:e>
        </m:nary>
        <m:sSubSup>
          <m:sSubSupPr>
            <m:ctrlPr>
              <w:rPr>
                <w:rFonts w:ascii="Cambria Math" w:hAnsi="Cambria Math"/>
              </w:rPr>
            </m:ctrlPr>
          </m:sSubSupPr>
          <m:e>
            <m:r>
              <m:rPr>
                <m:sty m:val="p"/>
              </m:rPr>
              <w:rPr>
                <w:rFonts w:ascii="Cambria Math" w:hAnsi="Cambria Math"/>
              </w:rPr>
              <m:t>u</m:t>
            </m:r>
          </m:e>
          <m:sub>
            <m:r>
              <m:rPr>
                <m:sty m:val="p"/>
              </m:rPr>
              <w:rPr>
                <w:rFonts w:ascii="Cambria Math" w:hAnsi="Cambria Math"/>
              </w:rPr>
              <m:t>t-j</m:t>
            </m:r>
          </m:sub>
          <m:sup>
            <m:r>
              <m:rPr>
                <m:sty m:val="p"/>
              </m:rPr>
              <w:rPr>
                <w:rFonts w:ascii="Cambria Math" w:hAnsi="Cambria Math"/>
              </w:rPr>
              <m:t>2</m:t>
            </m:r>
          </m:sup>
        </m:sSubSup>
      </m:oMath>
      <w:r w:rsidR="00F5779C" w:rsidRPr="00E3232D">
        <w:rPr>
          <w:rFonts w:ascii="Book Antiqua" w:hAnsi="Book Antiqua"/>
        </w:rPr>
        <w:t xml:space="preserve"> </w:t>
      </w:r>
      <w:r w:rsidR="00F5779C" w:rsidRPr="00E3232D">
        <w:rPr>
          <w:rFonts w:ascii="Book Antiqua" w:hAnsi="Book Antiqua"/>
        </w:rPr>
        <w:tab/>
      </w:r>
      <w:r w:rsidR="00F5779C" w:rsidRPr="00E3232D">
        <w:rPr>
          <w:rFonts w:ascii="Book Antiqua" w:hAnsi="Book Antiqua"/>
        </w:rPr>
        <w:tab/>
      </w:r>
      <w:r w:rsidR="00F5779C" w:rsidRPr="00E3232D">
        <w:rPr>
          <w:rFonts w:ascii="Book Antiqua" w:hAnsi="Book Antiqua"/>
        </w:rPr>
        <w:tab/>
      </w:r>
      <w:r w:rsidR="00F5779C" w:rsidRPr="00E3232D">
        <w:rPr>
          <w:rFonts w:ascii="Book Antiqua" w:hAnsi="Book Antiqua"/>
        </w:rPr>
        <w:tab/>
      </w:r>
      <w:r w:rsidR="00F5779C" w:rsidRPr="00E3232D">
        <w:rPr>
          <w:rFonts w:ascii="Book Antiqua" w:hAnsi="Book Antiqua"/>
        </w:rPr>
        <w:tab/>
      </w:r>
      <w:r w:rsidR="00F5779C" w:rsidRPr="00E3232D">
        <w:rPr>
          <w:rFonts w:ascii="Book Antiqua" w:hAnsi="Book Antiqua"/>
        </w:rPr>
        <w:tab/>
        <w:t>(5)</w:t>
      </w:r>
    </w:p>
    <w:p w14:paraId="1F94DC70" w14:textId="77777777" w:rsidR="00F5779C" w:rsidRPr="00E3232D" w:rsidRDefault="00F5779C" w:rsidP="00735F75">
      <w:pPr>
        <w:autoSpaceDE w:val="0"/>
        <w:autoSpaceDN w:val="0"/>
        <w:adjustRightInd w:val="0"/>
        <w:jc w:val="both"/>
        <w:rPr>
          <w:rFonts w:ascii="Book Antiqua" w:hAnsi="Book Antiqua"/>
          <w:b/>
        </w:rPr>
      </w:pPr>
      <w:r w:rsidRPr="00E3232D">
        <w:rPr>
          <w:rFonts w:ascii="Book Antiqua" w:hAnsi="Book Antiqua"/>
          <w:b/>
        </w:rPr>
        <w:t>The threshold GARCH (TGARCH) model:</w:t>
      </w:r>
    </w:p>
    <w:p w14:paraId="2CD964CB" w14:textId="77777777" w:rsidR="00F5779C" w:rsidRPr="00E3232D"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Threshold GARCH model was introduced independently by Zakoïan (1994) and Glosten, Jaganathan, and Runkle (1993). The main target of this model is to capture asymmetries in terms of negative and positive shocks.  To do that it simply adds into the variance equation a multiplicative dummy variable to check whether there is statistically significant difference when shocks are negative.</w:t>
      </w:r>
    </w:p>
    <w:p w14:paraId="2AFC8AC0" w14:textId="77777777" w:rsidR="00F5779C" w:rsidRPr="00E3232D" w:rsidRDefault="00850DC5" w:rsidP="00735F75">
      <w:pPr>
        <w:autoSpaceDE w:val="0"/>
        <w:autoSpaceDN w:val="0"/>
        <w:adjustRightInd w:val="0"/>
        <w:jc w:val="both"/>
        <w:rPr>
          <w:rFonts w:ascii="Book Antiqua" w:hAnsi="Book Antiqua"/>
        </w:rPr>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0</m:t>
            </m:r>
          </m:sub>
        </m:sSub>
        <m:r>
          <m:rPr>
            <m:sty m:val="p"/>
          </m:rPr>
          <w:rPr>
            <w:rFonts w:ascii="Cambria Math" w:hAnsi="Cambria Math"/>
          </w:rPr>
          <m:t>+γ</m:t>
        </m:r>
        <m:sSubSup>
          <m:sSubSupPr>
            <m:ctrlPr>
              <w:rPr>
                <w:rFonts w:ascii="Cambria Math" w:hAnsi="Cambria Math"/>
              </w:rPr>
            </m:ctrlPr>
          </m:sSubSupPr>
          <m:e>
            <m:r>
              <m:rPr>
                <m:sty m:val="p"/>
              </m:rPr>
              <w:rPr>
                <w:rFonts w:ascii="Cambria Math" w:hAnsi="Cambria Math"/>
              </w:rPr>
              <m:t>u</m:t>
            </m:r>
          </m:e>
          <m:sub>
            <m:r>
              <m:rPr>
                <m:sty m:val="p"/>
              </m:rPr>
              <w:rPr>
                <w:rFonts w:ascii="Cambria Math" w:hAnsi="Cambria Math"/>
              </w:rPr>
              <m:t>t-1</m:t>
            </m:r>
          </m:sub>
          <m:sup>
            <m:r>
              <m:rPr>
                <m:sty m:val="p"/>
              </m:rPr>
              <w:rPr>
                <w:rFonts w:ascii="Cambria Math" w:hAnsi="Cambria Math"/>
              </w:rPr>
              <m:t>2</m:t>
            </m:r>
          </m:sup>
        </m:sSubSup>
        <m:r>
          <m:rPr>
            <m:sty m:val="p"/>
          </m:rPr>
          <w:rPr>
            <w:rFonts w:ascii="Cambria Math" w:hAnsi="Cambria Math"/>
          </w:rPr>
          <m:t>+ϑ</m:t>
        </m:r>
        <m:sSubSup>
          <m:sSubSupPr>
            <m:ctrlPr>
              <w:rPr>
                <w:rFonts w:ascii="Cambria Math" w:hAnsi="Cambria Math"/>
              </w:rPr>
            </m:ctrlPr>
          </m:sSubSupPr>
          <m:e>
            <m:r>
              <m:rPr>
                <m:sty m:val="p"/>
              </m:rPr>
              <w:rPr>
                <w:rFonts w:ascii="Cambria Math" w:hAnsi="Cambria Math"/>
              </w:rPr>
              <m:t>u</m:t>
            </m:r>
          </m:e>
          <m:sub>
            <m:r>
              <m:rPr>
                <m:sty m:val="p"/>
              </m:rPr>
              <w:rPr>
                <w:rFonts w:ascii="Cambria Math" w:hAnsi="Cambria Math"/>
              </w:rPr>
              <m:t>t-1</m:t>
            </m:r>
          </m:sub>
          <m:sup>
            <m:r>
              <m:rPr>
                <m:sty m:val="p"/>
              </m:rPr>
              <w:rPr>
                <w:rFonts w:ascii="Cambria Math" w:hAnsi="Cambria Math"/>
              </w:rPr>
              <m:t>2</m:t>
            </m:r>
          </m:sup>
        </m:sSubSup>
        <m:sSub>
          <m:sSubPr>
            <m:ctrlPr>
              <w:rPr>
                <w:rFonts w:ascii="Cambria Math" w:hAnsi="Cambria Math"/>
              </w:rPr>
            </m:ctrlPr>
          </m:sSubPr>
          <m:e>
            <m:r>
              <m:rPr>
                <m:sty m:val="p"/>
              </m:rPr>
              <w:rPr>
                <w:rFonts w:ascii="Cambria Math" w:hAnsi="Cambria Math"/>
              </w:rPr>
              <m:t>d</m:t>
            </m:r>
          </m:e>
          <m:sub>
            <m:r>
              <m:rPr>
                <m:sty m:val="p"/>
              </m:rPr>
              <w:rPr>
                <w:rFonts w:ascii="Cambria Math" w:hAnsi="Cambria Math"/>
              </w:rPr>
              <m:t>t-1</m:t>
            </m:r>
          </m:sub>
        </m:sSub>
        <m:r>
          <m:rPr>
            <m:sty m:val="p"/>
          </m:rPr>
          <w:rPr>
            <w:rFonts w:ascii="Cambria Math" w:hAnsi="Cambria Math"/>
          </w:rPr>
          <m:t>+δ</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t-1</m:t>
            </m:r>
          </m:sub>
        </m:sSub>
      </m:oMath>
      <w:r w:rsidR="00735F75">
        <w:rPr>
          <w:rFonts w:ascii="Book Antiqua" w:hAnsi="Book Antiqua"/>
        </w:rPr>
        <w:t xml:space="preserve"> </w:t>
      </w:r>
      <w:r w:rsidR="00735F75">
        <w:rPr>
          <w:rFonts w:ascii="Book Antiqua" w:hAnsi="Book Antiqua"/>
        </w:rPr>
        <w:tab/>
      </w:r>
      <w:r w:rsidR="00F5779C" w:rsidRPr="00E3232D">
        <w:rPr>
          <w:rFonts w:ascii="Book Antiqua" w:hAnsi="Book Antiqua"/>
        </w:rPr>
        <w:t>(6)</w:t>
      </w:r>
    </w:p>
    <w:p w14:paraId="3563BAC6" w14:textId="77777777" w:rsidR="00F5779C" w:rsidRPr="00E3232D" w:rsidRDefault="005C200E" w:rsidP="00735F75">
      <w:pPr>
        <w:autoSpaceDE w:val="0"/>
        <w:autoSpaceDN w:val="0"/>
        <w:adjustRightInd w:val="0"/>
        <w:jc w:val="both"/>
        <w:rPr>
          <w:rFonts w:ascii="Book Antiqua" w:hAnsi="Book Antiqua"/>
        </w:rPr>
      </w:pPr>
      <w:r w:rsidRPr="00E3232D">
        <w:rPr>
          <w:rFonts w:ascii="Book Antiqua" w:hAnsi="Book Antiqua"/>
        </w:rPr>
        <w:t>W</w:t>
      </w:r>
      <w:r w:rsidR="00F5779C" w:rsidRPr="00E3232D">
        <w:rPr>
          <w:rFonts w:ascii="Book Antiqua" w:hAnsi="Book Antiqua"/>
        </w:rPr>
        <w:t>here</w:t>
      </w:r>
      <w:r>
        <w:rPr>
          <w:rFonts w:ascii="Book Antiqua" w:hAnsi="Book Antiqua"/>
        </w:rPr>
        <w:t xml:space="preserve"> </w:t>
      </w:r>
      <w:r w:rsidR="00F5779C" w:rsidRPr="00E3232D">
        <w:rPr>
          <w:rFonts w:ascii="Book Antiqua" w:hAnsi="Book Antiqua"/>
        </w:rPr>
        <w:t xml:space="preserve"> </w:t>
      </w:r>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t</m:t>
            </m:r>
          </m:sub>
        </m:sSub>
      </m:oMath>
      <w:r w:rsidR="00F5779C" w:rsidRPr="00E3232D">
        <w:rPr>
          <w:rFonts w:ascii="Book Antiqua" w:hAnsi="Book Antiqua"/>
        </w:rPr>
        <w:t xml:space="preserve"> takes the value of 1 for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t</m:t>
            </m:r>
          </m:sub>
        </m:sSub>
        <m:r>
          <m:rPr>
            <m:sty m:val="p"/>
          </m:rPr>
          <w:rPr>
            <w:rFonts w:ascii="Cambria Math" w:hAnsi="Cambria Math"/>
          </w:rPr>
          <m:t>&lt;</m:t>
        </m:r>
        <m:r>
          <w:rPr>
            <w:rFonts w:ascii="Cambria Math" w:hAnsi="Cambria Math"/>
          </w:rPr>
          <m:t xml:space="preserve">0, </m:t>
        </m:r>
      </m:oMath>
      <w:r w:rsidR="00F5779C" w:rsidRPr="00E3232D">
        <w:rPr>
          <w:rFonts w:ascii="Book Antiqua" w:hAnsi="Book Antiqua"/>
        </w:rPr>
        <w:t xml:space="preserve"> and 0 otherwise.</w:t>
      </w:r>
    </w:p>
    <w:p w14:paraId="4E00FB4C" w14:textId="77777777" w:rsidR="005C200E" w:rsidRPr="00735F75" w:rsidRDefault="00F5779C" w:rsidP="00735F75">
      <w:pPr>
        <w:autoSpaceDE w:val="0"/>
        <w:autoSpaceDN w:val="0"/>
        <w:adjustRightInd w:val="0"/>
        <w:jc w:val="both"/>
        <w:rPr>
          <w:rFonts w:ascii="Book Antiqua" w:hAnsi="Book Antiqua"/>
        </w:rPr>
      </w:pPr>
      <w:r w:rsidRPr="00E3232D">
        <w:rPr>
          <w:rFonts w:ascii="Book Antiqua" w:hAnsi="Book Antiqua"/>
          <w:b/>
        </w:rPr>
        <w:t>EGARCH model</w:t>
      </w:r>
    </w:p>
    <w:p w14:paraId="16B56363" w14:textId="77777777" w:rsidR="00F5779C" w:rsidRPr="00E3232D"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The EGARCH or Exponential GARCH model was proposed by Nelson (1991), and the variance equation for this model is given by:</w:t>
      </w:r>
    </w:p>
    <w:p w14:paraId="47B27919" w14:textId="77777777" w:rsidR="00F5779C" w:rsidRPr="00E3232D" w:rsidRDefault="00850DC5" w:rsidP="00735F75">
      <w:pPr>
        <w:autoSpaceDE w:val="0"/>
        <w:autoSpaceDN w:val="0"/>
        <w:adjustRightInd w:val="0"/>
        <w:jc w:val="both"/>
        <w:rPr>
          <w:rFonts w:ascii="Book Antiqua" w:hAnsi="Book Antiqua"/>
          <w:lang w:val="en-GB" w:eastAsia="en-GB"/>
        </w:rPr>
      </w:pPr>
      <m:oMath>
        <m:func>
          <m:funcPr>
            <m:ctrlPr>
              <w:rPr>
                <w:rFonts w:ascii="Cambria Math" w:hAnsi="Cambria Math"/>
                <w:lang w:val="en-GB" w:eastAsia="en-GB"/>
              </w:rPr>
            </m:ctrlPr>
          </m:funcPr>
          <m:fName>
            <m:r>
              <m:rPr>
                <m:sty m:val="p"/>
              </m:rPr>
              <w:rPr>
                <w:rFonts w:ascii="Cambria Math" w:hAnsi="Cambria Math"/>
                <w:lang w:val="en-GB" w:eastAsia="en-GB"/>
              </w:rPr>
              <m:t>log</m:t>
            </m:r>
          </m:fName>
          <m:e>
            <m:d>
              <m:dPr>
                <m:ctrlPr>
                  <w:rPr>
                    <w:rFonts w:ascii="Cambria Math" w:hAnsi="Cambria Math"/>
                    <w:lang w:val="en-GB" w:eastAsia="en-GB"/>
                  </w:rPr>
                </m:ctrlPr>
              </m:dPr>
              <m:e>
                <m:sSub>
                  <m:sSubPr>
                    <m:ctrlPr>
                      <w:rPr>
                        <w:rFonts w:ascii="Cambria Math" w:hAnsi="Cambria Math"/>
                        <w:lang w:val="en-GB" w:eastAsia="en-GB"/>
                      </w:rPr>
                    </m:ctrlPr>
                  </m:sSubPr>
                  <m:e>
                    <m:r>
                      <m:rPr>
                        <m:sty m:val="p"/>
                      </m:rPr>
                      <w:rPr>
                        <w:rFonts w:ascii="Cambria Math" w:hAnsi="Cambria Math"/>
                        <w:lang w:val="en-GB" w:eastAsia="en-GB"/>
                      </w:rPr>
                      <m:t>h</m:t>
                    </m:r>
                  </m:e>
                  <m:sub>
                    <m:r>
                      <m:rPr>
                        <m:sty m:val="p"/>
                      </m:rPr>
                      <w:rPr>
                        <w:rFonts w:ascii="Cambria Math" w:hAnsi="Cambria Math"/>
                        <w:lang w:val="en-GB" w:eastAsia="en-GB"/>
                      </w:rPr>
                      <m:t>t</m:t>
                    </m:r>
                  </m:sub>
                </m:sSub>
              </m:e>
            </m:d>
          </m:e>
        </m:func>
        <m:r>
          <m:rPr>
            <m:sty m:val="p"/>
          </m:rPr>
          <w:rPr>
            <w:rFonts w:ascii="Cambria Math" w:hAnsi="Cambria Math"/>
            <w:lang w:val="en-GB" w:eastAsia="en-GB"/>
          </w:rPr>
          <m:t>=γ+</m:t>
        </m:r>
        <m:nary>
          <m:naryPr>
            <m:chr m:val="∑"/>
            <m:limLoc m:val="undOvr"/>
            <m:ctrlPr>
              <w:rPr>
                <w:rFonts w:ascii="Cambria Math" w:hAnsi="Cambria Math"/>
                <w:lang w:val="en-GB" w:eastAsia="en-GB"/>
              </w:rPr>
            </m:ctrlPr>
          </m:naryPr>
          <m:sub>
            <m:r>
              <m:rPr>
                <m:sty m:val="p"/>
              </m:rPr>
              <w:rPr>
                <w:rFonts w:ascii="Cambria Math" w:hAnsi="Cambria Math"/>
                <w:lang w:val="en-GB" w:eastAsia="en-GB"/>
              </w:rPr>
              <m:t>j=1</m:t>
            </m:r>
          </m:sub>
          <m:sup>
            <m:r>
              <m:rPr>
                <m:sty m:val="p"/>
              </m:rPr>
              <w:rPr>
                <w:rFonts w:ascii="Cambria Math" w:hAnsi="Cambria Math"/>
                <w:lang w:val="en-GB" w:eastAsia="en-GB"/>
              </w:rPr>
              <m:t>q</m:t>
            </m:r>
          </m:sup>
          <m:e>
            <m:sSub>
              <m:sSubPr>
                <m:ctrlPr>
                  <w:rPr>
                    <w:rFonts w:ascii="Cambria Math" w:hAnsi="Cambria Math"/>
                    <w:lang w:val="en-GB" w:eastAsia="en-GB"/>
                  </w:rPr>
                </m:ctrlPr>
              </m:sSubPr>
              <m:e>
                <m:r>
                  <m:rPr>
                    <m:sty m:val="p"/>
                  </m:rPr>
                  <w:rPr>
                    <w:rFonts w:ascii="Cambria Math" w:hAnsi="Cambria Math"/>
                    <w:lang w:val="en-GB" w:eastAsia="en-GB"/>
                  </w:rPr>
                  <m:t>ς</m:t>
                </m:r>
              </m:e>
              <m:sub>
                <m:r>
                  <m:rPr>
                    <m:sty m:val="p"/>
                  </m:rPr>
                  <w:rPr>
                    <w:rFonts w:ascii="Cambria Math" w:hAnsi="Cambria Math"/>
                    <w:lang w:val="en-GB" w:eastAsia="en-GB"/>
                  </w:rPr>
                  <m:t>j</m:t>
                </m:r>
              </m:sub>
            </m:sSub>
          </m:e>
        </m:nary>
        <m:d>
          <m:dPr>
            <m:begChr m:val="|"/>
            <m:endChr m:val="|"/>
            <m:ctrlPr>
              <w:rPr>
                <w:rFonts w:ascii="Cambria Math" w:hAnsi="Cambria Math"/>
                <w:lang w:val="en-GB" w:eastAsia="en-GB"/>
              </w:rPr>
            </m:ctrlPr>
          </m:dPr>
          <m:e>
            <m:f>
              <m:fPr>
                <m:ctrlPr>
                  <w:rPr>
                    <w:rFonts w:ascii="Cambria Math" w:hAnsi="Cambria Math"/>
                    <w:lang w:val="en-GB" w:eastAsia="en-GB"/>
                  </w:rPr>
                </m:ctrlPr>
              </m:fPr>
              <m:num>
                <m:sSub>
                  <m:sSubPr>
                    <m:ctrlPr>
                      <w:rPr>
                        <w:rFonts w:ascii="Cambria Math" w:hAnsi="Cambria Math"/>
                        <w:lang w:val="en-GB" w:eastAsia="en-GB"/>
                      </w:rPr>
                    </m:ctrlPr>
                  </m:sSubPr>
                  <m:e>
                    <m:r>
                      <m:rPr>
                        <m:sty m:val="p"/>
                      </m:rPr>
                      <w:rPr>
                        <w:rFonts w:ascii="Cambria Math" w:hAnsi="Cambria Math"/>
                        <w:lang w:val="en-GB" w:eastAsia="en-GB"/>
                      </w:rPr>
                      <m:t>u</m:t>
                    </m:r>
                  </m:e>
                  <m:sub>
                    <m:r>
                      <m:rPr>
                        <m:sty m:val="p"/>
                      </m:rPr>
                      <w:rPr>
                        <w:rFonts w:ascii="Cambria Math" w:hAnsi="Cambria Math"/>
                        <w:lang w:val="en-GB" w:eastAsia="en-GB"/>
                      </w:rPr>
                      <m:t>t-j</m:t>
                    </m:r>
                  </m:sub>
                </m:sSub>
              </m:num>
              <m:den>
                <m:rad>
                  <m:radPr>
                    <m:degHide m:val="1"/>
                    <m:ctrlPr>
                      <w:rPr>
                        <w:rFonts w:ascii="Cambria Math" w:hAnsi="Cambria Math"/>
                        <w:lang w:val="en-GB" w:eastAsia="en-GB"/>
                      </w:rPr>
                    </m:ctrlPr>
                  </m:radPr>
                  <m:deg/>
                  <m:e>
                    <m:sSub>
                      <m:sSubPr>
                        <m:ctrlPr>
                          <w:rPr>
                            <w:rFonts w:ascii="Cambria Math" w:hAnsi="Cambria Math"/>
                            <w:lang w:val="en-GB" w:eastAsia="en-GB"/>
                          </w:rPr>
                        </m:ctrlPr>
                      </m:sSubPr>
                      <m:e>
                        <m:r>
                          <m:rPr>
                            <m:sty m:val="p"/>
                          </m:rPr>
                          <w:rPr>
                            <w:rFonts w:ascii="Cambria Math" w:hAnsi="Cambria Math"/>
                            <w:lang w:val="en-GB" w:eastAsia="en-GB"/>
                          </w:rPr>
                          <m:t>h</m:t>
                        </m:r>
                      </m:e>
                      <m:sub>
                        <m:r>
                          <m:rPr>
                            <m:sty m:val="p"/>
                          </m:rPr>
                          <w:rPr>
                            <w:rFonts w:ascii="Cambria Math" w:hAnsi="Cambria Math"/>
                            <w:lang w:val="en-GB" w:eastAsia="en-GB"/>
                          </w:rPr>
                          <m:t>t-j</m:t>
                        </m:r>
                      </m:sub>
                    </m:sSub>
                  </m:e>
                </m:rad>
              </m:den>
            </m:f>
          </m:e>
        </m:d>
        <m:r>
          <m:rPr>
            <m:sty m:val="p"/>
          </m:rPr>
          <w:rPr>
            <w:rFonts w:ascii="Cambria Math" w:hAnsi="Cambria Math"/>
            <w:lang w:val="en-GB" w:eastAsia="en-GB"/>
          </w:rPr>
          <m:t>+</m:t>
        </m:r>
        <m:nary>
          <m:naryPr>
            <m:chr m:val="∑"/>
            <m:limLoc m:val="undOvr"/>
            <m:ctrlPr>
              <w:rPr>
                <w:rFonts w:ascii="Cambria Math" w:hAnsi="Cambria Math"/>
                <w:lang w:val="en-GB" w:eastAsia="en-GB"/>
              </w:rPr>
            </m:ctrlPr>
          </m:naryPr>
          <m:sub>
            <m:r>
              <m:rPr>
                <m:sty m:val="p"/>
              </m:rPr>
              <w:rPr>
                <w:rFonts w:ascii="Cambria Math" w:hAnsi="Cambria Math"/>
                <w:lang w:val="en-GB" w:eastAsia="en-GB"/>
              </w:rPr>
              <m:t>j=1</m:t>
            </m:r>
          </m:sub>
          <m:sup>
            <m:r>
              <m:rPr>
                <m:sty m:val="p"/>
              </m:rPr>
              <w:rPr>
                <w:rFonts w:ascii="Cambria Math" w:hAnsi="Cambria Math"/>
                <w:lang w:val="en-GB" w:eastAsia="en-GB"/>
              </w:rPr>
              <m:t>q</m:t>
            </m:r>
          </m:sup>
          <m:e>
            <m:sSub>
              <m:sSubPr>
                <m:ctrlPr>
                  <w:rPr>
                    <w:rFonts w:ascii="Cambria Math" w:hAnsi="Cambria Math"/>
                    <w:lang w:val="en-GB" w:eastAsia="en-GB"/>
                  </w:rPr>
                </m:ctrlPr>
              </m:sSubPr>
              <m:e>
                <m:r>
                  <m:rPr>
                    <m:sty m:val="p"/>
                  </m:rPr>
                  <w:rPr>
                    <w:rFonts w:ascii="Cambria Math" w:hAnsi="Cambria Math"/>
                    <w:lang w:val="en-GB" w:eastAsia="en-GB"/>
                  </w:rPr>
                  <m:t>ε</m:t>
                </m:r>
              </m:e>
              <m:sub>
                <m:r>
                  <m:rPr>
                    <m:sty m:val="p"/>
                  </m:rPr>
                  <w:rPr>
                    <w:rFonts w:ascii="Cambria Math" w:hAnsi="Cambria Math"/>
                    <w:lang w:val="en-GB" w:eastAsia="en-GB"/>
                  </w:rPr>
                  <m:t>j</m:t>
                </m:r>
              </m:sub>
            </m:sSub>
          </m:e>
        </m:nary>
        <m:f>
          <m:fPr>
            <m:ctrlPr>
              <w:rPr>
                <w:rFonts w:ascii="Cambria Math" w:hAnsi="Cambria Math"/>
                <w:lang w:val="en-GB" w:eastAsia="en-GB"/>
              </w:rPr>
            </m:ctrlPr>
          </m:fPr>
          <m:num>
            <m:sSub>
              <m:sSubPr>
                <m:ctrlPr>
                  <w:rPr>
                    <w:rFonts w:ascii="Cambria Math" w:hAnsi="Cambria Math"/>
                    <w:lang w:val="en-GB" w:eastAsia="en-GB"/>
                  </w:rPr>
                </m:ctrlPr>
              </m:sSubPr>
              <m:e>
                <m:r>
                  <m:rPr>
                    <m:sty m:val="p"/>
                  </m:rPr>
                  <w:rPr>
                    <w:rFonts w:ascii="Cambria Math" w:hAnsi="Cambria Math"/>
                    <w:lang w:val="en-GB" w:eastAsia="en-GB"/>
                  </w:rPr>
                  <m:t>u</m:t>
                </m:r>
              </m:e>
              <m:sub>
                <m:r>
                  <m:rPr>
                    <m:sty m:val="p"/>
                  </m:rPr>
                  <w:rPr>
                    <w:rFonts w:ascii="Cambria Math" w:hAnsi="Cambria Math"/>
                    <w:lang w:val="en-GB" w:eastAsia="en-GB"/>
                  </w:rPr>
                  <m:t>t-j</m:t>
                </m:r>
              </m:sub>
            </m:sSub>
          </m:num>
          <m:den>
            <m:rad>
              <m:radPr>
                <m:degHide m:val="1"/>
                <m:ctrlPr>
                  <w:rPr>
                    <w:rFonts w:ascii="Cambria Math" w:hAnsi="Cambria Math"/>
                    <w:lang w:val="en-GB" w:eastAsia="en-GB"/>
                  </w:rPr>
                </m:ctrlPr>
              </m:radPr>
              <m:deg/>
              <m:e>
                <m:sSub>
                  <m:sSubPr>
                    <m:ctrlPr>
                      <w:rPr>
                        <w:rFonts w:ascii="Cambria Math" w:hAnsi="Cambria Math"/>
                        <w:lang w:val="en-GB" w:eastAsia="en-GB"/>
                      </w:rPr>
                    </m:ctrlPr>
                  </m:sSubPr>
                  <m:e>
                    <m:r>
                      <m:rPr>
                        <m:sty m:val="p"/>
                      </m:rPr>
                      <w:rPr>
                        <w:rFonts w:ascii="Cambria Math" w:hAnsi="Cambria Math"/>
                        <w:lang w:val="en-GB" w:eastAsia="en-GB"/>
                      </w:rPr>
                      <m:t>h</m:t>
                    </m:r>
                  </m:e>
                  <m:sub>
                    <m:r>
                      <m:rPr>
                        <m:sty m:val="p"/>
                      </m:rPr>
                      <w:rPr>
                        <w:rFonts w:ascii="Cambria Math" w:hAnsi="Cambria Math"/>
                        <w:lang w:val="en-GB" w:eastAsia="en-GB"/>
                      </w:rPr>
                      <m:t>t-j</m:t>
                    </m:r>
                  </m:sub>
                </m:sSub>
              </m:e>
            </m:rad>
          </m:den>
        </m:f>
        <m:r>
          <m:rPr>
            <m:sty m:val="p"/>
          </m:rPr>
          <w:rPr>
            <w:rFonts w:ascii="Cambria Math" w:hAnsi="Cambria Math"/>
            <w:lang w:val="en-GB" w:eastAsia="en-GB"/>
          </w:rPr>
          <m:t>+</m:t>
        </m:r>
        <m:nary>
          <m:naryPr>
            <m:chr m:val="∑"/>
            <m:limLoc m:val="undOvr"/>
            <m:ctrlPr>
              <w:rPr>
                <w:rFonts w:ascii="Cambria Math" w:hAnsi="Cambria Math"/>
                <w:lang w:val="en-GB" w:eastAsia="en-GB"/>
              </w:rPr>
            </m:ctrlPr>
          </m:naryPr>
          <m:sub>
            <m:r>
              <m:rPr>
                <m:sty m:val="p"/>
              </m:rPr>
              <w:rPr>
                <w:rFonts w:ascii="Cambria Math" w:hAnsi="Cambria Math"/>
                <w:lang w:val="en-GB" w:eastAsia="en-GB"/>
              </w:rPr>
              <m:t>i=1</m:t>
            </m:r>
          </m:sub>
          <m:sup>
            <m:r>
              <m:rPr>
                <m:sty m:val="p"/>
              </m:rPr>
              <w:rPr>
                <w:rFonts w:ascii="Cambria Math" w:hAnsi="Cambria Math"/>
                <w:lang w:val="en-GB" w:eastAsia="en-GB"/>
              </w:rPr>
              <m:t>p</m:t>
            </m:r>
          </m:sup>
          <m:e>
            <m:sSub>
              <m:sSubPr>
                <m:ctrlPr>
                  <w:rPr>
                    <w:rFonts w:ascii="Cambria Math" w:hAnsi="Cambria Math"/>
                    <w:lang w:val="en-GB" w:eastAsia="en-GB"/>
                  </w:rPr>
                </m:ctrlPr>
              </m:sSubPr>
              <m:e>
                <m:r>
                  <m:rPr>
                    <m:sty m:val="p"/>
                  </m:rPr>
                  <w:rPr>
                    <w:rFonts w:ascii="Cambria Math" w:hAnsi="Cambria Math"/>
                    <w:lang w:val="en-GB" w:eastAsia="en-GB"/>
                  </w:rPr>
                  <m:t>δ</m:t>
                </m:r>
              </m:e>
              <m:sub>
                <m:r>
                  <m:rPr>
                    <m:sty m:val="p"/>
                  </m:rPr>
                  <w:rPr>
                    <w:rFonts w:ascii="Cambria Math" w:hAnsi="Cambria Math"/>
                    <w:lang w:val="en-GB" w:eastAsia="en-GB"/>
                  </w:rPr>
                  <m:t>i</m:t>
                </m:r>
              </m:sub>
            </m:sSub>
          </m:e>
        </m:nary>
        <m:r>
          <m:rPr>
            <m:sty m:val="p"/>
          </m:rPr>
          <w:rPr>
            <w:rFonts w:ascii="Cambria Math" w:hAnsi="Cambria Math"/>
            <w:lang w:val="en-GB" w:eastAsia="en-GB"/>
          </w:rPr>
          <m:t>log⁡(</m:t>
        </m:r>
        <m:sSub>
          <m:sSubPr>
            <m:ctrlPr>
              <w:rPr>
                <w:rFonts w:ascii="Cambria Math" w:hAnsi="Cambria Math"/>
                <w:lang w:val="en-GB" w:eastAsia="en-GB"/>
              </w:rPr>
            </m:ctrlPr>
          </m:sSubPr>
          <m:e>
            <m:r>
              <m:rPr>
                <m:sty m:val="p"/>
              </m:rPr>
              <w:rPr>
                <w:rFonts w:ascii="Cambria Math" w:hAnsi="Cambria Math"/>
                <w:lang w:val="en-GB" w:eastAsia="en-GB"/>
              </w:rPr>
              <m:t>h</m:t>
            </m:r>
          </m:e>
          <m:sub>
            <m:r>
              <m:rPr>
                <m:sty m:val="p"/>
              </m:rPr>
              <w:rPr>
                <w:rFonts w:ascii="Cambria Math" w:hAnsi="Cambria Math"/>
                <w:lang w:val="en-GB" w:eastAsia="en-GB"/>
              </w:rPr>
              <m:t>t-i</m:t>
            </m:r>
          </m:sub>
        </m:sSub>
        <m:r>
          <m:rPr>
            <m:sty m:val="p"/>
          </m:rPr>
          <w:rPr>
            <w:rFonts w:ascii="Cambria Math" w:hAnsi="Cambria Math"/>
            <w:lang w:val="en-GB" w:eastAsia="en-GB"/>
          </w:rPr>
          <m:t>)</m:t>
        </m:r>
      </m:oMath>
      <w:r w:rsidR="00F5779C" w:rsidRPr="00E3232D">
        <w:rPr>
          <w:rFonts w:ascii="Book Antiqua" w:hAnsi="Book Antiqua"/>
          <w:lang w:val="en-GB" w:eastAsia="en-GB"/>
        </w:rPr>
        <w:tab/>
      </w:r>
      <w:r w:rsidR="00F5779C" w:rsidRPr="00E3232D">
        <w:rPr>
          <w:rFonts w:ascii="Book Antiqua" w:hAnsi="Book Antiqua"/>
          <w:lang w:val="en-GB" w:eastAsia="en-GB"/>
        </w:rPr>
        <w:tab/>
      </w:r>
      <w:r w:rsidR="00F5779C" w:rsidRPr="00E3232D">
        <w:rPr>
          <w:rFonts w:ascii="Book Antiqua" w:hAnsi="Book Antiqua"/>
          <w:lang w:val="en-GB" w:eastAsia="en-GB"/>
        </w:rPr>
        <w:tab/>
        <w:t>(7)</w:t>
      </w:r>
    </w:p>
    <w:p w14:paraId="24DC8D66" w14:textId="77777777" w:rsidR="00F5779C" w:rsidRPr="00E3232D" w:rsidRDefault="00F5779C" w:rsidP="00735F75">
      <w:pPr>
        <w:autoSpaceDE w:val="0"/>
        <w:autoSpaceDN w:val="0"/>
        <w:adjustRightInd w:val="0"/>
        <w:jc w:val="both"/>
        <w:rPr>
          <w:rFonts w:ascii="Book Antiqua" w:hAnsi="Book Antiqua"/>
        </w:rPr>
      </w:pPr>
      <w:r w:rsidRPr="00E3232D">
        <w:rPr>
          <w:rFonts w:ascii="Book Antiqua" w:hAnsi="Book Antiqua"/>
        </w:rPr>
        <w:t>Where</w:t>
      </w:r>
      <m:oMath>
        <m:r>
          <m:rPr>
            <m:sty m:val="p"/>
          </m:rPr>
          <w:rPr>
            <w:rFonts w:ascii="Cambria Math" w:hAnsi="Cambria Math"/>
          </w:rPr>
          <m:t xml:space="preserve"> γ</m:t>
        </m:r>
      </m:oMath>
      <w:r w:rsidRPr="00E3232D">
        <w:rPr>
          <w:rFonts w:ascii="Book Antiqua" w:hAnsi="Book Antiqua"/>
        </w:rPr>
        <w:t xml:space="preserve">, the </w:t>
      </w:r>
      <m:oMath>
        <m:sSup>
          <m:sSupPr>
            <m:ctrlPr>
              <w:rPr>
                <w:rFonts w:ascii="Cambria Math" w:hAnsi="Cambria Math"/>
              </w:rPr>
            </m:ctrlPr>
          </m:sSupPr>
          <m:e>
            <m:r>
              <m:rPr>
                <m:sty m:val="p"/>
              </m:rPr>
              <w:rPr>
                <w:rFonts w:ascii="Cambria Math" w:hAnsi="Cambria Math"/>
              </w:rPr>
              <m:t>ζ</m:t>
            </m:r>
          </m:e>
          <m:sup>
            <m:r>
              <m:rPr>
                <m:sty m:val="p"/>
              </m:rPr>
              <w:rPr>
                <w:rFonts w:ascii="Cambria Math" w:hAnsi="Cambria Math"/>
              </w:rPr>
              <m:t>'</m:t>
            </m:r>
          </m:sup>
        </m:sSup>
        <m:r>
          <m:rPr>
            <m:sty m:val="p"/>
          </m:rPr>
          <w:rPr>
            <w:rFonts w:ascii="Cambria Math" w:hAnsi="Cambria Math"/>
          </w:rPr>
          <m:t>s,  ε's</m:t>
        </m:r>
      </m:oMath>
      <w:r w:rsidRPr="00E3232D">
        <w:rPr>
          <w:rFonts w:ascii="Book Antiqua" w:hAnsi="Book Antiqua"/>
        </w:rPr>
        <w:t xml:space="preserve"> and </w:t>
      </w:r>
      <m:oMath>
        <m:r>
          <m:rPr>
            <m:sty m:val="p"/>
          </m:rPr>
          <w:rPr>
            <w:rFonts w:ascii="Cambria Math" w:hAnsi="Cambria Math"/>
          </w:rPr>
          <m:t>δ's</m:t>
        </m:r>
      </m:oMath>
      <w:r w:rsidRPr="00E3232D">
        <w:rPr>
          <w:rFonts w:ascii="Book Antiqua" w:hAnsi="Book Antiqua"/>
        </w:rPr>
        <w:t xml:space="preserve"> are parameters to be estimated. The EGARCH model allows for the testing of asymmetries. </w:t>
      </w:r>
    </w:p>
    <w:p w14:paraId="3C294950" w14:textId="77777777" w:rsidR="00F5779C" w:rsidRPr="00E3232D" w:rsidRDefault="00F5779C" w:rsidP="00735F75">
      <w:pPr>
        <w:autoSpaceDE w:val="0"/>
        <w:autoSpaceDN w:val="0"/>
        <w:adjustRightInd w:val="0"/>
        <w:jc w:val="both"/>
        <w:rPr>
          <w:rFonts w:ascii="Book Antiqua" w:hAnsi="Book Antiqua"/>
          <w:lang w:val="en-GB" w:eastAsia="en-GB"/>
        </w:rPr>
      </w:pPr>
    </w:p>
    <w:p w14:paraId="16EE51F0" w14:textId="77777777" w:rsidR="00F5779C" w:rsidRPr="00E3232D" w:rsidRDefault="00F5779C" w:rsidP="00735F75">
      <w:pPr>
        <w:autoSpaceDE w:val="0"/>
        <w:autoSpaceDN w:val="0"/>
        <w:adjustRightInd w:val="0"/>
        <w:jc w:val="both"/>
        <w:rPr>
          <w:rFonts w:ascii="Book Antiqua" w:hAnsi="Book Antiqua"/>
          <w:b/>
        </w:rPr>
      </w:pPr>
      <w:r w:rsidRPr="00E3232D">
        <w:rPr>
          <w:rFonts w:ascii="Book Antiqua" w:hAnsi="Book Antiqua"/>
          <w:b/>
        </w:rPr>
        <w:t>ESTIMATING GARCH MODELS</w:t>
      </w:r>
    </w:p>
    <w:p w14:paraId="4FCA2FCA" w14:textId="77777777" w:rsidR="00F5779C" w:rsidRPr="00E3232D" w:rsidRDefault="00F5779C" w:rsidP="00735F75">
      <w:pPr>
        <w:autoSpaceDE w:val="0"/>
        <w:autoSpaceDN w:val="0"/>
        <w:adjustRightInd w:val="0"/>
        <w:jc w:val="both"/>
        <w:rPr>
          <w:rFonts w:ascii="Book Antiqua" w:hAnsi="Book Antiqua"/>
        </w:rPr>
      </w:pPr>
      <w:r w:rsidRPr="00E3232D">
        <w:rPr>
          <w:rFonts w:ascii="Book Antiqua" w:hAnsi="Book Antiqua"/>
        </w:rPr>
        <w:t>GARCH models are usually estimated using numerical procedures to maximize the likelihood function, which produces the most likely values of the parameters given the data. It is important to be aware that the likelihood function can have multiple local maxima, and different algorithms can lead to different parameter estimates and standard errors. Good initial estimates of the parameters are useful to ensure the global maximum is reached. It is also important to be aware that the log-likelihood function can be relatively flat in the region of its maximum value, and in this case different parameter values can lead to similar values of the likelihood function, making it difficult to select an appropriate value.</w:t>
      </w:r>
    </w:p>
    <w:p w14:paraId="1A983CCA" w14:textId="77777777" w:rsidR="00F5779C" w:rsidRPr="00735F75" w:rsidRDefault="00F5779C" w:rsidP="00735F75">
      <w:pPr>
        <w:autoSpaceDE w:val="0"/>
        <w:autoSpaceDN w:val="0"/>
        <w:adjustRightInd w:val="0"/>
        <w:jc w:val="both"/>
        <w:rPr>
          <w:rFonts w:ascii="Book Antiqua" w:hAnsi="Book Antiqua"/>
        </w:rPr>
      </w:pPr>
      <w:r w:rsidRPr="00E3232D">
        <w:rPr>
          <w:rFonts w:ascii="Book Antiqua" w:hAnsi="Book Antiqua"/>
        </w:rPr>
        <w:t>Most GARCH models are estimated using the Berndt-Hall-Hall- Hausman (BHHH) (1974) algorithm. This algorithm obtains the first derivatives of the likelihood function with respect to the numerically calculated parameters, and approximations to the second derivative are subsequently calculated. The Broyden-Fletcher-Goldfarb-Shanno (BFGS) method solves unconstrained nonlinear optimization problems by calculating the likelihood function gradient in the same way as the BHHH, but it differs in its construction of the Hessian matrix of second derivatives. The BFGS and BHHH are asymptotically equivalent, but can lead to different estimates of the standard errors in small samples.</w:t>
      </w:r>
    </w:p>
    <w:p w14:paraId="5D60D424" w14:textId="77777777" w:rsidR="00F5779C" w:rsidRPr="00E3232D" w:rsidRDefault="002D5D59" w:rsidP="008275E1">
      <w:pPr>
        <w:autoSpaceDE w:val="0"/>
        <w:autoSpaceDN w:val="0"/>
        <w:adjustRightInd w:val="0"/>
        <w:rPr>
          <w:rFonts w:ascii="Book Antiqua" w:hAnsi="Book Antiqua"/>
          <w:b/>
          <w:bCs/>
          <w:lang w:val="en-GB" w:eastAsia="en-GB"/>
        </w:rPr>
      </w:pPr>
      <w:r>
        <w:rPr>
          <w:rFonts w:ascii="Book Antiqua" w:hAnsi="Book Antiqua"/>
          <w:b/>
          <w:bCs/>
          <w:lang w:val="en-GB" w:eastAsia="en-GB"/>
        </w:rPr>
        <w:t>2</w:t>
      </w:r>
      <w:r w:rsidR="00F5779C" w:rsidRPr="00E3232D">
        <w:rPr>
          <w:rFonts w:ascii="Book Antiqua" w:hAnsi="Book Antiqua"/>
          <w:b/>
          <w:bCs/>
          <w:lang w:val="en-GB" w:eastAsia="en-GB"/>
        </w:rPr>
        <w:t xml:space="preserve">.0 </w:t>
      </w:r>
      <w:r w:rsidR="00F5779C" w:rsidRPr="00735F75">
        <w:rPr>
          <w:rFonts w:ascii="Book Antiqua" w:hAnsi="Book Antiqua"/>
          <w:b/>
          <w:bCs/>
          <w:sz w:val="26"/>
          <w:lang w:val="en-GB" w:eastAsia="en-GB"/>
        </w:rPr>
        <w:t>Methodology</w:t>
      </w:r>
    </w:p>
    <w:p w14:paraId="66B76336"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 xml:space="preserve">In this study, simple rate of returns is employed to model the currency exchange rate volatility of Ghana Cedi-United States Dollar. Consider a foreign exchange rate </w:t>
      </w:r>
      <m:oMath>
        <m:sSub>
          <m:sSubPr>
            <m:ctrlPr>
              <w:rPr>
                <w:rFonts w:ascii="Cambria Math" w:hAnsi="Cambria Math"/>
                <w:lang w:val="en-GB" w:eastAsia="en-GB"/>
              </w:rPr>
            </m:ctrlPr>
          </m:sSubPr>
          <m:e>
            <m:r>
              <m:rPr>
                <m:sty m:val="p"/>
              </m:rPr>
              <w:rPr>
                <w:rFonts w:ascii="Cambria Math" w:hAnsi="Cambria Math"/>
                <w:lang w:val="en-GB" w:eastAsia="en-GB"/>
              </w:rPr>
              <m:t>E</m:t>
            </m:r>
          </m:e>
          <m:sub>
            <m:r>
              <m:rPr>
                <m:sty m:val="p"/>
              </m:rPr>
              <w:rPr>
                <w:rFonts w:ascii="Cambria Math" w:hAnsi="Cambria Math"/>
                <w:lang w:val="en-GB" w:eastAsia="en-GB"/>
              </w:rPr>
              <m:t>t</m:t>
            </m:r>
          </m:sub>
        </m:sSub>
        <m:r>
          <m:rPr>
            <m:sty m:val="p"/>
          </m:rPr>
          <w:rPr>
            <w:rFonts w:ascii="Cambria Math" w:hAnsi="Cambria Math"/>
            <w:lang w:val="en-GB" w:eastAsia="en-GB"/>
          </w:rPr>
          <m:t xml:space="preserve">  </m:t>
        </m:r>
      </m:oMath>
      <w:r w:rsidRPr="00E3232D">
        <w:rPr>
          <w:rFonts w:ascii="Book Antiqua" w:hAnsi="Book Antiqua"/>
          <w:lang w:val="en-GB" w:eastAsia="en-GB"/>
        </w:rPr>
        <w:t xml:space="preserve">its rate of return </w:t>
      </w:r>
      <m:oMath>
        <m:sSub>
          <m:sSubPr>
            <m:ctrlPr>
              <w:rPr>
                <w:rFonts w:ascii="Cambria Math" w:hAnsi="Cambria Math"/>
                <w:lang w:val="en-GB" w:eastAsia="en-GB"/>
              </w:rPr>
            </m:ctrlPr>
          </m:sSubPr>
          <m:e>
            <m:r>
              <m:rPr>
                <m:sty m:val="p"/>
              </m:rPr>
              <w:rPr>
                <w:rFonts w:ascii="Cambria Math" w:hAnsi="Cambria Math"/>
                <w:lang w:val="en-GB" w:eastAsia="en-GB"/>
              </w:rPr>
              <m:t>r</m:t>
            </m:r>
          </m:e>
          <m:sub>
            <m:r>
              <m:rPr>
                <m:sty m:val="p"/>
              </m:rPr>
              <w:rPr>
                <w:rFonts w:ascii="Cambria Math" w:hAnsi="Cambria Math"/>
                <w:lang w:val="en-GB" w:eastAsia="en-GB"/>
              </w:rPr>
              <m:t>t</m:t>
            </m:r>
          </m:sub>
        </m:sSub>
      </m:oMath>
      <w:r w:rsidRPr="00E3232D">
        <w:rPr>
          <w:rFonts w:ascii="Book Antiqua" w:hAnsi="Book Antiqua"/>
          <w:lang w:val="en-GB" w:eastAsia="en-GB"/>
        </w:rPr>
        <w:t xml:space="preserve">  is constructed as</w:t>
      </w:r>
    </w:p>
    <w:p w14:paraId="2465EB4E" w14:textId="77777777" w:rsidR="00F5779C" w:rsidRPr="00E3232D" w:rsidRDefault="00850DC5" w:rsidP="008275E1">
      <w:pPr>
        <w:autoSpaceDE w:val="0"/>
        <w:autoSpaceDN w:val="0"/>
        <w:adjustRightInd w:val="0"/>
        <w:rPr>
          <w:rFonts w:ascii="Book Antiqua" w:hAnsi="Book Antiqua"/>
          <w:lang w:val="en-GB" w:eastAsia="en-GB"/>
        </w:rPr>
      </w:pPr>
      <m:oMath>
        <m:sSub>
          <m:sSubPr>
            <m:ctrlPr>
              <w:rPr>
                <w:rFonts w:ascii="Cambria Math" w:hAnsi="Cambria Math"/>
                <w:lang w:val="en-GB" w:eastAsia="en-GB"/>
              </w:rPr>
            </m:ctrlPr>
          </m:sSubPr>
          <m:e>
            <m:r>
              <m:rPr>
                <m:sty m:val="p"/>
              </m:rPr>
              <w:rPr>
                <w:rFonts w:ascii="Cambria Math" w:hAnsi="Cambria Math"/>
                <w:lang w:val="en-GB" w:eastAsia="en-GB"/>
              </w:rPr>
              <m:t>r</m:t>
            </m:r>
          </m:e>
          <m:sub>
            <m:r>
              <m:rPr>
                <m:sty m:val="p"/>
              </m:rPr>
              <w:rPr>
                <w:rFonts w:ascii="Cambria Math" w:hAnsi="Cambria Math"/>
                <w:lang w:val="en-GB" w:eastAsia="en-GB"/>
              </w:rPr>
              <m:t>t</m:t>
            </m:r>
          </m:sub>
        </m:sSub>
        <m:r>
          <m:rPr>
            <m:sty m:val="p"/>
          </m:rPr>
          <w:rPr>
            <w:rFonts w:ascii="Cambria Math" w:hAnsi="Cambria Math"/>
            <w:lang w:val="en-GB" w:eastAsia="en-GB"/>
          </w:rPr>
          <m:t>=ln⁡(</m:t>
        </m:r>
        <m:f>
          <m:fPr>
            <m:ctrlPr>
              <w:rPr>
                <w:rFonts w:ascii="Cambria Math" w:hAnsi="Cambria Math"/>
                <w:lang w:val="en-GB" w:eastAsia="en-GB"/>
              </w:rPr>
            </m:ctrlPr>
          </m:fPr>
          <m:num>
            <m:sSub>
              <m:sSubPr>
                <m:ctrlPr>
                  <w:rPr>
                    <w:rFonts w:ascii="Cambria Math" w:hAnsi="Cambria Math"/>
                    <w:lang w:val="en-GB" w:eastAsia="en-GB"/>
                  </w:rPr>
                </m:ctrlPr>
              </m:sSubPr>
              <m:e>
                <m:r>
                  <m:rPr>
                    <m:sty m:val="p"/>
                  </m:rPr>
                  <w:rPr>
                    <w:rFonts w:ascii="Cambria Math" w:hAnsi="Cambria Math"/>
                    <w:lang w:val="en-GB" w:eastAsia="en-GB"/>
                  </w:rPr>
                  <m:t>E</m:t>
                </m:r>
              </m:e>
              <m:sub>
                <m:r>
                  <m:rPr>
                    <m:sty m:val="p"/>
                  </m:rPr>
                  <w:rPr>
                    <w:rFonts w:ascii="Cambria Math" w:hAnsi="Cambria Math"/>
                    <w:lang w:val="en-GB" w:eastAsia="en-GB"/>
                  </w:rPr>
                  <m:t>t</m:t>
                </m:r>
              </m:sub>
            </m:sSub>
          </m:num>
          <m:den>
            <m:sSub>
              <m:sSubPr>
                <m:ctrlPr>
                  <w:rPr>
                    <w:rFonts w:ascii="Cambria Math" w:hAnsi="Cambria Math"/>
                    <w:lang w:val="en-GB" w:eastAsia="en-GB"/>
                  </w:rPr>
                </m:ctrlPr>
              </m:sSubPr>
              <m:e>
                <m:r>
                  <m:rPr>
                    <m:sty m:val="p"/>
                  </m:rPr>
                  <w:rPr>
                    <w:rFonts w:ascii="Cambria Math" w:hAnsi="Cambria Math"/>
                    <w:lang w:val="en-GB" w:eastAsia="en-GB"/>
                  </w:rPr>
                  <m:t>E</m:t>
                </m:r>
              </m:e>
              <m:sub>
                <m:r>
                  <m:rPr>
                    <m:sty m:val="p"/>
                  </m:rPr>
                  <w:rPr>
                    <w:rFonts w:ascii="Cambria Math" w:hAnsi="Cambria Math"/>
                    <w:lang w:val="en-GB" w:eastAsia="en-GB"/>
                  </w:rPr>
                  <m:t>t-1</m:t>
                </m:r>
              </m:sub>
            </m:sSub>
          </m:den>
        </m:f>
        <m:r>
          <m:rPr>
            <m:sty m:val="p"/>
          </m:rPr>
          <w:rPr>
            <w:rFonts w:ascii="Cambria Math" w:hAnsi="Cambria Math"/>
            <w:lang w:val="en-GB" w:eastAsia="en-GB"/>
          </w:rPr>
          <m:t>)</m:t>
        </m:r>
      </m:oMath>
      <w:r w:rsidR="00735F75">
        <w:rPr>
          <w:rFonts w:ascii="Book Antiqua" w:hAnsi="Book Antiqua"/>
          <w:lang w:val="en-GB" w:eastAsia="en-GB"/>
        </w:rPr>
        <w:tab/>
      </w:r>
      <w:r w:rsidR="00735F75">
        <w:rPr>
          <w:rFonts w:ascii="Book Antiqua" w:hAnsi="Book Antiqua"/>
          <w:lang w:val="en-GB" w:eastAsia="en-GB"/>
        </w:rPr>
        <w:tab/>
      </w:r>
      <w:r w:rsidR="00735F75">
        <w:rPr>
          <w:rFonts w:ascii="Book Antiqua" w:hAnsi="Book Antiqua"/>
          <w:lang w:val="en-GB" w:eastAsia="en-GB"/>
        </w:rPr>
        <w:tab/>
      </w:r>
      <w:r w:rsidR="00735F75">
        <w:rPr>
          <w:rFonts w:ascii="Book Antiqua" w:hAnsi="Book Antiqua"/>
          <w:lang w:val="en-GB" w:eastAsia="en-GB"/>
        </w:rPr>
        <w:tab/>
      </w:r>
      <w:r w:rsidR="00F5779C" w:rsidRPr="00E3232D">
        <w:rPr>
          <w:rFonts w:ascii="Book Antiqua" w:hAnsi="Book Antiqua"/>
          <w:lang w:val="en-GB" w:eastAsia="en-GB"/>
        </w:rPr>
        <w:t>(8)</w:t>
      </w:r>
    </w:p>
    <w:p w14:paraId="7500DD42" w14:textId="77777777" w:rsidR="0094223C"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The exchange rate t denotes daily exchange rate observations.</w:t>
      </w:r>
    </w:p>
    <w:p w14:paraId="3D352995" w14:textId="77777777" w:rsidR="00F5779C" w:rsidRPr="00E3232D" w:rsidRDefault="00F5779C" w:rsidP="00735F75">
      <w:pPr>
        <w:autoSpaceDE w:val="0"/>
        <w:autoSpaceDN w:val="0"/>
        <w:adjustRightInd w:val="0"/>
        <w:jc w:val="both"/>
        <w:rPr>
          <w:rFonts w:ascii="Book Antiqua" w:hAnsi="Book Antiqua"/>
          <w:lang w:val="en-GB" w:eastAsia="en-GB"/>
        </w:rPr>
      </w:pPr>
      <w:r w:rsidRPr="00E3232D">
        <w:rPr>
          <w:rFonts w:ascii="Book Antiqua" w:hAnsi="Book Antiqua"/>
          <w:lang w:val="en-GB" w:eastAsia="en-GB"/>
        </w:rPr>
        <w:t xml:space="preserve">The foreign exchange rate used in this study is focused on the Ghana Cedi to the United States dollar. </w:t>
      </w:r>
      <w:r w:rsidRPr="00E3232D">
        <w:rPr>
          <w:rFonts w:ascii="Book Antiqua" w:hAnsi="Book Antiqua"/>
        </w:rPr>
        <w:t xml:space="preserve">This exchange rate is chosen because the Ghana public debt in American dollar represents 50 percent of the total debt portfolio . </w:t>
      </w:r>
      <w:r w:rsidRPr="00E3232D">
        <w:rPr>
          <w:rFonts w:ascii="Book Antiqua" w:hAnsi="Book Antiqua"/>
          <w:lang w:val="en-GB" w:eastAsia="en-GB"/>
        </w:rPr>
        <w:t>The data was collected from 18 January 2010 to 25 February 2011. The daily closing exchange rates were used as the daily observations. Data is obtained from Pacific Exchange Rate Database. The analysis is done using the econometric package EViews 5.</w:t>
      </w:r>
    </w:p>
    <w:p w14:paraId="3B8915AA" w14:textId="77777777" w:rsidR="00F5779C" w:rsidRPr="00735F75" w:rsidRDefault="002D5D59" w:rsidP="008275E1">
      <w:pPr>
        <w:autoSpaceDE w:val="0"/>
        <w:autoSpaceDN w:val="0"/>
        <w:adjustRightInd w:val="0"/>
        <w:rPr>
          <w:rFonts w:ascii="Book Antiqua" w:eastAsia="Swift-Regular" w:hAnsi="Book Antiqua"/>
          <w:b/>
          <w:sz w:val="26"/>
          <w:lang w:val="en-GB" w:eastAsia="en-GB"/>
        </w:rPr>
      </w:pPr>
      <w:r>
        <w:rPr>
          <w:rFonts w:ascii="Book Antiqua" w:eastAsia="Swift-Regular" w:hAnsi="Book Antiqua"/>
          <w:b/>
          <w:sz w:val="26"/>
          <w:lang w:val="en-GB" w:eastAsia="en-GB"/>
        </w:rPr>
        <w:t>3</w:t>
      </w:r>
      <w:r w:rsidR="00F5779C" w:rsidRPr="00735F75">
        <w:rPr>
          <w:rFonts w:ascii="Book Antiqua" w:eastAsia="Swift-Regular" w:hAnsi="Book Antiqua"/>
          <w:b/>
          <w:sz w:val="26"/>
          <w:lang w:val="en-GB" w:eastAsia="en-GB"/>
        </w:rPr>
        <w:t>.0 Results</w:t>
      </w:r>
      <w:r>
        <w:rPr>
          <w:rFonts w:ascii="Book Antiqua" w:eastAsia="Swift-Regular" w:hAnsi="Book Antiqua"/>
          <w:b/>
          <w:sz w:val="26"/>
          <w:lang w:val="en-GB" w:eastAsia="en-GB"/>
        </w:rPr>
        <w:t xml:space="preserve"> and Discussion</w:t>
      </w:r>
    </w:p>
    <w:p w14:paraId="1511011D" w14:textId="77777777" w:rsidR="00F5779C" w:rsidRPr="00E3232D" w:rsidRDefault="00F5779C" w:rsidP="00735F75">
      <w:pPr>
        <w:autoSpaceDE w:val="0"/>
        <w:autoSpaceDN w:val="0"/>
        <w:adjustRightInd w:val="0"/>
        <w:jc w:val="both"/>
        <w:rPr>
          <w:rFonts w:ascii="Book Antiqua" w:eastAsia="Swift-Regular" w:hAnsi="Book Antiqua"/>
          <w:lang w:val="en-GB" w:eastAsia="en-GB"/>
        </w:rPr>
      </w:pPr>
      <w:r w:rsidRPr="00E3232D">
        <w:rPr>
          <w:rFonts w:ascii="Book Antiqua" w:eastAsia="Swift-Regular" w:hAnsi="Book Antiqua"/>
          <w:lang w:val="en-GB" w:eastAsia="en-GB"/>
        </w:rPr>
        <w:t xml:space="preserve">Fig 1 shows daily observed exchange rates of the Ghana Cedi to the United States dollar, covering the period. The returns of GHC_USD are plotted as shown in fig. 2. We can see that there are certain periods that have higher volatility (and therefore are riskier) than others. This means that the expected value of the magnitude of the disturbance terms can be greater at certain periods compared to others. The spikes in Figure 2 suggest that the daily return series are not random walk processes, and that there exists significant volatility clustering. </w:t>
      </w:r>
    </w:p>
    <w:p w14:paraId="48646DA8" w14:textId="77777777" w:rsidR="005C200E" w:rsidRDefault="00F5779C" w:rsidP="00735F75">
      <w:pPr>
        <w:jc w:val="both"/>
        <w:rPr>
          <w:rFonts w:ascii="Book Antiqua" w:eastAsia="Swift-Regular" w:hAnsi="Book Antiqua"/>
          <w:lang w:val="en-GB" w:eastAsia="en-GB"/>
        </w:rPr>
      </w:pPr>
      <w:r w:rsidRPr="00E3232D">
        <w:rPr>
          <w:rFonts w:ascii="Book Antiqua" w:eastAsia="Swift-Regular" w:hAnsi="Book Antiqua"/>
          <w:lang w:val="en-GB" w:eastAsia="en-GB"/>
        </w:rPr>
        <w:t xml:space="preserve">Fig. 3 is the graph of conditional standard deviation for an </w:t>
      </w:r>
      <w:r w:rsidR="005C200E" w:rsidRPr="00E3232D">
        <w:rPr>
          <w:rFonts w:ascii="Book Antiqua" w:eastAsia="Swift-Regular" w:hAnsi="Book Antiqua"/>
          <w:lang w:val="en-GB" w:eastAsia="en-GB"/>
        </w:rPr>
        <w:t>ARCH (</w:t>
      </w:r>
      <w:r w:rsidRPr="00E3232D">
        <w:rPr>
          <w:rFonts w:ascii="Book Antiqua" w:eastAsia="Swift-Regular" w:hAnsi="Book Antiqua"/>
          <w:lang w:val="en-GB" w:eastAsia="en-GB"/>
        </w:rPr>
        <w:t>1) model of the GHC_USD returns. The graph provides a conditional variance series which is very spiky.</w:t>
      </w:r>
    </w:p>
    <w:p w14:paraId="4FCFA1BE" w14:textId="77777777" w:rsidR="005C200E" w:rsidRPr="00735F75" w:rsidRDefault="00F5779C" w:rsidP="00735F75">
      <w:pPr>
        <w:autoSpaceDE w:val="0"/>
        <w:autoSpaceDN w:val="0"/>
        <w:adjustRightInd w:val="0"/>
        <w:jc w:val="both"/>
        <w:rPr>
          <w:rFonts w:ascii="Book Antiqua" w:hAnsi="Book Antiqua"/>
          <w:lang w:val="en-GB" w:eastAsia="en-GB"/>
        </w:rPr>
      </w:pPr>
      <w:r w:rsidRPr="00E3232D">
        <w:rPr>
          <w:rFonts w:ascii="Book Antiqua" w:eastAsia="Swift-Regular" w:hAnsi="Book Antiqua"/>
          <w:lang w:val="en-GB" w:eastAsia="en-GB"/>
        </w:rPr>
        <w:t xml:space="preserve">Some descriptive statistics of the rate of returns are given in Table 1. </w:t>
      </w:r>
      <w:r w:rsidRPr="00E3232D">
        <w:rPr>
          <w:rFonts w:ascii="Book Antiqua" w:hAnsi="Book Antiqua"/>
          <w:lang w:val="en-GB" w:eastAsia="en-GB"/>
        </w:rPr>
        <w:t>The mean and variance are quite small. The excess kurtosis indicates the necessity of fat-tailed distribution to describe these variables. The skewness of -0.085 indicates that the distribution of rate of returns for GHC_USD is negatively skewed.</w:t>
      </w:r>
    </w:p>
    <w:p w14:paraId="6B7CDC73" w14:textId="77777777" w:rsidR="005C200E" w:rsidRDefault="00F5779C" w:rsidP="00735F75">
      <w:pPr>
        <w:autoSpaceDE w:val="0"/>
        <w:autoSpaceDN w:val="0"/>
        <w:adjustRightInd w:val="0"/>
        <w:jc w:val="both"/>
        <w:rPr>
          <w:rFonts w:ascii="Book Antiqua" w:eastAsia="Swift-Regular" w:hAnsi="Book Antiqua"/>
          <w:lang w:val="en-GB" w:eastAsia="en-GB"/>
        </w:rPr>
      </w:pPr>
      <w:r w:rsidRPr="00E3232D">
        <w:rPr>
          <w:rFonts w:ascii="Book Antiqua" w:eastAsia="Swift-Regular" w:hAnsi="Book Antiqua"/>
          <w:lang w:val="en-GB" w:eastAsia="en-GB"/>
        </w:rPr>
        <w:t xml:space="preserve">As a first step, we wanted to check whether the series is characterized by ARCH effect. So we tested for ARCH (1). The </w:t>
      </w:r>
      <m:oMath>
        <m:r>
          <m:rPr>
            <m:sty m:val="p"/>
          </m:rPr>
          <w:rPr>
            <w:rFonts w:ascii="Cambria Math" w:eastAsia="Swift-Regular" w:hAnsi="Cambria Math"/>
            <w:lang w:val="en-GB" w:eastAsia="en-GB"/>
          </w:rPr>
          <m:t>T*</m:t>
        </m:r>
        <m:sSup>
          <m:sSupPr>
            <m:ctrlPr>
              <w:rPr>
                <w:rFonts w:ascii="Cambria Math" w:eastAsia="Swift-Regular" w:hAnsi="Cambria Math"/>
                <w:lang w:val="en-GB" w:eastAsia="en-GB"/>
              </w:rPr>
            </m:ctrlPr>
          </m:sSupPr>
          <m:e>
            <m:r>
              <m:rPr>
                <m:sty m:val="p"/>
              </m:rPr>
              <w:rPr>
                <w:rFonts w:ascii="Cambria Math" w:eastAsia="Swift-Regular" w:hAnsi="Cambria Math"/>
                <w:lang w:val="en-GB" w:eastAsia="en-GB"/>
              </w:rPr>
              <m:t>R</m:t>
            </m:r>
          </m:e>
          <m:sup>
            <m:r>
              <m:rPr>
                <m:sty m:val="p"/>
              </m:rPr>
              <w:rPr>
                <w:rFonts w:ascii="Cambria Math" w:eastAsia="Swift-Regular" w:hAnsi="Cambria Math"/>
                <w:lang w:val="en-GB" w:eastAsia="en-GB"/>
              </w:rPr>
              <m:t>2</m:t>
            </m:r>
          </m:sup>
        </m:sSup>
      </m:oMath>
      <w:r w:rsidRPr="00E3232D">
        <w:rPr>
          <w:rFonts w:ascii="Book Antiqua" w:eastAsia="Swift-Regular" w:hAnsi="Book Antiqua"/>
          <w:lang w:val="en-GB" w:eastAsia="en-GB"/>
        </w:rPr>
        <w:t xml:space="preserve"> statistic (or </w:t>
      </w:r>
      <w:r w:rsidRPr="00E3232D">
        <w:rPr>
          <w:rFonts w:ascii="Book Antiqua" w:hAnsi="Book Antiqua"/>
          <w:color w:val="000000"/>
          <w:lang w:val="en-GB" w:eastAsia="en-GB"/>
        </w:rPr>
        <w:t>Obs*R-squared (from Table 2)</w:t>
      </w:r>
      <w:r w:rsidRPr="00E3232D">
        <w:rPr>
          <w:rFonts w:ascii="Book Antiqua" w:eastAsia="Swift-Regular" w:hAnsi="Book Antiqua"/>
          <w:lang w:val="en-GB" w:eastAsia="en-GB"/>
        </w:rPr>
        <w:t>) is 29.27 and has a probability limit of 0.000. This clearly suggests that ARCH effects are present. This led to the indication that GARCH-type model is appropriate for the data.</w:t>
      </w:r>
    </w:p>
    <w:p w14:paraId="30220D3B" w14:textId="77777777" w:rsidR="00F5779C" w:rsidRPr="00E3232D" w:rsidRDefault="00F5779C" w:rsidP="00735F75">
      <w:pPr>
        <w:autoSpaceDE w:val="0"/>
        <w:autoSpaceDN w:val="0"/>
        <w:adjustRightInd w:val="0"/>
        <w:jc w:val="both"/>
        <w:rPr>
          <w:rFonts w:ascii="Book Antiqua" w:eastAsia="Swift-Regular" w:hAnsi="Book Antiqua"/>
          <w:lang w:val="en-GB" w:eastAsia="en-GB"/>
        </w:rPr>
      </w:pPr>
      <w:r w:rsidRPr="00E3232D">
        <w:rPr>
          <w:rFonts w:ascii="Book Antiqua" w:eastAsia="Swift-Regular" w:hAnsi="Book Antiqua"/>
          <w:lang w:val="en-GB" w:eastAsia="en-GB"/>
        </w:rPr>
        <w:t>Table 3 displays the result of GARCH (1,1). The coefficients on both the lagged squared residual and lagged conditional variance terms in the conditional variance equation are highly statistically significant. Unlike, as is typical of GARCH model estimates for financial asset returns data, the sum of the coefficients on the lagged squared error and lagged conditional variance is very close to unity (approximately 0.96). This implies that shocks to the conditional variance will be highly persistent.</w:t>
      </w:r>
    </w:p>
    <w:p w14:paraId="2562682D" w14:textId="77777777" w:rsidR="00F5779C" w:rsidRPr="00E3232D" w:rsidRDefault="00F5779C" w:rsidP="00735F75">
      <w:pPr>
        <w:autoSpaceDE w:val="0"/>
        <w:autoSpaceDN w:val="0"/>
        <w:adjustRightInd w:val="0"/>
        <w:jc w:val="both"/>
        <w:rPr>
          <w:rFonts w:ascii="Book Antiqua" w:eastAsia="Swift-Regular" w:hAnsi="Book Antiqua"/>
          <w:lang w:val="en-GB" w:eastAsia="en-GB"/>
        </w:rPr>
      </w:pPr>
      <w:r w:rsidRPr="00E3232D">
        <w:rPr>
          <w:rFonts w:ascii="Book Antiqua" w:eastAsia="Swift-Regular" w:hAnsi="Book Antiqua"/>
          <w:lang w:val="en-GB" w:eastAsia="en-GB"/>
        </w:rPr>
        <w:t xml:space="preserve">We then went ahead to test for asymmetries in the news. Table 4 shows the EGARCH (1,1) and TARCH(1,1) results.  In both specifications, the asymmetry terms </w:t>
      </w:r>
    </w:p>
    <w:p w14:paraId="4B4354B9" w14:textId="77777777" w:rsidR="005C200E" w:rsidRDefault="00F5779C" w:rsidP="00735F75">
      <w:pPr>
        <w:autoSpaceDE w:val="0"/>
        <w:autoSpaceDN w:val="0"/>
        <w:adjustRightInd w:val="0"/>
        <w:jc w:val="both"/>
        <w:rPr>
          <w:rFonts w:ascii="Book Antiqua" w:hAnsi="Book Antiqua"/>
          <w:color w:val="000000"/>
          <w:lang w:val="en-GB" w:eastAsia="en-GB"/>
        </w:rPr>
      </w:pPr>
      <w:r w:rsidRPr="00E3232D">
        <w:rPr>
          <w:rFonts w:ascii="Book Antiqua" w:hAnsi="Book Antiqua"/>
          <w:color w:val="000000"/>
          <w:lang w:val="en-GB" w:eastAsia="en-GB"/>
        </w:rPr>
        <w:t>RESID(-1)/@SQRT(GARCH(</w:t>
      </w:r>
      <w:r w:rsidR="005C200E">
        <w:rPr>
          <w:rFonts w:ascii="Book Antiqua" w:hAnsi="Book Antiqua"/>
          <w:color w:val="000000"/>
          <w:lang w:val="en-GB" w:eastAsia="en-GB"/>
        </w:rPr>
        <w:t>-1))</w:t>
      </w:r>
      <w:r w:rsidRPr="00E3232D">
        <w:rPr>
          <w:rFonts w:ascii="Book Antiqua" w:hAnsi="Book Antiqua"/>
          <w:color w:val="000000"/>
          <w:lang w:val="en-GB" w:eastAsia="en-GB"/>
        </w:rPr>
        <w:t>for EGARCH</w:t>
      </w:r>
      <w:r w:rsidRPr="00E3232D">
        <w:rPr>
          <w:rFonts w:ascii="Book Antiqua" w:eastAsia="Swift-Regular" w:hAnsi="Book Antiqua"/>
          <w:lang w:val="en-GB" w:eastAsia="en-GB"/>
        </w:rPr>
        <w:t xml:space="preserve"> </w:t>
      </w:r>
      <w:r w:rsidRPr="00E3232D">
        <w:rPr>
          <w:rFonts w:ascii="Book Antiqua" w:hAnsi="Book Antiqua"/>
          <w:color w:val="000000"/>
          <w:lang w:val="en-GB" w:eastAsia="en-GB"/>
        </w:rPr>
        <w:t>and  RESID(-1)^2*(RESID(-1)&lt;0) for TARCH are not statistically significant. Also in TARCH case, the coefficient estimate is negative, suggesting that positive shocks imply a higher next period conditional variance than negative shocks of the same sign.</w:t>
      </w:r>
    </w:p>
    <w:p w14:paraId="711616E5" w14:textId="77777777" w:rsidR="00735F75" w:rsidRPr="00735F75" w:rsidRDefault="00F5779C" w:rsidP="00735F75">
      <w:pPr>
        <w:autoSpaceDE w:val="0"/>
        <w:autoSpaceDN w:val="0"/>
        <w:adjustRightInd w:val="0"/>
        <w:jc w:val="both"/>
        <w:rPr>
          <w:rFonts w:ascii="Book Antiqua" w:hAnsi="Book Antiqua"/>
          <w:color w:val="000000"/>
          <w:lang w:val="en-GB" w:eastAsia="en-GB"/>
        </w:rPr>
      </w:pPr>
      <w:r w:rsidRPr="00E3232D">
        <w:rPr>
          <w:rFonts w:ascii="Book Antiqua" w:hAnsi="Book Antiqua"/>
          <w:color w:val="000000"/>
          <w:lang w:val="en-GB" w:eastAsia="en-GB"/>
        </w:rPr>
        <w:t>This is the opposite to what would have been expected in the case of the application of a GARCH model to a set of stock returns. But arguably, neither the leverage effect or volatility feedback explanations for asymmetries in the context of stocks apply here. For a positive return shock, this implies more Ghana Cedi per dollar and therefore a strengthening dollar and a weakening Cedi. Thus the results suggest that a strengthening dollar (weakening Cedi) leads to higher next period volatility than when the Cedi strengthens by the same amount.</w:t>
      </w:r>
    </w:p>
    <w:p w14:paraId="77793949" w14:textId="77777777" w:rsidR="00F5779C" w:rsidRPr="00E3232D" w:rsidRDefault="002D5D59" w:rsidP="00735F75">
      <w:pPr>
        <w:autoSpaceDE w:val="0"/>
        <w:autoSpaceDN w:val="0"/>
        <w:adjustRightInd w:val="0"/>
        <w:jc w:val="both"/>
        <w:rPr>
          <w:rFonts w:ascii="Book Antiqua" w:eastAsia="Swift-Regular" w:hAnsi="Book Antiqua"/>
          <w:b/>
          <w:lang w:val="en-GB" w:eastAsia="en-GB"/>
        </w:rPr>
      </w:pPr>
      <w:r>
        <w:rPr>
          <w:rFonts w:ascii="Book Antiqua" w:eastAsia="Swift-Regular" w:hAnsi="Book Antiqua"/>
          <w:b/>
          <w:lang w:val="en-GB" w:eastAsia="en-GB"/>
        </w:rPr>
        <w:t>3</w:t>
      </w:r>
      <w:r w:rsidR="00F5779C" w:rsidRPr="00E3232D">
        <w:rPr>
          <w:rFonts w:ascii="Book Antiqua" w:eastAsia="Swift-Regular" w:hAnsi="Book Antiqua"/>
          <w:b/>
          <w:lang w:val="en-GB" w:eastAsia="en-GB"/>
        </w:rPr>
        <w:t xml:space="preserve">.1 GARCH (1,1) Static forecasts </w:t>
      </w:r>
    </w:p>
    <w:p w14:paraId="0097AD85" w14:textId="77777777" w:rsidR="00F5779C" w:rsidRPr="00E3232D" w:rsidRDefault="00F5779C" w:rsidP="00735F75">
      <w:pPr>
        <w:autoSpaceDE w:val="0"/>
        <w:autoSpaceDN w:val="0"/>
        <w:adjustRightInd w:val="0"/>
        <w:jc w:val="both"/>
        <w:rPr>
          <w:rFonts w:ascii="Book Antiqua" w:eastAsia="Swift-Regular" w:hAnsi="Book Antiqua"/>
          <w:lang w:val="en-GB" w:eastAsia="en-GB"/>
        </w:rPr>
      </w:pPr>
      <w:r w:rsidRPr="00E3232D">
        <w:rPr>
          <w:rFonts w:ascii="Book Antiqua" w:eastAsia="Swift-Regular" w:hAnsi="Book Antiqua"/>
          <w:lang w:val="en-GB" w:eastAsia="en-GB"/>
        </w:rPr>
        <w:t>Fig.4 shows GARCH (1,1) forecast.  It is evident that the variance forecasts gradually fall over the out-of sample period, although since these are a series of rolling one-step a head forecasts for the conditional variance, they show much more volatility than for the dynamic forecasts. This volatility also results in more variability in the standard error bars around the conditional mean forecasts. The conditional variance forecasts provide the basis for the standard error bands that are given by the dotted red lines around the conditional mean forecast. Because the conditional variance forecasts rise gradually as the forecast horizon increases, so the standard error bands widen slightly. The forecast evaluation statistics that are presented in the box to the right of the graphs are for the conditional mean forecasts.</w:t>
      </w:r>
    </w:p>
    <w:p w14:paraId="55E86E81" w14:textId="77777777" w:rsidR="00F5779C" w:rsidRPr="00E3232D" w:rsidRDefault="002D5D59" w:rsidP="00735F75">
      <w:pPr>
        <w:autoSpaceDE w:val="0"/>
        <w:autoSpaceDN w:val="0"/>
        <w:adjustRightInd w:val="0"/>
        <w:jc w:val="both"/>
        <w:rPr>
          <w:rFonts w:ascii="Book Antiqua" w:eastAsia="Swift-Regular" w:hAnsi="Book Antiqua"/>
          <w:b/>
          <w:lang w:val="en-GB" w:eastAsia="en-GB"/>
        </w:rPr>
      </w:pPr>
      <w:r>
        <w:rPr>
          <w:rFonts w:ascii="Book Antiqua" w:eastAsia="Swift-Regular" w:hAnsi="Book Antiqua"/>
          <w:b/>
          <w:lang w:val="en-GB" w:eastAsia="en-GB"/>
        </w:rPr>
        <w:t>4</w:t>
      </w:r>
      <w:r w:rsidR="00F5779C" w:rsidRPr="00E3232D">
        <w:rPr>
          <w:rFonts w:ascii="Book Antiqua" w:eastAsia="Swift-Regular" w:hAnsi="Book Antiqua"/>
          <w:b/>
          <w:lang w:val="en-GB" w:eastAsia="en-GB"/>
        </w:rPr>
        <w:t xml:space="preserve">.0 </w:t>
      </w:r>
      <w:r w:rsidR="00F5779C" w:rsidRPr="00735F75">
        <w:rPr>
          <w:rFonts w:ascii="Book Antiqua" w:eastAsia="Swift-Regular" w:hAnsi="Book Antiqua"/>
          <w:b/>
          <w:sz w:val="26"/>
          <w:lang w:val="en-GB" w:eastAsia="en-GB"/>
        </w:rPr>
        <w:t>Conclusion</w:t>
      </w:r>
    </w:p>
    <w:p w14:paraId="50E424A1" w14:textId="77777777" w:rsidR="00983134" w:rsidRDefault="00F5779C" w:rsidP="00735F75">
      <w:pPr>
        <w:autoSpaceDE w:val="0"/>
        <w:autoSpaceDN w:val="0"/>
        <w:adjustRightInd w:val="0"/>
        <w:jc w:val="both"/>
        <w:rPr>
          <w:rFonts w:ascii="Book Antiqua" w:hAnsi="Book Antiqua"/>
          <w:color w:val="000000"/>
          <w:lang w:val="en-GB" w:eastAsia="en-GB"/>
        </w:rPr>
        <w:sectPr w:rsidR="00983134" w:rsidSect="008F6BC9">
          <w:type w:val="continuous"/>
          <w:pgSz w:w="11907" w:h="16839" w:code="9"/>
          <w:pgMar w:top="1440" w:right="1440" w:bottom="1440" w:left="1440" w:header="720" w:footer="720" w:gutter="0"/>
          <w:cols w:num="2" w:space="720"/>
          <w:titlePg/>
          <w:docGrid w:linePitch="360"/>
        </w:sectPr>
      </w:pPr>
      <w:r w:rsidRPr="00E3232D">
        <w:rPr>
          <w:rFonts w:ascii="Book Antiqua" w:eastAsia="Swift-Regular" w:hAnsi="Book Antiqua"/>
          <w:lang w:val="en-GB" w:eastAsia="en-GB"/>
        </w:rPr>
        <w:t xml:space="preserve">Volatility is a key parameter in financial modeling and GARCH modelling is probably the best platform for estimating it since it can take into account various characteristics of the data. Our analysis reveals that there is significant evidence of volatility clustering, a result that is different from the previous literature. There is a strong presence of serial correlation and in estimating the volatility parameter a series of GARCH models have been investigated. The results indicate that the volatility of the GHC_USD exchange rate is persistent. The asymmetry terms </w:t>
      </w:r>
      <w:r w:rsidRPr="00E3232D">
        <w:rPr>
          <w:rFonts w:ascii="Book Antiqua" w:hAnsi="Book Antiqua"/>
          <w:color w:val="000000"/>
          <w:lang w:val="en-GB" w:eastAsia="en-GB"/>
        </w:rPr>
        <w:t xml:space="preserve">for TARCH are not statistically significant. Also in TARCH case, the coefficient estimate is negative, suggesting that positive shocks imply a higher next period conditional variance than negative shocks of the same sign. This is the opposite to what would have been expected in the case of the application of a GARCH model to a set of stock returns. But arguably, neither the </w:t>
      </w:r>
    </w:p>
    <w:p w14:paraId="5B5E0AA8" w14:textId="77777777" w:rsidR="00DC1AD8" w:rsidRDefault="00F5779C" w:rsidP="00735F75">
      <w:pPr>
        <w:autoSpaceDE w:val="0"/>
        <w:autoSpaceDN w:val="0"/>
        <w:adjustRightInd w:val="0"/>
        <w:jc w:val="both"/>
        <w:rPr>
          <w:rFonts w:ascii="Book Antiqua" w:hAnsi="Book Antiqua"/>
          <w:color w:val="000000"/>
          <w:lang w:val="en-GB" w:eastAsia="en-GB"/>
        </w:rPr>
      </w:pPr>
      <w:r w:rsidRPr="00E3232D">
        <w:rPr>
          <w:rFonts w:ascii="Book Antiqua" w:hAnsi="Book Antiqua"/>
          <w:color w:val="000000"/>
          <w:lang w:val="en-GB" w:eastAsia="en-GB"/>
        </w:rPr>
        <w:t xml:space="preserve">leverage effect or volatility feedback explanations </w:t>
      </w:r>
    </w:p>
    <w:p w14:paraId="41CBA486" w14:textId="77777777" w:rsidR="00F5779C" w:rsidRPr="00E3232D" w:rsidRDefault="00F5779C" w:rsidP="00735F75">
      <w:pPr>
        <w:autoSpaceDE w:val="0"/>
        <w:autoSpaceDN w:val="0"/>
        <w:adjustRightInd w:val="0"/>
        <w:jc w:val="both"/>
        <w:rPr>
          <w:rFonts w:ascii="Book Antiqua" w:hAnsi="Book Antiqua"/>
          <w:lang w:val="en-GB" w:eastAsia="en-GB"/>
        </w:rPr>
      </w:pPr>
      <w:r w:rsidRPr="00E3232D">
        <w:rPr>
          <w:rFonts w:ascii="Book Antiqua" w:hAnsi="Book Antiqua"/>
          <w:color w:val="000000"/>
          <w:lang w:val="en-GB" w:eastAsia="en-GB"/>
        </w:rPr>
        <w:t>for asymmetries in the context of stocks apply here.</w:t>
      </w:r>
    </w:p>
    <w:p w14:paraId="3C738C2F" w14:textId="77777777" w:rsidR="00F5779C" w:rsidRDefault="00F5779C" w:rsidP="008275E1">
      <w:pPr>
        <w:autoSpaceDE w:val="0"/>
        <w:autoSpaceDN w:val="0"/>
        <w:adjustRightInd w:val="0"/>
        <w:rPr>
          <w:rFonts w:ascii="Book Antiqua" w:eastAsia="Swift-Regular" w:hAnsi="Book Antiqua"/>
          <w:b/>
          <w:lang w:val="en-GB" w:eastAsia="en-GB"/>
        </w:rPr>
      </w:pPr>
      <w:r w:rsidRPr="00E3232D">
        <w:rPr>
          <w:rFonts w:ascii="Book Antiqua" w:eastAsia="Swift-Regular" w:hAnsi="Book Antiqua"/>
          <w:b/>
          <w:lang w:val="en-GB" w:eastAsia="en-GB"/>
        </w:rPr>
        <w:t>Appendix</w:t>
      </w:r>
    </w:p>
    <w:p w14:paraId="37D5C94E" w14:textId="77777777" w:rsidR="00983134" w:rsidRDefault="00983134" w:rsidP="00983134">
      <w:pPr>
        <w:autoSpaceDE w:val="0"/>
        <w:autoSpaceDN w:val="0"/>
        <w:adjustRightInd w:val="0"/>
        <w:rPr>
          <w:rFonts w:ascii="Book Antiqua" w:eastAsia="Swift-Regular" w:hAnsi="Book Antiqua"/>
          <w:b/>
          <w:lang w:val="en-GB" w:eastAsia="en-GB"/>
        </w:rPr>
      </w:pPr>
      <w:r w:rsidRPr="006D469A">
        <w:rPr>
          <w:rFonts w:eastAsia="Swift-Regular"/>
          <w:b/>
          <w:lang w:val="en-GB" w:eastAsia="en-GB"/>
        </w:rPr>
        <w:t>Fig. 1</w:t>
      </w:r>
      <w:r>
        <w:rPr>
          <w:rFonts w:eastAsia="Swift-Regular"/>
          <w:b/>
          <w:lang w:val="en-GB" w:eastAsia="en-GB"/>
        </w:rPr>
        <w:t xml:space="preserve">: Daily Observed Exchange Rates of the GHC – USD        </w:t>
      </w:r>
      <w:r w:rsidRPr="00E3232D">
        <w:rPr>
          <w:rFonts w:ascii="Book Antiqua" w:eastAsia="Swift-Regular" w:hAnsi="Book Antiqua"/>
          <w:b/>
          <w:lang w:val="en-GB" w:eastAsia="en-GB"/>
        </w:rPr>
        <w:t xml:space="preserve">Fig. 3: Conditional Standard </w:t>
      </w:r>
      <w:r>
        <w:rPr>
          <w:rFonts w:ascii="Book Antiqua" w:eastAsia="Swift-Regular" w:hAnsi="Book Antiqua"/>
          <w:b/>
          <w:lang w:val="en-GB" w:eastAsia="en-GB"/>
        </w:rPr>
        <w:t xml:space="preserve">                  </w:t>
      </w:r>
    </w:p>
    <w:p w14:paraId="1F989433" w14:textId="77777777" w:rsidR="00983134" w:rsidRDefault="00983134" w:rsidP="00983134">
      <w:pPr>
        <w:autoSpaceDE w:val="0"/>
        <w:autoSpaceDN w:val="0"/>
        <w:adjustRightInd w:val="0"/>
        <w:rPr>
          <w:rFonts w:ascii="Book Antiqua" w:eastAsia="Swift-Regular" w:hAnsi="Book Antiqua"/>
          <w:b/>
          <w:lang w:val="en-GB" w:eastAsia="en-GB"/>
        </w:rPr>
      </w:pPr>
      <w:r>
        <w:rPr>
          <w:rFonts w:ascii="Book Antiqua" w:eastAsia="Swift-Regular" w:hAnsi="Book Antiqua"/>
          <w:b/>
          <w:noProof/>
          <w:lang w:bidi="ar-SA"/>
        </w:rPr>
        <w:drawing>
          <wp:anchor distT="0" distB="3429" distL="114300" distR="114300" simplePos="0" relativeHeight="251877888" behindDoc="0" locked="0" layoutInCell="1" allowOverlap="1" wp14:anchorId="1CB4C074" wp14:editId="5D47E9FF">
            <wp:simplePos x="0" y="0"/>
            <wp:positionH relativeFrom="column">
              <wp:posOffset>104775</wp:posOffset>
            </wp:positionH>
            <wp:positionV relativeFrom="paragraph">
              <wp:posOffset>250825</wp:posOffset>
            </wp:positionV>
            <wp:extent cx="2905125" cy="1924050"/>
            <wp:effectExtent l="19050" t="0" r="9525" b="0"/>
            <wp:wrapNone/>
            <wp:docPr id="23"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anchor>
        </w:drawing>
      </w:r>
      <w:r>
        <w:rPr>
          <w:rFonts w:ascii="Book Antiqua" w:eastAsia="Swift-Regular" w:hAnsi="Book Antiqua"/>
          <w:b/>
          <w:lang w:val="en-GB" w:eastAsia="en-GB"/>
        </w:rPr>
        <w:t xml:space="preserve">                                                                                                      </w:t>
      </w:r>
      <w:r w:rsidRPr="00E3232D">
        <w:rPr>
          <w:rFonts w:ascii="Book Antiqua" w:eastAsia="Swift-Regular" w:hAnsi="Book Antiqua"/>
          <w:b/>
          <w:lang w:val="en-GB" w:eastAsia="en-GB"/>
        </w:rPr>
        <w:t xml:space="preserve">Deviation for ARCH of the GHC </w:t>
      </w:r>
      <w:r>
        <w:rPr>
          <w:rFonts w:ascii="Book Antiqua" w:eastAsia="Swift-Regular" w:hAnsi="Book Antiqua"/>
          <w:b/>
          <w:lang w:val="en-GB" w:eastAsia="en-GB"/>
        </w:rPr>
        <w:t xml:space="preserve"> </w:t>
      </w:r>
    </w:p>
    <w:p w14:paraId="3B7A1A5B" w14:textId="77777777" w:rsidR="00983134" w:rsidRPr="00E3232D" w:rsidRDefault="00983134" w:rsidP="00983134">
      <w:pPr>
        <w:autoSpaceDE w:val="0"/>
        <w:autoSpaceDN w:val="0"/>
        <w:adjustRightInd w:val="0"/>
        <w:rPr>
          <w:rFonts w:ascii="Book Antiqua" w:eastAsia="Swift-Regular" w:hAnsi="Book Antiqua"/>
          <w:b/>
          <w:lang w:val="en-GB" w:eastAsia="en-GB"/>
        </w:rPr>
      </w:pPr>
      <w:r>
        <w:rPr>
          <w:rFonts w:ascii="Book Antiqua" w:eastAsia="Swift-Regular" w:hAnsi="Book Antiqua"/>
          <w:b/>
          <w:lang w:val="en-GB" w:eastAsia="en-GB"/>
        </w:rPr>
        <w:t xml:space="preserve">                                                                                                     </w:t>
      </w:r>
      <w:r w:rsidRPr="00E3232D">
        <w:rPr>
          <w:rFonts w:ascii="Book Antiqua" w:eastAsia="Swift-Regular" w:hAnsi="Book Antiqua"/>
          <w:b/>
          <w:lang w:val="en-GB" w:eastAsia="en-GB"/>
        </w:rPr>
        <w:t>– USD Returns</w:t>
      </w:r>
    </w:p>
    <w:p w14:paraId="5651E6E1" w14:textId="77777777" w:rsidR="002F4DEE" w:rsidRPr="00983134" w:rsidRDefault="00983134" w:rsidP="00983134">
      <w:pPr>
        <w:autoSpaceDE w:val="0"/>
        <w:autoSpaceDN w:val="0"/>
        <w:adjustRightInd w:val="0"/>
        <w:spacing w:line="480" w:lineRule="auto"/>
        <w:jc w:val="both"/>
        <w:rPr>
          <w:rFonts w:eastAsia="Swift-Regular"/>
          <w:b/>
          <w:lang w:val="en-GB" w:eastAsia="en-GB"/>
        </w:rPr>
      </w:pPr>
      <w:r>
        <w:rPr>
          <w:rFonts w:eastAsia="Swift-Regular"/>
          <w:b/>
          <w:lang w:val="en-GB" w:eastAsia="en-GB"/>
        </w:rPr>
        <w:t xml:space="preserve">    </w:t>
      </w:r>
      <w:r>
        <w:rPr>
          <w:rFonts w:ascii="Book Antiqua" w:eastAsia="Swift-Regular" w:hAnsi="Book Antiqua"/>
          <w:b/>
          <w:noProof/>
          <w:lang w:bidi="ar-SA"/>
        </w:rPr>
        <w:drawing>
          <wp:anchor distT="0" distB="0" distL="114300" distR="114300" simplePos="0" relativeHeight="251879936" behindDoc="1" locked="0" layoutInCell="1" allowOverlap="1" wp14:anchorId="2AE8BCE5" wp14:editId="3DA36E30">
            <wp:simplePos x="0" y="0"/>
            <wp:positionH relativeFrom="column">
              <wp:posOffset>3248025</wp:posOffset>
            </wp:positionH>
            <wp:positionV relativeFrom="paragraph">
              <wp:posOffset>106045</wp:posOffset>
            </wp:positionV>
            <wp:extent cx="3238500" cy="1847850"/>
            <wp:effectExtent l="19050" t="0" r="0" b="0"/>
            <wp:wrapTight wrapText="bothSides">
              <wp:wrapPolygon edited="0">
                <wp:start x="-127" y="0"/>
                <wp:lineTo x="-127" y="21155"/>
                <wp:lineTo x="21600" y="21155"/>
                <wp:lineTo x="21600" y="0"/>
                <wp:lineTo x="-127" y="0"/>
              </wp:wrapPolygon>
            </wp:wrapTight>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a:srcRect/>
                    <a:stretch>
                      <a:fillRect/>
                    </a:stretch>
                  </pic:blipFill>
                  <pic:spPr bwMode="auto">
                    <a:xfrm>
                      <a:off x="0" y="0"/>
                      <a:ext cx="3238500" cy="1847850"/>
                    </a:xfrm>
                    <a:prstGeom prst="rect">
                      <a:avLst/>
                    </a:prstGeom>
                    <a:noFill/>
                    <a:ln w="9525">
                      <a:noFill/>
                      <a:miter lim="800000"/>
                      <a:headEnd/>
                      <a:tailEnd/>
                    </a:ln>
                  </pic:spPr>
                </pic:pic>
              </a:graphicData>
            </a:graphic>
          </wp:anchor>
        </w:drawing>
      </w:r>
    </w:p>
    <w:p w14:paraId="1F132D11" w14:textId="77777777" w:rsidR="00735F75" w:rsidRDefault="00735F75" w:rsidP="008275E1">
      <w:pPr>
        <w:autoSpaceDE w:val="0"/>
        <w:autoSpaceDN w:val="0"/>
        <w:adjustRightInd w:val="0"/>
        <w:rPr>
          <w:rFonts w:ascii="Book Antiqua" w:eastAsia="Swift-Regular" w:hAnsi="Book Antiqua"/>
          <w:b/>
          <w:lang w:val="en-GB" w:eastAsia="en-GB"/>
        </w:rPr>
      </w:pPr>
    </w:p>
    <w:p w14:paraId="3DB4AB29" w14:textId="77777777" w:rsidR="00735F75" w:rsidRDefault="00735F75" w:rsidP="008275E1">
      <w:pPr>
        <w:autoSpaceDE w:val="0"/>
        <w:autoSpaceDN w:val="0"/>
        <w:adjustRightInd w:val="0"/>
        <w:rPr>
          <w:rFonts w:ascii="Book Antiqua" w:eastAsia="Swift-Regular" w:hAnsi="Book Antiqua"/>
          <w:b/>
          <w:lang w:val="en-GB" w:eastAsia="en-GB"/>
        </w:rPr>
      </w:pPr>
    </w:p>
    <w:p w14:paraId="57171065" w14:textId="77777777" w:rsidR="00735F75" w:rsidRDefault="00735F75" w:rsidP="008275E1">
      <w:pPr>
        <w:autoSpaceDE w:val="0"/>
        <w:autoSpaceDN w:val="0"/>
        <w:adjustRightInd w:val="0"/>
        <w:rPr>
          <w:rFonts w:ascii="Book Antiqua" w:eastAsia="Swift-Regular" w:hAnsi="Book Antiqua"/>
          <w:b/>
          <w:lang w:val="en-GB" w:eastAsia="en-GB"/>
        </w:rPr>
      </w:pPr>
    </w:p>
    <w:p w14:paraId="2ADCDDFE" w14:textId="77777777" w:rsidR="00735F75" w:rsidRDefault="00735F75" w:rsidP="008275E1">
      <w:pPr>
        <w:autoSpaceDE w:val="0"/>
        <w:autoSpaceDN w:val="0"/>
        <w:adjustRightInd w:val="0"/>
        <w:rPr>
          <w:rFonts w:ascii="Book Antiqua" w:eastAsia="Swift-Regular" w:hAnsi="Book Antiqua"/>
          <w:b/>
          <w:lang w:val="en-GB" w:eastAsia="en-GB"/>
        </w:rPr>
      </w:pPr>
    </w:p>
    <w:p w14:paraId="763D10F1" w14:textId="77777777" w:rsidR="00735F75" w:rsidRDefault="00735F75" w:rsidP="008275E1">
      <w:pPr>
        <w:autoSpaceDE w:val="0"/>
        <w:autoSpaceDN w:val="0"/>
        <w:adjustRightInd w:val="0"/>
        <w:rPr>
          <w:rFonts w:ascii="Book Antiqua" w:eastAsia="Swift-Regular" w:hAnsi="Book Antiqua"/>
          <w:b/>
          <w:lang w:val="en-GB" w:eastAsia="en-GB"/>
        </w:rPr>
      </w:pPr>
    </w:p>
    <w:p w14:paraId="1FBFEC2F" w14:textId="77777777" w:rsidR="00983134" w:rsidRPr="00E3232D" w:rsidRDefault="00983134" w:rsidP="00983134">
      <w:pPr>
        <w:autoSpaceDE w:val="0"/>
        <w:autoSpaceDN w:val="0"/>
        <w:adjustRightInd w:val="0"/>
        <w:rPr>
          <w:rFonts w:ascii="Book Antiqua" w:eastAsia="Swift-Regular" w:hAnsi="Book Antiqua"/>
          <w:b/>
          <w:lang w:val="en-GB" w:eastAsia="en-GB"/>
        </w:rPr>
      </w:pPr>
      <w:r>
        <w:rPr>
          <w:rFonts w:ascii="Book Antiqua" w:eastAsia="Swift-Regular" w:hAnsi="Book Antiqua"/>
          <w:b/>
          <w:lang w:val="en-GB" w:eastAsia="en-GB"/>
        </w:rPr>
        <w:tab/>
        <w:t xml:space="preserve">                                                                                      </w:t>
      </w:r>
      <w:r w:rsidRPr="00E3232D">
        <w:rPr>
          <w:rFonts w:ascii="Book Antiqua" w:eastAsia="Swift-Regular" w:hAnsi="Book Antiqua"/>
          <w:b/>
          <w:lang w:val="en-GB" w:eastAsia="en-GB"/>
        </w:rPr>
        <w:t>Fig 4:GARCH (1.1) Forecast</w:t>
      </w:r>
    </w:p>
    <w:p w14:paraId="20D479A7" w14:textId="77777777" w:rsidR="00983134" w:rsidRDefault="00983134" w:rsidP="008275E1">
      <w:pPr>
        <w:autoSpaceDE w:val="0"/>
        <w:autoSpaceDN w:val="0"/>
        <w:adjustRightInd w:val="0"/>
        <w:rPr>
          <w:rFonts w:ascii="Book Antiqua" w:eastAsia="Swift-Regular" w:hAnsi="Book Antiqua"/>
          <w:b/>
          <w:lang w:val="en-GB" w:eastAsia="en-GB"/>
        </w:rPr>
        <w:sectPr w:rsidR="00983134" w:rsidSect="00983134">
          <w:type w:val="continuous"/>
          <w:pgSz w:w="11907" w:h="16839" w:code="9"/>
          <w:pgMar w:top="1440" w:right="1440" w:bottom="1440" w:left="1440" w:header="720" w:footer="720" w:gutter="0"/>
          <w:cols w:space="720"/>
          <w:titlePg/>
          <w:docGrid w:linePitch="360"/>
        </w:sectPr>
      </w:pPr>
    </w:p>
    <w:p w14:paraId="124BC673" w14:textId="77777777" w:rsidR="00F5779C" w:rsidRPr="00E3232D" w:rsidRDefault="00F5779C" w:rsidP="008275E1">
      <w:pPr>
        <w:autoSpaceDE w:val="0"/>
        <w:autoSpaceDN w:val="0"/>
        <w:adjustRightInd w:val="0"/>
        <w:rPr>
          <w:rFonts w:ascii="Book Antiqua" w:eastAsia="Swift-Regular" w:hAnsi="Book Antiqua"/>
          <w:b/>
          <w:lang w:val="en-GB" w:eastAsia="en-GB"/>
        </w:rPr>
      </w:pPr>
      <w:r w:rsidRPr="00E3232D">
        <w:rPr>
          <w:rFonts w:ascii="Book Antiqua" w:eastAsia="Swift-Regular" w:hAnsi="Book Antiqua"/>
          <w:b/>
          <w:lang w:val="en-GB" w:eastAsia="en-GB"/>
        </w:rPr>
        <w:t>Fig. 2: Returns of GHC – USD Exchange Rates</w:t>
      </w:r>
      <w:r w:rsidR="00983134">
        <w:rPr>
          <w:rFonts w:ascii="Book Antiqua" w:eastAsia="Swift-Regular" w:hAnsi="Book Antiqua"/>
          <w:b/>
          <w:lang w:val="en-GB" w:eastAsia="en-GB"/>
        </w:rPr>
        <w:t xml:space="preserve">  </w:t>
      </w:r>
    </w:p>
    <w:p w14:paraId="0008E7E6" w14:textId="77777777" w:rsidR="00F5779C" w:rsidRPr="00E3232D" w:rsidRDefault="00735F75" w:rsidP="008275E1">
      <w:pPr>
        <w:autoSpaceDE w:val="0"/>
        <w:autoSpaceDN w:val="0"/>
        <w:adjustRightInd w:val="0"/>
        <w:rPr>
          <w:rFonts w:ascii="Book Antiqua" w:eastAsia="Swift-Regular" w:hAnsi="Book Antiqua"/>
          <w:b/>
          <w:lang w:val="en-GB" w:eastAsia="en-GB"/>
        </w:rPr>
      </w:pPr>
      <w:r>
        <w:rPr>
          <w:rFonts w:ascii="Book Antiqua" w:eastAsia="Swift-Regular" w:hAnsi="Book Antiqua"/>
          <w:noProof/>
          <w:lang w:bidi="ar-SA"/>
        </w:rPr>
        <w:drawing>
          <wp:inline distT="0" distB="0" distL="0" distR="0" wp14:anchorId="41C70ED7" wp14:editId="0C911B0F">
            <wp:extent cx="2638425" cy="2400300"/>
            <wp:effectExtent l="19050" t="0" r="9525"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a:srcRect/>
                    <a:stretch>
                      <a:fillRect/>
                    </a:stretch>
                  </pic:blipFill>
                  <pic:spPr bwMode="auto">
                    <a:xfrm>
                      <a:off x="0" y="0"/>
                      <a:ext cx="2637155" cy="2399145"/>
                    </a:xfrm>
                    <a:prstGeom prst="rect">
                      <a:avLst/>
                    </a:prstGeom>
                    <a:noFill/>
                    <a:ln w="9525">
                      <a:noFill/>
                      <a:miter lim="800000"/>
                      <a:headEnd/>
                      <a:tailEnd/>
                    </a:ln>
                  </pic:spPr>
                </pic:pic>
              </a:graphicData>
            </a:graphic>
          </wp:inline>
        </w:drawing>
      </w:r>
    </w:p>
    <w:p w14:paraId="70B505EB" w14:textId="77777777" w:rsidR="005C200E" w:rsidRDefault="005C200E" w:rsidP="008275E1">
      <w:pPr>
        <w:autoSpaceDE w:val="0"/>
        <w:autoSpaceDN w:val="0"/>
        <w:adjustRightInd w:val="0"/>
        <w:rPr>
          <w:rFonts w:ascii="Book Antiqua" w:eastAsia="Swift-Regular" w:hAnsi="Book Antiqua"/>
          <w:b/>
          <w:lang w:val="en-GB" w:eastAsia="en-GB"/>
        </w:rPr>
      </w:pPr>
    </w:p>
    <w:p w14:paraId="6BB0FE62" w14:textId="77777777" w:rsidR="00983134" w:rsidRDefault="00983134" w:rsidP="008275E1">
      <w:pPr>
        <w:autoSpaceDE w:val="0"/>
        <w:autoSpaceDN w:val="0"/>
        <w:adjustRightInd w:val="0"/>
        <w:rPr>
          <w:rFonts w:ascii="Book Antiqua" w:eastAsia="Swift-Regular" w:hAnsi="Book Antiqua"/>
          <w:b/>
          <w:lang w:val="en-GB" w:eastAsia="en-GB"/>
        </w:rPr>
      </w:pPr>
      <w:r w:rsidRPr="00983134">
        <w:rPr>
          <w:rFonts w:ascii="Book Antiqua" w:eastAsia="Swift-Regular" w:hAnsi="Book Antiqua"/>
          <w:b/>
          <w:noProof/>
          <w:lang w:bidi="ar-SA"/>
        </w:rPr>
        <w:drawing>
          <wp:inline distT="0" distB="0" distL="0" distR="0" wp14:anchorId="35C7D6D5" wp14:editId="4E896EB0">
            <wp:extent cx="2637155" cy="2616281"/>
            <wp:effectExtent l="19050" t="0" r="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2"/>
                    <a:srcRect/>
                    <a:stretch>
                      <a:fillRect/>
                    </a:stretch>
                  </pic:blipFill>
                  <pic:spPr bwMode="auto">
                    <a:xfrm>
                      <a:off x="0" y="0"/>
                      <a:ext cx="2637155" cy="2616281"/>
                    </a:xfrm>
                    <a:prstGeom prst="rect">
                      <a:avLst/>
                    </a:prstGeom>
                    <a:noFill/>
                    <a:ln w="9525">
                      <a:noFill/>
                      <a:miter lim="800000"/>
                      <a:headEnd/>
                      <a:tailEnd/>
                    </a:ln>
                  </pic:spPr>
                </pic:pic>
              </a:graphicData>
            </a:graphic>
          </wp:inline>
        </w:drawing>
      </w:r>
    </w:p>
    <w:p w14:paraId="001BE061" w14:textId="77777777" w:rsidR="00983134" w:rsidRDefault="00983134" w:rsidP="008275E1">
      <w:pPr>
        <w:autoSpaceDE w:val="0"/>
        <w:autoSpaceDN w:val="0"/>
        <w:adjustRightInd w:val="0"/>
        <w:rPr>
          <w:rFonts w:ascii="Book Antiqua" w:eastAsia="Swift-Regular" w:hAnsi="Book Antiqua"/>
          <w:b/>
          <w:lang w:val="en-GB" w:eastAsia="en-GB"/>
        </w:rPr>
      </w:pPr>
    </w:p>
    <w:p w14:paraId="487B9692" w14:textId="77777777" w:rsidR="00983134" w:rsidRDefault="00983134" w:rsidP="008275E1">
      <w:pPr>
        <w:autoSpaceDE w:val="0"/>
        <w:autoSpaceDN w:val="0"/>
        <w:adjustRightInd w:val="0"/>
        <w:rPr>
          <w:rFonts w:ascii="Book Antiqua" w:eastAsia="Swift-Regular" w:hAnsi="Book Antiqua"/>
          <w:b/>
          <w:lang w:val="en-GB" w:eastAsia="en-GB"/>
        </w:rPr>
        <w:sectPr w:rsidR="00983134" w:rsidSect="00983134">
          <w:type w:val="continuous"/>
          <w:pgSz w:w="11907" w:h="16839" w:code="9"/>
          <w:pgMar w:top="1440" w:right="1440" w:bottom="1440" w:left="1440" w:header="720" w:footer="720" w:gutter="0"/>
          <w:cols w:num="2" w:space="720"/>
          <w:titlePg/>
          <w:docGrid w:linePitch="360"/>
        </w:sectPr>
      </w:pPr>
    </w:p>
    <w:p w14:paraId="484C34C2" w14:textId="77777777" w:rsidR="005C200E" w:rsidRDefault="005C200E" w:rsidP="008275E1">
      <w:pPr>
        <w:autoSpaceDE w:val="0"/>
        <w:autoSpaceDN w:val="0"/>
        <w:adjustRightInd w:val="0"/>
        <w:rPr>
          <w:rFonts w:ascii="Book Antiqua" w:eastAsia="Swift-Regular" w:hAnsi="Book Antiqua"/>
          <w:b/>
          <w:lang w:val="en-GB" w:eastAsia="en-GB"/>
        </w:rPr>
      </w:pPr>
    </w:p>
    <w:p w14:paraId="2E90D6E9" w14:textId="77777777" w:rsidR="00983134" w:rsidRDefault="00983134" w:rsidP="008275E1">
      <w:pPr>
        <w:autoSpaceDE w:val="0"/>
        <w:autoSpaceDN w:val="0"/>
        <w:adjustRightInd w:val="0"/>
        <w:rPr>
          <w:rFonts w:ascii="Book Antiqua" w:eastAsia="Swift-Regular" w:hAnsi="Book Antiqua"/>
          <w:b/>
          <w:lang w:val="en-GB" w:eastAsia="en-GB"/>
        </w:rPr>
        <w:sectPr w:rsidR="00983134" w:rsidSect="00983134">
          <w:type w:val="continuous"/>
          <w:pgSz w:w="11907" w:h="16839" w:code="9"/>
          <w:pgMar w:top="1440" w:right="1440" w:bottom="1440" w:left="1440" w:header="720" w:footer="720" w:gutter="0"/>
          <w:cols w:space="720"/>
          <w:titlePg/>
          <w:docGrid w:linePitch="360"/>
        </w:sectPr>
      </w:pPr>
    </w:p>
    <w:p w14:paraId="059179B9" w14:textId="77777777" w:rsidR="00F5779C" w:rsidRPr="00E3232D" w:rsidRDefault="00F5779C" w:rsidP="008275E1">
      <w:pPr>
        <w:autoSpaceDE w:val="0"/>
        <w:autoSpaceDN w:val="0"/>
        <w:adjustRightInd w:val="0"/>
        <w:rPr>
          <w:rFonts w:ascii="Book Antiqua" w:eastAsia="Swift-Regular" w:hAnsi="Book Antiqua"/>
          <w:lang w:val="en-GB" w:eastAsia="en-GB"/>
        </w:rPr>
      </w:pPr>
      <w:r w:rsidRPr="00E3232D">
        <w:rPr>
          <w:rFonts w:ascii="Book Antiqua" w:eastAsia="Swift-Regular" w:hAnsi="Book Antiqua"/>
          <w:b/>
          <w:lang w:val="en-GB" w:eastAsia="en-GB"/>
        </w:rPr>
        <w:t xml:space="preserve">Table 1: </w:t>
      </w:r>
      <w:r w:rsidRPr="00E3232D">
        <w:rPr>
          <w:rFonts w:ascii="Book Antiqua" w:eastAsia="Swift-Regular" w:hAnsi="Book Antiqua"/>
          <w:lang w:val="en-GB" w:eastAsia="en-GB"/>
        </w:rPr>
        <w:t>Descriptive Statistics of GHC_USD returns (RGU)</w:t>
      </w:r>
    </w:p>
    <w:p w14:paraId="38F74FDA" w14:textId="77777777" w:rsidR="00F5779C" w:rsidRPr="00E3232D" w:rsidRDefault="00F5779C" w:rsidP="008275E1">
      <w:pPr>
        <w:autoSpaceDE w:val="0"/>
        <w:autoSpaceDN w:val="0"/>
        <w:adjustRightInd w:val="0"/>
        <w:rPr>
          <w:rFonts w:ascii="Book Antiqua" w:eastAsia="Swift-Regular" w:hAnsi="Book Antiqua"/>
          <w:lang w:val="en-GB" w:eastAsia="en-GB"/>
        </w:rPr>
      </w:pPr>
      <w:r w:rsidRPr="00E3232D">
        <w:rPr>
          <w:rFonts w:ascii="Book Antiqua" w:eastAsia="Swift-Regular" w:hAnsi="Book Antiqua"/>
          <w:lang w:val="en-GB" w:eastAsia="en-GB"/>
        </w:rPr>
        <w:t xml:space="preserve">Mean </w:t>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t>0.000267</w:t>
      </w:r>
    </w:p>
    <w:p w14:paraId="02BF2708" w14:textId="77777777" w:rsidR="00F5779C" w:rsidRPr="00E3232D" w:rsidRDefault="00F5779C" w:rsidP="008275E1">
      <w:pPr>
        <w:autoSpaceDE w:val="0"/>
        <w:autoSpaceDN w:val="0"/>
        <w:adjustRightInd w:val="0"/>
        <w:rPr>
          <w:rFonts w:ascii="Book Antiqua" w:eastAsia="Swift-Regular" w:hAnsi="Book Antiqua"/>
          <w:lang w:val="en-GB" w:eastAsia="en-GB"/>
        </w:rPr>
      </w:pPr>
      <w:r w:rsidRPr="00E3232D">
        <w:rPr>
          <w:rFonts w:ascii="Book Antiqua" w:eastAsia="Swift-Regular" w:hAnsi="Book Antiqua"/>
          <w:lang w:val="en-GB" w:eastAsia="en-GB"/>
        </w:rPr>
        <w:t xml:space="preserve">Median </w:t>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t>0.000000</w:t>
      </w:r>
    </w:p>
    <w:p w14:paraId="7A49004C" w14:textId="77777777" w:rsidR="00F5779C" w:rsidRPr="00E3232D" w:rsidRDefault="00F5779C" w:rsidP="008275E1">
      <w:pPr>
        <w:autoSpaceDE w:val="0"/>
        <w:autoSpaceDN w:val="0"/>
        <w:adjustRightInd w:val="0"/>
        <w:rPr>
          <w:rFonts w:ascii="Book Antiqua" w:eastAsia="Swift-Regular" w:hAnsi="Book Antiqua"/>
          <w:lang w:val="en-GB" w:eastAsia="en-GB"/>
        </w:rPr>
      </w:pPr>
      <w:r w:rsidRPr="00E3232D">
        <w:rPr>
          <w:rFonts w:ascii="Book Antiqua" w:eastAsia="Swift-Regular" w:hAnsi="Book Antiqua"/>
          <w:lang w:val="en-GB" w:eastAsia="en-GB"/>
        </w:rPr>
        <w:t xml:space="preserve">Maximum </w:t>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t>0.027780</w:t>
      </w:r>
    </w:p>
    <w:p w14:paraId="5D9D4BC3" w14:textId="77777777" w:rsidR="00F5779C" w:rsidRPr="00E3232D" w:rsidRDefault="00F5779C" w:rsidP="008275E1">
      <w:pPr>
        <w:autoSpaceDE w:val="0"/>
        <w:autoSpaceDN w:val="0"/>
        <w:adjustRightInd w:val="0"/>
        <w:rPr>
          <w:rFonts w:ascii="Book Antiqua" w:eastAsia="Swift-Regular" w:hAnsi="Book Antiqua"/>
          <w:lang w:val="en-GB" w:eastAsia="en-GB"/>
        </w:rPr>
      </w:pPr>
      <w:r w:rsidRPr="00E3232D">
        <w:rPr>
          <w:rFonts w:ascii="Book Antiqua" w:eastAsia="Swift-Regular" w:hAnsi="Book Antiqua"/>
          <w:lang w:val="en-GB" w:eastAsia="en-GB"/>
        </w:rPr>
        <w:t xml:space="preserve">Minimum </w:t>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t xml:space="preserve">           -0.027780</w:t>
      </w:r>
    </w:p>
    <w:p w14:paraId="767054D3" w14:textId="77777777" w:rsidR="00F5779C" w:rsidRPr="00E3232D" w:rsidRDefault="00F5779C" w:rsidP="008275E1">
      <w:pPr>
        <w:autoSpaceDE w:val="0"/>
        <w:autoSpaceDN w:val="0"/>
        <w:adjustRightInd w:val="0"/>
        <w:rPr>
          <w:rFonts w:ascii="Book Antiqua" w:eastAsia="Swift-Regular" w:hAnsi="Book Antiqua"/>
          <w:lang w:val="en-GB" w:eastAsia="en-GB"/>
        </w:rPr>
      </w:pPr>
      <w:r w:rsidRPr="00E3232D">
        <w:rPr>
          <w:rFonts w:ascii="Book Antiqua" w:eastAsia="Swift-Regular" w:hAnsi="Book Antiqua"/>
          <w:lang w:val="en-GB" w:eastAsia="en-GB"/>
        </w:rPr>
        <w:t>Std. Dev.</w:t>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t>0.005287</w:t>
      </w:r>
    </w:p>
    <w:p w14:paraId="4E730C73" w14:textId="77777777" w:rsidR="00F5779C" w:rsidRPr="00E3232D" w:rsidRDefault="00F5779C" w:rsidP="008275E1">
      <w:pPr>
        <w:autoSpaceDE w:val="0"/>
        <w:autoSpaceDN w:val="0"/>
        <w:adjustRightInd w:val="0"/>
        <w:rPr>
          <w:rFonts w:ascii="Book Antiqua" w:eastAsia="Swift-Regular" w:hAnsi="Book Antiqua"/>
          <w:lang w:val="en-GB" w:eastAsia="en-GB"/>
        </w:rPr>
      </w:pPr>
      <w:r w:rsidRPr="00E3232D">
        <w:rPr>
          <w:rFonts w:ascii="Book Antiqua" w:eastAsia="Swift-Regular" w:hAnsi="Book Antiqua"/>
          <w:lang w:val="en-GB" w:eastAsia="en-GB"/>
        </w:rPr>
        <w:t xml:space="preserve">Skewness </w:t>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t>0.005287</w:t>
      </w:r>
    </w:p>
    <w:p w14:paraId="2EB183E6" w14:textId="77777777" w:rsidR="00F5779C" w:rsidRPr="00E3232D" w:rsidRDefault="00DC1AD8" w:rsidP="00DC1AD8">
      <w:pPr>
        <w:autoSpaceDE w:val="0"/>
        <w:autoSpaceDN w:val="0"/>
        <w:adjustRightInd w:val="0"/>
        <w:rPr>
          <w:rFonts w:ascii="Book Antiqua" w:eastAsia="Swift-Regular" w:hAnsi="Book Antiqua"/>
          <w:lang w:val="en-GB" w:eastAsia="en-GB"/>
        </w:rPr>
      </w:pPr>
      <w:r>
        <w:rPr>
          <w:rFonts w:ascii="Book Antiqua" w:eastAsia="Swift-Regular" w:hAnsi="Book Antiqua"/>
          <w:lang w:val="en-GB" w:eastAsia="en-GB"/>
        </w:rPr>
        <w:t xml:space="preserve">Kurtosis </w:t>
      </w:r>
      <w:r>
        <w:rPr>
          <w:rFonts w:ascii="Book Antiqua" w:eastAsia="Swift-Regular" w:hAnsi="Book Antiqua"/>
          <w:lang w:val="en-GB" w:eastAsia="en-GB"/>
        </w:rPr>
        <w:tab/>
        <w:t xml:space="preserve">   </w:t>
      </w:r>
      <w:r>
        <w:rPr>
          <w:rFonts w:ascii="Book Antiqua" w:eastAsia="Swift-Regular" w:hAnsi="Book Antiqua"/>
          <w:lang w:val="en-GB" w:eastAsia="en-GB"/>
        </w:rPr>
        <w:tab/>
        <w:t xml:space="preserve">                          </w:t>
      </w:r>
      <w:r w:rsidR="00F5779C" w:rsidRPr="00E3232D">
        <w:rPr>
          <w:rFonts w:ascii="Book Antiqua" w:eastAsia="Swift-Regular" w:hAnsi="Book Antiqua"/>
          <w:lang w:val="en-GB" w:eastAsia="en-GB"/>
        </w:rPr>
        <w:t>8.806400</w:t>
      </w:r>
    </w:p>
    <w:p w14:paraId="6B1DEC83" w14:textId="77777777" w:rsidR="00F5779C" w:rsidRPr="00E3232D" w:rsidRDefault="00F5779C" w:rsidP="008275E1">
      <w:pPr>
        <w:autoSpaceDE w:val="0"/>
        <w:autoSpaceDN w:val="0"/>
        <w:adjustRightInd w:val="0"/>
        <w:rPr>
          <w:rFonts w:ascii="Book Antiqua" w:eastAsia="Swift-Regular" w:hAnsi="Book Antiqua"/>
          <w:lang w:val="en-GB" w:eastAsia="en-GB"/>
        </w:rPr>
      </w:pPr>
      <w:r w:rsidRPr="00E3232D">
        <w:rPr>
          <w:rFonts w:ascii="Book Antiqua" w:eastAsia="Swift-Regular" w:hAnsi="Book Antiqua"/>
          <w:lang w:val="en-GB" w:eastAsia="en-GB"/>
        </w:rPr>
        <w:t>Jarque – Bera</w:t>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r>
      <w:r w:rsidRPr="00E3232D">
        <w:rPr>
          <w:rFonts w:ascii="Book Antiqua" w:eastAsia="Swift-Regular" w:hAnsi="Book Antiqua"/>
          <w:lang w:val="en-GB" w:eastAsia="en-GB"/>
        </w:rPr>
        <w:tab/>
        <w:t>392.2645</w:t>
      </w:r>
    </w:p>
    <w:p w14:paraId="7607553F" w14:textId="77777777" w:rsidR="00F5779C" w:rsidRPr="00E3232D" w:rsidRDefault="00DC1AD8" w:rsidP="008275E1">
      <w:pPr>
        <w:autoSpaceDE w:val="0"/>
        <w:autoSpaceDN w:val="0"/>
        <w:adjustRightInd w:val="0"/>
        <w:rPr>
          <w:rFonts w:ascii="Book Antiqua" w:eastAsia="Swift-Regular" w:hAnsi="Book Antiqua"/>
          <w:lang w:val="en-GB" w:eastAsia="en-GB"/>
        </w:rPr>
      </w:pPr>
      <w:r>
        <w:rPr>
          <w:rFonts w:ascii="Book Antiqua" w:eastAsia="Swift-Regular" w:hAnsi="Book Antiqua"/>
          <w:lang w:val="en-GB" w:eastAsia="en-GB"/>
        </w:rPr>
        <w:t>No. Observations</w:t>
      </w:r>
      <w:r>
        <w:rPr>
          <w:rFonts w:ascii="Book Antiqua" w:eastAsia="Swift-Regular" w:hAnsi="Book Antiqua"/>
          <w:lang w:val="en-GB" w:eastAsia="en-GB"/>
        </w:rPr>
        <w:tab/>
      </w:r>
      <w:r>
        <w:rPr>
          <w:rFonts w:ascii="Book Antiqua" w:eastAsia="Swift-Regular" w:hAnsi="Book Antiqua"/>
          <w:lang w:val="en-GB" w:eastAsia="en-GB"/>
        </w:rPr>
        <w:tab/>
        <w:t xml:space="preserve">              </w:t>
      </w:r>
      <w:r w:rsidR="00F5779C" w:rsidRPr="00E3232D">
        <w:rPr>
          <w:rFonts w:ascii="Book Antiqua" w:eastAsia="Swift-Regular" w:hAnsi="Book Antiqua"/>
          <w:lang w:val="en-GB" w:eastAsia="en-GB"/>
        </w:rPr>
        <w:t>279</w:t>
      </w:r>
    </w:p>
    <w:p w14:paraId="125E553D" w14:textId="77777777" w:rsidR="00F5779C" w:rsidRDefault="00F5779C" w:rsidP="008275E1">
      <w:pPr>
        <w:autoSpaceDE w:val="0"/>
        <w:autoSpaceDN w:val="0"/>
        <w:adjustRightInd w:val="0"/>
        <w:rPr>
          <w:rFonts w:ascii="Book Antiqua" w:eastAsia="Swift-Regular" w:hAnsi="Book Antiqua"/>
          <w:lang w:val="en-GB" w:eastAsia="en-GB"/>
        </w:rPr>
      </w:pPr>
    </w:p>
    <w:p w14:paraId="47F8C8AC" w14:textId="77777777" w:rsidR="00DC1AD8" w:rsidRPr="00E3232D" w:rsidRDefault="00DC1AD8" w:rsidP="008275E1">
      <w:pPr>
        <w:autoSpaceDE w:val="0"/>
        <w:autoSpaceDN w:val="0"/>
        <w:adjustRightInd w:val="0"/>
        <w:rPr>
          <w:rFonts w:ascii="Book Antiqua" w:eastAsia="Swift-Regular" w:hAnsi="Book Antiqua"/>
          <w:lang w:val="en-GB" w:eastAsia="en-GB"/>
        </w:rPr>
      </w:pPr>
    </w:p>
    <w:p w14:paraId="2E373B36" w14:textId="77777777" w:rsidR="00F5779C" w:rsidRPr="00E3232D" w:rsidRDefault="00F5779C" w:rsidP="002F4DEE">
      <w:pPr>
        <w:autoSpaceDE w:val="0"/>
        <w:autoSpaceDN w:val="0"/>
        <w:adjustRightInd w:val="0"/>
        <w:spacing w:after="0" w:line="240" w:lineRule="auto"/>
        <w:rPr>
          <w:rFonts w:ascii="Book Antiqua" w:hAnsi="Book Antiqua"/>
          <w:b/>
        </w:rPr>
      </w:pPr>
      <w:r w:rsidRPr="00E3232D">
        <w:rPr>
          <w:rFonts w:ascii="Book Antiqua" w:eastAsia="Swift-Regular" w:hAnsi="Book Antiqua"/>
          <w:b/>
          <w:lang w:val="en-GB" w:eastAsia="en-GB"/>
        </w:rPr>
        <w:t xml:space="preserve">Table 2: </w:t>
      </w:r>
      <w:r w:rsidRPr="00E3232D">
        <w:rPr>
          <w:rFonts w:ascii="Book Antiqua" w:hAnsi="Book Antiqua"/>
          <w:b/>
        </w:rPr>
        <w:t>Testing for ARCH (1) effects in the GHC_USD</w:t>
      </w:r>
    </w:p>
    <w:p w14:paraId="17E76075" w14:textId="77777777" w:rsidR="00F5779C" w:rsidRPr="00E3232D" w:rsidRDefault="00F5779C" w:rsidP="002F4DEE">
      <w:pPr>
        <w:pBdr>
          <w:top w:val="double" w:sz="4" w:space="1" w:color="auto"/>
          <w:bottom w:val="double" w:sz="4" w:space="1" w:color="auto"/>
        </w:pBdr>
        <w:autoSpaceDE w:val="0"/>
        <w:autoSpaceDN w:val="0"/>
        <w:adjustRightInd w:val="0"/>
        <w:spacing w:after="0" w:line="240" w:lineRule="auto"/>
        <w:rPr>
          <w:rFonts w:ascii="Book Antiqua" w:hAnsi="Book Antiqua"/>
        </w:rPr>
      </w:pPr>
      <w:r w:rsidRPr="00E3232D">
        <w:rPr>
          <w:rFonts w:ascii="Book Antiqua" w:hAnsi="Book Antiqua"/>
        </w:rPr>
        <w:t>F – Statistic</w:t>
      </w:r>
      <w:r w:rsidRPr="00E3232D">
        <w:rPr>
          <w:rFonts w:ascii="Book Antiqua" w:hAnsi="Book Antiqua"/>
        </w:rPr>
        <w:tab/>
      </w:r>
      <w:r w:rsidRPr="00E3232D">
        <w:rPr>
          <w:rFonts w:ascii="Book Antiqua" w:hAnsi="Book Antiqua"/>
        </w:rPr>
        <w:tab/>
        <w:t>32.49187</w:t>
      </w:r>
      <w:r w:rsidRPr="00E3232D">
        <w:rPr>
          <w:rFonts w:ascii="Book Antiqua" w:hAnsi="Book Antiqua"/>
        </w:rPr>
        <w:tab/>
        <w:t xml:space="preserve">Probability </w:t>
      </w:r>
      <w:r w:rsidRPr="00E3232D">
        <w:rPr>
          <w:rFonts w:ascii="Book Antiqua" w:hAnsi="Book Antiqua"/>
        </w:rPr>
        <w:tab/>
      </w:r>
      <w:r w:rsidRPr="00E3232D">
        <w:rPr>
          <w:rFonts w:ascii="Book Antiqua" w:hAnsi="Book Antiqua"/>
        </w:rPr>
        <w:tab/>
        <w:t>0.00000</w:t>
      </w:r>
    </w:p>
    <w:p w14:paraId="226C3A2E" w14:textId="77777777" w:rsidR="00F5779C" w:rsidRPr="00E3232D" w:rsidRDefault="00F5779C" w:rsidP="002F4DEE">
      <w:pPr>
        <w:pBdr>
          <w:top w:val="double" w:sz="4" w:space="1" w:color="auto"/>
          <w:bottom w:val="double" w:sz="4" w:space="1" w:color="auto"/>
        </w:pBdr>
        <w:autoSpaceDE w:val="0"/>
        <w:autoSpaceDN w:val="0"/>
        <w:adjustRightInd w:val="0"/>
        <w:spacing w:after="0" w:line="240" w:lineRule="auto"/>
        <w:rPr>
          <w:rFonts w:ascii="Book Antiqua" w:hAnsi="Book Antiqua"/>
        </w:rPr>
      </w:pPr>
      <w:r w:rsidRPr="00E3232D">
        <w:rPr>
          <w:rFonts w:ascii="Book Antiqua" w:hAnsi="Book Antiqua"/>
        </w:rPr>
        <w:t>Obs R-squared</w:t>
      </w:r>
      <w:r w:rsidRPr="00E3232D">
        <w:rPr>
          <w:rFonts w:ascii="Book Antiqua" w:hAnsi="Book Antiqua"/>
        </w:rPr>
        <w:tab/>
      </w:r>
      <w:r w:rsidRPr="00E3232D">
        <w:rPr>
          <w:rFonts w:ascii="Book Antiqua" w:hAnsi="Book Antiqua"/>
        </w:rPr>
        <w:tab/>
        <w:t>29.26987</w:t>
      </w:r>
      <w:r w:rsidRPr="00E3232D">
        <w:rPr>
          <w:rFonts w:ascii="Book Antiqua" w:hAnsi="Book Antiqua"/>
        </w:rPr>
        <w:tab/>
        <w:t>Probability</w:t>
      </w:r>
      <w:r w:rsidRPr="00E3232D">
        <w:rPr>
          <w:rFonts w:ascii="Book Antiqua" w:hAnsi="Book Antiqua"/>
        </w:rPr>
        <w:tab/>
      </w:r>
      <w:r w:rsidRPr="00E3232D">
        <w:rPr>
          <w:rFonts w:ascii="Book Antiqua" w:hAnsi="Book Antiqua"/>
        </w:rPr>
        <w:tab/>
        <w:t>0.00000</w:t>
      </w:r>
    </w:p>
    <w:p w14:paraId="2D00A9BD" w14:textId="77777777" w:rsidR="00F5779C" w:rsidRPr="00E3232D" w:rsidRDefault="00F5779C" w:rsidP="002F4DEE">
      <w:pPr>
        <w:autoSpaceDE w:val="0"/>
        <w:autoSpaceDN w:val="0"/>
        <w:adjustRightInd w:val="0"/>
        <w:spacing w:after="0"/>
        <w:rPr>
          <w:rFonts w:ascii="Book Antiqua" w:hAnsi="Book Antiqua"/>
        </w:rPr>
      </w:pPr>
    </w:p>
    <w:tbl>
      <w:tblPr>
        <w:tblW w:w="4288" w:type="dxa"/>
        <w:tblInd w:w="60" w:type="dxa"/>
        <w:tblLayout w:type="fixed"/>
        <w:tblCellMar>
          <w:left w:w="30" w:type="dxa"/>
          <w:right w:w="30" w:type="dxa"/>
        </w:tblCellMar>
        <w:tblLook w:val="0000" w:firstRow="0" w:lastRow="0" w:firstColumn="0" w:lastColumn="0" w:noHBand="0" w:noVBand="0"/>
      </w:tblPr>
      <w:tblGrid>
        <w:gridCol w:w="1368"/>
        <w:gridCol w:w="657"/>
        <w:gridCol w:w="803"/>
        <w:gridCol w:w="803"/>
        <w:gridCol w:w="657"/>
      </w:tblGrid>
      <w:tr w:rsidR="00F5779C" w:rsidRPr="00D12E59" w14:paraId="402AF9CA" w14:textId="77777777" w:rsidTr="00DC1AD8">
        <w:trPr>
          <w:trHeight w:val="900"/>
        </w:trPr>
        <w:tc>
          <w:tcPr>
            <w:tcW w:w="1368" w:type="dxa"/>
            <w:tcBorders>
              <w:top w:val="nil"/>
              <w:left w:val="nil"/>
              <w:bottom w:val="nil"/>
              <w:right w:val="nil"/>
            </w:tcBorders>
            <w:vAlign w:val="bottom"/>
          </w:tcPr>
          <w:p w14:paraId="0D7C85E4"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r w:rsidRPr="00D12E59">
              <w:rPr>
                <w:rFonts w:ascii="Book Antiqua" w:hAnsi="Book Antiqua"/>
                <w:color w:val="000000"/>
                <w:lang w:val="en-GB" w:eastAsia="en-GB"/>
              </w:rPr>
              <w:t>Variable</w:t>
            </w:r>
          </w:p>
        </w:tc>
        <w:tc>
          <w:tcPr>
            <w:tcW w:w="657" w:type="dxa"/>
            <w:tcBorders>
              <w:top w:val="nil"/>
              <w:left w:val="nil"/>
              <w:bottom w:val="nil"/>
              <w:right w:val="nil"/>
            </w:tcBorders>
            <w:vAlign w:val="bottom"/>
          </w:tcPr>
          <w:p w14:paraId="7D292137"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Coefficient</w:t>
            </w:r>
          </w:p>
        </w:tc>
        <w:tc>
          <w:tcPr>
            <w:tcW w:w="803" w:type="dxa"/>
            <w:tcBorders>
              <w:top w:val="nil"/>
              <w:left w:val="nil"/>
              <w:bottom w:val="nil"/>
              <w:right w:val="nil"/>
            </w:tcBorders>
            <w:vAlign w:val="bottom"/>
          </w:tcPr>
          <w:p w14:paraId="2DEC2D53"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Std. Error</w:t>
            </w:r>
          </w:p>
        </w:tc>
        <w:tc>
          <w:tcPr>
            <w:tcW w:w="803" w:type="dxa"/>
            <w:tcBorders>
              <w:top w:val="nil"/>
              <w:left w:val="nil"/>
              <w:bottom w:val="nil"/>
              <w:right w:val="nil"/>
            </w:tcBorders>
            <w:vAlign w:val="bottom"/>
          </w:tcPr>
          <w:p w14:paraId="589383D2"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t-Statistic</w:t>
            </w:r>
          </w:p>
        </w:tc>
        <w:tc>
          <w:tcPr>
            <w:tcW w:w="657" w:type="dxa"/>
            <w:tcBorders>
              <w:top w:val="nil"/>
              <w:left w:val="nil"/>
              <w:bottom w:val="nil"/>
              <w:right w:val="nil"/>
            </w:tcBorders>
            <w:vAlign w:val="bottom"/>
          </w:tcPr>
          <w:p w14:paraId="2E34F1BF"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Prob.  </w:t>
            </w:r>
          </w:p>
        </w:tc>
      </w:tr>
      <w:tr w:rsidR="00F5779C" w:rsidRPr="00D12E59" w14:paraId="09C32A46" w14:textId="77777777" w:rsidTr="002F4DEE">
        <w:trPr>
          <w:trHeight w:hRule="exact" w:val="122"/>
        </w:trPr>
        <w:tc>
          <w:tcPr>
            <w:tcW w:w="1368" w:type="dxa"/>
            <w:tcBorders>
              <w:top w:val="nil"/>
              <w:left w:val="nil"/>
              <w:bottom w:val="double" w:sz="6" w:space="2" w:color="auto"/>
              <w:right w:val="nil"/>
            </w:tcBorders>
            <w:vAlign w:val="bottom"/>
          </w:tcPr>
          <w:p w14:paraId="4BBD8636"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657" w:type="dxa"/>
            <w:tcBorders>
              <w:top w:val="nil"/>
              <w:left w:val="nil"/>
              <w:bottom w:val="double" w:sz="6" w:space="2" w:color="auto"/>
              <w:right w:val="nil"/>
            </w:tcBorders>
            <w:vAlign w:val="bottom"/>
          </w:tcPr>
          <w:p w14:paraId="40D29890"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803" w:type="dxa"/>
            <w:tcBorders>
              <w:top w:val="nil"/>
              <w:left w:val="nil"/>
              <w:bottom w:val="double" w:sz="6" w:space="2" w:color="auto"/>
              <w:right w:val="nil"/>
            </w:tcBorders>
            <w:vAlign w:val="bottom"/>
          </w:tcPr>
          <w:p w14:paraId="6A33A912"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803" w:type="dxa"/>
            <w:tcBorders>
              <w:top w:val="nil"/>
              <w:left w:val="nil"/>
              <w:bottom w:val="double" w:sz="6" w:space="2" w:color="auto"/>
              <w:right w:val="nil"/>
            </w:tcBorders>
            <w:vAlign w:val="bottom"/>
          </w:tcPr>
          <w:p w14:paraId="5AEA12CB"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657" w:type="dxa"/>
            <w:tcBorders>
              <w:top w:val="nil"/>
              <w:left w:val="nil"/>
              <w:bottom w:val="double" w:sz="6" w:space="2" w:color="auto"/>
              <w:right w:val="nil"/>
            </w:tcBorders>
            <w:vAlign w:val="bottom"/>
          </w:tcPr>
          <w:p w14:paraId="60DFEE3B"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r>
      <w:tr w:rsidR="00F5779C" w:rsidRPr="00D12E59" w14:paraId="1A66C443" w14:textId="77777777" w:rsidTr="002F4DEE">
        <w:trPr>
          <w:trHeight w:hRule="exact" w:val="184"/>
        </w:trPr>
        <w:tc>
          <w:tcPr>
            <w:tcW w:w="1368" w:type="dxa"/>
            <w:tcBorders>
              <w:top w:val="nil"/>
              <w:left w:val="nil"/>
              <w:bottom w:val="nil"/>
              <w:right w:val="nil"/>
            </w:tcBorders>
            <w:vAlign w:val="bottom"/>
          </w:tcPr>
          <w:p w14:paraId="1F3974EE"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657" w:type="dxa"/>
            <w:tcBorders>
              <w:top w:val="nil"/>
              <w:left w:val="nil"/>
              <w:bottom w:val="nil"/>
              <w:right w:val="nil"/>
            </w:tcBorders>
            <w:vAlign w:val="bottom"/>
          </w:tcPr>
          <w:p w14:paraId="7A479C75"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803" w:type="dxa"/>
            <w:tcBorders>
              <w:top w:val="nil"/>
              <w:left w:val="nil"/>
              <w:bottom w:val="nil"/>
              <w:right w:val="nil"/>
            </w:tcBorders>
            <w:vAlign w:val="bottom"/>
          </w:tcPr>
          <w:p w14:paraId="284A3814"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803" w:type="dxa"/>
            <w:tcBorders>
              <w:top w:val="nil"/>
              <w:left w:val="nil"/>
              <w:bottom w:val="nil"/>
              <w:right w:val="nil"/>
            </w:tcBorders>
            <w:vAlign w:val="bottom"/>
          </w:tcPr>
          <w:p w14:paraId="42562F9B"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657" w:type="dxa"/>
            <w:tcBorders>
              <w:top w:val="nil"/>
              <w:left w:val="nil"/>
              <w:bottom w:val="nil"/>
              <w:right w:val="nil"/>
            </w:tcBorders>
            <w:vAlign w:val="bottom"/>
          </w:tcPr>
          <w:p w14:paraId="7F6D2D10"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r>
      <w:tr w:rsidR="00F5779C" w:rsidRPr="00D12E59" w14:paraId="1835BD5B" w14:textId="77777777" w:rsidTr="002F4DEE">
        <w:trPr>
          <w:trHeight w:val="326"/>
        </w:trPr>
        <w:tc>
          <w:tcPr>
            <w:tcW w:w="1368" w:type="dxa"/>
            <w:tcBorders>
              <w:top w:val="nil"/>
              <w:left w:val="nil"/>
              <w:bottom w:val="nil"/>
              <w:right w:val="nil"/>
            </w:tcBorders>
            <w:vAlign w:val="bottom"/>
          </w:tcPr>
          <w:p w14:paraId="73840525"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r w:rsidRPr="00D12E59">
              <w:rPr>
                <w:rFonts w:ascii="Book Antiqua" w:hAnsi="Book Antiqua"/>
                <w:color w:val="000000"/>
                <w:lang w:val="en-GB" w:eastAsia="en-GB"/>
              </w:rPr>
              <w:t>C</w:t>
            </w:r>
          </w:p>
        </w:tc>
        <w:tc>
          <w:tcPr>
            <w:tcW w:w="657" w:type="dxa"/>
            <w:tcBorders>
              <w:top w:val="nil"/>
              <w:left w:val="nil"/>
              <w:bottom w:val="nil"/>
              <w:right w:val="nil"/>
            </w:tcBorders>
            <w:vAlign w:val="bottom"/>
          </w:tcPr>
          <w:p w14:paraId="2AC64F3C"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1.71E-05</w:t>
            </w:r>
          </w:p>
        </w:tc>
        <w:tc>
          <w:tcPr>
            <w:tcW w:w="803" w:type="dxa"/>
            <w:tcBorders>
              <w:top w:val="nil"/>
              <w:left w:val="nil"/>
              <w:bottom w:val="nil"/>
              <w:right w:val="nil"/>
            </w:tcBorders>
            <w:vAlign w:val="bottom"/>
          </w:tcPr>
          <w:p w14:paraId="14DA6EC4"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4.02E-06</w:t>
            </w:r>
          </w:p>
        </w:tc>
        <w:tc>
          <w:tcPr>
            <w:tcW w:w="803" w:type="dxa"/>
            <w:tcBorders>
              <w:top w:val="nil"/>
              <w:left w:val="nil"/>
              <w:bottom w:val="nil"/>
              <w:right w:val="nil"/>
            </w:tcBorders>
            <w:vAlign w:val="bottom"/>
          </w:tcPr>
          <w:p w14:paraId="1AD81100"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4.251844</w:t>
            </w:r>
          </w:p>
        </w:tc>
        <w:tc>
          <w:tcPr>
            <w:tcW w:w="657" w:type="dxa"/>
            <w:tcBorders>
              <w:top w:val="nil"/>
              <w:left w:val="nil"/>
              <w:bottom w:val="nil"/>
              <w:right w:val="nil"/>
            </w:tcBorders>
            <w:vAlign w:val="bottom"/>
          </w:tcPr>
          <w:p w14:paraId="6E10DE86"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0.0000</w:t>
            </w:r>
          </w:p>
        </w:tc>
      </w:tr>
      <w:tr w:rsidR="00F5779C" w:rsidRPr="00D12E59" w14:paraId="3E00AD6A" w14:textId="77777777" w:rsidTr="002F4DEE">
        <w:trPr>
          <w:trHeight w:val="326"/>
        </w:trPr>
        <w:tc>
          <w:tcPr>
            <w:tcW w:w="1368" w:type="dxa"/>
            <w:tcBorders>
              <w:top w:val="nil"/>
              <w:left w:val="nil"/>
              <w:bottom w:val="nil"/>
              <w:right w:val="nil"/>
            </w:tcBorders>
            <w:vAlign w:val="bottom"/>
          </w:tcPr>
          <w:p w14:paraId="60AE1D81"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r w:rsidRPr="00D12E59">
              <w:rPr>
                <w:rFonts w:ascii="Book Antiqua" w:hAnsi="Book Antiqua"/>
                <w:color w:val="000000"/>
                <w:lang w:val="en-GB" w:eastAsia="en-GB"/>
              </w:rPr>
              <w:t>RESID^2(-1)</w:t>
            </w:r>
          </w:p>
        </w:tc>
        <w:tc>
          <w:tcPr>
            <w:tcW w:w="657" w:type="dxa"/>
            <w:tcBorders>
              <w:top w:val="nil"/>
              <w:left w:val="nil"/>
              <w:bottom w:val="nil"/>
              <w:right w:val="nil"/>
            </w:tcBorders>
            <w:vAlign w:val="bottom"/>
          </w:tcPr>
          <w:p w14:paraId="12AEC8B7"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0.325937</w:t>
            </w:r>
          </w:p>
        </w:tc>
        <w:tc>
          <w:tcPr>
            <w:tcW w:w="803" w:type="dxa"/>
            <w:tcBorders>
              <w:top w:val="nil"/>
              <w:left w:val="nil"/>
              <w:bottom w:val="nil"/>
              <w:right w:val="nil"/>
            </w:tcBorders>
            <w:vAlign w:val="bottom"/>
          </w:tcPr>
          <w:p w14:paraId="5656C8B4"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0.057180</w:t>
            </w:r>
          </w:p>
        </w:tc>
        <w:tc>
          <w:tcPr>
            <w:tcW w:w="803" w:type="dxa"/>
            <w:tcBorders>
              <w:top w:val="nil"/>
              <w:left w:val="nil"/>
              <w:bottom w:val="nil"/>
              <w:right w:val="nil"/>
            </w:tcBorders>
            <w:vAlign w:val="bottom"/>
          </w:tcPr>
          <w:p w14:paraId="5A5E9262"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5.700164</w:t>
            </w:r>
          </w:p>
        </w:tc>
        <w:tc>
          <w:tcPr>
            <w:tcW w:w="657" w:type="dxa"/>
            <w:tcBorders>
              <w:top w:val="nil"/>
              <w:left w:val="nil"/>
              <w:bottom w:val="nil"/>
              <w:right w:val="nil"/>
            </w:tcBorders>
            <w:vAlign w:val="bottom"/>
          </w:tcPr>
          <w:p w14:paraId="79229024" w14:textId="77777777" w:rsidR="00F5779C" w:rsidRPr="00D12E59" w:rsidRDefault="00F5779C" w:rsidP="002F4DEE">
            <w:pPr>
              <w:autoSpaceDE w:val="0"/>
              <w:autoSpaceDN w:val="0"/>
              <w:adjustRightInd w:val="0"/>
              <w:spacing w:after="0" w:line="240" w:lineRule="auto"/>
              <w:ind w:right="10"/>
              <w:rPr>
                <w:rFonts w:ascii="Book Antiqua" w:hAnsi="Book Antiqua"/>
                <w:color w:val="000000"/>
                <w:lang w:val="en-GB" w:eastAsia="en-GB"/>
              </w:rPr>
            </w:pPr>
            <w:r w:rsidRPr="00D12E59">
              <w:rPr>
                <w:rFonts w:ascii="Book Antiqua" w:hAnsi="Book Antiqua"/>
                <w:color w:val="000000"/>
                <w:lang w:val="en-GB" w:eastAsia="en-GB"/>
              </w:rPr>
              <w:t>0.0000</w:t>
            </w:r>
          </w:p>
        </w:tc>
      </w:tr>
      <w:tr w:rsidR="00F5779C" w:rsidRPr="00D12E59" w14:paraId="5F275BC3" w14:textId="77777777" w:rsidTr="002F4DEE">
        <w:trPr>
          <w:trHeight w:hRule="exact" w:val="122"/>
        </w:trPr>
        <w:tc>
          <w:tcPr>
            <w:tcW w:w="1368" w:type="dxa"/>
            <w:tcBorders>
              <w:top w:val="nil"/>
              <w:left w:val="nil"/>
              <w:bottom w:val="double" w:sz="6" w:space="2" w:color="auto"/>
              <w:right w:val="nil"/>
            </w:tcBorders>
            <w:vAlign w:val="bottom"/>
          </w:tcPr>
          <w:p w14:paraId="3B098A8F"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657" w:type="dxa"/>
            <w:tcBorders>
              <w:top w:val="nil"/>
              <w:left w:val="nil"/>
              <w:bottom w:val="double" w:sz="6" w:space="2" w:color="auto"/>
              <w:right w:val="nil"/>
            </w:tcBorders>
            <w:vAlign w:val="bottom"/>
          </w:tcPr>
          <w:p w14:paraId="78155BA0"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803" w:type="dxa"/>
            <w:tcBorders>
              <w:top w:val="nil"/>
              <w:left w:val="nil"/>
              <w:bottom w:val="double" w:sz="6" w:space="2" w:color="auto"/>
              <w:right w:val="nil"/>
            </w:tcBorders>
            <w:vAlign w:val="bottom"/>
          </w:tcPr>
          <w:p w14:paraId="6668F47F"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803" w:type="dxa"/>
            <w:tcBorders>
              <w:top w:val="nil"/>
              <w:left w:val="nil"/>
              <w:bottom w:val="double" w:sz="6" w:space="2" w:color="auto"/>
              <w:right w:val="nil"/>
            </w:tcBorders>
            <w:vAlign w:val="bottom"/>
          </w:tcPr>
          <w:p w14:paraId="63789137"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657" w:type="dxa"/>
            <w:tcBorders>
              <w:top w:val="nil"/>
              <w:left w:val="nil"/>
              <w:bottom w:val="double" w:sz="6" w:space="2" w:color="auto"/>
              <w:right w:val="nil"/>
            </w:tcBorders>
            <w:vAlign w:val="bottom"/>
          </w:tcPr>
          <w:p w14:paraId="2367C618"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r>
      <w:tr w:rsidR="00F5779C" w:rsidRPr="00D12E59" w14:paraId="4E3D7C32" w14:textId="77777777" w:rsidTr="002F4DEE">
        <w:trPr>
          <w:trHeight w:hRule="exact" w:val="184"/>
        </w:trPr>
        <w:tc>
          <w:tcPr>
            <w:tcW w:w="1368" w:type="dxa"/>
            <w:tcBorders>
              <w:top w:val="nil"/>
              <w:left w:val="nil"/>
              <w:bottom w:val="nil"/>
              <w:right w:val="nil"/>
            </w:tcBorders>
            <w:vAlign w:val="bottom"/>
          </w:tcPr>
          <w:p w14:paraId="03F827E7"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657" w:type="dxa"/>
            <w:tcBorders>
              <w:top w:val="nil"/>
              <w:left w:val="nil"/>
              <w:bottom w:val="nil"/>
              <w:right w:val="nil"/>
            </w:tcBorders>
            <w:vAlign w:val="bottom"/>
          </w:tcPr>
          <w:p w14:paraId="621F7726"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803" w:type="dxa"/>
            <w:tcBorders>
              <w:top w:val="nil"/>
              <w:left w:val="nil"/>
              <w:bottom w:val="nil"/>
              <w:right w:val="nil"/>
            </w:tcBorders>
            <w:vAlign w:val="bottom"/>
          </w:tcPr>
          <w:p w14:paraId="6C2AC96A"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803" w:type="dxa"/>
            <w:tcBorders>
              <w:top w:val="nil"/>
              <w:left w:val="nil"/>
              <w:bottom w:val="nil"/>
              <w:right w:val="nil"/>
            </w:tcBorders>
            <w:vAlign w:val="bottom"/>
          </w:tcPr>
          <w:p w14:paraId="407DD4D4"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c>
          <w:tcPr>
            <w:tcW w:w="657" w:type="dxa"/>
            <w:tcBorders>
              <w:top w:val="nil"/>
              <w:left w:val="nil"/>
              <w:bottom w:val="nil"/>
              <w:right w:val="nil"/>
            </w:tcBorders>
            <w:vAlign w:val="bottom"/>
          </w:tcPr>
          <w:p w14:paraId="365AA374" w14:textId="77777777" w:rsidR="00F5779C" w:rsidRPr="00D12E59" w:rsidRDefault="00F5779C" w:rsidP="002F4DEE">
            <w:pPr>
              <w:autoSpaceDE w:val="0"/>
              <w:autoSpaceDN w:val="0"/>
              <w:adjustRightInd w:val="0"/>
              <w:spacing w:after="0" w:line="240" w:lineRule="auto"/>
              <w:rPr>
                <w:rFonts w:ascii="Book Antiqua" w:hAnsi="Book Antiqua"/>
                <w:color w:val="000000"/>
                <w:lang w:val="en-GB" w:eastAsia="en-GB"/>
              </w:rPr>
            </w:pPr>
          </w:p>
        </w:tc>
      </w:tr>
    </w:tbl>
    <w:p w14:paraId="27D268F3" w14:textId="77777777" w:rsidR="00DC1AD8" w:rsidRDefault="00DC1AD8" w:rsidP="008275E1">
      <w:pPr>
        <w:autoSpaceDE w:val="0"/>
        <w:autoSpaceDN w:val="0"/>
        <w:adjustRightInd w:val="0"/>
        <w:rPr>
          <w:rFonts w:ascii="Book Antiqua" w:eastAsia="Swift-Regular" w:hAnsi="Book Antiqua"/>
          <w:b/>
          <w:lang w:val="en-GB" w:eastAsia="en-GB"/>
        </w:rPr>
      </w:pPr>
    </w:p>
    <w:p w14:paraId="4E110380" w14:textId="77777777" w:rsidR="00DC1AD8" w:rsidRDefault="00DC1AD8" w:rsidP="008275E1">
      <w:pPr>
        <w:autoSpaceDE w:val="0"/>
        <w:autoSpaceDN w:val="0"/>
        <w:adjustRightInd w:val="0"/>
        <w:rPr>
          <w:rFonts w:ascii="Book Antiqua" w:eastAsia="Swift-Regular" w:hAnsi="Book Antiqua"/>
          <w:b/>
          <w:lang w:val="en-GB" w:eastAsia="en-GB"/>
        </w:rPr>
      </w:pPr>
    </w:p>
    <w:p w14:paraId="7DC01B70" w14:textId="77777777" w:rsidR="00DC1AD8" w:rsidRDefault="00DC1AD8" w:rsidP="008275E1">
      <w:pPr>
        <w:autoSpaceDE w:val="0"/>
        <w:autoSpaceDN w:val="0"/>
        <w:adjustRightInd w:val="0"/>
        <w:rPr>
          <w:rFonts w:ascii="Book Antiqua" w:eastAsia="Swift-Regular" w:hAnsi="Book Antiqua"/>
          <w:b/>
          <w:lang w:val="en-GB" w:eastAsia="en-GB"/>
        </w:rPr>
      </w:pPr>
    </w:p>
    <w:p w14:paraId="4DE9A500" w14:textId="77777777" w:rsidR="00DC1AD8" w:rsidRDefault="00DC1AD8" w:rsidP="008275E1">
      <w:pPr>
        <w:autoSpaceDE w:val="0"/>
        <w:autoSpaceDN w:val="0"/>
        <w:adjustRightInd w:val="0"/>
        <w:rPr>
          <w:rFonts w:ascii="Book Antiqua" w:eastAsia="Swift-Regular" w:hAnsi="Book Antiqua"/>
          <w:b/>
          <w:lang w:val="en-GB" w:eastAsia="en-GB"/>
        </w:rPr>
      </w:pPr>
    </w:p>
    <w:p w14:paraId="176BE105" w14:textId="77777777" w:rsidR="00DC1AD8" w:rsidRDefault="00DC1AD8" w:rsidP="008275E1">
      <w:pPr>
        <w:autoSpaceDE w:val="0"/>
        <w:autoSpaceDN w:val="0"/>
        <w:adjustRightInd w:val="0"/>
        <w:rPr>
          <w:rFonts w:ascii="Book Antiqua" w:eastAsia="Swift-Regular" w:hAnsi="Book Antiqua"/>
          <w:b/>
          <w:lang w:val="en-GB" w:eastAsia="en-GB"/>
        </w:rPr>
      </w:pPr>
    </w:p>
    <w:p w14:paraId="20A44580" w14:textId="77777777" w:rsidR="00DC1AD8" w:rsidRDefault="00DC1AD8" w:rsidP="008275E1">
      <w:pPr>
        <w:autoSpaceDE w:val="0"/>
        <w:autoSpaceDN w:val="0"/>
        <w:adjustRightInd w:val="0"/>
        <w:rPr>
          <w:rFonts w:ascii="Book Antiqua" w:eastAsia="Swift-Regular" w:hAnsi="Book Antiqua"/>
          <w:b/>
          <w:lang w:val="en-GB" w:eastAsia="en-GB"/>
        </w:rPr>
      </w:pPr>
    </w:p>
    <w:p w14:paraId="590AFA51" w14:textId="77777777" w:rsidR="00F5779C" w:rsidRPr="00E3232D" w:rsidRDefault="00F5779C" w:rsidP="008275E1">
      <w:pPr>
        <w:autoSpaceDE w:val="0"/>
        <w:autoSpaceDN w:val="0"/>
        <w:adjustRightInd w:val="0"/>
        <w:rPr>
          <w:rFonts w:ascii="Book Antiqua" w:eastAsia="Swift-Regular" w:hAnsi="Book Antiqua"/>
          <w:b/>
          <w:lang w:val="en-GB" w:eastAsia="en-GB"/>
        </w:rPr>
      </w:pPr>
      <w:r w:rsidRPr="00E3232D">
        <w:rPr>
          <w:rFonts w:ascii="Book Antiqua" w:eastAsia="Swift-Regular" w:hAnsi="Book Antiqua"/>
          <w:b/>
          <w:lang w:val="en-GB" w:eastAsia="en-GB"/>
        </w:rPr>
        <w:t>Table 3: A GARCH(1,1) model for the GHC_USD returns</w:t>
      </w:r>
    </w:p>
    <w:tbl>
      <w:tblPr>
        <w:tblW w:w="0" w:type="auto"/>
        <w:tblInd w:w="60" w:type="dxa"/>
        <w:tblCellMar>
          <w:left w:w="30" w:type="dxa"/>
          <w:right w:w="30" w:type="dxa"/>
        </w:tblCellMar>
        <w:tblLook w:val="0000" w:firstRow="0" w:lastRow="0" w:firstColumn="0" w:lastColumn="0" w:noHBand="0" w:noVBand="0"/>
      </w:tblPr>
      <w:tblGrid>
        <w:gridCol w:w="1275"/>
        <w:gridCol w:w="1129"/>
        <w:gridCol w:w="1017"/>
        <w:gridCol w:w="1013"/>
        <w:gridCol w:w="697"/>
      </w:tblGrid>
      <w:tr w:rsidR="00F5779C" w:rsidRPr="00D12E59" w14:paraId="552371CC" w14:textId="77777777" w:rsidTr="0012151E">
        <w:trPr>
          <w:trHeight w:val="272"/>
        </w:trPr>
        <w:tc>
          <w:tcPr>
            <w:tcW w:w="0" w:type="auto"/>
            <w:tcBorders>
              <w:top w:val="nil"/>
              <w:left w:val="nil"/>
              <w:bottom w:val="nil"/>
              <w:right w:val="nil"/>
            </w:tcBorders>
            <w:vAlign w:val="bottom"/>
          </w:tcPr>
          <w:p w14:paraId="1531E5D2"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364A6E73"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Coefficient</w:t>
            </w:r>
          </w:p>
        </w:tc>
        <w:tc>
          <w:tcPr>
            <w:tcW w:w="0" w:type="auto"/>
            <w:tcBorders>
              <w:top w:val="nil"/>
              <w:left w:val="nil"/>
              <w:bottom w:val="nil"/>
              <w:right w:val="nil"/>
            </w:tcBorders>
            <w:vAlign w:val="bottom"/>
          </w:tcPr>
          <w:p w14:paraId="607BFE5A"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Std. Error</w:t>
            </w:r>
          </w:p>
        </w:tc>
        <w:tc>
          <w:tcPr>
            <w:tcW w:w="0" w:type="auto"/>
            <w:tcBorders>
              <w:top w:val="nil"/>
              <w:left w:val="nil"/>
              <w:bottom w:val="nil"/>
              <w:right w:val="nil"/>
            </w:tcBorders>
            <w:vAlign w:val="bottom"/>
          </w:tcPr>
          <w:p w14:paraId="0FD9B4F7"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z-Statistic</w:t>
            </w:r>
          </w:p>
        </w:tc>
        <w:tc>
          <w:tcPr>
            <w:tcW w:w="0" w:type="auto"/>
            <w:tcBorders>
              <w:top w:val="nil"/>
              <w:left w:val="nil"/>
              <w:bottom w:val="nil"/>
              <w:right w:val="nil"/>
            </w:tcBorders>
            <w:vAlign w:val="bottom"/>
          </w:tcPr>
          <w:p w14:paraId="2E001B48"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Prob.  </w:t>
            </w:r>
          </w:p>
        </w:tc>
      </w:tr>
      <w:tr w:rsidR="00F5779C" w:rsidRPr="00D12E59" w14:paraId="0AE770AE" w14:textId="77777777" w:rsidTr="0012151E">
        <w:trPr>
          <w:trHeight w:hRule="exact" w:val="102"/>
        </w:trPr>
        <w:tc>
          <w:tcPr>
            <w:tcW w:w="0" w:type="auto"/>
            <w:tcBorders>
              <w:top w:val="nil"/>
              <w:left w:val="nil"/>
              <w:bottom w:val="double" w:sz="6" w:space="2" w:color="auto"/>
              <w:right w:val="nil"/>
            </w:tcBorders>
            <w:vAlign w:val="bottom"/>
          </w:tcPr>
          <w:p w14:paraId="4BD17461"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3D6A7BD7"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391DAF56"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42DC53FA"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198E8094"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36A2D752" w14:textId="77777777" w:rsidTr="0012151E">
        <w:trPr>
          <w:trHeight w:hRule="exact" w:val="153"/>
        </w:trPr>
        <w:tc>
          <w:tcPr>
            <w:tcW w:w="0" w:type="auto"/>
            <w:tcBorders>
              <w:top w:val="nil"/>
              <w:left w:val="nil"/>
              <w:bottom w:val="nil"/>
              <w:right w:val="nil"/>
            </w:tcBorders>
            <w:vAlign w:val="bottom"/>
          </w:tcPr>
          <w:p w14:paraId="6BDA7E8D"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3835E208"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062D1BA9"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0B8AD234"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67AEC405"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068E7195" w14:textId="77777777" w:rsidTr="0012151E">
        <w:trPr>
          <w:trHeight w:val="272"/>
        </w:trPr>
        <w:tc>
          <w:tcPr>
            <w:tcW w:w="0" w:type="auto"/>
            <w:tcBorders>
              <w:top w:val="nil"/>
              <w:left w:val="nil"/>
              <w:bottom w:val="nil"/>
              <w:right w:val="nil"/>
            </w:tcBorders>
            <w:vAlign w:val="bottom"/>
          </w:tcPr>
          <w:p w14:paraId="202B4706"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C</w:t>
            </w:r>
          </w:p>
        </w:tc>
        <w:tc>
          <w:tcPr>
            <w:tcW w:w="0" w:type="auto"/>
            <w:tcBorders>
              <w:top w:val="nil"/>
              <w:left w:val="nil"/>
              <w:bottom w:val="nil"/>
              <w:right w:val="nil"/>
            </w:tcBorders>
            <w:vAlign w:val="bottom"/>
          </w:tcPr>
          <w:p w14:paraId="375069AD"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0.000401</w:t>
            </w:r>
          </w:p>
        </w:tc>
        <w:tc>
          <w:tcPr>
            <w:tcW w:w="0" w:type="auto"/>
            <w:tcBorders>
              <w:top w:val="nil"/>
              <w:left w:val="nil"/>
              <w:bottom w:val="nil"/>
              <w:right w:val="nil"/>
            </w:tcBorders>
            <w:vAlign w:val="bottom"/>
          </w:tcPr>
          <w:p w14:paraId="22F2EA0A"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0.000249</w:t>
            </w:r>
          </w:p>
        </w:tc>
        <w:tc>
          <w:tcPr>
            <w:tcW w:w="0" w:type="auto"/>
            <w:tcBorders>
              <w:top w:val="nil"/>
              <w:left w:val="nil"/>
              <w:bottom w:val="nil"/>
              <w:right w:val="nil"/>
            </w:tcBorders>
            <w:vAlign w:val="bottom"/>
          </w:tcPr>
          <w:p w14:paraId="5C095374"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1.608605</w:t>
            </w:r>
          </w:p>
        </w:tc>
        <w:tc>
          <w:tcPr>
            <w:tcW w:w="0" w:type="auto"/>
            <w:tcBorders>
              <w:top w:val="nil"/>
              <w:left w:val="nil"/>
              <w:bottom w:val="nil"/>
              <w:right w:val="nil"/>
            </w:tcBorders>
            <w:vAlign w:val="bottom"/>
          </w:tcPr>
          <w:p w14:paraId="6CD37077"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0.1077</w:t>
            </w:r>
          </w:p>
        </w:tc>
      </w:tr>
      <w:tr w:rsidR="00F5779C" w:rsidRPr="00D12E59" w14:paraId="0B24DCF9" w14:textId="77777777" w:rsidTr="0012151E">
        <w:trPr>
          <w:trHeight w:val="272"/>
        </w:trPr>
        <w:tc>
          <w:tcPr>
            <w:tcW w:w="0" w:type="auto"/>
            <w:tcBorders>
              <w:top w:val="nil"/>
              <w:left w:val="nil"/>
              <w:bottom w:val="nil"/>
              <w:right w:val="nil"/>
            </w:tcBorders>
            <w:vAlign w:val="bottom"/>
          </w:tcPr>
          <w:p w14:paraId="21A8076B"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RGU(-1)</w:t>
            </w:r>
          </w:p>
        </w:tc>
        <w:tc>
          <w:tcPr>
            <w:tcW w:w="0" w:type="auto"/>
            <w:tcBorders>
              <w:top w:val="nil"/>
              <w:left w:val="nil"/>
              <w:bottom w:val="nil"/>
              <w:right w:val="nil"/>
            </w:tcBorders>
            <w:vAlign w:val="bottom"/>
          </w:tcPr>
          <w:p w14:paraId="463166BE"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0.385038</w:t>
            </w:r>
          </w:p>
        </w:tc>
        <w:tc>
          <w:tcPr>
            <w:tcW w:w="0" w:type="auto"/>
            <w:tcBorders>
              <w:top w:val="nil"/>
              <w:left w:val="nil"/>
              <w:bottom w:val="nil"/>
              <w:right w:val="nil"/>
            </w:tcBorders>
            <w:vAlign w:val="bottom"/>
          </w:tcPr>
          <w:p w14:paraId="703F5CD0"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0.076813</w:t>
            </w:r>
          </w:p>
        </w:tc>
        <w:tc>
          <w:tcPr>
            <w:tcW w:w="0" w:type="auto"/>
            <w:tcBorders>
              <w:top w:val="nil"/>
              <w:left w:val="nil"/>
              <w:bottom w:val="nil"/>
              <w:right w:val="nil"/>
            </w:tcBorders>
            <w:vAlign w:val="bottom"/>
          </w:tcPr>
          <w:p w14:paraId="49D896F1"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-5.012639</w:t>
            </w:r>
          </w:p>
        </w:tc>
        <w:tc>
          <w:tcPr>
            <w:tcW w:w="0" w:type="auto"/>
            <w:tcBorders>
              <w:top w:val="nil"/>
              <w:left w:val="nil"/>
              <w:bottom w:val="nil"/>
              <w:right w:val="nil"/>
            </w:tcBorders>
            <w:vAlign w:val="bottom"/>
          </w:tcPr>
          <w:p w14:paraId="15236D4D"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0.0000</w:t>
            </w:r>
          </w:p>
        </w:tc>
      </w:tr>
      <w:tr w:rsidR="00F5779C" w:rsidRPr="00D12E59" w14:paraId="4BDDB9D5" w14:textId="77777777" w:rsidTr="0012151E">
        <w:trPr>
          <w:trHeight w:val="272"/>
        </w:trPr>
        <w:tc>
          <w:tcPr>
            <w:tcW w:w="0" w:type="auto"/>
            <w:tcBorders>
              <w:top w:val="nil"/>
              <w:left w:val="nil"/>
              <w:bottom w:val="nil"/>
              <w:right w:val="nil"/>
            </w:tcBorders>
            <w:vAlign w:val="bottom"/>
          </w:tcPr>
          <w:p w14:paraId="203DE033"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gridSpan w:val="2"/>
            <w:tcBorders>
              <w:top w:val="nil"/>
              <w:left w:val="nil"/>
              <w:bottom w:val="nil"/>
              <w:right w:val="nil"/>
            </w:tcBorders>
            <w:vAlign w:val="bottom"/>
          </w:tcPr>
          <w:p w14:paraId="00CED0A9"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Variance Equation</w:t>
            </w:r>
          </w:p>
        </w:tc>
        <w:tc>
          <w:tcPr>
            <w:tcW w:w="0" w:type="auto"/>
            <w:tcBorders>
              <w:top w:val="nil"/>
              <w:left w:val="nil"/>
              <w:bottom w:val="nil"/>
              <w:right w:val="nil"/>
            </w:tcBorders>
            <w:vAlign w:val="bottom"/>
          </w:tcPr>
          <w:p w14:paraId="1927857D"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1C38D8B1"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5134709A" w14:textId="77777777" w:rsidTr="0012151E">
        <w:trPr>
          <w:trHeight w:hRule="exact" w:val="102"/>
        </w:trPr>
        <w:tc>
          <w:tcPr>
            <w:tcW w:w="0" w:type="auto"/>
            <w:tcBorders>
              <w:top w:val="nil"/>
              <w:left w:val="nil"/>
              <w:bottom w:val="double" w:sz="6" w:space="2" w:color="auto"/>
              <w:right w:val="nil"/>
            </w:tcBorders>
            <w:vAlign w:val="bottom"/>
          </w:tcPr>
          <w:p w14:paraId="142EF311"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682F8454"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01F46A5A"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18A0BE63"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69B49E94"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63C4BE0F" w14:textId="77777777" w:rsidTr="0012151E">
        <w:trPr>
          <w:trHeight w:hRule="exact" w:val="153"/>
        </w:trPr>
        <w:tc>
          <w:tcPr>
            <w:tcW w:w="0" w:type="auto"/>
            <w:tcBorders>
              <w:top w:val="nil"/>
              <w:left w:val="nil"/>
              <w:bottom w:val="nil"/>
              <w:right w:val="nil"/>
            </w:tcBorders>
            <w:vAlign w:val="bottom"/>
          </w:tcPr>
          <w:p w14:paraId="63D09FCE"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558F9633"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0081FFBE"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163CCE01"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35B7B5C3"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66C28900" w14:textId="77777777" w:rsidTr="0012151E">
        <w:trPr>
          <w:trHeight w:val="272"/>
        </w:trPr>
        <w:tc>
          <w:tcPr>
            <w:tcW w:w="0" w:type="auto"/>
            <w:tcBorders>
              <w:top w:val="nil"/>
              <w:left w:val="nil"/>
              <w:bottom w:val="nil"/>
              <w:right w:val="nil"/>
            </w:tcBorders>
            <w:vAlign w:val="bottom"/>
          </w:tcPr>
          <w:p w14:paraId="0DBC413C"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C</w:t>
            </w:r>
          </w:p>
        </w:tc>
        <w:tc>
          <w:tcPr>
            <w:tcW w:w="0" w:type="auto"/>
            <w:tcBorders>
              <w:top w:val="nil"/>
              <w:left w:val="nil"/>
              <w:bottom w:val="nil"/>
              <w:right w:val="nil"/>
            </w:tcBorders>
            <w:vAlign w:val="bottom"/>
          </w:tcPr>
          <w:p w14:paraId="0A1F50F9"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1.16E-06</w:t>
            </w:r>
          </w:p>
        </w:tc>
        <w:tc>
          <w:tcPr>
            <w:tcW w:w="0" w:type="auto"/>
            <w:tcBorders>
              <w:top w:val="nil"/>
              <w:left w:val="nil"/>
              <w:bottom w:val="nil"/>
              <w:right w:val="nil"/>
            </w:tcBorders>
            <w:vAlign w:val="bottom"/>
          </w:tcPr>
          <w:p w14:paraId="6E722071"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4.16E-07</w:t>
            </w:r>
          </w:p>
        </w:tc>
        <w:tc>
          <w:tcPr>
            <w:tcW w:w="0" w:type="auto"/>
            <w:tcBorders>
              <w:top w:val="nil"/>
              <w:left w:val="nil"/>
              <w:bottom w:val="nil"/>
              <w:right w:val="nil"/>
            </w:tcBorders>
            <w:vAlign w:val="bottom"/>
          </w:tcPr>
          <w:p w14:paraId="2B5393E6"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2.776306</w:t>
            </w:r>
          </w:p>
        </w:tc>
        <w:tc>
          <w:tcPr>
            <w:tcW w:w="0" w:type="auto"/>
            <w:tcBorders>
              <w:top w:val="nil"/>
              <w:left w:val="nil"/>
              <w:bottom w:val="nil"/>
              <w:right w:val="nil"/>
            </w:tcBorders>
            <w:vAlign w:val="bottom"/>
          </w:tcPr>
          <w:p w14:paraId="405DBA58"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0.0055</w:t>
            </w:r>
          </w:p>
        </w:tc>
      </w:tr>
      <w:tr w:rsidR="00F5779C" w:rsidRPr="00D12E59" w14:paraId="0C9F08B2" w14:textId="77777777" w:rsidTr="0012151E">
        <w:trPr>
          <w:trHeight w:val="272"/>
        </w:trPr>
        <w:tc>
          <w:tcPr>
            <w:tcW w:w="0" w:type="auto"/>
            <w:tcBorders>
              <w:top w:val="nil"/>
              <w:left w:val="nil"/>
              <w:bottom w:val="nil"/>
              <w:right w:val="nil"/>
            </w:tcBorders>
            <w:vAlign w:val="bottom"/>
          </w:tcPr>
          <w:p w14:paraId="500EA655"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RESID(-1)^2</w:t>
            </w:r>
          </w:p>
        </w:tc>
        <w:tc>
          <w:tcPr>
            <w:tcW w:w="0" w:type="auto"/>
            <w:tcBorders>
              <w:top w:val="nil"/>
              <w:left w:val="nil"/>
              <w:bottom w:val="nil"/>
              <w:right w:val="nil"/>
            </w:tcBorders>
            <w:vAlign w:val="bottom"/>
          </w:tcPr>
          <w:p w14:paraId="5D0FE2D8"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0.113125</w:t>
            </w:r>
          </w:p>
        </w:tc>
        <w:tc>
          <w:tcPr>
            <w:tcW w:w="0" w:type="auto"/>
            <w:tcBorders>
              <w:top w:val="nil"/>
              <w:left w:val="nil"/>
              <w:bottom w:val="nil"/>
              <w:right w:val="nil"/>
            </w:tcBorders>
            <w:vAlign w:val="bottom"/>
          </w:tcPr>
          <w:p w14:paraId="457E5BC0"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0.029840</w:t>
            </w:r>
          </w:p>
        </w:tc>
        <w:tc>
          <w:tcPr>
            <w:tcW w:w="0" w:type="auto"/>
            <w:tcBorders>
              <w:top w:val="nil"/>
              <w:left w:val="nil"/>
              <w:bottom w:val="nil"/>
              <w:right w:val="nil"/>
            </w:tcBorders>
            <w:vAlign w:val="bottom"/>
          </w:tcPr>
          <w:p w14:paraId="1B92A214"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3.790995</w:t>
            </w:r>
          </w:p>
        </w:tc>
        <w:tc>
          <w:tcPr>
            <w:tcW w:w="0" w:type="auto"/>
            <w:tcBorders>
              <w:top w:val="nil"/>
              <w:left w:val="nil"/>
              <w:bottom w:val="nil"/>
              <w:right w:val="nil"/>
            </w:tcBorders>
            <w:vAlign w:val="bottom"/>
          </w:tcPr>
          <w:p w14:paraId="63609E1F"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0.0002</w:t>
            </w:r>
          </w:p>
        </w:tc>
      </w:tr>
      <w:tr w:rsidR="00F5779C" w:rsidRPr="00D12E59" w14:paraId="1F7F1127" w14:textId="77777777" w:rsidTr="0012151E">
        <w:trPr>
          <w:trHeight w:val="272"/>
        </w:trPr>
        <w:tc>
          <w:tcPr>
            <w:tcW w:w="0" w:type="auto"/>
            <w:tcBorders>
              <w:top w:val="nil"/>
              <w:left w:val="nil"/>
              <w:bottom w:val="nil"/>
              <w:right w:val="nil"/>
            </w:tcBorders>
            <w:vAlign w:val="bottom"/>
          </w:tcPr>
          <w:p w14:paraId="4C1D4AB0"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GARCH(-1)</w:t>
            </w:r>
          </w:p>
        </w:tc>
        <w:tc>
          <w:tcPr>
            <w:tcW w:w="0" w:type="auto"/>
            <w:tcBorders>
              <w:top w:val="nil"/>
              <w:left w:val="nil"/>
              <w:bottom w:val="nil"/>
              <w:right w:val="nil"/>
            </w:tcBorders>
            <w:vAlign w:val="bottom"/>
          </w:tcPr>
          <w:p w14:paraId="1AC71A5B"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0.850657</w:t>
            </w:r>
          </w:p>
        </w:tc>
        <w:tc>
          <w:tcPr>
            <w:tcW w:w="0" w:type="auto"/>
            <w:tcBorders>
              <w:top w:val="nil"/>
              <w:left w:val="nil"/>
              <w:bottom w:val="nil"/>
              <w:right w:val="nil"/>
            </w:tcBorders>
            <w:vAlign w:val="bottom"/>
          </w:tcPr>
          <w:p w14:paraId="634AD56C"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0.036891</w:t>
            </w:r>
          </w:p>
        </w:tc>
        <w:tc>
          <w:tcPr>
            <w:tcW w:w="0" w:type="auto"/>
            <w:tcBorders>
              <w:top w:val="nil"/>
              <w:left w:val="nil"/>
              <w:bottom w:val="nil"/>
              <w:right w:val="nil"/>
            </w:tcBorders>
            <w:vAlign w:val="bottom"/>
          </w:tcPr>
          <w:p w14:paraId="48EA6B32"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23.05887</w:t>
            </w:r>
          </w:p>
        </w:tc>
        <w:tc>
          <w:tcPr>
            <w:tcW w:w="0" w:type="auto"/>
            <w:tcBorders>
              <w:top w:val="nil"/>
              <w:left w:val="nil"/>
              <w:bottom w:val="nil"/>
              <w:right w:val="nil"/>
            </w:tcBorders>
            <w:vAlign w:val="bottom"/>
          </w:tcPr>
          <w:p w14:paraId="641F4AA2"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0.0000</w:t>
            </w:r>
          </w:p>
        </w:tc>
      </w:tr>
      <w:tr w:rsidR="00F5779C" w:rsidRPr="00D12E59" w14:paraId="1C4A633C" w14:textId="77777777" w:rsidTr="0012151E">
        <w:trPr>
          <w:trHeight w:hRule="exact" w:val="102"/>
        </w:trPr>
        <w:tc>
          <w:tcPr>
            <w:tcW w:w="0" w:type="auto"/>
            <w:tcBorders>
              <w:top w:val="nil"/>
              <w:left w:val="nil"/>
              <w:bottom w:val="double" w:sz="6" w:space="2" w:color="auto"/>
              <w:right w:val="nil"/>
            </w:tcBorders>
            <w:vAlign w:val="bottom"/>
          </w:tcPr>
          <w:p w14:paraId="68C1D903"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6FAF2BBE"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2E2E0831"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36FD167E"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2654BFAF"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5AECE142" w14:textId="77777777" w:rsidTr="0012151E">
        <w:trPr>
          <w:trHeight w:hRule="exact" w:val="153"/>
        </w:trPr>
        <w:tc>
          <w:tcPr>
            <w:tcW w:w="0" w:type="auto"/>
            <w:tcBorders>
              <w:top w:val="nil"/>
              <w:left w:val="nil"/>
              <w:bottom w:val="nil"/>
              <w:right w:val="nil"/>
            </w:tcBorders>
            <w:vAlign w:val="bottom"/>
          </w:tcPr>
          <w:p w14:paraId="6CCDB349"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2A63E418"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553227D6"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002F22A6"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2B50EEFB" w14:textId="77777777" w:rsidR="00F5779C" w:rsidRPr="00D12E59" w:rsidRDefault="00F5779C" w:rsidP="008275E1">
            <w:pPr>
              <w:autoSpaceDE w:val="0"/>
              <w:autoSpaceDN w:val="0"/>
              <w:adjustRightInd w:val="0"/>
              <w:rPr>
                <w:rFonts w:ascii="Book Antiqua" w:hAnsi="Book Antiqua"/>
                <w:color w:val="000000"/>
                <w:lang w:val="en-GB" w:eastAsia="en-GB"/>
              </w:rPr>
            </w:pPr>
          </w:p>
        </w:tc>
      </w:tr>
    </w:tbl>
    <w:p w14:paraId="4C8A938B"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RGU = C(1) + C(2)*RGU(-1)</w:t>
      </w:r>
    </w:p>
    <w:p w14:paraId="7B4B0AEB" w14:textId="77777777" w:rsidR="00F5779C" w:rsidRPr="00E3232D" w:rsidRDefault="00F5779C" w:rsidP="008275E1">
      <w:pPr>
        <w:autoSpaceDE w:val="0"/>
        <w:autoSpaceDN w:val="0"/>
        <w:adjustRightInd w:val="0"/>
        <w:rPr>
          <w:rFonts w:ascii="Book Antiqua" w:hAnsi="Book Antiqua"/>
          <w:lang w:val="en-GB" w:eastAsia="en-GB"/>
        </w:rPr>
      </w:pPr>
    </w:p>
    <w:p w14:paraId="08EEC7E5"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GARCH = C(3) + C(4)*RESID(-1)^2 + C(5)*GARCH(-1)</w:t>
      </w:r>
    </w:p>
    <w:p w14:paraId="4B774CAB" w14:textId="77777777" w:rsidR="00F5779C" w:rsidRPr="00E3232D" w:rsidRDefault="00F5779C" w:rsidP="008275E1">
      <w:pPr>
        <w:autoSpaceDE w:val="0"/>
        <w:autoSpaceDN w:val="0"/>
        <w:adjustRightInd w:val="0"/>
        <w:rPr>
          <w:rFonts w:ascii="Book Antiqua" w:hAnsi="Book Antiqua"/>
          <w:lang w:val="en-GB" w:eastAsia="en-GB"/>
        </w:rPr>
      </w:pPr>
    </w:p>
    <w:p w14:paraId="3AC529F7"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Substituted Coefficients:</w:t>
      </w:r>
    </w:p>
    <w:p w14:paraId="38E7CD83"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RGU = 0.0004012284202 - 0.385037599*RGU(-1)</w:t>
      </w:r>
    </w:p>
    <w:p w14:paraId="2FC3D9D5"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GARCH = 1.155819627e-006 + 0.1131246474*RESID(-1)^2 + 0.8506571715*GARCH(-1)</w:t>
      </w:r>
    </w:p>
    <w:p w14:paraId="07887F8C" w14:textId="77777777" w:rsidR="0012151E" w:rsidRDefault="0012151E" w:rsidP="008275E1">
      <w:pPr>
        <w:autoSpaceDE w:val="0"/>
        <w:autoSpaceDN w:val="0"/>
        <w:adjustRightInd w:val="0"/>
        <w:rPr>
          <w:rFonts w:ascii="Book Antiqua" w:eastAsia="Swift-Regular" w:hAnsi="Book Antiqua"/>
          <w:b/>
          <w:lang w:val="en-GB" w:eastAsia="en-GB"/>
        </w:rPr>
      </w:pPr>
    </w:p>
    <w:p w14:paraId="1A91D60F" w14:textId="77777777" w:rsidR="00DC1AD8" w:rsidRDefault="00DC1AD8" w:rsidP="008275E1">
      <w:pPr>
        <w:autoSpaceDE w:val="0"/>
        <w:autoSpaceDN w:val="0"/>
        <w:adjustRightInd w:val="0"/>
        <w:rPr>
          <w:rFonts w:ascii="Book Antiqua" w:eastAsia="Swift-Regular" w:hAnsi="Book Antiqua"/>
          <w:b/>
          <w:lang w:val="en-GB" w:eastAsia="en-GB"/>
        </w:rPr>
      </w:pPr>
    </w:p>
    <w:p w14:paraId="67CDB9C4" w14:textId="77777777" w:rsidR="00DC1AD8" w:rsidRDefault="00DC1AD8" w:rsidP="008275E1">
      <w:pPr>
        <w:autoSpaceDE w:val="0"/>
        <w:autoSpaceDN w:val="0"/>
        <w:adjustRightInd w:val="0"/>
        <w:rPr>
          <w:rFonts w:ascii="Book Antiqua" w:eastAsia="Swift-Regular" w:hAnsi="Book Antiqua"/>
          <w:b/>
          <w:lang w:val="en-GB" w:eastAsia="en-GB"/>
        </w:rPr>
      </w:pPr>
    </w:p>
    <w:p w14:paraId="5A5C7682" w14:textId="77777777" w:rsidR="00DC1AD8" w:rsidRDefault="00DC1AD8" w:rsidP="008275E1">
      <w:pPr>
        <w:autoSpaceDE w:val="0"/>
        <w:autoSpaceDN w:val="0"/>
        <w:adjustRightInd w:val="0"/>
        <w:rPr>
          <w:rFonts w:ascii="Book Antiqua" w:eastAsia="Swift-Regular" w:hAnsi="Book Antiqua"/>
          <w:b/>
          <w:lang w:val="en-GB" w:eastAsia="en-GB"/>
        </w:rPr>
      </w:pPr>
    </w:p>
    <w:p w14:paraId="283B3F0E" w14:textId="77777777" w:rsidR="00DC1AD8" w:rsidRDefault="00DC1AD8" w:rsidP="008275E1">
      <w:pPr>
        <w:autoSpaceDE w:val="0"/>
        <w:autoSpaceDN w:val="0"/>
        <w:adjustRightInd w:val="0"/>
        <w:rPr>
          <w:rFonts w:ascii="Book Antiqua" w:eastAsia="Swift-Regular" w:hAnsi="Book Antiqua"/>
          <w:b/>
          <w:lang w:val="en-GB" w:eastAsia="en-GB"/>
        </w:rPr>
      </w:pPr>
    </w:p>
    <w:p w14:paraId="03EED029" w14:textId="77777777" w:rsidR="00DC1AD8" w:rsidRDefault="00DC1AD8" w:rsidP="008275E1">
      <w:pPr>
        <w:autoSpaceDE w:val="0"/>
        <w:autoSpaceDN w:val="0"/>
        <w:adjustRightInd w:val="0"/>
        <w:rPr>
          <w:rFonts w:ascii="Book Antiqua" w:eastAsia="Swift-Regular" w:hAnsi="Book Antiqua"/>
          <w:b/>
          <w:lang w:val="en-GB" w:eastAsia="en-GB"/>
        </w:rPr>
      </w:pPr>
    </w:p>
    <w:p w14:paraId="7BB460B9" w14:textId="77777777" w:rsidR="00DC1AD8" w:rsidRDefault="00DC1AD8" w:rsidP="008275E1">
      <w:pPr>
        <w:autoSpaceDE w:val="0"/>
        <w:autoSpaceDN w:val="0"/>
        <w:adjustRightInd w:val="0"/>
        <w:rPr>
          <w:rFonts w:ascii="Book Antiqua" w:eastAsia="Swift-Regular" w:hAnsi="Book Antiqua"/>
          <w:b/>
          <w:lang w:val="en-GB" w:eastAsia="en-GB"/>
        </w:rPr>
      </w:pPr>
    </w:p>
    <w:p w14:paraId="51EFA360" w14:textId="77777777" w:rsidR="00DC1AD8" w:rsidRDefault="00DC1AD8" w:rsidP="008275E1">
      <w:pPr>
        <w:autoSpaceDE w:val="0"/>
        <w:autoSpaceDN w:val="0"/>
        <w:adjustRightInd w:val="0"/>
        <w:rPr>
          <w:rFonts w:ascii="Book Antiqua" w:eastAsia="Swift-Regular" w:hAnsi="Book Antiqua"/>
          <w:b/>
          <w:lang w:val="en-GB" w:eastAsia="en-GB"/>
        </w:rPr>
      </w:pPr>
    </w:p>
    <w:p w14:paraId="715B719D" w14:textId="77777777" w:rsidR="00F5779C" w:rsidRPr="00E3232D" w:rsidRDefault="00F5779C" w:rsidP="008275E1">
      <w:pPr>
        <w:autoSpaceDE w:val="0"/>
        <w:autoSpaceDN w:val="0"/>
        <w:adjustRightInd w:val="0"/>
        <w:rPr>
          <w:rFonts w:ascii="Book Antiqua" w:eastAsia="Swift-Regular" w:hAnsi="Book Antiqua"/>
          <w:b/>
          <w:lang w:val="en-GB" w:eastAsia="en-GB"/>
        </w:rPr>
      </w:pPr>
      <w:r w:rsidRPr="00E3232D">
        <w:rPr>
          <w:rFonts w:ascii="Book Antiqua" w:eastAsia="Swift-Regular" w:hAnsi="Book Antiqua"/>
          <w:b/>
          <w:lang w:val="en-GB" w:eastAsia="en-GB"/>
        </w:rPr>
        <w:t>Table 4: An EGARCH (1,1) model for the GHC_USD returns</w:t>
      </w:r>
    </w:p>
    <w:tbl>
      <w:tblPr>
        <w:tblW w:w="5190" w:type="dxa"/>
        <w:tblInd w:w="60" w:type="dxa"/>
        <w:tblLayout w:type="fixed"/>
        <w:tblCellMar>
          <w:left w:w="30" w:type="dxa"/>
          <w:right w:w="30" w:type="dxa"/>
        </w:tblCellMar>
        <w:tblLook w:val="0000" w:firstRow="0" w:lastRow="0" w:firstColumn="0" w:lastColumn="0" w:noHBand="0" w:noVBand="0"/>
      </w:tblPr>
      <w:tblGrid>
        <w:gridCol w:w="1819"/>
        <w:gridCol w:w="873"/>
        <w:gridCol w:w="1068"/>
        <w:gridCol w:w="1067"/>
        <w:gridCol w:w="363"/>
      </w:tblGrid>
      <w:tr w:rsidR="00F5779C" w:rsidRPr="00D12E59" w14:paraId="14D5AF88" w14:textId="77777777" w:rsidTr="005C200E">
        <w:trPr>
          <w:trHeight w:val="344"/>
        </w:trPr>
        <w:tc>
          <w:tcPr>
            <w:tcW w:w="1819" w:type="dxa"/>
            <w:tcBorders>
              <w:top w:val="nil"/>
              <w:left w:val="nil"/>
              <w:bottom w:val="nil"/>
              <w:right w:val="nil"/>
            </w:tcBorders>
            <w:vAlign w:val="bottom"/>
          </w:tcPr>
          <w:p w14:paraId="5C2288C6"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873" w:type="dxa"/>
            <w:tcBorders>
              <w:top w:val="nil"/>
              <w:left w:val="nil"/>
              <w:bottom w:val="nil"/>
              <w:right w:val="nil"/>
            </w:tcBorders>
            <w:vAlign w:val="bottom"/>
          </w:tcPr>
          <w:p w14:paraId="33E5EDC5"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Coefficient</w:t>
            </w:r>
          </w:p>
        </w:tc>
        <w:tc>
          <w:tcPr>
            <w:tcW w:w="1068" w:type="dxa"/>
            <w:tcBorders>
              <w:top w:val="nil"/>
              <w:left w:val="nil"/>
              <w:bottom w:val="nil"/>
              <w:right w:val="nil"/>
            </w:tcBorders>
            <w:vAlign w:val="bottom"/>
          </w:tcPr>
          <w:p w14:paraId="16DF703E"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Std. Error</w:t>
            </w:r>
          </w:p>
        </w:tc>
        <w:tc>
          <w:tcPr>
            <w:tcW w:w="1067" w:type="dxa"/>
            <w:tcBorders>
              <w:top w:val="nil"/>
              <w:left w:val="nil"/>
              <w:bottom w:val="nil"/>
              <w:right w:val="nil"/>
            </w:tcBorders>
            <w:vAlign w:val="bottom"/>
          </w:tcPr>
          <w:p w14:paraId="14E1AD8D"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z-Statistic</w:t>
            </w:r>
          </w:p>
        </w:tc>
        <w:tc>
          <w:tcPr>
            <w:tcW w:w="363" w:type="dxa"/>
            <w:tcBorders>
              <w:top w:val="nil"/>
              <w:left w:val="nil"/>
              <w:bottom w:val="nil"/>
              <w:right w:val="nil"/>
            </w:tcBorders>
            <w:vAlign w:val="bottom"/>
          </w:tcPr>
          <w:p w14:paraId="30CBC873"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Prob.  </w:t>
            </w:r>
          </w:p>
        </w:tc>
      </w:tr>
      <w:tr w:rsidR="00F5779C" w:rsidRPr="00D12E59" w14:paraId="669EAF82" w14:textId="77777777" w:rsidTr="005C200E">
        <w:trPr>
          <w:trHeight w:hRule="exact" w:val="129"/>
        </w:trPr>
        <w:tc>
          <w:tcPr>
            <w:tcW w:w="1819" w:type="dxa"/>
            <w:tcBorders>
              <w:top w:val="nil"/>
              <w:left w:val="nil"/>
              <w:bottom w:val="double" w:sz="6" w:space="2" w:color="auto"/>
              <w:right w:val="nil"/>
            </w:tcBorders>
            <w:vAlign w:val="bottom"/>
          </w:tcPr>
          <w:p w14:paraId="64BBC062"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873" w:type="dxa"/>
            <w:tcBorders>
              <w:top w:val="nil"/>
              <w:left w:val="nil"/>
              <w:bottom w:val="double" w:sz="6" w:space="2" w:color="auto"/>
              <w:right w:val="nil"/>
            </w:tcBorders>
            <w:vAlign w:val="bottom"/>
          </w:tcPr>
          <w:p w14:paraId="11D0507D"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8" w:type="dxa"/>
            <w:tcBorders>
              <w:top w:val="nil"/>
              <w:left w:val="nil"/>
              <w:bottom w:val="double" w:sz="6" w:space="2" w:color="auto"/>
              <w:right w:val="nil"/>
            </w:tcBorders>
            <w:vAlign w:val="bottom"/>
          </w:tcPr>
          <w:p w14:paraId="7FAC7990"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7" w:type="dxa"/>
            <w:tcBorders>
              <w:top w:val="nil"/>
              <w:left w:val="nil"/>
              <w:bottom w:val="double" w:sz="6" w:space="2" w:color="auto"/>
              <w:right w:val="nil"/>
            </w:tcBorders>
            <w:vAlign w:val="bottom"/>
          </w:tcPr>
          <w:p w14:paraId="16C08552"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363" w:type="dxa"/>
            <w:tcBorders>
              <w:top w:val="nil"/>
              <w:left w:val="nil"/>
              <w:bottom w:val="double" w:sz="6" w:space="2" w:color="auto"/>
              <w:right w:val="nil"/>
            </w:tcBorders>
            <w:vAlign w:val="bottom"/>
          </w:tcPr>
          <w:p w14:paraId="72C765F0"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0A2F2EE8" w14:textId="77777777" w:rsidTr="005C200E">
        <w:trPr>
          <w:trHeight w:hRule="exact" w:val="194"/>
        </w:trPr>
        <w:tc>
          <w:tcPr>
            <w:tcW w:w="1819" w:type="dxa"/>
            <w:tcBorders>
              <w:top w:val="nil"/>
              <w:left w:val="nil"/>
              <w:bottom w:val="nil"/>
              <w:right w:val="nil"/>
            </w:tcBorders>
            <w:vAlign w:val="bottom"/>
          </w:tcPr>
          <w:p w14:paraId="70BFE9DC"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873" w:type="dxa"/>
            <w:tcBorders>
              <w:top w:val="nil"/>
              <w:left w:val="nil"/>
              <w:bottom w:val="nil"/>
              <w:right w:val="nil"/>
            </w:tcBorders>
            <w:vAlign w:val="bottom"/>
          </w:tcPr>
          <w:p w14:paraId="0D7BA2BF"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8" w:type="dxa"/>
            <w:tcBorders>
              <w:top w:val="nil"/>
              <w:left w:val="nil"/>
              <w:bottom w:val="nil"/>
              <w:right w:val="nil"/>
            </w:tcBorders>
            <w:vAlign w:val="bottom"/>
          </w:tcPr>
          <w:p w14:paraId="5B1F3CBF"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7" w:type="dxa"/>
            <w:tcBorders>
              <w:top w:val="nil"/>
              <w:left w:val="nil"/>
              <w:bottom w:val="nil"/>
              <w:right w:val="nil"/>
            </w:tcBorders>
            <w:vAlign w:val="bottom"/>
          </w:tcPr>
          <w:p w14:paraId="586A508A"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363" w:type="dxa"/>
            <w:tcBorders>
              <w:top w:val="nil"/>
              <w:left w:val="nil"/>
              <w:bottom w:val="nil"/>
              <w:right w:val="nil"/>
            </w:tcBorders>
            <w:vAlign w:val="bottom"/>
          </w:tcPr>
          <w:p w14:paraId="01A0A038"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6109C469" w14:textId="77777777" w:rsidTr="005C200E">
        <w:trPr>
          <w:trHeight w:val="344"/>
        </w:trPr>
        <w:tc>
          <w:tcPr>
            <w:tcW w:w="1819" w:type="dxa"/>
            <w:tcBorders>
              <w:top w:val="nil"/>
              <w:left w:val="nil"/>
              <w:bottom w:val="nil"/>
              <w:right w:val="nil"/>
            </w:tcBorders>
            <w:vAlign w:val="bottom"/>
          </w:tcPr>
          <w:p w14:paraId="4F27345A"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C</w:t>
            </w:r>
          </w:p>
        </w:tc>
        <w:tc>
          <w:tcPr>
            <w:tcW w:w="873" w:type="dxa"/>
            <w:tcBorders>
              <w:top w:val="nil"/>
              <w:left w:val="nil"/>
              <w:bottom w:val="nil"/>
              <w:right w:val="nil"/>
            </w:tcBorders>
            <w:vAlign w:val="bottom"/>
          </w:tcPr>
          <w:p w14:paraId="2E103D45"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0.000561</w:t>
            </w:r>
          </w:p>
        </w:tc>
        <w:tc>
          <w:tcPr>
            <w:tcW w:w="1068" w:type="dxa"/>
            <w:tcBorders>
              <w:top w:val="nil"/>
              <w:left w:val="nil"/>
              <w:bottom w:val="nil"/>
              <w:right w:val="nil"/>
            </w:tcBorders>
            <w:vAlign w:val="bottom"/>
          </w:tcPr>
          <w:p w14:paraId="400B56AF"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0.000284</w:t>
            </w:r>
          </w:p>
        </w:tc>
        <w:tc>
          <w:tcPr>
            <w:tcW w:w="1067" w:type="dxa"/>
            <w:tcBorders>
              <w:top w:val="nil"/>
              <w:left w:val="nil"/>
              <w:bottom w:val="nil"/>
              <w:right w:val="nil"/>
            </w:tcBorders>
            <w:vAlign w:val="bottom"/>
          </w:tcPr>
          <w:p w14:paraId="0E095084"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1.976267</w:t>
            </w:r>
          </w:p>
        </w:tc>
        <w:tc>
          <w:tcPr>
            <w:tcW w:w="363" w:type="dxa"/>
            <w:tcBorders>
              <w:top w:val="nil"/>
              <w:left w:val="nil"/>
              <w:bottom w:val="nil"/>
              <w:right w:val="nil"/>
            </w:tcBorders>
            <w:vAlign w:val="bottom"/>
          </w:tcPr>
          <w:p w14:paraId="1662A2BC"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0.0481</w:t>
            </w:r>
          </w:p>
        </w:tc>
      </w:tr>
      <w:tr w:rsidR="00F5779C" w:rsidRPr="00D12E59" w14:paraId="1E17A284" w14:textId="77777777" w:rsidTr="005C200E">
        <w:trPr>
          <w:trHeight w:val="344"/>
        </w:trPr>
        <w:tc>
          <w:tcPr>
            <w:tcW w:w="1819" w:type="dxa"/>
            <w:tcBorders>
              <w:top w:val="nil"/>
              <w:left w:val="nil"/>
              <w:bottom w:val="nil"/>
              <w:right w:val="nil"/>
            </w:tcBorders>
            <w:vAlign w:val="bottom"/>
          </w:tcPr>
          <w:p w14:paraId="4EC0E03D"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RGU(-1)</w:t>
            </w:r>
          </w:p>
        </w:tc>
        <w:tc>
          <w:tcPr>
            <w:tcW w:w="873" w:type="dxa"/>
            <w:tcBorders>
              <w:top w:val="nil"/>
              <w:left w:val="nil"/>
              <w:bottom w:val="nil"/>
              <w:right w:val="nil"/>
            </w:tcBorders>
            <w:vAlign w:val="bottom"/>
          </w:tcPr>
          <w:p w14:paraId="586753CF"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0.379770</w:t>
            </w:r>
          </w:p>
        </w:tc>
        <w:tc>
          <w:tcPr>
            <w:tcW w:w="1068" w:type="dxa"/>
            <w:tcBorders>
              <w:top w:val="nil"/>
              <w:left w:val="nil"/>
              <w:bottom w:val="nil"/>
              <w:right w:val="nil"/>
            </w:tcBorders>
            <w:vAlign w:val="bottom"/>
          </w:tcPr>
          <w:p w14:paraId="0F070943"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0.070113</w:t>
            </w:r>
          </w:p>
        </w:tc>
        <w:tc>
          <w:tcPr>
            <w:tcW w:w="1067" w:type="dxa"/>
            <w:tcBorders>
              <w:top w:val="nil"/>
              <w:left w:val="nil"/>
              <w:bottom w:val="nil"/>
              <w:right w:val="nil"/>
            </w:tcBorders>
            <w:vAlign w:val="bottom"/>
          </w:tcPr>
          <w:p w14:paraId="1BFB19BF"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-5.416543</w:t>
            </w:r>
          </w:p>
        </w:tc>
        <w:tc>
          <w:tcPr>
            <w:tcW w:w="363" w:type="dxa"/>
            <w:tcBorders>
              <w:top w:val="nil"/>
              <w:left w:val="nil"/>
              <w:bottom w:val="nil"/>
              <w:right w:val="nil"/>
            </w:tcBorders>
            <w:vAlign w:val="bottom"/>
          </w:tcPr>
          <w:p w14:paraId="0B177607"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0.0000</w:t>
            </w:r>
          </w:p>
        </w:tc>
      </w:tr>
      <w:tr w:rsidR="00F5779C" w:rsidRPr="00D12E59" w14:paraId="39FB9027" w14:textId="77777777" w:rsidTr="005C200E">
        <w:trPr>
          <w:trHeight w:hRule="exact" w:val="129"/>
        </w:trPr>
        <w:tc>
          <w:tcPr>
            <w:tcW w:w="1819" w:type="dxa"/>
            <w:tcBorders>
              <w:top w:val="nil"/>
              <w:left w:val="nil"/>
              <w:bottom w:val="double" w:sz="6" w:space="2" w:color="auto"/>
              <w:right w:val="nil"/>
            </w:tcBorders>
            <w:vAlign w:val="bottom"/>
          </w:tcPr>
          <w:p w14:paraId="0BC26FBB"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873" w:type="dxa"/>
            <w:tcBorders>
              <w:top w:val="nil"/>
              <w:left w:val="nil"/>
              <w:bottom w:val="double" w:sz="6" w:space="2" w:color="auto"/>
              <w:right w:val="nil"/>
            </w:tcBorders>
            <w:vAlign w:val="bottom"/>
          </w:tcPr>
          <w:p w14:paraId="3D45213D"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8" w:type="dxa"/>
            <w:tcBorders>
              <w:top w:val="nil"/>
              <w:left w:val="nil"/>
              <w:bottom w:val="double" w:sz="6" w:space="2" w:color="auto"/>
              <w:right w:val="nil"/>
            </w:tcBorders>
            <w:vAlign w:val="bottom"/>
          </w:tcPr>
          <w:p w14:paraId="201905DE"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7" w:type="dxa"/>
            <w:tcBorders>
              <w:top w:val="nil"/>
              <w:left w:val="nil"/>
              <w:bottom w:val="double" w:sz="6" w:space="2" w:color="auto"/>
              <w:right w:val="nil"/>
            </w:tcBorders>
            <w:vAlign w:val="bottom"/>
          </w:tcPr>
          <w:p w14:paraId="7B02CDEB"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363" w:type="dxa"/>
            <w:tcBorders>
              <w:top w:val="nil"/>
              <w:left w:val="nil"/>
              <w:bottom w:val="double" w:sz="6" w:space="2" w:color="auto"/>
              <w:right w:val="nil"/>
            </w:tcBorders>
            <w:vAlign w:val="bottom"/>
          </w:tcPr>
          <w:p w14:paraId="35A29A05"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3C72315A" w14:textId="77777777" w:rsidTr="005C200E">
        <w:trPr>
          <w:trHeight w:hRule="exact" w:val="194"/>
        </w:trPr>
        <w:tc>
          <w:tcPr>
            <w:tcW w:w="1819" w:type="dxa"/>
            <w:tcBorders>
              <w:top w:val="nil"/>
              <w:left w:val="nil"/>
              <w:bottom w:val="nil"/>
              <w:right w:val="nil"/>
            </w:tcBorders>
            <w:vAlign w:val="bottom"/>
          </w:tcPr>
          <w:p w14:paraId="02D5F5F3"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873" w:type="dxa"/>
            <w:tcBorders>
              <w:top w:val="nil"/>
              <w:left w:val="nil"/>
              <w:bottom w:val="nil"/>
              <w:right w:val="nil"/>
            </w:tcBorders>
            <w:vAlign w:val="bottom"/>
          </w:tcPr>
          <w:p w14:paraId="65490D38"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8" w:type="dxa"/>
            <w:tcBorders>
              <w:top w:val="nil"/>
              <w:left w:val="nil"/>
              <w:bottom w:val="nil"/>
              <w:right w:val="nil"/>
            </w:tcBorders>
            <w:vAlign w:val="bottom"/>
          </w:tcPr>
          <w:p w14:paraId="3E8D020D"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7" w:type="dxa"/>
            <w:tcBorders>
              <w:top w:val="nil"/>
              <w:left w:val="nil"/>
              <w:bottom w:val="nil"/>
              <w:right w:val="nil"/>
            </w:tcBorders>
            <w:vAlign w:val="bottom"/>
          </w:tcPr>
          <w:p w14:paraId="42947BFF"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363" w:type="dxa"/>
            <w:tcBorders>
              <w:top w:val="nil"/>
              <w:left w:val="nil"/>
              <w:bottom w:val="nil"/>
              <w:right w:val="nil"/>
            </w:tcBorders>
            <w:vAlign w:val="bottom"/>
          </w:tcPr>
          <w:p w14:paraId="5565C638"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26036910" w14:textId="77777777" w:rsidTr="005C200E">
        <w:trPr>
          <w:trHeight w:val="344"/>
        </w:trPr>
        <w:tc>
          <w:tcPr>
            <w:tcW w:w="1819" w:type="dxa"/>
            <w:tcBorders>
              <w:top w:val="nil"/>
              <w:left w:val="nil"/>
              <w:bottom w:val="nil"/>
              <w:right w:val="nil"/>
            </w:tcBorders>
            <w:vAlign w:val="bottom"/>
          </w:tcPr>
          <w:p w14:paraId="03DC2FD4"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941" w:type="dxa"/>
            <w:gridSpan w:val="2"/>
            <w:tcBorders>
              <w:top w:val="nil"/>
              <w:left w:val="nil"/>
              <w:bottom w:val="nil"/>
              <w:right w:val="nil"/>
            </w:tcBorders>
            <w:vAlign w:val="bottom"/>
          </w:tcPr>
          <w:p w14:paraId="31237B3C"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Variance Equation</w:t>
            </w:r>
          </w:p>
        </w:tc>
        <w:tc>
          <w:tcPr>
            <w:tcW w:w="1067" w:type="dxa"/>
            <w:tcBorders>
              <w:top w:val="nil"/>
              <w:left w:val="nil"/>
              <w:bottom w:val="nil"/>
              <w:right w:val="nil"/>
            </w:tcBorders>
            <w:vAlign w:val="bottom"/>
          </w:tcPr>
          <w:p w14:paraId="393B6E82"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363" w:type="dxa"/>
            <w:tcBorders>
              <w:top w:val="nil"/>
              <w:left w:val="nil"/>
              <w:bottom w:val="nil"/>
              <w:right w:val="nil"/>
            </w:tcBorders>
            <w:vAlign w:val="bottom"/>
          </w:tcPr>
          <w:p w14:paraId="380B5688"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10323E3E" w14:textId="77777777" w:rsidTr="005C200E">
        <w:trPr>
          <w:trHeight w:hRule="exact" w:val="129"/>
        </w:trPr>
        <w:tc>
          <w:tcPr>
            <w:tcW w:w="1819" w:type="dxa"/>
            <w:tcBorders>
              <w:top w:val="nil"/>
              <w:left w:val="nil"/>
              <w:bottom w:val="double" w:sz="6" w:space="2" w:color="auto"/>
              <w:right w:val="nil"/>
            </w:tcBorders>
            <w:vAlign w:val="bottom"/>
          </w:tcPr>
          <w:p w14:paraId="6BE2537E"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873" w:type="dxa"/>
            <w:tcBorders>
              <w:top w:val="nil"/>
              <w:left w:val="nil"/>
              <w:bottom w:val="double" w:sz="6" w:space="2" w:color="auto"/>
              <w:right w:val="nil"/>
            </w:tcBorders>
            <w:vAlign w:val="bottom"/>
          </w:tcPr>
          <w:p w14:paraId="64A9E9F4"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8" w:type="dxa"/>
            <w:tcBorders>
              <w:top w:val="nil"/>
              <w:left w:val="nil"/>
              <w:bottom w:val="double" w:sz="6" w:space="2" w:color="auto"/>
              <w:right w:val="nil"/>
            </w:tcBorders>
            <w:vAlign w:val="bottom"/>
          </w:tcPr>
          <w:p w14:paraId="6581261B"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7" w:type="dxa"/>
            <w:tcBorders>
              <w:top w:val="nil"/>
              <w:left w:val="nil"/>
              <w:bottom w:val="double" w:sz="6" w:space="2" w:color="auto"/>
              <w:right w:val="nil"/>
            </w:tcBorders>
            <w:vAlign w:val="bottom"/>
          </w:tcPr>
          <w:p w14:paraId="269FCC4D"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363" w:type="dxa"/>
            <w:tcBorders>
              <w:top w:val="nil"/>
              <w:left w:val="nil"/>
              <w:bottom w:val="double" w:sz="6" w:space="2" w:color="auto"/>
              <w:right w:val="nil"/>
            </w:tcBorders>
            <w:vAlign w:val="bottom"/>
          </w:tcPr>
          <w:p w14:paraId="5B6D6E6D"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56282362" w14:textId="77777777" w:rsidTr="005C200E">
        <w:trPr>
          <w:trHeight w:hRule="exact" w:val="194"/>
        </w:trPr>
        <w:tc>
          <w:tcPr>
            <w:tcW w:w="1819" w:type="dxa"/>
            <w:tcBorders>
              <w:top w:val="nil"/>
              <w:left w:val="nil"/>
              <w:bottom w:val="nil"/>
              <w:right w:val="nil"/>
            </w:tcBorders>
            <w:vAlign w:val="bottom"/>
          </w:tcPr>
          <w:p w14:paraId="728A808D"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873" w:type="dxa"/>
            <w:tcBorders>
              <w:top w:val="nil"/>
              <w:left w:val="nil"/>
              <w:bottom w:val="nil"/>
              <w:right w:val="nil"/>
            </w:tcBorders>
            <w:vAlign w:val="bottom"/>
          </w:tcPr>
          <w:p w14:paraId="46728B9F"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8" w:type="dxa"/>
            <w:tcBorders>
              <w:top w:val="nil"/>
              <w:left w:val="nil"/>
              <w:bottom w:val="nil"/>
              <w:right w:val="nil"/>
            </w:tcBorders>
            <w:vAlign w:val="bottom"/>
          </w:tcPr>
          <w:p w14:paraId="336329E8"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7" w:type="dxa"/>
            <w:tcBorders>
              <w:top w:val="nil"/>
              <w:left w:val="nil"/>
              <w:bottom w:val="nil"/>
              <w:right w:val="nil"/>
            </w:tcBorders>
            <w:vAlign w:val="bottom"/>
          </w:tcPr>
          <w:p w14:paraId="7E4B6645"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363" w:type="dxa"/>
            <w:tcBorders>
              <w:top w:val="nil"/>
              <w:left w:val="nil"/>
              <w:bottom w:val="nil"/>
              <w:right w:val="nil"/>
            </w:tcBorders>
            <w:vAlign w:val="bottom"/>
          </w:tcPr>
          <w:p w14:paraId="2D9F5FBA"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1CDD5EB2" w14:textId="77777777" w:rsidTr="005C200E">
        <w:trPr>
          <w:trHeight w:val="344"/>
        </w:trPr>
        <w:tc>
          <w:tcPr>
            <w:tcW w:w="1819" w:type="dxa"/>
            <w:tcBorders>
              <w:top w:val="nil"/>
              <w:left w:val="nil"/>
              <w:bottom w:val="nil"/>
              <w:right w:val="nil"/>
            </w:tcBorders>
            <w:vAlign w:val="bottom"/>
          </w:tcPr>
          <w:p w14:paraId="5CE24503"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C(3)</w:t>
            </w:r>
          </w:p>
        </w:tc>
        <w:tc>
          <w:tcPr>
            <w:tcW w:w="873" w:type="dxa"/>
            <w:tcBorders>
              <w:top w:val="nil"/>
              <w:left w:val="nil"/>
              <w:bottom w:val="nil"/>
              <w:right w:val="nil"/>
            </w:tcBorders>
            <w:vAlign w:val="bottom"/>
          </w:tcPr>
          <w:p w14:paraId="6F7E58D5"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-0.895740</w:t>
            </w:r>
          </w:p>
        </w:tc>
        <w:tc>
          <w:tcPr>
            <w:tcW w:w="1068" w:type="dxa"/>
            <w:tcBorders>
              <w:top w:val="nil"/>
              <w:left w:val="nil"/>
              <w:bottom w:val="nil"/>
              <w:right w:val="nil"/>
            </w:tcBorders>
            <w:vAlign w:val="bottom"/>
          </w:tcPr>
          <w:p w14:paraId="5D22CDED"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0.300548</w:t>
            </w:r>
          </w:p>
        </w:tc>
        <w:tc>
          <w:tcPr>
            <w:tcW w:w="1067" w:type="dxa"/>
            <w:tcBorders>
              <w:top w:val="nil"/>
              <w:left w:val="nil"/>
              <w:bottom w:val="nil"/>
              <w:right w:val="nil"/>
            </w:tcBorders>
            <w:vAlign w:val="bottom"/>
          </w:tcPr>
          <w:p w14:paraId="1B42E254"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-2.980352</w:t>
            </w:r>
          </w:p>
        </w:tc>
        <w:tc>
          <w:tcPr>
            <w:tcW w:w="363" w:type="dxa"/>
            <w:tcBorders>
              <w:top w:val="nil"/>
              <w:left w:val="nil"/>
              <w:bottom w:val="nil"/>
              <w:right w:val="nil"/>
            </w:tcBorders>
            <w:vAlign w:val="bottom"/>
          </w:tcPr>
          <w:p w14:paraId="6FF17333"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0.0029</w:t>
            </w:r>
          </w:p>
        </w:tc>
      </w:tr>
      <w:tr w:rsidR="00F5779C" w:rsidRPr="00D12E59" w14:paraId="016D258B" w14:textId="77777777" w:rsidTr="005C200E">
        <w:trPr>
          <w:trHeight w:val="344"/>
        </w:trPr>
        <w:tc>
          <w:tcPr>
            <w:tcW w:w="1819" w:type="dxa"/>
            <w:tcBorders>
              <w:top w:val="nil"/>
              <w:left w:val="nil"/>
              <w:bottom w:val="nil"/>
              <w:right w:val="nil"/>
            </w:tcBorders>
            <w:vAlign w:val="bottom"/>
          </w:tcPr>
          <w:p w14:paraId="73868D2E"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C(4)</w:t>
            </w:r>
          </w:p>
        </w:tc>
        <w:tc>
          <w:tcPr>
            <w:tcW w:w="873" w:type="dxa"/>
            <w:tcBorders>
              <w:top w:val="nil"/>
              <w:left w:val="nil"/>
              <w:bottom w:val="nil"/>
              <w:right w:val="nil"/>
            </w:tcBorders>
            <w:vAlign w:val="bottom"/>
          </w:tcPr>
          <w:p w14:paraId="0BE31899"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0.214272</w:t>
            </w:r>
          </w:p>
        </w:tc>
        <w:tc>
          <w:tcPr>
            <w:tcW w:w="1068" w:type="dxa"/>
            <w:tcBorders>
              <w:top w:val="nil"/>
              <w:left w:val="nil"/>
              <w:bottom w:val="nil"/>
              <w:right w:val="nil"/>
            </w:tcBorders>
            <w:vAlign w:val="bottom"/>
          </w:tcPr>
          <w:p w14:paraId="223354DD"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0.047863</w:t>
            </w:r>
          </w:p>
        </w:tc>
        <w:tc>
          <w:tcPr>
            <w:tcW w:w="1067" w:type="dxa"/>
            <w:tcBorders>
              <w:top w:val="nil"/>
              <w:left w:val="nil"/>
              <w:bottom w:val="nil"/>
              <w:right w:val="nil"/>
            </w:tcBorders>
            <w:vAlign w:val="bottom"/>
          </w:tcPr>
          <w:p w14:paraId="264B6D5D"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4.476768</w:t>
            </w:r>
          </w:p>
        </w:tc>
        <w:tc>
          <w:tcPr>
            <w:tcW w:w="363" w:type="dxa"/>
            <w:tcBorders>
              <w:top w:val="nil"/>
              <w:left w:val="nil"/>
              <w:bottom w:val="nil"/>
              <w:right w:val="nil"/>
            </w:tcBorders>
            <w:vAlign w:val="bottom"/>
          </w:tcPr>
          <w:p w14:paraId="36AF62C6"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0.0000</w:t>
            </w:r>
          </w:p>
        </w:tc>
      </w:tr>
      <w:tr w:rsidR="00F5779C" w:rsidRPr="00D12E59" w14:paraId="747DED66" w14:textId="77777777" w:rsidTr="005C200E">
        <w:trPr>
          <w:trHeight w:val="344"/>
        </w:trPr>
        <w:tc>
          <w:tcPr>
            <w:tcW w:w="1819" w:type="dxa"/>
            <w:tcBorders>
              <w:top w:val="nil"/>
              <w:left w:val="nil"/>
              <w:bottom w:val="nil"/>
              <w:right w:val="nil"/>
            </w:tcBorders>
            <w:vAlign w:val="bottom"/>
          </w:tcPr>
          <w:p w14:paraId="5345F048"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C(5)</w:t>
            </w:r>
          </w:p>
        </w:tc>
        <w:tc>
          <w:tcPr>
            <w:tcW w:w="873" w:type="dxa"/>
            <w:tcBorders>
              <w:top w:val="nil"/>
              <w:left w:val="nil"/>
              <w:bottom w:val="nil"/>
              <w:right w:val="nil"/>
            </w:tcBorders>
            <w:vAlign w:val="bottom"/>
          </w:tcPr>
          <w:p w14:paraId="3D1FC922"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0.022457</w:t>
            </w:r>
          </w:p>
        </w:tc>
        <w:tc>
          <w:tcPr>
            <w:tcW w:w="1068" w:type="dxa"/>
            <w:tcBorders>
              <w:top w:val="nil"/>
              <w:left w:val="nil"/>
              <w:bottom w:val="nil"/>
              <w:right w:val="nil"/>
            </w:tcBorders>
            <w:vAlign w:val="bottom"/>
          </w:tcPr>
          <w:p w14:paraId="0773ED87"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0.055872</w:t>
            </w:r>
          </w:p>
        </w:tc>
        <w:tc>
          <w:tcPr>
            <w:tcW w:w="1067" w:type="dxa"/>
            <w:tcBorders>
              <w:top w:val="nil"/>
              <w:left w:val="nil"/>
              <w:bottom w:val="nil"/>
              <w:right w:val="nil"/>
            </w:tcBorders>
            <w:vAlign w:val="bottom"/>
          </w:tcPr>
          <w:p w14:paraId="056C1529"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0.401932</w:t>
            </w:r>
          </w:p>
        </w:tc>
        <w:tc>
          <w:tcPr>
            <w:tcW w:w="363" w:type="dxa"/>
            <w:tcBorders>
              <w:top w:val="nil"/>
              <w:left w:val="nil"/>
              <w:bottom w:val="nil"/>
              <w:right w:val="nil"/>
            </w:tcBorders>
            <w:vAlign w:val="bottom"/>
          </w:tcPr>
          <w:p w14:paraId="1E747374"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0.6877</w:t>
            </w:r>
          </w:p>
        </w:tc>
      </w:tr>
      <w:tr w:rsidR="00F5779C" w:rsidRPr="00D12E59" w14:paraId="14DDC504" w14:textId="77777777" w:rsidTr="005C200E">
        <w:trPr>
          <w:trHeight w:val="344"/>
        </w:trPr>
        <w:tc>
          <w:tcPr>
            <w:tcW w:w="1819" w:type="dxa"/>
            <w:tcBorders>
              <w:top w:val="nil"/>
              <w:left w:val="nil"/>
              <w:bottom w:val="nil"/>
              <w:right w:val="nil"/>
            </w:tcBorders>
            <w:vAlign w:val="bottom"/>
          </w:tcPr>
          <w:p w14:paraId="1E094E1B"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C(6)</w:t>
            </w:r>
          </w:p>
        </w:tc>
        <w:tc>
          <w:tcPr>
            <w:tcW w:w="873" w:type="dxa"/>
            <w:tcBorders>
              <w:top w:val="nil"/>
              <w:left w:val="nil"/>
              <w:bottom w:val="nil"/>
              <w:right w:val="nil"/>
            </w:tcBorders>
            <w:vAlign w:val="bottom"/>
          </w:tcPr>
          <w:p w14:paraId="66061296"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0.929182</w:t>
            </w:r>
          </w:p>
        </w:tc>
        <w:tc>
          <w:tcPr>
            <w:tcW w:w="1068" w:type="dxa"/>
            <w:tcBorders>
              <w:top w:val="nil"/>
              <w:left w:val="nil"/>
              <w:bottom w:val="nil"/>
              <w:right w:val="nil"/>
            </w:tcBorders>
            <w:vAlign w:val="bottom"/>
          </w:tcPr>
          <w:p w14:paraId="1203E7DA"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0.026723</w:t>
            </w:r>
          </w:p>
        </w:tc>
        <w:tc>
          <w:tcPr>
            <w:tcW w:w="1067" w:type="dxa"/>
            <w:tcBorders>
              <w:top w:val="nil"/>
              <w:left w:val="nil"/>
              <w:bottom w:val="nil"/>
              <w:right w:val="nil"/>
            </w:tcBorders>
            <w:vAlign w:val="bottom"/>
          </w:tcPr>
          <w:p w14:paraId="3AE24421"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34.77124</w:t>
            </w:r>
          </w:p>
        </w:tc>
        <w:tc>
          <w:tcPr>
            <w:tcW w:w="363" w:type="dxa"/>
            <w:tcBorders>
              <w:top w:val="nil"/>
              <w:left w:val="nil"/>
              <w:bottom w:val="nil"/>
              <w:right w:val="nil"/>
            </w:tcBorders>
            <w:vAlign w:val="bottom"/>
          </w:tcPr>
          <w:p w14:paraId="155C66BB"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0.0000</w:t>
            </w:r>
          </w:p>
        </w:tc>
      </w:tr>
      <w:tr w:rsidR="00F5779C" w:rsidRPr="00D12E59" w14:paraId="4A75CC8E" w14:textId="77777777" w:rsidTr="005C200E">
        <w:trPr>
          <w:trHeight w:hRule="exact" w:val="129"/>
        </w:trPr>
        <w:tc>
          <w:tcPr>
            <w:tcW w:w="1819" w:type="dxa"/>
            <w:tcBorders>
              <w:top w:val="nil"/>
              <w:left w:val="nil"/>
              <w:bottom w:val="double" w:sz="6" w:space="2" w:color="auto"/>
              <w:right w:val="nil"/>
            </w:tcBorders>
            <w:vAlign w:val="bottom"/>
          </w:tcPr>
          <w:p w14:paraId="1ADBDCF5"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873" w:type="dxa"/>
            <w:tcBorders>
              <w:top w:val="nil"/>
              <w:left w:val="nil"/>
              <w:bottom w:val="double" w:sz="6" w:space="2" w:color="auto"/>
              <w:right w:val="nil"/>
            </w:tcBorders>
            <w:vAlign w:val="bottom"/>
          </w:tcPr>
          <w:p w14:paraId="7FB866CF"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8" w:type="dxa"/>
            <w:tcBorders>
              <w:top w:val="nil"/>
              <w:left w:val="nil"/>
              <w:bottom w:val="double" w:sz="6" w:space="2" w:color="auto"/>
              <w:right w:val="nil"/>
            </w:tcBorders>
            <w:vAlign w:val="bottom"/>
          </w:tcPr>
          <w:p w14:paraId="604D2229"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7" w:type="dxa"/>
            <w:tcBorders>
              <w:top w:val="nil"/>
              <w:left w:val="nil"/>
              <w:bottom w:val="double" w:sz="6" w:space="2" w:color="auto"/>
              <w:right w:val="nil"/>
            </w:tcBorders>
            <w:vAlign w:val="bottom"/>
          </w:tcPr>
          <w:p w14:paraId="0A246E9E"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363" w:type="dxa"/>
            <w:tcBorders>
              <w:top w:val="nil"/>
              <w:left w:val="nil"/>
              <w:bottom w:val="double" w:sz="6" w:space="2" w:color="auto"/>
              <w:right w:val="nil"/>
            </w:tcBorders>
            <w:vAlign w:val="bottom"/>
          </w:tcPr>
          <w:p w14:paraId="32B45035"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61174F9F" w14:textId="77777777" w:rsidTr="005C200E">
        <w:trPr>
          <w:trHeight w:hRule="exact" w:val="194"/>
        </w:trPr>
        <w:tc>
          <w:tcPr>
            <w:tcW w:w="1819" w:type="dxa"/>
            <w:tcBorders>
              <w:top w:val="nil"/>
              <w:left w:val="nil"/>
              <w:bottom w:val="nil"/>
              <w:right w:val="nil"/>
            </w:tcBorders>
            <w:vAlign w:val="bottom"/>
          </w:tcPr>
          <w:p w14:paraId="2435527B"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873" w:type="dxa"/>
            <w:tcBorders>
              <w:top w:val="nil"/>
              <w:left w:val="nil"/>
              <w:bottom w:val="nil"/>
              <w:right w:val="nil"/>
            </w:tcBorders>
            <w:vAlign w:val="bottom"/>
          </w:tcPr>
          <w:p w14:paraId="2CAA0BEE"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8" w:type="dxa"/>
            <w:tcBorders>
              <w:top w:val="nil"/>
              <w:left w:val="nil"/>
              <w:bottom w:val="nil"/>
              <w:right w:val="nil"/>
            </w:tcBorders>
            <w:vAlign w:val="bottom"/>
          </w:tcPr>
          <w:p w14:paraId="12987BBC"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1067" w:type="dxa"/>
            <w:tcBorders>
              <w:top w:val="nil"/>
              <w:left w:val="nil"/>
              <w:bottom w:val="nil"/>
              <w:right w:val="nil"/>
            </w:tcBorders>
            <w:vAlign w:val="bottom"/>
          </w:tcPr>
          <w:p w14:paraId="7ECF9FB4"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363" w:type="dxa"/>
            <w:tcBorders>
              <w:top w:val="nil"/>
              <w:left w:val="nil"/>
              <w:bottom w:val="nil"/>
              <w:right w:val="nil"/>
            </w:tcBorders>
            <w:vAlign w:val="bottom"/>
          </w:tcPr>
          <w:p w14:paraId="7E2EB65F" w14:textId="77777777" w:rsidR="00F5779C" w:rsidRPr="00D12E59" w:rsidRDefault="00F5779C" w:rsidP="008275E1">
            <w:pPr>
              <w:autoSpaceDE w:val="0"/>
              <w:autoSpaceDN w:val="0"/>
              <w:adjustRightInd w:val="0"/>
              <w:rPr>
                <w:rFonts w:ascii="Book Antiqua" w:hAnsi="Book Antiqua"/>
                <w:color w:val="000000"/>
                <w:lang w:val="en-GB" w:eastAsia="en-GB"/>
              </w:rPr>
            </w:pPr>
          </w:p>
        </w:tc>
      </w:tr>
    </w:tbl>
    <w:p w14:paraId="5656835E"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Estimation Equation:</w:t>
      </w:r>
    </w:p>
    <w:p w14:paraId="4FFA899C"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RGU = C(1) + C(2)*RGU(-1)</w:t>
      </w:r>
    </w:p>
    <w:p w14:paraId="597E050E" w14:textId="77777777" w:rsidR="00F5779C" w:rsidRPr="00E3232D" w:rsidRDefault="00F5779C" w:rsidP="008275E1">
      <w:pPr>
        <w:autoSpaceDE w:val="0"/>
        <w:autoSpaceDN w:val="0"/>
        <w:adjustRightInd w:val="0"/>
        <w:rPr>
          <w:rFonts w:ascii="Book Antiqua" w:hAnsi="Book Antiqua"/>
          <w:lang w:val="en-GB" w:eastAsia="en-GB"/>
        </w:rPr>
      </w:pPr>
    </w:p>
    <w:p w14:paraId="5294CCB1"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LOG(GARCH) = C(3) + C(4)*ABS(RESID(-1)/@SQRT(GARCH(-1))) + C(5)*RESID(-1)/@SQRT(GARCH(-1)) + C(6)*LOG(GARCH(-1))</w:t>
      </w:r>
    </w:p>
    <w:p w14:paraId="317D7DA4"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Substituted Coefficients:</w:t>
      </w:r>
    </w:p>
    <w:p w14:paraId="3649C02A"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RGU = 0.0005612265355 - 0.3797695977*RGU(-1)</w:t>
      </w:r>
    </w:p>
    <w:p w14:paraId="465DDEF4" w14:textId="77777777" w:rsidR="00F5779C" w:rsidRPr="00E3232D" w:rsidRDefault="00F5779C" w:rsidP="008275E1">
      <w:pPr>
        <w:autoSpaceDE w:val="0"/>
        <w:autoSpaceDN w:val="0"/>
        <w:adjustRightInd w:val="0"/>
        <w:rPr>
          <w:rFonts w:ascii="Book Antiqua" w:hAnsi="Book Antiqua"/>
          <w:lang w:val="en-GB" w:eastAsia="en-GB"/>
        </w:rPr>
      </w:pPr>
    </w:p>
    <w:p w14:paraId="1A3F0C5C"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LOG(GARCH) = -0.8957401191 + 0.214271649*ABS(RESID(-1)/@SQRT(GARCH(-1))) + 0.0224566917*RESID(-1)/@SQRT(GARCH(-1)) + 0.9291823468*LOG(GARCH(-1))</w:t>
      </w:r>
    </w:p>
    <w:p w14:paraId="7FC9F777" w14:textId="77777777" w:rsidR="00F5779C" w:rsidRPr="00E3232D" w:rsidRDefault="00F5779C" w:rsidP="008275E1">
      <w:pPr>
        <w:rPr>
          <w:rFonts w:ascii="Book Antiqua" w:hAnsi="Book Antiqua"/>
          <w:b/>
        </w:rPr>
      </w:pPr>
    </w:p>
    <w:p w14:paraId="02278C77" w14:textId="77777777" w:rsidR="00F5779C" w:rsidRPr="00E3232D" w:rsidRDefault="00F5779C" w:rsidP="008275E1">
      <w:pPr>
        <w:rPr>
          <w:rFonts w:ascii="Book Antiqua" w:hAnsi="Book Antiqua"/>
          <w:b/>
        </w:rPr>
      </w:pPr>
      <w:r w:rsidRPr="00E3232D">
        <w:rPr>
          <w:rFonts w:ascii="Book Antiqua" w:hAnsi="Book Antiqua"/>
          <w:b/>
        </w:rPr>
        <w:t>TARCH (1,1)</w:t>
      </w:r>
    </w:p>
    <w:tbl>
      <w:tblPr>
        <w:tblW w:w="0" w:type="auto"/>
        <w:tblInd w:w="60" w:type="dxa"/>
        <w:tblCellMar>
          <w:left w:w="30" w:type="dxa"/>
          <w:right w:w="30" w:type="dxa"/>
        </w:tblCellMar>
        <w:tblLook w:val="0000" w:firstRow="0" w:lastRow="0" w:firstColumn="0" w:lastColumn="0" w:noHBand="0" w:noVBand="0"/>
      </w:tblPr>
      <w:tblGrid>
        <w:gridCol w:w="2721"/>
        <w:gridCol w:w="1129"/>
        <w:gridCol w:w="1017"/>
        <w:gridCol w:w="1013"/>
        <w:gridCol w:w="697"/>
      </w:tblGrid>
      <w:tr w:rsidR="00F5779C" w:rsidRPr="00D12E59" w14:paraId="0EBA3EF7" w14:textId="77777777" w:rsidTr="0012151E">
        <w:trPr>
          <w:trHeight w:hRule="exact" w:val="102"/>
        </w:trPr>
        <w:tc>
          <w:tcPr>
            <w:tcW w:w="0" w:type="auto"/>
            <w:tcBorders>
              <w:top w:val="nil"/>
              <w:left w:val="nil"/>
              <w:bottom w:val="double" w:sz="6" w:space="2" w:color="auto"/>
              <w:right w:val="nil"/>
            </w:tcBorders>
            <w:vAlign w:val="bottom"/>
          </w:tcPr>
          <w:p w14:paraId="42446B00" w14:textId="77777777" w:rsidR="00F5779C" w:rsidRPr="00D12E59" w:rsidRDefault="00F5779C" w:rsidP="008275E1">
            <w:pPr>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55C9BA90"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370715CF"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25DC6477"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130700E6"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7DAF651C" w14:textId="77777777" w:rsidTr="0012151E">
        <w:trPr>
          <w:trHeight w:hRule="exact" w:val="153"/>
        </w:trPr>
        <w:tc>
          <w:tcPr>
            <w:tcW w:w="0" w:type="auto"/>
            <w:tcBorders>
              <w:top w:val="nil"/>
              <w:left w:val="nil"/>
              <w:bottom w:val="nil"/>
              <w:right w:val="nil"/>
            </w:tcBorders>
            <w:vAlign w:val="bottom"/>
          </w:tcPr>
          <w:p w14:paraId="1A0E412E"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2FE74513"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5651A8B1"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15C17063"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39013086"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623C0F90" w14:textId="77777777" w:rsidTr="0012151E">
        <w:trPr>
          <w:trHeight w:val="272"/>
        </w:trPr>
        <w:tc>
          <w:tcPr>
            <w:tcW w:w="0" w:type="auto"/>
            <w:tcBorders>
              <w:top w:val="nil"/>
              <w:left w:val="nil"/>
              <w:bottom w:val="nil"/>
              <w:right w:val="nil"/>
            </w:tcBorders>
            <w:vAlign w:val="bottom"/>
          </w:tcPr>
          <w:p w14:paraId="4CC6DA9B"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03BD5AD5"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Coefficient</w:t>
            </w:r>
          </w:p>
        </w:tc>
        <w:tc>
          <w:tcPr>
            <w:tcW w:w="0" w:type="auto"/>
            <w:tcBorders>
              <w:top w:val="nil"/>
              <w:left w:val="nil"/>
              <w:bottom w:val="nil"/>
              <w:right w:val="nil"/>
            </w:tcBorders>
            <w:vAlign w:val="bottom"/>
          </w:tcPr>
          <w:p w14:paraId="12524DC9"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Std. Error</w:t>
            </w:r>
          </w:p>
        </w:tc>
        <w:tc>
          <w:tcPr>
            <w:tcW w:w="0" w:type="auto"/>
            <w:tcBorders>
              <w:top w:val="nil"/>
              <w:left w:val="nil"/>
              <w:bottom w:val="nil"/>
              <w:right w:val="nil"/>
            </w:tcBorders>
            <w:vAlign w:val="bottom"/>
          </w:tcPr>
          <w:p w14:paraId="7A7ED888"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z-Statistic</w:t>
            </w:r>
          </w:p>
        </w:tc>
        <w:tc>
          <w:tcPr>
            <w:tcW w:w="0" w:type="auto"/>
            <w:tcBorders>
              <w:top w:val="nil"/>
              <w:left w:val="nil"/>
              <w:bottom w:val="nil"/>
              <w:right w:val="nil"/>
            </w:tcBorders>
            <w:vAlign w:val="bottom"/>
          </w:tcPr>
          <w:p w14:paraId="6F45C24E"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Prob.  </w:t>
            </w:r>
          </w:p>
        </w:tc>
      </w:tr>
      <w:tr w:rsidR="00F5779C" w:rsidRPr="00D12E59" w14:paraId="6B2D5B06" w14:textId="77777777" w:rsidTr="0012151E">
        <w:trPr>
          <w:trHeight w:hRule="exact" w:val="102"/>
        </w:trPr>
        <w:tc>
          <w:tcPr>
            <w:tcW w:w="0" w:type="auto"/>
            <w:tcBorders>
              <w:top w:val="nil"/>
              <w:left w:val="nil"/>
              <w:bottom w:val="double" w:sz="6" w:space="2" w:color="auto"/>
              <w:right w:val="nil"/>
            </w:tcBorders>
            <w:vAlign w:val="bottom"/>
          </w:tcPr>
          <w:p w14:paraId="352DF070"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3E6DCC75"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15498131"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3FEE02BA"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28EB6FD1"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5A80EF60" w14:textId="77777777" w:rsidTr="0012151E">
        <w:trPr>
          <w:trHeight w:hRule="exact" w:val="153"/>
        </w:trPr>
        <w:tc>
          <w:tcPr>
            <w:tcW w:w="0" w:type="auto"/>
            <w:tcBorders>
              <w:top w:val="nil"/>
              <w:left w:val="nil"/>
              <w:bottom w:val="nil"/>
              <w:right w:val="nil"/>
            </w:tcBorders>
            <w:vAlign w:val="bottom"/>
          </w:tcPr>
          <w:p w14:paraId="4609D490"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022C7AFF"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7F774493"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1D8EC799"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098BFD4C"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2ED887F4" w14:textId="77777777" w:rsidTr="0012151E">
        <w:trPr>
          <w:trHeight w:val="272"/>
        </w:trPr>
        <w:tc>
          <w:tcPr>
            <w:tcW w:w="0" w:type="auto"/>
            <w:tcBorders>
              <w:top w:val="nil"/>
              <w:left w:val="nil"/>
              <w:bottom w:val="nil"/>
              <w:right w:val="nil"/>
            </w:tcBorders>
            <w:vAlign w:val="bottom"/>
          </w:tcPr>
          <w:p w14:paraId="1F6C1A82"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C</w:t>
            </w:r>
          </w:p>
        </w:tc>
        <w:tc>
          <w:tcPr>
            <w:tcW w:w="0" w:type="auto"/>
            <w:tcBorders>
              <w:top w:val="nil"/>
              <w:left w:val="nil"/>
              <w:bottom w:val="nil"/>
              <w:right w:val="nil"/>
            </w:tcBorders>
            <w:vAlign w:val="bottom"/>
          </w:tcPr>
          <w:p w14:paraId="11419E88"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0.000473</w:t>
            </w:r>
          </w:p>
        </w:tc>
        <w:tc>
          <w:tcPr>
            <w:tcW w:w="0" w:type="auto"/>
            <w:tcBorders>
              <w:top w:val="nil"/>
              <w:left w:val="nil"/>
              <w:bottom w:val="nil"/>
              <w:right w:val="nil"/>
            </w:tcBorders>
            <w:vAlign w:val="bottom"/>
          </w:tcPr>
          <w:p w14:paraId="1D6B8ED1"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0.000273</w:t>
            </w:r>
          </w:p>
        </w:tc>
        <w:tc>
          <w:tcPr>
            <w:tcW w:w="0" w:type="auto"/>
            <w:tcBorders>
              <w:top w:val="nil"/>
              <w:left w:val="nil"/>
              <w:bottom w:val="nil"/>
              <w:right w:val="nil"/>
            </w:tcBorders>
            <w:vAlign w:val="bottom"/>
          </w:tcPr>
          <w:p w14:paraId="42529F5F"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1.731090</w:t>
            </w:r>
          </w:p>
        </w:tc>
        <w:tc>
          <w:tcPr>
            <w:tcW w:w="0" w:type="auto"/>
            <w:tcBorders>
              <w:top w:val="nil"/>
              <w:left w:val="nil"/>
              <w:bottom w:val="nil"/>
              <w:right w:val="nil"/>
            </w:tcBorders>
            <w:vAlign w:val="bottom"/>
          </w:tcPr>
          <w:p w14:paraId="76B8E93C"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0.0834</w:t>
            </w:r>
          </w:p>
        </w:tc>
      </w:tr>
      <w:tr w:rsidR="00F5779C" w:rsidRPr="00D12E59" w14:paraId="72F4814C" w14:textId="77777777" w:rsidTr="0012151E">
        <w:trPr>
          <w:trHeight w:val="272"/>
        </w:trPr>
        <w:tc>
          <w:tcPr>
            <w:tcW w:w="0" w:type="auto"/>
            <w:tcBorders>
              <w:top w:val="nil"/>
              <w:left w:val="nil"/>
              <w:bottom w:val="nil"/>
              <w:right w:val="nil"/>
            </w:tcBorders>
            <w:vAlign w:val="bottom"/>
          </w:tcPr>
          <w:p w14:paraId="43E45782"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RGU(-1)</w:t>
            </w:r>
          </w:p>
        </w:tc>
        <w:tc>
          <w:tcPr>
            <w:tcW w:w="0" w:type="auto"/>
            <w:tcBorders>
              <w:top w:val="nil"/>
              <w:left w:val="nil"/>
              <w:bottom w:val="nil"/>
              <w:right w:val="nil"/>
            </w:tcBorders>
            <w:vAlign w:val="bottom"/>
          </w:tcPr>
          <w:p w14:paraId="29FDF516"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0.402434</w:t>
            </w:r>
          </w:p>
        </w:tc>
        <w:tc>
          <w:tcPr>
            <w:tcW w:w="0" w:type="auto"/>
            <w:tcBorders>
              <w:top w:val="nil"/>
              <w:left w:val="nil"/>
              <w:bottom w:val="nil"/>
              <w:right w:val="nil"/>
            </w:tcBorders>
            <w:vAlign w:val="bottom"/>
          </w:tcPr>
          <w:p w14:paraId="0EB02530"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0.073105</w:t>
            </w:r>
          </w:p>
        </w:tc>
        <w:tc>
          <w:tcPr>
            <w:tcW w:w="0" w:type="auto"/>
            <w:tcBorders>
              <w:top w:val="nil"/>
              <w:left w:val="nil"/>
              <w:bottom w:val="nil"/>
              <w:right w:val="nil"/>
            </w:tcBorders>
            <w:vAlign w:val="bottom"/>
          </w:tcPr>
          <w:p w14:paraId="168F4DE6"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-5.504913</w:t>
            </w:r>
          </w:p>
        </w:tc>
        <w:tc>
          <w:tcPr>
            <w:tcW w:w="0" w:type="auto"/>
            <w:tcBorders>
              <w:top w:val="nil"/>
              <w:left w:val="nil"/>
              <w:bottom w:val="nil"/>
              <w:right w:val="nil"/>
            </w:tcBorders>
            <w:vAlign w:val="bottom"/>
          </w:tcPr>
          <w:p w14:paraId="12AC3185"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0.0000</w:t>
            </w:r>
          </w:p>
        </w:tc>
      </w:tr>
      <w:tr w:rsidR="00F5779C" w:rsidRPr="00D12E59" w14:paraId="1AD407BE" w14:textId="77777777" w:rsidTr="0012151E">
        <w:trPr>
          <w:trHeight w:hRule="exact" w:val="102"/>
        </w:trPr>
        <w:tc>
          <w:tcPr>
            <w:tcW w:w="0" w:type="auto"/>
            <w:tcBorders>
              <w:top w:val="nil"/>
              <w:left w:val="nil"/>
              <w:bottom w:val="double" w:sz="6" w:space="2" w:color="auto"/>
              <w:right w:val="nil"/>
            </w:tcBorders>
            <w:vAlign w:val="bottom"/>
          </w:tcPr>
          <w:p w14:paraId="2911337A"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13F09455"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0F773F86"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6CCCA575"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01F47909"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11917648" w14:textId="77777777" w:rsidTr="0012151E">
        <w:trPr>
          <w:trHeight w:hRule="exact" w:val="153"/>
        </w:trPr>
        <w:tc>
          <w:tcPr>
            <w:tcW w:w="0" w:type="auto"/>
            <w:tcBorders>
              <w:top w:val="nil"/>
              <w:left w:val="nil"/>
              <w:bottom w:val="nil"/>
              <w:right w:val="nil"/>
            </w:tcBorders>
            <w:vAlign w:val="bottom"/>
          </w:tcPr>
          <w:p w14:paraId="5339C3B7"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6A161D18"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6D6704D9"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2431DE96"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2834EDBF"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28EF7099" w14:textId="77777777" w:rsidTr="0012151E">
        <w:trPr>
          <w:trHeight w:val="272"/>
        </w:trPr>
        <w:tc>
          <w:tcPr>
            <w:tcW w:w="0" w:type="auto"/>
            <w:tcBorders>
              <w:top w:val="nil"/>
              <w:left w:val="nil"/>
              <w:bottom w:val="nil"/>
              <w:right w:val="nil"/>
            </w:tcBorders>
            <w:vAlign w:val="bottom"/>
          </w:tcPr>
          <w:p w14:paraId="14735CFC"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gridSpan w:val="2"/>
            <w:tcBorders>
              <w:top w:val="nil"/>
              <w:left w:val="nil"/>
              <w:bottom w:val="nil"/>
              <w:right w:val="nil"/>
            </w:tcBorders>
            <w:vAlign w:val="bottom"/>
          </w:tcPr>
          <w:p w14:paraId="28C2E533"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Variance Equation</w:t>
            </w:r>
          </w:p>
        </w:tc>
        <w:tc>
          <w:tcPr>
            <w:tcW w:w="0" w:type="auto"/>
            <w:tcBorders>
              <w:top w:val="nil"/>
              <w:left w:val="nil"/>
              <w:bottom w:val="nil"/>
              <w:right w:val="nil"/>
            </w:tcBorders>
            <w:vAlign w:val="bottom"/>
          </w:tcPr>
          <w:p w14:paraId="57DF8B1A"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35E8396A"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37BAE865" w14:textId="77777777" w:rsidTr="0012151E">
        <w:trPr>
          <w:trHeight w:hRule="exact" w:val="102"/>
        </w:trPr>
        <w:tc>
          <w:tcPr>
            <w:tcW w:w="0" w:type="auto"/>
            <w:tcBorders>
              <w:top w:val="nil"/>
              <w:left w:val="nil"/>
              <w:bottom w:val="double" w:sz="6" w:space="2" w:color="auto"/>
              <w:right w:val="nil"/>
            </w:tcBorders>
            <w:vAlign w:val="bottom"/>
          </w:tcPr>
          <w:p w14:paraId="04BF764D"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402A1DD9"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2AC7D850"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4FC23DAB"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69C4A355"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0DA9D634" w14:textId="77777777" w:rsidTr="0012151E">
        <w:trPr>
          <w:trHeight w:hRule="exact" w:val="153"/>
        </w:trPr>
        <w:tc>
          <w:tcPr>
            <w:tcW w:w="0" w:type="auto"/>
            <w:tcBorders>
              <w:top w:val="nil"/>
              <w:left w:val="nil"/>
              <w:bottom w:val="nil"/>
              <w:right w:val="nil"/>
            </w:tcBorders>
            <w:vAlign w:val="bottom"/>
          </w:tcPr>
          <w:p w14:paraId="18722F7A"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6F942B6B"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22528862"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5346C947"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5DA4930A"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4627D0DB" w14:textId="77777777" w:rsidTr="0012151E">
        <w:trPr>
          <w:trHeight w:val="272"/>
        </w:trPr>
        <w:tc>
          <w:tcPr>
            <w:tcW w:w="0" w:type="auto"/>
            <w:tcBorders>
              <w:top w:val="nil"/>
              <w:left w:val="nil"/>
              <w:bottom w:val="nil"/>
              <w:right w:val="nil"/>
            </w:tcBorders>
            <w:vAlign w:val="bottom"/>
          </w:tcPr>
          <w:p w14:paraId="478B4E20"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C</w:t>
            </w:r>
          </w:p>
        </w:tc>
        <w:tc>
          <w:tcPr>
            <w:tcW w:w="0" w:type="auto"/>
            <w:tcBorders>
              <w:top w:val="nil"/>
              <w:left w:val="nil"/>
              <w:bottom w:val="nil"/>
              <w:right w:val="nil"/>
            </w:tcBorders>
            <w:vAlign w:val="bottom"/>
          </w:tcPr>
          <w:p w14:paraId="4640F52C"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9.51E-07</w:t>
            </w:r>
          </w:p>
        </w:tc>
        <w:tc>
          <w:tcPr>
            <w:tcW w:w="0" w:type="auto"/>
            <w:tcBorders>
              <w:top w:val="nil"/>
              <w:left w:val="nil"/>
              <w:bottom w:val="nil"/>
              <w:right w:val="nil"/>
            </w:tcBorders>
            <w:vAlign w:val="bottom"/>
          </w:tcPr>
          <w:p w14:paraId="450A60C4"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4.16E-07</w:t>
            </w:r>
          </w:p>
        </w:tc>
        <w:tc>
          <w:tcPr>
            <w:tcW w:w="0" w:type="auto"/>
            <w:tcBorders>
              <w:top w:val="nil"/>
              <w:left w:val="nil"/>
              <w:bottom w:val="nil"/>
              <w:right w:val="nil"/>
            </w:tcBorders>
            <w:vAlign w:val="bottom"/>
          </w:tcPr>
          <w:p w14:paraId="3A2F197E"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2.285572</w:t>
            </w:r>
          </w:p>
        </w:tc>
        <w:tc>
          <w:tcPr>
            <w:tcW w:w="0" w:type="auto"/>
            <w:tcBorders>
              <w:top w:val="nil"/>
              <w:left w:val="nil"/>
              <w:bottom w:val="nil"/>
              <w:right w:val="nil"/>
            </w:tcBorders>
            <w:vAlign w:val="bottom"/>
          </w:tcPr>
          <w:p w14:paraId="3BF1CBE4"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0.0223</w:t>
            </w:r>
          </w:p>
        </w:tc>
      </w:tr>
      <w:tr w:rsidR="00F5779C" w:rsidRPr="00D12E59" w14:paraId="46E07867" w14:textId="77777777" w:rsidTr="0012151E">
        <w:trPr>
          <w:trHeight w:val="272"/>
        </w:trPr>
        <w:tc>
          <w:tcPr>
            <w:tcW w:w="0" w:type="auto"/>
            <w:tcBorders>
              <w:top w:val="nil"/>
              <w:left w:val="nil"/>
              <w:bottom w:val="nil"/>
              <w:right w:val="nil"/>
            </w:tcBorders>
            <w:vAlign w:val="bottom"/>
          </w:tcPr>
          <w:p w14:paraId="00843209"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RESID(-1)^2</w:t>
            </w:r>
          </w:p>
        </w:tc>
        <w:tc>
          <w:tcPr>
            <w:tcW w:w="0" w:type="auto"/>
            <w:tcBorders>
              <w:top w:val="nil"/>
              <w:left w:val="nil"/>
              <w:bottom w:val="nil"/>
              <w:right w:val="nil"/>
            </w:tcBorders>
            <w:vAlign w:val="bottom"/>
          </w:tcPr>
          <w:p w14:paraId="6A8039E4"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0.140964</w:t>
            </w:r>
          </w:p>
        </w:tc>
        <w:tc>
          <w:tcPr>
            <w:tcW w:w="0" w:type="auto"/>
            <w:tcBorders>
              <w:top w:val="nil"/>
              <w:left w:val="nil"/>
              <w:bottom w:val="nil"/>
              <w:right w:val="nil"/>
            </w:tcBorders>
            <w:vAlign w:val="bottom"/>
          </w:tcPr>
          <w:p w14:paraId="5439C9A1"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0.055101</w:t>
            </w:r>
          </w:p>
        </w:tc>
        <w:tc>
          <w:tcPr>
            <w:tcW w:w="0" w:type="auto"/>
            <w:tcBorders>
              <w:top w:val="nil"/>
              <w:left w:val="nil"/>
              <w:bottom w:val="nil"/>
              <w:right w:val="nil"/>
            </w:tcBorders>
            <w:vAlign w:val="bottom"/>
          </w:tcPr>
          <w:p w14:paraId="47F8F6B6"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2.558298</w:t>
            </w:r>
          </w:p>
        </w:tc>
        <w:tc>
          <w:tcPr>
            <w:tcW w:w="0" w:type="auto"/>
            <w:tcBorders>
              <w:top w:val="nil"/>
              <w:left w:val="nil"/>
              <w:bottom w:val="nil"/>
              <w:right w:val="nil"/>
            </w:tcBorders>
            <w:vAlign w:val="bottom"/>
          </w:tcPr>
          <w:p w14:paraId="351D7A10"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0.0105</w:t>
            </w:r>
          </w:p>
        </w:tc>
      </w:tr>
      <w:tr w:rsidR="00F5779C" w:rsidRPr="00D12E59" w14:paraId="478AFD81" w14:textId="77777777" w:rsidTr="0012151E">
        <w:trPr>
          <w:trHeight w:val="272"/>
        </w:trPr>
        <w:tc>
          <w:tcPr>
            <w:tcW w:w="0" w:type="auto"/>
            <w:tcBorders>
              <w:top w:val="nil"/>
              <w:left w:val="nil"/>
              <w:bottom w:val="nil"/>
              <w:right w:val="nil"/>
            </w:tcBorders>
            <w:vAlign w:val="bottom"/>
          </w:tcPr>
          <w:p w14:paraId="2C77D0ED"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RESID(-1)^2*(RESID(-1)&lt;0)</w:t>
            </w:r>
          </w:p>
        </w:tc>
        <w:tc>
          <w:tcPr>
            <w:tcW w:w="0" w:type="auto"/>
            <w:tcBorders>
              <w:top w:val="nil"/>
              <w:left w:val="nil"/>
              <w:bottom w:val="nil"/>
              <w:right w:val="nil"/>
            </w:tcBorders>
            <w:vAlign w:val="bottom"/>
          </w:tcPr>
          <w:p w14:paraId="0B96CED8"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-0.066617</w:t>
            </w:r>
          </w:p>
        </w:tc>
        <w:tc>
          <w:tcPr>
            <w:tcW w:w="0" w:type="auto"/>
            <w:tcBorders>
              <w:top w:val="nil"/>
              <w:left w:val="nil"/>
              <w:bottom w:val="nil"/>
              <w:right w:val="nil"/>
            </w:tcBorders>
            <w:vAlign w:val="bottom"/>
          </w:tcPr>
          <w:p w14:paraId="3389F788"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0.074149</w:t>
            </w:r>
          </w:p>
        </w:tc>
        <w:tc>
          <w:tcPr>
            <w:tcW w:w="0" w:type="auto"/>
            <w:tcBorders>
              <w:top w:val="nil"/>
              <w:left w:val="nil"/>
              <w:bottom w:val="nil"/>
              <w:right w:val="nil"/>
            </w:tcBorders>
            <w:vAlign w:val="bottom"/>
          </w:tcPr>
          <w:p w14:paraId="4EE9E5AF"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-0.898431</w:t>
            </w:r>
          </w:p>
        </w:tc>
        <w:tc>
          <w:tcPr>
            <w:tcW w:w="0" w:type="auto"/>
            <w:tcBorders>
              <w:top w:val="nil"/>
              <w:left w:val="nil"/>
              <w:bottom w:val="nil"/>
              <w:right w:val="nil"/>
            </w:tcBorders>
            <w:vAlign w:val="bottom"/>
          </w:tcPr>
          <w:p w14:paraId="7E1D5D23"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0.3690</w:t>
            </w:r>
          </w:p>
        </w:tc>
      </w:tr>
      <w:tr w:rsidR="00F5779C" w:rsidRPr="00D12E59" w14:paraId="2BA868BA" w14:textId="77777777" w:rsidTr="0012151E">
        <w:trPr>
          <w:trHeight w:val="272"/>
        </w:trPr>
        <w:tc>
          <w:tcPr>
            <w:tcW w:w="0" w:type="auto"/>
            <w:tcBorders>
              <w:top w:val="nil"/>
              <w:left w:val="nil"/>
              <w:bottom w:val="nil"/>
              <w:right w:val="nil"/>
            </w:tcBorders>
            <w:vAlign w:val="bottom"/>
          </w:tcPr>
          <w:p w14:paraId="3A2C0605" w14:textId="77777777" w:rsidR="00F5779C" w:rsidRPr="00D12E59" w:rsidRDefault="00F5779C" w:rsidP="008275E1">
            <w:pPr>
              <w:autoSpaceDE w:val="0"/>
              <w:autoSpaceDN w:val="0"/>
              <w:adjustRightInd w:val="0"/>
              <w:rPr>
                <w:rFonts w:ascii="Book Antiqua" w:hAnsi="Book Antiqua"/>
                <w:color w:val="000000"/>
                <w:lang w:val="en-GB" w:eastAsia="en-GB"/>
              </w:rPr>
            </w:pPr>
            <w:r w:rsidRPr="00D12E59">
              <w:rPr>
                <w:rFonts w:ascii="Book Antiqua" w:hAnsi="Book Antiqua"/>
                <w:color w:val="000000"/>
                <w:lang w:val="en-GB" w:eastAsia="en-GB"/>
              </w:rPr>
              <w:t>GARCH(-1)</w:t>
            </w:r>
          </w:p>
        </w:tc>
        <w:tc>
          <w:tcPr>
            <w:tcW w:w="0" w:type="auto"/>
            <w:tcBorders>
              <w:top w:val="nil"/>
              <w:left w:val="nil"/>
              <w:bottom w:val="nil"/>
              <w:right w:val="nil"/>
            </w:tcBorders>
            <w:vAlign w:val="bottom"/>
          </w:tcPr>
          <w:p w14:paraId="45EFC495"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0.865843</w:t>
            </w:r>
          </w:p>
        </w:tc>
        <w:tc>
          <w:tcPr>
            <w:tcW w:w="0" w:type="auto"/>
            <w:tcBorders>
              <w:top w:val="nil"/>
              <w:left w:val="nil"/>
              <w:bottom w:val="nil"/>
              <w:right w:val="nil"/>
            </w:tcBorders>
            <w:vAlign w:val="bottom"/>
          </w:tcPr>
          <w:p w14:paraId="1A556F02"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0.036413</w:t>
            </w:r>
          </w:p>
        </w:tc>
        <w:tc>
          <w:tcPr>
            <w:tcW w:w="0" w:type="auto"/>
            <w:tcBorders>
              <w:top w:val="nil"/>
              <w:left w:val="nil"/>
              <w:bottom w:val="nil"/>
              <w:right w:val="nil"/>
            </w:tcBorders>
            <w:vAlign w:val="bottom"/>
          </w:tcPr>
          <w:p w14:paraId="5A906243"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23.77849</w:t>
            </w:r>
          </w:p>
        </w:tc>
        <w:tc>
          <w:tcPr>
            <w:tcW w:w="0" w:type="auto"/>
            <w:tcBorders>
              <w:top w:val="nil"/>
              <w:left w:val="nil"/>
              <w:bottom w:val="nil"/>
              <w:right w:val="nil"/>
            </w:tcBorders>
            <w:vAlign w:val="bottom"/>
          </w:tcPr>
          <w:p w14:paraId="70168991" w14:textId="77777777" w:rsidR="00F5779C" w:rsidRPr="00D12E59" w:rsidRDefault="00F5779C" w:rsidP="008275E1">
            <w:pPr>
              <w:autoSpaceDE w:val="0"/>
              <w:autoSpaceDN w:val="0"/>
              <w:adjustRightInd w:val="0"/>
              <w:ind w:right="10"/>
              <w:rPr>
                <w:rFonts w:ascii="Book Antiqua" w:hAnsi="Book Antiqua"/>
                <w:color w:val="000000"/>
                <w:lang w:val="en-GB" w:eastAsia="en-GB"/>
              </w:rPr>
            </w:pPr>
            <w:r w:rsidRPr="00D12E59">
              <w:rPr>
                <w:rFonts w:ascii="Book Antiqua" w:hAnsi="Book Antiqua"/>
                <w:color w:val="000000"/>
                <w:lang w:val="en-GB" w:eastAsia="en-GB"/>
              </w:rPr>
              <w:t>0.0000</w:t>
            </w:r>
          </w:p>
        </w:tc>
      </w:tr>
      <w:tr w:rsidR="00F5779C" w:rsidRPr="00D12E59" w14:paraId="1A6C8BB6" w14:textId="77777777" w:rsidTr="0012151E">
        <w:trPr>
          <w:trHeight w:hRule="exact" w:val="102"/>
        </w:trPr>
        <w:tc>
          <w:tcPr>
            <w:tcW w:w="0" w:type="auto"/>
            <w:tcBorders>
              <w:top w:val="nil"/>
              <w:left w:val="nil"/>
              <w:bottom w:val="double" w:sz="6" w:space="2" w:color="auto"/>
              <w:right w:val="nil"/>
            </w:tcBorders>
            <w:vAlign w:val="bottom"/>
          </w:tcPr>
          <w:p w14:paraId="76C67485"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36710110"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28428846"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1B72A785"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double" w:sz="6" w:space="2" w:color="auto"/>
              <w:right w:val="nil"/>
            </w:tcBorders>
            <w:vAlign w:val="bottom"/>
          </w:tcPr>
          <w:p w14:paraId="189154BD" w14:textId="77777777" w:rsidR="00F5779C" w:rsidRPr="00D12E59" w:rsidRDefault="00F5779C" w:rsidP="008275E1">
            <w:pPr>
              <w:autoSpaceDE w:val="0"/>
              <w:autoSpaceDN w:val="0"/>
              <w:adjustRightInd w:val="0"/>
              <w:rPr>
                <w:rFonts w:ascii="Book Antiqua" w:hAnsi="Book Antiqua"/>
                <w:color w:val="000000"/>
                <w:lang w:val="en-GB" w:eastAsia="en-GB"/>
              </w:rPr>
            </w:pPr>
          </w:p>
        </w:tc>
      </w:tr>
      <w:tr w:rsidR="00F5779C" w:rsidRPr="00D12E59" w14:paraId="34FE3135" w14:textId="77777777" w:rsidTr="0012151E">
        <w:trPr>
          <w:trHeight w:hRule="exact" w:val="153"/>
        </w:trPr>
        <w:tc>
          <w:tcPr>
            <w:tcW w:w="0" w:type="auto"/>
            <w:tcBorders>
              <w:top w:val="nil"/>
              <w:left w:val="nil"/>
              <w:bottom w:val="nil"/>
              <w:right w:val="nil"/>
            </w:tcBorders>
            <w:vAlign w:val="bottom"/>
          </w:tcPr>
          <w:p w14:paraId="51388FAC"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01EC8910"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6A52DA8A"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0796D507" w14:textId="77777777" w:rsidR="00F5779C" w:rsidRPr="00D12E59" w:rsidRDefault="00F5779C" w:rsidP="008275E1">
            <w:pPr>
              <w:autoSpaceDE w:val="0"/>
              <w:autoSpaceDN w:val="0"/>
              <w:adjustRightInd w:val="0"/>
              <w:rPr>
                <w:rFonts w:ascii="Book Antiqua" w:hAnsi="Book Antiqua"/>
                <w:color w:val="000000"/>
                <w:lang w:val="en-GB" w:eastAsia="en-GB"/>
              </w:rPr>
            </w:pPr>
          </w:p>
        </w:tc>
        <w:tc>
          <w:tcPr>
            <w:tcW w:w="0" w:type="auto"/>
            <w:tcBorders>
              <w:top w:val="nil"/>
              <w:left w:val="nil"/>
              <w:bottom w:val="nil"/>
              <w:right w:val="nil"/>
            </w:tcBorders>
            <w:vAlign w:val="bottom"/>
          </w:tcPr>
          <w:p w14:paraId="40771F72" w14:textId="77777777" w:rsidR="00F5779C" w:rsidRPr="00D12E59" w:rsidRDefault="00F5779C" w:rsidP="008275E1">
            <w:pPr>
              <w:autoSpaceDE w:val="0"/>
              <w:autoSpaceDN w:val="0"/>
              <w:adjustRightInd w:val="0"/>
              <w:rPr>
                <w:rFonts w:ascii="Book Antiqua" w:hAnsi="Book Antiqua"/>
                <w:color w:val="000000"/>
                <w:lang w:val="en-GB" w:eastAsia="en-GB"/>
              </w:rPr>
            </w:pPr>
          </w:p>
        </w:tc>
      </w:tr>
    </w:tbl>
    <w:p w14:paraId="16B27B19"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Estimation Equation:</w:t>
      </w:r>
    </w:p>
    <w:p w14:paraId="58293470"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RGU = C(1) + C(2)*RGU(-1)</w:t>
      </w:r>
    </w:p>
    <w:p w14:paraId="3FCD9C08"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GARCH = C(3) + C(4)*RESID(-1)^2 + C(5)*RESID(-1)^2*(RESID(-1)&lt;0) + C(6)*GARCH(-1)</w:t>
      </w:r>
    </w:p>
    <w:p w14:paraId="4DE7B599"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Substituted Coefficients:</w:t>
      </w:r>
    </w:p>
    <w:p w14:paraId="4D2E8E7D"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RGU = 0.000473286153 - 0.4024342848*RGU(-1)</w:t>
      </w:r>
    </w:p>
    <w:p w14:paraId="0E1D3E6F" w14:textId="77777777" w:rsidR="00F5779C" w:rsidRPr="00E3232D" w:rsidRDefault="00F5779C" w:rsidP="008275E1">
      <w:pPr>
        <w:autoSpaceDE w:val="0"/>
        <w:autoSpaceDN w:val="0"/>
        <w:adjustRightInd w:val="0"/>
        <w:rPr>
          <w:rFonts w:ascii="Book Antiqua" w:hAnsi="Book Antiqua"/>
          <w:lang w:val="en-GB" w:eastAsia="en-GB"/>
        </w:rPr>
      </w:pPr>
      <w:r w:rsidRPr="00E3232D">
        <w:rPr>
          <w:rFonts w:ascii="Book Antiqua" w:hAnsi="Book Antiqua"/>
          <w:lang w:val="en-GB" w:eastAsia="en-GB"/>
        </w:rPr>
        <w:t>GARCH = 9.508618687e-007 + 0.1409638545*RESID(-1)^2 - 0.06661731731*RESID(-1)^2*(RESID(-1)&lt;0) + 0.8658425379*GARCH(-1)</w:t>
      </w:r>
    </w:p>
    <w:p w14:paraId="12F0E6D1" w14:textId="77777777" w:rsidR="00DC1AD8" w:rsidRDefault="00DC1AD8" w:rsidP="008275E1">
      <w:pPr>
        <w:autoSpaceDE w:val="0"/>
        <w:autoSpaceDN w:val="0"/>
        <w:adjustRightInd w:val="0"/>
        <w:rPr>
          <w:rFonts w:ascii="Book Antiqua" w:eastAsia="Swift-Regular" w:hAnsi="Book Antiqua"/>
          <w:lang w:val="en-GB" w:eastAsia="en-GB"/>
        </w:rPr>
        <w:sectPr w:rsidR="00DC1AD8" w:rsidSect="00DC1AD8">
          <w:type w:val="continuous"/>
          <w:pgSz w:w="11907" w:h="16839" w:code="9"/>
          <w:pgMar w:top="1440" w:right="1440" w:bottom="1440" w:left="1440" w:header="720" w:footer="720" w:gutter="0"/>
          <w:cols w:space="720"/>
          <w:titlePg/>
          <w:docGrid w:linePitch="360"/>
        </w:sectPr>
      </w:pPr>
    </w:p>
    <w:p w14:paraId="3ED3A622" w14:textId="77777777" w:rsidR="002D5D59" w:rsidRDefault="002D5D59" w:rsidP="001B5C40">
      <w:pPr>
        <w:pStyle w:val="NoSpacing"/>
        <w:spacing w:line="360" w:lineRule="auto"/>
        <w:jc w:val="both"/>
        <w:rPr>
          <w:rFonts w:ascii="Book Antiqua" w:hAnsi="Book Antiqua"/>
          <w:b/>
          <w:sz w:val="26"/>
          <w:szCs w:val="26"/>
          <w:lang w:val="en-GB" w:eastAsia="en-GB"/>
        </w:rPr>
      </w:pPr>
    </w:p>
    <w:p w14:paraId="589947C2" w14:textId="77777777" w:rsidR="002D5D59" w:rsidRDefault="002D5D59" w:rsidP="001B5C40">
      <w:pPr>
        <w:pStyle w:val="NoSpacing"/>
        <w:spacing w:line="360" w:lineRule="auto"/>
        <w:jc w:val="both"/>
        <w:rPr>
          <w:rFonts w:ascii="Book Antiqua" w:hAnsi="Book Antiqua"/>
          <w:b/>
          <w:sz w:val="26"/>
          <w:szCs w:val="26"/>
          <w:lang w:val="en-GB" w:eastAsia="en-GB"/>
        </w:rPr>
      </w:pPr>
    </w:p>
    <w:p w14:paraId="0B62BC6A" w14:textId="77777777" w:rsidR="00F5779C" w:rsidRPr="004522FA" w:rsidRDefault="00F5779C" w:rsidP="001B5C40">
      <w:pPr>
        <w:pStyle w:val="NoSpacing"/>
        <w:spacing w:line="360" w:lineRule="auto"/>
        <w:jc w:val="both"/>
        <w:rPr>
          <w:rFonts w:ascii="Book Antiqua" w:hAnsi="Book Antiqua"/>
          <w:b/>
          <w:sz w:val="26"/>
          <w:szCs w:val="26"/>
          <w:lang w:val="en-GB" w:eastAsia="en-GB"/>
        </w:rPr>
      </w:pPr>
      <w:r w:rsidRPr="004522FA">
        <w:rPr>
          <w:rFonts w:ascii="Book Antiqua" w:hAnsi="Book Antiqua"/>
          <w:b/>
          <w:sz w:val="26"/>
          <w:szCs w:val="26"/>
          <w:lang w:val="en-GB" w:eastAsia="en-GB"/>
        </w:rPr>
        <w:t xml:space="preserve">References </w:t>
      </w:r>
    </w:p>
    <w:p w14:paraId="65E2E74D"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Akgiray, V. 1989. Conditional heteroskedasticity in time series of stock returns: Evidence and forecasts. </w:t>
      </w:r>
      <w:r w:rsidRPr="00E3232D">
        <w:rPr>
          <w:rFonts w:ascii="Book Antiqua" w:hAnsi="Book Antiqua"/>
          <w:i/>
          <w:iCs/>
          <w:lang w:val="en-GB" w:eastAsia="en-GB"/>
        </w:rPr>
        <w:t xml:space="preserve">Journal of Business </w:t>
      </w:r>
      <w:r w:rsidRPr="00E3232D">
        <w:rPr>
          <w:rFonts w:ascii="Book Antiqua" w:hAnsi="Book Antiqua"/>
          <w:lang w:val="en-GB" w:eastAsia="en-GB"/>
        </w:rPr>
        <w:t>62: 55-80.</w:t>
      </w:r>
    </w:p>
    <w:p w14:paraId="4CD06909" w14:textId="77777777" w:rsidR="00F5779C" w:rsidRPr="00E3232D" w:rsidRDefault="00F5779C" w:rsidP="002F4DEE">
      <w:pPr>
        <w:pStyle w:val="NoSpacing"/>
        <w:spacing w:line="276" w:lineRule="auto"/>
        <w:ind w:left="720" w:hanging="720"/>
        <w:jc w:val="both"/>
        <w:rPr>
          <w:rFonts w:ascii="Book Antiqua" w:hAnsi="Book Antiqua"/>
          <w:i/>
          <w:iCs/>
          <w:lang w:val="en-GB" w:eastAsia="en-GB"/>
        </w:rPr>
      </w:pPr>
      <w:r w:rsidRPr="00E3232D">
        <w:rPr>
          <w:rFonts w:ascii="Book Antiqua" w:hAnsi="Book Antiqua"/>
          <w:lang w:val="en-GB" w:eastAsia="en-GB"/>
        </w:rPr>
        <w:t xml:space="preserve">Baillie, R. T. and Bollerslev T. 1989. The message in daily exchange rates: A conditional variance. </w:t>
      </w:r>
      <w:r w:rsidRPr="00E3232D">
        <w:rPr>
          <w:rFonts w:ascii="Book Antiqua" w:hAnsi="Book Antiqua"/>
          <w:i/>
          <w:iCs/>
          <w:lang w:val="en-GB" w:eastAsia="en-GB"/>
        </w:rPr>
        <w:t xml:space="preserve">Journal of Business and Economic Statistics </w:t>
      </w:r>
      <w:r w:rsidRPr="00E3232D">
        <w:rPr>
          <w:rFonts w:ascii="Book Antiqua" w:hAnsi="Book Antiqua"/>
          <w:lang w:val="en-GB" w:eastAsia="en-GB"/>
        </w:rPr>
        <w:t>7: 297-305.</w:t>
      </w:r>
    </w:p>
    <w:p w14:paraId="725A65F8"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Berndt, E. R.,  Hall, B. H., Hall, R. E. and  Haussmann, J. A. 1974. ‘Estimation and Inference in Nonlinear Structural Models’, Annals of Economic and Social Measurement, Vol. 4 pp. 653–665.</w:t>
      </w:r>
    </w:p>
    <w:p w14:paraId="1106C3EC"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Bollerslev, T. 1986. Generalized autoregressive conditional heteroskedasticity. </w:t>
      </w:r>
      <w:r w:rsidRPr="00E3232D">
        <w:rPr>
          <w:rFonts w:ascii="Book Antiqua" w:hAnsi="Book Antiqua"/>
          <w:i/>
          <w:iCs/>
          <w:lang w:val="en-GB" w:eastAsia="en-GB"/>
        </w:rPr>
        <w:t xml:space="preserve">Journal of Econometrics </w:t>
      </w:r>
      <w:r w:rsidRPr="00E3232D">
        <w:rPr>
          <w:rFonts w:ascii="Book Antiqua" w:hAnsi="Book Antiqua"/>
          <w:lang w:val="en-GB" w:eastAsia="en-GB"/>
        </w:rPr>
        <w:t>31: 307-327.</w:t>
      </w:r>
    </w:p>
    <w:p w14:paraId="4B96ECB5"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Bollerslev, T. 1987. A conditional heteroskedastic time series model for speculative prices and rates of return. </w:t>
      </w:r>
      <w:r w:rsidRPr="00E3232D">
        <w:rPr>
          <w:rFonts w:ascii="Book Antiqua" w:hAnsi="Book Antiqua"/>
          <w:i/>
          <w:iCs/>
          <w:lang w:val="en-GB" w:eastAsia="en-GB"/>
        </w:rPr>
        <w:t xml:space="preserve">Review of Economics and Statistics </w:t>
      </w:r>
      <w:r w:rsidRPr="00E3232D">
        <w:rPr>
          <w:rFonts w:ascii="Book Antiqua" w:hAnsi="Book Antiqua"/>
          <w:lang w:val="en-GB" w:eastAsia="en-GB"/>
        </w:rPr>
        <w:t>69: 542-547.</w:t>
      </w:r>
    </w:p>
    <w:p w14:paraId="7803A987"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Cheung, Y. W. and Wong C. Y. P . 1997. The performance of trading rules on four Asian currency exchange rates. </w:t>
      </w:r>
      <w:r w:rsidRPr="00E3232D">
        <w:rPr>
          <w:rFonts w:ascii="Book Antiqua" w:hAnsi="Book Antiqua"/>
          <w:i/>
          <w:iCs/>
          <w:lang w:val="en-GB" w:eastAsia="en-GB"/>
        </w:rPr>
        <w:t xml:space="preserve">Multinational Finance Journal </w:t>
      </w:r>
      <w:r w:rsidRPr="00E3232D">
        <w:rPr>
          <w:rFonts w:ascii="Book Antiqua" w:hAnsi="Book Antiqua"/>
          <w:lang w:val="en-GB" w:eastAsia="en-GB"/>
        </w:rPr>
        <w:t>1(1): 1-22.</w:t>
      </w:r>
    </w:p>
    <w:p w14:paraId="3F8B8EB6"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CHoo, W. C., Ahmad M. I. and Abdullah M. Y. 1999. Performance of GARCH models in forecasting stock market volatility. </w:t>
      </w:r>
      <w:r w:rsidRPr="00E3232D">
        <w:rPr>
          <w:rFonts w:ascii="Book Antiqua" w:hAnsi="Book Antiqua"/>
          <w:i/>
          <w:iCs/>
          <w:lang w:val="en-GB" w:eastAsia="en-GB"/>
        </w:rPr>
        <w:t xml:space="preserve">Journal of Forecasting </w:t>
      </w:r>
      <w:r w:rsidRPr="00E3232D">
        <w:rPr>
          <w:rFonts w:ascii="Book Antiqua" w:hAnsi="Book Antiqua"/>
          <w:lang w:val="en-GB" w:eastAsia="en-GB"/>
        </w:rPr>
        <w:t>18: 333-343.</w:t>
      </w:r>
    </w:p>
    <w:p w14:paraId="67EEC0E5"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Copeand, L. S. and Wang  P. 1994. Estimating daily seasonality in foreign exchange rate changes. </w:t>
      </w:r>
      <w:r w:rsidRPr="00E3232D">
        <w:rPr>
          <w:rFonts w:ascii="Book Antiqua" w:hAnsi="Book Antiqua"/>
          <w:i/>
          <w:iCs/>
          <w:lang w:val="en-GB" w:eastAsia="en-GB"/>
        </w:rPr>
        <w:t xml:space="preserve">Journal of Forecasting </w:t>
      </w:r>
      <w:r w:rsidRPr="00E3232D">
        <w:rPr>
          <w:rFonts w:ascii="Book Antiqua" w:hAnsi="Book Antiqua"/>
          <w:lang w:val="en-GB" w:eastAsia="en-GB"/>
        </w:rPr>
        <w:t>13(6): 519-528.</w:t>
      </w:r>
    </w:p>
    <w:p w14:paraId="4D6AF6CB"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Day, T. E. and Lewis C. M. 1992. Stock market volatility and information content of stock index options. </w:t>
      </w:r>
      <w:r w:rsidRPr="00E3232D">
        <w:rPr>
          <w:rFonts w:ascii="Book Antiqua" w:hAnsi="Book Antiqua"/>
          <w:i/>
          <w:iCs/>
          <w:lang w:val="en-GB" w:eastAsia="en-GB"/>
        </w:rPr>
        <w:t xml:space="preserve">Journal of Econometrics </w:t>
      </w:r>
      <w:r w:rsidRPr="00E3232D">
        <w:rPr>
          <w:rFonts w:ascii="Book Antiqua" w:hAnsi="Book Antiqua"/>
          <w:lang w:val="en-GB" w:eastAsia="en-GB"/>
        </w:rPr>
        <w:t>52: 267287</w:t>
      </w:r>
    </w:p>
    <w:p w14:paraId="1B8AAF47"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Diebold, F. X. and  Nerlove M.. 1989. The dynamics of exchange rate volatility : A multivariate latent variable factor ARCH model. </w:t>
      </w:r>
      <w:r w:rsidRPr="00E3232D">
        <w:rPr>
          <w:rFonts w:ascii="Book Antiqua" w:hAnsi="Book Antiqua"/>
          <w:i/>
          <w:iCs/>
          <w:lang w:val="en-GB" w:eastAsia="en-GB"/>
        </w:rPr>
        <w:t xml:space="preserve">Journal of Applied Econometrics </w:t>
      </w:r>
      <w:r w:rsidRPr="00E3232D">
        <w:rPr>
          <w:rFonts w:ascii="Book Antiqua" w:hAnsi="Book Antiqua"/>
          <w:lang w:val="en-GB" w:eastAsia="en-GB"/>
        </w:rPr>
        <w:t>4(1): 1-21.</w:t>
      </w:r>
    </w:p>
    <w:p w14:paraId="3272EEFE"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Diebold, F. X. 1988. </w:t>
      </w:r>
      <w:r w:rsidRPr="00E3232D">
        <w:rPr>
          <w:rFonts w:ascii="Book Antiqua" w:hAnsi="Book Antiqua"/>
          <w:i/>
          <w:iCs/>
          <w:lang w:val="en-GB" w:eastAsia="en-GB"/>
        </w:rPr>
        <w:t xml:space="preserve">Empirical Modeling of Exchange Rate Dynamics. </w:t>
      </w:r>
      <w:r w:rsidRPr="00E3232D">
        <w:rPr>
          <w:rFonts w:ascii="Book Antiqua" w:hAnsi="Book Antiqua"/>
          <w:lang w:val="en-GB" w:eastAsia="en-GB"/>
        </w:rPr>
        <w:t>Berlin: Springer-Verlag.</w:t>
      </w:r>
    </w:p>
    <w:p w14:paraId="7E474296"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Duan , J. C. and Jaso Z. W. 1999. Pricing foreign currency and cross-currency options under GARCH. </w:t>
      </w:r>
      <w:r w:rsidRPr="00E3232D">
        <w:rPr>
          <w:rFonts w:ascii="Book Antiqua" w:hAnsi="Book Antiqua"/>
          <w:i/>
          <w:iCs/>
          <w:lang w:val="en-GB" w:eastAsia="en-GB"/>
        </w:rPr>
        <w:t xml:space="preserve">The Journal of Derivatives </w:t>
      </w:r>
      <w:r w:rsidRPr="00E3232D">
        <w:rPr>
          <w:rFonts w:ascii="Book Antiqua" w:hAnsi="Book Antiqua"/>
          <w:lang w:val="en-GB" w:eastAsia="en-GB"/>
        </w:rPr>
        <w:t>(Fall).</w:t>
      </w:r>
    </w:p>
    <w:p w14:paraId="0ED27D2A"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Engle, R. F. 1982. Autoregressive conditional heteroskedasticity with estimates of the variance of U.K. inflation. </w:t>
      </w:r>
      <w:r w:rsidRPr="00E3232D">
        <w:rPr>
          <w:rFonts w:ascii="Book Antiqua" w:hAnsi="Book Antiqua"/>
          <w:i/>
          <w:iCs/>
          <w:lang w:val="en-GB" w:eastAsia="en-GB"/>
        </w:rPr>
        <w:t xml:space="preserve">Econometrica </w:t>
      </w:r>
      <w:r w:rsidRPr="00E3232D">
        <w:rPr>
          <w:rFonts w:ascii="Book Antiqua" w:hAnsi="Book Antiqua"/>
          <w:lang w:val="en-GB" w:eastAsia="en-GB"/>
        </w:rPr>
        <w:t>50: 987-1008.</w:t>
      </w:r>
    </w:p>
    <w:p w14:paraId="3C1873B9" w14:textId="77777777" w:rsidR="00F5779C" w:rsidRPr="00E3232D" w:rsidRDefault="00F5779C" w:rsidP="002F4DEE">
      <w:pPr>
        <w:pStyle w:val="NoSpacing"/>
        <w:spacing w:line="276" w:lineRule="auto"/>
        <w:ind w:left="720" w:hanging="630"/>
        <w:jc w:val="both"/>
        <w:rPr>
          <w:rFonts w:ascii="Book Antiqua" w:hAnsi="Book Antiqua"/>
          <w:lang w:val="en-GB" w:eastAsia="en-GB"/>
        </w:rPr>
      </w:pPr>
      <w:r w:rsidRPr="00E3232D">
        <w:rPr>
          <w:rFonts w:ascii="Book Antiqua" w:hAnsi="Book Antiqua"/>
          <w:lang w:val="en-GB" w:eastAsia="en-GB"/>
        </w:rPr>
        <w:t xml:space="preserve">Episcopos, A. and Davies J.  1995. Predicting returns on Canadian exchange rates with artificial neural networks and EGARCH-M models. </w:t>
      </w:r>
      <w:r w:rsidRPr="00E3232D">
        <w:rPr>
          <w:rFonts w:ascii="Book Antiqua" w:hAnsi="Book Antiqua"/>
          <w:i/>
          <w:iCs/>
          <w:lang w:val="en-GB" w:eastAsia="en-GB"/>
        </w:rPr>
        <w:t xml:space="preserve">Neural Computing and AppLUations </w:t>
      </w:r>
      <w:r w:rsidRPr="00E3232D">
        <w:rPr>
          <w:rFonts w:ascii="Book Antiqua" w:hAnsi="Book Antiqua"/>
          <w:lang w:val="en-GB" w:eastAsia="en-GB"/>
        </w:rPr>
        <w:t>(forthcoming).</w:t>
      </w:r>
    </w:p>
    <w:p w14:paraId="111C5448"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Fama, E. F. 1965. ‘The Behavior of Stock Market Prices’, Journal of Business, Vol. 38, No. 1, pp. 34–105.</w:t>
      </w:r>
    </w:p>
    <w:p w14:paraId="06D9F9FE" w14:textId="77777777" w:rsidR="00F5779C" w:rsidRPr="00E3232D" w:rsidRDefault="00F5779C" w:rsidP="002F4DEE">
      <w:pPr>
        <w:pStyle w:val="NoSpacing"/>
        <w:spacing w:line="276" w:lineRule="auto"/>
        <w:jc w:val="both"/>
        <w:rPr>
          <w:rFonts w:ascii="Book Antiqua" w:hAnsi="Book Antiqua"/>
          <w:lang w:val="en-GB" w:eastAsia="en-GB"/>
        </w:rPr>
      </w:pPr>
      <w:r w:rsidRPr="00E3232D">
        <w:rPr>
          <w:rFonts w:ascii="Book Antiqua" w:hAnsi="Book Antiqua"/>
          <w:lang w:val="en-GB" w:eastAsia="en-GB"/>
        </w:rPr>
        <w:t>Franses, P. H. and van Dijk, D. 1996. Forecasting Stock Market Volatility Using</w:t>
      </w:r>
    </w:p>
    <w:p w14:paraId="735842B6" w14:textId="77777777" w:rsidR="00F5779C" w:rsidRPr="00E3232D" w:rsidRDefault="00F5779C" w:rsidP="002F4DEE">
      <w:pPr>
        <w:pStyle w:val="NoSpacing"/>
        <w:spacing w:line="276" w:lineRule="auto"/>
        <w:ind w:left="720"/>
        <w:jc w:val="both"/>
        <w:rPr>
          <w:rFonts w:ascii="Book Antiqua" w:hAnsi="Book Antiqua"/>
          <w:lang w:val="en-GB" w:eastAsia="en-GB"/>
        </w:rPr>
      </w:pPr>
      <w:r w:rsidRPr="00E3232D">
        <w:rPr>
          <w:rFonts w:ascii="Book Antiqua" w:hAnsi="Book Antiqua"/>
          <w:lang w:val="en-GB" w:eastAsia="en-GB"/>
        </w:rPr>
        <w:t>Non-Linear GARCH Models, Journal of Forecasting 15, 229—35</w:t>
      </w:r>
    </w:p>
    <w:p w14:paraId="1C043E39" w14:textId="77777777" w:rsidR="00F5779C" w:rsidRPr="00E3232D" w:rsidRDefault="00F5779C" w:rsidP="002F4DEE">
      <w:pPr>
        <w:pStyle w:val="NoSpacing"/>
        <w:spacing w:line="276" w:lineRule="auto"/>
        <w:jc w:val="both"/>
        <w:rPr>
          <w:rFonts w:ascii="Book Antiqua" w:hAnsi="Book Antiqua"/>
          <w:lang w:val="en-GB" w:eastAsia="en-GB"/>
        </w:rPr>
      </w:pPr>
    </w:p>
    <w:p w14:paraId="69D3DF28" w14:textId="77777777" w:rsidR="00F5779C" w:rsidRPr="00E3232D" w:rsidRDefault="00F5779C" w:rsidP="002F4DEE">
      <w:pPr>
        <w:pStyle w:val="NoSpacing"/>
        <w:spacing w:line="276" w:lineRule="auto"/>
        <w:jc w:val="both"/>
        <w:rPr>
          <w:rFonts w:ascii="Book Antiqua" w:hAnsi="Book Antiqua"/>
          <w:lang w:val="en-GB" w:eastAsia="en-GB"/>
        </w:rPr>
      </w:pPr>
    </w:p>
    <w:p w14:paraId="0024E231" w14:textId="77777777" w:rsidR="00F5779C" w:rsidRPr="00E3232D" w:rsidRDefault="00F5779C" w:rsidP="002F4DEE">
      <w:pPr>
        <w:pStyle w:val="NoSpacing"/>
        <w:spacing w:line="276" w:lineRule="auto"/>
        <w:ind w:left="630" w:hanging="630"/>
        <w:jc w:val="both"/>
        <w:rPr>
          <w:rFonts w:ascii="Book Antiqua" w:hAnsi="Book Antiqua"/>
          <w:lang w:val="en-GB" w:eastAsia="en-GB"/>
        </w:rPr>
      </w:pPr>
      <w:r w:rsidRPr="00E3232D">
        <w:rPr>
          <w:rFonts w:ascii="Book Antiqua" w:hAnsi="Book Antiqua"/>
          <w:lang w:val="en-GB" w:eastAsia="en-GB"/>
        </w:rPr>
        <w:t xml:space="preserve">French, K. R., Schwert G. W. and Stambaugh R. F.1987. Expected stock returns and volatility. </w:t>
      </w:r>
      <w:r w:rsidRPr="00E3232D">
        <w:rPr>
          <w:rFonts w:ascii="Book Antiqua" w:hAnsi="Book Antiqua"/>
          <w:i/>
          <w:iCs/>
          <w:lang w:val="en-GB" w:eastAsia="en-GB"/>
        </w:rPr>
        <w:t xml:space="preserve">Journal of Financial Economics </w:t>
      </w:r>
      <w:r w:rsidRPr="00E3232D">
        <w:rPr>
          <w:rFonts w:ascii="Book Antiqua" w:hAnsi="Book Antiqua"/>
          <w:lang w:val="en-GB" w:eastAsia="en-GB"/>
        </w:rPr>
        <w:t>19: 3-30.</w:t>
      </w:r>
    </w:p>
    <w:p w14:paraId="2206316B"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Frjedman, D. And Vandersteel S.  1982. Short-run fluctuations in foreign exchange rates : Evidence from the data 1973 - 1979. </w:t>
      </w:r>
      <w:r w:rsidRPr="00E3232D">
        <w:rPr>
          <w:rFonts w:ascii="Book Antiqua" w:hAnsi="Book Antiqua"/>
          <w:i/>
          <w:iCs/>
          <w:lang w:val="en-GB" w:eastAsia="en-GB"/>
        </w:rPr>
        <w:t xml:space="preserve">Journal of International Eonomics </w:t>
      </w:r>
      <w:r w:rsidRPr="00E3232D">
        <w:rPr>
          <w:rFonts w:ascii="Book Antiqua" w:hAnsi="Book Antiqua"/>
          <w:lang w:val="en-GB" w:eastAsia="en-GB"/>
        </w:rPr>
        <w:t>13: 171-186.</w:t>
      </w:r>
    </w:p>
    <w:p w14:paraId="62A29184"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Glosten, L. R., Jagannathan, R. and Runkle, D. E. (1993) On the Relation Between the Expected Value and the Volatility of the Nominal Excess Return on Stocks, The Journal of Finance 48(5), 1779—1801</w:t>
      </w:r>
    </w:p>
    <w:p w14:paraId="11B54D4C"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Hopper, G. P. 1997. What determines the exchange rate: Economics factors or market sentiment. </w:t>
      </w:r>
      <w:r w:rsidRPr="00E3232D">
        <w:rPr>
          <w:rFonts w:ascii="Book Antiqua" w:hAnsi="Book Antiqua"/>
          <w:i/>
          <w:iCs/>
          <w:lang w:val="en-GB" w:eastAsia="en-GB"/>
        </w:rPr>
        <w:t xml:space="preserve">Business Review: </w:t>
      </w:r>
      <w:r w:rsidRPr="00E3232D">
        <w:rPr>
          <w:rFonts w:ascii="Book Antiqua" w:hAnsi="Book Antiqua"/>
          <w:lang w:val="en-GB" w:eastAsia="en-GB"/>
        </w:rPr>
        <w:t>17-29. Federal Reserve Bank of Philadelphia.</w:t>
      </w:r>
    </w:p>
    <w:p w14:paraId="73631600" w14:textId="77777777" w:rsidR="00F5779C" w:rsidRPr="00E3232D" w:rsidRDefault="00F5779C" w:rsidP="002F4DEE">
      <w:pPr>
        <w:pStyle w:val="NoSpacing"/>
        <w:spacing w:line="276" w:lineRule="auto"/>
        <w:ind w:left="720" w:hanging="720"/>
        <w:jc w:val="both"/>
        <w:rPr>
          <w:rFonts w:ascii="Book Antiqua" w:hAnsi="Book Antiqua"/>
          <w:i/>
          <w:iCs/>
          <w:lang w:val="en-GB" w:eastAsia="en-GB"/>
        </w:rPr>
      </w:pPr>
      <w:r w:rsidRPr="00E3232D">
        <w:rPr>
          <w:rFonts w:ascii="Book Antiqua" w:hAnsi="Book Antiqua"/>
          <w:lang w:val="en-GB" w:eastAsia="en-GB"/>
        </w:rPr>
        <w:t xml:space="preserve">Hsieh, D. A. 1988. The statistical properties of daily foreign exchange rates: 1974 - 1983. </w:t>
      </w:r>
      <w:r w:rsidRPr="00E3232D">
        <w:rPr>
          <w:rFonts w:ascii="Book Antiqua" w:hAnsi="Book Antiqua"/>
          <w:i/>
          <w:iCs/>
          <w:lang w:val="en-GB" w:eastAsia="en-GB"/>
        </w:rPr>
        <w:t>Journal of International Economics: 129-145.</w:t>
      </w:r>
    </w:p>
    <w:p w14:paraId="3B500373"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Hsieh, D. A. 1989a. Modeling hetereskedasticity in daily foreign exchange rates. </w:t>
      </w:r>
      <w:r w:rsidRPr="00E3232D">
        <w:rPr>
          <w:rFonts w:ascii="Book Antiqua" w:hAnsi="Book Antiqua"/>
          <w:i/>
          <w:iCs/>
          <w:lang w:val="en-GB" w:eastAsia="en-GB"/>
        </w:rPr>
        <w:t xml:space="preserve">Journal of Business and Economic Statistics </w:t>
      </w:r>
      <w:r w:rsidRPr="00E3232D">
        <w:rPr>
          <w:rFonts w:ascii="Book Antiqua" w:hAnsi="Book Antiqua"/>
          <w:lang w:val="en-GB" w:eastAsia="en-GB"/>
        </w:rPr>
        <w:t>7: 306-317.</w:t>
      </w:r>
    </w:p>
    <w:p w14:paraId="07A11997"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Hsieh d. A. 1989b. Testing for non-linear dependence in daily foreign exchange rates. </w:t>
      </w:r>
      <w:r w:rsidRPr="00E3232D">
        <w:rPr>
          <w:rFonts w:ascii="Book Antiqua" w:hAnsi="Book Antiqua"/>
          <w:i/>
          <w:iCs/>
          <w:lang w:val="en-GB" w:eastAsia="en-GB"/>
        </w:rPr>
        <w:t xml:space="preserve">Journal of Business </w:t>
      </w:r>
      <w:r w:rsidRPr="00E3232D">
        <w:rPr>
          <w:rFonts w:ascii="Book Antiqua" w:hAnsi="Book Antiqua"/>
          <w:lang w:val="en-GB" w:eastAsia="en-GB"/>
        </w:rPr>
        <w:t>62: 339-368.</w:t>
      </w:r>
    </w:p>
    <w:p w14:paraId="4A5F5BEB"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Laopodls, N. T. 1997. U.S. dollar asymmetry and exchange rate volatility. </w:t>
      </w:r>
      <w:r w:rsidRPr="00E3232D">
        <w:rPr>
          <w:rFonts w:ascii="Book Antiqua" w:hAnsi="Book Antiqua"/>
          <w:i/>
          <w:iCs/>
          <w:lang w:val="en-GB" w:eastAsia="en-GB"/>
        </w:rPr>
        <w:t xml:space="preserve">Journal of Applied Business Research </w:t>
      </w:r>
      <w:r w:rsidRPr="00E3232D">
        <w:rPr>
          <w:rFonts w:ascii="Book Antiqua" w:hAnsi="Book Antiqua"/>
          <w:lang w:val="en-GB" w:eastAsia="en-GB"/>
        </w:rPr>
        <w:t>13(2) Spring: 1-8.</w:t>
      </w:r>
    </w:p>
    <w:p w14:paraId="47562AB3"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LAu, A., H. LAu and Wingender J. 1990. The distribution of stock returns: New evidence against the stable model. </w:t>
      </w:r>
      <w:r w:rsidRPr="00E3232D">
        <w:rPr>
          <w:rFonts w:ascii="Book Antiqua" w:hAnsi="Book Antiqua"/>
          <w:i/>
          <w:iCs/>
          <w:lang w:val="en-GB" w:eastAsia="en-GB"/>
        </w:rPr>
        <w:t xml:space="preserve">Journal of Business and Economic Statistics </w:t>
      </w:r>
      <w:r w:rsidRPr="00E3232D">
        <w:rPr>
          <w:rFonts w:ascii="Book Antiqua" w:hAnsi="Book Antiqua"/>
          <w:lang w:val="en-GB" w:eastAsia="en-GB"/>
        </w:rPr>
        <w:t>8 (April): 217-223.</w:t>
      </w:r>
    </w:p>
    <w:p w14:paraId="4FB0F72F" w14:textId="77777777" w:rsidR="00F5779C" w:rsidRPr="00E3232D" w:rsidRDefault="00F5779C" w:rsidP="002F4DEE">
      <w:pPr>
        <w:pStyle w:val="NoSpacing"/>
        <w:spacing w:line="276" w:lineRule="auto"/>
        <w:jc w:val="both"/>
        <w:rPr>
          <w:rFonts w:ascii="Book Antiqua" w:hAnsi="Book Antiqua"/>
          <w:lang w:val="en-GB" w:eastAsia="en-GB"/>
        </w:rPr>
      </w:pPr>
    </w:p>
    <w:p w14:paraId="53079DF7"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Mandelbrot, B. 1963. “The Variation of Certain Speculative Prices.” Journal of Business. 36, 394-419.</w:t>
      </w:r>
    </w:p>
    <w:p w14:paraId="6643E90A"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Nelson, D. B. 1991. Conditional Heteroskedasticity in Asset Returns: A New Approach, Econometrica 59(2), 347—70</w:t>
      </w:r>
    </w:p>
    <w:p w14:paraId="56501C71"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Pesaran, B. and Robinson G. 1993. The European exchange rate mechanism and the volatility of the sterling-deutschmark exchange rate. </w:t>
      </w:r>
      <w:r w:rsidRPr="00E3232D">
        <w:rPr>
          <w:rFonts w:ascii="Book Antiqua" w:hAnsi="Book Antiqua"/>
          <w:i/>
          <w:iCs/>
          <w:lang w:val="en-GB" w:eastAsia="en-GB"/>
        </w:rPr>
        <w:t xml:space="preserve">Economic Journal </w:t>
      </w:r>
      <w:r w:rsidRPr="00E3232D">
        <w:rPr>
          <w:rFonts w:ascii="Book Antiqua" w:hAnsi="Book Antiqua"/>
          <w:lang w:val="en-GB" w:eastAsia="en-GB"/>
        </w:rPr>
        <w:t>103: 1418-1431.</w:t>
      </w:r>
    </w:p>
    <w:p w14:paraId="5A6005E6"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Santis, G. D. and Gerard B. 1998. How big is the premium for currency risk? </w:t>
      </w:r>
      <w:r w:rsidRPr="00E3232D">
        <w:rPr>
          <w:rFonts w:ascii="Book Antiqua" w:hAnsi="Book Antiqua"/>
          <w:i/>
          <w:iCs/>
          <w:lang w:val="en-GB" w:eastAsia="en-GB"/>
        </w:rPr>
        <w:t xml:space="preserve">Journal of Financial Economics </w:t>
      </w:r>
      <w:r w:rsidRPr="00E3232D">
        <w:rPr>
          <w:rFonts w:ascii="Book Antiqua" w:hAnsi="Book Antiqua"/>
          <w:lang w:val="en-GB" w:eastAsia="en-GB"/>
        </w:rPr>
        <w:t>49: 375-412.</w:t>
      </w:r>
    </w:p>
    <w:p w14:paraId="30CF2325"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 xml:space="preserve">Takezawa, N. 1995. A note on intraday foreign exchange volatility and the informational role of quote arrivals. </w:t>
      </w:r>
      <w:r w:rsidRPr="00E3232D">
        <w:rPr>
          <w:rFonts w:ascii="Book Antiqua" w:hAnsi="Book Antiqua"/>
          <w:i/>
          <w:iCs/>
          <w:lang w:val="en-GB" w:eastAsia="en-GB"/>
        </w:rPr>
        <w:t xml:space="preserve">Economics Letters </w:t>
      </w:r>
      <w:r w:rsidRPr="00E3232D">
        <w:rPr>
          <w:rFonts w:ascii="Book Antiqua" w:hAnsi="Book Antiqua"/>
          <w:lang w:val="en-GB" w:eastAsia="en-GB"/>
        </w:rPr>
        <w:t>48: 399-404.</w:t>
      </w:r>
    </w:p>
    <w:p w14:paraId="15840D13" w14:textId="77777777" w:rsidR="00F5779C" w:rsidRPr="00E3232D" w:rsidRDefault="00F5779C" w:rsidP="002F4DEE">
      <w:pPr>
        <w:pStyle w:val="NoSpacing"/>
        <w:spacing w:line="276" w:lineRule="auto"/>
        <w:ind w:left="720" w:hanging="720"/>
        <w:jc w:val="both"/>
        <w:rPr>
          <w:rFonts w:ascii="Book Antiqua" w:hAnsi="Book Antiqua"/>
          <w:lang w:val="en-GB" w:eastAsia="en-GB"/>
        </w:rPr>
      </w:pPr>
      <w:r w:rsidRPr="00E3232D">
        <w:rPr>
          <w:rFonts w:ascii="Book Antiqua" w:hAnsi="Book Antiqua"/>
          <w:lang w:val="en-GB" w:eastAsia="en-GB"/>
        </w:rPr>
        <w:t>Zakoian, J.M.  1994. 'Threshold Heteroskedastic Models', Journal (Economic Dynamics and Control, 18, pp. 931-55.</w:t>
      </w:r>
    </w:p>
    <w:p w14:paraId="05F64216" w14:textId="77777777" w:rsidR="00F5779C" w:rsidRPr="00E3232D" w:rsidRDefault="00F5779C" w:rsidP="002F4DEE">
      <w:pPr>
        <w:autoSpaceDE w:val="0"/>
        <w:autoSpaceDN w:val="0"/>
        <w:adjustRightInd w:val="0"/>
        <w:jc w:val="both"/>
        <w:rPr>
          <w:rFonts w:ascii="Book Antiqua" w:hAnsi="Book Antiqua"/>
          <w:b/>
        </w:rPr>
      </w:pPr>
    </w:p>
    <w:p w14:paraId="5351F199" w14:textId="77777777" w:rsidR="00B16DEC" w:rsidRDefault="00B16DEC" w:rsidP="002F4DEE">
      <w:pPr>
        <w:autoSpaceDE w:val="0"/>
        <w:autoSpaceDN w:val="0"/>
        <w:adjustRightInd w:val="0"/>
        <w:jc w:val="both"/>
        <w:rPr>
          <w:rFonts w:ascii="Book Antiqua" w:hAnsi="Book Antiqua"/>
          <w:b/>
        </w:rPr>
        <w:sectPr w:rsidR="00B16DEC" w:rsidSect="008F6BC9">
          <w:type w:val="continuous"/>
          <w:pgSz w:w="11907" w:h="16839" w:code="9"/>
          <w:pgMar w:top="1440" w:right="1440" w:bottom="1440" w:left="1440" w:header="720" w:footer="720" w:gutter="0"/>
          <w:cols w:num="2" w:space="720"/>
          <w:titlePg/>
          <w:docGrid w:linePitch="360"/>
        </w:sectPr>
      </w:pPr>
    </w:p>
    <w:p w14:paraId="09AE6FD9" w14:textId="77777777" w:rsidR="0080617A" w:rsidRPr="00E3232D" w:rsidRDefault="0080617A" w:rsidP="002F4DEE">
      <w:pPr>
        <w:autoSpaceDE w:val="0"/>
        <w:autoSpaceDN w:val="0"/>
        <w:adjustRightInd w:val="0"/>
        <w:jc w:val="both"/>
        <w:rPr>
          <w:rFonts w:ascii="Book Antiqua" w:hAnsi="Book Antiqua"/>
          <w:b/>
        </w:rPr>
        <w:sectPr w:rsidR="0080617A" w:rsidRPr="00E3232D" w:rsidSect="008F6BC9">
          <w:type w:val="continuous"/>
          <w:pgSz w:w="11907" w:h="16839" w:code="9"/>
          <w:pgMar w:top="1440" w:right="1440" w:bottom="1440" w:left="1440" w:header="720" w:footer="720" w:gutter="0"/>
          <w:cols w:space="720"/>
          <w:titlePg/>
          <w:docGrid w:linePitch="360"/>
        </w:sectPr>
      </w:pPr>
    </w:p>
    <w:p w14:paraId="04059594" w14:textId="77777777" w:rsidR="001F51BB" w:rsidRDefault="001F51BB" w:rsidP="00B16DEC">
      <w:pPr>
        <w:rPr>
          <w:rFonts w:ascii="Book Antiqua" w:hAnsi="Book Antiqua"/>
          <w:b/>
          <w:bCs/>
          <w:sz w:val="26"/>
          <w:szCs w:val="26"/>
        </w:rPr>
      </w:pPr>
    </w:p>
    <w:p w14:paraId="6547F5A7" w14:textId="77777777" w:rsidR="007C7891" w:rsidRDefault="007C7891" w:rsidP="001B5C40">
      <w:pPr>
        <w:rPr>
          <w:rFonts w:ascii="Book Antiqua" w:hAnsi="Book Antiqua"/>
          <w:b/>
          <w:bCs/>
          <w:sz w:val="26"/>
          <w:szCs w:val="26"/>
        </w:rPr>
      </w:pPr>
    </w:p>
    <w:p w14:paraId="14A7EBED" w14:textId="77777777" w:rsidR="001B5C40" w:rsidRDefault="001B5C40" w:rsidP="001B5C40">
      <w:pPr>
        <w:rPr>
          <w:rFonts w:ascii="Book Antiqua" w:hAnsi="Book Antiqua"/>
          <w:b/>
          <w:bCs/>
          <w:sz w:val="26"/>
          <w:szCs w:val="26"/>
        </w:rPr>
        <w:sectPr w:rsidR="001B5C40" w:rsidSect="008F6BC9">
          <w:type w:val="continuous"/>
          <w:pgSz w:w="11907" w:h="16839" w:code="9"/>
          <w:pgMar w:top="1440" w:right="1440" w:bottom="1440" w:left="1440" w:header="720" w:footer="720" w:gutter="0"/>
          <w:cols w:space="720"/>
          <w:docGrid w:linePitch="360"/>
        </w:sectPr>
      </w:pPr>
    </w:p>
    <w:p w14:paraId="091297ED" w14:textId="77777777" w:rsidR="008B2F4D" w:rsidRPr="008B2F4D" w:rsidRDefault="00D80800" w:rsidP="002F4DEE">
      <w:pPr>
        <w:jc w:val="center"/>
        <w:rPr>
          <w:rFonts w:ascii="Book Antiqua" w:hAnsi="Book Antiqua"/>
          <w:b/>
          <w:bCs/>
          <w:sz w:val="26"/>
          <w:szCs w:val="26"/>
        </w:rPr>
      </w:pPr>
      <w:r w:rsidRPr="00055B0C">
        <w:rPr>
          <w:rFonts w:ascii="Book Antiqua" w:hAnsi="Book Antiqua"/>
          <w:b/>
          <w:bCs/>
          <w:sz w:val="26"/>
          <w:szCs w:val="26"/>
        </w:rPr>
        <w:t>Reduction of Impulse Noise in Processing Images using Median and Frequency Filtering Algorithms</w:t>
      </w:r>
    </w:p>
    <w:p w14:paraId="295B14BF" w14:textId="77777777" w:rsidR="002F4C54" w:rsidRPr="002F4DEE" w:rsidRDefault="002F4C54" w:rsidP="002F4DEE">
      <w:pPr>
        <w:autoSpaceDE w:val="0"/>
        <w:autoSpaceDN w:val="0"/>
        <w:adjustRightInd w:val="0"/>
        <w:spacing w:after="0" w:line="240" w:lineRule="auto"/>
        <w:jc w:val="center"/>
        <w:rPr>
          <w:rFonts w:ascii="Book Antiqua" w:hAnsi="Book Antiqua"/>
          <w:b/>
          <w:bCs/>
        </w:rPr>
      </w:pPr>
      <w:r w:rsidRPr="002F4DEE">
        <w:rPr>
          <w:rFonts w:ascii="Book Antiqua" w:hAnsi="Book Antiqua"/>
          <w:b/>
          <w:bCs/>
        </w:rPr>
        <w:t xml:space="preserve">Amoako P. Y. O. </w:t>
      </w:r>
      <w:r w:rsidRPr="002F4DEE">
        <w:rPr>
          <w:rFonts w:ascii="Book Antiqua" w:hAnsi="Book Antiqua"/>
          <w:b/>
          <w:bCs/>
          <w:vertAlign w:val="superscript"/>
        </w:rPr>
        <w:t>1</w:t>
      </w:r>
      <w:r w:rsidRPr="002F4DEE">
        <w:rPr>
          <w:rFonts w:ascii="Book Antiqua" w:hAnsi="Book Antiqua"/>
          <w:b/>
          <w:bCs/>
        </w:rPr>
        <w:t xml:space="preserve">, </w:t>
      </w:r>
      <w:r w:rsidR="00EB48A1" w:rsidRPr="002F4DEE">
        <w:rPr>
          <w:rFonts w:ascii="Book Antiqua" w:hAnsi="Book Antiqua"/>
          <w:b/>
          <w:bCs/>
        </w:rPr>
        <w:t>Sarpong K. A. M.</w:t>
      </w:r>
      <w:r w:rsidRPr="002F4DEE">
        <w:rPr>
          <w:rFonts w:ascii="Book Antiqua" w:hAnsi="Book Antiqua"/>
          <w:b/>
          <w:bCs/>
          <w:vertAlign w:val="superscript"/>
        </w:rPr>
        <w:t>2</w:t>
      </w:r>
      <w:r w:rsidRPr="002F4DEE">
        <w:rPr>
          <w:rFonts w:ascii="Book Antiqua" w:hAnsi="Book Antiqua"/>
          <w:b/>
          <w:bCs/>
        </w:rPr>
        <w:t xml:space="preserve"> </w:t>
      </w:r>
      <w:r w:rsidR="003672A3" w:rsidRPr="002F4DEE">
        <w:rPr>
          <w:rFonts w:ascii="Book Antiqua" w:hAnsi="Book Antiqua"/>
          <w:b/>
          <w:bCs/>
        </w:rPr>
        <w:t>&amp;</w:t>
      </w:r>
      <w:r w:rsidRPr="002F4DEE">
        <w:rPr>
          <w:rFonts w:ascii="Book Antiqua" w:hAnsi="Book Antiqua"/>
          <w:b/>
          <w:bCs/>
        </w:rPr>
        <w:t xml:space="preserve"> John K</w:t>
      </w:r>
      <w:r w:rsidR="00EB48A1" w:rsidRPr="002F4DEE">
        <w:rPr>
          <w:rFonts w:ascii="Book Antiqua" w:hAnsi="Book Antiqua"/>
          <w:b/>
          <w:bCs/>
        </w:rPr>
        <w:t>.</w:t>
      </w:r>
      <w:r w:rsidRPr="002F4DEE">
        <w:rPr>
          <w:rFonts w:ascii="Book Antiqua" w:hAnsi="Book Antiqua"/>
          <w:b/>
          <w:bCs/>
          <w:vertAlign w:val="superscript"/>
        </w:rPr>
        <w:t>3</w:t>
      </w:r>
    </w:p>
    <w:p w14:paraId="2637BF53" w14:textId="77777777" w:rsidR="002F4C54" w:rsidRPr="002F4DEE" w:rsidRDefault="002F4C54" w:rsidP="002F4DEE">
      <w:pPr>
        <w:autoSpaceDE w:val="0"/>
        <w:autoSpaceDN w:val="0"/>
        <w:adjustRightInd w:val="0"/>
        <w:spacing w:after="0" w:line="240" w:lineRule="auto"/>
        <w:jc w:val="center"/>
        <w:rPr>
          <w:rFonts w:ascii="Book Antiqua" w:hAnsi="Book Antiqua"/>
          <w:bCs/>
        </w:rPr>
      </w:pPr>
      <w:r w:rsidRPr="002F4DEE">
        <w:rPr>
          <w:rFonts w:ascii="Book Antiqua" w:hAnsi="Book Antiqua"/>
          <w:bCs/>
        </w:rPr>
        <w:t>Institute of Computer Science, Valley View University</w:t>
      </w:r>
      <w:r w:rsidR="002F4DEE" w:rsidRPr="002F4DEE">
        <w:rPr>
          <w:rFonts w:ascii="Book Antiqua" w:hAnsi="Book Antiqua"/>
          <w:bCs/>
        </w:rPr>
        <w:t>, Oyibi, Ghana</w:t>
      </w:r>
    </w:p>
    <w:p w14:paraId="43B3A81F" w14:textId="77777777" w:rsidR="002F4C54" w:rsidRPr="002F4DEE" w:rsidRDefault="002F4DEE" w:rsidP="002F4DEE">
      <w:pPr>
        <w:spacing w:after="0" w:line="240" w:lineRule="auto"/>
        <w:jc w:val="center"/>
        <w:rPr>
          <w:rFonts w:ascii="Book Antiqua" w:hAnsi="Book Antiqua"/>
          <w:b/>
        </w:rPr>
        <w:sectPr w:rsidR="002F4C54" w:rsidRPr="002F4DEE" w:rsidSect="008F6BC9">
          <w:type w:val="continuous"/>
          <w:pgSz w:w="11907" w:h="16839" w:code="9"/>
          <w:pgMar w:top="1440" w:right="1440" w:bottom="1440" w:left="1440" w:header="720" w:footer="720" w:gutter="0"/>
          <w:cols w:space="720"/>
          <w:docGrid w:linePitch="360"/>
        </w:sectPr>
      </w:pPr>
      <w:r w:rsidRPr="002F4DEE">
        <w:rPr>
          <w:rFonts w:ascii="Book Antiqua" w:hAnsi="Book Antiqua"/>
          <w:b/>
        </w:rPr>
        <w:t>Email</w:t>
      </w:r>
      <w:r w:rsidRPr="002F4DEE">
        <w:rPr>
          <w:rFonts w:ascii="Book Antiqua" w:hAnsi="Book Antiqua"/>
        </w:rPr>
        <w:t xml:space="preserve">: </w:t>
      </w:r>
      <w:hyperlink r:id="rId303" w:history="1">
        <w:r w:rsidR="00EB48A1" w:rsidRPr="002F4DEE">
          <w:rPr>
            <w:rStyle w:val="Hyperlink"/>
            <w:rFonts w:ascii="Book Antiqua" w:hAnsi="Book Antiqua"/>
            <w:vertAlign w:val="superscript"/>
          </w:rPr>
          <w:t>1</w:t>
        </w:r>
        <w:r w:rsidR="00EB48A1" w:rsidRPr="002F4DEE">
          <w:rPr>
            <w:rStyle w:val="Hyperlink"/>
            <w:rFonts w:ascii="Book Antiqua" w:hAnsi="Book Antiqua"/>
          </w:rPr>
          <w:t>papaprince@vvu.edu.gh</w:t>
        </w:r>
      </w:hyperlink>
      <w:r w:rsidR="002F4C54" w:rsidRPr="002F4DEE">
        <w:rPr>
          <w:rFonts w:ascii="Book Antiqua" w:hAnsi="Book Antiqua"/>
          <w:bCs/>
        </w:rPr>
        <w:t xml:space="preserve">, </w:t>
      </w:r>
      <w:hyperlink r:id="rId304" w:anchor="2kamsarpong@vvu.edu.gh" w:history="1">
        <w:r w:rsidR="002F4C54" w:rsidRPr="002F4DEE">
          <w:rPr>
            <w:rStyle w:val="Hyperlink"/>
            <w:rFonts w:ascii="Book Antiqua" w:hAnsi="Book Antiqua"/>
            <w:vertAlign w:val="superscript"/>
          </w:rPr>
          <w:t>#2</w:t>
        </w:r>
        <w:r w:rsidR="002F4C54" w:rsidRPr="002F4DEE">
          <w:rPr>
            <w:rStyle w:val="Hyperlink"/>
            <w:rFonts w:ascii="Book Antiqua" w:hAnsi="Book Antiqua"/>
          </w:rPr>
          <w:t>kamsarpong@vvu.edu.gh</w:t>
        </w:r>
      </w:hyperlink>
      <w:r w:rsidR="002F4C54" w:rsidRPr="002F4DEE">
        <w:rPr>
          <w:rFonts w:ascii="Book Antiqua" w:hAnsi="Book Antiqua"/>
          <w:bCs/>
        </w:rPr>
        <w:t xml:space="preserve">, </w:t>
      </w:r>
      <w:hyperlink r:id="rId305" w:anchor="3jkarthur@vvu.edu.gh" w:history="1">
        <w:r w:rsidR="002F4C54" w:rsidRPr="002F4DEE">
          <w:rPr>
            <w:rStyle w:val="Hyperlink"/>
            <w:rFonts w:ascii="Book Antiqua" w:hAnsi="Book Antiqua"/>
            <w:vertAlign w:val="superscript"/>
          </w:rPr>
          <w:t>#3</w:t>
        </w:r>
        <w:r w:rsidR="002F4C54" w:rsidRPr="002F4DEE">
          <w:rPr>
            <w:rStyle w:val="Hyperlink"/>
            <w:rFonts w:ascii="Book Antiqua" w:hAnsi="Book Antiqua"/>
          </w:rPr>
          <w:t>jkarthur@vvu.edu.gh</w:t>
        </w:r>
      </w:hyperlink>
    </w:p>
    <w:p w14:paraId="5E45865A" w14:textId="77777777" w:rsidR="00D80800" w:rsidRPr="002F4DEE" w:rsidRDefault="00D80800" w:rsidP="002F4DEE">
      <w:pPr>
        <w:spacing w:after="0"/>
        <w:rPr>
          <w:rFonts w:ascii="Book Antiqua" w:hAnsi="Book Antiqua"/>
          <w:b/>
        </w:rPr>
        <w:sectPr w:rsidR="00D80800" w:rsidRPr="002F4DEE" w:rsidSect="008F6BC9">
          <w:type w:val="continuous"/>
          <w:pgSz w:w="11907" w:h="16839" w:code="9"/>
          <w:pgMar w:top="1440" w:right="1440" w:bottom="1440" w:left="1440" w:header="720" w:footer="720" w:gutter="0"/>
          <w:cols w:space="720"/>
          <w:docGrid w:linePitch="360"/>
        </w:sectPr>
      </w:pPr>
    </w:p>
    <w:p w14:paraId="2C400369" w14:textId="77777777" w:rsidR="00D80800" w:rsidRPr="004522FA" w:rsidRDefault="00D80800" w:rsidP="008275E1">
      <w:pPr>
        <w:spacing w:after="240"/>
        <w:rPr>
          <w:rFonts w:ascii="Book Antiqua" w:hAnsi="Book Antiqua"/>
          <w:b/>
          <w:sz w:val="26"/>
          <w:szCs w:val="26"/>
        </w:rPr>
      </w:pPr>
      <w:r w:rsidRPr="004522FA">
        <w:rPr>
          <w:rFonts w:ascii="Book Antiqua" w:hAnsi="Book Antiqua"/>
          <w:b/>
          <w:sz w:val="26"/>
          <w:szCs w:val="26"/>
        </w:rPr>
        <w:t>Abstract</w:t>
      </w:r>
    </w:p>
    <w:p w14:paraId="2ECFAF62" w14:textId="77777777" w:rsidR="00055B0C" w:rsidRPr="002F4DEE" w:rsidRDefault="00D80800" w:rsidP="002F4DEE">
      <w:pPr>
        <w:jc w:val="both"/>
        <w:rPr>
          <w:rFonts w:ascii="Book Antiqua" w:hAnsi="Book Antiqua"/>
        </w:rPr>
      </w:pPr>
      <w:r w:rsidRPr="00E3232D">
        <w:rPr>
          <w:rFonts w:ascii="Book Antiqua" w:hAnsi="Book Antiqua"/>
        </w:rPr>
        <w:t>This research presents an application of median and frequency filtering algorithms in image processing by reducing impulse noise from images. These  algorithms are implanted to ascertain how a non-corrupted image pixels be left intact, irrespective of the density of noise in the image and principles to avoid object counters and edge blurred in image processing are discussed. Inferences are made to propose that these two algorithms can be applied to movie images to enhance clarity. Conclusions are made to make it easier for median and frequency filtering to detect and preserve edge details of an image and that Ghanaian multimedia production can be improved.</w:t>
      </w:r>
    </w:p>
    <w:p w14:paraId="70880D14" w14:textId="77777777" w:rsidR="007C7891" w:rsidRPr="002F4DEE" w:rsidRDefault="00D80800" w:rsidP="002F4DEE">
      <w:pPr>
        <w:rPr>
          <w:rFonts w:ascii="Book Antiqua" w:hAnsi="Book Antiqua"/>
        </w:rPr>
        <w:sectPr w:rsidR="007C7891" w:rsidRPr="002F4DEE" w:rsidSect="008F6BC9">
          <w:type w:val="continuous"/>
          <w:pgSz w:w="11907" w:h="16839" w:code="9"/>
          <w:pgMar w:top="1440" w:right="1440" w:bottom="1440" w:left="1440" w:header="720" w:footer="720" w:gutter="0"/>
          <w:cols w:space="720"/>
          <w:docGrid w:linePitch="360"/>
        </w:sectPr>
      </w:pPr>
      <w:r w:rsidRPr="00E3232D">
        <w:rPr>
          <w:rFonts w:ascii="Book Antiqua" w:hAnsi="Book Antiqua"/>
          <w:b/>
        </w:rPr>
        <w:t xml:space="preserve">Keywords: </w:t>
      </w:r>
      <w:r w:rsidRPr="00E3232D">
        <w:rPr>
          <w:rFonts w:ascii="Book Antiqua" w:hAnsi="Book Antiqua"/>
        </w:rPr>
        <w:t xml:space="preserve">Median </w:t>
      </w:r>
      <w:r w:rsidR="002F4DEE" w:rsidRPr="00E3232D">
        <w:rPr>
          <w:rFonts w:ascii="Book Antiqua" w:hAnsi="Book Antiqua"/>
        </w:rPr>
        <w:t xml:space="preserve">Filtering; </w:t>
      </w:r>
      <w:r w:rsidRPr="00E3232D">
        <w:rPr>
          <w:rFonts w:ascii="Book Antiqua" w:hAnsi="Book Antiqua"/>
        </w:rPr>
        <w:t xml:space="preserve">Impulse </w:t>
      </w:r>
      <w:r w:rsidR="002F4DEE" w:rsidRPr="00E3232D">
        <w:rPr>
          <w:rFonts w:ascii="Book Antiqua" w:hAnsi="Book Antiqua"/>
        </w:rPr>
        <w:t xml:space="preserve">Noise; </w:t>
      </w:r>
      <w:r w:rsidRPr="00E3232D">
        <w:rPr>
          <w:rFonts w:ascii="Book Antiqua" w:hAnsi="Book Antiqua"/>
        </w:rPr>
        <w:t xml:space="preserve">Frequency </w:t>
      </w:r>
      <w:r w:rsidR="002F4DEE" w:rsidRPr="00E3232D">
        <w:rPr>
          <w:rFonts w:ascii="Book Antiqua" w:hAnsi="Book Antiqua"/>
        </w:rPr>
        <w:t xml:space="preserve">Filtering, </w:t>
      </w:r>
      <w:r w:rsidRPr="00E3232D">
        <w:rPr>
          <w:rFonts w:ascii="Book Antiqua" w:hAnsi="Book Antiqua"/>
        </w:rPr>
        <w:t xml:space="preserve">Multimedia </w:t>
      </w:r>
      <w:r w:rsidR="002F4DEE">
        <w:rPr>
          <w:rFonts w:ascii="Book Antiqua" w:hAnsi="Book Antiqua"/>
        </w:rPr>
        <w:t>Production</w:t>
      </w:r>
    </w:p>
    <w:p w14:paraId="2E6AA73C" w14:textId="77777777" w:rsidR="001B5C40" w:rsidRDefault="001B5C40" w:rsidP="002F4DEE">
      <w:pPr>
        <w:spacing w:after="240"/>
        <w:jc w:val="both"/>
        <w:rPr>
          <w:rFonts w:ascii="Book Antiqua" w:hAnsi="Book Antiqua"/>
          <w:b/>
        </w:rPr>
      </w:pPr>
    </w:p>
    <w:p w14:paraId="4C9E8316" w14:textId="77777777" w:rsidR="00D80800" w:rsidRPr="00E3232D" w:rsidRDefault="00D80800" w:rsidP="002F4DEE">
      <w:pPr>
        <w:spacing w:after="240"/>
        <w:jc w:val="both"/>
        <w:rPr>
          <w:rFonts w:ascii="Book Antiqua" w:hAnsi="Book Antiqua"/>
          <w:b/>
        </w:rPr>
      </w:pPr>
      <w:r w:rsidRPr="00E3232D">
        <w:rPr>
          <w:rFonts w:ascii="Book Antiqua" w:hAnsi="Book Antiqua"/>
          <w:b/>
        </w:rPr>
        <w:t>1.</w:t>
      </w:r>
      <w:r w:rsidR="000F0008">
        <w:rPr>
          <w:rFonts w:ascii="Book Antiqua" w:hAnsi="Book Antiqua"/>
          <w:b/>
        </w:rPr>
        <w:t>0</w:t>
      </w:r>
      <w:r w:rsidRPr="00E3232D">
        <w:rPr>
          <w:rFonts w:ascii="Book Antiqua" w:hAnsi="Book Antiqua"/>
          <w:b/>
        </w:rPr>
        <w:tab/>
      </w:r>
      <w:r w:rsidRPr="000F0008">
        <w:rPr>
          <w:rFonts w:ascii="Book Antiqua" w:hAnsi="Book Antiqua"/>
          <w:b/>
          <w:sz w:val="26"/>
        </w:rPr>
        <w:t>Introduction</w:t>
      </w:r>
    </w:p>
    <w:p w14:paraId="7817B81C" w14:textId="77777777" w:rsidR="00D80800" w:rsidRPr="00E3232D" w:rsidRDefault="00D80800" w:rsidP="002F4DEE">
      <w:pPr>
        <w:jc w:val="both"/>
        <w:rPr>
          <w:rFonts w:ascii="Book Antiqua" w:hAnsi="Book Antiqua"/>
        </w:rPr>
      </w:pPr>
      <w:r w:rsidRPr="00E3232D">
        <w:rPr>
          <w:rFonts w:ascii="Book Antiqua" w:hAnsi="Book Antiqua"/>
        </w:rPr>
        <w:t xml:space="preserve">With the profound theme of </w:t>
      </w:r>
      <w:r w:rsidRPr="00E3232D">
        <w:rPr>
          <w:rFonts w:ascii="Book Antiqua" w:hAnsi="Book Antiqua"/>
          <w:bCs/>
        </w:rPr>
        <w:t xml:space="preserve">Building a Responsive Tertiary Education Sector: Effective Collaboration with Industry for National Development, </w:t>
      </w:r>
      <w:r w:rsidRPr="00E3232D">
        <w:rPr>
          <w:rFonts w:ascii="Book Antiqua" w:hAnsi="Book Antiqua"/>
        </w:rPr>
        <w:t>building effective collaboration between academia, industry and other research institutions cannot be underestimated. The Ghanaian multimedia industry is comparatively disadvantaged with reference to current technological implementations. The productions of this industry can least if not completely meet the international standard since the image processing applications used do not produce quality images (National Media Commission, 2008).</w:t>
      </w:r>
    </w:p>
    <w:p w14:paraId="40FEF133" w14:textId="77777777" w:rsidR="00055B0C" w:rsidRDefault="00055B0C" w:rsidP="002F4DEE">
      <w:pPr>
        <w:jc w:val="both"/>
        <w:rPr>
          <w:rFonts w:ascii="Book Antiqua" w:hAnsi="Book Antiqua"/>
        </w:rPr>
      </w:pPr>
    </w:p>
    <w:p w14:paraId="0F780214" w14:textId="77777777" w:rsidR="001B5C40" w:rsidRDefault="001B5C40" w:rsidP="002F4DEE">
      <w:pPr>
        <w:jc w:val="both"/>
        <w:rPr>
          <w:rFonts w:ascii="Book Antiqua" w:hAnsi="Book Antiqua"/>
        </w:rPr>
      </w:pPr>
    </w:p>
    <w:p w14:paraId="09F476DC" w14:textId="77777777" w:rsidR="00D80800" w:rsidRPr="00E3232D" w:rsidRDefault="00D80800" w:rsidP="002F4DEE">
      <w:pPr>
        <w:jc w:val="both"/>
        <w:rPr>
          <w:rFonts w:ascii="Book Antiqua" w:hAnsi="Book Antiqua"/>
        </w:rPr>
      </w:pPr>
      <w:r w:rsidRPr="00E3232D">
        <w:rPr>
          <w:rFonts w:ascii="Book Antiqua" w:hAnsi="Book Antiqua"/>
        </w:rPr>
        <w:t xml:space="preserve">An image may be defined as a two-dimensional function, </w:t>
      </w:r>
      <w:r w:rsidRPr="00E3232D">
        <w:rPr>
          <w:rFonts w:ascii="Book Antiqua" w:hAnsi="Book Antiqua"/>
          <w:i/>
        </w:rPr>
        <w:t>f</w:t>
      </w:r>
      <w:r w:rsidRPr="00E3232D">
        <w:rPr>
          <w:rFonts w:ascii="Book Antiqua" w:hAnsi="Book Antiqua"/>
        </w:rPr>
        <w:t xml:space="preserve">(x, y), where x and y are spatial (plane) coordinates and the amplitude of </w:t>
      </w:r>
      <w:r w:rsidRPr="00E3232D">
        <w:rPr>
          <w:rFonts w:ascii="Book Antiqua" w:hAnsi="Book Antiqua"/>
          <w:i/>
        </w:rPr>
        <w:t>f</w:t>
      </w:r>
      <w:r w:rsidRPr="00E3232D">
        <w:rPr>
          <w:rFonts w:ascii="Book Antiqua" w:hAnsi="Book Antiqua"/>
        </w:rPr>
        <w:t xml:space="preserve"> at any coordinate (x, y) is called the intensity or gray level of the image at that point. When x, y and the amplitude values are all finite discrete quantities the image is referred to as a digital image.</w:t>
      </w:r>
    </w:p>
    <w:p w14:paraId="0280953E" w14:textId="77777777" w:rsidR="00D80800" w:rsidRPr="00E3232D" w:rsidRDefault="00D80800" w:rsidP="002F4DEE">
      <w:pPr>
        <w:jc w:val="both"/>
        <w:rPr>
          <w:rFonts w:ascii="Book Antiqua" w:hAnsi="Book Antiqua"/>
        </w:rPr>
      </w:pPr>
      <w:r w:rsidRPr="00E3232D">
        <w:rPr>
          <w:rFonts w:ascii="Book Antiqua" w:hAnsi="Book Antiqua"/>
        </w:rPr>
        <w:t>One way to describe an image using numbers is to declare its contents using position and size of geometric forms and shapes like lines, curves, rectangles and circles; such images are called vector images. A vector image is resolution independent, this means that you can enlarge or shrink the image without affecting the output quality. Vector images are the preferred way to represent Fonts, Logos and many illustrations.</w:t>
      </w:r>
    </w:p>
    <w:p w14:paraId="19EA0B4C" w14:textId="77777777" w:rsidR="00D80800" w:rsidRPr="00055B0C" w:rsidRDefault="00D80800" w:rsidP="002F4DEE">
      <w:pPr>
        <w:jc w:val="both"/>
        <w:rPr>
          <w:rFonts w:ascii="Book Antiqua" w:hAnsi="Book Antiqua"/>
          <w:b/>
        </w:rPr>
      </w:pPr>
      <w:r w:rsidRPr="00E3232D">
        <w:rPr>
          <w:rFonts w:ascii="Book Antiqua" w:hAnsi="Book Antiqua"/>
        </w:rPr>
        <w:t>Bitmap or raster images are “digital photographs”, they are the most common form to represent natural images and other forms of graphics that are rich in detail. Bitmap images depict how graphics is stored in the video memory of a computer.</w:t>
      </w:r>
    </w:p>
    <w:p w14:paraId="42C016B0" w14:textId="77777777" w:rsidR="00D80800" w:rsidRPr="00E3232D" w:rsidRDefault="00D80800" w:rsidP="002F4DEE">
      <w:pPr>
        <w:jc w:val="both"/>
        <w:rPr>
          <w:rFonts w:ascii="Book Antiqua" w:hAnsi="Book Antiqua"/>
        </w:rPr>
      </w:pPr>
      <w:r w:rsidRPr="00E3232D">
        <w:rPr>
          <w:rFonts w:ascii="Book Antiqua" w:hAnsi="Book Antiqua"/>
        </w:rPr>
        <w:t>Ghanaian movies have not gained much popularity because they do not meet the world’s standard due to lack of applications of advanced technologies that goes into movie production. The images produced in these movies are with noise which distorts the natural presentation of the movie production.</w:t>
      </w:r>
    </w:p>
    <w:p w14:paraId="5E3331A2" w14:textId="77777777" w:rsidR="00D80800" w:rsidRPr="00E3232D" w:rsidRDefault="00D80800" w:rsidP="002F4DEE">
      <w:pPr>
        <w:jc w:val="both"/>
        <w:rPr>
          <w:rFonts w:ascii="Book Antiqua" w:hAnsi="Book Antiqua"/>
        </w:rPr>
      </w:pPr>
      <w:r w:rsidRPr="00E3232D">
        <w:rPr>
          <w:rFonts w:ascii="Book Antiqua" w:hAnsi="Book Antiqua"/>
          <w:bCs/>
        </w:rPr>
        <w:t>Image noise</w:t>
      </w:r>
      <w:r w:rsidRPr="00E3232D">
        <w:rPr>
          <w:rFonts w:ascii="Book Antiqua" w:hAnsi="Book Antiqua"/>
        </w:rPr>
        <w:t xml:space="preserve"> is random (not present in the object imaged) variation of brightness or color information in images, and is usually an aspect of electronic noise. It can be produced by the sensor and circuitry of a scanner or digital camera. Image noise can also originate in film grain and in the unavoidable shot noise of an ideal photon detector. Image noise is an undesirable by-product of image capture that adds spurious and extraneous information. (Stroebel and Zakia, 1995). </w:t>
      </w:r>
    </w:p>
    <w:p w14:paraId="6D03E991" w14:textId="77777777" w:rsidR="00D80800" w:rsidRPr="00E3232D" w:rsidRDefault="00D80800" w:rsidP="002F4DEE">
      <w:pPr>
        <w:spacing w:after="240"/>
        <w:jc w:val="both"/>
        <w:rPr>
          <w:rFonts w:ascii="Book Antiqua" w:hAnsi="Book Antiqua"/>
        </w:rPr>
      </w:pPr>
      <w:r w:rsidRPr="00E3232D">
        <w:rPr>
          <w:rFonts w:ascii="Book Antiqua" w:hAnsi="Book Antiqua"/>
          <w:b/>
        </w:rPr>
        <w:t>1.1</w:t>
      </w:r>
      <w:r w:rsidRPr="00E3232D">
        <w:rPr>
          <w:rFonts w:ascii="Book Antiqua" w:hAnsi="Book Antiqua"/>
          <w:b/>
        </w:rPr>
        <w:tab/>
        <w:t>Literature Review</w:t>
      </w:r>
    </w:p>
    <w:p w14:paraId="4A245816" w14:textId="77777777" w:rsidR="00D80800" w:rsidRPr="00E3232D" w:rsidRDefault="00D80800" w:rsidP="002F4DEE">
      <w:pPr>
        <w:jc w:val="both"/>
        <w:rPr>
          <w:rFonts w:ascii="Book Antiqua" w:hAnsi="Book Antiqua"/>
        </w:rPr>
      </w:pPr>
      <w:r w:rsidRPr="00E3232D">
        <w:rPr>
          <w:rFonts w:ascii="Book Antiqua" w:hAnsi="Book Antiqua"/>
        </w:rPr>
        <w:t>Digital images are frequently affected by impulse noise during their acquisition or transmission in a noisy environment (Gonzalez &amp; Woods, 2002). Therefore, to efficiently remove noise from an image while preserving its features is a fundamental problem of image processing (Akkoul et. al). The impulse noise can be classified either as salt-and-pepper with noisy pixels taking either maximum or minimum value, or as random valued impulse noise. The removal of fixed-valued impulse noise has been widely studied and a large number of algorithms have been proposed (Irphan et. al). The median filter is the most popular choice for removing the impulse noise from images because of its effectiveness and high computational efficiency. However, when the median filtering is carried out for every pixel across the image, it modifies both noisy as well as noise-free pixels. Consequently, some desirable details are also removed from the images. In order to overcome this drawback of median filter, many filtering algorithms with an impulse detector have been proposed, such as tri-state median (TSM) filter (Bovik, 2000), the pixel-wise MAD (PWMAD) filter (Brownrigg, 1984), and center weighted median (CWM) filter (Ko &amp; Lee, 1991), frequency fi</w:t>
      </w:r>
      <w:r w:rsidR="007C3041">
        <w:rPr>
          <w:rFonts w:ascii="Book Antiqua" w:hAnsi="Book Antiqua"/>
        </w:rPr>
        <w:t xml:space="preserve">lter (Gonzalez &amp; Woods (1992), </w:t>
      </w:r>
      <w:r w:rsidRPr="00E3232D">
        <w:rPr>
          <w:rFonts w:ascii="Book Antiqua" w:hAnsi="Book Antiqua"/>
        </w:rPr>
        <w:t>etc.</w:t>
      </w:r>
    </w:p>
    <w:p w14:paraId="6F5419EF" w14:textId="77777777" w:rsidR="00D80800" w:rsidRPr="00E3232D" w:rsidRDefault="00540710" w:rsidP="002F4DEE">
      <w:pPr>
        <w:spacing w:after="240"/>
        <w:jc w:val="both"/>
        <w:rPr>
          <w:rFonts w:ascii="Book Antiqua" w:hAnsi="Book Antiqua"/>
        </w:rPr>
      </w:pPr>
      <w:r>
        <w:rPr>
          <w:rFonts w:ascii="Book Antiqua" w:hAnsi="Book Antiqua"/>
          <w:b/>
        </w:rPr>
        <w:t>1.</w:t>
      </w:r>
      <w:r w:rsidR="00D80800" w:rsidRPr="00E3232D">
        <w:rPr>
          <w:rFonts w:ascii="Book Antiqua" w:hAnsi="Book Antiqua"/>
          <w:b/>
        </w:rPr>
        <w:t>2</w:t>
      </w:r>
      <w:r w:rsidR="00D80800" w:rsidRPr="00E3232D">
        <w:rPr>
          <w:rFonts w:ascii="Book Antiqua" w:hAnsi="Book Antiqua"/>
          <w:b/>
        </w:rPr>
        <w:tab/>
        <w:t>Image Representation</w:t>
      </w:r>
    </w:p>
    <w:p w14:paraId="0873CCC8" w14:textId="77777777" w:rsidR="00D80800" w:rsidRPr="00E3232D" w:rsidRDefault="00D80800" w:rsidP="002F4DEE">
      <w:pPr>
        <w:jc w:val="both"/>
        <w:rPr>
          <w:rFonts w:ascii="Book Antiqua" w:hAnsi="Book Antiqua"/>
        </w:rPr>
      </w:pPr>
      <w:r w:rsidRPr="00E3232D">
        <w:rPr>
          <w:rFonts w:ascii="Book Antiqua" w:hAnsi="Book Antiqua"/>
        </w:rPr>
        <w:t xml:space="preserve">We need a coordinate system to describe an image, the coordinate system used to place elements in relation to each other is called </w:t>
      </w:r>
      <w:r w:rsidRPr="00E3232D">
        <w:rPr>
          <w:rFonts w:ascii="Book Antiqua" w:hAnsi="Book Antiqua"/>
          <w:i/>
          <w:iCs/>
        </w:rPr>
        <w:t>user space</w:t>
      </w:r>
      <w:r w:rsidRPr="00E3232D">
        <w:rPr>
          <w:rFonts w:ascii="Book Antiqua" w:hAnsi="Book Antiqua"/>
        </w:rPr>
        <w:t>, since this is the coordinates the user uses to define elements and position them in relation to each other.</w:t>
      </w:r>
    </w:p>
    <w:p w14:paraId="5D83B7F2" w14:textId="77777777" w:rsidR="00D80800" w:rsidRPr="00E3232D" w:rsidRDefault="007005B1" w:rsidP="002F4DEE">
      <w:pPr>
        <w:jc w:val="both"/>
        <w:rPr>
          <w:rFonts w:ascii="Book Antiqua" w:hAnsi="Book Antiqua"/>
        </w:rPr>
      </w:pPr>
      <w:r>
        <w:rPr>
          <w:rFonts w:ascii="Book Antiqua" w:hAnsi="Book Antiqua"/>
          <w:noProof/>
          <w:lang w:bidi="ar-SA"/>
        </w:rPr>
        <w:drawing>
          <wp:inline distT="0" distB="0" distL="0" distR="0" wp14:anchorId="09683074" wp14:editId="7D1795CC">
            <wp:extent cx="1581150" cy="1362075"/>
            <wp:effectExtent l="19050" t="0" r="0" b="0"/>
            <wp:docPr id="202" name="Picture 1" descr="Description: Coordinat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oordinate system."/>
                    <pic:cNvPicPr>
                      <a:picLocks noChangeAspect="1" noChangeArrowheads="1"/>
                    </pic:cNvPicPr>
                  </pic:nvPicPr>
                  <pic:blipFill>
                    <a:blip r:embed="rId306"/>
                    <a:srcRect t="3426" b="9589"/>
                    <a:stretch>
                      <a:fillRect/>
                    </a:stretch>
                  </pic:blipFill>
                  <pic:spPr bwMode="auto">
                    <a:xfrm>
                      <a:off x="0" y="0"/>
                      <a:ext cx="1581150" cy="1362075"/>
                    </a:xfrm>
                    <a:prstGeom prst="rect">
                      <a:avLst/>
                    </a:prstGeom>
                    <a:noFill/>
                    <a:ln w="9525">
                      <a:noFill/>
                      <a:miter lim="800000"/>
                      <a:headEnd/>
                      <a:tailEnd/>
                    </a:ln>
                  </pic:spPr>
                </pic:pic>
              </a:graphicData>
            </a:graphic>
          </wp:inline>
        </w:drawing>
      </w:r>
    </w:p>
    <w:p w14:paraId="2134ADF6" w14:textId="77777777" w:rsidR="00D80800" w:rsidRPr="00E3232D" w:rsidRDefault="00D80800" w:rsidP="002F4DEE">
      <w:pPr>
        <w:jc w:val="both"/>
        <w:rPr>
          <w:rFonts w:ascii="Book Antiqua" w:hAnsi="Book Antiqua"/>
        </w:rPr>
      </w:pPr>
      <w:r w:rsidRPr="00E3232D">
        <w:rPr>
          <w:rFonts w:ascii="Book Antiqua" w:hAnsi="Book Antiqua"/>
        </w:rPr>
        <w:t>Figure 1(a):</w:t>
      </w:r>
      <w:r w:rsidRPr="00E3232D">
        <w:rPr>
          <w:rFonts w:ascii="Book Antiqua" w:hAnsi="Book Antiqua"/>
        </w:rPr>
        <w:tab/>
        <w:t>Image coordinate system</w:t>
      </w:r>
    </w:p>
    <w:p w14:paraId="7D02712F" w14:textId="77777777" w:rsidR="00D80800" w:rsidRPr="00E3232D" w:rsidRDefault="00D80800" w:rsidP="002F4DEE">
      <w:pPr>
        <w:jc w:val="both"/>
        <w:rPr>
          <w:rFonts w:ascii="Book Antiqua" w:hAnsi="Book Antiqua"/>
        </w:rPr>
      </w:pPr>
      <w:r w:rsidRPr="00E3232D">
        <w:rPr>
          <w:rFonts w:ascii="Book Antiqua" w:hAnsi="Book Antiqua"/>
        </w:rPr>
        <w:t>The coordinate system used for the figure 1(a) above is an example which has the origin in the upper left, with the x axis extending to the right and y axis extending downwards.</w:t>
      </w:r>
    </w:p>
    <w:p w14:paraId="61BD0877" w14:textId="77777777" w:rsidR="00D80800" w:rsidRPr="00E3232D" w:rsidRDefault="00D80800" w:rsidP="002F4DEE">
      <w:pPr>
        <w:jc w:val="both"/>
        <w:rPr>
          <w:rFonts w:ascii="Book Antiqua" w:hAnsi="Book Antiqua"/>
        </w:rPr>
      </w:pPr>
      <w:r w:rsidRPr="00E3232D">
        <w:rPr>
          <w:rFonts w:ascii="Book Antiqua" w:hAnsi="Book Antiqua"/>
        </w:rPr>
        <w:t>Image Representation (In matrix form)</w:t>
      </w:r>
    </w:p>
    <w:p w14:paraId="2BFAA8C1" w14:textId="77777777" w:rsidR="00D80800" w:rsidRPr="00E3232D" w:rsidRDefault="00850DC5" w:rsidP="002F4DEE">
      <w:pPr>
        <w:jc w:val="both"/>
        <w:rPr>
          <w:rFonts w:ascii="Book Antiqua" w:hAnsi="Book Antiqua"/>
        </w:rPr>
      </w:pPr>
      <w:r>
        <w:rPr>
          <w:rFonts w:ascii="Book Antiqua" w:hAnsi="Book Antiqua"/>
          <w:noProof/>
        </w:rPr>
        <w:pict w14:anchorId="0CDAB424">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301" type="#_x0000_t88" style="position:absolute;left:0;text-align:left;margin-left:232.8pt;margin-top:1.85pt;width:7.15pt;height:58.4pt;z-index:251467264"/>
        </w:pict>
      </w:r>
      <w:r>
        <w:rPr>
          <w:rFonts w:ascii="Book Antiqua" w:hAnsi="Book Antiqua"/>
          <w:noProof/>
        </w:rPr>
        <w:pict w14:anchorId="3D3D7476">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300" type="#_x0000_t87" style="position:absolute;left:0;text-align:left;margin-left:42.6pt;margin-top:2.7pt;width:7.15pt;height:58.4pt;z-index:251468288"/>
        </w:pict>
      </w:r>
      <w:r w:rsidR="00D80800" w:rsidRPr="00E3232D">
        <w:rPr>
          <w:rFonts w:ascii="Book Antiqua" w:hAnsi="Book Antiqua"/>
        </w:rPr>
        <w:t xml:space="preserve">                   f(0,0)      f(0,1)   …..     f(0, n-1)</w:t>
      </w:r>
    </w:p>
    <w:p w14:paraId="4A28C0B1" w14:textId="77777777" w:rsidR="00D80800" w:rsidRPr="00E3232D" w:rsidRDefault="00D80800" w:rsidP="002F4DEE">
      <w:pPr>
        <w:ind w:left="-180"/>
        <w:jc w:val="both"/>
        <w:rPr>
          <w:rFonts w:ascii="Book Antiqua" w:hAnsi="Book Antiqua"/>
        </w:rPr>
      </w:pPr>
      <w:r w:rsidRPr="00E3232D">
        <w:rPr>
          <w:rFonts w:ascii="Book Antiqua" w:hAnsi="Book Antiqua"/>
        </w:rPr>
        <w:t xml:space="preserve">   F(x,y) =      f(1,0)      f(1,1)    ……   f(1, n-1)</w:t>
      </w:r>
    </w:p>
    <w:p w14:paraId="18751235" w14:textId="77777777" w:rsidR="00D80800" w:rsidRPr="00E3232D" w:rsidRDefault="00D80800" w:rsidP="002F4DEE">
      <w:pPr>
        <w:jc w:val="both"/>
        <w:rPr>
          <w:rFonts w:ascii="Book Antiqua" w:hAnsi="Book Antiqua"/>
        </w:rPr>
      </w:pPr>
      <w:r w:rsidRPr="00E3232D">
        <w:rPr>
          <w:rFonts w:ascii="Book Antiqua" w:hAnsi="Book Antiqua"/>
        </w:rPr>
        <w:t xml:space="preserve">                         …….</w:t>
      </w:r>
    </w:p>
    <w:p w14:paraId="5E482ECE" w14:textId="77777777" w:rsidR="00D80800" w:rsidRPr="00E3232D" w:rsidRDefault="00D80800" w:rsidP="002F4DEE">
      <w:pPr>
        <w:jc w:val="both"/>
        <w:rPr>
          <w:rFonts w:ascii="Book Antiqua" w:hAnsi="Book Antiqua"/>
        </w:rPr>
      </w:pPr>
      <w:r w:rsidRPr="00E3232D">
        <w:rPr>
          <w:rFonts w:ascii="Book Antiqua" w:hAnsi="Book Antiqua"/>
        </w:rPr>
        <w:t xml:space="preserve">                   f(m-1,0)  f(m-1,1) .. f(m-1,n-1)</w:t>
      </w:r>
    </w:p>
    <w:p w14:paraId="12386D7B" w14:textId="77777777" w:rsidR="00D80800" w:rsidRPr="00E3232D" w:rsidRDefault="00540710" w:rsidP="002F4DEE">
      <w:pPr>
        <w:spacing w:after="240"/>
        <w:jc w:val="both"/>
        <w:rPr>
          <w:rFonts w:ascii="Book Antiqua" w:hAnsi="Book Antiqua"/>
          <w:b/>
        </w:rPr>
      </w:pPr>
      <w:r>
        <w:rPr>
          <w:rFonts w:ascii="Book Antiqua" w:hAnsi="Book Antiqua"/>
          <w:b/>
        </w:rPr>
        <w:t>1.</w:t>
      </w:r>
      <w:r w:rsidR="00D80800" w:rsidRPr="00E3232D">
        <w:rPr>
          <w:rFonts w:ascii="Book Antiqua" w:hAnsi="Book Antiqua"/>
          <w:b/>
        </w:rPr>
        <w:t>3</w:t>
      </w:r>
      <w:r w:rsidR="00D80800" w:rsidRPr="00E3232D">
        <w:rPr>
          <w:rFonts w:ascii="Book Antiqua" w:hAnsi="Book Antiqua"/>
          <w:b/>
        </w:rPr>
        <w:tab/>
        <w:t>Image Processing</w:t>
      </w:r>
    </w:p>
    <w:p w14:paraId="19CCB697" w14:textId="77777777" w:rsidR="00055B0C" w:rsidRDefault="00D80800" w:rsidP="002F4DEE">
      <w:pPr>
        <w:jc w:val="both"/>
        <w:rPr>
          <w:rFonts w:ascii="Book Antiqua" w:hAnsi="Book Antiqua"/>
        </w:rPr>
      </w:pPr>
      <w:r w:rsidRPr="00E3232D">
        <w:rPr>
          <w:rFonts w:ascii="Book Antiqua" w:hAnsi="Book Antiqua"/>
        </w:rPr>
        <w:t>Image processing is a broad term describing most operations that you can apply to image data which may be in the form of a 2D, 3D or 4D waves. Image processing may sometimes provide the appropriate analysis tools even if the data have nothing to do with imaging.</w:t>
      </w:r>
    </w:p>
    <w:p w14:paraId="5D858D74" w14:textId="77777777" w:rsidR="00055B0C" w:rsidRDefault="00D80800" w:rsidP="002F4DEE">
      <w:pPr>
        <w:jc w:val="both"/>
        <w:rPr>
          <w:rFonts w:ascii="Book Antiqua" w:hAnsi="Book Antiqua"/>
        </w:rPr>
      </w:pPr>
      <w:r w:rsidRPr="00E3232D">
        <w:rPr>
          <w:rFonts w:ascii="Book Antiqua" w:hAnsi="Book Antiqua"/>
        </w:rPr>
        <w:t>In many applications it is necessary to detect edges or boundaries of objects that appear in images. The edge detection consists of creating a binary image from a grayscale image where the pixels in the binary image are turned off or on depending on whether they belong to region boundaries or not. In other words, the detected edges are described by an image, not a vector (1D wave). (A. C. Bovik, 2005).</w:t>
      </w:r>
    </w:p>
    <w:p w14:paraId="679089BC" w14:textId="77777777" w:rsidR="00D80800" w:rsidRPr="00E3232D" w:rsidRDefault="00D80800" w:rsidP="002F4DEE">
      <w:pPr>
        <w:jc w:val="both"/>
        <w:rPr>
          <w:rFonts w:ascii="Book Antiqua" w:hAnsi="Book Antiqua"/>
        </w:rPr>
      </w:pPr>
      <w:r w:rsidRPr="00E3232D">
        <w:rPr>
          <w:rFonts w:ascii="Book Antiqua" w:hAnsi="Book Antiqua"/>
        </w:rPr>
        <w:t>Image processing commences when an image is captured and refinement began to enrich the clarity of it. We therefore, discuss some significant tools and principles required for image processing.</w:t>
      </w:r>
    </w:p>
    <w:p w14:paraId="2F00CF09" w14:textId="77777777" w:rsidR="00D80800" w:rsidRPr="00E3232D" w:rsidRDefault="00540710" w:rsidP="002F4DEE">
      <w:pPr>
        <w:pStyle w:val="Heading2"/>
        <w:jc w:val="both"/>
        <w:rPr>
          <w:rFonts w:ascii="Book Antiqua" w:hAnsi="Book Antiqua"/>
          <w:sz w:val="22"/>
          <w:szCs w:val="22"/>
        </w:rPr>
      </w:pPr>
      <w:r>
        <w:rPr>
          <w:rFonts w:ascii="Book Antiqua" w:hAnsi="Book Antiqua"/>
          <w:sz w:val="22"/>
          <w:szCs w:val="22"/>
        </w:rPr>
        <w:t>1.4</w:t>
      </w:r>
      <w:r w:rsidR="00D80800" w:rsidRPr="00E3232D">
        <w:rPr>
          <w:rFonts w:ascii="Book Antiqua" w:hAnsi="Book Antiqua"/>
          <w:sz w:val="22"/>
          <w:szCs w:val="22"/>
        </w:rPr>
        <w:tab/>
        <w:t>Cameras</w:t>
      </w:r>
    </w:p>
    <w:p w14:paraId="4D1348A9"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b/>
          <w:sz w:val="22"/>
          <w:szCs w:val="22"/>
        </w:rPr>
        <w:t>The 35-millimeter movie camera</w:t>
      </w:r>
      <w:r w:rsidRPr="00E3232D">
        <w:rPr>
          <w:rFonts w:ascii="Book Antiqua" w:hAnsi="Book Antiqua"/>
          <w:sz w:val="22"/>
          <w:szCs w:val="22"/>
        </w:rPr>
        <w:t xml:space="preserve"> is most commonly used within the motion picture industry, especially before 1990. This camera provides production crews with more flexibility. The camera records footage onto 35-millimeter film, which can be completed at different speeds, or frames-per-second (FPS). The lower the level of FPS, the more the movie will appear clearer and fluid. The average FPS in a motion movie picture is approximately 18 FPS.</w:t>
      </w:r>
    </w:p>
    <w:p w14:paraId="77D764AA"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The advantage of a 35-millimeter movie camera is that production crews can change the FPS, depending on the scene they are shooting. If they require an out of focus shot, they can increase the FPS, or decrease if more fluidity is needed. (Demand Media, Inc., Retrieved: Feb. 2013)</w:t>
      </w:r>
    </w:p>
    <w:p w14:paraId="1D3DD5D4" w14:textId="77777777" w:rsidR="00055B0C" w:rsidRDefault="00055B0C" w:rsidP="002F4DEE">
      <w:pPr>
        <w:pStyle w:val="NormalWeb"/>
        <w:spacing w:before="0" w:beforeAutospacing="0" w:after="0" w:afterAutospacing="0" w:line="276" w:lineRule="auto"/>
        <w:jc w:val="both"/>
        <w:rPr>
          <w:rFonts w:ascii="Book Antiqua" w:hAnsi="Book Antiqua"/>
          <w:b/>
          <w:sz w:val="22"/>
          <w:szCs w:val="22"/>
        </w:rPr>
      </w:pPr>
    </w:p>
    <w:p w14:paraId="6840FA75"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b/>
          <w:sz w:val="22"/>
          <w:szCs w:val="22"/>
        </w:rPr>
        <w:t>Digital movie cameras</w:t>
      </w:r>
      <w:r w:rsidRPr="00E3232D">
        <w:rPr>
          <w:rFonts w:ascii="Book Antiqua" w:hAnsi="Book Antiqua"/>
          <w:sz w:val="22"/>
          <w:szCs w:val="22"/>
        </w:rPr>
        <w:t xml:space="preserve"> are used for digital cinematography and are popular for projects such as independent movies, low-budget productions and special effects. Digital movie cameras can be cheaper to operate and capture a higher level of optical resolution and dynamic range imagery.</w:t>
      </w:r>
    </w:p>
    <w:p w14:paraId="1FD54F8B"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The 2009 movie Slumdog Millionaire was filmed mainly in digital format. Optical resolution allowed the production crew to capture a scene or image in greater detail and easily add special effects. Along with an increase in image detail is a higher ratio of sound and light. This ensures that the material captured on the camera does not have to be transferred through a film projector and can be saved directly onto a hard-drive, tape of flash memory system. (Demand Media, Inc. Retrieved: Feb. 2013)</w:t>
      </w:r>
    </w:p>
    <w:p w14:paraId="555956B2"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There are many different </w:t>
      </w:r>
      <w:r w:rsidRPr="00E3232D">
        <w:rPr>
          <w:rFonts w:ascii="Book Antiqua" w:hAnsi="Book Antiqua"/>
          <w:b/>
          <w:sz w:val="22"/>
          <w:szCs w:val="22"/>
        </w:rPr>
        <w:t>accessories for cameras</w:t>
      </w:r>
      <w:r w:rsidRPr="00E3232D">
        <w:rPr>
          <w:rFonts w:ascii="Book Antiqua" w:hAnsi="Book Antiqua"/>
          <w:sz w:val="22"/>
          <w:szCs w:val="22"/>
        </w:rPr>
        <w:t xml:space="preserve"> used in the motion picture industry. Directors and production assistants are able to select different accessories that can help enhance certain scenes, depending on the lighting and special effects needed. Lens, shutter speed and film play major roles in determining the best shot for a scene.</w:t>
      </w:r>
    </w:p>
    <w:p w14:paraId="5F5FC447" w14:textId="77777777" w:rsidR="00055B0C" w:rsidRDefault="00055B0C" w:rsidP="002F4DEE">
      <w:pPr>
        <w:pStyle w:val="NormalWeb"/>
        <w:spacing w:before="0" w:beforeAutospacing="0" w:after="0" w:afterAutospacing="0" w:line="276" w:lineRule="auto"/>
        <w:jc w:val="both"/>
        <w:rPr>
          <w:rFonts w:ascii="Book Antiqua" w:hAnsi="Book Antiqua"/>
          <w:sz w:val="22"/>
          <w:szCs w:val="22"/>
        </w:rPr>
      </w:pPr>
    </w:p>
    <w:p w14:paraId="77F9BAEC"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The right lens is crucial for the success of a film, as it will determine how clear the footage will be. For example, if a director is working on a scene that requires filming from a greater distance, power lenses must be used. Shutter speed must also be taken into account when filming a motion picture, as fast acting scenes require production crewmembers to utilize a shutter capable of high speeds to keep up with the action. (Demand Media, Inc., Retrieved: Feb. 2013)</w:t>
      </w:r>
    </w:p>
    <w:p w14:paraId="4284D57D" w14:textId="77777777" w:rsidR="00D80800" w:rsidRPr="00E3232D" w:rsidRDefault="00D80800" w:rsidP="002F4DEE">
      <w:pPr>
        <w:pStyle w:val="NormalWeb"/>
        <w:spacing w:before="0" w:beforeAutospacing="0" w:after="240" w:afterAutospacing="0" w:line="276" w:lineRule="auto"/>
        <w:jc w:val="both"/>
        <w:rPr>
          <w:rFonts w:ascii="Book Antiqua" w:hAnsi="Book Antiqua"/>
          <w:sz w:val="22"/>
          <w:szCs w:val="22"/>
        </w:rPr>
      </w:pPr>
      <w:r w:rsidRPr="00E3232D">
        <w:rPr>
          <w:rFonts w:ascii="Book Antiqua" w:hAnsi="Book Antiqua"/>
          <w:sz w:val="22"/>
          <w:szCs w:val="22"/>
        </w:rPr>
        <w:t>Prior to the 1990s, the 35-millimeter movie camera was the industry's standard. Today, digital cameras are becoming more popular within the industry. Weighing the pros and cons of different movie camera equipment is essential for the success of a film. For example, digital cameras require correct lighting in order to be consistent in footage quality. But the 35-millimeter cameras can manipulate the frames-per-second and be transferred to high-definition recordings. (Demand Media, Inc., Retrieved: Feb. 2013)</w:t>
      </w:r>
    </w:p>
    <w:p w14:paraId="7CFEE9A8" w14:textId="77777777" w:rsidR="00D80800" w:rsidRPr="00540710" w:rsidRDefault="00540710" w:rsidP="00540710">
      <w:pPr>
        <w:shd w:val="clear" w:color="auto" w:fill="FFFFFF"/>
        <w:ind w:left="360"/>
        <w:jc w:val="both"/>
        <w:rPr>
          <w:rFonts w:ascii="Book Antiqua" w:hAnsi="Book Antiqua"/>
          <w:b/>
          <w:color w:val="000000"/>
        </w:rPr>
      </w:pPr>
      <w:r>
        <w:rPr>
          <w:rFonts w:ascii="Book Antiqua" w:hAnsi="Book Antiqua"/>
          <w:b/>
          <w:color w:val="000000"/>
        </w:rPr>
        <w:t>1.5</w:t>
      </w:r>
      <w:r w:rsidR="00D80800" w:rsidRPr="00540710">
        <w:rPr>
          <w:rFonts w:ascii="Book Antiqua" w:hAnsi="Book Antiqua"/>
          <w:b/>
          <w:color w:val="000000"/>
        </w:rPr>
        <w:t xml:space="preserve">   Lights</w:t>
      </w:r>
    </w:p>
    <w:p w14:paraId="5A56DCA6" w14:textId="77777777" w:rsidR="0012151E" w:rsidRPr="002F4DEE" w:rsidRDefault="00D80800" w:rsidP="002F4DEE">
      <w:pPr>
        <w:shd w:val="clear" w:color="auto" w:fill="FFFFFF"/>
        <w:jc w:val="both"/>
        <w:rPr>
          <w:rFonts w:ascii="Book Antiqua" w:hAnsi="Book Antiqua"/>
        </w:rPr>
      </w:pPr>
      <w:r w:rsidRPr="00E3232D">
        <w:rPr>
          <w:rFonts w:ascii="Book Antiqua" w:hAnsi="Book Antiqua"/>
          <w:color w:val="000000"/>
        </w:rPr>
        <w:t>Lights can be categorized into two main groups: fixture types and globe types. The fixture is the housing, the lens (if the fixture has one) the various controls that the light may have, mounting hardware, etc. The globe is the actual light bulb. Popular fixture types are Fresnels, and Open face Pars. There are of course many subcategories of these lights and a few other unique specialty types of lights.  The four most used globes are Tungsten, HMI, Florescent, and Carbon Arc. Carbon Arc, is not really a globe at all but an open electrical spark that emits a great deal of light and is used only on the largest movie productions. Tungsten are the most widely used and come in a wide range of sizes. HMI are an arc light like the carbon arc but the HMI arc occurs in a sealed glass envelope (a globe).  These lights are widely used in professional movie productions because they somewhat mimic the light of the sun. Florescent lights used for movie production are similar to Florescent lights used in offices or homes but are specially made to work with motion picture cameras. Popular professional brands of lights and lighting equipment are Mole Richardson, Bardwell &amp; McAlister, Matthew's, LuxArc, Arri, Lowell, Colortran, and Kinoflo. (o</w:t>
      </w:r>
      <w:r w:rsidRPr="00E3232D">
        <w:rPr>
          <w:rFonts w:ascii="Book Antiqua" w:hAnsi="Book Antiqua"/>
        </w:rPr>
        <w:t>wyheesound, 2009).</w:t>
      </w:r>
    </w:p>
    <w:p w14:paraId="515BA7A4" w14:textId="77777777" w:rsidR="00D80800" w:rsidRPr="00E3232D" w:rsidRDefault="00540710" w:rsidP="002F4DEE">
      <w:pPr>
        <w:pStyle w:val="NormalWeb"/>
        <w:spacing w:line="276" w:lineRule="auto"/>
        <w:jc w:val="both"/>
        <w:rPr>
          <w:rFonts w:ascii="Book Antiqua" w:hAnsi="Book Antiqua"/>
          <w:b/>
          <w:sz w:val="22"/>
          <w:szCs w:val="22"/>
        </w:rPr>
      </w:pPr>
      <w:r>
        <w:rPr>
          <w:rFonts w:ascii="Book Antiqua" w:hAnsi="Book Antiqua"/>
          <w:b/>
          <w:sz w:val="22"/>
          <w:szCs w:val="22"/>
        </w:rPr>
        <w:t>1.6</w:t>
      </w:r>
      <w:r w:rsidR="00D80800" w:rsidRPr="00E3232D">
        <w:rPr>
          <w:rFonts w:ascii="Book Antiqua" w:hAnsi="Book Antiqua"/>
          <w:b/>
          <w:sz w:val="22"/>
          <w:szCs w:val="22"/>
        </w:rPr>
        <w:tab/>
        <w:t>Sound Recorders</w:t>
      </w:r>
    </w:p>
    <w:p w14:paraId="443B2887" w14:textId="77777777" w:rsidR="0012151E"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To record sound for a movie a recorder, microphone, headphones, microphone boom, and all the connecting cables are required. Recorders used for movie production are different than the type used in music studios. They are required to either run at a precisely controlled speed or are required to record a synchronous signal from the camera. The microphones used generally have a very directional pickup pattern.  This is to reduce other noises that are common on sets or filming locations. Most of the rest of the equipment used for movie production is similar to that used in a studio</w:t>
      </w:r>
      <w:r w:rsidR="002F4DEE">
        <w:rPr>
          <w:rFonts w:ascii="Book Antiqua" w:hAnsi="Book Antiqua"/>
          <w:sz w:val="22"/>
          <w:szCs w:val="22"/>
        </w:rPr>
        <w:t>.</w:t>
      </w:r>
    </w:p>
    <w:p w14:paraId="2C8E96BD" w14:textId="77777777" w:rsidR="002F4DEE" w:rsidRDefault="002F4DEE" w:rsidP="002F4DEE">
      <w:pPr>
        <w:pStyle w:val="NormalWeb"/>
        <w:spacing w:before="0" w:beforeAutospacing="0" w:after="0" w:afterAutospacing="0" w:line="276" w:lineRule="auto"/>
        <w:jc w:val="both"/>
        <w:rPr>
          <w:rFonts w:ascii="Book Antiqua" w:hAnsi="Book Antiqua"/>
          <w:sz w:val="22"/>
          <w:szCs w:val="22"/>
        </w:rPr>
      </w:pPr>
    </w:p>
    <w:p w14:paraId="7539A660" w14:textId="77777777" w:rsidR="00D80800" w:rsidRPr="00E3232D" w:rsidRDefault="00D80800" w:rsidP="002F4DEE">
      <w:pPr>
        <w:pStyle w:val="NormalWeb"/>
        <w:spacing w:before="0" w:beforeAutospacing="0" w:line="276" w:lineRule="auto"/>
        <w:jc w:val="both"/>
        <w:rPr>
          <w:rFonts w:ascii="Book Antiqua" w:hAnsi="Book Antiqua"/>
          <w:sz w:val="22"/>
          <w:szCs w:val="22"/>
        </w:rPr>
      </w:pPr>
      <w:r w:rsidRPr="00E3232D">
        <w:rPr>
          <w:rFonts w:ascii="Book Antiqua" w:hAnsi="Book Antiqua"/>
          <w:sz w:val="22"/>
          <w:szCs w:val="22"/>
        </w:rPr>
        <w:t>"Speech intelligibility" is the term used to describe how understandable the words are in a recording. As it happens the human perception of hearing is very sensitive to the frequency range between 1kHz and 3kHz or may be slightly higher. This is also the frequency range that many of the sounds made by the human mouth are centered around. These are not the sounds of the vocal chords but the sounds made by the lips, tongue and teeth. The "coloration" that mics can have can be in this frequency range. Microphones that have a 3 or 4db boost in this frequency range are very desirable for voice reproduction and are very useful for dialogue.  If a microphone does not have this colored frequency response it can be created by selecting these frequency range on a mixers and increasing the gain by a few db. Very elaborate methods can also be employed like splitting a dialogue track into and routing one of those tracks to a band pass filter set to pass the speech intelligibility spectrum and then compress that signal and mix it back with the original signal.  This effect does not increase the overall volume but does increase the "intellegibility" of the signal. (owyheesound, 2009).</w:t>
      </w:r>
    </w:p>
    <w:p w14:paraId="3FB0A949" w14:textId="77777777" w:rsidR="00D80800" w:rsidRPr="00E3232D" w:rsidRDefault="00540710" w:rsidP="002F4DEE">
      <w:pPr>
        <w:pStyle w:val="NormalWeb"/>
        <w:spacing w:line="276" w:lineRule="auto"/>
        <w:jc w:val="both"/>
        <w:rPr>
          <w:rFonts w:ascii="Book Antiqua" w:hAnsi="Book Antiqua"/>
          <w:b/>
          <w:sz w:val="22"/>
          <w:szCs w:val="22"/>
        </w:rPr>
      </w:pPr>
      <w:r>
        <w:rPr>
          <w:rFonts w:ascii="Book Antiqua" w:hAnsi="Book Antiqua"/>
          <w:b/>
          <w:sz w:val="22"/>
          <w:szCs w:val="22"/>
        </w:rPr>
        <w:t>1.7</w:t>
      </w:r>
      <w:r w:rsidR="00D80800" w:rsidRPr="00E3232D">
        <w:rPr>
          <w:rFonts w:ascii="Book Antiqua" w:hAnsi="Book Antiqua"/>
          <w:b/>
          <w:sz w:val="22"/>
          <w:szCs w:val="22"/>
        </w:rPr>
        <w:tab/>
        <w:t>Post Production Process</w:t>
      </w:r>
    </w:p>
    <w:p w14:paraId="775B2B76" w14:textId="77777777" w:rsidR="00D80800" w:rsidRPr="00E3232D" w:rsidRDefault="00D80800" w:rsidP="002F4DEE">
      <w:pPr>
        <w:pStyle w:val="NormalWeb"/>
        <w:spacing w:after="0" w:afterAutospacing="0" w:line="276" w:lineRule="auto"/>
        <w:jc w:val="both"/>
        <w:rPr>
          <w:rFonts w:ascii="Book Antiqua" w:hAnsi="Book Antiqua"/>
          <w:sz w:val="22"/>
          <w:szCs w:val="22"/>
        </w:rPr>
      </w:pPr>
      <w:r w:rsidRPr="00E3232D">
        <w:rPr>
          <w:rFonts w:ascii="Book Antiqua" w:hAnsi="Book Antiqua"/>
          <w:sz w:val="22"/>
          <w:szCs w:val="22"/>
        </w:rPr>
        <w:t>After a film has been shot the image and the sound captured must be synchronized and edited. Titles, and music are added and sometimes special effects are added to the production image during post production.</w:t>
      </w:r>
    </w:p>
    <w:p w14:paraId="7F9F34D1"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Often the image format editing in post production is not the same as the format used during production, and is sometimes not the same format as is used for release. For example: during production a film may be shot on 35mm, but after the film is developed it may be televised (transferred to video) to be edited. Sometimes the video contains edge code from the film. This is a kind of frame accurate reference so that every edit made to the video can be made to the original negative in preparation for a release print. Sometimes the televise can be very high resolution and a release print is made right from the video in a process of video-to-film printing. And still other times the image will remain in video and will be released as a DVD or on TV.</w:t>
      </w:r>
    </w:p>
    <w:p w14:paraId="19BA25F2" w14:textId="77777777" w:rsidR="00055B0C" w:rsidRDefault="00055B0C" w:rsidP="002F4DEE">
      <w:pPr>
        <w:pStyle w:val="NormalWeb"/>
        <w:spacing w:before="0" w:beforeAutospacing="0" w:after="0" w:afterAutospacing="0" w:line="276" w:lineRule="auto"/>
        <w:jc w:val="both"/>
        <w:rPr>
          <w:rFonts w:ascii="Book Antiqua" w:hAnsi="Book Antiqua"/>
          <w:sz w:val="22"/>
          <w:szCs w:val="22"/>
        </w:rPr>
      </w:pPr>
    </w:p>
    <w:p w14:paraId="154E7DAC"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Editing machines come in a variety of forms. From the moviola film editors to the non-linear digital desktop editors there are all kinds of ways to arrange the images captured durring production. (owyheesound, 2009).</w:t>
      </w:r>
    </w:p>
    <w:p w14:paraId="7F37F145" w14:textId="77777777" w:rsidR="0012151E" w:rsidRDefault="0012151E" w:rsidP="002F4DEE">
      <w:pPr>
        <w:spacing w:after="0"/>
        <w:jc w:val="both"/>
        <w:rPr>
          <w:rFonts w:ascii="Book Antiqua" w:hAnsi="Book Antiqua"/>
        </w:rPr>
      </w:pPr>
    </w:p>
    <w:p w14:paraId="202FD057" w14:textId="77777777" w:rsidR="00D80800" w:rsidRPr="002F4DEE" w:rsidRDefault="00D80800" w:rsidP="002F4DEE">
      <w:pPr>
        <w:spacing w:after="240"/>
        <w:jc w:val="both"/>
        <w:rPr>
          <w:rFonts w:ascii="Book Antiqua" w:hAnsi="Book Antiqua"/>
        </w:rPr>
      </w:pPr>
      <w:r w:rsidRPr="00E3232D">
        <w:rPr>
          <w:rFonts w:ascii="Book Antiqua" w:hAnsi="Book Antiqua"/>
        </w:rPr>
        <w:t>Usually only the acots dialogue is recorded on set.  This means that all the other sounds are added in post production.  Footsteps, car noises, ambient sounds, all sorts of sounds are added after the production in a studio.  Sometimes the sounds added are from a library and are just effects sounds. Sometimes the sounds are added by a special performer who watches the image on a screen in a studio equipped with all sorts of noise making devices and stuffs. This process is called Foley, and the person who creates the sounds are</w:t>
      </w:r>
      <w:r w:rsidR="00055B0C">
        <w:rPr>
          <w:rFonts w:ascii="Book Antiqua" w:hAnsi="Book Antiqua"/>
        </w:rPr>
        <w:t xml:space="preserve"> Foley artists. Once in a while</w:t>
      </w:r>
      <w:r w:rsidRPr="00E3232D">
        <w:rPr>
          <w:rFonts w:ascii="Book Antiqua" w:hAnsi="Book Antiqua"/>
        </w:rPr>
        <w:t xml:space="preserve"> some of the dialogue recorded during production is not of high enough quality to be used for release.  In these cases the actors are brought to a studio and their lines are read over the original dialogue sound track.  This process is called Automated Dialogue Replacement.  Though it is not entirely automated there are some special ADR types of equipment that facili</w:t>
      </w:r>
      <w:r w:rsidR="00A904F9">
        <w:rPr>
          <w:rFonts w:ascii="Book Antiqua" w:hAnsi="Book Antiqua"/>
        </w:rPr>
        <w:t xml:space="preserve">tate the process. (owyheesound, </w:t>
      </w:r>
      <w:r w:rsidRPr="00E3232D">
        <w:rPr>
          <w:rFonts w:ascii="Book Antiqua" w:hAnsi="Book Antiqua"/>
        </w:rPr>
        <w:t xml:space="preserve">2009). </w:t>
      </w:r>
    </w:p>
    <w:p w14:paraId="65585F36" w14:textId="77777777" w:rsidR="00D80800" w:rsidRPr="00E3232D" w:rsidRDefault="00540710" w:rsidP="002F4DEE">
      <w:pPr>
        <w:spacing w:after="240"/>
        <w:jc w:val="both"/>
        <w:rPr>
          <w:rFonts w:ascii="Book Antiqua" w:hAnsi="Book Antiqua"/>
          <w:b/>
        </w:rPr>
      </w:pPr>
      <w:r>
        <w:rPr>
          <w:rFonts w:ascii="Book Antiqua" w:hAnsi="Book Antiqua"/>
          <w:b/>
        </w:rPr>
        <w:t>1</w:t>
      </w:r>
      <w:r w:rsidR="00D80800" w:rsidRPr="00E3232D">
        <w:rPr>
          <w:rFonts w:ascii="Book Antiqua" w:hAnsi="Book Antiqua"/>
          <w:b/>
        </w:rPr>
        <w:t>.</w:t>
      </w:r>
      <w:r>
        <w:rPr>
          <w:rFonts w:ascii="Book Antiqua" w:hAnsi="Book Antiqua"/>
          <w:b/>
        </w:rPr>
        <w:t>8</w:t>
      </w:r>
      <w:r w:rsidR="00D80800" w:rsidRPr="00E3232D">
        <w:rPr>
          <w:rFonts w:ascii="Book Antiqua" w:hAnsi="Book Antiqua"/>
          <w:b/>
        </w:rPr>
        <w:tab/>
        <w:t xml:space="preserve">The video Norm </w:t>
      </w:r>
    </w:p>
    <w:p w14:paraId="0A499102" w14:textId="77777777" w:rsidR="003060AB" w:rsidRDefault="00D80800" w:rsidP="002F4DEE">
      <w:pPr>
        <w:jc w:val="both"/>
        <w:rPr>
          <w:rFonts w:ascii="Book Antiqua" w:hAnsi="Book Antiqua"/>
        </w:rPr>
      </w:pPr>
      <w:r w:rsidRPr="00E3232D">
        <w:rPr>
          <w:rFonts w:ascii="Book Antiqua" w:hAnsi="Book Antiqua"/>
        </w:rPr>
        <w:t xml:space="preserve">Acccording to A. Erhardt-Ferron, (2000) Real time systems are usually based on video norms, which means that the image acquisition as well as the conversion of the digital data into a video signal has to conform to international standards. In Europe, this norm is defined by the </w:t>
      </w:r>
      <w:r w:rsidRPr="00E3232D">
        <w:rPr>
          <w:rFonts w:ascii="Book Antiqua" w:hAnsi="Book Antiqua"/>
          <w:i/>
        </w:rPr>
        <w:t>Comit</w:t>
      </w:r>
      <w:r w:rsidR="00055B0C">
        <w:rPr>
          <w:rFonts w:ascii="Book Antiqua" w:hAnsi="Book Antiqua"/>
          <w:i/>
        </w:rPr>
        <w:t>e ConsultatifInternationaldes</w:t>
      </w:r>
      <w:r w:rsidRPr="00E3232D">
        <w:rPr>
          <w:rFonts w:ascii="Book Antiqua" w:hAnsi="Book Antiqua"/>
          <w:i/>
        </w:rPr>
        <w:t xml:space="preserve">Radiocommunication </w:t>
      </w:r>
      <w:r w:rsidRPr="00E3232D">
        <w:rPr>
          <w:rFonts w:ascii="Book Antiqua" w:hAnsi="Book Antiqua"/>
        </w:rPr>
        <w:t xml:space="preserve">(CCIR); in the USA, the norm is called </w:t>
      </w:r>
      <w:r w:rsidRPr="00E3232D">
        <w:rPr>
          <w:rFonts w:ascii="Book Antiqua" w:hAnsi="Book Antiqua"/>
          <w:i/>
        </w:rPr>
        <w:t>RS-170 Standard</w:t>
      </w:r>
      <w:r w:rsidRPr="00E3232D">
        <w:rPr>
          <w:rFonts w:ascii="Book Antiqua" w:hAnsi="Book Antiqua"/>
        </w:rPr>
        <w:t xml:space="preserve"> indexRS170 and was defined by the </w:t>
      </w:r>
      <w:r w:rsidRPr="00E3232D">
        <w:rPr>
          <w:rFonts w:ascii="Book Antiqua" w:hAnsi="Book Antiqua"/>
          <w:i/>
        </w:rPr>
        <w:t>Electronics Industries Association</w:t>
      </w:r>
      <w:r w:rsidRPr="00E3232D">
        <w:rPr>
          <w:rFonts w:ascii="Book Antiqua" w:hAnsi="Book Antiqua"/>
        </w:rPr>
        <w:t xml:space="preserve"> (EIA). </w:t>
      </w:r>
    </w:p>
    <w:p w14:paraId="434CACE7" w14:textId="77777777" w:rsidR="00D80800" w:rsidRPr="00E3232D" w:rsidRDefault="00D80800" w:rsidP="002F4DEE">
      <w:pPr>
        <w:jc w:val="both"/>
        <w:rPr>
          <w:rFonts w:ascii="Book Antiqua" w:hAnsi="Book Antiqua"/>
        </w:rPr>
      </w:pPr>
      <w:r w:rsidRPr="00E3232D">
        <w:rPr>
          <w:rFonts w:ascii="Book Antiqua" w:hAnsi="Book Antiqua"/>
        </w:rPr>
        <w:t>The PAL (</w:t>
      </w:r>
      <w:r w:rsidRPr="00E3232D">
        <w:rPr>
          <w:rFonts w:ascii="Book Antiqua" w:hAnsi="Book Antiqua"/>
          <w:i/>
        </w:rPr>
        <w:t>Phase Alternation Line</w:t>
      </w:r>
      <w:r w:rsidRPr="00E3232D">
        <w:rPr>
          <w:rFonts w:ascii="Book Antiqua" w:hAnsi="Book Antiqua"/>
        </w:rPr>
        <w:t>) and SECAM (</w:t>
      </w:r>
      <w:r w:rsidRPr="00E3232D">
        <w:rPr>
          <w:rFonts w:ascii="Book Antiqua" w:hAnsi="Book Antiqua"/>
          <w:i/>
        </w:rPr>
        <w:t>Sequentiel Couleur a Memoire</w:t>
      </w:r>
      <w:r w:rsidRPr="00E3232D">
        <w:rPr>
          <w:rFonts w:ascii="Book Antiqua" w:hAnsi="Book Antiqua"/>
        </w:rPr>
        <w:t>) color standards are based on CCIR while the color system based on RS-170 is NTSC (</w:t>
      </w:r>
      <w:r w:rsidRPr="00E3232D">
        <w:rPr>
          <w:rFonts w:ascii="Book Antiqua" w:hAnsi="Book Antiqua"/>
          <w:i/>
        </w:rPr>
        <w:t>National Television System Committee</w:t>
      </w:r>
      <w:r w:rsidRPr="00E3232D">
        <w:rPr>
          <w:rFonts w:ascii="Book Antiqua" w:hAnsi="Book Antiqua"/>
        </w:rPr>
        <w:t>). The fundamentals of video standards reach back to the times of tube cameras and monitors and seem a little archaic in the age of CCD chips and LCD screens. (Erhardt-Ferron, 2000)</w:t>
      </w:r>
    </w:p>
    <w:p w14:paraId="6F91F614" w14:textId="77777777" w:rsidR="00D80800" w:rsidRPr="00E3232D" w:rsidRDefault="00540710" w:rsidP="002F4DEE">
      <w:pPr>
        <w:spacing w:after="240"/>
        <w:jc w:val="both"/>
        <w:rPr>
          <w:rFonts w:ascii="Book Antiqua" w:hAnsi="Book Antiqua"/>
          <w:b/>
        </w:rPr>
      </w:pPr>
      <w:r>
        <w:rPr>
          <w:rFonts w:ascii="Book Antiqua" w:hAnsi="Book Antiqua"/>
          <w:b/>
        </w:rPr>
        <w:t>1.9</w:t>
      </w:r>
      <w:r w:rsidR="00D80800" w:rsidRPr="00E3232D">
        <w:rPr>
          <w:rFonts w:ascii="Book Antiqua" w:hAnsi="Book Antiqua"/>
          <w:b/>
        </w:rPr>
        <w:tab/>
        <w:t>The Film Industry (Ghana)</w:t>
      </w:r>
    </w:p>
    <w:p w14:paraId="4D9A4724" w14:textId="77777777" w:rsidR="00055B0C" w:rsidRDefault="00D80800" w:rsidP="002F4DEE">
      <w:pPr>
        <w:jc w:val="both"/>
        <w:rPr>
          <w:rFonts w:ascii="Book Antiqua" w:hAnsi="Book Antiqua"/>
        </w:rPr>
      </w:pPr>
      <w:r w:rsidRPr="00E3232D">
        <w:rPr>
          <w:rFonts w:ascii="Book Antiqua" w:hAnsi="Book Antiqua"/>
        </w:rPr>
        <w:t>Film exhibition in Ghana (the then Gold Coast) started as a private business with the opening of the first cinema in Accra in 1925. Film production, however, started as a government activity which eventually led to the establishment of the Gold Coast Film Unit in 1948. As film developed worldwide, film in Ghana also grew steadily and provided much support for government information campaigns during the colonial period.</w:t>
      </w:r>
    </w:p>
    <w:p w14:paraId="32A7FCE1" w14:textId="77777777" w:rsidR="00055B0C" w:rsidRDefault="00D80800" w:rsidP="002F4DEE">
      <w:pPr>
        <w:jc w:val="both"/>
        <w:rPr>
          <w:rFonts w:ascii="Book Antiqua" w:hAnsi="Book Antiqua"/>
        </w:rPr>
      </w:pPr>
      <w:r w:rsidRPr="00E3232D">
        <w:rPr>
          <w:rFonts w:ascii="Book Antiqua" w:hAnsi="Book Antiqua"/>
        </w:rPr>
        <w:t>With independence, the new Government saw film not only as a tool for disseminating information but also as a powerful communication instrument to be exploited for national integration for social and economic development and for the preservation and further enrichment of the cultural heritage of Ghana.</w:t>
      </w:r>
    </w:p>
    <w:p w14:paraId="719D248B" w14:textId="77777777" w:rsidR="00D80800" w:rsidRPr="00E3232D" w:rsidRDefault="00D80800" w:rsidP="002F4DEE">
      <w:pPr>
        <w:jc w:val="both"/>
        <w:rPr>
          <w:rFonts w:ascii="Book Antiqua" w:hAnsi="Book Antiqua"/>
        </w:rPr>
      </w:pPr>
      <w:r w:rsidRPr="00E3232D">
        <w:rPr>
          <w:rFonts w:ascii="Book Antiqua" w:hAnsi="Book Antiqua"/>
        </w:rPr>
        <w:t>To provide an institutional base for the development of film and its utilization for these purposes, the Government in 1962 established the Ghana Film Industry Corporation (GFIC). For the following 28 years, the GIFC grew considerably as it produced films and undertook the distribution and exhibition of both local and foreign films.  This growth was accompanied by equally impressive advances in all sectors of the film industry.</w:t>
      </w:r>
    </w:p>
    <w:p w14:paraId="348FDC69" w14:textId="77777777" w:rsidR="003060AB" w:rsidRDefault="00D80800" w:rsidP="002F4DEE">
      <w:pPr>
        <w:jc w:val="both"/>
        <w:rPr>
          <w:rFonts w:ascii="Book Antiqua" w:hAnsi="Book Antiqua"/>
        </w:rPr>
      </w:pPr>
      <w:r w:rsidRPr="00E3232D">
        <w:rPr>
          <w:rFonts w:ascii="Book Antiqua" w:hAnsi="Book Antiqua"/>
        </w:rPr>
        <w:t>The most remarkable growth has been in movie (popularly known as “video-film”) production where growth has been phenomenal over the past decades and where the private sector has played an outstanding leadership role. Much of this growth is attributed to the electronic revolution which has led to major technological changes in the film industry worldwide and has made it possible for film makers of varying degrees of experience to attempt productions and experimentation which would have been out of reach a decade ago. (National Media Commission, 2008)</w:t>
      </w:r>
    </w:p>
    <w:p w14:paraId="0E0781FD" w14:textId="77777777" w:rsidR="00D80800" w:rsidRPr="002F4DEE" w:rsidRDefault="00D80800" w:rsidP="002F4DEE">
      <w:pPr>
        <w:jc w:val="both"/>
        <w:rPr>
          <w:rFonts w:ascii="Book Antiqua" w:hAnsi="Book Antiqua"/>
        </w:rPr>
      </w:pPr>
      <w:r w:rsidRPr="00E3232D">
        <w:rPr>
          <w:rFonts w:ascii="Book Antiqua" w:hAnsi="Book Antiqua"/>
        </w:rPr>
        <w:t>It is said that efforts in the past and the present at local manufacture of media equipment have received little support. “At the same time, the lack of current technical expertise precludes the selection not only of appropriate technology but also of relevant applications of technology.” (National Media Commission, 2008)</w:t>
      </w:r>
    </w:p>
    <w:p w14:paraId="51127238" w14:textId="77777777" w:rsidR="00D80800" w:rsidRPr="00E3232D" w:rsidRDefault="00540710" w:rsidP="002F4DEE">
      <w:pPr>
        <w:spacing w:after="240"/>
        <w:jc w:val="both"/>
        <w:rPr>
          <w:rFonts w:ascii="Book Antiqua" w:hAnsi="Book Antiqua"/>
        </w:rPr>
      </w:pPr>
      <w:r>
        <w:rPr>
          <w:rFonts w:ascii="Book Antiqua" w:hAnsi="Book Antiqua"/>
          <w:b/>
          <w:bCs/>
        </w:rPr>
        <w:t>1.10</w:t>
      </w:r>
      <w:r w:rsidR="00D80800" w:rsidRPr="00E3232D">
        <w:rPr>
          <w:rFonts w:ascii="Book Antiqua" w:hAnsi="Book Antiqua"/>
          <w:b/>
          <w:bCs/>
        </w:rPr>
        <w:tab/>
        <w:t>Reduction of Impulse Noise</w:t>
      </w:r>
    </w:p>
    <w:p w14:paraId="4BB4A7BC" w14:textId="77777777" w:rsidR="003060AB" w:rsidRDefault="00D80800" w:rsidP="002F4DEE">
      <w:pPr>
        <w:jc w:val="both"/>
        <w:rPr>
          <w:rFonts w:ascii="Book Antiqua" w:hAnsi="Book Antiqua"/>
        </w:rPr>
      </w:pPr>
      <w:r w:rsidRPr="00E3232D">
        <w:rPr>
          <w:rFonts w:ascii="Book Antiqua" w:hAnsi="Book Antiqua"/>
        </w:rPr>
        <w:t>Most algorithms for converting image sensor data to an image, whether in-camera or on a computer, involve some form of noise reduction. However, it is probable to say that no algorithm can make this judgment perfectly, so there is often a tradeoff made between noise removal and preservation of fine, low-contrast detail that may have characteristics similar to noise. Many cameras have settings to control the aggressiveness of the in-camera noise reduction.</w:t>
      </w:r>
    </w:p>
    <w:p w14:paraId="6C93A585" w14:textId="77777777" w:rsidR="00D80800" w:rsidRPr="00E3232D" w:rsidRDefault="00D80800" w:rsidP="002F4DEE">
      <w:pPr>
        <w:jc w:val="both"/>
        <w:rPr>
          <w:rFonts w:ascii="Book Antiqua" w:hAnsi="Book Antiqua"/>
        </w:rPr>
      </w:pPr>
      <w:r w:rsidRPr="00E3232D">
        <w:rPr>
          <w:rFonts w:ascii="Book Antiqua" w:hAnsi="Book Antiqua"/>
        </w:rPr>
        <w:t>Observed images are often corrupted by impulse noise during image acquisition and transmission, caused by malfunctioning pixels in camera sensors, faulty memory locations in hardware, or bit errors in transmission. (Bovik, 2005)</w:t>
      </w:r>
    </w:p>
    <w:p w14:paraId="7741D16E" w14:textId="77777777" w:rsidR="003060AB" w:rsidRDefault="00D80800" w:rsidP="002F4DEE">
      <w:pPr>
        <w:jc w:val="both"/>
        <w:rPr>
          <w:rFonts w:ascii="Book Antiqua" w:hAnsi="Book Antiqua"/>
        </w:rPr>
      </w:pPr>
      <w:r w:rsidRPr="00E3232D">
        <w:rPr>
          <w:rFonts w:ascii="Book Antiqua" w:hAnsi="Book Antiqua"/>
        </w:rPr>
        <w:t>There are two common types of impulse noise: salt-and-pepper impulse noise and random-valued impulse noise. With the assumption that the dynamic range of an image is [</w:t>
      </w:r>
      <w:r w:rsidRPr="00E3232D">
        <w:rPr>
          <w:rFonts w:ascii="Book Antiqua" w:hAnsi="Book Antiqua"/>
          <w:i/>
        </w:rPr>
        <w:t>d</w:t>
      </w:r>
      <w:r w:rsidRPr="00E3232D">
        <w:rPr>
          <w:rFonts w:ascii="Book Antiqua" w:hAnsi="Book Antiqua"/>
          <w:i/>
          <w:vertAlign w:val="subscript"/>
        </w:rPr>
        <w:t>min</w:t>
      </w:r>
      <w:r w:rsidRPr="00E3232D">
        <w:rPr>
          <w:rFonts w:ascii="Book Antiqua" w:hAnsi="Book Antiqua"/>
        </w:rPr>
        <w:t xml:space="preserve">, </w:t>
      </w:r>
      <w:r w:rsidRPr="00E3232D">
        <w:rPr>
          <w:rFonts w:ascii="Book Antiqua" w:hAnsi="Book Antiqua"/>
          <w:i/>
        </w:rPr>
        <w:t>d</w:t>
      </w:r>
      <w:r w:rsidRPr="00E3232D">
        <w:rPr>
          <w:rFonts w:ascii="Book Antiqua" w:hAnsi="Book Antiqua"/>
          <w:i/>
          <w:vertAlign w:val="subscript"/>
        </w:rPr>
        <w:t>max</w:t>
      </w:r>
      <w:r w:rsidRPr="00E3232D">
        <w:rPr>
          <w:rFonts w:ascii="Book Antiqua" w:hAnsi="Book Antiqua"/>
        </w:rPr>
        <w:t xml:space="preserve">], for images corrupted by salt-and-pepper impulse noise, the noisy pixels can take only two values </w:t>
      </w:r>
      <w:r w:rsidRPr="00E3232D">
        <w:rPr>
          <w:rFonts w:ascii="Book Antiqua" w:hAnsi="Book Antiqua"/>
          <w:i/>
        </w:rPr>
        <w:t>d</w:t>
      </w:r>
      <w:r w:rsidRPr="00E3232D">
        <w:rPr>
          <w:rFonts w:ascii="Book Antiqua" w:hAnsi="Book Antiqua"/>
          <w:i/>
          <w:vertAlign w:val="subscript"/>
        </w:rPr>
        <w:t>min</w:t>
      </w:r>
      <w:r w:rsidRPr="00E3232D">
        <w:rPr>
          <w:rFonts w:ascii="Book Antiqua" w:hAnsi="Book Antiqua"/>
        </w:rPr>
        <w:t xml:space="preserve">, and </w:t>
      </w:r>
      <w:r w:rsidRPr="00E3232D">
        <w:rPr>
          <w:rFonts w:ascii="Book Antiqua" w:hAnsi="Book Antiqua"/>
          <w:i/>
        </w:rPr>
        <w:t>d</w:t>
      </w:r>
      <w:r w:rsidRPr="00E3232D">
        <w:rPr>
          <w:rFonts w:ascii="Book Antiqua" w:hAnsi="Book Antiqua"/>
          <w:i/>
          <w:vertAlign w:val="subscript"/>
        </w:rPr>
        <w:t>max</w:t>
      </w:r>
      <w:r w:rsidRPr="00E3232D">
        <w:rPr>
          <w:rFonts w:ascii="Book Antiqua" w:hAnsi="Book Antiqua"/>
        </w:rPr>
        <w:t xml:space="preserve">, while for images corrupted by random-valued impulse noise, the noisy pixels can take any random value between </w:t>
      </w:r>
      <w:r w:rsidRPr="00E3232D">
        <w:rPr>
          <w:rFonts w:ascii="Book Antiqua" w:hAnsi="Book Antiqua"/>
          <w:i/>
        </w:rPr>
        <w:t>d</w:t>
      </w:r>
      <w:r w:rsidRPr="00E3232D">
        <w:rPr>
          <w:rFonts w:ascii="Book Antiqua" w:hAnsi="Book Antiqua"/>
          <w:i/>
          <w:vertAlign w:val="subscript"/>
        </w:rPr>
        <w:t>min</w:t>
      </w:r>
      <w:r w:rsidRPr="00E3232D">
        <w:rPr>
          <w:rFonts w:ascii="Book Antiqua" w:hAnsi="Book Antiqua"/>
        </w:rPr>
        <w:t xml:space="preserve">, and </w:t>
      </w:r>
      <w:r w:rsidRPr="00E3232D">
        <w:rPr>
          <w:rFonts w:ascii="Book Antiqua" w:hAnsi="Book Antiqua"/>
          <w:i/>
        </w:rPr>
        <w:t>d</w:t>
      </w:r>
      <w:r w:rsidRPr="00E3232D">
        <w:rPr>
          <w:rFonts w:ascii="Book Antiqua" w:hAnsi="Book Antiqua"/>
          <w:i/>
          <w:vertAlign w:val="subscript"/>
        </w:rPr>
        <w:t>max</w:t>
      </w:r>
      <w:r w:rsidRPr="00E3232D">
        <w:rPr>
          <w:rFonts w:ascii="Book Antiqua" w:hAnsi="Book Antiqua"/>
        </w:rPr>
        <w:t>. (Ming Yan, 2011)</w:t>
      </w:r>
    </w:p>
    <w:p w14:paraId="330C5B61" w14:textId="77777777" w:rsidR="003060AB" w:rsidRDefault="00D80800" w:rsidP="002F4DEE">
      <w:pPr>
        <w:jc w:val="both"/>
        <w:rPr>
          <w:rFonts w:ascii="Book Antiqua" w:hAnsi="Book Antiqua"/>
        </w:rPr>
      </w:pPr>
      <w:r w:rsidRPr="00E3232D">
        <w:rPr>
          <w:rFonts w:ascii="Book Antiqua" w:hAnsi="Book Antiqua"/>
        </w:rPr>
        <w:t>The high sensitivity image quality of a given camera (or RAW development workflow) may depend greatly on the quality of the algorithm used for noise reduction.</w:t>
      </w:r>
    </w:p>
    <w:p w14:paraId="7C1A59CC" w14:textId="77777777" w:rsidR="00D80800" w:rsidRPr="00E3232D" w:rsidRDefault="00D80800" w:rsidP="002F4DEE">
      <w:pPr>
        <w:jc w:val="both"/>
        <w:rPr>
          <w:rFonts w:ascii="Book Antiqua" w:hAnsi="Book Antiqua"/>
        </w:rPr>
      </w:pPr>
      <w:r w:rsidRPr="00E3232D">
        <w:rPr>
          <w:rFonts w:ascii="Book Antiqua" w:hAnsi="Book Antiqua"/>
        </w:rPr>
        <w:t>In this paper we consider the median filtering and the frequency filtering algorithms for the reduction of impulse noise in images.</w:t>
      </w:r>
    </w:p>
    <w:p w14:paraId="19F3E4D7" w14:textId="77777777" w:rsidR="00D80800" w:rsidRPr="00E3232D" w:rsidRDefault="00540710" w:rsidP="002F4DEE">
      <w:pPr>
        <w:spacing w:after="240"/>
        <w:jc w:val="both"/>
        <w:rPr>
          <w:rFonts w:ascii="Book Antiqua" w:hAnsi="Book Antiqua"/>
          <w:b/>
          <w:bCs/>
        </w:rPr>
      </w:pPr>
      <w:r>
        <w:rPr>
          <w:rFonts w:ascii="Book Antiqua" w:hAnsi="Book Antiqua"/>
          <w:b/>
          <w:bCs/>
        </w:rPr>
        <w:t>1</w:t>
      </w:r>
      <w:r w:rsidR="00D80800" w:rsidRPr="00E3232D">
        <w:rPr>
          <w:rFonts w:ascii="Book Antiqua" w:hAnsi="Book Antiqua"/>
          <w:b/>
          <w:bCs/>
        </w:rPr>
        <w:t>.</w:t>
      </w:r>
      <w:r>
        <w:rPr>
          <w:rFonts w:ascii="Book Antiqua" w:hAnsi="Book Antiqua"/>
          <w:b/>
          <w:bCs/>
        </w:rPr>
        <w:t>1</w:t>
      </w:r>
      <w:r w:rsidR="00D80800" w:rsidRPr="00E3232D">
        <w:rPr>
          <w:rFonts w:ascii="Book Antiqua" w:hAnsi="Book Antiqua"/>
          <w:b/>
          <w:bCs/>
        </w:rPr>
        <w:t>1</w:t>
      </w:r>
      <w:r w:rsidR="00D80800" w:rsidRPr="00E3232D">
        <w:rPr>
          <w:rFonts w:ascii="Book Antiqua" w:hAnsi="Book Antiqua"/>
          <w:b/>
          <w:bCs/>
        </w:rPr>
        <w:tab/>
        <w:t>Median Filter</w:t>
      </w:r>
    </w:p>
    <w:p w14:paraId="3C9EDE27" w14:textId="77777777" w:rsidR="003060AB" w:rsidRDefault="00D80800" w:rsidP="002F4DEE">
      <w:pPr>
        <w:jc w:val="both"/>
        <w:rPr>
          <w:rFonts w:ascii="Book Antiqua" w:hAnsi="Book Antiqua"/>
        </w:rPr>
      </w:pPr>
      <w:r w:rsidRPr="00E3232D">
        <w:rPr>
          <w:rFonts w:ascii="Book Antiqua" w:hAnsi="Book Antiqua"/>
        </w:rPr>
        <w:t>Median filter, the most prominently used impulse noise removing filter, provides better removal of impulse noise from corrupted images by replacing the individual pixels of the image as the name suggests by the median value of the gray level of the pixels from a chosen neighbourhood.</w:t>
      </w:r>
    </w:p>
    <w:p w14:paraId="35BD5409" w14:textId="77777777" w:rsidR="003060AB" w:rsidRDefault="00D80800" w:rsidP="002F4DEE">
      <w:pPr>
        <w:jc w:val="both"/>
        <w:rPr>
          <w:rFonts w:ascii="Book Antiqua" w:hAnsi="Book Antiqua"/>
        </w:rPr>
      </w:pPr>
      <w:r w:rsidRPr="00E3232D">
        <w:rPr>
          <w:rFonts w:ascii="Book Antiqua" w:hAnsi="Book Antiqua"/>
        </w:rPr>
        <w:t>The median of a set of values is such that half of its values in the set are below the median value and half of them are above it and so is the most acceptable value than any other image statistics value for replacing the impulse corrupted pixel of a noisy image for if there is an impulse in the set chosen to determine the median it will strictly lie at the ends of the set and the chance of identifying an impulse as a median to replace the image pixel is very less.</w:t>
      </w:r>
    </w:p>
    <w:p w14:paraId="3B4DBD41" w14:textId="77777777" w:rsidR="00D80800" w:rsidRPr="00E3232D" w:rsidRDefault="00D80800" w:rsidP="002F4DEE">
      <w:pPr>
        <w:jc w:val="both"/>
        <w:rPr>
          <w:rFonts w:ascii="Book Antiqua" w:hAnsi="Book Antiqua"/>
        </w:rPr>
      </w:pPr>
      <w:r w:rsidRPr="00E3232D">
        <w:rPr>
          <w:rFonts w:ascii="Book Antiqua" w:hAnsi="Book Antiqua"/>
        </w:rPr>
        <w:t>As proposed by Geoffrine and Kumarasabapathy (2011), an efficient Decision Based algorithm is introduced for the restoration of images corrupted with almost all impulse noise levels. The filter is capable of producing recognizable, patches free outputs from images corrupted by higher levels of impulse noise. The filter provides maximum suppression of impulse noise while preserving fine details.</w:t>
      </w:r>
    </w:p>
    <w:p w14:paraId="3062343E" w14:textId="77777777" w:rsidR="00D80800" w:rsidRPr="00E3232D" w:rsidRDefault="00D80800" w:rsidP="002F4DEE">
      <w:pPr>
        <w:spacing w:after="240"/>
        <w:jc w:val="both"/>
        <w:rPr>
          <w:rFonts w:ascii="Book Antiqua" w:hAnsi="Book Antiqua"/>
        </w:rPr>
      </w:pPr>
      <w:r w:rsidRPr="00E3232D">
        <w:rPr>
          <w:rFonts w:ascii="Book Antiqua" w:hAnsi="Book Antiqua"/>
        </w:rPr>
        <w:t xml:space="preserve">The median filter is non-linear. This means that for two images </w:t>
      </w:r>
      <w:r w:rsidRPr="00E3232D">
        <w:rPr>
          <w:rFonts w:ascii="Book Antiqua" w:hAnsi="Book Antiqua"/>
          <w:i/>
          <w:iCs/>
        </w:rPr>
        <w:t>A(x)</w:t>
      </w:r>
      <w:r w:rsidRPr="00E3232D">
        <w:rPr>
          <w:rFonts w:ascii="Book Antiqua" w:hAnsi="Book Antiqua"/>
        </w:rPr>
        <w:t xml:space="preserve"> and </w:t>
      </w:r>
      <w:r w:rsidRPr="00E3232D">
        <w:rPr>
          <w:rFonts w:ascii="Book Antiqua" w:hAnsi="Book Antiqua"/>
          <w:i/>
          <w:iCs/>
        </w:rPr>
        <w:t>B(x)</w:t>
      </w:r>
      <w:r w:rsidRPr="00E3232D">
        <w:rPr>
          <w:rFonts w:ascii="Book Antiqua" w:hAnsi="Book Antiqua"/>
        </w:rPr>
        <w:t>:</w:t>
      </w:r>
    </w:p>
    <w:p w14:paraId="427AE8E5" w14:textId="77777777" w:rsidR="00D80800" w:rsidRPr="002F4DEE" w:rsidRDefault="00D80800" w:rsidP="002F4DEE">
      <w:pPr>
        <w:jc w:val="both"/>
        <w:rPr>
          <w:rFonts w:ascii="Book Antiqua" w:hAnsi="Book Antiqua"/>
          <w:b/>
        </w:rPr>
      </w:pPr>
      <w:r w:rsidRPr="00E3232D">
        <w:rPr>
          <w:rFonts w:ascii="Book Antiqua" w:hAnsi="Book Antiqua"/>
          <w:b/>
          <w:i/>
        </w:rPr>
        <w:t>M</w:t>
      </w:r>
      <w:r w:rsidRPr="00E3232D">
        <w:rPr>
          <w:rFonts w:ascii="Book Antiqua" w:hAnsi="Book Antiqua"/>
          <w:b/>
        </w:rPr>
        <w:t>[</w:t>
      </w:r>
      <w:r w:rsidRPr="00E3232D">
        <w:rPr>
          <w:rFonts w:ascii="Book Antiqua" w:hAnsi="Book Antiqua"/>
          <w:b/>
          <w:i/>
        </w:rPr>
        <w:t>A</w:t>
      </w:r>
      <w:r w:rsidRPr="00E3232D">
        <w:rPr>
          <w:rFonts w:ascii="Book Antiqua" w:hAnsi="Book Antiqua"/>
          <w:b/>
        </w:rPr>
        <w:t>(</w:t>
      </w:r>
      <w:r w:rsidRPr="00E3232D">
        <w:rPr>
          <w:rFonts w:ascii="Book Antiqua" w:hAnsi="Book Antiqua"/>
          <w:b/>
          <w:i/>
        </w:rPr>
        <w:t>x</w:t>
      </w:r>
      <w:r w:rsidRPr="00E3232D">
        <w:rPr>
          <w:rFonts w:ascii="Book Antiqua" w:hAnsi="Book Antiqua"/>
          <w:b/>
        </w:rPr>
        <w:t>)+</w:t>
      </w:r>
      <w:r w:rsidRPr="00E3232D">
        <w:rPr>
          <w:rFonts w:ascii="Book Antiqua" w:hAnsi="Book Antiqua"/>
          <w:b/>
          <w:i/>
        </w:rPr>
        <w:t>B</w:t>
      </w:r>
      <w:r w:rsidRPr="00E3232D">
        <w:rPr>
          <w:rFonts w:ascii="Book Antiqua" w:hAnsi="Book Antiqua"/>
          <w:b/>
        </w:rPr>
        <w:t>(</w:t>
      </w:r>
      <w:r w:rsidRPr="00E3232D">
        <w:rPr>
          <w:rFonts w:ascii="Book Antiqua" w:hAnsi="Book Antiqua"/>
          <w:b/>
          <w:i/>
        </w:rPr>
        <w:t>x</w:t>
      </w:r>
      <w:r w:rsidRPr="00E3232D">
        <w:rPr>
          <w:rFonts w:ascii="Book Antiqua" w:hAnsi="Book Antiqua"/>
          <w:b/>
        </w:rPr>
        <w:t>)]</w:t>
      </w:r>
      <w:r w:rsidR="007005B1">
        <w:rPr>
          <w:rFonts w:ascii="Book Antiqua" w:hAnsi="Book Antiqua"/>
          <w:noProof/>
          <w:lang w:bidi="ar-SA"/>
        </w:rPr>
        <w:drawing>
          <wp:inline distT="0" distB="0" distL="0" distR="0" wp14:anchorId="79A9B339" wp14:editId="7E4D822C">
            <wp:extent cx="200025" cy="161925"/>
            <wp:effectExtent l="0" t="0" r="0" b="0"/>
            <wp:docPr id="203" name="Picture 25" descr="Description: Eqn:eqnm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Eqn:eqnmed1"/>
                    <pic:cNvPicPr>
                      <a:picLocks noChangeAspect="1" noChangeArrowheads="1"/>
                    </pic:cNvPicPr>
                  </pic:nvPicPr>
                  <pic:blipFill>
                    <a:blip r:embed="rId307"/>
                    <a:srcRect l="39735" r="55331" b="28549"/>
                    <a:stretch>
                      <a:fillRect/>
                    </a:stretch>
                  </pic:blipFill>
                  <pic:spPr bwMode="auto">
                    <a:xfrm>
                      <a:off x="0" y="0"/>
                      <a:ext cx="200025" cy="161925"/>
                    </a:xfrm>
                    <a:prstGeom prst="rect">
                      <a:avLst/>
                    </a:prstGeom>
                    <a:noFill/>
                    <a:ln w="9525">
                      <a:noFill/>
                      <a:miter lim="800000"/>
                      <a:headEnd/>
                      <a:tailEnd/>
                    </a:ln>
                  </pic:spPr>
                </pic:pic>
              </a:graphicData>
            </a:graphic>
          </wp:inline>
        </w:drawing>
      </w:r>
      <w:r w:rsidRPr="00E3232D">
        <w:rPr>
          <w:rFonts w:ascii="Book Antiqua" w:hAnsi="Book Antiqua"/>
          <w:b/>
          <w:i/>
        </w:rPr>
        <w:t>M</w:t>
      </w:r>
      <w:r w:rsidRPr="00E3232D">
        <w:rPr>
          <w:rFonts w:ascii="Book Antiqua" w:hAnsi="Book Antiqua"/>
          <w:b/>
        </w:rPr>
        <w:t>[</w:t>
      </w:r>
      <w:r w:rsidRPr="00E3232D">
        <w:rPr>
          <w:rFonts w:ascii="Book Antiqua" w:hAnsi="Book Antiqua"/>
          <w:b/>
          <w:i/>
        </w:rPr>
        <w:t>A</w:t>
      </w:r>
      <w:r w:rsidRPr="00E3232D">
        <w:rPr>
          <w:rFonts w:ascii="Book Antiqua" w:hAnsi="Book Antiqua"/>
          <w:b/>
        </w:rPr>
        <w:t>(</w:t>
      </w:r>
      <w:r w:rsidRPr="00E3232D">
        <w:rPr>
          <w:rFonts w:ascii="Book Antiqua" w:hAnsi="Book Antiqua"/>
          <w:b/>
          <w:i/>
        </w:rPr>
        <w:t>x</w:t>
      </w:r>
      <w:r w:rsidRPr="00E3232D">
        <w:rPr>
          <w:rFonts w:ascii="Book Antiqua" w:hAnsi="Book Antiqua"/>
          <w:b/>
        </w:rPr>
        <w:t xml:space="preserve">)] + </w:t>
      </w:r>
      <w:r w:rsidRPr="00E3232D">
        <w:rPr>
          <w:rFonts w:ascii="Book Antiqua" w:hAnsi="Book Antiqua"/>
          <w:b/>
          <w:i/>
        </w:rPr>
        <w:t>M</w:t>
      </w:r>
      <w:r w:rsidRPr="00E3232D">
        <w:rPr>
          <w:rFonts w:ascii="Book Antiqua" w:hAnsi="Book Antiqua"/>
          <w:b/>
        </w:rPr>
        <w:t>[</w:t>
      </w:r>
      <w:r w:rsidRPr="00E3232D">
        <w:rPr>
          <w:rFonts w:ascii="Book Antiqua" w:hAnsi="Book Antiqua"/>
          <w:b/>
          <w:i/>
        </w:rPr>
        <w:t>B</w:t>
      </w:r>
      <w:r w:rsidRPr="00E3232D">
        <w:rPr>
          <w:rFonts w:ascii="Book Antiqua" w:hAnsi="Book Antiqua"/>
          <w:b/>
        </w:rPr>
        <w:t>(</w:t>
      </w:r>
      <w:r w:rsidRPr="00E3232D">
        <w:rPr>
          <w:rFonts w:ascii="Book Antiqua" w:hAnsi="Book Antiqua"/>
          <w:b/>
          <w:i/>
        </w:rPr>
        <w:t>x</w:t>
      </w:r>
      <w:r w:rsidRPr="00E3232D">
        <w:rPr>
          <w:rFonts w:ascii="Book Antiqua" w:hAnsi="Book Antiqua"/>
          <w:b/>
        </w:rPr>
        <w:t>)]</w:t>
      </w:r>
      <w:r w:rsidRPr="00E3232D">
        <w:rPr>
          <w:rFonts w:ascii="Book Antiqua" w:hAnsi="Book Antiqua"/>
          <w:b/>
        </w:rPr>
        <w:tab/>
      </w:r>
      <w:r w:rsidRPr="00E3232D">
        <w:rPr>
          <w:rFonts w:ascii="Book Antiqua" w:hAnsi="Book Antiqua"/>
          <w:b/>
        </w:rPr>
        <w:tab/>
        <w:t>(1)</w:t>
      </w:r>
    </w:p>
    <w:p w14:paraId="00455FC7" w14:textId="77777777" w:rsidR="00D80800" w:rsidRPr="00E3232D" w:rsidRDefault="00D80800" w:rsidP="002F4DEE">
      <w:pPr>
        <w:jc w:val="both"/>
        <w:rPr>
          <w:rFonts w:ascii="Book Antiqua" w:hAnsi="Book Antiqua"/>
        </w:rPr>
      </w:pPr>
      <w:r w:rsidRPr="00E3232D">
        <w:rPr>
          <w:rFonts w:ascii="Book Antiqua" w:hAnsi="Book Antiqua"/>
        </w:rPr>
        <w:t xml:space="preserve">Where </w:t>
      </w:r>
      <w:r w:rsidRPr="00E3232D">
        <w:rPr>
          <w:rFonts w:ascii="Book Antiqua" w:hAnsi="Book Antiqua"/>
          <w:i/>
        </w:rPr>
        <w:t xml:space="preserve">M </w:t>
      </w:r>
      <w:r w:rsidRPr="00E3232D">
        <w:rPr>
          <w:rFonts w:ascii="Book Antiqua" w:hAnsi="Book Antiqua"/>
        </w:rPr>
        <w:t>is the median function</w:t>
      </w:r>
      <w:r w:rsidRPr="00E3232D">
        <w:rPr>
          <w:rFonts w:ascii="Book Antiqua" w:hAnsi="Book Antiqua"/>
          <w:i/>
        </w:rPr>
        <w:t xml:space="preserve">. </w:t>
      </w:r>
      <w:r w:rsidRPr="00E3232D">
        <w:rPr>
          <w:rFonts w:ascii="Book Antiqua" w:hAnsi="Book Antiqua"/>
        </w:rPr>
        <w:t>And this is applied to filter impulse noise form a corrupted image. (Chen and Wu, 2001)</w:t>
      </w:r>
    </w:p>
    <w:p w14:paraId="00780CD2" w14:textId="77777777" w:rsidR="00D80800" w:rsidRPr="00E3232D" w:rsidRDefault="00540710" w:rsidP="002F4DEE">
      <w:pPr>
        <w:jc w:val="both"/>
        <w:rPr>
          <w:rFonts w:ascii="Book Antiqua" w:hAnsi="Book Antiqua"/>
          <w:b/>
        </w:rPr>
      </w:pPr>
      <w:r>
        <w:rPr>
          <w:rFonts w:ascii="Book Antiqua" w:hAnsi="Book Antiqua"/>
          <w:b/>
        </w:rPr>
        <w:t>1.1</w:t>
      </w:r>
      <w:r w:rsidR="00D80800" w:rsidRPr="00E3232D">
        <w:rPr>
          <w:rFonts w:ascii="Book Antiqua" w:hAnsi="Book Antiqua"/>
          <w:b/>
        </w:rPr>
        <w:t>2</w:t>
      </w:r>
      <w:r w:rsidR="00D80800" w:rsidRPr="00E3232D">
        <w:rPr>
          <w:rFonts w:ascii="Book Antiqua" w:hAnsi="Book Antiqua"/>
          <w:b/>
        </w:rPr>
        <w:tab/>
        <w:t>Frequency Filter</w:t>
      </w:r>
    </w:p>
    <w:p w14:paraId="18907842" w14:textId="77777777" w:rsidR="00D80800" w:rsidRPr="00E3232D" w:rsidRDefault="00D80800" w:rsidP="002F4DEE">
      <w:pPr>
        <w:pStyle w:val="NormalWeb"/>
        <w:spacing w:after="0" w:afterAutospacing="0" w:line="276" w:lineRule="auto"/>
        <w:jc w:val="both"/>
        <w:rPr>
          <w:rFonts w:ascii="Book Antiqua" w:hAnsi="Book Antiqua"/>
          <w:sz w:val="22"/>
          <w:szCs w:val="22"/>
        </w:rPr>
      </w:pPr>
      <w:r w:rsidRPr="00E3232D">
        <w:rPr>
          <w:rFonts w:ascii="Book Antiqua" w:hAnsi="Book Antiqua"/>
          <w:sz w:val="22"/>
          <w:szCs w:val="22"/>
        </w:rPr>
        <w:t xml:space="preserve">Frequency filters process an image in the frequency domain. The image is </w:t>
      </w:r>
      <w:bookmarkStart w:id="134" w:name="2"/>
      <w:r w:rsidR="007005B1">
        <w:rPr>
          <w:rFonts w:ascii="Book Antiqua" w:hAnsi="Book Antiqua"/>
          <w:noProof/>
          <w:sz w:val="22"/>
          <w:szCs w:val="22"/>
          <w:lang w:val="en-US" w:eastAsia="en-US" w:bidi="ar-SA"/>
        </w:rPr>
        <w:drawing>
          <wp:inline distT="0" distB="0" distL="0" distR="0" wp14:anchorId="7E87C48C" wp14:editId="398C24B9">
            <wp:extent cx="9525" cy="9525"/>
            <wp:effectExtent l="0" t="0" r="0" b="0"/>
            <wp:docPr id="204" name="Picture 9" descr="Description: C:\Users\Papa Prince\Desktop\Projects Supervision\Research for Publication\Image Processing\Filters\freqfilt_files\mo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Papa Prince\Desktop\Projects Supervision\Research for Publication\Image Processing\Filters\freqfilt_files\mote.gif"/>
                    <pic:cNvPicPr>
                      <a:picLocks noChangeAspect="1" noChangeArrowheads="1"/>
                    </pic:cNvPicPr>
                  </pic:nvPicPr>
                  <pic:blipFill>
                    <a:blip r:embed="rId308"/>
                    <a:srcRect/>
                    <a:stretch>
                      <a:fillRect/>
                    </a:stretch>
                  </pic:blipFill>
                  <pic:spPr bwMode="auto">
                    <a:xfrm>
                      <a:off x="0" y="0"/>
                      <a:ext cx="9525" cy="9525"/>
                    </a:xfrm>
                    <a:prstGeom prst="rect">
                      <a:avLst/>
                    </a:prstGeom>
                    <a:noFill/>
                    <a:ln w="9525">
                      <a:noFill/>
                      <a:miter lim="800000"/>
                      <a:headEnd/>
                      <a:tailEnd/>
                    </a:ln>
                  </pic:spPr>
                </pic:pic>
              </a:graphicData>
            </a:graphic>
          </wp:inline>
        </w:drawing>
      </w:r>
      <w:bookmarkEnd w:id="134"/>
      <w:r w:rsidRPr="00E3232D">
        <w:rPr>
          <w:rFonts w:ascii="Book Antiqua" w:hAnsi="Book Antiqua"/>
          <w:sz w:val="22"/>
          <w:szCs w:val="22"/>
        </w:rPr>
        <w:t>Fourier transformed, multiplied with the filter function and then re-transformed into the spatial domain. Attenuating high frequencies results in a smoother image in the spatial domain, attenuating low frequencies enhances the edges. (Xiao et al, 2011)</w:t>
      </w:r>
    </w:p>
    <w:p w14:paraId="79624504" w14:textId="77777777" w:rsidR="003060AB" w:rsidRDefault="003060AB" w:rsidP="002F4DEE">
      <w:pPr>
        <w:pStyle w:val="NormalWeb"/>
        <w:spacing w:before="0" w:beforeAutospacing="0" w:after="0" w:afterAutospacing="0" w:line="276" w:lineRule="auto"/>
        <w:jc w:val="both"/>
        <w:rPr>
          <w:rFonts w:ascii="Book Antiqua" w:hAnsi="Book Antiqua"/>
          <w:sz w:val="22"/>
          <w:szCs w:val="22"/>
        </w:rPr>
      </w:pPr>
    </w:p>
    <w:p w14:paraId="49FEA316"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All frequency filters can also be implemented in the spatial domain and, if there exists a simple kernel for the desired filter effect, it is computationally less expensive to perform the filtering in the spatial domain. Frequency filtering is more appropriate if no straightforward kernel can be found in the spatial domain, and may also be more efficient. (</w:t>
      </w:r>
      <w:r w:rsidRPr="00E3232D">
        <w:rPr>
          <w:rFonts w:ascii="Book Antiqua" w:hAnsi="Book Antiqua"/>
          <w:bCs/>
          <w:sz w:val="22"/>
          <w:szCs w:val="22"/>
        </w:rPr>
        <w:t>Marion, 1991)</w:t>
      </w:r>
    </w:p>
    <w:p w14:paraId="48C36DEA" w14:textId="77777777" w:rsidR="0094223C" w:rsidRDefault="0094223C" w:rsidP="002F4DEE">
      <w:pPr>
        <w:pStyle w:val="NormalWeb"/>
        <w:spacing w:before="0" w:beforeAutospacing="0" w:after="0" w:afterAutospacing="0" w:line="276" w:lineRule="auto"/>
        <w:jc w:val="both"/>
        <w:rPr>
          <w:rFonts w:ascii="Book Antiqua" w:hAnsi="Book Antiqua"/>
          <w:sz w:val="22"/>
          <w:szCs w:val="22"/>
        </w:rPr>
      </w:pPr>
    </w:p>
    <w:p w14:paraId="0C5C8B91" w14:textId="77777777" w:rsidR="00D80800" w:rsidRPr="00E3232D" w:rsidRDefault="00D80800" w:rsidP="002F4DEE">
      <w:pPr>
        <w:pStyle w:val="NormalWeb"/>
        <w:spacing w:before="0" w:beforeAutospacing="0" w:line="276" w:lineRule="auto"/>
        <w:jc w:val="both"/>
        <w:rPr>
          <w:rFonts w:ascii="Book Antiqua" w:hAnsi="Book Antiqua"/>
          <w:sz w:val="22"/>
          <w:szCs w:val="22"/>
        </w:rPr>
      </w:pPr>
      <w:r w:rsidRPr="00E3232D">
        <w:rPr>
          <w:rFonts w:ascii="Book Antiqua" w:hAnsi="Book Antiqua"/>
          <w:sz w:val="22"/>
          <w:szCs w:val="22"/>
        </w:rPr>
        <w:t xml:space="preserve">Frequency filtering is based on the Fourier Transform. (For the following discussion we assume some knowledge about the Fourier Transform, therefore it is advantageous if you have already read the corresponding worksheet.) The operator usually takes an image and a filter function in the Fourier domain. This image is then multiplied with the filter function in a pixel-by-pixel fashion: </w:t>
      </w:r>
    </w:p>
    <w:p w14:paraId="5563002F" w14:textId="77777777" w:rsidR="00D80800" w:rsidRPr="00E3232D" w:rsidRDefault="00D80800" w:rsidP="002F4DEE">
      <w:pPr>
        <w:jc w:val="both"/>
        <w:rPr>
          <w:rFonts w:ascii="Book Antiqua" w:hAnsi="Book Antiqua"/>
          <w:b/>
          <w:i/>
        </w:rPr>
      </w:pPr>
      <w:r w:rsidRPr="00E3232D">
        <w:rPr>
          <w:rFonts w:ascii="Book Antiqua" w:hAnsi="Book Antiqua"/>
          <w:b/>
          <w:i/>
        </w:rPr>
        <w:t>G(k, l) = F(k, l)H(k, l)</w:t>
      </w:r>
      <w:r w:rsidRPr="00E3232D">
        <w:rPr>
          <w:rFonts w:ascii="Book Antiqua" w:hAnsi="Book Antiqua"/>
          <w:b/>
          <w:i/>
        </w:rPr>
        <w:tab/>
      </w:r>
      <w:r w:rsidRPr="00E3232D">
        <w:rPr>
          <w:rFonts w:ascii="Book Antiqua" w:hAnsi="Book Antiqua"/>
          <w:b/>
          <w:i/>
        </w:rPr>
        <w:tab/>
      </w:r>
      <w:r w:rsidRPr="00E3232D">
        <w:rPr>
          <w:rFonts w:ascii="Book Antiqua" w:hAnsi="Book Antiqua"/>
          <w:b/>
        </w:rPr>
        <w:t>(2)</w:t>
      </w:r>
    </w:p>
    <w:p w14:paraId="520AE1FE" w14:textId="77777777" w:rsidR="003060AB" w:rsidRDefault="003060AB" w:rsidP="002F4DEE">
      <w:pPr>
        <w:jc w:val="both"/>
        <w:rPr>
          <w:rFonts w:ascii="Book Antiqua" w:hAnsi="Book Antiqua"/>
        </w:rPr>
      </w:pPr>
      <w:r w:rsidRPr="00E3232D">
        <w:rPr>
          <w:rFonts w:ascii="Book Antiqua" w:hAnsi="Book Antiqua"/>
        </w:rPr>
        <w:t>Where</w:t>
      </w:r>
      <w:r w:rsidR="00D80800" w:rsidRPr="00E3232D">
        <w:rPr>
          <w:rFonts w:ascii="Book Antiqua" w:hAnsi="Book Antiqua"/>
        </w:rPr>
        <w:t xml:space="preserve"> </w:t>
      </w:r>
      <w:r w:rsidR="00D80800" w:rsidRPr="00E3232D">
        <w:rPr>
          <w:rStyle w:val="Emphasis"/>
          <w:rFonts w:ascii="Book Antiqua" w:hAnsi="Book Antiqua"/>
        </w:rPr>
        <w:t>F</w:t>
      </w:r>
      <w:r w:rsidR="00D80800" w:rsidRPr="00E3232D">
        <w:rPr>
          <w:rFonts w:ascii="Book Antiqua" w:hAnsi="Book Antiqua"/>
        </w:rPr>
        <w:t>(</w:t>
      </w:r>
      <w:r w:rsidR="00D80800" w:rsidRPr="00E3232D">
        <w:rPr>
          <w:rStyle w:val="Emphasis"/>
          <w:rFonts w:ascii="Book Antiqua" w:hAnsi="Book Antiqua"/>
        </w:rPr>
        <w:t>k</w:t>
      </w:r>
      <w:r w:rsidR="00D80800" w:rsidRPr="00E3232D">
        <w:rPr>
          <w:rFonts w:ascii="Book Antiqua" w:hAnsi="Book Antiqua"/>
        </w:rPr>
        <w:t>,</w:t>
      </w:r>
      <w:r w:rsidR="00D80800" w:rsidRPr="00E3232D">
        <w:rPr>
          <w:rStyle w:val="Emphasis"/>
          <w:rFonts w:ascii="Book Antiqua" w:hAnsi="Book Antiqua"/>
        </w:rPr>
        <w:t>l</w:t>
      </w:r>
      <w:r w:rsidR="00D80800" w:rsidRPr="00E3232D">
        <w:rPr>
          <w:rFonts w:ascii="Book Antiqua" w:hAnsi="Book Antiqua"/>
        </w:rPr>
        <w:t xml:space="preserve">) is the input image in the Fourier domain, </w:t>
      </w:r>
      <w:r w:rsidR="00D80800" w:rsidRPr="00E3232D">
        <w:rPr>
          <w:rStyle w:val="Emphasis"/>
          <w:rFonts w:ascii="Book Antiqua" w:hAnsi="Book Antiqua"/>
        </w:rPr>
        <w:t>H</w:t>
      </w:r>
      <w:r w:rsidR="00D80800" w:rsidRPr="00E3232D">
        <w:rPr>
          <w:rFonts w:ascii="Book Antiqua" w:hAnsi="Book Antiqua"/>
        </w:rPr>
        <w:t>(</w:t>
      </w:r>
      <w:r w:rsidR="00D80800" w:rsidRPr="00E3232D">
        <w:rPr>
          <w:rStyle w:val="Emphasis"/>
          <w:rFonts w:ascii="Book Antiqua" w:hAnsi="Book Antiqua"/>
        </w:rPr>
        <w:t>k</w:t>
      </w:r>
      <w:r w:rsidR="00D80800" w:rsidRPr="00E3232D">
        <w:rPr>
          <w:rFonts w:ascii="Book Antiqua" w:hAnsi="Book Antiqua"/>
        </w:rPr>
        <w:t>,</w:t>
      </w:r>
      <w:r w:rsidR="00D80800" w:rsidRPr="00E3232D">
        <w:rPr>
          <w:rStyle w:val="Emphasis"/>
          <w:rFonts w:ascii="Book Antiqua" w:hAnsi="Book Antiqua"/>
        </w:rPr>
        <w:t>l</w:t>
      </w:r>
      <w:r w:rsidR="00D80800" w:rsidRPr="00E3232D">
        <w:rPr>
          <w:rFonts w:ascii="Book Antiqua" w:hAnsi="Book Antiqua"/>
        </w:rPr>
        <w:t xml:space="preserve">) the filter function and </w:t>
      </w:r>
      <w:r w:rsidR="00D80800" w:rsidRPr="00E3232D">
        <w:rPr>
          <w:rStyle w:val="Emphasis"/>
          <w:rFonts w:ascii="Book Antiqua" w:hAnsi="Book Antiqua"/>
        </w:rPr>
        <w:t>G</w:t>
      </w:r>
      <w:r w:rsidR="00D80800" w:rsidRPr="00E3232D">
        <w:rPr>
          <w:rFonts w:ascii="Book Antiqua" w:hAnsi="Book Antiqua"/>
        </w:rPr>
        <w:t>(</w:t>
      </w:r>
      <w:r w:rsidR="00D80800" w:rsidRPr="00E3232D">
        <w:rPr>
          <w:rStyle w:val="Emphasis"/>
          <w:rFonts w:ascii="Book Antiqua" w:hAnsi="Book Antiqua"/>
        </w:rPr>
        <w:t>k</w:t>
      </w:r>
      <w:r w:rsidR="00D80800" w:rsidRPr="00E3232D">
        <w:rPr>
          <w:rFonts w:ascii="Book Antiqua" w:hAnsi="Book Antiqua"/>
        </w:rPr>
        <w:t>,</w:t>
      </w:r>
      <w:r w:rsidR="00D80800" w:rsidRPr="00E3232D">
        <w:rPr>
          <w:rStyle w:val="Emphasis"/>
          <w:rFonts w:ascii="Book Antiqua" w:hAnsi="Book Antiqua"/>
        </w:rPr>
        <w:t>l</w:t>
      </w:r>
      <w:r w:rsidR="00D80800" w:rsidRPr="00E3232D">
        <w:rPr>
          <w:rFonts w:ascii="Book Antiqua" w:hAnsi="Book Antiqua"/>
        </w:rPr>
        <w:t xml:space="preserve">) is the filtered image. To obtain the resulting image in the spatial domain, </w:t>
      </w:r>
      <w:r w:rsidR="00D80800" w:rsidRPr="00E3232D">
        <w:rPr>
          <w:rStyle w:val="Emphasis"/>
          <w:rFonts w:ascii="Book Antiqua" w:hAnsi="Book Antiqua"/>
        </w:rPr>
        <w:t>G</w:t>
      </w:r>
      <w:r w:rsidR="00D80800" w:rsidRPr="00E3232D">
        <w:rPr>
          <w:rFonts w:ascii="Book Antiqua" w:hAnsi="Book Antiqua"/>
        </w:rPr>
        <w:t>(</w:t>
      </w:r>
      <w:r w:rsidR="00D80800" w:rsidRPr="00E3232D">
        <w:rPr>
          <w:rStyle w:val="Emphasis"/>
          <w:rFonts w:ascii="Book Antiqua" w:hAnsi="Book Antiqua"/>
        </w:rPr>
        <w:t>k</w:t>
      </w:r>
      <w:r w:rsidR="00D80800" w:rsidRPr="00E3232D">
        <w:rPr>
          <w:rFonts w:ascii="Book Antiqua" w:hAnsi="Book Antiqua"/>
        </w:rPr>
        <w:t>,</w:t>
      </w:r>
      <w:r w:rsidR="00D80800" w:rsidRPr="00E3232D">
        <w:rPr>
          <w:rStyle w:val="Emphasis"/>
          <w:rFonts w:ascii="Book Antiqua" w:hAnsi="Book Antiqua"/>
        </w:rPr>
        <w:t>l</w:t>
      </w:r>
      <w:r w:rsidR="00D80800" w:rsidRPr="00E3232D">
        <w:rPr>
          <w:rFonts w:ascii="Book Antiqua" w:hAnsi="Book Antiqua"/>
        </w:rPr>
        <w:t>) has to be re-transformed using the inverse Fourier Transform. (</w:t>
      </w:r>
      <w:r w:rsidR="00D80800" w:rsidRPr="00E3232D">
        <w:rPr>
          <w:rFonts w:ascii="Book Antiqua" w:hAnsi="Book Antiqua"/>
          <w:bCs/>
        </w:rPr>
        <w:t>Gonzalez and Woods, 1992)</w:t>
      </w:r>
    </w:p>
    <w:p w14:paraId="068C9BBA"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Since the multiplication in the Fourier space is identical to convolution in the spatial domain, all frequency filters can in theory be implemented as a spatial filter. However, in practice, the Fourier domain filter function can only be approximated by the filtering kernel in spatial domain. (</w:t>
      </w:r>
      <w:r w:rsidRPr="00E3232D">
        <w:rPr>
          <w:rFonts w:ascii="Book Antiqua" w:hAnsi="Book Antiqua"/>
          <w:bCs/>
          <w:sz w:val="22"/>
          <w:szCs w:val="22"/>
        </w:rPr>
        <w:t>Gonzalez and Woods, 1992)</w:t>
      </w:r>
    </w:p>
    <w:p w14:paraId="5B3EE8DD" w14:textId="77777777" w:rsidR="003060AB" w:rsidRDefault="003060AB" w:rsidP="002F4DEE">
      <w:pPr>
        <w:pStyle w:val="NormalWeb"/>
        <w:spacing w:before="0" w:beforeAutospacing="0" w:after="0" w:afterAutospacing="0" w:line="276" w:lineRule="auto"/>
        <w:jc w:val="both"/>
        <w:rPr>
          <w:rFonts w:ascii="Book Antiqua" w:hAnsi="Book Antiqua"/>
          <w:sz w:val="22"/>
          <w:szCs w:val="22"/>
        </w:rPr>
      </w:pPr>
    </w:p>
    <w:p w14:paraId="17784C44" w14:textId="77777777" w:rsidR="0094223C"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 xml:space="preserve">The form of the filter function determines the effects of the operator. There are basically three different kinds of filters: </w:t>
      </w:r>
      <w:bookmarkStart w:id="135" w:name="3"/>
      <w:r w:rsidR="007005B1">
        <w:rPr>
          <w:rFonts w:ascii="Book Antiqua" w:hAnsi="Book Antiqua"/>
          <w:noProof/>
          <w:sz w:val="22"/>
          <w:szCs w:val="22"/>
          <w:lang w:val="en-US" w:eastAsia="en-US" w:bidi="ar-SA"/>
        </w:rPr>
        <w:drawing>
          <wp:inline distT="0" distB="0" distL="0" distR="0" wp14:anchorId="50699C68" wp14:editId="7EA21B64">
            <wp:extent cx="9525" cy="9525"/>
            <wp:effectExtent l="0" t="0" r="0" b="0"/>
            <wp:docPr id="205" name="Picture 12" descr="Description: C:\Users\Papa Prince\Desktop\Projects Supervision\Research for Publication\Image Processing\Filters\freqfilt_files\mo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Papa Prince\Desktop\Projects Supervision\Research for Publication\Image Processing\Filters\freqfilt_files\mote.gif"/>
                    <pic:cNvPicPr>
                      <a:picLocks noChangeAspect="1" noChangeArrowheads="1"/>
                    </pic:cNvPicPr>
                  </pic:nvPicPr>
                  <pic:blipFill>
                    <a:blip r:embed="rId308"/>
                    <a:srcRect/>
                    <a:stretch>
                      <a:fillRect/>
                    </a:stretch>
                  </pic:blipFill>
                  <pic:spPr bwMode="auto">
                    <a:xfrm>
                      <a:off x="0" y="0"/>
                      <a:ext cx="9525" cy="9525"/>
                    </a:xfrm>
                    <a:prstGeom prst="rect">
                      <a:avLst/>
                    </a:prstGeom>
                    <a:noFill/>
                    <a:ln w="9525">
                      <a:noFill/>
                      <a:miter lim="800000"/>
                      <a:headEnd/>
                      <a:tailEnd/>
                    </a:ln>
                  </pic:spPr>
                </pic:pic>
              </a:graphicData>
            </a:graphic>
          </wp:inline>
        </w:drawing>
      </w:r>
      <w:bookmarkEnd w:id="135"/>
      <w:r w:rsidRPr="00E3232D">
        <w:rPr>
          <w:rStyle w:val="Emphasis"/>
          <w:rFonts w:ascii="Book Antiqua" w:hAnsi="Book Antiqua"/>
          <w:sz w:val="22"/>
          <w:szCs w:val="22"/>
        </w:rPr>
        <w:t>lowpass</w:t>
      </w:r>
      <w:r w:rsidRPr="00E3232D">
        <w:rPr>
          <w:rFonts w:ascii="Book Antiqua" w:hAnsi="Book Antiqua"/>
          <w:sz w:val="22"/>
          <w:szCs w:val="22"/>
        </w:rPr>
        <w:t xml:space="preserve">, </w:t>
      </w:r>
      <w:bookmarkStart w:id="136" w:name="4"/>
      <w:r w:rsidR="007005B1">
        <w:rPr>
          <w:rFonts w:ascii="Book Antiqua" w:hAnsi="Book Antiqua"/>
          <w:noProof/>
          <w:sz w:val="22"/>
          <w:szCs w:val="22"/>
          <w:lang w:val="en-US" w:eastAsia="en-US" w:bidi="ar-SA"/>
        </w:rPr>
        <w:drawing>
          <wp:inline distT="0" distB="0" distL="0" distR="0" wp14:anchorId="2C01D4D3" wp14:editId="5D4E621D">
            <wp:extent cx="9525" cy="9525"/>
            <wp:effectExtent l="0" t="0" r="0" b="0"/>
            <wp:docPr id="206" name="Picture 13" descr="Description: C:\Users\Papa Prince\Desktop\Projects Supervision\Research for Publication\Image Processing\Filters\freqfilt_files\mo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Papa Prince\Desktop\Projects Supervision\Research for Publication\Image Processing\Filters\freqfilt_files\mote.gif"/>
                    <pic:cNvPicPr>
                      <a:picLocks noChangeAspect="1" noChangeArrowheads="1"/>
                    </pic:cNvPicPr>
                  </pic:nvPicPr>
                  <pic:blipFill>
                    <a:blip r:embed="rId308"/>
                    <a:srcRect/>
                    <a:stretch>
                      <a:fillRect/>
                    </a:stretch>
                  </pic:blipFill>
                  <pic:spPr bwMode="auto">
                    <a:xfrm>
                      <a:off x="0" y="0"/>
                      <a:ext cx="9525" cy="9525"/>
                    </a:xfrm>
                    <a:prstGeom prst="rect">
                      <a:avLst/>
                    </a:prstGeom>
                    <a:noFill/>
                    <a:ln w="9525">
                      <a:noFill/>
                      <a:miter lim="800000"/>
                      <a:headEnd/>
                      <a:tailEnd/>
                    </a:ln>
                  </pic:spPr>
                </pic:pic>
              </a:graphicData>
            </a:graphic>
          </wp:inline>
        </w:drawing>
      </w:r>
      <w:bookmarkEnd w:id="136"/>
      <w:r w:rsidRPr="00E3232D">
        <w:rPr>
          <w:rStyle w:val="Emphasis"/>
          <w:rFonts w:ascii="Book Antiqua" w:hAnsi="Book Antiqua"/>
          <w:sz w:val="22"/>
          <w:szCs w:val="22"/>
        </w:rPr>
        <w:t>highpass</w:t>
      </w:r>
      <w:r w:rsidRPr="00E3232D">
        <w:rPr>
          <w:rFonts w:ascii="Book Antiqua" w:hAnsi="Book Antiqua"/>
          <w:sz w:val="22"/>
          <w:szCs w:val="22"/>
        </w:rPr>
        <w:t xml:space="preserve"> and </w:t>
      </w:r>
      <w:bookmarkStart w:id="137" w:name="5"/>
      <w:r w:rsidR="007005B1">
        <w:rPr>
          <w:rFonts w:ascii="Book Antiqua" w:hAnsi="Book Antiqua"/>
          <w:noProof/>
          <w:sz w:val="22"/>
          <w:szCs w:val="22"/>
          <w:lang w:val="en-US" w:eastAsia="en-US" w:bidi="ar-SA"/>
        </w:rPr>
        <w:drawing>
          <wp:inline distT="0" distB="0" distL="0" distR="0" wp14:anchorId="2316ECF8" wp14:editId="418DB84A">
            <wp:extent cx="9525" cy="9525"/>
            <wp:effectExtent l="0" t="0" r="0" b="0"/>
            <wp:docPr id="207" name="Picture 14" descr="Description: C:\Users\Papa Prince\Desktop\Projects Supervision\Research for Publication\Image Processing\Filters\freqfilt_files\mo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Users\Papa Prince\Desktop\Projects Supervision\Research for Publication\Image Processing\Filters\freqfilt_files\mote.gif"/>
                    <pic:cNvPicPr>
                      <a:picLocks noChangeAspect="1" noChangeArrowheads="1"/>
                    </pic:cNvPicPr>
                  </pic:nvPicPr>
                  <pic:blipFill>
                    <a:blip r:embed="rId308"/>
                    <a:srcRect/>
                    <a:stretch>
                      <a:fillRect/>
                    </a:stretch>
                  </pic:blipFill>
                  <pic:spPr bwMode="auto">
                    <a:xfrm>
                      <a:off x="0" y="0"/>
                      <a:ext cx="9525" cy="9525"/>
                    </a:xfrm>
                    <a:prstGeom prst="rect">
                      <a:avLst/>
                    </a:prstGeom>
                    <a:noFill/>
                    <a:ln w="9525">
                      <a:noFill/>
                      <a:miter lim="800000"/>
                      <a:headEnd/>
                      <a:tailEnd/>
                    </a:ln>
                  </pic:spPr>
                </pic:pic>
              </a:graphicData>
            </a:graphic>
          </wp:inline>
        </w:drawing>
      </w:r>
      <w:bookmarkEnd w:id="137"/>
      <w:r w:rsidRPr="00E3232D">
        <w:rPr>
          <w:rStyle w:val="Emphasis"/>
          <w:rFonts w:ascii="Book Antiqua" w:hAnsi="Book Antiqua"/>
          <w:sz w:val="22"/>
          <w:szCs w:val="22"/>
        </w:rPr>
        <w:t>bandpass</w:t>
      </w:r>
      <w:r w:rsidRPr="00E3232D">
        <w:rPr>
          <w:rFonts w:ascii="Book Antiqua" w:hAnsi="Book Antiqua"/>
          <w:sz w:val="22"/>
          <w:szCs w:val="22"/>
        </w:rPr>
        <w:t xml:space="preserve"> filters. A low-pass filter attenuates high frequencies and retains low frequencies unchanged. The result in the spatial domain is equivalent to that of a smoothing filter; as the blocked high frequencies correspond to sharp intensity changes, </w:t>
      </w:r>
      <w:r w:rsidRPr="00E3232D">
        <w:rPr>
          <w:rStyle w:val="Emphasis"/>
          <w:rFonts w:ascii="Book Antiqua" w:hAnsi="Book Antiqua"/>
          <w:sz w:val="22"/>
          <w:szCs w:val="22"/>
        </w:rPr>
        <w:t>i.e.</w:t>
      </w:r>
      <w:r w:rsidRPr="00E3232D">
        <w:rPr>
          <w:rFonts w:ascii="Book Antiqua" w:hAnsi="Book Antiqua"/>
          <w:sz w:val="22"/>
          <w:szCs w:val="22"/>
        </w:rPr>
        <w:t xml:space="preserve"> to the fine-scale details and noise in the spatial domain image. </w:t>
      </w:r>
      <w:r w:rsidRPr="00E3232D">
        <w:rPr>
          <w:rFonts w:ascii="Book Antiqua" w:hAnsi="Book Antiqua"/>
          <w:sz w:val="22"/>
          <w:szCs w:val="22"/>
        </w:rPr>
        <w:br/>
      </w:r>
    </w:p>
    <w:p w14:paraId="7D128858" w14:textId="77777777" w:rsidR="00D80800" w:rsidRPr="00E3232D" w:rsidRDefault="00D80800" w:rsidP="002F4DEE">
      <w:pPr>
        <w:pStyle w:val="NormalWeb"/>
        <w:spacing w:before="0" w:beforeAutospacing="0" w:after="0" w:afterAutospacing="0" w:line="276" w:lineRule="auto"/>
        <w:jc w:val="both"/>
        <w:rPr>
          <w:rFonts w:ascii="Book Antiqua" w:hAnsi="Book Antiqua"/>
          <w:sz w:val="22"/>
          <w:szCs w:val="22"/>
        </w:rPr>
      </w:pPr>
      <w:r w:rsidRPr="00E3232D">
        <w:rPr>
          <w:rFonts w:ascii="Book Antiqua" w:hAnsi="Book Antiqua"/>
          <w:sz w:val="22"/>
          <w:szCs w:val="22"/>
        </w:rPr>
        <w:t>A highpass filter, on the other hand, yields edge enhancement or edge detection in the spatial domain, because edges contain many high frequencies. Areas of rather constant gray level consist of mainly low frequencies and are therefore suppressed.</w:t>
      </w:r>
    </w:p>
    <w:p w14:paraId="4B058849" w14:textId="77777777" w:rsidR="00D80800" w:rsidRPr="002F4DEE" w:rsidRDefault="00D80800" w:rsidP="002F4DEE">
      <w:pPr>
        <w:pStyle w:val="NormalWeb"/>
        <w:spacing w:before="0" w:beforeAutospacing="0" w:line="276" w:lineRule="auto"/>
        <w:jc w:val="both"/>
        <w:rPr>
          <w:rFonts w:ascii="Book Antiqua" w:hAnsi="Book Antiqua"/>
          <w:sz w:val="22"/>
          <w:szCs w:val="22"/>
        </w:rPr>
      </w:pPr>
      <w:r w:rsidRPr="00E3232D">
        <w:rPr>
          <w:rFonts w:ascii="Book Antiqua" w:hAnsi="Book Antiqua"/>
          <w:sz w:val="22"/>
          <w:szCs w:val="22"/>
        </w:rPr>
        <w:t>A bandpass attenuates very low and very high frequencies, but retains a middle range band of frequencies. Bandpass filtering can be used to enhance edges (suppressing low frequencies) while reducing the noise at the same time (attenuating high frequencies). (Russo, 2010)</w:t>
      </w:r>
    </w:p>
    <w:p w14:paraId="2E4A3D26" w14:textId="77777777" w:rsidR="00D80800" w:rsidRPr="00E3232D" w:rsidRDefault="00540710" w:rsidP="002F4DEE">
      <w:pPr>
        <w:spacing w:after="240"/>
        <w:jc w:val="both"/>
        <w:rPr>
          <w:rFonts w:ascii="Book Antiqua" w:hAnsi="Book Antiqua"/>
          <w:b/>
        </w:rPr>
      </w:pPr>
      <w:r>
        <w:rPr>
          <w:rFonts w:ascii="Book Antiqua" w:hAnsi="Book Antiqua"/>
          <w:b/>
        </w:rPr>
        <w:t>2.0</w:t>
      </w:r>
      <w:r w:rsidR="00D80800" w:rsidRPr="00E3232D">
        <w:rPr>
          <w:rFonts w:ascii="Book Antiqua" w:hAnsi="Book Antiqua"/>
          <w:b/>
        </w:rPr>
        <w:tab/>
      </w:r>
      <w:r w:rsidR="00D80800" w:rsidRPr="00540710">
        <w:rPr>
          <w:rFonts w:ascii="Book Antiqua" w:hAnsi="Book Antiqua"/>
          <w:b/>
          <w:sz w:val="24"/>
        </w:rPr>
        <w:t>Implementations and Results</w:t>
      </w:r>
    </w:p>
    <w:p w14:paraId="7118B278" w14:textId="77777777" w:rsidR="00D80800" w:rsidRPr="00E3232D" w:rsidRDefault="00D80800" w:rsidP="002F4DEE">
      <w:pPr>
        <w:jc w:val="both"/>
        <w:rPr>
          <w:rFonts w:ascii="Book Antiqua" w:hAnsi="Book Antiqua"/>
        </w:rPr>
      </w:pPr>
      <w:r w:rsidRPr="00E3232D">
        <w:rPr>
          <w:rFonts w:ascii="Book Antiqua" w:hAnsi="Book Antiqua"/>
        </w:rPr>
        <w:t>When the median filter algorithm is implemented on a corrupted image by impulse noise it aids in reducing the noise and hence producing a better one. For example, the figures below show the product of an image with 20% impulse noise after applying median filter algorithm.</w:t>
      </w:r>
    </w:p>
    <w:p w14:paraId="5B83935D" w14:textId="77777777" w:rsidR="00D80800" w:rsidRPr="00E3232D" w:rsidRDefault="007005B1" w:rsidP="008275E1">
      <w:pPr>
        <w:spacing w:before="240"/>
        <w:rPr>
          <w:rFonts w:ascii="Book Antiqua" w:hAnsi="Book Antiqua"/>
        </w:rPr>
      </w:pPr>
      <w:r>
        <w:rPr>
          <w:rFonts w:ascii="Book Antiqua" w:hAnsi="Book Antiqua"/>
          <w:noProof/>
          <w:lang w:bidi="ar-SA"/>
        </w:rPr>
        <w:drawing>
          <wp:inline distT="0" distB="0" distL="0" distR="0" wp14:anchorId="74E3D2AF" wp14:editId="631681AD">
            <wp:extent cx="2724150" cy="2562225"/>
            <wp:effectExtent l="19050" t="0" r="0" b="0"/>
            <wp:docPr id="2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9"/>
                    <a:srcRect l="1646" t="3793" r="50407" b="16898"/>
                    <a:stretch>
                      <a:fillRect/>
                    </a:stretch>
                  </pic:blipFill>
                  <pic:spPr bwMode="auto">
                    <a:xfrm>
                      <a:off x="0" y="0"/>
                      <a:ext cx="2724150" cy="2562225"/>
                    </a:xfrm>
                    <a:prstGeom prst="rect">
                      <a:avLst/>
                    </a:prstGeom>
                    <a:noFill/>
                    <a:ln w="9525">
                      <a:noFill/>
                      <a:miter lim="800000"/>
                      <a:headEnd/>
                      <a:tailEnd/>
                    </a:ln>
                  </pic:spPr>
                </pic:pic>
              </a:graphicData>
            </a:graphic>
          </wp:inline>
        </w:drawing>
      </w:r>
      <w:r w:rsidR="00D80800" w:rsidRPr="00E3232D">
        <w:rPr>
          <w:rFonts w:ascii="Book Antiqua" w:hAnsi="Book Antiqua"/>
        </w:rPr>
        <w:t xml:space="preserve"> Figure I:</w:t>
      </w:r>
      <w:r w:rsidR="00D80800" w:rsidRPr="00E3232D">
        <w:rPr>
          <w:rFonts w:ascii="Book Antiqua" w:hAnsi="Book Antiqua"/>
        </w:rPr>
        <w:tab/>
        <w:t xml:space="preserve">An image corrupted with 20% </w:t>
      </w:r>
      <w:r w:rsidR="00D80800" w:rsidRPr="00E3232D">
        <w:rPr>
          <w:rFonts w:ascii="Book Antiqua" w:hAnsi="Book Antiqua"/>
        </w:rPr>
        <w:tab/>
      </w:r>
      <w:r w:rsidR="00D80800" w:rsidRPr="00E3232D">
        <w:rPr>
          <w:rFonts w:ascii="Book Antiqua" w:hAnsi="Book Antiqua"/>
        </w:rPr>
        <w:tab/>
        <w:t>impulse noise</w:t>
      </w:r>
    </w:p>
    <w:p w14:paraId="61B934AB" w14:textId="77777777" w:rsidR="00D80800" w:rsidRPr="00E3232D" w:rsidRDefault="00D80800" w:rsidP="008275E1">
      <w:pPr>
        <w:spacing w:before="240"/>
        <w:rPr>
          <w:rFonts w:ascii="Book Antiqua" w:hAnsi="Book Antiqua"/>
        </w:rPr>
      </w:pPr>
    </w:p>
    <w:p w14:paraId="192674D1" w14:textId="77777777" w:rsidR="00D80800" w:rsidRPr="00E3232D" w:rsidRDefault="00D80800" w:rsidP="002F4DEE">
      <w:pPr>
        <w:jc w:val="both"/>
        <w:rPr>
          <w:rFonts w:ascii="Book Antiqua" w:hAnsi="Book Antiqua"/>
        </w:rPr>
      </w:pPr>
      <w:r w:rsidRPr="00E3232D">
        <w:rPr>
          <w:rFonts w:ascii="Book Antiqua" w:hAnsi="Book Antiqua"/>
        </w:rPr>
        <w:t xml:space="preserve">The original image with 20% impulse noise is seen to be corrupted and blurred on sight which most often obtained when movie images are captured at areas where significant amount of impulse noise exist. </w:t>
      </w:r>
    </w:p>
    <w:p w14:paraId="735C3098" w14:textId="77777777" w:rsidR="00D80800" w:rsidRPr="00E3232D" w:rsidRDefault="007005B1" w:rsidP="008275E1">
      <w:pPr>
        <w:rPr>
          <w:rFonts w:ascii="Book Antiqua" w:hAnsi="Book Antiqua"/>
        </w:rPr>
      </w:pPr>
      <w:r>
        <w:rPr>
          <w:rFonts w:ascii="Book Antiqua" w:hAnsi="Book Antiqua"/>
          <w:noProof/>
          <w:lang w:bidi="ar-SA"/>
        </w:rPr>
        <w:drawing>
          <wp:inline distT="0" distB="0" distL="0" distR="0" wp14:anchorId="7179BEA8" wp14:editId="66943A0D">
            <wp:extent cx="2505075" cy="2505075"/>
            <wp:effectExtent l="19050" t="0" r="9525" b="0"/>
            <wp:docPr id="2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0"/>
                    <a:srcRect l="5067" t="7771" r="49864" b="18388"/>
                    <a:stretch>
                      <a:fillRect/>
                    </a:stretch>
                  </pic:blipFill>
                  <pic:spPr bwMode="auto">
                    <a:xfrm>
                      <a:off x="0" y="0"/>
                      <a:ext cx="2505075" cy="2505075"/>
                    </a:xfrm>
                    <a:prstGeom prst="rect">
                      <a:avLst/>
                    </a:prstGeom>
                    <a:noFill/>
                    <a:ln w="9525">
                      <a:noFill/>
                      <a:miter lim="800000"/>
                      <a:headEnd/>
                      <a:tailEnd/>
                    </a:ln>
                  </pic:spPr>
                </pic:pic>
              </a:graphicData>
            </a:graphic>
          </wp:inline>
        </w:drawing>
      </w:r>
    </w:p>
    <w:p w14:paraId="32C119AD" w14:textId="77777777" w:rsidR="00D80800" w:rsidRPr="00E3232D" w:rsidRDefault="00D80800" w:rsidP="002F4DEE">
      <w:pPr>
        <w:ind w:left="1440" w:hanging="1440"/>
        <w:rPr>
          <w:rFonts w:ascii="Book Antiqua" w:hAnsi="Book Antiqua"/>
        </w:rPr>
      </w:pPr>
      <w:r w:rsidRPr="00E3232D">
        <w:rPr>
          <w:rFonts w:ascii="Book Antiqua" w:hAnsi="Book Antiqua"/>
        </w:rPr>
        <w:t>Figure II:</w:t>
      </w:r>
      <w:r w:rsidRPr="00E3232D">
        <w:rPr>
          <w:rFonts w:ascii="Book Antiqua" w:hAnsi="Book Antiqua"/>
        </w:rPr>
        <w:tab/>
        <w:t>Recovered image applying</w:t>
      </w:r>
      <w:r w:rsidRPr="00E3232D">
        <w:rPr>
          <w:rFonts w:ascii="Book Antiqua" w:hAnsi="Book Antiqua"/>
        </w:rPr>
        <w:tab/>
        <w:t xml:space="preserve"> median filter</w:t>
      </w:r>
    </w:p>
    <w:p w14:paraId="3502CF66" w14:textId="77777777" w:rsidR="00D80800" w:rsidRPr="00E3232D" w:rsidRDefault="00D80800" w:rsidP="002F4DEE">
      <w:pPr>
        <w:jc w:val="both"/>
        <w:rPr>
          <w:rFonts w:ascii="Book Antiqua" w:hAnsi="Book Antiqua"/>
        </w:rPr>
      </w:pPr>
      <w:r w:rsidRPr="00E3232D">
        <w:rPr>
          <w:rFonts w:ascii="Book Antiqua" w:hAnsi="Book Antiqua"/>
        </w:rPr>
        <w:t>Even much more corrupted image with 60% impulse noise can be recovered applying median filtering algorithm. A simulation of such distorted image will produce a remarkable result as we present in the following discussion.</w:t>
      </w:r>
    </w:p>
    <w:p w14:paraId="47DB55D2" w14:textId="77777777" w:rsidR="00D80800" w:rsidRPr="00E3232D" w:rsidRDefault="00D80800" w:rsidP="002F4DEE">
      <w:pPr>
        <w:jc w:val="both"/>
        <w:rPr>
          <w:rFonts w:ascii="Book Antiqua" w:hAnsi="Book Antiqua"/>
        </w:rPr>
      </w:pPr>
    </w:p>
    <w:p w14:paraId="447823FE" w14:textId="77777777" w:rsidR="00D80800" w:rsidRPr="00E3232D" w:rsidRDefault="007005B1" w:rsidP="008275E1">
      <w:pPr>
        <w:jc w:val="center"/>
        <w:rPr>
          <w:rFonts w:ascii="Book Antiqua" w:hAnsi="Book Antiqua"/>
        </w:rPr>
      </w:pPr>
      <w:r>
        <w:rPr>
          <w:rFonts w:ascii="Book Antiqua" w:hAnsi="Book Antiqua"/>
          <w:noProof/>
          <w:lang w:bidi="ar-SA"/>
        </w:rPr>
        <w:drawing>
          <wp:inline distT="0" distB="0" distL="0" distR="0" wp14:anchorId="5F83EAD9" wp14:editId="62D576C6">
            <wp:extent cx="2457450" cy="2609850"/>
            <wp:effectExtent l="19050" t="0" r="0" b="0"/>
            <wp:docPr id="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a:srcRect l="9615" t="11382" r="58495" b="34039"/>
                    <a:stretch>
                      <a:fillRect/>
                    </a:stretch>
                  </pic:blipFill>
                  <pic:spPr bwMode="auto">
                    <a:xfrm>
                      <a:off x="0" y="0"/>
                      <a:ext cx="2457450" cy="2609850"/>
                    </a:xfrm>
                    <a:prstGeom prst="rect">
                      <a:avLst/>
                    </a:prstGeom>
                    <a:noFill/>
                    <a:ln w="9525">
                      <a:noFill/>
                      <a:miter lim="800000"/>
                      <a:headEnd/>
                      <a:tailEnd/>
                    </a:ln>
                  </pic:spPr>
                </pic:pic>
              </a:graphicData>
            </a:graphic>
          </wp:inline>
        </w:drawing>
      </w:r>
    </w:p>
    <w:p w14:paraId="5009A4C9" w14:textId="77777777" w:rsidR="00D80800" w:rsidRPr="00E3232D" w:rsidRDefault="00D80800" w:rsidP="008275E1">
      <w:pPr>
        <w:rPr>
          <w:rFonts w:ascii="Book Antiqua" w:hAnsi="Book Antiqua"/>
        </w:rPr>
      </w:pPr>
      <w:r w:rsidRPr="00E3232D">
        <w:rPr>
          <w:rFonts w:ascii="Book Antiqua" w:hAnsi="Book Antiqua"/>
        </w:rPr>
        <w:t>Figure III:</w:t>
      </w:r>
      <w:r w:rsidRPr="00E3232D">
        <w:rPr>
          <w:rFonts w:ascii="Book Antiqua" w:hAnsi="Book Antiqua"/>
        </w:rPr>
        <w:tab/>
        <w:t xml:space="preserve">An image corrupted with 60% </w:t>
      </w:r>
      <w:r w:rsidRPr="00E3232D">
        <w:rPr>
          <w:rFonts w:ascii="Book Antiqua" w:hAnsi="Book Antiqua"/>
        </w:rPr>
        <w:tab/>
      </w:r>
      <w:r w:rsidRPr="00E3232D">
        <w:rPr>
          <w:rFonts w:ascii="Book Antiqua" w:hAnsi="Book Antiqua"/>
        </w:rPr>
        <w:tab/>
        <w:t>impulse noise</w:t>
      </w:r>
    </w:p>
    <w:p w14:paraId="1D0380DF" w14:textId="77777777" w:rsidR="00D80800" w:rsidRPr="00E3232D" w:rsidRDefault="00D80800" w:rsidP="008275E1">
      <w:pPr>
        <w:rPr>
          <w:rFonts w:ascii="Book Antiqua" w:hAnsi="Book Antiqua"/>
        </w:rPr>
      </w:pPr>
    </w:p>
    <w:p w14:paraId="2A73BA4A" w14:textId="77777777" w:rsidR="00D80800" w:rsidRPr="00E3232D" w:rsidRDefault="00D80800" w:rsidP="002F4DEE">
      <w:pPr>
        <w:jc w:val="both"/>
        <w:rPr>
          <w:rFonts w:ascii="Book Antiqua" w:hAnsi="Book Antiqua"/>
        </w:rPr>
      </w:pPr>
      <w:r w:rsidRPr="00E3232D">
        <w:rPr>
          <w:rFonts w:ascii="Book Antiqua" w:hAnsi="Book Antiqua"/>
        </w:rPr>
        <w:t xml:space="preserve">This image recovered through median filtering will result in a clearer image when the noise is filtered as can be seen in Figure II. </w:t>
      </w:r>
    </w:p>
    <w:p w14:paraId="34BE631A" w14:textId="77777777" w:rsidR="00D80800" w:rsidRPr="00E3232D" w:rsidRDefault="00D80800" w:rsidP="002F4DEE">
      <w:pPr>
        <w:jc w:val="both"/>
        <w:rPr>
          <w:rFonts w:ascii="Book Antiqua" w:hAnsi="Book Antiqua"/>
        </w:rPr>
      </w:pPr>
      <w:r w:rsidRPr="00E3232D">
        <w:rPr>
          <w:rFonts w:ascii="Book Antiqua" w:hAnsi="Book Antiqua"/>
        </w:rPr>
        <w:t>Frequency filters can be implemented to restore some components of image loss through median filtering.</w:t>
      </w:r>
    </w:p>
    <w:p w14:paraId="06ECBB75" w14:textId="77777777" w:rsidR="00D80800" w:rsidRPr="00E3232D" w:rsidRDefault="00D80800" w:rsidP="002F4DEE">
      <w:pPr>
        <w:jc w:val="both"/>
        <w:rPr>
          <w:rFonts w:ascii="Book Antiqua" w:hAnsi="Book Antiqua"/>
        </w:rPr>
      </w:pPr>
      <w:r w:rsidRPr="00E3232D">
        <w:rPr>
          <w:rFonts w:ascii="Book Antiqua" w:hAnsi="Book Antiqua"/>
        </w:rPr>
        <w:t>In another consideration we can deduce from the following figures the results of applying frequency filters.</w:t>
      </w:r>
    </w:p>
    <w:p w14:paraId="42E03745" w14:textId="77777777" w:rsidR="00D80800" w:rsidRPr="00E3232D" w:rsidRDefault="00D80800" w:rsidP="002F4DEE">
      <w:pPr>
        <w:jc w:val="both"/>
        <w:rPr>
          <w:rFonts w:ascii="Book Antiqua" w:hAnsi="Book Antiqua"/>
        </w:rPr>
      </w:pPr>
    </w:p>
    <w:p w14:paraId="2EB51BA6" w14:textId="77777777" w:rsidR="00D80800" w:rsidRPr="00E3232D" w:rsidRDefault="00D80800" w:rsidP="002F4DEE">
      <w:pPr>
        <w:jc w:val="both"/>
        <w:rPr>
          <w:rFonts w:ascii="Book Antiqua" w:hAnsi="Book Antiqua"/>
        </w:rPr>
      </w:pPr>
      <w:r w:rsidRPr="00E3232D">
        <w:rPr>
          <w:rFonts w:ascii="Book Antiqua" w:hAnsi="Book Antiqua"/>
        </w:rPr>
        <w:t>In another consideration we can deduce from the following figures the results of applying frequency filters.</w:t>
      </w:r>
    </w:p>
    <w:p w14:paraId="74F27104" w14:textId="77777777" w:rsidR="00D80800" w:rsidRPr="00E3232D" w:rsidRDefault="00D80800" w:rsidP="002F4DEE">
      <w:pPr>
        <w:jc w:val="both"/>
        <w:rPr>
          <w:rFonts w:ascii="Book Antiqua" w:hAnsi="Book Antiqua"/>
        </w:rPr>
      </w:pPr>
    </w:p>
    <w:p w14:paraId="13E68BC2" w14:textId="77777777" w:rsidR="00D80800" w:rsidRPr="00E3232D" w:rsidRDefault="007005B1" w:rsidP="008275E1">
      <w:pPr>
        <w:rPr>
          <w:rFonts w:ascii="Book Antiqua" w:hAnsi="Book Antiqua"/>
        </w:rPr>
      </w:pPr>
      <w:r>
        <w:rPr>
          <w:rFonts w:ascii="Book Antiqua" w:hAnsi="Book Antiqua"/>
          <w:noProof/>
          <w:lang w:bidi="ar-SA"/>
        </w:rPr>
        <w:drawing>
          <wp:inline distT="0" distB="0" distL="0" distR="0" wp14:anchorId="323A7202" wp14:editId="073475AC">
            <wp:extent cx="3238500" cy="1809750"/>
            <wp:effectExtent l="19050" t="0" r="0" b="0"/>
            <wp:docPr id="211" name="Picture 19" descr="Description: C:\Users\Papa Prince\Desktop\Projects Supervision\Research for Publication\Image Processing\Compositing\concept_files\y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Users\Papa Prince\Desktop\Projects Supervision\Research for Publication\Image Processing\Compositing\concept_files\yring.jpg"/>
                    <pic:cNvPicPr>
                      <a:picLocks noChangeAspect="1" noChangeArrowheads="1"/>
                    </pic:cNvPicPr>
                  </pic:nvPicPr>
                  <pic:blipFill>
                    <a:blip r:embed="rId312"/>
                    <a:srcRect/>
                    <a:stretch>
                      <a:fillRect/>
                    </a:stretch>
                  </pic:blipFill>
                  <pic:spPr bwMode="auto">
                    <a:xfrm>
                      <a:off x="0" y="0"/>
                      <a:ext cx="3238500" cy="1809750"/>
                    </a:xfrm>
                    <a:prstGeom prst="rect">
                      <a:avLst/>
                    </a:prstGeom>
                    <a:noFill/>
                    <a:ln w="9525">
                      <a:noFill/>
                      <a:miter lim="800000"/>
                      <a:headEnd/>
                      <a:tailEnd/>
                    </a:ln>
                  </pic:spPr>
                </pic:pic>
              </a:graphicData>
            </a:graphic>
          </wp:inline>
        </w:drawing>
      </w:r>
    </w:p>
    <w:p w14:paraId="0E8C5B22" w14:textId="77777777" w:rsidR="00D80800" w:rsidRPr="00E3232D" w:rsidRDefault="00D80800" w:rsidP="008275E1">
      <w:pPr>
        <w:rPr>
          <w:rFonts w:ascii="Book Antiqua" w:hAnsi="Book Antiqua"/>
        </w:rPr>
      </w:pPr>
      <w:r w:rsidRPr="00E3232D">
        <w:rPr>
          <w:rFonts w:ascii="Book Antiqua" w:hAnsi="Book Antiqua"/>
        </w:rPr>
        <w:t>Figure IV:</w:t>
      </w:r>
      <w:r w:rsidRPr="00E3232D">
        <w:rPr>
          <w:rFonts w:ascii="Book Antiqua" w:hAnsi="Book Antiqua"/>
        </w:rPr>
        <w:tab/>
        <w:t>Original image</w:t>
      </w:r>
    </w:p>
    <w:p w14:paraId="3990F008" w14:textId="77777777" w:rsidR="00D80800" w:rsidRPr="00E3232D" w:rsidRDefault="00D80800" w:rsidP="008275E1">
      <w:pPr>
        <w:rPr>
          <w:rFonts w:ascii="Book Antiqua" w:hAnsi="Book Antiqua"/>
        </w:rPr>
      </w:pPr>
    </w:p>
    <w:p w14:paraId="08554418" w14:textId="77777777" w:rsidR="00D80800" w:rsidRPr="00E3232D" w:rsidRDefault="00D80800" w:rsidP="002F4DEE">
      <w:pPr>
        <w:jc w:val="both"/>
        <w:rPr>
          <w:rFonts w:ascii="Book Antiqua" w:hAnsi="Book Antiqua"/>
        </w:rPr>
      </w:pPr>
      <w:r w:rsidRPr="00E3232D">
        <w:rPr>
          <w:rFonts w:ascii="Book Antiqua" w:hAnsi="Book Antiqua"/>
        </w:rPr>
        <w:t xml:space="preserve">The original image being blurred is as a result of impulse noise and applying median filtering could cause loss of some details of the image. Hence frequency filtering will be suitable for the recovery. </w:t>
      </w:r>
    </w:p>
    <w:p w14:paraId="4A21F062" w14:textId="77777777" w:rsidR="00D80800" w:rsidRPr="00E3232D" w:rsidRDefault="00D80800" w:rsidP="008275E1">
      <w:pPr>
        <w:rPr>
          <w:rFonts w:ascii="Book Antiqua" w:hAnsi="Book Antiqua"/>
        </w:rPr>
      </w:pPr>
    </w:p>
    <w:p w14:paraId="130FCB20" w14:textId="77777777" w:rsidR="00D80800" w:rsidRPr="00E3232D" w:rsidRDefault="00D80800" w:rsidP="008275E1">
      <w:pPr>
        <w:rPr>
          <w:rFonts w:ascii="Book Antiqua" w:hAnsi="Book Antiqua"/>
        </w:rPr>
      </w:pPr>
    </w:p>
    <w:p w14:paraId="5FF05733" w14:textId="77777777" w:rsidR="00D80800" w:rsidRPr="00E3232D" w:rsidRDefault="007005B1" w:rsidP="008275E1">
      <w:pPr>
        <w:rPr>
          <w:rFonts w:ascii="Book Antiqua" w:hAnsi="Book Antiqua"/>
        </w:rPr>
      </w:pPr>
      <w:r>
        <w:rPr>
          <w:rFonts w:ascii="Book Antiqua" w:hAnsi="Book Antiqua"/>
          <w:noProof/>
          <w:lang w:bidi="ar-SA"/>
        </w:rPr>
        <w:drawing>
          <wp:inline distT="0" distB="0" distL="0" distR="0" wp14:anchorId="0292EAC8" wp14:editId="59459CF9">
            <wp:extent cx="3219450" cy="1609725"/>
            <wp:effectExtent l="19050" t="0" r="0" b="0"/>
            <wp:docPr id="212" name="Picture 22" descr="Description: C:\Users\Papa Prince\Desktop\Projects Supervision\Research for Publication\Image Processing\Compositing\concept_files\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Papa Prince\Desktop\Projects Supervision\Research for Publication\Image Processing\Compositing\concept_files\car.jpg"/>
                    <pic:cNvPicPr>
                      <a:picLocks noChangeAspect="1" noChangeArrowheads="1"/>
                    </pic:cNvPicPr>
                  </pic:nvPicPr>
                  <pic:blipFill>
                    <a:blip r:embed="rId313"/>
                    <a:srcRect/>
                    <a:stretch>
                      <a:fillRect/>
                    </a:stretch>
                  </pic:blipFill>
                  <pic:spPr bwMode="auto">
                    <a:xfrm>
                      <a:off x="0" y="0"/>
                      <a:ext cx="3219450" cy="1609725"/>
                    </a:xfrm>
                    <a:prstGeom prst="rect">
                      <a:avLst/>
                    </a:prstGeom>
                    <a:noFill/>
                    <a:ln w="9525">
                      <a:noFill/>
                      <a:miter lim="800000"/>
                      <a:headEnd/>
                      <a:tailEnd/>
                    </a:ln>
                  </pic:spPr>
                </pic:pic>
              </a:graphicData>
            </a:graphic>
          </wp:inline>
        </w:drawing>
      </w:r>
    </w:p>
    <w:p w14:paraId="224E31CC" w14:textId="77777777" w:rsidR="00D80800" w:rsidRPr="00E3232D" w:rsidRDefault="00D80800" w:rsidP="008275E1">
      <w:pPr>
        <w:ind w:left="1080" w:hanging="1080"/>
        <w:rPr>
          <w:rFonts w:ascii="Book Antiqua" w:hAnsi="Book Antiqua"/>
        </w:rPr>
      </w:pPr>
      <w:r w:rsidRPr="00E3232D">
        <w:rPr>
          <w:rFonts w:ascii="Book Antiqua" w:hAnsi="Book Antiqua"/>
        </w:rPr>
        <w:t>Figure V:  Image filtered with ideal lowpass filter on Y axis, normalized cutoff frequency .15. X axis allpass.</w:t>
      </w:r>
    </w:p>
    <w:p w14:paraId="2CD912A9" w14:textId="77777777" w:rsidR="00D80800" w:rsidRPr="00E3232D" w:rsidRDefault="00D80800" w:rsidP="008275E1">
      <w:pPr>
        <w:ind w:left="1080" w:hanging="1080"/>
        <w:rPr>
          <w:rFonts w:ascii="Book Antiqua" w:hAnsi="Book Antiqua"/>
        </w:rPr>
      </w:pPr>
    </w:p>
    <w:p w14:paraId="1EADB609" w14:textId="77777777" w:rsidR="00B51574" w:rsidRPr="009253E6" w:rsidRDefault="00D80800" w:rsidP="002F4DEE">
      <w:pPr>
        <w:jc w:val="both"/>
        <w:rPr>
          <w:rFonts w:ascii="Book Antiqua" w:hAnsi="Book Antiqua"/>
        </w:rPr>
      </w:pPr>
      <w:r w:rsidRPr="00E3232D">
        <w:rPr>
          <w:rFonts w:ascii="Book Antiqua" w:hAnsi="Book Antiqua"/>
        </w:rPr>
        <w:t>Figure V clearly shows the simulated result of the effect of frequency filtering algorithm on the corrupted image in Figure IV implementing an ideal lowpass filter on Y axis and normalized cut off frequency of 0.15 X axis in allpass.</w:t>
      </w:r>
    </w:p>
    <w:p w14:paraId="092D4C8B" w14:textId="77777777" w:rsidR="00D80800" w:rsidRPr="009253E6" w:rsidRDefault="00540710" w:rsidP="002F4DEE">
      <w:pPr>
        <w:jc w:val="both"/>
        <w:rPr>
          <w:rFonts w:ascii="Book Antiqua" w:hAnsi="Book Antiqua"/>
          <w:b/>
        </w:rPr>
      </w:pPr>
      <w:r>
        <w:rPr>
          <w:rFonts w:ascii="Book Antiqua" w:hAnsi="Book Antiqua"/>
          <w:b/>
          <w:sz w:val="26"/>
        </w:rPr>
        <w:t xml:space="preserve">3.0 </w:t>
      </w:r>
      <w:r w:rsidR="00D80800" w:rsidRPr="009253E6">
        <w:rPr>
          <w:rFonts w:ascii="Book Antiqua" w:hAnsi="Book Antiqua"/>
          <w:b/>
          <w:sz w:val="26"/>
        </w:rPr>
        <w:t>Conclusion</w:t>
      </w:r>
    </w:p>
    <w:p w14:paraId="29DE18BC" w14:textId="77777777" w:rsidR="00D80800" w:rsidRPr="00E3232D" w:rsidRDefault="00D80800" w:rsidP="002F4DEE">
      <w:pPr>
        <w:jc w:val="both"/>
        <w:rPr>
          <w:rFonts w:ascii="Book Antiqua" w:hAnsi="Book Antiqua"/>
        </w:rPr>
      </w:pPr>
      <w:r w:rsidRPr="00E3232D">
        <w:rPr>
          <w:rFonts w:ascii="Book Antiqua" w:hAnsi="Book Antiqua"/>
        </w:rPr>
        <w:t>The multimedia industry in Ghana needs to build up standard protocols to govern the production of movies and other image productions by demonstrating the benefits of their greater freedom to concerns and aspirations of the media public. This will inform all who intend to produce any image profound standards to conform to. At the same time, media education is a broad-based responsibility that needs to be taken up by an integration of various institutions. The best technologies are available and can be implemented to improve movie production in Ghana. The multimedia industry, implementing the filtering algorithms proposed in this research for reducing impulse noise in processing image will aid in eliminating the mediocre movies produced in the country. This can therefore, be part of the standard protocols which can be adopted in multimedia image processing.</w:t>
      </w:r>
    </w:p>
    <w:p w14:paraId="4867AC87" w14:textId="77777777" w:rsidR="00D80800" w:rsidRPr="00E3232D" w:rsidRDefault="00D80800" w:rsidP="002F4DEE">
      <w:pPr>
        <w:spacing w:after="240"/>
        <w:jc w:val="both"/>
        <w:rPr>
          <w:rFonts w:ascii="Book Antiqua" w:hAnsi="Book Antiqua"/>
        </w:rPr>
      </w:pPr>
      <w:r w:rsidRPr="00E3232D">
        <w:rPr>
          <w:rFonts w:ascii="Book Antiqua" w:hAnsi="Book Antiqua"/>
          <w:b/>
        </w:rPr>
        <w:t>Acknowledgement</w:t>
      </w:r>
    </w:p>
    <w:p w14:paraId="4C5294C7" w14:textId="77777777" w:rsidR="00D80800" w:rsidRPr="002F4DEE" w:rsidRDefault="00D80800" w:rsidP="00AD1F87">
      <w:pPr>
        <w:spacing w:after="240"/>
        <w:jc w:val="both"/>
        <w:rPr>
          <w:rFonts w:ascii="Book Antiqua" w:hAnsi="Book Antiqua"/>
        </w:rPr>
      </w:pPr>
      <w:r w:rsidRPr="00E3232D">
        <w:rPr>
          <w:rFonts w:ascii="Book Antiqua" w:hAnsi="Book Antiqua"/>
        </w:rPr>
        <w:t>We wish to acknowledge our referees for their critical submissions and would want to thank Mr. Dominc Damoah, Dean, Institute of Computer Science, for his relentless encouragement.</w:t>
      </w:r>
    </w:p>
    <w:p w14:paraId="1722790D" w14:textId="77777777" w:rsidR="00D80800" w:rsidRPr="00E3232D" w:rsidRDefault="00D80800" w:rsidP="008275E1">
      <w:pPr>
        <w:spacing w:after="240"/>
        <w:rPr>
          <w:rFonts w:ascii="Book Antiqua" w:hAnsi="Book Antiqua"/>
          <w:b/>
        </w:rPr>
      </w:pPr>
      <w:r w:rsidRPr="002F4DEE">
        <w:rPr>
          <w:rFonts w:ascii="Book Antiqua" w:hAnsi="Book Antiqua"/>
          <w:b/>
          <w:sz w:val="26"/>
        </w:rPr>
        <w:t>References</w:t>
      </w:r>
    </w:p>
    <w:p w14:paraId="208AAAA3" w14:textId="77777777" w:rsidR="00D80800" w:rsidRPr="00E3232D" w:rsidRDefault="00D80800" w:rsidP="002F4DEE">
      <w:pPr>
        <w:autoSpaceDE w:val="0"/>
        <w:autoSpaceDN w:val="0"/>
        <w:adjustRightInd w:val="0"/>
        <w:spacing w:after="240"/>
        <w:ind w:left="810" w:hanging="810"/>
        <w:jc w:val="both"/>
        <w:rPr>
          <w:rFonts w:ascii="Book Antiqua" w:hAnsi="Book Antiqua"/>
        </w:rPr>
      </w:pPr>
      <w:r w:rsidRPr="00E3232D">
        <w:rPr>
          <w:rFonts w:ascii="Book Antiqua" w:hAnsi="Book Antiqua"/>
        </w:rPr>
        <w:t>Bovik A. C., (2005), “Handbook of Image and Video Processing (Communications, Networking and Multimedia)”, Academic Press, Inc., Orlando, FL, USA.</w:t>
      </w:r>
    </w:p>
    <w:p w14:paraId="02C0EA90" w14:textId="77777777" w:rsidR="00D80800" w:rsidRPr="00E3232D" w:rsidRDefault="00D80800" w:rsidP="002F4DEE">
      <w:pPr>
        <w:autoSpaceDE w:val="0"/>
        <w:autoSpaceDN w:val="0"/>
        <w:adjustRightInd w:val="0"/>
        <w:spacing w:after="240"/>
        <w:ind w:left="810" w:hanging="810"/>
        <w:jc w:val="both"/>
        <w:rPr>
          <w:rFonts w:ascii="Book Antiqua" w:hAnsi="Book Antiqua"/>
        </w:rPr>
      </w:pPr>
      <w:r w:rsidRPr="00E3232D">
        <w:rPr>
          <w:rFonts w:ascii="Book Antiqua" w:hAnsi="Book Antiqua"/>
        </w:rPr>
        <w:t>Cai J., Chan R. H. and  Nikolova M, (2005), “Salt-and-pepper noise removal by median-type noise detectors and detail-preserving regularization”; IEEE Transactions on Image Processing, 14(10):1479–1485.</w:t>
      </w:r>
    </w:p>
    <w:p w14:paraId="3DF34465" w14:textId="77777777" w:rsidR="00D80800" w:rsidRPr="00E3232D" w:rsidRDefault="00D80800" w:rsidP="002F4DEE">
      <w:pPr>
        <w:autoSpaceDE w:val="0"/>
        <w:autoSpaceDN w:val="0"/>
        <w:adjustRightInd w:val="0"/>
        <w:spacing w:after="240"/>
        <w:ind w:left="810" w:hanging="810"/>
        <w:jc w:val="both"/>
        <w:rPr>
          <w:rFonts w:ascii="Book Antiqua" w:hAnsi="Book Antiqua"/>
        </w:rPr>
      </w:pPr>
      <w:r w:rsidRPr="00E3232D">
        <w:rPr>
          <w:rFonts w:ascii="Book Antiqua" w:hAnsi="Book Antiqua"/>
        </w:rPr>
        <w:t>Cai J., Chan R. H. and  Nikolova M, (2010), “Fast two-phase image deblurring under impulse noise”, Journal ofMathematical Imaging and Vision, 36:46–53.</w:t>
      </w:r>
    </w:p>
    <w:p w14:paraId="3893A55F" w14:textId="77777777" w:rsidR="00D80800" w:rsidRPr="00E3232D" w:rsidRDefault="00D80800" w:rsidP="002F4DEE">
      <w:pPr>
        <w:autoSpaceDE w:val="0"/>
        <w:autoSpaceDN w:val="0"/>
        <w:adjustRightInd w:val="0"/>
        <w:spacing w:after="240"/>
        <w:ind w:left="810" w:hanging="810"/>
        <w:jc w:val="both"/>
        <w:rPr>
          <w:rFonts w:ascii="Book Antiqua" w:hAnsi="Book Antiqua"/>
        </w:rPr>
      </w:pPr>
      <w:r w:rsidRPr="00E3232D">
        <w:rPr>
          <w:rFonts w:ascii="Book Antiqua" w:hAnsi="Book Antiqua"/>
        </w:rPr>
        <w:t>Chen T. and Wu H. R., (2001) “Adaptive impulse detection using center-weighted median filters. IEEE Signal Processing Letters, 8(1):1–3.</w:t>
      </w:r>
    </w:p>
    <w:p w14:paraId="133BED5B"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rPr>
        <w:t xml:space="preserve">Demand Media Inc, (Retrieved: Feb. 2013),“What Cameras Are Used to Film Movies?” </w:t>
      </w:r>
      <w:hyperlink r:id="rId314" w:history="1">
        <w:r w:rsidRPr="00E3232D">
          <w:rPr>
            <w:rStyle w:val="Hyperlink"/>
            <w:rFonts w:ascii="Book Antiqua" w:hAnsi="Book Antiqua"/>
          </w:rPr>
          <w:t>http://www.ehow.com/info_8016661_cameras-used-film-movies.html</w:t>
        </w:r>
      </w:hyperlink>
    </w:p>
    <w:p w14:paraId="7D0D663D"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rPr>
        <w:t xml:space="preserve"> Erhardt-Ferron A., (2000) “Theories and Applications of Digital Image Processing”, University of Applied Sciences, Offenburg.</w:t>
      </w:r>
    </w:p>
    <w:p w14:paraId="06183C7B"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rPr>
        <w:t xml:space="preserve">Geoffrine J. M. C. and Kumarasabapathy M. (2011) “Study And Analysis of Impulse Noise Reduction Filters”, Signal &amp; Image Processing : An International Journal(SIPIJ) Vol.2, No.1. </w:t>
      </w:r>
    </w:p>
    <w:p w14:paraId="6AD4FA25"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bCs/>
        </w:rPr>
        <w:t>Gonzalez R. and Woods</w:t>
      </w:r>
      <w:r w:rsidRPr="00E3232D">
        <w:rPr>
          <w:rFonts w:ascii="Book Antiqua" w:hAnsi="Book Antiqua"/>
        </w:rPr>
        <w:t xml:space="preserve"> R., (1992), “</w:t>
      </w:r>
      <w:r w:rsidRPr="00E3232D">
        <w:rPr>
          <w:rFonts w:ascii="Book Antiqua" w:hAnsi="Book Antiqua"/>
          <w:iCs/>
        </w:rPr>
        <w:t>Digital Image Processing</w:t>
      </w:r>
      <w:r w:rsidRPr="00E3232D">
        <w:rPr>
          <w:rFonts w:ascii="Book Antiqua" w:hAnsi="Book Antiqua"/>
        </w:rPr>
        <w:t>”, Addison-Wesley Publishing Company, Chap. 4.</w:t>
      </w:r>
    </w:p>
    <w:p w14:paraId="078D57E1"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rPr>
        <w:t>Gonzalez, Rafael C., and Woods R. E., (1992) “</w:t>
      </w:r>
      <w:r w:rsidRPr="00E3232D">
        <w:rPr>
          <w:rFonts w:ascii="Book Antiqua" w:hAnsi="Book Antiqua"/>
          <w:iCs/>
        </w:rPr>
        <w:t>Digital Image Processing”</w:t>
      </w:r>
      <w:r w:rsidRPr="00E3232D">
        <w:rPr>
          <w:rFonts w:ascii="Book Antiqua" w:hAnsi="Book Antiqua"/>
        </w:rPr>
        <w:t>, 3rd ed., Addison-Wesley.</w:t>
      </w:r>
    </w:p>
    <w:p w14:paraId="5470FEB8"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bCs/>
        </w:rPr>
        <w:t>Kaur K., Mehra R, “</w:t>
      </w:r>
      <w:r w:rsidRPr="00E3232D">
        <w:rPr>
          <w:rFonts w:ascii="Book Antiqua" w:hAnsi="Book Antiqua"/>
        </w:rPr>
        <w:t>Signal &amp; Image Processing” (2010), An International Journal(SIPIJ) Vol.1, No.2, December 2010</w:t>
      </w:r>
    </w:p>
    <w:p w14:paraId="0DE8CA97"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bCs/>
        </w:rPr>
        <w:t>Marion A., (1991) “</w:t>
      </w:r>
      <w:r w:rsidRPr="00E3232D">
        <w:rPr>
          <w:rFonts w:ascii="Book Antiqua" w:hAnsi="Book Antiqua"/>
          <w:iCs/>
        </w:rPr>
        <w:t>An Introduction to Image Processing</w:t>
      </w:r>
      <w:r w:rsidRPr="00E3232D">
        <w:rPr>
          <w:rFonts w:ascii="Book Antiqua" w:hAnsi="Book Antiqua"/>
        </w:rPr>
        <w:t>”, Chapman and Hall, p. 274.</w:t>
      </w:r>
    </w:p>
    <w:p w14:paraId="36B0ABFE" w14:textId="77777777" w:rsidR="00D80800" w:rsidRPr="00E3232D" w:rsidRDefault="00D80800" w:rsidP="002F4DEE">
      <w:pPr>
        <w:spacing w:after="240"/>
        <w:ind w:left="810" w:hanging="810"/>
        <w:jc w:val="both"/>
        <w:rPr>
          <w:rFonts w:ascii="Book Antiqua" w:hAnsi="Book Antiqua"/>
          <w:b/>
          <w:bCs/>
        </w:rPr>
      </w:pPr>
      <w:r w:rsidRPr="00E3232D">
        <w:rPr>
          <w:rFonts w:ascii="Book Antiqua" w:hAnsi="Book Antiqua"/>
        </w:rPr>
        <w:t>Owyheesound (2009) “</w:t>
      </w:r>
      <w:r w:rsidRPr="00E3232D">
        <w:rPr>
          <w:rFonts w:ascii="Book Antiqua" w:hAnsi="Book Antiqua"/>
          <w:bCs/>
        </w:rPr>
        <w:t xml:space="preserve">Cinema Production Equipment”, </w:t>
      </w:r>
      <w:hyperlink r:id="rId315" w:history="1">
        <w:r w:rsidRPr="00E3232D">
          <w:rPr>
            <w:rStyle w:val="Hyperlink"/>
            <w:rFonts w:ascii="Book Antiqua" w:hAnsi="Book Antiqua"/>
            <w:bCs/>
          </w:rPr>
          <w:t>http://owyheesound.com/cinema-production-equipment.html</w:t>
        </w:r>
      </w:hyperlink>
      <w:r w:rsidRPr="00E3232D">
        <w:rPr>
          <w:rFonts w:ascii="Book Antiqua" w:hAnsi="Book Antiqua"/>
        </w:rPr>
        <w:t xml:space="preserve">, (Retrieved: Feb. 2013). </w:t>
      </w:r>
    </w:p>
    <w:p w14:paraId="32C2FE66"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rPr>
        <w:t>Pratt, William K., (1991) “</w:t>
      </w:r>
      <w:r w:rsidRPr="00E3232D">
        <w:rPr>
          <w:rFonts w:ascii="Book Antiqua" w:hAnsi="Book Antiqua"/>
          <w:iCs/>
        </w:rPr>
        <w:t>Digital Image Processing</w:t>
      </w:r>
      <w:r w:rsidRPr="00E3232D">
        <w:rPr>
          <w:rFonts w:ascii="Book Antiqua" w:hAnsi="Book Antiqua"/>
        </w:rPr>
        <w:t>”, 2nd ed., John Wiley &amp; Sons.</w:t>
      </w:r>
    </w:p>
    <w:p w14:paraId="7DA661B2"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rPr>
        <w:t>Russo F., (2010), “New method for performance Evaluation of Grayscale Image Denoising Filters” IEEE Signal Processing Letters,Vol.17,No.5,May 2010.</w:t>
      </w:r>
    </w:p>
    <w:p w14:paraId="72FEF747"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rPr>
        <w:t>Stroebel L. and Zakia R. D., (1995). “</w:t>
      </w:r>
      <w:r w:rsidRPr="00E3232D">
        <w:rPr>
          <w:rFonts w:ascii="Book Antiqua" w:hAnsi="Book Antiqua"/>
          <w:iCs/>
        </w:rPr>
        <w:t>The Focal encyclopedia of photography”,</w:t>
      </w:r>
      <w:r w:rsidRPr="00E3232D">
        <w:rPr>
          <w:rFonts w:ascii="Book Antiqua" w:hAnsi="Book Antiqua"/>
        </w:rPr>
        <w:t xml:space="preserve"> Focal Press. p. 507</w:t>
      </w:r>
    </w:p>
    <w:p w14:paraId="3A614452" w14:textId="77777777" w:rsidR="00D80800" w:rsidRPr="00E3232D" w:rsidRDefault="00D80800" w:rsidP="002F4DEE">
      <w:pPr>
        <w:spacing w:after="240"/>
        <w:ind w:left="810" w:hanging="810"/>
        <w:jc w:val="both"/>
        <w:rPr>
          <w:rFonts w:ascii="Book Antiqua" w:hAnsi="Book Antiqua"/>
        </w:rPr>
      </w:pPr>
      <w:r w:rsidRPr="00E3232D">
        <w:rPr>
          <w:rFonts w:ascii="Book Antiqua" w:hAnsi="Book Antiqua"/>
        </w:rPr>
        <w:t xml:space="preserve">Thévenaz, P., and Unser M., (1998) “A Pyramid Approach to Subpixel Registration Based on Intensity”, </w:t>
      </w:r>
      <w:r w:rsidRPr="00E3232D">
        <w:rPr>
          <w:rFonts w:ascii="Book Antiqua" w:hAnsi="Book Antiqua"/>
          <w:i/>
          <w:iCs/>
        </w:rPr>
        <w:t>IEEE Transactions on Image Processing</w:t>
      </w:r>
      <w:r w:rsidRPr="00E3232D">
        <w:rPr>
          <w:rFonts w:ascii="Book Antiqua" w:hAnsi="Book Antiqua"/>
        </w:rPr>
        <w:t xml:space="preserve">, </w:t>
      </w:r>
      <w:r w:rsidRPr="00E3232D">
        <w:rPr>
          <w:rFonts w:ascii="Book Antiqua" w:hAnsi="Book Antiqua"/>
          <w:i/>
          <w:iCs/>
        </w:rPr>
        <w:t>7</w:t>
      </w:r>
      <w:r w:rsidRPr="00E3232D">
        <w:rPr>
          <w:rFonts w:ascii="Book Antiqua" w:hAnsi="Book Antiqua"/>
        </w:rPr>
        <w:t>, 27-41.</w:t>
      </w:r>
    </w:p>
    <w:p w14:paraId="4086DC6C" w14:textId="77777777" w:rsidR="00D80800" w:rsidRPr="00E3232D" w:rsidRDefault="00D80800" w:rsidP="00784C25">
      <w:pPr>
        <w:autoSpaceDE w:val="0"/>
        <w:autoSpaceDN w:val="0"/>
        <w:adjustRightInd w:val="0"/>
        <w:ind w:left="810" w:hanging="810"/>
        <w:jc w:val="both"/>
        <w:rPr>
          <w:rFonts w:ascii="Book Antiqua" w:hAnsi="Book Antiqua"/>
        </w:rPr>
      </w:pPr>
      <w:r w:rsidRPr="00E3232D">
        <w:rPr>
          <w:rFonts w:ascii="Book Antiqua" w:hAnsi="Book Antiqua"/>
        </w:rPr>
        <w:t xml:space="preserve">Xiao Y., Zeng T, Yu J., and Ng M. (2011) “Restoration of images corrupted by mixed Gaussian-impulse noise via </w:t>
      </w:r>
      <w:r w:rsidRPr="00E3232D">
        <w:rPr>
          <w:rFonts w:ascii="Book Antiqua" w:eastAsia="cmmi10" w:hAnsi="Book Antiqua"/>
        </w:rPr>
        <w:t>l</w:t>
      </w:r>
      <w:r w:rsidRPr="00E3232D">
        <w:rPr>
          <w:rFonts w:ascii="Book Antiqua" w:hAnsi="Book Antiqua"/>
        </w:rPr>
        <w:t>1-</w:t>
      </w:r>
      <w:r w:rsidRPr="00E3232D">
        <w:rPr>
          <w:rFonts w:ascii="Book Antiqua" w:eastAsia="cmmi10" w:hAnsi="Book Antiqua"/>
        </w:rPr>
        <w:t>l</w:t>
      </w:r>
      <w:r w:rsidRPr="00E3232D">
        <w:rPr>
          <w:rFonts w:ascii="Book Antiqua" w:hAnsi="Book Antiqua"/>
        </w:rPr>
        <w:t>0 minimization. Pattern Recognition”, 44:1708–1720.</w:t>
      </w:r>
    </w:p>
    <w:p w14:paraId="10C304E3" w14:textId="77777777" w:rsidR="00D80800" w:rsidRPr="00E3232D" w:rsidRDefault="00D80800" w:rsidP="00784C25">
      <w:pPr>
        <w:autoSpaceDE w:val="0"/>
        <w:autoSpaceDN w:val="0"/>
        <w:adjustRightInd w:val="0"/>
        <w:ind w:left="810" w:hanging="810"/>
        <w:jc w:val="both"/>
        <w:rPr>
          <w:rFonts w:ascii="Book Antiqua" w:hAnsi="Book Antiqua"/>
        </w:rPr>
      </w:pPr>
      <w:r w:rsidRPr="00E3232D">
        <w:rPr>
          <w:rFonts w:ascii="Book Antiqua" w:hAnsi="Book Antiqua"/>
        </w:rPr>
        <w:t>Gonzalez  R. C. &amp; Woods R. E., (200) “Digital Image Processing”.Englewood Cliffs, NJ: Prentice-Hall.</w:t>
      </w:r>
    </w:p>
    <w:p w14:paraId="249F304A" w14:textId="77777777" w:rsidR="00D80800" w:rsidRPr="00E3232D" w:rsidRDefault="00D80800" w:rsidP="002F4DEE">
      <w:pPr>
        <w:autoSpaceDE w:val="0"/>
        <w:autoSpaceDN w:val="0"/>
        <w:adjustRightInd w:val="0"/>
        <w:ind w:left="810" w:hanging="810"/>
        <w:jc w:val="both"/>
        <w:rPr>
          <w:rFonts w:ascii="Book Antiqua" w:hAnsi="Book Antiqua"/>
        </w:rPr>
      </w:pPr>
      <w:r w:rsidRPr="00E3232D">
        <w:rPr>
          <w:rFonts w:ascii="Book Antiqua" w:hAnsi="Book Antiqua"/>
        </w:rPr>
        <w:t>Akkoul S., Lédée R., Leconge R., Léger C., Harba R., Pesnel S., Lerondel S., Lepape A., Vilcahuaman L. (2008) “Comparison ofimage restoration methods for bioluminescence imaging,” in ICISP 08, Cherbourg, France, vol. 5099, LNCS, pp. 163–172.</w:t>
      </w:r>
    </w:p>
    <w:p w14:paraId="0A0C46BA" w14:textId="77777777" w:rsidR="00D80800" w:rsidRPr="00E3232D" w:rsidRDefault="00D80800" w:rsidP="002F4DEE">
      <w:pPr>
        <w:autoSpaceDE w:val="0"/>
        <w:autoSpaceDN w:val="0"/>
        <w:adjustRightInd w:val="0"/>
        <w:ind w:left="810" w:hanging="810"/>
        <w:jc w:val="both"/>
        <w:rPr>
          <w:rFonts w:ascii="Book Antiqua" w:hAnsi="Book Antiqua"/>
        </w:rPr>
      </w:pPr>
    </w:p>
    <w:p w14:paraId="1401F7C2" w14:textId="77777777" w:rsidR="00D80800" w:rsidRPr="00E3232D" w:rsidRDefault="00D80800" w:rsidP="002F4DEE">
      <w:pPr>
        <w:autoSpaceDE w:val="0"/>
        <w:autoSpaceDN w:val="0"/>
        <w:adjustRightInd w:val="0"/>
        <w:ind w:left="810" w:hanging="810"/>
        <w:jc w:val="both"/>
        <w:rPr>
          <w:rFonts w:ascii="Book Antiqua" w:hAnsi="Book Antiqua"/>
        </w:rPr>
      </w:pPr>
      <w:r w:rsidRPr="00E3232D">
        <w:rPr>
          <w:rFonts w:ascii="Book Antiqua" w:hAnsi="Book Antiqua"/>
        </w:rPr>
        <w:t>Bovik A. (2000) “Handbook of Image and Video Processing”. New York: Academic Press.</w:t>
      </w:r>
    </w:p>
    <w:p w14:paraId="2A8A8B12" w14:textId="77777777" w:rsidR="00D80800" w:rsidRPr="00E3232D" w:rsidRDefault="00D80800" w:rsidP="002F4DEE">
      <w:pPr>
        <w:autoSpaceDE w:val="0"/>
        <w:autoSpaceDN w:val="0"/>
        <w:adjustRightInd w:val="0"/>
        <w:ind w:left="810" w:hanging="810"/>
        <w:jc w:val="both"/>
        <w:rPr>
          <w:rFonts w:ascii="Book Antiqua" w:hAnsi="Book Antiqua"/>
        </w:rPr>
      </w:pPr>
    </w:p>
    <w:p w14:paraId="2005F0DB" w14:textId="77777777" w:rsidR="00D80800" w:rsidRPr="00E3232D" w:rsidRDefault="00D80800" w:rsidP="002F4DEE">
      <w:pPr>
        <w:autoSpaceDE w:val="0"/>
        <w:autoSpaceDN w:val="0"/>
        <w:adjustRightInd w:val="0"/>
        <w:ind w:left="810" w:hanging="810"/>
        <w:jc w:val="both"/>
        <w:rPr>
          <w:rFonts w:ascii="Book Antiqua" w:hAnsi="Book Antiqua"/>
        </w:rPr>
      </w:pPr>
      <w:r w:rsidRPr="00E3232D">
        <w:rPr>
          <w:rFonts w:ascii="Book Antiqua" w:hAnsi="Book Antiqua"/>
        </w:rPr>
        <w:t>Brownrigg D. (1984) “The weighted median filter,” Commun. Assoc. Comput. Mach., vol. 27, pp. 807–818.</w:t>
      </w:r>
    </w:p>
    <w:p w14:paraId="1EF5C7B2" w14:textId="77777777" w:rsidR="00D80800" w:rsidRPr="00E3232D" w:rsidRDefault="00D80800" w:rsidP="00784C25">
      <w:pPr>
        <w:autoSpaceDE w:val="0"/>
        <w:autoSpaceDN w:val="0"/>
        <w:adjustRightInd w:val="0"/>
        <w:ind w:left="810" w:hanging="810"/>
        <w:jc w:val="both"/>
        <w:rPr>
          <w:rFonts w:ascii="Book Antiqua" w:hAnsi="Book Antiqua"/>
        </w:rPr>
      </w:pPr>
      <w:r w:rsidRPr="00E3232D">
        <w:rPr>
          <w:rFonts w:ascii="Book Antiqua" w:hAnsi="Book Antiqua"/>
        </w:rPr>
        <w:t>Ko S. J. &amp; Lee Y. H. (1991) “Center weighted median filters and their applications to image enhancement,” IEEE Trans. Circuits Syst., vol. 38,</w:t>
      </w:r>
      <w:r w:rsidR="00784C25">
        <w:rPr>
          <w:rFonts w:ascii="Book Antiqua" w:hAnsi="Book Antiqua"/>
        </w:rPr>
        <w:t xml:space="preserve"> </w:t>
      </w:r>
      <w:r w:rsidRPr="00E3232D">
        <w:rPr>
          <w:rFonts w:ascii="Book Antiqua" w:hAnsi="Book Antiqua"/>
        </w:rPr>
        <w:t>pp. 984–993.</w:t>
      </w:r>
    </w:p>
    <w:p w14:paraId="55FAABBD" w14:textId="77777777" w:rsidR="00D80800" w:rsidRPr="00E3232D" w:rsidRDefault="00D80800" w:rsidP="00784C25">
      <w:pPr>
        <w:autoSpaceDE w:val="0"/>
        <w:autoSpaceDN w:val="0"/>
        <w:adjustRightInd w:val="0"/>
        <w:ind w:left="810" w:hanging="810"/>
        <w:jc w:val="both"/>
        <w:rPr>
          <w:rFonts w:ascii="Book Antiqua" w:hAnsi="Book Antiqua"/>
        </w:rPr>
      </w:pPr>
      <w:r w:rsidRPr="00E3232D">
        <w:rPr>
          <w:rFonts w:ascii="Book Antiqua" w:hAnsi="Book Antiqua"/>
        </w:rPr>
        <w:t>Irphan A. S., Mirza S. S., Lorraine K.J.S., Ajesh K. V. &amp; Mahender R. T. (2012) “Impulse Noise Detection and Filtering Based On Adaptive Weighted Median Filter” International Journal of Engineering and Science, Vol. 1, Issue 8, PP 49-54</w:t>
      </w:r>
    </w:p>
    <w:p w14:paraId="0C9B54B8" w14:textId="77777777" w:rsidR="00D80800" w:rsidRPr="00E3232D" w:rsidRDefault="00D80800" w:rsidP="002F4DEE">
      <w:pPr>
        <w:autoSpaceDE w:val="0"/>
        <w:autoSpaceDN w:val="0"/>
        <w:adjustRightInd w:val="0"/>
        <w:ind w:left="810" w:hanging="810"/>
        <w:jc w:val="both"/>
        <w:rPr>
          <w:rFonts w:ascii="Book Antiqua" w:hAnsi="Book Antiqua"/>
        </w:rPr>
      </w:pPr>
      <w:r w:rsidRPr="00E3232D">
        <w:rPr>
          <w:rFonts w:ascii="Book Antiqua" w:hAnsi="Book Antiqua"/>
        </w:rPr>
        <w:t>Gonzalez R. and Woods R. (1992) “Digital Image Processing”, Addison-Wesley Publishing Company.</w:t>
      </w:r>
    </w:p>
    <w:p w14:paraId="3E0DCF44" w14:textId="77777777" w:rsidR="00B16DEC" w:rsidRDefault="00B16DEC" w:rsidP="008275E1">
      <w:pPr>
        <w:spacing w:after="240"/>
        <w:rPr>
          <w:rFonts w:ascii="Book Antiqua" w:hAnsi="Book Antiqua"/>
          <w:b/>
        </w:rPr>
        <w:sectPr w:rsidR="00B16DEC" w:rsidSect="008F6BC9">
          <w:type w:val="continuous"/>
          <w:pgSz w:w="11907" w:h="16839" w:code="9"/>
          <w:pgMar w:top="1440" w:right="1440" w:bottom="1440" w:left="1440" w:header="720" w:footer="720" w:gutter="0"/>
          <w:cols w:num="2" w:space="720"/>
          <w:docGrid w:linePitch="360"/>
        </w:sectPr>
      </w:pPr>
    </w:p>
    <w:p w14:paraId="32D534ED" w14:textId="77777777" w:rsidR="00D80800" w:rsidRPr="00E3232D" w:rsidRDefault="00D80800" w:rsidP="008275E1">
      <w:pPr>
        <w:spacing w:after="240"/>
        <w:rPr>
          <w:rFonts w:ascii="Book Antiqua" w:hAnsi="Book Antiqua"/>
          <w:b/>
        </w:rPr>
        <w:sectPr w:rsidR="00D80800" w:rsidRPr="00E3232D" w:rsidSect="008F6BC9">
          <w:type w:val="continuous"/>
          <w:pgSz w:w="11907" w:h="16839" w:code="9"/>
          <w:pgMar w:top="1440" w:right="1440" w:bottom="1440" w:left="1440" w:header="720" w:footer="720" w:gutter="0"/>
          <w:cols w:space="720"/>
          <w:docGrid w:linePitch="360"/>
        </w:sectPr>
      </w:pPr>
    </w:p>
    <w:p w14:paraId="385C3E0B" w14:textId="77777777" w:rsidR="002F4DEE" w:rsidRDefault="002F4DEE" w:rsidP="00B51574">
      <w:pPr>
        <w:widowControl w:val="0"/>
        <w:jc w:val="center"/>
        <w:rPr>
          <w:rFonts w:ascii="Book Antiqua" w:hAnsi="Book Antiqua"/>
          <w:b/>
          <w:sz w:val="26"/>
          <w:szCs w:val="26"/>
        </w:rPr>
      </w:pPr>
    </w:p>
    <w:p w14:paraId="45C4EC96" w14:textId="77777777" w:rsidR="002F4DEE" w:rsidRDefault="002F4DEE" w:rsidP="00B51574">
      <w:pPr>
        <w:widowControl w:val="0"/>
        <w:jc w:val="center"/>
        <w:rPr>
          <w:rFonts w:ascii="Book Antiqua" w:hAnsi="Book Antiqua"/>
          <w:b/>
          <w:sz w:val="26"/>
          <w:szCs w:val="26"/>
        </w:rPr>
      </w:pPr>
    </w:p>
    <w:p w14:paraId="2EB50000" w14:textId="77777777" w:rsidR="00784C25" w:rsidRDefault="00784C25" w:rsidP="00B51574">
      <w:pPr>
        <w:widowControl w:val="0"/>
        <w:jc w:val="center"/>
        <w:rPr>
          <w:rFonts w:ascii="Book Antiqua" w:hAnsi="Book Antiqua"/>
          <w:b/>
          <w:sz w:val="26"/>
          <w:szCs w:val="26"/>
        </w:rPr>
      </w:pPr>
    </w:p>
    <w:p w14:paraId="70CDBABE" w14:textId="77777777" w:rsidR="00540710" w:rsidRDefault="00540710" w:rsidP="00B51574">
      <w:pPr>
        <w:widowControl w:val="0"/>
        <w:jc w:val="center"/>
        <w:rPr>
          <w:rFonts w:ascii="Book Antiqua" w:hAnsi="Book Antiqua"/>
          <w:b/>
          <w:sz w:val="26"/>
          <w:szCs w:val="26"/>
        </w:rPr>
      </w:pPr>
    </w:p>
    <w:p w14:paraId="1F81F473" w14:textId="77777777" w:rsidR="00540710" w:rsidRDefault="00540710" w:rsidP="00B51574">
      <w:pPr>
        <w:widowControl w:val="0"/>
        <w:jc w:val="center"/>
        <w:rPr>
          <w:rFonts w:ascii="Book Antiqua" w:hAnsi="Book Antiqua"/>
          <w:b/>
          <w:sz w:val="26"/>
          <w:szCs w:val="26"/>
        </w:rPr>
      </w:pPr>
    </w:p>
    <w:p w14:paraId="578BA922" w14:textId="77777777" w:rsidR="00540710" w:rsidRDefault="00540710" w:rsidP="00B51574">
      <w:pPr>
        <w:widowControl w:val="0"/>
        <w:jc w:val="center"/>
        <w:rPr>
          <w:rFonts w:ascii="Book Antiqua" w:hAnsi="Book Antiqua"/>
          <w:b/>
          <w:sz w:val="26"/>
          <w:szCs w:val="26"/>
        </w:rPr>
      </w:pPr>
    </w:p>
    <w:p w14:paraId="23E45086" w14:textId="77777777" w:rsidR="00540710" w:rsidRDefault="00540710" w:rsidP="00B51574">
      <w:pPr>
        <w:widowControl w:val="0"/>
        <w:jc w:val="center"/>
        <w:rPr>
          <w:rFonts w:ascii="Book Antiqua" w:hAnsi="Book Antiqua"/>
          <w:b/>
          <w:sz w:val="26"/>
          <w:szCs w:val="26"/>
        </w:rPr>
      </w:pPr>
    </w:p>
    <w:p w14:paraId="08F1EFFC" w14:textId="77777777" w:rsidR="009253E6" w:rsidRDefault="009253E6" w:rsidP="00B51574">
      <w:pPr>
        <w:widowControl w:val="0"/>
        <w:jc w:val="center"/>
        <w:rPr>
          <w:rFonts w:ascii="Book Antiqua" w:hAnsi="Book Antiqua"/>
          <w:b/>
          <w:sz w:val="26"/>
          <w:szCs w:val="26"/>
        </w:rPr>
      </w:pPr>
    </w:p>
    <w:p w14:paraId="44905F14" w14:textId="77777777" w:rsidR="00784C25" w:rsidRDefault="00784C25" w:rsidP="00B51574">
      <w:pPr>
        <w:widowControl w:val="0"/>
        <w:jc w:val="center"/>
        <w:rPr>
          <w:rFonts w:ascii="Book Antiqua" w:hAnsi="Book Antiqua"/>
          <w:b/>
          <w:sz w:val="26"/>
          <w:szCs w:val="26"/>
        </w:rPr>
      </w:pPr>
    </w:p>
    <w:p w14:paraId="719C5582" w14:textId="77777777" w:rsidR="009253E6" w:rsidRDefault="009253E6" w:rsidP="009253E6">
      <w:pPr>
        <w:widowControl w:val="0"/>
        <w:rPr>
          <w:rFonts w:ascii="Book Antiqua" w:hAnsi="Book Antiqua"/>
          <w:b/>
          <w:sz w:val="26"/>
          <w:szCs w:val="26"/>
        </w:rPr>
      </w:pPr>
    </w:p>
    <w:p w14:paraId="158954DD" w14:textId="77777777" w:rsidR="00B51574" w:rsidRPr="009253E6" w:rsidRDefault="00E80C7B" w:rsidP="009253E6">
      <w:pPr>
        <w:widowControl w:val="0"/>
        <w:jc w:val="center"/>
        <w:rPr>
          <w:rFonts w:ascii="Book Antiqua" w:hAnsi="Book Antiqua"/>
          <w:b/>
          <w:sz w:val="26"/>
          <w:szCs w:val="26"/>
        </w:rPr>
      </w:pPr>
      <w:r w:rsidRPr="00B51574">
        <w:rPr>
          <w:rFonts w:ascii="Book Antiqua" w:hAnsi="Book Antiqua"/>
          <w:b/>
          <w:sz w:val="26"/>
          <w:szCs w:val="26"/>
        </w:rPr>
        <w:t>Fuelwood Demand in the Tamale Metropolitan Area: a reassessment for sustainable development implications.</w:t>
      </w:r>
    </w:p>
    <w:p w14:paraId="508966D8" w14:textId="77777777" w:rsidR="00B51574" w:rsidRPr="00AE01C5" w:rsidRDefault="00E80C7B" w:rsidP="009253E6">
      <w:pPr>
        <w:spacing w:after="0"/>
        <w:jc w:val="center"/>
        <w:rPr>
          <w:rFonts w:ascii="Book Antiqua" w:hAnsi="Book Antiqua"/>
          <w:b/>
        </w:rPr>
      </w:pPr>
      <w:r w:rsidRPr="00AE01C5">
        <w:rPr>
          <w:rFonts w:ascii="Book Antiqua" w:hAnsi="Book Antiqua"/>
          <w:b/>
        </w:rPr>
        <w:t>Jamal Mohammed</w:t>
      </w:r>
    </w:p>
    <w:p w14:paraId="423B4E07" w14:textId="77777777" w:rsidR="00B51574" w:rsidRDefault="00E80C7B" w:rsidP="009253E6">
      <w:pPr>
        <w:spacing w:after="0"/>
        <w:jc w:val="center"/>
        <w:rPr>
          <w:rFonts w:ascii="Book Antiqua" w:hAnsi="Book Antiqua"/>
        </w:rPr>
      </w:pPr>
      <w:r w:rsidRPr="00E3232D">
        <w:rPr>
          <w:rFonts w:ascii="Book Antiqua" w:hAnsi="Book Antiqua"/>
        </w:rPr>
        <w:t xml:space="preserve">Department of Liberal Studies, Koforidua Polytechnic, Box </w:t>
      </w:r>
      <w:r w:rsidR="009253E6">
        <w:rPr>
          <w:rFonts w:ascii="Book Antiqua" w:hAnsi="Book Antiqua"/>
        </w:rPr>
        <w:t>981, Koforidua</w:t>
      </w:r>
      <w:r w:rsidR="00B332F0">
        <w:rPr>
          <w:rFonts w:ascii="Book Antiqua" w:hAnsi="Book Antiqua"/>
        </w:rPr>
        <w:t xml:space="preserve"> </w:t>
      </w:r>
    </w:p>
    <w:p w14:paraId="782D290C" w14:textId="77777777" w:rsidR="00E80C7B" w:rsidRPr="00E3232D" w:rsidRDefault="00E80C7B" w:rsidP="00B51574">
      <w:pPr>
        <w:jc w:val="center"/>
        <w:rPr>
          <w:rFonts w:ascii="Book Antiqua" w:hAnsi="Book Antiqua"/>
        </w:rPr>
      </w:pPr>
      <w:r w:rsidRPr="00B332F0">
        <w:rPr>
          <w:rFonts w:ascii="Book Antiqua" w:hAnsi="Book Antiqua"/>
          <w:b/>
        </w:rPr>
        <w:t xml:space="preserve"> E-mail:</w:t>
      </w:r>
      <w:r w:rsidRPr="00E3232D">
        <w:rPr>
          <w:rFonts w:ascii="Book Antiqua" w:hAnsi="Book Antiqua"/>
        </w:rPr>
        <w:t xml:space="preserve"> </w:t>
      </w:r>
      <w:r w:rsidRPr="00E3232D">
        <w:rPr>
          <w:rFonts w:ascii="Book Antiqua" w:hAnsi="Book Antiqua"/>
          <w:color w:val="0070C0"/>
          <w:u w:val="single"/>
        </w:rPr>
        <w:t>nakohinaa@gmail.com</w:t>
      </w:r>
      <w:r w:rsidR="00B51574">
        <w:rPr>
          <w:rFonts w:ascii="Book Antiqua" w:hAnsi="Book Antiqua"/>
        </w:rPr>
        <w:t>,</w:t>
      </w:r>
    </w:p>
    <w:p w14:paraId="778CAEA3" w14:textId="77777777" w:rsidR="00E80C7B" w:rsidRPr="00E3232D" w:rsidRDefault="00E80C7B" w:rsidP="008275E1">
      <w:pPr>
        <w:rPr>
          <w:rFonts w:ascii="Book Antiqua" w:hAnsi="Book Antiqua"/>
        </w:rPr>
      </w:pPr>
    </w:p>
    <w:p w14:paraId="6B149807" w14:textId="77777777" w:rsidR="00E80C7B" w:rsidRPr="00E3232D" w:rsidRDefault="00E80C7B" w:rsidP="008275E1">
      <w:pPr>
        <w:rPr>
          <w:rFonts w:ascii="Book Antiqua" w:hAnsi="Book Antiqua"/>
          <w:b/>
        </w:rPr>
      </w:pPr>
      <w:r w:rsidRPr="00540710">
        <w:rPr>
          <w:rFonts w:ascii="Book Antiqua" w:hAnsi="Book Antiqua"/>
          <w:b/>
          <w:sz w:val="26"/>
        </w:rPr>
        <w:t>Abstract</w:t>
      </w:r>
    </w:p>
    <w:p w14:paraId="10192547" w14:textId="77777777" w:rsidR="00E80C7B" w:rsidRPr="00E3232D" w:rsidRDefault="00E80C7B" w:rsidP="009253E6">
      <w:pPr>
        <w:jc w:val="both"/>
        <w:rPr>
          <w:rFonts w:ascii="Book Antiqua" w:hAnsi="Book Antiqua"/>
        </w:rPr>
      </w:pPr>
      <w:r w:rsidRPr="00E3232D">
        <w:rPr>
          <w:rFonts w:ascii="Book Antiqua" w:hAnsi="Book Antiqua"/>
        </w:rPr>
        <w:t>This paper assessed fuelwood demand in the Tamale Metropolitan area. The general objective was to use the Travel Cost Method to assess fuelwood demand in the Tamale Metropolitan area. The methodology employed the simple random, stratified random sampling and proportions to determine the individual respondents. The study employed questionnaire to gather data and analyzed the responses using the Ordinary Least Squares method. The field data gathered was used to estimate the aggregate demand for fuelwood in the Tamale Metropolitan area using the travel cost method procedure. The results indicate that as travel cost increases, the number of visits by individual respondents to forested sites for fuelwood decreases. Also, as incomes rise, the number of visits to forested sites by individual respondents for fuelwood falls. It is recommended that, public education on the need to conserve and use natural resources wisely should be embarked upon. A demand management pattern should be adopted to check over exploitation of tree species. Promotion of a balanced use of fuelwood and other fuel alternatives should also be encouraged.</w:t>
      </w:r>
    </w:p>
    <w:p w14:paraId="2FB7DB74" w14:textId="77777777" w:rsidR="00E80C7B" w:rsidRPr="00E3232D" w:rsidRDefault="00E80C7B" w:rsidP="008275E1">
      <w:pPr>
        <w:rPr>
          <w:rFonts w:ascii="Book Antiqua" w:hAnsi="Book Antiqua"/>
        </w:rPr>
      </w:pPr>
      <w:r w:rsidRPr="00E3232D">
        <w:rPr>
          <w:rFonts w:ascii="Book Antiqua" w:hAnsi="Book Antiqua"/>
          <w:b/>
        </w:rPr>
        <w:t>Keywords</w:t>
      </w:r>
      <w:r w:rsidRPr="00E3232D">
        <w:rPr>
          <w:rFonts w:ascii="Book Antiqua" w:hAnsi="Book Antiqua"/>
        </w:rPr>
        <w:t>: fuelwood; energy; sustainable development; Tamale Metropolitan Area</w:t>
      </w:r>
    </w:p>
    <w:p w14:paraId="3B6AAFA2" w14:textId="77777777" w:rsidR="009F6F3B" w:rsidRPr="009253E6" w:rsidRDefault="009F6F3B" w:rsidP="009253E6">
      <w:pPr>
        <w:spacing w:before="240" w:after="120"/>
        <w:rPr>
          <w:rFonts w:ascii="Book Antiqua" w:hAnsi="Book Antiqua"/>
          <w:b/>
        </w:rPr>
        <w:sectPr w:rsidR="009F6F3B" w:rsidRPr="009253E6" w:rsidSect="008F6BC9">
          <w:footerReference w:type="default" r:id="rId316"/>
          <w:type w:val="continuous"/>
          <w:pgSz w:w="11907" w:h="16839" w:code="9"/>
          <w:pgMar w:top="1440" w:right="1440" w:bottom="1440" w:left="1440" w:header="708" w:footer="708" w:gutter="0"/>
          <w:cols w:space="720"/>
          <w:docGrid w:linePitch="360"/>
        </w:sectPr>
      </w:pPr>
    </w:p>
    <w:p w14:paraId="06E0A010" w14:textId="77777777" w:rsidR="00FC3AF7" w:rsidRPr="00E3232D" w:rsidRDefault="00FC3AF7" w:rsidP="009253E6">
      <w:pPr>
        <w:pStyle w:val="ListParagraph"/>
        <w:spacing w:before="240" w:after="120"/>
        <w:rPr>
          <w:rFonts w:ascii="Book Antiqua" w:hAnsi="Book Antiqua"/>
          <w:b/>
        </w:rPr>
        <w:sectPr w:rsidR="00FC3AF7" w:rsidRPr="00E3232D" w:rsidSect="008F6BC9">
          <w:type w:val="continuous"/>
          <w:pgSz w:w="11907" w:h="16839" w:code="9"/>
          <w:pgMar w:top="1440" w:right="1440" w:bottom="1440" w:left="1440" w:header="708" w:footer="708" w:gutter="0"/>
          <w:cols w:num="2" w:space="720"/>
          <w:docGrid w:linePitch="360"/>
        </w:sectPr>
      </w:pPr>
    </w:p>
    <w:p w14:paraId="726940DA" w14:textId="77777777" w:rsidR="00FC3AF7" w:rsidRPr="00540710" w:rsidRDefault="00FC3AF7" w:rsidP="00196385">
      <w:pPr>
        <w:pStyle w:val="ListParagraph"/>
        <w:numPr>
          <w:ilvl w:val="0"/>
          <w:numId w:val="180"/>
        </w:numPr>
        <w:spacing w:before="240" w:after="120"/>
        <w:jc w:val="both"/>
        <w:rPr>
          <w:rFonts w:ascii="Book Antiqua" w:hAnsi="Book Antiqua"/>
          <w:b/>
        </w:rPr>
      </w:pPr>
      <w:r w:rsidRPr="00540710">
        <w:rPr>
          <w:rFonts w:ascii="Book Antiqua" w:hAnsi="Book Antiqua"/>
          <w:b/>
          <w:sz w:val="26"/>
        </w:rPr>
        <w:t>Introduction</w:t>
      </w:r>
    </w:p>
    <w:p w14:paraId="4AE9F07E" w14:textId="77777777" w:rsidR="0094223C" w:rsidRDefault="00FC3AF7" w:rsidP="009253E6">
      <w:pPr>
        <w:jc w:val="both"/>
        <w:rPr>
          <w:rFonts w:ascii="Book Antiqua" w:hAnsi="Book Antiqua"/>
        </w:rPr>
      </w:pPr>
      <w:r w:rsidRPr="00E3232D">
        <w:rPr>
          <w:rFonts w:ascii="Book Antiqua" w:hAnsi="Book Antiqua"/>
        </w:rPr>
        <w:t xml:space="preserve">Fuelwood consumption is one of the main reasons for forest loss in many countries. Globally, harvest of trees for fuelwood was approximated as 54% per annum (Osei, 1993). </w:t>
      </w:r>
    </w:p>
    <w:p w14:paraId="0BBBF103" w14:textId="77777777" w:rsidR="00FC3AF7" w:rsidRPr="00E3232D" w:rsidRDefault="00FC3AF7" w:rsidP="009253E6">
      <w:pPr>
        <w:jc w:val="both"/>
        <w:rPr>
          <w:rFonts w:ascii="Book Antiqua" w:hAnsi="Book Antiqua"/>
        </w:rPr>
      </w:pPr>
      <w:r w:rsidRPr="00E3232D">
        <w:rPr>
          <w:rFonts w:ascii="Book Antiqua" w:hAnsi="Book Antiqua"/>
        </w:rPr>
        <w:t xml:space="preserve">In the developing world, biomass is the primary source of energy for domestic use.  The most widely used form of biomass is fuelwood, although in areas of scarcity of wood, other biomass forms such as crop residues and dung are used prevalently (Shackleton, 1993). </w:t>
      </w:r>
    </w:p>
    <w:p w14:paraId="4419AE65" w14:textId="77777777" w:rsidR="00FC3AF7" w:rsidRPr="00E3232D" w:rsidRDefault="00FC3AF7" w:rsidP="009253E6">
      <w:pPr>
        <w:jc w:val="both"/>
        <w:rPr>
          <w:rFonts w:ascii="Book Antiqua" w:hAnsi="Book Antiqua"/>
        </w:rPr>
      </w:pPr>
      <w:r w:rsidRPr="00E3232D">
        <w:rPr>
          <w:rFonts w:ascii="Book Antiqua" w:hAnsi="Book Antiqua"/>
        </w:rPr>
        <w:t xml:space="preserve">In Africa, a vast majority of rural households rely extensively upon fuelwood as their basic energy source (Sheya and Mushi, 2000; Brouwer and Falcão, 2004). This according to Madubansi </w:t>
      </w:r>
      <w:r w:rsidRPr="00E3232D">
        <w:rPr>
          <w:rFonts w:ascii="Book Antiqua" w:hAnsi="Book Antiqua"/>
          <w:i/>
        </w:rPr>
        <w:t>et</w:t>
      </w:r>
      <w:r w:rsidRPr="00E3232D">
        <w:rPr>
          <w:rFonts w:ascii="Book Antiqua" w:hAnsi="Book Antiqua"/>
        </w:rPr>
        <w:t xml:space="preserve"> </w:t>
      </w:r>
      <w:r w:rsidRPr="00E3232D">
        <w:rPr>
          <w:rFonts w:ascii="Book Antiqua" w:hAnsi="Book Antiqua"/>
          <w:i/>
        </w:rPr>
        <w:t>al</w:t>
      </w:r>
      <w:r w:rsidRPr="00E3232D">
        <w:rPr>
          <w:rFonts w:ascii="Book Antiqua" w:hAnsi="Book Antiqua"/>
        </w:rPr>
        <w:t xml:space="preserve">, 2004 has changed little over the last few decades, despite increasing population pressures and changing socio-economic and environmental profiles. </w:t>
      </w:r>
    </w:p>
    <w:p w14:paraId="28443C46" w14:textId="77777777" w:rsidR="0094223C" w:rsidRDefault="00FC3AF7" w:rsidP="009253E6">
      <w:pPr>
        <w:jc w:val="both"/>
        <w:rPr>
          <w:rFonts w:ascii="Book Antiqua" w:hAnsi="Book Antiqua"/>
        </w:rPr>
      </w:pPr>
      <w:r w:rsidRPr="00E3232D">
        <w:rPr>
          <w:rFonts w:ascii="Book Antiqua" w:hAnsi="Book Antiqua"/>
        </w:rPr>
        <w:t>Most small-scale industries and food-processing enterprises that women in Ghana undertake depend in large part on fuelwood. This dependence on fuelwood has contributed to the growing exploitation of Ghana's forest. It is estimated that, between 1974 and 1990 fuelwood consumption increased by 50 per cent in Ghana (Ardayfio-Schandorf, 1993).</w:t>
      </w:r>
    </w:p>
    <w:p w14:paraId="5CC90C44" w14:textId="77777777" w:rsidR="00B332F0" w:rsidRDefault="00FC3AF7" w:rsidP="009253E6">
      <w:pPr>
        <w:jc w:val="both"/>
        <w:rPr>
          <w:rFonts w:ascii="Book Antiqua" w:hAnsi="Book Antiqua"/>
        </w:rPr>
      </w:pPr>
      <w:r w:rsidRPr="00E3232D">
        <w:rPr>
          <w:rFonts w:ascii="Book Antiqua" w:hAnsi="Book Antiqua"/>
        </w:rPr>
        <w:t>The annual consumption of wood in Ghana was 14 million cubic metres in 2001, equivalent to 10 million tonnes, and was expected to rise to 20 million cubic metres in 2010 with an average annual growth rate of 4.0% (FAO, 2001).</w:t>
      </w:r>
    </w:p>
    <w:p w14:paraId="27E86771" w14:textId="77777777" w:rsidR="002A1D8C" w:rsidRDefault="00FC3AF7" w:rsidP="009253E6">
      <w:pPr>
        <w:jc w:val="both"/>
        <w:rPr>
          <w:rFonts w:ascii="Book Antiqua" w:hAnsi="Book Antiqua"/>
        </w:rPr>
      </w:pPr>
      <w:r w:rsidRPr="00E3232D">
        <w:rPr>
          <w:rFonts w:ascii="Book Antiqua" w:hAnsi="Book Antiqua"/>
        </w:rPr>
        <w:t>Estimates by the Savanna Forestry Division (2008) showed that, the Northern Region of Ghana has a land area of 29.5% (70,384km</w:t>
      </w:r>
      <w:r w:rsidRPr="00E3232D">
        <w:rPr>
          <w:rFonts w:ascii="Book Antiqua" w:hAnsi="Book Antiqua"/>
          <w:vertAlign w:val="superscript"/>
        </w:rPr>
        <w:t>2</w:t>
      </w:r>
      <w:r w:rsidRPr="00E3232D">
        <w:rPr>
          <w:rFonts w:ascii="Book Antiqua" w:hAnsi="Book Antiqua"/>
        </w:rPr>
        <w:t>) of the total land area of Ghana. The Northern Region of Ghana has 24 forest reserves and these constitute 9.6% of the nation’s 266 forest reserves (Savanna Forestry Division, 2008).</w:t>
      </w:r>
    </w:p>
    <w:p w14:paraId="19D5329E" w14:textId="77777777" w:rsidR="00FC3AF7" w:rsidRPr="00E3232D" w:rsidRDefault="00FC3AF7" w:rsidP="009253E6">
      <w:pPr>
        <w:jc w:val="both"/>
        <w:rPr>
          <w:rFonts w:ascii="Book Antiqua" w:hAnsi="Book Antiqua"/>
        </w:rPr>
      </w:pPr>
      <w:r w:rsidRPr="00E3232D">
        <w:rPr>
          <w:rFonts w:ascii="Book Antiqua" w:hAnsi="Book Antiqua"/>
        </w:rPr>
        <w:t>The Tamale Metropolitan Area has four forest reserves. These are the Tamale Fuelwood plantation (0.34km</w:t>
      </w:r>
      <w:r w:rsidRPr="00E3232D">
        <w:rPr>
          <w:rFonts w:ascii="Book Antiqua" w:hAnsi="Book Antiqua"/>
          <w:vertAlign w:val="superscript"/>
        </w:rPr>
        <w:t>2</w:t>
      </w:r>
      <w:r w:rsidRPr="00E3232D">
        <w:rPr>
          <w:rFonts w:ascii="Book Antiqua" w:hAnsi="Book Antiqua"/>
        </w:rPr>
        <w:t>), Kworgni plantation (0.45km</w:t>
      </w:r>
      <w:r w:rsidRPr="00E3232D">
        <w:rPr>
          <w:rFonts w:ascii="Book Antiqua" w:hAnsi="Book Antiqua"/>
          <w:vertAlign w:val="superscript"/>
        </w:rPr>
        <w:t>2</w:t>
      </w:r>
      <w:r w:rsidRPr="00E3232D">
        <w:rPr>
          <w:rFonts w:ascii="Book Antiqua" w:hAnsi="Book Antiqua"/>
        </w:rPr>
        <w:t>), Tamale water works (0.23km</w:t>
      </w:r>
      <w:r w:rsidRPr="00E3232D">
        <w:rPr>
          <w:rFonts w:ascii="Book Antiqua" w:hAnsi="Book Antiqua"/>
          <w:vertAlign w:val="superscript"/>
        </w:rPr>
        <w:t>2</w:t>
      </w:r>
      <w:r w:rsidRPr="00E3232D">
        <w:rPr>
          <w:rFonts w:ascii="Book Antiqua" w:hAnsi="Book Antiqua"/>
        </w:rPr>
        <w:t>) and the Sinsablegbini (72.52km</w:t>
      </w:r>
      <w:r w:rsidRPr="00E3232D">
        <w:rPr>
          <w:rFonts w:ascii="Book Antiqua" w:hAnsi="Book Antiqua"/>
          <w:vertAlign w:val="superscript"/>
        </w:rPr>
        <w:t>2</w:t>
      </w:r>
      <w:r w:rsidRPr="00E3232D">
        <w:rPr>
          <w:rFonts w:ascii="Book Antiqua" w:hAnsi="Book Antiqua"/>
        </w:rPr>
        <w:t>) near Tugu (Savanna Forestry Division, 2008). These forest reserves are exploited for fuelwood by the inhabitants of the Tamale Metropolitan area.</w:t>
      </w:r>
    </w:p>
    <w:p w14:paraId="2303A5B3" w14:textId="77777777" w:rsidR="002A1D8C" w:rsidRDefault="00FC3AF7" w:rsidP="009253E6">
      <w:pPr>
        <w:jc w:val="both"/>
        <w:rPr>
          <w:rFonts w:ascii="Book Antiqua" w:hAnsi="Book Antiqua"/>
        </w:rPr>
      </w:pPr>
      <w:r w:rsidRPr="00E3232D">
        <w:rPr>
          <w:rFonts w:ascii="Book Antiqua" w:hAnsi="Book Antiqua"/>
        </w:rPr>
        <w:t>Sankhayan and Hofstad (2001) have argued that, the widespread demand for fuelwood is linked to a number of environmental problems, including deforestation, biodiversity loss, climate change and land degradation.</w:t>
      </w:r>
    </w:p>
    <w:p w14:paraId="5DF896BF" w14:textId="77777777" w:rsidR="0094223C" w:rsidRDefault="00FC3AF7" w:rsidP="009253E6">
      <w:pPr>
        <w:jc w:val="both"/>
        <w:rPr>
          <w:rFonts w:ascii="Book Antiqua" w:hAnsi="Book Antiqua"/>
        </w:rPr>
      </w:pPr>
      <w:r w:rsidRPr="00E3232D">
        <w:rPr>
          <w:rFonts w:ascii="Book Antiqua" w:hAnsi="Book Antiqua"/>
        </w:rPr>
        <w:t xml:space="preserve">About 84.0 % of households in the Northern Region of Ghana use fuelwood as a main source of energy for cooking. 45.1% of households in the Tamale Metropolitan area also rely on fuelwood as their main source of energy for cooking (Ghana Statistical Service, 2000). The increasing pressure to meet both rural and urban demand for fuelwood often results in destruction of tree vegetation. </w:t>
      </w:r>
    </w:p>
    <w:p w14:paraId="24BC0B9C" w14:textId="77777777" w:rsidR="002A1D8C" w:rsidRDefault="00FC3AF7" w:rsidP="009253E6">
      <w:pPr>
        <w:jc w:val="both"/>
        <w:rPr>
          <w:rFonts w:ascii="Book Antiqua" w:hAnsi="Book Antiqua"/>
        </w:rPr>
      </w:pPr>
      <w:r w:rsidRPr="00E3232D">
        <w:rPr>
          <w:rFonts w:ascii="Book Antiqua" w:hAnsi="Book Antiqua"/>
        </w:rPr>
        <w:t>Fuelwood is a market commodity which has led to increased pressure and accelerated exploitation of all kinds of trees of subsistence, economic or protection value, resulting in serious degradation of the fragile savanna ecosystem and thus threatens sustainability.</w:t>
      </w:r>
    </w:p>
    <w:p w14:paraId="5D161A90" w14:textId="77777777" w:rsidR="002A1D8C" w:rsidRDefault="00FC3AF7" w:rsidP="009253E6">
      <w:pPr>
        <w:jc w:val="both"/>
        <w:rPr>
          <w:rFonts w:ascii="Book Antiqua" w:hAnsi="Book Antiqua"/>
        </w:rPr>
      </w:pPr>
      <w:r w:rsidRPr="00E3232D">
        <w:rPr>
          <w:rFonts w:ascii="Book Antiqua" w:hAnsi="Book Antiqua"/>
        </w:rPr>
        <w:t xml:space="preserve">Fuelwood is collected in large quantities in an uncontrolled manner in which the impact is felt on fuelwood resources (FAO, 1985). </w:t>
      </w:r>
    </w:p>
    <w:p w14:paraId="3405FDAD" w14:textId="77777777" w:rsidR="00FC3AF7" w:rsidRPr="00E3232D" w:rsidRDefault="00FC3AF7" w:rsidP="009253E6">
      <w:pPr>
        <w:spacing w:before="40" w:after="40"/>
        <w:jc w:val="both"/>
        <w:rPr>
          <w:rFonts w:ascii="Book Antiqua" w:hAnsi="Book Antiqua"/>
        </w:rPr>
      </w:pPr>
      <w:r w:rsidRPr="00E3232D">
        <w:rPr>
          <w:rFonts w:ascii="Book Antiqua" w:hAnsi="Book Antiqua"/>
        </w:rPr>
        <w:t>Sustainable development implies use of natural resources such that the future generations can attain the same level of well-being as enjoyed by the present generation. It is in context of the need for conservation of the stock of natural resources that sustainable management of forests (SFM) has gained importance. Sustainable Forest Management ensures that values derived from forests meet present day requirements and at the same time the quantity and quality of long term development goals are maintained (</w:t>
      </w:r>
      <w:r w:rsidRPr="00E3232D">
        <w:rPr>
          <w:rFonts w:ascii="Book Antiqua" w:hAnsi="Book Antiqua"/>
          <w:bCs/>
        </w:rPr>
        <w:t>Mathur</w:t>
      </w:r>
      <w:r w:rsidRPr="00E3232D">
        <w:rPr>
          <w:rFonts w:ascii="Book Antiqua" w:hAnsi="Book Antiqua"/>
        </w:rPr>
        <w:t xml:space="preserve"> and </w:t>
      </w:r>
      <w:r w:rsidRPr="00E3232D">
        <w:rPr>
          <w:rFonts w:ascii="Book Antiqua" w:hAnsi="Book Antiqua"/>
          <w:bCs/>
        </w:rPr>
        <w:t>Sachdeva</w:t>
      </w:r>
      <w:r w:rsidRPr="00E3232D">
        <w:rPr>
          <w:rFonts w:ascii="Book Antiqua" w:hAnsi="Book Antiqua"/>
        </w:rPr>
        <w:t>, 2003).</w:t>
      </w:r>
    </w:p>
    <w:p w14:paraId="64E196E2" w14:textId="77777777" w:rsidR="002A1D8C" w:rsidRDefault="00FC3AF7" w:rsidP="009253E6">
      <w:pPr>
        <w:jc w:val="both"/>
        <w:rPr>
          <w:rFonts w:ascii="Book Antiqua" w:hAnsi="Book Antiqua"/>
        </w:rPr>
      </w:pPr>
      <w:r w:rsidRPr="00E3232D">
        <w:rPr>
          <w:rFonts w:ascii="Book Antiqua" w:hAnsi="Book Antiqua"/>
        </w:rPr>
        <w:t>A major reason for conserving natural resources or keeping the natural capital intact could be the uncertainty about the workings of the ecological systems, the irreversible nature of some natural resources when they are exploited or consumed.</w:t>
      </w:r>
    </w:p>
    <w:p w14:paraId="3D664F6B" w14:textId="77777777" w:rsidR="00FC3AF7" w:rsidRPr="00E3232D" w:rsidRDefault="00FC3AF7" w:rsidP="009253E6">
      <w:pPr>
        <w:jc w:val="both"/>
        <w:rPr>
          <w:rFonts w:ascii="Book Antiqua" w:hAnsi="Book Antiqua"/>
        </w:rPr>
      </w:pPr>
      <w:r w:rsidRPr="00E3232D">
        <w:rPr>
          <w:rFonts w:ascii="Book Antiqua" w:hAnsi="Book Antiqua"/>
        </w:rPr>
        <w:t>The general objective of the study is to use the travel cost method to assess the demand for fuelwood in the Tamale</w:t>
      </w:r>
      <w:r w:rsidRPr="00E3232D">
        <w:rPr>
          <w:rFonts w:ascii="Book Antiqua" w:hAnsi="Book Antiqua"/>
          <w:color w:val="333333"/>
        </w:rPr>
        <w:t xml:space="preserve"> Metropolitan area</w:t>
      </w:r>
      <w:r w:rsidRPr="00E3232D">
        <w:rPr>
          <w:rFonts w:ascii="Book Antiqua" w:hAnsi="Book Antiqua"/>
        </w:rPr>
        <w:t>.</w:t>
      </w:r>
    </w:p>
    <w:p w14:paraId="19018441" w14:textId="77777777" w:rsidR="00FC3AF7" w:rsidRPr="00E3232D" w:rsidRDefault="00FC3AF7" w:rsidP="009253E6">
      <w:pPr>
        <w:jc w:val="both"/>
        <w:rPr>
          <w:rFonts w:ascii="Book Antiqua" w:hAnsi="Book Antiqua"/>
        </w:rPr>
      </w:pPr>
      <w:r w:rsidRPr="00E3232D">
        <w:rPr>
          <w:rFonts w:ascii="Book Antiqua" w:hAnsi="Book Antiqua"/>
        </w:rPr>
        <w:t>The specific objectives seek to:</w:t>
      </w:r>
    </w:p>
    <w:p w14:paraId="6A3B76EB" w14:textId="77777777" w:rsidR="00FC3AF7" w:rsidRPr="00E3232D" w:rsidRDefault="00FC3AF7" w:rsidP="00196385">
      <w:pPr>
        <w:numPr>
          <w:ilvl w:val="0"/>
          <w:numId w:val="100"/>
        </w:numPr>
        <w:autoSpaceDE w:val="0"/>
        <w:autoSpaceDN w:val="0"/>
        <w:adjustRightInd w:val="0"/>
        <w:spacing w:before="240" w:after="120"/>
        <w:jc w:val="both"/>
        <w:rPr>
          <w:rFonts w:ascii="Book Antiqua" w:hAnsi="Book Antiqua"/>
        </w:rPr>
      </w:pPr>
      <w:r w:rsidRPr="00E3232D">
        <w:rPr>
          <w:rFonts w:ascii="Book Antiqua" w:hAnsi="Book Antiqua"/>
        </w:rPr>
        <w:t>examine the factors which influence demand for fuelwood in the Tamale Metropolitan area.</w:t>
      </w:r>
    </w:p>
    <w:p w14:paraId="064E1640" w14:textId="77777777" w:rsidR="00FC3AF7" w:rsidRPr="00E3232D" w:rsidRDefault="00FC3AF7" w:rsidP="00196385">
      <w:pPr>
        <w:numPr>
          <w:ilvl w:val="0"/>
          <w:numId w:val="100"/>
        </w:numPr>
        <w:autoSpaceDE w:val="0"/>
        <w:autoSpaceDN w:val="0"/>
        <w:adjustRightInd w:val="0"/>
        <w:spacing w:before="240" w:after="120"/>
        <w:jc w:val="both"/>
        <w:rPr>
          <w:rFonts w:ascii="Book Antiqua" w:hAnsi="Book Antiqua"/>
        </w:rPr>
      </w:pPr>
      <w:r w:rsidRPr="00E3232D">
        <w:rPr>
          <w:rFonts w:ascii="Book Antiqua" w:hAnsi="Book Antiqua"/>
        </w:rPr>
        <w:t xml:space="preserve"> use field data to estimate aggregate demand for fuelwood in the Tamale Metropolitan area.</w:t>
      </w:r>
    </w:p>
    <w:p w14:paraId="7CB858E8" w14:textId="77777777" w:rsidR="00FC3AF7" w:rsidRPr="00E3232D" w:rsidRDefault="00FC3AF7" w:rsidP="00196385">
      <w:pPr>
        <w:numPr>
          <w:ilvl w:val="0"/>
          <w:numId w:val="100"/>
        </w:numPr>
        <w:autoSpaceDE w:val="0"/>
        <w:autoSpaceDN w:val="0"/>
        <w:adjustRightInd w:val="0"/>
        <w:spacing w:before="240" w:after="120"/>
        <w:jc w:val="both"/>
        <w:rPr>
          <w:rFonts w:ascii="Book Antiqua" w:hAnsi="Book Antiqua"/>
        </w:rPr>
      </w:pPr>
      <w:r w:rsidRPr="00E3232D">
        <w:rPr>
          <w:rFonts w:ascii="Book Antiqua" w:hAnsi="Book Antiqua"/>
        </w:rPr>
        <w:t>evaluate how demand for fuelwood impact on the economic livelihood of the people of the Tamale Metropolitan area.</w:t>
      </w:r>
    </w:p>
    <w:p w14:paraId="4737BD4F" w14:textId="77777777" w:rsidR="00FC3AF7" w:rsidRPr="00E3232D" w:rsidRDefault="00FC3AF7" w:rsidP="009253E6">
      <w:pPr>
        <w:jc w:val="both"/>
        <w:rPr>
          <w:rFonts w:ascii="Book Antiqua" w:hAnsi="Book Antiqua"/>
        </w:rPr>
      </w:pPr>
      <w:r w:rsidRPr="00E3232D">
        <w:rPr>
          <w:rFonts w:ascii="Book Antiqua" w:hAnsi="Book Antiqua"/>
        </w:rPr>
        <w:t>The hypotheses in this study are:</w:t>
      </w:r>
    </w:p>
    <w:p w14:paraId="40665172" w14:textId="77777777" w:rsidR="00FC3AF7" w:rsidRPr="00E3232D" w:rsidRDefault="00FC3AF7" w:rsidP="009253E6">
      <w:pPr>
        <w:jc w:val="both"/>
        <w:rPr>
          <w:rFonts w:ascii="Book Antiqua" w:hAnsi="Book Antiqua"/>
        </w:rPr>
      </w:pPr>
      <w:r w:rsidRPr="00E3232D">
        <w:rPr>
          <w:rFonts w:ascii="Book Antiqua" w:hAnsi="Book Antiqua"/>
          <w:b/>
        </w:rPr>
        <w:t>Hypothesis 1</w:t>
      </w:r>
    </w:p>
    <w:p w14:paraId="304F62C6"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o</w:t>
      </w:r>
      <w:r w:rsidRPr="00E3232D">
        <w:rPr>
          <w:rFonts w:ascii="Book Antiqua" w:hAnsi="Book Antiqua"/>
        </w:rPr>
        <w:t>: the travel cost for fuelwood by individual respondent has no impact on the number of visits for fuelwood in the Tamale Metropolitan area.</w:t>
      </w:r>
    </w:p>
    <w:p w14:paraId="708D1008"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1</w:t>
      </w:r>
      <w:r w:rsidRPr="00E3232D">
        <w:rPr>
          <w:rFonts w:ascii="Book Antiqua" w:hAnsi="Book Antiqua"/>
        </w:rPr>
        <w:t>: the travel cost for fuelwood by individual respondent has impact on the number of visits for fuelwood in the Tamale Metropolitan area.</w:t>
      </w:r>
    </w:p>
    <w:p w14:paraId="6EACF565" w14:textId="77777777" w:rsidR="009253E6" w:rsidRDefault="009253E6" w:rsidP="009253E6">
      <w:pPr>
        <w:pStyle w:val="NoSpacing"/>
        <w:spacing w:before="240" w:after="120" w:line="276" w:lineRule="auto"/>
        <w:jc w:val="both"/>
        <w:rPr>
          <w:rFonts w:ascii="Book Antiqua" w:hAnsi="Book Antiqua"/>
          <w:b/>
        </w:rPr>
      </w:pPr>
    </w:p>
    <w:p w14:paraId="7C4F1282" w14:textId="77777777" w:rsidR="00FC3AF7" w:rsidRPr="00E3232D" w:rsidRDefault="00FC3AF7" w:rsidP="009253E6">
      <w:pPr>
        <w:pStyle w:val="NoSpacing"/>
        <w:spacing w:before="240" w:after="120" w:line="276" w:lineRule="auto"/>
        <w:jc w:val="both"/>
        <w:rPr>
          <w:rFonts w:ascii="Book Antiqua" w:hAnsi="Book Antiqua"/>
          <w:b/>
        </w:rPr>
      </w:pPr>
      <w:r w:rsidRPr="00E3232D">
        <w:rPr>
          <w:rFonts w:ascii="Book Antiqua" w:hAnsi="Book Antiqua"/>
          <w:b/>
        </w:rPr>
        <w:t>Hypothesis 2</w:t>
      </w:r>
    </w:p>
    <w:p w14:paraId="0085F7F2"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o</w:t>
      </w:r>
      <w:r w:rsidRPr="00E3232D">
        <w:rPr>
          <w:rFonts w:ascii="Book Antiqua" w:hAnsi="Book Antiqua"/>
        </w:rPr>
        <w:t>: the income of individual respondent has no impact on the number of visits for fuelwood in the Tamale Metropolitan area.</w:t>
      </w:r>
    </w:p>
    <w:p w14:paraId="2E85B5FD"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1</w:t>
      </w:r>
      <w:r w:rsidRPr="00E3232D">
        <w:rPr>
          <w:rFonts w:ascii="Book Antiqua" w:hAnsi="Book Antiqua"/>
        </w:rPr>
        <w:t>: the income of individual respondent has impact on the number of visits for fuelwood in the Tamale Metropolitan area.</w:t>
      </w:r>
    </w:p>
    <w:p w14:paraId="5AA371CB" w14:textId="77777777" w:rsidR="00FC3AF7" w:rsidRPr="00E3232D" w:rsidRDefault="00FC3AF7" w:rsidP="009253E6">
      <w:pPr>
        <w:pStyle w:val="NoSpacing"/>
        <w:spacing w:before="240" w:after="120" w:line="276" w:lineRule="auto"/>
        <w:jc w:val="both"/>
        <w:rPr>
          <w:rFonts w:ascii="Book Antiqua" w:hAnsi="Book Antiqua"/>
          <w:b/>
        </w:rPr>
      </w:pPr>
      <w:r w:rsidRPr="00E3232D">
        <w:rPr>
          <w:rFonts w:ascii="Book Antiqua" w:hAnsi="Book Antiqua"/>
          <w:b/>
        </w:rPr>
        <w:t>Hypothesis 3</w:t>
      </w:r>
    </w:p>
    <w:p w14:paraId="4B5157A4"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o</w:t>
      </w:r>
      <w:r w:rsidRPr="00E3232D">
        <w:rPr>
          <w:rFonts w:ascii="Book Antiqua" w:hAnsi="Book Antiqua"/>
        </w:rPr>
        <w:t>: the educational level of individual respondent has no impact on the number of visits for fuelwood in the Tamale Metropolitan area.</w:t>
      </w:r>
    </w:p>
    <w:p w14:paraId="0A9C1D7A"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1</w:t>
      </w:r>
      <w:r w:rsidRPr="00E3232D">
        <w:rPr>
          <w:rFonts w:ascii="Book Antiqua" w:hAnsi="Book Antiqua"/>
        </w:rPr>
        <w:t>:  the educational level of individual respondent has impact on the number of visits for fuelwood in the Tamale Metropolitan area.</w:t>
      </w:r>
      <w:r w:rsidRPr="00E3232D">
        <w:rPr>
          <w:rFonts w:ascii="Book Antiqua" w:hAnsi="Book Antiqua"/>
        </w:rPr>
        <w:tab/>
      </w:r>
    </w:p>
    <w:p w14:paraId="22237E34" w14:textId="77777777" w:rsidR="00FC3AF7" w:rsidRPr="00E3232D" w:rsidRDefault="00FC3AF7" w:rsidP="009253E6">
      <w:pPr>
        <w:pStyle w:val="NoSpacing"/>
        <w:spacing w:before="240" w:after="120" w:line="276" w:lineRule="auto"/>
        <w:jc w:val="both"/>
        <w:rPr>
          <w:rFonts w:ascii="Book Antiqua" w:hAnsi="Book Antiqua"/>
          <w:b/>
        </w:rPr>
      </w:pPr>
      <w:r w:rsidRPr="00E3232D">
        <w:rPr>
          <w:rFonts w:ascii="Book Antiqua" w:hAnsi="Book Antiqua"/>
          <w:b/>
        </w:rPr>
        <w:t>Hypothesis 4</w:t>
      </w:r>
    </w:p>
    <w:p w14:paraId="46AD6329"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o</w:t>
      </w:r>
      <w:r w:rsidRPr="00E3232D">
        <w:rPr>
          <w:rFonts w:ascii="Book Antiqua" w:hAnsi="Book Antiqua"/>
        </w:rPr>
        <w:t>: the age of individual respondent has no impact on the number of visits for fuelwood in the Tamale Metropolitan area.</w:t>
      </w:r>
    </w:p>
    <w:p w14:paraId="04C206AC"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1</w:t>
      </w:r>
      <w:r w:rsidRPr="00E3232D">
        <w:rPr>
          <w:rFonts w:ascii="Book Antiqua" w:hAnsi="Book Antiqua"/>
        </w:rPr>
        <w:t>:  the age of individual respondent has impact on the number of visits for fuelwood in the Tamale Metropolitan area.</w:t>
      </w:r>
    </w:p>
    <w:p w14:paraId="2286A1BE" w14:textId="77777777" w:rsidR="00FC3AF7" w:rsidRPr="00E3232D" w:rsidRDefault="00FC3AF7" w:rsidP="00196385">
      <w:pPr>
        <w:pStyle w:val="NoSpacing"/>
        <w:numPr>
          <w:ilvl w:val="0"/>
          <w:numId w:val="100"/>
        </w:numPr>
        <w:spacing w:before="240" w:after="120" w:line="276" w:lineRule="auto"/>
        <w:jc w:val="both"/>
        <w:rPr>
          <w:rFonts w:ascii="Book Antiqua" w:hAnsi="Book Antiqua"/>
          <w:b/>
        </w:rPr>
      </w:pPr>
      <w:r w:rsidRPr="00E3232D">
        <w:rPr>
          <w:rFonts w:ascii="Book Antiqua" w:hAnsi="Book Antiqua"/>
          <w:b/>
        </w:rPr>
        <w:t>Hypothesis 5</w:t>
      </w:r>
    </w:p>
    <w:p w14:paraId="21F7C4C6"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o</w:t>
      </w:r>
      <w:r w:rsidRPr="00E3232D">
        <w:rPr>
          <w:rFonts w:ascii="Book Antiqua" w:hAnsi="Book Antiqua"/>
        </w:rPr>
        <w:t>: the travel cost to alternative site by individual respondent has no impact on the number of visits for fuelwood in the Tamale Metropolitan area.</w:t>
      </w:r>
    </w:p>
    <w:p w14:paraId="3944B619"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b/>
        </w:rPr>
        <w:t>H</w:t>
      </w:r>
      <w:r w:rsidRPr="00E3232D">
        <w:rPr>
          <w:rFonts w:ascii="Book Antiqua" w:hAnsi="Book Antiqua"/>
          <w:b/>
          <w:vertAlign w:val="subscript"/>
        </w:rPr>
        <w:t>1</w:t>
      </w:r>
      <w:r w:rsidRPr="00E3232D">
        <w:rPr>
          <w:rFonts w:ascii="Book Antiqua" w:hAnsi="Book Antiqua"/>
        </w:rPr>
        <w:t>:  the travel cost to alternative site by individual respondent has impact on the number of visits for fuelwood in the Tamale Metropolitan area.</w:t>
      </w:r>
    </w:p>
    <w:p w14:paraId="1C0AB294" w14:textId="77777777" w:rsidR="00FC3AF7" w:rsidRPr="00E3232D" w:rsidRDefault="00FC3AF7" w:rsidP="009253E6">
      <w:pPr>
        <w:jc w:val="both"/>
        <w:rPr>
          <w:rFonts w:ascii="Book Antiqua" w:hAnsi="Book Antiqua"/>
        </w:rPr>
      </w:pPr>
      <w:r w:rsidRPr="00E3232D">
        <w:rPr>
          <w:rFonts w:ascii="Book Antiqua" w:hAnsi="Book Antiqua"/>
        </w:rPr>
        <w:t>In testing the hypothesis regression analysis was used. The expectation is that, these variables postulated above should have a negative relationship with the number of visits for fuelwood for the acceptance of the alternate hypothesis. A positive relationship shows a rejection of the alternate hypothesis and acceptance of the null hypothesis.</w:t>
      </w:r>
    </w:p>
    <w:p w14:paraId="617194E8" w14:textId="77777777" w:rsidR="00FC3AF7" w:rsidRPr="00E3232D" w:rsidRDefault="00FC3AF7" w:rsidP="009253E6">
      <w:pPr>
        <w:jc w:val="both"/>
        <w:rPr>
          <w:rFonts w:ascii="Book Antiqua" w:hAnsi="Book Antiqua"/>
        </w:rPr>
      </w:pPr>
      <w:r w:rsidRPr="00E3232D">
        <w:rPr>
          <w:rFonts w:ascii="Book Antiqua" w:hAnsi="Book Antiqua"/>
        </w:rPr>
        <w:t>The above statistics showed the magnitude of fuelwood dependence as an energy source for cooking in the Tamale Metropolitan area. This calls for an assessment of fuelwood demand in the Tamale Metropolitan area.</w:t>
      </w:r>
    </w:p>
    <w:p w14:paraId="5D6A6A83" w14:textId="77777777" w:rsidR="009253E6" w:rsidRPr="00540710" w:rsidRDefault="00FC3AF7" w:rsidP="00196385">
      <w:pPr>
        <w:pStyle w:val="ListParagraph"/>
        <w:numPr>
          <w:ilvl w:val="0"/>
          <w:numId w:val="180"/>
        </w:numPr>
        <w:spacing w:before="40" w:after="40"/>
        <w:jc w:val="both"/>
        <w:rPr>
          <w:rFonts w:ascii="Book Antiqua" w:hAnsi="Book Antiqua"/>
        </w:rPr>
      </w:pPr>
      <w:r w:rsidRPr="00540710">
        <w:rPr>
          <w:rFonts w:ascii="Book Antiqua" w:hAnsi="Book Antiqua"/>
          <w:b/>
          <w:sz w:val="26"/>
        </w:rPr>
        <w:t>Methodology</w:t>
      </w:r>
    </w:p>
    <w:p w14:paraId="56850273" w14:textId="77777777" w:rsidR="009253E6" w:rsidRPr="009253E6" w:rsidRDefault="009253E6" w:rsidP="009253E6">
      <w:pPr>
        <w:pStyle w:val="ListParagraph"/>
        <w:spacing w:before="40" w:after="40"/>
        <w:ind w:left="0"/>
        <w:jc w:val="both"/>
        <w:rPr>
          <w:rFonts w:ascii="Book Antiqua" w:hAnsi="Book Antiqua"/>
        </w:rPr>
      </w:pPr>
    </w:p>
    <w:p w14:paraId="47BBCDF8" w14:textId="77777777" w:rsidR="00FC3AF7" w:rsidRPr="009253E6" w:rsidRDefault="00FC3AF7" w:rsidP="009253E6">
      <w:pPr>
        <w:pStyle w:val="ListParagraph"/>
        <w:spacing w:before="40" w:after="40"/>
        <w:ind w:left="0"/>
        <w:jc w:val="both"/>
        <w:rPr>
          <w:rFonts w:ascii="Book Antiqua" w:hAnsi="Book Antiqua"/>
        </w:rPr>
      </w:pPr>
      <w:r w:rsidRPr="009253E6">
        <w:rPr>
          <w:rFonts w:ascii="Book Antiqua" w:hAnsi="Book Antiqua"/>
        </w:rPr>
        <w:t xml:space="preserve">The travel cost method (TCM) is used to estimate economic use values associated with ecosystems or sites that are used for recreation. The method involves using travel costs as a proxy for the price of visiting outdoor recreational sites. The basic premise of this method is that the time and travel cost expenses that people incur to visit a site represent the “price” of access to the site. The TCM is a ‘revealed preferences’ approach to valuation. If a person travels to a recreation site that can be entered free of charge, then this person values the site at least as much as the cost of getting there. </w:t>
      </w:r>
      <w:r w:rsidRPr="009253E6">
        <w:rPr>
          <w:rFonts w:ascii="Book Antiqua" w:hAnsi="Book Antiqua"/>
          <w:lang w:val="en-GB"/>
        </w:rPr>
        <w:t>The TCM process is estimated as follows: define the recreation uses and seasons (fuel wood)</w:t>
      </w:r>
      <w:r w:rsidRPr="009253E6">
        <w:rPr>
          <w:rFonts w:ascii="Book Antiqua" w:hAnsi="Book Antiqua"/>
        </w:rPr>
        <w:t xml:space="preserve">, </w:t>
      </w:r>
      <w:r w:rsidRPr="009253E6">
        <w:rPr>
          <w:rFonts w:ascii="Book Antiqua" w:hAnsi="Book Antiqua"/>
          <w:lang w:val="en-GB"/>
        </w:rPr>
        <w:t xml:space="preserve">develop a sampling strategy, specify the model, Measure trip cost, design and implement the survey, decide on the treatment of multiple purpose trips, Estimate the model and </w:t>
      </w:r>
      <w:r w:rsidRPr="009253E6">
        <w:rPr>
          <w:rFonts w:ascii="Book Antiqua" w:hAnsi="Book Antiqua"/>
        </w:rPr>
        <w:t>calculate access value. The population for this study were users of fuelwood in the Tamale Metropolitan area and it was estimated to be 20407 (Ghana Statistical Service, 2000). The data for this study was obtained from the primary sources. For the primary data, questionnaires were administered to individual users of the fuelwood in each of the sampled houses.  A sample size of 392 was used and it was considered enough to explain the behaviour of individuals in this study area. The reason is that, there are enough similarities in terms of levels of income and educational levels among the elements in the population to explain their behavioural patterns. The study adopted the multiple sampling techniques which include the simple random sampling and stratified random sampling. The stratified random sampling was to avoid merging both rural and urban Tamale for data collection. The main instrument employed in the data collection for the study was questionnaire. A face to face interview was used since other ways of administration of questionnaire like the mail shot and telephone interviews offer several challenges as far as their usage were concerned.</w:t>
      </w:r>
    </w:p>
    <w:p w14:paraId="0AD974EB"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rPr>
        <w:t>The study adapted the individual travel cost model after Choe et al (1996) on the basis of compatibility with postulates of economic theory, ability to explain observations of the actual world, accuracy of the estimates of the parameters and forecasting ability. In addition, the model provides no room for probability as in the case of random utility models (RUM). This model takes the form:</w:t>
      </w:r>
    </w:p>
    <w:p w14:paraId="53671C55" w14:textId="77777777" w:rsidR="00FC3AF7" w:rsidRPr="00E3232D" w:rsidRDefault="00FC3AF7" w:rsidP="009253E6">
      <w:pPr>
        <w:jc w:val="both"/>
        <w:rPr>
          <w:rFonts w:ascii="Book Antiqua" w:hAnsi="Book Antiqua"/>
          <w:b/>
          <w:color w:val="333333"/>
        </w:rPr>
      </w:pPr>
      <w:r w:rsidRPr="00E3232D">
        <w:rPr>
          <w:rFonts w:ascii="Book Antiqua" w:hAnsi="Book Antiqua"/>
          <w:b/>
          <w:color w:val="333333"/>
        </w:rPr>
        <w:t>V</w:t>
      </w:r>
      <w:r w:rsidRPr="00E3232D">
        <w:rPr>
          <w:rFonts w:ascii="Book Antiqua" w:hAnsi="Book Antiqua"/>
          <w:b/>
          <w:color w:val="333333"/>
          <w:vertAlign w:val="subscript"/>
        </w:rPr>
        <w:t xml:space="preserve">i </w:t>
      </w:r>
      <w:r w:rsidRPr="00E3232D">
        <w:rPr>
          <w:rFonts w:ascii="Book Antiqua" w:hAnsi="Book Antiqua"/>
          <w:b/>
          <w:color w:val="333333"/>
        </w:rPr>
        <w:t>= α</w:t>
      </w:r>
      <w:r w:rsidRPr="00E3232D">
        <w:rPr>
          <w:rFonts w:ascii="Book Antiqua" w:hAnsi="Book Antiqua"/>
          <w:b/>
          <w:color w:val="333333"/>
          <w:vertAlign w:val="subscript"/>
        </w:rPr>
        <w:t xml:space="preserve">0 </w:t>
      </w:r>
      <w:r w:rsidRPr="00E3232D">
        <w:rPr>
          <w:rFonts w:ascii="Book Antiqua" w:hAnsi="Book Antiqua"/>
          <w:b/>
          <w:color w:val="333333"/>
        </w:rPr>
        <w:t>+ α</w:t>
      </w:r>
      <w:r w:rsidRPr="00E3232D">
        <w:rPr>
          <w:rFonts w:ascii="Book Antiqua" w:hAnsi="Book Antiqua"/>
          <w:b/>
          <w:color w:val="333333"/>
          <w:vertAlign w:val="subscript"/>
        </w:rPr>
        <w:t>1</w:t>
      </w:r>
      <w:r w:rsidRPr="00E3232D">
        <w:rPr>
          <w:rFonts w:ascii="Book Antiqua" w:hAnsi="Book Antiqua"/>
          <w:b/>
          <w:color w:val="333333"/>
        </w:rPr>
        <w:t>TC</w:t>
      </w:r>
      <w:r w:rsidRPr="00E3232D">
        <w:rPr>
          <w:rFonts w:ascii="Book Antiqua" w:hAnsi="Book Antiqua"/>
          <w:b/>
          <w:color w:val="333333"/>
          <w:vertAlign w:val="subscript"/>
        </w:rPr>
        <w:t>i</w:t>
      </w:r>
      <w:r w:rsidRPr="00E3232D">
        <w:rPr>
          <w:rFonts w:ascii="Book Antiqua" w:hAnsi="Book Antiqua"/>
          <w:b/>
          <w:color w:val="333333"/>
        </w:rPr>
        <w:t xml:space="preserve"> + α</w:t>
      </w:r>
      <w:r w:rsidRPr="00E3232D">
        <w:rPr>
          <w:rFonts w:ascii="Book Antiqua" w:hAnsi="Book Antiqua"/>
          <w:b/>
          <w:color w:val="333333"/>
          <w:vertAlign w:val="subscript"/>
        </w:rPr>
        <w:t>2</w:t>
      </w:r>
      <w:r w:rsidRPr="00E3232D">
        <w:rPr>
          <w:rFonts w:ascii="Book Antiqua" w:hAnsi="Book Antiqua"/>
          <w:b/>
          <w:color w:val="333333"/>
        </w:rPr>
        <w:t>Y</w:t>
      </w:r>
      <w:r w:rsidRPr="00E3232D">
        <w:rPr>
          <w:rFonts w:ascii="Book Antiqua" w:hAnsi="Book Antiqua"/>
          <w:b/>
          <w:color w:val="333333"/>
          <w:vertAlign w:val="subscript"/>
        </w:rPr>
        <w:t>i</w:t>
      </w:r>
      <w:r w:rsidRPr="00E3232D">
        <w:rPr>
          <w:rFonts w:ascii="Book Antiqua" w:hAnsi="Book Antiqua"/>
          <w:b/>
          <w:color w:val="333333"/>
        </w:rPr>
        <w:t xml:space="preserve"> + α</w:t>
      </w:r>
      <w:r w:rsidRPr="00E3232D">
        <w:rPr>
          <w:rFonts w:ascii="Book Antiqua" w:hAnsi="Book Antiqua"/>
          <w:b/>
          <w:color w:val="333333"/>
          <w:vertAlign w:val="subscript"/>
        </w:rPr>
        <w:t>3</w:t>
      </w:r>
      <w:r w:rsidRPr="00E3232D">
        <w:rPr>
          <w:rFonts w:ascii="Book Antiqua" w:hAnsi="Book Antiqua"/>
          <w:b/>
          <w:color w:val="333333"/>
        </w:rPr>
        <w:t>Edu</w:t>
      </w:r>
      <w:r w:rsidRPr="00E3232D">
        <w:rPr>
          <w:rFonts w:ascii="Book Antiqua" w:hAnsi="Book Antiqua"/>
          <w:b/>
          <w:color w:val="333333"/>
          <w:vertAlign w:val="subscript"/>
        </w:rPr>
        <w:t xml:space="preserve">i </w:t>
      </w:r>
      <w:r w:rsidRPr="00E3232D">
        <w:rPr>
          <w:rFonts w:ascii="Book Antiqua" w:hAnsi="Book Antiqua"/>
          <w:b/>
          <w:color w:val="333333"/>
        </w:rPr>
        <w:t>+ α</w:t>
      </w:r>
      <w:r w:rsidRPr="00E3232D">
        <w:rPr>
          <w:rFonts w:ascii="Book Antiqua" w:hAnsi="Book Antiqua"/>
          <w:b/>
          <w:color w:val="333333"/>
          <w:vertAlign w:val="subscript"/>
        </w:rPr>
        <w:t>4</w:t>
      </w:r>
      <w:r w:rsidRPr="00E3232D">
        <w:rPr>
          <w:rFonts w:ascii="Book Antiqua" w:hAnsi="Book Antiqua"/>
          <w:b/>
          <w:color w:val="333333"/>
        </w:rPr>
        <w:t>Age</w:t>
      </w:r>
      <w:r w:rsidRPr="00E3232D">
        <w:rPr>
          <w:rFonts w:ascii="Book Antiqua" w:hAnsi="Book Antiqua"/>
          <w:b/>
          <w:color w:val="333333"/>
          <w:vertAlign w:val="subscript"/>
        </w:rPr>
        <w:t>i</w:t>
      </w:r>
      <w:r w:rsidRPr="00E3232D">
        <w:rPr>
          <w:rFonts w:ascii="Book Antiqua" w:hAnsi="Book Antiqua"/>
          <w:b/>
          <w:color w:val="333333"/>
        </w:rPr>
        <w:t xml:space="preserve"> + α</w:t>
      </w:r>
      <w:r w:rsidRPr="00E3232D">
        <w:rPr>
          <w:rFonts w:ascii="Book Antiqua" w:hAnsi="Book Antiqua"/>
          <w:b/>
          <w:color w:val="333333"/>
          <w:vertAlign w:val="subscript"/>
        </w:rPr>
        <w:t>5</w:t>
      </w:r>
      <w:r w:rsidRPr="00E3232D">
        <w:rPr>
          <w:rFonts w:ascii="Book Antiqua" w:hAnsi="Book Antiqua"/>
          <w:b/>
          <w:color w:val="333333"/>
        </w:rPr>
        <w:t>Talt</w:t>
      </w:r>
      <w:r w:rsidRPr="00E3232D">
        <w:rPr>
          <w:rFonts w:ascii="Book Antiqua" w:hAnsi="Book Antiqua"/>
          <w:b/>
          <w:color w:val="333333"/>
          <w:vertAlign w:val="subscript"/>
        </w:rPr>
        <w:t>i</w:t>
      </w:r>
      <w:r w:rsidRPr="00E3232D">
        <w:rPr>
          <w:rFonts w:ascii="Book Antiqua" w:hAnsi="Book Antiqua"/>
          <w:b/>
          <w:color w:val="333333"/>
        </w:rPr>
        <w:t xml:space="preserve"> + ε</w:t>
      </w:r>
      <w:r w:rsidRPr="00E3232D">
        <w:rPr>
          <w:rFonts w:ascii="Book Antiqua" w:hAnsi="Book Antiqua"/>
          <w:b/>
          <w:color w:val="333333"/>
          <w:vertAlign w:val="subscript"/>
        </w:rPr>
        <w:t>i</w:t>
      </w:r>
    </w:p>
    <w:p w14:paraId="35B6D53A" w14:textId="77777777" w:rsidR="00FC3AF7" w:rsidRPr="00E3232D" w:rsidRDefault="00FC3AF7" w:rsidP="009253E6">
      <w:pPr>
        <w:jc w:val="both"/>
        <w:rPr>
          <w:rFonts w:ascii="Book Antiqua" w:hAnsi="Book Antiqua"/>
          <w:color w:val="333333"/>
        </w:rPr>
      </w:pPr>
      <w:r w:rsidRPr="00E3232D">
        <w:rPr>
          <w:rFonts w:ascii="Book Antiqua" w:hAnsi="Book Antiqua"/>
          <w:color w:val="333333"/>
        </w:rPr>
        <w:t>Where:</w:t>
      </w:r>
    </w:p>
    <w:p w14:paraId="421EDE93" w14:textId="77777777" w:rsidR="00FC3AF7" w:rsidRPr="00E3232D" w:rsidRDefault="00FC3AF7" w:rsidP="009253E6">
      <w:pPr>
        <w:jc w:val="both"/>
        <w:rPr>
          <w:rFonts w:ascii="Book Antiqua" w:hAnsi="Book Antiqua"/>
        </w:rPr>
      </w:pPr>
      <w:r w:rsidRPr="00E3232D">
        <w:rPr>
          <w:rFonts w:ascii="Book Antiqua" w:hAnsi="Book Antiqua"/>
          <w:b/>
        </w:rPr>
        <w:t>V</w:t>
      </w:r>
      <w:r w:rsidRPr="00E3232D">
        <w:rPr>
          <w:rFonts w:ascii="Book Antiqua" w:hAnsi="Book Antiqua"/>
          <w:b/>
          <w:vertAlign w:val="subscript"/>
        </w:rPr>
        <w:t>i</w:t>
      </w:r>
      <w:r w:rsidRPr="00E3232D">
        <w:rPr>
          <w:rFonts w:ascii="Book Antiqua" w:hAnsi="Book Antiqua"/>
          <w:b/>
        </w:rPr>
        <w:t xml:space="preserve"> </w:t>
      </w:r>
      <w:r w:rsidRPr="00E3232D">
        <w:rPr>
          <w:rFonts w:ascii="Book Antiqua" w:hAnsi="Book Antiqua"/>
        </w:rPr>
        <w:t>= number of visits for fuelwood by each individual i.</w:t>
      </w:r>
    </w:p>
    <w:p w14:paraId="354D7256" w14:textId="77777777" w:rsidR="00FC3AF7" w:rsidRPr="00E3232D" w:rsidRDefault="00FC3AF7" w:rsidP="009253E6">
      <w:pPr>
        <w:jc w:val="both"/>
        <w:rPr>
          <w:rFonts w:ascii="Book Antiqua" w:hAnsi="Book Antiqua"/>
        </w:rPr>
      </w:pPr>
      <w:r w:rsidRPr="00E3232D">
        <w:rPr>
          <w:rFonts w:ascii="Book Antiqua" w:hAnsi="Book Antiqua"/>
          <w:b/>
        </w:rPr>
        <w:t>α</w:t>
      </w:r>
      <w:r w:rsidRPr="00E3232D">
        <w:rPr>
          <w:rFonts w:ascii="Book Antiqua" w:hAnsi="Book Antiqua"/>
          <w:b/>
          <w:vertAlign w:val="subscript"/>
        </w:rPr>
        <w:t>0</w:t>
      </w:r>
      <w:r w:rsidRPr="00E3232D">
        <w:rPr>
          <w:rFonts w:ascii="Book Antiqua" w:hAnsi="Book Antiqua"/>
          <w:vertAlign w:val="subscript"/>
        </w:rPr>
        <w:t xml:space="preserve"> </w:t>
      </w:r>
      <w:r w:rsidRPr="00E3232D">
        <w:rPr>
          <w:rFonts w:ascii="Book Antiqua" w:hAnsi="Book Antiqua"/>
        </w:rPr>
        <w:t>= intercept</w:t>
      </w:r>
    </w:p>
    <w:p w14:paraId="77282B46" w14:textId="77777777" w:rsidR="00FC3AF7" w:rsidRPr="00E3232D" w:rsidRDefault="00FC3AF7" w:rsidP="009253E6">
      <w:pPr>
        <w:jc w:val="both"/>
        <w:rPr>
          <w:rFonts w:ascii="Book Antiqua" w:hAnsi="Book Antiqua"/>
        </w:rPr>
      </w:pPr>
      <w:r w:rsidRPr="00E3232D">
        <w:rPr>
          <w:rFonts w:ascii="Book Antiqua" w:hAnsi="Book Antiqua"/>
          <w:b/>
        </w:rPr>
        <w:t>TC</w:t>
      </w:r>
      <w:r w:rsidRPr="00E3232D">
        <w:rPr>
          <w:rFonts w:ascii="Book Antiqua" w:hAnsi="Book Antiqua"/>
          <w:b/>
          <w:vertAlign w:val="subscript"/>
        </w:rPr>
        <w:t>i</w:t>
      </w:r>
      <w:r w:rsidRPr="00E3232D">
        <w:rPr>
          <w:rFonts w:ascii="Book Antiqua" w:hAnsi="Book Antiqua"/>
          <w:b/>
        </w:rPr>
        <w:t xml:space="preserve"> </w:t>
      </w:r>
      <w:r w:rsidRPr="00E3232D">
        <w:rPr>
          <w:rFonts w:ascii="Book Antiqua" w:hAnsi="Book Antiqua"/>
        </w:rPr>
        <w:t>= travel cost for fuelwood by each individual i (expressed in cedis per visit)</w:t>
      </w:r>
    </w:p>
    <w:p w14:paraId="5B111B0F" w14:textId="77777777" w:rsidR="00FC3AF7" w:rsidRPr="00E3232D" w:rsidRDefault="00FC3AF7" w:rsidP="009253E6">
      <w:pPr>
        <w:jc w:val="both"/>
        <w:rPr>
          <w:rFonts w:ascii="Book Antiqua" w:hAnsi="Book Antiqua"/>
        </w:rPr>
      </w:pPr>
      <w:r w:rsidRPr="00E3232D">
        <w:rPr>
          <w:rFonts w:ascii="Book Antiqua" w:hAnsi="Book Antiqua"/>
          <w:b/>
        </w:rPr>
        <w:t>Y</w:t>
      </w:r>
      <w:r w:rsidRPr="00E3232D">
        <w:rPr>
          <w:rFonts w:ascii="Book Antiqua" w:hAnsi="Book Antiqua"/>
          <w:b/>
          <w:vertAlign w:val="subscript"/>
        </w:rPr>
        <w:t xml:space="preserve">i </w:t>
      </w:r>
      <w:r w:rsidRPr="00E3232D">
        <w:rPr>
          <w:rFonts w:ascii="Book Antiqua" w:hAnsi="Book Antiqua"/>
        </w:rPr>
        <w:t xml:space="preserve">= income of each individual i (expressed in cedis) </w:t>
      </w:r>
    </w:p>
    <w:p w14:paraId="3A47E764" w14:textId="77777777" w:rsidR="00FC3AF7" w:rsidRPr="00E3232D" w:rsidRDefault="00FC3AF7" w:rsidP="009253E6">
      <w:pPr>
        <w:jc w:val="both"/>
        <w:rPr>
          <w:rFonts w:ascii="Book Antiqua" w:hAnsi="Book Antiqua"/>
        </w:rPr>
      </w:pPr>
      <w:r w:rsidRPr="00E3232D">
        <w:rPr>
          <w:rFonts w:ascii="Book Antiqua" w:hAnsi="Book Antiqua"/>
          <w:b/>
        </w:rPr>
        <w:t>Edu</w:t>
      </w:r>
      <w:r w:rsidRPr="00E3232D">
        <w:rPr>
          <w:rFonts w:ascii="Book Antiqua" w:hAnsi="Book Antiqua"/>
          <w:b/>
          <w:vertAlign w:val="subscript"/>
        </w:rPr>
        <w:t>i</w:t>
      </w:r>
      <w:r w:rsidRPr="00E3232D">
        <w:rPr>
          <w:rFonts w:ascii="Book Antiqua" w:hAnsi="Book Antiqua"/>
        </w:rPr>
        <w:t xml:space="preserve"> = education level of each individual i (years)</w:t>
      </w:r>
    </w:p>
    <w:p w14:paraId="7384B21B" w14:textId="77777777" w:rsidR="00FC3AF7" w:rsidRPr="00E3232D" w:rsidRDefault="00FC3AF7" w:rsidP="009253E6">
      <w:pPr>
        <w:jc w:val="both"/>
        <w:rPr>
          <w:rFonts w:ascii="Book Antiqua" w:hAnsi="Book Antiqua"/>
        </w:rPr>
      </w:pPr>
      <w:r w:rsidRPr="00E3232D">
        <w:rPr>
          <w:rFonts w:ascii="Book Antiqua" w:hAnsi="Book Antiqua"/>
          <w:b/>
        </w:rPr>
        <w:t>Age</w:t>
      </w:r>
      <w:r w:rsidRPr="00E3232D">
        <w:rPr>
          <w:rFonts w:ascii="Book Antiqua" w:hAnsi="Book Antiqua"/>
          <w:b/>
          <w:vertAlign w:val="subscript"/>
        </w:rPr>
        <w:t>i</w:t>
      </w:r>
      <w:r w:rsidRPr="00E3232D">
        <w:rPr>
          <w:rFonts w:ascii="Book Antiqua" w:hAnsi="Book Antiqua"/>
        </w:rPr>
        <w:t xml:space="preserve"> = age of each individual i (years) </w:t>
      </w:r>
    </w:p>
    <w:p w14:paraId="44B19A4A" w14:textId="77777777" w:rsidR="00FC3AF7" w:rsidRPr="00E3232D" w:rsidRDefault="00FC3AF7" w:rsidP="009253E6">
      <w:pPr>
        <w:jc w:val="both"/>
        <w:rPr>
          <w:rFonts w:ascii="Book Antiqua" w:hAnsi="Book Antiqua"/>
        </w:rPr>
      </w:pPr>
      <w:r w:rsidRPr="00E3232D">
        <w:rPr>
          <w:rFonts w:ascii="Book Antiqua" w:hAnsi="Book Antiqua"/>
          <w:b/>
        </w:rPr>
        <w:t>Talt</w:t>
      </w:r>
      <w:r w:rsidRPr="00E3232D">
        <w:rPr>
          <w:rFonts w:ascii="Book Antiqua" w:hAnsi="Book Antiqua"/>
          <w:b/>
          <w:vertAlign w:val="subscript"/>
        </w:rPr>
        <w:t>i</w:t>
      </w:r>
      <w:r w:rsidRPr="00E3232D">
        <w:rPr>
          <w:rFonts w:ascii="Book Antiqua" w:hAnsi="Book Antiqua"/>
        </w:rPr>
        <w:t xml:space="preserve"> = travel cost to an alternative site by each individual i (expressed in cedis per visit) </w:t>
      </w:r>
    </w:p>
    <w:p w14:paraId="6C78D2AF" w14:textId="77777777" w:rsidR="00FC3AF7" w:rsidRPr="00E3232D" w:rsidRDefault="00FC3AF7" w:rsidP="009253E6">
      <w:pPr>
        <w:jc w:val="both"/>
        <w:rPr>
          <w:rFonts w:ascii="Book Antiqua" w:hAnsi="Book Antiqua"/>
        </w:rPr>
      </w:pPr>
      <w:r w:rsidRPr="00E3232D">
        <w:rPr>
          <w:rFonts w:ascii="Book Antiqua" w:hAnsi="Book Antiqua"/>
          <w:b/>
          <w:color w:val="333333"/>
        </w:rPr>
        <w:t>ε</w:t>
      </w:r>
      <w:r w:rsidRPr="00E3232D">
        <w:rPr>
          <w:rFonts w:ascii="Book Antiqua" w:hAnsi="Book Antiqua"/>
          <w:b/>
          <w:color w:val="333333"/>
          <w:vertAlign w:val="subscript"/>
        </w:rPr>
        <w:t>i</w:t>
      </w:r>
      <w:r w:rsidRPr="00E3232D">
        <w:rPr>
          <w:rFonts w:ascii="Book Antiqua" w:hAnsi="Book Antiqua"/>
          <w:b/>
        </w:rPr>
        <w:t xml:space="preserve"> </w:t>
      </w:r>
      <w:r w:rsidRPr="00E3232D">
        <w:rPr>
          <w:rFonts w:ascii="Book Antiqua" w:hAnsi="Book Antiqua"/>
        </w:rPr>
        <w:t>= error term, which allows for any other factor that has not being included in the trip generation function, but which is expected not to affect the value of the coefficients.</w:t>
      </w:r>
    </w:p>
    <w:p w14:paraId="7237808D" w14:textId="77777777" w:rsidR="00FC3AF7" w:rsidRPr="00E3232D" w:rsidRDefault="00FC3AF7" w:rsidP="009253E6">
      <w:pPr>
        <w:pStyle w:val="NoSpacing"/>
        <w:spacing w:before="240" w:after="120" w:line="276" w:lineRule="auto"/>
        <w:jc w:val="both"/>
        <w:rPr>
          <w:rFonts w:ascii="Book Antiqua" w:hAnsi="Book Antiqua"/>
        </w:rPr>
      </w:pPr>
      <w:r w:rsidRPr="00E3232D">
        <w:rPr>
          <w:rFonts w:ascii="Book Antiqua" w:hAnsi="Book Antiqua"/>
        </w:rPr>
        <w:t xml:space="preserve">Primary data obtained from the field was edited, all corrections made and coded. After which it was fed into the Statistical Package for Social Sciences (SPSS) version fifteen (15) for processing the primary data. In analyzing the data, frequency table results, regression analysis and demand curve were used as analytical techniques. </w:t>
      </w:r>
      <w:r w:rsidRPr="00E3232D">
        <w:rPr>
          <w:rFonts w:ascii="Book Antiqua" w:hAnsi="Book Antiqua"/>
          <w:lang w:val="en-GB"/>
        </w:rPr>
        <w:t>Qualitative</w:t>
      </w:r>
      <w:r w:rsidRPr="00E3232D">
        <w:rPr>
          <w:rFonts w:ascii="Book Antiqua" w:hAnsi="Book Antiqua"/>
        </w:rPr>
        <w:t xml:space="preserve"> explanations were made for policy implication and appropriate recommendations to addressing the problems associated with the demand for fuelwood in the Tamale Metropolitan area.</w:t>
      </w:r>
    </w:p>
    <w:p w14:paraId="564BA086" w14:textId="77777777" w:rsidR="00FC3AF7" w:rsidRPr="00E3232D" w:rsidRDefault="00FC3AF7" w:rsidP="00196385">
      <w:pPr>
        <w:pStyle w:val="ListParagraph"/>
        <w:numPr>
          <w:ilvl w:val="0"/>
          <w:numId w:val="180"/>
        </w:numPr>
        <w:spacing w:before="240" w:after="120"/>
        <w:jc w:val="both"/>
        <w:rPr>
          <w:rFonts w:ascii="Book Antiqua" w:hAnsi="Book Antiqua"/>
          <w:b/>
        </w:rPr>
      </w:pPr>
      <w:r w:rsidRPr="009253E6">
        <w:rPr>
          <w:rFonts w:ascii="Book Antiqua" w:hAnsi="Book Antiqua"/>
          <w:b/>
          <w:sz w:val="26"/>
        </w:rPr>
        <w:t>Results</w:t>
      </w:r>
    </w:p>
    <w:p w14:paraId="2E5A25E6" w14:textId="77777777" w:rsidR="00FC3AF7" w:rsidRPr="00E3232D" w:rsidRDefault="00FC3AF7" w:rsidP="009253E6">
      <w:pPr>
        <w:jc w:val="both"/>
        <w:rPr>
          <w:rFonts w:ascii="Book Antiqua" w:hAnsi="Book Antiqua"/>
        </w:rPr>
      </w:pPr>
      <w:r w:rsidRPr="00E3232D">
        <w:rPr>
          <w:rFonts w:ascii="Book Antiqua" w:hAnsi="Book Antiqua"/>
        </w:rPr>
        <w:t>Table 1.  below represents responses from respondents on the number of visits for fuelwood. From the Table 1. 32(8.2%) of the respondents visited the site 52 times annually for fuelwood, 34(8.7%) had a visit rate of 104 times annually, 50(12.8%) had an annual number of visits of 156, 97(24.7%) had an annual number of visits of 260 and finally, 179(45.7%) also had an annual number of visits of 364. It can be seen from Table 1. that the numbers of visits were in weekly basis and when each is multiplied by 52 weeks in a year, you will get the annual number of visits.</w:t>
      </w:r>
    </w:p>
    <w:p w14:paraId="536CADA3" w14:textId="77777777" w:rsidR="00FC3AF7" w:rsidRPr="00E3232D" w:rsidRDefault="007005B1" w:rsidP="008275E1">
      <w:pPr>
        <w:rPr>
          <w:rFonts w:ascii="Book Antiqua" w:hAnsi="Book Antiqua"/>
        </w:rPr>
      </w:pPr>
      <w:r>
        <w:rPr>
          <w:rFonts w:ascii="Book Antiqua" w:hAnsi="Book Antiqua"/>
          <w:noProof/>
          <w:lang w:bidi="ar-SA"/>
        </w:rPr>
        <w:drawing>
          <wp:inline distT="0" distB="0" distL="0" distR="0" wp14:anchorId="5EA3DDA4" wp14:editId="4F7ABD9C">
            <wp:extent cx="2638425" cy="1819275"/>
            <wp:effectExtent l="19050" t="0" r="9525" b="0"/>
            <wp:docPr id="21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17"/>
                    <a:srcRect/>
                    <a:stretch>
                      <a:fillRect/>
                    </a:stretch>
                  </pic:blipFill>
                  <pic:spPr bwMode="auto">
                    <a:xfrm>
                      <a:off x="0" y="0"/>
                      <a:ext cx="2638425" cy="1819275"/>
                    </a:xfrm>
                    <a:prstGeom prst="rect">
                      <a:avLst/>
                    </a:prstGeom>
                    <a:noFill/>
                    <a:ln w="9525">
                      <a:noFill/>
                      <a:miter lim="800000"/>
                      <a:headEnd/>
                      <a:tailEnd/>
                    </a:ln>
                  </pic:spPr>
                </pic:pic>
              </a:graphicData>
            </a:graphic>
          </wp:inline>
        </w:drawing>
      </w:r>
    </w:p>
    <w:p w14:paraId="0B4E3231" w14:textId="77777777" w:rsidR="00FC3AF7" w:rsidRPr="00E3232D" w:rsidRDefault="00FC3AF7" w:rsidP="008275E1">
      <w:pPr>
        <w:rPr>
          <w:rFonts w:ascii="Book Antiqua" w:hAnsi="Book Antiqua"/>
          <w:b/>
        </w:rPr>
      </w:pPr>
      <w:r w:rsidRPr="00E3232D">
        <w:rPr>
          <w:rFonts w:ascii="Book Antiqua" w:hAnsi="Book Antiqua"/>
          <w:b/>
        </w:rPr>
        <w:t>Source:</w:t>
      </w:r>
      <w:r w:rsidRPr="00E3232D">
        <w:rPr>
          <w:rFonts w:ascii="Book Antiqua" w:hAnsi="Book Antiqua"/>
        </w:rPr>
        <w:t xml:space="preserve"> Author’s Field Work (2011)</w:t>
      </w:r>
    </w:p>
    <w:p w14:paraId="51E82B76" w14:textId="77777777" w:rsidR="00FC3AF7" w:rsidRPr="00E3232D" w:rsidRDefault="006D523B" w:rsidP="008275E1">
      <w:pPr>
        <w:rPr>
          <w:rFonts w:ascii="Book Antiqua" w:hAnsi="Book Antiqua"/>
          <w:b/>
        </w:rPr>
      </w:pPr>
      <w:r>
        <w:rPr>
          <w:rFonts w:ascii="Book Antiqua" w:hAnsi="Book Antiqua"/>
          <w:b/>
        </w:rPr>
        <w:t>Relationships among t</w:t>
      </w:r>
      <w:r w:rsidRPr="00E3232D">
        <w:rPr>
          <w:rFonts w:ascii="Book Antiqua" w:hAnsi="Book Antiqua"/>
          <w:b/>
        </w:rPr>
        <w:t>he Significant Variables</w:t>
      </w:r>
    </w:p>
    <w:p w14:paraId="52D82768" w14:textId="77777777" w:rsidR="00AE01C5" w:rsidRDefault="00FC3AF7" w:rsidP="00754D01">
      <w:pPr>
        <w:jc w:val="both"/>
        <w:rPr>
          <w:rFonts w:ascii="Book Antiqua" w:hAnsi="Book Antiqua"/>
        </w:rPr>
      </w:pPr>
      <w:r w:rsidRPr="00E3232D">
        <w:rPr>
          <w:rFonts w:ascii="Book Antiqua" w:hAnsi="Book Antiqua"/>
        </w:rPr>
        <w:t>The numbers of visits annually for fuelwood demand and other factors like annual travel cost, education and income of respondents were observed to see the relationship among the variables. From the observation, out of 392 respondents, 301 respondents had annual travel cost of GH¢183 and 91 respondents had an annual travel of GH¢584. Again, it was observed that out of the 301 number of respondents who had incurred an annual travel of GH¢183; 10, 8,7,97 and 179 indicated that they had visited 52,104,156, 260 and 364 number of times for fuelwood respectively. It was further observed that out of 91 number of respondents who had incurred an annual travel cost of GH¢584; 22, 26 and 43 respondents indicated that they had visited 52, 104, and 156 numbers of times for fuelwood respectively.</w:t>
      </w:r>
    </w:p>
    <w:p w14:paraId="496C9CF1" w14:textId="77777777" w:rsidR="00FC3AF7" w:rsidRPr="00E3232D" w:rsidRDefault="00FC3AF7" w:rsidP="00754D01">
      <w:pPr>
        <w:jc w:val="both"/>
        <w:rPr>
          <w:rFonts w:ascii="Book Antiqua" w:hAnsi="Book Antiqua"/>
        </w:rPr>
      </w:pPr>
      <w:r w:rsidRPr="00E3232D">
        <w:rPr>
          <w:rFonts w:ascii="Book Antiqua" w:hAnsi="Book Antiqua"/>
        </w:rPr>
        <w:t>The relationship shown by each of the explanatory variables (travel cost, income, except education) has the expected sign. From the Table below, the t-statistic for travel cost and income show that each variable is individually statistically significantly different from zero at 5% level.</w:t>
      </w:r>
    </w:p>
    <w:p w14:paraId="66CDB36C" w14:textId="77777777" w:rsidR="00FC3AF7" w:rsidRPr="00E3232D" w:rsidRDefault="007005B1" w:rsidP="008275E1">
      <w:pPr>
        <w:rPr>
          <w:rFonts w:ascii="Book Antiqua" w:hAnsi="Book Antiqua"/>
        </w:rPr>
      </w:pPr>
      <w:r>
        <w:rPr>
          <w:rFonts w:ascii="Book Antiqua" w:hAnsi="Book Antiqua"/>
          <w:noProof/>
          <w:lang w:bidi="ar-SA"/>
        </w:rPr>
        <w:drawing>
          <wp:inline distT="0" distB="0" distL="0" distR="0" wp14:anchorId="32C8EC21" wp14:editId="61177B63">
            <wp:extent cx="2743200" cy="2781300"/>
            <wp:effectExtent l="19050" t="0" r="0" b="0"/>
            <wp:docPr id="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8"/>
                    <a:srcRect/>
                    <a:stretch>
                      <a:fillRect/>
                    </a:stretch>
                  </pic:blipFill>
                  <pic:spPr bwMode="auto">
                    <a:xfrm>
                      <a:off x="0" y="0"/>
                      <a:ext cx="2743200" cy="2781300"/>
                    </a:xfrm>
                    <a:prstGeom prst="rect">
                      <a:avLst/>
                    </a:prstGeom>
                    <a:noFill/>
                    <a:ln w="9525">
                      <a:noFill/>
                      <a:miter lim="800000"/>
                      <a:headEnd/>
                      <a:tailEnd/>
                    </a:ln>
                  </pic:spPr>
                </pic:pic>
              </a:graphicData>
            </a:graphic>
          </wp:inline>
        </w:drawing>
      </w:r>
    </w:p>
    <w:p w14:paraId="7C692952" w14:textId="77777777" w:rsidR="00FC3AF7" w:rsidRPr="00E3232D" w:rsidRDefault="00FC3AF7" w:rsidP="008275E1">
      <w:pPr>
        <w:rPr>
          <w:rFonts w:ascii="Book Antiqua" w:hAnsi="Book Antiqua"/>
        </w:rPr>
      </w:pPr>
      <w:r w:rsidRPr="00E3232D">
        <w:rPr>
          <w:rFonts w:ascii="Book Antiqua" w:hAnsi="Book Antiqua"/>
          <w:b/>
        </w:rPr>
        <w:t>Source:</w:t>
      </w:r>
      <w:r w:rsidRPr="00E3232D">
        <w:rPr>
          <w:rFonts w:ascii="Book Antiqua" w:hAnsi="Book Antiqua"/>
        </w:rPr>
        <w:t xml:space="preserve"> Author’s Field Work (2011)</w:t>
      </w:r>
    </w:p>
    <w:p w14:paraId="69632EFD" w14:textId="77777777" w:rsidR="00AE01C5" w:rsidRPr="00754D01" w:rsidRDefault="00FC3AF7" w:rsidP="00754D01">
      <w:pPr>
        <w:jc w:val="both"/>
        <w:rPr>
          <w:rFonts w:ascii="Book Antiqua" w:hAnsi="Book Antiqua"/>
          <w:b/>
        </w:rPr>
      </w:pPr>
      <w:r w:rsidRPr="00E3232D">
        <w:rPr>
          <w:rFonts w:ascii="Book Antiqua" w:hAnsi="Book Antiqua"/>
        </w:rPr>
        <w:t>(*) Attached to variables in Table 2 are those which are  significant and has the expected sign.</w:t>
      </w:r>
    </w:p>
    <w:p w14:paraId="1D0E9806" w14:textId="77777777" w:rsidR="002A1D8C" w:rsidRDefault="00FC3AF7" w:rsidP="00754D01">
      <w:pPr>
        <w:jc w:val="both"/>
        <w:rPr>
          <w:rFonts w:ascii="Book Antiqua" w:hAnsi="Book Antiqua"/>
        </w:rPr>
      </w:pPr>
      <w:r w:rsidRPr="00E3232D">
        <w:rPr>
          <w:rFonts w:ascii="Book Antiqua" w:hAnsi="Book Antiqua"/>
        </w:rPr>
        <w:t>From the Table 2 above, the coefficient of the travel cost variable is (-0.334) which shows that as the individual travel cost increases, the number of visits for fuelwood decreases by 33.4%. For instance, a GH¢10.00 increase in travel cost annually could cause the individual to reduce its visits to for fuelwood by three each year. Similarly, the coefficient of the income variable is (-0.807) signifying that as the individual income increases, the number of visits for fuelwood decreases. The coefficient of the education variable is 0.060 which means a positive relationship with the number of visits for fuelwood. This shows that, those who are educated still prefer to demand fuelwood for their household cooking activities.</w:t>
      </w:r>
    </w:p>
    <w:p w14:paraId="53EAD82C" w14:textId="77777777" w:rsidR="00FC3AF7" w:rsidRPr="00E3232D" w:rsidRDefault="00FC3AF7" w:rsidP="00754D01">
      <w:pPr>
        <w:jc w:val="both"/>
        <w:rPr>
          <w:rFonts w:ascii="Book Antiqua" w:hAnsi="Book Antiqua"/>
        </w:rPr>
      </w:pPr>
      <w:r w:rsidRPr="00E3232D">
        <w:rPr>
          <w:rFonts w:ascii="Book Antiqua" w:hAnsi="Book Antiqua"/>
        </w:rPr>
        <w:t>Probably, an explanation is that, the educated in the Tamale Metropolitan area derive a desired level of utility from the demand for fuelwood and would continue no matter their level of education. Empirical literature showed that an individual level of education influence the choice fuel as found by Muyeye (2004).</w:t>
      </w:r>
    </w:p>
    <w:p w14:paraId="73740073" w14:textId="77777777" w:rsidR="00FC3AF7" w:rsidRPr="00E3232D" w:rsidRDefault="00FC3AF7" w:rsidP="008140CA">
      <w:pPr>
        <w:spacing w:after="0" w:line="240" w:lineRule="auto"/>
        <w:rPr>
          <w:rFonts w:ascii="Book Antiqua" w:hAnsi="Book Antiqua"/>
        </w:rPr>
      </w:pPr>
    </w:p>
    <w:p w14:paraId="44422E45" w14:textId="77777777" w:rsidR="00554C9B" w:rsidRDefault="00554C9B" w:rsidP="00554C9B">
      <w:pPr>
        <w:spacing w:after="0"/>
        <w:jc w:val="both"/>
        <w:rPr>
          <w:rFonts w:ascii="Book Antiqua" w:hAnsi="Book Antiqua"/>
        </w:rPr>
      </w:pPr>
      <w:r>
        <w:rPr>
          <w:rFonts w:ascii="Book Antiqua" w:hAnsi="Book Antiqua"/>
          <w:noProof/>
          <w:lang w:bidi="ar-SA"/>
        </w:rPr>
        <w:drawing>
          <wp:anchor distT="0" distB="0" distL="114300" distR="114300" simplePos="0" relativeHeight="251885056" behindDoc="1" locked="0" layoutInCell="1" allowOverlap="1" wp14:anchorId="5CE57727" wp14:editId="6A190C7A">
            <wp:simplePos x="0" y="0"/>
            <wp:positionH relativeFrom="column">
              <wp:posOffset>19050</wp:posOffset>
            </wp:positionH>
            <wp:positionV relativeFrom="paragraph">
              <wp:posOffset>-257175</wp:posOffset>
            </wp:positionV>
            <wp:extent cx="5600700" cy="2590800"/>
            <wp:effectExtent l="19050" t="0" r="0" b="0"/>
            <wp:wrapTight wrapText="bothSides">
              <wp:wrapPolygon edited="0">
                <wp:start x="-73" y="794"/>
                <wp:lineTo x="-73" y="1747"/>
                <wp:lineTo x="3012" y="3335"/>
                <wp:lineTo x="4702" y="3335"/>
                <wp:lineTo x="-73" y="4765"/>
                <wp:lineTo x="-73" y="8100"/>
                <wp:lineTo x="10800" y="8418"/>
                <wp:lineTo x="220" y="10324"/>
                <wp:lineTo x="-73" y="11118"/>
                <wp:lineTo x="-73" y="19853"/>
                <wp:lineTo x="10800" y="21124"/>
                <wp:lineTo x="-73" y="21282"/>
                <wp:lineTo x="21600" y="21282"/>
                <wp:lineTo x="10800" y="21124"/>
                <wp:lineTo x="16898" y="19694"/>
                <wp:lineTo x="16898" y="18900"/>
                <wp:lineTo x="18367" y="18582"/>
                <wp:lineTo x="20351" y="18106"/>
                <wp:lineTo x="20351" y="10800"/>
                <wp:lineTo x="10800" y="8418"/>
                <wp:lineTo x="16898" y="8418"/>
                <wp:lineTo x="19910" y="7624"/>
                <wp:lineTo x="19837" y="5876"/>
                <wp:lineTo x="20792" y="5876"/>
                <wp:lineTo x="21527" y="4765"/>
                <wp:lineTo x="21600" y="1271"/>
                <wp:lineTo x="8522" y="794"/>
                <wp:lineTo x="-73" y="794"/>
              </wp:wrapPolygon>
            </wp:wrapTight>
            <wp:docPr id="2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a:srcRect/>
                    <a:stretch>
                      <a:fillRect/>
                    </a:stretch>
                  </pic:blipFill>
                  <pic:spPr bwMode="auto">
                    <a:xfrm>
                      <a:off x="0" y="0"/>
                      <a:ext cx="5600700" cy="2590800"/>
                    </a:xfrm>
                    <a:prstGeom prst="rect">
                      <a:avLst/>
                    </a:prstGeom>
                    <a:noFill/>
                    <a:ln w="9525">
                      <a:noFill/>
                      <a:miter lim="800000"/>
                      <a:headEnd/>
                      <a:tailEnd/>
                    </a:ln>
                  </pic:spPr>
                </pic:pic>
              </a:graphicData>
            </a:graphic>
          </wp:anchor>
        </w:drawing>
      </w:r>
    </w:p>
    <w:p w14:paraId="39F5D586" w14:textId="77777777" w:rsidR="00554C9B" w:rsidRPr="00E3232D" w:rsidRDefault="00554C9B" w:rsidP="00554C9B">
      <w:pPr>
        <w:jc w:val="both"/>
        <w:rPr>
          <w:rFonts w:ascii="Book Antiqua" w:hAnsi="Book Antiqua"/>
          <w:b/>
        </w:rPr>
      </w:pPr>
      <w:r w:rsidRPr="00E3232D">
        <w:rPr>
          <w:rFonts w:ascii="Book Antiqua" w:hAnsi="Book Antiqua"/>
          <w:b/>
        </w:rPr>
        <w:t>Source:</w:t>
      </w:r>
      <w:r w:rsidRPr="00E3232D">
        <w:rPr>
          <w:rFonts w:ascii="Book Antiqua" w:hAnsi="Book Antiqua"/>
        </w:rPr>
        <w:t xml:space="preserve"> Author’s Field Work (2011)</w:t>
      </w:r>
    </w:p>
    <w:p w14:paraId="270D41F5" w14:textId="77777777" w:rsidR="00554C9B" w:rsidRDefault="00554C9B" w:rsidP="00554C9B">
      <w:pPr>
        <w:jc w:val="both"/>
        <w:rPr>
          <w:rFonts w:ascii="Book Antiqua" w:hAnsi="Book Antiqua"/>
        </w:rPr>
      </w:pPr>
      <w:r w:rsidRPr="00E3232D">
        <w:rPr>
          <w:rFonts w:ascii="Book Antiqua" w:hAnsi="Book Antiqua"/>
        </w:rPr>
        <w:t>The above Table 3 demonstrates a travel cost result for the demand for fuelwood in the Tamale Metropolitan area. The data indicated that a population of 20,407 households’ users of fuelwood made a total of 39,069 numbers of visits for</w:t>
      </w:r>
      <w:r>
        <w:rPr>
          <w:rFonts w:ascii="Book Antiqua" w:hAnsi="Book Antiqua"/>
        </w:rPr>
        <w:t xml:space="preserve"> </w:t>
      </w:r>
    </w:p>
    <w:p w14:paraId="42A82A65" w14:textId="77777777" w:rsidR="00FC3AF7" w:rsidRPr="00E3232D" w:rsidRDefault="00FC3AF7" w:rsidP="00754D01">
      <w:pPr>
        <w:jc w:val="both"/>
        <w:rPr>
          <w:rFonts w:ascii="Book Antiqua" w:hAnsi="Book Antiqua"/>
        </w:rPr>
      </w:pPr>
      <w:r w:rsidRPr="00E3232D">
        <w:rPr>
          <w:rFonts w:ascii="Book Antiqua" w:hAnsi="Book Antiqua"/>
        </w:rPr>
        <w:t>fuelwood each year. The travel cost increases from GH¢1.0 to GH¢3.0 as the distance to the sites increases from half a kilometer to 12 kilometers. The annual visitation rate (individual visitation rate per year) for each distance travelled is calculated by dividing the number of visits from each distance travelled by the population in that distance category.</w:t>
      </w:r>
    </w:p>
    <w:p w14:paraId="486F4F17" w14:textId="77777777" w:rsidR="002A1D8C" w:rsidRDefault="00FC3AF7" w:rsidP="00754D01">
      <w:pPr>
        <w:jc w:val="both"/>
        <w:rPr>
          <w:rFonts w:ascii="Book Antiqua" w:hAnsi="Book Antiqua"/>
        </w:rPr>
      </w:pPr>
      <w:r w:rsidRPr="00E3232D">
        <w:rPr>
          <w:rFonts w:ascii="Book Antiqua" w:hAnsi="Book Antiqua"/>
        </w:rPr>
        <w:t>The result of the study showed that, the frequency with which the respondents (individual visitation) visit for fuelwood is inversely related to the distance from, or travel cost.</w:t>
      </w:r>
      <w:r w:rsidRPr="00E3232D">
        <w:rPr>
          <w:rFonts w:ascii="Book Antiqua" w:hAnsi="Book Antiqua"/>
          <w:b/>
        </w:rPr>
        <w:t xml:space="preserve">                                                                                        </w:t>
      </w:r>
    </w:p>
    <w:p w14:paraId="7139FC7F" w14:textId="77777777" w:rsidR="00554C9B" w:rsidRDefault="00FC3AF7" w:rsidP="00754D01">
      <w:pPr>
        <w:jc w:val="both"/>
        <w:rPr>
          <w:rFonts w:ascii="Book Antiqua" w:hAnsi="Book Antiqua"/>
        </w:rPr>
      </w:pPr>
      <w:r w:rsidRPr="00E3232D">
        <w:rPr>
          <w:rFonts w:ascii="Book Antiqua" w:hAnsi="Book Antiqua"/>
        </w:rPr>
        <w:t xml:space="preserve">From the Figure 1 below, there is a demonstration that travel cost is negatively related to the total visitation for </w:t>
      </w:r>
    </w:p>
    <w:p w14:paraId="5898777E" w14:textId="77777777" w:rsidR="00554C9B" w:rsidRDefault="00554C9B" w:rsidP="00754D01">
      <w:pPr>
        <w:jc w:val="both"/>
        <w:rPr>
          <w:rFonts w:ascii="Book Antiqua" w:hAnsi="Book Antiqua"/>
        </w:rPr>
      </w:pPr>
    </w:p>
    <w:p w14:paraId="6C2CF137" w14:textId="77777777" w:rsidR="00554C9B" w:rsidRDefault="00554C9B" w:rsidP="00754D01">
      <w:pPr>
        <w:jc w:val="both"/>
        <w:rPr>
          <w:rFonts w:ascii="Book Antiqua" w:hAnsi="Book Antiqua"/>
        </w:rPr>
      </w:pPr>
    </w:p>
    <w:p w14:paraId="132EC006" w14:textId="77777777" w:rsidR="00554C9B" w:rsidRDefault="00554C9B" w:rsidP="00754D01">
      <w:pPr>
        <w:jc w:val="both"/>
        <w:rPr>
          <w:rFonts w:ascii="Book Antiqua" w:hAnsi="Book Antiqua"/>
        </w:rPr>
      </w:pPr>
    </w:p>
    <w:p w14:paraId="03894F2B" w14:textId="77777777" w:rsidR="00554C9B" w:rsidRDefault="00554C9B" w:rsidP="00754D01">
      <w:pPr>
        <w:jc w:val="both"/>
        <w:rPr>
          <w:rFonts w:ascii="Book Antiqua" w:hAnsi="Book Antiqua"/>
        </w:rPr>
      </w:pPr>
    </w:p>
    <w:p w14:paraId="45AEE5CF" w14:textId="77777777" w:rsidR="00554C9B" w:rsidRDefault="00554C9B" w:rsidP="00754D01">
      <w:pPr>
        <w:jc w:val="both"/>
        <w:rPr>
          <w:rFonts w:ascii="Book Antiqua" w:hAnsi="Book Antiqua"/>
        </w:rPr>
      </w:pPr>
    </w:p>
    <w:p w14:paraId="61B31116" w14:textId="77777777" w:rsidR="00554C9B" w:rsidRDefault="00554C9B" w:rsidP="00754D01">
      <w:pPr>
        <w:jc w:val="both"/>
        <w:rPr>
          <w:rFonts w:ascii="Book Antiqua" w:hAnsi="Book Antiqua"/>
        </w:rPr>
      </w:pPr>
    </w:p>
    <w:p w14:paraId="2DA35F7F" w14:textId="77777777" w:rsidR="00FC3AF7" w:rsidRPr="00E3232D" w:rsidRDefault="00FC3AF7" w:rsidP="00754D01">
      <w:pPr>
        <w:jc w:val="both"/>
        <w:rPr>
          <w:rFonts w:ascii="Book Antiqua" w:hAnsi="Book Antiqua"/>
        </w:rPr>
      </w:pPr>
      <w:r w:rsidRPr="00E3232D">
        <w:rPr>
          <w:rFonts w:ascii="Book Antiqua" w:hAnsi="Book Antiqua"/>
        </w:rPr>
        <w:t>demand for fuelwood in the Tamale Metropolitan area.</w:t>
      </w:r>
    </w:p>
    <w:p w14:paraId="6F935131" w14:textId="77777777" w:rsidR="00554C9B" w:rsidRDefault="00554C9B" w:rsidP="00C60C71">
      <w:pPr>
        <w:autoSpaceDE w:val="0"/>
        <w:autoSpaceDN w:val="0"/>
        <w:adjustRightInd w:val="0"/>
        <w:spacing w:after="0"/>
        <w:rPr>
          <w:rFonts w:ascii="Book Antiqua" w:hAnsi="Book Antiqua"/>
          <w:b/>
        </w:rPr>
      </w:pPr>
    </w:p>
    <w:p w14:paraId="019EBEA3" w14:textId="77777777" w:rsidR="00C60C71" w:rsidRDefault="00577131" w:rsidP="00C60C71">
      <w:pPr>
        <w:autoSpaceDE w:val="0"/>
        <w:autoSpaceDN w:val="0"/>
        <w:adjustRightInd w:val="0"/>
        <w:spacing w:after="0"/>
        <w:rPr>
          <w:rFonts w:ascii="Book Antiqua" w:hAnsi="Book Antiqua"/>
          <w:b/>
        </w:rPr>
      </w:pPr>
      <w:r>
        <w:rPr>
          <w:rFonts w:ascii="Book Antiqua" w:hAnsi="Book Antiqua"/>
          <w:b/>
        </w:rPr>
        <w:t>Figure</w:t>
      </w:r>
      <w:r w:rsidR="00FC3AF7" w:rsidRPr="00E3232D">
        <w:rPr>
          <w:rFonts w:ascii="Book Antiqua" w:hAnsi="Book Antiqua"/>
          <w:b/>
        </w:rPr>
        <w:t xml:space="preserve">1. </w:t>
      </w:r>
      <w:r w:rsidR="00C60C71">
        <w:rPr>
          <w:rFonts w:ascii="Book Antiqua" w:hAnsi="Book Antiqua"/>
          <w:b/>
        </w:rPr>
        <w:t>Demand Curve f</w:t>
      </w:r>
      <w:r w:rsidR="00C60C71" w:rsidRPr="00E3232D">
        <w:rPr>
          <w:rFonts w:ascii="Book Antiqua" w:hAnsi="Book Antiqua"/>
          <w:b/>
        </w:rPr>
        <w:t xml:space="preserve">or Fuelwood </w:t>
      </w:r>
      <w:r w:rsidR="00C60C71">
        <w:rPr>
          <w:rFonts w:ascii="Book Antiqua" w:hAnsi="Book Antiqua"/>
          <w:b/>
        </w:rPr>
        <w:t xml:space="preserve">  </w:t>
      </w:r>
    </w:p>
    <w:p w14:paraId="4204342E" w14:textId="77777777" w:rsidR="00554C9B" w:rsidRDefault="00850DC5" w:rsidP="00F40505">
      <w:pPr>
        <w:autoSpaceDE w:val="0"/>
        <w:autoSpaceDN w:val="0"/>
        <w:adjustRightInd w:val="0"/>
        <w:spacing w:after="0"/>
        <w:rPr>
          <w:rFonts w:ascii="Book Antiqua" w:hAnsi="Book Antiqua"/>
          <w:b/>
        </w:rPr>
      </w:pPr>
      <w:r>
        <w:rPr>
          <w:rFonts w:ascii="Book Antiqua" w:hAnsi="Book Antiqua"/>
          <w:noProof/>
          <w:lang w:bidi="ar-SA"/>
        </w:rPr>
        <w:pict w14:anchorId="5E008114">
          <v:shape id="_x0000_s1867" type="#_x0000_t32" style="position:absolute;margin-left:69.1pt;margin-top:9pt;width:0;height:176.25pt;flip:y;z-index:251881984" o:connectortype="straight">
            <v:stroke endarrow="block"/>
          </v:shape>
        </w:pict>
      </w:r>
      <w:r w:rsidR="00C60C71">
        <w:rPr>
          <w:rFonts w:ascii="Book Antiqua" w:hAnsi="Book Antiqua"/>
          <w:b/>
        </w:rPr>
        <w:t xml:space="preserve">    </w:t>
      </w:r>
    </w:p>
    <w:p w14:paraId="36528EB2" w14:textId="77777777" w:rsidR="00FC3AF7" w:rsidRPr="00E3232D" w:rsidRDefault="00F40505" w:rsidP="00554C9B">
      <w:pPr>
        <w:autoSpaceDE w:val="0"/>
        <w:autoSpaceDN w:val="0"/>
        <w:adjustRightInd w:val="0"/>
        <w:spacing w:after="0" w:line="240" w:lineRule="auto"/>
        <w:rPr>
          <w:rFonts w:ascii="Book Antiqua" w:hAnsi="Book Antiqua"/>
          <w:b/>
        </w:rPr>
      </w:pPr>
      <w:r w:rsidRPr="00E3232D">
        <w:rPr>
          <w:rFonts w:ascii="Book Antiqua" w:hAnsi="Book Antiqua"/>
          <w:b/>
        </w:rPr>
        <w:t>(Aggregate)</w:t>
      </w:r>
      <w:r w:rsidR="00C60C71">
        <w:rPr>
          <w:rFonts w:ascii="Book Antiqua" w:hAnsi="Book Antiqua"/>
          <w:b/>
        </w:rPr>
        <w:t xml:space="preserve">        </w:t>
      </w:r>
    </w:p>
    <w:p w14:paraId="18391AA2" w14:textId="77777777" w:rsidR="00FC3AF7" w:rsidRPr="00E3232D" w:rsidRDefault="00FC3AF7" w:rsidP="00554C9B">
      <w:pPr>
        <w:tabs>
          <w:tab w:val="left" w:pos="6255"/>
        </w:tabs>
        <w:autoSpaceDE w:val="0"/>
        <w:autoSpaceDN w:val="0"/>
        <w:adjustRightInd w:val="0"/>
        <w:spacing w:after="0" w:line="240" w:lineRule="auto"/>
        <w:rPr>
          <w:rFonts w:ascii="Book Antiqua" w:hAnsi="Book Antiqua"/>
          <w:b/>
        </w:rPr>
      </w:pPr>
      <w:r w:rsidRPr="00E3232D">
        <w:rPr>
          <w:rFonts w:ascii="Book Antiqua" w:hAnsi="Book Antiqua"/>
          <w:b/>
        </w:rPr>
        <w:t xml:space="preserve">  Cost</w:t>
      </w:r>
      <w:r w:rsidRPr="00E3232D">
        <w:rPr>
          <w:rFonts w:ascii="Book Antiqua" w:hAnsi="Book Antiqua"/>
          <w:b/>
        </w:rPr>
        <w:tab/>
      </w:r>
    </w:p>
    <w:p w14:paraId="61BF75C4" w14:textId="77777777" w:rsidR="00FC3AF7" w:rsidRPr="00E3232D" w:rsidRDefault="00850DC5" w:rsidP="00554C9B">
      <w:pPr>
        <w:tabs>
          <w:tab w:val="left" w:pos="2205"/>
        </w:tabs>
        <w:autoSpaceDE w:val="0"/>
        <w:autoSpaceDN w:val="0"/>
        <w:adjustRightInd w:val="0"/>
        <w:spacing w:line="240" w:lineRule="auto"/>
        <w:rPr>
          <w:rFonts w:ascii="Book Antiqua" w:hAnsi="Book Antiqua"/>
          <w:b/>
        </w:rPr>
      </w:pPr>
      <w:r>
        <w:rPr>
          <w:rFonts w:ascii="Book Antiqua" w:hAnsi="Book Antiqua"/>
          <w:noProof/>
          <w:lang w:bidi="ar-SA"/>
        </w:rPr>
        <w:pict w14:anchorId="5464D786">
          <v:shape id="_x0000_s1866" type="#_x0000_t32" style="position:absolute;margin-left:69.1pt;margin-top:5.75pt;width:183.75pt;height:140.25pt;z-index:251880960" o:connectortype="straight"/>
        </w:pict>
      </w:r>
      <w:r w:rsidR="00FC3AF7" w:rsidRPr="00E3232D">
        <w:rPr>
          <w:rFonts w:ascii="Book Antiqua" w:hAnsi="Book Antiqua"/>
          <w:b/>
        </w:rPr>
        <w:t xml:space="preserve"> of access  3.0   </w:t>
      </w:r>
    </w:p>
    <w:p w14:paraId="0915D3E5" w14:textId="77777777" w:rsidR="00FC3AF7" w:rsidRPr="00E3232D" w:rsidRDefault="00850DC5" w:rsidP="008275E1">
      <w:pPr>
        <w:tabs>
          <w:tab w:val="left" w:pos="2205"/>
        </w:tabs>
        <w:autoSpaceDE w:val="0"/>
        <w:autoSpaceDN w:val="0"/>
        <w:adjustRightInd w:val="0"/>
        <w:rPr>
          <w:rFonts w:ascii="Book Antiqua" w:hAnsi="Book Antiqua"/>
          <w:b/>
        </w:rPr>
      </w:pPr>
      <w:r>
        <w:rPr>
          <w:rFonts w:ascii="Book Antiqua" w:hAnsi="Book Antiqua"/>
          <w:b/>
          <w:noProof/>
          <w:lang w:bidi="ar-SA"/>
        </w:rPr>
        <w:pict w14:anchorId="3BAD01CD">
          <v:shape id="_x0000_s1868" type="#_x0000_t32" style="position:absolute;margin-left:111.1pt;margin-top:12pt;width:.05pt;height:108.75pt;z-index:251883008" o:connectortype="straight"/>
        </w:pict>
      </w:r>
      <w:r>
        <w:rPr>
          <w:rFonts w:ascii="Book Antiqua" w:hAnsi="Book Antiqua"/>
          <w:noProof/>
        </w:rPr>
        <w:pict w14:anchorId="772AF24E">
          <v:shape id="Straight Arrow Connector 10" o:spid="_x0000_s1309" type="#_x0000_t32" style="position:absolute;margin-left:69.85pt;margin-top:12pt;width:40.5pt;height:0;z-index:25151334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" adj="-214800,-1,-214800"/>
        </w:pict>
      </w:r>
      <w:r w:rsidR="008140CA">
        <w:rPr>
          <w:rFonts w:ascii="Book Antiqua" w:hAnsi="Book Antiqua"/>
          <w:b/>
        </w:rPr>
        <w:t xml:space="preserve"> </w:t>
      </w:r>
      <w:r w:rsidR="00A81C7A" w:rsidRPr="00E3232D">
        <w:rPr>
          <w:rFonts w:ascii="Book Antiqua" w:hAnsi="Book Antiqua"/>
          <w:b/>
        </w:rPr>
        <w:t xml:space="preserve">GH¢   </w:t>
      </w:r>
      <w:r w:rsidR="00A81C7A" w:rsidRPr="00E3232D">
        <w:rPr>
          <w:rFonts w:ascii="Book Antiqua" w:hAnsi="Book Antiqua"/>
        </w:rPr>
        <w:t xml:space="preserve">      </w:t>
      </w:r>
      <w:r w:rsidR="00A81C7A" w:rsidRPr="00E3232D">
        <w:rPr>
          <w:rFonts w:ascii="Book Antiqua" w:hAnsi="Book Antiqua"/>
          <w:b/>
        </w:rPr>
        <w:t>2.0</w:t>
      </w:r>
      <w:r w:rsidR="00A81C7A" w:rsidRPr="00E3232D">
        <w:rPr>
          <w:rFonts w:ascii="Book Antiqua" w:hAnsi="Book Antiqua"/>
        </w:rPr>
        <w:t xml:space="preserve">       </w:t>
      </w:r>
      <w:r w:rsidR="00A81C7A" w:rsidRPr="00E3232D">
        <w:rPr>
          <w:rFonts w:ascii="Book Antiqua" w:hAnsi="Book Antiqua"/>
          <w:b/>
        </w:rPr>
        <w:t>7</w:t>
      </w:r>
    </w:p>
    <w:p w14:paraId="256EBD0D" w14:textId="77777777" w:rsidR="00FC3AF7" w:rsidRPr="00E3232D" w:rsidRDefault="00850DC5" w:rsidP="008275E1">
      <w:pPr>
        <w:tabs>
          <w:tab w:val="left" w:pos="2205"/>
        </w:tabs>
        <w:autoSpaceDE w:val="0"/>
        <w:autoSpaceDN w:val="0"/>
        <w:adjustRightInd w:val="0"/>
        <w:rPr>
          <w:rFonts w:ascii="Book Antiqua" w:hAnsi="Book Antiqua"/>
          <w:b/>
        </w:rPr>
      </w:pPr>
      <w:r>
        <w:rPr>
          <w:rFonts w:ascii="Book Antiqua" w:hAnsi="Book Antiqua"/>
          <w:noProof/>
        </w:rPr>
        <w:pict w14:anchorId="459E9C90">
          <v:shape id="Straight Arrow Connector 9" o:spid="_x0000_s1305" type="#_x0000_t32" style="position:absolute;margin-left:114.3pt;margin-top:57.9pt;width:75.2pt;height:0;rotation:90;z-index:2515092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" adj="-134296,-1,-134296"/>
        </w:pict>
      </w:r>
      <w:r>
        <w:rPr>
          <w:rFonts w:ascii="Book Antiqua" w:hAnsi="Book Antiqua"/>
          <w:noProof/>
        </w:rPr>
        <w:pict w14:anchorId="70E90E76">
          <v:shape id="Straight Arrow Connector 8" o:spid="_x0000_s1308" type="#_x0000_t32" style="position:absolute;margin-left:68.35pt;margin-top:9.05pt;width:69.75pt;height:0;rotation:180;z-index:25151232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" adj="-140516,-1,-140516"/>
        </w:pict>
      </w:r>
      <w:r w:rsidR="00C26131">
        <w:rPr>
          <w:rFonts w:ascii="Book Antiqua" w:hAnsi="Book Antiqua"/>
          <w:b/>
        </w:rPr>
        <w:t xml:space="preserve">                  </w:t>
      </w:r>
      <w:r w:rsidR="00554C9B">
        <w:rPr>
          <w:rFonts w:ascii="Book Antiqua" w:hAnsi="Book Antiqua"/>
          <w:b/>
        </w:rPr>
        <w:t xml:space="preserve"> 1.0         6        </w:t>
      </w:r>
      <w:r w:rsidR="00C26131">
        <w:rPr>
          <w:rFonts w:ascii="Book Antiqua" w:hAnsi="Book Antiqua"/>
          <w:b/>
        </w:rPr>
        <w:t>5</w:t>
      </w:r>
    </w:p>
    <w:p w14:paraId="245772CB" w14:textId="77777777" w:rsidR="00FC3AF7" w:rsidRPr="00E3232D" w:rsidRDefault="00850DC5" w:rsidP="008275E1">
      <w:pPr>
        <w:tabs>
          <w:tab w:val="left" w:pos="2205"/>
        </w:tabs>
        <w:autoSpaceDE w:val="0"/>
        <w:autoSpaceDN w:val="0"/>
        <w:adjustRightInd w:val="0"/>
        <w:rPr>
          <w:rFonts w:ascii="Book Antiqua" w:hAnsi="Book Antiqua"/>
        </w:rPr>
      </w:pPr>
      <w:r>
        <w:rPr>
          <w:rFonts w:ascii="Book Antiqua" w:hAnsi="Book Antiqua"/>
          <w:noProof/>
        </w:rPr>
        <w:pict w14:anchorId="37DCB004">
          <v:shape id="Straight Arrow Connector 7" o:spid="_x0000_s1307" type="#_x0000_t32" style="position:absolute;margin-left:162.35pt;margin-top:46.55pt;width:47.45pt;height:0;rotation:90;z-index:25151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" adj="-228405,-1,-228405"/>
        </w:pict>
      </w:r>
      <w:r w:rsidR="00FC3AF7" w:rsidRPr="00E3232D">
        <w:rPr>
          <w:rFonts w:ascii="Book Antiqua" w:hAnsi="Book Antiqua"/>
          <w:b/>
        </w:rPr>
        <w:t xml:space="preserve">  </w:t>
      </w:r>
      <w:r w:rsidR="00C26131">
        <w:rPr>
          <w:rFonts w:ascii="Book Antiqua" w:hAnsi="Book Antiqua"/>
          <w:b/>
        </w:rPr>
        <w:t xml:space="preserve">                </w:t>
      </w:r>
    </w:p>
    <w:p w14:paraId="49DB8BC5" w14:textId="77777777" w:rsidR="00FC3AF7" w:rsidRPr="00E3232D" w:rsidRDefault="00850DC5" w:rsidP="00C60C71">
      <w:pPr>
        <w:tabs>
          <w:tab w:val="left" w:pos="-90"/>
        </w:tabs>
        <w:autoSpaceDE w:val="0"/>
        <w:autoSpaceDN w:val="0"/>
        <w:adjustRightInd w:val="0"/>
        <w:rPr>
          <w:rFonts w:ascii="Book Antiqua" w:hAnsi="Book Antiqua"/>
          <w:b/>
        </w:rPr>
      </w:pPr>
      <w:r>
        <w:rPr>
          <w:rFonts w:ascii="Book Antiqua" w:hAnsi="Book Antiqua"/>
          <w:noProof/>
        </w:rPr>
        <w:pict w14:anchorId="285959B4">
          <v:shape id="Straight Arrow Connector 6" o:spid="_x0000_s1310" type="#_x0000_t32" style="position:absolute;margin-left:68.35pt;margin-top:9.3pt;width:135.75pt;height:0;rotation:180;z-index:25151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" adj="-82701,-1,-82701"/>
        </w:pict>
      </w:r>
      <w:r w:rsidR="00FC3AF7" w:rsidRPr="00E3232D">
        <w:rPr>
          <w:rFonts w:ascii="Book Antiqua" w:hAnsi="Book Antiqua"/>
          <w:b/>
        </w:rPr>
        <w:t xml:space="preserve">          </w:t>
      </w:r>
      <w:r w:rsidR="00C26131">
        <w:rPr>
          <w:rFonts w:ascii="Book Antiqua" w:hAnsi="Book Antiqua"/>
          <w:b/>
        </w:rPr>
        <w:t xml:space="preserve">       </w:t>
      </w:r>
      <w:r w:rsidR="008140CA">
        <w:rPr>
          <w:rFonts w:ascii="Book Antiqua" w:hAnsi="Book Antiqua"/>
          <w:b/>
        </w:rPr>
        <w:t xml:space="preserve">  </w:t>
      </w:r>
      <w:r w:rsidR="00554C9B">
        <w:rPr>
          <w:rFonts w:ascii="Book Antiqua" w:hAnsi="Book Antiqua"/>
          <w:b/>
        </w:rPr>
        <w:t>0</w:t>
      </w:r>
      <w:r w:rsidR="00C26131">
        <w:rPr>
          <w:rFonts w:ascii="Book Antiqua" w:hAnsi="Book Antiqua"/>
          <w:b/>
        </w:rPr>
        <w:t xml:space="preserve">.6             </w:t>
      </w:r>
      <w:r w:rsidR="00554C9B">
        <w:rPr>
          <w:rFonts w:ascii="Book Antiqua" w:hAnsi="Book Antiqua"/>
          <w:b/>
        </w:rPr>
        <w:t xml:space="preserve">            </w:t>
      </w:r>
      <w:r w:rsidR="00C26131">
        <w:rPr>
          <w:rFonts w:ascii="Book Antiqua" w:hAnsi="Book Antiqua"/>
          <w:b/>
        </w:rPr>
        <w:t xml:space="preserve">4         3             </w:t>
      </w:r>
    </w:p>
    <w:p w14:paraId="068DDCFC" w14:textId="77777777" w:rsidR="00C26131" w:rsidRDefault="00850DC5" w:rsidP="00C26131">
      <w:pPr>
        <w:tabs>
          <w:tab w:val="left" w:pos="2205"/>
        </w:tabs>
        <w:autoSpaceDE w:val="0"/>
        <w:autoSpaceDN w:val="0"/>
        <w:adjustRightInd w:val="0"/>
        <w:rPr>
          <w:rFonts w:ascii="Book Antiqua" w:hAnsi="Book Antiqua"/>
          <w:b/>
        </w:rPr>
      </w:pPr>
      <w:r>
        <w:rPr>
          <w:rFonts w:ascii="Book Antiqua" w:hAnsi="Book Antiqua"/>
          <w:noProof/>
        </w:rPr>
        <w:pict w14:anchorId="06D3167A">
          <v:shape id="Straight Arrow Connector 5" o:spid="_x0000_s1304" type="#_x0000_t32" style="position:absolute;margin-left:69.1pt;margin-top:19.75pt;width:187.5pt;height:0;z-index:25150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" adj="-46397,-1,-46397">
            <v:stroke endarrow="block"/>
          </v:shape>
        </w:pict>
      </w:r>
      <w:r w:rsidR="00C26131">
        <w:rPr>
          <w:rFonts w:ascii="Book Antiqua" w:hAnsi="Book Antiqua"/>
          <w:b/>
        </w:rPr>
        <w:t xml:space="preserve">                                                                2      1                                                                      </w:t>
      </w:r>
    </w:p>
    <w:p w14:paraId="0B636FEA" w14:textId="77777777" w:rsidR="00554C9B" w:rsidRDefault="00CE3B20" w:rsidP="00554C9B">
      <w:pPr>
        <w:tabs>
          <w:tab w:val="left" w:pos="2205"/>
        </w:tabs>
        <w:autoSpaceDE w:val="0"/>
        <w:autoSpaceDN w:val="0"/>
        <w:adjustRightInd w:val="0"/>
        <w:spacing w:after="0"/>
        <w:rPr>
          <w:rFonts w:ascii="Book Antiqua" w:hAnsi="Book Antiqua"/>
          <w:b/>
          <w:sz w:val="12"/>
        </w:rPr>
      </w:pPr>
      <w:r w:rsidRPr="00F40505">
        <w:rPr>
          <w:rFonts w:ascii="Book Antiqua" w:hAnsi="Book Antiqua"/>
          <w:b/>
          <w:sz w:val="20"/>
        </w:rPr>
        <w:t xml:space="preserve">                 </w:t>
      </w:r>
      <w:r w:rsidR="00C26131" w:rsidRPr="00F40505">
        <w:rPr>
          <w:rFonts w:ascii="Book Antiqua" w:hAnsi="Book Antiqua"/>
          <w:b/>
          <w:sz w:val="20"/>
        </w:rPr>
        <w:t xml:space="preserve"> </w:t>
      </w:r>
      <w:r w:rsidRPr="00F40505">
        <w:rPr>
          <w:rFonts w:ascii="Book Antiqua" w:hAnsi="Book Antiqua"/>
          <w:b/>
          <w:sz w:val="20"/>
        </w:rPr>
        <w:t xml:space="preserve">        </w:t>
      </w:r>
      <w:r w:rsidR="00554C9B">
        <w:rPr>
          <w:rFonts w:ascii="Book Antiqua" w:hAnsi="Book Antiqua"/>
          <w:b/>
          <w:sz w:val="20"/>
        </w:rPr>
        <w:t xml:space="preserve"> </w:t>
      </w:r>
      <w:r w:rsidRPr="00F40505">
        <w:rPr>
          <w:rFonts w:ascii="Book Antiqua" w:hAnsi="Book Antiqua"/>
          <w:b/>
          <w:sz w:val="20"/>
        </w:rPr>
        <w:t xml:space="preserve"> </w:t>
      </w:r>
      <w:r w:rsidR="00C26131" w:rsidRPr="00554C9B">
        <w:rPr>
          <w:rFonts w:ascii="Book Antiqua" w:hAnsi="Book Antiqua"/>
          <w:b/>
          <w:sz w:val="16"/>
        </w:rPr>
        <w:t xml:space="preserve">0     </w:t>
      </w:r>
      <w:r w:rsidR="00554C9B" w:rsidRPr="00554C9B">
        <w:rPr>
          <w:rFonts w:ascii="Book Antiqua" w:hAnsi="Book Antiqua"/>
          <w:b/>
          <w:sz w:val="16"/>
        </w:rPr>
        <w:t xml:space="preserve">     </w:t>
      </w:r>
      <w:r w:rsidR="00554C9B">
        <w:rPr>
          <w:rFonts w:ascii="Book Antiqua" w:hAnsi="Book Antiqua"/>
          <w:b/>
          <w:sz w:val="16"/>
        </w:rPr>
        <w:t xml:space="preserve">  </w:t>
      </w:r>
      <w:r w:rsidR="00C26131" w:rsidRPr="00554C9B">
        <w:rPr>
          <w:rFonts w:ascii="Book Antiqua" w:hAnsi="Book Antiqua"/>
          <w:b/>
          <w:sz w:val="16"/>
        </w:rPr>
        <w:t xml:space="preserve">5,685   </w:t>
      </w:r>
      <w:r w:rsidR="00554C9B" w:rsidRPr="00554C9B">
        <w:rPr>
          <w:rFonts w:ascii="Book Antiqua" w:hAnsi="Book Antiqua"/>
          <w:b/>
          <w:sz w:val="16"/>
        </w:rPr>
        <w:t xml:space="preserve">  </w:t>
      </w:r>
      <w:r w:rsidR="00554C9B">
        <w:rPr>
          <w:rFonts w:ascii="Book Antiqua" w:hAnsi="Book Antiqua"/>
          <w:b/>
          <w:sz w:val="16"/>
        </w:rPr>
        <w:t xml:space="preserve"> </w:t>
      </w:r>
      <w:r w:rsidR="00C26131" w:rsidRPr="00554C9B">
        <w:rPr>
          <w:rFonts w:ascii="Book Antiqua" w:hAnsi="Book Antiqua"/>
          <w:b/>
          <w:sz w:val="16"/>
        </w:rPr>
        <w:t xml:space="preserve">19,539  </w:t>
      </w:r>
      <w:r w:rsidRPr="00554C9B">
        <w:rPr>
          <w:rFonts w:ascii="Book Antiqua" w:hAnsi="Book Antiqua"/>
          <w:b/>
          <w:sz w:val="16"/>
        </w:rPr>
        <w:t xml:space="preserve"> </w:t>
      </w:r>
      <w:r w:rsidR="00554C9B">
        <w:rPr>
          <w:rFonts w:ascii="Book Antiqua" w:hAnsi="Book Antiqua"/>
          <w:b/>
          <w:sz w:val="16"/>
        </w:rPr>
        <w:t xml:space="preserve"> </w:t>
      </w:r>
      <w:r w:rsidR="00C26131" w:rsidRPr="00554C9B">
        <w:rPr>
          <w:rFonts w:ascii="Book Antiqua" w:hAnsi="Book Antiqua"/>
          <w:b/>
          <w:sz w:val="16"/>
        </w:rPr>
        <w:t>27,</w:t>
      </w:r>
      <w:r w:rsidRPr="00554C9B">
        <w:rPr>
          <w:rFonts w:ascii="Book Antiqua" w:hAnsi="Book Antiqua"/>
          <w:b/>
          <w:sz w:val="16"/>
        </w:rPr>
        <w:t xml:space="preserve">650 </w:t>
      </w:r>
      <w:r w:rsidR="00554C9B">
        <w:rPr>
          <w:rFonts w:ascii="Book Antiqua" w:hAnsi="Book Antiqua"/>
          <w:b/>
          <w:sz w:val="16"/>
        </w:rPr>
        <w:t xml:space="preserve"> </w:t>
      </w:r>
      <w:r w:rsidR="00FC3AF7" w:rsidRPr="00554C9B">
        <w:rPr>
          <w:rFonts w:ascii="Book Antiqua" w:hAnsi="Book Antiqua"/>
          <w:b/>
          <w:sz w:val="18"/>
        </w:rPr>
        <w:t>39,069</w:t>
      </w:r>
      <w:r w:rsidR="00F40505" w:rsidRPr="00554C9B">
        <w:rPr>
          <w:rFonts w:ascii="Book Antiqua" w:hAnsi="Book Antiqua"/>
          <w:b/>
          <w:sz w:val="12"/>
        </w:rPr>
        <w:t xml:space="preserve"> </w:t>
      </w:r>
      <w:r w:rsidR="00554C9B">
        <w:rPr>
          <w:rFonts w:ascii="Book Antiqua" w:hAnsi="Book Antiqua"/>
          <w:b/>
          <w:sz w:val="12"/>
        </w:rPr>
        <w:t xml:space="preserve">       </w:t>
      </w:r>
    </w:p>
    <w:p w14:paraId="00C9189D" w14:textId="77777777" w:rsidR="008649FA" w:rsidRPr="00554C9B" w:rsidRDefault="00554C9B" w:rsidP="008275E1">
      <w:pPr>
        <w:tabs>
          <w:tab w:val="left" w:pos="2205"/>
        </w:tabs>
        <w:autoSpaceDE w:val="0"/>
        <w:autoSpaceDN w:val="0"/>
        <w:adjustRightInd w:val="0"/>
        <w:rPr>
          <w:rFonts w:ascii="Book Antiqua" w:hAnsi="Book Antiqua"/>
          <w:b/>
          <w:sz w:val="14"/>
        </w:rPr>
      </w:pPr>
      <w:r>
        <w:rPr>
          <w:rFonts w:ascii="Book Antiqua" w:hAnsi="Book Antiqua"/>
          <w:b/>
          <w:sz w:val="12"/>
        </w:rPr>
        <w:tab/>
      </w:r>
      <w:r>
        <w:rPr>
          <w:rFonts w:ascii="Book Antiqua" w:hAnsi="Book Antiqua"/>
          <w:b/>
          <w:sz w:val="12"/>
        </w:rPr>
        <w:tab/>
      </w:r>
      <w:r w:rsidR="00F40505" w:rsidRPr="00F40505">
        <w:rPr>
          <w:rFonts w:ascii="Book Antiqua" w:hAnsi="Book Antiqua"/>
          <w:b/>
          <w:sz w:val="14"/>
        </w:rPr>
        <w:t>Total Visitation</w:t>
      </w:r>
      <w:r w:rsidR="00FC3AF7" w:rsidRPr="00E3232D">
        <w:rPr>
          <w:rFonts w:ascii="Book Antiqua" w:hAnsi="Book Antiqua"/>
          <w:b/>
        </w:rPr>
        <w:t xml:space="preserve">                                                              </w:t>
      </w:r>
    </w:p>
    <w:p w14:paraId="3DC1DFC7" w14:textId="77777777" w:rsidR="00FC3AF7" w:rsidRPr="00E3232D" w:rsidRDefault="00FC3AF7" w:rsidP="00004FBA">
      <w:pPr>
        <w:tabs>
          <w:tab w:val="left" w:pos="7125"/>
        </w:tabs>
        <w:jc w:val="both"/>
        <w:rPr>
          <w:rFonts w:ascii="Book Antiqua" w:hAnsi="Book Antiqua"/>
        </w:rPr>
      </w:pPr>
      <w:r w:rsidRPr="00E3232D">
        <w:rPr>
          <w:rFonts w:ascii="Book Antiqua" w:hAnsi="Book Antiqua"/>
        </w:rPr>
        <w:t xml:space="preserve">The area under the demand curve above is the consumer surplus computed from the number of visits for fuelwood yearly. Mehmet and Mustafa (2006) said that, one could integrate under the demand curve as a way of estimating the consumer surplus. To be able to derive the demand curve, the formula is : Triangle </w:t>
      </w:r>
      <w:r w:rsidR="006F685D">
        <w:rPr>
          <w:rFonts w:ascii="Book Antiqua" w:hAnsi="Book Antiqua"/>
        </w:rPr>
        <w:t xml:space="preserve">                     </w:t>
      </w:r>
      <w:r w:rsidRPr="00E3232D">
        <w:rPr>
          <w:rFonts w:ascii="Book Antiqua" w:hAnsi="Book Antiqua"/>
        </w:rPr>
        <w:t>(</w:t>
      </w:r>
      <w:r w:rsidRPr="00E3232D">
        <w:rPr>
          <w:rFonts w:ascii="Book Antiqua" w:hAnsi="Book Antiqua"/>
          <w:position w:val="-24"/>
        </w:rPr>
        <w:object w:dxaOrig="1500" w:dyaOrig="620" w14:anchorId="6B11EFC1">
          <v:shape id="_x0000_i1056" type="#_x0000_t75" style="width:74.7pt;height:30.55pt" o:ole="">
            <v:imagedata r:id="rId320" o:title=""/>
          </v:shape>
          <o:OLEObject Type="Embed" ProgID="Equation.DSMT4" ShapeID="_x0000_i1056" DrawAspect="Content" ObjectID="_1680958714" r:id="rId321"/>
        </w:object>
      </w:r>
      <w:r w:rsidRPr="00E3232D">
        <w:rPr>
          <w:rFonts w:ascii="Book Antiqua" w:hAnsi="Book Antiqua"/>
        </w:rPr>
        <w:t>) . This formula is done to arrive at the consumer surplus.</w:t>
      </w:r>
    </w:p>
    <w:p w14:paraId="51B2BD98" w14:textId="77777777" w:rsidR="008649FA" w:rsidRDefault="008649FA" w:rsidP="008275E1">
      <w:pPr>
        <w:pStyle w:val="ListParagraph"/>
        <w:tabs>
          <w:tab w:val="left" w:pos="7125"/>
        </w:tabs>
        <w:ind w:left="0"/>
        <w:rPr>
          <w:rFonts w:ascii="Book Antiqua" w:hAnsi="Book Antiqua"/>
          <w:b/>
        </w:rPr>
      </w:pPr>
    </w:p>
    <w:p w14:paraId="51204F87" w14:textId="77777777" w:rsidR="00FC3AF7" w:rsidRPr="00E3232D" w:rsidRDefault="00540710" w:rsidP="00004FBA">
      <w:pPr>
        <w:pStyle w:val="ListParagraph"/>
        <w:tabs>
          <w:tab w:val="left" w:pos="7125"/>
        </w:tabs>
        <w:ind w:left="0"/>
        <w:jc w:val="both"/>
        <w:rPr>
          <w:rFonts w:ascii="Book Antiqua" w:hAnsi="Book Antiqua"/>
          <w:b/>
        </w:rPr>
      </w:pPr>
      <w:r>
        <w:rPr>
          <w:rFonts w:ascii="Book Antiqua" w:hAnsi="Book Antiqua"/>
          <w:b/>
        </w:rPr>
        <w:t>4.0</w:t>
      </w:r>
      <w:r w:rsidR="00FC3AF7" w:rsidRPr="00E3232D">
        <w:rPr>
          <w:rFonts w:ascii="Book Antiqua" w:hAnsi="Book Antiqua"/>
          <w:b/>
        </w:rPr>
        <w:t xml:space="preserve"> </w:t>
      </w:r>
      <w:r w:rsidR="00FC3AF7" w:rsidRPr="006F685D">
        <w:rPr>
          <w:rFonts w:ascii="Book Antiqua" w:hAnsi="Book Antiqua"/>
          <w:b/>
          <w:sz w:val="26"/>
        </w:rPr>
        <w:t>Discussion</w:t>
      </w:r>
    </w:p>
    <w:p w14:paraId="5F97C9AE" w14:textId="77777777" w:rsidR="00FC3AF7" w:rsidRPr="00E3232D" w:rsidRDefault="00FC3AF7" w:rsidP="00004FBA">
      <w:pPr>
        <w:jc w:val="both"/>
        <w:rPr>
          <w:rFonts w:ascii="Book Antiqua" w:hAnsi="Book Antiqua"/>
        </w:rPr>
      </w:pPr>
      <w:r w:rsidRPr="00E3232D">
        <w:rPr>
          <w:rFonts w:ascii="Book Antiqua" w:hAnsi="Book Antiqua"/>
        </w:rPr>
        <w:t xml:space="preserve">The findings of the study revealed that, </w:t>
      </w:r>
    </w:p>
    <w:p w14:paraId="5D20F7AB" w14:textId="77777777" w:rsidR="008649FA" w:rsidRDefault="00FC3AF7" w:rsidP="00004FBA">
      <w:pPr>
        <w:jc w:val="both"/>
        <w:rPr>
          <w:rFonts w:ascii="Book Antiqua" w:hAnsi="Book Antiqua"/>
        </w:rPr>
      </w:pPr>
      <w:r w:rsidRPr="00E3232D">
        <w:rPr>
          <w:rFonts w:ascii="Book Antiqua" w:hAnsi="Book Antiqua"/>
        </w:rPr>
        <w:t>The average annual income range of respondents revealed that, 177(45.2%) had an average income of Gh ¢ 360 per annum, 91(23.2%) had an average income of Gh ¢ 492 per annum, 52(13.3%) had an average income of Gh ¢ 732 per annum, 36(9.2%) had an average income of Gh ¢ 972 per annum, 14(3.6%) had an average income of Gh ¢ 1272 per annum and also 22(5.6%) had an average income of Gh ¢ 1452 per annum. The distance traveled showed that, 78(19.9%) of the respondents travelled half a kilometer for fuelwood, 209(53.3%) had travelled 3 kilometers for fuelwood, 81(20.7%) travelled 7 kilometers for fuelwood, 8(2.0%) also travelled 10 kilometers for fuelwood and lastly, 16(4.1%) had travelled 12 kilometers for fuelwood.</w:t>
      </w:r>
    </w:p>
    <w:p w14:paraId="54CA44B2" w14:textId="77777777" w:rsidR="00FC3AF7" w:rsidRPr="00E3232D" w:rsidRDefault="00FC3AF7" w:rsidP="00004FBA">
      <w:pPr>
        <w:tabs>
          <w:tab w:val="left" w:pos="7125"/>
        </w:tabs>
        <w:jc w:val="both"/>
        <w:rPr>
          <w:rFonts w:ascii="Book Antiqua" w:hAnsi="Book Antiqua"/>
        </w:rPr>
      </w:pPr>
      <w:r w:rsidRPr="00E3232D">
        <w:rPr>
          <w:rFonts w:ascii="Book Antiqua" w:hAnsi="Book Antiqua"/>
        </w:rPr>
        <w:t>The total consumer surplus obtained from the area under the demand curve is GH¢42,877 per year.</w:t>
      </w:r>
    </w:p>
    <w:p w14:paraId="6EBA37E1" w14:textId="77777777" w:rsidR="008649FA" w:rsidRDefault="00FC3AF7" w:rsidP="00004FBA">
      <w:pPr>
        <w:jc w:val="both"/>
        <w:rPr>
          <w:rFonts w:ascii="Book Antiqua" w:hAnsi="Book Antiqua"/>
        </w:rPr>
      </w:pPr>
      <w:r w:rsidRPr="00E3232D">
        <w:rPr>
          <w:rFonts w:ascii="Book Antiqua" w:hAnsi="Book Antiqua"/>
        </w:rPr>
        <w:t>According to Dupuit (1844), consumer surplus is “the excess of the price which (the consumer) would be willing to pay rather than go without the good, over that which he actually does pay” (Hicks, 1939). The total consumer surplus by the study (GH¢42,877 per year) demonstrated the importance the people in the Tamale Metropolitan area attached to the demand for fuelwood. This is the price they are willing to pay rather than go without fuelwood. The economic significance is that, they are willing to sacrifice work (opportunity cost) for the demand for fuelwood. The price within which the consumer surplus is measured is GH¢2. From Figure 4.10 above, at the price of GH¢2 the quantity of fuelwood consumed is 5,685 and when the price is reduced to GH¢1 the quantity of fuelwood consumed increased to 19,539. This gives a consumer surplus of GH¢3(1+2=3). It is important to stressed that, the consumer would reduce significantly quantity demanded for fuelwood when the cost of access is GH¢3.</w:t>
      </w:r>
    </w:p>
    <w:p w14:paraId="78FE9D0F" w14:textId="77777777" w:rsidR="00FC3AF7" w:rsidRDefault="00FC3AF7" w:rsidP="006F685D">
      <w:pPr>
        <w:jc w:val="both"/>
        <w:rPr>
          <w:rFonts w:ascii="Book Antiqua" w:hAnsi="Book Antiqua"/>
        </w:rPr>
      </w:pPr>
      <w:r w:rsidRPr="00E3232D">
        <w:rPr>
          <w:rFonts w:ascii="Book Antiqua" w:hAnsi="Book Antiqua"/>
        </w:rPr>
        <w:t>However, to ensure the sustainable use of trees for fuelwood, costs of access should be a measure to deter excessive exploitation of trees for fuelwood. As can be seen from the study, an increase in cost of access for fuelwood from GH¢ 0.60P, GH¢1.0 and GH¢2.0 respectively resulted in a decreased in the individual visitation from 27,650, 19,539 and 5,685 respectively. The demand for fuelwood is therefore the various quantities of fuelwood bought at the various costs of access from the above. From the hypotheses tested travel cost, income and education were the major determinants of the demand for fuelwood in the Tamale Metropolitan area.</w:t>
      </w:r>
    </w:p>
    <w:p w14:paraId="5ADC3F0F" w14:textId="77777777" w:rsidR="006F685D" w:rsidRPr="00E3232D" w:rsidRDefault="006F685D" w:rsidP="006F685D">
      <w:pPr>
        <w:spacing w:after="0"/>
        <w:jc w:val="both"/>
        <w:rPr>
          <w:rFonts w:ascii="Book Antiqua" w:hAnsi="Book Antiqua"/>
        </w:rPr>
      </w:pPr>
    </w:p>
    <w:p w14:paraId="4E6C10F8" w14:textId="77777777" w:rsidR="00FC3AF7" w:rsidRPr="00E3232D" w:rsidRDefault="00FC3AF7" w:rsidP="006F685D">
      <w:pPr>
        <w:pStyle w:val="ListParagraph"/>
        <w:tabs>
          <w:tab w:val="left" w:pos="7125"/>
        </w:tabs>
        <w:spacing w:after="0"/>
        <w:ind w:left="0"/>
        <w:rPr>
          <w:rFonts w:ascii="Book Antiqua" w:hAnsi="Book Antiqua"/>
          <w:b/>
        </w:rPr>
      </w:pPr>
      <w:r w:rsidRPr="00E3232D">
        <w:rPr>
          <w:rFonts w:ascii="Book Antiqua" w:hAnsi="Book Antiqua"/>
          <w:b/>
        </w:rPr>
        <w:t>5.</w:t>
      </w:r>
      <w:r w:rsidR="00540710">
        <w:rPr>
          <w:rFonts w:ascii="Book Antiqua" w:hAnsi="Book Antiqua"/>
          <w:b/>
        </w:rPr>
        <w:t>0</w:t>
      </w:r>
      <w:r w:rsidRPr="00E3232D">
        <w:rPr>
          <w:rFonts w:ascii="Book Antiqua" w:hAnsi="Book Antiqua"/>
          <w:b/>
        </w:rPr>
        <w:t xml:space="preserve"> </w:t>
      </w:r>
      <w:r w:rsidRPr="006F685D">
        <w:rPr>
          <w:rFonts w:ascii="Book Antiqua" w:hAnsi="Book Antiqua"/>
          <w:b/>
          <w:sz w:val="26"/>
        </w:rPr>
        <w:t>Conclusion</w:t>
      </w:r>
    </w:p>
    <w:p w14:paraId="22D3D0DD" w14:textId="77777777" w:rsidR="00FC3AF7" w:rsidRPr="00E3232D" w:rsidRDefault="00FC3AF7" w:rsidP="006F685D">
      <w:pPr>
        <w:jc w:val="both"/>
        <w:rPr>
          <w:rFonts w:ascii="Book Antiqua" w:hAnsi="Book Antiqua"/>
        </w:rPr>
      </w:pPr>
      <w:r w:rsidRPr="00E3232D">
        <w:rPr>
          <w:rFonts w:ascii="Book Antiqua" w:hAnsi="Book Antiqua"/>
        </w:rPr>
        <w:t>This research work was conducted using the travel cost method as a tool to assess the demand for fuelwood in the Tamale Metropolitan area which is seen as the general objective of the study.</w:t>
      </w:r>
    </w:p>
    <w:p w14:paraId="33006ECD" w14:textId="77777777" w:rsidR="00FC3AF7" w:rsidRPr="00E3232D" w:rsidRDefault="00FC3AF7" w:rsidP="006F685D">
      <w:pPr>
        <w:jc w:val="both"/>
        <w:rPr>
          <w:rFonts w:ascii="Book Antiqua" w:hAnsi="Book Antiqua"/>
        </w:rPr>
      </w:pPr>
      <w:r w:rsidRPr="00E3232D">
        <w:rPr>
          <w:rFonts w:ascii="Book Antiqua" w:hAnsi="Book Antiqua"/>
        </w:rPr>
        <w:t xml:space="preserve">The specific objectives of the study were to examine the factors that influence the demand for fuelwood in the Tamale Metropolitan area, use field data to estimate aggregate demand for fuelwood in the Tamale metropolitan area and evaluate how demand for fuelwood impact on the economic livelihood of the people of the Tamale Metropolitan area. </w:t>
      </w:r>
    </w:p>
    <w:p w14:paraId="32A77103" w14:textId="77777777" w:rsidR="00DB0F50" w:rsidRDefault="00FC3AF7" w:rsidP="006F685D">
      <w:pPr>
        <w:jc w:val="both"/>
        <w:rPr>
          <w:rFonts w:ascii="Book Antiqua" w:hAnsi="Book Antiqua"/>
        </w:rPr>
      </w:pPr>
      <w:r w:rsidRPr="00E3232D">
        <w:rPr>
          <w:rFonts w:ascii="Book Antiqua" w:hAnsi="Book Antiqua"/>
        </w:rPr>
        <w:t xml:space="preserve">The findings showed that increases in the travel cost for fuelwood results in a decrease in the number of visits for fuelwood. This negative relationship showed that, individuals are very mindful about the expenditure they incur on fuelwood. This ensures that, the number of visits for fuelwood reduces and thus reduces the amount of fuelwood exploitation. The income level also showed a negative relationship with the number of visit for fuelwood. The implication is that, as income level rises, (following the prediction of the ‘energy ladder’ model) individuals substitute fuelwood for other forms of fuel. This lessens the exploitation of the forest and hence, ensures trees are harvested sustainably. </w:t>
      </w:r>
    </w:p>
    <w:p w14:paraId="5CA73EF4" w14:textId="77777777" w:rsidR="00FC3AF7" w:rsidRPr="00E3232D" w:rsidRDefault="00FC3AF7" w:rsidP="006F685D">
      <w:pPr>
        <w:jc w:val="both"/>
        <w:rPr>
          <w:rFonts w:ascii="Book Antiqua" w:hAnsi="Book Antiqua"/>
        </w:rPr>
      </w:pPr>
      <w:r w:rsidRPr="00E3232D">
        <w:rPr>
          <w:rFonts w:ascii="Book Antiqua" w:hAnsi="Book Antiqua"/>
        </w:rPr>
        <w:t>However, the individual education level had a positive relationship with number of visits for fuelwood. This signifies that, those who are educated in this area see fuelwood as providing them a given level of utility. The age and travel cost to alternative sites were insignificant. The major determinants of demand for fuelwood in the Tamale Metropolitan area are travel cost, income and education.</w:t>
      </w:r>
    </w:p>
    <w:p w14:paraId="1726FFB1" w14:textId="77777777" w:rsidR="00FC3AF7" w:rsidRPr="00E3232D" w:rsidRDefault="00FC3AF7" w:rsidP="006F685D">
      <w:pPr>
        <w:jc w:val="both"/>
        <w:rPr>
          <w:rFonts w:ascii="Book Antiqua" w:hAnsi="Book Antiqua"/>
        </w:rPr>
      </w:pPr>
      <w:r w:rsidRPr="00E3232D">
        <w:rPr>
          <w:rFonts w:ascii="Book Antiqua" w:hAnsi="Book Antiqua"/>
        </w:rPr>
        <w:t>The results of the study have provided a concrete conclusion that may be drawn as regards the demand for fuelwood in the Tamale Metropolitan area.</w:t>
      </w:r>
    </w:p>
    <w:p w14:paraId="4E2BF61A" w14:textId="77777777" w:rsidR="00DB0F50" w:rsidRDefault="00FC3AF7" w:rsidP="006F685D">
      <w:pPr>
        <w:jc w:val="both"/>
        <w:rPr>
          <w:rFonts w:ascii="Book Antiqua" w:hAnsi="Book Antiqua"/>
        </w:rPr>
      </w:pPr>
      <w:r w:rsidRPr="00E3232D">
        <w:rPr>
          <w:rFonts w:ascii="Book Antiqua" w:hAnsi="Book Antiqua"/>
        </w:rPr>
        <w:t>With regard to the importance of fuelwood to the people, many of the individual respondents have considered the demand for fuelwood as a safety net that serves to reduce their livelihood vulnerability. This is because, fuelwood is a source of trade to the people as they do not pay to harvest the resource except the cost of access. This serves to alleviate the poverty that perpetuates the society and hence, the demand for fuelwood is seen to be very important.</w:t>
      </w:r>
    </w:p>
    <w:p w14:paraId="078D2442" w14:textId="77777777" w:rsidR="00DB0F50" w:rsidRDefault="00FC3AF7" w:rsidP="006F685D">
      <w:pPr>
        <w:jc w:val="both"/>
        <w:rPr>
          <w:rFonts w:ascii="Book Antiqua" w:hAnsi="Book Antiqua"/>
        </w:rPr>
      </w:pPr>
      <w:r w:rsidRPr="00E3232D">
        <w:rPr>
          <w:rFonts w:ascii="Book Antiqua" w:hAnsi="Book Antiqua"/>
        </w:rPr>
        <w:t>The people in this area have not complied with a mere call that once you cut a tree, you plant one to safeguard the environment. This issue broadly embraced sustainable use of forest resources which has not received considerable attention. Sustainable use of forest resources in the case of demand for fuelwood in the Tamale Metropolitan area is really under serious attack and this may be widely attributable to lack of education on environmental issues or ignorance.</w:t>
      </w:r>
    </w:p>
    <w:p w14:paraId="4CB49F2A" w14:textId="77777777" w:rsidR="00FC3AF7" w:rsidRPr="00E3232D" w:rsidRDefault="00FC3AF7" w:rsidP="006F685D">
      <w:pPr>
        <w:jc w:val="both"/>
        <w:rPr>
          <w:rFonts w:ascii="Book Antiqua" w:hAnsi="Book Antiqua"/>
        </w:rPr>
      </w:pPr>
      <w:r w:rsidRPr="00E3232D">
        <w:rPr>
          <w:rFonts w:ascii="Book Antiqua" w:hAnsi="Book Antiqua"/>
        </w:rPr>
        <w:t>In the light of the results obtained and the conclusion drawn, the following recommendations are made to the government, international development organization, users of fuelwood in the area, non-governmental organizations and policymakers and future researchers.</w:t>
      </w:r>
    </w:p>
    <w:p w14:paraId="484AE806" w14:textId="77777777" w:rsidR="00FC3AF7" w:rsidRPr="00E3232D" w:rsidRDefault="00FC3AF7" w:rsidP="006F685D">
      <w:pPr>
        <w:jc w:val="both"/>
        <w:rPr>
          <w:rFonts w:ascii="Book Antiqua" w:hAnsi="Book Antiqua"/>
        </w:rPr>
      </w:pPr>
      <w:r w:rsidRPr="00E3232D">
        <w:rPr>
          <w:rFonts w:ascii="Book Antiqua" w:hAnsi="Book Antiqua"/>
        </w:rPr>
        <w:t>The government needs to embark on public education about the dangers associated with excessive demand for fuelwood- the environment and future generations. If the government is able to articulate its views well, the people may see reason.</w:t>
      </w:r>
    </w:p>
    <w:p w14:paraId="7CB3F8E1" w14:textId="77777777" w:rsidR="00FC3AF7" w:rsidRPr="00E3232D" w:rsidRDefault="00FC3AF7" w:rsidP="006F685D">
      <w:pPr>
        <w:jc w:val="both"/>
        <w:rPr>
          <w:rFonts w:ascii="Book Antiqua" w:hAnsi="Book Antiqua"/>
        </w:rPr>
      </w:pPr>
      <w:r w:rsidRPr="00E3232D">
        <w:rPr>
          <w:rFonts w:ascii="Book Antiqua" w:hAnsi="Book Antiqua"/>
        </w:rPr>
        <w:t>Secondly, non-governmental organizations could help introduce    interventions like providing other job opportunities for the people who could have enough money to go in for other fuel alternative like L.P. Gas and energy saving stoves. In addition, government could make this L.P. Gas more cheaply by subsidizing the product. The government could adopt fuel saving stoves which are piloted by new energy and other non-governmental organization. Finally, laws could be enacted and strictly enforced for compliance to safeguard the environment.</w:t>
      </w:r>
    </w:p>
    <w:p w14:paraId="1F5FD39D" w14:textId="77777777" w:rsidR="00FC3AF7" w:rsidRPr="00E3232D" w:rsidRDefault="00FC3AF7" w:rsidP="006F685D">
      <w:pPr>
        <w:jc w:val="both"/>
        <w:rPr>
          <w:rFonts w:ascii="Book Antiqua" w:hAnsi="Book Antiqua"/>
        </w:rPr>
      </w:pPr>
      <w:r w:rsidRPr="00E3232D">
        <w:rPr>
          <w:rFonts w:ascii="Book Antiqua" w:hAnsi="Book Antiqua"/>
        </w:rPr>
        <w:t>The international development organization responsible for green revolution could assist by proving funding either to help alleviate the poverty situation in the area and also assist in afforestation programmes. To the users of fuelwood in this area, a conscious effort should be made to combine the use of fuelwood with other fuelwood alternatives like gas to complement each other.  Hence, the dependence rate on fuelwood could reduce to ensure sustainable use of</w:t>
      </w:r>
      <w:r w:rsidR="00210728">
        <w:rPr>
          <w:rFonts w:ascii="Book Antiqua" w:hAnsi="Book Antiqua"/>
        </w:rPr>
        <w:t xml:space="preserve"> forest resources. Furthermore,</w:t>
      </w:r>
      <w:r w:rsidR="005E0C8B">
        <w:rPr>
          <w:rFonts w:ascii="Book Antiqua" w:hAnsi="Book Antiqua"/>
        </w:rPr>
        <w:t xml:space="preserve">non-government </w:t>
      </w:r>
      <w:r w:rsidRPr="00E3232D">
        <w:rPr>
          <w:rFonts w:ascii="Book Antiqua" w:hAnsi="Book Antiqua"/>
        </w:rPr>
        <w:t>organizations should step up more prudent measures and also provide support to the people to reduce their dependence on fuelwood as the only energy source. Policymakers should ensure the reorganization of the institutional framework, adaptation of new legal arrangements for access to fuelwood resources. They should also make a follow up by monitoring and evaluating the legal system put in place and also provides an up to date data on the users of fuelwood in this area.</w:t>
      </w:r>
    </w:p>
    <w:p w14:paraId="3A45FBE3" w14:textId="77777777" w:rsidR="00BB7F15" w:rsidRDefault="00BB7F15" w:rsidP="006F685D">
      <w:pPr>
        <w:jc w:val="both"/>
        <w:rPr>
          <w:rFonts w:ascii="Book Antiqua" w:hAnsi="Book Antiqua"/>
        </w:rPr>
      </w:pPr>
    </w:p>
    <w:p w14:paraId="29DD02BE" w14:textId="77777777" w:rsidR="00FC3AF7" w:rsidRPr="00E3232D" w:rsidRDefault="00FC3AF7" w:rsidP="006F685D">
      <w:pPr>
        <w:jc w:val="both"/>
        <w:rPr>
          <w:rFonts w:ascii="Book Antiqua" w:hAnsi="Book Antiqua"/>
        </w:rPr>
      </w:pPr>
      <w:r w:rsidRPr="00E3232D">
        <w:rPr>
          <w:rFonts w:ascii="Book Antiqua" w:hAnsi="Book Antiqua"/>
        </w:rPr>
        <w:t>Lastly, experience has shown that, fuel wood is more of traditional and cultutral practices and to ensure sustainable development, communities must be involved actively regarding and decision as to harvesting and usage. To  future researchers who might be studying on similar issue in the study area, this research is not exhaustive and it only laid a foundation on the assessment of the demand for fuelwood and in the Tamale.</w:t>
      </w:r>
    </w:p>
    <w:p w14:paraId="1EBEED3F" w14:textId="77777777" w:rsidR="00FC3AF7" w:rsidRPr="00E3232D" w:rsidRDefault="00FC3AF7" w:rsidP="006F685D">
      <w:pPr>
        <w:jc w:val="both"/>
        <w:rPr>
          <w:rFonts w:ascii="Book Antiqua" w:hAnsi="Book Antiqua"/>
        </w:rPr>
        <w:sectPr w:rsidR="00FC3AF7" w:rsidRPr="00E3232D" w:rsidSect="00554C9B">
          <w:type w:val="continuous"/>
          <w:pgSz w:w="11907" w:h="16839" w:code="9"/>
          <w:pgMar w:top="1440" w:right="1377" w:bottom="1440" w:left="1440" w:header="708" w:footer="708" w:gutter="0"/>
          <w:cols w:num="2" w:space="720"/>
          <w:docGrid w:linePitch="360"/>
        </w:sectPr>
      </w:pPr>
    </w:p>
    <w:p w14:paraId="1DA04289" w14:textId="77777777" w:rsidR="00210728" w:rsidRDefault="00210728" w:rsidP="006F685D">
      <w:pPr>
        <w:jc w:val="both"/>
        <w:rPr>
          <w:rFonts w:ascii="Book Antiqua" w:hAnsi="Book Antiqua"/>
          <w:b/>
        </w:rPr>
        <w:sectPr w:rsidR="00210728" w:rsidSect="008F6BC9">
          <w:type w:val="continuous"/>
          <w:pgSz w:w="11907" w:h="16839" w:code="9"/>
          <w:pgMar w:top="1440" w:right="1440" w:bottom="1440" w:left="1440" w:header="708" w:footer="708" w:gutter="0"/>
          <w:cols w:num="2" w:space="720"/>
          <w:docGrid w:linePitch="360"/>
        </w:sectPr>
      </w:pPr>
    </w:p>
    <w:p w14:paraId="28254189" w14:textId="77777777" w:rsidR="00FC3AF7" w:rsidRPr="00E3232D" w:rsidRDefault="00FC3AF7" w:rsidP="006F685D">
      <w:pPr>
        <w:jc w:val="both"/>
        <w:rPr>
          <w:rFonts w:ascii="Book Antiqua" w:hAnsi="Book Antiqua"/>
          <w:b/>
        </w:rPr>
      </w:pPr>
      <w:r w:rsidRPr="006F685D">
        <w:rPr>
          <w:rFonts w:ascii="Book Antiqua" w:hAnsi="Book Antiqua"/>
          <w:b/>
          <w:sz w:val="26"/>
        </w:rPr>
        <w:t>References</w:t>
      </w:r>
    </w:p>
    <w:p w14:paraId="384FEE5A" w14:textId="77777777" w:rsidR="00FC3AF7" w:rsidRPr="00E3232D" w:rsidRDefault="00FC3AF7" w:rsidP="006F685D">
      <w:pPr>
        <w:ind w:left="2268" w:hanging="2268"/>
        <w:jc w:val="both"/>
        <w:rPr>
          <w:rFonts w:ascii="Book Antiqua" w:hAnsi="Book Antiqua"/>
        </w:rPr>
        <w:sectPr w:rsidR="00FC3AF7" w:rsidRPr="00E3232D" w:rsidSect="008F6BC9">
          <w:type w:val="continuous"/>
          <w:pgSz w:w="11907" w:h="16839" w:code="9"/>
          <w:pgMar w:top="1440" w:right="1440" w:bottom="1440" w:left="1440" w:header="708" w:footer="708" w:gutter="0"/>
          <w:cols w:num="2" w:space="720"/>
          <w:docGrid w:linePitch="360"/>
        </w:sectPr>
      </w:pPr>
    </w:p>
    <w:p w14:paraId="6D77B468" w14:textId="77777777" w:rsidR="00FC3AF7" w:rsidRPr="00E3232D" w:rsidRDefault="00FC3AF7" w:rsidP="006F685D">
      <w:pPr>
        <w:ind w:left="630" w:hanging="630"/>
        <w:jc w:val="both"/>
        <w:rPr>
          <w:rFonts w:ascii="Book Antiqua" w:hAnsi="Book Antiqua"/>
          <w:b/>
        </w:rPr>
      </w:pPr>
      <w:r w:rsidRPr="00E3232D">
        <w:rPr>
          <w:rFonts w:ascii="Book Antiqua" w:hAnsi="Book Antiqua"/>
        </w:rPr>
        <w:t>Brouwe</w:t>
      </w:r>
      <w:r w:rsidRPr="00E3232D">
        <w:rPr>
          <w:rFonts w:ascii="Book Antiqua" w:hAnsi="Book Antiqua"/>
          <w:spacing w:val="-13"/>
        </w:rPr>
        <w:t>r</w:t>
      </w:r>
      <w:r w:rsidRPr="00E3232D">
        <w:rPr>
          <w:rFonts w:ascii="Book Antiqua" w:hAnsi="Book Antiqua"/>
        </w:rPr>
        <w:t xml:space="preserve">, </w:t>
      </w:r>
      <w:r w:rsidRPr="00E3232D">
        <w:rPr>
          <w:rFonts w:ascii="Book Antiqua" w:hAnsi="Book Antiqua"/>
          <w:spacing w:val="3"/>
        </w:rPr>
        <w:t>R</w:t>
      </w:r>
      <w:r w:rsidRPr="00E3232D">
        <w:rPr>
          <w:rFonts w:ascii="Book Antiqua" w:hAnsi="Book Antiqua"/>
        </w:rPr>
        <w:t>.</w:t>
      </w:r>
      <w:r w:rsidRPr="00E3232D">
        <w:rPr>
          <w:rFonts w:ascii="Book Antiqua" w:hAnsi="Book Antiqua"/>
          <w:spacing w:val="19"/>
        </w:rPr>
        <w:t xml:space="preserve"> </w:t>
      </w:r>
      <w:r w:rsidRPr="00E3232D">
        <w:rPr>
          <w:rFonts w:ascii="Book Antiqua" w:hAnsi="Book Antiqua"/>
        </w:rPr>
        <w:t>&amp;</w:t>
      </w:r>
      <w:r w:rsidRPr="00E3232D">
        <w:rPr>
          <w:rFonts w:ascii="Book Antiqua" w:hAnsi="Book Antiqua"/>
          <w:spacing w:val="16"/>
        </w:rPr>
        <w:t xml:space="preserve"> </w:t>
      </w:r>
      <w:r w:rsidRPr="00E3232D">
        <w:rPr>
          <w:rFonts w:ascii="Book Antiqua" w:hAnsi="Book Antiqua"/>
          <w:spacing w:val="-13"/>
        </w:rPr>
        <w:t>F</w:t>
      </w:r>
      <w:r w:rsidRPr="00E3232D">
        <w:rPr>
          <w:rFonts w:ascii="Book Antiqua" w:hAnsi="Book Antiqua"/>
        </w:rPr>
        <w:t>alcã</w:t>
      </w:r>
      <w:r w:rsidRPr="00E3232D">
        <w:rPr>
          <w:rFonts w:ascii="Book Antiqua" w:hAnsi="Book Antiqua"/>
          <w:spacing w:val="-10"/>
        </w:rPr>
        <w:t>o</w:t>
      </w:r>
      <w:r w:rsidRPr="00E3232D">
        <w:rPr>
          <w:rFonts w:ascii="Book Antiqua" w:hAnsi="Book Antiqua"/>
        </w:rPr>
        <w:t xml:space="preserve">, </w:t>
      </w:r>
      <w:r w:rsidRPr="00E3232D">
        <w:rPr>
          <w:rFonts w:ascii="Book Antiqua" w:hAnsi="Book Antiqua"/>
          <w:spacing w:val="1"/>
        </w:rPr>
        <w:t>M.P</w:t>
      </w:r>
      <w:r w:rsidRPr="00E3232D">
        <w:rPr>
          <w:rFonts w:ascii="Book Antiqua" w:hAnsi="Book Antiqua"/>
        </w:rPr>
        <w:t>.</w:t>
      </w:r>
      <w:r w:rsidRPr="00E3232D">
        <w:rPr>
          <w:rFonts w:ascii="Book Antiqua" w:hAnsi="Book Antiqua"/>
          <w:spacing w:val="23"/>
        </w:rPr>
        <w:t xml:space="preserve"> (</w:t>
      </w:r>
      <w:r w:rsidRPr="00E3232D">
        <w:rPr>
          <w:rFonts w:ascii="Book Antiqua" w:hAnsi="Book Antiqua"/>
        </w:rPr>
        <w:t>2004).</w:t>
      </w:r>
      <w:r w:rsidRPr="00E3232D">
        <w:rPr>
          <w:rFonts w:ascii="Book Antiqua" w:hAnsi="Book Antiqua"/>
          <w:b/>
          <w:spacing w:val="-9"/>
        </w:rPr>
        <w:t>W</w:t>
      </w:r>
      <w:r w:rsidRPr="00E3232D">
        <w:rPr>
          <w:rFonts w:ascii="Book Antiqua" w:hAnsi="Book Antiqua"/>
          <w:b/>
        </w:rPr>
        <w:t>ood fuel</w:t>
      </w:r>
      <w:r w:rsidRPr="00E3232D">
        <w:rPr>
          <w:rFonts w:ascii="Book Antiqua" w:hAnsi="Book Antiqua"/>
          <w:b/>
          <w:spacing w:val="16"/>
        </w:rPr>
        <w:t xml:space="preserve"> </w:t>
      </w:r>
      <w:r w:rsidRPr="00E3232D">
        <w:rPr>
          <w:rFonts w:ascii="Book Antiqua" w:hAnsi="Book Antiqua"/>
          <w:b/>
          <w:w w:val="107"/>
        </w:rPr>
        <w:t>consump</w:t>
      </w:r>
      <w:r w:rsidRPr="00E3232D">
        <w:rPr>
          <w:rFonts w:ascii="Book Antiqua" w:hAnsi="Book Antiqua"/>
          <w:b/>
        </w:rPr>
        <w:t>tion</w:t>
      </w:r>
      <w:r w:rsidRPr="00E3232D">
        <w:rPr>
          <w:rFonts w:ascii="Book Antiqua" w:hAnsi="Book Antiqua"/>
          <w:b/>
          <w:spacing w:val="35"/>
        </w:rPr>
        <w:t xml:space="preserve"> </w:t>
      </w:r>
      <w:r w:rsidRPr="00E3232D">
        <w:rPr>
          <w:rFonts w:ascii="Book Antiqua" w:hAnsi="Book Antiqua"/>
          <w:b/>
        </w:rPr>
        <w:t>in</w:t>
      </w:r>
      <w:r w:rsidRPr="00E3232D">
        <w:rPr>
          <w:rFonts w:ascii="Book Antiqua" w:hAnsi="Book Antiqua"/>
          <w:b/>
          <w:spacing w:val="27"/>
        </w:rPr>
        <w:t xml:space="preserve"> </w:t>
      </w:r>
      <w:r w:rsidRPr="00E3232D">
        <w:rPr>
          <w:rFonts w:ascii="Book Antiqua" w:hAnsi="Book Antiqua"/>
          <w:b/>
        </w:rPr>
        <w:t>Maput</w:t>
      </w:r>
      <w:r w:rsidRPr="00E3232D">
        <w:rPr>
          <w:rFonts w:ascii="Book Antiqua" w:hAnsi="Book Antiqua"/>
          <w:b/>
          <w:spacing w:val="-11"/>
        </w:rPr>
        <w:t>o</w:t>
      </w:r>
      <w:r w:rsidRPr="00E3232D">
        <w:rPr>
          <w:rFonts w:ascii="Book Antiqua" w:hAnsi="Book Antiqua"/>
          <w:b/>
        </w:rPr>
        <w:t xml:space="preserve">, </w:t>
      </w:r>
      <w:r w:rsidRPr="00E3232D">
        <w:rPr>
          <w:rFonts w:ascii="Book Antiqua" w:hAnsi="Book Antiqua"/>
          <w:b/>
          <w:spacing w:val="11"/>
        </w:rPr>
        <w:t>Mozambique</w:t>
      </w:r>
      <w:r w:rsidRPr="00E3232D">
        <w:rPr>
          <w:rFonts w:ascii="Book Antiqua" w:hAnsi="Book Antiqua"/>
          <w:i/>
        </w:rPr>
        <w:t>.</w:t>
      </w:r>
      <w:r w:rsidRPr="00E3232D">
        <w:rPr>
          <w:rFonts w:ascii="Book Antiqua" w:hAnsi="Book Antiqua"/>
        </w:rPr>
        <w:t xml:space="preserve"> </w:t>
      </w:r>
      <w:r w:rsidRPr="00E3232D">
        <w:rPr>
          <w:rFonts w:ascii="Book Antiqua" w:hAnsi="Book Antiqua"/>
          <w:spacing w:val="18"/>
        </w:rPr>
        <w:t xml:space="preserve">             </w:t>
      </w:r>
      <w:r w:rsidRPr="00E3232D">
        <w:rPr>
          <w:rFonts w:ascii="Book Antiqua" w:hAnsi="Book Antiqua"/>
          <w:i/>
        </w:rPr>
        <w:t>Biomass</w:t>
      </w:r>
      <w:r w:rsidRPr="00E3232D">
        <w:rPr>
          <w:rFonts w:ascii="Book Antiqua" w:hAnsi="Book Antiqua"/>
          <w:spacing w:val="36"/>
        </w:rPr>
        <w:t xml:space="preserve"> </w:t>
      </w:r>
      <w:r w:rsidRPr="00E3232D">
        <w:rPr>
          <w:rFonts w:ascii="Book Antiqua" w:hAnsi="Book Antiqua"/>
        </w:rPr>
        <w:t>&amp;</w:t>
      </w:r>
      <w:r w:rsidRPr="00E3232D">
        <w:rPr>
          <w:rFonts w:ascii="Book Antiqua" w:hAnsi="Book Antiqua"/>
          <w:spacing w:val="23"/>
        </w:rPr>
        <w:t xml:space="preserve"> </w:t>
      </w:r>
      <w:r w:rsidRPr="00E3232D">
        <w:rPr>
          <w:rFonts w:ascii="Book Antiqua" w:hAnsi="Book Antiqua"/>
          <w:i/>
          <w:w w:val="105"/>
        </w:rPr>
        <w:t>Bioene</w:t>
      </w:r>
      <w:r w:rsidRPr="00E3232D">
        <w:rPr>
          <w:rFonts w:ascii="Book Antiqua" w:hAnsi="Book Antiqua"/>
          <w:i/>
          <w:spacing w:val="-5"/>
          <w:w w:val="105"/>
        </w:rPr>
        <w:t>r</w:t>
      </w:r>
      <w:r w:rsidRPr="00E3232D">
        <w:rPr>
          <w:rFonts w:ascii="Book Antiqua" w:hAnsi="Book Antiqua"/>
          <w:i/>
          <w:w w:val="98"/>
        </w:rPr>
        <w:t>gy</w:t>
      </w:r>
      <w:r w:rsidRPr="00E3232D">
        <w:rPr>
          <w:rFonts w:ascii="Book Antiqua" w:hAnsi="Book Antiqua"/>
        </w:rPr>
        <w:t xml:space="preserve"> 27:</w:t>
      </w:r>
      <w:r w:rsidRPr="00E3232D">
        <w:rPr>
          <w:rFonts w:ascii="Book Antiqua" w:hAnsi="Book Antiqua"/>
          <w:spacing w:val="25"/>
        </w:rPr>
        <w:t xml:space="preserve"> </w:t>
      </w:r>
      <w:r w:rsidRPr="00E3232D">
        <w:rPr>
          <w:rFonts w:ascii="Book Antiqua" w:hAnsi="Book Antiqua"/>
          <w:w w:val="108"/>
        </w:rPr>
        <w:t>233-245.</w:t>
      </w:r>
    </w:p>
    <w:p w14:paraId="2450DF16" w14:textId="77777777" w:rsidR="00FC3AF7" w:rsidRPr="00E3232D" w:rsidRDefault="00FC3AF7" w:rsidP="006F685D">
      <w:pPr>
        <w:ind w:left="630" w:hanging="630"/>
        <w:jc w:val="both"/>
        <w:rPr>
          <w:rFonts w:ascii="Book Antiqua" w:hAnsi="Book Antiqua"/>
        </w:rPr>
      </w:pPr>
      <w:r w:rsidRPr="00E3232D">
        <w:rPr>
          <w:rFonts w:ascii="Book Antiqua" w:hAnsi="Book Antiqua"/>
        </w:rPr>
        <w:t>Cho</w:t>
      </w:r>
      <w:r w:rsidRPr="00E3232D">
        <w:rPr>
          <w:rFonts w:ascii="Book Antiqua" w:hAnsi="Book Antiqua"/>
          <w:spacing w:val="-1"/>
        </w:rPr>
        <w:t>e</w:t>
      </w:r>
      <w:r w:rsidRPr="00E3232D">
        <w:rPr>
          <w:rFonts w:ascii="Book Antiqua" w:hAnsi="Book Antiqua"/>
        </w:rPr>
        <w:t>, K.,</w:t>
      </w:r>
      <w:r w:rsidRPr="00E3232D">
        <w:rPr>
          <w:rFonts w:ascii="Book Antiqua" w:hAnsi="Book Antiqua"/>
          <w:spacing w:val="1"/>
        </w:rPr>
        <w:t xml:space="preserve"> </w:t>
      </w:r>
      <w:r w:rsidRPr="00E3232D">
        <w:rPr>
          <w:rFonts w:ascii="Book Antiqua" w:hAnsi="Book Antiqua"/>
        </w:rPr>
        <w:t>D. Whittington and</w:t>
      </w:r>
      <w:r w:rsidRPr="00E3232D">
        <w:rPr>
          <w:rFonts w:ascii="Book Antiqua" w:hAnsi="Book Antiqua"/>
          <w:spacing w:val="1"/>
        </w:rPr>
        <w:t xml:space="preserve"> </w:t>
      </w:r>
      <w:r w:rsidRPr="00E3232D">
        <w:rPr>
          <w:rFonts w:ascii="Book Antiqua" w:hAnsi="Book Antiqua"/>
        </w:rPr>
        <w:t>D.</w:t>
      </w:r>
      <w:r w:rsidRPr="00E3232D">
        <w:rPr>
          <w:rFonts w:ascii="Book Antiqua" w:hAnsi="Book Antiqua"/>
          <w:spacing w:val="1"/>
        </w:rPr>
        <w:t xml:space="preserve"> </w:t>
      </w:r>
      <w:r w:rsidRPr="00E3232D">
        <w:rPr>
          <w:rFonts w:ascii="Book Antiqua" w:hAnsi="Book Antiqua"/>
        </w:rPr>
        <w:t>L</w:t>
      </w:r>
      <w:r w:rsidRPr="00E3232D">
        <w:rPr>
          <w:rFonts w:ascii="Book Antiqua" w:hAnsi="Book Antiqua"/>
          <w:spacing w:val="-1"/>
        </w:rPr>
        <w:t>a</w:t>
      </w:r>
      <w:r w:rsidRPr="00E3232D">
        <w:rPr>
          <w:rFonts w:ascii="Book Antiqua" w:hAnsi="Book Antiqua"/>
        </w:rPr>
        <w:t>uria</w:t>
      </w:r>
      <w:r w:rsidRPr="00E3232D">
        <w:rPr>
          <w:rFonts w:ascii="Book Antiqua" w:hAnsi="Book Antiqua"/>
          <w:spacing w:val="1"/>
        </w:rPr>
        <w:t xml:space="preserve"> </w:t>
      </w:r>
      <w:r w:rsidRPr="00E3232D">
        <w:rPr>
          <w:rFonts w:ascii="Book Antiqua" w:hAnsi="Book Antiqua"/>
        </w:rPr>
        <w:t>(1996)</w:t>
      </w:r>
      <w:r w:rsidRPr="00E3232D">
        <w:rPr>
          <w:rFonts w:ascii="Book Antiqua" w:hAnsi="Book Antiqua"/>
          <w:spacing w:val="1"/>
        </w:rPr>
        <w:t xml:space="preserve"> </w:t>
      </w:r>
      <w:r w:rsidRPr="00E3232D">
        <w:rPr>
          <w:rFonts w:ascii="Book Antiqua" w:hAnsi="Book Antiqua"/>
          <w:spacing w:val="-1"/>
        </w:rPr>
        <w:t>“</w:t>
      </w:r>
      <w:r w:rsidRPr="00E3232D">
        <w:rPr>
          <w:rFonts w:ascii="Book Antiqua" w:hAnsi="Book Antiqua"/>
          <w:b/>
        </w:rPr>
        <w:t>The</w:t>
      </w:r>
      <w:r w:rsidRPr="00E3232D">
        <w:rPr>
          <w:rFonts w:ascii="Book Antiqua" w:hAnsi="Book Antiqua"/>
          <w:b/>
          <w:spacing w:val="1"/>
        </w:rPr>
        <w:t xml:space="preserve"> </w:t>
      </w:r>
      <w:r w:rsidRPr="00E3232D">
        <w:rPr>
          <w:rFonts w:ascii="Book Antiqua" w:hAnsi="Book Antiqua"/>
          <w:b/>
        </w:rPr>
        <w:t>Econo</w:t>
      </w:r>
      <w:r w:rsidRPr="00E3232D">
        <w:rPr>
          <w:rFonts w:ascii="Book Antiqua" w:hAnsi="Book Antiqua"/>
          <w:b/>
          <w:spacing w:val="-2"/>
        </w:rPr>
        <w:t>m</w:t>
      </w:r>
      <w:r w:rsidRPr="00E3232D">
        <w:rPr>
          <w:rFonts w:ascii="Book Antiqua" w:hAnsi="Book Antiqua"/>
          <w:b/>
        </w:rPr>
        <w:t>ic</w:t>
      </w:r>
      <w:r w:rsidRPr="00E3232D">
        <w:rPr>
          <w:rFonts w:ascii="Book Antiqua" w:hAnsi="Book Antiqua"/>
          <w:b/>
          <w:spacing w:val="3"/>
        </w:rPr>
        <w:t xml:space="preserve"> </w:t>
      </w:r>
      <w:r w:rsidRPr="00E3232D">
        <w:rPr>
          <w:rFonts w:ascii="Book Antiqua" w:hAnsi="Book Antiqua"/>
          <w:b/>
        </w:rPr>
        <w:t>Ben</w:t>
      </w:r>
      <w:r w:rsidRPr="00E3232D">
        <w:rPr>
          <w:rFonts w:ascii="Book Antiqua" w:hAnsi="Book Antiqua"/>
          <w:b/>
          <w:spacing w:val="-2"/>
        </w:rPr>
        <w:t>e</w:t>
      </w:r>
      <w:r w:rsidRPr="00E3232D">
        <w:rPr>
          <w:rFonts w:ascii="Book Antiqua" w:hAnsi="Book Antiqua"/>
          <w:b/>
        </w:rPr>
        <w:t>fits, of Surface Water</w:t>
      </w:r>
      <w:r w:rsidRPr="00E3232D">
        <w:rPr>
          <w:rFonts w:ascii="Book Antiqua" w:hAnsi="Book Antiqua"/>
          <w:b/>
          <w:spacing w:val="1"/>
        </w:rPr>
        <w:t xml:space="preserve"> </w:t>
      </w:r>
      <w:r w:rsidRPr="00E3232D">
        <w:rPr>
          <w:rFonts w:ascii="Book Antiqua" w:hAnsi="Book Antiqua"/>
          <w:b/>
        </w:rPr>
        <w:t>Quality I</w:t>
      </w:r>
      <w:r w:rsidRPr="00E3232D">
        <w:rPr>
          <w:rFonts w:ascii="Book Antiqua" w:hAnsi="Book Antiqua"/>
          <w:b/>
          <w:spacing w:val="-2"/>
        </w:rPr>
        <w:t>m</w:t>
      </w:r>
      <w:r w:rsidRPr="00E3232D">
        <w:rPr>
          <w:rFonts w:ascii="Book Antiqua" w:hAnsi="Book Antiqua"/>
          <w:b/>
          <w:spacing w:val="1"/>
        </w:rPr>
        <w:t>p</w:t>
      </w:r>
      <w:r w:rsidRPr="00E3232D">
        <w:rPr>
          <w:rFonts w:ascii="Book Antiqua" w:hAnsi="Book Antiqua"/>
          <w:b/>
        </w:rPr>
        <w:t>r</w:t>
      </w:r>
      <w:r w:rsidRPr="00E3232D">
        <w:rPr>
          <w:rFonts w:ascii="Book Antiqua" w:hAnsi="Book Antiqua"/>
          <w:b/>
          <w:spacing w:val="1"/>
        </w:rPr>
        <w:t>ov</w:t>
      </w:r>
      <w:r w:rsidRPr="00E3232D">
        <w:rPr>
          <w:rFonts w:ascii="Book Antiqua" w:hAnsi="Book Antiqua"/>
          <w:b/>
        </w:rPr>
        <w:t>e</w:t>
      </w:r>
      <w:r w:rsidRPr="00E3232D">
        <w:rPr>
          <w:rFonts w:ascii="Book Antiqua" w:hAnsi="Book Antiqua"/>
          <w:b/>
          <w:spacing w:val="-2"/>
        </w:rPr>
        <w:t>m</w:t>
      </w:r>
      <w:r w:rsidRPr="00E3232D">
        <w:rPr>
          <w:rFonts w:ascii="Book Antiqua" w:hAnsi="Book Antiqua"/>
          <w:b/>
        </w:rPr>
        <w:t>e</w:t>
      </w:r>
      <w:r w:rsidRPr="00E3232D">
        <w:rPr>
          <w:rFonts w:ascii="Book Antiqua" w:hAnsi="Book Antiqua"/>
          <w:b/>
          <w:spacing w:val="1"/>
        </w:rPr>
        <w:t>n</w:t>
      </w:r>
      <w:r w:rsidRPr="00E3232D">
        <w:rPr>
          <w:rFonts w:ascii="Book Antiqua" w:hAnsi="Book Antiqua"/>
          <w:b/>
        </w:rPr>
        <w:t>ts</w:t>
      </w:r>
      <w:r w:rsidRPr="00E3232D">
        <w:rPr>
          <w:rFonts w:ascii="Book Antiqua" w:hAnsi="Book Antiqua"/>
          <w:b/>
          <w:spacing w:val="1"/>
        </w:rPr>
        <w:t xml:space="preserve"> </w:t>
      </w:r>
      <w:r w:rsidRPr="00E3232D">
        <w:rPr>
          <w:rFonts w:ascii="Book Antiqua" w:hAnsi="Book Antiqua"/>
          <w:b/>
        </w:rPr>
        <w:t>in</w:t>
      </w:r>
      <w:r w:rsidRPr="00E3232D">
        <w:rPr>
          <w:rFonts w:ascii="Book Antiqua" w:hAnsi="Book Antiqua"/>
          <w:b/>
          <w:spacing w:val="3"/>
        </w:rPr>
        <w:t xml:space="preserve"> </w:t>
      </w:r>
      <w:r w:rsidRPr="00E3232D">
        <w:rPr>
          <w:rFonts w:ascii="Book Antiqua" w:hAnsi="Book Antiqua"/>
          <w:b/>
        </w:rPr>
        <w:t>De</w:t>
      </w:r>
      <w:r w:rsidRPr="00E3232D">
        <w:rPr>
          <w:rFonts w:ascii="Book Antiqua" w:hAnsi="Book Antiqua"/>
          <w:b/>
          <w:spacing w:val="1"/>
        </w:rPr>
        <w:t>v</w:t>
      </w:r>
      <w:r w:rsidRPr="00E3232D">
        <w:rPr>
          <w:rFonts w:ascii="Book Antiqua" w:hAnsi="Book Antiqua"/>
          <w:b/>
        </w:rPr>
        <w:t>e</w:t>
      </w:r>
      <w:r w:rsidRPr="00E3232D">
        <w:rPr>
          <w:rFonts w:ascii="Book Antiqua" w:hAnsi="Book Antiqua"/>
          <w:b/>
          <w:spacing w:val="-2"/>
        </w:rPr>
        <w:t>l</w:t>
      </w:r>
      <w:r w:rsidRPr="00E3232D">
        <w:rPr>
          <w:rFonts w:ascii="Book Antiqua" w:hAnsi="Book Antiqua"/>
          <w:b/>
          <w:spacing w:val="1"/>
        </w:rPr>
        <w:t>op</w:t>
      </w:r>
      <w:r w:rsidRPr="00E3232D">
        <w:rPr>
          <w:rFonts w:ascii="Book Antiqua" w:hAnsi="Book Antiqua"/>
          <w:b/>
          <w:spacing w:val="-2"/>
        </w:rPr>
        <w:t>i</w:t>
      </w:r>
      <w:r w:rsidRPr="00E3232D">
        <w:rPr>
          <w:rFonts w:ascii="Book Antiqua" w:hAnsi="Book Antiqua"/>
          <w:b/>
          <w:spacing w:val="1"/>
        </w:rPr>
        <w:t>n</w:t>
      </w:r>
      <w:r w:rsidRPr="00E3232D">
        <w:rPr>
          <w:rFonts w:ascii="Book Antiqua" w:hAnsi="Book Antiqua"/>
          <w:b/>
        </w:rPr>
        <w:t>g C</w:t>
      </w:r>
      <w:r w:rsidRPr="00E3232D">
        <w:rPr>
          <w:rFonts w:ascii="Book Antiqua" w:hAnsi="Book Antiqua"/>
          <w:b/>
          <w:spacing w:val="1"/>
        </w:rPr>
        <w:t>o</w:t>
      </w:r>
      <w:r w:rsidRPr="00E3232D">
        <w:rPr>
          <w:rFonts w:ascii="Book Antiqua" w:hAnsi="Book Antiqua"/>
          <w:b/>
        </w:rPr>
        <w:t>u</w:t>
      </w:r>
      <w:r w:rsidRPr="00E3232D">
        <w:rPr>
          <w:rFonts w:ascii="Book Antiqua" w:hAnsi="Book Antiqua"/>
          <w:b/>
          <w:spacing w:val="1"/>
        </w:rPr>
        <w:t>n</w:t>
      </w:r>
      <w:r w:rsidRPr="00E3232D">
        <w:rPr>
          <w:rFonts w:ascii="Book Antiqua" w:hAnsi="Book Antiqua"/>
          <w:b/>
        </w:rPr>
        <w:t>tries</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A</w:t>
      </w:r>
      <w:r w:rsidRPr="00E3232D">
        <w:rPr>
          <w:rFonts w:ascii="Book Antiqua" w:hAnsi="Book Antiqua"/>
          <w:spacing w:val="1"/>
        </w:rPr>
        <w:t xml:space="preserve"> </w:t>
      </w:r>
      <w:r w:rsidRPr="00E3232D">
        <w:rPr>
          <w:rFonts w:ascii="Book Antiqua" w:hAnsi="Book Antiqua"/>
        </w:rPr>
        <w:t>Case</w:t>
      </w:r>
      <w:r w:rsidRPr="00E3232D">
        <w:rPr>
          <w:rFonts w:ascii="Book Antiqua" w:hAnsi="Book Antiqua"/>
          <w:spacing w:val="2"/>
        </w:rPr>
        <w:t xml:space="preserve"> </w:t>
      </w:r>
      <w:r w:rsidRPr="00E3232D">
        <w:rPr>
          <w:rFonts w:ascii="Book Antiqua" w:hAnsi="Book Antiqua"/>
        </w:rPr>
        <w:t>Stu</w:t>
      </w:r>
      <w:r w:rsidRPr="00E3232D">
        <w:rPr>
          <w:rFonts w:ascii="Book Antiqua" w:hAnsi="Book Antiqua"/>
          <w:spacing w:val="1"/>
        </w:rPr>
        <w:t>d</w:t>
      </w:r>
      <w:r w:rsidRPr="00E3232D">
        <w:rPr>
          <w:rFonts w:ascii="Book Antiqua" w:hAnsi="Book Antiqua"/>
        </w:rPr>
        <w:t>y</w:t>
      </w:r>
      <w:r w:rsidRPr="00E3232D">
        <w:rPr>
          <w:rFonts w:ascii="Book Antiqua" w:hAnsi="Book Antiqua"/>
          <w:spacing w:val="1"/>
        </w:rPr>
        <w:t xml:space="preserve"> o</w:t>
      </w:r>
      <w:r w:rsidR="00A23E25">
        <w:rPr>
          <w:rFonts w:ascii="Book Antiqua" w:hAnsi="Book Antiqua"/>
        </w:rPr>
        <w:t xml:space="preserve">f </w:t>
      </w:r>
      <w:r w:rsidRPr="00E3232D">
        <w:rPr>
          <w:rFonts w:ascii="Book Antiqua" w:hAnsi="Book Antiqua"/>
        </w:rPr>
        <w:t>Da</w:t>
      </w:r>
      <w:r w:rsidRPr="00E3232D">
        <w:rPr>
          <w:rFonts w:ascii="Book Antiqua" w:hAnsi="Book Antiqua"/>
          <w:spacing w:val="1"/>
        </w:rPr>
        <w:t>v</w:t>
      </w:r>
      <w:r w:rsidRPr="00E3232D">
        <w:rPr>
          <w:rFonts w:ascii="Book Antiqua" w:hAnsi="Book Antiqua"/>
          <w:spacing w:val="-1"/>
        </w:rPr>
        <w:t>a</w:t>
      </w:r>
      <w:r w:rsidRPr="00E3232D">
        <w:rPr>
          <w:rFonts w:ascii="Book Antiqua" w:hAnsi="Book Antiqua"/>
          <w:spacing w:val="1"/>
        </w:rPr>
        <w:t>o</w:t>
      </w:r>
      <w:r w:rsidRPr="00E3232D">
        <w:rPr>
          <w:rFonts w:ascii="Book Antiqua" w:hAnsi="Book Antiqua"/>
        </w:rPr>
        <w:t>,</w:t>
      </w:r>
      <w:r w:rsidRPr="00E3232D">
        <w:rPr>
          <w:rFonts w:ascii="Book Antiqua" w:hAnsi="Book Antiqua"/>
          <w:spacing w:val="1"/>
        </w:rPr>
        <w:t xml:space="preserve"> </w:t>
      </w:r>
      <w:r w:rsidRPr="00E3232D">
        <w:rPr>
          <w:rFonts w:ascii="Book Antiqua" w:hAnsi="Book Antiqua"/>
        </w:rPr>
        <w:t>P</w:t>
      </w:r>
      <w:r w:rsidRPr="00E3232D">
        <w:rPr>
          <w:rFonts w:ascii="Book Antiqua" w:hAnsi="Book Antiqua"/>
          <w:spacing w:val="1"/>
        </w:rPr>
        <w:t>h</w:t>
      </w:r>
      <w:r w:rsidRPr="00E3232D">
        <w:rPr>
          <w:rFonts w:ascii="Book Antiqua" w:hAnsi="Book Antiqua"/>
        </w:rPr>
        <w:t>ili</w:t>
      </w:r>
      <w:r w:rsidRPr="00E3232D">
        <w:rPr>
          <w:rFonts w:ascii="Book Antiqua" w:hAnsi="Book Antiqua"/>
          <w:spacing w:val="1"/>
        </w:rPr>
        <w:t>p</w:t>
      </w:r>
      <w:r w:rsidRPr="00E3232D">
        <w:rPr>
          <w:rFonts w:ascii="Book Antiqua" w:hAnsi="Book Antiqua"/>
        </w:rPr>
        <w:t>pi</w:t>
      </w:r>
      <w:r w:rsidRPr="00E3232D">
        <w:rPr>
          <w:rFonts w:ascii="Book Antiqua" w:hAnsi="Book Antiqua"/>
          <w:spacing w:val="1"/>
        </w:rPr>
        <w:t>n</w:t>
      </w:r>
      <w:r w:rsidRPr="00E3232D">
        <w:rPr>
          <w:rFonts w:ascii="Book Antiqua" w:hAnsi="Book Antiqua"/>
        </w:rPr>
        <w:t>es”,</w:t>
      </w:r>
      <w:r w:rsidRPr="00E3232D">
        <w:rPr>
          <w:rFonts w:ascii="Book Antiqua" w:hAnsi="Book Antiqua"/>
          <w:spacing w:val="1"/>
        </w:rPr>
        <w:t xml:space="preserve"> </w:t>
      </w:r>
      <w:r w:rsidRPr="00E3232D">
        <w:rPr>
          <w:rFonts w:ascii="Book Antiqua" w:hAnsi="Book Antiqua"/>
          <w:i/>
        </w:rPr>
        <w:t>Land</w:t>
      </w:r>
      <w:r w:rsidRPr="00E3232D">
        <w:rPr>
          <w:rFonts w:ascii="Book Antiqua" w:hAnsi="Book Antiqua"/>
          <w:spacing w:val="1"/>
        </w:rPr>
        <w:t xml:space="preserve"> </w:t>
      </w:r>
      <w:r w:rsidRPr="00E3232D">
        <w:rPr>
          <w:rFonts w:ascii="Book Antiqua" w:hAnsi="Book Antiqua"/>
          <w:i/>
        </w:rPr>
        <w:t>Ec</w:t>
      </w:r>
      <w:r w:rsidRPr="00E3232D">
        <w:rPr>
          <w:rFonts w:ascii="Book Antiqua" w:hAnsi="Book Antiqua"/>
          <w:i/>
          <w:spacing w:val="1"/>
        </w:rPr>
        <w:t>o</w:t>
      </w:r>
      <w:r w:rsidRPr="00E3232D">
        <w:rPr>
          <w:rFonts w:ascii="Book Antiqua" w:hAnsi="Book Antiqua"/>
          <w:i/>
          <w:spacing w:val="-1"/>
        </w:rPr>
        <w:t>n</w:t>
      </w:r>
      <w:r w:rsidRPr="00E3232D">
        <w:rPr>
          <w:rFonts w:ascii="Book Antiqua" w:hAnsi="Book Antiqua"/>
          <w:i/>
          <w:spacing w:val="1"/>
        </w:rPr>
        <w:t>o</w:t>
      </w:r>
      <w:r w:rsidRPr="00E3232D">
        <w:rPr>
          <w:rFonts w:ascii="Book Antiqua" w:hAnsi="Book Antiqua"/>
          <w:i/>
          <w:spacing w:val="-2"/>
        </w:rPr>
        <w:t>m</w:t>
      </w:r>
      <w:r w:rsidRPr="00E3232D">
        <w:rPr>
          <w:rFonts w:ascii="Book Antiqua" w:hAnsi="Book Antiqua"/>
          <w:i/>
        </w:rPr>
        <w:t>ics</w:t>
      </w:r>
      <w:r w:rsidRPr="00E3232D">
        <w:rPr>
          <w:rFonts w:ascii="Book Antiqua" w:hAnsi="Book Antiqua"/>
        </w:rPr>
        <w:t>,</w:t>
      </w:r>
      <w:r w:rsidRPr="00E3232D">
        <w:rPr>
          <w:rFonts w:ascii="Book Antiqua" w:hAnsi="Book Antiqua"/>
          <w:spacing w:val="2"/>
        </w:rPr>
        <w:t xml:space="preserve"> </w:t>
      </w:r>
      <w:r w:rsidRPr="00E3232D">
        <w:rPr>
          <w:rFonts w:ascii="Book Antiqua" w:hAnsi="Book Antiqua"/>
        </w:rPr>
        <w:t>V</w:t>
      </w:r>
      <w:r w:rsidRPr="00E3232D">
        <w:rPr>
          <w:rFonts w:ascii="Book Antiqua" w:hAnsi="Book Antiqua"/>
          <w:spacing w:val="1"/>
        </w:rPr>
        <w:t>o</w:t>
      </w:r>
      <w:r w:rsidRPr="00E3232D">
        <w:rPr>
          <w:rFonts w:ascii="Book Antiqua" w:hAnsi="Book Antiqua"/>
        </w:rPr>
        <w:t>l.</w:t>
      </w:r>
      <w:r w:rsidRPr="00E3232D">
        <w:rPr>
          <w:rFonts w:ascii="Book Antiqua" w:hAnsi="Book Antiqua"/>
          <w:spacing w:val="1"/>
        </w:rPr>
        <w:t xml:space="preserve"> 7</w:t>
      </w:r>
      <w:r w:rsidRPr="00E3232D">
        <w:rPr>
          <w:rFonts w:ascii="Book Antiqua" w:hAnsi="Book Antiqua"/>
        </w:rPr>
        <w:t>2</w:t>
      </w:r>
      <w:r w:rsidRPr="00E3232D">
        <w:rPr>
          <w:rFonts w:ascii="Book Antiqua" w:hAnsi="Book Antiqua"/>
          <w:spacing w:val="1"/>
        </w:rPr>
        <w:t xml:space="preserve"> </w:t>
      </w:r>
      <w:r w:rsidRPr="00E3232D">
        <w:rPr>
          <w:rFonts w:ascii="Book Antiqua" w:hAnsi="Book Antiqua"/>
        </w:rPr>
        <w:t>(</w:t>
      </w:r>
      <w:r w:rsidRPr="00E3232D">
        <w:rPr>
          <w:rFonts w:ascii="Book Antiqua" w:hAnsi="Book Antiqua"/>
          <w:spacing w:val="1"/>
        </w:rPr>
        <w:t>4</w:t>
      </w:r>
      <w:r w:rsidRPr="00E3232D">
        <w:rPr>
          <w:rFonts w:ascii="Book Antiqua" w:hAnsi="Book Antiqua"/>
        </w:rPr>
        <w:t>), p</w:t>
      </w:r>
      <w:r w:rsidRPr="00E3232D">
        <w:rPr>
          <w:rFonts w:ascii="Book Antiqua" w:hAnsi="Book Antiqua"/>
          <w:spacing w:val="-1"/>
        </w:rPr>
        <w:t>p</w:t>
      </w:r>
      <w:r w:rsidRPr="00E3232D">
        <w:rPr>
          <w:rFonts w:ascii="Book Antiqua" w:hAnsi="Book Antiqua"/>
        </w:rPr>
        <w:t>.</w:t>
      </w:r>
      <w:r w:rsidRPr="00E3232D">
        <w:rPr>
          <w:rFonts w:ascii="Book Antiqua" w:hAnsi="Book Antiqua"/>
          <w:spacing w:val="-1"/>
        </w:rPr>
        <w:t>51</w:t>
      </w:r>
      <w:r w:rsidRPr="00E3232D">
        <w:rPr>
          <w:rFonts w:ascii="Book Antiqua" w:hAnsi="Book Antiqua"/>
          <w:spacing w:val="1"/>
        </w:rPr>
        <w:t>9</w:t>
      </w:r>
      <w:r w:rsidRPr="00E3232D">
        <w:rPr>
          <w:rFonts w:ascii="Book Antiqua" w:hAnsi="Book Antiqua"/>
          <w:spacing w:val="-1"/>
        </w:rPr>
        <w:t>-3</w:t>
      </w:r>
      <w:r w:rsidRPr="00E3232D">
        <w:rPr>
          <w:rFonts w:ascii="Book Antiqua" w:hAnsi="Book Antiqua"/>
        </w:rPr>
        <w:t>7.</w:t>
      </w:r>
    </w:p>
    <w:p w14:paraId="4D8B18A5" w14:textId="77777777" w:rsidR="00FC3AF7" w:rsidRPr="00E3232D" w:rsidRDefault="00FC3AF7" w:rsidP="006F685D">
      <w:pPr>
        <w:ind w:left="540" w:hanging="540"/>
        <w:jc w:val="both"/>
        <w:rPr>
          <w:rFonts w:ascii="Book Antiqua" w:hAnsi="Book Antiqua"/>
        </w:rPr>
      </w:pPr>
      <w:r w:rsidRPr="00E3232D">
        <w:rPr>
          <w:rFonts w:ascii="Book Antiqua" w:hAnsi="Book Antiqua"/>
        </w:rPr>
        <w:t>Dupuit, J. (1844). On the Measurement of the Utility of Public Works. Annales des ponts et des Chausses, Second Series, Volume 8; reprinted in MUNBY, D. (ed.). Transport: Selected Readings. Harmonsworth: Penguin Book Ltd., 1968.</w:t>
      </w:r>
    </w:p>
    <w:p w14:paraId="6C3D60FC" w14:textId="77777777" w:rsidR="00FC3AF7" w:rsidRPr="00E3232D" w:rsidRDefault="00FC3AF7" w:rsidP="006F685D">
      <w:pPr>
        <w:jc w:val="both"/>
        <w:rPr>
          <w:rFonts w:ascii="Book Antiqua" w:hAnsi="Book Antiqua"/>
          <w:color w:val="363435"/>
          <w:spacing w:val="2"/>
        </w:rPr>
      </w:pPr>
      <w:r w:rsidRPr="00E3232D">
        <w:rPr>
          <w:rFonts w:ascii="Book Antiqua" w:hAnsi="Book Antiqua"/>
        </w:rPr>
        <w:t xml:space="preserve">E., Ardayfio- Schandorf (1993). </w:t>
      </w:r>
      <w:r w:rsidRPr="00E3232D">
        <w:rPr>
          <w:rFonts w:ascii="Book Antiqua" w:hAnsi="Book Antiqua"/>
          <w:b/>
        </w:rPr>
        <w:t>The Fuel wood/energy crisis in Sub-Saharan Africa</w:t>
      </w:r>
      <w:r w:rsidRPr="00E3232D">
        <w:rPr>
          <w:rFonts w:ascii="Book Antiqua" w:hAnsi="Book Antiqua"/>
          <w:b/>
          <w:i/>
        </w:rPr>
        <w:t>.</w:t>
      </w:r>
    </w:p>
    <w:p w14:paraId="09BE84BC" w14:textId="77777777" w:rsidR="00FC3AF7" w:rsidRPr="00E3232D" w:rsidRDefault="00FC3AF7" w:rsidP="006F685D">
      <w:pPr>
        <w:jc w:val="both"/>
        <w:rPr>
          <w:rFonts w:ascii="Book Antiqua" w:hAnsi="Book Antiqua"/>
        </w:rPr>
      </w:pPr>
      <w:r w:rsidRPr="00E3232D">
        <w:rPr>
          <w:rFonts w:ascii="Book Antiqua" w:hAnsi="Book Antiqua"/>
        </w:rPr>
        <w:t xml:space="preserve">FAO. (1985). </w:t>
      </w:r>
      <w:r w:rsidRPr="00E3232D">
        <w:rPr>
          <w:rFonts w:ascii="Book Antiqua" w:hAnsi="Book Antiqua"/>
          <w:b/>
        </w:rPr>
        <w:t>Understanding tree use in farming systems</w:t>
      </w:r>
      <w:r w:rsidRPr="00E3232D">
        <w:rPr>
          <w:rFonts w:ascii="Book Antiqua" w:hAnsi="Book Antiqua"/>
        </w:rPr>
        <w:t xml:space="preserve">. Workshop on planning Fuel </w:t>
      </w:r>
      <w:r w:rsidRPr="00E3232D">
        <w:rPr>
          <w:rFonts w:ascii="Book Antiqua" w:hAnsi="Book Antiqua"/>
        </w:rPr>
        <w:tab/>
      </w:r>
      <w:r w:rsidRPr="00E3232D">
        <w:rPr>
          <w:rFonts w:ascii="Book Antiqua" w:hAnsi="Book Antiqua"/>
        </w:rPr>
        <w:tab/>
      </w:r>
      <w:r w:rsidRPr="00E3232D">
        <w:rPr>
          <w:rFonts w:ascii="Book Antiqua" w:hAnsi="Book Antiqua"/>
        </w:rPr>
        <w:tab/>
        <w:t xml:space="preserve">               wood Projects with participation of rural people, Malawi.</w:t>
      </w:r>
    </w:p>
    <w:p w14:paraId="6CF6C409" w14:textId="77777777" w:rsidR="00FC3AF7" w:rsidRPr="00E3232D" w:rsidRDefault="00FC3AF7" w:rsidP="006F685D">
      <w:pPr>
        <w:ind w:left="540" w:hanging="540"/>
        <w:jc w:val="both"/>
        <w:rPr>
          <w:rFonts w:ascii="Book Antiqua" w:hAnsi="Book Antiqua"/>
        </w:rPr>
      </w:pPr>
      <w:r w:rsidRPr="00E3232D">
        <w:rPr>
          <w:rFonts w:ascii="Book Antiqua" w:hAnsi="Book Antiqua"/>
        </w:rPr>
        <w:t xml:space="preserve">FAO (2001). </w:t>
      </w:r>
      <w:r w:rsidRPr="00E3232D">
        <w:rPr>
          <w:rFonts w:ascii="Book Antiqua" w:hAnsi="Book Antiqua"/>
          <w:b/>
        </w:rPr>
        <w:t>Forestry Outlook Study for Africa</w:t>
      </w:r>
      <w:r w:rsidRPr="00E3232D">
        <w:rPr>
          <w:rFonts w:ascii="Book Antiqua" w:hAnsi="Book Antiqua"/>
        </w:rPr>
        <w:t>, Country Report Ghana, Forestry Department, Working Paper/12/2001.</w:t>
      </w:r>
    </w:p>
    <w:p w14:paraId="51CB7FC2" w14:textId="77777777" w:rsidR="00FC3AF7" w:rsidRPr="00E3232D" w:rsidRDefault="00FC3AF7" w:rsidP="006F685D">
      <w:pPr>
        <w:ind w:left="630" w:hanging="630"/>
        <w:jc w:val="both"/>
        <w:rPr>
          <w:rFonts w:ascii="Book Antiqua" w:hAnsi="Book Antiqua"/>
        </w:rPr>
      </w:pPr>
      <w:r w:rsidRPr="00E3232D">
        <w:rPr>
          <w:rFonts w:ascii="Book Antiqua" w:hAnsi="Book Antiqua"/>
        </w:rPr>
        <w:t xml:space="preserve">Ghana Statistical Service (2000): </w:t>
      </w:r>
      <w:r w:rsidRPr="00E3232D">
        <w:rPr>
          <w:rFonts w:ascii="Book Antiqua" w:hAnsi="Book Antiqua"/>
          <w:b/>
        </w:rPr>
        <w:t>Population and Housing Census</w:t>
      </w:r>
      <w:r w:rsidRPr="00E3232D">
        <w:rPr>
          <w:rFonts w:ascii="Book Antiqua" w:hAnsi="Book Antiqua"/>
        </w:rPr>
        <w:t xml:space="preserve">. </w:t>
      </w:r>
    </w:p>
    <w:p w14:paraId="06F1244D" w14:textId="77777777" w:rsidR="00FC3AF7" w:rsidRPr="00E3232D" w:rsidRDefault="00FC3AF7" w:rsidP="006F685D">
      <w:pPr>
        <w:ind w:left="540" w:hanging="540"/>
        <w:jc w:val="both"/>
        <w:rPr>
          <w:rFonts w:ascii="Book Antiqua" w:hAnsi="Book Antiqua"/>
          <w:color w:val="000000"/>
          <w:shd w:val="clear" w:color="auto" w:fill="FFFFFF"/>
        </w:rPr>
      </w:pPr>
      <w:r w:rsidRPr="00E3232D">
        <w:rPr>
          <w:rFonts w:ascii="Book Antiqua" w:hAnsi="Book Antiqua"/>
          <w:color w:val="000000"/>
          <w:shd w:val="clear" w:color="auto" w:fill="FFFFFF"/>
        </w:rPr>
        <w:t>Hicks,  J.R. (1939).</w:t>
      </w:r>
      <w:r w:rsidRPr="00E3232D">
        <w:rPr>
          <w:rStyle w:val="apple-converted-space"/>
          <w:rFonts w:ascii="Book Antiqua" w:hAnsi="Book Antiqua"/>
          <w:color w:val="000000"/>
          <w:shd w:val="clear" w:color="auto" w:fill="FFFFFF"/>
        </w:rPr>
        <w:t> </w:t>
      </w:r>
      <w:r w:rsidRPr="00E3232D">
        <w:rPr>
          <w:rFonts w:ascii="Book Antiqua" w:hAnsi="Book Antiqua"/>
          <w:iCs/>
          <w:color w:val="000000"/>
          <w:shd w:val="clear" w:color="auto" w:fill="FFFFFF"/>
        </w:rPr>
        <w:t>Value and Capital: An Inquiry into Some Fundamental Principles of Economic Theory</w:t>
      </w:r>
      <w:r w:rsidRPr="00E3232D">
        <w:rPr>
          <w:rFonts w:ascii="Book Antiqua" w:hAnsi="Book Antiqua"/>
          <w:color w:val="000000"/>
          <w:shd w:val="clear" w:color="auto" w:fill="FFFFFF"/>
        </w:rPr>
        <w:t>. Oxford: Clarendon Press.</w:t>
      </w:r>
    </w:p>
    <w:p w14:paraId="6C0A43E2" w14:textId="77777777" w:rsidR="00FC3AF7" w:rsidRPr="00E3232D" w:rsidRDefault="00FC3AF7" w:rsidP="006F685D">
      <w:pPr>
        <w:ind w:left="810" w:hanging="810"/>
        <w:jc w:val="both"/>
        <w:rPr>
          <w:rFonts w:ascii="Book Antiqua" w:hAnsi="Book Antiqua"/>
        </w:rPr>
      </w:pPr>
      <w:r w:rsidRPr="00E3232D">
        <w:rPr>
          <w:rFonts w:ascii="Book Antiqua" w:hAnsi="Book Antiqua"/>
        </w:rPr>
        <w:t xml:space="preserve">Mathur, A.S. and Sachdeva A.S. (2003). Towards an Economic Approach to Sustainable Forest Development. Working Paper Series, Paper No.2/2003-PC. </w:t>
      </w:r>
    </w:p>
    <w:p w14:paraId="60DB31DB" w14:textId="77777777" w:rsidR="00FC3AF7" w:rsidRPr="00E3232D" w:rsidRDefault="00FC3AF7" w:rsidP="006F685D">
      <w:pPr>
        <w:ind w:left="720" w:hanging="720"/>
        <w:jc w:val="both"/>
        <w:rPr>
          <w:rFonts w:ascii="Book Antiqua" w:hAnsi="Book Antiqua"/>
        </w:rPr>
      </w:pPr>
      <w:r w:rsidRPr="00E3232D">
        <w:rPr>
          <w:rFonts w:ascii="Book Antiqua" w:hAnsi="Book Antiqua"/>
        </w:rPr>
        <w:t xml:space="preserve">Mehmet, P. and Mustafa, F.T. (2006). </w:t>
      </w:r>
      <w:r w:rsidRPr="00E3232D">
        <w:rPr>
          <w:rFonts w:ascii="Book Antiqua" w:hAnsi="Book Antiqua"/>
          <w:b/>
        </w:rPr>
        <w:t>Estimation of Recreational Use Value of Forest Resources by Using Individual Travel Cost and Contingent Valuation Methods</w:t>
      </w:r>
      <w:r w:rsidRPr="00E3232D">
        <w:rPr>
          <w:rFonts w:ascii="Book Antiqua" w:hAnsi="Book Antiqua"/>
        </w:rPr>
        <w:t xml:space="preserve">. </w:t>
      </w:r>
      <w:r w:rsidRPr="00E3232D">
        <w:rPr>
          <w:rFonts w:ascii="Book Antiqua" w:hAnsi="Book Antiqua"/>
          <w:i/>
        </w:rPr>
        <w:t>Journal of Applied Sciences</w:t>
      </w:r>
      <w:r w:rsidRPr="00E3232D">
        <w:rPr>
          <w:rFonts w:ascii="Book Antiqua" w:hAnsi="Book Antiqua"/>
        </w:rPr>
        <w:t xml:space="preserve"> 6 (1):1-5, 2006.</w:t>
      </w:r>
    </w:p>
    <w:p w14:paraId="54148908" w14:textId="77777777" w:rsidR="00FC3AF7" w:rsidRPr="00E3232D" w:rsidRDefault="00FC3AF7" w:rsidP="006F685D">
      <w:pPr>
        <w:ind w:left="630" w:hanging="630"/>
        <w:jc w:val="both"/>
        <w:rPr>
          <w:rFonts w:ascii="Book Antiqua" w:hAnsi="Book Antiqua"/>
        </w:rPr>
      </w:pPr>
      <w:r w:rsidRPr="00E3232D">
        <w:rPr>
          <w:rFonts w:ascii="Book Antiqua" w:hAnsi="Book Antiqua"/>
        </w:rPr>
        <w:t xml:space="preserve">Muyeye, C. (2004). </w:t>
      </w:r>
      <w:r w:rsidRPr="00E3232D">
        <w:rPr>
          <w:rFonts w:ascii="Book Antiqua" w:hAnsi="Book Antiqua"/>
          <w:b/>
        </w:rPr>
        <w:t>Economic Analysis of Urban Fuelwood Demand</w:t>
      </w:r>
      <w:r w:rsidRPr="00E3232D">
        <w:rPr>
          <w:rFonts w:ascii="Book Antiqua" w:hAnsi="Book Antiqua"/>
        </w:rPr>
        <w:t>: the case of Harare in    Zimbabwe.</w:t>
      </w:r>
      <w:r w:rsidRPr="00E3232D">
        <w:rPr>
          <w:rFonts w:ascii="Book Antiqua" w:hAnsi="Book Antiqua"/>
        </w:rPr>
        <w:tab/>
      </w:r>
    </w:p>
    <w:p w14:paraId="32D9D604" w14:textId="77777777" w:rsidR="00FC3AF7" w:rsidRPr="00E3232D" w:rsidRDefault="00FC3AF7" w:rsidP="006F685D">
      <w:pPr>
        <w:ind w:left="630" w:hanging="630"/>
        <w:jc w:val="both"/>
        <w:rPr>
          <w:rFonts w:ascii="Book Antiqua" w:hAnsi="Book Antiqua"/>
        </w:rPr>
      </w:pPr>
      <w:r w:rsidRPr="00E3232D">
        <w:rPr>
          <w:rFonts w:ascii="Book Antiqua" w:hAnsi="Book Antiqua"/>
        </w:rPr>
        <w:t xml:space="preserve">Osei, W.Y.(1993). </w:t>
      </w:r>
      <w:r w:rsidRPr="00E3232D">
        <w:rPr>
          <w:rFonts w:ascii="Book Antiqua" w:hAnsi="Book Antiqua"/>
          <w:b/>
        </w:rPr>
        <w:t>Woodfuel and Deforestation-answers for a sustainable environment</w:t>
      </w:r>
      <w:r w:rsidRPr="00E3232D">
        <w:rPr>
          <w:rFonts w:ascii="Book Antiqua" w:hAnsi="Book Antiqua"/>
        </w:rPr>
        <w:t xml:space="preserve">. </w:t>
      </w:r>
      <w:r w:rsidRPr="00E3232D">
        <w:rPr>
          <w:rFonts w:ascii="Book Antiqua" w:hAnsi="Book Antiqua"/>
          <w:i/>
        </w:rPr>
        <w:t>Journal of Environment Management</w:t>
      </w:r>
      <w:r w:rsidRPr="00E3232D">
        <w:rPr>
          <w:rFonts w:ascii="Book Antiqua" w:hAnsi="Book Antiqua"/>
        </w:rPr>
        <w:t>, 37, 51-52.</w:t>
      </w:r>
    </w:p>
    <w:p w14:paraId="69F436AF" w14:textId="77777777" w:rsidR="00FC3AF7" w:rsidRPr="00E3232D" w:rsidRDefault="00FC3AF7" w:rsidP="006F685D">
      <w:pPr>
        <w:jc w:val="both"/>
        <w:rPr>
          <w:rFonts w:ascii="Book Antiqua" w:hAnsi="Book Antiqua"/>
        </w:rPr>
      </w:pPr>
      <w:r w:rsidRPr="00E3232D">
        <w:rPr>
          <w:rFonts w:ascii="Book Antiqua" w:hAnsi="Book Antiqua"/>
        </w:rPr>
        <w:t xml:space="preserve">Sankhayan, P.L. and O. Hofstad (2001). </w:t>
      </w:r>
      <w:r w:rsidRPr="00E3232D">
        <w:rPr>
          <w:rFonts w:ascii="Book Antiqua" w:hAnsi="Book Antiqua"/>
          <w:b/>
        </w:rPr>
        <w:t>A village-level economic model of land clearing, grazing and wood harvesting for sub-Saharan Africa</w:t>
      </w:r>
      <w:r w:rsidRPr="00E3232D">
        <w:rPr>
          <w:rFonts w:ascii="Book Antiqua" w:hAnsi="Book Antiqua"/>
        </w:rPr>
        <w:t xml:space="preserve">: With a case study in southern Senegal, </w:t>
      </w:r>
      <w:r w:rsidRPr="00E3232D">
        <w:rPr>
          <w:rFonts w:ascii="Book Antiqua" w:hAnsi="Book Antiqua"/>
          <w:i/>
          <w:iCs/>
        </w:rPr>
        <w:t xml:space="preserve">Ecological Economics </w:t>
      </w:r>
      <w:r w:rsidRPr="00E3232D">
        <w:rPr>
          <w:rFonts w:ascii="Book Antiqua" w:hAnsi="Book Antiqua"/>
        </w:rPr>
        <w:t>38 (2001), pp. 423–440.</w:t>
      </w:r>
    </w:p>
    <w:p w14:paraId="58E2D29B" w14:textId="77777777" w:rsidR="00FC3AF7" w:rsidRPr="00E3232D" w:rsidRDefault="00FC3AF7" w:rsidP="006F685D">
      <w:pPr>
        <w:jc w:val="both"/>
        <w:rPr>
          <w:rFonts w:ascii="Book Antiqua" w:hAnsi="Book Antiqua"/>
        </w:rPr>
      </w:pPr>
      <w:r w:rsidRPr="00E3232D">
        <w:rPr>
          <w:rFonts w:ascii="Book Antiqua" w:hAnsi="Book Antiqua"/>
          <w:b/>
        </w:rPr>
        <w:t xml:space="preserve">Savannah Forestry at a Glance </w:t>
      </w:r>
      <w:r w:rsidRPr="00E3232D">
        <w:rPr>
          <w:rFonts w:ascii="Book Antiqua" w:hAnsi="Book Antiqua"/>
        </w:rPr>
        <w:t>(2008). Forestry Commission, Northern Region.</w:t>
      </w:r>
    </w:p>
    <w:p w14:paraId="10B667E4" w14:textId="77777777" w:rsidR="00FC3AF7" w:rsidRPr="00E3232D" w:rsidRDefault="00FC3AF7" w:rsidP="006F685D">
      <w:pPr>
        <w:ind w:left="630" w:hanging="630"/>
        <w:jc w:val="both"/>
        <w:rPr>
          <w:rFonts w:ascii="Book Antiqua" w:hAnsi="Book Antiqua"/>
        </w:rPr>
      </w:pPr>
      <w:r w:rsidRPr="00E3232D">
        <w:rPr>
          <w:rFonts w:ascii="Book Antiqua" w:hAnsi="Book Antiqua"/>
        </w:rPr>
        <w:t>Shackleton, C.M.,</w:t>
      </w:r>
      <w:r w:rsidRPr="00E3232D">
        <w:rPr>
          <w:rFonts w:ascii="Book Antiqua" w:hAnsi="Book Antiqua"/>
          <w:spacing w:val="7"/>
        </w:rPr>
        <w:t xml:space="preserve"> </w:t>
      </w:r>
      <w:r w:rsidRPr="00E3232D">
        <w:rPr>
          <w:rFonts w:ascii="Book Antiqua" w:hAnsi="Book Antiqua"/>
        </w:rPr>
        <w:t>Grund</w:t>
      </w:r>
      <w:r w:rsidRPr="00E3232D">
        <w:rPr>
          <w:rFonts w:ascii="Book Antiqua" w:hAnsi="Book Antiqua"/>
          <w:spacing w:val="-13"/>
        </w:rPr>
        <w:t>y</w:t>
      </w:r>
      <w:r w:rsidRPr="00E3232D">
        <w:rPr>
          <w:rFonts w:ascii="Book Antiqua" w:hAnsi="Book Antiqua"/>
        </w:rPr>
        <w:t>,</w:t>
      </w:r>
      <w:r w:rsidRPr="00E3232D">
        <w:rPr>
          <w:rFonts w:ascii="Book Antiqua" w:hAnsi="Book Antiqua"/>
          <w:spacing w:val="40"/>
        </w:rPr>
        <w:t xml:space="preserve"> </w:t>
      </w:r>
      <w:r w:rsidRPr="00E3232D">
        <w:rPr>
          <w:rFonts w:ascii="Book Antiqua" w:hAnsi="Book Antiqua"/>
        </w:rPr>
        <w:t>I.</w:t>
      </w:r>
      <w:r w:rsidRPr="00E3232D">
        <w:rPr>
          <w:rFonts w:ascii="Book Antiqua" w:hAnsi="Book Antiqua"/>
          <w:spacing w:val="-3"/>
        </w:rPr>
        <w:t xml:space="preserve"> </w:t>
      </w:r>
      <w:r w:rsidRPr="00E3232D">
        <w:rPr>
          <w:rFonts w:ascii="Book Antiqua" w:hAnsi="Book Antiqua"/>
        </w:rPr>
        <w:t xml:space="preserve">&amp; </w:t>
      </w:r>
      <w:r w:rsidRPr="00E3232D">
        <w:rPr>
          <w:rFonts w:ascii="Book Antiqua" w:hAnsi="Book Antiqua"/>
          <w:spacing w:val="-6"/>
        </w:rPr>
        <w:t>W</w:t>
      </w:r>
      <w:r w:rsidRPr="00E3232D">
        <w:rPr>
          <w:rFonts w:ascii="Book Antiqua" w:hAnsi="Book Antiqua"/>
        </w:rPr>
        <w:t>illiams,</w:t>
      </w:r>
      <w:r w:rsidRPr="00E3232D">
        <w:rPr>
          <w:rFonts w:ascii="Book Antiqua" w:hAnsi="Book Antiqua"/>
          <w:spacing w:val="-11"/>
        </w:rPr>
        <w:t xml:space="preserve"> </w:t>
      </w:r>
      <w:r w:rsidRPr="00E3232D">
        <w:rPr>
          <w:rFonts w:ascii="Book Antiqua" w:hAnsi="Book Antiqua"/>
        </w:rPr>
        <w:t>A.</w:t>
      </w:r>
      <w:r w:rsidRPr="00E3232D">
        <w:rPr>
          <w:rFonts w:ascii="Book Antiqua" w:hAnsi="Book Antiqua"/>
          <w:spacing w:val="-6"/>
        </w:rPr>
        <w:t xml:space="preserve"> </w:t>
      </w:r>
      <w:r w:rsidRPr="00E3232D">
        <w:rPr>
          <w:rFonts w:ascii="Book Antiqua" w:hAnsi="Book Antiqua"/>
        </w:rPr>
        <w:t>2004.</w:t>
      </w:r>
      <w:r w:rsidRPr="00E3232D">
        <w:rPr>
          <w:rFonts w:ascii="Book Antiqua" w:hAnsi="Book Antiqua"/>
          <w:spacing w:val="39"/>
        </w:rPr>
        <w:t xml:space="preserve"> </w:t>
      </w:r>
      <w:r w:rsidRPr="00E3232D">
        <w:rPr>
          <w:rFonts w:ascii="Book Antiqua" w:hAnsi="Book Antiqua"/>
          <w:b/>
        </w:rPr>
        <w:t>Use</w:t>
      </w:r>
      <w:r w:rsidRPr="00E3232D">
        <w:rPr>
          <w:rFonts w:ascii="Book Antiqua" w:hAnsi="Book Antiqua"/>
          <w:b/>
          <w:spacing w:val="9"/>
        </w:rPr>
        <w:t xml:space="preserve"> </w:t>
      </w:r>
      <w:r w:rsidRPr="00E3232D">
        <w:rPr>
          <w:rFonts w:ascii="Book Antiqua" w:hAnsi="Book Antiqua"/>
          <w:b/>
        </w:rPr>
        <w:t xml:space="preserve">of South </w:t>
      </w:r>
      <w:r w:rsidRPr="00E3232D">
        <w:rPr>
          <w:rFonts w:ascii="Book Antiqua" w:hAnsi="Book Antiqua"/>
          <w:b/>
          <w:spacing w:val="18"/>
        </w:rPr>
        <w:t>Africa’s</w:t>
      </w:r>
      <w:r w:rsidRPr="00E3232D">
        <w:rPr>
          <w:rFonts w:ascii="Book Antiqua" w:hAnsi="Book Antiqua"/>
          <w:b/>
        </w:rPr>
        <w:t xml:space="preserve"> woodlands </w:t>
      </w:r>
      <w:r w:rsidRPr="00E3232D">
        <w:rPr>
          <w:rFonts w:ascii="Book Antiqua" w:hAnsi="Book Antiqua"/>
          <w:b/>
          <w:spacing w:val="31"/>
        </w:rPr>
        <w:t>for</w:t>
      </w:r>
      <w:r w:rsidRPr="00E3232D">
        <w:rPr>
          <w:rFonts w:ascii="Book Antiqua" w:hAnsi="Book Antiqua"/>
          <w:b/>
          <w:spacing w:val="27"/>
        </w:rPr>
        <w:t xml:space="preserve"> </w:t>
      </w:r>
      <w:r w:rsidRPr="00E3232D">
        <w:rPr>
          <w:rFonts w:ascii="Book Antiqua" w:hAnsi="Book Antiqua"/>
          <w:b/>
        </w:rPr>
        <w:t xml:space="preserve">energy </w:t>
      </w:r>
      <w:r w:rsidRPr="00E3232D">
        <w:rPr>
          <w:rFonts w:ascii="Book Antiqua" w:hAnsi="Book Antiqua"/>
          <w:b/>
          <w:spacing w:val="9"/>
        </w:rPr>
        <w:t>and</w:t>
      </w:r>
      <w:r w:rsidRPr="00E3232D">
        <w:rPr>
          <w:rFonts w:ascii="Book Antiqua" w:hAnsi="Book Antiqua"/>
          <w:b/>
        </w:rPr>
        <w:t xml:space="preserve"> </w:t>
      </w:r>
      <w:r w:rsidRPr="00E3232D">
        <w:rPr>
          <w:rFonts w:ascii="Book Antiqua" w:hAnsi="Book Antiqua"/>
          <w:b/>
          <w:spacing w:val="16"/>
        </w:rPr>
        <w:t>construction</w:t>
      </w:r>
      <w:r w:rsidRPr="00E3232D">
        <w:rPr>
          <w:rFonts w:ascii="Book Antiqua" w:hAnsi="Book Antiqua"/>
        </w:rPr>
        <w:t>. University of</w:t>
      </w:r>
      <w:r w:rsidRPr="00E3232D">
        <w:rPr>
          <w:rFonts w:ascii="Book Antiqua" w:hAnsi="Book Antiqua"/>
          <w:spacing w:val="41"/>
        </w:rPr>
        <w:t xml:space="preserve"> </w:t>
      </w:r>
      <w:r w:rsidRPr="00E3232D">
        <w:rPr>
          <w:rFonts w:ascii="Book Antiqua" w:hAnsi="Book Antiqua"/>
        </w:rPr>
        <w:t>KwaZulu-Natal</w:t>
      </w:r>
      <w:r w:rsidRPr="00E3232D">
        <w:rPr>
          <w:rFonts w:ascii="Book Antiqua" w:hAnsi="Book Antiqua"/>
          <w:spacing w:val="42"/>
        </w:rPr>
        <w:t xml:space="preserve"> </w:t>
      </w:r>
      <w:r w:rsidRPr="00E3232D">
        <w:rPr>
          <w:rFonts w:ascii="Book Antiqua" w:hAnsi="Book Antiqua"/>
          <w:spacing w:val="-3"/>
        </w:rPr>
        <w:t>P</w:t>
      </w:r>
      <w:r w:rsidRPr="00E3232D">
        <w:rPr>
          <w:rFonts w:ascii="Book Antiqua" w:hAnsi="Book Antiqua"/>
          <w:spacing w:val="-4"/>
        </w:rPr>
        <w:t>r</w:t>
      </w:r>
      <w:r w:rsidRPr="00E3232D">
        <w:rPr>
          <w:rFonts w:ascii="Book Antiqua" w:hAnsi="Book Antiqua"/>
        </w:rPr>
        <w:t xml:space="preserve">ess, </w:t>
      </w:r>
      <w:r w:rsidRPr="00E3232D">
        <w:rPr>
          <w:rFonts w:ascii="Book Antiqua" w:hAnsi="Book Antiqua"/>
          <w:spacing w:val="15"/>
        </w:rPr>
        <w:t>Pietermaritzburg</w:t>
      </w:r>
      <w:r w:rsidRPr="00E3232D">
        <w:rPr>
          <w:rFonts w:ascii="Book Antiqua" w:hAnsi="Book Antiqua"/>
        </w:rPr>
        <w:t xml:space="preserve">. </w:t>
      </w:r>
      <w:r w:rsidRPr="00E3232D">
        <w:rPr>
          <w:rFonts w:ascii="Book Antiqua" w:hAnsi="Book Antiqua"/>
          <w:spacing w:val="40"/>
        </w:rPr>
        <w:t xml:space="preserve"> </w:t>
      </w:r>
      <w:r w:rsidRPr="00E3232D">
        <w:rPr>
          <w:rFonts w:ascii="Book Antiqua" w:hAnsi="Book Antiqua"/>
        </w:rPr>
        <w:t xml:space="preserve">pp. </w:t>
      </w:r>
      <w:r w:rsidRPr="00E3232D">
        <w:rPr>
          <w:rFonts w:ascii="Book Antiqua" w:hAnsi="Book Antiqua"/>
          <w:w w:val="107"/>
        </w:rPr>
        <w:t>337-</w:t>
      </w:r>
      <w:r w:rsidRPr="00E3232D">
        <w:rPr>
          <w:rFonts w:ascii="Book Antiqua" w:hAnsi="Book Antiqua"/>
          <w:w w:val="109"/>
        </w:rPr>
        <w:t>366.</w:t>
      </w:r>
    </w:p>
    <w:p w14:paraId="40BC58AA" w14:textId="77777777" w:rsidR="008227F6" w:rsidRDefault="00FC3AF7" w:rsidP="006F685D">
      <w:pPr>
        <w:tabs>
          <w:tab w:val="left" w:pos="900"/>
        </w:tabs>
        <w:ind w:left="630" w:hanging="630"/>
        <w:jc w:val="both"/>
        <w:rPr>
          <w:rFonts w:ascii="Book Antiqua" w:hAnsi="Book Antiqua"/>
        </w:rPr>
      </w:pPr>
      <w:r w:rsidRPr="00E3232D">
        <w:rPr>
          <w:rFonts w:ascii="Book Antiqua" w:hAnsi="Book Antiqua"/>
        </w:rPr>
        <w:t xml:space="preserve">Shackleton, </w:t>
      </w:r>
      <w:r w:rsidRPr="00E3232D">
        <w:rPr>
          <w:rFonts w:ascii="Book Antiqua" w:hAnsi="Book Antiqua"/>
          <w:spacing w:val="16"/>
        </w:rPr>
        <w:t>C.M</w:t>
      </w:r>
      <w:r w:rsidRPr="00E3232D">
        <w:rPr>
          <w:rFonts w:ascii="Book Antiqua" w:hAnsi="Book Antiqua"/>
        </w:rPr>
        <w:t>.</w:t>
      </w:r>
      <w:r w:rsidRPr="00E3232D">
        <w:rPr>
          <w:rFonts w:ascii="Book Antiqua" w:hAnsi="Book Antiqua"/>
          <w:spacing w:val="19"/>
        </w:rPr>
        <w:t xml:space="preserve"> (</w:t>
      </w:r>
      <w:r w:rsidRPr="00E3232D">
        <w:rPr>
          <w:rFonts w:ascii="Book Antiqua" w:hAnsi="Book Antiqua"/>
        </w:rPr>
        <w:t xml:space="preserve">1993). </w:t>
      </w:r>
    </w:p>
    <w:p w14:paraId="14A24C80" w14:textId="77777777" w:rsidR="00FC3AF7" w:rsidRPr="00E3232D" w:rsidRDefault="00FC3AF7" w:rsidP="006F685D">
      <w:pPr>
        <w:tabs>
          <w:tab w:val="left" w:pos="900"/>
        </w:tabs>
        <w:ind w:left="630" w:hanging="630"/>
        <w:jc w:val="both"/>
        <w:rPr>
          <w:rFonts w:ascii="Book Antiqua" w:hAnsi="Book Antiqua"/>
          <w:w w:val="109"/>
        </w:rPr>
      </w:pPr>
      <w:r w:rsidRPr="00E3232D">
        <w:rPr>
          <w:rFonts w:ascii="Book Antiqua" w:hAnsi="Book Antiqua"/>
          <w:b/>
          <w:spacing w:val="-10"/>
        </w:rPr>
        <w:t>F</w:t>
      </w:r>
      <w:r w:rsidRPr="00E3232D">
        <w:rPr>
          <w:rFonts w:ascii="Book Antiqua" w:hAnsi="Book Antiqua"/>
          <w:b/>
        </w:rPr>
        <w:t xml:space="preserve">uelwood </w:t>
      </w:r>
      <w:r w:rsidRPr="00E3232D">
        <w:rPr>
          <w:rFonts w:ascii="Book Antiqua" w:hAnsi="Book Antiqua"/>
          <w:b/>
          <w:spacing w:val="12"/>
        </w:rPr>
        <w:t>harvesting</w:t>
      </w:r>
      <w:r w:rsidRPr="00E3232D">
        <w:rPr>
          <w:rFonts w:ascii="Book Antiqua" w:hAnsi="Book Antiqua"/>
          <w:b/>
        </w:rPr>
        <w:t xml:space="preserve"> and </w:t>
      </w:r>
      <w:r w:rsidRPr="00E3232D">
        <w:rPr>
          <w:rFonts w:ascii="Book Antiqua" w:hAnsi="Book Antiqua"/>
          <w:b/>
          <w:spacing w:val="5"/>
        </w:rPr>
        <w:t>sustainable</w:t>
      </w:r>
      <w:r w:rsidRPr="00E3232D">
        <w:rPr>
          <w:rFonts w:ascii="Book Antiqua" w:hAnsi="Book Antiqua"/>
          <w:b/>
        </w:rPr>
        <w:t xml:space="preserve"> </w:t>
      </w:r>
      <w:r w:rsidRPr="00E3232D">
        <w:rPr>
          <w:rFonts w:ascii="Book Antiqua" w:hAnsi="Book Antiqua"/>
          <w:b/>
          <w:spacing w:val="12"/>
        </w:rPr>
        <w:t>utilization</w:t>
      </w:r>
      <w:r w:rsidRPr="00E3232D">
        <w:rPr>
          <w:rFonts w:ascii="Book Antiqua" w:hAnsi="Book Antiqua"/>
          <w:b/>
          <w:spacing w:val="31"/>
        </w:rPr>
        <w:t xml:space="preserve"> </w:t>
      </w:r>
      <w:r w:rsidRPr="00E3232D">
        <w:rPr>
          <w:rFonts w:ascii="Book Antiqua" w:hAnsi="Book Antiqua"/>
          <w:b/>
        </w:rPr>
        <w:t>in</w:t>
      </w:r>
      <w:r w:rsidRPr="00E3232D">
        <w:rPr>
          <w:rFonts w:ascii="Book Antiqua" w:hAnsi="Book Antiqua"/>
          <w:b/>
          <w:spacing w:val="26"/>
        </w:rPr>
        <w:t xml:space="preserve"> </w:t>
      </w:r>
      <w:r w:rsidRPr="00E3232D">
        <w:rPr>
          <w:rFonts w:ascii="Book Antiqua" w:hAnsi="Book Antiqua"/>
          <w:b/>
        </w:rPr>
        <w:t>a</w:t>
      </w:r>
      <w:r w:rsidRPr="00E3232D">
        <w:rPr>
          <w:rFonts w:ascii="Book Antiqua" w:hAnsi="Book Antiqua"/>
          <w:b/>
          <w:spacing w:val="36"/>
        </w:rPr>
        <w:t xml:space="preserve"> </w:t>
      </w:r>
      <w:r w:rsidRPr="00E3232D">
        <w:rPr>
          <w:rFonts w:ascii="Book Antiqua" w:hAnsi="Book Antiqua"/>
          <w:b/>
        </w:rPr>
        <w:t xml:space="preserve">communal </w:t>
      </w:r>
      <w:r w:rsidRPr="00E3232D">
        <w:rPr>
          <w:rFonts w:ascii="Book Antiqua" w:hAnsi="Book Antiqua"/>
          <w:b/>
          <w:spacing w:val="24"/>
        </w:rPr>
        <w:t>grazing</w:t>
      </w:r>
      <w:r w:rsidRPr="00E3232D">
        <w:rPr>
          <w:rFonts w:ascii="Book Antiqua" w:hAnsi="Book Antiqua"/>
          <w:b/>
          <w:spacing w:val="23"/>
        </w:rPr>
        <w:t xml:space="preserve"> </w:t>
      </w:r>
      <w:r w:rsidRPr="00E3232D">
        <w:rPr>
          <w:rFonts w:ascii="Book Antiqua" w:hAnsi="Book Antiqua"/>
          <w:b/>
        </w:rPr>
        <w:t>land and</w:t>
      </w:r>
      <w:r w:rsidRPr="00E3232D">
        <w:rPr>
          <w:rFonts w:ascii="Book Antiqua" w:hAnsi="Book Antiqua"/>
          <w:b/>
          <w:w w:val="112"/>
        </w:rPr>
        <w:t xml:space="preserve"> </w:t>
      </w:r>
      <w:r w:rsidRPr="00E3232D">
        <w:rPr>
          <w:rFonts w:ascii="Book Antiqua" w:hAnsi="Book Antiqua"/>
          <w:b/>
        </w:rPr>
        <w:t>protected</w:t>
      </w:r>
      <w:r w:rsidRPr="00E3232D">
        <w:rPr>
          <w:rFonts w:ascii="Book Antiqua" w:hAnsi="Book Antiqua"/>
          <w:b/>
          <w:spacing w:val="42"/>
        </w:rPr>
        <w:t xml:space="preserve"> </w:t>
      </w:r>
      <w:r w:rsidRPr="00E3232D">
        <w:rPr>
          <w:rFonts w:ascii="Book Antiqua" w:hAnsi="Book Antiqua"/>
          <w:b/>
        </w:rPr>
        <w:t>a</w:t>
      </w:r>
      <w:r w:rsidRPr="00E3232D">
        <w:rPr>
          <w:rFonts w:ascii="Book Antiqua" w:hAnsi="Book Antiqua"/>
          <w:b/>
          <w:spacing w:val="-4"/>
        </w:rPr>
        <w:t>r</w:t>
      </w:r>
      <w:r w:rsidRPr="00E3232D">
        <w:rPr>
          <w:rFonts w:ascii="Book Antiqua" w:hAnsi="Book Antiqua"/>
          <w:b/>
        </w:rPr>
        <w:t>ea</w:t>
      </w:r>
      <w:r w:rsidRPr="00E3232D">
        <w:rPr>
          <w:rFonts w:ascii="Book Antiqua" w:hAnsi="Book Antiqua"/>
          <w:b/>
          <w:spacing w:val="33"/>
        </w:rPr>
        <w:t xml:space="preserve"> </w:t>
      </w:r>
      <w:r w:rsidRPr="00E3232D">
        <w:rPr>
          <w:rFonts w:ascii="Book Antiqua" w:hAnsi="Book Antiqua"/>
        </w:rPr>
        <w:t>of the</w:t>
      </w:r>
      <w:r w:rsidRPr="00E3232D">
        <w:rPr>
          <w:rFonts w:ascii="Book Antiqua" w:hAnsi="Book Antiqua"/>
          <w:spacing w:val="19"/>
        </w:rPr>
        <w:t xml:space="preserve"> </w:t>
      </w:r>
      <w:r w:rsidRPr="00E3232D">
        <w:rPr>
          <w:rFonts w:ascii="Book Antiqua" w:hAnsi="Book Antiqua"/>
        </w:rPr>
        <w:t>easte</w:t>
      </w:r>
      <w:r w:rsidRPr="00E3232D">
        <w:rPr>
          <w:rFonts w:ascii="Book Antiqua" w:hAnsi="Book Antiqua"/>
          <w:spacing w:val="3"/>
        </w:rPr>
        <w:t>r</w:t>
      </w:r>
      <w:r w:rsidRPr="00E3232D">
        <w:rPr>
          <w:rFonts w:ascii="Book Antiqua" w:hAnsi="Book Antiqua"/>
        </w:rPr>
        <w:t>n</w:t>
      </w:r>
      <w:r w:rsidRPr="00E3232D">
        <w:rPr>
          <w:rFonts w:ascii="Book Antiqua" w:hAnsi="Book Antiqua"/>
          <w:spacing w:val="36"/>
        </w:rPr>
        <w:t xml:space="preserve"> </w:t>
      </w:r>
      <w:r w:rsidRPr="00E3232D">
        <w:rPr>
          <w:rFonts w:ascii="Book Antiqua" w:hAnsi="Book Antiqua"/>
          <w:spacing w:val="-17"/>
        </w:rPr>
        <w:t>T</w:t>
      </w:r>
      <w:r w:rsidRPr="00E3232D">
        <w:rPr>
          <w:rFonts w:ascii="Book Antiqua" w:hAnsi="Book Antiqua"/>
        </w:rPr>
        <w:t>ransvaal</w:t>
      </w:r>
      <w:r w:rsidRPr="00E3232D">
        <w:rPr>
          <w:rFonts w:ascii="Book Antiqua" w:hAnsi="Book Antiqua"/>
          <w:spacing w:val="35"/>
        </w:rPr>
        <w:t xml:space="preserve"> </w:t>
      </w:r>
      <w:r w:rsidRPr="00E3232D">
        <w:rPr>
          <w:rFonts w:ascii="Book Antiqua" w:hAnsi="Book Antiqua"/>
          <w:w w:val="102"/>
        </w:rPr>
        <w:t xml:space="preserve">lowveld. </w:t>
      </w:r>
      <w:r w:rsidRPr="00E3232D">
        <w:rPr>
          <w:rFonts w:ascii="Book Antiqua" w:hAnsi="Book Antiqua"/>
          <w:i/>
        </w:rPr>
        <w:t>Biological</w:t>
      </w:r>
      <w:r w:rsidRPr="00E3232D">
        <w:rPr>
          <w:rFonts w:ascii="Book Antiqua" w:hAnsi="Book Antiqua"/>
          <w:i/>
          <w:spacing w:val="1"/>
        </w:rPr>
        <w:t xml:space="preserve"> </w:t>
      </w:r>
      <w:r w:rsidRPr="00E3232D">
        <w:rPr>
          <w:rFonts w:ascii="Book Antiqua" w:hAnsi="Book Antiqua"/>
          <w:i/>
        </w:rPr>
        <w:t>Conservation</w:t>
      </w:r>
      <w:r w:rsidRPr="00E3232D">
        <w:rPr>
          <w:rFonts w:ascii="Book Antiqua" w:hAnsi="Book Antiqua"/>
        </w:rPr>
        <w:t xml:space="preserve"> </w:t>
      </w:r>
      <w:r w:rsidRPr="00E3232D">
        <w:rPr>
          <w:rFonts w:ascii="Book Antiqua" w:hAnsi="Book Antiqua"/>
          <w:spacing w:val="12"/>
        </w:rPr>
        <w:t>63</w:t>
      </w:r>
      <w:r w:rsidRPr="00E3232D">
        <w:rPr>
          <w:rFonts w:ascii="Book Antiqua" w:hAnsi="Book Antiqua"/>
        </w:rPr>
        <w:t>:</w:t>
      </w:r>
      <w:r w:rsidRPr="00E3232D">
        <w:rPr>
          <w:rFonts w:ascii="Book Antiqua" w:hAnsi="Book Antiqua"/>
          <w:spacing w:val="25"/>
        </w:rPr>
        <w:t xml:space="preserve"> </w:t>
      </w:r>
      <w:r w:rsidRPr="00E3232D">
        <w:rPr>
          <w:rFonts w:ascii="Book Antiqua" w:hAnsi="Book Antiqua"/>
          <w:w w:val="108"/>
        </w:rPr>
        <w:t>247-254.</w:t>
      </w:r>
    </w:p>
    <w:p w14:paraId="315D7CB4" w14:textId="77777777" w:rsidR="00FC3AF7" w:rsidRPr="00E3232D" w:rsidRDefault="00FC3AF7" w:rsidP="006F685D">
      <w:pPr>
        <w:ind w:left="720" w:hanging="720"/>
        <w:jc w:val="both"/>
        <w:rPr>
          <w:rFonts w:ascii="Book Antiqua" w:hAnsi="Book Antiqua"/>
        </w:rPr>
      </w:pPr>
      <w:r w:rsidRPr="00E3232D">
        <w:rPr>
          <w:rFonts w:ascii="Book Antiqua" w:hAnsi="Book Antiqua"/>
        </w:rPr>
        <w:t xml:space="preserve">Sheya, M.S., and Mushi, .S.J (2000). </w:t>
      </w:r>
      <w:r w:rsidRPr="00E3232D">
        <w:rPr>
          <w:rFonts w:ascii="Book Antiqua" w:hAnsi="Book Antiqua"/>
          <w:b/>
        </w:rPr>
        <w:t>The state of renewable energy harnessing in Tanzania</w:t>
      </w:r>
      <w:r w:rsidRPr="00E3232D">
        <w:rPr>
          <w:rFonts w:ascii="Book Antiqua" w:hAnsi="Book Antiqua"/>
        </w:rPr>
        <w:t xml:space="preserve">, </w:t>
      </w:r>
      <w:r w:rsidRPr="00E3232D">
        <w:rPr>
          <w:rFonts w:ascii="Book Antiqua" w:hAnsi="Book Antiqua"/>
          <w:i/>
          <w:iCs/>
        </w:rPr>
        <w:t xml:space="preserve">Applied Energy </w:t>
      </w:r>
      <w:r w:rsidRPr="00E3232D">
        <w:rPr>
          <w:rFonts w:ascii="Book Antiqua" w:hAnsi="Book Antiqua"/>
        </w:rPr>
        <w:t>65, (2000), pp. 257–271.</w:t>
      </w:r>
    </w:p>
    <w:p w14:paraId="6A85D3B0" w14:textId="77777777" w:rsidR="00FC3AF7" w:rsidRPr="00E3232D" w:rsidRDefault="00FC3AF7" w:rsidP="006F685D">
      <w:pPr>
        <w:ind w:left="720" w:hanging="720"/>
        <w:jc w:val="both"/>
        <w:rPr>
          <w:rFonts w:ascii="Book Antiqua" w:hAnsi="Book Antiqua"/>
        </w:rPr>
      </w:pPr>
    </w:p>
    <w:p w14:paraId="2B170006" w14:textId="77777777" w:rsidR="009F6F3B" w:rsidRDefault="009F6F3B" w:rsidP="006F685D">
      <w:pPr>
        <w:rPr>
          <w:rFonts w:ascii="Book Antiqua" w:hAnsi="Book Antiqua"/>
        </w:rPr>
        <w:sectPr w:rsidR="009F6F3B" w:rsidSect="008F6BC9">
          <w:type w:val="continuous"/>
          <w:pgSz w:w="11907" w:h="16839" w:code="9"/>
          <w:pgMar w:top="1440" w:right="1440" w:bottom="1440" w:left="1440" w:header="708" w:footer="708" w:gutter="0"/>
          <w:cols w:num="2" w:space="720"/>
          <w:docGrid w:linePitch="360"/>
        </w:sectPr>
      </w:pPr>
    </w:p>
    <w:p w14:paraId="2C68AE0A" w14:textId="77777777" w:rsidR="00ED51CD" w:rsidRPr="00E3232D" w:rsidRDefault="00ED51CD" w:rsidP="0098142F">
      <w:pPr>
        <w:autoSpaceDE w:val="0"/>
        <w:autoSpaceDN w:val="0"/>
        <w:adjustRightInd w:val="0"/>
        <w:rPr>
          <w:rFonts w:ascii="Book Antiqua" w:hAnsi="Book Antiqua"/>
          <w:b/>
          <w:color w:val="000000"/>
        </w:rPr>
        <w:sectPr w:rsidR="00ED51CD" w:rsidRPr="00E3232D" w:rsidSect="008F6BC9">
          <w:type w:val="continuous"/>
          <w:pgSz w:w="11907" w:h="16839" w:code="9"/>
          <w:pgMar w:top="1440" w:right="1440" w:bottom="1440" w:left="1440" w:header="708" w:footer="708" w:gutter="0"/>
          <w:cols w:space="720"/>
          <w:docGrid w:linePitch="360"/>
        </w:sectPr>
      </w:pPr>
    </w:p>
    <w:p w14:paraId="46E97087" w14:textId="77777777" w:rsidR="00A13495" w:rsidRDefault="00A13495" w:rsidP="0098142F">
      <w:pPr>
        <w:autoSpaceDE w:val="0"/>
        <w:autoSpaceDN w:val="0"/>
        <w:adjustRightInd w:val="0"/>
        <w:rPr>
          <w:rFonts w:ascii="Book Antiqua" w:hAnsi="Book Antiqua"/>
          <w:b/>
          <w:color w:val="000000"/>
          <w:sz w:val="26"/>
          <w:szCs w:val="26"/>
        </w:rPr>
        <w:sectPr w:rsidR="00A13495" w:rsidSect="008F6BC9">
          <w:type w:val="continuous"/>
          <w:pgSz w:w="11907" w:h="16839" w:code="9"/>
          <w:pgMar w:top="1440" w:right="1440" w:bottom="1440" w:left="1440" w:header="708" w:footer="708" w:gutter="0"/>
          <w:cols w:space="720"/>
          <w:docGrid w:linePitch="360"/>
        </w:sectPr>
      </w:pPr>
    </w:p>
    <w:p w14:paraId="048EBC0B" w14:textId="77777777" w:rsidR="00E317C4" w:rsidRPr="00E3232D" w:rsidRDefault="00E317C4" w:rsidP="000465D0">
      <w:pPr>
        <w:pStyle w:val="NoSpacing"/>
        <w:spacing w:line="276" w:lineRule="auto"/>
        <w:rPr>
          <w:rFonts w:ascii="Book Antiqua" w:hAnsi="Book Antiqua"/>
          <w:b/>
        </w:rPr>
        <w:sectPr w:rsidR="00E317C4" w:rsidRPr="00E3232D" w:rsidSect="008F6BC9">
          <w:type w:val="continuous"/>
          <w:pgSz w:w="11907" w:h="16839" w:code="9"/>
          <w:pgMar w:top="1440" w:right="1440" w:bottom="1440" w:left="1440" w:header="720" w:footer="720" w:gutter="0"/>
          <w:cols w:space="720"/>
          <w:docGrid w:linePitch="360"/>
        </w:sectPr>
      </w:pPr>
    </w:p>
    <w:p w14:paraId="72D0B308" w14:textId="77777777" w:rsidR="003C2A01" w:rsidRDefault="003C2A01" w:rsidP="003852DC">
      <w:pPr>
        <w:pStyle w:val="NoSpacing"/>
        <w:spacing w:line="276" w:lineRule="auto"/>
        <w:jc w:val="center"/>
        <w:rPr>
          <w:rFonts w:ascii="Book Antiqua" w:hAnsi="Book Antiqua"/>
          <w:b/>
          <w:sz w:val="26"/>
          <w:szCs w:val="26"/>
        </w:rPr>
      </w:pPr>
      <w:r w:rsidRPr="000465D0">
        <w:rPr>
          <w:rFonts w:ascii="Book Antiqua" w:hAnsi="Book Antiqua"/>
          <w:b/>
          <w:sz w:val="26"/>
          <w:szCs w:val="26"/>
        </w:rPr>
        <w:t xml:space="preserve">Investigation </w:t>
      </w:r>
      <w:r w:rsidR="000465D0" w:rsidRPr="000465D0">
        <w:rPr>
          <w:rFonts w:ascii="Book Antiqua" w:hAnsi="Book Antiqua"/>
          <w:b/>
          <w:sz w:val="26"/>
          <w:szCs w:val="26"/>
        </w:rPr>
        <w:t>into</w:t>
      </w:r>
      <w:r w:rsidRPr="000465D0">
        <w:rPr>
          <w:rFonts w:ascii="Book Antiqua" w:hAnsi="Book Antiqua"/>
          <w:b/>
          <w:sz w:val="26"/>
          <w:szCs w:val="26"/>
        </w:rPr>
        <w:t xml:space="preserve"> </w:t>
      </w:r>
      <w:r w:rsidR="000465D0" w:rsidRPr="000465D0">
        <w:rPr>
          <w:rFonts w:ascii="Book Antiqua" w:hAnsi="Book Antiqua"/>
          <w:b/>
          <w:sz w:val="26"/>
          <w:szCs w:val="26"/>
        </w:rPr>
        <w:t>the</w:t>
      </w:r>
      <w:r w:rsidR="000465D0">
        <w:rPr>
          <w:rFonts w:ascii="Book Antiqua" w:hAnsi="Book Antiqua"/>
          <w:b/>
          <w:sz w:val="26"/>
          <w:szCs w:val="26"/>
        </w:rPr>
        <w:t xml:space="preserve"> Tripping o</w:t>
      </w:r>
      <w:r w:rsidRPr="000465D0">
        <w:rPr>
          <w:rFonts w:ascii="Book Antiqua" w:hAnsi="Book Antiqua"/>
          <w:b/>
          <w:sz w:val="26"/>
          <w:szCs w:val="26"/>
        </w:rPr>
        <w:t xml:space="preserve">f </w:t>
      </w:r>
      <w:r w:rsidR="000465D0" w:rsidRPr="000465D0">
        <w:rPr>
          <w:rFonts w:ascii="Book Antiqua" w:hAnsi="Book Antiqua"/>
          <w:b/>
          <w:sz w:val="26"/>
          <w:szCs w:val="26"/>
        </w:rPr>
        <w:t>an</w:t>
      </w:r>
      <w:r w:rsidRPr="000465D0">
        <w:rPr>
          <w:rFonts w:ascii="Book Antiqua" w:hAnsi="Book Antiqua"/>
          <w:b/>
          <w:sz w:val="26"/>
          <w:szCs w:val="26"/>
        </w:rPr>
        <w:t xml:space="preserve"> Embedded Generator</w:t>
      </w:r>
    </w:p>
    <w:p w14:paraId="4B712D38" w14:textId="77777777" w:rsidR="000465D0" w:rsidRPr="000465D0" w:rsidRDefault="000465D0" w:rsidP="000465D0">
      <w:pPr>
        <w:pStyle w:val="NoSpacing"/>
        <w:spacing w:line="276" w:lineRule="auto"/>
        <w:jc w:val="center"/>
        <w:rPr>
          <w:rFonts w:ascii="Book Antiqua" w:hAnsi="Book Antiqua"/>
          <w:b/>
          <w:sz w:val="26"/>
          <w:szCs w:val="26"/>
        </w:rPr>
      </w:pPr>
    </w:p>
    <w:p w14:paraId="4FE0AC29" w14:textId="77777777" w:rsidR="003C2A01" w:rsidRPr="009F10C6" w:rsidRDefault="009F10C6" w:rsidP="000465D0">
      <w:pPr>
        <w:pStyle w:val="NoSpacing"/>
        <w:spacing w:line="276" w:lineRule="auto"/>
        <w:jc w:val="center"/>
        <w:rPr>
          <w:rFonts w:ascii="Book Antiqua" w:hAnsi="Book Antiqua"/>
          <w:b/>
        </w:rPr>
      </w:pPr>
      <w:r>
        <w:rPr>
          <w:rFonts w:ascii="Book Antiqua" w:hAnsi="Book Antiqua"/>
          <w:b/>
        </w:rPr>
        <w:t xml:space="preserve">Assifuah </w:t>
      </w:r>
      <w:r w:rsidR="003C2A01" w:rsidRPr="009F10C6">
        <w:rPr>
          <w:rFonts w:ascii="Book Antiqua" w:hAnsi="Book Antiqua"/>
          <w:b/>
        </w:rPr>
        <w:t>J</w:t>
      </w:r>
      <w:r w:rsidR="00E4444C">
        <w:rPr>
          <w:rFonts w:ascii="Book Antiqua" w:hAnsi="Book Antiqua"/>
          <w:b/>
        </w:rPr>
        <w:t>.</w:t>
      </w:r>
    </w:p>
    <w:p w14:paraId="79399388" w14:textId="77777777" w:rsidR="003C2A01" w:rsidRPr="000465D0" w:rsidRDefault="003C2A01" w:rsidP="000465D0">
      <w:pPr>
        <w:pStyle w:val="NoSpacing"/>
        <w:spacing w:line="276" w:lineRule="auto"/>
        <w:jc w:val="center"/>
        <w:rPr>
          <w:rFonts w:ascii="Book Antiqua" w:hAnsi="Book Antiqua"/>
        </w:rPr>
      </w:pPr>
      <w:r w:rsidRPr="000465D0">
        <w:rPr>
          <w:rFonts w:ascii="Book Antiqua" w:hAnsi="Book Antiqua"/>
        </w:rPr>
        <w:t>Utilities Department, Tema Oil Refinery, P O Box 599, Tema</w:t>
      </w:r>
    </w:p>
    <w:p w14:paraId="30DDC52A" w14:textId="77777777" w:rsidR="003C2A01" w:rsidRPr="000465D0" w:rsidRDefault="000465D0" w:rsidP="000465D0">
      <w:pPr>
        <w:pStyle w:val="NoSpacing"/>
        <w:spacing w:line="276" w:lineRule="auto"/>
        <w:jc w:val="center"/>
        <w:rPr>
          <w:rFonts w:ascii="Book Antiqua" w:hAnsi="Book Antiqua"/>
        </w:rPr>
      </w:pPr>
      <w:r w:rsidRPr="00966FD2">
        <w:rPr>
          <w:rFonts w:ascii="Book Antiqua" w:hAnsi="Book Antiqua"/>
          <w:b/>
        </w:rPr>
        <w:t>E</w:t>
      </w:r>
      <w:r w:rsidR="00B7273B">
        <w:rPr>
          <w:rFonts w:ascii="Book Antiqua" w:hAnsi="Book Antiqua"/>
          <w:b/>
        </w:rPr>
        <w:t>-</w:t>
      </w:r>
      <w:r w:rsidRPr="00966FD2">
        <w:rPr>
          <w:rFonts w:ascii="Book Antiqua" w:hAnsi="Book Antiqua"/>
          <w:b/>
        </w:rPr>
        <w:t>mail:</w:t>
      </w:r>
      <w:r>
        <w:rPr>
          <w:rFonts w:ascii="Book Antiqua" w:hAnsi="Book Antiqua"/>
        </w:rPr>
        <w:t xml:space="preserve"> </w:t>
      </w:r>
      <w:r w:rsidR="003C2A01" w:rsidRPr="000465D0">
        <w:rPr>
          <w:rFonts w:ascii="Book Antiqua" w:hAnsi="Book Antiqua"/>
        </w:rPr>
        <w:t>jonassifuah@yahoo.com</w:t>
      </w:r>
    </w:p>
    <w:p w14:paraId="46E1A05E" w14:textId="77777777" w:rsidR="003C2A01" w:rsidRPr="00E3232D" w:rsidRDefault="003C2A01" w:rsidP="000465D0">
      <w:pPr>
        <w:pStyle w:val="NoSpacing"/>
        <w:spacing w:line="276" w:lineRule="auto"/>
        <w:jc w:val="center"/>
        <w:rPr>
          <w:rFonts w:ascii="Book Antiqua" w:hAnsi="Book Antiqua"/>
          <w:b/>
        </w:rPr>
      </w:pPr>
    </w:p>
    <w:p w14:paraId="58D21442" w14:textId="77777777" w:rsidR="003C2A01" w:rsidRPr="00E3232D" w:rsidRDefault="003C2A01" w:rsidP="00B7273B">
      <w:pPr>
        <w:pStyle w:val="NoSpacing"/>
        <w:spacing w:line="276" w:lineRule="auto"/>
        <w:rPr>
          <w:rFonts w:ascii="Book Antiqua" w:hAnsi="Book Antiqua"/>
          <w:b/>
        </w:rPr>
      </w:pPr>
    </w:p>
    <w:p w14:paraId="0E600737" w14:textId="77777777" w:rsidR="003C2A01" w:rsidRPr="00E3232D" w:rsidRDefault="003C2A01" w:rsidP="008275E1">
      <w:pPr>
        <w:pStyle w:val="NoSpacing"/>
        <w:spacing w:line="276" w:lineRule="auto"/>
        <w:rPr>
          <w:rFonts w:ascii="Book Antiqua" w:hAnsi="Book Antiqua"/>
          <w:b/>
        </w:rPr>
      </w:pPr>
      <w:r w:rsidRPr="00F26850">
        <w:rPr>
          <w:rFonts w:ascii="Book Antiqua" w:hAnsi="Book Antiqua"/>
          <w:b/>
          <w:sz w:val="26"/>
        </w:rPr>
        <w:t>Abstract</w:t>
      </w:r>
    </w:p>
    <w:p w14:paraId="1501774A" w14:textId="77777777" w:rsidR="003C2A01" w:rsidRPr="00E3232D" w:rsidRDefault="003C2A01" w:rsidP="00F26850">
      <w:pPr>
        <w:pStyle w:val="NoSpacing"/>
        <w:spacing w:line="276" w:lineRule="auto"/>
        <w:jc w:val="both"/>
        <w:rPr>
          <w:rFonts w:ascii="Book Antiqua" w:hAnsi="Book Antiqua"/>
        </w:rPr>
      </w:pPr>
      <w:r w:rsidRPr="00E3232D">
        <w:rPr>
          <w:rFonts w:ascii="Book Antiqua" w:hAnsi="Book Antiqua"/>
        </w:rPr>
        <w:t xml:space="preserve"> The pressure in the air ejector inter-condenser of an embedded generator had dropped to 5.0 kPa, a significant deviation from the manufacturer’s permissible range of - 6.5 to - 9.8 kPa.</w:t>
      </w:r>
      <w:r w:rsidRPr="00E3232D">
        <w:rPr>
          <w:rFonts w:ascii="Book Antiqua" w:hAnsi="Book Antiqua"/>
          <w:vertAlign w:val="superscript"/>
        </w:rPr>
        <w:t xml:space="preserve"> </w:t>
      </w:r>
      <w:r w:rsidRPr="00E3232D">
        <w:rPr>
          <w:rFonts w:ascii="Book Antiqua" w:hAnsi="Book Antiqua"/>
        </w:rPr>
        <w:t xml:space="preserve">Initially the load-shedding scheme of the local distribution system operated followed by a minor fault alarm. This necessitated the synchronising of the embedded generator to the national grid for the air ejector to be changed. Two minutes later the reverse power relay of the generator operated. Five minutes after synchronising, the generator tripped. This was followed by the total shutdown of the oil refinery. Damage was caused to at least one electric pump. This paper investigated the incident employing deductive research method to establish the causes of the tripping and suggested measures to forestall future occurrences. Power-load angles were employed extensively in analyzing the events leading to the tripping of the generator. This paper reveals the dropping of the air ejector inter-condenser pressure resulted from ineffective sealing steam in the steam turbine of the generator. A faulty pressure control valve on the sealing steam supply to the turbine had been mended previously. Meanwhile, the operator and owner of the national distribution grid, Electricity Company of Ghana (ECG), had earlier on upgraded its feeder to Tema Oil Refinery (TOR)’s local distribution system. Loose contacts at the jumpers on ECG’s 11 kV overhead line to TOR’s local distribution system were a favourable condition vibration (at a  terminal on the feeder) upon synchronization of TOR’s embedded generator to ECG’s high voltage distribution system and the subsequent loss of power in one phase of the ECG feeder to TOR’s embedded system. </w:t>
      </w:r>
    </w:p>
    <w:p w14:paraId="744A0F19" w14:textId="77777777" w:rsidR="003C2A01" w:rsidRPr="00E3232D" w:rsidRDefault="003C2A01" w:rsidP="008275E1">
      <w:pPr>
        <w:pStyle w:val="NoSpacing"/>
        <w:spacing w:line="276" w:lineRule="auto"/>
        <w:rPr>
          <w:rFonts w:ascii="Book Antiqua" w:hAnsi="Book Antiqua"/>
        </w:rPr>
      </w:pPr>
    </w:p>
    <w:p w14:paraId="58321B48" w14:textId="77777777" w:rsidR="003C2A01" w:rsidRPr="00F26850" w:rsidRDefault="003C2A01" w:rsidP="008275E1">
      <w:pPr>
        <w:pStyle w:val="NoSpacing"/>
        <w:spacing w:line="276" w:lineRule="auto"/>
        <w:rPr>
          <w:rFonts w:ascii="Book Antiqua" w:hAnsi="Book Antiqua"/>
          <w:b/>
        </w:rPr>
      </w:pPr>
      <w:r w:rsidRPr="00E3232D">
        <w:rPr>
          <w:rFonts w:ascii="Book Antiqua" w:hAnsi="Book Antiqua"/>
          <w:b/>
        </w:rPr>
        <w:t>Keywords</w:t>
      </w:r>
      <w:r w:rsidR="00F26850">
        <w:rPr>
          <w:rFonts w:ascii="Book Antiqua" w:hAnsi="Book Antiqua"/>
          <w:b/>
        </w:rPr>
        <w:t xml:space="preserve">: </w:t>
      </w:r>
      <w:r w:rsidRPr="00E3232D">
        <w:rPr>
          <w:rFonts w:ascii="Book Antiqua" w:hAnsi="Book Antiqua"/>
        </w:rPr>
        <w:t xml:space="preserve">Distribution; </w:t>
      </w:r>
      <w:r w:rsidR="00F26850" w:rsidRPr="00E3232D">
        <w:rPr>
          <w:rFonts w:ascii="Book Antiqua" w:hAnsi="Book Antiqua"/>
        </w:rPr>
        <w:t>Embedded; Generator; Turbine; Synchronising</w:t>
      </w:r>
      <w:r w:rsidRPr="00E3232D">
        <w:rPr>
          <w:rFonts w:ascii="Book Antiqua" w:hAnsi="Book Antiqua"/>
        </w:rPr>
        <w:t>.</w:t>
      </w:r>
    </w:p>
    <w:p w14:paraId="154D73E6" w14:textId="77777777" w:rsidR="00DC6D7A" w:rsidRDefault="00DC6D7A" w:rsidP="008275E1">
      <w:pPr>
        <w:pStyle w:val="NoSpacing"/>
        <w:spacing w:line="276" w:lineRule="auto"/>
        <w:rPr>
          <w:rFonts w:ascii="Book Antiqua" w:hAnsi="Book Antiqua"/>
        </w:rPr>
      </w:pPr>
    </w:p>
    <w:p w14:paraId="5763F0C1" w14:textId="77777777" w:rsidR="00A0357A" w:rsidRPr="00E3232D" w:rsidRDefault="00A0357A" w:rsidP="008275E1">
      <w:pPr>
        <w:pStyle w:val="NoSpacing"/>
        <w:spacing w:line="276" w:lineRule="auto"/>
        <w:rPr>
          <w:rFonts w:ascii="Book Antiqua" w:hAnsi="Book Antiqua"/>
        </w:rPr>
        <w:sectPr w:rsidR="00A0357A" w:rsidRPr="00E3232D" w:rsidSect="008F6BC9">
          <w:type w:val="continuous"/>
          <w:pgSz w:w="11907" w:h="16839" w:code="9"/>
          <w:pgMar w:top="1440" w:right="1440" w:bottom="1440" w:left="1440" w:header="720" w:footer="720" w:gutter="0"/>
          <w:cols w:space="720"/>
          <w:docGrid w:linePitch="360"/>
        </w:sectPr>
      </w:pPr>
    </w:p>
    <w:p w14:paraId="301810C7" w14:textId="77777777" w:rsidR="00E317C4" w:rsidRPr="00E3232D" w:rsidRDefault="00E317C4" w:rsidP="00F26850">
      <w:pPr>
        <w:pStyle w:val="NoSpacing"/>
        <w:spacing w:line="276" w:lineRule="auto"/>
        <w:jc w:val="both"/>
        <w:rPr>
          <w:rFonts w:ascii="Book Antiqua" w:hAnsi="Book Antiqua"/>
          <w:b/>
        </w:rPr>
      </w:pPr>
    </w:p>
    <w:p w14:paraId="26487504" w14:textId="77777777" w:rsidR="00E317C4" w:rsidRPr="00E3232D" w:rsidRDefault="00E317C4" w:rsidP="00196385">
      <w:pPr>
        <w:pStyle w:val="NoSpacing"/>
        <w:numPr>
          <w:ilvl w:val="0"/>
          <w:numId w:val="181"/>
        </w:numPr>
        <w:spacing w:line="276" w:lineRule="auto"/>
        <w:jc w:val="both"/>
        <w:rPr>
          <w:rFonts w:ascii="Book Antiqua" w:hAnsi="Book Antiqua"/>
          <w:b/>
        </w:rPr>
      </w:pPr>
      <w:r w:rsidRPr="00F26850">
        <w:rPr>
          <w:rFonts w:ascii="Book Antiqua" w:hAnsi="Book Antiqua"/>
          <w:b/>
          <w:sz w:val="26"/>
        </w:rPr>
        <w:t>Introduction</w:t>
      </w:r>
    </w:p>
    <w:p w14:paraId="44BDE24F"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electric generator under investigation, tagged STG4 (i.e. steam turbine generator), has a rated output of 5.5 MW with an available capacity of 4.8 MW and a condensing steam turbine as its prime mover. The electric generator generates an electromotive force of 6.3 kV at a frequency of 50 Hz and power factor of 0.9 lag. It employs brushless excitation. It was constructed in 2000 by Shinko Electric of Japan [1].</w:t>
      </w:r>
    </w:p>
    <w:p w14:paraId="439FD1F5" w14:textId="77777777" w:rsidR="00E317C4" w:rsidRPr="00E3232D" w:rsidRDefault="00E317C4" w:rsidP="00F26850">
      <w:pPr>
        <w:pStyle w:val="NoSpacing"/>
        <w:spacing w:line="276" w:lineRule="auto"/>
        <w:jc w:val="both"/>
        <w:rPr>
          <w:rFonts w:ascii="Book Antiqua" w:hAnsi="Book Antiqua"/>
        </w:rPr>
      </w:pPr>
    </w:p>
    <w:p w14:paraId="65467500"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steam turbine has five stages. It requires steam of high pressures and temperatures over ranges of 400 - 450 kPa and 380 – 405 °C. The vacuum in the surface condenser of the steam turbine is maintained by a high velocity steam operated twin- air ejector/condensers.</w:t>
      </w:r>
    </w:p>
    <w:p w14:paraId="5B036866" w14:textId="77777777" w:rsidR="00E317C4" w:rsidRPr="00E3232D" w:rsidRDefault="00E317C4" w:rsidP="00F26850">
      <w:pPr>
        <w:pStyle w:val="NoSpacing"/>
        <w:spacing w:line="276" w:lineRule="auto"/>
        <w:jc w:val="both"/>
        <w:rPr>
          <w:rFonts w:ascii="Book Antiqua" w:hAnsi="Book Antiqua"/>
        </w:rPr>
      </w:pPr>
    </w:p>
    <w:p w14:paraId="2CC9045F"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 xml:space="preserve">Internal </w:t>
      </w:r>
      <w:r w:rsidR="00AD1F87" w:rsidRPr="00E3232D">
        <w:rPr>
          <w:rFonts w:ascii="Book Antiqua" w:hAnsi="Book Antiqua"/>
          <w:b/>
        </w:rPr>
        <w:t>Electrical Power Generation</w:t>
      </w:r>
    </w:p>
    <w:p w14:paraId="36B978E5" w14:textId="77777777" w:rsidR="00E317C4" w:rsidRDefault="00E317C4" w:rsidP="00F26850">
      <w:pPr>
        <w:pStyle w:val="NoSpacing"/>
        <w:spacing w:line="276" w:lineRule="auto"/>
        <w:jc w:val="both"/>
        <w:rPr>
          <w:rFonts w:ascii="Book Antiqua" w:hAnsi="Book Antiqua"/>
        </w:rPr>
      </w:pPr>
      <w:r w:rsidRPr="00E3232D">
        <w:rPr>
          <w:rFonts w:ascii="Book Antiqua" w:hAnsi="Book Antiqua"/>
        </w:rPr>
        <w:t xml:space="preserve">Local power generation by the embedded generator is fed directly unto a busbar, tagged ‘busbar B’, at a voltage of 6 kV. </w:t>
      </w:r>
    </w:p>
    <w:p w14:paraId="045FAE81" w14:textId="77777777" w:rsidR="00AD1F87" w:rsidRPr="00E3232D" w:rsidRDefault="00AD1F87" w:rsidP="00F26850">
      <w:pPr>
        <w:pStyle w:val="NoSpacing"/>
        <w:spacing w:line="276" w:lineRule="auto"/>
        <w:jc w:val="both"/>
        <w:rPr>
          <w:rFonts w:ascii="Book Antiqua" w:hAnsi="Book Antiqua"/>
        </w:rPr>
      </w:pPr>
    </w:p>
    <w:p w14:paraId="65B63F03"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External electrical power generation</w:t>
      </w:r>
    </w:p>
    <w:p w14:paraId="1B9C401E"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Power supply from the national distribution grid at a voltage of 11 kV is fed through an 11 kV/6 kV transformer rated 8 MVA unto a busbar tagged ‘busbar A’ which requires 6kV.</w:t>
      </w:r>
    </w:p>
    <w:p w14:paraId="54547333" w14:textId="77777777" w:rsidR="00E317C4" w:rsidRPr="00E3232D" w:rsidRDefault="00E317C4" w:rsidP="00F26850">
      <w:pPr>
        <w:pStyle w:val="NoSpacing"/>
        <w:spacing w:line="276" w:lineRule="auto"/>
        <w:jc w:val="both"/>
        <w:rPr>
          <w:rFonts w:ascii="Book Antiqua" w:hAnsi="Book Antiqua"/>
        </w:rPr>
      </w:pPr>
    </w:p>
    <w:p w14:paraId="46D43D20"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 xml:space="preserve">Grid </w:t>
      </w:r>
      <w:r w:rsidR="00AD1F87" w:rsidRPr="00E3232D">
        <w:rPr>
          <w:rFonts w:ascii="Book Antiqua" w:hAnsi="Book Antiqua"/>
          <w:b/>
        </w:rPr>
        <w:t>Interconnection</w:t>
      </w:r>
    </w:p>
    <w:p w14:paraId="5739C70C"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It is possible to synchronise the internal and external generation sources through the busbars A and B. </w:t>
      </w:r>
    </w:p>
    <w:p w14:paraId="5E95E9B4" w14:textId="77777777" w:rsidR="00E317C4" w:rsidRPr="00E3232D" w:rsidRDefault="00E317C4" w:rsidP="008275E1">
      <w:pPr>
        <w:pStyle w:val="NoSpacing"/>
        <w:spacing w:line="276" w:lineRule="auto"/>
        <w:rPr>
          <w:rFonts w:ascii="Book Antiqua" w:hAnsi="Book Antiqua"/>
        </w:rPr>
        <w:sectPr w:rsidR="00E317C4" w:rsidRPr="00E3232D" w:rsidSect="008F6BC9">
          <w:type w:val="continuous"/>
          <w:pgSz w:w="11907" w:h="16839" w:code="9"/>
          <w:pgMar w:top="1440" w:right="1440" w:bottom="1440" w:left="1440" w:header="720" w:footer="720" w:gutter="0"/>
          <w:cols w:num="2" w:space="720"/>
          <w:docGrid w:linePitch="360"/>
        </w:sectPr>
      </w:pPr>
    </w:p>
    <w:p w14:paraId="38339022" w14:textId="77777777" w:rsidR="00245F03" w:rsidRDefault="00850DC5" w:rsidP="008275E1">
      <w:pPr>
        <w:pStyle w:val="NoSpacing"/>
        <w:spacing w:line="276" w:lineRule="auto"/>
        <w:rPr>
          <w:rFonts w:ascii="Book Antiqua" w:hAnsi="Book Antiqua"/>
        </w:rPr>
        <w:sectPr w:rsidR="00245F03" w:rsidSect="008F6BC9">
          <w:type w:val="continuous"/>
          <w:pgSz w:w="11907" w:h="16839" w:code="9"/>
          <w:pgMar w:top="1440" w:right="1440" w:bottom="1440" w:left="1440" w:header="720" w:footer="720" w:gutter="0"/>
          <w:cols w:num="2" w:space="720"/>
          <w:docGrid w:linePitch="360"/>
        </w:sectPr>
      </w:pPr>
      <w:r>
        <w:rPr>
          <w:rFonts w:ascii="Book Antiqua" w:hAnsi="Book Antiqua"/>
          <w:b/>
          <w:noProof/>
        </w:rPr>
        <w:pict w14:anchorId="2A27AA1D">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353" type="#_x0000_t8" style="position:absolute;margin-left:195.6pt;margin-top:9pt;width:56.25pt;height:61.5pt;rotation:90;z-index:251549184"/>
        </w:pict>
      </w:r>
    </w:p>
    <w:p w14:paraId="2D2D37DA" w14:textId="77777777" w:rsidR="00E317C4" w:rsidRPr="00E3232D" w:rsidRDefault="00E317C4" w:rsidP="008275E1">
      <w:pPr>
        <w:pStyle w:val="NoSpacing"/>
        <w:spacing w:line="276" w:lineRule="auto"/>
        <w:rPr>
          <w:rFonts w:ascii="Book Antiqua" w:hAnsi="Book Antiqua"/>
        </w:rPr>
      </w:pPr>
    </w:p>
    <w:p w14:paraId="3AC47552"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4EB5DCB2">
          <v:shapetype id="_x0000_t135" coordsize="21600,21600" o:spt="135" path="m10800,qx21600,10800,10800,21600l,21600,,xe">
            <v:stroke joinstyle="miter"/>
            <v:path gradientshapeok="t" o:connecttype="rect" textboxrect="0,3163,18437,18437"/>
          </v:shapetype>
          <v:shape id="_x0000_s1479" type="#_x0000_t135" style="position:absolute;margin-left:139.25pt;margin-top:-1.3pt;width:7.4pt;height:11.85pt;rotation:-270;flip:y;z-index:251678208"/>
        </w:pict>
      </w:r>
      <w:r>
        <w:rPr>
          <w:rFonts w:ascii="Book Antiqua" w:hAnsi="Book Antiqua"/>
          <w:b/>
          <w:noProof/>
        </w:rPr>
        <w:pict w14:anchorId="31E0816A">
          <v:shape id="_x0000_s1477" type="#_x0000_t32" style="position:absolute;margin-left:2in;margin-top:8.35pt;width:.05pt;height:9.75pt;z-index:251676160" o:connectortype="straight"/>
        </w:pict>
      </w:r>
      <w:r>
        <w:rPr>
          <w:rFonts w:ascii="Book Antiqua" w:hAnsi="Book Antiqua"/>
          <w:b/>
          <w:noProof/>
        </w:rPr>
        <w:pict w14:anchorId="0CD196CD">
          <v:shape id="_x0000_s1368" type="#_x0000_t32" style="position:absolute;margin-left:357.55pt;margin-top:3.1pt;width:.05pt;height:69.75pt;z-index:251564544" o:connectortype="straight" strokeweight="1.5pt"/>
        </w:pict>
      </w:r>
      <w:r w:rsidR="00E317C4" w:rsidRPr="00E3232D">
        <w:rPr>
          <w:rFonts w:ascii="Book Antiqua" w:hAnsi="Book Antiqua"/>
          <w:b/>
        </w:rPr>
        <w:t xml:space="preserve">                           </w:t>
      </w:r>
      <w:r w:rsidR="00E317C4" w:rsidRPr="00E3232D">
        <w:rPr>
          <w:rFonts w:ascii="Book Antiqua" w:hAnsi="Book Antiqua"/>
        </w:rPr>
        <w:t xml:space="preserve">HPS to turbine           PCV                                       RG         </w:t>
      </w:r>
    </w:p>
    <w:p w14:paraId="1DD59D70"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5F930166">
          <v:shape id="_x0000_s1480" type="#_x0000_t135" style="position:absolute;margin-left:114.15pt;margin-top:7.85pt;width:7.4pt;height:11.85pt;rotation:-270;flip:y;z-index:251679232"/>
        </w:pict>
      </w:r>
      <w:r>
        <w:rPr>
          <w:rFonts w:ascii="Book Antiqua" w:hAnsi="Book Antiqua"/>
          <w:b/>
          <w:noProof/>
        </w:rPr>
        <w:pict w14:anchorId="25A99879">
          <v:shape id="_x0000_s1369" type="#_x0000_t32" style="position:absolute;margin-left:357.55pt;margin-top:6.6pt;width:31.9pt;height:0;z-index:251565568" o:connectortype="straight">
            <v:stroke endarrow="block"/>
          </v:shape>
        </w:pict>
      </w:r>
      <w:r>
        <w:rPr>
          <w:rFonts w:ascii="Book Antiqua" w:hAnsi="Book Antiqua"/>
          <w:b/>
          <w:noProof/>
        </w:rPr>
        <w:pict w14:anchorId="764B1B71">
          <v:shape id="_x0000_s1367" type="#_x0000_t32" style="position:absolute;margin-left:48pt;margin-top:6.6pt;width:3.75pt;height:0;flip:x;z-index:251563520" o:connectortype="straight"/>
        </w:pict>
      </w:r>
      <w:r>
        <w:rPr>
          <w:rFonts w:ascii="Book Antiqua" w:hAnsi="Book Antiqua"/>
          <w:b/>
          <w:noProof/>
        </w:rPr>
        <w:pict w14:anchorId="3A68B4D0">
          <v:rect id="_x0000_s1357" style="position:absolute;margin-left:272.25pt;margin-top:6.6pt;width:7.15pt;height:19.15pt;z-index:251553280"/>
        </w:pict>
      </w:r>
      <w:r>
        <w:rPr>
          <w:rFonts w:ascii="Book Antiqua" w:hAnsi="Book Antiqua"/>
          <w:b/>
          <w:noProof/>
        </w:rPr>
        <w:pict w14:anchorId="5DED65A7">
          <v:shapetype id="_x0000_t125" coordsize="21600,21600" o:spt="125" path="m21600,21600l,21600,21600,,,xe">
            <v:stroke joinstyle="miter"/>
            <v:path o:extrusionok="f" gradientshapeok="t" o:connecttype="custom" o:connectlocs="10800,0;10800,10800;10800,21600" textboxrect="5400,5400,16200,16200"/>
          </v:shapetype>
          <v:shape id="_x0000_s1350" type="#_x0000_t125" style="position:absolute;margin-left:138.05pt;margin-top:-.9pt;width:12pt;height:16.5pt;rotation:270;z-index:251546112"/>
        </w:pict>
      </w:r>
      <w:r>
        <w:rPr>
          <w:rFonts w:ascii="Book Antiqua" w:hAnsi="Book Antiqua"/>
          <w:b/>
          <w:noProof/>
        </w:rPr>
        <w:pict w14:anchorId="7761AC8E">
          <v:shape id="_x0000_s1349" type="#_x0000_t32" style="position:absolute;margin-left:63.5pt;margin-top:6.6pt;width:129.5pt;height:0;z-index:251545088" o:connectortype="straight">
            <v:stroke endarrow="block"/>
          </v:shape>
        </w:pict>
      </w:r>
      <w:r w:rsidR="00E317C4" w:rsidRPr="00E3232D">
        <w:rPr>
          <w:rFonts w:ascii="Book Antiqua" w:hAnsi="Book Antiqua"/>
          <w:b/>
        </w:rPr>
        <w:t xml:space="preserve">                                                                                                                           </w:t>
      </w:r>
      <w:r w:rsidR="00E317C4" w:rsidRPr="00E3232D">
        <w:rPr>
          <w:rFonts w:ascii="Book Antiqua" w:hAnsi="Book Antiqua"/>
        </w:rPr>
        <w:t>EG</w:t>
      </w:r>
    </w:p>
    <w:p w14:paraId="27059294"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7925AB35">
          <v:shape id="_x0000_s1478" type="#_x0000_t32" style="position:absolute;margin-left:115.5pt;margin-top:6pt;width:.05pt;height:9.75pt;z-index:251677184" o:connectortype="straight"/>
        </w:pict>
      </w:r>
      <w:r>
        <w:rPr>
          <w:rFonts w:ascii="Book Antiqua" w:hAnsi="Book Antiqua"/>
          <w:b/>
          <w:noProof/>
        </w:rPr>
        <w:pict w14:anchorId="3526188D">
          <v:shape id="_x0000_s1352" type="#_x0000_t125" style="position:absolute;margin-left:109.5pt;margin-top:6pt;width:12pt;height:16.5pt;rotation:270;z-index:251548160"/>
        </w:pict>
      </w:r>
      <w:r>
        <w:rPr>
          <w:rFonts w:ascii="Book Antiqua" w:hAnsi="Book Antiqua"/>
          <w:b/>
          <w:noProof/>
        </w:rPr>
        <w:pict w14:anchorId="11889C49">
          <v:shape id="_x0000_s1370" type="#_x0000_t32" style="position:absolute;margin-left:357.55pt;margin-top:6.35pt;width:31.9pt;height:0;z-index:251566592" o:connectortype="straight">
            <v:stroke endarrow="block"/>
          </v:shape>
        </w:pict>
      </w:r>
      <w:r>
        <w:rPr>
          <w:rFonts w:ascii="Book Antiqua" w:hAnsi="Book Antiqua"/>
          <w:b/>
          <w:noProof/>
        </w:rPr>
        <w:pict w14:anchorId="40E065CD">
          <v:shape id="_x0000_s1361" style="position:absolute;margin-left:304.3pt;margin-top:10.85pt;width:21.35pt;height:4.9pt;z-index:251557376" coordsize="480,218" path="m,218c69,109,138,,195,v57,,103,218,150,218c392,218,458,36,480,e" filled="f">
            <v:path arrowok="t"/>
          </v:shape>
        </w:pict>
      </w:r>
      <w:r>
        <w:rPr>
          <w:rFonts w:ascii="Book Antiqua" w:hAnsi="Book Antiqua"/>
          <w:b/>
          <w:noProof/>
        </w:rPr>
        <w:pict w14:anchorId="7BAE35AC">
          <v:oval id="_x0000_s1360" style="position:absolute;margin-left:304.3pt;margin-top:3.75pt;width:21.35pt;height:21.75pt;z-index:251556352"/>
        </w:pict>
      </w:r>
      <w:r>
        <w:rPr>
          <w:rFonts w:ascii="Book Antiqua" w:hAnsi="Book Antiqua"/>
          <w:b/>
          <w:noProof/>
        </w:rPr>
        <w:pict w14:anchorId="654DFD45">
          <v:rect id="_x0000_s1358" style="position:absolute;margin-left:279.4pt;margin-top:6.35pt;width:7.15pt;height:19.15pt;z-index:251554304"/>
        </w:pict>
      </w:r>
      <w:r>
        <w:rPr>
          <w:rFonts w:ascii="Book Antiqua" w:hAnsi="Book Antiqua"/>
          <w:b/>
          <w:noProof/>
        </w:rPr>
        <w:pict w14:anchorId="7BFA2E95">
          <v:shape id="_x0000_s1356" type="#_x0000_t32" style="position:absolute;margin-left:254.5pt;margin-top:1.85pt;width:17.75pt;height:0;z-index:251552256" o:connectortype="straight"/>
        </w:pict>
      </w:r>
      <w:r w:rsidR="00E317C4" w:rsidRPr="00E3232D">
        <w:rPr>
          <w:rFonts w:ascii="Book Antiqua" w:hAnsi="Book Antiqua"/>
          <w:b/>
        </w:rPr>
        <w:t xml:space="preserve">                                   </w:t>
      </w:r>
      <w:r w:rsidR="00E317C4" w:rsidRPr="00E3232D">
        <w:rPr>
          <w:rFonts w:ascii="Book Antiqua" w:hAnsi="Book Antiqua"/>
        </w:rPr>
        <w:t>PCV                                                                                                                   Feeders</w:t>
      </w:r>
    </w:p>
    <w:p w14:paraId="1BD4F6C8" w14:textId="77777777" w:rsidR="00E317C4" w:rsidRPr="00E3232D" w:rsidRDefault="00850DC5" w:rsidP="008275E1">
      <w:pPr>
        <w:pStyle w:val="NoSpacing"/>
        <w:tabs>
          <w:tab w:val="left" w:pos="1575"/>
        </w:tabs>
        <w:spacing w:line="276" w:lineRule="auto"/>
        <w:rPr>
          <w:rFonts w:ascii="Book Antiqua" w:hAnsi="Book Antiqua"/>
          <w:b/>
        </w:rPr>
      </w:pPr>
      <w:r>
        <w:rPr>
          <w:rFonts w:ascii="Book Antiqua" w:hAnsi="Book Antiqua"/>
          <w:b/>
          <w:noProof/>
        </w:rPr>
        <w:pict w14:anchorId="47DA0742">
          <v:shape id="_x0000_s1351" type="#_x0000_t32" style="position:absolute;margin-left:63.5pt;margin-top:2.75pt;width:129.5pt;height:0;z-index:251547136" o:connectortype="straight">
            <v:stroke endarrow="block"/>
          </v:shape>
        </w:pict>
      </w:r>
      <w:r>
        <w:rPr>
          <w:rFonts w:ascii="Book Antiqua" w:hAnsi="Book Antiqua"/>
          <w:b/>
          <w:noProof/>
        </w:rPr>
        <w:pict w14:anchorId="12555602">
          <v:shape id="_x0000_s1347" type="#_x0000_t32" style="position:absolute;margin-left:325.65pt;margin-top:2.75pt;width:31.9pt;height:0;z-index:251543040" o:connectortype="straight">
            <v:stroke endarrow="block"/>
          </v:shape>
        </w:pict>
      </w:r>
      <w:r>
        <w:rPr>
          <w:rFonts w:ascii="Book Antiqua" w:hAnsi="Book Antiqua"/>
          <w:b/>
          <w:noProof/>
        </w:rPr>
        <w:pict w14:anchorId="6ED134D5">
          <v:shape id="_x0000_s1359" type="#_x0000_t32" style="position:absolute;margin-left:286.55pt;margin-top:2.75pt;width:17.75pt;height:0;z-index:251555328" o:connectortype="straight"/>
        </w:pict>
      </w:r>
      <w:r>
        <w:rPr>
          <w:rFonts w:ascii="Book Antiqua" w:hAnsi="Book Antiqua"/>
          <w:b/>
          <w:noProof/>
        </w:rPr>
        <w:pict w14:anchorId="6AE4D2BA">
          <v:shape id="_x0000_s1348" type="#_x0000_t32" style="position:absolute;margin-left:200.45pt;margin-top:8.75pt;width:0;height:39.75pt;z-index:251544064" o:connectortype="straight">
            <v:stroke endarrow="block"/>
          </v:shape>
        </w:pict>
      </w:r>
      <w:r w:rsidR="00E317C4" w:rsidRPr="00E3232D">
        <w:rPr>
          <w:rFonts w:ascii="Book Antiqua" w:hAnsi="Book Antiqua"/>
          <w:b/>
        </w:rPr>
        <w:t xml:space="preserve">                     </w:t>
      </w:r>
    </w:p>
    <w:p w14:paraId="540C2747" w14:textId="77777777" w:rsidR="00E317C4" w:rsidRPr="00E3232D" w:rsidRDefault="00E317C4" w:rsidP="008275E1">
      <w:pPr>
        <w:pStyle w:val="NoSpacing"/>
        <w:tabs>
          <w:tab w:val="left" w:pos="1575"/>
        </w:tabs>
        <w:spacing w:line="276" w:lineRule="auto"/>
        <w:rPr>
          <w:rFonts w:ascii="Book Antiqua" w:hAnsi="Book Antiqua"/>
          <w:b/>
        </w:rPr>
      </w:pPr>
      <w:r w:rsidRPr="00E3232D">
        <w:rPr>
          <w:rFonts w:ascii="Book Antiqua" w:hAnsi="Book Antiqua"/>
        </w:rPr>
        <w:t xml:space="preserve">                      LP sealing steam to turbine glands</w:t>
      </w:r>
      <w:r w:rsidR="00850DC5">
        <w:rPr>
          <w:rFonts w:ascii="Book Antiqua" w:hAnsi="Book Antiqua"/>
          <w:b/>
          <w:noProof/>
        </w:rPr>
        <w:pict w14:anchorId="67751371">
          <v:shape id="_x0000_s1371" type="#_x0000_t32" style="position:absolute;margin-left:357.6pt;margin-top:2.5pt;width:31.9pt;height:0;z-index:251567616;mso-position-horizontal-relative:text;mso-position-vertical-relative:text" o:connectortype="straight">
            <v:stroke endarrow="block"/>
          </v:shape>
        </w:pict>
      </w:r>
      <w:r w:rsidR="00850DC5">
        <w:rPr>
          <w:rFonts w:ascii="Book Antiqua" w:hAnsi="Book Antiqua"/>
          <w:b/>
          <w:noProof/>
        </w:rPr>
        <w:pict w14:anchorId="1177C938">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338" type="#_x0000_t67" style="position:absolute;margin-left:241.9pt;margin-top:2.85pt;width:14.25pt;height:27.75pt;z-index:251536896;mso-position-horizontal-relative:text;mso-position-vertical-relative:text">
            <v:textbox style="layout-flow:vertical-ideographic"/>
          </v:shape>
        </w:pict>
      </w:r>
    </w:p>
    <w:p w14:paraId="714BB9B7"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3B6F23CA">
          <v:shape id="_x0000_s1372" type="#_x0000_t32" style="position:absolute;margin-left:357.6pt;margin-top:3.35pt;width:31.9pt;height:0;z-index:251568640" o:connectortype="straight">
            <v:stroke endarrow="block"/>
          </v:shape>
        </w:pict>
      </w:r>
      <w:r>
        <w:rPr>
          <w:rFonts w:ascii="Book Antiqua" w:hAnsi="Book Antiqua"/>
          <w:b/>
          <w:noProof/>
        </w:rPr>
        <w:pict w14:anchorId="31BCC9EF">
          <v:shape id="_x0000_s1346" type="#_x0000_t32" style="position:absolute;margin-left:132.4pt;margin-top:1.85pt;width:0;height:1.5pt;z-index:251542016" o:connectortype="straight"/>
        </w:pict>
      </w:r>
    </w:p>
    <w:p w14:paraId="0120830B"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329BAF97">
          <v:shape id="_x0000_s1495" style="position:absolute;margin-left:237.4pt;margin-top:7.6pt;width:21.35pt;height:22.6pt;z-index:251694592" coordsize="910,582" path="m32,582c16,577,,573,32,479,64,385,156,17,227,17v71,,155,462,229,462c530,479,596,,671,17v75,17,199,471,239,565e" filled="f">
            <v:path arrowok="t"/>
          </v:shape>
        </w:pict>
      </w:r>
      <w:r>
        <w:rPr>
          <w:rFonts w:ascii="Book Antiqua" w:hAnsi="Book Antiqua"/>
          <w:b/>
          <w:noProof/>
        </w:rPr>
        <w:pict w14:anchorId="19ABFE90">
          <v:oval id="_x0000_s1355" style="position:absolute;margin-left:234.75pt;margin-top:7.6pt;width:27pt;height:28.5pt;z-index:251551232"/>
        </w:pict>
      </w:r>
      <w:r w:rsidR="00E317C4" w:rsidRPr="00E3232D">
        <w:rPr>
          <w:rFonts w:ascii="Book Antiqua" w:hAnsi="Book Antiqua"/>
          <w:b/>
        </w:rPr>
        <w:t xml:space="preserve">                                                                       GE</w:t>
      </w:r>
    </w:p>
    <w:p w14:paraId="574FDD4A"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76519175">
          <v:shape id="_x0000_s1379" type="#_x0000_t32" style="position:absolute;margin-left:148.85pt;margin-top:7.8pt;width:31.9pt;height:0;z-index:251575808" o:connectortype="straight">
            <v:stroke endarrow="block"/>
          </v:shape>
        </w:pict>
      </w:r>
      <w:r>
        <w:rPr>
          <w:rFonts w:ascii="Book Antiqua" w:hAnsi="Book Antiqua"/>
          <w:b/>
          <w:noProof/>
        </w:rPr>
        <w:pict w14:anchorId="324629B8">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336" type="#_x0000_t91" style="position:absolute;margin-left:267.35pt;margin-top:-1.3pt;width:27.8pt;height:46pt;rotation:6196875fd;z-index:251534848" adj="15657,4760"/>
        </w:pict>
      </w:r>
      <w:r>
        <w:rPr>
          <w:rFonts w:ascii="Book Antiqua" w:hAnsi="Book Antiqua"/>
          <w:b/>
          <w:noProof/>
        </w:rPr>
        <w:pict w14:anchorId="48BB4731">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354" type="#_x0000_t5" style="position:absolute;margin-left:185.2pt;margin-top:-1.95pt;width:10.85pt;height:19.75pt;rotation:270;z-index:251550208" adj="11209"/>
        </w:pict>
      </w:r>
      <w:r w:rsidR="00E317C4" w:rsidRPr="00E3232D">
        <w:rPr>
          <w:rFonts w:ascii="Book Antiqua" w:hAnsi="Book Antiqua"/>
          <w:b/>
        </w:rPr>
        <w:t xml:space="preserve">                                                                        </w:t>
      </w:r>
      <w:r w:rsidR="00E317C4" w:rsidRPr="00E3232D">
        <w:rPr>
          <w:rFonts w:ascii="Book Antiqua" w:hAnsi="Book Antiqua"/>
        </w:rPr>
        <w:t xml:space="preserve">               SC</w:t>
      </w:r>
    </w:p>
    <w:p w14:paraId="2DE944BD"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53A70A5A">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378" type="#_x0000_t85" style="position:absolute;margin-left:228pt;margin-top:1.15pt;width:6.75pt;height:72.4pt;z-index:251574784" adj="0">
            <v:stroke startarrow="block"/>
          </v:shape>
        </w:pict>
      </w:r>
      <w:r>
        <w:rPr>
          <w:rFonts w:ascii="Book Antiqua" w:hAnsi="Book Antiqua"/>
          <w:b/>
          <w:noProof/>
        </w:rPr>
        <w:pict w14:anchorId="4A44F995">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375" type="#_x0000_t34" style="position:absolute;margin-left:195.1pt;margin-top:12.05pt;width:22.3pt;height:1.9pt;rotation:270;z-index:251571712" o:connectortype="elbow" adj=",-7603200,-270436">
            <v:stroke endarrow="block"/>
          </v:shape>
        </w:pict>
      </w:r>
      <w:r>
        <w:rPr>
          <w:rFonts w:ascii="Book Antiqua" w:hAnsi="Book Antiqua"/>
          <w:b/>
          <w:noProof/>
        </w:rPr>
        <w:pict w14:anchorId="5327AFA1">
          <v:shape id="_x0000_s1365" type="#_x0000_t67" style="position:absolute;margin-left:193pt;margin-top:1.15pt;width:9.35pt;height:22.1pt;z-index:251561472">
            <v:textbox style="layout-flow:vertical-ideographic"/>
          </v:shape>
        </w:pict>
      </w:r>
      <w:r w:rsidR="00E317C4" w:rsidRPr="00E3232D">
        <w:rPr>
          <w:rFonts w:ascii="Book Antiqua" w:hAnsi="Book Antiqua"/>
          <w:b/>
        </w:rPr>
        <w:t xml:space="preserve">                                                            </w:t>
      </w:r>
      <w:r w:rsidR="00E317C4" w:rsidRPr="00E3232D">
        <w:rPr>
          <w:rFonts w:ascii="Book Antiqua" w:hAnsi="Book Antiqua"/>
        </w:rPr>
        <w:t>mps</w:t>
      </w:r>
      <w:r w:rsidR="00E317C4" w:rsidRPr="00E3232D">
        <w:rPr>
          <w:rFonts w:ascii="Book Antiqua" w:hAnsi="Book Antiqua"/>
          <w:b/>
        </w:rPr>
        <w:t xml:space="preserve">                  </w:t>
      </w:r>
      <w:r w:rsidR="00E317C4" w:rsidRPr="00E3232D">
        <w:rPr>
          <w:rFonts w:ascii="Book Antiqua" w:hAnsi="Book Antiqua"/>
        </w:rPr>
        <w:t>atm</w:t>
      </w:r>
    </w:p>
    <w:p w14:paraId="68FED854"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34899FE9">
          <v:shape id="_x0000_s1366" type="#_x0000_t67" style="position:absolute;margin-left:240.25pt;margin-top:1.6pt;width:14.25pt;height:11.05pt;z-index:251562496">
            <v:textbox style="layout-flow:vertical-ideographic"/>
          </v:shape>
        </w:pict>
      </w:r>
      <w:r w:rsidR="00E317C4" w:rsidRPr="00E3232D">
        <w:rPr>
          <w:rFonts w:ascii="Book Antiqua" w:hAnsi="Book Antiqua"/>
          <w:b/>
        </w:rPr>
        <w:t xml:space="preserve">                                                                                                       </w:t>
      </w:r>
      <w:r w:rsidR="00E317C4" w:rsidRPr="00E3232D">
        <w:rPr>
          <w:rFonts w:ascii="Book Antiqua" w:hAnsi="Book Antiqua"/>
        </w:rPr>
        <w:t xml:space="preserve">mps   </w:t>
      </w:r>
    </w:p>
    <w:p w14:paraId="13BE0E45"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1EC8811E">
          <v:shape id="_x0000_s1493" style="position:absolute;margin-left:189.05pt;margin-top:1.15pt;width:18.15pt;height:16.2pt;z-index:251692544" coordsize="910,582" path="m32,582c16,577,,573,32,479,64,385,156,17,227,17v71,,155,462,229,462c530,479,596,,671,17v75,17,199,471,239,565e" filled="f">
            <v:path arrowok="t"/>
          </v:shape>
        </w:pict>
      </w:r>
      <w:r>
        <w:rPr>
          <w:rFonts w:ascii="Book Antiqua" w:hAnsi="Book Antiqua"/>
          <w:b/>
          <w:noProof/>
        </w:rPr>
        <w:pict w14:anchorId="0D0E1CB7">
          <v:shape id="_x0000_s1498" type="#_x0000_t32" style="position:absolute;margin-left:261.75pt;margin-top:.25pt;width:0;height:7.5pt;z-index:251697664" o:connectortype="straight"/>
        </w:pict>
      </w:r>
      <w:r>
        <w:rPr>
          <w:rFonts w:ascii="Book Antiqua" w:hAnsi="Book Antiqua"/>
          <w:b/>
          <w:noProof/>
        </w:rPr>
        <w:pict w14:anchorId="71705086">
          <v:oval id="_x0000_s1496" style="position:absolute;margin-left:238.3pt;margin-top:1.15pt;width:17.95pt;height:17.85pt;z-index:251695616"/>
        </w:pict>
      </w:r>
      <w:r>
        <w:rPr>
          <w:rFonts w:ascii="Book Antiqua" w:hAnsi="Book Antiqua"/>
          <w:b/>
          <w:noProof/>
        </w:rPr>
        <w:pict w14:anchorId="7CCE1FC9">
          <v:shape id="_x0000_s1380" type="#_x0000_t32" style="position:absolute;margin-left:261.75pt;margin-top:7.7pt;width:13pt;height:.05pt;z-index:251576832" o:connectortype="straight">
            <v:stroke endarrow="block"/>
          </v:shape>
        </w:pict>
      </w:r>
      <w:r>
        <w:rPr>
          <w:rFonts w:ascii="Book Antiqua" w:hAnsi="Book Antiqua"/>
          <w:b/>
          <w:noProof/>
        </w:rPr>
        <w:pict w14:anchorId="0AA64CA5">
          <v:shape id="_x0000_s1362" type="#_x0000_t5" style="position:absolute;margin-left:276.7pt;margin-top:-3.3pt;width:10.85pt;height:19.75pt;rotation:270;z-index:251558400" adj="11209"/>
        </w:pict>
      </w:r>
      <w:r>
        <w:rPr>
          <w:rFonts w:ascii="Book Antiqua" w:hAnsi="Book Antiqua"/>
          <w:b/>
          <w:noProof/>
        </w:rPr>
        <w:pict w14:anchorId="28D71BB4">
          <v:oval id="_x0000_s1363" style="position:absolute;margin-left:187.75pt;margin-top:.25pt;width:21.35pt;height:21.75pt;z-index:251559424" filled="f"/>
        </w:pict>
      </w:r>
      <w:r w:rsidR="00E317C4" w:rsidRPr="00E3232D">
        <w:rPr>
          <w:rFonts w:ascii="Book Antiqua" w:hAnsi="Book Antiqua"/>
          <w:b/>
        </w:rPr>
        <w:t xml:space="preserve">                                                                    </w:t>
      </w:r>
      <w:r w:rsidR="00E317C4" w:rsidRPr="00E3232D">
        <w:rPr>
          <w:rFonts w:ascii="Book Antiqua" w:hAnsi="Book Antiqua"/>
        </w:rPr>
        <w:t>GC                 CP                      AE</w:t>
      </w:r>
    </w:p>
    <w:p w14:paraId="7D363B4A"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5F4E7FFC">
          <v:shape id="_x0000_s1497" type="#_x0000_t32" style="position:absolute;margin-left:245.35pt;margin-top:1.2pt;width:.05pt;height:6.3pt;z-index:251696640" o:connectortype="straight">
            <v:stroke endarrow="block"/>
          </v:shape>
        </w:pict>
      </w:r>
      <w:r>
        <w:rPr>
          <w:rFonts w:ascii="Book Antiqua" w:hAnsi="Book Antiqua"/>
          <w:b/>
          <w:noProof/>
        </w:rPr>
        <w:pict w14:anchorId="6190DE35">
          <v:shape id="_x0000_s1377" type="#_x0000_t91" style="position:absolute;margin-left:256.15pt;margin-top:-.4pt;width:36.45pt;height:60pt;rotation:180;z-index:251573760" adj="15111,4842"/>
        </w:pict>
      </w:r>
      <w:r w:rsidR="00E317C4" w:rsidRPr="00E3232D">
        <w:rPr>
          <w:rFonts w:ascii="Book Antiqua" w:hAnsi="Book Antiqua"/>
          <w:b/>
        </w:rPr>
        <w:t xml:space="preserve">                                                                                                        </w:t>
      </w:r>
    </w:p>
    <w:p w14:paraId="248D7800"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0DA9742B">
          <v:shape id="_x0000_s1499" type="#_x0000_t34" style="position:absolute;margin-left:173.4pt;margin-top:11.95pt;width:32.1pt;height:17.85pt;rotation:90;z-index:251698688" o:connectortype="elbow" adj=",-299375,-135757">
            <v:stroke endarrow="block"/>
          </v:shape>
        </w:pict>
      </w:r>
      <w:r>
        <w:rPr>
          <w:rFonts w:ascii="Book Antiqua" w:hAnsi="Book Antiqua"/>
          <w:b/>
          <w:noProof/>
        </w:rPr>
        <w:pict w14:anchorId="38DA5217">
          <v:shape id="_x0000_s1337" type="#_x0000_t67" style="position:absolute;margin-left:240.25pt;margin-top:.1pt;width:11.75pt;height:20.65pt;z-index:251535872" filled="f">
            <v:textbox style="layout-flow:vertical-ideographic"/>
          </v:shape>
        </w:pict>
      </w:r>
      <w:r>
        <w:rPr>
          <w:rFonts w:ascii="Book Antiqua" w:hAnsi="Book Antiqua"/>
          <w:b/>
          <w:noProof/>
        </w:rPr>
        <w:pict w14:anchorId="2A8C063D">
          <v:shape id="_x0000_s1376" type="#_x0000_t34" style="position:absolute;margin-left:245.95pt;margin-top:11.45pt;width:22.3pt;height:1.9pt;rotation:270;z-index:251572736" o:connectortype="elbow" adj=",-7603200,-270436">
            <v:stroke endarrow="block"/>
          </v:shape>
        </w:pict>
      </w:r>
      <w:r w:rsidR="00E317C4" w:rsidRPr="00E3232D">
        <w:rPr>
          <w:rFonts w:ascii="Book Antiqua" w:hAnsi="Book Antiqua"/>
          <w:b/>
        </w:rPr>
        <w:t xml:space="preserve">                                                                                                         </w:t>
      </w:r>
      <w:r w:rsidR="00E317C4" w:rsidRPr="00E3232D">
        <w:rPr>
          <w:rFonts w:ascii="Book Antiqua" w:hAnsi="Book Antiqua"/>
        </w:rPr>
        <w:t>atm</w:t>
      </w:r>
    </w:p>
    <w:p w14:paraId="6241640D"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58D80962">
          <v:shape id="_x0000_s1494" style="position:absolute;margin-left:238.2pt;margin-top:9.25pt;width:17.95pt;height:16.2pt;z-index:251693568" coordsize="910,582" path="m32,582c16,577,,573,32,479,64,385,156,17,227,17v71,,155,462,229,462c530,479,596,,671,17v75,17,199,471,239,565e" filled="f">
            <v:path arrowok="t"/>
          </v:shape>
        </w:pict>
      </w:r>
      <w:r>
        <w:rPr>
          <w:rFonts w:ascii="Book Antiqua" w:hAnsi="Book Antiqua"/>
          <w:b/>
          <w:noProof/>
        </w:rPr>
        <w:pict w14:anchorId="72ECC96B">
          <v:shape id="_x0000_s1374" type="#_x0000_t202" style="position:absolute;margin-left:267.4pt;margin-top:37.5pt;width:160.5pt;height:18.75pt;z-index:251570688" filled="f" stroked="f">
            <v:textbox style="mso-next-textbox:#_x0000_s1374">
              <w:txbxContent>
                <w:p w14:paraId="159E420B" w14:textId="77777777" w:rsidR="00E2396E" w:rsidRPr="00AF72CC" w:rsidRDefault="00E2396E" w:rsidP="00E317C4">
                  <w:pPr>
                    <w:rPr>
                      <w:rFonts w:ascii="Times New Roman" w:hAnsi="Times New Roman"/>
                      <w:sz w:val="20"/>
                    </w:rPr>
                  </w:pPr>
                  <w:r w:rsidRPr="00AF72CC">
                    <w:rPr>
                      <w:rFonts w:ascii="Times New Roman" w:hAnsi="Times New Roman"/>
                      <w:sz w:val="20"/>
                    </w:rPr>
                    <w:t xml:space="preserve">Condensate to storage </w:t>
                  </w:r>
                </w:p>
              </w:txbxContent>
            </v:textbox>
          </v:shape>
        </w:pict>
      </w:r>
      <w:r>
        <w:rPr>
          <w:rFonts w:ascii="Book Antiqua" w:hAnsi="Book Antiqua"/>
          <w:b/>
          <w:noProof/>
        </w:rPr>
        <w:pict w14:anchorId="00F7FF64">
          <v:shapetype id="_x0000_t90" coordsize="21600,21600" o:spt="90" adj="9257,18514,7200" path="m@4,l@0@2@5@2@5@12,0@12,,21600@1,21600@1@2,21600@2xe">
            <v:stroke joinstyle="miter"/>
            <v:formulas>
              <v:f eqn="val #0"/>
              <v:f eqn="val #1"/>
              <v:f eqn="val #2"/>
              <v:f eqn="prod #0 1 2"/>
              <v:f eqn="sum @3 10800 0"/>
              <v:f eqn="sum 21600 #0 #1"/>
              <v:f eqn="sum #1 #2 0"/>
              <v:f eqn="prod @6 1 2"/>
              <v:f eqn="prod #1 2 1"/>
              <v:f eqn="sum @8 0 21600"/>
              <v:f eqn="prod 21600 @0 @1"/>
              <v:f eqn="prod 21600 @4 @1"/>
              <v:f eqn="prod 21600 @5 @1"/>
              <v:f eqn="prod 21600 @7 @1"/>
              <v:f eqn="prod #1 1 2"/>
              <v:f eqn="sum @5 0 @4"/>
              <v:f eqn="sum @0 0 @4"/>
              <v:f eqn="prod @2 @15 @16"/>
            </v:formulas>
            <v:path o:connecttype="custom" o:connectlocs="@4,0;@0,@2;0,@11;@14,21600;@1,@13;21600,@2" o:connectangles="270,180,180,90,0,0" textboxrect="0,@12,@1,21600;@5,@17,@1,21600"/>
            <v:handles>
              <v:h position="#0,topLeft" xrange="@2,@9"/>
              <v:h position="#1,#2" xrange="@4,21600" yrange="0,@0"/>
            </v:handles>
          </v:shapetype>
          <v:shape id="_x0000_s1373" type="#_x0000_t90" style="position:absolute;margin-left:242pt;margin-top:30.9pt;width:25.25pt;height:25.5pt;rotation:90;z-index:251569664"/>
        </w:pict>
      </w:r>
      <w:r>
        <w:rPr>
          <w:rFonts w:ascii="Book Antiqua" w:hAnsi="Book Antiqua"/>
          <w:b/>
          <w:noProof/>
        </w:rPr>
        <w:pict w14:anchorId="450D59FF">
          <v:oval id="_x0000_s1364" style="position:absolute;margin-left:236.6pt;margin-top:9.25pt;width:21.35pt;height:21.75pt;z-index:251560448"/>
        </w:pict>
      </w:r>
      <w:r w:rsidR="00E317C4" w:rsidRPr="00E3232D">
        <w:rPr>
          <w:rFonts w:ascii="Book Antiqua" w:hAnsi="Book Antiqua"/>
          <w:b/>
        </w:rPr>
        <w:t xml:space="preserve">                                                                                   </w:t>
      </w:r>
      <w:r w:rsidR="00E317C4" w:rsidRPr="00E3232D">
        <w:rPr>
          <w:rFonts w:ascii="Book Antiqua" w:hAnsi="Book Antiqua"/>
        </w:rPr>
        <w:t>AEC</w:t>
      </w:r>
    </w:p>
    <w:p w14:paraId="01A82E94" w14:textId="77777777" w:rsidR="00E317C4" w:rsidRPr="00E3232D" w:rsidRDefault="00E317C4" w:rsidP="008275E1">
      <w:pPr>
        <w:pStyle w:val="NoSpacing"/>
        <w:spacing w:line="276" w:lineRule="auto"/>
        <w:rPr>
          <w:rFonts w:ascii="Book Antiqua" w:hAnsi="Book Antiqua"/>
        </w:rPr>
      </w:pPr>
    </w:p>
    <w:p w14:paraId="2C0F8DCD"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b/>
        </w:rPr>
        <w:t xml:space="preserve">                                                                     </w:t>
      </w:r>
      <w:r w:rsidRPr="00E3232D">
        <w:rPr>
          <w:rFonts w:ascii="Book Antiqua" w:hAnsi="Book Antiqua"/>
        </w:rPr>
        <w:t>drain</w:t>
      </w:r>
    </w:p>
    <w:p w14:paraId="6BBFC77D" w14:textId="77777777" w:rsidR="00A0357A" w:rsidRDefault="00A0357A" w:rsidP="008275E1">
      <w:pPr>
        <w:pStyle w:val="NoSpacing"/>
        <w:spacing w:line="276" w:lineRule="auto"/>
        <w:rPr>
          <w:rFonts w:ascii="Book Antiqua" w:hAnsi="Book Antiqua"/>
          <w:b/>
        </w:rPr>
      </w:pPr>
    </w:p>
    <w:p w14:paraId="3754FFD5" w14:textId="77777777" w:rsidR="00A0357A" w:rsidRPr="00E3232D" w:rsidRDefault="00A0357A" w:rsidP="008275E1">
      <w:pPr>
        <w:pStyle w:val="NoSpacing"/>
        <w:spacing w:line="276" w:lineRule="auto"/>
        <w:rPr>
          <w:rFonts w:ascii="Book Antiqua" w:hAnsi="Book Antiqua"/>
          <w:b/>
        </w:rPr>
      </w:pPr>
    </w:p>
    <w:p w14:paraId="52E76286"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b/>
        </w:rPr>
        <w:t>Fig.1.1 A simplified diagram of Tema Oil Refinery’s steam turbine-generator and its auxilliaries</w:t>
      </w:r>
    </w:p>
    <w:p w14:paraId="11BB87D9" w14:textId="77777777" w:rsidR="00E317C4" w:rsidRPr="00E3232D" w:rsidRDefault="00E317C4" w:rsidP="008275E1">
      <w:pPr>
        <w:pStyle w:val="NoSpacing"/>
        <w:spacing w:line="276" w:lineRule="auto"/>
        <w:rPr>
          <w:rFonts w:ascii="Book Antiqua" w:hAnsi="Book Antiqua"/>
        </w:rPr>
      </w:pPr>
    </w:p>
    <w:p w14:paraId="62574927" w14:textId="77777777" w:rsidR="00E317C4" w:rsidRPr="00E3232D" w:rsidRDefault="00E317C4" w:rsidP="008275E1">
      <w:pPr>
        <w:pStyle w:val="NoSpacing"/>
        <w:spacing w:line="276" w:lineRule="auto"/>
        <w:rPr>
          <w:rFonts w:ascii="Book Antiqua" w:hAnsi="Book Antiqua"/>
          <w:b/>
        </w:rPr>
      </w:pPr>
      <w:r w:rsidRPr="00E3232D">
        <w:rPr>
          <w:rFonts w:ascii="Book Antiqua" w:hAnsi="Book Antiqua"/>
          <w:b/>
        </w:rPr>
        <w:t>Notes</w:t>
      </w:r>
    </w:p>
    <w:p w14:paraId="499E3549"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b/>
        </w:rPr>
        <w:t xml:space="preserve">AE </w:t>
      </w:r>
      <w:r w:rsidRPr="00E3232D">
        <w:rPr>
          <w:rFonts w:ascii="Book Antiqua" w:hAnsi="Book Antiqua"/>
        </w:rPr>
        <w:t xml:space="preserve">– air ejector; </w:t>
      </w:r>
      <w:r w:rsidRPr="00E3232D">
        <w:rPr>
          <w:rFonts w:ascii="Book Antiqua" w:hAnsi="Book Antiqua"/>
          <w:b/>
        </w:rPr>
        <w:t xml:space="preserve">AEC – </w:t>
      </w:r>
      <w:r w:rsidRPr="00E3232D">
        <w:rPr>
          <w:rFonts w:ascii="Book Antiqua" w:hAnsi="Book Antiqua"/>
        </w:rPr>
        <w:t xml:space="preserve">air ejector condenser; </w:t>
      </w:r>
      <w:r w:rsidRPr="00E3232D">
        <w:rPr>
          <w:rFonts w:ascii="Book Antiqua" w:hAnsi="Book Antiqua"/>
          <w:b/>
        </w:rPr>
        <w:t xml:space="preserve">EG – </w:t>
      </w:r>
      <w:r w:rsidRPr="00E3232D">
        <w:rPr>
          <w:rFonts w:ascii="Book Antiqua" w:hAnsi="Book Antiqua"/>
        </w:rPr>
        <w:t xml:space="preserve">electric generator; </w:t>
      </w:r>
      <w:r w:rsidRPr="00E3232D">
        <w:rPr>
          <w:rFonts w:ascii="Book Antiqua" w:hAnsi="Book Antiqua"/>
          <w:b/>
        </w:rPr>
        <w:t xml:space="preserve">GE – </w:t>
      </w:r>
      <w:r w:rsidRPr="00E3232D">
        <w:rPr>
          <w:rFonts w:ascii="Book Antiqua" w:hAnsi="Book Antiqua"/>
        </w:rPr>
        <w:t xml:space="preserve">gland ejector; </w:t>
      </w:r>
      <w:r w:rsidRPr="00E3232D">
        <w:rPr>
          <w:rFonts w:ascii="Book Antiqua" w:hAnsi="Book Antiqua"/>
          <w:b/>
        </w:rPr>
        <w:t xml:space="preserve">GC </w:t>
      </w:r>
      <w:r w:rsidRPr="00E3232D">
        <w:rPr>
          <w:rFonts w:ascii="Book Antiqua" w:hAnsi="Book Antiqua"/>
        </w:rPr>
        <w:t xml:space="preserve">– gland condenser; </w:t>
      </w:r>
      <w:r w:rsidRPr="00E3232D">
        <w:rPr>
          <w:rFonts w:ascii="Book Antiqua" w:hAnsi="Book Antiqua"/>
          <w:b/>
        </w:rPr>
        <w:t xml:space="preserve">RG - </w:t>
      </w:r>
      <w:r w:rsidRPr="00E3232D">
        <w:rPr>
          <w:rFonts w:ascii="Book Antiqua" w:hAnsi="Book Antiqua"/>
        </w:rPr>
        <w:t xml:space="preserve">reduction gear; </w:t>
      </w:r>
      <w:r w:rsidRPr="00E3232D">
        <w:rPr>
          <w:rFonts w:ascii="Book Antiqua" w:hAnsi="Book Antiqua"/>
          <w:b/>
        </w:rPr>
        <w:t xml:space="preserve">SC – </w:t>
      </w:r>
      <w:r w:rsidRPr="00E3232D">
        <w:rPr>
          <w:rFonts w:ascii="Book Antiqua" w:hAnsi="Book Antiqua"/>
        </w:rPr>
        <w:t xml:space="preserve">surface condenser; </w:t>
      </w:r>
      <w:r w:rsidRPr="00E3232D">
        <w:rPr>
          <w:rFonts w:ascii="Book Antiqua" w:hAnsi="Book Antiqua"/>
          <w:b/>
        </w:rPr>
        <w:t>CP –</w:t>
      </w:r>
      <w:r w:rsidRPr="00E3232D">
        <w:rPr>
          <w:rFonts w:ascii="Book Antiqua" w:hAnsi="Book Antiqua"/>
        </w:rPr>
        <w:t xml:space="preserve"> condensate pump; </w:t>
      </w:r>
      <w:r w:rsidRPr="00E3232D">
        <w:rPr>
          <w:rFonts w:ascii="Book Antiqua" w:hAnsi="Book Antiqua"/>
          <w:b/>
        </w:rPr>
        <w:t>atm</w:t>
      </w:r>
      <w:r w:rsidRPr="00E3232D">
        <w:rPr>
          <w:rFonts w:ascii="Book Antiqua" w:hAnsi="Book Antiqua"/>
        </w:rPr>
        <w:t xml:space="preserve"> – gases to the atmosphere;</w:t>
      </w:r>
    </w:p>
    <w:p w14:paraId="556EFC5F"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rPr>
        <w:t xml:space="preserve"> </w:t>
      </w:r>
      <w:r w:rsidRPr="00E3232D">
        <w:rPr>
          <w:rFonts w:ascii="Book Antiqua" w:hAnsi="Book Antiqua"/>
          <w:b/>
        </w:rPr>
        <w:t>HPS –</w:t>
      </w:r>
      <w:r w:rsidRPr="00E3232D">
        <w:rPr>
          <w:rFonts w:ascii="Book Antiqua" w:hAnsi="Book Antiqua"/>
        </w:rPr>
        <w:t xml:space="preserve"> high pressure steam; </w:t>
      </w:r>
      <w:r w:rsidRPr="00E3232D">
        <w:rPr>
          <w:rFonts w:ascii="Book Antiqua" w:hAnsi="Book Antiqua"/>
          <w:b/>
        </w:rPr>
        <w:t>lp</w:t>
      </w:r>
      <w:r w:rsidRPr="00E3232D">
        <w:rPr>
          <w:rFonts w:ascii="Book Antiqua" w:hAnsi="Book Antiqua"/>
        </w:rPr>
        <w:t xml:space="preserve"> – low pressure; </w:t>
      </w:r>
      <w:r w:rsidRPr="00E3232D">
        <w:rPr>
          <w:rFonts w:ascii="Book Antiqua" w:hAnsi="Book Antiqua"/>
          <w:b/>
        </w:rPr>
        <w:t>mps</w:t>
      </w:r>
      <w:r w:rsidRPr="00E3232D">
        <w:rPr>
          <w:rFonts w:ascii="Book Antiqua" w:hAnsi="Book Antiqua"/>
        </w:rPr>
        <w:t xml:space="preserve"> – medium pressure steam; </w:t>
      </w:r>
      <w:r w:rsidRPr="00E3232D">
        <w:rPr>
          <w:rFonts w:ascii="Book Antiqua" w:hAnsi="Book Antiqua"/>
          <w:b/>
        </w:rPr>
        <w:t xml:space="preserve">PCV – </w:t>
      </w:r>
      <w:r w:rsidRPr="00E3232D">
        <w:rPr>
          <w:rFonts w:ascii="Book Antiqua" w:hAnsi="Book Antiqua"/>
        </w:rPr>
        <w:t>pressure control valve</w:t>
      </w:r>
    </w:p>
    <w:p w14:paraId="1DD4B3F6"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rPr>
        <w:t>The plant under investigation feeds an oil refinery.</w:t>
      </w:r>
    </w:p>
    <w:p w14:paraId="0408A9FB"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rPr>
        <w:t xml:space="preserve">                                                                                                                          11KV   ECG INCOMER</w:t>
      </w:r>
    </w:p>
    <w:p w14:paraId="5B6DABD8" w14:textId="77777777" w:rsidR="00E317C4" w:rsidRPr="00E3232D" w:rsidRDefault="00850DC5" w:rsidP="008275E1">
      <w:pPr>
        <w:pStyle w:val="NoSpacing"/>
        <w:spacing w:line="276" w:lineRule="auto"/>
        <w:rPr>
          <w:rFonts w:ascii="Book Antiqua" w:hAnsi="Book Antiqua"/>
          <w:b/>
        </w:rPr>
      </w:pPr>
      <w:r>
        <w:rPr>
          <w:rFonts w:ascii="Book Antiqua" w:hAnsi="Book Antiqua"/>
          <w:noProof/>
        </w:rPr>
        <w:pict w14:anchorId="2C426E18">
          <v:shape id="_x0000_s1396" type="#_x0000_t32" style="position:absolute;margin-left:300.6pt;margin-top:8.4pt;width:.15pt;height:28.9pt;flip:x;z-index:251593216" o:connectortype="straight"/>
        </w:pict>
      </w:r>
      <w:r>
        <w:rPr>
          <w:rFonts w:ascii="Book Antiqua" w:hAnsi="Book Antiqua"/>
          <w:noProof/>
        </w:rPr>
        <w:pict w14:anchorId="0B866796">
          <v:shape id="_x0000_s1382" type="#_x0000_t32" style="position:absolute;margin-left:267.7pt;margin-top:8.4pt;width:63.75pt;height:0;z-index:251578880" o:connectortype="straight" strokeweight="2pt"/>
        </w:pict>
      </w:r>
      <w:r w:rsidR="00E317C4" w:rsidRPr="00E3232D">
        <w:rPr>
          <w:rFonts w:ascii="Book Antiqua" w:hAnsi="Book Antiqua"/>
          <w:b/>
        </w:rPr>
        <w:t xml:space="preserve">                                                                                                                             </w:t>
      </w:r>
    </w:p>
    <w:p w14:paraId="19665703" w14:textId="77777777" w:rsidR="00E317C4" w:rsidRPr="00E3232D" w:rsidRDefault="00E317C4" w:rsidP="008275E1">
      <w:pPr>
        <w:pStyle w:val="NoSpacing"/>
        <w:spacing w:line="276" w:lineRule="auto"/>
        <w:rPr>
          <w:rFonts w:ascii="Book Antiqua" w:hAnsi="Book Antiqua"/>
          <w:b/>
        </w:rPr>
      </w:pPr>
      <w:r w:rsidRPr="00E3232D">
        <w:rPr>
          <w:rFonts w:ascii="Book Antiqua" w:hAnsi="Book Antiqua"/>
          <w:b/>
        </w:rPr>
        <w:t xml:space="preserve">                                                                                                                            CB1</w:t>
      </w:r>
    </w:p>
    <w:p w14:paraId="0624C3E4"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3E40A94D">
          <v:rect id="_x0000_s1407" style="position:absolute;margin-left:295.2pt;margin-top:-.35pt;width:11.65pt;height:8.25pt;z-index:251604480"/>
        </w:pict>
      </w:r>
      <w:r>
        <w:rPr>
          <w:rFonts w:ascii="Book Antiqua" w:hAnsi="Book Antiqua"/>
          <w:noProof/>
        </w:rPr>
        <w:pict w14:anchorId="51ABD792">
          <v:oval id="_x0000_s1400" style="position:absolute;margin-left:146.2pt;margin-top:3.8pt;width:22.5pt;height:21pt;z-index:251597312"/>
        </w:pict>
      </w:r>
      <w:r>
        <w:rPr>
          <w:rFonts w:ascii="Book Antiqua" w:hAnsi="Book Antiqua"/>
          <w:b/>
          <w:noProof/>
        </w:rPr>
        <w:pict w14:anchorId="4879EBC2">
          <v:oval id="_x0000_s1399" style="position:absolute;margin-left:63.7pt;margin-top:3.8pt;width:22.5pt;height:21pt;z-index:251596288"/>
        </w:pict>
      </w:r>
      <w:r w:rsidR="00E317C4" w:rsidRPr="00E3232D">
        <w:rPr>
          <w:rFonts w:ascii="Book Antiqua" w:hAnsi="Book Antiqua"/>
          <w:b/>
        </w:rPr>
        <w:t xml:space="preserve">              STG3                        STG4</w:t>
      </w:r>
    </w:p>
    <w:p w14:paraId="4B7BC557"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085644A7">
          <v:oval id="_x0000_s1383" style="position:absolute;margin-left:292pt;margin-top:2.8pt;width:17.25pt;height:12pt;z-index:251579904"/>
        </w:pict>
      </w:r>
      <w:r>
        <w:rPr>
          <w:rFonts w:ascii="Book Antiqua" w:hAnsi="Book Antiqua"/>
          <w:b/>
          <w:noProof/>
        </w:rPr>
        <w:pict w14:anchorId="70945F9B">
          <v:oval id="_x0000_s1384" style="position:absolute;margin-left:292pt;margin-top:8.65pt;width:17.25pt;height:11.4pt;z-index:251580928" filled="f"/>
        </w:pict>
      </w:r>
      <w:r>
        <w:rPr>
          <w:rFonts w:ascii="Book Antiqua" w:hAnsi="Book Antiqua"/>
          <w:b/>
          <w:noProof/>
        </w:rPr>
        <w:pict w14:anchorId="0724AC35">
          <v:shape id="_x0000_s1402" style="position:absolute;margin-left:147.35pt;margin-top:.3pt;width:21.35pt;height:4.9pt;z-index:251599360" coordsize="480,218" path="m,218c69,109,138,,195,v57,,103,218,150,218c392,218,458,36,480,e" filled="f">
            <v:path arrowok="t"/>
          </v:shape>
        </w:pict>
      </w:r>
      <w:r>
        <w:rPr>
          <w:rFonts w:ascii="Book Antiqua" w:hAnsi="Book Antiqua"/>
          <w:b/>
          <w:noProof/>
        </w:rPr>
        <w:pict w14:anchorId="24EF1A23">
          <v:shape id="_x0000_s1401" style="position:absolute;margin-left:64.85pt;margin-top:.3pt;width:21.35pt;height:4.9pt;z-index:251598336" coordsize="480,218" path="m,218c69,109,138,,195,v57,,103,218,150,218c392,218,458,36,480,e" filled="f">
            <v:path arrowok="t"/>
          </v:shape>
        </w:pict>
      </w:r>
      <w:r w:rsidR="00E317C4" w:rsidRPr="00E3232D">
        <w:rPr>
          <w:rFonts w:ascii="Book Antiqua" w:hAnsi="Book Antiqua"/>
          <w:b/>
        </w:rPr>
        <w:t xml:space="preserve">                                                                                                                               11/6 KV</w:t>
      </w:r>
    </w:p>
    <w:p w14:paraId="664E6754"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03CA82FD">
          <v:shape id="_x0000_s1397" type="#_x0000_t32" style="position:absolute;margin-left:300.65pt;margin-top:8.55pt;width:.1pt;height:29.25pt;flip:x;z-index:251594240" o:connectortype="straight">
            <v:stroke endarrow="oval"/>
          </v:shape>
        </w:pict>
      </w:r>
      <w:r>
        <w:rPr>
          <w:rFonts w:ascii="Book Antiqua" w:hAnsi="Book Antiqua"/>
          <w:b/>
          <w:noProof/>
        </w:rPr>
        <w:pict w14:anchorId="0B0FE853">
          <v:shape id="_x0000_s1404" type="#_x0000_t32" style="position:absolute;margin-left:156pt;margin-top:1.8pt;width:0;height:58.15pt;z-index:251601408" o:connectortype="straight">
            <v:stroke endarrow="oval"/>
          </v:shape>
        </w:pict>
      </w:r>
      <w:r>
        <w:rPr>
          <w:rFonts w:ascii="Book Antiqua" w:hAnsi="Book Antiqua"/>
          <w:b/>
          <w:noProof/>
        </w:rPr>
        <w:pict w14:anchorId="7C506568">
          <v:shape id="_x0000_s1403" type="#_x0000_t32" style="position:absolute;margin-left:74.25pt;margin-top:3.3pt;width:0;height:56.65pt;z-index:251600384" o:connectortype="straight">
            <v:stroke endarrow="oval"/>
          </v:shape>
        </w:pict>
      </w:r>
      <w:r>
        <w:rPr>
          <w:rFonts w:ascii="Book Antiqua" w:hAnsi="Book Antiqua"/>
          <w:b/>
          <w:noProof/>
        </w:rPr>
        <w:pict w14:anchorId="334F3BE5">
          <v:rect id="_x0000_s1408" style="position:absolute;margin-left:152.2pt;margin-top:8.55pt;width:11.65pt;height:8.25pt;z-index:251605504"/>
        </w:pict>
      </w:r>
      <w:r>
        <w:rPr>
          <w:rFonts w:ascii="Book Antiqua" w:hAnsi="Book Antiqua"/>
          <w:b/>
          <w:noProof/>
        </w:rPr>
        <w:pict w14:anchorId="01B99670">
          <v:rect id="_x0000_s1405" style="position:absolute;margin-left:67.85pt;margin-top:8.55pt;width:11.65pt;height:8.25pt;z-index:251602432"/>
        </w:pict>
      </w:r>
      <w:r w:rsidR="00E317C4" w:rsidRPr="00E3232D">
        <w:rPr>
          <w:rFonts w:ascii="Book Antiqua" w:hAnsi="Book Antiqua"/>
          <w:b/>
        </w:rPr>
        <w:t xml:space="preserve">                                                                                                                                     </w:t>
      </w:r>
    </w:p>
    <w:p w14:paraId="68DF01B7"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47CCFCC9">
          <v:rect id="_x0000_s1406" style="position:absolute;margin-left:295.2pt;margin-top:5.3pt;width:11.65pt;height:8.25pt;z-index:251603456"/>
        </w:pict>
      </w:r>
      <w:r w:rsidR="00E317C4" w:rsidRPr="00E3232D">
        <w:rPr>
          <w:rFonts w:ascii="Book Antiqua" w:hAnsi="Book Antiqua"/>
          <w:b/>
        </w:rPr>
        <w:t xml:space="preserve">                                                                                                                            CB12</w:t>
      </w:r>
    </w:p>
    <w:p w14:paraId="4E51C184" w14:textId="77777777" w:rsidR="00E317C4" w:rsidRPr="00E3232D" w:rsidRDefault="00850DC5" w:rsidP="008275E1">
      <w:pPr>
        <w:pStyle w:val="NoSpacing"/>
        <w:spacing w:line="276" w:lineRule="auto"/>
        <w:rPr>
          <w:rFonts w:ascii="Book Antiqua" w:hAnsi="Book Antiqua"/>
        </w:rPr>
      </w:pPr>
      <w:r>
        <w:rPr>
          <w:rFonts w:ascii="Book Antiqua" w:hAnsi="Book Antiqua"/>
          <w:b/>
          <w:noProof/>
        </w:rPr>
        <w:pict w14:anchorId="1E0A8A68">
          <v:rect id="_x0000_s1409" style="position:absolute;margin-left:13.1pt;margin-top:9.15pt;width:11.65pt;height:9.75pt;z-index:251606528"/>
        </w:pict>
      </w:r>
      <w:r w:rsidR="00E317C4" w:rsidRPr="00E3232D">
        <w:rPr>
          <w:rFonts w:ascii="Book Antiqua" w:hAnsi="Book Antiqua"/>
          <w:b/>
        </w:rPr>
        <w:t xml:space="preserve"> CB13                                                                                                                              </w:t>
      </w:r>
      <w:r w:rsidR="00E317C4" w:rsidRPr="00E3232D">
        <w:rPr>
          <w:rFonts w:ascii="Book Antiqua" w:hAnsi="Book Antiqua"/>
        </w:rPr>
        <w:t>6KV BUSBAR A</w:t>
      </w:r>
    </w:p>
    <w:p w14:paraId="3179BE58"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156C8B08">
          <v:shape id="_x0000_s1423" type="#_x0000_t32" style="position:absolute;margin-left:105.75pt;margin-top:2.55pt;width:0;height:54.25pt;z-index:251620864" o:connectortype="straight">
            <v:stroke startarrow="oval"/>
          </v:shape>
        </w:pict>
      </w:r>
      <w:r>
        <w:rPr>
          <w:rFonts w:ascii="Book Antiqua" w:hAnsi="Book Antiqua"/>
          <w:b/>
          <w:noProof/>
        </w:rPr>
        <w:pict w14:anchorId="001E5DD2">
          <v:shape id="_x0000_s1429" type="#_x0000_t32" style="position:absolute;margin-left:33.7pt;margin-top:2.55pt;width:.05pt;height:109.2pt;z-index:251627008" o:connectortype="straight">
            <v:stroke startarrow="oval" endarrow="block"/>
          </v:shape>
        </w:pict>
      </w:r>
      <w:r>
        <w:rPr>
          <w:rFonts w:ascii="Book Antiqua" w:hAnsi="Book Antiqua"/>
          <w:b/>
          <w:noProof/>
        </w:rPr>
        <w:pict w14:anchorId="2801DF56">
          <v:shape id="_x0000_s1414" type="#_x0000_t32" style="position:absolute;margin-left:-1.15pt;margin-top:2.55pt;width:.05pt;height:22.85pt;z-index:251611648" o:connectortype="straight" strokeweight="2pt"/>
        </w:pict>
      </w:r>
      <w:r>
        <w:rPr>
          <w:rFonts w:ascii="Book Antiqua" w:hAnsi="Book Antiqua"/>
          <w:b/>
          <w:noProof/>
        </w:rPr>
        <w:pict w14:anchorId="6AE1B9DD">
          <v:shape id="_x0000_s1381" type="#_x0000_t32" style="position:absolute;margin-left:-1.5pt;margin-top:2.55pt;width:441.75pt;height:0;z-index:251577856" o:connectortype="straight" strokeweight="2pt"/>
        </w:pict>
      </w:r>
      <w:r>
        <w:rPr>
          <w:rFonts w:ascii="Book Antiqua" w:hAnsi="Book Antiqua"/>
          <w:b/>
          <w:noProof/>
        </w:rPr>
        <w:pict w14:anchorId="70A4306B">
          <v:shape id="_x0000_s1417" type="#_x0000_t32" style="position:absolute;margin-left:331.45pt;margin-top:2.55pt;width:.05pt;height:51.75pt;z-index:251614720" o:connectortype="straight">
            <v:stroke startarrow="oval"/>
          </v:shape>
        </w:pict>
      </w:r>
      <w:r>
        <w:rPr>
          <w:rFonts w:ascii="Book Antiqua" w:hAnsi="Book Antiqua"/>
          <w:b/>
          <w:noProof/>
        </w:rPr>
        <w:pict w14:anchorId="65E270AE">
          <v:shape id="_x0000_s1418" type="#_x0000_t32" style="position:absolute;margin-left:275.95pt;margin-top:3.3pt;width:.05pt;height:51.75pt;z-index:251615744" o:connectortype="straight">
            <v:stroke startarrow="oval"/>
          </v:shape>
        </w:pict>
      </w:r>
      <w:r>
        <w:rPr>
          <w:rFonts w:ascii="Book Antiqua" w:hAnsi="Book Antiqua"/>
          <w:b/>
          <w:noProof/>
        </w:rPr>
        <w:pict w14:anchorId="3B09AE22">
          <v:shape id="_x0000_s1339" type="#_x0000_t32" style="position:absolute;margin-left:220.45pt;margin-top:2.55pt;width:.05pt;height:51.75pt;z-index:251537920" o:connectortype="straight">
            <v:stroke startarrow="oval"/>
          </v:shape>
        </w:pict>
      </w:r>
      <w:r>
        <w:rPr>
          <w:rFonts w:ascii="Book Antiqua" w:hAnsi="Book Antiqua"/>
          <w:b/>
          <w:noProof/>
        </w:rPr>
        <w:pict w14:anchorId="7D6A2FE8">
          <v:shape id="_x0000_s1421" type="#_x0000_t32" style="position:absolute;margin-left:163.85pt;margin-top:3.3pt;width:.05pt;height:50.5pt;z-index:251618816" o:connectortype="straight">
            <v:stroke startarrow="oval"/>
          </v:shape>
        </w:pict>
      </w:r>
      <w:r>
        <w:rPr>
          <w:rFonts w:ascii="Book Antiqua" w:hAnsi="Book Antiqua"/>
          <w:b/>
          <w:noProof/>
        </w:rPr>
        <w:pict w14:anchorId="6DBCC426">
          <v:shape id="_x0000_s1415" type="#_x0000_t32" style="position:absolute;margin-left:398.3pt;margin-top:3.3pt;width:0;height:51.75pt;z-index:251612672" o:connectortype="straight">
            <v:stroke startarrow="oval"/>
          </v:shape>
        </w:pict>
      </w:r>
    </w:p>
    <w:p w14:paraId="26880432"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7DBDE328">
          <v:rect id="_x0000_s1410" style="position:absolute;margin-left:13.1pt;margin-top:10.8pt;width:11.65pt;height:8.25pt;z-index:251607552"/>
        </w:pict>
      </w:r>
      <w:r w:rsidR="00E317C4" w:rsidRPr="00E3232D">
        <w:rPr>
          <w:rFonts w:ascii="Book Antiqua" w:hAnsi="Book Antiqua"/>
          <w:b/>
        </w:rPr>
        <w:t xml:space="preserve">CB14                                                                                                                              </w:t>
      </w:r>
      <w:r w:rsidR="00E317C4" w:rsidRPr="00E3232D">
        <w:rPr>
          <w:rFonts w:ascii="Book Antiqua" w:hAnsi="Book Antiqua"/>
        </w:rPr>
        <w:t>6KV BUSBAR B</w:t>
      </w:r>
      <w:r w:rsidR="00E317C4" w:rsidRPr="00E3232D">
        <w:rPr>
          <w:rFonts w:ascii="Book Antiqua" w:hAnsi="Book Antiqua"/>
          <w:b/>
        </w:rPr>
        <w:t xml:space="preserve">                                                                                                          </w:t>
      </w:r>
    </w:p>
    <w:p w14:paraId="4B15BDEB"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78C07162">
          <v:shape id="_x0000_s1341" type="#_x0000_t32" style="position:absolute;margin-left:432.4pt;margin-top:2.45pt;width:.05pt;height:29.15pt;z-index:251539968" o:connectortype="straight">
            <v:stroke startarrow="oval"/>
          </v:shape>
        </w:pict>
      </w:r>
      <w:r>
        <w:rPr>
          <w:rFonts w:ascii="Book Antiqua" w:hAnsi="Book Antiqua"/>
          <w:b/>
          <w:noProof/>
        </w:rPr>
        <w:pict w14:anchorId="09CAC68C">
          <v:shape id="_x0000_s1416" type="#_x0000_t32" style="position:absolute;margin-left:366.05pt;margin-top:2.45pt;width:0;height:29.6pt;z-index:251613696" o:connectortype="straight">
            <v:stroke startarrow="oval"/>
          </v:shape>
        </w:pict>
      </w:r>
      <w:r>
        <w:rPr>
          <w:rFonts w:ascii="Book Antiqua" w:hAnsi="Book Antiqua"/>
          <w:b/>
          <w:noProof/>
        </w:rPr>
        <w:pict w14:anchorId="432FABC5">
          <v:shape id="_x0000_s1340" type="#_x0000_t32" style="position:absolute;margin-left:300.7pt;margin-top:2.4pt;width:.05pt;height:31.4pt;z-index:251538944" o:connectortype="straight">
            <v:stroke startarrow="oval"/>
          </v:shape>
        </w:pict>
      </w:r>
      <w:r>
        <w:rPr>
          <w:rFonts w:ascii="Book Antiqua" w:hAnsi="Book Antiqua"/>
          <w:b/>
          <w:noProof/>
        </w:rPr>
        <w:pict w14:anchorId="16DD8647">
          <v:shape id="_x0000_s1419" type="#_x0000_t32" style="position:absolute;margin-left:245.3pt;margin-top:2.4pt;width:0;height:29.2pt;z-index:251616768" o:connectortype="straight">
            <v:stroke startarrow="oval"/>
          </v:shape>
        </w:pict>
      </w:r>
      <w:r>
        <w:rPr>
          <w:rFonts w:ascii="Book Antiqua" w:hAnsi="Book Antiqua"/>
          <w:b/>
          <w:noProof/>
        </w:rPr>
        <w:pict w14:anchorId="4B74FFE0">
          <v:shape id="_x0000_s1420" type="#_x0000_t32" style="position:absolute;margin-left:194.25pt;margin-top:2.4pt;width:.05pt;height:31.4pt;z-index:251617792" o:connectortype="straight">
            <v:stroke startarrow="oval"/>
          </v:shape>
        </w:pict>
      </w:r>
      <w:r>
        <w:rPr>
          <w:rFonts w:ascii="Book Antiqua" w:hAnsi="Book Antiqua"/>
          <w:b/>
          <w:noProof/>
        </w:rPr>
        <w:pict w14:anchorId="6289030C">
          <v:shape id="_x0000_s1422" type="#_x0000_t32" style="position:absolute;margin-left:131.3pt;margin-top:2.4pt;width:0;height:28.4pt;z-index:251619840" o:connectortype="straight">
            <v:stroke startarrow="oval"/>
          </v:shape>
        </w:pict>
      </w:r>
      <w:r>
        <w:rPr>
          <w:rFonts w:ascii="Book Antiqua" w:hAnsi="Book Antiqua"/>
          <w:b/>
          <w:noProof/>
        </w:rPr>
        <w:pict w14:anchorId="3D46D8EC">
          <v:shape id="_x0000_s1426" type="#_x0000_t32" style="position:absolute;margin-left:56.2pt;margin-top:2.4pt;width:.05pt;height:82.7pt;z-index:251623936" o:connectortype="straight">
            <v:stroke startarrow="oval" endarrow="block"/>
          </v:shape>
        </w:pict>
      </w:r>
      <w:r>
        <w:rPr>
          <w:rFonts w:ascii="Book Antiqua" w:hAnsi="Book Antiqua"/>
          <w:b/>
          <w:noProof/>
        </w:rPr>
        <w:pict w14:anchorId="61FCAF59">
          <v:shape id="_x0000_s1398" type="#_x0000_t32" style="position:absolute;margin-left:-1.5pt;margin-top:2.4pt;width:445.5pt;height:.05pt;z-index:251595264" o:connectortype="straight" strokeweight="2pt"/>
        </w:pict>
      </w:r>
    </w:p>
    <w:p w14:paraId="1C23AC5A"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35DFCC77">
          <v:rect id="_x0000_s1463" style="position:absolute;margin-left:125.35pt;margin-top:2.55pt;width:11.65pt;height:8.25pt;z-index:251661824"/>
        </w:pict>
      </w:r>
      <w:r>
        <w:rPr>
          <w:rFonts w:ascii="Book Antiqua" w:hAnsi="Book Antiqua"/>
          <w:b/>
          <w:noProof/>
        </w:rPr>
        <w:pict w14:anchorId="65B3B09E">
          <v:rect id="_x0000_s1472" style="position:absolute;margin-left:52.05pt;margin-top:3.3pt;width:11.65pt;height:8.25pt;z-index:251671040"/>
        </w:pict>
      </w:r>
      <w:r>
        <w:rPr>
          <w:rFonts w:ascii="Book Antiqua" w:hAnsi="Book Antiqua"/>
          <w:b/>
          <w:noProof/>
        </w:rPr>
        <w:pict w14:anchorId="398B90DD">
          <v:rect id="_x0000_s1474" style="position:absolute;margin-left:30.65pt;margin-top:3.3pt;width:11.65pt;height:8.25pt;z-index:251673088"/>
        </w:pict>
      </w:r>
      <w:r>
        <w:rPr>
          <w:rFonts w:ascii="Book Antiqua" w:hAnsi="Book Antiqua"/>
          <w:b/>
          <w:noProof/>
        </w:rPr>
        <w:pict w14:anchorId="3A41449A">
          <v:rect id="_x0000_s1470" style="position:absolute;margin-left:102.4pt;margin-top:3.3pt;width:11.65pt;height:8.25pt;z-index:251668992"/>
        </w:pict>
      </w:r>
      <w:r>
        <w:rPr>
          <w:rFonts w:ascii="Book Antiqua" w:hAnsi="Book Antiqua"/>
          <w:b/>
          <w:noProof/>
        </w:rPr>
        <w:pict w14:anchorId="74F1AB5F">
          <v:rect id="_x0000_s1461" style="position:absolute;margin-left:157.05pt;margin-top:3.3pt;width:11.65pt;height:8.25pt;z-index:251659776"/>
        </w:pict>
      </w:r>
      <w:r>
        <w:rPr>
          <w:rFonts w:ascii="Book Antiqua" w:hAnsi="Book Antiqua"/>
          <w:b/>
          <w:noProof/>
        </w:rPr>
        <w:pict w14:anchorId="76485D22">
          <v:rect id="_x0000_s1459" style="position:absolute;margin-left:186.7pt;margin-top:3.3pt;width:11.65pt;height:8.25pt;z-index:251657728"/>
        </w:pict>
      </w:r>
      <w:r>
        <w:rPr>
          <w:rFonts w:ascii="Book Antiqua" w:hAnsi="Book Antiqua"/>
          <w:b/>
          <w:noProof/>
        </w:rPr>
        <w:pict w14:anchorId="5129EAD8">
          <v:rect id="_x0000_s1413" style="position:absolute;margin-left:3in;margin-top:3.3pt;width:11.65pt;height:8.25pt;z-index:251610624"/>
        </w:pict>
      </w:r>
      <w:r>
        <w:rPr>
          <w:rFonts w:ascii="Book Antiqua" w:hAnsi="Book Antiqua"/>
          <w:b/>
          <w:noProof/>
        </w:rPr>
        <w:pict w14:anchorId="5023464C">
          <v:rect id="_x0000_s1449" style="position:absolute;margin-left:240pt;margin-top:3.3pt;width:11.65pt;height:8.25pt;z-index:251647488"/>
        </w:pict>
      </w:r>
      <w:r>
        <w:rPr>
          <w:rFonts w:ascii="Book Antiqua" w:hAnsi="Book Antiqua"/>
          <w:b/>
          <w:noProof/>
        </w:rPr>
        <w:pict w14:anchorId="744CA5AD">
          <v:rect id="_x0000_s1447" style="position:absolute;margin-left:270pt;margin-top:2.8pt;width:11.65pt;height:8.25pt;z-index:251645440"/>
        </w:pict>
      </w:r>
      <w:r>
        <w:rPr>
          <w:rFonts w:ascii="Book Antiqua" w:hAnsi="Book Antiqua"/>
          <w:b/>
          <w:noProof/>
        </w:rPr>
        <w:pict w14:anchorId="3B7CD668">
          <v:rect id="_x0000_s1412" style="position:absolute;margin-left:296.2pt;margin-top:3.3pt;width:11.65pt;height:8.25pt;z-index:251609600"/>
        </w:pict>
      </w:r>
      <w:r>
        <w:rPr>
          <w:rFonts w:ascii="Book Antiqua" w:hAnsi="Book Antiqua"/>
          <w:b/>
          <w:noProof/>
        </w:rPr>
        <w:pict w14:anchorId="3F3A37A9">
          <v:rect id="_x0000_s1444" style="position:absolute;margin-left:324pt;margin-top:2.55pt;width:11.65pt;height:8.25pt;z-index:251642368"/>
        </w:pict>
      </w:r>
      <w:r>
        <w:rPr>
          <w:rFonts w:ascii="Book Antiqua" w:hAnsi="Book Antiqua"/>
          <w:b/>
          <w:noProof/>
        </w:rPr>
        <w:pict w14:anchorId="37762D1B">
          <v:rect id="_x0000_s1442" style="position:absolute;margin-left:362.6pt;margin-top:3.3pt;width:11.65pt;height:8.25pt;z-index:251640320"/>
        </w:pict>
      </w:r>
      <w:r>
        <w:rPr>
          <w:rFonts w:ascii="Book Antiqua" w:hAnsi="Book Antiqua"/>
          <w:b/>
          <w:noProof/>
        </w:rPr>
        <w:pict w14:anchorId="4BAD2F10">
          <v:rect id="_x0000_s1440" style="position:absolute;margin-left:391.9pt;margin-top:2.8pt;width:11.65pt;height:8.25pt;z-index:251638272"/>
        </w:pict>
      </w:r>
      <w:r>
        <w:rPr>
          <w:rFonts w:ascii="Book Antiqua" w:hAnsi="Book Antiqua"/>
          <w:b/>
          <w:noProof/>
        </w:rPr>
        <w:pict w14:anchorId="4DF352E0">
          <v:rect id="_x0000_s1411" style="position:absolute;margin-left:426.75pt;margin-top:2.8pt;width:11.65pt;height:8.25pt;z-index:251608576"/>
        </w:pict>
      </w:r>
    </w:p>
    <w:p w14:paraId="1F97B337"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0ABF41F5">
          <v:oval id="_x0000_s1392" style="position:absolute;margin-left:357pt;margin-top:7.8pt;width:17.25pt;height:21pt;z-index:251589120" filled="f"/>
        </w:pict>
      </w:r>
      <w:r>
        <w:rPr>
          <w:rFonts w:ascii="Book Antiqua" w:hAnsi="Book Antiqua"/>
          <w:b/>
          <w:noProof/>
        </w:rPr>
        <w:pict w14:anchorId="6651FAAA">
          <v:oval id="_x0000_s1386" style="position:absolute;margin-left:266.6pt;margin-top:9.05pt;width:17.25pt;height:21pt;z-index:251582976" filled="f"/>
        </w:pict>
      </w:r>
      <w:r>
        <w:rPr>
          <w:rFonts w:ascii="Book Antiqua" w:hAnsi="Book Antiqua"/>
          <w:b/>
          <w:noProof/>
        </w:rPr>
        <w:pict w14:anchorId="720A4178">
          <v:oval id="_x0000_s1450" style="position:absolute;margin-left:234.75pt;margin-top:7.8pt;width:17.25pt;height:21pt;z-index:251648512" filled="f"/>
        </w:pict>
      </w:r>
      <w:r>
        <w:rPr>
          <w:rFonts w:ascii="Book Antiqua" w:hAnsi="Book Antiqua"/>
          <w:b/>
          <w:noProof/>
        </w:rPr>
        <w:pict w14:anchorId="0E7E8026">
          <v:oval id="_x0000_s1388" style="position:absolute;margin-left:290.25pt;margin-top:10.8pt;width:17.25pt;height:21pt;z-index:251585024" filled="f"/>
        </w:pict>
      </w:r>
      <w:r>
        <w:rPr>
          <w:rFonts w:ascii="Book Antiqua" w:hAnsi="Book Antiqua"/>
          <w:b/>
          <w:noProof/>
        </w:rPr>
        <w:pict w14:anchorId="2606E67B">
          <v:oval id="_x0000_s1390" style="position:absolute;margin-left:324pt;margin-top:9.05pt;width:17.25pt;height:21pt;z-index:251587072" filled="f"/>
        </w:pict>
      </w:r>
      <w:r>
        <w:rPr>
          <w:rFonts w:ascii="Book Antiqua" w:hAnsi="Book Antiqua"/>
          <w:b/>
          <w:noProof/>
        </w:rPr>
        <w:pict w14:anchorId="71C4CAC2">
          <v:oval id="_x0000_s1467" style="position:absolute;margin-left:96.8pt;margin-top:9.05pt;width:17.25pt;height:21pt;z-index:251665920" filled="f"/>
        </w:pict>
      </w:r>
      <w:r>
        <w:rPr>
          <w:rFonts w:ascii="Book Antiqua" w:hAnsi="Book Antiqua"/>
          <w:b/>
          <w:noProof/>
        </w:rPr>
        <w:pict w14:anchorId="25A358A8">
          <v:oval id="_x0000_s1466" style="position:absolute;margin-left:122.25pt;margin-top:8.3pt;width:17.25pt;height:21pt;z-index:251664896" filled="f"/>
        </w:pict>
      </w:r>
      <w:r>
        <w:rPr>
          <w:rFonts w:ascii="Book Antiqua" w:hAnsi="Book Antiqua"/>
          <w:b/>
          <w:noProof/>
        </w:rPr>
        <w:pict w14:anchorId="068CF954">
          <v:oval id="_x0000_s1456" style="position:absolute;margin-left:156pt;margin-top:7.8pt;width:17.25pt;height:21pt;z-index:251654656" filled="f"/>
        </w:pict>
      </w:r>
      <w:r>
        <w:rPr>
          <w:rFonts w:ascii="Book Antiqua" w:hAnsi="Book Antiqua"/>
          <w:b/>
          <w:noProof/>
        </w:rPr>
        <w:pict w14:anchorId="6945CC40">
          <v:oval id="_x0000_s1454" style="position:absolute;margin-left:186.7pt;margin-top:8.6pt;width:17.25pt;height:21pt;z-index:251652608" filled="f"/>
        </w:pict>
      </w:r>
      <w:r>
        <w:rPr>
          <w:rFonts w:ascii="Book Antiqua" w:hAnsi="Book Antiqua"/>
          <w:b/>
          <w:noProof/>
        </w:rPr>
        <w:pict w14:anchorId="35B9B10E">
          <v:oval id="_x0000_s1452" style="position:absolute;margin-left:210.4pt;margin-top:8.3pt;width:17.25pt;height:21pt;z-index:251650560" filled="f"/>
        </w:pict>
      </w:r>
      <w:r>
        <w:rPr>
          <w:rFonts w:ascii="Book Antiqua" w:hAnsi="Book Antiqua"/>
          <w:b/>
          <w:noProof/>
        </w:rPr>
        <w:pict w14:anchorId="2FCA3EF4">
          <v:oval id="_x0000_s1394" style="position:absolute;margin-left:391.9pt;margin-top:8.6pt;width:17.25pt;height:21pt;z-index:251591168" filled="f"/>
        </w:pict>
      </w:r>
      <w:r>
        <w:rPr>
          <w:rFonts w:ascii="Book Antiqua" w:hAnsi="Book Antiqua"/>
          <w:b/>
          <w:noProof/>
        </w:rPr>
        <w:pict w14:anchorId="7CDDDA73">
          <v:oval id="_x0000_s1395" style="position:absolute;margin-left:426.75pt;margin-top:6.3pt;width:17.25pt;height:21pt;z-index:251592192"/>
        </w:pict>
      </w:r>
    </w:p>
    <w:p w14:paraId="19C31981"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66125660">
          <v:oval id="_x0000_s1391" style="position:absolute;margin-left:357pt;margin-top:3.1pt;width:17.25pt;height:21pt;z-index:251588096"/>
        </w:pict>
      </w:r>
      <w:r>
        <w:rPr>
          <w:rFonts w:ascii="Book Antiqua" w:hAnsi="Book Antiqua"/>
          <w:b/>
          <w:noProof/>
        </w:rPr>
        <w:pict w14:anchorId="68889097">
          <v:oval id="_x0000_s1387" style="position:absolute;margin-left:290.6pt;margin-top:6.55pt;width:17.25pt;height:21pt;z-index:251584000"/>
        </w:pict>
      </w:r>
      <w:r>
        <w:rPr>
          <w:rFonts w:ascii="Book Antiqua" w:hAnsi="Book Antiqua"/>
          <w:b/>
          <w:noProof/>
        </w:rPr>
        <w:pict w14:anchorId="5A1FEA63">
          <v:oval id="_x0000_s1468" style="position:absolute;margin-left:96.8pt;margin-top:5.8pt;width:17.25pt;height:21pt;z-index:251666944" filled="f"/>
        </w:pict>
      </w:r>
      <w:r>
        <w:rPr>
          <w:rFonts w:ascii="Book Antiqua" w:hAnsi="Book Antiqua"/>
          <w:b/>
          <w:noProof/>
        </w:rPr>
        <w:pict w14:anchorId="156FC9A2">
          <v:oval id="_x0000_s1469" style="position:absolute;margin-left:122.25pt;margin-top:5.8pt;width:17.25pt;height:21pt;z-index:251667968" filled="f"/>
        </w:pict>
      </w:r>
      <w:r>
        <w:rPr>
          <w:rFonts w:ascii="Book Antiqua" w:hAnsi="Book Antiqua"/>
          <w:b/>
          <w:noProof/>
        </w:rPr>
        <w:pict w14:anchorId="7C971461">
          <v:oval id="_x0000_s1465" style="position:absolute;margin-left:156pt;margin-top:3.8pt;width:17.25pt;height:21pt;z-index:251663872" filled="f"/>
        </w:pict>
      </w:r>
      <w:r>
        <w:rPr>
          <w:rFonts w:ascii="Book Antiqua" w:hAnsi="Book Antiqua"/>
          <w:b/>
          <w:noProof/>
        </w:rPr>
        <w:pict w14:anchorId="4AF5C6D9">
          <v:oval id="_x0000_s1455" style="position:absolute;margin-left:186.7pt;margin-top:5.8pt;width:17.25pt;height:21pt;z-index:251653632" filled="f"/>
        </w:pict>
      </w:r>
      <w:r>
        <w:rPr>
          <w:rFonts w:ascii="Book Antiqua" w:hAnsi="Book Antiqua"/>
          <w:b/>
          <w:noProof/>
        </w:rPr>
        <w:pict w14:anchorId="51DA452D">
          <v:oval id="_x0000_s1453" style="position:absolute;margin-left:210.4pt;margin-top:3.8pt;width:17.25pt;height:21pt;z-index:251651584" filled="f"/>
        </w:pict>
      </w:r>
      <w:r>
        <w:rPr>
          <w:rFonts w:ascii="Book Antiqua" w:hAnsi="Book Antiqua"/>
          <w:b/>
          <w:noProof/>
        </w:rPr>
        <w:pict w14:anchorId="3D9CC117">
          <v:oval id="_x0000_s1451" style="position:absolute;margin-left:234.75pt;margin-top:3.8pt;width:17.25pt;height:21pt;z-index:251649536" filled="f"/>
        </w:pict>
      </w:r>
      <w:r>
        <w:rPr>
          <w:rFonts w:ascii="Book Antiqua" w:hAnsi="Book Antiqua"/>
          <w:b/>
          <w:noProof/>
        </w:rPr>
        <w:pict w14:anchorId="41A85EDB">
          <v:oval id="_x0000_s1385" style="position:absolute;margin-left:266.6pt;margin-top:5.8pt;width:17.25pt;height:21pt;z-index:251581952"/>
        </w:pict>
      </w:r>
      <w:r>
        <w:rPr>
          <w:rFonts w:ascii="Book Antiqua" w:hAnsi="Book Antiqua"/>
          <w:b/>
          <w:noProof/>
        </w:rPr>
        <w:pict w14:anchorId="734BC6AE">
          <v:oval id="_x0000_s1389" style="position:absolute;margin-left:324pt;margin-top:3.8pt;width:17.25pt;height:21pt;z-index:251586048"/>
        </w:pict>
      </w:r>
      <w:r>
        <w:rPr>
          <w:rFonts w:ascii="Book Antiqua" w:hAnsi="Book Antiqua"/>
          <w:b/>
          <w:noProof/>
        </w:rPr>
        <w:pict w14:anchorId="3D11FA38">
          <v:oval id="_x0000_s1393" style="position:absolute;margin-left:391.9pt;margin-top:5.8pt;width:17.25pt;height:21pt;z-index:251590144"/>
        </w:pict>
      </w:r>
      <w:r>
        <w:rPr>
          <w:rFonts w:ascii="Book Antiqua" w:hAnsi="Book Antiqua"/>
          <w:b/>
          <w:noProof/>
        </w:rPr>
        <w:pict w14:anchorId="75B91DAB">
          <v:oval id="_x0000_s1424" style="position:absolute;margin-left:426.75pt;margin-top:3.8pt;width:17.25pt;height:21pt;z-index:251621888" filled="f"/>
        </w:pict>
      </w:r>
    </w:p>
    <w:p w14:paraId="6CB61924" w14:textId="77777777" w:rsidR="00E317C4" w:rsidRPr="00E3232D" w:rsidRDefault="00E317C4" w:rsidP="008275E1">
      <w:pPr>
        <w:pStyle w:val="NoSpacing"/>
        <w:spacing w:line="276" w:lineRule="auto"/>
        <w:rPr>
          <w:rFonts w:ascii="Book Antiqua" w:hAnsi="Book Antiqua"/>
          <w:b/>
        </w:rPr>
      </w:pPr>
      <w:r w:rsidRPr="00E3232D">
        <w:rPr>
          <w:rFonts w:ascii="Book Antiqua" w:hAnsi="Book Antiqua"/>
          <w:b/>
        </w:rPr>
        <w:t xml:space="preserve">                       6/0.38 KV</w:t>
      </w:r>
    </w:p>
    <w:p w14:paraId="20EF6B86"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59B41577">
          <v:rect id="_x0000_s1475" style="position:absolute;margin-left:30.65pt;margin-top:9.35pt;width:11.65pt;height:8.25pt;z-index:251674112"/>
        </w:pict>
      </w:r>
      <w:r>
        <w:rPr>
          <w:rFonts w:ascii="Book Antiqua" w:hAnsi="Book Antiqua"/>
          <w:b/>
          <w:noProof/>
        </w:rPr>
        <w:pict w14:anchorId="6CA8693E">
          <v:shape id="_x0000_s1431" type="#_x0000_t32" style="position:absolute;margin-left:220.45pt;margin-top:1.8pt;width:0;height:33.75pt;z-index:251629056" o:connectortype="straight">
            <v:stroke endarrow="block"/>
          </v:shape>
        </w:pict>
      </w:r>
      <w:r>
        <w:rPr>
          <w:rFonts w:ascii="Book Antiqua" w:hAnsi="Book Antiqua"/>
          <w:b/>
          <w:noProof/>
        </w:rPr>
        <w:pict w14:anchorId="13DA68C3">
          <v:shape id="_x0000_s1427" type="#_x0000_t32" style="position:absolute;margin-left:163.85pt;margin-top:1.1pt;width:0;height:33.75pt;z-index:251624960" o:connectortype="straight">
            <v:stroke endarrow="block"/>
          </v:shape>
        </w:pict>
      </w:r>
      <w:r>
        <w:rPr>
          <w:rFonts w:ascii="Book Antiqua" w:hAnsi="Book Antiqua"/>
          <w:b/>
          <w:noProof/>
        </w:rPr>
        <w:pict w14:anchorId="3CF1B06B">
          <v:shape id="_x0000_s1437" type="#_x0000_t32" style="position:absolute;margin-left:366.1pt;margin-top:.6pt;width:0;height:33.75pt;z-index:251635200" o:connectortype="straight">
            <v:stroke endarrow="block"/>
          </v:shape>
        </w:pict>
      </w:r>
      <w:r>
        <w:rPr>
          <w:rFonts w:ascii="Book Antiqua" w:hAnsi="Book Antiqua"/>
          <w:b/>
          <w:noProof/>
        </w:rPr>
        <w:pict w14:anchorId="1F09DFD3">
          <v:shape id="_x0000_s1435" type="#_x0000_t32" style="position:absolute;margin-left:300.7pt;margin-top:3.8pt;width:0;height:33.75pt;z-index:251633152" o:connectortype="straight">
            <v:stroke endarrow="block"/>
          </v:shape>
        </w:pict>
      </w:r>
      <w:r>
        <w:rPr>
          <w:rFonts w:ascii="Book Antiqua" w:hAnsi="Book Antiqua"/>
          <w:b/>
          <w:noProof/>
        </w:rPr>
        <w:pict w14:anchorId="58DC6B28">
          <v:rect id="_x0000_s1473" style="position:absolute;margin-left:52.05pt;margin-top:9.3pt;width:11.65pt;height:8.25pt;z-index:251672064"/>
        </w:pict>
      </w:r>
      <w:r>
        <w:rPr>
          <w:rFonts w:ascii="Book Antiqua" w:hAnsi="Book Antiqua"/>
          <w:b/>
          <w:noProof/>
        </w:rPr>
        <w:pict w14:anchorId="1B07BEA4">
          <v:rect id="_x0000_s1471" style="position:absolute;margin-left:102.4pt;margin-top:9.35pt;width:11.65pt;height:8.25pt;z-index:251670016"/>
        </w:pict>
      </w:r>
      <w:r>
        <w:rPr>
          <w:rFonts w:ascii="Book Antiqua" w:hAnsi="Book Antiqua"/>
          <w:b/>
          <w:noProof/>
        </w:rPr>
        <w:pict w14:anchorId="13295CA4">
          <v:shape id="_x0000_s1433" type="#_x0000_t32" style="position:absolute;margin-left:105.75pt;margin-top:3.8pt;width:0;height:33.75pt;z-index:251631104" o:connectortype="straight">
            <v:stroke endarrow="block"/>
          </v:shape>
        </w:pict>
      </w:r>
      <w:r>
        <w:rPr>
          <w:rFonts w:ascii="Book Antiqua" w:hAnsi="Book Antiqua"/>
          <w:b/>
          <w:noProof/>
        </w:rPr>
        <w:pict w14:anchorId="34D3C8DC">
          <v:rect id="_x0000_s1464" style="position:absolute;margin-left:127.85pt;margin-top:9.35pt;width:11.65pt;height:8.25pt;z-index:251662848"/>
        </w:pict>
      </w:r>
      <w:r>
        <w:rPr>
          <w:rFonts w:ascii="Book Antiqua" w:hAnsi="Book Antiqua"/>
          <w:b/>
          <w:noProof/>
        </w:rPr>
        <w:pict w14:anchorId="3BCD6C20">
          <v:shape id="_x0000_s1428" type="#_x0000_t32" style="position:absolute;margin-left:131.3pt;margin-top:3.8pt;width:0;height:33.75pt;z-index:251625984" o:connectortype="straight">
            <v:stroke endarrow="block"/>
          </v:shape>
        </w:pict>
      </w:r>
      <w:r>
        <w:rPr>
          <w:rFonts w:ascii="Book Antiqua" w:hAnsi="Book Antiqua"/>
          <w:b/>
          <w:noProof/>
        </w:rPr>
        <w:pict w14:anchorId="52B9D70C">
          <v:rect id="_x0000_s1462" style="position:absolute;margin-left:157.05pt;margin-top:9.3pt;width:11.65pt;height:8.25pt;z-index:251660800"/>
        </w:pict>
      </w:r>
      <w:r>
        <w:rPr>
          <w:rFonts w:ascii="Book Antiqua" w:hAnsi="Book Antiqua"/>
          <w:b/>
          <w:noProof/>
        </w:rPr>
        <w:pict w14:anchorId="3E7BD5E1">
          <v:rect id="_x0000_s1460" style="position:absolute;margin-left:186.7pt;margin-top:9.35pt;width:11.65pt;height:8.25pt;z-index:251658752"/>
        </w:pict>
      </w:r>
      <w:r>
        <w:rPr>
          <w:rFonts w:ascii="Book Antiqua" w:hAnsi="Book Antiqua"/>
          <w:b/>
          <w:noProof/>
        </w:rPr>
        <w:pict w14:anchorId="2FC8EF82">
          <v:shape id="_x0000_s1430" type="#_x0000_t32" style="position:absolute;margin-left:194.3pt;margin-top:3.8pt;width:0;height:33.75pt;z-index:251628032" o:connectortype="straight">
            <v:stroke endarrow="block"/>
          </v:shape>
        </w:pict>
      </w:r>
      <w:r>
        <w:rPr>
          <w:rFonts w:ascii="Book Antiqua" w:hAnsi="Book Antiqua"/>
          <w:b/>
          <w:noProof/>
        </w:rPr>
        <w:pict w14:anchorId="4A990EBD">
          <v:rect id="_x0000_s1458" style="position:absolute;margin-left:3in;margin-top:8.3pt;width:11.65pt;height:8.25pt;z-index:251656704"/>
        </w:pict>
      </w:r>
      <w:r>
        <w:rPr>
          <w:rFonts w:ascii="Book Antiqua" w:hAnsi="Book Antiqua"/>
          <w:b/>
          <w:noProof/>
        </w:rPr>
        <w:pict w14:anchorId="6CD7518F">
          <v:rect id="_x0000_s1457" style="position:absolute;margin-left:240pt;margin-top:8.3pt;width:11.65pt;height:8.25pt;z-index:251655680"/>
        </w:pict>
      </w:r>
      <w:r>
        <w:rPr>
          <w:rFonts w:ascii="Book Antiqua" w:hAnsi="Book Antiqua"/>
          <w:b/>
          <w:noProof/>
        </w:rPr>
        <w:pict w14:anchorId="1B60C02E">
          <v:shape id="_x0000_s1432" type="#_x0000_t32" style="position:absolute;margin-left:245.25pt;margin-top:1.1pt;width:0;height:33.75pt;z-index:251630080" o:connectortype="straight">
            <v:stroke endarrow="block"/>
          </v:shape>
        </w:pict>
      </w:r>
      <w:r>
        <w:rPr>
          <w:rFonts w:ascii="Book Antiqua" w:hAnsi="Book Antiqua"/>
          <w:b/>
          <w:noProof/>
        </w:rPr>
        <w:pict w14:anchorId="69B96778">
          <v:rect id="_x0000_s1448" style="position:absolute;margin-left:270pt;margin-top:9.35pt;width:11.65pt;height:8.25pt;z-index:251646464"/>
        </w:pict>
      </w:r>
      <w:r>
        <w:rPr>
          <w:rFonts w:ascii="Book Antiqua" w:hAnsi="Book Antiqua"/>
          <w:b/>
          <w:noProof/>
        </w:rPr>
        <w:pict w14:anchorId="08C360BB">
          <v:shape id="_x0000_s1434" type="#_x0000_t32" style="position:absolute;margin-left:275.95pt;margin-top:3.8pt;width:0;height:33.75pt;z-index:251632128" o:connectortype="straight">
            <v:stroke endarrow="block"/>
          </v:shape>
        </w:pict>
      </w:r>
      <w:r>
        <w:rPr>
          <w:rFonts w:ascii="Book Antiqua" w:hAnsi="Book Antiqua"/>
          <w:b/>
          <w:noProof/>
        </w:rPr>
        <w:pict w14:anchorId="4A629C42">
          <v:rect id="_x0000_s1446" style="position:absolute;margin-left:295.85pt;margin-top:9.35pt;width:11.65pt;height:8.25pt;z-index:251644416"/>
        </w:pict>
      </w:r>
      <w:r>
        <w:rPr>
          <w:rFonts w:ascii="Book Antiqua" w:hAnsi="Book Antiqua"/>
          <w:b/>
          <w:noProof/>
        </w:rPr>
        <w:pict w14:anchorId="44115DE7">
          <v:rect id="_x0000_s1445" style="position:absolute;margin-left:324pt;margin-top:8.3pt;width:11.65pt;height:8.25pt;z-index:251643392"/>
        </w:pict>
      </w:r>
      <w:r>
        <w:rPr>
          <w:rFonts w:ascii="Book Antiqua" w:hAnsi="Book Antiqua"/>
          <w:b/>
          <w:noProof/>
        </w:rPr>
        <w:pict w14:anchorId="694C3D29">
          <v:shape id="_x0000_s1436" type="#_x0000_t32" style="position:absolute;margin-left:331.5pt;margin-top:1.1pt;width:0;height:33.75pt;z-index:251634176" o:connectortype="straight">
            <v:stroke endarrow="block"/>
          </v:shape>
        </w:pict>
      </w:r>
      <w:r>
        <w:rPr>
          <w:rFonts w:ascii="Book Antiqua" w:hAnsi="Book Antiqua"/>
          <w:b/>
          <w:noProof/>
        </w:rPr>
        <w:pict w14:anchorId="2CD32A5C">
          <v:rect id="_x0000_s1443" style="position:absolute;margin-left:362.6pt;margin-top:9.35pt;width:11.65pt;height:8.25pt;z-index:251641344"/>
        </w:pict>
      </w:r>
      <w:r>
        <w:rPr>
          <w:rFonts w:ascii="Book Antiqua" w:hAnsi="Book Antiqua"/>
          <w:b/>
          <w:noProof/>
        </w:rPr>
        <w:pict w14:anchorId="3C0CC471">
          <v:rect id="_x0000_s1441" style="position:absolute;margin-left:391.9pt;margin-top:8.3pt;width:11.65pt;height:8.25pt;z-index:251639296"/>
        </w:pict>
      </w:r>
      <w:r>
        <w:rPr>
          <w:rFonts w:ascii="Book Antiqua" w:hAnsi="Book Antiqua"/>
          <w:b/>
          <w:noProof/>
        </w:rPr>
        <w:pict w14:anchorId="50D905A8">
          <v:shape id="_x0000_s1425" type="#_x0000_t32" style="position:absolute;margin-left:398.3pt;margin-top:4.55pt;width:0;height:33.75pt;z-index:251622912" o:connectortype="straight">
            <v:stroke endarrow="block"/>
          </v:shape>
        </w:pict>
      </w:r>
      <w:r>
        <w:rPr>
          <w:rFonts w:ascii="Book Antiqua" w:hAnsi="Book Antiqua"/>
          <w:b/>
          <w:noProof/>
        </w:rPr>
        <w:pict w14:anchorId="30BAD95F">
          <v:rect id="_x0000_s1439" style="position:absolute;margin-left:426.75pt;margin-top:8.3pt;width:11.65pt;height:8.25pt;z-index:251637248"/>
        </w:pict>
      </w:r>
      <w:r>
        <w:rPr>
          <w:rFonts w:ascii="Book Antiqua" w:hAnsi="Book Antiqua"/>
          <w:b/>
          <w:noProof/>
        </w:rPr>
        <w:pict w14:anchorId="0B31D51A">
          <v:shape id="_x0000_s1438" type="#_x0000_t32" style="position:absolute;margin-left:432.4pt;margin-top:1.55pt;width:0;height:33.75pt;z-index:251636224" o:connectortype="straight">
            <v:stroke endarrow="block"/>
          </v:shape>
        </w:pict>
      </w:r>
    </w:p>
    <w:p w14:paraId="1BFCA775" w14:textId="77777777" w:rsidR="00E317C4" w:rsidRPr="00E3232D" w:rsidRDefault="00E317C4" w:rsidP="008275E1">
      <w:pPr>
        <w:pStyle w:val="NoSpacing"/>
        <w:spacing w:line="276" w:lineRule="auto"/>
        <w:rPr>
          <w:rFonts w:ascii="Book Antiqua" w:hAnsi="Book Antiqua"/>
          <w:b/>
        </w:rPr>
      </w:pPr>
    </w:p>
    <w:p w14:paraId="46B0FAB0" w14:textId="77777777" w:rsidR="00E317C4" w:rsidRPr="00E3232D" w:rsidRDefault="00E317C4" w:rsidP="008275E1">
      <w:pPr>
        <w:pStyle w:val="NoSpacing"/>
        <w:spacing w:line="276" w:lineRule="auto"/>
        <w:rPr>
          <w:rFonts w:ascii="Book Antiqua" w:hAnsi="Book Antiqua"/>
          <w:b/>
        </w:rPr>
      </w:pPr>
    </w:p>
    <w:p w14:paraId="0E8DFAD9" w14:textId="77777777" w:rsidR="00E317C4" w:rsidRPr="00E3232D" w:rsidRDefault="00850DC5" w:rsidP="008275E1">
      <w:pPr>
        <w:pStyle w:val="NoSpacing"/>
        <w:spacing w:line="276" w:lineRule="auto"/>
        <w:rPr>
          <w:rFonts w:ascii="Book Antiqua" w:hAnsi="Book Antiqua"/>
          <w:b/>
        </w:rPr>
      </w:pPr>
      <w:r>
        <w:rPr>
          <w:rFonts w:ascii="Book Antiqua" w:hAnsi="Book Antiqua"/>
          <w:b/>
          <w:noProof/>
        </w:rPr>
        <w:pict w14:anchorId="11C8F3C8">
          <v:shape id="_x0000_s1476" type="#_x0000_t87" style="position:absolute;margin-left:262.7pt;margin-top:-148.15pt;width:12.75pt;height:326.65pt;rotation:270;z-index:251675136"/>
        </w:pict>
      </w:r>
      <w:r w:rsidR="00E317C4" w:rsidRPr="00E3232D">
        <w:rPr>
          <w:rFonts w:ascii="Book Antiqua" w:hAnsi="Book Antiqua"/>
          <w:b/>
        </w:rPr>
        <w:t xml:space="preserve">       6 KV Feeders            </w:t>
      </w:r>
    </w:p>
    <w:p w14:paraId="77DD0030" w14:textId="77777777" w:rsidR="00E317C4" w:rsidRPr="00E3232D" w:rsidRDefault="00E317C4" w:rsidP="008275E1">
      <w:pPr>
        <w:pStyle w:val="NoSpacing"/>
        <w:spacing w:line="276" w:lineRule="auto"/>
        <w:rPr>
          <w:rFonts w:ascii="Book Antiqua" w:hAnsi="Book Antiqua"/>
          <w:b/>
        </w:rPr>
      </w:pPr>
      <w:r w:rsidRPr="00E3232D">
        <w:rPr>
          <w:rFonts w:ascii="Book Antiqua" w:hAnsi="Book Antiqua"/>
          <w:b/>
        </w:rPr>
        <w:t xml:space="preserve">       to RFCC                                                          </w:t>
      </w:r>
    </w:p>
    <w:p w14:paraId="745D3BD4" w14:textId="77777777" w:rsidR="00E317C4" w:rsidRPr="00E3232D" w:rsidRDefault="00E317C4" w:rsidP="008275E1">
      <w:pPr>
        <w:pStyle w:val="NoSpacing"/>
        <w:spacing w:line="276" w:lineRule="auto"/>
        <w:rPr>
          <w:rFonts w:ascii="Book Antiqua" w:hAnsi="Book Antiqua"/>
          <w:b/>
        </w:rPr>
      </w:pPr>
      <w:r w:rsidRPr="00E3232D">
        <w:rPr>
          <w:rFonts w:ascii="Book Antiqua" w:hAnsi="Book Antiqua"/>
          <w:b/>
        </w:rPr>
        <w:t xml:space="preserve">                                                                                      0.38 KV feeders                                                                                </w:t>
      </w:r>
    </w:p>
    <w:p w14:paraId="37CD20BD" w14:textId="77777777" w:rsidR="00E317C4" w:rsidRPr="00E3232D" w:rsidRDefault="00E317C4" w:rsidP="008275E1">
      <w:pPr>
        <w:pStyle w:val="NoSpacing"/>
        <w:spacing w:line="276" w:lineRule="auto"/>
        <w:rPr>
          <w:rFonts w:ascii="Book Antiqua" w:hAnsi="Book Antiqua"/>
          <w:b/>
        </w:rPr>
      </w:pPr>
    </w:p>
    <w:p w14:paraId="536DBBB7"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b/>
        </w:rPr>
        <w:t xml:space="preserve">Fig.1.2 Lay-out of Tema Oil Refinery’s medium voltage distribution system </w:t>
      </w:r>
    </w:p>
    <w:p w14:paraId="33C73924" w14:textId="77777777" w:rsidR="00E317C4" w:rsidRPr="00E3232D" w:rsidRDefault="00E317C4" w:rsidP="008275E1">
      <w:pPr>
        <w:pStyle w:val="NoSpacing"/>
        <w:spacing w:line="276" w:lineRule="auto"/>
        <w:rPr>
          <w:rFonts w:ascii="Book Antiqua" w:hAnsi="Book Antiqua"/>
        </w:rPr>
      </w:pPr>
    </w:p>
    <w:p w14:paraId="7CE7F5DD" w14:textId="77777777" w:rsidR="00E317C4" w:rsidRPr="00E3232D" w:rsidRDefault="00E317C4" w:rsidP="00F26850">
      <w:pPr>
        <w:pStyle w:val="NoSpacing"/>
        <w:spacing w:line="276" w:lineRule="auto"/>
        <w:jc w:val="both"/>
        <w:rPr>
          <w:rFonts w:ascii="Book Antiqua" w:hAnsi="Book Antiqua"/>
          <w:b/>
        </w:rPr>
      </w:pPr>
      <w:r w:rsidRPr="00E3232D">
        <w:rPr>
          <w:rFonts w:ascii="Book Antiqua" w:hAnsi="Book Antiqua"/>
          <w:b/>
        </w:rPr>
        <w:t>Notes</w:t>
      </w:r>
    </w:p>
    <w:p w14:paraId="69D00CAE"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b/>
        </w:rPr>
        <w:t xml:space="preserve">CB – </w:t>
      </w:r>
      <w:r w:rsidRPr="00E3232D">
        <w:rPr>
          <w:rFonts w:ascii="Book Antiqua" w:hAnsi="Book Antiqua"/>
        </w:rPr>
        <w:t>circuit breaker</w:t>
      </w:r>
    </w:p>
    <w:p w14:paraId="6D83508A"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b/>
        </w:rPr>
        <w:t xml:space="preserve">TG – </w:t>
      </w:r>
      <w:r w:rsidRPr="00E3232D">
        <w:rPr>
          <w:rFonts w:ascii="Book Antiqua" w:hAnsi="Book Antiqua"/>
        </w:rPr>
        <w:t>turbo-generator</w:t>
      </w:r>
    </w:p>
    <w:p w14:paraId="61B5BC76" w14:textId="77777777" w:rsidR="00E317C4" w:rsidRPr="00E3232D" w:rsidRDefault="00E317C4" w:rsidP="00F26850">
      <w:pPr>
        <w:pStyle w:val="NoSpacing"/>
        <w:spacing w:line="276" w:lineRule="auto"/>
        <w:jc w:val="both"/>
        <w:rPr>
          <w:rFonts w:ascii="Book Antiqua" w:hAnsi="Book Antiqua"/>
          <w:b/>
        </w:rPr>
      </w:pPr>
    </w:p>
    <w:p w14:paraId="140BDE4D" w14:textId="77777777" w:rsidR="00E317C4" w:rsidRPr="00E3232D" w:rsidRDefault="00E317C4" w:rsidP="00196385">
      <w:pPr>
        <w:pStyle w:val="NoSpacing"/>
        <w:numPr>
          <w:ilvl w:val="1"/>
          <w:numId w:val="108"/>
        </w:numPr>
        <w:spacing w:line="276" w:lineRule="auto"/>
        <w:jc w:val="both"/>
        <w:rPr>
          <w:rFonts w:ascii="Book Antiqua" w:hAnsi="Book Antiqua"/>
          <w:b/>
        </w:rPr>
        <w:sectPr w:rsidR="00E317C4" w:rsidRPr="00E3232D" w:rsidSect="008F6BC9">
          <w:type w:val="continuous"/>
          <w:pgSz w:w="11907" w:h="16839" w:code="9"/>
          <w:pgMar w:top="1440" w:right="1440" w:bottom="1440" w:left="1440" w:header="720" w:footer="720" w:gutter="0"/>
          <w:cols w:space="720"/>
          <w:docGrid w:linePitch="360"/>
        </w:sectPr>
      </w:pPr>
    </w:p>
    <w:p w14:paraId="265BE4E0" w14:textId="77777777" w:rsidR="009B10C2"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 xml:space="preserve">Demand </w:t>
      </w:r>
      <w:r w:rsidR="00AD1F87" w:rsidRPr="00E3232D">
        <w:rPr>
          <w:rFonts w:ascii="Book Antiqua" w:hAnsi="Book Antiqua"/>
          <w:b/>
        </w:rPr>
        <w:t>Management</w:t>
      </w:r>
    </w:p>
    <w:p w14:paraId="2E6821FE" w14:textId="77777777" w:rsidR="00E317C4" w:rsidRPr="009B10C2" w:rsidRDefault="00E317C4" w:rsidP="00196385">
      <w:pPr>
        <w:pStyle w:val="NoSpacing"/>
        <w:numPr>
          <w:ilvl w:val="1"/>
          <w:numId w:val="108"/>
        </w:numPr>
        <w:spacing w:line="276" w:lineRule="auto"/>
        <w:jc w:val="both"/>
        <w:rPr>
          <w:rFonts w:ascii="Book Antiqua" w:hAnsi="Book Antiqua"/>
          <w:b/>
        </w:rPr>
      </w:pPr>
      <w:r w:rsidRPr="009B10C2">
        <w:rPr>
          <w:rFonts w:ascii="Book Antiqua" w:hAnsi="Book Antiqua"/>
        </w:rPr>
        <w:t>The peak demand of the refinery is 6 MW, hence when the demand on TG4 approaches 4.8 MW, grid supply is introduced to supplement internal generation by TG4. Usually in a situation like this, a bus-tie between busbars A and B, CB13 is opened to separate the two busbars. However, if the total demand is much less than 4.8 MW external generation is put on stand-by, while internal generation (by TG4) feeds both busbars A through the bus-tie CB13 and busbar B.</w:t>
      </w:r>
    </w:p>
    <w:p w14:paraId="6BECE516"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Loads</w:t>
      </w:r>
    </w:p>
    <w:p w14:paraId="7A1D78B2"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Some loads in the refinery require power supplies at a voltage of 6 kV while the rest require inputs at 380 V. The illustration is in fig.1.2 above.</w:t>
      </w:r>
    </w:p>
    <w:p w14:paraId="57AC40AB"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loads comprise:</w:t>
      </w:r>
    </w:p>
    <w:p w14:paraId="0639D1A4" w14:textId="77777777" w:rsidR="00E317C4" w:rsidRPr="00E3232D" w:rsidRDefault="00E317C4" w:rsidP="00F26850">
      <w:pPr>
        <w:pStyle w:val="NoSpacing"/>
        <w:spacing w:line="276" w:lineRule="auto"/>
        <w:jc w:val="both"/>
        <w:rPr>
          <w:rFonts w:ascii="Book Antiqua" w:hAnsi="Book Antiqua"/>
        </w:rPr>
      </w:pPr>
    </w:p>
    <w:p w14:paraId="732C3B2B" w14:textId="77777777" w:rsidR="00E317C4" w:rsidRPr="00E3232D" w:rsidRDefault="00E317C4" w:rsidP="00196385">
      <w:pPr>
        <w:pStyle w:val="NoSpacing"/>
        <w:numPr>
          <w:ilvl w:val="0"/>
          <w:numId w:val="110"/>
        </w:numPr>
        <w:spacing w:line="276" w:lineRule="auto"/>
        <w:jc w:val="both"/>
        <w:rPr>
          <w:rFonts w:ascii="Book Antiqua" w:hAnsi="Book Antiqua"/>
        </w:rPr>
      </w:pPr>
      <w:r w:rsidRPr="00E3232D">
        <w:rPr>
          <w:rFonts w:ascii="Book Antiqua" w:hAnsi="Book Antiqua"/>
        </w:rPr>
        <w:t>electrical motors which are largely squirrel cage induction motors. The motors drive the following pumps:</w:t>
      </w:r>
    </w:p>
    <w:p w14:paraId="02E6E27A" w14:textId="77777777" w:rsidR="00E317C4" w:rsidRPr="00E3232D" w:rsidRDefault="00E317C4" w:rsidP="00196385">
      <w:pPr>
        <w:pStyle w:val="NoSpacing"/>
        <w:numPr>
          <w:ilvl w:val="1"/>
          <w:numId w:val="110"/>
        </w:numPr>
        <w:spacing w:line="276" w:lineRule="auto"/>
        <w:jc w:val="both"/>
        <w:rPr>
          <w:rFonts w:ascii="Book Antiqua" w:hAnsi="Book Antiqua"/>
        </w:rPr>
      </w:pPr>
      <w:r w:rsidRPr="00E3232D">
        <w:rPr>
          <w:rFonts w:ascii="Book Antiqua" w:hAnsi="Book Antiqua"/>
        </w:rPr>
        <w:t>cooling water circulation pumps; boiler feed water pumps; residual fuel oil pumps</w:t>
      </w:r>
    </w:p>
    <w:p w14:paraId="6E8B0D8D" w14:textId="77777777" w:rsidR="00E317C4" w:rsidRPr="00E3232D" w:rsidRDefault="00E317C4" w:rsidP="00196385">
      <w:pPr>
        <w:pStyle w:val="NoSpacing"/>
        <w:numPr>
          <w:ilvl w:val="1"/>
          <w:numId w:val="110"/>
        </w:numPr>
        <w:spacing w:line="276" w:lineRule="auto"/>
        <w:jc w:val="both"/>
        <w:rPr>
          <w:rFonts w:ascii="Book Antiqua" w:hAnsi="Book Antiqua"/>
        </w:rPr>
      </w:pPr>
      <w:r w:rsidRPr="00E3232D">
        <w:rPr>
          <w:rFonts w:ascii="Book Antiqua" w:hAnsi="Book Antiqua"/>
        </w:rPr>
        <w:t>de-aerator pumps; soot-blowers; lubrication pumps; pretreated water pump</w:t>
      </w:r>
    </w:p>
    <w:p w14:paraId="6793D302" w14:textId="77777777" w:rsidR="00E317C4" w:rsidRPr="00E3232D" w:rsidRDefault="00E317C4" w:rsidP="00196385">
      <w:pPr>
        <w:pStyle w:val="NoSpacing"/>
        <w:numPr>
          <w:ilvl w:val="0"/>
          <w:numId w:val="110"/>
        </w:numPr>
        <w:spacing w:line="276" w:lineRule="auto"/>
        <w:jc w:val="both"/>
        <w:rPr>
          <w:rFonts w:ascii="Book Antiqua" w:hAnsi="Book Antiqua"/>
        </w:rPr>
      </w:pPr>
      <w:r w:rsidRPr="00E3232D">
        <w:rPr>
          <w:rFonts w:ascii="Book Antiqua" w:hAnsi="Book Antiqua"/>
        </w:rPr>
        <w:t>other electric motor driven machines are:</w:t>
      </w:r>
    </w:p>
    <w:p w14:paraId="2D12DD27" w14:textId="77777777" w:rsidR="00E317C4" w:rsidRPr="00E3232D" w:rsidRDefault="00E317C4" w:rsidP="00196385">
      <w:pPr>
        <w:pStyle w:val="NoSpacing"/>
        <w:numPr>
          <w:ilvl w:val="1"/>
          <w:numId w:val="110"/>
        </w:numPr>
        <w:spacing w:line="276" w:lineRule="auto"/>
        <w:jc w:val="both"/>
        <w:rPr>
          <w:rFonts w:ascii="Book Antiqua" w:hAnsi="Book Antiqua"/>
        </w:rPr>
      </w:pPr>
      <w:r w:rsidRPr="00E3232D">
        <w:rPr>
          <w:rFonts w:ascii="Book Antiqua" w:hAnsi="Book Antiqua"/>
        </w:rPr>
        <w:t xml:space="preserve">cooling tower heat extraction fans and boiler forced draught fans </w:t>
      </w:r>
    </w:p>
    <w:p w14:paraId="47BAEA73"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remaining loads are:</w:t>
      </w:r>
    </w:p>
    <w:p w14:paraId="68C109FA" w14:textId="77777777" w:rsidR="00E317C4" w:rsidRPr="00E3232D" w:rsidRDefault="00E317C4" w:rsidP="00196385">
      <w:pPr>
        <w:pStyle w:val="NoSpacing"/>
        <w:numPr>
          <w:ilvl w:val="0"/>
          <w:numId w:val="110"/>
        </w:numPr>
        <w:spacing w:line="276" w:lineRule="auto"/>
        <w:jc w:val="both"/>
        <w:rPr>
          <w:rFonts w:ascii="Book Antiqua" w:hAnsi="Book Antiqua"/>
        </w:rPr>
      </w:pPr>
      <w:r w:rsidRPr="00E3232D">
        <w:rPr>
          <w:rFonts w:ascii="Book Antiqua" w:hAnsi="Book Antiqua"/>
        </w:rPr>
        <w:t>lights; air-conditioners and office appliances</w:t>
      </w:r>
    </w:p>
    <w:p w14:paraId="50A8B19B" w14:textId="77777777" w:rsidR="00E317C4" w:rsidRPr="00E3232D" w:rsidRDefault="00E317C4" w:rsidP="00F26850">
      <w:pPr>
        <w:pStyle w:val="NoSpacing"/>
        <w:spacing w:line="276" w:lineRule="auto"/>
        <w:jc w:val="both"/>
        <w:rPr>
          <w:rFonts w:ascii="Book Antiqua" w:hAnsi="Book Antiqua"/>
          <w:b/>
        </w:rPr>
      </w:pPr>
    </w:p>
    <w:p w14:paraId="72B275D3"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 xml:space="preserve">Purpose of the </w:t>
      </w:r>
      <w:r w:rsidR="00AD1F87" w:rsidRPr="00E3232D">
        <w:rPr>
          <w:rFonts w:ascii="Book Antiqua" w:hAnsi="Book Antiqua"/>
          <w:b/>
        </w:rPr>
        <w:t>Research</w:t>
      </w:r>
    </w:p>
    <w:p w14:paraId="435F1CC8" w14:textId="77777777" w:rsidR="00E317C4" w:rsidRDefault="00E317C4" w:rsidP="00F26850">
      <w:pPr>
        <w:pStyle w:val="NoSpacing"/>
        <w:spacing w:line="276" w:lineRule="auto"/>
        <w:jc w:val="both"/>
        <w:rPr>
          <w:rFonts w:ascii="Book Antiqua" w:hAnsi="Book Antiqua"/>
        </w:rPr>
      </w:pPr>
      <w:r w:rsidRPr="00E3232D">
        <w:rPr>
          <w:rFonts w:ascii="Book Antiqua" w:hAnsi="Book Antiqua"/>
        </w:rPr>
        <w:t>An embedded generator, being part of the combined heat and power (CHP) plant of an oil refinery tripped 5 minutes after synchronization to the distribution grid when the grid voltage dropped from 6.2 kV to 4.8 kV but rose slightly again to 5.2 kV. Apparently all pumps hummed and some got burnt. Later on, it was found out that one phase of the grid feeder was off. The purpose of this paper is to deduce the root cause of the tripping, and evaluate the consequences. This investigation is purely a research work and has no intention of exposing any individual or any organisational error that might have contributed to the tripping.</w:t>
      </w:r>
    </w:p>
    <w:p w14:paraId="32E00BAF" w14:textId="77777777" w:rsidR="00567A0B" w:rsidRDefault="00567A0B" w:rsidP="00F26850">
      <w:pPr>
        <w:pStyle w:val="NoSpacing"/>
        <w:spacing w:line="276" w:lineRule="auto"/>
        <w:jc w:val="both"/>
        <w:rPr>
          <w:rFonts w:ascii="Book Antiqua" w:hAnsi="Book Antiqua"/>
        </w:rPr>
      </w:pPr>
    </w:p>
    <w:p w14:paraId="582D090C" w14:textId="77777777" w:rsidR="00567A0B" w:rsidRDefault="00567A0B" w:rsidP="00F26850">
      <w:pPr>
        <w:pStyle w:val="NoSpacing"/>
        <w:spacing w:line="276" w:lineRule="auto"/>
        <w:jc w:val="both"/>
        <w:rPr>
          <w:rFonts w:ascii="Book Antiqua" w:hAnsi="Book Antiqua"/>
        </w:rPr>
      </w:pPr>
    </w:p>
    <w:p w14:paraId="52C0EE58" w14:textId="77777777" w:rsidR="00567A0B" w:rsidRPr="00E3232D" w:rsidRDefault="00567A0B" w:rsidP="00F26850">
      <w:pPr>
        <w:pStyle w:val="NoSpacing"/>
        <w:spacing w:line="276" w:lineRule="auto"/>
        <w:jc w:val="both"/>
        <w:rPr>
          <w:rFonts w:ascii="Book Antiqua" w:hAnsi="Book Antiqua"/>
        </w:rPr>
      </w:pPr>
    </w:p>
    <w:p w14:paraId="4E848FC4" w14:textId="77777777" w:rsidR="00E317C4" w:rsidRPr="00E3232D" w:rsidRDefault="00E317C4" w:rsidP="00F26850">
      <w:pPr>
        <w:pStyle w:val="NoSpacing"/>
        <w:spacing w:line="276" w:lineRule="auto"/>
        <w:jc w:val="both"/>
        <w:rPr>
          <w:rFonts w:ascii="Book Antiqua" w:hAnsi="Book Antiqua"/>
        </w:rPr>
      </w:pPr>
    </w:p>
    <w:p w14:paraId="4E8C3E53"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 xml:space="preserve">Significance of </w:t>
      </w:r>
      <w:r w:rsidR="00AD1F87" w:rsidRPr="00E3232D">
        <w:rPr>
          <w:rFonts w:ascii="Book Antiqua" w:hAnsi="Book Antiqua"/>
          <w:b/>
        </w:rPr>
        <w:t>Research</w:t>
      </w:r>
    </w:p>
    <w:p w14:paraId="753FD41C"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findings of the research will help suggest measures to forestall future occurrences.</w:t>
      </w:r>
    </w:p>
    <w:p w14:paraId="2CB92DD5" w14:textId="77777777" w:rsidR="00E317C4" w:rsidRPr="00E3232D" w:rsidRDefault="00E317C4" w:rsidP="00F26850">
      <w:pPr>
        <w:pStyle w:val="NoSpacing"/>
        <w:spacing w:line="276" w:lineRule="auto"/>
        <w:jc w:val="both"/>
        <w:rPr>
          <w:rFonts w:ascii="Book Antiqua" w:hAnsi="Book Antiqua"/>
        </w:rPr>
      </w:pPr>
    </w:p>
    <w:p w14:paraId="5720215D" w14:textId="77777777" w:rsidR="00E317C4" w:rsidRPr="00F6485F" w:rsidRDefault="00E317C4" w:rsidP="00196385">
      <w:pPr>
        <w:pStyle w:val="NoSpacing"/>
        <w:numPr>
          <w:ilvl w:val="1"/>
          <w:numId w:val="108"/>
        </w:numPr>
        <w:spacing w:line="276" w:lineRule="auto"/>
        <w:jc w:val="both"/>
        <w:rPr>
          <w:rFonts w:ascii="Book Antiqua" w:hAnsi="Book Antiqua"/>
          <w:b/>
          <w:sz w:val="26"/>
          <w:szCs w:val="26"/>
        </w:rPr>
      </w:pPr>
      <w:r w:rsidRPr="00F6485F">
        <w:rPr>
          <w:rFonts w:ascii="Book Antiqua" w:hAnsi="Book Antiqua"/>
          <w:b/>
          <w:sz w:val="26"/>
          <w:szCs w:val="26"/>
        </w:rPr>
        <w:t>Literature Review</w:t>
      </w:r>
    </w:p>
    <w:p w14:paraId="06ACD696"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review centred on the theory behind the operation and contingencies associated with embedded system. Manufacturers’ technical manuals were also considered in the review.</w:t>
      </w:r>
    </w:p>
    <w:p w14:paraId="2FB0FE40" w14:textId="77777777" w:rsidR="00E317C4" w:rsidRPr="00E3232D" w:rsidRDefault="00E317C4" w:rsidP="00F26850">
      <w:pPr>
        <w:pStyle w:val="NoSpacing"/>
        <w:spacing w:line="276" w:lineRule="auto"/>
        <w:jc w:val="both"/>
        <w:rPr>
          <w:rFonts w:ascii="Book Antiqua" w:hAnsi="Book Antiqua"/>
        </w:rPr>
      </w:pPr>
    </w:p>
    <w:p w14:paraId="3416BB36"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 xml:space="preserve">Embedded </w:t>
      </w:r>
      <w:r w:rsidR="00AD1F87" w:rsidRPr="00E3232D">
        <w:rPr>
          <w:rFonts w:ascii="Book Antiqua" w:hAnsi="Book Antiqua"/>
          <w:b/>
        </w:rPr>
        <w:t>Generation</w:t>
      </w:r>
    </w:p>
    <w:p w14:paraId="6718D7EA"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Embedded generation system is a local network relatively small which is connected to a bigger one hence the term ‘embedded’.</w:t>
      </w:r>
    </w:p>
    <w:p w14:paraId="3F2008EB" w14:textId="77777777" w:rsidR="00E317C4" w:rsidRPr="00E3232D" w:rsidRDefault="00E317C4" w:rsidP="00F26850">
      <w:pPr>
        <w:pStyle w:val="NoSpacing"/>
        <w:spacing w:line="276" w:lineRule="auto"/>
        <w:jc w:val="both"/>
        <w:rPr>
          <w:rFonts w:ascii="Book Antiqua" w:hAnsi="Book Antiqua"/>
          <w:b/>
        </w:rPr>
      </w:pPr>
    </w:p>
    <w:p w14:paraId="4B030233"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 xml:space="preserve">General </w:t>
      </w:r>
      <w:r w:rsidR="00AD1F87" w:rsidRPr="00E3232D">
        <w:rPr>
          <w:rFonts w:ascii="Book Antiqua" w:hAnsi="Book Antiqua"/>
          <w:b/>
        </w:rPr>
        <w:t xml:space="preserve">Requirements </w:t>
      </w:r>
      <w:r w:rsidRPr="00E3232D">
        <w:rPr>
          <w:rFonts w:ascii="Book Antiqua" w:hAnsi="Book Antiqua"/>
          <w:b/>
        </w:rPr>
        <w:t xml:space="preserve">for the </w:t>
      </w:r>
      <w:r w:rsidR="00AD1F87" w:rsidRPr="00E3232D">
        <w:rPr>
          <w:rFonts w:ascii="Book Antiqua" w:hAnsi="Book Antiqua"/>
          <w:b/>
        </w:rPr>
        <w:t xml:space="preserve">Connection </w:t>
      </w:r>
      <w:r w:rsidRPr="00E3232D">
        <w:rPr>
          <w:rFonts w:ascii="Book Antiqua" w:hAnsi="Book Antiqua"/>
          <w:b/>
        </w:rPr>
        <w:t xml:space="preserve">of an </w:t>
      </w:r>
      <w:r w:rsidR="00AD1F87" w:rsidRPr="00E3232D">
        <w:rPr>
          <w:rFonts w:ascii="Book Antiqua" w:hAnsi="Book Antiqua"/>
          <w:b/>
        </w:rPr>
        <w:t>Embedded Generator</w:t>
      </w:r>
      <w:r w:rsidRPr="00E3232D">
        <w:rPr>
          <w:rFonts w:ascii="Book Antiqua" w:hAnsi="Book Antiqua"/>
          <w:b/>
        </w:rPr>
        <w:t xml:space="preserve"> to a </w:t>
      </w:r>
      <w:r w:rsidR="00AD1F87" w:rsidRPr="00E3232D">
        <w:rPr>
          <w:rFonts w:ascii="Book Antiqua" w:hAnsi="Book Antiqua"/>
          <w:b/>
        </w:rPr>
        <w:t>National Grid</w:t>
      </w:r>
    </w:p>
    <w:p w14:paraId="4D784EC5" w14:textId="77777777" w:rsidR="00E317C4" w:rsidRPr="00E3232D" w:rsidRDefault="00E317C4" w:rsidP="00196385">
      <w:pPr>
        <w:pStyle w:val="NoSpacing"/>
        <w:numPr>
          <w:ilvl w:val="0"/>
          <w:numId w:val="111"/>
        </w:numPr>
        <w:spacing w:line="276" w:lineRule="auto"/>
        <w:jc w:val="both"/>
        <w:rPr>
          <w:rFonts w:ascii="Book Antiqua" w:hAnsi="Book Antiqua"/>
        </w:rPr>
      </w:pPr>
      <w:r w:rsidRPr="00E3232D">
        <w:rPr>
          <w:rFonts w:ascii="Book Antiqua" w:hAnsi="Book Antiqua"/>
        </w:rPr>
        <w:t>All the phases must be energized and operated within agreed limits. As general requirements, the following operating limits should be observed:</w:t>
      </w:r>
    </w:p>
    <w:p w14:paraId="1B72B928" w14:textId="77777777" w:rsidR="00E317C4" w:rsidRPr="00E3232D" w:rsidRDefault="00E317C4" w:rsidP="00196385">
      <w:pPr>
        <w:pStyle w:val="NoSpacing"/>
        <w:numPr>
          <w:ilvl w:val="1"/>
          <w:numId w:val="111"/>
        </w:numPr>
        <w:spacing w:line="276" w:lineRule="auto"/>
        <w:jc w:val="both"/>
        <w:rPr>
          <w:rFonts w:ascii="Book Antiqua" w:hAnsi="Book Antiqua"/>
        </w:rPr>
      </w:pPr>
      <w:r w:rsidRPr="00E3232D">
        <w:rPr>
          <w:rFonts w:ascii="Book Antiqua" w:hAnsi="Book Antiqua"/>
        </w:rPr>
        <w:t>Frequency of the incoming alternator :  + 0.2 Hz</w:t>
      </w:r>
    </w:p>
    <w:p w14:paraId="1B35E1FD" w14:textId="77777777" w:rsidR="00E317C4" w:rsidRPr="00E3232D" w:rsidRDefault="00E317C4" w:rsidP="00196385">
      <w:pPr>
        <w:pStyle w:val="NoSpacing"/>
        <w:numPr>
          <w:ilvl w:val="1"/>
          <w:numId w:val="111"/>
        </w:numPr>
        <w:spacing w:line="276" w:lineRule="auto"/>
        <w:jc w:val="both"/>
        <w:rPr>
          <w:rFonts w:ascii="Book Antiqua" w:hAnsi="Book Antiqua"/>
        </w:rPr>
      </w:pPr>
      <w:r w:rsidRPr="00E3232D">
        <w:rPr>
          <w:rFonts w:ascii="Book Antiqua" w:hAnsi="Book Antiqua"/>
        </w:rPr>
        <w:t>Magnitude of voltage of the incoming alternator: +5 %</w:t>
      </w:r>
    </w:p>
    <w:p w14:paraId="7D2B720F" w14:textId="77777777" w:rsidR="00E317C4" w:rsidRPr="00E3232D" w:rsidRDefault="00E317C4" w:rsidP="00196385">
      <w:pPr>
        <w:pStyle w:val="NoSpacing"/>
        <w:numPr>
          <w:ilvl w:val="1"/>
          <w:numId w:val="111"/>
        </w:numPr>
        <w:spacing w:line="276" w:lineRule="auto"/>
        <w:jc w:val="both"/>
        <w:rPr>
          <w:rFonts w:ascii="Book Antiqua" w:hAnsi="Book Antiqua"/>
        </w:rPr>
      </w:pPr>
      <w:r w:rsidRPr="00E3232D">
        <w:rPr>
          <w:rFonts w:ascii="Book Antiqua" w:hAnsi="Book Antiqua"/>
        </w:rPr>
        <w:t xml:space="preserve">Phase shift of voltage: + 20 </w:t>
      </w:r>
      <w:r w:rsidRPr="00E3232D">
        <w:rPr>
          <w:rFonts w:ascii="Book Antiqua" w:hAnsi="Book Antiqua"/>
          <w:vertAlign w:val="superscript"/>
        </w:rPr>
        <w:t xml:space="preserve">o </w:t>
      </w:r>
      <w:r w:rsidRPr="00E3232D">
        <w:rPr>
          <w:rFonts w:ascii="Book Antiqua" w:hAnsi="Book Antiqua"/>
        </w:rPr>
        <w:t>[2].</w:t>
      </w:r>
    </w:p>
    <w:p w14:paraId="06C3B0C6" w14:textId="77777777" w:rsidR="00E317C4" w:rsidRPr="00E3232D" w:rsidRDefault="00E317C4" w:rsidP="00196385">
      <w:pPr>
        <w:pStyle w:val="NoSpacing"/>
        <w:numPr>
          <w:ilvl w:val="0"/>
          <w:numId w:val="111"/>
        </w:numPr>
        <w:spacing w:line="276" w:lineRule="auto"/>
        <w:jc w:val="both"/>
        <w:rPr>
          <w:rFonts w:ascii="Book Antiqua" w:hAnsi="Book Antiqua"/>
        </w:rPr>
      </w:pPr>
      <w:r w:rsidRPr="00E3232D">
        <w:rPr>
          <w:rFonts w:ascii="Book Antiqua" w:hAnsi="Book Antiqua"/>
        </w:rPr>
        <w:t>The embedded generator must thence be disconnected from the national grid when any of the following conditions prevail:</w:t>
      </w:r>
    </w:p>
    <w:p w14:paraId="1C615135" w14:textId="77777777" w:rsidR="00E317C4" w:rsidRPr="00E3232D" w:rsidRDefault="00E317C4" w:rsidP="00196385">
      <w:pPr>
        <w:pStyle w:val="NoSpacing"/>
        <w:numPr>
          <w:ilvl w:val="1"/>
          <w:numId w:val="111"/>
        </w:numPr>
        <w:spacing w:line="276" w:lineRule="auto"/>
        <w:jc w:val="both"/>
        <w:rPr>
          <w:rFonts w:ascii="Book Antiqua" w:hAnsi="Book Antiqua"/>
        </w:rPr>
      </w:pPr>
      <w:r w:rsidRPr="00E3232D">
        <w:rPr>
          <w:rFonts w:ascii="Book Antiqua" w:hAnsi="Book Antiqua"/>
        </w:rPr>
        <w:t>Overvoltage; under-voltage; over-frequency; under-frequency [3].</w:t>
      </w:r>
    </w:p>
    <w:p w14:paraId="5C751759" w14:textId="77777777" w:rsidR="00E317C4" w:rsidRPr="00E3232D" w:rsidRDefault="00E317C4" w:rsidP="00F26850">
      <w:pPr>
        <w:pStyle w:val="NoSpacing"/>
        <w:spacing w:line="276" w:lineRule="auto"/>
        <w:ind w:left="1440"/>
        <w:jc w:val="both"/>
        <w:rPr>
          <w:rFonts w:ascii="Book Antiqua" w:hAnsi="Book Antiqua"/>
        </w:rPr>
      </w:pPr>
      <w:r w:rsidRPr="00E3232D">
        <w:rPr>
          <w:rFonts w:ascii="Book Antiqua" w:hAnsi="Book Antiqua"/>
        </w:rPr>
        <w:t xml:space="preserve"> </w:t>
      </w:r>
    </w:p>
    <w:p w14:paraId="130D9AE9"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 xml:space="preserve">The </w:t>
      </w:r>
      <w:r w:rsidR="00AD1F87" w:rsidRPr="00E3232D">
        <w:rPr>
          <w:rFonts w:ascii="Book Antiqua" w:hAnsi="Book Antiqua"/>
          <w:b/>
        </w:rPr>
        <w:t>Embedded Generator under Investigation</w:t>
      </w:r>
    </w:p>
    <w:p w14:paraId="0BFC8D80"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Tema Oil Refinery (TOR)’s local network is connected to ECG’s low voltage distribution system through an 8 MVA, 11/6 kV transformer. The capacity of TOR’s internal generation is 5.5 MW with a corresponding absolute power of 6.1MVA at 0.9 lag power factor, whilst that of ECG’s distribution network in Tema is 251MVA [4].  </w:t>
      </w:r>
    </w:p>
    <w:p w14:paraId="72CD2B75" w14:textId="77777777" w:rsidR="00E317C4" w:rsidRPr="00E3232D" w:rsidRDefault="00E317C4" w:rsidP="00F26850">
      <w:pPr>
        <w:pStyle w:val="NoSpacing"/>
        <w:spacing w:line="276" w:lineRule="auto"/>
        <w:ind w:left="720"/>
        <w:jc w:val="both"/>
        <w:rPr>
          <w:rFonts w:ascii="Book Antiqua" w:hAnsi="Book Antiqua"/>
          <w:b/>
        </w:rPr>
      </w:pPr>
    </w:p>
    <w:p w14:paraId="44091E0A"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Synchronising</w:t>
      </w:r>
    </w:p>
    <w:p w14:paraId="2CD24D43"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This is the process of connecting an incoming alternator to live busbars.</w:t>
      </w:r>
    </w:p>
    <w:p w14:paraId="1AEABED6" w14:textId="77777777" w:rsidR="00E317C4" w:rsidRPr="00E3232D" w:rsidRDefault="00E317C4" w:rsidP="00F26850">
      <w:pPr>
        <w:pStyle w:val="NoSpacing"/>
        <w:spacing w:line="276" w:lineRule="auto"/>
        <w:jc w:val="both"/>
        <w:rPr>
          <w:rFonts w:ascii="Book Antiqua" w:hAnsi="Book Antiqua"/>
          <w:b/>
        </w:rPr>
      </w:pPr>
    </w:p>
    <w:p w14:paraId="3AA7D3C3"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 xml:space="preserve">Requirements for </w:t>
      </w:r>
      <w:r w:rsidR="00AD1F87" w:rsidRPr="00E3232D">
        <w:rPr>
          <w:rFonts w:ascii="Book Antiqua" w:hAnsi="Book Antiqua"/>
          <w:b/>
        </w:rPr>
        <w:t>Synchronising</w:t>
      </w:r>
    </w:p>
    <w:p w14:paraId="5373A646" w14:textId="77777777" w:rsidR="00E317C4" w:rsidRPr="00E3232D" w:rsidRDefault="00E317C4" w:rsidP="00196385">
      <w:pPr>
        <w:pStyle w:val="NoSpacing"/>
        <w:numPr>
          <w:ilvl w:val="0"/>
          <w:numId w:val="115"/>
        </w:numPr>
        <w:spacing w:line="276" w:lineRule="auto"/>
        <w:jc w:val="both"/>
        <w:rPr>
          <w:rFonts w:ascii="Book Antiqua" w:hAnsi="Book Antiqua"/>
        </w:rPr>
      </w:pPr>
      <w:r w:rsidRPr="00E3232D">
        <w:rPr>
          <w:rFonts w:ascii="Book Antiqua" w:hAnsi="Book Antiqua"/>
        </w:rPr>
        <w:t>The frequency of the voltages of the incoming alternator must equal that of the live busbars.</w:t>
      </w:r>
    </w:p>
    <w:p w14:paraId="16BE9B62" w14:textId="77777777" w:rsidR="00E317C4" w:rsidRPr="00E3232D" w:rsidRDefault="00E317C4" w:rsidP="00196385">
      <w:pPr>
        <w:pStyle w:val="NoSpacing"/>
        <w:numPr>
          <w:ilvl w:val="0"/>
          <w:numId w:val="115"/>
        </w:numPr>
        <w:spacing w:line="276" w:lineRule="auto"/>
        <w:jc w:val="both"/>
        <w:rPr>
          <w:rFonts w:ascii="Book Antiqua" w:hAnsi="Book Antiqua"/>
        </w:rPr>
      </w:pPr>
      <w:r w:rsidRPr="00E3232D">
        <w:rPr>
          <w:rFonts w:ascii="Book Antiqua" w:hAnsi="Book Antiqua"/>
        </w:rPr>
        <w:t>The magnitudes of the voltages of the incoming alternator must equal those of the live busbars.</w:t>
      </w:r>
    </w:p>
    <w:p w14:paraId="295BAAD0" w14:textId="77777777" w:rsidR="00E317C4" w:rsidRPr="00E3232D" w:rsidRDefault="00E317C4" w:rsidP="00196385">
      <w:pPr>
        <w:pStyle w:val="NoSpacing"/>
        <w:numPr>
          <w:ilvl w:val="0"/>
          <w:numId w:val="115"/>
        </w:numPr>
        <w:spacing w:line="276" w:lineRule="auto"/>
        <w:jc w:val="both"/>
        <w:rPr>
          <w:rFonts w:ascii="Book Antiqua" w:hAnsi="Book Antiqua"/>
        </w:rPr>
      </w:pPr>
      <w:r w:rsidRPr="00E3232D">
        <w:rPr>
          <w:rFonts w:ascii="Book Antiqua" w:hAnsi="Book Antiqua"/>
        </w:rPr>
        <w:t>The phase shift of voltages of the incoming alternator must equal that of the live busbars.</w:t>
      </w:r>
    </w:p>
    <w:p w14:paraId="3CB4A77C" w14:textId="77777777" w:rsidR="00E317C4" w:rsidRPr="00E3232D" w:rsidRDefault="00E317C4" w:rsidP="00196385">
      <w:pPr>
        <w:pStyle w:val="NoSpacing"/>
        <w:numPr>
          <w:ilvl w:val="0"/>
          <w:numId w:val="115"/>
        </w:numPr>
        <w:spacing w:line="276" w:lineRule="auto"/>
        <w:jc w:val="both"/>
        <w:rPr>
          <w:rFonts w:ascii="Book Antiqua" w:hAnsi="Book Antiqua"/>
        </w:rPr>
      </w:pPr>
      <w:r w:rsidRPr="00E3232D">
        <w:rPr>
          <w:rFonts w:ascii="Book Antiqua" w:hAnsi="Book Antiqua"/>
        </w:rPr>
        <w:t xml:space="preserve">The phase sequence voltages of the incoming alternator must equal that of the live busbars [5].  </w:t>
      </w:r>
    </w:p>
    <w:p w14:paraId="798A032E" w14:textId="77777777" w:rsidR="00E317C4" w:rsidRPr="00E3232D" w:rsidRDefault="00E317C4" w:rsidP="00F26850">
      <w:pPr>
        <w:pStyle w:val="NoSpacing"/>
        <w:spacing w:line="276" w:lineRule="auto"/>
        <w:ind w:left="720"/>
        <w:jc w:val="both"/>
        <w:rPr>
          <w:rFonts w:ascii="Book Antiqua" w:hAnsi="Book Antiqua"/>
          <w:b/>
        </w:rPr>
      </w:pPr>
    </w:p>
    <w:p w14:paraId="3EA8F253"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 xml:space="preserve">Loss of </w:t>
      </w:r>
      <w:r w:rsidR="00AD1F87" w:rsidRPr="00E3232D">
        <w:rPr>
          <w:rFonts w:ascii="Book Antiqua" w:hAnsi="Book Antiqua"/>
          <w:b/>
        </w:rPr>
        <w:t>Synchronism</w:t>
      </w:r>
    </w:p>
    <w:p w14:paraId="7265224E" w14:textId="77777777" w:rsidR="00245F03" w:rsidRPr="00E3232D" w:rsidRDefault="00E317C4" w:rsidP="00F6485F">
      <w:pPr>
        <w:pStyle w:val="NoSpacing"/>
        <w:spacing w:line="480" w:lineRule="auto"/>
        <w:jc w:val="both"/>
        <w:rPr>
          <w:rFonts w:ascii="Book Antiqua" w:hAnsi="Book Antiqua"/>
        </w:rPr>
      </w:pPr>
      <w:r w:rsidRPr="00E3232D">
        <w:rPr>
          <w:rFonts w:ascii="Book Antiqua" w:hAnsi="Book Antiqua"/>
        </w:rPr>
        <w:t xml:space="preserve">In an event that the frequency, magnitudes, or phase shift of voltages of the incoming alternator lead that of the live busbars such that the parameters are outside the tolerance limits, synchronism will be lost. </w:t>
      </w:r>
    </w:p>
    <w:p w14:paraId="2CE20778"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 xml:space="preserve">Applications of </w:t>
      </w:r>
      <w:r w:rsidR="00AD1F87" w:rsidRPr="00E3232D">
        <w:rPr>
          <w:rFonts w:ascii="Book Antiqua" w:hAnsi="Book Antiqua"/>
          <w:b/>
        </w:rPr>
        <w:t xml:space="preserve">Synchronising </w:t>
      </w:r>
      <w:r w:rsidRPr="00E3232D">
        <w:rPr>
          <w:rFonts w:ascii="Book Antiqua" w:hAnsi="Book Antiqua"/>
          <w:b/>
        </w:rPr>
        <w:t xml:space="preserve">in an </w:t>
      </w:r>
      <w:r w:rsidR="00AD1F87" w:rsidRPr="00E3232D">
        <w:rPr>
          <w:rFonts w:ascii="Book Antiqua" w:hAnsi="Book Antiqua"/>
          <w:b/>
        </w:rPr>
        <w:t>Embedded Distribution System</w:t>
      </w:r>
    </w:p>
    <w:p w14:paraId="76454741"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Synchronising may become necessary when any of the following conditions prevail: </w:t>
      </w:r>
    </w:p>
    <w:p w14:paraId="5ACB7F73" w14:textId="77777777" w:rsidR="00E317C4" w:rsidRPr="00E3232D" w:rsidRDefault="00E317C4" w:rsidP="00196385">
      <w:pPr>
        <w:pStyle w:val="NoSpacing"/>
        <w:numPr>
          <w:ilvl w:val="0"/>
          <w:numId w:val="114"/>
        </w:numPr>
        <w:spacing w:line="276" w:lineRule="auto"/>
        <w:jc w:val="both"/>
        <w:rPr>
          <w:rFonts w:ascii="Book Antiqua" w:hAnsi="Book Antiqua"/>
        </w:rPr>
      </w:pPr>
      <w:r w:rsidRPr="00E3232D">
        <w:rPr>
          <w:rFonts w:ascii="Book Antiqua" w:hAnsi="Book Antiqua"/>
        </w:rPr>
        <w:t>Start-up of a turbo-generator</w:t>
      </w:r>
    </w:p>
    <w:p w14:paraId="4BE53BEA" w14:textId="77777777" w:rsidR="00E317C4" w:rsidRPr="00E3232D" w:rsidRDefault="00E317C4" w:rsidP="00196385">
      <w:pPr>
        <w:pStyle w:val="NoSpacing"/>
        <w:numPr>
          <w:ilvl w:val="0"/>
          <w:numId w:val="114"/>
        </w:numPr>
        <w:spacing w:line="276" w:lineRule="auto"/>
        <w:jc w:val="both"/>
        <w:rPr>
          <w:rFonts w:ascii="Book Antiqua" w:hAnsi="Book Antiqua"/>
        </w:rPr>
      </w:pPr>
      <w:r w:rsidRPr="00E3232D">
        <w:rPr>
          <w:rFonts w:ascii="Book Antiqua" w:hAnsi="Book Antiqua"/>
        </w:rPr>
        <w:t>Planned shutdown of a turbo-generator</w:t>
      </w:r>
    </w:p>
    <w:p w14:paraId="34385162" w14:textId="77777777" w:rsidR="00E317C4" w:rsidRPr="00E3232D" w:rsidRDefault="00E317C4" w:rsidP="00196385">
      <w:pPr>
        <w:pStyle w:val="NoSpacing"/>
        <w:numPr>
          <w:ilvl w:val="1"/>
          <w:numId w:val="114"/>
        </w:numPr>
        <w:spacing w:line="276" w:lineRule="auto"/>
        <w:jc w:val="both"/>
        <w:rPr>
          <w:rFonts w:ascii="Book Antiqua" w:hAnsi="Book Antiqua"/>
        </w:rPr>
      </w:pPr>
      <w:r w:rsidRPr="00E3232D">
        <w:rPr>
          <w:rFonts w:ascii="Book Antiqua" w:hAnsi="Book Antiqua"/>
        </w:rPr>
        <w:t>For maintenance or</w:t>
      </w:r>
    </w:p>
    <w:p w14:paraId="6F96DA1D" w14:textId="77777777" w:rsidR="00E317C4" w:rsidRPr="00E3232D" w:rsidRDefault="00E317C4" w:rsidP="00196385">
      <w:pPr>
        <w:pStyle w:val="NoSpacing"/>
        <w:numPr>
          <w:ilvl w:val="1"/>
          <w:numId w:val="114"/>
        </w:numPr>
        <w:spacing w:line="276" w:lineRule="auto"/>
        <w:jc w:val="both"/>
        <w:rPr>
          <w:rFonts w:ascii="Book Antiqua" w:hAnsi="Book Antiqua"/>
        </w:rPr>
      </w:pPr>
      <w:r w:rsidRPr="00E3232D">
        <w:rPr>
          <w:rFonts w:ascii="Book Antiqua" w:hAnsi="Book Antiqua"/>
        </w:rPr>
        <w:t>For repairs</w:t>
      </w:r>
    </w:p>
    <w:p w14:paraId="093A8F9D" w14:textId="77777777" w:rsidR="00E317C4" w:rsidRPr="00E3232D" w:rsidRDefault="00E317C4" w:rsidP="00196385">
      <w:pPr>
        <w:pStyle w:val="NoSpacing"/>
        <w:numPr>
          <w:ilvl w:val="0"/>
          <w:numId w:val="114"/>
        </w:numPr>
        <w:spacing w:line="276" w:lineRule="auto"/>
        <w:jc w:val="both"/>
        <w:rPr>
          <w:rFonts w:ascii="Book Antiqua" w:hAnsi="Book Antiqua"/>
        </w:rPr>
      </w:pPr>
      <w:r w:rsidRPr="00E3232D">
        <w:rPr>
          <w:rFonts w:ascii="Book Antiqua" w:hAnsi="Book Antiqua"/>
        </w:rPr>
        <w:t>Low demand for power</w:t>
      </w:r>
    </w:p>
    <w:p w14:paraId="26A41DED" w14:textId="77777777" w:rsidR="00E317C4" w:rsidRPr="00E3232D" w:rsidRDefault="00E317C4" w:rsidP="00196385">
      <w:pPr>
        <w:pStyle w:val="NoSpacing"/>
        <w:numPr>
          <w:ilvl w:val="0"/>
          <w:numId w:val="114"/>
        </w:numPr>
        <w:spacing w:line="276" w:lineRule="auto"/>
        <w:jc w:val="both"/>
        <w:rPr>
          <w:rFonts w:ascii="Book Antiqua" w:hAnsi="Book Antiqua"/>
        </w:rPr>
      </w:pPr>
      <w:r w:rsidRPr="00E3232D">
        <w:rPr>
          <w:rFonts w:ascii="Book Antiqua" w:hAnsi="Book Antiqua"/>
        </w:rPr>
        <w:t xml:space="preserve">Loss of a boiler  </w:t>
      </w:r>
    </w:p>
    <w:p w14:paraId="011CE72A" w14:textId="77777777" w:rsidR="00E317C4" w:rsidRPr="00E3232D" w:rsidRDefault="00E317C4" w:rsidP="00196385">
      <w:pPr>
        <w:pStyle w:val="NoSpacing"/>
        <w:numPr>
          <w:ilvl w:val="1"/>
          <w:numId w:val="114"/>
        </w:numPr>
        <w:spacing w:line="276" w:lineRule="auto"/>
        <w:jc w:val="both"/>
        <w:rPr>
          <w:rFonts w:ascii="Book Antiqua" w:hAnsi="Book Antiqua"/>
        </w:rPr>
      </w:pPr>
      <w:r w:rsidRPr="00E3232D">
        <w:rPr>
          <w:rFonts w:ascii="Book Antiqua" w:hAnsi="Book Antiqua"/>
        </w:rPr>
        <w:t>Leading to a surge in steam demand on surviving boilers</w:t>
      </w:r>
    </w:p>
    <w:p w14:paraId="4CDCF679" w14:textId="77777777" w:rsidR="00E317C4" w:rsidRPr="00E3232D" w:rsidRDefault="00E317C4" w:rsidP="00196385">
      <w:pPr>
        <w:pStyle w:val="NoSpacing"/>
        <w:numPr>
          <w:ilvl w:val="0"/>
          <w:numId w:val="114"/>
        </w:numPr>
        <w:spacing w:line="276" w:lineRule="auto"/>
        <w:jc w:val="both"/>
        <w:rPr>
          <w:rFonts w:ascii="Book Antiqua" w:hAnsi="Book Antiqua"/>
        </w:rPr>
      </w:pPr>
      <w:r w:rsidRPr="00E3232D">
        <w:rPr>
          <w:rFonts w:ascii="Book Antiqua" w:hAnsi="Book Antiqua"/>
        </w:rPr>
        <w:t>Start-up of a relatively large electrical pump</w:t>
      </w:r>
    </w:p>
    <w:p w14:paraId="53E84CFC" w14:textId="77777777" w:rsidR="00E317C4" w:rsidRPr="00E3232D" w:rsidRDefault="00E317C4" w:rsidP="00196385">
      <w:pPr>
        <w:pStyle w:val="NoSpacing"/>
        <w:numPr>
          <w:ilvl w:val="0"/>
          <w:numId w:val="114"/>
        </w:numPr>
        <w:spacing w:line="276" w:lineRule="auto"/>
        <w:jc w:val="both"/>
        <w:rPr>
          <w:rFonts w:ascii="Book Antiqua" w:hAnsi="Book Antiqua"/>
        </w:rPr>
      </w:pPr>
      <w:r w:rsidRPr="00E3232D">
        <w:rPr>
          <w:rFonts w:ascii="Book Antiqua" w:hAnsi="Book Antiqua"/>
        </w:rPr>
        <w:t xml:space="preserve">Spinning reserve </w:t>
      </w:r>
    </w:p>
    <w:p w14:paraId="11DE3A5D" w14:textId="77777777" w:rsidR="00E317C4" w:rsidRPr="00E3232D" w:rsidRDefault="00E317C4" w:rsidP="00196385">
      <w:pPr>
        <w:pStyle w:val="NoSpacing"/>
        <w:numPr>
          <w:ilvl w:val="0"/>
          <w:numId w:val="114"/>
        </w:numPr>
        <w:spacing w:line="276" w:lineRule="auto"/>
        <w:jc w:val="both"/>
        <w:rPr>
          <w:rFonts w:ascii="Book Antiqua" w:hAnsi="Book Antiqua"/>
        </w:rPr>
      </w:pPr>
      <w:r w:rsidRPr="00E3232D">
        <w:rPr>
          <w:rFonts w:ascii="Book Antiqua" w:hAnsi="Book Antiqua"/>
        </w:rPr>
        <w:t>In anticipation of the tripping of a boiler or turbo-generator</w:t>
      </w:r>
    </w:p>
    <w:p w14:paraId="1571BAF5" w14:textId="77777777" w:rsidR="00E317C4" w:rsidRPr="00E3232D" w:rsidRDefault="00E317C4" w:rsidP="00196385">
      <w:pPr>
        <w:pStyle w:val="NoSpacing"/>
        <w:numPr>
          <w:ilvl w:val="0"/>
          <w:numId w:val="114"/>
        </w:numPr>
        <w:spacing w:line="276" w:lineRule="auto"/>
        <w:jc w:val="both"/>
        <w:rPr>
          <w:rFonts w:ascii="Book Antiqua" w:hAnsi="Book Antiqua"/>
        </w:rPr>
      </w:pPr>
      <w:r w:rsidRPr="00E3232D">
        <w:rPr>
          <w:rFonts w:ascii="Book Antiqua" w:hAnsi="Book Antiqua"/>
        </w:rPr>
        <w:t>Faulty auxiliary</w:t>
      </w:r>
    </w:p>
    <w:p w14:paraId="471E132F" w14:textId="77777777" w:rsidR="00E317C4" w:rsidRPr="00E3232D" w:rsidRDefault="00E317C4" w:rsidP="00196385">
      <w:pPr>
        <w:pStyle w:val="NoSpacing"/>
        <w:numPr>
          <w:ilvl w:val="0"/>
          <w:numId w:val="114"/>
        </w:numPr>
        <w:spacing w:line="276" w:lineRule="auto"/>
        <w:jc w:val="both"/>
        <w:rPr>
          <w:rFonts w:ascii="Book Antiqua" w:hAnsi="Book Antiqua"/>
        </w:rPr>
      </w:pPr>
      <w:r w:rsidRPr="00E3232D">
        <w:rPr>
          <w:rFonts w:ascii="Book Antiqua" w:hAnsi="Book Antiqua"/>
        </w:rPr>
        <w:t>Planned shutdown of a CHP [2]</w:t>
      </w:r>
    </w:p>
    <w:p w14:paraId="67D2C52B" w14:textId="77777777" w:rsidR="00E317C4" w:rsidRPr="00E3232D" w:rsidRDefault="00E317C4" w:rsidP="00F26850">
      <w:pPr>
        <w:pStyle w:val="NoSpacing"/>
        <w:spacing w:line="276" w:lineRule="auto"/>
        <w:ind w:left="720"/>
        <w:jc w:val="both"/>
        <w:rPr>
          <w:rFonts w:ascii="Book Antiqua" w:hAnsi="Book Antiqua"/>
          <w:b/>
        </w:rPr>
      </w:pPr>
    </w:p>
    <w:p w14:paraId="1BE2ED52"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 xml:space="preserve">Classification of </w:t>
      </w:r>
      <w:r w:rsidR="00AD1F87" w:rsidRPr="00E3232D">
        <w:rPr>
          <w:rFonts w:ascii="Book Antiqua" w:hAnsi="Book Antiqua"/>
          <w:b/>
        </w:rPr>
        <w:t xml:space="preserve">Faults Associated </w:t>
      </w:r>
      <w:r w:rsidRPr="00E3232D">
        <w:rPr>
          <w:rFonts w:ascii="Book Antiqua" w:hAnsi="Book Antiqua"/>
          <w:b/>
        </w:rPr>
        <w:t xml:space="preserve">with the </w:t>
      </w:r>
      <w:r w:rsidR="00AD1F87" w:rsidRPr="00E3232D">
        <w:rPr>
          <w:rFonts w:ascii="Book Antiqua" w:hAnsi="Book Antiqua"/>
          <w:b/>
        </w:rPr>
        <w:t xml:space="preserve">Tripping </w:t>
      </w:r>
      <w:r w:rsidRPr="00E3232D">
        <w:rPr>
          <w:rFonts w:ascii="Book Antiqua" w:hAnsi="Book Antiqua"/>
          <w:b/>
        </w:rPr>
        <w:t xml:space="preserve">of the </w:t>
      </w:r>
      <w:r w:rsidR="00AD1F87" w:rsidRPr="00E3232D">
        <w:rPr>
          <w:rFonts w:ascii="Book Antiqua" w:hAnsi="Book Antiqua"/>
          <w:b/>
        </w:rPr>
        <w:t xml:space="preserve">Embedded Generator </w:t>
      </w:r>
      <w:r w:rsidRPr="00E3232D">
        <w:rPr>
          <w:rFonts w:ascii="Book Antiqua" w:hAnsi="Book Antiqua"/>
          <w:b/>
        </w:rPr>
        <w:t xml:space="preserve">under </w:t>
      </w:r>
      <w:r w:rsidR="00AD1F87" w:rsidRPr="00E3232D">
        <w:rPr>
          <w:rFonts w:ascii="Book Antiqua" w:hAnsi="Book Antiqua"/>
          <w:b/>
        </w:rPr>
        <w:t>Investigation</w:t>
      </w:r>
    </w:p>
    <w:p w14:paraId="6BB72F70"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table below contains a classification of faults related to the embedded generator under investigation and their interpretations as supplied by the manufacturer of turbine.</w:t>
      </w:r>
    </w:p>
    <w:p w14:paraId="6DA3D4EB" w14:textId="77777777" w:rsidR="00E317C4" w:rsidRDefault="00E317C4" w:rsidP="00F26850">
      <w:pPr>
        <w:pStyle w:val="NoSpacing"/>
        <w:spacing w:line="276" w:lineRule="auto"/>
        <w:jc w:val="both"/>
        <w:rPr>
          <w:rFonts w:ascii="Book Antiqua" w:hAnsi="Book Antiqua"/>
          <w:b/>
        </w:rPr>
      </w:pPr>
    </w:p>
    <w:p w14:paraId="412C37AD" w14:textId="77777777" w:rsidR="00245F03" w:rsidRDefault="00245F03" w:rsidP="00F26850">
      <w:pPr>
        <w:pStyle w:val="NoSpacing"/>
        <w:spacing w:line="276" w:lineRule="auto"/>
        <w:jc w:val="both"/>
        <w:rPr>
          <w:rFonts w:ascii="Book Antiqua" w:hAnsi="Book Antiqua"/>
          <w:b/>
        </w:rPr>
      </w:pPr>
    </w:p>
    <w:p w14:paraId="5860CEDF" w14:textId="77777777" w:rsidR="00245F03" w:rsidRDefault="00245F03" w:rsidP="00F26850">
      <w:pPr>
        <w:pStyle w:val="NoSpacing"/>
        <w:spacing w:line="276" w:lineRule="auto"/>
        <w:jc w:val="both"/>
        <w:rPr>
          <w:rFonts w:ascii="Book Antiqua" w:hAnsi="Book Antiqua"/>
          <w:b/>
        </w:rPr>
      </w:pPr>
    </w:p>
    <w:p w14:paraId="14ED37DA" w14:textId="77777777" w:rsidR="00245F03" w:rsidRPr="00E3232D" w:rsidRDefault="00245F03" w:rsidP="008275E1">
      <w:pPr>
        <w:pStyle w:val="NoSpacing"/>
        <w:spacing w:line="276" w:lineRule="auto"/>
        <w:rPr>
          <w:rFonts w:ascii="Book Antiqua" w:hAnsi="Book Antiqua"/>
          <w:b/>
        </w:rPr>
        <w:sectPr w:rsidR="00245F03" w:rsidRPr="00E3232D" w:rsidSect="008F6BC9">
          <w:type w:val="continuous"/>
          <w:pgSz w:w="11907" w:h="16839" w:code="9"/>
          <w:pgMar w:top="1440" w:right="1440" w:bottom="1440" w:left="1440" w:header="720" w:footer="720" w:gutter="0"/>
          <w:cols w:num="2" w:space="720"/>
          <w:docGrid w:linePitch="360"/>
        </w:sectPr>
      </w:pPr>
    </w:p>
    <w:p w14:paraId="6B845CD1" w14:textId="77777777" w:rsidR="001201F6" w:rsidRDefault="001201F6" w:rsidP="008275E1">
      <w:pPr>
        <w:pStyle w:val="NoSpacing"/>
        <w:spacing w:line="276" w:lineRule="auto"/>
        <w:rPr>
          <w:rFonts w:ascii="Book Antiqua" w:hAnsi="Book Antiqua"/>
          <w:b/>
        </w:rPr>
      </w:pPr>
    </w:p>
    <w:p w14:paraId="4FE9A7B9" w14:textId="77777777" w:rsidR="001201F6" w:rsidRDefault="001201F6" w:rsidP="008275E1">
      <w:pPr>
        <w:pStyle w:val="NoSpacing"/>
        <w:spacing w:line="276" w:lineRule="auto"/>
        <w:rPr>
          <w:rFonts w:ascii="Book Antiqua" w:hAnsi="Book Antiqua"/>
          <w:b/>
        </w:rPr>
      </w:pPr>
    </w:p>
    <w:p w14:paraId="51D45054" w14:textId="77777777" w:rsidR="00F26850" w:rsidRDefault="00F26850" w:rsidP="008275E1">
      <w:pPr>
        <w:pStyle w:val="NoSpacing"/>
        <w:spacing w:line="276" w:lineRule="auto"/>
        <w:rPr>
          <w:rFonts w:ascii="Book Antiqua" w:hAnsi="Book Antiqua"/>
          <w:b/>
        </w:rPr>
      </w:pPr>
    </w:p>
    <w:p w14:paraId="591A8479" w14:textId="77777777" w:rsidR="00F26850" w:rsidRDefault="00F26850" w:rsidP="008275E1">
      <w:pPr>
        <w:pStyle w:val="NoSpacing"/>
        <w:spacing w:line="276" w:lineRule="auto"/>
        <w:rPr>
          <w:rFonts w:ascii="Book Antiqua" w:hAnsi="Book Antiqua"/>
          <w:b/>
        </w:rPr>
      </w:pPr>
    </w:p>
    <w:p w14:paraId="69590D9E" w14:textId="77777777" w:rsidR="00245F03" w:rsidRDefault="00245F03" w:rsidP="008275E1">
      <w:pPr>
        <w:pStyle w:val="NoSpacing"/>
        <w:spacing w:line="276" w:lineRule="auto"/>
        <w:rPr>
          <w:rFonts w:ascii="Book Antiqua" w:hAnsi="Book Antiqua"/>
          <w:b/>
        </w:rPr>
        <w:sectPr w:rsidR="00245F03" w:rsidSect="008F6BC9">
          <w:type w:val="continuous"/>
          <w:pgSz w:w="11907" w:h="16839" w:code="9"/>
          <w:pgMar w:top="1440" w:right="1440" w:bottom="1440" w:left="1440" w:header="720" w:footer="720" w:gutter="0"/>
          <w:cols w:num="2" w:space="720"/>
          <w:docGrid w:linePitch="360"/>
        </w:sectPr>
      </w:pPr>
    </w:p>
    <w:p w14:paraId="186C4350" w14:textId="77777777" w:rsidR="00E317C4" w:rsidRPr="00E3232D" w:rsidRDefault="00E317C4" w:rsidP="008275E1">
      <w:pPr>
        <w:pStyle w:val="NoSpacing"/>
        <w:spacing w:line="276" w:lineRule="auto"/>
        <w:rPr>
          <w:rFonts w:ascii="Book Antiqua" w:hAnsi="Book Antiqua"/>
          <w:b/>
        </w:rPr>
      </w:pPr>
      <w:r w:rsidRPr="00E3232D">
        <w:rPr>
          <w:rFonts w:ascii="Book Antiqua" w:hAnsi="Book Antiqua"/>
          <w:b/>
        </w:rPr>
        <w:t xml:space="preserve">Table 1 Interpretation of alarms related to the operation of the turbine-generator under investigation </w:t>
      </w:r>
    </w:p>
    <w:p w14:paraId="0C5F1088" w14:textId="77777777" w:rsidR="00245F03" w:rsidRDefault="00245F03" w:rsidP="008275E1">
      <w:pPr>
        <w:pStyle w:val="NoSpacing"/>
        <w:spacing w:line="276" w:lineRule="auto"/>
        <w:rPr>
          <w:rFonts w:ascii="Book Antiqua" w:hAnsi="Book Antiqua"/>
        </w:rPr>
        <w:sectPr w:rsidR="00245F03" w:rsidSect="008F6BC9">
          <w:type w:val="continuous"/>
          <w:pgSz w:w="11907" w:h="16839" w:code="9"/>
          <w:pgMar w:top="1440" w:right="1440" w:bottom="1440" w:left="1440" w:header="720" w:footer="720" w:gutter="0"/>
          <w:cols w:space="720"/>
          <w:docGrid w:linePitch="360"/>
        </w:sectPr>
      </w:pPr>
    </w:p>
    <w:p w14:paraId="3609FB49" w14:textId="77777777" w:rsidR="00E317C4" w:rsidRPr="00E3232D" w:rsidRDefault="00E317C4" w:rsidP="008275E1">
      <w:pPr>
        <w:pStyle w:val="NoSpacing"/>
        <w:spacing w:line="276" w:lineRule="auto"/>
        <w:rPr>
          <w:rFonts w:ascii="Book Antiqua" w:hAnsi="Book Antiqua"/>
        </w:rPr>
      </w:pPr>
    </w:p>
    <w:p w14:paraId="37F9FD1B" w14:textId="77777777" w:rsidR="00245F03" w:rsidRDefault="00245F03" w:rsidP="008D6FB2">
      <w:pPr>
        <w:spacing w:line="240" w:lineRule="auto"/>
        <w:rPr>
          <w:rFonts w:ascii="Book Antiqua" w:hAnsi="Book Antiqua"/>
          <w:b/>
          <w:bCs/>
          <w:color w:val="76923C"/>
          <w:sz w:val="20"/>
          <w:szCs w:val="20"/>
        </w:rPr>
        <w:sectPr w:rsidR="00245F03" w:rsidSect="008F6BC9">
          <w:type w:val="continuous"/>
          <w:pgSz w:w="11907" w:h="16839" w:code="9"/>
          <w:pgMar w:top="1440" w:right="1440" w:bottom="1440" w:left="1440" w:header="720" w:footer="720" w:gutter="0"/>
          <w:cols w:num="2" w:space="720"/>
          <w:docGrid w:linePitch="360"/>
        </w:sectPr>
      </w:pPr>
    </w:p>
    <w:tbl>
      <w:tblPr>
        <w:tblW w:w="0" w:type="auto"/>
        <w:tblBorders>
          <w:top w:val="single" w:sz="8" w:space="0" w:color="9BBB59"/>
          <w:bottom w:val="single" w:sz="8" w:space="0" w:color="9BBB59"/>
        </w:tblBorders>
        <w:tblLook w:val="04A0" w:firstRow="1" w:lastRow="0" w:firstColumn="1" w:lastColumn="0" w:noHBand="0" w:noVBand="1"/>
      </w:tblPr>
      <w:tblGrid>
        <w:gridCol w:w="4570"/>
        <w:gridCol w:w="4673"/>
      </w:tblGrid>
      <w:tr w:rsidR="00E317C4" w:rsidRPr="00AD1F87" w14:paraId="349AA489" w14:textId="77777777" w:rsidTr="00F26850">
        <w:tc>
          <w:tcPr>
            <w:tcW w:w="4788" w:type="dxa"/>
            <w:tcBorders>
              <w:top w:val="single" w:sz="8" w:space="0" w:color="9BBB59"/>
              <w:left w:val="nil"/>
              <w:bottom w:val="single" w:sz="8" w:space="0" w:color="9BBB59"/>
              <w:right w:val="nil"/>
            </w:tcBorders>
            <w:shd w:val="clear" w:color="auto" w:fill="auto"/>
          </w:tcPr>
          <w:p w14:paraId="0C6FC9A2" w14:textId="77777777" w:rsidR="00E317C4" w:rsidRPr="00AD1F87" w:rsidRDefault="00E317C4" w:rsidP="00F26850">
            <w:pPr>
              <w:spacing w:after="0" w:line="240" w:lineRule="auto"/>
              <w:rPr>
                <w:rFonts w:ascii="Book Antiqua" w:hAnsi="Book Antiqua"/>
                <w:b/>
                <w:bCs/>
                <w:sz w:val="20"/>
                <w:szCs w:val="20"/>
              </w:rPr>
            </w:pPr>
            <w:r w:rsidRPr="00AD1F87">
              <w:rPr>
                <w:rFonts w:ascii="Book Antiqua" w:hAnsi="Book Antiqua"/>
                <w:b/>
                <w:bCs/>
                <w:sz w:val="20"/>
                <w:szCs w:val="20"/>
              </w:rPr>
              <w:t>FAULT</w:t>
            </w:r>
          </w:p>
        </w:tc>
        <w:tc>
          <w:tcPr>
            <w:tcW w:w="4788" w:type="dxa"/>
            <w:tcBorders>
              <w:top w:val="single" w:sz="8" w:space="0" w:color="9BBB59"/>
              <w:left w:val="nil"/>
              <w:bottom w:val="single" w:sz="8" w:space="0" w:color="9BBB59"/>
              <w:right w:val="nil"/>
            </w:tcBorders>
            <w:shd w:val="clear" w:color="auto" w:fill="auto"/>
          </w:tcPr>
          <w:p w14:paraId="3796F0A4" w14:textId="77777777" w:rsidR="00E317C4" w:rsidRPr="00AD1F87" w:rsidRDefault="00E317C4" w:rsidP="00F26850">
            <w:pPr>
              <w:spacing w:after="0" w:line="240" w:lineRule="auto"/>
              <w:rPr>
                <w:rFonts w:ascii="Book Antiqua" w:hAnsi="Book Antiqua"/>
                <w:b/>
                <w:bCs/>
                <w:sz w:val="20"/>
                <w:szCs w:val="20"/>
              </w:rPr>
            </w:pPr>
            <w:r w:rsidRPr="00AD1F87">
              <w:rPr>
                <w:rFonts w:ascii="Book Antiqua" w:hAnsi="Book Antiqua"/>
                <w:b/>
                <w:bCs/>
                <w:sz w:val="20"/>
                <w:szCs w:val="20"/>
              </w:rPr>
              <w:t>POSSIBLE CAUSES</w:t>
            </w:r>
          </w:p>
        </w:tc>
      </w:tr>
      <w:tr w:rsidR="00E317C4" w:rsidRPr="00AD1F87" w14:paraId="207E9B17" w14:textId="77777777" w:rsidTr="00F26850">
        <w:tc>
          <w:tcPr>
            <w:tcW w:w="4788" w:type="dxa"/>
            <w:tcBorders>
              <w:left w:val="nil"/>
              <w:right w:val="nil"/>
            </w:tcBorders>
            <w:shd w:val="clear" w:color="auto" w:fill="auto"/>
          </w:tcPr>
          <w:p w14:paraId="2BA6F742" w14:textId="77777777" w:rsidR="00E317C4" w:rsidRPr="00AD1F87" w:rsidRDefault="00E317C4" w:rsidP="00F26850">
            <w:pPr>
              <w:spacing w:after="0" w:line="240" w:lineRule="auto"/>
              <w:rPr>
                <w:rFonts w:ascii="Book Antiqua" w:hAnsi="Book Antiqua"/>
                <w:b/>
                <w:bCs/>
                <w:sz w:val="20"/>
                <w:szCs w:val="20"/>
              </w:rPr>
            </w:pPr>
            <w:r w:rsidRPr="00AD1F87">
              <w:rPr>
                <w:rFonts w:ascii="Book Antiqua" w:hAnsi="Book Antiqua"/>
                <w:b/>
                <w:bCs/>
                <w:sz w:val="20"/>
                <w:szCs w:val="20"/>
              </w:rPr>
              <w:t>Light fault</w:t>
            </w:r>
          </w:p>
        </w:tc>
        <w:tc>
          <w:tcPr>
            <w:tcW w:w="4788" w:type="dxa"/>
            <w:tcBorders>
              <w:left w:val="nil"/>
              <w:right w:val="nil"/>
            </w:tcBorders>
            <w:shd w:val="clear" w:color="auto" w:fill="auto"/>
          </w:tcPr>
          <w:p w14:paraId="3F687080" w14:textId="77777777" w:rsidR="00E317C4" w:rsidRPr="00AD1F87" w:rsidRDefault="00E317C4" w:rsidP="00196385">
            <w:pPr>
              <w:pStyle w:val="NoSpacing"/>
              <w:numPr>
                <w:ilvl w:val="0"/>
                <w:numId w:val="118"/>
              </w:numPr>
              <w:spacing w:line="276" w:lineRule="auto"/>
              <w:rPr>
                <w:rFonts w:ascii="Book Antiqua" w:hAnsi="Book Antiqua"/>
                <w:sz w:val="20"/>
                <w:szCs w:val="20"/>
              </w:rPr>
            </w:pPr>
            <w:r w:rsidRPr="00AD1F87">
              <w:rPr>
                <w:rFonts w:ascii="Book Antiqua" w:hAnsi="Book Antiqua"/>
                <w:sz w:val="20"/>
                <w:szCs w:val="20"/>
              </w:rPr>
              <w:t>Light turbine fault</w:t>
            </w:r>
          </w:p>
          <w:p w14:paraId="24B0A9F4" w14:textId="77777777" w:rsidR="00E317C4" w:rsidRPr="00AD1F87" w:rsidRDefault="00E317C4" w:rsidP="00196385">
            <w:pPr>
              <w:pStyle w:val="NoSpacing"/>
              <w:numPr>
                <w:ilvl w:val="0"/>
                <w:numId w:val="118"/>
              </w:numPr>
              <w:spacing w:line="276" w:lineRule="auto"/>
              <w:rPr>
                <w:rFonts w:ascii="Book Antiqua" w:hAnsi="Book Antiqua"/>
                <w:sz w:val="20"/>
                <w:szCs w:val="20"/>
              </w:rPr>
            </w:pPr>
            <w:r w:rsidRPr="00AD1F87">
              <w:rPr>
                <w:rFonts w:ascii="Book Antiqua" w:hAnsi="Book Antiqua"/>
                <w:sz w:val="20"/>
                <w:szCs w:val="20"/>
              </w:rPr>
              <w:t>High cooling air temperature</w:t>
            </w:r>
          </w:p>
          <w:p w14:paraId="2874CC1C" w14:textId="77777777" w:rsidR="00E317C4" w:rsidRPr="00AD1F87" w:rsidRDefault="00E317C4" w:rsidP="00196385">
            <w:pPr>
              <w:pStyle w:val="NoSpacing"/>
              <w:numPr>
                <w:ilvl w:val="0"/>
                <w:numId w:val="118"/>
              </w:numPr>
              <w:spacing w:line="276" w:lineRule="auto"/>
              <w:rPr>
                <w:rFonts w:ascii="Book Antiqua" w:hAnsi="Book Antiqua"/>
                <w:sz w:val="20"/>
                <w:szCs w:val="20"/>
              </w:rPr>
            </w:pPr>
            <w:r w:rsidRPr="00AD1F87">
              <w:rPr>
                <w:rFonts w:ascii="Book Antiqua" w:hAnsi="Book Antiqua"/>
                <w:sz w:val="20"/>
                <w:szCs w:val="20"/>
              </w:rPr>
              <w:t>High cooling water temperature</w:t>
            </w:r>
          </w:p>
          <w:p w14:paraId="23C7192D" w14:textId="77777777" w:rsidR="00E317C4" w:rsidRPr="00AD1F87" w:rsidRDefault="00E317C4" w:rsidP="00196385">
            <w:pPr>
              <w:pStyle w:val="NoSpacing"/>
              <w:numPr>
                <w:ilvl w:val="0"/>
                <w:numId w:val="118"/>
              </w:numPr>
              <w:spacing w:line="276" w:lineRule="auto"/>
              <w:rPr>
                <w:rFonts w:ascii="Book Antiqua" w:hAnsi="Book Antiqua"/>
                <w:sz w:val="20"/>
                <w:szCs w:val="20"/>
              </w:rPr>
            </w:pPr>
            <w:r w:rsidRPr="00AD1F87">
              <w:rPr>
                <w:rFonts w:ascii="Book Antiqua" w:hAnsi="Book Antiqua"/>
                <w:sz w:val="20"/>
                <w:szCs w:val="20"/>
              </w:rPr>
              <w:t>Water leakage</w:t>
            </w:r>
          </w:p>
          <w:p w14:paraId="281DA65F" w14:textId="77777777" w:rsidR="00E317C4" w:rsidRPr="00AD1F87" w:rsidRDefault="00E317C4" w:rsidP="00196385">
            <w:pPr>
              <w:pStyle w:val="NoSpacing"/>
              <w:numPr>
                <w:ilvl w:val="0"/>
                <w:numId w:val="118"/>
              </w:numPr>
              <w:spacing w:line="276" w:lineRule="auto"/>
              <w:rPr>
                <w:rFonts w:ascii="Book Antiqua" w:hAnsi="Book Antiqua"/>
                <w:sz w:val="20"/>
                <w:szCs w:val="20"/>
              </w:rPr>
            </w:pPr>
            <w:r w:rsidRPr="00AD1F87">
              <w:rPr>
                <w:rFonts w:ascii="Book Antiqua" w:hAnsi="Book Antiqua"/>
                <w:sz w:val="20"/>
                <w:szCs w:val="20"/>
              </w:rPr>
              <w:t>Synchronization failure</w:t>
            </w:r>
          </w:p>
          <w:p w14:paraId="148447E2" w14:textId="77777777" w:rsidR="00E317C4" w:rsidRPr="00AD1F87" w:rsidRDefault="00E317C4" w:rsidP="00196385">
            <w:pPr>
              <w:pStyle w:val="NoSpacing"/>
              <w:numPr>
                <w:ilvl w:val="0"/>
                <w:numId w:val="118"/>
              </w:numPr>
              <w:spacing w:line="276" w:lineRule="auto"/>
              <w:rPr>
                <w:rFonts w:ascii="Book Antiqua" w:hAnsi="Book Antiqua"/>
                <w:sz w:val="20"/>
                <w:szCs w:val="20"/>
              </w:rPr>
            </w:pPr>
            <w:r w:rsidRPr="00AD1F87">
              <w:rPr>
                <w:rFonts w:ascii="Book Antiqua" w:hAnsi="Book Antiqua"/>
                <w:sz w:val="20"/>
                <w:szCs w:val="20"/>
              </w:rPr>
              <w:t>No.1: AVR-A fault</w:t>
            </w:r>
          </w:p>
          <w:p w14:paraId="31C65383" w14:textId="77777777" w:rsidR="00E317C4" w:rsidRPr="00AD1F87" w:rsidRDefault="00E317C4" w:rsidP="00196385">
            <w:pPr>
              <w:pStyle w:val="NoSpacing"/>
              <w:numPr>
                <w:ilvl w:val="0"/>
                <w:numId w:val="118"/>
              </w:numPr>
              <w:spacing w:line="276" w:lineRule="auto"/>
              <w:rPr>
                <w:rFonts w:ascii="Book Antiqua" w:hAnsi="Book Antiqua"/>
                <w:sz w:val="20"/>
                <w:szCs w:val="20"/>
              </w:rPr>
            </w:pPr>
            <w:r w:rsidRPr="00AD1F87">
              <w:rPr>
                <w:rFonts w:ascii="Book Antiqua" w:hAnsi="Book Antiqua"/>
                <w:sz w:val="20"/>
                <w:szCs w:val="20"/>
              </w:rPr>
              <w:t>No.2 AVR-B fault</w:t>
            </w:r>
          </w:p>
        </w:tc>
      </w:tr>
      <w:tr w:rsidR="00E317C4" w:rsidRPr="00AD1F87" w14:paraId="77FF0782" w14:textId="77777777" w:rsidTr="00F26850">
        <w:tc>
          <w:tcPr>
            <w:tcW w:w="4788" w:type="dxa"/>
            <w:shd w:val="clear" w:color="auto" w:fill="auto"/>
          </w:tcPr>
          <w:p w14:paraId="3410744F" w14:textId="77777777" w:rsidR="00E317C4" w:rsidRPr="00AD1F87" w:rsidRDefault="00E317C4" w:rsidP="00F26850">
            <w:pPr>
              <w:spacing w:after="0" w:line="240" w:lineRule="auto"/>
              <w:rPr>
                <w:rFonts w:ascii="Book Antiqua" w:hAnsi="Book Antiqua"/>
                <w:b/>
                <w:bCs/>
                <w:sz w:val="20"/>
                <w:szCs w:val="20"/>
              </w:rPr>
            </w:pPr>
            <w:r w:rsidRPr="00AD1F87">
              <w:rPr>
                <w:rFonts w:ascii="Book Antiqua" w:hAnsi="Book Antiqua"/>
                <w:b/>
                <w:bCs/>
                <w:sz w:val="20"/>
                <w:szCs w:val="20"/>
              </w:rPr>
              <w:t>Middle fault</w:t>
            </w:r>
          </w:p>
        </w:tc>
        <w:tc>
          <w:tcPr>
            <w:tcW w:w="4788" w:type="dxa"/>
            <w:shd w:val="clear" w:color="auto" w:fill="auto"/>
          </w:tcPr>
          <w:p w14:paraId="764AC1F4"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Overcurrent</w:t>
            </w:r>
          </w:p>
          <w:p w14:paraId="2CFFA3E1"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Overvoltage</w:t>
            </w:r>
          </w:p>
          <w:p w14:paraId="663EBA7D"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Earth fault</w:t>
            </w:r>
          </w:p>
          <w:p w14:paraId="0F853FC1"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Rotor earth fault</w:t>
            </w:r>
          </w:p>
          <w:p w14:paraId="05EB89A3"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Over-frequency</w:t>
            </w:r>
          </w:p>
          <w:p w14:paraId="380BE05F"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High stator winding</w:t>
            </w:r>
          </w:p>
          <w:p w14:paraId="3AAB7228"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Reverse power</w:t>
            </w:r>
          </w:p>
          <w:p w14:paraId="5E47339C"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Under-frequency</w:t>
            </w:r>
          </w:p>
          <w:p w14:paraId="6C93C1A9"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Loss of field</w:t>
            </w:r>
          </w:p>
          <w:p w14:paraId="7B795000" w14:textId="77777777" w:rsidR="00E317C4" w:rsidRPr="00AD1F87" w:rsidRDefault="00E317C4" w:rsidP="00196385">
            <w:pPr>
              <w:numPr>
                <w:ilvl w:val="0"/>
                <w:numId w:val="116"/>
              </w:numPr>
              <w:spacing w:after="0" w:line="240" w:lineRule="auto"/>
              <w:rPr>
                <w:rFonts w:ascii="Book Antiqua" w:hAnsi="Book Antiqua"/>
                <w:sz w:val="20"/>
                <w:szCs w:val="20"/>
              </w:rPr>
            </w:pPr>
            <w:r w:rsidRPr="00AD1F87">
              <w:rPr>
                <w:rFonts w:ascii="Book Antiqua" w:hAnsi="Book Antiqua"/>
                <w:sz w:val="20"/>
                <w:szCs w:val="20"/>
              </w:rPr>
              <w:t>Negative phase overcurrent</w:t>
            </w:r>
          </w:p>
        </w:tc>
      </w:tr>
      <w:tr w:rsidR="00E317C4" w:rsidRPr="00AD1F87" w14:paraId="1CD5D60F" w14:textId="77777777" w:rsidTr="00F26850">
        <w:tc>
          <w:tcPr>
            <w:tcW w:w="4788" w:type="dxa"/>
            <w:tcBorders>
              <w:left w:val="nil"/>
              <w:right w:val="nil"/>
            </w:tcBorders>
            <w:shd w:val="clear" w:color="auto" w:fill="auto"/>
          </w:tcPr>
          <w:p w14:paraId="0DCFFBA5" w14:textId="77777777" w:rsidR="00E317C4" w:rsidRPr="00AD1F87" w:rsidRDefault="00E317C4" w:rsidP="00F26850">
            <w:pPr>
              <w:spacing w:after="0" w:line="240" w:lineRule="auto"/>
              <w:rPr>
                <w:rFonts w:ascii="Book Antiqua" w:hAnsi="Book Antiqua"/>
                <w:b/>
                <w:bCs/>
                <w:sz w:val="20"/>
                <w:szCs w:val="20"/>
              </w:rPr>
            </w:pPr>
            <w:r w:rsidRPr="00AD1F87">
              <w:rPr>
                <w:rFonts w:ascii="Book Antiqua" w:hAnsi="Book Antiqua"/>
                <w:b/>
                <w:bCs/>
                <w:sz w:val="20"/>
                <w:szCs w:val="20"/>
              </w:rPr>
              <w:t>Heavy fault</w:t>
            </w:r>
          </w:p>
        </w:tc>
        <w:tc>
          <w:tcPr>
            <w:tcW w:w="4788" w:type="dxa"/>
            <w:tcBorders>
              <w:left w:val="nil"/>
              <w:right w:val="nil"/>
            </w:tcBorders>
            <w:shd w:val="clear" w:color="auto" w:fill="auto"/>
          </w:tcPr>
          <w:p w14:paraId="7EF58E54" w14:textId="77777777" w:rsidR="00E317C4" w:rsidRPr="00AD1F87" w:rsidRDefault="00E317C4" w:rsidP="00196385">
            <w:pPr>
              <w:numPr>
                <w:ilvl w:val="0"/>
                <w:numId w:val="117"/>
              </w:numPr>
              <w:spacing w:after="0" w:line="240" w:lineRule="auto"/>
              <w:rPr>
                <w:rFonts w:ascii="Book Antiqua" w:hAnsi="Book Antiqua"/>
                <w:sz w:val="20"/>
                <w:szCs w:val="20"/>
              </w:rPr>
            </w:pPr>
            <w:r w:rsidRPr="00AD1F87">
              <w:rPr>
                <w:rFonts w:ascii="Book Antiqua" w:hAnsi="Book Antiqua"/>
                <w:sz w:val="20"/>
                <w:szCs w:val="20"/>
              </w:rPr>
              <w:t>Heavy turbine fault</w:t>
            </w:r>
          </w:p>
          <w:p w14:paraId="2D621EDC" w14:textId="77777777" w:rsidR="00E317C4" w:rsidRPr="00AD1F87" w:rsidRDefault="00E317C4" w:rsidP="00196385">
            <w:pPr>
              <w:numPr>
                <w:ilvl w:val="0"/>
                <w:numId w:val="117"/>
              </w:numPr>
              <w:spacing w:after="0" w:line="240" w:lineRule="auto"/>
              <w:rPr>
                <w:rFonts w:ascii="Book Antiqua" w:hAnsi="Book Antiqua"/>
                <w:sz w:val="20"/>
                <w:szCs w:val="20"/>
              </w:rPr>
            </w:pPr>
            <w:r w:rsidRPr="00AD1F87">
              <w:rPr>
                <w:rFonts w:ascii="Book Antiqua" w:hAnsi="Book Antiqua"/>
                <w:sz w:val="20"/>
                <w:szCs w:val="20"/>
              </w:rPr>
              <w:t>Emergency stop valve closed</w:t>
            </w:r>
          </w:p>
          <w:p w14:paraId="28469898" w14:textId="77777777" w:rsidR="00E317C4" w:rsidRPr="00AD1F87" w:rsidRDefault="00E317C4" w:rsidP="00196385">
            <w:pPr>
              <w:numPr>
                <w:ilvl w:val="0"/>
                <w:numId w:val="117"/>
              </w:numPr>
              <w:spacing w:after="0" w:line="240" w:lineRule="auto"/>
              <w:rPr>
                <w:rFonts w:ascii="Book Antiqua" w:hAnsi="Book Antiqua"/>
                <w:sz w:val="20"/>
                <w:szCs w:val="20"/>
              </w:rPr>
            </w:pPr>
            <w:r w:rsidRPr="00AD1F87">
              <w:rPr>
                <w:rFonts w:ascii="Book Antiqua" w:hAnsi="Book Antiqua"/>
                <w:sz w:val="20"/>
                <w:szCs w:val="20"/>
              </w:rPr>
              <w:t>Generator inner fault</w:t>
            </w:r>
          </w:p>
          <w:p w14:paraId="3758BB50" w14:textId="77777777" w:rsidR="00E317C4" w:rsidRPr="00AD1F87" w:rsidRDefault="00E317C4" w:rsidP="00196385">
            <w:pPr>
              <w:numPr>
                <w:ilvl w:val="0"/>
                <w:numId w:val="117"/>
              </w:numPr>
              <w:spacing w:after="0" w:line="240" w:lineRule="auto"/>
              <w:rPr>
                <w:rFonts w:ascii="Book Antiqua" w:hAnsi="Book Antiqua"/>
                <w:sz w:val="20"/>
                <w:szCs w:val="20"/>
              </w:rPr>
            </w:pPr>
            <w:r w:rsidRPr="00AD1F87">
              <w:rPr>
                <w:rFonts w:ascii="Book Antiqua" w:hAnsi="Book Antiqua"/>
                <w:sz w:val="20"/>
                <w:szCs w:val="20"/>
              </w:rPr>
              <w:t>High generator bearing temperature</w:t>
            </w:r>
          </w:p>
          <w:p w14:paraId="6216B976" w14:textId="77777777" w:rsidR="00E317C4" w:rsidRPr="00AD1F87" w:rsidRDefault="00E317C4" w:rsidP="00196385">
            <w:pPr>
              <w:numPr>
                <w:ilvl w:val="0"/>
                <w:numId w:val="117"/>
              </w:numPr>
              <w:spacing w:after="0" w:line="240" w:lineRule="auto"/>
              <w:rPr>
                <w:rFonts w:ascii="Book Antiqua" w:hAnsi="Book Antiqua"/>
                <w:sz w:val="20"/>
                <w:szCs w:val="20"/>
              </w:rPr>
            </w:pPr>
            <w:r w:rsidRPr="00AD1F87">
              <w:rPr>
                <w:rFonts w:ascii="Book Antiqua" w:hAnsi="Book Antiqua"/>
                <w:sz w:val="20"/>
                <w:szCs w:val="20"/>
              </w:rPr>
              <w:t>Rotating rectifier fault</w:t>
            </w:r>
          </w:p>
        </w:tc>
      </w:tr>
    </w:tbl>
    <w:p w14:paraId="5281D065" w14:textId="77777777" w:rsidR="00A0357A" w:rsidRDefault="00A0357A" w:rsidP="00F26850">
      <w:pPr>
        <w:tabs>
          <w:tab w:val="left" w:pos="5176"/>
        </w:tabs>
        <w:spacing w:after="0"/>
      </w:pPr>
      <w:r>
        <w:tab/>
      </w:r>
    </w:p>
    <w:p w14:paraId="59248F74" w14:textId="77777777" w:rsidR="00245F03" w:rsidRPr="00A0357A" w:rsidRDefault="00245F03" w:rsidP="00A0357A">
      <w:pPr>
        <w:sectPr w:rsidR="00245F03" w:rsidRPr="00A0357A" w:rsidSect="008F6BC9">
          <w:type w:val="continuous"/>
          <w:pgSz w:w="11907" w:h="16839" w:code="9"/>
          <w:pgMar w:top="1440" w:right="1440" w:bottom="1440" w:left="1440" w:header="720" w:footer="720" w:gutter="0"/>
          <w:cols w:space="720"/>
          <w:docGrid w:linePitch="360"/>
        </w:sectPr>
      </w:pPr>
    </w:p>
    <w:p w14:paraId="6AA02A08" w14:textId="77777777" w:rsidR="00E317C4" w:rsidRPr="00245F03" w:rsidRDefault="00245F03" w:rsidP="008275E1">
      <w:pPr>
        <w:pStyle w:val="NoSpacing"/>
        <w:spacing w:line="276" w:lineRule="auto"/>
        <w:rPr>
          <w:rFonts w:ascii="Book Antiqua" w:hAnsi="Book Antiqua"/>
          <w:b/>
        </w:rPr>
        <w:sectPr w:rsidR="00E317C4" w:rsidRPr="00245F03" w:rsidSect="00F6485F">
          <w:type w:val="continuous"/>
          <w:pgSz w:w="11907" w:h="16839" w:code="9"/>
          <w:pgMar w:top="1440" w:right="1440" w:bottom="1440" w:left="1440" w:header="720" w:footer="720" w:gutter="0"/>
          <w:cols w:space="720"/>
          <w:docGrid w:linePitch="360"/>
        </w:sectPr>
      </w:pPr>
      <w:r>
        <w:rPr>
          <w:rFonts w:ascii="Book Antiqua" w:hAnsi="Book Antiqua"/>
          <w:b/>
        </w:rPr>
        <w:t>[1]</w:t>
      </w:r>
      <w:r w:rsidR="00E317C4" w:rsidRPr="00E3232D">
        <w:rPr>
          <w:rFonts w:ascii="Book Antiqua" w:hAnsi="Book Antiqua"/>
          <w:b/>
        </w:rPr>
        <w:t>Reference to the classification of faults associated with the tripping of STG3 (ano</w:t>
      </w:r>
      <w:r>
        <w:rPr>
          <w:rFonts w:ascii="Book Antiqua" w:hAnsi="Book Antiqua"/>
          <w:b/>
        </w:rPr>
        <w:t>ther embedded steam generator)</w:t>
      </w:r>
    </w:p>
    <w:p w14:paraId="1D796D65" w14:textId="77777777" w:rsidR="00A0357A" w:rsidRDefault="00E317C4" w:rsidP="00F26850">
      <w:pPr>
        <w:pStyle w:val="NoSpacing"/>
        <w:spacing w:line="276" w:lineRule="auto"/>
        <w:jc w:val="both"/>
        <w:rPr>
          <w:rFonts w:ascii="Book Antiqua" w:hAnsi="Book Antiqua"/>
        </w:rPr>
      </w:pPr>
      <w:r w:rsidRPr="00E3232D">
        <w:rPr>
          <w:rFonts w:ascii="Book Antiqua" w:hAnsi="Book Antiqua"/>
        </w:rPr>
        <w:t>Well, instead of categorization of faults into light, medium and heavy faults, the manufacturer of the second generator uses colour coding: orange corresponds to light and medium fault or alert stage and red</w:t>
      </w:r>
      <w:r w:rsidR="00A0357A">
        <w:rPr>
          <w:rFonts w:ascii="Book Antiqua" w:hAnsi="Book Antiqua"/>
        </w:rPr>
        <w:t xml:space="preserve"> corresponds to heavy faults or </w:t>
      </w:r>
    </w:p>
    <w:p w14:paraId="5666722A" w14:textId="77777777" w:rsidR="001201F6" w:rsidRDefault="00E317C4" w:rsidP="00F26850">
      <w:pPr>
        <w:pStyle w:val="NoSpacing"/>
        <w:spacing w:line="276" w:lineRule="auto"/>
        <w:jc w:val="both"/>
        <w:rPr>
          <w:rFonts w:ascii="Book Antiqua" w:hAnsi="Book Antiqua"/>
        </w:rPr>
      </w:pPr>
      <w:r w:rsidRPr="00E3232D">
        <w:rPr>
          <w:rFonts w:ascii="Book Antiqua" w:hAnsi="Book Antiqua"/>
        </w:rPr>
        <w:t xml:space="preserve">contingencies. </w:t>
      </w:r>
      <w:r w:rsidR="00A0357A">
        <w:rPr>
          <w:rFonts w:ascii="Book Antiqua" w:hAnsi="Book Antiqua"/>
        </w:rPr>
        <w:t xml:space="preserve">  </w:t>
      </w:r>
      <w:r w:rsidRPr="00E3232D">
        <w:rPr>
          <w:rFonts w:ascii="Book Antiqua" w:hAnsi="Book Antiqua"/>
        </w:rPr>
        <w:t>The classifications are as follows:</w:t>
      </w:r>
    </w:p>
    <w:p w14:paraId="3336911F" w14:textId="77777777" w:rsidR="00F6485F" w:rsidRDefault="00F6485F" w:rsidP="008275E1">
      <w:pPr>
        <w:pStyle w:val="NoSpacing"/>
        <w:spacing w:line="276" w:lineRule="auto"/>
        <w:rPr>
          <w:rFonts w:ascii="Book Antiqua" w:hAnsi="Book Antiqua"/>
        </w:rPr>
      </w:pPr>
    </w:p>
    <w:p w14:paraId="4F6A2043" w14:textId="77777777" w:rsidR="00F6485F" w:rsidRDefault="00F6485F" w:rsidP="008D6FB2">
      <w:pPr>
        <w:spacing w:line="240" w:lineRule="auto"/>
        <w:rPr>
          <w:rFonts w:ascii="Book Antiqua" w:hAnsi="Book Antiqua"/>
          <w:b/>
          <w:bCs/>
          <w:color w:val="76923C"/>
          <w:sz w:val="20"/>
          <w:szCs w:val="20"/>
        </w:rPr>
      </w:pPr>
    </w:p>
    <w:p w14:paraId="3564878D" w14:textId="77777777" w:rsidR="00F6485F" w:rsidRDefault="00F6485F" w:rsidP="008D6FB2">
      <w:pPr>
        <w:spacing w:line="240" w:lineRule="auto"/>
        <w:rPr>
          <w:rFonts w:ascii="Book Antiqua" w:hAnsi="Book Antiqua"/>
          <w:b/>
          <w:bCs/>
          <w:color w:val="76923C"/>
          <w:sz w:val="20"/>
          <w:szCs w:val="20"/>
        </w:rPr>
        <w:sectPr w:rsidR="00F6485F" w:rsidSect="008F6BC9">
          <w:type w:val="continuous"/>
          <w:pgSz w:w="11907" w:h="16839" w:code="9"/>
          <w:pgMar w:top="1440" w:right="1440" w:bottom="1440" w:left="1440" w:header="720" w:footer="720" w:gutter="0"/>
          <w:cols w:num="2" w:space="720"/>
          <w:docGrid w:linePitch="360"/>
        </w:sectPr>
      </w:pPr>
    </w:p>
    <w:tbl>
      <w:tblPr>
        <w:tblW w:w="0" w:type="auto"/>
        <w:tblBorders>
          <w:top w:val="single" w:sz="8" w:space="0" w:color="9BBB59"/>
          <w:bottom w:val="single" w:sz="8" w:space="0" w:color="9BBB59"/>
        </w:tblBorders>
        <w:tblLook w:val="04A0" w:firstRow="1" w:lastRow="0" w:firstColumn="1" w:lastColumn="0" w:noHBand="0" w:noVBand="1"/>
      </w:tblPr>
      <w:tblGrid>
        <w:gridCol w:w="1550"/>
        <w:gridCol w:w="5376"/>
      </w:tblGrid>
      <w:tr w:rsidR="00E317C4" w:rsidRPr="00AD1F87" w14:paraId="16BBD9C7" w14:textId="77777777" w:rsidTr="00AD1F87">
        <w:trPr>
          <w:trHeight w:val="295"/>
        </w:trPr>
        <w:tc>
          <w:tcPr>
            <w:tcW w:w="979" w:type="dxa"/>
            <w:tcBorders>
              <w:top w:val="single" w:sz="8" w:space="0" w:color="9BBB59"/>
              <w:left w:val="nil"/>
              <w:bottom w:val="single" w:sz="8" w:space="0" w:color="9BBB59"/>
              <w:right w:val="nil"/>
            </w:tcBorders>
            <w:shd w:val="clear" w:color="auto" w:fill="auto"/>
          </w:tcPr>
          <w:p w14:paraId="6CB10490" w14:textId="77777777" w:rsidR="00E317C4" w:rsidRPr="00AD1F87" w:rsidRDefault="00E317C4" w:rsidP="008D6FB2">
            <w:pPr>
              <w:spacing w:line="240" w:lineRule="auto"/>
              <w:rPr>
                <w:rFonts w:ascii="Book Antiqua" w:hAnsi="Book Antiqua"/>
                <w:b/>
                <w:bCs/>
                <w:sz w:val="20"/>
                <w:szCs w:val="20"/>
              </w:rPr>
            </w:pPr>
            <w:r w:rsidRPr="00AD1F87">
              <w:rPr>
                <w:rFonts w:ascii="Book Antiqua" w:hAnsi="Book Antiqua"/>
                <w:b/>
                <w:bCs/>
                <w:sz w:val="20"/>
                <w:szCs w:val="20"/>
              </w:rPr>
              <w:t>Table 2. Interpretation of alarms related to the operation of the reference turbine-generator FAULT INDICATION LAMPS</w:t>
            </w:r>
          </w:p>
        </w:tc>
        <w:tc>
          <w:tcPr>
            <w:tcW w:w="3026" w:type="dxa"/>
            <w:tcBorders>
              <w:top w:val="single" w:sz="8" w:space="0" w:color="9BBB59"/>
              <w:left w:val="nil"/>
              <w:bottom w:val="single" w:sz="8" w:space="0" w:color="9BBB59"/>
              <w:right w:val="nil"/>
            </w:tcBorders>
            <w:shd w:val="clear" w:color="auto" w:fill="auto"/>
          </w:tcPr>
          <w:p w14:paraId="5E08E812" w14:textId="77777777" w:rsidR="00E317C4" w:rsidRPr="00AD1F87" w:rsidRDefault="00E317C4" w:rsidP="008D6FB2">
            <w:pPr>
              <w:spacing w:line="240" w:lineRule="auto"/>
              <w:rPr>
                <w:rFonts w:ascii="Book Antiqua" w:hAnsi="Book Antiqua"/>
                <w:b/>
                <w:bCs/>
                <w:sz w:val="20"/>
                <w:szCs w:val="20"/>
              </w:rPr>
            </w:pPr>
            <w:r w:rsidRPr="00AD1F87">
              <w:rPr>
                <w:rFonts w:ascii="Book Antiqua" w:hAnsi="Book Antiqua"/>
                <w:b/>
                <w:bCs/>
                <w:sz w:val="20"/>
                <w:szCs w:val="20"/>
              </w:rPr>
              <w:t>POSSIBLE CAUSES</w:t>
            </w:r>
          </w:p>
        </w:tc>
      </w:tr>
      <w:tr w:rsidR="00E317C4" w:rsidRPr="00AD1F87" w14:paraId="6C2326AE" w14:textId="77777777" w:rsidTr="00F26850">
        <w:trPr>
          <w:trHeight w:val="136"/>
        </w:trPr>
        <w:tc>
          <w:tcPr>
            <w:tcW w:w="979" w:type="dxa"/>
            <w:tcBorders>
              <w:left w:val="nil"/>
              <w:right w:val="nil"/>
            </w:tcBorders>
            <w:shd w:val="clear" w:color="auto" w:fill="auto"/>
          </w:tcPr>
          <w:p w14:paraId="3F9E5599" w14:textId="77777777" w:rsidR="00E317C4" w:rsidRPr="00AD1F87" w:rsidRDefault="00E317C4" w:rsidP="008D6FB2">
            <w:pPr>
              <w:spacing w:line="240" w:lineRule="auto"/>
              <w:rPr>
                <w:rFonts w:ascii="Book Antiqua" w:hAnsi="Book Antiqua"/>
                <w:b/>
                <w:bCs/>
                <w:sz w:val="20"/>
                <w:szCs w:val="20"/>
              </w:rPr>
            </w:pPr>
            <w:r w:rsidRPr="00AD1F87">
              <w:rPr>
                <w:rFonts w:ascii="Book Antiqua" w:hAnsi="Book Antiqua"/>
                <w:b/>
                <w:bCs/>
                <w:sz w:val="20"/>
                <w:szCs w:val="20"/>
              </w:rPr>
              <w:t>Orange</w:t>
            </w:r>
          </w:p>
        </w:tc>
        <w:tc>
          <w:tcPr>
            <w:tcW w:w="3026" w:type="dxa"/>
            <w:tcBorders>
              <w:left w:val="nil"/>
              <w:right w:val="nil"/>
            </w:tcBorders>
            <w:shd w:val="clear" w:color="auto" w:fill="auto"/>
          </w:tcPr>
          <w:p w14:paraId="3846B22A"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Inlet steam pressure low</w:t>
            </w:r>
          </w:p>
          <w:p w14:paraId="0B2DB819"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Inlet steam temperature low</w:t>
            </w:r>
          </w:p>
          <w:p w14:paraId="73FC4B74"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Pass-out steam pressure high</w:t>
            </w:r>
          </w:p>
          <w:p w14:paraId="30E7A012"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Exhaust steam pressure high</w:t>
            </w:r>
          </w:p>
          <w:p w14:paraId="40F4A0FD"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Lube oil reservoir level low</w:t>
            </w:r>
          </w:p>
          <w:p w14:paraId="03D0EA92"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Lube oil temperature high</w:t>
            </w:r>
          </w:p>
          <w:p w14:paraId="00C3A2A8"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Lube oil pressure low</w:t>
            </w:r>
          </w:p>
          <w:p w14:paraId="6C43C2AC"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Bearing temperature high</w:t>
            </w:r>
          </w:p>
          <w:p w14:paraId="7E9030CD"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Barring gear engaged</w:t>
            </w:r>
          </w:p>
          <w:p w14:paraId="7CAD18A3"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Vibration/displacement/temperature monitor fault</w:t>
            </w:r>
          </w:p>
          <w:p w14:paraId="17972246"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Condensate level low</w:t>
            </w:r>
          </w:p>
          <w:p w14:paraId="1C0A910D"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Condensate level high</w:t>
            </w:r>
          </w:p>
          <w:p w14:paraId="5C6B6D59"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Control oil pressure low</w:t>
            </w:r>
          </w:p>
          <w:p w14:paraId="204ED011"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Lube oil filter differential pressure high</w:t>
            </w:r>
          </w:p>
          <w:p w14:paraId="0A90E2C3"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Turbine rotor displacement high</w:t>
            </w:r>
          </w:p>
          <w:p w14:paraId="73580A5C"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Turbine gearbox vibration high</w:t>
            </w:r>
          </w:p>
          <w:p w14:paraId="13925C1E"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Condenser cooling water failure</w:t>
            </w:r>
          </w:p>
          <w:p w14:paraId="70E4A591"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Generator cooling water leakage</w:t>
            </w:r>
          </w:p>
          <w:p w14:paraId="0EB08E23"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Generator air temperature high</w:t>
            </w:r>
          </w:p>
          <w:p w14:paraId="26497BE7" w14:textId="77777777" w:rsidR="00E317C4" w:rsidRPr="00AD1F87" w:rsidRDefault="00E317C4" w:rsidP="00196385">
            <w:pPr>
              <w:pStyle w:val="NoSpacing"/>
              <w:numPr>
                <w:ilvl w:val="0"/>
                <w:numId w:val="123"/>
              </w:numPr>
              <w:spacing w:line="276" w:lineRule="auto"/>
              <w:rPr>
                <w:rFonts w:ascii="Book Antiqua" w:hAnsi="Book Antiqua"/>
                <w:sz w:val="20"/>
                <w:szCs w:val="20"/>
              </w:rPr>
            </w:pPr>
            <w:r w:rsidRPr="00AD1F87">
              <w:rPr>
                <w:rFonts w:ascii="Book Antiqua" w:hAnsi="Book Antiqua"/>
                <w:sz w:val="20"/>
                <w:szCs w:val="20"/>
              </w:rPr>
              <w:t>Generator winding temperature high</w:t>
            </w:r>
          </w:p>
        </w:tc>
      </w:tr>
      <w:tr w:rsidR="00E317C4" w:rsidRPr="00AD1F87" w14:paraId="03F4C84B" w14:textId="77777777" w:rsidTr="00F26850">
        <w:trPr>
          <w:trHeight w:val="136"/>
        </w:trPr>
        <w:tc>
          <w:tcPr>
            <w:tcW w:w="979" w:type="dxa"/>
            <w:shd w:val="clear" w:color="auto" w:fill="auto"/>
          </w:tcPr>
          <w:p w14:paraId="1B8FD248" w14:textId="77777777" w:rsidR="00E317C4" w:rsidRPr="00AD1F87" w:rsidRDefault="00E317C4" w:rsidP="008D6FB2">
            <w:pPr>
              <w:spacing w:line="240" w:lineRule="auto"/>
              <w:rPr>
                <w:rFonts w:ascii="Book Antiqua" w:hAnsi="Book Antiqua"/>
                <w:b/>
                <w:bCs/>
                <w:sz w:val="20"/>
                <w:szCs w:val="20"/>
              </w:rPr>
            </w:pPr>
            <w:r w:rsidRPr="00AD1F87">
              <w:rPr>
                <w:rFonts w:ascii="Book Antiqua" w:hAnsi="Book Antiqua"/>
                <w:b/>
                <w:bCs/>
                <w:sz w:val="20"/>
                <w:szCs w:val="20"/>
              </w:rPr>
              <w:t>Red</w:t>
            </w:r>
          </w:p>
        </w:tc>
        <w:tc>
          <w:tcPr>
            <w:tcW w:w="3026" w:type="dxa"/>
            <w:shd w:val="clear" w:color="auto" w:fill="auto"/>
          </w:tcPr>
          <w:p w14:paraId="7782CB60" w14:textId="77777777" w:rsidR="00E317C4" w:rsidRPr="00AD1F87" w:rsidRDefault="00E317C4" w:rsidP="00196385">
            <w:pPr>
              <w:pStyle w:val="NoSpacing"/>
              <w:numPr>
                <w:ilvl w:val="0"/>
                <w:numId w:val="124"/>
              </w:numPr>
              <w:spacing w:line="276" w:lineRule="auto"/>
              <w:rPr>
                <w:rFonts w:ascii="Book Antiqua" w:hAnsi="Book Antiqua"/>
                <w:sz w:val="20"/>
                <w:szCs w:val="20"/>
              </w:rPr>
            </w:pPr>
            <w:r w:rsidRPr="00AD1F87">
              <w:rPr>
                <w:rFonts w:ascii="Book Antiqua" w:hAnsi="Book Antiqua"/>
                <w:sz w:val="20"/>
                <w:szCs w:val="20"/>
              </w:rPr>
              <w:t>Exhaust steam pressure high high</w:t>
            </w:r>
          </w:p>
          <w:p w14:paraId="6FC11D0E" w14:textId="77777777" w:rsidR="00E317C4" w:rsidRPr="00AD1F87" w:rsidRDefault="00E317C4" w:rsidP="00196385">
            <w:pPr>
              <w:pStyle w:val="NoSpacing"/>
              <w:numPr>
                <w:ilvl w:val="0"/>
                <w:numId w:val="124"/>
              </w:numPr>
              <w:spacing w:line="276" w:lineRule="auto"/>
              <w:rPr>
                <w:rFonts w:ascii="Book Antiqua" w:hAnsi="Book Antiqua"/>
                <w:sz w:val="20"/>
                <w:szCs w:val="20"/>
              </w:rPr>
            </w:pPr>
            <w:r w:rsidRPr="00AD1F87">
              <w:rPr>
                <w:rFonts w:ascii="Book Antiqua" w:hAnsi="Book Antiqua"/>
                <w:sz w:val="20"/>
                <w:szCs w:val="20"/>
              </w:rPr>
              <w:t>Lube oil temperature high high</w:t>
            </w:r>
          </w:p>
          <w:p w14:paraId="5E84939A" w14:textId="77777777" w:rsidR="00E317C4" w:rsidRPr="00AD1F87" w:rsidRDefault="00E317C4" w:rsidP="00196385">
            <w:pPr>
              <w:pStyle w:val="NoSpacing"/>
              <w:numPr>
                <w:ilvl w:val="0"/>
                <w:numId w:val="124"/>
              </w:numPr>
              <w:spacing w:line="276" w:lineRule="auto"/>
              <w:rPr>
                <w:rFonts w:ascii="Book Antiqua" w:hAnsi="Book Antiqua"/>
                <w:sz w:val="20"/>
                <w:szCs w:val="20"/>
              </w:rPr>
            </w:pPr>
            <w:r w:rsidRPr="00AD1F87">
              <w:rPr>
                <w:rFonts w:ascii="Book Antiqua" w:hAnsi="Book Antiqua"/>
                <w:sz w:val="20"/>
                <w:szCs w:val="20"/>
              </w:rPr>
              <w:t>Lube oil pressure low low</w:t>
            </w:r>
          </w:p>
          <w:p w14:paraId="1F1F5BFB" w14:textId="77777777" w:rsidR="00E317C4" w:rsidRPr="00AD1F87" w:rsidRDefault="00E317C4" w:rsidP="00196385">
            <w:pPr>
              <w:pStyle w:val="NoSpacing"/>
              <w:numPr>
                <w:ilvl w:val="0"/>
                <w:numId w:val="124"/>
              </w:numPr>
              <w:spacing w:line="276" w:lineRule="auto"/>
              <w:rPr>
                <w:rFonts w:ascii="Book Antiqua" w:hAnsi="Book Antiqua"/>
                <w:sz w:val="20"/>
                <w:szCs w:val="20"/>
              </w:rPr>
            </w:pPr>
            <w:r w:rsidRPr="00AD1F87">
              <w:rPr>
                <w:rFonts w:ascii="Book Antiqua" w:hAnsi="Book Antiqua"/>
                <w:sz w:val="20"/>
                <w:szCs w:val="20"/>
              </w:rPr>
              <w:t>Bearing temperature high high</w:t>
            </w:r>
          </w:p>
          <w:p w14:paraId="11186847" w14:textId="77777777" w:rsidR="00E317C4" w:rsidRPr="00AD1F87" w:rsidRDefault="00E317C4" w:rsidP="00196385">
            <w:pPr>
              <w:pStyle w:val="NoSpacing"/>
              <w:numPr>
                <w:ilvl w:val="0"/>
                <w:numId w:val="124"/>
              </w:numPr>
              <w:spacing w:line="276" w:lineRule="auto"/>
              <w:rPr>
                <w:rFonts w:ascii="Book Antiqua" w:hAnsi="Book Antiqua"/>
                <w:sz w:val="20"/>
                <w:szCs w:val="20"/>
              </w:rPr>
            </w:pPr>
            <w:r w:rsidRPr="00AD1F87">
              <w:rPr>
                <w:rFonts w:ascii="Book Antiqua" w:hAnsi="Book Antiqua"/>
                <w:sz w:val="20"/>
                <w:szCs w:val="20"/>
              </w:rPr>
              <w:t>Turbine rotor displacement high high</w:t>
            </w:r>
          </w:p>
          <w:p w14:paraId="70653931" w14:textId="77777777" w:rsidR="00E317C4" w:rsidRPr="00AD1F87" w:rsidRDefault="00E317C4" w:rsidP="00196385">
            <w:pPr>
              <w:pStyle w:val="NoSpacing"/>
              <w:numPr>
                <w:ilvl w:val="0"/>
                <w:numId w:val="124"/>
              </w:numPr>
              <w:spacing w:line="276" w:lineRule="auto"/>
              <w:rPr>
                <w:rFonts w:ascii="Book Antiqua" w:hAnsi="Book Antiqua"/>
                <w:sz w:val="20"/>
                <w:szCs w:val="20"/>
              </w:rPr>
            </w:pPr>
            <w:r w:rsidRPr="00AD1F87">
              <w:rPr>
                <w:rFonts w:ascii="Book Antiqua" w:hAnsi="Book Antiqua"/>
                <w:sz w:val="20"/>
                <w:szCs w:val="20"/>
              </w:rPr>
              <w:t>Turbine gearbox vibration high high</w:t>
            </w:r>
          </w:p>
          <w:p w14:paraId="764FFEFD" w14:textId="77777777" w:rsidR="00E317C4" w:rsidRPr="00AD1F87" w:rsidRDefault="00E317C4" w:rsidP="00196385">
            <w:pPr>
              <w:pStyle w:val="NoSpacing"/>
              <w:numPr>
                <w:ilvl w:val="0"/>
                <w:numId w:val="124"/>
              </w:numPr>
              <w:spacing w:line="276" w:lineRule="auto"/>
              <w:rPr>
                <w:rFonts w:ascii="Book Antiqua" w:hAnsi="Book Antiqua"/>
                <w:sz w:val="20"/>
                <w:szCs w:val="20"/>
              </w:rPr>
            </w:pPr>
            <w:r w:rsidRPr="00AD1F87">
              <w:rPr>
                <w:rFonts w:ascii="Book Antiqua" w:hAnsi="Book Antiqua"/>
                <w:sz w:val="20"/>
                <w:szCs w:val="20"/>
              </w:rPr>
              <w:t>Condenser cooling water failure</w:t>
            </w:r>
          </w:p>
          <w:p w14:paraId="75F62937" w14:textId="77777777" w:rsidR="00E317C4" w:rsidRPr="00AD1F87" w:rsidRDefault="00E317C4" w:rsidP="00196385">
            <w:pPr>
              <w:pStyle w:val="NoSpacing"/>
              <w:numPr>
                <w:ilvl w:val="0"/>
                <w:numId w:val="124"/>
              </w:numPr>
              <w:spacing w:line="276" w:lineRule="auto"/>
              <w:rPr>
                <w:rFonts w:ascii="Book Antiqua" w:hAnsi="Book Antiqua"/>
                <w:sz w:val="20"/>
                <w:szCs w:val="20"/>
              </w:rPr>
            </w:pPr>
            <w:r w:rsidRPr="00AD1F87">
              <w:rPr>
                <w:rFonts w:ascii="Book Antiqua" w:hAnsi="Book Antiqua"/>
                <w:sz w:val="20"/>
                <w:szCs w:val="20"/>
              </w:rPr>
              <w:t>Generator cooling water leakage</w:t>
            </w:r>
          </w:p>
          <w:p w14:paraId="7F98262D" w14:textId="77777777" w:rsidR="00E317C4" w:rsidRPr="00AD1F87" w:rsidRDefault="00E317C4" w:rsidP="00196385">
            <w:pPr>
              <w:pStyle w:val="NoSpacing"/>
              <w:numPr>
                <w:ilvl w:val="0"/>
                <w:numId w:val="124"/>
              </w:numPr>
              <w:spacing w:line="276" w:lineRule="auto"/>
              <w:rPr>
                <w:rFonts w:ascii="Book Antiqua" w:hAnsi="Book Antiqua"/>
                <w:sz w:val="20"/>
                <w:szCs w:val="20"/>
              </w:rPr>
            </w:pPr>
            <w:r w:rsidRPr="00AD1F87">
              <w:rPr>
                <w:rFonts w:ascii="Book Antiqua" w:hAnsi="Book Antiqua"/>
                <w:sz w:val="20"/>
                <w:szCs w:val="20"/>
              </w:rPr>
              <w:t>Generator air temperature high high</w:t>
            </w:r>
          </w:p>
          <w:p w14:paraId="0AFD8EA7" w14:textId="77777777" w:rsidR="00E317C4" w:rsidRPr="00AD1F87" w:rsidRDefault="00E317C4" w:rsidP="00196385">
            <w:pPr>
              <w:numPr>
                <w:ilvl w:val="0"/>
                <w:numId w:val="124"/>
              </w:numPr>
              <w:spacing w:line="240" w:lineRule="auto"/>
              <w:rPr>
                <w:rFonts w:ascii="Book Antiqua" w:hAnsi="Book Antiqua"/>
                <w:sz w:val="20"/>
                <w:szCs w:val="20"/>
              </w:rPr>
            </w:pPr>
            <w:r w:rsidRPr="00AD1F87">
              <w:rPr>
                <w:rFonts w:ascii="Book Antiqua" w:hAnsi="Book Antiqua"/>
                <w:sz w:val="20"/>
                <w:szCs w:val="20"/>
              </w:rPr>
              <w:t>Generator winding temperature high high</w:t>
            </w:r>
          </w:p>
          <w:p w14:paraId="3C564B59" w14:textId="77777777" w:rsidR="00E317C4" w:rsidRPr="00AD1F87" w:rsidRDefault="00E317C4" w:rsidP="00196385">
            <w:pPr>
              <w:numPr>
                <w:ilvl w:val="0"/>
                <w:numId w:val="124"/>
              </w:numPr>
              <w:spacing w:line="240" w:lineRule="auto"/>
              <w:rPr>
                <w:rFonts w:ascii="Book Antiqua" w:hAnsi="Book Antiqua"/>
                <w:sz w:val="20"/>
                <w:szCs w:val="20"/>
              </w:rPr>
            </w:pPr>
            <w:r w:rsidRPr="00AD1F87">
              <w:rPr>
                <w:rFonts w:ascii="Book Antiqua" w:hAnsi="Book Antiqua"/>
                <w:sz w:val="20"/>
                <w:szCs w:val="20"/>
              </w:rPr>
              <w:t>Generator fault</w:t>
            </w:r>
          </w:p>
          <w:p w14:paraId="55957564" w14:textId="77777777" w:rsidR="00E317C4" w:rsidRPr="00AD1F87" w:rsidRDefault="00E317C4" w:rsidP="00196385">
            <w:pPr>
              <w:numPr>
                <w:ilvl w:val="0"/>
                <w:numId w:val="124"/>
              </w:numPr>
              <w:spacing w:line="240" w:lineRule="auto"/>
              <w:rPr>
                <w:rFonts w:ascii="Book Antiqua" w:hAnsi="Book Antiqua"/>
                <w:sz w:val="20"/>
                <w:szCs w:val="20"/>
              </w:rPr>
            </w:pPr>
            <w:r w:rsidRPr="00AD1F87">
              <w:rPr>
                <w:rFonts w:ascii="Book Antiqua" w:hAnsi="Book Antiqua"/>
                <w:sz w:val="20"/>
                <w:szCs w:val="20"/>
              </w:rPr>
              <w:t>Governor fault</w:t>
            </w:r>
          </w:p>
          <w:p w14:paraId="61C551EC" w14:textId="77777777" w:rsidR="00E317C4" w:rsidRPr="00AD1F87" w:rsidRDefault="00E317C4" w:rsidP="00196385">
            <w:pPr>
              <w:numPr>
                <w:ilvl w:val="0"/>
                <w:numId w:val="124"/>
              </w:numPr>
              <w:spacing w:line="240" w:lineRule="auto"/>
              <w:rPr>
                <w:rFonts w:ascii="Book Antiqua" w:hAnsi="Book Antiqua"/>
                <w:sz w:val="20"/>
                <w:szCs w:val="20"/>
              </w:rPr>
            </w:pPr>
            <w:r w:rsidRPr="00AD1F87">
              <w:rPr>
                <w:rFonts w:ascii="Book Antiqua" w:hAnsi="Book Antiqua"/>
                <w:sz w:val="20"/>
                <w:szCs w:val="20"/>
              </w:rPr>
              <w:t>Turbine over-speed</w:t>
            </w:r>
          </w:p>
          <w:p w14:paraId="69E4A758" w14:textId="77777777" w:rsidR="00E317C4" w:rsidRPr="00AD1F87" w:rsidRDefault="00E317C4" w:rsidP="00196385">
            <w:pPr>
              <w:numPr>
                <w:ilvl w:val="0"/>
                <w:numId w:val="124"/>
              </w:numPr>
              <w:spacing w:line="240" w:lineRule="auto"/>
              <w:rPr>
                <w:rFonts w:ascii="Book Antiqua" w:hAnsi="Book Antiqua"/>
                <w:sz w:val="20"/>
                <w:szCs w:val="20"/>
              </w:rPr>
            </w:pPr>
            <w:r w:rsidRPr="00AD1F87">
              <w:rPr>
                <w:rFonts w:ascii="Book Antiqua" w:hAnsi="Book Antiqua"/>
                <w:sz w:val="20"/>
                <w:szCs w:val="20"/>
              </w:rPr>
              <w:t>Turbine tripped</w:t>
            </w:r>
          </w:p>
        </w:tc>
      </w:tr>
    </w:tbl>
    <w:p w14:paraId="60B4993F" w14:textId="77777777" w:rsidR="00245F03" w:rsidRDefault="00245F03" w:rsidP="008275E1">
      <w:pPr>
        <w:pStyle w:val="NoSpacing"/>
        <w:spacing w:line="276" w:lineRule="auto"/>
        <w:rPr>
          <w:rFonts w:ascii="Book Antiqua" w:hAnsi="Book Antiqua"/>
          <w:b/>
        </w:rPr>
        <w:sectPr w:rsidR="00245F03" w:rsidSect="008F6BC9">
          <w:type w:val="continuous"/>
          <w:pgSz w:w="11907" w:h="16839" w:code="9"/>
          <w:pgMar w:top="1440" w:right="1440" w:bottom="1440" w:left="1440" w:header="720" w:footer="720" w:gutter="0"/>
          <w:cols w:space="720"/>
          <w:docGrid w:linePitch="360"/>
        </w:sectPr>
      </w:pPr>
    </w:p>
    <w:p w14:paraId="0B67E1FA" w14:textId="77777777" w:rsidR="00E317C4" w:rsidRDefault="00E317C4" w:rsidP="008275E1">
      <w:pPr>
        <w:pStyle w:val="NoSpacing"/>
        <w:spacing w:line="276" w:lineRule="auto"/>
        <w:rPr>
          <w:rFonts w:ascii="Book Antiqua" w:hAnsi="Book Antiqua"/>
          <w:b/>
        </w:rPr>
      </w:pPr>
      <w:r w:rsidRPr="00E3232D">
        <w:rPr>
          <w:rFonts w:ascii="Book Antiqua" w:hAnsi="Book Antiqua"/>
          <w:b/>
        </w:rPr>
        <w:t>[6]</w:t>
      </w:r>
      <w:r w:rsidRPr="00E3232D">
        <w:rPr>
          <w:rFonts w:ascii="Book Antiqua" w:hAnsi="Book Antiqua"/>
          <w:b/>
        </w:rPr>
        <w:tab/>
      </w:r>
    </w:p>
    <w:p w14:paraId="2B54F05D" w14:textId="77777777" w:rsidR="00245F03" w:rsidRDefault="00245F03" w:rsidP="008275E1">
      <w:pPr>
        <w:pStyle w:val="NoSpacing"/>
        <w:spacing w:line="276" w:lineRule="auto"/>
        <w:rPr>
          <w:rFonts w:ascii="Book Antiqua" w:hAnsi="Book Antiqua"/>
          <w:b/>
        </w:rPr>
      </w:pPr>
    </w:p>
    <w:p w14:paraId="7495F0A1" w14:textId="77777777" w:rsidR="00245F03" w:rsidRDefault="00245F03" w:rsidP="008275E1">
      <w:pPr>
        <w:pStyle w:val="NoSpacing"/>
        <w:spacing w:line="276" w:lineRule="auto"/>
        <w:rPr>
          <w:rFonts w:ascii="Book Antiqua" w:hAnsi="Book Antiqua"/>
          <w:b/>
        </w:rPr>
      </w:pPr>
    </w:p>
    <w:p w14:paraId="373D5051" w14:textId="77777777" w:rsidR="00F6485F" w:rsidRDefault="00F6485F" w:rsidP="008275E1">
      <w:pPr>
        <w:pStyle w:val="NoSpacing"/>
        <w:spacing w:line="276" w:lineRule="auto"/>
        <w:rPr>
          <w:rFonts w:ascii="Book Antiqua" w:hAnsi="Book Antiqua"/>
          <w:b/>
        </w:rPr>
      </w:pPr>
    </w:p>
    <w:p w14:paraId="463F08C5" w14:textId="77777777" w:rsidR="00F6485F" w:rsidRDefault="00F6485F" w:rsidP="008275E1">
      <w:pPr>
        <w:pStyle w:val="NoSpacing"/>
        <w:spacing w:line="276" w:lineRule="auto"/>
        <w:rPr>
          <w:rFonts w:ascii="Book Antiqua" w:hAnsi="Book Antiqua"/>
          <w:b/>
        </w:rPr>
      </w:pPr>
    </w:p>
    <w:p w14:paraId="7B404322" w14:textId="77777777" w:rsidR="00F6485F" w:rsidRDefault="00F6485F" w:rsidP="008275E1">
      <w:pPr>
        <w:pStyle w:val="NoSpacing"/>
        <w:spacing w:line="276" w:lineRule="auto"/>
        <w:rPr>
          <w:rFonts w:ascii="Book Antiqua" w:hAnsi="Book Antiqua"/>
          <w:b/>
        </w:rPr>
      </w:pPr>
    </w:p>
    <w:p w14:paraId="6B5C59D3" w14:textId="77777777" w:rsidR="00F6485F" w:rsidRDefault="00F6485F" w:rsidP="008275E1">
      <w:pPr>
        <w:pStyle w:val="NoSpacing"/>
        <w:spacing w:line="276" w:lineRule="auto"/>
        <w:rPr>
          <w:rFonts w:ascii="Book Antiqua" w:hAnsi="Book Antiqua"/>
          <w:b/>
        </w:rPr>
      </w:pPr>
    </w:p>
    <w:p w14:paraId="50EED1D6" w14:textId="77777777" w:rsidR="00F6485F" w:rsidRDefault="00F6485F" w:rsidP="008275E1">
      <w:pPr>
        <w:pStyle w:val="NoSpacing"/>
        <w:spacing w:line="276" w:lineRule="auto"/>
        <w:rPr>
          <w:rFonts w:ascii="Book Antiqua" w:hAnsi="Book Antiqua"/>
          <w:b/>
        </w:rPr>
      </w:pPr>
    </w:p>
    <w:p w14:paraId="74F4E504" w14:textId="77777777" w:rsidR="00F6485F" w:rsidRDefault="00F6485F" w:rsidP="008275E1">
      <w:pPr>
        <w:pStyle w:val="NoSpacing"/>
        <w:spacing w:line="276" w:lineRule="auto"/>
        <w:rPr>
          <w:rFonts w:ascii="Book Antiqua" w:hAnsi="Book Antiqua"/>
          <w:b/>
        </w:rPr>
      </w:pPr>
    </w:p>
    <w:p w14:paraId="7202C854" w14:textId="77777777" w:rsidR="00245F03" w:rsidRPr="00E3232D" w:rsidRDefault="00245F03" w:rsidP="008275E1">
      <w:pPr>
        <w:pStyle w:val="NoSpacing"/>
        <w:spacing w:line="276" w:lineRule="auto"/>
        <w:rPr>
          <w:rFonts w:ascii="Book Antiqua" w:hAnsi="Book Antiqua"/>
          <w:b/>
        </w:rPr>
      </w:pPr>
    </w:p>
    <w:p w14:paraId="6FCC44B6" w14:textId="77777777" w:rsidR="00E317C4" w:rsidRDefault="00E317C4" w:rsidP="001201F6">
      <w:pPr>
        <w:pStyle w:val="NoSpacing"/>
        <w:spacing w:line="276" w:lineRule="auto"/>
        <w:rPr>
          <w:rFonts w:ascii="Book Antiqua" w:hAnsi="Book Antiqua"/>
          <w:b/>
        </w:rPr>
      </w:pPr>
    </w:p>
    <w:p w14:paraId="0A74E040" w14:textId="77777777" w:rsidR="001201F6" w:rsidRPr="00E3232D" w:rsidRDefault="001201F6" w:rsidP="001201F6">
      <w:pPr>
        <w:pStyle w:val="NoSpacing"/>
        <w:spacing w:line="276" w:lineRule="auto"/>
        <w:rPr>
          <w:rFonts w:ascii="Book Antiqua" w:hAnsi="Book Antiqua"/>
          <w:b/>
        </w:rPr>
        <w:sectPr w:rsidR="001201F6" w:rsidRPr="00E3232D" w:rsidSect="008F6BC9">
          <w:type w:val="continuous"/>
          <w:pgSz w:w="11907" w:h="16839" w:code="9"/>
          <w:pgMar w:top="1440" w:right="1440" w:bottom="1440" w:left="1440" w:header="720" w:footer="720" w:gutter="0"/>
          <w:cols w:num="2" w:space="720"/>
          <w:docGrid w:linePitch="360"/>
        </w:sectPr>
      </w:pPr>
    </w:p>
    <w:p w14:paraId="40CB9A8B" w14:textId="77777777" w:rsidR="00E317C4" w:rsidRPr="00F6485F" w:rsidRDefault="00E317C4" w:rsidP="00AD1F87">
      <w:pPr>
        <w:pStyle w:val="NoSpacing"/>
        <w:numPr>
          <w:ilvl w:val="1"/>
          <w:numId w:val="108"/>
        </w:numPr>
        <w:spacing w:line="276" w:lineRule="auto"/>
        <w:jc w:val="both"/>
        <w:rPr>
          <w:rFonts w:ascii="Book Antiqua" w:hAnsi="Book Antiqua"/>
          <w:b/>
          <w:sz w:val="26"/>
          <w:szCs w:val="26"/>
        </w:rPr>
      </w:pPr>
      <w:r w:rsidRPr="00F6485F">
        <w:rPr>
          <w:rFonts w:ascii="Book Antiqua" w:hAnsi="Book Antiqua"/>
          <w:b/>
          <w:sz w:val="26"/>
          <w:szCs w:val="26"/>
        </w:rPr>
        <w:t>Generator protection scheme</w:t>
      </w:r>
    </w:p>
    <w:p w14:paraId="5DF48F2D" w14:textId="77777777" w:rsidR="00E317C4" w:rsidRPr="00E3232D" w:rsidRDefault="00E317C4" w:rsidP="00AD1F87">
      <w:pPr>
        <w:pStyle w:val="NoSpacing"/>
        <w:spacing w:line="276" w:lineRule="auto"/>
        <w:ind w:firstLine="720"/>
        <w:jc w:val="both"/>
        <w:rPr>
          <w:rFonts w:ascii="Book Antiqua" w:hAnsi="Book Antiqua"/>
        </w:rPr>
      </w:pPr>
      <w:r w:rsidRPr="00E3232D">
        <w:rPr>
          <w:rFonts w:ascii="Book Antiqua" w:hAnsi="Book Antiqua"/>
        </w:rPr>
        <w:t>It includes the following:</w:t>
      </w:r>
    </w:p>
    <w:p w14:paraId="0A259289" w14:textId="77777777" w:rsidR="00E317C4" w:rsidRPr="00E3232D" w:rsidRDefault="00E317C4" w:rsidP="00AD1F87">
      <w:pPr>
        <w:pStyle w:val="NoSpacing"/>
        <w:numPr>
          <w:ilvl w:val="0"/>
          <w:numId w:val="112"/>
        </w:numPr>
        <w:spacing w:line="276" w:lineRule="auto"/>
        <w:ind w:left="720" w:firstLine="0"/>
        <w:jc w:val="both"/>
        <w:rPr>
          <w:rFonts w:ascii="Book Antiqua" w:hAnsi="Book Antiqua"/>
        </w:rPr>
      </w:pPr>
      <w:r w:rsidRPr="00E3232D">
        <w:rPr>
          <w:rFonts w:ascii="Book Antiqua" w:hAnsi="Book Antiqua"/>
        </w:rPr>
        <w:t xml:space="preserve">Short circuit protection </w:t>
      </w:r>
      <w:r w:rsidR="00AD1F87">
        <w:rPr>
          <w:rFonts w:ascii="Book Antiqua" w:hAnsi="Book Antiqua"/>
        </w:rPr>
        <w:t xml:space="preserve">  </w:t>
      </w:r>
      <w:r w:rsidRPr="00E3232D">
        <w:rPr>
          <w:rFonts w:ascii="Book Antiqua" w:hAnsi="Book Antiqua"/>
        </w:rPr>
        <w:t>from external faults; short circuit protection from internal faults</w:t>
      </w:r>
    </w:p>
    <w:p w14:paraId="5E73356F" w14:textId="77777777" w:rsidR="00E317C4" w:rsidRPr="00E3232D" w:rsidRDefault="00E317C4" w:rsidP="00AD1F87">
      <w:pPr>
        <w:pStyle w:val="NoSpacing"/>
        <w:numPr>
          <w:ilvl w:val="0"/>
          <w:numId w:val="112"/>
        </w:numPr>
        <w:spacing w:line="276" w:lineRule="auto"/>
        <w:ind w:left="720" w:firstLine="0"/>
        <w:jc w:val="both"/>
        <w:rPr>
          <w:rFonts w:ascii="Book Antiqua" w:hAnsi="Book Antiqua"/>
        </w:rPr>
      </w:pPr>
      <w:r w:rsidRPr="00E3232D">
        <w:rPr>
          <w:rFonts w:ascii="Book Antiqua" w:hAnsi="Book Antiqua"/>
        </w:rPr>
        <w:t>Neutral displacement protection</w:t>
      </w:r>
    </w:p>
    <w:p w14:paraId="04D5CEDA" w14:textId="77777777" w:rsidR="00E317C4" w:rsidRPr="00E3232D" w:rsidRDefault="00E317C4" w:rsidP="00AD1F87">
      <w:pPr>
        <w:pStyle w:val="NoSpacing"/>
        <w:numPr>
          <w:ilvl w:val="0"/>
          <w:numId w:val="112"/>
        </w:numPr>
        <w:spacing w:line="276" w:lineRule="auto"/>
        <w:ind w:left="720" w:firstLine="0"/>
        <w:jc w:val="both"/>
        <w:rPr>
          <w:rFonts w:ascii="Book Antiqua" w:hAnsi="Book Antiqua"/>
        </w:rPr>
      </w:pPr>
      <w:r w:rsidRPr="00E3232D">
        <w:rPr>
          <w:rFonts w:ascii="Book Antiqua" w:hAnsi="Book Antiqua"/>
        </w:rPr>
        <w:t>Phase unbalance protection</w:t>
      </w:r>
    </w:p>
    <w:p w14:paraId="196D2769" w14:textId="77777777" w:rsidR="00E317C4" w:rsidRPr="00E3232D" w:rsidRDefault="00E317C4" w:rsidP="00AD1F87">
      <w:pPr>
        <w:pStyle w:val="NoSpacing"/>
        <w:numPr>
          <w:ilvl w:val="0"/>
          <w:numId w:val="112"/>
        </w:numPr>
        <w:spacing w:line="276" w:lineRule="auto"/>
        <w:ind w:left="720" w:firstLine="0"/>
        <w:jc w:val="both"/>
        <w:rPr>
          <w:rFonts w:ascii="Book Antiqua" w:hAnsi="Book Antiqua"/>
        </w:rPr>
      </w:pPr>
      <w:r w:rsidRPr="00E3232D">
        <w:rPr>
          <w:rFonts w:ascii="Book Antiqua" w:hAnsi="Book Antiqua"/>
        </w:rPr>
        <w:t>Field failure protection</w:t>
      </w:r>
    </w:p>
    <w:p w14:paraId="0B8DB30D" w14:textId="77777777" w:rsidR="00E317C4" w:rsidRPr="00E3232D" w:rsidRDefault="00E317C4" w:rsidP="00AD1F87">
      <w:pPr>
        <w:pStyle w:val="NoSpacing"/>
        <w:numPr>
          <w:ilvl w:val="0"/>
          <w:numId w:val="112"/>
        </w:numPr>
        <w:spacing w:line="276" w:lineRule="auto"/>
        <w:jc w:val="both"/>
        <w:rPr>
          <w:rFonts w:ascii="Book Antiqua" w:hAnsi="Book Antiqua"/>
        </w:rPr>
      </w:pPr>
      <w:r w:rsidRPr="00E3232D">
        <w:rPr>
          <w:rFonts w:ascii="Book Antiqua" w:hAnsi="Book Antiqua"/>
        </w:rPr>
        <w:t>Pole-slipping protection</w:t>
      </w:r>
    </w:p>
    <w:p w14:paraId="561AAD46" w14:textId="77777777" w:rsidR="00E317C4" w:rsidRPr="00E3232D" w:rsidRDefault="00E317C4" w:rsidP="00AD1F87">
      <w:pPr>
        <w:pStyle w:val="NoSpacing"/>
        <w:numPr>
          <w:ilvl w:val="0"/>
          <w:numId w:val="112"/>
        </w:numPr>
        <w:spacing w:line="276" w:lineRule="auto"/>
        <w:jc w:val="both"/>
        <w:rPr>
          <w:rFonts w:ascii="Book Antiqua" w:hAnsi="Book Antiqua"/>
        </w:rPr>
      </w:pPr>
      <w:r w:rsidRPr="00E3232D">
        <w:rPr>
          <w:rFonts w:ascii="Book Antiqua" w:hAnsi="Book Antiqua"/>
        </w:rPr>
        <w:t>Reverse power protection</w:t>
      </w:r>
    </w:p>
    <w:p w14:paraId="58762F12" w14:textId="77777777" w:rsidR="00E317C4" w:rsidRPr="00E3232D" w:rsidRDefault="00E317C4" w:rsidP="00AD1F87">
      <w:pPr>
        <w:pStyle w:val="NoSpacing"/>
        <w:numPr>
          <w:ilvl w:val="0"/>
          <w:numId w:val="112"/>
        </w:numPr>
        <w:spacing w:line="276" w:lineRule="auto"/>
        <w:jc w:val="both"/>
        <w:rPr>
          <w:rFonts w:ascii="Book Antiqua" w:hAnsi="Book Antiqua"/>
        </w:rPr>
      </w:pPr>
      <w:r w:rsidRPr="00E3232D">
        <w:rPr>
          <w:rFonts w:ascii="Book Antiqua" w:hAnsi="Book Antiqua"/>
        </w:rPr>
        <w:t>Under-frequency protection</w:t>
      </w:r>
    </w:p>
    <w:p w14:paraId="48F89ACF" w14:textId="77777777" w:rsidR="00E317C4" w:rsidRPr="00E3232D" w:rsidRDefault="00E317C4" w:rsidP="00AD1F87">
      <w:pPr>
        <w:pStyle w:val="NoSpacing"/>
        <w:numPr>
          <w:ilvl w:val="0"/>
          <w:numId w:val="112"/>
        </w:numPr>
        <w:spacing w:line="276" w:lineRule="auto"/>
        <w:jc w:val="both"/>
        <w:rPr>
          <w:rFonts w:ascii="Book Antiqua" w:hAnsi="Book Antiqua"/>
        </w:rPr>
      </w:pPr>
      <w:r w:rsidRPr="00E3232D">
        <w:rPr>
          <w:rFonts w:ascii="Book Antiqua" w:hAnsi="Book Antiqua"/>
        </w:rPr>
        <w:t>Over-frequency protection</w:t>
      </w:r>
    </w:p>
    <w:p w14:paraId="0457C5CE" w14:textId="77777777" w:rsidR="00E317C4" w:rsidRPr="00E3232D" w:rsidRDefault="00E317C4" w:rsidP="00AD1F87">
      <w:pPr>
        <w:pStyle w:val="NoSpacing"/>
        <w:numPr>
          <w:ilvl w:val="0"/>
          <w:numId w:val="112"/>
        </w:numPr>
        <w:spacing w:line="276" w:lineRule="auto"/>
        <w:jc w:val="both"/>
        <w:rPr>
          <w:rFonts w:ascii="Book Antiqua" w:hAnsi="Book Antiqua"/>
        </w:rPr>
      </w:pPr>
      <w:r w:rsidRPr="00E3232D">
        <w:rPr>
          <w:rFonts w:ascii="Book Antiqua" w:hAnsi="Book Antiqua"/>
        </w:rPr>
        <w:t>Over-voltage protection</w:t>
      </w:r>
    </w:p>
    <w:p w14:paraId="364C11B4" w14:textId="77777777" w:rsidR="00E317C4" w:rsidRPr="00E3232D" w:rsidRDefault="00E317C4" w:rsidP="00AD1F87">
      <w:pPr>
        <w:pStyle w:val="NoSpacing"/>
        <w:numPr>
          <w:ilvl w:val="0"/>
          <w:numId w:val="112"/>
        </w:numPr>
        <w:spacing w:line="276" w:lineRule="auto"/>
        <w:jc w:val="both"/>
        <w:rPr>
          <w:rFonts w:ascii="Book Antiqua" w:hAnsi="Book Antiqua"/>
        </w:rPr>
      </w:pPr>
      <w:r w:rsidRPr="00E3232D">
        <w:rPr>
          <w:rFonts w:ascii="Book Antiqua" w:hAnsi="Book Antiqua"/>
        </w:rPr>
        <w:t>Under-voltage protection and</w:t>
      </w:r>
    </w:p>
    <w:p w14:paraId="1F500421" w14:textId="77777777" w:rsidR="00E317C4" w:rsidRPr="00E3232D" w:rsidRDefault="00E317C4" w:rsidP="00AD1F87">
      <w:pPr>
        <w:pStyle w:val="NoSpacing"/>
        <w:numPr>
          <w:ilvl w:val="0"/>
          <w:numId w:val="112"/>
        </w:numPr>
        <w:spacing w:line="276" w:lineRule="auto"/>
        <w:jc w:val="both"/>
        <w:rPr>
          <w:rFonts w:ascii="Book Antiqua" w:hAnsi="Book Antiqua"/>
          <w:b/>
        </w:rPr>
      </w:pPr>
      <w:r w:rsidRPr="00E3232D">
        <w:rPr>
          <w:rFonts w:ascii="Book Antiqua" w:hAnsi="Book Antiqua"/>
        </w:rPr>
        <w:t xml:space="preserve">Protection supervision </w:t>
      </w:r>
      <w:r w:rsidRPr="00E3232D">
        <w:rPr>
          <w:rFonts w:ascii="Book Antiqua" w:hAnsi="Book Antiqua"/>
          <w:b/>
        </w:rPr>
        <w:t>[7]</w:t>
      </w:r>
    </w:p>
    <w:p w14:paraId="5BBB2261" w14:textId="77777777" w:rsidR="00E317C4" w:rsidRPr="00E3232D" w:rsidRDefault="00E317C4" w:rsidP="00196385">
      <w:pPr>
        <w:pStyle w:val="NoSpacing"/>
        <w:numPr>
          <w:ilvl w:val="0"/>
          <w:numId w:val="112"/>
        </w:numPr>
        <w:spacing w:line="276" w:lineRule="auto"/>
        <w:rPr>
          <w:rFonts w:ascii="Book Antiqua" w:hAnsi="Book Antiqua"/>
          <w:b/>
        </w:rPr>
        <w:sectPr w:rsidR="00E317C4" w:rsidRPr="00E3232D" w:rsidSect="008F6BC9">
          <w:type w:val="continuous"/>
          <w:pgSz w:w="11907" w:h="16839" w:code="9"/>
          <w:pgMar w:top="1440" w:right="1440" w:bottom="1440" w:left="1440" w:header="720" w:footer="720" w:gutter="0"/>
          <w:cols w:num="2" w:space="720"/>
          <w:docGrid w:linePitch="360"/>
        </w:sectPr>
      </w:pPr>
    </w:p>
    <w:p w14:paraId="3522CC83" w14:textId="77777777" w:rsidR="00F26850" w:rsidRDefault="00F26850" w:rsidP="00A0357A">
      <w:pPr>
        <w:pStyle w:val="NoSpacing"/>
        <w:spacing w:line="276" w:lineRule="auto"/>
        <w:rPr>
          <w:rFonts w:ascii="Book Antiqua" w:hAnsi="Book Antiqua"/>
          <w:b/>
        </w:rPr>
      </w:pPr>
    </w:p>
    <w:p w14:paraId="130C9F4D" w14:textId="77777777" w:rsidR="00A0357A" w:rsidRPr="00E3232D" w:rsidRDefault="00A0357A" w:rsidP="00A0357A">
      <w:pPr>
        <w:pStyle w:val="NoSpacing"/>
        <w:spacing w:line="276" w:lineRule="auto"/>
        <w:rPr>
          <w:rFonts w:ascii="Book Antiqua" w:hAnsi="Book Antiqua"/>
        </w:rPr>
      </w:pPr>
      <w:r w:rsidRPr="00E3232D">
        <w:rPr>
          <w:rFonts w:ascii="Book Antiqua" w:hAnsi="Book Antiqua"/>
          <w:b/>
        </w:rPr>
        <w:t>Fig.2.1 Protection scheme of TOR’s embedded system</w:t>
      </w:r>
      <w:r w:rsidRPr="00E3232D">
        <w:rPr>
          <w:rFonts w:ascii="Book Antiqua" w:hAnsi="Book Antiqua"/>
        </w:rPr>
        <w:t>[8]</w:t>
      </w:r>
    </w:p>
    <w:p w14:paraId="6647FB0D" w14:textId="77777777" w:rsidR="00A0357A" w:rsidRDefault="00A0357A" w:rsidP="00A0357A">
      <w:pPr>
        <w:pStyle w:val="NoSpacing"/>
        <w:spacing w:line="276" w:lineRule="auto"/>
        <w:rPr>
          <w:rFonts w:ascii="Book Antiqua" w:hAnsi="Book Antiqua"/>
          <w:b/>
        </w:rPr>
      </w:pPr>
    </w:p>
    <w:p w14:paraId="727716C2" w14:textId="77777777" w:rsidR="00A0357A" w:rsidRPr="00E3232D" w:rsidRDefault="00A0357A" w:rsidP="00A0357A">
      <w:pPr>
        <w:pStyle w:val="NoSpacing"/>
        <w:spacing w:line="276" w:lineRule="auto"/>
        <w:rPr>
          <w:rFonts w:ascii="Book Antiqua" w:hAnsi="Book Antiqua"/>
          <w:b/>
        </w:rPr>
      </w:pPr>
    </w:p>
    <w:p w14:paraId="5DB1060A" w14:textId="77777777" w:rsidR="00245F03" w:rsidRDefault="00245F03" w:rsidP="008275E1">
      <w:pPr>
        <w:pStyle w:val="NoSpacing"/>
        <w:spacing w:line="276" w:lineRule="auto"/>
        <w:rPr>
          <w:rFonts w:ascii="Book Antiqua" w:hAnsi="Book Antiqua"/>
          <w:b/>
          <w:noProof/>
          <w:lang w:val="en-GB" w:eastAsia="en-GB"/>
        </w:rPr>
        <w:sectPr w:rsidR="00245F03" w:rsidSect="008F6BC9">
          <w:type w:val="continuous"/>
          <w:pgSz w:w="11907" w:h="16839" w:code="9"/>
          <w:pgMar w:top="1440" w:right="1440" w:bottom="1440" w:left="1440" w:header="720" w:footer="720" w:gutter="0"/>
          <w:cols w:num="2" w:space="720"/>
          <w:docGrid w:linePitch="360"/>
        </w:sectPr>
      </w:pPr>
    </w:p>
    <w:p w14:paraId="6B418752" w14:textId="77777777" w:rsidR="00245F03" w:rsidRDefault="007005B1" w:rsidP="008275E1">
      <w:pPr>
        <w:pStyle w:val="NoSpacing"/>
        <w:spacing w:line="276" w:lineRule="auto"/>
        <w:rPr>
          <w:rFonts w:ascii="Book Antiqua" w:hAnsi="Book Antiqua"/>
          <w:b/>
          <w:noProof/>
          <w:lang w:val="en-GB" w:eastAsia="en-GB"/>
        </w:rPr>
        <w:sectPr w:rsidR="00245F03" w:rsidSect="008F6BC9">
          <w:type w:val="continuous"/>
          <w:pgSz w:w="11907" w:h="16839" w:code="9"/>
          <w:pgMar w:top="1440" w:right="1440" w:bottom="1440" w:left="1440" w:header="720" w:footer="720" w:gutter="0"/>
          <w:cols w:space="720"/>
          <w:docGrid w:linePitch="360"/>
        </w:sectPr>
      </w:pPr>
      <w:r>
        <w:rPr>
          <w:rFonts w:ascii="Book Antiqua" w:hAnsi="Book Antiqua"/>
          <w:b/>
          <w:noProof/>
          <w:lang w:bidi="ar-SA"/>
        </w:rPr>
        <w:drawing>
          <wp:inline distT="0" distB="0" distL="0" distR="0" wp14:anchorId="653CEF02" wp14:editId="6DAA1822">
            <wp:extent cx="5924550" cy="4267200"/>
            <wp:effectExtent l="19050" t="0" r="0" b="0"/>
            <wp:docPr id="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a:grayscl/>
                    </a:blip>
                    <a:srcRect/>
                    <a:stretch>
                      <a:fillRect/>
                    </a:stretch>
                  </pic:blipFill>
                  <pic:spPr bwMode="auto">
                    <a:xfrm>
                      <a:off x="0" y="0"/>
                      <a:ext cx="5924550" cy="4267200"/>
                    </a:xfrm>
                    <a:prstGeom prst="rect">
                      <a:avLst/>
                    </a:prstGeom>
                    <a:noFill/>
                    <a:ln w="9525">
                      <a:noFill/>
                      <a:miter lim="800000"/>
                      <a:headEnd/>
                      <a:tailEnd/>
                    </a:ln>
                  </pic:spPr>
                </pic:pic>
              </a:graphicData>
            </a:graphic>
          </wp:inline>
        </w:drawing>
      </w:r>
    </w:p>
    <w:p w14:paraId="4BF13EE3" w14:textId="77777777" w:rsidR="00E317C4" w:rsidRDefault="00E317C4" w:rsidP="008275E1">
      <w:pPr>
        <w:pStyle w:val="NoSpacing"/>
        <w:spacing w:line="276" w:lineRule="auto"/>
        <w:rPr>
          <w:rFonts w:ascii="Book Antiqua" w:hAnsi="Book Antiqua"/>
          <w:b/>
        </w:rPr>
      </w:pPr>
    </w:p>
    <w:p w14:paraId="01066C1A" w14:textId="77777777" w:rsidR="00F6485F" w:rsidRPr="00E3232D" w:rsidRDefault="00F6485F" w:rsidP="008275E1">
      <w:pPr>
        <w:pStyle w:val="NoSpacing"/>
        <w:spacing w:line="276" w:lineRule="auto"/>
        <w:rPr>
          <w:rFonts w:ascii="Book Antiqua" w:hAnsi="Book Antiqua"/>
          <w:b/>
        </w:rPr>
      </w:pPr>
    </w:p>
    <w:p w14:paraId="6E6DC88E" w14:textId="77777777" w:rsidR="00E317C4" w:rsidRPr="00E3232D" w:rsidRDefault="00E317C4" w:rsidP="008275E1">
      <w:pPr>
        <w:pStyle w:val="NoSpacing"/>
        <w:spacing w:line="276" w:lineRule="auto"/>
        <w:ind w:left="1440"/>
        <w:rPr>
          <w:rFonts w:ascii="Book Antiqua" w:hAnsi="Book Antiqua"/>
        </w:rPr>
      </w:pPr>
    </w:p>
    <w:p w14:paraId="04B3E8C0" w14:textId="77777777" w:rsidR="00E317C4" w:rsidRPr="00E3232D" w:rsidRDefault="00E317C4" w:rsidP="00196385">
      <w:pPr>
        <w:pStyle w:val="NoSpacing"/>
        <w:numPr>
          <w:ilvl w:val="2"/>
          <w:numId w:val="108"/>
        </w:numPr>
        <w:spacing w:line="276" w:lineRule="auto"/>
        <w:rPr>
          <w:rFonts w:ascii="Book Antiqua" w:hAnsi="Book Antiqua"/>
          <w:b/>
        </w:rPr>
        <w:sectPr w:rsidR="00E317C4" w:rsidRPr="00E3232D" w:rsidSect="008F6BC9">
          <w:type w:val="continuous"/>
          <w:pgSz w:w="11907" w:h="16839" w:code="9"/>
          <w:pgMar w:top="1440" w:right="1440" w:bottom="1440" w:left="1440" w:header="720" w:footer="720" w:gutter="0"/>
          <w:cols w:num="2" w:space="720"/>
          <w:docGrid w:linePitch="360"/>
        </w:sectPr>
      </w:pPr>
    </w:p>
    <w:p w14:paraId="04F4C1D4" w14:textId="77777777" w:rsidR="00E317C4" w:rsidRPr="00E3232D" w:rsidRDefault="00E317C4" w:rsidP="00196385">
      <w:pPr>
        <w:pStyle w:val="NoSpacing"/>
        <w:numPr>
          <w:ilvl w:val="2"/>
          <w:numId w:val="108"/>
        </w:numPr>
        <w:spacing w:line="276" w:lineRule="auto"/>
        <w:rPr>
          <w:rFonts w:ascii="Book Antiqua" w:hAnsi="Book Antiqua"/>
          <w:b/>
        </w:rPr>
      </w:pPr>
      <w:r w:rsidRPr="00E3232D">
        <w:rPr>
          <w:rFonts w:ascii="Book Antiqua" w:hAnsi="Book Antiqua"/>
          <w:b/>
        </w:rPr>
        <w:t>Effect of voltage unbalance in feeders on an embedded generator</w:t>
      </w:r>
    </w:p>
    <w:p w14:paraId="3CBC9EB5"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rPr>
        <w:t>These are as follow:</w:t>
      </w:r>
    </w:p>
    <w:p w14:paraId="2B21648A" w14:textId="77777777" w:rsidR="00E317C4" w:rsidRPr="00E3232D" w:rsidRDefault="00E317C4" w:rsidP="00196385">
      <w:pPr>
        <w:pStyle w:val="NoSpacing"/>
        <w:numPr>
          <w:ilvl w:val="0"/>
          <w:numId w:val="112"/>
        </w:numPr>
        <w:spacing w:line="276" w:lineRule="auto"/>
        <w:rPr>
          <w:rFonts w:ascii="Book Antiqua" w:hAnsi="Book Antiqua"/>
        </w:rPr>
      </w:pPr>
      <w:r w:rsidRPr="00E3232D">
        <w:rPr>
          <w:rFonts w:ascii="Book Antiqua" w:hAnsi="Book Antiqua"/>
        </w:rPr>
        <w:t>Pole slipping</w:t>
      </w:r>
    </w:p>
    <w:p w14:paraId="3B1AD35B" w14:textId="77777777" w:rsidR="00E317C4" w:rsidRPr="00E3232D" w:rsidRDefault="00E317C4" w:rsidP="00196385">
      <w:pPr>
        <w:pStyle w:val="NoSpacing"/>
        <w:numPr>
          <w:ilvl w:val="1"/>
          <w:numId w:val="112"/>
        </w:numPr>
        <w:spacing w:line="276" w:lineRule="auto"/>
        <w:rPr>
          <w:rFonts w:ascii="Book Antiqua" w:hAnsi="Book Antiqua"/>
        </w:rPr>
      </w:pPr>
      <w:r w:rsidRPr="00E3232D">
        <w:rPr>
          <w:rFonts w:ascii="Book Antiqua" w:hAnsi="Book Antiqua"/>
        </w:rPr>
        <w:t>Leading to the acceleration of the generation (Pm&gt;Pe)</w:t>
      </w:r>
    </w:p>
    <w:p w14:paraId="0F2B2001" w14:textId="77777777" w:rsidR="00E317C4" w:rsidRPr="00E3232D" w:rsidRDefault="00E317C4" w:rsidP="00196385">
      <w:pPr>
        <w:pStyle w:val="NoSpacing"/>
        <w:numPr>
          <w:ilvl w:val="1"/>
          <w:numId w:val="112"/>
        </w:numPr>
        <w:spacing w:line="276" w:lineRule="auto"/>
        <w:rPr>
          <w:rFonts w:ascii="Book Antiqua" w:hAnsi="Book Antiqua"/>
        </w:rPr>
      </w:pPr>
      <w:r w:rsidRPr="00E3232D">
        <w:rPr>
          <w:rFonts w:ascii="Book Antiqua" w:hAnsi="Book Antiqua"/>
        </w:rPr>
        <w:t>Followed by loss of synchronism</w:t>
      </w:r>
    </w:p>
    <w:p w14:paraId="047786F5" w14:textId="77777777" w:rsidR="00E317C4" w:rsidRPr="00E3232D" w:rsidRDefault="00E317C4" w:rsidP="00196385">
      <w:pPr>
        <w:pStyle w:val="NoSpacing"/>
        <w:numPr>
          <w:ilvl w:val="1"/>
          <w:numId w:val="112"/>
        </w:numPr>
        <w:spacing w:line="276" w:lineRule="auto"/>
        <w:rPr>
          <w:rFonts w:ascii="Book Antiqua" w:hAnsi="Book Antiqua"/>
        </w:rPr>
      </w:pPr>
      <w:r w:rsidRPr="00E3232D">
        <w:rPr>
          <w:rFonts w:ascii="Book Antiqua" w:hAnsi="Book Antiqua"/>
        </w:rPr>
        <w:t>Followed by motoring mode</w:t>
      </w:r>
    </w:p>
    <w:p w14:paraId="78810824" w14:textId="77777777" w:rsidR="00E317C4" w:rsidRPr="00E3232D" w:rsidRDefault="00E317C4" w:rsidP="00196385">
      <w:pPr>
        <w:pStyle w:val="NoSpacing"/>
        <w:numPr>
          <w:ilvl w:val="0"/>
          <w:numId w:val="112"/>
        </w:numPr>
        <w:spacing w:line="276" w:lineRule="auto"/>
        <w:rPr>
          <w:rFonts w:ascii="Book Antiqua" w:hAnsi="Book Antiqua"/>
        </w:rPr>
      </w:pPr>
      <w:r w:rsidRPr="00E3232D">
        <w:rPr>
          <w:rFonts w:ascii="Book Antiqua" w:hAnsi="Book Antiqua"/>
        </w:rPr>
        <w:t>Field failure [7]</w:t>
      </w:r>
    </w:p>
    <w:p w14:paraId="0922548D" w14:textId="77777777" w:rsidR="007B0865" w:rsidRDefault="007B0865" w:rsidP="008275E1">
      <w:pPr>
        <w:pStyle w:val="NoSpacing"/>
        <w:spacing w:line="276" w:lineRule="auto"/>
        <w:rPr>
          <w:rFonts w:ascii="Book Antiqua" w:hAnsi="Book Antiqua"/>
          <w:b/>
        </w:rPr>
      </w:pPr>
    </w:p>
    <w:p w14:paraId="0512684A" w14:textId="77777777" w:rsidR="00E317C4" w:rsidRPr="00E3232D" w:rsidRDefault="00E317C4" w:rsidP="008275E1">
      <w:pPr>
        <w:pStyle w:val="NoSpacing"/>
        <w:spacing w:line="276" w:lineRule="auto"/>
        <w:rPr>
          <w:rFonts w:ascii="Book Antiqua" w:hAnsi="Book Antiqua"/>
          <w:b/>
        </w:rPr>
      </w:pPr>
      <w:r w:rsidRPr="00E3232D">
        <w:rPr>
          <w:rFonts w:ascii="Book Antiqua" w:hAnsi="Book Antiqua"/>
          <w:b/>
        </w:rPr>
        <w:t>2.5.2 Manufacturers’ specification with regard to the protection of the embedded generator</w:t>
      </w:r>
    </w:p>
    <w:p w14:paraId="2E3781CD" w14:textId="77777777" w:rsidR="00E317C4" w:rsidRPr="00F26850" w:rsidRDefault="00E317C4" w:rsidP="008275E1">
      <w:pPr>
        <w:pStyle w:val="NoSpacing"/>
        <w:spacing w:line="276" w:lineRule="auto"/>
        <w:rPr>
          <w:rFonts w:ascii="Book Antiqua" w:hAnsi="Book Antiqua"/>
        </w:rPr>
        <w:sectPr w:rsidR="00E317C4" w:rsidRPr="00F26850" w:rsidSect="008F6BC9">
          <w:type w:val="continuous"/>
          <w:pgSz w:w="11907" w:h="16839" w:code="9"/>
          <w:pgMar w:top="1440" w:right="1440" w:bottom="1440" w:left="1440" w:header="720" w:footer="720" w:gutter="0"/>
          <w:cols w:num="2" w:space="720"/>
          <w:docGrid w:linePitch="360"/>
        </w:sectPr>
      </w:pPr>
      <w:r w:rsidRPr="00E3232D">
        <w:rPr>
          <w:rFonts w:ascii="Book Antiqua" w:hAnsi="Book Antiqua"/>
        </w:rPr>
        <w:t>Below is s</w:t>
      </w:r>
      <w:r w:rsidR="00245F03">
        <w:rPr>
          <w:rFonts w:ascii="Book Antiqua" w:hAnsi="Book Antiqua"/>
        </w:rPr>
        <w:t xml:space="preserve">ome information picked from the </w:t>
      </w:r>
      <w:r w:rsidRPr="00E3232D">
        <w:rPr>
          <w:rFonts w:ascii="Book Antiqua" w:hAnsi="Book Antiqua"/>
        </w:rPr>
        <w:t>manufactu</w:t>
      </w:r>
      <w:r w:rsidR="007B0865">
        <w:rPr>
          <w:rFonts w:ascii="Book Antiqua" w:hAnsi="Book Antiqua"/>
        </w:rPr>
        <w:t>rer’s manual</w:t>
      </w:r>
    </w:p>
    <w:p w14:paraId="227B61AD" w14:textId="77777777" w:rsidR="00245F03" w:rsidRDefault="00245F03" w:rsidP="008275E1">
      <w:pPr>
        <w:pStyle w:val="NoSpacing"/>
        <w:spacing w:line="276" w:lineRule="auto"/>
        <w:rPr>
          <w:rFonts w:ascii="Book Antiqua" w:hAnsi="Book Antiqua"/>
          <w:b/>
        </w:rPr>
        <w:sectPr w:rsidR="00245F03" w:rsidSect="008F6BC9">
          <w:type w:val="continuous"/>
          <w:pgSz w:w="11907" w:h="16839" w:code="9"/>
          <w:pgMar w:top="1440" w:right="1440" w:bottom="1440" w:left="1440" w:header="720" w:footer="720" w:gutter="0"/>
          <w:cols w:num="2" w:space="720"/>
          <w:docGrid w:linePitch="360"/>
        </w:sectPr>
      </w:pPr>
    </w:p>
    <w:p w14:paraId="725EF945"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b/>
        </w:rPr>
        <w:t>Table 3. Protection relay settings pertaining to TOR’s embedded generators (in synchronism with ECG feeder)</w:t>
      </w:r>
      <w:r w:rsidRPr="00E3232D">
        <w:rPr>
          <w:rFonts w:ascii="Book Antiqua" w:hAnsi="Book Antiqua"/>
        </w:rPr>
        <w:t>]</w:t>
      </w:r>
    </w:p>
    <w:p w14:paraId="408DBA96" w14:textId="77777777" w:rsidR="00245F03" w:rsidRDefault="00245F03" w:rsidP="008275E1">
      <w:pPr>
        <w:pStyle w:val="NoSpacing"/>
        <w:spacing w:line="276" w:lineRule="auto"/>
        <w:rPr>
          <w:rFonts w:ascii="Book Antiqua" w:hAnsi="Book Antiqua"/>
        </w:rPr>
        <w:sectPr w:rsidR="00245F03" w:rsidSect="008F6BC9">
          <w:type w:val="continuous"/>
          <w:pgSz w:w="11907" w:h="16839" w:code="9"/>
          <w:pgMar w:top="1440" w:right="1440" w:bottom="1440" w:left="1440" w:header="720" w:footer="720" w:gutter="0"/>
          <w:cols w:space="720"/>
          <w:docGrid w:linePitch="360"/>
        </w:sectPr>
      </w:pPr>
    </w:p>
    <w:p w14:paraId="183BE356" w14:textId="77777777" w:rsidR="00E317C4" w:rsidRPr="00E3232D" w:rsidRDefault="00E317C4" w:rsidP="008275E1">
      <w:pPr>
        <w:pStyle w:val="NoSpacing"/>
        <w:spacing w:line="276" w:lineRule="auto"/>
        <w:rPr>
          <w:rFonts w:ascii="Book Antiqua" w:hAnsi="Book Antiqua"/>
        </w:rPr>
      </w:pPr>
    </w:p>
    <w:p w14:paraId="4C8D21B9" w14:textId="77777777" w:rsidR="00245F03" w:rsidRDefault="00245F03" w:rsidP="008D6FB2">
      <w:pPr>
        <w:pStyle w:val="NoSpacing"/>
        <w:spacing w:line="276" w:lineRule="auto"/>
        <w:rPr>
          <w:rFonts w:ascii="Book Antiqua" w:hAnsi="Book Antiqua"/>
          <w:b/>
          <w:bCs/>
          <w:color w:val="76923C"/>
          <w:sz w:val="20"/>
          <w:szCs w:val="20"/>
        </w:rPr>
        <w:sectPr w:rsidR="00245F03" w:rsidSect="008F6BC9">
          <w:type w:val="continuous"/>
          <w:pgSz w:w="11907" w:h="16839" w:code="9"/>
          <w:pgMar w:top="1440" w:right="1440" w:bottom="1440" w:left="1440" w:header="720" w:footer="720" w:gutter="0"/>
          <w:cols w:num="2" w:space="720"/>
          <w:docGrid w:linePitch="360"/>
        </w:sectPr>
      </w:pPr>
    </w:p>
    <w:tbl>
      <w:tblPr>
        <w:tblW w:w="0" w:type="auto"/>
        <w:tblBorders>
          <w:top w:val="single" w:sz="8" w:space="0" w:color="9BBB59"/>
          <w:bottom w:val="single" w:sz="8" w:space="0" w:color="9BBB59"/>
        </w:tblBorders>
        <w:tblLook w:val="04A0" w:firstRow="1" w:lastRow="0" w:firstColumn="1" w:lastColumn="0" w:noHBand="0" w:noVBand="1"/>
      </w:tblPr>
      <w:tblGrid>
        <w:gridCol w:w="3059"/>
        <w:gridCol w:w="3092"/>
        <w:gridCol w:w="3092"/>
      </w:tblGrid>
      <w:tr w:rsidR="00E317C4" w:rsidRPr="00D12E59" w14:paraId="1CC22984" w14:textId="77777777" w:rsidTr="008D6FB2">
        <w:tc>
          <w:tcPr>
            <w:tcW w:w="3192" w:type="dxa"/>
            <w:tcBorders>
              <w:top w:val="single" w:sz="8" w:space="0" w:color="9BBB59"/>
              <w:left w:val="nil"/>
              <w:bottom w:val="single" w:sz="8" w:space="0" w:color="9BBB59"/>
              <w:right w:val="nil"/>
            </w:tcBorders>
          </w:tcPr>
          <w:p w14:paraId="5D539AFC"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Relay setting</w:t>
            </w:r>
          </w:p>
        </w:tc>
        <w:tc>
          <w:tcPr>
            <w:tcW w:w="3192" w:type="dxa"/>
            <w:tcBorders>
              <w:top w:val="single" w:sz="8" w:space="0" w:color="9BBB59"/>
              <w:left w:val="nil"/>
              <w:bottom w:val="single" w:sz="8" w:space="0" w:color="9BBB59"/>
              <w:right w:val="nil"/>
            </w:tcBorders>
          </w:tcPr>
          <w:p w14:paraId="6B6D9B26"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2 generators synchronised to ECG feeder</w:t>
            </w:r>
          </w:p>
        </w:tc>
        <w:tc>
          <w:tcPr>
            <w:tcW w:w="3192" w:type="dxa"/>
            <w:tcBorders>
              <w:top w:val="single" w:sz="8" w:space="0" w:color="9BBB59"/>
              <w:left w:val="nil"/>
              <w:bottom w:val="single" w:sz="8" w:space="0" w:color="9BBB59"/>
              <w:right w:val="nil"/>
            </w:tcBorders>
          </w:tcPr>
          <w:p w14:paraId="66E5E655"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1 generator synchronised to ECG feeder</w:t>
            </w:r>
          </w:p>
        </w:tc>
      </w:tr>
      <w:tr w:rsidR="00E317C4" w:rsidRPr="00D12E59" w14:paraId="12D02889" w14:textId="77777777" w:rsidTr="008D6FB2">
        <w:tc>
          <w:tcPr>
            <w:tcW w:w="3192" w:type="dxa"/>
            <w:tcBorders>
              <w:left w:val="nil"/>
              <w:right w:val="nil"/>
            </w:tcBorders>
            <w:shd w:val="clear" w:color="auto" w:fill="E6EED5"/>
          </w:tcPr>
          <w:p w14:paraId="5FBF703D"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81 U-a: 48.7 Hz, 0.3 s</w:t>
            </w:r>
          </w:p>
        </w:tc>
        <w:tc>
          <w:tcPr>
            <w:tcW w:w="3192" w:type="dxa"/>
            <w:tcBorders>
              <w:left w:val="nil"/>
              <w:right w:val="nil"/>
            </w:tcBorders>
            <w:shd w:val="clear" w:color="auto" w:fill="E6EED5"/>
          </w:tcPr>
          <w:p w14:paraId="4E41B258"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CB12 trip</w:t>
            </w:r>
          </w:p>
        </w:tc>
        <w:tc>
          <w:tcPr>
            <w:tcW w:w="3192" w:type="dxa"/>
            <w:tcBorders>
              <w:left w:val="nil"/>
              <w:right w:val="nil"/>
            </w:tcBorders>
            <w:shd w:val="clear" w:color="auto" w:fill="E6EED5"/>
          </w:tcPr>
          <w:p w14:paraId="4963C02C"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CB13 trip</w:t>
            </w:r>
          </w:p>
        </w:tc>
      </w:tr>
      <w:tr w:rsidR="00E317C4" w:rsidRPr="00D12E59" w14:paraId="76508F33" w14:textId="77777777" w:rsidTr="008D6FB2">
        <w:tc>
          <w:tcPr>
            <w:tcW w:w="3192" w:type="dxa"/>
          </w:tcPr>
          <w:p w14:paraId="56AFCD5C"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81 O : 52.0 Hz, 0.5 s</w:t>
            </w:r>
          </w:p>
        </w:tc>
        <w:tc>
          <w:tcPr>
            <w:tcW w:w="3192" w:type="dxa"/>
          </w:tcPr>
          <w:p w14:paraId="3166281A"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CB12 trip</w:t>
            </w:r>
          </w:p>
        </w:tc>
        <w:tc>
          <w:tcPr>
            <w:tcW w:w="3192" w:type="dxa"/>
          </w:tcPr>
          <w:p w14:paraId="371D3394"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CB13 trip</w:t>
            </w:r>
          </w:p>
        </w:tc>
      </w:tr>
      <w:tr w:rsidR="00E317C4" w:rsidRPr="00D12E59" w14:paraId="5BECA6F9" w14:textId="77777777" w:rsidTr="008D6FB2">
        <w:tc>
          <w:tcPr>
            <w:tcW w:w="3192" w:type="dxa"/>
            <w:tcBorders>
              <w:left w:val="nil"/>
              <w:right w:val="nil"/>
            </w:tcBorders>
            <w:shd w:val="clear" w:color="auto" w:fill="E6EED5"/>
          </w:tcPr>
          <w:p w14:paraId="0B92A0F3"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59: 115 %, 1.0 s</w:t>
            </w:r>
          </w:p>
        </w:tc>
        <w:tc>
          <w:tcPr>
            <w:tcW w:w="3192" w:type="dxa"/>
            <w:tcBorders>
              <w:left w:val="nil"/>
              <w:right w:val="nil"/>
            </w:tcBorders>
            <w:shd w:val="clear" w:color="auto" w:fill="E6EED5"/>
          </w:tcPr>
          <w:p w14:paraId="133542DA"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CB12 trip</w:t>
            </w:r>
          </w:p>
        </w:tc>
        <w:tc>
          <w:tcPr>
            <w:tcW w:w="3192" w:type="dxa"/>
            <w:tcBorders>
              <w:left w:val="nil"/>
              <w:right w:val="nil"/>
            </w:tcBorders>
            <w:shd w:val="clear" w:color="auto" w:fill="E6EED5"/>
          </w:tcPr>
          <w:p w14:paraId="7D525DFD"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CB13 trip</w:t>
            </w:r>
          </w:p>
        </w:tc>
      </w:tr>
      <w:tr w:rsidR="00E317C4" w:rsidRPr="00D12E59" w14:paraId="64473ACC" w14:textId="77777777" w:rsidTr="008D6FB2">
        <w:tc>
          <w:tcPr>
            <w:tcW w:w="3192" w:type="dxa"/>
          </w:tcPr>
          <w:p w14:paraId="20CE863C"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27: 90 %, 0.3 s</w:t>
            </w:r>
          </w:p>
        </w:tc>
        <w:tc>
          <w:tcPr>
            <w:tcW w:w="3192" w:type="dxa"/>
          </w:tcPr>
          <w:p w14:paraId="2E00753A"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CB12 trip</w:t>
            </w:r>
          </w:p>
        </w:tc>
        <w:tc>
          <w:tcPr>
            <w:tcW w:w="3192" w:type="dxa"/>
          </w:tcPr>
          <w:p w14:paraId="629E0C35"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CB13 trip</w:t>
            </w:r>
          </w:p>
        </w:tc>
      </w:tr>
      <w:tr w:rsidR="00E317C4" w:rsidRPr="00D12E59" w14:paraId="1D632357" w14:textId="77777777" w:rsidTr="008D6FB2">
        <w:tc>
          <w:tcPr>
            <w:tcW w:w="3192" w:type="dxa"/>
            <w:tcBorders>
              <w:left w:val="nil"/>
              <w:right w:val="nil"/>
            </w:tcBorders>
            <w:shd w:val="clear" w:color="auto" w:fill="E6EED5"/>
          </w:tcPr>
          <w:p w14:paraId="1BA79361"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32: 0.3s</w:t>
            </w:r>
          </w:p>
        </w:tc>
        <w:tc>
          <w:tcPr>
            <w:tcW w:w="3192" w:type="dxa"/>
            <w:tcBorders>
              <w:left w:val="nil"/>
              <w:right w:val="nil"/>
            </w:tcBorders>
            <w:shd w:val="clear" w:color="auto" w:fill="E6EED5"/>
          </w:tcPr>
          <w:p w14:paraId="06CDBFF7"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CB12 trip</w:t>
            </w:r>
          </w:p>
        </w:tc>
        <w:tc>
          <w:tcPr>
            <w:tcW w:w="3192" w:type="dxa"/>
            <w:tcBorders>
              <w:left w:val="nil"/>
              <w:right w:val="nil"/>
            </w:tcBorders>
            <w:shd w:val="clear" w:color="auto" w:fill="E6EED5"/>
          </w:tcPr>
          <w:p w14:paraId="1E4A2466"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CB13 trip</w:t>
            </w:r>
          </w:p>
        </w:tc>
      </w:tr>
      <w:tr w:rsidR="00E317C4" w:rsidRPr="00D12E59" w14:paraId="0E8EAF5A" w14:textId="77777777" w:rsidTr="008D6FB2">
        <w:tc>
          <w:tcPr>
            <w:tcW w:w="3192" w:type="dxa"/>
          </w:tcPr>
          <w:p w14:paraId="7F4F829D"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81 U-b: 48.5 Hz, 2.0 s</w:t>
            </w:r>
          </w:p>
        </w:tc>
        <w:tc>
          <w:tcPr>
            <w:tcW w:w="3192" w:type="dxa"/>
          </w:tcPr>
          <w:p w14:paraId="2852C237"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CB13 trip</w:t>
            </w:r>
          </w:p>
        </w:tc>
        <w:tc>
          <w:tcPr>
            <w:tcW w:w="3192" w:type="dxa"/>
          </w:tcPr>
          <w:p w14:paraId="09F17128"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CB13 trip</w:t>
            </w:r>
          </w:p>
        </w:tc>
      </w:tr>
      <w:tr w:rsidR="00E317C4" w:rsidRPr="00D12E59" w14:paraId="19A83937" w14:textId="77777777" w:rsidTr="008D6FB2">
        <w:tc>
          <w:tcPr>
            <w:tcW w:w="3192" w:type="dxa"/>
            <w:tcBorders>
              <w:left w:val="nil"/>
              <w:right w:val="nil"/>
            </w:tcBorders>
            <w:shd w:val="clear" w:color="auto" w:fill="E6EED5"/>
          </w:tcPr>
          <w:p w14:paraId="12E9BC6E" w14:textId="77777777" w:rsidR="00E317C4" w:rsidRPr="00D12E59" w:rsidRDefault="00E317C4" w:rsidP="008D6FB2">
            <w:pPr>
              <w:pStyle w:val="NoSpacing"/>
              <w:spacing w:line="276" w:lineRule="auto"/>
              <w:rPr>
                <w:rFonts w:ascii="Book Antiqua" w:hAnsi="Book Antiqua"/>
                <w:b/>
                <w:bCs/>
                <w:color w:val="76923C"/>
                <w:sz w:val="20"/>
                <w:szCs w:val="20"/>
              </w:rPr>
            </w:pPr>
            <w:r w:rsidRPr="00D12E59">
              <w:rPr>
                <w:rFonts w:ascii="Book Antiqua" w:hAnsi="Book Antiqua"/>
                <w:b/>
                <w:bCs/>
                <w:color w:val="76923C"/>
                <w:sz w:val="20"/>
                <w:szCs w:val="20"/>
              </w:rPr>
              <w:t>81 U-c: 48.0 Hz, 3.0 s</w:t>
            </w:r>
          </w:p>
        </w:tc>
        <w:tc>
          <w:tcPr>
            <w:tcW w:w="3192" w:type="dxa"/>
            <w:tcBorders>
              <w:left w:val="nil"/>
              <w:right w:val="nil"/>
            </w:tcBorders>
            <w:shd w:val="clear" w:color="auto" w:fill="E6EED5"/>
          </w:tcPr>
          <w:p w14:paraId="2BEE8C4C"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RFCC CB trip</w:t>
            </w:r>
          </w:p>
        </w:tc>
        <w:tc>
          <w:tcPr>
            <w:tcW w:w="3192" w:type="dxa"/>
            <w:tcBorders>
              <w:left w:val="nil"/>
              <w:right w:val="nil"/>
            </w:tcBorders>
            <w:shd w:val="clear" w:color="auto" w:fill="E6EED5"/>
          </w:tcPr>
          <w:p w14:paraId="79890C42" w14:textId="77777777" w:rsidR="00E317C4" w:rsidRPr="00D12E59" w:rsidRDefault="00E317C4" w:rsidP="008D6FB2">
            <w:pPr>
              <w:pStyle w:val="NoSpacing"/>
              <w:spacing w:line="276" w:lineRule="auto"/>
              <w:rPr>
                <w:rFonts w:ascii="Book Antiqua" w:hAnsi="Book Antiqua"/>
                <w:color w:val="76923C"/>
                <w:sz w:val="20"/>
                <w:szCs w:val="20"/>
              </w:rPr>
            </w:pPr>
            <w:r w:rsidRPr="00D12E59">
              <w:rPr>
                <w:rFonts w:ascii="Book Antiqua" w:hAnsi="Book Antiqua"/>
                <w:color w:val="76923C"/>
                <w:sz w:val="20"/>
                <w:szCs w:val="20"/>
              </w:rPr>
              <w:t>RFCC CB trip</w:t>
            </w:r>
          </w:p>
        </w:tc>
      </w:tr>
    </w:tbl>
    <w:p w14:paraId="65A7A28F" w14:textId="77777777" w:rsidR="00245F03" w:rsidRDefault="00245F03" w:rsidP="008275E1">
      <w:pPr>
        <w:pStyle w:val="NoSpacing"/>
        <w:spacing w:line="276" w:lineRule="auto"/>
        <w:rPr>
          <w:rFonts w:ascii="Book Antiqua" w:hAnsi="Book Antiqua"/>
        </w:rPr>
        <w:sectPr w:rsidR="00245F03" w:rsidSect="008F6BC9">
          <w:type w:val="continuous"/>
          <w:pgSz w:w="11907" w:h="16839" w:code="9"/>
          <w:pgMar w:top="1440" w:right="1440" w:bottom="1440" w:left="1440" w:header="720" w:footer="720" w:gutter="0"/>
          <w:cols w:space="720"/>
          <w:docGrid w:linePitch="360"/>
        </w:sectPr>
      </w:pPr>
    </w:p>
    <w:p w14:paraId="6B142EE6"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rPr>
        <w:t>[8]</w:t>
      </w:r>
    </w:p>
    <w:p w14:paraId="00581D6D" w14:textId="77777777" w:rsidR="00E317C4" w:rsidRPr="00E3232D" w:rsidRDefault="00E317C4" w:rsidP="008275E1">
      <w:pPr>
        <w:pStyle w:val="NoSpacing"/>
        <w:spacing w:line="276" w:lineRule="auto"/>
        <w:rPr>
          <w:rFonts w:ascii="Book Antiqua" w:hAnsi="Book Antiqua"/>
        </w:rPr>
      </w:pPr>
    </w:p>
    <w:p w14:paraId="4F6D996A" w14:textId="77777777" w:rsidR="00E317C4" w:rsidRPr="00E3232D" w:rsidRDefault="00E317C4" w:rsidP="00F26850">
      <w:pPr>
        <w:pStyle w:val="NoSpacing"/>
        <w:spacing w:line="276" w:lineRule="auto"/>
        <w:jc w:val="both"/>
        <w:rPr>
          <w:rFonts w:ascii="Book Antiqua" w:hAnsi="Book Antiqua"/>
          <w:b/>
        </w:rPr>
      </w:pPr>
      <w:r w:rsidRPr="00E3232D">
        <w:rPr>
          <w:rFonts w:ascii="Book Antiqua" w:hAnsi="Book Antiqua"/>
          <w:b/>
        </w:rPr>
        <w:t>Notes</w:t>
      </w:r>
    </w:p>
    <w:p w14:paraId="3AA367E7"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b/>
        </w:rPr>
        <w:t>27</w:t>
      </w:r>
      <w:r w:rsidRPr="00E3232D">
        <w:rPr>
          <w:rFonts w:ascii="Book Antiqua" w:hAnsi="Book Antiqua"/>
        </w:rPr>
        <w:t xml:space="preserve"> – under-voltage relay; </w:t>
      </w:r>
      <w:r w:rsidRPr="00E3232D">
        <w:rPr>
          <w:rFonts w:ascii="Book Antiqua" w:hAnsi="Book Antiqua"/>
          <w:b/>
        </w:rPr>
        <w:t xml:space="preserve">32 </w:t>
      </w:r>
      <w:r w:rsidRPr="00E3232D">
        <w:rPr>
          <w:rFonts w:ascii="Book Antiqua" w:hAnsi="Book Antiqua"/>
        </w:rPr>
        <w:t xml:space="preserve">– reverse power relay; </w:t>
      </w:r>
      <w:r w:rsidRPr="00E3232D">
        <w:rPr>
          <w:rFonts w:ascii="Book Antiqua" w:hAnsi="Book Antiqua"/>
          <w:b/>
        </w:rPr>
        <w:t xml:space="preserve">59 </w:t>
      </w:r>
      <w:r w:rsidRPr="00E3232D">
        <w:rPr>
          <w:rFonts w:ascii="Book Antiqua" w:hAnsi="Book Antiqua"/>
        </w:rPr>
        <w:t xml:space="preserve">– over-voltage relay; </w:t>
      </w:r>
    </w:p>
    <w:p w14:paraId="29D5DC77"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b/>
        </w:rPr>
        <w:t xml:space="preserve">81O </w:t>
      </w:r>
      <w:r w:rsidRPr="00E3232D">
        <w:rPr>
          <w:rFonts w:ascii="Book Antiqua" w:hAnsi="Book Antiqua"/>
        </w:rPr>
        <w:t xml:space="preserve">– over-frequency relay; </w:t>
      </w:r>
      <w:r w:rsidRPr="00E3232D">
        <w:rPr>
          <w:rFonts w:ascii="Book Antiqua" w:hAnsi="Book Antiqua"/>
          <w:b/>
        </w:rPr>
        <w:t xml:space="preserve">81 U - </w:t>
      </w:r>
      <w:r w:rsidRPr="00E3232D">
        <w:rPr>
          <w:rFonts w:ascii="Book Antiqua" w:hAnsi="Book Antiqua"/>
        </w:rPr>
        <w:t>under-frequency relay</w:t>
      </w:r>
    </w:p>
    <w:p w14:paraId="0C778904" w14:textId="77777777" w:rsidR="00E317C4" w:rsidRPr="00E3232D" w:rsidRDefault="00E317C4" w:rsidP="00F26850">
      <w:pPr>
        <w:pStyle w:val="NoSpacing"/>
        <w:spacing w:line="276" w:lineRule="auto"/>
        <w:jc w:val="both"/>
        <w:rPr>
          <w:rFonts w:ascii="Book Antiqua" w:hAnsi="Book Antiqua"/>
        </w:rPr>
      </w:pPr>
    </w:p>
    <w:p w14:paraId="60D01260" w14:textId="77777777" w:rsidR="00E317C4" w:rsidRPr="00E3232D" w:rsidRDefault="00E317C4" w:rsidP="00196385">
      <w:pPr>
        <w:pStyle w:val="NoSpacing"/>
        <w:numPr>
          <w:ilvl w:val="1"/>
          <w:numId w:val="108"/>
        </w:numPr>
        <w:spacing w:line="276" w:lineRule="auto"/>
        <w:jc w:val="both"/>
        <w:rPr>
          <w:rFonts w:ascii="Book Antiqua" w:hAnsi="Book Antiqua"/>
          <w:b/>
        </w:rPr>
        <w:sectPr w:rsidR="00E317C4" w:rsidRPr="00E3232D" w:rsidSect="008F6BC9">
          <w:type w:val="continuous"/>
          <w:pgSz w:w="11907" w:h="16839" w:code="9"/>
          <w:pgMar w:top="1440" w:right="1440" w:bottom="1440" w:left="1440" w:header="720" w:footer="720" w:gutter="0"/>
          <w:cols w:num="2" w:space="720"/>
          <w:docGrid w:linePitch="360"/>
        </w:sectPr>
      </w:pPr>
    </w:p>
    <w:p w14:paraId="295DE85C"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Motor protection</w:t>
      </w:r>
    </w:p>
    <w:p w14:paraId="12A7D217"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Motor protection generally includes:</w:t>
      </w:r>
    </w:p>
    <w:p w14:paraId="4B336677" w14:textId="77777777" w:rsidR="00E317C4" w:rsidRPr="00E3232D" w:rsidRDefault="00E317C4" w:rsidP="00196385">
      <w:pPr>
        <w:pStyle w:val="NoSpacing"/>
        <w:numPr>
          <w:ilvl w:val="0"/>
          <w:numId w:val="125"/>
        </w:numPr>
        <w:spacing w:line="276" w:lineRule="auto"/>
        <w:jc w:val="both"/>
        <w:rPr>
          <w:rFonts w:ascii="Book Antiqua" w:hAnsi="Book Antiqua"/>
        </w:rPr>
      </w:pPr>
      <w:r w:rsidRPr="00E3232D">
        <w:rPr>
          <w:rFonts w:ascii="Book Antiqua" w:hAnsi="Book Antiqua"/>
        </w:rPr>
        <w:t>Thermal overload protection</w:t>
      </w:r>
    </w:p>
    <w:p w14:paraId="0DEEC038" w14:textId="77777777" w:rsidR="00E317C4" w:rsidRPr="00E3232D" w:rsidRDefault="00E317C4" w:rsidP="00196385">
      <w:pPr>
        <w:pStyle w:val="NoSpacing"/>
        <w:numPr>
          <w:ilvl w:val="0"/>
          <w:numId w:val="125"/>
        </w:numPr>
        <w:spacing w:line="276" w:lineRule="auto"/>
        <w:jc w:val="both"/>
        <w:rPr>
          <w:rFonts w:ascii="Book Antiqua" w:hAnsi="Book Antiqua"/>
        </w:rPr>
      </w:pPr>
      <w:r w:rsidRPr="00E3232D">
        <w:rPr>
          <w:rFonts w:ascii="Book Antiqua" w:hAnsi="Book Antiqua"/>
        </w:rPr>
        <w:t>Stator winding protection</w:t>
      </w:r>
    </w:p>
    <w:p w14:paraId="1B50E7C8" w14:textId="77777777" w:rsidR="00E317C4" w:rsidRPr="00E3232D" w:rsidRDefault="00E317C4" w:rsidP="00196385">
      <w:pPr>
        <w:pStyle w:val="NoSpacing"/>
        <w:numPr>
          <w:ilvl w:val="0"/>
          <w:numId w:val="125"/>
        </w:numPr>
        <w:spacing w:line="276" w:lineRule="auto"/>
        <w:jc w:val="both"/>
        <w:rPr>
          <w:rFonts w:ascii="Book Antiqua" w:hAnsi="Book Antiqua"/>
        </w:rPr>
      </w:pPr>
      <w:r w:rsidRPr="00E3232D">
        <w:rPr>
          <w:rFonts w:ascii="Book Antiqua" w:hAnsi="Book Antiqua"/>
        </w:rPr>
        <w:t>Overload protection</w:t>
      </w:r>
    </w:p>
    <w:p w14:paraId="09D8A96B" w14:textId="77777777" w:rsidR="00E317C4" w:rsidRPr="00E3232D" w:rsidRDefault="00E317C4" w:rsidP="00196385">
      <w:pPr>
        <w:pStyle w:val="NoSpacing"/>
        <w:numPr>
          <w:ilvl w:val="0"/>
          <w:numId w:val="125"/>
        </w:numPr>
        <w:spacing w:line="276" w:lineRule="auto"/>
        <w:jc w:val="both"/>
        <w:rPr>
          <w:rFonts w:ascii="Book Antiqua" w:hAnsi="Book Antiqua"/>
        </w:rPr>
      </w:pPr>
      <w:r w:rsidRPr="00E3232D">
        <w:rPr>
          <w:rFonts w:ascii="Book Antiqua" w:hAnsi="Book Antiqua"/>
        </w:rPr>
        <w:t>Phase unbalance protection [9]</w:t>
      </w:r>
    </w:p>
    <w:p w14:paraId="57E82577" w14:textId="77777777" w:rsidR="00E317C4" w:rsidRPr="00E3232D" w:rsidRDefault="00E317C4" w:rsidP="00F26850">
      <w:pPr>
        <w:pStyle w:val="NoSpacing"/>
        <w:spacing w:line="276" w:lineRule="auto"/>
        <w:jc w:val="both"/>
        <w:rPr>
          <w:rFonts w:ascii="Book Antiqua" w:hAnsi="Book Antiqua"/>
        </w:rPr>
      </w:pPr>
    </w:p>
    <w:p w14:paraId="7FF23DE3"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 xml:space="preserve">Effects of phase unbalance in feeders on a three phase induction motors </w:t>
      </w:r>
    </w:p>
    <w:p w14:paraId="0B3D30BE"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Below are contingencies a three-phase motor would experience in the event of phase unbalance:</w:t>
      </w:r>
    </w:p>
    <w:p w14:paraId="4583A57E" w14:textId="77777777" w:rsidR="00E317C4" w:rsidRPr="00E3232D" w:rsidRDefault="00E317C4" w:rsidP="00196385">
      <w:pPr>
        <w:pStyle w:val="NoSpacing"/>
        <w:numPr>
          <w:ilvl w:val="0"/>
          <w:numId w:val="113"/>
        </w:numPr>
        <w:spacing w:line="276" w:lineRule="auto"/>
        <w:jc w:val="both"/>
        <w:rPr>
          <w:rFonts w:ascii="Book Antiqua" w:hAnsi="Book Antiqua"/>
        </w:rPr>
      </w:pPr>
      <w:r w:rsidRPr="00E3232D">
        <w:rPr>
          <w:rFonts w:ascii="Book Antiqua" w:hAnsi="Book Antiqua"/>
        </w:rPr>
        <w:t>Unbalanced supply voltage</w:t>
      </w:r>
    </w:p>
    <w:p w14:paraId="66709CA7" w14:textId="77777777" w:rsidR="00E317C4" w:rsidRPr="00E3232D" w:rsidRDefault="00E317C4" w:rsidP="00196385">
      <w:pPr>
        <w:pStyle w:val="NoSpacing"/>
        <w:numPr>
          <w:ilvl w:val="0"/>
          <w:numId w:val="113"/>
        </w:numPr>
        <w:spacing w:line="276" w:lineRule="auto"/>
        <w:jc w:val="both"/>
        <w:rPr>
          <w:rFonts w:ascii="Book Antiqua" w:hAnsi="Book Antiqua"/>
        </w:rPr>
      </w:pPr>
      <w:r w:rsidRPr="00E3232D">
        <w:rPr>
          <w:rFonts w:ascii="Book Antiqua" w:hAnsi="Book Antiqua"/>
        </w:rPr>
        <w:t>Supply by two phases instead of three</w:t>
      </w:r>
    </w:p>
    <w:p w14:paraId="09369042" w14:textId="77777777" w:rsidR="00E317C4" w:rsidRPr="00E3232D" w:rsidRDefault="00E317C4" w:rsidP="00196385">
      <w:pPr>
        <w:pStyle w:val="NoSpacing"/>
        <w:numPr>
          <w:ilvl w:val="0"/>
          <w:numId w:val="113"/>
        </w:numPr>
        <w:spacing w:line="276" w:lineRule="auto"/>
        <w:jc w:val="both"/>
        <w:rPr>
          <w:rFonts w:ascii="Book Antiqua" w:hAnsi="Book Antiqua"/>
        </w:rPr>
      </w:pPr>
      <w:r w:rsidRPr="00E3232D">
        <w:rPr>
          <w:rFonts w:ascii="Book Antiqua" w:hAnsi="Book Antiqua"/>
        </w:rPr>
        <w:t>Negative phase sequence component of current, leading to</w:t>
      </w:r>
    </w:p>
    <w:p w14:paraId="0D48E26F" w14:textId="77777777" w:rsidR="00E317C4" w:rsidRPr="00E3232D" w:rsidRDefault="00E317C4" w:rsidP="00196385">
      <w:pPr>
        <w:pStyle w:val="NoSpacing"/>
        <w:numPr>
          <w:ilvl w:val="0"/>
          <w:numId w:val="113"/>
        </w:numPr>
        <w:spacing w:line="276" w:lineRule="auto"/>
        <w:jc w:val="both"/>
        <w:rPr>
          <w:rFonts w:ascii="Book Antiqua" w:hAnsi="Book Antiqua"/>
        </w:rPr>
      </w:pPr>
      <w:r w:rsidRPr="00E3232D">
        <w:rPr>
          <w:rFonts w:ascii="Book Antiqua" w:hAnsi="Book Antiqua"/>
        </w:rPr>
        <w:t>A field rotation in an opposite direction to that of the supply voltage, which results in</w:t>
      </w:r>
    </w:p>
    <w:p w14:paraId="4023877A" w14:textId="77777777" w:rsidR="00E317C4" w:rsidRPr="00E3232D" w:rsidRDefault="00E317C4" w:rsidP="00196385">
      <w:pPr>
        <w:pStyle w:val="NoSpacing"/>
        <w:numPr>
          <w:ilvl w:val="0"/>
          <w:numId w:val="113"/>
        </w:numPr>
        <w:spacing w:line="276" w:lineRule="auto"/>
        <w:jc w:val="both"/>
        <w:rPr>
          <w:rFonts w:ascii="Book Antiqua" w:hAnsi="Book Antiqua"/>
        </w:rPr>
      </w:pPr>
      <w:r w:rsidRPr="00E3232D">
        <w:rPr>
          <w:rFonts w:ascii="Book Antiqua" w:hAnsi="Book Antiqua"/>
        </w:rPr>
        <w:t xml:space="preserve">Counter-rotation, it induces currents in the rotor at about two times rated system frequency [9]. </w:t>
      </w:r>
    </w:p>
    <w:p w14:paraId="2E113447" w14:textId="77777777" w:rsidR="00E317C4" w:rsidRPr="00E3232D" w:rsidRDefault="00E317C4" w:rsidP="00196385">
      <w:pPr>
        <w:pStyle w:val="NoSpacing"/>
        <w:numPr>
          <w:ilvl w:val="0"/>
          <w:numId w:val="113"/>
        </w:numPr>
        <w:spacing w:line="276" w:lineRule="auto"/>
        <w:jc w:val="both"/>
        <w:rPr>
          <w:rFonts w:ascii="Book Antiqua" w:hAnsi="Book Antiqua"/>
        </w:rPr>
      </w:pPr>
      <w:r w:rsidRPr="00E3232D">
        <w:rPr>
          <w:rFonts w:ascii="Book Antiqua" w:hAnsi="Book Antiqua"/>
        </w:rPr>
        <w:t>Overheating arises from over-current, which depending on its intensity could exceed the flashpoints of the windings in the motor and flashover.</w:t>
      </w:r>
    </w:p>
    <w:p w14:paraId="650F6347" w14:textId="77777777" w:rsidR="00E317C4" w:rsidRPr="00E3232D" w:rsidRDefault="00E317C4" w:rsidP="00F26850">
      <w:pPr>
        <w:pStyle w:val="NoSpacing"/>
        <w:spacing w:line="276" w:lineRule="auto"/>
        <w:ind w:left="720"/>
        <w:jc w:val="both"/>
        <w:rPr>
          <w:rFonts w:ascii="Book Antiqua" w:hAnsi="Book Antiqua"/>
        </w:rPr>
      </w:pPr>
    </w:p>
    <w:p w14:paraId="1A6092AE" w14:textId="77777777" w:rsidR="00E317C4" w:rsidRPr="00E3232D" w:rsidRDefault="00E317C4" w:rsidP="00196385">
      <w:pPr>
        <w:pStyle w:val="NoSpacing"/>
        <w:numPr>
          <w:ilvl w:val="1"/>
          <w:numId w:val="108"/>
        </w:numPr>
        <w:spacing w:line="276" w:lineRule="auto"/>
        <w:jc w:val="both"/>
        <w:rPr>
          <w:rFonts w:ascii="Book Antiqua" w:hAnsi="Book Antiqua"/>
          <w:b/>
        </w:rPr>
      </w:pPr>
      <w:r w:rsidRPr="00E3232D">
        <w:rPr>
          <w:rFonts w:ascii="Book Antiqua" w:hAnsi="Book Antiqua"/>
          <w:b/>
        </w:rPr>
        <w:t>Factors affecting the performance of a condensing turbine</w:t>
      </w:r>
    </w:p>
    <w:p w14:paraId="05E7E8AB"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The key factors that affect the performance of a condensing steam turbine are as follow: </w:t>
      </w:r>
    </w:p>
    <w:p w14:paraId="2CD5983A" w14:textId="77777777" w:rsidR="00E317C4" w:rsidRDefault="00E317C4" w:rsidP="00F26850">
      <w:pPr>
        <w:pStyle w:val="NoSpacing"/>
        <w:spacing w:line="276" w:lineRule="auto"/>
        <w:ind w:left="720"/>
        <w:jc w:val="both"/>
        <w:rPr>
          <w:rFonts w:ascii="Book Antiqua" w:hAnsi="Book Antiqua"/>
          <w:b/>
        </w:rPr>
      </w:pPr>
    </w:p>
    <w:p w14:paraId="193DB414" w14:textId="77777777" w:rsidR="00F26850" w:rsidRPr="00E3232D" w:rsidRDefault="00F26850" w:rsidP="00F26850">
      <w:pPr>
        <w:pStyle w:val="NoSpacing"/>
        <w:spacing w:line="276" w:lineRule="auto"/>
        <w:ind w:left="720"/>
        <w:jc w:val="both"/>
        <w:rPr>
          <w:rFonts w:ascii="Book Antiqua" w:hAnsi="Book Antiqua"/>
          <w:b/>
        </w:rPr>
      </w:pPr>
    </w:p>
    <w:p w14:paraId="6F320FEC"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Temperature of the inlet steam</w:t>
      </w:r>
    </w:p>
    <w:p w14:paraId="6E99B476"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Basically, the quantity of heat in a medium, Q = mcθ                                                      (1)</w:t>
      </w:r>
    </w:p>
    <w:p w14:paraId="19AD0A15"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Where m is the mass of the medium</w:t>
      </w:r>
    </w:p>
    <w:p w14:paraId="1E687ACF"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c is the specific heat capacity of the medium</w:t>
      </w:r>
    </w:p>
    <w:p w14:paraId="293C0D00"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θ is the temperature of the medium</w:t>
      </w:r>
    </w:p>
    <w:p w14:paraId="7FCB7C82"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At constant mass (i.e. constant steam flow to the turbine in this case), Q α θ                  (2)</w:t>
      </w:r>
    </w:p>
    <w:p w14:paraId="3C747A51" w14:textId="77777777" w:rsidR="00E317C4" w:rsidRPr="00E3232D" w:rsidRDefault="00E317C4" w:rsidP="00F26850">
      <w:pPr>
        <w:pStyle w:val="NoSpacing"/>
        <w:spacing w:line="276" w:lineRule="auto"/>
        <w:jc w:val="both"/>
        <w:rPr>
          <w:rFonts w:ascii="Book Antiqua" w:hAnsi="Book Antiqua"/>
        </w:rPr>
      </w:pPr>
    </w:p>
    <w:p w14:paraId="5B854F43" w14:textId="77777777" w:rsidR="001201F6" w:rsidRDefault="00E317C4" w:rsidP="00F26850">
      <w:pPr>
        <w:pStyle w:val="NoSpacing"/>
        <w:spacing w:line="276" w:lineRule="auto"/>
        <w:jc w:val="both"/>
        <w:rPr>
          <w:rFonts w:ascii="Book Antiqua" w:hAnsi="Book Antiqua"/>
        </w:rPr>
      </w:pPr>
      <w:r w:rsidRPr="00E3232D">
        <w:rPr>
          <w:rFonts w:ascii="Book Antiqua" w:hAnsi="Book Antiqua"/>
        </w:rPr>
        <w:t>It can be implied from (2) that the higher the inlet steam temperature the more the energy to run the turbine. Hence for the same work less steam is required. In other words, the output of the turbine increases with same quantity of steam at relatively higher temperatures thereby improving efficiency and vice versa [10]. However, there is a limit to how high the steam temperature could be without harming the turbine blades. The recommended</w:t>
      </w:r>
    </w:p>
    <w:p w14:paraId="243EB561"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temperature range for steam to STG4 is380 – 405 °C. </w:t>
      </w:r>
    </w:p>
    <w:p w14:paraId="14C0FD44" w14:textId="77777777" w:rsidR="00E317C4" w:rsidRPr="00E3232D" w:rsidRDefault="00E317C4" w:rsidP="00F26850">
      <w:pPr>
        <w:pStyle w:val="NoSpacing"/>
        <w:spacing w:line="276" w:lineRule="auto"/>
        <w:jc w:val="both"/>
        <w:rPr>
          <w:rFonts w:ascii="Book Antiqua" w:hAnsi="Book Antiqua"/>
        </w:rPr>
      </w:pPr>
    </w:p>
    <w:p w14:paraId="4AC0E7EE"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Pressure of the inlet steam</w:t>
      </w:r>
    </w:p>
    <w:p w14:paraId="658E6136"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From basic physics, work done, W = Γ.θ                                                        (3)</w:t>
      </w:r>
    </w:p>
    <w:p w14:paraId="223446F6"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Where Γ is the applied torque</w:t>
      </w:r>
    </w:p>
    <w:p w14:paraId="4A9305E3"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θ is the angular displacement</w:t>
      </w:r>
    </w:p>
    <w:p w14:paraId="0555A9FD"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Γ = F.r                                                                                                              (4)</w:t>
      </w:r>
    </w:p>
    <w:p w14:paraId="4266FE31"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Where F is the linear component of torque</w:t>
      </w:r>
    </w:p>
    <w:p w14:paraId="043268E2"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R is radius</w:t>
      </w:r>
    </w:p>
    <w:p w14:paraId="1CEE59BB"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F = ma                                                                                                             (5)</w:t>
      </w:r>
    </w:p>
    <w:p w14:paraId="7EF5142D"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Where </w:t>
      </w:r>
      <w:r w:rsidRPr="00E3232D">
        <w:rPr>
          <w:rFonts w:ascii="Book Antiqua" w:hAnsi="Book Antiqua"/>
          <w:i/>
        </w:rPr>
        <w:t>a</w:t>
      </w:r>
      <w:r w:rsidRPr="00E3232D">
        <w:rPr>
          <w:rFonts w:ascii="Book Antiqua" w:hAnsi="Book Antiqua"/>
        </w:rPr>
        <w:t xml:space="preserve"> denotes acceleration</w:t>
      </w:r>
    </w:p>
    <w:p w14:paraId="1B13F9DC"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Now pressure, P = F/A                                                                                   (6)</w:t>
      </w:r>
    </w:p>
    <w:p w14:paraId="68653BF8"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Where A denotes cross sectional area</w:t>
      </w:r>
    </w:p>
    <w:p w14:paraId="0EBA8B23"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It can be implied from (6) that F = P.A                                                          (7)                                           </w:t>
      </w:r>
    </w:p>
    <w:p w14:paraId="257882BA"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Hence W = P.A.θ</w:t>
      </w:r>
    </w:p>
    <w:p w14:paraId="1B3BD837"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W α P                                                                                                  (8)</w:t>
      </w:r>
    </w:p>
    <w:p w14:paraId="61E263C3"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It can be implied from (8) that the higher the inlet steam pressure the more the work done by the turbine. In other words, the output of the turbine increases with the same quantity of steam at relatively higher pressures thereby improving efficiency.</w:t>
      </w:r>
    </w:p>
    <w:p w14:paraId="451A0901" w14:textId="77777777" w:rsidR="00E317C4" w:rsidRPr="00E3232D" w:rsidRDefault="00E317C4" w:rsidP="00F26850">
      <w:pPr>
        <w:pStyle w:val="NoSpacing"/>
        <w:spacing w:line="276" w:lineRule="auto"/>
        <w:jc w:val="both"/>
        <w:rPr>
          <w:rFonts w:ascii="Book Antiqua" w:hAnsi="Book Antiqua"/>
        </w:rPr>
      </w:pPr>
    </w:p>
    <w:p w14:paraId="12D84B0D"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Temperature of the exhaust steam</w:t>
      </w:r>
    </w:p>
    <w:p w14:paraId="0EC3E37A"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With reference to the ideal gas law</w:t>
      </w:r>
    </w:p>
    <w:p w14:paraId="0BFA8A2D"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PV = NkT                                                                                             (9)</w:t>
      </w:r>
    </w:p>
    <w:p w14:paraId="2593A56F" w14:textId="77777777" w:rsidR="00E317C4" w:rsidRPr="00E3232D" w:rsidRDefault="00E317C4" w:rsidP="00F26850">
      <w:pPr>
        <w:pStyle w:val="NoSpacing"/>
        <w:spacing w:line="276" w:lineRule="auto"/>
        <w:jc w:val="both"/>
        <w:rPr>
          <w:rFonts w:ascii="Book Antiqua" w:hAnsi="Book Antiqua"/>
        </w:rPr>
      </w:pPr>
    </w:p>
    <w:p w14:paraId="2C3E58EF"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Where P denotes the pressure of gas</w:t>
      </w:r>
    </w:p>
    <w:p w14:paraId="6EE698D8"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V denotes the volume of gas</w:t>
      </w:r>
    </w:p>
    <w:p w14:paraId="1F829660"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N denotes the number of gas molecules</w:t>
      </w:r>
    </w:p>
    <w:p w14:paraId="6FCF96BF"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T denotes the temperature of gas</w:t>
      </w:r>
    </w:p>
    <w:p w14:paraId="09D70E3B"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K is the Boltzmann constant [11]</w:t>
      </w:r>
    </w:p>
    <w:p w14:paraId="1A49B631" w14:textId="77777777" w:rsidR="00E317C4" w:rsidRPr="00E3232D" w:rsidRDefault="00E317C4" w:rsidP="00F26850">
      <w:pPr>
        <w:pStyle w:val="NoSpacing"/>
        <w:spacing w:line="276" w:lineRule="auto"/>
        <w:jc w:val="both"/>
        <w:rPr>
          <w:rFonts w:ascii="Book Antiqua" w:hAnsi="Book Antiqua"/>
        </w:rPr>
      </w:pPr>
    </w:p>
    <w:p w14:paraId="18DF3797"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It can be implied from (9) that P α T                                                (10)</w:t>
      </w:r>
    </w:p>
    <w:p w14:paraId="466461C3" w14:textId="77777777" w:rsidR="00E317C4" w:rsidRPr="00E3232D" w:rsidRDefault="00E317C4" w:rsidP="00F26850">
      <w:pPr>
        <w:pStyle w:val="NoSpacing"/>
        <w:spacing w:line="276" w:lineRule="auto"/>
        <w:jc w:val="both"/>
        <w:rPr>
          <w:rFonts w:ascii="Book Antiqua" w:hAnsi="Book Antiqua"/>
        </w:rPr>
      </w:pPr>
    </w:p>
    <w:p w14:paraId="140761BD"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Hence in an event that the exhaust steam temperature rises, the exhaust steam pressure will rise proportionally. This opposes the flow of steam from the turbine exhaust. The effect is explained in more detail in section 2.8.4.</w:t>
      </w:r>
    </w:p>
    <w:p w14:paraId="7A3D58B6" w14:textId="77777777" w:rsidR="00E317C4" w:rsidRPr="00E3232D" w:rsidRDefault="00E317C4" w:rsidP="00F26850">
      <w:pPr>
        <w:pStyle w:val="NoSpacing"/>
        <w:spacing w:line="276" w:lineRule="auto"/>
        <w:jc w:val="both"/>
        <w:rPr>
          <w:rFonts w:ascii="Book Antiqua" w:hAnsi="Book Antiqua"/>
        </w:rPr>
      </w:pPr>
    </w:p>
    <w:p w14:paraId="1E814225" w14:textId="77777777" w:rsidR="00E317C4" w:rsidRPr="00E3232D" w:rsidRDefault="00E317C4" w:rsidP="00196385">
      <w:pPr>
        <w:pStyle w:val="NoSpacing"/>
        <w:numPr>
          <w:ilvl w:val="2"/>
          <w:numId w:val="108"/>
        </w:numPr>
        <w:spacing w:line="276" w:lineRule="auto"/>
        <w:jc w:val="both"/>
        <w:rPr>
          <w:rFonts w:ascii="Book Antiqua" w:hAnsi="Book Antiqua"/>
          <w:b/>
        </w:rPr>
      </w:pPr>
      <w:r w:rsidRPr="00E3232D">
        <w:rPr>
          <w:rFonts w:ascii="Book Antiqua" w:hAnsi="Book Antiqua"/>
          <w:b/>
        </w:rPr>
        <w:t xml:space="preserve">Pressure of the </w:t>
      </w:r>
      <w:r w:rsidR="009C0793" w:rsidRPr="00E3232D">
        <w:rPr>
          <w:rFonts w:ascii="Book Antiqua" w:hAnsi="Book Antiqua"/>
          <w:b/>
        </w:rPr>
        <w:t>Exhaust Steam</w:t>
      </w:r>
    </w:p>
    <w:p w14:paraId="5FD33B03" w14:textId="77777777" w:rsidR="001201F6" w:rsidRPr="001D5977" w:rsidRDefault="00E317C4" w:rsidP="00F26850">
      <w:pPr>
        <w:pStyle w:val="NoSpacing"/>
        <w:spacing w:line="276" w:lineRule="auto"/>
        <w:jc w:val="both"/>
        <w:rPr>
          <w:rFonts w:ascii="Book Antiqua" w:hAnsi="Book Antiqua"/>
        </w:rPr>
      </w:pPr>
      <w:r w:rsidRPr="00E3232D">
        <w:rPr>
          <w:rFonts w:ascii="Book Antiqua" w:hAnsi="Book Antiqua"/>
        </w:rPr>
        <w:t>It has already been established that work increases with increasing pressure (8). However by convention, exhaust steam pressure in other words surface condenser pressure opposes the inflow of steam. Hence as exhaust steam pressure increases more inlet steam is needed to overcome the resulting back pressure in the turbine exhaust. Rising exhaust steam pressure affects the efficiency of a steam turbine adversely [11]. Rising exhaust steam pressure affects the vacuum as well. This means the air ejector needs to do extra work to maintain the vacuum hence more steam consumption.</w:t>
      </w:r>
    </w:p>
    <w:p w14:paraId="458BDD6C" w14:textId="77777777" w:rsidR="00F26850" w:rsidRDefault="00F26850" w:rsidP="008275E1">
      <w:pPr>
        <w:pStyle w:val="NoSpacing"/>
        <w:spacing w:line="276" w:lineRule="auto"/>
        <w:rPr>
          <w:rFonts w:ascii="Book Antiqua" w:hAnsi="Book Antiqua"/>
          <w:b/>
        </w:rPr>
      </w:pPr>
    </w:p>
    <w:p w14:paraId="21BA5154" w14:textId="77777777" w:rsidR="00E317C4" w:rsidRPr="00136F0B" w:rsidRDefault="00136F0B" w:rsidP="00F26850">
      <w:pPr>
        <w:pStyle w:val="NoSpacing"/>
        <w:spacing w:line="276" w:lineRule="auto"/>
        <w:jc w:val="both"/>
        <w:rPr>
          <w:rFonts w:ascii="Book Antiqua" w:hAnsi="Book Antiqua"/>
          <w:b/>
          <w:sz w:val="26"/>
        </w:rPr>
      </w:pPr>
      <w:r w:rsidRPr="00136F0B">
        <w:rPr>
          <w:rFonts w:ascii="Book Antiqua" w:hAnsi="Book Antiqua"/>
          <w:b/>
          <w:sz w:val="26"/>
        </w:rPr>
        <w:t xml:space="preserve">2.0 </w:t>
      </w:r>
      <w:r w:rsidR="00E317C4" w:rsidRPr="00136F0B">
        <w:rPr>
          <w:rFonts w:ascii="Book Antiqua" w:hAnsi="Book Antiqua"/>
          <w:b/>
          <w:sz w:val="26"/>
        </w:rPr>
        <w:t xml:space="preserve"> Methodology</w:t>
      </w:r>
    </w:p>
    <w:p w14:paraId="03CEB5DF"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research involved:</w:t>
      </w:r>
    </w:p>
    <w:p w14:paraId="2C23E1E3" w14:textId="77777777" w:rsidR="00E317C4" w:rsidRPr="00E3232D" w:rsidRDefault="00E317C4" w:rsidP="00196385">
      <w:pPr>
        <w:pStyle w:val="NoSpacing"/>
        <w:numPr>
          <w:ilvl w:val="0"/>
          <w:numId w:val="119"/>
        </w:numPr>
        <w:spacing w:line="276" w:lineRule="auto"/>
        <w:jc w:val="both"/>
        <w:rPr>
          <w:rFonts w:ascii="Book Antiqua" w:hAnsi="Book Antiqua"/>
        </w:rPr>
      </w:pPr>
      <w:r w:rsidRPr="00E3232D">
        <w:rPr>
          <w:rFonts w:ascii="Book Antiqua" w:hAnsi="Book Antiqua"/>
        </w:rPr>
        <w:t>interactions with the operators on duty, other operators, and maintenance workshop personnel.</w:t>
      </w:r>
    </w:p>
    <w:p w14:paraId="779D8BF1" w14:textId="77777777" w:rsidR="00E317C4" w:rsidRPr="00E3232D" w:rsidRDefault="00E317C4" w:rsidP="00196385">
      <w:pPr>
        <w:pStyle w:val="NoSpacing"/>
        <w:numPr>
          <w:ilvl w:val="0"/>
          <w:numId w:val="119"/>
        </w:numPr>
        <w:spacing w:line="276" w:lineRule="auto"/>
        <w:jc w:val="both"/>
        <w:rPr>
          <w:rFonts w:ascii="Book Antiqua" w:hAnsi="Book Antiqua"/>
        </w:rPr>
      </w:pPr>
      <w:r w:rsidRPr="00E3232D">
        <w:rPr>
          <w:rFonts w:ascii="Book Antiqua" w:hAnsi="Book Antiqua"/>
        </w:rPr>
        <w:t>Reference to operations reports including</w:t>
      </w:r>
    </w:p>
    <w:p w14:paraId="720E8B84" w14:textId="77777777" w:rsidR="00E317C4" w:rsidRPr="00E3232D" w:rsidRDefault="00E317C4" w:rsidP="00196385">
      <w:pPr>
        <w:pStyle w:val="NoSpacing"/>
        <w:numPr>
          <w:ilvl w:val="0"/>
          <w:numId w:val="120"/>
        </w:numPr>
        <w:spacing w:line="276" w:lineRule="auto"/>
        <w:jc w:val="both"/>
        <w:rPr>
          <w:rFonts w:ascii="Book Antiqua" w:hAnsi="Book Antiqua"/>
        </w:rPr>
      </w:pPr>
      <w:r w:rsidRPr="00E3232D">
        <w:rPr>
          <w:rFonts w:ascii="Book Antiqua" w:hAnsi="Book Antiqua"/>
        </w:rPr>
        <w:t>Electrical control room report</w:t>
      </w:r>
    </w:p>
    <w:p w14:paraId="330B479B" w14:textId="77777777" w:rsidR="00E317C4" w:rsidRPr="00E3232D" w:rsidRDefault="00E317C4" w:rsidP="00196385">
      <w:pPr>
        <w:pStyle w:val="NoSpacing"/>
        <w:numPr>
          <w:ilvl w:val="0"/>
          <w:numId w:val="120"/>
        </w:numPr>
        <w:spacing w:line="276" w:lineRule="auto"/>
        <w:jc w:val="both"/>
        <w:rPr>
          <w:rFonts w:ascii="Book Antiqua" w:hAnsi="Book Antiqua"/>
        </w:rPr>
      </w:pPr>
      <w:r w:rsidRPr="00E3232D">
        <w:rPr>
          <w:rFonts w:ascii="Book Antiqua" w:hAnsi="Book Antiqua"/>
        </w:rPr>
        <w:t>Generator operators’ report</w:t>
      </w:r>
    </w:p>
    <w:p w14:paraId="52C6DA80" w14:textId="77777777" w:rsidR="00E317C4" w:rsidRPr="00E3232D" w:rsidRDefault="00E317C4" w:rsidP="00196385">
      <w:pPr>
        <w:pStyle w:val="NoSpacing"/>
        <w:numPr>
          <w:ilvl w:val="0"/>
          <w:numId w:val="120"/>
        </w:numPr>
        <w:spacing w:line="276" w:lineRule="auto"/>
        <w:jc w:val="both"/>
        <w:rPr>
          <w:rFonts w:ascii="Book Antiqua" w:hAnsi="Book Antiqua"/>
        </w:rPr>
      </w:pPr>
      <w:r w:rsidRPr="00E3232D">
        <w:rPr>
          <w:rFonts w:ascii="Book Antiqua" w:hAnsi="Book Antiqua"/>
        </w:rPr>
        <w:t>Boiler control room report</w:t>
      </w:r>
    </w:p>
    <w:p w14:paraId="31B94E7F" w14:textId="77777777" w:rsidR="00E317C4" w:rsidRPr="00E3232D" w:rsidRDefault="00E317C4" w:rsidP="00196385">
      <w:pPr>
        <w:pStyle w:val="NoSpacing"/>
        <w:numPr>
          <w:ilvl w:val="0"/>
          <w:numId w:val="120"/>
        </w:numPr>
        <w:spacing w:line="276" w:lineRule="auto"/>
        <w:jc w:val="both"/>
        <w:rPr>
          <w:rFonts w:ascii="Book Antiqua" w:hAnsi="Book Antiqua"/>
        </w:rPr>
      </w:pPr>
      <w:r w:rsidRPr="00E3232D">
        <w:rPr>
          <w:rFonts w:ascii="Book Antiqua" w:hAnsi="Book Antiqua"/>
        </w:rPr>
        <w:t>Utilities engineers’ report</w:t>
      </w:r>
    </w:p>
    <w:p w14:paraId="2D052A7D" w14:textId="77777777" w:rsidR="00E317C4" w:rsidRPr="00E3232D" w:rsidRDefault="00E317C4" w:rsidP="00196385">
      <w:pPr>
        <w:pStyle w:val="NoSpacing"/>
        <w:numPr>
          <w:ilvl w:val="0"/>
          <w:numId w:val="121"/>
        </w:numPr>
        <w:spacing w:line="276" w:lineRule="auto"/>
        <w:jc w:val="both"/>
        <w:rPr>
          <w:rFonts w:ascii="Book Antiqua" w:hAnsi="Book Antiqua"/>
        </w:rPr>
      </w:pPr>
      <w:r w:rsidRPr="00E3232D">
        <w:rPr>
          <w:rFonts w:ascii="Book Antiqua" w:hAnsi="Book Antiqua"/>
        </w:rPr>
        <w:t>Reference to textbooks and technical manuals</w:t>
      </w:r>
    </w:p>
    <w:p w14:paraId="3A3BDAC6"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w:t>
      </w:r>
    </w:p>
    <w:p w14:paraId="25449DD8" w14:textId="77777777" w:rsidR="00E317C4" w:rsidRPr="00136F0B" w:rsidRDefault="00136F0B" w:rsidP="00F26850">
      <w:pPr>
        <w:pStyle w:val="NoSpacing"/>
        <w:spacing w:line="276" w:lineRule="auto"/>
        <w:jc w:val="both"/>
        <w:rPr>
          <w:rFonts w:ascii="Book Antiqua" w:hAnsi="Book Antiqua"/>
          <w:b/>
          <w:sz w:val="26"/>
        </w:rPr>
      </w:pPr>
      <w:r>
        <w:rPr>
          <w:rFonts w:ascii="Book Antiqua" w:hAnsi="Book Antiqua"/>
          <w:b/>
          <w:sz w:val="26"/>
        </w:rPr>
        <w:t xml:space="preserve">3.0 </w:t>
      </w:r>
      <w:r w:rsidR="00E317C4" w:rsidRPr="00136F0B">
        <w:rPr>
          <w:rFonts w:ascii="Book Antiqua" w:hAnsi="Book Antiqua"/>
          <w:b/>
          <w:sz w:val="26"/>
        </w:rPr>
        <w:t>Results</w:t>
      </w:r>
    </w:p>
    <w:p w14:paraId="54683EFC"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sequence of activities preceding the tripping of the embedded generator are as follows:</w:t>
      </w:r>
    </w:p>
    <w:p w14:paraId="3E452961" w14:textId="77777777" w:rsidR="00E317C4" w:rsidRPr="00E3232D" w:rsidRDefault="00E317C4" w:rsidP="00F26850">
      <w:pPr>
        <w:pStyle w:val="NoSpacing"/>
        <w:spacing w:line="276" w:lineRule="auto"/>
        <w:jc w:val="both"/>
        <w:rPr>
          <w:rFonts w:ascii="Book Antiqua" w:hAnsi="Book Antiqua"/>
        </w:rPr>
      </w:pPr>
    </w:p>
    <w:p w14:paraId="7E51544A"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b/>
        </w:rPr>
        <w:t xml:space="preserve">1817 HRS: </w:t>
      </w:r>
      <w:r w:rsidRPr="00E3232D">
        <w:rPr>
          <w:rFonts w:ascii="Book Antiqua" w:hAnsi="Book Antiqua"/>
        </w:rPr>
        <w:t xml:space="preserve">Turbine experiences light fault </w:t>
      </w:r>
    </w:p>
    <w:p w14:paraId="111B83DC"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b/>
        </w:rPr>
        <w:t xml:space="preserve">1823 HRS: </w:t>
      </w:r>
      <w:r w:rsidRPr="00E3232D">
        <w:rPr>
          <w:rFonts w:ascii="Book Antiqua" w:hAnsi="Book Antiqua"/>
        </w:rPr>
        <w:t>Electrical Power supply to RFCC changes over from busbar A to busbar B</w:t>
      </w:r>
    </w:p>
    <w:p w14:paraId="679E54D4"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rPr>
        <w:t>Poor sealing steam supply to turbine</w:t>
      </w:r>
    </w:p>
    <w:p w14:paraId="402934EA"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rPr>
        <w:t>Air ejector inter-condenser vacuum drops to - 0.5 kgm</w:t>
      </w:r>
      <w:r w:rsidRPr="00E3232D">
        <w:rPr>
          <w:rFonts w:ascii="Book Antiqua" w:hAnsi="Book Antiqua"/>
          <w:vertAlign w:val="superscript"/>
        </w:rPr>
        <w:t>-2</w:t>
      </w:r>
      <w:r w:rsidRPr="00E3232D">
        <w:rPr>
          <w:rFonts w:ascii="Book Antiqua" w:hAnsi="Book Antiqua"/>
        </w:rPr>
        <w:t xml:space="preserve"> </w:t>
      </w:r>
    </w:p>
    <w:p w14:paraId="07DFBE11"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b/>
        </w:rPr>
        <w:t xml:space="preserve">1825HRS: </w:t>
      </w:r>
      <w:r w:rsidRPr="00E3232D">
        <w:rPr>
          <w:rFonts w:ascii="Book Antiqua" w:hAnsi="Book Antiqua"/>
        </w:rPr>
        <w:t>Electrical generator synchronized to external</w:t>
      </w:r>
    </w:p>
    <w:p w14:paraId="2D8B4979"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rPr>
        <w:t>Air ejector inter-condenser vacuum improves marginally to  6kPa</w:t>
      </w:r>
      <w:r w:rsidRPr="00E3232D">
        <w:rPr>
          <w:rFonts w:ascii="Book Antiqua" w:hAnsi="Book Antiqua"/>
          <w:vertAlign w:val="superscript"/>
        </w:rPr>
        <w:t xml:space="preserve"> </w:t>
      </w:r>
      <w:r w:rsidRPr="00E3232D">
        <w:rPr>
          <w:rFonts w:ascii="Book Antiqua" w:hAnsi="Book Antiqua"/>
        </w:rPr>
        <w:t xml:space="preserve"> after the changeover of air ejectors</w:t>
      </w:r>
    </w:p>
    <w:p w14:paraId="538E82BE"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rPr>
        <w:t>External voltage drops to 4.8 – 5.2 kV (after synchronisation)</w:t>
      </w:r>
    </w:p>
    <w:p w14:paraId="1D3AA06C"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rPr>
        <w:t>Electrical motors hums, one gets burnt</w:t>
      </w:r>
    </w:p>
    <w:p w14:paraId="6D290A33"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b/>
        </w:rPr>
        <w:t xml:space="preserve">1827 HRS: </w:t>
      </w:r>
      <w:r w:rsidRPr="00E3232D">
        <w:rPr>
          <w:rFonts w:ascii="Book Antiqua" w:hAnsi="Book Antiqua"/>
        </w:rPr>
        <w:t xml:space="preserve">Electrical generator experiences reverse power </w:t>
      </w:r>
    </w:p>
    <w:p w14:paraId="5A7944DB"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b/>
        </w:rPr>
        <w:t xml:space="preserve">1832 HRS: </w:t>
      </w:r>
      <w:r w:rsidRPr="00E3232D">
        <w:rPr>
          <w:rFonts w:ascii="Book Antiqua" w:hAnsi="Book Antiqua"/>
        </w:rPr>
        <w:t xml:space="preserve">Electrical generator trips on heavy turbine fault </w:t>
      </w:r>
    </w:p>
    <w:p w14:paraId="795368FC"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b/>
        </w:rPr>
        <w:t xml:space="preserve">1833HRS: </w:t>
      </w:r>
      <w:r w:rsidRPr="00E3232D">
        <w:rPr>
          <w:rFonts w:ascii="Book Antiqua" w:hAnsi="Book Antiqua"/>
        </w:rPr>
        <w:t xml:space="preserve">Steam generators trip </w:t>
      </w:r>
    </w:p>
    <w:p w14:paraId="0FEF8D2D" w14:textId="77777777" w:rsidR="00E317C4" w:rsidRPr="00E3232D" w:rsidRDefault="00E317C4" w:rsidP="00196385">
      <w:pPr>
        <w:pStyle w:val="NoSpacing"/>
        <w:numPr>
          <w:ilvl w:val="0"/>
          <w:numId w:val="109"/>
        </w:numPr>
        <w:spacing w:line="276" w:lineRule="auto"/>
        <w:jc w:val="both"/>
        <w:rPr>
          <w:rFonts w:ascii="Book Antiqua" w:hAnsi="Book Antiqua"/>
        </w:rPr>
      </w:pPr>
      <w:r w:rsidRPr="00E3232D">
        <w:rPr>
          <w:rFonts w:ascii="Book Antiqua" w:hAnsi="Book Antiqua"/>
          <w:b/>
        </w:rPr>
        <w:t xml:space="preserve">1835HRS: </w:t>
      </w:r>
      <w:r w:rsidRPr="00E3232D">
        <w:rPr>
          <w:rFonts w:ascii="Book Antiqua" w:hAnsi="Book Antiqua"/>
        </w:rPr>
        <w:t xml:space="preserve">Total shutdown of the refinery </w:t>
      </w:r>
    </w:p>
    <w:p w14:paraId="7407B41D" w14:textId="77777777" w:rsidR="00E317C4" w:rsidRPr="00E3232D" w:rsidRDefault="00E317C4" w:rsidP="00F26850">
      <w:pPr>
        <w:pStyle w:val="NoSpacing"/>
        <w:spacing w:line="276" w:lineRule="auto"/>
        <w:jc w:val="both"/>
        <w:rPr>
          <w:rFonts w:ascii="Book Antiqua" w:hAnsi="Book Antiqua"/>
          <w:b/>
        </w:rPr>
      </w:pPr>
    </w:p>
    <w:p w14:paraId="6695A249" w14:textId="77777777" w:rsidR="00E317C4" w:rsidRPr="00E3232D" w:rsidRDefault="00136F0B" w:rsidP="00F26850">
      <w:pPr>
        <w:pStyle w:val="NoSpacing"/>
        <w:spacing w:line="276" w:lineRule="auto"/>
        <w:jc w:val="both"/>
        <w:rPr>
          <w:rFonts w:ascii="Book Antiqua" w:hAnsi="Book Antiqua"/>
          <w:b/>
        </w:rPr>
      </w:pPr>
      <w:r>
        <w:rPr>
          <w:rFonts w:ascii="Book Antiqua" w:hAnsi="Book Antiqua"/>
          <w:b/>
        </w:rPr>
        <w:t xml:space="preserve">4.0 </w:t>
      </w:r>
      <w:r w:rsidR="00E317C4" w:rsidRPr="00E3232D">
        <w:rPr>
          <w:rFonts w:ascii="Book Antiqua" w:hAnsi="Book Antiqua"/>
          <w:b/>
        </w:rPr>
        <w:t xml:space="preserve"> </w:t>
      </w:r>
      <w:r w:rsidR="00E317C4" w:rsidRPr="009C0793">
        <w:rPr>
          <w:rFonts w:ascii="Book Antiqua" w:hAnsi="Book Antiqua"/>
          <w:b/>
          <w:sz w:val="26"/>
        </w:rPr>
        <w:t>Discussion of Findings</w:t>
      </w:r>
    </w:p>
    <w:p w14:paraId="157FBE23"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findings of the paper were evaluated as follows:</w:t>
      </w:r>
    </w:p>
    <w:p w14:paraId="60AE029B" w14:textId="77777777" w:rsidR="00E317C4" w:rsidRPr="00E3232D" w:rsidRDefault="00E317C4" w:rsidP="00F26850">
      <w:pPr>
        <w:pStyle w:val="NoSpacing"/>
        <w:spacing w:line="276" w:lineRule="auto"/>
        <w:jc w:val="both"/>
        <w:rPr>
          <w:rFonts w:ascii="Book Antiqua" w:hAnsi="Book Antiqua"/>
        </w:rPr>
      </w:pPr>
    </w:p>
    <w:p w14:paraId="0EA6CF80" w14:textId="77777777" w:rsidR="00E317C4" w:rsidRPr="00E3232D" w:rsidRDefault="00136F0B" w:rsidP="00F26850">
      <w:pPr>
        <w:pStyle w:val="NoSpacing"/>
        <w:spacing w:line="276" w:lineRule="auto"/>
        <w:jc w:val="both"/>
        <w:rPr>
          <w:rFonts w:ascii="Book Antiqua" w:hAnsi="Book Antiqua"/>
          <w:b/>
        </w:rPr>
      </w:pPr>
      <w:r>
        <w:rPr>
          <w:rFonts w:ascii="Book Antiqua" w:hAnsi="Book Antiqua"/>
          <w:b/>
        </w:rPr>
        <w:t>4</w:t>
      </w:r>
      <w:r w:rsidR="00E317C4" w:rsidRPr="00E3232D">
        <w:rPr>
          <w:rFonts w:ascii="Book Antiqua" w:hAnsi="Book Antiqua"/>
          <w:b/>
        </w:rPr>
        <w:t>.1 Light fault - probably rising turbine exhaust steam temperature and pressure</w:t>
      </w:r>
    </w:p>
    <w:p w14:paraId="30731726" w14:textId="77777777" w:rsidR="00E317C4" w:rsidRPr="00E3232D" w:rsidRDefault="00E317C4" w:rsidP="00F26850">
      <w:pPr>
        <w:pStyle w:val="NoSpacing"/>
        <w:spacing w:line="276" w:lineRule="auto"/>
        <w:jc w:val="both"/>
        <w:rPr>
          <w:rFonts w:ascii="Book Antiqua" w:hAnsi="Book Antiqua"/>
          <w:b/>
        </w:rPr>
      </w:pPr>
    </w:p>
    <w:p w14:paraId="4A4BE8BE" w14:textId="77777777" w:rsidR="00E317C4" w:rsidRPr="00E3232D" w:rsidRDefault="00E317C4" w:rsidP="00F26850">
      <w:pPr>
        <w:pStyle w:val="NoSpacing"/>
        <w:spacing w:line="276" w:lineRule="auto"/>
        <w:jc w:val="both"/>
        <w:rPr>
          <w:rFonts w:ascii="Book Antiqua" w:hAnsi="Book Antiqua"/>
          <w:b/>
        </w:rPr>
      </w:pPr>
      <w:r w:rsidRPr="00E3232D">
        <w:rPr>
          <w:rFonts w:ascii="Book Antiqua" w:hAnsi="Book Antiqua"/>
        </w:rPr>
        <w:t>Insufficient sealing steam supply to the turbine caused the air ejector to overwork. This led to the dropping the air ejector inter-condenser pressure to drop to -5.0kPa</w:t>
      </w:r>
      <w:r w:rsidRPr="00E3232D">
        <w:rPr>
          <w:rFonts w:ascii="Book Antiqua" w:hAnsi="Book Antiqua"/>
          <w:vertAlign w:val="superscript"/>
        </w:rPr>
        <w:t xml:space="preserve"> </w:t>
      </w:r>
      <w:r w:rsidRPr="00E3232D">
        <w:rPr>
          <w:rFonts w:ascii="Book Antiqua" w:hAnsi="Book Antiqua"/>
        </w:rPr>
        <w:t>. The changeover of the air ejector marginally improved the pressure to - 6.0kPa.</w:t>
      </w:r>
      <w:r w:rsidRPr="00E3232D">
        <w:rPr>
          <w:rFonts w:ascii="Book Antiqua" w:hAnsi="Book Antiqua"/>
          <w:b/>
        </w:rPr>
        <w:t xml:space="preserve"> </w:t>
      </w:r>
      <w:r w:rsidRPr="00E3232D">
        <w:rPr>
          <w:rFonts w:ascii="Book Antiqua" w:hAnsi="Book Antiqua"/>
        </w:rPr>
        <w:t xml:space="preserve">The retention of exhaust steam in the turbine contributed to the rising exhaust steam pressure. </w:t>
      </w:r>
    </w:p>
    <w:p w14:paraId="5D2C95FE" w14:textId="77777777" w:rsidR="00E317C4" w:rsidRPr="00E3232D" w:rsidRDefault="00E317C4" w:rsidP="00F26850">
      <w:pPr>
        <w:pStyle w:val="NoSpacing"/>
        <w:spacing w:line="276" w:lineRule="auto"/>
        <w:ind w:left="720"/>
        <w:jc w:val="both"/>
        <w:rPr>
          <w:rFonts w:ascii="Book Antiqua" w:hAnsi="Book Antiqua"/>
          <w:b/>
        </w:rPr>
      </w:pPr>
    </w:p>
    <w:p w14:paraId="12830A5E" w14:textId="77777777" w:rsidR="007B0865" w:rsidRDefault="007B0865" w:rsidP="00F26850">
      <w:pPr>
        <w:pStyle w:val="NoSpacing"/>
        <w:spacing w:line="276" w:lineRule="auto"/>
        <w:jc w:val="both"/>
        <w:rPr>
          <w:rFonts w:ascii="Book Antiqua" w:hAnsi="Book Antiqua"/>
          <w:b/>
        </w:rPr>
      </w:pPr>
    </w:p>
    <w:p w14:paraId="48316A80" w14:textId="77777777" w:rsidR="007B0865" w:rsidRDefault="007B0865" w:rsidP="00F26850">
      <w:pPr>
        <w:pStyle w:val="NoSpacing"/>
        <w:spacing w:line="276" w:lineRule="auto"/>
        <w:jc w:val="both"/>
        <w:rPr>
          <w:rFonts w:ascii="Book Antiqua" w:hAnsi="Book Antiqua"/>
          <w:b/>
        </w:rPr>
      </w:pPr>
    </w:p>
    <w:p w14:paraId="2ACF8CBD" w14:textId="77777777" w:rsidR="00E317C4" w:rsidRPr="00E3232D" w:rsidRDefault="00136F0B" w:rsidP="00F26850">
      <w:pPr>
        <w:pStyle w:val="NoSpacing"/>
        <w:spacing w:line="276" w:lineRule="auto"/>
        <w:jc w:val="both"/>
        <w:rPr>
          <w:rFonts w:ascii="Book Antiqua" w:hAnsi="Book Antiqua"/>
          <w:b/>
        </w:rPr>
      </w:pPr>
      <w:r>
        <w:rPr>
          <w:rFonts w:ascii="Book Antiqua" w:hAnsi="Book Antiqua"/>
          <w:b/>
        </w:rPr>
        <w:t>4</w:t>
      </w:r>
      <w:r w:rsidR="00E317C4" w:rsidRPr="00E3232D">
        <w:rPr>
          <w:rFonts w:ascii="Book Antiqua" w:hAnsi="Book Antiqua"/>
          <w:b/>
        </w:rPr>
        <w:t xml:space="preserve">.2 Changeover of Power Supply to RFCC from busbar B to A </w:t>
      </w:r>
    </w:p>
    <w:p w14:paraId="7756F923" w14:textId="77777777" w:rsidR="00E317C4" w:rsidRPr="00E3232D" w:rsidRDefault="00E317C4" w:rsidP="00F26850">
      <w:pPr>
        <w:pStyle w:val="NoSpacing"/>
        <w:spacing w:line="276" w:lineRule="auto"/>
        <w:jc w:val="both"/>
        <w:rPr>
          <w:rFonts w:ascii="Book Antiqua" w:hAnsi="Book Antiqua"/>
        </w:rPr>
      </w:pPr>
    </w:p>
    <w:p w14:paraId="5EA0A2AF" w14:textId="77777777" w:rsidR="00E317C4" w:rsidRPr="00E3232D" w:rsidRDefault="00E317C4" w:rsidP="00F26850">
      <w:pPr>
        <w:pStyle w:val="NoSpacing"/>
        <w:spacing w:line="276" w:lineRule="auto"/>
        <w:jc w:val="both"/>
        <w:rPr>
          <w:rFonts w:ascii="Book Antiqua" w:hAnsi="Book Antiqua"/>
          <w:b/>
        </w:rPr>
      </w:pPr>
      <w:r w:rsidRPr="00E3232D">
        <w:rPr>
          <w:rFonts w:ascii="Book Antiqua" w:hAnsi="Book Antiqua"/>
        </w:rPr>
        <w:t>The load shedding scheme might have operated to reduce the load on the generator and this triggered the operation the operation of the change over switch to change the power supply from the generator to ECG’s power supply. The phenomenon is explained further in section 5.4.1.2 of the paper.</w:t>
      </w:r>
    </w:p>
    <w:p w14:paraId="538DEDDD" w14:textId="77777777" w:rsidR="00E317C4" w:rsidRPr="00E3232D" w:rsidRDefault="00E317C4" w:rsidP="00F26850">
      <w:pPr>
        <w:pStyle w:val="NoSpacing"/>
        <w:spacing w:line="276" w:lineRule="auto"/>
        <w:ind w:left="1440"/>
        <w:jc w:val="both"/>
        <w:rPr>
          <w:rFonts w:ascii="Book Antiqua" w:hAnsi="Book Antiqua"/>
          <w:b/>
        </w:rPr>
      </w:pPr>
    </w:p>
    <w:p w14:paraId="06EB0C68" w14:textId="77777777" w:rsidR="00E317C4" w:rsidRPr="00E3232D" w:rsidRDefault="00E317C4" w:rsidP="00196385">
      <w:pPr>
        <w:pStyle w:val="NoSpacing"/>
        <w:numPr>
          <w:ilvl w:val="1"/>
          <w:numId w:val="58"/>
        </w:numPr>
        <w:spacing w:line="276" w:lineRule="auto"/>
        <w:jc w:val="both"/>
        <w:rPr>
          <w:rFonts w:ascii="Book Antiqua" w:hAnsi="Book Antiqua"/>
          <w:b/>
        </w:rPr>
      </w:pPr>
      <w:r w:rsidRPr="00E3232D">
        <w:rPr>
          <w:rFonts w:ascii="Book Antiqua" w:hAnsi="Book Antiqua"/>
          <w:b/>
        </w:rPr>
        <w:t>Under-voltage at the interconnection</w:t>
      </w:r>
    </w:p>
    <w:p w14:paraId="0247B273"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under-voltage experienced after synchronising affected TOR’s embedded generation system as follows:</w:t>
      </w:r>
    </w:p>
    <w:p w14:paraId="13958FE4"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 </w:t>
      </w:r>
    </w:p>
    <w:p w14:paraId="6BBDD473" w14:textId="77777777" w:rsidR="00E317C4" w:rsidRPr="00E3232D" w:rsidRDefault="00E317C4" w:rsidP="00196385">
      <w:pPr>
        <w:pStyle w:val="NoSpacing"/>
        <w:numPr>
          <w:ilvl w:val="2"/>
          <w:numId w:val="58"/>
        </w:numPr>
        <w:spacing w:line="276" w:lineRule="auto"/>
        <w:jc w:val="both"/>
        <w:rPr>
          <w:rFonts w:ascii="Book Antiqua" w:hAnsi="Book Antiqua"/>
          <w:b/>
        </w:rPr>
      </w:pPr>
      <w:r w:rsidRPr="00E3232D">
        <w:rPr>
          <w:rFonts w:ascii="Book Antiqua" w:hAnsi="Book Antiqua"/>
          <w:b/>
        </w:rPr>
        <w:t>Loss of phase from lose jumper</w:t>
      </w:r>
    </w:p>
    <w:p w14:paraId="6C8C4094"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By definition instantaneous current, </w:t>
      </w:r>
      <w:r w:rsidRPr="00E3232D">
        <w:rPr>
          <w:rFonts w:ascii="Book Antiqua" w:hAnsi="Book Antiqua"/>
          <w:i/>
        </w:rPr>
        <w:t>i =I</w:t>
      </w:r>
      <w:r w:rsidRPr="00E3232D">
        <w:rPr>
          <w:rFonts w:ascii="Book Antiqua" w:hAnsi="Book Antiqua"/>
          <w:i/>
          <w:vertAlign w:val="subscript"/>
        </w:rPr>
        <w:t>m</w:t>
      </w:r>
      <w:r w:rsidRPr="00E3232D">
        <w:rPr>
          <w:rFonts w:ascii="Book Antiqua" w:hAnsi="Book Antiqua"/>
          <w:i/>
        </w:rPr>
        <w:t xml:space="preserve">sinωt </w:t>
      </w:r>
      <w:r w:rsidRPr="00E3232D">
        <w:rPr>
          <w:rFonts w:ascii="Book Antiqua" w:hAnsi="Book Antiqua"/>
        </w:rPr>
        <w:t xml:space="preserve">                                                            (11)</w:t>
      </w:r>
    </w:p>
    <w:p w14:paraId="5B9650E5" w14:textId="77777777" w:rsidR="00E317C4" w:rsidRPr="00E3232D" w:rsidRDefault="00E317C4" w:rsidP="00F26850">
      <w:pPr>
        <w:pStyle w:val="NoSpacing"/>
        <w:spacing w:line="276" w:lineRule="auto"/>
        <w:jc w:val="both"/>
        <w:rPr>
          <w:rFonts w:ascii="Book Antiqua" w:hAnsi="Book Antiqua"/>
        </w:rPr>
      </w:pPr>
    </w:p>
    <w:p w14:paraId="30AA4705"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Considering a small change in current,  </w:t>
      </w:r>
      <w:r w:rsidRPr="00E3232D">
        <w:rPr>
          <w:rFonts w:ascii="Book Antiqua" w:hAnsi="Book Antiqua"/>
          <w:i/>
        </w:rPr>
        <w:t>di = I</w:t>
      </w:r>
      <w:r w:rsidRPr="00E3232D">
        <w:rPr>
          <w:rFonts w:ascii="Book Antiqua" w:hAnsi="Book Antiqua"/>
          <w:i/>
          <w:vertAlign w:val="subscript"/>
        </w:rPr>
        <w:t>m</w:t>
      </w:r>
      <w:r w:rsidRPr="00E3232D">
        <w:rPr>
          <w:rFonts w:ascii="Book Antiqua" w:hAnsi="Book Antiqua"/>
          <w:i/>
        </w:rPr>
        <w:t xml:space="preserve"> sinωdt                                                  </w:t>
      </w:r>
      <w:r w:rsidRPr="00E3232D">
        <w:rPr>
          <w:rFonts w:ascii="Book Antiqua" w:hAnsi="Book Antiqua"/>
        </w:rPr>
        <w:t>(12)</w:t>
      </w:r>
    </w:p>
    <w:p w14:paraId="0F735EE4" w14:textId="77777777" w:rsidR="00E317C4" w:rsidRPr="00E3232D" w:rsidRDefault="00E317C4" w:rsidP="00F26850">
      <w:pPr>
        <w:pStyle w:val="NoSpacing"/>
        <w:spacing w:line="276" w:lineRule="auto"/>
        <w:ind w:left="360"/>
        <w:jc w:val="both"/>
        <w:rPr>
          <w:rFonts w:ascii="Book Antiqua" w:hAnsi="Book Antiqua"/>
          <w:i/>
        </w:rPr>
      </w:pPr>
    </w:p>
    <w:p w14:paraId="580BFCA9" w14:textId="77777777" w:rsidR="00E317C4" w:rsidRPr="00E3232D" w:rsidRDefault="00E317C4" w:rsidP="00F26850">
      <w:pPr>
        <w:pStyle w:val="NoSpacing"/>
        <w:spacing w:line="276" w:lineRule="auto"/>
        <w:jc w:val="both"/>
        <w:rPr>
          <w:rFonts w:ascii="Book Antiqua" w:hAnsi="Book Antiqua"/>
          <w:i/>
        </w:rPr>
      </w:pPr>
      <w:r w:rsidRPr="00E3232D">
        <w:rPr>
          <w:rFonts w:ascii="Book Antiqua" w:hAnsi="Book Antiqua"/>
          <w:i/>
        </w:rPr>
        <w:t xml:space="preserve">ω </w:t>
      </w:r>
      <w:r w:rsidRPr="00E3232D">
        <w:rPr>
          <w:rFonts w:ascii="Book Antiqua" w:hAnsi="Book Antiqua"/>
        </w:rPr>
        <w:t>implies</w:t>
      </w:r>
      <w:r w:rsidRPr="00E3232D">
        <w:rPr>
          <w:rFonts w:ascii="Book Antiqua" w:hAnsi="Book Antiqua"/>
          <w:i/>
        </w:rPr>
        <w:t xml:space="preserve"> </w:t>
      </w:r>
      <w:r w:rsidRPr="00E3232D">
        <w:rPr>
          <w:rFonts w:ascii="Book Antiqua" w:hAnsi="Book Antiqua"/>
        </w:rPr>
        <w:t xml:space="preserve"> resonance leading to vibration  and knocking off the jumper, subsequently loss of power in one phase</w:t>
      </w:r>
    </w:p>
    <w:p w14:paraId="5EE8C333" w14:textId="77777777" w:rsidR="00E317C4" w:rsidRPr="00E3232D" w:rsidRDefault="00E317C4" w:rsidP="00F26850">
      <w:pPr>
        <w:pStyle w:val="NoSpacing"/>
        <w:spacing w:line="276" w:lineRule="auto"/>
        <w:jc w:val="both"/>
        <w:rPr>
          <w:rFonts w:ascii="Book Antiqua" w:hAnsi="Book Antiqua"/>
          <w:b/>
        </w:rPr>
      </w:pPr>
    </w:p>
    <w:p w14:paraId="22955345" w14:textId="77777777" w:rsidR="00E317C4" w:rsidRPr="00E3232D" w:rsidRDefault="00136F0B" w:rsidP="00F26850">
      <w:pPr>
        <w:pStyle w:val="NoSpacing"/>
        <w:spacing w:line="276" w:lineRule="auto"/>
        <w:jc w:val="both"/>
        <w:rPr>
          <w:rFonts w:ascii="Book Antiqua" w:hAnsi="Book Antiqua"/>
          <w:i/>
        </w:rPr>
      </w:pPr>
      <w:r>
        <w:rPr>
          <w:rFonts w:ascii="Book Antiqua" w:hAnsi="Book Antiqua"/>
          <w:b/>
        </w:rPr>
        <w:t>4</w:t>
      </w:r>
      <w:r w:rsidR="00E317C4" w:rsidRPr="00E3232D">
        <w:rPr>
          <w:rFonts w:ascii="Book Antiqua" w:hAnsi="Book Antiqua"/>
          <w:b/>
        </w:rPr>
        <w:t>.3.2 Loss of</w:t>
      </w:r>
      <w:r w:rsidR="00E317C4" w:rsidRPr="00E3232D">
        <w:rPr>
          <w:rFonts w:ascii="Book Antiqua" w:hAnsi="Book Antiqua"/>
        </w:rPr>
        <w:t xml:space="preserve"> </w:t>
      </w:r>
      <w:r w:rsidR="00E317C4" w:rsidRPr="00E3232D">
        <w:rPr>
          <w:rFonts w:ascii="Book Antiqua" w:hAnsi="Book Antiqua"/>
          <w:b/>
        </w:rPr>
        <w:t>synchronism</w:t>
      </w:r>
    </w:p>
    <w:p w14:paraId="55A84C71"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ECG supply voltage dropping to 4.8 – 5.2 kV might have caused TOR’s generator to fall out of synchronism since even 5.2 kV is far below the generator’s minimum operating voltage of 5.985 kV and under voltage protection relay (27) setting of 90 % or 5.4 kV[8].</w:t>
      </w:r>
    </w:p>
    <w:p w14:paraId="348964BE" w14:textId="77777777" w:rsidR="00E317C4" w:rsidRPr="00E3232D" w:rsidRDefault="00E317C4" w:rsidP="00F26850">
      <w:pPr>
        <w:pStyle w:val="NoSpacing"/>
        <w:spacing w:line="276" w:lineRule="auto"/>
        <w:ind w:left="1440"/>
        <w:jc w:val="both"/>
        <w:rPr>
          <w:rFonts w:ascii="Book Antiqua" w:hAnsi="Book Antiqua"/>
          <w:b/>
        </w:rPr>
      </w:pPr>
    </w:p>
    <w:p w14:paraId="15EA90C3" w14:textId="77777777" w:rsidR="00E317C4" w:rsidRPr="00E3232D" w:rsidRDefault="00136F0B" w:rsidP="00F26850">
      <w:pPr>
        <w:pStyle w:val="NoSpacing"/>
        <w:spacing w:line="276" w:lineRule="auto"/>
        <w:jc w:val="both"/>
        <w:rPr>
          <w:rFonts w:ascii="Book Antiqua" w:hAnsi="Book Antiqua"/>
          <w:b/>
        </w:rPr>
      </w:pPr>
      <w:r>
        <w:rPr>
          <w:rFonts w:ascii="Book Antiqua" w:hAnsi="Book Antiqua"/>
          <w:b/>
        </w:rPr>
        <w:t>4</w:t>
      </w:r>
      <w:r w:rsidR="00E317C4" w:rsidRPr="00E3232D">
        <w:rPr>
          <w:rFonts w:ascii="Book Antiqua" w:hAnsi="Book Antiqua"/>
          <w:b/>
        </w:rPr>
        <w:t>.4 Triggering of the reverse power</w:t>
      </w:r>
    </w:p>
    <w:p w14:paraId="62C0441B"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generator had been synchronised to ECG’s distribution system with the intention of easing the generator of some load because of the deteriorating air ejector inter-condenser steam pressure which affected the extraction of turbine exhaust steam. However CB 13 did not open leading to the tripping of the generator 5 minutes later when the reverse power relay was triggered.</w:t>
      </w:r>
    </w:p>
    <w:p w14:paraId="0501B3A7" w14:textId="77777777" w:rsidR="00E317C4" w:rsidRPr="00E3232D" w:rsidRDefault="00E317C4" w:rsidP="00F26850">
      <w:pPr>
        <w:pStyle w:val="NoSpacing"/>
        <w:spacing w:line="276" w:lineRule="auto"/>
        <w:jc w:val="both"/>
        <w:rPr>
          <w:rFonts w:ascii="Book Antiqua" w:hAnsi="Book Antiqua"/>
        </w:rPr>
      </w:pPr>
    </w:p>
    <w:p w14:paraId="2D55BA1A" w14:textId="77777777" w:rsidR="00E317C4" w:rsidRPr="00E3232D" w:rsidRDefault="00E317C4" w:rsidP="00196385">
      <w:pPr>
        <w:pStyle w:val="NoSpacing"/>
        <w:numPr>
          <w:ilvl w:val="2"/>
          <w:numId w:val="182"/>
        </w:numPr>
        <w:spacing w:line="276" w:lineRule="auto"/>
        <w:jc w:val="both"/>
        <w:rPr>
          <w:rFonts w:ascii="Book Antiqua" w:hAnsi="Book Antiqua"/>
          <w:b/>
        </w:rPr>
      </w:pPr>
      <w:r w:rsidRPr="00E3232D">
        <w:rPr>
          <w:rFonts w:ascii="Book Antiqua" w:hAnsi="Book Antiqua"/>
          <w:b/>
        </w:rPr>
        <w:t>Power- load angle  (P-δ)curve</w:t>
      </w:r>
    </w:p>
    <w:p w14:paraId="4CD14645"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 xml:space="preserve">The power-load angle curve can be useful in interpreting the events that led to the tripping of the generator.  </w:t>
      </w:r>
    </w:p>
    <w:p w14:paraId="1381A235" w14:textId="77777777" w:rsidR="00E317C4" w:rsidRPr="00E3232D" w:rsidRDefault="00E317C4" w:rsidP="00F26850">
      <w:pPr>
        <w:pStyle w:val="NoSpacing"/>
        <w:spacing w:line="276" w:lineRule="auto"/>
        <w:jc w:val="both"/>
        <w:rPr>
          <w:rFonts w:ascii="Book Antiqua" w:hAnsi="Book Antiqua"/>
        </w:rPr>
      </w:pPr>
    </w:p>
    <w:p w14:paraId="6F387643" w14:textId="77777777" w:rsidR="00E317C4" w:rsidRPr="00E3232D" w:rsidRDefault="00136F0B" w:rsidP="00F26850">
      <w:pPr>
        <w:pStyle w:val="NoSpacing"/>
        <w:spacing w:line="276" w:lineRule="auto"/>
        <w:jc w:val="both"/>
        <w:rPr>
          <w:rFonts w:ascii="Book Antiqua" w:hAnsi="Book Antiqua"/>
          <w:b/>
        </w:rPr>
      </w:pPr>
      <w:r>
        <w:rPr>
          <w:rFonts w:ascii="Book Antiqua" w:hAnsi="Book Antiqua"/>
          <w:b/>
        </w:rPr>
        <w:t>4</w:t>
      </w:r>
      <w:r w:rsidR="00E317C4" w:rsidRPr="00E3232D">
        <w:rPr>
          <w:rFonts w:ascii="Book Antiqua" w:hAnsi="Book Antiqua"/>
          <w:b/>
        </w:rPr>
        <w:t>.4.1.1 Pre-fault mode of the generator</w:t>
      </w:r>
    </w:p>
    <w:p w14:paraId="641DCC38" w14:textId="77777777" w:rsidR="00E317C4" w:rsidRPr="00E3232D" w:rsidRDefault="00E317C4" w:rsidP="00F26850">
      <w:pPr>
        <w:pStyle w:val="NoSpacing"/>
        <w:spacing w:line="276" w:lineRule="auto"/>
        <w:jc w:val="both"/>
        <w:rPr>
          <w:rFonts w:ascii="Book Antiqua" w:hAnsi="Book Antiqua"/>
        </w:rPr>
      </w:pPr>
      <w:r w:rsidRPr="00E3232D">
        <w:rPr>
          <w:rFonts w:ascii="Book Antiqua" w:hAnsi="Book Antiqua"/>
        </w:rPr>
        <w:t>The behaviour of the generator during steady state operation is represented by P-</w:t>
      </w:r>
      <w:r w:rsidRPr="00E3232D">
        <w:rPr>
          <w:rFonts w:ascii="Book Antiqua" w:hAnsi="Book Antiqua"/>
          <w:b/>
        </w:rPr>
        <w:t xml:space="preserve"> </w:t>
      </w:r>
      <w:r w:rsidRPr="00E3232D">
        <w:rPr>
          <w:rFonts w:ascii="Book Antiqua" w:hAnsi="Book Antiqua"/>
        </w:rPr>
        <w:t xml:space="preserve">δ curve </w:t>
      </w:r>
      <w:r w:rsidRPr="00E3232D">
        <w:rPr>
          <w:rFonts w:ascii="MS Mincho" w:eastAsia="MS Mincho" w:hAnsi="MS Mincho" w:cs="MS Mincho" w:hint="eastAsia"/>
        </w:rPr>
        <w:t>①</w:t>
      </w:r>
      <w:r w:rsidRPr="00E3232D">
        <w:rPr>
          <w:rFonts w:ascii="Book Antiqua" w:hAnsi="Book Antiqua"/>
        </w:rPr>
        <w:t xml:space="preserve"> in fig. 5.3. During normal disturbances such as the start-up and stopping of small and medium loads the generation characteristics of the generator is denoted by m</w:t>
      </w:r>
      <w:r w:rsidRPr="00E3232D">
        <w:rPr>
          <w:rFonts w:ascii="Book Antiqua" w:hAnsi="Book Antiqua"/>
          <w:vertAlign w:val="subscript"/>
        </w:rPr>
        <w:t>1</w:t>
      </w:r>
      <w:r w:rsidRPr="00E3232D">
        <w:rPr>
          <w:rFonts w:ascii="Book Antiqua" w:hAnsi="Book Antiqua"/>
        </w:rPr>
        <w:t xml:space="preserve"> along curve </w:t>
      </w:r>
      <w:r w:rsidRPr="00E3232D">
        <w:rPr>
          <w:rFonts w:ascii="MS Mincho" w:eastAsia="MS Mincho" w:hAnsi="MS Mincho" w:cs="MS Mincho" w:hint="eastAsia"/>
        </w:rPr>
        <w:t>①</w:t>
      </w:r>
      <w:r w:rsidRPr="00E3232D">
        <w:rPr>
          <w:rFonts w:ascii="Book Antiqua" w:hAnsi="Book Antiqua"/>
        </w:rPr>
        <w:t xml:space="preserve"> with the load angle of the generator, δ oscillating over the range δ</w:t>
      </w:r>
      <w:r w:rsidRPr="00E3232D">
        <w:rPr>
          <w:rFonts w:ascii="Book Antiqua" w:hAnsi="Book Antiqua"/>
          <w:vertAlign w:val="subscript"/>
        </w:rPr>
        <w:t xml:space="preserve"> 1</w:t>
      </w:r>
      <w:r w:rsidRPr="00E3232D">
        <w:rPr>
          <w:rFonts w:ascii="Book Antiqua" w:hAnsi="Book Antiqua"/>
        </w:rPr>
        <w:t xml:space="preserve"> &lt; δ &lt; δ</w:t>
      </w:r>
      <w:r w:rsidRPr="00E3232D">
        <w:rPr>
          <w:rFonts w:ascii="Book Antiqua" w:hAnsi="Book Antiqua"/>
          <w:vertAlign w:val="subscript"/>
        </w:rPr>
        <w:t xml:space="preserve"> 2</w:t>
      </w:r>
      <w:r w:rsidRPr="00E3232D">
        <w:rPr>
          <w:rFonts w:ascii="Book Antiqua" w:hAnsi="Book Antiqua"/>
        </w:rPr>
        <w:t xml:space="preserve"> based on governor response until m</w:t>
      </w:r>
      <w:r w:rsidRPr="00E3232D">
        <w:rPr>
          <w:rFonts w:ascii="Book Antiqua" w:hAnsi="Book Antiqua"/>
          <w:vertAlign w:val="subscript"/>
        </w:rPr>
        <w:t>1</w:t>
      </w:r>
      <w:r w:rsidRPr="00E3232D">
        <w:rPr>
          <w:rFonts w:ascii="Book Antiqua" w:hAnsi="Book Antiqua"/>
          <w:b/>
        </w:rPr>
        <w:t xml:space="preserve"> </w:t>
      </w:r>
      <w:r w:rsidRPr="00E3232D">
        <w:rPr>
          <w:rFonts w:ascii="Book Antiqua" w:hAnsi="Book Antiqua"/>
        </w:rPr>
        <w:t>returns to its initial spot ‘a’ on the curve with the corresponding steady state or initial load angle, δ</w:t>
      </w:r>
      <w:r w:rsidRPr="00E3232D">
        <w:rPr>
          <w:rFonts w:ascii="Book Antiqua" w:hAnsi="Book Antiqua"/>
          <w:b/>
          <w:vertAlign w:val="subscript"/>
        </w:rPr>
        <w:t xml:space="preserve"> 0 </w:t>
      </w:r>
      <w:r w:rsidRPr="00E3232D">
        <w:rPr>
          <w:rFonts w:ascii="Book Antiqua" w:hAnsi="Book Antiqua"/>
        </w:rPr>
        <w:t>. The return of the generator to the steady state is possible because the mechanical power delivered by the turbine is approximately equal to the electrical power generated. [10]</w:t>
      </w:r>
      <w:r w:rsidRPr="00E3232D">
        <w:rPr>
          <w:rFonts w:ascii="Book Antiqua" w:hAnsi="Book Antiqua"/>
          <w:b/>
          <w:vertAlign w:val="subscript"/>
        </w:rPr>
        <w:t xml:space="preserve">. </w:t>
      </w:r>
      <w:r w:rsidRPr="00E3232D">
        <w:rPr>
          <w:rFonts w:ascii="Book Antiqua" w:hAnsi="Book Antiqua"/>
        </w:rPr>
        <w:t>The steady behaviour of the generator in relation to time is illustrated in fig.5.1.</w:t>
      </w:r>
    </w:p>
    <w:p w14:paraId="66305F20" w14:textId="77777777" w:rsidR="00F26850" w:rsidRPr="00E3232D" w:rsidRDefault="00F26850" w:rsidP="00F26850">
      <w:pPr>
        <w:pStyle w:val="NoSpacing"/>
        <w:spacing w:line="276" w:lineRule="auto"/>
        <w:jc w:val="both"/>
        <w:rPr>
          <w:rFonts w:ascii="Book Antiqua" w:hAnsi="Book Antiqua"/>
        </w:rPr>
        <w:sectPr w:rsidR="00F26850" w:rsidRPr="00E3232D" w:rsidSect="008F6BC9">
          <w:type w:val="continuous"/>
          <w:pgSz w:w="11907" w:h="16839" w:code="9"/>
          <w:pgMar w:top="1440" w:right="1440" w:bottom="1440" w:left="1440" w:header="720" w:footer="720" w:gutter="0"/>
          <w:cols w:num="2" w:space="720"/>
          <w:docGrid w:linePitch="360"/>
        </w:sectPr>
      </w:pPr>
    </w:p>
    <w:p w14:paraId="68BE4635" w14:textId="77777777" w:rsidR="00E317C4" w:rsidRPr="00E3232D" w:rsidRDefault="000F43FE" w:rsidP="008275E1">
      <w:pPr>
        <w:pStyle w:val="NoSpacing"/>
        <w:spacing w:line="276" w:lineRule="auto"/>
        <w:rPr>
          <w:rFonts w:ascii="Book Antiqua" w:hAnsi="Book Antiqua"/>
        </w:rPr>
      </w:pPr>
      <w:r>
        <w:rPr>
          <w:rFonts w:ascii="Book Antiqua" w:hAnsi="Book Antiqua"/>
        </w:rPr>
        <w:t xml:space="preserve">           </w:t>
      </w:r>
    </w:p>
    <w:p w14:paraId="66985B8F" w14:textId="77777777" w:rsidR="00C2719D" w:rsidRDefault="00E317C4" w:rsidP="008275E1">
      <w:pPr>
        <w:pStyle w:val="NoSpacing"/>
        <w:spacing w:line="276" w:lineRule="auto"/>
        <w:rPr>
          <w:rFonts w:ascii="Book Antiqua" w:hAnsi="Book Antiqua"/>
        </w:rPr>
      </w:pPr>
      <w:r w:rsidRPr="00E3232D">
        <w:rPr>
          <w:rFonts w:ascii="Book Antiqua" w:hAnsi="Book Antiqua"/>
        </w:rPr>
        <w:t xml:space="preserve">                 </w:t>
      </w:r>
    </w:p>
    <w:p w14:paraId="7DFD63E6" w14:textId="77777777" w:rsidR="00C2719D" w:rsidRDefault="00C2719D" w:rsidP="008275E1">
      <w:pPr>
        <w:pStyle w:val="NoSpacing"/>
        <w:spacing w:line="276" w:lineRule="auto"/>
        <w:rPr>
          <w:rFonts w:ascii="Book Antiqua" w:hAnsi="Book Antiqua"/>
        </w:rPr>
      </w:pPr>
    </w:p>
    <w:p w14:paraId="7CEE5E6B" w14:textId="77777777" w:rsidR="00C2719D" w:rsidRDefault="00C2719D" w:rsidP="008275E1">
      <w:pPr>
        <w:pStyle w:val="NoSpacing"/>
        <w:spacing w:line="276" w:lineRule="auto"/>
        <w:rPr>
          <w:rFonts w:ascii="Book Antiqua" w:hAnsi="Book Antiqua"/>
        </w:rPr>
      </w:pPr>
    </w:p>
    <w:p w14:paraId="5FA9366A" w14:textId="77777777" w:rsidR="00E317C4" w:rsidRPr="00E3232D" w:rsidRDefault="00E317C4" w:rsidP="008275E1">
      <w:pPr>
        <w:pStyle w:val="NoSpacing"/>
        <w:spacing w:line="276" w:lineRule="auto"/>
        <w:rPr>
          <w:rFonts w:ascii="Book Antiqua" w:hAnsi="Book Antiqua"/>
        </w:rPr>
      </w:pPr>
    </w:p>
    <w:p w14:paraId="799970F9" w14:textId="77777777" w:rsidR="00E317C4" w:rsidRPr="00E3232D" w:rsidRDefault="00E317C4" w:rsidP="008275E1">
      <w:pPr>
        <w:pStyle w:val="NoSpacing"/>
        <w:spacing w:line="276" w:lineRule="auto"/>
        <w:rPr>
          <w:rFonts w:ascii="Book Antiqua" w:hAnsi="Book Antiqua"/>
        </w:rPr>
      </w:pPr>
    </w:p>
    <w:p w14:paraId="0E8FF2F3" w14:textId="77777777" w:rsidR="00E317C4" w:rsidRPr="00E3232D" w:rsidRDefault="00E317C4" w:rsidP="008275E1">
      <w:pPr>
        <w:pStyle w:val="NoSpacing"/>
        <w:spacing w:line="276" w:lineRule="auto"/>
        <w:rPr>
          <w:rFonts w:ascii="Book Antiqua" w:hAnsi="Book Antiqua"/>
        </w:rPr>
      </w:pPr>
    </w:p>
    <w:p w14:paraId="43681CBC" w14:textId="77777777" w:rsidR="00E317C4" w:rsidRPr="00E3232D" w:rsidRDefault="00E317C4" w:rsidP="008275E1">
      <w:pPr>
        <w:pStyle w:val="NoSpacing"/>
        <w:spacing w:line="276" w:lineRule="auto"/>
        <w:rPr>
          <w:rFonts w:ascii="Book Antiqua" w:hAnsi="Book Antiqua"/>
        </w:rPr>
      </w:pPr>
    </w:p>
    <w:p w14:paraId="0C232494" w14:textId="77777777" w:rsidR="00C2719D" w:rsidRDefault="00C2719D" w:rsidP="008275E1">
      <w:pPr>
        <w:pStyle w:val="NoSpacing"/>
        <w:spacing w:line="276" w:lineRule="auto"/>
        <w:rPr>
          <w:rFonts w:ascii="Book Antiqua" w:hAnsi="Book Antiqua"/>
        </w:rPr>
      </w:pPr>
    </w:p>
    <w:p w14:paraId="3B3EF1CC" w14:textId="77777777" w:rsidR="00C2719D" w:rsidRDefault="00C2719D" w:rsidP="008275E1">
      <w:pPr>
        <w:pStyle w:val="NoSpacing"/>
        <w:spacing w:line="276" w:lineRule="auto"/>
        <w:rPr>
          <w:rFonts w:ascii="Book Antiqua" w:hAnsi="Book Antiqua"/>
        </w:rPr>
      </w:pPr>
    </w:p>
    <w:p w14:paraId="78CEE324" w14:textId="77777777" w:rsidR="00E317C4" w:rsidRPr="00E3232D" w:rsidRDefault="00E317C4" w:rsidP="008275E1">
      <w:pPr>
        <w:pStyle w:val="NoSpacing"/>
        <w:spacing w:line="276" w:lineRule="auto"/>
        <w:rPr>
          <w:rFonts w:ascii="Book Antiqua" w:hAnsi="Book Antiqua"/>
          <w:b/>
        </w:rPr>
        <w:sectPr w:rsidR="00E317C4" w:rsidRPr="00E3232D" w:rsidSect="008F6BC9">
          <w:type w:val="continuous"/>
          <w:pgSz w:w="11907" w:h="16839" w:code="9"/>
          <w:pgMar w:top="1440" w:right="1440" w:bottom="1440" w:left="1440" w:header="720" w:footer="720" w:gutter="0"/>
          <w:cols w:num="2" w:space="720"/>
          <w:docGrid w:linePitch="360"/>
        </w:sectPr>
      </w:pPr>
    </w:p>
    <w:p w14:paraId="33ECD996" w14:textId="77777777" w:rsidR="00C2719D" w:rsidRDefault="00850DC5" w:rsidP="008275E1">
      <w:pPr>
        <w:pStyle w:val="NoSpacing"/>
        <w:spacing w:line="276" w:lineRule="auto"/>
        <w:rPr>
          <w:rFonts w:ascii="Book Antiqua" w:hAnsi="Book Antiqua"/>
          <w:b/>
        </w:rPr>
      </w:pPr>
      <w:r>
        <w:rPr>
          <w:rFonts w:ascii="Book Antiqua" w:hAnsi="Book Antiqua"/>
          <w:noProof/>
        </w:rPr>
        <w:pict w14:anchorId="316CCC95">
          <v:group id="_x0000_s1342" style="position:absolute;margin-left:12.85pt;margin-top:-33.85pt;width:217.5pt;height:179.25pt;z-index:251540992" coordorigin="2580,10699" coordsize="4350,3585">
            <v:shape id="_x0000_s1343" style="position:absolute;left:2655;top:11002;width:3960;height:3052;rotation:196933fd" coordsize="3885,3052" path="m,1750c97,875,195,,390,205v195,205,595,2703,780,2775c1355,3052,1355,725,1500,640v145,-85,400,1755,540,1830c2180,2545,2230,1147,2340,1090v110,-57,268,978,360,1035c2792,2182,2828,1488,2895,1435v67,-53,153,357,210,375c3162,1828,3195,1575,3240,1540v45,-35,92,35,135,60c3418,1625,3468,1692,3495,1690v27,-2,15,-93,45,-105c3570,1573,3618,1608,3675,1615v57,7,175,13,210,15e" filled="f">
              <v:path arrowok="t"/>
            </v:shape>
            <v:shape id="_x0000_s1344" type="#_x0000_t32" style="position:absolute;left:2655;top:12634;width:4275;height:91" o:connectortype="straight">
              <v:stroke endarrow="block"/>
            </v:shape>
            <v:shape id="_x0000_s1345" type="#_x0000_t32" style="position:absolute;left:2580;top:10699;width:75;height:3585;flip:x" o:connectortype="straight">
              <v:stroke startarrow="block" endarrow="block"/>
            </v:shape>
          </v:group>
        </w:pict>
      </w:r>
    </w:p>
    <w:p w14:paraId="20640C90" w14:textId="77777777" w:rsidR="00C2719D" w:rsidRDefault="00C2719D" w:rsidP="008275E1">
      <w:pPr>
        <w:pStyle w:val="NoSpacing"/>
        <w:spacing w:line="276" w:lineRule="auto"/>
        <w:rPr>
          <w:rFonts w:ascii="Book Antiqua" w:hAnsi="Book Antiqua"/>
          <w:b/>
        </w:rPr>
      </w:pPr>
    </w:p>
    <w:p w14:paraId="3942A536" w14:textId="77777777" w:rsidR="00C2719D" w:rsidRDefault="00C2719D" w:rsidP="008275E1">
      <w:pPr>
        <w:pStyle w:val="NoSpacing"/>
        <w:spacing w:line="276" w:lineRule="auto"/>
        <w:rPr>
          <w:rFonts w:ascii="Book Antiqua" w:hAnsi="Book Antiqua"/>
          <w:b/>
        </w:rPr>
      </w:pPr>
    </w:p>
    <w:p w14:paraId="4CC8EB99" w14:textId="77777777" w:rsidR="00C2719D" w:rsidRDefault="00C2719D" w:rsidP="008275E1">
      <w:pPr>
        <w:pStyle w:val="NoSpacing"/>
        <w:spacing w:line="276" w:lineRule="auto"/>
        <w:rPr>
          <w:rFonts w:ascii="Book Antiqua" w:hAnsi="Book Antiqua"/>
          <w:b/>
        </w:rPr>
      </w:pPr>
    </w:p>
    <w:p w14:paraId="53032466" w14:textId="77777777" w:rsidR="00C2719D" w:rsidRDefault="00C2719D" w:rsidP="008275E1">
      <w:pPr>
        <w:pStyle w:val="NoSpacing"/>
        <w:spacing w:line="276" w:lineRule="auto"/>
        <w:rPr>
          <w:rFonts w:ascii="Book Antiqua" w:hAnsi="Book Antiqua"/>
          <w:b/>
        </w:rPr>
      </w:pPr>
    </w:p>
    <w:p w14:paraId="3A983266" w14:textId="77777777" w:rsidR="00C2719D" w:rsidRDefault="00C2719D" w:rsidP="008275E1">
      <w:pPr>
        <w:pStyle w:val="NoSpacing"/>
        <w:spacing w:line="276" w:lineRule="auto"/>
        <w:rPr>
          <w:rFonts w:ascii="Book Antiqua" w:hAnsi="Book Antiqua"/>
          <w:b/>
        </w:rPr>
      </w:pPr>
    </w:p>
    <w:p w14:paraId="7BD2489F" w14:textId="77777777" w:rsidR="00C2719D" w:rsidRDefault="00C2719D" w:rsidP="008275E1">
      <w:pPr>
        <w:pStyle w:val="NoSpacing"/>
        <w:spacing w:line="276" w:lineRule="auto"/>
        <w:rPr>
          <w:rFonts w:ascii="Book Antiqua" w:hAnsi="Book Antiqua"/>
          <w:b/>
        </w:rPr>
      </w:pPr>
    </w:p>
    <w:p w14:paraId="4D38E63C" w14:textId="77777777" w:rsidR="00C2719D" w:rsidRDefault="00C2719D" w:rsidP="008275E1">
      <w:pPr>
        <w:pStyle w:val="NoSpacing"/>
        <w:spacing w:line="276" w:lineRule="auto"/>
        <w:rPr>
          <w:rFonts w:ascii="Book Antiqua" w:hAnsi="Book Antiqua"/>
          <w:b/>
        </w:rPr>
      </w:pPr>
    </w:p>
    <w:p w14:paraId="1AE569FC" w14:textId="77777777" w:rsidR="00C2719D" w:rsidRDefault="00C2719D" w:rsidP="00C2719D">
      <w:pPr>
        <w:pStyle w:val="NoSpacing"/>
        <w:spacing w:line="276" w:lineRule="auto"/>
        <w:rPr>
          <w:rFonts w:ascii="Book Antiqua" w:hAnsi="Book Antiqua"/>
          <w:b/>
        </w:rPr>
      </w:pPr>
    </w:p>
    <w:p w14:paraId="6E1FA862" w14:textId="77777777" w:rsidR="00C2719D" w:rsidRDefault="00C2719D" w:rsidP="00C2719D">
      <w:pPr>
        <w:pStyle w:val="NoSpacing"/>
        <w:spacing w:line="276" w:lineRule="auto"/>
        <w:rPr>
          <w:rFonts w:ascii="Book Antiqua" w:hAnsi="Book Antiqua"/>
          <w:b/>
        </w:rPr>
      </w:pPr>
    </w:p>
    <w:p w14:paraId="4F8BAE83" w14:textId="77777777" w:rsidR="00C2719D" w:rsidRPr="000F43FE" w:rsidRDefault="00C2719D" w:rsidP="007B0865">
      <w:pPr>
        <w:pStyle w:val="NoSpacing"/>
        <w:spacing w:line="276" w:lineRule="auto"/>
        <w:jc w:val="both"/>
        <w:rPr>
          <w:rFonts w:ascii="Book Antiqua" w:hAnsi="Book Antiqua"/>
        </w:rPr>
      </w:pPr>
      <w:r w:rsidRPr="00E3232D">
        <w:rPr>
          <w:rFonts w:ascii="Book Antiqua" w:hAnsi="Book Antiqua"/>
          <w:b/>
        </w:rPr>
        <w:t>Fig.5.1 An electrical generator’s response to small disturbance during steady state</w:t>
      </w:r>
    </w:p>
    <w:p w14:paraId="3CB2BB9F" w14:textId="77777777" w:rsidR="00C2719D" w:rsidRDefault="00C2719D" w:rsidP="007B0865">
      <w:pPr>
        <w:pStyle w:val="NoSpacing"/>
        <w:spacing w:line="276" w:lineRule="auto"/>
        <w:jc w:val="both"/>
        <w:rPr>
          <w:rFonts w:ascii="Book Antiqua" w:hAnsi="Book Antiqua"/>
          <w:b/>
        </w:rPr>
      </w:pPr>
    </w:p>
    <w:p w14:paraId="2FD4890C" w14:textId="77777777" w:rsidR="00E317C4" w:rsidRPr="00E3232D" w:rsidRDefault="00136F0B" w:rsidP="007B0865">
      <w:pPr>
        <w:pStyle w:val="NoSpacing"/>
        <w:spacing w:line="276" w:lineRule="auto"/>
        <w:jc w:val="both"/>
        <w:rPr>
          <w:rFonts w:ascii="Book Antiqua" w:hAnsi="Book Antiqua"/>
          <w:b/>
        </w:rPr>
      </w:pPr>
      <w:r>
        <w:rPr>
          <w:rFonts w:ascii="Book Antiqua" w:hAnsi="Book Antiqua"/>
          <w:b/>
        </w:rPr>
        <w:t>4</w:t>
      </w:r>
      <w:r w:rsidR="00E317C4" w:rsidRPr="00E3232D">
        <w:rPr>
          <w:rFonts w:ascii="Book Antiqua" w:hAnsi="Book Antiqua"/>
          <w:b/>
        </w:rPr>
        <w:t xml:space="preserve">.4.1.2 Fault </w:t>
      </w:r>
      <w:r w:rsidR="007B0865" w:rsidRPr="00E3232D">
        <w:rPr>
          <w:rFonts w:ascii="Book Antiqua" w:hAnsi="Book Antiqua"/>
          <w:b/>
        </w:rPr>
        <w:t xml:space="preserve">Mode </w:t>
      </w:r>
      <w:r w:rsidR="00E317C4" w:rsidRPr="00E3232D">
        <w:rPr>
          <w:rFonts w:ascii="Book Antiqua" w:hAnsi="Book Antiqua"/>
          <w:b/>
        </w:rPr>
        <w:t xml:space="preserve">of the </w:t>
      </w:r>
      <w:r w:rsidR="007B0865" w:rsidRPr="00E3232D">
        <w:rPr>
          <w:rFonts w:ascii="Book Antiqua" w:hAnsi="Book Antiqua"/>
          <w:b/>
        </w:rPr>
        <w:t>Generator</w:t>
      </w:r>
    </w:p>
    <w:p w14:paraId="079A5360" w14:textId="77777777" w:rsidR="00E317C4" w:rsidRPr="00E3232D" w:rsidRDefault="00E317C4" w:rsidP="007B0865">
      <w:pPr>
        <w:pStyle w:val="NoSpacing"/>
        <w:spacing w:line="276" w:lineRule="auto"/>
        <w:jc w:val="both"/>
        <w:rPr>
          <w:rFonts w:ascii="Book Antiqua" w:hAnsi="Book Antiqua"/>
        </w:rPr>
      </w:pPr>
      <w:r w:rsidRPr="00E3232D">
        <w:rPr>
          <w:rFonts w:ascii="Book Antiqua" w:hAnsi="Book Antiqua"/>
        </w:rPr>
        <w:t xml:space="preserve">During a huge disturbance such as the start-up or stopping of a large electric motor driving a compressor or pump or a significant drop in steam pressure due to the loss of a boiler or a surge in the demand for steam, the generator enters the transient state. </w:t>
      </w:r>
    </w:p>
    <w:p w14:paraId="467D3E53" w14:textId="77777777" w:rsidR="00E317C4" w:rsidRPr="00E3232D" w:rsidRDefault="00E317C4" w:rsidP="007B0865">
      <w:pPr>
        <w:pStyle w:val="NoSpacing"/>
        <w:spacing w:line="276" w:lineRule="auto"/>
        <w:jc w:val="both"/>
        <w:rPr>
          <w:rFonts w:ascii="Book Antiqua" w:hAnsi="Book Antiqua"/>
        </w:rPr>
      </w:pPr>
    </w:p>
    <w:p w14:paraId="4DCCD5AF" w14:textId="77777777" w:rsidR="00E317C4" w:rsidRPr="00E3232D" w:rsidRDefault="00E317C4" w:rsidP="007B0865">
      <w:pPr>
        <w:pStyle w:val="NoSpacing"/>
        <w:spacing w:line="276" w:lineRule="auto"/>
        <w:jc w:val="both"/>
        <w:rPr>
          <w:rFonts w:ascii="Book Antiqua" w:hAnsi="Book Antiqua"/>
        </w:rPr>
      </w:pPr>
      <w:r w:rsidRPr="00E3232D">
        <w:rPr>
          <w:rFonts w:ascii="Book Antiqua" w:hAnsi="Book Antiqua"/>
        </w:rPr>
        <w:t xml:space="preserve">The behaviour of the generator changes entirely and is depicted in the power -load angle curve in fig.5.3, as curve </w:t>
      </w:r>
      <w:r w:rsidRPr="00E3232D">
        <w:rPr>
          <w:rFonts w:ascii="MS Mincho" w:eastAsia="MS Mincho" w:hAnsi="MS Mincho" w:cs="MS Mincho" w:hint="eastAsia"/>
        </w:rPr>
        <w:t>②</w:t>
      </w:r>
      <w:r w:rsidRPr="00E3232D">
        <w:rPr>
          <w:rFonts w:ascii="Book Antiqua" w:hAnsi="Book Antiqua"/>
        </w:rPr>
        <w:t>. In this mode the mechanical power of the turbine is greater than the electrical energy generated. The generator entered the P</w:t>
      </w:r>
      <w:r w:rsidRPr="00E3232D">
        <w:rPr>
          <w:rFonts w:ascii="Book Antiqua" w:hAnsi="Book Antiqua"/>
          <w:vertAlign w:val="subscript"/>
        </w:rPr>
        <w:t>m</w:t>
      </w:r>
      <w:r w:rsidRPr="00E3232D">
        <w:rPr>
          <w:rFonts w:ascii="Book Antiqua" w:hAnsi="Book Antiqua"/>
        </w:rPr>
        <w:t xml:space="preserve"> &gt; P</w:t>
      </w:r>
      <w:r w:rsidRPr="00E3232D">
        <w:rPr>
          <w:rFonts w:ascii="Book Antiqua" w:hAnsi="Book Antiqua"/>
          <w:vertAlign w:val="subscript"/>
        </w:rPr>
        <w:t>e</w:t>
      </w:r>
      <w:r w:rsidRPr="00E3232D">
        <w:rPr>
          <w:rFonts w:ascii="Book Antiqua" w:hAnsi="Book Antiqua"/>
        </w:rPr>
        <w:t xml:space="preserve"> zone because when the exhaust steam pressure and temperature were probably rising due to deteriorating vacuum, the automatic load-shedding scheme operated to relieve the generator of some load. If the contingency is cleared early enough without the generator entering the alert mode the generator can return to the steady state and the power – load curve will reassume the shape </w:t>
      </w:r>
      <w:r w:rsidRPr="00E3232D">
        <w:rPr>
          <w:rFonts w:ascii="MS Mincho" w:eastAsia="MS Mincho" w:hAnsi="MS Mincho" w:cs="MS Mincho" w:hint="eastAsia"/>
        </w:rPr>
        <w:t>①</w:t>
      </w:r>
      <w:r w:rsidR="007B0865">
        <w:rPr>
          <w:rFonts w:ascii="Book Antiqua" w:hAnsi="Book Antiqua"/>
        </w:rPr>
        <w:t xml:space="preserve"> [11]. The RFCC </w:t>
      </w:r>
      <w:r w:rsidRPr="00E3232D">
        <w:rPr>
          <w:rFonts w:ascii="Book Antiqua" w:hAnsi="Book Antiqua"/>
        </w:rPr>
        <w:t xml:space="preserve">local substation has an automatic changeover switch at the feeders. Hence when the loading shedding occurred it switched over to power supply from busbar A which was alive with power supply from the ECG distribution grid. </w:t>
      </w:r>
    </w:p>
    <w:p w14:paraId="462E8B1E" w14:textId="77777777" w:rsidR="00E317C4" w:rsidRPr="00E3232D" w:rsidRDefault="00E317C4" w:rsidP="007B0865">
      <w:pPr>
        <w:pStyle w:val="NoSpacing"/>
        <w:spacing w:line="276" w:lineRule="auto"/>
        <w:jc w:val="both"/>
        <w:rPr>
          <w:rFonts w:ascii="Book Antiqua" w:hAnsi="Book Antiqua"/>
        </w:rPr>
      </w:pPr>
    </w:p>
    <w:p w14:paraId="029BD0FF" w14:textId="77777777" w:rsidR="00E317C4" w:rsidRPr="00E3232D" w:rsidRDefault="00136F0B" w:rsidP="007B0865">
      <w:pPr>
        <w:pStyle w:val="NoSpacing"/>
        <w:spacing w:line="276" w:lineRule="auto"/>
        <w:jc w:val="both"/>
        <w:rPr>
          <w:rFonts w:ascii="Book Antiqua" w:hAnsi="Book Antiqua"/>
          <w:b/>
        </w:rPr>
      </w:pPr>
      <w:r>
        <w:rPr>
          <w:rFonts w:ascii="Book Antiqua" w:hAnsi="Book Antiqua"/>
          <w:b/>
        </w:rPr>
        <w:t>4</w:t>
      </w:r>
      <w:r w:rsidR="00E317C4" w:rsidRPr="00E3232D">
        <w:rPr>
          <w:rFonts w:ascii="Book Antiqua" w:hAnsi="Book Antiqua"/>
          <w:b/>
        </w:rPr>
        <w:t>.4.1.3 Post-</w:t>
      </w:r>
      <w:r w:rsidR="007B0865" w:rsidRPr="00E3232D">
        <w:rPr>
          <w:rFonts w:ascii="Book Antiqua" w:hAnsi="Book Antiqua"/>
          <w:b/>
        </w:rPr>
        <w:t xml:space="preserve">Fault Mode </w:t>
      </w:r>
      <w:r w:rsidR="00E317C4" w:rsidRPr="00E3232D">
        <w:rPr>
          <w:rFonts w:ascii="Book Antiqua" w:hAnsi="Book Antiqua"/>
          <w:b/>
        </w:rPr>
        <w:t xml:space="preserve">of the </w:t>
      </w:r>
      <w:r w:rsidR="007B0865" w:rsidRPr="00E3232D">
        <w:rPr>
          <w:rFonts w:ascii="Book Antiqua" w:hAnsi="Book Antiqua"/>
          <w:b/>
        </w:rPr>
        <w:t>Generator</w:t>
      </w:r>
    </w:p>
    <w:p w14:paraId="2EAD8AF9" w14:textId="77777777" w:rsidR="00E317C4" w:rsidRPr="00E3232D" w:rsidRDefault="00E317C4" w:rsidP="007B0865">
      <w:pPr>
        <w:pStyle w:val="NoSpacing"/>
        <w:spacing w:line="276" w:lineRule="auto"/>
        <w:jc w:val="both"/>
        <w:rPr>
          <w:rFonts w:ascii="Book Antiqua" w:hAnsi="Book Antiqua"/>
        </w:rPr>
      </w:pPr>
      <w:r w:rsidRPr="00E3232D">
        <w:rPr>
          <w:rFonts w:ascii="Book Antiqua" w:hAnsi="Book Antiqua"/>
        </w:rPr>
        <w:t xml:space="preserve">Depending on how fast the protective relays act, there is still the tendency of the generation characteristic to assume the form exhibited by curve </w:t>
      </w:r>
      <w:r w:rsidRPr="00E3232D">
        <w:rPr>
          <w:rFonts w:ascii="MS Mincho" w:eastAsia="MS Mincho" w:hAnsi="MS Mincho" w:cs="MS Mincho" w:hint="eastAsia"/>
        </w:rPr>
        <w:t>③</w:t>
      </w:r>
      <w:r w:rsidRPr="00E3232D">
        <w:rPr>
          <w:rFonts w:ascii="Book Antiqua" w:hAnsi="Book Antiqua"/>
        </w:rPr>
        <w:t>. This happens if in the fault mode the load angle is allowed to exceed 90°. Once the load angle exceeds 90° it becomes difficult to control it and bring it back to δ</w:t>
      </w:r>
      <w:r w:rsidRPr="00E3232D">
        <w:rPr>
          <w:rFonts w:ascii="Book Antiqua" w:hAnsi="Book Antiqua"/>
          <w:b/>
          <w:vertAlign w:val="subscript"/>
        </w:rPr>
        <w:t xml:space="preserve"> 0 </w:t>
      </w:r>
      <w:r w:rsidRPr="00E3232D">
        <w:rPr>
          <w:rFonts w:ascii="Book Antiqua" w:hAnsi="Book Antiqua"/>
        </w:rPr>
        <w:t xml:space="preserve">to return the generator to steady state. Because the embedded system experienced reverse power five minutes after synchronising as a result of the loss of one phase on the ECG incomer there was the tendency of power-load angle curve to assume the shape, curve </w:t>
      </w:r>
      <w:r w:rsidRPr="00E3232D">
        <w:rPr>
          <w:rFonts w:ascii="MS Mincho" w:eastAsia="MS Mincho" w:hAnsi="MS Mincho" w:cs="MS Mincho" w:hint="eastAsia"/>
        </w:rPr>
        <w:t>③</w:t>
      </w:r>
      <w:r w:rsidRPr="00E3232D">
        <w:rPr>
          <w:rFonts w:ascii="Book Antiqua" w:hAnsi="Book Antiqua"/>
        </w:rPr>
        <w:t>. In this region the mechanical power delivered by the turbine is less than the generated electrical power. The generator decelerates until the load angle reaches the critical angle, δ</w:t>
      </w:r>
      <w:r w:rsidRPr="00E3232D">
        <w:rPr>
          <w:rFonts w:ascii="Book Antiqua" w:hAnsi="Book Antiqua"/>
          <w:b/>
          <w:vertAlign w:val="subscript"/>
        </w:rPr>
        <w:t xml:space="preserve"> c</w:t>
      </w:r>
      <w:r w:rsidRPr="00E3232D">
        <w:rPr>
          <w:rFonts w:ascii="Book Antiqua" w:hAnsi="Book Antiqua"/>
        </w:rPr>
        <w:t xml:space="preserve"> . If the generator continues to decelerate which is highly plausible, it will again enter the region where P</w:t>
      </w:r>
      <w:r w:rsidRPr="00E3232D">
        <w:rPr>
          <w:rFonts w:ascii="Book Antiqua" w:hAnsi="Book Antiqua"/>
          <w:vertAlign w:val="subscript"/>
        </w:rPr>
        <w:t>m</w:t>
      </w:r>
      <w:r w:rsidRPr="00E3232D">
        <w:rPr>
          <w:rFonts w:ascii="Book Antiqua" w:hAnsi="Book Antiqua"/>
        </w:rPr>
        <w:t xml:space="preserve"> &gt; P</w:t>
      </w:r>
      <w:r w:rsidRPr="00E3232D">
        <w:rPr>
          <w:rFonts w:ascii="Book Antiqua" w:hAnsi="Book Antiqua"/>
          <w:vertAlign w:val="subscript"/>
        </w:rPr>
        <w:t>e</w:t>
      </w:r>
      <w:r w:rsidRPr="00E3232D">
        <w:rPr>
          <w:rFonts w:ascii="Book Antiqua" w:hAnsi="Book Antiqua"/>
        </w:rPr>
        <w:t>. The generator regains acceleration here, however since the critical angle has been exceeded the generator will continue moving away from δ</w:t>
      </w:r>
      <w:r w:rsidRPr="00E3232D">
        <w:rPr>
          <w:rFonts w:ascii="Book Antiqua" w:hAnsi="Book Antiqua"/>
          <w:b/>
          <w:vertAlign w:val="subscript"/>
        </w:rPr>
        <w:t xml:space="preserve"> c</w:t>
      </w:r>
      <w:r w:rsidRPr="00E3232D">
        <w:rPr>
          <w:rFonts w:ascii="Book Antiqua" w:hAnsi="Book Antiqua"/>
        </w:rPr>
        <w:t xml:space="preserve"> until it is tripped by high speed or the over-frequency relay.  The phenomenon is illustrated in fig.5.2.</w:t>
      </w:r>
    </w:p>
    <w:p w14:paraId="52B93F1C" w14:textId="77777777" w:rsidR="00E317C4" w:rsidRPr="00E3232D" w:rsidRDefault="00E317C4" w:rsidP="007B0865">
      <w:pPr>
        <w:pStyle w:val="NoSpacing"/>
        <w:spacing w:line="276" w:lineRule="auto"/>
        <w:jc w:val="both"/>
        <w:rPr>
          <w:rFonts w:ascii="Book Antiqua" w:hAnsi="Book Antiqua"/>
        </w:rPr>
        <w:sectPr w:rsidR="00E317C4" w:rsidRPr="00E3232D" w:rsidSect="008F6BC9">
          <w:type w:val="continuous"/>
          <w:pgSz w:w="11907" w:h="16839" w:code="9"/>
          <w:pgMar w:top="1440" w:right="1440" w:bottom="1440" w:left="1440" w:header="720" w:footer="720" w:gutter="0"/>
          <w:cols w:num="2" w:space="720"/>
          <w:docGrid w:linePitch="360"/>
        </w:sectPr>
      </w:pPr>
    </w:p>
    <w:p w14:paraId="27B6FF0C" w14:textId="77777777" w:rsidR="000F43FE" w:rsidRDefault="000F43FE" w:rsidP="007B0865">
      <w:pPr>
        <w:pStyle w:val="NoSpacing"/>
        <w:spacing w:line="276" w:lineRule="auto"/>
        <w:jc w:val="both"/>
        <w:rPr>
          <w:rFonts w:ascii="Book Antiqua" w:hAnsi="Book Antiqua"/>
        </w:rPr>
      </w:pPr>
    </w:p>
    <w:p w14:paraId="32633C16" w14:textId="77777777" w:rsidR="00E317C4" w:rsidRPr="00E3232D" w:rsidRDefault="001A6AB8" w:rsidP="007B0865">
      <w:pPr>
        <w:pStyle w:val="NoSpacing"/>
        <w:spacing w:line="276" w:lineRule="auto"/>
        <w:jc w:val="both"/>
        <w:rPr>
          <w:rFonts w:ascii="Book Antiqua" w:hAnsi="Book Antiqua"/>
        </w:rPr>
      </w:pPr>
      <w:r>
        <w:rPr>
          <w:rFonts w:ascii="Book Antiqua" w:hAnsi="Book Antiqua"/>
        </w:rPr>
        <w:t xml:space="preserve"> </w:t>
      </w:r>
    </w:p>
    <w:p w14:paraId="2404F1D5" w14:textId="77777777" w:rsidR="00E317C4" w:rsidRDefault="00E317C4" w:rsidP="008275E1">
      <w:pPr>
        <w:pStyle w:val="NoSpacing"/>
        <w:spacing w:line="276" w:lineRule="auto"/>
        <w:rPr>
          <w:rFonts w:ascii="Book Antiqua" w:hAnsi="Book Antiqua"/>
          <w:b/>
        </w:rPr>
      </w:pPr>
    </w:p>
    <w:p w14:paraId="6CBE4A0C" w14:textId="77777777" w:rsidR="00C2719D" w:rsidRDefault="00C2719D" w:rsidP="008275E1">
      <w:pPr>
        <w:pStyle w:val="NoSpacing"/>
        <w:spacing w:line="276" w:lineRule="auto"/>
        <w:rPr>
          <w:rFonts w:ascii="Book Antiqua" w:hAnsi="Book Antiqua"/>
          <w:b/>
        </w:rPr>
      </w:pPr>
    </w:p>
    <w:p w14:paraId="5B2BAE1C" w14:textId="77777777" w:rsidR="00C2719D" w:rsidRDefault="00C2719D" w:rsidP="008275E1">
      <w:pPr>
        <w:pStyle w:val="NoSpacing"/>
        <w:spacing w:line="276" w:lineRule="auto"/>
        <w:rPr>
          <w:rFonts w:ascii="Book Antiqua" w:hAnsi="Book Antiqua"/>
          <w:b/>
        </w:rPr>
      </w:pPr>
    </w:p>
    <w:p w14:paraId="35C35CD6" w14:textId="77777777" w:rsidR="00C2719D" w:rsidRDefault="00C2719D" w:rsidP="008275E1">
      <w:pPr>
        <w:pStyle w:val="NoSpacing"/>
        <w:spacing w:line="276" w:lineRule="auto"/>
        <w:rPr>
          <w:rFonts w:ascii="Book Antiqua" w:hAnsi="Book Antiqua"/>
          <w:b/>
        </w:rPr>
      </w:pPr>
    </w:p>
    <w:p w14:paraId="22CD5077" w14:textId="77777777" w:rsidR="00C2719D" w:rsidRDefault="00850DC5" w:rsidP="008275E1">
      <w:pPr>
        <w:pStyle w:val="NoSpacing"/>
        <w:spacing w:line="276" w:lineRule="auto"/>
        <w:rPr>
          <w:rFonts w:ascii="Book Antiqua" w:hAnsi="Book Antiqua"/>
          <w:b/>
        </w:rPr>
      </w:pPr>
      <w:r>
        <w:rPr>
          <w:rFonts w:ascii="Book Antiqua" w:hAnsi="Book Antiqua"/>
          <w:b/>
          <w:noProof/>
        </w:rPr>
        <w:pict w14:anchorId="35F15043">
          <v:shape id="_x0000_s1491" type="#_x0000_t32" style="position:absolute;margin-left:7.95pt;margin-top:4.65pt;width:.05pt;height:140.55pt;flip:y;z-index:251690496" o:connectortype="straight">
            <v:stroke endarrow="block"/>
          </v:shape>
        </w:pict>
      </w:r>
      <w:r>
        <w:rPr>
          <w:rFonts w:ascii="Book Antiqua" w:hAnsi="Book Antiqua"/>
          <w:b/>
          <w:noProof/>
        </w:rPr>
        <w:pict w14:anchorId="05A0F5E8">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500" type="#_x0000_t19" style="position:absolute;margin-left:8pt;margin-top:8.4pt;width:224.25pt;height:136.8pt;flip:y;z-index:251699712" coordsize="21622,21600" adj="-5902071,,22" path="wr-21578,,21622,43200,,,21622,21600nfewr-21578,,21622,43200,,,21622,21600l22,21600nsxe">
            <v:path o:connectlocs="0,0;21622,21600;22,21600"/>
          </v:shape>
        </w:pict>
      </w:r>
    </w:p>
    <w:p w14:paraId="3994AD16" w14:textId="77777777" w:rsidR="00C2719D" w:rsidRPr="00E3232D" w:rsidRDefault="00C2719D" w:rsidP="008275E1">
      <w:pPr>
        <w:pStyle w:val="NoSpacing"/>
        <w:spacing w:line="276" w:lineRule="auto"/>
        <w:rPr>
          <w:rFonts w:ascii="Book Antiqua" w:hAnsi="Book Antiqua"/>
          <w:b/>
        </w:rPr>
      </w:pPr>
    </w:p>
    <w:p w14:paraId="17C10640" w14:textId="77777777" w:rsidR="00E317C4" w:rsidRPr="00E3232D" w:rsidRDefault="00E317C4" w:rsidP="008275E1">
      <w:pPr>
        <w:pStyle w:val="NoSpacing"/>
        <w:spacing w:line="276" w:lineRule="auto"/>
        <w:rPr>
          <w:rFonts w:ascii="Book Antiqua" w:hAnsi="Book Antiqua"/>
          <w:b/>
        </w:rPr>
      </w:pPr>
    </w:p>
    <w:p w14:paraId="6319963F" w14:textId="77777777" w:rsidR="00E317C4" w:rsidRPr="00E3232D" w:rsidRDefault="00E317C4" w:rsidP="008275E1">
      <w:pPr>
        <w:pStyle w:val="NoSpacing"/>
        <w:spacing w:line="276" w:lineRule="auto"/>
        <w:rPr>
          <w:rFonts w:ascii="Book Antiqua" w:hAnsi="Book Antiqua"/>
          <w:b/>
        </w:rPr>
      </w:pPr>
    </w:p>
    <w:p w14:paraId="67A5D649" w14:textId="77777777" w:rsidR="00E317C4" w:rsidRPr="00E3232D" w:rsidRDefault="00E317C4" w:rsidP="008275E1">
      <w:pPr>
        <w:pStyle w:val="NoSpacing"/>
        <w:spacing w:line="276" w:lineRule="auto"/>
        <w:rPr>
          <w:rFonts w:ascii="Book Antiqua" w:hAnsi="Book Antiqua"/>
          <w:b/>
        </w:rPr>
      </w:pPr>
    </w:p>
    <w:p w14:paraId="601AA1D5" w14:textId="77777777" w:rsidR="00E317C4" w:rsidRPr="00E3232D" w:rsidRDefault="00E317C4" w:rsidP="008275E1">
      <w:pPr>
        <w:pStyle w:val="NoSpacing"/>
        <w:spacing w:line="276" w:lineRule="auto"/>
        <w:rPr>
          <w:rFonts w:ascii="Book Antiqua" w:hAnsi="Book Antiqua"/>
          <w:b/>
        </w:rPr>
      </w:pPr>
    </w:p>
    <w:p w14:paraId="78BF571F" w14:textId="77777777" w:rsidR="00E317C4" w:rsidRPr="00E3232D" w:rsidRDefault="00E317C4" w:rsidP="008275E1">
      <w:pPr>
        <w:pStyle w:val="NoSpacing"/>
        <w:spacing w:line="276" w:lineRule="auto"/>
        <w:rPr>
          <w:rFonts w:ascii="Book Antiqua" w:hAnsi="Book Antiqua"/>
          <w:b/>
        </w:rPr>
      </w:pPr>
    </w:p>
    <w:p w14:paraId="5F7E2BEF" w14:textId="77777777" w:rsidR="00E317C4" w:rsidRPr="00E3232D" w:rsidRDefault="00E317C4" w:rsidP="008275E1">
      <w:pPr>
        <w:pStyle w:val="NoSpacing"/>
        <w:spacing w:line="276" w:lineRule="auto"/>
        <w:rPr>
          <w:rFonts w:ascii="Book Antiqua" w:hAnsi="Book Antiqua"/>
          <w:b/>
        </w:rPr>
      </w:pPr>
    </w:p>
    <w:p w14:paraId="06684A6B" w14:textId="77777777" w:rsidR="00E317C4" w:rsidRPr="00E3232D" w:rsidRDefault="00E317C4" w:rsidP="008275E1">
      <w:pPr>
        <w:pStyle w:val="NoSpacing"/>
        <w:spacing w:line="276" w:lineRule="auto"/>
        <w:rPr>
          <w:rFonts w:ascii="Book Antiqua" w:hAnsi="Book Antiqua"/>
          <w:b/>
        </w:rPr>
      </w:pPr>
    </w:p>
    <w:p w14:paraId="69FB8F22" w14:textId="77777777" w:rsidR="00E317C4" w:rsidRPr="00E3232D" w:rsidRDefault="00E317C4" w:rsidP="008275E1">
      <w:pPr>
        <w:pStyle w:val="NoSpacing"/>
        <w:spacing w:line="276" w:lineRule="auto"/>
        <w:rPr>
          <w:rFonts w:ascii="Book Antiqua" w:hAnsi="Book Antiqua"/>
        </w:rPr>
      </w:pPr>
      <w:r w:rsidRPr="00E3232D">
        <w:rPr>
          <w:rFonts w:ascii="Book Antiqua" w:hAnsi="Book Antiqua"/>
          <w:b/>
        </w:rPr>
        <w:t xml:space="preserve">                                                                                                                                     </w:t>
      </w:r>
    </w:p>
    <w:p w14:paraId="72AF0841" w14:textId="77777777" w:rsidR="00C2719D" w:rsidRDefault="00C2719D" w:rsidP="008275E1">
      <w:pPr>
        <w:pStyle w:val="NoSpacing"/>
        <w:spacing w:line="276" w:lineRule="auto"/>
        <w:rPr>
          <w:rFonts w:ascii="Book Antiqua" w:hAnsi="Book Antiqua"/>
          <w:b/>
        </w:rPr>
      </w:pPr>
    </w:p>
    <w:p w14:paraId="3FDC9DF3" w14:textId="77777777" w:rsidR="00C2719D" w:rsidRDefault="00C2719D" w:rsidP="008275E1">
      <w:pPr>
        <w:pStyle w:val="NoSpacing"/>
        <w:spacing w:line="276" w:lineRule="auto"/>
        <w:rPr>
          <w:rFonts w:ascii="Book Antiqua" w:hAnsi="Book Antiqua"/>
          <w:b/>
        </w:rPr>
      </w:pPr>
    </w:p>
    <w:p w14:paraId="0DA44255" w14:textId="77777777" w:rsidR="00C2719D" w:rsidRDefault="00C2719D" w:rsidP="008275E1">
      <w:pPr>
        <w:pStyle w:val="NoSpacing"/>
        <w:spacing w:line="276" w:lineRule="auto"/>
        <w:rPr>
          <w:rFonts w:ascii="Book Antiqua" w:hAnsi="Book Antiqua"/>
          <w:b/>
        </w:rPr>
      </w:pPr>
    </w:p>
    <w:p w14:paraId="71915C31" w14:textId="77777777" w:rsidR="00C2719D" w:rsidRDefault="00C2719D" w:rsidP="008275E1">
      <w:pPr>
        <w:pStyle w:val="NoSpacing"/>
        <w:spacing w:line="276" w:lineRule="auto"/>
        <w:rPr>
          <w:rFonts w:ascii="Book Antiqua" w:hAnsi="Book Antiqua"/>
          <w:b/>
        </w:rPr>
      </w:pPr>
    </w:p>
    <w:p w14:paraId="708AAF2C" w14:textId="77777777" w:rsidR="009329AB" w:rsidRDefault="009329AB" w:rsidP="008275E1">
      <w:pPr>
        <w:pStyle w:val="NoSpacing"/>
        <w:spacing w:line="276" w:lineRule="auto"/>
        <w:rPr>
          <w:rFonts w:ascii="Book Antiqua" w:hAnsi="Book Antiqua"/>
          <w:b/>
        </w:rPr>
        <w:sectPr w:rsidR="009329AB" w:rsidSect="008F6BC9">
          <w:type w:val="continuous"/>
          <w:pgSz w:w="11907" w:h="16839" w:code="9"/>
          <w:pgMar w:top="1440" w:right="1440" w:bottom="1440" w:left="1440" w:header="720" w:footer="720" w:gutter="0"/>
          <w:cols w:num="2" w:space="720"/>
          <w:docGrid w:linePitch="360"/>
        </w:sectPr>
      </w:pPr>
    </w:p>
    <w:p w14:paraId="136F1011" w14:textId="77777777" w:rsidR="009329AB" w:rsidRDefault="009329AB" w:rsidP="008275E1">
      <w:pPr>
        <w:pStyle w:val="NoSpacing"/>
        <w:spacing w:line="276" w:lineRule="auto"/>
        <w:rPr>
          <w:rFonts w:ascii="Book Antiqua" w:hAnsi="Book Antiqua"/>
          <w:b/>
        </w:rPr>
      </w:pPr>
    </w:p>
    <w:p w14:paraId="26C81101" w14:textId="77777777" w:rsidR="009329AB" w:rsidRDefault="009329AB" w:rsidP="008275E1">
      <w:pPr>
        <w:pStyle w:val="NoSpacing"/>
        <w:spacing w:line="276" w:lineRule="auto"/>
        <w:rPr>
          <w:rFonts w:ascii="Book Antiqua" w:hAnsi="Book Antiqua"/>
          <w:b/>
        </w:rPr>
      </w:pPr>
    </w:p>
    <w:p w14:paraId="64410903" w14:textId="77777777" w:rsidR="009329AB" w:rsidRDefault="009329AB" w:rsidP="008275E1">
      <w:pPr>
        <w:pStyle w:val="NoSpacing"/>
        <w:spacing w:line="276" w:lineRule="auto"/>
        <w:rPr>
          <w:rFonts w:ascii="Book Antiqua" w:hAnsi="Book Antiqua"/>
          <w:b/>
        </w:rPr>
      </w:pPr>
    </w:p>
    <w:p w14:paraId="2E039407" w14:textId="77777777" w:rsidR="009329AB" w:rsidRDefault="001A6AB8" w:rsidP="008275E1">
      <w:pPr>
        <w:pStyle w:val="NoSpacing"/>
        <w:spacing w:line="276" w:lineRule="auto"/>
        <w:rPr>
          <w:rFonts w:ascii="Book Antiqua" w:hAnsi="Book Antiqua"/>
          <w:b/>
        </w:rPr>
      </w:pPr>
      <w:r w:rsidRPr="00E3232D">
        <w:rPr>
          <w:rFonts w:ascii="Book Antiqua" w:hAnsi="Book Antiqua"/>
        </w:rPr>
        <w:t>t</w:t>
      </w:r>
    </w:p>
    <w:p w14:paraId="5A52A583" w14:textId="77777777" w:rsidR="009329AB" w:rsidRDefault="00850DC5" w:rsidP="008275E1">
      <w:pPr>
        <w:pStyle w:val="NoSpacing"/>
        <w:spacing w:line="276" w:lineRule="auto"/>
        <w:rPr>
          <w:rFonts w:ascii="Book Antiqua" w:hAnsi="Book Antiqua"/>
          <w:b/>
        </w:rPr>
      </w:pPr>
      <w:r>
        <w:rPr>
          <w:rFonts w:ascii="Book Antiqua" w:hAnsi="Book Antiqua"/>
          <w:b/>
          <w:noProof/>
        </w:rPr>
        <w:pict w14:anchorId="0B067769">
          <v:shape id="_x0000_s1490" type="#_x0000_t32" style="position:absolute;margin-left:7.95pt;margin-top:7pt;width:229.2pt;height:0;z-index:251689472" o:connectortype="straight">
            <v:stroke endarrow="block"/>
          </v:shape>
        </w:pict>
      </w:r>
    </w:p>
    <w:p w14:paraId="2FA46BAE" w14:textId="77777777" w:rsidR="00F04A9F" w:rsidRDefault="00F04A9F" w:rsidP="008275E1">
      <w:pPr>
        <w:pStyle w:val="NoSpacing"/>
        <w:spacing w:line="276" w:lineRule="auto"/>
        <w:rPr>
          <w:rFonts w:ascii="Book Antiqua" w:hAnsi="Book Antiqua"/>
          <w:b/>
        </w:rPr>
        <w:sectPr w:rsidR="00F04A9F" w:rsidSect="009329AB">
          <w:type w:val="continuous"/>
          <w:pgSz w:w="11907" w:h="16839" w:code="9"/>
          <w:pgMar w:top="1440" w:right="1440" w:bottom="1440" w:left="1440" w:header="720" w:footer="720" w:gutter="0"/>
          <w:cols w:space="720"/>
          <w:docGrid w:linePitch="360"/>
        </w:sectPr>
      </w:pPr>
    </w:p>
    <w:p w14:paraId="51C3CAED" w14:textId="77777777" w:rsidR="00D23BD3" w:rsidRDefault="00E317C4" w:rsidP="008275E1">
      <w:pPr>
        <w:pStyle w:val="NoSpacing"/>
        <w:spacing w:line="276" w:lineRule="auto"/>
        <w:rPr>
          <w:rFonts w:ascii="Book Antiqua" w:hAnsi="Book Antiqua"/>
          <w:b/>
        </w:rPr>
        <w:sectPr w:rsidR="00D23BD3" w:rsidSect="00D23BD3">
          <w:type w:val="continuous"/>
          <w:pgSz w:w="11907" w:h="16839" w:code="9"/>
          <w:pgMar w:top="1440" w:right="1440" w:bottom="1440" w:left="1440" w:header="720" w:footer="720" w:gutter="0"/>
          <w:cols w:space="720"/>
          <w:docGrid w:linePitch="360"/>
        </w:sectPr>
      </w:pPr>
      <w:r w:rsidRPr="00E3232D">
        <w:rPr>
          <w:rFonts w:ascii="Book Antiqua" w:hAnsi="Book Antiqua"/>
          <w:b/>
        </w:rPr>
        <w:t xml:space="preserve">Fig.5.2 An electrical generator’s response to a large disturbance during transient </w:t>
      </w:r>
    </w:p>
    <w:p w14:paraId="5F4CC255" w14:textId="77777777" w:rsidR="00E317C4" w:rsidRDefault="00E317C4" w:rsidP="008275E1">
      <w:pPr>
        <w:pStyle w:val="NoSpacing"/>
        <w:spacing w:line="276" w:lineRule="auto"/>
        <w:rPr>
          <w:rFonts w:ascii="Book Antiqua" w:hAnsi="Book Antiqua"/>
          <w:b/>
        </w:rPr>
      </w:pPr>
      <w:r w:rsidRPr="00E3232D">
        <w:rPr>
          <w:rFonts w:ascii="Book Antiqua" w:hAnsi="Book Antiqua"/>
          <w:b/>
        </w:rPr>
        <w:t>state</w:t>
      </w:r>
    </w:p>
    <w:p w14:paraId="1EC827B9" w14:textId="77777777" w:rsidR="009329AB" w:rsidRDefault="009329AB" w:rsidP="008275E1">
      <w:pPr>
        <w:pStyle w:val="NoSpacing"/>
        <w:spacing w:line="276" w:lineRule="auto"/>
        <w:rPr>
          <w:rFonts w:ascii="Book Antiqua" w:hAnsi="Book Antiqua"/>
          <w:b/>
        </w:rPr>
      </w:pPr>
    </w:p>
    <w:p w14:paraId="7FA8ACCF" w14:textId="77777777" w:rsidR="001A6AB8" w:rsidRPr="00E3232D" w:rsidRDefault="001A6AB8" w:rsidP="008275E1">
      <w:pPr>
        <w:pStyle w:val="NoSpacing"/>
        <w:spacing w:line="276" w:lineRule="auto"/>
        <w:rPr>
          <w:rFonts w:ascii="Book Antiqua" w:hAnsi="Book Antiqua"/>
          <w:b/>
        </w:rPr>
      </w:pPr>
    </w:p>
    <w:p w14:paraId="04FA81C8" w14:textId="77777777" w:rsidR="00F04A9F" w:rsidRDefault="00F04A9F" w:rsidP="000F43FE">
      <w:pPr>
        <w:pStyle w:val="NoSpacing"/>
        <w:spacing w:line="276" w:lineRule="auto"/>
        <w:rPr>
          <w:rFonts w:ascii="Book Antiqua" w:hAnsi="Book Antiqua"/>
        </w:rPr>
        <w:sectPr w:rsidR="00F04A9F" w:rsidSect="00F04A9F">
          <w:type w:val="continuous"/>
          <w:pgSz w:w="11907" w:h="16839" w:code="9"/>
          <w:pgMar w:top="1440" w:right="1440" w:bottom="1440" w:left="1440" w:header="720" w:footer="720" w:gutter="0"/>
          <w:cols w:num="2" w:space="720"/>
          <w:docGrid w:linePitch="360"/>
        </w:sectPr>
      </w:pPr>
    </w:p>
    <w:p w14:paraId="19517D72" w14:textId="77777777" w:rsidR="009329AB" w:rsidRDefault="00850DC5" w:rsidP="000F43FE">
      <w:pPr>
        <w:pStyle w:val="NoSpacing"/>
        <w:spacing w:line="276" w:lineRule="auto"/>
        <w:rPr>
          <w:rFonts w:ascii="Book Antiqua" w:hAnsi="Book Antiqua"/>
        </w:rPr>
      </w:pPr>
      <w:r>
        <w:rPr>
          <w:rFonts w:ascii="Book Antiqua" w:hAnsi="Book Antiqua"/>
          <w:b/>
          <w:noProof/>
        </w:rPr>
        <w:pict w14:anchorId="121FBE7B">
          <v:shape id="_x0000_s1481" type="#_x0000_t34" style="position:absolute;margin-left:43.4pt;margin-top:-.05pt;width:174.75pt;height:145.6pt;z-index:251680256" o:connectortype="elbow" adj="43,-35827,-26235">
            <v:stroke startarrow="block" endarrow="block"/>
          </v:shape>
        </w:pict>
      </w:r>
      <w:r w:rsidR="009329AB">
        <w:rPr>
          <w:rFonts w:ascii="Book Antiqua" w:hAnsi="Book Antiqua"/>
        </w:rPr>
        <w:t xml:space="preserve">           </w:t>
      </w:r>
      <w:r w:rsidR="00E317C4" w:rsidRPr="00E3232D">
        <w:rPr>
          <w:rFonts w:ascii="Book Antiqua" w:hAnsi="Book Antiqua"/>
        </w:rPr>
        <w:t>P</w:t>
      </w:r>
    </w:p>
    <w:p w14:paraId="66464332" w14:textId="77777777" w:rsidR="00E317C4" w:rsidRPr="009329AB" w:rsidRDefault="00850DC5" w:rsidP="000F43FE">
      <w:pPr>
        <w:pStyle w:val="NoSpacing"/>
        <w:spacing w:line="276" w:lineRule="auto"/>
        <w:rPr>
          <w:rFonts w:ascii="Book Antiqua" w:hAnsi="Book Antiqua"/>
        </w:rPr>
      </w:pPr>
      <w:r>
        <w:rPr>
          <w:rFonts w:ascii="Book Antiqua" w:hAnsi="Book Antiqua"/>
          <w:b/>
          <w:noProof/>
        </w:rPr>
        <w:pict w14:anchorId="66DB2529">
          <v:shape id="_x0000_s1486" type="#_x0000_t32" style="position:absolute;margin-left:108.8pt;margin-top:10.25pt;width:.05pt;height:119.6pt;z-index:251685376" o:connectortype="straight">
            <v:stroke dashstyle="longDash"/>
          </v:shape>
        </w:pict>
      </w:r>
      <w:r>
        <w:rPr>
          <w:rFonts w:ascii="Book Antiqua" w:hAnsi="Book Antiqua"/>
          <w:b/>
          <w:noProof/>
        </w:rPr>
        <w:pict w14:anchorId="002D83BE">
          <v:shape id="_x0000_s1482" style="position:absolute;margin-left:49.4pt;margin-top:9.25pt;width:133.3pt;height:124.95pt;rotation:221862fd;z-index:251681280" coordsize="1680,1230" path="m,1230c190,630,380,30,660,15,940,,1510,953,1680,1141e" filled="f">
            <v:path arrowok="t"/>
          </v:shape>
        </w:pict>
      </w:r>
      <w:r w:rsidR="00E317C4" w:rsidRPr="00E3232D">
        <w:rPr>
          <w:rFonts w:ascii="Book Antiqua" w:hAnsi="Book Antiqua"/>
        </w:rPr>
        <w:t>P</w:t>
      </w:r>
      <w:r w:rsidR="00E317C4" w:rsidRPr="00E3232D">
        <w:rPr>
          <w:rFonts w:ascii="Book Antiqua" w:hAnsi="Book Antiqua"/>
          <w:vertAlign w:val="subscript"/>
        </w:rPr>
        <w:t>m</w:t>
      </w:r>
      <w:r w:rsidR="00E317C4" w:rsidRPr="00E3232D">
        <w:rPr>
          <w:rFonts w:ascii="Book Antiqua" w:hAnsi="Book Antiqua"/>
        </w:rPr>
        <w:t>&lt; P</w:t>
      </w:r>
      <w:r w:rsidR="00E317C4" w:rsidRPr="00E3232D">
        <w:rPr>
          <w:rFonts w:ascii="Book Antiqua" w:hAnsi="Book Antiqua"/>
          <w:vertAlign w:val="subscript"/>
        </w:rPr>
        <w:t>e</w:t>
      </w:r>
      <w:r w:rsidR="0056387E">
        <w:rPr>
          <w:rFonts w:ascii="Book Antiqua" w:hAnsi="Book Antiqua"/>
          <w:vertAlign w:val="subscript"/>
        </w:rPr>
        <w:t xml:space="preserve">                          </w:t>
      </w:r>
      <w:r w:rsidR="00E317C4" w:rsidRPr="00E3232D">
        <w:rPr>
          <w:rFonts w:ascii="Book Antiqua" w:hAnsi="Book Antiqua"/>
          <w:b/>
        </w:rPr>
        <w:t xml:space="preserve">  </w:t>
      </w:r>
      <w:r w:rsidR="00E317C4" w:rsidRPr="00E3232D">
        <w:rPr>
          <w:rFonts w:ascii="Book Antiqua" w:hAnsi="Book Antiqua"/>
        </w:rPr>
        <w:t>m</w:t>
      </w:r>
      <w:r w:rsidR="00E317C4" w:rsidRPr="00E3232D">
        <w:rPr>
          <w:rFonts w:ascii="Book Antiqua" w:hAnsi="Book Antiqua"/>
          <w:vertAlign w:val="subscript"/>
        </w:rPr>
        <w:t>1</w:t>
      </w:r>
    </w:p>
    <w:p w14:paraId="308CCBA1" w14:textId="77777777" w:rsidR="0056387E" w:rsidRDefault="00850DC5" w:rsidP="00F04A9F">
      <w:pPr>
        <w:pStyle w:val="NoSpacing"/>
        <w:tabs>
          <w:tab w:val="left" w:pos="2130"/>
        </w:tabs>
        <w:spacing w:line="276" w:lineRule="auto"/>
        <w:ind w:left="1440"/>
        <w:rPr>
          <w:rFonts w:ascii="Book Antiqua" w:hAnsi="Book Antiqua"/>
          <w:b/>
        </w:rPr>
      </w:pPr>
      <w:r>
        <w:rPr>
          <w:rFonts w:ascii="Book Antiqua" w:hAnsi="Book Antiqua"/>
          <w:b/>
          <w:noProof/>
        </w:rPr>
        <w:pict w14:anchorId="6D23CE70">
          <v:shape id="_x0000_s1483" style="position:absolute;left:0;text-align:left;margin-left:49.4pt;margin-top:14.3pt;width:133.3pt;height:104.15pt;rotation:221862fd;z-index:251682304" coordsize="1680,1230" path="m,1230c190,630,380,30,660,15,940,,1510,953,1680,1141e" filled="f">
            <v:path arrowok="t"/>
          </v:shape>
        </w:pict>
      </w:r>
      <w:r w:rsidR="00F04A9F">
        <w:rPr>
          <w:rFonts w:ascii="Book Antiqua" w:hAnsi="Book Antiqua"/>
          <w:b/>
        </w:rPr>
        <w:tab/>
      </w:r>
      <w:r w:rsidR="00F04A9F" w:rsidRPr="00E3232D">
        <w:rPr>
          <w:rFonts w:ascii="MS Mincho" w:eastAsia="MS Mincho" w:hAnsi="MS Mincho" w:cs="MS Mincho" w:hint="eastAsia"/>
        </w:rPr>
        <w:t>①</w:t>
      </w:r>
    </w:p>
    <w:p w14:paraId="246C99A2" w14:textId="77777777" w:rsidR="00E317C4" w:rsidRPr="000F43FE" w:rsidRDefault="00850DC5" w:rsidP="0056387E">
      <w:pPr>
        <w:pStyle w:val="NoSpacing"/>
        <w:spacing w:line="276" w:lineRule="auto"/>
        <w:rPr>
          <w:rFonts w:ascii="Book Antiqua" w:hAnsi="Book Antiqua"/>
          <w:b/>
        </w:rPr>
      </w:pPr>
      <w:r>
        <w:rPr>
          <w:rFonts w:ascii="Book Antiqua" w:hAnsi="Book Antiqua"/>
          <w:b/>
          <w:noProof/>
        </w:rPr>
        <w:pict w14:anchorId="11B3844B">
          <v:shape id="_x0000_s1487" type="#_x0000_t32" style="position:absolute;margin-left:75.75pt;margin-top:12.1pt;width:.05pt;height:76.4pt;z-index:251686400" o:connectortype="straight">
            <v:stroke dashstyle="longDash"/>
          </v:shape>
        </w:pict>
      </w:r>
      <w:r>
        <w:rPr>
          <w:rFonts w:ascii="Book Antiqua" w:hAnsi="Book Antiqua"/>
          <w:b/>
          <w:noProof/>
        </w:rPr>
        <w:pict w14:anchorId="2EE6FECC">
          <v:shape id="_x0000_s1485" type="#_x0000_t32" style="position:absolute;margin-left:43.4pt;margin-top:12.1pt;width:135.75pt;height:0;z-index:251684352" o:connectortype="straight"/>
        </w:pict>
      </w:r>
      <w:r w:rsidR="0056387E">
        <w:rPr>
          <w:rFonts w:ascii="Book Antiqua" w:hAnsi="Book Antiqua"/>
          <w:b/>
        </w:rPr>
        <w:t xml:space="preserve">                         </w:t>
      </w:r>
      <w:r w:rsidR="00F04A9F">
        <w:rPr>
          <w:rFonts w:ascii="Book Antiqua" w:hAnsi="Book Antiqua"/>
          <w:b/>
        </w:rPr>
        <w:t xml:space="preserve">  </w:t>
      </w:r>
      <w:r w:rsidR="0056387E">
        <w:rPr>
          <w:rFonts w:ascii="Book Antiqua" w:hAnsi="Book Antiqua"/>
          <w:b/>
        </w:rPr>
        <w:t xml:space="preserve"> </w:t>
      </w:r>
      <w:r w:rsidR="00E317C4" w:rsidRPr="00E3232D">
        <w:rPr>
          <w:rFonts w:ascii="Book Antiqua" w:hAnsi="Book Antiqua"/>
          <w:b/>
        </w:rPr>
        <w:t xml:space="preserve"> </w:t>
      </w:r>
      <w:r w:rsidR="00E317C4" w:rsidRPr="00E3232D">
        <w:rPr>
          <w:rFonts w:ascii="Book Antiqua" w:hAnsi="Book Antiqua"/>
        </w:rPr>
        <w:t>m</w:t>
      </w:r>
      <w:r w:rsidR="00E317C4" w:rsidRPr="00E3232D">
        <w:rPr>
          <w:rFonts w:ascii="Book Antiqua" w:hAnsi="Book Antiqua"/>
          <w:vertAlign w:val="subscript"/>
        </w:rPr>
        <w:t>2</w:t>
      </w:r>
      <w:r w:rsidR="00E317C4" w:rsidRPr="00E3232D">
        <w:rPr>
          <w:rFonts w:ascii="Book Antiqua" w:hAnsi="Book Antiqua"/>
        </w:rPr>
        <w:t xml:space="preserve"> </w:t>
      </w:r>
      <w:r w:rsidR="00F04A9F" w:rsidRPr="00E3232D">
        <w:rPr>
          <w:rFonts w:ascii="MS Mincho" w:eastAsia="MS Mincho" w:hAnsi="MS Mincho" w:cs="MS Mincho" w:hint="eastAsia"/>
        </w:rPr>
        <w:t>③</w:t>
      </w:r>
    </w:p>
    <w:p w14:paraId="754EB3E4" w14:textId="77777777" w:rsidR="00E317C4" w:rsidRPr="00F04A9F" w:rsidRDefault="00850DC5" w:rsidP="00F04A9F">
      <w:pPr>
        <w:pStyle w:val="NoSpacing"/>
        <w:spacing w:line="276" w:lineRule="auto"/>
        <w:rPr>
          <w:rFonts w:ascii="Book Antiqua" w:hAnsi="Book Antiqua"/>
          <w:b/>
        </w:rPr>
      </w:pPr>
      <w:r>
        <w:rPr>
          <w:rFonts w:ascii="Book Antiqua" w:hAnsi="Book Antiqua"/>
          <w:b/>
          <w:noProof/>
        </w:rPr>
        <w:pict w14:anchorId="6EC9B1DF">
          <v:shape id="_x0000_s1484" style="position:absolute;margin-left:49.4pt;margin-top:1.6pt;width:133.3pt;height:65.15pt;rotation:221862fd;z-index:251683328" coordsize="1680,1230" path="m,1230c190,630,380,30,660,15,940,,1510,953,1680,1141e" filled="f">
            <v:path arrowok="t"/>
          </v:shape>
        </w:pict>
      </w:r>
      <w:r>
        <w:rPr>
          <w:rFonts w:ascii="Book Antiqua" w:hAnsi="Book Antiqua"/>
          <w:b/>
          <w:noProof/>
        </w:rPr>
        <w:pict w14:anchorId="4AB9A914">
          <v:shape id="_x0000_s1488" type="#_x0000_t32" style="position:absolute;margin-left:133.5pt;margin-top:6.65pt;width:.05pt;height:65.75pt;z-index:251687424" o:connectortype="straight">
            <v:stroke dashstyle="longDash"/>
          </v:shape>
        </w:pict>
      </w:r>
      <w:r w:rsidR="00E317C4" w:rsidRPr="00E3232D">
        <w:rPr>
          <w:rFonts w:ascii="Book Antiqua" w:hAnsi="Book Antiqua"/>
        </w:rPr>
        <w:t>P</w:t>
      </w:r>
      <w:r w:rsidR="00E317C4" w:rsidRPr="00E3232D">
        <w:rPr>
          <w:rFonts w:ascii="Book Antiqua" w:hAnsi="Book Antiqua"/>
          <w:vertAlign w:val="subscript"/>
        </w:rPr>
        <w:t xml:space="preserve">m </w:t>
      </w:r>
      <w:r w:rsidR="00E317C4" w:rsidRPr="00E3232D">
        <w:rPr>
          <w:rFonts w:ascii="Book Antiqua" w:hAnsi="Book Antiqua"/>
        </w:rPr>
        <w:t>= P</w:t>
      </w:r>
      <w:r w:rsidR="00F04A9F">
        <w:rPr>
          <w:rFonts w:ascii="Book Antiqua" w:hAnsi="Book Antiqua"/>
          <w:vertAlign w:val="subscript"/>
        </w:rPr>
        <w:t xml:space="preserve">e                 </w:t>
      </w:r>
      <w:r w:rsidR="00E317C4" w:rsidRPr="00E3232D">
        <w:rPr>
          <w:rFonts w:ascii="Book Antiqua" w:hAnsi="Book Antiqua"/>
          <w:vertAlign w:val="subscript"/>
        </w:rPr>
        <w:t xml:space="preserve"> </w:t>
      </w:r>
      <w:r w:rsidR="00E317C4" w:rsidRPr="00E3232D">
        <w:rPr>
          <w:rFonts w:ascii="Book Antiqua" w:hAnsi="Book Antiqua"/>
        </w:rPr>
        <w:t>a</w:t>
      </w:r>
      <w:r w:rsidR="00F04A9F">
        <w:rPr>
          <w:rFonts w:ascii="Book Antiqua" w:hAnsi="Book Antiqua"/>
        </w:rPr>
        <w:t xml:space="preserve">  </w:t>
      </w:r>
    </w:p>
    <w:p w14:paraId="67581C13" w14:textId="77777777" w:rsidR="00E317C4" w:rsidRPr="00E3232D" w:rsidRDefault="00F04A9F" w:rsidP="00F04A9F">
      <w:pPr>
        <w:pStyle w:val="NoSpacing"/>
        <w:spacing w:line="276" w:lineRule="auto"/>
        <w:rPr>
          <w:rFonts w:ascii="Book Antiqua" w:hAnsi="Book Antiqua"/>
        </w:rPr>
      </w:pPr>
      <w:r>
        <w:rPr>
          <w:rFonts w:ascii="Book Antiqua" w:hAnsi="Book Antiqua"/>
          <w:b/>
        </w:rPr>
        <w:t xml:space="preserve">                    </w:t>
      </w:r>
      <w:r w:rsidR="00E317C4" w:rsidRPr="00E3232D">
        <w:rPr>
          <w:rFonts w:ascii="Book Antiqua" w:hAnsi="Book Antiqua"/>
          <w:b/>
        </w:rPr>
        <w:t xml:space="preserve">  </w:t>
      </w:r>
      <w:r>
        <w:rPr>
          <w:rFonts w:ascii="Book Antiqua" w:hAnsi="Book Antiqua"/>
          <w:b/>
        </w:rPr>
        <w:t xml:space="preserve">   </w:t>
      </w:r>
      <w:r w:rsidR="00E317C4" w:rsidRPr="00E3232D">
        <w:rPr>
          <w:rFonts w:ascii="Book Antiqua" w:hAnsi="Book Antiqua"/>
        </w:rPr>
        <w:t>m</w:t>
      </w:r>
      <w:r w:rsidR="00E317C4" w:rsidRPr="00E3232D">
        <w:rPr>
          <w:rFonts w:ascii="Book Antiqua" w:hAnsi="Book Antiqua"/>
          <w:vertAlign w:val="subscript"/>
        </w:rPr>
        <w:t>2</w:t>
      </w:r>
      <w:r>
        <w:rPr>
          <w:rFonts w:ascii="Book Antiqua" w:hAnsi="Book Antiqua"/>
        </w:rPr>
        <w:t xml:space="preserve">     </w:t>
      </w:r>
      <w:r w:rsidRPr="00E3232D">
        <w:rPr>
          <w:rFonts w:ascii="MS Mincho" w:eastAsia="MS Mincho" w:hAnsi="MS Mincho" w:cs="MS Mincho" w:hint="eastAsia"/>
          <w:b/>
        </w:rPr>
        <w:t>②</w:t>
      </w:r>
      <w:r w:rsidR="00E317C4" w:rsidRPr="00E3232D">
        <w:rPr>
          <w:rFonts w:ascii="Book Antiqua" w:hAnsi="Book Antiqua"/>
        </w:rPr>
        <w:t xml:space="preserve">                      </w:t>
      </w:r>
    </w:p>
    <w:p w14:paraId="3A39F49F" w14:textId="77777777" w:rsidR="00E317C4" w:rsidRPr="00E3232D" w:rsidRDefault="00850DC5" w:rsidP="008275E1">
      <w:pPr>
        <w:pStyle w:val="NoSpacing"/>
        <w:spacing w:line="276" w:lineRule="auto"/>
        <w:ind w:left="1440"/>
        <w:rPr>
          <w:rFonts w:ascii="Book Antiqua" w:hAnsi="Book Antiqua"/>
          <w:b/>
        </w:rPr>
      </w:pPr>
      <w:r>
        <w:rPr>
          <w:rFonts w:ascii="Book Antiqua" w:hAnsi="Book Antiqua"/>
          <w:b/>
          <w:noProof/>
        </w:rPr>
        <w:pict w14:anchorId="4F9841DA">
          <v:shape id="_x0000_s1881" type="#_x0000_t32" style="position:absolute;left:0;text-align:left;margin-left:29.55pt;margin-top:7.45pt;width:135.75pt;height:0;z-index:251891200" o:connectortype="straight"/>
        </w:pict>
      </w:r>
      <w:r>
        <w:rPr>
          <w:rFonts w:ascii="Book Antiqua" w:hAnsi="Book Antiqua"/>
          <w:b/>
          <w:noProof/>
        </w:rPr>
        <w:pict w14:anchorId="1F231D04">
          <v:shape id="_x0000_s1489" type="#_x0000_t32" style="position:absolute;left:0;text-align:left;margin-left:148.6pt;margin-top:.7pt;width:0;height:45.6pt;z-index:251688448" o:connectortype="straight">
            <v:stroke dashstyle="longDash"/>
          </v:shape>
        </w:pict>
      </w:r>
      <w:r w:rsidR="00E317C4" w:rsidRPr="00E3232D">
        <w:rPr>
          <w:rFonts w:ascii="Book Antiqua" w:hAnsi="Book Antiqua"/>
          <w:b/>
        </w:rPr>
        <w:t xml:space="preserve">                                              </w:t>
      </w:r>
    </w:p>
    <w:p w14:paraId="5C6A4AEE" w14:textId="77777777" w:rsidR="00E317C4" w:rsidRPr="00E3232D" w:rsidRDefault="00F04A9F" w:rsidP="00F04A9F">
      <w:pPr>
        <w:pStyle w:val="NoSpacing"/>
        <w:spacing w:line="276" w:lineRule="auto"/>
        <w:rPr>
          <w:rFonts w:ascii="Book Antiqua" w:hAnsi="Book Antiqua"/>
          <w:b/>
        </w:rPr>
      </w:pPr>
      <w:r>
        <w:rPr>
          <w:rFonts w:ascii="Book Antiqua" w:hAnsi="Book Antiqua"/>
        </w:rPr>
        <w:t xml:space="preserve"> </w:t>
      </w:r>
      <w:r w:rsidR="00E317C4" w:rsidRPr="00E3232D">
        <w:rPr>
          <w:rFonts w:ascii="Book Antiqua" w:hAnsi="Book Antiqua"/>
        </w:rPr>
        <w:t>P</w:t>
      </w:r>
      <w:r w:rsidR="00E317C4" w:rsidRPr="00E3232D">
        <w:rPr>
          <w:rFonts w:ascii="Book Antiqua" w:hAnsi="Book Antiqua"/>
          <w:vertAlign w:val="subscript"/>
        </w:rPr>
        <w:t xml:space="preserve">m </w:t>
      </w:r>
      <w:r w:rsidR="00E317C4" w:rsidRPr="00E3232D">
        <w:rPr>
          <w:rFonts w:ascii="Book Antiqua" w:hAnsi="Book Antiqua"/>
        </w:rPr>
        <w:t>&gt; P</w:t>
      </w:r>
      <w:r w:rsidR="00E317C4" w:rsidRPr="00E3232D">
        <w:rPr>
          <w:rFonts w:ascii="Book Antiqua" w:hAnsi="Book Antiqua"/>
          <w:vertAlign w:val="subscript"/>
        </w:rPr>
        <w:t>e</w:t>
      </w:r>
    </w:p>
    <w:p w14:paraId="74C97E20" w14:textId="77777777" w:rsidR="00245F03" w:rsidRDefault="00245F03" w:rsidP="00245F03">
      <w:pPr>
        <w:pStyle w:val="NoSpacing"/>
        <w:spacing w:line="276" w:lineRule="auto"/>
        <w:rPr>
          <w:rFonts w:ascii="Book Antiqua" w:hAnsi="Book Antiqua"/>
          <w:b/>
        </w:rPr>
      </w:pPr>
    </w:p>
    <w:p w14:paraId="70F88084" w14:textId="77777777" w:rsidR="001A6AB8" w:rsidRPr="00E3232D" w:rsidRDefault="00E317C4" w:rsidP="00245F03">
      <w:pPr>
        <w:pStyle w:val="NoSpacing"/>
        <w:spacing w:line="276" w:lineRule="auto"/>
        <w:rPr>
          <w:rFonts w:ascii="Book Antiqua" w:hAnsi="Book Antiqua"/>
          <w:b/>
        </w:rPr>
      </w:pPr>
      <w:r w:rsidRPr="00E3232D">
        <w:rPr>
          <w:rFonts w:ascii="Book Antiqua" w:hAnsi="Book Antiqua"/>
          <w:b/>
        </w:rPr>
        <w:t xml:space="preserve">                                    </w:t>
      </w:r>
    </w:p>
    <w:p w14:paraId="08674191" w14:textId="77777777" w:rsidR="00D23BD3" w:rsidRDefault="00D23BD3" w:rsidP="008275E1">
      <w:pPr>
        <w:pStyle w:val="NoSpacing"/>
        <w:spacing w:line="276" w:lineRule="auto"/>
        <w:rPr>
          <w:rFonts w:ascii="Book Antiqua" w:hAnsi="Book Antiqua"/>
          <w:b/>
        </w:rPr>
        <w:sectPr w:rsidR="00D23BD3" w:rsidSect="009329AB">
          <w:type w:val="continuous"/>
          <w:pgSz w:w="11907" w:h="16839" w:code="9"/>
          <w:pgMar w:top="1440" w:right="1440" w:bottom="1440" w:left="1440" w:header="720" w:footer="720" w:gutter="0"/>
          <w:cols w:space="720"/>
          <w:docGrid w:linePitch="360"/>
        </w:sectPr>
      </w:pPr>
    </w:p>
    <w:p w14:paraId="7C4B03A8" w14:textId="77777777" w:rsidR="00E317C4" w:rsidRPr="00E3232D" w:rsidRDefault="00E317C4" w:rsidP="008275E1">
      <w:pPr>
        <w:pStyle w:val="NoSpacing"/>
        <w:spacing w:line="276" w:lineRule="auto"/>
        <w:rPr>
          <w:rFonts w:ascii="Book Antiqua" w:hAnsi="Book Antiqua"/>
          <w:b/>
        </w:rPr>
      </w:pPr>
      <w:r w:rsidRPr="00E3232D">
        <w:rPr>
          <w:rFonts w:ascii="Book Antiqua" w:hAnsi="Book Antiqua"/>
          <w:b/>
        </w:rPr>
        <w:t>Fig.5.3 Generation characteristic of TOR’s generator before and after the tripping</w:t>
      </w:r>
    </w:p>
    <w:p w14:paraId="64D835C5" w14:textId="77777777" w:rsidR="00D23BD3" w:rsidRDefault="00D23BD3" w:rsidP="008275E1">
      <w:pPr>
        <w:pStyle w:val="NoSpacing"/>
        <w:spacing w:line="276" w:lineRule="auto"/>
        <w:ind w:left="1440"/>
        <w:rPr>
          <w:rFonts w:ascii="Book Antiqua" w:hAnsi="Book Antiqua"/>
          <w:b/>
        </w:rPr>
        <w:sectPr w:rsidR="00D23BD3" w:rsidSect="00D23BD3">
          <w:type w:val="continuous"/>
          <w:pgSz w:w="11907" w:h="16839" w:code="9"/>
          <w:pgMar w:top="1440" w:right="1440" w:bottom="1440" w:left="1440" w:header="720" w:footer="720" w:gutter="0"/>
          <w:cols w:space="720"/>
          <w:docGrid w:linePitch="360"/>
        </w:sectPr>
      </w:pPr>
    </w:p>
    <w:p w14:paraId="5593BC94" w14:textId="77777777" w:rsidR="00D23BD3" w:rsidRDefault="00D23BD3" w:rsidP="008275E1">
      <w:pPr>
        <w:pStyle w:val="NoSpacing"/>
        <w:spacing w:line="276" w:lineRule="auto"/>
        <w:ind w:left="1440"/>
        <w:rPr>
          <w:rFonts w:ascii="Book Antiqua" w:hAnsi="Book Antiqua"/>
          <w:b/>
        </w:rPr>
        <w:sectPr w:rsidR="00D23BD3" w:rsidSect="009329AB">
          <w:type w:val="continuous"/>
          <w:pgSz w:w="11907" w:h="16839" w:code="9"/>
          <w:pgMar w:top="1440" w:right="1440" w:bottom="1440" w:left="1440" w:header="720" w:footer="720" w:gutter="0"/>
          <w:cols w:space="720"/>
          <w:docGrid w:linePitch="360"/>
        </w:sectPr>
      </w:pPr>
    </w:p>
    <w:p w14:paraId="1FB656D4" w14:textId="77777777" w:rsidR="00E317C4" w:rsidRPr="00E3232D" w:rsidRDefault="00E317C4" w:rsidP="008275E1">
      <w:pPr>
        <w:pStyle w:val="NoSpacing"/>
        <w:spacing w:line="276" w:lineRule="auto"/>
        <w:ind w:left="1440"/>
        <w:rPr>
          <w:rFonts w:ascii="Book Antiqua" w:hAnsi="Book Antiqua"/>
          <w:b/>
        </w:rPr>
      </w:pPr>
    </w:p>
    <w:p w14:paraId="312DCD6C" w14:textId="77777777" w:rsidR="00E317C4" w:rsidRPr="00E3232D" w:rsidRDefault="00E317C4" w:rsidP="007B0865">
      <w:pPr>
        <w:pStyle w:val="NoSpacing"/>
        <w:spacing w:line="276" w:lineRule="auto"/>
        <w:jc w:val="both"/>
        <w:rPr>
          <w:rFonts w:ascii="Book Antiqua" w:hAnsi="Book Antiqua"/>
          <w:b/>
        </w:rPr>
      </w:pPr>
      <w:r w:rsidRPr="00E3232D">
        <w:rPr>
          <w:rFonts w:ascii="Book Antiqua" w:hAnsi="Book Antiqua"/>
          <w:b/>
        </w:rPr>
        <w:t>Notes</w:t>
      </w:r>
    </w:p>
    <w:p w14:paraId="452E69DF" w14:textId="77777777" w:rsidR="00E317C4" w:rsidRPr="00E3232D" w:rsidRDefault="00E317C4" w:rsidP="007B0865">
      <w:pPr>
        <w:pStyle w:val="NoSpacing"/>
        <w:spacing w:line="276" w:lineRule="auto"/>
        <w:jc w:val="both"/>
        <w:rPr>
          <w:rFonts w:ascii="Book Antiqua" w:hAnsi="Book Antiqua"/>
        </w:rPr>
      </w:pPr>
      <w:r w:rsidRPr="00E3232D">
        <w:rPr>
          <w:rFonts w:ascii="MS Mincho" w:eastAsia="MS Mincho" w:hAnsi="MS Mincho" w:cs="MS Mincho" w:hint="eastAsia"/>
        </w:rPr>
        <w:t>①</w:t>
      </w:r>
      <w:r w:rsidRPr="00E3232D">
        <w:rPr>
          <w:rFonts w:ascii="Book Antiqua" w:hAnsi="Book Antiqua"/>
        </w:rPr>
        <w:t xml:space="preserve"> - pre-fault mode curve load- angle curve</w:t>
      </w:r>
    </w:p>
    <w:p w14:paraId="20A06E59" w14:textId="77777777" w:rsidR="00E317C4" w:rsidRPr="00E3232D" w:rsidRDefault="00E317C4" w:rsidP="007B0865">
      <w:pPr>
        <w:pStyle w:val="NoSpacing"/>
        <w:spacing w:line="276" w:lineRule="auto"/>
        <w:jc w:val="both"/>
        <w:rPr>
          <w:rFonts w:ascii="Book Antiqua" w:hAnsi="Book Antiqua"/>
        </w:rPr>
      </w:pPr>
    </w:p>
    <w:p w14:paraId="45B61A1C" w14:textId="77777777" w:rsidR="00E317C4" w:rsidRPr="00E3232D" w:rsidRDefault="00E317C4" w:rsidP="007B0865">
      <w:pPr>
        <w:pStyle w:val="NoSpacing"/>
        <w:spacing w:line="276" w:lineRule="auto"/>
        <w:jc w:val="both"/>
        <w:rPr>
          <w:rFonts w:ascii="Book Antiqua" w:hAnsi="Book Antiqua"/>
        </w:rPr>
      </w:pPr>
      <w:r w:rsidRPr="00E3232D">
        <w:rPr>
          <w:rFonts w:ascii="Book Antiqua" w:hAnsi="Book Antiqua"/>
        </w:rPr>
        <w:t xml:space="preserve"> </w:t>
      </w:r>
      <w:r w:rsidRPr="00E3232D">
        <w:rPr>
          <w:rFonts w:ascii="MS Mincho" w:eastAsia="MS Mincho" w:hAnsi="MS Mincho" w:cs="MS Mincho" w:hint="eastAsia"/>
        </w:rPr>
        <w:t>②</w:t>
      </w:r>
      <w:r w:rsidRPr="00E3232D">
        <w:rPr>
          <w:rFonts w:ascii="Book Antiqua" w:hAnsi="Book Antiqua"/>
        </w:rPr>
        <w:t xml:space="preserve"> - fault mode load-angle curve </w:t>
      </w:r>
    </w:p>
    <w:p w14:paraId="76146C7A" w14:textId="77777777" w:rsidR="00E317C4" w:rsidRPr="00E3232D" w:rsidRDefault="00E317C4" w:rsidP="007B0865">
      <w:pPr>
        <w:pStyle w:val="NoSpacing"/>
        <w:spacing w:line="276" w:lineRule="auto"/>
        <w:jc w:val="both"/>
        <w:rPr>
          <w:rFonts w:ascii="Book Antiqua" w:hAnsi="Book Antiqua"/>
        </w:rPr>
      </w:pPr>
    </w:p>
    <w:p w14:paraId="08926907" w14:textId="77777777" w:rsidR="00E317C4" w:rsidRPr="00E3232D" w:rsidRDefault="00E317C4" w:rsidP="007B0865">
      <w:pPr>
        <w:pStyle w:val="NoSpacing"/>
        <w:spacing w:line="276" w:lineRule="auto"/>
        <w:jc w:val="both"/>
        <w:rPr>
          <w:rFonts w:ascii="Book Antiqua" w:hAnsi="Book Antiqua"/>
        </w:rPr>
      </w:pPr>
      <w:r w:rsidRPr="00E3232D">
        <w:rPr>
          <w:rFonts w:ascii="MS Mincho" w:eastAsia="MS Mincho" w:hAnsi="MS Mincho" w:cs="MS Mincho" w:hint="eastAsia"/>
        </w:rPr>
        <w:t>③</w:t>
      </w:r>
      <w:r w:rsidRPr="00E3232D">
        <w:rPr>
          <w:rFonts w:ascii="Book Antiqua" w:hAnsi="Book Antiqua"/>
        </w:rPr>
        <w:t xml:space="preserve"> - post-fault mode load-angle curve</w:t>
      </w:r>
    </w:p>
    <w:p w14:paraId="73D3E9D0" w14:textId="77777777" w:rsidR="00E317C4" w:rsidRPr="00E3232D" w:rsidRDefault="00E317C4" w:rsidP="007B0865">
      <w:pPr>
        <w:pStyle w:val="NoSpacing"/>
        <w:spacing w:line="276" w:lineRule="auto"/>
        <w:jc w:val="both"/>
        <w:rPr>
          <w:rFonts w:ascii="Book Antiqua" w:hAnsi="Book Antiqua"/>
        </w:rPr>
      </w:pPr>
      <w:r w:rsidRPr="00E3232D">
        <w:rPr>
          <w:rFonts w:ascii="Book Antiqua" w:hAnsi="Book Antiqua"/>
        </w:rPr>
        <w:t>Pm  - mechanical power</w:t>
      </w:r>
    </w:p>
    <w:p w14:paraId="23BDBA37" w14:textId="77777777" w:rsidR="00E317C4" w:rsidRPr="009329AB" w:rsidRDefault="00E317C4" w:rsidP="007B0865">
      <w:pPr>
        <w:pStyle w:val="NoSpacing"/>
        <w:spacing w:line="276" w:lineRule="auto"/>
        <w:rPr>
          <w:rFonts w:ascii="Book Antiqua" w:hAnsi="Book Antiqua"/>
        </w:rPr>
        <w:sectPr w:rsidR="00E317C4" w:rsidRPr="009329AB" w:rsidSect="009329AB">
          <w:type w:val="continuous"/>
          <w:pgSz w:w="11907" w:h="16839" w:code="9"/>
          <w:pgMar w:top="1440" w:right="1440" w:bottom="1440" w:left="1440" w:header="720" w:footer="720" w:gutter="0"/>
          <w:cols w:space="720"/>
          <w:docGrid w:linePitch="360"/>
        </w:sectPr>
      </w:pPr>
      <w:r w:rsidRPr="00E3232D">
        <w:rPr>
          <w:rFonts w:ascii="Book Antiqua" w:hAnsi="Book Antiqua"/>
        </w:rPr>
        <w:t>Pe – electrical power</w:t>
      </w:r>
    </w:p>
    <w:p w14:paraId="409D87F4" w14:textId="77777777" w:rsidR="009329AB" w:rsidRPr="00E3232D" w:rsidRDefault="009329AB" w:rsidP="007B0865">
      <w:pPr>
        <w:pStyle w:val="NoSpacing"/>
        <w:spacing w:line="276" w:lineRule="auto"/>
        <w:jc w:val="both"/>
        <w:rPr>
          <w:rFonts w:ascii="Book Antiqua" w:hAnsi="Book Antiqua"/>
        </w:rPr>
      </w:pPr>
      <w:r w:rsidRPr="00E3232D">
        <w:rPr>
          <w:rFonts w:ascii="Book Antiqua" w:hAnsi="Book Antiqua"/>
        </w:rPr>
        <w:t>P</w:t>
      </w:r>
      <w:r w:rsidRPr="00E3232D">
        <w:rPr>
          <w:rFonts w:ascii="Book Antiqua" w:hAnsi="Book Antiqua"/>
          <w:vertAlign w:val="subscript"/>
        </w:rPr>
        <w:t xml:space="preserve">m </w:t>
      </w:r>
      <w:r w:rsidRPr="00E3232D">
        <w:rPr>
          <w:rFonts w:ascii="Book Antiqua" w:hAnsi="Book Antiqua"/>
        </w:rPr>
        <w:t>= P</w:t>
      </w:r>
      <w:r w:rsidRPr="00E3232D">
        <w:rPr>
          <w:rFonts w:ascii="Book Antiqua" w:hAnsi="Book Antiqua"/>
          <w:vertAlign w:val="subscript"/>
        </w:rPr>
        <w:t xml:space="preserve">e                    </w:t>
      </w:r>
      <w:r w:rsidRPr="00E3232D">
        <w:rPr>
          <w:rFonts w:ascii="Book Antiqua" w:hAnsi="Book Antiqua"/>
        </w:rPr>
        <w:t>a</w:t>
      </w:r>
    </w:p>
    <w:p w14:paraId="7675696A" w14:textId="77777777" w:rsidR="00D23BD3" w:rsidRDefault="00D23BD3" w:rsidP="007B0865">
      <w:pPr>
        <w:pStyle w:val="NoSpacing"/>
        <w:spacing w:line="276" w:lineRule="auto"/>
        <w:jc w:val="both"/>
        <w:rPr>
          <w:rFonts w:ascii="Book Antiqua" w:hAnsi="Book Antiqua"/>
          <w:b/>
        </w:rPr>
      </w:pPr>
    </w:p>
    <w:p w14:paraId="1159F62E" w14:textId="77777777" w:rsidR="00D23BD3" w:rsidRDefault="00D23BD3" w:rsidP="007B0865">
      <w:pPr>
        <w:pStyle w:val="NoSpacing"/>
        <w:spacing w:line="276" w:lineRule="auto"/>
        <w:jc w:val="both"/>
        <w:rPr>
          <w:rFonts w:ascii="Book Antiqua" w:hAnsi="Book Antiqua"/>
          <w:b/>
        </w:rPr>
      </w:pPr>
    </w:p>
    <w:p w14:paraId="43460120" w14:textId="77777777" w:rsidR="00D23BD3" w:rsidRDefault="00D23BD3" w:rsidP="007B0865">
      <w:pPr>
        <w:pStyle w:val="NoSpacing"/>
        <w:spacing w:line="276" w:lineRule="auto"/>
        <w:jc w:val="both"/>
        <w:rPr>
          <w:rFonts w:ascii="Book Antiqua" w:hAnsi="Book Antiqua"/>
          <w:b/>
        </w:rPr>
      </w:pPr>
    </w:p>
    <w:p w14:paraId="6FA60E3A" w14:textId="77777777" w:rsidR="00D23BD3" w:rsidRDefault="00D23BD3" w:rsidP="007B0865">
      <w:pPr>
        <w:pStyle w:val="NoSpacing"/>
        <w:spacing w:line="276" w:lineRule="auto"/>
        <w:jc w:val="both"/>
        <w:rPr>
          <w:rFonts w:ascii="Book Antiqua" w:hAnsi="Book Antiqua"/>
          <w:b/>
        </w:rPr>
        <w:sectPr w:rsidR="00D23BD3" w:rsidSect="00D23BD3">
          <w:type w:val="continuous"/>
          <w:pgSz w:w="11907" w:h="16839" w:code="9"/>
          <w:pgMar w:top="1440" w:right="1440" w:bottom="1440" w:left="1440" w:header="720" w:footer="720" w:gutter="0"/>
          <w:cols w:num="2" w:space="720"/>
          <w:docGrid w:linePitch="360"/>
        </w:sectPr>
      </w:pPr>
    </w:p>
    <w:p w14:paraId="507CAC99" w14:textId="77777777" w:rsidR="007B0865" w:rsidRDefault="007B0865" w:rsidP="007B0865">
      <w:pPr>
        <w:pStyle w:val="NoSpacing"/>
        <w:spacing w:line="276" w:lineRule="auto"/>
        <w:jc w:val="both"/>
        <w:rPr>
          <w:rFonts w:ascii="Book Antiqua" w:hAnsi="Book Antiqua"/>
          <w:b/>
        </w:rPr>
      </w:pPr>
    </w:p>
    <w:p w14:paraId="59F64837" w14:textId="77777777" w:rsidR="007B0865" w:rsidRDefault="007B0865" w:rsidP="007B0865">
      <w:pPr>
        <w:pStyle w:val="NoSpacing"/>
        <w:spacing w:line="276" w:lineRule="auto"/>
        <w:jc w:val="both"/>
        <w:rPr>
          <w:rFonts w:ascii="Book Antiqua" w:hAnsi="Book Antiqua"/>
          <w:b/>
        </w:rPr>
      </w:pPr>
    </w:p>
    <w:p w14:paraId="583D4FA1" w14:textId="77777777" w:rsidR="00E317C4" w:rsidRPr="00E3232D" w:rsidRDefault="00E317C4" w:rsidP="007B0865">
      <w:pPr>
        <w:pStyle w:val="NoSpacing"/>
        <w:spacing w:line="276" w:lineRule="auto"/>
        <w:ind w:left="450" w:hanging="450"/>
        <w:jc w:val="both"/>
        <w:rPr>
          <w:rFonts w:ascii="Book Antiqua" w:hAnsi="Book Antiqua"/>
          <w:b/>
        </w:rPr>
      </w:pPr>
      <w:r w:rsidRPr="00E3232D">
        <w:rPr>
          <w:rFonts w:ascii="Book Antiqua" w:hAnsi="Book Antiqua"/>
          <w:b/>
        </w:rPr>
        <w:t xml:space="preserve">5.5 Electrical </w:t>
      </w:r>
      <w:r w:rsidR="007B0865" w:rsidRPr="00E3232D">
        <w:rPr>
          <w:rFonts w:ascii="Book Antiqua" w:hAnsi="Book Antiqua"/>
          <w:b/>
        </w:rPr>
        <w:t>Motors Hum</w:t>
      </w:r>
      <w:r w:rsidRPr="00E3232D">
        <w:rPr>
          <w:rFonts w:ascii="Book Antiqua" w:hAnsi="Book Antiqua"/>
          <w:b/>
        </w:rPr>
        <w:t xml:space="preserve">, </w:t>
      </w:r>
      <w:r w:rsidR="007B0865" w:rsidRPr="00E3232D">
        <w:rPr>
          <w:rFonts w:ascii="Book Antiqua" w:hAnsi="Book Antiqua"/>
          <w:b/>
        </w:rPr>
        <w:t>One Burns Out</w:t>
      </w:r>
    </w:p>
    <w:p w14:paraId="4324B1AC"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Being the effects of supply voltage phase unbalance on induction motors as discussed in 2.8, the 660 kW electric motor which drives a mixed flow centrifugal pump got overheated from over-current. By definition,</w:t>
      </w:r>
    </w:p>
    <w:p w14:paraId="71C0F9AF" w14:textId="77777777" w:rsidR="00A40B4F" w:rsidRDefault="00A40B4F" w:rsidP="001A6AB8">
      <w:pPr>
        <w:pStyle w:val="NoSpacing"/>
        <w:spacing w:line="276" w:lineRule="auto"/>
        <w:jc w:val="both"/>
        <w:rPr>
          <w:rFonts w:ascii="Book Antiqua" w:hAnsi="Book Antiqua"/>
        </w:rPr>
      </w:pPr>
    </w:p>
    <w:p w14:paraId="1337A57D"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Electrical energy within a period, W = I</w:t>
      </w:r>
      <w:r w:rsidRPr="00E3232D">
        <w:rPr>
          <w:rFonts w:ascii="Book Antiqua" w:hAnsi="Book Antiqua"/>
          <w:vertAlign w:val="superscript"/>
        </w:rPr>
        <w:t>2</w:t>
      </w:r>
      <w:r w:rsidRPr="00E3232D">
        <w:rPr>
          <w:rFonts w:ascii="Book Antiqua" w:hAnsi="Book Antiqua"/>
        </w:rPr>
        <w:t>R                                              (12)</w:t>
      </w:r>
    </w:p>
    <w:p w14:paraId="58D46A13" w14:textId="77777777" w:rsidR="00E317C4" w:rsidRPr="00E3232D" w:rsidRDefault="00E317C4" w:rsidP="001A6AB8">
      <w:pPr>
        <w:pStyle w:val="NoSpacing"/>
        <w:spacing w:line="276" w:lineRule="auto"/>
        <w:jc w:val="both"/>
        <w:rPr>
          <w:rFonts w:ascii="Book Antiqua" w:hAnsi="Book Antiqua"/>
        </w:rPr>
      </w:pPr>
    </w:p>
    <w:p w14:paraId="67F6478C"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 xml:space="preserve">Where I, denotes current through the motor windings and R is the winding resistance. </w:t>
      </w:r>
    </w:p>
    <w:p w14:paraId="6E23AE3B"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If W is converted to heat, Q (which by definition, Q = mcθ), since there is no energy storage here, then</w:t>
      </w:r>
    </w:p>
    <w:p w14:paraId="69E00E9C" w14:textId="77777777" w:rsidR="00D23BD3" w:rsidRDefault="00D23BD3" w:rsidP="001A6AB8">
      <w:pPr>
        <w:pStyle w:val="NoSpacing"/>
        <w:spacing w:line="276" w:lineRule="auto"/>
        <w:jc w:val="both"/>
        <w:rPr>
          <w:rFonts w:ascii="Book Antiqua" w:hAnsi="Book Antiqua"/>
        </w:rPr>
        <w:sectPr w:rsidR="00D23BD3" w:rsidSect="00A40B4F">
          <w:type w:val="continuous"/>
          <w:pgSz w:w="11907" w:h="16839" w:code="9"/>
          <w:pgMar w:top="1440" w:right="1440" w:bottom="1440" w:left="1440" w:header="720" w:footer="720" w:gutter="0"/>
          <w:cols w:num="2" w:space="720"/>
          <w:docGrid w:linePitch="360"/>
        </w:sectPr>
      </w:pPr>
    </w:p>
    <w:p w14:paraId="539D5634" w14:textId="77777777" w:rsidR="00E317C4" w:rsidRPr="00E3232D" w:rsidRDefault="00D23BD3" w:rsidP="00D23BD3">
      <w:pPr>
        <w:pStyle w:val="NoSpacing"/>
        <w:tabs>
          <w:tab w:val="left" w:pos="7125"/>
        </w:tabs>
        <w:spacing w:line="276" w:lineRule="auto"/>
        <w:jc w:val="both"/>
        <w:rPr>
          <w:rFonts w:ascii="Book Antiqua" w:hAnsi="Book Antiqua"/>
        </w:rPr>
      </w:pPr>
      <w:r>
        <w:rPr>
          <w:rFonts w:ascii="Book Antiqua" w:hAnsi="Book Antiqua"/>
        </w:rPr>
        <w:tab/>
      </w:r>
    </w:p>
    <w:p w14:paraId="5600F96F" w14:textId="77777777" w:rsidR="00D23BD3" w:rsidRDefault="00D23BD3" w:rsidP="001A6AB8">
      <w:pPr>
        <w:pStyle w:val="NoSpacing"/>
        <w:spacing w:line="276" w:lineRule="auto"/>
        <w:jc w:val="both"/>
        <w:rPr>
          <w:rFonts w:ascii="Book Antiqua" w:hAnsi="Book Antiqua"/>
        </w:rPr>
        <w:sectPr w:rsidR="00D23BD3" w:rsidSect="00A40B4F">
          <w:type w:val="continuous"/>
          <w:pgSz w:w="11907" w:h="16839" w:code="9"/>
          <w:pgMar w:top="1440" w:right="1440" w:bottom="1440" w:left="1440" w:header="720" w:footer="720" w:gutter="0"/>
          <w:cols w:num="2" w:space="720"/>
          <w:docGrid w:linePitch="360"/>
        </w:sectPr>
      </w:pPr>
    </w:p>
    <w:p w14:paraId="7E6DEA6B"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 xml:space="preserve">                                   mcθ = I</w:t>
      </w:r>
      <w:r w:rsidRPr="00E3232D">
        <w:rPr>
          <w:rFonts w:ascii="Book Antiqua" w:hAnsi="Book Antiqua"/>
          <w:vertAlign w:val="superscript"/>
        </w:rPr>
        <w:t>2</w:t>
      </w:r>
      <w:r w:rsidRPr="00E3232D">
        <w:rPr>
          <w:rFonts w:ascii="Book Antiqua" w:hAnsi="Book Antiqua"/>
        </w:rPr>
        <w:t>R                                                              (13)</w:t>
      </w:r>
    </w:p>
    <w:p w14:paraId="59C6F591"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 xml:space="preserve"> m denotes the mass of the windings</w:t>
      </w:r>
    </w:p>
    <w:p w14:paraId="40C7AEB1" w14:textId="77777777" w:rsidR="009329AB" w:rsidRDefault="009329AB" w:rsidP="001A6AB8">
      <w:pPr>
        <w:pStyle w:val="NoSpacing"/>
        <w:spacing w:line="276" w:lineRule="auto"/>
        <w:jc w:val="both"/>
        <w:rPr>
          <w:rFonts w:ascii="Book Antiqua" w:hAnsi="Book Antiqua"/>
        </w:rPr>
        <w:sectPr w:rsidR="009329AB" w:rsidSect="00A40B4F">
          <w:type w:val="continuous"/>
          <w:pgSz w:w="11907" w:h="16839" w:code="9"/>
          <w:pgMar w:top="1440" w:right="1440" w:bottom="1440" w:left="1440" w:header="720" w:footer="720" w:gutter="0"/>
          <w:cols w:num="2" w:space="720"/>
          <w:docGrid w:linePitch="360"/>
        </w:sectPr>
      </w:pPr>
    </w:p>
    <w:p w14:paraId="47858F2C"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c denotes the specific heat capacity of the windings and</w:t>
      </w:r>
    </w:p>
    <w:p w14:paraId="69D260C6"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θ, the temperature of the windings</w:t>
      </w:r>
    </w:p>
    <w:p w14:paraId="46D78B4F" w14:textId="77777777" w:rsidR="00E317C4" w:rsidRPr="00E3232D" w:rsidRDefault="00E317C4" w:rsidP="001A6AB8">
      <w:pPr>
        <w:pStyle w:val="NoSpacing"/>
        <w:spacing w:line="276" w:lineRule="auto"/>
        <w:jc w:val="both"/>
        <w:rPr>
          <w:rFonts w:ascii="Book Antiqua" w:hAnsi="Book Antiqua"/>
        </w:rPr>
      </w:pPr>
    </w:p>
    <w:p w14:paraId="56082772"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since m, c and R are constants</w:t>
      </w:r>
    </w:p>
    <w:p w14:paraId="11DE20C6"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 xml:space="preserve">                                   θ α I</w:t>
      </w:r>
      <w:r w:rsidRPr="00E3232D">
        <w:rPr>
          <w:rFonts w:ascii="Book Antiqua" w:hAnsi="Book Antiqua"/>
          <w:vertAlign w:val="superscript"/>
        </w:rPr>
        <w:t>2</w:t>
      </w:r>
      <w:r w:rsidRPr="00E3232D">
        <w:rPr>
          <w:rFonts w:ascii="Book Antiqua" w:hAnsi="Book Antiqua"/>
        </w:rPr>
        <w:t xml:space="preserve">                                                                      (14)</w:t>
      </w:r>
    </w:p>
    <w:p w14:paraId="119C1609"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Hence as the current increased sharply the winding temperature experienced a corresponding rise leading to the burning of the windings.</w:t>
      </w:r>
    </w:p>
    <w:p w14:paraId="2C062366" w14:textId="77777777" w:rsidR="001A6AB8" w:rsidRDefault="001A6AB8" w:rsidP="001A6AB8">
      <w:pPr>
        <w:pStyle w:val="NoSpacing"/>
        <w:spacing w:line="276" w:lineRule="auto"/>
        <w:jc w:val="both"/>
        <w:rPr>
          <w:rFonts w:ascii="Book Antiqua" w:hAnsi="Book Antiqua"/>
          <w:b/>
        </w:rPr>
      </w:pPr>
    </w:p>
    <w:p w14:paraId="0288C884" w14:textId="77777777" w:rsidR="00E317C4" w:rsidRPr="001A6AB8" w:rsidRDefault="00136F0B" w:rsidP="001A6AB8">
      <w:pPr>
        <w:pStyle w:val="NoSpacing"/>
        <w:spacing w:line="276" w:lineRule="auto"/>
        <w:jc w:val="both"/>
        <w:rPr>
          <w:rFonts w:ascii="Book Antiqua" w:hAnsi="Book Antiqua"/>
          <w:b/>
          <w:sz w:val="26"/>
          <w:szCs w:val="26"/>
        </w:rPr>
      </w:pPr>
      <w:r>
        <w:rPr>
          <w:rFonts w:ascii="Book Antiqua" w:hAnsi="Book Antiqua"/>
          <w:b/>
          <w:sz w:val="26"/>
          <w:szCs w:val="26"/>
        </w:rPr>
        <w:t>5.0</w:t>
      </w:r>
      <w:r w:rsidR="00E317C4" w:rsidRPr="001A6AB8">
        <w:rPr>
          <w:rFonts w:ascii="Book Antiqua" w:hAnsi="Book Antiqua"/>
          <w:b/>
          <w:sz w:val="26"/>
          <w:szCs w:val="26"/>
        </w:rPr>
        <w:t xml:space="preserve"> Conclusions</w:t>
      </w:r>
    </w:p>
    <w:p w14:paraId="548115DE" w14:textId="77777777" w:rsidR="00E317C4" w:rsidRPr="00E3232D" w:rsidRDefault="00E317C4" w:rsidP="001A6AB8">
      <w:pPr>
        <w:pStyle w:val="NoSpacing"/>
        <w:spacing w:line="276" w:lineRule="auto"/>
        <w:jc w:val="both"/>
        <w:rPr>
          <w:rFonts w:ascii="Book Antiqua" w:hAnsi="Book Antiqua"/>
        </w:rPr>
      </w:pPr>
      <w:r w:rsidRPr="00E3232D">
        <w:rPr>
          <w:rFonts w:ascii="Book Antiqua" w:hAnsi="Book Antiqua"/>
        </w:rPr>
        <w:t>The conclusions of the investigation are as follows:</w:t>
      </w:r>
    </w:p>
    <w:p w14:paraId="7730BC0A" w14:textId="77777777" w:rsidR="00E317C4" w:rsidRPr="00E3232D" w:rsidRDefault="00E317C4" w:rsidP="00196385">
      <w:pPr>
        <w:pStyle w:val="NoSpacing"/>
        <w:numPr>
          <w:ilvl w:val="0"/>
          <w:numId w:val="126"/>
        </w:numPr>
        <w:spacing w:line="276" w:lineRule="auto"/>
        <w:jc w:val="both"/>
        <w:rPr>
          <w:rFonts w:ascii="Book Antiqua" w:hAnsi="Book Antiqua"/>
          <w:b/>
        </w:rPr>
      </w:pPr>
      <w:r w:rsidRPr="00E3232D">
        <w:rPr>
          <w:rFonts w:ascii="Book Antiqua" w:hAnsi="Book Antiqua"/>
        </w:rPr>
        <w:t>Poor vacuum  in the air ejector condenser as a result of a malfunctioning sealing steam pressure control valve necessitated the synchronising of the embedded generator to the ECG distribution grid.</w:t>
      </w:r>
    </w:p>
    <w:p w14:paraId="23AACD09" w14:textId="77777777" w:rsidR="00E317C4" w:rsidRPr="00E3232D" w:rsidRDefault="00E317C4" w:rsidP="00196385">
      <w:pPr>
        <w:pStyle w:val="NoSpacing"/>
        <w:numPr>
          <w:ilvl w:val="0"/>
          <w:numId w:val="126"/>
        </w:numPr>
        <w:spacing w:line="276" w:lineRule="auto"/>
        <w:jc w:val="both"/>
        <w:rPr>
          <w:rFonts w:ascii="Book Antiqua" w:hAnsi="Book Antiqua"/>
          <w:b/>
        </w:rPr>
      </w:pPr>
      <w:r w:rsidRPr="00E3232D">
        <w:rPr>
          <w:rFonts w:ascii="Book Antiqua" w:hAnsi="Book Antiqua"/>
        </w:rPr>
        <w:t>ECG and TOR personnel failed to conduct the necessary test after the execution of the overhead conductor upgrading job.</w:t>
      </w:r>
    </w:p>
    <w:p w14:paraId="6A88A06B" w14:textId="77777777" w:rsidR="00E317C4" w:rsidRPr="00E3232D" w:rsidRDefault="00E317C4" w:rsidP="00196385">
      <w:pPr>
        <w:pStyle w:val="NoSpacing"/>
        <w:numPr>
          <w:ilvl w:val="0"/>
          <w:numId w:val="126"/>
        </w:numPr>
        <w:spacing w:line="276" w:lineRule="auto"/>
        <w:jc w:val="both"/>
        <w:rPr>
          <w:rFonts w:ascii="Book Antiqua" w:hAnsi="Book Antiqua"/>
          <w:b/>
        </w:rPr>
      </w:pPr>
      <w:r w:rsidRPr="00E3232D">
        <w:rPr>
          <w:rFonts w:ascii="Book Antiqua" w:hAnsi="Book Antiqua"/>
        </w:rPr>
        <w:t>The motor protection failed to operate fast enough to save the motor that got damaged.</w:t>
      </w:r>
    </w:p>
    <w:p w14:paraId="167F1405" w14:textId="77777777" w:rsidR="00A40B4F" w:rsidRDefault="00A40B4F" w:rsidP="001A6AB8">
      <w:pPr>
        <w:pStyle w:val="NoSpacing"/>
        <w:spacing w:line="276" w:lineRule="auto"/>
        <w:jc w:val="both"/>
        <w:rPr>
          <w:rFonts w:ascii="Book Antiqua" w:hAnsi="Book Antiqua"/>
          <w:b/>
        </w:rPr>
      </w:pPr>
    </w:p>
    <w:p w14:paraId="242FD3EB" w14:textId="77777777" w:rsidR="00E317C4" w:rsidRPr="001A6AB8" w:rsidRDefault="00E317C4" w:rsidP="001A6AB8">
      <w:pPr>
        <w:pStyle w:val="NoSpacing"/>
        <w:spacing w:line="276" w:lineRule="auto"/>
        <w:jc w:val="both"/>
        <w:rPr>
          <w:rFonts w:ascii="Book Antiqua" w:hAnsi="Book Antiqua"/>
          <w:b/>
          <w:sz w:val="26"/>
          <w:szCs w:val="26"/>
        </w:rPr>
      </w:pPr>
      <w:r w:rsidRPr="001A6AB8">
        <w:rPr>
          <w:rFonts w:ascii="Book Antiqua" w:hAnsi="Book Antiqua"/>
          <w:b/>
          <w:sz w:val="26"/>
          <w:szCs w:val="26"/>
        </w:rPr>
        <w:t>Recommendations</w:t>
      </w:r>
    </w:p>
    <w:p w14:paraId="59E19884" w14:textId="77777777" w:rsidR="00E317C4" w:rsidRPr="00E3232D" w:rsidRDefault="00E317C4" w:rsidP="00196385">
      <w:pPr>
        <w:pStyle w:val="NoSpacing"/>
        <w:numPr>
          <w:ilvl w:val="0"/>
          <w:numId w:val="122"/>
        </w:numPr>
        <w:spacing w:line="276" w:lineRule="auto"/>
        <w:jc w:val="both"/>
        <w:rPr>
          <w:rFonts w:ascii="Book Antiqua" w:hAnsi="Book Antiqua"/>
          <w:b/>
        </w:rPr>
      </w:pPr>
      <w:r w:rsidRPr="00E3232D">
        <w:rPr>
          <w:rFonts w:ascii="Book Antiqua" w:hAnsi="Book Antiqua"/>
          <w:b/>
        </w:rPr>
        <w:t>Sealing steam control valve</w:t>
      </w:r>
    </w:p>
    <w:p w14:paraId="3EA4D7FF" w14:textId="77777777" w:rsidR="00E317C4" w:rsidRPr="00E3232D" w:rsidRDefault="00E317C4" w:rsidP="001A6AB8">
      <w:pPr>
        <w:pStyle w:val="NoSpacing"/>
        <w:spacing w:line="276" w:lineRule="auto"/>
        <w:ind w:left="720"/>
        <w:jc w:val="both"/>
        <w:rPr>
          <w:rFonts w:ascii="Book Antiqua" w:hAnsi="Book Antiqua"/>
          <w:b/>
        </w:rPr>
      </w:pPr>
      <w:r w:rsidRPr="00E3232D">
        <w:rPr>
          <w:rFonts w:ascii="Book Antiqua" w:hAnsi="Book Antiqua"/>
        </w:rPr>
        <w:t>It must be ensured that the instrument supply to the sealing</w:t>
      </w:r>
      <w:r w:rsidRPr="00E3232D">
        <w:rPr>
          <w:rFonts w:ascii="Book Antiqua" w:hAnsi="Book Antiqua"/>
          <w:b/>
        </w:rPr>
        <w:t xml:space="preserve"> </w:t>
      </w:r>
      <w:r w:rsidRPr="00E3232D">
        <w:rPr>
          <w:rFonts w:ascii="Book Antiqua" w:hAnsi="Book Antiqua"/>
        </w:rPr>
        <w:t>steam control valve is dry.</w:t>
      </w:r>
      <w:r w:rsidRPr="00E3232D">
        <w:rPr>
          <w:rFonts w:ascii="Book Antiqua" w:hAnsi="Book Antiqua"/>
          <w:b/>
        </w:rPr>
        <w:t xml:space="preserve"> </w:t>
      </w:r>
    </w:p>
    <w:p w14:paraId="54FF1585" w14:textId="77777777" w:rsidR="00E317C4" w:rsidRPr="00E3232D" w:rsidRDefault="00E317C4" w:rsidP="00196385">
      <w:pPr>
        <w:pStyle w:val="NoSpacing"/>
        <w:numPr>
          <w:ilvl w:val="0"/>
          <w:numId w:val="122"/>
        </w:numPr>
        <w:spacing w:line="276" w:lineRule="auto"/>
        <w:jc w:val="both"/>
        <w:rPr>
          <w:rFonts w:ascii="Book Antiqua" w:hAnsi="Book Antiqua"/>
          <w:b/>
        </w:rPr>
      </w:pPr>
      <w:r w:rsidRPr="00E3232D">
        <w:rPr>
          <w:rFonts w:ascii="Book Antiqua" w:hAnsi="Book Antiqua"/>
          <w:b/>
        </w:rPr>
        <w:t>ECG</w:t>
      </w:r>
    </w:p>
    <w:p w14:paraId="58E97EE2" w14:textId="77777777" w:rsidR="00E317C4" w:rsidRPr="00E3232D" w:rsidRDefault="00E317C4" w:rsidP="001A6AB8">
      <w:pPr>
        <w:pStyle w:val="NoSpacing"/>
        <w:spacing w:line="276" w:lineRule="auto"/>
        <w:ind w:left="720"/>
        <w:jc w:val="both"/>
        <w:rPr>
          <w:rFonts w:ascii="Book Antiqua" w:hAnsi="Book Antiqua"/>
        </w:rPr>
      </w:pPr>
      <w:r w:rsidRPr="00E3232D">
        <w:rPr>
          <w:rFonts w:ascii="Book Antiqua" w:hAnsi="Book Antiqua"/>
        </w:rPr>
        <w:t xml:space="preserve">Upon the completion of installation or maintenance works: </w:t>
      </w:r>
    </w:p>
    <w:p w14:paraId="10B58FB4" w14:textId="77777777" w:rsidR="00E317C4" w:rsidRPr="00E3232D" w:rsidRDefault="00E317C4" w:rsidP="00196385">
      <w:pPr>
        <w:pStyle w:val="NoSpacing"/>
        <w:numPr>
          <w:ilvl w:val="1"/>
          <w:numId w:val="122"/>
        </w:numPr>
        <w:spacing w:line="276" w:lineRule="auto"/>
        <w:jc w:val="both"/>
        <w:rPr>
          <w:rFonts w:ascii="Book Antiqua" w:hAnsi="Book Antiqua"/>
        </w:rPr>
      </w:pPr>
      <w:r w:rsidRPr="00E3232D">
        <w:rPr>
          <w:rFonts w:ascii="Book Antiqua" w:hAnsi="Book Antiqua"/>
        </w:rPr>
        <w:t>the ECG engineer must inspect the work done</w:t>
      </w:r>
    </w:p>
    <w:p w14:paraId="20569993" w14:textId="77777777" w:rsidR="00E317C4" w:rsidRPr="00E3232D" w:rsidRDefault="00E317C4" w:rsidP="00196385">
      <w:pPr>
        <w:pStyle w:val="NoSpacing"/>
        <w:numPr>
          <w:ilvl w:val="1"/>
          <w:numId w:val="122"/>
        </w:numPr>
        <w:spacing w:line="276" w:lineRule="auto"/>
        <w:jc w:val="both"/>
        <w:rPr>
          <w:rFonts w:ascii="Book Antiqua" w:hAnsi="Book Antiqua"/>
        </w:rPr>
      </w:pPr>
      <w:r w:rsidRPr="00E3232D">
        <w:rPr>
          <w:rFonts w:ascii="Book Antiqua" w:hAnsi="Book Antiqua"/>
        </w:rPr>
        <w:t>the distribution transformer must be put on potential by closing the primary circuit breaker</w:t>
      </w:r>
    </w:p>
    <w:p w14:paraId="354E642F" w14:textId="77777777" w:rsidR="00E317C4" w:rsidRPr="00E3232D" w:rsidRDefault="00E317C4" w:rsidP="00196385">
      <w:pPr>
        <w:pStyle w:val="NoSpacing"/>
        <w:numPr>
          <w:ilvl w:val="1"/>
          <w:numId w:val="122"/>
        </w:numPr>
        <w:spacing w:line="276" w:lineRule="auto"/>
        <w:jc w:val="both"/>
        <w:rPr>
          <w:rFonts w:ascii="Book Antiqua" w:hAnsi="Book Antiqua"/>
        </w:rPr>
      </w:pPr>
      <w:r w:rsidRPr="00E3232D">
        <w:rPr>
          <w:rFonts w:ascii="Book Antiqua" w:hAnsi="Book Antiqua"/>
        </w:rPr>
        <w:t>the distribution line should be energized by closing bus tie CB 12. Synchronisation is necessary if busbar A is live.</w:t>
      </w:r>
    </w:p>
    <w:p w14:paraId="1B66395E" w14:textId="77777777" w:rsidR="00E317C4" w:rsidRPr="00E3232D" w:rsidRDefault="00E317C4" w:rsidP="00196385">
      <w:pPr>
        <w:pStyle w:val="NoSpacing"/>
        <w:numPr>
          <w:ilvl w:val="1"/>
          <w:numId w:val="122"/>
        </w:numPr>
        <w:spacing w:line="276" w:lineRule="auto"/>
        <w:rPr>
          <w:rFonts w:ascii="Book Antiqua" w:hAnsi="Book Antiqua"/>
        </w:rPr>
      </w:pPr>
      <w:r w:rsidRPr="00E3232D">
        <w:rPr>
          <w:rFonts w:ascii="Book Antiqua" w:hAnsi="Book Antiqua"/>
        </w:rPr>
        <w:t>TOR must start one electric motor to check the direction of rotation and monitor the following parameters:</w:t>
      </w:r>
    </w:p>
    <w:p w14:paraId="3BB379E7" w14:textId="77777777" w:rsidR="00A40B4F" w:rsidRDefault="00A40B4F" w:rsidP="00196385">
      <w:pPr>
        <w:pStyle w:val="NoSpacing"/>
        <w:numPr>
          <w:ilvl w:val="2"/>
          <w:numId w:val="122"/>
        </w:numPr>
        <w:spacing w:line="276" w:lineRule="auto"/>
        <w:rPr>
          <w:rFonts w:ascii="Book Antiqua" w:hAnsi="Book Antiqua"/>
        </w:rPr>
        <w:sectPr w:rsidR="00A40B4F" w:rsidSect="00A40B4F">
          <w:type w:val="continuous"/>
          <w:pgSz w:w="11907" w:h="16839" w:code="9"/>
          <w:pgMar w:top="1440" w:right="1440" w:bottom="1440" w:left="1440" w:header="720" w:footer="720" w:gutter="0"/>
          <w:cols w:num="2" w:space="720"/>
          <w:docGrid w:linePitch="360"/>
        </w:sectPr>
      </w:pPr>
    </w:p>
    <w:p w14:paraId="6F5879F1" w14:textId="77777777" w:rsidR="00E317C4" w:rsidRPr="00E3232D" w:rsidRDefault="00E317C4" w:rsidP="00196385">
      <w:pPr>
        <w:pStyle w:val="NoSpacing"/>
        <w:numPr>
          <w:ilvl w:val="2"/>
          <w:numId w:val="122"/>
        </w:numPr>
        <w:spacing w:line="276" w:lineRule="auto"/>
        <w:rPr>
          <w:rFonts w:ascii="Book Antiqua" w:hAnsi="Book Antiqua"/>
        </w:rPr>
      </w:pPr>
      <w:r w:rsidRPr="00E3232D">
        <w:rPr>
          <w:rFonts w:ascii="Book Antiqua" w:hAnsi="Book Antiqua"/>
        </w:rPr>
        <w:t>line voltages</w:t>
      </w:r>
    </w:p>
    <w:p w14:paraId="304B0963" w14:textId="77777777" w:rsidR="00E317C4" w:rsidRPr="00E3232D" w:rsidRDefault="00E317C4" w:rsidP="00196385">
      <w:pPr>
        <w:pStyle w:val="NoSpacing"/>
        <w:numPr>
          <w:ilvl w:val="2"/>
          <w:numId w:val="122"/>
        </w:numPr>
        <w:spacing w:line="276" w:lineRule="auto"/>
        <w:rPr>
          <w:rFonts w:ascii="Book Antiqua" w:hAnsi="Book Antiqua"/>
        </w:rPr>
      </w:pPr>
      <w:r w:rsidRPr="00E3232D">
        <w:rPr>
          <w:rFonts w:ascii="Book Antiqua" w:hAnsi="Book Antiqua"/>
        </w:rPr>
        <w:t>line currents</w:t>
      </w:r>
    </w:p>
    <w:p w14:paraId="49B3F81A" w14:textId="77777777" w:rsidR="00E317C4" w:rsidRPr="00E3232D" w:rsidRDefault="00E317C4" w:rsidP="00196385">
      <w:pPr>
        <w:pStyle w:val="NoSpacing"/>
        <w:numPr>
          <w:ilvl w:val="2"/>
          <w:numId w:val="122"/>
        </w:numPr>
        <w:spacing w:line="276" w:lineRule="auto"/>
        <w:rPr>
          <w:rFonts w:ascii="Book Antiqua" w:hAnsi="Book Antiqua"/>
        </w:rPr>
      </w:pPr>
      <w:r w:rsidRPr="00E3232D">
        <w:rPr>
          <w:rFonts w:ascii="Book Antiqua" w:hAnsi="Book Antiqua"/>
        </w:rPr>
        <w:t xml:space="preserve">Power factor and </w:t>
      </w:r>
    </w:p>
    <w:p w14:paraId="1841CED2" w14:textId="77777777" w:rsidR="00E317C4" w:rsidRPr="00E3232D" w:rsidRDefault="00E317C4" w:rsidP="00196385">
      <w:pPr>
        <w:pStyle w:val="NoSpacing"/>
        <w:numPr>
          <w:ilvl w:val="2"/>
          <w:numId w:val="122"/>
        </w:numPr>
        <w:spacing w:line="276" w:lineRule="auto"/>
        <w:rPr>
          <w:rFonts w:ascii="Book Antiqua" w:hAnsi="Book Antiqua"/>
        </w:rPr>
      </w:pPr>
      <w:r w:rsidRPr="00E3232D">
        <w:rPr>
          <w:rFonts w:ascii="Book Antiqua" w:hAnsi="Book Antiqua"/>
        </w:rPr>
        <w:t>frequency</w:t>
      </w:r>
    </w:p>
    <w:p w14:paraId="2FA80BCE" w14:textId="77777777" w:rsidR="00E317C4" w:rsidRPr="00E3232D" w:rsidRDefault="00E317C4" w:rsidP="00196385">
      <w:pPr>
        <w:pStyle w:val="NoSpacing"/>
        <w:numPr>
          <w:ilvl w:val="1"/>
          <w:numId w:val="122"/>
        </w:numPr>
        <w:spacing w:line="276" w:lineRule="auto"/>
        <w:rPr>
          <w:rFonts w:ascii="Book Antiqua" w:hAnsi="Book Antiqua"/>
        </w:rPr>
      </w:pPr>
      <w:r w:rsidRPr="00E3232D">
        <w:rPr>
          <w:rFonts w:ascii="Book Antiqua" w:hAnsi="Book Antiqua"/>
        </w:rPr>
        <w:t xml:space="preserve">Anomalies detected should be corrected </w:t>
      </w:r>
    </w:p>
    <w:p w14:paraId="5CD9BC8B" w14:textId="77777777" w:rsidR="00E317C4" w:rsidRPr="00E3232D" w:rsidRDefault="00E317C4" w:rsidP="007A2E38">
      <w:pPr>
        <w:pStyle w:val="NoSpacing"/>
        <w:numPr>
          <w:ilvl w:val="1"/>
          <w:numId w:val="122"/>
        </w:numPr>
        <w:spacing w:line="276" w:lineRule="auto"/>
        <w:jc w:val="both"/>
        <w:rPr>
          <w:rFonts w:ascii="Book Antiqua" w:hAnsi="Book Antiqua"/>
        </w:rPr>
      </w:pPr>
      <w:r w:rsidRPr="00E3232D">
        <w:rPr>
          <w:rFonts w:ascii="Book Antiqua" w:hAnsi="Book Antiqua"/>
        </w:rPr>
        <w:t>The ECG engineer can now go ahead to certify the completion of the work.</w:t>
      </w:r>
    </w:p>
    <w:p w14:paraId="2823111D" w14:textId="77777777" w:rsidR="00E317C4" w:rsidRPr="00E3232D" w:rsidRDefault="00E317C4" w:rsidP="008275E1">
      <w:pPr>
        <w:pStyle w:val="NoSpacing"/>
        <w:spacing w:line="276" w:lineRule="auto"/>
        <w:ind w:left="360"/>
        <w:rPr>
          <w:rFonts w:ascii="Book Antiqua" w:hAnsi="Book Antiqua"/>
          <w:b/>
        </w:rPr>
      </w:pPr>
    </w:p>
    <w:p w14:paraId="64545F99" w14:textId="77777777" w:rsidR="00E317C4" w:rsidRPr="00E3232D" w:rsidRDefault="00E317C4" w:rsidP="00196385">
      <w:pPr>
        <w:pStyle w:val="NoSpacing"/>
        <w:numPr>
          <w:ilvl w:val="0"/>
          <w:numId w:val="122"/>
        </w:numPr>
        <w:spacing w:line="276" w:lineRule="auto"/>
        <w:rPr>
          <w:rFonts w:ascii="Book Antiqua" w:hAnsi="Book Antiqua"/>
          <w:b/>
        </w:rPr>
      </w:pPr>
      <w:r w:rsidRPr="00E3232D">
        <w:rPr>
          <w:rFonts w:ascii="Book Antiqua" w:hAnsi="Book Antiqua"/>
          <w:b/>
        </w:rPr>
        <w:t xml:space="preserve">Motor </w:t>
      </w:r>
      <w:r w:rsidR="007A2E38" w:rsidRPr="00E3232D">
        <w:rPr>
          <w:rFonts w:ascii="Book Antiqua" w:hAnsi="Book Antiqua"/>
          <w:b/>
        </w:rPr>
        <w:t>Protection</w:t>
      </w:r>
    </w:p>
    <w:p w14:paraId="13E45729" w14:textId="77777777" w:rsidR="00E317C4" w:rsidRPr="00A40B4F" w:rsidRDefault="00E317C4" w:rsidP="007A2E38">
      <w:pPr>
        <w:pStyle w:val="NoSpacing"/>
        <w:spacing w:line="276" w:lineRule="auto"/>
        <w:ind w:left="360"/>
        <w:jc w:val="both"/>
        <w:rPr>
          <w:rFonts w:ascii="Book Antiqua" w:hAnsi="Book Antiqua"/>
        </w:rPr>
        <w:sectPr w:rsidR="00E317C4" w:rsidRPr="00A40B4F" w:rsidSect="00A40B4F">
          <w:type w:val="continuous"/>
          <w:pgSz w:w="11907" w:h="16839" w:code="9"/>
          <w:pgMar w:top="1440" w:right="1440" w:bottom="1440" w:left="1440" w:header="720" w:footer="720" w:gutter="0"/>
          <w:cols w:num="2" w:space="720"/>
          <w:docGrid w:linePitch="360"/>
        </w:sectPr>
      </w:pPr>
      <w:r w:rsidRPr="00E3232D">
        <w:rPr>
          <w:rFonts w:ascii="Book Antiqua" w:hAnsi="Book Antiqua"/>
        </w:rPr>
        <w:t>The protection of the motors that were affected by the reverse power need to be tested and upgraded</w:t>
      </w:r>
    </w:p>
    <w:p w14:paraId="39F08CEC" w14:textId="77777777" w:rsidR="00A40B4F" w:rsidRDefault="00A40B4F" w:rsidP="007A2E38">
      <w:pPr>
        <w:pStyle w:val="NoSpacing"/>
        <w:spacing w:line="276" w:lineRule="auto"/>
        <w:jc w:val="both"/>
        <w:rPr>
          <w:rFonts w:ascii="Book Antiqua" w:hAnsi="Book Antiqua"/>
          <w:b/>
          <w:sz w:val="26"/>
          <w:szCs w:val="26"/>
        </w:rPr>
      </w:pPr>
    </w:p>
    <w:p w14:paraId="5C5B0915" w14:textId="77777777" w:rsidR="00E317C4" w:rsidRPr="00540F81" w:rsidRDefault="00E317C4" w:rsidP="007A2E38">
      <w:pPr>
        <w:pStyle w:val="NoSpacing"/>
        <w:spacing w:line="276" w:lineRule="auto"/>
        <w:jc w:val="both"/>
        <w:rPr>
          <w:rFonts w:ascii="Book Antiqua" w:hAnsi="Book Antiqua"/>
          <w:b/>
          <w:sz w:val="26"/>
          <w:szCs w:val="26"/>
        </w:rPr>
      </w:pPr>
      <w:r w:rsidRPr="00540F81">
        <w:rPr>
          <w:rFonts w:ascii="Book Antiqua" w:hAnsi="Book Antiqua"/>
          <w:b/>
          <w:sz w:val="26"/>
          <w:szCs w:val="26"/>
        </w:rPr>
        <w:t>References</w:t>
      </w:r>
    </w:p>
    <w:p w14:paraId="2B78522E" w14:textId="77777777" w:rsidR="00E317C4" w:rsidRPr="00E3232D" w:rsidRDefault="00E317C4" w:rsidP="007A2E38">
      <w:pPr>
        <w:pStyle w:val="NoSpacing"/>
        <w:spacing w:line="276" w:lineRule="auto"/>
        <w:jc w:val="both"/>
        <w:rPr>
          <w:rFonts w:ascii="Book Antiqua" w:hAnsi="Book Antiqua"/>
          <w:b/>
        </w:rPr>
      </w:pPr>
    </w:p>
    <w:p w14:paraId="41F58999" w14:textId="77777777" w:rsidR="00E317C4" w:rsidRPr="00E3232D" w:rsidRDefault="00E317C4" w:rsidP="007A2E38">
      <w:pPr>
        <w:pStyle w:val="NoSpacing"/>
        <w:spacing w:line="276" w:lineRule="auto"/>
        <w:ind w:left="720" w:hanging="720"/>
        <w:jc w:val="both"/>
        <w:rPr>
          <w:rFonts w:ascii="Book Antiqua" w:hAnsi="Book Antiqua"/>
          <w:b/>
        </w:rPr>
      </w:pPr>
      <w:r w:rsidRPr="00E3232D">
        <w:rPr>
          <w:rFonts w:ascii="Book Antiqua" w:hAnsi="Book Antiqua"/>
        </w:rPr>
        <w:t>Shinko Electric, (2000). Excitation and Generation Control Panel .Shinko Electric, Japan. 2000</w:t>
      </w:r>
    </w:p>
    <w:p w14:paraId="03AC9917" w14:textId="77777777" w:rsidR="00E317C4" w:rsidRPr="00E3232D" w:rsidRDefault="00E317C4" w:rsidP="007A2E38">
      <w:pPr>
        <w:pStyle w:val="NoSpacing"/>
        <w:spacing w:line="276" w:lineRule="auto"/>
        <w:ind w:left="720" w:hanging="720"/>
        <w:jc w:val="both"/>
        <w:rPr>
          <w:rFonts w:ascii="Book Antiqua" w:hAnsi="Book Antiqua"/>
          <w:b/>
        </w:rPr>
      </w:pPr>
      <w:r w:rsidRPr="00E3232D">
        <w:rPr>
          <w:rFonts w:ascii="Book Antiqua" w:hAnsi="Book Antiqua"/>
        </w:rPr>
        <w:t>Assifuah, J. (2011). Synchronisation in Electrical Power Network. PowerPoint Presentation. Assifuah John, Koforidua. 2011</w:t>
      </w:r>
      <w:r w:rsidRPr="00E3232D">
        <w:rPr>
          <w:rFonts w:ascii="Book Antiqua" w:hAnsi="Book Antiqua"/>
          <w:b/>
        </w:rPr>
        <w:t xml:space="preserve"> </w:t>
      </w:r>
    </w:p>
    <w:p w14:paraId="0F79A70E" w14:textId="77777777" w:rsidR="00E317C4" w:rsidRPr="00E3232D" w:rsidRDefault="00E317C4" w:rsidP="007A2E38">
      <w:pPr>
        <w:pStyle w:val="NoSpacing"/>
        <w:spacing w:line="276" w:lineRule="auto"/>
        <w:ind w:left="720" w:hanging="720"/>
        <w:jc w:val="both"/>
        <w:rPr>
          <w:rFonts w:ascii="Book Antiqua" w:hAnsi="Book Antiqua"/>
        </w:rPr>
      </w:pPr>
    </w:p>
    <w:p w14:paraId="490A7131" w14:textId="77777777" w:rsidR="00E317C4" w:rsidRPr="00E3232D" w:rsidRDefault="00E317C4" w:rsidP="007A2E38">
      <w:pPr>
        <w:pStyle w:val="NoSpacing"/>
        <w:spacing w:line="276" w:lineRule="auto"/>
        <w:ind w:left="720" w:hanging="720"/>
        <w:jc w:val="both"/>
        <w:rPr>
          <w:rFonts w:ascii="Book Antiqua" w:hAnsi="Book Antiqua"/>
          <w:b/>
        </w:rPr>
      </w:pPr>
      <w:r w:rsidRPr="00E3232D">
        <w:rPr>
          <w:rFonts w:ascii="Book Antiqua" w:hAnsi="Book Antiqua"/>
        </w:rPr>
        <w:t>Dotts S., (?). Generator Protection. Electrical Power System Protection. University of Bath.       pp11-19 – 11-20</w:t>
      </w:r>
      <w:r w:rsidRPr="00E3232D">
        <w:rPr>
          <w:rFonts w:ascii="Book Antiqua" w:hAnsi="Book Antiqua"/>
          <w:b/>
        </w:rPr>
        <w:t xml:space="preserve"> </w:t>
      </w:r>
    </w:p>
    <w:p w14:paraId="30A54BFA" w14:textId="77777777" w:rsidR="00136F0B" w:rsidRDefault="00136F0B" w:rsidP="007A2E38">
      <w:pPr>
        <w:pStyle w:val="NoSpacing"/>
        <w:spacing w:line="276" w:lineRule="auto"/>
        <w:ind w:left="720" w:hanging="720"/>
        <w:jc w:val="both"/>
        <w:rPr>
          <w:rFonts w:ascii="Book Antiqua" w:hAnsi="Book Antiqua"/>
        </w:rPr>
      </w:pPr>
    </w:p>
    <w:p w14:paraId="5060943B" w14:textId="77777777" w:rsidR="00E317C4" w:rsidRPr="00E3232D" w:rsidRDefault="00E317C4" w:rsidP="007A2E38">
      <w:pPr>
        <w:pStyle w:val="NoSpacing"/>
        <w:spacing w:line="276" w:lineRule="auto"/>
        <w:ind w:left="720" w:hanging="720"/>
        <w:jc w:val="both"/>
        <w:rPr>
          <w:rFonts w:ascii="Book Antiqua" w:hAnsi="Book Antiqua"/>
        </w:rPr>
      </w:pPr>
      <w:r w:rsidRPr="00E3232D">
        <w:rPr>
          <w:rFonts w:ascii="Book Antiqua" w:hAnsi="Book Antiqua"/>
        </w:rPr>
        <w:t>GRIDCo, (2010). 2010 ELECTRICITY SUPPLY PLAN. [online]. Available from:www.gridco.gh</w:t>
      </w:r>
    </w:p>
    <w:p w14:paraId="2423702E" w14:textId="77777777" w:rsidR="00136F0B" w:rsidRDefault="00E317C4" w:rsidP="007A2E38">
      <w:pPr>
        <w:pStyle w:val="NoSpacing"/>
        <w:spacing w:line="276" w:lineRule="auto"/>
        <w:ind w:left="720" w:hanging="720"/>
        <w:jc w:val="both"/>
        <w:rPr>
          <w:rFonts w:ascii="Book Antiqua" w:hAnsi="Book Antiqua"/>
        </w:rPr>
      </w:pPr>
      <w:r w:rsidRPr="00E3232D">
        <w:rPr>
          <w:rFonts w:ascii="Book Antiqua" w:hAnsi="Book Antiqua"/>
        </w:rPr>
        <w:t>Shepherd, J., Morton, A. H., Spence, L. F., (1993). The Three-phase Synchronous Machine. Higher Electrical Engineering, 2nd Ed. Longman Scientific &amp; Technical  p414</w:t>
      </w:r>
    </w:p>
    <w:p w14:paraId="7E9358E4" w14:textId="77777777" w:rsidR="00136F0B" w:rsidRDefault="00136F0B" w:rsidP="007A2E38">
      <w:pPr>
        <w:pStyle w:val="NoSpacing"/>
        <w:spacing w:line="276" w:lineRule="auto"/>
        <w:ind w:left="720" w:hanging="720"/>
        <w:jc w:val="both"/>
        <w:rPr>
          <w:rFonts w:ascii="Book Antiqua" w:hAnsi="Book Antiqua"/>
        </w:rPr>
      </w:pPr>
    </w:p>
    <w:p w14:paraId="75C62E44" w14:textId="77777777" w:rsidR="00136F0B" w:rsidRDefault="00E317C4" w:rsidP="007A2E38">
      <w:pPr>
        <w:pStyle w:val="NoSpacing"/>
        <w:spacing w:line="276" w:lineRule="auto"/>
        <w:ind w:left="720" w:hanging="720"/>
        <w:jc w:val="both"/>
        <w:rPr>
          <w:rFonts w:ascii="Book Antiqua" w:hAnsi="Book Antiqua"/>
        </w:rPr>
      </w:pPr>
      <w:r w:rsidRPr="00E3232D">
        <w:rPr>
          <w:rFonts w:ascii="Book Antiqua" w:hAnsi="Book Antiqua"/>
        </w:rPr>
        <w:t>PeterBrotherhood, (1999). 6.5MW turbine alarm annunciator, Peterbrotherhood, 1999, UK</w:t>
      </w:r>
    </w:p>
    <w:p w14:paraId="4EE9E841" w14:textId="77777777" w:rsidR="00136F0B" w:rsidRDefault="00136F0B" w:rsidP="007A2E38">
      <w:pPr>
        <w:pStyle w:val="NoSpacing"/>
        <w:spacing w:line="276" w:lineRule="auto"/>
        <w:ind w:left="720" w:hanging="720"/>
        <w:jc w:val="both"/>
        <w:rPr>
          <w:rFonts w:ascii="Book Antiqua" w:hAnsi="Book Antiqua"/>
        </w:rPr>
      </w:pPr>
    </w:p>
    <w:p w14:paraId="7E7FE1B2" w14:textId="77777777" w:rsidR="00E317C4" w:rsidRPr="00E3232D" w:rsidRDefault="00E317C4" w:rsidP="007A2E38">
      <w:pPr>
        <w:pStyle w:val="NoSpacing"/>
        <w:spacing w:line="276" w:lineRule="auto"/>
        <w:ind w:left="720" w:hanging="720"/>
        <w:jc w:val="both"/>
        <w:rPr>
          <w:rFonts w:ascii="Book Antiqua" w:hAnsi="Book Antiqua"/>
        </w:rPr>
      </w:pPr>
      <w:r w:rsidRPr="00E3232D">
        <w:rPr>
          <w:rFonts w:ascii="Book Antiqua" w:hAnsi="Book Antiqua"/>
        </w:rPr>
        <w:t>Dotts S., (?) Generator Protection. Electrical Power System Protection. University of Bath. pp 11-1 – 11-20</w:t>
      </w:r>
    </w:p>
    <w:p w14:paraId="0B0272F0" w14:textId="77777777" w:rsidR="00136F0B" w:rsidRDefault="00136F0B" w:rsidP="00136F0B">
      <w:pPr>
        <w:pStyle w:val="NoSpacing"/>
        <w:spacing w:line="276" w:lineRule="auto"/>
        <w:ind w:left="720" w:hanging="720"/>
        <w:rPr>
          <w:rFonts w:ascii="Book Antiqua" w:hAnsi="Book Antiqua"/>
        </w:rPr>
      </w:pPr>
    </w:p>
    <w:p w14:paraId="78000BAB" w14:textId="77777777" w:rsidR="00136F0B" w:rsidRDefault="00136F0B" w:rsidP="00136F0B">
      <w:pPr>
        <w:pStyle w:val="NoSpacing"/>
        <w:spacing w:line="276" w:lineRule="auto"/>
        <w:ind w:left="720" w:hanging="720"/>
        <w:rPr>
          <w:rFonts w:ascii="Book Antiqua" w:hAnsi="Book Antiqua"/>
        </w:rPr>
      </w:pPr>
    </w:p>
    <w:p w14:paraId="34CC9EF3" w14:textId="77777777" w:rsidR="00136F0B" w:rsidRPr="00136F0B" w:rsidRDefault="00E317C4" w:rsidP="007A2E38">
      <w:pPr>
        <w:pStyle w:val="NoSpacing"/>
        <w:spacing w:line="276" w:lineRule="auto"/>
        <w:ind w:left="720"/>
        <w:jc w:val="both"/>
        <w:rPr>
          <w:rFonts w:ascii="Book Antiqua" w:hAnsi="Book Antiqua"/>
          <w:b/>
        </w:rPr>
      </w:pPr>
      <w:r w:rsidRPr="00E3232D">
        <w:rPr>
          <w:rFonts w:ascii="Book Antiqua" w:hAnsi="Book Antiqua"/>
        </w:rPr>
        <w:t xml:space="preserve">SK Corporation, (2002). </w:t>
      </w:r>
      <w:r w:rsidR="00136F0B" w:rsidRPr="00E3232D">
        <w:rPr>
          <w:rFonts w:ascii="Book Antiqua" w:hAnsi="Book Antiqua"/>
        </w:rPr>
        <w:t xml:space="preserve">Protection Relay Diagram In </w:t>
      </w:r>
      <w:r w:rsidRPr="00E3232D">
        <w:rPr>
          <w:rFonts w:ascii="Book Antiqua" w:hAnsi="Book Antiqua"/>
        </w:rPr>
        <w:t>TOR</w:t>
      </w:r>
    </w:p>
    <w:p w14:paraId="28FAA59F" w14:textId="77777777" w:rsidR="00136F0B" w:rsidRDefault="00136F0B" w:rsidP="007A2E38">
      <w:pPr>
        <w:pStyle w:val="NoSpacing"/>
        <w:spacing w:line="276" w:lineRule="auto"/>
        <w:ind w:left="720" w:hanging="720"/>
        <w:jc w:val="both"/>
        <w:rPr>
          <w:rFonts w:ascii="Book Antiqua" w:hAnsi="Book Antiqua"/>
        </w:rPr>
      </w:pPr>
    </w:p>
    <w:p w14:paraId="32B09A55" w14:textId="77777777" w:rsidR="00E317C4" w:rsidRPr="00E3232D" w:rsidRDefault="00E317C4" w:rsidP="007A2E38">
      <w:pPr>
        <w:pStyle w:val="NoSpacing"/>
        <w:spacing w:line="276" w:lineRule="auto"/>
        <w:ind w:left="720" w:hanging="720"/>
        <w:jc w:val="both"/>
        <w:rPr>
          <w:rFonts w:ascii="Book Antiqua" w:hAnsi="Book Antiqua"/>
          <w:b/>
        </w:rPr>
      </w:pPr>
      <w:r w:rsidRPr="00E3232D">
        <w:rPr>
          <w:rFonts w:ascii="Book Antiqua" w:hAnsi="Book Antiqua"/>
        </w:rPr>
        <w:t>Dotts, S., (?) Motor Protection in Power System Protection. Electrical Power System Protection. University of Bath. pp 10-3 – 10-7</w:t>
      </w:r>
      <w:r w:rsidRPr="00E3232D">
        <w:rPr>
          <w:rFonts w:ascii="Book Antiqua" w:hAnsi="Book Antiqua"/>
          <w:b/>
        </w:rPr>
        <w:t xml:space="preserve"> </w:t>
      </w:r>
    </w:p>
    <w:p w14:paraId="3C1D72FD" w14:textId="77777777" w:rsidR="00136F0B" w:rsidRDefault="00136F0B" w:rsidP="007A2E38">
      <w:pPr>
        <w:pStyle w:val="NoSpacing"/>
        <w:spacing w:line="276" w:lineRule="auto"/>
        <w:ind w:left="720" w:hanging="720"/>
        <w:jc w:val="both"/>
        <w:rPr>
          <w:rFonts w:ascii="Book Antiqua" w:hAnsi="Book Antiqua"/>
        </w:rPr>
      </w:pPr>
    </w:p>
    <w:p w14:paraId="50D13205" w14:textId="77777777" w:rsidR="00E317C4" w:rsidRPr="00E3232D" w:rsidRDefault="00E317C4" w:rsidP="007A2E38">
      <w:pPr>
        <w:pStyle w:val="NoSpacing"/>
        <w:spacing w:line="276" w:lineRule="auto"/>
        <w:ind w:left="720" w:hanging="720"/>
        <w:jc w:val="both"/>
        <w:rPr>
          <w:rFonts w:ascii="Book Antiqua" w:hAnsi="Book Antiqua"/>
          <w:b/>
        </w:rPr>
      </w:pPr>
      <w:r w:rsidRPr="00E3232D">
        <w:rPr>
          <w:rFonts w:ascii="Book Antiqua" w:hAnsi="Book Antiqua"/>
        </w:rPr>
        <w:t xml:space="preserve">Wikipedia, (2012). </w:t>
      </w:r>
      <w:r w:rsidRPr="00E3232D">
        <w:rPr>
          <w:rFonts w:ascii="Book Antiqua" w:hAnsi="Book Antiqua"/>
          <w:i/>
        </w:rPr>
        <w:t xml:space="preserve">Kinetic Energy </w:t>
      </w:r>
      <w:r w:rsidRPr="00E3232D">
        <w:rPr>
          <w:rFonts w:ascii="Book Antiqua" w:hAnsi="Book Antiqua"/>
        </w:rPr>
        <w:t>[online].Wikimedia Foundation Inc. USA. Wikimedia Foundation Inc. Available from:www.en.wikipedia.org/wiki/Kinetic_Energy.htm.[accessed on 10 September. 2012]</w:t>
      </w:r>
    </w:p>
    <w:p w14:paraId="0478C90E" w14:textId="77777777" w:rsidR="00136F0B" w:rsidRDefault="00136F0B" w:rsidP="007A2E38">
      <w:pPr>
        <w:pStyle w:val="NoSpacing"/>
        <w:spacing w:line="276" w:lineRule="auto"/>
        <w:ind w:left="720" w:hanging="720"/>
        <w:jc w:val="both"/>
        <w:rPr>
          <w:rFonts w:ascii="Book Antiqua" w:hAnsi="Book Antiqua"/>
        </w:rPr>
      </w:pPr>
    </w:p>
    <w:p w14:paraId="28C5CC65" w14:textId="77777777" w:rsidR="00E317C4" w:rsidRPr="00E3232D" w:rsidRDefault="00E317C4" w:rsidP="007A2E38">
      <w:pPr>
        <w:pStyle w:val="NoSpacing"/>
        <w:spacing w:line="276" w:lineRule="auto"/>
        <w:ind w:left="720" w:hanging="720"/>
        <w:jc w:val="both"/>
        <w:rPr>
          <w:rFonts w:ascii="Book Antiqua" w:hAnsi="Book Antiqua"/>
          <w:b/>
        </w:rPr>
      </w:pPr>
      <w:r w:rsidRPr="00E3232D">
        <w:rPr>
          <w:rFonts w:ascii="Book Antiqua" w:hAnsi="Book Antiqua"/>
        </w:rPr>
        <w:t>Aggarwal, R., Bolton, B., Daniels, R., Moore, P., (1995). Generation System Fundamentals. University of Bath. pp 4-26 – 4-27</w:t>
      </w:r>
    </w:p>
    <w:p w14:paraId="473EFBE8" w14:textId="77777777" w:rsidR="00136F0B" w:rsidRDefault="00136F0B" w:rsidP="007A2E38">
      <w:pPr>
        <w:pStyle w:val="NoSpacing"/>
        <w:spacing w:line="276" w:lineRule="auto"/>
        <w:ind w:left="720" w:hanging="720"/>
        <w:jc w:val="both"/>
        <w:rPr>
          <w:rFonts w:ascii="Book Antiqua" w:hAnsi="Book Antiqua"/>
        </w:rPr>
      </w:pPr>
    </w:p>
    <w:p w14:paraId="5652DC7B" w14:textId="77777777" w:rsidR="00E317C4" w:rsidRPr="00E3232D" w:rsidRDefault="00E317C4" w:rsidP="007A2E38">
      <w:pPr>
        <w:pStyle w:val="NoSpacing"/>
        <w:spacing w:line="276" w:lineRule="auto"/>
        <w:ind w:left="720" w:hanging="720"/>
        <w:jc w:val="both"/>
        <w:rPr>
          <w:rFonts w:ascii="Book Antiqua" w:hAnsi="Book Antiqua"/>
          <w:b/>
        </w:rPr>
      </w:pPr>
      <w:r w:rsidRPr="00E3232D">
        <w:rPr>
          <w:rFonts w:ascii="Book Antiqua" w:hAnsi="Book Antiqua"/>
        </w:rPr>
        <w:t>IFFCO, (2010). Improve Steam Turbine Efficiency [online].available from:www.nwfpa.org/…/content/article/365-improve-steam-turbine-efficiency. Northwest Food Processors Association</w:t>
      </w:r>
    </w:p>
    <w:p w14:paraId="43E1356C" w14:textId="77777777" w:rsidR="00E317C4" w:rsidRDefault="00E317C4" w:rsidP="008275E1">
      <w:pPr>
        <w:pStyle w:val="NoSpacing"/>
        <w:spacing w:line="276" w:lineRule="auto"/>
        <w:rPr>
          <w:rFonts w:ascii="Book Antiqua" w:hAnsi="Book Antiqua"/>
          <w:b/>
        </w:rPr>
      </w:pPr>
    </w:p>
    <w:p w14:paraId="31CB48CD" w14:textId="77777777" w:rsidR="001A6AB8" w:rsidRPr="00E3232D" w:rsidRDefault="001A6AB8" w:rsidP="008275E1">
      <w:pPr>
        <w:pStyle w:val="NoSpacing"/>
        <w:spacing w:line="276" w:lineRule="auto"/>
        <w:rPr>
          <w:rFonts w:ascii="Book Antiqua" w:hAnsi="Book Antiqua"/>
          <w:b/>
        </w:rPr>
      </w:pPr>
    </w:p>
    <w:p w14:paraId="5EB4AEC5" w14:textId="77777777" w:rsidR="00E317C4" w:rsidRPr="00540F81" w:rsidRDefault="00E317C4" w:rsidP="008275E1">
      <w:pPr>
        <w:rPr>
          <w:rFonts w:ascii="Book Antiqua" w:hAnsi="Book Antiqua"/>
          <w:b/>
          <w:sz w:val="26"/>
          <w:szCs w:val="26"/>
        </w:rPr>
      </w:pPr>
      <w:r w:rsidRPr="00540F81">
        <w:rPr>
          <w:rFonts w:ascii="Book Antiqua" w:hAnsi="Book Antiqua"/>
          <w:b/>
          <w:sz w:val="26"/>
          <w:szCs w:val="26"/>
        </w:rPr>
        <w:t>Acknowledgements</w:t>
      </w:r>
    </w:p>
    <w:p w14:paraId="54A1B4A6" w14:textId="77777777" w:rsidR="00E317C4" w:rsidRPr="00776332" w:rsidRDefault="00E317C4" w:rsidP="007A2E38">
      <w:pPr>
        <w:pStyle w:val="ListParagraph"/>
        <w:numPr>
          <w:ilvl w:val="0"/>
          <w:numId w:val="127"/>
        </w:numPr>
        <w:jc w:val="both"/>
        <w:rPr>
          <w:rFonts w:ascii="Book Antiqua" w:hAnsi="Book Antiqua"/>
        </w:rPr>
      </w:pPr>
      <w:r w:rsidRPr="00776332">
        <w:rPr>
          <w:rFonts w:ascii="Book Antiqua" w:hAnsi="Book Antiqua"/>
        </w:rPr>
        <w:t>Mr. Joseph Essilfie, PhD Candidate, Electrical Engineering, Prague Technical University, Czech</w:t>
      </w:r>
    </w:p>
    <w:p w14:paraId="5A9C3286" w14:textId="77777777" w:rsidR="00E317C4" w:rsidRPr="00776332" w:rsidRDefault="00E317C4" w:rsidP="007A2E38">
      <w:pPr>
        <w:pStyle w:val="ListParagraph"/>
        <w:numPr>
          <w:ilvl w:val="0"/>
          <w:numId w:val="127"/>
        </w:numPr>
        <w:jc w:val="both"/>
        <w:rPr>
          <w:rFonts w:ascii="Book Antiqua" w:hAnsi="Book Antiqua"/>
        </w:rPr>
      </w:pPr>
      <w:r w:rsidRPr="00776332">
        <w:rPr>
          <w:rFonts w:ascii="Book Antiqua" w:hAnsi="Book Antiqua"/>
        </w:rPr>
        <w:t>Mr. Christopher Annang, former Principal Technician, Utilities Department, TOR</w:t>
      </w:r>
    </w:p>
    <w:p w14:paraId="354B1FF0" w14:textId="77777777" w:rsidR="000F195E" w:rsidRPr="00776332" w:rsidRDefault="00E317C4" w:rsidP="007A2E38">
      <w:pPr>
        <w:pStyle w:val="ListParagraph"/>
        <w:numPr>
          <w:ilvl w:val="0"/>
          <w:numId w:val="127"/>
        </w:numPr>
        <w:jc w:val="both"/>
        <w:rPr>
          <w:rFonts w:ascii="Book Antiqua" w:hAnsi="Book Antiqua"/>
        </w:rPr>
      </w:pPr>
      <w:r w:rsidRPr="00776332">
        <w:rPr>
          <w:rFonts w:ascii="Book Antiqua" w:hAnsi="Book Antiqua"/>
        </w:rPr>
        <w:t>Mr. Koney Laryea, Principal Technician, Utilities Department, TOR</w:t>
      </w:r>
    </w:p>
    <w:p w14:paraId="1E150B30" w14:textId="77777777" w:rsidR="00E317C4" w:rsidRPr="00776332" w:rsidRDefault="00E317C4" w:rsidP="007A2E38">
      <w:pPr>
        <w:pStyle w:val="ListParagraph"/>
        <w:numPr>
          <w:ilvl w:val="0"/>
          <w:numId w:val="127"/>
        </w:numPr>
        <w:jc w:val="both"/>
        <w:rPr>
          <w:rFonts w:ascii="Book Antiqua" w:hAnsi="Book Antiqua"/>
        </w:rPr>
      </w:pPr>
      <w:r w:rsidRPr="00776332">
        <w:rPr>
          <w:rFonts w:ascii="Book Antiqua" w:hAnsi="Book Antiqua"/>
        </w:rPr>
        <w:t>Mr. Emmanuel Kofi Appiah, Shift Engineer, Tema CENIT Power Plant</w:t>
      </w:r>
    </w:p>
    <w:p w14:paraId="285AF17A" w14:textId="77777777" w:rsidR="00D23BD3" w:rsidRDefault="00D23BD3" w:rsidP="007A2E38">
      <w:pPr>
        <w:pStyle w:val="NoSpacing"/>
        <w:spacing w:line="276" w:lineRule="auto"/>
        <w:jc w:val="both"/>
        <w:rPr>
          <w:rFonts w:ascii="Book Antiqua" w:hAnsi="Book Antiqua"/>
        </w:rPr>
        <w:sectPr w:rsidR="00D23BD3" w:rsidSect="00A40B4F">
          <w:footerReference w:type="default" r:id="rId323"/>
          <w:type w:val="continuous"/>
          <w:pgSz w:w="11907" w:h="16839" w:code="9"/>
          <w:pgMar w:top="1440" w:right="1440" w:bottom="1440" w:left="1440" w:header="720" w:footer="720" w:gutter="0"/>
          <w:cols w:num="2" w:space="720"/>
          <w:docGrid w:linePitch="360"/>
        </w:sectPr>
      </w:pPr>
    </w:p>
    <w:p w14:paraId="43EEA246" w14:textId="77777777" w:rsidR="00C13D64" w:rsidRDefault="00C13D64" w:rsidP="007A2E38">
      <w:pPr>
        <w:pStyle w:val="NoSpacing"/>
        <w:spacing w:line="276" w:lineRule="auto"/>
        <w:jc w:val="both"/>
        <w:rPr>
          <w:rFonts w:ascii="Book Antiqua" w:hAnsi="Book Antiqua"/>
        </w:rPr>
        <w:sectPr w:rsidR="00C13D64" w:rsidSect="008F6BC9">
          <w:type w:val="continuous"/>
          <w:pgSz w:w="11907" w:h="16839" w:code="9"/>
          <w:pgMar w:top="1440" w:right="1440" w:bottom="1440" w:left="1440" w:header="720" w:footer="720" w:gutter="0"/>
          <w:cols w:num="2" w:space="720"/>
          <w:docGrid w:linePitch="360"/>
        </w:sectPr>
      </w:pPr>
    </w:p>
    <w:p w14:paraId="34D41FD0" w14:textId="77777777" w:rsidR="001201F6" w:rsidRPr="00E3232D" w:rsidRDefault="001201F6" w:rsidP="007A2E38">
      <w:pPr>
        <w:autoSpaceDE w:val="0"/>
        <w:autoSpaceDN w:val="0"/>
        <w:adjustRightInd w:val="0"/>
        <w:ind w:right="540"/>
        <w:jc w:val="both"/>
        <w:rPr>
          <w:rFonts w:ascii="Book Antiqua" w:hAnsi="Book Antiqua"/>
          <w:b/>
          <w:bCs/>
        </w:rPr>
        <w:sectPr w:rsidR="001201F6" w:rsidRPr="00E3232D" w:rsidSect="008F6BC9">
          <w:type w:val="continuous"/>
          <w:pgSz w:w="11907" w:h="16839" w:code="9"/>
          <w:pgMar w:top="1440" w:right="1440" w:bottom="1440" w:left="1440" w:header="720" w:footer="720" w:gutter="0"/>
          <w:cols w:space="720"/>
          <w:docGrid w:linePitch="360"/>
        </w:sectPr>
      </w:pPr>
    </w:p>
    <w:p w14:paraId="48D533DF"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3633CC87"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7C3A1AB3"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5C1F460D"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36CF58D5"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4B8FC3BC"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6554F3C3"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07187256"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4FE6EF55"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69788284"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4F33FEB5"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18BF5028"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7E72BF4E"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13221D0F"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1EC17688"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7EED0E14"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67420AD3"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6BA640B4"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640D237D"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6717540A"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04FFF77A"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6AC5AFC0"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3CF44DF0"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035ECD54" w14:textId="77777777" w:rsidR="00136F0B" w:rsidRDefault="00136F0B" w:rsidP="00E90AF2">
      <w:pPr>
        <w:autoSpaceDE w:val="0"/>
        <w:autoSpaceDN w:val="0"/>
        <w:adjustRightInd w:val="0"/>
        <w:spacing w:after="0"/>
        <w:ind w:left="540" w:right="540"/>
        <w:jc w:val="center"/>
        <w:rPr>
          <w:rFonts w:ascii="Book Antiqua" w:hAnsi="Book Antiqua"/>
          <w:b/>
          <w:bCs/>
          <w:sz w:val="26"/>
          <w:szCs w:val="26"/>
        </w:rPr>
      </w:pPr>
    </w:p>
    <w:p w14:paraId="66F7BA86" w14:textId="77777777" w:rsidR="007A2E38" w:rsidRDefault="007A2E38" w:rsidP="007A2E38">
      <w:pPr>
        <w:autoSpaceDE w:val="0"/>
        <w:autoSpaceDN w:val="0"/>
        <w:adjustRightInd w:val="0"/>
        <w:spacing w:after="0"/>
        <w:ind w:right="540"/>
        <w:rPr>
          <w:rFonts w:ascii="Book Antiqua" w:hAnsi="Book Antiqua"/>
          <w:b/>
          <w:bCs/>
          <w:sz w:val="26"/>
          <w:szCs w:val="26"/>
        </w:rPr>
      </w:pPr>
    </w:p>
    <w:p w14:paraId="48BB8A8F" w14:textId="77777777" w:rsidR="00B25C7D" w:rsidRPr="009D340E" w:rsidRDefault="00B25C7D" w:rsidP="007A2E38">
      <w:pPr>
        <w:autoSpaceDE w:val="0"/>
        <w:autoSpaceDN w:val="0"/>
        <w:adjustRightInd w:val="0"/>
        <w:spacing w:after="0"/>
        <w:ind w:right="540"/>
        <w:jc w:val="center"/>
        <w:rPr>
          <w:rFonts w:ascii="Book Antiqua" w:hAnsi="Book Antiqua"/>
          <w:b/>
          <w:bCs/>
          <w:sz w:val="26"/>
          <w:szCs w:val="26"/>
        </w:rPr>
      </w:pPr>
      <w:r w:rsidRPr="009D340E">
        <w:rPr>
          <w:rFonts w:ascii="Book Antiqua" w:hAnsi="Book Antiqua"/>
          <w:b/>
          <w:bCs/>
          <w:sz w:val="26"/>
          <w:szCs w:val="26"/>
        </w:rPr>
        <w:t>Impact of Household Storage Tanks and Practices on Quality</w:t>
      </w:r>
    </w:p>
    <w:p w14:paraId="5DBF6EA8" w14:textId="77777777" w:rsidR="00B25C7D" w:rsidRPr="009D340E" w:rsidRDefault="001D5977" w:rsidP="00776332">
      <w:pPr>
        <w:autoSpaceDE w:val="0"/>
        <w:autoSpaceDN w:val="0"/>
        <w:adjustRightInd w:val="0"/>
        <w:spacing w:after="0"/>
        <w:ind w:left="540" w:right="540"/>
        <w:jc w:val="center"/>
        <w:rPr>
          <w:rFonts w:ascii="Book Antiqua" w:hAnsi="Book Antiqua"/>
          <w:b/>
          <w:bCs/>
          <w:sz w:val="26"/>
          <w:szCs w:val="26"/>
        </w:rPr>
      </w:pPr>
      <w:r>
        <w:rPr>
          <w:rFonts w:ascii="Book Antiqua" w:hAnsi="Book Antiqua"/>
          <w:b/>
          <w:bCs/>
          <w:sz w:val="26"/>
          <w:szCs w:val="26"/>
        </w:rPr>
        <w:t>o</w:t>
      </w:r>
      <w:r w:rsidRPr="009D340E">
        <w:rPr>
          <w:rFonts w:ascii="Book Antiqua" w:hAnsi="Book Antiqua"/>
          <w:b/>
          <w:bCs/>
          <w:sz w:val="26"/>
          <w:szCs w:val="26"/>
        </w:rPr>
        <w:t>f</w:t>
      </w:r>
      <w:r w:rsidR="00B25C7D" w:rsidRPr="009D340E">
        <w:rPr>
          <w:rFonts w:ascii="Book Antiqua" w:hAnsi="Book Antiqua"/>
          <w:b/>
          <w:bCs/>
          <w:sz w:val="26"/>
          <w:szCs w:val="26"/>
        </w:rPr>
        <w:t xml:space="preserve"> Rainwater Stored: A Case Study of Central Gonja District, Ghana</w:t>
      </w:r>
    </w:p>
    <w:p w14:paraId="140513A7" w14:textId="77777777" w:rsidR="00B25C7D" w:rsidRPr="00E3232D" w:rsidRDefault="00B25C7D" w:rsidP="00776332">
      <w:pPr>
        <w:autoSpaceDE w:val="0"/>
        <w:autoSpaceDN w:val="0"/>
        <w:adjustRightInd w:val="0"/>
        <w:spacing w:after="0"/>
        <w:ind w:left="540" w:right="540"/>
        <w:jc w:val="center"/>
        <w:rPr>
          <w:rFonts w:ascii="Book Antiqua" w:hAnsi="Book Antiqua"/>
          <w:b/>
          <w:bCs/>
        </w:rPr>
      </w:pPr>
    </w:p>
    <w:p w14:paraId="21CFA15F" w14:textId="77777777" w:rsidR="00B25C7D" w:rsidRPr="00CF641B" w:rsidRDefault="009D340E" w:rsidP="00E90AF2">
      <w:pPr>
        <w:autoSpaceDE w:val="0"/>
        <w:autoSpaceDN w:val="0"/>
        <w:adjustRightInd w:val="0"/>
        <w:spacing w:after="0"/>
        <w:ind w:left="1080"/>
        <w:jc w:val="center"/>
        <w:rPr>
          <w:rFonts w:ascii="Book Antiqua" w:hAnsi="Book Antiqua"/>
          <w:b/>
          <w:vertAlign w:val="superscript"/>
        </w:rPr>
      </w:pPr>
      <w:r>
        <w:rPr>
          <w:rFonts w:ascii="Book Antiqua" w:hAnsi="Book Antiqua"/>
        </w:rPr>
        <w:t xml:space="preserve"> </w:t>
      </w:r>
      <w:r w:rsidR="00B25C7D" w:rsidRPr="00CF641B">
        <w:rPr>
          <w:rFonts w:ascii="Book Antiqua" w:hAnsi="Book Antiqua"/>
          <w:b/>
        </w:rPr>
        <w:t>Issaka</w:t>
      </w:r>
      <w:r w:rsidRPr="00CF641B">
        <w:rPr>
          <w:rFonts w:ascii="Book Antiqua" w:hAnsi="Book Antiqua"/>
          <w:b/>
        </w:rPr>
        <w:t xml:space="preserve"> Z.</w:t>
      </w:r>
      <w:r w:rsidR="00B25C7D" w:rsidRPr="00CF641B">
        <w:rPr>
          <w:rFonts w:ascii="Book Antiqua" w:hAnsi="Book Antiqua"/>
          <w:b/>
          <w:vertAlign w:val="superscript"/>
        </w:rPr>
        <w:t>1</w:t>
      </w:r>
      <w:r w:rsidRPr="00CF641B">
        <w:rPr>
          <w:rFonts w:ascii="Book Antiqua" w:hAnsi="Book Antiqua"/>
          <w:b/>
        </w:rPr>
        <w:t>,</w:t>
      </w:r>
      <w:r w:rsidR="00B25C7D" w:rsidRPr="00CF641B">
        <w:rPr>
          <w:rFonts w:ascii="Book Antiqua" w:hAnsi="Book Antiqua"/>
          <w:b/>
        </w:rPr>
        <w:t xml:space="preserve"> Mensah</w:t>
      </w:r>
      <w:r w:rsidRPr="00CF641B">
        <w:rPr>
          <w:rFonts w:ascii="Book Antiqua" w:hAnsi="Book Antiqua"/>
          <w:b/>
        </w:rPr>
        <w:t xml:space="preserve"> E.</w:t>
      </w:r>
      <w:r w:rsidR="00B25C7D" w:rsidRPr="00CF641B">
        <w:rPr>
          <w:rFonts w:ascii="Book Antiqua" w:hAnsi="Book Antiqua"/>
          <w:b/>
          <w:vertAlign w:val="superscript"/>
        </w:rPr>
        <w:t>2</w:t>
      </w:r>
      <w:r w:rsidR="00CF641B" w:rsidRPr="00CF641B">
        <w:rPr>
          <w:rFonts w:ascii="Book Antiqua" w:hAnsi="Book Antiqua"/>
          <w:b/>
        </w:rPr>
        <w:t xml:space="preserve"> and Abiwu</w:t>
      </w:r>
      <w:r w:rsidR="00D413DD">
        <w:rPr>
          <w:rFonts w:ascii="Book Antiqua" w:hAnsi="Book Antiqua"/>
          <w:b/>
        </w:rPr>
        <w:t xml:space="preserve"> </w:t>
      </w:r>
      <w:r w:rsidR="00B25C7D" w:rsidRPr="00CF641B">
        <w:rPr>
          <w:rFonts w:ascii="Book Antiqua" w:hAnsi="Book Antiqua"/>
          <w:b/>
        </w:rPr>
        <w:t>N</w:t>
      </w:r>
      <w:r w:rsidR="00CF641B" w:rsidRPr="00CF641B">
        <w:rPr>
          <w:rFonts w:ascii="Book Antiqua" w:hAnsi="Book Antiqua"/>
          <w:b/>
        </w:rPr>
        <w:t>.</w:t>
      </w:r>
      <w:r w:rsidR="00B25C7D" w:rsidRPr="00CF641B">
        <w:rPr>
          <w:rFonts w:ascii="Book Antiqua" w:hAnsi="Book Antiqua"/>
          <w:b/>
          <w:vertAlign w:val="superscript"/>
        </w:rPr>
        <w:t>3</w:t>
      </w:r>
      <w:r w:rsidR="00B25C7D" w:rsidRPr="00CF641B">
        <w:rPr>
          <w:rFonts w:ascii="Book Antiqua" w:hAnsi="Book Antiqua"/>
          <w:b/>
        </w:rPr>
        <w:t xml:space="preserve"> </w:t>
      </w:r>
    </w:p>
    <w:p w14:paraId="356E79BA" w14:textId="77777777" w:rsidR="00B25C7D" w:rsidRPr="00E3232D" w:rsidRDefault="00B25C7D" w:rsidP="00E90AF2">
      <w:pPr>
        <w:autoSpaceDE w:val="0"/>
        <w:autoSpaceDN w:val="0"/>
        <w:adjustRightInd w:val="0"/>
        <w:spacing w:after="0"/>
        <w:ind w:left="720"/>
        <w:jc w:val="center"/>
        <w:rPr>
          <w:rFonts w:ascii="Book Antiqua" w:hAnsi="Book Antiqua"/>
        </w:rPr>
      </w:pPr>
      <w:r w:rsidRPr="00E3232D">
        <w:rPr>
          <w:rFonts w:ascii="Book Antiqua" w:hAnsi="Book Antiqua"/>
        </w:rPr>
        <w:t>1. Agricultural Engineering Department, Tamale Polytechnic, Tamale, Ghana.</w:t>
      </w:r>
    </w:p>
    <w:p w14:paraId="6A40A198" w14:textId="77777777" w:rsidR="00B25C7D" w:rsidRPr="00E3232D" w:rsidRDefault="00B25C7D" w:rsidP="00E90AF2">
      <w:pPr>
        <w:autoSpaceDE w:val="0"/>
        <w:autoSpaceDN w:val="0"/>
        <w:adjustRightInd w:val="0"/>
        <w:spacing w:after="0"/>
        <w:ind w:left="720"/>
        <w:jc w:val="center"/>
        <w:rPr>
          <w:rFonts w:ascii="Book Antiqua" w:hAnsi="Book Antiqua"/>
        </w:rPr>
      </w:pPr>
      <w:r w:rsidRPr="00E3232D">
        <w:rPr>
          <w:rFonts w:ascii="Book Antiqua" w:hAnsi="Book Antiqua"/>
        </w:rPr>
        <w:t>2. Agricultural Engineering Depart</w:t>
      </w:r>
      <w:r w:rsidR="00CF641B">
        <w:rPr>
          <w:rFonts w:ascii="Book Antiqua" w:hAnsi="Book Antiqua"/>
        </w:rPr>
        <w:t xml:space="preserve">ment, Kwame Nkrumah University </w:t>
      </w:r>
      <w:r w:rsidRPr="00E3232D">
        <w:rPr>
          <w:rFonts w:ascii="Book Antiqua" w:hAnsi="Book Antiqua"/>
        </w:rPr>
        <w:t>of Science and Technology (KNUST), Kumasi, Ghana</w:t>
      </w:r>
    </w:p>
    <w:p w14:paraId="4C8439EE" w14:textId="77777777" w:rsidR="00B25C7D" w:rsidRPr="00E3232D" w:rsidRDefault="00B25C7D" w:rsidP="00E90AF2">
      <w:pPr>
        <w:autoSpaceDE w:val="0"/>
        <w:autoSpaceDN w:val="0"/>
        <w:adjustRightInd w:val="0"/>
        <w:spacing w:after="0"/>
        <w:jc w:val="center"/>
        <w:rPr>
          <w:rFonts w:ascii="Book Antiqua" w:hAnsi="Book Antiqua"/>
        </w:rPr>
      </w:pPr>
      <w:r w:rsidRPr="001D136B">
        <w:rPr>
          <w:rFonts w:ascii="Book Antiqua" w:hAnsi="Book Antiqua"/>
          <w:b/>
        </w:rPr>
        <w:t>E</w:t>
      </w:r>
      <w:r w:rsidR="00245F03">
        <w:rPr>
          <w:rFonts w:ascii="Book Antiqua" w:hAnsi="Book Antiqua"/>
          <w:b/>
        </w:rPr>
        <w:t>-</w:t>
      </w:r>
      <w:r w:rsidRPr="001D136B">
        <w:rPr>
          <w:rFonts w:ascii="Book Antiqua" w:hAnsi="Book Antiqua"/>
          <w:b/>
        </w:rPr>
        <w:t>mail:</w:t>
      </w:r>
      <w:r w:rsidRPr="00E3232D">
        <w:rPr>
          <w:rFonts w:ascii="Book Antiqua" w:hAnsi="Book Antiqua"/>
        </w:rPr>
        <w:t xml:space="preserve"> </w:t>
      </w:r>
      <w:hyperlink r:id="rId324" w:history="1">
        <w:r w:rsidRPr="00E3232D">
          <w:rPr>
            <w:rFonts w:ascii="Book Antiqua" w:hAnsi="Book Antiqua"/>
            <w:color w:val="0000FF"/>
            <w:u w:val="single"/>
          </w:rPr>
          <w:t>issakazak@gmail.com</w:t>
        </w:r>
      </w:hyperlink>
    </w:p>
    <w:p w14:paraId="07AF4704" w14:textId="77777777" w:rsidR="00B25C7D" w:rsidRPr="00E3232D" w:rsidRDefault="00B25C7D" w:rsidP="00E90AF2">
      <w:pPr>
        <w:autoSpaceDE w:val="0"/>
        <w:autoSpaceDN w:val="0"/>
        <w:adjustRightInd w:val="0"/>
        <w:spacing w:after="0"/>
        <w:rPr>
          <w:rFonts w:ascii="Book Antiqua" w:hAnsi="Book Antiqua"/>
        </w:rPr>
      </w:pPr>
    </w:p>
    <w:p w14:paraId="6A4418FA" w14:textId="77777777" w:rsidR="00D413DD" w:rsidRPr="00DB5D81" w:rsidRDefault="00B25C7D" w:rsidP="007E05C1">
      <w:pPr>
        <w:autoSpaceDE w:val="0"/>
        <w:autoSpaceDN w:val="0"/>
        <w:adjustRightInd w:val="0"/>
        <w:ind w:right="540"/>
        <w:rPr>
          <w:rFonts w:ascii="Book Antiqua" w:hAnsi="Book Antiqua"/>
          <w:sz w:val="26"/>
          <w:szCs w:val="26"/>
        </w:rPr>
      </w:pPr>
      <w:r w:rsidRPr="00DB5D81">
        <w:rPr>
          <w:rFonts w:ascii="Book Antiqua" w:hAnsi="Book Antiqua"/>
          <w:b/>
          <w:sz w:val="26"/>
          <w:szCs w:val="26"/>
        </w:rPr>
        <w:t>Abstract</w:t>
      </w:r>
    </w:p>
    <w:p w14:paraId="517F1552" w14:textId="77777777" w:rsidR="00B25C7D" w:rsidRPr="00E3232D" w:rsidRDefault="00B25C7D" w:rsidP="00776332">
      <w:pPr>
        <w:autoSpaceDE w:val="0"/>
        <w:autoSpaceDN w:val="0"/>
        <w:adjustRightInd w:val="0"/>
        <w:ind w:right="27"/>
        <w:jc w:val="both"/>
        <w:rPr>
          <w:rFonts w:ascii="Book Antiqua" w:hAnsi="Book Antiqua"/>
        </w:rPr>
      </w:pPr>
      <w:r w:rsidRPr="00E3232D">
        <w:rPr>
          <w:rFonts w:ascii="Book Antiqua" w:hAnsi="Book Antiqua"/>
        </w:rPr>
        <w:t xml:space="preserve">The material for storing rainwater and storage practices can be a source of contamination to the water stored and this has become a major concern. This study focused on the impact of household storage tank and practices on the quality of rainwater stored in Central Gonja District of northern Ghana. A baseline study was conducted in households to know the types of storage tanks and sanitation practices in the study area. Sixty-three (63) rainwater samples were collected from plastic, metal and concrete tanks within three (3) months of storage including water from entry points of the tanks. The samples were analysed in the laboratory for pH, total alkalinity, electrical conductivity, turbidity, total hardness, nitrate, iron, and faecal coliform. The results showed that plastic and concrete tanks were generally within WHO recommendations for drinking water  for most of the parameters measured except for faecal coliform. The results also showed that faecal contamination of rainwater stored was the result poor storage and sanitation practices on the part of households. The results also showed that the type of storage material has direct impact more on the physico-chemical quality of rainwater stored and care must be taken in the use of metal tanks for rainwater storage. </w:t>
      </w:r>
    </w:p>
    <w:p w14:paraId="1361D737" w14:textId="77777777" w:rsidR="00B25C7D" w:rsidRPr="00E3232D" w:rsidRDefault="00B25C7D" w:rsidP="007E05C1">
      <w:pPr>
        <w:autoSpaceDE w:val="0"/>
        <w:autoSpaceDN w:val="0"/>
        <w:adjustRightInd w:val="0"/>
        <w:rPr>
          <w:rFonts w:ascii="Book Antiqua" w:hAnsi="Book Antiqua"/>
        </w:rPr>
      </w:pPr>
      <w:r w:rsidRPr="00E3232D">
        <w:rPr>
          <w:rFonts w:ascii="Book Antiqua" w:hAnsi="Book Antiqua"/>
          <w:b/>
          <w:bCs/>
        </w:rPr>
        <w:t xml:space="preserve">Keywords: </w:t>
      </w:r>
      <w:r w:rsidRPr="00E3232D">
        <w:rPr>
          <w:rFonts w:ascii="Book Antiqua" w:hAnsi="Book Antiqua"/>
        </w:rPr>
        <w:t>Rainwater, plastic, metal, concrete, storage</w:t>
      </w:r>
    </w:p>
    <w:p w14:paraId="2B8A0617" w14:textId="77777777" w:rsidR="002416BB" w:rsidRPr="00E3232D" w:rsidRDefault="002416BB" w:rsidP="008275E1">
      <w:pPr>
        <w:pStyle w:val="NoSpacing"/>
        <w:spacing w:line="276" w:lineRule="auto"/>
        <w:rPr>
          <w:rFonts w:ascii="Book Antiqua" w:hAnsi="Book Antiqua"/>
          <w:b/>
        </w:rPr>
        <w:sectPr w:rsidR="002416BB" w:rsidRPr="00E3232D" w:rsidSect="008F6BC9">
          <w:type w:val="continuous"/>
          <w:pgSz w:w="11907" w:h="16839" w:code="9"/>
          <w:pgMar w:top="1440" w:right="1440" w:bottom="1440" w:left="1440" w:header="720" w:footer="720" w:gutter="0"/>
          <w:cols w:space="720"/>
          <w:docGrid w:linePitch="360"/>
        </w:sectPr>
      </w:pPr>
    </w:p>
    <w:p w14:paraId="6918612B" w14:textId="77777777" w:rsidR="002416BB" w:rsidRPr="00540F81" w:rsidRDefault="007E05C1" w:rsidP="008275E1">
      <w:pPr>
        <w:autoSpaceDE w:val="0"/>
        <w:autoSpaceDN w:val="0"/>
        <w:adjustRightInd w:val="0"/>
        <w:rPr>
          <w:rFonts w:ascii="Book Antiqua" w:hAnsi="Book Antiqua"/>
          <w:b/>
          <w:bCs/>
          <w:sz w:val="26"/>
          <w:szCs w:val="26"/>
        </w:rPr>
      </w:pPr>
      <w:r>
        <w:rPr>
          <w:rFonts w:ascii="Book Antiqua" w:hAnsi="Book Antiqua"/>
          <w:b/>
          <w:bCs/>
          <w:sz w:val="26"/>
          <w:szCs w:val="26"/>
        </w:rPr>
        <w:t xml:space="preserve">1.0 </w:t>
      </w:r>
      <w:r w:rsidR="002416BB" w:rsidRPr="00540F81">
        <w:rPr>
          <w:rFonts w:ascii="Book Antiqua" w:hAnsi="Book Antiqua"/>
          <w:b/>
          <w:bCs/>
          <w:sz w:val="26"/>
          <w:szCs w:val="26"/>
        </w:rPr>
        <w:t>Introduction</w:t>
      </w:r>
    </w:p>
    <w:p w14:paraId="67548D07" w14:textId="77777777" w:rsidR="00540F81" w:rsidRDefault="002416BB" w:rsidP="007E05C1">
      <w:pPr>
        <w:autoSpaceDE w:val="0"/>
        <w:autoSpaceDN w:val="0"/>
        <w:adjustRightInd w:val="0"/>
        <w:jc w:val="both"/>
        <w:rPr>
          <w:rFonts w:ascii="Book Antiqua" w:hAnsi="Book Antiqua"/>
        </w:rPr>
      </w:pPr>
      <w:r w:rsidRPr="00E3232D">
        <w:rPr>
          <w:rFonts w:ascii="Book Antiqua" w:hAnsi="Book Antiqua"/>
        </w:rPr>
        <w:t xml:space="preserve">Water is life and a valuable natural resource that sustains the environment and supports livelihood. According to </w:t>
      </w:r>
    </w:p>
    <w:p w14:paraId="31B340A7" w14:textId="77777777" w:rsidR="00540F81" w:rsidRDefault="00540F81" w:rsidP="007E05C1">
      <w:pPr>
        <w:autoSpaceDE w:val="0"/>
        <w:autoSpaceDN w:val="0"/>
        <w:adjustRightInd w:val="0"/>
        <w:jc w:val="both"/>
        <w:rPr>
          <w:rFonts w:ascii="Book Antiqua" w:hAnsi="Book Antiqua"/>
        </w:rPr>
      </w:pPr>
    </w:p>
    <w:p w14:paraId="44C40ADA"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Water Research Institute (WRI, 2000) more than 1 billion people in developing countries do not have access to clean water whilst 2 billion lack adequate sanitation. </w:t>
      </w:r>
    </w:p>
    <w:p w14:paraId="2FE13246"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In Ghana, 22 % of the population and over 30 % of the rural population lack access to safe drinking water (Allison, 2007). In rural Ghana, people depend on rivers, streams, hand dug-wells and rainwater for their water needs. In the Northern Region of Ghana, 56 % of the population uses unimproved water supplies for drinking. This problem is exacerbated by lack of improved sanitation in the region where 92 % lack sanitation access to improve (vanCalcar, 2006).</w:t>
      </w:r>
    </w:p>
    <w:p w14:paraId="6D52828A"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water supply situation in the Central Gonja District is grim and water scarcity is regarded as one of the root causes of water related diseases and poverty in the area. The interest in rainwater harvesting is growing in the district, and the use of rainwater has changed from its function as mere water augmentation to ultimate water source for domestic activities (UNICEF, 2008). Many households store rainwater harvested in pots, drums, plastic, metal and concrete tanks for future use and aid self-sufficiency of water. However, the effectiveness of storage tank for preserving water quality depends on preventing sunlight, organic matter and macro-organisms from entering the tank (Barnes, 2009; Ziadat, 2005). In addition, storage tank materials can impact on the quality of water stored. For instance, high concentrations of heavy metal ions in storage tanks could be significant if corrosion is evident, and when the tank has not been cleaned for a long time (Ziadat, 2005). High levels of heavy metals such as Fe</w:t>
      </w:r>
      <w:r w:rsidRPr="00E3232D">
        <w:rPr>
          <w:rFonts w:ascii="Book Antiqua" w:hAnsi="Book Antiqua"/>
          <w:vertAlign w:val="superscript"/>
        </w:rPr>
        <w:t>2+</w:t>
      </w:r>
      <w:r w:rsidRPr="00E3232D">
        <w:rPr>
          <w:rFonts w:ascii="Book Antiqua" w:hAnsi="Book Antiqua"/>
        </w:rPr>
        <w:t xml:space="preserve"> can be toxic to humans if it exceeds certain concentrations. Concrete tank consist of a cement binder in which an inert aggregate is embedded. However, cement contains a variety of metal ions which can leach into the water stored. Pier and Bang (1980) indicated that high concentrations of trace metals in drinking water can cause cancer, sudden infant death and cardiovascular syndrome. </w:t>
      </w:r>
    </w:p>
    <w:p w14:paraId="1166E38B"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 xml:space="preserve">The growing interest in rainwater harvesting has necessitated research to investigate the impact of household storage tank and practices on the quality of rainwater stored in the Central Gonja district. </w:t>
      </w:r>
    </w:p>
    <w:p w14:paraId="33340544" w14:textId="77777777" w:rsidR="00D413DD" w:rsidRDefault="00D413DD" w:rsidP="007E05C1">
      <w:pPr>
        <w:autoSpaceDE w:val="0"/>
        <w:autoSpaceDN w:val="0"/>
        <w:adjustRightInd w:val="0"/>
        <w:spacing w:after="0"/>
        <w:jc w:val="both"/>
        <w:rPr>
          <w:rFonts w:ascii="Book Antiqua" w:hAnsi="Book Antiqua"/>
          <w:b/>
          <w:bCs/>
        </w:rPr>
      </w:pPr>
    </w:p>
    <w:p w14:paraId="6DBADD43" w14:textId="77777777" w:rsidR="002416BB" w:rsidRPr="00540F81" w:rsidRDefault="002416BB" w:rsidP="007E05C1">
      <w:pPr>
        <w:autoSpaceDE w:val="0"/>
        <w:autoSpaceDN w:val="0"/>
        <w:adjustRightInd w:val="0"/>
        <w:spacing w:after="0"/>
        <w:jc w:val="both"/>
        <w:rPr>
          <w:rFonts w:ascii="Book Antiqua" w:hAnsi="Book Antiqua"/>
          <w:b/>
          <w:bCs/>
          <w:sz w:val="26"/>
          <w:szCs w:val="26"/>
        </w:rPr>
      </w:pPr>
      <w:r w:rsidRPr="00540F81">
        <w:rPr>
          <w:rFonts w:ascii="Book Antiqua" w:hAnsi="Book Antiqua"/>
          <w:b/>
          <w:bCs/>
          <w:sz w:val="26"/>
          <w:szCs w:val="26"/>
        </w:rPr>
        <w:t>2. 0 Methodology</w:t>
      </w:r>
    </w:p>
    <w:p w14:paraId="34C75232" w14:textId="77777777" w:rsidR="002416BB" w:rsidRPr="00540F81" w:rsidRDefault="002416BB" w:rsidP="007E05C1">
      <w:pPr>
        <w:autoSpaceDE w:val="0"/>
        <w:autoSpaceDN w:val="0"/>
        <w:adjustRightInd w:val="0"/>
        <w:spacing w:after="0"/>
        <w:jc w:val="both"/>
        <w:rPr>
          <w:rFonts w:ascii="Book Antiqua" w:hAnsi="Book Antiqua"/>
          <w:b/>
          <w:bCs/>
          <w:sz w:val="26"/>
          <w:szCs w:val="26"/>
        </w:rPr>
      </w:pPr>
      <w:r w:rsidRPr="00540F81">
        <w:rPr>
          <w:rFonts w:ascii="Book Antiqua" w:hAnsi="Book Antiqua"/>
          <w:b/>
          <w:bCs/>
          <w:sz w:val="26"/>
          <w:szCs w:val="26"/>
        </w:rPr>
        <w:t>2.1 Study Area</w:t>
      </w:r>
    </w:p>
    <w:p w14:paraId="5DA90F92"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Central Gonja district lies between longitude 1</w:t>
      </w:r>
      <w:r w:rsidRPr="00E3232D">
        <w:rPr>
          <w:rFonts w:ascii="Book Antiqua" w:hAnsi="Book Antiqua"/>
          <w:vertAlign w:val="superscript"/>
        </w:rPr>
        <w:t>o</w:t>
      </w:r>
      <w:r w:rsidRPr="00E3232D">
        <w:rPr>
          <w:rFonts w:ascii="Book Antiqua" w:hAnsi="Book Antiqua"/>
        </w:rPr>
        <w:t xml:space="preserve"> 5’ and 2</w:t>
      </w:r>
      <w:r w:rsidRPr="00E3232D">
        <w:rPr>
          <w:rFonts w:ascii="Book Antiqua" w:hAnsi="Book Antiqua"/>
          <w:vertAlign w:val="superscript"/>
        </w:rPr>
        <w:t>o</w:t>
      </w:r>
      <w:r w:rsidRPr="00E3232D">
        <w:rPr>
          <w:rFonts w:ascii="Book Antiqua" w:hAnsi="Book Antiqua"/>
        </w:rPr>
        <w:t xml:space="preserve"> 58’ West and latitude 8</w:t>
      </w:r>
      <w:r w:rsidRPr="00E3232D">
        <w:rPr>
          <w:rFonts w:ascii="Book Antiqua" w:hAnsi="Book Antiqua"/>
          <w:vertAlign w:val="superscript"/>
        </w:rPr>
        <w:t>o</w:t>
      </w:r>
      <w:r w:rsidRPr="00E3232D">
        <w:rPr>
          <w:rFonts w:ascii="Book Antiqua" w:hAnsi="Book Antiqua"/>
        </w:rPr>
        <w:t xml:space="preserve"> 32’ and 10</w:t>
      </w:r>
      <w:r w:rsidRPr="00E3232D">
        <w:rPr>
          <w:rFonts w:ascii="Book Antiqua" w:hAnsi="Book Antiqua"/>
          <w:vertAlign w:val="superscript"/>
        </w:rPr>
        <w:t>o</w:t>
      </w:r>
      <w:r w:rsidRPr="00E3232D">
        <w:rPr>
          <w:rFonts w:ascii="Book Antiqua" w:hAnsi="Book Antiqua"/>
        </w:rPr>
        <w:t xml:space="preserve"> 2’ North. The landmass is 8,353 km</w:t>
      </w:r>
      <w:r w:rsidRPr="00E3232D">
        <w:rPr>
          <w:rFonts w:ascii="Book Antiqua" w:hAnsi="Book Antiqua"/>
          <w:vertAlign w:val="superscript"/>
        </w:rPr>
        <w:t>2</w:t>
      </w:r>
      <w:r w:rsidRPr="00E3232D">
        <w:rPr>
          <w:rFonts w:ascii="Book Antiqua" w:hAnsi="Book Antiqua"/>
        </w:rPr>
        <w:t>with major towns as Buipe, Mpaha and Yapei (Dickson and Benneh, 2004). These towns were chosen for the study because they constitute the largest population in the district. According to the provisional results of the 2010 Ghana Population and Housing Census (PHC) the population of the district stood at 95,493 with annual growth rate of 3.1 % Ghana Statistical Service (GSS, 2011). The mean annual rainfall is 1200 mm and daily temperature between 18 - 42 °C (Dickson and Benneh, 2004). The mean annual rainfall is 1200 mm and daily temperature between 18 - 42 °C (Dickson and Benneh, 2004). The main sources of water are boreholes, rivers, dams, hand dug-wells and harvested rainwater. Agriculture is the main occupation of the inhabitants of the district.</w:t>
      </w:r>
    </w:p>
    <w:p w14:paraId="39C731DA" w14:textId="77777777" w:rsidR="002416BB" w:rsidRPr="00E3232D" w:rsidRDefault="007005B1" w:rsidP="008275E1">
      <w:pPr>
        <w:autoSpaceDE w:val="0"/>
        <w:autoSpaceDN w:val="0"/>
        <w:adjustRightInd w:val="0"/>
        <w:rPr>
          <w:rFonts w:ascii="Book Antiqua" w:hAnsi="Book Antiqua"/>
        </w:rPr>
      </w:pPr>
      <w:r>
        <w:rPr>
          <w:rFonts w:ascii="Book Antiqua" w:hAnsi="Book Antiqua"/>
          <w:noProof/>
          <w:lang w:bidi="ar-SA"/>
        </w:rPr>
        <w:drawing>
          <wp:inline distT="0" distB="0" distL="0" distR="0" wp14:anchorId="211CED9C" wp14:editId="6DD43443">
            <wp:extent cx="3086100" cy="2971800"/>
            <wp:effectExtent l="19050" t="0" r="0" b="0"/>
            <wp:docPr id="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a:srcRect/>
                    <a:stretch>
                      <a:fillRect/>
                    </a:stretch>
                  </pic:blipFill>
                  <pic:spPr bwMode="auto">
                    <a:xfrm>
                      <a:off x="0" y="0"/>
                      <a:ext cx="3086100" cy="2971800"/>
                    </a:xfrm>
                    <a:prstGeom prst="rect">
                      <a:avLst/>
                    </a:prstGeom>
                    <a:noFill/>
                    <a:ln w="9525">
                      <a:noFill/>
                      <a:miter lim="800000"/>
                      <a:headEnd/>
                      <a:tailEnd/>
                    </a:ln>
                  </pic:spPr>
                </pic:pic>
              </a:graphicData>
            </a:graphic>
          </wp:inline>
        </w:drawing>
      </w:r>
    </w:p>
    <w:p w14:paraId="29D03B8F" w14:textId="77777777" w:rsidR="002416BB" w:rsidRPr="00E3232D" w:rsidRDefault="002416BB" w:rsidP="00A40B4F">
      <w:pPr>
        <w:autoSpaceDE w:val="0"/>
        <w:autoSpaceDN w:val="0"/>
        <w:adjustRightInd w:val="0"/>
        <w:spacing w:after="0"/>
        <w:rPr>
          <w:rFonts w:ascii="Book Antiqua" w:hAnsi="Book Antiqua"/>
          <w:b/>
          <w:bCs/>
        </w:rPr>
      </w:pPr>
      <w:r w:rsidRPr="00E3232D">
        <w:rPr>
          <w:rFonts w:ascii="Book Antiqua" w:hAnsi="Book Antiqua"/>
          <w:b/>
          <w:bCs/>
        </w:rPr>
        <w:t>Fig. 2.1: Map of study area showing sample towns (Source: Adapted from Ghana map)</w:t>
      </w:r>
    </w:p>
    <w:p w14:paraId="34899BBD" w14:textId="77777777" w:rsidR="00E90AF2" w:rsidRDefault="00E90AF2" w:rsidP="00A40B4F">
      <w:pPr>
        <w:autoSpaceDE w:val="0"/>
        <w:autoSpaceDN w:val="0"/>
        <w:adjustRightInd w:val="0"/>
        <w:spacing w:after="0"/>
        <w:rPr>
          <w:rFonts w:ascii="Book Antiqua" w:hAnsi="Book Antiqua"/>
          <w:b/>
          <w:bCs/>
        </w:rPr>
      </w:pPr>
    </w:p>
    <w:p w14:paraId="1E2883BE" w14:textId="77777777" w:rsidR="002416BB" w:rsidRPr="00540F81" w:rsidRDefault="002416BB" w:rsidP="007E05C1">
      <w:pPr>
        <w:autoSpaceDE w:val="0"/>
        <w:autoSpaceDN w:val="0"/>
        <w:adjustRightInd w:val="0"/>
        <w:spacing w:after="0"/>
        <w:jc w:val="both"/>
        <w:rPr>
          <w:rFonts w:ascii="Book Antiqua" w:hAnsi="Book Antiqua"/>
          <w:b/>
          <w:bCs/>
          <w:sz w:val="26"/>
          <w:szCs w:val="26"/>
        </w:rPr>
      </w:pPr>
      <w:r w:rsidRPr="00540F81">
        <w:rPr>
          <w:rFonts w:ascii="Book Antiqua" w:hAnsi="Book Antiqua"/>
          <w:b/>
          <w:bCs/>
          <w:sz w:val="26"/>
          <w:szCs w:val="26"/>
        </w:rPr>
        <w:t>2.2 Sampling</w:t>
      </w:r>
    </w:p>
    <w:p w14:paraId="1352E0F3"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The water sampling was carried out in Buipe, Mpaha and Yapei, which are small towns in the Central Gonja district. In order to eliminate or minimise potential contamination of the samples, the 1.5 litre plastic bottles were soaked in 0.1 M nitric acid (HNO</w:t>
      </w:r>
      <w:r w:rsidRPr="00E3232D">
        <w:rPr>
          <w:rFonts w:ascii="Book Antiqua" w:hAnsi="Book Antiqua"/>
          <w:vertAlign w:val="subscript"/>
        </w:rPr>
        <w:t>3</w:t>
      </w:r>
      <w:r w:rsidRPr="00E3232D">
        <w:rPr>
          <w:rFonts w:ascii="Book Antiqua" w:hAnsi="Book Antiqua"/>
        </w:rPr>
        <w:t xml:space="preserve">) overnight, washed with distilled water, rinsed with deionised water and dried in a drying cabinet. Some of the dry bottles were selected, filled with distilled water of pH 6.3 and the pH tested immediately, when it is 7.0 then it was ready for use otherwise, the bottle was washed and the pH tested again. This served as quality control (Anon, 1992). The Sample containers were clearly labeled with the site, date and time of sampling on the bottles. At the household level, rainwater samples were collected from the entry points (rainwater samples collected before it has entered the storage tank) of plastic, metal and concrete tanks in the wet season. Nine water samples were collected from the entry points of the tanks whilst 18 water samples were collected from plastic, metal and concrete tanks were collected every 2 weeks for 12 weeks (August to October, 2012). The basis for adopting this regime of water sampling is that water stored for more than two weeks tends to deteriorates in quality (Jusara </w:t>
      </w:r>
      <w:r w:rsidRPr="00E3232D">
        <w:rPr>
          <w:rFonts w:ascii="Book Antiqua" w:hAnsi="Book Antiqua"/>
          <w:i/>
        </w:rPr>
        <w:t>et al.,</w:t>
      </w:r>
      <w:r w:rsidRPr="00E3232D">
        <w:rPr>
          <w:rFonts w:ascii="Book Antiqua" w:hAnsi="Book Antiqua"/>
        </w:rPr>
        <w:t xml:space="preserve"> 2003). A total of sixty-three (63) water samples were collected from the entry points of the tanks including water samples from plastic, metal and concrete tanks.</w:t>
      </w:r>
    </w:p>
    <w:p w14:paraId="6D8C8458" w14:textId="77777777" w:rsidR="002416BB" w:rsidRPr="00E3232D" w:rsidRDefault="002416BB" w:rsidP="007E05C1">
      <w:pPr>
        <w:autoSpaceDE w:val="0"/>
        <w:autoSpaceDN w:val="0"/>
        <w:adjustRightInd w:val="0"/>
        <w:spacing w:after="0"/>
        <w:jc w:val="both"/>
        <w:rPr>
          <w:rFonts w:ascii="Book Antiqua" w:hAnsi="Book Antiqua"/>
        </w:rPr>
      </w:pPr>
    </w:p>
    <w:p w14:paraId="42BE1B68" w14:textId="77777777" w:rsidR="002416BB" w:rsidRPr="00540F81" w:rsidRDefault="002416BB" w:rsidP="007E05C1">
      <w:pPr>
        <w:autoSpaceDE w:val="0"/>
        <w:autoSpaceDN w:val="0"/>
        <w:adjustRightInd w:val="0"/>
        <w:spacing w:after="0"/>
        <w:jc w:val="both"/>
        <w:rPr>
          <w:rFonts w:ascii="Book Antiqua" w:hAnsi="Book Antiqua"/>
          <w:b/>
          <w:bCs/>
          <w:sz w:val="26"/>
          <w:szCs w:val="26"/>
        </w:rPr>
      </w:pPr>
      <w:r w:rsidRPr="00540F81">
        <w:rPr>
          <w:rFonts w:ascii="Book Antiqua" w:hAnsi="Book Antiqua"/>
          <w:b/>
          <w:bCs/>
          <w:sz w:val="26"/>
          <w:szCs w:val="26"/>
        </w:rPr>
        <w:t>2.3 Analysis of Water Samples</w:t>
      </w:r>
    </w:p>
    <w:p w14:paraId="122E2CF1" w14:textId="77777777" w:rsidR="002416BB" w:rsidRPr="00E3232D" w:rsidRDefault="002416BB" w:rsidP="007E05C1">
      <w:pPr>
        <w:spacing w:after="0"/>
        <w:jc w:val="both"/>
        <w:rPr>
          <w:rFonts w:ascii="Book Antiqua" w:hAnsi="Book Antiqua"/>
        </w:rPr>
      </w:pPr>
      <w:r w:rsidRPr="00E3232D">
        <w:rPr>
          <w:rFonts w:ascii="Book Antiqua" w:hAnsi="Book Antiqua"/>
        </w:rPr>
        <w:t xml:space="preserve">The physicochemical and biological parameters were determined according to procedures and protocols outlined in the </w:t>
      </w:r>
      <w:r w:rsidRPr="00E3232D">
        <w:rPr>
          <w:rFonts w:ascii="Book Antiqua" w:hAnsi="Book Antiqua"/>
          <w:iCs/>
        </w:rPr>
        <w:t xml:space="preserve">Standard Methods for the Examination of Water and Wastewater </w:t>
      </w:r>
      <w:r w:rsidRPr="00E3232D">
        <w:rPr>
          <w:rFonts w:ascii="Book Antiqua" w:hAnsi="Book Antiqua"/>
        </w:rPr>
        <w:t xml:space="preserve">(APHA, 1992). </w:t>
      </w:r>
    </w:p>
    <w:p w14:paraId="107EC9F5" w14:textId="77777777" w:rsidR="00A40B4F" w:rsidRDefault="00A40B4F" w:rsidP="007E05C1">
      <w:pPr>
        <w:autoSpaceDE w:val="0"/>
        <w:autoSpaceDN w:val="0"/>
        <w:adjustRightInd w:val="0"/>
        <w:spacing w:after="0"/>
        <w:jc w:val="both"/>
        <w:rPr>
          <w:rFonts w:ascii="Book Antiqua" w:hAnsi="Book Antiqua"/>
          <w:b/>
          <w:bCs/>
        </w:rPr>
      </w:pPr>
    </w:p>
    <w:p w14:paraId="6B167C84" w14:textId="77777777" w:rsidR="002416BB" w:rsidRPr="00E3232D" w:rsidRDefault="002416BB" w:rsidP="007E05C1">
      <w:pPr>
        <w:autoSpaceDE w:val="0"/>
        <w:autoSpaceDN w:val="0"/>
        <w:adjustRightInd w:val="0"/>
        <w:spacing w:after="0"/>
        <w:jc w:val="both"/>
        <w:rPr>
          <w:rFonts w:ascii="Book Antiqua" w:hAnsi="Book Antiqua"/>
          <w:b/>
          <w:bCs/>
        </w:rPr>
      </w:pPr>
      <w:r w:rsidRPr="00E3232D">
        <w:rPr>
          <w:rFonts w:ascii="Book Antiqua" w:hAnsi="Book Antiqua"/>
          <w:b/>
          <w:bCs/>
        </w:rPr>
        <w:t>2.3.1 Water pH</w:t>
      </w:r>
    </w:p>
    <w:p w14:paraId="58B3BCDA"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The pH of water samples was determined immediately after sampling using Fisherbrand Hydrus 100 pH Meter. Before the measurement were taken, a manual three buffer solutions of pH 4.01, 7.0, and 9.2 were used to calibrate the pH meter. The CALCULATE key was pressed to calibrate and the automatic calibration procedure was followed. The pH of the samples was measured by reading the values that displayed on the screen after the READY signal has disappeared.</w:t>
      </w:r>
    </w:p>
    <w:p w14:paraId="0260DC6D" w14:textId="77777777" w:rsidR="00667C5F" w:rsidRDefault="00667C5F" w:rsidP="007E05C1">
      <w:pPr>
        <w:autoSpaceDE w:val="0"/>
        <w:autoSpaceDN w:val="0"/>
        <w:adjustRightInd w:val="0"/>
        <w:spacing w:after="0"/>
        <w:jc w:val="both"/>
        <w:rPr>
          <w:rFonts w:ascii="Book Antiqua" w:hAnsi="Book Antiqua"/>
          <w:b/>
          <w:bCs/>
        </w:rPr>
      </w:pPr>
    </w:p>
    <w:p w14:paraId="58F50448" w14:textId="77777777" w:rsidR="009C0793" w:rsidRDefault="009C0793" w:rsidP="007E05C1">
      <w:pPr>
        <w:autoSpaceDE w:val="0"/>
        <w:autoSpaceDN w:val="0"/>
        <w:adjustRightInd w:val="0"/>
        <w:spacing w:after="0"/>
        <w:jc w:val="both"/>
        <w:rPr>
          <w:rFonts w:ascii="Book Antiqua" w:hAnsi="Book Antiqua"/>
          <w:b/>
          <w:bCs/>
        </w:rPr>
      </w:pPr>
    </w:p>
    <w:p w14:paraId="4AB23153" w14:textId="77777777" w:rsidR="002416BB" w:rsidRPr="00E3232D" w:rsidRDefault="002416BB" w:rsidP="007E05C1">
      <w:pPr>
        <w:autoSpaceDE w:val="0"/>
        <w:autoSpaceDN w:val="0"/>
        <w:adjustRightInd w:val="0"/>
        <w:spacing w:after="0"/>
        <w:jc w:val="both"/>
        <w:rPr>
          <w:rFonts w:ascii="Book Antiqua" w:hAnsi="Book Antiqua"/>
          <w:b/>
          <w:bCs/>
        </w:rPr>
      </w:pPr>
      <w:r w:rsidRPr="00E3232D">
        <w:rPr>
          <w:rFonts w:ascii="Book Antiqua" w:hAnsi="Book Antiqua"/>
          <w:b/>
          <w:bCs/>
        </w:rPr>
        <w:t>2.3.2 Total Alkalinity</w:t>
      </w:r>
    </w:p>
    <w:p w14:paraId="311B0E9A"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 xml:space="preserve">50 ml sample was measured into a conical flask. Two drops of methyl orange indicator was added and the resulting mixture titrated against 0.1 M HCl standard solution to the first permanent pink colour at pH 4.5. </w:t>
      </w:r>
    </w:p>
    <w:p w14:paraId="760BEE6D"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Calculation:</w:t>
      </w:r>
    </w:p>
    <w:p w14:paraId="42C6CC8D" w14:textId="77777777" w:rsidR="002416BB" w:rsidRPr="00E3232D" w:rsidRDefault="002416BB" w:rsidP="007E05C1">
      <w:pPr>
        <w:autoSpaceDE w:val="0"/>
        <w:autoSpaceDN w:val="0"/>
        <w:adjustRightInd w:val="0"/>
        <w:spacing w:after="0"/>
        <w:jc w:val="both"/>
        <w:rPr>
          <w:rFonts w:ascii="Book Antiqua" w:hAnsi="Book Antiqua"/>
        </w:rPr>
      </w:pPr>
    </w:p>
    <w:p w14:paraId="5FA207ED"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TA (CaCO</w:t>
      </w:r>
      <w:r w:rsidRPr="00E3232D">
        <w:rPr>
          <w:rFonts w:ascii="Book Antiqua" w:hAnsi="Book Antiqua"/>
          <w:vertAlign w:val="subscript"/>
        </w:rPr>
        <w:t>3</w:t>
      </w:r>
      <w:r w:rsidRPr="00E3232D">
        <w:rPr>
          <w:rFonts w:ascii="Book Antiqua" w:hAnsi="Book Antiqua"/>
        </w:rPr>
        <w:t xml:space="preserve">) = </w:t>
      </w:r>
      <m:oMath>
        <m:f>
          <m:fPr>
            <m:ctrlPr>
              <w:rPr>
                <w:rFonts w:ascii="Cambria Math" w:hAnsi="Cambria Math"/>
                <w:i/>
              </w:rPr>
            </m:ctrlPr>
          </m:fPr>
          <m:num>
            <m:r>
              <w:rPr>
                <w:rFonts w:ascii="Cambria Math" w:hAnsi="Cambria Math"/>
              </w:rPr>
              <m:t>A×N</m:t>
            </m:r>
          </m:num>
          <m:den>
            <m:sSub>
              <m:sSubPr>
                <m:ctrlPr>
                  <w:rPr>
                    <w:rFonts w:ascii="Cambria Math" w:hAnsi="Cambria Math"/>
                    <w:i/>
                  </w:rPr>
                </m:ctrlPr>
              </m:sSubPr>
              <m:e>
                <m:r>
                  <w:rPr>
                    <w:rFonts w:ascii="Cambria Math" w:hAnsi="Cambria Math"/>
                  </w:rPr>
                  <m:t>V</m:t>
                </m:r>
              </m:e>
              <m:sub>
                <m:r>
                  <w:rPr>
                    <w:rFonts w:ascii="Cambria Math" w:hAnsi="Cambria Math"/>
                  </w:rPr>
                  <m:t>s</m:t>
                </m:r>
              </m:sub>
            </m:sSub>
          </m:den>
        </m:f>
        <m:r>
          <w:rPr>
            <w:rFonts w:ascii="Cambria Math" w:hAnsi="Cambria Math"/>
          </w:rPr>
          <m:t>×5000</m:t>
        </m:r>
      </m:oMath>
      <w:r w:rsidRPr="00E3232D">
        <w:rPr>
          <w:rFonts w:ascii="Book Antiqua" w:hAnsi="Book Antiqua"/>
        </w:rPr>
        <w:t xml:space="preserve"> </w:t>
      </w:r>
      <w:r w:rsidRPr="00E3232D">
        <w:rPr>
          <w:rFonts w:ascii="Book Antiqua" w:hAnsi="Book Antiqua"/>
        </w:rPr>
        <w:tab/>
        <w:t xml:space="preserve">    </w:t>
      </w:r>
      <w:r w:rsidRPr="00E3232D">
        <w:rPr>
          <w:rFonts w:ascii="Book Antiqua" w:hAnsi="Book Antiqua"/>
        </w:rPr>
        <w:tab/>
        <w:t xml:space="preserve">    [1.1]</w:t>
      </w:r>
      <w:r w:rsidRPr="00E3232D">
        <w:rPr>
          <w:rFonts w:ascii="Book Antiqua" w:hAnsi="Book Antiqua"/>
        </w:rPr>
        <w:tab/>
      </w:r>
    </w:p>
    <w:p w14:paraId="6616EC9B"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Where;</w:t>
      </w:r>
    </w:p>
    <w:p w14:paraId="187FEA86"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TA: Total Alkalinity (mg/l)</w:t>
      </w:r>
    </w:p>
    <w:p w14:paraId="7E54E5F3"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V</w:t>
      </w:r>
      <w:r w:rsidRPr="00E3232D">
        <w:rPr>
          <w:rFonts w:ascii="Book Antiqua" w:hAnsi="Book Antiqua"/>
          <w:vertAlign w:val="subscript"/>
        </w:rPr>
        <w:t>s</w:t>
      </w:r>
      <w:r w:rsidRPr="00E3232D">
        <w:rPr>
          <w:rFonts w:ascii="Book Antiqua" w:hAnsi="Book Antiqua"/>
        </w:rPr>
        <w:t>: Volume of sample (l)</w:t>
      </w:r>
    </w:p>
    <w:p w14:paraId="1A06A23A"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A: Volume of acid (l)</w:t>
      </w:r>
    </w:p>
    <w:p w14:paraId="0B8A43CB"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N: Normality of acid (l)</w:t>
      </w:r>
    </w:p>
    <w:p w14:paraId="5257897A" w14:textId="77777777" w:rsidR="002416BB" w:rsidRPr="00E3232D" w:rsidRDefault="002416BB" w:rsidP="007E05C1">
      <w:pPr>
        <w:autoSpaceDE w:val="0"/>
        <w:autoSpaceDN w:val="0"/>
        <w:adjustRightInd w:val="0"/>
        <w:spacing w:after="0"/>
        <w:jc w:val="both"/>
        <w:rPr>
          <w:rFonts w:ascii="Book Antiqua" w:hAnsi="Book Antiqua"/>
        </w:rPr>
      </w:pPr>
    </w:p>
    <w:p w14:paraId="0341F925" w14:textId="77777777" w:rsidR="002416BB" w:rsidRPr="00E3232D" w:rsidRDefault="002416BB" w:rsidP="007E05C1">
      <w:pPr>
        <w:autoSpaceDE w:val="0"/>
        <w:autoSpaceDN w:val="0"/>
        <w:adjustRightInd w:val="0"/>
        <w:spacing w:after="0"/>
        <w:jc w:val="both"/>
        <w:rPr>
          <w:rFonts w:ascii="Book Antiqua" w:hAnsi="Book Antiqua"/>
          <w:b/>
          <w:bCs/>
        </w:rPr>
      </w:pPr>
      <w:r w:rsidRPr="00E3232D">
        <w:rPr>
          <w:rFonts w:ascii="Book Antiqua" w:hAnsi="Book Antiqua"/>
          <w:b/>
          <w:bCs/>
        </w:rPr>
        <w:t xml:space="preserve">2.3.3 Electrical Conductivity  </w:t>
      </w:r>
    </w:p>
    <w:p w14:paraId="14FFC288"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The Hi 9032 Microprocessor Bench Conductivity Meter was calibrated by pressing the TDS key to display ‘TDS’ to confirm the measurement mode. Once the measurement reading stabilizes, the conductivity button on the instrument was pressed to display its value which was recorded on a data sheet. The plastic and concrete tanks were covered fitted with taps whilst metal tanks were mostly uncovered. Generally, most of the containers for fetching water from the storage tank were not protected from children, hence were seen lying on the floor.</w:t>
      </w:r>
    </w:p>
    <w:p w14:paraId="32D696D4" w14:textId="77777777" w:rsidR="002416BB" w:rsidRPr="00E3232D" w:rsidRDefault="002416BB" w:rsidP="007E05C1">
      <w:pPr>
        <w:autoSpaceDE w:val="0"/>
        <w:autoSpaceDN w:val="0"/>
        <w:adjustRightInd w:val="0"/>
        <w:spacing w:after="0"/>
        <w:jc w:val="both"/>
        <w:rPr>
          <w:rFonts w:ascii="Book Antiqua" w:hAnsi="Book Antiqua"/>
        </w:rPr>
      </w:pPr>
    </w:p>
    <w:p w14:paraId="6D650F11" w14:textId="77777777" w:rsidR="002416BB" w:rsidRPr="00E3232D" w:rsidRDefault="002416BB" w:rsidP="007E05C1">
      <w:pPr>
        <w:keepNext/>
        <w:keepLines/>
        <w:autoSpaceDE w:val="0"/>
        <w:autoSpaceDN w:val="0"/>
        <w:adjustRightInd w:val="0"/>
        <w:spacing w:after="0"/>
        <w:jc w:val="both"/>
        <w:rPr>
          <w:rFonts w:ascii="Book Antiqua" w:hAnsi="Book Antiqua"/>
          <w:b/>
          <w:bCs/>
        </w:rPr>
      </w:pPr>
      <w:r w:rsidRPr="00E3232D">
        <w:rPr>
          <w:rFonts w:ascii="Book Antiqua" w:hAnsi="Book Antiqua"/>
          <w:b/>
          <w:bCs/>
        </w:rPr>
        <w:t>2.3.4 Turbidity</w:t>
      </w:r>
    </w:p>
    <w:p w14:paraId="58FFE706" w14:textId="77777777" w:rsidR="002416BB" w:rsidRDefault="002416BB" w:rsidP="009C0793">
      <w:pPr>
        <w:autoSpaceDE w:val="0"/>
        <w:autoSpaceDN w:val="0"/>
        <w:adjustRightInd w:val="0"/>
        <w:spacing w:after="0"/>
        <w:jc w:val="both"/>
        <w:rPr>
          <w:rFonts w:ascii="Book Antiqua" w:hAnsi="Book Antiqua"/>
        </w:rPr>
      </w:pPr>
      <w:r w:rsidRPr="00E3232D">
        <w:rPr>
          <w:rFonts w:ascii="Book Antiqua" w:hAnsi="Book Antiqua"/>
        </w:rPr>
        <w:t>The Turbidity meter was first calibrated using Formazin polymer. The water samples were allowed to come to room temperature and thoroughly mixed to disperse the solids. After the air bubbles have disappeared, the samples were poured into the turbidimeter tube and the turbidity value was read directly from the scale in Nephelometric Turbidity Units (NTU).</w:t>
      </w:r>
    </w:p>
    <w:p w14:paraId="6C4EC817" w14:textId="77777777" w:rsidR="009C0793" w:rsidRPr="00E3232D" w:rsidRDefault="009C0793" w:rsidP="009C0793">
      <w:pPr>
        <w:autoSpaceDE w:val="0"/>
        <w:autoSpaceDN w:val="0"/>
        <w:adjustRightInd w:val="0"/>
        <w:spacing w:after="0"/>
        <w:jc w:val="both"/>
        <w:rPr>
          <w:rFonts w:ascii="Book Antiqua" w:hAnsi="Book Antiqua"/>
        </w:rPr>
      </w:pPr>
    </w:p>
    <w:p w14:paraId="255EFE50" w14:textId="77777777" w:rsidR="002416BB" w:rsidRPr="00E3232D" w:rsidRDefault="002416BB" w:rsidP="007E05C1">
      <w:pPr>
        <w:keepNext/>
        <w:keepLines/>
        <w:autoSpaceDE w:val="0"/>
        <w:autoSpaceDN w:val="0"/>
        <w:adjustRightInd w:val="0"/>
        <w:jc w:val="both"/>
        <w:rPr>
          <w:rFonts w:ascii="Book Antiqua" w:hAnsi="Book Antiqua"/>
          <w:b/>
          <w:bCs/>
        </w:rPr>
      </w:pPr>
      <w:r w:rsidRPr="00E3232D">
        <w:rPr>
          <w:rFonts w:ascii="Book Antiqua" w:hAnsi="Book Antiqua"/>
          <w:b/>
          <w:bCs/>
        </w:rPr>
        <w:t xml:space="preserve">2.3.5 Total </w:t>
      </w:r>
      <w:r w:rsidR="009C0793" w:rsidRPr="00E3232D">
        <w:rPr>
          <w:rFonts w:ascii="Book Antiqua" w:hAnsi="Book Antiqua"/>
          <w:b/>
          <w:bCs/>
        </w:rPr>
        <w:t>Hardness</w:t>
      </w:r>
    </w:p>
    <w:p w14:paraId="484F0287"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25 ml of the well-mixed water sample was measured into a conical flask. 2.0 ml of buffer solution and a pinch of Eriochrome black were added. If the sample turned into wine red in colour, magnesium and calcium was present. The solution was titrated against 0.01 M EDTA until the wine red color turned to blue. A blank titration was also carried using distilled water.</w:t>
      </w:r>
    </w:p>
    <w:p w14:paraId="1A20C91D"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Calculation:</w:t>
      </w:r>
    </w:p>
    <w:p w14:paraId="76D02FBA"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TH = </w:t>
      </w:r>
      <m:oMath>
        <m:f>
          <m:fPr>
            <m:ctrlPr>
              <w:rPr>
                <w:rFonts w:ascii="Cambria Math" w:hAnsi="Cambria Math"/>
                <w:i/>
              </w:rPr>
            </m:ctrlPr>
          </m:fPr>
          <m:num>
            <m:r>
              <w:rPr>
                <w:rFonts w:ascii="Cambria Math" w:hAnsi="Cambria Math"/>
              </w:rPr>
              <m:t>(A-B)</m:t>
            </m:r>
          </m:num>
          <m:den>
            <m:r>
              <w:rPr>
                <w:rFonts w:ascii="Cambria Math" w:hAnsi="Cambria Math"/>
              </w:rPr>
              <m:t>C</m:t>
            </m:r>
          </m:den>
        </m:f>
        <m:r>
          <w:rPr>
            <w:rFonts w:ascii="Cambria Math" w:hAnsi="Cambria Math"/>
          </w:rPr>
          <m:t>×1000</m:t>
        </m:r>
      </m:oMath>
      <w:r w:rsidRPr="00E3232D">
        <w:rPr>
          <w:rFonts w:ascii="Book Antiqua" w:hAnsi="Book Antiqua"/>
        </w:rPr>
        <w:t xml:space="preserve">    </w:t>
      </w:r>
      <w:r w:rsidRPr="00E3232D">
        <w:rPr>
          <w:rFonts w:ascii="Book Antiqua" w:hAnsi="Book Antiqua"/>
        </w:rPr>
        <w:tab/>
      </w:r>
      <w:r w:rsidRPr="00E3232D">
        <w:rPr>
          <w:rFonts w:ascii="Book Antiqua" w:hAnsi="Book Antiqua"/>
        </w:rPr>
        <w:tab/>
        <w:t xml:space="preserve">  </w:t>
      </w:r>
      <w:r w:rsidRPr="00E3232D">
        <w:rPr>
          <w:rFonts w:ascii="Book Antiqua" w:hAnsi="Book Antiqua"/>
        </w:rPr>
        <w:tab/>
        <w:t xml:space="preserve">    [1.2]</w:t>
      </w:r>
      <w:r w:rsidRPr="00E3232D">
        <w:rPr>
          <w:rFonts w:ascii="Book Antiqua" w:hAnsi="Book Antiqua"/>
        </w:rPr>
        <w:tab/>
        <w:t xml:space="preserve">         </w:t>
      </w:r>
    </w:p>
    <w:p w14:paraId="2BC3FCBD"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Where; </w:t>
      </w:r>
    </w:p>
    <w:p w14:paraId="18C3B667"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 Total Hardness (mg/l)</w:t>
      </w:r>
    </w:p>
    <w:p w14:paraId="27395BCB"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A: Volume of EDTA for sample (ml), </w:t>
      </w:r>
    </w:p>
    <w:p w14:paraId="5E83546F"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B: Volume of EDTA for blank (ml)  </w:t>
      </w:r>
    </w:p>
    <w:p w14:paraId="6F4B106C"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C: Volume of water sample (ml).</w:t>
      </w:r>
    </w:p>
    <w:p w14:paraId="2DC1E0DE" w14:textId="77777777" w:rsidR="002416BB" w:rsidRPr="00E3232D" w:rsidRDefault="002416BB" w:rsidP="007E05C1">
      <w:pPr>
        <w:keepNext/>
        <w:keepLines/>
        <w:autoSpaceDE w:val="0"/>
        <w:autoSpaceDN w:val="0"/>
        <w:adjustRightInd w:val="0"/>
        <w:jc w:val="both"/>
        <w:rPr>
          <w:rFonts w:ascii="Book Antiqua" w:hAnsi="Book Antiqua"/>
          <w:b/>
          <w:bCs/>
        </w:rPr>
      </w:pPr>
      <w:r w:rsidRPr="00E3232D">
        <w:rPr>
          <w:rFonts w:ascii="Book Antiqua" w:hAnsi="Book Antiqua"/>
          <w:b/>
          <w:bCs/>
        </w:rPr>
        <w:t>2.3.6 Nitrate</w:t>
      </w:r>
    </w:p>
    <w:p w14:paraId="01DC7234"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 xml:space="preserve">An aliquot of 2 ml of 0.1 M NaOH solution and 1.0 ml of </w:t>
      </w:r>
      <w:r w:rsidRPr="00E3232D">
        <w:rPr>
          <w:rFonts w:ascii="Book Antiqua" w:hAnsi="Book Antiqua"/>
          <w:spacing w:val="8"/>
        </w:rPr>
        <w:t xml:space="preserve">naphthyl-1, 1-amide </w:t>
      </w:r>
      <w:r w:rsidRPr="00E3232D">
        <w:rPr>
          <w:rFonts w:ascii="Book Antiqua" w:hAnsi="Book Antiqua"/>
        </w:rPr>
        <w:t>(was added to a sample. The mixture was allowed to stand for 20 minutes. The nitrate concentration was determined at wavelength 543 nm wavelength of absorbance using a 5500 photometer. A blank analysis was performed with all the reagents without sample for all the analysis.</w:t>
      </w:r>
    </w:p>
    <w:p w14:paraId="0115E84C" w14:textId="77777777" w:rsidR="002416BB" w:rsidRPr="00E3232D" w:rsidRDefault="002416BB" w:rsidP="007E05C1">
      <w:pPr>
        <w:autoSpaceDE w:val="0"/>
        <w:autoSpaceDN w:val="0"/>
        <w:adjustRightInd w:val="0"/>
        <w:spacing w:after="0"/>
        <w:jc w:val="both"/>
        <w:rPr>
          <w:rFonts w:ascii="Book Antiqua" w:hAnsi="Book Antiqua"/>
          <w:b/>
          <w:bCs/>
        </w:rPr>
      </w:pPr>
    </w:p>
    <w:p w14:paraId="407D4FF4"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b/>
          <w:bCs/>
        </w:rPr>
        <w:t>2.3.7 Iron</w:t>
      </w:r>
    </w:p>
    <w:p w14:paraId="227111CA"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250 ml of the samples was filtered through 0.45 μm cellulose membrane filter paper and digested by adding 20 ml each of concentrated HN</w:t>
      </w:r>
      <w:r w:rsidRPr="00E3232D">
        <w:rPr>
          <w:rFonts w:ascii="Book Antiqua" w:hAnsi="Book Antiqua"/>
          <w:vertAlign w:val="subscript"/>
        </w:rPr>
        <w:t>3</w:t>
      </w:r>
      <w:r w:rsidRPr="00E3232D">
        <w:rPr>
          <w:rFonts w:ascii="Book Antiqua" w:hAnsi="Book Antiqua"/>
        </w:rPr>
        <w:t xml:space="preserve"> to 200 ml samples and heated till the volume decreased to 50 ml. The samples were filtered and analyzed for iron using the flame Atomic Absorption Spectrophotometer (AAS). </w:t>
      </w:r>
    </w:p>
    <w:p w14:paraId="66C4240F" w14:textId="77777777" w:rsidR="002416BB" w:rsidRPr="00E3232D" w:rsidRDefault="002416BB" w:rsidP="007E05C1">
      <w:pPr>
        <w:autoSpaceDE w:val="0"/>
        <w:autoSpaceDN w:val="0"/>
        <w:adjustRightInd w:val="0"/>
        <w:jc w:val="both"/>
        <w:rPr>
          <w:rFonts w:ascii="Book Antiqua" w:hAnsi="Book Antiqua"/>
          <w:color w:val="FF0000"/>
        </w:rPr>
      </w:pPr>
    </w:p>
    <w:p w14:paraId="0DA83DB3" w14:textId="77777777" w:rsidR="002416BB" w:rsidRPr="00E3232D" w:rsidRDefault="002416BB" w:rsidP="007E05C1">
      <w:pPr>
        <w:autoSpaceDE w:val="0"/>
        <w:autoSpaceDN w:val="0"/>
        <w:adjustRightInd w:val="0"/>
        <w:jc w:val="both"/>
        <w:rPr>
          <w:rFonts w:ascii="Book Antiqua" w:hAnsi="Book Antiqua"/>
          <w:b/>
          <w:bCs/>
        </w:rPr>
      </w:pPr>
      <w:r w:rsidRPr="00E3232D">
        <w:rPr>
          <w:rFonts w:ascii="Book Antiqua" w:hAnsi="Book Antiqua"/>
          <w:b/>
          <w:bCs/>
        </w:rPr>
        <w:t xml:space="preserve">2.3.8 Faecal Coliform </w:t>
      </w:r>
    </w:p>
    <w:p w14:paraId="0A53C53C"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The Coliscan medium was poured into a sterilized petri-dish, which was labeled with the code of sampling site and the quantity of sample water used from each site. 250 ml of the sample was measured into the petri-dish using a sterilized pipette. The water sample was swirled around the petri-dish to ensure even distribution. The petri-dish was covered with lid and set aside at room temperature until the solution solidified. The procedure was repeated for all the samples, the petri-dishes were incubated at 44 °C for 24 hours. The petri-dishes were then taken out from the incubator, and all developed dark-blue and pink colonies were counted separately. </w:t>
      </w:r>
    </w:p>
    <w:p w14:paraId="4AC25408" w14:textId="77777777" w:rsidR="007E05C1" w:rsidRDefault="007E05C1" w:rsidP="007E05C1">
      <w:pPr>
        <w:autoSpaceDE w:val="0"/>
        <w:autoSpaceDN w:val="0"/>
        <w:adjustRightInd w:val="0"/>
        <w:jc w:val="both"/>
        <w:rPr>
          <w:rFonts w:ascii="Book Antiqua" w:hAnsi="Book Antiqua"/>
        </w:rPr>
      </w:pPr>
    </w:p>
    <w:p w14:paraId="1C1E8A74" w14:textId="77777777" w:rsidR="009C0793" w:rsidRDefault="009C0793" w:rsidP="007E05C1">
      <w:pPr>
        <w:autoSpaceDE w:val="0"/>
        <w:autoSpaceDN w:val="0"/>
        <w:adjustRightInd w:val="0"/>
        <w:jc w:val="both"/>
        <w:rPr>
          <w:rFonts w:ascii="Book Antiqua" w:hAnsi="Book Antiqua"/>
        </w:rPr>
      </w:pPr>
    </w:p>
    <w:p w14:paraId="5AB24BEC"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Calculation:</w:t>
      </w:r>
    </w:p>
    <w:p w14:paraId="05177707"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position w:val="-32"/>
        </w:rPr>
        <w:object w:dxaOrig="1520" w:dyaOrig="720" w14:anchorId="00E5F032">
          <v:shape id="_x0000_i1057" type="#_x0000_t75" style="width:76.75pt;height:36.7pt" o:ole="">
            <v:imagedata r:id="rId326" o:title=""/>
          </v:shape>
          <o:OLEObject Type="Embed" ProgID="Equation.3" ShapeID="_x0000_i1057" DrawAspect="Content" ObjectID="_1680958715" r:id="rId327"/>
        </w:object>
      </w:r>
      <w:r w:rsidRPr="00E3232D">
        <w:rPr>
          <w:rFonts w:ascii="Book Antiqua" w:hAnsi="Book Antiqua"/>
        </w:rPr>
        <w:tab/>
      </w:r>
      <w:r w:rsidRPr="00E3232D">
        <w:rPr>
          <w:rFonts w:ascii="Book Antiqua" w:hAnsi="Book Antiqua"/>
        </w:rPr>
        <w:tab/>
      </w:r>
      <w:r w:rsidRPr="00E3232D">
        <w:rPr>
          <w:rFonts w:ascii="Book Antiqua" w:hAnsi="Book Antiqua"/>
        </w:rPr>
        <w:tab/>
        <w:t xml:space="preserve">  [</w:t>
      </w:r>
      <w:r w:rsidR="009C0793">
        <w:rPr>
          <w:rFonts w:ascii="Book Antiqua" w:hAnsi="Book Antiqua"/>
        </w:rPr>
        <w:t>2.3]</w:t>
      </w:r>
      <w:r w:rsidRPr="00E3232D">
        <w:rPr>
          <w:rFonts w:ascii="Book Antiqua" w:hAnsi="Book Antiqua"/>
        </w:rPr>
        <w:t xml:space="preserve">            </w:t>
      </w:r>
    </w:p>
    <w:p w14:paraId="703DF64C"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Where; </w:t>
      </w:r>
    </w:p>
    <w:p w14:paraId="141EA8A4" w14:textId="77777777" w:rsidR="002416BB" w:rsidRPr="00E3232D" w:rsidRDefault="002416BB" w:rsidP="007E05C1">
      <w:pPr>
        <w:autoSpaceDE w:val="0"/>
        <w:autoSpaceDN w:val="0"/>
        <w:adjustRightInd w:val="0"/>
        <w:jc w:val="both"/>
        <w:rPr>
          <w:rFonts w:ascii="Book Antiqua" w:hAnsi="Book Antiqua"/>
          <w:vertAlign w:val="subscript"/>
        </w:rPr>
      </w:pPr>
      <w:r w:rsidRPr="00E3232D">
        <w:rPr>
          <w:rFonts w:ascii="Book Antiqua" w:hAnsi="Book Antiqua"/>
        </w:rPr>
        <w:t>FC: Faecal coliform units (cfu/100 ml)</w:t>
      </w:r>
    </w:p>
    <w:p w14:paraId="773845C2"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CFU: Coliform Faecal Unit per 100 ml, </w:t>
      </w:r>
    </w:p>
    <w:p w14:paraId="44D92DCB"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C</w:t>
      </w:r>
      <w:r w:rsidRPr="00E3232D">
        <w:rPr>
          <w:rFonts w:ascii="Book Antiqua" w:hAnsi="Book Antiqua"/>
          <w:vertAlign w:val="subscript"/>
        </w:rPr>
        <w:t>C</w:t>
      </w:r>
      <w:r w:rsidRPr="00E3232D">
        <w:rPr>
          <w:rFonts w:ascii="Book Antiqua" w:hAnsi="Book Antiqua"/>
        </w:rPr>
        <w:t xml:space="preserve">: Colonies counted and </w:t>
      </w:r>
    </w:p>
    <w:p w14:paraId="5ABEAA93"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V</w:t>
      </w:r>
      <w:r w:rsidRPr="00E3232D">
        <w:rPr>
          <w:rFonts w:ascii="Book Antiqua" w:hAnsi="Book Antiqua"/>
          <w:vertAlign w:val="subscript"/>
        </w:rPr>
        <w:t>f</w:t>
      </w:r>
      <w:r w:rsidRPr="00E3232D">
        <w:rPr>
          <w:rFonts w:ascii="Book Antiqua" w:hAnsi="Book Antiqua"/>
        </w:rPr>
        <w:t>: Volume of sample filtered (litres).</w:t>
      </w:r>
    </w:p>
    <w:p w14:paraId="5FA29D78" w14:textId="77777777" w:rsidR="002416BB" w:rsidRPr="00E3232D" w:rsidRDefault="002416BB" w:rsidP="007E05C1">
      <w:pPr>
        <w:autoSpaceDE w:val="0"/>
        <w:autoSpaceDN w:val="0"/>
        <w:adjustRightInd w:val="0"/>
        <w:spacing w:after="0"/>
        <w:jc w:val="both"/>
        <w:rPr>
          <w:rFonts w:ascii="Book Antiqua" w:hAnsi="Book Antiqua"/>
        </w:rPr>
      </w:pPr>
    </w:p>
    <w:p w14:paraId="7C7FFD26" w14:textId="77777777" w:rsidR="002416BB" w:rsidRPr="00540F81" w:rsidRDefault="002416BB" w:rsidP="007E05C1">
      <w:pPr>
        <w:autoSpaceDE w:val="0"/>
        <w:autoSpaceDN w:val="0"/>
        <w:adjustRightInd w:val="0"/>
        <w:spacing w:after="0"/>
        <w:jc w:val="both"/>
        <w:rPr>
          <w:rFonts w:ascii="Book Antiqua" w:hAnsi="Book Antiqua"/>
          <w:b/>
          <w:bCs/>
          <w:sz w:val="26"/>
          <w:szCs w:val="26"/>
        </w:rPr>
      </w:pPr>
      <w:r w:rsidRPr="00540F81">
        <w:rPr>
          <w:rFonts w:ascii="Book Antiqua" w:hAnsi="Book Antiqua"/>
          <w:b/>
          <w:bCs/>
          <w:sz w:val="26"/>
          <w:szCs w:val="26"/>
        </w:rPr>
        <w:t xml:space="preserve">2.4 Data Analysis </w:t>
      </w:r>
    </w:p>
    <w:p w14:paraId="551FA4F9"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The mean values of parameters were computed using Microsoft Excel software. Two replicates were made and statistical test (t-test at 5 %) was used to separate the mean values of the parameters measured. Descriptive statistics were also presented using charts and comparing the mean values with WHO drinking water guidelines.</w:t>
      </w:r>
    </w:p>
    <w:p w14:paraId="3A08BC33" w14:textId="77777777" w:rsidR="002416BB" w:rsidRPr="00E3232D" w:rsidRDefault="002416BB" w:rsidP="007E05C1">
      <w:pPr>
        <w:autoSpaceDE w:val="0"/>
        <w:autoSpaceDN w:val="0"/>
        <w:adjustRightInd w:val="0"/>
        <w:jc w:val="both"/>
        <w:rPr>
          <w:rFonts w:ascii="Book Antiqua" w:hAnsi="Book Antiqua"/>
        </w:rPr>
      </w:pPr>
    </w:p>
    <w:p w14:paraId="7C28BEE6" w14:textId="77777777" w:rsidR="002416BB" w:rsidRPr="00540F81" w:rsidRDefault="002416BB" w:rsidP="007E05C1">
      <w:pPr>
        <w:autoSpaceDE w:val="0"/>
        <w:autoSpaceDN w:val="0"/>
        <w:adjustRightInd w:val="0"/>
        <w:jc w:val="both"/>
        <w:rPr>
          <w:rFonts w:ascii="Book Antiqua" w:hAnsi="Book Antiqua"/>
          <w:b/>
          <w:bCs/>
          <w:sz w:val="26"/>
          <w:szCs w:val="26"/>
        </w:rPr>
      </w:pPr>
      <w:r w:rsidRPr="00540F81">
        <w:rPr>
          <w:rFonts w:ascii="Book Antiqua" w:hAnsi="Book Antiqua"/>
          <w:b/>
          <w:bCs/>
          <w:sz w:val="26"/>
          <w:szCs w:val="26"/>
        </w:rPr>
        <w:t>3.</w:t>
      </w:r>
      <w:r w:rsidR="007E05C1">
        <w:rPr>
          <w:rFonts w:ascii="Book Antiqua" w:hAnsi="Book Antiqua"/>
          <w:b/>
          <w:bCs/>
          <w:sz w:val="26"/>
          <w:szCs w:val="26"/>
        </w:rPr>
        <w:t>0</w:t>
      </w:r>
      <w:r w:rsidRPr="00540F81">
        <w:rPr>
          <w:rFonts w:ascii="Book Antiqua" w:hAnsi="Book Antiqua"/>
          <w:b/>
          <w:bCs/>
          <w:sz w:val="26"/>
          <w:szCs w:val="26"/>
        </w:rPr>
        <w:t xml:space="preserve"> Results</w:t>
      </w:r>
    </w:p>
    <w:p w14:paraId="42307D9B" w14:textId="77777777" w:rsidR="002416BB" w:rsidRPr="00540F81" w:rsidRDefault="002416BB" w:rsidP="007E05C1">
      <w:pPr>
        <w:autoSpaceDE w:val="0"/>
        <w:autoSpaceDN w:val="0"/>
        <w:adjustRightInd w:val="0"/>
        <w:jc w:val="both"/>
        <w:rPr>
          <w:rFonts w:ascii="Book Antiqua" w:hAnsi="Book Antiqua"/>
          <w:b/>
          <w:bCs/>
          <w:sz w:val="26"/>
          <w:szCs w:val="26"/>
        </w:rPr>
      </w:pPr>
      <w:r w:rsidRPr="00540F81">
        <w:rPr>
          <w:rFonts w:ascii="Book Antiqua" w:hAnsi="Book Antiqua"/>
          <w:b/>
          <w:bCs/>
          <w:sz w:val="26"/>
          <w:szCs w:val="26"/>
        </w:rPr>
        <w:t>3.1 Water pH</w:t>
      </w:r>
    </w:p>
    <w:p w14:paraId="594F8D7B"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Figure 3.1 show that, water from entry point had mean pH value of 6.4. The mean pH (6.4) of water from plastic tank remained unchanged from the entry point water after 12 weeks. Water from metal tank had mean pH of 5.4 which decreased significantly (0.362, P&lt;0.05) from the entry point water after 12 weeks. The mean pH (8.6) of water from concrete tank increased significantly (2.02, P&lt;0.05) from the entry point water after 12 weeks.</w:t>
      </w:r>
    </w:p>
    <w:p w14:paraId="5BF39048" w14:textId="77777777" w:rsidR="002416BB" w:rsidRPr="00E3232D" w:rsidRDefault="002416BB" w:rsidP="008275E1">
      <w:pPr>
        <w:autoSpaceDE w:val="0"/>
        <w:autoSpaceDN w:val="0"/>
        <w:adjustRightInd w:val="0"/>
        <w:rPr>
          <w:rFonts w:ascii="Book Antiqua" w:hAnsi="Book Antiqua"/>
        </w:rPr>
      </w:pPr>
    </w:p>
    <w:p w14:paraId="29F309E0" w14:textId="77777777" w:rsidR="002416BB" w:rsidRPr="00E3232D" w:rsidRDefault="007005B1" w:rsidP="008275E1">
      <w:pPr>
        <w:autoSpaceDE w:val="0"/>
        <w:autoSpaceDN w:val="0"/>
        <w:adjustRightInd w:val="0"/>
        <w:rPr>
          <w:rFonts w:ascii="Book Antiqua" w:hAnsi="Book Antiqua"/>
        </w:rPr>
      </w:pPr>
      <w:r>
        <w:rPr>
          <w:rFonts w:ascii="Book Antiqua" w:hAnsi="Book Antiqua"/>
          <w:noProof/>
          <w:lang w:bidi="ar-SA"/>
        </w:rPr>
        <w:drawing>
          <wp:inline distT="0" distB="0" distL="0" distR="0" wp14:anchorId="103C5967" wp14:editId="763E7079">
            <wp:extent cx="3327427" cy="2200275"/>
            <wp:effectExtent l="6088" t="0" r="235" b="0"/>
            <wp:docPr id="225"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95750" cy="2743200"/>
                      <a:chOff x="0" y="0"/>
                      <a:chExt cx="4095750" cy="2743200"/>
                    </a:xfrm>
                  </a:grpSpPr>
                  <a:graphicFrame>
                    <a:nvGraphicFramePr>
                      <a:cNvPr id="2" name="Chart 1"/>
                      <a:cNvGraphicFramePr/>
                    </a:nvGraphicFramePr>
                    <a:graphic>
                      <a:graphicData uri="http://schemas.openxmlformats.org/drawingml/2006/chart">
                        <c:chart xmlns:c="http://schemas.openxmlformats.org/drawingml/2006/chart" xmlns:r="http://schemas.openxmlformats.org/officeDocument/2006/relationships" r:id="rId328"/>
                      </a:graphicData>
                    </a:graphic>
                    <a:xfrm>
                      <a:off x="0" y="0"/>
                      <a:ext cx="4095750" cy="2743200"/>
                    </a:xfrm>
                  </a:graphicFrame>
                  <a:sp>
                    <a:nvSpPr>
                      <a:cNvPr id="3" name="Straight Connector 2"/>
                      <a:cNvSpPr/>
                    </a:nvSpPr>
                    <a:spPr>
                      <a:xfrm>
                        <a:off x="457200" y="904876"/>
                        <a:ext cx="2686050" cy="0"/>
                      </a:xfrm>
                      <a:prstGeom prst="line">
                        <a:avLst/>
                      </a:prstGeom>
                      <a:ln w="3175">
                        <a:solidFill>
                          <a:sysClr val="windowText" lastClr="000000"/>
                        </a:solidFill>
                        <a:prstDash val="lgDash"/>
                      </a:ln>
                    </a:spPr>
                    <a:txSp>
                      <a:txBody>
                        <a:bodyPr wrap="square"/>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endParaRPr lang="en-US"/>
                        </a:p>
                      </a:txBody>
                      <a:useSpRect/>
                    </a:txSp>
                    <a:style>
                      <a:lnRef idx="1">
                        <a:schemeClr val="accent1"/>
                      </a:lnRef>
                      <a:fillRef idx="0">
                        <a:schemeClr val="accent1"/>
                      </a:fillRef>
                      <a:effectRef idx="0">
                        <a:schemeClr val="accent1"/>
                      </a:effectRef>
                      <a:fontRef idx="minor">
                        <a:schemeClr val="tx1"/>
                      </a:fontRef>
                    </a:style>
                  </a:sp>
                  <a:sp>
                    <a:nvSpPr>
                      <a:cNvPr id="4" name="TextBox 1"/>
                      <a:cNvSpPr txBox="1"/>
                    </a:nvSpPr>
                    <a:spPr>
                      <a:xfrm>
                        <a:off x="3086100" y="828675"/>
                        <a:ext cx="614561" cy="171450"/>
                      </a:xfrm>
                      <a:prstGeom prst="rect">
                        <a:avLst/>
                      </a:prstGeom>
                    </a:spPr>
                    <a:txSp>
                      <a:txBody>
                        <a:bodyPr wrap="square" rtlCol="0"/>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en-US" sz="800">
                              <a:latin typeface="Times New Roman" pitchFamily="18" charset="0"/>
                              <a:cs typeface="Times New Roman" pitchFamily="18" charset="0"/>
                            </a:rPr>
                            <a:t>WHO UL</a:t>
                          </a:r>
                        </a:p>
                      </a:txBody>
                      <a:useSpRect/>
                    </a:txSp>
                  </a:sp>
                </lc:lockedCanvas>
              </a:graphicData>
            </a:graphic>
          </wp:inline>
        </w:drawing>
      </w:r>
    </w:p>
    <w:p w14:paraId="6BCEA98B" w14:textId="77777777" w:rsidR="002416BB" w:rsidRPr="00E3232D" w:rsidRDefault="002416BB" w:rsidP="008275E1">
      <w:pPr>
        <w:autoSpaceDE w:val="0"/>
        <w:autoSpaceDN w:val="0"/>
        <w:adjustRightInd w:val="0"/>
        <w:rPr>
          <w:rFonts w:ascii="Book Antiqua" w:hAnsi="Book Antiqua"/>
          <w:b/>
          <w:noProof/>
        </w:rPr>
      </w:pPr>
      <w:r w:rsidRPr="00E3232D">
        <w:rPr>
          <w:rFonts w:ascii="Book Antiqua" w:hAnsi="Book Antiqua"/>
          <w:b/>
        </w:rPr>
        <w:t>Fig. 3.1:</w:t>
      </w:r>
      <w:r w:rsidRPr="00E3232D">
        <w:rPr>
          <w:rFonts w:ascii="Book Antiqua" w:hAnsi="Book Antiqua"/>
        </w:rPr>
        <w:t xml:space="preserve"> </w:t>
      </w:r>
      <w:r w:rsidRPr="00E3232D">
        <w:rPr>
          <w:rFonts w:ascii="Book Antiqua" w:hAnsi="Book Antiqua"/>
          <w:b/>
          <w:noProof/>
        </w:rPr>
        <w:t>Comparison of storage tanks in terms of water pH</w:t>
      </w:r>
    </w:p>
    <w:p w14:paraId="724B2B29" w14:textId="77777777" w:rsidR="002416BB" w:rsidRPr="00E3232D" w:rsidRDefault="002416BB" w:rsidP="008275E1">
      <w:pPr>
        <w:autoSpaceDE w:val="0"/>
        <w:autoSpaceDN w:val="0"/>
        <w:adjustRightInd w:val="0"/>
        <w:rPr>
          <w:rFonts w:ascii="Book Antiqua" w:hAnsi="Book Antiqua"/>
          <w:b/>
          <w:noProof/>
        </w:rPr>
      </w:pPr>
      <w:r w:rsidRPr="00E3232D">
        <w:rPr>
          <w:rFonts w:ascii="Book Antiqua" w:hAnsi="Book Antiqua"/>
          <w:b/>
          <w:noProof/>
        </w:rPr>
        <w:t>*WHOLL: WHO Lower Limit</w:t>
      </w:r>
    </w:p>
    <w:p w14:paraId="48C3B2DD" w14:textId="77777777" w:rsidR="002416BB" w:rsidRDefault="002416BB" w:rsidP="008275E1">
      <w:pPr>
        <w:autoSpaceDE w:val="0"/>
        <w:autoSpaceDN w:val="0"/>
        <w:adjustRightInd w:val="0"/>
        <w:rPr>
          <w:rFonts w:ascii="Book Antiqua" w:hAnsi="Book Antiqua"/>
        </w:rPr>
      </w:pPr>
      <w:r w:rsidRPr="00E3232D">
        <w:rPr>
          <w:rFonts w:ascii="Book Antiqua" w:hAnsi="Book Antiqua"/>
          <w:b/>
          <w:noProof/>
        </w:rPr>
        <w:t xml:space="preserve">  WHOUP: WHO Upper Limit</w:t>
      </w:r>
    </w:p>
    <w:p w14:paraId="16B1A294" w14:textId="77777777" w:rsidR="009C0793" w:rsidRPr="009C0793" w:rsidRDefault="009C0793" w:rsidP="008275E1">
      <w:pPr>
        <w:autoSpaceDE w:val="0"/>
        <w:autoSpaceDN w:val="0"/>
        <w:adjustRightInd w:val="0"/>
        <w:rPr>
          <w:rFonts w:ascii="Book Antiqua" w:hAnsi="Book Antiqua"/>
        </w:rPr>
      </w:pPr>
    </w:p>
    <w:p w14:paraId="37B6B686" w14:textId="77777777" w:rsidR="002416BB" w:rsidRPr="009C0793" w:rsidRDefault="002416BB" w:rsidP="007E05C1">
      <w:pPr>
        <w:autoSpaceDE w:val="0"/>
        <w:autoSpaceDN w:val="0"/>
        <w:adjustRightInd w:val="0"/>
        <w:jc w:val="both"/>
        <w:rPr>
          <w:rFonts w:ascii="Book Antiqua" w:hAnsi="Book Antiqua"/>
          <w:b/>
          <w:bCs/>
          <w:szCs w:val="26"/>
        </w:rPr>
      </w:pPr>
      <w:r w:rsidRPr="009C0793">
        <w:rPr>
          <w:rFonts w:ascii="Book Antiqua" w:hAnsi="Book Antiqua"/>
          <w:b/>
          <w:bCs/>
          <w:szCs w:val="26"/>
        </w:rPr>
        <w:t>3.2 Total Alkalinity</w:t>
      </w:r>
    </w:p>
    <w:p w14:paraId="7784F357"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As illustrated in fig.3.2, the mean total alkalinity for the entry point water was 6.5 mg/l. Water from plastic tank had mean total alkalinity of 6.5 mg/l which was not significantly different (0.477, P&lt;0.05) from the entry point water after 12 weeks. The mean total alkalinity (3.3 mg/l) of water from metal tank decreased significantly (0.491, P&lt;0.05) from the entry point water after 12 weeks. Water from concrete tank had mean total alkalinity of 20.5 mg/l which was significantly different (3.723, P&lt;0.05) from the entry point water after 12 weeks.</w:t>
      </w:r>
    </w:p>
    <w:p w14:paraId="42784771" w14:textId="77777777" w:rsidR="002416BB" w:rsidRPr="00E3232D" w:rsidRDefault="002416BB" w:rsidP="008275E1">
      <w:pPr>
        <w:autoSpaceDE w:val="0"/>
        <w:autoSpaceDN w:val="0"/>
        <w:adjustRightInd w:val="0"/>
        <w:rPr>
          <w:rFonts w:ascii="Book Antiqua" w:hAnsi="Book Antiqua"/>
        </w:rPr>
      </w:pPr>
    </w:p>
    <w:p w14:paraId="1B599730" w14:textId="77777777" w:rsidR="002416BB" w:rsidRPr="00E3232D" w:rsidRDefault="007005B1" w:rsidP="008275E1">
      <w:pPr>
        <w:autoSpaceDE w:val="0"/>
        <w:autoSpaceDN w:val="0"/>
        <w:adjustRightInd w:val="0"/>
        <w:ind w:left="-540"/>
        <w:rPr>
          <w:rFonts w:ascii="Book Antiqua" w:hAnsi="Book Antiqua"/>
          <w:noProof/>
        </w:rPr>
      </w:pPr>
      <w:r>
        <w:rPr>
          <w:rFonts w:ascii="Book Antiqua" w:hAnsi="Book Antiqua"/>
          <w:noProof/>
          <w:lang w:bidi="ar-SA"/>
        </w:rPr>
        <w:drawing>
          <wp:inline distT="0" distB="0" distL="0" distR="0" wp14:anchorId="546DD62B" wp14:editId="14BE09C3">
            <wp:extent cx="3079223" cy="2029857"/>
            <wp:effectExtent l="12187" t="6077" r="4215" b="2416"/>
            <wp:docPr id="226"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p>
    <w:p w14:paraId="5709DDCF" w14:textId="77777777" w:rsidR="002416BB" w:rsidRPr="00E3232D" w:rsidRDefault="002416BB" w:rsidP="008275E1">
      <w:pPr>
        <w:autoSpaceDE w:val="0"/>
        <w:autoSpaceDN w:val="0"/>
        <w:adjustRightInd w:val="0"/>
        <w:rPr>
          <w:rFonts w:ascii="Book Antiqua" w:hAnsi="Book Antiqua"/>
        </w:rPr>
      </w:pPr>
      <w:r w:rsidRPr="00E3232D">
        <w:rPr>
          <w:rFonts w:ascii="Book Antiqua" w:hAnsi="Book Antiqua"/>
          <w:b/>
        </w:rPr>
        <w:t>Fig. 3.2:</w:t>
      </w:r>
      <w:r w:rsidRPr="00E3232D">
        <w:rPr>
          <w:rFonts w:ascii="Book Antiqua" w:hAnsi="Book Antiqua"/>
        </w:rPr>
        <w:t xml:space="preserve"> </w:t>
      </w:r>
      <w:r w:rsidRPr="00E3232D">
        <w:rPr>
          <w:rFonts w:ascii="Book Antiqua" w:hAnsi="Book Antiqua"/>
          <w:b/>
          <w:noProof/>
        </w:rPr>
        <w:t>Comparison of storage tanks in terms of water total alkalinity</w:t>
      </w:r>
    </w:p>
    <w:p w14:paraId="308F3214" w14:textId="77777777" w:rsidR="002416BB" w:rsidRPr="00E3232D" w:rsidRDefault="002416BB" w:rsidP="008275E1">
      <w:pPr>
        <w:autoSpaceDE w:val="0"/>
        <w:autoSpaceDN w:val="0"/>
        <w:adjustRightInd w:val="0"/>
        <w:rPr>
          <w:rFonts w:ascii="Book Antiqua" w:hAnsi="Book Antiqua"/>
          <w:b/>
          <w:bCs/>
        </w:rPr>
      </w:pPr>
    </w:p>
    <w:p w14:paraId="008107FB" w14:textId="77777777" w:rsidR="002416BB" w:rsidRPr="00540F81" w:rsidRDefault="002416BB" w:rsidP="007E05C1">
      <w:pPr>
        <w:autoSpaceDE w:val="0"/>
        <w:autoSpaceDN w:val="0"/>
        <w:adjustRightInd w:val="0"/>
        <w:jc w:val="both"/>
        <w:rPr>
          <w:rFonts w:ascii="Book Antiqua" w:hAnsi="Book Antiqua"/>
          <w:b/>
          <w:bCs/>
          <w:sz w:val="26"/>
          <w:szCs w:val="26"/>
        </w:rPr>
      </w:pPr>
      <w:r w:rsidRPr="00540F81">
        <w:rPr>
          <w:rFonts w:ascii="Book Antiqua" w:hAnsi="Book Antiqua"/>
          <w:b/>
          <w:bCs/>
          <w:sz w:val="26"/>
          <w:szCs w:val="26"/>
        </w:rPr>
        <w:t xml:space="preserve">3.3 </w:t>
      </w:r>
      <w:r w:rsidRPr="009C0793">
        <w:rPr>
          <w:rFonts w:ascii="Book Antiqua" w:hAnsi="Book Antiqua"/>
          <w:b/>
          <w:bCs/>
          <w:szCs w:val="26"/>
        </w:rPr>
        <w:t>Electrical Conductivity</w:t>
      </w:r>
    </w:p>
    <w:p w14:paraId="711BCC12"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In fig 3.3, the entry point water had mean conductivity of 170 μS/cm. Water from plastic tank had mean conductivity of 168 μS/cm which was not significantly different (0.653, P&lt;0.05) from the entry point water after 12 weeks. Metal tank had mean conductivity of 184.33 μS/cm which was significantly different (2.533, P&lt;0.05) from the entry point water after 12 weeks. Water from concrete tank had mean conductivity of 153.13 μS/cm. Significant difference (5.801, P&lt;0.05) was found between water from concrete tank and the entry point water after 12 weeks of storage.</w:t>
      </w:r>
    </w:p>
    <w:p w14:paraId="5270CEF7" w14:textId="77777777" w:rsidR="002416BB" w:rsidRPr="00E3232D" w:rsidRDefault="002416BB" w:rsidP="008275E1">
      <w:pPr>
        <w:autoSpaceDE w:val="0"/>
        <w:autoSpaceDN w:val="0"/>
        <w:adjustRightInd w:val="0"/>
        <w:rPr>
          <w:rFonts w:ascii="Book Antiqua" w:hAnsi="Book Antiqua"/>
        </w:rPr>
      </w:pPr>
    </w:p>
    <w:p w14:paraId="4CC0CBD9" w14:textId="77777777" w:rsidR="002416BB" w:rsidRPr="00E3232D" w:rsidRDefault="007005B1" w:rsidP="008275E1">
      <w:pPr>
        <w:autoSpaceDE w:val="0"/>
        <w:autoSpaceDN w:val="0"/>
        <w:adjustRightInd w:val="0"/>
        <w:rPr>
          <w:rFonts w:ascii="Book Antiqua" w:hAnsi="Book Antiqua"/>
        </w:rPr>
      </w:pPr>
      <w:r>
        <w:rPr>
          <w:rFonts w:ascii="Book Antiqua" w:hAnsi="Book Antiqua"/>
          <w:noProof/>
          <w:lang w:bidi="ar-SA"/>
        </w:rPr>
        <w:drawing>
          <wp:inline distT="0" distB="0" distL="0" distR="0" wp14:anchorId="59894505" wp14:editId="0229C017">
            <wp:extent cx="2790825" cy="2108835"/>
            <wp:effectExtent l="19050" t="0" r="9525" b="5715"/>
            <wp:docPr id="227"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p w14:paraId="1B590FD0" w14:textId="77777777" w:rsidR="002416BB" w:rsidRDefault="002416BB" w:rsidP="008275E1">
      <w:pPr>
        <w:autoSpaceDE w:val="0"/>
        <w:autoSpaceDN w:val="0"/>
        <w:adjustRightInd w:val="0"/>
        <w:rPr>
          <w:rFonts w:ascii="Book Antiqua" w:hAnsi="Book Antiqua"/>
        </w:rPr>
      </w:pPr>
      <w:r w:rsidRPr="00E3232D">
        <w:rPr>
          <w:rFonts w:ascii="Book Antiqua" w:hAnsi="Book Antiqua"/>
          <w:b/>
        </w:rPr>
        <w:t>Fig. 3.3:</w:t>
      </w:r>
      <w:r w:rsidRPr="00E3232D">
        <w:rPr>
          <w:rFonts w:ascii="Book Antiqua" w:hAnsi="Book Antiqua"/>
        </w:rPr>
        <w:t xml:space="preserve"> </w:t>
      </w:r>
      <w:r w:rsidRPr="00E3232D">
        <w:rPr>
          <w:rFonts w:ascii="Book Antiqua" w:hAnsi="Book Antiqua"/>
          <w:b/>
          <w:noProof/>
        </w:rPr>
        <w:t>Comparison of storage tanks in terms of water electrical conductivity</w:t>
      </w:r>
    </w:p>
    <w:p w14:paraId="42C05915" w14:textId="77777777" w:rsidR="009C0793" w:rsidRPr="009C0793" w:rsidRDefault="009C0793" w:rsidP="008275E1">
      <w:pPr>
        <w:autoSpaceDE w:val="0"/>
        <w:autoSpaceDN w:val="0"/>
        <w:adjustRightInd w:val="0"/>
        <w:rPr>
          <w:rFonts w:ascii="Book Antiqua" w:hAnsi="Book Antiqua"/>
        </w:rPr>
      </w:pPr>
    </w:p>
    <w:p w14:paraId="68264F25" w14:textId="77777777" w:rsidR="002416BB" w:rsidRPr="009C0793" w:rsidRDefault="002416BB" w:rsidP="008275E1">
      <w:pPr>
        <w:autoSpaceDE w:val="0"/>
        <w:autoSpaceDN w:val="0"/>
        <w:adjustRightInd w:val="0"/>
        <w:rPr>
          <w:rFonts w:ascii="Book Antiqua" w:hAnsi="Book Antiqua"/>
          <w:b/>
          <w:bCs/>
          <w:szCs w:val="26"/>
        </w:rPr>
      </w:pPr>
      <w:r w:rsidRPr="009C0793">
        <w:rPr>
          <w:rFonts w:ascii="Book Antiqua" w:hAnsi="Book Antiqua"/>
          <w:b/>
          <w:bCs/>
          <w:szCs w:val="26"/>
        </w:rPr>
        <w:t>3.4 Turbidity</w:t>
      </w:r>
    </w:p>
    <w:p w14:paraId="20B73A73"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As shown in fig. 3.4, the entry point water had mean turbidity of 9.41 NTU. Mean turbidity of water from plastic tank was 6.88 NTU which was not significantly different (0.962, P&lt;0.05) compared to the entry point water after 12 weeks. After 12 weeks of storage, water from metal tank  had mean turbidity of 18.88 NTU which was significantly different (2.503, P&lt;0.05) from the entry point water. The mean turbidity (15.42 NTU) of concrete tanks varied significantly (2.602, P&lt;0.05) from the entry point water after 12 weeks of storage.</w:t>
      </w:r>
    </w:p>
    <w:p w14:paraId="304A18DB" w14:textId="77777777" w:rsidR="002416BB" w:rsidRPr="00E3232D" w:rsidRDefault="002416BB" w:rsidP="008275E1">
      <w:pPr>
        <w:autoSpaceDE w:val="0"/>
        <w:autoSpaceDN w:val="0"/>
        <w:adjustRightInd w:val="0"/>
        <w:rPr>
          <w:rFonts w:ascii="Book Antiqua" w:hAnsi="Book Antiqua"/>
        </w:rPr>
      </w:pPr>
    </w:p>
    <w:p w14:paraId="25A8638D" w14:textId="77777777" w:rsidR="002416BB" w:rsidRPr="00E3232D" w:rsidRDefault="007005B1" w:rsidP="009C0793">
      <w:pPr>
        <w:tabs>
          <w:tab w:val="left" w:pos="90"/>
        </w:tabs>
        <w:autoSpaceDE w:val="0"/>
        <w:autoSpaceDN w:val="0"/>
        <w:adjustRightInd w:val="0"/>
        <w:ind w:left="90" w:hanging="90"/>
        <w:rPr>
          <w:rFonts w:ascii="Book Antiqua" w:hAnsi="Book Antiqua"/>
          <w:noProof/>
        </w:rPr>
      </w:pPr>
      <w:r>
        <w:rPr>
          <w:rFonts w:ascii="Book Antiqua" w:hAnsi="Book Antiqua"/>
          <w:noProof/>
          <w:lang w:bidi="ar-SA"/>
        </w:rPr>
        <w:drawing>
          <wp:inline distT="0" distB="0" distL="0" distR="0" wp14:anchorId="16BADBB8" wp14:editId="198BDF84">
            <wp:extent cx="2657475" cy="2209800"/>
            <wp:effectExtent l="19050" t="0" r="0" b="0"/>
            <wp:docPr id="228" name="Objec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886201" cy="2638425"/>
                      <a:chOff x="0" y="0"/>
                      <a:chExt cx="3886201" cy="2638425"/>
                    </a:xfrm>
                  </a:grpSpPr>
                  <a:graphicFrame>
                    <a:nvGraphicFramePr>
                      <a:cNvPr id="8" name="Chart 7"/>
                      <a:cNvGraphicFramePr/>
                    </a:nvGraphicFramePr>
                    <a:graphic>
                      <a:graphicData uri="http://schemas.openxmlformats.org/drawingml/2006/chart">
                        <c:chart xmlns:c="http://schemas.openxmlformats.org/drawingml/2006/chart" xmlns:r="http://schemas.openxmlformats.org/officeDocument/2006/relationships" r:id="rId331"/>
                      </a:graphicData>
                    </a:graphic>
                    <a:xfrm>
                      <a:off x="0" y="0"/>
                      <a:ext cx="3886201" cy="2638425"/>
                    </a:xfrm>
                  </a:graphicFrame>
                  <a:cxnSp>
                    <a:nvCxnSpPr>
                      <a:cNvPr id="10" name="Straight Connector 9"/>
                      <a:cNvCxnSpPr/>
                    </a:nvCxnSpPr>
                    <a:spPr>
                      <a:xfrm>
                        <a:off x="542926" y="1695450"/>
                        <a:ext cx="2771775" cy="9525"/>
                      </a:xfrm>
                      <a:prstGeom prst="line">
                        <a:avLst/>
                      </a:prstGeom>
                      <a:ln w="3175">
                        <a:solidFill>
                          <a:sysClr val="windowText" lastClr="000000"/>
                        </a:solidFill>
                        <a:prstDash val="lgDash"/>
                      </a:ln>
                    </a:spPr>
                    <a:style>
                      <a:lnRef idx="1">
                        <a:schemeClr val="accent1"/>
                      </a:lnRef>
                      <a:fillRef idx="0">
                        <a:schemeClr val="accent1"/>
                      </a:fillRef>
                      <a:effectRef idx="0">
                        <a:schemeClr val="accent1"/>
                      </a:effectRef>
                      <a:fontRef idx="minor">
                        <a:schemeClr val="tx1"/>
                      </a:fontRef>
                    </a:style>
                  </a:cxnSp>
                </lc:lockedCanvas>
              </a:graphicData>
            </a:graphic>
          </wp:inline>
        </w:drawing>
      </w:r>
    </w:p>
    <w:p w14:paraId="47FFD178" w14:textId="77777777" w:rsidR="002416BB" w:rsidRPr="00E3232D" w:rsidRDefault="002416BB" w:rsidP="008275E1">
      <w:pPr>
        <w:autoSpaceDE w:val="0"/>
        <w:autoSpaceDN w:val="0"/>
        <w:adjustRightInd w:val="0"/>
        <w:rPr>
          <w:rFonts w:ascii="Book Antiqua" w:hAnsi="Book Antiqua"/>
        </w:rPr>
      </w:pPr>
      <w:r w:rsidRPr="00E3232D">
        <w:rPr>
          <w:rFonts w:ascii="Book Antiqua" w:hAnsi="Book Antiqua"/>
          <w:b/>
          <w:noProof/>
        </w:rPr>
        <w:t>Fig. 3.4:</w:t>
      </w:r>
      <w:r w:rsidRPr="00E3232D">
        <w:rPr>
          <w:rFonts w:ascii="Book Antiqua" w:hAnsi="Book Antiqua"/>
        </w:rPr>
        <w:t xml:space="preserve"> </w:t>
      </w:r>
      <w:r w:rsidRPr="00E3232D">
        <w:rPr>
          <w:rFonts w:ascii="Book Antiqua" w:hAnsi="Book Antiqua"/>
          <w:b/>
          <w:noProof/>
        </w:rPr>
        <w:t>Comparison of storage tanks in terms of water turbidity</w:t>
      </w:r>
    </w:p>
    <w:p w14:paraId="3C13B9BE" w14:textId="77777777" w:rsidR="00886BA6" w:rsidRDefault="00886BA6" w:rsidP="008275E1">
      <w:pPr>
        <w:autoSpaceDE w:val="0"/>
        <w:autoSpaceDN w:val="0"/>
        <w:adjustRightInd w:val="0"/>
        <w:rPr>
          <w:rFonts w:ascii="Book Antiqua" w:hAnsi="Book Antiqua"/>
          <w:b/>
          <w:bCs/>
        </w:rPr>
      </w:pPr>
    </w:p>
    <w:p w14:paraId="5BC97CFF" w14:textId="77777777" w:rsidR="002416BB" w:rsidRPr="009C0793" w:rsidRDefault="002416BB" w:rsidP="008275E1">
      <w:pPr>
        <w:autoSpaceDE w:val="0"/>
        <w:autoSpaceDN w:val="0"/>
        <w:adjustRightInd w:val="0"/>
        <w:rPr>
          <w:rFonts w:ascii="Book Antiqua" w:hAnsi="Book Antiqua"/>
          <w:b/>
          <w:bCs/>
          <w:szCs w:val="26"/>
        </w:rPr>
      </w:pPr>
      <w:r w:rsidRPr="009C0793">
        <w:rPr>
          <w:rFonts w:ascii="Book Antiqua" w:hAnsi="Book Antiqua"/>
          <w:b/>
          <w:bCs/>
          <w:szCs w:val="26"/>
        </w:rPr>
        <w:t>3.5 Nitrate</w:t>
      </w:r>
    </w:p>
    <w:p w14:paraId="5BCD2DB5"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In terms of nitrate concentration, as in fig.3.5, mean value at the entry point water was 5.15 mg/l. Water from plastic tank had mean nitrate concentration of 4.6 mg/l which was not significantly different (0.25, P&lt;0.05) from the entry point water after 12 weeks. Mean nitrate concentration (12.53 mg/l) of water from metal tank was considerably significant (1.968, P&lt;0.05) compared to the entry point water after 12 weeks of storage. weeks. However, mean concentration of nitrate (11.85 mg/l) of the water from concrete tank was significantly different (2.78, P&lt;0.05) from the entry point water after 12 weeks.</w:t>
      </w:r>
    </w:p>
    <w:p w14:paraId="695F683F" w14:textId="77777777" w:rsidR="002416BB" w:rsidRPr="00E3232D" w:rsidRDefault="002416BB" w:rsidP="008275E1">
      <w:pPr>
        <w:autoSpaceDE w:val="0"/>
        <w:autoSpaceDN w:val="0"/>
        <w:adjustRightInd w:val="0"/>
        <w:rPr>
          <w:rFonts w:ascii="Book Antiqua" w:hAnsi="Book Antiqua"/>
        </w:rPr>
      </w:pPr>
    </w:p>
    <w:p w14:paraId="0C2F1D85" w14:textId="77777777" w:rsidR="002416BB" w:rsidRPr="00E3232D" w:rsidRDefault="007005B1" w:rsidP="008275E1">
      <w:pPr>
        <w:autoSpaceDE w:val="0"/>
        <w:autoSpaceDN w:val="0"/>
        <w:adjustRightInd w:val="0"/>
        <w:rPr>
          <w:rFonts w:ascii="Book Antiqua" w:hAnsi="Book Antiqua"/>
          <w:noProof/>
        </w:rPr>
      </w:pPr>
      <w:r>
        <w:rPr>
          <w:rFonts w:ascii="Book Antiqua" w:hAnsi="Book Antiqua"/>
          <w:noProof/>
          <w:lang w:bidi="ar-SA"/>
        </w:rPr>
        <w:drawing>
          <wp:inline distT="0" distB="0" distL="0" distR="0" wp14:anchorId="260A81E1" wp14:editId="7C254DAE">
            <wp:extent cx="2739390" cy="2133600"/>
            <wp:effectExtent l="19050" t="0" r="22860" b="0"/>
            <wp:docPr id="229"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14:paraId="068C28A0" w14:textId="77777777" w:rsidR="002416BB" w:rsidRPr="00E3232D" w:rsidRDefault="002416BB" w:rsidP="008275E1">
      <w:pPr>
        <w:autoSpaceDE w:val="0"/>
        <w:autoSpaceDN w:val="0"/>
        <w:adjustRightInd w:val="0"/>
        <w:rPr>
          <w:rFonts w:ascii="Book Antiqua" w:hAnsi="Book Antiqua"/>
        </w:rPr>
      </w:pPr>
      <w:r w:rsidRPr="00E3232D">
        <w:rPr>
          <w:rFonts w:ascii="Book Antiqua" w:hAnsi="Book Antiqua"/>
          <w:b/>
          <w:noProof/>
        </w:rPr>
        <w:t>Fig. 3.5:</w:t>
      </w:r>
      <w:r w:rsidRPr="00E3232D">
        <w:rPr>
          <w:rFonts w:ascii="Book Antiqua" w:hAnsi="Book Antiqua"/>
        </w:rPr>
        <w:t xml:space="preserve"> </w:t>
      </w:r>
      <w:r w:rsidRPr="00E3232D">
        <w:rPr>
          <w:rFonts w:ascii="Book Antiqua" w:hAnsi="Book Antiqua"/>
          <w:b/>
          <w:noProof/>
        </w:rPr>
        <w:t>Comparison of storage tanks in terms of water nitrate</w:t>
      </w:r>
    </w:p>
    <w:p w14:paraId="49FF232B" w14:textId="77777777" w:rsidR="009C0793" w:rsidRDefault="009C0793" w:rsidP="008275E1">
      <w:pPr>
        <w:autoSpaceDE w:val="0"/>
        <w:autoSpaceDN w:val="0"/>
        <w:adjustRightInd w:val="0"/>
        <w:rPr>
          <w:rFonts w:ascii="Book Antiqua" w:hAnsi="Book Antiqua"/>
          <w:b/>
          <w:bCs/>
          <w:szCs w:val="26"/>
        </w:rPr>
      </w:pPr>
    </w:p>
    <w:p w14:paraId="5BF5066E" w14:textId="77777777" w:rsidR="002416BB" w:rsidRPr="009C0793" w:rsidRDefault="002416BB" w:rsidP="008275E1">
      <w:pPr>
        <w:autoSpaceDE w:val="0"/>
        <w:autoSpaceDN w:val="0"/>
        <w:adjustRightInd w:val="0"/>
        <w:rPr>
          <w:rFonts w:ascii="Book Antiqua" w:hAnsi="Book Antiqua"/>
          <w:b/>
          <w:bCs/>
          <w:szCs w:val="26"/>
        </w:rPr>
      </w:pPr>
      <w:r w:rsidRPr="009C0793">
        <w:rPr>
          <w:rFonts w:ascii="Book Antiqua" w:hAnsi="Book Antiqua"/>
          <w:b/>
          <w:bCs/>
          <w:szCs w:val="26"/>
        </w:rPr>
        <w:t>3.6 Total Hardness</w:t>
      </w:r>
    </w:p>
    <w:p w14:paraId="620493AF"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results of total hardness as shown in fig.3.6 revealed that, the mean values of entry point water and water from plastic tank were the same, i.e.1.82 mg/l. Nonetheless, water from metal tank had mean total hardness of 6.53 mg/l which was significantly different (1.464, P&lt;0.05) from the entry point water after 12 weeks. The mean total hardness of water from concrete tank was 10.52 mg/l which was also significantly different (2.79, P&lt;0.05) from the entry point water after 12 weeks of storage.</w:t>
      </w:r>
    </w:p>
    <w:p w14:paraId="64A285BA" w14:textId="77777777" w:rsidR="002416BB" w:rsidRPr="00E3232D" w:rsidRDefault="002416BB" w:rsidP="008275E1">
      <w:pPr>
        <w:autoSpaceDE w:val="0"/>
        <w:autoSpaceDN w:val="0"/>
        <w:adjustRightInd w:val="0"/>
        <w:rPr>
          <w:rFonts w:ascii="Book Antiqua" w:hAnsi="Book Antiqua"/>
        </w:rPr>
      </w:pPr>
    </w:p>
    <w:p w14:paraId="49F112A7" w14:textId="77777777" w:rsidR="002416BB" w:rsidRPr="00E3232D" w:rsidRDefault="007005B1" w:rsidP="008275E1">
      <w:pPr>
        <w:autoSpaceDE w:val="0"/>
        <w:autoSpaceDN w:val="0"/>
        <w:adjustRightInd w:val="0"/>
        <w:ind w:left="-360"/>
        <w:rPr>
          <w:rFonts w:ascii="Book Antiqua" w:hAnsi="Book Antiqua"/>
          <w:noProof/>
        </w:rPr>
      </w:pPr>
      <w:r>
        <w:rPr>
          <w:rFonts w:ascii="Book Antiqua" w:hAnsi="Book Antiqua"/>
          <w:noProof/>
          <w:lang w:bidi="ar-SA"/>
        </w:rPr>
        <w:drawing>
          <wp:inline distT="0" distB="0" distL="0" distR="0" wp14:anchorId="3E220E36" wp14:editId="3B880D27">
            <wp:extent cx="2415540" cy="2032635"/>
            <wp:effectExtent l="19050" t="0" r="22860" b="5715"/>
            <wp:docPr id="230"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p w14:paraId="40656197" w14:textId="77777777" w:rsidR="002416BB" w:rsidRPr="00E3232D" w:rsidRDefault="002416BB" w:rsidP="00886BA6">
      <w:pPr>
        <w:autoSpaceDE w:val="0"/>
        <w:autoSpaceDN w:val="0"/>
        <w:adjustRightInd w:val="0"/>
        <w:spacing w:after="0"/>
        <w:rPr>
          <w:rFonts w:ascii="Book Antiqua" w:hAnsi="Book Antiqua"/>
        </w:rPr>
      </w:pPr>
      <w:r w:rsidRPr="00E3232D">
        <w:rPr>
          <w:rFonts w:ascii="Book Antiqua" w:hAnsi="Book Antiqua"/>
          <w:b/>
          <w:noProof/>
        </w:rPr>
        <w:t>Fig. 3.6:</w:t>
      </w:r>
      <w:r w:rsidRPr="00E3232D">
        <w:rPr>
          <w:rFonts w:ascii="Book Antiqua" w:hAnsi="Book Antiqua"/>
        </w:rPr>
        <w:t xml:space="preserve"> </w:t>
      </w:r>
      <w:r w:rsidRPr="00E3232D">
        <w:rPr>
          <w:rFonts w:ascii="Book Antiqua" w:hAnsi="Book Antiqua"/>
          <w:b/>
          <w:noProof/>
        </w:rPr>
        <w:t>Comparison of storage tanks in terms of water total hardness</w:t>
      </w:r>
    </w:p>
    <w:p w14:paraId="0C5DBE4B" w14:textId="77777777" w:rsidR="002416BB" w:rsidRPr="00E3232D" w:rsidRDefault="002416BB" w:rsidP="00886BA6">
      <w:pPr>
        <w:autoSpaceDE w:val="0"/>
        <w:autoSpaceDN w:val="0"/>
        <w:adjustRightInd w:val="0"/>
        <w:spacing w:after="0"/>
        <w:rPr>
          <w:rFonts w:ascii="Book Antiqua" w:hAnsi="Book Antiqua"/>
          <w:b/>
          <w:bCs/>
        </w:rPr>
      </w:pPr>
    </w:p>
    <w:p w14:paraId="0359EDF6" w14:textId="77777777" w:rsidR="009C0793" w:rsidRDefault="009C0793" w:rsidP="00886BA6">
      <w:pPr>
        <w:autoSpaceDE w:val="0"/>
        <w:autoSpaceDN w:val="0"/>
        <w:adjustRightInd w:val="0"/>
        <w:spacing w:after="0"/>
        <w:rPr>
          <w:rFonts w:ascii="Book Antiqua" w:hAnsi="Book Antiqua"/>
          <w:b/>
          <w:bCs/>
          <w:szCs w:val="26"/>
        </w:rPr>
      </w:pPr>
    </w:p>
    <w:p w14:paraId="2C0A9803" w14:textId="77777777" w:rsidR="002416BB" w:rsidRPr="009C0793" w:rsidRDefault="002416BB" w:rsidP="00886BA6">
      <w:pPr>
        <w:autoSpaceDE w:val="0"/>
        <w:autoSpaceDN w:val="0"/>
        <w:adjustRightInd w:val="0"/>
        <w:spacing w:after="0"/>
        <w:rPr>
          <w:rFonts w:ascii="Book Antiqua" w:hAnsi="Book Antiqua"/>
          <w:b/>
          <w:bCs/>
          <w:szCs w:val="26"/>
        </w:rPr>
      </w:pPr>
      <w:r w:rsidRPr="009C0793">
        <w:rPr>
          <w:rFonts w:ascii="Book Antiqua" w:hAnsi="Book Antiqua"/>
          <w:b/>
          <w:bCs/>
          <w:szCs w:val="26"/>
        </w:rPr>
        <w:t>3.7 Iron</w:t>
      </w:r>
    </w:p>
    <w:p w14:paraId="2D7673EC" w14:textId="77777777" w:rsidR="002416BB" w:rsidRPr="00E3232D" w:rsidRDefault="002416BB" w:rsidP="007E05C1">
      <w:pPr>
        <w:autoSpaceDE w:val="0"/>
        <w:autoSpaceDN w:val="0"/>
        <w:adjustRightInd w:val="0"/>
        <w:spacing w:after="0"/>
        <w:jc w:val="both"/>
        <w:rPr>
          <w:rFonts w:ascii="Book Antiqua" w:hAnsi="Book Antiqua"/>
        </w:rPr>
      </w:pPr>
      <w:r w:rsidRPr="00E3232D">
        <w:rPr>
          <w:rFonts w:ascii="Book Antiqua" w:hAnsi="Book Antiqua"/>
        </w:rPr>
        <w:t>As indicated in fig. 3.6, mean iron concentration of entry point water was 0.72 mg/l. Water from plastic tank had mean iron concentration of 0.68 mg/l which was not significantly different (0.013, P&lt;0.05) from the entry point water. Water from metal tank after 12 weeks had mean iron concentration of 3.4 mg/l which was significantly different (1.990, P&lt;0.05) from the entry point water. Water from concrete tank had mean iron concentration of 1.23 mg/l which was not significantly different (0.135, P&lt;0.05) from the entry point water after 12 weeks.</w:t>
      </w:r>
    </w:p>
    <w:p w14:paraId="3449ED7E" w14:textId="77777777" w:rsidR="002416BB" w:rsidRPr="00E3232D" w:rsidRDefault="002416BB" w:rsidP="008275E1">
      <w:pPr>
        <w:autoSpaceDE w:val="0"/>
        <w:autoSpaceDN w:val="0"/>
        <w:adjustRightInd w:val="0"/>
        <w:rPr>
          <w:rFonts w:ascii="Book Antiqua" w:hAnsi="Book Antiqua"/>
        </w:rPr>
      </w:pPr>
    </w:p>
    <w:p w14:paraId="1328BC90" w14:textId="77777777" w:rsidR="002416BB" w:rsidRPr="00E3232D" w:rsidRDefault="007005B1" w:rsidP="008275E1">
      <w:pPr>
        <w:autoSpaceDE w:val="0"/>
        <w:autoSpaceDN w:val="0"/>
        <w:adjustRightInd w:val="0"/>
        <w:ind w:right="-360"/>
        <w:rPr>
          <w:rFonts w:ascii="Book Antiqua" w:hAnsi="Book Antiqua"/>
          <w:noProof/>
        </w:rPr>
      </w:pPr>
      <w:r>
        <w:rPr>
          <w:rFonts w:ascii="Book Antiqua" w:hAnsi="Book Antiqua"/>
          <w:noProof/>
          <w:lang w:bidi="ar-SA"/>
        </w:rPr>
        <w:drawing>
          <wp:inline distT="0" distB="0" distL="0" distR="0" wp14:anchorId="6D6D5B58" wp14:editId="1756386E">
            <wp:extent cx="2858135" cy="2438400"/>
            <wp:effectExtent l="19050" t="0" r="18415" b="0"/>
            <wp:docPr id="231"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p w14:paraId="1CD6A639" w14:textId="77777777" w:rsidR="002416BB" w:rsidRPr="00E3232D" w:rsidRDefault="002416BB" w:rsidP="008275E1">
      <w:pPr>
        <w:autoSpaceDE w:val="0"/>
        <w:autoSpaceDN w:val="0"/>
        <w:adjustRightInd w:val="0"/>
        <w:rPr>
          <w:rFonts w:ascii="Book Antiqua" w:hAnsi="Book Antiqua"/>
        </w:rPr>
      </w:pPr>
      <w:r w:rsidRPr="00E3232D">
        <w:rPr>
          <w:rFonts w:ascii="Book Antiqua" w:hAnsi="Book Antiqua"/>
          <w:b/>
          <w:noProof/>
        </w:rPr>
        <w:t>Fig. 3.7:</w:t>
      </w:r>
      <w:r w:rsidRPr="00E3232D">
        <w:rPr>
          <w:rFonts w:ascii="Book Antiqua" w:hAnsi="Book Antiqua"/>
        </w:rPr>
        <w:t xml:space="preserve"> </w:t>
      </w:r>
      <w:r w:rsidRPr="00E3232D">
        <w:rPr>
          <w:rFonts w:ascii="Book Antiqua" w:hAnsi="Book Antiqua"/>
          <w:b/>
          <w:noProof/>
        </w:rPr>
        <w:t xml:space="preserve">Comparison of storage tanks in terms of water iron </w:t>
      </w:r>
    </w:p>
    <w:p w14:paraId="71B39E3D" w14:textId="77777777" w:rsidR="002416BB" w:rsidRPr="009C0793" w:rsidRDefault="002416BB" w:rsidP="008275E1">
      <w:pPr>
        <w:autoSpaceDE w:val="0"/>
        <w:autoSpaceDN w:val="0"/>
        <w:adjustRightInd w:val="0"/>
        <w:rPr>
          <w:rFonts w:ascii="Book Antiqua" w:hAnsi="Book Antiqua"/>
          <w:sz w:val="18"/>
        </w:rPr>
      </w:pPr>
    </w:p>
    <w:p w14:paraId="12CA7995" w14:textId="77777777" w:rsidR="002416BB" w:rsidRPr="009C0793" w:rsidRDefault="002416BB" w:rsidP="008275E1">
      <w:pPr>
        <w:autoSpaceDE w:val="0"/>
        <w:autoSpaceDN w:val="0"/>
        <w:adjustRightInd w:val="0"/>
        <w:rPr>
          <w:rFonts w:ascii="Book Antiqua" w:hAnsi="Book Antiqua"/>
          <w:b/>
          <w:bCs/>
          <w:szCs w:val="26"/>
        </w:rPr>
      </w:pPr>
      <w:r w:rsidRPr="009C0793">
        <w:rPr>
          <w:rFonts w:ascii="Book Antiqua" w:hAnsi="Book Antiqua"/>
          <w:b/>
          <w:bCs/>
          <w:szCs w:val="26"/>
        </w:rPr>
        <w:t>3.8 Faecal Coliform</w:t>
      </w:r>
    </w:p>
    <w:p w14:paraId="7CA7007F"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As in figure 3.8, the entry point water had mean count of 6.1 cfu/100. The mean faecal coliform count for plastic tank was 20.11 cfu/100 ml which was significantly different (3.733, P&lt;0.05) from the entry point water. The mean faecal coliform count (67.33 cfu/100ml) for water from metal tank was significantly different (7.32, P&lt;0.05) from the entry point water after 12 weeks. Water from concrete tank had mean faecal coliform counts of 32.4 cfu/100ml, which was significantly different (24.55, P&lt;0.05) from the entry point water after 12 weeks of storage.</w:t>
      </w:r>
    </w:p>
    <w:p w14:paraId="2DCB1142" w14:textId="77777777" w:rsidR="00667C5F" w:rsidRDefault="00667C5F" w:rsidP="008275E1">
      <w:pPr>
        <w:autoSpaceDE w:val="0"/>
        <w:autoSpaceDN w:val="0"/>
        <w:adjustRightInd w:val="0"/>
        <w:rPr>
          <w:rFonts w:ascii="Book Antiqua" w:hAnsi="Book Antiqua"/>
          <w:b/>
          <w:noProof/>
        </w:rPr>
      </w:pPr>
    </w:p>
    <w:p w14:paraId="6261D409" w14:textId="77777777" w:rsidR="00E90AF2" w:rsidRDefault="00E90AF2" w:rsidP="008275E1">
      <w:pPr>
        <w:autoSpaceDE w:val="0"/>
        <w:autoSpaceDN w:val="0"/>
        <w:adjustRightInd w:val="0"/>
        <w:rPr>
          <w:rFonts w:ascii="Book Antiqua" w:hAnsi="Book Antiqua"/>
          <w:b/>
          <w:noProof/>
        </w:rPr>
      </w:pPr>
    </w:p>
    <w:p w14:paraId="5E104CE9" w14:textId="77777777" w:rsidR="00E90AF2" w:rsidRDefault="00E90AF2" w:rsidP="008275E1">
      <w:pPr>
        <w:autoSpaceDE w:val="0"/>
        <w:autoSpaceDN w:val="0"/>
        <w:adjustRightInd w:val="0"/>
        <w:rPr>
          <w:rFonts w:ascii="Book Antiqua" w:hAnsi="Book Antiqua"/>
          <w:b/>
          <w:noProof/>
        </w:rPr>
      </w:pPr>
    </w:p>
    <w:p w14:paraId="32637936" w14:textId="77777777" w:rsidR="00540F81" w:rsidRDefault="00540F81" w:rsidP="008275E1">
      <w:pPr>
        <w:autoSpaceDE w:val="0"/>
        <w:autoSpaceDN w:val="0"/>
        <w:adjustRightInd w:val="0"/>
        <w:rPr>
          <w:rFonts w:ascii="Book Antiqua" w:hAnsi="Book Antiqua"/>
          <w:b/>
          <w:noProof/>
        </w:rPr>
      </w:pPr>
    </w:p>
    <w:p w14:paraId="2D2DDC0B" w14:textId="77777777" w:rsidR="002416BB" w:rsidRDefault="002416BB" w:rsidP="008275E1">
      <w:pPr>
        <w:autoSpaceDE w:val="0"/>
        <w:autoSpaceDN w:val="0"/>
        <w:adjustRightInd w:val="0"/>
        <w:rPr>
          <w:rFonts w:ascii="Book Antiqua" w:hAnsi="Book Antiqua"/>
          <w:b/>
          <w:noProof/>
        </w:rPr>
      </w:pPr>
      <w:r w:rsidRPr="00E3232D">
        <w:rPr>
          <w:rFonts w:ascii="Book Antiqua" w:hAnsi="Book Antiqua"/>
          <w:b/>
          <w:noProof/>
        </w:rPr>
        <w:t>Fig. 3.8:</w:t>
      </w:r>
      <w:r w:rsidRPr="00E3232D">
        <w:rPr>
          <w:rFonts w:ascii="Book Antiqua" w:hAnsi="Book Antiqua"/>
        </w:rPr>
        <w:t xml:space="preserve"> </w:t>
      </w:r>
      <w:r w:rsidRPr="00E3232D">
        <w:rPr>
          <w:rFonts w:ascii="Book Antiqua" w:hAnsi="Book Antiqua"/>
          <w:b/>
          <w:noProof/>
        </w:rPr>
        <w:t xml:space="preserve">Comparison of storage tanks in terms of water iron </w:t>
      </w:r>
    </w:p>
    <w:p w14:paraId="535F5A27" w14:textId="77777777" w:rsidR="00667C5F" w:rsidRPr="00E3232D" w:rsidRDefault="007005B1" w:rsidP="008275E1">
      <w:pPr>
        <w:autoSpaceDE w:val="0"/>
        <w:autoSpaceDN w:val="0"/>
        <w:adjustRightInd w:val="0"/>
        <w:rPr>
          <w:rFonts w:ascii="Book Antiqua" w:hAnsi="Book Antiqua"/>
        </w:rPr>
      </w:pPr>
      <w:r>
        <w:rPr>
          <w:rFonts w:ascii="Book Antiqua" w:hAnsi="Book Antiqua"/>
          <w:noProof/>
          <w:lang w:bidi="ar-SA"/>
        </w:rPr>
        <w:drawing>
          <wp:inline distT="0" distB="0" distL="0" distR="0" wp14:anchorId="61BF985E" wp14:editId="0E454823">
            <wp:extent cx="3009900" cy="2533650"/>
            <wp:effectExtent l="19050" t="0" r="19050" b="0"/>
            <wp:docPr id="232"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5"/>
              </a:graphicData>
            </a:graphic>
          </wp:inline>
        </w:drawing>
      </w:r>
    </w:p>
    <w:p w14:paraId="0C1260F0" w14:textId="77777777" w:rsidR="002416BB" w:rsidRPr="00E3232D" w:rsidRDefault="002416BB" w:rsidP="008275E1">
      <w:pPr>
        <w:autoSpaceDE w:val="0"/>
        <w:autoSpaceDN w:val="0"/>
        <w:adjustRightInd w:val="0"/>
        <w:rPr>
          <w:rFonts w:ascii="Book Antiqua" w:hAnsi="Book Antiqua"/>
          <w:b/>
          <w:bCs/>
        </w:rPr>
      </w:pPr>
    </w:p>
    <w:p w14:paraId="381D97B4" w14:textId="77777777" w:rsidR="002416BB" w:rsidRPr="00DB5D81" w:rsidRDefault="002416BB" w:rsidP="008275E1">
      <w:pPr>
        <w:autoSpaceDE w:val="0"/>
        <w:autoSpaceDN w:val="0"/>
        <w:adjustRightInd w:val="0"/>
        <w:rPr>
          <w:rFonts w:ascii="Book Antiqua" w:hAnsi="Book Antiqua"/>
          <w:b/>
          <w:bCs/>
          <w:sz w:val="26"/>
          <w:szCs w:val="26"/>
        </w:rPr>
      </w:pPr>
      <w:r w:rsidRPr="00DB5D81">
        <w:rPr>
          <w:rFonts w:ascii="Book Antiqua" w:hAnsi="Book Antiqua"/>
          <w:b/>
          <w:bCs/>
          <w:sz w:val="26"/>
          <w:szCs w:val="26"/>
        </w:rPr>
        <w:t>4.</w:t>
      </w:r>
      <w:r w:rsidR="007E05C1">
        <w:rPr>
          <w:rFonts w:ascii="Book Antiqua" w:hAnsi="Book Antiqua"/>
          <w:b/>
          <w:bCs/>
          <w:sz w:val="26"/>
          <w:szCs w:val="26"/>
        </w:rPr>
        <w:t>0</w:t>
      </w:r>
      <w:r w:rsidRPr="00DB5D81">
        <w:rPr>
          <w:rFonts w:ascii="Book Antiqua" w:hAnsi="Book Antiqua"/>
          <w:b/>
          <w:bCs/>
          <w:sz w:val="26"/>
          <w:szCs w:val="26"/>
        </w:rPr>
        <w:t xml:space="preserve"> Discussion</w:t>
      </w:r>
    </w:p>
    <w:p w14:paraId="625196ED" w14:textId="77777777" w:rsidR="002416BB" w:rsidRPr="009C0793" w:rsidRDefault="002416BB" w:rsidP="007E05C1">
      <w:pPr>
        <w:autoSpaceDE w:val="0"/>
        <w:autoSpaceDN w:val="0"/>
        <w:adjustRightInd w:val="0"/>
        <w:jc w:val="both"/>
        <w:rPr>
          <w:rFonts w:ascii="Book Antiqua" w:hAnsi="Book Antiqua"/>
          <w:b/>
          <w:bCs/>
          <w:szCs w:val="26"/>
        </w:rPr>
      </w:pPr>
      <w:r w:rsidRPr="009C0793">
        <w:rPr>
          <w:rFonts w:ascii="Book Antiqua" w:hAnsi="Book Antiqua"/>
          <w:b/>
          <w:bCs/>
          <w:szCs w:val="26"/>
        </w:rPr>
        <w:t>4.1 Entry Point Water</w:t>
      </w:r>
    </w:p>
    <w:p w14:paraId="6F17E753"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pH of entry point water was slightly acidic, and remained the same as pH of water from plastic tank as in figure 3.1.</w:t>
      </w:r>
    </w:p>
    <w:p w14:paraId="03124435"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total alkalinity for the water from entry point was low. The water from entry point came from rainwater and the acidic products of CO</w:t>
      </w:r>
      <w:r w:rsidRPr="00E3232D">
        <w:rPr>
          <w:rFonts w:ascii="Book Antiqua" w:hAnsi="Book Antiqua"/>
          <w:vertAlign w:val="subscript"/>
        </w:rPr>
        <w:t>2</w:t>
      </w:r>
      <w:r w:rsidRPr="00E3232D">
        <w:rPr>
          <w:rFonts w:ascii="Book Antiqua" w:hAnsi="Book Antiqua"/>
        </w:rPr>
        <w:t>, SO</w:t>
      </w:r>
      <w:r w:rsidRPr="00E3232D">
        <w:rPr>
          <w:rFonts w:ascii="Book Antiqua" w:hAnsi="Book Antiqua"/>
          <w:vertAlign w:val="subscript"/>
        </w:rPr>
        <w:t>2</w:t>
      </w:r>
      <w:r w:rsidRPr="00E3232D">
        <w:rPr>
          <w:rFonts w:ascii="Book Antiqua" w:hAnsi="Book Antiqua"/>
        </w:rPr>
        <w:t xml:space="preserve"> and NO</w:t>
      </w:r>
      <w:r w:rsidRPr="00E3232D">
        <w:rPr>
          <w:rFonts w:ascii="Book Antiqua" w:hAnsi="Book Antiqua"/>
          <w:vertAlign w:val="subscript"/>
        </w:rPr>
        <w:t>2</w:t>
      </w:r>
      <w:r w:rsidRPr="00E3232D">
        <w:rPr>
          <w:rFonts w:ascii="Book Antiqua" w:hAnsi="Book Antiqua"/>
        </w:rPr>
        <w:t xml:space="preserve"> in the atmosphere may have reacted with the OH</w:t>
      </w:r>
      <w:r w:rsidRPr="00E3232D">
        <w:rPr>
          <w:rFonts w:ascii="Book Antiqua" w:hAnsi="Book Antiqua"/>
          <w:vertAlign w:val="superscript"/>
        </w:rPr>
        <w:t>-</w:t>
      </w:r>
      <w:r w:rsidRPr="00E3232D">
        <w:rPr>
          <w:rFonts w:ascii="Book Antiqua" w:hAnsi="Book Antiqua"/>
        </w:rPr>
        <w:t xml:space="preserve"> ions in the rainwater which might have lowered the total alkalinity (Apiah, 2008).</w:t>
      </w:r>
    </w:p>
    <w:p w14:paraId="6ECF4BD7"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conductivity of entry point water was relatively high. This may be the result of absorption of heat by the Aluminium roofing sheets material including the dry depositions of NO</w:t>
      </w:r>
      <w:r w:rsidRPr="00E3232D">
        <w:rPr>
          <w:rFonts w:ascii="Book Antiqua" w:hAnsi="Book Antiqua"/>
          <w:vertAlign w:val="subscript"/>
        </w:rPr>
        <w:t>3</w:t>
      </w:r>
      <w:r w:rsidRPr="00E3232D">
        <w:rPr>
          <w:rFonts w:ascii="Book Antiqua" w:hAnsi="Book Antiqua"/>
          <w:vertAlign w:val="superscript"/>
        </w:rPr>
        <w:t>-</w:t>
      </w:r>
      <w:r w:rsidRPr="00E3232D">
        <w:rPr>
          <w:rFonts w:ascii="Book Antiqua" w:hAnsi="Book Antiqua"/>
        </w:rPr>
        <w:t>, SO</w:t>
      </w:r>
      <w:r w:rsidRPr="00E3232D">
        <w:rPr>
          <w:rFonts w:ascii="Book Antiqua" w:hAnsi="Book Antiqua"/>
          <w:vertAlign w:val="subscript"/>
        </w:rPr>
        <w:t>4</w:t>
      </w:r>
      <w:r w:rsidRPr="00E3232D">
        <w:rPr>
          <w:rFonts w:ascii="Book Antiqua" w:hAnsi="Book Antiqua"/>
          <w:vertAlign w:val="superscript"/>
        </w:rPr>
        <w:t>-2</w:t>
      </w:r>
      <w:r w:rsidRPr="00E3232D">
        <w:rPr>
          <w:rFonts w:ascii="Book Antiqua" w:hAnsi="Book Antiqua"/>
        </w:rPr>
        <w:t>, PO</w:t>
      </w:r>
      <w:r w:rsidRPr="00E3232D">
        <w:rPr>
          <w:rFonts w:ascii="Book Antiqua" w:hAnsi="Book Antiqua"/>
          <w:vertAlign w:val="subscript"/>
        </w:rPr>
        <w:t>4</w:t>
      </w:r>
      <w:r w:rsidRPr="00E3232D">
        <w:rPr>
          <w:rFonts w:ascii="Book Antiqua" w:hAnsi="Book Antiqua"/>
          <w:vertAlign w:val="superscript"/>
        </w:rPr>
        <w:t xml:space="preserve">- </w:t>
      </w:r>
      <w:r w:rsidRPr="00E3232D">
        <w:rPr>
          <w:rFonts w:ascii="Book Antiqua" w:hAnsi="Book Antiqua"/>
        </w:rPr>
        <w:t>ions</w:t>
      </w:r>
      <w:r w:rsidRPr="00E3232D">
        <w:rPr>
          <w:rFonts w:ascii="Book Antiqua" w:hAnsi="Book Antiqua"/>
          <w:vertAlign w:val="superscript"/>
        </w:rPr>
        <w:t xml:space="preserve"> </w:t>
      </w:r>
      <w:r w:rsidRPr="00E3232D">
        <w:rPr>
          <w:rFonts w:ascii="Book Antiqua" w:hAnsi="Book Antiqua"/>
        </w:rPr>
        <w:t>from farming (Apiah, 2008).</w:t>
      </w:r>
    </w:p>
    <w:p w14:paraId="219D65DB"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Turbidity of the entry point water can be attributed to particulate matter in the atmosphere that dissolves in rainwater as it falls. The presence of particulates in the atmosphere and on the roofs are factors that can increase the turbidity of rainwater collected (Kohler </w:t>
      </w:r>
      <w:r w:rsidRPr="00E3232D">
        <w:rPr>
          <w:rFonts w:ascii="Book Antiqua" w:hAnsi="Book Antiqua"/>
          <w:i/>
        </w:rPr>
        <w:t>et al.,</w:t>
      </w:r>
      <w:r w:rsidRPr="00E3232D">
        <w:rPr>
          <w:rFonts w:ascii="Book Antiqua" w:hAnsi="Book Antiqua"/>
        </w:rPr>
        <w:t xml:space="preserve"> 1997).</w:t>
      </w:r>
    </w:p>
    <w:p w14:paraId="2E593895"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The nitrate concentration of entry point water may have resulted from the presence of organic materials such as leaves and bird droppings on the roof catchment. Forster (1999) established that the presence of nitrates in roof run-offs may be due to bird faeces deposited on the roof.  </w:t>
      </w:r>
    </w:p>
    <w:p w14:paraId="2FDC848C"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Total hardness of entry point water was the result of dry atmospheric deposition of particulate matter on the roof catchment. Total hardness of water from plastic tank remained the same as the entry point water after 12 weeks.</w:t>
      </w:r>
    </w:p>
    <w:p w14:paraId="39D5AF39"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The slightly acidic rainwater can enhance corrosion of the aluminium roofs which might have incorporated iron particles into the entry point water. Ayenimo </w:t>
      </w:r>
      <w:r w:rsidRPr="00E3232D">
        <w:rPr>
          <w:rFonts w:ascii="Book Antiqua" w:hAnsi="Book Antiqua"/>
          <w:i/>
        </w:rPr>
        <w:t>et al.</w:t>
      </w:r>
      <w:r w:rsidRPr="00E3232D">
        <w:rPr>
          <w:rFonts w:ascii="Book Antiqua" w:hAnsi="Book Antiqua"/>
        </w:rPr>
        <w:t xml:space="preserve"> (2006) found that aluminium roofs to a large extent contribute to iron concentrations in rainwater harvested.</w:t>
      </w:r>
    </w:p>
    <w:p w14:paraId="55AFF8AB"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The presence of faecal coliform in entry point water may be the result of contact of rainwater with the roof catchment and gutters. Rainwater harvested from roofs may contain animal and bird faeces, mosses and lichens which are sources of bacterial contamination (Kohler </w:t>
      </w:r>
      <w:r w:rsidRPr="00E3232D">
        <w:rPr>
          <w:rFonts w:ascii="Book Antiqua" w:hAnsi="Book Antiqua"/>
          <w:i/>
        </w:rPr>
        <w:t>et al.,</w:t>
      </w:r>
      <w:r w:rsidRPr="00E3232D">
        <w:rPr>
          <w:rFonts w:ascii="Book Antiqua" w:hAnsi="Book Antiqua"/>
        </w:rPr>
        <w:t xml:space="preserve"> 1997).</w:t>
      </w:r>
    </w:p>
    <w:p w14:paraId="5AE3A597" w14:textId="77777777" w:rsidR="002416BB" w:rsidRPr="00E3232D" w:rsidRDefault="002416BB" w:rsidP="007E05C1">
      <w:pPr>
        <w:autoSpaceDE w:val="0"/>
        <w:autoSpaceDN w:val="0"/>
        <w:adjustRightInd w:val="0"/>
        <w:jc w:val="both"/>
        <w:rPr>
          <w:rFonts w:ascii="Book Antiqua" w:hAnsi="Book Antiqua"/>
        </w:rPr>
      </w:pPr>
    </w:p>
    <w:p w14:paraId="6A547A27" w14:textId="77777777" w:rsidR="002416BB" w:rsidRPr="00E3232D" w:rsidRDefault="002416BB" w:rsidP="007E05C1">
      <w:pPr>
        <w:autoSpaceDE w:val="0"/>
        <w:autoSpaceDN w:val="0"/>
        <w:adjustRightInd w:val="0"/>
        <w:jc w:val="both"/>
        <w:rPr>
          <w:rFonts w:ascii="Book Antiqua" w:hAnsi="Book Antiqua"/>
          <w:b/>
          <w:bCs/>
        </w:rPr>
      </w:pPr>
      <w:r w:rsidRPr="00E3232D">
        <w:rPr>
          <w:rFonts w:ascii="Book Antiqua" w:hAnsi="Book Antiqua"/>
          <w:b/>
          <w:bCs/>
        </w:rPr>
        <w:t>4.2 Plastic Tank</w:t>
      </w:r>
    </w:p>
    <w:p w14:paraId="45DF2460" w14:textId="77777777" w:rsidR="00667C5F" w:rsidRDefault="002416BB" w:rsidP="007E05C1">
      <w:pPr>
        <w:autoSpaceDE w:val="0"/>
        <w:autoSpaceDN w:val="0"/>
        <w:adjustRightInd w:val="0"/>
        <w:jc w:val="both"/>
        <w:rPr>
          <w:rFonts w:ascii="Book Antiqua" w:hAnsi="Book Antiqua"/>
        </w:rPr>
      </w:pPr>
      <w:r w:rsidRPr="00E3232D">
        <w:rPr>
          <w:rFonts w:ascii="Book Antiqua" w:hAnsi="Book Antiqua"/>
        </w:rPr>
        <w:t>The pH of water from plastic tank was slightly acidic and within WHO acceptable range after 12 weeks of storage (figure 3.1). Plastic materials are chemically unreactive, and did not alter the pH and total alkalinity of rainwater stored. However, the slightly acidic water from plastic tank can react with the copper taps installed in the tank to give a blue stain. The blue stain (CuSO</w:t>
      </w:r>
      <w:r w:rsidRPr="00E3232D">
        <w:rPr>
          <w:rFonts w:ascii="Book Antiqua" w:hAnsi="Book Antiqua"/>
          <w:vertAlign w:val="subscript"/>
        </w:rPr>
        <w:t>4</w:t>
      </w:r>
      <w:r w:rsidRPr="00E3232D">
        <w:rPr>
          <w:rFonts w:ascii="Book Antiqua" w:hAnsi="Book Antiqua"/>
        </w:rPr>
        <w:t>) is the reaction product between the slightly acidic rainwater and the copper tap. Rainwater with a lower pH value stored in plastic containers remains naturally acidic and can react with copper taps (TWDB, 2005).</w:t>
      </w:r>
    </w:p>
    <w:p w14:paraId="1C835A88"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Plastic tank material did not affect the conductivity and turbidity of the water stored. However, the conductivity and turbidity of rainwater stored in plastic tank may be the result of dry deposition of ions from the atmosphere on the aluminium roofs.</w:t>
      </w:r>
    </w:p>
    <w:p w14:paraId="7634DD35"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Plastic tank did not contribute to the build-up of nitrates and total hardness in the rainwater stored. The absence of basic sanitation, as well as dropping of food particles by children, since the tanks were not properly covered may have contributed significantly to the nitrate levels of the rainwater stored. Jussara </w:t>
      </w:r>
      <w:r w:rsidRPr="00E3232D">
        <w:rPr>
          <w:rFonts w:ascii="Book Antiqua" w:hAnsi="Book Antiqua"/>
          <w:i/>
        </w:rPr>
        <w:t>et al.</w:t>
      </w:r>
      <w:r w:rsidRPr="00E3232D">
        <w:rPr>
          <w:rFonts w:ascii="Book Antiqua" w:hAnsi="Book Antiqua"/>
        </w:rPr>
        <w:t xml:space="preserve"> (2005) observed that lack of proper water handling and storage practices can result in high nitrate concentrations in storage tanks. This informs us that water pollution is more to do with the way water is handled or managed and not the storage material per say.</w:t>
      </w:r>
    </w:p>
    <w:p w14:paraId="6517373B"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Plastic tank material did not contribute to iron concentration of the rainwater stored. However, iron particles in water from plastic tank came from reaction of the slightly acidic rainwater with the aluminium roofing materials causing particles of iron to leach into the rainwater stored.  </w:t>
      </w:r>
    </w:p>
    <w:p w14:paraId="46AED1BD" w14:textId="77777777" w:rsidR="002416BB" w:rsidRPr="003722C4" w:rsidRDefault="002416BB" w:rsidP="007E05C1">
      <w:pPr>
        <w:autoSpaceDE w:val="0"/>
        <w:autoSpaceDN w:val="0"/>
        <w:adjustRightInd w:val="0"/>
        <w:jc w:val="both"/>
        <w:rPr>
          <w:rFonts w:ascii="Book Antiqua" w:hAnsi="Book Antiqua"/>
        </w:rPr>
      </w:pPr>
      <w:r w:rsidRPr="00E3232D">
        <w:rPr>
          <w:rFonts w:ascii="Book Antiqua" w:hAnsi="Book Antiqua"/>
        </w:rPr>
        <w:t xml:space="preserve">Faecal contamination of water from plastic tank may be the result of the accumulation of sediments after several periods of rainwater collection and storage without cleaning. Tambekar (2004) observed that inadequate cleaning of storage vessels leads to the accumulation of sediments and pathogens. </w:t>
      </w:r>
    </w:p>
    <w:p w14:paraId="3BB10A70" w14:textId="77777777" w:rsidR="002416BB" w:rsidRPr="00B96D64" w:rsidRDefault="002416BB" w:rsidP="007E05C1">
      <w:pPr>
        <w:autoSpaceDE w:val="0"/>
        <w:autoSpaceDN w:val="0"/>
        <w:adjustRightInd w:val="0"/>
        <w:jc w:val="both"/>
        <w:rPr>
          <w:rFonts w:ascii="Book Antiqua" w:hAnsi="Book Antiqua"/>
          <w:b/>
          <w:bCs/>
          <w:sz w:val="26"/>
          <w:szCs w:val="26"/>
        </w:rPr>
      </w:pPr>
      <w:r w:rsidRPr="007E05C1">
        <w:rPr>
          <w:rFonts w:ascii="Book Antiqua" w:hAnsi="Book Antiqua"/>
          <w:b/>
          <w:bCs/>
          <w:szCs w:val="26"/>
        </w:rPr>
        <w:t>4.3 Metal Tank</w:t>
      </w:r>
    </w:p>
    <w:p w14:paraId="11EA4F2B"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The pH of water from metal tank decreased significantly which was below WHO lower limit value of 6.5 after 12 weeks. The low pH in metal tanks might be the result of increase in metabolic activities due to increased micro-organisms population. This is confirmed by high faecal coliform count observed in water from metal tank. Popoola </w:t>
      </w:r>
      <w:r w:rsidRPr="00E3232D">
        <w:rPr>
          <w:rFonts w:ascii="Book Antiqua" w:hAnsi="Book Antiqua"/>
          <w:i/>
        </w:rPr>
        <w:t xml:space="preserve">et al. </w:t>
      </w:r>
      <w:r w:rsidRPr="00E3232D">
        <w:rPr>
          <w:rFonts w:ascii="Book Antiqua" w:hAnsi="Book Antiqua"/>
        </w:rPr>
        <w:t xml:space="preserve">(2007) established that the build-up of metabolites from micro-organisms in storage tanks can result in lowering pH values.  Most of the metal tanks are constructed with </w:t>
      </w:r>
      <w:r w:rsidRPr="00E3232D">
        <w:rPr>
          <w:rStyle w:val="st"/>
          <w:rFonts w:ascii="Book Antiqua" w:hAnsi="Book Antiqua"/>
        </w:rPr>
        <w:t xml:space="preserve">ferromagnetic material (iron and nickel). </w:t>
      </w:r>
      <w:r w:rsidRPr="00E3232D">
        <w:rPr>
          <w:rFonts w:ascii="Book Antiqua" w:hAnsi="Book Antiqua"/>
        </w:rPr>
        <w:t>The slightly acidic rainwater stored can facilitate the precipitation of Fe</w:t>
      </w:r>
      <w:r w:rsidRPr="00E3232D">
        <w:rPr>
          <w:rFonts w:ascii="Book Antiqua" w:hAnsi="Book Antiqua"/>
          <w:vertAlign w:val="superscript"/>
        </w:rPr>
        <w:t>2+</w:t>
      </w:r>
      <w:r w:rsidRPr="00E3232D">
        <w:rPr>
          <w:rFonts w:ascii="Book Antiqua" w:hAnsi="Book Antiqua"/>
        </w:rPr>
        <w:t xml:space="preserve"> due to chemical reaction with the metal tank material (Ziadat, 2005).</w:t>
      </w:r>
    </w:p>
    <w:p w14:paraId="64EBEE59"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total alkalinity of water from metal tank was reduced significantly after 12 weeks of storage. The increase in metabolic activities of micro-organisms such as bacteria that produces CO</w:t>
      </w:r>
      <w:r w:rsidRPr="00E3232D">
        <w:rPr>
          <w:rFonts w:ascii="Book Antiqua" w:hAnsi="Book Antiqua"/>
          <w:vertAlign w:val="subscript"/>
        </w:rPr>
        <w:t>2</w:t>
      </w:r>
      <w:r w:rsidRPr="00E3232D">
        <w:rPr>
          <w:rFonts w:ascii="Book Antiqua" w:hAnsi="Book Antiqua"/>
        </w:rPr>
        <w:t xml:space="preserve"> which may have lowered the concentration of H</w:t>
      </w:r>
      <w:r w:rsidRPr="00E3232D">
        <w:rPr>
          <w:rFonts w:ascii="Book Antiqua" w:hAnsi="Book Antiqua"/>
          <w:vertAlign w:val="superscript"/>
        </w:rPr>
        <w:t>+</w:t>
      </w:r>
      <w:r w:rsidRPr="00E3232D">
        <w:rPr>
          <w:rFonts w:ascii="Book Antiqua" w:hAnsi="Book Antiqua"/>
        </w:rPr>
        <w:t xml:space="preserve"> ions, thereby the total alkalinity of water from metal tank.</w:t>
      </w:r>
    </w:p>
    <w:p w14:paraId="4A23C258"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conductivity of water from metal tank was higher than the entry point water but within WHO acceptable level after 12 weeks. The reaction of the slightly acidic rainwater with the metal tank material can result in the release of metallic ions such as Fe</w:t>
      </w:r>
      <w:r w:rsidRPr="00E3232D">
        <w:rPr>
          <w:rFonts w:ascii="Book Antiqua" w:hAnsi="Book Antiqua"/>
          <w:vertAlign w:val="superscript"/>
        </w:rPr>
        <w:t>2+</w:t>
      </w:r>
      <w:r w:rsidRPr="00E3232D">
        <w:rPr>
          <w:rFonts w:ascii="Book Antiqua" w:hAnsi="Book Antiqua"/>
        </w:rPr>
        <w:t xml:space="preserve"> and Zn</w:t>
      </w:r>
      <w:r w:rsidRPr="00E3232D">
        <w:rPr>
          <w:rFonts w:ascii="Book Antiqua" w:hAnsi="Book Antiqua"/>
          <w:vertAlign w:val="superscript"/>
        </w:rPr>
        <w:t>2+</w:t>
      </w:r>
      <w:r w:rsidRPr="00E3232D">
        <w:rPr>
          <w:rFonts w:ascii="Book Antiqua" w:hAnsi="Book Antiqua"/>
        </w:rPr>
        <w:t xml:space="preserve"> ions into the water stored. Additionally, the metal tanks were not properly covered; it is possible for particles from the environment to fall into the tank which can raise the conductivity level of the water stored. </w:t>
      </w:r>
    </w:p>
    <w:p w14:paraId="58E38707"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Turbidity of water stored in metal tank was higher than that of the entry point water and above the WHO guideline value of 5 NTU. In corroded metal tanks, the release of metallic ions such as Fe</w:t>
      </w:r>
      <w:r w:rsidRPr="00E3232D">
        <w:rPr>
          <w:rFonts w:ascii="Book Antiqua" w:hAnsi="Book Antiqua"/>
          <w:vertAlign w:val="superscript"/>
        </w:rPr>
        <w:t>2+</w:t>
      </w:r>
      <w:r w:rsidRPr="00E3232D">
        <w:rPr>
          <w:rFonts w:ascii="Book Antiqua" w:hAnsi="Book Antiqua"/>
        </w:rPr>
        <w:t xml:space="preserve"> can change the colour of the water stored into ferric brown. The resuspension of accumulated sediments such as silt and food particles at the bottom of the metal tank from the surroundings and roof-tops can also increase the turbidity of the water stored when fetching water with usually cups, calabash or bowls.</w:t>
      </w:r>
    </w:p>
    <w:p w14:paraId="2BC00850"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The nitrate concentration of water stored in metal may be the result of lack of basic sanitation and proper water handling practices  similarly found by Jussara </w:t>
      </w:r>
      <w:r w:rsidRPr="00E3232D">
        <w:rPr>
          <w:rFonts w:ascii="Book Antiqua" w:hAnsi="Book Antiqua"/>
          <w:i/>
        </w:rPr>
        <w:t>et al.</w:t>
      </w:r>
      <w:r w:rsidRPr="00E3232D">
        <w:rPr>
          <w:rFonts w:ascii="Book Antiqua" w:hAnsi="Book Antiqua"/>
        </w:rPr>
        <w:t xml:space="preserve"> (2005). However, the presence of nitrate can provide nutrients that can facilitate the growth of biological organisms in the tanks and this must not be promoted or encouraged.</w:t>
      </w:r>
    </w:p>
    <w:p w14:paraId="010BA6B4"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Total hardness of water from metal tank was higher than the entry point water and within WHO guideline value (500 mg/l) after 12 weeks. Since the metal tanks were not properly covered, it is possible for particles from the environment as well as the release of metal ions from the tank material into the water due to corrosion.</w:t>
      </w:r>
    </w:p>
    <w:p w14:paraId="3706FF5D"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slightly acidic rainwater may have reacted with the metal tank material and facilitated the precipitation of Fe</w:t>
      </w:r>
      <w:r w:rsidRPr="00E3232D">
        <w:rPr>
          <w:rFonts w:ascii="Book Antiqua" w:hAnsi="Book Antiqua"/>
          <w:vertAlign w:val="superscript"/>
        </w:rPr>
        <w:t xml:space="preserve">2+ </w:t>
      </w:r>
      <w:r w:rsidRPr="00E3232D">
        <w:rPr>
          <w:rFonts w:ascii="Book Antiqua" w:hAnsi="Book Antiqua"/>
        </w:rPr>
        <w:t xml:space="preserve">which was above WHO guideline value of 0.3 mg/l. Ziadat (2005) indicated that high concentrations of iron in metal tanks could be significant if corrosion is evident, and when the tank has not been cleaned for a long time. This suggest that iron contamination of the water stored was to a large extent the result of dissolution of iron from the iron roofs as confirmed by Ayenimo </w:t>
      </w:r>
      <w:r w:rsidRPr="00E3232D">
        <w:rPr>
          <w:rFonts w:ascii="Book Antiqua" w:hAnsi="Book Antiqua"/>
          <w:i/>
          <w:iCs/>
        </w:rPr>
        <w:t>et al.</w:t>
      </w:r>
      <w:r w:rsidRPr="00E3232D">
        <w:rPr>
          <w:rFonts w:ascii="Book Antiqua" w:hAnsi="Book Antiqua"/>
        </w:rPr>
        <w:t xml:space="preserve"> (2006). </w:t>
      </w:r>
    </w:p>
    <w:p w14:paraId="227F6090"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The means of water withdrawal from metal tanks was by dipping cups, calabash and bowls into the water which can result in faecal contamination of water from metal tank. Theses containers for fetching water from storage tanks were mostly found  lying on the ground as children may have played with. Trevett </w:t>
      </w:r>
      <w:r w:rsidRPr="00E3232D">
        <w:rPr>
          <w:rFonts w:ascii="Book Antiqua" w:hAnsi="Book Antiqua"/>
          <w:i/>
          <w:iCs/>
        </w:rPr>
        <w:t xml:space="preserve">et al. </w:t>
      </w:r>
      <w:r w:rsidRPr="00E3232D">
        <w:rPr>
          <w:rFonts w:ascii="Book Antiqua" w:hAnsi="Book Antiqua"/>
        </w:rPr>
        <w:t xml:space="preserve">(2004) confirms the finding that dipping of contaminated cups into storage tanks can introduce faecal matter into stored water. Additionally, the activities of children can introduce substances into the tank which lead to build-up of nutrient at the base of the tank, especially when they play around uncovered storage tanks in the house.  </w:t>
      </w:r>
    </w:p>
    <w:p w14:paraId="0BA84816" w14:textId="77777777" w:rsidR="002416BB" w:rsidRPr="003722C4" w:rsidRDefault="002416BB" w:rsidP="007E05C1">
      <w:pPr>
        <w:autoSpaceDE w:val="0"/>
        <w:autoSpaceDN w:val="0"/>
        <w:adjustRightInd w:val="0"/>
        <w:jc w:val="both"/>
        <w:rPr>
          <w:rFonts w:ascii="Book Antiqua" w:hAnsi="Book Antiqua"/>
          <w:b/>
          <w:bCs/>
          <w:szCs w:val="26"/>
        </w:rPr>
      </w:pPr>
      <w:r w:rsidRPr="003722C4">
        <w:rPr>
          <w:rFonts w:ascii="Book Antiqua" w:hAnsi="Book Antiqua"/>
          <w:b/>
          <w:bCs/>
          <w:szCs w:val="26"/>
        </w:rPr>
        <w:t>4.2 Concrete Tank</w:t>
      </w:r>
    </w:p>
    <w:p w14:paraId="51E22A50"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relatively high pH and total alkalinity of water from concrete tank may have been caused by the leaching of alkaline substances such as carbonates in the concrete. However, high pH may impart undesirable taste to water.</w:t>
      </w:r>
    </w:p>
    <w:p w14:paraId="6C7E3359"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 xml:space="preserve">The conductivity of water from concrete tank fell within the WHO guideline value but was higher than the </w:t>
      </w:r>
      <w:r w:rsidRPr="00E3232D">
        <w:rPr>
          <w:rFonts w:ascii="Book Antiqua" w:hAnsi="Book Antiqua"/>
          <w:i/>
          <w:iCs/>
        </w:rPr>
        <w:t xml:space="preserve">entry point water </w:t>
      </w:r>
      <w:r w:rsidRPr="00E3232D">
        <w:rPr>
          <w:rFonts w:ascii="Book Antiqua" w:hAnsi="Book Antiqua"/>
        </w:rPr>
        <w:t>after 12 weeks. Eroding of construction materials, for instance CaCO</w:t>
      </w:r>
      <w:r w:rsidRPr="00E3232D">
        <w:rPr>
          <w:rFonts w:ascii="Book Antiqua" w:hAnsi="Book Antiqua"/>
          <w:vertAlign w:val="subscript"/>
        </w:rPr>
        <w:t>3</w:t>
      </w:r>
      <w:r w:rsidRPr="00E3232D">
        <w:rPr>
          <w:rFonts w:ascii="Book Antiqua" w:hAnsi="Book Antiqua"/>
        </w:rPr>
        <w:t xml:space="preserve">, and other inorganic particles from the tank walls can increase the conductivity of water stored. This may have contributed to high turbidity of concrete water which was above the 5 NTU. </w:t>
      </w:r>
    </w:p>
    <w:p w14:paraId="4084D9F0" w14:textId="77777777" w:rsidR="002416BB" w:rsidRPr="00E3232D" w:rsidRDefault="002416BB" w:rsidP="007E05C1">
      <w:pPr>
        <w:autoSpaceDE w:val="0"/>
        <w:autoSpaceDN w:val="0"/>
        <w:adjustRightInd w:val="0"/>
        <w:jc w:val="both"/>
        <w:rPr>
          <w:rFonts w:ascii="Book Antiqua" w:hAnsi="Book Antiqua"/>
        </w:rPr>
      </w:pPr>
      <w:r w:rsidRPr="00E3232D">
        <w:rPr>
          <w:rFonts w:ascii="Book Antiqua" w:hAnsi="Book Antiqua"/>
        </w:rPr>
        <w:t>The nitrate concentration of water from concrete tank may be the result of lack of basic sanitation and p</w:t>
      </w:r>
      <w:r w:rsidR="008E3DCB">
        <w:rPr>
          <w:rFonts w:ascii="Book Antiqua" w:hAnsi="Book Antiqua"/>
        </w:rPr>
        <w:t xml:space="preserve">roper water handling practices </w:t>
      </w:r>
      <w:r w:rsidRPr="00E3232D">
        <w:rPr>
          <w:rFonts w:ascii="Book Antiqua" w:hAnsi="Book Antiqua"/>
        </w:rPr>
        <w:t xml:space="preserve">similarly found by Jussara </w:t>
      </w:r>
      <w:r w:rsidRPr="00E3232D">
        <w:rPr>
          <w:rFonts w:ascii="Book Antiqua" w:hAnsi="Book Antiqua"/>
          <w:i/>
          <w:iCs/>
        </w:rPr>
        <w:t xml:space="preserve">et al. </w:t>
      </w:r>
      <w:r w:rsidRPr="00E3232D">
        <w:rPr>
          <w:rFonts w:ascii="Book Antiqua" w:hAnsi="Book Antiqua"/>
        </w:rPr>
        <w:t>(2005). However, the presence of nitrate can provide nutrients that can facilitate the growth of biological organisms in the tanks and this must not be promoted or encouraged.</w:t>
      </w:r>
    </w:p>
    <w:p w14:paraId="43A9A8B9" w14:textId="77777777" w:rsidR="002416BB" w:rsidRPr="00E3232D" w:rsidRDefault="002416BB" w:rsidP="00570DE0">
      <w:pPr>
        <w:autoSpaceDE w:val="0"/>
        <w:autoSpaceDN w:val="0"/>
        <w:adjustRightInd w:val="0"/>
        <w:jc w:val="both"/>
        <w:rPr>
          <w:rFonts w:ascii="Book Antiqua" w:hAnsi="Book Antiqua"/>
        </w:rPr>
      </w:pPr>
      <w:r w:rsidRPr="00E3232D">
        <w:rPr>
          <w:rFonts w:ascii="Book Antiqua" w:hAnsi="Book Antiqua"/>
        </w:rPr>
        <w:t>Total hardness of water from concrete tank was below WHO guideline value (500 mg/l) after 12 weeks. The low total hardness concentration may be ascribed to leaching of CaCO</w:t>
      </w:r>
      <w:r w:rsidRPr="00E3232D">
        <w:rPr>
          <w:rFonts w:ascii="Book Antiqua" w:hAnsi="Book Antiqua"/>
          <w:vertAlign w:val="subscript"/>
        </w:rPr>
        <w:t>3</w:t>
      </w:r>
      <w:r w:rsidRPr="00E3232D">
        <w:rPr>
          <w:rFonts w:ascii="Book Antiqua" w:hAnsi="Book Antiqua"/>
        </w:rPr>
        <w:t xml:space="preserve"> and other substances from the construction materials into the water stored. The leaching of CaCO</w:t>
      </w:r>
      <w:r w:rsidRPr="00E3232D">
        <w:rPr>
          <w:rFonts w:ascii="Book Antiqua" w:hAnsi="Book Antiqua"/>
          <w:vertAlign w:val="subscript"/>
        </w:rPr>
        <w:t>3</w:t>
      </w:r>
      <w:r w:rsidR="008E3DCB">
        <w:rPr>
          <w:rFonts w:ascii="Book Antiqua" w:hAnsi="Book Antiqua"/>
        </w:rPr>
        <w:t xml:space="preserve"> from the</w:t>
      </w:r>
      <w:r w:rsidRPr="00E3232D">
        <w:rPr>
          <w:rFonts w:ascii="Book Antiqua" w:hAnsi="Book Antiqua"/>
        </w:rPr>
        <w:t xml:space="preserve"> concrete tanks can increase the total hardness of the water stored (Lundgren and Akerberg, 2006). </w:t>
      </w:r>
    </w:p>
    <w:p w14:paraId="5EBAA78F" w14:textId="77777777" w:rsidR="002416BB" w:rsidRPr="00E3232D" w:rsidRDefault="002416BB" w:rsidP="00570DE0">
      <w:pPr>
        <w:jc w:val="both"/>
        <w:rPr>
          <w:rFonts w:ascii="Book Antiqua" w:hAnsi="Book Antiqua"/>
        </w:rPr>
      </w:pPr>
      <w:r w:rsidRPr="00E3232D">
        <w:rPr>
          <w:rFonts w:ascii="Book Antiqua" w:hAnsi="Book Antiqua"/>
        </w:rPr>
        <w:t xml:space="preserve">The leaching of the construction materials, for instance lateritic sand from the wall of concrete tank wall may have released iron particles into the water stored. This suggest that iron contamination of the water stored in concrete tank was to a large extent the result of dissolution of iron from the iron roofs and dissolution from the wall of the tank as confirmed by Ayenimo </w:t>
      </w:r>
      <w:r w:rsidRPr="00E3232D">
        <w:rPr>
          <w:rFonts w:ascii="Book Antiqua" w:hAnsi="Book Antiqua"/>
          <w:i/>
          <w:iCs/>
        </w:rPr>
        <w:t xml:space="preserve">et al. </w:t>
      </w:r>
      <w:r w:rsidRPr="00E3232D">
        <w:rPr>
          <w:rFonts w:ascii="Book Antiqua" w:hAnsi="Book Antiqua"/>
        </w:rPr>
        <w:t>(2006) and Ziadat (2005).</w:t>
      </w:r>
    </w:p>
    <w:p w14:paraId="39BAF76F" w14:textId="77777777" w:rsidR="002416BB" w:rsidRPr="00E3232D" w:rsidRDefault="002416BB" w:rsidP="00570DE0">
      <w:pPr>
        <w:autoSpaceDE w:val="0"/>
        <w:autoSpaceDN w:val="0"/>
        <w:adjustRightInd w:val="0"/>
        <w:jc w:val="both"/>
        <w:rPr>
          <w:rFonts w:ascii="Book Antiqua" w:hAnsi="Book Antiqua"/>
        </w:rPr>
      </w:pPr>
      <w:r w:rsidRPr="00E3232D">
        <w:rPr>
          <w:rFonts w:ascii="Book Antiqua" w:hAnsi="Book Antiqua"/>
        </w:rPr>
        <w:t xml:space="preserve">Faecal coliform in water from concrete tank may have resulted from the accumulation of sediments and pathogens at the bottom of tank, since users did not clean their tanks for a long time. Inadequate cleaning of storage tanks leads to the accumulation of sediments and pathogens (Tambekar and Banginwar, 2004). </w:t>
      </w:r>
    </w:p>
    <w:p w14:paraId="54B33909" w14:textId="77777777" w:rsidR="00B96D64" w:rsidRDefault="00B96D64" w:rsidP="00570DE0">
      <w:pPr>
        <w:autoSpaceDE w:val="0"/>
        <w:autoSpaceDN w:val="0"/>
        <w:adjustRightInd w:val="0"/>
        <w:jc w:val="both"/>
        <w:rPr>
          <w:rFonts w:ascii="Book Antiqua" w:hAnsi="Book Antiqua"/>
          <w:b/>
          <w:bCs/>
          <w:sz w:val="26"/>
          <w:szCs w:val="26"/>
        </w:rPr>
      </w:pPr>
    </w:p>
    <w:p w14:paraId="7A9FF4B1" w14:textId="77777777" w:rsidR="002416BB" w:rsidRPr="00B96D64" w:rsidRDefault="002416BB" w:rsidP="00570DE0">
      <w:pPr>
        <w:autoSpaceDE w:val="0"/>
        <w:autoSpaceDN w:val="0"/>
        <w:adjustRightInd w:val="0"/>
        <w:jc w:val="both"/>
        <w:rPr>
          <w:rFonts w:ascii="Book Antiqua" w:hAnsi="Book Antiqua"/>
          <w:b/>
          <w:bCs/>
          <w:sz w:val="26"/>
          <w:szCs w:val="26"/>
        </w:rPr>
      </w:pPr>
      <w:r w:rsidRPr="00B96D64">
        <w:rPr>
          <w:rFonts w:ascii="Book Antiqua" w:hAnsi="Book Antiqua"/>
          <w:b/>
          <w:bCs/>
          <w:sz w:val="26"/>
          <w:szCs w:val="26"/>
        </w:rPr>
        <w:t>5.</w:t>
      </w:r>
      <w:r w:rsidR="00570DE0">
        <w:rPr>
          <w:rFonts w:ascii="Book Antiqua" w:hAnsi="Book Antiqua"/>
          <w:b/>
          <w:bCs/>
          <w:sz w:val="26"/>
          <w:szCs w:val="26"/>
        </w:rPr>
        <w:t>0</w:t>
      </w:r>
      <w:r w:rsidRPr="00B96D64">
        <w:rPr>
          <w:rFonts w:ascii="Book Antiqua" w:hAnsi="Book Antiqua"/>
          <w:b/>
          <w:bCs/>
          <w:sz w:val="26"/>
          <w:szCs w:val="26"/>
        </w:rPr>
        <w:t xml:space="preserve"> Conclusion</w:t>
      </w:r>
    </w:p>
    <w:p w14:paraId="657B361D" w14:textId="77777777" w:rsidR="002416BB" w:rsidRPr="00570DE0" w:rsidRDefault="002416BB" w:rsidP="00570DE0">
      <w:pPr>
        <w:autoSpaceDE w:val="0"/>
        <w:autoSpaceDN w:val="0"/>
        <w:adjustRightInd w:val="0"/>
        <w:jc w:val="both"/>
        <w:rPr>
          <w:rFonts w:ascii="Book Antiqua" w:hAnsi="Book Antiqua"/>
          <w:color w:val="FF0000"/>
        </w:rPr>
      </w:pPr>
      <w:r w:rsidRPr="00E3232D">
        <w:rPr>
          <w:rFonts w:ascii="Book Antiqua" w:hAnsi="Book Antiqua"/>
        </w:rPr>
        <w:t>The results showed that except for conductivity, plastic tanks had lower values of pH, total alkalinity, turbidity, nitrate and total hardness which fell within the WHO guideline for drinking water. The pH, total alkalinity, total hardness and iron was high whilst conductivity, turbidity and nitrate levels fell below the guideline values in metal tanks. It observed that concrete tanks resulted in high pH, total alkalinity, and total hardness of stored rainwater. Faecal contamination of water stored occurred during collection, storage and drawing of water. Therefore, the type of storage tank has direct impact on the physico-chemical quality of stored water. Faecal contamination of the water stored was the result bad storage practices on the part of households.</w:t>
      </w:r>
    </w:p>
    <w:p w14:paraId="42D7F4A4" w14:textId="77777777" w:rsidR="002416BB" w:rsidRPr="00570DE0" w:rsidRDefault="002416BB" w:rsidP="00570DE0">
      <w:pPr>
        <w:autoSpaceDE w:val="0"/>
        <w:autoSpaceDN w:val="0"/>
        <w:adjustRightInd w:val="0"/>
        <w:jc w:val="both"/>
        <w:rPr>
          <w:rFonts w:ascii="Book Antiqua" w:hAnsi="Book Antiqua"/>
          <w:b/>
          <w:bCs/>
          <w:szCs w:val="26"/>
        </w:rPr>
      </w:pPr>
      <w:r w:rsidRPr="00570DE0">
        <w:rPr>
          <w:rFonts w:ascii="Book Antiqua" w:hAnsi="Book Antiqua"/>
          <w:b/>
          <w:bCs/>
          <w:szCs w:val="26"/>
        </w:rPr>
        <w:t>Acknowledgement</w:t>
      </w:r>
    </w:p>
    <w:p w14:paraId="71D105F3" w14:textId="77777777" w:rsidR="002416BB" w:rsidRPr="00E3232D" w:rsidRDefault="002416BB" w:rsidP="00570DE0">
      <w:pPr>
        <w:autoSpaceDE w:val="0"/>
        <w:autoSpaceDN w:val="0"/>
        <w:adjustRightInd w:val="0"/>
        <w:jc w:val="both"/>
        <w:rPr>
          <w:rFonts w:ascii="Book Antiqua" w:hAnsi="Book Antiqua"/>
        </w:rPr>
      </w:pPr>
      <w:r w:rsidRPr="00E3232D">
        <w:rPr>
          <w:rFonts w:ascii="Book Antiqua" w:hAnsi="Book Antiqua"/>
        </w:rPr>
        <w:t xml:space="preserve">I express thanks to Mr. Latif and Mr. Samuel Obiri staff of Centre for Scientific and Industrial Research, Water Research Institute (CSIR-WRI), Tamale for hosting and guiding me with the analysis in their laboratory. </w:t>
      </w:r>
    </w:p>
    <w:p w14:paraId="7ADE3B54" w14:textId="77777777" w:rsidR="008E3DCB" w:rsidRDefault="008E3DCB" w:rsidP="00570DE0">
      <w:pPr>
        <w:autoSpaceDE w:val="0"/>
        <w:autoSpaceDN w:val="0"/>
        <w:adjustRightInd w:val="0"/>
        <w:jc w:val="both"/>
        <w:rPr>
          <w:rFonts w:ascii="Book Antiqua" w:hAnsi="Book Antiqua"/>
          <w:b/>
          <w:bCs/>
        </w:rPr>
      </w:pPr>
    </w:p>
    <w:p w14:paraId="3A96EFB1" w14:textId="77777777" w:rsidR="002416BB" w:rsidRPr="00B96D64" w:rsidRDefault="002416BB" w:rsidP="00570DE0">
      <w:pPr>
        <w:autoSpaceDE w:val="0"/>
        <w:autoSpaceDN w:val="0"/>
        <w:adjustRightInd w:val="0"/>
        <w:jc w:val="both"/>
        <w:rPr>
          <w:rFonts w:ascii="Book Antiqua" w:hAnsi="Book Antiqua"/>
          <w:b/>
          <w:bCs/>
          <w:sz w:val="26"/>
          <w:szCs w:val="26"/>
        </w:rPr>
      </w:pPr>
      <w:r w:rsidRPr="00B96D64">
        <w:rPr>
          <w:rFonts w:ascii="Book Antiqua" w:hAnsi="Book Antiqua"/>
          <w:b/>
          <w:bCs/>
          <w:sz w:val="26"/>
          <w:szCs w:val="26"/>
        </w:rPr>
        <w:t>References</w:t>
      </w:r>
    </w:p>
    <w:p w14:paraId="4B761B9D" w14:textId="77777777" w:rsidR="002416BB" w:rsidRPr="00E3232D" w:rsidRDefault="002416BB" w:rsidP="00570DE0">
      <w:pPr>
        <w:tabs>
          <w:tab w:val="left" w:pos="810"/>
        </w:tabs>
        <w:ind w:left="810" w:hanging="810"/>
        <w:jc w:val="both"/>
        <w:rPr>
          <w:rFonts w:ascii="Book Antiqua" w:hAnsi="Book Antiqua"/>
        </w:rPr>
      </w:pPr>
      <w:r w:rsidRPr="00E3232D">
        <w:rPr>
          <w:rFonts w:ascii="Book Antiqua" w:hAnsi="Book Antiqua"/>
        </w:rPr>
        <w:t xml:space="preserve">APHA (American Public Health Association) 1992. </w:t>
      </w:r>
      <w:r w:rsidRPr="00E3232D">
        <w:rPr>
          <w:rFonts w:ascii="Book Antiqua" w:hAnsi="Book Antiqua"/>
          <w:i/>
        </w:rPr>
        <w:t>Standard Methods for the Examination of Water and Wastewater</w:t>
      </w:r>
      <w:r w:rsidRPr="00E3232D">
        <w:rPr>
          <w:rFonts w:ascii="Book Antiqua" w:hAnsi="Book Antiqua"/>
        </w:rPr>
        <w:t>, 18</w:t>
      </w:r>
      <w:r w:rsidRPr="00E3232D">
        <w:rPr>
          <w:rFonts w:ascii="Book Antiqua" w:hAnsi="Book Antiqua"/>
          <w:vertAlign w:val="superscript"/>
        </w:rPr>
        <w:t>th</w:t>
      </w:r>
      <w:r w:rsidRPr="00E3232D">
        <w:rPr>
          <w:rFonts w:ascii="Book Antiqua" w:hAnsi="Book Antiqua"/>
        </w:rPr>
        <w:t xml:space="preserve"> edition; Wasington DC. USA. 1-4pp.</w:t>
      </w:r>
    </w:p>
    <w:p w14:paraId="0D0E265D"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Anon (1992). </w:t>
      </w:r>
      <w:r w:rsidRPr="00E3232D">
        <w:rPr>
          <w:rFonts w:ascii="Book Antiqua" w:hAnsi="Book Antiqua"/>
          <w:i/>
        </w:rPr>
        <w:t>Ashanti Mine Expansion Project;</w:t>
      </w:r>
      <w:r w:rsidRPr="00E3232D">
        <w:rPr>
          <w:rFonts w:ascii="Book Antiqua" w:hAnsi="Book Antiqua"/>
        </w:rPr>
        <w:t xml:space="preserve"> Environmental Impact Assessment. Jay Minerals Services Limited. pp. 1-6.</w:t>
      </w:r>
    </w:p>
    <w:p w14:paraId="72E26678"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Ayenimo, J. G. Adekunle, A. S., Makinde, W. O. Ogunlusi, and G. O. (2006). Heavy metal fractionation in roof run-off in Ile-Ife, Nigeria. </w:t>
      </w:r>
      <w:r w:rsidRPr="00E3232D">
        <w:rPr>
          <w:rFonts w:ascii="Book Antiqua" w:hAnsi="Book Antiqua"/>
          <w:i/>
        </w:rPr>
        <w:t>Int. J. Environ. Sci. Tech.,</w:t>
      </w:r>
      <w:r w:rsidRPr="00E3232D">
        <w:rPr>
          <w:rFonts w:ascii="Book Antiqua" w:hAnsi="Book Antiqua"/>
        </w:rPr>
        <w:t xml:space="preserve"> 3 (3): pp. 221-227. [http://www.bioline.org.br/pdf?st06029], (accessed 20-10-2011).</w:t>
      </w:r>
    </w:p>
    <w:p w14:paraId="7281FBA2"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Barnes, D. A. (2009). </w:t>
      </w:r>
      <w:r w:rsidRPr="00E3232D">
        <w:rPr>
          <w:rFonts w:ascii="Book Antiqua" w:hAnsi="Book Antiqua"/>
          <w:i/>
        </w:rPr>
        <w:t>Assessment of Rainwater Harvesting in Northern Ghana</w:t>
      </w:r>
      <w:r w:rsidRPr="00E3232D">
        <w:rPr>
          <w:rFonts w:ascii="Book Antiqua" w:hAnsi="Book Antiqua"/>
        </w:rPr>
        <w:t xml:space="preserve"> [Unpublished Master</w:t>
      </w:r>
      <w:r w:rsidRPr="00E3232D">
        <w:rPr>
          <w:rFonts w:ascii="MS Mincho" w:eastAsia="MS Mincho" w:hAnsi="MS Mincho" w:cs="MS Mincho" w:hint="eastAsia"/>
        </w:rPr>
        <w:t>‟</w:t>
      </w:r>
      <w:r w:rsidRPr="00E3232D">
        <w:rPr>
          <w:rFonts w:ascii="Book Antiqua" w:hAnsi="Book Antiqua" w:cs="Book Antiqua"/>
        </w:rPr>
        <w:t>s thesis]. Massachusetts Institute of Tec</w:t>
      </w:r>
      <w:r w:rsidRPr="00E3232D">
        <w:rPr>
          <w:rFonts w:ascii="Book Antiqua" w:hAnsi="Book Antiqua"/>
        </w:rPr>
        <w:t>hnology University, Ofarizona. pp. 13-71.</w:t>
      </w:r>
    </w:p>
    <w:p w14:paraId="7F9F615F"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ab/>
        <w:t>[www.libsearch.com/view/57734], (accessed, 20-10-2010).</w:t>
      </w:r>
    </w:p>
    <w:p w14:paraId="20676C87"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Dickson, K. and Benneh, G. (2004). </w:t>
      </w:r>
      <w:r w:rsidRPr="00E3232D">
        <w:rPr>
          <w:rFonts w:ascii="Book Antiqua" w:hAnsi="Book Antiqua"/>
          <w:i/>
        </w:rPr>
        <w:t>A New Geography of Ghana</w:t>
      </w:r>
      <w:r w:rsidRPr="00E3232D">
        <w:rPr>
          <w:rFonts w:ascii="Book Antiqua" w:hAnsi="Book Antiqua"/>
        </w:rPr>
        <w:t>, 5th edition. Longmans Group Limited, London. pp. 22-29.</w:t>
      </w:r>
    </w:p>
    <w:p w14:paraId="3ABB49FD"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Eshcol, J., Mahapatra, P. and Keshapagu, S. (2009). Is fecal contamination of drinking water after collection associated with household water handling and hygiene practices? A study of urban slum households in Hyderbad, India. </w:t>
      </w:r>
      <w:r w:rsidRPr="00E3232D">
        <w:rPr>
          <w:rFonts w:ascii="Book Antiqua" w:hAnsi="Book Antiqua"/>
          <w:i/>
        </w:rPr>
        <w:t>J. Water Health</w:t>
      </w:r>
      <w:r w:rsidRPr="00E3232D">
        <w:rPr>
          <w:rFonts w:ascii="Book Antiqua" w:hAnsi="Book Antiqua"/>
        </w:rPr>
        <w:t>. Vol. 1 (3) 7: pp. 145-154.</w:t>
      </w:r>
    </w:p>
    <w:p w14:paraId="3E124BAC"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Forster, J. (1999). Variability of roof run-off quality. </w:t>
      </w:r>
      <w:r w:rsidRPr="00E3232D">
        <w:rPr>
          <w:rFonts w:ascii="Book Antiqua" w:hAnsi="Book Antiqua"/>
          <w:i/>
        </w:rPr>
        <w:t>Water Sc. Tech.</w:t>
      </w:r>
      <w:r w:rsidRPr="00E3232D">
        <w:rPr>
          <w:rFonts w:ascii="Book Antiqua" w:hAnsi="Book Antiqua"/>
        </w:rPr>
        <w:t xml:space="preserve"> 39 (5): pp. 137-144.</w:t>
      </w:r>
    </w:p>
    <w:p w14:paraId="5EEDDA60"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Jusara, A., Gondin, L., Mrdeiros, Z. L., and Robson, F. (2003). Correlation between Nitrate and Nitrite Levels in Drinking Water and Methmoglobinemia Cases. Bulletin of the Chemistry and Technologist of Macedonia, Vol. 24, No. 1, pp. 35-40.</w:t>
      </w:r>
    </w:p>
    <w:p w14:paraId="65DF8D5C"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Kohler, I., Sausen, R. and Reinberger, R. (1997). Contribution of aircraft emission to the atmospheric NOx content, </w:t>
      </w:r>
      <w:r w:rsidRPr="00E3232D">
        <w:rPr>
          <w:rFonts w:ascii="Book Antiqua" w:hAnsi="Book Antiqua"/>
          <w:i/>
        </w:rPr>
        <w:t>Atmos. Environ.</w:t>
      </w:r>
      <w:r w:rsidRPr="00E3232D">
        <w:rPr>
          <w:rFonts w:ascii="Book Antiqua" w:hAnsi="Book Antiqua"/>
        </w:rPr>
        <w:t>, Vol. 2 (31): pp. 10-18.</w:t>
      </w:r>
    </w:p>
    <w:p w14:paraId="4C3EDF42"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Lundgren, A. and Akerberg, H. (2006). </w:t>
      </w:r>
      <w:r w:rsidRPr="00E3232D">
        <w:rPr>
          <w:rFonts w:ascii="Book Antiqua" w:hAnsi="Book Antiqua"/>
          <w:i/>
        </w:rPr>
        <w:t>Rainwater harvesting in peri-urban areas of Accra</w:t>
      </w:r>
      <w:r w:rsidRPr="00E3232D">
        <w:rPr>
          <w:rFonts w:ascii="Book Antiqua" w:hAnsi="Book Antiqua"/>
        </w:rPr>
        <w:t>: status and prospects [master</w:t>
      </w:r>
      <w:r w:rsidRPr="00E3232D">
        <w:rPr>
          <w:rFonts w:ascii="MS Mincho" w:eastAsia="MS Mincho" w:hAnsi="MS Mincho" w:cs="MS Mincho" w:hint="eastAsia"/>
        </w:rPr>
        <w:t>‟</w:t>
      </w:r>
      <w:r w:rsidRPr="00E3232D">
        <w:rPr>
          <w:rFonts w:ascii="Book Antiqua" w:hAnsi="Book Antiqua" w:cs="Book Antiqua"/>
        </w:rPr>
        <w:t>s thesis]. Royal Institute of Technology, Stockholm, Sweden. Pp. 27-35.</w:t>
      </w:r>
    </w:p>
    <w:p w14:paraId="2307C2D7"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Pier, S. M. and Bang, K. M. (1980). The Role of Heavy Metals in human health in trieff, N.M. </w:t>
      </w:r>
      <w:r w:rsidRPr="00E3232D">
        <w:rPr>
          <w:rFonts w:ascii="Book Antiqua" w:hAnsi="Book Antiqua"/>
          <w:i/>
        </w:rPr>
        <w:t>Environ. Health</w:t>
      </w:r>
      <w:r w:rsidRPr="00E3232D">
        <w:rPr>
          <w:rFonts w:ascii="Book Antiqua" w:hAnsi="Book Antiqua"/>
        </w:rPr>
        <w:t>, pp. 367-409.</w:t>
      </w:r>
    </w:p>
    <w:p w14:paraId="7BCA801A"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Popoola, T.O.S., Shittu, O.B, and Lemo, O.O. (2007). Physico-chemical changes and bacteriological- Deterioration of potable water during Long term storage. </w:t>
      </w:r>
      <w:r w:rsidRPr="00E3232D">
        <w:rPr>
          <w:rFonts w:ascii="Book Antiqua" w:hAnsi="Book Antiqua"/>
          <w:i/>
        </w:rPr>
        <w:t xml:space="preserve">ASSET series B. </w:t>
      </w:r>
      <w:r w:rsidRPr="00E3232D">
        <w:rPr>
          <w:rFonts w:ascii="Book Antiqua" w:hAnsi="Book Antiqua"/>
        </w:rPr>
        <w:t>Vol.</w:t>
      </w:r>
      <w:r w:rsidRPr="00E3232D">
        <w:rPr>
          <w:rFonts w:ascii="Book Antiqua" w:hAnsi="Book Antiqua"/>
          <w:i/>
        </w:rPr>
        <w:t xml:space="preserve"> </w:t>
      </w:r>
      <w:r w:rsidRPr="00E3232D">
        <w:rPr>
          <w:rFonts w:ascii="Book Antiqua" w:hAnsi="Book Antiqua"/>
        </w:rPr>
        <w:t>6 (1): pp. 51-59.</w:t>
      </w:r>
    </w:p>
    <w:p w14:paraId="22A16906"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 GSS (Ghana Statistical Service), 2011.  </w:t>
      </w:r>
      <w:r w:rsidRPr="00E3232D">
        <w:rPr>
          <w:rFonts w:ascii="Book Antiqua" w:hAnsi="Book Antiqua"/>
          <w:i/>
        </w:rPr>
        <w:t>2010 Population and Housing Census,</w:t>
      </w:r>
      <w:r w:rsidRPr="00E3232D">
        <w:rPr>
          <w:rFonts w:ascii="Book Antiqua" w:hAnsi="Book Antiqua"/>
        </w:rPr>
        <w:t xml:space="preserve"> Provisional Results. GSS, Acccra, Ghana. p. 7.</w:t>
      </w:r>
    </w:p>
    <w:p w14:paraId="2546BD29"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Tambekar, D. H. and Banginwar, Y. S. (2004). Studies on Intervention for control of water borne diseases: Promoting personal and domestic hygiene in hotel's /restaurant's owner and workers. </w:t>
      </w:r>
      <w:r w:rsidRPr="00E3232D">
        <w:rPr>
          <w:rFonts w:ascii="Book Antiqua" w:hAnsi="Book Antiqua"/>
          <w:i/>
        </w:rPr>
        <w:t>Journal of Comparative Toxicology and Physiology</w:t>
      </w:r>
      <w:r w:rsidRPr="00E3232D">
        <w:rPr>
          <w:rFonts w:ascii="Book Antiqua" w:hAnsi="Book Antiqua"/>
        </w:rPr>
        <w:t>, Vol (2) 1: pp. 267-276.</w:t>
      </w:r>
    </w:p>
    <w:p w14:paraId="25D3874B"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TWDB (Texas Water Development Board) 2005. Water conservation bestManagementpracticesguide,96101pp.[/www.twdb.state.tx.us/assistance/conservation/TaskForceDocs/WCITFBMPGuide.pdf], (accessed 25/09/2010).</w:t>
      </w:r>
    </w:p>
    <w:p w14:paraId="3EFA00F8" w14:textId="77777777" w:rsidR="002416BB" w:rsidRPr="00E3232D" w:rsidRDefault="002416BB" w:rsidP="00570DE0">
      <w:pPr>
        <w:autoSpaceDE w:val="0"/>
        <w:autoSpaceDN w:val="0"/>
        <w:adjustRightInd w:val="0"/>
        <w:ind w:left="630" w:hanging="630"/>
        <w:jc w:val="both"/>
        <w:rPr>
          <w:rFonts w:ascii="Book Antiqua" w:hAnsi="Book Antiqua"/>
        </w:rPr>
      </w:pPr>
      <w:r w:rsidRPr="00E3232D">
        <w:rPr>
          <w:rFonts w:ascii="Book Antiqua" w:hAnsi="Book Antiqua"/>
        </w:rPr>
        <w:t xml:space="preserve">Ziadat, A. H. (2005). Impact of Storage Tanks on Drinking Water Quality in Al-Karak Province-Jordan. Mu' tah University, Karak-Jordan. </w:t>
      </w:r>
      <w:r w:rsidRPr="00E3232D">
        <w:rPr>
          <w:rFonts w:ascii="Book Antiqua" w:hAnsi="Book Antiqua"/>
          <w:i/>
        </w:rPr>
        <w:t xml:space="preserve">Journal of Applied Sciences, </w:t>
      </w:r>
      <w:r w:rsidRPr="00E3232D">
        <w:rPr>
          <w:rFonts w:ascii="Book Antiqua" w:hAnsi="Book Antiqua"/>
        </w:rPr>
        <w:t>5 (4): pp. 4-9.</w:t>
      </w:r>
    </w:p>
    <w:p w14:paraId="1803F0D4" w14:textId="77777777" w:rsidR="002416BB" w:rsidRPr="00E3232D" w:rsidRDefault="002416BB" w:rsidP="00570DE0">
      <w:pPr>
        <w:jc w:val="both"/>
        <w:rPr>
          <w:rFonts w:ascii="Book Antiqua" w:hAnsi="Book Antiqua"/>
          <w:bCs/>
        </w:rPr>
      </w:pPr>
      <w:r w:rsidRPr="00E3232D">
        <w:rPr>
          <w:rFonts w:ascii="Book Antiqua" w:hAnsi="Book Antiqua"/>
        </w:rPr>
        <w:t xml:space="preserve"> </w:t>
      </w:r>
      <w:r w:rsidRPr="00E3232D">
        <w:rPr>
          <w:rFonts w:ascii="Book Antiqua" w:hAnsi="Book Antiqua"/>
          <w:bCs/>
        </w:rPr>
        <w:t>Mufandaedza, J. and Kamusoko, R. (2012).</w:t>
      </w:r>
    </w:p>
    <w:p w14:paraId="6A3ABA79" w14:textId="77777777" w:rsidR="002416BB" w:rsidRPr="00E3232D" w:rsidRDefault="002416BB" w:rsidP="00570DE0">
      <w:pPr>
        <w:tabs>
          <w:tab w:val="left" w:pos="630"/>
        </w:tabs>
        <w:ind w:left="630"/>
        <w:jc w:val="both"/>
        <w:rPr>
          <w:rFonts w:ascii="Book Antiqua" w:hAnsi="Book Antiqua"/>
          <w:bCs/>
        </w:rPr>
      </w:pPr>
      <w:r w:rsidRPr="00E3232D">
        <w:rPr>
          <w:rFonts w:ascii="Book Antiqua" w:hAnsi="Book Antiqua"/>
        </w:rPr>
        <w:t xml:space="preserve"> </w:t>
      </w:r>
      <w:r w:rsidRPr="00E3232D">
        <w:rPr>
          <w:rFonts w:ascii="Book Antiqua" w:hAnsi="Book Antiqua"/>
          <w:bCs/>
        </w:rPr>
        <w:t xml:space="preserve">Heavy metal analysis of fresh water supplies and wastewaters: A case of chinhoyi andharare,zimbabwe. </w:t>
      </w:r>
      <w:r w:rsidRPr="00E3232D">
        <w:rPr>
          <w:rFonts w:ascii="Book Antiqua" w:hAnsi="Book Antiqua"/>
          <w:bCs/>
          <w:i/>
        </w:rPr>
        <w:t>International Researchers,</w:t>
      </w:r>
      <w:r w:rsidRPr="00E3232D">
        <w:rPr>
          <w:rFonts w:ascii="Book Antiqua" w:hAnsi="Book Antiqua"/>
          <w:bCs/>
        </w:rPr>
        <w:t xml:space="preserve">Vol.1 (4): p. 5. </w:t>
      </w:r>
      <w:r w:rsidRPr="00E3232D">
        <w:rPr>
          <w:rFonts w:ascii="Book Antiqua" w:hAnsi="Book Antiqua"/>
        </w:rPr>
        <w:t>[http://www.iresearcher.org/12-19,%204-11.pdf], (accessed 15/05/2013).</w:t>
      </w:r>
    </w:p>
    <w:p w14:paraId="6A109C68" w14:textId="77777777" w:rsidR="002416BB" w:rsidRPr="00E3232D" w:rsidRDefault="002416BB" w:rsidP="00570DE0">
      <w:pPr>
        <w:pStyle w:val="NoSpacing"/>
        <w:spacing w:line="276" w:lineRule="auto"/>
        <w:jc w:val="both"/>
        <w:rPr>
          <w:rFonts w:ascii="Book Antiqua" w:hAnsi="Book Antiqua"/>
          <w:b/>
        </w:rPr>
      </w:pPr>
    </w:p>
    <w:p w14:paraId="1A4D2391" w14:textId="77777777" w:rsidR="00667C5F" w:rsidRDefault="00667C5F" w:rsidP="00570DE0">
      <w:pPr>
        <w:pStyle w:val="NoSpacing"/>
        <w:spacing w:line="276" w:lineRule="auto"/>
        <w:jc w:val="both"/>
        <w:rPr>
          <w:rFonts w:ascii="Book Antiqua" w:hAnsi="Book Antiqua"/>
          <w:b/>
        </w:rPr>
        <w:sectPr w:rsidR="00667C5F" w:rsidSect="008F6BC9">
          <w:type w:val="continuous"/>
          <w:pgSz w:w="11907" w:h="16839" w:code="9"/>
          <w:pgMar w:top="1440" w:right="1440" w:bottom="1440" w:left="1440" w:header="720" w:footer="720" w:gutter="0"/>
          <w:cols w:num="2" w:space="720"/>
          <w:docGrid w:linePitch="360"/>
        </w:sectPr>
      </w:pPr>
    </w:p>
    <w:p w14:paraId="1C5A26BA" w14:textId="77777777" w:rsidR="002416BB" w:rsidRPr="00E3232D" w:rsidRDefault="002416BB" w:rsidP="00570DE0">
      <w:pPr>
        <w:pStyle w:val="NoSpacing"/>
        <w:spacing w:line="276" w:lineRule="auto"/>
        <w:jc w:val="both"/>
        <w:rPr>
          <w:rFonts w:ascii="Book Antiqua" w:hAnsi="Book Antiqua"/>
          <w:b/>
        </w:rPr>
      </w:pPr>
    </w:p>
    <w:p w14:paraId="498C7820" w14:textId="77777777" w:rsidR="002416BB" w:rsidRPr="00E3232D" w:rsidRDefault="002416BB" w:rsidP="00570DE0">
      <w:pPr>
        <w:pStyle w:val="NoSpacing"/>
        <w:spacing w:line="276" w:lineRule="auto"/>
        <w:jc w:val="both"/>
        <w:rPr>
          <w:rFonts w:ascii="Book Antiqua" w:hAnsi="Book Antiqua"/>
          <w:b/>
        </w:rPr>
      </w:pPr>
    </w:p>
    <w:p w14:paraId="2CE93333" w14:textId="77777777" w:rsidR="002416BB" w:rsidRPr="00E3232D" w:rsidRDefault="002416BB" w:rsidP="00570DE0">
      <w:pPr>
        <w:autoSpaceDE w:val="0"/>
        <w:autoSpaceDN w:val="0"/>
        <w:adjustRightInd w:val="0"/>
        <w:jc w:val="both"/>
        <w:rPr>
          <w:rFonts w:ascii="Book Antiqua" w:hAnsi="Book Antiqua"/>
          <w:b/>
          <w:bCs/>
        </w:rPr>
      </w:pPr>
    </w:p>
    <w:p w14:paraId="095E01A0" w14:textId="77777777" w:rsidR="002416BB" w:rsidRPr="00E3232D" w:rsidRDefault="002416BB" w:rsidP="00570DE0">
      <w:pPr>
        <w:pStyle w:val="ListParagraph"/>
        <w:autoSpaceDE w:val="0"/>
        <w:autoSpaceDN w:val="0"/>
        <w:adjustRightInd w:val="0"/>
        <w:jc w:val="both"/>
        <w:rPr>
          <w:rFonts w:ascii="Book Antiqua" w:hAnsi="Book Antiqua"/>
          <w:b/>
          <w:bCs/>
        </w:rPr>
      </w:pPr>
    </w:p>
    <w:p w14:paraId="7670FF49" w14:textId="77777777" w:rsidR="002416BB" w:rsidRPr="00E3232D" w:rsidRDefault="002416BB" w:rsidP="008275E1">
      <w:pPr>
        <w:pStyle w:val="ListParagraph"/>
        <w:autoSpaceDE w:val="0"/>
        <w:autoSpaceDN w:val="0"/>
        <w:adjustRightInd w:val="0"/>
        <w:rPr>
          <w:rFonts w:ascii="Book Antiqua" w:hAnsi="Book Antiqua"/>
          <w:b/>
          <w:bCs/>
        </w:rPr>
      </w:pPr>
    </w:p>
    <w:p w14:paraId="67FE7B25" w14:textId="77777777" w:rsidR="00E90AF2" w:rsidRPr="00E3232D" w:rsidRDefault="00E90AF2" w:rsidP="00667C5F">
      <w:pPr>
        <w:rPr>
          <w:rFonts w:ascii="Book Antiqua" w:hAnsi="Book Antiqua"/>
          <w:b/>
        </w:rPr>
        <w:sectPr w:rsidR="00E90AF2" w:rsidRPr="00E3232D" w:rsidSect="008F6BC9">
          <w:type w:val="continuous"/>
          <w:pgSz w:w="11907" w:h="16839" w:code="9"/>
          <w:pgMar w:top="1440" w:right="1440" w:bottom="1440" w:left="1440" w:header="720" w:footer="720" w:gutter="0"/>
          <w:cols w:space="720"/>
          <w:docGrid w:linePitch="360"/>
        </w:sectPr>
      </w:pPr>
    </w:p>
    <w:p w14:paraId="28C71C60" w14:textId="77777777" w:rsidR="00886BA6" w:rsidRDefault="00886BA6" w:rsidP="00E90AF2">
      <w:pPr>
        <w:rPr>
          <w:rFonts w:ascii="Book Antiqua" w:hAnsi="Book Antiqua"/>
          <w:b/>
          <w:sz w:val="26"/>
          <w:szCs w:val="26"/>
        </w:rPr>
      </w:pPr>
    </w:p>
    <w:p w14:paraId="799851DC" w14:textId="77777777" w:rsidR="00886BA6" w:rsidRDefault="00886BA6" w:rsidP="00E90AF2">
      <w:pPr>
        <w:rPr>
          <w:rFonts w:ascii="Book Antiqua" w:hAnsi="Book Antiqua"/>
          <w:b/>
          <w:sz w:val="26"/>
          <w:szCs w:val="26"/>
        </w:rPr>
      </w:pPr>
    </w:p>
    <w:p w14:paraId="63894D98" w14:textId="77777777" w:rsidR="00886BA6" w:rsidRDefault="00886BA6" w:rsidP="00E90AF2">
      <w:pPr>
        <w:rPr>
          <w:rFonts w:ascii="Book Antiqua" w:hAnsi="Book Antiqua"/>
          <w:b/>
          <w:sz w:val="26"/>
          <w:szCs w:val="26"/>
        </w:rPr>
      </w:pPr>
    </w:p>
    <w:p w14:paraId="2572B6FB" w14:textId="77777777" w:rsidR="00886BA6" w:rsidRDefault="00886BA6" w:rsidP="00E90AF2">
      <w:pPr>
        <w:rPr>
          <w:rFonts w:ascii="Book Antiqua" w:hAnsi="Book Antiqua"/>
          <w:b/>
          <w:sz w:val="26"/>
          <w:szCs w:val="26"/>
        </w:rPr>
      </w:pPr>
    </w:p>
    <w:p w14:paraId="3CE29134" w14:textId="77777777" w:rsidR="00886BA6" w:rsidRDefault="00886BA6" w:rsidP="00E90AF2">
      <w:pPr>
        <w:rPr>
          <w:rFonts w:ascii="Book Antiqua" w:hAnsi="Book Antiqua"/>
          <w:b/>
          <w:sz w:val="26"/>
          <w:szCs w:val="26"/>
        </w:rPr>
      </w:pPr>
    </w:p>
    <w:p w14:paraId="5AE93F72" w14:textId="77777777" w:rsidR="00886BA6" w:rsidRDefault="00886BA6" w:rsidP="00E90AF2">
      <w:pPr>
        <w:rPr>
          <w:rFonts w:ascii="Book Antiqua" w:hAnsi="Book Antiqua"/>
          <w:b/>
          <w:sz w:val="26"/>
          <w:szCs w:val="26"/>
        </w:rPr>
      </w:pPr>
    </w:p>
    <w:p w14:paraId="4133E429" w14:textId="77777777" w:rsidR="00886BA6" w:rsidRDefault="00886BA6" w:rsidP="00E90AF2">
      <w:pPr>
        <w:rPr>
          <w:rFonts w:ascii="Book Antiqua" w:hAnsi="Book Antiqua"/>
          <w:b/>
          <w:sz w:val="26"/>
          <w:szCs w:val="26"/>
        </w:rPr>
      </w:pPr>
    </w:p>
    <w:p w14:paraId="7EC4DA5F" w14:textId="77777777" w:rsidR="00886BA6" w:rsidRDefault="00886BA6" w:rsidP="00E90AF2">
      <w:pPr>
        <w:rPr>
          <w:rFonts w:ascii="Book Antiqua" w:hAnsi="Book Antiqua"/>
          <w:b/>
          <w:sz w:val="26"/>
          <w:szCs w:val="26"/>
        </w:rPr>
      </w:pPr>
    </w:p>
    <w:p w14:paraId="60FA7AC7" w14:textId="77777777" w:rsidR="00886BA6" w:rsidRDefault="00886BA6" w:rsidP="00E90AF2">
      <w:pPr>
        <w:rPr>
          <w:rFonts w:ascii="Book Antiqua" w:hAnsi="Book Antiqua"/>
          <w:b/>
          <w:sz w:val="26"/>
          <w:szCs w:val="26"/>
        </w:rPr>
      </w:pPr>
    </w:p>
    <w:p w14:paraId="0444FF56" w14:textId="77777777" w:rsidR="00570DE0" w:rsidRDefault="00570DE0" w:rsidP="00E90AF2">
      <w:pPr>
        <w:rPr>
          <w:rFonts w:ascii="Book Antiqua" w:hAnsi="Book Antiqua"/>
          <w:b/>
          <w:sz w:val="26"/>
          <w:szCs w:val="26"/>
        </w:rPr>
      </w:pPr>
    </w:p>
    <w:p w14:paraId="66042DF4" w14:textId="77777777" w:rsidR="00886BA6" w:rsidRDefault="00886BA6" w:rsidP="00E90AF2">
      <w:pPr>
        <w:rPr>
          <w:rFonts w:ascii="Book Antiqua" w:hAnsi="Book Antiqua"/>
          <w:b/>
          <w:sz w:val="26"/>
          <w:szCs w:val="26"/>
        </w:rPr>
      </w:pPr>
    </w:p>
    <w:p w14:paraId="4963CDD2" w14:textId="77777777" w:rsidR="00886BA6" w:rsidRDefault="00886BA6" w:rsidP="00E90AF2">
      <w:pPr>
        <w:rPr>
          <w:rFonts w:ascii="Book Antiqua" w:hAnsi="Book Antiqua"/>
          <w:b/>
          <w:sz w:val="26"/>
          <w:szCs w:val="26"/>
        </w:rPr>
      </w:pPr>
    </w:p>
    <w:p w14:paraId="14DBC583" w14:textId="77777777" w:rsidR="00886BA6" w:rsidRDefault="00886BA6" w:rsidP="00E90AF2">
      <w:pPr>
        <w:rPr>
          <w:rFonts w:ascii="Book Antiqua" w:hAnsi="Book Antiqua"/>
          <w:b/>
          <w:sz w:val="26"/>
          <w:szCs w:val="26"/>
        </w:rPr>
      </w:pPr>
    </w:p>
    <w:p w14:paraId="4E34EC5C" w14:textId="77777777" w:rsidR="00886BA6" w:rsidRDefault="00886BA6" w:rsidP="00E90AF2">
      <w:pPr>
        <w:rPr>
          <w:rFonts w:ascii="Book Antiqua" w:hAnsi="Book Antiqua"/>
          <w:b/>
          <w:sz w:val="26"/>
          <w:szCs w:val="26"/>
        </w:rPr>
        <w:sectPr w:rsidR="00886BA6" w:rsidSect="008F6BC9">
          <w:type w:val="continuous"/>
          <w:pgSz w:w="11907" w:h="16839" w:code="9"/>
          <w:pgMar w:top="1440" w:right="1440" w:bottom="1440" w:left="1440" w:header="720" w:footer="720" w:gutter="0"/>
          <w:cols w:space="720"/>
          <w:docGrid w:linePitch="360"/>
        </w:sectPr>
      </w:pPr>
    </w:p>
    <w:p w14:paraId="5F5C60FC" w14:textId="77777777" w:rsidR="000C40F7" w:rsidRPr="000C40F7" w:rsidRDefault="0087575B" w:rsidP="00393929">
      <w:pPr>
        <w:jc w:val="center"/>
        <w:rPr>
          <w:rFonts w:ascii="Book Antiqua" w:hAnsi="Book Antiqua"/>
          <w:b/>
          <w:sz w:val="26"/>
          <w:szCs w:val="26"/>
        </w:rPr>
      </w:pPr>
      <w:r w:rsidRPr="000C40F7">
        <w:rPr>
          <w:rFonts w:ascii="Book Antiqua" w:hAnsi="Book Antiqua"/>
          <w:b/>
          <w:sz w:val="26"/>
          <w:szCs w:val="26"/>
        </w:rPr>
        <w:t>Promotion and Application of Intellectual Property Rights in Ghana</w:t>
      </w:r>
    </w:p>
    <w:p w14:paraId="76017C09" w14:textId="77777777" w:rsidR="0087575B" w:rsidRPr="002A3DB9" w:rsidRDefault="0087575B" w:rsidP="00393929">
      <w:pPr>
        <w:spacing w:after="0"/>
        <w:jc w:val="center"/>
        <w:rPr>
          <w:rFonts w:ascii="Book Antiqua" w:hAnsi="Book Antiqua"/>
          <w:b/>
          <w:vertAlign w:val="superscript"/>
        </w:rPr>
      </w:pPr>
      <w:r w:rsidRPr="002A3DB9">
        <w:rPr>
          <w:rFonts w:ascii="Book Antiqua" w:hAnsi="Book Antiqua"/>
          <w:b/>
        </w:rPr>
        <w:t>Adu-Dapaah</w:t>
      </w:r>
      <w:r w:rsidR="00AA3F19" w:rsidRPr="002A3DB9">
        <w:rPr>
          <w:rFonts w:ascii="Book Antiqua" w:hAnsi="Book Antiqua"/>
          <w:b/>
        </w:rPr>
        <w:t xml:space="preserve"> H.</w:t>
      </w:r>
      <w:r w:rsidRPr="002A3DB9">
        <w:rPr>
          <w:rFonts w:ascii="Book Antiqua" w:hAnsi="Book Antiqua"/>
          <w:b/>
          <w:vertAlign w:val="superscript"/>
        </w:rPr>
        <w:t>1</w:t>
      </w:r>
      <w:r w:rsidRPr="002A3DB9">
        <w:rPr>
          <w:rFonts w:ascii="Book Antiqua" w:hAnsi="Book Antiqua"/>
          <w:b/>
        </w:rPr>
        <w:t>, Amoah</w:t>
      </w:r>
      <w:r w:rsidR="00AA3F19" w:rsidRPr="002A3DB9">
        <w:rPr>
          <w:rFonts w:ascii="Book Antiqua" w:hAnsi="Book Antiqua"/>
          <w:b/>
        </w:rPr>
        <w:t xml:space="preserve"> S. </w:t>
      </w:r>
      <w:r w:rsidRPr="002A3DB9">
        <w:rPr>
          <w:rFonts w:ascii="Book Antiqua" w:hAnsi="Book Antiqua"/>
          <w:b/>
          <w:vertAlign w:val="superscript"/>
        </w:rPr>
        <w:t>†1</w:t>
      </w:r>
      <w:r w:rsidRPr="002A3DB9">
        <w:rPr>
          <w:rFonts w:ascii="Book Antiqua" w:hAnsi="Book Antiqua"/>
          <w:b/>
        </w:rPr>
        <w:t>, Issahaque</w:t>
      </w:r>
      <w:r w:rsidR="00AA3F19" w:rsidRPr="002A3DB9">
        <w:rPr>
          <w:rFonts w:ascii="Book Antiqua" w:hAnsi="Book Antiqua"/>
          <w:b/>
        </w:rPr>
        <w:t xml:space="preserve"> G. </w:t>
      </w:r>
      <w:r w:rsidRPr="002A3DB9">
        <w:rPr>
          <w:rFonts w:ascii="Book Antiqua" w:hAnsi="Book Antiqua"/>
          <w:b/>
          <w:vertAlign w:val="superscript"/>
        </w:rPr>
        <w:t>2</w:t>
      </w:r>
      <w:r w:rsidRPr="002A3DB9">
        <w:rPr>
          <w:rFonts w:ascii="Book Antiqua" w:hAnsi="Book Antiqua"/>
          <w:b/>
        </w:rPr>
        <w:t>, Ofosu-Tenkorang</w:t>
      </w:r>
      <w:r w:rsidR="00AA3F19" w:rsidRPr="002A3DB9">
        <w:rPr>
          <w:rFonts w:ascii="Book Antiqua" w:hAnsi="Book Antiqua"/>
          <w:b/>
        </w:rPr>
        <w:t xml:space="preserve"> K. </w:t>
      </w:r>
      <w:r w:rsidRPr="002A3DB9">
        <w:rPr>
          <w:rFonts w:ascii="Book Antiqua" w:hAnsi="Book Antiqua"/>
          <w:b/>
          <w:vertAlign w:val="superscript"/>
        </w:rPr>
        <w:t>3</w:t>
      </w:r>
      <w:r w:rsidRPr="002A3DB9">
        <w:rPr>
          <w:rFonts w:ascii="Book Antiqua" w:hAnsi="Book Antiqua"/>
          <w:b/>
        </w:rPr>
        <w:t xml:space="preserve"> </w:t>
      </w:r>
      <w:r w:rsidR="00667C5F">
        <w:rPr>
          <w:rFonts w:ascii="Book Antiqua" w:hAnsi="Book Antiqua"/>
          <w:b/>
        </w:rPr>
        <w:t>&amp;</w:t>
      </w:r>
      <w:r w:rsidRPr="002A3DB9">
        <w:rPr>
          <w:rFonts w:ascii="Book Antiqua" w:hAnsi="Book Antiqua"/>
          <w:b/>
        </w:rPr>
        <w:t xml:space="preserve"> Anum</w:t>
      </w:r>
      <w:r w:rsidR="007943C7" w:rsidRPr="002A3DB9">
        <w:rPr>
          <w:rFonts w:ascii="Book Antiqua" w:hAnsi="Book Antiqua"/>
          <w:b/>
        </w:rPr>
        <w:t xml:space="preserve"> S.</w:t>
      </w:r>
      <w:r w:rsidRPr="002A3DB9">
        <w:rPr>
          <w:rFonts w:ascii="Book Antiqua" w:hAnsi="Book Antiqua"/>
          <w:b/>
          <w:vertAlign w:val="superscript"/>
        </w:rPr>
        <w:t>4</w:t>
      </w:r>
    </w:p>
    <w:p w14:paraId="320052F7" w14:textId="77777777" w:rsidR="0087575B" w:rsidRPr="00E3232D" w:rsidRDefault="0087575B" w:rsidP="00393929">
      <w:pPr>
        <w:spacing w:after="0"/>
        <w:jc w:val="center"/>
        <w:rPr>
          <w:rFonts w:ascii="Book Antiqua" w:hAnsi="Book Antiqua"/>
        </w:rPr>
      </w:pPr>
      <w:r w:rsidRPr="00E3232D">
        <w:rPr>
          <w:rFonts w:ascii="Book Antiqua" w:hAnsi="Book Antiqua"/>
          <w:vertAlign w:val="superscript"/>
        </w:rPr>
        <w:t>1</w:t>
      </w:r>
      <w:r w:rsidRPr="00E3232D">
        <w:rPr>
          <w:rFonts w:ascii="Book Antiqua" w:hAnsi="Book Antiqua"/>
        </w:rPr>
        <w:t>CSIR-Crops Research Institute, P. O. Box 3785, Kumasi, Ghana.</w:t>
      </w:r>
      <w:r w:rsidRPr="00E3232D">
        <w:rPr>
          <w:rFonts w:ascii="Book Antiqua" w:hAnsi="Book Antiqua"/>
          <w:vertAlign w:val="superscript"/>
        </w:rPr>
        <w:t>2</w:t>
      </w:r>
      <w:r w:rsidRPr="00E3232D">
        <w:rPr>
          <w:rFonts w:ascii="Book Antiqua" w:hAnsi="Book Antiqua"/>
        </w:rPr>
        <w:t>Registrar General’s Department, Ministry of Justice, Accra, Ghana.</w:t>
      </w:r>
      <w:r w:rsidRPr="00E3232D">
        <w:rPr>
          <w:rFonts w:ascii="Book Antiqua" w:hAnsi="Book Antiqua"/>
          <w:vertAlign w:val="superscript"/>
        </w:rPr>
        <w:t>3</w:t>
      </w:r>
      <w:r w:rsidRPr="00E3232D">
        <w:rPr>
          <w:rFonts w:ascii="Book Antiqua" w:hAnsi="Book Antiqua"/>
        </w:rPr>
        <w:t>CSIR Head Office, Accra, Ghana.</w:t>
      </w:r>
      <w:r w:rsidRPr="00E3232D">
        <w:rPr>
          <w:rFonts w:ascii="Book Antiqua" w:hAnsi="Book Antiqua"/>
          <w:vertAlign w:val="superscript"/>
        </w:rPr>
        <w:t>4</w:t>
      </w:r>
      <w:r w:rsidRPr="00E3232D">
        <w:rPr>
          <w:rFonts w:ascii="Book Antiqua" w:hAnsi="Book Antiqua"/>
        </w:rPr>
        <w:t xml:space="preserve">Ministry of Trade and Industry , Accra, Ghana. </w:t>
      </w:r>
      <w:r w:rsidRPr="00E3232D">
        <w:rPr>
          <w:rFonts w:ascii="Book Antiqua" w:hAnsi="Book Antiqua"/>
          <w:vertAlign w:val="superscript"/>
        </w:rPr>
        <w:t>†</w:t>
      </w:r>
      <w:r w:rsidRPr="00E3232D">
        <w:rPr>
          <w:rFonts w:ascii="Book Antiqua" w:hAnsi="Book Antiqua"/>
        </w:rPr>
        <w:t>Equal contributors.</w:t>
      </w:r>
    </w:p>
    <w:p w14:paraId="517BA492" w14:textId="77777777" w:rsidR="0087575B" w:rsidRPr="00E3232D" w:rsidRDefault="0087575B" w:rsidP="00393929">
      <w:pPr>
        <w:spacing w:after="0"/>
        <w:jc w:val="center"/>
        <w:rPr>
          <w:rFonts w:ascii="Book Antiqua" w:hAnsi="Book Antiqua"/>
        </w:rPr>
      </w:pPr>
      <w:r w:rsidRPr="0036609B">
        <w:rPr>
          <w:rFonts w:ascii="Book Antiqua" w:hAnsi="Book Antiqua"/>
          <w:b/>
        </w:rPr>
        <w:t>E</w:t>
      </w:r>
      <w:r w:rsidR="0036609B" w:rsidRPr="0036609B">
        <w:rPr>
          <w:rFonts w:ascii="Book Antiqua" w:hAnsi="Book Antiqua"/>
          <w:b/>
        </w:rPr>
        <w:t>-</w:t>
      </w:r>
      <w:r w:rsidRPr="0036609B">
        <w:rPr>
          <w:rFonts w:ascii="Book Antiqua" w:hAnsi="Book Antiqua"/>
          <w:b/>
        </w:rPr>
        <w:t>mail</w:t>
      </w:r>
      <w:r w:rsidRPr="00E3232D">
        <w:rPr>
          <w:rFonts w:ascii="Book Antiqua" w:hAnsi="Book Antiqua"/>
        </w:rPr>
        <w:t xml:space="preserve">: </w:t>
      </w:r>
      <w:hyperlink r:id="rId336" w:history="1">
        <w:r w:rsidRPr="00E3232D">
          <w:rPr>
            <w:rStyle w:val="Hyperlink"/>
            <w:rFonts w:ascii="Book Antiqua" w:hAnsi="Book Antiqua"/>
          </w:rPr>
          <w:t>hadapaah@yahoo.com</w:t>
        </w:r>
      </w:hyperlink>
      <w:r w:rsidRPr="00E3232D">
        <w:rPr>
          <w:rFonts w:ascii="Book Antiqua" w:hAnsi="Book Antiqua"/>
        </w:rPr>
        <w:t xml:space="preserve">; </w:t>
      </w:r>
      <w:hyperlink r:id="rId337" w:history="1">
        <w:r w:rsidRPr="00E3232D">
          <w:rPr>
            <w:rStyle w:val="Hyperlink"/>
            <w:rFonts w:ascii="Book Antiqua" w:hAnsi="Book Antiqua"/>
          </w:rPr>
          <w:t>amoahscg@yahoo.com</w:t>
        </w:r>
      </w:hyperlink>
    </w:p>
    <w:p w14:paraId="0F6562E3" w14:textId="77777777" w:rsidR="0087575B" w:rsidRPr="00E3232D" w:rsidRDefault="0087575B" w:rsidP="00393929">
      <w:pPr>
        <w:spacing w:after="0"/>
        <w:jc w:val="center"/>
        <w:rPr>
          <w:rFonts w:ascii="Book Antiqua" w:hAnsi="Book Antiqua"/>
        </w:rPr>
      </w:pPr>
    </w:p>
    <w:p w14:paraId="3F8F5CE1" w14:textId="77777777" w:rsidR="0087575B" w:rsidRPr="00886BA6" w:rsidRDefault="0087575B" w:rsidP="002A3DB9">
      <w:pPr>
        <w:rPr>
          <w:rFonts w:ascii="Book Antiqua" w:hAnsi="Book Antiqua"/>
          <w:b/>
          <w:sz w:val="26"/>
          <w:szCs w:val="26"/>
        </w:rPr>
      </w:pPr>
      <w:r w:rsidRPr="00886BA6">
        <w:rPr>
          <w:rFonts w:ascii="Book Antiqua" w:hAnsi="Book Antiqua"/>
          <w:b/>
          <w:sz w:val="26"/>
          <w:szCs w:val="26"/>
        </w:rPr>
        <w:t>Abstract</w:t>
      </w:r>
    </w:p>
    <w:p w14:paraId="79EB0956" w14:textId="77777777" w:rsidR="0087575B" w:rsidRPr="00E3232D" w:rsidRDefault="0087575B" w:rsidP="00570DE0">
      <w:pPr>
        <w:jc w:val="both"/>
        <w:rPr>
          <w:rFonts w:ascii="Book Antiqua" w:hAnsi="Book Antiqua"/>
        </w:rPr>
      </w:pPr>
      <w:r w:rsidRPr="00E3232D">
        <w:rPr>
          <w:rFonts w:ascii="Book Antiqua" w:hAnsi="Book Antiqua"/>
        </w:rPr>
        <w:t>Intellectual Property (IP) is the term that describes the creations of the mind, which includes , inventions, technologies,  literary and artistic works, symbols, names  and designs  that are intangible when first created, but become valuable in tangible form as products and services used in commerce Intellectual property law allows people to own their creativity and innovation in the same way that they can own physical property. An Intellectual Property Right (IPR) is a legal right which is based on the relevant national law encompassing that particular IP. The objective of this review is to discuss the role of IPR in different models of economic growth for developing countries such as Ghana and strategies for its promotion and application. The protection of IPR  is aimed at encouraging  the development of new technologies to increase industrial and agricultural production  by promoting  domestic competitiveness  in the production of goods and services.(and foreign investments). For Ghana to benefit from IPRs, it is  essential to sensitize  the business community , industries and researchers of the importance of utilizing IP systems as one of the tools to add value to their creative and innovative works. This could be implemented by engaging in both the print and electronic media.(to support promotional activities such as focused stakeholder sensitization workshops for identifiable groups such as musicians, inventors from the various sectors of the economy and through TV and radio programmes.) IP should also be promoted by introducing general and specific aspects of IP into the educational system in Ghana. Effective use ofthe IP system in Ghana will require the promotion of the various functions of the IP system and how these functions can effectively be coordinated. This would require the creation of awareness of the IP system amongst potential users and what is required of them in order to use the IP system.</w:t>
      </w:r>
    </w:p>
    <w:p w14:paraId="48D23422" w14:textId="77777777" w:rsidR="0087575B" w:rsidRPr="00E3232D" w:rsidRDefault="0087575B" w:rsidP="008275E1">
      <w:pPr>
        <w:rPr>
          <w:rFonts w:ascii="Book Antiqua" w:hAnsi="Book Antiqua"/>
        </w:rPr>
      </w:pPr>
      <w:r w:rsidRPr="00E3232D">
        <w:rPr>
          <w:rFonts w:ascii="Book Antiqua" w:hAnsi="Book Antiqua"/>
          <w:b/>
        </w:rPr>
        <w:t>Key words:</w:t>
      </w:r>
      <w:r w:rsidRPr="00E3232D">
        <w:rPr>
          <w:rFonts w:ascii="Book Antiqua" w:hAnsi="Book Antiqua"/>
        </w:rPr>
        <w:t xml:space="preserve"> Intellectual </w:t>
      </w:r>
      <w:r w:rsidR="009C0793" w:rsidRPr="00E3232D">
        <w:rPr>
          <w:rFonts w:ascii="Book Antiqua" w:hAnsi="Book Antiqua"/>
        </w:rPr>
        <w:t>Property</w:t>
      </w:r>
      <w:r w:rsidR="00570DE0">
        <w:rPr>
          <w:rFonts w:ascii="Book Antiqua" w:hAnsi="Book Antiqua"/>
        </w:rPr>
        <w:t>; Innovation;</w:t>
      </w:r>
      <w:r w:rsidRPr="00E3232D">
        <w:rPr>
          <w:rFonts w:ascii="Book Antiqua" w:hAnsi="Book Antiqua"/>
        </w:rPr>
        <w:t xml:space="preserve"> Patent</w:t>
      </w:r>
      <w:r w:rsidR="00570DE0">
        <w:rPr>
          <w:rFonts w:ascii="Book Antiqua" w:hAnsi="Book Antiqua"/>
        </w:rPr>
        <w:t>;</w:t>
      </w:r>
      <w:r w:rsidRPr="00E3232D">
        <w:rPr>
          <w:rFonts w:ascii="Book Antiqua" w:hAnsi="Book Antiqua"/>
        </w:rPr>
        <w:t xml:space="preserve"> Sensitization</w:t>
      </w:r>
      <w:r w:rsidR="00570DE0">
        <w:rPr>
          <w:rFonts w:ascii="Book Antiqua" w:hAnsi="Book Antiqua"/>
        </w:rPr>
        <w:t>;</w:t>
      </w:r>
      <w:r w:rsidRPr="00E3232D">
        <w:rPr>
          <w:rFonts w:ascii="Book Antiqua" w:hAnsi="Book Antiqua"/>
        </w:rPr>
        <w:t xml:space="preserve"> IP Education.</w:t>
      </w:r>
    </w:p>
    <w:p w14:paraId="4326DAFC" w14:textId="77777777" w:rsidR="00C57EEC" w:rsidRPr="00E3232D" w:rsidRDefault="00C57EEC" w:rsidP="008275E1">
      <w:pPr>
        <w:rPr>
          <w:rFonts w:ascii="Book Antiqua" w:hAnsi="Book Antiqua"/>
          <w:b/>
        </w:rPr>
        <w:sectPr w:rsidR="00C57EEC" w:rsidRPr="00E3232D" w:rsidSect="008F6BC9">
          <w:type w:val="continuous"/>
          <w:pgSz w:w="11907" w:h="16839" w:code="9"/>
          <w:pgMar w:top="1440" w:right="1440" w:bottom="1440" w:left="1440" w:header="720" w:footer="720" w:gutter="0"/>
          <w:cols w:space="720"/>
          <w:docGrid w:linePitch="360"/>
        </w:sectPr>
      </w:pPr>
    </w:p>
    <w:p w14:paraId="44ABDF32" w14:textId="77777777" w:rsidR="0087575B" w:rsidRPr="00E3232D" w:rsidRDefault="0087575B" w:rsidP="008275E1">
      <w:pPr>
        <w:rPr>
          <w:rFonts w:ascii="Book Antiqua" w:hAnsi="Book Antiqua"/>
          <w:b/>
        </w:rPr>
      </w:pPr>
    </w:p>
    <w:p w14:paraId="109E5F5A" w14:textId="77777777" w:rsidR="00667C5F" w:rsidRDefault="00667C5F" w:rsidP="008275E1">
      <w:pPr>
        <w:rPr>
          <w:rFonts w:ascii="Book Antiqua" w:hAnsi="Book Antiqua"/>
          <w:b/>
        </w:rPr>
        <w:sectPr w:rsidR="00667C5F" w:rsidSect="008F6BC9">
          <w:type w:val="continuous"/>
          <w:pgSz w:w="11907" w:h="16839" w:code="9"/>
          <w:pgMar w:top="1440" w:right="1440" w:bottom="1440" w:left="1440" w:header="720" w:footer="720" w:gutter="0"/>
          <w:cols w:space="720"/>
          <w:docGrid w:linePitch="360"/>
        </w:sectPr>
      </w:pPr>
    </w:p>
    <w:p w14:paraId="26BCBF89" w14:textId="77777777" w:rsidR="00C57EEC" w:rsidRPr="00886BA6" w:rsidRDefault="00570DE0" w:rsidP="009C0793">
      <w:pPr>
        <w:jc w:val="both"/>
        <w:rPr>
          <w:rFonts w:ascii="Book Antiqua" w:hAnsi="Book Antiqua"/>
          <w:b/>
          <w:sz w:val="26"/>
          <w:szCs w:val="26"/>
        </w:rPr>
      </w:pPr>
      <w:r>
        <w:rPr>
          <w:rFonts w:ascii="Book Antiqua" w:hAnsi="Book Antiqua"/>
          <w:b/>
          <w:sz w:val="26"/>
          <w:szCs w:val="26"/>
        </w:rPr>
        <w:t xml:space="preserve">1.0 </w:t>
      </w:r>
      <w:r w:rsidR="00C57EEC" w:rsidRPr="00886BA6">
        <w:rPr>
          <w:rFonts w:ascii="Book Antiqua" w:hAnsi="Book Antiqua"/>
          <w:b/>
          <w:sz w:val="26"/>
          <w:szCs w:val="26"/>
        </w:rPr>
        <w:t>Introduction</w:t>
      </w:r>
    </w:p>
    <w:p w14:paraId="320CBB52" w14:textId="77777777" w:rsidR="00C57EEC" w:rsidRPr="00E3232D" w:rsidRDefault="00C57EEC" w:rsidP="009C0793">
      <w:pPr>
        <w:jc w:val="both"/>
        <w:rPr>
          <w:rFonts w:ascii="Book Antiqua" w:hAnsi="Book Antiqua"/>
        </w:rPr>
      </w:pPr>
      <w:r w:rsidRPr="00E3232D">
        <w:rPr>
          <w:rFonts w:ascii="Book Antiqua" w:hAnsi="Book Antiqua"/>
        </w:rPr>
        <w:t xml:space="preserve">For centuries, tangible assets such as land, labour and capital used to be the indices for measuring the health of economies. This is no longer the case. The new drivers of wealth in contemporary society are knowledge-based, and industrialised nations have moved to knowledge-based economies (Idris, 2003; Goldsmith </w:t>
      </w:r>
      <w:r w:rsidRPr="00E3232D">
        <w:rPr>
          <w:rFonts w:ascii="Book Antiqua" w:hAnsi="Book Antiqua"/>
          <w:i/>
        </w:rPr>
        <w:t>et al</w:t>
      </w:r>
      <w:r w:rsidRPr="00E3232D">
        <w:rPr>
          <w:rFonts w:ascii="Book Antiqua" w:hAnsi="Book Antiqua"/>
        </w:rPr>
        <w:t xml:space="preserve"> 2006). The Ghanaian economy largely depends on tangible assets including the ever diminishing natural resources, even in the face of population growth and urbanization. Today’s technological progress,the world over, has come about as a result of creation of ideas, innovation and creativity directed towards solving problems(Idris 2003).</w:t>
      </w:r>
    </w:p>
    <w:p w14:paraId="2D7AF662" w14:textId="77777777" w:rsidR="00C57EEC" w:rsidRPr="00E3232D" w:rsidRDefault="00C57EEC" w:rsidP="009C0793">
      <w:pPr>
        <w:jc w:val="both"/>
        <w:rPr>
          <w:rFonts w:ascii="Book Antiqua" w:hAnsi="Book Antiqua"/>
        </w:rPr>
      </w:pPr>
      <w:r w:rsidRPr="00E3232D">
        <w:rPr>
          <w:rFonts w:ascii="Book Antiqua" w:hAnsi="Book Antiqua"/>
        </w:rPr>
        <w:t xml:space="preserve">Intellectual property (IP) is the term used to describe such ideas, inventions, technologies, artworks, music and literature that are intangible when first created, but become valuable in tangible form as products(Idris, 2003; WIPO, 2004). It is important to acknowledge that certain individuals invested time, and other resources to express ideas into forms that are appreciated by others. </w:t>
      </w:r>
    </w:p>
    <w:p w14:paraId="614ACCEA" w14:textId="77777777" w:rsidR="00C57EEC" w:rsidRPr="00E3232D" w:rsidRDefault="00C57EEC" w:rsidP="009C0793">
      <w:pPr>
        <w:jc w:val="both"/>
        <w:rPr>
          <w:rFonts w:ascii="Book Antiqua" w:hAnsi="Book Antiqua"/>
        </w:rPr>
      </w:pPr>
      <w:r w:rsidRPr="00E3232D">
        <w:rPr>
          <w:rFonts w:ascii="Book Antiqua" w:hAnsi="Book Antiqua"/>
        </w:rPr>
        <w:t>Intellectual property rights allows people to claim ownership of their creativity and innovation in the same way that they can own physical property.The legal right granted by a government office (or regional office acting for several countries) to an inventor is generally termed as intellectual property rights (IPR) (Idris, 2003).</w:t>
      </w:r>
    </w:p>
    <w:p w14:paraId="0DA41982" w14:textId="77777777" w:rsidR="00C57EEC" w:rsidRPr="00E3232D" w:rsidRDefault="00C57EEC" w:rsidP="009C0793">
      <w:pPr>
        <w:jc w:val="both"/>
        <w:rPr>
          <w:rFonts w:ascii="Book Antiqua" w:hAnsi="Book Antiqua"/>
        </w:rPr>
      </w:pPr>
      <w:r w:rsidRPr="00E3232D">
        <w:rPr>
          <w:rFonts w:ascii="Book Antiqua" w:hAnsi="Book Antiqua"/>
        </w:rPr>
        <w:t xml:space="preserve"> The premise underlyi</w:t>
      </w:r>
      <w:r w:rsidR="00A5014C">
        <w:rPr>
          <w:rFonts w:ascii="Book Antiqua" w:hAnsi="Book Antiqua"/>
        </w:rPr>
        <w:t xml:space="preserve">ngthe protection of IP systems </w:t>
      </w:r>
      <w:r w:rsidRPr="00E3232D">
        <w:rPr>
          <w:rFonts w:ascii="Book Antiqua" w:hAnsi="Book Antiqua"/>
        </w:rPr>
        <w:t>has been that granting rights and ownership of inventions and creative works stimulates their creation and, such creations stimulates economic development (Gould and Gruben, 1996). Despite the recognition by past and present governments of the potential of IP as a tool to drive wealth creation and transform economies, Ghana is yet to strengthen and to make full use of IPR systems. This can be largely attributed to the lack of national IP policy which would provide direction for IP matters in Ghana, lack of IP infrastructure, low IP awareness amongst the public and policy makers and lack of human capital.The obvious consequence is that the business community and industry are unable to utilize IP for economic gains and social benefits of IP are missed.Ghana has however, made some positive progress in addressing some of these challenges.In this paper, we discuss the role of IP forwealth creation for developing countries such as Ghana and strategies for its promotion.</w:t>
      </w:r>
    </w:p>
    <w:p w14:paraId="6B73444D" w14:textId="77777777" w:rsidR="002A3DB9" w:rsidRDefault="002A3DB9" w:rsidP="009C0793">
      <w:pPr>
        <w:jc w:val="both"/>
        <w:rPr>
          <w:rFonts w:ascii="Book Antiqua" w:hAnsi="Book Antiqua"/>
          <w:b/>
        </w:rPr>
      </w:pPr>
    </w:p>
    <w:p w14:paraId="40102107" w14:textId="77777777" w:rsidR="00C57EEC" w:rsidRPr="00E3232D" w:rsidRDefault="00C57EEC" w:rsidP="009C0793">
      <w:pPr>
        <w:jc w:val="both"/>
        <w:rPr>
          <w:rFonts w:ascii="Book Antiqua" w:hAnsi="Book Antiqua"/>
          <w:b/>
        </w:rPr>
      </w:pPr>
      <w:r w:rsidRPr="00E3232D">
        <w:rPr>
          <w:rFonts w:ascii="Book Antiqua" w:hAnsi="Book Antiqua"/>
          <w:b/>
        </w:rPr>
        <w:t xml:space="preserve"> </w:t>
      </w:r>
      <w:r w:rsidR="009C0793">
        <w:rPr>
          <w:rFonts w:ascii="Book Antiqua" w:hAnsi="Book Antiqua"/>
          <w:b/>
        </w:rPr>
        <w:t xml:space="preserve">1.1 </w:t>
      </w:r>
      <w:r w:rsidRPr="00E3232D">
        <w:rPr>
          <w:rFonts w:ascii="Book Antiqua" w:hAnsi="Book Antiqua"/>
          <w:b/>
        </w:rPr>
        <w:t xml:space="preserve">Types of </w:t>
      </w:r>
      <w:r w:rsidR="009C0793" w:rsidRPr="00E3232D">
        <w:rPr>
          <w:rFonts w:ascii="Book Antiqua" w:hAnsi="Book Antiqua"/>
          <w:b/>
        </w:rPr>
        <w:t xml:space="preserve">Intellectual Property Rights </w:t>
      </w:r>
    </w:p>
    <w:p w14:paraId="45CFE87A" w14:textId="77777777" w:rsidR="00C57EEC" w:rsidRPr="00E3232D" w:rsidRDefault="00C57EEC" w:rsidP="009C0793">
      <w:pPr>
        <w:jc w:val="both"/>
        <w:rPr>
          <w:rFonts w:ascii="Book Antiqua" w:hAnsi="Book Antiqua"/>
        </w:rPr>
      </w:pPr>
      <w:r w:rsidRPr="00E3232D">
        <w:rPr>
          <w:rFonts w:ascii="Book Antiqua" w:hAnsi="Book Antiqua"/>
        </w:rPr>
        <w:t xml:space="preserve">Intellectual property is broadly categorised into two pillars, i.e. industrial property and copyright. Other forms have been developed and established either as subsets of previously existing types of IP or as new types. The current categories of IP are those defined by the World Intellectual Property Organization (WIPO). WIPO is one of the specialised agencies of the United Nations (UN) systems of organization. Its mission is to promote, through international cooperation, the creation, dissemination, use and protection of works of the human mind for economic, cultural and social progress of all mankind (WIPO, 2004). </w:t>
      </w:r>
    </w:p>
    <w:p w14:paraId="54166F7A" w14:textId="77777777" w:rsidR="00C57EEC" w:rsidRPr="00E3232D" w:rsidRDefault="00C57EEC" w:rsidP="009C0793">
      <w:pPr>
        <w:jc w:val="both"/>
        <w:rPr>
          <w:rFonts w:ascii="Book Antiqua" w:hAnsi="Book Antiqua"/>
        </w:rPr>
      </w:pPr>
      <w:r w:rsidRPr="00E3232D">
        <w:rPr>
          <w:rFonts w:ascii="Book Antiqua" w:hAnsi="Book Antiqua"/>
        </w:rPr>
        <w:t>The convention establishing WIPO in 1967 stipulates that IP shall include rights relating to the following:</w:t>
      </w:r>
    </w:p>
    <w:p w14:paraId="7BBF8F62" w14:textId="77777777" w:rsidR="00C57EEC" w:rsidRPr="00E3232D" w:rsidRDefault="00C57EEC" w:rsidP="009C0793">
      <w:pPr>
        <w:pStyle w:val="ListParagraph"/>
        <w:numPr>
          <w:ilvl w:val="0"/>
          <w:numId w:val="128"/>
        </w:numPr>
        <w:jc w:val="both"/>
        <w:rPr>
          <w:rFonts w:ascii="Book Antiqua" w:hAnsi="Book Antiqua"/>
        </w:rPr>
      </w:pPr>
      <w:r w:rsidRPr="00E3232D">
        <w:rPr>
          <w:rFonts w:ascii="Book Antiqua" w:hAnsi="Book Antiqua"/>
        </w:rPr>
        <w:t>Literary, artistic and scientific works</w:t>
      </w:r>
    </w:p>
    <w:p w14:paraId="7EEC8A4C" w14:textId="77777777" w:rsidR="00C57EEC" w:rsidRPr="00E3232D" w:rsidRDefault="00C57EEC" w:rsidP="009C0793">
      <w:pPr>
        <w:pStyle w:val="ListParagraph"/>
        <w:numPr>
          <w:ilvl w:val="0"/>
          <w:numId w:val="128"/>
        </w:numPr>
        <w:jc w:val="both"/>
        <w:rPr>
          <w:rFonts w:ascii="Book Antiqua" w:hAnsi="Book Antiqua"/>
        </w:rPr>
      </w:pPr>
      <w:r w:rsidRPr="00E3232D">
        <w:rPr>
          <w:rFonts w:ascii="Book Antiqua" w:hAnsi="Book Antiqua"/>
        </w:rPr>
        <w:t>Performances of performing artists, phonograms, and broadcasts</w:t>
      </w:r>
    </w:p>
    <w:p w14:paraId="538294CC" w14:textId="77777777" w:rsidR="00C57EEC" w:rsidRPr="00E3232D" w:rsidRDefault="00C57EEC" w:rsidP="009C0793">
      <w:pPr>
        <w:pStyle w:val="ListParagraph"/>
        <w:numPr>
          <w:ilvl w:val="0"/>
          <w:numId w:val="128"/>
        </w:numPr>
        <w:jc w:val="both"/>
        <w:rPr>
          <w:rFonts w:ascii="Book Antiqua" w:hAnsi="Book Antiqua"/>
        </w:rPr>
      </w:pPr>
      <w:r w:rsidRPr="00E3232D">
        <w:rPr>
          <w:rFonts w:ascii="Book Antiqua" w:hAnsi="Book Antiqua"/>
        </w:rPr>
        <w:t>Inventions in all fields of human endeavour</w:t>
      </w:r>
    </w:p>
    <w:p w14:paraId="53933471" w14:textId="77777777" w:rsidR="00C57EEC" w:rsidRPr="00E3232D" w:rsidRDefault="00C57EEC" w:rsidP="009C0793">
      <w:pPr>
        <w:pStyle w:val="ListParagraph"/>
        <w:numPr>
          <w:ilvl w:val="0"/>
          <w:numId w:val="128"/>
        </w:numPr>
        <w:jc w:val="both"/>
        <w:rPr>
          <w:rFonts w:ascii="Book Antiqua" w:hAnsi="Book Antiqua"/>
        </w:rPr>
      </w:pPr>
      <w:r w:rsidRPr="00E3232D">
        <w:rPr>
          <w:rFonts w:ascii="Book Antiqua" w:hAnsi="Book Antiqua"/>
        </w:rPr>
        <w:t>Scientific discoveries</w:t>
      </w:r>
    </w:p>
    <w:p w14:paraId="514FC730" w14:textId="77777777" w:rsidR="00C57EEC" w:rsidRPr="00E3232D" w:rsidRDefault="00C57EEC" w:rsidP="009C0793">
      <w:pPr>
        <w:pStyle w:val="ListParagraph"/>
        <w:numPr>
          <w:ilvl w:val="0"/>
          <w:numId w:val="128"/>
        </w:numPr>
        <w:jc w:val="both"/>
        <w:rPr>
          <w:rFonts w:ascii="Book Antiqua" w:hAnsi="Book Antiqua"/>
        </w:rPr>
      </w:pPr>
      <w:r w:rsidRPr="00E3232D">
        <w:rPr>
          <w:rFonts w:ascii="Book Antiqua" w:hAnsi="Book Antiqua"/>
        </w:rPr>
        <w:t>Industrial designs</w:t>
      </w:r>
    </w:p>
    <w:p w14:paraId="7C996B1A" w14:textId="77777777" w:rsidR="00C57EEC" w:rsidRPr="00E3232D" w:rsidRDefault="00C57EEC" w:rsidP="009C0793">
      <w:pPr>
        <w:pStyle w:val="ListParagraph"/>
        <w:numPr>
          <w:ilvl w:val="0"/>
          <w:numId w:val="128"/>
        </w:numPr>
        <w:jc w:val="both"/>
        <w:rPr>
          <w:rFonts w:ascii="Book Antiqua" w:hAnsi="Book Antiqua"/>
        </w:rPr>
      </w:pPr>
      <w:r w:rsidRPr="00E3232D">
        <w:rPr>
          <w:rFonts w:ascii="Book Antiqua" w:hAnsi="Book Antiqua"/>
        </w:rPr>
        <w:t>Marks, and commercial names and designations</w:t>
      </w:r>
    </w:p>
    <w:p w14:paraId="24AECF84" w14:textId="77777777" w:rsidR="00C57EEC" w:rsidRPr="00E3232D" w:rsidRDefault="00C57EEC" w:rsidP="009C0793">
      <w:pPr>
        <w:pStyle w:val="ListParagraph"/>
        <w:numPr>
          <w:ilvl w:val="0"/>
          <w:numId w:val="128"/>
        </w:numPr>
        <w:jc w:val="both"/>
        <w:rPr>
          <w:rFonts w:ascii="Book Antiqua" w:hAnsi="Book Antiqua"/>
        </w:rPr>
      </w:pPr>
      <w:r w:rsidRPr="00E3232D">
        <w:rPr>
          <w:rFonts w:ascii="Book Antiqua" w:hAnsi="Book Antiqua"/>
        </w:rPr>
        <w:t>Protection against unfair completion</w:t>
      </w:r>
    </w:p>
    <w:p w14:paraId="615BB339" w14:textId="77777777" w:rsidR="00C57EEC" w:rsidRPr="00E3232D" w:rsidRDefault="00C57EEC" w:rsidP="009C0793">
      <w:pPr>
        <w:pStyle w:val="ListParagraph"/>
        <w:numPr>
          <w:ilvl w:val="0"/>
          <w:numId w:val="128"/>
        </w:numPr>
        <w:jc w:val="both"/>
        <w:rPr>
          <w:rFonts w:ascii="Book Antiqua" w:hAnsi="Book Antiqua"/>
        </w:rPr>
      </w:pPr>
      <w:r w:rsidRPr="00E3232D">
        <w:rPr>
          <w:rFonts w:ascii="Book Antiqua" w:hAnsi="Book Antiqua"/>
        </w:rPr>
        <w:t xml:space="preserve">All other rights resulting from intellectual activity in the industrial, scientific literary and artistic fields. </w:t>
      </w:r>
    </w:p>
    <w:p w14:paraId="15F77B5C" w14:textId="77777777" w:rsidR="00C57EEC" w:rsidRPr="00E3232D" w:rsidRDefault="00C57EEC" w:rsidP="009C0793">
      <w:pPr>
        <w:jc w:val="both"/>
        <w:rPr>
          <w:rFonts w:ascii="Book Antiqua" w:hAnsi="Book Antiqua"/>
        </w:rPr>
      </w:pPr>
      <w:r w:rsidRPr="00E3232D">
        <w:rPr>
          <w:rFonts w:ascii="Book Antiqua" w:hAnsi="Book Antiqua"/>
        </w:rPr>
        <w:t>The areas mentioned as literary, artistic and scientific works belong to the copyright branch of intellectual property whiles the areas mentioned as inventions, industrial designs, trademarks, service marks and commercial names and designations constitute the industrial property branch of intellectual property.Some forms of IP are patents, trademarks, copyright, industrial designs, geographical indications and plant breeders’ rights (plant varieties protection)</w:t>
      </w:r>
    </w:p>
    <w:p w14:paraId="5244303E" w14:textId="77777777" w:rsidR="00C57EEC" w:rsidRPr="00E3232D" w:rsidRDefault="00C57EEC" w:rsidP="009C0793">
      <w:pPr>
        <w:jc w:val="both"/>
        <w:rPr>
          <w:rFonts w:ascii="Book Antiqua" w:hAnsi="Book Antiqua"/>
          <w:b/>
          <w:i/>
          <w:u w:val="single"/>
        </w:rPr>
      </w:pPr>
      <w:r w:rsidRPr="009C0793">
        <w:rPr>
          <w:rFonts w:ascii="Book Antiqua" w:hAnsi="Book Antiqua"/>
          <w:b/>
        </w:rPr>
        <w:t>Patent</w:t>
      </w:r>
    </w:p>
    <w:p w14:paraId="1CFBA0BA" w14:textId="77777777" w:rsidR="00057B43" w:rsidRPr="00057B43" w:rsidRDefault="00C57EEC" w:rsidP="009C0793">
      <w:pPr>
        <w:jc w:val="both"/>
        <w:rPr>
          <w:rFonts w:ascii="Book Antiqua" w:hAnsi="Book Antiqua"/>
          <w:u w:val="single"/>
        </w:rPr>
      </w:pPr>
      <w:r w:rsidRPr="00E3232D">
        <w:rPr>
          <w:rFonts w:ascii="Book Antiqua" w:hAnsi="Book Antiqua"/>
        </w:rPr>
        <w:t>A patent is an exclusive right granted for an invention.  An invention may be a product or a process that provides a new way of doing something or offers a new technical solution to a problem. The invention must fall within technologies that can be patented, (patentable subject matter) it must be new, useful and non-obvious (Idris, 2003; WIPO, 2004).A patent owner has the right to decide who may or may not use the patented invention, and may give permission to or licenceother parties to use the invention on mutually agreed terms.Patent provides protection for the invention for a limited period, generally 20 years from the filing date, in the country or countries in which it is patented.  In exchange the inventor publicly declares the invention in a detail description as possible. It is important to note that the country or countries that grant the patent right do not automatically enforce them and it is the responsibility of the patent owner to bring an action, usually under civil law, for any infringements of his patent rights.  Once a patent expires, the protection ends and the invention may be used by anyone.</w:t>
      </w:r>
    </w:p>
    <w:p w14:paraId="7C51D01D" w14:textId="77777777" w:rsidR="00057B43" w:rsidRPr="009C0793" w:rsidRDefault="00C57EEC" w:rsidP="009C0793">
      <w:pPr>
        <w:jc w:val="both"/>
        <w:rPr>
          <w:rFonts w:ascii="Book Antiqua" w:hAnsi="Book Antiqua"/>
          <w:b/>
        </w:rPr>
      </w:pPr>
      <w:r w:rsidRPr="009C0793">
        <w:rPr>
          <w:rFonts w:ascii="Book Antiqua" w:hAnsi="Book Antiqua"/>
          <w:b/>
        </w:rPr>
        <w:t xml:space="preserve">Trademark </w:t>
      </w:r>
    </w:p>
    <w:p w14:paraId="69A9F2DA" w14:textId="77777777" w:rsidR="00C57EEC" w:rsidRPr="00057B43" w:rsidRDefault="00C57EEC" w:rsidP="009C0793">
      <w:pPr>
        <w:jc w:val="both"/>
        <w:rPr>
          <w:rFonts w:ascii="Book Antiqua" w:hAnsi="Book Antiqua"/>
          <w:b/>
          <w:i/>
          <w:u w:val="single"/>
        </w:rPr>
      </w:pPr>
      <w:r w:rsidRPr="00E3232D">
        <w:rPr>
          <w:rFonts w:ascii="Book Antiqua" w:hAnsi="Book Antiqua"/>
        </w:rPr>
        <w:t>A trade mark or “mark” is a distinctive name, logo or sign that identifies the source of goods or services.  In a competitive environment, goods and services differ in quality, price and other characteristics.Trademarks help consumers distinguish a product or service from one source from those produce byanother source.By enabling consumers to make their own choices between competing goods available on the market, trademarks encourage their owners to maintain and improve the quality of the products sold under the trademark, in order to meet consumers’ expectations.Thus trademarks reward the manufacturer who constantly produces high quality goods, and as a result they stimulate economic growth. Trademarks may include company names, slogans, drawings, symbols or coloured marks.Trademark must be distinctive, must not mislead the consumer and must not violate public order or morality (WIPO, 2004).</w:t>
      </w:r>
    </w:p>
    <w:p w14:paraId="37D67B06" w14:textId="77777777" w:rsidR="002A3DB9" w:rsidRPr="009C0793" w:rsidRDefault="002A3DB9" w:rsidP="009C0793">
      <w:pPr>
        <w:jc w:val="both"/>
        <w:rPr>
          <w:rFonts w:ascii="Book Antiqua" w:hAnsi="Book Antiqua"/>
          <w:b/>
        </w:rPr>
      </w:pPr>
    </w:p>
    <w:p w14:paraId="3A3A6940" w14:textId="77777777" w:rsidR="00C57EEC" w:rsidRPr="009C0793" w:rsidRDefault="009C0793" w:rsidP="009C0793">
      <w:pPr>
        <w:jc w:val="both"/>
        <w:rPr>
          <w:rFonts w:ascii="Book Antiqua" w:hAnsi="Book Antiqua"/>
          <w:b/>
        </w:rPr>
      </w:pPr>
      <w:r w:rsidRPr="009C0793">
        <w:rPr>
          <w:rFonts w:ascii="Book Antiqua" w:hAnsi="Book Antiqua"/>
          <w:b/>
        </w:rPr>
        <w:t xml:space="preserve">1.2 </w:t>
      </w:r>
      <w:r w:rsidR="00C57EEC" w:rsidRPr="009C0793">
        <w:rPr>
          <w:rFonts w:ascii="Book Antiqua" w:hAnsi="Book Antiqua"/>
          <w:b/>
        </w:rPr>
        <w:t xml:space="preserve">Copyright and </w:t>
      </w:r>
      <w:r w:rsidRPr="009C0793">
        <w:rPr>
          <w:rFonts w:ascii="Book Antiqua" w:hAnsi="Book Antiqua"/>
          <w:b/>
        </w:rPr>
        <w:t>Related Rights</w:t>
      </w:r>
    </w:p>
    <w:p w14:paraId="6DE48E72" w14:textId="77777777" w:rsidR="00C57EEC" w:rsidRPr="00E3232D" w:rsidRDefault="00C57EEC" w:rsidP="009C0793">
      <w:pPr>
        <w:jc w:val="both"/>
        <w:rPr>
          <w:rFonts w:ascii="Book Antiqua" w:hAnsi="Book Antiqua"/>
        </w:rPr>
      </w:pPr>
      <w:r w:rsidRPr="00E3232D">
        <w:rPr>
          <w:rFonts w:ascii="Book Antiqua" w:hAnsi="Book Antiqua"/>
        </w:rPr>
        <w:t xml:space="preserve">Copyright applies to many different types of artistic works, including paintings, music, poems, plays, books architecture and choreography, as well as works that are generally not considered artistic such as computer software, maps and technical drawings. Related rights are rights that have evolved around copyright and include the right of a performer in his/her performance, the right of a producer of a sound recording in the recording and the right of a broadcaster in a broadcast (WIPO, 2004; Chawla, 2007). Many creative works protected by copyright generally requires mass distribution, communication and financial investment for their dissemination.  Examples are publications, sound recordings and films.  Hence, creators often sell the rights to their works to individuals or companies that can package, market, and distribute the works in return for payment.  Such payments may be lump sum or royalties.  The time limit allowed for copyright, according to the relevant WIPO Treaty, is the life time of the author plus 50 years after the author’s death. In some countries, that term has been extended to 70 years (Idris, 2003). </w:t>
      </w:r>
    </w:p>
    <w:p w14:paraId="74398F37" w14:textId="77777777" w:rsidR="00C57EEC" w:rsidRPr="00E3232D" w:rsidRDefault="00C57EEC" w:rsidP="009C0793">
      <w:pPr>
        <w:jc w:val="both"/>
        <w:rPr>
          <w:rFonts w:ascii="Book Antiqua" w:hAnsi="Book Antiqua"/>
        </w:rPr>
      </w:pPr>
      <w:r w:rsidRPr="00E3232D">
        <w:rPr>
          <w:rFonts w:ascii="Book Antiqua" w:hAnsi="Book Antiqua"/>
        </w:rPr>
        <w:t xml:space="preserve">In </w:t>
      </w:r>
      <w:r w:rsidR="002A3DB9">
        <w:rPr>
          <w:rFonts w:ascii="Book Antiqua" w:hAnsi="Book Antiqua"/>
        </w:rPr>
        <w:t>Ghana</w:t>
      </w:r>
      <w:r w:rsidRPr="00E3232D">
        <w:rPr>
          <w:rFonts w:ascii="Book Antiqua" w:hAnsi="Book Antiqua"/>
        </w:rPr>
        <w:t xml:space="preserve"> the</w:t>
      </w:r>
      <w:r w:rsidR="002A3DB9">
        <w:rPr>
          <w:rFonts w:ascii="Book Antiqua" w:hAnsi="Book Antiqua"/>
        </w:rPr>
        <w:t xml:space="preserve"> Copyright </w:t>
      </w:r>
      <w:r w:rsidRPr="00E3232D">
        <w:rPr>
          <w:rFonts w:ascii="Book Antiqua" w:hAnsi="Book Antiqua"/>
        </w:rPr>
        <w:t>Act, 2005, (Act 690)</w:t>
      </w:r>
      <w:r w:rsidR="00A5014C">
        <w:rPr>
          <w:rFonts w:ascii="Book Antiqua" w:hAnsi="Book Antiqua"/>
        </w:rPr>
        <w:t xml:space="preserve"> </w:t>
      </w:r>
      <w:r w:rsidRPr="00E3232D">
        <w:rPr>
          <w:rFonts w:ascii="Book Antiqua" w:hAnsi="Book Antiqua"/>
        </w:rPr>
        <w:t>provides protection for a bundle of rights , the enjoyment of which prevents the unauthorised use or exploitation of other’s creative works. The</w:t>
      </w:r>
      <w:r w:rsidR="002A3DB9">
        <w:rPr>
          <w:rFonts w:ascii="Book Antiqua" w:hAnsi="Book Antiqua"/>
        </w:rPr>
        <w:t xml:space="preserve"> said rights exist in two forms</w:t>
      </w:r>
      <w:r w:rsidRPr="00E3232D">
        <w:rPr>
          <w:rFonts w:ascii="Book Antiqua" w:hAnsi="Book Antiqua"/>
        </w:rPr>
        <w:t xml:space="preserve">: economic and moral rights.  The economic rights enable the author of a work to enjoy the pecuniary benefits of the author’s creative endeavours so they can lead a dignified economic life, the moral rights protection reflects a belief that the author’s creation is an extension of the </w:t>
      </w:r>
      <w:r w:rsidR="002A3DB9" w:rsidRPr="00E3232D">
        <w:rPr>
          <w:rFonts w:ascii="Book Antiqua" w:hAnsi="Book Antiqua"/>
        </w:rPr>
        <w:t>authors’</w:t>
      </w:r>
      <w:r w:rsidRPr="00E3232D">
        <w:rPr>
          <w:rFonts w:ascii="Book Antiqua" w:hAnsi="Book Antiqua"/>
        </w:rPr>
        <w:t xml:space="preserve"> personality and as such the aut</w:t>
      </w:r>
      <w:r w:rsidR="002A3DB9">
        <w:rPr>
          <w:rFonts w:ascii="Book Antiqua" w:hAnsi="Book Antiqua"/>
        </w:rPr>
        <w:t xml:space="preserve">hor can control how the public </w:t>
      </w:r>
      <w:r w:rsidRPr="00E3232D">
        <w:rPr>
          <w:rFonts w:ascii="Book Antiqua" w:hAnsi="Book Antiqua"/>
        </w:rPr>
        <w:t>view such work. This protection fulfils a decisive role i</w:t>
      </w:r>
      <w:r w:rsidR="002A3DB9">
        <w:rPr>
          <w:rFonts w:ascii="Book Antiqua" w:hAnsi="Book Antiqua"/>
        </w:rPr>
        <w:t>n articulating the contribution</w:t>
      </w:r>
      <w:r w:rsidRPr="00E3232D">
        <w:rPr>
          <w:rFonts w:ascii="Book Antiqua" w:hAnsi="Book Antiqua"/>
        </w:rPr>
        <w:t xml:space="preserve"> and ri</w:t>
      </w:r>
      <w:r w:rsidR="002A3DB9">
        <w:rPr>
          <w:rFonts w:ascii="Book Antiqua" w:hAnsi="Book Antiqua"/>
        </w:rPr>
        <w:t xml:space="preserve">ghts of different stakeholders </w:t>
      </w:r>
      <w:r w:rsidRPr="00E3232D">
        <w:rPr>
          <w:rFonts w:ascii="Book Antiqua" w:hAnsi="Book Antiqua"/>
        </w:rPr>
        <w:t>and the relation between authors and the general public.. Unlike other IP rights which are granted upon application by the applicant copyright is automatically acquiredthe moment the work is created.H</w:t>
      </w:r>
      <w:r w:rsidR="00A5014C">
        <w:rPr>
          <w:rFonts w:ascii="Book Antiqua" w:hAnsi="Book Antiqua"/>
        </w:rPr>
        <w:t xml:space="preserve">owever in, some countries such </w:t>
      </w:r>
      <w:r w:rsidRPr="00E3232D">
        <w:rPr>
          <w:rFonts w:ascii="Book Antiqua" w:hAnsi="Book Antiqua"/>
        </w:rPr>
        <w:t>as</w:t>
      </w:r>
      <w:r w:rsidR="002A3DB9">
        <w:rPr>
          <w:rFonts w:ascii="Book Antiqua" w:hAnsi="Book Antiqua"/>
        </w:rPr>
        <w:t xml:space="preserve"> </w:t>
      </w:r>
      <w:r w:rsidRPr="00E3232D">
        <w:rPr>
          <w:rFonts w:ascii="Book Antiqua" w:hAnsi="Book Antiqua"/>
        </w:rPr>
        <w:t>Ghana, the law provides an optional opportunity for copyright holders to obtain registration for evidentiary purposes.</w:t>
      </w:r>
    </w:p>
    <w:p w14:paraId="5F382F15" w14:textId="77777777" w:rsidR="00C57EEC" w:rsidRPr="009C0793" w:rsidRDefault="00EB2A77" w:rsidP="009C0793">
      <w:pPr>
        <w:jc w:val="both"/>
        <w:rPr>
          <w:rFonts w:ascii="Book Antiqua" w:hAnsi="Book Antiqua"/>
          <w:b/>
        </w:rPr>
      </w:pPr>
      <w:r>
        <w:rPr>
          <w:rFonts w:ascii="Book Antiqua" w:hAnsi="Book Antiqua"/>
          <w:b/>
        </w:rPr>
        <w:t xml:space="preserve">1.3 </w:t>
      </w:r>
      <w:r w:rsidR="00C57EEC" w:rsidRPr="009C0793">
        <w:rPr>
          <w:rFonts w:ascii="Book Antiqua" w:hAnsi="Book Antiqua"/>
          <w:b/>
        </w:rPr>
        <w:t xml:space="preserve">Industrial </w:t>
      </w:r>
      <w:r w:rsidR="009C0793" w:rsidRPr="009C0793">
        <w:rPr>
          <w:rFonts w:ascii="Book Antiqua" w:hAnsi="Book Antiqua"/>
          <w:b/>
        </w:rPr>
        <w:t>Designs</w:t>
      </w:r>
    </w:p>
    <w:p w14:paraId="09732D72" w14:textId="77777777" w:rsidR="00057B43" w:rsidRPr="009C0793" w:rsidRDefault="00C57EEC" w:rsidP="009C0793">
      <w:pPr>
        <w:jc w:val="both"/>
        <w:rPr>
          <w:rFonts w:ascii="Book Antiqua" w:hAnsi="Book Antiqua"/>
        </w:rPr>
      </w:pPr>
      <w:r w:rsidRPr="00E3232D">
        <w:rPr>
          <w:rFonts w:ascii="Book Antiqua" w:hAnsi="Book Antiqua"/>
        </w:rPr>
        <w:t xml:space="preserve">Industrial designs refers to the creative activity of achieving a formal or ornamental appearance for mass-produced items that satisfies both the need for the item to appeal visually to potential consumers.Visual appeal is one of the considerations of consumers to prefer one product over another particularly in areas where a range of products perform the same function. A legal protection of industrial designs protects the distinctive elements of the aesthetic appeal by which manufacturers achieve market success. </w:t>
      </w:r>
    </w:p>
    <w:p w14:paraId="22A328B6" w14:textId="77777777" w:rsidR="00C57EEC" w:rsidRPr="009C0793" w:rsidRDefault="00EB2A77" w:rsidP="009C0793">
      <w:pPr>
        <w:jc w:val="both"/>
        <w:rPr>
          <w:rFonts w:ascii="Book Antiqua" w:hAnsi="Book Antiqua"/>
          <w:b/>
        </w:rPr>
      </w:pPr>
      <w:r>
        <w:rPr>
          <w:rFonts w:ascii="Book Antiqua" w:hAnsi="Book Antiqua"/>
          <w:b/>
        </w:rPr>
        <w:t xml:space="preserve">1.4 </w:t>
      </w:r>
      <w:r w:rsidR="00C57EEC" w:rsidRPr="009C0793">
        <w:rPr>
          <w:rFonts w:ascii="Book Antiqua" w:hAnsi="Book Antiqua"/>
          <w:b/>
        </w:rPr>
        <w:t xml:space="preserve">Geographical </w:t>
      </w:r>
      <w:r w:rsidR="009C0793" w:rsidRPr="009C0793">
        <w:rPr>
          <w:rFonts w:ascii="Book Antiqua" w:hAnsi="Book Antiqua"/>
          <w:b/>
        </w:rPr>
        <w:t>Indications</w:t>
      </w:r>
    </w:p>
    <w:p w14:paraId="685D8DBB" w14:textId="77777777" w:rsidR="002A3DB9" w:rsidRPr="009C0793" w:rsidRDefault="00C57EEC" w:rsidP="009C0793">
      <w:pPr>
        <w:jc w:val="both"/>
        <w:rPr>
          <w:rFonts w:ascii="Book Antiqua" w:hAnsi="Book Antiqua"/>
        </w:rPr>
      </w:pPr>
      <w:r w:rsidRPr="00E3232D">
        <w:rPr>
          <w:rFonts w:ascii="Book Antiqua" w:hAnsi="Book Antiqua"/>
        </w:rPr>
        <w:t xml:space="preserve">A geographical indication, like trademark, communicates a message. It tells potential buyers that a product is produced in a particular place and has certain desirable characteristics that are only found in that place. A legally recognised geographical indication has the effect of giving the regional or local producers an exclusive right to use the indication in the countries which are bound by the relevant bilateral, regional or multilateral agreements. </w:t>
      </w:r>
    </w:p>
    <w:p w14:paraId="681320F0" w14:textId="77777777" w:rsidR="00C57EEC" w:rsidRPr="009C0793" w:rsidRDefault="00EB2A77" w:rsidP="00EB2A77">
      <w:pPr>
        <w:ind w:left="360" w:hanging="360"/>
        <w:jc w:val="both"/>
        <w:rPr>
          <w:rFonts w:ascii="Book Antiqua" w:hAnsi="Book Antiqua"/>
          <w:b/>
        </w:rPr>
      </w:pPr>
      <w:r>
        <w:rPr>
          <w:rFonts w:ascii="Book Antiqua" w:hAnsi="Book Antiqua"/>
          <w:b/>
        </w:rPr>
        <w:t xml:space="preserve">1.5 </w:t>
      </w:r>
      <w:r w:rsidR="00C57EEC" w:rsidRPr="009C0793">
        <w:rPr>
          <w:rFonts w:ascii="Book Antiqua" w:hAnsi="Book Antiqua"/>
          <w:b/>
        </w:rPr>
        <w:t xml:space="preserve">Plant Breeders’ Rights (Plant </w:t>
      </w:r>
      <w:r w:rsidRPr="009C0793">
        <w:rPr>
          <w:rFonts w:ascii="Book Antiqua" w:hAnsi="Book Antiqua"/>
          <w:b/>
        </w:rPr>
        <w:t>Varieties Protection</w:t>
      </w:r>
      <w:r w:rsidR="00C57EEC" w:rsidRPr="009C0793">
        <w:rPr>
          <w:rFonts w:ascii="Book Antiqua" w:hAnsi="Book Antiqua"/>
          <w:b/>
        </w:rPr>
        <w:t>)</w:t>
      </w:r>
    </w:p>
    <w:p w14:paraId="40E38781" w14:textId="77777777" w:rsidR="00057B43" w:rsidRDefault="00C57EEC" w:rsidP="009C0793">
      <w:pPr>
        <w:jc w:val="both"/>
        <w:rPr>
          <w:rFonts w:ascii="Book Antiqua" w:hAnsi="Book Antiqua"/>
        </w:rPr>
      </w:pPr>
      <w:r w:rsidRPr="00E3232D">
        <w:rPr>
          <w:rFonts w:ascii="Book Antiqua" w:hAnsi="Book Antiqua"/>
        </w:rPr>
        <w:t>Plant breeders’ right is one of the rights that are not mentioned “per se” in any of the categories of IP defined by the Convention establishing WIPO. The International Convention for the Protection of New Varieties of Plants (the Convention) was established in 1961 and revised in 1972, 1978 and 1991 (WIPO, 2004). The Convention established the International Union for the Protection of New Varieties of Plants (UPOV)in 1991.The name “UPOV” is an acronym derived from the French translation of same words. UPOV is a</w:t>
      </w:r>
      <w:r w:rsidR="002A3DB9">
        <w:rPr>
          <w:rFonts w:ascii="Book Antiqua" w:hAnsi="Book Antiqua"/>
        </w:rPr>
        <w:t xml:space="preserve">n independent intergovernmental </w:t>
      </w:r>
      <w:r w:rsidRPr="00E3232D">
        <w:rPr>
          <w:rFonts w:ascii="Book Antiqua" w:hAnsi="Book Antiqua"/>
        </w:rPr>
        <w:t>organization with the mission to provide and promote an effective system of plant variety protection, with the aim of encouraging the development of new varieties of plants, for the benefit of society. As the world’s population continues to grow and arable land and other resources become scarce, there is the need to increase agricultural productivity (i.e. increase yields and quality using less input). It is therefore mandatory to develop plant varieties that are high-yielding, resistant to pests and diseases, adapted to local climate and have consumer-preferred characteristics. This is the responsibility of the plant breeder. Plant breeding requires long term investment and efforts which entrepreneurs are most often not prepared to sponsor in the absence of protection. Protection of new plant varieties will encourage investment in plant breeding. Plant breeders’ rights seek to grant breeders exclusive right to the varieties they develop. Criteria for granting breeders’ right are novelty of the new variety, distinctiveness, uniformity and stability (DUS). Breeders’ rights are granted for 25 years for trees and vines and 20 years for other plants. Ghana is in the process of acceding to UPOV once the law for plant breeders’ protection is developed. Ghana’s Plant Breeders’ Bill is currently before parliament (since 2002) for approval.</w:t>
      </w:r>
    </w:p>
    <w:p w14:paraId="73D2446A" w14:textId="77777777" w:rsidR="00C57EEC" w:rsidRPr="009C0793" w:rsidRDefault="00EB2A77" w:rsidP="009C0793">
      <w:pPr>
        <w:jc w:val="both"/>
        <w:rPr>
          <w:rFonts w:ascii="Book Antiqua" w:hAnsi="Book Antiqua"/>
        </w:rPr>
      </w:pPr>
      <w:r>
        <w:rPr>
          <w:rFonts w:ascii="Book Antiqua" w:hAnsi="Book Antiqua"/>
          <w:b/>
        </w:rPr>
        <w:t xml:space="preserve">1.6 </w:t>
      </w:r>
      <w:r w:rsidR="00C57EEC" w:rsidRPr="009C0793">
        <w:rPr>
          <w:rFonts w:ascii="Book Antiqua" w:hAnsi="Book Antiqua"/>
          <w:b/>
        </w:rPr>
        <w:t xml:space="preserve">Other </w:t>
      </w:r>
      <w:r w:rsidR="009C0793" w:rsidRPr="009C0793">
        <w:rPr>
          <w:rFonts w:ascii="Book Antiqua" w:hAnsi="Book Antiqua"/>
          <w:b/>
        </w:rPr>
        <w:t>Rights</w:t>
      </w:r>
    </w:p>
    <w:p w14:paraId="64978D91" w14:textId="77777777" w:rsidR="00393929" w:rsidRPr="00EB2A77" w:rsidRDefault="00C57EEC" w:rsidP="009C0793">
      <w:pPr>
        <w:jc w:val="both"/>
        <w:rPr>
          <w:rFonts w:ascii="Book Antiqua" w:hAnsi="Book Antiqua"/>
        </w:rPr>
      </w:pPr>
      <w:r w:rsidRPr="00E3232D">
        <w:rPr>
          <w:rFonts w:ascii="Book Antiqua" w:hAnsi="Book Antiqua"/>
          <w:i/>
        </w:rPr>
        <w:t>Traditional knowledge, folklore and genetic resources:</w:t>
      </w:r>
      <w:r w:rsidRPr="00E3232D">
        <w:rPr>
          <w:rFonts w:ascii="Book Antiqua" w:hAnsi="Book Antiqua"/>
        </w:rPr>
        <w:t xml:space="preserve"> Traditional knowledge may also be referred to as indigenous culture, customary heritage rights. Traditional knowledge tradition-based innovations and creations resulting from intellectual activity in the industrial scientific, literary or artistic fields. Traditional knowledge is generally transmitted from generation to generation. Traditional knowledge can be associated with certain genetic resources. With the emergence of biotechnology genetic resources have assumed increasing economic, scientific and commercial value. Other tradition-based creations such as the expression of folklore, have also taken on new economic and cultural significance (Idris, 2003).</w:t>
      </w:r>
    </w:p>
    <w:p w14:paraId="251EE5A5" w14:textId="77777777" w:rsidR="00C57EEC" w:rsidRPr="00E3232D" w:rsidRDefault="00EB2A77" w:rsidP="00EB2A77">
      <w:pPr>
        <w:ind w:left="450" w:hanging="450"/>
        <w:jc w:val="both"/>
        <w:rPr>
          <w:rFonts w:ascii="Book Antiqua" w:hAnsi="Book Antiqua"/>
          <w:b/>
        </w:rPr>
      </w:pPr>
      <w:r>
        <w:rPr>
          <w:rFonts w:ascii="Book Antiqua" w:hAnsi="Book Antiqua"/>
          <w:b/>
        </w:rPr>
        <w:t xml:space="preserve">2.0 </w:t>
      </w:r>
      <w:r w:rsidR="00C57EEC" w:rsidRPr="00E3232D">
        <w:rPr>
          <w:rFonts w:ascii="Book Antiqua" w:hAnsi="Book Antiqua"/>
          <w:b/>
        </w:rPr>
        <w:t xml:space="preserve">The </w:t>
      </w:r>
      <w:r w:rsidR="009C0793" w:rsidRPr="00E3232D">
        <w:rPr>
          <w:rFonts w:ascii="Book Antiqua" w:hAnsi="Book Antiqua"/>
          <w:b/>
        </w:rPr>
        <w:t xml:space="preserve">Role </w:t>
      </w:r>
      <w:r w:rsidR="00C57EEC" w:rsidRPr="00E3232D">
        <w:rPr>
          <w:rFonts w:ascii="Book Antiqua" w:hAnsi="Book Antiqua"/>
          <w:b/>
        </w:rPr>
        <w:t xml:space="preserve">of </w:t>
      </w:r>
      <w:r w:rsidR="009C0793" w:rsidRPr="00E3232D">
        <w:rPr>
          <w:rFonts w:ascii="Book Antiqua" w:hAnsi="Book Antiqua"/>
          <w:b/>
        </w:rPr>
        <w:t xml:space="preserve">Intellectual Property Rights </w:t>
      </w:r>
      <w:r w:rsidR="00C57EEC" w:rsidRPr="00E3232D">
        <w:rPr>
          <w:rFonts w:ascii="Book Antiqua" w:hAnsi="Book Antiqua"/>
          <w:b/>
        </w:rPr>
        <w:t xml:space="preserve">in </w:t>
      </w:r>
      <w:r w:rsidR="009C0793" w:rsidRPr="00E3232D">
        <w:rPr>
          <w:rFonts w:ascii="Book Antiqua" w:hAnsi="Book Antiqua"/>
          <w:b/>
        </w:rPr>
        <w:t>Economic Growth</w:t>
      </w:r>
    </w:p>
    <w:p w14:paraId="2D5CA8FC" w14:textId="77777777" w:rsidR="00C57EEC" w:rsidRPr="00E3232D" w:rsidRDefault="00C57EEC" w:rsidP="009C0793">
      <w:pPr>
        <w:jc w:val="both"/>
        <w:rPr>
          <w:rFonts w:ascii="Book Antiqua" w:hAnsi="Book Antiqua"/>
        </w:rPr>
      </w:pPr>
      <w:r w:rsidRPr="00E3232D">
        <w:rPr>
          <w:rFonts w:ascii="Book Antiqua" w:hAnsi="Book Antiqua"/>
        </w:rPr>
        <w:t xml:space="preserve">It is generally agreed that technology and knowledge have played an important role in recent economic growth (Gould and Gruben 1996; Javorcik, 2004; Ciocoiu, 2011). Different theories and models of economic growth, that take into consideration the contribution of technology, have been proposed. These theories may be grouped into two: the exogenous and endogenous growth theories (Idris, 2003). Both theories agree that technology is the engine of growth. The endogenous theory asserts that technological change is included in the new capital stock. In other words, economic growth originates from within the system. Endogenous growth theory focuses on education, on-the-job training and development of new technologies as major factors which determines rate of economic growth of a country. In a competitive environment, research and development (R&amp;D) activities and the accumulation of human capital through education and training play important role in generating long-term growth in per capita. Typically an IP system promotes creativity and inventiveness by offering exclusive ownership rights and reasonable period for recovering R&amp;D costs for the invention. From the exogenous growth model perspective, technological change contributes to increased output while using the same amount of labour and capital. Although this model of economic growth does not indicate the source of the technology, the model holds for externally sourced technology. Both economic growth models see the creation of knowledge and innovation as the major factor for economic growth. In order to encourage people and institutions to create knowledge and innovations effective IP laws must be  enacted, investment in new research must be encouraged as opposed to investment in physical capital accumulation, and lastly accumulation of total human capital should be subsidised. </w:t>
      </w:r>
    </w:p>
    <w:p w14:paraId="56CB8E4F" w14:textId="77777777" w:rsidR="00C57EEC" w:rsidRPr="00E3232D" w:rsidRDefault="00C57EEC" w:rsidP="009C0793">
      <w:pPr>
        <w:jc w:val="both"/>
        <w:rPr>
          <w:rFonts w:ascii="Book Antiqua" w:hAnsi="Book Antiqua"/>
        </w:rPr>
      </w:pPr>
      <w:r w:rsidRPr="00E3232D">
        <w:rPr>
          <w:rFonts w:ascii="Book Antiqua" w:hAnsi="Book Antiqua"/>
        </w:rPr>
        <w:t>An increasing body of evidence suggest that there is a direct link between enhanced IP protection and increase in foreign direct investment (FDI)(Jarvorcik, 2004; Takagi, 2011). Forexample, a steady and steeply rising increase in FDI in India has been evident ever since patent and trademark reform was introduced in the early 1990s (Dolli 2012). The equivalent increase in Brazil is more dramatic, with spectacular growth in FDI following the introduction of a new industrial property law in 1996 which provided patent protection for 20 years as well as pipeline protection for drugs not yet on the market. Another example is Japan where the rate of technological development since 1945 can significantly be associated with intellectual property, in particular the patent system (Idris, 2003). For example, Table 1 shows the effect of copyright industries alone on the growth of national economies of some selected countries.</w:t>
      </w:r>
    </w:p>
    <w:p w14:paraId="5A1F4078" w14:textId="77777777" w:rsidR="00E321D4" w:rsidRPr="00EB2A77" w:rsidRDefault="00C57EEC" w:rsidP="009C0793">
      <w:pPr>
        <w:jc w:val="both"/>
        <w:rPr>
          <w:rFonts w:ascii="Book Antiqua" w:hAnsi="Book Antiqua"/>
          <w:b/>
        </w:rPr>
      </w:pPr>
      <w:r w:rsidRPr="00EB2A77">
        <w:rPr>
          <w:rFonts w:ascii="Book Antiqua" w:hAnsi="Book Antiqua"/>
          <w:b/>
        </w:rPr>
        <w:t>Table 1.Effect of copyrights industries on the growth of national economies.</w:t>
      </w:r>
    </w:p>
    <w:tbl>
      <w:tblPr>
        <w:tblStyle w:val="LightShading1"/>
        <w:tblW w:w="0" w:type="auto"/>
        <w:tblLook w:val="04A0" w:firstRow="1" w:lastRow="0" w:firstColumn="1" w:lastColumn="0" w:noHBand="0" w:noVBand="1"/>
      </w:tblPr>
      <w:tblGrid>
        <w:gridCol w:w="1650"/>
        <w:gridCol w:w="1495"/>
        <w:gridCol w:w="1224"/>
      </w:tblGrid>
      <w:tr w:rsidR="00C57EEC" w:rsidRPr="00D12E59" w14:paraId="369A4679" w14:textId="77777777" w:rsidTr="00EB2A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0" w:type="dxa"/>
            <w:shd w:val="clear" w:color="auto" w:fill="auto"/>
          </w:tcPr>
          <w:p w14:paraId="7BF91847" w14:textId="77777777" w:rsidR="00C57EEC" w:rsidRPr="00D12E59" w:rsidRDefault="00C57EEC" w:rsidP="008D6FB2">
            <w:pPr>
              <w:spacing w:line="240" w:lineRule="auto"/>
              <w:rPr>
                <w:rFonts w:ascii="Book Antiqua" w:hAnsi="Book Antiqua"/>
                <w:b w:val="0"/>
                <w:bCs w:val="0"/>
                <w:color w:val="000080"/>
              </w:rPr>
            </w:pPr>
            <w:r w:rsidRPr="00D12E59">
              <w:rPr>
                <w:rFonts w:ascii="Book Antiqua" w:hAnsi="Book Antiqua"/>
              </w:rPr>
              <w:t>Country</w:t>
            </w:r>
          </w:p>
        </w:tc>
        <w:tc>
          <w:tcPr>
            <w:tcW w:w="1495" w:type="dxa"/>
            <w:shd w:val="clear" w:color="auto" w:fill="auto"/>
          </w:tcPr>
          <w:p w14:paraId="1E255016" w14:textId="77777777" w:rsidR="00C57EEC" w:rsidRPr="00D12E59" w:rsidRDefault="00C57EEC" w:rsidP="008D6FB2">
            <w:pPr>
              <w:spacing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bCs w:val="0"/>
                <w:color w:val="000080"/>
              </w:rPr>
            </w:pPr>
            <w:r w:rsidRPr="00D12E59">
              <w:rPr>
                <w:rFonts w:ascii="Book Antiqua" w:hAnsi="Book Antiqua"/>
              </w:rPr>
              <w:t>% increase in Gross Domestic Product</w:t>
            </w:r>
          </w:p>
        </w:tc>
        <w:tc>
          <w:tcPr>
            <w:tcW w:w="1224" w:type="dxa"/>
            <w:shd w:val="clear" w:color="auto" w:fill="auto"/>
          </w:tcPr>
          <w:p w14:paraId="187E0BE0" w14:textId="77777777" w:rsidR="00C57EEC" w:rsidRPr="00D12E59" w:rsidRDefault="00C57EEC" w:rsidP="008D6FB2">
            <w:pPr>
              <w:spacing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bCs w:val="0"/>
                <w:color w:val="000080"/>
              </w:rPr>
            </w:pPr>
            <w:r w:rsidRPr="00D12E59">
              <w:rPr>
                <w:rFonts w:ascii="Book Antiqua" w:hAnsi="Book Antiqua"/>
              </w:rPr>
              <w:t>Date</w:t>
            </w:r>
          </w:p>
        </w:tc>
      </w:tr>
      <w:tr w:rsidR="00C57EEC" w:rsidRPr="00D12E59" w14:paraId="0A8E407D"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0" w:type="dxa"/>
            <w:shd w:val="clear" w:color="auto" w:fill="auto"/>
          </w:tcPr>
          <w:p w14:paraId="578E6F57" w14:textId="77777777" w:rsidR="00C57EEC" w:rsidRPr="00D12E59" w:rsidRDefault="00C57EEC" w:rsidP="008D6FB2">
            <w:pPr>
              <w:spacing w:line="240" w:lineRule="auto"/>
              <w:rPr>
                <w:rFonts w:ascii="Book Antiqua" w:hAnsi="Book Antiqua"/>
              </w:rPr>
            </w:pPr>
            <w:r w:rsidRPr="00D12E59">
              <w:rPr>
                <w:rFonts w:ascii="Book Antiqua" w:hAnsi="Book Antiqua"/>
              </w:rPr>
              <w:t>Sweden</w:t>
            </w:r>
          </w:p>
          <w:p w14:paraId="0E523F37" w14:textId="77777777" w:rsidR="00C57EEC" w:rsidRPr="00D12E59" w:rsidRDefault="00C57EEC" w:rsidP="008D6FB2">
            <w:pPr>
              <w:spacing w:line="240" w:lineRule="auto"/>
              <w:rPr>
                <w:rFonts w:ascii="Book Antiqua" w:hAnsi="Book Antiqua"/>
              </w:rPr>
            </w:pPr>
            <w:r w:rsidRPr="00D12E59">
              <w:rPr>
                <w:rFonts w:ascii="Book Antiqua" w:hAnsi="Book Antiqua"/>
              </w:rPr>
              <w:t>Netherlands</w:t>
            </w:r>
          </w:p>
          <w:p w14:paraId="044FD5F5" w14:textId="77777777" w:rsidR="00C57EEC" w:rsidRPr="00D12E59" w:rsidRDefault="00C57EEC" w:rsidP="008D6FB2">
            <w:pPr>
              <w:spacing w:line="240" w:lineRule="auto"/>
              <w:rPr>
                <w:rFonts w:ascii="Book Antiqua" w:hAnsi="Book Antiqua"/>
              </w:rPr>
            </w:pPr>
            <w:r w:rsidRPr="00D12E59">
              <w:rPr>
                <w:rFonts w:ascii="Book Antiqua" w:hAnsi="Book Antiqua"/>
              </w:rPr>
              <w:t>USA</w:t>
            </w:r>
          </w:p>
          <w:p w14:paraId="05CFDB98" w14:textId="77777777" w:rsidR="00C57EEC" w:rsidRPr="00D12E59" w:rsidRDefault="00C57EEC" w:rsidP="008D6FB2">
            <w:pPr>
              <w:spacing w:line="240" w:lineRule="auto"/>
              <w:rPr>
                <w:rFonts w:ascii="Book Antiqua" w:hAnsi="Book Antiqua"/>
              </w:rPr>
            </w:pPr>
            <w:r w:rsidRPr="00D12E59">
              <w:rPr>
                <w:rFonts w:ascii="Book Antiqua" w:hAnsi="Book Antiqua"/>
              </w:rPr>
              <w:t>USA</w:t>
            </w:r>
          </w:p>
          <w:p w14:paraId="1228038E" w14:textId="77777777" w:rsidR="00C57EEC" w:rsidRPr="00D12E59" w:rsidRDefault="00C57EEC" w:rsidP="008D6FB2">
            <w:pPr>
              <w:spacing w:line="240" w:lineRule="auto"/>
              <w:rPr>
                <w:rFonts w:ascii="Book Antiqua" w:hAnsi="Book Antiqua"/>
              </w:rPr>
            </w:pPr>
            <w:r w:rsidRPr="00D12E59">
              <w:rPr>
                <w:rFonts w:ascii="Book Antiqua" w:hAnsi="Book Antiqua"/>
              </w:rPr>
              <w:t xml:space="preserve">Finland </w:t>
            </w:r>
          </w:p>
          <w:p w14:paraId="241D0DF1" w14:textId="77777777" w:rsidR="00C57EEC" w:rsidRPr="00D12E59" w:rsidRDefault="00C57EEC" w:rsidP="008D6FB2">
            <w:pPr>
              <w:spacing w:line="240" w:lineRule="auto"/>
              <w:rPr>
                <w:rFonts w:ascii="Book Antiqua" w:hAnsi="Book Antiqua"/>
              </w:rPr>
            </w:pPr>
            <w:r w:rsidRPr="00D12E59">
              <w:rPr>
                <w:rFonts w:ascii="Book Antiqua" w:hAnsi="Book Antiqua"/>
              </w:rPr>
              <w:t>UK</w:t>
            </w:r>
          </w:p>
          <w:p w14:paraId="09ACA89A" w14:textId="77777777" w:rsidR="00C57EEC" w:rsidRPr="00D12E59" w:rsidRDefault="00C57EEC" w:rsidP="008D6FB2">
            <w:pPr>
              <w:spacing w:line="240" w:lineRule="auto"/>
              <w:rPr>
                <w:rFonts w:ascii="Book Antiqua" w:hAnsi="Book Antiqua"/>
              </w:rPr>
            </w:pPr>
            <w:r w:rsidRPr="00D12E59">
              <w:rPr>
                <w:rFonts w:ascii="Book Antiqua" w:hAnsi="Book Antiqua"/>
              </w:rPr>
              <w:t>Germany</w:t>
            </w:r>
          </w:p>
        </w:tc>
        <w:tc>
          <w:tcPr>
            <w:tcW w:w="1495" w:type="dxa"/>
            <w:shd w:val="clear" w:color="auto" w:fill="auto"/>
          </w:tcPr>
          <w:p w14:paraId="3FCCCB73"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6.6</w:t>
            </w:r>
          </w:p>
          <w:p w14:paraId="2EA5DAC3"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5.2</w:t>
            </w:r>
          </w:p>
          <w:p w14:paraId="2BC63878"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4.3</w:t>
            </w:r>
          </w:p>
          <w:p w14:paraId="6E710DF6"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5.2</w:t>
            </w:r>
          </w:p>
          <w:p w14:paraId="02318351"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4.1</w:t>
            </w:r>
          </w:p>
          <w:p w14:paraId="40877219"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3.6</w:t>
            </w:r>
          </w:p>
          <w:p w14:paraId="2731015A"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2.9</w:t>
            </w:r>
          </w:p>
        </w:tc>
        <w:tc>
          <w:tcPr>
            <w:tcW w:w="1224" w:type="dxa"/>
            <w:shd w:val="clear" w:color="auto" w:fill="auto"/>
          </w:tcPr>
          <w:p w14:paraId="1E0DA321"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1970s</w:t>
            </w:r>
          </w:p>
          <w:p w14:paraId="0C37DCC4"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1994</w:t>
            </w:r>
          </w:p>
          <w:p w14:paraId="561D1262"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1997</w:t>
            </w:r>
          </w:p>
          <w:p w14:paraId="345728DF"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2001</w:t>
            </w:r>
          </w:p>
          <w:p w14:paraId="0EC7C2BD"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1997</w:t>
            </w:r>
          </w:p>
          <w:p w14:paraId="20868A54"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1990</w:t>
            </w:r>
          </w:p>
          <w:p w14:paraId="64757ECC" w14:textId="77777777" w:rsidR="00C57EEC" w:rsidRPr="00D12E59" w:rsidRDefault="00C57EEC" w:rsidP="008D6FB2">
            <w:pPr>
              <w:spacing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D12E59">
              <w:rPr>
                <w:rFonts w:ascii="Book Antiqua" w:hAnsi="Book Antiqua"/>
              </w:rPr>
              <w:t>1996</w:t>
            </w:r>
          </w:p>
        </w:tc>
      </w:tr>
    </w:tbl>
    <w:p w14:paraId="0E4CAFDD" w14:textId="77777777" w:rsidR="00C57EEC" w:rsidRPr="00E3232D" w:rsidRDefault="00C57EEC" w:rsidP="008275E1">
      <w:pPr>
        <w:rPr>
          <w:rFonts w:ascii="Book Antiqua" w:hAnsi="Book Antiqua"/>
        </w:rPr>
      </w:pPr>
      <w:r w:rsidRPr="00E3232D">
        <w:rPr>
          <w:rFonts w:ascii="Book Antiqua" w:hAnsi="Book Antiqua"/>
        </w:rPr>
        <w:t>Source: Adopted from Chawla (2007).</w:t>
      </w:r>
    </w:p>
    <w:p w14:paraId="2F036A75" w14:textId="77777777" w:rsidR="00C57EEC" w:rsidRPr="00E3232D" w:rsidRDefault="00C57EEC" w:rsidP="009C0793">
      <w:pPr>
        <w:jc w:val="both"/>
        <w:rPr>
          <w:rFonts w:ascii="Book Antiqua" w:hAnsi="Book Antiqua"/>
          <w:b/>
        </w:rPr>
      </w:pPr>
      <w:r w:rsidRPr="00E3232D">
        <w:rPr>
          <w:rFonts w:ascii="Book Antiqua" w:hAnsi="Book Antiqua"/>
        </w:rPr>
        <w:t>There are a number of inventions or creations in Ghana that never benefit from IP rights. For example the CSIR-Crops Research Institute developed the quality protein maize, the first of its kind in the world but never benefited from any IP rights. This technology was later copied by other countries in Africa and beyond and ownership later became a subject of controversy. Another example is the Pozzolanacement developed by the CSIR-Building and Road Research Institutewhich,although being used widely in Ghana and elsewhere is not benefiting from any IP rights. Failure to protect such inventions will gradually discourage investors in investing in research and technologydevelopment which eventually will have a negative impact on economic growth.</w:t>
      </w:r>
    </w:p>
    <w:p w14:paraId="3117D4AF" w14:textId="77777777" w:rsidR="001A2608" w:rsidRDefault="001A2608" w:rsidP="008275E1">
      <w:pPr>
        <w:rPr>
          <w:rFonts w:ascii="Book Antiqua" w:hAnsi="Book Antiqua"/>
          <w:b/>
        </w:rPr>
      </w:pPr>
    </w:p>
    <w:p w14:paraId="7A4710AB" w14:textId="77777777" w:rsidR="00C57EEC" w:rsidRPr="009C0793" w:rsidRDefault="00EB2A77" w:rsidP="00EB2A77">
      <w:pPr>
        <w:spacing w:after="0"/>
        <w:rPr>
          <w:rFonts w:ascii="Book Antiqua" w:hAnsi="Book Antiqua"/>
          <w:b/>
        </w:rPr>
      </w:pPr>
      <w:r>
        <w:rPr>
          <w:rFonts w:ascii="Book Antiqua" w:hAnsi="Book Antiqua"/>
          <w:b/>
        </w:rPr>
        <w:t xml:space="preserve">3.0 </w:t>
      </w:r>
      <w:r w:rsidR="00C57EEC" w:rsidRPr="00E3232D">
        <w:rPr>
          <w:rFonts w:ascii="Book Antiqua" w:hAnsi="Book Antiqua"/>
          <w:b/>
        </w:rPr>
        <w:t>Ghana’s IP landscape</w:t>
      </w:r>
      <w:r>
        <w:rPr>
          <w:rFonts w:ascii="Book Antiqua" w:hAnsi="Book Antiqua"/>
          <w:b/>
        </w:rPr>
        <w:t xml:space="preserve"> </w:t>
      </w:r>
      <w:r w:rsidR="00C57EEC" w:rsidRPr="009C0793">
        <w:rPr>
          <w:rFonts w:ascii="Book Antiqua" w:hAnsi="Book Antiqua"/>
          <w:b/>
        </w:rPr>
        <w:t xml:space="preserve">Accession </w:t>
      </w:r>
      <w:r w:rsidR="009C0793">
        <w:rPr>
          <w:rFonts w:ascii="Book Antiqua" w:hAnsi="Book Antiqua"/>
          <w:b/>
        </w:rPr>
        <w:t>t</w:t>
      </w:r>
      <w:r w:rsidR="009C0793" w:rsidRPr="009C0793">
        <w:rPr>
          <w:rFonts w:ascii="Book Antiqua" w:hAnsi="Book Antiqua"/>
          <w:b/>
        </w:rPr>
        <w:t xml:space="preserve">o International Treaties </w:t>
      </w:r>
    </w:p>
    <w:p w14:paraId="13575AD2" w14:textId="77777777" w:rsidR="00EB2A77" w:rsidRDefault="00EB2A77" w:rsidP="00EB2A77">
      <w:pPr>
        <w:spacing w:after="0"/>
        <w:jc w:val="both"/>
        <w:rPr>
          <w:rFonts w:ascii="Book Antiqua" w:hAnsi="Book Antiqua"/>
        </w:rPr>
      </w:pPr>
    </w:p>
    <w:p w14:paraId="1943F6F2" w14:textId="77777777" w:rsidR="00C57EEC" w:rsidRPr="00E3232D" w:rsidRDefault="00C57EEC" w:rsidP="009C0793">
      <w:pPr>
        <w:jc w:val="both"/>
        <w:rPr>
          <w:rFonts w:ascii="Book Antiqua" w:hAnsi="Book Antiqua"/>
        </w:rPr>
      </w:pPr>
      <w:r w:rsidRPr="00E3232D">
        <w:rPr>
          <w:rFonts w:ascii="Book Antiqua" w:hAnsi="Book Antiqua"/>
        </w:rPr>
        <w:t xml:space="preserve">Ghana has acceded to and is complying with key international agreements, treaties and protocols on IP including the Paris Convention, the Berne Convention, the Convention establishing World Intellectual Property Organization (WIPO), the Patent Cooperation Treaty (PCT), the WIPO Copyright Treaty (WCT), the Hague Agreement, the Madrid Protocol and the Lusaka Agreement. </w:t>
      </w:r>
    </w:p>
    <w:p w14:paraId="5F654E6B" w14:textId="77777777" w:rsidR="00C57EEC" w:rsidRPr="009C0793" w:rsidRDefault="00EB2A77" w:rsidP="008275E1">
      <w:pPr>
        <w:pStyle w:val="Default"/>
        <w:rPr>
          <w:rFonts w:ascii="Book Antiqua" w:hAnsi="Book Antiqua"/>
          <w:b/>
          <w:bCs/>
          <w:iCs/>
          <w:sz w:val="22"/>
          <w:szCs w:val="22"/>
        </w:rPr>
      </w:pPr>
      <w:r>
        <w:rPr>
          <w:rFonts w:ascii="Book Antiqua" w:hAnsi="Book Antiqua"/>
          <w:b/>
          <w:bCs/>
          <w:iCs/>
          <w:sz w:val="22"/>
          <w:szCs w:val="22"/>
        </w:rPr>
        <w:t xml:space="preserve">3.1 </w:t>
      </w:r>
      <w:r w:rsidR="00C57EEC" w:rsidRPr="009C0793">
        <w:rPr>
          <w:rFonts w:ascii="Book Antiqua" w:hAnsi="Book Antiqua"/>
          <w:b/>
          <w:bCs/>
          <w:iCs/>
          <w:sz w:val="22"/>
          <w:szCs w:val="22"/>
        </w:rPr>
        <w:t xml:space="preserve">Ghana’s IP </w:t>
      </w:r>
      <w:r w:rsidR="009C0793" w:rsidRPr="009C0793">
        <w:rPr>
          <w:rFonts w:ascii="Book Antiqua" w:hAnsi="Book Antiqua"/>
          <w:b/>
          <w:bCs/>
          <w:iCs/>
          <w:sz w:val="22"/>
          <w:szCs w:val="22"/>
        </w:rPr>
        <w:t>Legislation</w:t>
      </w:r>
    </w:p>
    <w:p w14:paraId="4C7E5B07" w14:textId="77777777" w:rsidR="00C57EEC" w:rsidRPr="00E3232D" w:rsidRDefault="00C57EEC" w:rsidP="008275E1">
      <w:pPr>
        <w:pStyle w:val="Default"/>
        <w:rPr>
          <w:rFonts w:ascii="Book Antiqua" w:hAnsi="Book Antiqua"/>
          <w:bCs/>
          <w:iCs/>
          <w:sz w:val="22"/>
          <w:szCs w:val="22"/>
        </w:rPr>
      </w:pPr>
      <w:r w:rsidRPr="00E3232D">
        <w:rPr>
          <w:rFonts w:ascii="Book Antiqua" w:hAnsi="Book Antiqua"/>
          <w:bCs/>
          <w:iCs/>
          <w:sz w:val="22"/>
          <w:szCs w:val="22"/>
        </w:rPr>
        <w:t>Ghana currently, has the following legislations covering a wide aspect of intellectual property rights:</w:t>
      </w:r>
    </w:p>
    <w:p w14:paraId="2676F48F" w14:textId="77777777" w:rsidR="00C57EEC" w:rsidRPr="00E3232D" w:rsidRDefault="00C57EEC" w:rsidP="008275E1">
      <w:pPr>
        <w:pStyle w:val="Default"/>
        <w:rPr>
          <w:rFonts w:ascii="Book Antiqua" w:hAnsi="Book Antiqua"/>
          <w:bCs/>
          <w:iCs/>
          <w:sz w:val="22"/>
          <w:szCs w:val="22"/>
        </w:rPr>
      </w:pPr>
      <w:r w:rsidRPr="00E3232D">
        <w:rPr>
          <w:rFonts w:ascii="Book Antiqua" w:hAnsi="Book Antiqua"/>
          <w:b/>
          <w:bCs/>
          <w:i/>
          <w:iCs/>
          <w:sz w:val="22"/>
          <w:szCs w:val="22"/>
        </w:rPr>
        <w:t>Patents Act, 2003 (Act 657)</w:t>
      </w:r>
      <w:r w:rsidRPr="00E3232D">
        <w:rPr>
          <w:rFonts w:ascii="Book Antiqua" w:hAnsi="Book Antiqua"/>
          <w:b/>
          <w:bCs/>
          <w:iCs/>
          <w:sz w:val="22"/>
          <w:szCs w:val="22"/>
        </w:rPr>
        <w:t>:</w:t>
      </w:r>
      <w:r w:rsidRPr="00E3232D">
        <w:rPr>
          <w:rFonts w:ascii="Book Antiqua" w:hAnsi="Book Antiqua"/>
          <w:bCs/>
          <w:iCs/>
          <w:sz w:val="22"/>
          <w:szCs w:val="22"/>
        </w:rPr>
        <w:t xml:space="preserve"> provides protection of invention (a product or process) if it is new, involves an inventive step and is industrially applicable. Protection for smaller inventions is provided for under the Act by means of Utility Model Certificates. An invention qualifies for a utility model certificate if it is new and industrially applicable. The Act provides for a term of protection of 20 years for patents and seven years for utility models.</w:t>
      </w:r>
    </w:p>
    <w:p w14:paraId="3C90E3B2" w14:textId="77777777" w:rsidR="00C57EEC" w:rsidRPr="00E3232D" w:rsidRDefault="00C57EEC" w:rsidP="008275E1">
      <w:pPr>
        <w:pStyle w:val="Default"/>
        <w:rPr>
          <w:rFonts w:ascii="Book Antiqua" w:hAnsi="Book Antiqua"/>
          <w:bCs/>
          <w:iCs/>
          <w:sz w:val="22"/>
          <w:szCs w:val="22"/>
        </w:rPr>
      </w:pPr>
      <w:r w:rsidRPr="00E3232D">
        <w:rPr>
          <w:rFonts w:ascii="Book Antiqua" w:hAnsi="Book Antiqua"/>
          <w:b/>
          <w:bCs/>
          <w:i/>
          <w:iCs/>
          <w:sz w:val="22"/>
          <w:szCs w:val="22"/>
        </w:rPr>
        <w:t>Trademarks Act, 2004 (Act 664)</w:t>
      </w:r>
      <w:r w:rsidRPr="00E3232D">
        <w:rPr>
          <w:rFonts w:ascii="Book Antiqua" w:hAnsi="Book Antiqua"/>
          <w:b/>
          <w:bCs/>
          <w:iCs/>
          <w:sz w:val="22"/>
          <w:szCs w:val="22"/>
        </w:rPr>
        <w:t>:</w:t>
      </w:r>
      <w:r w:rsidRPr="00E3232D">
        <w:rPr>
          <w:rFonts w:ascii="Book Antiqua" w:hAnsi="Book Antiqua"/>
          <w:bCs/>
          <w:iCs/>
          <w:sz w:val="22"/>
          <w:szCs w:val="22"/>
        </w:rPr>
        <w:t xml:space="preserve"> provides for a system of registration of trademarks and a term of protection of 10 years renewable for consecutive ten-year periods.</w:t>
      </w:r>
    </w:p>
    <w:p w14:paraId="1D7C0406" w14:textId="77777777" w:rsidR="00C57EEC" w:rsidRPr="00E3232D" w:rsidRDefault="00C57EEC" w:rsidP="008275E1">
      <w:pPr>
        <w:pStyle w:val="Default"/>
        <w:rPr>
          <w:rFonts w:ascii="Book Antiqua" w:hAnsi="Book Antiqua"/>
          <w:bCs/>
          <w:iCs/>
          <w:sz w:val="22"/>
          <w:szCs w:val="22"/>
        </w:rPr>
      </w:pPr>
      <w:r w:rsidRPr="00E3232D">
        <w:rPr>
          <w:rFonts w:ascii="Book Antiqua" w:hAnsi="Book Antiqua"/>
          <w:b/>
          <w:bCs/>
          <w:i/>
          <w:iCs/>
          <w:sz w:val="22"/>
          <w:szCs w:val="22"/>
        </w:rPr>
        <w:t>Industrial Designs Act, 2003 (Act 660):</w:t>
      </w:r>
      <w:r w:rsidRPr="00E3232D">
        <w:rPr>
          <w:rFonts w:ascii="Book Antiqua" w:hAnsi="Book Antiqua"/>
          <w:bCs/>
          <w:iCs/>
          <w:sz w:val="22"/>
          <w:szCs w:val="22"/>
        </w:rPr>
        <w:t xml:space="preserve"> provides registration of industrial designs. The Act provides a term of protection of five years renewable for two consecutive periods of five years each.</w:t>
      </w:r>
    </w:p>
    <w:p w14:paraId="39B32449" w14:textId="77777777" w:rsidR="001A2608" w:rsidRPr="00EB2A77" w:rsidRDefault="00C57EEC" w:rsidP="008275E1">
      <w:pPr>
        <w:pStyle w:val="Default"/>
        <w:rPr>
          <w:rFonts w:ascii="Book Antiqua" w:hAnsi="Book Antiqua"/>
          <w:bCs/>
          <w:iCs/>
          <w:sz w:val="22"/>
          <w:szCs w:val="22"/>
        </w:rPr>
      </w:pPr>
      <w:r w:rsidRPr="00E3232D">
        <w:rPr>
          <w:rFonts w:ascii="Book Antiqua" w:hAnsi="Book Antiqua"/>
          <w:b/>
          <w:bCs/>
          <w:i/>
          <w:iCs/>
          <w:sz w:val="22"/>
          <w:szCs w:val="22"/>
        </w:rPr>
        <w:t>Copyright Act, 2005 (Act 690):</w:t>
      </w:r>
      <w:r w:rsidRPr="00E3232D">
        <w:rPr>
          <w:rFonts w:ascii="Book Antiqua" w:hAnsi="Book Antiqua"/>
          <w:bCs/>
          <w:iCs/>
          <w:sz w:val="22"/>
          <w:szCs w:val="22"/>
        </w:rPr>
        <w:t xml:space="preserve"> provides for protection of artistic work, musical work, sound recording, audio-visual, choreographic work, derivative works and computer software or programmes. The Act provides for both economic and moral rights of authors. The duration of copyright is the life of the author plus 70 years.</w:t>
      </w:r>
    </w:p>
    <w:p w14:paraId="2883D0A6" w14:textId="77777777" w:rsidR="00C57EEC" w:rsidRPr="00E3232D" w:rsidRDefault="00C57EEC" w:rsidP="008275E1">
      <w:pPr>
        <w:pStyle w:val="Default"/>
        <w:rPr>
          <w:rFonts w:ascii="Book Antiqua" w:hAnsi="Book Antiqua"/>
          <w:bCs/>
          <w:iCs/>
          <w:sz w:val="22"/>
          <w:szCs w:val="22"/>
        </w:rPr>
      </w:pPr>
      <w:r w:rsidRPr="00E3232D">
        <w:rPr>
          <w:rFonts w:ascii="Book Antiqua" w:hAnsi="Book Antiqua"/>
          <w:b/>
          <w:bCs/>
          <w:i/>
          <w:iCs/>
          <w:sz w:val="22"/>
          <w:szCs w:val="22"/>
        </w:rPr>
        <w:t>Geographical Indications Act, 2003 (Act 659):</w:t>
      </w:r>
      <w:r w:rsidRPr="00E3232D">
        <w:rPr>
          <w:rFonts w:ascii="Book Antiqua" w:hAnsi="Book Antiqua"/>
          <w:bCs/>
          <w:iCs/>
          <w:sz w:val="22"/>
          <w:szCs w:val="22"/>
        </w:rPr>
        <w:t xml:space="preserve"> provides for a system of registration, although protection under the Act is available regardless of registration.</w:t>
      </w:r>
    </w:p>
    <w:p w14:paraId="63E838C2" w14:textId="77777777" w:rsidR="00C57EEC" w:rsidRPr="00E3232D" w:rsidRDefault="00C57EEC" w:rsidP="008275E1">
      <w:pPr>
        <w:pStyle w:val="Default"/>
        <w:rPr>
          <w:rFonts w:ascii="Book Antiqua" w:hAnsi="Book Antiqua"/>
          <w:bCs/>
          <w:iCs/>
          <w:sz w:val="22"/>
          <w:szCs w:val="22"/>
        </w:rPr>
      </w:pPr>
      <w:r w:rsidRPr="00E3232D">
        <w:rPr>
          <w:rFonts w:ascii="Book Antiqua" w:hAnsi="Book Antiqua"/>
          <w:b/>
          <w:bCs/>
          <w:i/>
          <w:iCs/>
          <w:sz w:val="22"/>
          <w:szCs w:val="22"/>
        </w:rPr>
        <w:t>Layout-Designs (Topographies) of Integrated Circuits Act, 2004 (Act 667)</w:t>
      </w:r>
      <w:r w:rsidRPr="00E3232D">
        <w:rPr>
          <w:rFonts w:ascii="Book Antiqua" w:hAnsi="Book Antiqua"/>
          <w:bCs/>
          <w:iCs/>
          <w:sz w:val="22"/>
          <w:szCs w:val="22"/>
        </w:rPr>
        <w:t>: provides for a registration system and a ten-year period of protection for layout-designs of integrated circuits.</w:t>
      </w:r>
    </w:p>
    <w:p w14:paraId="5ED65D1E" w14:textId="77777777" w:rsidR="00C57EEC" w:rsidRPr="00E3232D" w:rsidRDefault="00C57EEC" w:rsidP="008275E1">
      <w:pPr>
        <w:pStyle w:val="Default"/>
        <w:rPr>
          <w:rFonts w:ascii="Book Antiqua" w:hAnsi="Book Antiqua"/>
          <w:bCs/>
          <w:iCs/>
          <w:sz w:val="22"/>
          <w:szCs w:val="22"/>
        </w:rPr>
      </w:pPr>
      <w:r w:rsidRPr="00E3232D">
        <w:rPr>
          <w:rFonts w:ascii="Book Antiqua" w:hAnsi="Book Antiqua"/>
          <w:b/>
          <w:bCs/>
          <w:i/>
          <w:iCs/>
          <w:sz w:val="22"/>
          <w:szCs w:val="22"/>
        </w:rPr>
        <w:t>Protection against Unfair Competition Act, 2000 (Act 589)</w:t>
      </w:r>
      <w:r w:rsidRPr="00E3232D">
        <w:rPr>
          <w:rFonts w:ascii="Book Antiqua" w:hAnsi="Book Antiqua"/>
          <w:bCs/>
          <w:iCs/>
          <w:sz w:val="22"/>
          <w:szCs w:val="22"/>
        </w:rPr>
        <w:t>: provides for protection against unfair competition.</w:t>
      </w:r>
    </w:p>
    <w:p w14:paraId="60BF1E4A" w14:textId="77777777" w:rsidR="00C57EEC" w:rsidRPr="00E3232D" w:rsidRDefault="00C57EEC" w:rsidP="008275E1">
      <w:pPr>
        <w:pStyle w:val="Default"/>
        <w:rPr>
          <w:rFonts w:ascii="Book Antiqua" w:hAnsi="Book Antiqua"/>
          <w:bCs/>
          <w:iCs/>
          <w:sz w:val="22"/>
          <w:szCs w:val="22"/>
        </w:rPr>
      </w:pPr>
      <w:r w:rsidRPr="00E3232D">
        <w:rPr>
          <w:rFonts w:ascii="Book Antiqua" w:hAnsi="Book Antiqua"/>
          <w:bCs/>
          <w:iCs/>
          <w:sz w:val="22"/>
          <w:szCs w:val="22"/>
        </w:rPr>
        <w:t>Ghana is in the process of passing a plant breeders’ right bill (plant varieties protection).</w:t>
      </w:r>
    </w:p>
    <w:p w14:paraId="1EF9E749" w14:textId="77777777" w:rsidR="00C57EEC" w:rsidRPr="009C0793" w:rsidRDefault="00EB2A77" w:rsidP="008275E1">
      <w:pPr>
        <w:pStyle w:val="Default"/>
        <w:rPr>
          <w:rFonts w:ascii="Book Antiqua" w:hAnsi="Book Antiqua"/>
          <w:b/>
          <w:bCs/>
          <w:iCs/>
          <w:sz w:val="22"/>
          <w:szCs w:val="22"/>
        </w:rPr>
      </w:pPr>
      <w:r>
        <w:rPr>
          <w:rFonts w:ascii="Book Antiqua" w:hAnsi="Book Antiqua"/>
          <w:b/>
          <w:bCs/>
          <w:iCs/>
          <w:sz w:val="22"/>
          <w:szCs w:val="22"/>
        </w:rPr>
        <w:t xml:space="preserve">3.2 </w:t>
      </w:r>
      <w:r w:rsidR="00C57EEC" w:rsidRPr="009C0793">
        <w:rPr>
          <w:rFonts w:ascii="Book Antiqua" w:hAnsi="Book Antiqua"/>
          <w:b/>
          <w:bCs/>
          <w:iCs/>
          <w:sz w:val="22"/>
          <w:szCs w:val="22"/>
        </w:rPr>
        <w:t xml:space="preserve">Administration and </w:t>
      </w:r>
      <w:r w:rsidR="009C0793" w:rsidRPr="009C0793">
        <w:rPr>
          <w:rFonts w:ascii="Book Antiqua" w:hAnsi="Book Antiqua"/>
          <w:b/>
          <w:bCs/>
          <w:iCs/>
          <w:sz w:val="22"/>
          <w:szCs w:val="22"/>
        </w:rPr>
        <w:t xml:space="preserve">Management </w:t>
      </w:r>
      <w:r w:rsidR="00C57EEC" w:rsidRPr="009C0793">
        <w:rPr>
          <w:rFonts w:ascii="Book Antiqua" w:hAnsi="Book Antiqua"/>
          <w:b/>
          <w:bCs/>
          <w:iCs/>
          <w:sz w:val="22"/>
          <w:szCs w:val="22"/>
        </w:rPr>
        <w:t xml:space="preserve">IP </w:t>
      </w:r>
      <w:r w:rsidR="009C0793" w:rsidRPr="009C0793">
        <w:rPr>
          <w:rFonts w:ascii="Book Antiqua" w:hAnsi="Book Antiqua"/>
          <w:b/>
          <w:bCs/>
          <w:iCs/>
          <w:sz w:val="22"/>
          <w:szCs w:val="22"/>
        </w:rPr>
        <w:t xml:space="preserve">Rights </w:t>
      </w:r>
      <w:r w:rsidR="00C57EEC" w:rsidRPr="009C0793">
        <w:rPr>
          <w:rFonts w:ascii="Book Antiqua" w:hAnsi="Book Antiqua"/>
          <w:b/>
          <w:bCs/>
          <w:iCs/>
          <w:sz w:val="22"/>
          <w:szCs w:val="22"/>
        </w:rPr>
        <w:t xml:space="preserve">in </w:t>
      </w:r>
      <w:r w:rsidR="009C0793" w:rsidRPr="009C0793">
        <w:rPr>
          <w:rFonts w:ascii="Book Antiqua" w:hAnsi="Book Antiqua"/>
          <w:b/>
          <w:bCs/>
          <w:iCs/>
          <w:sz w:val="22"/>
          <w:szCs w:val="22"/>
        </w:rPr>
        <w:t>Ghana</w:t>
      </w:r>
      <w:r w:rsidR="00C57EEC" w:rsidRPr="009C0793">
        <w:rPr>
          <w:rFonts w:ascii="Book Antiqua" w:hAnsi="Book Antiqua"/>
          <w:b/>
          <w:bCs/>
          <w:iCs/>
          <w:sz w:val="22"/>
          <w:szCs w:val="22"/>
        </w:rPr>
        <w:t>.</w:t>
      </w:r>
    </w:p>
    <w:p w14:paraId="742A8C4C" w14:textId="77777777" w:rsidR="00C57EEC" w:rsidRPr="00E3232D" w:rsidRDefault="00C57EEC" w:rsidP="008275E1">
      <w:pPr>
        <w:pStyle w:val="Default"/>
        <w:rPr>
          <w:rFonts w:ascii="Book Antiqua" w:hAnsi="Book Antiqua"/>
          <w:sz w:val="22"/>
          <w:szCs w:val="22"/>
        </w:rPr>
      </w:pPr>
      <w:r w:rsidRPr="00E3232D">
        <w:rPr>
          <w:rFonts w:ascii="Book Antiqua" w:hAnsi="Book Antiqua"/>
          <w:sz w:val="22"/>
          <w:szCs w:val="22"/>
        </w:rPr>
        <w:t>The administration of IP in Ghana is the responsibility of the Registrar General’s Department and the Copyright Office, which are under the Ministry of Justice and Attorney General’s Department. A unit in the Registrar General’s Department handles the industrial property aspects of IP whereas the Copyright Office handles copyright issues. In addition, there are other institutions that support the two offices in the administration of IP. These include the Plant Protection and Regulatory Services Directorate of the Ministry of Food and Agriculture, the Ghana Revenue Authority (Customs Division), the Food and Drugs Authority, the Ghana Police Service, the Ghana Standards Authority (GSA) and the Ghana Investment Promotion Centre.</w:t>
      </w:r>
    </w:p>
    <w:p w14:paraId="1F5522F7" w14:textId="77777777" w:rsidR="00C57EEC" w:rsidRPr="00EB2A77" w:rsidRDefault="00EB2A77" w:rsidP="008275E1">
      <w:pPr>
        <w:pStyle w:val="Default"/>
        <w:outlineLvl w:val="2"/>
        <w:rPr>
          <w:rFonts w:ascii="Book Antiqua" w:hAnsi="Book Antiqua"/>
          <w:b/>
          <w:sz w:val="22"/>
          <w:szCs w:val="22"/>
        </w:rPr>
      </w:pPr>
      <w:r>
        <w:rPr>
          <w:rFonts w:ascii="Book Antiqua" w:hAnsi="Book Antiqua"/>
          <w:b/>
          <w:iCs/>
          <w:sz w:val="22"/>
          <w:szCs w:val="22"/>
        </w:rPr>
        <w:t xml:space="preserve">3.3 </w:t>
      </w:r>
      <w:r w:rsidR="00C57EEC" w:rsidRPr="00EB2A77">
        <w:rPr>
          <w:rFonts w:ascii="Book Antiqua" w:hAnsi="Book Antiqua"/>
          <w:b/>
          <w:iCs/>
          <w:sz w:val="22"/>
          <w:szCs w:val="22"/>
        </w:rPr>
        <w:t xml:space="preserve">Institutional and </w:t>
      </w:r>
      <w:r w:rsidRPr="00EB2A77">
        <w:rPr>
          <w:rFonts w:ascii="Book Antiqua" w:hAnsi="Book Antiqua"/>
          <w:b/>
          <w:iCs/>
          <w:sz w:val="22"/>
          <w:szCs w:val="22"/>
        </w:rPr>
        <w:t xml:space="preserve">Legal Framework </w:t>
      </w:r>
      <w:r w:rsidR="00C57EEC" w:rsidRPr="00EB2A77">
        <w:rPr>
          <w:rFonts w:ascii="Book Antiqua" w:hAnsi="Book Antiqua"/>
          <w:b/>
          <w:iCs/>
          <w:sz w:val="22"/>
          <w:szCs w:val="22"/>
        </w:rPr>
        <w:t xml:space="preserve">for Enforcement of IP </w:t>
      </w:r>
      <w:r w:rsidRPr="00EB2A77">
        <w:rPr>
          <w:rFonts w:ascii="Book Antiqua" w:hAnsi="Book Antiqua"/>
          <w:b/>
          <w:iCs/>
          <w:sz w:val="22"/>
          <w:szCs w:val="22"/>
        </w:rPr>
        <w:t xml:space="preserve">Rights </w:t>
      </w:r>
    </w:p>
    <w:p w14:paraId="202B322D" w14:textId="77777777" w:rsidR="00C57EEC" w:rsidRPr="00E3232D" w:rsidRDefault="00C57EEC" w:rsidP="00886BA6">
      <w:pPr>
        <w:pStyle w:val="Default"/>
        <w:spacing w:after="0"/>
        <w:rPr>
          <w:rFonts w:ascii="Book Antiqua" w:hAnsi="Book Antiqua"/>
          <w:b/>
          <w:sz w:val="22"/>
          <w:szCs w:val="22"/>
        </w:rPr>
      </w:pPr>
      <w:r w:rsidRPr="00E3232D">
        <w:rPr>
          <w:rFonts w:ascii="Book Antiqua" w:hAnsi="Book Antiqua"/>
          <w:sz w:val="22"/>
          <w:szCs w:val="22"/>
        </w:rPr>
        <w:t>The enforcement of IP rights in Ghana takes the form of mainly civil remedies obtained through a court action. Some aspects of counterfeiting and trademark infringement may also attract criminal sanction.</w:t>
      </w:r>
    </w:p>
    <w:p w14:paraId="3430B706" w14:textId="77777777" w:rsidR="00734EC9" w:rsidRDefault="00734EC9" w:rsidP="00886BA6">
      <w:pPr>
        <w:spacing w:after="0"/>
        <w:rPr>
          <w:rFonts w:ascii="Book Antiqua" w:hAnsi="Book Antiqua"/>
          <w:b/>
        </w:rPr>
      </w:pPr>
    </w:p>
    <w:p w14:paraId="4BEA3061" w14:textId="77777777" w:rsidR="00C57EEC" w:rsidRPr="00E3232D" w:rsidRDefault="00EB2A77" w:rsidP="00886BA6">
      <w:pPr>
        <w:spacing w:after="0"/>
        <w:rPr>
          <w:rFonts w:ascii="Book Antiqua" w:hAnsi="Book Antiqua"/>
          <w:b/>
        </w:rPr>
      </w:pPr>
      <w:r>
        <w:rPr>
          <w:rFonts w:ascii="Book Antiqua" w:hAnsi="Book Antiqua"/>
          <w:b/>
        </w:rPr>
        <w:t xml:space="preserve">3.4 </w:t>
      </w:r>
      <w:r w:rsidR="00C57EEC" w:rsidRPr="00E3232D">
        <w:rPr>
          <w:rFonts w:ascii="Book Antiqua" w:hAnsi="Book Antiqua"/>
          <w:b/>
        </w:rPr>
        <w:t>National IP Policy</w:t>
      </w:r>
    </w:p>
    <w:p w14:paraId="724ED2DA" w14:textId="77777777" w:rsidR="00057B43" w:rsidRDefault="00C57EEC" w:rsidP="00EB2A77">
      <w:pPr>
        <w:spacing w:after="0"/>
        <w:jc w:val="both"/>
        <w:rPr>
          <w:rFonts w:ascii="Book Antiqua" w:hAnsi="Book Antiqua"/>
          <w:iCs/>
        </w:rPr>
      </w:pPr>
      <w:r w:rsidRPr="00E3232D">
        <w:rPr>
          <w:rFonts w:ascii="Book Antiqua" w:hAnsi="Book Antiqua"/>
        </w:rPr>
        <w:t xml:space="preserve">Ghana is currently developing a national intellectual property and strategy, </w:t>
      </w:r>
      <w:r w:rsidRPr="00E3232D">
        <w:rPr>
          <w:rFonts w:ascii="Book Antiqua" w:hAnsi="Book Antiqua"/>
          <w:iCs/>
        </w:rPr>
        <w:t xml:space="preserve">the National Intellectual Property Policy and Strategy (NIPPS) is being prepared to strengthen the management of the intellectual property system in Ghana and also to encourage innovation and creativity within the system. NIPPS is driven by Ghana’s trade policy prescriptions, which aim to bring Ghana’s IPRs system in line with its international commitments under the WTO on TRIPS and international best practices. </w:t>
      </w:r>
    </w:p>
    <w:p w14:paraId="54FBD853" w14:textId="77777777" w:rsidR="00057B43" w:rsidRDefault="00057B43" w:rsidP="00EB2A77">
      <w:pPr>
        <w:jc w:val="both"/>
        <w:rPr>
          <w:rFonts w:ascii="Book Antiqua" w:hAnsi="Book Antiqua"/>
          <w:iCs/>
        </w:rPr>
      </w:pPr>
    </w:p>
    <w:p w14:paraId="5CA6CDFA" w14:textId="77777777" w:rsidR="00C57EEC" w:rsidRPr="00057B43" w:rsidRDefault="00EB2A77" w:rsidP="00EB2A77">
      <w:pPr>
        <w:jc w:val="both"/>
        <w:rPr>
          <w:rFonts w:ascii="Book Antiqua" w:hAnsi="Book Antiqua"/>
          <w:iCs/>
        </w:rPr>
      </w:pPr>
      <w:r>
        <w:rPr>
          <w:rFonts w:ascii="Book Antiqua" w:hAnsi="Book Antiqua"/>
          <w:b/>
        </w:rPr>
        <w:t xml:space="preserve">4.0 </w:t>
      </w:r>
      <w:r w:rsidR="00C57EEC" w:rsidRPr="00E3232D">
        <w:rPr>
          <w:rFonts w:ascii="Book Antiqua" w:hAnsi="Book Antiqua"/>
          <w:b/>
        </w:rPr>
        <w:t>Promoting IPRs in Ghana</w:t>
      </w:r>
    </w:p>
    <w:p w14:paraId="0638EA42" w14:textId="77777777" w:rsidR="00C57EEC" w:rsidRPr="00E3232D" w:rsidRDefault="00C57EEC" w:rsidP="00EB2A77">
      <w:pPr>
        <w:jc w:val="both"/>
        <w:rPr>
          <w:rFonts w:ascii="Book Antiqua" w:hAnsi="Book Antiqua"/>
        </w:rPr>
      </w:pPr>
      <w:r w:rsidRPr="00E3232D">
        <w:rPr>
          <w:rFonts w:ascii="Book Antiqua" w:hAnsi="Book Antiqua"/>
        </w:rPr>
        <w:t xml:space="preserve">IP awareness is low among researchers in universities and research organizations as well as business operators, policy makers, academia and consumers.This is as a result of lack of institutional level IP policies. For example most, if not all, ministries, departments and agencies as well as public universities and research institutions do not have IP policies. Research institutions such as Cocoa Research Institute, Crops Research and Food Research in recent times have come up with innovative products and processes such as soap making, fufu powder and plant </w:t>
      </w:r>
      <w:r w:rsidR="00734EC9">
        <w:rPr>
          <w:rFonts w:ascii="Book Antiqua" w:hAnsi="Book Antiqua"/>
        </w:rPr>
        <w:t xml:space="preserve">varieties and species </w:t>
      </w:r>
      <w:r w:rsidRPr="00E3232D">
        <w:rPr>
          <w:rFonts w:ascii="Book Antiqua" w:hAnsi="Book Antiqua"/>
        </w:rPr>
        <w:t>among many others.</w:t>
      </w:r>
      <w:r w:rsidR="00734EC9">
        <w:rPr>
          <w:rFonts w:ascii="Book Antiqua" w:hAnsi="Book Antiqua"/>
        </w:rPr>
        <w:t xml:space="preserve"> </w:t>
      </w:r>
      <w:r w:rsidRPr="00E3232D">
        <w:rPr>
          <w:rFonts w:ascii="Book Antiqua" w:hAnsi="Book Antiqua"/>
        </w:rPr>
        <w:t>However the institutions all failed to use the IP system to their advantage by protecting such innovative products. This would have ensured that the business community would have required their authorization in using their innovative products and process and thereby earned royalties by licensing the innovations.To realize the benefits of the IP system, creators of IP and potential users of IP rights should be made aware of what the IP system offers.</w:t>
      </w:r>
    </w:p>
    <w:p w14:paraId="507F91CF" w14:textId="77777777" w:rsidR="00C57EEC" w:rsidRPr="00E3232D" w:rsidRDefault="00C57EEC" w:rsidP="00EB2A77">
      <w:pPr>
        <w:jc w:val="both"/>
        <w:rPr>
          <w:rFonts w:ascii="Book Antiqua" w:hAnsi="Book Antiqua"/>
        </w:rPr>
      </w:pPr>
      <w:r w:rsidRPr="00E3232D">
        <w:rPr>
          <w:rFonts w:ascii="Book Antiqua" w:hAnsi="Book Antiqua"/>
        </w:rPr>
        <w:t>Most university and polytechnic graduates enter the job market after graduation with a few of them pursuing further studies before they also enter the job market. These are the very people who are going to lead businesses as CEOs, managers or researchers to drive R&amp;D in industry and other sectors of the economy. For Ghana to become competitive in exploiting IP for economic growth these people must be informed on IP issues. IP can be introduced as a one semester course or as a syllabus in one or more relevant course. Faculties and departments could also develop the capacity to run full time programmes at both undergraduate and postgraduate levels. In this respect tertiary institutions would become key vehicles to facilitate human capacity building for creativity, innovation and the exploitation of IP. IP could also be introduced in the curricula of second cycle institutions. However, the subject content may differ significantly in terms of coverage and depth.</w:t>
      </w:r>
    </w:p>
    <w:p w14:paraId="49099601" w14:textId="77777777" w:rsidR="00C57EEC" w:rsidRPr="00E3232D" w:rsidRDefault="00C57EEC" w:rsidP="00EB2A77">
      <w:pPr>
        <w:spacing w:after="0"/>
        <w:jc w:val="both"/>
        <w:rPr>
          <w:rFonts w:ascii="Book Antiqua" w:hAnsi="Book Antiqua"/>
        </w:rPr>
      </w:pPr>
      <w:r w:rsidRPr="00E3232D">
        <w:rPr>
          <w:rFonts w:ascii="Book Antiqua" w:hAnsi="Book Antiqua"/>
        </w:rPr>
        <w:t>An extensive IP awareness creation, education and outreach programme should be undertaken. It is however imperative to put in place IP infrastructure and the necessary institutional framework before wetting people’s appetite for IPRs. IP can then be promoted through information technology, media, personal contact, traditional information materials and visiting of groups such as students.</w:t>
      </w:r>
    </w:p>
    <w:p w14:paraId="0FCC7C1C" w14:textId="77777777" w:rsidR="00734EC9" w:rsidRDefault="00734EC9" w:rsidP="00EB2A77">
      <w:pPr>
        <w:spacing w:after="0"/>
        <w:jc w:val="both"/>
        <w:rPr>
          <w:rFonts w:ascii="Book Antiqua" w:hAnsi="Book Antiqua"/>
          <w:b/>
          <w:i/>
        </w:rPr>
      </w:pPr>
    </w:p>
    <w:p w14:paraId="32C1E62F" w14:textId="77777777" w:rsidR="00C57EEC" w:rsidRPr="00EB2A77" w:rsidRDefault="00EB2A77" w:rsidP="00EB2A77">
      <w:pPr>
        <w:spacing w:after="0"/>
        <w:jc w:val="both"/>
        <w:rPr>
          <w:rFonts w:ascii="Book Antiqua" w:hAnsi="Book Antiqua"/>
          <w:b/>
        </w:rPr>
      </w:pPr>
      <w:r>
        <w:rPr>
          <w:rFonts w:ascii="Book Antiqua" w:hAnsi="Book Antiqua"/>
          <w:b/>
        </w:rPr>
        <w:t xml:space="preserve">4.1 </w:t>
      </w:r>
      <w:r w:rsidR="00C57EEC" w:rsidRPr="00EB2A77">
        <w:rPr>
          <w:rFonts w:ascii="Book Antiqua" w:hAnsi="Book Antiqua"/>
          <w:b/>
        </w:rPr>
        <w:t xml:space="preserve">Proposed </w:t>
      </w:r>
      <w:r w:rsidRPr="00EB2A77">
        <w:rPr>
          <w:rFonts w:ascii="Book Antiqua" w:hAnsi="Book Antiqua"/>
          <w:b/>
        </w:rPr>
        <w:t xml:space="preserve">Modes </w:t>
      </w:r>
      <w:r w:rsidR="00C57EEC" w:rsidRPr="00EB2A77">
        <w:rPr>
          <w:rFonts w:ascii="Book Antiqua" w:hAnsi="Book Antiqua"/>
          <w:b/>
        </w:rPr>
        <w:t xml:space="preserve">of </w:t>
      </w:r>
      <w:r w:rsidRPr="00EB2A77">
        <w:rPr>
          <w:rFonts w:ascii="Book Antiqua" w:hAnsi="Book Antiqua"/>
          <w:b/>
        </w:rPr>
        <w:t xml:space="preserve">Promoting </w:t>
      </w:r>
      <w:r w:rsidR="00C57EEC" w:rsidRPr="00EB2A77">
        <w:rPr>
          <w:rFonts w:ascii="Book Antiqua" w:hAnsi="Book Antiqua"/>
          <w:b/>
        </w:rPr>
        <w:t xml:space="preserve">IPRs </w:t>
      </w:r>
    </w:p>
    <w:p w14:paraId="53A872C3" w14:textId="77777777" w:rsidR="00C57EEC" w:rsidRPr="00E3232D" w:rsidRDefault="00C57EEC" w:rsidP="00EB2A77">
      <w:pPr>
        <w:jc w:val="both"/>
        <w:rPr>
          <w:rFonts w:ascii="Book Antiqua" w:hAnsi="Book Antiqua"/>
        </w:rPr>
      </w:pPr>
      <w:r w:rsidRPr="00E3232D">
        <w:rPr>
          <w:rFonts w:ascii="Book Antiqua" w:hAnsi="Book Antiqua"/>
          <w:i/>
        </w:rPr>
        <w:t>Stakeholders’ sensitization workshop</w:t>
      </w:r>
      <w:r w:rsidRPr="00E3232D">
        <w:rPr>
          <w:rFonts w:ascii="Book Antiqua" w:hAnsi="Book Antiqua"/>
        </w:rPr>
        <w:t>: This should involve musicians, actors, inventors, business operatorsstudents and researchers. Workshops have been the traditional platform for information delivery on specialised technical subjects. The audience numbers are normally small and effective interactive discourse are possible. For a subject such as IP, workshops would be one of the most effective means to educate targeted audience.</w:t>
      </w:r>
    </w:p>
    <w:p w14:paraId="00478CF1" w14:textId="77777777" w:rsidR="00C57EEC" w:rsidRPr="00E3232D" w:rsidRDefault="00C57EEC" w:rsidP="00EB2A77">
      <w:pPr>
        <w:jc w:val="both"/>
        <w:rPr>
          <w:rFonts w:ascii="Book Antiqua" w:hAnsi="Book Antiqua"/>
        </w:rPr>
      </w:pPr>
      <w:r w:rsidRPr="00E3232D">
        <w:rPr>
          <w:rFonts w:ascii="Book Antiqua" w:hAnsi="Book Antiqua"/>
          <w:i/>
        </w:rPr>
        <w:t>Information technology</w:t>
      </w:r>
      <w:r w:rsidRPr="00E3232D">
        <w:rPr>
          <w:rFonts w:ascii="Book Antiqua" w:hAnsi="Book Antiqua"/>
        </w:rPr>
        <w:t xml:space="preserve"> (particularly the internet): Discussion forums can be created to discuss IP matters and address frequently asked questions. Such forums will draw to themselves individuals who have some prior information on the subject but may have some questions. Others may be individuals who have no prior knowledge on the subject. Social media networks can also be used to discuss pertinent issues. </w:t>
      </w:r>
    </w:p>
    <w:p w14:paraId="53F6B4D1" w14:textId="77777777" w:rsidR="00C57EEC" w:rsidRPr="00E3232D" w:rsidRDefault="00C57EEC" w:rsidP="00EB2A77">
      <w:pPr>
        <w:jc w:val="both"/>
        <w:rPr>
          <w:rFonts w:ascii="Book Antiqua" w:hAnsi="Book Antiqua"/>
        </w:rPr>
      </w:pPr>
      <w:r w:rsidRPr="00E3232D">
        <w:rPr>
          <w:rFonts w:ascii="Book Antiqua" w:hAnsi="Book Antiqua"/>
          <w:i/>
        </w:rPr>
        <w:t>Media</w:t>
      </w:r>
      <w:r w:rsidRPr="00E3232D">
        <w:rPr>
          <w:rFonts w:ascii="Book Antiqua" w:hAnsi="Book Antiqua"/>
        </w:rPr>
        <w:t xml:space="preserve">: This includes press releases, articles in the press and media coverage on radio and television. Radio broadcast is one of the most effective means of reaching out to millions of people in Ghana. People listen to radio in their offices, cars while driving, shops and in outdoor places. Most people watch TV in the evening after close of work. Thus primetime TV broadcast will effectively reach out to more people. Since not much detail information can be provided through the media, such opportunities should be used to direct interested individuals to the nearest office where they can get detail advice. </w:t>
      </w:r>
    </w:p>
    <w:p w14:paraId="3A83A9C4" w14:textId="77777777" w:rsidR="00C57EEC" w:rsidRPr="00E3232D" w:rsidRDefault="00C57EEC" w:rsidP="00EB2A77">
      <w:pPr>
        <w:jc w:val="both"/>
        <w:rPr>
          <w:rFonts w:ascii="Book Antiqua" w:hAnsi="Book Antiqua"/>
        </w:rPr>
      </w:pPr>
      <w:r w:rsidRPr="00E3232D">
        <w:rPr>
          <w:rFonts w:ascii="Book Antiqua" w:hAnsi="Book Antiqua"/>
          <w:i/>
        </w:rPr>
        <w:t>Traditional information materials</w:t>
      </w:r>
      <w:r w:rsidRPr="00E3232D">
        <w:rPr>
          <w:rFonts w:ascii="Book Antiqua" w:hAnsi="Book Antiqua"/>
        </w:rPr>
        <w:t>: These include books, pamphlets, brochures, factsheets, posters CD ROMS and other electronic storage devices. Unlike information delivered on the radio and TV these materials can be kept by the reader and referred to as many times as he/she wishes. Information is delivered at the reader’s own pace and is effective for the reader to memorise if necessary. They are good for schools and other academic institutions.</w:t>
      </w:r>
    </w:p>
    <w:p w14:paraId="6814A562" w14:textId="77777777" w:rsidR="00C57EEC" w:rsidRPr="00E3232D" w:rsidRDefault="00C57EEC" w:rsidP="00EB2A77">
      <w:pPr>
        <w:jc w:val="both"/>
        <w:rPr>
          <w:rFonts w:ascii="Book Antiqua" w:hAnsi="Book Antiqua"/>
        </w:rPr>
      </w:pPr>
      <w:r w:rsidRPr="00E3232D">
        <w:rPr>
          <w:rFonts w:ascii="Book Antiqua" w:hAnsi="Book Antiqua"/>
          <w:i/>
        </w:rPr>
        <w:t>Visiting of groups and outreach programmes</w:t>
      </w:r>
      <w:r w:rsidRPr="00E3232D">
        <w:rPr>
          <w:rFonts w:ascii="Book Antiqua" w:hAnsi="Book Antiqua"/>
        </w:rPr>
        <w:t xml:space="preserve">: Sometimes it may not be cost effective to teach everybody everything, because only a few people may be the target group for IP matters. It may therefore be necessary to target groups that may benefit the most. For example visiting students, researchers, industrialists and institutions may be more effective.  </w:t>
      </w:r>
    </w:p>
    <w:p w14:paraId="7B1990FE" w14:textId="77777777" w:rsidR="00C57EEC" w:rsidRPr="00E3232D" w:rsidRDefault="00C57EEC" w:rsidP="00EB2A77">
      <w:pPr>
        <w:spacing w:after="0"/>
        <w:jc w:val="both"/>
        <w:rPr>
          <w:rFonts w:ascii="Book Antiqua" w:hAnsi="Book Antiqua"/>
        </w:rPr>
      </w:pPr>
      <w:r w:rsidRPr="00E3232D">
        <w:rPr>
          <w:rFonts w:ascii="Book Antiqua" w:hAnsi="Book Antiqua"/>
          <w:i/>
        </w:rPr>
        <w:t>Specialised thematic briefing</w:t>
      </w:r>
      <w:r w:rsidRPr="00E3232D">
        <w:rPr>
          <w:rFonts w:ascii="Book Antiqua" w:hAnsi="Book Antiqua"/>
        </w:rPr>
        <w:t>: Certain groups such as universities, polytechnics, research institutions and certain governmental organizations may require in-depth knowledge on a specific IP subject and may request for training. Provisions should be made in order to address such requests.</w:t>
      </w:r>
    </w:p>
    <w:p w14:paraId="1EDC4BCC" w14:textId="77777777" w:rsidR="005C1D1B" w:rsidRDefault="005C1D1B" w:rsidP="00EB2A77">
      <w:pPr>
        <w:spacing w:after="0"/>
        <w:jc w:val="both"/>
        <w:rPr>
          <w:rFonts w:ascii="Book Antiqua" w:hAnsi="Book Antiqua"/>
          <w:b/>
        </w:rPr>
      </w:pPr>
    </w:p>
    <w:p w14:paraId="04549DC4" w14:textId="77777777" w:rsidR="00C57EEC" w:rsidRPr="00057B43" w:rsidRDefault="00EB2A77" w:rsidP="00EB2A77">
      <w:pPr>
        <w:spacing w:after="0"/>
        <w:jc w:val="both"/>
        <w:rPr>
          <w:rFonts w:ascii="Book Antiqua" w:hAnsi="Book Antiqua"/>
          <w:b/>
          <w:sz w:val="26"/>
          <w:szCs w:val="26"/>
        </w:rPr>
      </w:pPr>
      <w:r>
        <w:rPr>
          <w:rFonts w:ascii="Book Antiqua" w:hAnsi="Book Antiqua"/>
          <w:b/>
          <w:sz w:val="26"/>
          <w:szCs w:val="26"/>
        </w:rPr>
        <w:t xml:space="preserve">5.0 </w:t>
      </w:r>
      <w:r w:rsidR="00C57EEC" w:rsidRPr="00057B43">
        <w:rPr>
          <w:rFonts w:ascii="Book Antiqua" w:hAnsi="Book Antiqua"/>
          <w:b/>
          <w:sz w:val="26"/>
          <w:szCs w:val="26"/>
        </w:rPr>
        <w:t>Conclusion</w:t>
      </w:r>
    </w:p>
    <w:p w14:paraId="3D3514B6" w14:textId="77777777" w:rsidR="00C57EEC" w:rsidRPr="00E3232D" w:rsidRDefault="00C57EEC" w:rsidP="00EB2A77">
      <w:pPr>
        <w:spacing w:after="0"/>
        <w:jc w:val="both"/>
        <w:rPr>
          <w:rFonts w:ascii="Book Antiqua" w:hAnsi="Book Antiqua"/>
        </w:rPr>
      </w:pPr>
      <w:r w:rsidRPr="00E3232D">
        <w:rPr>
          <w:rFonts w:ascii="Book Antiqua" w:hAnsi="Book Antiqua"/>
        </w:rPr>
        <w:t>It can be convincingly argued that IP protection plays catalytic role in stimulating R&amp;D. Furthermore, protection of IP has the potential to contribute positively to a country’s effort to attract FDI, increase foreign trade and provide the necessary environment for technology transfer.Ghanaian products such as NkulenuPalm , Neat Palm, Neat Fufu and Starkist Tuna among many others can be found both on the Ghanaian market and European markets and these products are doing so well in the European markets and a good source of earning foreign revenue for the companies involved.The</w:t>
      </w:r>
      <w:r w:rsidR="009B10C2">
        <w:rPr>
          <w:rFonts w:ascii="Book Antiqua" w:hAnsi="Book Antiqua"/>
        </w:rPr>
        <w:t xml:space="preserve">         </w:t>
      </w:r>
      <w:r w:rsidRPr="00E3232D">
        <w:rPr>
          <w:rFonts w:ascii="Book Antiqua" w:hAnsi="Book Antiqua"/>
        </w:rPr>
        <w:t>combination of all these factors contributes to greater potential for economic growth. Ghana has made some progress in its efforts to exploit IP but a lot more work needs to be done. There is the need to develop IP infrastructure, build human capacity through tertiary education, awareness creation and regular review of relevant laws to enable the country make the best use of IP for economic growth.</w:t>
      </w:r>
    </w:p>
    <w:p w14:paraId="38685FE9" w14:textId="77777777" w:rsidR="005C1D1B" w:rsidRDefault="005C1D1B" w:rsidP="00EB2A77">
      <w:pPr>
        <w:jc w:val="both"/>
        <w:rPr>
          <w:rFonts w:ascii="Book Antiqua" w:hAnsi="Book Antiqua"/>
          <w:b/>
        </w:rPr>
      </w:pPr>
    </w:p>
    <w:p w14:paraId="173446AA" w14:textId="77777777" w:rsidR="00C57EEC" w:rsidRPr="00057B43" w:rsidRDefault="00C57EEC" w:rsidP="00EB2A77">
      <w:pPr>
        <w:jc w:val="both"/>
        <w:rPr>
          <w:rFonts w:ascii="Book Antiqua" w:hAnsi="Book Antiqua"/>
          <w:b/>
          <w:sz w:val="26"/>
          <w:szCs w:val="26"/>
        </w:rPr>
      </w:pPr>
      <w:r w:rsidRPr="00057B43">
        <w:rPr>
          <w:rFonts w:ascii="Book Antiqua" w:hAnsi="Book Antiqua"/>
          <w:b/>
          <w:sz w:val="26"/>
          <w:szCs w:val="26"/>
        </w:rPr>
        <w:t>Acknowledgments</w:t>
      </w:r>
    </w:p>
    <w:p w14:paraId="4B879324" w14:textId="77777777" w:rsidR="00C57EEC" w:rsidRPr="00E3232D" w:rsidRDefault="00C57EEC" w:rsidP="00EB2A77">
      <w:pPr>
        <w:jc w:val="both"/>
        <w:rPr>
          <w:rFonts w:ascii="Book Antiqua" w:hAnsi="Book Antiqua"/>
        </w:rPr>
      </w:pPr>
      <w:r w:rsidRPr="00E3232D">
        <w:rPr>
          <w:rFonts w:ascii="Book Antiqua" w:hAnsi="Book Antiqua"/>
        </w:rPr>
        <w:t>We would like to acknowledge the Council for Scientific and Industrial Research, Ghana; The Ministr</w:t>
      </w:r>
      <w:r w:rsidR="0036609B">
        <w:rPr>
          <w:rFonts w:ascii="Book Antiqua" w:hAnsi="Book Antiqua"/>
        </w:rPr>
        <w:t>y of Trade and Industry, Ghana;</w:t>
      </w:r>
      <w:r w:rsidRPr="00E3232D">
        <w:rPr>
          <w:rFonts w:ascii="Book Antiqua" w:hAnsi="Book Antiqua"/>
        </w:rPr>
        <w:t>The Registrar General’s Department, Ministry of Justice, Ghana for their support.</w:t>
      </w:r>
    </w:p>
    <w:p w14:paraId="2B24AC70" w14:textId="77777777" w:rsidR="00C57EEC" w:rsidRPr="00E3232D" w:rsidRDefault="00C57EEC" w:rsidP="00EB2A77">
      <w:pPr>
        <w:jc w:val="both"/>
        <w:rPr>
          <w:rFonts w:ascii="Book Antiqua" w:hAnsi="Book Antiqua"/>
        </w:rPr>
      </w:pPr>
    </w:p>
    <w:p w14:paraId="38F80ECB" w14:textId="77777777" w:rsidR="00667C5F" w:rsidRDefault="00667C5F" w:rsidP="008275E1">
      <w:pPr>
        <w:rPr>
          <w:rFonts w:ascii="Book Antiqua" w:hAnsi="Book Antiqua"/>
        </w:rPr>
        <w:sectPr w:rsidR="00667C5F" w:rsidSect="008F6BC9">
          <w:type w:val="continuous"/>
          <w:pgSz w:w="11907" w:h="16839" w:code="9"/>
          <w:pgMar w:top="1440" w:right="1440" w:bottom="1440" w:left="1440" w:header="720" w:footer="720" w:gutter="0"/>
          <w:cols w:num="2" w:space="720"/>
          <w:docGrid w:linePitch="360"/>
        </w:sectPr>
      </w:pPr>
    </w:p>
    <w:p w14:paraId="1F5C4DE0" w14:textId="77777777" w:rsidR="00C57EEC" w:rsidRPr="00E3232D" w:rsidRDefault="00C57EEC" w:rsidP="008275E1">
      <w:pPr>
        <w:rPr>
          <w:rFonts w:ascii="Book Antiqua" w:hAnsi="Book Antiqua"/>
        </w:rPr>
      </w:pPr>
    </w:p>
    <w:p w14:paraId="332452D5" w14:textId="77777777" w:rsidR="00C57EEC" w:rsidRPr="00E3232D" w:rsidRDefault="00C57EEC" w:rsidP="008275E1">
      <w:pPr>
        <w:rPr>
          <w:rFonts w:ascii="Book Antiqua" w:hAnsi="Book Antiqua"/>
        </w:rPr>
      </w:pPr>
    </w:p>
    <w:p w14:paraId="138A81A9" w14:textId="77777777" w:rsidR="00C57EEC" w:rsidRPr="00E3232D" w:rsidRDefault="00C57EEC" w:rsidP="008275E1">
      <w:pPr>
        <w:rPr>
          <w:rFonts w:ascii="Book Antiqua" w:hAnsi="Book Antiqua"/>
        </w:rPr>
      </w:pPr>
    </w:p>
    <w:p w14:paraId="439CE06C" w14:textId="77777777" w:rsidR="00C57EEC" w:rsidRPr="00E3232D" w:rsidRDefault="00C57EEC" w:rsidP="008275E1">
      <w:pPr>
        <w:rPr>
          <w:rFonts w:ascii="Book Antiqua" w:hAnsi="Book Antiqua"/>
        </w:rPr>
      </w:pPr>
    </w:p>
    <w:p w14:paraId="745A79A1" w14:textId="77777777" w:rsidR="00C57EEC" w:rsidRPr="00E3232D" w:rsidRDefault="00C57EEC" w:rsidP="008275E1">
      <w:pPr>
        <w:rPr>
          <w:rFonts w:ascii="Book Antiqua" w:hAnsi="Book Antiqua"/>
        </w:rPr>
      </w:pPr>
    </w:p>
    <w:p w14:paraId="4DF912FE" w14:textId="77777777" w:rsidR="00C57EEC" w:rsidRPr="00E3232D" w:rsidRDefault="00C57EEC" w:rsidP="008275E1">
      <w:pPr>
        <w:rPr>
          <w:rFonts w:ascii="Book Antiqua" w:hAnsi="Book Antiqua"/>
        </w:rPr>
      </w:pPr>
    </w:p>
    <w:p w14:paraId="675A7DB4" w14:textId="77777777" w:rsidR="00C57EEC" w:rsidRPr="00E3232D" w:rsidRDefault="00C57EEC" w:rsidP="008275E1">
      <w:pPr>
        <w:rPr>
          <w:rFonts w:ascii="Book Antiqua" w:hAnsi="Book Antiqua"/>
        </w:rPr>
      </w:pPr>
    </w:p>
    <w:p w14:paraId="15953DA8" w14:textId="77777777" w:rsidR="00C57EEC" w:rsidRPr="00E3232D" w:rsidRDefault="00C57EEC" w:rsidP="008275E1">
      <w:pPr>
        <w:rPr>
          <w:rFonts w:ascii="Book Antiqua" w:hAnsi="Book Antiqua"/>
        </w:rPr>
      </w:pPr>
    </w:p>
    <w:p w14:paraId="196B12A7" w14:textId="77777777" w:rsidR="00350B24" w:rsidRPr="00E3232D" w:rsidRDefault="00350B24" w:rsidP="008275E1">
      <w:pPr>
        <w:pStyle w:val="NoSpacing"/>
        <w:spacing w:line="276" w:lineRule="auto"/>
        <w:rPr>
          <w:rFonts w:ascii="Book Antiqua" w:hAnsi="Book Antiqua"/>
          <w:b/>
        </w:rPr>
        <w:sectPr w:rsidR="00350B24" w:rsidRPr="00E3232D" w:rsidSect="008F6BC9">
          <w:type w:val="continuous"/>
          <w:pgSz w:w="11907" w:h="16839" w:code="9"/>
          <w:pgMar w:top="1440" w:right="1440" w:bottom="1440" w:left="1440" w:header="720" w:footer="720" w:gutter="0"/>
          <w:cols w:space="720"/>
          <w:docGrid w:linePitch="360"/>
        </w:sectPr>
      </w:pPr>
    </w:p>
    <w:p w14:paraId="3BB7421F" w14:textId="77777777" w:rsidR="0036609B" w:rsidRDefault="0036609B" w:rsidP="005C1D1B">
      <w:pPr>
        <w:pStyle w:val="NoSpacing"/>
        <w:spacing w:line="276" w:lineRule="auto"/>
        <w:jc w:val="center"/>
        <w:rPr>
          <w:rFonts w:ascii="Book Antiqua" w:hAnsi="Book Antiqua"/>
          <w:b/>
          <w:sz w:val="26"/>
          <w:szCs w:val="26"/>
        </w:rPr>
      </w:pPr>
    </w:p>
    <w:p w14:paraId="0070749C" w14:textId="77777777" w:rsidR="00886BA6" w:rsidRDefault="00886BA6" w:rsidP="005C1D1B">
      <w:pPr>
        <w:pStyle w:val="NoSpacing"/>
        <w:spacing w:line="276" w:lineRule="auto"/>
        <w:jc w:val="center"/>
        <w:rPr>
          <w:rFonts w:ascii="Book Antiqua" w:hAnsi="Book Antiqua"/>
          <w:b/>
          <w:sz w:val="26"/>
          <w:szCs w:val="26"/>
        </w:rPr>
      </w:pPr>
    </w:p>
    <w:p w14:paraId="753633E0" w14:textId="77777777" w:rsidR="00886BA6" w:rsidRDefault="00886BA6" w:rsidP="005C1D1B">
      <w:pPr>
        <w:pStyle w:val="NoSpacing"/>
        <w:spacing w:line="276" w:lineRule="auto"/>
        <w:jc w:val="center"/>
        <w:rPr>
          <w:rFonts w:ascii="Book Antiqua" w:hAnsi="Book Antiqua"/>
          <w:b/>
          <w:sz w:val="26"/>
          <w:szCs w:val="26"/>
        </w:rPr>
      </w:pPr>
    </w:p>
    <w:p w14:paraId="3B7102DA" w14:textId="77777777" w:rsidR="00886BA6" w:rsidRDefault="00886BA6" w:rsidP="005C1D1B">
      <w:pPr>
        <w:pStyle w:val="NoSpacing"/>
        <w:spacing w:line="276" w:lineRule="auto"/>
        <w:jc w:val="center"/>
        <w:rPr>
          <w:rFonts w:ascii="Book Antiqua" w:hAnsi="Book Antiqua"/>
          <w:b/>
          <w:sz w:val="26"/>
          <w:szCs w:val="26"/>
        </w:rPr>
      </w:pPr>
    </w:p>
    <w:p w14:paraId="7987288D" w14:textId="77777777" w:rsidR="00EB2A77" w:rsidRDefault="00EB2A77" w:rsidP="005C1D1B">
      <w:pPr>
        <w:pStyle w:val="NoSpacing"/>
        <w:spacing w:line="276" w:lineRule="auto"/>
        <w:jc w:val="center"/>
        <w:rPr>
          <w:rFonts w:ascii="Book Antiqua" w:hAnsi="Book Antiqua"/>
          <w:b/>
          <w:sz w:val="26"/>
          <w:szCs w:val="26"/>
        </w:rPr>
      </w:pPr>
    </w:p>
    <w:p w14:paraId="512BB4BD" w14:textId="77777777" w:rsidR="00EB2A77" w:rsidRDefault="00EB2A77" w:rsidP="005C1D1B">
      <w:pPr>
        <w:pStyle w:val="NoSpacing"/>
        <w:spacing w:line="276" w:lineRule="auto"/>
        <w:jc w:val="center"/>
        <w:rPr>
          <w:rFonts w:ascii="Book Antiqua" w:hAnsi="Book Antiqua"/>
          <w:b/>
          <w:sz w:val="26"/>
          <w:szCs w:val="26"/>
        </w:rPr>
      </w:pPr>
    </w:p>
    <w:p w14:paraId="14C198E5" w14:textId="77777777" w:rsidR="00EB2A77" w:rsidRDefault="00EB2A77" w:rsidP="005C1D1B">
      <w:pPr>
        <w:pStyle w:val="NoSpacing"/>
        <w:spacing w:line="276" w:lineRule="auto"/>
        <w:jc w:val="center"/>
        <w:rPr>
          <w:rFonts w:ascii="Book Antiqua" w:hAnsi="Book Antiqua"/>
          <w:b/>
          <w:sz w:val="26"/>
          <w:szCs w:val="26"/>
        </w:rPr>
      </w:pPr>
    </w:p>
    <w:p w14:paraId="621341B0" w14:textId="77777777" w:rsidR="00EB2A77" w:rsidRDefault="00EB2A77" w:rsidP="005C1D1B">
      <w:pPr>
        <w:pStyle w:val="NoSpacing"/>
        <w:spacing w:line="276" w:lineRule="auto"/>
        <w:jc w:val="center"/>
        <w:rPr>
          <w:rFonts w:ascii="Book Antiqua" w:hAnsi="Book Antiqua"/>
          <w:b/>
          <w:sz w:val="26"/>
          <w:szCs w:val="26"/>
        </w:rPr>
      </w:pPr>
    </w:p>
    <w:p w14:paraId="17CBD522" w14:textId="77777777" w:rsidR="00EB2A77" w:rsidRDefault="00EB2A77" w:rsidP="005C1D1B">
      <w:pPr>
        <w:pStyle w:val="NoSpacing"/>
        <w:spacing w:line="276" w:lineRule="auto"/>
        <w:jc w:val="center"/>
        <w:rPr>
          <w:rFonts w:ascii="Book Antiqua" w:hAnsi="Book Antiqua"/>
          <w:b/>
          <w:sz w:val="26"/>
          <w:szCs w:val="26"/>
        </w:rPr>
      </w:pPr>
    </w:p>
    <w:p w14:paraId="01BC24D0" w14:textId="77777777" w:rsidR="00886BA6" w:rsidRDefault="00886BA6" w:rsidP="005C1D1B">
      <w:pPr>
        <w:pStyle w:val="NoSpacing"/>
        <w:spacing w:line="276" w:lineRule="auto"/>
        <w:jc w:val="center"/>
        <w:rPr>
          <w:rFonts w:ascii="Book Antiqua" w:hAnsi="Book Antiqua"/>
          <w:b/>
          <w:sz w:val="26"/>
          <w:szCs w:val="26"/>
        </w:rPr>
        <w:sectPr w:rsidR="00886BA6" w:rsidSect="008F6BC9">
          <w:type w:val="continuous"/>
          <w:pgSz w:w="11907" w:h="16839" w:code="9"/>
          <w:pgMar w:top="1440" w:right="1440" w:bottom="1440" w:left="1440" w:header="720" w:footer="720" w:gutter="0"/>
          <w:cols w:space="720"/>
          <w:docGrid w:linePitch="360"/>
        </w:sectPr>
      </w:pPr>
    </w:p>
    <w:p w14:paraId="29DD0087" w14:textId="77777777" w:rsidR="002C470D" w:rsidRPr="005C1D1B" w:rsidRDefault="005C1D1B" w:rsidP="005C1D1B">
      <w:pPr>
        <w:pStyle w:val="NoSpacing"/>
        <w:spacing w:line="276" w:lineRule="auto"/>
        <w:jc w:val="center"/>
        <w:rPr>
          <w:rFonts w:ascii="Book Antiqua" w:hAnsi="Book Antiqua"/>
          <w:b/>
          <w:sz w:val="26"/>
          <w:szCs w:val="26"/>
        </w:rPr>
      </w:pPr>
      <w:r>
        <w:rPr>
          <w:rFonts w:ascii="Book Antiqua" w:hAnsi="Book Antiqua"/>
          <w:b/>
          <w:sz w:val="26"/>
          <w:szCs w:val="26"/>
        </w:rPr>
        <w:t>Assessment of the Operation o</w:t>
      </w:r>
      <w:r w:rsidR="002C470D" w:rsidRPr="005C1D1B">
        <w:rPr>
          <w:rFonts w:ascii="Book Antiqua" w:hAnsi="Book Antiqua"/>
          <w:b/>
          <w:sz w:val="26"/>
          <w:szCs w:val="26"/>
        </w:rPr>
        <w:t xml:space="preserve">f </w:t>
      </w:r>
      <w:r w:rsidRPr="005C1D1B">
        <w:rPr>
          <w:rFonts w:ascii="Book Antiqua" w:hAnsi="Book Antiqua"/>
          <w:b/>
          <w:sz w:val="26"/>
          <w:szCs w:val="26"/>
        </w:rPr>
        <w:t>a</w:t>
      </w:r>
      <w:r w:rsidR="002C470D" w:rsidRPr="005C1D1B">
        <w:rPr>
          <w:rFonts w:ascii="Book Antiqua" w:hAnsi="Book Antiqua"/>
          <w:b/>
          <w:sz w:val="26"/>
          <w:szCs w:val="26"/>
        </w:rPr>
        <w:t xml:space="preserve"> Demineralised Water Plant (42- WTP- 3)</w:t>
      </w:r>
    </w:p>
    <w:p w14:paraId="1E6A0108" w14:textId="77777777" w:rsidR="005C1D1B" w:rsidRDefault="005C1D1B" w:rsidP="005C1D1B">
      <w:pPr>
        <w:pStyle w:val="NoSpacing"/>
        <w:spacing w:line="276" w:lineRule="auto"/>
        <w:jc w:val="center"/>
        <w:rPr>
          <w:rFonts w:ascii="Book Antiqua" w:hAnsi="Book Antiqua"/>
          <w:b/>
        </w:rPr>
      </w:pPr>
    </w:p>
    <w:p w14:paraId="63B64D0C" w14:textId="77777777" w:rsidR="002C470D" w:rsidRPr="00E3232D" w:rsidRDefault="005C1D1B" w:rsidP="005C1D1B">
      <w:pPr>
        <w:pStyle w:val="NoSpacing"/>
        <w:spacing w:line="276" w:lineRule="auto"/>
        <w:jc w:val="center"/>
        <w:rPr>
          <w:rFonts w:ascii="Book Antiqua" w:hAnsi="Book Antiqua"/>
          <w:b/>
        </w:rPr>
      </w:pPr>
      <w:r>
        <w:rPr>
          <w:rFonts w:ascii="Book Antiqua" w:hAnsi="Book Antiqua"/>
          <w:b/>
        </w:rPr>
        <w:t>Assifuah</w:t>
      </w:r>
      <w:r w:rsidR="002C470D" w:rsidRPr="00E3232D">
        <w:rPr>
          <w:rFonts w:ascii="Book Antiqua" w:hAnsi="Book Antiqua"/>
          <w:b/>
        </w:rPr>
        <w:t xml:space="preserve"> J.</w:t>
      </w:r>
    </w:p>
    <w:p w14:paraId="63B6A797" w14:textId="77777777" w:rsidR="002C470D" w:rsidRPr="005C1D1B" w:rsidRDefault="002C470D" w:rsidP="005C1D1B">
      <w:pPr>
        <w:pStyle w:val="NoSpacing"/>
        <w:spacing w:line="276" w:lineRule="auto"/>
        <w:jc w:val="center"/>
        <w:rPr>
          <w:rFonts w:ascii="Book Antiqua" w:hAnsi="Book Antiqua"/>
        </w:rPr>
      </w:pPr>
      <w:r w:rsidRPr="005C1D1B">
        <w:rPr>
          <w:rFonts w:ascii="Book Antiqua" w:hAnsi="Book Antiqua"/>
        </w:rPr>
        <w:t>Utilities Department, Tema Oil Refinery, P O Box 599, Tema</w:t>
      </w:r>
    </w:p>
    <w:p w14:paraId="71482AB6" w14:textId="77777777" w:rsidR="002C470D" w:rsidRPr="005C1D1B" w:rsidRDefault="005C1D1B" w:rsidP="005C1D1B">
      <w:pPr>
        <w:pStyle w:val="NoSpacing"/>
        <w:spacing w:line="276" w:lineRule="auto"/>
        <w:jc w:val="center"/>
        <w:rPr>
          <w:rFonts w:ascii="Book Antiqua" w:hAnsi="Book Antiqua"/>
        </w:rPr>
      </w:pPr>
      <w:r w:rsidRPr="005C1D1B">
        <w:rPr>
          <w:rFonts w:ascii="Book Antiqua" w:hAnsi="Book Antiqua"/>
          <w:b/>
        </w:rPr>
        <w:t>E</w:t>
      </w:r>
      <w:r w:rsidR="00DA6431">
        <w:rPr>
          <w:rFonts w:ascii="Book Antiqua" w:hAnsi="Book Antiqua"/>
          <w:b/>
        </w:rPr>
        <w:t>-</w:t>
      </w:r>
      <w:r w:rsidRPr="005C1D1B">
        <w:rPr>
          <w:rFonts w:ascii="Book Antiqua" w:hAnsi="Book Antiqua"/>
          <w:b/>
        </w:rPr>
        <w:t>mail:</w:t>
      </w:r>
      <w:r w:rsidRPr="005C1D1B">
        <w:rPr>
          <w:rFonts w:ascii="Book Antiqua" w:hAnsi="Book Antiqua"/>
        </w:rPr>
        <w:t xml:space="preserve"> </w:t>
      </w:r>
      <w:r w:rsidR="002C470D" w:rsidRPr="005C1D1B">
        <w:rPr>
          <w:rFonts w:ascii="Book Antiqua" w:hAnsi="Book Antiqua"/>
        </w:rPr>
        <w:t>jonassifuah@yahoo.com</w:t>
      </w:r>
    </w:p>
    <w:p w14:paraId="789B86AB" w14:textId="77777777" w:rsidR="005C1D1B" w:rsidRDefault="005C1D1B" w:rsidP="008275E1">
      <w:pPr>
        <w:pStyle w:val="NoSpacing"/>
        <w:spacing w:line="276" w:lineRule="auto"/>
        <w:rPr>
          <w:rFonts w:ascii="Book Antiqua" w:hAnsi="Book Antiqua"/>
          <w:b/>
        </w:rPr>
      </w:pPr>
    </w:p>
    <w:p w14:paraId="018A4663" w14:textId="77777777" w:rsidR="002C470D" w:rsidRPr="00057B43" w:rsidRDefault="002C470D" w:rsidP="00EB2A77">
      <w:pPr>
        <w:pStyle w:val="NoSpacing"/>
        <w:spacing w:line="276" w:lineRule="auto"/>
        <w:jc w:val="both"/>
        <w:rPr>
          <w:rFonts w:ascii="Book Antiqua" w:hAnsi="Book Antiqua"/>
          <w:b/>
          <w:sz w:val="26"/>
          <w:szCs w:val="26"/>
        </w:rPr>
      </w:pPr>
      <w:r w:rsidRPr="00057B43">
        <w:rPr>
          <w:rFonts w:ascii="Book Antiqua" w:hAnsi="Book Antiqua"/>
          <w:b/>
          <w:sz w:val="26"/>
          <w:szCs w:val="26"/>
        </w:rPr>
        <w:t>Abstract</w:t>
      </w:r>
    </w:p>
    <w:p w14:paraId="30BAE59C" w14:textId="77777777" w:rsidR="002C470D" w:rsidRPr="00E3232D" w:rsidRDefault="002C470D" w:rsidP="00EB2A77">
      <w:pPr>
        <w:pStyle w:val="NoSpacing"/>
        <w:spacing w:line="276" w:lineRule="auto"/>
        <w:jc w:val="both"/>
        <w:rPr>
          <w:rFonts w:ascii="Book Antiqua" w:hAnsi="Book Antiqua"/>
        </w:rPr>
      </w:pPr>
      <w:r w:rsidRPr="00E3232D">
        <w:rPr>
          <w:rFonts w:ascii="Book Antiqua" w:hAnsi="Book Antiqua"/>
        </w:rPr>
        <w:t>An assessment was carried out on the operations of 42-WTP-3 to identify the problems there and suggest solutions. The problems identified include, the malfunctioning of the instrumentation and programmable logic controllers at the plant; and the frequent shutdown of 42-WTP-3 on low pH. 42-WTP-3 was designed to operate in a fully automatic or semi-automatic mode. However the assessment established that it has never been operated in the fully automatic mode. The semi-automatic mode in which 42-WTP-3 was able to operate with some challenges ceased to be operational in 2011. Also 42-WTP-3 was installed without carbon filters. These challenges largely affect the efficiency of the plant. The assessment has proposed some recommendations which may help improve the efficiency of 42-WTP-3.</w:t>
      </w:r>
    </w:p>
    <w:p w14:paraId="0D075A82" w14:textId="77777777" w:rsidR="005C1D1B" w:rsidRDefault="005C1D1B" w:rsidP="008275E1">
      <w:pPr>
        <w:pStyle w:val="NoSpacing"/>
        <w:spacing w:line="276" w:lineRule="auto"/>
        <w:rPr>
          <w:rFonts w:ascii="Book Antiqua" w:hAnsi="Book Antiqua"/>
          <w:b/>
        </w:rPr>
      </w:pPr>
    </w:p>
    <w:p w14:paraId="6E27DB1E" w14:textId="77777777" w:rsidR="00350B24" w:rsidRPr="00EB2A77" w:rsidRDefault="00057B43" w:rsidP="008275E1">
      <w:pPr>
        <w:pStyle w:val="NoSpacing"/>
        <w:spacing w:line="276" w:lineRule="auto"/>
        <w:rPr>
          <w:rFonts w:ascii="Book Antiqua" w:hAnsi="Book Antiqua"/>
          <w:b/>
          <w:sz w:val="26"/>
          <w:szCs w:val="26"/>
        </w:rPr>
      </w:pPr>
      <w:r w:rsidRPr="00057B43">
        <w:rPr>
          <w:rFonts w:ascii="Book Antiqua" w:hAnsi="Book Antiqua"/>
          <w:b/>
          <w:sz w:val="26"/>
          <w:szCs w:val="26"/>
        </w:rPr>
        <w:t>Keywords</w:t>
      </w:r>
      <w:r w:rsidR="00EB2A77">
        <w:rPr>
          <w:rFonts w:ascii="Book Antiqua" w:hAnsi="Book Antiqua"/>
          <w:b/>
          <w:sz w:val="26"/>
          <w:szCs w:val="26"/>
        </w:rPr>
        <w:t xml:space="preserve">: </w:t>
      </w:r>
      <w:r w:rsidR="002C470D" w:rsidRPr="00E3232D">
        <w:rPr>
          <w:rFonts w:ascii="Book Antiqua" w:hAnsi="Book Antiqua"/>
        </w:rPr>
        <w:t xml:space="preserve">Demineralisation; </w:t>
      </w:r>
      <w:r w:rsidR="00EB2A77" w:rsidRPr="00E3232D">
        <w:rPr>
          <w:rFonts w:ascii="Book Antiqua" w:hAnsi="Book Antiqua"/>
        </w:rPr>
        <w:t>Water; Plant; Resins; Regeneration</w:t>
      </w:r>
    </w:p>
    <w:p w14:paraId="0A0E04B3" w14:textId="77777777" w:rsidR="00DA6431" w:rsidRDefault="00DA6431" w:rsidP="008275E1">
      <w:pPr>
        <w:pStyle w:val="NoSpacing"/>
        <w:spacing w:line="276" w:lineRule="auto"/>
        <w:rPr>
          <w:rFonts w:ascii="Book Antiqua" w:hAnsi="Book Antiqua"/>
        </w:rPr>
        <w:sectPr w:rsidR="00DA6431" w:rsidSect="008F6BC9">
          <w:type w:val="continuous"/>
          <w:pgSz w:w="11907" w:h="16839" w:code="9"/>
          <w:pgMar w:top="1440" w:right="1440" w:bottom="1440" w:left="1440" w:header="720" w:footer="720" w:gutter="0"/>
          <w:cols w:space="720"/>
          <w:docGrid w:linePitch="360"/>
        </w:sectPr>
      </w:pPr>
    </w:p>
    <w:p w14:paraId="56D70D62" w14:textId="77777777" w:rsidR="00350B24" w:rsidRPr="00E3232D" w:rsidRDefault="00350B24" w:rsidP="00EB2A77">
      <w:pPr>
        <w:pStyle w:val="NoSpacing"/>
        <w:spacing w:line="276" w:lineRule="auto"/>
        <w:jc w:val="both"/>
        <w:rPr>
          <w:rFonts w:ascii="Book Antiqua" w:hAnsi="Book Antiqua"/>
        </w:rPr>
      </w:pPr>
    </w:p>
    <w:p w14:paraId="132957F3" w14:textId="77777777" w:rsidR="00350B24" w:rsidRPr="00E3232D" w:rsidRDefault="00350B24" w:rsidP="00EB2A77">
      <w:pPr>
        <w:pStyle w:val="NoSpacing"/>
        <w:spacing w:line="276" w:lineRule="auto"/>
        <w:jc w:val="both"/>
        <w:rPr>
          <w:rFonts w:ascii="Book Antiqua" w:hAnsi="Book Antiqua"/>
        </w:rPr>
        <w:sectPr w:rsidR="00350B24" w:rsidRPr="00E3232D" w:rsidSect="008F6BC9">
          <w:type w:val="continuous"/>
          <w:pgSz w:w="11907" w:h="16839" w:code="9"/>
          <w:pgMar w:top="1440" w:right="1440" w:bottom="1440" w:left="1440" w:header="720" w:footer="720" w:gutter="0"/>
          <w:cols w:space="720"/>
          <w:docGrid w:linePitch="360"/>
        </w:sectPr>
      </w:pPr>
    </w:p>
    <w:p w14:paraId="341FB59B" w14:textId="77777777" w:rsidR="00350B24" w:rsidRPr="00057B43" w:rsidRDefault="00EB2A77" w:rsidP="00EB2A77">
      <w:pPr>
        <w:pStyle w:val="NoSpacing"/>
        <w:spacing w:line="276" w:lineRule="auto"/>
        <w:jc w:val="both"/>
        <w:rPr>
          <w:rFonts w:ascii="Book Antiqua" w:hAnsi="Book Antiqua"/>
          <w:b/>
          <w:sz w:val="26"/>
          <w:szCs w:val="26"/>
        </w:rPr>
      </w:pPr>
      <w:r>
        <w:rPr>
          <w:rFonts w:ascii="Book Antiqua" w:hAnsi="Book Antiqua"/>
          <w:b/>
          <w:sz w:val="26"/>
          <w:szCs w:val="26"/>
        </w:rPr>
        <w:t xml:space="preserve">1.0 </w:t>
      </w:r>
      <w:r w:rsidR="00350B24" w:rsidRPr="00057B43">
        <w:rPr>
          <w:rFonts w:ascii="Book Antiqua" w:hAnsi="Book Antiqua"/>
          <w:b/>
          <w:sz w:val="26"/>
          <w:szCs w:val="26"/>
        </w:rPr>
        <w:t>Introduction</w:t>
      </w:r>
    </w:p>
    <w:p w14:paraId="3F86DB38"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 xml:space="preserve">The refinery depends largely on </w:t>
      </w:r>
      <w:r w:rsidRPr="00E3232D">
        <w:rPr>
          <w:rFonts w:ascii="Book Antiqua" w:hAnsi="Book Antiqua"/>
          <w:lang w:val="en-GB"/>
        </w:rPr>
        <w:t>demineralised</w:t>
      </w:r>
      <w:r w:rsidRPr="00E3232D">
        <w:rPr>
          <w:rFonts w:ascii="Book Antiqua" w:hAnsi="Book Antiqua"/>
        </w:rPr>
        <w:t xml:space="preserve"> water for its activities such as steam generation, temperature control, hydrostatic test and condensation. The demineralised water plant, 42-WTP-3, was manufactured by a Canadian company, Anderson Water Systems and installed in 2006 by RAM Co. Ltd, a Canadian company based in Ghana. The management of Tema Oil Refinery deemed it necessary to expand its demineralised water production when a new boiler was procured. </w:t>
      </w:r>
    </w:p>
    <w:p w14:paraId="3394BA01" w14:textId="77777777" w:rsidR="00350B24" w:rsidRPr="00E3232D" w:rsidRDefault="00350B24" w:rsidP="00EB2A77">
      <w:pPr>
        <w:pStyle w:val="NoSpacing"/>
        <w:spacing w:line="276" w:lineRule="auto"/>
        <w:jc w:val="both"/>
        <w:rPr>
          <w:rFonts w:ascii="Book Antiqua" w:hAnsi="Book Antiqua"/>
        </w:rPr>
      </w:pPr>
    </w:p>
    <w:p w14:paraId="6BB076DA" w14:textId="77777777" w:rsidR="00742E82" w:rsidRDefault="00742E82" w:rsidP="00EB2A77">
      <w:pPr>
        <w:pStyle w:val="NoSpacing"/>
        <w:spacing w:line="276" w:lineRule="auto"/>
        <w:jc w:val="both"/>
        <w:rPr>
          <w:rFonts w:ascii="Book Antiqua" w:hAnsi="Book Antiqua"/>
          <w:b/>
        </w:rPr>
      </w:pPr>
    </w:p>
    <w:p w14:paraId="6BCC75C4" w14:textId="77777777" w:rsidR="00742E82" w:rsidRDefault="00742E82" w:rsidP="00EB2A77">
      <w:pPr>
        <w:pStyle w:val="NoSpacing"/>
        <w:spacing w:line="276" w:lineRule="auto"/>
        <w:jc w:val="both"/>
        <w:rPr>
          <w:rFonts w:ascii="Book Antiqua" w:hAnsi="Book Antiqua"/>
          <w:b/>
        </w:rPr>
      </w:pPr>
    </w:p>
    <w:p w14:paraId="1DCEC1B0" w14:textId="77777777" w:rsidR="00742E82" w:rsidRDefault="00742E82" w:rsidP="00EB2A77">
      <w:pPr>
        <w:pStyle w:val="NoSpacing"/>
        <w:spacing w:line="276" w:lineRule="auto"/>
        <w:jc w:val="both"/>
        <w:rPr>
          <w:rFonts w:ascii="Book Antiqua" w:hAnsi="Book Antiqua"/>
          <w:b/>
        </w:rPr>
      </w:pPr>
    </w:p>
    <w:p w14:paraId="1FE93C8E"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1.1 Construction of Water Treatment Plant (42-WTP-3)</w:t>
      </w:r>
    </w:p>
    <w:p w14:paraId="51C4CF3A"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42-WTP-3 consists of a twin demineraliser namely Train1 and Train 2. Each train has a production capacity of forty metre-per-hour (40 m</w:t>
      </w:r>
      <w:r w:rsidRPr="00E3232D">
        <w:rPr>
          <w:rFonts w:ascii="Book Antiqua" w:hAnsi="Book Antiqua"/>
          <w:vertAlign w:val="superscript"/>
        </w:rPr>
        <w:t>3</w:t>
      </w:r>
      <w:r w:rsidRPr="00E3232D">
        <w:rPr>
          <w:rFonts w:ascii="Book Antiqua" w:hAnsi="Book Antiqua"/>
        </w:rPr>
        <w:t>hr</w:t>
      </w:r>
      <w:r w:rsidRPr="00E3232D">
        <w:rPr>
          <w:rFonts w:ascii="Book Antiqua" w:hAnsi="Book Antiqua"/>
          <w:vertAlign w:val="superscript"/>
        </w:rPr>
        <w:t>-1</w:t>
      </w:r>
      <w:r w:rsidRPr="00E3232D">
        <w:rPr>
          <w:rFonts w:ascii="Book Antiqua" w:hAnsi="Book Antiqua"/>
        </w:rPr>
        <w:t>) and comprises of:</w:t>
      </w:r>
    </w:p>
    <w:p w14:paraId="064ED464" w14:textId="77777777" w:rsidR="00350B24" w:rsidRPr="00E3232D" w:rsidRDefault="00350B24" w:rsidP="00EB2A77">
      <w:pPr>
        <w:pStyle w:val="NoSpacing"/>
        <w:numPr>
          <w:ilvl w:val="0"/>
          <w:numId w:val="129"/>
        </w:numPr>
        <w:spacing w:line="276" w:lineRule="auto"/>
        <w:jc w:val="both"/>
        <w:rPr>
          <w:rFonts w:ascii="Book Antiqua" w:hAnsi="Book Antiqua"/>
        </w:rPr>
      </w:pPr>
      <w:r w:rsidRPr="00E3232D">
        <w:rPr>
          <w:rFonts w:ascii="Book Antiqua" w:hAnsi="Book Antiqua"/>
        </w:rPr>
        <w:t>A cationic column containing negatively charged resin bed.</w:t>
      </w:r>
    </w:p>
    <w:p w14:paraId="1936BE85" w14:textId="77777777" w:rsidR="00350B24" w:rsidRPr="00E3232D" w:rsidRDefault="00350B24" w:rsidP="00EB2A77">
      <w:pPr>
        <w:pStyle w:val="NoSpacing"/>
        <w:numPr>
          <w:ilvl w:val="0"/>
          <w:numId w:val="129"/>
        </w:numPr>
        <w:spacing w:line="276" w:lineRule="auto"/>
        <w:jc w:val="both"/>
        <w:rPr>
          <w:rFonts w:ascii="Book Antiqua" w:hAnsi="Book Antiqua"/>
        </w:rPr>
      </w:pPr>
      <w:r w:rsidRPr="00E3232D">
        <w:rPr>
          <w:rFonts w:ascii="Book Antiqua" w:hAnsi="Book Antiqua"/>
        </w:rPr>
        <w:t>An anionic column containing positively charged resin bed.</w:t>
      </w:r>
    </w:p>
    <w:p w14:paraId="6437C503" w14:textId="77777777" w:rsidR="00350B24" w:rsidRPr="00E3232D" w:rsidRDefault="00350B24" w:rsidP="00EB2A77">
      <w:pPr>
        <w:pStyle w:val="NoSpacing"/>
        <w:numPr>
          <w:ilvl w:val="0"/>
          <w:numId w:val="129"/>
        </w:numPr>
        <w:spacing w:line="276" w:lineRule="auto"/>
        <w:jc w:val="both"/>
        <w:rPr>
          <w:rFonts w:ascii="Book Antiqua" w:hAnsi="Book Antiqua"/>
        </w:rPr>
      </w:pPr>
      <w:r w:rsidRPr="00E3232D">
        <w:rPr>
          <w:rFonts w:ascii="Book Antiqua" w:hAnsi="Book Antiqua"/>
        </w:rPr>
        <w:t>Pipes with pneumatic operated valves interconnecting the cationic and anionic columns which are arranged in series.</w:t>
      </w:r>
    </w:p>
    <w:p w14:paraId="4A8DF5FB" w14:textId="77777777" w:rsidR="00350B24" w:rsidRPr="00E3232D" w:rsidRDefault="00350B24" w:rsidP="00EB2A77">
      <w:pPr>
        <w:pStyle w:val="NoSpacing"/>
        <w:numPr>
          <w:ilvl w:val="0"/>
          <w:numId w:val="129"/>
        </w:numPr>
        <w:spacing w:line="276" w:lineRule="auto"/>
        <w:jc w:val="both"/>
        <w:rPr>
          <w:rFonts w:ascii="Book Antiqua" w:hAnsi="Book Antiqua"/>
        </w:rPr>
      </w:pPr>
      <w:r w:rsidRPr="00E3232D">
        <w:rPr>
          <w:rFonts w:ascii="Book Antiqua" w:hAnsi="Book Antiqua"/>
        </w:rPr>
        <w:t>Manually operated valves connecting 42-WTP-3 to pre-treated water supply and demineralised water tanks G33, G34, G39 and G60.</w:t>
      </w:r>
    </w:p>
    <w:p w14:paraId="43227B9F" w14:textId="77777777" w:rsidR="00350B24" w:rsidRPr="00E3232D" w:rsidRDefault="00350B24" w:rsidP="00EB2A77">
      <w:pPr>
        <w:pStyle w:val="NoSpacing"/>
        <w:numPr>
          <w:ilvl w:val="0"/>
          <w:numId w:val="129"/>
        </w:numPr>
        <w:spacing w:line="276" w:lineRule="auto"/>
        <w:jc w:val="both"/>
        <w:rPr>
          <w:rFonts w:ascii="Book Antiqua" w:hAnsi="Book Antiqua"/>
        </w:rPr>
      </w:pPr>
      <w:r w:rsidRPr="00E3232D">
        <w:rPr>
          <w:rFonts w:ascii="Book Antiqua" w:hAnsi="Book Antiqua"/>
        </w:rPr>
        <w:t>A junction box containing pneumatic actuators for the operation of the valves on the pipes connecting the ion exchange vessels.</w:t>
      </w:r>
    </w:p>
    <w:p w14:paraId="1CED49A5"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A diagrammatic representation of a train of the plant is as follows:</w:t>
      </w:r>
    </w:p>
    <w:p w14:paraId="562F1256" w14:textId="77777777" w:rsidR="00350B24" w:rsidRDefault="00350B24" w:rsidP="00EB2A77">
      <w:pPr>
        <w:pStyle w:val="NoSpacing"/>
        <w:spacing w:line="276" w:lineRule="auto"/>
        <w:ind w:left="720"/>
        <w:jc w:val="both"/>
        <w:rPr>
          <w:rFonts w:ascii="Book Antiqua" w:hAnsi="Book Antiqua"/>
        </w:rPr>
      </w:pPr>
    </w:p>
    <w:p w14:paraId="66DF4D73" w14:textId="77777777" w:rsidR="005C1D1B" w:rsidRDefault="005C1D1B" w:rsidP="00EB2A77">
      <w:pPr>
        <w:pStyle w:val="NoSpacing"/>
        <w:spacing w:line="276" w:lineRule="auto"/>
        <w:ind w:left="720"/>
        <w:jc w:val="both"/>
        <w:rPr>
          <w:rFonts w:ascii="Book Antiqua" w:hAnsi="Book Antiqua"/>
        </w:rPr>
      </w:pPr>
    </w:p>
    <w:p w14:paraId="1FAB174F" w14:textId="77777777" w:rsidR="005C1D1B" w:rsidRPr="00E3232D" w:rsidRDefault="005C1D1B" w:rsidP="008275E1">
      <w:pPr>
        <w:pStyle w:val="NoSpacing"/>
        <w:spacing w:line="276" w:lineRule="auto"/>
        <w:ind w:left="720"/>
        <w:rPr>
          <w:rFonts w:ascii="Book Antiqua" w:hAnsi="Book Antiqua"/>
        </w:rPr>
        <w:sectPr w:rsidR="005C1D1B" w:rsidRPr="00E3232D" w:rsidSect="008F6BC9">
          <w:type w:val="continuous"/>
          <w:pgSz w:w="11907" w:h="16839" w:code="9"/>
          <w:pgMar w:top="1440" w:right="1440" w:bottom="1440" w:left="1440" w:header="720" w:footer="720" w:gutter="0"/>
          <w:cols w:num="2" w:space="720"/>
          <w:docGrid w:linePitch="360"/>
        </w:sectPr>
      </w:pPr>
    </w:p>
    <w:p w14:paraId="01AA0613" w14:textId="77777777" w:rsidR="00350B24" w:rsidRPr="00E3232D" w:rsidRDefault="00850DC5" w:rsidP="008275E1">
      <w:pPr>
        <w:pStyle w:val="NoSpacing"/>
        <w:spacing w:line="276" w:lineRule="auto"/>
        <w:ind w:left="720"/>
        <w:rPr>
          <w:rFonts w:ascii="Book Antiqua" w:hAnsi="Book Antiqua"/>
          <w:b/>
        </w:rPr>
      </w:pPr>
      <w:r>
        <w:rPr>
          <w:rFonts w:ascii="Book Antiqua" w:hAnsi="Book Antiqua"/>
          <w:noProof/>
        </w:rPr>
        <w:pict w14:anchorId="12ED0F1B">
          <v:shape id="_x0000_s1705" type="#_x0000_t32" style="position:absolute;left:0;text-align:left;margin-left:384pt;margin-top:12.75pt;width:0;height:14.25pt;flip:y;z-index:251800064" o:connectortype="straight">
            <v:stroke dashstyle="longDash"/>
          </v:shape>
        </w:pict>
      </w:r>
      <w:r>
        <w:rPr>
          <w:rFonts w:ascii="Book Antiqua" w:hAnsi="Book Antiqua"/>
          <w:noProof/>
        </w:rPr>
        <w:pict w14:anchorId="2B692E9D">
          <v:shape id="_x0000_s1704" type="#_x0000_t32" style="position:absolute;left:0;text-align:left;margin-left:120pt;margin-top:12.75pt;width:264pt;height:0;z-index:251799040" o:connectortype="straight">
            <v:stroke dashstyle="longDash"/>
          </v:shape>
        </w:pict>
      </w:r>
      <w:r>
        <w:rPr>
          <w:rFonts w:ascii="Book Antiqua" w:hAnsi="Book Antiqua"/>
          <w:noProof/>
        </w:rPr>
        <w:pict w14:anchorId="7D2E1286">
          <v:shape id="_x0000_s1703" type="#_x0000_t32" style="position:absolute;left:0;text-align:left;margin-left:120pt;margin-top:12.75pt;width:0;height:14.25pt;flip:y;z-index:251798016" o:connectortype="straight">
            <v:stroke dashstyle="dashDot"/>
          </v:shape>
        </w:pict>
      </w:r>
      <w:r w:rsidR="00350B24" w:rsidRPr="00E3232D">
        <w:rPr>
          <w:rFonts w:ascii="Book Antiqua" w:hAnsi="Book Antiqua"/>
        </w:rPr>
        <w:t xml:space="preserve">                                                                 </w:t>
      </w:r>
      <w:r w:rsidR="00350B24" w:rsidRPr="00E3232D">
        <w:rPr>
          <w:rFonts w:ascii="Book Antiqua" w:hAnsi="Book Antiqua"/>
          <w:b/>
        </w:rPr>
        <w:t xml:space="preserve">Cation                                Anion                             </w:t>
      </w:r>
    </w:p>
    <w:p w14:paraId="72B7A83E" w14:textId="77777777" w:rsidR="00350B24" w:rsidRPr="00E3232D" w:rsidRDefault="00850DC5" w:rsidP="008275E1">
      <w:pPr>
        <w:pStyle w:val="NoSpacing"/>
        <w:spacing w:line="276" w:lineRule="auto"/>
        <w:ind w:left="720"/>
        <w:rPr>
          <w:rFonts w:ascii="Book Antiqua" w:hAnsi="Book Antiqua"/>
        </w:rPr>
      </w:pPr>
      <w:r>
        <w:rPr>
          <w:rFonts w:ascii="Book Antiqua" w:hAnsi="Book Antiqua"/>
          <w:noProof/>
        </w:rPr>
        <w:pict w14:anchorId="6B89A88C">
          <v:shape id="_x0000_s1673" type="#_x0000_t32" style="position:absolute;left:0;text-align:left;margin-left:325.5pt;margin-top:9.3pt;width:0;height:9.5pt;z-index:251767296" o:connectortype="straight" strokeweight="2pt"/>
        </w:pict>
      </w:r>
      <w:r>
        <w:rPr>
          <w:rFonts w:ascii="Book Antiqua" w:hAnsi="Book Antiqua"/>
          <w:noProof/>
        </w:rPr>
        <w:pict w14:anchorId="1B13E518">
          <v:shape id="_x0000_s1672" type="#_x0000_t32" style="position:absolute;left:0;text-align:left;margin-left:315.75pt;margin-top:9.85pt;width:9.75pt;height:0;z-index:251766272" o:connectortype="straight" strokeweight="2pt"/>
        </w:pict>
      </w:r>
      <w:r>
        <w:rPr>
          <w:rFonts w:ascii="Book Antiqua" w:hAnsi="Book Antiqua"/>
          <w:noProof/>
        </w:rPr>
        <w:pict w14:anchorId="6548824A">
          <v:shape id="_x0000_s1671" type="#_x0000_t32" style="position:absolute;left:0;text-align:left;margin-left:316.5pt;margin-top:9.85pt;width:.75pt;height:53.45pt;flip:x;z-index:251765248" o:connectortype="straight" strokeweight="2pt"/>
        </w:pict>
      </w:r>
      <w:r>
        <w:rPr>
          <w:rFonts w:ascii="Book Antiqua" w:hAnsi="Book Antiqua"/>
          <w:noProof/>
        </w:rPr>
        <w:pict w14:anchorId="29BB300B">
          <v:shape id="_x0000_s1647" type="#_x0000_t32" style="position:absolute;left:0;text-align:left;margin-left:226.5pt;margin-top:9.35pt;width:0;height:9.5pt;z-index:251740672" o:connectortype="straight" strokeweight="2pt"/>
        </w:pict>
      </w:r>
      <w:r>
        <w:rPr>
          <w:rFonts w:ascii="Book Antiqua" w:hAnsi="Book Antiqua"/>
          <w:noProof/>
        </w:rPr>
        <w:pict w14:anchorId="0D2EE3B3">
          <v:shape id="_x0000_s1646" type="#_x0000_t32" style="position:absolute;left:0;text-align:left;margin-left:216.75pt;margin-top:9.85pt;width:9.75pt;height:0;z-index:251739648" o:connectortype="straight" strokeweight="2pt"/>
        </w:pict>
      </w:r>
      <w:r>
        <w:rPr>
          <w:rFonts w:ascii="Book Antiqua" w:hAnsi="Book Antiqua"/>
          <w:noProof/>
        </w:rPr>
        <w:pict w14:anchorId="5AE20B5D">
          <v:rect id="_x0000_s1634" style="position:absolute;left:0;text-align:left;margin-left:144.6pt;margin-top:9.85pt;width:30.75pt;height:29.25pt;z-index:251727360">
            <v:textbox style="mso-next-textbox:#_x0000_s1634">
              <w:txbxContent>
                <w:p w14:paraId="1DCF22E8" w14:textId="77777777" w:rsidR="00E2396E" w:rsidRPr="004375A1" w:rsidRDefault="00E2396E" w:rsidP="00350B24">
                  <w:pPr>
                    <w:rPr>
                      <w:rFonts w:ascii="Times New Roman" w:hAnsi="Times New Roman"/>
                      <w:sz w:val="20"/>
                    </w:rPr>
                  </w:pPr>
                  <w:r w:rsidRPr="004375A1">
                    <w:rPr>
                      <w:rFonts w:ascii="Times New Roman" w:hAnsi="Times New Roman"/>
                      <w:sz w:val="20"/>
                    </w:rPr>
                    <w:t>JB1</w:t>
                  </w:r>
                </w:p>
              </w:txbxContent>
            </v:textbox>
          </v:rect>
        </w:pict>
      </w:r>
      <w:r>
        <w:rPr>
          <w:rFonts w:ascii="Book Antiqua" w:hAnsi="Book Antiqua"/>
          <w:noProof/>
        </w:rPr>
        <w:pict w14:anchorId="2CDAD79D">
          <v:shape id="_x0000_s1645" type="#_x0000_t32" style="position:absolute;left:0;text-align:left;margin-left:216.75pt;margin-top:9.85pt;width:.75pt;height:53.45pt;flip:x;z-index:251738624" o:connectortype="straight" strokeweight="2pt"/>
        </w:pict>
      </w:r>
    </w:p>
    <w:p w14:paraId="0ABE4C36" w14:textId="77777777" w:rsidR="00350B24" w:rsidRPr="00E3232D" w:rsidRDefault="00850DC5" w:rsidP="008275E1">
      <w:pPr>
        <w:pStyle w:val="NoSpacing"/>
        <w:spacing w:line="276" w:lineRule="auto"/>
        <w:ind w:left="720"/>
        <w:rPr>
          <w:rFonts w:ascii="Book Antiqua" w:hAnsi="Book Antiqua"/>
        </w:rPr>
      </w:pPr>
      <w:r>
        <w:rPr>
          <w:rFonts w:ascii="Book Antiqua" w:hAnsi="Book Antiqua"/>
          <w:noProof/>
        </w:rPr>
        <w:pict w14:anchorId="628E59EE">
          <v:roundrect id="_x0000_s1650" style="position:absolute;left:0;text-align:left;margin-left:288.75pt;margin-top:5.4pt;width:74.25pt;height:106.25pt;z-index:251743744" arcsize="10923f" filled="f"/>
        </w:pict>
      </w:r>
      <w:r>
        <w:rPr>
          <w:rFonts w:ascii="Book Antiqua" w:hAnsi="Book Antiqua"/>
          <w:noProof/>
        </w:rPr>
        <w:pict w14:anchorId="0A1CECA3">
          <v:roundrect id="_x0000_s1632" style="position:absolute;left:0;text-align:left;margin-left:186.75pt;margin-top:5.35pt;width:74.25pt;height:106.3pt;z-index:251725312" arcsize="10923f" filled="f"/>
        </w:pict>
      </w:r>
      <w:r>
        <w:rPr>
          <w:rFonts w:ascii="Book Antiqua" w:hAnsi="Book Antiqua"/>
          <w:noProof/>
        </w:rPr>
        <w:pict w14:anchorId="12AECF48">
          <v:shape id="_x0000_s1709" type="#_x0000_t32" style="position:absolute;left:0;text-align:left;margin-left:80.25pt;margin-top:11.75pt;width:13.5pt;height:0;z-index:251804160" o:connectortype="straight">
            <v:stroke dashstyle="longDash"/>
          </v:shape>
        </w:pict>
      </w:r>
      <w:r>
        <w:rPr>
          <w:rFonts w:ascii="Book Antiqua" w:hAnsi="Book Antiqua"/>
          <w:noProof/>
        </w:rPr>
        <w:pict w14:anchorId="5752BB1F">
          <v:rect id="_x0000_s1635" style="position:absolute;left:0;text-align:left;margin-left:370.5pt;margin-top:.15pt;width:33pt;height:29.25pt;z-index:251728384">
            <v:textbox style="mso-next-textbox:#_x0000_s1635">
              <w:txbxContent>
                <w:p w14:paraId="3DCA17BA" w14:textId="77777777" w:rsidR="00E2396E" w:rsidRPr="00676F6A" w:rsidRDefault="00E2396E" w:rsidP="00350B24">
                  <w:pPr>
                    <w:pStyle w:val="NoSpacing"/>
                  </w:pPr>
                  <w:r w:rsidRPr="00676F6A">
                    <w:t>JB1</w:t>
                  </w:r>
                </w:p>
              </w:txbxContent>
            </v:textbox>
          </v:rect>
        </w:pict>
      </w:r>
      <w:r>
        <w:rPr>
          <w:rFonts w:ascii="Book Antiqua" w:hAnsi="Book Antiqua"/>
          <w:noProof/>
        </w:rPr>
        <w:pict w14:anchorId="1BE1766C">
          <v:roundrect id="_x0000_s1651" style="position:absolute;left:0;text-align:left;margin-left:38.85pt;margin-top:34.9pt;width:69.75pt;height:50.3pt;z-index:251744768" arcsize="10923f">
            <v:textbox style="mso-next-textbox:#_x0000_s1651">
              <w:txbxContent>
                <w:p w14:paraId="65B3FE6A" w14:textId="77777777" w:rsidR="00E2396E" w:rsidRPr="004375A1" w:rsidRDefault="00E2396E" w:rsidP="00350B24">
                  <w:pPr>
                    <w:rPr>
                      <w:rFonts w:ascii="Times New Roman" w:hAnsi="Times New Roman"/>
                      <w:sz w:val="20"/>
                    </w:rPr>
                  </w:pPr>
                  <w:r w:rsidRPr="004375A1">
                    <w:rPr>
                      <w:rFonts w:ascii="Times New Roman" w:hAnsi="Times New Roman"/>
                      <w:sz w:val="20"/>
                    </w:rPr>
                    <w:t>GWC SUPPLY</w:t>
                  </w:r>
                </w:p>
              </w:txbxContent>
            </v:textbox>
          </v:roundrect>
        </w:pict>
      </w:r>
      <w:r>
        <w:rPr>
          <w:rFonts w:ascii="Book Antiqua" w:hAnsi="Book Antiqua"/>
          <w:noProof/>
        </w:rPr>
        <w:pict w14:anchorId="3388BEC3">
          <v:rect id="_x0000_s1689" style="position:absolute;left:0;text-align:left;margin-left:40.5pt;margin-top:.15pt;width:39.75pt;height:23.8pt;z-index:251783680">
            <v:textbox style="mso-next-textbox:#_x0000_s1689">
              <w:txbxContent>
                <w:p w14:paraId="7C52A810" w14:textId="77777777" w:rsidR="00E2396E" w:rsidRPr="004375A1" w:rsidRDefault="00E2396E" w:rsidP="00350B24">
                  <w:pPr>
                    <w:rPr>
                      <w:rFonts w:ascii="Times New Roman" w:hAnsi="Times New Roman"/>
                      <w:sz w:val="20"/>
                    </w:rPr>
                  </w:pPr>
                  <w:r w:rsidRPr="004375A1">
                    <w:rPr>
                      <w:rFonts w:ascii="Times New Roman" w:hAnsi="Times New Roman"/>
                      <w:sz w:val="20"/>
                    </w:rPr>
                    <w:t>O/I</w:t>
                  </w:r>
                </w:p>
              </w:txbxContent>
            </v:textbox>
          </v:rect>
        </w:pict>
      </w:r>
      <w:r>
        <w:rPr>
          <w:rFonts w:ascii="Book Antiqua" w:hAnsi="Book Antiqua"/>
          <w:noProof/>
        </w:rPr>
        <w:pict w14:anchorId="200B1B27">
          <v:shape id="_x0000_s1702" type="#_x0000_t32" style="position:absolute;left:0;text-align:left;margin-left:108.6pt;margin-top:49.4pt;width:36pt;height:0;z-index:251796992" o:connectortype="straight" strokeweight="2pt"/>
        </w:pict>
      </w:r>
      <w:r>
        <w:rPr>
          <w:rFonts w:ascii="Book Antiqua" w:hAnsi="Book Antiqua"/>
          <w:noProof/>
        </w:rPr>
        <w:pict w14:anchorId="651D789D">
          <v:shape id="_x0000_s1701" type="#_x0000_t32" style="position:absolute;left:0;text-align:left;margin-left:344.85pt;margin-top:19.6pt;width:25.65pt;height:.05pt;z-index:251795968" o:connectortype="straight"/>
        </w:pict>
      </w:r>
      <w:r>
        <w:rPr>
          <w:rFonts w:ascii="Book Antiqua" w:hAnsi="Book Antiqua"/>
          <w:noProof/>
        </w:rPr>
        <w:pict w14:anchorId="36A909E2">
          <v:shape id="_x0000_s1700" type="#_x0000_t32" style="position:absolute;left:0;text-align:left;margin-left:344.25pt;margin-top:20.6pt;width:0;height:30.2pt;z-index:251794944" o:connectortype="straight"/>
        </w:pict>
      </w:r>
      <w:r>
        <w:rPr>
          <w:rFonts w:ascii="Book Antiqua" w:hAnsi="Book Antiqua"/>
          <w:noProof/>
        </w:rPr>
        <w:pict w14:anchorId="0DECFDB1">
          <v:shape id="_x0000_s1699" type="#_x0000_t32" style="position:absolute;left:0;text-align:left;margin-left:261pt;margin-top:34.9pt;width:7.5pt;height:0;z-index:251793920" o:connectortype="straight" strokeweight="2pt"/>
        </w:pict>
      </w:r>
      <w:r>
        <w:rPr>
          <w:rFonts w:ascii="Book Antiqua" w:hAnsi="Book Antiqua"/>
          <w:noProof/>
        </w:rPr>
        <w:pict w14:anchorId="57CD39EE">
          <v:shape id="_x0000_s1697" type="#_x0000_t32" style="position:absolute;left:0;text-align:left;margin-left:351.75pt;margin-top:49.95pt;width:16.5pt;height:.05pt;z-index:251791872" o:connectortype="straight" strokeweight="2pt"/>
        </w:pict>
      </w:r>
      <w:r>
        <w:rPr>
          <w:rFonts w:ascii="Book Antiqua" w:hAnsi="Book Antiqua"/>
          <w:noProof/>
        </w:rPr>
        <w:pict w14:anchorId="77343600">
          <v:shape id="_x0000_s1694" type="#_x0000_t32" style="position:absolute;left:0;text-align:left;margin-left:252pt;margin-top:49.4pt;width:16.5pt;height:.05pt;z-index:251788800" o:connectortype="straight" strokeweight="2pt"/>
        </w:pict>
      </w:r>
      <w:r>
        <w:rPr>
          <w:rFonts w:ascii="Book Antiqua" w:hAnsi="Book Antiqua"/>
          <w:noProof/>
        </w:rPr>
        <w:pict w14:anchorId="29089656">
          <v:shape id="_x0000_s1690" type="#_x0000_t32" style="position:absolute;left:0;text-align:left;margin-left:322.5pt;margin-top:49.5pt;width:15pt;height:.45pt;z-index:251784704" o:connectortype="straight" strokeweight="2pt"/>
        </w:pict>
      </w:r>
      <w:r>
        <w:rPr>
          <w:rFonts w:ascii="Book Antiqua" w:hAnsi="Book Antiqua"/>
          <w:noProof/>
        </w:rPr>
        <w:pict w14:anchorId="497C304B">
          <v:shape id="_x0000_s1692" type="#_x0000_t32" style="position:absolute;left:0;text-align:left;margin-left:322.5pt;margin-top:49.9pt;width:0;height:36pt;flip:y;z-index:251786752" o:connectortype="straight" strokeweight="2pt"/>
        </w:pict>
      </w:r>
      <w:r>
        <w:rPr>
          <w:rFonts w:ascii="Book Antiqua" w:hAnsi="Book Antiqua"/>
          <w:noProof/>
        </w:rPr>
        <w:pict w14:anchorId="3C5578ED">
          <v:shape id="_x0000_s1691" type="#_x0000_t32" style="position:absolute;left:0;text-align:left;margin-left:308.25pt;margin-top:85.8pt;width:14.25pt;height:.05pt;z-index:251785728" o:connectortype="straight" strokeweight="2pt"/>
        </w:pict>
      </w:r>
      <w:r>
        <w:rPr>
          <w:rFonts w:ascii="Book Antiqua" w:hAnsi="Book Antiqua"/>
          <w:noProof/>
        </w:rPr>
        <w:pict w14:anchorId="360CE11C">
          <v:shape id="_x0000_s1677" type="#_x0000_t32" style="position:absolute;left:0;text-align:left;margin-left:327.75pt;margin-top:85.85pt;width:9.75pt;height:0;z-index:251771392" o:connectortype="straight" strokeweight="2pt"/>
        </w:pict>
      </w:r>
      <w:r>
        <w:rPr>
          <w:rFonts w:ascii="Book Antiqua" w:hAnsi="Book Antiqua"/>
          <w:noProof/>
        </w:rPr>
        <w:pict w14:anchorId="2724ADD0">
          <v:shape id="_x0000_s1664" type="#_x0000_t125" style="position:absolute;left:0;text-align:left;margin-left:337.1pt;margin-top:79.1pt;width:14.3pt;height:13.5pt;rotation:-90;z-index:251758080"/>
        </w:pict>
      </w:r>
      <w:r>
        <w:rPr>
          <w:rFonts w:ascii="Book Antiqua" w:hAnsi="Book Antiqua"/>
          <w:noProof/>
        </w:rPr>
        <w:pict w14:anchorId="452CD8B5">
          <v:shape id="_x0000_s1666" type="#_x0000_t125" style="position:absolute;left:0;text-align:left;margin-left:337.1pt;margin-top:43.1pt;width:14.3pt;height:13.5pt;rotation:-90;z-index:251760128" fillcolor="black"/>
        </w:pict>
      </w:r>
      <w:r>
        <w:rPr>
          <w:rFonts w:ascii="Book Antiqua" w:hAnsi="Book Antiqua"/>
          <w:noProof/>
        </w:rPr>
        <w:pict w14:anchorId="648270EB">
          <v:shape id="_x0000_s1688" type="#_x0000_t32" style="position:absolute;left:0;text-align:left;margin-left:222pt;margin-top:49.9pt;width:0;height:36pt;flip:y;z-index:251782656" o:connectortype="straight" strokeweight="2pt"/>
        </w:pict>
      </w:r>
      <w:r>
        <w:rPr>
          <w:rFonts w:ascii="Book Antiqua" w:hAnsi="Book Antiqua"/>
          <w:noProof/>
        </w:rPr>
        <w:pict w14:anchorId="7B32C70D">
          <v:shape id="_x0000_s1686" type="#_x0000_t32" style="position:absolute;left:0;text-align:left;margin-left:207.75pt;margin-top:85.85pt;width:14.25pt;height:.05pt;z-index:251780608" o:connectortype="straight" strokeweight="2pt"/>
        </w:pict>
      </w:r>
      <w:r>
        <w:rPr>
          <w:rFonts w:ascii="Book Antiqua" w:hAnsi="Book Antiqua"/>
          <w:noProof/>
        </w:rPr>
        <w:pict w14:anchorId="660B3C33">
          <v:shape id="_x0000_s1687" type="#_x0000_t32" style="position:absolute;left:0;text-align:left;margin-left:222pt;margin-top:49.45pt;width:16.5pt;height:.05pt;z-index:251781632" o:connectortype="straight" strokeweight="2pt"/>
        </w:pict>
      </w:r>
      <w:r>
        <w:rPr>
          <w:rFonts w:ascii="Book Antiqua" w:hAnsi="Book Antiqua"/>
          <w:noProof/>
        </w:rPr>
        <w:pict w14:anchorId="581161BE">
          <v:shape id="_x0000_s1660" type="#_x0000_t32" style="position:absolute;left:0;text-align:left;margin-left:228.75pt;margin-top:85.85pt;width:9.75pt;height:0;z-index:251753984" o:connectortype="straight" strokeweight="2pt"/>
        </w:pict>
      </w:r>
      <w:r>
        <w:rPr>
          <w:rFonts w:ascii="Book Antiqua" w:hAnsi="Book Antiqua"/>
          <w:noProof/>
        </w:rPr>
        <w:pict w14:anchorId="2DDFA179">
          <v:shape id="_x0000_s1656" type="#_x0000_t32" style="position:absolute;left:0;text-align:left;margin-left:161.85pt;margin-top:71.4pt;width:83.4pt;height:0;z-index:251749888" o:connectortype="straight"/>
        </w:pict>
      </w:r>
      <w:r>
        <w:rPr>
          <w:rFonts w:ascii="Book Antiqua" w:hAnsi="Book Antiqua"/>
          <w:noProof/>
        </w:rPr>
        <w:pict w14:anchorId="77426490">
          <v:shape id="_x0000_s1658" type="#_x0000_t32" style="position:absolute;left:0;text-align:left;margin-left:245.2pt;margin-top:71.4pt;width:0;height:14.45pt;z-index:251751936" o:connectortype="straight"/>
        </w:pict>
      </w:r>
      <w:r>
        <w:rPr>
          <w:rFonts w:ascii="Book Antiqua" w:hAnsi="Book Antiqua"/>
          <w:noProof/>
        </w:rPr>
        <w:pict w14:anchorId="4918DEB3">
          <v:shape id="_x0000_s1643" type="#_x0000_t125" style="position:absolute;left:0;text-align:left;margin-left:238.1pt;margin-top:79.1pt;width:14.3pt;height:13.5pt;rotation:-90;z-index:251736576"/>
        </w:pict>
      </w:r>
      <w:r>
        <w:rPr>
          <w:rFonts w:ascii="Book Antiqua" w:hAnsi="Book Antiqua"/>
          <w:noProof/>
        </w:rPr>
        <w:pict w14:anchorId="5A245291">
          <v:shape id="_x0000_s1653" type="#_x0000_t32" style="position:absolute;left:0;text-align:left;margin-left:174.7pt;margin-top:12.15pt;width:70.5pt;height:.05pt;z-index:251746816" o:connectortype="straight"/>
        </w:pict>
      </w:r>
      <w:r>
        <w:rPr>
          <w:rFonts w:ascii="Book Antiqua" w:hAnsi="Book Antiqua"/>
          <w:noProof/>
        </w:rPr>
        <w:pict w14:anchorId="3E8060D7">
          <v:shape id="_x0000_s1652" type="#_x0000_t32" style="position:absolute;left:0;text-align:left;margin-left:245.2pt;margin-top:11.75pt;width:.05pt;height:37.7pt;z-index:251745792" o:connectortype="straight"/>
        </w:pict>
      </w:r>
      <w:r>
        <w:rPr>
          <w:rFonts w:ascii="Book Antiqua" w:hAnsi="Book Antiqua"/>
          <w:noProof/>
        </w:rPr>
        <w:pict w14:anchorId="5E0FDB9D">
          <v:shape id="_x0000_s1641" type="#_x0000_t125" style="position:absolute;left:0;text-align:left;margin-left:238.1pt;margin-top:43.1pt;width:14.3pt;height:13.5pt;rotation:-90;z-index:251734528" fillcolor="black"/>
        </w:pict>
      </w:r>
      <w:r>
        <w:rPr>
          <w:rFonts w:ascii="Book Antiqua" w:hAnsi="Book Antiqua"/>
          <w:noProof/>
        </w:rPr>
        <w:pict w14:anchorId="21690921">
          <v:shape id="_x0000_s1685" type="#_x0000_t32" style="position:absolute;left:0;text-align:left;margin-left:175.35pt;margin-top:85.85pt;width:18.15pt;height:0;z-index:251779584" o:connectortype="straight" strokeweight="2pt"/>
        </w:pict>
      </w:r>
      <w:r>
        <w:rPr>
          <w:rFonts w:ascii="Book Antiqua" w:hAnsi="Book Antiqua"/>
          <w:noProof/>
        </w:rPr>
        <w:pict w14:anchorId="558FEA77">
          <v:shape id="_x0000_s1684" type="#_x0000_t32" style="position:absolute;left:0;text-align:left;margin-left:174.7pt;margin-top:49.85pt;width:.05pt;height:36pt;z-index:251778560" o:connectortype="straight" strokeweight="2pt"/>
        </w:pict>
      </w:r>
      <w:r>
        <w:rPr>
          <w:rFonts w:ascii="Book Antiqua" w:hAnsi="Book Antiqua"/>
          <w:noProof/>
        </w:rPr>
        <w:pict w14:anchorId="0D22A8E8">
          <v:shape id="_x0000_s1681" type="#_x0000_t32" style="position:absolute;left:0;text-align:left;margin-left:301.5pt;margin-top:12.25pt;width:69pt;height:0;z-index:251775488" o:connectortype="straight"/>
        </w:pict>
      </w:r>
      <w:r>
        <w:rPr>
          <w:rFonts w:ascii="Book Antiqua" w:hAnsi="Book Antiqua"/>
          <w:noProof/>
        </w:rPr>
        <w:pict w14:anchorId="05B67F50">
          <v:shape id="_x0000_s1682" type="#_x0000_t32" style="position:absolute;left:0;text-align:left;margin-left:301.5pt;margin-top:12.15pt;width:.05pt;height:37.7pt;z-index:251776512" o:connectortype="straight"/>
        </w:pict>
      </w:r>
      <w:r>
        <w:rPr>
          <w:rFonts w:ascii="Book Antiqua" w:hAnsi="Book Antiqua"/>
          <w:noProof/>
        </w:rPr>
        <w:pict w14:anchorId="453EC7ED">
          <v:shape id="_x0000_s1670" type="#_x0000_t32" style="position:absolute;left:0;text-align:left;margin-left:308.25pt;margin-top:49.85pt;width:9.75pt;height:0;z-index:251764224" o:connectortype="straight" strokeweight="2pt"/>
        </w:pict>
      </w:r>
      <w:r>
        <w:rPr>
          <w:rFonts w:ascii="Book Antiqua" w:hAnsi="Book Antiqua"/>
          <w:noProof/>
        </w:rPr>
        <w:pict w14:anchorId="14889ADA">
          <v:shape id="_x0000_s1665" type="#_x0000_t125" style="position:absolute;left:0;text-align:left;margin-left:294.35pt;margin-top:79.1pt;width:14.3pt;height:13.5pt;rotation:-90;z-index:251759104" fillcolor="black"/>
        </w:pict>
      </w:r>
      <w:r>
        <w:rPr>
          <w:rFonts w:ascii="Book Antiqua" w:hAnsi="Book Antiqua"/>
          <w:noProof/>
        </w:rPr>
        <w:pict w14:anchorId="57A9692C">
          <v:shape id="_x0000_s1667" type="#_x0000_t125" style="position:absolute;left:0;text-align:left;margin-left:294.35pt;margin-top:43.1pt;width:14.3pt;height:13.5pt;rotation:-90;z-index:251761152"/>
        </w:pict>
      </w:r>
      <w:r>
        <w:rPr>
          <w:rFonts w:ascii="Book Antiqua" w:hAnsi="Book Antiqua"/>
          <w:noProof/>
        </w:rPr>
        <w:pict w14:anchorId="19349DDF">
          <v:shape id="_x0000_s1657" type="#_x0000_t32" style="position:absolute;left:0;text-align:left;margin-left:201pt;margin-top:71.4pt;width:0;height:14.45pt;flip:y;z-index:251750912" o:connectortype="straight"/>
        </w:pict>
      </w:r>
      <w:r>
        <w:rPr>
          <w:rFonts w:ascii="Book Antiqua" w:hAnsi="Book Antiqua"/>
          <w:noProof/>
        </w:rPr>
        <w:pict w14:anchorId="1299222C">
          <v:shape id="_x0000_s1655" type="#_x0000_t32" style="position:absolute;left:0;text-align:left;margin-left:161.85pt;margin-top:25.65pt;width:0;height:45.75pt;z-index:251748864" o:connectortype="straight"/>
        </w:pict>
      </w:r>
      <w:r>
        <w:rPr>
          <w:rFonts w:ascii="Book Antiqua" w:hAnsi="Book Antiqua"/>
          <w:noProof/>
        </w:rPr>
        <w:pict w14:anchorId="17C0A144">
          <v:rect id="_x0000_s1633" style="position:absolute;left:0;text-align:left;margin-left:93.75pt;margin-top:.15pt;width:35.25pt;height:19.5pt;z-index:251726336">
            <v:textbox style="mso-next-textbox:#_x0000_s1633">
              <w:txbxContent>
                <w:p w14:paraId="32EE2A41" w14:textId="77777777" w:rsidR="00E2396E" w:rsidRPr="004375A1" w:rsidRDefault="00E2396E" w:rsidP="00350B24">
                  <w:pPr>
                    <w:rPr>
                      <w:rFonts w:ascii="Times New Roman" w:hAnsi="Times New Roman"/>
                      <w:sz w:val="20"/>
                    </w:rPr>
                  </w:pPr>
                  <w:r w:rsidRPr="004375A1">
                    <w:rPr>
                      <w:rFonts w:ascii="Times New Roman" w:hAnsi="Times New Roman"/>
                      <w:sz w:val="20"/>
                    </w:rPr>
                    <w:t>PLC</w:t>
                  </w:r>
                </w:p>
              </w:txbxContent>
            </v:textbox>
          </v:rect>
        </w:pict>
      </w:r>
      <w:r>
        <w:rPr>
          <w:rFonts w:ascii="Book Antiqua" w:hAnsi="Book Antiqua"/>
          <w:noProof/>
        </w:rPr>
        <w:pict w14:anchorId="53F778C8">
          <v:shape id="_x0000_s1654" type="#_x0000_t32" style="position:absolute;left:0;text-align:left;margin-left:129pt;margin-top:12.15pt;width:15pt;height:0;z-index:251747840" o:connectortype="straight">
            <v:stroke dashstyle="longDash"/>
          </v:shape>
        </w:pict>
      </w:r>
      <w:r>
        <w:rPr>
          <w:rFonts w:ascii="Book Antiqua" w:hAnsi="Book Antiqua"/>
          <w:noProof/>
        </w:rPr>
        <w:pict w14:anchorId="57E16AA5">
          <v:shape id="_x0000_s1648" type="#_x0000_t32" style="position:absolute;left:0;text-align:left;margin-left:175.35pt;margin-top:19.65pt;width:25.65pt;height:.05pt;z-index:251741696" o:connectortype="straight"/>
        </w:pict>
      </w:r>
      <w:r>
        <w:rPr>
          <w:rFonts w:ascii="Book Antiqua" w:hAnsi="Book Antiqua"/>
          <w:noProof/>
        </w:rPr>
        <w:pict w14:anchorId="7DC51B8C">
          <v:shape id="_x0000_s1649" type="#_x0000_t32" style="position:absolute;left:0;text-align:left;margin-left:201pt;margin-top:19.65pt;width:0;height:30.2pt;z-index:251742720" o:connectortype="straight"/>
        </w:pict>
      </w:r>
      <w:r>
        <w:rPr>
          <w:rFonts w:ascii="Book Antiqua" w:hAnsi="Book Antiqua"/>
          <w:noProof/>
        </w:rPr>
        <w:pict w14:anchorId="0DBEC160">
          <v:shape id="_x0000_s1639" type="#_x0000_t32" style="position:absolute;left:0;text-align:left;margin-left:157.5pt;margin-top:49.85pt;width:36pt;height:0;z-index:251732480" o:connectortype="straight" strokeweight="2pt"/>
        </w:pict>
      </w:r>
      <w:r>
        <w:rPr>
          <w:rFonts w:ascii="Book Antiqua" w:hAnsi="Book Antiqua"/>
          <w:noProof/>
        </w:rPr>
        <w:pict w14:anchorId="6A0D288F">
          <v:shape id="_x0000_s1640" type="#_x0000_t125" style="position:absolute;left:0;text-align:left;margin-left:193.1pt;margin-top:43.1pt;width:14.3pt;height:13.5pt;rotation:-90;z-index:251733504"/>
        </w:pict>
      </w:r>
      <w:r>
        <w:rPr>
          <w:rFonts w:ascii="Book Antiqua" w:hAnsi="Book Antiqua"/>
          <w:noProof/>
        </w:rPr>
        <w:pict w14:anchorId="15D9E7FE">
          <v:shape id="_x0000_s1644" type="#_x0000_t32" style="position:absolute;left:0;text-align:left;margin-left:207pt;margin-top:49.85pt;width:9.75pt;height:0;z-index:251737600" o:connectortype="straight" strokeweight="2pt"/>
        </w:pict>
      </w:r>
      <w:r>
        <w:rPr>
          <w:rFonts w:ascii="Book Antiqua" w:hAnsi="Book Antiqua"/>
          <w:noProof/>
        </w:rPr>
        <w:pict w14:anchorId="63A5C048">
          <v:shape id="_x0000_s1638" type="#_x0000_t125" style="position:absolute;left:0;text-align:left;margin-left:143.6pt;margin-top:40.8pt;width:14.3pt;height:13.5pt;rotation:-90;z-index:251731456"/>
        </w:pict>
      </w:r>
    </w:p>
    <w:p w14:paraId="417E7208"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68CE6F28">
          <v:shape id="_x0000_s1706" type="#_x0000_t32" style="position:absolute;margin-left:120pt;margin-top:7.2pt;width:0;height:105.3pt;z-index:251801088" o:connectortype="straight">
            <v:stroke dashstyle="longDash"/>
          </v:shape>
        </w:pict>
      </w:r>
      <w:r>
        <w:rPr>
          <w:rFonts w:ascii="Book Antiqua" w:hAnsi="Book Antiqua"/>
          <w:noProof/>
        </w:rPr>
        <w:pict w14:anchorId="528B4C0A">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636" type="#_x0000_t22" style="position:absolute;margin-left:421.6pt;margin-top:10.55pt;width:43.5pt;height:65.25pt;z-index:251729408">
            <v:textbox style="mso-next-textbox:#_x0000_s1636">
              <w:txbxContent>
                <w:p w14:paraId="72F4FD5F" w14:textId="77777777" w:rsidR="00E2396E" w:rsidRPr="004375A1" w:rsidRDefault="00E2396E" w:rsidP="00350B24">
                  <w:pPr>
                    <w:pStyle w:val="NoSpacing"/>
                    <w:rPr>
                      <w:rFonts w:ascii="Times New Roman" w:hAnsi="Times New Roman"/>
                      <w:sz w:val="20"/>
                    </w:rPr>
                  </w:pPr>
                  <w:r w:rsidRPr="004375A1">
                    <w:rPr>
                      <w:rFonts w:ascii="Times New Roman" w:hAnsi="Times New Roman"/>
                      <w:sz w:val="20"/>
                    </w:rPr>
                    <w:t>G33,</w:t>
                  </w:r>
                </w:p>
                <w:p w14:paraId="3BA92869" w14:textId="77777777" w:rsidR="00E2396E" w:rsidRPr="004375A1" w:rsidRDefault="00E2396E" w:rsidP="00350B24">
                  <w:pPr>
                    <w:pStyle w:val="NoSpacing"/>
                    <w:rPr>
                      <w:rFonts w:ascii="Times New Roman" w:hAnsi="Times New Roman"/>
                      <w:sz w:val="20"/>
                    </w:rPr>
                  </w:pPr>
                  <w:r w:rsidRPr="004375A1">
                    <w:rPr>
                      <w:rFonts w:ascii="Times New Roman" w:hAnsi="Times New Roman"/>
                      <w:sz w:val="20"/>
                    </w:rPr>
                    <w:t>G39,</w:t>
                  </w:r>
                </w:p>
                <w:p w14:paraId="63802A92" w14:textId="77777777" w:rsidR="00E2396E" w:rsidRPr="0078063D" w:rsidRDefault="00E2396E" w:rsidP="00350B24">
                  <w:pPr>
                    <w:pStyle w:val="NoSpacing"/>
                    <w:rPr>
                      <w:sz w:val="20"/>
                    </w:rPr>
                  </w:pPr>
                  <w:r w:rsidRPr="004375A1">
                    <w:rPr>
                      <w:rFonts w:ascii="Times New Roman" w:hAnsi="Times New Roman"/>
                      <w:sz w:val="20"/>
                    </w:rPr>
                    <w:t>G60</w:t>
                  </w:r>
                </w:p>
              </w:txbxContent>
            </v:textbox>
          </v:shape>
        </w:pict>
      </w:r>
    </w:p>
    <w:p w14:paraId="2AE98283"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44F0F4CC">
          <v:shape id="_x0000_s1696" type="#_x0000_t32" style="position:absolute;margin-left:368.25pt;margin-top:8.05pt;width:.05pt;height:17.45pt;z-index:251790848" o:connectortype="straight" strokeweight="2pt"/>
        </w:pict>
      </w:r>
      <w:r>
        <w:rPr>
          <w:rFonts w:ascii="Book Antiqua" w:hAnsi="Book Antiqua"/>
          <w:noProof/>
        </w:rPr>
        <w:pict w14:anchorId="6AEC15CA">
          <v:shape id="_x0000_s1710" type="#_x0000_t32" style="position:absolute;margin-left:384pt;margin-top:2.55pt;width:0;height:43.55pt;z-index:251805184" o:connectortype="straight"/>
        </w:pict>
      </w:r>
      <w:r>
        <w:rPr>
          <w:rFonts w:ascii="Book Antiqua" w:hAnsi="Book Antiqua"/>
          <w:noProof/>
        </w:rPr>
        <w:pict w14:anchorId="7E0CE4DC">
          <v:shape id="_x0000_s1698" type="#_x0000_t32" style="position:absolute;margin-left:363pt;margin-top:8.1pt;width:5.25pt;height:0;z-index:251792896" o:connectortype="straight" strokeweight="2pt"/>
        </w:pict>
      </w:r>
      <w:r>
        <w:rPr>
          <w:rFonts w:ascii="Book Antiqua" w:hAnsi="Book Antiqua"/>
          <w:noProof/>
        </w:rPr>
        <w:pict w14:anchorId="4FB4BD23">
          <v:shape id="_x0000_s1695" type="#_x0000_t32" style="position:absolute;margin-left:268.5pt;margin-top:8.05pt;width:.05pt;height:15.05pt;z-index:251789824" o:connectortype="straight" strokeweight="2pt"/>
        </w:pict>
      </w:r>
    </w:p>
    <w:p w14:paraId="5B409AC1"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63C8D33C">
          <v:shape id="_x0000_s1680" type="#_x0000_t32" style="position:absolute;margin-left:392.4pt;margin-top:8.7pt;width:.05pt;height:59.95pt;flip:y;z-index:251774464" o:connectortype="straight" strokeweight="2pt"/>
        </w:pict>
      </w:r>
      <w:r>
        <w:rPr>
          <w:rFonts w:ascii="Book Antiqua" w:hAnsi="Book Antiqua"/>
          <w:noProof/>
        </w:rPr>
        <w:pict w14:anchorId="2A5C97BD">
          <v:shape id="_x0000_s1668" type="#_x0000_t32" style="position:absolute;margin-left:279pt;margin-top:9.6pt;width:0;height:35.85pt;z-index:251762176" o:connectortype="straight" strokeweight="2pt"/>
        </w:pict>
      </w:r>
      <w:r>
        <w:rPr>
          <w:rFonts w:ascii="Book Antiqua" w:hAnsi="Book Antiqua"/>
          <w:noProof/>
        </w:rPr>
        <w:pict w14:anchorId="3D35F990">
          <v:shape id="_x0000_s1669" type="#_x0000_t32" style="position:absolute;margin-left:279.75pt;margin-top:9.55pt;width:15.75pt;height:.05pt;z-index:251763200" o:connectortype="straight" strokeweight="2pt"/>
        </w:pict>
      </w:r>
    </w:p>
    <w:p w14:paraId="587DBCAC"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5AB3E33A">
          <v:shape id="_x0000_s1708" type="#_x0000_t125" style="position:absolute;margin-left:404.75pt;margin-top:9.55pt;width:11pt;height:13.5pt;rotation:-90;z-index:251803136"/>
        </w:pict>
      </w:r>
      <w:r w:rsidR="00350B24" w:rsidRPr="00E3232D">
        <w:rPr>
          <w:rFonts w:ascii="Book Antiqua" w:hAnsi="Book Antiqua"/>
        </w:rPr>
        <w:t xml:space="preserve">                                               NO             NO             NC                 NO             NC</w:t>
      </w:r>
    </w:p>
    <w:p w14:paraId="6ABBF52A"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422100B6">
          <v:shape id="_x0000_s1712" type="#_x0000_t32" style="position:absolute;margin-left:344.25pt;margin-top:8.05pt;width:0;height:15.05pt;z-index:251807232" o:connectortype="straight"/>
        </w:pict>
      </w:r>
      <w:r>
        <w:rPr>
          <w:rFonts w:ascii="Book Antiqua" w:hAnsi="Book Antiqua"/>
          <w:noProof/>
        </w:rPr>
        <w:pict w14:anchorId="07251B64">
          <v:shape id="_x0000_s1713" type="#_x0000_t32" style="position:absolute;margin-left:301.55pt;margin-top:8.05pt;width:0;height:15.75pt;z-index:251808256" o:connectortype="straight"/>
        </w:pict>
      </w:r>
      <w:r>
        <w:rPr>
          <w:rFonts w:ascii="Book Antiqua" w:hAnsi="Book Antiqua"/>
          <w:noProof/>
        </w:rPr>
        <w:pict w14:anchorId="35987391">
          <v:shape id="_x0000_s1711" type="#_x0000_t32" style="position:absolute;margin-left:300.6pt;margin-top:8.05pt;width:83.4pt;height:0;z-index:251806208" o:connectortype="straight"/>
        </w:pict>
      </w:r>
      <w:r>
        <w:rPr>
          <w:rFonts w:ascii="Book Antiqua" w:hAnsi="Book Antiqua"/>
          <w:noProof/>
        </w:rPr>
        <w:pict w14:anchorId="349649E8">
          <v:shape id="_x0000_s1693" type="#_x0000_t32" style="position:absolute;margin-left:392.4pt;margin-top:4.4pt;width:29.2pt;height:0;flip:x;z-index:251787776" o:connectortype="straight" strokeweight="2pt"/>
        </w:pict>
      </w:r>
    </w:p>
    <w:p w14:paraId="47B92E90"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049E2705">
          <v:shape id="_x0000_s1678" type="#_x0000_t32" style="position:absolute;margin-left:327.75pt;margin-top:10.45pt;width:.05pt;height:35.5pt;z-index:251772416" o:connectortype="straight" strokeweight="2pt"/>
        </w:pict>
      </w:r>
      <w:r>
        <w:rPr>
          <w:rFonts w:ascii="Book Antiqua" w:hAnsi="Book Antiqua"/>
          <w:noProof/>
        </w:rPr>
        <w:pict w14:anchorId="424BA735">
          <v:shape id="_x0000_s1663" type="#_x0000_t32" style="position:absolute;margin-left:228.75pt;margin-top:11.05pt;width:.05pt;height:34.9pt;z-index:251757056" o:connectortype="straight" strokeweight="2pt"/>
        </w:pict>
      </w:r>
      <w:r>
        <w:rPr>
          <w:rFonts w:ascii="Book Antiqua" w:hAnsi="Book Antiqua"/>
          <w:noProof/>
        </w:rPr>
        <w:pict w14:anchorId="6B5A8587">
          <v:shape id="_x0000_s1676" type="#_x0000_t32" style="position:absolute;margin-left:351pt;margin-top:11.1pt;width:19.5pt;height:.05pt;z-index:251770368" o:connectortype="straight" strokeweight="2pt"/>
        </w:pict>
      </w:r>
      <w:r>
        <w:rPr>
          <w:rFonts w:ascii="Book Antiqua" w:hAnsi="Book Antiqua"/>
          <w:noProof/>
        </w:rPr>
        <w:pict w14:anchorId="0AC16DC1">
          <v:shape id="_x0000_s1679" type="#_x0000_t32" style="position:absolute;margin-left:384pt;margin-top:10.5pt;width:8.4pt;height:.6pt;flip:y;z-index:251773440" o:connectortype="straight" strokeweight="2pt"/>
        </w:pict>
      </w:r>
      <w:r>
        <w:rPr>
          <w:rFonts w:ascii="Book Antiqua" w:hAnsi="Book Antiqua"/>
          <w:noProof/>
        </w:rPr>
        <w:pict w14:anchorId="399C3332">
          <v:shape id="_x0000_s1637" type="#_x0000_t125" style="position:absolute;margin-left:373.65pt;margin-top:3.4pt;width:7.15pt;height:13.5pt;rotation:-90;z-index:251730432"/>
        </w:pict>
      </w:r>
      <w:r>
        <w:rPr>
          <w:rFonts w:ascii="Book Antiqua" w:hAnsi="Book Antiqua"/>
          <w:noProof/>
        </w:rPr>
        <w:pict w14:anchorId="3864D3D7">
          <v:shape id="_x0000_s1642" type="#_x0000_t125" style="position:absolute;margin-left:193.1pt;margin-top:4.35pt;width:14.3pt;height:13.5pt;rotation:-90;z-index:251735552" fillcolor="black"/>
        </w:pict>
      </w:r>
      <w:r>
        <w:rPr>
          <w:rFonts w:ascii="Book Antiqua" w:hAnsi="Book Antiqua"/>
          <w:noProof/>
        </w:rPr>
        <w:pict w14:anchorId="0F1FAE4F">
          <v:shape id="_x0000_s1661" type="#_x0000_t32" style="position:absolute;margin-left:252pt;margin-top:6.4pt;width:27.75pt;height:.05pt;flip:y;z-index:251755008" o:connectortype="straight" strokeweight="2pt"/>
        </w:pict>
      </w:r>
      <w:r>
        <w:rPr>
          <w:rFonts w:ascii="Book Antiqua" w:hAnsi="Book Antiqua"/>
          <w:noProof/>
        </w:rPr>
        <w:pict w14:anchorId="4D6EBFF3">
          <v:shape id="_x0000_s1714" type="#_x0000_t32" style="position:absolute;margin-left:279.75pt;margin-top:6.4pt;width:15.75pt;height:.05pt;z-index:251809280" o:connectortype="straight" strokeweight="2pt"/>
        </w:pict>
      </w:r>
    </w:p>
    <w:p w14:paraId="263C3024" w14:textId="77777777" w:rsidR="00350B24" w:rsidRPr="00E3232D" w:rsidRDefault="00350B24" w:rsidP="008275E1">
      <w:pPr>
        <w:pStyle w:val="NoSpacing"/>
        <w:spacing w:line="276" w:lineRule="auto"/>
        <w:rPr>
          <w:rFonts w:ascii="Book Antiqua" w:hAnsi="Book Antiqua"/>
        </w:rPr>
      </w:pPr>
      <w:r w:rsidRPr="00E3232D">
        <w:rPr>
          <w:rFonts w:ascii="Book Antiqua" w:hAnsi="Book Antiqua"/>
        </w:rPr>
        <w:t xml:space="preserve">                                                                            NC            NO                 NC           NO</w:t>
      </w:r>
    </w:p>
    <w:p w14:paraId="6E0FA925" w14:textId="77777777" w:rsidR="00350B24" w:rsidRPr="00E3232D" w:rsidRDefault="00350B24" w:rsidP="008275E1">
      <w:pPr>
        <w:pStyle w:val="NoSpacing"/>
        <w:spacing w:line="276" w:lineRule="auto"/>
        <w:rPr>
          <w:rFonts w:ascii="Book Antiqua" w:hAnsi="Book Antiqua"/>
        </w:rPr>
      </w:pPr>
    </w:p>
    <w:p w14:paraId="69D8E900"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2CC6B069">
          <v:shape id="_x0000_s1675" type="#_x0000_t32" style="position:absolute;margin-left:318pt;margin-top:1.25pt;width:0;height:9.05pt;z-index:251769344" o:connectortype="straight" strokeweight="2pt"/>
        </w:pict>
      </w:r>
      <w:r>
        <w:rPr>
          <w:rFonts w:ascii="Book Antiqua" w:hAnsi="Book Antiqua"/>
          <w:noProof/>
        </w:rPr>
        <w:pict w14:anchorId="5D6A6B88">
          <v:shape id="_x0000_s1662" type="#_x0000_t32" style="position:absolute;margin-left:222pt;margin-top:1.25pt;width:.05pt;height:9.05pt;z-index:251756032" o:connectortype="straight" strokeweight="2pt"/>
        </w:pict>
      </w:r>
      <w:r>
        <w:rPr>
          <w:rFonts w:ascii="Book Antiqua" w:hAnsi="Book Antiqua"/>
          <w:noProof/>
        </w:rPr>
        <w:pict w14:anchorId="56AC33DF">
          <v:shape id="_x0000_s1674" type="#_x0000_t32" style="position:absolute;margin-left:318pt;margin-top:10.3pt;width:9.75pt;height:0;z-index:251768320" o:connectortype="straight" strokeweight="2pt"/>
        </w:pict>
      </w:r>
      <w:r>
        <w:rPr>
          <w:rFonts w:ascii="Book Antiqua" w:hAnsi="Book Antiqua"/>
          <w:noProof/>
        </w:rPr>
        <w:pict w14:anchorId="274EC855">
          <v:rect id="_x0000_s1683" style="position:absolute;margin-left:378.55pt;margin-top:5.05pt;width:38.45pt;height:19.15pt;z-index:251777536">
            <v:textbox style="mso-next-textbox:#_x0000_s1683">
              <w:txbxContent>
                <w:p w14:paraId="34C8A15E" w14:textId="77777777" w:rsidR="00E2396E" w:rsidRPr="0060445B" w:rsidRDefault="00E2396E" w:rsidP="00350B24">
                  <w:pPr>
                    <w:rPr>
                      <w:sz w:val="20"/>
                    </w:rPr>
                  </w:pPr>
                  <w:r w:rsidRPr="004375A1">
                    <w:rPr>
                      <w:rFonts w:ascii="Times New Roman" w:hAnsi="Times New Roman"/>
                      <w:sz w:val="20"/>
                    </w:rPr>
                    <w:t>VDU</w:t>
                  </w:r>
                  <w:r>
                    <w:rPr>
                      <w:sz w:val="20"/>
                    </w:rPr>
                    <w:t>U</w:t>
                  </w:r>
                </w:p>
              </w:txbxContent>
            </v:textbox>
          </v:rect>
        </w:pict>
      </w:r>
      <w:r>
        <w:rPr>
          <w:rFonts w:ascii="Book Antiqua" w:hAnsi="Book Antiqua"/>
          <w:noProof/>
        </w:rPr>
        <w:pict w14:anchorId="146821F3">
          <v:shape id="_x0000_s1659" type="#_x0000_t32" style="position:absolute;margin-left:222.75pt;margin-top:10.3pt;width:6pt;height:.05pt;z-index:251752960" o:connectortype="straight" strokeweight="2pt"/>
        </w:pict>
      </w:r>
    </w:p>
    <w:p w14:paraId="416F88E1" w14:textId="77777777" w:rsidR="00350B24" w:rsidRPr="00E3232D" w:rsidRDefault="00850DC5" w:rsidP="008275E1">
      <w:pPr>
        <w:pStyle w:val="NoSpacing"/>
        <w:spacing w:line="276" w:lineRule="auto"/>
        <w:rPr>
          <w:rFonts w:ascii="Book Antiqua" w:hAnsi="Book Antiqua"/>
          <w:b/>
        </w:rPr>
      </w:pPr>
      <w:r>
        <w:rPr>
          <w:rFonts w:ascii="Book Antiqua" w:hAnsi="Book Antiqua"/>
          <w:noProof/>
        </w:rPr>
        <w:pict w14:anchorId="79EB1C2C">
          <v:shape id="_x0000_s1707" type="#_x0000_t32" style="position:absolute;margin-left:120pt;margin-top:2.1pt;width:258.55pt;height:0;z-index:251802112" o:connectortype="straight">
            <v:stroke dashstyle="longDash"/>
          </v:shape>
        </w:pict>
      </w:r>
    </w:p>
    <w:p w14:paraId="6EE2FE72" w14:textId="77777777" w:rsidR="00350B24" w:rsidRPr="00E3232D" w:rsidRDefault="00350B24" w:rsidP="008275E1">
      <w:pPr>
        <w:pStyle w:val="NoSpacing"/>
        <w:spacing w:line="276" w:lineRule="auto"/>
        <w:rPr>
          <w:rFonts w:ascii="Book Antiqua" w:hAnsi="Book Antiqua"/>
          <w:b/>
        </w:rPr>
      </w:pPr>
      <w:r w:rsidRPr="00E3232D">
        <w:rPr>
          <w:rFonts w:ascii="Book Antiqua" w:hAnsi="Book Antiqua"/>
          <w:b/>
        </w:rPr>
        <w:t>Fig.1 A simplified diagram of 42-WTP-3 (illustrating one demineralised water train in service)</w:t>
      </w:r>
    </w:p>
    <w:p w14:paraId="15484C09" w14:textId="77777777" w:rsidR="00E32614" w:rsidRDefault="00E32614" w:rsidP="008275E1">
      <w:pPr>
        <w:pStyle w:val="NoSpacing"/>
        <w:spacing w:line="276" w:lineRule="auto"/>
        <w:rPr>
          <w:rFonts w:ascii="Book Antiqua" w:hAnsi="Book Antiqua"/>
          <w:b/>
        </w:rPr>
      </w:pPr>
    </w:p>
    <w:p w14:paraId="1199A90C" w14:textId="77777777" w:rsidR="00140A29" w:rsidRPr="00E3232D" w:rsidRDefault="00140A29" w:rsidP="00EB2A77">
      <w:pPr>
        <w:pStyle w:val="NoSpacing"/>
        <w:spacing w:line="276" w:lineRule="auto"/>
        <w:jc w:val="both"/>
        <w:rPr>
          <w:rFonts w:ascii="Book Antiqua" w:hAnsi="Book Antiqua"/>
          <w:b/>
        </w:rPr>
      </w:pPr>
      <w:r w:rsidRPr="00E3232D">
        <w:rPr>
          <w:rFonts w:ascii="Book Antiqua" w:hAnsi="Book Antiqua"/>
          <w:b/>
        </w:rPr>
        <w:t>Notes</w:t>
      </w:r>
    </w:p>
    <w:p w14:paraId="4EF6F88A" w14:textId="77777777" w:rsidR="00140A29" w:rsidRPr="00E3232D" w:rsidRDefault="00140A29" w:rsidP="00EB2A77">
      <w:pPr>
        <w:pStyle w:val="NoSpacing"/>
        <w:spacing w:line="276" w:lineRule="auto"/>
        <w:jc w:val="both"/>
        <w:rPr>
          <w:rFonts w:ascii="Book Antiqua" w:hAnsi="Book Antiqua"/>
          <w:b/>
        </w:rPr>
      </w:pPr>
      <w:r w:rsidRPr="00E3232D">
        <w:rPr>
          <w:rFonts w:ascii="Book Antiqua" w:hAnsi="Book Antiqua"/>
          <w:b/>
        </w:rPr>
        <w:t xml:space="preserve">JB – </w:t>
      </w:r>
      <w:r w:rsidRPr="00E3232D">
        <w:rPr>
          <w:rFonts w:ascii="Book Antiqua" w:hAnsi="Book Antiqua"/>
        </w:rPr>
        <w:t>junction box</w:t>
      </w:r>
    </w:p>
    <w:p w14:paraId="73A9B566" w14:textId="77777777" w:rsidR="00140A29" w:rsidRPr="00E3232D" w:rsidRDefault="00140A29" w:rsidP="00EB2A77">
      <w:pPr>
        <w:pStyle w:val="NoSpacing"/>
        <w:spacing w:line="276" w:lineRule="auto"/>
        <w:jc w:val="both"/>
        <w:rPr>
          <w:rFonts w:ascii="Book Antiqua" w:hAnsi="Book Antiqua"/>
        </w:rPr>
      </w:pPr>
      <w:r w:rsidRPr="00E3232D">
        <w:rPr>
          <w:rFonts w:ascii="Book Antiqua" w:hAnsi="Book Antiqua"/>
          <w:b/>
        </w:rPr>
        <w:t xml:space="preserve">O/I – </w:t>
      </w:r>
      <w:r w:rsidRPr="00E3232D">
        <w:rPr>
          <w:rFonts w:ascii="Book Antiqua" w:hAnsi="Book Antiqua"/>
        </w:rPr>
        <w:t>operator int</w:t>
      </w:r>
      <w:r w:rsidRPr="00E3232D">
        <w:rPr>
          <w:rFonts w:ascii="Book Antiqua" w:hAnsi="Book Antiqua"/>
          <w:b/>
        </w:rPr>
        <w:t>erf</w:t>
      </w:r>
      <w:r w:rsidRPr="00E3232D">
        <w:rPr>
          <w:rFonts w:ascii="Book Antiqua" w:hAnsi="Book Antiqua"/>
        </w:rPr>
        <w:t>ace</w:t>
      </w:r>
    </w:p>
    <w:p w14:paraId="50A10024" w14:textId="77777777" w:rsidR="00140A29" w:rsidRPr="00E3232D" w:rsidRDefault="00140A29" w:rsidP="00EB2A77">
      <w:pPr>
        <w:pStyle w:val="NoSpacing"/>
        <w:spacing w:line="276" w:lineRule="auto"/>
        <w:jc w:val="both"/>
        <w:rPr>
          <w:rFonts w:ascii="Book Antiqua" w:hAnsi="Book Antiqua"/>
        </w:rPr>
      </w:pPr>
      <w:r w:rsidRPr="00E3232D">
        <w:rPr>
          <w:rFonts w:ascii="Book Antiqua" w:hAnsi="Book Antiqua"/>
          <w:b/>
        </w:rPr>
        <w:t>PLC –</w:t>
      </w:r>
      <w:r w:rsidRPr="00E3232D">
        <w:rPr>
          <w:rFonts w:ascii="Book Antiqua" w:hAnsi="Book Antiqua"/>
        </w:rPr>
        <w:t xml:space="preserve"> programmable logic controller</w:t>
      </w:r>
    </w:p>
    <w:p w14:paraId="4B8F491B" w14:textId="77777777" w:rsidR="00140A29" w:rsidRPr="00E3232D" w:rsidRDefault="00140A29" w:rsidP="00EB2A77">
      <w:pPr>
        <w:pStyle w:val="NoSpacing"/>
        <w:spacing w:line="276" w:lineRule="auto"/>
        <w:jc w:val="both"/>
        <w:rPr>
          <w:rFonts w:ascii="Book Antiqua" w:hAnsi="Book Antiqua"/>
        </w:rPr>
      </w:pPr>
      <w:r w:rsidRPr="00E3232D">
        <w:rPr>
          <w:rFonts w:ascii="Book Antiqua" w:hAnsi="Book Antiqua"/>
          <w:b/>
        </w:rPr>
        <w:t xml:space="preserve">VDU – </w:t>
      </w:r>
      <w:r w:rsidRPr="00E3232D">
        <w:rPr>
          <w:rFonts w:ascii="Book Antiqua" w:hAnsi="Book Antiqua"/>
        </w:rPr>
        <w:t>visual display unit</w:t>
      </w:r>
    </w:p>
    <w:p w14:paraId="52F47D74" w14:textId="77777777" w:rsidR="00140A29" w:rsidRPr="00E3232D" w:rsidRDefault="00140A29" w:rsidP="00EB2A77">
      <w:pPr>
        <w:pStyle w:val="NoSpacing"/>
        <w:spacing w:line="276" w:lineRule="auto"/>
        <w:jc w:val="both"/>
        <w:rPr>
          <w:rFonts w:ascii="Book Antiqua" w:hAnsi="Book Antiqua"/>
        </w:rPr>
      </w:pPr>
      <w:r w:rsidRPr="00E3232D">
        <w:rPr>
          <w:rFonts w:ascii="Book Antiqua" w:hAnsi="Book Antiqua"/>
          <w:b/>
        </w:rPr>
        <w:t>NO – n</w:t>
      </w:r>
      <w:r w:rsidRPr="00E3232D">
        <w:rPr>
          <w:rFonts w:ascii="Book Antiqua" w:hAnsi="Book Antiqua"/>
        </w:rPr>
        <w:t xml:space="preserve">ormally open </w:t>
      </w:r>
    </w:p>
    <w:p w14:paraId="087DB385" w14:textId="77777777" w:rsidR="00140A29" w:rsidRPr="00E3232D" w:rsidRDefault="00140A29" w:rsidP="00EB2A77">
      <w:pPr>
        <w:pStyle w:val="NoSpacing"/>
        <w:spacing w:line="276" w:lineRule="auto"/>
        <w:jc w:val="both"/>
        <w:rPr>
          <w:rFonts w:ascii="Book Antiqua" w:hAnsi="Book Antiqua"/>
        </w:rPr>
      </w:pPr>
      <w:r w:rsidRPr="00E3232D">
        <w:rPr>
          <w:rFonts w:ascii="Book Antiqua" w:hAnsi="Book Antiqua"/>
          <w:b/>
        </w:rPr>
        <w:t xml:space="preserve">NC – </w:t>
      </w:r>
      <w:r w:rsidRPr="00E3232D">
        <w:rPr>
          <w:rFonts w:ascii="Book Antiqua" w:hAnsi="Book Antiqua"/>
        </w:rPr>
        <w:t>normally closed</w:t>
      </w:r>
    </w:p>
    <w:p w14:paraId="595CA9C4" w14:textId="77777777" w:rsidR="00140A29" w:rsidRPr="00E3232D" w:rsidRDefault="00140A29" w:rsidP="00EB2A77">
      <w:pPr>
        <w:pStyle w:val="NoSpacing"/>
        <w:spacing w:line="276" w:lineRule="auto"/>
        <w:jc w:val="both"/>
        <w:rPr>
          <w:rFonts w:ascii="Book Antiqua" w:hAnsi="Book Antiqua"/>
          <w:b/>
        </w:rPr>
      </w:pPr>
      <w:r w:rsidRPr="00E3232D">
        <w:rPr>
          <w:rFonts w:ascii="Book Antiqua" w:hAnsi="Book Antiqua"/>
          <w:b/>
        </w:rPr>
        <w:t xml:space="preserve">G33, G39, G60 – </w:t>
      </w:r>
      <w:r w:rsidRPr="00E3232D">
        <w:rPr>
          <w:rFonts w:ascii="Book Antiqua" w:hAnsi="Book Antiqua"/>
        </w:rPr>
        <w:t>demineralised water tanks</w:t>
      </w:r>
    </w:p>
    <w:p w14:paraId="52E9A3BC" w14:textId="77777777" w:rsidR="00140A29" w:rsidRPr="00E3232D" w:rsidRDefault="00850DC5" w:rsidP="00EB2A77">
      <w:pPr>
        <w:pStyle w:val="NoSpacing"/>
        <w:spacing w:line="276" w:lineRule="auto"/>
        <w:jc w:val="both"/>
        <w:rPr>
          <w:rFonts w:ascii="Book Antiqua" w:hAnsi="Book Antiqua"/>
        </w:rPr>
      </w:pPr>
      <w:r>
        <w:rPr>
          <w:rFonts w:ascii="Book Antiqua" w:hAnsi="Book Antiqua"/>
          <w:noProof/>
        </w:rPr>
        <w:pict w14:anchorId="4BA4CD54">
          <v:shape id="_x0000_s1884" type="#_x0000_t32" style="position:absolute;left:0;text-align:left;margin-left:2.25pt;margin-top:10.35pt;width:30.75pt;height:0;z-index:251893248" o:connectortype="straight" strokeweight="2pt"/>
        </w:pict>
      </w:r>
      <w:r w:rsidR="00140A29" w:rsidRPr="00E3232D">
        <w:rPr>
          <w:rFonts w:ascii="Book Antiqua" w:hAnsi="Book Antiqua"/>
        </w:rPr>
        <w:t xml:space="preserve">               H</w:t>
      </w:r>
      <w:r w:rsidR="00140A29" w:rsidRPr="00E3232D">
        <w:rPr>
          <w:rFonts w:ascii="Book Antiqua" w:hAnsi="Book Antiqua"/>
          <w:vertAlign w:val="subscript"/>
        </w:rPr>
        <w:t>2</w:t>
      </w:r>
      <w:r w:rsidR="00140A29" w:rsidRPr="00E3232D">
        <w:rPr>
          <w:rFonts w:ascii="Book Antiqua" w:hAnsi="Book Antiqua"/>
        </w:rPr>
        <w:t>O</w:t>
      </w:r>
      <w:r w:rsidR="00140A29" w:rsidRPr="00E3232D">
        <w:rPr>
          <w:rFonts w:ascii="Book Antiqua" w:hAnsi="Book Antiqua"/>
          <w:vertAlign w:val="subscript"/>
        </w:rPr>
        <w:t xml:space="preserve"> </w:t>
      </w:r>
      <w:r w:rsidR="00140A29" w:rsidRPr="00E3232D">
        <w:rPr>
          <w:rFonts w:ascii="Book Antiqua" w:hAnsi="Book Antiqua"/>
        </w:rPr>
        <w:t xml:space="preserve"> line</w:t>
      </w:r>
    </w:p>
    <w:p w14:paraId="683B53D6" w14:textId="77777777" w:rsidR="00140A29" w:rsidRPr="00E3232D" w:rsidRDefault="00850DC5" w:rsidP="00EB2A77">
      <w:pPr>
        <w:pStyle w:val="NoSpacing"/>
        <w:spacing w:line="276" w:lineRule="auto"/>
        <w:jc w:val="both"/>
        <w:rPr>
          <w:rFonts w:ascii="Book Antiqua" w:hAnsi="Book Antiqua"/>
        </w:rPr>
      </w:pPr>
      <w:r>
        <w:rPr>
          <w:rFonts w:ascii="Book Antiqua" w:hAnsi="Book Antiqua"/>
          <w:noProof/>
        </w:rPr>
        <w:pict w14:anchorId="0C65E769">
          <v:shape id="_x0000_s1885" type="#_x0000_t32" style="position:absolute;left:0;text-align:left;margin-left:2.25pt;margin-top:12.65pt;width:30.75pt;height:0;z-index:251894272" o:connectortype="straight"/>
        </w:pict>
      </w:r>
      <w:r w:rsidR="00140A29" w:rsidRPr="00E3232D">
        <w:rPr>
          <w:rFonts w:ascii="Book Antiqua" w:hAnsi="Book Antiqua"/>
        </w:rPr>
        <w:t xml:space="preserve">               Instrument air line for valve actuation</w:t>
      </w:r>
    </w:p>
    <w:p w14:paraId="470C3233" w14:textId="77777777" w:rsidR="00140A29" w:rsidRPr="00E3232D" w:rsidRDefault="00140A29" w:rsidP="00EB2A77">
      <w:pPr>
        <w:pStyle w:val="NoSpacing"/>
        <w:spacing w:line="276" w:lineRule="auto"/>
        <w:jc w:val="both"/>
        <w:rPr>
          <w:rFonts w:ascii="Book Antiqua" w:hAnsi="Book Antiqua"/>
        </w:rPr>
      </w:pPr>
      <w:r w:rsidRPr="00E3232D">
        <w:rPr>
          <w:rFonts w:ascii="Book Antiqua" w:hAnsi="Book Antiqua"/>
        </w:rPr>
        <w:t xml:space="preserve">                Electrical signals</w:t>
      </w:r>
    </w:p>
    <w:p w14:paraId="39EEB93A" w14:textId="77777777" w:rsidR="00140A29" w:rsidRDefault="00140A29" w:rsidP="00EB2A77">
      <w:pPr>
        <w:pStyle w:val="NoSpacing"/>
        <w:spacing w:line="276" w:lineRule="auto"/>
        <w:jc w:val="both"/>
        <w:rPr>
          <w:rFonts w:ascii="Book Antiqua" w:hAnsi="Book Antiqua"/>
          <w:b/>
        </w:rPr>
      </w:pPr>
    </w:p>
    <w:p w14:paraId="1644B2BA" w14:textId="77777777" w:rsidR="00140A29" w:rsidRDefault="00140A29" w:rsidP="008275E1">
      <w:pPr>
        <w:pStyle w:val="NoSpacing"/>
        <w:spacing w:line="276" w:lineRule="auto"/>
        <w:rPr>
          <w:rFonts w:ascii="Book Antiqua" w:hAnsi="Book Antiqua"/>
          <w:b/>
        </w:rPr>
      </w:pPr>
    </w:p>
    <w:p w14:paraId="64893613" w14:textId="77777777" w:rsidR="00140A29" w:rsidRDefault="00140A29" w:rsidP="008275E1">
      <w:pPr>
        <w:pStyle w:val="NoSpacing"/>
        <w:spacing w:line="276" w:lineRule="auto"/>
        <w:rPr>
          <w:rFonts w:ascii="Book Antiqua" w:hAnsi="Book Antiqua"/>
          <w:b/>
        </w:rPr>
      </w:pPr>
    </w:p>
    <w:p w14:paraId="7EEC730E" w14:textId="77777777" w:rsidR="00140A29" w:rsidRDefault="00140A29" w:rsidP="008275E1">
      <w:pPr>
        <w:pStyle w:val="NoSpacing"/>
        <w:spacing w:line="276" w:lineRule="auto"/>
        <w:rPr>
          <w:rFonts w:ascii="Book Antiqua" w:hAnsi="Book Antiqua"/>
          <w:b/>
        </w:rPr>
      </w:pPr>
    </w:p>
    <w:p w14:paraId="5006DF77" w14:textId="77777777" w:rsidR="00140A29" w:rsidRDefault="00140A29" w:rsidP="008275E1">
      <w:pPr>
        <w:pStyle w:val="NoSpacing"/>
        <w:spacing w:line="276" w:lineRule="auto"/>
        <w:rPr>
          <w:rFonts w:ascii="Book Antiqua" w:hAnsi="Book Antiqua"/>
          <w:b/>
        </w:rPr>
      </w:pPr>
    </w:p>
    <w:p w14:paraId="32B7A9FA" w14:textId="77777777" w:rsidR="00140A29" w:rsidRDefault="00140A29" w:rsidP="008275E1">
      <w:pPr>
        <w:pStyle w:val="NoSpacing"/>
        <w:spacing w:line="276" w:lineRule="auto"/>
        <w:rPr>
          <w:rFonts w:ascii="Book Antiqua" w:hAnsi="Book Antiqua"/>
          <w:b/>
        </w:rPr>
      </w:pPr>
    </w:p>
    <w:p w14:paraId="4B00BC2E" w14:textId="77777777" w:rsidR="00140A29" w:rsidRDefault="00140A29" w:rsidP="008275E1">
      <w:pPr>
        <w:pStyle w:val="NoSpacing"/>
        <w:spacing w:line="276" w:lineRule="auto"/>
        <w:rPr>
          <w:rFonts w:ascii="Book Antiqua" w:hAnsi="Book Antiqua"/>
          <w:b/>
        </w:rPr>
      </w:pPr>
    </w:p>
    <w:p w14:paraId="763FFAD0" w14:textId="77777777" w:rsidR="00140A29" w:rsidRDefault="00140A29" w:rsidP="008275E1">
      <w:pPr>
        <w:pStyle w:val="NoSpacing"/>
        <w:spacing w:line="276" w:lineRule="auto"/>
        <w:rPr>
          <w:rFonts w:ascii="Book Antiqua" w:hAnsi="Book Antiqua"/>
          <w:b/>
        </w:rPr>
      </w:pPr>
    </w:p>
    <w:p w14:paraId="0F85F00E" w14:textId="77777777" w:rsidR="00140A29" w:rsidRDefault="00140A29" w:rsidP="008275E1">
      <w:pPr>
        <w:pStyle w:val="NoSpacing"/>
        <w:spacing w:line="276" w:lineRule="auto"/>
        <w:rPr>
          <w:rFonts w:ascii="Book Antiqua" w:hAnsi="Book Antiqua"/>
          <w:b/>
        </w:rPr>
      </w:pPr>
    </w:p>
    <w:p w14:paraId="2057118B" w14:textId="77777777" w:rsidR="00140A29" w:rsidRDefault="00140A29" w:rsidP="008275E1">
      <w:pPr>
        <w:pStyle w:val="NoSpacing"/>
        <w:spacing w:line="276" w:lineRule="auto"/>
        <w:rPr>
          <w:rFonts w:ascii="Book Antiqua" w:hAnsi="Book Antiqua"/>
          <w:b/>
        </w:rPr>
      </w:pPr>
    </w:p>
    <w:p w14:paraId="4748CDC6" w14:textId="77777777" w:rsidR="00140A29" w:rsidRDefault="00140A29" w:rsidP="008275E1">
      <w:pPr>
        <w:pStyle w:val="NoSpacing"/>
        <w:spacing w:line="276" w:lineRule="auto"/>
        <w:rPr>
          <w:rFonts w:ascii="Book Antiqua" w:hAnsi="Book Antiqua"/>
          <w:b/>
        </w:rPr>
      </w:pPr>
    </w:p>
    <w:p w14:paraId="4F0AFB52" w14:textId="77777777" w:rsidR="00140A29" w:rsidRDefault="00140A29" w:rsidP="008275E1">
      <w:pPr>
        <w:pStyle w:val="NoSpacing"/>
        <w:spacing w:line="276" w:lineRule="auto"/>
        <w:rPr>
          <w:rFonts w:ascii="Book Antiqua" w:hAnsi="Book Antiqua"/>
          <w:b/>
        </w:rPr>
      </w:pPr>
    </w:p>
    <w:p w14:paraId="7358632F" w14:textId="77777777" w:rsidR="00140A29" w:rsidRDefault="00140A29" w:rsidP="008275E1">
      <w:pPr>
        <w:pStyle w:val="NoSpacing"/>
        <w:spacing w:line="276" w:lineRule="auto"/>
        <w:rPr>
          <w:rFonts w:ascii="Book Antiqua" w:hAnsi="Book Antiqua"/>
          <w:b/>
        </w:rPr>
      </w:pPr>
    </w:p>
    <w:p w14:paraId="20E1FF95" w14:textId="77777777" w:rsidR="00140A29" w:rsidRDefault="00140A29" w:rsidP="008275E1">
      <w:pPr>
        <w:pStyle w:val="NoSpacing"/>
        <w:spacing w:line="276" w:lineRule="auto"/>
        <w:rPr>
          <w:rFonts w:ascii="Book Antiqua" w:hAnsi="Book Antiqua"/>
          <w:b/>
        </w:rPr>
      </w:pPr>
    </w:p>
    <w:p w14:paraId="1916B433" w14:textId="77777777" w:rsidR="00140A29" w:rsidRDefault="00140A29" w:rsidP="008275E1">
      <w:pPr>
        <w:pStyle w:val="NoSpacing"/>
        <w:spacing w:line="276" w:lineRule="auto"/>
        <w:rPr>
          <w:rFonts w:ascii="Book Antiqua" w:hAnsi="Book Antiqua"/>
          <w:b/>
        </w:rPr>
      </w:pPr>
    </w:p>
    <w:p w14:paraId="170BBD6E" w14:textId="77777777" w:rsidR="00140A29" w:rsidRDefault="00140A29" w:rsidP="008275E1">
      <w:pPr>
        <w:pStyle w:val="NoSpacing"/>
        <w:spacing w:line="276" w:lineRule="auto"/>
        <w:rPr>
          <w:rFonts w:ascii="Book Antiqua" w:hAnsi="Book Antiqua"/>
          <w:b/>
        </w:rPr>
      </w:pPr>
    </w:p>
    <w:p w14:paraId="386EE194" w14:textId="77777777" w:rsidR="00140A29" w:rsidRDefault="00140A29" w:rsidP="008275E1">
      <w:pPr>
        <w:pStyle w:val="NoSpacing"/>
        <w:spacing w:line="276" w:lineRule="auto"/>
        <w:rPr>
          <w:rFonts w:ascii="Book Antiqua" w:hAnsi="Book Antiqua"/>
          <w:b/>
        </w:rPr>
      </w:pPr>
    </w:p>
    <w:p w14:paraId="10D0C296" w14:textId="77777777" w:rsidR="00140A29" w:rsidRDefault="00140A29" w:rsidP="008275E1">
      <w:pPr>
        <w:pStyle w:val="NoSpacing"/>
        <w:spacing w:line="276" w:lineRule="auto"/>
        <w:rPr>
          <w:rFonts w:ascii="Book Antiqua" w:hAnsi="Book Antiqua"/>
          <w:b/>
        </w:rPr>
      </w:pPr>
    </w:p>
    <w:p w14:paraId="33C5A379" w14:textId="77777777" w:rsidR="00140A29" w:rsidRDefault="00140A29" w:rsidP="008275E1">
      <w:pPr>
        <w:pStyle w:val="NoSpacing"/>
        <w:spacing w:line="276" w:lineRule="auto"/>
        <w:rPr>
          <w:rFonts w:ascii="Book Antiqua" w:hAnsi="Book Antiqua"/>
          <w:b/>
        </w:rPr>
      </w:pPr>
    </w:p>
    <w:p w14:paraId="401D2E87"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1.1.1 Auxilliaries of 42-WTP-3</w:t>
      </w:r>
    </w:p>
    <w:p w14:paraId="3A8EB527"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These include the following:</w:t>
      </w:r>
    </w:p>
    <w:p w14:paraId="0FC87748" w14:textId="77777777" w:rsidR="00350B24" w:rsidRPr="00E3232D" w:rsidRDefault="00350B24" w:rsidP="00EB2A77">
      <w:pPr>
        <w:pStyle w:val="NoSpacing"/>
        <w:numPr>
          <w:ilvl w:val="0"/>
          <w:numId w:val="139"/>
        </w:numPr>
        <w:spacing w:line="276" w:lineRule="auto"/>
        <w:jc w:val="both"/>
        <w:rPr>
          <w:rFonts w:ascii="Book Antiqua" w:hAnsi="Book Antiqua"/>
        </w:rPr>
      </w:pPr>
      <w:r w:rsidRPr="00E3232D">
        <w:rPr>
          <w:rFonts w:ascii="Book Antiqua" w:hAnsi="Book Antiqua"/>
        </w:rPr>
        <w:t xml:space="preserve">2 pretreated water pumps, </w:t>
      </w:r>
    </w:p>
    <w:p w14:paraId="1894BE08" w14:textId="77777777" w:rsidR="00350B24" w:rsidRPr="00E3232D" w:rsidRDefault="00350B24" w:rsidP="00EB2A77">
      <w:pPr>
        <w:pStyle w:val="NoSpacing"/>
        <w:numPr>
          <w:ilvl w:val="0"/>
          <w:numId w:val="139"/>
        </w:numPr>
        <w:spacing w:line="276" w:lineRule="auto"/>
        <w:jc w:val="both"/>
        <w:rPr>
          <w:rFonts w:ascii="Book Antiqua" w:hAnsi="Book Antiqua"/>
        </w:rPr>
      </w:pPr>
      <w:r w:rsidRPr="00E3232D">
        <w:rPr>
          <w:rFonts w:ascii="Book Antiqua" w:hAnsi="Book Antiqua"/>
        </w:rPr>
        <w:t>1 sulphuric acid (H</w:t>
      </w:r>
      <w:r w:rsidRPr="00E3232D">
        <w:rPr>
          <w:rFonts w:ascii="Book Antiqua" w:hAnsi="Book Antiqua"/>
          <w:vertAlign w:val="subscript"/>
        </w:rPr>
        <w:t>2</w:t>
      </w:r>
      <w:r w:rsidRPr="00E3232D">
        <w:rPr>
          <w:rFonts w:ascii="Book Antiqua" w:hAnsi="Book Antiqua"/>
        </w:rPr>
        <w:t xml:space="preserve"> SO</w:t>
      </w:r>
      <w:r w:rsidRPr="00E3232D">
        <w:rPr>
          <w:rFonts w:ascii="Book Antiqua" w:hAnsi="Book Antiqua"/>
          <w:vertAlign w:val="subscript"/>
        </w:rPr>
        <w:t>4</w:t>
      </w:r>
      <w:r w:rsidRPr="00E3232D">
        <w:rPr>
          <w:rFonts w:ascii="Book Antiqua" w:hAnsi="Book Antiqua"/>
        </w:rPr>
        <w:t>) injection skid,</w:t>
      </w:r>
    </w:p>
    <w:p w14:paraId="1D4AE737" w14:textId="77777777" w:rsidR="00350B24" w:rsidRPr="00E3232D" w:rsidRDefault="00350B24" w:rsidP="00EB2A77">
      <w:pPr>
        <w:pStyle w:val="NoSpacing"/>
        <w:numPr>
          <w:ilvl w:val="0"/>
          <w:numId w:val="139"/>
        </w:numPr>
        <w:spacing w:line="276" w:lineRule="auto"/>
        <w:jc w:val="both"/>
        <w:rPr>
          <w:rFonts w:ascii="Book Antiqua" w:hAnsi="Book Antiqua"/>
        </w:rPr>
      </w:pPr>
      <w:r w:rsidRPr="00E3232D">
        <w:rPr>
          <w:rFonts w:ascii="Book Antiqua" w:hAnsi="Book Antiqua"/>
        </w:rPr>
        <w:t>1 caustic soda (NaOH) injection skid,</w:t>
      </w:r>
    </w:p>
    <w:p w14:paraId="5D94E632" w14:textId="77777777" w:rsidR="00350B24" w:rsidRPr="00E3232D" w:rsidRDefault="00350B24" w:rsidP="00EB2A77">
      <w:pPr>
        <w:pStyle w:val="NoSpacing"/>
        <w:numPr>
          <w:ilvl w:val="0"/>
          <w:numId w:val="139"/>
        </w:numPr>
        <w:spacing w:line="276" w:lineRule="auto"/>
        <w:jc w:val="both"/>
        <w:rPr>
          <w:rFonts w:ascii="Book Antiqua" w:hAnsi="Book Antiqua"/>
        </w:rPr>
      </w:pPr>
      <w:r w:rsidRPr="00E3232D">
        <w:rPr>
          <w:rFonts w:ascii="Book Antiqua" w:hAnsi="Book Antiqua"/>
        </w:rPr>
        <w:t>3 demineralised water pumps, and</w:t>
      </w:r>
    </w:p>
    <w:p w14:paraId="344FF55D" w14:textId="77777777" w:rsidR="00350B24" w:rsidRPr="00E3232D" w:rsidRDefault="00350B24" w:rsidP="00EB2A77">
      <w:pPr>
        <w:pStyle w:val="NoSpacing"/>
        <w:numPr>
          <w:ilvl w:val="0"/>
          <w:numId w:val="139"/>
        </w:numPr>
        <w:spacing w:line="276" w:lineRule="auto"/>
        <w:jc w:val="both"/>
        <w:rPr>
          <w:rFonts w:ascii="Book Antiqua" w:hAnsi="Book Antiqua"/>
        </w:rPr>
      </w:pPr>
      <w:r w:rsidRPr="00E3232D">
        <w:rPr>
          <w:rFonts w:ascii="Book Antiqua" w:hAnsi="Book Antiqua"/>
        </w:rPr>
        <w:t xml:space="preserve">1 set of programmable logic controllers (PLC) including </w:t>
      </w:r>
    </w:p>
    <w:p w14:paraId="7A84CB85" w14:textId="77777777" w:rsidR="00350B24" w:rsidRPr="00E3232D" w:rsidRDefault="00350B24" w:rsidP="00EB2A77">
      <w:pPr>
        <w:pStyle w:val="NoSpacing"/>
        <w:numPr>
          <w:ilvl w:val="1"/>
          <w:numId w:val="139"/>
        </w:numPr>
        <w:spacing w:line="276" w:lineRule="auto"/>
        <w:jc w:val="both"/>
        <w:rPr>
          <w:rFonts w:ascii="Book Antiqua" w:hAnsi="Book Antiqua"/>
        </w:rPr>
      </w:pPr>
      <w:r w:rsidRPr="00E3232D">
        <w:rPr>
          <w:rFonts w:ascii="Book Antiqua" w:hAnsi="Book Antiqua"/>
        </w:rPr>
        <w:t>A Honeywell HC900 PLC and</w:t>
      </w:r>
    </w:p>
    <w:p w14:paraId="5380AC3E" w14:textId="77777777" w:rsidR="00350B24" w:rsidRPr="00E3232D" w:rsidRDefault="00350B24" w:rsidP="00EB2A77">
      <w:pPr>
        <w:pStyle w:val="NoSpacing"/>
        <w:numPr>
          <w:ilvl w:val="1"/>
          <w:numId w:val="139"/>
        </w:numPr>
        <w:spacing w:line="276" w:lineRule="auto"/>
        <w:jc w:val="both"/>
        <w:rPr>
          <w:rFonts w:ascii="Book Antiqua" w:hAnsi="Book Antiqua"/>
        </w:rPr>
      </w:pPr>
      <w:r w:rsidRPr="00E3232D">
        <w:rPr>
          <w:rFonts w:ascii="Book Antiqua" w:hAnsi="Book Antiqua"/>
        </w:rPr>
        <w:t>A Honeywell 559T12-0021 operator interface [1].</w:t>
      </w:r>
    </w:p>
    <w:p w14:paraId="0A5CBB57" w14:textId="77777777" w:rsidR="00E90AF2" w:rsidRDefault="00E90AF2" w:rsidP="00EB2A77">
      <w:pPr>
        <w:pStyle w:val="NoSpacing"/>
        <w:spacing w:line="276" w:lineRule="auto"/>
        <w:jc w:val="both"/>
        <w:rPr>
          <w:rFonts w:ascii="Book Antiqua" w:hAnsi="Book Antiqua"/>
          <w:b/>
        </w:rPr>
      </w:pPr>
    </w:p>
    <w:p w14:paraId="228BB2E7" w14:textId="77777777" w:rsidR="00140A29" w:rsidRDefault="00140A29" w:rsidP="008275E1">
      <w:pPr>
        <w:pStyle w:val="NoSpacing"/>
        <w:spacing w:line="276" w:lineRule="auto"/>
        <w:rPr>
          <w:rFonts w:ascii="Book Antiqua" w:hAnsi="Book Antiqua"/>
          <w:b/>
        </w:rPr>
      </w:pPr>
    </w:p>
    <w:p w14:paraId="645B0788" w14:textId="77777777" w:rsidR="00EB2A77" w:rsidRDefault="00EB2A77" w:rsidP="008275E1">
      <w:pPr>
        <w:pStyle w:val="NoSpacing"/>
        <w:spacing w:line="276" w:lineRule="auto"/>
        <w:rPr>
          <w:rFonts w:ascii="Book Antiqua" w:hAnsi="Book Antiqua"/>
          <w:b/>
          <w:sz w:val="26"/>
          <w:szCs w:val="26"/>
        </w:rPr>
      </w:pPr>
    </w:p>
    <w:p w14:paraId="133CCE6A" w14:textId="77777777" w:rsidR="00EB2A77" w:rsidRDefault="00EB2A77" w:rsidP="008275E1">
      <w:pPr>
        <w:pStyle w:val="NoSpacing"/>
        <w:spacing w:line="276" w:lineRule="auto"/>
        <w:rPr>
          <w:rFonts w:ascii="Book Antiqua" w:hAnsi="Book Antiqua"/>
          <w:b/>
          <w:sz w:val="26"/>
          <w:szCs w:val="26"/>
        </w:rPr>
      </w:pPr>
    </w:p>
    <w:p w14:paraId="1EC78277" w14:textId="77777777" w:rsidR="00350B24" w:rsidRPr="00EB2A77" w:rsidRDefault="00350B24" w:rsidP="008275E1">
      <w:pPr>
        <w:pStyle w:val="NoSpacing"/>
        <w:spacing w:line="276" w:lineRule="auto"/>
        <w:rPr>
          <w:rFonts w:ascii="Book Antiqua" w:hAnsi="Book Antiqua"/>
          <w:b/>
          <w:szCs w:val="26"/>
        </w:rPr>
      </w:pPr>
      <w:r w:rsidRPr="00EB2A77">
        <w:rPr>
          <w:rFonts w:ascii="Book Antiqua" w:hAnsi="Book Antiqua"/>
          <w:b/>
          <w:szCs w:val="26"/>
        </w:rPr>
        <w:t>1.2 Objective</w:t>
      </w:r>
    </w:p>
    <w:p w14:paraId="66E4CD6B" w14:textId="77777777" w:rsidR="00350B24" w:rsidRPr="00E3232D" w:rsidRDefault="00350B24" w:rsidP="008275E1">
      <w:pPr>
        <w:pStyle w:val="NoSpacing"/>
        <w:spacing w:line="276" w:lineRule="auto"/>
        <w:rPr>
          <w:rFonts w:ascii="Book Antiqua" w:hAnsi="Book Antiqua"/>
        </w:rPr>
      </w:pPr>
      <w:r w:rsidRPr="00E3232D">
        <w:rPr>
          <w:rFonts w:ascii="Book Antiqua" w:hAnsi="Book Antiqua"/>
        </w:rPr>
        <w:t xml:space="preserve">The task on hand was to assess the operation of 42-WTP-3, identify the challenges there and recommend solutions. The outcomes of the study should lead to improvements in the efficiency in the operation of 42-WTP-3.   </w:t>
      </w:r>
    </w:p>
    <w:p w14:paraId="72A978EE" w14:textId="77777777" w:rsidR="00140A29" w:rsidRDefault="00140A29" w:rsidP="008275E1">
      <w:pPr>
        <w:pStyle w:val="NoSpacing"/>
        <w:spacing w:line="276" w:lineRule="auto"/>
        <w:rPr>
          <w:rFonts w:ascii="Book Antiqua" w:hAnsi="Book Antiqua"/>
          <w:b/>
        </w:rPr>
      </w:pPr>
    </w:p>
    <w:p w14:paraId="6A91345A" w14:textId="77777777" w:rsidR="00350B24" w:rsidRPr="00EB2A77" w:rsidRDefault="00350B24" w:rsidP="008275E1">
      <w:pPr>
        <w:pStyle w:val="NoSpacing"/>
        <w:spacing w:line="276" w:lineRule="auto"/>
        <w:rPr>
          <w:rFonts w:ascii="Book Antiqua" w:hAnsi="Book Antiqua"/>
          <w:b/>
          <w:szCs w:val="26"/>
        </w:rPr>
      </w:pPr>
      <w:r w:rsidRPr="00EB2A77">
        <w:rPr>
          <w:rFonts w:ascii="Book Antiqua" w:hAnsi="Book Antiqua"/>
          <w:b/>
          <w:szCs w:val="26"/>
        </w:rPr>
        <w:t>2 Literature Review</w:t>
      </w:r>
    </w:p>
    <w:p w14:paraId="5F923E21"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Water contains minerals namely irons, calcium, magnesium, sodium, alkalinity, chlorides, sulphates, nitrates and silica which can be harmful to the parts of machinery namely turbine blades, boiler tubes etc. The process of demineralization is thence employed to remove minerals from water before it enters the boilers. Demineralisers comprise of ion exchange vessels namely, cation and anion in series. Each contains a resin bed. The ion exchange vessels are interconnected by pipes and valves. [2]</w:t>
      </w:r>
    </w:p>
    <w:p w14:paraId="0866653D" w14:textId="77777777" w:rsidR="00140A29" w:rsidRDefault="00140A29" w:rsidP="008275E1">
      <w:pPr>
        <w:pStyle w:val="NoSpacing"/>
        <w:spacing w:line="276" w:lineRule="auto"/>
        <w:rPr>
          <w:rFonts w:ascii="Book Antiqua" w:hAnsi="Book Antiqua"/>
          <w:b/>
        </w:rPr>
      </w:pPr>
    </w:p>
    <w:p w14:paraId="5B468231" w14:textId="77777777" w:rsidR="00350B24" w:rsidRPr="00EB2A77" w:rsidRDefault="00350B24" w:rsidP="008275E1">
      <w:pPr>
        <w:pStyle w:val="NoSpacing"/>
        <w:spacing w:line="276" w:lineRule="auto"/>
        <w:rPr>
          <w:rFonts w:ascii="Book Antiqua" w:hAnsi="Book Antiqua"/>
          <w:b/>
          <w:szCs w:val="26"/>
        </w:rPr>
      </w:pPr>
      <w:r w:rsidRPr="00EB2A77">
        <w:rPr>
          <w:rFonts w:ascii="Book Antiqua" w:hAnsi="Book Antiqua"/>
          <w:b/>
          <w:szCs w:val="26"/>
        </w:rPr>
        <w:t xml:space="preserve">2.1 Demineralised </w:t>
      </w:r>
      <w:r w:rsidR="00EB2A77" w:rsidRPr="00EB2A77">
        <w:rPr>
          <w:rFonts w:ascii="Book Antiqua" w:hAnsi="Book Antiqua"/>
          <w:b/>
          <w:szCs w:val="26"/>
        </w:rPr>
        <w:t>Water Production</w:t>
      </w:r>
    </w:p>
    <w:p w14:paraId="3AFD7202"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Pretreated water comes into contact with the cation first. Positively charged ions namely, Calcium ion (Ca</w:t>
      </w:r>
      <w:r w:rsidRPr="00E3232D">
        <w:rPr>
          <w:rFonts w:ascii="Book Antiqua" w:hAnsi="Book Antiqua"/>
          <w:vertAlign w:val="superscript"/>
        </w:rPr>
        <w:t>2+</w:t>
      </w:r>
      <w:r w:rsidRPr="00E3232D">
        <w:rPr>
          <w:rFonts w:ascii="Book Antiqua" w:hAnsi="Book Antiqua"/>
        </w:rPr>
        <w:t>), and Magnesium ion (Mg</w:t>
      </w:r>
      <w:r w:rsidRPr="00E3232D">
        <w:rPr>
          <w:rFonts w:ascii="Book Antiqua" w:hAnsi="Book Antiqua"/>
          <w:vertAlign w:val="superscript"/>
        </w:rPr>
        <w:t>2+</w:t>
      </w:r>
      <w:r w:rsidRPr="00E3232D">
        <w:rPr>
          <w:rFonts w:ascii="Book Antiqua" w:hAnsi="Book Antiqua"/>
        </w:rPr>
        <w:t>) are removed in the cationic vessel. The remaining solution flows to the anion. Here negatively charged ions namely, sulphate, chloride and bicarbonate are removed by the anion [3]. The solution is now left with H</w:t>
      </w:r>
      <w:r w:rsidRPr="00E3232D">
        <w:rPr>
          <w:rFonts w:ascii="Book Antiqua" w:hAnsi="Book Antiqua"/>
          <w:vertAlign w:val="superscript"/>
        </w:rPr>
        <w:t>+</w:t>
      </w:r>
      <w:r w:rsidRPr="00E3232D">
        <w:rPr>
          <w:rFonts w:ascii="Book Antiqua" w:hAnsi="Book Antiqua"/>
        </w:rPr>
        <w:t xml:space="preserve"> and OH</w:t>
      </w:r>
      <w:r w:rsidRPr="00E3232D">
        <w:rPr>
          <w:rFonts w:ascii="Book Antiqua" w:hAnsi="Book Antiqua"/>
          <w:vertAlign w:val="superscript"/>
        </w:rPr>
        <w:t xml:space="preserve">- </w:t>
      </w:r>
      <w:r w:rsidRPr="00E3232D">
        <w:rPr>
          <w:rFonts w:ascii="Book Antiqua" w:hAnsi="Book Antiqua"/>
        </w:rPr>
        <w:t>, these recombine to give pure water or water free of minerals hence the name, demineralised water. The equations relating to demineralised water production are as follow:</w:t>
      </w:r>
    </w:p>
    <w:p w14:paraId="280B9942" w14:textId="77777777" w:rsidR="00350B24" w:rsidRPr="00E3232D" w:rsidRDefault="00350B24" w:rsidP="008275E1">
      <w:pPr>
        <w:pStyle w:val="NoSpacing"/>
        <w:spacing w:line="276" w:lineRule="auto"/>
        <w:rPr>
          <w:rFonts w:ascii="Book Antiqua" w:hAnsi="Book Antiqua"/>
        </w:rPr>
        <w:sectPr w:rsidR="00350B24" w:rsidRPr="00E3232D" w:rsidSect="008F6BC9">
          <w:type w:val="continuous"/>
          <w:pgSz w:w="11907" w:h="16839" w:code="9"/>
          <w:pgMar w:top="1440" w:right="1440" w:bottom="1440" w:left="1440" w:header="720" w:footer="720" w:gutter="0"/>
          <w:cols w:num="2" w:space="720"/>
          <w:docGrid w:linePitch="360"/>
        </w:sectPr>
      </w:pPr>
    </w:p>
    <w:p w14:paraId="60034D58" w14:textId="77777777" w:rsidR="00350B24" w:rsidRPr="00E3232D" w:rsidRDefault="00350B24" w:rsidP="008275E1">
      <w:pPr>
        <w:pStyle w:val="NoSpacing"/>
        <w:spacing w:line="276" w:lineRule="auto"/>
        <w:rPr>
          <w:rFonts w:ascii="Book Antiqua" w:hAnsi="Book Antiqua"/>
        </w:rPr>
      </w:pPr>
    </w:p>
    <w:p w14:paraId="79BB1709" w14:textId="77777777" w:rsidR="00350B24" w:rsidRPr="00E3232D" w:rsidRDefault="00350B24" w:rsidP="008275E1">
      <w:pPr>
        <w:pStyle w:val="NoSpacing"/>
        <w:spacing w:line="276" w:lineRule="auto"/>
        <w:rPr>
          <w:rFonts w:ascii="Book Antiqua" w:hAnsi="Book Antiqua"/>
          <w:b/>
        </w:rPr>
      </w:pPr>
      <w:r w:rsidRPr="00E3232D">
        <w:rPr>
          <w:rFonts w:ascii="Book Antiqua" w:hAnsi="Book Antiqua"/>
          <w:b/>
        </w:rPr>
        <w:t>Cationic vessel</w:t>
      </w:r>
    </w:p>
    <w:p w14:paraId="196FADF5"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3C6B5D18">
          <v:shape id="_x0000_s1608" type="#_x0000_t32" style="position:absolute;margin-left:89.25pt;margin-top:9.3pt;width:22.5pt;height:0;z-index:251700736" o:connectortype="straight">
            <v:stroke endarrow="block"/>
          </v:shape>
        </w:pict>
      </w:r>
      <w:r w:rsidR="00350B24" w:rsidRPr="00E3232D">
        <w:rPr>
          <w:rFonts w:ascii="Book Antiqua" w:hAnsi="Book Antiqua"/>
        </w:rPr>
        <w:t>2H</w:t>
      </w:r>
      <w:r w:rsidR="00350B24" w:rsidRPr="00E3232D">
        <w:rPr>
          <w:rFonts w:ascii="Book Antiqua" w:hAnsi="Book Antiqua"/>
          <w:vertAlign w:val="superscript"/>
        </w:rPr>
        <w:t>+</w:t>
      </w:r>
      <w:r w:rsidR="00350B24" w:rsidRPr="00E3232D">
        <w:rPr>
          <w:rFonts w:ascii="Book Antiqua" w:hAnsi="Book Antiqua"/>
        </w:rPr>
        <w:t xml:space="preserve"> R</w:t>
      </w:r>
      <w:r w:rsidR="00350B24" w:rsidRPr="00E3232D">
        <w:rPr>
          <w:rFonts w:ascii="Book Antiqua" w:hAnsi="Book Antiqua"/>
          <w:vertAlign w:val="superscript"/>
        </w:rPr>
        <w:t>-</w:t>
      </w:r>
      <w:r w:rsidR="00350B24" w:rsidRPr="00E3232D">
        <w:rPr>
          <w:rFonts w:ascii="Book Antiqua" w:hAnsi="Book Antiqua"/>
        </w:rPr>
        <w:t>(s) + Ca</w:t>
      </w:r>
      <w:r w:rsidR="00350B24" w:rsidRPr="00E3232D">
        <w:rPr>
          <w:rFonts w:ascii="Book Antiqua" w:hAnsi="Book Antiqua"/>
          <w:vertAlign w:val="superscript"/>
        </w:rPr>
        <w:t>2+</w:t>
      </w:r>
      <w:r w:rsidR="00350B24" w:rsidRPr="00E3232D">
        <w:rPr>
          <w:rFonts w:ascii="Book Antiqua" w:hAnsi="Book Antiqua"/>
        </w:rPr>
        <w:t>(aq)              Ca</w:t>
      </w:r>
      <w:r w:rsidR="00350B24" w:rsidRPr="00E3232D">
        <w:rPr>
          <w:rFonts w:ascii="Book Antiqua" w:hAnsi="Book Antiqua"/>
          <w:vertAlign w:val="superscript"/>
        </w:rPr>
        <w:t>2+</w:t>
      </w:r>
      <w:r w:rsidR="00350B24" w:rsidRPr="00E3232D">
        <w:rPr>
          <w:rFonts w:ascii="Book Antiqua" w:hAnsi="Book Antiqua"/>
        </w:rPr>
        <w:t xml:space="preserve"> (2R</w:t>
      </w:r>
      <w:r w:rsidR="00350B24" w:rsidRPr="00E3232D">
        <w:rPr>
          <w:rFonts w:ascii="Book Antiqua" w:hAnsi="Book Antiqua"/>
          <w:vertAlign w:val="superscript"/>
        </w:rPr>
        <w:t>-</w:t>
      </w:r>
      <w:r w:rsidR="00350B24" w:rsidRPr="00E3232D">
        <w:rPr>
          <w:rFonts w:ascii="Book Antiqua" w:hAnsi="Book Antiqua"/>
        </w:rPr>
        <w:t>)(s) + 2H</w:t>
      </w:r>
      <w:r w:rsidR="00350B24" w:rsidRPr="00E3232D">
        <w:rPr>
          <w:rFonts w:ascii="Book Antiqua" w:hAnsi="Book Antiqua"/>
          <w:vertAlign w:val="superscript"/>
        </w:rPr>
        <w:t>+</w:t>
      </w:r>
      <w:r w:rsidR="00350B24" w:rsidRPr="00E3232D">
        <w:rPr>
          <w:rFonts w:ascii="Book Antiqua" w:hAnsi="Book Antiqua"/>
        </w:rPr>
        <w:t>(aq)                                                                                                 (1)</w:t>
      </w:r>
    </w:p>
    <w:p w14:paraId="6C7142E1" w14:textId="77777777" w:rsidR="00350B24" w:rsidRPr="00E3232D" w:rsidRDefault="00350B24" w:rsidP="008275E1">
      <w:pPr>
        <w:pStyle w:val="NoSpacing"/>
        <w:spacing w:line="276" w:lineRule="auto"/>
        <w:rPr>
          <w:rFonts w:ascii="Book Antiqua" w:hAnsi="Book Antiqua"/>
        </w:rPr>
      </w:pPr>
    </w:p>
    <w:p w14:paraId="501F9864"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7DDF332A">
          <v:shape id="_x0000_s1614" type="#_x0000_t32" style="position:absolute;margin-left:95.25pt;margin-top:9.1pt;width:22.5pt;height:0;z-index:251706880" o:connectortype="straight">
            <v:stroke endarrow="block"/>
          </v:shape>
        </w:pict>
      </w:r>
      <w:r w:rsidR="00350B24" w:rsidRPr="00E3232D">
        <w:rPr>
          <w:rFonts w:ascii="Book Antiqua" w:hAnsi="Book Antiqua"/>
        </w:rPr>
        <w:t>2H</w:t>
      </w:r>
      <w:r w:rsidR="00350B24" w:rsidRPr="00E3232D">
        <w:rPr>
          <w:rFonts w:ascii="Book Antiqua" w:hAnsi="Book Antiqua"/>
          <w:vertAlign w:val="superscript"/>
        </w:rPr>
        <w:t>+</w:t>
      </w:r>
      <w:r w:rsidR="00350B24" w:rsidRPr="00E3232D">
        <w:rPr>
          <w:rFonts w:ascii="Book Antiqua" w:hAnsi="Book Antiqua"/>
        </w:rPr>
        <w:t xml:space="preserve"> R</w:t>
      </w:r>
      <w:r w:rsidR="00350B24" w:rsidRPr="00E3232D">
        <w:rPr>
          <w:rFonts w:ascii="Book Antiqua" w:hAnsi="Book Antiqua"/>
          <w:vertAlign w:val="superscript"/>
        </w:rPr>
        <w:t>-</w:t>
      </w:r>
      <w:r w:rsidR="00350B24" w:rsidRPr="00E3232D">
        <w:rPr>
          <w:rFonts w:ascii="Book Antiqua" w:hAnsi="Book Antiqua"/>
        </w:rPr>
        <w:t>(s) + Mg</w:t>
      </w:r>
      <w:r w:rsidR="00350B24" w:rsidRPr="00E3232D">
        <w:rPr>
          <w:rFonts w:ascii="Book Antiqua" w:hAnsi="Book Antiqua"/>
          <w:vertAlign w:val="superscript"/>
        </w:rPr>
        <w:t>2+</w:t>
      </w:r>
      <w:r w:rsidR="00350B24" w:rsidRPr="00E3232D">
        <w:rPr>
          <w:rFonts w:ascii="Book Antiqua" w:hAnsi="Book Antiqua"/>
        </w:rPr>
        <w:t>(aq)              Mg</w:t>
      </w:r>
      <w:r w:rsidR="00350B24" w:rsidRPr="00E3232D">
        <w:rPr>
          <w:rFonts w:ascii="Book Antiqua" w:hAnsi="Book Antiqua"/>
          <w:vertAlign w:val="superscript"/>
        </w:rPr>
        <w:t>2+</w:t>
      </w:r>
      <w:r w:rsidR="00350B24" w:rsidRPr="00E3232D">
        <w:rPr>
          <w:rFonts w:ascii="Book Antiqua" w:hAnsi="Book Antiqua"/>
        </w:rPr>
        <w:t xml:space="preserve"> (2R</w:t>
      </w:r>
      <w:r w:rsidR="00350B24" w:rsidRPr="00E3232D">
        <w:rPr>
          <w:rFonts w:ascii="Book Antiqua" w:hAnsi="Book Antiqua"/>
          <w:vertAlign w:val="superscript"/>
        </w:rPr>
        <w:t>-</w:t>
      </w:r>
      <w:r w:rsidR="00350B24" w:rsidRPr="00E3232D">
        <w:rPr>
          <w:rFonts w:ascii="Book Antiqua" w:hAnsi="Book Antiqua"/>
        </w:rPr>
        <w:t>)(s) + 2H</w:t>
      </w:r>
      <w:r w:rsidR="00350B24" w:rsidRPr="00E3232D">
        <w:rPr>
          <w:rFonts w:ascii="Book Antiqua" w:hAnsi="Book Antiqua"/>
          <w:vertAlign w:val="superscript"/>
        </w:rPr>
        <w:t>+</w:t>
      </w:r>
      <w:r w:rsidR="00350B24" w:rsidRPr="00E3232D">
        <w:rPr>
          <w:rFonts w:ascii="Book Antiqua" w:hAnsi="Book Antiqua"/>
        </w:rPr>
        <w:t>(aq)                                                                                               (2)</w:t>
      </w:r>
    </w:p>
    <w:p w14:paraId="67260878" w14:textId="77777777" w:rsidR="00350B24" w:rsidRPr="00E3232D" w:rsidRDefault="00350B24" w:rsidP="008275E1">
      <w:pPr>
        <w:pStyle w:val="NoSpacing"/>
        <w:spacing w:line="276" w:lineRule="auto"/>
        <w:rPr>
          <w:rFonts w:ascii="Book Antiqua" w:hAnsi="Book Antiqua"/>
          <w:b/>
        </w:rPr>
      </w:pPr>
    </w:p>
    <w:p w14:paraId="391FE31F" w14:textId="77777777" w:rsidR="00350B24" w:rsidRPr="00E3232D" w:rsidRDefault="00350B24" w:rsidP="008275E1">
      <w:pPr>
        <w:pStyle w:val="NoSpacing"/>
        <w:spacing w:line="276" w:lineRule="auto"/>
        <w:rPr>
          <w:rFonts w:ascii="Book Antiqua" w:hAnsi="Book Antiqua"/>
          <w:b/>
        </w:rPr>
      </w:pPr>
      <w:r w:rsidRPr="00E3232D">
        <w:rPr>
          <w:rFonts w:ascii="Book Antiqua" w:hAnsi="Book Antiqua"/>
          <w:b/>
        </w:rPr>
        <w:t>Anionic vessel</w:t>
      </w:r>
    </w:p>
    <w:p w14:paraId="1758FBF3"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76BABD1A">
          <v:shape id="_x0000_s1609" type="#_x0000_t32" style="position:absolute;margin-left:84.75pt;margin-top:8.4pt;width:22.5pt;height:.05pt;z-index:251701760" o:connectortype="straight">
            <v:stroke endarrow="block"/>
          </v:shape>
        </w:pict>
      </w:r>
      <w:r w:rsidR="00350B24" w:rsidRPr="00E3232D">
        <w:rPr>
          <w:rFonts w:ascii="Book Antiqua" w:hAnsi="Book Antiqua"/>
        </w:rPr>
        <w:t>R</w:t>
      </w:r>
      <w:r w:rsidR="00350B24" w:rsidRPr="00E3232D">
        <w:rPr>
          <w:rFonts w:ascii="Book Antiqua" w:hAnsi="Book Antiqua"/>
          <w:vertAlign w:val="superscript"/>
        </w:rPr>
        <w:t>+</w:t>
      </w:r>
      <w:r w:rsidR="00350B24" w:rsidRPr="00E3232D">
        <w:rPr>
          <w:rFonts w:ascii="Book Antiqua" w:hAnsi="Book Antiqua"/>
        </w:rPr>
        <w:t xml:space="preserve"> OH</w:t>
      </w:r>
      <w:r w:rsidR="00350B24" w:rsidRPr="00E3232D">
        <w:rPr>
          <w:rFonts w:ascii="Book Antiqua" w:hAnsi="Book Antiqua"/>
          <w:vertAlign w:val="superscript"/>
        </w:rPr>
        <w:t>-</w:t>
      </w:r>
      <w:r w:rsidR="00350B24" w:rsidRPr="00E3232D">
        <w:rPr>
          <w:rFonts w:ascii="Book Antiqua" w:hAnsi="Book Antiqua"/>
        </w:rPr>
        <w:t>(s) + Cl</w:t>
      </w:r>
      <w:r w:rsidR="00350B24" w:rsidRPr="00E3232D">
        <w:rPr>
          <w:rFonts w:ascii="Book Antiqua" w:hAnsi="Book Antiqua"/>
          <w:vertAlign w:val="superscript"/>
        </w:rPr>
        <w:t>-</w:t>
      </w:r>
      <w:r w:rsidR="00350B24" w:rsidRPr="00E3232D">
        <w:rPr>
          <w:rFonts w:ascii="Book Antiqua" w:hAnsi="Book Antiqua"/>
        </w:rPr>
        <w:t>(aq)              R</w:t>
      </w:r>
      <w:r w:rsidR="00350B24" w:rsidRPr="00E3232D">
        <w:rPr>
          <w:rFonts w:ascii="Book Antiqua" w:hAnsi="Book Antiqua"/>
          <w:vertAlign w:val="superscript"/>
        </w:rPr>
        <w:t>+</w:t>
      </w:r>
      <w:r w:rsidR="00350B24" w:rsidRPr="00E3232D">
        <w:rPr>
          <w:rFonts w:ascii="Book Antiqua" w:hAnsi="Book Antiqua"/>
        </w:rPr>
        <w:t xml:space="preserve"> Cl</w:t>
      </w:r>
      <w:r w:rsidR="00350B24" w:rsidRPr="00E3232D">
        <w:rPr>
          <w:rFonts w:ascii="Book Antiqua" w:hAnsi="Book Antiqua"/>
          <w:vertAlign w:val="superscript"/>
        </w:rPr>
        <w:t>-</w:t>
      </w:r>
      <w:r w:rsidR="00350B24" w:rsidRPr="00E3232D">
        <w:rPr>
          <w:rFonts w:ascii="Book Antiqua" w:hAnsi="Book Antiqua"/>
        </w:rPr>
        <w:t>(s) + OH</w:t>
      </w:r>
      <w:r w:rsidR="00350B24" w:rsidRPr="00E3232D">
        <w:rPr>
          <w:rFonts w:ascii="Book Antiqua" w:hAnsi="Book Antiqua"/>
          <w:vertAlign w:val="superscript"/>
        </w:rPr>
        <w:t>-</w:t>
      </w:r>
      <w:r w:rsidR="00350B24" w:rsidRPr="00E3232D">
        <w:rPr>
          <w:rFonts w:ascii="Book Antiqua" w:hAnsi="Book Antiqua"/>
        </w:rPr>
        <w:t>(aq)                                                                                                         (3)</w:t>
      </w:r>
    </w:p>
    <w:p w14:paraId="4BC64B08" w14:textId="77777777" w:rsidR="00350B24" w:rsidRPr="00E3232D" w:rsidRDefault="00350B24" w:rsidP="008275E1">
      <w:pPr>
        <w:pStyle w:val="NoSpacing"/>
        <w:spacing w:line="276" w:lineRule="auto"/>
        <w:rPr>
          <w:rFonts w:ascii="Book Antiqua" w:hAnsi="Book Antiqua"/>
          <w:b/>
        </w:rPr>
      </w:pPr>
    </w:p>
    <w:p w14:paraId="11393CC3" w14:textId="77777777" w:rsidR="00350B24" w:rsidRPr="00E3232D" w:rsidRDefault="00350B24" w:rsidP="008275E1">
      <w:pPr>
        <w:pStyle w:val="NoSpacing"/>
        <w:spacing w:line="276" w:lineRule="auto"/>
        <w:rPr>
          <w:rFonts w:ascii="Book Antiqua" w:hAnsi="Book Antiqua"/>
          <w:b/>
        </w:rPr>
      </w:pPr>
      <w:r w:rsidRPr="00E3232D">
        <w:rPr>
          <w:rFonts w:ascii="Book Antiqua" w:hAnsi="Book Antiqua"/>
          <w:b/>
        </w:rPr>
        <w:t>Neutralisation</w:t>
      </w:r>
    </w:p>
    <w:p w14:paraId="5BDCC9EC" w14:textId="77777777" w:rsidR="00350B24" w:rsidRPr="00E3232D" w:rsidRDefault="00850DC5" w:rsidP="008275E1">
      <w:pPr>
        <w:pStyle w:val="NoSpacing"/>
        <w:spacing w:line="276" w:lineRule="auto"/>
        <w:rPr>
          <w:rFonts w:ascii="Book Antiqua" w:hAnsi="Book Antiqua"/>
        </w:rPr>
      </w:pPr>
      <w:r>
        <w:rPr>
          <w:rFonts w:ascii="Book Antiqua" w:hAnsi="Book Antiqua"/>
          <w:noProof/>
        </w:rPr>
        <w:pict w14:anchorId="74F58F8B">
          <v:shape id="_x0000_s1610" type="#_x0000_t32" style="position:absolute;margin-left:81pt;margin-top:6.3pt;width:22.5pt;height:.05pt;z-index:251702784" o:connectortype="straight">
            <v:stroke endarrow="block"/>
          </v:shape>
        </w:pict>
      </w:r>
      <w:r w:rsidR="00350B24" w:rsidRPr="00E3232D">
        <w:rPr>
          <w:rFonts w:ascii="Book Antiqua" w:hAnsi="Book Antiqua"/>
        </w:rPr>
        <w:t xml:space="preserve"> H</w:t>
      </w:r>
      <w:r w:rsidR="00350B24" w:rsidRPr="00E3232D">
        <w:rPr>
          <w:rFonts w:ascii="Book Antiqua" w:hAnsi="Book Antiqua"/>
          <w:vertAlign w:val="superscript"/>
        </w:rPr>
        <w:t>+</w:t>
      </w:r>
      <w:r w:rsidR="00350B24" w:rsidRPr="00E3232D">
        <w:rPr>
          <w:rFonts w:ascii="Book Antiqua" w:hAnsi="Book Antiqua"/>
        </w:rPr>
        <w:t>(aq) + OH</w:t>
      </w:r>
      <w:r w:rsidR="00350B24" w:rsidRPr="00E3232D">
        <w:rPr>
          <w:rFonts w:ascii="Book Antiqua" w:hAnsi="Book Antiqua"/>
          <w:vertAlign w:val="superscript"/>
        </w:rPr>
        <w:t>-</w:t>
      </w:r>
      <w:r w:rsidR="00350B24" w:rsidRPr="00E3232D">
        <w:rPr>
          <w:rFonts w:ascii="Book Antiqua" w:hAnsi="Book Antiqua"/>
        </w:rPr>
        <w:t>(aq)              H</w:t>
      </w:r>
      <w:r w:rsidR="00350B24" w:rsidRPr="00E3232D">
        <w:rPr>
          <w:rFonts w:ascii="Book Antiqua" w:hAnsi="Book Antiqua"/>
          <w:vertAlign w:val="subscript"/>
        </w:rPr>
        <w:t>2</w:t>
      </w:r>
      <w:r w:rsidR="00350B24" w:rsidRPr="00E3232D">
        <w:rPr>
          <w:rFonts w:ascii="Book Antiqua" w:hAnsi="Book Antiqua"/>
        </w:rPr>
        <w:t>O(l)                                                                                                                                (4)</w:t>
      </w:r>
    </w:p>
    <w:p w14:paraId="403B4EB5" w14:textId="77777777" w:rsidR="00350B24" w:rsidRPr="00E3232D" w:rsidRDefault="00350B24" w:rsidP="008275E1">
      <w:pPr>
        <w:pStyle w:val="NoSpacing"/>
        <w:spacing w:line="276" w:lineRule="auto"/>
        <w:rPr>
          <w:rFonts w:ascii="Book Antiqua" w:hAnsi="Book Antiqua"/>
        </w:rPr>
      </w:pPr>
    </w:p>
    <w:p w14:paraId="3E4745C7" w14:textId="77777777" w:rsidR="00350B24" w:rsidRPr="00E3232D" w:rsidRDefault="00350B24" w:rsidP="008275E1">
      <w:pPr>
        <w:pStyle w:val="NoSpacing"/>
        <w:spacing w:line="276" w:lineRule="auto"/>
        <w:rPr>
          <w:rFonts w:ascii="Book Antiqua" w:hAnsi="Book Antiqua"/>
          <w:b/>
        </w:rPr>
      </w:pPr>
      <w:r w:rsidRPr="00E3232D">
        <w:rPr>
          <w:rFonts w:ascii="Book Antiqua" w:hAnsi="Book Antiqua"/>
          <w:b/>
        </w:rPr>
        <w:t xml:space="preserve">                                 Cationic vessel                                              Anion vessel</w:t>
      </w:r>
    </w:p>
    <w:p w14:paraId="4F4CBCD5" w14:textId="77777777" w:rsidR="00350B24" w:rsidRPr="00E3232D" w:rsidRDefault="00350B24" w:rsidP="008275E1">
      <w:pPr>
        <w:pStyle w:val="NoSpacing"/>
        <w:spacing w:line="276" w:lineRule="auto"/>
        <w:rPr>
          <w:rFonts w:ascii="Book Antiqua" w:hAnsi="Book Antiqua"/>
          <w:b/>
        </w:rPr>
      </w:pPr>
    </w:p>
    <w:p w14:paraId="4DF5138A" w14:textId="77777777" w:rsidR="00350B24" w:rsidRPr="00E3232D" w:rsidRDefault="00350B24" w:rsidP="008275E1">
      <w:pPr>
        <w:pStyle w:val="NoSpacing"/>
        <w:spacing w:line="276" w:lineRule="auto"/>
        <w:rPr>
          <w:rFonts w:ascii="Book Antiqua" w:hAnsi="Book Antiqua"/>
          <w:b/>
          <w:vertAlign w:val="superscript"/>
        </w:rPr>
      </w:pPr>
      <w:r w:rsidRPr="00E3232D">
        <w:rPr>
          <w:rFonts w:ascii="Book Antiqua" w:hAnsi="Book Antiqua"/>
          <w:b/>
        </w:rPr>
        <w:t xml:space="preserve">    Pretreated H</w:t>
      </w:r>
      <w:r w:rsidRPr="00E3232D">
        <w:rPr>
          <w:rFonts w:ascii="Book Antiqua" w:hAnsi="Book Antiqua"/>
          <w:b/>
          <w:vertAlign w:val="subscript"/>
        </w:rPr>
        <w:t>2</w:t>
      </w:r>
      <w:r w:rsidRPr="00E3232D">
        <w:rPr>
          <w:rFonts w:ascii="Book Antiqua" w:hAnsi="Book Antiqua"/>
          <w:b/>
        </w:rPr>
        <w:t>O    Cationic resins       Outflow of cationic                                   Outflow of anionic</w:t>
      </w:r>
    </w:p>
    <w:p w14:paraId="4DFB7F02" w14:textId="77777777" w:rsidR="00350B24" w:rsidRPr="00E3232D" w:rsidRDefault="00350B24" w:rsidP="008275E1">
      <w:pPr>
        <w:pStyle w:val="NoSpacing"/>
        <w:spacing w:line="276" w:lineRule="auto"/>
        <w:rPr>
          <w:rFonts w:ascii="Book Antiqua" w:hAnsi="Book Antiqua"/>
          <w:b/>
        </w:rPr>
      </w:pPr>
      <w:r w:rsidRPr="00E3232D">
        <w:rPr>
          <w:rFonts w:ascii="Book Antiqua" w:hAnsi="Book Antiqua"/>
          <w:b/>
        </w:rPr>
        <w:t xml:space="preserve">    constituting:            (R</w:t>
      </w:r>
      <w:r w:rsidRPr="00E3232D">
        <w:rPr>
          <w:rFonts w:ascii="Book Antiqua" w:hAnsi="Book Antiqua"/>
          <w:b/>
          <w:vertAlign w:val="superscript"/>
        </w:rPr>
        <w:t>-</w:t>
      </w:r>
      <w:r w:rsidRPr="00E3232D">
        <w:rPr>
          <w:rFonts w:ascii="Book Antiqua" w:hAnsi="Book Antiqua"/>
          <w:b/>
        </w:rPr>
        <w:t>) remove:               vessel:                                                              vessel:</w:t>
      </w:r>
    </w:p>
    <w:p w14:paraId="44443C74" w14:textId="77777777" w:rsidR="00350B24" w:rsidRPr="00E3232D" w:rsidRDefault="00850DC5" w:rsidP="00196385">
      <w:pPr>
        <w:pStyle w:val="NoSpacing"/>
        <w:numPr>
          <w:ilvl w:val="0"/>
          <w:numId w:val="143"/>
        </w:numPr>
        <w:spacing w:line="276" w:lineRule="auto"/>
        <w:rPr>
          <w:rFonts w:ascii="Book Antiqua" w:hAnsi="Book Antiqua"/>
        </w:rPr>
      </w:pPr>
      <w:r>
        <w:rPr>
          <w:rFonts w:ascii="Book Antiqua" w:hAnsi="Book Antiqua"/>
          <w:noProof/>
        </w:rPr>
        <w:pict w14:anchorId="0B90C681">
          <v:shape id="_x0000_s1618" type="#_x0000_t202" style="position:absolute;left:0;text-align:left;margin-left:366pt;margin-top:0;width:66pt;height:105.9pt;z-index:251710976;mso-width-relative:margin;mso-height-relative:margin" filled="f" stroked="f">
            <v:textbox style="mso-next-textbox:#_x0000_s1618">
              <w:txbxContent>
                <w:p w14:paraId="1F0A836D" w14:textId="77777777" w:rsidR="00E2396E" w:rsidRPr="00B228F0" w:rsidRDefault="00E2396E" w:rsidP="00196385">
                  <w:pPr>
                    <w:pStyle w:val="ListParagraph"/>
                    <w:numPr>
                      <w:ilvl w:val="0"/>
                      <w:numId w:val="144"/>
                    </w:numPr>
                    <w:rPr>
                      <w:rFonts w:ascii="Times New Roman" w:hAnsi="Times New Roman"/>
                      <w:sz w:val="20"/>
                    </w:rPr>
                  </w:pPr>
                  <w:r w:rsidRPr="00B228F0">
                    <w:rPr>
                      <w:rFonts w:ascii="Times New Roman" w:hAnsi="Times New Roman"/>
                      <w:sz w:val="20"/>
                    </w:rPr>
                    <w:t>OH</w:t>
                  </w:r>
                  <w:r w:rsidRPr="00B228F0">
                    <w:rPr>
                      <w:rFonts w:ascii="Times New Roman" w:hAnsi="Times New Roman"/>
                      <w:sz w:val="20"/>
                      <w:vertAlign w:val="superscript"/>
                    </w:rPr>
                    <w:t>-</w:t>
                  </w:r>
                </w:p>
                <w:p w14:paraId="7160AF95" w14:textId="77777777" w:rsidR="00E2396E" w:rsidRPr="00B228F0" w:rsidRDefault="00E2396E" w:rsidP="00196385">
                  <w:pPr>
                    <w:pStyle w:val="ListParagraph"/>
                    <w:numPr>
                      <w:ilvl w:val="0"/>
                      <w:numId w:val="144"/>
                    </w:numPr>
                    <w:rPr>
                      <w:rFonts w:ascii="Times New Roman" w:hAnsi="Times New Roman"/>
                      <w:sz w:val="20"/>
                    </w:rPr>
                  </w:pPr>
                  <w:r w:rsidRPr="00B228F0">
                    <w:rPr>
                      <w:rFonts w:ascii="Times New Roman" w:hAnsi="Times New Roman"/>
                      <w:sz w:val="20"/>
                    </w:rPr>
                    <w:t>H</w:t>
                  </w:r>
                  <w:r w:rsidRPr="00B228F0">
                    <w:rPr>
                      <w:rFonts w:ascii="Times New Roman" w:hAnsi="Times New Roman"/>
                      <w:sz w:val="20"/>
                      <w:vertAlign w:val="superscript"/>
                    </w:rPr>
                    <w:t>+</w:t>
                  </w:r>
                </w:p>
                <w:p w14:paraId="253CCFCE" w14:textId="77777777" w:rsidR="00E2396E" w:rsidRPr="00B228F0" w:rsidRDefault="00E2396E" w:rsidP="00350B24">
                  <w:pPr>
                    <w:rPr>
                      <w:rFonts w:ascii="Times New Roman" w:hAnsi="Times New Roman"/>
                      <w:sz w:val="20"/>
                    </w:rPr>
                  </w:pPr>
                  <w:r w:rsidRPr="00B228F0">
                    <w:rPr>
                      <w:rFonts w:ascii="Times New Roman" w:hAnsi="Times New Roman"/>
                      <w:sz w:val="20"/>
                    </w:rPr>
                    <w:t>Recombine to give</w:t>
                  </w:r>
                </w:p>
                <w:p w14:paraId="28FCE23C" w14:textId="77777777" w:rsidR="00E2396E" w:rsidRPr="00B228F0" w:rsidRDefault="00E2396E" w:rsidP="00350B24">
                  <w:pPr>
                    <w:rPr>
                      <w:rFonts w:ascii="Times New Roman" w:hAnsi="Times New Roman"/>
                      <w:sz w:val="20"/>
                    </w:rPr>
                  </w:pPr>
                  <w:r w:rsidRPr="00B228F0">
                    <w:rPr>
                      <w:rFonts w:ascii="Times New Roman" w:hAnsi="Times New Roman"/>
                      <w:sz w:val="20"/>
                    </w:rPr>
                    <w:t>H</w:t>
                  </w:r>
                  <w:r w:rsidRPr="00B228F0">
                    <w:rPr>
                      <w:rFonts w:ascii="Times New Roman" w:hAnsi="Times New Roman"/>
                      <w:sz w:val="20"/>
                      <w:vertAlign w:val="subscript"/>
                    </w:rPr>
                    <w:t>2</w:t>
                  </w:r>
                  <w:r w:rsidRPr="00B228F0">
                    <w:rPr>
                      <w:rFonts w:ascii="Times New Roman" w:hAnsi="Times New Roman"/>
                      <w:sz w:val="20"/>
                    </w:rPr>
                    <w:t>O</w:t>
                  </w:r>
                </w:p>
              </w:txbxContent>
            </v:textbox>
          </v:shape>
        </w:pict>
      </w:r>
      <w:r w:rsidR="00350B24" w:rsidRPr="00E3232D">
        <w:rPr>
          <w:rFonts w:ascii="Book Antiqua" w:hAnsi="Book Antiqua"/>
        </w:rPr>
        <w:t>Mg</w:t>
      </w:r>
      <w:r w:rsidR="00350B24" w:rsidRPr="00E3232D">
        <w:rPr>
          <w:rFonts w:ascii="Book Antiqua" w:hAnsi="Book Antiqua"/>
          <w:vertAlign w:val="superscript"/>
        </w:rPr>
        <w:t>2+</w:t>
      </w:r>
      <w:r w:rsidR="00350B24" w:rsidRPr="00E3232D">
        <w:rPr>
          <w:rFonts w:ascii="Book Antiqua" w:hAnsi="Book Antiqua"/>
        </w:rPr>
        <w:t xml:space="preserve">                  Mg</w:t>
      </w:r>
      <w:r w:rsidR="00350B24" w:rsidRPr="00E3232D">
        <w:rPr>
          <w:rFonts w:ascii="Book Antiqua" w:hAnsi="Book Antiqua"/>
          <w:vertAlign w:val="superscript"/>
        </w:rPr>
        <w:t>2+</w:t>
      </w:r>
      <w:r w:rsidR="00350B24" w:rsidRPr="00E3232D">
        <w:rPr>
          <w:rFonts w:ascii="Book Antiqua" w:hAnsi="Book Antiqua"/>
        </w:rPr>
        <w:t xml:space="preserve"> </w:t>
      </w:r>
    </w:p>
    <w:p w14:paraId="08D007FC" w14:textId="77777777" w:rsidR="00350B24" w:rsidRPr="00E3232D" w:rsidRDefault="00350B24" w:rsidP="00196385">
      <w:pPr>
        <w:pStyle w:val="NoSpacing"/>
        <w:numPr>
          <w:ilvl w:val="0"/>
          <w:numId w:val="143"/>
        </w:numPr>
        <w:spacing w:line="276" w:lineRule="auto"/>
        <w:rPr>
          <w:rFonts w:ascii="Book Antiqua" w:hAnsi="Book Antiqua"/>
        </w:rPr>
      </w:pPr>
      <w:r w:rsidRPr="00E3232D">
        <w:rPr>
          <w:rFonts w:ascii="Book Antiqua" w:hAnsi="Book Antiqua"/>
        </w:rPr>
        <w:t>Ca</w:t>
      </w:r>
      <w:r w:rsidRPr="00E3232D">
        <w:rPr>
          <w:rFonts w:ascii="Book Antiqua" w:hAnsi="Book Antiqua"/>
          <w:vertAlign w:val="superscript"/>
        </w:rPr>
        <w:t>2+</w:t>
      </w:r>
      <w:r w:rsidRPr="00E3232D">
        <w:rPr>
          <w:rFonts w:ascii="Book Antiqua" w:hAnsi="Book Antiqua"/>
        </w:rPr>
        <w:t xml:space="preserve">                    Ca</w:t>
      </w:r>
      <w:r w:rsidRPr="00E3232D">
        <w:rPr>
          <w:rFonts w:ascii="Book Antiqua" w:hAnsi="Book Antiqua"/>
          <w:vertAlign w:val="superscript"/>
        </w:rPr>
        <w:t>2+</w:t>
      </w:r>
    </w:p>
    <w:p w14:paraId="2FCEF9DB" w14:textId="77777777" w:rsidR="00350B24" w:rsidRPr="00E3232D" w:rsidRDefault="00350B24" w:rsidP="00196385">
      <w:pPr>
        <w:pStyle w:val="NoSpacing"/>
        <w:numPr>
          <w:ilvl w:val="0"/>
          <w:numId w:val="143"/>
        </w:numPr>
        <w:spacing w:line="276" w:lineRule="auto"/>
        <w:rPr>
          <w:rFonts w:ascii="Book Antiqua" w:hAnsi="Book Antiqua"/>
        </w:rPr>
      </w:pPr>
      <w:r w:rsidRPr="00E3232D">
        <w:rPr>
          <w:rFonts w:ascii="Book Antiqua" w:hAnsi="Book Antiqua"/>
        </w:rPr>
        <w:t>H</w:t>
      </w:r>
      <w:r w:rsidRPr="00E3232D">
        <w:rPr>
          <w:rFonts w:ascii="Book Antiqua" w:hAnsi="Book Antiqua"/>
          <w:vertAlign w:val="superscript"/>
        </w:rPr>
        <w:t>+</w:t>
      </w:r>
      <w:r w:rsidRPr="00E3232D">
        <w:rPr>
          <w:rFonts w:ascii="Book Antiqua" w:hAnsi="Book Antiqua"/>
        </w:rPr>
        <w:t xml:space="preserve">                       by attraction</w:t>
      </w:r>
    </w:p>
    <w:p w14:paraId="32541FF3" w14:textId="77777777" w:rsidR="00350B24" w:rsidRPr="00E3232D" w:rsidRDefault="00350B24" w:rsidP="00196385">
      <w:pPr>
        <w:pStyle w:val="NoSpacing"/>
        <w:numPr>
          <w:ilvl w:val="0"/>
          <w:numId w:val="143"/>
        </w:numPr>
        <w:spacing w:line="276" w:lineRule="auto"/>
        <w:rPr>
          <w:rFonts w:ascii="Book Antiqua" w:hAnsi="Book Antiqua"/>
        </w:rPr>
      </w:pPr>
      <w:r w:rsidRPr="00E3232D">
        <w:rPr>
          <w:rFonts w:ascii="Book Antiqua" w:hAnsi="Book Antiqua"/>
        </w:rPr>
        <w:t>OH</w:t>
      </w:r>
      <w:r w:rsidRPr="00E3232D">
        <w:rPr>
          <w:rFonts w:ascii="Book Antiqua" w:hAnsi="Book Antiqua"/>
          <w:vertAlign w:val="superscript"/>
        </w:rPr>
        <w:t>-</w:t>
      </w:r>
      <w:r w:rsidRPr="00E3232D">
        <w:rPr>
          <w:rFonts w:ascii="Book Antiqua" w:hAnsi="Book Antiqua"/>
        </w:rPr>
        <w:t xml:space="preserve">                     and displaces</w:t>
      </w:r>
    </w:p>
    <w:p w14:paraId="605A7B80" w14:textId="77777777" w:rsidR="00350B24" w:rsidRPr="00E3232D" w:rsidRDefault="00350B24" w:rsidP="00196385">
      <w:pPr>
        <w:pStyle w:val="NoSpacing"/>
        <w:numPr>
          <w:ilvl w:val="0"/>
          <w:numId w:val="143"/>
        </w:numPr>
        <w:spacing w:line="276" w:lineRule="auto"/>
        <w:rPr>
          <w:rFonts w:ascii="Book Antiqua" w:hAnsi="Book Antiqua"/>
        </w:rPr>
      </w:pPr>
      <w:r w:rsidRPr="00E3232D">
        <w:rPr>
          <w:rFonts w:ascii="Book Antiqua" w:hAnsi="Book Antiqua"/>
        </w:rPr>
        <w:t>Cl</w:t>
      </w:r>
      <w:r w:rsidRPr="00E3232D">
        <w:rPr>
          <w:rFonts w:ascii="Book Antiqua" w:hAnsi="Book Antiqua"/>
          <w:vertAlign w:val="superscript"/>
        </w:rPr>
        <w:t>-</w:t>
      </w:r>
      <w:r w:rsidRPr="00E3232D">
        <w:rPr>
          <w:rFonts w:ascii="Book Antiqua" w:hAnsi="Book Antiqua"/>
        </w:rPr>
        <w:t xml:space="preserve">                       H</w:t>
      </w:r>
      <w:r w:rsidRPr="00E3232D">
        <w:rPr>
          <w:rFonts w:ascii="Book Antiqua" w:hAnsi="Book Antiqua"/>
          <w:vertAlign w:val="superscript"/>
        </w:rPr>
        <w:t>+</w:t>
      </w:r>
    </w:p>
    <w:p w14:paraId="0A40CF9F" w14:textId="77777777" w:rsidR="00350B24" w:rsidRPr="00E3232D" w:rsidRDefault="00350B24" w:rsidP="00196385">
      <w:pPr>
        <w:pStyle w:val="NoSpacing"/>
        <w:numPr>
          <w:ilvl w:val="0"/>
          <w:numId w:val="143"/>
        </w:numPr>
        <w:spacing w:line="276" w:lineRule="auto"/>
        <w:rPr>
          <w:rFonts w:ascii="Book Antiqua" w:hAnsi="Book Antiqua"/>
        </w:rPr>
      </w:pPr>
      <w:r w:rsidRPr="00E3232D">
        <w:rPr>
          <w:rFonts w:ascii="Book Antiqua" w:hAnsi="Book Antiqua"/>
        </w:rPr>
        <w:t>HCO</w:t>
      </w:r>
      <w:r w:rsidRPr="00E3232D">
        <w:rPr>
          <w:rFonts w:ascii="Book Antiqua" w:hAnsi="Book Antiqua"/>
          <w:vertAlign w:val="superscript"/>
        </w:rPr>
        <w:t>-</w:t>
      </w:r>
      <w:r w:rsidRPr="00E3232D">
        <w:rPr>
          <w:rFonts w:ascii="Book Antiqua" w:hAnsi="Book Antiqua"/>
          <w:vertAlign w:val="subscript"/>
        </w:rPr>
        <w:t>3</w:t>
      </w:r>
      <w:r w:rsidRPr="00E3232D">
        <w:rPr>
          <w:rFonts w:ascii="Book Antiqua" w:hAnsi="Book Antiqua"/>
        </w:rPr>
        <w:t xml:space="preserve">                 by preference</w:t>
      </w:r>
    </w:p>
    <w:p w14:paraId="7369AC5F" w14:textId="77777777" w:rsidR="00350B24" w:rsidRPr="00E3232D" w:rsidRDefault="00350B24" w:rsidP="00196385">
      <w:pPr>
        <w:pStyle w:val="NoSpacing"/>
        <w:numPr>
          <w:ilvl w:val="0"/>
          <w:numId w:val="143"/>
        </w:numPr>
        <w:spacing w:line="276" w:lineRule="auto"/>
        <w:rPr>
          <w:rFonts w:ascii="Book Antiqua" w:hAnsi="Book Antiqua"/>
        </w:rPr>
      </w:pPr>
      <w:r w:rsidRPr="00E3232D">
        <w:rPr>
          <w:rFonts w:ascii="Book Antiqua" w:hAnsi="Book Antiqua"/>
        </w:rPr>
        <w:t>SiO</w:t>
      </w:r>
      <w:r w:rsidRPr="00E3232D">
        <w:rPr>
          <w:rFonts w:ascii="Book Antiqua" w:hAnsi="Book Antiqua"/>
          <w:vertAlign w:val="subscript"/>
        </w:rPr>
        <w:t>2</w:t>
      </w:r>
      <w:r w:rsidRPr="00E3232D">
        <w:rPr>
          <w:rFonts w:ascii="Book Antiqua" w:hAnsi="Book Antiqua"/>
        </w:rPr>
        <w:t xml:space="preserve">                   to form</w:t>
      </w:r>
    </w:p>
    <w:p w14:paraId="3806BFC2" w14:textId="77777777" w:rsidR="00350B24" w:rsidRPr="00E3232D" w:rsidRDefault="00350B24" w:rsidP="008275E1">
      <w:pPr>
        <w:pStyle w:val="NoSpacing"/>
        <w:spacing w:line="276" w:lineRule="auto"/>
        <w:ind w:left="720"/>
        <w:rPr>
          <w:rFonts w:ascii="Book Antiqua" w:hAnsi="Book Antiqua"/>
        </w:rPr>
      </w:pPr>
      <w:r w:rsidRPr="00E3232D">
        <w:rPr>
          <w:rFonts w:ascii="Book Antiqua" w:hAnsi="Book Antiqua"/>
        </w:rPr>
        <w:t xml:space="preserve">                           Ca</w:t>
      </w:r>
      <w:r w:rsidRPr="00E3232D">
        <w:rPr>
          <w:rFonts w:ascii="Book Antiqua" w:hAnsi="Book Antiqua"/>
          <w:vertAlign w:val="superscript"/>
        </w:rPr>
        <w:t>2+</w:t>
      </w:r>
      <w:r w:rsidRPr="00E3232D">
        <w:rPr>
          <w:rFonts w:ascii="Book Antiqua" w:hAnsi="Book Antiqua"/>
        </w:rPr>
        <w:t xml:space="preserve"> (2R</w:t>
      </w:r>
      <w:r w:rsidRPr="00E3232D">
        <w:rPr>
          <w:rFonts w:ascii="Book Antiqua" w:hAnsi="Book Antiqua"/>
          <w:vertAlign w:val="superscript"/>
        </w:rPr>
        <w:t>-</w:t>
      </w:r>
      <w:r w:rsidRPr="00E3232D">
        <w:rPr>
          <w:rFonts w:ascii="Book Antiqua" w:hAnsi="Book Antiqua"/>
        </w:rPr>
        <w:t>)(s)</w:t>
      </w:r>
    </w:p>
    <w:p w14:paraId="75F74A11" w14:textId="77777777" w:rsidR="00350B24" w:rsidRPr="00E3232D" w:rsidRDefault="00350B24" w:rsidP="008275E1">
      <w:pPr>
        <w:pStyle w:val="NoSpacing"/>
        <w:spacing w:line="276" w:lineRule="auto"/>
        <w:ind w:left="720"/>
        <w:rPr>
          <w:rFonts w:ascii="Book Antiqua" w:hAnsi="Book Antiqua"/>
        </w:rPr>
      </w:pPr>
      <w:r w:rsidRPr="00E3232D">
        <w:rPr>
          <w:rFonts w:ascii="Book Antiqua" w:hAnsi="Book Antiqua"/>
        </w:rPr>
        <w:t xml:space="preserve">                           Mg</w:t>
      </w:r>
      <w:r w:rsidRPr="00E3232D">
        <w:rPr>
          <w:rFonts w:ascii="Book Antiqua" w:hAnsi="Book Antiqua"/>
          <w:vertAlign w:val="superscript"/>
        </w:rPr>
        <w:t>2+</w:t>
      </w:r>
      <w:r w:rsidRPr="00E3232D">
        <w:rPr>
          <w:rFonts w:ascii="Book Antiqua" w:hAnsi="Book Antiqua"/>
        </w:rPr>
        <w:t xml:space="preserve"> (2R</w:t>
      </w:r>
      <w:r w:rsidRPr="00E3232D">
        <w:rPr>
          <w:rFonts w:ascii="Book Antiqua" w:hAnsi="Book Antiqua"/>
          <w:vertAlign w:val="superscript"/>
        </w:rPr>
        <w:t>-</w:t>
      </w:r>
      <w:r w:rsidRPr="00E3232D">
        <w:rPr>
          <w:rFonts w:ascii="Book Antiqua" w:hAnsi="Book Antiqua"/>
        </w:rPr>
        <w:t>)(s)</w:t>
      </w:r>
    </w:p>
    <w:p w14:paraId="2AE17127" w14:textId="77777777" w:rsidR="00350B24" w:rsidRPr="00E3232D" w:rsidRDefault="00350B24" w:rsidP="008275E1">
      <w:pPr>
        <w:pStyle w:val="NoSpacing"/>
        <w:spacing w:line="276" w:lineRule="auto"/>
        <w:rPr>
          <w:rFonts w:ascii="Book Antiqua" w:hAnsi="Book Antiqua"/>
          <w:b/>
        </w:rPr>
      </w:pPr>
    </w:p>
    <w:p w14:paraId="25BEAC21" w14:textId="77777777" w:rsidR="00350B24" w:rsidRDefault="00350B24" w:rsidP="008275E1">
      <w:pPr>
        <w:pStyle w:val="NoSpacing"/>
        <w:spacing w:line="276" w:lineRule="auto"/>
        <w:rPr>
          <w:rFonts w:ascii="Book Antiqua" w:hAnsi="Book Antiqua"/>
          <w:b/>
        </w:rPr>
      </w:pPr>
    </w:p>
    <w:p w14:paraId="1EDE21FE" w14:textId="77777777" w:rsidR="00EB2A77" w:rsidRDefault="00EB2A77" w:rsidP="008275E1">
      <w:pPr>
        <w:pStyle w:val="NoSpacing"/>
        <w:spacing w:line="276" w:lineRule="auto"/>
        <w:rPr>
          <w:rFonts w:ascii="Book Antiqua" w:hAnsi="Book Antiqua"/>
          <w:b/>
        </w:rPr>
      </w:pPr>
    </w:p>
    <w:p w14:paraId="4ACAC2FF" w14:textId="77777777" w:rsidR="00EB2A77" w:rsidRPr="00E3232D" w:rsidRDefault="00EB2A77" w:rsidP="008275E1">
      <w:pPr>
        <w:pStyle w:val="NoSpacing"/>
        <w:spacing w:line="276" w:lineRule="auto"/>
        <w:rPr>
          <w:rFonts w:ascii="Book Antiqua" w:hAnsi="Book Antiqua"/>
          <w:b/>
        </w:rPr>
      </w:pPr>
    </w:p>
    <w:p w14:paraId="5FA7938A" w14:textId="77777777" w:rsidR="00350B24" w:rsidRPr="00E3232D" w:rsidRDefault="00850DC5" w:rsidP="008275E1">
      <w:pPr>
        <w:pStyle w:val="NoSpacing"/>
        <w:spacing w:line="276" w:lineRule="auto"/>
        <w:rPr>
          <w:rFonts w:ascii="Book Antiqua" w:hAnsi="Book Antiqua"/>
          <w:b/>
        </w:rPr>
      </w:pPr>
      <w:r>
        <w:rPr>
          <w:rFonts w:ascii="Book Antiqua" w:hAnsi="Book Antiqua"/>
          <w:b/>
          <w:noProof/>
        </w:rPr>
        <w:pict w14:anchorId="4C1BF1D8">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613" type="#_x0000_t13" style="position:absolute;margin-left:90.75pt;margin-top:28.1pt;width:17.25pt;height:90pt;z-index:251705856" adj="5885"/>
        </w:pict>
      </w:r>
      <w:r>
        <w:rPr>
          <w:rFonts w:ascii="Book Antiqua" w:hAnsi="Book Antiqua"/>
          <w:b/>
          <w:noProof/>
        </w:rPr>
        <w:pict w14:anchorId="6719C109">
          <v:roundrect id="_x0000_s1611" style="position:absolute;margin-left:-3pt;margin-top:28.1pt;width:81.75pt;height:152.2pt;z-index:251703808" arcsize="10923f" filled="f"/>
        </w:pict>
      </w:r>
      <w:r>
        <w:rPr>
          <w:rFonts w:ascii="Book Antiqua" w:hAnsi="Book Antiqua"/>
          <w:b/>
          <w:noProof/>
        </w:rPr>
        <w:pict w14:anchorId="620F60BE">
          <v:roundrect id="_x0000_s1612" style="position:absolute;margin-left:116.25pt;margin-top:28.1pt;width:74.25pt;height:147.8pt;z-index:251704832" arcsize="10923f"/>
        </w:pict>
      </w:r>
      <w:r w:rsidR="00350B24" w:rsidRPr="00E3232D">
        <w:rPr>
          <w:rFonts w:ascii="Book Antiqua" w:hAnsi="Book Antiqua"/>
          <w:b/>
        </w:rPr>
        <w:t xml:space="preserve">Fig.2 </w:t>
      </w:r>
      <w:r w:rsidR="00350B24" w:rsidRPr="00E3232D">
        <w:rPr>
          <w:rFonts w:ascii="Book Antiqua" w:hAnsi="Book Antiqua"/>
          <w:b/>
          <w:lang w:val="en-GB"/>
        </w:rPr>
        <w:t>Demineralisation</w:t>
      </w:r>
      <w:r w:rsidR="00350B24" w:rsidRPr="00E3232D">
        <w:rPr>
          <w:rFonts w:ascii="Book Antiqua" w:hAnsi="Book Antiqua"/>
          <w:b/>
        </w:rPr>
        <w:t xml:space="preserve"> of pre-treated water</w:t>
      </w:r>
    </w:p>
    <w:p w14:paraId="3AD40C58" w14:textId="77777777" w:rsidR="00350B24" w:rsidRPr="00E3232D" w:rsidRDefault="00350B24" w:rsidP="008275E1">
      <w:pPr>
        <w:pStyle w:val="NoSpacing"/>
        <w:spacing w:line="276" w:lineRule="auto"/>
        <w:rPr>
          <w:rFonts w:ascii="Book Antiqua" w:hAnsi="Book Antiqua"/>
          <w:b/>
        </w:rPr>
        <w:sectPr w:rsidR="00350B24" w:rsidRPr="00E3232D" w:rsidSect="008F6BC9">
          <w:type w:val="continuous"/>
          <w:pgSz w:w="11907" w:h="16839" w:code="9"/>
          <w:pgMar w:top="1440" w:right="1440" w:bottom="1440" w:left="1440" w:header="720" w:footer="720" w:gutter="0"/>
          <w:cols w:num="2" w:space="720"/>
          <w:docGrid w:linePitch="360"/>
        </w:sectPr>
      </w:pPr>
    </w:p>
    <w:p w14:paraId="73EA656E" w14:textId="77777777" w:rsidR="00E90AF2" w:rsidRDefault="00850DC5" w:rsidP="008275E1">
      <w:pPr>
        <w:pStyle w:val="NoSpacing"/>
        <w:spacing w:line="276" w:lineRule="auto"/>
        <w:rPr>
          <w:rFonts w:ascii="Book Antiqua" w:hAnsi="Book Antiqua"/>
          <w:b/>
        </w:rPr>
      </w:pPr>
      <w:r>
        <w:rPr>
          <w:rFonts w:ascii="Book Antiqua" w:hAnsi="Book Antiqua"/>
          <w:b/>
          <w:noProof/>
        </w:rPr>
        <w:pict w14:anchorId="02FF3723">
          <v:shape id="_x0000_s1617" type="#_x0000_t202" style="position:absolute;margin-left:116.25pt;margin-top:13.65pt;width:81.75pt;height:160.8pt;z-index:251709952;mso-width-relative:margin;mso-height-relative:margin" filled="f" stroked="f">
            <v:textbox style="mso-next-textbox:#_x0000_s1617">
              <w:txbxContent>
                <w:p w14:paraId="2ED3327C" w14:textId="77777777" w:rsidR="00E2396E" w:rsidRPr="00B228F0" w:rsidRDefault="00E2396E" w:rsidP="00350B24">
                  <w:pPr>
                    <w:pStyle w:val="NoSpacing"/>
                    <w:rPr>
                      <w:rFonts w:ascii="Times New Roman" w:hAnsi="Times New Roman"/>
                      <w:b/>
                      <w:sz w:val="20"/>
                    </w:rPr>
                  </w:pPr>
                  <w:r w:rsidRPr="00B228F0">
                    <w:rPr>
                      <w:rFonts w:ascii="Times New Roman" w:hAnsi="Times New Roman"/>
                      <w:b/>
                      <w:sz w:val="20"/>
                    </w:rPr>
                    <w:t>Anionic resins (R</w:t>
                  </w:r>
                  <w:r w:rsidRPr="00B228F0">
                    <w:rPr>
                      <w:rFonts w:ascii="Times New Roman" w:hAnsi="Times New Roman"/>
                      <w:b/>
                      <w:sz w:val="20"/>
                      <w:vertAlign w:val="superscript"/>
                    </w:rPr>
                    <w:t>+</w:t>
                  </w:r>
                  <w:r w:rsidRPr="00B228F0">
                    <w:rPr>
                      <w:rFonts w:ascii="Times New Roman" w:hAnsi="Times New Roman"/>
                      <w:b/>
                      <w:sz w:val="20"/>
                    </w:rPr>
                    <w:t>) remove:</w:t>
                  </w:r>
                </w:p>
                <w:p w14:paraId="7744846D" w14:textId="77777777" w:rsidR="00E2396E" w:rsidRPr="00B228F0" w:rsidRDefault="00E2396E" w:rsidP="00196385">
                  <w:pPr>
                    <w:pStyle w:val="NoSpacing"/>
                    <w:numPr>
                      <w:ilvl w:val="0"/>
                      <w:numId w:val="145"/>
                    </w:numPr>
                    <w:rPr>
                      <w:rFonts w:ascii="Times New Roman" w:hAnsi="Times New Roman"/>
                      <w:sz w:val="20"/>
                    </w:rPr>
                  </w:pPr>
                  <w:r w:rsidRPr="00B228F0">
                    <w:rPr>
                      <w:rFonts w:ascii="Times New Roman" w:hAnsi="Times New Roman"/>
                      <w:sz w:val="20"/>
                    </w:rPr>
                    <w:t>Cl</w:t>
                  </w:r>
                  <w:r w:rsidRPr="00B228F0">
                    <w:rPr>
                      <w:rFonts w:ascii="Times New Roman" w:hAnsi="Times New Roman"/>
                      <w:sz w:val="20"/>
                      <w:vertAlign w:val="superscript"/>
                    </w:rPr>
                    <w:t>-</w:t>
                  </w:r>
                </w:p>
                <w:p w14:paraId="1A995172" w14:textId="77777777" w:rsidR="00E2396E" w:rsidRPr="00B228F0" w:rsidRDefault="00E2396E" w:rsidP="00196385">
                  <w:pPr>
                    <w:pStyle w:val="NoSpacing"/>
                    <w:numPr>
                      <w:ilvl w:val="0"/>
                      <w:numId w:val="145"/>
                    </w:numPr>
                    <w:rPr>
                      <w:rFonts w:ascii="Times New Roman" w:hAnsi="Times New Roman"/>
                      <w:sz w:val="20"/>
                    </w:rPr>
                  </w:pPr>
                  <w:r w:rsidRPr="00B228F0">
                    <w:rPr>
                      <w:rFonts w:ascii="Times New Roman" w:hAnsi="Times New Roman"/>
                      <w:sz w:val="20"/>
                    </w:rPr>
                    <w:t>HCO</w:t>
                  </w:r>
                  <w:r w:rsidRPr="00B228F0">
                    <w:rPr>
                      <w:rFonts w:ascii="Times New Roman" w:hAnsi="Times New Roman"/>
                      <w:sz w:val="20"/>
                      <w:vertAlign w:val="superscript"/>
                    </w:rPr>
                    <w:t>-</w:t>
                  </w:r>
                  <w:r w:rsidRPr="00B228F0">
                    <w:rPr>
                      <w:rFonts w:ascii="Times New Roman" w:hAnsi="Times New Roman"/>
                      <w:sz w:val="20"/>
                      <w:vertAlign w:val="subscript"/>
                    </w:rPr>
                    <w:t>3</w:t>
                  </w:r>
                </w:p>
                <w:p w14:paraId="06D64208" w14:textId="77777777" w:rsidR="00E2396E" w:rsidRPr="00B228F0" w:rsidRDefault="00E2396E" w:rsidP="00350B24">
                  <w:pPr>
                    <w:pStyle w:val="NoSpacing"/>
                    <w:rPr>
                      <w:rFonts w:ascii="Times New Roman" w:hAnsi="Times New Roman"/>
                      <w:sz w:val="20"/>
                    </w:rPr>
                  </w:pPr>
                  <w:r w:rsidRPr="00B228F0">
                    <w:rPr>
                      <w:rFonts w:ascii="Times New Roman" w:hAnsi="Times New Roman"/>
                      <w:sz w:val="20"/>
                    </w:rPr>
                    <w:t>By attraction and displaces OH</w:t>
                  </w:r>
                  <w:r w:rsidRPr="00B228F0">
                    <w:rPr>
                      <w:rFonts w:ascii="Times New Roman" w:hAnsi="Times New Roman"/>
                      <w:sz w:val="20"/>
                      <w:vertAlign w:val="superscript"/>
                    </w:rPr>
                    <w:t>-</w:t>
                  </w:r>
                  <w:r w:rsidRPr="00B228F0">
                    <w:rPr>
                      <w:rFonts w:ascii="Times New Roman" w:hAnsi="Times New Roman"/>
                      <w:sz w:val="20"/>
                    </w:rPr>
                    <w:t xml:space="preserve"> by preference to form</w:t>
                  </w:r>
                </w:p>
                <w:p w14:paraId="64AFE88C" w14:textId="77777777" w:rsidR="00E2396E" w:rsidRPr="00B228F0" w:rsidRDefault="00E2396E" w:rsidP="00350B24">
                  <w:pPr>
                    <w:pStyle w:val="NoSpacing"/>
                    <w:rPr>
                      <w:rFonts w:ascii="Times New Roman" w:hAnsi="Times New Roman"/>
                      <w:sz w:val="20"/>
                    </w:rPr>
                  </w:pPr>
                  <w:r>
                    <w:rPr>
                      <w:rFonts w:ascii="Times New Roman" w:hAnsi="Times New Roman"/>
                      <w:sz w:val="20"/>
                    </w:rPr>
                    <w:t>RCl(s</w:t>
                  </w:r>
                  <w:r w:rsidRPr="00B228F0">
                    <w:rPr>
                      <w:rFonts w:ascii="Times New Roman" w:hAnsi="Times New Roman"/>
                      <w:sz w:val="20"/>
                    </w:rPr>
                    <w:t>), H</w:t>
                  </w:r>
                  <w:r w:rsidRPr="00B228F0">
                    <w:rPr>
                      <w:rFonts w:ascii="Times New Roman" w:hAnsi="Times New Roman"/>
                      <w:sz w:val="20"/>
                      <w:vertAlign w:val="subscript"/>
                    </w:rPr>
                    <w:t>2</w:t>
                  </w:r>
                  <w:r w:rsidRPr="00B228F0">
                    <w:rPr>
                      <w:rFonts w:ascii="Times New Roman" w:hAnsi="Times New Roman"/>
                      <w:sz w:val="20"/>
                    </w:rPr>
                    <w:t>O</w:t>
                  </w:r>
                </w:p>
                <w:p w14:paraId="4B79332D" w14:textId="77777777" w:rsidR="00E2396E" w:rsidRPr="00B228F0" w:rsidRDefault="00E2396E" w:rsidP="00350B24">
                  <w:pPr>
                    <w:pStyle w:val="NoSpacing"/>
                    <w:rPr>
                      <w:rFonts w:ascii="Times New Roman" w:hAnsi="Times New Roman"/>
                      <w:sz w:val="20"/>
                    </w:rPr>
                  </w:pPr>
                  <w:r w:rsidRPr="00B228F0">
                    <w:rPr>
                      <w:rFonts w:ascii="Times New Roman" w:hAnsi="Times New Roman"/>
                      <w:sz w:val="20"/>
                    </w:rPr>
                    <w:t>CO</w:t>
                  </w:r>
                  <w:r w:rsidRPr="00B228F0">
                    <w:rPr>
                      <w:rFonts w:ascii="Times New Roman" w:hAnsi="Times New Roman"/>
                      <w:sz w:val="20"/>
                      <w:vertAlign w:val="subscript"/>
                    </w:rPr>
                    <w:t xml:space="preserve">2 </w:t>
                  </w:r>
                  <w:r w:rsidRPr="00B228F0">
                    <w:rPr>
                      <w:rFonts w:ascii="Times New Roman" w:hAnsi="Times New Roman"/>
                      <w:sz w:val="20"/>
                    </w:rPr>
                    <w:t>(g)</w:t>
                  </w:r>
                </w:p>
                <w:p w14:paraId="03AD29E8" w14:textId="77777777" w:rsidR="00E2396E" w:rsidRDefault="00E2396E" w:rsidP="00350B24">
                  <w:pPr>
                    <w:pStyle w:val="NoSpacing"/>
                    <w:rPr>
                      <w:sz w:val="20"/>
                    </w:rPr>
                  </w:pPr>
                </w:p>
                <w:p w14:paraId="252D539E" w14:textId="77777777" w:rsidR="00E2396E" w:rsidRPr="009C4445" w:rsidRDefault="00E2396E" w:rsidP="00350B24">
                  <w:pPr>
                    <w:pStyle w:val="NoSpacing"/>
                    <w:rPr>
                      <w:sz w:val="20"/>
                    </w:rPr>
                  </w:pPr>
                </w:p>
              </w:txbxContent>
            </v:textbox>
          </v:shape>
        </w:pict>
      </w:r>
    </w:p>
    <w:p w14:paraId="02422886" w14:textId="77777777" w:rsidR="00E90AF2" w:rsidRDefault="00850DC5" w:rsidP="008275E1">
      <w:pPr>
        <w:pStyle w:val="NoSpacing"/>
        <w:spacing w:line="276" w:lineRule="auto"/>
        <w:rPr>
          <w:rFonts w:ascii="Book Antiqua" w:hAnsi="Book Antiqua"/>
          <w:b/>
        </w:rPr>
      </w:pPr>
      <w:r>
        <w:rPr>
          <w:rFonts w:ascii="Book Antiqua" w:hAnsi="Book Antiqua"/>
          <w:noProof/>
          <w:lang w:eastAsia="zh-TW"/>
        </w:rPr>
        <w:pict w14:anchorId="13F2F297">
          <v:shape id="_x0000_s1623" type="#_x0000_t202" style="position:absolute;margin-left:7.3pt;margin-top:6.4pt;width:61.5pt;height:132.45pt;z-index:251716096;mso-width-relative:margin;mso-height-relative:margin" filled="f" stroked="f">
            <v:textbox style="mso-next-textbox:#_x0000_s1623">
              <w:txbxContent>
                <w:p w14:paraId="751D2488" w14:textId="77777777" w:rsidR="00E2396E" w:rsidRDefault="00E2396E" w:rsidP="00350B24">
                  <w:pPr>
                    <w:pStyle w:val="NoSpacing"/>
                    <w:rPr>
                      <w:rFonts w:ascii="Times New Roman" w:hAnsi="Times New Roman"/>
                      <w:b/>
                      <w:sz w:val="20"/>
                      <w:szCs w:val="20"/>
                    </w:rPr>
                  </w:pPr>
                </w:p>
                <w:p w14:paraId="7A0F62A6" w14:textId="77777777" w:rsidR="00E2396E" w:rsidRDefault="00E2396E" w:rsidP="00350B24">
                  <w:pPr>
                    <w:pStyle w:val="NoSpacing"/>
                    <w:rPr>
                      <w:rFonts w:ascii="Times New Roman" w:hAnsi="Times New Roman"/>
                      <w:b/>
                      <w:sz w:val="20"/>
                      <w:szCs w:val="20"/>
                    </w:rPr>
                  </w:pPr>
                </w:p>
                <w:p w14:paraId="3B487437" w14:textId="77777777" w:rsidR="00E2396E" w:rsidRPr="00B228F0" w:rsidRDefault="00E2396E" w:rsidP="00350B24">
                  <w:pPr>
                    <w:pStyle w:val="NoSpacing"/>
                    <w:rPr>
                      <w:rFonts w:ascii="Times New Roman" w:hAnsi="Times New Roman"/>
                      <w:b/>
                      <w:sz w:val="20"/>
                      <w:szCs w:val="20"/>
                    </w:rPr>
                  </w:pPr>
                  <w:r w:rsidRPr="00B228F0">
                    <w:rPr>
                      <w:rFonts w:ascii="Times New Roman" w:hAnsi="Times New Roman"/>
                      <w:b/>
                      <w:sz w:val="20"/>
                      <w:szCs w:val="20"/>
                    </w:rPr>
                    <w:t>Dil. NaOH</w:t>
                  </w:r>
                </w:p>
                <w:p w14:paraId="659F29D6" w14:textId="77777777" w:rsidR="00E2396E" w:rsidRPr="00B228F0" w:rsidRDefault="00E2396E" w:rsidP="00350B24">
                  <w:pPr>
                    <w:pStyle w:val="NoSpacing"/>
                    <w:rPr>
                      <w:rFonts w:ascii="Times New Roman" w:hAnsi="Times New Roman"/>
                      <w:b/>
                      <w:sz w:val="20"/>
                      <w:szCs w:val="20"/>
                    </w:rPr>
                  </w:pPr>
                  <w:r w:rsidRPr="00B228F0">
                    <w:rPr>
                      <w:rFonts w:ascii="Times New Roman" w:hAnsi="Times New Roman"/>
                      <w:b/>
                      <w:sz w:val="20"/>
                      <w:szCs w:val="20"/>
                    </w:rPr>
                    <w:t>Injection:</w:t>
                  </w:r>
                </w:p>
                <w:p w14:paraId="2614D800" w14:textId="77777777" w:rsidR="00E2396E" w:rsidRPr="00B228F0" w:rsidRDefault="00E2396E" w:rsidP="00196385">
                  <w:pPr>
                    <w:pStyle w:val="NoSpacing"/>
                    <w:numPr>
                      <w:ilvl w:val="0"/>
                      <w:numId w:val="146"/>
                    </w:numPr>
                    <w:rPr>
                      <w:rFonts w:ascii="Times New Roman" w:hAnsi="Times New Roman"/>
                      <w:b/>
                      <w:sz w:val="20"/>
                      <w:szCs w:val="20"/>
                    </w:rPr>
                  </w:pPr>
                  <w:r w:rsidRPr="00B228F0">
                    <w:rPr>
                      <w:rFonts w:ascii="Times New Roman" w:hAnsi="Times New Roman"/>
                      <w:b/>
                      <w:sz w:val="20"/>
                      <w:szCs w:val="20"/>
                    </w:rPr>
                    <w:t>Na</w:t>
                  </w:r>
                  <w:r w:rsidRPr="00B228F0">
                    <w:rPr>
                      <w:rFonts w:ascii="Times New Roman" w:hAnsi="Times New Roman"/>
                      <w:b/>
                      <w:sz w:val="20"/>
                      <w:szCs w:val="20"/>
                      <w:vertAlign w:val="superscript"/>
                    </w:rPr>
                    <w:t>+</w:t>
                  </w:r>
                </w:p>
                <w:p w14:paraId="08AF4900" w14:textId="77777777" w:rsidR="00E2396E" w:rsidRPr="00B228F0" w:rsidRDefault="00E2396E" w:rsidP="00196385">
                  <w:pPr>
                    <w:pStyle w:val="NoSpacing"/>
                    <w:numPr>
                      <w:ilvl w:val="0"/>
                      <w:numId w:val="146"/>
                    </w:numPr>
                    <w:rPr>
                      <w:rFonts w:ascii="Times New Roman" w:hAnsi="Times New Roman"/>
                      <w:sz w:val="20"/>
                      <w:szCs w:val="20"/>
                    </w:rPr>
                  </w:pPr>
                  <w:r w:rsidRPr="00B228F0">
                    <w:rPr>
                      <w:rFonts w:ascii="Times New Roman" w:hAnsi="Times New Roman"/>
                      <w:b/>
                      <w:sz w:val="20"/>
                      <w:szCs w:val="20"/>
                    </w:rPr>
                    <w:t>OH</w:t>
                  </w:r>
                  <w:r w:rsidRPr="00B228F0">
                    <w:rPr>
                      <w:rFonts w:ascii="Times New Roman" w:hAnsi="Times New Roman"/>
                      <w:b/>
                      <w:sz w:val="20"/>
                      <w:szCs w:val="20"/>
                      <w:vertAlign w:val="superscript"/>
                    </w:rPr>
                    <w:t>-</w:t>
                  </w:r>
                </w:p>
              </w:txbxContent>
            </v:textbox>
          </v:shape>
        </w:pict>
      </w:r>
      <w:r>
        <w:rPr>
          <w:rFonts w:ascii="Book Antiqua" w:hAnsi="Book Antiqua"/>
          <w:noProof/>
          <w:lang w:eastAsia="zh-TW"/>
        </w:rPr>
        <w:pict w14:anchorId="6A513929">
          <v:shape id="_x0000_s1616" type="#_x0000_t202" style="position:absolute;margin-left:6.75pt;margin-top:6.4pt;width:61.5pt;height:132.45pt;z-index:251708928;mso-width-relative:margin;mso-height-relative:margin" filled="f" stroked="f">
            <v:textbox style="mso-next-textbox:#_x0000_s1616">
              <w:txbxContent>
                <w:p w14:paraId="04DBBA97" w14:textId="77777777" w:rsidR="00E2396E" w:rsidRPr="00B228F0" w:rsidRDefault="00E2396E" w:rsidP="00196385">
                  <w:pPr>
                    <w:pStyle w:val="ListParagraph"/>
                    <w:numPr>
                      <w:ilvl w:val="0"/>
                      <w:numId w:val="144"/>
                    </w:numPr>
                    <w:rPr>
                      <w:rFonts w:ascii="Times New Roman" w:hAnsi="Times New Roman"/>
                      <w:sz w:val="20"/>
                    </w:rPr>
                  </w:pPr>
                  <w:r w:rsidRPr="00B228F0">
                    <w:rPr>
                      <w:rFonts w:ascii="Times New Roman" w:hAnsi="Times New Roman"/>
                      <w:sz w:val="20"/>
                    </w:rPr>
                    <w:t>OH</w:t>
                  </w:r>
                  <w:r w:rsidRPr="00B228F0">
                    <w:rPr>
                      <w:rFonts w:ascii="Times New Roman" w:hAnsi="Times New Roman"/>
                      <w:sz w:val="20"/>
                      <w:vertAlign w:val="superscript"/>
                    </w:rPr>
                    <w:t>-</w:t>
                  </w:r>
                </w:p>
                <w:p w14:paraId="7C91D4DF" w14:textId="77777777" w:rsidR="00E2396E" w:rsidRPr="00B228F0" w:rsidRDefault="00E2396E" w:rsidP="00196385">
                  <w:pPr>
                    <w:pStyle w:val="ListParagraph"/>
                    <w:numPr>
                      <w:ilvl w:val="0"/>
                      <w:numId w:val="144"/>
                    </w:numPr>
                    <w:rPr>
                      <w:rFonts w:ascii="Times New Roman" w:hAnsi="Times New Roman"/>
                      <w:sz w:val="20"/>
                    </w:rPr>
                  </w:pPr>
                  <w:r w:rsidRPr="00B228F0">
                    <w:rPr>
                      <w:rFonts w:ascii="Times New Roman" w:hAnsi="Times New Roman"/>
                      <w:sz w:val="20"/>
                    </w:rPr>
                    <w:t>H</w:t>
                  </w:r>
                  <w:r w:rsidRPr="00B228F0">
                    <w:rPr>
                      <w:rFonts w:ascii="Times New Roman" w:hAnsi="Times New Roman"/>
                      <w:sz w:val="20"/>
                      <w:vertAlign w:val="superscript"/>
                    </w:rPr>
                    <w:t>+</w:t>
                  </w:r>
                </w:p>
                <w:p w14:paraId="01A05AB0" w14:textId="77777777" w:rsidR="00E2396E" w:rsidRPr="00B228F0" w:rsidRDefault="00E2396E" w:rsidP="00196385">
                  <w:pPr>
                    <w:pStyle w:val="ListParagraph"/>
                    <w:numPr>
                      <w:ilvl w:val="0"/>
                      <w:numId w:val="144"/>
                    </w:numPr>
                    <w:rPr>
                      <w:rFonts w:ascii="Times New Roman" w:hAnsi="Times New Roman"/>
                      <w:sz w:val="20"/>
                    </w:rPr>
                  </w:pPr>
                  <w:r w:rsidRPr="00B228F0">
                    <w:rPr>
                      <w:rFonts w:ascii="Times New Roman" w:hAnsi="Times New Roman"/>
                      <w:sz w:val="20"/>
                    </w:rPr>
                    <w:t>Cl</w:t>
                  </w:r>
                  <w:r w:rsidRPr="00B228F0">
                    <w:rPr>
                      <w:rFonts w:ascii="Times New Roman" w:hAnsi="Times New Roman"/>
                      <w:sz w:val="20"/>
                      <w:vertAlign w:val="superscript"/>
                    </w:rPr>
                    <w:t>-</w:t>
                  </w:r>
                </w:p>
                <w:p w14:paraId="7FC3C629" w14:textId="77777777" w:rsidR="00E2396E" w:rsidRPr="00B228F0" w:rsidRDefault="00E2396E" w:rsidP="00196385">
                  <w:pPr>
                    <w:pStyle w:val="ListParagraph"/>
                    <w:numPr>
                      <w:ilvl w:val="0"/>
                      <w:numId w:val="144"/>
                    </w:numPr>
                    <w:rPr>
                      <w:rFonts w:ascii="Times New Roman" w:hAnsi="Times New Roman"/>
                      <w:sz w:val="20"/>
                    </w:rPr>
                  </w:pPr>
                  <w:r w:rsidRPr="00B228F0">
                    <w:rPr>
                      <w:rFonts w:ascii="Times New Roman" w:hAnsi="Times New Roman"/>
                      <w:sz w:val="20"/>
                    </w:rPr>
                    <w:t>HCO</w:t>
                  </w:r>
                  <w:r w:rsidRPr="00B228F0">
                    <w:rPr>
                      <w:rFonts w:ascii="Times New Roman" w:hAnsi="Times New Roman"/>
                      <w:sz w:val="20"/>
                      <w:vertAlign w:val="superscript"/>
                    </w:rPr>
                    <w:t>-</w:t>
                  </w:r>
                  <w:r w:rsidRPr="00B228F0">
                    <w:rPr>
                      <w:rFonts w:ascii="Times New Roman" w:hAnsi="Times New Roman"/>
                      <w:sz w:val="20"/>
                      <w:vertAlign w:val="subscript"/>
                    </w:rPr>
                    <w:t>3</w:t>
                  </w:r>
                </w:p>
              </w:txbxContent>
            </v:textbox>
          </v:shape>
        </w:pict>
      </w:r>
    </w:p>
    <w:p w14:paraId="3F193E06" w14:textId="77777777" w:rsidR="00E90AF2" w:rsidRDefault="00E90AF2" w:rsidP="008275E1">
      <w:pPr>
        <w:pStyle w:val="NoSpacing"/>
        <w:spacing w:line="276" w:lineRule="auto"/>
        <w:rPr>
          <w:rFonts w:ascii="Book Antiqua" w:hAnsi="Book Antiqua"/>
          <w:b/>
        </w:rPr>
      </w:pPr>
    </w:p>
    <w:p w14:paraId="466D3F81" w14:textId="77777777" w:rsidR="00E90AF2" w:rsidRDefault="00E90AF2" w:rsidP="008275E1">
      <w:pPr>
        <w:pStyle w:val="NoSpacing"/>
        <w:spacing w:line="276" w:lineRule="auto"/>
        <w:rPr>
          <w:rFonts w:ascii="Book Antiqua" w:hAnsi="Book Antiqua"/>
          <w:b/>
        </w:rPr>
      </w:pPr>
    </w:p>
    <w:p w14:paraId="682A01BE" w14:textId="77777777" w:rsidR="00E90AF2" w:rsidRDefault="00E90AF2" w:rsidP="008275E1">
      <w:pPr>
        <w:pStyle w:val="NoSpacing"/>
        <w:spacing w:line="276" w:lineRule="auto"/>
        <w:rPr>
          <w:rFonts w:ascii="Book Antiqua" w:hAnsi="Book Antiqua"/>
          <w:b/>
        </w:rPr>
      </w:pPr>
    </w:p>
    <w:p w14:paraId="2E91B39C" w14:textId="77777777" w:rsidR="00E90AF2" w:rsidRDefault="00850DC5" w:rsidP="008275E1">
      <w:pPr>
        <w:pStyle w:val="NoSpacing"/>
        <w:spacing w:line="276" w:lineRule="auto"/>
        <w:rPr>
          <w:rFonts w:ascii="Book Antiqua" w:hAnsi="Book Antiqua"/>
          <w:b/>
        </w:rPr>
      </w:pPr>
      <w:r>
        <w:rPr>
          <w:rFonts w:ascii="Book Antiqua" w:hAnsi="Book Antiqua"/>
          <w:b/>
          <w:noProof/>
        </w:rPr>
        <w:pict w14:anchorId="490AD47A">
          <v:shape id="_x0000_s1615" type="#_x0000_t13" style="position:absolute;margin-left:90.75pt;margin-top:8.2pt;width:17.25pt;height:90pt;z-index:251707904" adj="5885"/>
        </w:pict>
      </w:r>
    </w:p>
    <w:p w14:paraId="26A43C7E" w14:textId="77777777" w:rsidR="00E90AF2" w:rsidRDefault="00850DC5" w:rsidP="008275E1">
      <w:pPr>
        <w:pStyle w:val="NoSpacing"/>
        <w:spacing w:line="276" w:lineRule="auto"/>
        <w:rPr>
          <w:rFonts w:ascii="Book Antiqua" w:hAnsi="Book Antiqua"/>
          <w:b/>
        </w:rPr>
      </w:pPr>
      <w:r>
        <w:rPr>
          <w:rFonts w:ascii="Book Antiqua" w:hAnsi="Book Antiqua"/>
          <w:b/>
          <w:noProof/>
          <w:lang w:eastAsia="zh-TW"/>
        </w:rPr>
        <w:pict w14:anchorId="3F862C74">
          <v:shape id="_x0000_s1625" type="#_x0000_t202" style="position:absolute;margin-left:6.75pt;margin-top:2.45pt;width:60.95pt;height:66.7pt;z-index:251718144;mso-width-relative:margin;mso-height-relative:margin" stroked="f">
            <v:textbox style="mso-next-textbox:#_x0000_s1625">
              <w:txbxContent>
                <w:p w14:paraId="5A1FFD8B" w14:textId="77777777" w:rsidR="00E2396E" w:rsidRPr="00B228F0" w:rsidRDefault="00E2396E" w:rsidP="00350B24">
                  <w:pPr>
                    <w:pStyle w:val="NoSpacing"/>
                    <w:rPr>
                      <w:rFonts w:ascii="Times New Roman" w:hAnsi="Times New Roman"/>
                      <w:b/>
                      <w:sz w:val="20"/>
                    </w:rPr>
                  </w:pPr>
                  <w:r w:rsidRPr="00B228F0">
                    <w:rPr>
                      <w:rFonts w:ascii="Times New Roman" w:hAnsi="Times New Roman"/>
                      <w:b/>
                      <w:sz w:val="20"/>
                    </w:rPr>
                    <w:t>Dil. H</w:t>
                  </w:r>
                  <w:r w:rsidRPr="00B228F0">
                    <w:rPr>
                      <w:rFonts w:ascii="Times New Roman" w:hAnsi="Times New Roman"/>
                      <w:b/>
                      <w:sz w:val="20"/>
                      <w:vertAlign w:val="subscript"/>
                    </w:rPr>
                    <w:t>2</w:t>
                  </w:r>
                  <w:r w:rsidRPr="00B228F0">
                    <w:rPr>
                      <w:rFonts w:ascii="Times New Roman" w:hAnsi="Times New Roman"/>
                      <w:b/>
                      <w:sz w:val="20"/>
                    </w:rPr>
                    <w:t>SO</w:t>
                  </w:r>
                  <w:r w:rsidRPr="00B228F0">
                    <w:rPr>
                      <w:rFonts w:ascii="Times New Roman" w:hAnsi="Times New Roman"/>
                      <w:b/>
                      <w:sz w:val="20"/>
                      <w:vertAlign w:val="subscript"/>
                    </w:rPr>
                    <w:t>4</w:t>
                  </w:r>
                  <w:r w:rsidRPr="00B228F0">
                    <w:rPr>
                      <w:rFonts w:ascii="Times New Roman" w:hAnsi="Times New Roman"/>
                      <w:b/>
                      <w:sz w:val="20"/>
                    </w:rPr>
                    <w:t xml:space="preserve"> injection:</w:t>
                  </w:r>
                </w:p>
                <w:p w14:paraId="184EB4C9" w14:textId="77777777" w:rsidR="00E2396E" w:rsidRPr="00B228F0" w:rsidRDefault="00E2396E" w:rsidP="00196385">
                  <w:pPr>
                    <w:pStyle w:val="NoSpacing"/>
                    <w:numPr>
                      <w:ilvl w:val="0"/>
                      <w:numId w:val="147"/>
                    </w:numPr>
                    <w:rPr>
                      <w:rFonts w:ascii="Times New Roman" w:hAnsi="Times New Roman"/>
                      <w:sz w:val="20"/>
                    </w:rPr>
                  </w:pPr>
                  <w:r w:rsidRPr="00B228F0">
                    <w:rPr>
                      <w:rFonts w:ascii="Times New Roman" w:hAnsi="Times New Roman"/>
                      <w:sz w:val="20"/>
                    </w:rPr>
                    <w:t>2H</w:t>
                  </w:r>
                  <w:r w:rsidRPr="00B228F0">
                    <w:rPr>
                      <w:rFonts w:ascii="Times New Roman" w:hAnsi="Times New Roman"/>
                      <w:sz w:val="20"/>
                      <w:vertAlign w:val="superscript"/>
                    </w:rPr>
                    <w:t>+</w:t>
                  </w:r>
                </w:p>
                <w:p w14:paraId="1E7A3D17" w14:textId="77777777" w:rsidR="00E2396E" w:rsidRPr="00B228F0" w:rsidRDefault="00E2396E" w:rsidP="00196385">
                  <w:pPr>
                    <w:pStyle w:val="NoSpacing"/>
                    <w:numPr>
                      <w:ilvl w:val="0"/>
                      <w:numId w:val="147"/>
                    </w:numPr>
                    <w:rPr>
                      <w:rFonts w:ascii="Times New Roman" w:hAnsi="Times New Roman"/>
                      <w:sz w:val="20"/>
                    </w:rPr>
                  </w:pPr>
                  <w:r w:rsidRPr="00B228F0">
                    <w:rPr>
                      <w:rFonts w:ascii="Times New Roman" w:hAnsi="Times New Roman"/>
                      <w:sz w:val="20"/>
                    </w:rPr>
                    <w:t>SO</w:t>
                  </w:r>
                  <w:r w:rsidRPr="00B228F0">
                    <w:rPr>
                      <w:rFonts w:ascii="Times New Roman" w:hAnsi="Times New Roman"/>
                      <w:sz w:val="20"/>
                      <w:vertAlign w:val="superscript"/>
                    </w:rPr>
                    <w:t>2-</w:t>
                  </w:r>
                  <w:r w:rsidRPr="00B228F0">
                    <w:rPr>
                      <w:rFonts w:ascii="Times New Roman" w:hAnsi="Times New Roman"/>
                      <w:sz w:val="20"/>
                      <w:vertAlign w:val="subscript"/>
                    </w:rPr>
                    <w:t>4</w:t>
                  </w:r>
                </w:p>
              </w:txbxContent>
            </v:textbox>
          </v:shape>
        </w:pict>
      </w:r>
    </w:p>
    <w:p w14:paraId="05B178EE" w14:textId="77777777" w:rsidR="00E90AF2" w:rsidRDefault="00E90AF2" w:rsidP="008275E1">
      <w:pPr>
        <w:pStyle w:val="NoSpacing"/>
        <w:spacing w:line="276" w:lineRule="auto"/>
        <w:rPr>
          <w:rFonts w:ascii="Book Antiqua" w:hAnsi="Book Antiqua"/>
          <w:b/>
        </w:rPr>
      </w:pPr>
    </w:p>
    <w:p w14:paraId="0478FD0F" w14:textId="77777777" w:rsidR="00E90AF2" w:rsidRDefault="00E90AF2" w:rsidP="008275E1">
      <w:pPr>
        <w:pStyle w:val="NoSpacing"/>
        <w:spacing w:line="276" w:lineRule="auto"/>
        <w:rPr>
          <w:rFonts w:ascii="Book Antiqua" w:hAnsi="Book Antiqua"/>
          <w:b/>
        </w:rPr>
      </w:pPr>
    </w:p>
    <w:p w14:paraId="3090DD93" w14:textId="77777777" w:rsidR="00E90AF2" w:rsidRDefault="00E90AF2" w:rsidP="008275E1">
      <w:pPr>
        <w:pStyle w:val="NoSpacing"/>
        <w:spacing w:line="276" w:lineRule="auto"/>
        <w:rPr>
          <w:rFonts w:ascii="Book Antiqua" w:hAnsi="Book Antiqua"/>
          <w:b/>
        </w:rPr>
      </w:pPr>
    </w:p>
    <w:p w14:paraId="409121ED" w14:textId="77777777" w:rsidR="00E90AF2" w:rsidRDefault="00E90AF2" w:rsidP="008275E1">
      <w:pPr>
        <w:pStyle w:val="NoSpacing"/>
        <w:spacing w:line="276" w:lineRule="auto"/>
        <w:rPr>
          <w:rFonts w:ascii="Book Antiqua" w:hAnsi="Book Antiqua"/>
          <w:b/>
        </w:rPr>
      </w:pPr>
    </w:p>
    <w:p w14:paraId="1ACF4C8E" w14:textId="77777777" w:rsidR="00E90AF2" w:rsidRDefault="00E90AF2" w:rsidP="008275E1">
      <w:pPr>
        <w:pStyle w:val="NoSpacing"/>
        <w:spacing w:line="276" w:lineRule="auto"/>
        <w:rPr>
          <w:rFonts w:ascii="Book Antiqua" w:hAnsi="Book Antiqua"/>
          <w:b/>
        </w:rPr>
      </w:pPr>
    </w:p>
    <w:p w14:paraId="1DB893B1" w14:textId="77777777" w:rsidR="00EB2A77" w:rsidRDefault="00EB2A77" w:rsidP="008275E1">
      <w:pPr>
        <w:pStyle w:val="NoSpacing"/>
        <w:spacing w:line="276" w:lineRule="auto"/>
        <w:rPr>
          <w:rFonts w:ascii="Book Antiqua" w:hAnsi="Book Antiqua"/>
          <w:b/>
          <w:szCs w:val="26"/>
        </w:rPr>
      </w:pPr>
    </w:p>
    <w:p w14:paraId="4D06B84E" w14:textId="77777777" w:rsidR="00350B24" w:rsidRPr="00EB2A77" w:rsidRDefault="00350B24" w:rsidP="008275E1">
      <w:pPr>
        <w:pStyle w:val="NoSpacing"/>
        <w:spacing w:line="276" w:lineRule="auto"/>
        <w:rPr>
          <w:rFonts w:ascii="Book Antiqua" w:hAnsi="Book Antiqua"/>
          <w:b/>
          <w:szCs w:val="26"/>
        </w:rPr>
      </w:pPr>
      <w:r w:rsidRPr="00EB2A77">
        <w:rPr>
          <w:rFonts w:ascii="Book Antiqua" w:hAnsi="Book Antiqua"/>
          <w:b/>
          <w:szCs w:val="26"/>
        </w:rPr>
        <w:t xml:space="preserve">2.1.1 Conductivity </w:t>
      </w:r>
      <w:r w:rsidR="00EB2A77" w:rsidRPr="00EB2A77">
        <w:rPr>
          <w:rFonts w:ascii="Book Antiqua" w:hAnsi="Book Antiqua"/>
          <w:b/>
          <w:szCs w:val="26"/>
        </w:rPr>
        <w:t>Monitoring</w:t>
      </w:r>
    </w:p>
    <w:p w14:paraId="15D95B5C" w14:textId="77777777" w:rsidR="00350B24" w:rsidRPr="00E3232D" w:rsidRDefault="00350B24" w:rsidP="008275E1">
      <w:pPr>
        <w:pStyle w:val="NoSpacing"/>
        <w:spacing w:line="276" w:lineRule="auto"/>
        <w:rPr>
          <w:rFonts w:ascii="Book Antiqua" w:hAnsi="Book Antiqua"/>
        </w:rPr>
      </w:pPr>
      <w:r w:rsidRPr="00E3232D">
        <w:rPr>
          <w:rFonts w:ascii="Book Antiqua" w:hAnsi="Book Antiqua"/>
        </w:rPr>
        <w:t xml:space="preserve">The inlet and outlet of the demineralised water plant are subjected to the measurement of conductivity to obtain a ratio. The conductivity of the vessels is also </w:t>
      </w:r>
      <w:r w:rsidR="00E90AF2">
        <w:rPr>
          <w:rFonts w:ascii="Book Antiqua" w:hAnsi="Book Antiqua"/>
        </w:rPr>
        <w:t xml:space="preserve">monitored to determine when the </w:t>
      </w:r>
      <w:r w:rsidRPr="00E3232D">
        <w:rPr>
          <w:rFonts w:ascii="Book Antiqua" w:hAnsi="Book Antiqua"/>
        </w:rPr>
        <w:t xml:space="preserve">plant should be shutdown for regeneration.   </w:t>
      </w:r>
    </w:p>
    <w:p w14:paraId="4E9295CA" w14:textId="77777777" w:rsidR="00350B24" w:rsidRPr="00E3232D" w:rsidRDefault="00350B24" w:rsidP="008275E1">
      <w:pPr>
        <w:pStyle w:val="NoSpacing"/>
        <w:spacing w:line="276" w:lineRule="auto"/>
        <w:rPr>
          <w:rFonts w:ascii="Book Antiqua" w:hAnsi="Book Antiqua"/>
        </w:rPr>
      </w:pPr>
    </w:p>
    <w:p w14:paraId="68893727" w14:textId="77777777" w:rsidR="00350B24" w:rsidRPr="009A40CD" w:rsidRDefault="00350B24" w:rsidP="00EB2A77">
      <w:pPr>
        <w:pStyle w:val="NoSpacing"/>
        <w:spacing w:line="276" w:lineRule="auto"/>
        <w:ind w:left="360" w:hanging="360"/>
        <w:rPr>
          <w:rFonts w:ascii="Book Antiqua" w:hAnsi="Book Antiqua"/>
          <w:b/>
          <w:sz w:val="26"/>
          <w:szCs w:val="26"/>
        </w:rPr>
      </w:pPr>
      <w:r w:rsidRPr="009A40CD">
        <w:rPr>
          <w:rFonts w:ascii="Book Antiqua" w:hAnsi="Book Antiqua"/>
          <w:b/>
          <w:sz w:val="26"/>
          <w:szCs w:val="26"/>
        </w:rPr>
        <w:t xml:space="preserve">2.2 Regeneration of a </w:t>
      </w:r>
      <w:r w:rsidR="00EB2A77" w:rsidRPr="009A40CD">
        <w:rPr>
          <w:rFonts w:ascii="Book Antiqua" w:hAnsi="Book Antiqua"/>
          <w:b/>
          <w:sz w:val="26"/>
          <w:szCs w:val="26"/>
        </w:rPr>
        <w:t>Demineralised Water P</w:t>
      </w:r>
      <w:r w:rsidRPr="009A40CD">
        <w:rPr>
          <w:rFonts w:ascii="Book Antiqua" w:hAnsi="Book Antiqua"/>
          <w:b/>
          <w:sz w:val="26"/>
          <w:szCs w:val="26"/>
        </w:rPr>
        <w:t>lant</w:t>
      </w:r>
    </w:p>
    <w:p w14:paraId="7315CC06" w14:textId="77777777" w:rsidR="0012151E" w:rsidRDefault="00350B24" w:rsidP="008275E1">
      <w:pPr>
        <w:pStyle w:val="NoSpacing"/>
        <w:spacing w:line="276" w:lineRule="auto"/>
        <w:rPr>
          <w:rFonts w:ascii="Book Antiqua" w:hAnsi="Book Antiqua"/>
        </w:rPr>
      </w:pPr>
      <w:r w:rsidRPr="00E3232D">
        <w:rPr>
          <w:rFonts w:ascii="Book Antiqua" w:hAnsi="Book Antiqua"/>
        </w:rPr>
        <w:t xml:space="preserve">The process of regeneration includes firstly the </w:t>
      </w:r>
      <w:r w:rsidR="0012151E">
        <w:rPr>
          <w:rFonts w:ascii="Book Antiqua" w:hAnsi="Book Antiqua"/>
        </w:rPr>
        <w:t>regeneration of the cation with</w:t>
      </w:r>
    </w:p>
    <w:p w14:paraId="264101DC" w14:textId="77777777" w:rsidR="00350B24" w:rsidRPr="00E3232D" w:rsidRDefault="00350B24" w:rsidP="008275E1">
      <w:pPr>
        <w:pStyle w:val="NoSpacing"/>
        <w:spacing w:line="276" w:lineRule="auto"/>
        <w:rPr>
          <w:rFonts w:ascii="Book Antiqua" w:hAnsi="Book Antiqua"/>
        </w:rPr>
      </w:pPr>
      <w:r w:rsidRPr="00E3232D">
        <w:rPr>
          <w:rFonts w:ascii="Book Antiqua" w:hAnsi="Book Antiqua"/>
        </w:rPr>
        <w:t>dilute H</w:t>
      </w:r>
      <w:r w:rsidRPr="00E3232D">
        <w:rPr>
          <w:rFonts w:ascii="Book Antiqua" w:hAnsi="Book Antiqua"/>
          <w:vertAlign w:val="subscript"/>
        </w:rPr>
        <w:t>2</w:t>
      </w:r>
      <w:r w:rsidRPr="00E3232D">
        <w:rPr>
          <w:rFonts w:ascii="Book Antiqua" w:hAnsi="Book Antiqua"/>
        </w:rPr>
        <w:t>SO</w:t>
      </w:r>
      <w:r w:rsidRPr="00E3232D">
        <w:rPr>
          <w:rFonts w:ascii="Book Antiqua" w:hAnsi="Book Antiqua"/>
          <w:vertAlign w:val="subscript"/>
        </w:rPr>
        <w:t xml:space="preserve">4 </w:t>
      </w:r>
      <w:r w:rsidRPr="00E3232D">
        <w:rPr>
          <w:rFonts w:ascii="Book Antiqua" w:hAnsi="Book Antiqua"/>
        </w:rPr>
        <w:t>and then the regeneration of the anion with dilute NaOH.</w:t>
      </w:r>
    </w:p>
    <w:p w14:paraId="26F11C2E" w14:textId="77777777" w:rsidR="00350B24" w:rsidRPr="00E3232D" w:rsidRDefault="00350B24" w:rsidP="00196385">
      <w:pPr>
        <w:pStyle w:val="NoSpacing"/>
        <w:numPr>
          <w:ilvl w:val="0"/>
          <w:numId w:val="140"/>
        </w:numPr>
        <w:spacing w:line="276" w:lineRule="auto"/>
        <w:rPr>
          <w:rFonts w:ascii="Book Antiqua" w:hAnsi="Book Antiqua"/>
        </w:rPr>
      </w:pPr>
      <w:r w:rsidRPr="00E3232D">
        <w:rPr>
          <w:rFonts w:ascii="Book Antiqua" w:hAnsi="Book Antiqua"/>
          <w:b/>
        </w:rPr>
        <w:t>Cationic vessel</w:t>
      </w:r>
    </w:p>
    <w:p w14:paraId="0AD2E097" w14:textId="77777777" w:rsidR="00350B24" w:rsidRPr="00E3232D" w:rsidRDefault="00350B24" w:rsidP="008275E1">
      <w:pPr>
        <w:pStyle w:val="NoSpacing"/>
        <w:spacing w:line="276" w:lineRule="auto"/>
        <w:rPr>
          <w:rFonts w:ascii="Book Antiqua" w:hAnsi="Book Antiqua"/>
        </w:rPr>
      </w:pPr>
      <w:r w:rsidRPr="00E3232D">
        <w:rPr>
          <w:rFonts w:ascii="Book Antiqua" w:hAnsi="Book Antiqua"/>
        </w:rPr>
        <w:t>The cation is regenerated firstly with pre-treated water to wash off suspended particles. This is followed by the injection of dilute H</w:t>
      </w:r>
      <w:r w:rsidRPr="00E3232D">
        <w:rPr>
          <w:rFonts w:ascii="Book Antiqua" w:hAnsi="Book Antiqua"/>
          <w:vertAlign w:val="subscript"/>
        </w:rPr>
        <w:t>2</w:t>
      </w:r>
      <w:r w:rsidRPr="00E3232D">
        <w:rPr>
          <w:rFonts w:ascii="Book Antiqua" w:hAnsi="Book Antiqua"/>
        </w:rPr>
        <w:t>SO</w:t>
      </w:r>
      <w:r w:rsidRPr="00E3232D">
        <w:rPr>
          <w:rFonts w:ascii="Book Antiqua" w:hAnsi="Book Antiqua"/>
          <w:vertAlign w:val="subscript"/>
        </w:rPr>
        <w:t xml:space="preserve">4 </w:t>
      </w:r>
      <w:r w:rsidRPr="00E3232D">
        <w:rPr>
          <w:rFonts w:ascii="Book Antiqua" w:hAnsi="Book Antiqua"/>
        </w:rPr>
        <w:t>of concentration 2.5 %. The sulphate ion (SO</w:t>
      </w:r>
      <w:r w:rsidRPr="00E3232D">
        <w:rPr>
          <w:rFonts w:ascii="Book Antiqua" w:hAnsi="Book Antiqua"/>
          <w:vertAlign w:val="subscript"/>
        </w:rPr>
        <w:t>4</w:t>
      </w:r>
      <w:r w:rsidRPr="00E3232D">
        <w:rPr>
          <w:rFonts w:ascii="Book Antiqua" w:hAnsi="Book Antiqua"/>
          <w:vertAlign w:val="superscript"/>
        </w:rPr>
        <w:t>2-</w:t>
      </w:r>
      <w:r w:rsidRPr="00E3232D">
        <w:rPr>
          <w:rFonts w:ascii="Book Antiqua" w:hAnsi="Book Antiqua"/>
        </w:rPr>
        <w:t xml:space="preserve"> ) from the acid attracts the Mg</w:t>
      </w:r>
      <w:r w:rsidRPr="00E3232D">
        <w:rPr>
          <w:rFonts w:ascii="Book Antiqua" w:hAnsi="Book Antiqua"/>
          <w:vertAlign w:val="superscript"/>
        </w:rPr>
        <w:t>2+</w:t>
      </w:r>
      <w:r w:rsidRPr="00E3232D">
        <w:rPr>
          <w:rFonts w:ascii="Book Antiqua" w:hAnsi="Book Antiqua"/>
        </w:rPr>
        <w:t xml:space="preserve"> and Ca</w:t>
      </w:r>
      <w:r w:rsidRPr="00E3232D">
        <w:rPr>
          <w:rFonts w:ascii="Book Antiqua" w:hAnsi="Book Antiqua"/>
          <w:vertAlign w:val="superscript"/>
        </w:rPr>
        <w:t>2+</w:t>
      </w:r>
      <w:r w:rsidRPr="00E3232D">
        <w:rPr>
          <w:rFonts w:ascii="Book Antiqua" w:hAnsi="Book Antiqua"/>
        </w:rPr>
        <w:t xml:space="preserve"> bonded to the resins, R</w:t>
      </w:r>
      <w:r w:rsidRPr="00E3232D">
        <w:rPr>
          <w:rFonts w:ascii="Book Antiqua" w:hAnsi="Book Antiqua"/>
          <w:vertAlign w:val="superscript"/>
        </w:rPr>
        <w:t>-</w:t>
      </w:r>
      <w:r w:rsidRPr="00E3232D">
        <w:rPr>
          <w:rFonts w:ascii="Book Antiqua" w:hAnsi="Book Antiqua"/>
        </w:rPr>
        <w:t>. The H</w:t>
      </w:r>
      <w:r w:rsidRPr="00E3232D">
        <w:rPr>
          <w:rFonts w:ascii="Book Antiqua" w:hAnsi="Book Antiqua"/>
          <w:vertAlign w:val="superscript"/>
        </w:rPr>
        <w:t xml:space="preserve">+ </w:t>
      </w:r>
      <w:r w:rsidRPr="00E3232D">
        <w:rPr>
          <w:rFonts w:ascii="Book Antiqua" w:hAnsi="Book Antiqua"/>
        </w:rPr>
        <w:t>forms bonds with R</w:t>
      </w:r>
      <w:r w:rsidRPr="00E3232D">
        <w:rPr>
          <w:rFonts w:ascii="Book Antiqua" w:hAnsi="Book Antiqua"/>
          <w:vertAlign w:val="superscript"/>
        </w:rPr>
        <w:t>-</w:t>
      </w:r>
      <w:r w:rsidRPr="00E3232D">
        <w:rPr>
          <w:rFonts w:ascii="Book Antiqua" w:hAnsi="Book Antiqua"/>
        </w:rPr>
        <w:t>. The chemical equations are below:</w:t>
      </w:r>
    </w:p>
    <w:p w14:paraId="56FEA618" w14:textId="77777777" w:rsidR="00350B24" w:rsidRPr="00E3232D" w:rsidRDefault="00350B24" w:rsidP="008275E1">
      <w:pPr>
        <w:pStyle w:val="NoSpacing"/>
        <w:spacing w:line="276" w:lineRule="auto"/>
        <w:rPr>
          <w:rFonts w:ascii="Book Antiqua" w:hAnsi="Book Antiqua"/>
        </w:rPr>
        <w:sectPr w:rsidR="00350B24" w:rsidRPr="00E3232D" w:rsidSect="008F6BC9">
          <w:type w:val="continuous"/>
          <w:pgSz w:w="11907" w:h="16839" w:code="9"/>
          <w:pgMar w:top="1440" w:right="1440" w:bottom="1440" w:left="1440" w:header="720" w:footer="720" w:gutter="0"/>
          <w:cols w:num="2" w:space="720"/>
          <w:docGrid w:linePitch="360"/>
        </w:sectPr>
      </w:pPr>
    </w:p>
    <w:p w14:paraId="0236CB20" w14:textId="77777777" w:rsidR="00350B24" w:rsidRPr="00E3232D" w:rsidRDefault="00350B24" w:rsidP="008275E1">
      <w:pPr>
        <w:pStyle w:val="NoSpacing"/>
        <w:spacing w:line="276" w:lineRule="auto"/>
        <w:rPr>
          <w:rFonts w:ascii="Book Antiqua" w:hAnsi="Book Antiqua"/>
        </w:rPr>
      </w:pPr>
    </w:p>
    <w:p w14:paraId="0B1B4D64" w14:textId="77777777" w:rsidR="00350B24" w:rsidRPr="00E3232D" w:rsidRDefault="00350B24" w:rsidP="00196385">
      <w:pPr>
        <w:pStyle w:val="NoSpacing"/>
        <w:numPr>
          <w:ilvl w:val="0"/>
          <w:numId w:val="142"/>
        </w:numPr>
        <w:spacing w:line="276" w:lineRule="auto"/>
        <w:rPr>
          <w:rFonts w:ascii="Book Antiqua" w:hAnsi="Book Antiqua"/>
          <w:b/>
        </w:rPr>
      </w:pPr>
      <w:r w:rsidRPr="00E3232D">
        <w:rPr>
          <w:rFonts w:ascii="Book Antiqua" w:hAnsi="Book Antiqua"/>
          <w:b/>
        </w:rPr>
        <w:t>Ionization of H</w:t>
      </w:r>
      <w:r w:rsidRPr="00E3232D">
        <w:rPr>
          <w:rFonts w:ascii="Book Antiqua" w:hAnsi="Book Antiqua"/>
          <w:b/>
          <w:vertAlign w:val="subscript"/>
        </w:rPr>
        <w:t>2</w:t>
      </w:r>
      <w:r w:rsidRPr="00E3232D">
        <w:rPr>
          <w:rFonts w:ascii="Book Antiqua" w:hAnsi="Book Antiqua"/>
          <w:b/>
        </w:rPr>
        <w:t>SO</w:t>
      </w:r>
      <w:r w:rsidRPr="00E3232D">
        <w:rPr>
          <w:rFonts w:ascii="Book Antiqua" w:hAnsi="Book Antiqua"/>
          <w:b/>
          <w:vertAlign w:val="subscript"/>
        </w:rPr>
        <w:t>4</w:t>
      </w:r>
      <w:r w:rsidRPr="00E3232D">
        <w:rPr>
          <w:rFonts w:ascii="Book Antiqua" w:hAnsi="Book Antiqua"/>
          <w:b/>
        </w:rPr>
        <w:t xml:space="preserve"> in H</w:t>
      </w:r>
      <w:r w:rsidRPr="00E3232D">
        <w:rPr>
          <w:rFonts w:ascii="Book Antiqua" w:hAnsi="Book Antiqua"/>
          <w:b/>
          <w:vertAlign w:val="subscript"/>
        </w:rPr>
        <w:t>2</w:t>
      </w:r>
      <w:r w:rsidRPr="00E3232D">
        <w:rPr>
          <w:rFonts w:ascii="Book Antiqua" w:hAnsi="Book Antiqua"/>
          <w:b/>
        </w:rPr>
        <w:t>O</w:t>
      </w:r>
    </w:p>
    <w:p w14:paraId="3174A2BD" w14:textId="77777777" w:rsidR="00350B24" w:rsidRPr="00E3232D" w:rsidRDefault="00350B24" w:rsidP="008275E1">
      <w:pPr>
        <w:pStyle w:val="NoSpacing"/>
        <w:spacing w:line="276" w:lineRule="auto"/>
        <w:ind w:left="720"/>
        <w:rPr>
          <w:rFonts w:ascii="Book Antiqua" w:hAnsi="Book Antiqua"/>
          <w:b/>
        </w:rPr>
      </w:pPr>
      <w:r w:rsidRPr="00E3232D">
        <w:rPr>
          <w:rFonts w:ascii="Book Antiqua" w:hAnsi="Book Antiqua"/>
        </w:rPr>
        <w:t>H</w:t>
      </w:r>
      <w:r w:rsidRPr="00E3232D">
        <w:rPr>
          <w:rFonts w:ascii="Book Antiqua" w:hAnsi="Book Antiqua"/>
          <w:vertAlign w:val="subscript"/>
        </w:rPr>
        <w:t>2</w:t>
      </w:r>
      <w:r w:rsidRPr="00E3232D">
        <w:rPr>
          <w:rFonts w:ascii="Book Antiqua" w:hAnsi="Book Antiqua"/>
        </w:rPr>
        <w:t>SO</w:t>
      </w:r>
      <w:r w:rsidRPr="00E3232D">
        <w:rPr>
          <w:rFonts w:ascii="Book Antiqua" w:hAnsi="Book Antiqua"/>
          <w:vertAlign w:val="subscript"/>
        </w:rPr>
        <w:t>4(aq)</w:t>
      </w:r>
      <w:r w:rsidRPr="00E3232D">
        <w:rPr>
          <w:rFonts w:ascii="Book Antiqua" w:hAnsi="Book Antiqua"/>
        </w:rPr>
        <w:t xml:space="preserve">  = 2H</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vertAlign w:val="superscript"/>
        </w:rPr>
        <w:t xml:space="preserve"> </w:t>
      </w:r>
      <w:r w:rsidRPr="00E3232D">
        <w:rPr>
          <w:rFonts w:ascii="Book Antiqua" w:hAnsi="Book Antiqua"/>
        </w:rPr>
        <w:t>+ SO</w:t>
      </w:r>
      <w:r w:rsidRPr="00E3232D">
        <w:rPr>
          <w:rFonts w:ascii="Book Antiqua" w:hAnsi="Book Antiqua"/>
          <w:vertAlign w:val="subscript"/>
        </w:rPr>
        <w:t>4</w:t>
      </w:r>
      <w:r w:rsidRPr="00E3232D">
        <w:rPr>
          <w:rFonts w:ascii="Book Antiqua" w:hAnsi="Book Antiqua"/>
          <w:vertAlign w:val="superscript"/>
        </w:rPr>
        <w:t>2-</w:t>
      </w:r>
      <w:r w:rsidRPr="00E3232D">
        <w:rPr>
          <w:rFonts w:ascii="Book Antiqua" w:hAnsi="Book Antiqua"/>
          <w:vertAlign w:val="subscript"/>
        </w:rPr>
        <w:t>(aq)</w:t>
      </w:r>
      <w:r w:rsidRPr="00E3232D">
        <w:rPr>
          <w:rFonts w:ascii="Book Antiqua" w:hAnsi="Book Antiqua"/>
        </w:rPr>
        <w:t xml:space="preserve">                                                                                                         (5)</w:t>
      </w:r>
    </w:p>
    <w:p w14:paraId="6293F9FA" w14:textId="77777777" w:rsidR="00350B24" w:rsidRPr="00E3232D" w:rsidRDefault="009A40CD" w:rsidP="00196385">
      <w:pPr>
        <w:pStyle w:val="NoSpacing"/>
        <w:numPr>
          <w:ilvl w:val="0"/>
          <w:numId w:val="142"/>
        </w:numPr>
        <w:spacing w:line="276" w:lineRule="auto"/>
        <w:rPr>
          <w:rFonts w:ascii="Book Antiqua" w:hAnsi="Book Antiqua"/>
        </w:rPr>
      </w:pPr>
      <w:r>
        <w:rPr>
          <w:rFonts w:ascii="Book Antiqua" w:hAnsi="Book Antiqua"/>
          <w:b/>
        </w:rPr>
        <w:t>Regeneration of cationic resins</w:t>
      </w:r>
      <w:r w:rsidR="00350B24" w:rsidRPr="00E3232D">
        <w:rPr>
          <w:rFonts w:ascii="Book Antiqua" w:hAnsi="Book Antiqua"/>
          <w:b/>
        </w:rPr>
        <w:t>(R)</w:t>
      </w:r>
    </w:p>
    <w:p w14:paraId="61E9C7CB" w14:textId="77777777" w:rsidR="00350B24" w:rsidRPr="00E3232D" w:rsidRDefault="00350B24" w:rsidP="008275E1">
      <w:pPr>
        <w:pStyle w:val="NoSpacing"/>
        <w:spacing w:line="276" w:lineRule="auto"/>
        <w:ind w:left="720"/>
        <w:rPr>
          <w:rFonts w:ascii="Book Antiqua" w:hAnsi="Book Antiqua"/>
        </w:rPr>
      </w:pPr>
      <w:r w:rsidRPr="00E3232D">
        <w:rPr>
          <w:rFonts w:ascii="Book Antiqua" w:hAnsi="Book Antiqua"/>
        </w:rPr>
        <w:t>2H</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vertAlign w:val="superscript"/>
        </w:rPr>
        <w:t xml:space="preserve"> </w:t>
      </w:r>
      <w:r w:rsidRPr="00E3232D">
        <w:rPr>
          <w:rFonts w:ascii="Book Antiqua" w:hAnsi="Book Antiqua"/>
        </w:rPr>
        <w:t>+ SO</w:t>
      </w:r>
      <w:r w:rsidRPr="00E3232D">
        <w:rPr>
          <w:rFonts w:ascii="Book Antiqua" w:hAnsi="Book Antiqua"/>
          <w:vertAlign w:val="subscript"/>
        </w:rPr>
        <w:t>4</w:t>
      </w:r>
      <w:r w:rsidRPr="00E3232D">
        <w:rPr>
          <w:rFonts w:ascii="Book Antiqua" w:hAnsi="Book Antiqua"/>
          <w:vertAlign w:val="superscript"/>
        </w:rPr>
        <w:t>2-</w:t>
      </w:r>
      <w:r w:rsidRPr="00E3232D">
        <w:rPr>
          <w:rFonts w:ascii="Book Antiqua" w:hAnsi="Book Antiqua"/>
          <w:vertAlign w:val="subscript"/>
        </w:rPr>
        <w:t>(aq)</w:t>
      </w:r>
      <w:r w:rsidRPr="00E3232D">
        <w:rPr>
          <w:rFonts w:ascii="Book Antiqua" w:hAnsi="Book Antiqua"/>
        </w:rPr>
        <w:t xml:space="preserve"> + Mg</w:t>
      </w:r>
      <w:r w:rsidRPr="00E3232D">
        <w:rPr>
          <w:rFonts w:ascii="Book Antiqua" w:hAnsi="Book Antiqua"/>
          <w:vertAlign w:val="superscript"/>
        </w:rPr>
        <w:t>2+</w:t>
      </w:r>
      <w:r w:rsidRPr="00E3232D">
        <w:rPr>
          <w:rFonts w:ascii="Book Antiqua" w:hAnsi="Book Antiqua"/>
          <w:vertAlign w:val="subscript"/>
        </w:rPr>
        <w:t>(aq)</w:t>
      </w:r>
      <w:r w:rsidRPr="00E3232D">
        <w:rPr>
          <w:rFonts w:ascii="Book Antiqua" w:hAnsi="Book Antiqua"/>
        </w:rPr>
        <w:t xml:space="preserve"> + 2R</w:t>
      </w:r>
      <w:r w:rsidRPr="00E3232D">
        <w:rPr>
          <w:rFonts w:ascii="Book Antiqua" w:hAnsi="Book Antiqua"/>
          <w:vertAlign w:val="superscript"/>
        </w:rPr>
        <w:t>-</w:t>
      </w:r>
      <w:r w:rsidRPr="00E3232D">
        <w:rPr>
          <w:rFonts w:ascii="Book Antiqua" w:hAnsi="Book Antiqua"/>
          <w:vertAlign w:val="subscript"/>
        </w:rPr>
        <w:t>(s)</w:t>
      </w:r>
      <w:r w:rsidRPr="00E3232D">
        <w:rPr>
          <w:rFonts w:ascii="Book Antiqua" w:hAnsi="Book Antiqua"/>
        </w:rPr>
        <w:t xml:space="preserve"> = 2H</w:t>
      </w:r>
      <w:r w:rsidRPr="00E3232D">
        <w:rPr>
          <w:rFonts w:ascii="Book Antiqua" w:hAnsi="Book Antiqua"/>
          <w:vertAlign w:val="superscript"/>
        </w:rPr>
        <w:t>+</w:t>
      </w:r>
      <w:r w:rsidRPr="00E3232D">
        <w:rPr>
          <w:rFonts w:ascii="Book Antiqua" w:hAnsi="Book Antiqua"/>
        </w:rPr>
        <w:t xml:space="preserve"> R</w:t>
      </w:r>
      <w:r w:rsidRPr="00E3232D">
        <w:rPr>
          <w:rFonts w:ascii="Book Antiqua" w:hAnsi="Book Antiqua"/>
          <w:vertAlign w:val="superscript"/>
        </w:rPr>
        <w:t>-</w:t>
      </w:r>
      <w:r w:rsidRPr="00E3232D">
        <w:rPr>
          <w:rFonts w:ascii="Book Antiqua" w:hAnsi="Book Antiqua"/>
          <w:vertAlign w:val="subscript"/>
        </w:rPr>
        <w:t>(s)</w:t>
      </w:r>
      <w:r w:rsidRPr="00E3232D">
        <w:rPr>
          <w:rFonts w:ascii="Book Antiqua" w:hAnsi="Book Antiqua"/>
          <w:vertAlign w:val="superscript"/>
        </w:rPr>
        <w:t xml:space="preserve">  </w:t>
      </w:r>
      <w:r w:rsidRPr="00E3232D">
        <w:rPr>
          <w:rFonts w:ascii="Book Antiqua" w:hAnsi="Book Antiqua"/>
        </w:rPr>
        <w:t>+ Mg</w:t>
      </w:r>
      <w:r w:rsidRPr="00E3232D">
        <w:rPr>
          <w:rFonts w:ascii="Book Antiqua" w:hAnsi="Book Antiqua"/>
          <w:vertAlign w:val="superscript"/>
        </w:rPr>
        <w:t>2+</w:t>
      </w:r>
      <w:r w:rsidRPr="00E3232D">
        <w:rPr>
          <w:rFonts w:ascii="Book Antiqua" w:hAnsi="Book Antiqua"/>
        </w:rPr>
        <w:t xml:space="preserve"> SO</w:t>
      </w:r>
      <w:r w:rsidRPr="00E3232D">
        <w:rPr>
          <w:rFonts w:ascii="Book Antiqua" w:hAnsi="Book Antiqua"/>
          <w:vertAlign w:val="subscript"/>
        </w:rPr>
        <w:t>4</w:t>
      </w:r>
      <w:r w:rsidRPr="00E3232D">
        <w:rPr>
          <w:rFonts w:ascii="Book Antiqua" w:hAnsi="Book Antiqua"/>
          <w:vertAlign w:val="superscript"/>
        </w:rPr>
        <w:t>2-</w:t>
      </w:r>
      <w:r w:rsidRPr="00E3232D">
        <w:rPr>
          <w:rFonts w:ascii="Book Antiqua" w:hAnsi="Book Antiqua"/>
          <w:vertAlign w:val="subscript"/>
        </w:rPr>
        <w:t>(aq)</w:t>
      </w:r>
      <w:r w:rsidRPr="00E3232D">
        <w:rPr>
          <w:rFonts w:ascii="Book Antiqua" w:hAnsi="Book Antiqua"/>
        </w:rPr>
        <w:t xml:space="preserve">                                                   (6)</w:t>
      </w:r>
    </w:p>
    <w:p w14:paraId="60A2A257" w14:textId="77777777" w:rsidR="00350B24" w:rsidRPr="00E3232D" w:rsidRDefault="00350B24" w:rsidP="008275E1">
      <w:pPr>
        <w:pStyle w:val="NoSpacing"/>
        <w:spacing w:line="276" w:lineRule="auto"/>
        <w:ind w:left="720"/>
        <w:rPr>
          <w:rFonts w:ascii="Book Antiqua" w:hAnsi="Book Antiqua"/>
        </w:rPr>
      </w:pPr>
    </w:p>
    <w:p w14:paraId="5A3ADD83" w14:textId="77777777" w:rsidR="00350B24" w:rsidRPr="00E3232D" w:rsidRDefault="00350B24" w:rsidP="008275E1">
      <w:pPr>
        <w:pStyle w:val="NoSpacing"/>
        <w:spacing w:line="276" w:lineRule="auto"/>
        <w:ind w:left="720"/>
        <w:rPr>
          <w:rFonts w:ascii="Book Antiqua" w:hAnsi="Book Antiqua"/>
        </w:rPr>
      </w:pPr>
      <w:r w:rsidRPr="00E3232D">
        <w:rPr>
          <w:rFonts w:ascii="Book Antiqua" w:hAnsi="Book Antiqua"/>
        </w:rPr>
        <w:t>2H</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vertAlign w:val="superscript"/>
        </w:rPr>
        <w:t xml:space="preserve"> </w:t>
      </w:r>
      <w:r w:rsidRPr="00E3232D">
        <w:rPr>
          <w:rFonts w:ascii="Book Antiqua" w:hAnsi="Book Antiqua"/>
        </w:rPr>
        <w:t>+ SO</w:t>
      </w:r>
      <w:r w:rsidRPr="00E3232D">
        <w:rPr>
          <w:rFonts w:ascii="Book Antiqua" w:hAnsi="Book Antiqua"/>
          <w:vertAlign w:val="subscript"/>
        </w:rPr>
        <w:t>4</w:t>
      </w:r>
      <w:r w:rsidRPr="00E3232D">
        <w:rPr>
          <w:rFonts w:ascii="Book Antiqua" w:hAnsi="Book Antiqua"/>
          <w:vertAlign w:val="superscript"/>
        </w:rPr>
        <w:t>2-</w:t>
      </w:r>
      <w:r w:rsidRPr="00E3232D">
        <w:rPr>
          <w:rFonts w:ascii="Book Antiqua" w:hAnsi="Book Antiqua"/>
          <w:vertAlign w:val="subscript"/>
        </w:rPr>
        <w:t>(aq)</w:t>
      </w:r>
      <w:r w:rsidRPr="00E3232D">
        <w:rPr>
          <w:rFonts w:ascii="Book Antiqua" w:hAnsi="Book Antiqua"/>
        </w:rPr>
        <w:t xml:space="preserve"> + Ca</w:t>
      </w:r>
      <w:r w:rsidRPr="00E3232D">
        <w:rPr>
          <w:rFonts w:ascii="Book Antiqua" w:hAnsi="Book Antiqua"/>
          <w:vertAlign w:val="superscript"/>
        </w:rPr>
        <w:t>2+</w:t>
      </w:r>
      <w:r w:rsidRPr="00E3232D">
        <w:rPr>
          <w:rFonts w:ascii="Book Antiqua" w:hAnsi="Book Antiqua"/>
          <w:vertAlign w:val="subscript"/>
        </w:rPr>
        <w:t>(aq)</w:t>
      </w:r>
      <w:r w:rsidRPr="00E3232D">
        <w:rPr>
          <w:rFonts w:ascii="Book Antiqua" w:hAnsi="Book Antiqua"/>
        </w:rPr>
        <w:t xml:space="preserve"> + 2R</w:t>
      </w:r>
      <w:r w:rsidRPr="00E3232D">
        <w:rPr>
          <w:rFonts w:ascii="Book Antiqua" w:hAnsi="Book Antiqua"/>
          <w:vertAlign w:val="superscript"/>
        </w:rPr>
        <w:t>-</w:t>
      </w:r>
      <w:r w:rsidRPr="00E3232D">
        <w:rPr>
          <w:rFonts w:ascii="Book Antiqua" w:hAnsi="Book Antiqua"/>
          <w:vertAlign w:val="subscript"/>
        </w:rPr>
        <w:t>(s)</w:t>
      </w:r>
      <w:r w:rsidRPr="00E3232D">
        <w:rPr>
          <w:rFonts w:ascii="Book Antiqua" w:hAnsi="Book Antiqua"/>
        </w:rPr>
        <w:t xml:space="preserve"> = 2H</w:t>
      </w:r>
      <w:r w:rsidRPr="00E3232D">
        <w:rPr>
          <w:rFonts w:ascii="Book Antiqua" w:hAnsi="Book Antiqua"/>
          <w:vertAlign w:val="superscript"/>
        </w:rPr>
        <w:t>+</w:t>
      </w:r>
      <w:r w:rsidRPr="00E3232D">
        <w:rPr>
          <w:rFonts w:ascii="Book Antiqua" w:hAnsi="Book Antiqua"/>
        </w:rPr>
        <w:t xml:space="preserve"> R</w:t>
      </w:r>
      <w:r w:rsidRPr="00E3232D">
        <w:rPr>
          <w:rFonts w:ascii="Book Antiqua" w:hAnsi="Book Antiqua"/>
          <w:vertAlign w:val="superscript"/>
        </w:rPr>
        <w:t>-</w:t>
      </w:r>
      <w:r w:rsidRPr="00E3232D">
        <w:rPr>
          <w:rFonts w:ascii="Book Antiqua" w:hAnsi="Book Antiqua"/>
          <w:vertAlign w:val="subscript"/>
        </w:rPr>
        <w:t>(s)</w:t>
      </w:r>
      <w:r w:rsidRPr="00E3232D">
        <w:rPr>
          <w:rFonts w:ascii="Book Antiqua" w:hAnsi="Book Antiqua"/>
          <w:vertAlign w:val="superscript"/>
        </w:rPr>
        <w:t xml:space="preserve">  </w:t>
      </w:r>
      <w:r w:rsidRPr="00E3232D">
        <w:rPr>
          <w:rFonts w:ascii="Book Antiqua" w:hAnsi="Book Antiqua"/>
        </w:rPr>
        <w:t>+ Ca</w:t>
      </w:r>
      <w:r w:rsidRPr="00E3232D">
        <w:rPr>
          <w:rFonts w:ascii="Book Antiqua" w:hAnsi="Book Antiqua"/>
          <w:vertAlign w:val="superscript"/>
        </w:rPr>
        <w:t>2+</w:t>
      </w:r>
      <w:r w:rsidRPr="00E3232D">
        <w:rPr>
          <w:rFonts w:ascii="Book Antiqua" w:hAnsi="Book Antiqua"/>
        </w:rPr>
        <w:t xml:space="preserve"> SO</w:t>
      </w:r>
      <w:r w:rsidRPr="00E3232D">
        <w:rPr>
          <w:rFonts w:ascii="Book Antiqua" w:hAnsi="Book Antiqua"/>
          <w:vertAlign w:val="subscript"/>
        </w:rPr>
        <w:t>4</w:t>
      </w:r>
      <w:r w:rsidRPr="00E3232D">
        <w:rPr>
          <w:rFonts w:ascii="Book Antiqua" w:hAnsi="Book Antiqua"/>
          <w:vertAlign w:val="superscript"/>
        </w:rPr>
        <w:t>2-</w:t>
      </w:r>
      <w:r w:rsidRPr="00E3232D">
        <w:rPr>
          <w:rFonts w:ascii="Book Antiqua" w:hAnsi="Book Antiqua"/>
          <w:vertAlign w:val="subscript"/>
        </w:rPr>
        <w:t>(aq)</w:t>
      </w:r>
      <w:r w:rsidRPr="00E3232D">
        <w:rPr>
          <w:rFonts w:ascii="Book Antiqua" w:hAnsi="Book Antiqua"/>
        </w:rPr>
        <w:t xml:space="preserve">                                                                    (7)</w:t>
      </w:r>
    </w:p>
    <w:p w14:paraId="1F50D8BD" w14:textId="77777777" w:rsidR="00350B24" w:rsidRPr="00E3232D" w:rsidRDefault="00350B24" w:rsidP="008275E1">
      <w:pPr>
        <w:pStyle w:val="NoSpacing"/>
        <w:spacing w:line="276" w:lineRule="auto"/>
        <w:ind w:left="720"/>
        <w:rPr>
          <w:rFonts w:ascii="Book Antiqua" w:hAnsi="Book Antiqua"/>
        </w:rPr>
      </w:pPr>
    </w:p>
    <w:p w14:paraId="7B977E95" w14:textId="77777777" w:rsidR="00374633" w:rsidRDefault="00350B24" w:rsidP="008275E1">
      <w:pPr>
        <w:pStyle w:val="NoSpacing"/>
        <w:spacing w:line="276" w:lineRule="auto"/>
        <w:rPr>
          <w:rFonts w:ascii="Book Antiqua" w:hAnsi="Book Antiqua"/>
          <w:b/>
        </w:rPr>
      </w:pPr>
      <w:r w:rsidRPr="00E3232D">
        <w:rPr>
          <w:rFonts w:ascii="Book Antiqua" w:hAnsi="Book Antiqua"/>
          <w:b/>
        </w:rPr>
        <w:t xml:space="preserve">                                     </w:t>
      </w:r>
    </w:p>
    <w:p w14:paraId="7DE0159B" w14:textId="77777777" w:rsidR="00374633" w:rsidRDefault="00374633" w:rsidP="008275E1">
      <w:pPr>
        <w:pStyle w:val="NoSpacing"/>
        <w:spacing w:line="276" w:lineRule="auto"/>
        <w:rPr>
          <w:rFonts w:ascii="Book Antiqua" w:hAnsi="Book Antiqua"/>
          <w:b/>
        </w:rPr>
      </w:pPr>
    </w:p>
    <w:p w14:paraId="18A9E8B3" w14:textId="77777777" w:rsidR="00374633" w:rsidRDefault="00374633" w:rsidP="008275E1">
      <w:pPr>
        <w:pStyle w:val="NoSpacing"/>
        <w:spacing w:line="276" w:lineRule="auto"/>
        <w:rPr>
          <w:rFonts w:ascii="Book Antiqua" w:hAnsi="Book Antiqua"/>
          <w:b/>
        </w:rPr>
      </w:pPr>
    </w:p>
    <w:p w14:paraId="4950EB93" w14:textId="77777777" w:rsidR="00374633" w:rsidRDefault="00374633" w:rsidP="008275E1">
      <w:pPr>
        <w:pStyle w:val="NoSpacing"/>
        <w:spacing w:line="276" w:lineRule="auto"/>
        <w:rPr>
          <w:rFonts w:ascii="Book Antiqua" w:hAnsi="Book Antiqua"/>
          <w:b/>
        </w:rPr>
      </w:pPr>
    </w:p>
    <w:p w14:paraId="406A4A5B" w14:textId="77777777" w:rsidR="00374633" w:rsidRDefault="00374633" w:rsidP="008275E1">
      <w:pPr>
        <w:pStyle w:val="NoSpacing"/>
        <w:spacing w:line="276" w:lineRule="auto"/>
        <w:rPr>
          <w:rFonts w:ascii="Book Antiqua" w:hAnsi="Book Antiqua"/>
          <w:b/>
        </w:rPr>
      </w:pPr>
    </w:p>
    <w:p w14:paraId="48B36ABC" w14:textId="77777777" w:rsidR="00374633" w:rsidRDefault="00374633" w:rsidP="008275E1">
      <w:pPr>
        <w:pStyle w:val="NoSpacing"/>
        <w:spacing w:line="276" w:lineRule="auto"/>
        <w:rPr>
          <w:rFonts w:ascii="Book Antiqua" w:hAnsi="Book Antiqua"/>
          <w:b/>
        </w:rPr>
      </w:pPr>
    </w:p>
    <w:p w14:paraId="26129ACC" w14:textId="77777777" w:rsidR="00374633" w:rsidRDefault="00374633" w:rsidP="008275E1">
      <w:pPr>
        <w:pStyle w:val="NoSpacing"/>
        <w:spacing w:line="276" w:lineRule="auto"/>
        <w:rPr>
          <w:rFonts w:ascii="Book Antiqua" w:hAnsi="Book Antiqua"/>
          <w:b/>
        </w:rPr>
      </w:pPr>
    </w:p>
    <w:p w14:paraId="32C93830" w14:textId="77777777" w:rsidR="00374633" w:rsidRDefault="00374633" w:rsidP="008275E1">
      <w:pPr>
        <w:pStyle w:val="NoSpacing"/>
        <w:spacing w:line="276" w:lineRule="auto"/>
        <w:rPr>
          <w:rFonts w:ascii="Book Antiqua" w:hAnsi="Book Antiqua"/>
          <w:b/>
        </w:rPr>
      </w:pPr>
    </w:p>
    <w:p w14:paraId="6C7D4621" w14:textId="77777777" w:rsidR="00350B24" w:rsidRPr="00E3232D" w:rsidRDefault="00350B24" w:rsidP="008275E1">
      <w:pPr>
        <w:pStyle w:val="NoSpacing"/>
        <w:spacing w:line="276" w:lineRule="auto"/>
        <w:rPr>
          <w:rFonts w:ascii="Book Antiqua" w:hAnsi="Book Antiqua"/>
          <w:b/>
        </w:rPr>
      </w:pPr>
      <w:r w:rsidRPr="00E3232D">
        <w:rPr>
          <w:rFonts w:ascii="Book Antiqua" w:hAnsi="Book Antiqua"/>
          <w:b/>
        </w:rPr>
        <w:t>Cationic vessel                                                    Anion vessel</w:t>
      </w:r>
    </w:p>
    <w:p w14:paraId="1CF83EC6" w14:textId="77777777" w:rsidR="00374633" w:rsidRDefault="00374633" w:rsidP="008275E1">
      <w:pPr>
        <w:pStyle w:val="NoSpacing"/>
        <w:spacing w:line="276" w:lineRule="auto"/>
        <w:rPr>
          <w:rFonts w:ascii="Book Antiqua" w:hAnsi="Book Antiqua"/>
          <w:b/>
        </w:rPr>
      </w:pPr>
    </w:p>
    <w:p w14:paraId="7A8D0339" w14:textId="77777777" w:rsidR="00350B24" w:rsidRPr="00E3232D" w:rsidRDefault="00350B24" w:rsidP="008275E1">
      <w:pPr>
        <w:pStyle w:val="NoSpacing"/>
        <w:spacing w:line="276" w:lineRule="auto"/>
        <w:rPr>
          <w:rFonts w:ascii="Book Antiqua" w:hAnsi="Book Antiqua"/>
        </w:rPr>
      </w:pPr>
      <w:r w:rsidRPr="00E3232D">
        <w:rPr>
          <w:rFonts w:ascii="Book Antiqua" w:hAnsi="Book Antiqua"/>
        </w:rPr>
        <w:t xml:space="preserve"> Displacement of SO</w:t>
      </w:r>
      <w:r w:rsidRPr="00E3232D">
        <w:rPr>
          <w:rFonts w:ascii="Book Antiqua" w:hAnsi="Book Antiqua"/>
          <w:vertAlign w:val="subscript"/>
        </w:rPr>
        <w:t>4</w:t>
      </w:r>
      <w:r w:rsidRPr="00E3232D">
        <w:rPr>
          <w:rFonts w:ascii="Book Antiqua" w:hAnsi="Book Antiqua"/>
          <w:vertAlign w:val="superscript"/>
        </w:rPr>
        <w:t>2-</w:t>
      </w:r>
      <w:r w:rsidRPr="00E3232D">
        <w:rPr>
          <w:rFonts w:ascii="Book Antiqua" w:hAnsi="Book Antiqua"/>
        </w:rPr>
        <w:t xml:space="preserve"> salts                               Displacement of Cl</w:t>
      </w:r>
      <w:r w:rsidRPr="00E3232D">
        <w:rPr>
          <w:rFonts w:ascii="Book Antiqua" w:hAnsi="Book Antiqua"/>
          <w:vertAlign w:val="superscript"/>
        </w:rPr>
        <w:t xml:space="preserve">- </w:t>
      </w:r>
      <w:r w:rsidRPr="00E3232D">
        <w:rPr>
          <w:rFonts w:ascii="Book Antiqua" w:hAnsi="Book Antiqua"/>
        </w:rPr>
        <w:t>salts</w:t>
      </w:r>
    </w:p>
    <w:p w14:paraId="0EC1A4FC" w14:textId="77777777" w:rsidR="00350B24" w:rsidRPr="00E3232D" w:rsidRDefault="00850DC5" w:rsidP="008275E1">
      <w:pPr>
        <w:pStyle w:val="NoSpacing"/>
        <w:spacing w:line="276" w:lineRule="auto"/>
        <w:rPr>
          <w:rFonts w:ascii="Book Antiqua" w:hAnsi="Book Antiqua"/>
          <w:b/>
        </w:rPr>
      </w:pPr>
      <w:r>
        <w:rPr>
          <w:rFonts w:ascii="Book Antiqua" w:hAnsi="Book Antiqua"/>
          <w:b/>
          <w:noProof/>
        </w:rPr>
        <w:pict w14:anchorId="196439B5">
          <v:shape id="_x0000_s1628" type="#_x0000_t67" style="position:absolute;margin-left:294pt;margin-top:1.6pt;width:51.75pt;height:20.25pt;z-index:251721216">
            <v:textbox style="layout-flow:vertical-ideographic"/>
          </v:shape>
        </w:pict>
      </w:r>
      <w:r>
        <w:rPr>
          <w:rFonts w:ascii="Book Antiqua" w:hAnsi="Book Antiqua"/>
          <w:b/>
          <w:noProof/>
        </w:rPr>
        <w:pict w14:anchorId="350686E2">
          <v:shape id="_x0000_s1627" type="#_x0000_t67" style="position:absolute;margin-left:117.75pt;margin-top:1.6pt;width:51.75pt;height:20.25pt;z-index:251720192">
            <v:textbox style="layout-flow:vertical-ideographic"/>
          </v:shape>
        </w:pict>
      </w:r>
      <w:r w:rsidR="00350B24" w:rsidRPr="00E3232D">
        <w:rPr>
          <w:rFonts w:ascii="Book Antiqua" w:hAnsi="Book Antiqua"/>
          <w:b/>
        </w:rPr>
        <w:t xml:space="preserve">                                           </w:t>
      </w:r>
    </w:p>
    <w:p w14:paraId="35E31404" w14:textId="77777777" w:rsidR="00350B24" w:rsidRPr="00E3232D" w:rsidRDefault="00350B24" w:rsidP="008275E1">
      <w:pPr>
        <w:pStyle w:val="NoSpacing"/>
        <w:spacing w:line="276" w:lineRule="auto"/>
        <w:rPr>
          <w:rFonts w:ascii="Book Antiqua" w:hAnsi="Book Antiqua"/>
          <w:b/>
        </w:rPr>
      </w:pPr>
    </w:p>
    <w:p w14:paraId="6383A755" w14:textId="77777777" w:rsidR="00350B24" w:rsidRPr="00E3232D" w:rsidRDefault="00350B24" w:rsidP="008275E1">
      <w:pPr>
        <w:pStyle w:val="NoSpacing"/>
        <w:spacing w:line="276" w:lineRule="auto"/>
        <w:rPr>
          <w:rFonts w:ascii="Book Antiqua" w:hAnsi="Book Antiqua"/>
        </w:rPr>
      </w:pPr>
      <w:r w:rsidRPr="00E3232D">
        <w:rPr>
          <w:rFonts w:ascii="Book Antiqua" w:hAnsi="Book Antiqua"/>
        </w:rPr>
        <w:t xml:space="preserve">                                             CaSO</w:t>
      </w:r>
      <w:r w:rsidRPr="00E3232D">
        <w:rPr>
          <w:rFonts w:ascii="Book Antiqua" w:hAnsi="Book Antiqua"/>
          <w:vertAlign w:val="subscript"/>
        </w:rPr>
        <w:t xml:space="preserve">4 </w:t>
      </w:r>
      <w:r w:rsidRPr="00E3232D">
        <w:rPr>
          <w:rFonts w:ascii="Book Antiqua" w:hAnsi="Book Antiqua"/>
        </w:rPr>
        <w:t>and MgSO</w:t>
      </w:r>
      <w:r w:rsidRPr="00E3232D">
        <w:rPr>
          <w:rFonts w:ascii="Book Antiqua" w:hAnsi="Book Antiqua"/>
          <w:vertAlign w:val="subscript"/>
        </w:rPr>
        <w:t>4</w:t>
      </w:r>
      <w:r w:rsidRPr="00E3232D">
        <w:rPr>
          <w:rFonts w:ascii="Book Antiqua" w:hAnsi="Book Antiqua"/>
        </w:rPr>
        <w:t xml:space="preserve">                                                NaCl    </w:t>
      </w:r>
    </w:p>
    <w:p w14:paraId="4CB74577" w14:textId="77777777" w:rsidR="00350B24" w:rsidRPr="00E3232D" w:rsidRDefault="00350B24" w:rsidP="008275E1">
      <w:pPr>
        <w:pStyle w:val="NoSpacing"/>
        <w:spacing w:line="276" w:lineRule="auto"/>
        <w:rPr>
          <w:rFonts w:ascii="Book Antiqua" w:hAnsi="Book Antiqua"/>
          <w:b/>
        </w:rPr>
      </w:pPr>
    </w:p>
    <w:p w14:paraId="2DF0BB0D" w14:textId="77777777" w:rsidR="00350B24" w:rsidRDefault="00850DC5" w:rsidP="008275E1">
      <w:pPr>
        <w:pStyle w:val="NoSpacing"/>
        <w:spacing w:line="276" w:lineRule="auto"/>
        <w:rPr>
          <w:rFonts w:ascii="Book Antiqua" w:hAnsi="Book Antiqua"/>
          <w:b/>
        </w:rPr>
      </w:pPr>
      <w:r>
        <w:rPr>
          <w:rFonts w:ascii="Book Antiqua" w:hAnsi="Book Antiqua"/>
          <w:b/>
          <w:noProof/>
        </w:rPr>
        <w:pict w14:anchorId="5671536F">
          <v:shape id="_x0000_s1621" type="#_x0000_t13" style="position:absolute;margin-left:99.75pt;margin-top:11.35pt;width:17.25pt;height:90pt;z-index:251714048" adj="5885"/>
        </w:pict>
      </w:r>
      <w:r w:rsidR="00350B24" w:rsidRPr="00E3232D">
        <w:rPr>
          <w:rFonts w:ascii="Book Antiqua" w:hAnsi="Book Antiqua"/>
          <w:b/>
        </w:rPr>
        <w:t>Fig.3 Regeneration of 42-WTP-3</w:t>
      </w:r>
    </w:p>
    <w:p w14:paraId="0744ACE1" w14:textId="77777777" w:rsidR="00D73212" w:rsidRDefault="00850DC5" w:rsidP="008275E1">
      <w:pPr>
        <w:pStyle w:val="NoSpacing"/>
        <w:spacing w:line="276" w:lineRule="auto"/>
        <w:rPr>
          <w:rFonts w:ascii="Book Antiqua" w:hAnsi="Book Antiqua"/>
          <w:b/>
        </w:rPr>
      </w:pPr>
      <w:r>
        <w:rPr>
          <w:rFonts w:ascii="Book Antiqua" w:hAnsi="Book Antiqua"/>
          <w:b/>
          <w:noProof/>
        </w:rPr>
        <w:pict w14:anchorId="549AA02A">
          <v:roundrect id="_x0000_s1620" style="position:absolute;margin-left:148.5pt;margin-top:6.1pt;width:81.75pt;height:144.95pt;z-index:251713024" arcsize="10923f"/>
        </w:pict>
      </w:r>
      <w:r>
        <w:rPr>
          <w:rFonts w:ascii="Book Antiqua" w:hAnsi="Book Antiqua"/>
          <w:b/>
          <w:noProof/>
        </w:rPr>
        <w:pict w14:anchorId="4AFF591A">
          <v:shape id="_x0000_s1624" type="#_x0000_t202" style="position:absolute;margin-left:148.5pt;margin-top:10.95pt;width:81.75pt;height:144.95pt;z-index:251717120;mso-width-relative:margin;mso-height-relative:margin" filled="f" stroked="f">
            <v:textbox style="mso-next-textbox:#_x0000_s1624">
              <w:txbxContent>
                <w:p w14:paraId="09FA7FF8" w14:textId="77777777" w:rsidR="00E2396E" w:rsidRPr="00B228F0" w:rsidRDefault="00E2396E" w:rsidP="00350B24">
                  <w:pPr>
                    <w:pStyle w:val="NoSpacing"/>
                    <w:rPr>
                      <w:rFonts w:ascii="Times New Roman" w:hAnsi="Times New Roman"/>
                      <w:sz w:val="20"/>
                    </w:rPr>
                  </w:pPr>
                  <w:r w:rsidRPr="00B228F0">
                    <w:rPr>
                      <w:rFonts w:ascii="Times New Roman" w:hAnsi="Times New Roman"/>
                      <w:sz w:val="20"/>
                    </w:rPr>
                    <w:t>Dil. NaOH regenerates anion by the preferential displacement of Cl</w:t>
                  </w:r>
                  <w:r w:rsidRPr="00B228F0">
                    <w:rPr>
                      <w:rFonts w:ascii="Times New Roman" w:hAnsi="Times New Roman"/>
                      <w:sz w:val="20"/>
                      <w:vertAlign w:val="superscript"/>
                    </w:rPr>
                    <w:t>-</w:t>
                  </w:r>
                  <w:r w:rsidRPr="00B228F0">
                    <w:rPr>
                      <w:rFonts w:ascii="Times New Roman" w:hAnsi="Times New Roman"/>
                      <w:sz w:val="20"/>
                    </w:rPr>
                    <w:t>, HCO</w:t>
                  </w:r>
                  <w:r w:rsidRPr="00B228F0">
                    <w:rPr>
                      <w:rFonts w:ascii="Times New Roman" w:hAnsi="Times New Roman"/>
                      <w:sz w:val="20"/>
                      <w:vertAlign w:val="superscript"/>
                    </w:rPr>
                    <w:t>-</w:t>
                  </w:r>
                  <w:r w:rsidRPr="00B228F0">
                    <w:rPr>
                      <w:rFonts w:ascii="Times New Roman" w:hAnsi="Times New Roman"/>
                      <w:sz w:val="20"/>
                      <w:vertAlign w:val="subscript"/>
                    </w:rPr>
                    <w:t xml:space="preserve">3 </w:t>
                  </w:r>
                  <w:r w:rsidRPr="00B228F0">
                    <w:rPr>
                      <w:rFonts w:ascii="Times New Roman" w:hAnsi="Times New Roman"/>
                      <w:sz w:val="20"/>
                    </w:rPr>
                    <w:t>which combine with Na</w:t>
                  </w:r>
                  <w:r w:rsidRPr="00B228F0">
                    <w:rPr>
                      <w:rFonts w:ascii="Times New Roman" w:hAnsi="Times New Roman"/>
                      <w:sz w:val="20"/>
                      <w:vertAlign w:val="superscript"/>
                    </w:rPr>
                    <w:t>+</w:t>
                  </w:r>
                  <w:r w:rsidRPr="00B228F0">
                    <w:rPr>
                      <w:rFonts w:ascii="Times New Roman" w:hAnsi="Times New Roman"/>
                      <w:sz w:val="20"/>
                    </w:rPr>
                    <w:t xml:space="preserve"> and H</w:t>
                  </w:r>
                  <w:r w:rsidRPr="00B228F0">
                    <w:rPr>
                      <w:rFonts w:ascii="Times New Roman" w:hAnsi="Times New Roman"/>
                      <w:sz w:val="20"/>
                      <w:vertAlign w:val="superscript"/>
                    </w:rPr>
                    <w:t>+</w:t>
                  </w:r>
                  <w:r w:rsidRPr="00B228F0">
                    <w:rPr>
                      <w:rFonts w:ascii="Times New Roman" w:hAnsi="Times New Roman"/>
                      <w:sz w:val="20"/>
                    </w:rPr>
                    <w:t xml:space="preserve"> </w:t>
                  </w:r>
                  <w:r w:rsidRPr="00B228F0">
                    <w:rPr>
                      <w:rFonts w:ascii="Times New Roman" w:hAnsi="Times New Roman"/>
                      <w:sz w:val="20"/>
                      <w:vertAlign w:val="superscript"/>
                    </w:rPr>
                    <w:t xml:space="preserve"> </w:t>
                  </w:r>
                  <w:r w:rsidRPr="00B228F0">
                    <w:rPr>
                      <w:rFonts w:ascii="Times New Roman" w:hAnsi="Times New Roman"/>
                      <w:sz w:val="20"/>
                    </w:rPr>
                    <w:t>to form salts (NaCl) and gas (CO</w:t>
                  </w:r>
                  <w:r w:rsidRPr="00B228F0">
                    <w:rPr>
                      <w:rFonts w:ascii="Times New Roman" w:hAnsi="Times New Roman"/>
                      <w:sz w:val="20"/>
                      <w:vertAlign w:val="subscript"/>
                    </w:rPr>
                    <w:t>2</w:t>
                  </w:r>
                  <w:r w:rsidRPr="00B228F0">
                    <w:rPr>
                      <w:rFonts w:ascii="Times New Roman" w:hAnsi="Times New Roman"/>
                      <w:sz w:val="20"/>
                    </w:rPr>
                    <w:t>)</w:t>
                  </w:r>
                </w:p>
                <w:p w14:paraId="6A0C15EC" w14:textId="77777777" w:rsidR="00E2396E" w:rsidRDefault="00E2396E" w:rsidP="00350B24">
                  <w:pPr>
                    <w:pStyle w:val="NoSpacing"/>
                    <w:rPr>
                      <w:sz w:val="20"/>
                    </w:rPr>
                  </w:pPr>
                </w:p>
                <w:p w14:paraId="6CB1EDDA" w14:textId="77777777" w:rsidR="00E2396E" w:rsidRPr="009C4445" w:rsidRDefault="00E2396E" w:rsidP="00350B24">
                  <w:pPr>
                    <w:pStyle w:val="NoSpacing"/>
                    <w:rPr>
                      <w:sz w:val="20"/>
                    </w:rPr>
                  </w:pPr>
                </w:p>
              </w:txbxContent>
            </v:textbox>
          </v:shape>
        </w:pict>
      </w:r>
      <w:r>
        <w:rPr>
          <w:rFonts w:ascii="Book Antiqua" w:hAnsi="Book Antiqua"/>
          <w:b/>
          <w:noProof/>
        </w:rPr>
        <w:pict w14:anchorId="410A1F39">
          <v:roundrect id="_x0000_s1619" style="position:absolute;margin-left:-10.5pt;margin-top:6.1pt;width:81.75pt;height:145.4pt;z-index:251712000" arcsize="10923f" filled="f"/>
        </w:pict>
      </w:r>
      <w:r>
        <w:rPr>
          <w:rFonts w:ascii="Book Antiqua" w:hAnsi="Book Antiqua"/>
          <w:b/>
          <w:noProof/>
        </w:rPr>
        <w:pict w14:anchorId="3C5CB34F">
          <v:shape id="_x0000_s1626" type="#_x0000_t202" style="position:absolute;margin-left:-9.5pt;margin-top:6.1pt;width:80.75pt;height:145.4pt;z-index:251719168;mso-width-relative:margin;mso-height-relative:margin" filled="f" stroked="f">
            <v:textbox style="mso-next-textbox:#_x0000_s1626">
              <w:txbxContent>
                <w:p w14:paraId="45269864" w14:textId="77777777" w:rsidR="00E2396E" w:rsidRPr="00B228F0" w:rsidRDefault="00E2396E" w:rsidP="00350B24">
                  <w:pPr>
                    <w:pStyle w:val="NoSpacing"/>
                    <w:rPr>
                      <w:rFonts w:ascii="Times New Roman" w:hAnsi="Times New Roman"/>
                      <w:sz w:val="20"/>
                    </w:rPr>
                  </w:pPr>
                  <w:r w:rsidRPr="00B228F0">
                    <w:rPr>
                      <w:rFonts w:ascii="Times New Roman" w:hAnsi="Times New Roman"/>
                      <w:sz w:val="20"/>
                    </w:rPr>
                    <w:t>Dil. H</w:t>
                  </w:r>
                  <w:r w:rsidRPr="00B228F0">
                    <w:rPr>
                      <w:rFonts w:ascii="Times New Roman" w:hAnsi="Times New Roman"/>
                      <w:sz w:val="20"/>
                      <w:vertAlign w:val="subscript"/>
                    </w:rPr>
                    <w:t>2</w:t>
                  </w:r>
                  <w:r w:rsidRPr="00B228F0">
                    <w:rPr>
                      <w:rFonts w:ascii="Times New Roman" w:hAnsi="Times New Roman"/>
                      <w:sz w:val="20"/>
                    </w:rPr>
                    <w:t>SO</w:t>
                  </w:r>
                  <w:r w:rsidRPr="00B228F0">
                    <w:rPr>
                      <w:rFonts w:ascii="Times New Roman" w:hAnsi="Times New Roman"/>
                      <w:sz w:val="20"/>
                      <w:vertAlign w:val="subscript"/>
                    </w:rPr>
                    <w:t>4</w:t>
                  </w:r>
                  <w:r w:rsidRPr="00B228F0">
                    <w:rPr>
                      <w:rFonts w:ascii="Times New Roman" w:hAnsi="Times New Roman"/>
                      <w:sz w:val="20"/>
                    </w:rPr>
                    <w:t xml:space="preserve"> regenerates  the cation by the preferential displacement of Mg</w:t>
                  </w:r>
                  <w:r w:rsidRPr="00B228F0">
                    <w:rPr>
                      <w:rFonts w:ascii="Times New Roman" w:hAnsi="Times New Roman"/>
                      <w:sz w:val="20"/>
                      <w:vertAlign w:val="superscript"/>
                    </w:rPr>
                    <w:t>2+</w:t>
                  </w:r>
                  <w:r w:rsidRPr="00B228F0">
                    <w:rPr>
                      <w:rFonts w:ascii="Times New Roman" w:hAnsi="Times New Roman"/>
                      <w:sz w:val="20"/>
                    </w:rPr>
                    <w:t>, Ca</w:t>
                  </w:r>
                  <w:r w:rsidRPr="00B228F0">
                    <w:rPr>
                      <w:rFonts w:ascii="Times New Roman" w:hAnsi="Times New Roman"/>
                      <w:sz w:val="20"/>
                      <w:vertAlign w:val="superscript"/>
                    </w:rPr>
                    <w:t xml:space="preserve">2+ </w:t>
                  </w:r>
                  <w:r w:rsidRPr="00B228F0">
                    <w:rPr>
                      <w:rFonts w:ascii="Times New Roman" w:hAnsi="Times New Roman"/>
                      <w:sz w:val="20"/>
                    </w:rPr>
                    <w:t>which combine with SO</w:t>
                  </w:r>
                  <w:r w:rsidRPr="00B228F0">
                    <w:rPr>
                      <w:rFonts w:ascii="Times New Roman" w:hAnsi="Times New Roman"/>
                      <w:sz w:val="20"/>
                      <w:vertAlign w:val="superscript"/>
                    </w:rPr>
                    <w:t>2-</w:t>
                  </w:r>
                  <w:r w:rsidRPr="00B228F0">
                    <w:rPr>
                      <w:rFonts w:ascii="Times New Roman" w:hAnsi="Times New Roman"/>
                      <w:sz w:val="20"/>
                      <w:vertAlign w:val="subscript"/>
                    </w:rPr>
                    <w:t xml:space="preserve">4 </w:t>
                  </w:r>
                  <w:r w:rsidRPr="00B228F0">
                    <w:rPr>
                      <w:rFonts w:ascii="Times New Roman" w:hAnsi="Times New Roman"/>
                      <w:sz w:val="20"/>
                    </w:rPr>
                    <w:t>to form salts</w:t>
                  </w:r>
                </w:p>
              </w:txbxContent>
            </v:textbox>
          </v:shape>
        </w:pict>
      </w:r>
    </w:p>
    <w:p w14:paraId="70A8EE54" w14:textId="77777777" w:rsidR="00D73212" w:rsidRDefault="00D73212" w:rsidP="008275E1">
      <w:pPr>
        <w:pStyle w:val="NoSpacing"/>
        <w:spacing w:line="276" w:lineRule="auto"/>
        <w:rPr>
          <w:rFonts w:ascii="Book Antiqua" w:hAnsi="Book Antiqua"/>
          <w:b/>
        </w:rPr>
      </w:pPr>
    </w:p>
    <w:p w14:paraId="1BCC0E5E" w14:textId="77777777" w:rsidR="00D73212" w:rsidRDefault="00D73212" w:rsidP="008275E1">
      <w:pPr>
        <w:pStyle w:val="NoSpacing"/>
        <w:spacing w:line="276" w:lineRule="auto"/>
        <w:rPr>
          <w:rFonts w:ascii="Book Antiqua" w:hAnsi="Book Antiqua"/>
          <w:b/>
        </w:rPr>
      </w:pPr>
    </w:p>
    <w:p w14:paraId="7E4FFDBE" w14:textId="77777777" w:rsidR="00D73212" w:rsidRDefault="00D73212" w:rsidP="008275E1">
      <w:pPr>
        <w:pStyle w:val="NoSpacing"/>
        <w:spacing w:line="276" w:lineRule="auto"/>
        <w:rPr>
          <w:rFonts w:ascii="Book Antiqua" w:hAnsi="Book Antiqua"/>
          <w:b/>
        </w:rPr>
      </w:pPr>
    </w:p>
    <w:p w14:paraId="5DC65ACE" w14:textId="77777777" w:rsidR="00D73212" w:rsidRDefault="00D73212" w:rsidP="008275E1">
      <w:pPr>
        <w:pStyle w:val="NoSpacing"/>
        <w:spacing w:line="276" w:lineRule="auto"/>
        <w:rPr>
          <w:rFonts w:ascii="Book Antiqua" w:hAnsi="Book Antiqua"/>
          <w:b/>
        </w:rPr>
      </w:pPr>
    </w:p>
    <w:p w14:paraId="1D96898C" w14:textId="77777777" w:rsidR="00D73212" w:rsidRDefault="00850DC5" w:rsidP="008275E1">
      <w:pPr>
        <w:pStyle w:val="NoSpacing"/>
        <w:spacing w:line="276" w:lineRule="auto"/>
        <w:rPr>
          <w:rFonts w:ascii="Book Antiqua" w:hAnsi="Book Antiqua"/>
          <w:b/>
        </w:rPr>
      </w:pPr>
      <w:r>
        <w:rPr>
          <w:rFonts w:ascii="Book Antiqua" w:hAnsi="Book Antiqua"/>
          <w:b/>
          <w:noProof/>
        </w:rPr>
        <w:pict w14:anchorId="4B57C33A">
          <v:shape id="_x0000_s1622" type="#_x0000_t13" style="position:absolute;margin-left:99.75pt;margin-top:.1pt;width:17.25pt;height:90pt;z-index:251715072" adj="5885"/>
        </w:pict>
      </w:r>
    </w:p>
    <w:p w14:paraId="33278B3D" w14:textId="77777777" w:rsidR="00D73212" w:rsidRDefault="00D73212" w:rsidP="008275E1">
      <w:pPr>
        <w:pStyle w:val="NoSpacing"/>
        <w:spacing w:line="276" w:lineRule="auto"/>
        <w:rPr>
          <w:rFonts w:ascii="Book Antiqua" w:hAnsi="Book Antiqua"/>
          <w:b/>
        </w:rPr>
      </w:pPr>
    </w:p>
    <w:p w14:paraId="0F1572AA" w14:textId="77777777" w:rsidR="00886BA6" w:rsidRDefault="00886BA6" w:rsidP="00886BA6">
      <w:pPr>
        <w:pStyle w:val="NoSpacing"/>
        <w:spacing w:line="276" w:lineRule="auto"/>
        <w:rPr>
          <w:rFonts w:ascii="Book Antiqua" w:hAnsi="Book Antiqua"/>
          <w:b/>
        </w:rPr>
      </w:pPr>
    </w:p>
    <w:p w14:paraId="44DC8C85" w14:textId="77777777" w:rsidR="00350B24" w:rsidRPr="00E3232D" w:rsidRDefault="00350B24" w:rsidP="00886BA6">
      <w:pPr>
        <w:pStyle w:val="NoSpacing"/>
        <w:spacing w:line="276" w:lineRule="auto"/>
        <w:rPr>
          <w:rFonts w:ascii="Book Antiqua" w:hAnsi="Book Antiqua"/>
        </w:rPr>
      </w:pPr>
      <w:r w:rsidRPr="00E3232D">
        <w:rPr>
          <w:rFonts w:ascii="Book Antiqua" w:hAnsi="Book Antiqua"/>
          <w:b/>
        </w:rPr>
        <w:t>Anionic   vessel</w:t>
      </w:r>
    </w:p>
    <w:p w14:paraId="5C079CF6" w14:textId="77777777" w:rsidR="00D73212" w:rsidRDefault="00350B24" w:rsidP="00EB2A77">
      <w:pPr>
        <w:pStyle w:val="NoSpacing"/>
        <w:spacing w:line="276" w:lineRule="auto"/>
        <w:jc w:val="both"/>
        <w:rPr>
          <w:rFonts w:ascii="Book Antiqua" w:hAnsi="Book Antiqua"/>
        </w:rPr>
      </w:pPr>
      <w:r w:rsidRPr="00E3232D">
        <w:rPr>
          <w:rFonts w:ascii="Book Antiqua" w:hAnsi="Book Antiqua"/>
        </w:rPr>
        <w:t>The anion is regenerated firstly with water from the cationic vessel to wash off suspended particles. This is followed by the injection of dilute NaOH</w:t>
      </w:r>
      <w:r w:rsidRPr="00E3232D">
        <w:rPr>
          <w:rFonts w:ascii="Book Antiqua" w:hAnsi="Book Antiqua"/>
          <w:vertAlign w:val="subscript"/>
        </w:rPr>
        <w:t xml:space="preserve"> </w:t>
      </w:r>
      <w:r w:rsidR="00D73212">
        <w:rPr>
          <w:rFonts w:ascii="Book Antiqua" w:hAnsi="Book Antiqua"/>
        </w:rPr>
        <w:t>of</w:t>
      </w:r>
    </w:p>
    <w:p w14:paraId="2B1D709F" w14:textId="77777777" w:rsidR="00350B24" w:rsidRPr="00886BA6" w:rsidRDefault="00350B24" w:rsidP="00EB2A77">
      <w:pPr>
        <w:pStyle w:val="NoSpacing"/>
        <w:spacing w:line="276" w:lineRule="auto"/>
        <w:jc w:val="both"/>
        <w:rPr>
          <w:rFonts w:ascii="Book Antiqua" w:hAnsi="Book Antiqua"/>
        </w:rPr>
        <w:sectPr w:rsidR="00350B24" w:rsidRPr="00886BA6" w:rsidSect="008F6BC9">
          <w:type w:val="continuous"/>
          <w:pgSz w:w="11907" w:h="16839" w:code="9"/>
          <w:pgMar w:top="1440" w:right="1440" w:bottom="1440" w:left="1440" w:header="720" w:footer="720" w:gutter="0"/>
          <w:cols w:num="2" w:space="720"/>
          <w:docGrid w:linePitch="360"/>
        </w:sectPr>
      </w:pPr>
      <w:r w:rsidRPr="00E3232D">
        <w:rPr>
          <w:rFonts w:ascii="Book Antiqua" w:hAnsi="Book Antiqua"/>
        </w:rPr>
        <w:t>concentration 4 %. The Na</w:t>
      </w:r>
      <w:r w:rsidRPr="00E3232D">
        <w:rPr>
          <w:rFonts w:ascii="Book Antiqua" w:hAnsi="Book Antiqua"/>
          <w:vertAlign w:val="superscript"/>
        </w:rPr>
        <w:t>+</w:t>
      </w:r>
      <w:r w:rsidRPr="00E3232D">
        <w:rPr>
          <w:rFonts w:ascii="Book Antiqua" w:hAnsi="Book Antiqua"/>
        </w:rPr>
        <w:t xml:space="preserve"> from the soda attracts the Cl</w:t>
      </w:r>
      <w:r w:rsidRPr="00E3232D">
        <w:rPr>
          <w:rFonts w:ascii="Book Antiqua" w:hAnsi="Book Antiqua"/>
          <w:vertAlign w:val="superscript"/>
        </w:rPr>
        <w:t>-</w:t>
      </w:r>
      <w:r w:rsidRPr="00E3232D">
        <w:rPr>
          <w:rFonts w:ascii="Book Antiqua" w:hAnsi="Book Antiqua"/>
        </w:rPr>
        <w:t xml:space="preserve"> and HCO</w:t>
      </w:r>
      <w:r w:rsidRPr="00E3232D">
        <w:rPr>
          <w:rFonts w:ascii="Book Antiqua" w:hAnsi="Book Antiqua"/>
          <w:vertAlign w:val="subscript"/>
        </w:rPr>
        <w:t>3</w:t>
      </w:r>
      <w:r w:rsidRPr="00E3232D">
        <w:rPr>
          <w:rFonts w:ascii="Book Antiqua" w:hAnsi="Book Antiqua"/>
          <w:vertAlign w:val="superscript"/>
        </w:rPr>
        <w:t>-</w:t>
      </w:r>
      <w:r w:rsidRPr="00E3232D">
        <w:rPr>
          <w:rFonts w:ascii="Book Antiqua" w:hAnsi="Book Antiqua"/>
        </w:rPr>
        <w:t xml:space="preserve"> bonded to the resins, R</w:t>
      </w:r>
      <w:r w:rsidRPr="00E3232D">
        <w:rPr>
          <w:rFonts w:ascii="Book Antiqua" w:hAnsi="Book Antiqua"/>
          <w:vertAlign w:val="superscript"/>
        </w:rPr>
        <w:t>+</w:t>
      </w:r>
      <w:r w:rsidRPr="00E3232D">
        <w:rPr>
          <w:rFonts w:ascii="Book Antiqua" w:hAnsi="Book Antiqua"/>
        </w:rPr>
        <w:t>. The OH</w:t>
      </w:r>
      <w:r w:rsidRPr="00E3232D">
        <w:rPr>
          <w:rFonts w:ascii="Book Antiqua" w:hAnsi="Book Antiqua"/>
          <w:vertAlign w:val="superscript"/>
        </w:rPr>
        <w:t xml:space="preserve">- </w:t>
      </w:r>
      <w:r w:rsidRPr="00E3232D">
        <w:rPr>
          <w:rFonts w:ascii="Book Antiqua" w:hAnsi="Book Antiqua"/>
        </w:rPr>
        <w:t>forms bonds with R</w:t>
      </w:r>
      <w:r w:rsidRPr="00E3232D">
        <w:rPr>
          <w:rFonts w:ascii="Book Antiqua" w:hAnsi="Book Antiqua"/>
          <w:vertAlign w:val="superscript"/>
        </w:rPr>
        <w:t>+</w:t>
      </w:r>
      <w:r w:rsidRPr="00E3232D">
        <w:rPr>
          <w:rFonts w:ascii="Book Antiqua" w:hAnsi="Book Antiqua"/>
        </w:rPr>
        <w:t>. The chemical equations are below:</w:t>
      </w:r>
    </w:p>
    <w:p w14:paraId="237642C7" w14:textId="77777777" w:rsidR="00350B24" w:rsidRPr="00E3232D" w:rsidRDefault="00350B24" w:rsidP="00EB2A77">
      <w:pPr>
        <w:pStyle w:val="NoSpacing"/>
        <w:numPr>
          <w:ilvl w:val="0"/>
          <w:numId w:val="142"/>
        </w:numPr>
        <w:spacing w:line="276" w:lineRule="auto"/>
        <w:rPr>
          <w:rFonts w:ascii="Book Antiqua" w:hAnsi="Book Antiqua"/>
          <w:b/>
        </w:rPr>
      </w:pPr>
      <w:r w:rsidRPr="00E3232D">
        <w:rPr>
          <w:rFonts w:ascii="Book Antiqua" w:hAnsi="Book Antiqua"/>
          <w:b/>
        </w:rPr>
        <w:t>Ionization of NaOH in H</w:t>
      </w:r>
      <w:r w:rsidRPr="00E3232D">
        <w:rPr>
          <w:rFonts w:ascii="Book Antiqua" w:hAnsi="Book Antiqua"/>
          <w:b/>
          <w:vertAlign w:val="subscript"/>
        </w:rPr>
        <w:t>2</w:t>
      </w:r>
      <w:r w:rsidRPr="00E3232D">
        <w:rPr>
          <w:rFonts w:ascii="Book Antiqua" w:hAnsi="Book Antiqua"/>
          <w:b/>
        </w:rPr>
        <w:t>O</w:t>
      </w:r>
    </w:p>
    <w:p w14:paraId="0AEC9CEB" w14:textId="77777777" w:rsidR="00350B24" w:rsidRPr="00E3232D" w:rsidRDefault="00350B24" w:rsidP="00EB2A77">
      <w:pPr>
        <w:pStyle w:val="NoSpacing"/>
        <w:spacing w:line="276" w:lineRule="auto"/>
        <w:ind w:left="720"/>
        <w:rPr>
          <w:rFonts w:ascii="Book Antiqua" w:hAnsi="Book Antiqua"/>
          <w:b/>
        </w:rPr>
      </w:pPr>
      <w:r w:rsidRPr="00E3232D">
        <w:rPr>
          <w:rFonts w:ascii="Book Antiqua" w:hAnsi="Book Antiqua"/>
        </w:rPr>
        <w:t>NaOH</w:t>
      </w:r>
      <w:r w:rsidRPr="00E3232D">
        <w:rPr>
          <w:rFonts w:ascii="Book Antiqua" w:hAnsi="Book Antiqua"/>
          <w:vertAlign w:val="subscript"/>
        </w:rPr>
        <w:t>(aq)</w:t>
      </w:r>
      <w:r w:rsidRPr="00E3232D">
        <w:rPr>
          <w:rFonts w:ascii="Book Antiqua" w:hAnsi="Book Antiqua"/>
        </w:rPr>
        <w:t xml:space="preserve">  = Na</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vertAlign w:val="superscript"/>
        </w:rPr>
        <w:t xml:space="preserve"> </w:t>
      </w:r>
      <w:r w:rsidRPr="00E3232D">
        <w:rPr>
          <w:rFonts w:ascii="Book Antiqua" w:hAnsi="Book Antiqua"/>
        </w:rPr>
        <w:t>+ OH</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rPr>
        <w:t xml:space="preserve">                                                                                                         (8)</w:t>
      </w:r>
    </w:p>
    <w:p w14:paraId="324CA7EF" w14:textId="77777777" w:rsidR="00350B24" w:rsidRPr="00E3232D" w:rsidRDefault="00350B24" w:rsidP="00EB2A77">
      <w:pPr>
        <w:pStyle w:val="NoSpacing"/>
        <w:numPr>
          <w:ilvl w:val="0"/>
          <w:numId w:val="142"/>
        </w:numPr>
        <w:spacing w:line="276" w:lineRule="auto"/>
        <w:rPr>
          <w:rFonts w:ascii="Book Antiqua" w:hAnsi="Book Antiqua"/>
        </w:rPr>
      </w:pPr>
      <w:r w:rsidRPr="00E3232D">
        <w:rPr>
          <w:rFonts w:ascii="Book Antiqua" w:hAnsi="Book Antiqua"/>
          <w:b/>
        </w:rPr>
        <w:t>Regeneration of anionic resins (R</w:t>
      </w:r>
      <w:r w:rsidRPr="00E3232D">
        <w:rPr>
          <w:rFonts w:ascii="Book Antiqua" w:hAnsi="Book Antiqua"/>
          <w:b/>
          <w:vertAlign w:val="superscript"/>
        </w:rPr>
        <w:t>+</w:t>
      </w:r>
      <w:r w:rsidRPr="00E3232D">
        <w:rPr>
          <w:rFonts w:ascii="Book Antiqua" w:hAnsi="Book Antiqua"/>
          <w:b/>
        </w:rPr>
        <w:t>)</w:t>
      </w:r>
    </w:p>
    <w:p w14:paraId="41D33705" w14:textId="77777777" w:rsidR="00350B24" w:rsidRPr="00E3232D" w:rsidRDefault="00350B24" w:rsidP="00EB2A77">
      <w:pPr>
        <w:pStyle w:val="NoSpacing"/>
        <w:spacing w:line="276" w:lineRule="auto"/>
        <w:ind w:left="720"/>
        <w:rPr>
          <w:rFonts w:ascii="Book Antiqua" w:hAnsi="Book Antiqua"/>
        </w:rPr>
      </w:pPr>
      <w:r w:rsidRPr="00E3232D">
        <w:rPr>
          <w:rFonts w:ascii="Book Antiqua" w:hAnsi="Book Antiqua"/>
        </w:rPr>
        <w:t>Na</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vertAlign w:val="superscript"/>
        </w:rPr>
        <w:t xml:space="preserve"> </w:t>
      </w:r>
      <w:r w:rsidRPr="00E3232D">
        <w:rPr>
          <w:rFonts w:ascii="Book Antiqua" w:hAnsi="Book Antiqua"/>
        </w:rPr>
        <w:t>+ OH</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rPr>
        <w:t xml:space="preserve"> + R</w:t>
      </w:r>
      <w:r w:rsidRPr="00E3232D">
        <w:rPr>
          <w:rFonts w:ascii="Book Antiqua" w:hAnsi="Book Antiqua"/>
          <w:vertAlign w:val="superscript"/>
        </w:rPr>
        <w:t>+</w:t>
      </w:r>
      <w:r w:rsidRPr="00E3232D">
        <w:rPr>
          <w:rFonts w:ascii="Book Antiqua" w:hAnsi="Book Antiqua"/>
          <w:vertAlign w:val="subscript"/>
        </w:rPr>
        <w:t>(s)</w:t>
      </w:r>
      <w:r w:rsidRPr="00E3232D">
        <w:rPr>
          <w:rFonts w:ascii="Book Antiqua" w:hAnsi="Book Antiqua"/>
        </w:rPr>
        <w:t xml:space="preserve"> + Cl</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rPr>
        <w:t xml:space="preserve"> = Na</w:t>
      </w:r>
      <w:r w:rsidRPr="00E3232D">
        <w:rPr>
          <w:rFonts w:ascii="Book Antiqua" w:hAnsi="Book Antiqua"/>
          <w:vertAlign w:val="superscript"/>
        </w:rPr>
        <w:t>+</w:t>
      </w:r>
      <w:r w:rsidRPr="00E3232D">
        <w:rPr>
          <w:rFonts w:ascii="Book Antiqua" w:hAnsi="Book Antiqua"/>
        </w:rPr>
        <w:t>Cl</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rPr>
        <w:t xml:space="preserve">  + R</w:t>
      </w:r>
      <w:r w:rsidRPr="00E3232D">
        <w:rPr>
          <w:rFonts w:ascii="Book Antiqua" w:hAnsi="Book Antiqua"/>
          <w:vertAlign w:val="superscript"/>
        </w:rPr>
        <w:t>+</w:t>
      </w:r>
      <w:r w:rsidRPr="00E3232D">
        <w:rPr>
          <w:rFonts w:ascii="Book Antiqua" w:hAnsi="Book Antiqua"/>
        </w:rPr>
        <w:t>OH</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rPr>
        <w:t xml:space="preserve">                                                             (9)</w:t>
      </w:r>
    </w:p>
    <w:p w14:paraId="5EF28153" w14:textId="77777777" w:rsidR="00350B24" w:rsidRPr="00E3232D" w:rsidRDefault="00350B24" w:rsidP="00EB2A77">
      <w:pPr>
        <w:pStyle w:val="NoSpacing"/>
        <w:spacing w:line="276" w:lineRule="auto"/>
        <w:ind w:left="720"/>
        <w:jc w:val="both"/>
        <w:rPr>
          <w:rFonts w:ascii="Book Antiqua" w:hAnsi="Book Antiqua"/>
        </w:rPr>
      </w:pPr>
    </w:p>
    <w:p w14:paraId="18582412" w14:textId="77777777" w:rsidR="00350B24" w:rsidRPr="00E3232D" w:rsidRDefault="00350B24" w:rsidP="00EB2A77">
      <w:pPr>
        <w:pStyle w:val="NoSpacing"/>
        <w:spacing w:line="276" w:lineRule="auto"/>
        <w:ind w:left="720"/>
        <w:rPr>
          <w:rFonts w:ascii="Book Antiqua" w:hAnsi="Book Antiqua"/>
          <w:vertAlign w:val="superscript"/>
        </w:rPr>
      </w:pPr>
      <w:r w:rsidRPr="00E3232D">
        <w:rPr>
          <w:rFonts w:ascii="Book Antiqua" w:hAnsi="Book Antiqua"/>
        </w:rPr>
        <w:t>H</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vertAlign w:val="superscript"/>
        </w:rPr>
        <w:t xml:space="preserve"> </w:t>
      </w:r>
      <w:r w:rsidRPr="00E3232D">
        <w:rPr>
          <w:rFonts w:ascii="Book Antiqua" w:hAnsi="Book Antiqua"/>
        </w:rPr>
        <w:t>+ HCO</w:t>
      </w:r>
      <w:r w:rsidRPr="00E3232D">
        <w:rPr>
          <w:rFonts w:ascii="Book Antiqua" w:hAnsi="Book Antiqua"/>
          <w:vertAlign w:val="subscript"/>
        </w:rPr>
        <w:t>3</w:t>
      </w:r>
      <w:r w:rsidRPr="00E3232D">
        <w:rPr>
          <w:rFonts w:ascii="Book Antiqua" w:hAnsi="Book Antiqua"/>
          <w:vertAlign w:val="superscript"/>
        </w:rPr>
        <w:t>-</w:t>
      </w:r>
      <w:r w:rsidRPr="00E3232D">
        <w:rPr>
          <w:rFonts w:ascii="Book Antiqua" w:hAnsi="Book Antiqua"/>
          <w:vertAlign w:val="subscript"/>
        </w:rPr>
        <w:t>(aq)</w:t>
      </w:r>
      <w:r w:rsidRPr="00E3232D">
        <w:rPr>
          <w:rFonts w:ascii="Book Antiqua" w:hAnsi="Book Antiqua"/>
        </w:rPr>
        <w:t xml:space="preserve"> = H</w:t>
      </w:r>
      <w:r w:rsidRPr="00E3232D">
        <w:rPr>
          <w:rFonts w:ascii="Book Antiqua" w:hAnsi="Book Antiqua"/>
          <w:vertAlign w:val="subscript"/>
        </w:rPr>
        <w:t>2</w:t>
      </w:r>
      <w:r w:rsidRPr="00E3232D">
        <w:rPr>
          <w:rFonts w:ascii="Book Antiqua" w:hAnsi="Book Antiqua"/>
        </w:rPr>
        <w:t>CO</w:t>
      </w:r>
      <w:r w:rsidRPr="00E3232D">
        <w:rPr>
          <w:rFonts w:ascii="Book Antiqua" w:hAnsi="Book Antiqua"/>
          <w:vertAlign w:val="subscript"/>
        </w:rPr>
        <w:t>3(aq)</w:t>
      </w:r>
      <w:r w:rsidRPr="00E3232D">
        <w:rPr>
          <w:rFonts w:ascii="Book Antiqua" w:hAnsi="Book Antiqua"/>
        </w:rPr>
        <w:t xml:space="preserve"> = H</w:t>
      </w:r>
      <w:r w:rsidRPr="00E3232D">
        <w:rPr>
          <w:rFonts w:ascii="Book Antiqua" w:hAnsi="Book Antiqua"/>
          <w:vertAlign w:val="subscript"/>
        </w:rPr>
        <w:t>2</w:t>
      </w:r>
      <w:r w:rsidRPr="00E3232D">
        <w:rPr>
          <w:rFonts w:ascii="Book Antiqua" w:hAnsi="Book Antiqua"/>
        </w:rPr>
        <w:t>O</w:t>
      </w:r>
      <w:r w:rsidRPr="00E3232D">
        <w:rPr>
          <w:rFonts w:ascii="Book Antiqua" w:hAnsi="Book Antiqua"/>
          <w:vertAlign w:val="subscript"/>
        </w:rPr>
        <w:t>(l)</w:t>
      </w:r>
      <w:r w:rsidRPr="00E3232D">
        <w:rPr>
          <w:rFonts w:ascii="Book Antiqua" w:hAnsi="Book Antiqua"/>
        </w:rPr>
        <w:t xml:space="preserve"> + CO</w:t>
      </w:r>
      <w:r w:rsidRPr="00E3232D">
        <w:rPr>
          <w:rFonts w:ascii="Book Antiqua" w:hAnsi="Book Antiqua"/>
          <w:vertAlign w:val="subscript"/>
        </w:rPr>
        <w:t>2(g)</w:t>
      </w:r>
      <w:r w:rsidRPr="00E3232D">
        <w:rPr>
          <w:rFonts w:ascii="Book Antiqua" w:hAnsi="Book Antiqua"/>
          <w:vertAlign w:val="superscript"/>
        </w:rPr>
        <w:t xml:space="preserve"> </w:t>
      </w:r>
      <w:r w:rsidRPr="00E3232D">
        <w:rPr>
          <w:rFonts w:ascii="Book Antiqua" w:hAnsi="Book Antiqua"/>
        </w:rPr>
        <w:t xml:space="preserve">  [4 ]                                                                  (10)</w:t>
      </w:r>
    </w:p>
    <w:p w14:paraId="086C94FE" w14:textId="77777777" w:rsidR="00350B24" w:rsidRPr="00E3232D" w:rsidRDefault="00350B24" w:rsidP="00EB2A77">
      <w:pPr>
        <w:pStyle w:val="NoSpacing"/>
        <w:spacing w:line="276" w:lineRule="auto"/>
        <w:rPr>
          <w:rFonts w:ascii="Book Antiqua" w:hAnsi="Book Antiqua"/>
          <w:b/>
        </w:rPr>
      </w:pPr>
    </w:p>
    <w:p w14:paraId="489C8E91" w14:textId="77777777" w:rsidR="00350B24" w:rsidRDefault="00350B24" w:rsidP="00EB2A77">
      <w:pPr>
        <w:pStyle w:val="NoSpacing"/>
        <w:spacing w:line="276" w:lineRule="auto"/>
        <w:jc w:val="both"/>
        <w:rPr>
          <w:rFonts w:ascii="Book Antiqua" w:hAnsi="Book Antiqua"/>
          <w:b/>
        </w:rPr>
      </w:pPr>
    </w:p>
    <w:p w14:paraId="391636A7" w14:textId="77777777" w:rsidR="00886BA6" w:rsidRPr="00E3232D" w:rsidRDefault="00886BA6" w:rsidP="00EB2A77">
      <w:pPr>
        <w:pStyle w:val="NoSpacing"/>
        <w:spacing w:line="276" w:lineRule="auto"/>
        <w:jc w:val="both"/>
        <w:rPr>
          <w:rFonts w:ascii="Book Antiqua" w:hAnsi="Book Antiqua"/>
          <w:b/>
        </w:rPr>
        <w:sectPr w:rsidR="00886BA6" w:rsidRPr="00E3232D" w:rsidSect="008F6BC9">
          <w:type w:val="continuous"/>
          <w:pgSz w:w="11907" w:h="16839" w:code="9"/>
          <w:pgMar w:top="1440" w:right="1440" w:bottom="1440" w:left="1440" w:header="720" w:footer="720" w:gutter="0"/>
          <w:cols w:num="2" w:space="720"/>
          <w:docGrid w:linePitch="360"/>
        </w:sectPr>
      </w:pPr>
    </w:p>
    <w:p w14:paraId="243B86AD" w14:textId="77777777" w:rsidR="00374633" w:rsidRDefault="00374633" w:rsidP="00EB2A77">
      <w:pPr>
        <w:pStyle w:val="NoSpacing"/>
        <w:spacing w:line="276" w:lineRule="auto"/>
        <w:jc w:val="both"/>
        <w:rPr>
          <w:rFonts w:ascii="Book Antiqua" w:hAnsi="Book Antiqua"/>
          <w:b/>
        </w:rPr>
      </w:pPr>
    </w:p>
    <w:p w14:paraId="1AAA64CE" w14:textId="77777777" w:rsidR="00350B24" w:rsidRPr="00EB2A77" w:rsidRDefault="00EB2A77" w:rsidP="00EB2A77">
      <w:pPr>
        <w:pStyle w:val="NoSpacing"/>
        <w:spacing w:line="276" w:lineRule="auto"/>
        <w:jc w:val="both"/>
        <w:rPr>
          <w:rFonts w:ascii="Book Antiqua" w:hAnsi="Book Antiqua"/>
          <w:b/>
          <w:szCs w:val="26"/>
        </w:rPr>
      </w:pPr>
      <w:r w:rsidRPr="00EB2A77">
        <w:rPr>
          <w:rFonts w:ascii="Book Antiqua" w:hAnsi="Book Antiqua"/>
          <w:b/>
          <w:szCs w:val="26"/>
        </w:rPr>
        <w:t xml:space="preserve">2.3 </w:t>
      </w:r>
      <w:r w:rsidR="00350B24" w:rsidRPr="00EB2A77">
        <w:rPr>
          <w:rFonts w:ascii="Book Antiqua" w:hAnsi="Book Antiqua"/>
          <w:b/>
          <w:szCs w:val="26"/>
        </w:rPr>
        <w:t xml:space="preserve">Manufacturer’s </w:t>
      </w:r>
      <w:r w:rsidRPr="00EB2A77">
        <w:rPr>
          <w:rFonts w:ascii="Book Antiqua" w:hAnsi="Book Antiqua"/>
          <w:b/>
          <w:szCs w:val="26"/>
        </w:rPr>
        <w:t>Specifications</w:t>
      </w:r>
    </w:p>
    <w:p w14:paraId="15E9F108"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Pre-treatment of water before demineralization is highly recommended by the manufacturer. This should involve the following:</w:t>
      </w:r>
    </w:p>
    <w:p w14:paraId="4AD06A3E" w14:textId="77777777" w:rsidR="00350B24" w:rsidRPr="00E3232D" w:rsidRDefault="00350B24" w:rsidP="00EB2A77">
      <w:pPr>
        <w:pStyle w:val="NoSpacing"/>
        <w:numPr>
          <w:ilvl w:val="0"/>
          <w:numId w:val="130"/>
        </w:numPr>
        <w:spacing w:line="276" w:lineRule="auto"/>
        <w:jc w:val="both"/>
        <w:rPr>
          <w:rFonts w:ascii="Book Antiqua" w:hAnsi="Book Antiqua"/>
        </w:rPr>
      </w:pPr>
      <w:r w:rsidRPr="00E3232D">
        <w:rPr>
          <w:rFonts w:ascii="Book Antiqua" w:hAnsi="Book Antiqua"/>
        </w:rPr>
        <w:t>Coagulation in vessel</w:t>
      </w:r>
    </w:p>
    <w:p w14:paraId="3888980D" w14:textId="77777777" w:rsidR="00350B24" w:rsidRPr="00E3232D" w:rsidRDefault="00350B24" w:rsidP="00EB2A77">
      <w:pPr>
        <w:pStyle w:val="NoSpacing"/>
        <w:numPr>
          <w:ilvl w:val="0"/>
          <w:numId w:val="130"/>
        </w:numPr>
        <w:spacing w:line="276" w:lineRule="auto"/>
        <w:jc w:val="both"/>
        <w:rPr>
          <w:rFonts w:ascii="Book Antiqua" w:hAnsi="Book Antiqua"/>
        </w:rPr>
      </w:pPr>
      <w:r w:rsidRPr="00E3232D">
        <w:rPr>
          <w:rFonts w:ascii="Book Antiqua" w:hAnsi="Book Antiqua"/>
        </w:rPr>
        <w:t>Filtration by sand filters and</w:t>
      </w:r>
    </w:p>
    <w:p w14:paraId="6B3E0828" w14:textId="77777777" w:rsidR="00350B24" w:rsidRPr="00E3232D" w:rsidRDefault="00350B24" w:rsidP="00EB2A77">
      <w:pPr>
        <w:pStyle w:val="NoSpacing"/>
        <w:numPr>
          <w:ilvl w:val="0"/>
          <w:numId w:val="130"/>
        </w:numPr>
        <w:spacing w:line="276" w:lineRule="auto"/>
        <w:jc w:val="both"/>
        <w:rPr>
          <w:rFonts w:ascii="Book Antiqua" w:hAnsi="Book Antiqua"/>
        </w:rPr>
      </w:pPr>
      <w:r w:rsidRPr="00E3232D">
        <w:rPr>
          <w:rFonts w:ascii="Book Antiqua" w:hAnsi="Book Antiqua"/>
        </w:rPr>
        <w:t xml:space="preserve">Further filtration by carbon filter [5]. </w:t>
      </w:r>
    </w:p>
    <w:p w14:paraId="45CBD3C7" w14:textId="77777777" w:rsidR="00350B24" w:rsidRPr="00E3232D" w:rsidRDefault="00350B24" w:rsidP="00EB2A77">
      <w:pPr>
        <w:pStyle w:val="NoSpacing"/>
        <w:spacing w:line="276" w:lineRule="auto"/>
        <w:ind w:left="720"/>
        <w:jc w:val="both"/>
        <w:rPr>
          <w:rFonts w:ascii="Book Antiqua" w:hAnsi="Book Antiqua"/>
        </w:rPr>
      </w:pPr>
    </w:p>
    <w:p w14:paraId="37884CD7" w14:textId="77777777" w:rsidR="00350B24" w:rsidRPr="00EB2A77" w:rsidRDefault="00350B24" w:rsidP="00EB2A77">
      <w:pPr>
        <w:pStyle w:val="NoSpacing"/>
        <w:spacing w:line="276" w:lineRule="auto"/>
        <w:jc w:val="both"/>
        <w:rPr>
          <w:rFonts w:ascii="Book Antiqua" w:hAnsi="Book Antiqua"/>
          <w:b/>
          <w:szCs w:val="26"/>
        </w:rPr>
      </w:pPr>
      <w:r w:rsidRPr="00EB2A77">
        <w:rPr>
          <w:rFonts w:ascii="Book Antiqua" w:hAnsi="Book Antiqua"/>
          <w:b/>
          <w:szCs w:val="26"/>
        </w:rPr>
        <w:t>2.3.1Resins</w:t>
      </w:r>
    </w:p>
    <w:p w14:paraId="02F89BE4"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Anderson Water Systems makes the following specifications concerning the resin beds:</w:t>
      </w:r>
    </w:p>
    <w:p w14:paraId="16812DC2" w14:textId="77777777" w:rsidR="00350B24" w:rsidRPr="00E3232D" w:rsidRDefault="00350B24" w:rsidP="00EB2A77">
      <w:pPr>
        <w:pStyle w:val="NoSpacing"/>
        <w:numPr>
          <w:ilvl w:val="0"/>
          <w:numId w:val="131"/>
        </w:numPr>
        <w:spacing w:line="276" w:lineRule="auto"/>
        <w:jc w:val="both"/>
        <w:rPr>
          <w:rFonts w:ascii="Book Antiqua" w:hAnsi="Book Antiqua"/>
        </w:rPr>
      </w:pPr>
      <w:r w:rsidRPr="00E3232D">
        <w:rPr>
          <w:rFonts w:ascii="Book Antiqua" w:hAnsi="Book Antiqua"/>
        </w:rPr>
        <w:t>The cationic column should hold a quantity of 2.548 m</w:t>
      </w:r>
      <w:r w:rsidRPr="00E3232D">
        <w:rPr>
          <w:rFonts w:ascii="Book Antiqua" w:hAnsi="Book Antiqua"/>
          <w:vertAlign w:val="superscript"/>
        </w:rPr>
        <w:t>3</w:t>
      </w:r>
      <w:r w:rsidRPr="00E3232D">
        <w:rPr>
          <w:rFonts w:ascii="Book Antiqua" w:hAnsi="Book Antiqua"/>
        </w:rPr>
        <w:t xml:space="preserve"> of resins with specification number C-100 H.</w:t>
      </w:r>
    </w:p>
    <w:p w14:paraId="74C51A3B" w14:textId="77777777" w:rsidR="00350B24" w:rsidRPr="00E3232D" w:rsidRDefault="00350B24" w:rsidP="00EB2A77">
      <w:pPr>
        <w:pStyle w:val="NoSpacing"/>
        <w:numPr>
          <w:ilvl w:val="0"/>
          <w:numId w:val="131"/>
        </w:numPr>
        <w:spacing w:line="276" w:lineRule="auto"/>
        <w:jc w:val="both"/>
        <w:rPr>
          <w:rFonts w:ascii="Book Antiqua" w:hAnsi="Book Antiqua"/>
        </w:rPr>
      </w:pPr>
      <w:r w:rsidRPr="00E3232D">
        <w:rPr>
          <w:rFonts w:ascii="Book Antiqua" w:hAnsi="Book Antiqua"/>
        </w:rPr>
        <w:t>The anionic column should hold a quantity of 1.415 m</w:t>
      </w:r>
      <w:r w:rsidRPr="00E3232D">
        <w:rPr>
          <w:rFonts w:ascii="Book Antiqua" w:hAnsi="Book Antiqua"/>
          <w:vertAlign w:val="superscript"/>
        </w:rPr>
        <w:t>3</w:t>
      </w:r>
      <w:r w:rsidRPr="00E3232D">
        <w:rPr>
          <w:rFonts w:ascii="Book Antiqua" w:hAnsi="Book Antiqua"/>
        </w:rPr>
        <w:t xml:space="preserve"> of resins with specification number A-400Cl [6]. </w:t>
      </w:r>
    </w:p>
    <w:p w14:paraId="488C4776" w14:textId="77777777" w:rsidR="00350B24" w:rsidRPr="00374633" w:rsidRDefault="00350B24" w:rsidP="00EB2A77">
      <w:pPr>
        <w:pStyle w:val="NoSpacing"/>
        <w:spacing w:line="276" w:lineRule="auto"/>
        <w:jc w:val="both"/>
        <w:rPr>
          <w:rFonts w:ascii="Book Antiqua" w:hAnsi="Book Antiqua"/>
          <w:b/>
          <w:sz w:val="26"/>
          <w:szCs w:val="26"/>
        </w:rPr>
      </w:pPr>
    </w:p>
    <w:p w14:paraId="489E67C9" w14:textId="77777777" w:rsidR="00350B24" w:rsidRPr="00EB2A77" w:rsidRDefault="00350B24" w:rsidP="00EB2A77">
      <w:pPr>
        <w:pStyle w:val="NoSpacing"/>
        <w:spacing w:line="276" w:lineRule="auto"/>
        <w:jc w:val="both"/>
        <w:rPr>
          <w:rFonts w:ascii="Book Antiqua" w:hAnsi="Book Antiqua"/>
          <w:b/>
          <w:szCs w:val="26"/>
        </w:rPr>
      </w:pPr>
      <w:r w:rsidRPr="00EB2A77">
        <w:rPr>
          <w:rFonts w:ascii="Book Antiqua" w:hAnsi="Book Antiqua"/>
          <w:b/>
          <w:szCs w:val="26"/>
        </w:rPr>
        <w:t>2.3.2 Operation of 42-WTP-3</w:t>
      </w:r>
    </w:p>
    <w:p w14:paraId="000075C5"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42-WTP-3 can be operated in:</w:t>
      </w:r>
    </w:p>
    <w:p w14:paraId="2CB2C1B0" w14:textId="77777777" w:rsidR="00350B24" w:rsidRPr="00E3232D" w:rsidRDefault="00350B24" w:rsidP="00EB2A77">
      <w:pPr>
        <w:pStyle w:val="NoSpacing"/>
        <w:numPr>
          <w:ilvl w:val="0"/>
          <w:numId w:val="132"/>
        </w:numPr>
        <w:spacing w:line="276" w:lineRule="auto"/>
        <w:jc w:val="both"/>
        <w:rPr>
          <w:rFonts w:ascii="Book Antiqua" w:hAnsi="Book Antiqua"/>
        </w:rPr>
      </w:pPr>
      <w:r w:rsidRPr="00E3232D">
        <w:rPr>
          <w:rFonts w:ascii="Book Antiqua" w:hAnsi="Book Antiqua"/>
        </w:rPr>
        <w:t>Automatic operation mode</w:t>
      </w:r>
    </w:p>
    <w:p w14:paraId="60BD3C7A" w14:textId="77777777" w:rsidR="00350B24" w:rsidRPr="00E3232D" w:rsidRDefault="00350B24" w:rsidP="00EB2A77">
      <w:pPr>
        <w:pStyle w:val="NoSpacing"/>
        <w:numPr>
          <w:ilvl w:val="0"/>
          <w:numId w:val="132"/>
        </w:numPr>
        <w:spacing w:line="276" w:lineRule="auto"/>
        <w:jc w:val="both"/>
        <w:rPr>
          <w:rFonts w:ascii="Book Antiqua" w:hAnsi="Book Antiqua"/>
        </w:rPr>
      </w:pPr>
      <w:r w:rsidRPr="00E3232D">
        <w:rPr>
          <w:rFonts w:ascii="Book Antiqua" w:hAnsi="Book Antiqua"/>
        </w:rPr>
        <w:t>Semi automatic operation mode</w:t>
      </w:r>
    </w:p>
    <w:p w14:paraId="56C5FD25" w14:textId="77777777" w:rsidR="00350B24" w:rsidRPr="00E3232D" w:rsidRDefault="00350B24" w:rsidP="00EB2A77">
      <w:pPr>
        <w:pStyle w:val="NoSpacing"/>
        <w:numPr>
          <w:ilvl w:val="0"/>
          <w:numId w:val="132"/>
        </w:numPr>
        <w:spacing w:line="276" w:lineRule="auto"/>
        <w:jc w:val="both"/>
        <w:rPr>
          <w:rFonts w:ascii="Book Antiqua" w:hAnsi="Book Antiqua"/>
        </w:rPr>
      </w:pPr>
      <w:r w:rsidRPr="00E3232D">
        <w:rPr>
          <w:rFonts w:ascii="Book Antiqua" w:hAnsi="Book Antiqua"/>
        </w:rPr>
        <w:t>Manual operation mode [7]</w:t>
      </w:r>
    </w:p>
    <w:p w14:paraId="048D52B5" w14:textId="77777777" w:rsidR="00350B24" w:rsidRPr="00E3232D" w:rsidRDefault="00350B24" w:rsidP="00EB2A77">
      <w:pPr>
        <w:pStyle w:val="NoSpacing"/>
        <w:spacing w:line="276" w:lineRule="auto"/>
        <w:jc w:val="both"/>
        <w:rPr>
          <w:rFonts w:ascii="Book Antiqua" w:hAnsi="Book Antiqua"/>
        </w:rPr>
      </w:pPr>
    </w:p>
    <w:p w14:paraId="3CAA8A33"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 xml:space="preserve">2.3.2.1 Automatic </w:t>
      </w:r>
      <w:r w:rsidR="00EB2A77" w:rsidRPr="00E3232D">
        <w:rPr>
          <w:rFonts w:ascii="Book Antiqua" w:hAnsi="Book Antiqua"/>
          <w:b/>
        </w:rPr>
        <w:t>Operation Mode</w:t>
      </w:r>
    </w:p>
    <w:p w14:paraId="758492F4"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In this mode, all operations are fully automated. Upon the detection of:</w:t>
      </w:r>
    </w:p>
    <w:p w14:paraId="7A067EF7" w14:textId="77777777" w:rsidR="00350B24" w:rsidRPr="00E3232D" w:rsidRDefault="00350B24" w:rsidP="00EB2A77">
      <w:pPr>
        <w:pStyle w:val="NoSpacing"/>
        <w:numPr>
          <w:ilvl w:val="0"/>
          <w:numId w:val="133"/>
        </w:numPr>
        <w:spacing w:line="276" w:lineRule="auto"/>
        <w:jc w:val="both"/>
        <w:rPr>
          <w:rFonts w:ascii="Book Antiqua" w:hAnsi="Book Antiqua"/>
        </w:rPr>
      </w:pPr>
      <w:r w:rsidRPr="00E3232D">
        <w:rPr>
          <w:rFonts w:ascii="Book Antiqua" w:hAnsi="Book Antiqua"/>
        </w:rPr>
        <w:t>HIGH THROUGHPUT or</w:t>
      </w:r>
    </w:p>
    <w:p w14:paraId="6641D253" w14:textId="77777777" w:rsidR="00350B24" w:rsidRPr="00E3232D" w:rsidRDefault="00350B24" w:rsidP="00EB2A77">
      <w:pPr>
        <w:pStyle w:val="NoSpacing"/>
        <w:numPr>
          <w:ilvl w:val="0"/>
          <w:numId w:val="133"/>
        </w:numPr>
        <w:spacing w:line="276" w:lineRule="auto"/>
        <w:jc w:val="both"/>
        <w:rPr>
          <w:rFonts w:ascii="Book Antiqua" w:hAnsi="Book Antiqua"/>
        </w:rPr>
      </w:pPr>
      <w:r w:rsidRPr="00E3232D">
        <w:rPr>
          <w:rFonts w:ascii="Book Antiqua" w:hAnsi="Book Antiqua"/>
        </w:rPr>
        <w:t>HIGH CONDUCTIVITY,</w:t>
      </w:r>
    </w:p>
    <w:p w14:paraId="062E9917"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 xml:space="preserve">  by the PLC  when the train in service is exhausted, it will automatically be shut down for automatic regeneration while the train on standby is also put into service automatically. Once regeneration is completed the regenerated train is put on standby automatically. The cycle is repeated when the second train is exhausted [7].</w:t>
      </w:r>
    </w:p>
    <w:p w14:paraId="44B3C027" w14:textId="77777777" w:rsidR="00350B24" w:rsidRPr="00E3232D" w:rsidRDefault="00350B24" w:rsidP="00EB2A77">
      <w:pPr>
        <w:pStyle w:val="NoSpacing"/>
        <w:spacing w:line="276" w:lineRule="auto"/>
        <w:jc w:val="both"/>
        <w:rPr>
          <w:rFonts w:ascii="Book Antiqua" w:hAnsi="Book Antiqua"/>
        </w:rPr>
      </w:pPr>
    </w:p>
    <w:p w14:paraId="3EDF65DE"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2.3.2.2 Semi</w:t>
      </w:r>
      <w:r w:rsidR="00EB2A77" w:rsidRPr="00E3232D">
        <w:rPr>
          <w:rFonts w:ascii="Book Antiqua" w:hAnsi="Book Antiqua"/>
          <w:b/>
        </w:rPr>
        <w:t>-Automatic Operation Mode</w:t>
      </w:r>
    </w:p>
    <w:p w14:paraId="1B53DD5A"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Similarly, upon the detection of:</w:t>
      </w:r>
    </w:p>
    <w:p w14:paraId="7B5F8827" w14:textId="77777777" w:rsidR="00350B24" w:rsidRPr="00E3232D" w:rsidRDefault="00350B24" w:rsidP="00EB2A77">
      <w:pPr>
        <w:pStyle w:val="NoSpacing"/>
        <w:numPr>
          <w:ilvl w:val="0"/>
          <w:numId w:val="134"/>
        </w:numPr>
        <w:spacing w:line="276" w:lineRule="auto"/>
        <w:jc w:val="both"/>
        <w:rPr>
          <w:rFonts w:ascii="Book Antiqua" w:hAnsi="Book Antiqua"/>
        </w:rPr>
      </w:pPr>
      <w:r w:rsidRPr="00E3232D">
        <w:rPr>
          <w:rFonts w:ascii="Book Antiqua" w:hAnsi="Book Antiqua"/>
        </w:rPr>
        <w:t>HIGH THROUGHPUT or</w:t>
      </w:r>
    </w:p>
    <w:p w14:paraId="1AF744CB" w14:textId="77777777" w:rsidR="00350B24" w:rsidRPr="00E3232D" w:rsidRDefault="00350B24" w:rsidP="00EB2A77">
      <w:pPr>
        <w:pStyle w:val="NoSpacing"/>
        <w:numPr>
          <w:ilvl w:val="0"/>
          <w:numId w:val="134"/>
        </w:numPr>
        <w:spacing w:line="276" w:lineRule="auto"/>
        <w:jc w:val="both"/>
        <w:rPr>
          <w:rFonts w:ascii="Book Antiqua" w:hAnsi="Book Antiqua"/>
        </w:rPr>
      </w:pPr>
      <w:r w:rsidRPr="00E3232D">
        <w:rPr>
          <w:rFonts w:ascii="Book Antiqua" w:hAnsi="Book Antiqua"/>
        </w:rPr>
        <w:t>HIGH CONDUCTIVITY,</w:t>
      </w:r>
    </w:p>
    <w:p w14:paraId="1B16E6B5"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 xml:space="preserve">  by the PLC when the train in service is exhausted, it will automatically be shut down.  However it requires an operator’s intervention to put the standby train into service and initiate automatic regeneration of the exhausted plant. Once regeneration is completed the regenerated train is put on standby automatically. The cycle is repeated when the second train is exhausted [9].</w:t>
      </w:r>
    </w:p>
    <w:p w14:paraId="589D61C1" w14:textId="77777777" w:rsidR="00350B24" w:rsidRPr="00E3232D" w:rsidRDefault="00350B24" w:rsidP="008275E1">
      <w:pPr>
        <w:pStyle w:val="NoSpacing"/>
        <w:spacing w:line="276" w:lineRule="auto"/>
        <w:rPr>
          <w:rFonts w:ascii="Book Antiqua" w:hAnsi="Book Antiqua"/>
        </w:rPr>
      </w:pPr>
    </w:p>
    <w:p w14:paraId="28BC0534"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2.3.2.3 Manual operation mode</w:t>
      </w:r>
    </w:p>
    <w:p w14:paraId="5020586F"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 xml:space="preserve">In this mode, all operations are fully manual through the manipulation of solenoid overrides and pnuematic switches. The duration of the various stages of regeneration is at the discretion of the water treatment plant operator [8].  </w:t>
      </w:r>
    </w:p>
    <w:p w14:paraId="03ED6B2D" w14:textId="77777777" w:rsidR="00350B24" w:rsidRPr="00E3232D" w:rsidRDefault="00350B24" w:rsidP="00EB2A77">
      <w:pPr>
        <w:pStyle w:val="NoSpacing"/>
        <w:spacing w:line="276" w:lineRule="auto"/>
        <w:jc w:val="both"/>
        <w:rPr>
          <w:rFonts w:ascii="Book Antiqua" w:hAnsi="Book Antiqua"/>
        </w:rPr>
      </w:pPr>
    </w:p>
    <w:p w14:paraId="46355073" w14:textId="77777777" w:rsidR="00350B24" w:rsidRPr="00374633" w:rsidRDefault="00350B24" w:rsidP="00EB2A77">
      <w:pPr>
        <w:pStyle w:val="NoSpacing"/>
        <w:spacing w:line="276" w:lineRule="auto"/>
        <w:jc w:val="both"/>
        <w:rPr>
          <w:rFonts w:ascii="Book Antiqua" w:hAnsi="Book Antiqua"/>
          <w:b/>
          <w:sz w:val="26"/>
          <w:szCs w:val="26"/>
        </w:rPr>
      </w:pPr>
      <w:r w:rsidRPr="00374633">
        <w:rPr>
          <w:rFonts w:ascii="Book Antiqua" w:hAnsi="Book Antiqua"/>
          <w:b/>
          <w:sz w:val="26"/>
          <w:szCs w:val="26"/>
        </w:rPr>
        <w:t>2.3.3 Demineralised water quality</w:t>
      </w:r>
    </w:p>
    <w:p w14:paraId="065C20FA"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Anderson Water Systems guarantees that if the trains are operated according to the manufacturer’s instructions then the quality of the demineralised water produced must be within the limits stated below:</w:t>
      </w:r>
    </w:p>
    <w:p w14:paraId="1769B817" w14:textId="77777777" w:rsidR="00350B24" w:rsidRPr="00E3232D" w:rsidRDefault="00350B24" w:rsidP="00EB2A77">
      <w:pPr>
        <w:pStyle w:val="NoSpacing"/>
        <w:spacing w:line="276" w:lineRule="auto"/>
        <w:jc w:val="both"/>
        <w:rPr>
          <w:rFonts w:ascii="Book Antiqua" w:hAnsi="Book Antiqua"/>
          <w:b/>
        </w:rPr>
        <w:sectPr w:rsidR="00350B24" w:rsidRPr="00E3232D" w:rsidSect="008F6BC9">
          <w:type w:val="continuous"/>
          <w:pgSz w:w="11907" w:h="16839" w:code="9"/>
          <w:pgMar w:top="1440" w:right="1440" w:bottom="1440" w:left="1440" w:header="720" w:footer="720" w:gutter="0"/>
          <w:cols w:num="2" w:space="720"/>
          <w:docGrid w:linePitch="360"/>
        </w:sectPr>
      </w:pPr>
    </w:p>
    <w:p w14:paraId="4DC816B5" w14:textId="77777777" w:rsidR="00350B24" w:rsidRPr="00E3232D" w:rsidRDefault="00350B24" w:rsidP="00EB2A77">
      <w:pPr>
        <w:pStyle w:val="NoSpacing"/>
        <w:spacing w:line="276" w:lineRule="auto"/>
        <w:jc w:val="both"/>
        <w:rPr>
          <w:rFonts w:ascii="Book Antiqua" w:hAnsi="Book Antiqua"/>
          <w:b/>
        </w:rPr>
      </w:pPr>
    </w:p>
    <w:p w14:paraId="101BFB1E"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Hardness, ppm CaCO</w:t>
      </w:r>
      <w:r w:rsidRPr="00E3232D">
        <w:rPr>
          <w:rFonts w:ascii="Book Antiqua" w:hAnsi="Book Antiqua"/>
          <w:b/>
          <w:vertAlign w:val="subscript"/>
        </w:rPr>
        <w:t>3</w:t>
      </w:r>
      <w:r w:rsidRPr="00E3232D">
        <w:rPr>
          <w:rFonts w:ascii="Book Antiqua" w:hAnsi="Book Antiqua"/>
          <w:b/>
        </w:rPr>
        <w:t xml:space="preserve">                 &lt; 0.1</w:t>
      </w:r>
    </w:p>
    <w:p w14:paraId="1C7D6DD1"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Alkalinity, ppm CaCO</w:t>
      </w:r>
      <w:r w:rsidRPr="00E3232D">
        <w:rPr>
          <w:rFonts w:ascii="Book Antiqua" w:hAnsi="Book Antiqua"/>
          <w:b/>
          <w:vertAlign w:val="subscript"/>
        </w:rPr>
        <w:t>3</w:t>
      </w:r>
      <w:r w:rsidRPr="00E3232D">
        <w:rPr>
          <w:rFonts w:ascii="Book Antiqua" w:hAnsi="Book Antiqua"/>
          <w:b/>
        </w:rPr>
        <w:t xml:space="preserve">                &lt; 6</w:t>
      </w:r>
    </w:p>
    <w:p w14:paraId="12EA9C15"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pH (approx.)                            7.5 – 8.5</w:t>
      </w:r>
    </w:p>
    <w:p w14:paraId="4D728B19"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Silica, ppm SiO</w:t>
      </w:r>
      <w:r w:rsidRPr="00E3232D">
        <w:rPr>
          <w:rFonts w:ascii="Book Antiqua" w:hAnsi="Book Antiqua"/>
          <w:b/>
          <w:vertAlign w:val="subscript"/>
        </w:rPr>
        <w:t>2</w:t>
      </w:r>
      <w:r w:rsidRPr="00E3232D">
        <w:rPr>
          <w:rFonts w:ascii="Book Antiqua" w:hAnsi="Book Antiqua"/>
          <w:b/>
        </w:rPr>
        <w:t xml:space="preserve">                            &lt; 0.2</w:t>
      </w:r>
    </w:p>
    <w:p w14:paraId="3E4F2423"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Conductivity (µScm</w:t>
      </w:r>
      <w:r w:rsidRPr="00E3232D">
        <w:rPr>
          <w:rFonts w:ascii="Book Antiqua" w:hAnsi="Book Antiqua"/>
          <w:b/>
          <w:vertAlign w:val="superscript"/>
        </w:rPr>
        <w:t>-1</w:t>
      </w:r>
      <w:r w:rsidRPr="00E3232D">
        <w:rPr>
          <w:rFonts w:ascii="Book Antiqua" w:hAnsi="Book Antiqua"/>
          <w:b/>
        </w:rPr>
        <w:t>)                  &lt; 10</w:t>
      </w:r>
    </w:p>
    <w:p w14:paraId="7D2A1553"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Total suspended solids, ppm       &lt; 0.1 [9]</w:t>
      </w:r>
    </w:p>
    <w:p w14:paraId="5280FD59" w14:textId="77777777" w:rsidR="00350B24" w:rsidRPr="00E3232D" w:rsidRDefault="00350B24" w:rsidP="00EB2A77">
      <w:pPr>
        <w:pStyle w:val="NoSpacing"/>
        <w:spacing w:line="276" w:lineRule="auto"/>
        <w:jc w:val="both"/>
        <w:rPr>
          <w:rFonts w:ascii="Book Antiqua" w:hAnsi="Book Antiqua"/>
          <w:b/>
        </w:rPr>
      </w:pPr>
    </w:p>
    <w:p w14:paraId="39842443" w14:textId="77777777" w:rsidR="00350B24" w:rsidRPr="00E3232D" w:rsidRDefault="00350B24" w:rsidP="00EB2A77">
      <w:pPr>
        <w:pStyle w:val="NoSpacing"/>
        <w:spacing w:line="276" w:lineRule="auto"/>
        <w:jc w:val="both"/>
        <w:rPr>
          <w:rFonts w:ascii="Book Antiqua" w:hAnsi="Book Antiqua"/>
          <w:b/>
        </w:rPr>
        <w:sectPr w:rsidR="00350B24" w:rsidRPr="00E3232D" w:rsidSect="008F6BC9">
          <w:type w:val="continuous"/>
          <w:pgSz w:w="11907" w:h="16839" w:code="9"/>
          <w:pgMar w:top="1440" w:right="1440" w:bottom="1440" w:left="1440" w:header="720" w:footer="720" w:gutter="0"/>
          <w:cols w:num="2" w:space="720"/>
          <w:docGrid w:linePitch="360"/>
        </w:sectPr>
      </w:pPr>
    </w:p>
    <w:p w14:paraId="1D6FEB85" w14:textId="77777777" w:rsidR="00350B24" w:rsidRPr="00E3232D" w:rsidRDefault="00350B24" w:rsidP="00EB2A77">
      <w:pPr>
        <w:pStyle w:val="NoSpacing"/>
        <w:spacing w:line="276" w:lineRule="auto"/>
        <w:jc w:val="both"/>
        <w:rPr>
          <w:rFonts w:ascii="Book Antiqua" w:hAnsi="Book Antiqua"/>
          <w:b/>
        </w:rPr>
      </w:pPr>
      <w:r w:rsidRPr="00E3232D">
        <w:rPr>
          <w:rFonts w:ascii="Book Antiqua" w:hAnsi="Book Antiqua"/>
          <w:b/>
        </w:rPr>
        <w:t>2.3.4</w:t>
      </w:r>
      <w:r w:rsidRPr="00E3232D">
        <w:rPr>
          <w:rFonts w:ascii="Book Antiqua" w:hAnsi="Book Antiqua"/>
        </w:rPr>
        <w:t xml:space="preserve"> </w:t>
      </w:r>
      <w:r w:rsidRPr="00E3232D">
        <w:rPr>
          <w:rFonts w:ascii="Book Antiqua" w:hAnsi="Book Antiqua"/>
          <w:b/>
        </w:rPr>
        <w:t>Regeneration of 42-WTP-3</w:t>
      </w:r>
    </w:p>
    <w:p w14:paraId="69AB043D"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This involves the following stages:</w:t>
      </w:r>
    </w:p>
    <w:p w14:paraId="60CE7778" w14:textId="77777777" w:rsidR="00350B24" w:rsidRPr="00E3232D" w:rsidRDefault="00350B24" w:rsidP="00EB2A77">
      <w:pPr>
        <w:pStyle w:val="NoSpacing"/>
        <w:numPr>
          <w:ilvl w:val="0"/>
          <w:numId w:val="141"/>
        </w:numPr>
        <w:spacing w:line="276" w:lineRule="auto"/>
        <w:jc w:val="both"/>
        <w:rPr>
          <w:rFonts w:ascii="Book Antiqua" w:hAnsi="Book Antiqua"/>
        </w:rPr>
      </w:pPr>
      <w:r w:rsidRPr="00E3232D">
        <w:rPr>
          <w:rFonts w:ascii="Book Antiqua" w:hAnsi="Book Antiqua"/>
          <w:b/>
        </w:rPr>
        <w:t>Cationic vessel</w:t>
      </w:r>
    </w:p>
    <w:p w14:paraId="6BCA123B" w14:textId="77777777" w:rsidR="00350B24" w:rsidRPr="00E3232D" w:rsidRDefault="00350B24" w:rsidP="00EB2A77">
      <w:pPr>
        <w:pStyle w:val="NoSpacing"/>
        <w:numPr>
          <w:ilvl w:val="1"/>
          <w:numId w:val="141"/>
        </w:numPr>
        <w:spacing w:line="276" w:lineRule="auto"/>
        <w:jc w:val="both"/>
        <w:rPr>
          <w:rFonts w:ascii="Book Antiqua" w:hAnsi="Book Antiqua"/>
        </w:rPr>
      </w:pPr>
      <w:r w:rsidRPr="00E3232D">
        <w:rPr>
          <w:rFonts w:ascii="Book Antiqua" w:hAnsi="Book Antiqua"/>
        </w:rPr>
        <w:t>Sub-surface wash (5 minutes)</w:t>
      </w:r>
    </w:p>
    <w:p w14:paraId="422A40E4" w14:textId="77777777" w:rsidR="00350B24" w:rsidRPr="00E3232D" w:rsidRDefault="00350B24" w:rsidP="00EB2A77">
      <w:pPr>
        <w:pStyle w:val="NoSpacing"/>
        <w:numPr>
          <w:ilvl w:val="1"/>
          <w:numId w:val="141"/>
        </w:numPr>
        <w:spacing w:line="276" w:lineRule="auto"/>
        <w:jc w:val="both"/>
        <w:rPr>
          <w:rFonts w:ascii="Book Antiqua" w:hAnsi="Book Antiqua"/>
        </w:rPr>
      </w:pPr>
      <w:r w:rsidRPr="00E3232D">
        <w:rPr>
          <w:rFonts w:ascii="Book Antiqua" w:hAnsi="Book Antiqua"/>
        </w:rPr>
        <w:t xml:space="preserve">Acid injection (52 minutes, concurrent with soda injection)  </w:t>
      </w:r>
    </w:p>
    <w:p w14:paraId="6A08548D" w14:textId="77777777" w:rsidR="00350B24" w:rsidRPr="00E3232D" w:rsidRDefault="00350B24" w:rsidP="00EB2A77">
      <w:pPr>
        <w:pStyle w:val="NoSpacing"/>
        <w:spacing w:line="276" w:lineRule="auto"/>
        <w:ind w:left="1440"/>
        <w:jc w:val="both"/>
        <w:rPr>
          <w:rFonts w:ascii="Book Antiqua" w:hAnsi="Book Antiqua"/>
        </w:rPr>
      </w:pPr>
      <w:r w:rsidRPr="00E3232D">
        <w:rPr>
          <w:rFonts w:ascii="Book Antiqua" w:hAnsi="Book Antiqua"/>
        </w:rPr>
        <w:t>Concentration: 98 % H</w:t>
      </w:r>
      <w:r w:rsidRPr="00E3232D">
        <w:rPr>
          <w:rFonts w:ascii="Book Antiqua" w:hAnsi="Book Antiqua"/>
          <w:vertAlign w:val="subscript"/>
        </w:rPr>
        <w:t>2</w:t>
      </w:r>
      <w:r w:rsidRPr="00E3232D">
        <w:rPr>
          <w:rFonts w:ascii="Book Antiqua" w:hAnsi="Book Antiqua"/>
        </w:rPr>
        <w:t>SO</w:t>
      </w:r>
      <w:r w:rsidRPr="00E3232D">
        <w:rPr>
          <w:rFonts w:ascii="Book Antiqua" w:hAnsi="Book Antiqua"/>
          <w:vertAlign w:val="subscript"/>
        </w:rPr>
        <w:t>4</w:t>
      </w:r>
      <w:r w:rsidRPr="00E3232D">
        <w:rPr>
          <w:rFonts w:ascii="Book Antiqua" w:hAnsi="Book Antiqua"/>
        </w:rPr>
        <w:t xml:space="preserve"> </w:t>
      </w:r>
    </w:p>
    <w:p w14:paraId="5CA08A60" w14:textId="77777777" w:rsidR="00350B24" w:rsidRPr="00E3232D" w:rsidRDefault="00350B24" w:rsidP="00EB2A77">
      <w:pPr>
        <w:pStyle w:val="NoSpacing"/>
        <w:spacing w:line="276" w:lineRule="auto"/>
        <w:ind w:left="1440"/>
        <w:jc w:val="both"/>
        <w:rPr>
          <w:rFonts w:ascii="Book Antiqua" w:hAnsi="Book Antiqua"/>
        </w:rPr>
      </w:pPr>
      <w:r w:rsidRPr="00E3232D">
        <w:rPr>
          <w:rFonts w:ascii="Book Antiqua" w:hAnsi="Book Antiqua"/>
        </w:rPr>
        <w:t>Quantity: 126 litres</w:t>
      </w:r>
    </w:p>
    <w:p w14:paraId="15E966F6" w14:textId="77777777" w:rsidR="00350B24" w:rsidRPr="00E3232D" w:rsidRDefault="00350B24" w:rsidP="00EB2A77">
      <w:pPr>
        <w:pStyle w:val="NoSpacing"/>
        <w:spacing w:line="276" w:lineRule="auto"/>
        <w:ind w:left="1440"/>
        <w:jc w:val="both"/>
        <w:rPr>
          <w:rFonts w:ascii="Book Antiqua" w:hAnsi="Book Antiqua"/>
        </w:rPr>
      </w:pPr>
      <w:r w:rsidRPr="00E3232D">
        <w:rPr>
          <w:rFonts w:ascii="Book Antiqua" w:hAnsi="Book Antiqua"/>
        </w:rPr>
        <w:t>Dilution: 98 % H</w:t>
      </w:r>
      <w:r w:rsidRPr="00E3232D">
        <w:rPr>
          <w:rFonts w:ascii="Book Antiqua" w:hAnsi="Book Antiqua"/>
          <w:vertAlign w:val="subscript"/>
        </w:rPr>
        <w:t>2</w:t>
      </w:r>
      <w:r w:rsidRPr="00E3232D">
        <w:rPr>
          <w:rFonts w:ascii="Book Antiqua" w:hAnsi="Book Antiqua"/>
        </w:rPr>
        <w:t>SO</w:t>
      </w:r>
      <w:r w:rsidRPr="00E3232D">
        <w:rPr>
          <w:rFonts w:ascii="Book Antiqua" w:hAnsi="Book Antiqua"/>
          <w:vertAlign w:val="subscript"/>
        </w:rPr>
        <w:t xml:space="preserve">4 </w:t>
      </w:r>
      <w:r w:rsidRPr="00E3232D">
        <w:rPr>
          <w:rFonts w:ascii="Book Antiqua" w:hAnsi="Book Antiqua"/>
        </w:rPr>
        <w:t>at a flow rate of 145 lhr</w:t>
      </w:r>
      <w:r w:rsidRPr="00E3232D">
        <w:rPr>
          <w:rFonts w:ascii="Book Antiqua" w:hAnsi="Book Antiqua"/>
          <w:vertAlign w:val="superscript"/>
        </w:rPr>
        <w:t>-1</w:t>
      </w:r>
      <w:r w:rsidRPr="00E3232D">
        <w:rPr>
          <w:rFonts w:ascii="Book Antiqua" w:hAnsi="Book Antiqua"/>
        </w:rPr>
        <w:t xml:space="preserve"> with demineralised water at a flow rate of 10.2 m</w:t>
      </w:r>
      <w:r w:rsidRPr="00E3232D">
        <w:rPr>
          <w:rFonts w:ascii="Book Antiqua" w:hAnsi="Book Antiqua"/>
          <w:vertAlign w:val="superscript"/>
        </w:rPr>
        <w:t>3</w:t>
      </w:r>
      <w:r w:rsidRPr="00E3232D">
        <w:rPr>
          <w:rFonts w:ascii="Book Antiqua" w:hAnsi="Book Antiqua"/>
        </w:rPr>
        <w:t>hr</w:t>
      </w:r>
      <w:r w:rsidRPr="00E3232D">
        <w:rPr>
          <w:rFonts w:ascii="Book Antiqua" w:hAnsi="Book Antiqua"/>
          <w:vertAlign w:val="superscript"/>
        </w:rPr>
        <w:t>-1</w:t>
      </w:r>
      <w:r w:rsidRPr="00E3232D">
        <w:rPr>
          <w:rFonts w:ascii="Book Antiqua" w:hAnsi="Book Antiqua"/>
        </w:rPr>
        <w:t xml:space="preserve"> to achieve 2.5 % H</w:t>
      </w:r>
      <w:r w:rsidRPr="00E3232D">
        <w:rPr>
          <w:rFonts w:ascii="Book Antiqua" w:hAnsi="Book Antiqua"/>
          <w:vertAlign w:val="subscript"/>
        </w:rPr>
        <w:t>2</w:t>
      </w:r>
      <w:r w:rsidRPr="00E3232D">
        <w:rPr>
          <w:rFonts w:ascii="Book Antiqua" w:hAnsi="Book Antiqua"/>
        </w:rPr>
        <w:t>SO</w:t>
      </w:r>
      <w:r w:rsidRPr="00E3232D">
        <w:rPr>
          <w:rFonts w:ascii="Book Antiqua" w:hAnsi="Book Antiqua"/>
          <w:vertAlign w:val="subscript"/>
        </w:rPr>
        <w:t>4</w:t>
      </w:r>
      <w:r w:rsidRPr="00E3232D">
        <w:rPr>
          <w:rFonts w:ascii="Book Antiqua" w:hAnsi="Book Antiqua"/>
        </w:rPr>
        <w:t xml:space="preserve"> before injection into the cationic vessel at 10.3 m</w:t>
      </w:r>
      <w:r w:rsidRPr="00E3232D">
        <w:rPr>
          <w:rFonts w:ascii="Book Antiqua" w:hAnsi="Book Antiqua"/>
          <w:vertAlign w:val="superscript"/>
        </w:rPr>
        <w:t>3</w:t>
      </w:r>
      <w:r w:rsidRPr="00E3232D">
        <w:rPr>
          <w:rFonts w:ascii="Book Antiqua" w:hAnsi="Book Antiqua"/>
        </w:rPr>
        <w:t>hr</w:t>
      </w:r>
      <w:r w:rsidRPr="00E3232D">
        <w:rPr>
          <w:rFonts w:ascii="Book Antiqua" w:hAnsi="Book Antiqua"/>
          <w:vertAlign w:val="superscript"/>
        </w:rPr>
        <w:t>-1</w:t>
      </w:r>
      <w:r w:rsidRPr="00E3232D">
        <w:rPr>
          <w:rFonts w:ascii="Book Antiqua" w:hAnsi="Book Antiqua"/>
        </w:rPr>
        <w:t>.</w:t>
      </w:r>
    </w:p>
    <w:p w14:paraId="361F95ED" w14:textId="77777777" w:rsidR="00350B24" w:rsidRPr="00E3232D" w:rsidRDefault="00350B24" w:rsidP="00EB2A77">
      <w:pPr>
        <w:pStyle w:val="NoSpacing"/>
        <w:numPr>
          <w:ilvl w:val="1"/>
          <w:numId w:val="141"/>
        </w:numPr>
        <w:spacing w:line="276" w:lineRule="auto"/>
        <w:jc w:val="both"/>
        <w:rPr>
          <w:rFonts w:ascii="Book Antiqua" w:hAnsi="Book Antiqua"/>
        </w:rPr>
      </w:pPr>
      <w:r w:rsidRPr="00E3232D">
        <w:rPr>
          <w:rFonts w:ascii="Book Antiqua" w:hAnsi="Book Antiqua"/>
        </w:rPr>
        <w:t>Displacement (28 minutes)</w:t>
      </w:r>
    </w:p>
    <w:p w14:paraId="74C78587" w14:textId="77777777" w:rsidR="00350B24" w:rsidRPr="00E3232D" w:rsidRDefault="00350B24" w:rsidP="00EB2A77">
      <w:pPr>
        <w:pStyle w:val="NoSpacing"/>
        <w:numPr>
          <w:ilvl w:val="1"/>
          <w:numId w:val="141"/>
        </w:numPr>
        <w:spacing w:line="276" w:lineRule="auto"/>
        <w:jc w:val="both"/>
        <w:rPr>
          <w:rFonts w:ascii="Book Antiqua" w:hAnsi="Book Antiqua"/>
        </w:rPr>
      </w:pPr>
      <w:r w:rsidRPr="00E3232D">
        <w:rPr>
          <w:rFonts w:ascii="Book Antiqua" w:hAnsi="Book Antiqua"/>
        </w:rPr>
        <w:t>Fast rinse (25 minutes).</w:t>
      </w:r>
    </w:p>
    <w:p w14:paraId="255A837B" w14:textId="77777777" w:rsidR="00350B24" w:rsidRPr="00E3232D" w:rsidRDefault="00350B24" w:rsidP="00EB2A77">
      <w:pPr>
        <w:pStyle w:val="NoSpacing"/>
        <w:spacing w:line="276" w:lineRule="auto"/>
        <w:jc w:val="both"/>
        <w:rPr>
          <w:rFonts w:ascii="Book Antiqua" w:hAnsi="Book Antiqua"/>
        </w:rPr>
      </w:pPr>
      <w:r w:rsidRPr="00E3232D">
        <w:rPr>
          <w:rFonts w:ascii="Book Antiqua" w:hAnsi="Book Antiqua"/>
        </w:rPr>
        <w:t>Anderson Water Systems recommends that the times and flow rates could be adjusted to suit operational experience to achieve maximum efficiency [10].</w:t>
      </w:r>
    </w:p>
    <w:p w14:paraId="1C72CDD8" w14:textId="77777777" w:rsidR="00350B24" w:rsidRPr="00E3232D" w:rsidRDefault="00350B24" w:rsidP="00EB2A77">
      <w:pPr>
        <w:pStyle w:val="NoSpacing"/>
        <w:spacing w:line="276" w:lineRule="auto"/>
        <w:jc w:val="both"/>
        <w:rPr>
          <w:rFonts w:ascii="Book Antiqua" w:hAnsi="Book Antiqua"/>
        </w:rPr>
      </w:pPr>
    </w:p>
    <w:p w14:paraId="7B4F87DE" w14:textId="77777777" w:rsidR="00350B24" w:rsidRPr="00E3232D" w:rsidRDefault="00350B24" w:rsidP="00EB2A77">
      <w:pPr>
        <w:pStyle w:val="NoSpacing"/>
        <w:numPr>
          <w:ilvl w:val="0"/>
          <w:numId w:val="141"/>
        </w:numPr>
        <w:spacing w:line="276" w:lineRule="auto"/>
        <w:jc w:val="both"/>
        <w:rPr>
          <w:rFonts w:ascii="Book Antiqua" w:hAnsi="Book Antiqua"/>
        </w:rPr>
      </w:pPr>
      <w:r w:rsidRPr="00E3232D">
        <w:rPr>
          <w:rFonts w:ascii="Book Antiqua" w:hAnsi="Book Antiqua"/>
          <w:b/>
        </w:rPr>
        <w:t>Anionic vessel</w:t>
      </w:r>
    </w:p>
    <w:p w14:paraId="351C5CE4" w14:textId="77777777" w:rsidR="00350B24" w:rsidRPr="00E3232D" w:rsidRDefault="00350B24" w:rsidP="00EB2A77">
      <w:pPr>
        <w:pStyle w:val="NoSpacing"/>
        <w:numPr>
          <w:ilvl w:val="1"/>
          <w:numId w:val="141"/>
        </w:numPr>
        <w:spacing w:line="276" w:lineRule="auto"/>
        <w:jc w:val="both"/>
        <w:rPr>
          <w:rFonts w:ascii="Book Antiqua" w:hAnsi="Book Antiqua"/>
        </w:rPr>
      </w:pPr>
      <w:r w:rsidRPr="00E3232D">
        <w:rPr>
          <w:rFonts w:ascii="Book Antiqua" w:hAnsi="Book Antiqua"/>
        </w:rPr>
        <w:t>Sub-surface wash (5 minutes)</w:t>
      </w:r>
    </w:p>
    <w:p w14:paraId="1C245971" w14:textId="77777777" w:rsidR="00350B24" w:rsidRPr="00E3232D" w:rsidRDefault="00350B24" w:rsidP="00EB2A77">
      <w:pPr>
        <w:pStyle w:val="NoSpacing"/>
        <w:numPr>
          <w:ilvl w:val="1"/>
          <w:numId w:val="141"/>
        </w:numPr>
        <w:spacing w:line="276" w:lineRule="auto"/>
        <w:jc w:val="both"/>
        <w:rPr>
          <w:rFonts w:ascii="Book Antiqua" w:hAnsi="Book Antiqua"/>
        </w:rPr>
      </w:pPr>
      <w:r w:rsidRPr="00E3232D">
        <w:rPr>
          <w:rFonts w:ascii="Book Antiqua" w:hAnsi="Book Antiqua"/>
        </w:rPr>
        <w:t>Soda injection (40 minutes, concurrent with acid injection)</w:t>
      </w:r>
    </w:p>
    <w:p w14:paraId="398809E2" w14:textId="77777777" w:rsidR="00350B24" w:rsidRPr="00E3232D" w:rsidRDefault="00350B24" w:rsidP="00EB2A77">
      <w:pPr>
        <w:pStyle w:val="NoSpacing"/>
        <w:spacing w:line="276" w:lineRule="auto"/>
        <w:ind w:left="1440"/>
        <w:jc w:val="both"/>
        <w:rPr>
          <w:rFonts w:ascii="Book Antiqua" w:hAnsi="Book Antiqua"/>
        </w:rPr>
      </w:pPr>
      <w:r w:rsidRPr="00E3232D">
        <w:rPr>
          <w:rFonts w:ascii="Book Antiqua" w:hAnsi="Book Antiqua"/>
        </w:rPr>
        <w:t>Concentration: 50 % NaOH</w:t>
      </w:r>
    </w:p>
    <w:p w14:paraId="32F00808" w14:textId="77777777" w:rsidR="005C1D1B" w:rsidRDefault="005C1D1B" w:rsidP="00EB2A77">
      <w:pPr>
        <w:pStyle w:val="NoSpacing"/>
        <w:spacing w:line="276" w:lineRule="auto"/>
        <w:ind w:left="1440"/>
        <w:jc w:val="both"/>
        <w:rPr>
          <w:rFonts w:ascii="Book Antiqua" w:hAnsi="Book Antiqua"/>
        </w:rPr>
        <w:sectPr w:rsidR="005C1D1B" w:rsidSect="008F6BC9">
          <w:type w:val="continuous"/>
          <w:pgSz w:w="11907" w:h="16839" w:code="9"/>
          <w:pgMar w:top="1440" w:right="1440" w:bottom="1440" w:left="1440" w:header="720" w:footer="720" w:gutter="0"/>
          <w:cols w:num="2" w:space="720"/>
          <w:docGrid w:linePitch="360"/>
        </w:sectPr>
      </w:pPr>
    </w:p>
    <w:p w14:paraId="3D70E815" w14:textId="77777777" w:rsidR="00350B24" w:rsidRPr="00E3232D" w:rsidRDefault="00350B24" w:rsidP="00EB2A77">
      <w:pPr>
        <w:pStyle w:val="NoSpacing"/>
        <w:spacing w:line="276" w:lineRule="auto"/>
        <w:ind w:left="1440"/>
        <w:jc w:val="both"/>
        <w:rPr>
          <w:rFonts w:ascii="Book Antiqua" w:hAnsi="Book Antiqua"/>
        </w:rPr>
      </w:pPr>
      <w:r w:rsidRPr="00E3232D">
        <w:rPr>
          <w:rFonts w:ascii="Book Antiqua" w:hAnsi="Book Antiqua"/>
        </w:rPr>
        <w:t>Quantity: 770 litres</w:t>
      </w:r>
    </w:p>
    <w:p w14:paraId="2F844AEA" w14:textId="77777777" w:rsidR="00350B24" w:rsidRPr="00E3232D" w:rsidRDefault="00350B24" w:rsidP="00EB2A77">
      <w:pPr>
        <w:pStyle w:val="NoSpacing"/>
        <w:spacing w:line="276" w:lineRule="auto"/>
        <w:ind w:left="1440"/>
        <w:jc w:val="both"/>
        <w:rPr>
          <w:rFonts w:ascii="Book Antiqua" w:hAnsi="Book Antiqua"/>
        </w:rPr>
      </w:pPr>
      <w:r w:rsidRPr="00E3232D">
        <w:rPr>
          <w:rFonts w:ascii="Book Antiqua" w:hAnsi="Book Antiqua"/>
        </w:rPr>
        <w:t>Dilution: 50 % NaOH at a flow rate of 1155 lhr</w:t>
      </w:r>
      <w:r w:rsidRPr="00E3232D">
        <w:rPr>
          <w:rFonts w:ascii="Book Antiqua" w:hAnsi="Book Antiqua"/>
          <w:vertAlign w:val="superscript"/>
        </w:rPr>
        <w:t>-1</w:t>
      </w:r>
      <w:r w:rsidRPr="00E3232D">
        <w:rPr>
          <w:rFonts w:ascii="Book Antiqua" w:hAnsi="Book Antiqua"/>
        </w:rPr>
        <w:t xml:space="preserve"> with demineralised water at a flow rate of 5.6 m</w:t>
      </w:r>
      <w:r w:rsidRPr="00E3232D">
        <w:rPr>
          <w:rFonts w:ascii="Book Antiqua" w:hAnsi="Book Antiqua"/>
          <w:vertAlign w:val="superscript"/>
        </w:rPr>
        <w:t>3</w:t>
      </w:r>
      <w:r w:rsidRPr="00E3232D">
        <w:rPr>
          <w:rFonts w:ascii="Book Antiqua" w:hAnsi="Book Antiqua"/>
        </w:rPr>
        <w:t>hr</w:t>
      </w:r>
      <w:r w:rsidRPr="00E3232D">
        <w:rPr>
          <w:rFonts w:ascii="Book Antiqua" w:hAnsi="Book Antiqua"/>
          <w:vertAlign w:val="superscript"/>
        </w:rPr>
        <w:t>-1</w:t>
      </w:r>
      <w:r w:rsidRPr="00E3232D">
        <w:rPr>
          <w:rFonts w:ascii="Book Antiqua" w:hAnsi="Book Antiqua"/>
        </w:rPr>
        <w:t xml:space="preserve"> to achieve 5 % NaOH before injection into the anionic vessel at 6.75 m</w:t>
      </w:r>
      <w:r w:rsidRPr="00E3232D">
        <w:rPr>
          <w:rFonts w:ascii="Book Antiqua" w:hAnsi="Book Antiqua"/>
          <w:vertAlign w:val="superscript"/>
        </w:rPr>
        <w:t>3</w:t>
      </w:r>
      <w:r w:rsidRPr="00E3232D">
        <w:rPr>
          <w:rFonts w:ascii="Book Antiqua" w:hAnsi="Book Antiqua"/>
        </w:rPr>
        <w:t>hr</w:t>
      </w:r>
      <w:r w:rsidRPr="00E3232D">
        <w:rPr>
          <w:rFonts w:ascii="Book Antiqua" w:hAnsi="Book Antiqua"/>
          <w:vertAlign w:val="superscript"/>
        </w:rPr>
        <w:t>-1</w:t>
      </w:r>
      <w:r w:rsidRPr="00E3232D">
        <w:rPr>
          <w:rFonts w:ascii="Book Antiqua" w:hAnsi="Book Antiqua"/>
        </w:rPr>
        <w:t xml:space="preserve"> .</w:t>
      </w:r>
    </w:p>
    <w:p w14:paraId="013AD252" w14:textId="77777777" w:rsidR="00350B24" w:rsidRPr="00E3232D" w:rsidRDefault="00350B24" w:rsidP="00EB2A77">
      <w:pPr>
        <w:pStyle w:val="NoSpacing"/>
        <w:numPr>
          <w:ilvl w:val="1"/>
          <w:numId w:val="141"/>
        </w:numPr>
        <w:spacing w:line="276" w:lineRule="auto"/>
        <w:jc w:val="both"/>
        <w:rPr>
          <w:rFonts w:ascii="Book Antiqua" w:hAnsi="Book Antiqua"/>
        </w:rPr>
      </w:pPr>
      <w:r w:rsidRPr="00E3232D">
        <w:rPr>
          <w:rFonts w:ascii="Book Antiqua" w:hAnsi="Book Antiqua"/>
        </w:rPr>
        <w:t>Displacement (40 minutes)</w:t>
      </w:r>
    </w:p>
    <w:p w14:paraId="48A34910" w14:textId="77777777" w:rsidR="00350B24" w:rsidRPr="00E3232D" w:rsidRDefault="00350B24" w:rsidP="00EB2A77">
      <w:pPr>
        <w:pStyle w:val="NoSpacing"/>
        <w:numPr>
          <w:ilvl w:val="1"/>
          <w:numId w:val="141"/>
        </w:numPr>
        <w:spacing w:line="276" w:lineRule="auto"/>
        <w:jc w:val="both"/>
        <w:rPr>
          <w:rFonts w:ascii="Book Antiqua" w:hAnsi="Book Antiqua"/>
        </w:rPr>
      </w:pPr>
      <w:r w:rsidRPr="00E3232D">
        <w:rPr>
          <w:rFonts w:ascii="Book Antiqua" w:hAnsi="Book Antiqua"/>
        </w:rPr>
        <w:t>Fast rinse (27 minutes) [11].</w:t>
      </w:r>
    </w:p>
    <w:p w14:paraId="3B36CA46" w14:textId="77777777" w:rsidR="00350B24" w:rsidRPr="00E3232D" w:rsidRDefault="00350B24" w:rsidP="00EB2A77">
      <w:pPr>
        <w:pStyle w:val="NoSpacing"/>
        <w:spacing w:line="276" w:lineRule="auto"/>
        <w:ind w:left="1440"/>
        <w:jc w:val="both"/>
        <w:rPr>
          <w:rFonts w:ascii="Book Antiqua" w:hAnsi="Book Antiqua"/>
        </w:rPr>
      </w:pPr>
    </w:p>
    <w:p w14:paraId="3FFAAE1B" w14:textId="77777777" w:rsidR="00350B24" w:rsidRDefault="00350B24" w:rsidP="00EB2A77">
      <w:pPr>
        <w:pStyle w:val="NoSpacing"/>
        <w:spacing w:line="276" w:lineRule="auto"/>
        <w:jc w:val="both"/>
        <w:rPr>
          <w:rFonts w:ascii="Book Antiqua" w:hAnsi="Book Antiqua"/>
        </w:rPr>
      </w:pPr>
      <w:r w:rsidRPr="00E3232D">
        <w:rPr>
          <w:rFonts w:ascii="Book Antiqua" w:hAnsi="Book Antiqua"/>
        </w:rPr>
        <w:t>Again Anderson Water Systems recommends that the times and flow rates could be adjusted to suit operational experience to achieve maximum efficiency [11].</w:t>
      </w:r>
    </w:p>
    <w:p w14:paraId="0EF61103" w14:textId="77777777" w:rsidR="005D0872" w:rsidRDefault="005D0872" w:rsidP="008275E1">
      <w:pPr>
        <w:pStyle w:val="NoSpacing"/>
        <w:spacing w:line="276" w:lineRule="auto"/>
        <w:rPr>
          <w:rFonts w:ascii="Book Antiqua" w:hAnsi="Book Antiqua"/>
        </w:rPr>
      </w:pPr>
    </w:p>
    <w:p w14:paraId="10F75358" w14:textId="77777777" w:rsidR="005D0872" w:rsidRDefault="005D0872" w:rsidP="008275E1">
      <w:pPr>
        <w:pStyle w:val="NoSpacing"/>
        <w:spacing w:line="276" w:lineRule="auto"/>
        <w:rPr>
          <w:rFonts w:ascii="Book Antiqua" w:hAnsi="Book Antiqua"/>
        </w:rPr>
      </w:pPr>
    </w:p>
    <w:p w14:paraId="7B4513BB" w14:textId="77777777" w:rsidR="005D0872" w:rsidRDefault="005D0872" w:rsidP="008275E1">
      <w:pPr>
        <w:pStyle w:val="NoSpacing"/>
        <w:spacing w:line="276" w:lineRule="auto"/>
        <w:rPr>
          <w:rFonts w:ascii="Book Antiqua" w:hAnsi="Book Antiqua"/>
        </w:rPr>
      </w:pPr>
    </w:p>
    <w:p w14:paraId="2412F90D" w14:textId="77777777" w:rsidR="005D0872" w:rsidRPr="00E3232D" w:rsidRDefault="005D0872" w:rsidP="008275E1">
      <w:pPr>
        <w:pStyle w:val="NoSpacing"/>
        <w:spacing w:line="276" w:lineRule="auto"/>
        <w:rPr>
          <w:rFonts w:ascii="Book Antiqua" w:hAnsi="Book Antiqua"/>
        </w:rPr>
      </w:pPr>
    </w:p>
    <w:p w14:paraId="06E934FA" w14:textId="77777777" w:rsidR="005D0872" w:rsidRDefault="005D0872" w:rsidP="00374633">
      <w:pPr>
        <w:pStyle w:val="NoSpacing"/>
        <w:spacing w:line="276" w:lineRule="auto"/>
        <w:rPr>
          <w:rFonts w:ascii="Book Antiqua" w:hAnsi="Book Antiqua"/>
          <w:b/>
          <w:bCs/>
        </w:rPr>
        <w:sectPr w:rsidR="005D0872" w:rsidSect="008F6BC9">
          <w:type w:val="continuous"/>
          <w:pgSz w:w="11907" w:h="16839" w:code="9"/>
          <w:pgMar w:top="1440" w:right="1440" w:bottom="1440" w:left="1440" w:header="720" w:footer="720" w:gutter="0"/>
          <w:cols w:num="2" w:space="720"/>
          <w:docGrid w:linePitch="360"/>
        </w:sectPr>
      </w:pPr>
    </w:p>
    <w:tbl>
      <w:tblPr>
        <w:tblpPr w:leftFromText="180" w:rightFromText="180" w:vertAnchor="text" w:horzAnchor="margin" w:tblpY="1667"/>
        <w:tblW w:w="4474" w:type="dxa"/>
        <w:tblBorders>
          <w:top w:val="single" w:sz="8" w:space="0" w:color="9BBB59"/>
          <w:bottom w:val="single" w:sz="8" w:space="0" w:color="9BBB59"/>
        </w:tblBorders>
        <w:tblLook w:val="04A0" w:firstRow="1" w:lastRow="0" w:firstColumn="1" w:lastColumn="0" w:noHBand="0" w:noVBand="1"/>
      </w:tblPr>
      <w:tblGrid>
        <w:gridCol w:w="544"/>
        <w:gridCol w:w="1339"/>
        <w:gridCol w:w="2301"/>
        <w:gridCol w:w="1995"/>
      </w:tblGrid>
      <w:tr w:rsidR="005C1D1B" w:rsidRPr="00D12E59" w14:paraId="11E2A833" w14:textId="77777777" w:rsidTr="00374633">
        <w:trPr>
          <w:trHeight w:val="85"/>
        </w:trPr>
        <w:tc>
          <w:tcPr>
            <w:tcW w:w="442" w:type="dxa"/>
            <w:tcBorders>
              <w:top w:val="single" w:sz="8" w:space="0" w:color="9BBB59"/>
              <w:left w:val="nil"/>
              <w:bottom w:val="single" w:sz="8" w:space="0" w:color="9BBB59"/>
              <w:right w:val="nil"/>
            </w:tcBorders>
          </w:tcPr>
          <w:p w14:paraId="3BA218B6" w14:textId="77777777" w:rsidR="00374633" w:rsidRDefault="00374633" w:rsidP="008D6FB2">
            <w:pPr>
              <w:pStyle w:val="NoSpacing"/>
              <w:spacing w:line="276" w:lineRule="auto"/>
              <w:rPr>
                <w:rFonts w:ascii="Book Antiqua" w:hAnsi="Book Antiqua"/>
                <w:b/>
                <w:bCs/>
                <w:color w:val="76923C"/>
                <w:sz w:val="20"/>
                <w:szCs w:val="20"/>
              </w:rPr>
            </w:pPr>
          </w:p>
          <w:p w14:paraId="549AD94E" w14:textId="77777777" w:rsidR="005C1D1B" w:rsidRPr="00D12E59" w:rsidRDefault="005C1D1B" w:rsidP="008D6FB2">
            <w:pPr>
              <w:pStyle w:val="NoSpacing"/>
              <w:spacing w:line="276" w:lineRule="auto"/>
              <w:rPr>
                <w:rFonts w:ascii="Book Antiqua" w:hAnsi="Book Antiqua"/>
                <w:b/>
                <w:bCs/>
                <w:color w:val="76923C"/>
                <w:sz w:val="20"/>
                <w:szCs w:val="20"/>
                <w:lang w:val="en-GB"/>
              </w:rPr>
            </w:pPr>
            <w:r w:rsidRPr="00D12E59">
              <w:rPr>
                <w:rFonts w:ascii="Book Antiqua" w:hAnsi="Book Antiqua"/>
                <w:b/>
                <w:bCs/>
                <w:color w:val="76923C"/>
                <w:sz w:val="20"/>
                <w:szCs w:val="20"/>
              </w:rPr>
              <w:t>No.</w:t>
            </w:r>
          </w:p>
        </w:tc>
        <w:tc>
          <w:tcPr>
            <w:tcW w:w="980" w:type="dxa"/>
            <w:tcBorders>
              <w:top w:val="single" w:sz="8" w:space="0" w:color="9BBB59"/>
              <w:left w:val="nil"/>
              <w:bottom w:val="single" w:sz="8" w:space="0" w:color="9BBB59"/>
              <w:right w:val="nil"/>
            </w:tcBorders>
          </w:tcPr>
          <w:p w14:paraId="538F6159" w14:textId="77777777" w:rsidR="00374633" w:rsidRDefault="00374633" w:rsidP="008D6FB2">
            <w:pPr>
              <w:pStyle w:val="NoSpacing"/>
              <w:spacing w:line="276" w:lineRule="auto"/>
              <w:rPr>
                <w:rFonts w:ascii="Book Antiqua" w:hAnsi="Book Antiqua"/>
                <w:b/>
                <w:bCs/>
                <w:color w:val="76923C"/>
                <w:sz w:val="20"/>
                <w:szCs w:val="20"/>
              </w:rPr>
            </w:pPr>
          </w:p>
          <w:p w14:paraId="3E966F45" w14:textId="77777777" w:rsidR="005C1D1B" w:rsidRPr="00D12E59" w:rsidRDefault="005C1D1B" w:rsidP="008D6FB2">
            <w:pPr>
              <w:pStyle w:val="NoSpacing"/>
              <w:spacing w:line="276" w:lineRule="auto"/>
              <w:rPr>
                <w:rFonts w:ascii="Book Antiqua" w:hAnsi="Book Antiqua"/>
                <w:b/>
                <w:bCs/>
                <w:color w:val="76923C"/>
                <w:sz w:val="20"/>
                <w:szCs w:val="20"/>
                <w:lang w:val="en-GB"/>
              </w:rPr>
            </w:pPr>
            <w:r w:rsidRPr="00D12E59">
              <w:rPr>
                <w:rFonts w:ascii="Book Antiqua" w:hAnsi="Book Antiqua"/>
                <w:b/>
                <w:bCs/>
                <w:color w:val="76923C"/>
                <w:sz w:val="20"/>
                <w:szCs w:val="20"/>
              </w:rPr>
              <w:t>PROBLEM</w:t>
            </w:r>
          </w:p>
        </w:tc>
        <w:tc>
          <w:tcPr>
            <w:tcW w:w="1629" w:type="dxa"/>
            <w:tcBorders>
              <w:top w:val="single" w:sz="8" w:space="0" w:color="9BBB59"/>
              <w:left w:val="nil"/>
              <w:bottom w:val="single" w:sz="8" w:space="0" w:color="9BBB59"/>
              <w:right w:val="nil"/>
            </w:tcBorders>
          </w:tcPr>
          <w:p w14:paraId="2C377F09" w14:textId="77777777" w:rsidR="00374633" w:rsidRDefault="00374633" w:rsidP="008D6FB2">
            <w:pPr>
              <w:pStyle w:val="NoSpacing"/>
              <w:spacing w:line="276" w:lineRule="auto"/>
              <w:rPr>
                <w:rFonts w:ascii="Book Antiqua" w:hAnsi="Book Antiqua"/>
                <w:b/>
                <w:bCs/>
                <w:color w:val="76923C"/>
                <w:sz w:val="20"/>
                <w:szCs w:val="20"/>
              </w:rPr>
            </w:pPr>
          </w:p>
          <w:p w14:paraId="6811555B" w14:textId="77777777" w:rsidR="005C1D1B" w:rsidRPr="00D12E59" w:rsidRDefault="005C1D1B" w:rsidP="008D6FB2">
            <w:pPr>
              <w:pStyle w:val="NoSpacing"/>
              <w:spacing w:line="276" w:lineRule="auto"/>
              <w:rPr>
                <w:rFonts w:ascii="Book Antiqua" w:hAnsi="Book Antiqua"/>
                <w:b/>
                <w:bCs/>
                <w:color w:val="76923C"/>
                <w:sz w:val="20"/>
                <w:szCs w:val="20"/>
                <w:lang w:val="en-GB"/>
              </w:rPr>
            </w:pPr>
            <w:r w:rsidRPr="00D12E59">
              <w:rPr>
                <w:rFonts w:ascii="Book Antiqua" w:hAnsi="Book Antiqua"/>
                <w:b/>
                <w:bCs/>
                <w:color w:val="76923C"/>
                <w:sz w:val="20"/>
                <w:szCs w:val="20"/>
              </w:rPr>
              <w:t>POSSIBLE CAUSE(S)</w:t>
            </w:r>
          </w:p>
        </w:tc>
        <w:tc>
          <w:tcPr>
            <w:tcW w:w="1423" w:type="dxa"/>
            <w:tcBorders>
              <w:top w:val="single" w:sz="8" w:space="0" w:color="9BBB59"/>
              <w:left w:val="nil"/>
              <w:bottom w:val="single" w:sz="8" w:space="0" w:color="9BBB59"/>
              <w:right w:val="nil"/>
            </w:tcBorders>
          </w:tcPr>
          <w:p w14:paraId="7C048322" w14:textId="77777777" w:rsidR="00374633" w:rsidRDefault="00374633" w:rsidP="008D6FB2">
            <w:pPr>
              <w:pStyle w:val="NoSpacing"/>
              <w:spacing w:line="276" w:lineRule="auto"/>
              <w:rPr>
                <w:rFonts w:ascii="Book Antiqua" w:hAnsi="Book Antiqua"/>
                <w:b/>
                <w:bCs/>
                <w:color w:val="76923C"/>
                <w:sz w:val="20"/>
                <w:szCs w:val="20"/>
              </w:rPr>
            </w:pPr>
          </w:p>
          <w:p w14:paraId="5427B1F3" w14:textId="77777777" w:rsidR="005C1D1B" w:rsidRPr="00D12E59" w:rsidRDefault="005C1D1B" w:rsidP="008D6FB2">
            <w:pPr>
              <w:pStyle w:val="NoSpacing"/>
              <w:spacing w:line="276" w:lineRule="auto"/>
              <w:rPr>
                <w:rFonts w:ascii="Book Antiqua" w:hAnsi="Book Antiqua"/>
                <w:b/>
                <w:bCs/>
                <w:color w:val="76923C"/>
                <w:sz w:val="20"/>
                <w:szCs w:val="20"/>
                <w:lang w:val="en-GB"/>
              </w:rPr>
            </w:pPr>
            <w:r w:rsidRPr="00D12E59">
              <w:rPr>
                <w:rFonts w:ascii="Book Antiqua" w:hAnsi="Book Antiqua"/>
                <w:b/>
                <w:bCs/>
                <w:color w:val="76923C"/>
                <w:sz w:val="20"/>
                <w:szCs w:val="20"/>
              </w:rPr>
              <w:t>REMEDIES</w:t>
            </w:r>
          </w:p>
        </w:tc>
      </w:tr>
      <w:tr w:rsidR="005C1D1B" w:rsidRPr="00D12E59" w14:paraId="3D2BD206" w14:textId="77777777" w:rsidTr="00374633">
        <w:trPr>
          <w:trHeight w:val="514"/>
        </w:trPr>
        <w:tc>
          <w:tcPr>
            <w:tcW w:w="442" w:type="dxa"/>
            <w:tcBorders>
              <w:left w:val="nil"/>
              <w:right w:val="nil"/>
            </w:tcBorders>
            <w:shd w:val="clear" w:color="auto" w:fill="E6EED5"/>
          </w:tcPr>
          <w:p w14:paraId="3F5B55BD" w14:textId="77777777" w:rsidR="005C1D1B" w:rsidRPr="00D12E59" w:rsidRDefault="005C1D1B" w:rsidP="008D6FB2">
            <w:pPr>
              <w:pStyle w:val="NoSpacing"/>
              <w:spacing w:line="276" w:lineRule="auto"/>
              <w:rPr>
                <w:rFonts w:ascii="Book Antiqua" w:hAnsi="Book Antiqua"/>
                <w:b/>
                <w:bCs/>
                <w:color w:val="76923C"/>
                <w:sz w:val="20"/>
                <w:szCs w:val="20"/>
                <w:lang w:val="en-GB"/>
              </w:rPr>
            </w:pPr>
            <w:r w:rsidRPr="00D12E59">
              <w:rPr>
                <w:rFonts w:ascii="Book Antiqua" w:hAnsi="Book Antiqua"/>
                <w:b/>
                <w:bCs/>
                <w:color w:val="76923C"/>
                <w:sz w:val="20"/>
                <w:szCs w:val="20"/>
              </w:rPr>
              <w:t>1</w:t>
            </w:r>
          </w:p>
        </w:tc>
        <w:tc>
          <w:tcPr>
            <w:tcW w:w="980" w:type="dxa"/>
            <w:tcBorders>
              <w:left w:val="nil"/>
              <w:right w:val="nil"/>
            </w:tcBorders>
            <w:shd w:val="clear" w:color="auto" w:fill="E6EED5"/>
          </w:tcPr>
          <w:p w14:paraId="2DF509C1" w14:textId="77777777" w:rsidR="005C1D1B" w:rsidRPr="00D12E59" w:rsidRDefault="005C1D1B" w:rsidP="008D6FB2">
            <w:pPr>
              <w:pStyle w:val="NoSpacing"/>
              <w:spacing w:line="276" w:lineRule="auto"/>
              <w:rPr>
                <w:rFonts w:ascii="Book Antiqua" w:hAnsi="Book Antiqua"/>
                <w:color w:val="76923C"/>
                <w:sz w:val="20"/>
                <w:szCs w:val="20"/>
                <w:lang w:val="en-GB"/>
              </w:rPr>
            </w:pPr>
            <w:r w:rsidRPr="00D12E59">
              <w:rPr>
                <w:rFonts w:ascii="Book Antiqua" w:hAnsi="Book Antiqua"/>
                <w:color w:val="76923C"/>
                <w:sz w:val="20"/>
                <w:szCs w:val="20"/>
              </w:rPr>
              <w:t>Change of pre-treated water composition</w:t>
            </w:r>
          </w:p>
        </w:tc>
        <w:tc>
          <w:tcPr>
            <w:tcW w:w="1629" w:type="dxa"/>
            <w:tcBorders>
              <w:left w:val="nil"/>
              <w:right w:val="nil"/>
            </w:tcBorders>
            <w:shd w:val="clear" w:color="auto" w:fill="E6EED5"/>
          </w:tcPr>
          <w:p w14:paraId="2C83FFA4" w14:textId="77777777" w:rsidR="005C1D1B" w:rsidRPr="00D12E59" w:rsidRDefault="005C1D1B" w:rsidP="00196385">
            <w:pPr>
              <w:pStyle w:val="NoSpacing"/>
              <w:numPr>
                <w:ilvl w:val="0"/>
                <w:numId w:val="135"/>
              </w:numPr>
              <w:spacing w:line="276" w:lineRule="auto"/>
              <w:rPr>
                <w:rFonts w:ascii="Book Antiqua" w:hAnsi="Book Antiqua"/>
                <w:color w:val="76923C"/>
                <w:sz w:val="20"/>
                <w:szCs w:val="20"/>
                <w:lang w:val="en-GB"/>
              </w:rPr>
            </w:pPr>
            <w:r w:rsidRPr="00D12E59">
              <w:rPr>
                <w:rFonts w:ascii="Book Antiqua" w:hAnsi="Book Antiqua"/>
                <w:color w:val="76923C"/>
                <w:sz w:val="20"/>
                <w:szCs w:val="20"/>
              </w:rPr>
              <w:t>Increase in total feedwater electrolysis.</w:t>
            </w:r>
          </w:p>
          <w:p w14:paraId="5EF2F7D7" w14:textId="77777777" w:rsidR="005C1D1B" w:rsidRPr="00D12E59" w:rsidRDefault="005C1D1B" w:rsidP="00196385">
            <w:pPr>
              <w:pStyle w:val="NoSpacing"/>
              <w:numPr>
                <w:ilvl w:val="0"/>
                <w:numId w:val="135"/>
              </w:numPr>
              <w:spacing w:line="276" w:lineRule="auto"/>
              <w:rPr>
                <w:rFonts w:ascii="Book Antiqua" w:hAnsi="Book Antiqua"/>
                <w:color w:val="76923C"/>
                <w:sz w:val="20"/>
                <w:szCs w:val="20"/>
                <w:lang w:val="en-GB"/>
              </w:rPr>
            </w:pPr>
            <w:r w:rsidRPr="00D12E59">
              <w:rPr>
                <w:rFonts w:ascii="Book Antiqua" w:hAnsi="Book Antiqua"/>
                <w:color w:val="76923C"/>
                <w:sz w:val="20"/>
                <w:szCs w:val="20"/>
              </w:rPr>
              <w:t>A substantial change in alkalinity.</w:t>
            </w:r>
          </w:p>
        </w:tc>
        <w:tc>
          <w:tcPr>
            <w:tcW w:w="1423" w:type="dxa"/>
            <w:tcBorders>
              <w:left w:val="nil"/>
              <w:right w:val="nil"/>
            </w:tcBorders>
            <w:shd w:val="clear" w:color="auto" w:fill="E6EED5"/>
          </w:tcPr>
          <w:p w14:paraId="2A1AD4F7" w14:textId="77777777" w:rsidR="005C1D1B" w:rsidRPr="00D12E59" w:rsidRDefault="005C1D1B" w:rsidP="00196385">
            <w:pPr>
              <w:pStyle w:val="NoSpacing"/>
              <w:numPr>
                <w:ilvl w:val="0"/>
                <w:numId w:val="136"/>
              </w:numPr>
              <w:spacing w:line="276" w:lineRule="auto"/>
              <w:rPr>
                <w:rFonts w:ascii="Book Antiqua" w:hAnsi="Book Antiqua"/>
                <w:color w:val="76923C"/>
                <w:sz w:val="20"/>
                <w:szCs w:val="20"/>
                <w:lang w:val="en-GB"/>
              </w:rPr>
            </w:pPr>
            <w:r w:rsidRPr="00D12E59">
              <w:rPr>
                <w:rFonts w:ascii="Book Antiqua" w:hAnsi="Book Antiqua"/>
                <w:color w:val="76923C"/>
                <w:sz w:val="20"/>
                <w:szCs w:val="20"/>
              </w:rPr>
              <w:t>Obtain new water analysis.</w:t>
            </w:r>
          </w:p>
          <w:p w14:paraId="6268C3BF" w14:textId="77777777" w:rsidR="005C1D1B" w:rsidRPr="00D12E59" w:rsidRDefault="005C1D1B" w:rsidP="008D6FB2">
            <w:pPr>
              <w:pStyle w:val="NoSpacing"/>
              <w:spacing w:line="276" w:lineRule="auto"/>
              <w:ind w:left="720"/>
              <w:rPr>
                <w:rFonts w:ascii="Book Antiqua" w:hAnsi="Book Antiqua"/>
                <w:color w:val="76923C"/>
                <w:sz w:val="20"/>
                <w:szCs w:val="20"/>
                <w:lang w:val="en-GB"/>
              </w:rPr>
            </w:pPr>
          </w:p>
          <w:p w14:paraId="682A632E" w14:textId="77777777" w:rsidR="005C1D1B" w:rsidRPr="00D12E59" w:rsidRDefault="005C1D1B" w:rsidP="00196385">
            <w:pPr>
              <w:pStyle w:val="NoSpacing"/>
              <w:numPr>
                <w:ilvl w:val="0"/>
                <w:numId w:val="136"/>
              </w:numPr>
              <w:spacing w:line="276" w:lineRule="auto"/>
              <w:rPr>
                <w:rFonts w:ascii="Book Antiqua" w:hAnsi="Book Antiqua"/>
                <w:color w:val="76923C"/>
                <w:sz w:val="20"/>
                <w:szCs w:val="20"/>
                <w:lang w:val="en-GB"/>
              </w:rPr>
            </w:pPr>
            <w:r w:rsidRPr="00D12E59">
              <w:rPr>
                <w:rFonts w:ascii="Book Antiqua" w:hAnsi="Book Antiqua"/>
                <w:color w:val="76923C"/>
                <w:sz w:val="20"/>
                <w:szCs w:val="20"/>
              </w:rPr>
              <w:t xml:space="preserve">Change meter to confirm with new capacity </w:t>
            </w:r>
          </w:p>
        </w:tc>
      </w:tr>
      <w:tr w:rsidR="005C1D1B" w:rsidRPr="00D12E59" w14:paraId="1654372F" w14:textId="77777777" w:rsidTr="00374633">
        <w:trPr>
          <w:trHeight w:val="1279"/>
        </w:trPr>
        <w:tc>
          <w:tcPr>
            <w:tcW w:w="442" w:type="dxa"/>
          </w:tcPr>
          <w:p w14:paraId="552502C0" w14:textId="77777777" w:rsidR="005C1D1B" w:rsidRPr="00D12E59" w:rsidRDefault="005C1D1B" w:rsidP="008D6FB2">
            <w:pPr>
              <w:pStyle w:val="NoSpacing"/>
              <w:spacing w:line="276" w:lineRule="auto"/>
              <w:rPr>
                <w:rFonts w:ascii="Book Antiqua" w:hAnsi="Book Antiqua"/>
                <w:b/>
                <w:bCs/>
                <w:color w:val="76923C"/>
                <w:sz w:val="20"/>
                <w:szCs w:val="20"/>
                <w:lang w:val="en-GB"/>
              </w:rPr>
            </w:pPr>
            <w:r w:rsidRPr="00D12E59">
              <w:rPr>
                <w:rFonts w:ascii="Book Antiqua" w:hAnsi="Book Antiqua"/>
                <w:b/>
                <w:bCs/>
                <w:color w:val="76923C"/>
                <w:sz w:val="20"/>
                <w:szCs w:val="20"/>
              </w:rPr>
              <w:t>2</w:t>
            </w:r>
          </w:p>
        </w:tc>
        <w:tc>
          <w:tcPr>
            <w:tcW w:w="980" w:type="dxa"/>
          </w:tcPr>
          <w:p w14:paraId="07E76009" w14:textId="77777777" w:rsidR="005C1D1B" w:rsidRPr="00D12E59" w:rsidRDefault="005C1D1B" w:rsidP="008D6FB2">
            <w:pPr>
              <w:pStyle w:val="NoSpacing"/>
              <w:spacing w:line="276" w:lineRule="auto"/>
              <w:rPr>
                <w:rFonts w:ascii="Book Antiqua" w:hAnsi="Book Antiqua"/>
                <w:color w:val="76923C"/>
                <w:sz w:val="20"/>
                <w:szCs w:val="20"/>
                <w:lang w:val="en-GB"/>
              </w:rPr>
            </w:pPr>
            <w:r w:rsidRPr="00D12E59">
              <w:rPr>
                <w:rFonts w:ascii="Book Antiqua" w:hAnsi="Book Antiqua"/>
                <w:color w:val="76923C"/>
                <w:sz w:val="20"/>
                <w:szCs w:val="20"/>
              </w:rPr>
              <w:t>Faulty regeneration</w:t>
            </w:r>
          </w:p>
        </w:tc>
        <w:tc>
          <w:tcPr>
            <w:tcW w:w="1629" w:type="dxa"/>
          </w:tcPr>
          <w:p w14:paraId="525BFC68" w14:textId="77777777" w:rsidR="005C1D1B" w:rsidRPr="00D12E59" w:rsidRDefault="005C1D1B" w:rsidP="00196385">
            <w:pPr>
              <w:pStyle w:val="NoSpacing"/>
              <w:numPr>
                <w:ilvl w:val="0"/>
                <w:numId w:val="137"/>
              </w:numPr>
              <w:spacing w:line="276" w:lineRule="auto"/>
              <w:rPr>
                <w:rFonts w:ascii="Book Antiqua" w:hAnsi="Book Antiqua"/>
                <w:color w:val="76923C"/>
                <w:sz w:val="20"/>
                <w:szCs w:val="20"/>
                <w:lang w:val="en-GB"/>
              </w:rPr>
            </w:pPr>
            <w:r w:rsidRPr="00D12E59">
              <w:rPr>
                <w:rFonts w:ascii="Book Antiqua" w:hAnsi="Book Antiqua"/>
                <w:color w:val="76923C"/>
                <w:sz w:val="20"/>
                <w:szCs w:val="20"/>
              </w:rPr>
              <w:t>Insufficient chemical dosage.</w:t>
            </w:r>
          </w:p>
          <w:p w14:paraId="2DEEF208" w14:textId="77777777" w:rsidR="005C1D1B" w:rsidRPr="00D12E59" w:rsidRDefault="005C1D1B" w:rsidP="00196385">
            <w:pPr>
              <w:pStyle w:val="NoSpacing"/>
              <w:numPr>
                <w:ilvl w:val="0"/>
                <w:numId w:val="137"/>
              </w:numPr>
              <w:spacing w:line="276" w:lineRule="auto"/>
              <w:rPr>
                <w:rFonts w:ascii="Book Antiqua" w:hAnsi="Book Antiqua"/>
                <w:color w:val="76923C"/>
                <w:sz w:val="20"/>
                <w:szCs w:val="20"/>
                <w:lang w:val="en-GB"/>
              </w:rPr>
            </w:pPr>
            <w:r w:rsidRPr="00D12E59">
              <w:rPr>
                <w:rFonts w:ascii="Book Antiqua" w:hAnsi="Book Antiqua"/>
                <w:color w:val="76923C"/>
                <w:sz w:val="20"/>
                <w:szCs w:val="20"/>
              </w:rPr>
              <w:t xml:space="preserve">Poor distribution of regenerant – faulty internal distributor. </w:t>
            </w:r>
          </w:p>
          <w:p w14:paraId="42C7E4FD" w14:textId="77777777" w:rsidR="005C1D1B" w:rsidRPr="00D12E59" w:rsidRDefault="005C1D1B" w:rsidP="00196385">
            <w:pPr>
              <w:pStyle w:val="NoSpacing"/>
              <w:numPr>
                <w:ilvl w:val="0"/>
                <w:numId w:val="137"/>
              </w:numPr>
              <w:spacing w:line="276" w:lineRule="auto"/>
              <w:rPr>
                <w:rFonts w:ascii="Book Antiqua" w:hAnsi="Book Antiqua"/>
                <w:color w:val="76923C"/>
                <w:sz w:val="20"/>
                <w:szCs w:val="20"/>
                <w:lang w:val="en-GB"/>
              </w:rPr>
            </w:pPr>
            <w:r w:rsidRPr="00D12E59">
              <w:rPr>
                <w:rFonts w:ascii="Book Antiqua" w:hAnsi="Book Antiqua"/>
                <w:color w:val="76923C"/>
                <w:sz w:val="20"/>
                <w:szCs w:val="20"/>
              </w:rPr>
              <w:t>Acid strength too high or acid rate too slow producing CaSO</w:t>
            </w:r>
            <w:r w:rsidRPr="00D12E59">
              <w:rPr>
                <w:rFonts w:ascii="Book Antiqua" w:hAnsi="Book Antiqua"/>
                <w:color w:val="76923C"/>
                <w:sz w:val="20"/>
                <w:szCs w:val="20"/>
                <w:vertAlign w:val="subscript"/>
              </w:rPr>
              <w:t>4</w:t>
            </w:r>
            <w:r w:rsidRPr="00D12E59">
              <w:rPr>
                <w:rFonts w:ascii="Book Antiqua" w:hAnsi="Book Antiqua"/>
                <w:color w:val="76923C"/>
                <w:sz w:val="20"/>
                <w:szCs w:val="20"/>
              </w:rPr>
              <w:t xml:space="preserve"> precipitate bed packing.</w:t>
            </w:r>
          </w:p>
        </w:tc>
        <w:tc>
          <w:tcPr>
            <w:tcW w:w="1423" w:type="dxa"/>
          </w:tcPr>
          <w:p w14:paraId="09A88DB6" w14:textId="77777777" w:rsidR="005C1D1B" w:rsidRPr="00D12E59" w:rsidRDefault="005C1D1B" w:rsidP="00196385">
            <w:pPr>
              <w:pStyle w:val="NoSpacing"/>
              <w:numPr>
                <w:ilvl w:val="0"/>
                <w:numId w:val="138"/>
              </w:numPr>
              <w:spacing w:line="276" w:lineRule="auto"/>
              <w:rPr>
                <w:rFonts w:ascii="Book Antiqua" w:hAnsi="Book Antiqua"/>
                <w:color w:val="76923C"/>
                <w:sz w:val="20"/>
                <w:szCs w:val="20"/>
                <w:lang w:val="en-GB"/>
              </w:rPr>
            </w:pPr>
            <w:r w:rsidRPr="00D12E59">
              <w:rPr>
                <w:rFonts w:ascii="Book Antiqua" w:hAnsi="Book Antiqua"/>
                <w:color w:val="76923C"/>
                <w:sz w:val="20"/>
                <w:szCs w:val="20"/>
              </w:rPr>
              <w:t>Review chemical regeneration procedure and follow carefully.</w:t>
            </w:r>
          </w:p>
          <w:p w14:paraId="225143C1" w14:textId="77777777" w:rsidR="005C1D1B" w:rsidRPr="00D12E59" w:rsidRDefault="005C1D1B" w:rsidP="00196385">
            <w:pPr>
              <w:pStyle w:val="NoSpacing"/>
              <w:numPr>
                <w:ilvl w:val="0"/>
                <w:numId w:val="138"/>
              </w:numPr>
              <w:spacing w:line="276" w:lineRule="auto"/>
              <w:rPr>
                <w:rFonts w:ascii="Book Antiqua" w:hAnsi="Book Antiqua"/>
                <w:color w:val="76923C"/>
                <w:sz w:val="20"/>
                <w:szCs w:val="20"/>
                <w:lang w:val="en-GB"/>
              </w:rPr>
            </w:pPr>
            <w:r w:rsidRPr="00D12E59">
              <w:rPr>
                <w:rFonts w:ascii="Book Antiqua" w:hAnsi="Book Antiqua"/>
                <w:color w:val="76923C"/>
                <w:sz w:val="20"/>
                <w:szCs w:val="20"/>
              </w:rPr>
              <w:t>Repair faulty equipment.</w:t>
            </w:r>
          </w:p>
          <w:p w14:paraId="22A10547" w14:textId="77777777" w:rsidR="005C1D1B" w:rsidRPr="00D12E59" w:rsidRDefault="005C1D1B" w:rsidP="00196385">
            <w:pPr>
              <w:pStyle w:val="NoSpacing"/>
              <w:numPr>
                <w:ilvl w:val="0"/>
                <w:numId w:val="138"/>
              </w:numPr>
              <w:spacing w:line="276" w:lineRule="auto"/>
              <w:rPr>
                <w:rFonts w:ascii="Book Antiqua" w:hAnsi="Book Antiqua"/>
                <w:color w:val="76923C"/>
                <w:sz w:val="20"/>
                <w:szCs w:val="20"/>
                <w:lang w:val="en-GB"/>
              </w:rPr>
            </w:pPr>
            <w:r w:rsidRPr="00D12E59">
              <w:rPr>
                <w:rFonts w:ascii="Book Antiqua" w:hAnsi="Book Antiqua"/>
                <w:color w:val="76923C"/>
                <w:sz w:val="20"/>
                <w:szCs w:val="20"/>
              </w:rPr>
              <w:t>Provide an extended backwash for 30 -60 minutes using highest rate possible to avoid resin loss.</w:t>
            </w:r>
          </w:p>
        </w:tc>
      </w:tr>
    </w:tbl>
    <w:p w14:paraId="37D5B701" w14:textId="77777777" w:rsidR="00350B24" w:rsidRPr="00374633" w:rsidRDefault="00350B24" w:rsidP="005C1D1B">
      <w:pPr>
        <w:pStyle w:val="NoSpacing"/>
        <w:spacing w:line="276" w:lineRule="auto"/>
        <w:rPr>
          <w:rFonts w:ascii="Book Antiqua" w:hAnsi="Book Antiqua"/>
          <w:b/>
          <w:sz w:val="26"/>
          <w:szCs w:val="26"/>
        </w:rPr>
      </w:pPr>
      <w:r w:rsidRPr="00374633">
        <w:rPr>
          <w:rFonts w:ascii="Book Antiqua" w:hAnsi="Book Antiqua"/>
          <w:b/>
          <w:sz w:val="26"/>
          <w:szCs w:val="26"/>
        </w:rPr>
        <w:t>2.3.5 Data on troubleshooting and remedies</w:t>
      </w:r>
    </w:p>
    <w:p w14:paraId="1CDA6C4B" w14:textId="77777777" w:rsidR="005C1D1B" w:rsidRDefault="005C1D1B" w:rsidP="005C1D1B">
      <w:pPr>
        <w:pStyle w:val="NoSpacing"/>
        <w:spacing w:line="276" w:lineRule="auto"/>
        <w:rPr>
          <w:rFonts w:ascii="Book Antiqua" w:hAnsi="Book Antiqua"/>
          <w:b/>
        </w:rPr>
      </w:pPr>
    </w:p>
    <w:p w14:paraId="0279454D" w14:textId="77777777" w:rsidR="00E32614" w:rsidRPr="00E3232D" w:rsidRDefault="005C1D1B" w:rsidP="005C1D1B">
      <w:pPr>
        <w:pStyle w:val="NoSpacing"/>
        <w:spacing w:line="276" w:lineRule="auto"/>
        <w:rPr>
          <w:rFonts w:ascii="Book Antiqua" w:hAnsi="Book Antiqua"/>
          <w:b/>
        </w:rPr>
        <w:sectPr w:rsidR="00E32614" w:rsidRPr="00E3232D" w:rsidSect="00374633">
          <w:type w:val="continuous"/>
          <w:pgSz w:w="11907" w:h="16839" w:code="9"/>
          <w:pgMar w:top="1440" w:right="1440" w:bottom="1440" w:left="1440" w:header="720" w:footer="720" w:gutter="0"/>
          <w:cols w:space="720"/>
          <w:docGrid w:linePitch="360"/>
        </w:sectPr>
      </w:pPr>
      <w:r w:rsidRPr="00E3232D">
        <w:rPr>
          <w:rFonts w:ascii="Book Antiqua" w:hAnsi="Book Antiqua"/>
          <w:b/>
        </w:rPr>
        <w:t>Table 1. Operational problems associated with 42-WTP-3 and the remedies</w:t>
      </w:r>
    </w:p>
    <w:p w14:paraId="01645C77" w14:textId="77777777" w:rsidR="005C1D1B" w:rsidRDefault="005C1D1B" w:rsidP="008275E1">
      <w:pPr>
        <w:rPr>
          <w:rFonts w:ascii="Book Antiqua" w:hAnsi="Book Antiqua"/>
          <w:b/>
        </w:rPr>
        <w:sectPr w:rsidR="005C1D1B" w:rsidSect="008F6BC9">
          <w:type w:val="continuous"/>
          <w:pgSz w:w="11907" w:h="16839" w:code="9"/>
          <w:pgMar w:top="864" w:right="720" w:bottom="778" w:left="1008" w:header="706" w:footer="706" w:gutter="0"/>
          <w:cols w:space="720"/>
          <w:docGrid w:linePitch="360"/>
        </w:sectPr>
      </w:pPr>
    </w:p>
    <w:p w14:paraId="023BEB46" w14:textId="77777777" w:rsidR="0012151E" w:rsidRDefault="0012151E" w:rsidP="00B17017">
      <w:pPr>
        <w:spacing w:after="100" w:afterAutospacing="1"/>
        <w:jc w:val="center"/>
        <w:rPr>
          <w:rFonts w:ascii="Book Antiqua" w:hAnsi="Book Antiqua"/>
          <w:b/>
          <w:sz w:val="26"/>
          <w:szCs w:val="26"/>
        </w:rPr>
      </w:pPr>
    </w:p>
    <w:p w14:paraId="4FBD7CB8" w14:textId="77777777" w:rsidR="0012151E" w:rsidRDefault="0012151E" w:rsidP="00B17017">
      <w:pPr>
        <w:spacing w:after="100" w:afterAutospacing="1"/>
        <w:jc w:val="center"/>
        <w:rPr>
          <w:rFonts w:ascii="Book Antiqua" w:hAnsi="Book Antiqua"/>
          <w:b/>
          <w:sz w:val="26"/>
          <w:szCs w:val="26"/>
        </w:rPr>
      </w:pPr>
    </w:p>
    <w:p w14:paraId="33667093" w14:textId="77777777" w:rsidR="0012151E" w:rsidRDefault="0012151E" w:rsidP="00B17017">
      <w:pPr>
        <w:spacing w:after="100" w:afterAutospacing="1"/>
        <w:jc w:val="center"/>
        <w:rPr>
          <w:rFonts w:ascii="Book Antiqua" w:hAnsi="Book Antiqua"/>
          <w:b/>
          <w:sz w:val="26"/>
          <w:szCs w:val="26"/>
        </w:rPr>
      </w:pPr>
    </w:p>
    <w:p w14:paraId="7BF99044" w14:textId="77777777" w:rsidR="0012151E" w:rsidRDefault="0012151E" w:rsidP="00B17017">
      <w:pPr>
        <w:spacing w:after="100" w:afterAutospacing="1"/>
        <w:jc w:val="center"/>
        <w:rPr>
          <w:rFonts w:ascii="Book Antiqua" w:hAnsi="Book Antiqua"/>
          <w:b/>
          <w:sz w:val="26"/>
          <w:szCs w:val="26"/>
        </w:rPr>
      </w:pPr>
    </w:p>
    <w:p w14:paraId="30206AE1" w14:textId="77777777" w:rsidR="0012151E" w:rsidRDefault="0012151E" w:rsidP="00B17017">
      <w:pPr>
        <w:spacing w:after="100" w:afterAutospacing="1"/>
        <w:jc w:val="center"/>
        <w:rPr>
          <w:rFonts w:ascii="Book Antiqua" w:hAnsi="Book Antiqua"/>
          <w:b/>
          <w:sz w:val="26"/>
          <w:szCs w:val="26"/>
        </w:rPr>
      </w:pPr>
    </w:p>
    <w:p w14:paraId="66B0FC0C" w14:textId="77777777" w:rsidR="0012151E" w:rsidRDefault="0012151E" w:rsidP="00B17017">
      <w:pPr>
        <w:spacing w:after="100" w:afterAutospacing="1"/>
        <w:jc w:val="center"/>
        <w:rPr>
          <w:rFonts w:ascii="Book Antiqua" w:hAnsi="Book Antiqua"/>
          <w:b/>
          <w:sz w:val="26"/>
          <w:szCs w:val="26"/>
        </w:rPr>
      </w:pPr>
    </w:p>
    <w:p w14:paraId="2EC24F0C" w14:textId="77777777" w:rsidR="0012151E" w:rsidRDefault="0012151E" w:rsidP="00B17017">
      <w:pPr>
        <w:spacing w:after="100" w:afterAutospacing="1"/>
        <w:jc w:val="center"/>
        <w:rPr>
          <w:rFonts w:ascii="Book Antiqua" w:hAnsi="Book Antiqua"/>
          <w:b/>
          <w:sz w:val="26"/>
          <w:szCs w:val="26"/>
        </w:rPr>
      </w:pPr>
    </w:p>
    <w:p w14:paraId="6F5F4E68" w14:textId="77777777" w:rsidR="0012151E" w:rsidRDefault="0012151E" w:rsidP="00B17017">
      <w:pPr>
        <w:spacing w:after="100" w:afterAutospacing="1"/>
        <w:jc w:val="center"/>
        <w:rPr>
          <w:rFonts w:ascii="Book Antiqua" w:hAnsi="Book Antiqua"/>
          <w:b/>
          <w:sz w:val="26"/>
          <w:szCs w:val="26"/>
        </w:rPr>
      </w:pPr>
    </w:p>
    <w:p w14:paraId="364FDDD3" w14:textId="77777777" w:rsidR="0012151E" w:rsidRDefault="0012151E" w:rsidP="00B17017">
      <w:pPr>
        <w:spacing w:after="100" w:afterAutospacing="1"/>
        <w:jc w:val="center"/>
        <w:rPr>
          <w:rFonts w:ascii="Book Antiqua" w:hAnsi="Book Antiqua"/>
          <w:b/>
          <w:sz w:val="26"/>
          <w:szCs w:val="26"/>
        </w:rPr>
      </w:pPr>
    </w:p>
    <w:p w14:paraId="30FDACD0" w14:textId="77777777" w:rsidR="0012151E" w:rsidRDefault="0012151E" w:rsidP="00B17017">
      <w:pPr>
        <w:spacing w:after="100" w:afterAutospacing="1"/>
        <w:jc w:val="center"/>
        <w:rPr>
          <w:rFonts w:ascii="Book Antiqua" w:hAnsi="Book Antiqua"/>
          <w:b/>
          <w:sz w:val="26"/>
          <w:szCs w:val="26"/>
        </w:rPr>
      </w:pPr>
    </w:p>
    <w:p w14:paraId="0EDB7424" w14:textId="77777777" w:rsidR="0012151E" w:rsidRDefault="0012151E" w:rsidP="00B17017">
      <w:pPr>
        <w:spacing w:after="100" w:afterAutospacing="1"/>
        <w:jc w:val="center"/>
        <w:rPr>
          <w:rFonts w:ascii="Book Antiqua" w:hAnsi="Book Antiqua"/>
          <w:b/>
          <w:sz w:val="26"/>
          <w:szCs w:val="26"/>
        </w:rPr>
      </w:pPr>
    </w:p>
    <w:p w14:paraId="140354FC" w14:textId="77777777" w:rsidR="0012151E" w:rsidRDefault="0012151E" w:rsidP="00B17017">
      <w:pPr>
        <w:spacing w:after="100" w:afterAutospacing="1"/>
        <w:jc w:val="center"/>
        <w:rPr>
          <w:rFonts w:ascii="Book Antiqua" w:hAnsi="Book Antiqua"/>
          <w:b/>
          <w:sz w:val="26"/>
          <w:szCs w:val="26"/>
        </w:rPr>
      </w:pPr>
    </w:p>
    <w:p w14:paraId="5EDFFB19" w14:textId="77777777" w:rsidR="0012151E" w:rsidRDefault="0012151E" w:rsidP="00B17017">
      <w:pPr>
        <w:spacing w:after="100" w:afterAutospacing="1"/>
        <w:jc w:val="center"/>
        <w:rPr>
          <w:rFonts w:ascii="Book Antiqua" w:hAnsi="Book Antiqua"/>
          <w:b/>
          <w:sz w:val="26"/>
          <w:szCs w:val="26"/>
        </w:rPr>
      </w:pPr>
    </w:p>
    <w:p w14:paraId="51B0C6B9" w14:textId="77777777" w:rsidR="0012151E" w:rsidRDefault="0012151E" w:rsidP="00B17017">
      <w:pPr>
        <w:spacing w:after="100" w:afterAutospacing="1"/>
        <w:jc w:val="center"/>
        <w:rPr>
          <w:rFonts w:ascii="Book Antiqua" w:hAnsi="Book Antiqua"/>
          <w:b/>
          <w:sz w:val="26"/>
          <w:szCs w:val="26"/>
        </w:rPr>
      </w:pPr>
    </w:p>
    <w:p w14:paraId="05C47C7B" w14:textId="77777777" w:rsidR="0012151E" w:rsidRDefault="0012151E" w:rsidP="00B17017">
      <w:pPr>
        <w:spacing w:after="100" w:afterAutospacing="1"/>
        <w:jc w:val="center"/>
        <w:rPr>
          <w:rFonts w:ascii="Book Antiqua" w:hAnsi="Book Antiqua"/>
          <w:b/>
          <w:sz w:val="26"/>
          <w:szCs w:val="26"/>
        </w:rPr>
      </w:pPr>
    </w:p>
    <w:p w14:paraId="5DE822EB" w14:textId="77777777" w:rsidR="0012151E" w:rsidRDefault="0012151E" w:rsidP="00B17017">
      <w:pPr>
        <w:spacing w:after="100" w:afterAutospacing="1"/>
        <w:jc w:val="center"/>
        <w:rPr>
          <w:rFonts w:ascii="Book Antiqua" w:hAnsi="Book Antiqua"/>
          <w:b/>
          <w:sz w:val="26"/>
          <w:szCs w:val="26"/>
        </w:rPr>
      </w:pPr>
    </w:p>
    <w:p w14:paraId="2D907FF7" w14:textId="77777777" w:rsidR="0012151E" w:rsidRDefault="0012151E" w:rsidP="00B17017">
      <w:pPr>
        <w:spacing w:after="100" w:afterAutospacing="1"/>
        <w:jc w:val="center"/>
        <w:rPr>
          <w:rFonts w:ascii="Book Antiqua" w:hAnsi="Book Antiqua"/>
          <w:b/>
          <w:sz w:val="26"/>
          <w:szCs w:val="26"/>
        </w:rPr>
      </w:pPr>
    </w:p>
    <w:p w14:paraId="1B8A0478" w14:textId="77777777" w:rsidR="00DD62F3" w:rsidRPr="00B17017" w:rsidRDefault="00DD62F3" w:rsidP="00B17017">
      <w:pPr>
        <w:spacing w:after="100" w:afterAutospacing="1"/>
        <w:jc w:val="center"/>
        <w:rPr>
          <w:rFonts w:ascii="Book Antiqua" w:hAnsi="Book Antiqua"/>
          <w:b/>
          <w:sz w:val="26"/>
          <w:szCs w:val="26"/>
        </w:rPr>
      </w:pPr>
      <w:r w:rsidRPr="00B17017">
        <w:rPr>
          <w:rFonts w:ascii="Book Antiqua" w:hAnsi="Book Antiqua"/>
          <w:b/>
          <w:sz w:val="26"/>
          <w:szCs w:val="26"/>
        </w:rPr>
        <w:t>Natural Durability Quality Investigations; A Necessity Towards Entrepreneurs’ Acceptance of Branchwoods as New Materials for Garden Furniture Production.</w:t>
      </w:r>
    </w:p>
    <w:p w14:paraId="18DA2BFD" w14:textId="77777777" w:rsidR="00DD62F3" w:rsidRPr="00952455" w:rsidRDefault="00B608E8" w:rsidP="00D73212">
      <w:pPr>
        <w:spacing w:after="0"/>
        <w:jc w:val="center"/>
        <w:rPr>
          <w:rFonts w:ascii="Book Antiqua" w:hAnsi="Book Antiqua"/>
          <w:b/>
        </w:rPr>
      </w:pPr>
      <w:r w:rsidRPr="00952455">
        <w:rPr>
          <w:rFonts w:ascii="Book Antiqua" w:hAnsi="Book Antiqua"/>
          <w:b/>
        </w:rPr>
        <w:t xml:space="preserve">Dadzie </w:t>
      </w:r>
      <w:r>
        <w:rPr>
          <w:rFonts w:ascii="Book Antiqua" w:hAnsi="Book Antiqua"/>
          <w:b/>
        </w:rPr>
        <w:t>P</w:t>
      </w:r>
      <w:r w:rsidRPr="00952455">
        <w:rPr>
          <w:rFonts w:ascii="Book Antiqua" w:hAnsi="Book Antiqua"/>
          <w:b/>
        </w:rPr>
        <w:t>.</w:t>
      </w:r>
      <w:r>
        <w:rPr>
          <w:rFonts w:ascii="Book Antiqua" w:hAnsi="Book Antiqua"/>
          <w:b/>
        </w:rPr>
        <w:t xml:space="preserve"> K.</w:t>
      </w:r>
      <w:r w:rsidRPr="00952455">
        <w:rPr>
          <w:rFonts w:ascii="Book Antiqua" w:hAnsi="Book Antiqua"/>
          <w:b/>
        </w:rPr>
        <w:t xml:space="preserve"> &amp; Amoah M.</w:t>
      </w:r>
    </w:p>
    <w:p w14:paraId="04D64BD3" w14:textId="77777777" w:rsidR="00DD62F3" w:rsidRPr="00E3232D" w:rsidRDefault="00EB2A77" w:rsidP="00D73212">
      <w:pPr>
        <w:spacing w:after="0"/>
        <w:jc w:val="center"/>
        <w:rPr>
          <w:rFonts w:ascii="Book Antiqua" w:hAnsi="Book Antiqua"/>
        </w:rPr>
      </w:pPr>
      <w:r>
        <w:rPr>
          <w:rFonts w:ascii="Book Antiqua" w:hAnsi="Book Antiqua"/>
          <w:vertAlign w:val="superscript"/>
        </w:rPr>
        <w:t>1</w:t>
      </w:r>
      <w:r>
        <w:rPr>
          <w:rFonts w:ascii="Book Antiqua" w:hAnsi="Book Antiqua"/>
        </w:rPr>
        <w:t>Interior Architecture a</w:t>
      </w:r>
      <w:r w:rsidRPr="00E3232D">
        <w:rPr>
          <w:rFonts w:ascii="Book Antiqua" w:hAnsi="Book Antiqua"/>
        </w:rPr>
        <w:t>nd Furniture Production Department</w:t>
      </w:r>
    </w:p>
    <w:p w14:paraId="2C2798FF" w14:textId="77777777" w:rsidR="00DD62F3" w:rsidRPr="00E3232D" w:rsidRDefault="00EB2A77" w:rsidP="00D73212">
      <w:pPr>
        <w:spacing w:after="0"/>
        <w:jc w:val="center"/>
        <w:rPr>
          <w:rFonts w:ascii="Book Antiqua" w:hAnsi="Book Antiqua"/>
        </w:rPr>
      </w:pPr>
      <w:r w:rsidRPr="00E3232D">
        <w:rPr>
          <w:rFonts w:ascii="Book Antiqua" w:hAnsi="Book Antiqua"/>
        </w:rPr>
        <w:t>Kumasi Polytechnic</w:t>
      </w:r>
      <w:r>
        <w:rPr>
          <w:rFonts w:ascii="Book Antiqua" w:hAnsi="Book Antiqua"/>
        </w:rPr>
        <w:t>,</w:t>
      </w:r>
      <w:r w:rsidRPr="00E3232D">
        <w:rPr>
          <w:rFonts w:ascii="Book Antiqua" w:hAnsi="Book Antiqua"/>
        </w:rPr>
        <w:t xml:space="preserve"> Kumasi.</w:t>
      </w:r>
    </w:p>
    <w:p w14:paraId="06254316" w14:textId="77777777" w:rsidR="00DD62F3" w:rsidRPr="00E3232D" w:rsidRDefault="00EB2A77" w:rsidP="00D73212">
      <w:pPr>
        <w:spacing w:after="0"/>
        <w:jc w:val="center"/>
        <w:rPr>
          <w:rFonts w:ascii="Book Antiqua" w:hAnsi="Book Antiqua"/>
        </w:rPr>
      </w:pPr>
      <w:r>
        <w:rPr>
          <w:rFonts w:ascii="Book Antiqua" w:hAnsi="Book Antiqua"/>
          <w:vertAlign w:val="superscript"/>
        </w:rPr>
        <w:t>2</w:t>
      </w:r>
      <w:r>
        <w:rPr>
          <w:rFonts w:ascii="Book Antiqua" w:hAnsi="Book Antiqua"/>
        </w:rPr>
        <w:t>Department o</w:t>
      </w:r>
      <w:r w:rsidRPr="00E3232D">
        <w:rPr>
          <w:rFonts w:ascii="Book Antiqua" w:hAnsi="Book Antiqua"/>
        </w:rPr>
        <w:t>f Wood Technology Educa</w:t>
      </w:r>
      <w:r>
        <w:rPr>
          <w:rFonts w:ascii="Book Antiqua" w:hAnsi="Book Antiqua"/>
        </w:rPr>
        <w:t xml:space="preserve">tion University of Education, </w:t>
      </w:r>
      <w:r w:rsidRPr="00E3232D">
        <w:rPr>
          <w:rFonts w:ascii="Book Antiqua" w:hAnsi="Book Antiqua"/>
        </w:rPr>
        <w:t>Winneba</w:t>
      </w:r>
      <w:r>
        <w:rPr>
          <w:rFonts w:ascii="Book Antiqua" w:hAnsi="Book Antiqua"/>
        </w:rPr>
        <w:t xml:space="preserve"> &amp;</w:t>
      </w:r>
      <w:r w:rsidRPr="00E3232D">
        <w:rPr>
          <w:rFonts w:ascii="Book Antiqua" w:hAnsi="Book Antiqua"/>
        </w:rPr>
        <w:t xml:space="preserve"> Kumasi</w:t>
      </w:r>
    </w:p>
    <w:p w14:paraId="5E8B4B4D" w14:textId="77777777" w:rsidR="00DD62F3" w:rsidRPr="00C3621B" w:rsidRDefault="00B04C2E" w:rsidP="00D73212">
      <w:pPr>
        <w:spacing w:after="0"/>
        <w:jc w:val="center"/>
        <w:rPr>
          <w:rFonts w:ascii="Book Antiqua" w:hAnsi="Book Antiqua"/>
        </w:rPr>
      </w:pPr>
      <w:r w:rsidRPr="00C3621B">
        <w:rPr>
          <w:rFonts w:ascii="Book Antiqua" w:hAnsi="Book Antiqua"/>
          <w:b/>
        </w:rPr>
        <w:t>E</w:t>
      </w:r>
      <w:r w:rsidR="00DA6431">
        <w:rPr>
          <w:rFonts w:ascii="Book Antiqua" w:hAnsi="Book Antiqua"/>
          <w:b/>
        </w:rPr>
        <w:t>-</w:t>
      </w:r>
      <w:r w:rsidRPr="00C3621B">
        <w:rPr>
          <w:rFonts w:ascii="Book Antiqua" w:hAnsi="Book Antiqua"/>
          <w:b/>
        </w:rPr>
        <w:t>mail:</w:t>
      </w:r>
      <w:r w:rsidRPr="00C3621B">
        <w:rPr>
          <w:rFonts w:ascii="Book Antiqua" w:hAnsi="Book Antiqua"/>
        </w:rPr>
        <w:t xml:space="preserve"> </w:t>
      </w:r>
      <w:hyperlink r:id="rId338" w:history="1">
        <w:r w:rsidR="00DD62F3" w:rsidRPr="00C3621B">
          <w:rPr>
            <w:rStyle w:val="Hyperlink"/>
            <w:rFonts w:ascii="Book Antiqua" w:hAnsi="Book Antiqua"/>
          </w:rPr>
          <w:t>pkkdadziee@yahoo.com</w:t>
        </w:r>
      </w:hyperlink>
      <w:r w:rsidRPr="00C3621B">
        <w:rPr>
          <w:rFonts w:ascii="Book Antiqua" w:hAnsi="Book Antiqua"/>
        </w:rPr>
        <w:t xml:space="preserve">, &amp; </w:t>
      </w:r>
      <w:r w:rsidRPr="00C3621B">
        <w:rPr>
          <w:rFonts w:ascii="Book Antiqua" w:hAnsi="Book Antiqua"/>
          <w:vertAlign w:val="superscript"/>
        </w:rPr>
        <w:t>2</w:t>
      </w:r>
      <w:hyperlink r:id="rId339" w:history="1">
        <w:r w:rsidR="00DD62F3" w:rsidRPr="00C3621B">
          <w:rPr>
            <w:rStyle w:val="Hyperlink"/>
            <w:rFonts w:ascii="Book Antiqua" w:hAnsi="Book Antiqua"/>
          </w:rPr>
          <w:t>martamoah@yahoo.com</w:t>
        </w:r>
      </w:hyperlink>
    </w:p>
    <w:p w14:paraId="20D4BE8A" w14:textId="77777777" w:rsidR="00DD62F3" w:rsidRPr="00E3232D" w:rsidRDefault="00DD62F3" w:rsidP="00D73212">
      <w:pPr>
        <w:spacing w:after="0"/>
        <w:rPr>
          <w:rFonts w:ascii="Book Antiqua" w:hAnsi="Book Antiqua"/>
          <w:b/>
        </w:rPr>
      </w:pPr>
    </w:p>
    <w:p w14:paraId="1C9E6763" w14:textId="77777777" w:rsidR="0010000F" w:rsidRPr="005E5AA7" w:rsidRDefault="0010000F" w:rsidP="008275E1">
      <w:pPr>
        <w:rPr>
          <w:rFonts w:ascii="Book Antiqua" w:hAnsi="Book Antiqua"/>
          <w:b/>
          <w:sz w:val="26"/>
          <w:szCs w:val="26"/>
        </w:rPr>
      </w:pPr>
      <w:r w:rsidRPr="005E5AA7">
        <w:rPr>
          <w:rFonts w:ascii="Book Antiqua" w:hAnsi="Book Antiqua"/>
          <w:b/>
          <w:sz w:val="26"/>
          <w:szCs w:val="26"/>
        </w:rPr>
        <w:t>Abstract</w:t>
      </w:r>
    </w:p>
    <w:p w14:paraId="03F0FDBC" w14:textId="77777777" w:rsidR="0010000F" w:rsidRPr="00E3232D" w:rsidRDefault="0010000F" w:rsidP="00EB2A77">
      <w:pPr>
        <w:jc w:val="both"/>
        <w:rPr>
          <w:rFonts w:ascii="Book Antiqua" w:hAnsi="Book Antiqua"/>
        </w:rPr>
      </w:pPr>
      <w:r w:rsidRPr="00E3232D">
        <w:rPr>
          <w:rFonts w:ascii="Book Antiqua" w:hAnsi="Book Antiqua"/>
        </w:rPr>
        <w:t>The depletion rate of Ghana’s wood resources has become one major challenge facing the wood related entrepreneurs and the industries. Demand for wood is among the factors causing depletion of wood resources. Branchwood is one possible supplement to stemwood to, at least, slow down the extinction rate of wood. This study compares the natural durability of the branches of Sapele (</w:t>
      </w:r>
      <w:r w:rsidRPr="00E3232D">
        <w:rPr>
          <w:rFonts w:ascii="Book Antiqua" w:hAnsi="Book Antiqua"/>
          <w:i/>
        </w:rPr>
        <w:t>Entandrophragma cylindricum</w:t>
      </w:r>
      <w:r w:rsidRPr="00E3232D">
        <w:rPr>
          <w:rFonts w:ascii="Book Antiqua" w:hAnsi="Book Antiqua"/>
        </w:rPr>
        <w:t xml:space="preserve">) to its stemwood, in order to encourage industry and other wood related entrepreneurs to use branches in addition to stemwood for ground applications like garden furniture. The study was conducted using the graveyard test method, according to European Standard EN 252, for 11 months. Two (2) branches each (diameters ranging from 26cm and 52cm) were cut from a total of four (4) already felled trees from two natural forests within two ecological zones in Ghana. Stemwood were however obtained from the wood firm from whose concessions the branches were obtained. All sample groups were tested on two moisture content ranges (14% - 22%-Air-Dried and 6%-11%-Kiln-Dried). Results from the field test indicated that, whereas branchwood of the tree in the first moisture content range was less durable, branchwood of the  second moisture content range appeared durable, than their corresponding stemwoods. It was concluded that, for natural durability, branchwoods of </w:t>
      </w:r>
      <w:r w:rsidRPr="00E3232D">
        <w:rPr>
          <w:rFonts w:ascii="Book Antiqua" w:hAnsi="Book Antiqua"/>
          <w:i/>
        </w:rPr>
        <w:t>Entandrophragma cylindricum</w:t>
      </w:r>
      <w:r w:rsidRPr="00E3232D">
        <w:rPr>
          <w:rFonts w:ascii="Book Antiqua" w:hAnsi="Book Antiqua"/>
        </w:rPr>
        <w:t xml:space="preserve"> are comparable to their stemwoods for ground applications. Industrialists/entrepreneurs in wood products manufacturing should earnestly collaborate with research institutions, including educational institutions, for further research into branchwoods towards their acceptance and use for industrial and national development.</w:t>
      </w:r>
    </w:p>
    <w:p w14:paraId="4F42D4B0" w14:textId="77777777" w:rsidR="0010000F" w:rsidRPr="00E3232D" w:rsidRDefault="00E32614" w:rsidP="008275E1">
      <w:pPr>
        <w:rPr>
          <w:rFonts w:ascii="Book Antiqua" w:hAnsi="Book Antiqua"/>
        </w:rPr>
      </w:pPr>
      <w:r>
        <w:rPr>
          <w:rFonts w:ascii="Book Antiqua" w:hAnsi="Book Antiqua"/>
          <w:b/>
        </w:rPr>
        <w:t>Key</w:t>
      </w:r>
      <w:r w:rsidR="0010000F" w:rsidRPr="00E3232D">
        <w:rPr>
          <w:rFonts w:ascii="Book Antiqua" w:hAnsi="Book Antiqua"/>
          <w:b/>
        </w:rPr>
        <w:t>words:</w:t>
      </w:r>
      <w:r w:rsidR="0010000F" w:rsidRPr="00E3232D">
        <w:rPr>
          <w:rFonts w:ascii="Book Antiqua" w:hAnsi="Book Antiqua"/>
        </w:rPr>
        <w:t xml:space="preserve"> Natural </w:t>
      </w:r>
      <w:r w:rsidR="00EB2A77" w:rsidRPr="00E3232D">
        <w:rPr>
          <w:rFonts w:ascii="Book Antiqua" w:hAnsi="Book Antiqua"/>
        </w:rPr>
        <w:t xml:space="preserve">Durability; </w:t>
      </w:r>
      <w:r w:rsidR="0010000F" w:rsidRPr="00E3232D">
        <w:rPr>
          <w:rFonts w:ascii="Book Antiqua" w:hAnsi="Book Antiqua"/>
        </w:rPr>
        <w:t>Branchwood</w:t>
      </w:r>
      <w:r w:rsidR="00EB2A77" w:rsidRPr="00E3232D">
        <w:rPr>
          <w:rFonts w:ascii="Book Antiqua" w:hAnsi="Book Antiqua"/>
        </w:rPr>
        <w:t xml:space="preserve">; </w:t>
      </w:r>
      <w:r w:rsidR="0010000F" w:rsidRPr="00E3232D">
        <w:rPr>
          <w:rFonts w:ascii="Book Antiqua" w:hAnsi="Book Antiqua"/>
        </w:rPr>
        <w:t xml:space="preserve">Entrandophragma </w:t>
      </w:r>
      <w:r w:rsidR="00EB2A77" w:rsidRPr="00E3232D">
        <w:rPr>
          <w:rFonts w:ascii="Book Antiqua" w:hAnsi="Book Antiqua"/>
        </w:rPr>
        <w:t xml:space="preserve">Cylindricum; </w:t>
      </w:r>
      <w:r w:rsidR="0010000F" w:rsidRPr="00E3232D">
        <w:rPr>
          <w:rFonts w:ascii="Book Antiqua" w:hAnsi="Book Antiqua"/>
        </w:rPr>
        <w:t>Garden Furniture</w:t>
      </w:r>
      <w:r w:rsidR="00EB2A77" w:rsidRPr="00E3232D">
        <w:rPr>
          <w:rFonts w:ascii="Book Antiqua" w:hAnsi="Book Antiqua"/>
        </w:rPr>
        <w:t xml:space="preserve">;   </w:t>
      </w:r>
      <w:r w:rsidR="0010000F" w:rsidRPr="00E3232D">
        <w:rPr>
          <w:rFonts w:ascii="Book Antiqua" w:hAnsi="Book Antiqua"/>
        </w:rPr>
        <w:t xml:space="preserve">European </w:t>
      </w:r>
      <w:r w:rsidR="00EB2A77" w:rsidRPr="00E3232D">
        <w:rPr>
          <w:rFonts w:ascii="Book Antiqua" w:hAnsi="Book Antiqua"/>
        </w:rPr>
        <w:t>Standar</w:t>
      </w:r>
      <w:r w:rsidR="0010000F" w:rsidRPr="00E3232D">
        <w:rPr>
          <w:rFonts w:ascii="Book Antiqua" w:hAnsi="Book Antiqua"/>
        </w:rPr>
        <w:t>d EN 252.</w:t>
      </w:r>
    </w:p>
    <w:p w14:paraId="51E6310A" w14:textId="77777777" w:rsidR="00DA6431" w:rsidRDefault="00DA6431" w:rsidP="008275E1">
      <w:pPr>
        <w:rPr>
          <w:rFonts w:ascii="Book Antiqua" w:hAnsi="Book Antiqua"/>
          <w:b/>
        </w:rPr>
        <w:sectPr w:rsidR="00DA6431" w:rsidSect="008F6BC9">
          <w:type w:val="continuous"/>
          <w:pgSz w:w="11907" w:h="16839" w:code="9"/>
          <w:pgMar w:top="864" w:right="720" w:bottom="778" w:left="1008" w:header="706" w:footer="706" w:gutter="0"/>
          <w:cols w:space="720"/>
          <w:docGrid w:linePitch="360"/>
        </w:sectPr>
      </w:pPr>
    </w:p>
    <w:p w14:paraId="06F422F4" w14:textId="77777777" w:rsidR="00DD62F3" w:rsidRPr="00E3232D" w:rsidRDefault="00DD62F3" w:rsidP="008275E1">
      <w:pPr>
        <w:rPr>
          <w:rFonts w:ascii="Book Antiqua" w:hAnsi="Book Antiqua"/>
          <w:b/>
        </w:rPr>
      </w:pPr>
    </w:p>
    <w:p w14:paraId="5EEDA7B5" w14:textId="77777777" w:rsidR="00DD62F3" w:rsidRPr="00E3232D" w:rsidRDefault="00DD62F3" w:rsidP="008275E1">
      <w:pPr>
        <w:rPr>
          <w:rFonts w:ascii="Book Antiqua" w:hAnsi="Book Antiqua"/>
          <w:b/>
        </w:rPr>
        <w:sectPr w:rsidR="00DD62F3" w:rsidRPr="00E3232D" w:rsidSect="008F6BC9">
          <w:type w:val="continuous"/>
          <w:pgSz w:w="11907" w:h="16839" w:code="9"/>
          <w:pgMar w:top="864" w:right="720" w:bottom="778" w:left="1008" w:header="706" w:footer="706" w:gutter="0"/>
          <w:cols w:num="2" w:space="720"/>
          <w:docGrid w:linePitch="360"/>
        </w:sectPr>
      </w:pPr>
    </w:p>
    <w:p w14:paraId="5E47A604" w14:textId="77777777" w:rsidR="00DD62F3" w:rsidRPr="005E5AA7" w:rsidRDefault="00EB2A77" w:rsidP="008275E1">
      <w:pPr>
        <w:rPr>
          <w:rFonts w:ascii="Book Antiqua" w:hAnsi="Book Antiqua"/>
          <w:b/>
          <w:sz w:val="26"/>
          <w:szCs w:val="26"/>
        </w:rPr>
      </w:pPr>
      <w:r>
        <w:rPr>
          <w:rFonts w:ascii="Book Antiqua" w:hAnsi="Book Antiqua"/>
          <w:b/>
          <w:sz w:val="26"/>
          <w:szCs w:val="26"/>
        </w:rPr>
        <w:t>1.0</w:t>
      </w:r>
      <w:r w:rsidR="00DD62F3" w:rsidRPr="005E5AA7">
        <w:rPr>
          <w:rFonts w:ascii="Book Antiqua" w:hAnsi="Book Antiqua"/>
          <w:b/>
          <w:sz w:val="26"/>
          <w:szCs w:val="26"/>
        </w:rPr>
        <w:t xml:space="preserve"> Introduction</w:t>
      </w:r>
    </w:p>
    <w:p w14:paraId="7DB8CA6E" w14:textId="77777777" w:rsidR="00DD62F3" w:rsidRPr="00E3232D" w:rsidRDefault="00DD62F3" w:rsidP="005E5AA7">
      <w:pPr>
        <w:jc w:val="both"/>
        <w:rPr>
          <w:rFonts w:ascii="Book Antiqua" w:hAnsi="Book Antiqua"/>
        </w:rPr>
      </w:pPr>
      <w:r w:rsidRPr="00E3232D">
        <w:rPr>
          <w:rFonts w:ascii="Book Antiqua" w:hAnsi="Book Antiqua"/>
        </w:rPr>
        <w:t>Timber products in Ghana are major economic resources that contributed 8% to the Gross Domestic Product (GDP) of the country a decade ago. This contribution has, however, fallen to a current level of 4% and the situation is partly attributed to the alarming dwindling trend of the wood resources which stands at a rate of 2% per annum (Ministry of Lands and Natural Resources –MLNR, 2012). This state of affairs, among others, have caused some wood processing industries to either fold-up or not operating at full capacity due to lack of raw materials.</w:t>
      </w:r>
    </w:p>
    <w:p w14:paraId="353ADC24" w14:textId="77777777" w:rsidR="00DD62F3" w:rsidRPr="00E3232D" w:rsidRDefault="00DD62F3" w:rsidP="005E5AA7">
      <w:pPr>
        <w:jc w:val="both"/>
        <w:rPr>
          <w:rFonts w:ascii="Book Antiqua" w:hAnsi="Book Antiqua"/>
        </w:rPr>
      </w:pPr>
      <w:r w:rsidRPr="00E3232D">
        <w:rPr>
          <w:rFonts w:ascii="Book Antiqua" w:hAnsi="Book Antiqua"/>
        </w:rPr>
        <w:t xml:space="preserve">What is most disturbing, in this turn of events, is the drastic extinction of the premium and commercial timber species which are used for furniture and other interior products. In the estimation of the International Institute for Environment and Development (IIED), the supplies of the traditional (premium and commercial) timber species such as </w:t>
      </w:r>
      <w:r w:rsidRPr="00E3232D">
        <w:rPr>
          <w:rFonts w:ascii="Book Antiqua" w:hAnsi="Book Antiqua"/>
          <w:i/>
        </w:rPr>
        <w:t>Entandrophragma cylindricum</w:t>
      </w:r>
      <w:r w:rsidRPr="00E3232D">
        <w:rPr>
          <w:rFonts w:ascii="Book Antiqua" w:hAnsi="Book Antiqua"/>
        </w:rPr>
        <w:t xml:space="preserve"> (Sapele), among others, could fall by a further 50% within five years (Acquah &amp; Whyte, 1998).</w:t>
      </w:r>
    </w:p>
    <w:p w14:paraId="2E1C266C" w14:textId="77777777" w:rsidR="00DD62F3" w:rsidRPr="00E3232D" w:rsidRDefault="00DD62F3" w:rsidP="005E5AA7">
      <w:pPr>
        <w:jc w:val="both"/>
        <w:rPr>
          <w:rFonts w:ascii="Book Antiqua" w:hAnsi="Book Antiqua"/>
        </w:rPr>
      </w:pPr>
      <w:r w:rsidRPr="00E3232D">
        <w:rPr>
          <w:rFonts w:ascii="Book Antiqua" w:hAnsi="Book Antiqua"/>
        </w:rPr>
        <w:t xml:space="preserve">Due to the foreseen much threat of wood raw material extinction on the future of wood and construction industries in particular and human activities in general, researchers are exploring the use of tree branches as supplements to tree stems. But studies on branchwoods have covered Physical and mechanical properties/qualities as well as the workability of some Ghanaian hardwoods. Okai (2002) studied some physical and mechanical properties of </w:t>
      </w:r>
      <w:r w:rsidRPr="00E3232D">
        <w:rPr>
          <w:rFonts w:ascii="Book Antiqua" w:hAnsi="Book Antiqua"/>
          <w:i/>
        </w:rPr>
        <w:t>Terminalia ivorensis</w:t>
      </w:r>
      <w:r w:rsidRPr="00E3232D">
        <w:rPr>
          <w:rFonts w:ascii="Book Antiqua" w:hAnsi="Book Antiqua"/>
        </w:rPr>
        <w:t xml:space="preserve"> (Emire) and </w:t>
      </w:r>
      <w:r w:rsidRPr="00E3232D">
        <w:rPr>
          <w:rFonts w:ascii="Book Antiqua" w:hAnsi="Book Antiqua"/>
          <w:i/>
        </w:rPr>
        <w:t>Anigeria robusta</w:t>
      </w:r>
      <w:r w:rsidRPr="00E3232D">
        <w:rPr>
          <w:rFonts w:ascii="Book Antiqua" w:hAnsi="Book Antiqua"/>
        </w:rPr>
        <w:t xml:space="preserve"> (Asanfena), while Amoah </w:t>
      </w:r>
      <w:r w:rsidRPr="00E3232D">
        <w:rPr>
          <w:rFonts w:ascii="Book Antiqua" w:hAnsi="Book Antiqua"/>
          <w:i/>
        </w:rPr>
        <w:t>et. al.</w:t>
      </w:r>
      <w:r w:rsidRPr="00E3232D">
        <w:rPr>
          <w:rFonts w:ascii="Book Antiqua" w:hAnsi="Book Antiqua"/>
        </w:rPr>
        <w:t xml:space="preserve"> (2012) have researched into the mechanical and physical characteristics of branchwood and rootwood of Emire and Iroko/Odum (Milicia excelsa). Again Okine (2003), has also worked on the sawing characteristics of</w:t>
      </w:r>
      <w:r w:rsidRPr="00E3232D">
        <w:rPr>
          <w:rFonts w:ascii="Book Antiqua" w:hAnsi="Book Antiqua"/>
          <w:i/>
        </w:rPr>
        <w:t xml:space="preserve"> </w:t>
      </w:r>
      <w:r w:rsidRPr="00E3232D">
        <w:rPr>
          <w:rFonts w:ascii="Book Antiqua" w:hAnsi="Book Antiqua"/>
        </w:rPr>
        <w:t xml:space="preserve">Emire and Asanfena and has even used some to produce some furniture and found it workable.  However, there are no available studies on the natural durability qualities of branchwood of the Redwood species like Sapele. </w:t>
      </w:r>
    </w:p>
    <w:p w14:paraId="08FAD2CE" w14:textId="77777777" w:rsidR="00DD62F3" w:rsidRPr="00E3232D" w:rsidRDefault="00DD62F3" w:rsidP="005E5AA7">
      <w:pPr>
        <w:jc w:val="both"/>
        <w:rPr>
          <w:rFonts w:ascii="Book Antiqua" w:hAnsi="Book Antiqua"/>
        </w:rPr>
      </w:pPr>
      <w:r w:rsidRPr="00E3232D">
        <w:rPr>
          <w:rFonts w:ascii="Book Antiqua" w:hAnsi="Book Antiqua"/>
        </w:rPr>
        <w:t xml:space="preserve">Meanwhile Sapele tree has branches which could be used as alternative or supplement to stemwood in new value-added products, like garden furniture, provided that their properties, specific to the intended application, are known (Gurau </w:t>
      </w:r>
      <w:r w:rsidRPr="00E3232D">
        <w:rPr>
          <w:rFonts w:ascii="Book Antiqua" w:hAnsi="Book Antiqua"/>
          <w:i/>
        </w:rPr>
        <w:t>et. al.,</w:t>
      </w:r>
      <w:r w:rsidRPr="00E3232D">
        <w:rPr>
          <w:rFonts w:ascii="Book Antiqua" w:hAnsi="Book Antiqua"/>
        </w:rPr>
        <w:t xml:space="preserve"> 2008). One of such properties that supplies all group of persons, who deal with or use wood resources/materials, with added value information towards addressing the most appropriate use of the material is natural durability. This is because, natural durability property of wood usually gives indication of the capability of the material, in its natural state (i.e. without any preservative treatment), to withstand wood-destroying organisms and thereby affecting the service life of a product made from it (Palenti </w:t>
      </w:r>
      <w:r w:rsidRPr="00E3232D">
        <w:rPr>
          <w:rFonts w:ascii="Book Antiqua" w:hAnsi="Book Antiqua"/>
          <w:i/>
        </w:rPr>
        <w:t>et. al.</w:t>
      </w:r>
      <w:r w:rsidRPr="00E3232D">
        <w:rPr>
          <w:rFonts w:ascii="Book Antiqua" w:hAnsi="Book Antiqua"/>
        </w:rPr>
        <w:t xml:space="preserve">, 2011).  These authors also contend that, natural durability property is of much importance if the wood is to be used for outdoor and ground environment applications, like garden furniture. </w:t>
      </w:r>
    </w:p>
    <w:p w14:paraId="1975ECF3" w14:textId="77777777" w:rsidR="00DD62F3" w:rsidRPr="00E3232D" w:rsidRDefault="00DD62F3" w:rsidP="005E5AA7">
      <w:pPr>
        <w:jc w:val="both"/>
        <w:rPr>
          <w:rFonts w:ascii="Book Antiqua" w:hAnsi="Book Antiqua"/>
        </w:rPr>
      </w:pPr>
      <w:r w:rsidRPr="00E3232D">
        <w:rPr>
          <w:rFonts w:ascii="Book Antiqua" w:hAnsi="Book Antiqua"/>
        </w:rPr>
        <w:t xml:space="preserve">Garden furniture made from the Mixed-redwoods (of which Sapele is part) commands, comparatively, high monetary value even in the export market. They yield additional income of 385.50% higher than their lumber export value and placing them second, in terms of value, among all garden furniture wood species (Dadzie, 2011). But the tree’s branchwoods will be accepted for the production of garden furniture if its ability to withstand bio-degrading agents like fungi and termites in the outdoor and ground environment is known. It is for this reason that this study was conducted to investigate the natural durability quality of the branchwoods compared to the stem wood of Sapele. This move serves as part of responsiveness, of an academic, to the search for alternative or supplements to stem wood which has become a top priority problem to stakeholders in the wood industry (Coinca </w:t>
      </w:r>
      <w:r w:rsidRPr="00E3232D">
        <w:rPr>
          <w:rFonts w:ascii="Book Antiqua" w:hAnsi="Book Antiqua"/>
          <w:i/>
        </w:rPr>
        <w:t>et. al.,</w:t>
      </w:r>
      <w:r w:rsidRPr="00E3232D">
        <w:rPr>
          <w:rFonts w:ascii="Book Antiqua" w:hAnsi="Book Antiqua"/>
        </w:rPr>
        <w:t xml:space="preserve"> 2006).</w:t>
      </w:r>
    </w:p>
    <w:p w14:paraId="5C0FDE06" w14:textId="77777777" w:rsidR="00DD62F3" w:rsidRPr="00E3232D" w:rsidRDefault="00DD62F3" w:rsidP="005E5AA7">
      <w:pPr>
        <w:jc w:val="both"/>
        <w:rPr>
          <w:rFonts w:ascii="Book Antiqua" w:hAnsi="Book Antiqua"/>
        </w:rPr>
      </w:pPr>
      <w:r w:rsidRPr="00E3232D">
        <w:rPr>
          <w:rFonts w:ascii="Book Antiqua" w:hAnsi="Book Antiqua"/>
        </w:rPr>
        <w:t xml:space="preserve">The search for alternatives or supplements to an all important material like wood, and their sustainable and universal acceptance cannot be done without scientific investigations using scientific and technological approaches. However, the contribution of science and technology, towards sustainable growth and development of a country, can be meaningfully felt when her citizenry are well trained in skills and knowledge in those fields. But the realization of the benefits of these training, to a large extent, requires robust and effective Tertiary Education Sector (TES) in collaboration with industry (Dickson, 2009) in order to meet the challenge of the present dynamic society in which the constant variable is change (Lawson, 2012). </w:t>
      </w:r>
    </w:p>
    <w:p w14:paraId="67C56B69" w14:textId="77777777" w:rsidR="00DD62F3" w:rsidRPr="00E3232D" w:rsidRDefault="00DD62F3" w:rsidP="005E5AA7">
      <w:pPr>
        <w:jc w:val="both"/>
        <w:rPr>
          <w:rFonts w:ascii="Book Antiqua" w:hAnsi="Book Antiqua"/>
        </w:rPr>
      </w:pPr>
      <w:r w:rsidRPr="00E3232D">
        <w:rPr>
          <w:rFonts w:ascii="Book Antiqua" w:hAnsi="Book Antiqua"/>
        </w:rPr>
        <w:t xml:space="preserve">Thus strong linkages and research partnerships between TES and industry are needed to well improve the analytical and critical thinking capabilities of leaders of tomorrow as good managers at all levels (Dickson, 2009;  Soomro, 2009). Again, these collaborations and co-operations lead to exchange of ideas and experiences needed for innovation, design, development, production and commercialization of new or improved products, services or processes. These also aid the TES to produce the quality human and material resource needed to manage the dynamisms in societies better, and for the support and growth of industry through applied scientific research and technology transfer (NIU Outreach, 2005; Kamba, 1991;  Mattessich and Monsey, 1992). But as valuable and scarce economic resources like wood dwindle, cooperation and collaboration between research institutions (including the TES), and  entrepreneurs assumes much more importance (Kamba, 1991). </w:t>
      </w:r>
    </w:p>
    <w:p w14:paraId="1BB6962E" w14:textId="77777777" w:rsidR="00DD62F3" w:rsidRPr="00E3232D" w:rsidRDefault="00DD62F3" w:rsidP="005E5AA7">
      <w:pPr>
        <w:jc w:val="both"/>
        <w:rPr>
          <w:rFonts w:ascii="Book Antiqua" w:hAnsi="Book Antiqua"/>
        </w:rPr>
      </w:pPr>
      <w:r w:rsidRPr="00E3232D">
        <w:rPr>
          <w:rFonts w:ascii="Book Antiqua" w:hAnsi="Book Antiqua"/>
        </w:rPr>
        <w:t xml:space="preserve">These collaborations are necessary because wood has, no doubt, become a very valuable economic resource in Ghana and its dwindling trend is a threat to industrial and social development of the country. Hence collaboration and cooperation between TES and industry are vital for innovations and new materials development to salvage the situation. It is in the light of this that this study was conducted to assess whether; </w:t>
      </w:r>
      <w:r w:rsidRPr="00E3232D">
        <w:rPr>
          <w:rFonts w:ascii="Book Antiqua" w:hAnsi="Book Antiqua"/>
          <w:b/>
        </w:rPr>
        <w:t>a)</w:t>
      </w:r>
      <w:r w:rsidRPr="00E3232D">
        <w:rPr>
          <w:rFonts w:ascii="Book Antiqua" w:hAnsi="Book Antiqua"/>
        </w:rPr>
        <w:t xml:space="preserve"> Moisture content affects the natural durability of branchwood. </w:t>
      </w:r>
      <w:r w:rsidRPr="00E3232D">
        <w:rPr>
          <w:rFonts w:ascii="Book Antiqua" w:hAnsi="Book Antiqua"/>
          <w:b/>
        </w:rPr>
        <w:t>b)</w:t>
      </w:r>
      <w:r w:rsidRPr="00E3232D">
        <w:rPr>
          <w:rFonts w:ascii="Book Antiqua" w:hAnsi="Book Antiqua"/>
        </w:rPr>
        <w:t xml:space="preserve"> Natural durability of branchwood of Sapele is comparable to its Stemwood for ground or other outdoor applications like garden furniture through natural durability investigations.</w:t>
      </w:r>
    </w:p>
    <w:p w14:paraId="46AC1FED" w14:textId="77777777" w:rsidR="00DD62F3" w:rsidRPr="00E3232D" w:rsidRDefault="00DD62F3" w:rsidP="005E5AA7">
      <w:pPr>
        <w:jc w:val="both"/>
        <w:rPr>
          <w:rFonts w:ascii="Book Antiqua" w:hAnsi="Book Antiqua"/>
        </w:rPr>
      </w:pPr>
      <w:r w:rsidRPr="00E3232D">
        <w:rPr>
          <w:rFonts w:ascii="Book Antiqua" w:hAnsi="Book Antiqua"/>
        </w:rPr>
        <w:t xml:space="preserve">The questions that this study sought to answer were; </w:t>
      </w:r>
      <w:r w:rsidRPr="00E3232D">
        <w:rPr>
          <w:rFonts w:ascii="Book Antiqua" w:hAnsi="Book Antiqua"/>
          <w:b/>
        </w:rPr>
        <w:t>1)</w:t>
      </w:r>
      <w:r w:rsidRPr="00E3232D">
        <w:rPr>
          <w:rFonts w:ascii="Book Antiqua" w:hAnsi="Book Antiqua"/>
        </w:rPr>
        <w:t xml:space="preserve"> does moisture content causes any difference in the natural durability of stemwod and branchwood?, </w:t>
      </w:r>
      <w:r w:rsidRPr="00E3232D">
        <w:rPr>
          <w:rFonts w:ascii="Book Antiqua" w:hAnsi="Book Antiqua"/>
          <w:b/>
        </w:rPr>
        <w:t>2)</w:t>
      </w:r>
      <w:r w:rsidRPr="00E3232D">
        <w:rPr>
          <w:rFonts w:ascii="Book Antiqua" w:hAnsi="Book Antiqua"/>
        </w:rPr>
        <w:t xml:space="preserve"> how comparable is the natural durability of branchwoods to that of stemwoods?</w:t>
      </w:r>
    </w:p>
    <w:p w14:paraId="5451B04C" w14:textId="77777777" w:rsidR="00B64695" w:rsidRDefault="00B64695" w:rsidP="005E5AA7">
      <w:pPr>
        <w:jc w:val="both"/>
        <w:rPr>
          <w:rFonts w:ascii="Book Antiqua" w:hAnsi="Book Antiqua"/>
          <w:b/>
        </w:rPr>
      </w:pPr>
    </w:p>
    <w:p w14:paraId="5CE52E59" w14:textId="77777777" w:rsidR="00DD62F3" w:rsidRPr="005E5AA7" w:rsidRDefault="00DD62F3" w:rsidP="005E5AA7">
      <w:pPr>
        <w:jc w:val="both"/>
        <w:rPr>
          <w:rFonts w:ascii="Book Antiqua" w:hAnsi="Book Antiqua"/>
          <w:b/>
          <w:sz w:val="26"/>
          <w:szCs w:val="26"/>
        </w:rPr>
      </w:pPr>
      <w:r w:rsidRPr="005E5AA7">
        <w:rPr>
          <w:rFonts w:ascii="Book Antiqua" w:hAnsi="Book Antiqua"/>
          <w:b/>
          <w:sz w:val="26"/>
          <w:szCs w:val="26"/>
        </w:rPr>
        <w:t>2.0: Methodology</w:t>
      </w:r>
    </w:p>
    <w:p w14:paraId="5F2FE4E5" w14:textId="77777777" w:rsidR="00DD62F3" w:rsidRPr="005E5AA7" w:rsidRDefault="00DD62F3" w:rsidP="005E5AA7">
      <w:pPr>
        <w:jc w:val="both"/>
        <w:rPr>
          <w:rFonts w:ascii="Book Antiqua" w:hAnsi="Book Antiqua"/>
          <w:b/>
          <w:sz w:val="26"/>
          <w:szCs w:val="26"/>
        </w:rPr>
      </w:pPr>
      <w:r w:rsidRPr="005E5AA7">
        <w:rPr>
          <w:rFonts w:ascii="Book Antiqua" w:hAnsi="Book Antiqua"/>
          <w:b/>
          <w:sz w:val="26"/>
          <w:szCs w:val="26"/>
        </w:rPr>
        <w:t>2.1: Research Design</w:t>
      </w:r>
    </w:p>
    <w:p w14:paraId="4B6D19DB" w14:textId="77777777" w:rsidR="00DD62F3" w:rsidRPr="00E3232D" w:rsidRDefault="00DD62F3" w:rsidP="005E5AA7">
      <w:pPr>
        <w:jc w:val="both"/>
        <w:rPr>
          <w:rFonts w:ascii="Book Antiqua" w:hAnsi="Book Antiqua"/>
        </w:rPr>
      </w:pPr>
      <w:r w:rsidRPr="00E3232D">
        <w:rPr>
          <w:rFonts w:ascii="Book Antiqua" w:hAnsi="Book Antiqua"/>
        </w:rPr>
        <w:t xml:space="preserve">The research was to study and compare the natural durability of stem and branch woods of </w:t>
      </w:r>
      <w:r w:rsidRPr="00E3232D">
        <w:rPr>
          <w:rFonts w:ascii="Book Antiqua" w:hAnsi="Book Antiqua"/>
          <w:i/>
        </w:rPr>
        <w:t>Entandrophragma cylindricum</w:t>
      </w:r>
      <w:r w:rsidRPr="00E3232D">
        <w:rPr>
          <w:rFonts w:ascii="Book Antiqua" w:hAnsi="Book Antiqua"/>
        </w:rPr>
        <w:t xml:space="preserve"> (Sapele). The research applied the soil block test for a period of 11 months using European standard EN 252 (European Committee of Standards- EN 252, 1989). The study measured natural durability in terms of weight losses and extent of destruction/attack, by biological agents. Weight loss was quantitatively measured on a 4 points percentage scale as; 0-5% loss = Very durable, 6-10% loss = Durable, 11-40% loss =moderately durable, and 41-100% loss= Non-durable (EN 252; Eaton &amp; Hale, 1993). The extent of attack was however, qualitatively measured on a 5 points visual rating scale provided by EN 252 as; 0 = No attack, 1 = Slight attack, 2 = Moderate attack, 3 = Severe attack, and 4 = Failure (completely destroyed).</w:t>
      </w:r>
    </w:p>
    <w:p w14:paraId="3385B948" w14:textId="77777777" w:rsidR="00DD62F3" w:rsidRPr="00E3232D" w:rsidRDefault="00DD62F3" w:rsidP="008275E1">
      <w:pPr>
        <w:rPr>
          <w:rFonts w:ascii="Book Antiqua" w:hAnsi="Book Antiqua"/>
        </w:rPr>
      </w:pPr>
      <w:r w:rsidRPr="00E3232D">
        <w:rPr>
          <w:rFonts w:ascii="Book Antiqua" w:hAnsi="Book Antiqua"/>
        </w:rPr>
        <w:t xml:space="preserve"> It was predicted that these measures of natural durability depend on moisture content (MC) of samples and the part of wood (branch or stem). </w:t>
      </w:r>
    </w:p>
    <w:p w14:paraId="2C21C704" w14:textId="77777777" w:rsidR="00DD62F3" w:rsidRPr="00E3232D" w:rsidRDefault="00DD62F3" w:rsidP="008275E1">
      <w:pPr>
        <w:rPr>
          <w:rFonts w:ascii="Book Antiqua" w:hAnsi="Book Antiqua"/>
        </w:rPr>
      </w:pPr>
      <w:r w:rsidRPr="00E3232D">
        <w:rPr>
          <w:rFonts w:ascii="Book Antiqua" w:hAnsi="Book Antiqua"/>
        </w:rPr>
        <w:t xml:space="preserve">These predictions were based on the assertion that, higher MC in wood implies; more sap to serve as food for biological agents that destroy wood (Haygreen &amp;Bowyer, 1996; Eaton &amp; Hale, 1993). The authors also contend that the high moisture (sap) in wood can also softens the wood cells to permit easy penetration by those agents. Therefore it was expected that the higher the MC, the more the wood is liable to destruction and the lower the natural durability. Haygreen and Bowyer (1996) have, again, indicated that branchwood is different from stemwood of same tree in many ways, spanning from anatomy through physical to chemical and mechanical properties. Hence it was expected that these differences may also influence their natural disabilities. </w:t>
      </w:r>
    </w:p>
    <w:p w14:paraId="26DC9F59" w14:textId="77777777" w:rsidR="00DD62F3" w:rsidRPr="00EB2A77" w:rsidRDefault="00EB2A77" w:rsidP="008275E1">
      <w:pPr>
        <w:rPr>
          <w:rFonts w:ascii="Book Antiqua" w:hAnsi="Book Antiqua"/>
          <w:szCs w:val="26"/>
        </w:rPr>
      </w:pPr>
      <w:r w:rsidRPr="00EB2A77">
        <w:rPr>
          <w:rFonts w:ascii="Book Antiqua" w:hAnsi="Book Antiqua"/>
          <w:b/>
          <w:szCs w:val="26"/>
        </w:rPr>
        <w:t>2.2: Samples Collection</w:t>
      </w:r>
      <w:r w:rsidRPr="00EB2A77">
        <w:rPr>
          <w:rFonts w:ascii="Book Antiqua" w:hAnsi="Book Antiqua"/>
          <w:szCs w:val="26"/>
        </w:rPr>
        <w:t xml:space="preserve"> </w:t>
      </w:r>
    </w:p>
    <w:p w14:paraId="78D9EA54" w14:textId="77777777" w:rsidR="00DD62F3" w:rsidRPr="00E3232D" w:rsidRDefault="00DD62F3" w:rsidP="008275E1">
      <w:pPr>
        <w:rPr>
          <w:rFonts w:ascii="Book Antiqua" w:hAnsi="Book Antiqua"/>
        </w:rPr>
      </w:pPr>
      <w:r w:rsidRPr="00E3232D">
        <w:rPr>
          <w:rFonts w:ascii="Book Antiqua" w:hAnsi="Book Antiqua"/>
        </w:rPr>
        <w:t>Samples of branchwoods of the wood of Sapele</w:t>
      </w:r>
      <w:r w:rsidRPr="00E3232D">
        <w:rPr>
          <w:rFonts w:ascii="Book Antiqua" w:hAnsi="Book Antiqua"/>
          <w:i/>
        </w:rPr>
        <w:t xml:space="preserve"> (Entandrophragma cylindricum</w:t>
      </w:r>
      <w:r w:rsidRPr="00E3232D">
        <w:rPr>
          <w:rFonts w:ascii="Book Antiqua" w:hAnsi="Book Antiqua"/>
        </w:rPr>
        <w:t xml:space="preserve">) were extracted from a total of four trees from two forest reserves within two ecological zones of Ghana (two trees from each zone). In all, 8 branch logs consisting of two logs from each tree (diameters and lengths ranged from 26cm to 52cm, and 1.5m to 2m respectively) were extracted. </w:t>
      </w:r>
    </w:p>
    <w:p w14:paraId="5AFF7FEA" w14:textId="77777777" w:rsidR="00DD62F3" w:rsidRPr="00E3232D" w:rsidRDefault="00DD62F3" w:rsidP="008275E1">
      <w:pPr>
        <w:rPr>
          <w:rFonts w:ascii="Book Antiqua" w:hAnsi="Book Antiqua"/>
        </w:rPr>
      </w:pPr>
      <w:r w:rsidRPr="00E3232D">
        <w:rPr>
          <w:rFonts w:ascii="Book Antiqua" w:hAnsi="Book Antiqua"/>
        </w:rPr>
        <w:t>The forest reserves are: Asukawkaw at Awronsua near Nkawkaw in the Eastern Region (a moist semi-deciduous-South East type forest) which is within the boundaries of longitude 0</w:t>
      </w:r>
      <w:r w:rsidRPr="00E3232D">
        <w:rPr>
          <w:rFonts w:ascii="Book Antiqua" w:hAnsi="Book Antiqua"/>
          <w:vertAlign w:val="superscript"/>
        </w:rPr>
        <w:t xml:space="preserve">0 </w:t>
      </w:r>
      <w:r w:rsidRPr="00E3232D">
        <w:rPr>
          <w:rFonts w:ascii="Book Antiqua" w:hAnsi="Book Antiqua"/>
        </w:rPr>
        <w:t>1</w:t>
      </w:r>
      <w:r w:rsidRPr="00E3232D">
        <w:rPr>
          <w:rFonts w:ascii="Book Antiqua" w:hAnsi="Book Antiqua"/>
          <w:vertAlign w:val="superscript"/>
        </w:rPr>
        <w:t xml:space="preserve">0 </w:t>
      </w:r>
      <w:r w:rsidRPr="00E3232D">
        <w:rPr>
          <w:rFonts w:ascii="Book Antiqua" w:hAnsi="Book Antiqua"/>
        </w:rPr>
        <w:t>W and latitude 6</w:t>
      </w:r>
      <w:r w:rsidRPr="00E3232D">
        <w:rPr>
          <w:rFonts w:ascii="Book Antiqua" w:hAnsi="Book Antiqua"/>
          <w:vertAlign w:val="superscript"/>
        </w:rPr>
        <w:t>0</w:t>
      </w:r>
      <w:r w:rsidRPr="00E3232D">
        <w:rPr>
          <w:rFonts w:ascii="Book Antiqua" w:hAnsi="Book Antiqua"/>
        </w:rPr>
        <w:t xml:space="preserve"> 7</w:t>
      </w:r>
      <w:r w:rsidRPr="00E3232D">
        <w:rPr>
          <w:rFonts w:ascii="Book Antiqua" w:hAnsi="Book Antiqua"/>
          <w:vertAlign w:val="superscript"/>
        </w:rPr>
        <w:t>0</w:t>
      </w:r>
      <w:r w:rsidRPr="00E3232D">
        <w:rPr>
          <w:rFonts w:ascii="Book Antiqua" w:hAnsi="Book Antiqua"/>
        </w:rPr>
        <w:t xml:space="preserve"> N, and Suie at Nsawora near Sefwi Wiawso in the Western Region (a Moist Evergreen forest) which is within the boundaries of longitude 2</w:t>
      </w:r>
      <w:r w:rsidRPr="00E3232D">
        <w:rPr>
          <w:rFonts w:ascii="Book Antiqua" w:hAnsi="Book Antiqua"/>
          <w:vertAlign w:val="superscript"/>
        </w:rPr>
        <w:t>0</w:t>
      </w:r>
      <w:r w:rsidRPr="00E3232D">
        <w:rPr>
          <w:rFonts w:ascii="Book Antiqua" w:hAnsi="Book Antiqua"/>
        </w:rPr>
        <w:t xml:space="preserve"> 3</w:t>
      </w:r>
      <w:r w:rsidRPr="00E3232D">
        <w:rPr>
          <w:rFonts w:ascii="Book Antiqua" w:hAnsi="Book Antiqua"/>
          <w:vertAlign w:val="superscript"/>
        </w:rPr>
        <w:t>0</w:t>
      </w:r>
      <w:r w:rsidRPr="00E3232D">
        <w:rPr>
          <w:rFonts w:ascii="Book Antiqua" w:hAnsi="Book Antiqua"/>
        </w:rPr>
        <w:t xml:space="preserve"> W and latitude 6</w:t>
      </w:r>
      <w:r w:rsidRPr="00E3232D">
        <w:rPr>
          <w:rFonts w:ascii="Book Antiqua" w:hAnsi="Book Antiqua"/>
          <w:vertAlign w:val="superscript"/>
        </w:rPr>
        <w:t>0</w:t>
      </w:r>
      <w:r w:rsidRPr="00E3232D">
        <w:rPr>
          <w:rFonts w:ascii="Book Antiqua" w:hAnsi="Book Antiqua"/>
        </w:rPr>
        <w:t xml:space="preserve"> 7</w:t>
      </w:r>
      <w:r w:rsidRPr="00E3232D">
        <w:rPr>
          <w:rFonts w:ascii="Book Antiqua" w:hAnsi="Book Antiqua"/>
          <w:vertAlign w:val="superscript"/>
        </w:rPr>
        <w:t>0</w:t>
      </w:r>
      <w:r w:rsidRPr="00E3232D">
        <w:rPr>
          <w:rFonts w:ascii="Book Antiqua" w:hAnsi="Book Antiqua"/>
        </w:rPr>
        <w:t xml:space="preserve"> N, all of which are concessions of Logs and Lumber Limited (LLL)- a timber processing firm in Kumasi, located at Asokwa and close to the Asokwa interchange.</w:t>
      </w:r>
    </w:p>
    <w:p w14:paraId="16DB2753" w14:textId="77777777" w:rsidR="005E5AA7" w:rsidRPr="00EB2A77" w:rsidRDefault="00DD62F3" w:rsidP="008275E1">
      <w:pPr>
        <w:rPr>
          <w:rFonts w:ascii="Book Antiqua" w:hAnsi="Book Antiqua"/>
        </w:rPr>
      </w:pPr>
      <w:r w:rsidRPr="00E3232D">
        <w:rPr>
          <w:rFonts w:ascii="Book Antiqua" w:hAnsi="Book Antiqua"/>
        </w:rPr>
        <w:t xml:space="preserve">The species’ stemwood samples were obtained, from logs from the same forest reserves where branch logs were extracted, at LLL factory premises (as it was not possible to extract some from the forests). Samples from two stem logs from each of the forest reserves were taken. Hence stemwood samples were taken from 4 logs. </w:t>
      </w:r>
    </w:p>
    <w:p w14:paraId="70806388" w14:textId="77777777" w:rsidR="00DD62F3" w:rsidRPr="00EB2A77" w:rsidRDefault="00DD62F3" w:rsidP="008275E1">
      <w:pPr>
        <w:rPr>
          <w:rFonts w:ascii="Book Antiqua" w:hAnsi="Book Antiqua"/>
          <w:b/>
          <w:szCs w:val="26"/>
        </w:rPr>
      </w:pPr>
      <w:r w:rsidRPr="00EB2A77">
        <w:rPr>
          <w:rFonts w:ascii="Book Antiqua" w:hAnsi="Book Antiqua"/>
          <w:b/>
          <w:szCs w:val="26"/>
        </w:rPr>
        <w:t xml:space="preserve">2.3: Samples </w:t>
      </w:r>
      <w:r w:rsidR="00EB2A77" w:rsidRPr="00EB2A77">
        <w:rPr>
          <w:rFonts w:ascii="Book Antiqua" w:hAnsi="Book Antiqua"/>
          <w:b/>
          <w:szCs w:val="26"/>
        </w:rPr>
        <w:t>Preparation</w:t>
      </w:r>
      <w:r w:rsidRPr="00EB2A77">
        <w:rPr>
          <w:rFonts w:ascii="Book Antiqua" w:hAnsi="Book Antiqua"/>
          <w:b/>
          <w:szCs w:val="26"/>
        </w:rPr>
        <w:t>:</w:t>
      </w:r>
    </w:p>
    <w:p w14:paraId="08774415" w14:textId="77777777" w:rsidR="00DD62F3" w:rsidRPr="00E3232D" w:rsidRDefault="00DD62F3" w:rsidP="008275E1">
      <w:pPr>
        <w:rPr>
          <w:rFonts w:ascii="Book Antiqua" w:hAnsi="Book Antiqua"/>
        </w:rPr>
      </w:pPr>
      <w:r w:rsidRPr="00E3232D">
        <w:rPr>
          <w:rFonts w:ascii="Book Antiqua" w:hAnsi="Book Antiqua"/>
        </w:rPr>
        <w:t xml:space="preserve">All the branch logs were conveyed from the forests to LLL for processing. The logs were initially processed into rough lumber boards of 25mm thickness with various widths and to the lengths of the logs. The same vertical bandmills that are being used for the conversion of logs in the factory were used for the conversion of the branch logs. Both Through-and-through and quarter sawn methods were used for the conversion of the logs to lumber. </w:t>
      </w:r>
      <w:r w:rsidRPr="00E3232D">
        <w:rPr>
          <w:rFonts w:ascii="Book Antiqua" w:hAnsi="Book Antiqua"/>
          <w:b/>
          <w:i/>
        </w:rPr>
        <w:t>Figure 1</w:t>
      </w:r>
      <w:r w:rsidRPr="00E3232D">
        <w:rPr>
          <w:rFonts w:ascii="Book Antiqua" w:hAnsi="Book Antiqua"/>
        </w:rPr>
        <w:t xml:space="preserve"> shows branch log being converted on a bandmill.</w:t>
      </w:r>
    </w:p>
    <w:p w14:paraId="627B8DDA" w14:textId="77777777" w:rsidR="00EB2A77" w:rsidRDefault="00EB2A77" w:rsidP="008275E1">
      <w:pPr>
        <w:rPr>
          <w:rFonts w:ascii="Book Antiqua" w:hAnsi="Book Antiqua"/>
          <w:b/>
        </w:rPr>
      </w:pPr>
    </w:p>
    <w:p w14:paraId="38FDD530" w14:textId="77777777" w:rsidR="00DD62F3" w:rsidRPr="00E3232D" w:rsidRDefault="00DD62F3" w:rsidP="008275E1">
      <w:pPr>
        <w:rPr>
          <w:rFonts w:ascii="Book Antiqua" w:hAnsi="Book Antiqua"/>
          <w:b/>
        </w:rPr>
      </w:pPr>
      <w:r w:rsidRPr="00E3232D">
        <w:rPr>
          <w:rFonts w:ascii="Book Antiqua" w:hAnsi="Book Antiqua"/>
          <w:b/>
        </w:rPr>
        <w:t xml:space="preserve">Figure 1: Branch log being converted on a </w:t>
      </w:r>
    </w:p>
    <w:p w14:paraId="7CE868FA" w14:textId="77777777" w:rsidR="00DD62F3" w:rsidRPr="00E3232D" w:rsidRDefault="00DD62F3" w:rsidP="008275E1">
      <w:pPr>
        <w:ind w:firstLine="720"/>
        <w:rPr>
          <w:rFonts w:ascii="Book Antiqua" w:hAnsi="Book Antiqua"/>
          <w:b/>
        </w:rPr>
      </w:pPr>
      <w:r w:rsidRPr="00E3232D">
        <w:rPr>
          <w:rFonts w:ascii="Book Antiqua" w:hAnsi="Book Antiqua"/>
          <w:b/>
        </w:rPr>
        <w:t xml:space="preserve">     Bandmill at LLL.</w:t>
      </w:r>
    </w:p>
    <w:p w14:paraId="7B103727" w14:textId="77777777" w:rsidR="00DD62F3" w:rsidRPr="00E3232D" w:rsidRDefault="007005B1" w:rsidP="008275E1">
      <w:pPr>
        <w:rPr>
          <w:rFonts w:ascii="Book Antiqua" w:hAnsi="Book Antiqua"/>
        </w:rPr>
      </w:pPr>
      <w:r>
        <w:rPr>
          <w:rFonts w:ascii="Book Antiqua" w:hAnsi="Book Antiqua"/>
          <w:noProof/>
          <w:lang w:bidi="ar-SA"/>
        </w:rPr>
        <w:drawing>
          <wp:inline distT="0" distB="0" distL="0" distR="0" wp14:anchorId="00E966A2" wp14:editId="1513112C">
            <wp:extent cx="2924175" cy="2171700"/>
            <wp:effectExtent l="19050" t="0" r="9525" b="0"/>
            <wp:docPr id="233" name="Picture 156" descr="branch wood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branch wood 003"/>
                    <pic:cNvPicPr>
                      <a:picLocks noChangeAspect="1" noChangeArrowheads="1"/>
                    </pic:cNvPicPr>
                  </pic:nvPicPr>
                  <pic:blipFill>
                    <a:blip r:embed="rId340">
                      <a:grayscl/>
                    </a:blip>
                    <a:srcRect/>
                    <a:stretch>
                      <a:fillRect/>
                    </a:stretch>
                  </pic:blipFill>
                  <pic:spPr bwMode="auto">
                    <a:xfrm>
                      <a:off x="0" y="0"/>
                      <a:ext cx="2924175" cy="2171700"/>
                    </a:xfrm>
                    <a:prstGeom prst="rect">
                      <a:avLst/>
                    </a:prstGeom>
                    <a:noFill/>
                    <a:ln w="9525">
                      <a:noFill/>
                      <a:miter lim="800000"/>
                      <a:headEnd/>
                      <a:tailEnd/>
                    </a:ln>
                  </pic:spPr>
                </pic:pic>
              </a:graphicData>
            </a:graphic>
          </wp:inline>
        </w:drawing>
      </w:r>
    </w:p>
    <w:p w14:paraId="3820C895" w14:textId="77777777" w:rsidR="00DD62F3" w:rsidRPr="00E3232D" w:rsidRDefault="00DD62F3" w:rsidP="008275E1">
      <w:pPr>
        <w:rPr>
          <w:rFonts w:ascii="Book Antiqua" w:hAnsi="Book Antiqua"/>
        </w:rPr>
      </w:pPr>
    </w:p>
    <w:p w14:paraId="5CBBC7E1" w14:textId="77777777" w:rsidR="00DD62F3" w:rsidRPr="00E3232D" w:rsidRDefault="00DD62F3" w:rsidP="00EB2A77">
      <w:pPr>
        <w:jc w:val="both"/>
        <w:rPr>
          <w:rFonts w:ascii="Book Antiqua" w:hAnsi="Book Antiqua"/>
        </w:rPr>
      </w:pPr>
      <w:r w:rsidRPr="00E3232D">
        <w:rPr>
          <w:rFonts w:ascii="Book Antiqua" w:hAnsi="Book Antiqua"/>
        </w:rPr>
        <w:t>However, Stemwood samples were taken from approximately mid-sections, of logs after the company have converted them into lumber.</w:t>
      </w:r>
    </w:p>
    <w:p w14:paraId="2AEFF515" w14:textId="77777777" w:rsidR="00DD62F3" w:rsidRPr="00E3232D" w:rsidRDefault="00DD62F3" w:rsidP="00EB2A77">
      <w:pPr>
        <w:jc w:val="both"/>
        <w:rPr>
          <w:rFonts w:ascii="Book Antiqua" w:hAnsi="Book Antiqua"/>
        </w:rPr>
      </w:pPr>
      <w:r w:rsidRPr="00E3232D">
        <w:rPr>
          <w:rFonts w:ascii="Book Antiqua" w:hAnsi="Book Antiqua"/>
        </w:rPr>
        <w:t>After the conversion, both branch and stem boards were re-sawn and crosscut to dimensions of 25mm x 60mm x 300mm but grouped according to the two trees and the two reserves from which they were obtained. Clear heartwoods were then sampled from each group, after which both branch and stem samples were regrouped into two, thus obtaining 4 groups in all (two groups for branchwoods and 2 groups for stemwoods). One group each of stemwood and branchwood groups was then kiln-dried (KD) to Moisture Content (MC) of 6% to 11% while the other group was allowed to air-dry (AD) to MC of 14% to 22%. All samples were finally prepared, at Kumasi Polytechnic’s Interior Architecture and Furniture Production Department’s workshop, to dimensions of 12.5mm x 25mm x 250mm (modified dimensions under European Standard- EN 252 and acceptably used by Quartey, et. al., (2008).</w:t>
      </w:r>
    </w:p>
    <w:p w14:paraId="5299E126" w14:textId="77777777" w:rsidR="00DD62F3" w:rsidRPr="00E3232D" w:rsidRDefault="00DD62F3" w:rsidP="00EB2A77">
      <w:pPr>
        <w:jc w:val="both"/>
        <w:rPr>
          <w:rFonts w:ascii="Book Antiqua" w:hAnsi="Book Antiqua"/>
        </w:rPr>
      </w:pPr>
    </w:p>
    <w:p w14:paraId="745F4352" w14:textId="77777777" w:rsidR="00DD62F3" w:rsidRPr="00EB2A77" w:rsidRDefault="00EB2A77" w:rsidP="00EB2A77">
      <w:pPr>
        <w:jc w:val="both"/>
        <w:rPr>
          <w:rFonts w:ascii="Book Antiqua" w:hAnsi="Book Antiqua"/>
          <w:b/>
          <w:szCs w:val="26"/>
        </w:rPr>
      </w:pPr>
      <w:r w:rsidRPr="00EB2A77">
        <w:rPr>
          <w:rFonts w:ascii="Book Antiqua" w:hAnsi="Book Antiqua"/>
          <w:b/>
          <w:szCs w:val="26"/>
        </w:rPr>
        <w:t>2.4: Data Collection</w:t>
      </w:r>
    </w:p>
    <w:p w14:paraId="05A69CCD" w14:textId="77777777" w:rsidR="00DD62F3" w:rsidRPr="00E3232D" w:rsidRDefault="00DD62F3" w:rsidP="00EB2A77">
      <w:pPr>
        <w:jc w:val="both"/>
        <w:rPr>
          <w:rFonts w:ascii="Book Antiqua" w:hAnsi="Book Antiqua"/>
        </w:rPr>
      </w:pPr>
      <w:r w:rsidRPr="00E3232D">
        <w:rPr>
          <w:rFonts w:ascii="Book Antiqua" w:hAnsi="Book Antiqua"/>
        </w:rPr>
        <w:t xml:space="preserve">For each MC level, 32 study samples were used (16 replicates of branchwood and 16 replicates of stemwood). Thus for the two MC levels, a total of 64 study samples were used (16 A.D replicates and 16 K.D ones for stem wood, and another 16 A.D replicates and 16 K.D ones for branchwood). Additional 32 samples of Onyina – </w:t>
      </w:r>
      <w:r w:rsidRPr="00E3232D">
        <w:rPr>
          <w:rFonts w:ascii="Book Antiqua" w:hAnsi="Book Antiqua"/>
          <w:i/>
        </w:rPr>
        <w:t>Ceiba pentandra</w:t>
      </w:r>
      <w:r w:rsidRPr="00E3232D">
        <w:rPr>
          <w:rFonts w:ascii="Book Antiqua" w:hAnsi="Book Antiqua"/>
        </w:rPr>
        <w:t xml:space="preserve"> stem wood (16 A.D replicates and 16 K.D ones) prepared to similar dimensions like the study samples were used as reference materials. Since Onyina was only a reference material, and for that matter its branches were not under study, no branchwood samples of the species were included. Hence a grand total of 96 samples were used for the soil block test in accordance with EN 252.</w:t>
      </w:r>
    </w:p>
    <w:p w14:paraId="63DA0943" w14:textId="77777777" w:rsidR="00DD62F3" w:rsidRPr="00E3232D" w:rsidRDefault="00DD62F3" w:rsidP="00EB2A77">
      <w:pPr>
        <w:jc w:val="both"/>
        <w:rPr>
          <w:rFonts w:ascii="Book Antiqua" w:hAnsi="Book Antiqua"/>
        </w:rPr>
      </w:pPr>
      <w:r w:rsidRPr="00E3232D">
        <w:rPr>
          <w:rFonts w:ascii="Book Antiqua" w:hAnsi="Book Antiqua"/>
        </w:rPr>
        <w:t xml:space="preserve">All samples were first weighed, given identification tagging and reweighed using electronic balance that has accuracy of 0.01g. Densities of all replicates were determined as ratios of their masses to their volumes. </w:t>
      </w:r>
    </w:p>
    <w:p w14:paraId="3EA2304C" w14:textId="77777777" w:rsidR="00DD62F3" w:rsidRPr="00E3232D" w:rsidRDefault="00DD62F3" w:rsidP="00EB2A77">
      <w:pPr>
        <w:jc w:val="both"/>
        <w:rPr>
          <w:rFonts w:ascii="Book Antiqua" w:hAnsi="Book Antiqua"/>
        </w:rPr>
      </w:pPr>
      <w:r w:rsidRPr="00E3232D">
        <w:rPr>
          <w:rFonts w:ascii="Book Antiqua" w:hAnsi="Book Antiqua"/>
        </w:rPr>
        <w:t>On the field, the samples were planted to half of their lengths into the soil in rows and at distances of 300mm between replicates and samples of same moisture content range, and 600mm between samples of different moisture content range. All plantings were done on a demarcated termite prone site (used for such studies) in the farms of Kwame Nkrumah University of Science and Technology. The stakes, on the field were inspected, at least, once each two months, to ascertain the state of the stakes from time to time. After the samples had been in the soil for almost 11 months (from 8</w:t>
      </w:r>
      <w:r w:rsidRPr="00E3232D">
        <w:rPr>
          <w:rFonts w:ascii="Book Antiqua" w:hAnsi="Book Antiqua"/>
          <w:vertAlign w:val="superscript"/>
        </w:rPr>
        <w:t>th</w:t>
      </w:r>
      <w:r w:rsidRPr="00E3232D">
        <w:rPr>
          <w:rFonts w:ascii="Book Antiqua" w:hAnsi="Book Antiqua"/>
        </w:rPr>
        <w:t xml:space="preserve"> March, 2012 to 26</w:t>
      </w:r>
      <w:r w:rsidRPr="00E3232D">
        <w:rPr>
          <w:rFonts w:ascii="Book Antiqua" w:hAnsi="Book Antiqua"/>
          <w:vertAlign w:val="superscript"/>
        </w:rPr>
        <w:t>th</w:t>
      </w:r>
      <w:r w:rsidRPr="00E3232D">
        <w:rPr>
          <w:rFonts w:ascii="Book Antiqua" w:hAnsi="Book Antiqua"/>
        </w:rPr>
        <w:t xml:space="preserve"> January, 2013), durability evaluation based on weight loss, according to </w:t>
      </w:r>
    </w:p>
    <w:p w14:paraId="6F23AF18" w14:textId="77777777" w:rsidR="00DD62F3" w:rsidRPr="00E3232D" w:rsidRDefault="00DD62F3" w:rsidP="00EB2A77">
      <w:pPr>
        <w:jc w:val="both"/>
        <w:rPr>
          <w:rFonts w:ascii="Book Antiqua" w:hAnsi="Book Antiqua"/>
        </w:rPr>
      </w:pPr>
      <w:r w:rsidRPr="00E3232D">
        <w:rPr>
          <w:rFonts w:ascii="Book Antiqua" w:hAnsi="Book Antiqua"/>
        </w:rPr>
        <w:t xml:space="preserve">Eaton and Hale (1993), and visual rating specified in EN 252 were used. Quartey </w:t>
      </w:r>
      <w:r w:rsidRPr="00E3232D">
        <w:rPr>
          <w:rFonts w:ascii="Book Antiqua" w:hAnsi="Book Antiqua"/>
          <w:i/>
        </w:rPr>
        <w:t>et. al</w:t>
      </w:r>
      <w:r w:rsidRPr="00E3232D">
        <w:rPr>
          <w:rFonts w:ascii="Book Antiqua" w:hAnsi="Book Antiqua"/>
        </w:rPr>
        <w:t xml:space="preserve">., (2008) acceptably used 6 months to evaluating the natural durability of some lesser-known Ghanaian wood species using this same standard. </w:t>
      </w:r>
      <w:r w:rsidRPr="00E3232D">
        <w:rPr>
          <w:rFonts w:ascii="Book Antiqua" w:hAnsi="Book Antiqua"/>
          <w:b/>
          <w:i/>
        </w:rPr>
        <w:t>Figure 2</w:t>
      </w:r>
      <w:r w:rsidRPr="00E3232D">
        <w:rPr>
          <w:rFonts w:ascii="Book Antiqua" w:hAnsi="Book Antiqua"/>
        </w:rPr>
        <w:t xml:space="preserve"> shows the stakes being planted on the field.</w:t>
      </w:r>
    </w:p>
    <w:p w14:paraId="4701239B" w14:textId="77777777" w:rsidR="00B64695" w:rsidRDefault="00B64695" w:rsidP="00EB2A77">
      <w:pPr>
        <w:jc w:val="both"/>
        <w:rPr>
          <w:rFonts w:ascii="Book Antiqua" w:hAnsi="Book Antiqua"/>
          <w:b/>
        </w:rPr>
      </w:pPr>
    </w:p>
    <w:p w14:paraId="11BFBCC4" w14:textId="77777777" w:rsidR="00DD62F3" w:rsidRPr="005E5AA7" w:rsidRDefault="00DD62F3" w:rsidP="00EB2A77">
      <w:pPr>
        <w:jc w:val="both"/>
        <w:rPr>
          <w:rFonts w:ascii="Book Antiqua" w:hAnsi="Book Antiqua"/>
          <w:b/>
          <w:sz w:val="26"/>
          <w:szCs w:val="26"/>
        </w:rPr>
      </w:pPr>
      <w:r w:rsidRPr="005E5AA7">
        <w:rPr>
          <w:rFonts w:ascii="Book Antiqua" w:hAnsi="Book Antiqua"/>
          <w:b/>
          <w:sz w:val="26"/>
          <w:szCs w:val="26"/>
        </w:rPr>
        <w:t xml:space="preserve">3.0: Results of the </w:t>
      </w:r>
      <w:r w:rsidR="00EB2A77" w:rsidRPr="005E5AA7">
        <w:rPr>
          <w:rFonts w:ascii="Book Antiqua" w:hAnsi="Book Antiqua"/>
          <w:b/>
          <w:sz w:val="26"/>
          <w:szCs w:val="26"/>
        </w:rPr>
        <w:t>Study</w:t>
      </w:r>
    </w:p>
    <w:p w14:paraId="03B95B50" w14:textId="77777777" w:rsidR="00DD62F3" w:rsidRPr="00E3232D" w:rsidRDefault="00DD62F3" w:rsidP="00EB2A77">
      <w:pPr>
        <w:jc w:val="both"/>
        <w:rPr>
          <w:rFonts w:ascii="Book Antiqua" w:hAnsi="Book Antiqua"/>
        </w:rPr>
      </w:pPr>
      <w:r w:rsidRPr="00E3232D">
        <w:rPr>
          <w:rFonts w:ascii="Book Antiqua" w:hAnsi="Book Antiqua"/>
        </w:rPr>
        <w:t xml:space="preserve">Results from the soil block test as indicated by the percentage weight loss and the visual ratings with their respective standard deviations </w:t>
      </w:r>
    </w:p>
    <w:p w14:paraId="78F0B0B3" w14:textId="77777777" w:rsidR="00DD62F3" w:rsidRPr="00E3232D" w:rsidRDefault="00DD62F3" w:rsidP="00EB2A77">
      <w:pPr>
        <w:jc w:val="both"/>
        <w:rPr>
          <w:rFonts w:ascii="Book Antiqua" w:hAnsi="Book Antiqua"/>
        </w:rPr>
      </w:pPr>
      <w:r w:rsidRPr="00E3232D">
        <w:rPr>
          <w:rFonts w:ascii="Book Antiqua" w:hAnsi="Book Antiqua"/>
        </w:rPr>
        <w:t xml:space="preserve">and durability classifications are as presented in </w:t>
      </w:r>
      <w:r w:rsidRPr="00E3232D">
        <w:rPr>
          <w:rFonts w:ascii="Book Antiqua" w:hAnsi="Book Antiqua"/>
          <w:b/>
          <w:i/>
        </w:rPr>
        <w:t>Table 1</w:t>
      </w:r>
      <w:r w:rsidRPr="00E3232D">
        <w:rPr>
          <w:rFonts w:ascii="Book Antiqua" w:hAnsi="Book Antiqua"/>
        </w:rPr>
        <w:t xml:space="preserve"> and </w:t>
      </w:r>
      <w:r w:rsidRPr="00E3232D">
        <w:rPr>
          <w:rFonts w:ascii="Book Antiqua" w:hAnsi="Book Antiqua"/>
          <w:b/>
          <w:i/>
        </w:rPr>
        <w:t xml:space="preserve">Figure 4. </w:t>
      </w:r>
      <w:r w:rsidRPr="00E3232D">
        <w:rPr>
          <w:rFonts w:ascii="Book Antiqua" w:hAnsi="Book Antiqua"/>
        </w:rPr>
        <w:t xml:space="preserve">However </w:t>
      </w:r>
      <w:r w:rsidRPr="00E3232D">
        <w:rPr>
          <w:rFonts w:ascii="Book Antiqua" w:hAnsi="Book Antiqua"/>
          <w:b/>
          <w:i/>
        </w:rPr>
        <w:t xml:space="preserve">Figure 3a and and 3b </w:t>
      </w:r>
      <w:r w:rsidRPr="00E3232D">
        <w:rPr>
          <w:rFonts w:ascii="Book Antiqua" w:hAnsi="Book Antiqua"/>
        </w:rPr>
        <w:t>are photos of some samples’ appearances after the test.</w:t>
      </w:r>
    </w:p>
    <w:p w14:paraId="44B7BC69" w14:textId="77777777" w:rsidR="00DD62F3" w:rsidRPr="00E3232D" w:rsidRDefault="00DD62F3" w:rsidP="008275E1">
      <w:pPr>
        <w:rPr>
          <w:rFonts w:ascii="Book Antiqua" w:hAnsi="Book Antiqua"/>
        </w:rPr>
      </w:pPr>
    </w:p>
    <w:p w14:paraId="57C3EBDF" w14:textId="77777777" w:rsidR="00DD62F3" w:rsidRPr="00E3232D" w:rsidRDefault="007005B1" w:rsidP="008275E1">
      <w:pPr>
        <w:rPr>
          <w:rFonts w:ascii="Book Antiqua" w:hAnsi="Book Antiqua"/>
        </w:rPr>
      </w:pPr>
      <w:r>
        <w:rPr>
          <w:rFonts w:ascii="Book Antiqua" w:hAnsi="Book Antiqua"/>
          <w:noProof/>
          <w:lang w:bidi="ar-SA"/>
        </w:rPr>
        <w:drawing>
          <wp:inline distT="0" distB="0" distL="0" distR="0" wp14:anchorId="178680EE" wp14:editId="1E0CF56E">
            <wp:extent cx="2965695" cy="2428875"/>
            <wp:effectExtent l="19050" t="0" r="6105" b="0"/>
            <wp:docPr id="234" name="Picture 5" descr="C:\Users\MR DADZIE\Documents\Pictures\PhD Studies Pict\DSC_00000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MR DADZIE\Documents\Pictures\PhD Studies Pict\DSC_0000086.jpg"/>
                    <pic:cNvPicPr>
                      <a:picLocks noChangeAspect="1" noChangeArrowheads="1"/>
                    </pic:cNvPicPr>
                  </pic:nvPicPr>
                  <pic:blipFill>
                    <a:blip r:embed="rId341">
                      <a:duotone>
                        <a:prstClr val="black"/>
                        <a:srgbClr val="D9C3A5">
                          <a:tint val="50000"/>
                          <a:satMod val="180000"/>
                        </a:srgbClr>
                      </a:duotone>
                    </a:blip>
                    <a:srcRect/>
                    <a:stretch>
                      <a:fillRect/>
                    </a:stretch>
                  </pic:blipFill>
                  <pic:spPr bwMode="auto">
                    <a:xfrm>
                      <a:off x="0" y="0"/>
                      <a:ext cx="2965695" cy="2428875"/>
                    </a:xfrm>
                    <a:prstGeom prst="rect">
                      <a:avLst/>
                    </a:prstGeom>
                    <a:noFill/>
                    <a:ln w="9525">
                      <a:noFill/>
                      <a:miter lim="800000"/>
                      <a:headEnd/>
                      <a:tailEnd/>
                    </a:ln>
                  </pic:spPr>
                </pic:pic>
              </a:graphicData>
            </a:graphic>
          </wp:inline>
        </w:drawing>
      </w:r>
    </w:p>
    <w:p w14:paraId="123CC127" w14:textId="77777777" w:rsidR="00DD62F3" w:rsidRPr="00E3232D" w:rsidRDefault="00DD62F3" w:rsidP="00EB2A77">
      <w:pPr>
        <w:spacing w:after="0"/>
        <w:rPr>
          <w:rFonts w:ascii="Book Antiqua" w:hAnsi="Book Antiqua"/>
          <w:b/>
        </w:rPr>
      </w:pPr>
      <w:r w:rsidRPr="00E3232D">
        <w:rPr>
          <w:rFonts w:ascii="Book Antiqua" w:hAnsi="Book Antiqua"/>
          <w:b/>
        </w:rPr>
        <w:t xml:space="preserve">Figure 2: Stakes or samples being planted on </w:t>
      </w:r>
    </w:p>
    <w:p w14:paraId="3FCAA14D" w14:textId="77777777" w:rsidR="00DD62F3" w:rsidRPr="00E3232D" w:rsidRDefault="00DD62F3" w:rsidP="008275E1">
      <w:pPr>
        <w:rPr>
          <w:rFonts w:ascii="Book Antiqua" w:hAnsi="Book Antiqua"/>
          <w:noProof/>
        </w:rPr>
      </w:pPr>
      <w:r w:rsidRPr="00E3232D">
        <w:rPr>
          <w:rFonts w:ascii="Book Antiqua" w:hAnsi="Book Antiqua"/>
          <w:b/>
        </w:rPr>
        <w:t xml:space="preserve"> </w:t>
      </w:r>
      <w:r w:rsidRPr="00E3232D">
        <w:rPr>
          <w:rFonts w:ascii="Book Antiqua" w:hAnsi="Book Antiqua"/>
          <w:b/>
        </w:rPr>
        <w:tab/>
        <w:t xml:space="preserve">     the field during the soil block test.</w:t>
      </w:r>
    </w:p>
    <w:p w14:paraId="5B9AE049" w14:textId="77777777" w:rsidR="00DD62F3" w:rsidRPr="00E3232D" w:rsidRDefault="00DD62F3" w:rsidP="008275E1">
      <w:pPr>
        <w:rPr>
          <w:rFonts w:ascii="Book Antiqua" w:hAnsi="Book Antiqua"/>
          <w:b/>
          <w:i/>
        </w:rPr>
      </w:pPr>
      <w:r w:rsidRPr="00E3232D">
        <w:rPr>
          <w:rFonts w:ascii="Book Antiqua" w:hAnsi="Book Antiqua"/>
        </w:rPr>
        <w:t xml:space="preserve">The percentage weight losses was calculated using the weight before planting </w:t>
      </w:r>
      <w:r w:rsidRPr="00E3232D">
        <w:rPr>
          <w:rFonts w:ascii="Book Antiqua" w:hAnsi="Book Antiqua"/>
          <w:b/>
        </w:rPr>
        <w:t>(W</w:t>
      </w:r>
      <w:r w:rsidRPr="00E3232D">
        <w:rPr>
          <w:rFonts w:ascii="Book Antiqua" w:hAnsi="Book Antiqua"/>
          <w:b/>
          <w:vertAlign w:val="subscript"/>
        </w:rPr>
        <w:t>1</w:t>
      </w:r>
      <w:r w:rsidRPr="00E3232D">
        <w:rPr>
          <w:rFonts w:ascii="Book Antiqua" w:hAnsi="Book Antiqua"/>
          <w:b/>
        </w:rPr>
        <w:t>)</w:t>
      </w:r>
      <w:r w:rsidRPr="00E3232D">
        <w:rPr>
          <w:rFonts w:ascii="Book Antiqua" w:hAnsi="Book Antiqua"/>
        </w:rPr>
        <w:t xml:space="preserve"> and the weight of the specimens after the period of the soil block test </w:t>
      </w:r>
      <w:r w:rsidRPr="00E3232D">
        <w:rPr>
          <w:rFonts w:ascii="Book Antiqua" w:hAnsi="Book Antiqua"/>
          <w:b/>
        </w:rPr>
        <w:t>(W</w:t>
      </w:r>
      <w:r w:rsidRPr="00E3232D">
        <w:rPr>
          <w:rFonts w:ascii="Book Antiqua" w:hAnsi="Book Antiqua"/>
          <w:b/>
          <w:vertAlign w:val="subscript"/>
        </w:rPr>
        <w:t>2</w:t>
      </w:r>
      <w:r w:rsidRPr="00E3232D">
        <w:rPr>
          <w:rFonts w:ascii="Book Antiqua" w:hAnsi="Book Antiqua"/>
          <w:b/>
        </w:rPr>
        <w:t>)</w:t>
      </w:r>
      <w:r w:rsidRPr="00E3232D">
        <w:rPr>
          <w:rFonts w:ascii="Book Antiqua" w:hAnsi="Book Antiqua"/>
        </w:rPr>
        <w:t xml:space="preserve"> using </w:t>
      </w:r>
      <w:r w:rsidRPr="00E3232D">
        <w:rPr>
          <w:rFonts w:ascii="Book Antiqua" w:hAnsi="Book Antiqua"/>
          <w:b/>
          <w:i/>
        </w:rPr>
        <w:t>Equation 1;</w:t>
      </w:r>
    </w:p>
    <w:p w14:paraId="5F9B3E23" w14:textId="77777777" w:rsidR="00DD62F3" w:rsidRPr="00E3232D" w:rsidRDefault="00DD62F3" w:rsidP="008275E1">
      <w:pPr>
        <w:rPr>
          <w:rFonts w:ascii="Book Antiqua" w:hAnsi="Book Antiqua"/>
          <w:b/>
        </w:rPr>
      </w:pPr>
      <w:r w:rsidRPr="00E3232D">
        <w:rPr>
          <w:rFonts w:ascii="Book Antiqua" w:hAnsi="Book Antiqua"/>
        </w:rPr>
        <w:t>Weight loss (%) = [(W</w:t>
      </w:r>
      <w:r w:rsidRPr="00E3232D">
        <w:rPr>
          <w:rFonts w:ascii="Book Antiqua" w:hAnsi="Book Antiqua"/>
          <w:vertAlign w:val="subscript"/>
        </w:rPr>
        <w:t>1</w:t>
      </w:r>
      <w:r w:rsidRPr="00E3232D">
        <w:rPr>
          <w:rFonts w:ascii="Book Antiqua" w:hAnsi="Book Antiqua"/>
        </w:rPr>
        <w:t>-W</w:t>
      </w:r>
      <w:r w:rsidRPr="00E3232D">
        <w:rPr>
          <w:rFonts w:ascii="Book Antiqua" w:hAnsi="Book Antiqua"/>
          <w:vertAlign w:val="subscript"/>
        </w:rPr>
        <w:t>2</w:t>
      </w:r>
      <w:r w:rsidRPr="00E3232D">
        <w:rPr>
          <w:rFonts w:ascii="Book Antiqua" w:hAnsi="Book Antiqua"/>
        </w:rPr>
        <w:t>)/W</w:t>
      </w:r>
      <w:r w:rsidRPr="00E3232D">
        <w:rPr>
          <w:rFonts w:ascii="Book Antiqua" w:hAnsi="Book Antiqua"/>
          <w:vertAlign w:val="subscript"/>
        </w:rPr>
        <w:t>1</w:t>
      </w:r>
      <w:r w:rsidRPr="00E3232D">
        <w:rPr>
          <w:rFonts w:ascii="Book Antiqua" w:hAnsi="Book Antiqua"/>
        </w:rPr>
        <w:t xml:space="preserve">] X 100 -- </w:t>
      </w:r>
      <w:r w:rsidRPr="00E3232D">
        <w:rPr>
          <w:rFonts w:ascii="Book Antiqua" w:hAnsi="Book Antiqua"/>
          <w:b/>
        </w:rPr>
        <w:t>(1)</w:t>
      </w:r>
    </w:p>
    <w:p w14:paraId="61ABBAF3" w14:textId="77777777" w:rsidR="00DD62F3" w:rsidRPr="00E3232D" w:rsidRDefault="00DD62F3" w:rsidP="008275E1">
      <w:pPr>
        <w:rPr>
          <w:rFonts w:ascii="Book Antiqua" w:hAnsi="Book Antiqua"/>
        </w:rPr>
      </w:pPr>
      <w:r w:rsidRPr="00E3232D">
        <w:rPr>
          <w:rFonts w:ascii="Book Antiqua" w:hAnsi="Book Antiqua"/>
        </w:rPr>
        <w:t xml:space="preserve">(Nzokou, </w:t>
      </w:r>
      <w:r w:rsidRPr="00E3232D">
        <w:rPr>
          <w:rFonts w:ascii="Book Antiqua" w:hAnsi="Book Antiqua"/>
          <w:i/>
        </w:rPr>
        <w:t>et. al</w:t>
      </w:r>
      <w:r w:rsidRPr="00E3232D">
        <w:rPr>
          <w:rFonts w:ascii="Book Antiqua" w:hAnsi="Book Antiqua"/>
        </w:rPr>
        <w:t>., 2005).</w:t>
      </w:r>
    </w:p>
    <w:p w14:paraId="142FEE3F" w14:textId="77777777" w:rsidR="00DD62F3" w:rsidRPr="00E3232D" w:rsidRDefault="00DD62F3" w:rsidP="008275E1">
      <w:pPr>
        <w:rPr>
          <w:rFonts w:ascii="Book Antiqua" w:hAnsi="Book Antiqua"/>
        </w:rPr>
      </w:pPr>
    </w:p>
    <w:p w14:paraId="0DD3A4EE" w14:textId="77777777" w:rsidR="00DD62F3" w:rsidRPr="00E3232D" w:rsidRDefault="00850DC5" w:rsidP="008275E1">
      <w:pPr>
        <w:rPr>
          <w:rFonts w:ascii="Book Antiqua" w:hAnsi="Book Antiqua"/>
          <w:noProof/>
        </w:rPr>
      </w:pPr>
      <w:r>
        <w:rPr>
          <w:rFonts w:ascii="Book Antiqua" w:hAnsi="Book Antiqua"/>
          <w:noProof/>
        </w:rPr>
        <w:pict w14:anchorId="72303950">
          <v:shape id="_x0000_s1715" type="#_x0000_t202" style="position:absolute;margin-left:5.7pt;margin-top:-27.4pt;width:231.4pt;height:36.6pt;z-index:251810304">
            <v:textbox style="mso-next-textbox:#_x0000_s1715">
              <w:txbxContent>
                <w:p w14:paraId="46850FC0" w14:textId="77777777" w:rsidR="00E2396E" w:rsidRDefault="00E2396E" w:rsidP="00DD62F3">
                  <w:pPr>
                    <w:rPr>
                      <w:rFonts w:ascii="Times New Roman" w:hAnsi="Times New Roman"/>
                      <w:b/>
                      <w:sz w:val="24"/>
                      <w:szCs w:val="24"/>
                    </w:rPr>
                  </w:pPr>
                  <w:r w:rsidRPr="00547350">
                    <w:rPr>
                      <w:rFonts w:ascii="Times New Roman" w:hAnsi="Times New Roman"/>
                      <w:b/>
                      <w:i/>
                      <w:sz w:val="24"/>
                      <w:szCs w:val="24"/>
                    </w:rPr>
                    <w:t>Figure 3;</w:t>
                  </w:r>
                  <w:r w:rsidRPr="00547350">
                    <w:rPr>
                      <w:rFonts w:ascii="Times New Roman" w:hAnsi="Times New Roman"/>
                      <w:b/>
                      <w:sz w:val="24"/>
                      <w:szCs w:val="24"/>
                    </w:rPr>
                    <w:t xml:space="preserve"> a;=Sapele Stem- KD; and b= Sapele branch- K</w:t>
                  </w:r>
                </w:p>
                <w:p w14:paraId="79BA0F4A" w14:textId="77777777" w:rsidR="00E2396E" w:rsidRPr="00547350" w:rsidRDefault="00E2396E" w:rsidP="00DD62F3">
                  <w:pPr>
                    <w:rPr>
                      <w:rFonts w:ascii="Times New Roman" w:hAnsi="Times New Roman"/>
                      <w:b/>
                      <w:sz w:val="24"/>
                      <w:szCs w:val="24"/>
                    </w:rPr>
                  </w:pPr>
                  <w:r w:rsidRPr="00547350">
                    <w:rPr>
                      <w:rFonts w:ascii="Times New Roman" w:hAnsi="Times New Roman"/>
                      <w:b/>
                      <w:sz w:val="24"/>
                      <w:szCs w:val="24"/>
                    </w:rPr>
                    <w:t>D after Test</w:t>
                  </w:r>
                </w:p>
              </w:txbxContent>
            </v:textbox>
          </v:shape>
        </w:pict>
      </w:r>
      <w:r>
        <w:rPr>
          <w:rFonts w:ascii="Book Antiqua" w:hAnsi="Book Antiqua"/>
          <w:noProof/>
        </w:rPr>
        <w:pict w14:anchorId="3F13AB09">
          <v:shape id="_x0000_s1716" type="#_x0000_t202" style="position:absolute;margin-left:-4.55pt;margin-top:4.95pt;width:15.35pt;height:23.15pt;z-index:251811328" fillcolor="black">
            <v:textbox style="mso-next-textbox:#_x0000_s1716">
              <w:txbxContent>
                <w:p w14:paraId="26356D65" w14:textId="77777777" w:rsidR="00E2396E" w:rsidRPr="000A3E05" w:rsidRDefault="00E2396E" w:rsidP="00DD62F3">
                  <w:pPr>
                    <w:rPr>
                      <w:sz w:val="24"/>
                      <w:szCs w:val="24"/>
                    </w:rPr>
                  </w:pPr>
                  <w:r>
                    <w:rPr>
                      <w:sz w:val="24"/>
                      <w:szCs w:val="24"/>
                    </w:rPr>
                    <w:t>a</w:t>
                  </w:r>
                </w:p>
              </w:txbxContent>
            </v:textbox>
          </v:shape>
        </w:pict>
      </w:r>
      <w:r>
        <w:rPr>
          <w:rFonts w:ascii="Book Antiqua" w:hAnsi="Book Antiqua"/>
          <w:noProof/>
        </w:rPr>
        <w:pict w14:anchorId="709548F7">
          <v:shape id="_x0000_s1717" type="#_x0000_t202" style="position:absolute;margin-left:-8.7pt;margin-top:131.9pt;width:14.4pt;height:23.15pt;z-index:251812352" fillcolor="black">
            <v:textbox style="mso-next-textbox:#_x0000_s1717">
              <w:txbxContent>
                <w:p w14:paraId="5E02EC64" w14:textId="77777777" w:rsidR="00E2396E" w:rsidRPr="000A3E05" w:rsidRDefault="00E2396E" w:rsidP="00DD62F3">
                  <w:pPr>
                    <w:rPr>
                      <w:sz w:val="24"/>
                      <w:szCs w:val="24"/>
                    </w:rPr>
                  </w:pPr>
                  <w:r>
                    <w:rPr>
                      <w:sz w:val="24"/>
                      <w:szCs w:val="24"/>
                    </w:rPr>
                    <w:t>b</w:t>
                  </w:r>
                </w:p>
              </w:txbxContent>
            </v:textbox>
          </v:shape>
        </w:pict>
      </w:r>
      <w:r w:rsidR="007005B1">
        <w:rPr>
          <w:rFonts w:ascii="Book Antiqua" w:hAnsi="Book Antiqua"/>
          <w:noProof/>
          <w:bdr w:val="single" w:sz="24" w:space="0" w:color="FFFFFF"/>
          <w:lang w:bidi="ar-SA"/>
        </w:rPr>
        <w:drawing>
          <wp:inline distT="0" distB="0" distL="0" distR="0" wp14:anchorId="2A1D1DA0" wp14:editId="3A063A33">
            <wp:extent cx="2933700" cy="1504950"/>
            <wp:effectExtent l="57150" t="38100" r="38100" b="19050"/>
            <wp:docPr id="235" name="Picture 1" descr="Sapele Stem 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pele Stem A.D.JPG"/>
                    <pic:cNvPicPr>
                      <a:picLocks noChangeAspect="1" noChangeArrowheads="1"/>
                    </pic:cNvPicPr>
                  </pic:nvPicPr>
                  <pic:blipFill>
                    <a:blip r:embed="rId342">
                      <a:grayscl/>
                    </a:blip>
                    <a:srcRect/>
                    <a:stretch>
                      <a:fillRect/>
                    </a:stretch>
                  </pic:blipFill>
                  <pic:spPr bwMode="auto">
                    <a:xfrm>
                      <a:off x="0" y="0"/>
                      <a:ext cx="2933700" cy="1504950"/>
                    </a:xfrm>
                    <a:prstGeom prst="rect">
                      <a:avLst/>
                    </a:prstGeom>
                    <a:noFill/>
                    <a:ln w="38100" cmpd="sng">
                      <a:solidFill>
                        <a:srgbClr val="FFFFFF"/>
                      </a:solidFill>
                      <a:miter lim="800000"/>
                      <a:headEnd/>
                      <a:tailEnd/>
                    </a:ln>
                    <a:effectLst/>
                  </pic:spPr>
                </pic:pic>
              </a:graphicData>
            </a:graphic>
          </wp:inline>
        </w:drawing>
      </w:r>
      <w:r w:rsidR="007005B1">
        <w:rPr>
          <w:rFonts w:ascii="Book Antiqua" w:hAnsi="Book Antiqua"/>
          <w:noProof/>
          <w:lang w:bidi="ar-SA"/>
        </w:rPr>
        <w:drawing>
          <wp:inline distT="0" distB="0" distL="0" distR="0" wp14:anchorId="1BF37D69" wp14:editId="671EF88A">
            <wp:extent cx="2971800" cy="1247775"/>
            <wp:effectExtent l="19050" t="0" r="0" b="0"/>
            <wp:docPr id="236" name="Picture 3" descr="Sapele Branch 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pele Branch KD.JPG"/>
                    <pic:cNvPicPr>
                      <a:picLocks noChangeAspect="1" noChangeArrowheads="1"/>
                    </pic:cNvPicPr>
                  </pic:nvPicPr>
                  <pic:blipFill>
                    <a:blip r:embed="rId343">
                      <a:grayscl/>
                    </a:blip>
                    <a:srcRect/>
                    <a:stretch>
                      <a:fillRect/>
                    </a:stretch>
                  </pic:blipFill>
                  <pic:spPr bwMode="auto">
                    <a:xfrm>
                      <a:off x="0" y="0"/>
                      <a:ext cx="2971800" cy="1247775"/>
                    </a:xfrm>
                    <a:prstGeom prst="rect">
                      <a:avLst/>
                    </a:prstGeom>
                    <a:noFill/>
                    <a:ln w="9525">
                      <a:noFill/>
                      <a:miter lim="800000"/>
                      <a:headEnd/>
                      <a:tailEnd/>
                    </a:ln>
                  </pic:spPr>
                </pic:pic>
              </a:graphicData>
            </a:graphic>
          </wp:inline>
        </w:drawing>
      </w:r>
    </w:p>
    <w:p w14:paraId="0B6B013A" w14:textId="77777777" w:rsidR="00DD62F3" w:rsidRPr="00E3232D" w:rsidRDefault="00DD62F3" w:rsidP="008275E1">
      <w:pPr>
        <w:rPr>
          <w:rFonts w:ascii="Book Antiqua" w:hAnsi="Book Antiqua"/>
          <w:noProof/>
        </w:rPr>
      </w:pPr>
    </w:p>
    <w:p w14:paraId="231ABB7B" w14:textId="77777777" w:rsidR="00DD62F3" w:rsidRPr="00E3232D" w:rsidRDefault="00DD62F3" w:rsidP="008275E1">
      <w:pPr>
        <w:rPr>
          <w:rFonts w:ascii="Book Antiqua" w:hAnsi="Book Antiqua"/>
          <w:noProof/>
        </w:rPr>
      </w:pPr>
    </w:p>
    <w:p w14:paraId="53971401" w14:textId="77777777" w:rsidR="00DD62F3" w:rsidRPr="00E3232D" w:rsidRDefault="00DD62F3" w:rsidP="008275E1">
      <w:pPr>
        <w:rPr>
          <w:rFonts w:ascii="Book Antiqua" w:hAnsi="Book Antiqua"/>
          <w:b/>
        </w:rPr>
        <w:sectPr w:rsidR="00DD62F3" w:rsidRPr="00E3232D" w:rsidSect="008F6BC9">
          <w:type w:val="continuous"/>
          <w:pgSz w:w="11907" w:h="16839" w:code="9"/>
          <w:pgMar w:top="864" w:right="720" w:bottom="778" w:left="1008" w:header="706" w:footer="706" w:gutter="0"/>
          <w:cols w:num="2" w:space="720"/>
          <w:docGrid w:linePitch="360"/>
        </w:sectPr>
      </w:pPr>
    </w:p>
    <w:p w14:paraId="65E75EA6" w14:textId="77777777" w:rsidR="00A922BD" w:rsidRDefault="00A922BD" w:rsidP="008275E1">
      <w:pPr>
        <w:pStyle w:val="NoSpacing"/>
        <w:spacing w:line="276" w:lineRule="auto"/>
        <w:rPr>
          <w:rFonts w:ascii="Book Antiqua" w:hAnsi="Book Antiqua"/>
          <w:b/>
        </w:rPr>
      </w:pPr>
    </w:p>
    <w:p w14:paraId="782702E8" w14:textId="77777777" w:rsidR="00EB2A77" w:rsidRDefault="00EB2A77" w:rsidP="008275E1">
      <w:pPr>
        <w:pStyle w:val="NoSpacing"/>
        <w:spacing w:line="276" w:lineRule="auto"/>
        <w:rPr>
          <w:rFonts w:ascii="Book Antiqua" w:hAnsi="Book Antiqua"/>
          <w:b/>
        </w:rPr>
      </w:pPr>
    </w:p>
    <w:p w14:paraId="0BA7811C" w14:textId="77777777" w:rsidR="00A922BD" w:rsidRDefault="00DD62F3" w:rsidP="008275E1">
      <w:pPr>
        <w:pStyle w:val="NoSpacing"/>
        <w:spacing w:line="276" w:lineRule="auto"/>
        <w:rPr>
          <w:rFonts w:ascii="Book Antiqua" w:hAnsi="Book Antiqua"/>
          <w:b/>
        </w:rPr>
      </w:pPr>
      <w:r w:rsidRPr="00E3232D">
        <w:rPr>
          <w:rFonts w:ascii="Book Antiqua" w:hAnsi="Book Antiqua"/>
          <w:b/>
        </w:rPr>
        <w:t>Table 1. Soil block test results of the Stem and Branch woods of Sapele wood species with Onyina stem wood as reference material.</w:t>
      </w:r>
    </w:p>
    <w:p w14:paraId="3410C858" w14:textId="77777777" w:rsidR="00A922BD" w:rsidRDefault="00A922BD" w:rsidP="008275E1">
      <w:pPr>
        <w:pStyle w:val="NoSpacing"/>
        <w:spacing w:line="276" w:lineRule="auto"/>
        <w:rPr>
          <w:rFonts w:ascii="Book Antiqua" w:hAnsi="Book Antiqua"/>
          <w:b/>
        </w:rPr>
        <w:sectPr w:rsidR="00A922BD" w:rsidSect="008F6BC9">
          <w:type w:val="continuous"/>
          <w:pgSz w:w="11907" w:h="16839" w:code="9"/>
          <w:pgMar w:top="864" w:right="720" w:bottom="778" w:left="1008" w:header="706" w:footer="706" w:gutter="0"/>
          <w:cols w:space="720"/>
          <w:docGrid w:linePitch="360"/>
        </w:sectPr>
      </w:pPr>
    </w:p>
    <w:p w14:paraId="02E2A227" w14:textId="77777777" w:rsidR="00E32614" w:rsidRPr="00E3232D" w:rsidRDefault="00E32614" w:rsidP="008275E1">
      <w:pPr>
        <w:pStyle w:val="NoSpacing"/>
        <w:spacing w:line="276" w:lineRule="auto"/>
        <w:rPr>
          <w:rFonts w:ascii="Book Antiqua" w:hAnsi="Book Antiqua"/>
          <w:b/>
        </w:rPr>
        <w:sectPr w:rsidR="00E32614" w:rsidRPr="00E3232D" w:rsidSect="008F6BC9">
          <w:type w:val="continuous"/>
          <w:pgSz w:w="11907" w:h="16839" w:code="9"/>
          <w:pgMar w:top="864" w:right="720" w:bottom="778" w:left="1008" w:header="706" w:footer="706" w:gutter="0"/>
          <w:cols w:num="2" w:space="720"/>
          <w:docGrid w:linePitch="360"/>
        </w:sectPr>
      </w:pPr>
    </w:p>
    <w:tbl>
      <w:tblPr>
        <w:tblpPr w:leftFromText="180" w:rightFromText="180" w:vertAnchor="text" w:horzAnchor="margin" w:tblpY="44"/>
        <w:tblW w:w="10005" w:type="dxa"/>
        <w:tblLayout w:type="fixed"/>
        <w:tblLook w:val="04A0" w:firstRow="1" w:lastRow="0" w:firstColumn="1" w:lastColumn="0" w:noHBand="0" w:noVBand="1"/>
      </w:tblPr>
      <w:tblGrid>
        <w:gridCol w:w="2246"/>
        <w:gridCol w:w="1248"/>
        <w:gridCol w:w="89"/>
        <w:gridCol w:w="1337"/>
        <w:gridCol w:w="89"/>
        <w:gridCol w:w="1782"/>
        <w:gridCol w:w="179"/>
        <w:gridCol w:w="2946"/>
        <w:gridCol w:w="89"/>
      </w:tblGrid>
      <w:tr w:rsidR="005E5AA7" w:rsidRPr="00D12E59" w14:paraId="240C8842" w14:textId="77777777" w:rsidTr="005E5AA7">
        <w:trPr>
          <w:trHeight w:val="43"/>
        </w:trPr>
        <w:tc>
          <w:tcPr>
            <w:tcW w:w="10005" w:type="dxa"/>
            <w:gridSpan w:val="9"/>
            <w:tcBorders>
              <w:top w:val="thinThickLargeGap" w:sz="24" w:space="0" w:color="auto"/>
            </w:tcBorders>
          </w:tcPr>
          <w:p w14:paraId="4B735EE6" w14:textId="77777777" w:rsidR="005E5AA7" w:rsidRPr="00D12E59" w:rsidRDefault="005E5AA7" w:rsidP="005E5AA7">
            <w:pPr>
              <w:rPr>
                <w:rFonts w:ascii="Book Antiqua" w:hAnsi="Book Antiqua"/>
                <w:b/>
              </w:rPr>
            </w:pPr>
          </w:p>
        </w:tc>
      </w:tr>
      <w:tr w:rsidR="005E5AA7" w:rsidRPr="00D12E59" w14:paraId="1B5E844D" w14:textId="77777777" w:rsidTr="005E5AA7">
        <w:trPr>
          <w:trHeight w:val="807"/>
        </w:trPr>
        <w:tc>
          <w:tcPr>
            <w:tcW w:w="2246" w:type="dxa"/>
            <w:tcBorders>
              <w:bottom w:val="single" w:sz="8" w:space="0" w:color="000000"/>
            </w:tcBorders>
          </w:tcPr>
          <w:p w14:paraId="0FD40945" w14:textId="77777777" w:rsidR="005E5AA7" w:rsidRPr="00D12E59" w:rsidRDefault="005E5AA7" w:rsidP="005E5AA7">
            <w:pPr>
              <w:rPr>
                <w:rFonts w:ascii="Book Antiqua" w:hAnsi="Book Antiqua"/>
                <w:b/>
              </w:rPr>
            </w:pPr>
            <w:r w:rsidRPr="00D12E59">
              <w:rPr>
                <w:rFonts w:ascii="Book Antiqua" w:hAnsi="Book Antiqua"/>
                <w:b/>
              </w:rPr>
              <w:t>Wood Species &amp; Parts</w:t>
            </w:r>
          </w:p>
        </w:tc>
        <w:tc>
          <w:tcPr>
            <w:tcW w:w="2763" w:type="dxa"/>
            <w:gridSpan w:val="4"/>
            <w:tcBorders>
              <w:bottom w:val="single" w:sz="8" w:space="0" w:color="000000"/>
            </w:tcBorders>
          </w:tcPr>
          <w:p w14:paraId="547465DF" w14:textId="77777777" w:rsidR="005E5AA7" w:rsidRPr="00D12E59" w:rsidRDefault="005E5AA7" w:rsidP="005E5AA7">
            <w:pPr>
              <w:jc w:val="center"/>
              <w:rPr>
                <w:rFonts w:ascii="Book Antiqua" w:hAnsi="Book Antiqua"/>
                <w:b/>
              </w:rPr>
            </w:pPr>
            <w:r w:rsidRPr="00D12E59">
              <w:rPr>
                <w:rFonts w:ascii="Book Antiqua" w:hAnsi="Book Antiqua"/>
                <w:b/>
              </w:rPr>
              <w:t>Mean Percentage Weight Loss and Standard Deviation</w:t>
            </w:r>
          </w:p>
        </w:tc>
        <w:tc>
          <w:tcPr>
            <w:tcW w:w="1961" w:type="dxa"/>
            <w:gridSpan w:val="2"/>
            <w:tcBorders>
              <w:bottom w:val="single" w:sz="8" w:space="0" w:color="000000"/>
            </w:tcBorders>
          </w:tcPr>
          <w:p w14:paraId="1074F2A2" w14:textId="77777777" w:rsidR="005E5AA7" w:rsidRPr="00D12E59" w:rsidRDefault="005E5AA7" w:rsidP="005E5AA7">
            <w:pPr>
              <w:rPr>
                <w:rFonts w:ascii="Book Antiqua" w:hAnsi="Book Antiqua"/>
                <w:b/>
              </w:rPr>
            </w:pPr>
            <w:r w:rsidRPr="00D12E59">
              <w:rPr>
                <w:rFonts w:ascii="Book Antiqua" w:hAnsi="Book Antiqua"/>
                <w:b/>
              </w:rPr>
              <w:t xml:space="preserve">   Mean Visual               Rating of attack</w:t>
            </w:r>
          </w:p>
          <w:p w14:paraId="718CE36D" w14:textId="77777777" w:rsidR="005E5AA7" w:rsidRPr="00D12E59" w:rsidRDefault="005E5AA7" w:rsidP="005E5AA7">
            <w:pPr>
              <w:jc w:val="center"/>
              <w:rPr>
                <w:rFonts w:ascii="Book Antiqua" w:hAnsi="Book Antiqua"/>
                <w:b/>
              </w:rPr>
            </w:pPr>
            <w:r w:rsidRPr="00D12E59">
              <w:rPr>
                <w:rFonts w:ascii="Book Antiqua" w:hAnsi="Book Antiqua"/>
                <w:b/>
              </w:rPr>
              <w:t xml:space="preserve">      </w:t>
            </w:r>
          </w:p>
        </w:tc>
        <w:tc>
          <w:tcPr>
            <w:tcW w:w="3035" w:type="dxa"/>
            <w:gridSpan w:val="2"/>
            <w:tcBorders>
              <w:bottom w:val="single" w:sz="8" w:space="0" w:color="000000"/>
            </w:tcBorders>
          </w:tcPr>
          <w:p w14:paraId="44FDBDBD" w14:textId="77777777" w:rsidR="005E5AA7" w:rsidRPr="00D12E59" w:rsidRDefault="005E5AA7" w:rsidP="005E5AA7">
            <w:pPr>
              <w:rPr>
                <w:rFonts w:ascii="Book Antiqua" w:hAnsi="Book Antiqua"/>
                <w:b/>
              </w:rPr>
            </w:pPr>
            <w:r w:rsidRPr="00D12E59">
              <w:rPr>
                <w:rFonts w:ascii="Book Antiqua" w:hAnsi="Book Antiqua"/>
                <w:b/>
              </w:rPr>
              <w:t xml:space="preserve"> Durability Classification           </w:t>
            </w:r>
          </w:p>
          <w:p w14:paraId="5564E04A" w14:textId="77777777" w:rsidR="005E5AA7" w:rsidRPr="00D12E59" w:rsidRDefault="005E5AA7" w:rsidP="005E5AA7">
            <w:pPr>
              <w:rPr>
                <w:rFonts w:ascii="Book Antiqua" w:hAnsi="Book Antiqua"/>
                <w:b/>
              </w:rPr>
            </w:pPr>
            <w:r w:rsidRPr="00D12E59">
              <w:rPr>
                <w:rFonts w:ascii="Book Antiqua" w:hAnsi="Book Antiqua"/>
                <w:b/>
              </w:rPr>
              <w:t xml:space="preserve">      by % Weight loss</w:t>
            </w:r>
          </w:p>
          <w:p w14:paraId="19FD4E8D" w14:textId="77777777" w:rsidR="005E5AA7" w:rsidRPr="00D12E59" w:rsidRDefault="005E5AA7" w:rsidP="005E5AA7">
            <w:pPr>
              <w:jc w:val="center"/>
              <w:rPr>
                <w:rFonts w:ascii="Book Antiqua" w:hAnsi="Book Antiqua"/>
                <w:b/>
              </w:rPr>
            </w:pPr>
          </w:p>
          <w:p w14:paraId="25BB3EA2" w14:textId="77777777" w:rsidR="005E5AA7" w:rsidRPr="00D12E59" w:rsidRDefault="005E5AA7" w:rsidP="005E5AA7">
            <w:pPr>
              <w:jc w:val="center"/>
              <w:rPr>
                <w:rFonts w:ascii="Book Antiqua" w:hAnsi="Book Antiqua"/>
                <w:b/>
              </w:rPr>
            </w:pPr>
          </w:p>
        </w:tc>
      </w:tr>
      <w:tr w:rsidR="005E5AA7" w:rsidRPr="00D12E59" w14:paraId="374198B6" w14:textId="77777777" w:rsidTr="005E5AA7">
        <w:trPr>
          <w:trHeight w:val="474"/>
        </w:trPr>
        <w:tc>
          <w:tcPr>
            <w:tcW w:w="2246" w:type="dxa"/>
            <w:tcBorders>
              <w:bottom w:val="single" w:sz="8" w:space="0" w:color="000000"/>
            </w:tcBorders>
          </w:tcPr>
          <w:p w14:paraId="14064156" w14:textId="77777777" w:rsidR="005E5AA7" w:rsidRPr="00D12E59" w:rsidRDefault="005E5AA7" w:rsidP="005E5AA7">
            <w:pPr>
              <w:jc w:val="center"/>
              <w:rPr>
                <w:rFonts w:ascii="Book Antiqua" w:hAnsi="Book Antiqua"/>
                <w:b/>
              </w:rPr>
            </w:pPr>
          </w:p>
        </w:tc>
        <w:tc>
          <w:tcPr>
            <w:tcW w:w="1337" w:type="dxa"/>
            <w:gridSpan w:val="2"/>
            <w:tcBorders>
              <w:bottom w:val="single" w:sz="8" w:space="0" w:color="000000"/>
            </w:tcBorders>
          </w:tcPr>
          <w:p w14:paraId="4F053F08" w14:textId="77777777" w:rsidR="005E5AA7" w:rsidRPr="00D12E59" w:rsidRDefault="005E5AA7" w:rsidP="005E5AA7">
            <w:pPr>
              <w:spacing w:after="120"/>
              <w:jc w:val="center"/>
              <w:rPr>
                <w:rFonts w:ascii="Book Antiqua" w:hAnsi="Book Antiqua"/>
                <w:b/>
              </w:rPr>
            </w:pPr>
            <w:r w:rsidRPr="00D12E59">
              <w:rPr>
                <w:rFonts w:ascii="Book Antiqua" w:hAnsi="Book Antiqua"/>
                <w:b/>
              </w:rPr>
              <w:t>% Weight Loss</w:t>
            </w:r>
          </w:p>
        </w:tc>
        <w:tc>
          <w:tcPr>
            <w:tcW w:w="1426" w:type="dxa"/>
            <w:gridSpan w:val="2"/>
            <w:tcBorders>
              <w:bottom w:val="single" w:sz="8" w:space="0" w:color="000000"/>
            </w:tcBorders>
          </w:tcPr>
          <w:p w14:paraId="174FF7FD" w14:textId="77777777" w:rsidR="005E5AA7" w:rsidRPr="00D12E59" w:rsidRDefault="005E5AA7" w:rsidP="005E5AA7">
            <w:pPr>
              <w:spacing w:after="120"/>
              <w:jc w:val="center"/>
              <w:rPr>
                <w:rFonts w:ascii="Book Antiqua" w:hAnsi="Book Antiqua"/>
                <w:b/>
              </w:rPr>
            </w:pPr>
            <w:r w:rsidRPr="00D12E59">
              <w:rPr>
                <w:rFonts w:ascii="Book Antiqua" w:hAnsi="Book Antiqua"/>
                <w:b/>
              </w:rPr>
              <w:t xml:space="preserve"> Standard  Deviation</w:t>
            </w:r>
          </w:p>
        </w:tc>
        <w:tc>
          <w:tcPr>
            <w:tcW w:w="1961" w:type="dxa"/>
            <w:gridSpan w:val="2"/>
            <w:tcBorders>
              <w:bottom w:val="single" w:sz="8" w:space="0" w:color="000000"/>
            </w:tcBorders>
          </w:tcPr>
          <w:p w14:paraId="71E975D4" w14:textId="77777777" w:rsidR="005E5AA7" w:rsidRPr="00D12E59" w:rsidRDefault="005E5AA7" w:rsidP="005E5AA7">
            <w:pPr>
              <w:jc w:val="center"/>
              <w:rPr>
                <w:rFonts w:ascii="Book Antiqua" w:hAnsi="Book Antiqua"/>
              </w:rPr>
            </w:pPr>
          </w:p>
        </w:tc>
        <w:tc>
          <w:tcPr>
            <w:tcW w:w="3035" w:type="dxa"/>
            <w:gridSpan w:val="2"/>
          </w:tcPr>
          <w:p w14:paraId="245A4CD0" w14:textId="77777777" w:rsidR="005E5AA7" w:rsidRPr="00D12E59" w:rsidRDefault="005E5AA7" w:rsidP="005E5AA7">
            <w:pPr>
              <w:jc w:val="center"/>
              <w:rPr>
                <w:rFonts w:ascii="Book Antiqua" w:hAnsi="Book Antiqua"/>
              </w:rPr>
            </w:pPr>
          </w:p>
        </w:tc>
      </w:tr>
      <w:tr w:rsidR="005E5AA7" w:rsidRPr="00D12E59" w14:paraId="0D7B6964" w14:textId="77777777" w:rsidTr="005E5AA7">
        <w:trPr>
          <w:gridAfter w:val="1"/>
          <w:wAfter w:w="89" w:type="dxa"/>
          <w:trHeight w:val="336"/>
        </w:trPr>
        <w:tc>
          <w:tcPr>
            <w:tcW w:w="2246" w:type="dxa"/>
            <w:tcBorders>
              <w:top w:val="single" w:sz="8" w:space="0" w:color="000000"/>
            </w:tcBorders>
          </w:tcPr>
          <w:p w14:paraId="6A8C4D17" w14:textId="77777777" w:rsidR="005E5AA7" w:rsidRPr="00D12E59" w:rsidRDefault="005E5AA7" w:rsidP="005E5AA7">
            <w:pPr>
              <w:rPr>
                <w:rFonts w:ascii="Book Antiqua" w:hAnsi="Book Antiqua"/>
                <w:b/>
              </w:rPr>
            </w:pPr>
            <w:r w:rsidRPr="00D12E59">
              <w:rPr>
                <w:rFonts w:ascii="Book Antiqua" w:hAnsi="Book Antiqua"/>
              </w:rPr>
              <w:t>Sapele Stem (A. D)</w:t>
            </w:r>
          </w:p>
        </w:tc>
        <w:tc>
          <w:tcPr>
            <w:tcW w:w="1248" w:type="dxa"/>
            <w:tcBorders>
              <w:top w:val="single" w:sz="8" w:space="0" w:color="000000"/>
            </w:tcBorders>
          </w:tcPr>
          <w:p w14:paraId="2376566E" w14:textId="77777777" w:rsidR="005E5AA7" w:rsidRPr="00D12E59" w:rsidRDefault="005E5AA7" w:rsidP="005E5AA7">
            <w:pPr>
              <w:ind w:left="72"/>
              <w:jc w:val="center"/>
              <w:rPr>
                <w:rFonts w:ascii="Book Antiqua" w:hAnsi="Book Antiqua"/>
              </w:rPr>
            </w:pPr>
            <w:r w:rsidRPr="00D12E59">
              <w:rPr>
                <w:rFonts w:ascii="Book Antiqua" w:hAnsi="Book Antiqua"/>
              </w:rPr>
              <w:t xml:space="preserve">31.739 </w:t>
            </w:r>
          </w:p>
        </w:tc>
        <w:tc>
          <w:tcPr>
            <w:tcW w:w="1426" w:type="dxa"/>
            <w:gridSpan w:val="2"/>
            <w:tcBorders>
              <w:top w:val="single" w:sz="8" w:space="0" w:color="000000"/>
            </w:tcBorders>
          </w:tcPr>
          <w:p w14:paraId="0DDE8318" w14:textId="77777777" w:rsidR="005E5AA7" w:rsidRPr="00D12E59" w:rsidRDefault="005E5AA7" w:rsidP="005E5AA7">
            <w:pPr>
              <w:jc w:val="center"/>
              <w:rPr>
                <w:rFonts w:ascii="Book Antiqua" w:hAnsi="Book Antiqua"/>
              </w:rPr>
            </w:pPr>
            <w:r w:rsidRPr="00D12E59">
              <w:rPr>
                <w:rFonts w:ascii="Book Antiqua" w:hAnsi="Book Antiqua"/>
              </w:rPr>
              <w:t xml:space="preserve">  36.521</w:t>
            </w:r>
          </w:p>
        </w:tc>
        <w:tc>
          <w:tcPr>
            <w:tcW w:w="1871" w:type="dxa"/>
            <w:gridSpan w:val="2"/>
            <w:tcBorders>
              <w:top w:val="single" w:sz="8" w:space="0" w:color="000000"/>
            </w:tcBorders>
          </w:tcPr>
          <w:p w14:paraId="2C57EDFC" w14:textId="77777777" w:rsidR="005E5AA7" w:rsidRPr="00D12E59" w:rsidRDefault="005E5AA7" w:rsidP="005E5AA7">
            <w:pPr>
              <w:jc w:val="center"/>
              <w:rPr>
                <w:rFonts w:ascii="Book Antiqua" w:hAnsi="Book Antiqua"/>
              </w:rPr>
            </w:pPr>
            <w:r w:rsidRPr="00D12E59">
              <w:rPr>
                <w:rFonts w:ascii="Book Antiqua" w:hAnsi="Book Antiqua"/>
              </w:rPr>
              <w:t xml:space="preserve">     2.313</w:t>
            </w:r>
          </w:p>
        </w:tc>
        <w:tc>
          <w:tcPr>
            <w:tcW w:w="3125" w:type="dxa"/>
            <w:gridSpan w:val="2"/>
            <w:tcBorders>
              <w:top w:val="single" w:sz="8" w:space="0" w:color="000000"/>
            </w:tcBorders>
          </w:tcPr>
          <w:p w14:paraId="4451B437" w14:textId="77777777" w:rsidR="005E5AA7" w:rsidRPr="00D12E59" w:rsidRDefault="005E5AA7" w:rsidP="005E5AA7">
            <w:pPr>
              <w:jc w:val="center"/>
              <w:rPr>
                <w:rFonts w:ascii="Book Antiqua" w:hAnsi="Book Antiqua"/>
              </w:rPr>
            </w:pPr>
            <w:r w:rsidRPr="00D12E59">
              <w:rPr>
                <w:rFonts w:ascii="Book Antiqua" w:hAnsi="Book Antiqua"/>
              </w:rPr>
              <w:t xml:space="preserve">   Moderately Durable</w:t>
            </w:r>
          </w:p>
        </w:tc>
      </w:tr>
    </w:tbl>
    <w:p w14:paraId="5286D8C6" w14:textId="77777777" w:rsidR="00DD62F3" w:rsidRPr="00E3232D" w:rsidRDefault="00DD62F3" w:rsidP="008275E1">
      <w:pPr>
        <w:rPr>
          <w:rFonts w:ascii="Book Antiqua" w:hAnsi="Book Antiqua"/>
          <w:b/>
        </w:rPr>
        <w:sectPr w:rsidR="00DD62F3" w:rsidRPr="00E3232D" w:rsidSect="008F6BC9">
          <w:type w:val="continuous"/>
          <w:pgSz w:w="11907" w:h="16839" w:code="9"/>
          <w:pgMar w:top="864" w:right="720" w:bottom="778" w:left="1008" w:header="709" w:footer="709" w:gutter="0"/>
          <w:cols w:num="2" w:space="720"/>
          <w:docGrid w:linePitch="360"/>
        </w:sectPr>
      </w:pPr>
    </w:p>
    <w:p w14:paraId="1A370DA8" w14:textId="77777777" w:rsidR="00DD62F3" w:rsidRPr="00E3232D" w:rsidRDefault="00DD62F3" w:rsidP="008275E1">
      <w:pPr>
        <w:rPr>
          <w:rFonts w:ascii="Book Antiqua" w:hAnsi="Book Antiqua"/>
        </w:rPr>
        <w:sectPr w:rsidR="00DD62F3" w:rsidRPr="00E3232D" w:rsidSect="008F6BC9">
          <w:type w:val="continuous"/>
          <w:pgSz w:w="11907" w:h="16839" w:code="9"/>
          <w:pgMar w:top="864" w:right="720" w:bottom="778" w:left="1008" w:header="709" w:footer="709" w:gutter="0"/>
          <w:cols w:num="2" w:space="720"/>
          <w:docGrid w:linePitch="360"/>
        </w:sectPr>
      </w:pPr>
    </w:p>
    <w:p w14:paraId="4D13A4D2" w14:textId="77777777" w:rsidR="00DD62F3" w:rsidRPr="00E3232D" w:rsidRDefault="00DD62F3" w:rsidP="008275E1">
      <w:pPr>
        <w:rPr>
          <w:rFonts w:ascii="Book Antiqua" w:hAnsi="Book Antiqua"/>
        </w:rPr>
        <w:sectPr w:rsidR="00DD62F3" w:rsidRPr="00E3232D" w:rsidSect="008F6BC9">
          <w:type w:val="continuous"/>
          <w:pgSz w:w="11907" w:h="16839" w:code="9"/>
          <w:pgMar w:top="864" w:right="720" w:bottom="778" w:left="1008" w:header="709" w:footer="709" w:gutter="0"/>
          <w:cols w:num="2" w:space="720"/>
          <w:docGrid w:linePitch="360"/>
        </w:sectPr>
      </w:pPr>
    </w:p>
    <w:tbl>
      <w:tblPr>
        <w:tblW w:w="0" w:type="auto"/>
        <w:tblLook w:val="04A0" w:firstRow="1" w:lastRow="0" w:firstColumn="1" w:lastColumn="0" w:noHBand="0" w:noVBand="1"/>
      </w:tblPr>
      <w:tblGrid>
        <w:gridCol w:w="1089"/>
        <w:gridCol w:w="821"/>
        <w:gridCol w:w="821"/>
        <w:gridCol w:w="711"/>
        <w:gridCol w:w="1503"/>
      </w:tblGrid>
      <w:tr w:rsidR="00DD62F3" w:rsidRPr="00D12E59" w14:paraId="157BF268" w14:textId="77777777" w:rsidTr="00F54997">
        <w:trPr>
          <w:trHeight w:val="383"/>
        </w:trPr>
        <w:tc>
          <w:tcPr>
            <w:tcW w:w="0" w:type="auto"/>
          </w:tcPr>
          <w:p w14:paraId="05A6EE60" w14:textId="77777777" w:rsidR="00DD62F3" w:rsidRPr="00D12E59" w:rsidRDefault="00DD62F3" w:rsidP="008275E1">
            <w:pPr>
              <w:rPr>
                <w:rFonts w:ascii="Book Antiqua" w:hAnsi="Book Antiqua"/>
                <w:b/>
              </w:rPr>
            </w:pPr>
            <w:r w:rsidRPr="00D12E59">
              <w:rPr>
                <w:rFonts w:ascii="Book Antiqua" w:hAnsi="Book Antiqua"/>
              </w:rPr>
              <w:t>Sapele Branch (A.D)</w:t>
            </w:r>
          </w:p>
          <w:p w14:paraId="7013836F" w14:textId="77777777" w:rsidR="00DD62F3" w:rsidRPr="00D12E59" w:rsidRDefault="00DD62F3" w:rsidP="008275E1">
            <w:pPr>
              <w:jc w:val="center"/>
              <w:rPr>
                <w:rFonts w:ascii="Book Antiqua" w:hAnsi="Book Antiqua"/>
              </w:rPr>
            </w:pPr>
          </w:p>
        </w:tc>
        <w:tc>
          <w:tcPr>
            <w:tcW w:w="0" w:type="auto"/>
          </w:tcPr>
          <w:p w14:paraId="37A619C2" w14:textId="77777777" w:rsidR="00DD62F3" w:rsidRPr="00D12E59" w:rsidRDefault="00DD62F3" w:rsidP="008275E1">
            <w:pPr>
              <w:jc w:val="center"/>
              <w:rPr>
                <w:rFonts w:ascii="Book Antiqua" w:hAnsi="Book Antiqua"/>
              </w:rPr>
            </w:pPr>
            <w:r w:rsidRPr="00D12E59">
              <w:rPr>
                <w:rFonts w:ascii="Book Antiqua" w:hAnsi="Book Antiqua"/>
              </w:rPr>
              <w:t xml:space="preserve">56.003 </w:t>
            </w:r>
          </w:p>
        </w:tc>
        <w:tc>
          <w:tcPr>
            <w:tcW w:w="0" w:type="auto"/>
          </w:tcPr>
          <w:p w14:paraId="7A36F89F" w14:textId="77777777" w:rsidR="00DD62F3" w:rsidRPr="00D12E59" w:rsidRDefault="00DD62F3" w:rsidP="008275E1">
            <w:pPr>
              <w:jc w:val="center"/>
              <w:rPr>
                <w:rFonts w:ascii="Book Antiqua" w:hAnsi="Book Antiqua"/>
              </w:rPr>
            </w:pPr>
            <w:r w:rsidRPr="00D12E59">
              <w:rPr>
                <w:rFonts w:ascii="Book Antiqua" w:hAnsi="Book Antiqua"/>
              </w:rPr>
              <w:t>36.421</w:t>
            </w:r>
          </w:p>
        </w:tc>
        <w:tc>
          <w:tcPr>
            <w:tcW w:w="0" w:type="auto"/>
          </w:tcPr>
          <w:p w14:paraId="29ECE11A" w14:textId="77777777" w:rsidR="00DD62F3" w:rsidRPr="00D12E59" w:rsidRDefault="00DD62F3" w:rsidP="008275E1">
            <w:pPr>
              <w:jc w:val="center"/>
              <w:rPr>
                <w:rFonts w:ascii="Book Antiqua" w:hAnsi="Book Antiqua"/>
              </w:rPr>
            </w:pPr>
            <w:r w:rsidRPr="00D12E59">
              <w:rPr>
                <w:rFonts w:ascii="Book Antiqua" w:hAnsi="Book Antiqua"/>
              </w:rPr>
              <w:t>3.125</w:t>
            </w:r>
          </w:p>
        </w:tc>
        <w:tc>
          <w:tcPr>
            <w:tcW w:w="0" w:type="auto"/>
          </w:tcPr>
          <w:p w14:paraId="7F84674D" w14:textId="77777777" w:rsidR="00DD62F3" w:rsidRPr="00D12E59" w:rsidRDefault="00DD62F3" w:rsidP="008275E1">
            <w:pPr>
              <w:rPr>
                <w:rFonts w:ascii="Book Antiqua" w:hAnsi="Book Antiqua"/>
              </w:rPr>
            </w:pPr>
            <w:r w:rsidRPr="00D12E59">
              <w:rPr>
                <w:rFonts w:ascii="Book Antiqua" w:hAnsi="Book Antiqua"/>
              </w:rPr>
              <w:t xml:space="preserve">         Non Durable</w:t>
            </w:r>
          </w:p>
        </w:tc>
      </w:tr>
      <w:tr w:rsidR="00DD62F3" w:rsidRPr="00D12E59" w14:paraId="4629AF67" w14:textId="77777777" w:rsidTr="00F54997">
        <w:trPr>
          <w:trHeight w:val="356"/>
        </w:trPr>
        <w:tc>
          <w:tcPr>
            <w:tcW w:w="0" w:type="auto"/>
          </w:tcPr>
          <w:p w14:paraId="4F0F35F4" w14:textId="77777777" w:rsidR="00DD62F3" w:rsidRPr="00D12E59" w:rsidRDefault="00DD62F3" w:rsidP="008275E1">
            <w:pPr>
              <w:rPr>
                <w:rFonts w:ascii="Book Antiqua" w:hAnsi="Book Antiqua"/>
                <w:b/>
              </w:rPr>
            </w:pPr>
            <w:r w:rsidRPr="00D12E59">
              <w:rPr>
                <w:rFonts w:ascii="Book Antiqua" w:hAnsi="Book Antiqua"/>
              </w:rPr>
              <w:t>Sapele Stem</w:t>
            </w:r>
            <w:r w:rsidRPr="00D12E59">
              <w:rPr>
                <w:rFonts w:ascii="Book Antiqua" w:hAnsi="Book Antiqua"/>
                <w:b/>
              </w:rPr>
              <w:t xml:space="preserve">  </w:t>
            </w:r>
            <w:r w:rsidRPr="00D12E59">
              <w:rPr>
                <w:rFonts w:ascii="Book Antiqua" w:hAnsi="Book Antiqua"/>
              </w:rPr>
              <w:t>(K. D)</w:t>
            </w:r>
          </w:p>
          <w:p w14:paraId="1595B7FF" w14:textId="77777777" w:rsidR="00DD62F3" w:rsidRPr="00D12E59" w:rsidRDefault="00DD62F3" w:rsidP="008275E1">
            <w:pPr>
              <w:jc w:val="center"/>
              <w:rPr>
                <w:rFonts w:ascii="Book Antiqua" w:hAnsi="Book Antiqua"/>
              </w:rPr>
            </w:pPr>
          </w:p>
        </w:tc>
        <w:tc>
          <w:tcPr>
            <w:tcW w:w="0" w:type="auto"/>
          </w:tcPr>
          <w:p w14:paraId="2BC069C2" w14:textId="77777777" w:rsidR="00DD62F3" w:rsidRPr="00D12E59" w:rsidRDefault="00DD62F3" w:rsidP="008275E1">
            <w:pPr>
              <w:jc w:val="center"/>
              <w:rPr>
                <w:rFonts w:ascii="Book Antiqua" w:hAnsi="Book Antiqua"/>
              </w:rPr>
            </w:pPr>
            <w:r w:rsidRPr="00D12E59">
              <w:rPr>
                <w:rFonts w:ascii="Book Antiqua" w:hAnsi="Book Antiqua"/>
              </w:rPr>
              <w:t xml:space="preserve">28.164   </w:t>
            </w:r>
          </w:p>
        </w:tc>
        <w:tc>
          <w:tcPr>
            <w:tcW w:w="0" w:type="auto"/>
          </w:tcPr>
          <w:p w14:paraId="0FA61331" w14:textId="77777777" w:rsidR="00DD62F3" w:rsidRPr="00D12E59" w:rsidRDefault="00DD62F3" w:rsidP="008275E1">
            <w:pPr>
              <w:jc w:val="center"/>
              <w:rPr>
                <w:rFonts w:ascii="Book Antiqua" w:hAnsi="Book Antiqua"/>
              </w:rPr>
            </w:pPr>
            <w:r w:rsidRPr="00D12E59">
              <w:rPr>
                <w:rFonts w:ascii="Book Antiqua" w:hAnsi="Book Antiqua"/>
              </w:rPr>
              <w:t xml:space="preserve"> 9.518</w:t>
            </w:r>
          </w:p>
        </w:tc>
        <w:tc>
          <w:tcPr>
            <w:tcW w:w="0" w:type="auto"/>
          </w:tcPr>
          <w:p w14:paraId="713AFEDD" w14:textId="77777777" w:rsidR="00DD62F3" w:rsidRPr="00D12E59" w:rsidRDefault="00DD62F3" w:rsidP="008275E1">
            <w:pPr>
              <w:jc w:val="center"/>
              <w:rPr>
                <w:rFonts w:ascii="Book Antiqua" w:hAnsi="Book Antiqua"/>
              </w:rPr>
            </w:pPr>
            <w:r w:rsidRPr="00D12E59">
              <w:rPr>
                <w:rFonts w:ascii="Book Antiqua" w:hAnsi="Book Antiqua"/>
              </w:rPr>
              <w:t>1.813</w:t>
            </w:r>
          </w:p>
        </w:tc>
        <w:tc>
          <w:tcPr>
            <w:tcW w:w="0" w:type="auto"/>
          </w:tcPr>
          <w:p w14:paraId="7F5049BC" w14:textId="77777777" w:rsidR="00DD62F3" w:rsidRPr="00D12E59" w:rsidRDefault="00DD62F3" w:rsidP="008275E1">
            <w:pPr>
              <w:rPr>
                <w:rFonts w:ascii="Book Antiqua" w:hAnsi="Book Antiqua"/>
              </w:rPr>
            </w:pPr>
            <w:r w:rsidRPr="00D12E59">
              <w:rPr>
                <w:rFonts w:ascii="Book Antiqua" w:hAnsi="Book Antiqua"/>
              </w:rPr>
              <w:t xml:space="preserve">         Moderately Durable</w:t>
            </w:r>
          </w:p>
        </w:tc>
      </w:tr>
      <w:tr w:rsidR="00DD62F3" w:rsidRPr="00D12E59" w14:paraId="7E801336" w14:textId="77777777" w:rsidTr="00F54997">
        <w:trPr>
          <w:trHeight w:val="356"/>
        </w:trPr>
        <w:tc>
          <w:tcPr>
            <w:tcW w:w="0" w:type="auto"/>
          </w:tcPr>
          <w:p w14:paraId="483AD0DE" w14:textId="77777777" w:rsidR="00DD62F3" w:rsidRPr="00D12E59" w:rsidRDefault="00DD62F3" w:rsidP="008275E1">
            <w:pPr>
              <w:rPr>
                <w:rFonts w:ascii="Book Antiqua" w:hAnsi="Book Antiqua"/>
                <w:b/>
              </w:rPr>
            </w:pPr>
            <w:r w:rsidRPr="00D12E59">
              <w:rPr>
                <w:rFonts w:ascii="Book Antiqua" w:hAnsi="Book Antiqua"/>
              </w:rPr>
              <w:t>Sapele Branch</w:t>
            </w:r>
            <w:r w:rsidRPr="00D12E59">
              <w:rPr>
                <w:rFonts w:ascii="Book Antiqua" w:hAnsi="Book Antiqua"/>
                <w:b/>
              </w:rPr>
              <w:t xml:space="preserve"> </w:t>
            </w:r>
            <w:r w:rsidRPr="00D12E59">
              <w:rPr>
                <w:rFonts w:ascii="Book Antiqua" w:hAnsi="Book Antiqua"/>
              </w:rPr>
              <w:t>(K.D)</w:t>
            </w:r>
          </w:p>
          <w:p w14:paraId="136BB54F" w14:textId="77777777" w:rsidR="00DD62F3" w:rsidRPr="00D12E59" w:rsidRDefault="00DD62F3" w:rsidP="008275E1">
            <w:pPr>
              <w:jc w:val="center"/>
              <w:rPr>
                <w:rFonts w:ascii="Book Antiqua" w:hAnsi="Book Antiqua"/>
              </w:rPr>
            </w:pPr>
          </w:p>
        </w:tc>
        <w:tc>
          <w:tcPr>
            <w:tcW w:w="0" w:type="auto"/>
          </w:tcPr>
          <w:p w14:paraId="26175751" w14:textId="77777777" w:rsidR="00DD62F3" w:rsidRPr="00D12E59" w:rsidRDefault="00DD62F3" w:rsidP="008275E1">
            <w:pPr>
              <w:jc w:val="center"/>
              <w:rPr>
                <w:rFonts w:ascii="Book Antiqua" w:hAnsi="Book Antiqua"/>
              </w:rPr>
            </w:pPr>
            <w:r w:rsidRPr="00D12E59">
              <w:rPr>
                <w:rFonts w:ascii="Book Antiqua" w:hAnsi="Book Antiqua"/>
              </w:rPr>
              <w:t xml:space="preserve">13.265   </w:t>
            </w:r>
          </w:p>
        </w:tc>
        <w:tc>
          <w:tcPr>
            <w:tcW w:w="0" w:type="auto"/>
          </w:tcPr>
          <w:p w14:paraId="687D7A11" w14:textId="77777777" w:rsidR="00DD62F3" w:rsidRPr="00D12E59" w:rsidRDefault="00DD62F3" w:rsidP="008275E1">
            <w:pPr>
              <w:jc w:val="center"/>
              <w:rPr>
                <w:rFonts w:ascii="Book Antiqua" w:hAnsi="Book Antiqua"/>
              </w:rPr>
            </w:pPr>
            <w:r w:rsidRPr="00D12E59">
              <w:rPr>
                <w:rFonts w:ascii="Book Antiqua" w:hAnsi="Book Antiqua"/>
              </w:rPr>
              <w:t xml:space="preserve"> 4.424</w:t>
            </w:r>
          </w:p>
        </w:tc>
        <w:tc>
          <w:tcPr>
            <w:tcW w:w="0" w:type="auto"/>
          </w:tcPr>
          <w:p w14:paraId="30C0CE7F" w14:textId="77777777" w:rsidR="00DD62F3" w:rsidRPr="00D12E59" w:rsidRDefault="00DD62F3" w:rsidP="008275E1">
            <w:pPr>
              <w:jc w:val="center"/>
              <w:rPr>
                <w:rFonts w:ascii="Book Antiqua" w:hAnsi="Book Antiqua"/>
              </w:rPr>
            </w:pPr>
            <w:r w:rsidRPr="00D12E59">
              <w:rPr>
                <w:rFonts w:ascii="Book Antiqua" w:hAnsi="Book Antiqua"/>
              </w:rPr>
              <w:t>1.313</w:t>
            </w:r>
          </w:p>
        </w:tc>
        <w:tc>
          <w:tcPr>
            <w:tcW w:w="0" w:type="auto"/>
          </w:tcPr>
          <w:p w14:paraId="6FBE9C53" w14:textId="77777777" w:rsidR="00DD62F3" w:rsidRPr="00D12E59" w:rsidRDefault="00DD62F3" w:rsidP="008275E1">
            <w:pPr>
              <w:rPr>
                <w:rFonts w:ascii="Book Antiqua" w:hAnsi="Book Antiqua"/>
              </w:rPr>
            </w:pPr>
            <w:r w:rsidRPr="00D12E59">
              <w:rPr>
                <w:rFonts w:ascii="Book Antiqua" w:hAnsi="Book Antiqua"/>
              </w:rPr>
              <w:t xml:space="preserve">         Durable</w:t>
            </w:r>
          </w:p>
        </w:tc>
      </w:tr>
      <w:tr w:rsidR="00DD62F3" w:rsidRPr="00D12E59" w14:paraId="01BAF022" w14:textId="77777777" w:rsidTr="00F54997">
        <w:trPr>
          <w:trHeight w:val="419"/>
        </w:trPr>
        <w:tc>
          <w:tcPr>
            <w:tcW w:w="0" w:type="auto"/>
          </w:tcPr>
          <w:p w14:paraId="126DF096" w14:textId="77777777" w:rsidR="00DD62F3" w:rsidRPr="00D12E59" w:rsidRDefault="00DD62F3" w:rsidP="008275E1">
            <w:pPr>
              <w:rPr>
                <w:rFonts w:ascii="Book Antiqua" w:hAnsi="Book Antiqua"/>
              </w:rPr>
            </w:pPr>
            <w:r w:rsidRPr="00D12E59">
              <w:rPr>
                <w:rFonts w:ascii="Book Antiqua" w:hAnsi="Book Antiqua"/>
              </w:rPr>
              <w:t>Onyina Stem (A. D)</w:t>
            </w:r>
          </w:p>
        </w:tc>
        <w:tc>
          <w:tcPr>
            <w:tcW w:w="0" w:type="auto"/>
          </w:tcPr>
          <w:p w14:paraId="1EB3689C" w14:textId="77777777" w:rsidR="00DD62F3" w:rsidRPr="00D12E59" w:rsidRDefault="00DD62F3" w:rsidP="008275E1">
            <w:pPr>
              <w:jc w:val="center"/>
              <w:rPr>
                <w:rFonts w:ascii="Book Antiqua" w:hAnsi="Book Antiqua"/>
              </w:rPr>
            </w:pPr>
            <w:r w:rsidRPr="00D12E59">
              <w:rPr>
                <w:rFonts w:ascii="Book Antiqua" w:hAnsi="Book Antiqua"/>
              </w:rPr>
              <w:t>100</w:t>
            </w:r>
          </w:p>
          <w:p w14:paraId="63C0F266" w14:textId="77777777" w:rsidR="00DD62F3" w:rsidRPr="00D12E59" w:rsidRDefault="00DD62F3" w:rsidP="008275E1">
            <w:pPr>
              <w:jc w:val="center"/>
              <w:rPr>
                <w:rFonts w:ascii="Book Antiqua" w:hAnsi="Book Antiqua"/>
              </w:rPr>
            </w:pPr>
          </w:p>
        </w:tc>
        <w:tc>
          <w:tcPr>
            <w:tcW w:w="0" w:type="auto"/>
          </w:tcPr>
          <w:p w14:paraId="7C202910" w14:textId="77777777" w:rsidR="00DD62F3" w:rsidRPr="00D12E59" w:rsidRDefault="00DD62F3" w:rsidP="008275E1">
            <w:pPr>
              <w:jc w:val="center"/>
              <w:rPr>
                <w:rFonts w:ascii="Book Antiqua" w:hAnsi="Book Antiqua"/>
              </w:rPr>
            </w:pPr>
            <w:r w:rsidRPr="00D12E59">
              <w:rPr>
                <w:rFonts w:ascii="Book Antiqua" w:hAnsi="Book Antiqua"/>
              </w:rPr>
              <w:t>0.000</w:t>
            </w:r>
          </w:p>
        </w:tc>
        <w:tc>
          <w:tcPr>
            <w:tcW w:w="0" w:type="auto"/>
          </w:tcPr>
          <w:p w14:paraId="78D44E3C" w14:textId="77777777" w:rsidR="00DD62F3" w:rsidRPr="00D12E59" w:rsidRDefault="00DD62F3" w:rsidP="008275E1">
            <w:pPr>
              <w:jc w:val="center"/>
              <w:rPr>
                <w:rFonts w:ascii="Book Antiqua" w:hAnsi="Book Antiqua"/>
              </w:rPr>
            </w:pPr>
            <w:r w:rsidRPr="00D12E59">
              <w:rPr>
                <w:rFonts w:ascii="Book Antiqua" w:hAnsi="Book Antiqua"/>
              </w:rPr>
              <w:t>4.000</w:t>
            </w:r>
          </w:p>
        </w:tc>
        <w:tc>
          <w:tcPr>
            <w:tcW w:w="0" w:type="auto"/>
          </w:tcPr>
          <w:p w14:paraId="03CA44B8" w14:textId="77777777" w:rsidR="00DD62F3" w:rsidRPr="00D12E59" w:rsidRDefault="00DD62F3" w:rsidP="008275E1">
            <w:pPr>
              <w:rPr>
                <w:rFonts w:ascii="Book Antiqua" w:hAnsi="Book Antiqua"/>
              </w:rPr>
            </w:pPr>
            <w:r w:rsidRPr="00D12E59">
              <w:rPr>
                <w:rFonts w:ascii="Book Antiqua" w:hAnsi="Book Antiqua"/>
              </w:rPr>
              <w:t xml:space="preserve">         Reference material</w:t>
            </w:r>
          </w:p>
        </w:tc>
      </w:tr>
      <w:tr w:rsidR="00DD62F3" w:rsidRPr="00D12E59" w14:paraId="3890337F" w14:textId="77777777" w:rsidTr="00F54997">
        <w:trPr>
          <w:trHeight w:val="89"/>
        </w:trPr>
        <w:tc>
          <w:tcPr>
            <w:tcW w:w="0" w:type="auto"/>
            <w:tcBorders>
              <w:bottom w:val="single" w:sz="12" w:space="0" w:color="000000"/>
            </w:tcBorders>
          </w:tcPr>
          <w:p w14:paraId="7B9AFF0C" w14:textId="77777777" w:rsidR="00DD62F3" w:rsidRPr="00D12E59" w:rsidRDefault="00DD62F3" w:rsidP="008275E1">
            <w:pPr>
              <w:rPr>
                <w:rFonts w:ascii="Book Antiqua" w:hAnsi="Book Antiqua"/>
              </w:rPr>
            </w:pPr>
            <w:r w:rsidRPr="00D12E59">
              <w:rPr>
                <w:rFonts w:ascii="Book Antiqua" w:hAnsi="Book Antiqua"/>
              </w:rPr>
              <w:t>Onyina Stem (K. D)</w:t>
            </w:r>
          </w:p>
        </w:tc>
        <w:tc>
          <w:tcPr>
            <w:tcW w:w="0" w:type="auto"/>
            <w:tcBorders>
              <w:bottom w:val="single" w:sz="12" w:space="0" w:color="000000"/>
            </w:tcBorders>
          </w:tcPr>
          <w:p w14:paraId="04376022" w14:textId="77777777" w:rsidR="00DD62F3" w:rsidRPr="00D12E59" w:rsidRDefault="00DD62F3" w:rsidP="008275E1">
            <w:pPr>
              <w:jc w:val="center"/>
              <w:rPr>
                <w:rFonts w:ascii="Book Antiqua" w:hAnsi="Book Antiqua"/>
              </w:rPr>
            </w:pPr>
            <w:r w:rsidRPr="00D12E59">
              <w:rPr>
                <w:rFonts w:ascii="Book Antiqua" w:hAnsi="Book Antiqua"/>
              </w:rPr>
              <w:t xml:space="preserve">98.390   </w:t>
            </w:r>
          </w:p>
        </w:tc>
        <w:tc>
          <w:tcPr>
            <w:tcW w:w="0" w:type="auto"/>
            <w:tcBorders>
              <w:bottom w:val="single" w:sz="12" w:space="0" w:color="000000"/>
            </w:tcBorders>
          </w:tcPr>
          <w:p w14:paraId="5B6FAAA1" w14:textId="77777777" w:rsidR="00DD62F3" w:rsidRPr="00D12E59" w:rsidRDefault="00DD62F3" w:rsidP="008275E1">
            <w:pPr>
              <w:jc w:val="center"/>
              <w:rPr>
                <w:rFonts w:ascii="Book Antiqua" w:hAnsi="Book Antiqua"/>
              </w:rPr>
            </w:pPr>
            <w:r w:rsidRPr="00D12E59">
              <w:rPr>
                <w:rFonts w:ascii="Book Antiqua" w:hAnsi="Book Antiqua"/>
              </w:rPr>
              <w:t>4.605</w:t>
            </w:r>
          </w:p>
        </w:tc>
        <w:tc>
          <w:tcPr>
            <w:tcW w:w="0" w:type="auto"/>
            <w:tcBorders>
              <w:bottom w:val="single" w:sz="12" w:space="0" w:color="000000"/>
            </w:tcBorders>
          </w:tcPr>
          <w:p w14:paraId="65F1B7C1" w14:textId="77777777" w:rsidR="00DD62F3" w:rsidRPr="00D12E59" w:rsidRDefault="00DD62F3" w:rsidP="008275E1">
            <w:pPr>
              <w:jc w:val="center"/>
              <w:rPr>
                <w:rFonts w:ascii="Book Antiqua" w:hAnsi="Book Antiqua"/>
              </w:rPr>
            </w:pPr>
            <w:r w:rsidRPr="00D12E59">
              <w:rPr>
                <w:rFonts w:ascii="Book Antiqua" w:hAnsi="Book Antiqua"/>
              </w:rPr>
              <w:t>4.000</w:t>
            </w:r>
          </w:p>
        </w:tc>
        <w:tc>
          <w:tcPr>
            <w:tcW w:w="0" w:type="auto"/>
            <w:tcBorders>
              <w:bottom w:val="single" w:sz="12" w:space="0" w:color="000000"/>
            </w:tcBorders>
          </w:tcPr>
          <w:p w14:paraId="05235C15" w14:textId="77777777" w:rsidR="00DD62F3" w:rsidRPr="00D12E59" w:rsidRDefault="00DD62F3" w:rsidP="008275E1">
            <w:pPr>
              <w:rPr>
                <w:rFonts w:ascii="Book Antiqua" w:hAnsi="Book Antiqua"/>
              </w:rPr>
            </w:pPr>
            <w:r w:rsidRPr="00D12E59">
              <w:rPr>
                <w:rFonts w:ascii="Book Antiqua" w:hAnsi="Book Antiqua"/>
              </w:rPr>
              <w:t xml:space="preserve">         Reference material</w:t>
            </w:r>
          </w:p>
        </w:tc>
      </w:tr>
      <w:tr w:rsidR="00DD62F3" w:rsidRPr="00D12E59" w14:paraId="1DA189C5" w14:textId="77777777" w:rsidTr="00F54997">
        <w:trPr>
          <w:trHeight w:val="211"/>
        </w:trPr>
        <w:tc>
          <w:tcPr>
            <w:tcW w:w="0" w:type="auto"/>
            <w:gridSpan w:val="5"/>
            <w:tcBorders>
              <w:top w:val="single" w:sz="12" w:space="0" w:color="000000"/>
            </w:tcBorders>
          </w:tcPr>
          <w:p w14:paraId="0F146CE0" w14:textId="77777777" w:rsidR="00DD62F3" w:rsidRPr="00D12E59" w:rsidRDefault="00DD62F3" w:rsidP="008275E1">
            <w:pPr>
              <w:rPr>
                <w:rFonts w:ascii="Book Antiqua" w:hAnsi="Book Antiqua"/>
              </w:rPr>
            </w:pPr>
            <w:r w:rsidRPr="00D12E59">
              <w:rPr>
                <w:rFonts w:ascii="Book Antiqua" w:hAnsi="Book Antiqua"/>
                <w:b/>
              </w:rPr>
              <w:t>Note:</w:t>
            </w:r>
            <w:r w:rsidRPr="00D12E59">
              <w:rPr>
                <w:rFonts w:ascii="Book Antiqua" w:hAnsi="Book Antiqua"/>
              </w:rPr>
              <w:t xml:space="preserve"> A.D = Air-Dried Samples, and K.D = Kiln-Dried Samples</w:t>
            </w:r>
          </w:p>
        </w:tc>
      </w:tr>
    </w:tbl>
    <w:p w14:paraId="592F0D7A" w14:textId="77777777" w:rsidR="00DD62F3" w:rsidRPr="00E3232D" w:rsidRDefault="00DD62F3" w:rsidP="008275E1">
      <w:pPr>
        <w:rPr>
          <w:rFonts w:ascii="Book Antiqua" w:hAnsi="Book Antiqua"/>
          <w:b/>
        </w:rPr>
        <w:sectPr w:rsidR="00DD62F3" w:rsidRPr="00E3232D" w:rsidSect="008F6BC9">
          <w:type w:val="continuous"/>
          <w:pgSz w:w="11907" w:h="16839" w:code="9"/>
          <w:pgMar w:top="864" w:right="720" w:bottom="778" w:left="1008" w:header="709" w:footer="709" w:gutter="0"/>
          <w:cols w:num="2" w:space="720"/>
          <w:docGrid w:linePitch="360"/>
        </w:sectPr>
      </w:pPr>
    </w:p>
    <w:p w14:paraId="7D24E306" w14:textId="77777777" w:rsidR="00DD62F3" w:rsidRPr="00E3232D" w:rsidRDefault="00DD62F3" w:rsidP="008275E1">
      <w:pPr>
        <w:rPr>
          <w:rFonts w:ascii="Book Antiqua" w:hAnsi="Book Antiqua"/>
          <w:b/>
        </w:rPr>
        <w:sectPr w:rsidR="00DD62F3" w:rsidRPr="00E3232D" w:rsidSect="008F6BC9">
          <w:type w:val="continuous"/>
          <w:pgSz w:w="11907" w:h="16839" w:code="9"/>
          <w:pgMar w:top="864" w:right="720" w:bottom="778" w:left="1008" w:header="709" w:footer="709" w:gutter="0"/>
          <w:cols w:num="2" w:space="720"/>
          <w:docGrid w:linePitch="360"/>
        </w:sectPr>
      </w:pPr>
    </w:p>
    <w:p w14:paraId="0B2657FE" w14:textId="77777777" w:rsidR="00DD62F3" w:rsidRPr="00E3232D" w:rsidRDefault="00DD62F3" w:rsidP="008275E1">
      <w:pPr>
        <w:rPr>
          <w:rFonts w:ascii="Book Antiqua" w:hAnsi="Book Antiqua"/>
          <w:b/>
        </w:rPr>
      </w:pPr>
      <w:r w:rsidRPr="00E3232D">
        <w:rPr>
          <w:rFonts w:ascii="Book Antiqua" w:hAnsi="Book Antiqua"/>
          <w:b/>
        </w:rPr>
        <w:t>Key to Table 1:</w:t>
      </w:r>
    </w:p>
    <w:p w14:paraId="590A53A9" w14:textId="77777777" w:rsidR="00DD62F3" w:rsidRPr="00E3232D" w:rsidRDefault="00DD62F3" w:rsidP="00196385">
      <w:pPr>
        <w:numPr>
          <w:ilvl w:val="0"/>
          <w:numId w:val="148"/>
        </w:numPr>
        <w:rPr>
          <w:rFonts w:ascii="Book Antiqua" w:hAnsi="Book Antiqua"/>
          <w:b/>
        </w:rPr>
      </w:pPr>
      <w:r w:rsidRPr="00E3232D">
        <w:rPr>
          <w:rFonts w:ascii="Book Antiqua" w:hAnsi="Book Antiqua"/>
          <w:b/>
        </w:rPr>
        <w:t>Visual Rating of  extent of attack according to EN 252:</w:t>
      </w:r>
    </w:p>
    <w:p w14:paraId="7C38508F" w14:textId="77777777" w:rsidR="00DD62F3" w:rsidRPr="00E3232D" w:rsidRDefault="00DD62F3" w:rsidP="00EB2A77">
      <w:pPr>
        <w:ind w:left="720" w:right="409"/>
        <w:rPr>
          <w:rFonts w:ascii="Book Antiqua" w:hAnsi="Book Antiqua"/>
        </w:rPr>
      </w:pPr>
      <w:r w:rsidRPr="00E3232D">
        <w:rPr>
          <w:rFonts w:ascii="Book Antiqua" w:hAnsi="Book Antiqua"/>
        </w:rPr>
        <w:t>0 = No attack; 1 = Slight attack; 2 = Moderate attack; 3 = Severe attack; 4 = Failure.</w:t>
      </w:r>
    </w:p>
    <w:p w14:paraId="177779CF" w14:textId="77777777" w:rsidR="00DD62F3" w:rsidRPr="00E3232D" w:rsidRDefault="00DD62F3" w:rsidP="008275E1">
      <w:pPr>
        <w:ind w:left="720"/>
        <w:rPr>
          <w:rFonts w:ascii="Book Antiqua" w:hAnsi="Book Antiqua"/>
        </w:rPr>
      </w:pPr>
    </w:p>
    <w:p w14:paraId="5D88B76A" w14:textId="77777777" w:rsidR="00DD62F3" w:rsidRPr="00E3232D" w:rsidRDefault="00DD62F3" w:rsidP="00196385">
      <w:pPr>
        <w:numPr>
          <w:ilvl w:val="0"/>
          <w:numId w:val="148"/>
        </w:numPr>
        <w:rPr>
          <w:rFonts w:ascii="Book Antiqua" w:hAnsi="Book Antiqua"/>
          <w:b/>
        </w:rPr>
      </w:pPr>
      <w:r w:rsidRPr="00E3232D">
        <w:rPr>
          <w:rFonts w:ascii="Book Antiqua" w:hAnsi="Book Antiqua"/>
          <w:b/>
        </w:rPr>
        <w:t>Durability classification based on weight loss according to Eaton and Hale, (1993):</w:t>
      </w:r>
    </w:p>
    <w:p w14:paraId="60F146B5" w14:textId="77777777" w:rsidR="00DD62F3" w:rsidRPr="00E3232D" w:rsidRDefault="00DD62F3" w:rsidP="00EB2A77">
      <w:pPr>
        <w:ind w:left="720" w:right="409"/>
        <w:rPr>
          <w:rFonts w:ascii="Book Antiqua" w:hAnsi="Book Antiqua"/>
        </w:rPr>
      </w:pPr>
      <w:r w:rsidRPr="00E3232D">
        <w:rPr>
          <w:rFonts w:ascii="Book Antiqua" w:hAnsi="Book Antiqua"/>
        </w:rPr>
        <w:t>0-5% = Very durable; 6-10% = Durable; 11-40% moderately durable; 41-100% Non-durable.</w:t>
      </w:r>
    </w:p>
    <w:p w14:paraId="2332687F" w14:textId="77777777" w:rsidR="00DD62F3" w:rsidRDefault="00DD62F3" w:rsidP="008275E1">
      <w:pPr>
        <w:spacing w:after="120"/>
        <w:rPr>
          <w:rFonts w:ascii="Book Antiqua" w:hAnsi="Book Antiqua"/>
        </w:rPr>
      </w:pPr>
    </w:p>
    <w:p w14:paraId="5FDF8256" w14:textId="77777777" w:rsidR="00F54997" w:rsidRPr="00E3232D" w:rsidRDefault="00F54997" w:rsidP="008275E1">
      <w:pPr>
        <w:spacing w:after="120"/>
        <w:rPr>
          <w:rFonts w:ascii="Book Antiqua" w:hAnsi="Book Antiqua"/>
        </w:rPr>
        <w:sectPr w:rsidR="00F54997" w:rsidRPr="00E3232D" w:rsidSect="008F6BC9">
          <w:type w:val="continuous"/>
          <w:pgSz w:w="11907" w:h="16839" w:code="9"/>
          <w:pgMar w:top="864" w:right="720" w:bottom="778" w:left="1008" w:header="709" w:footer="709" w:gutter="0"/>
          <w:cols w:num="2" w:space="720"/>
          <w:docGrid w:linePitch="360"/>
        </w:sectPr>
      </w:pPr>
    </w:p>
    <w:p w14:paraId="1C9811E8" w14:textId="77777777" w:rsidR="00DD62F3" w:rsidRPr="00EB2A77" w:rsidRDefault="00DD62F3" w:rsidP="00EB2A77">
      <w:pPr>
        <w:spacing w:after="120"/>
        <w:jc w:val="both"/>
        <w:rPr>
          <w:rFonts w:ascii="Book Antiqua" w:hAnsi="Book Antiqua"/>
          <w:b/>
          <w:szCs w:val="26"/>
        </w:rPr>
      </w:pPr>
      <w:r w:rsidRPr="00EB2A77">
        <w:rPr>
          <w:rFonts w:ascii="Book Antiqua" w:hAnsi="Book Antiqua"/>
          <w:b/>
          <w:szCs w:val="26"/>
        </w:rPr>
        <w:t xml:space="preserve">3.1: Weight </w:t>
      </w:r>
      <w:r w:rsidR="00EB2A77" w:rsidRPr="00EB2A77">
        <w:rPr>
          <w:rFonts w:ascii="Book Antiqua" w:hAnsi="Book Antiqua"/>
          <w:b/>
          <w:szCs w:val="26"/>
        </w:rPr>
        <w:t xml:space="preserve">Loss </w:t>
      </w:r>
      <w:r w:rsidRPr="00EB2A77">
        <w:rPr>
          <w:rFonts w:ascii="Book Antiqua" w:hAnsi="Book Antiqua"/>
          <w:b/>
          <w:szCs w:val="26"/>
        </w:rPr>
        <w:t xml:space="preserve">and </w:t>
      </w:r>
      <w:r w:rsidR="00EB2A77" w:rsidRPr="00EB2A77">
        <w:rPr>
          <w:rFonts w:ascii="Book Antiqua" w:hAnsi="Book Antiqua"/>
          <w:b/>
          <w:szCs w:val="26"/>
        </w:rPr>
        <w:t xml:space="preserve">Natural Durability </w:t>
      </w:r>
    </w:p>
    <w:p w14:paraId="10F3C401" w14:textId="77777777" w:rsidR="00DD62F3" w:rsidRPr="00E3232D" w:rsidRDefault="00DD62F3" w:rsidP="00EB2A77">
      <w:pPr>
        <w:jc w:val="both"/>
        <w:rPr>
          <w:rFonts w:ascii="Book Antiqua" w:hAnsi="Book Antiqua"/>
        </w:rPr>
      </w:pPr>
      <w:r w:rsidRPr="00E3232D">
        <w:rPr>
          <w:rFonts w:ascii="Book Antiqua" w:hAnsi="Book Antiqua"/>
        </w:rPr>
        <w:t xml:space="preserve">After planting stakes of air-dried and kiln-dried samples of both stem and branch woods of the </w:t>
      </w:r>
    </w:p>
    <w:p w14:paraId="72B32237" w14:textId="77777777" w:rsidR="00DD62F3" w:rsidRPr="00E3232D" w:rsidRDefault="00DD62F3" w:rsidP="00EB2A77">
      <w:pPr>
        <w:jc w:val="both"/>
        <w:rPr>
          <w:rFonts w:ascii="Book Antiqua" w:hAnsi="Book Antiqua"/>
        </w:rPr>
      </w:pPr>
      <w:r w:rsidRPr="00E3232D">
        <w:rPr>
          <w:rFonts w:ascii="Book Antiqua" w:hAnsi="Book Antiqua"/>
        </w:rPr>
        <w:t xml:space="preserve">wood of Sapele </w:t>
      </w:r>
      <w:r w:rsidRPr="00E3232D">
        <w:rPr>
          <w:rFonts w:ascii="Book Antiqua" w:hAnsi="Book Antiqua"/>
          <w:i/>
        </w:rPr>
        <w:t xml:space="preserve">(Entandrophragma cylindricum) </w:t>
      </w:r>
      <w:r w:rsidRPr="00E3232D">
        <w:rPr>
          <w:rFonts w:ascii="Book Antiqua" w:hAnsi="Book Antiqua"/>
        </w:rPr>
        <w:t xml:space="preserve">for 11 months, using Onyina </w:t>
      </w:r>
      <w:r w:rsidRPr="00E3232D">
        <w:rPr>
          <w:rFonts w:ascii="Book Antiqua" w:hAnsi="Book Antiqua"/>
          <w:i/>
        </w:rPr>
        <w:t>(Ceiba pentandra)</w:t>
      </w:r>
      <w:r w:rsidRPr="00E3232D">
        <w:rPr>
          <w:rFonts w:ascii="Book Antiqua" w:hAnsi="Book Antiqua"/>
        </w:rPr>
        <w:t xml:space="preserve"> as reference material, the findings in terms of percentage weight loss and level of attack/destruction are as presented in </w:t>
      </w:r>
      <w:r w:rsidRPr="00E3232D">
        <w:rPr>
          <w:rFonts w:ascii="Book Antiqua" w:hAnsi="Book Antiqua"/>
          <w:b/>
          <w:i/>
        </w:rPr>
        <w:t>Table 1.</w:t>
      </w:r>
    </w:p>
    <w:p w14:paraId="5D349F99" w14:textId="77777777" w:rsidR="00DD62F3" w:rsidRPr="00E3232D" w:rsidRDefault="00DD62F3" w:rsidP="00EB2A77">
      <w:pPr>
        <w:ind w:right="409"/>
        <w:jc w:val="both"/>
        <w:rPr>
          <w:rFonts w:ascii="Book Antiqua" w:hAnsi="Book Antiqua"/>
        </w:rPr>
        <w:sectPr w:rsidR="00DD62F3" w:rsidRPr="00E3232D" w:rsidSect="008F6BC9">
          <w:type w:val="continuous"/>
          <w:pgSz w:w="11907" w:h="16839" w:code="9"/>
          <w:pgMar w:top="864" w:right="720" w:bottom="778" w:left="1008" w:header="709" w:footer="709" w:gutter="0"/>
          <w:cols w:num="2" w:space="720"/>
          <w:docGrid w:linePitch="360"/>
        </w:sectPr>
      </w:pPr>
      <w:r w:rsidRPr="00E3232D">
        <w:rPr>
          <w:rFonts w:ascii="Book Antiqua" w:hAnsi="Book Antiqua"/>
        </w:rPr>
        <w:t>From the Table, the mean loss of weight ranged from the highest of 56.003% to the lowest of 13.265%. The reference material, however, lost as high as 100% mean weight after the period. Figure 4 shows a clear view of the differences in the ranges of weight loss and visual rating attained by each group of samples studied.</w:t>
      </w:r>
    </w:p>
    <w:p w14:paraId="46DBA818" w14:textId="77777777" w:rsidR="00E32614" w:rsidRDefault="007005B1" w:rsidP="008275E1">
      <w:pPr>
        <w:spacing w:after="120"/>
        <w:sectPr w:rsidR="00E32614" w:rsidSect="008F6BC9">
          <w:type w:val="continuous"/>
          <w:pgSz w:w="11907" w:h="16839" w:code="9"/>
          <w:pgMar w:top="864" w:right="720" w:bottom="778" w:left="1008" w:header="709" w:footer="709" w:gutter="0"/>
          <w:cols w:space="720"/>
          <w:docGrid w:linePitch="360"/>
        </w:sectPr>
      </w:pPr>
      <w:r>
        <w:rPr>
          <w:rFonts w:ascii="Book Antiqua" w:hAnsi="Book Antiqua"/>
          <w:noProof/>
          <w:lang w:bidi="ar-SA"/>
        </w:rPr>
        <w:drawing>
          <wp:inline distT="0" distB="0" distL="0" distR="0" wp14:anchorId="2A31A658" wp14:editId="4DC73A23">
            <wp:extent cx="5981700" cy="4638675"/>
            <wp:effectExtent l="0" t="0" r="0" b="0"/>
            <wp:docPr id="237" name="Object 1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p w14:paraId="73CC6FB1" w14:textId="77777777" w:rsidR="00DD62F3" w:rsidRPr="00E3232D" w:rsidRDefault="00DD62F3" w:rsidP="008275E1">
      <w:pPr>
        <w:spacing w:after="120"/>
        <w:rPr>
          <w:rFonts w:ascii="Book Antiqua" w:hAnsi="Book Antiqua"/>
        </w:rPr>
      </w:pPr>
    </w:p>
    <w:p w14:paraId="04E5C461" w14:textId="77777777" w:rsidR="00DD62F3" w:rsidRPr="00E3232D" w:rsidRDefault="00DD62F3" w:rsidP="008275E1">
      <w:pPr>
        <w:spacing w:after="120"/>
        <w:rPr>
          <w:rFonts w:ascii="Book Antiqua" w:hAnsi="Book Antiqua"/>
        </w:rPr>
      </w:pPr>
    </w:p>
    <w:p w14:paraId="7DAB6014" w14:textId="77777777" w:rsidR="00EF533D" w:rsidRPr="00E3232D" w:rsidRDefault="00EF533D" w:rsidP="008275E1">
      <w:pPr>
        <w:spacing w:after="120"/>
        <w:rPr>
          <w:rFonts w:ascii="Book Antiqua" w:hAnsi="Book Antiqua"/>
          <w:b/>
        </w:rPr>
        <w:sectPr w:rsidR="00EF533D" w:rsidRPr="00E3232D" w:rsidSect="008F6BC9">
          <w:type w:val="continuous"/>
          <w:pgSz w:w="11907" w:h="16839" w:code="9"/>
          <w:pgMar w:top="864" w:right="720" w:bottom="778" w:left="1008" w:header="709" w:footer="709" w:gutter="0"/>
          <w:cols w:num="2" w:space="720"/>
          <w:docGrid w:linePitch="360"/>
        </w:sectPr>
      </w:pPr>
    </w:p>
    <w:p w14:paraId="3291CADD" w14:textId="77777777" w:rsidR="00EF533D" w:rsidRPr="00E3232D" w:rsidRDefault="00EF533D" w:rsidP="00EB2A77">
      <w:pPr>
        <w:ind w:right="463"/>
        <w:jc w:val="both"/>
        <w:rPr>
          <w:rFonts w:ascii="Book Antiqua" w:hAnsi="Book Antiqua"/>
        </w:rPr>
      </w:pPr>
      <w:r w:rsidRPr="00E3232D">
        <w:rPr>
          <w:rFonts w:ascii="Book Antiqua" w:hAnsi="Book Antiqua"/>
        </w:rPr>
        <w:t xml:space="preserve">From Figure 4 and Table 1, among the four groups of samples taken through the test, the air-dried branchwood samples had the highest percentage loss of weight of 56.003 whiles the kiln-dried branchwood samples had the lowest of 13.265. The stemwoods however, had percentage weight losses of 31.739 and 28.164 for the air-dried and kiln-dried samples respectively Thus, the kiln-dried branchwood samples had the lowest percentage loss of weigh while the air-dried branchwood samples also had the highest percentage loss of weight among all the four groups investigated in this study. </w:t>
      </w:r>
    </w:p>
    <w:p w14:paraId="1E2053D5" w14:textId="77777777" w:rsidR="00EF533D" w:rsidRPr="00E3232D" w:rsidRDefault="00EF533D" w:rsidP="00EB2A77">
      <w:pPr>
        <w:ind w:right="463"/>
        <w:jc w:val="both"/>
        <w:rPr>
          <w:rFonts w:ascii="Book Antiqua" w:hAnsi="Book Antiqua"/>
        </w:rPr>
        <w:sectPr w:rsidR="00EF533D" w:rsidRPr="00E3232D" w:rsidSect="00EB2A77">
          <w:type w:val="continuous"/>
          <w:pgSz w:w="11907" w:h="16839" w:code="9"/>
          <w:pgMar w:top="864" w:right="720" w:bottom="778" w:left="1260" w:header="709" w:footer="709" w:gutter="0"/>
          <w:cols w:num="2" w:space="720"/>
          <w:docGrid w:linePitch="360"/>
        </w:sectPr>
      </w:pPr>
      <w:r w:rsidRPr="00E3232D">
        <w:rPr>
          <w:rFonts w:ascii="Book Antiqua" w:hAnsi="Book Antiqua"/>
        </w:rPr>
        <w:t>Since the lower the percentage loss of weight, the better the durability, it could be said that, for the wood of Sapele, the kiln-dried branchwood samples have better natural durability compared to air-dried branchwood and both air-d</w:t>
      </w:r>
      <w:r w:rsidR="00EB2A77">
        <w:rPr>
          <w:rFonts w:ascii="Book Antiqua" w:hAnsi="Book Antiqua"/>
        </w:rPr>
        <w:t>ried and kiln-dried stem woods</w:t>
      </w:r>
    </w:p>
    <w:p w14:paraId="593CDA29" w14:textId="77777777" w:rsidR="00DD62F3" w:rsidRPr="00EB2A77" w:rsidRDefault="00DD62F3" w:rsidP="00EB2A77">
      <w:pPr>
        <w:jc w:val="both"/>
        <w:rPr>
          <w:rFonts w:ascii="Book Antiqua" w:hAnsi="Book Antiqua"/>
          <w:b/>
          <w:szCs w:val="26"/>
        </w:rPr>
      </w:pPr>
      <w:r w:rsidRPr="00EB2A77">
        <w:rPr>
          <w:rFonts w:ascii="Book Antiqua" w:hAnsi="Book Antiqua"/>
          <w:b/>
          <w:szCs w:val="26"/>
        </w:rPr>
        <w:t>3.2: Visual Rating of Attack</w:t>
      </w:r>
    </w:p>
    <w:p w14:paraId="0E8A3130" w14:textId="77777777" w:rsidR="00DD62F3" w:rsidRPr="00E3232D" w:rsidRDefault="00DD62F3" w:rsidP="00EB2A77">
      <w:pPr>
        <w:jc w:val="both"/>
        <w:rPr>
          <w:rFonts w:ascii="Book Antiqua" w:hAnsi="Book Antiqua"/>
        </w:rPr>
      </w:pPr>
      <w:r w:rsidRPr="00E3232D">
        <w:rPr>
          <w:rFonts w:ascii="Book Antiqua" w:hAnsi="Book Antiqua"/>
        </w:rPr>
        <w:t xml:space="preserve">Visual rating of attack by bio-degrading agents when wood is exposed to ground contact is graded from the lowest number of zero (0) indicating no attack, to the highest number of four (4) that indicates failure. </w:t>
      </w:r>
    </w:p>
    <w:p w14:paraId="668DAD31" w14:textId="77777777" w:rsidR="00DD62F3" w:rsidRPr="004E3E4C" w:rsidRDefault="00DD62F3" w:rsidP="00EB2A77">
      <w:pPr>
        <w:jc w:val="both"/>
        <w:rPr>
          <w:rFonts w:ascii="Book Antiqua" w:hAnsi="Book Antiqua"/>
        </w:rPr>
      </w:pPr>
      <w:r w:rsidRPr="00E3232D">
        <w:rPr>
          <w:rFonts w:ascii="Book Antiqua" w:hAnsi="Book Antiqua"/>
        </w:rPr>
        <w:t xml:space="preserve">From both Table 1 and Figure 4, the visual rating of attack by biodegrading agents after the period of the test, indicate that the air-dried branchwood samples were mostly attacked thus obtaining a mean rating of </w:t>
      </w:r>
      <w:r w:rsidRPr="004E3E4C">
        <w:rPr>
          <w:rFonts w:ascii="Book Antiqua" w:hAnsi="Book Antiqua"/>
          <w:b/>
        </w:rPr>
        <w:t>3.125.</w:t>
      </w:r>
      <w:r w:rsidRPr="004E3E4C">
        <w:rPr>
          <w:rFonts w:ascii="Book Antiqua" w:hAnsi="Book Antiqua"/>
          <w:b/>
          <w:sz w:val="26"/>
          <w:szCs w:val="26"/>
        </w:rPr>
        <w:t xml:space="preserve"> </w:t>
      </w:r>
    </w:p>
    <w:p w14:paraId="643A17D3" w14:textId="77777777" w:rsidR="004E3E4C" w:rsidRDefault="00DD62F3" w:rsidP="00EB2A77">
      <w:pPr>
        <w:spacing w:after="0"/>
        <w:jc w:val="both"/>
        <w:rPr>
          <w:rFonts w:ascii="Book Antiqua" w:hAnsi="Book Antiqua"/>
        </w:rPr>
      </w:pPr>
      <w:r w:rsidRPr="00E3232D">
        <w:rPr>
          <w:rFonts w:ascii="Book Antiqua" w:hAnsi="Book Antiqua"/>
        </w:rPr>
        <w:t>Considering all the four groups of samples studied, however, again kiln-dried branchwoods had the lowest mean visual rating of 1.313 followed by kiln-dried stemwood and then air-dried stemwoods that obtained ratings of 1.413 and 2.313 respectively. The reference stemwood samples of Onyina obtained mean rat</w:t>
      </w:r>
      <w:r w:rsidR="00EF533D" w:rsidRPr="00E3232D">
        <w:rPr>
          <w:rFonts w:ascii="Book Antiqua" w:hAnsi="Book Antiqua"/>
        </w:rPr>
        <w:t xml:space="preserve">ings of </w:t>
      </w:r>
      <w:r w:rsidR="004E3E4C">
        <w:rPr>
          <w:rFonts w:ascii="Book Antiqua" w:hAnsi="Book Antiqua"/>
        </w:rPr>
        <w:t>4.</w:t>
      </w:r>
    </w:p>
    <w:p w14:paraId="23B0F07E" w14:textId="77777777" w:rsidR="00F54997" w:rsidRDefault="00F54997" w:rsidP="00F54997">
      <w:pPr>
        <w:spacing w:after="0"/>
        <w:rPr>
          <w:rFonts w:ascii="Book Antiqua" w:hAnsi="Book Antiqua"/>
          <w:b/>
        </w:rPr>
      </w:pPr>
    </w:p>
    <w:p w14:paraId="5606C865" w14:textId="77777777" w:rsidR="00EB2A77" w:rsidRDefault="00EB2A77" w:rsidP="00F54997">
      <w:pPr>
        <w:spacing w:after="0"/>
        <w:rPr>
          <w:rFonts w:ascii="Book Antiqua" w:hAnsi="Book Antiqua"/>
          <w:b/>
          <w:sz w:val="26"/>
          <w:szCs w:val="26"/>
        </w:rPr>
      </w:pPr>
    </w:p>
    <w:p w14:paraId="5D42B47D" w14:textId="77777777" w:rsidR="00EB2A77" w:rsidRDefault="00EB2A77" w:rsidP="00F54997">
      <w:pPr>
        <w:spacing w:after="0"/>
        <w:rPr>
          <w:rFonts w:ascii="Book Antiqua" w:hAnsi="Book Antiqua"/>
          <w:b/>
          <w:sz w:val="26"/>
          <w:szCs w:val="26"/>
        </w:rPr>
      </w:pPr>
    </w:p>
    <w:p w14:paraId="63130B88" w14:textId="77777777" w:rsidR="00EB2A77" w:rsidRPr="00EB2A77" w:rsidRDefault="00DD62F3" w:rsidP="00F54997">
      <w:pPr>
        <w:spacing w:after="0"/>
        <w:rPr>
          <w:rFonts w:ascii="Book Antiqua" w:hAnsi="Book Antiqua"/>
          <w:b/>
          <w:sz w:val="26"/>
          <w:szCs w:val="26"/>
        </w:rPr>
      </w:pPr>
      <w:r w:rsidRPr="004E3E4C">
        <w:rPr>
          <w:rFonts w:ascii="Book Antiqua" w:hAnsi="Book Antiqua"/>
          <w:b/>
          <w:sz w:val="26"/>
          <w:szCs w:val="26"/>
        </w:rPr>
        <w:t>4.0: Discussions</w:t>
      </w:r>
    </w:p>
    <w:p w14:paraId="6CAE3E5D" w14:textId="77777777" w:rsidR="00DD62F3" w:rsidRPr="00EB2A77" w:rsidRDefault="00DD62F3" w:rsidP="00F54997">
      <w:pPr>
        <w:spacing w:after="0"/>
        <w:rPr>
          <w:rFonts w:ascii="Book Antiqua" w:hAnsi="Book Antiqua"/>
          <w:b/>
          <w:szCs w:val="26"/>
        </w:rPr>
      </w:pPr>
      <w:r w:rsidRPr="00EB2A77">
        <w:rPr>
          <w:rFonts w:ascii="Book Antiqua" w:hAnsi="Book Antiqua"/>
          <w:b/>
          <w:szCs w:val="26"/>
        </w:rPr>
        <w:t xml:space="preserve">4.1: Weight Loss and Natural Durability </w:t>
      </w:r>
    </w:p>
    <w:p w14:paraId="739B6D71" w14:textId="77777777" w:rsidR="00EB2A77" w:rsidRDefault="00EB2A77" w:rsidP="00EB2A77">
      <w:pPr>
        <w:spacing w:after="0"/>
        <w:rPr>
          <w:rFonts w:ascii="Book Antiqua" w:hAnsi="Book Antiqua"/>
        </w:rPr>
      </w:pPr>
    </w:p>
    <w:p w14:paraId="2CC28B67" w14:textId="77777777" w:rsidR="00DD62F3" w:rsidRPr="00E3232D" w:rsidRDefault="00DD62F3" w:rsidP="00EB2A77">
      <w:pPr>
        <w:jc w:val="both"/>
        <w:rPr>
          <w:rFonts w:ascii="Book Antiqua" w:hAnsi="Book Antiqua"/>
        </w:rPr>
      </w:pPr>
      <w:r w:rsidRPr="00E3232D">
        <w:rPr>
          <w:rFonts w:ascii="Book Antiqua" w:hAnsi="Book Antiqua"/>
        </w:rPr>
        <w:t>Generally, studies have shown that Sapele wood (</w:t>
      </w:r>
      <w:r w:rsidRPr="00E3232D">
        <w:rPr>
          <w:rFonts w:ascii="Book Antiqua" w:hAnsi="Book Antiqua"/>
          <w:i/>
        </w:rPr>
        <w:t>Entandrophragma cylindricum</w:t>
      </w:r>
      <w:r w:rsidRPr="00E3232D">
        <w:rPr>
          <w:rFonts w:ascii="Book Antiqua" w:hAnsi="Book Antiqua"/>
        </w:rPr>
        <w:t>) has moderate natural durability within moisture contents of 12-15% (Pleydell, 1994).</w:t>
      </w:r>
    </w:p>
    <w:p w14:paraId="3E6AB1EE" w14:textId="77777777" w:rsidR="00DD62F3" w:rsidRPr="00E3232D" w:rsidRDefault="00DD62F3" w:rsidP="00EB2A77">
      <w:pPr>
        <w:jc w:val="both"/>
        <w:rPr>
          <w:rFonts w:ascii="Book Antiqua" w:hAnsi="Book Antiqua"/>
        </w:rPr>
      </w:pPr>
      <w:r w:rsidRPr="00E3232D">
        <w:rPr>
          <w:rFonts w:ascii="Book Antiqua" w:hAnsi="Book Antiqua"/>
        </w:rPr>
        <w:t xml:space="preserve">From the natural durability test conducted according to EN 252, results obtained indicated that, the air-dried branchwood samples are the least resistant to bio-degradation when applied in-ground (haven obtained the highest loss of weight of 56.003). This also implies that the kiln-dried branchwood samples are the most resistant to biodegradation among the four groups studied. This seems to be consistent with the findings of Nzoku </w:t>
      </w:r>
      <w:r w:rsidRPr="00E3232D">
        <w:rPr>
          <w:rFonts w:ascii="Book Antiqua" w:hAnsi="Book Antiqua"/>
          <w:i/>
        </w:rPr>
        <w:t>et. al.</w:t>
      </w:r>
      <w:r w:rsidRPr="00E3232D">
        <w:rPr>
          <w:rFonts w:ascii="Book Antiqua" w:hAnsi="Book Antiqua"/>
        </w:rPr>
        <w:t xml:space="preserve"> (2005). Thus the kiln-dried and the air-dried branchwoods are classified as durable and non-durable respectively.</w:t>
      </w:r>
    </w:p>
    <w:p w14:paraId="1E38C431" w14:textId="77777777" w:rsidR="00DD62F3" w:rsidRPr="00E3232D" w:rsidRDefault="00DD62F3" w:rsidP="00EB2A77">
      <w:pPr>
        <w:jc w:val="both"/>
        <w:rPr>
          <w:rFonts w:ascii="Book Antiqua" w:hAnsi="Book Antiqua"/>
        </w:rPr>
      </w:pPr>
      <w:r w:rsidRPr="00E3232D">
        <w:rPr>
          <w:rFonts w:ascii="Book Antiqua" w:hAnsi="Book Antiqua"/>
        </w:rPr>
        <w:t>The percentage loss of weight of 31.739 and 28.164 by the air-dried and kiln-dried stem wood samples respectively indicates that, the stemwood of Sapele is moderately durable. These also agree with Pleydell, (1994) that Sapele wood in Ghana is moderately durable within the moisture content range of 12-15%.</w:t>
      </w:r>
    </w:p>
    <w:p w14:paraId="02CB3F48" w14:textId="77777777" w:rsidR="00DD62F3" w:rsidRPr="00E3232D" w:rsidRDefault="00DD62F3" w:rsidP="00EB2A77">
      <w:pPr>
        <w:jc w:val="both"/>
        <w:rPr>
          <w:rFonts w:ascii="Book Antiqua" w:hAnsi="Book Antiqua"/>
        </w:rPr>
      </w:pPr>
      <w:r w:rsidRPr="00E3232D">
        <w:rPr>
          <w:rFonts w:ascii="Book Antiqua" w:hAnsi="Book Antiqua"/>
        </w:rPr>
        <w:t>But in all, it could also be observed that, the air-dried samples and kiln-dried samples of the stemwood show some differences in their mean percentage weight losses. The air-dried ones had higher percentage loss which suggests less resistant to biodegradation while the kiln-dried ones revealed a better show of resistance to biodegradation. These also seem to agree with Rowell (2005) that all biodegrading agents of wood require moisture at, near or above the Fibre Saturation Point (FSP) to be able to degrade wood. Hence, according to this author, though termites attack dry wood, but before they bring their own moisture to the surface to be able to accomplish their destructive activities. It is therefore difficult for termites to vigo</w:t>
      </w:r>
      <w:r w:rsidR="0012151E">
        <w:rPr>
          <w:rFonts w:ascii="Book Antiqua" w:hAnsi="Book Antiqua"/>
        </w:rPr>
        <w:t>rously attack and eat dry wood.</w:t>
      </w:r>
    </w:p>
    <w:p w14:paraId="4A475877" w14:textId="77777777" w:rsidR="00DD62F3" w:rsidRPr="00E3232D" w:rsidRDefault="00DD62F3" w:rsidP="00EB2A77">
      <w:pPr>
        <w:jc w:val="both"/>
        <w:rPr>
          <w:rFonts w:ascii="Book Antiqua" w:hAnsi="Book Antiqua"/>
        </w:rPr>
      </w:pPr>
      <w:r w:rsidRPr="00E3232D">
        <w:rPr>
          <w:rFonts w:ascii="Book Antiqua" w:hAnsi="Book Antiqua"/>
        </w:rPr>
        <w:t xml:space="preserve">In the light of this, it might be for this reason that the kiln-dried counterparts of both stem and branch woods were not much eaten to cause much loss of weight compared to their air-dried ones. </w:t>
      </w:r>
    </w:p>
    <w:p w14:paraId="2E19A6A0" w14:textId="77777777" w:rsidR="00DD62F3" w:rsidRPr="00EB2A77" w:rsidRDefault="00DD62F3" w:rsidP="00EB2A77">
      <w:pPr>
        <w:jc w:val="both"/>
        <w:rPr>
          <w:rFonts w:ascii="Book Antiqua" w:hAnsi="Book Antiqua"/>
          <w:b/>
          <w:szCs w:val="26"/>
        </w:rPr>
      </w:pPr>
      <w:r w:rsidRPr="00EB2A77">
        <w:rPr>
          <w:rFonts w:ascii="Book Antiqua" w:hAnsi="Book Antiqua"/>
          <w:b/>
          <w:szCs w:val="26"/>
        </w:rPr>
        <w:t>4.2: Visual Rating of Attack</w:t>
      </w:r>
    </w:p>
    <w:p w14:paraId="291A06FE" w14:textId="77777777" w:rsidR="00DD62F3" w:rsidRPr="00E3232D" w:rsidRDefault="00DD62F3" w:rsidP="00EB2A77">
      <w:pPr>
        <w:jc w:val="both"/>
        <w:rPr>
          <w:rFonts w:ascii="Book Antiqua" w:hAnsi="Book Antiqua"/>
        </w:rPr>
      </w:pPr>
      <w:r w:rsidRPr="00E3232D">
        <w:rPr>
          <w:rFonts w:ascii="Book Antiqua" w:hAnsi="Book Antiqua"/>
        </w:rPr>
        <w:t>The visual rating of attack is a measure of the extent of destruction of samples. It is determined qualitatively by the proportion of the samples destroyed by the biodegrading agents. These rating range from ‘no attack’ (grade 0 - when no visible depth of penetration can be found on the test stakes) to ‘failure’ (grade 4 - when over half of the stake is eaten- up by the agents, a</w:t>
      </w:r>
      <w:r w:rsidR="0012151E">
        <w:rPr>
          <w:rFonts w:ascii="Book Antiqua" w:hAnsi="Book Antiqua"/>
        </w:rPr>
        <w:t>nd thus making the stake fall).</w:t>
      </w:r>
    </w:p>
    <w:p w14:paraId="668B00F5" w14:textId="77777777" w:rsidR="00DD62F3" w:rsidRPr="00E3232D" w:rsidRDefault="00DD62F3" w:rsidP="00EB2A77">
      <w:pPr>
        <w:jc w:val="both"/>
        <w:rPr>
          <w:rFonts w:ascii="Book Antiqua" w:hAnsi="Book Antiqua"/>
        </w:rPr>
      </w:pPr>
      <w:r w:rsidRPr="00E3232D">
        <w:rPr>
          <w:rFonts w:ascii="Book Antiqua" w:hAnsi="Book Antiqua"/>
        </w:rPr>
        <w:t>The air-dried branchwood samples obtaining a mean rating of 3.125 and the kiln-dried branchwood sample obtaining a grade of 1.313 indicates that, it is easier for the biodegrading agents to penetrate branchwoods dried to moisture contents (MC) ranging from  14-22% and destroy them as compared to the ones dried to MC range of 6-11% . A similar scenario is the case for the stem wood samples. These also confirm the assertion by Rowell (2005) that, moisture makes it easy for wood degrading agents to penetrate and destroy wood and that dried wood (especially kiln-dried ones) do not rot easily on ground contact.</w:t>
      </w:r>
    </w:p>
    <w:p w14:paraId="7DB0AA2A" w14:textId="77777777" w:rsidR="00DD62F3" w:rsidRPr="00E3232D" w:rsidRDefault="00DD62F3" w:rsidP="00EB2A77">
      <w:pPr>
        <w:jc w:val="both"/>
        <w:rPr>
          <w:rFonts w:ascii="Book Antiqua" w:hAnsi="Book Antiqua"/>
        </w:rPr>
      </w:pPr>
      <w:r w:rsidRPr="00E3232D">
        <w:rPr>
          <w:rFonts w:ascii="Book Antiqua" w:hAnsi="Book Antiqua"/>
        </w:rPr>
        <w:t>All the durability ratings or gradings have useful implications on the service life of wood species regarding in-ground and above ground contacts. For instance, National Association of Forest Industries-NAFI (2003) has indicated that, in the tropics the average in-ground service life of wood species within the very/highly durable group (class 1) is beyond 25yrs, those in the durable group (class 2) is from 15 to 25years, those in the moderately durable group (class 3) is from 5 to 15years while those within the non durable group (class 4) is less than 5 years. However, the service life of wood above ground contact is expected to be</w:t>
      </w:r>
      <w:r w:rsidR="0012151E">
        <w:rPr>
          <w:rFonts w:ascii="Book Antiqua" w:hAnsi="Book Antiqua"/>
        </w:rPr>
        <w:t xml:space="preserve"> better than in-ground contact.</w:t>
      </w:r>
      <w:r w:rsidRPr="00E3232D">
        <w:rPr>
          <w:rFonts w:ascii="Book Antiqua" w:hAnsi="Book Antiqua"/>
        </w:rPr>
        <w:t xml:space="preserve"> </w:t>
      </w:r>
    </w:p>
    <w:p w14:paraId="7D7D146D" w14:textId="77777777" w:rsidR="00DD62F3" w:rsidRPr="00E3232D" w:rsidRDefault="00DD62F3" w:rsidP="00EB2A77">
      <w:pPr>
        <w:jc w:val="both"/>
        <w:rPr>
          <w:rFonts w:ascii="Book Antiqua" w:hAnsi="Book Antiqua"/>
        </w:rPr>
      </w:pPr>
      <w:r w:rsidRPr="00E3232D">
        <w:rPr>
          <w:rFonts w:ascii="Book Antiqua" w:hAnsi="Book Antiqua"/>
        </w:rPr>
        <w:t>Since kiln-dried stemwood of Sapele is found in the moderately durable group (class 3) and is acceptably used for the production of garden furniture, even for the international market, then kiln-dried branchwood of the species (which has rather been found to be in the durable group – class 2) could also be used for similar applications. Moreover, branchwood of the species can also be used in applications where Ceiba pentandra (Onyina) is being used, since the branch (even in the air-dried state) is naturally durable than the stem of Onyina.</w:t>
      </w:r>
    </w:p>
    <w:p w14:paraId="42858D83" w14:textId="77777777" w:rsidR="00DD62F3" w:rsidRPr="00E3232D" w:rsidRDefault="00DD62F3" w:rsidP="00EB2A77">
      <w:pPr>
        <w:jc w:val="both"/>
        <w:rPr>
          <w:rFonts w:ascii="Book Antiqua" w:hAnsi="Book Antiqua"/>
        </w:rPr>
      </w:pPr>
      <w:r w:rsidRPr="00E3232D">
        <w:rPr>
          <w:rFonts w:ascii="Book Antiqua" w:hAnsi="Book Antiqua"/>
        </w:rPr>
        <w:t xml:space="preserve">The resistance of the KD samples to bioterioration could be attributed to the assertion of Haygreen and Bowyer (1996) that high moisture in wood means much sap (food) to attract biological agents for feeding and thereby destroying the wood. The moisture also softens the wood cells and therefore making it easier for the wood destroying agents to penetrate into the wood.  Thus the dried nature (implying absence or very less sap) might have made the dried wood unattractive to the wood destroying organisms. </w:t>
      </w:r>
    </w:p>
    <w:p w14:paraId="1892B46E" w14:textId="77777777" w:rsidR="00DD62F3" w:rsidRPr="00E3232D" w:rsidRDefault="00DD62F3" w:rsidP="00EB2A77">
      <w:pPr>
        <w:jc w:val="both"/>
        <w:rPr>
          <w:rFonts w:ascii="Book Antiqua" w:hAnsi="Book Antiqua"/>
        </w:rPr>
      </w:pPr>
      <w:r w:rsidRPr="00E3232D">
        <w:rPr>
          <w:rFonts w:ascii="Book Antiqua" w:hAnsi="Book Antiqua"/>
        </w:rPr>
        <w:t>The durability difference between KD branch and stem woods could also be attributable to the numerous vessels and ray cells in the branches (Haygreen &amp; Bowyer, 1996). This because these numerous cells make branchwoods have much wood material content and fewer voids to allow for easy penetration as compared to the stemwoods.  Hence under same dried conditions, it might have been easy for the wood destroyers to penetrate and destroy much proportion of stemwood than they could do to the branchwood. This might have led to the greater weight loss on the part of the stemwood</w:t>
      </w:r>
      <w:r w:rsidR="0012151E">
        <w:rPr>
          <w:rFonts w:ascii="Book Antiqua" w:hAnsi="Book Antiqua"/>
        </w:rPr>
        <w:t xml:space="preserve"> (KD) than the branchwood (KD).</w:t>
      </w:r>
    </w:p>
    <w:p w14:paraId="4F20B1A2" w14:textId="77777777" w:rsidR="00DD62F3" w:rsidRPr="00E3232D" w:rsidRDefault="00DD62F3" w:rsidP="00EB2A77">
      <w:pPr>
        <w:jc w:val="both"/>
        <w:rPr>
          <w:rFonts w:ascii="Book Antiqua" w:hAnsi="Book Antiqua"/>
        </w:rPr>
      </w:pPr>
      <w:r w:rsidRPr="00E3232D">
        <w:rPr>
          <w:rFonts w:ascii="Book Antiqua" w:hAnsi="Book Antiqua"/>
        </w:rPr>
        <w:t xml:space="preserve">It is worth noting that such vital information, from findings of scientific studies like this, is very necessary for entrepreneurs in the wood industry. This is because, such information will enable them accept the new material (branchwood of Sapele) as alternative in the wood value addition chain for expansion, growth and development. </w:t>
      </w:r>
    </w:p>
    <w:p w14:paraId="344B6D3E" w14:textId="77777777" w:rsidR="00DD62F3" w:rsidRPr="00E3232D" w:rsidRDefault="00DD62F3" w:rsidP="00EB2A77">
      <w:pPr>
        <w:jc w:val="both"/>
        <w:rPr>
          <w:rFonts w:ascii="Book Antiqua" w:hAnsi="Book Antiqua"/>
        </w:rPr>
      </w:pPr>
      <w:r w:rsidRPr="00E3232D">
        <w:rPr>
          <w:rFonts w:ascii="Book Antiqua" w:hAnsi="Book Antiqua"/>
        </w:rPr>
        <w:t xml:space="preserve">But to achieve complete acceptance, there is the need for strong bonds of cooperation and collaboration between TES and industry in the present situation of dwindling scarce economic resources like wood (Kamba, 1991). These bonds will ensure the dissemination of such findings on branchwood to lead to innovations, development, production and commercialization of new or improved products (Dickson, 2009; Soomro, 2009). </w:t>
      </w:r>
    </w:p>
    <w:p w14:paraId="4CAAB1C0" w14:textId="77777777" w:rsidR="00DB5D81" w:rsidRPr="00EB2A77" w:rsidRDefault="00DD62F3" w:rsidP="00EB2A77">
      <w:pPr>
        <w:jc w:val="both"/>
        <w:rPr>
          <w:rFonts w:ascii="Book Antiqua" w:hAnsi="Book Antiqua"/>
        </w:rPr>
      </w:pPr>
      <w:r w:rsidRPr="00E3232D">
        <w:rPr>
          <w:rFonts w:ascii="Book Antiqua" w:hAnsi="Book Antiqua"/>
        </w:rPr>
        <w:t>When such happens, there will be much raw materials available to the wood industries for their operations, developments and growth which will, in turn, lead to development of the communities, within their catchment areas, and the general economic growth and development of Ghana as a nation.</w:t>
      </w:r>
    </w:p>
    <w:p w14:paraId="4B71DE81" w14:textId="77777777" w:rsidR="00DD62F3" w:rsidRPr="004E3E4C" w:rsidRDefault="00DD62F3" w:rsidP="00EB2A77">
      <w:pPr>
        <w:jc w:val="both"/>
        <w:rPr>
          <w:rFonts w:ascii="Book Antiqua" w:hAnsi="Book Antiqua"/>
          <w:b/>
          <w:sz w:val="26"/>
          <w:szCs w:val="26"/>
        </w:rPr>
      </w:pPr>
      <w:r w:rsidRPr="004E3E4C">
        <w:rPr>
          <w:rFonts w:ascii="Book Antiqua" w:hAnsi="Book Antiqua"/>
          <w:b/>
          <w:sz w:val="26"/>
          <w:szCs w:val="26"/>
        </w:rPr>
        <w:t>5.0: Conclusions</w:t>
      </w:r>
    </w:p>
    <w:p w14:paraId="6A71C6D7" w14:textId="77777777" w:rsidR="00DD62F3" w:rsidRPr="00E3232D" w:rsidRDefault="00DD62F3" w:rsidP="00EB2A77">
      <w:pPr>
        <w:jc w:val="both"/>
        <w:rPr>
          <w:rFonts w:ascii="Book Antiqua" w:hAnsi="Book Antiqua"/>
        </w:rPr>
      </w:pPr>
      <w:r w:rsidRPr="00E3232D">
        <w:rPr>
          <w:rFonts w:ascii="Book Antiqua" w:hAnsi="Book Antiqua"/>
        </w:rPr>
        <w:t xml:space="preserve">In this study, the potential utilization of branchwood of Sapele as alternative to the species’ Stemwood for ground contact applications, like garden furniture, was assessed by evaluating the natural durability quality of both stem and branch woods of the species. The evaluation was based on weight loss after 11 months of soil block test using European Standard EN 252. The durability of air-dried stem and branch woods of the species appears to be so different, but the natural durability of kiln-dried branchwood is better than that of kiln-dried Stemwood. </w:t>
      </w:r>
    </w:p>
    <w:p w14:paraId="29E606FD" w14:textId="77777777" w:rsidR="00DD62F3" w:rsidRPr="00E3232D" w:rsidRDefault="00DD62F3" w:rsidP="00FE04B0">
      <w:pPr>
        <w:jc w:val="both"/>
        <w:rPr>
          <w:rFonts w:ascii="Book Antiqua" w:hAnsi="Book Antiqua"/>
        </w:rPr>
      </w:pPr>
      <w:r w:rsidRPr="00E3232D">
        <w:rPr>
          <w:rFonts w:ascii="Book Antiqua" w:hAnsi="Book Antiqua"/>
        </w:rPr>
        <w:t>The study concludes that when branchwood of Sapele is kiln-dried to moisture content range of 6-11%, its performance in-ground contact is even better than the Stemwood of the species at same MC. This information will inspire confidence in entrepreneurs, in wood processing to use branchwood of Sapele as supplement to its Stemwood.</w:t>
      </w:r>
    </w:p>
    <w:p w14:paraId="78A6EC6D" w14:textId="77777777" w:rsidR="00DD62F3" w:rsidRPr="004E3E4C" w:rsidRDefault="00DD62F3" w:rsidP="00FE04B0">
      <w:pPr>
        <w:jc w:val="both"/>
        <w:rPr>
          <w:rFonts w:ascii="Book Antiqua" w:hAnsi="Book Antiqua"/>
          <w:b/>
          <w:sz w:val="26"/>
          <w:szCs w:val="26"/>
        </w:rPr>
      </w:pPr>
      <w:r w:rsidRPr="00FE04B0">
        <w:rPr>
          <w:rFonts w:ascii="Book Antiqua" w:hAnsi="Book Antiqua"/>
          <w:b/>
          <w:szCs w:val="26"/>
        </w:rPr>
        <w:t>Acknowledgement</w:t>
      </w:r>
      <w:r w:rsidRPr="004E3E4C">
        <w:rPr>
          <w:rFonts w:ascii="Book Antiqua" w:hAnsi="Book Antiqua"/>
          <w:b/>
          <w:sz w:val="26"/>
          <w:szCs w:val="26"/>
        </w:rPr>
        <w:t>:</w:t>
      </w:r>
    </w:p>
    <w:p w14:paraId="36C90D9B" w14:textId="77777777" w:rsidR="00DD62F3" w:rsidRPr="00E3232D" w:rsidRDefault="00DD62F3" w:rsidP="00FE04B0">
      <w:pPr>
        <w:jc w:val="both"/>
        <w:rPr>
          <w:rFonts w:ascii="Book Antiqua" w:hAnsi="Book Antiqua"/>
        </w:rPr>
      </w:pPr>
      <w:r w:rsidRPr="00E3232D">
        <w:rPr>
          <w:rFonts w:ascii="Book Antiqua" w:hAnsi="Book Antiqua"/>
        </w:rPr>
        <w:t>Our sincerest gratitude goes to Lumber and Logs Ltd.(LLL) for permitting entry into their concessions and giving access to materials for the study.</w:t>
      </w:r>
    </w:p>
    <w:p w14:paraId="5A1BBE76" w14:textId="77777777" w:rsidR="00DD62F3" w:rsidRPr="00E3232D" w:rsidRDefault="00DD62F3" w:rsidP="00FE04B0">
      <w:pPr>
        <w:jc w:val="both"/>
        <w:rPr>
          <w:rFonts w:ascii="Book Antiqua" w:hAnsi="Book Antiqua"/>
        </w:rPr>
      </w:pPr>
    </w:p>
    <w:p w14:paraId="756695D2" w14:textId="77777777" w:rsidR="00DD62F3" w:rsidRPr="00E3232D" w:rsidRDefault="00DD62F3" w:rsidP="00FE04B0">
      <w:pPr>
        <w:jc w:val="both"/>
        <w:rPr>
          <w:rFonts w:ascii="Book Antiqua" w:hAnsi="Book Antiqua"/>
        </w:rPr>
      </w:pPr>
      <w:r w:rsidRPr="00E3232D">
        <w:rPr>
          <w:rFonts w:ascii="Book Antiqua" w:hAnsi="Book Antiqua"/>
        </w:rPr>
        <w:t xml:space="preserve">We also thank Prof. Kwasi Frimpong Mensah who helped us in getting the experimental site for this study. </w:t>
      </w:r>
    </w:p>
    <w:p w14:paraId="7B8E9B23" w14:textId="77777777" w:rsidR="00DD62F3" w:rsidRPr="00E3232D" w:rsidRDefault="00DD62F3" w:rsidP="00FE04B0">
      <w:pPr>
        <w:jc w:val="both"/>
        <w:rPr>
          <w:rFonts w:ascii="Book Antiqua" w:hAnsi="Book Antiqua"/>
        </w:rPr>
      </w:pPr>
    </w:p>
    <w:p w14:paraId="28E285AD" w14:textId="77777777" w:rsidR="00DD62F3" w:rsidRPr="00E3232D" w:rsidRDefault="00DD62F3" w:rsidP="00FE04B0">
      <w:pPr>
        <w:spacing w:after="0"/>
        <w:jc w:val="both"/>
        <w:rPr>
          <w:rFonts w:ascii="Book Antiqua" w:hAnsi="Book Antiqua"/>
        </w:rPr>
      </w:pPr>
      <w:r w:rsidRPr="00E3232D">
        <w:rPr>
          <w:rFonts w:ascii="Book Antiqua" w:hAnsi="Book Antiqua"/>
        </w:rPr>
        <w:t>We are also thankful to Kumasi Polytechnic, particularly, the Interior Architecture and Furniture Production Department for availing tools and equipment for samples preparations.</w:t>
      </w:r>
    </w:p>
    <w:p w14:paraId="152F1059" w14:textId="77777777" w:rsidR="00EF533D" w:rsidRPr="004E3E4C" w:rsidRDefault="00EF533D" w:rsidP="00FE04B0">
      <w:pPr>
        <w:spacing w:after="0"/>
        <w:jc w:val="both"/>
        <w:rPr>
          <w:rFonts w:ascii="Book Antiqua" w:hAnsi="Book Antiqua"/>
          <w:sz w:val="26"/>
          <w:szCs w:val="26"/>
        </w:rPr>
      </w:pPr>
    </w:p>
    <w:p w14:paraId="4992D948" w14:textId="77777777" w:rsidR="00DD62F3" w:rsidRPr="004E3E4C" w:rsidRDefault="00DD62F3" w:rsidP="00FE04B0">
      <w:pPr>
        <w:spacing w:after="0"/>
        <w:jc w:val="both"/>
        <w:rPr>
          <w:rFonts w:ascii="Book Antiqua" w:hAnsi="Book Antiqua"/>
          <w:sz w:val="26"/>
          <w:szCs w:val="26"/>
        </w:rPr>
      </w:pPr>
      <w:r w:rsidRPr="004E3E4C">
        <w:rPr>
          <w:rFonts w:ascii="Book Antiqua" w:hAnsi="Book Antiqua"/>
          <w:b/>
          <w:sz w:val="26"/>
          <w:szCs w:val="26"/>
        </w:rPr>
        <w:t>References</w:t>
      </w:r>
    </w:p>
    <w:p w14:paraId="21A68CC7" w14:textId="77777777" w:rsidR="00DD62F3" w:rsidRPr="00E3232D" w:rsidRDefault="00DD62F3" w:rsidP="00FE04B0">
      <w:pPr>
        <w:spacing w:after="0"/>
        <w:jc w:val="both"/>
        <w:rPr>
          <w:rFonts w:ascii="Book Antiqua" w:hAnsi="Book Antiqua"/>
        </w:rPr>
      </w:pPr>
      <w:r w:rsidRPr="00E3232D">
        <w:rPr>
          <w:rFonts w:ascii="Book Antiqua" w:hAnsi="Book Antiqua"/>
        </w:rPr>
        <w:t xml:space="preserve">Acquah, E.T and Whyte, C. (1998). The </w:t>
      </w:r>
    </w:p>
    <w:p w14:paraId="0D737E2C" w14:textId="77777777" w:rsidR="00DD62F3" w:rsidRPr="00E3232D" w:rsidRDefault="00DD62F3" w:rsidP="00FE04B0">
      <w:pPr>
        <w:ind w:left="720"/>
        <w:jc w:val="both"/>
        <w:rPr>
          <w:rFonts w:ascii="Book Antiqua" w:hAnsi="Book Antiqua"/>
        </w:rPr>
      </w:pPr>
      <w:r w:rsidRPr="00E3232D">
        <w:rPr>
          <w:rFonts w:ascii="Book Antiqua" w:hAnsi="Book Antiqua"/>
        </w:rPr>
        <w:t>potential for Ghana’s wood/wood products in the U.S market Office of Sustainable Development, USAID Africa Bureau, pp. 133.</w:t>
      </w:r>
    </w:p>
    <w:p w14:paraId="22BC033A" w14:textId="77777777" w:rsidR="00DD62F3" w:rsidRPr="00E3232D" w:rsidRDefault="00DD62F3" w:rsidP="00FE04B0">
      <w:pPr>
        <w:jc w:val="both"/>
        <w:rPr>
          <w:rFonts w:ascii="Book Antiqua" w:hAnsi="Book Antiqua"/>
        </w:rPr>
      </w:pPr>
      <w:r w:rsidRPr="00E3232D">
        <w:rPr>
          <w:rFonts w:ascii="Book Antiqua" w:hAnsi="Book Antiqua"/>
        </w:rPr>
        <w:t xml:space="preserve">Amoah, M. L., Appiah-Yeboahand, J., and Okai,  </w:t>
      </w:r>
    </w:p>
    <w:p w14:paraId="21D4861D" w14:textId="77777777" w:rsidR="00DD62F3" w:rsidRPr="00E3232D" w:rsidRDefault="00DD62F3" w:rsidP="00FE04B0">
      <w:pPr>
        <w:spacing w:after="0"/>
        <w:ind w:left="720"/>
        <w:jc w:val="both"/>
        <w:rPr>
          <w:rFonts w:ascii="Book Antiqua" w:hAnsi="Book Antiqua"/>
        </w:rPr>
      </w:pPr>
      <w:r w:rsidRPr="00E3232D">
        <w:rPr>
          <w:rFonts w:ascii="Book Antiqua" w:hAnsi="Book Antiqua"/>
        </w:rPr>
        <w:t>R.,(2012). Characterization of physical and mechnainical properties of Branch, Stem and Root Wood of Iroko and Emire tropical trees, Research J. of Appl.Sc. Eng. And Technol. 4(12). 1754-1760.</w:t>
      </w:r>
    </w:p>
    <w:p w14:paraId="7129C94B" w14:textId="77777777" w:rsidR="00DD62F3" w:rsidRPr="00E3232D" w:rsidRDefault="00DD62F3" w:rsidP="00FE04B0">
      <w:pPr>
        <w:spacing w:after="0"/>
        <w:jc w:val="both"/>
        <w:rPr>
          <w:rFonts w:ascii="Book Antiqua" w:hAnsi="Book Antiqua"/>
          <w:b/>
        </w:rPr>
      </w:pPr>
    </w:p>
    <w:p w14:paraId="6B1C3C60" w14:textId="77777777" w:rsidR="00DD62F3" w:rsidRPr="00E3232D" w:rsidRDefault="00DD62F3" w:rsidP="00FE04B0">
      <w:pPr>
        <w:spacing w:after="0"/>
        <w:jc w:val="both"/>
        <w:rPr>
          <w:rFonts w:ascii="Book Antiqua" w:hAnsi="Book Antiqua"/>
        </w:rPr>
      </w:pPr>
      <w:r w:rsidRPr="00E3232D">
        <w:rPr>
          <w:rFonts w:ascii="Book Antiqua" w:hAnsi="Book Antiqua"/>
        </w:rPr>
        <w:t xml:space="preserve">Cionca M., Badescu L., Zelenivc O., </w:t>
      </w:r>
    </w:p>
    <w:p w14:paraId="35453213" w14:textId="77777777" w:rsidR="00DD62F3" w:rsidRPr="00E3232D" w:rsidRDefault="00DD62F3" w:rsidP="00FE04B0">
      <w:pPr>
        <w:spacing w:after="0"/>
        <w:ind w:left="720"/>
        <w:jc w:val="both"/>
        <w:rPr>
          <w:rFonts w:ascii="Book Antiqua" w:hAnsi="Book Antiqua"/>
        </w:rPr>
      </w:pPr>
      <w:r w:rsidRPr="00E3232D">
        <w:rPr>
          <w:rFonts w:ascii="Book Antiqua" w:hAnsi="Book Antiqua"/>
        </w:rPr>
        <w:t>Olaresui A., (2006). Eco-design approach. A research regarding the potential use of branches in new wooden products. Poster presentation, pp. 107-110 in Proc. International Conference on Environmentally Compatible Forest Products. ECOWOOD, 20-22 Sept.2006, Fernando Pessoa University, Porto, Portugal.</w:t>
      </w:r>
    </w:p>
    <w:p w14:paraId="3A9EDED7" w14:textId="77777777" w:rsidR="00DD62F3" w:rsidRPr="00E3232D" w:rsidRDefault="00DD62F3" w:rsidP="00FE04B0">
      <w:pPr>
        <w:spacing w:after="0"/>
        <w:jc w:val="both"/>
        <w:rPr>
          <w:rFonts w:ascii="Book Antiqua" w:hAnsi="Book Antiqua"/>
          <w:bCs/>
          <w:kern w:val="36"/>
        </w:rPr>
      </w:pPr>
    </w:p>
    <w:p w14:paraId="7BD7B312" w14:textId="77777777" w:rsidR="00DD62F3" w:rsidRPr="00E3232D" w:rsidRDefault="00DD62F3" w:rsidP="00FE04B0">
      <w:pPr>
        <w:spacing w:after="0"/>
        <w:jc w:val="both"/>
        <w:rPr>
          <w:rFonts w:ascii="Book Antiqua" w:hAnsi="Book Antiqua"/>
          <w:bCs/>
        </w:rPr>
      </w:pPr>
      <w:r w:rsidRPr="00E3232D">
        <w:rPr>
          <w:rFonts w:ascii="Book Antiqua" w:hAnsi="Book Antiqua"/>
          <w:bCs/>
        </w:rPr>
        <w:t xml:space="preserve">Dadzie, P.K., (2011). Value addition to wood </w:t>
      </w:r>
    </w:p>
    <w:p w14:paraId="1CFDB8FF" w14:textId="77777777" w:rsidR="00DD62F3" w:rsidRPr="00E3232D" w:rsidRDefault="00DD62F3" w:rsidP="00FE04B0">
      <w:pPr>
        <w:spacing w:after="0"/>
        <w:ind w:left="720"/>
        <w:jc w:val="both"/>
        <w:rPr>
          <w:rFonts w:ascii="Book Antiqua" w:hAnsi="Book Antiqua"/>
          <w:bCs/>
          <w:kern w:val="36"/>
        </w:rPr>
      </w:pPr>
      <w:r w:rsidRPr="00E3232D">
        <w:rPr>
          <w:rFonts w:ascii="Book Antiqua" w:hAnsi="Book Antiqua"/>
          <w:bCs/>
        </w:rPr>
        <w:t>resources, the case of garden furniture production and export in Ghana-study of a local firm, conference paper presented at the 65</w:t>
      </w:r>
      <w:r w:rsidRPr="00E3232D">
        <w:rPr>
          <w:rFonts w:ascii="Book Antiqua" w:hAnsi="Book Antiqua"/>
          <w:bCs/>
          <w:vertAlign w:val="superscript"/>
        </w:rPr>
        <w:t>th</w:t>
      </w:r>
      <w:r w:rsidRPr="00E3232D">
        <w:rPr>
          <w:rFonts w:ascii="Book Antiqua" w:hAnsi="Book Antiqua"/>
          <w:bCs/>
        </w:rPr>
        <w:t xml:space="preserve"> international convention of the Forest Products Society (F.P.S), </w:t>
      </w:r>
      <w:r w:rsidRPr="00E3232D">
        <w:rPr>
          <w:rFonts w:ascii="Book Antiqua" w:hAnsi="Book Antiqua"/>
          <w:bCs/>
          <w:kern w:val="36"/>
        </w:rPr>
        <w:t>Portland, Oregon, U.S.A. 19</w:t>
      </w:r>
      <w:r w:rsidRPr="00E3232D">
        <w:rPr>
          <w:rFonts w:ascii="Book Antiqua" w:hAnsi="Book Antiqua"/>
          <w:bCs/>
          <w:kern w:val="36"/>
          <w:vertAlign w:val="superscript"/>
        </w:rPr>
        <w:t>th</w:t>
      </w:r>
      <w:r w:rsidRPr="00E3232D">
        <w:rPr>
          <w:rFonts w:ascii="Book Antiqua" w:hAnsi="Book Antiqua"/>
          <w:bCs/>
          <w:kern w:val="36"/>
        </w:rPr>
        <w:t xml:space="preserve"> to 21</w:t>
      </w:r>
      <w:r w:rsidRPr="00E3232D">
        <w:rPr>
          <w:rFonts w:ascii="Book Antiqua" w:hAnsi="Book Antiqua"/>
          <w:bCs/>
          <w:kern w:val="36"/>
          <w:vertAlign w:val="superscript"/>
        </w:rPr>
        <w:t>st</w:t>
      </w:r>
      <w:r w:rsidRPr="00E3232D">
        <w:rPr>
          <w:rFonts w:ascii="Book Antiqua" w:hAnsi="Book Antiqua"/>
          <w:bCs/>
          <w:kern w:val="36"/>
        </w:rPr>
        <w:t xml:space="preserve"> June.</w:t>
      </w:r>
    </w:p>
    <w:p w14:paraId="4CAEC110" w14:textId="77777777" w:rsidR="00DD62F3" w:rsidRPr="00E3232D" w:rsidRDefault="00DD62F3" w:rsidP="00FE04B0">
      <w:pPr>
        <w:spacing w:after="0"/>
        <w:jc w:val="both"/>
        <w:rPr>
          <w:rFonts w:ascii="Book Antiqua" w:hAnsi="Book Antiqua"/>
          <w:b/>
        </w:rPr>
      </w:pPr>
    </w:p>
    <w:p w14:paraId="67316604" w14:textId="77777777" w:rsidR="00DD62F3" w:rsidRPr="00E3232D" w:rsidRDefault="00DD62F3" w:rsidP="00FE04B0">
      <w:pPr>
        <w:spacing w:after="0"/>
        <w:jc w:val="both"/>
        <w:rPr>
          <w:rFonts w:ascii="Book Antiqua" w:hAnsi="Book Antiqua"/>
        </w:rPr>
      </w:pPr>
      <w:r w:rsidRPr="00E3232D">
        <w:rPr>
          <w:rFonts w:ascii="Book Antiqua" w:hAnsi="Book Antiqua"/>
        </w:rPr>
        <w:t xml:space="preserve">Dickson, D., (2009). What role for higher </w:t>
      </w:r>
    </w:p>
    <w:p w14:paraId="6D23942C" w14:textId="77777777" w:rsidR="00DD62F3" w:rsidRPr="00E3232D" w:rsidRDefault="00DD62F3" w:rsidP="00FE04B0">
      <w:pPr>
        <w:ind w:left="720"/>
        <w:jc w:val="both"/>
        <w:rPr>
          <w:rFonts w:ascii="Book Antiqua" w:hAnsi="Book Antiqua"/>
        </w:rPr>
      </w:pPr>
      <w:r w:rsidRPr="00E3232D">
        <w:rPr>
          <w:rFonts w:ascii="Book Antiqua" w:hAnsi="Book Antiqua"/>
        </w:rPr>
        <w:t>education in development?, in Science and innovation policy; Putting Science at the Heart of development. Pp. 1-4. SciDvet.Net.</w:t>
      </w:r>
      <w:hyperlink r:id="rId345" w:history="1">
        <w:r w:rsidRPr="00E3232D">
          <w:rPr>
            <w:rStyle w:val="Hyperlink"/>
            <w:rFonts w:ascii="Book Antiqua" w:hAnsi="Book Antiqua"/>
          </w:rPr>
          <w:t>www.scidev.net/en/science-and-innovation-policy/aid-for-higher-education</w:t>
        </w:r>
      </w:hyperlink>
      <w:r w:rsidRPr="00E3232D">
        <w:rPr>
          <w:rFonts w:ascii="Book Antiqua" w:hAnsi="Book Antiqua"/>
        </w:rPr>
        <w:t>. (accessed, February, 2013).</w:t>
      </w:r>
    </w:p>
    <w:p w14:paraId="08F84B55" w14:textId="77777777" w:rsidR="00DD62F3" w:rsidRPr="00E3232D" w:rsidRDefault="00DD62F3" w:rsidP="00FE04B0">
      <w:pPr>
        <w:jc w:val="both"/>
        <w:rPr>
          <w:rFonts w:ascii="Book Antiqua" w:hAnsi="Book Antiqua"/>
        </w:rPr>
      </w:pPr>
      <w:r w:rsidRPr="00E3232D">
        <w:rPr>
          <w:rFonts w:ascii="Book Antiqua" w:hAnsi="Book Antiqua"/>
        </w:rPr>
        <w:t xml:space="preserve">Eaton, R. A. and Hale, M.D.C., (1993). Wood </w:t>
      </w:r>
    </w:p>
    <w:p w14:paraId="386EAC5C" w14:textId="77777777" w:rsidR="00DD62F3" w:rsidRPr="00E3232D" w:rsidRDefault="00DD62F3" w:rsidP="00FE04B0">
      <w:pPr>
        <w:spacing w:after="0"/>
        <w:ind w:left="720"/>
        <w:jc w:val="both"/>
        <w:rPr>
          <w:rFonts w:ascii="Book Antiqua" w:hAnsi="Book Antiqua"/>
        </w:rPr>
      </w:pPr>
      <w:r w:rsidRPr="00E3232D">
        <w:rPr>
          <w:rFonts w:ascii="Book Antiqua" w:hAnsi="Book Antiqua"/>
        </w:rPr>
        <w:t>Decay, Pest and Protection. In: Quartey, Gladys A.; Zurcher, Ernest; Frimpong-Mensah, Kwesi (2008). Durability Investigations of Lesser-Known Ghanaian Wood Species, Research on Lesser Known Timber Species for Bridge Construction, An International Conference Paper. pp. 41-45.</w:t>
      </w:r>
    </w:p>
    <w:p w14:paraId="08D70CE8" w14:textId="77777777" w:rsidR="00DD62F3" w:rsidRPr="00E3232D" w:rsidRDefault="00DD62F3" w:rsidP="00FE04B0">
      <w:pPr>
        <w:spacing w:after="0"/>
        <w:jc w:val="both"/>
        <w:rPr>
          <w:rFonts w:ascii="Book Antiqua" w:hAnsi="Book Antiqua"/>
          <w:bCs/>
          <w:kern w:val="36"/>
        </w:rPr>
      </w:pPr>
    </w:p>
    <w:p w14:paraId="3D16DEB2" w14:textId="77777777" w:rsidR="00DD62F3" w:rsidRPr="00E3232D" w:rsidRDefault="00DD62F3" w:rsidP="00FE04B0">
      <w:pPr>
        <w:spacing w:after="0"/>
        <w:jc w:val="both"/>
        <w:rPr>
          <w:rFonts w:ascii="Book Antiqua" w:hAnsi="Book Antiqua"/>
        </w:rPr>
      </w:pPr>
      <w:r w:rsidRPr="00E3232D">
        <w:rPr>
          <w:rFonts w:ascii="Book Antiqua" w:hAnsi="Book Antiqua"/>
        </w:rPr>
        <w:t xml:space="preserve">European Committee for Standardization  </w:t>
      </w:r>
    </w:p>
    <w:p w14:paraId="316A3845" w14:textId="77777777" w:rsidR="00DD62F3" w:rsidRPr="00E3232D" w:rsidRDefault="00DD62F3" w:rsidP="00FE04B0">
      <w:pPr>
        <w:spacing w:after="0"/>
        <w:ind w:left="720"/>
        <w:jc w:val="both"/>
        <w:rPr>
          <w:rFonts w:ascii="Book Antiqua" w:hAnsi="Book Antiqua"/>
        </w:rPr>
      </w:pPr>
      <w:r w:rsidRPr="00E3232D">
        <w:rPr>
          <w:rFonts w:ascii="Book Antiqua" w:hAnsi="Book Antiqua"/>
        </w:rPr>
        <w:t>(1989).EN 252. Field test method for determining the relative protective effectiveness of a wood preservative in ground contact.</w:t>
      </w:r>
    </w:p>
    <w:p w14:paraId="52FD6E3B" w14:textId="77777777" w:rsidR="00DD62F3" w:rsidRPr="00E3232D" w:rsidRDefault="00DD62F3" w:rsidP="00FE04B0">
      <w:pPr>
        <w:spacing w:after="0"/>
        <w:jc w:val="both"/>
        <w:rPr>
          <w:rFonts w:ascii="Book Antiqua" w:hAnsi="Book Antiqua"/>
          <w:b/>
        </w:rPr>
      </w:pPr>
    </w:p>
    <w:p w14:paraId="5F7AABFE" w14:textId="77777777" w:rsidR="00DD62F3" w:rsidRPr="00E3232D" w:rsidRDefault="00DD62F3" w:rsidP="00FE04B0">
      <w:pPr>
        <w:spacing w:after="0"/>
        <w:jc w:val="both"/>
        <w:rPr>
          <w:rFonts w:ascii="Book Antiqua" w:hAnsi="Book Antiqua"/>
        </w:rPr>
      </w:pPr>
      <w:r w:rsidRPr="00E3232D">
        <w:rPr>
          <w:rFonts w:ascii="Book Antiqua" w:hAnsi="Book Antiqua"/>
        </w:rPr>
        <w:t xml:space="preserve">Kamba W.J., (1991). The role of higher </w:t>
      </w:r>
    </w:p>
    <w:p w14:paraId="002511F5" w14:textId="77777777" w:rsidR="00DD62F3" w:rsidRPr="00E3232D" w:rsidRDefault="00DD62F3" w:rsidP="00FE04B0">
      <w:pPr>
        <w:ind w:firstLine="720"/>
        <w:jc w:val="both"/>
        <w:rPr>
          <w:rFonts w:ascii="Book Antiqua" w:hAnsi="Book Antiqua"/>
        </w:rPr>
      </w:pPr>
      <w:r w:rsidRPr="00E3232D">
        <w:rPr>
          <w:rFonts w:ascii="Book Antiqua" w:hAnsi="Book Antiqua"/>
        </w:rPr>
        <w:t xml:space="preserve">education in society; Quality and </w:t>
      </w:r>
      <w:r w:rsidRPr="00E3232D">
        <w:rPr>
          <w:rFonts w:ascii="Book Antiqua" w:hAnsi="Book Antiqua"/>
        </w:rPr>
        <w:tab/>
        <w:t xml:space="preserve">petinence, in new papers on higher </w:t>
      </w:r>
      <w:r w:rsidRPr="00E3232D">
        <w:rPr>
          <w:rFonts w:ascii="Book Antiqua" w:hAnsi="Book Antiqua"/>
        </w:rPr>
        <w:tab/>
        <w:t>education meeting document, 2</w:t>
      </w:r>
      <w:r w:rsidRPr="00E3232D">
        <w:rPr>
          <w:rFonts w:ascii="Book Antiqua" w:hAnsi="Book Antiqua"/>
          <w:vertAlign w:val="superscript"/>
        </w:rPr>
        <w:t>nd</w:t>
      </w:r>
      <w:r w:rsidRPr="00E3232D">
        <w:rPr>
          <w:rFonts w:ascii="Book Antiqua" w:hAnsi="Book Antiqua"/>
        </w:rPr>
        <w:t xml:space="preserve"> </w:t>
      </w:r>
      <w:r w:rsidRPr="00E3232D">
        <w:rPr>
          <w:rFonts w:ascii="Book Antiqua" w:hAnsi="Book Antiqua"/>
        </w:rPr>
        <w:tab/>
        <w:t xml:space="preserve">UNESCO-Non-Governmental </w:t>
      </w:r>
      <w:r w:rsidRPr="00E3232D">
        <w:rPr>
          <w:rFonts w:ascii="Book Antiqua" w:hAnsi="Book Antiqua"/>
        </w:rPr>
        <w:tab/>
        <w:t xml:space="preserve">organizations collective consultation on </w:t>
      </w:r>
      <w:r w:rsidRPr="00E3232D">
        <w:rPr>
          <w:rFonts w:ascii="Book Antiqua" w:hAnsi="Book Antiqua"/>
        </w:rPr>
        <w:tab/>
        <w:t>higher education paris, 8</w:t>
      </w:r>
      <w:r w:rsidRPr="00E3232D">
        <w:rPr>
          <w:rFonts w:ascii="Book Antiqua" w:hAnsi="Book Antiqua"/>
          <w:vertAlign w:val="superscript"/>
        </w:rPr>
        <w:t>th</w:t>
      </w:r>
      <w:r w:rsidRPr="00E3232D">
        <w:rPr>
          <w:rFonts w:ascii="Book Antiqua" w:hAnsi="Book Antiqua"/>
        </w:rPr>
        <w:t xml:space="preserve"> -11</w:t>
      </w:r>
      <w:r w:rsidRPr="00E3232D">
        <w:rPr>
          <w:rFonts w:ascii="Book Antiqua" w:hAnsi="Book Antiqua"/>
          <w:vertAlign w:val="superscript"/>
        </w:rPr>
        <w:t>th</w:t>
      </w:r>
      <w:r w:rsidRPr="00E3232D">
        <w:rPr>
          <w:rFonts w:ascii="Book Antiqua" w:hAnsi="Book Antiqua"/>
        </w:rPr>
        <w:t xml:space="preserve">  April, 1991 </w:t>
      </w:r>
      <w:r w:rsidRPr="00E3232D">
        <w:rPr>
          <w:rFonts w:ascii="Book Antiqua" w:hAnsi="Book Antiqua"/>
        </w:rPr>
        <w:tab/>
        <w:t>pp. 25-27</w:t>
      </w:r>
    </w:p>
    <w:p w14:paraId="292E9FF3" w14:textId="77777777" w:rsidR="00DD62F3" w:rsidRPr="00E3232D" w:rsidRDefault="00DD62F3" w:rsidP="00FE04B0">
      <w:pPr>
        <w:jc w:val="both"/>
        <w:rPr>
          <w:rFonts w:ascii="Book Antiqua" w:hAnsi="Book Antiqua"/>
          <w:b/>
        </w:rPr>
      </w:pPr>
    </w:p>
    <w:p w14:paraId="7CBAECBD" w14:textId="77777777" w:rsidR="00DD62F3" w:rsidRPr="00E3232D" w:rsidRDefault="00DD62F3" w:rsidP="00FE04B0">
      <w:pPr>
        <w:jc w:val="both"/>
        <w:rPr>
          <w:rFonts w:ascii="Book Antiqua" w:hAnsi="Book Antiqua"/>
        </w:rPr>
      </w:pPr>
      <w:r w:rsidRPr="00E3232D">
        <w:rPr>
          <w:rFonts w:ascii="Book Antiqua" w:hAnsi="Book Antiqua"/>
        </w:rPr>
        <w:t xml:space="preserve">Gurau, L.; Cionca M.; Mansfield-Williams, H.; </w:t>
      </w:r>
    </w:p>
    <w:p w14:paraId="2A19177B" w14:textId="77777777" w:rsidR="00DD62F3" w:rsidRPr="00E3232D" w:rsidRDefault="00DD62F3" w:rsidP="00FE04B0">
      <w:pPr>
        <w:ind w:firstLine="720"/>
        <w:jc w:val="both"/>
        <w:rPr>
          <w:rFonts w:ascii="Book Antiqua" w:hAnsi="Book Antiqua"/>
        </w:rPr>
      </w:pPr>
      <w:r w:rsidRPr="00E3232D">
        <w:rPr>
          <w:rFonts w:ascii="Book Antiqua" w:hAnsi="Book Antiqua"/>
        </w:rPr>
        <w:t xml:space="preserve">Sawyer, G. and Zeleniuc O., (2008). </w:t>
      </w:r>
    </w:p>
    <w:p w14:paraId="1FA6973D" w14:textId="77777777" w:rsidR="00DD62F3" w:rsidRPr="00E3232D" w:rsidRDefault="00DD62F3" w:rsidP="00FE04B0">
      <w:pPr>
        <w:spacing w:after="0"/>
        <w:ind w:left="720"/>
        <w:jc w:val="both"/>
        <w:rPr>
          <w:rFonts w:ascii="Book Antiqua" w:hAnsi="Book Antiqua"/>
        </w:rPr>
      </w:pPr>
      <w:r w:rsidRPr="00E3232D">
        <w:rPr>
          <w:rFonts w:ascii="Book Antiqua" w:hAnsi="Book Antiqua"/>
        </w:rPr>
        <w:t>Comparison of the Mechanical Properties of Branch and Stem Wood for Three Species; in Wood and Fibre Science Vol. 40 No. 4, Society of Wood Science and Technology. U.K. pp. 647-656.</w:t>
      </w:r>
    </w:p>
    <w:p w14:paraId="5504B28F" w14:textId="77777777" w:rsidR="00DD62F3" w:rsidRPr="00E3232D" w:rsidRDefault="00DD62F3" w:rsidP="00FE04B0">
      <w:pPr>
        <w:spacing w:after="0"/>
        <w:jc w:val="both"/>
        <w:rPr>
          <w:rFonts w:ascii="Book Antiqua" w:hAnsi="Book Antiqua"/>
        </w:rPr>
      </w:pPr>
    </w:p>
    <w:p w14:paraId="30430904" w14:textId="77777777" w:rsidR="00DD62F3" w:rsidRPr="00E3232D" w:rsidRDefault="00DD62F3" w:rsidP="00FE04B0">
      <w:pPr>
        <w:spacing w:after="0"/>
        <w:jc w:val="both"/>
        <w:rPr>
          <w:rFonts w:ascii="Book Antiqua" w:hAnsi="Book Antiqua"/>
        </w:rPr>
      </w:pPr>
      <w:r w:rsidRPr="00E3232D">
        <w:rPr>
          <w:rFonts w:ascii="Book Antiqua" w:hAnsi="Book Antiqua"/>
        </w:rPr>
        <w:t xml:space="preserve">Haygreen, J. G. and Bowyer J. L. (1996). </w:t>
      </w:r>
    </w:p>
    <w:p w14:paraId="16BDBBF7" w14:textId="77777777" w:rsidR="00DD62F3" w:rsidRPr="00E3232D" w:rsidRDefault="00DD62F3" w:rsidP="00FE04B0">
      <w:pPr>
        <w:spacing w:after="0"/>
        <w:ind w:left="720"/>
        <w:jc w:val="both"/>
        <w:rPr>
          <w:rFonts w:ascii="Book Antiqua" w:hAnsi="Book Antiqua"/>
        </w:rPr>
      </w:pPr>
      <w:r w:rsidRPr="00E3232D">
        <w:rPr>
          <w:rFonts w:ascii="Book Antiqua" w:hAnsi="Book Antiqua"/>
        </w:rPr>
        <w:t>Forest Products and Wood Science-An Introduction, 3</w:t>
      </w:r>
      <w:r w:rsidRPr="00E3232D">
        <w:rPr>
          <w:rFonts w:ascii="Book Antiqua" w:hAnsi="Book Antiqua"/>
          <w:vertAlign w:val="superscript"/>
        </w:rPr>
        <w:t>rd</w:t>
      </w:r>
      <w:r w:rsidRPr="00E3232D">
        <w:rPr>
          <w:rFonts w:ascii="Book Antiqua" w:hAnsi="Book Antiqua"/>
        </w:rPr>
        <w:t xml:space="preserve"> Edition, IOWA State University Press, Ames.U.S.A. 485pp</w:t>
      </w:r>
    </w:p>
    <w:p w14:paraId="07E0C096" w14:textId="77777777" w:rsidR="00DD62F3" w:rsidRPr="00E3232D" w:rsidRDefault="00DD62F3" w:rsidP="00FE04B0">
      <w:pPr>
        <w:spacing w:after="0"/>
        <w:jc w:val="both"/>
        <w:rPr>
          <w:rFonts w:ascii="Book Antiqua" w:hAnsi="Book Antiqua"/>
        </w:rPr>
      </w:pPr>
    </w:p>
    <w:p w14:paraId="5448E367" w14:textId="77777777" w:rsidR="00DD62F3" w:rsidRPr="00E3232D" w:rsidRDefault="00DD62F3" w:rsidP="00FE04B0">
      <w:pPr>
        <w:spacing w:after="0"/>
        <w:jc w:val="both"/>
        <w:rPr>
          <w:rFonts w:ascii="Book Antiqua" w:hAnsi="Book Antiqua"/>
        </w:rPr>
      </w:pPr>
      <w:r w:rsidRPr="00E3232D">
        <w:rPr>
          <w:rFonts w:ascii="Book Antiqua" w:hAnsi="Book Antiqua"/>
        </w:rPr>
        <w:t xml:space="preserve">Lawson K. A., (2012). One response to the </w:t>
      </w:r>
    </w:p>
    <w:p w14:paraId="0B48C701" w14:textId="77777777" w:rsidR="00DD62F3" w:rsidRPr="00E3232D" w:rsidRDefault="00DD62F3" w:rsidP="00FE04B0">
      <w:pPr>
        <w:spacing w:after="0"/>
        <w:ind w:left="720"/>
        <w:jc w:val="both"/>
        <w:rPr>
          <w:rFonts w:ascii="Book Antiqua" w:hAnsi="Book Antiqua"/>
        </w:rPr>
      </w:pPr>
      <w:r w:rsidRPr="00E3232D">
        <w:rPr>
          <w:rFonts w:ascii="Book Antiqua" w:hAnsi="Book Antiqua"/>
        </w:rPr>
        <w:t xml:space="preserve">Role of Higher Education in contermporary society, Kennesaw state university. pp. 1-3. </w:t>
      </w:r>
      <w:hyperlink r:id="rId346" w:history="1">
        <w:r w:rsidRPr="00E3232D">
          <w:rPr>
            <w:rStyle w:val="Hyperlink"/>
            <w:rFonts w:ascii="Book Antiqua" w:hAnsi="Book Antiqua"/>
          </w:rPr>
          <w:t>www.whereuniverse.com/2012/02/01/the-role-of-higher-education-in-contemporary-society</w:t>
        </w:r>
      </w:hyperlink>
      <w:r w:rsidRPr="00E3232D">
        <w:rPr>
          <w:rFonts w:ascii="Book Antiqua" w:hAnsi="Book Antiqua"/>
        </w:rPr>
        <w:t>. (Accessed, February, 2013).</w:t>
      </w:r>
    </w:p>
    <w:p w14:paraId="02072A03" w14:textId="77777777" w:rsidR="00DD62F3" w:rsidRPr="00E3232D" w:rsidRDefault="00DD62F3" w:rsidP="00FE04B0">
      <w:pPr>
        <w:spacing w:after="0"/>
        <w:jc w:val="both"/>
        <w:rPr>
          <w:rFonts w:ascii="Book Antiqua" w:hAnsi="Book Antiqua"/>
          <w:b/>
        </w:rPr>
      </w:pPr>
    </w:p>
    <w:p w14:paraId="67E374DA" w14:textId="77777777" w:rsidR="00DD62F3" w:rsidRPr="00E3232D" w:rsidRDefault="00DD62F3" w:rsidP="00FE04B0">
      <w:pPr>
        <w:spacing w:after="0"/>
        <w:jc w:val="both"/>
        <w:rPr>
          <w:rFonts w:ascii="Book Antiqua" w:hAnsi="Book Antiqua"/>
        </w:rPr>
      </w:pPr>
      <w:r w:rsidRPr="00E3232D">
        <w:rPr>
          <w:rFonts w:ascii="Book Antiqua" w:hAnsi="Book Antiqua"/>
        </w:rPr>
        <w:t xml:space="preserve">Mattessich, P.W. and Monsey, B.R., (1992). </w:t>
      </w:r>
    </w:p>
    <w:p w14:paraId="1C06BF25" w14:textId="77777777" w:rsidR="00DD62F3" w:rsidRPr="00E3232D" w:rsidRDefault="00DD62F3" w:rsidP="00FE04B0">
      <w:pPr>
        <w:spacing w:after="0"/>
        <w:ind w:left="720"/>
        <w:jc w:val="both"/>
        <w:rPr>
          <w:rFonts w:ascii="Book Antiqua" w:hAnsi="Book Antiqua"/>
        </w:rPr>
      </w:pPr>
      <w:r w:rsidRPr="00E3232D">
        <w:rPr>
          <w:rFonts w:ascii="Book Antiqua" w:hAnsi="Book Antiqua"/>
        </w:rPr>
        <w:t>Collaboration;what makes it work? In A.H. WilderFoundation, pp.53.</w:t>
      </w:r>
    </w:p>
    <w:p w14:paraId="49DFA0CB" w14:textId="77777777" w:rsidR="00DD62F3" w:rsidRPr="00E3232D" w:rsidRDefault="00DD62F3" w:rsidP="00FE04B0">
      <w:pPr>
        <w:spacing w:after="0"/>
        <w:jc w:val="both"/>
        <w:rPr>
          <w:rFonts w:ascii="Book Antiqua" w:hAnsi="Book Antiqua"/>
          <w:b/>
        </w:rPr>
      </w:pPr>
    </w:p>
    <w:p w14:paraId="232867FC" w14:textId="77777777" w:rsidR="00DD62F3" w:rsidRPr="00E3232D" w:rsidRDefault="00DD62F3" w:rsidP="00FE04B0">
      <w:pPr>
        <w:spacing w:after="0"/>
        <w:jc w:val="both"/>
        <w:rPr>
          <w:rFonts w:ascii="Book Antiqua" w:hAnsi="Book Antiqua"/>
        </w:rPr>
      </w:pPr>
      <w:r w:rsidRPr="00E3232D">
        <w:rPr>
          <w:rFonts w:ascii="Book Antiqua" w:hAnsi="Book Antiqua"/>
        </w:rPr>
        <w:t xml:space="preserve">Ministry of Lands and Natural Resources </w:t>
      </w:r>
    </w:p>
    <w:p w14:paraId="6029F906" w14:textId="77777777" w:rsidR="00DD62F3" w:rsidRPr="00E3232D" w:rsidRDefault="00DD62F3" w:rsidP="00FE04B0">
      <w:pPr>
        <w:spacing w:after="0"/>
        <w:ind w:left="720"/>
        <w:jc w:val="both"/>
        <w:rPr>
          <w:rFonts w:ascii="Book Antiqua" w:hAnsi="Book Antiqua"/>
        </w:rPr>
      </w:pPr>
      <w:r w:rsidRPr="00E3232D">
        <w:rPr>
          <w:rFonts w:ascii="Book Antiqua" w:hAnsi="Book Antiqua"/>
        </w:rPr>
        <w:t>(MLNR), (2012). Ghana-Forest Investment Program (FIP) Plan. Draft-March, 2012.</w:t>
      </w:r>
    </w:p>
    <w:p w14:paraId="45434A26" w14:textId="77777777" w:rsidR="00DD62F3" w:rsidRPr="00E3232D" w:rsidRDefault="00DD62F3" w:rsidP="00FE04B0">
      <w:pPr>
        <w:spacing w:after="0"/>
        <w:jc w:val="both"/>
        <w:rPr>
          <w:rFonts w:ascii="Book Antiqua" w:hAnsi="Book Antiqua"/>
        </w:rPr>
      </w:pPr>
    </w:p>
    <w:p w14:paraId="41806E05" w14:textId="77777777" w:rsidR="00DD62F3" w:rsidRPr="00E3232D" w:rsidRDefault="00DD62F3" w:rsidP="00FE04B0">
      <w:pPr>
        <w:spacing w:after="0"/>
        <w:jc w:val="both"/>
        <w:rPr>
          <w:rFonts w:ascii="Book Antiqua" w:hAnsi="Book Antiqua"/>
        </w:rPr>
      </w:pPr>
      <w:r w:rsidRPr="00E3232D">
        <w:rPr>
          <w:rFonts w:ascii="Book Antiqua" w:hAnsi="Book Antiqua"/>
        </w:rPr>
        <w:t>National Association of Forest Industries-</w:t>
      </w:r>
    </w:p>
    <w:p w14:paraId="770983F7" w14:textId="77777777" w:rsidR="00DD62F3" w:rsidRPr="00E3232D" w:rsidRDefault="00DD62F3" w:rsidP="00FE04B0">
      <w:pPr>
        <w:spacing w:after="0"/>
        <w:ind w:left="720"/>
        <w:jc w:val="both"/>
        <w:rPr>
          <w:rFonts w:ascii="Book Antiqua" w:hAnsi="Book Antiqua"/>
        </w:rPr>
      </w:pPr>
      <w:r w:rsidRPr="00E3232D">
        <w:rPr>
          <w:rFonts w:ascii="Book Antiqua" w:hAnsi="Book Antiqua"/>
        </w:rPr>
        <w:t xml:space="preserve">NAFI, (2003). Timber manual datafile P4-Timber design for durability, revised edition, Forest and Wood Products Research and Development Corporation. pp. 2-28 </w:t>
      </w:r>
      <w:hyperlink r:id="rId347" w:history="1">
        <w:r w:rsidRPr="00E3232D">
          <w:rPr>
            <w:rStyle w:val="Hyperlink"/>
            <w:rFonts w:ascii="Book Antiqua" w:hAnsi="Book Antiqua"/>
          </w:rPr>
          <w:t>www.nafi.com.au</w:t>
        </w:r>
      </w:hyperlink>
      <w:r w:rsidRPr="00E3232D">
        <w:rPr>
          <w:rFonts w:ascii="Book Antiqua" w:hAnsi="Book Antiqua"/>
        </w:rPr>
        <w:t xml:space="preserve"> (accessed, 18</w:t>
      </w:r>
      <w:r w:rsidRPr="00E3232D">
        <w:rPr>
          <w:rFonts w:ascii="Book Antiqua" w:hAnsi="Book Antiqua"/>
          <w:vertAlign w:val="superscript"/>
        </w:rPr>
        <w:t>th</w:t>
      </w:r>
      <w:r w:rsidRPr="00E3232D">
        <w:rPr>
          <w:rFonts w:ascii="Book Antiqua" w:hAnsi="Book Antiqua"/>
        </w:rPr>
        <w:t xml:space="preserve"> March, 2013).</w:t>
      </w:r>
    </w:p>
    <w:p w14:paraId="431885E1" w14:textId="77777777" w:rsidR="00DD62F3" w:rsidRPr="00E3232D" w:rsidRDefault="00DD62F3" w:rsidP="00FE04B0">
      <w:pPr>
        <w:spacing w:after="0"/>
        <w:jc w:val="both"/>
        <w:rPr>
          <w:rFonts w:ascii="Book Antiqua" w:hAnsi="Book Antiqua"/>
          <w:b/>
        </w:rPr>
      </w:pPr>
    </w:p>
    <w:p w14:paraId="1ED4D8FD" w14:textId="77777777" w:rsidR="00DD62F3" w:rsidRPr="00E3232D" w:rsidRDefault="00DD62F3" w:rsidP="00FE04B0">
      <w:pPr>
        <w:spacing w:after="0"/>
        <w:jc w:val="both"/>
        <w:rPr>
          <w:rFonts w:ascii="Book Antiqua" w:hAnsi="Book Antiqua"/>
        </w:rPr>
      </w:pPr>
      <w:r w:rsidRPr="00E3232D">
        <w:rPr>
          <w:rFonts w:ascii="Book Antiqua" w:hAnsi="Book Antiqua"/>
        </w:rPr>
        <w:t xml:space="preserve">NIU Outreach, (2005). The role of higher </w:t>
      </w:r>
    </w:p>
    <w:p w14:paraId="669529FD" w14:textId="77777777" w:rsidR="00DD62F3" w:rsidRPr="00E3232D" w:rsidRDefault="00DD62F3" w:rsidP="00FE04B0">
      <w:pPr>
        <w:spacing w:after="0"/>
        <w:ind w:left="720"/>
        <w:jc w:val="both"/>
        <w:rPr>
          <w:rFonts w:ascii="Book Antiqua" w:hAnsi="Book Antiqua"/>
        </w:rPr>
      </w:pPr>
      <w:r w:rsidRPr="00E3232D">
        <w:rPr>
          <w:rFonts w:ascii="Book Antiqua" w:hAnsi="Book Antiqua"/>
        </w:rPr>
        <w:t>education in economic development, higher education alliance for the Rock River Region. Northern Illinois University. U.S.A. pp. 1-12.</w:t>
      </w:r>
    </w:p>
    <w:p w14:paraId="0378C513" w14:textId="77777777" w:rsidR="00DD62F3" w:rsidRPr="00E3232D" w:rsidRDefault="00DD62F3" w:rsidP="00FE04B0">
      <w:pPr>
        <w:spacing w:after="0"/>
        <w:jc w:val="both"/>
        <w:rPr>
          <w:rFonts w:ascii="Book Antiqua" w:hAnsi="Book Antiqua"/>
          <w:b/>
          <w:bCs/>
          <w:kern w:val="36"/>
        </w:rPr>
      </w:pPr>
    </w:p>
    <w:p w14:paraId="4B2D2E89" w14:textId="77777777" w:rsidR="00DD62F3" w:rsidRPr="00E3232D" w:rsidRDefault="00DD62F3" w:rsidP="00FE04B0">
      <w:pPr>
        <w:spacing w:after="0"/>
        <w:jc w:val="both"/>
        <w:rPr>
          <w:rFonts w:ascii="Book Antiqua" w:hAnsi="Book Antiqua"/>
          <w:b/>
          <w:bCs/>
          <w:kern w:val="36"/>
        </w:rPr>
      </w:pPr>
      <w:r w:rsidRPr="00E3232D">
        <w:rPr>
          <w:rFonts w:ascii="Book Antiqua" w:hAnsi="Book Antiqua"/>
          <w:bCs/>
          <w:kern w:val="36"/>
        </w:rPr>
        <w:t>Nzokou, P., Wehner, K., and Kamdem, D. P.,</w:t>
      </w:r>
      <w:r w:rsidRPr="00E3232D">
        <w:rPr>
          <w:rFonts w:ascii="Book Antiqua" w:hAnsi="Book Antiqua"/>
          <w:b/>
          <w:bCs/>
          <w:kern w:val="36"/>
        </w:rPr>
        <w:t xml:space="preserve"> </w:t>
      </w:r>
    </w:p>
    <w:p w14:paraId="1F5F264C" w14:textId="77777777" w:rsidR="00DD62F3" w:rsidRPr="00E3232D" w:rsidRDefault="00DD62F3" w:rsidP="00FE04B0">
      <w:pPr>
        <w:spacing w:after="0"/>
        <w:ind w:left="720"/>
        <w:jc w:val="both"/>
        <w:rPr>
          <w:rFonts w:ascii="Book Antiqua" w:hAnsi="Book Antiqua"/>
          <w:bCs/>
          <w:kern w:val="36"/>
        </w:rPr>
      </w:pPr>
      <w:r w:rsidRPr="00E3232D">
        <w:rPr>
          <w:rFonts w:ascii="Book Antiqua" w:hAnsi="Book Antiqua"/>
          <w:bCs/>
          <w:kern w:val="36"/>
        </w:rPr>
        <w:t>(2005). Natural durability of eight tropical hardwoods from Cameroon, Journal of Tropical Forest Science 17 (3): pp.416-427.</w:t>
      </w:r>
    </w:p>
    <w:p w14:paraId="204CF400" w14:textId="77777777" w:rsidR="00DD62F3" w:rsidRPr="00E3232D" w:rsidRDefault="00DD62F3" w:rsidP="00FE04B0">
      <w:pPr>
        <w:spacing w:after="0"/>
        <w:ind w:left="720"/>
        <w:jc w:val="both"/>
        <w:rPr>
          <w:rFonts w:ascii="Book Antiqua" w:hAnsi="Book Antiqua"/>
          <w:bCs/>
          <w:kern w:val="36"/>
        </w:rPr>
      </w:pPr>
    </w:p>
    <w:p w14:paraId="433954EE" w14:textId="77777777" w:rsidR="00DD62F3" w:rsidRPr="00E3232D" w:rsidRDefault="00DD62F3" w:rsidP="00FE04B0">
      <w:pPr>
        <w:spacing w:after="0"/>
        <w:jc w:val="both"/>
        <w:rPr>
          <w:rFonts w:ascii="Book Antiqua" w:hAnsi="Book Antiqua"/>
        </w:rPr>
      </w:pPr>
      <w:r w:rsidRPr="00E3232D">
        <w:rPr>
          <w:rFonts w:ascii="Book Antiqua" w:hAnsi="Book Antiqua"/>
        </w:rPr>
        <w:t xml:space="preserve">Okai, R., (2002). A study on the Milling and </w:t>
      </w:r>
    </w:p>
    <w:p w14:paraId="097BF965" w14:textId="77777777" w:rsidR="00DD62F3" w:rsidRPr="00E3232D" w:rsidRDefault="00DD62F3" w:rsidP="00FE04B0">
      <w:pPr>
        <w:ind w:left="720"/>
        <w:jc w:val="both"/>
        <w:rPr>
          <w:rFonts w:ascii="Book Antiqua" w:hAnsi="Book Antiqua"/>
        </w:rPr>
      </w:pPr>
      <w:r w:rsidRPr="00E3232D">
        <w:rPr>
          <w:rFonts w:ascii="Book Antiqua" w:hAnsi="Book Antiqua"/>
        </w:rPr>
        <w:t>Strength Properties of Branchwood and Stemwood of Terminalia ivorensis (Emire) and Aningeria robusta (Asanfona), ITTO Tropical Forest Update Vol.12 No. 1.pp.23-25.</w:t>
      </w:r>
    </w:p>
    <w:p w14:paraId="741B3D61" w14:textId="77777777" w:rsidR="00DD62F3" w:rsidRPr="00E3232D" w:rsidRDefault="00DD62F3" w:rsidP="00FE04B0">
      <w:pPr>
        <w:jc w:val="both"/>
        <w:rPr>
          <w:rFonts w:ascii="Book Antiqua" w:hAnsi="Book Antiqua"/>
        </w:rPr>
      </w:pPr>
      <w:r w:rsidRPr="00E3232D">
        <w:rPr>
          <w:rFonts w:ascii="Book Antiqua" w:hAnsi="Book Antiqua"/>
        </w:rPr>
        <w:t xml:space="preserve">Okai, R., (2003). Can Logging Residue be used </w:t>
      </w:r>
    </w:p>
    <w:p w14:paraId="540E9A17" w14:textId="77777777" w:rsidR="00DD62F3" w:rsidRPr="00E3232D" w:rsidRDefault="00DD62F3" w:rsidP="00FE04B0">
      <w:pPr>
        <w:ind w:left="720"/>
        <w:jc w:val="both"/>
        <w:rPr>
          <w:rFonts w:ascii="Book Antiqua" w:hAnsi="Book Antiqua"/>
        </w:rPr>
      </w:pPr>
      <w:r w:rsidRPr="00E3232D">
        <w:rPr>
          <w:rFonts w:ascii="Book Antiqua" w:hAnsi="Book Antiqua"/>
        </w:rPr>
        <w:t>to help meet timber demands for the downstream processing sector? In: Proceedings of the XII FAO World Forestry Congress, Quebec City, Canada.http//:www.fao.org/docrep/ARTICLE/WFC/XII/0236-B4 HTM.</w:t>
      </w:r>
    </w:p>
    <w:p w14:paraId="4F3A34E7" w14:textId="77777777" w:rsidR="00DD62F3" w:rsidRPr="00E3232D" w:rsidRDefault="00DD62F3" w:rsidP="00FE04B0">
      <w:pPr>
        <w:spacing w:after="0"/>
        <w:ind w:firstLine="720"/>
        <w:jc w:val="both"/>
        <w:rPr>
          <w:rFonts w:ascii="Book Antiqua" w:hAnsi="Book Antiqua"/>
        </w:rPr>
      </w:pPr>
      <w:r w:rsidRPr="00E3232D">
        <w:rPr>
          <w:rFonts w:ascii="Book Antiqua" w:hAnsi="Book Antiqua"/>
        </w:rPr>
        <w:t>(Accessed, 1</w:t>
      </w:r>
      <w:r w:rsidRPr="00E3232D">
        <w:rPr>
          <w:rFonts w:ascii="Book Antiqua" w:hAnsi="Book Antiqua"/>
          <w:vertAlign w:val="superscript"/>
        </w:rPr>
        <w:t>st</w:t>
      </w:r>
      <w:r w:rsidRPr="00E3232D">
        <w:rPr>
          <w:rFonts w:ascii="Book Antiqua" w:hAnsi="Book Antiqua"/>
        </w:rPr>
        <w:t xml:space="preserve"> February, 2013).</w:t>
      </w:r>
    </w:p>
    <w:p w14:paraId="070C65E0" w14:textId="77777777" w:rsidR="00DD62F3" w:rsidRPr="00E3232D" w:rsidRDefault="00DD62F3" w:rsidP="00FE04B0">
      <w:pPr>
        <w:spacing w:after="0"/>
        <w:jc w:val="both"/>
        <w:rPr>
          <w:rFonts w:ascii="Book Antiqua" w:hAnsi="Book Antiqua"/>
          <w:b/>
        </w:rPr>
      </w:pPr>
    </w:p>
    <w:p w14:paraId="01AD01B2" w14:textId="77777777" w:rsidR="00DD62F3" w:rsidRPr="00E3232D" w:rsidRDefault="00DD62F3" w:rsidP="00FE04B0">
      <w:pPr>
        <w:spacing w:after="0"/>
        <w:jc w:val="both"/>
        <w:rPr>
          <w:rFonts w:ascii="Book Antiqua" w:hAnsi="Book Antiqua"/>
        </w:rPr>
      </w:pPr>
      <w:r w:rsidRPr="00E3232D">
        <w:rPr>
          <w:rFonts w:ascii="Book Antiqua" w:hAnsi="Book Antiqua"/>
        </w:rPr>
        <w:t xml:space="preserve">Palenti S., Feci, E., and Torniai M. A., (2011). </w:t>
      </w:r>
    </w:p>
    <w:p w14:paraId="6526A96F" w14:textId="77777777" w:rsidR="00E36478" w:rsidRDefault="00DD62F3" w:rsidP="00FE04B0">
      <w:pPr>
        <w:spacing w:after="0"/>
        <w:ind w:left="720"/>
        <w:jc w:val="both"/>
        <w:rPr>
          <w:rFonts w:ascii="Book Antiqua" w:hAnsi="Book Antiqua"/>
        </w:rPr>
        <w:sectPr w:rsidR="00E36478" w:rsidSect="008F6BC9">
          <w:footerReference w:type="default" r:id="rId348"/>
          <w:type w:val="continuous"/>
          <w:pgSz w:w="11907" w:h="16839" w:code="9"/>
          <w:pgMar w:top="1440" w:right="1152" w:bottom="864" w:left="1440" w:header="720" w:footer="720" w:gutter="0"/>
          <w:cols w:num="2" w:space="720"/>
          <w:docGrid w:linePitch="360"/>
        </w:sectPr>
      </w:pPr>
      <w:r w:rsidRPr="00E3232D">
        <w:rPr>
          <w:rFonts w:ascii="Book Antiqua" w:hAnsi="Book Antiqua"/>
        </w:rPr>
        <w:t xml:space="preserve">Wood durability and wood preservation, natural durability of different genotypes, low environmental impact, National </w:t>
      </w:r>
    </w:p>
    <w:p w14:paraId="173EE1C5" w14:textId="77777777" w:rsidR="00DD62F3" w:rsidRPr="00E3232D" w:rsidRDefault="00DD62F3" w:rsidP="00FE04B0">
      <w:pPr>
        <w:spacing w:after="0"/>
        <w:ind w:left="720"/>
        <w:jc w:val="both"/>
        <w:rPr>
          <w:rFonts w:ascii="Book Antiqua" w:hAnsi="Book Antiqua"/>
        </w:rPr>
      </w:pPr>
      <w:r w:rsidRPr="00E3232D">
        <w:rPr>
          <w:rFonts w:ascii="Book Antiqua" w:hAnsi="Book Antiqua"/>
        </w:rPr>
        <w:t xml:space="preserve">Research Council of Italy, Trees and Timber Institute. </w:t>
      </w:r>
      <w:hyperlink r:id="rId349" w:history="1">
        <w:r w:rsidRPr="00E3232D">
          <w:rPr>
            <w:rStyle w:val="Hyperlink"/>
            <w:rFonts w:ascii="Book Antiqua" w:hAnsi="Book Antiqua"/>
          </w:rPr>
          <w:t>www.ivalsa.cnr.it/en/research/natural-durability-of-different-genotypes</w:t>
        </w:r>
      </w:hyperlink>
      <w:r w:rsidRPr="00E3232D">
        <w:rPr>
          <w:rFonts w:ascii="Book Antiqua" w:hAnsi="Book Antiqua"/>
        </w:rPr>
        <w:t>. (Accessed- 14th January, 2013).</w:t>
      </w:r>
    </w:p>
    <w:p w14:paraId="6267EFE5" w14:textId="77777777" w:rsidR="00DD62F3" w:rsidRPr="00E3232D" w:rsidRDefault="00DD62F3" w:rsidP="00FE04B0">
      <w:pPr>
        <w:spacing w:after="0"/>
        <w:jc w:val="both"/>
        <w:rPr>
          <w:rFonts w:ascii="Book Antiqua" w:hAnsi="Book Antiqua"/>
          <w:b/>
          <w:bCs/>
          <w:kern w:val="36"/>
        </w:rPr>
      </w:pPr>
    </w:p>
    <w:p w14:paraId="486B2046" w14:textId="77777777" w:rsidR="00DD62F3" w:rsidRPr="00E3232D" w:rsidRDefault="00DD62F3" w:rsidP="00FE04B0">
      <w:pPr>
        <w:spacing w:after="0"/>
        <w:jc w:val="both"/>
        <w:rPr>
          <w:rFonts w:ascii="Book Antiqua" w:hAnsi="Book Antiqua"/>
        </w:rPr>
      </w:pPr>
      <w:r w:rsidRPr="00E3232D">
        <w:rPr>
          <w:rFonts w:ascii="Book Antiqua" w:hAnsi="Book Antiqua"/>
        </w:rPr>
        <w:t xml:space="preserve">Pleydell, G., (1994). Tropical Timbers of </w:t>
      </w:r>
    </w:p>
    <w:p w14:paraId="50C1EF7A" w14:textId="77777777" w:rsidR="00DD62F3" w:rsidRPr="00E3232D" w:rsidRDefault="00DD62F3" w:rsidP="00FE04B0">
      <w:pPr>
        <w:spacing w:after="0"/>
        <w:ind w:left="720"/>
        <w:jc w:val="both"/>
        <w:rPr>
          <w:rFonts w:ascii="Book Antiqua" w:hAnsi="Book Antiqua"/>
        </w:rPr>
      </w:pPr>
      <w:r w:rsidRPr="00E3232D">
        <w:rPr>
          <w:rFonts w:ascii="Book Antiqua" w:hAnsi="Book Antiqua"/>
        </w:rPr>
        <w:t>Ghana, Timber Exports Development Board, Takoradi. Ghana. 86 pp.</w:t>
      </w:r>
    </w:p>
    <w:p w14:paraId="3B0CF130" w14:textId="77777777" w:rsidR="00DD62F3" w:rsidRPr="00E3232D" w:rsidRDefault="00DD62F3" w:rsidP="00FE04B0">
      <w:pPr>
        <w:spacing w:after="0"/>
        <w:jc w:val="both"/>
        <w:rPr>
          <w:rFonts w:ascii="Book Antiqua" w:hAnsi="Book Antiqua"/>
          <w:b/>
          <w:bCs/>
          <w:kern w:val="36"/>
        </w:rPr>
      </w:pPr>
    </w:p>
    <w:p w14:paraId="7A8D9E6B" w14:textId="77777777" w:rsidR="00DD62F3" w:rsidRPr="00E3232D" w:rsidRDefault="00DD62F3" w:rsidP="00FE04B0">
      <w:pPr>
        <w:spacing w:after="0"/>
        <w:jc w:val="both"/>
        <w:rPr>
          <w:rFonts w:ascii="Book Antiqua" w:hAnsi="Book Antiqua"/>
        </w:rPr>
      </w:pPr>
      <w:r w:rsidRPr="00E3232D">
        <w:rPr>
          <w:rFonts w:ascii="Book Antiqua" w:hAnsi="Book Antiqua"/>
        </w:rPr>
        <w:t>Quartey, G. A.; Zurcher, E.; Frimpong-</w:t>
      </w:r>
    </w:p>
    <w:p w14:paraId="260362DD" w14:textId="77777777" w:rsidR="00882743" w:rsidRPr="00E3232D" w:rsidRDefault="00DD62F3" w:rsidP="00FE04B0">
      <w:pPr>
        <w:ind w:left="720"/>
        <w:jc w:val="both"/>
        <w:rPr>
          <w:rFonts w:ascii="Book Antiqua" w:hAnsi="Book Antiqua"/>
        </w:rPr>
        <w:sectPr w:rsidR="00882743" w:rsidRPr="00E3232D" w:rsidSect="002571CF">
          <w:type w:val="continuous"/>
          <w:pgSz w:w="11907" w:h="16839" w:code="9"/>
          <w:pgMar w:top="1440" w:right="1152" w:bottom="864" w:left="1440" w:header="720" w:footer="720" w:gutter="0"/>
          <w:cols w:num="2" w:space="720"/>
          <w:docGrid w:linePitch="360"/>
        </w:sectPr>
      </w:pPr>
      <w:r w:rsidRPr="00E3232D">
        <w:rPr>
          <w:rFonts w:ascii="Book Antiqua" w:hAnsi="Book Antiqua"/>
        </w:rPr>
        <w:t xml:space="preserve">Mensah, K., (2008). Durability Investigations of Lesser-Known Ghanaian Wood Species, Research on </w:t>
      </w:r>
    </w:p>
    <w:p w14:paraId="6AF472A7" w14:textId="77777777" w:rsidR="00DD62F3" w:rsidRPr="00E3232D" w:rsidRDefault="00DD62F3" w:rsidP="00FE04B0">
      <w:pPr>
        <w:spacing w:after="0"/>
        <w:ind w:left="720"/>
        <w:jc w:val="both"/>
        <w:rPr>
          <w:rFonts w:ascii="Book Antiqua" w:hAnsi="Book Antiqua"/>
        </w:rPr>
      </w:pPr>
      <w:r w:rsidRPr="00E3232D">
        <w:rPr>
          <w:rFonts w:ascii="Book Antiqua" w:hAnsi="Book Antiqua"/>
        </w:rPr>
        <w:t>Lesser Known Timber Species for Bridge Construction, An International Conference Paper. pp. 41-45.</w:t>
      </w:r>
    </w:p>
    <w:p w14:paraId="3EDF5D9D" w14:textId="77777777" w:rsidR="00DD62F3" w:rsidRPr="00E3232D" w:rsidRDefault="00DD62F3" w:rsidP="00FE04B0">
      <w:pPr>
        <w:spacing w:after="0"/>
        <w:jc w:val="both"/>
        <w:rPr>
          <w:rFonts w:ascii="Book Antiqua" w:hAnsi="Book Antiqua"/>
          <w:b/>
          <w:bCs/>
          <w:kern w:val="36"/>
        </w:rPr>
      </w:pPr>
    </w:p>
    <w:p w14:paraId="1A172E13" w14:textId="77777777" w:rsidR="00DD62F3" w:rsidRPr="00E3232D" w:rsidRDefault="00DD62F3" w:rsidP="00FE04B0">
      <w:pPr>
        <w:spacing w:after="0"/>
        <w:jc w:val="both"/>
        <w:rPr>
          <w:rFonts w:ascii="Book Antiqua" w:hAnsi="Book Antiqua"/>
          <w:bCs/>
          <w:kern w:val="36"/>
        </w:rPr>
      </w:pPr>
      <w:r w:rsidRPr="00E3232D">
        <w:rPr>
          <w:rFonts w:ascii="Book Antiqua" w:hAnsi="Book Antiqua"/>
          <w:bCs/>
          <w:kern w:val="36"/>
        </w:rPr>
        <w:t xml:space="preserve">Rowell R.M., (2005). Handbook of  wood </w:t>
      </w:r>
    </w:p>
    <w:p w14:paraId="064F40CF" w14:textId="77777777" w:rsidR="00DD62F3" w:rsidRPr="00E3232D" w:rsidRDefault="00DD62F3" w:rsidP="00FE04B0">
      <w:pPr>
        <w:spacing w:after="0"/>
        <w:ind w:left="720"/>
        <w:jc w:val="both"/>
        <w:rPr>
          <w:rFonts w:ascii="Book Antiqua" w:hAnsi="Book Antiqua"/>
          <w:bCs/>
          <w:kern w:val="36"/>
        </w:rPr>
      </w:pPr>
      <w:r w:rsidRPr="00E3232D">
        <w:rPr>
          <w:rFonts w:ascii="Book Antiqua" w:hAnsi="Book Antiqua"/>
          <w:bCs/>
          <w:kern w:val="36"/>
        </w:rPr>
        <w:t>chemistry and wood composites, CRC Press. London. Pp. 90-91.</w:t>
      </w:r>
    </w:p>
    <w:p w14:paraId="2975F7A1" w14:textId="77777777" w:rsidR="00DD62F3" w:rsidRPr="00E3232D" w:rsidRDefault="00DD62F3" w:rsidP="00FE04B0">
      <w:pPr>
        <w:spacing w:after="0"/>
        <w:jc w:val="both"/>
        <w:rPr>
          <w:rFonts w:ascii="Book Antiqua" w:hAnsi="Book Antiqua"/>
        </w:rPr>
      </w:pPr>
    </w:p>
    <w:p w14:paraId="2DA99855" w14:textId="77777777" w:rsidR="00DD62F3" w:rsidRPr="00E3232D" w:rsidRDefault="00DD62F3" w:rsidP="00FE04B0">
      <w:pPr>
        <w:spacing w:after="0"/>
        <w:jc w:val="both"/>
        <w:rPr>
          <w:rFonts w:ascii="Book Antiqua" w:hAnsi="Book Antiqua"/>
        </w:rPr>
      </w:pPr>
      <w:r w:rsidRPr="00E3232D">
        <w:rPr>
          <w:rFonts w:ascii="Book Antiqua" w:hAnsi="Book Antiqua"/>
        </w:rPr>
        <w:t xml:space="preserve">Soomro, M., (2009). What role for higher </w:t>
      </w:r>
    </w:p>
    <w:p w14:paraId="5E45BB3C" w14:textId="77777777" w:rsidR="00DD62F3" w:rsidRPr="00E3232D" w:rsidRDefault="00DD62F3" w:rsidP="00FE04B0">
      <w:pPr>
        <w:jc w:val="both"/>
        <w:rPr>
          <w:rFonts w:ascii="Book Antiqua" w:hAnsi="Book Antiqua"/>
        </w:rPr>
      </w:pPr>
      <w:r w:rsidRPr="00E3232D">
        <w:rPr>
          <w:rFonts w:ascii="Book Antiqua" w:hAnsi="Book Antiqua"/>
        </w:rPr>
        <w:t>education in development?, in Science and innovation policy; Putting Science at the Heart of development. Pp. 1-4. SciDvet.Net.</w:t>
      </w:r>
      <w:hyperlink r:id="rId350" w:history="1">
        <w:r w:rsidRPr="00E3232D">
          <w:rPr>
            <w:rStyle w:val="Hyperlink"/>
            <w:rFonts w:ascii="Book Antiqua" w:hAnsi="Book Antiqua"/>
          </w:rPr>
          <w:t>www.scidev.net/en/science-and-innovation-policy/aid-for-higher-education</w:t>
        </w:r>
      </w:hyperlink>
      <w:r w:rsidRPr="00E3232D">
        <w:rPr>
          <w:rFonts w:ascii="Book Antiqua" w:hAnsi="Book Antiqua"/>
        </w:rPr>
        <w:t>. (Accessed, February, 2013).</w:t>
      </w:r>
    </w:p>
    <w:p w14:paraId="342CDC24" w14:textId="77777777" w:rsidR="002571CF" w:rsidRDefault="002571CF" w:rsidP="00FE04B0">
      <w:pPr>
        <w:jc w:val="both"/>
        <w:rPr>
          <w:rFonts w:ascii="Book Antiqua" w:hAnsi="Book Antiqua"/>
        </w:rPr>
        <w:sectPr w:rsidR="002571CF" w:rsidSect="002571CF">
          <w:type w:val="continuous"/>
          <w:pgSz w:w="11907" w:h="16839" w:code="9"/>
          <w:pgMar w:top="1440" w:right="1152" w:bottom="864" w:left="1440" w:header="720" w:footer="720" w:gutter="0"/>
          <w:cols w:num="2" w:space="720"/>
          <w:docGrid w:linePitch="360"/>
        </w:sectPr>
      </w:pPr>
    </w:p>
    <w:p w14:paraId="380627C5" w14:textId="77777777" w:rsidR="00DD62F3" w:rsidRPr="00E3232D" w:rsidRDefault="00DD62F3" w:rsidP="00FE04B0">
      <w:pPr>
        <w:jc w:val="both"/>
        <w:rPr>
          <w:rFonts w:ascii="Book Antiqua" w:hAnsi="Book Antiqua"/>
        </w:rPr>
      </w:pPr>
    </w:p>
    <w:p w14:paraId="5F309079" w14:textId="77777777" w:rsidR="00882743" w:rsidRPr="00E3232D" w:rsidRDefault="00882743" w:rsidP="008275E1">
      <w:pPr>
        <w:rPr>
          <w:rFonts w:ascii="Book Antiqua" w:hAnsi="Book Antiqua"/>
          <w:bCs/>
          <w:kern w:val="36"/>
        </w:rPr>
        <w:sectPr w:rsidR="00882743" w:rsidRPr="00E3232D" w:rsidSect="00E36478">
          <w:type w:val="continuous"/>
          <w:pgSz w:w="11907" w:h="16839" w:code="9"/>
          <w:pgMar w:top="1440" w:right="1152" w:bottom="864" w:left="1440" w:header="720" w:footer="720" w:gutter="0"/>
          <w:cols w:space="720"/>
          <w:docGrid w:linePitch="360"/>
        </w:sectPr>
      </w:pPr>
    </w:p>
    <w:p w14:paraId="65235EFA" w14:textId="77777777" w:rsidR="00DD62F3" w:rsidRPr="00E3232D" w:rsidRDefault="00DD62F3" w:rsidP="008275E1">
      <w:pPr>
        <w:rPr>
          <w:rFonts w:ascii="Book Antiqua" w:hAnsi="Book Antiqua"/>
          <w:bCs/>
          <w:kern w:val="36"/>
        </w:rPr>
      </w:pPr>
    </w:p>
    <w:p w14:paraId="18FF81AD" w14:textId="77777777" w:rsidR="00E32614" w:rsidRDefault="00E32614" w:rsidP="008275E1">
      <w:pPr>
        <w:rPr>
          <w:rFonts w:ascii="Book Antiqua" w:hAnsi="Book Antiqua"/>
        </w:rPr>
        <w:sectPr w:rsidR="00E32614" w:rsidSect="008F6BC9">
          <w:type w:val="continuous"/>
          <w:pgSz w:w="11907" w:h="16839" w:code="9"/>
          <w:pgMar w:top="1440" w:right="1152" w:bottom="864" w:left="1440" w:header="720" w:footer="720" w:gutter="0"/>
          <w:cols w:num="2" w:space="720"/>
          <w:docGrid w:linePitch="360"/>
        </w:sectPr>
      </w:pPr>
    </w:p>
    <w:p w14:paraId="1D1E900F" w14:textId="77777777" w:rsidR="00B64695" w:rsidRDefault="00B64695" w:rsidP="00B64695">
      <w:pPr>
        <w:rPr>
          <w:rFonts w:ascii="Book Antiqua" w:hAnsi="Book Antiqua"/>
          <w:b/>
        </w:rPr>
      </w:pPr>
    </w:p>
    <w:p w14:paraId="38894A7E" w14:textId="77777777" w:rsidR="008916B7" w:rsidRDefault="008916B7" w:rsidP="00B64695">
      <w:pPr>
        <w:rPr>
          <w:rFonts w:ascii="Book Antiqua" w:hAnsi="Book Antiqua"/>
          <w:b/>
        </w:rPr>
      </w:pPr>
    </w:p>
    <w:p w14:paraId="05FBA2B6" w14:textId="77777777" w:rsidR="00FE04B0" w:rsidRDefault="00FE04B0" w:rsidP="00B64695">
      <w:pPr>
        <w:rPr>
          <w:rFonts w:ascii="Book Antiqua" w:hAnsi="Book Antiqua"/>
          <w:b/>
        </w:rPr>
      </w:pPr>
    </w:p>
    <w:p w14:paraId="219DD8EA" w14:textId="77777777" w:rsidR="008916B7" w:rsidRDefault="008916B7" w:rsidP="00B64695">
      <w:pPr>
        <w:rPr>
          <w:rFonts w:ascii="Book Antiqua" w:hAnsi="Book Antiqua"/>
          <w:b/>
        </w:rPr>
      </w:pPr>
    </w:p>
    <w:p w14:paraId="3F9756B5" w14:textId="77777777" w:rsidR="008916B7" w:rsidRDefault="008916B7" w:rsidP="00B64695">
      <w:pPr>
        <w:rPr>
          <w:rFonts w:ascii="Book Antiqua" w:hAnsi="Book Antiqua"/>
          <w:b/>
        </w:rPr>
      </w:pPr>
    </w:p>
    <w:p w14:paraId="2BE64575" w14:textId="77777777" w:rsidR="008916B7" w:rsidRPr="00B64695" w:rsidRDefault="008916B7" w:rsidP="00B64695">
      <w:pPr>
        <w:rPr>
          <w:rFonts w:ascii="Book Antiqua" w:hAnsi="Book Antiqua"/>
          <w:b/>
        </w:rPr>
        <w:sectPr w:rsidR="008916B7" w:rsidRPr="00B64695" w:rsidSect="008F6BC9">
          <w:type w:val="continuous"/>
          <w:pgSz w:w="11907" w:h="16839" w:code="9"/>
          <w:pgMar w:top="1440" w:right="1152" w:bottom="864" w:left="1440" w:header="720" w:footer="720" w:gutter="0"/>
          <w:cols w:space="720"/>
          <w:docGrid w:linePitch="360"/>
        </w:sectPr>
      </w:pPr>
    </w:p>
    <w:p w14:paraId="3C035BF7" w14:textId="77777777" w:rsidR="00AD1DF0" w:rsidRDefault="004874DF" w:rsidP="00FE04B0">
      <w:pPr>
        <w:spacing w:after="0"/>
        <w:jc w:val="center"/>
        <w:rPr>
          <w:rFonts w:ascii="Book Antiqua" w:hAnsi="Book Antiqua"/>
          <w:b/>
          <w:sz w:val="26"/>
          <w:szCs w:val="26"/>
        </w:rPr>
      </w:pPr>
      <w:r w:rsidRPr="00B64695">
        <w:rPr>
          <w:rFonts w:ascii="Book Antiqua" w:hAnsi="Book Antiqua"/>
          <w:b/>
          <w:sz w:val="26"/>
          <w:szCs w:val="26"/>
        </w:rPr>
        <w:t>Developing Capacity for the Production of Teaching Aids</w:t>
      </w:r>
      <w:r w:rsidR="00D24741">
        <w:rPr>
          <w:rFonts w:ascii="Book Antiqua" w:hAnsi="Book Antiqua"/>
          <w:b/>
          <w:sz w:val="26"/>
          <w:szCs w:val="26"/>
        </w:rPr>
        <w:t xml:space="preserve"> </w:t>
      </w:r>
      <w:r w:rsidRPr="00B64695">
        <w:rPr>
          <w:rFonts w:ascii="Book Antiqua" w:hAnsi="Book Antiqua"/>
          <w:b/>
          <w:sz w:val="26"/>
          <w:szCs w:val="26"/>
        </w:rPr>
        <w:t>Using Locally</w:t>
      </w:r>
    </w:p>
    <w:p w14:paraId="67EBF0FD" w14:textId="77777777" w:rsidR="007F203D" w:rsidRPr="0012151E" w:rsidRDefault="004874DF" w:rsidP="0012151E">
      <w:pPr>
        <w:spacing w:after="0"/>
        <w:jc w:val="center"/>
        <w:rPr>
          <w:rFonts w:ascii="Book Antiqua" w:hAnsi="Book Antiqua"/>
          <w:b/>
          <w:sz w:val="26"/>
          <w:szCs w:val="26"/>
        </w:rPr>
      </w:pPr>
      <w:r w:rsidRPr="00B64695">
        <w:rPr>
          <w:rFonts w:ascii="Book Antiqua" w:hAnsi="Book Antiqua"/>
          <w:b/>
          <w:sz w:val="26"/>
          <w:szCs w:val="26"/>
        </w:rPr>
        <w:t xml:space="preserve">Available Materials: Plastinationof </w:t>
      </w:r>
      <w:r w:rsidR="0012151E">
        <w:rPr>
          <w:rFonts w:ascii="Book Antiqua" w:hAnsi="Book Antiqua"/>
          <w:b/>
          <w:sz w:val="26"/>
          <w:szCs w:val="26"/>
        </w:rPr>
        <w:t>Three Bovine Hearts and Kidneys</w:t>
      </w:r>
    </w:p>
    <w:p w14:paraId="61890714" w14:textId="77777777" w:rsidR="00FE04B0" w:rsidRDefault="00FE04B0" w:rsidP="0012151E">
      <w:pPr>
        <w:spacing w:after="0" w:line="240" w:lineRule="auto"/>
        <w:contextualSpacing/>
        <w:jc w:val="center"/>
        <w:rPr>
          <w:rFonts w:ascii="Book Antiqua" w:hAnsi="Book Antiqua"/>
          <w:b/>
          <w:bCs/>
        </w:rPr>
      </w:pPr>
    </w:p>
    <w:p w14:paraId="60E17D0E" w14:textId="77777777" w:rsidR="00AD1DF0" w:rsidRDefault="004874DF" w:rsidP="0012151E">
      <w:pPr>
        <w:spacing w:after="0" w:line="240" w:lineRule="auto"/>
        <w:contextualSpacing/>
        <w:jc w:val="center"/>
        <w:rPr>
          <w:rFonts w:ascii="Book Antiqua" w:hAnsi="Book Antiqua"/>
          <w:b/>
          <w:bCs/>
        </w:rPr>
      </w:pPr>
      <w:r w:rsidRPr="007F203D">
        <w:rPr>
          <w:rFonts w:ascii="Book Antiqua" w:hAnsi="Book Antiqua"/>
          <w:b/>
          <w:bCs/>
        </w:rPr>
        <w:t>Ameko</w:t>
      </w:r>
      <w:r w:rsidR="00B64695" w:rsidRPr="007F203D">
        <w:rPr>
          <w:rFonts w:ascii="Book Antiqua" w:hAnsi="Book Antiqua"/>
          <w:b/>
          <w:bCs/>
        </w:rPr>
        <w:t xml:space="preserve"> E.</w:t>
      </w:r>
      <w:r w:rsidRPr="007F203D">
        <w:rPr>
          <w:rFonts w:ascii="Book Antiqua" w:hAnsi="Book Antiqua"/>
          <w:b/>
          <w:bCs/>
        </w:rPr>
        <w:t>, Achio</w:t>
      </w:r>
      <w:r w:rsidR="00B64695" w:rsidRPr="007F203D">
        <w:rPr>
          <w:rFonts w:ascii="Book Antiqua" w:hAnsi="Book Antiqua"/>
          <w:b/>
          <w:bCs/>
        </w:rPr>
        <w:t xml:space="preserve"> S.</w:t>
      </w:r>
      <w:r w:rsidRPr="007F203D">
        <w:rPr>
          <w:rFonts w:ascii="Book Antiqua" w:hAnsi="Book Antiqua"/>
          <w:b/>
          <w:bCs/>
        </w:rPr>
        <w:t>, Alhassan</w:t>
      </w:r>
      <w:r w:rsidR="00B64695" w:rsidRPr="007F203D">
        <w:rPr>
          <w:rFonts w:ascii="Book Antiqua" w:hAnsi="Book Antiqua"/>
          <w:b/>
          <w:bCs/>
        </w:rPr>
        <w:t xml:space="preserve"> S.</w:t>
      </w:r>
      <w:r w:rsidRPr="007F203D">
        <w:rPr>
          <w:rFonts w:ascii="Book Antiqua" w:hAnsi="Book Antiqua"/>
          <w:b/>
          <w:bCs/>
        </w:rPr>
        <w:t>, Sam</w:t>
      </w:r>
      <w:r w:rsidR="00B64695" w:rsidRPr="007F203D">
        <w:rPr>
          <w:rFonts w:ascii="Book Antiqua" w:hAnsi="Book Antiqua"/>
          <w:b/>
          <w:bCs/>
        </w:rPr>
        <w:t xml:space="preserve"> E. E.</w:t>
      </w:r>
      <w:r w:rsidRPr="007F203D">
        <w:rPr>
          <w:rFonts w:ascii="Book Antiqua" w:hAnsi="Book Antiqua"/>
          <w:b/>
          <w:bCs/>
        </w:rPr>
        <w:t>, Quaynor</w:t>
      </w:r>
      <w:r w:rsidR="00B64695" w:rsidRPr="007F203D">
        <w:rPr>
          <w:rFonts w:ascii="Book Antiqua" w:hAnsi="Book Antiqua"/>
          <w:b/>
          <w:bCs/>
        </w:rPr>
        <w:t xml:space="preserve"> L. S. </w:t>
      </w:r>
      <w:r w:rsidRPr="007F203D">
        <w:rPr>
          <w:rFonts w:ascii="Book Antiqua" w:hAnsi="Book Antiqua"/>
          <w:b/>
          <w:bCs/>
        </w:rPr>
        <w:t xml:space="preserve"> </w:t>
      </w:r>
      <w:r w:rsidR="00B64695" w:rsidRPr="007F203D">
        <w:rPr>
          <w:rFonts w:ascii="Book Antiqua" w:hAnsi="Book Antiqua"/>
          <w:b/>
          <w:bCs/>
        </w:rPr>
        <w:t>&amp;</w:t>
      </w:r>
      <w:r w:rsidRPr="007F203D">
        <w:rPr>
          <w:rFonts w:ascii="Book Antiqua" w:hAnsi="Book Antiqua"/>
          <w:b/>
          <w:bCs/>
        </w:rPr>
        <w:t xml:space="preserve"> S. Alorka</w:t>
      </w:r>
    </w:p>
    <w:p w14:paraId="4587666A" w14:textId="77777777" w:rsidR="004874DF" w:rsidRPr="00AD1DF0" w:rsidRDefault="004874DF" w:rsidP="0012151E">
      <w:pPr>
        <w:spacing w:after="0" w:line="240" w:lineRule="auto"/>
        <w:contextualSpacing/>
        <w:jc w:val="center"/>
        <w:rPr>
          <w:rFonts w:ascii="Book Antiqua" w:hAnsi="Book Antiqua"/>
          <w:b/>
        </w:rPr>
      </w:pPr>
      <w:r w:rsidRPr="00E3232D">
        <w:rPr>
          <w:rFonts w:ascii="Book Antiqua" w:hAnsi="Book Antiqua"/>
        </w:rPr>
        <w:t xml:space="preserve">Department of Science Laboratory Technology, Accra Polytechnic, </w:t>
      </w:r>
      <w:r w:rsidR="00FE04B0">
        <w:rPr>
          <w:rFonts w:ascii="Book Antiqua" w:hAnsi="Book Antiqua"/>
        </w:rPr>
        <w:t>Accra</w:t>
      </w:r>
      <w:r w:rsidRPr="00E3232D">
        <w:rPr>
          <w:rFonts w:ascii="Book Antiqua" w:hAnsi="Book Antiqua"/>
        </w:rPr>
        <w:t xml:space="preserve"> </w:t>
      </w:r>
    </w:p>
    <w:p w14:paraId="7670D2A9" w14:textId="77777777" w:rsidR="007F203D" w:rsidRPr="007F203D" w:rsidRDefault="007F203D" w:rsidP="0012151E">
      <w:pPr>
        <w:spacing w:after="0"/>
      </w:pPr>
    </w:p>
    <w:p w14:paraId="614E9BA6" w14:textId="77777777" w:rsidR="004874DF" w:rsidRPr="002571CF" w:rsidRDefault="004874DF" w:rsidP="00EA579A">
      <w:pPr>
        <w:pStyle w:val="Heading1"/>
        <w:jc w:val="both"/>
        <w:rPr>
          <w:rFonts w:ascii="Book Antiqua" w:hAnsi="Book Antiqua"/>
          <w:sz w:val="26"/>
          <w:szCs w:val="26"/>
        </w:rPr>
      </w:pPr>
      <w:bookmarkStart w:id="138" w:name="_Toc349798375"/>
      <w:r w:rsidRPr="002571CF">
        <w:rPr>
          <w:rFonts w:ascii="Book Antiqua" w:hAnsi="Book Antiqua"/>
          <w:sz w:val="26"/>
          <w:szCs w:val="26"/>
        </w:rPr>
        <w:t>Abstract</w:t>
      </w:r>
      <w:bookmarkEnd w:id="138"/>
    </w:p>
    <w:p w14:paraId="1FB60BB2" w14:textId="77777777" w:rsidR="007F203D" w:rsidRPr="00EA579A" w:rsidRDefault="004874DF" w:rsidP="00EA579A">
      <w:pPr>
        <w:jc w:val="both"/>
        <w:rPr>
          <w:rFonts w:ascii="Book Antiqua" w:hAnsi="Book Antiqua"/>
        </w:rPr>
      </w:pPr>
      <w:r w:rsidRPr="00E3232D">
        <w:rPr>
          <w:rFonts w:ascii="Book Antiqua" w:hAnsi="Book Antiqua"/>
        </w:rPr>
        <w:t xml:space="preserve">Plastinated specimens are a relatively new and unique type of teaching aids obtained from natural specimens preserved by replacing all the natural body fluids and fats with plastic polymers. The Department of Science Laboratory Technology of Accra Polytechnic is pioneering the effort to develop appropriate technology and skills using locally available materials for the production of plastinated specimen in Ghana for use as teaching aids in the Life Sciences. Plastination was carried out on three hearts and kidneys of a cow. Total shrinkage was 5.62% – 8.48% and 5.23% – 9.41% for the hearts and kidneys respectively, and 1.24% - 3.37% and 1.36% - 2.95% at individual stages of plastination for hearts and kidneys respectively, with optimum shrinkage at dehydration for both hearts and kidneys. Shrinkage among the plastinated hearts were not significantly different (p&gt;0.05) but varied significantly (p≤0.05) among the various stages of plastination. For the kidneys shrinkage varied significantly (p≤0.05) among samples and among stages of plastination. Comparatively shrinkage of hearts and kidneys were not significantly different (p&gt;0.05). The means sizesof the hearts and kidneys at the beginning and end of plastination were significantly not different(p&gt;0.05). Considerable color changes occurred in all specimens. The plastinated specimens are dry, rigid, and odourless and their general shapes and structures are maintained making them easy to handle and suitable for use as teaching aids. The results support the assertion that the plastination procedure can be suitably adapted for use by developing countries for the production of plastinated specimens. </w:t>
      </w:r>
    </w:p>
    <w:p w14:paraId="25EB5DB8" w14:textId="77777777" w:rsidR="004874DF" w:rsidRPr="00E3232D" w:rsidRDefault="00AD1DF0" w:rsidP="008275E1">
      <w:pPr>
        <w:ind w:left="1440" w:hanging="1440"/>
        <w:rPr>
          <w:rFonts w:ascii="Book Antiqua" w:hAnsi="Book Antiqua"/>
          <w:b/>
        </w:rPr>
      </w:pPr>
      <w:r>
        <w:rPr>
          <w:rFonts w:ascii="Book Antiqua" w:hAnsi="Book Antiqua"/>
          <w:b/>
        </w:rPr>
        <w:t xml:space="preserve">Key words: </w:t>
      </w:r>
      <w:r w:rsidR="004874DF" w:rsidRPr="00E3232D">
        <w:rPr>
          <w:rFonts w:ascii="Book Antiqua" w:hAnsi="Book Antiqua"/>
          <w:b/>
        </w:rPr>
        <w:t xml:space="preserve">Biological </w:t>
      </w:r>
      <w:r w:rsidR="00EA579A" w:rsidRPr="00E3232D">
        <w:rPr>
          <w:rFonts w:ascii="Book Antiqua" w:hAnsi="Book Antiqua"/>
          <w:b/>
        </w:rPr>
        <w:t>Specimen</w:t>
      </w:r>
      <w:r w:rsidR="00EA579A">
        <w:rPr>
          <w:rFonts w:ascii="Book Antiqua" w:hAnsi="Book Antiqua"/>
          <w:b/>
        </w:rPr>
        <w:t>;</w:t>
      </w:r>
      <w:r w:rsidR="004874DF" w:rsidRPr="00E3232D">
        <w:rPr>
          <w:rFonts w:ascii="Book Antiqua" w:hAnsi="Book Antiqua"/>
          <w:b/>
        </w:rPr>
        <w:t xml:space="preserve"> Preservation</w:t>
      </w:r>
      <w:r w:rsidR="00EA579A">
        <w:rPr>
          <w:rFonts w:ascii="Book Antiqua" w:hAnsi="Book Antiqua"/>
          <w:b/>
        </w:rPr>
        <w:t>;</w:t>
      </w:r>
      <w:r w:rsidR="004874DF" w:rsidRPr="00E3232D">
        <w:rPr>
          <w:rFonts w:ascii="Book Antiqua" w:hAnsi="Book Antiqua"/>
          <w:b/>
        </w:rPr>
        <w:t xml:space="preserve"> Plastination</w:t>
      </w:r>
      <w:r w:rsidR="00EA579A">
        <w:rPr>
          <w:rFonts w:ascii="Book Antiqua" w:hAnsi="Book Antiqua"/>
          <w:b/>
        </w:rPr>
        <w:t>;</w:t>
      </w:r>
      <w:r w:rsidR="004874DF" w:rsidRPr="00E3232D">
        <w:rPr>
          <w:rFonts w:ascii="Book Antiqua" w:hAnsi="Book Antiqua"/>
          <w:b/>
        </w:rPr>
        <w:t xml:space="preserve"> Teaching Aids </w:t>
      </w:r>
    </w:p>
    <w:p w14:paraId="51771C35" w14:textId="77777777" w:rsidR="00DA6431" w:rsidRDefault="00DA6431" w:rsidP="008275E1">
      <w:pPr>
        <w:rPr>
          <w:rFonts w:ascii="Book Antiqua" w:hAnsi="Book Antiqua"/>
          <w:b/>
        </w:rPr>
        <w:sectPr w:rsidR="00DA6431" w:rsidSect="008F6BC9">
          <w:type w:val="continuous"/>
          <w:pgSz w:w="11907" w:h="16839" w:code="9"/>
          <w:pgMar w:top="1440" w:right="1152" w:bottom="864" w:left="1440" w:header="720" w:footer="720" w:gutter="0"/>
          <w:cols w:space="720"/>
          <w:docGrid w:linePitch="360"/>
        </w:sectPr>
      </w:pPr>
    </w:p>
    <w:p w14:paraId="6181F837" w14:textId="77777777" w:rsidR="00882743" w:rsidRPr="00E3232D" w:rsidRDefault="00882743" w:rsidP="008275E1">
      <w:pPr>
        <w:rPr>
          <w:rFonts w:ascii="Book Antiqua" w:hAnsi="Book Antiqua"/>
        </w:rPr>
        <w:sectPr w:rsidR="00882743" w:rsidRPr="00E3232D" w:rsidSect="008F6BC9">
          <w:type w:val="continuous"/>
          <w:pgSz w:w="11907" w:h="16839" w:code="9"/>
          <w:pgMar w:top="1440" w:right="1152" w:bottom="864" w:left="1440" w:header="720" w:footer="720" w:gutter="0"/>
          <w:cols w:space="720"/>
          <w:docGrid w:linePitch="360"/>
        </w:sectPr>
      </w:pPr>
    </w:p>
    <w:p w14:paraId="521C4373" w14:textId="77777777" w:rsidR="00882743" w:rsidRPr="002571CF" w:rsidRDefault="00882743" w:rsidP="00EA579A">
      <w:pPr>
        <w:pStyle w:val="Heading2"/>
        <w:keepLines/>
        <w:numPr>
          <w:ilvl w:val="0"/>
          <w:numId w:val="183"/>
        </w:numPr>
        <w:tabs>
          <w:tab w:val="left" w:pos="360"/>
        </w:tabs>
        <w:rPr>
          <w:rFonts w:ascii="Book Antiqua" w:hAnsi="Book Antiqua"/>
        </w:rPr>
      </w:pPr>
      <w:r w:rsidRPr="002571CF">
        <w:rPr>
          <w:rFonts w:ascii="Book Antiqua" w:hAnsi="Book Antiqua"/>
        </w:rPr>
        <w:t>Introduction</w:t>
      </w:r>
    </w:p>
    <w:p w14:paraId="21547B14" w14:textId="77777777" w:rsidR="00882743" w:rsidRPr="00E3232D" w:rsidRDefault="00882743" w:rsidP="00EA579A">
      <w:pPr>
        <w:spacing w:after="120"/>
        <w:jc w:val="both"/>
        <w:rPr>
          <w:rFonts w:ascii="Book Antiqua" w:hAnsi="Book Antiqua"/>
        </w:rPr>
      </w:pPr>
      <w:r w:rsidRPr="00E3232D">
        <w:rPr>
          <w:rFonts w:ascii="Book Antiqua" w:hAnsi="Book Antiqua"/>
        </w:rPr>
        <w:t xml:space="preserve">Teaching aids are devices, objects, or machines used by teachers to clarify or enliven subjects. They are materials and equipments used in teaching (Collins, 2009). Theyhelp students learn quickly and thoroughly. A teaching aid can be as simple as a chalkboard or as complex as a computer program. </w:t>
      </w:r>
    </w:p>
    <w:p w14:paraId="4102821C" w14:textId="77777777" w:rsidR="00882743" w:rsidRPr="00E3232D" w:rsidRDefault="00882743" w:rsidP="00EA579A">
      <w:pPr>
        <w:spacing w:after="0"/>
        <w:jc w:val="both"/>
        <w:rPr>
          <w:rFonts w:ascii="Book Antiqua" w:hAnsi="Book Antiqua"/>
        </w:rPr>
      </w:pPr>
      <w:r w:rsidRPr="00E3232D">
        <w:rPr>
          <w:rFonts w:ascii="Book Antiqua" w:hAnsi="Book Antiqua"/>
        </w:rPr>
        <w:t xml:space="preserve">Natural teaching aids are things that are fresh. According to Weinhaus (2007), the use of fresh specimen has the advantage of demonstrating the texture and feel of the specimens. They are similar to the living body. The disadvantages are that it can only be used for a very short period of time and the soft specimen structures often do not maintain their normal three dimensional structures, and must be handled with the precautions associated with blood pathogens (Weinhaus, 2007). </w:t>
      </w:r>
    </w:p>
    <w:p w14:paraId="18464FD4" w14:textId="77777777" w:rsidR="00083183" w:rsidRDefault="00083183" w:rsidP="00EA579A">
      <w:pPr>
        <w:spacing w:after="0"/>
        <w:jc w:val="both"/>
        <w:rPr>
          <w:rFonts w:ascii="Book Antiqua" w:hAnsi="Book Antiqua"/>
        </w:rPr>
      </w:pPr>
    </w:p>
    <w:p w14:paraId="5C7141D2" w14:textId="77777777" w:rsidR="00882743" w:rsidRPr="00E3232D" w:rsidRDefault="00882743" w:rsidP="00EA579A">
      <w:pPr>
        <w:spacing w:after="0"/>
        <w:jc w:val="both"/>
        <w:rPr>
          <w:rFonts w:ascii="Book Antiqua" w:hAnsi="Book Antiqua"/>
        </w:rPr>
      </w:pPr>
      <w:r w:rsidRPr="00E3232D">
        <w:rPr>
          <w:rFonts w:ascii="Book Antiqua" w:hAnsi="Book Antiqua"/>
        </w:rPr>
        <w:t xml:space="preserve">Traditional teaching in the field of medical sciences has meant the use of cadaver materials which are preserved in formaldehyde in a sealed jar or as a fresh wet specimen. Wet specimens allow “hands on” learning but students and tutors have to contend with noxious formaldehyde fumes and wearing gloves (Whitaker, 1995). </w:t>
      </w:r>
    </w:p>
    <w:p w14:paraId="7FF6EBE7" w14:textId="77777777" w:rsidR="00882743" w:rsidRPr="00E3232D" w:rsidRDefault="00882743" w:rsidP="00EA579A">
      <w:pPr>
        <w:spacing w:before="240" w:after="120"/>
        <w:jc w:val="both"/>
        <w:rPr>
          <w:rFonts w:ascii="Book Antiqua" w:hAnsi="Book Antiqua"/>
        </w:rPr>
      </w:pPr>
      <w:r w:rsidRPr="00E3232D">
        <w:rPr>
          <w:rFonts w:ascii="Book Antiqua" w:hAnsi="Book Antiqua"/>
        </w:rPr>
        <w:t xml:space="preserve">Plastinated specimens are a relatively new and unique type of teaching aids obtained from natural specimens preserved by replacing all the natural body fluids and fats with plastic polymers. This means that any specimen containing water can be plastinated and this includes leather, wood, plants, insects, fish and animals. The process was invented in 1977 by a German doctor, Gunther von Hagens. Plastinated biological specimens show the individuality and variation found in natural biological specimens, are odorless, dry, rigid, harmless and durable, can be handled safely with bare hands, require no special lab environment or safety equipment, and are indefinitely stable (Weinhaus, 2007). The standard method of plastination is the Silicone (S10) procedure and involves four main steps and these are fixation, dehydration, impregnation and curing. The procedure can be modified by adding other intermediary steps for better results (Weighlein, 2005). Fixation stops specimen from putrefaction from the action of microorganisms and enzymes and also imparts some rigidity to the specimen. Dehydration is the complete removal of water from the specimen by treating the specimen to increasing concentrations of ethanol or acetone. During impregnation the specimen is subjected to low pressure under vacuum and this causes theacetone to evaporate from the tissues of the specimen.Simultaneously,silicon in solution diffuses into thespecimen to fill the spaces vacated by theacetone. The specimen is then cured by exposing it to UV light, heat, or acid vapour to complete the process of polymerization of the silicone in the tissues of the specimen. This makes the plastinated specimen to become plastic (Bickley et al, 1987). </w:t>
      </w:r>
    </w:p>
    <w:p w14:paraId="3EC4FC39" w14:textId="77777777" w:rsidR="00882743" w:rsidRPr="00E3232D" w:rsidRDefault="00882743" w:rsidP="00EA579A">
      <w:pPr>
        <w:pStyle w:val="NormalWeb"/>
        <w:spacing w:after="0" w:afterAutospacing="0" w:line="276" w:lineRule="auto"/>
        <w:jc w:val="both"/>
        <w:rPr>
          <w:rStyle w:val="citation"/>
          <w:rFonts w:ascii="Book Antiqua" w:hAnsi="Book Antiqua"/>
          <w:b/>
          <w:bCs/>
          <w:sz w:val="22"/>
          <w:szCs w:val="22"/>
        </w:rPr>
      </w:pPr>
      <w:r w:rsidRPr="00E3232D">
        <w:rPr>
          <w:rStyle w:val="citation"/>
          <w:rFonts w:ascii="Book Antiqua" w:hAnsi="Book Antiqua"/>
          <w:sz w:val="22"/>
          <w:szCs w:val="22"/>
        </w:rPr>
        <w:t xml:space="preserve">Plastinated specimens are used as resources to improve the quality of teaching and learning of anatomy, as well as of pathology (Weinhaus, 2007). Over 250 institutes for Human Anatomy, Clinical Pathology, Biology and Zoology worldwide now use plastination for preserving biological specimen for use as teaching aids (Sora, 2005). Plastination is useful in anatomy and medical and dental schools throughout the world as in adjunct to anatomical dissection. It allows students to have hands on experience in the field without exposure to chemicals such as formalin (Weighlein, 2005). </w:t>
      </w:r>
    </w:p>
    <w:p w14:paraId="260CE190" w14:textId="77777777" w:rsidR="00882743" w:rsidRPr="00E3232D" w:rsidRDefault="00882743" w:rsidP="00EA579A">
      <w:pPr>
        <w:pStyle w:val="NormalWeb"/>
        <w:spacing w:after="0" w:afterAutospacing="0" w:line="276" w:lineRule="auto"/>
        <w:jc w:val="both"/>
        <w:rPr>
          <w:rStyle w:val="citation"/>
          <w:rFonts w:ascii="Book Antiqua" w:hAnsi="Book Antiqua"/>
          <w:sz w:val="22"/>
          <w:szCs w:val="22"/>
        </w:rPr>
      </w:pPr>
      <w:r w:rsidRPr="00E3232D">
        <w:rPr>
          <w:rStyle w:val="citation"/>
          <w:rFonts w:ascii="Book Antiqua" w:hAnsi="Book Antiqua"/>
          <w:sz w:val="22"/>
          <w:szCs w:val="22"/>
        </w:rPr>
        <w:t xml:space="preserve">According to Whalley (2011) the brand materials used for plastination and marketed by Biodur products consist of polymers, equipment and auxiliaries. The several grades of BIODUR® polymers range in cost from €24.00 for 0.5Kg to €2,075.00 for 15Kg; The cost of Silicon hardener is €8.50 for 0.1 liters to €39.00 for 1.0 liters; A 400 liter capacity, 230 volts plastination Deep Freezer costs €3,950.00; Vacuum pump (6mVh, 230V) is €1,520.00; Medium Size Gas Curing Unit (Alubox, 230V) costs €925.00; and Small Dehydration Container costs €2,450.00. Apart from the fact that these standard recommended materials for plastination are costly they are also not available locally.  </w:t>
      </w:r>
    </w:p>
    <w:p w14:paraId="57361665" w14:textId="77777777" w:rsidR="00882743" w:rsidRPr="00E3232D" w:rsidRDefault="00882743" w:rsidP="00EA579A">
      <w:pPr>
        <w:pStyle w:val="NormalWeb"/>
        <w:spacing w:line="276" w:lineRule="auto"/>
        <w:jc w:val="both"/>
        <w:rPr>
          <w:rStyle w:val="citation"/>
          <w:rFonts w:ascii="Book Antiqua" w:hAnsi="Book Antiqua"/>
          <w:sz w:val="22"/>
          <w:szCs w:val="22"/>
        </w:rPr>
      </w:pPr>
      <w:r w:rsidRPr="00E3232D">
        <w:rPr>
          <w:rStyle w:val="citation"/>
          <w:rFonts w:ascii="Book Antiqua" w:hAnsi="Book Antiqua"/>
          <w:sz w:val="22"/>
          <w:szCs w:val="22"/>
        </w:rPr>
        <w:t xml:space="preserve">Plastination was introduced in the Chinese province of Jiang Su in 1997. Several modifications had to be made to the standard plastination technique to make it accessible to Chinese education institutions to fulfill the enormous needs for plastinated specimens that were identified in China. In order to reduce the cost, the standard protocol had to be modified. The equipment and polymers also had to be produced locally. A team from the Department of Anatomy of Shanghai Medical University led by Dr. Zheng collaborated with the Ministry of Education of the Jiang Su province in a project to develop locally all the equipments and materials and appropriate methods required for plastination (Zheng et al. 2000). Zheng et al. developed a direct reading acetonometer for measuring the concentration of acetone in aqueous solution, a Chinese Silicone polymer, as well as other equipment. Using a modified protocol Zheng et al. produced thousands of plastinated specimens at a cost lower than if they had used the standard materials and equipments. These specimens are now widely used in many Chinese schools and universities. According to Zheng et al. the success chalked in China demonstrates that plastination can be made possible for developing countries. </w:t>
      </w:r>
    </w:p>
    <w:p w14:paraId="51060CAA" w14:textId="77777777" w:rsidR="00882743" w:rsidRPr="00E3232D" w:rsidRDefault="00882743" w:rsidP="00EA579A">
      <w:pPr>
        <w:pStyle w:val="NormalWeb"/>
        <w:spacing w:after="0" w:afterAutospacing="0" w:line="276" w:lineRule="auto"/>
        <w:jc w:val="both"/>
        <w:rPr>
          <w:rStyle w:val="citation"/>
          <w:rFonts w:ascii="Book Antiqua" w:hAnsi="Book Antiqua"/>
          <w:sz w:val="22"/>
          <w:szCs w:val="22"/>
        </w:rPr>
      </w:pPr>
      <w:r w:rsidRPr="00E3232D">
        <w:rPr>
          <w:rStyle w:val="citation"/>
          <w:rFonts w:ascii="Book Antiqua" w:hAnsi="Book Antiqua"/>
          <w:sz w:val="22"/>
          <w:szCs w:val="22"/>
        </w:rPr>
        <w:t xml:space="preserve">The Department of Science Laboratory Technology of Accra Polytechnic is pioneering the effort to develop appropriate technology and skills for the local production of plastinated specimen in Ghana. Ameko, Achio, Alhassan and Korankye (2010) adapted the S10 plastination procedure and conducted a pilot project on the use of silicone paste available in local hardware stores to “Plastinate biological specimen for use as teaching aids”, using the heart of a goat as the test specimen. The level of shrinkage of the preserved specimen was such that the shape of the specimen was grossly distorted. The final product was greatly discoloured and became dark brown. However, the plastinated specimen was well preserved, rigid, and odourless. </w:t>
      </w:r>
    </w:p>
    <w:p w14:paraId="7020A5C7" w14:textId="77777777" w:rsidR="00882743" w:rsidRPr="00E3232D" w:rsidRDefault="00882743" w:rsidP="00EA579A">
      <w:pPr>
        <w:pStyle w:val="NormalWeb"/>
        <w:spacing w:after="0" w:afterAutospacing="0" w:line="276" w:lineRule="auto"/>
        <w:jc w:val="both"/>
        <w:rPr>
          <w:rFonts w:ascii="Book Antiqua" w:hAnsi="Book Antiqua"/>
          <w:sz w:val="22"/>
          <w:szCs w:val="22"/>
        </w:rPr>
      </w:pPr>
      <w:r w:rsidRPr="00E3232D">
        <w:rPr>
          <w:rStyle w:val="citation"/>
          <w:rFonts w:ascii="Book Antiqua" w:hAnsi="Book Antiqua"/>
          <w:sz w:val="22"/>
          <w:szCs w:val="22"/>
        </w:rPr>
        <w:t xml:space="preserve">Ameko et al. (2012) with funding from Accra Polytechnic conducted a study on the use of locally available materials in Ghana to prepare plastinated specimens including the heart and kidneys of a Cow. The 2012 study modified the procedure used in the earlier study (Ameko et al. 2010) by the addition of a silicone hardener solution obtained from a local hardware store to the silicone paste at the post impregnation stage prior to curing. Even though all the specimens showed various degrees of discolourations and some amount of shrinkage in the cow heart (6.98%) and kidney (4.76%), </w:t>
      </w:r>
      <w:r w:rsidRPr="00E3232D">
        <w:rPr>
          <w:rFonts w:ascii="Book Antiqua" w:hAnsi="Book Antiqua"/>
          <w:sz w:val="22"/>
          <w:szCs w:val="22"/>
        </w:rPr>
        <w:t>the general shapes of the plastinated specimens were maintained.</w:t>
      </w:r>
    </w:p>
    <w:p w14:paraId="2F84C332" w14:textId="77777777" w:rsidR="00882743" w:rsidRPr="002571CF" w:rsidRDefault="00882743" w:rsidP="00EA579A">
      <w:pPr>
        <w:pStyle w:val="Heading2"/>
        <w:keepLines/>
        <w:numPr>
          <w:ilvl w:val="0"/>
          <w:numId w:val="183"/>
        </w:numPr>
        <w:tabs>
          <w:tab w:val="left" w:pos="360"/>
        </w:tabs>
        <w:jc w:val="both"/>
        <w:rPr>
          <w:rFonts w:ascii="Book Antiqua" w:hAnsi="Book Antiqua"/>
        </w:rPr>
      </w:pPr>
      <w:bookmarkStart w:id="139" w:name="_Toc349798394"/>
      <w:r w:rsidRPr="002571CF">
        <w:rPr>
          <w:rFonts w:ascii="Book Antiqua" w:hAnsi="Book Antiqua"/>
        </w:rPr>
        <w:t>Methodology</w:t>
      </w:r>
      <w:bookmarkStart w:id="140" w:name="_Toc349798395"/>
      <w:bookmarkEnd w:id="139"/>
    </w:p>
    <w:p w14:paraId="13413167" w14:textId="77777777" w:rsidR="00882743" w:rsidRPr="00E3232D" w:rsidRDefault="00882743" w:rsidP="00EA579A">
      <w:pPr>
        <w:pStyle w:val="Heading2"/>
        <w:keepLines/>
        <w:numPr>
          <w:ilvl w:val="1"/>
          <w:numId w:val="183"/>
        </w:numPr>
        <w:tabs>
          <w:tab w:val="left" w:pos="360"/>
        </w:tabs>
        <w:ind w:hanging="1440"/>
        <w:jc w:val="both"/>
        <w:rPr>
          <w:rFonts w:ascii="Book Antiqua" w:hAnsi="Book Antiqua"/>
          <w:sz w:val="22"/>
          <w:szCs w:val="22"/>
        </w:rPr>
      </w:pPr>
      <w:r w:rsidRPr="00E3232D">
        <w:rPr>
          <w:rFonts w:ascii="Book Antiqua" w:hAnsi="Book Antiqua"/>
          <w:sz w:val="22"/>
          <w:szCs w:val="22"/>
        </w:rPr>
        <w:t xml:space="preserve"> Specimen </w:t>
      </w:r>
      <w:r w:rsidR="00EA579A" w:rsidRPr="00E3232D">
        <w:rPr>
          <w:rFonts w:ascii="Book Antiqua" w:hAnsi="Book Antiqua"/>
          <w:sz w:val="22"/>
          <w:szCs w:val="22"/>
        </w:rPr>
        <w:t>Collection</w:t>
      </w:r>
      <w:bookmarkEnd w:id="140"/>
    </w:p>
    <w:p w14:paraId="471106E6" w14:textId="77777777" w:rsidR="00882743" w:rsidRPr="00E3232D" w:rsidRDefault="00882743" w:rsidP="00EA579A">
      <w:pPr>
        <w:jc w:val="both"/>
        <w:rPr>
          <w:rFonts w:ascii="Book Antiqua" w:hAnsi="Book Antiqua"/>
        </w:rPr>
      </w:pPr>
      <w:r w:rsidRPr="00E3232D">
        <w:rPr>
          <w:rFonts w:ascii="Book Antiqua" w:hAnsi="Book Antiqua"/>
        </w:rPr>
        <w:t>Three Fresh Cow hearts and kidneys purchasedat the Tema Abattoir in the Greater Accra Region of Ghana immediately the animals were slaughtered at dawn at about 4.00am were immersed in already prepared 10% formalin solution in a plastic bucket and immediately transported to the laboratory.</w:t>
      </w:r>
    </w:p>
    <w:p w14:paraId="73426E28" w14:textId="77777777" w:rsidR="00882743" w:rsidRPr="00E3232D" w:rsidRDefault="00882743" w:rsidP="00EA579A">
      <w:pPr>
        <w:pStyle w:val="Heading2"/>
        <w:keepLines/>
        <w:numPr>
          <w:ilvl w:val="1"/>
          <w:numId w:val="183"/>
        </w:numPr>
        <w:tabs>
          <w:tab w:val="left" w:pos="360"/>
        </w:tabs>
        <w:ind w:left="450" w:hanging="450"/>
        <w:jc w:val="both"/>
        <w:rPr>
          <w:rFonts w:ascii="Book Antiqua" w:hAnsi="Book Antiqua"/>
          <w:sz w:val="22"/>
          <w:szCs w:val="22"/>
        </w:rPr>
      </w:pPr>
      <w:bookmarkStart w:id="141" w:name="_Toc349798397"/>
      <w:r w:rsidRPr="00E3232D">
        <w:rPr>
          <w:rFonts w:ascii="Book Antiqua" w:hAnsi="Book Antiqua"/>
          <w:sz w:val="22"/>
          <w:szCs w:val="22"/>
        </w:rPr>
        <w:t xml:space="preserve">Plastination </w:t>
      </w:r>
      <w:r w:rsidR="00EA579A" w:rsidRPr="00E3232D">
        <w:rPr>
          <w:rFonts w:ascii="Book Antiqua" w:hAnsi="Book Antiqua"/>
          <w:sz w:val="22"/>
          <w:szCs w:val="22"/>
        </w:rPr>
        <w:t>Procedure</w:t>
      </w:r>
      <w:bookmarkStart w:id="142" w:name="_Toc349798398"/>
      <w:bookmarkEnd w:id="141"/>
    </w:p>
    <w:p w14:paraId="5688F51B" w14:textId="77777777" w:rsidR="00882743" w:rsidRPr="00E3232D" w:rsidRDefault="00882743" w:rsidP="00EA579A">
      <w:pPr>
        <w:jc w:val="both"/>
        <w:rPr>
          <w:rFonts w:ascii="Book Antiqua" w:hAnsi="Book Antiqua"/>
        </w:rPr>
      </w:pPr>
      <w:r w:rsidRPr="00E3232D">
        <w:rPr>
          <w:rFonts w:ascii="Book Antiqua" w:hAnsi="Book Antiqua"/>
        </w:rPr>
        <w:t>The current study modified the procedure used by Ameko et al. (2012. The test specimens for thisstudy were three fresh bovine hearts and kidneys.</w:t>
      </w:r>
    </w:p>
    <w:p w14:paraId="5F300152" w14:textId="77777777" w:rsidR="00882743" w:rsidRPr="00E3232D" w:rsidRDefault="00882743" w:rsidP="00EA579A">
      <w:pPr>
        <w:pStyle w:val="Heading2"/>
        <w:keepLines/>
        <w:numPr>
          <w:ilvl w:val="2"/>
          <w:numId w:val="183"/>
        </w:numPr>
        <w:tabs>
          <w:tab w:val="left" w:pos="360"/>
        </w:tabs>
        <w:ind w:left="810" w:hanging="810"/>
        <w:jc w:val="both"/>
        <w:rPr>
          <w:rFonts w:ascii="Book Antiqua" w:hAnsi="Book Antiqua"/>
          <w:sz w:val="22"/>
          <w:szCs w:val="22"/>
        </w:rPr>
      </w:pPr>
      <w:r w:rsidRPr="00E3232D">
        <w:rPr>
          <w:rFonts w:ascii="Book Antiqua" w:hAnsi="Book Antiqua"/>
          <w:sz w:val="22"/>
          <w:szCs w:val="22"/>
        </w:rPr>
        <w:t>Fixation</w:t>
      </w:r>
      <w:bookmarkEnd w:id="142"/>
    </w:p>
    <w:p w14:paraId="4FAF91F0" w14:textId="77777777" w:rsidR="00882743" w:rsidRDefault="00882743" w:rsidP="00EA579A">
      <w:pPr>
        <w:jc w:val="both"/>
        <w:rPr>
          <w:rFonts w:ascii="Book Antiqua" w:hAnsi="Book Antiqua"/>
        </w:rPr>
      </w:pPr>
      <w:r w:rsidRPr="00E3232D">
        <w:rPr>
          <w:rFonts w:ascii="Book Antiqua" w:hAnsi="Book Antiqua"/>
        </w:rPr>
        <w:t>The hearts were stuffed with cotton wool and placed back in the formalin solution together with the kidneys at room temperatureto halt decomposition and to make the specimen more rigid. The modification done was by reducing the fixation period from the 16 daysused by Ameko et al (2012) to 7days.Bickley (1987) advised that exposure to fixative must be kept to a minimum to enhance colour preservation.</w:t>
      </w:r>
    </w:p>
    <w:p w14:paraId="1D7E744A" w14:textId="77777777" w:rsidR="002571CF" w:rsidRDefault="002571CF" w:rsidP="00EA579A">
      <w:pPr>
        <w:jc w:val="both"/>
        <w:rPr>
          <w:rFonts w:ascii="Book Antiqua" w:hAnsi="Book Antiqua"/>
        </w:rPr>
      </w:pPr>
    </w:p>
    <w:p w14:paraId="173FF508" w14:textId="77777777" w:rsidR="00EA579A" w:rsidRPr="00E3232D" w:rsidRDefault="00EA579A" w:rsidP="00EA579A">
      <w:pPr>
        <w:jc w:val="both"/>
        <w:rPr>
          <w:rFonts w:ascii="Book Antiqua" w:hAnsi="Book Antiqua"/>
        </w:rPr>
      </w:pPr>
    </w:p>
    <w:p w14:paraId="0BA7E596" w14:textId="77777777" w:rsidR="00882743" w:rsidRPr="00E3232D" w:rsidRDefault="00882743" w:rsidP="00EA579A">
      <w:pPr>
        <w:pStyle w:val="Heading2"/>
        <w:keepLines/>
        <w:numPr>
          <w:ilvl w:val="2"/>
          <w:numId w:val="183"/>
        </w:numPr>
        <w:tabs>
          <w:tab w:val="left" w:pos="360"/>
        </w:tabs>
        <w:ind w:left="810" w:hanging="810"/>
        <w:jc w:val="both"/>
        <w:rPr>
          <w:rFonts w:ascii="Book Antiqua" w:hAnsi="Book Antiqua"/>
          <w:sz w:val="22"/>
          <w:szCs w:val="22"/>
        </w:rPr>
      </w:pPr>
      <w:bookmarkStart w:id="143" w:name="_Toc349798400"/>
      <w:r w:rsidRPr="00E3232D">
        <w:rPr>
          <w:rFonts w:ascii="Book Antiqua" w:hAnsi="Book Antiqua"/>
          <w:sz w:val="22"/>
          <w:szCs w:val="22"/>
        </w:rPr>
        <w:t>Dehydration</w:t>
      </w:r>
      <w:bookmarkEnd w:id="143"/>
    </w:p>
    <w:p w14:paraId="431F6F61" w14:textId="77777777" w:rsidR="00882743" w:rsidRPr="00E3232D" w:rsidRDefault="00882743" w:rsidP="00EA579A">
      <w:pPr>
        <w:jc w:val="both"/>
        <w:rPr>
          <w:rFonts w:ascii="Book Antiqua" w:hAnsi="Book Antiqua"/>
        </w:rPr>
      </w:pPr>
      <w:r w:rsidRPr="00E3232D">
        <w:rPr>
          <w:rFonts w:ascii="Book Antiqua" w:hAnsi="Book Antiqua"/>
        </w:rPr>
        <w:t>A modification was done to the procedure of Ameko et al (2012) to enhance the reduction in the water content of the specimen first by eliminating the intermittent stage of washing out with water before dehydration, and also by increasing the period of exposure to acetone from 5 days to 21 days. In this study,the samples were removed from the fixative, drained and then immersed for 21 days in 70% acetone solution at 4</w:t>
      </w:r>
      <w:r w:rsidRPr="00E3232D">
        <w:rPr>
          <w:rFonts w:ascii="Book Antiqua" w:hAnsi="Book Antiqua"/>
          <w:vertAlign w:val="superscript"/>
        </w:rPr>
        <w:t>o</w:t>
      </w:r>
      <w:r w:rsidRPr="00E3232D">
        <w:rPr>
          <w:rFonts w:ascii="Book Antiqua" w:hAnsi="Book Antiqua"/>
        </w:rPr>
        <w:t xml:space="preserve">C. </w:t>
      </w:r>
    </w:p>
    <w:p w14:paraId="2800A572" w14:textId="77777777" w:rsidR="00882743" w:rsidRPr="00E3232D" w:rsidRDefault="00882743" w:rsidP="00EA579A">
      <w:pPr>
        <w:pStyle w:val="Heading2"/>
        <w:keepLines/>
        <w:numPr>
          <w:ilvl w:val="2"/>
          <w:numId w:val="183"/>
        </w:numPr>
        <w:tabs>
          <w:tab w:val="left" w:pos="360"/>
        </w:tabs>
        <w:ind w:left="810" w:hanging="810"/>
        <w:jc w:val="both"/>
        <w:rPr>
          <w:rFonts w:ascii="Book Antiqua" w:hAnsi="Book Antiqua"/>
          <w:sz w:val="22"/>
          <w:szCs w:val="22"/>
        </w:rPr>
      </w:pPr>
      <w:bookmarkStart w:id="144" w:name="_Toc349798402"/>
      <w:r w:rsidRPr="00E3232D">
        <w:rPr>
          <w:rFonts w:ascii="Book Antiqua" w:hAnsi="Book Antiqua"/>
          <w:sz w:val="22"/>
          <w:szCs w:val="22"/>
        </w:rPr>
        <w:t>Pre- impregnation</w:t>
      </w:r>
      <w:bookmarkEnd w:id="144"/>
    </w:p>
    <w:p w14:paraId="3BD7CBA6" w14:textId="77777777" w:rsidR="00882743" w:rsidRPr="00E3232D" w:rsidRDefault="00882743" w:rsidP="00EA579A">
      <w:pPr>
        <w:jc w:val="both"/>
        <w:rPr>
          <w:rFonts w:ascii="Book Antiqua" w:hAnsi="Book Antiqua"/>
        </w:rPr>
      </w:pPr>
      <w:r w:rsidRPr="00E3232D">
        <w:rPr>
          <w:rFonts w:ascii="Book Antiqua" w:hAnsi="Book Antiqua"/>
        </w:rPr>
        <w:t>A Silicone Polymer Solution was prepared by dissolving 635g of Silicone Paste (Asmaco Antifungal 100% sealant 2540</w:t>
      </w:r>
      <w:r w:rsidRPr="00E3232D">
        <w:rPr>
          <w:rFonts w:ascii="Book Antiqua" w:hAnsi="Book Antiqua"/>
          <w:vertAlign w:val="superscript"/>
        </w:rPr>
        <w:t xml:space="preserve"> TM</w:t>
      </w:r>
      <w:r w:rsidRPr="00E3232D">
        <w:rPr>
          <w:rFonts w:ascii="Book Antiqua" w:hAnsi="Book Antiqua"/>
        </w:rPr>
        <w:t>) and 60ml of Silicone Hardener (Sikkens 1 2 3</w:t>
      </w:r>
      <w:r w:rsidRPr="00E3232D">
        <w:rPr>
          <w:rFonts w:ascii="Book Antiqua" w:hAnsi="Book Antiqua"/>
          <w:vertAlign w:val="superscript"/>
        </w:rPr>
        <w:t>TM</w:t>
      </w:r>
      <w:r w:rsidRPr="00E3232D">
        <w:rPr>
          <w:rFonts w:ascii="Book Antiqua" w:hAnsi="Book Antiqua"/>
        </w:rPr>
        <w:t>) in 6 liters of Xylene. The samples were removed from the acetone solution, drained of excess acetone, blotted dry with a napkin and then immersed in the polymer solutionat 4</w:t>
      </w:r>
      <w:r w:rsidRPr="00E3232D">
        <w:rPr>
          <w:rFonts w:ascii="Book Antiqua" w:hAnsi="Book Antiqua"/>
          <w:vertAlign w:val="superscript"/>
        </w:rPr>
        <w:t>o</w:t>
      </w:r>
      <w:r w:rsidRPr="00E3232D">
        <w:rPr>
          <w:rFonts w:ascii="Book Antiqua" w:hAnsi="Book Antiqua"/>
        </w:rPr>
        <w:t>C. The pre-impregnation period was increased from the 3 days used by Ameko et al (2012) to 14 days to provide more time foracetone to diffuse out of the specimen and for the specimen to equilibrate with the silicone solution.</w:t>
      </w:r>
    </w:p>
    <w:p w14:paraId="60AC72D9" w14:textId="77777777" w:rsidR="00882743" w:rsidRPr="00E3232D" w:rsidRDefault="00882743" w:rsidP="00EA579A">
      <w:pPr>
        <w:pStyle w:val="Heading2"/>
        <w:keepLines/>
        <w:numPr>
          <w:ilvl w:val="2"/>
          <w:numId w:val="183"/>
        </w:numPr>
        <w:tabs>
          <w:tab w:val="left" w:pos="360"/>
        </w:tabs>
        <w:ind w:left="810" w:hanging="810"/>
        <w:jc w:val="both"/>
        <w:rPr>
          <w:rFonts w:ascii="Book Antiqua" w:hAnsi="Book Antiqua"/>
          <w:sz w:val="22"/>
          <w:szCs w:val="22"/>
        </w:rPr>
      </w:pPr>
      <w:bookmarkStart w:id="145" w:name="_Toc349798404"/>
      <w:r w:rsidRPr="00E3232D">
        <w:rPr>
          <w:rFonts w:ascii="Book Antiqua" w:hAnsi="Book Antiqua"/>
          <w:sz w:val="22"/>
          <w:szCs w:val="22"/>
        </w:rPr>
        <w:t xml:space="preserve">Intermittent </w:t>
      </w:r>
      <w:r w:rsidR="00EA579A" w:rsidRPr="00E3232D">
        <w:rPr>
          <w:rFonts w:ascii="Book Antiqua" w:hAnsi="Book Antiqua"/>
          <w:sz w:val="22"/>
          <w:szCs w:val="22"/>
        </w:rPr>
        <w:t>Forced Impregnation</w:t>
      </w:r>
      <w:bookmarkEnd w:id="145"/>
    </w:p>
    <w:p w14:paraId="52BEDCFA" w14:textId="77777777" w:rsidR="00882743" w:rsidRPr="00E3232D" w:rsidRDefault="00882743" w:rsidP="00EA579A">
      <w:pPr>
        <w:spacing w:after="120"/>
        <w:jc w:val="both"/>
        <w:rPr>
          <w:rFonts w:ascii="Book Antiqua" w:hAnsi="Book Antiqua"/>
          <w:noProof/>
        </w:rPr>
      </w:pPr>
      <w:r w:rsidRPr="00E3232D">
        <w:rPr>
          <w:rFonts w:ascii="Book Antiqua" w:hAnsi="Book Antiqua"/>
        </w:rPr>
        <w:t>This was done by subjecting the specimens in the polymer solution in a sealed and airtight chamber at 4</w:t>
      </w:r>
      <w:r w:rsidRPr="00E3232D">
        <w:rPr>
          <w:rFonts w:ascii="Book Antiqua" w:hAnsi="Book Antiqua"/>
          <w:vertAlign w:val="superscript"/>
        </w:rPr>
        <w:t>o</w:t>
      </w:r>
      <w:r w:rsidRPr="00E3232D">
        <w:rPr>
          <w:rFonts w:ascii="Book Antiqua" w:hAnsi="Book Antiqua"/>
        </w:rPr>
        <w:t xml:space="preserve">C.Vacuum was applied to the chamber intermittently for 12 hours and then off for 12 hours for 8 days. The vacuum created by the suction caused the acetone to vaporize out of the cells and created spaces for the polymer to diffuse into the specimens. </w:t>
      </w:r>
    </w:p>
    <w:p w14:paraId="7F303D1B" w14:textId="77777777" w:rsidR="00882743" w:rsidRPr="00E3232D" w:rsidRDefault="00882743" w:rsidP="00EA579A">
      <w:pPr>
        <w:pStyle w:val="Heading2"/>
        <w:keepLines/>
        <w:numPr>
          <w:ilvl w:val="2"/>
          <w:numId w:val="183"/>
        </w:numPr>
        <w:tabs>
          <w:tab w:val="left" w:pos="360"/>
        </w:tabs>
        <w:ind w:left="810" w:hanging="810"/>
        <w:jc w:val="both"/>
        <w:rPr>
          <w:rFonts w:ascii="Book Antiqua" w:hAnsi="Book Antiqua"/>
          <w:sz w:val="22"/>
          <w:szCs w:val="22"/>
        </w:rPr>
      </w:pPr>
      <w:bookmarkStart w:id="146" w:name="_Toc349798406"/>
      <w:r w:rsidRPr="00E3232D">
        <w:rPr>
          <w:rFonts w:ascii="Book Antiqua" w:hAnsi="Book Antiqua"/>
          <w:sz w:val="22"/>
          <w:szCs w:val="22"/>
        </w:rPr>
        <w:t>Post-Impregnation</w:t>
      </w:r>
      <w:bookmarkEnd w:id="146"/>
    </w:p>
    <w:p w14:paraId="78A5304A" w14:textId="77777777" w:rsidR="00882743" w:rsidRPr="00E3232D" w:rsidRDefault="00882743" w:rsidP="00EA579A">
      <w:pPr>
        <w:spacing w:after="120"/>
        <w:jc w:val="both"/>
        <w:rPr>
          <w:rFonts w:ascii="Book Antiqua" w:hAnsi="Book Antiqua"/>
        </w:rPr>
      </w:pPr>
      <w:r w:rsidRPr="00E3232D">
        <w:rPr>
          <w:rFonts w:ascii="Book Antiqua" w:hAnsi="Book Antiqua"/>
        </w:rPr>
        <w:t>The specimens were left immersed in the silicon solution minus vacuum and at 4</w:t>
      </w:r>
      <w:r w:rsidRPr="00E3232D">
        <w:rPr>
          <w:rFonts w:ascii="Book Antiqua" w:hAnsi="Book Antiqua"/>
          <w:vertAlign w:val="superscript"/>
        </w:rPr>
        <w:t>o</w:t>
      </w:r>
      <w:r w:rsidRPr="00E3232D">
        <w:rPr>
          <w:rFonts w:ascii="Book Antiqua" w:hAnsi="Book Antiqua"/>
        </w:rPr>
        <w:t>C under for 8 days.</w:t>
      </w:r>
    </w:p>
    <w:p w14:paraId="743A6DE8" w14:textId="77777777" w:rsidR="00882743" w:rsidRPr="00E3232D" w:rsidRDefault="00882743" w:rsidP="00EA579A">
      <w:pPr>
        <w:pStyle w:val="Heading2"/>
        <w:keepLines/>
        <w:numPr>
          <w:ilvl w:val="2"/>
          <w:numId w:val="183"/>
        </w:numPr>
        <w:tabs>
          <w:tab w:val="left" w:pos="360"/>
        </w:tabs>
        <w:ind w:left="810" w:hanging="810"/>
        <w:jc w:val="both"/>
        <w:rPr>
          <w:rFonts w:ascii="Book Antiqua" w:hAnsi="Book Antiqua"/>
          <w:sz w:val="22"/>
          <w:szCs w:val="22"/>
        </w:rPr>
      </w:pPr>
      <w:bookmarkStart w:id="147" w:name="_Toc349798407"/>
      <w:r w:rsidRPr="00E3232D">
        <w:rPr>
          <w:rFonts w:ascii="Book Antiqua" w:hAnsi="Book Antiqua"/>
          <w:sz w:val="22"/>
          <w:szCs w:val="22"/>
        </w:rPr>
        <w:t xml:space="preserve">Curing and </w:t>
      </w:r>
      <w:r w:rsidR="00EA579A" w:rsidRPr="00E3232D">
        <w:rPr>
          <w:rFonts w:ascii="Book Antiqua" w:hAnsi="Book Antiqua"/>
          <w:sz w:val="22"/>
          <w:szCs w:val="22"/>
        </w:rPr>
        <w:t>Hardening</w:t>
      </w:r>
      <w:bookmarkEnd w:id="147"/>
    </w:p>
    <w:p w14:paraId="00975432" w14:textId="77777777" w:rsidR="00882743" w:rsidRPr="00E3232D" w:rsidRDefault="00882743" w:rsidP="00EA579A">
      <w:pPr>
        <w:spacing w:after="120"/>
        <w:jc w:val="both"/>
        <w:rPr>
          <w:rFonts w:ascii="Book Antiqua" w:hAnsi="Book Antiqua"/>
        </w:rPr>
      </w:pPr>
      <w:r w:rsidRPr="00E3232D">
        <w:rPr>
          <w:rFonts w:ascii="Book Antiqua" w:hAnsi="Book Antiqua"/>
        </w:rPr>
        <w:t>The specimens were removed from the silicon solution and excess polymer wiped off. The external surfaces of the specimens were coated with a Hardener solution (Sikkens 123</w:t>
      </w:r>
      <w:r w:rsidRPr="00E3232D">
        <w:rPr>
          <w:rFonts w:ascii="Book Antiqua" w:hAnsi="Book Antiqua"/>
          <w:vertAlign w:val="superscript"/>
        </w:rPr>
        <w:t>TM</w:t>
      </w:r>
      <w:r w:rsidRPr="00E3232D">
        <w:rPr>
          <w:rFonts w:ascii="Book Antiqua" w:hAnsi="Book Antiqua"/>
        </w:rPr>
        <w:t>). The specimens were arranged on a clean absorbent cloth on a shelfand then exposed to acidic fumes from a dilute acid solution obtained by diluting a concentratedsolution of H</w:t>
      </w:r>
      <w:r w:rsidRPr="00E3232D">
        <w:rPr>
          <w:rFonts w:ascii="Book Antiqua" w:hAnsi="Book Antiqua"/>
          <w:vertAlign w:val="subscript"/>
        </w:rPr>
        <w:t>2</w:t>
      </w:r>
      <w:r w:rsidRPr="00E3232D">
        <w:rPr>
          <w:rFonts w:ascii="Book Antiqua" w:hAnsi="Book Antiqua"/>
        </w:rPr>
        <w:t>SO</w:t>
      </w:r>
      <w:r w:rsidRPr="00E3232D">
        <w:rPr>
          <w:rFonts w:ascii="Book Antiqua" w:hAnsi="Book Antiqua"/>
          <w:vertAlign w:val="subscript"/>
        </w:rPr>
        <w:t>4</w:t>
      </w:r>
      <w:r w:rsidRPr="00E3232D">
        <w:rPr>
          <w:rFonts w:ascii="Book Antiqua" w:hAnsi="Book Antiqua"/>
        </w:rPr>
        <w:t xml:space="preserve"> by an equal volume of distilled water. The specimens and flasks filled with the acid solution were placed in a sealed chamber for several weeks together with petri dishes of calcium chloride desiccant to keep the environment dehumidified. Curing was done under UV light for several days. </w:t>
      </w:r>
    </w:p>
    <w:p w14:paraId="4885BFD4" w14:textId="77777777" w:rsidR="00882743" w:rsidRPr="00E3232D" w:rsidRDefault="00882743" w:rsidP="00EA579A">
      <w:pPr>
        <w:pStyle w:val="Heading2"/>
        <w:keepLines/>
        <w:numPr>
          <w:ilvl w:val="1"/>
          <w:numId w:val="183"/>
        </w:numPr>
        <w:tabs>
          <w:tab w:val="left" w:pos="360"/>
        </w:tabs>
        <w:ind w:left="450" w:hanging="450"/>
        <w:jc w:val="both"/>
        <w:rPr>
          <w:rFonts w:ascii="Book Antiqua" w:hAnsi="Book Antiqua"/>
          <w:sz w:val="22"/>
          <w:szCs w:val="22"/>
        </w:rPr>
      </w:pPr>
      <w:bookmarkStart w:id="148" w:name="_Toc349798411"/>
      <w:r w:rsidRPr="00E3232D">
        <w:rPr>
          <w:rFonts w:ascii="Book Antiqua" w:hAnsi="Book Antiqua"/>
          <w:sz w:val="22"/>
          <w:szCs w:val="22"/>
        </w:rPr>
        <w:t>Measurements</w:t>
      </w:r>
      <w:bookmarkEnd w:id="148"/>
    </w:p>
    <w:p w14:paraId="4E1D14AA" w14:textId="77777777" w:rsidR="00882743" w:rsidRPr="00E3232D" w:rsidRDefault="00882743" w:rsidP="00EA579A">
      <w:pPr>
        <w:jc w:val="both"/>
        <w:rPr>
          <w:rFonts w:ascii="Book Antiqua" w:hAnsi="Book Antiqua"/>
        </w:rPr>
      </w:pPr>
      <w:r w:rsidRPr="00E3232D">
        <w:rPr>
          <w:rFonts w:ascii="Book Antiqua" w:hAnsi="Book Antiqua"/>
        </w:rPr>
        <w:t xml:space="preserve">Measurements were done according to the method described by Ameko et al (2012). </w:t>
      </w:r>
    </w:p>
    <w:p w14:paraId="4CAE8B3C" w14:textId="77777777" w:rsidR="00882743" w:rsidRPr="00E3232D" w:rsidRDefault="00882743" w:rsidP="00EA579A">
      <w:pPr>
        <w:jc w:val="both"/>
        <w:rPr>
          <w:rFonts w:ascii="Book Antiqua" w:hAnsi="Book Antiqua"/>
        </w:rPr>
      </w:pPr>
      <w:r w:rsidRPr="00E3232D">
        <w:rPr>
          <w:rFonts w:ascii="Book Antiqua" w:hAnsi="Book Antiqua"/>
        </w:rPr>
        <w:t>The distance Fre</w:t>
      </w:r>
      <w:r w:rsidRPr="00E3232D">
        <w:rPr>
          <w:rFonts w:ascii="Book Antiqua" w:hAnsi="Book Antiqua"/>
          <w:vertAlign w:val="subscript"/>
        </w:rPr>
        <w:t>1</w:t>
      </w:r>
      <w:r w:rsidRPr="00E3232D">
        <w:rPr>
          <w:rFonts w:ascii="Book Antiqua" w:hAnsi="Book Antiqua"/>
        </w:rPr>
        <w:t xml:space="preserve"> (mm) between two clearly identifiable points on the surface of one area of the fresh specimen was measured to the nearest millimetre using a string and ruler. This was repeated at two other separate areas on the surface of the specimen to obtain Fre</w:t>
      </w:r>
      <w:r w:rsidRPr="00E3232D">
        <w:rPr>
          <w:rFonts w:ascii="Book Antiqua" w:hAnsi="Book Antiqua"/>
          <w:vertAlign w:val="subscript"/>
        </w:rPr>
        <w:t>2</w:t>
      </w:r>
      <w:r w:rsidRPr="00E3232D">
        <w:rPr>
          <w:rFonts w:ascii="Book Antiqua" w:hAnsi="Book Antiqua"/>
        </w:rPr>
        <w:t xml:space="preserve"> and Fre</w:t>
      </w:r>
      <w:r w:rsidRPr="00E3232D">
        <w:rPr>
          <w:rFonts w:ascii="Book Antiqua" w:hAnsi="Book Antiqua"/>
          <w:vertAlign w:val="subscript"/>
        </w:rPr>
        <w:t>3</w:t>
      </w:r>
      <w:r w:rsidRPr="00E3232D">
        <w:rPr>
          <w:rFonts w:ascii="Book Antiqua" w:hAnsi="Book Antiqua"/>
        </w:rPr>
        <w:t xml:space="preserve">. </w:t>
      </w:r>
    </w:p>
    <w:p w14:paraId="5F204F97" w14:textId="77777777" w:rsidR="00882743" w:rsidRPr="00E3232D" w:rsidRDefault="00882743" w:rsidP="00EA579A">
      <w:pPr>
        <w:jc w:val="both"/>
        <w:rPr>
          <w:rFonts w:ascii="Book Antiqua" w:hAnsi="Book Antiqua"/>
        </w:rPr>
      </w:pPr>
      <w:r w:rsidRPr="00E3232D">
        <w:rPr>
          <w:rFonts w:ascii="Book Antiqua" w:hAnsi="Book Antiqua"/>
        </w:rPr>
        <w:t xml:space="preserve">The mean distance Fre was then calculated as </w:t>
      </w:r>
    </w:p>
    <w:p w14:paraId="759A490A" w14:textId="77777777" w:rsidR="00882743" w:rsidRPr="00E3232D" w:rsidRDefault="00882743" w:rsidP="00EA579A">
      <w:pPr>
        <w:jc w:val="both"/>
        <w:rPr>
          <w:rFonts w:ascii="Book Antiqua" w:hAnsi="Book Antiqua"/>
        </w:rPr>
      </w:pPr>
      <w:r w:rsidRPr="00E3232D">
        <w:rPr>
          <w:rFonts w:ascii="Book Antiqua" w:hAnsi="Book Antiqua"/>
        </w:rPr>
        <w:object w:dxaOrig="2540" w:dyaOrig="639" w14:anchorId="6F0E2515">
          <v:shape id="_x0000_i1058" type="#_x0000_t75" style="width:99.15pt;height:24.45pt" o:ole="">
            <v:imagedata r:id="rId351" o:title=""/>
          </v:shape>
          <o:OLEObject Type="Embed" ProgID="Equation.3" ShapeID="_x0000_i1058" DrawAspect="Content" ObjectID="_1680958716" r:id="rId352"/>
        </w:object>
      </w:r>
      <w:r w:rsidRPr="00E3232D">
        <w:rPr>
          <w:rFonts w:ascii="Book Antiqua" w:hAnsi="Book Antiqua"/>
        </w:rPr>
        <w:tab/>
      </w:r>
      <w:r w:rsidRPr="00E3232D">
        <w:rPr>
          <w:rFonts w:ascii="Book Antiqua" w:hAnsi="Book Antiqua"/>
        </w:rPr>
        <w:tab/>
        <w:t xml:space="preserve">(1) </w:t>
      </w:r>
    </w:p>
    <w:p w14:paraId="3AF10822" w14:textId="77777777" w:rsidR="00882743" w:rsidRPr="00E3232D" w:rsidRDefault="00882743" w:rsidP="00EA579A">
      <w:pPr>
        <w:jc w:val="both"/>
        <w:rPr>
          <w:rFonts w:ascii="Book Antiqua" w:hAnsi="Book Antiqua"/>
        </w:rPr>
      </w:pPr>
      <w:r w:rsidRPr="00E3232D">
        <w:rPr>
          <w:rFonts w:ascii="Book Antiqua" w:hAnsi="Book Antiqua"/>
        </w:rPr>
        <w:t xml:space="preserve">There werefour stages in the plastination procedure: Fixation, Dehydration, Impregnation, and Curing. </w:t>
      </w:r>
    </w:p>
    <w:p w14:paraId="4BD1D1CC" w14:textId="77777777" w:rsidR="00882743" w:rsidRPr="00E3232D" w:rsidRDefault="00882743" w:rsidP="00EA579A">
      <w:pPr>
        <w:jc w:val="both"/>
        <w:rPr>
          <w:rFonts w:ascii="Book Antiqua" w:hAnsi="Book Antiqua"/>
        </w:rPr>
      </w:pPr>
      <w:r w:rsidRPr="00E3232D">
        <w:rPr>
          <w:rFonts w:ascii="Book Antiqua" w:hAnsi="Book Antiqua"/>
        </w:rPr>
        <w:t>Measurements B</w:t>
      </w:r>
      <w:r w:rsidRPr="00E3232D">
        <w:rPr>
          <w:rFonts w:ascii="Book Antiqua" w:hAnsi="Book Antiqua"/>
          <w:vertAlign w:val="subscript"/>
        </w:rPr>
        <w:t>1</w:t>
      </w:r>
      <w:r w:rsidRPr="00E3232D">
        <w:rPr>
          <w:rFonts w:ascii="Book Antiqua" w:hAnsi="Book Antiqua"/>
        </w:rPr>
        <w:t>, B</w:t>
      </w:r>
      <w:r w:rsidRPr="00E3232D">
        <w:rPr>
          <w:rFonts w:ascii="Book Antiqua" w:hAnsi="Book Antiqua"/>
          <w:vertAlign w:val="subscript"/>
        </w:rPr>
        <w:t>2</w:t>
      </w:r>
      <w:r w:rsidRPr="00E3232D">
        <w:rPr>
          <w:rFonts w:ascii="Book Antiqua" w:hAnsi="Book Antiqua"/>
        </w:rPr>
        <w:t xml:space="preserve"> and B</w:t>
      </w:r>
      <w:r w:rsidRPr="00E3232D">
        <w:rPr>
          <w:rFonts w:ascii="Book Antiqua" w:hAnsi="Book Antiqua"/>
          <w:vertAlign w:val="subscript"/>
        </w:rPr>
        <w:t>3</w:t>
      </w:r>
      <w:r w:rsidRPr="00E3232D">
        <w:rPr>
          <w:rFonts w:ascii="Book Antiqua" w:hAnsi="Book Antiqua"/>
        </w:rPr>
        <w:t>were taken at the beginning of each stage and the mean distance</w:t>
      </w:r>
      <w:r w:rsidR="00C605A9">
        <w:rPr>
          <w:rFonts w:ascii="Book Antiqua" w:hAnsi="Book Antiqua"/>
        </w:rPr>
        <w:t xml:space="preserve"> </w:t>
      </w:r>
      <w:r w:rsidRPr="00E3232D">
        <w:rPr>
          <w:rFonts w:ascii="Book Antiqua" w:hAnsi="Book Antiqua"/>
        </w:rPr>
        <w:t xml:space="preserve">(B) calculated. </w:t>
      </w:r>
    </w:p>
    <w:p w14:paraId="4B6A69F5" w14:textId="77777777" w:rsidR="00882743" w:rsidRPr="00E3232D" w:rsidRDefault="00882743" w:rsidP="00EA579A">
      <w:pPr>
        <w:jc w:val="both"/>
        <w:rPr>
          <w:rFonts w:ascii="Book Antiqua" w:hAnsi="Book Antiqua"/>
        </w:rPr>
      </w:pPr>
      <w:r w:rsidRPr="00E3232D">
        <w:rPr>
          <w:rFonts w:ascii="Book Antiqua" w:hAnsi="Book Antiqua"/>
        </w:rPr>
        <w:t>Measurements E</w:t>
      </w:r>
      <w:r w:rsidRPr="00E3232D">
        <w:rPr>
          <w:rFonts w:ascii="Book Antiqua" w:hAnsi="Book Antiqua"/>
          <w:vertAlign w:val="subscript"/>
        </w:rPr>
        <w:t>1</w:t>
      </w:r>
      <w:r w:rsidRPr="00E3232D">
        <w:rPr>
          <w:rFonts w:ascii="Book Antiqua" w:hAnsi="Book Antiqua"/>
        </w:rPr>
        <w:t>, E</w:t>
      </w:r>
      <w:r w:rsidRPr="00E3232D">
        <w:rPr>
          <w:rFonts w:ascii="Book Antiqua" w:hAnsi="Book Antiqua"/>
          <w:vertAlign w:val="subscript"/>
        </w:rPr>
        <w:t>2</w:t>
      </w:r>
      <w:r w:rsidRPr="00E3232D">
        <w:rPr>
          <w:rFonts w:ascii="Book Antiqua" w:hAnsi="Book Antiqua"/>
        </w:rPr>
        <w:t xml:space="preserve"> and E</w:t>
      </w:r>
      <w:r w:rsidRPr="00E3232D">
        <w:rPr>
          <w:rFonts w:ascii="Book Antiqua" w:hAnsi="Book Antiqua"/>
          <w:vertAlign w:val="subscript"/>
        </w:rPr>
        <w:t>3</w:t>
      </w:r>
      <w:r w:rsidRPr="00E3232D">
        <w:rPr>
          <w:rFonts w:ascii="Book Antiqua" w:hAnsi="Book Antiqua"/>
        </w:rPr>
        <w:t xml:space="preserve"> were also taken at the end of each stage and the mean (E) calculated. </w:t>
      </w:r>
    </w:p>
    <w:p w14:paraId="4C6FB697" w14:textId="77777777" w:rsidR="00882743" w:rsidRPr="00E3232D" w:rsidRDefault="00882743" w:rsidP="00EA579A">
      <w:pPr>
        <w:jc w:val="both"/>
        <w:rPr>
          <w:rFonts w:ascii="Book Antiqua" w:hAnsi="Book Antiqua"/>
        </w:rPr>
      </w:pPr>
      <w:r w:rsidRPr="00E3232D">
        <w:rPr>
          <w:rFonts w:ascii="Book Antiqua" w:hAnsi="Book Antiqua"/>
        </w:rPr>
        <w:t xml:space="preserve">The shrinkage (S) was calculated as </w:t>
      </w:r>
    </w:p>
    <w:p w14:paraId="74BCAFD8" w14:textId="77777777" w:rsidR="00882743" w:rsidRPr="00E3232D" w:rsidRDefault="00882743" w:rsidP="00EA579A">
      <w:pPr>
        <w:jc w:val="both"/>
        <w:rPr>
          <w:rFonts w:ascii="Book Antiqua" w:hAnsi="Book Antiqua"/>
        </w:rPr>
      </w:pPr>
      <w:r w:rsidRPr="00E3232D">
        <w:rPr>
          <w:rFonts w:ascii="Book Antiqua" w:hAnsi="Book Antiqua"/>
        </w:rPr>
        <w:t xml:space="preserve">S = B – E </w:t>
      </w:r>
      <w:r w:rsidRPr="00E3232D">
        <w:rPr>
          <w:rFonts w:ascii="Book Antiqua" w:hAnsi="Book Antiqua"/>
        </w:rPr>
        <w:tab/>
      </w:r>
      <w:r w:rsidRPr="00E3232D">
        <w:rPr>
          <w:rFonts w:ascii="Book Antiqua" w:hAnsi="Book Antiqua"/>
        </w:rPr>
        <w:tab/>
      </w:r>
      <w:r w:rsidRPr="00E3232D">
        <w:rPr>
          <w:rFonts w:ascii="Book Antiqua" w:hAnsi="Book Antiqua"/>
        </w:rPr>
        <w:tab/>
      </w:r>
      <w:r w:rsidRPr="00E3232D">
        <w:rPr>
          <w:rFonts w:ascii="Book Antiqua" w:hAnsi="Book Antiqua"/>
        </w:rPr>
        <w:tab/>
        <w:t xml:space="preserve">(2) </w:t>
      </w:r>
    </w:p>
    <w:p w14:paraId="05B2EE61" w14:textId="77777777" w:rsidR="00882743" w:rsidRPr="00E3232D" w:rsidRDefault="00882743" w:rsidP="00EA579A">
      <w:pPr>
        <w:jc w:val="both"/>
        <w:rPr>
          <w:rFonts w:ascii="Book Antiqua" w:hAnsi="Book Antiqua"/>
        </w:rPr>
      </w:pPr>
      <w:r w:rsidRPr="00E3232D">
        <w:rPr>
          <w:rFonts w:ascii="Book Antiqua" w:hAnsi="Book Antiqua"/>
        </w:rPr>
        <w:t>The percentage shrinkage (S</w:t>
      </w:r>
      <w:r w:rsidRPr="00E3232D">
        <w:rPr>
          <w:rFonts w:ascii="Book Antiqua" w:hAnsi="Book Antiqua"/>
          <w:vertAlign w:val="subscript"/>
        </w:rPr>
        <w:t>p</w:t>
      </w:r>
      <w:r w:rsidRPr="00E3232D">
        <w:rPr>
          <w:rFonts w:ascii="Book Antiqua" w:hAnsi="Book Antiqua"/>
        </w:rPr>
        <w:t>) was calculated:</w:t>
      </w:r>
    </w:p>
    <w:p w14:paraId="3C6FAAEC" w14:textId="77777777" w:rsidR="007F203D" w:rsidRDefault="00882743" w:rsidP="00EA579A">
      <w:pPr>
        <w:jc w:val="both"/>
        <w:rPr>
          <w:rFonts w:ascii="Book Antiqua" w:hAnsi="Book Antiqua"/>
        </w:rPr>
      </w:pPr>
      <w:r w:rsidRPr="00E3232D">
        <w:rPr>
          <w:rFonts w:ascii="Book Antiqua" w:hAnsi="Book Antiqua"/>
        </w:rPr>
        <w:t>Sp =</w:t>
      </w:r>
      <m:oMath>
        <m:f>
          <m:fPr>
            <m:ctrlPr>
              <w:rPr>
                <w:rFonts w:ascii="Cambria Math" w:hAnsi="Cambria Math"/>
              </w:rPr>
            </m:ctrlPr>
          </m:fPr>
          <m:num>
            <m:r>
              <m:rPr>
                <m:sty m:val="p"/>
              </m:rPr>
              <w:rPr>
                <w:rFonts w:ascii="Cambria Math" w:hAnsi="Cambria Math"/>
              </w:rPr>
              <m:t>B-E</m:t>
            </m:r>
          </m:num>
          <m:den>
            <m:r>
              <m:rPr>
                <m:sty m:val="p"/>
              </m:rPr>
              <w:rPr>
                <w:rFonts w:ascii="Cambria Math" w:hAnsi="Cambria Math"/>
              </w:rPr>
              <m:t>Fre</m:t>
            </m:r>
          </m:den>
        </m:f>
        <m:r>
          <m:rPr>
            <m:sty m:val="p"/>
          </m:rPr>
          <w:rPr>
            <w:rFonts w:ascii="Cambria Math" w:hAnsi="Cambria Math"/>
          </w:rPr>
          <m:t>x100</m:t>
        </m:r>
      </m:oMath>
      <w:r w:rsidRPr="00E3232D">
        <w:rPr>
          <w:rFonts w:ascii="Book Antiqua" w:hAnsi="Book Antiqua"/>
        </w:rPr>
        <w:tab/>
      </w:r>
      <w:r w:rsidRPr="00E3232D">
        <w:rPr>
          <w:rFonts w:ascii="Book Antiqua" w:hAnsi="Book Antiqua"/>
        </w:rPr>
        <w:tab/>
      </w:r>
      <w:r w:rsidRPr="00E3232D">
        <w:rPr>
          <w:rFonts w:ascii="Book Antiqua" w:hAnsi="Book Antiqua"/>
        </w:rPr>
        <w:tab/>
      </w:r>
      <w:r w:rsidRPr="00E3232D">
        <w:rPr>
          <w:rFonts w:ascii="Book Antiqua" w:hAnsi="Book Antiqua"/>
        </w:rPr>
        <w:tab/>
        <w:t>(3)</w:t>
      </w:r>
    </w:p>
    <w:p w14:paraId="22FCF59B" w14:textId="77777777" w:rsidR="00083183" w:rsidRPr="00E3232D" w:rsidRDefault="00083183" w:rsidP="00EA579A">
      <w:pPr>
        <w:jc w:val="both"/>
        <w:rPr>
          <w:rFonts w:ascii="Book Antiqua" w:hAnsi="Book Antiqua"/>
        </w:rPr>
      </w:pPr>
    </w:p>
    <w:p w14:paraId="5D66F4ED" w14:textId="77777777" w:rsidR="00882743" w:rsidRPr="00E3232D" w:rsidRDefault="00882743" w:rsidP="00EA579A">
      <w:pPr>
        <w:pStyle w:val="Heading2"/>
        <w:keepLines/>
        <w:numPr>
          <w:ilvl w:val="1"/>
          <w:numId w:val="183"/>
        </w:numPr>
        <w:tabs>
          <w:tab w:val="left" w:pos="360"/>
        </w:tabs>
        <w:ind w:left="450" w:hanging="450"/>
        <w:jc w:val="both"/>
        <w:rPr>
          <w:rFonts w:ascii="Book Antiqua" w:hAnsi="Book Antiqua"/>
          <w:sz w:val="22"/>
          <w:szCs w:val="22"/>
        </w:rPr>
      </w:pPr>
      <w:bookmarkStart w:id="149" w:name="_Toc349798414"/>
      <w:r w:rsidRPr="00E3232D">
        <w:rPr>
          <w:rFonts w:ascii="Book Antiqua" w:hAnsi="Book Antiqua"/>
          <w:sz w:val="22"/>
          <w:szCs w:val="22"/>
        </w:rPr>
        <w:t xml:space="preserve">Data </w:t>
      </w:r>
      <w:r w:rsidR="00EA579A" w:rsidRPr="00E3232D">
        <w:rPr>
          <w:rFonts w:ascii="Book Antiqua" w:hAnsi="Book Antiqua"/>
          <w:sz w:val="22"/>
          <w:szCs w:val="22"/>
        </w:rPr>
        <w:t>Analysis</w:t>
      </w:r>
      <w:bookmarkEnd w:id="149"/>
    </w:p>
    <w:p w14:paraId="51CF1C16" w14:textId="77777777" w:rsidR="00882743" w:rsidRDefault="00882743" w:rsidP="00EA579A">
      <w:pPr>
        <w:spacing w:after="120"/>
        <w:jc w:val="both"/>
        <w:rPr>
          <w:rFonts w:ascii="Book Antiqua" w:hAnsi="Book Antiqua"/>
        </w:rPr>
      </w:pPr>
      <w:r w:rsidRPr="00E3232D">
        <w:rPr>
          <w:rFonts w:ascii="Book Antiqua" w:hAnsi="Book Antiqua"/>
        </w:rPr>
        <w:t>The paired t-test was used to test at α = 0.05 if the means distancesat the beginning and at the end of plastination were significantly different or not, and also whether the mean valuesobtained in this were significantly different or not from those obtained by Ameko et al (2012). Two-factor Anova was used to determine for significant differences (p≤0.05) among samples and also among plastination stages.</w:t>
      </w:r>
    </w:p>
    <w:p w14:paraId="117558BA" w14:textId="77777777" w:rsidR="00EA579A" w:rsidRDefault="00EA579A" w:rsidP="00EA579A">
      <w:pPr>
        <w:spacing w:after="120"/>
        <w:jc w:val="both"/>
        <w:rPr>
          <w:rFonts w:ascii="Book Antiqua" w:hAnsi="Book Antiqua"/>
        </w:rPr>
      </w:pPr>
    </w:p>
    <w:p w14:paraId="5DD99E27" w14:textId="77777777" w:rsidR="00EA579A" w:rsidRDefault="00EA579A" w:rsidP="00EA579A">
      <w:pPr>
        <w:spacing w:after="120"/>
        <w:jc w:val="both"/>
        <w:rPr>
          <w:rFonts w:ascii="Book Antiqua" w:hAnsi="Book Antiqua"/>
        </w:rPr>
      </w:pPr>
    </w:p>
    <w:p w14:paraId="00951C0F" w14:textId="77777777" w:rsidR="00EA579A" w:rsidRPr="00E3232D" w:rsidRDefault="00EA579A" w:rsidP="00EA579A">
      <w:pPr>
        <w:spacing w:after="120"/>
        <w:jc w:val="both"/>
        <w:rPr>
          <w:rFonts w:ascii="Book Antiqua" w:hAnsi="Book Antiqua"/>
        </w:rPr>
      </w:pPr>
    </w:p>
    <w:p w14:paraId="73620F69" w14:textId="77777777" w:rsidR="00882743" w:rsidRPr="00EA579A" w:rsidRDefault="00882743" w:rsidP="00EA579A">
      <w:pPr>
        <w:pStyle w:val="Heading2"/>
        <w:keepLines/>
        <w:numPr>
          <w:ilvl w:val="0"/>
          <w:numId w:val="183"/>
        </w:numPr>
        <w:tabs>
          <w:tab w:val="left" w:pos="360"/>
        </w:tabs>
        <w:jc w:val="both"/>
        <w:rPr>
          <w:rFonts w:ascii="Book Antiqua" w:hAnsi="Book Antiqua"/>
          <w:szCs w:val="22"/>
        </w:rPr>
      </w:pPr>
      <w:bookmarkStart w:id="150" w:name="_Toc349798416"/>
      <w:r w:rsidRPr="00EA579A">
        <w:rPr>
          <w:rFonts w:ascii="Book Antiqua" w:hAnsi="Book Antiqua"/>
          <w:szCs w:val="22"/>
        </w:rPr>
        <w:t xml:space="preserve">Results </w:t>
      </w:r>
      <w:bookmarkEnd w:id="150"/>
    </w:p>
    <w:p w14:paraId="13F6368B" w14:textId="77777777" w:rsidR="00882743" w:rsidRPr="00E3232D" w:rsidRDefault="007005B1" w:rsidP="008275E1">
      <w:pPr>
        <w:rPr>
          <w:rFonts w:ascii="Book Antiqua" w:hAnsi="Book Antiqua"/>
        </w:rPr>
      </w:pPr>
      <w:r>
        <w:rPr>
          <w:rFonts w:ascii="Book Antiqua" w:hAnsi="Book Antiqua"/>
          <w:noProof/>
          <w:lang w:bidi="ar-SA"/>
        </w:rPr>
        <w:drawing>
          <wp:inline distT="0" distB="0" distL="0" distR="0" wp14:anchorId="0CB184B4" wp14:editId="113C9A6D">
            <wp:extent cx="2828925" cy="1352550"/>
            <wp:effectExtent l="19050" t="0" r="9525" b="0"/>
            <wp:docPr id="2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3"/>
                    <a:srcRect/>
                    <a:stretch>
                      <a:fillRect/>
                    </a:stretch>
                  </pic:blipFill>
                  <pic:spPr bwMode="auto">
                    <a:xfrm>
                      <a:off x="0" y="0"/>
                      <a:ext cx="2828925" cy="1352550"/>
                    </a:xfrm>
                    <a:prstGeom prst="rect">
                      <a:avLst/>
                    </a:prstGeom>
                    <a:noFill/>
                    <a:ln w="9525">
                      <a:noFill/>
                      <a:miter lim="800000"/>
                      <a:headEnd/>
                      <a:tailEnd/>
                    </a:ln>
                  </pic:spPr>
                </pic:pic>
              </a:graphicData>
            </a:graphic>
          </wp:inline>
        </w:drawing>
      </w:r>
    </w:p>
    <w:p w14:paraId="67973A33" w14:textId="77777777" w:rsidR="007F203D" w:rsidRDefault="007F203D" w:rsidP="008275E1">
      <w:pPr>
        <w:pStyle w:val="Heading6"/>
        <w:spacing w:line="276" w:lineRule="auto"/>
        <w:rPr>
          <w:rFonts w:ascii="Book Antiqua" w:hAnsi="Book Antiqua"/>
          <w:b w:val="0"/>
          <w:i w:val="0"/>
          <w:iCs w:val="0"/>
        </w:rPr>
      </w:pPr>
    </w:p>
    <w:p w14:paraId="2FA0B036" w14:textId="77777777" w:rsidR="00882743" w:rsidRPr="00E3232D" w:rsidRDefault="00882743" w:rsidP="008275E1">
      <w:pPr>
        <w:pStyle w:val="Heading6"/>
        <w:spacing w:line="276" w:lineRule="auto"/>
        <w:rPr>
          <w:rFonts w:ascii="Book Antiqua" w:hAnsi="Book Antiqua"/>
          <w:b w:val="0"/>
          <w:i w:val="0"/>
        </w:rPr>
      </w:pPr>
      <w:r w:rsidRPr="00E3232D">
        <w:rPr>
          <w:rFonts w:ascii="Book Antiqua" w:hAnsi="Book Antiqua"/>
          <w:b w:val="0"/>
          <w:i w:val="0"/>
          <w:iCs w:val="0"/>
        </w:rPr>
        <w:t>Fig. 1 Mean Percent Shrinkage of three Plastinated Bovine Heart samples</w:t>
      </w:r>
    </w:p>
    <w:p w14:paraId="4294E0DB" w14:textId="77777777" w:rsidR="00882743" w:rsidRPr="00E3232D" w:rsidRDefault="00882743" w:rsidP="008275E1">
      <w:pPr>
        <w:rPr>
          <w:rFonts w:ascii="Book Antiqua" w:hAnsi="Book Antiqua"/>
        </w:rPr>
      </w:pPr>
    </w:p>
    <w:p w14:paraId="64831835" w14:textId="77777777" w:rsidR="00882743" w:rsidRPr="00E3232D" w:rsidRDefault="007005B1" w:rsidP="008275E1">
      <w:pPr>
        <w:rPr>
          <w:rFonts w:ascii="Book Antiqua" w:hAnsi="Book Antiqua"/>
          <w:noProof/>
        </w:rPr>
      </w:pPr>
      <w:r>
        <w:rPr>
          <w:rFonts w:ascii="Book Antiqua" w:hAnsi="Book Antiqua"/>
          <w:noProof/>
          <w:lang w:bidi="ar-SA"/>
        </w:rPr>
        <w:drawing>
          <wp:inline distT="0" distB="0" distL="0" distR="0" wp14:anchorId="5CFD0171" wp14:editId="712D2E94">
            <wp:extent cx="2828925" cy="1352550"/>
            <wp:effectExtent l="19050" t="0" r="9525" b="0"/>
            <wp:docPr id="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4"/>
                    <a:srcRect/>
                    <a:stretch>
                      <a:fillRect/>
                    </a:stretch>
                  </pic:blipFill>
                  <pic:spPr bwMode="auto">
                    <a:xfrm>
                      <a:off x="0" y="0"/>
                      <a:ext cx="2828925" cy="1352550"/>
                    </a:xfrm>
                    <a:prstGeom prst="rect">
                      <a:avLst/>
                    </a:prstGeom>
                    <a:noFill/>
                    <a:ln w="9525">
                      <a:noFill/>
                      <a:miter lim="800000"/>
                      <a:headEnd/>
                      <a:tailEnd/>
                    </a:ln>
                  </pic:spPr>
                </pic:pic>
              </a:graphicData>
            </a:graphic>
          </wp:inline>
        </w:drawing>
      </w:r>
    </w:p>
    <w:p w14:paraId="1444A39D" w14:textId="77777777" w:rsidR="007F203D" w:rsidRDefault="007F203D" w:rsidP="008275E1">
      <w:pPr>
        <w:pStyle w:val="Heading6"/>
        <w:spacing w:line="276" w:lineRule="auto"/>
        <w:rPr>
          <w:rFonts w:ascii="Book Antiqua" w:hAnsi="Book Antiqua"/>
          <w:b w:val="0"/>
          <w:i w:val="0"/>
          <w:iCs w:val="0"/>
        </w:rPr>
      </w:pPr>
    </w:p>
    <w:p w14:paraId="28458944" w14:textId="77777777" w:rsidR="00882743" w:rsidRPr="00E3232D" w:rsidRDefault="00882743" w:rsidP="008275E1">
      <w:pPr>
        <w:pStyle w:val="Heading6"/>
        <w:spacing w:line="276" w:lineRule="auto"/>
        <w:rPr>
          <w:rFonts w:ascii="Book Antiqua" w:hAnsi="Book Antiqua"/>
          <w:b w:val="0"/>
          <w:i w:val="0"/>
        </w:rPr>
      </w:pPr>
      <w:r w:rsidRPr="00E3232D">
        <w:rPr>
          <w:rFonts w:ascii="Book Antiqua" w:hAnsi="Book Antiqua"/>
          <w:b w:val="0"/>
          <w:i w:val="0"/>
          <w:iCs w:val="0"/>
        </w:rPr>
        <w:t xml:space="preserve">Fig. 2 Mean Percent Shrinkage of three Plastinated Bovine Kidneysamples </w:t>
      </w:r>
    </w:p>
    <w:p w14:paraId="0EAFB745" w14:textId="77777777" w:rsidR="00882743" w:rsidRPr="00E3232D" w:rsidRDefault="00882743" w:rsidP="008275E1">
      <w:pPr>
        <w:rPr>
          <w:rFonts w:ascii="Book Antiqua" w:hAnsi="Book Antiqua"/>
        </w:rPr>
      </w:pPr>
    </w:p>
    <w:p w14:paraId="06168313" w14:textId="77777777" w:rsidR="00882743" w:rsidRPr="00E3232D" w:rsidRDefault="007005B1" w:rsidP="008275E1">
      <w:pPr>
        <w:rPr>
          <w:rFonts w:ascii="Book Antiqua" w:hAnsi="Book Antiqua"/>
        </w:rPr>
      </w:pPr>
      <w:r>
        <w:rPr>
          <w:rFonts w:ascii="Book Antiqua" w:hAnsi="Book Antiqua"/>
          <w:noProof/>
          <w:lang w:bidi="ar-SA"/>
        </w:rPr>
        <w:drawing>
          <wp:inline distT="0" distB="0" distL="0" distR="0" wp14:anchorId="6D60DE7F" wp14:editId="38449C5B">
            <wp:extent cx="2828925" cy="1381125"/>
            <wp:effectExtent l="19050" t="0" r="9525" b="0"/>
            <wp:docPr id="2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5"/>
                    <a:srcRect/>
                    <a:stretch>
                      <a:fillRect/>
                    </a:stretch>
                  </pic:blipFill>
                  <pic:spPr bwMode="auto">
                    <a:xfrm>
                      <a:off x="0" y="0"/>
                      <a:ext cx="2828925" cy="1381125"/>
                    </a:xfrm>
                    <a:prstGeom prst="rect">
                      <a:avLst/>
                    </a:prstGeom>
                    <a:noFill/>
                    <a:ln w="9525">
                      <a:noFill/>
                      <a:miter lim="800000"/>
                      <a:headEnd/>
                      <a:tailEnd/>
                    </a:ln>
                  </pic:spPr>
                </pic:pic>
              </a:graphicData>
            </a:graphic>
          </wp:inline>
        </w:drawing>
      </w:r>
    </w:p>
    <w:p w14:paraId="28AF1B70" w14:textId="77777777" w:rsidR="007F203D" w:rsidRDefault="007F203D" w:rsidP="008275E1">
      <w:pPr>
        <w:pStyle w:val="Heading6"/>
        <w:spacing w:line="276" w:lineRule="auto"/>
        <w:rPr>
          <w:rFonts w:ascii="Book Antiqua" w:hAnsi="Book Antiqua"/>
          <w:b w:val="0"/>
          <w:i w:val="0"/>
          <w:iCs w:val="0"/>
        </w:rPr>
      </w:pPr>
    </w:p>
    <w:p w14:paraId="60BC5F9E" w14:textId="77777777" w:rsidR="00882743" w:rsidRPr="00EA579A" w:rsidRDefault="00882743" w:rsidP="008275E1">
      <w:pPr>
        <w:pStyle w:val="Heading6"/>
        <w:spacing w:line="276" w:lineRule="auto"/>
        <w:rPr>
          <w:rFonts w:ascii="Book Antiqua" w:hAnsi="Book Antiqua"/>
          <w:b w:val="0"/>
          <w:i w:val="0"/>
          <w:color w:val="auto"/>
        </w:rPr>
      </w:pPr>
      <w:r w:rsidRPr="00EA579A">
        <w:rPr>
          <w:rFonts w:ascii="Book Antiqua" w:hAnsi="Book Antiqua"/>
          <w:b w:val="0"/>
          <w:i w:val="0"/>
          <w:iCs w:val="0"/>
          <w:color w:val="auto"/>
        </w:rPr>
        <w:t xml:space="preserve">Fig. 3 Mean Percent Shrinkage of Bovine Hearts at Various Stages of Plastination </w:t>
      </w:r>
    </w:p>
    <w:p w14:paraId="35AD18A0" w14:textId="77777777" w:rsidR="00882743" w:rsidRPr="00E3232D" w:rsidRDefault="00882743" w:rsidP="008275E1">
      <w:pPr>
        <w:rPr>
          <w:rFonts w:ascii="Book Antiqua" w:hAnsi="Book Antiqua"/>
        </w:rPr>
      </w:pPr>
    </w:p>
    <w:p w14:paraId="4C967F00" w14:textId="77777777" w:rsidR="00882743" w:rsidRPr="00E3232D" w:rsidRDefault="007005B1" w:rsidP="008275E1">
      <w:pPr>
        <w:rPr>
          <w:rFonts w:ascii="Book Antiqua" w:hAnsi="Book Antiqua"/>
        </w:rPr>
      </w:pPr>
      <w:r>
        <w:rPr>
          <w:rFonts w:ascii="Book Antiqua" w:hAnsi="Book Antiqua"/>
          <w:noProof/>
          <w:lang w:bidi="ar-SA"/>
        </w:rPr>
        <w:drawing>
          <wp:inline distT="0" distB="0" distL="0" distR="0" wp14:anchorId="3B2F3064" wp14:editId="1C60444C">
            <wp:extent cx="2828925" cy="1704975"/>
            <wp:effectExtent l="19050" t="0" r="9525" b="0"/>
            <wp:docPr id="2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6"/>
                    <a:srcRect/>
                    <a:stretch>
                      <a:fillRect/>
                    </a:stretch>
                  </pic:blipFill>
                  <pic:spPr bwMode="auto">
                    <a:xfrm>
                      <a:off x="0" y="0"/>
                      <a:ext cx="2828925" cy="1704975"/>
                    </a:xfrm>
                    <a:prstGeom prst="rect">
                      <a:avLst/>
                    </a:prstGeom>
                    <a:noFill/>
                    <a:ln w="9525">
                      <a:noFill/>
                      <a:miter lim="800000"/>
                      <a:headEnd/>
                      <a:tailEnd/>
                    </a:ln>
                  </pic:spPr>
                </pic:pic>
              </a:graphicData>
            </a:graphic>
          </wp:inline>
        </w:drawing>
      </w:r>
    </w:p>
    <w:p w14:paraId="44930AC7" w14:textId="77777777" w:rsidR="00882743" w:rsidRPr="00E3232D" w:rsidRDefault="00882743" w:rsidP="008275E1">
      <w:pPr>
        <w:pStyle w:val="Heading6"/>
        <w:spacing w:line="276" w:lineRule="auto"/>
        <w:rPr>
          <w:rFonts w:ascii="Book Antiqua" w:hAnsi="Book Antiqua"/>
          <w:b w:val="0"/>
          <w:i w:val="0"/>
        </w:rPr>
      </w:pPr>
      <w:r w:rsidRPr="00E3232D">
        <w:rPr>
          <w:rFonts w:ascii="Book Antiqua" w:hAnsi="Book Antiqua"/>
          <w:b w:val="0"/>
          <w:i w:val="0"/>
          <w:iCs w:val="0"/>
        </w:rPr>
        <w:t xml:space="preserve">Fig. 4 Mean Percent Shrinkage of Bovine Kidneys at Various Stages of Plastination </w:t>
      </w:r>
    </w:p>
    <w:p w14:paraId="58113DB9" w14:textId="77777777" w:rsidR="00882743" w:rsidRPr="00E3232D" w:rsidRDefault="00882743" w:rsidP="008275E1">
      <w:pPr>
        <w:rPr>
          <w:rFonts w:ascii="Book Antiqua" w:hAnsi="Book Antiqua"/>
        </w:rPr>
      </w:pPr>
    </w:p>
    <w:p w14:paraId="2879BC59" w14:textId="77777777" w:rsidR="00882743" w:rsidRPr="00E3232D" w:rsidRDefault="00882743" w:rsidP="008275E1">
      <w:pPr>
        <w:tabs>
          <w:tab w:val="left" w:pos="6871"/>
          <w:tab w:val="left" w:pos="7707"/>
        </w:tabs>
        <w:ind w:left="103"/>
        <w:rPr>
          <w:rFonts w:ascii="Book Antiqua" w:hAnsi="Book Antiqua"/>
          <w:b/>
        </w:rPr>
      </w:pPr>
      <w:r w:rsidRPr="00E3232D">
        <w:rPr>
          <w:rFonts w:ascii="Book Antiqua" w:hAnsi="Book Antiqua"/>
          <w:b/>
        </w:rPr>
        <w:t xml:space="preserve">Table 1Percent Shrinkage of Bovine Hearts at Various Stages of Plastination </w:t>
      </w:r>
    </w:p>
    <w:p w14:paraId="613B6983" w14:textId="77777777" w:rsidR="00882743" w:rsidRPr="00E3232D" w:rsidRDefault="007005B1" w:rsidP="008275E1">
      <w:pPr>
        <w:tabs>
          <w:tab w:val="left" w:pos="6871"/>
          <w:tab w:val="left" w:pos="7707"/>
        </w:tabs>
        <w:ind w:left="103"/>
        <w:rPr>
          <w:rFonts w:ascii="Book Antiqua" w:hAnsi="Book Antiqua"/>
          <w:b/>
        </w:rPr>
      </w:pPr>
      <w:r>
        <w:rPr>
          <w:rFonts w:ascii="Book Antiqua" w:hAnsi="Book Antiqua"/>
          <w:b/>
          <w:noProof/>
          <w:lang w:bidi="ar-SA"/>
        </w:rPr>
        <w:drawing>
          <wp:inline distT="0" distB="0" distL="0" distR="0" wp14:anchorId="3428D487" wp14:editId="1D6E0C5F">
            <wp:extent cx="2743200" cy="1276350"/>
            <wp:effectExtent l="19050" t="0" r="0" b="0"/>
            <wp:docPr id="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srcRect l="3197" r="3490"/>
                    <a:stretch>
                      <a:fillRect/>
                    </a:stretch>
                  </pic:blipFill>
                  <pic:spPr bwMode="auto">
                    <a:xfrm>
                      <a:off x="0" y="0"/>
                      <a:ext cx="2743200" cy="1276350"/>
                    </a:xfrm>
                    <a:prstGeom prst="rect">
                      <a:avLst/>
                    </a:prstGeom>
                    <a:noFill/>
                    <a:ln w="9525">
                      <a:noFill/>
                      <a:miter lim="800000"/>
                      <a:headEnd/>
                      <a:tailEnd/>
                    </a:ln>
                  </pic:spPr>
                </pic:pic>
              </a:graphicData>
            </a:graphic>
          </wp:inline>
        </w:drawing>
      </w:r>
    </w:p>
    <w:p w14:paraId="3F4BB5DC" w14:textId="77777777" w:rsidR="00882743" w:rsidRPr="00E3232D" w:rsidRDefault="00882743" w:rsidP="008275E1">
      <w:pPr>
        <w:pStyle w:val="Heading6"/>
        <w:spacing w:line="276" w:lineRule="auto"/>
        <w:rPr>
          <w:rFonts w:ascii="Book Antiqua" w:hAnsi="Book Antiqua"/>
          <w:b w:val="0"/>
          <w:i w:val="0"/>
        </w:rPr>
      </w:pPr>
      <w:r w:rsidRPr="00E3232D">
        <w:rPr>
          <w:rFonts w:ascii="Book Antiqua" w:hAnsi="Book Antiqua"/>
          <w:b w:val="0"/>
          <w:i w:val="0"/>
          <w:iCs w:val="0"/>
        </w:rPr>
        <w:t>Table 2Percent Shrinkage of Bovine Kidneys at Various Stages of Plastination</w:t>
      </w:r>
    </w:p>
    <w:p w14:paraId="568C88A5" w14:textId="77777777" w:rsidR="00882743" w:rsidRPr="00E3232D" w:rsidRDefault="007005B1" w:rsidP="008275E1">
      <w:pPr>
        <w:rPr>
          <w:rFonts w:ascii="Book Antiqua" w:hAnsi="Book Antiqua"/>
        </w:rPr>
      </w:pPr>
      <w:r>
        <w:rPr>
          <w:rFonts w:ascii="Book Antiqua" w:hAnsi="Book Antiqua"/>
          <w:noProof/>
          <w:lang w:bidi="ar-SA"/>
        </w:rPr>
        <w:drawing>
          <wp:inline distT="0" distB="0" distL="0" distR="0" wp14:anchorId="21DD5D5F" wp14:editId="4453DC94">
            <wp:extent cx="2943225" cy="1476375"/>
            <wp:effectExtent l="19050" t="0" r="9525" b="0"/>
            <wp:docPr id="2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8"/>
                    <a:srcRect l="2654" r="6364"/>
                    <a:stretch>
                      <a:fillRect/>
                    </a:stretch>
                  </pic:blipFill>
                  <pic:spPr bwMode="auto">
                    <a:xfrm>
                      <a:off x="0" y="0"/>
                      <a:ext cx="2943225" cy="1476375"/>
                    </a:xfrm>
                    <a:prstGeom prst="rect">
                      <a:avLst/>
                    </a:prstGeom>
                    <a:noFill/>
                    <a:ln w="9525">
                      <a:noFill/>
                      <a:miter lim="800000"/>
                      <a:headEnd/>
                      <a:tailEnd/>
                    </a:ln>
                  </pic:spPr>
                </pic:pic>
              </a:graphicData>
            </a:graphic>
          </wp:inline>
        </w:drawing>
      </w:r>
    </w:p>
    <w:p w14:paraId="686305F8" w14:textId="77777777" w:rsidR="00882743" w:rsidRPr="00EA579A" w:rsidRDefault="00882743" w:rsidP="00EA579A">
      <w:pPr>
        <w:pStyle w:val="Heading2"/>
        <w:keepLines/>
        <w:numPr>
          <w:ilvl w:val="0"/>
          <w:numId w:val="183"/>
        </w:numPr>
        <w:tabs>
          <w:tab w:val="left" w:pos="360"/>
        </w:tabs>
        <w:jc w:val="both"/>
        <w:rPr>
          <w:rFonts w:ascii="Book Antiqua" w:hAnsi="Book Antiqua"/>
          <w:szCs w:val="22"/>
        </w:rPr>
      </w:pPr>
      <w:r w:rsidRPr="00EA579A">
        <w:rPr>
          <w:rFonts w:ascii="Book Antiqua" w:hAnsi="Book Antiqua"/>
          <w:iCs/>
          <w:szCs w:val="22"/>
        </w:rPr>
        <w:t>Discussion</w:t>
      </w:r>
    </w:p>
    <w:p w14:paraId="39E8E7BE" w14:textId="77777777" w:rsidR="00882743" w:rsidRPr="00E3232D" w:rsidRDefault="00882743" w:rsidP="00EA579A">
      <w:pPr>
        <w:tabs>
          <w:tab w:val="left" w:pos="54"/>
        </w:tabs>
        <w:spacing w:after="0"/>
        <w:jc w:val="both"/>
        <w:rPr>
          <w:rFonts w:ascii="Book Antiqua" w:hAnsi="Book Antiqua"/>
        </w:rPr>
      </w:pPr>
      <w:r w:rsidRPr="00E3232D">
        <w:rPr>
          <w:rFonts w:ascii="Book Antiqua" w:hAnsi="Book Antiqua"/>
        </w:rPr>
        <w:t xml:space="preserve">Shrinkage was 5.62% – 8.48% and 5.23% – 9.41% in the heart samples and kidney samples respectively (Figs 1 and 2). There were various levels of shrinkage at different plastination stages, andthese ranged between 1.24% - 3.37% for the heart (Fig 3) and 1.36% - 2.95% for the kidney (Fig 4). Optimum shrinkage occurred at the dehydration stage for both the heart and the kidney. This agreed with results obtained by Ameko et al. (2012) where shrinkage was highest at dehydration during the plastination of the heart and kidneys of a Cow, the lungs and attached trachea of a Ram, and the penis and attached testicles of a Ram. </w:t>
      </w:r>
    </w:p>
    <w:p w14:paraId="370F2609" w14:textId="77777777" w:rsidR="009D221F" w:rsidRDefault="009D221F" w:rsidP="002571CF">
      <w:pPr>
        <w:tabs>
          <w:tab w:val="left" w:pos="54"/>
        </w:tabs>
        <w:spacing w:after="0"/>
        <w:rPr>
          <w:rFonts w:ascii="Book Antiqua" w:hAnsi="Book Antiqua"/>
        </w:rPr>
      </w:pPr>
    </w:p>
    <w:p w14:paraId="5B330215" w14:textId="77777777" w:rsidR="009D221F" w:rsidRDefault="00882743" w:rsidP="00EA579A">
      <w:pPr>
        <w:tabs>
          <w:tab w:val="left" w:pos="54"/>
        </w:tabs>
        <w:spacing w:after="0"/>
        <w:jc w:val="both"/>
        <w:rPr>
          <w:rFonts w:ascii="Book Antiqua" w:hAnsi="Book Antiqua"/>
        </w:rPr>
      </w:pPr>
      <w:r w:rsidRPr="00E3232D">
        <w:rPr>
          <w:rFonts w:ascii="Book Antiqua" w:hAnsi="Book Antiqua"/>
        </w:rPr>
        <w:t xml:space="preserve">The extent of shrinkage among the three different plastinated hearts were not significantly different (p&gt;0.05) but varied significantly (p≤0.05) among the various stages of plastination. For the three kidneys, degree of shrinkage varied significantly (p≤0.05) among the samples as well as among the various stages of plastination. The kidneys showed greater variability in their responses to plastination than did the hearts. This could be due to greater variability in the arrangement of the tissue blocks in the individual kidney samples than in the individual heart samples. Comparatively, the level of shrinkage of the hearts and kidneys were not significantly different (p&gt;0.05). However the two organs underwent significantly different (p≤0.05) levels of shrinkage </w:t>
      </w:r>
      <w:r w:rsidR="0012151E">
        <w:rPr>
          <w:rFonts w:ascii="Book Antiqua" w:hAnsi="Book Antiqua"/>
        </w:rPr>
        <w:t xml:space="preserve">at each stage of plastination. </w:t>
      </w:r>
    </w:p>
    <w:p w14:paraId="4EE3BF29" w14:textId="77777777" w:rsidR="00541D8F" w:rsidRDefault="00541D8F" w:rsidP="00EA579A">
      <w:pPr>
        <w:jc w:val="both"/>
        <w:rPr>
          <w:rFonts w:ascii="Book Antiqua" w:hAnsi="Book Antiqua"/>
        </w:rPr>
      </w:pPr>
    </w:p>
    <w:p w14:paraId="12297871" w14:textId="77777777" w:rsidR="00882743" w:rsidRPr="00E3232D" w:rsidRDefault="00882743" w:rsidP="00EA579A">
      <w:pPr>
        <w:jc w:val="both"/>
        <w:rPr>
          <w:rFonts w:ascii="Book Antiqua" w:hAnsi="Book Antiqua"/>
        </w:rPr>
      </w:pPr>
      <w:r w:rsidRPr="00E3232D">
        <w:rPr>
          <w:rFonts w:ascii="Book Antiqua" w:hAnsi="Book Antiqua"/>
        </w:rPr>
        <w:t xml:space="preserve">The mean shrinkage observedfor the plastinated specimensin the current study were significantly not different (p&gt;0.05) from those obtained in 2012whereamount of shrinkage in the cow heart was 6.98% (Table 1) and4.77% in the kidneys(Table 2).The means sizesof the hearts and kidneys at the beginning and end of plastination were significantly not different(p&gt;0.05). </w:t>
      </w:r>
    </w:p>
    <w:p w14:paraId="5BFE33C8" w14:textId="77777777" w:rsidR="00882743" w:rsidRPr="00E3232D" w:rsidRDefault="00882743" w:rsidP="00EA579A">
      <w:pPr>
        <w:tabs>
          <w:tab w:val="left" w:pos="54"/>
        </w:tabs>
        <w:jc w:val="both"/>
        <w:rPr>
          <w:rFonts w:ascii="Book Antiqua" w:hAnsi="Book Antiqua"/>
        </w:rPr>
      </w:pPr>
      <w:r w:rsidRPr="00E3232D">
        <w:rPr>
          <w:rFonts w:ascii="Book Antiqua" w:hAnsi="Book Antiqua"/>
        </w:rPr>
        <w:t xml:space="preserve">In this study the color of the specimens changed considerably over the course of the plastination. The dark red kidneys turned dark brown at the end of the procedure. The heart which had a bright pink colour at the beginning also turned light brown. Browning may be a result of the reaction between acid formalin with haemoglobin to form a brown pigment. Baptista and Conran (1989) prepared adult human heart plastinates by using Klotz Solution as the fixative, dehydrating in cold acetone for 5 weeks, and impregnating with standard silicone resin (Biodur S10 + S3) in vacuum chamber at -25°C. Curing was done with the gas cure agent (S6) for 4 - 6 days. Sakamoto et al (2006) used as fixative 20% buffered formalin at room temperature for one week on whole liver, lungs, colon and brain. In this study the specimenswere fixedfor one week which is far less than the 5 weeks used by Baptista and Conran, and with 10% Formalin solutionwhich is less concentrated than the 20% buffered formalin used by Sakamoto (2006). Baptista and Conran’s(1989) plastinated human heart was dissected to clearly show the Right ventricle, pulmonary trunk, Left ventricle, Aorta, Left auricle, Right auricle. In this study the plastinated bovine heart was not dissected. According to Baptista and Conran(1989)one difficulty when working with the heart, is that the valves are flattened against the ventricular wall and are hence hard to view in fixed preparations. In this study the plastinated hearts and kidneys exhibitedchanges in bulk and colour and according to Mikosova and Miklos (2004) this may be due to unsuitable temperature, using of old bad ﬁxed formaldehyde specimens and too long gas – curing procedure.The plastinatedhearts and kidneys are dry, rigid, and odourless and theirgeneral shapes and structuresare maintained. This make them easy to handle and therefore suitable for use as a teaching aid. </w:t>
      </w:r>
    </w:p>
    <w:p w14:paraId="42156A5B" w14:textId="77777777" w:rsidR="00882743" w:rsidRPr="00B93231" w:rsidRDefault="00882743" w:rsidP="00EA579A">
      <w:pPr>
        <w:pStyle w:val="Heading2"/>
        <w:keepLines/>
        <w:numPr>
          <w:ilvl w:val="0"/>
          <w:numId w:val="183"/>
        </w:numPr>
        <w:tabs>
          <w:tab w:val="left" w:pos="360"/>
        </w:tabs>
        <w:jc w:val="both"/>
        <w:rPr>
          <w:rFonts w:ascii="Book Antiqua" w:hAnsi="Book Antiqua"/>
        </w:rPr>
      </w:pPr>
      <w:r w:rsidRPr="00B93231">
        <w:rPr>
          <w:rFonts w:ascii="Book Antiqua" w:hAnsi="Book Antiqua"/>
          <w:iCs/>
        </w:rPr>
        <w:t>Conclusion</w:t>
      </w:r>
    </w:p>
    <w:p w14:paraId="4A9DF1B6" w14:textId="77777777" w:rsidR="00882743" w:rsidRPr="00E3232D" w:rsidRDefault="00882743" w:rsidP="00EA579A">
      <w:pPr>
        <w:spacing w:after="0"/>
        <w:jc w:val="both"/>
        <w:rPr>
          <w:rFonts w:ascii="Book Antiqua" w:hAnsi="Book Antiqua"/>
        </w:rPr>
      </w:pPr>
      <w:r w:rsidRPr="00E3232D">
        <w:rPr>
          <w:rFonts w:ascii="Book Antiqua" w:hAnsi="Book Antiqua"/>
        </w:rPr>
        <w:t>The plastinated specimens can be used as teaching aids to facilitate the teaching and learning processbecause they are well preserved, dry, odourless, and easy to handle and have retained the general shape and appearance of the fresh specimen. However the level of shrinkage obtained from the modified procedure used in this study was not significantly different from that obtained fromthe procedure used by Ameko et al (2012).</w:t>
      </w:r>
    </w:p>
    <w:p w14:paraId="284EA5FD" w14:textId="77777777" w:rsidR="009D221F" w:rsidRDefault="009D221F" w:rsidP="00EA579A">
      <w:pPr>
        <w:spacing w:after="0"/>
        <w:jc w:val="both"/>
        <w:rPr>
          <w:rFonts w:ascii="Book Antiqua" w:hAnsi="Book Antiqua"/>
        </w:rPr>
      </w:pPr>
    </w:p>
    <w:p w14:paraId="6C42B0B3" w14:textId="77777777" w:rsidR="00882743" w:rsidRPr="00E3232D" w:rsidRDefault="00882743" w:rsidP="00EA579A">
      <w:pPr>
        <w:spacing w:after="0"/>
        <w:jc w:val="both"/>
        <w:rPr>
          <w:rFonts w:ascii="Book Antiqua" w:hAnsi="Book Antiqua"/>
        </w:rPr>
      </w:pPr>
      <w:r w:rsidRPr="00E3232D">
        <w:rPr>
          <w:rFonts w:ascii="Book Antiqua" w:hAnsi="Book Antiqua"/>
        </w:rPr>
        <w:t xml:space="preserve">The results support the assertion made by Zheng (2000) that the plastination procedure can be suitably adapted for use by developing countries for the production of plastinated specimens. </w:t>
      </w:r>
    </w:p>
    <w:p w14:paraId="5581C268" w14:textId="77777777" w:rsidR="00882743" w:rsidRPr="00E3232D" w:rsidRDefault="00882743" w:rsidP="00EA579A">
      <w:pPr>
        <w:jc w:val="both"/>
        <w:rPr>
          <w:rFonts w:ascii="Book Antiqua" w:hAnsi="Book Antiqua"/>
        </w:rPr>
      </w:pPr>
      <w:r w:rsidRPr="00E3232D">
        <w:rPr>
          <w:rFonts w:ascii="Book Antiqua" w:hAnsi="Book Antiqua"/>
        </w:rPr>
        <w:t xml:space="preserve">Further work would be done to minimise colour changes in the specimen. </w:t>
      </w:r>
    </w:p>
    <w:p w14:paraId="6E0BE187" w14:textId="77777777" w:rsidR="00882743" w:rsidRPr="00B93231" w:rsidRDefault="00882743" w:rsidP="00EA579A">
      <w:pPr>
        <w:pStyle w:val="Heading1"/>
        <w:jc w:val="both"/>
        <w:rPr>
          <w:rFonts w:ascii="Book Antiqua" w:hAnsi="Book Antiqua"/>
          <w:sz w:val="26"/>
          <w:szCs w:val="26"/>
        </w:rPr>
      </w:pPr>
      <w:r w:rsidRPr="00B93231">
        <w:rPr>
          <w:rFonts w:ascii="Book Antiqua" w:hAnsi="Book Antiqua"/>
          <w:bCs w:val="0"/>
          <w:sz w:val="26"/>
          <w:szCs w:val="26"/>
        </w:rPr>
        <w:t xml:space="preserve">Acknowledgements </w:t>
      </w:r>
    </w:p>
    <w:p w14:paraId="58D7D866" w14:textId="77777777" w:rsidR="00882743" w:rsidRPr="00E3232D" w:rsidRDefault="00882743" w:rsidP="00EA579A">
      <w:pPr>
        <w:jc w:val="both"/>
        <w:rPr>
          <w:rFonts w:ascii="Book Antiqua" w:hAnsi="Book Antiqua"/>
        </w:rPr>
      </w:pPr>
      <w:r w:rsidRPr="00E3232D">
        <w:rPr>
          <w:rFonts w:ascii="Book Antiqua" w:hAnsi="Book Antiqua"/>
        </w:rPr>
        <w:t xml:space="preserve">This research is being funded by Accra Polytechnic. </w:t>
      </w:r>
    </w:p>
    <w:p w14:paraId="6B95B1AB" w14:textId="77777777" w:rsidR="00B93231" w:rsidRDefault="00B93231" w:rsidP="00EA579A">
      <w:pPr>
        <w:pStyle w:val="Heading1"/>
        <w:jc w:val="both"/>
        <w:rPr>
          <w:rFonts w:ascii="Book Antiqua" w:hAnsi="Book Antiqua"/>
          <w:bCs w:val="0"/>
          <w:sz w:val="26"/>
          <w:szCs w:val="26"/>
        </w:rPr>
      </w:pPr>
      <w:bookmarkStart w:id="151" w:name="_Toc349798425"/>
    </w:p>
    <w:p w14:paraId="68CDED8C" w14:textId="77777777" w:rsidR="00882743" w:rsidRPr="00B93231" w:rsidRDefault="00882743" w:rsidP="00EA579A">
      <w:pPr>
        <w:pStyle w:val="Heading1"/>
        <w:jc w:val="both"/>
        <w:rPr>
          <w:rFonts w:ascii="Book Antiqua" w:hAnsi="Book Antiqua"/>
          <w:sz w:val="26"/>
          <w:szCs w:val="26"/>
        </w:rPr>
      </w:pPr>
      <w:r w:rsidRPr="00B93231">
        <w:rPr>
          <w:rFonts w:ascii="Book Antiqua" w:hAnsi="Book Antiqua"/>
          <w:bCs w:val="0"/>
          <w:sz w:val="26"/>
          <w:szCs w:val="26"/>
        </w:rPr>
        <w:t>References</w:t>
      </w:r>
      <w:bookmarkEnd w:id="151"/>
    </w:p>
    <w:p w14:paraId="3F1EFA96"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 xml:space="preserve">Ameko, E. Achio, S. Alhassan, S. Adasu, C. Dzagbletey, E.T. and Abbey, P.R. (2012). Plastination of Some Cow and Ram Organ in Ghana for Use as Teaching Aids. </w:t>
      </w:r>
      <w:r w:rsidRPr="00E3232D">
        <w:rPr>
          <w:rFonts w:ascii="Book Antiqua" w:hAnsi="Book Antiqua"/>
          <w:i/>
          <w:sz w:val="22"/>
          <w:szCs w:val="22"/>
        </w:rPr>
        <w:t>Int. Journal of Pure and Applied Sciences and Technology</w:t>
      </w:r>
      <w:r w:rsidRPr="00E3232D">
        <w:rPr>
          <w:rFonts w:ascii="Book Antiqua" w:hAnsi="Book Antiqua"/>
          <w:sz w:val="22"/>
          <w:szCs w:val="22"/>
        </w:rPr>
        <w:t xml:space="preserve">, 8(1), pp. 57-68 </w:t>
      </w:r>
    </w:p>
    <w:p w14:paraId="22802775"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Ameko, E. Achio, S. Alhassan, S. Korankye, F. T. (2010). Plastination of the heart of a goat. Accra Polytechnic. Unpublished</w:t>
      </w:r>
    </w:p>
    <w:p w14:paraId="29767A9D"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 xml:space="preserve">Ameko, E. Achio, S. Alhassan, S. Milla-Amekor, E. Sam, E. Quaynor, L. S. Adjei, K. A. Tetteh, D. Amporfro, G. Opare, N. A. and Alorka, S. (2013). Plastination of Biological Specimen for Use as Teaching Aids. </w:t>
      </w:r>
      <w:r w:rsidRPr="00E3232D">
        <w:rPr>
          <w:rFonts w:ascii="Book Antiqua" w:hAnsi="Book Antiqua"/>
          <w:i/>
          <w:sz w:val="22"/>
          <w:szCs w:val="22"/>
        </w:rPr>
        <w:t>Thesis, Unpublished. Accra Polytechnic, Ghana</w:t>
      </w:r>
      <w:r w:rsidRPr="00E3232D">
        <w:rPr>
          <w:rFonts w:ascii="Book Antiqua" w:hAnsi="Book Antiqua"/>
          <w:sz w:val="22"/>
          <w:szCs w:val="22"/>
        </w:rPr>
        <w:t xml:space="preserve">. </w:t>
      </w:r>
    </w:p>
    <w:p w14:paraId="414A9AF9"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Baptista, C. A. C. and Conran, P. B. (1989).</w:t>
      </w:r>
      <w:r w:rsidRPr="00E3232D">
        <w:rPr>
          <w:rFonts w:ascii="Book Antiqua" w:eastAsia="Calibri" w:hAnsi="Book Antiqua"/>
          <w:sz w:val="22"/>
          <w:szCs w:val="22"/>
        </w:rPr>
        <w:t xml:space="preserve">Plastination of the heart: preparationfor the study of the cardiac valves. </w:t>
      </w:r>
      <w:r w:rsidRPr="00E3232D">
        <w:rPr>
          <w:rFonts w:ascii="Book Antiqua" w:hAnsi="Book Antiqua"/>
          <w:i/>
          <w:sz w:val="22"/>
          <w:szCs w:val="22"/>
        </w:rPr>
        <w:t>IntSoc Plastination, Vol 3:3-7, 1989</w:t>
      </w:r>
      <w:r w:rsidRPr="00E3232D">
        <w:rPr>
          <w:rFonts w:ascii="Book Antiqua" w:hAnsi="Book Antiqua"/>
          <w:sz w:val="22"/>
          <w:szCs w:val="22"/>
        </w:rPr>
        <w:t xml:space="preserve">. </w:t>
      </w:r>
      <w:hyperlink r:id="rId359" w:history="1">
        <w:r w:rsidRPr="00E3232D">
          <w:rPr>
            <w:rFonts w:ascii="Book Antiqua" w:hAnsi="Book Antiqua"/>
            <w:sz w:val="22"/>
            <w:szCs w:val="22"/>
          </w:rPr>
          <w:t>http://m.utoledo.edu/med/depts/neurosciences/pdf/Baptista_3a7.pdf</w:t>
        </w:r>
      </w:hyperlink>
    </w:p>
    <w:p w14:paraId="6628164D" w14:textId="77777777" w:rsidR="00882743" w:rsidRPr="00E3232D" w:rsidRDefault="00882743" w:rsidP="00EA579A">
      <w:pPr>
        <w:pStyle w:val="Heading3"/>
        <w:numPr>
          <w:ilvl w:val="0"/>
          <w:numId w:val="150"/>
        </w:numPr>
        <w:spacing w:before="100" w:beforeAutospacing="1" w:after="100" w:afterAutospacing="1"/>
        <w:jc w:val="both"/>
        <w:rPr>
          <w:rFonts w:ascii="Book Antiqua" w:hAnsi="Book Antiqua"/>
          <w:color w:val="000000"/>
        </w:rPr>
      </w:pPr>
      <w:r w:rsidRPr="00E3232D">
        <w:rPr>
          <w:rFonts w:ascii="Book Antiqua" w:hAnsi="Book Antiqua"/>
          <w:b w:val="0"/>
        </w:rPr>
        <w:t>Bickley, H. C. Donner, R. S. Walker, A. N.and Jackson R. L.(1987).Preservation of tissue by silicone rubber impregnation. Journal of the International Society for Plastination, Vol 1 (1): 30-39, 1987.</w:t>
      </w:r>
    </w:p>
    <w:p w14:paraId="2AEC6BA1"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 xml:space="preserve">Collins English Dictionary - Complete &amp; Unabridged 10th Edition. 2009 © William Collins Sons and Co. Ltd. </w:t>
      </w:r>
    </w:p>
    <w:p w14:paraId="4AE9C94B"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 xml:space="preserve">Whittaker,G. R. Curtin University of Technology Perth, Western Australia. (1995). Plastination - A Teaching Initiative to be Considered. </w:t>
      </w:r>
    </w:p>
    <w:p w14:paraId="05DC18DE"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 xml:space="preserve">Miklošová, M. and Mikloš, V. (2004). Plastination with silicone method s 10 – monitoring and analysis causes of failure. </w:t>
      </w:r>
      <w:r w:rsidRPr="00E3232D">
        <w:rPr>
          <w:rFonts w:ascii="Book Antiqua" w:hAnsi="Book Antiqua"/>
          <w:i/>
          <w:sz w:val="22"/>
          <w:szCs w:val="22"/>
        </w:rPr>
        <w:t>Biomed. Papers</w:t>
      </w:r>
      <w:r w:rsidRPr="00E3232D">
        <w:rPr>
          <w:rFonts w:ascii="Book Antiqua" w:hAnsi="Book Antiqua"/>
          <w:sz w:val="22"/>
          <w:szCs w:val="22"/>
        </w:rPr>
        <w:t xml:space="preserve"> 148(2), 237–238 (2004). </w:t>
      </w:r>
      <w:hyperlink r:id="rId360" w:history="1">
        <w:r w:rsidRPr="00E3232D">
          <w:rPr>
            <w:rStyle w:val="Hyperlink"/>
            <w:rFonts w:ascii="Book Antiqua" w:hAnsi="Book Antiqua"/>
            <w:b/>
            <w:bCs/>
            <w:color w:val="auto"/>
            <w:sz w:val="22"/>
            <w:szCs w:val="22"/>
          </w:rPr>
          <w:t>http://publib.upol.cz/~obd/fulltext/Biomed/2004/2/237.pdf</w:t>
        </w:r>
      </w:hyperlink>
    </w:p>
    <w:p w14:paraId="67B2AF39"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 xml:space="preserve">Sakamoto, Y. Miyake, Y. Kanahara, K. Kajita, H. and Ueki, H. (2006). Chemically Reactive Plastination with Shin-Etsu Silicone KE-108. </w:t>
      </w:r>
      <w:r w:rsidRPr="00E3232D">
        <w:rPr>
          <w:rFonts w:ascii="Book Antiqua" w:hAnsi="Book Antiqua"/>
          <w:i/>
          <w:sz w:val="22"/>
          <w:szCs w:val="22"/>
        </w:rPr>
        <w:t xml:space="preserve">Journal of the International Society for Plastination </w:t>
      </w:r>
      <w:r w:rsidRPr="00E3232D">
        <w:rPr>
          <w:rFonts w:ascii="Book Antiqua" w:hAnsi="Book Antiqua"/>
          <w:sz w:val="22"/>
          <w:szCs w:val="22"/>
        </w:rPr>
        <w:t xml:space="preserve">21:11-16 (2006). </w:t>
      </w:r>
    </w:p>
    <w:p w14:paraId="4CF90ED9"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 xml:space="preserve">Sora, M. C. (2005) History of Plastination. </w:t>
      </w:r>
      <w:r w:rsidRPr="00E3232D">
        <w:rPr>
          <w:rFonts w:ascii="Book Antiqua" w:hAnsi="Book Antiqua"/>
          <w:i/>
          <w:sz w:val="22"/>
          <w:szCs w:val="22"/>
        </w:rPr>
        <w:t>8th Interim Conference on Plastination</w:t>
      </w:r>
      <w:r w:rsidRPr="00E3232D">
        <w:rPr>
          <w:rFonts w:ascii="Book Antiqua" w:hAnsi="Book Antiqua"/>
          <w:sz w:val="22"/>
          <w:szCs w:val="22"/>
        </w:rPr>
        <w:t xml:space="preserve">. Ohrid, Macedonia, Retrieved on 15/3/2012 from </w:t>
      </w:r>
      <w:hyperlink r:id="rId361" w:history="1">
        <w:r w:rsidRPr="00E3232D">
          <w:rPr>
            <w:rFonts w:ascii="Book Antiqua" w:hAnsi="Book Antiqua"/>
            <w:sz w:val="22"/>
            <w:szCs w:val="22"/>
          </w:rPr>
          <w:t>http://www.uqtr.uquebec.ca/plastination/Abstracts-2005.html</w:t>
        </w:r>
      </w:hyperlink>
    </w:p>
    <w:p w14:paraId="09BB7F51"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 xml:space="preserve">Weighlein, A. H. (2005). The S10 - Standard Procedure for Beginners. </w:t>
      </w:r>
      <w:r w:rsidRPr="00E3232D">
        <w:rPr>
          <w:rFonts w:ascii="Book Antiqua" w:hAnsi="Book Antiqua"/>
          <w:i/>
          <w:sz w:val="22"/>
          <w:szCs w:val="22"/>
        </w:rPr>
        <w:t>8th Interim Conference on Plastination</w:t>
      </w:r>
      <w:r w:rsidRPr="00E3232D">
        <w:rPr>
          <w:rFonts w:ascii="Book Antiqua" w:hAnsi="Book Antiqua"/>
          <w:sz w:val="22"/>
          <w:szCs w:val="22"/>
        </w:rPr>
        <w:t xml:space="preserve">. Ohrid, Macedonia July 5 - 10, 2005. </w:t>
      </w:r>
      <w:hyperlink r:id="rId362" w:history="1">
        <w:r w:rsidRPr="00E3232D">
          <w:rPr>
            <w:rFonts w:ascii="Book Antiqua" w:hAnsi="Book Antiqua"/>
            <w:sz w:val="22"/>
            <w:szCs w:val="22"/>
          </w:rPr>
          <w:t>http://www.uqtr.ca/plastination/Abstracts-2005.html</w:t>
        </w:r>
      </w:hyperlink>
    </w:p>
    <w:p w14:paraId="790FE9CA" w14:textId="77777777" w:rsidR="00882743" w:rsidRPr="00E3232D" w:rsidRDefault="00882743" w:rsidP="00EA579A">
      <w:pPr>
        <w:pStyle w:val="Heading3"/>
        <w:numPr>
          <w:ilvl w:val="0"/>
          <w:numId w:val="150"/>
        </w:numPr>
        <w:spacing w:before="100" w:beforeAutospacing="1" w:after="100" w:afterAutospacing="1"/>
        <w:jc w:val="both"/>
        <w:rPr>
          <w:rFonts w:ascii="Book Antiqua" w:hAnsi="Book Antiqua"/>
          <w:b w:val="0"/>
        </w:rPr>
      </w:pPr>
      <w:bookmarkStart w:id="152" w:name="_Toc351732114"/>
      <w:r w:rsidRPr="00E3232D">
        <w:rPr>
          <w:rFonts w:ascii="Book Antiqua" w:hAnsi="Book Antiqua"/>
          <w:b w:val="0"/>
        </w:rPr>
        <w:t xml:space="preserve">Weinhaus, A. J. (2007). Preparation of Tissues for Anatomical Study. Retrieved from </w:t>
      </w:r>
      <w:hyperlink r:id="rId363" w:history="1">
        <w:r w:rsidRPr="00E3232D">
          <w:rPr>
            <w:rStyle w:val="Hyperlink"/>
            <w:rFonts w:ascii="Book Antiqua" w:eastAsia="Calibri" w:hAnsi="Book Antiqua"/>
            <w:color w:val="auto"/>
          </w:rPr>
          <w:t>http://physiology.med.umn.edu/anatomy/plastination.html</w:t>
        </w:r>
        <w:bookmarkEnd w:id="152"/>
      </w:hyperlink>
    </w:p>
    <w:p w14:paraId="7288E064"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 xml:space="preserve">Whalley, A. (2011). Biodur products: polymers, equipment and auxiliaries for plastination. </w:t>
      </w:r>
      <w:hyperlink r:id="rId364" w:history="1">
        <w:r w:rsidRPr="00E3232D">
          <w:rPr>
            <w:rFonts w:ascii="Book Antiqua" w:hAnsi="Book Antiqua"/>
            <w:sz w:val="22"/>
            <w:szCs w:val="22"/>
          </w:rPr>
          <w:t>http://www.bodyworlds.com/Downloads/Biodur/BIODUR_ENG_2007_140408.pdf</w:t>
        </w:r>
      </w:hyperlink>
    </w:p>
    <w:p w14:paraId="08155FD5" w14:textId="77777777" w:rsidR="00882743" w:rsidRPr="00E3232D" w:rsidRDefault="00882743" w:rsidP="00EA579A">
      <w:pPr>
        <w:pStyle w:val="NormalWeb"/>
        <w:numPr>
          <w:ilvl w:val="0"/>
          <w:numId w:val="150"/>
        </w:numPr>
        <w:shd w:val="clear" w:color="auto" w:fill="FFFFFF"/>
        <w:spacing w:line="276" w:lineRule="auto"/>
        <w:jc w:val="both"/>
        <w:rPr>
          <w:rFonts w:ascii="Book Antiqua" w:hAnsi="Book Antiqua"/>
          <w:sz w:val="22"/>
          <w:szCs w:val="22"/>
        </w:rPr>
      </w:pPr>
      <w:r w:rsidRPr="00E3232D">
        <w:rPr>
          <w:rFonts w:ascii="Book Antiqua" w:hAnsi="Book Antiqua"/>
          <w:sz w:val="22"/>
          <w:szCs w:val="22"/>
        </w:rPr>
        <w:t>Whittaker G. "Plastination in Teaching Anatomy" Australian Optometrical Association Conference, Perth, Australia 25-26th Dec. 1995.</w:t>
      </w:r>
    </w:p>
    <w:p w14:paraId="370A1977" w14:textId="77777777" w:rsidR="00B95B85" w:rsidRPr="00E3232D" w:rsidRDefault="00882743" w:rsidP="00EA579A">
      <w:pPr>
        <w:jc w:val="both"/>
        <w:rPr>
          <w:rFonts w:ascii="Book Antiqua" w:hAnsi="Book Antiqua"/>
        </w:rPr>
      </w:pPr>
      <w:r w:rsidRPr="00E3232D">
        <w:rPr>
          <w:rFonts w:ascii="Book Antiqua" w:hAnsi="Book Antiqua"/>
        </w:rPr>
        <w:t xml:space="preserve">Zheng, Z. T. Xuegui, Y. Ling, C. and Jingren, L. (2000). The History of Plastination in China. </w:t>
      </w:r>
      <w:r w:rsidRPr="00E3232D">
        <w:rPr>
          <w:rFonts w:ascii="Book Antiqua" w:hAnsi="Book Antiqua"/>
          <w:i/>
        </w:rPr>
        <w:t>J Int. Soc Plastination</w:t>
      </w:r>
      <w:r w:rsidRPr="00E3232D">
        <w:rPr>
          <w:rFonts w:ascii="Book Antiqua" w:hAnsi="Book Antiqua"/>
        </w:rPr>
        <w:t xml:space="preserve">. Vol </w:t>
      </w:r>
    </w:p>
    <w:p w14:paraId="197FAEB8" w14:textId="77777777" w:rsidR="00AD1DF0" w:rsidRDefault="00AD1DF0" w:rsidP="00EA579A">
      <w:pPr>
        <w:jc w:val="both"/>
        <w:rPr>
          <w:rFonts w:ascii="Book Antiqua" w:hAnsi="Book Antiqua"/>
        </w:rPr>
      </w:pPr>
    </w:p>
    <w:p w14:paraId="525E7D11" w14:textId="77777777" w:rsidR="00AD1DF0" w:rsidRDefault="00AD1DF0" w:rsidP="00EA579A">
      <w:pPr>
        <w:jc w:val="both"/>
        <w:rPr>
          <w:rFonts w:ascii="Book Antiqua" w:hAnsi="Book Antiqua"/>
        </w:rPr>
        <w:sectPr w:rsidR="00AD1DF0" w:rsidSect="008F6BC9">
          <w:footerReference w:type="default" r:id="rId365"/>
          <w:type w:val="continuous"/>
          <w:pgSz w:w="11907" w:h="16839" w:code="9"/>
          <w:pgMar w:top="1440" w:right="1440" w:bottom="1440" w:left="1440" w:header="720" w:footer="720" w:gutter="0"/>
          <w:cols w:num="2" w:space="720"/>
          <w:docGrid w:linePitch="360"/>
        </w:sectPr>
      </w:pPr>
    </w:p>
    <w:p w14:paraId="0DF0E62C" w14:textId="77777777" w:rsidR="007F203D" w:rsidRDefault="007F203D" w:rsidP="00EA579A">
      <w:pPr>
        <w:jc w:val="both"/>
        <w:rPr>
          <w:rFonts w:ascii="Book Antiqua" w:hAnsi="Book Antiqua"/>
        </w:rPr>
      </w:pPr>
    </w:p>
    <w:p w14:paraId="6DBAD629" w14:textId="77777777" w:rsidR="008916B7" w:rsidRDefault="008916B7" w:rsidP="00EA579A">
      <w:pPr>
        <w:jc w:val="both"/>
        <w:rPr>
          <w:rFonts w:ascii="Book Antiqua" w:hAnsi="Book Antiqua"/>
        </w:rPr>
      </w:pPr>
    </w:p>
    <w:p w14:paraId="33B6DB3B" w14:textId="77777777" w:rsidR="008916B7" w:rsidRDefault="008916B7" w:rsidP="00EA579A">
      <w:pPr>
        <w:jc w:val="both"/>
        <w:rPr>
          <w:rFonts w:ascii="Book Antiqua" w:hAnsi="Book Antiqua"/>
        </w:rPr>
      </w:pPr>
    </w:p>
    <w:p w14:paraId="0905357D" w14:textId="77777777" w:rsidR="008916B7" w:rsidRDefault="008916B7" w:rsidP="00EA579A">
      <w:pPr>
        <w:jc w:val="both"/>
        <w:rPr>
          <w:rFonts w:ascii="Book Antiqua" w:hAnsi="Book Antiqua"/>
        </w:rPr>
      </w:pPr>
    </w:p>
    <w:p w14:paraId="27E1A1BA" w14:textId="77777777" w:rsidR="008916B7" w:rsidRDefault="008916B7" w:rsidP="00EA579A">
      <w:pPr>
        <w:jc w:val="both"/>
        <w:rPr>
          <w:rFonts w:ascii="Book Antiqua" w:hAnsi="Book Antiqua"/>
        </w:rPr>
      </w:pPr>
    </w:p>
    <w:p w14:paraId="16062195" w14:textId="77777777" w:rsidR="008916B7" w:rsidRDefault="008916B7" w:rsidP="00EA579A">
      <w:pPr>
        <w:jc w:val="both"/>
        <w:rPr>
          <w:rFonts w:ascii="Book Antiqua" w:hAnsi="Book Antiqua"/>
        </w:rPr>
      </w:pPr>
    </w:p>
    <w:p w14:paraId="04430FC6" w14:textId="77777777" w:rsidR="008916B7" w:rsidRDefault="008916B7" w:rsidP="008275E1">
      <w:pPr>
        <w:rPr>
          <w:rFonts w:ascii="Book Antiqua" w:hAnsi="Book Antiqua"/>
        </w:rPr>
      </w:pPr>
    </w:p>
    <w:p w14:paraId="1BC0CCB7" w14:textId="77777777" w:rsidR="00083183" w:rsidRDefault="00083183" w:rsidP="008275E1">
      <w:pPr>
        <w:rPr>
          <w:rFonts w:ascii="Book Antiqua" w:hAnsi="Book Antiqua"/>
        </w:rPr>
        <w:sectPr w:rsidR="00083183" w:rsidSect="008F6BC9">
          <w:type w:val="continuous"/>
          <w:pgSz w:w="11907" w:h="16839" w:code="9"/>
          <w:pgMar w:top="1440" w:right="1440" w:bottom="1440" w:left="1440" w:header="720" w:footer="720" w:gutter="0"/>
          <w:cols w:space="720"/>
          <w:docGrid w:linePitch="360"/>
        </w:sectPr>
      </w:pPr>
    </w:p>
    <w:p w14:paraId="4E7A3B48" w14:textId="77777777" w:rsidR="00474451" w:rsidRPr="00EA579A" w:rsidRDefault="00474451" w:rsidP="00EA579A">
      <w:pPr>
        <w:rPr>
          <w:rFonts w:ascii="Book Antiqua" w:hAnsi="Book Antiqua"/>
          <w:b/>
          <w:sz w:val="26"/>
          <w:szCs w:val="26"/>
        </w:rPr>
      </w:pPr>
      <w:r w:rsidRPr="00027B40">
        <w:rPr>
          <w:rFonts w:ascii="Book Antiqua" w:hAnsi="Book Antiqua"/>
          <w:b/>
          <w:sz w:val="26"/>
          <w:szCs w:val="26"/>
        </w:rPr>
        <w:t>Regression Analysis of Road Traffic Accidents and Population in Ghana.</w:t>
      </w:r>
    </w:p>
    <w:p w14:paraId="424118D7" w14:textId="77777777" w:rsidR="00474451" w:rsidRPr="00A51FF8" w:rsidRDefault="00474451" w:rsidP="008275E1">
      <w:pPr>
        <w:pStyle w:val="ListParagraph"/>
        <w:ind w:left="0"/>
        <w:jc w:val="center"/>
        <w:rPr>
          <w:rFonts w:ascii="Book Antiqua" w:hAnsi="Book Antiqua"/>
          <w:b/>
          <w:vertAlign w:val="superscript"/>
        </w:rPr>
      </w:pPr>
      <w:r w:rsidRPr="00A51FF8">
        <w:rPr>
          <w:rFonts w:ascii="Book Antiqua" w:hAnsi="Book Antiqua"/>
          <w:b/>
        </w:rPr>
        <w:t>Boakye A</w:t>
      </w:r>
      <w:r w:rsidR="00027B40" w:rsidRPr="00A51FF8">
        <w:rPr>
          <w:rFonts w:ascii="Book Antiqua" w:hAnsi="Book Antiqua"/>
          <w:b/>
        </w:rPr>
        <w:t>.</w:t>
      </w:r>
      <w:r w:rsidRPr="00A51FF8">
        <w:rPr>
          <w:rFonts w:ascii="Book Antiqua" w:hAnsi="Book Antiqua"/>
          <w:b/>
          <w:vertAlign w:val="superscript"/>
        </w:rPr>
        <w:t>1</w:t>
      </w:r>
      <w:r w:rsidR="009508FC" w:rsidRPr="00A51FF8">
        <w:rPr>
          <w:rFonts w:ascii="Book Antiqua" w:hAnsi="Book Antiqua"/>
          <w:b/>
        </w:rPr>
        <w:t xml:space="preserve"> </w:t>
      </w:r>
      <w:r w:rsidR="00DA4D96" w:rsidRPr="00A51FF8">
        <w:rPr>
          <w:rFonts w:ascii="Book Antiqua" w:hAnsi="Book Antiqua"/>
          <w:b/>
        </w:rPr>
        <w:t>&amp;</w:t>
      </w:r>
      <w:r w:rsidRPr="00A51FF8">
        <w:rPr>
          <w:rFonts w:ascii="Book Antiqua" w:hAnsi="Book Antiqua"/>
          <w:b/>
        </w:rPr>
        <w:t xml:space="preserve"> Abledu</w:t>
      </w:r>
      <w:r w:rsidR="009508FC" w:rsidRPr="00A51FF8">
        <w:rPr>
          <w:rFonts w:ascii="Book Antiqua" w:hAnsi="Book Antiqua"/>
          <w:b/>
        </w:rPr>
        <w:t xml:space="preserve"> G. K. </w:t>
      </w:r>
      <w:r w:rsidRPr="00A51FF8">
        <w:rPr>
          <w:rFonts w:ascii="Book Antiqua" w:hAnsi="Book Antiqua"/>
          <w:b/>
          <w:vertAlign w:val="superscript"/>
        </w:rPr>
        <w:t>2</w:t>
      </w:r>
    </w:p>
    <w:p w14:paraId="5662C838" w14:textId="77777777" w:rsidR="001233E4" w:rsidRDefault="00474451" w:rsidP="008275E1">
      <w:pPr>
        <w:pStyle w:val="ListParagraph"/>
        <w:ind w:left="0"/>
        <w:jc w:val="center"/>
        <w:rPr>
          <w:rFonts w:ascii="Book Antiqua" w:hAnsi="Book Antiqua"/>
        </w:rPr>
      </w:pPr>
      <w:r w:rsidRPr="00E3232D">
        <w:rPr>
          <w:rFonts w:ascii="Book Antiqua" w:hAnsi="Book Antiqua"/>
        </w:rPr>
        <w:t>Applied Mathematics Department</w:t>
      </w:r>
      <w:r w:rsidR="00EA579A">
        <w:rPr>
          <w:rFonts w:ascii="Book Antiqua" w:hAnsi="Book Antiqua"/>
        </w:rPr>
        <w:t>,</w:t>
      </w:r>
      <w:r w:rsidR="00EA579A" w:rsidRPr="00EA579A">
        <w:rPr>
          <w:rFonts w:ascii="Book Antiqua" w:hAnsi="Book Antiqua"/>
        </w:rPr>
        <w:t xml:space="preserve"> </w:t>
      </w:r>
      <w:r w:rsidR="00EA579A" w:rsidRPr="00E3232D">
        <w:rPr>
          <w:rFonts w:ascii="Book Antiqua" w:hAnsi="Book Antiqua"/>
        </w:rPr>
        <w:t>Koforidua Polytechnic</w:t>
      </w:r>
      <w:r w:rsidRPr="00E3232D">
        <w:rPr>
          <w:rFonts w:ascii="Book Antiqua" w:hAnsi="Book Antiqua"/>
        </w:rPr>
        <w:t xml:space="preserve">, Koforidua. </w:t>
      </w:r>
    </w:p>
    <w:p w14:paraId="26A7FD90" w14:textId="77777777" w:rsidR="00474451" w:rsidRPr="00E3232D" w:rsidRDefault="00474451" w:rsidP="008275E1">
      <w:pPr>
        <w:pStyle w:val="ListParagraph"/>
        <w:ind w:left="0"/>
        <w:jc w:val="center"/>
        <w:rPr>
          <w:rFonts w:ascii="Book Antiqua" w:hAnsi="Book Antiqua"/>
        </w:rPr>
      </w:pPr>
      <w:r w:rsidRPr="00AD1DF0">
        <w:rPr>
          <w:rFonts w:ascii="Book Antiqua" w:hAnsi="Book Antiqua"/>
          <w:b/>
        </w:rPr>
        <w:t>E</w:t>
      </w:r>
      <w:r w:rsidR="00AD1DF0" w:rsidRPr="00AD1DF0">
        <w:rPr>
          <w:rFonts w:ascii="Book Antiqua" w:hAnsi="Book Antiqua"/>
          <w:b/>
        </w:rPr>
        <w:t>-</w:t>
      </w:r>
      <w:r w:rsidRPr="00AD1DF0">
        <w:rPr>
          <w:rFonts w:ascii="Book Antiqua" w:hAnsi="Book Antiqua"/>
          <w:b/>
        </w:rPr>
        <w:t>mail</w:t>
      </w:r>
      <w:r w:rsidR="001233E4" w:rsidRPr="00AD1DF0">
        <w:rPr>
          <w:rFonts w:ascii="Book Antiqua" w:hAnsi="Book Antiqua"/>
          <w:b/>
        </w:rPr>
        <w:t>:</w:t>
      </w:r>
      <w:r w:rsidR="001233E4" w:rsidRPr="00E3232D">
        <w:rPr>
          <w:rFonts w:ascii="Book Antiqua" w:hAnsi="Book Antiqua"/>
        </w:rPr>
        <w:t xml:space="preserve"> </w:t>
      </w:r>
      <w:hyperlink r:id="rId366" w:history="1">
        <w:r w:rsidR="001233E4" w:rsidRPr="002D386A">
          <w:rPr>
            <w:rStyle w:val="Hyperlink"/>
            <w:rFonts w:ascii="Book Antiqua" w:hAnsi="Book Antiqua"/>
          </w:rPr>
          <w:t>odensu@yahoo.com</w:t>
        </w:r>
      </w:hyperlink>
      <w:r w:rsidR="001233E4">
        <w:rPr>
          <w:rFonts w:ascii="Book Antiqua" w:hAnsi="Book Antiqua"/>
        </w:rPr>
        <w:t xml:space="preserve"> &amp; </w:t>
      </w:r>
      <w:r w:rsidRPr="00E3232D">
        <w:rPr>
          <w:rFonts w:ascii="Book Antiqua" w:hAnsi="Book Antiqua"/>
        </w:rPr>
        <w:t>godfredabledu@gmail.com.</w:t>
      </w:r>
    </w:p>
    <w:p w14:paraId="15B74266" w14:textId="77777777" w:rsidR="00474451" w:rsidRPr="00E3232D" w:rsidRDefault="00474451" w:rsidP="008275E1">
      <w:pPr>
        <w:pStyle w:val="Default"/>
        <w:rPr>
          <w:rFonts w:ascii="Book Antiqua" w:hAnsi="Book Antiqua"/>
          <w:sz w:val="22"/>
          <w:szCs w:val="22"/>
        </w:rPr>
      </w:pPr>
    </w:p>
    <w:p w14:paraId="327B08AA" w14:textId="77777777" w:rsidR="00474451" w:rsidRPr="00B93231" w:rsidRDefault="00474451" w:rsidP="008916B7">
      <w:pPr>
        <w:pStyle w:val="Default"/>
        <w:rPr>
          <w:rFonts w:ascii="Book Antiqua" w:hAnsi="Book Antiqua"/>
          <w:b/>
          <w:sz w:val="26"/>
          <w:szCs w:val="26"/>
        </w:rPr>
      </w:pPr>
      <w:r w:rsidRPr="00B93231">
        <w:rPr>
          <w:rFonts w:ascii="Book Antiqua" w:hAnsi="Book Antiqua"/>
          <w:b/>
          <w:sz w:val="26"/>
          <w:szCs w:val="26"/>
        </w:rPr>
        <w:t>Abstract</w:t>
      </w:r>
    </w:p>
    <w:p w14:paraId="350831C8" w14:textId="77777777" w:rsidR="00474451" w:rsidRPr="00E3232D" w:rsidRDefault="00474451" w:rsidP="008275E1">
      <w:pPr>
        <w:pStyle w:val="Default"/>
        <w:rPr>
          <w:rFonts w:ascii="Book Antiqua" w:hAnsi="Book Antiqua"/>
          <w:sz w:val="22"/>
          <w:szCs w:val="22"/>
        </w:rPr>
      </w:pPr>
      <w:r w:rsidRPr="00E3232D">
        <w:rPr>
          <w:rFonts w:ascii="Book Antiqua" w:hAnsi="Book Antiqua"/>
          <w:sz w:val="22"/>
          <w:szCs w:val="22"/>
        </w:rPr>
        <w:t>Vehicular accidents in Ghana have become one of the growing concerns to most Ghanaians in recent times. This is as a result of the tremendous negative effects of accidents on human lives, properties, and the environment as well as and the economy at large. Many researchers have come out with the causes, effects and recommendations to vehicular accidents, which include drunk driving, machine failure and over speeding just to mention a few. Yet every year the Road Safety Commission, Ghana Statistical Service and other organizations report an increase in vehicular accidents in Ghana. The systematic yearly increase in the number of accidents therefore calls for statistical analysis of this global and of course national canker. This study attempts to show statistical evidence of the relationship between road traffic accidents and population in the Eastern region of Ghana in order to ascertain additional information in contributing to previous researches that have been done in dealing with this menace. The results from the analysis showed some evidence of statistical significance between road traffic accidents and population in the Eastern region. A regression model was has been developed as well as estimations and forecast made on the basis of the analysis. Appropriate conclusions and recommendations have been made.</w:t>
      </w:r>
    </w:p>
    <w:p w14:paraId="166A9F33" w14:textId="77777777" w:rsidR="00EA579A" w:rsidRDefault="00474451" w:rsidP="00EA579A">
      <w:pPr>
        <w:pStyle w:val="Default"/>
        <w:rPr>
          <w:rFonts w:ascii="Book Antiqua" w:hAnsi="Book Antiqua"/>
          <w:sz w:val="22"/>
          <w:szCs w:val="22"/>
        </w:rPr>
      </w:pPr>
      <w:r w:rsidRPr="00E3232D">
        <w:rPr>
          <w:rFonts w:ascii="Book Antiqua" w:hAnsi="Book Antiqua"/>
          <w:b/>
          <w:sz w:val="22"/>
          <w:szCs w:val="22"/>
        </w:rPr>
        <w:t>Keywords</w:t>
      </w:r>
      <w:r w:rsidRPr="00E3232D">
        <w:rPr>
          <w:rFonts w:ascii="Book Antiqua" w:hAnsi="Book Antiqua"/>
          <w:sz w:val="22"/>
          <w:szCs w:val="22"/>
        </w:rPr>
        <w:t>: regression model; road traffic accidents; population; statistical evidence; Eastern region of Ghana.</w:t>
      </w:r>
    </w:p>
    <w:p w14:paraId="136A1D54" w14:textId="77777777" w:rsidR="004C17F9" w:rsidRPr="00EA579A" w:rsidRDefault="004C17F9" w:rsidP="00EA579A">
      <w:pPr>
        <w:pStyle w:val="Default"/>
        <w:rPr>
          <w:rFonts w:ascii="Book Antiqua" w:hAnsi="Book Antiqua"/>
          <w:sz w:val="22"/>
          <w:szCs w:val="22"/>
        </w:rPr>
        <w:sectPr w:rsidR="004C17F9" w:rsidRPr="00EA579A" w:rsidSect="008F6BC9">
          <w:type w:val="continuous"/>
          <w:pgSz w:w="11907" w:h="16839" w:code="9"/>
          <w:pgMar w:top="1440" w:right="1440" w:bottom="1440" w:left="1440" w:header="720" w:footer="720" w:gutter="0"/>
          <w:cols w:space="720"/>
          <w:docGrid w:linePitch="360"/>
        </w:sectPr>
      </w:pPr>
    </w:p>
    <w:p w14:paraId="68F3E306" w14:textId="77777777" w:rsidR="00AD1DF0" w:rsidRDefault="00AD1DF0" w:rsidP="008275E1">
      <w:pPr>
        <w:rPr>
          <w:rFonts w:ascii="Book Antiqua" w:hAnsi="Book Antiqua"/>
          <w:b/>
        </w:rPr>
        <w:sectPr w:rsidR="00AD1DF0" w:rsidSect="008F6BC9">
          <w:type w:val="continuous"/>
          <w:pgSz w:w="11907" w:h="16839" w:code="9"/>
          <w:pgMar w:top="1440" w:right="1440" w:bottom="1440" w:left="1440" w:header="720" w:footer="720" w:gutter="0"/>
          <w:cols w:space="720"/>
          <w:docGrid w:linePitch="360"/>
        </w:sectPr>
      </w:pPr>
    </w:p>
    <w:p w14:paraId="6F595044" w14:textId="77777777" w:rsidR="00EF4DA7" w:rsidRDefault="00EF4DA7" w:rsidP="008275E1">
      <w:pPr>
        <w:rPr>
          <w:rFonts w:ascii="Book Antiqua" w:hAnsi="Book Antiqua"/>
          <w:b/>
        </w:rPr>
        <w:sectPr w:rsidR="00EF4DA7" w:rsidSect="008F6BC9">
          <w:type w:val="continuous"/>
          <w:pgSz w:w="11907" w:h="16839" w:code="9"/>
          <w:pgMar w:top="1440" w:right="1440" w:bottom="1440" w:left="1440" w:header="720" w:footer="720" w:gutter="0"/>
          <w:cols w:num="2" w:space="720"/>
          <w:docGrid w:linePitch="360"/>
        </w:sectPr>
      </w:pPr>
    </w:p>
    <w:p w14:paraId="506940E8" w14:textId="77777777" w:rsidR="008474BB" w:rsidRPr="00B93231" w:rsidRDefault="008474BB" w:rsidP="008275E1">
      <w:pPr>
        <w:rPr>
          <w:rFonts w:ascii="Book Antiqua" w:hAnsi="Book Antiqua"/>
          <w:b/>
          <w:sz w:val="26"/>
          <w:szCs w:val="26"/>
        </w:rPr>
      </w:pPr>
      <w:r w:rsidRPr="00B93231">
        <w:rPr>
          <w:rFonts w:ascii="Book Antiqua" w:hAnsi="Book Antiqua"/>
          <w:b/>
          <w:sz w:val="26"/>
          <w:szCs w:val="26"/>
        </w:rPr>
        <w:t>1</w:t>
      </w:r>
      <w:r w:rsidR="00EA579A">
        <w:rPr>
          <w:rFonts w:ascii="Book Antiqua" w:hAnsi="Book Antiqua"/>
          <w:b/>
          <w:sz w:val="26"/>
          <w:szCs w:val="26"/>
        </w:rPr>
        <w:t xml:space="preserve">.0 </w:t>
      </w:r>
      <w:r w:rsidRPr="00B93231">
        <w:rPr>
          <w:rFonts w:ascii="Book Antiqua" w:hAnsi="Book Antiqua"/>
          <w:b/>
          <w:sz w:val="26"/>
          <w:szCs w:val="26"/>
        </w:rPr>
        <w:t xml:space="preserve"> Introduction</w:t>
      </w:r>
    </w:p>
    <w:p w14:paraId="70EBD606" w14:textId="77777777" w:rsidR="00EF4DA7" w:rsidRDefault="008474BB" w:rsidP="00EF4DA7">
      <w:pPr>
        <w:pStyle w:val="Default"/>
        <w:rPr>
          <w:rFonts w:ascii="Book Antiqua" w:hAnsi="Book Antiqua"/>
          <w:sz w:val="22"/>
          <w:szCs w:val="22"/>
        </w:rPr>
      </w:pPr>
      <w:r w:rsidRPr="00E3232D">
        <w:rPr>
          <w:rFonts w:ascii="Book Antiqua" w:hAnsi="Book Antiqua"/>
          <w:sz w:val="22"/>
          <w:szCs w:val="22"/>
        </w:rPr>
        <w:t>Vehicular accidents in Ghana have become one of the worrying and growing concerns to</w:t>
      </w:r>
      <w:r w:rsidRPr="00E3232D">
        <w:rPr>
          <w:rFonts w:ascii="Book Antiqua" w:hAnsi="Book Antiqua"/>
          <w:color w:val="FF0000"/>
          <w:sz w:val="22"/>
          <w:szCs w:val="22"/>
        </w:rPr>
        <w:t xml:space="preserve"> </w:t>
      </w:r>
      <w:r w:rsidRPr="00E3232D">
        <w:rPr>
          <w:rFonts w:ascii="Book Antiqua" w:hAnsi="Book Antiqua"/>
          <w:sz w:val="22"/>
          <w:szCs w:val="22"/>
        </w:rPr>
        <w:t xml:space="preserve">most Ghanaians in recent times. This is as a result of the tremendous negative effects of road traffic accidents on human lives, properties and the environment. The National Road Safety Commission (NRSC) was therefore established by an Act of Parliament (Act 567) in 1999 with the mission of promoting best road safety practices for all categories of road users through the vision of making Ghana a country with the safest road transportation system in Africa. </w:t>
      </w:r>
    </w:p>
    <w:p w14:paraId="227EAAE7" w14:textId="77777777" w:rsidR="008474BB" w:rsidRPr="00E3232D" w:rsidRDefault="008474BB" w:rsidP="00EF4DA7">
      <w:pPr>
        <w:pStyle w:val="Default"/>
        <w:rPr>
          <w:rFonts w:ascii="Book Antiqua" w:hAnsi="Book Antiqua"/>
          <w:sz w:val="22"/>
          <w:szCs w:val="22"/>
        </w:rPr>
      </w:pPr>
      <w:r w:rsidRPr="00E3232D">
        <w:rPr>
          <w:rFonts w:ascii="Book Antiqua" w:hAnsi="Book Antiqua"/>
          <w:sz w:val="22"/>
          <w:szCs w:val="22"/>
        </w:rPr>
        <w:t xml:space="preserve">Many researchers have come out with the causes, effects and recommendations to vehicular accidents, which include drunk driving, machine failure and over speeding just to mention a few. Yet every year there seems to be an un-ending situation with regard to road accidents in Ghana. Some important global facts pertaining to road traffic accidents are as follows: at least </w:t>
      </w:r>
      <w:r w:rsidRPr="00E3232D">
        <w:rPr>
          <w:rFonts w:ascii="Book Antiqua" w:hAnsi="Book Antiqua"/>
          <w:b/>
          <w:bCs/>
          <w:sz w:val="22"/>
          <w:szCs w:val="22"/>
        </w:rPr>
        <w:t xml:space="preserve">1.3 million people </w:t>
      </w:r>
      <w:r w:rsidRPr="00E3232D">
        <w:rPr>
          <w:rFonts w:ascii="Book Antiqua" w:hAnsi="Book Antiqua"/>
          <w:sz w:val="22"/>
          <w:szCs w:val="22"/>
        </w:rPr>
        <w:t xml:space="preserve">are killed every year through road crashes; some </w:t>
      </w:r>
      <w:r w:rsidRPr="00E3232D">
        <w:rPr>
          <w:rFonts w:ascii="Book Antiqua" w:hAnsi="Book Antiqua"/>
          <w:b/>
          <w:bCs/>
          <w:sz w:val="22"/>
          <w:szCs w:val="22"/>
        </w:rPr>
        <w:t xml:space="preserve">20-50 million </w:t>
      </w:r>
      <w:r w:rsidRPr="00E3232D">
        <w:rPr>
          <w:rFonts w:ascii="Book Antiqua" w:hAnsi="Book Antiqua"/>
          <w:sz w:val="22"/>
          <w:szCs w:val="22"/>
        </w:rPr>
        <w:t xml:space="preserve">suffer various forms of disability; </w:t>
      </w:r>
      <w:r w:rsidRPr="00E3232D">
        <w:rPr>
          <w:rFonts w:ascii="Book Antiqua" w:hAnsi="Book Antiqua"/>
          <w:b/>
          <w:bCs/>
          <w:sz w:val="22"/>
          <w:szCs w:val="22"/>
        </w:rPr>
        <w:t xml:space="preserve">90% </w:t>
      </w:r>
      <w:r w:rsidRPr="00E3232D">
        <w:rPr>
          <w:rFonts w:ascii="Book Antiqua" w:hAnsi="Book Antiqua"/>
          <w:sz w:val="22"/>
          <w:szCs w:val="22"/>
        </w:rPr>
        <w:t xml:space="preserve">of these road casualties are in low and middle income countries; at current rates, it is estimated that road traffic crashes will be the </w:t>
      </w:r>
      <w:r w:rsidRPr="00E3232D">
        <w:rPr>
          <w:rFonts w:ascii="Book Antiqua" w:hAnsi="Book Antiqua"/>
          <w:b/>
          <w:bCs/>
          <w:sz w:val="22"/>
          <w:szCs w:val="22"/>
        </w:rPr>
        <w:t>3</w:t>
      </w:r>
      <w:r w:rsidRPr="00E3232D">
        <w:rPr>
          <w:rFonts w:ascii="Book Antiqua" w:hAnsi="Book Antiqua"/>
          <w:b/>
          <w:bCs/>
          <w:sz w:val="22"/>
          <w:szCs w:val="22"/>
          <w:vertAlign w:val="superscript"/>
        </w:rPr>
        <w:t>rd</w:t>
      </w:r>
      <w:r w:rsidRPr="00E3232D">
        <w:rPr>
          <w:rFonts w:ascii="Book Antiqua" w:hAnsi="Book Antiqua"/>
          <w:b/>
          <w:bCs/>
          <w:sz w:val="22"/>
          <w:szCs w:val="22"/>
        </w:rPr>
        <w:t xml:space="preserve"> leading cause of death </w:t>
      </w:r>
      <w:r w:rsidRPr="00E3232D">
        <w:rPr>
          <w:rFonts w:ascii="Book Antiqua" w:hAnsi="Book Antiqua"/>
          <w:sz w:val="22"/>
          <w:szCs w:val="22"/>
        </w:rPr>
        <w:t xml:space="preserve">worldwide by the year </w:t>
      </w:r>
      <w:r w:rsidRPr="00E3232D">
        <w:rPr>
          <w:rFonts w:ascii="Book Antiqua" w:hAnsi="Book Antiqua"/>
          <w:b/>
          <w:bCs/>
          <w:sz w:val="22"/>
          <w:szCs w:val="22"/>
        </w:rPr>
        <w:t>2020</w:t>
      </w:r>
      <w:r w:rsidRPr="00E3232D">
        <w:rPr>
          <w:rFonts w:ascii="Book Antiqua" w:hAnsi="Book Antiqua"/>
          <w:sz w:val="22"/>
          <w:szCs w:val="22"/>
        </w:rPr>
        <w:t xml:space="preserve"> if rigorous actions are not taken. Also, </w:t>
      </w:r>
      <w:r w:rsidRPr="00E3232D">
        <w:rPr>
          <w:rFonts w:ascii="Book Antiqua" w:hAnsi="Book Antiqua"/>
          <w:b/>
          <w:bCs/>
          <w:sz w:val="22"/>
          <w:szCs w:val="22"/>
        </w:rPr>
        <w:t xml:space="preserve">1,800 </w:t>
      </w:r>
      <w:r w:rsidRPr="00E3232D">
        <w:rPr>
          <w:rFonts w:ascii="Book Antiqua" w:hAnsi="Book Antiqua"/>
          <w:sz w:val="22"/>
          <w:szCs w:val="22"/>
        </w:rPr>
        <w:t xml:space="preserve">lives are lost in Ghana annually through road crashes with </w:t>
      </w:r>
      <w:r w:rsidRPr="00E3232D">
        <w:rPr>
          <w:rFonts w:ascii="Book Antiqua" w:hAnsi="Book Antiqua"/>
          <w:b/>
          <w:sz w:val="22"/>
          <w:szCs w:val="22"/>
        </w:rPr>
        <w:t>14,000</w:t>
      </w:r>
      <w:r w:rsidRPr="00E3232D">
        <w:rPr>
          <w:rFonts w:ascii="Book Antiqua" w:hAnsi="Book Antiqua"/>
          <w:sz w:val="22"/>
          <w:szCs w:val="22"/>
        </w:rPr>
        <w:t xml:space="preserve"> injuries from an average  of </w:t>
      </w:r>
      <w:r w:rsidRPr="00E3232D">
        <w:rPr>
          <w:rFonts w:ascii="Book Antiqua" w:hAnsi="Book Antiqua"/>
          <w:b/>
          <w:sz w:val="22"/>
          <w:szCs w:val="22"/>
        </w:rPr>
        <w:t xml:space="preserve">11,000 </w:t>
      </w:r>
      <w:r w:rsidRPr="00E3232D">
        <w:rPr>
          <w:rFonts w:ascii="Book Antiqua" w:hAnsi="Book Antiqua"/>
          <w:sz w:val="22"/>
          <w:szCs w:val="22"/>
        </w:rPr>
        <w:t>road traffic crashes; road traffic crashes cost the nation 1.6% of GDP which translate</w:t>
      </w:r>
      <w:r w:rsidRPr="00E3232D">
        <w:rPr>
          <w:rFonts w:ascii="Book Antiqua" w:hAnsi="Book Antiqua"/>
          <w:b/>
          <w:bCs/>
          <w:sz w:val="22"/>
          <w:szCs w:val="22"/>
        </w:rPr>
        <w:t>s to US$ 288 MILLION (in 2009)</w:t>
      </w:r>
      <w:r w:rsidRPr="00E3232D">
        <w:rPr>
          <w:rFonts w:ascii="Book Antiqua" w:hAnsi="Book Antiqua"/>
          <w:sz w:val="22"/>
          <w:szCs w:val="22"/>
        </w:rPr>
        <w:t xml:space="preserve">; </w:t>
      </w:r>
      <w:r w:rsidRPr="00E3232D">
        <w:rPr>
          <w:rFonts w:ascii="Book Antiqua" w:hAnsi="Book Antiqua"/>
          <w:b/>
          <w:bCs/>
          <w:sz w:val="22"/>
          <w:szCs w:val="22"/>
        </w:rPr>
        <w:t>42%</w:t>
      </w:r>
      <w:r w:rsidRPr="00E3232D">
        <w:rPr>
          <w:rFonts w:ascii="Book Antiqua" w:hAnsi="Book Antiqua"/>
          <w:sz w:val="22"/>
          <w:szCs w:val="22"/>
        </w:rPr>
        <w:t xml:space="preserve"> of these crash victims are pedestrians; </w:t>
      </w:r>
      <w:r w:rsidRPr="00E3232D">
        <w:rPr>
          <w:rFonts w:ascii="Book Antiqua" w:hAnsi="Book Antiqua"/>
          <w:b/>
          <w:bCs/>
          <w:sz w:val="22"/>
          <w:szCs w:val="22"/>
        </w:rPr>
        <w:t xml:space="preserve">60% </w:t>
      </w:r>
      <w:r w:rsidRPr="00E3232D">
        <w:rPr>
          <w:rFonts w:ascii="Book Antiqua" w:hAnsi="Book Antiqua"/>
          <w:sz w:val="22"/>
          <w:szCs w:val="22"/>
        </w:rPr>
        <w:t xml:space="preserve">of all crash victims are people within the productive age  group (NRSC, 2010). </w:t>
      </w:r>
    </w:p>
    <w:p w14:paraId="706F2A2B" w14:textId="77777777" w:rsidR="00EF4DA7" w:rsidRDefault="00EF4DA7" w:rsidP="00D73212">
      <w:pPr>
        <w:pStyle w:val="Default"/>
        <w:spacing w:after="0"/>
        <w:rPr>
          <w:rFonts w:ascii="Book Antiqua" w:hAnsi="Book Antiqua"/>
          <w:sz w:val="22"/>
          <w:szCs w:val="22"/>
        </w:rPr>
      </w:pPr>
    </w:p>
    <w:p w14:paraId="73B1B40C" w14:textId="77777777" w:rsidR="00EF4DA7" w:rsidRDefault="008474BB" w:rsidP="00D73212">
      <w:pPr>
        <w:pStyle w:val="Default"/>
        <w:spacing w:after="0"/>
        <w:rPr>
          <w:rFonts w:ascii="Book Antiqua" w:hAnsi="Book Antiqua"/>
          <w:sz w:val="22"/>
          <w:szCs w:val="22"/>
        </w:rPr>
      </w:pPr>
      <w:r w:rsidRPr="00E3232D">
        <w:rPr>
          <w:rFonts w:ascii="Book Antiqua" w:hAnsi="Book Antiqua"/>
          <w:sz w:val="22"/>
          <w:szCs w:val="22"/>
        </w:rPr>
        <w:t xml:space="preserve">According to a World Health Organization (WHO) &amp; World Bank (1999) report on </w:t>
      </w:r>
      <w:hyperlink r:id="rId367" w:history="1">
        <w:r w:rsidRPr="00E3232D">
          <w:rPr>
            <w:rStyle w:val="Hyperlink"/>
            <w:rFonts w:ascii="Book Antiqua" w:hAnsi="Book Antiqua"/>
            <w:color w:val="auto"/>
            <w:sz w:val="22"/>
            <w:szCs w:val="22"/>
          </w:rPr>
          <w:t xml:space="preserve">"The Global Burden of Disease”, </w:t>
        </w:r>
      </w:hyperlink>
      <w:r w:rsidRPr="00E3232D">
        <w:rPr>
          <w:rFonts w:ascii="Book Antiqua" w:hAnsi="Book Antiqua"/>
          <w:sz w:val="22"/>
          <w:szCs w:val="22"/>
        </w:rPr>
        <w:t>deaths from non-communicable diseases are expected to climb from 28.1 million a year in 1990 to 49.7 million by 2020 (an increase in absolute numbers of 77%). Road traffic crashes will contribute significantly to this rise. According to the report, road traffic injuries are expected to move from ninth place to take third place in the rank order of disease burden by the year 2020.  </w:t>
      </w:r>
    </w:p>
    <w:p w14:paraId="03551717" w14:textId="77777777" w:rsidR="0012151E" w:rsidRPr="0012151E" w:rsidRDefault="0012151E" w:rsidP="0012151E">
      <w:pPr>
        <w:pStyle w:val="Default"/>
        <w:rPr>
          <w:rFonts w:ascii="Book Antiqua" w:hAnsi="Book Antiqua"/>
          <w:sz w:val="22"/>
          <w:szCs w:val="22"/>
        </w:rPr>
      </w:pPr>
    </w:p>
    <w:p w14:paraId="72638207" w14:textId="77777777" w:rsidR="008474BB" w:rsidRPr="00E3232D" w:rsidRDefault="008474BB" w:rsidP="008275E1">
      <w:pPr>
        <w:pStyle w:val="auto"/>
        <w:spacing w:line="276" w:lineRule="auto"/>
        <w:rPr>
          <w:rFonts w:ascii="Book Antiqua" w:hAnsi="Book Antiqua"/>
          <w:sz w:val="22"/>
          <w:szCs w:val="22"/>
        </w:rPr>
      </w:pPr>
      <w:r w:rsidRPr="00E3232D">
        <w:rPr>
          <w:rFonts w:ascii="Book Antiqua" w:hAnsi="Book Antiqua"/>
          <w:b/>
          <w:bCs/>
          <w:sz w:val="22"/>
          <w:szCs w:val="22"/>
        </w:rPr>
        <w:t>Table 1: Projected Rank Order of Disease Burden from 1990 to 2020</w:t>
      </w:r>
    </w:p>
    <w:tbl>
      <w:tblPr>
        <w:tblW w:w="0" w:type="auto"/>
        <w:tblBorders>
          <w:top w:val="single" w:sz="8" w:space="0" w:color="4F81BD"/>
          <w:bottom w:val="single" w:sz="8" w:space="0" w:color="4F81BD"/>
        </w:tblBorders>
        <w:tblLook w:val="0000" w:firstRow="0" w:lastRow="0" w:firstColumn="0" w:lastColumn="0" w:noHBand="0" w:noVBand="0"/>
      </w:tblPr>
      <w:tblGrid>
        <w:gridCol w:w="1756"/>
        <w:gridCol w:w="428"/>
        <w:gridCol w:w="428"/>
        <w:gridCol w:w="1757"/>
      </w:tblGrid>
      <w:tr w:rsidR="00F16182" w:rsidRPr="00D12E59" w14:paraId="6857BD0A" w14:textId="77777777" w:rsidTr="002742FF">
        <w:tc>
          <w:tcPr>
            <w:tcW w:w="3528" w:type="dxa"/>
            <w:tcBorders>
              <w:left w:val="nil"/>
              <w:bottom w:val="nil"/>
              <w:right w:val="nil"/>
            </w:tcBorders>
            <w:shd w:val="clear" w:color="auto" w:fill="auto"/>
          </w:tcPr>
          <w:p w14:paraId="6E803AFB" w14:textId="77777777" w:rsidR="008474BB" w:rsidRPr="002742FF" w:rsidRDefault="008474BB" w:rsidP="002742FF">
            <w:pPr>
              <w:pStyle w:val="auto"/>
              <w:spacing w:line="276" w:lineRule="auto"/>
              <w:jc w:val="center"/>
              <w:rPr>
                <w:rFonts w:ascii="Book Antiqua" w:hAnsi="Book Antiqua"/>
                <w:b/>
                <w:bCs/>
                <w:color w:val="365F91"/>
                <w:sz w:val="22"/>
                <w:szCs w:val="22"/>
              </w:rPr>
            </w:pPr>
            <w:r w:rsidRPr="002742FF">
              <w:rPr>
                <w:rFonts w:ascii="Book Antiqua" w:hAnsi="Book Antiqua"/>
                <w:b/>
                <w:bCs/>
                <w:color w:val="365F91"/>
                <w:sz w:val="22"/>
                <w:szCs w:val="22"/>
              </w:rPr>
              <w:t>1990</w:t>
            </w:r>
          </w:p>
        </w:tc>
        <w:tc>
          <w:tcPr>
            <w:tcW w:w="900" w:type="dxa"/>
            <w:tcBorders>
              <w:left w:val="nil"/>
              <w:right w:val="nil"/>
            </w:tcBorders>
            <w:shd w:val="clear" w:color="auto" w:fill="auto"/>
          </w:tcPr>
          <w:p w14:paraId="4863AA71" w14:textId="77777777" w:rsidR="008474BB" w:rsidRPr="002742FF" w:rsidRDefault="008474BB" w:rsidP="002742FF">
            <w:pPr>
              <w:pStyle w:val="auto"/>
              <w:spacing w:line="276" w:lineRule="auto"/>
              <w:rPr>
                <w:rFonts w:ascii="Book Antiqua" w:hAnsi="Book Antiqua"/>
                <w:b/>
                <w:bCs/>
                <w:color w:val="365F91"/>
                <w:sz w:val="22"/>
                <w:szCs w:val="22"/>
              </w:rPr>
            </w:pPr>
          </w:p>
        </w:tc>
        <w:tc>
          <w:tcPr>
            <w:tcW w:w="900" w:type="dxa"/>
            <w:tcBorders>
              <w:left w:val="nil"/>
              <w:bottom w:val="nil"/>
              <w:right w:val="nil"/>
            </w:tcBorders>
            <w:shd w:val="clear" w:color="auto" w:fill="auto"/>
          </w:tcPr>
          <w:p w14:paraId="328E8340" w14:textId="77777777" w:rsidR="008474BB" w:rsidRPr="002742FF" w:rsidRDefault="008474BB" w:rsidP="002742FF">
            <w:pPr>
              <w:pStyle w:val="auto"/>
              <w:spacing w:line="276" w:lineRule="auto"/>
              <w:jc w:val="right"/>
              <w:rPr>
                <w:rFonts w:ascii="Book Antiqua" w:hAnsi="Book Antiqua"/>
                <w:b/>
                <w:bCs/>
                <w:color w:val="365F91"/>
                <w:sz w:val="22"/>
                <w:szCs w:val="22"/>
              </w:rPr>
            </w:pPr>
          </w:p>
        </w:tc>
        <w:tc>
          <w:tcPr>
            <w:tcW w:w="3528" w:type="dxa"/>
            <w:tcBorders>
              <w:left w:val="nil"/>
              <w:right w:val="nil"/>
            </w:tcBorders>
            <w:shd w:val="clear" w:color="auto" w:fill="auto"/>
          </w:tcPr>
          <w:p w14:paraId="204DEBB2" w14:textId="77777777" w:rsidR="008474BB" w:rsidRPr="002742FF" w:rsidRDefault="008474BB" w:rsidP="002742FF">
            <w:pPr>
              <w:pStyle w:val="auto"/>
              <w:spacing w:line="276" w:lineRule="auto"/>
              <w:jc w:val="center"/>
              <w:rPr>
                <w:rFonts w:ascii="Book Antiqua" w:hAnsi="Book Antiqua"/>
                <w:b/>
                <w:bCs/>
                <w:color w:val="365F91"/>
                <w:sz w:val="22"/>
                <w:szCs w:val="22"/>
              </w:rPr>
            </w:pPr>
            <w:r w:rsidRPr="002742FF">
              <w:rPr>
                <w:rFonts w:ascii="Book Antiqua" w:hAnsi="Book Antiqua"/>
                <w:b/>
                <w:bCs/>
                <w:color w:val="365F91"/>
                <w:sz w:val="22"/>
                <w:szCs w:val="22"/>
              </w:rPr>
              <w:t>2020</w:t>
            </w:r>
          </w:p>
        </w:tc>
      </w:tr>
      <w:tr w:rsidR="00F16182" w:rsidRPr="00D12E59" w14:paraId="0A3F07F5" w14:textId="77777777" w:rsidTr="002742FF">
        <w:tc>
          <w:tcPr>
            <w:tcW w:w="3528" w:type="dxa"/>
            <w:tcBorders>
              <w:left w:val="nil"/>
              <w:bottom w:val="nil"/>
              <w:right w:val="nil"/>
            </w:tcBorders>
            <w:shd w:val="clear" w:color="auto" w:fill="auto"/>
          </w:tcPr>
          <w:p w14:paraId="08FC1D60"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Lower Respiratory Infections</w:t>
            </w:r>
          </w:p>
        </w:tc>
        <w:tc>
          <w:tcPr>
            <w:tcW w:w="900" w:type="dxa"/>
            <w:shd w:val="clear" w:color="auto" w:fill="auto"/>
          </w:tcPr>
          <w:p w14:paraId="4AFF9F33"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1</w:t>
            </w:r>
          </w:p>
        </w:tc>
        <w:tc>
          <w:tcPr>
            <w:tcW w:w="900" w:type="dxa"/>
            <w:tcBorders>
              <w:left w:val="nil"/>
              <w:bottom w:val="nil"/>
              <w:right w:val="nil"/>
            </w:tcBorders>
            <w:shd w:val="clear" w:color="auto" w:fill="auto"/>
          </w:tcPr>
          <w:p w14:paraId="4B8B51A0"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1</w:t>
            </w:r>
          </w:p>
        </w:tc>
        <w:tc>
          <w:tcPr>
            <w:tcW w:w="3528" w:type="dxa"/>
            <w:shd w:val="clear" w:color="auto" w:fill="auto"/>
          </w:tcPr>
          <w:p w14:paraId="3AC748C2"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Ischaemic heart</w:t>
            </w:r>
          </w:p>
        </w:tc>
      </w:tr>
      <w:tr w:rsidR="00F16182" w:rsidRPr="00D12E59" w14:paraId="62D2206E" w14:textId="77777777" w:rsidTr="002742FF">
        <w:tc>
          <w:tcPr>
            <w:tcW w:w="3528" w:type="dxa"/>
            <w:tcBorders>
              <w:left w:val="nil"/>
              <w:bottom w:val="nil"/>
              <w:right w:val="nil"/>
            </w:tcBorders>
            <w:shd w:val="clear" w:color="auto" w:fill="auto"/>
          </w:tcPr>
          <w:p w14:paraId="2F20EE70"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Diarrhoea</w:t>
            </w:r>
          </w:p>
        </w:tc>
        <w:tc>
          <w:tcPr>
            <w:tcW w:w="900" w:type="dxa"/>
            <w:tcBorders>
              <w:left w:val="nil"/>
              <w:right w:val="nil"/>
            </w:tcBorders>
            <w:shd w:val="clear" w:color="auto" w:fill="auto"/>
          </w:tcPr>
          <w:p w14:paraId="1D680D84"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2</w:t>
            </w:r>
          </w:p>
        </w:tc>
        <w:tc>
          <w:tcPr>
            <w:tcW w:w="900" w:type="dxa"/>
            <w:tcBorders>
              <w:left w:val="nil"/>
              <w:bottom w:val="nil"/>
              <w:right w:val="nil"/>
            </w:tcBorders>
            <w:shd w:val="clear" w:color="auto" w:fill="auto"/>
          </w:tcPr>
          <w:p w14:paraId="3BDB37BA"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2</w:t>
            </w:r>
          </w:p>
        </w:tc>
        <w:tc>
          <w:tcPr>
            <w:tcW w:w="3528" w:type="dxa"/>
            <w:tcBorders>
              <w:left w:val="nil"/>
              <w:right w:val="nil"/>
            </w:tcBorders>
            <w:shd w:val="clear" w:color="auto" w:fill="auto"/>
          </w:tcPr>
          <w:p w14:paraId="63F5ABF1"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Unipopular Major Depression</w:t>
            </w:r>
          </w:p>
        </w:tc>
      </w:tr>
      <w:tr w:rsidR="00F16182" w:rsidRPr="00D12E59" w14:paraId="23CB250C" w14:textId="77777777" w:rsidTr="002742FF">
        <w:tc>
          <w:tcPr>
            <w:tcW w:w="3528" w:type="dxa"/>
            <w:tcBorders>
              <w:left w:val="nil"/>
              <w:bottom w:val="nil"/>
              <w:right w:val="nil"/>
            </w:tcBorders>
            <w:shd w:val="clear" w:color="auto" w:fill="auto"/>
          </w:tcPr>
          <w:p w14:paraId="3232FAAC"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Perinatal</w:t>
            </w:r>
          </w:p>
        </w:tc>
        <w:tc>
          <w:tcPr>
            <w:tcW w:w="900" w:type="dxa"/>
            <w:shd w:val="clear" w:color="auto" w:fill="auto"/>
          </w:tcPr>
          <w:p w14:paraId="68C762BC"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3</w:t>
            </w:r>
          </w:p>
        </w:tc>
        <w:tc>
          <w:tcPr>
            <w:tcW w:w="900" w:type="dxa"/>
            <w:tcBorders>
              <w:left w:val="nil"/>
              <w:bottom w:val="nil"/>
              <w:right w:val="nil"/>
            </w:tcBorders>
            <w:shd w:val="clear" w:color="auto" w:fill="auto"/>
          </w:tcPr>
          <w:p w14:paraId="4423C6B9"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3</w:t>
            </w:r>
          </w:p>
        </w:tc>
        <w:tc>
          <w:tcPr>
            <w:tcW w:w="3528" w:type="dxa"/>
            <w:shd w:val="clear" w:color="auto" w:fill="auto"/>
          </w:tcPr>
          <w:p w14:paraId="2B8B8DC9"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Road Traffic Crashes</w:t>
            </w:r>
          </w:p>
        </w:tc>
      </w:tr>
      <w:tr w:rsidR="00F16182" w:rsidRPr="00D12E59" w14:paraId="1C4FFCAD" w14:textId="77777777" w:rsidTr="002742FF">
        <w:tc>
          <w:tcPr>
            <w:tcW w:w="3528" w:type="dxa"/>
            <w:tcBorders>
              <w:left w:val="nil"/>
              <w:bottom w:val="nil"/>
              <w:right w:val="nil"/>
            </w:tcBorders>
            <w:shd w:val="clear" w:color="auto" w:fill="auto"/>
          </w:tcPr>
          <w:p w14:paraId="43590CB5"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Unipopular Major Depression</w:t>
            </w:r>
          </w:p>
        </w:tc>
        <w:tc>
          <w:tcPr>
            <w:tcW w:w="900" w:type="dxa"/>
            <w:tcBorders>
              <w:left w:val="nil"/>
              <w:right w:val="nil"/>
            </w:tcBorders>
            <w:shd w:val="clear" w:color="auto" w:fill="auto"/>
          </w:tcPr>
          <w:p w14:paraId="4A49634E"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4</w:t>
            </w:r>
          </w:p>
        </w:tc>
        <w:tc>
          <w:tcPr>
            <w:tcW w:w="900" w:type="dxa"/>
            <w:tcBorders>
              <w:left w:val="nil"/>
              <w:bottom w:val="nil"/>
              <w:right w:val="nil"/>
            </w:tcBorders>
            <w:shd w:val="clear" w:color="auto" w:fill="auto"/>
          </w:tcPr>
          <w:p w14:paraId="7C738238"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4</w:t>
            </w:r>
          </w:p>
        </w:tc>
        <w:tc>
          <w:tcPr>
            <w:tcW w:w="3528" w:type="dxa"/>
            <w:tcBorders>
              <w:left w:val="nil"/>
              <w:right w:val="nil"/>
            </w:tcBorders>
            <w:shd w:val="clear" w:color="auto" w:fill="auto"/>
          </w:tcPr>
          <w:p w14:paraId="7657AB35"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Cerebrovascular</w:t>
            </w:r>
          </w:p>
        </w:tc>
      </w:tr>
      <w:tr w:rsidR="00F16182" w:rsidRPr="00D12E59" w14:paraId="2142F564" w14:textId="77777777" w:rsidTr="002742FF">
        <w:tc>
          <w:tcPr>
            <w:tcW w:w="3528" w:type="dxa"/>
            <w:tcBorders>
              <w:left w:val="nil"/>
              <w:bottom w:val="nil"/>
              <w:right w:val="nil"/>
            </w:tcBorders>
            <w:shd w:val="clear" w:color="auto" w:fill="auto"/>
          </w:tcPr>
          <w:p w14:paraId="439D4C65"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Ischaemic heart</w:t>
            </w:r>
          </w:p>
        </w:tc>
        <w:tc>
          <w:tcPr>
            <w:tcW w:w="900" w:type="dxa"/>
            <w:shd w:val="clear" w:color="auto" w:fill="auto"/>
          </w:tcPr>
          <w:p w14:paraId="0488867A"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5</w:t>
            </w:r>
          </w:p>
        </w:tc>
        <w:tc>
          <w:tcPr>
            <w:tcW w:w="900" w:type="dxa"/>
            <w:tcBorders>
              <w:left w:val="nil"/>
              <w:bottom w:val="nil"/>
              <w:right w:val="nil"/>
            </w:tcBorders>
            <w:shd w:val="clear" w:color="auto" w:fill="auto"/>
          </w:tcPr>
          <w:p w14:paraId="049BAA40"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5</w:t>
            </w:r>
          </w:p>
        </w:tc>
        <w:tc>
          <w:tcPr>
            <w:tcW w:w="3528" w:type="dxa"/>
            <w:shd w:val="clear" w:color="auto" w:fill="auto"/>
          </w:tcPr>
          <w:p w14:paraId="62DF0801"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Pulmonary</w:t>
            </w:r>
          </w:p>
        </w:tc>
      </w:tr>
      <w:tr w:rsidR="00F16182" w:rsidRPr="00D12E59" w14:paraId="18791CAE" w14:textId="77777777" w:rsidTr="002742FF">
        <w:tc>
          <w:tcPr>
            <w:tcW w:w="3528" w:type="dxa"/>
            <w:tcBorders>
              <w:left w:val="nil"/>
              <w:bottom w:val="nil"/>
              <w:right w:val="nil"/>
            </w:tcBorders>
            <w:shd w:val="clear" w:color="auto" w:fill="auto"/>
          </w:tcPr>
          <w:p w14:paraId="20CCCDCE"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Cerebrovascular</w:t>
            </w:r>
          </w:p>
        </w:tc>
        <w:tc>
          <w:tcPr>
            <w:tcW w:w="900" w:type="dxa"/>
            <w:tcBorders>
              <w:left w:val="nil"/>
              <w:right w:val="nil"/>
            </w:tcBorders>
            <w:shd w:val="clear" w:color="auto" w:fill="auto"/>
          </w:tcPr>
          <w:p w14:paraId="6C000E75"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6</w:t>
            </w:r>
          </w:p>
        </w:tc>
        <w:tc>
          <w:tcPr>
            <w:tcW w:w="900" w:type="dxa"/>
            <w:tcBorders>
              <w:left w:val="nil"/>
              <w:bottom w:val="nil"/>
              <w:right w:val="nil"/>
            </w:tcBorders>
            <w:shd w:val="clear" w:color="auto" w:fill="auto"/>
          </w:tcPr>
          <w:p w14:paraId="5937884D"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6</w:t>
            </w:r>
          </w:p>
        </w:tc>
        <w:tc>
          <w:tcPr>
            <w:tcW w:w="3528" w:type="dxa"/>
            <w:tcBorders>
              <w:left w:val="nil"/>
              <w:right w:val="nil"/>
            </w:tcBorders>
            <w:shd w:val="clear" w:color="auto" w:fill="auto"/>
          </w:tcPr>
          <w:p w14:paraId="4274DE18"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Lower Respiratory Infections</w:t>
            </w:r>
          </w:p>
        </w:tc>
      </w:tr>
      <w:tr w:rsidR="00F16182" w:rsidRPr="00D12E59" w14:paraId="01AB1540" w14:textId="77777777" w:rsidTr="002742FF">
        <w:tc>
          <w:tcPr>
            <w:tcW w:w="3528" w:type="dxa"/>
            <w:tcBorders>
              <w:left w:val="nil"/>
              <w:bottom w:val="nil"/>
              <w:right w:val="nil"/>
            </w:tcBorders>
            <w:shd w:val="clear" w:color="auto" w:fill="auto"/>
          </w:tcPr>
          <w:p w14:paraId="794E1081"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Tuberculosis</w:t>
            </w:r>
          </w:p>
        </w:tc>
        <w:tc>
          <w:tcPr>
            <w:tcW w:w="900" w:type="dxa"/>
            <w:shd w:val="clear" w:color="auto" w:fill="auto"/>
          </w:tcPr>
          <w:p w14:paraId="42DC2823"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7</w:t>
            </w:r>
          </w:p>
        </w:tc>
        <w:tc>
          <w:tcPr>
            <w:tcW w:w="900" w:type="dxa"/>
            <w:tcBorders>
              <w:left w:val="nil"/>
              <w:bottom w:val="nil"/>
              <w:right w:val="nil"/>
            </w:tcBorders>
            <w:shd w:val="clear" w:color="auto" w:fill="auto"/>
          </w:tcPr>
          <w:p w14:paraId="12FCA98C"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7</w:t>
            </w:r>
          </w:p>
        </w:tc>
        <w:tc>
          <w:tcPr>
            <w:tcW w:w="3528" w:type="dxa"/>
            <w:shd w:val="clear" w:color="auto" w:fill="auto"/>
          </w:tcPr>
          <w:p w14:paraId="020129BE"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Tuberculosis</w:t>
            </w:r>
          </w:p>
        </w:tc>
      </w:tr>
      <w:tr w:rsidR="00F16182" w:rsidRPr="00D12E59" w14:paraId="0A306F36" w14:textId="77777777" w:rsidTr="002742FF">
        <w:tc>
          <w:tcPr>
            <w:tcW w:w="3528" w:type="dxa"/>
            <w:tcBorders>
              <w:left w:val="nil"/>
              <w:bottom w:val="nil"/>
              <w:right w:val="nil"/>
            </w:tcBorders>
            <w:shd w:val="clear" w:color="auto" w:fill="auto"/>
          </w:tcPr>
          <w:p w14:paraId="1B5AE6B6"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Measels</w:t>
            </w:r>
          </w:p>
        </w:tc>
        <w:tc>
          <w:tcPr>
            <w:tcW w:w="900" w:type="dxa"/>
            <w:tcBorders>
              <w:left w:val="nil"/>
              <w:right w:val="nil"/>
            </w:tcBorders>
            <w:shd w:val="clear" w:color="auto" w:fill="auto"/>
          </w:tcPr>
          <w:p w14:paraId="09518FE9"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8</w:t>
            </w:r>
          </w:p>
        </w:tc>
        <w:tc>
          <w:tcPr>
            <w:tcW w:w="900" w:type="dxa"/>
            <w:tcBorders>
              <w:left w:val="nil"/>
              <w:bottom w:val="nil"/>
              <w:right w:val="nil"/>
            </w:tcBorders>
            <w:shd w:val="clear" w:color="auto" w:fill="auto"/>
          </w:tcPr>
          <w:p w14:paraId="190A8788"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8</w:t>
            </w:r>
          </w:p>
        </w:tc>
        <w:tc>
          <w:tcPr>
            <w:tcW w:w="3528" w:type="dxa"/>
            <w:tcBorders>
              <w:left w:val="nil"/>
              <w:right w:val="nil"/>
            </w:tcBorders>
            <w:shd w:val="clear" w:color="auto" w:fill="auto"/>
          </w:tcPr>
          <w:p w14:paraId="43FE347D"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War</w:t>
            </w:r>
          </w:p>
        </w:tc>
      </w:tr>
      <w:tr w:rsidR="00F16182" w:rsidRPr="00D12E59" w14:paraId="178699AF" w14:textId="77777777" w:rsidTr="002742FF">
        <w:tc>
          <w:tcPr>
            <w:tcW w:w="3528" w:type="dxa"/>
            <w:tcBorders>
              <w:left w:val="nil"/>
              <w:bottom w:val="nil"/>
              <w:right w:val="nil"/>
            </w:tcBorders>
            <w:shd w:val="clear" w:color="auto" w:fill="auto"/>
          </w:tcPr>
          <w:p w14:paraId="7F272F3F"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Road Traffic Crashes</w:t>
            </w:r>
          </w:p>
        </w:tc>
        <w:tc>
          <w:tcPr>
            <w:tcW w:w="900" w:type="dxa"/>
            <w:shd w:val="clear" w:color="auto" w:fill="auto"/>
          </w:tcPr>
          <w:p w14:paraId="1D4C92C7"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9</w:t>
            </w:r>
          </w:p>
        </w:tc>
        <w:tc>
          <w:tcPr>
            <w:tcW w:w="900" w:type="dxa"/>
            <w:tcBorders>
              <w:left w:val="nil"/>
              <w:bottom w:val="nil"/>
              <w:right w:val="nil"/>
            </w:tcBorders>
            <w:shd w:val="clear" w:color="auto" w:fill="auto"/>
          </w:tcPr>
          <w:p w14:paraId="1DA79EC2"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9</w:t>
            </w:r>
          </w:p>
        </w:tc>
        <w:tc>
          <w:tcPr>
            <w:tcW w:w="3528" w:type="dxa"/>
            <w:shd w:val="clear" w:color="auto" w:fill="auto"/>
          </w:tcPr>
          <w:p w14:paraId="42823060"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Diarrhoea</w:t>
            </w:r>
          </w:p>
        </w:tc>
      </w:tr>
      <w:tr w:rsidR="00F16182" w:rsidRPr="00D12E59" w14:paraId="11CBDC31" w14:textId="77777777" w:rsidTr="002742FF">
        <w:tc>
          <w:tcPr>
            <w:tcW w:w="3528" w:type="dxa"/>
            <w:tcBorders>
              <w:left w:val="nil"/>
              <w:right w:val="nil"/>
            </w:tcBorders>
            <w:shd w:val="clear" w:color="auto" w:fill="auto"/>
          </w:tcPr>
          <w:p w14:paraId="21C29B01"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Congenital Anornalies</w:t>
            </w:r>
          </w:p>
        </w:tc>
        <w:tc>
          <w:tcPr>
            <w:tcW w:w="900" w:type="dxa"/>
            <w:tcBorders>
              <w:left w:val="nil"/>
              <w:right w:val="nil"/>
            </w:tcBorders>
            <w:shd w:val="clear" w:color="auto" w:fill="auto"/>
          </w:tcPr>
          <w:p w14:paraId="41C13354" w14:textId="77777777" w:rsidR="008474BB" w:rsidRPr="002742FF" w:rsidRDefault="008474BB" w:rsidP="002742FF">
            <w:pPr>
              <w:pStyle w:val="auto"/>
              <w:spacing w:line="276" w:lineRule="auto"/>
              <w:rPr>
                <w:rFonts w:ascii="Book Antiqua" w:hAnsi="Book Antiqua"/>
                <w:b/>
                <w:bCs/>
                <w:color w:val="365F91"/>
                <w:sz w:val="22"/>
                <w:szCs w:val="22"/>
              </w:rPr>
            </w:pPr>
            <w:r w:rsidRPr="002742FF">
              <w:rPr>
                <w:rFonts w:ascii="Book Antiqua" w:hAnsi="Book Antiqua"/>
                <w:b/>
                <w:bCs/>
                <w:color w:val="365F91"/>
                <w:sz w:val="22"/>
                <w:szCs w:val="22"/>
              </w:rPr>
              <w:t>10</w:t>
            </w:r>
          </w:p>
        </w:tc>
        <w:tc>
          <w:tcPr>
            <w:tcW w:w="900" w:type="dxa"/>
            <w:tcBorders>
              <w:left w:val="nil"/>
              <w:right w:val="nil"/>
            </w:tcBorders>
            <w:shd w:val="clear" w:color="auto" w:fill="auto"/>
          </w:tcPr>
          <w:p w14:paraId="2BDAFFAC" w14:textId="77777777" w:rsidR="008474BB" w:rsidRPr="002742FF" w:rsidRDefault="008474BB" w:rsidP="002742FF">
            <w:pPr>
              <w:pStyle w:val="auto"/>
              <w:spacing w:line="276" w:lineRule="auto"/>
              <w:jc w:val="right"/>
              <w:rPr>
                <w:rFonts w:ascii="Book Antiqua" w:hAnsi="Book Antiqua"/>
                <w:b/>
                <w:bCs/>
                <w:color w:val="365F91"/>
                <w:sz w:val="22"/>
                <w:szCs w:val="22"/>
              </w:rPr>
            </w:pPr>
            <w:r w:rsidRPr="002742FF">
              <w:rPr>
                <w:rFonts w:ascii="Book Antiqua" w:hAnsi="Book Antiqua"/>
                <w:b/>
                <w:bCs/>
                <w:color w:val="365F91"/>
                <w:sz w:val="22"/>
                <w:szCs w:val="22"/>
              </w:rPr>
              <w:t>10</w:t>
            </w:r>
          </w:p>
        </w:tc>
        <w:tc>
          <w:tcPr>
            <w:tcW w:w="3528" w:type="dxa"/>
            <w:tcBorders>
              <w:left w:val="nil"/>
              <w:right w:val="nil"/>
            </w:tcBorders>
            <w:shd w:val="clear" w:color="auto" w:fill="auto"/>
          </w:tcPr>
          <w:p w14:paraId="0B8F4161" w14:textId="77777777" w:rsidR="008474BB" w:rsidRPr="002742FF" w:rsidRDefault="008474BB" w:rsidP="002742FF">
            <w:pPr>
              <w:pStyle w:val="auto"/>
              <w:spacing w:line="276" w:lineRule="auto"/>
              <w:rPr>
                <w:rFonts w:ascii="Book Antiqua" w:hAnsi="Book Antiqua"/>
                <w:color w:val="365F91"/>
                <w:sz w:val="22"/>
                <w:szCs w:val="22"/>
              </w:rPr>
            </w:pPr>
            <w:r w:rsidRPr="002742FF">
              <w:rPr>
                <w:rFonts w:ascii="Book Antiqua" w:hAnsi="Book Antiqua"/>
                <w:color w:val="365F91"/>
                <w:sz w:val="22"/>
                <w:szCs w:val="22"/>
              </w:rPr>
              <w:t>HIV</w:t>
            </w:r>
          </w:p>
        </w:tc>
      </w:tr>
    </w:tbl>
    <w:p w14:paraId="54CAEEE2" w14:textId="77777777" w:rsidR="008474BB" w:rsidRPr="00E3232D" w:rsidRDefault="00850DC5" w:rsidP="008275E1">
      <w:pPr>
        <w:pStyle w:val="auto"/>
        <w:spacing w:line="276" w:lineRule="auto"/>
        <w:rPr>
          <w:rFonts w:ascii="Book Antiqua" w:hAnsi="Book Antiqua"/>
          <w:sz w:val="22"/>
          <w:szCs w:val="22"/>
        </w:rPr>
      </w:pPr>
      <w:r>
        <w:rPr>
          <w:rFonts w:ascii="Book Antiqua" w:hAnsi="Book Antiqua"/>
          <w:b/>
          <w:bCs/>
          <w:noProof/>
          <w:color w:val="365F91"/>
          <w:sz w:val="22"/>
          <w:szCs w:val="22"/>
        </w:rPr>
        <w:pict w14:anchorId="6041F627">
          <v:line id="_x0000_s1718" style="position:absolute;flip:y;z-index:251813376;mso-position-horizontal-relative:text;mso-position-vertical-relative:text" from="114.45pt,41.2pt" to="183.95pt,167.3pt" strokeweight="2.25pt">
            <v:stroke endarrow="block"/>
          </v:line>
        </w:pict>
      </w:r>
      <w:r w:rsidR="008474BB" w:rsidRPr="00E3232D">
        <w:rPr>
          <w:rFonts w:ascii="Book Antiqua" w:hAnsi="Book Antiqua"/>
          <w:b/>
          <w:bCs/>
          <w:sz w:val="22"/>
          <w:szCs w:val="22"/>
        </w:rPr>
        <w:t xml:space="preserve">Source: </w:t>
      </w:r>
      <w:r w:rsidR="008474BB" w:rsidRPr="00E3232D">
        <w:rPr>
          <w:rFonts w:ascii="Book Antiqua" w:hAnsi="Book Antiqua"/>
          <w:sz w:val="22"/>
          <w:szCs w:val="22"/>
        </w:rPr>
        <w:t xml:space="preserve"> </w:t>
      </w:r>
      <w:r w:rsidR="008474BB" w:rsidRPr="00E3232D">
        <w:rPr>
          <w:rFonts w:ascii="Book Antiqua" w:hAnsi="Book Antiqua"/>
          <w:b/>
          <w:bCs/>
          <w:sz w:val="22"/>
          <w:szCs w:val="22"/>
        </w:rPr>
        <w:t>w</w:t>
      </w:r>
      <w:r w:rsidR="008474BB" w:rsidRPr="00E3232D">
        <w:rPr>
          <w:rFonts w:ascii="Book Antiqua" w:hAnsi="Book Antiqua"/>
          <w:sz w:val="22"/>
          <w:szCs w:val="22"/>
        </w:rPr>
        <w:t>ww.</w:t>
      </w:r>
      <w:r w:rsidR="008474BB" w:rsidRPr="00E3232D">
        <w:rPr>
          <w:rFonts w:ascii="Book Antiqua" w:hAnsi="Book Antiqua"/>
          <w:b/>
          <w:bCs/>
          <w:sz w:val="22"/>
          <w:szCs w:val="22"/>
        </w:rPr>
        <w:t>grsproadsafety.org</w:t>
      </w:r>
    </w:p>
    <w:p w14:paraId="083B3EF4" w14:textId="77777777" w:rsidR="008474BB" w:rsidRPr="00E3232D" w:rsidRDefault="008474BB" w:rsidP="00EA579A">
      <w:pPr>
        <w:pStyle w:val="auto"/>
        <w:spacing w:line="276" w:lineRule="auto"/>
        <w:jc w:val="both"/>
        <w:rPr>
          <w:rFonts w:ascii="Book Antiqua" w:hAnsi="Book Antiqua"/>
          <w:sz w:val="22"/>
          <w:szCs w:val="22"/>
        </w:rPr>
      </w:pPr>
      <w:r w:rsidRPr="00E3232D">
        <w:rPr>
          <w:rFonts w:ascii="Book Antiqua" w:hAnsi="Book Antiqua"/>
          <w:sz w:val="22"/>
          <w:szCs w:val="22"/>
        </w:rPr>
        <w:t>In assessing the magnitude of the problem of road traffic crashes, according to WHO, 1.2 million people die through road traffic crashes annually. On the average, in the industrialized countries, and also in many developing countries,</w:t>
      </w:r>
      <w:r w:rsidRPr="00E3232D">
        <w:rPr>
          <w:rFonts w:ascii="Book Antiqua" w:hAnsi="Book Antiqua"/>
          <w:color w:val="FF8040"/>
          <w:sz w:val="22"/>
          <w:szCs w:val="22"/>
        </w:rPr>
        <w:t xml:space="preserve"> </w:t>
      </w:r>
      <w:r w:rsidRPr="00E3232D">
        <w:rPr>
          <w:rFonts w:ascii="Book Antiqua" w:hAnsi="Book Antiqua"/>
          <w:sz w:val="22"/>
          <w:szCs w:val="22"/>
        </w:rPr>
        <w:t xml:space="preserve">one out of every ten hospital beds is occupied by a road traffic crash accident victim (NRSC 2010). </w:t>
      </w:r>
    </w:p>
    <w:p w14:paraId="63EACADD" w14:textId="77777777" w:rsidR="008474BB" w:rsidRPr="00E3232D" w:rsidRDefault="008474BB" w:rsidP="00EA579A">
      <w:pPr>
        <w:pStyle w:val="auto"/>
        <w:spacing w:line="276" w:lineRule="auto"/>
        <w:jc w:val="both"/>
        <w:rPr>
          <w:rFonts w:ascii="Book Antiqua" w:hAnsi="Book Antiqua"/>
          <w:sz w:val="22"/>
          <w:szCs w:val="22"/>
        </w:rPr>
      </w:pPr>
      <w:r w:rsidRPr="00E3232D">
        <w:rPr>
          <w:rFonts w:ascii="Book Antiqua" w:hAnsi="Book Antiqua"/>
          <w:sz w:val="22"/>
          <w:szCs w:val="22"/>
        </w:rPr>
        <w:t>The 1999 WHO publication on "</w:t>
      </w:r>
      <w:hyperlink r:id="rId368" w:history="1">
        <w:r w:rsidRPr="00E3232D">
          <w:rPr>
            <w:rStyle w:val="Hyperlink"/>
            <w:rFonts w:ascii="Book Antiqua" w:hAnsi="Book Antiqua"/>
            <w:sz w:val="22"/>
            <w:szCs w:val="22"/>
          </w:rPr>
          <w:t>Injury: A Leading Cause of the Global Burden of Disease</w:t>
        </w:r>
      </w:hyperlink>
      <w:r w:rsidRPr="00E3232D">
        <w:rPr>
          <w:rFonts w:ascii="Book Antiqua" w:hAnsi="Book Antiqua"/>
          <w:sz w:val="22"/>
          <w:szCs w:val="22"/>
        </w:rPr>
        <w:t xml:space="preserve">," reports that road traffic crashes are the major cause of severe injuries in most countries and the leading injury-related cause of death among people aged 15-44 years. Globally, the WHO reports that 38,848,625 people were injured through motor vehicle crashes in 1998. Out of the 5.8 million people who died of injuries, 1,170,694 (20%) died as a direct result of injuries sustained in motor vehicle crashes. Figure 2 below summarizes the traffic statistics in the WHO report.  </w:t>
      </w:r>
    </w:p>
    <w:p w14:paraId="41757147" w14:textId="77777777" w:rsidR="008474BB" w:rsidRPr="00E3232D" w:rsidRDefault="008474BB" w:rsidP="00EA579A">
      <w:pPr>
        <w:pStyle w:val="auto"/>
        <w:spacing w:line="276" w:lineRule="auto"/>
        <w:jc w:val="both"/>
        <w:rPr>
          <w:rFonts w:ascii="Book Antiqua" w:hAnsi="Book Antiqua"/>
          <w:sz w:val="22"/>
          <w:szCs w:val="22"/>
        </w:rPr>
      </w:pPr>
      <w:r w:rsidRPr="00E3232D">
        <w:rPr>
          <w:rFonts w:ascii="Book Antiqua" w:hAnsi="Book Antiqua"/>
          <w:sz w:val="22"/>
          <w:szCs w:val="22"/>
        </w:rPr>
        <w:t>The above facts reveal</w:t>
      </w:r>
      <w:r w:rsidRPr="00E3232D">
        <w:rPr>
          <w:rFonts w:ascii="Book Antiqua" w:hAnsi="Book Antiqua"/>
          <w:color w:val="FF0000"/>
          <w:sz w:val="22"/>
          <w:szCs w:val="22"/>
        </w:rPr>
        <w:t xml:space="preserve"> </w:t>
      </w:r>
      <w:r w:rsidRPr="00E3232D">
        <w:rPr>
          <w:rFonts w:ascii="Book Antiqua" w:hAnsi="Book Antiqua"/>
          <w:sz w:val="22"/>
          <w:szCs w:val="22"/>
        </w:rPr>
        <w:t xml:space="preserve">unacceptable levels of road traffic accidents and casualties and therefore have both global and national social and economic burden, especially in Ghana as 1.6% of our GDP. There is therefore the need for interventions and strategies to deal with the menace especially by reducing it by 50% by the end of 2020 as recommended in the United Nations (UN) Global Plan for the Decade of Action for Road Safety 2011- 2020.   </w:t>
      </w:r>
    </w:p>
    <w:p w14:paraId="51878756" w14:textId="77777777" w:rsidR="008474BB" w:rsidRPr="00E3232D" w:rsidRDefault="008474BB" w:rsidP="00EA579A">
      <w:pPr>
        <w:pStyle w:val="auto"/>
        <w:spacing w:line="276" w:lineRule="auto"/>
        <w:jc w:val="both"/>
        <w:rPr>
          <w:rFonts w:ascii="Book Antiqua" w:hAnsi="Book Antiqua"/>
          <w:sz w:val="22"/>
          <w:szCs w:val="22"/>
        </w:rPr>
      </w:pPr>
      <w:r w:rsidRPr="00E3232D">
        <w:rPr>
          <w:rFonts w:ascii="Book Antiqua" w:hAnsi="Book Antiqua"/>
          <w:sz w:val="22"/>
          <w:szCs w:val="22"/>
        </w:rPr>
        <w:t>Unfortunately, in Ghana there is an information gap in respect of population and road traffic crashes as enough research have not been conducted in this field, hence the need to analyze the accidents data statistically in relation to the population in order to bridge this information gap in Ghana.</w:t>
      </w:r>
    </w:p>
    <w:p w14:paraId="575FC036" w14:textId="77777777" w:rsidR="00EA579A" w:rsidRDefault="00EA579A" w:rsidP="00EA579A">
      <w:pPr>
        <w:jc w:val="both"/>
        <w:rPr>
          <w:rFonts w:ascii="Book Antiqua" w:hAnsi="Book Antiqua"/>
          <w:b/>
          <w:color w:val="000000"/>
          <w:sz w:val="26"/>
          <w:szCs w:val="26"/>
        </w:rPr>
      </w:pPr>
    </w:p>
    <w:p w14:paraId="0F5DCCE2" w14:textId="77777777" w:rsidR="008474BB" w:rsidRPr="00B93231" w:rsidRDefault="008474BB" w:rsidP="00EA579A">
      <w:pPr>
        <w:jc w:val="both"/>
        <w:rPr>
          <w:rFonts w:ascii="Book Antiqua" w:hAnsi="Book Antiqua"/>
          <w:b/>
          <w:color w:val="000000"/>
          <w:sz w:val="26"/>
          <w:szCs w:val="26"/>
        </w:rPr>
      </w:pPr>
      <w:r w:rsidRPr="00B93231">
        <w:rPr>
          <w:rFonts w:ascii="Book Antiqua" w:hAnsi="Book Antiqua"/>
          <w:b/>
          <w:color w:val="000000"/>
          <w:sz w:val="26"/>
          <w:szCs w:val="26"/>
        </w:rPr>
        <w:t>1.1 Objectives</w:t>
      </w:r>
    </w:p>
    <w:p w14:paraId="1C89B7D8" w14:textId="77777777" w:rsidR="008474BB" w:rsidRPr="00E3232D" w:rsidRDefault="008474BB" w:rsidP="00EA579A">
      <w:pPr>
        <w:jc w:val="both"/>
        <w:rPr>
          <w:rFonts w:ascii="Book Antiqua" w:hAnsi="Book Antiqua"/>
          <w:color w:val="000000"/>
        </w:rPr>
      </w:pPr>
      <w:r w:rsidRPr="00E3232D">
        <w:rPr>
          <w:rFonts w:ascii="Book Antiqua" w:hAnsi="Book Antiqua"/>
          <w:color w:val="000000"/>
        </w:rPr>
        <w:t xml:space="preserve">The objectives of this study are: </w:t>
      </w:r>
    </w:p>
    <w:p w14:paraId="6A5EA6B8" w14:textId="77777777" w:rsidR="008474BB" w:rsidRPr="00E3232D" w:rsidRDefault="008474BB" w:rsidP="00EA579A">
      <w:pPr>
        <w:numPr>
          <w:ilvl w:val="0"/>
          <w:numId w:val="151"/>
        </w:numPr>
        <w:jc w:val="both"/>
        <w:rPr>
          <w:rFonts w:ascii="Book Antiqua" w:hAnsi="Book Antiqua"/>
          <w:color w:val="000000"/>
        </w:rPr>
      </w:pPr>
      <w:r w:rsidRPr="00E3232D">
        <w:rPr>
          <w:rFonts w:ascii="Book Antiqua" w:hAnsi="Book Antiqua"/>
          <w:color w:val="000000"/>
        </w:rPr>
        <w:t>To identify the population and road traffic trends in Ghana.</w:t>
      </w:r>
    </w:p>
    <w:p w14:paraId="4C2EC519" w14:textId="77777777" w:rsidR="008474BB" w:rsidRPr="00E3232D" w:rsidRDefault="008474BB" w:rsidP="00EA579A">
      <w:pPr>
        <w:numPr>
          <w:ilvl w:val="0"/>
          <w:numId w:val="151"/>
        </w:numPr>
        <w:jc w:val="both"/>
        <w:rPr>
          <w:rFonts w:ascii="Book Antiqua" w:hAnsi="Book Antiqua"/>
          <w:color w:val="000000"/>
        </w:rPr>
      </w:pPr>
      <w:r w:rsidRPr="00E3232D">
        <w:rPr>
          <w:rFonts w:ascii="Book Antiqua" w:hAnsi="Book Antiqua"/>
          <w:color w:val="000000"/>
        </w:rPr>
        <w:t>To ascertain whether there exists a relationship between road traffic accidents and population in Ghana.</w:t>
      </w:r>
    </w:p>
    <w:p w14:paraId="394C2B45" w14:textId="77777777" w:rsidR="008474BB" w:rsidRPr="00E3232D" w:rsidRDefault="008474BB" w:rsidP="00EA579A">
      <w:pPr>
        <w:numPr>
          <w:ilvl w:val="0"/>
          <w:numId w:val="151"/>
        </w:numPr>
        <w:jc w:val="both"/>
        <w:rPr>
          <w:rFonts w:ascii="Book Antiqua" w:hAnsi="Book Antiqua"/>
          <w:color w:val="000000"/>
        </w:rPr>
      </w:pPr>
      <w:r w:rsidRPr="00E3232D">
        <w:rPr>
          <w:rFonts w:ascii="Book Antiqua" w:hAnsi="Book Antiqua"/>
          <w:color w:val="000000"/>
        </w:rPr>
        <w:t>To establish the nature of the relationship between road traffic accidents and population in Ghana.</w:t>
      </w:r>
    </w:p>
    <w:p w14:paraId="3A24D214" w14:textId="77777777" w:rsidR="008474BB" w:rsidRPr="00E3232D" w:rsidRDefault="008474BB" w:rsidP="00EA579A">
      <w:pPr>
        <w:numPr>
          <w:ilvl w:val="0"/>
          <w:numId w:val="151"/>
        </w:numPr>
        <w:jc w:val="both"/>
        <w:rPr>
          <w:rFonts w:ascii="Book Antiqua" w:hAnsi="Book Antiqua"/>
          <w:color w:val="000000"/>
        </w:rPr>
      </w:pPr>
      <w:r w:rsidRPr="00E3232D">
        <w:rPr>
          <w:rFonts w:ascii="Book Antiqua" w:hAnsi="Book Antiqua"/>
          <w:color w:val="000000"/>
        </w:rPr>
        <w:t>To derive a model for the relationship between road traffic accidents and population in Ghana.</w:t>
      </w:r>
    </w:p>
    <w:p w14:paraId="319C2534" w14:textId="77777777" w:rsidR="008474BB" w:rsidRPr="00E3232D" w:rsidRDefault="008474BB" w:rsidP="00EA579A">
      <w:pPr>
        <w:numPr>
          <w:ilvl w:val="0"/>
          <w:numId w:val="151"/>
        </w:numPr>
        <w:jc w:val="both"/>
        <w:rPr>
          <w:rFonts w:ascii="Book Antiqua" w:hAnsi="Book Antiqua"/>
          <w:color w:val="000000"/>
        </w:rPr>
      </w:pPr>
      <w:r w:rsidRPr="00E3232D">
        <w:rPr>
          <w:rFonts w:ascii="Book Antiqua" w:hAnsi="Book Antiqua"/>
          <w:color w:val="000000"/>
        </w:rPr>
        <w:t>To forecast the road traffic accidents based on population in Ghana.</w:t>
      </w:r>
    </w:p>
    <w:p w14:paraId="4E4C10DC" w14:textId="77777777" w:rsidR="008474BB" w:rsidRPr="00E3232D" w:rsidRDefault="008474BB" w:rsidP="00EA579A">
      <w:pPr>
        <w:pStyle w:val="Default"/>
        <w:rPr>
          <w:rFonts w:ascii="Book Antiqua" w:hAnsi="Book Antiqua"/>
          <w:b/>
          <w:sz w:val="22"/>
          <w:szCs w:val="22"/>
        </w:rPr>
      </w:pPr>
    </w:p>
    <w:p w14:paraId="572FA103" w14:textId="77777777" w:rsidR="008474BB" w:rsidRPr="00EA579A" w:rsidRDefault="008474BB" w:rsidP="00EA579A">
      <w:pPr>
        <w:pStyle w:val="Default"/>
        <w:rPr>
          <w:rFonts w:ascii="Book Antiqua" w:hAnsi="Book Antiqua"/>
          <w:b/>
          <w:sz w:val="22"/>
          <w:szCs w:val="26"/>
        </w:rPr>
      </w:pPr>
      <w:r w:rsidRPr="00EA579A">
        <w:rPr>
          <w:rFonts w:ascii="Book Antiqua" w:hAnsi="Book Antiqua"/>
          <w:b/>
          <w:sz w:val="22"/>
          <w:szCs w:val="26"/>
        </w:rPr>
        <w:t>1.2</w:t>
      </w:r>
      <w:r w:rsidRPr="00EA579A">
        <w:rPr>
          <w:rFonts w:ascii="Book Antiqua" w:hAnsi="Book Antiqua"/>
          <w:b/>
          <w:sz w:val="22"/>
          <w:szCs w:val="26"/>
        </w:rPr>
        <w:tab/>
        <w:t xml:space="preserve">Hypothesis of the </w:t>
      </w:r>
      <w:r w:rsidR="00EA579A" w:rsidRPr="00EA579A">
        <w:rPr>
          <w:rFonts w:ascii="Book Antiqua" w:hAnsi="Book Antiqua"/>
          <w:b/>
          <w:sz w:val="22"/>
          <w:szCs w:val="26"/>
        </w:rPr>
        <w:t>Study</w:t>
      </w:r>
    </w:p>
    <w:p w14:paraId="5940C8CE" w14:textId="77777777" w:rsidR="008474BB" w:rsidRPr="00E3232D" w:rsidRDefault="008474BB" w:rsidP="00EA579A">
      <w:pPr>
        <w:pStyle w:val="Default"/>
        <w:rPr>
          <w:rFonts w:ascii="Book Antiqua" w:hAnsi="Book Antiqua"/>
          <w:sz w:val="22"/>
          <w:szCs w:val="22"/>
        </w:rPr>
      </w:pPr>
      <w:r w:rsidRPr="00E3232D">
        <w:rPr>
          <w:rFonts w:ascii="Book Antiqua" w:hAnsi="Book Antiqua"/>
          <w:b/>
          <w:sz w:val="22"/>
          <w:szCs w:val="22"/>
        </w:rPr>
        <w:t xml:space="preserve">Null Hypothesis (Ho): </w:t>
      </w:r>
      <w:r w:rsidRPr="00E3232D">
        <w:rPr>
          <w:rFonts w:ascii="Book Antiqua" w:hAnsi="Book Antiqua"/>
          <w:sz w:val="22"/>
          <w:szCs w:val="22"/>
        </w:rPr>
        <w:t xml:space="preserve">There is no significant relationship between road traffic accidents and population growth in Ghana. </w:t>
      </w:r>
    </w:p>
    <w:p w14:paraId="25646313" w14:textId="77777777" w:rsidR="00D73212" w:rsidRPr="00EA579A" w:rsidRDefault="008474BB" w:rsidP="00EA579A">
      <w:pPr>
        <w:pStyle w:val="Default"/>
        <w:rPr>
          <w:rFonts w:ascii="Book Antiqua" w:hAnsi="Book Antiqua"/>
          <w:sz w:val="22"/>
          <w:szCs w:val="22"/>
        </w:rPr>
      </w:pPr>
      <w:r w:rsidRPr="00E3232D">
        <w:rPr>
          <w:rFonts w:ascii="Book Antiqua" w:hAnsi="Book Antiqua"/>
          <w:b/>
          <w:sz w:val="22"/>
          <w:szCs w:val="22"/>
        </w:rPr>
        <w:t>Alternative Hypothesis (H</w:t>
      </w:r>
      <w:r w:rsidRPr="00E3232D">
        <w:rPr>
          <w:rFonts w:ascii="Book Antiqua" w:hAnsi="Book Antiqua"/>
          <w:b/>
          <w:sz w:val="22"/>
          <w:szCs w:val="22"/>
          <w:vertAlign w:val="subscript"/>
        </w:rPr>
        <w:t>1</w:t>
      </w:r>
      <w:r w:rsidRPr="00E3232D">
        <w:rPr>
          <w:rFonts w:ascii="Book Antiqua" w:hAnsi="Book Antiqua"/>
          <w:b/>
          <w:sz w:val="22"/>
          <w:szCs w:val="22"/>
        </w:rPr>
        <w:t xml:space="preserve">): </w:t>
      </w:r>
      <w:r w:rsidRPr="00E3232D">
        <w:rPr>
          <w:rFonts w:ascii="Book Antiqua" w:hAnsi="Book Antiqua"/>
          <w:sz w:val="22"/>
          <w:szCs w:val="22"/>
        </w:rPr>
        <w:t xml:space="preserve">There is a significant relationship between road traffic accidents and population growth in Ghana. </w:t>
      </w:r>
    </w:p>
    <w:p w14:paraId="17399A62" w14:textId="77777777" w:rsidR="008474BB" w:rsidRPr="00EA579A" w:rsidRDefault="008474BB" w:rsidP="00EA579A">
      <w:pPr>
        <w:pStyle w:val="Default"/>
        <w:rPr>
          <w:rFonts w:ascii="Book Antiqua" w:hAnsi="Book Antiqua"/>
          <w:b/>
          <w:sz w:val="22"/>
          <w:szCs w:val="26"/>
        </w:rPr>
      </w:pPr>
      <w:r w:rsidRPr="00EA579A">
        <w:rPr>
          <w:rFonts w:ascii="Book Antiqua" w:hAnsi="Book Antiqua"/>
          <w:b/>
          <w:sz w:val="22"/>
          <w:szCs w:val="26"/>
        </w:rPr>
        <w:t>1.3</w:t>
      </w:r>
      <w:r w:rsidRPr="00EA579A">
        <w:rPr>
          <w:rFonts w:ascii="Book Antiqua" w:hAnsi="Book Antiqua"/>
          <w:b/>
          <w:sz w:val="22"/>
          <w:szCs w:val="26"/>
        </w:rPr>
        <w:tab/>
        <w:t xml:space="preserve">Significance of the </w:t>
      </w:r>
      <w:r w:rsidR="00EA579A" w:rsidRPr="00EA579A">
        <w:rPr>
          <w:rFonts w:ascii="Book Antiqua" w:hAnsi="Book Antiqua"/>
          <w:b/>
          <w:sz w:val="22"/>
          <w:szCs w:val="26"/>
        </w:rPr>
        <w:t>Study</w:t>
      </w:r>
    </w:p>
    <w:p w14:paraId="17E46A36" w14:textId="77777777" w:rsidR="00EF4DA7" w:rsidRDefault="008474BB" w:rsidP="00EA579A">
      <w:pPr>
        <w:pStyle w:val="Default"/>
        <w:rPr>
          <w:rFonts w:ascii="Book Antiqua" w:hAnsi="Book Antiqua"/>
          <w:sz w:val="22"/>
          <w:szCs w:val="22"/>
        </w:rPr>
      </w:pPr>
      <w:r w:rsidRPr="00E3232D">
        <w:rPr>
          <w:rFonts w:ascii="Book Antiqua" w:hAnsi="Book Antiqua"/>
          <w:sz w:val="22"/>
          <w:szCs w:val="22"/>
        </w:rPr>
        <w:t xml:space="preserve">The study would serve as a guide to stakeholders within the road transport system in making informed and intelligent policy decisions with regard to the management of road traffic accidents in Ghana.  Also, the information that would be unraveled from this study when put into effective utilization in the management of road traffic accidents would inure to the economic benefit of saving cost to the nation at large.  </w:t>
      </w:r>
    </w:p>
    <w:p w14:paraId="30CB4D78" w14:textId="77777777" w:rsidR="008474BB" w:rsidRPr="00E3232D" w:rsidRDefault="008474BB" w:rsidP="00EA579A">
      <w:pPr>
        <w:pStyle w:val="Default"/>
        <w:spacing w:after="0"/>
        <w:rPr>
          <w:rFonts w:ascii="Book Antiqua" w:hAnsi="Book Antiqua"/>
          <w:sz w:val="22"/>
          <w:szCs w:val="22"/>
        </w:rPr>
      </w:pPr>
      <w:r w:rsidRPr="00E3232D">
        <w:rPr>
          <w:rFonts w:ascii="Book Antiqua" w:hAnsi="Book Antiqua"/>
          <w:sz w:val="22"/>
          <w:szCs w:val="22"/>
        </w:rPr>
        <w:t>Finally, it would provide information that would help bridge the information gap that exists in our part of the world and add to the body of literature for researchers who may require such information.</w:t>
      </w:r>
    </w:p>
    <w:p w14:paraId="0267C2BF" w14:textId="77777777" w:rsidR="008474BB" w:rsidRPr="00E3232D" w:rsidRDefault="008474BB" w:rsidP="00EA579A">
      <w:pPr>
        <w:tabs>
          <w:tab w:val="left" w:pos="6795"/>
        </w:tabs>
        <w:spacing w:after="0"/>
        <w:jc w:val="both"/>
        <w:rPr>
          <w:rFonts w:ascii="Book Antiqua" w:hAnsi="Book Antiqua"/>
          <w:b/>
        </w:rPr>
      </w:pPr>
      <w:r w:rsidRPr="00E3232D">
        <w:rPr>
          <w:rFonts w:ascii="Book Antiqua" w:hAnsi="Book Antiqua"/>
          <w:b/>
          <w:color w:val="FF0000"/>
        </w:rPr>
        <w:tab/>
      </w:r>
    </w:p>
    <w:p w14:paraId="61A6DE2B" w14:textId="77777777" w:rsidR="008474BB" w:rsidRPr="00B93231" w:rsidRDefault="008474BB" w:rsidP="00EA579A">
      <w:pPr>
        <w:spacing w:after="0"/>
        <w:jc w:val="both"/>
        <w:rPr>
          <w:rFonts w:ascii="Book Antiqua" w:hAnsi="Book Antiqua"/>
          <w:b/>
          <w:sz w:val="26"/>
          <w:szCs w:val="26"/>
        </w:rPr>
      </w:pPr>
      <w:r w:rsidRPr="00B93231">
        <w:rPr>
          <w:rFonts w:ascii="Book Antiqua" w:hAnsi="Book Antiqua"/>
          <w:b/>
          <w:sz w:val="26"/>
          <w:szCs w:val="26"/>
        </w:rPr>
        <w:t xml:space="preserve">2.0 </w:t>
      </w:r>
      <w:r w:rsidRPr="00B93231">
        <w:rPr>
          <w:rFonts w:ascii="Book Antiqua" w:hAnsi="Book Antiqua"/>
          <w:b/>
          <w:sz w:val="26"/>
          <w:szCs w:val="26"/>
        </w:rPr>
        <w:tab/>
        <w:t>Methodology</w:t>
      </w:r>
    </w:p>
    <w:p w14:paraId="59A60E15" w14:textId="77777777" w:rsidR="00083183" w:rsidRPr="00EA579A" w:rsidRDefault="008474BB" w:rsidP="00EA579A">
      <w:pPr>
        <w:autoSpaceDE w:val="0"/>
        <w:autoSpaceDN w:val="0"/>
        <w:adjustRightInd w:val="0"/>
        <w:jc w:val="both"/>
        <w:rPr>
          <w:rFonts w:ascii="Book Antiqua" w:hAnsi="Book Antiqua"/>
        </w:rPr>
      </w:pPr>
      <w:r w:rsidRPr="00E3232D">
        <w:rPr>
          <w:rFonts w:ascii="Book Antiqua" w:hAnsi="Book Antiqua"/>
        </w:rPr>
        <w:t>A linear regression model was used to analyze the dynamics of changes, variations and interruptions in road traffic accidents and population growth of Ghana through time-series data as described below:</w:t>
      </w:r>
    </w:p>
    <w:p w14:paraId="52773324" w14:textId="77777777" w:rsidR="008474BB" w:rsidRPr="00EA579A" w:rsidRDefault="008474BB" w:rsidP="00EA579A">
      <w:pPr>
        <w:jc w:val="both"/>
        <w:rPr>
          <w:rFonts w:ascii="Book Antiqua" w:hAnsi="Book Antiqua"/>
          <w:b/>
          <w:szCs w:val="26"/>
        </w:rPr>
      </w:pPr>
      <w:r w:rsidRPr="00EA579A">
        <w:rPr>
          <w:rFonts w:ascii="Book Antiqua" w:hAnsi="Book Antiqua"/>
          <w:b/>
          <w:szCs w:val="26"/>
        </w:rPr>
        <w:t xml:space="preserve">2.1 </w:t>
      </w:r>
      <w:r w:rsidRPr="00EA579A">
        <w:rPr>
          <w:rFonts w:ascii="Book Antiqua" w:hAnsi="Book Antiqua"/>
          <w:b/>
          <w:szCs w:val="26"/>
        </w:rPr>
        <w:tab/>
        <w:t>Data source</w:t>
      </w:r>
    </w:p>
    <w:p w14:paraId="41F1BB0E" w14:textId="77777777" w:rsidR="008474BB" w:rsidRPr="00E3232D" w:rsidRDefault="008474BB" w:rsidP="00EA579A">
      <w:pPr>
        <w:spacing w:after="0"/>
        <w:jc w:val="both"/>
        <w:rPr>
          <w:rFonts w:ascii="Book Antiqua" w:hAnsi="Book Antiqua"/>
        </w:rPr>
      </w:pPr>
      <w:r w:rsidRPr="00E3232D">
        <w:rPr>
          <w:rFonts w:ascii="Book Antiqua" w:hAnsi="Book Antiqua"/>
        </w:rPr>
        <w:t>The study relied heavily on secondary data obtained from the National Road Safety Commission of Ghana. The data specifically comprised of time series data on yearly road traffic accidents and population values for Ghana covering the period 1990 to 2012. Details of the data are presented in appendix I.</w:t>
      </w:r>
    </w:p>
    <w:p w14:paraId="71A1CCCB" w14:textId="77777777" w:rsidR="00EF4DA7" w:rsidRDefault="00EF4DA7" w:rsidP="00EA579A">
      <w:pPr>
        <w:spacing w:after="0"/>
        <w:jc w:val="both"/>
        <w:rPr>
          <w:rFonts w:ascii="Book Antiqua" w:hAnsi="Book Antiqua"/>
          <w:b/>
        </w:rPr>
      </w:pPr>
    </w:p>
    <w:p w14:paraId="673A773D" w14:textId="77777777" w:rsidR="008474BB" w:rsidRPr="00EA579A" w:rsidRDefault="008474BB" w:rsidP="00EA579A">
      <w:pPr>
        <w:spacing w:after="0"/>
        <w:jc w:val="both"/>
        <w:rPr>
          <w:rFonts w:ascii="Book Antiqua" w:hAnsi="Book Antiqua"/>
          <w:b/>
          <w:szCs w:val="26"/>
        </w:rPr>
      </w:pPr>
      <w:r w:rsidRPr="00EA579A">
        <w:rPr>
          <w:rFonts w:ascii="Book Antiqua" w:hAnsi="Book Antiqua"/>
          <w:b/>
          <w:szCs w:val="26"/>
        </w:rPr>
        <w:t xml:space="preserve">2.2 </w:t>
      </w:r>
      <w:r w:rsidRPr="00EA579A">
        <w:rPr>
          <w:rFonts w:ascii="Book Antiqua" w:hAnsi="Book Antiqua"/>
          <w:b/>
          <w:szCs w:val="26"/>
        </w:rPr>
        <w:tab/>
        <w:t>Method of data analyses</w:t>
      </w:r>
    </w:p>
    <w:p w14:paraId="48FD43CA" w14:textId="77777777" w:rsidR="008474BB" w:rsidRPr="00E3232D" w:rsidRDefault="008474BB" w:rsidP="00EA579A">
      <w:pPr>
        <w:spacing w:after="0"/>
        <w:jc w:val="both"/>
        <w:rPr>
          <w:rFonts w:ascii="Book Antiqua" w:hAnsi="Book Antiqua"/>
          <w:iCs/>
        </w:rPr>
      </w:pPr>
      <w:r w:rsidRPr="00E3232D">
        <w:rPr>
          <w:rFonts w:ascii="Book Antiqua" w:hAnsi="Book Antiqua"/>
          <w:iCs/>
        </w:rPr>
        <w:t>Data analyses were performed using Minitab. Exploratory data analyses were conducted to investigate patterns, relationships and checking of assumptions underlying the use of regression. This was followed by inferential analysis and subsequently interpretation of results as well as drawing valid conclusions. It is important to state that for</w:t>
      </w:r>
      <w:r w:rsidRPr="00E3232D">
        <w:rPr>
          <w:rFonts w:ascii="Book Antiqua" w:hAnsi="Book Antiqua"/>
        </w:rPr>
        <w:t xml:space="preserve"> all analyses P-value &lt; 0.05 was considered to be statistically significant.</w:t>
      </w:r>
    </w:p>
    <w:p w14:paraId="371E740D" w14:textId="77777777" w:rsidR="00EF4DA7" w:rsidRDefault="00EF4DA7" w:rsidP="00EA579A">
      <w:pPr>
        <w:spacing w:after="0"/>
        <w:jc w:val="both"/>
        <w:rPr>
          <w:rFonts w:ascii="Book Antiqua" w:hAnsi="Book Antiqua"/>
          <w:b/>
        </w:rPr>
      </w:pPr>
    </w:p>
    <w:p w14:paraId="2656DE22" w14:textId="77777777" w:rsidR="008474BB" w:rsidRPr="00EA579A" w:rsidRDefault="008474BB" w:rsidP="00EA579A">
      <w:pPr>
        <w:spacing w:after="0"/>
        <w:ind w:left="720" w:hanging="720"/>
        <w:jc w:val="both"/>
        <w:rPr>
          <w:rFonts w:ascii="Book Antiqua" w:hAnsi="Book Antiqua"/>
          <w:b/>
          <w:szCs w:val="26"/>
        </w:rPr>
      </w:pPr>
      <w:r w:rsidRPr="00EA579A">
        <w:rPr>
          <w:rFonts w:ascii="Book Antiqua" w:hAnsi="Book Antiqua"/>
          <w:b/>
          <w:szCs w:val="26"/>
        </w:rPr>
        <w:t xml:space="preserve">2.3 </w:t>
      </w:r>
      <w:r w:rsidRPr="00EA579A">
        <w:rPr>
          <w:rFonts w:ascii="Book Antiqua" w:hAnsi="Book Antiqua"/>
          <w:b/>
          <w:szCs w:val="26"/>
        </w:rPr>
        <w:tab/>
        <w:t>Model development and assumptions</w:t>
      </w:r>
    </w:p>
    <w:p w14:paraId="6D9475CC" w14:textId="77777777" w:rsidR="008474BB" w:rsidRPr="00E3232D" w:rsidRDefault="008474BB" w:rsidP="00EA579A">
      <w:pPr>
        <w:ind w:firstLine="720"/>
        <w:jc w:val="both"/>
        <w:rPr>
          <w:rFonts w:ascii="Book Antiqua" w:hAnsi="Book Antiqua"/>
        </w:rPr>
      </w:pPr>
      <w:r w:rsidRPr="00E3232D">
        <w:rPr>
          <w:rFonts w:ascii="Book Antiqua" w:hAnsi="Book Antiqua"/>
        </w:rPr>
        <w:t xml:space="preserve">The following assumptions as applied to fitting regression models were verified. </w:t>
      </w:r>
    </w:p>
    <w:p w14:paraId="7377FCD5" w14:textId="77777777" w:rsidR="008474BB" w:rsidRPr="00E3232D" w:rsidRDefault="008474BB" w:rsidP="00EA579A">
      <w:pPr>
        <w:jc w:val="both"/>
        <w:rPr>
          <w:rFonts w:ascii="Book Antiqua" w:hAnsi="Book Antiqua"/>
        </w:rPr>
      </w:pPr>
      <w:r w:rsidRPr="00E3232D">
        <w:rPr>
          <w:rFonts w:ascii="Book Antiqua" w:hAnsi="Book Antiqua"/>
        </w:rPr>
        <w:t>1.  There must be a linear relationship between X and Y, in this case road traffic accidents and population. Of course non-linear relationships are very common, and can be easily addressed.</w:t>
      </w:r>
    </w:p>
    <w:p w14:paraId="5D2B5C9B" w14:textId="77777777" w:rsidR="008474BB" w:rsidRPr="00E3232D" w:rsidRDefault="008474BB" w:rsidP="00EA579A">
      <w:pPr>
        <w:jc w:val="both"/>
        <w:rPr>
          <w:rFonts w:ascii="Book Antiqua" w:hAnsi="Book Antiqua"/>
        </w:rPr>
      </w:pPr>
      <w:r w:rsidRPr="00E3232D">
        <w:rPr>
          <w:rFonts w:ascii="Book Antiqua" w:hAnsi="Book Antiqua"/>
        </w:rPr>
        <w:t>2. The error terms should average out to zero, in the long run.</w:t>
      </w:r>
    </w:p>
    <w:p w14:paraId="638C8F6E" w14:textId="77777777" w:rsidR="008474BB" w:rsidRPr="00E3232D" w:rsidRDefault="008474BB" w:rsidP="00EA579A">
      <w:pPr>
        <w:jc w:val="both"/>
        <w:rPr>
          <w:rFonts w:ascii="Book Antiqua" w:hAnsi="Book Antiqua"/>
        </w:rPr>
      </w:pPr>
      <w:r w:rsidRPr="00E3232D">
        <w:rPr>
          <w:rFonts w:ascii="Book Antiqua" w:hAnsi="Book Antiqua"/>
        </w:rPr>
        <w:t>3. The variance of the error terms should be</w:t>
      </w:r>
      <w:r w:rsidR="00AD1DF0">
        <w:rPr>
          <w:rFonts w:ascii="Book Antiqua" w:hAnsi="Book Antiqua"/>
        </w:rPr>
        <w:t xml:space="preserve"> constant across observations.</w:t>
      </w:r>
      <w:r w:rsidRPr="00E3232D">
        <w:rPr>
          <w:rFonts w:ascii="Book Antiqua" w:hAnsi="Book Antiqua"/>
        </w:rPr>
        <w:t xml:space="preserve">That is also known as homoskedasticity. </w:t>
      </w:r>
    </w:p>
    <w:p w14:paraId="22676919" w14:textId="77777777" w:rsidR="008474BB" w:rsidRPr="00E3232D" w:rsidRDefault="008474BB" w:rsidP="00EA579A">
      <w:pPr>
        <w:jc w:val="both"/>
        <w:rPr>
          <w:rFonts w:ascii="Book Antiqua" w:hAnsi="Book Antiqua"/>
          <w:b/>
        </w:rPr>
      </w:pPr>
      <w:r w:rsidRPr="00E3232D">
        <w:rPr>
          <w:rFonts w:ascii="Book Antiqua" w:hAnsi="Book Antiqua"/>
        </w:rPr>
        <w:t xml:space="preserve"> 4. The error terms are not autocorrelated, any one residual is not correlated with any other residual.  </w:t>
      </w:r>
    </w:p>
    <w:p w14:paraId="74379A67" w14:textId="77777777" w:rsidR="00EF4DA7" w:rsidRPr="00EA579A" w:rsidRDefault="008474BB" w:rsidP="00EA579A">
      <w:pPr>
        <w:pStyle w:val="ListParagraph"/>
        <w:numPr>
          <w:ilvl w:val="0"/>
          <w:numId w:val="152"/>
        </w:numPr>
        <w:jc w:val="both"/>
        <w:rPr>
          <w:rFonts w:ascii="Book Antiqua" w:hAnsi="Book Antiqua"/>
          <w:b/>
          <w:sz w:val="26"/>
          <w:szCs w:val="26"/>
        </w:rPr>
      </w:pPr>
      <w:r w:rsidRPr="00B93231">
        <w:rPr>
          <w:rFonts w:ascii="Book Antiqua" w:hAnsi="Book Antiqua"/>
          <w:b/>
          <w:sz w:val="26"/>
          <w:szCs w:val="26"/>
        </w:rPr>
        <w:t>Results</w:t>
      </w:r>
    </w:p>
    <w:p w14:paraId="142B55B6" w14:textId="77777777" w:rsidR="008474BB" w:rsidRPr="00EA579A" w:rsidRDefault="00EA579A" w:rsidP="00EA579A">
      <w:pPr>
        <w:pStyle w:val="ListParagraph"/>
        <w:ind w:left="0"/>
        <w:jc w:val="both"/>
        <w:rPr>
          <w:rFonts w:ascii="Book Antiqua" w:hAnsi="Book Antiqua"/>
          <w:b/>
        </w:rPr>
      </w:pPr>
      <w:r w:rsidRPr="00EA579A">
        <w:rPr>
          <w:rFonts w:ascii="Book Antiqua" w:hAnsi="Book Antiqua"/>
          <w:b/>
        </w:rPr>
        <w:t xml:space="preserve">3.1 </w:t>
      </w:r>
      <w:r w:rsidR="008474BB" w:rsidRPr="00EA579A">
        <w:rPr>
          <w:rFonts w:ascii="Book Antiqua" w:hAnsi="Book Antiqua"/>
          <w:b/>
        </w:rPr>
        <w:t xml:space="preserve">Exploratory </w:t>
      </w:r>
      <w:r w:rsidRPr="00EA579A">
        <w:rPr>
          <w:rFonts w:ascii="Book Antiqua" w:hAnsi="Book Antiqua"/>
          <w:b/>
        </w:rPr>
        <w:t>Data Analysis</w:t>
      </w:r>
    </w:p>
    <w:p w14:paraId="5D83D6FF" w14:textId="77777777" w:rsidR="00B93231" w:rsidRDefault="008474BB" w:rsidP="00EA579A">
      <w:pPr>
        <w:jc w:val="both"/>
        <w:rPr>
          <w:rFonts w:ascii="Book Antiqua" w:hAnsi="Book Antiqua"/>
        </w:rPr>
      </w:pPr>
      <w:r w:rsidRPr="00E3232D">
        <w:rPr>
          <w:rFonts w:ascii="Book Antiqua" w:hAnsi="Book Antiqua"/>
        </w:rPr>
        <w:t xml:space="preserve">Figure 1 is the scatter plot showing the relationship between number of road traffic accidents and population in Ghana. It can be seen from the scatter plot that there exists a systematic visible pattern in the data resulting in the existence of a relationship between the two variables, but no clear outlier. As the population grew from year to year, it grew along with the number or the rate road traffic accidents indicating a positive relationship between these variables. However, the magnitude of the relationship is given by correlation coefficient in the subsequent analysis.  </w:t>
      </w:r>
    </w:p>
    <w:p w14:paraId="25DBD11A" w14:textId="77777777" w:rsidR="004B509C" w:rsidRDefault="004B509C" w:rsidP="00EF4DA7">
      <w:pPr>
        <w:rPr>
          <w:rFonts w:ascii="Book Antiqua" w:hAnsi="Book Antiqua"/>
          <w:b/>
        </w:rPr>
      </w:pPr>
    </w:p>
    <w:p w14:paraId="7CF18B76" w14:textId="77777777" w:rsidR="00223051" w:rsidRDefault="00223051" w:rsidP="00223051">
      <w:pPr>
        <w:autoSpaceDE w:val="0"/>
        <w:autoSpaceDN w:val="0"/>
        <w:adjustRightInd w:val="0"/>
        <w:rPr>
          <w:rFonts w:ascii="Book Antiqua" w:hAnsi="Book Antiqua"/>
          <w:b/>
          <w:bCs/>
        </w:rPr>
      </w:pPr>
    </w:p>
    <w:p w14:paraId="598036D6" w14:textId="77777777" w:rsidR="00083183" w:rsidRPr="00223051" w:rsidRDefault="00223051" w:rsidP="00223051">
      <w:pPr>
        <w:autoSpaceDE w:val="0"/>
        <w:autoSpaceDN w:val="0"/>
        <w:adjustRightInd w:val="0"/>
        <w:rPr>
          <w:rFonts w:ascii="Book Antiqua" w:hAnsi="Book Antiqua"/>
          <w:b/>
          <w:bCs/>
        </w:rPr>
      </w:pPr>
      <w:r w:rsidRPr="00E3232D">
        <w:rPr>
          <w:rFonts w:ascii="Book Antiqua" w:hAnsi="Book Antiqua"/>
          <w:b/>
          <w:bCs/>
        </w:rPr>
        <w:t>Table 2: Summary of Regression C</w:t>
      </w:r>
      <w:r>
        <w:rPr>
          <w:rFonts w:ascii="Book Antiqua" w:hAnsi="Book Antiqua"/>
          <w:b/>
          <w:bCs/>
        </w:rPr>
        <w:t>oefficients</w:t>
      </w:r>
    </w:p>
    <w:p w14:paraId="26C48B15" w14:textId="77777777" w:rsidR="00223051" w:rsidRPr="00223051" w:rsidRDefault="00B93231" w:rsidP="00223051">
      <w:pPr>
        <w:autoSpaceDE w:val="0"/>
        <w:autoSpaceDN w:val="0"/>
        <w:adjustRightInd w:val="0"/>
        <w:spacing w:after="0" w:line="240" w:lineRule="auto"/>
        <w:rPr>
          <w:rFonts w:ascii="Book Antiqua" w:hAnsi="Book Antiqua"/>
          <w:b/>
          <w:bCs/>
        </w:rPr>
      </w:pPr>
      <w:r w:rsidRPr="00E3232D">
        <w:rPr>
          <w:rFonts w:ascii="Book Antiqua" w:hAnsi="Book Antiqua"/>
        </w:rPr>
        <w:object w:dxaOrig="8640" w:dyaOrig="5760" w14:anchorId="5D8D0E95">
          <v:shape id="_x0000_i1059" type="#_x0000_t75" style="width:217.35pt;height:167.1pt" o:ole="">
            <v:imagedata r:id="rId369" o:title=""/>
          </v:shape>
          <o:OLEObject Type="Embed" ProgID="MtbGraph.Document.16" ShapeID="_x0000_i1059" DrawAspect="Content" ObjectID="_1680958717" r:id="rId370"/>
        </w:object>
      </w:r>
      <w:r w:rsidR="00223051" w:rsidRPr="00223051">
        <w:rPr>
          <w:rFonts w:ascii="Book Antiqua" w:hAnsi="Book Antiqua"/>
          <w:b/>
        </w:rPr>
        <w:t xml:space="preserve"> </w:t>
      </w:r>
      <w:r w:rsidR="00223051" w:rsidRPr="00E3232D">
        <w:rPr>
          <w:rFonts w:ascii="Book Antiqua" w:hAnsi="Book Antiqua"/>
          <w:b/>
        </w:rPr>
        <w:t>Figure 1: Scatter plot of road accidents</w:t>
      </w:r>
      <w:r w:rsidR="00223051" w:rsidRPr="00223051">
        <w:rPr>
          <w:rFonts w:ascii="Book Antiqua" w:hAnsi="Book Antiqua"/>
          <w:b/>
        </w:rPr>
        <w:t xml:space="preserve"> </w:t>
      </w:r>
      <w:r w:rsidR="00223051" w:rsidRPr="00E3232D">
        <w:rPr>
          <w:rFonts w:ascii="Book Antiqua" w:hAnsi="Book Antiqua"/>
          <w:b/>
        </w:rPr>
        <w:t>and population.</w:t>
      </w:r>
      <w:r w:rsidR="00223051" w:rsidRPr="00223051">
        <w:rPr>
          <w:rFonts w:ascii="Book Antiqua" w:hAnsi="Book Antiqua"/>
          <w:b/>
          <w:bCs/>
        </w:rPr>
        <w:t xml:space="preserve"> </w:t>
      </w:r>
    </w:p>
    <w:p w14:paraId="5D186836" w14:textId="77777777" w:rsidR="00223051" w:rsidRDefault="00223051" w:rsidP="00223051">
      <w:pPr>
        <w:rPr>
          <w:rFonts w:ascii="Book Antiqua" w:hAnsi="Book Antiqua"/>
        </w:rPr>
      </w:pPr>
    </w:p>
    <w:p w14:paraId="0C62D9AE" w14:textId="77777777" w:rsidR="00223051" w:rsidRDefault="00223051" w:rsidP="00223051">
      <w:pPr>
        <w:spacing w:after="0" w:line="240" w:lineRule="auto"/>
        <w:rPr>
          <w:rFonts w:ascii="Book Antiqua" w:hAnsi="Book Antiqua"/>
        </w:rPr>
        <w:sectPr w:rsidR="00223051" w:rsidSect="008F6BC9">
          <w:type w:val="continuous"/>
          <w:pgSz w:w="11907" w:h="16839" w:code="9"/>
          <w:pgMar w:top="1440" w:right="1440" w:bottom="1440" w:left="1440" w:header="720" w:footer="720" w:gutter="0"/>
          <w:cols w:num="2" w:space="720"/>
          <w:docGrid w:linePitch="360"/>
        </w:sectPr>
      </w:pPr>
    </w:p>
    <w:tbl>
      <w:tblPr>
        <w:tblStyle w:val="LightShading"/>
        <w:tblpPr w:leftFromText="180" w:rightFromText="180" w:vertAnchor="text" w:horzAnchor="margin" w:tblpY="100"/>
        <w:tblW w:w="0" w:type="auto"/>
        <w:tblLook w:val="04A0" w:firstRow="1" w:lastRow="0" w:firstColumn="1" w:lastColumn="0" w:noHBand="0" w:noVBand="1"/>
      </w:tblPr>
      <w:tblGrid>
        <w:gridCol w:w="1121"/>
        <w:gridCol w:w="1261"/>
        <w:gridCol w:w="1261"/>
        <w:gridCol w:w="711"/>
        <w:gridCol w:w="711"/>
        <w:gridCol w:w="898"/>
        <w:gridCol w:w="786"/>
      </w:tblGrid>
      <w:tr w:rsidR="00223051" w:rsidRPr="00E23D1E" w14:paraId="15531C3A" w14:textId="77777777" w:rsidTr="00223051">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001" w:type="dxa"/>
            <w:shd w:val="clear" w:color="auto" w:fill="auto"/>
          </w:tcPr>
          <w:p w14:paraId="47459791" w14:textId="77777777" w:rsidR="00223051" w:rsidRPr="00E23D1E" w:rsidRDefault="00223051" w:rsidP="00223051">
            <w:pPr>
              <w:autoSpaceDE w:val="0"/>
              <w:autoSpaceDN w:val="0"/>
              <w:adjustRightInd w:val="0"/>
              <w:rPr>
                <w:rFonts w:ascii="Book Antiqua" w:hAnsi="Book Antiqua"/>
                <w:b w:val="0"/>
              </w:rPr>
            </w:pPr>
            <w:r w:rsidRPr="00E23D1E">
              <w:rPr>
                <w:rFonts w:ascii="Book Antiqua" w:hAnsi="Book Antiqua"/>
                <w:b w:val="0"/>
              </w:rPr>
              <w:t xml:space="preserve">Predictor       </w:t>
            </w:r>
          </w:p>
        </w:tc>
        <w:tc>
          <w:tcPr>
            <w:tcW w:w="1126" w:type="dxa"/>
            <w:shd w:val="clear" w:color="auto" w:fill="auto"/>
          </w:tcPr>
          <w:p w14:paraId="53D467B9" w14:textId="77777777" w:rsidR="00223051" w:rsidRPr="00E23D1E" w:rsidRDefault="00223051" w:rsidP="0022305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E23D1E">
              <w:rPr>
                <w:rFonts w:ascii="Book Antiqua" w:hAnsi="Book Antiqua"/>
                <w:b w:val="0"/>
              </w:rPr>
              <w:t xml:space="preserve">Coef     </w:t>
            </w:r>
          </w:p>
        </w:tc>
        <w:tc>
          <w:tcPr>
            <w:tcW w:w="1126" w:type="dxa"/>
            <w:shd w:val="clear" w:color="auto" w:fill="auto"/>
          </w:tcPr>
          <w:p w14:paraId="169BFA14" w14:textId="77777777" w:rsidR="00223051" w:rsidRPr="00E23D1E" w:rsidRDefault="00223051" w:rsidP="0022305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E23D1E">
              <w:rPr>
                <w:rFonts w:ascii="Book Antiqua" w:hAnsi="Book Antiqua"/>
                <w:b w:val="0"/>
              </w:rPr>
              <w:t xml:space="preserve">SE Coef      </w:t>
            </w:r>
          </w:p>
        </w:tc>
        <w:tc>
          <w:tcPr>
            <w:tcW w:w="696" w:type="dxa"/>
            <w:shd w:val="clear" w:color="auto" w:fill="auto"/>
          </w:tcPr>
          <w:p w14:paraId="78D58AE2" w14:textId="77777777" w:rsidR="00223051" w:rsidRPr="00E23D1E" w:rsidRDefault="00223051" w:rsidP="0022305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E23D1E">
              <w:rPr>
                <w:rFonts w:ascii="Book Antiqua" w:hAnsi="Book Antiqua"/>
                <w:b w:val="0"/>
              </w:rPr>
              <w:t xml:space="preserve"> P    </w:t>
            </w:r>
          </w:p>
        </w:tc>
        <w:tc>
          <w:tcPr>
            <w:tcW w:w="696" w:type="dxa"/>
            <w:shd w:val="clear" w:color="auto" w:fill="auto"/>
          </w:tcPr>
          <w:p w14:paraId="333DF417" w14:textId="77777777" w:rsidR="00223051" w:rsidRPr="00E23D1E" w:rsidRDefault="00223051" w:rsidP="0022305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E23D1E">
              <w:rPr>
                <w:rFonts w:ascii="Book Antiqua" w:hAnsi="Book Antiqua"/>
                <w:b w:val="0"/>
              </w:rPr>
              <w:t>R-sq</w:t>
            </w:r>
          </w:p>
        </w:tc>
        <w:tc>
          <w:tcPr>
            <w:tcW w:w="802" w:type="dxa"/>
            <w:shd w:val="clear" w:color="auto" w:fill="auto"/>
          </w:tcPr>
          <w:p w14:paraId="6AC9F716" w14:textId="77777777" w:rsidR="00223051" w:rsidRPr="00E23D1E" w:rsidRDefault="00223051" w:rsidP="0022305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E23D1E">
              <w:rPr>
                <w:rFonts w:ascii="Book Antiqua" w:hAnsi="Book Antiqua"/>
                <w:b w:val="0"/>
              </w:rPr>
              <w:t>R-Sq(adj)</w:t>
            </w:r>
          </w:p>
        </w:tc>
        <w:tc>
          <w:tcPr>
            <w:tcW w:w="702" w:type="dxa"/>
            <w:shd w:val="clear" w:color="auto" w:fill="auto"/>
          </w:tcPr>
          <w:p w14:paraId="6118F3F0" w14:textId="77777777" w:rsidR="00223051" w:rsidRPr="00E23D1E" w:rsidRDefault="00223051" w:rsidP="0022305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E23D1E">
              <w:rPr>
                <w:rFonts w:ascii="Book Antiqua" w:hAnsi="Book Antiqua"/>
                <w:b w:val="0"/>
              </w:rPr>
              <w:t>VIF</w:t>
            </w:r>
          </w:p>
        </w:tc>
      </w:tr>
      <w:tr w:rsidR="00223051" w:rsidRPr="00E23D1E" w14:paraId="7B540D80" w14:textId="77777777" w:rsidTr="00223051">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1001" w:type="dxa"/>
            <w:shd w:val="clear" w:color="auto" w:fill="auto"/>
          </w:tcPr>
          <w:p w14:paraId="306E8EF9" w14:textId="77777777" w:rsidR="00223051" w:rsidRPr="00E23D1E" w:rsidRDefault="00223051" w:rsidP="00223051">
            <w:pPr>
              <w:autoSpaceDE w:val="0"/>
              <w:autoSpaceDN w:val="0"/>
              <w:adjustRightInd w:val="0"/>
              <w:rPr>
                <w:rFonts w:ascii="Book Antiqua" w:hAnsi="Book Antiqua"/>
              </w:rPr>
            </w:pPr>
            <w:r w:rsidRPr="00E23D1E">
              <w:rPr>
                <w:rFonts w:ascii="Book Antiqua" w:hAnsi="Book Antiqua"/>
              </w:rPr>
              <w:t xml:space="preserve">Constant         </w:t>
            </w:r>
          </w:p>
        </w:tc>
        <w:tc>
          <w:tcPr>
            <w:tcW w:w="1126" w:type="dxa"/>
            <w:shd w:val="clear" w:color="auto" w:fill="auto"/>
          </w:tcPr>
          <w:p w14:paraId="1C6FBF40" w14:textId="77777777" w:rsidR="00223051" w:rsidRPr="00E23D1E" w:rsidRDefault="00223051" w:rsidP="0022305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23D1E">
              <w:rPr>
                <w:rFonts w:ascii="Book Antiqua" w:hAnsi="Book Antiqua"/>
              </w:rPr>
              <w:t xml:space="preserve">-263        </w:t>
            </w:r>
          </w:p>
        </w:tc>
        <w:tc>
          <w:tcPr>
            <w:tcW w:w="1126" w:type="dxa"/>
            <w:shd w:val="clear" w:color="auto" w:fill="auto"/>
          </w:tcPr>
          <w:p w14:paraId="0608B718" w14:textId="77777777" w:rsidR="00223051" w:rsidRPr="00E23D1E" w:rsidRDefault="00223051" w:rsidP="0022305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23D1E">
              <w:rPr>
                <w:rFonts w:ascii="Book Antiqua" w:hAnsi="Book Antiqua"/>
              </w:rPr>
              <w:t xml:space="preserve">1499  </w:t>
            </w:r>
          </w:p>
        </w:tc>
        <w:tc>
          <w:tcPr>
            <w:tcW w:w="696" w:type="dxa"/>
            <w:shd w:val="clear" w:color="auto" w:fill="auto"/>
          </w:tcPr>
          <w:p w14:paraId="1764DA14" w14:textId="77777777" w:rsidR="00223051" w:rsidRPr="00E23D1E" w:rsidRDefault="00223051" w:rsidP="0022305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Book Antiqua" w:hAnsi="Book Antiqua"/>
              </w:rPr>
            </w:pPr>
          </w:p>
        </w:tc>
        <w:tc>
          <w:tcPr>
            <w:tcW w:w="696" w:type="dxa"/>
            <w:shd w:val="clear" w:color="auto" w:fill="auto"/>
          </w:tcPr>
          <w:p w14:paraId="130EFA40" w14:textId="77777777" w:rsidR="00223051" w:rsidRPr="00E23D1E" w:rsidRDefault="00223051" w:rsidP="0022305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23D1E">
              <w:rPr>
                <w:rFonts w:ascii="Book Antiqua" w:hAnsi="Book Antiqua"/>
              </w:rPr>
              <w:t>0.863</w:t>
            </w:r>
          </w:p>
        </w:tc>
        <w:tc>
          <w:tcPr>
            <w:tcW w:w="802" w:type="dxa"/>
            <w:shd w:val="clear" w:color="auto" w:fill="auto"/>
          </w:tcPr>
          <w:p w14:paraId="40A31994" w14:textId="77777777" w:rsidR="00223051" w:rsidRPr="00E23D1E" w:rsidRDefault="00223051" w:rsidP="0022305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23D1E">
              <w:rPr>
                <w:rFonts w:ascii="Book Antiqua" w:hAnsi="Book Antiqua"/>
              </w:rPr>
              <w:t>72.9%</w:t>
            </w:r>
          </w:p>
        </w:tc>
        <w:tc>
          <w:tcPr>
            <w:tcW w:w="702" w:type="dxa"/>
            <w:shd w:val="clear" w:color="auto" w:fill="auto"/>
          </w:tcPr>
          <w:p w14:paraId="4C1922AC" w14:textId="77777777" w:rsidR="00223051" w:rsidRPr="00E23D1E" w:rsidRDefault="00223051" w:rsidP="0022305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23D1E">
              <w:rPr>
                <w:rFonts w:ascii="Book Antiqua" w:hAnsi="Book Antiqua"/>
              </w:rPr>
              <w:t>71.3%</w:t>
            </w:r>
          </w:p>
        </w:tc>
      </w:tr>
      <w:tr w:rsidR="00223051" w:rsidRPr="00E23D1E" w14:paraId="3FFB872D" w14:textId="77777777" w:rsidTr="00223051">
        <w:trPr>
          <w:trHeight w:val="551"/>
        </w:trPr>
        <w:tc>
          <w:tcPr>
            <w:cnfStyle w:val="001000000000" w:firstRow="0" w:lastRow="0" w:firstColumn="1" w:lastColumn="0" w:oddVBand="0" w:evenVBand="0" w:oddHBand="0" w:evenHBand="0" w:firstRowFirstColumn="0" w:firstRowLastColumn="0" w:lastRowFirstColumn="0" w:lastRowLastColumn="0"/>
            <w:tcW w:w="1001" w:type="dxa"/>
            <w:shd w:val="clear" w:color="auto" w:fill="auto"/>
          </w:tcPr>
          <w:p w14:paraId="6296F2B7" w14:textId="77777777" w:rsidR="00223051" w:rsidRPr="00E23D1E" w:rsidRDefault="00223051" w:rsidP="00223051">
            <w:pPr>
              <w:autoSpaceDE w:val="0"/>
              <w:autoSpaceDN w:val="0"/>
              <w:adjustRightInd w:val="0"/>
              <w:rPr>
                <w:rFonts w:ascii="Book Antiqua" w:hAnsi="Book Antiqua"/>
              </w:rPr>
            </w:pPr>
            <w:r w:rsidRPr="00E23D1E">
              <w:rPr>
                <w:rFonts w:ascii="Book Antiqua" w:hAnsi="Book Antiqua"/>
              </w:rPr>
              <w:t xml:space="preserve">Pop (X1)   </w:t>
            </w:r>
          </w:p>
        </w:tc>
        <w:tc>
          <w:tcPr>
            <w:tcW w:w="1126" w:type="dxa"/>
            <w:shd w:val="clear" w:color="auto" w:fill="auto"/>
          </w:tcPr>
          <w:p w14:paraId="53EA4333" w14:textId="77777777" w:rsidR="00223051" w:rsidRPr="00E23D1E" w:rsidRDefault="00223051" w:rsidP="0022305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23D1E">
              <w:rPr>
                <w:rFonts w:ascii="Book Antiqua" w:hAnsi="Book Antiqua"/>
              </w:rPr>
              <w:t xml:space="preserve">0.00053198  </w:t>
            </w:r>
          </w:p>
        </w:tc>
        <w:tc>
          <w:tcPr>
            <w:tcW w:w="1126" w:type="dxa"/>
            <w:shd w:val="clear" w:color="auto" w:fill="auto"/>
          </w:tcPr>
          <w:p w14:paraId="5D20EADF" w14:textId="77777777" w:rsidR="00223051" w:rsidRPr="00E23D1E" w:rsidRDefault="00223051" w:rsidP="0022305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23D1E">
              <w:rPr>
                <w:rFonts w:ascii="Book Antiqua" w:hAnsi="Book Antiqua"/>
              </w:rPr>
              <w:t xml:space="preserve">0.00007654   </w:t>
            </w:r>
          </w:p>
        </w:tc>
        <w:tc>
          <w:tcPr>
            <w:tcW w:w="696" w:type="dxa"/>
            <w:shd w:val="clear" w:color="auto" w:fill="auto"/>
          </w:tcPr>
          <w:p w14:paraId="52DF43B4" w14:textId="77777777" w:rsidR="00223051" w:rsidRPr="00E23D1E" w:rsidRDefault="00223051" w:rsidP="0022305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23D1E">
              <w:rPr>
                <w:rFonts w:ascii="Book Antiqua" w:hAnsi="Book Antiqua"/>
              </w:rPr>
              <w:t xml:space="preserve"> 0.000  </w:t>
            </w:r>
          </w:p>
        </w:tc>
        <w:tc>
          <w:tcPr>
            <w:tcW w:w="696" w:type="dxa"/>
            <w:shd w:val="clear" w:color="auto" w:fill="auto"/>
          </w:tcPr>
          <w:p w14:paraId="5A35304C" w14:textId="77777777" w:rsidR="00223051" w:rsidRPr="00E23D1E" w:rsidRDefault="00223051" w:rsidP="0022305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Book Antiqua" w:hAnsi="Book Antiqua"/>
              </w:rPr>
            </w:pPr>
          </w:p>
        </w:tc>
        <w:tc>
          <w:tcPr>
            <w:tcW w:w="802" w:type="dxa"/>
            <w:shd w:val="clear" w:color="auto" w:fill="auto"/>
          </w:tcPr>
          <w:p w14:paraId="458AC0A1" w14:textId="77777777" w:rsidR="00223051" w:rsidRPr="00E23D1E" w:rsidRDefault="00223051" w:rsidP="0022305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Book Antiqua" w:hAnsi="Book Antiqua"/>
              </w:rPr>
            </w:pPr>
          </w:p>
        </w:tc>
        <w:tc>
          <w:tcPr>
            <w:tcW w:w="702" w:type="dxa"/>
            <w:shd w:val="clear" w:color="auto" w:fill="auto"/>
          </w:tcPr>
          <w:p w14:paraId="770CC557" w14:textId="77777777" w:rsidR="00223051" w:rsidRPr="00E23D1E" w:rsidRDefault="00223051" w:rsidP="0022305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23D1E">
              <w:rPr>
                <w:rFonts w:ascii="Book Antiqua" w:hAnsi="Book Antiqua"/>
              </w:rPr>
              <w:t>1.000</w:t>
            </w:r>
          </w:p>
        </w:tc>
      </w:tr>
    </w:tbl>
    <w:p w14:paraId="2F7DAAD5" w14:textId="77777777" w:rsidR="008474BB" w:rsidRPr="00E3232D" w:rsidRDefault="008474BB" w:rsidP="008275E1">
      <w:pPr>
        <w:autoSpaceDE w:val="0"/>
        <w:autoSpaceDN w:val="0"/>
        <w:adjustRightInd w:val="0"/>
        <w:rPr>
          <w:rFonts w:ascii="Book Antiqua" w:hAnsi="Book Antiqua"/>
        </w:rPr>
      </w:pPr>
    </w:p>
    <w:p w14:paraId="030F6CEC" w14:textId="77777777" w:rsidR="00223051" w:rsidRDefault="00223051" w:rsidP="008275E1">
      <w:pPr>
        <w:autoSpaceDE w:val="0"/>
        <w:autoSpaceDN w:val="0"/>
        <w:adjustRightInd w:val="0"/>
        <w:rPr>
          <w:rFonts w:ascii="Book Antiqua" w:hAnsi="Book Antiqua"/>
          <w:color w:val="000000"/>
        </w:rPr>
        <w:sectPr w:rsidR="00223051" w:rsidSect="00223051">
          <w:type w:val="continuous"/>
          <w:pgSz w:w="11907" w:h="16839" w:code="9"/>
          <w:pgMar w:top="1440" w:right="1440" w:bottom="1440" w:left="1440" w:header="720" w:footer="720" w:gutter="0"/>
          <w:cols w:space="720"/>
          <w:docGrid w:linePitch="360"/>
        </w:sectPr>
      </w:pPr>
    </w:p>
    <w:p w14:paraId="01D24E6A" w14:textId="77777777" w:rsidR="008474BB" w:rsidRPr="00E3232D" w:rsidRDefault="008474BB" w:rsidP="008275E1">
      <w:pPr>
        <w:autoSpaceDE w:val="0"/>
        <w:autoSpaceDN w:val="0"/>
        <w:adjustRightInd w:val="0"/>
        <w:rPr>
          <w:rFonts w:ascii="Book Antiqua" w:hAnsi="Book Antiqua"/>
          <w:color w:val="000000"/>
        </w:rPr>
      </w:pPr>
      <w:r w:rsidRPr="00E3232D">
        <w:rPr>
          <w:rFonts w:ascii="Book Antiqua" w:hAnsi="Book Antiqua"/>
          <w:color w:val="000000"/>
        </w:rPr>
        <w:t xml:space="preserve">The Table 2 above reports the regression coefficients and other vital statistics, which are interpreted as flows: </w:t>
      </w:r>
    </w:p>
    <w:p w14:paraId="7C16E038" w14:textId="77777777" w:rsidR="008474BB" w:rsidRPr="00E3232D" w:rsidRDefault="008474BB" w:rsidP="00EA579A">
      <w:pPr>
        <w:autoSpaceDE w:val="0"/>
        <w:autoSpaceDN w:val="0"/>
        <w:adjustRightInd w:val="0"/>
        <w:jc w:val="both"/>
        <w:rPr>
          <w:rFonts w:ascii="Book Antiqua" w:hAnsi="Book Antiqua"/>
        </w:rPr>
      </w:pPr>
      <w:r w:rsidRPr="00E3232D">
        <w:rPr>
          <w:rFonts w:ascii="Book Antiqua" w:hAnsi="Book Antiqua"/>
          <w:color w:val="000000"/>
        </w:rPr>
        <w:t>The regression model, which establishes the relationship between total yearly accidents and population is thus given as</w:t>
      </w:r>
      <w:r w:rsidRPr="00E3232D">
        <w:rPr>
          <w:rFonts w:ascii="Book Antiqua" w:hAnsi="Book Antiqua"/>
        </w:rPr>
        <w:t xml:space="preserve"> Y = - 263 + 0.000532X, where Y is the total number of accidents in a year and X being the total yearly population.</w:t>
      </w:r>
    </w:p>
    <w:p w14:paraId="14A4BF86" w14:textId="77777777" w:rsidR="008474BB" w:rsidRPr="00E3232D" w:rsidRDefault="008474BB" w:rsidP="00EA579A">
      <w:pPr>
        <w:autoSpaceDE w:val="0"/>
        <w:autoSpaceDN w:val="0"/>
        <w:adjustRightInd w:val="0"/>
        <w:jc w:val="both"/>
        <w:rPr>
          <w:rFonts w:ascii="Book Antiqua" w:hAnsi="Book Antiqua"/>
        </w:rPr>
      </w:pPr>
      <w:r w:rsidRPr="00E3232D">
        <w:rPr>
          <w:rFonts w:ascii="Book Antiqua" w:hAnsi="Book Antiqua"/>
        </w:rPr>
        <w:t>The value of -263 is interpreted in absolute terms to be the total number of yearly accidents when the total population is set to zero and all other factors are held constant, whilst the coefficient of  X of 0.000532 is the rate or magnitude of change in the number of accidents as a result of a change in the population. Its positive sign is an indication of the fact that there is a positive association between road traffic accidents and the population as already established by the scatter plot in the preliminary analysis above.</w:t>
      </w:r>
    </w:p>
    <w:p w14:paraId="0F543B58" w14:textId="77777777" w:rsidR="008474BB" w:rsidRPr="00E3232D" w:rsidRDefault="008474BB" w:rsidP="00EA579A">
      <w:pPr>
        <w:autoSpaceDE w:val="0"/>
        <w:autoSpaceDN w:val="0"/>
        <w:adjustRightInd w:val="0"/>
        <w:jc w:val="both"/>
        <w:rPr>
          <w:rFonts w:ascii="Book Antiqua" w:hAnsi="Book Antiqua"/>
        </w:rPr>
      </w:pPr>
      <w:r w:rsidRPr="00E3232D">
        <w:rPr>
          <w:rFonts w:ascii="Book Antiqua" w:hAnsi="Book Antiqua"/>
        </w:rPr>
        <w:t>Again, the p-values indicate that the constant term is insignificant since it is greater than the chosen alpha level of 0.05, whilst that of the predictor variable (X) of 0.000 shows a highly significant even though it quite smaller, with approximately 0 standard error.</w:t>
      </w:r>
    </w:p>
    <w:p w14:paraId="2D755345" w14:textId="77777777" w:rsidR="00223051" w:rsidRDefault="00223051" w:rsidP="00223051">
      <w:pPr>
        <w:autoSpaceDE w:val="0"/>
        <w:autoSpaceDN w:val="0"/>
        <w:adjustRightInd w:val="0"/>
        <w:jc w:val="both"/>
        <w:rPr>
          <w:rFonts w:ascii="Book Antiqua" w:hAnsi="Book Antiqua"/>
        </w:rPr>
      </w:pPr>
    </w:p>
    <w:p w14:paraId="09084FAB" w14:textId="77777777" w:rsidR="00223051" w:rsidRDefault="00223051" w:rsidP="00223051">
      <w:pPr>
        <w:autoSpaceDE w:val="0"/>
        <w:autoSpaceDN w:val="0"/>
        <w:adjustRightInd w:val="0"/>
        <w:jc w:val="both"/>
        <w:rPr>
          <w:rFonts w:ascii="Book Antiqua" w:hAnsi="Book Antiqua"/>
        </w:rPr>
      </w:pPr>
    </w:p>
    <w:p w14:paraId="1EE4FF2E" w14:textId="77777777" w:rsidR="00223051" w:rsidRDefault="00223051" w:rsidP="00223051">
      <w:pPr>
        <w:autoSpaceDE w:val="0"/>
        <w:autoSpaceDN w:val="0"/>
        <w:adjustRightInd w:val="0"/>
        <w:jc w:val="both"/>
        <w:rPr>
          <w:rFonts w:ascii="Book Antiqua" w:hAnsi="Book Antiqua"/>
        </w:rPr>
      </w:pPr>
    </w:p>
    <w:p w14:paraId="521E5A0E" w14:textId="77777777" w:rsidR="00223051" w:rsidRDefault="00223051" w:rsidP="00223051">
      <w:pPr>
        <w:autoSpaceDE w:val="0"/>
        <w:autoSpaceDN w:val="0"/>
        <w:adjustRightInd w:val="0"/>
        <w:jc w:val="both"/>
        <w:rPr>
          <w:rFonts w:ascii="Book Antiqua" w:hAnsi="Book Antiqua"/>
        </w:rPr>
      </w:pPr>
    </w:p>
    <w:p w14:paraId="7171BCD3" w14:textId="77777777" w:rsidR="00223051" w:rsidRDefault="00223051" w:rsidP="00223051">
      <w:pPr>
        <w:autoSpaceDE w:val="0"/>
        <w:autoSpaceDN w:val="0"/>
        <w:adjustRightInd w:val="0"/>
        <w:jc w:val="both"/>
        <w:rPr>
          <w:rFonts w:ascii="Book Antiqua" w:hAnsi="Book Antiqua"/>
        </w:rPr>
      </w:pPr>
    </w:p>
    <w:p w14:paraId="3365E084" w14:textId="77777777" w:rsidR="008474BB" w:rsidRPr="00E3232D" w:rsidRDefault="008474BB" w:rsidP="00223051">
      <w:pPr>
        <w:autoSpaceDE w:val="0"/>
        <w:autoSpaceDN w:val="0"/>
        <w:adjustRightInd w:val="0"/>
        <w:jc w:val="both"/>
        <w:rPr>
          <w:rFonts w:ascii="Book Antiqua" w:hAnsi="Book Antiqua"/>
        </w:rPr>
      </w:pPr>
      <w:r w:rsidRPr="00E3232D">
        <w:rPr>
          <w:rFonts w:ascii="Book Antiqua" w:hAnsi="Book Antiqua"/>
        </w:rPr>
        <w:t>Furthermore, the coefficient of</w:t>
      </w:r>
      <w:r w:rsidR="00223051">
        <w:rPr>
          <w:rFonts w:ascii="Book Antiqua" w:hAnsi="Book Antiqua"/>
        </w:rPr>
        <w:t xml:space="preserve"> </w:t>
      </w:r>
      <w:r w:rsidRPr="00E3232D">
        <w:rPr>
          <w:rFonts w:ascii="Book Antiqua" w:hAnsi="Book Antiqua"/>
        </w:rPr>
        <w:t xml:space="preserve">determination (R-sq) of 72.9% indicates that for the period under study based on the available data, population is able to account for 72.9% of the changes in accidents in the country with only 27.1% not being explained by population but rather by other variables which were not included in the study. </w:t>
      </w:r>
    </w:p>
    <w:p w14:paraId="6662F726" w14:textId="77777777" w:rsidR="00EF4DA7" w:rsidRDefault="00EF4DA7" w:rsidP="00EA579A">
      <w:pPr>
        <w:autoSpaceDE w:val="0"/>
        <w:autoSpaceDN w:val="0"/>
        <w:adjustRightInd w:val="0"/>
        <w:spacing w:after="0"/>
        <w:jc w:val="both"/>
        <w:rPr>
          <w:rFonts w:ascii="Book Antiqua" w:hAnsi="Book Antiqua"/>
        </w:rPr>
      </w:pPr>
    </w:p>
    <w:p w14:paraId="7DB06CC7" w14:textId="77777777" w:rsidR="008474BB" w:rsidRPr="00E3232D" w:rsidRDefault="008474BB" w:rsidP="00EA579A">
      <w:pPr>
        <w:autoSpaceDE w:val="0"/>
        <w:autoSpaceDN w:val="0"/>
        <w:adjustRightInd w:val="0"/>
        <w:spacing w:after="0"/>
        <w:jc w:val="both"/>
        <w:rPr>
          <w:rFonts w:ascii="Book Antiqua" w:hAnsi="Book Antiqua"/>
        </w:rPr>
      </w:pPr>
      <w:r w:rsidRPr="00E3232D">
        <w:rPr>
          <w:rFonts w:ascii="Book Antiqua" w:hAnsi="Book Antiqua"/>
        </w:rPr>
        <w:t xml:space="preserve">The adjusted coefficient of determination (R-Sq (adj)) of 71.3 indicates that the model specifically has an explanatory power of 71.3% specifically adjusted for the degrees of freedom with regard to the explanatory variable. It implies that population as an explanatory variable did not improve the model more than expected by chance.  </w:t>
      </w:r>
    </w:p>
    <w:p w14:paraId="744A17C9" w14:textId="77777777" w:rsidR="00B93231" w:rsidRPr="00EA579A" w:rsidRDefault="008474BB" w:rsidP="00EA579A">
      <w:pPr>
        <w:spacing w:before="100" w:beforeAutospacing="1" w:after="100" w:afterAutospacing="1"/>
        <w:jc w:val="both"/>
        <w:outlineLvl w:val="1"/>
        <w:rPr>
          <w:rFonts w:ascii="Book Antiqua" w:hAnsi="Book Antiqua"/>
          <w:bCs/>
        </w:rPr>
      </w:pPr>
      <w:r w:rsidRPr="00E3232D">
        <w:rPr>
          <w:rFonts w:ascii="Book Antiqua" w:hAnsi="Book Antiqua"/>
          <w:bCs/>
          <w:color w:val="000000"/>
        </w:rPr>
        <w:t>Finally, variance inflation factor</w:t>
      </w:r>
      <w:r w:rsidRPr="00E3232D">
        <w:rPr>
          <w:rFonts w:ascii="Book Antiqua" w:hAnsi="Book Antiqua"/>
          <w:bCs/>
        </w:rPr>
        <w:t xml:space="preserve"> (VIF) of 1.00 implies the absence of correlation in the values of the predictor variable.</w:t>
      </w:r>
    </w:p>
    <w:p w14:paraId="597F5FD9" w14:textId="77777777" w:rsidR="00761010" w:rsidRDefault="00761010" w:rsidP="008275E1">
      <w:pPr>
        <w:autoSpaceDE w:val="0"/>
        <w:autoSpaceDN w:val="0"/>
        <w:adjustRightInd w:val="0"/>
        <w:rPr>
          <w:rFonts w:ascii="Book Antiqua" w:hAnsi="Book Antiqua"/>
          <w:b/>
        </w:rPr>
      </w:pPr>
    </w:p>
    <w:p w14:paraId="068CDBFB" w14:textId="77777777" w:rsidR="00761010" w:rsidRDefault="00761010" w:rsidP="008275E1">
      <w:pPr>
        <w:autoSpaceDE w:val="0"/>
        <w:autoSpaceDN w:val="0"/>
        <w:adjustRightInd w:val="0"/>
        <w:rPr>
          <w:rFonts w:ascii="Book Antiqua" w:hAnsi="Book Antiqua"/>
          <w:b/>
        </w:rPr>
      </w:pPr>
    </w:p>
    <w:p w14:paraId="64DFDEFC" w14:textId="77777777" w:rsidR="00761010" w:rsidRDefault="00761010" w:rsidP="008275E1">
      <w:pPr>
        <w:autoSpaceDE w:val="0"/>
        <w:autoSpaceDN w:val="0"/>
        <w:adjustRightInd w:val="0"/>
        <w:rPr>
          <w:rFonts w:ascii="Book Antiqua" w:hAnsi="Book Antiqua"/>
          <w:b/>
        </w:rPr>
      </w:pPr>
    </w:p>
    <w:p w14:paraId="7B7A493A" w14:textId="77777777" w:rsidR="008474BB" w:rsidRPr="00E3232D" w:rsidRDefault="00083183" w:rsidP="008275E1">
      <w:pPr>
        <w:autoSpaceDE w:val="0"/>
        <w:autoSpaceDN w:val="0"/>
        <w:adjustRightInd w:val="0"/>
        <w:rPr>
          <w:rFonts w:ascii="Book Antiqua" w:hAnsi="Book Antiqua"/>
          <w:b/>
        </w:rPr>
      </w:pPr>
      <w:r>
        <w:rPr>
          <w:rFonts w:ascii="Book Antiqua" w:hAnsi="Book Antiqua"/>
          <w:b/>
        </w:rPr>
        <w:t>Table 3: Analysis of Variance</w:t>
      </w:r>
    </w:p>
    <w:tbl>
      <w:tblPr>
        <w:tblStyle w:val="LightShading"/>
        <w:tblW w:w="0" w:type="auto"/>
        <w:tblLook w:val="04E0" w:firstRow="1" w:lastRow="1" w:firstColumn="1" w:lastColumn="0" w:noHBand="0" w:noVBand="1"/>
      </w:tblPr>
      <w:tblGrid>
        <w:gridCol w:w="1038"/>
        <w:gridCol w:w="433"/>
        <w:gridCol w:w="867"/>
        <w:gridCol w:w="867"/>
        <w:gridCol w:w="582"/>
        <w:gridCol w:w="582"/>
      </w:tblGrid>
      <w:tr w:rsidR="00761010" w:rsidRPr="00F56296" w14:paraId="0F505B6C" w14:textId="77777777" w:rsidTr="002E6F61">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237" w:type="dxa"/>
            <w:shd w:val="clear" w:color="auto" w:fill="auto"/>
          </w:tcPr>
          <w:p w14:paraId="1D58348D" w14:textId="77777777" w:rsidR="00761010" w:rsidRPr="00F56296" w:rsidRDefault="00761010" w:rsidP="00761010">
            <w:pPr>
              <w:autoSpaceDE w:val="0"/>
              <w:autoSpaceDN w:val="0"/>
              <w:adjustRightInd w:val="0"/>
              <w:spacing w:after="0" w:line="240" w:lineRule="auto"/>
              <w:rPr>
                <w:rFonts w:ascii="Book Antiqua" w:hAnsi="Book Antiqua"/>
              </w:rPr>
            </w:pPr>
            <w:r w:rsidRPr="00F56296">
              <w:rPr>
                <w:rFonts w:ascii="Book Antiqua" w:hAnsi="Book Antiqua"/>
              </w:rPr>
              <w:t xml:space="preserve">Source          </w:t>
            </w:r>
          </w:p>
        </w:tc>
        <w:tc>
          <w:tcPr>
            <w:tcW w:w="474" w:type="dxa"/>
            <w:shd w:val="clear" w:color="auto" w:fill="auto"/>
          </w:tcPr>
          <w:p w14:paraId="5BE4D013" w14:textId="77777777" w:rsidR="00761010" w:rsidRPr="00F56296" w:rsidRDefault="00761010" w:rsidP="00761010">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F56296">
              <w:rPr>
                <w:rFonts w:ascii="Book Antiqua" w:hAnsi="Book Antiqua"/>
                <w:b w:val="0"/>
              </w:rPr>
              <w:t xml:space="preserve">DF        </w:t>
            </w:r>
          </w:p>
        </w:tc>
        <w:tc>
          <w:tcPr>
            <w:tcW w:w="1020" w:type="dxa"/>
            <w:shd w:val="clear" w:color="auto" w:fill="auto"/>
          </w:tcPr>
          <w:p w14:paraId="740F5459" w14:textId="77777777" w:rsidR="00761010" w:rsidRPr="00F56296" w:rsidRDefault="00761010" w:rsidP="00761010">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F56296">
              <w:rPr>
                <w:rFonts w:ascii="Book Antiqua" w:hAnsi="Book Antiqua"/>
                <w:b w:val="0"/>
              </w:rPr>
              <w:t xml:space="preserve">SS        </w:t>
            </w:r>
          </w:p>
        </w:tc>
        <w:tc>
          <w:tcPr>
            <w:tcW w:w="1020" w:type="dxa"/>
            <w:shd w:val="clear" w:color="auto" w:fill="auto"/>
          </w:tcPr>
          <w:p w14:paraId="0B23C64F" w14:textId="77777777" w:rsidR="00761010" w:rsidRPr="00F56296" w:rsidRDefault="00761010" w:rsidP="00761010">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F56296">
              <w:rPr>
                <w:rFonts w:ascii="Book Antiqua" w:hAnsi="Book Antiqua"/>
                <w:b w:val="0"/>
              </w:rPr>
              <w:t xml:space="preserve">MS      </w:t>
            </w:r>
          </w:p>
        </w:tc>
        <w:tc>
          <w:tcPr>
            <w:tcW w:w="662" w:type="dxa"/>
            <w:shd w:val="clear" w:color="auto" w:fill="auto"/>
          </w:tcPr>
          <w:p w14:paraId="767B6E6E" w14:textId="77777777" w:rsidR="00761010" w:rsidRPr="00F56296" w:rsidRDefault="00761010" w:rsidP="00761010">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F56296">
              <w:rPr>
                <w:rFonts w:ascii="Book Antiqua" w:hAnsi="Book Antiqua"/>
                <w:b w:val="0"/>
              </w:rPr>
              <w:t xml:space="preserve">F      </w:t>
            </w:r>
          </w:p>
        </w:tc>
        <w:tc>
          <w:tcPr>
            <w:tcW w:w="662" w:type="dxa"/>
            <w:shd w:val="clear" w:color="auto" w:fill="auto"/>
          </w:tcPr>
          <w:p w14:paraId="784878D4" w14:textId="77777777" w:rsidR="00761010" w:rsidRPr="00F56296" w:rsidRDefault="00761010" w:rsidP="00761010">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rPr>
            </w:pPr>
            <w:r w:rsidRPr="00F56296">
              <w:rPr>
                <w:rFonts w:ascii="Book Antiqua" w:hAnsi="Book Antiqua"/>
                <w:b w:val="0"/>
              </w:rPr>
              <w:t>P</w:t>
            </w:r>
          </w:p>
        </w:tc>
      </w:tr>
      <w:tr w:rsidR="00761010" w:rsidRPr="00F56296" w14:paraId="5F7B5F17" w14:textId="77777777" w:rsidTr="002E6F61">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1237" w:type="dxa"/>
            <w:shd w:val="clear" w:color="auto" w:fill="auto"/>
          </w:tcPr>
          <w:p w14:paraId="18D00232" w14:textId="77777777" w:rsidR="00761010" w:rsidRPr="00F56296" w:rsidRDefault="00761010" w:rsidP="00761010">
            <w:pPr>
              <w:autoSpaceDE w:val="0"/>
              <w:autoSpaceDN w:val="0"/>
              <w:adjustRightInd w:val="0"/>
              <w:spacing w:after="0" w:line="240" w:lineRule="auto"/>
              <w:rPr>
                <w:rFonts w:ascii="Book Antiqua" w:hAnsi="Book Antiqua"/>
              </w:rPr>
            </w:pPr>
            <w:r w:rsidRPr="00F56296">
              <w:rPr>
                <w:rFonts w:ascii="Book Antiqua" w:hAnsi="Book Antiqua"/>
              </w:rPr>
              <w:t xml:space="preserve">Regression       </w:t>
            </w:r>
          </w:p>
        </w:tc>
        <w:tc>
          <w:tcPr>
            <w:tcW w:w="474" w:type="dxa"/>
            <w:shd w:val="clear" w:color="auto" w:fill="auto"/>
          </w:tcPr>
          <w:p w14:paraId="7EF10855" w14:textId="77777777" w:rsidR="00761010" w:rsidRPr="00F56296" w:rsidRDefault="00761010" w:rsidP="00761010">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F56296">
              <w:rPr>
                <w:rFonts w:ascii="Book Antiqua" w:hAnsi="Book Antiqua"/>
              </w:rPr>
              <w:t>1</w:t>
            </w:r>
          </w:p>
        </w:tc>
        <w:tc>
          <w:tcPr>
            <w:tcW w:w="1020" w:type="dxa"/>
            <w:shd w:val="clear" w:color="auto" w:fill="auto"/>
          </w:tcPr>
          <w:p w14:paraId="7FD9B2B7" w14:textId="77777777" w:rsidR="00761010" w:rsidRPr="00F56296" w:rsidRDefault="00761010" w:rsidP="00761010">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F56296">
              <w:rPr>
                <w:rFonts w:ascii="Book Antiqua" w:hAnsi="Book Antiqua"/>
              </w:rPr>
              <w:t xml:space="preserve">51006785  </w:t>
            </w:r>
          </w:p>
        </w:tc>
        <w:tc>
          <w:tcPr>
            <w:tcW w:w="1020" w:type="dxa"/>
            <w:shd w:val="clear" w:color="auto" w:fill="auto"/>
          </w:tcPr>
          <w:p w14:paraId="5DAA10D6" w14:textId="77777777" w:rsidR="00761010" w:rsidRPr="00F56296" w:rsidRDefault="00761010" w:rsidP="00761010">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F56296">
              <w:rPr>
                <w:rFonts w:ascii="Book Antiqua" w:hAnsi="Book Antiqua"/>
              </w:rPr>
              <w:t xml:space="preserve">51006785  </w:t>
            </w:r>
          </w:p>
        </w:tc>
        <w:tc>
          <w:tcPr>
            <w:tcW w:w="662" w:type="dxa"/>
            <w:shd w:val="clear" w:color="auto" w:fill="auto"/>
          </w:tcPr>
          <w:p w14:paraId="6054D368" w14:textId="77777777" w:rsidR="00761010" w:rsidRPr="00F56296" w:rsidRDefault="00761010" w:rsidP="00761010">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F56296">
              <w:rPr>
                <w:rFonts w:ascii="Book Antiqua" w:hAnsi="Book Antiqua"/>
              </w:rPr>
              <w:t xml:space="preserve">48.30  </w:t>
            </w:r>
          </w:p>
        </w:tc>
        <w:tc>
          <w:tcPr>
            <w:tcW w:w="662" w:type="dxa"/>
            <w:shd w:val="clear" w:color="auto" w:fill="auto"/>
          </w:tcPr>
          <w:p w14:paraId="313F2BAD" w14:textId="77777777" w:rsidR="00761010" w:rsidRPr="00F56296" w:rsidRDefault="00761010" w:rsidP="00761010">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F56296">
              <w:rPr>
                <w:rFonts w:ascii="Book Antiqua" w:hAnsi="Book Antiqua"/>
              </w:rPr>
              <w:t>0.000</w:t>
            </w:r>
          </w:p>
        </w:tc>
      </w:tr>
      <w:tr w:rsidR="00761010" w:rsidRPr="00F56296" w14:paraId="7E0D6F12" w14:textId="77777777" w:rsidTr="002E6F61">
        <w:trPr>
          <w:trHeight w:val="815"/>
        </w:trPr>
        <w:tc>
          <w:tcPr>
            <w:cnfStyle w:val="001000000000" w:firstRow="0" w:lastRow="0" w:firstColumn="1" w:lastColumn="0" w:oddVBand="0" w:evenVBand="0" w:oddHBand="0" w:evenHBand="0" w:firstRowFirstColumn="0" w:firstRowLastColumn="0" w:lastRowFirstColumn="0" w:lastRowLastColumn="0"/>
            <w:tcW w:w="1237" w:type="dxa"/>
            <w:shd w:val="clear" w:color="auto" w:fill="auto"/>
          </w:tcPr>
          <w:p w14:paraId="1AFBEDFE" w14:textId="77777777" w:rsidR="00761010" w:rsidRPr="00F56296" w:rsidRDefault="00761010" w:rsidP="00761010">
            <w:pPr>
              <w:autoSpaceDE w:val="0"/>
              <w:autoSpaceDN w:val="0"/>
              <w:adjustRightInd w:val="0"/>
              <w:spacing w:after="0" w:line="240" w:lineRule="auto"/>
              <w:rPr>
                <w:rFonts w:ascii="Book Antiqua" w:hAnsi="Book Antiqua"/>
              </w:rPr>
            </w:pPr>
            <w:r w:rsidRPr="00F56296">
              <w:rPr>
                <w:rFonts w:ascii="Book Antiqua" w:hAnsi="Book Antiqua"/>
              </w:rPr>
              <w:t xml:space="preserve">Residual Error  </w:t>
            </w:r>
          </w:p>
        </w:tc>
        <w:tc>
          <w:tcPr>
            <w:tcW w:w="474" w:type="dxa"/>
            <w:shd w:val="clear" w:color="auto" w:fill="auto"/>
          </w:tcPr>
          <w:p w14:paraId="4DE5EDAF" w14:textId="77777777" w:rsidR="00761010" w:rsidRPr="00F56296" w:rsidRDefault="00761010" w:rsidP="00761010">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F56296">
              <w:rPr>
                <w:rFonts w:ascii="Book Antiqua" w:hAnsi="Book Antiqua"/>
              </w:rPr>
              <w:t>18</w:t>
            </w:r>
          </w:p>
        </w:tc>
        <w:tc>
          <w:tcPr>
            <w:tcW w:w="1020" w:type="dxa"/>
            <w:shd w:val="clear" w:color="auto" w:fill="auto"/>
          </w:tcPr>
          <w:p w14:paraId="08DC2633" w14:textId="77777777" w:rsidR="00761010" w:rsidRPr="00F56296" w:rsidRDefault="00761010" w:rsidP="00761010">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F56296">
              <w:rPr>
                <w:rFonts w:ascii="Book Antiqua" w:hAnsi="Book Antiqua"/>
              </w:rPr>
              <w:t xml:space="preserve">19007715   </w:t>
            </w:r>
          </w:p>
        </w:tc>
        <w:tc>
          <w:tcPr>
            <w:tcW w:w="1020" w:type="dxa"/>
            <w:shd w:val="clear" w:color="auto" w:fill="auto"/>
          </w:tcPr>
          <w:p w14:paraId="00B21AEB" w14:textId="77777777" w:rsidR="00761010" w:rsidRPr="00F56296" w:rsidRDefault="00761010" w:rsidP="00761010">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F56296">
              <w:rPr>
                <w:rFonts w:ascii="Book Antiqua" w:hAnsi="Book Antiqua"/>
              </w:rPr>
              <w:t>1055984</w:t>
            </w:r>
          </w:p>
        </w:tc>
        <w:tc>
          <w:tcPr>
            <w:tcW w:w="662" w:type="dxa"/>
            <w:shd w:val="clear" w:color="auto" w:fill="auto"/>
          </w:tcPr>
          <w:p w14:paraId="4BBF592D" w14:textId="77777777" w:rsidR="00761010" w:rsidRPr="00F56296" w:rsidRDefault="00761010" w:rsidP="00761010">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tc>
        <w:tc>
          <w:tcPr>
            <w:tcW w:w="662" w:type="dxa"/>
            <w:shd w:val="clear" w:color="auto" w:fill="auto"/>
          </w:tcPr>
          <w:p w14:paraId="06CCE8D9" w14:textId="77777777" w:rsidR="00761010" w:rsidRPr="00F56296" w:rsidRDefault="00761010" w:rsidP="00761010">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tc>
      </w:tr>
      <w:tr w:rsidR="00761010" w:rsidRPr="00F56296" w14:paraId="40A758FA" w14:textId="77777777" w:rsidTr="002E6F61">
        <w:trPr>
          <w:cnfStyle w:val="010000000000" w:firstRow="0" w:lastRow="1" w:firstColumn="0" w:lastColumn="0" w:oddVBand="0" w:evenVBand="0" w:oddHBand="0"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1237" w:type="dxa"/>
            <w:shd w:val="clear" w:color="auto" w:fill="auto"/>
          </w:tcPr>
          <w:p w14:paraId="646B061D" w14:textId="77777777" w:rsidR="00761010" w:rsidRPr="00F56296" w:rsidRDefault="00761010" w:rsidP="00761010">
            <w:pPr>
              <w:autoSpaceDE w:val="0"/>
              <w:autoSpaceDN w:val="0"/>
              <w:adjustRightInd w:val="0"/>
              <w:spacing w:after="0" w:line="240" w:lineRule="auto"/>
              <w:rPr>
                <w:rFonts w:ascii="Book Antiqua" w:hAnsi="Book Antiqua"/>
              </w:rPr>
            </w:pPr>
            <w:r w:rsidRPr="00F56296">
              <w:rPr>
                <w:rFonts w:ascii="Book Antiqua" w:hAnsi="Book Antiqua"/>
              </w:rPr>
              <w:t xml:space="preserve">Total           </w:t>
            </w:r>
          </w:p>
        </w:tc>
        <w:tc>
          <w:tcPr>
            <w:tcW w:w="474" w:type="dxa"/>
            <w:shd w:val="clear" w:color="auto" w:fill="auto"/>
          </w:tcPr>
          <w:p w14:paraId="78D67B0C" w14:textId="77777777" w:rsidR="00761010" w:rsidRPr="00F56296" w:rsidRDefault="00761010" w:rsidP="00761010">
            <w:pPr>
              <w:autoSpaceDE w:val="0"/>
              <w:autoSpaceDN w:val="0"/>
              <w:adjustRightInd w:val="0"/>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rPr>
            </w:pPr>
          </w:p>
        </w:tc>
        <w:tc>
          <w:tcPr>
            <w:tcW w:w="1020" w:type="dxa"/>
            <w:shd w:val="clear" w:color="auto" w:fill="auto"/>
          </w:tcPr>
          <w:p w14:paraId="573B6681" w14:textId="77777777" w:rsidR="00761010" w:rsidRPr="00F56296" w:rsidRDefault="00761010" w:rsidP="00761010">
            <w:pPr>
              <w:autoSpaceDE w:val="0"/>
              <w:autoSpaceDN w:val="0"/>
              <w:adjustRightInd w:val="0"/>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rPr>
            </w:pPr>
            <w:r w:rsidRPr="00F56296">
              <w:rPr>
                <w:rFonts w:ascii="Book Antiqua" w:hAnsi="Book Antiqua"/>
              </w:rPr>
              <w:t xml:space="preserve">19  </w:t>
            </w:r>
          </w:p>
        </w:tc>
        <w:tc>
          <w:tcPr>
            <w:tcW w:w="1020" w:type="dxa"/>
            <w:shd w:val="clear" w:color="auto" w:fill="auto"/>
          </w:tcPr>
          <w:p w14:paraId="1CD8597A" w14:textId="77777777" w:rsidR="00761010" w:rsidRPr="00F56296" w:rsidRDefault="00761010" w:rsidP="00761010">
            <w:pPr>
              <w:autoSpaceDE w:val="0"/>
              <w:autoSpaceDN w:val="0"/>
              <w:adjustRightInd w:val="0"/>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rPr>
            </w:pPr>
            <w:r w:rsidRPr="00F56296">
              <w:rPr>
                <w:rFonts w:ascii="Book Antiqua" w:hAnsi="Book Antiqua"/>
              </w:rPr>
              <w:t>70014500</w:t>
            </w:r>
          </w:p>
        </w:tc>
        <w:tc>
          <w:tcPr>
            <w:tcW w:w="662" w:type="dxa"/>
            <w:shd w:val="clear" w:color="auto" w:fill="auto"/>
          </w:tcPr>
          <w:p w14:paraId="32ED6567" w14:textId="77777777" w:rsidR="00761010" w:rsidRPr="00F56296" w:rsidRDefault="00761010" w:rsidP="00761010">
            <w:pPr>
              <w:autoSpaceDE w:val="0"/>
              <w:autoSpaceDN w:val="0"/>
              <w:adjustRightInd w:val="0"/>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rPr>
            </w:pPr>
          </w:p>
        </w:tc>
        <w:tc>
          <w:tcPr>
            <w:tcW w:w="662" w:type="dxa"/>
            <w:shd w:val="clear" w:color="auto" w:fill="auto"/>
          </w:tcPr>
          <w:p w14:paraId="5857F037" w14:textId="77777777" w:rsidR="00761010" w:rsidRPr="00F56296" w:rsidRDefault="00761010" w:rsidP="00761010">
            <w:pPr>
              <w:autoSpaceDE w:val="0"/>
              <w:autoSpaceDN w:val="0"/>
              <w:adjustRightInd w:val="0"/>
              <w:spacing w:after="0" w:line="240" w:lineRule="auto"/>
              <w:cnfStyle w:val="010000000000" w:firstRow="0" w:lastRow="1" w:firstColumn="0" w:lastColumn="0" w:oddVBand="0" w:evenVBand="0" w:oddHBand="0" w:evenHBand="0" w:firstRowFirstColumn="0" w:firstRowLastColumn="0" w:lastRowFirstColumn="0" w:lastRowLastColumn="0"/>
              <w:rPr>
                <w:rFonts w:ascii="Book Antiqua" w:hAnsi="Book Antiqua"/>
              </w:rPr>
            </w:pPr>
          </w:p>
        </w:tc>
      </w:tr>
    </w:tbl>
    <w:p w14:paraId="6F0D5758" w14:textId="77777777" w:rsidR="008474BB" w:rsidRPr="00E3232D" w:rsidRDefault="008474BB" w:rsidP="00761010">
      <w:pPr>
        <w:autoSpaceDE w:val="0"/>
        <w:autoSpaceDN w:val="0"/>
        <w:adjustRightInd w:val="0"/>
        <w:spacing w:after="0"/>
        <w:rPr>
          <w:rFonts w:ascii="Book Antiqua" w:hAnsi="Book Antiqua"/>
        </w:rPr>
      </w:pPr>
    </w:p>
    <w:p w14:paraId="6DDCB3B7" w14:textId="77777777" w:rsidR="008916B7" w:rsidRPr="00E3232D" w:rsidRDefault="008474BB" w:rsidP="00EA579A">
      <w:pPr>
        <w:autoSpaceDE w:val="0"/>
        <w:autoSpaceDN w:val="0"/>
        <w:adjustRightInd w:val="0"/>
        <w:jc w:val="both"/>
        <w:rPr>
          <w:rFonts w:ascii="Book Antiqua" w:hAnsi="Book Antiqua"/>
        </w:rPr>
      </w:pPr>
      <w:r w:rsidRPr="00E3232D">
        <w:rPr>
          <w:rFonts w:ascii="Book Antiqua" w:hAnsi="Book Antiqua"/>
        </w:rPr>
        <w:t>The analysis of variance table is used here to test the hypothesis for the study:</w:t>
      </w:r>
    </w:p>
    <w:p w14:paraId="46E77149" w14:textId="77777777" w:rsidR="008474BB" w:rsidRPr="00E3232D" w:rsidRDefault="008474BB" w:rsidP="00EA579A">
      <w:pPr>
        <w:pStyle w:val="Default"/>
        <w:rPr>
          <w:rFonts w:ascii="Book Antiqua" w:hAnsi="Book Antiqua"/>
          <w:sz w:val="22"/>
          <w:szCs w:val="22"/>
        </w:rPr>
      </w:pPr>
      <w:r w:rsidRPr="00E3232D">
        <w:rPr>
          <w:rFonts w:ascii="Book Antiqua" w:hAnsi="Book Antiqua"/>
          <w:b/>
          <w:sz w:val="22"/>
          <w:szCs w:val="22"/>
        </w:rPr>
        <w:t xml:space="preserve">Null Hypothesis (Ho): </w:t>
      </w:r>
      <w:r w:rsidRPr="00E3232D">
        <w:rPr>
          <w:rFonts w:ascii="Book Antiqua" w:hAnsi="Book Antiqua"/>
          <w:sz w:val="22"/>
          <w:szCs w:val="22"/>
        </w:rPr>
        <w:t xml:space="preserve">There is no significant relationship between road traffic accidents and population growth in Ghana. </w:t>
      </w:r>
    </w:p>
    <w:p w14:paraId="37F1D676" w14:textId="77777777" w:rsidR="008474BB" w:rsidRPr="00E3232D" w:rsidRDefault="008474BB" w:rsidP="00EA579A">
      <w:pPr>
        <w:pStyle w:val="Default"/>
        <w:rPr>
          <w:rFonts w:ascii="Book Antiqua" w:hAnsi="Book Antiqua"/>
          <w:sz w:val="22"/>
          <w:szCs w:val="22"/>
        </w:rPr>
      </w:pPr>
      <w:r w:rsidRPr="00E3232D">
        <w:rPr>
          <w:rFonts w:ascii="Book Antiqua" w:hAnsi="Book Antiqua"/>
          <w:b/>
          <w:sz w:val="22"/>
          <w:szCs w:val="22"/>
        </w:rPr>
        <w:t>Alternative Hypothesis (H</w:t>
      </w:r>
      <w:r w:rsidRPr="00E3232D">
        <w:rPr>
          <w:rFonts w:ascii="Book Antiqua" w:hAnsi="Book Antiqua"/>
          <w:b/>
          <w:sz w:val="22"/>
          <w:szCs w:val="22"/>
          <w:vertAlign w:val="subscript"/>
        </w:rPr>
        <w:t>1</w:t>
      </w:r>
      <w:r w:rsidRPr="00E3232D">
        <w:rPr>
          <w:rFonts w:ascii="Book Antiqua" w:hAnsi="Book Antiqua"/>
          <w:b/>
          <w:sz w:val="22"/>
          <w:szCs w:val="22"/>
        </w:rPr>
        <w:t xml:space="preserve">): </w:t>
      </w:r>
      <w:r w:rsidRPr="00E3232D">
        <w:rPr>
          <w:rFonts w:ascii="Book Antiqua" w:hAnsi="Book Antiqua"/>
          <w:sz w:val="22"/>
          <w:szCs w:val="22"/>
        </w:rPr>
        <w:t xml:space="preserve">There is a significant relationship between road traffic accidents and population growth in Ghana. </w:t>
      </w:r>
    </w:p>
    <w:p w14:paraId="53BD37A5" w14:textId="77777777" w:rsidR="008916B7" w:rsidRPr="004B509C" w:rsidRDefault="008474BB" w:rsidP="00EA579A">
      <w:pPr>
        <w:autoSpaceDE w:val="0"/>
        <w:autoSpaceDN w:val="0"/>
        <w:adjustRightInd w:val="0"/>
        <w:jc w:val="both"/>
        <w:rPr>
          <w:rFonts w:ascii="Book Antiqua" w:hAnsi="Book Antiqua"/>
        </w:rPr>
        <w:sectPr w:rsidR="008916B7" w:rsidRPr="004B509C" w:rsidSect="008F6BC9">
          <w:type w:val="continuous"/>
          <w:pgSz w:w="11907" w:h="16839" w:code="9"/>
          <w:pgMar w:top="1440" w:right="1440" w:bottom="1440" w:left="1440" w:header="720" w:footer="720" w:gutter="0"/>
          <w:cols w:num="2" w:space="720"/>
          <w:docGrid w:linePitch="360"/>
        </w:sectPr>
      </w:pPr>
      <w:r w:rsidRPr="00E3232D">
        <w:rPr>
          <w:rFonts w:ascii="Book Antiqua" w:hAnsi="Book Antiqua"/>
        </w:rPr>
        <w:t xml:space="preserve">The p-value of 0.000 as reported in the analysis of variance table indicates that the test is significant at 0.05. Therefore, we fail to accept the null hypothesis and conclude that indeed there is a significant relationship between road traffic accidents and the population in Ghana. </w:t>
      </w:r>
    </w:p>
    <w:p w14:paraId="1D0C996C" w14:textId="77777777" w:rsidR="004B509C" w:rsidRDefault="004B509C" w:rsidP="008275E1">
      <w:pPr>
        <w:rPr>
          <w:rFonts w:ascii="Book Antiqua" w:hAnsi="Book Antiqua"/>
          <w:b/>
          <w:color w:val="000000"/>
        </w:rPr>
      </w:pPr>
    </w:p>
    <w:p w14:paraId="07668DF8" w14:textId="77777777" w:rsidR="004B509C" w:rsidRDefault="004B509C" w:rsidP="008275E1">
      <w:pPr>
        <w:rPr>
          <w:rFonts w:ascii="Book Antiqua" w:hAnsi="Book Antiqua"/>
          <w:b/>
          <w:color w:val="000000"/>
        </w:rPr>
      </w:pPr>
    </w:p>
    <w:p w14:paraId="04610C62" w14:textId="77777777" w:rsidR="004B509C" w:rsidRDefault="004B509C" w:rsidP="008275E1">
      <w:pPr>
        <w:rPr>
          <w:rFonts w:ascii="Book Antiqua" w:hAnsi="Book Antiqua"/>
          <w:b/>
          <w:color w:val="000000"/>
        </w:rPr>
      </w:pPr>
    </w:p>
    <w:p w14:paraId="1A24C24D" w14:textId="77777777" w:rsidR="00EA579A" w:rsidRDefault="00EA579A" w:rsidP="008275E1">
      <w:pPr>
        <w:rPr>
          <w:rFonts w:ascii="Book Antiqua" w:hAnsi="Book Antiqua"/>
          <w:b/>
          <w:color w:val="000000"/>
        </w:rPr>
      </w:pPr>
    </w:p>
    <w:p w14:paraId="0F3ECE61" w14:textId="77777777" w:rsidR="00761010" w:rsidRDefault="00761010" w:rsidP="008275E1">
      <w:pPr>
        <w:rPr>
          <w:rFonts w:ascii="Book Antiqua" w:hAnsi="Book Antiqua"/>
          <w:b/>
          <w:color w:val="000000"/>
        </w:rPr>
      </w:pPr>
    </w:p>
    <w:p w14:paraId="778020DF" w14:textId="77777777" w:rsidR="00EA579A" w:rsidRDefault="00EA579A" w:rsidP="008275E1">
      <w:pPr>
        <w:rPr>
          <w:rFonts w:ascii="Book Antiqua" w:hAnsi="Book Antiqua"/>
          <w:b/>
          <w:color w:val="000000"/>
        </w:rPr>
      </w:pPr>
    </w:p>
    <w:p w14:paraId="097A0FB7" w14:textId="77777777" w:rsidR="008474BB" w:rsidRPr="00EA579A" w:rsidRDefault="008474BB" w:rsidP="008275E1">
      <w:pPr>
        <w:rPr>
          <w:rFonts w:ascii="Book Antiqua" w:hAnsi="Book Antiqua"/>
          <w:b/>
          <w:color w:val="000000"/>
          <w:szCs w:val="26"/>
        </w:rPr>
      </w:pPr>
      <w:r w:rsidRPr="00EA579A">
        <w:rPr>
          <w:rFonts w:ascii="Book Antiqua" w:hAnsi="Book Antiqua"/>
          <w:b/>
          <w:color w:val="000000"/>
          <w:szCs w:val="26"/>
        </w:rPr>
        <w:t>3.2 Model Diagnostics</w:t>
      </w:r>
    </w:p>
    <w:p w14:paraId="2AB986F8" w14:textId="77777777" w:rsidR="008474BB" w:rsidRPr="00E3232D" w:rsidRDefault="008474BB" w:rsidP="008275E1">
      <w:pPr>
        <w:rPr>
          <w:rFonts w:ascii="Book Antiqua" w:hAnsi="Book Antiqua"/>
          <w:color w:val="000000"/>
        </w:rPr>
      </w:pPr>
      <w:r w:rsidRPr="00E3232D">
        <w:rPr>
          <w:rFonts w:ascii="Book Antiqua" w:hAnsi="Book Antiqua"/>
          <w:color w:val="000000"/>
        </w:rPr>
        <w:t>The model diagnostics is done using graphical displays of the residuals as shown in figure 2 below.</w:t>
      </w:r>
    </w:p>
    <w:p w14:paraId="2A7BA75F" w14:textId="77777777" w:rsidR="008916B7" w:rsidRDefault="008916B7" w:rsidP="008275E1">
      <w:pPr>
        <w:rPr>
          <w:rFonts w:ascii="Book Antiqua" w:hAnsi="Book Antiqua"/>
        </w:rPr>
        <w:sectPr w:rsidR="008916B7" w:rsidSect="008F6BC9">
          <w:type w:val="continuous"/>
          <w:pgSz w:w="11907" w:h="16839" w:code="9"/>
          <w:pgMar w:top="1440" w:right="1440" w:bottom="1440" w:left="1440" w:header="720" w:footer="720" w:gutter="0"/>
          <w:cols w:space="720"/>
          <w:docGrid w:linePitch="360"/>
        </w:sectPr>
      </w:pPr>
    </w:p>
    <w:p w14:paraId="64D0A1BB" w14:textId="77777777" w:rsidR="008916B7" w:rsidRDefault="008474BB" w:rsidP="008275E1">
      <w:pPr>
        <w:rPr>
          <w:rFonts w:ascii="Book Antiqua" w:hAnsi="Book Antiqua"/>
        </w:rPr>
        <w:sectPr w:rsidR="008916B7" w:rsidSect="008F6BC9">
          <w:type w:val="continuous"/>
          <w:pgSz w:w="11907" w:h="16839" w:code="9"/>
          <w:pgMar w:top="1440" w:right="1440" w:bottom="1440" w:left="1440" w:header="720" w:footer="720" w:gutter="0"/>
          <w:cols w:space="720"/>
          <w:docGrid w:linePitch="360"/>
        </w:sectPr>
      </w:pPr>
      <w:r w:rsidRPr="00E3232D">
        <w:rPr>
          <w:rFonts w:ascii="Book Antiqua" w:hAnsi="Book Antiqua"/>
        </w:rPr>
        <w:object w:dxaOrig="8640" w:dyaOrig="5760" w14:anchorId="077550DC">
          <v:shape id="_x0000_i1060" type="#_x0000_t75" style="width:6in;height:257.45pt" o:ole="">
            <v:imagedata r:id="rId371" o:title=""/>
          </v:shape>
          <o:OLEObject Type="Embed" ProgID="MtbGraph.Document.16" ShapeID="_x0000_i1060" DrawAspect="Content" ObjectID="_1680958718" r:id="rId372"/>
        </w:object>
      </w:r>
    </w:p>
    <w:p w14:paraId="32D961F2" w14:textId="77777777" w:rsidR="008474BB" w:rsidRPr="00E3232D" w:rsidRDefault="008474BB" w:rsidP="008275E1">
      <w:pPr>
        <w:rPr>
          <w:rFonts w:ascii="Book Antiqua" w:hAnsi="Book Antiqua"/>
        </w:rPr>
      </w:pPr>
    </w:p>
    <w:p w14:paraId="588F40AD" w14:textId="77777777" w:rsidR="008474BB" w:rsidRPr="00E3232D" w:rsidRDefault="008474BB" w:rsidP="00761010">
      <w:pPr>
        <w:jc w:val="both"/>
        <w:rPr>
          <w:rFonts w:ascii="Book Antiqua" w:hAnsi="Book Antiqua"/>
          <w:b/>
        </w:rPr>
      </w:pPr>
      <w:r w:rsidRPr="00E3232D">
        <w:rPr>
          <w:rFonts w:ascii="Book Antiqua" w:hAnsi="Book Antiqua"/>
          <w:b/>
        </w:rPr>
        <w:t xml:space="preserve">Figure 2: Residual </w:t>
      </w:r>
      <w:r w:rsidR="00761010" w:rsidRPr="00E3232D">
        <w:rPr>
          <w:rFonts w:ascii="Book Antiqua" w:hAnsi="Book Antiqua"/>
          <w:b/>
        </w:rPr>
        <w:t xml:space="preserve">Plots </w:t>
      </w:r>
      <w:r w:rsidRPr="00E3232D">
        <w:rPr>
          <w:rFonts w:ascii="Book Antiqua" w:hAnsi="Book Antiqua"/>
          <w:b/>
        </w:rPr>
        <w:t xml:space="preserve">of the </w:t>
      </w:r>
      <w:r w:rsidR="00761010" w:rsidRPr="00E3232D">
        <w:rPr>
          <w:rFonts w:ascii="Book Antiqua" w:hAnsi="Book Antiqua"/>
          <w:b/>
        </w:rPr>
        <w:t>Data</w:t>
      </w:r>
    </w:p>
    <w:p w14:paraId="0AB11CCB" w14:textId="77777777" w:rsidR="008474BB" w:rsidRPr="00E3232D" w:rsidRDefault="008474BB" w:rsidP="00761010">
      <w:pPr>
        <w:pStyle w:val="NormalWeb"/>
        <w:spacing w:line="276" w:lineRule="auto"/>
        <w:jc w:val="both"/>
        <w:rPr>
          <w:rFonts w:ascii="Book Antiqua" w:hAnsi="Book Antiqua"/>
          <w:bCs/>
          <w:sz w:val="22"/>
          <w:szCs w:val="22"/>
        </w:rPr>
      </w:pPr>
      <w:r w:rsidRPr="00E3232D">
        <w:rPr>
          <w:rFonts w:ascii="Book Antiqua" w:hAnsi="Book Antiqua"/>
          <w:bCs/>
          <w:color w:val="000000"/>
          <w:sz w:val="22"/>
          <w:szCs w:val="22"/>
        </w:rPr>
        <w:t>From the Figure 2 above, it is clear that all the four (4) diagnostic residual plots do not show any anomalies for the fitted regression model. Clearly, the probability plot of the residuals indicates that the individual probabilities of the residuals are normally distributed since the points are</w:t>
      </w:r>
      <w:r w:rsidRPr="00E3232D">
        <w:rPr>
          <w:rFonts w:ascii="Book Antiqua" w:hAnsi="Book Antiqua"/>
          <w:color w:val="000000"/>
          <w:sz w:val="22"/>
          <w:szCs w:val="22"/>
        </w:rPr>
        <w:t xml:space="preserve"> near or closer to one another with the</w:t>
      </w:r>
      <w:r w:rsidRPr="00E3232D">
        <w:rPr>
          <w:rFonts w:ascii="Book Antiqua" w:hAnsi="Book Antiqua"/>
          <w:sz w:val="22"/>
          <w:szCs w:val="22"/>
        </w:rPr>
        <w:t xml:space="preserve"> plotted points forming an approximately straight line.</w:t>
      </w:r>
      <w:r w:rsidRPr="00E3232D">
        <w:rPr>
          <w:rFonts w:ascii="Book Antiqua" w:hAnsi="Book Antiqua"/>
          <w:bCs/>
          <w:sz w:val="22"/>
          <w:szCs w:val="22"/>
        </w:rPr>
        <w:t xml:space="preserve"> </w:t>
      </w:r>
    </w:p>
    <w:p w14:paraId="47AA5975" w14:textId="77777777" w:rsidR="008474BB" w:rsidRPr="00E3232D" w:rsidRDefault="008474BB" w:rsidP="00761010">
      <w:pPr>
        <w:pStyle w:val="NormalWeb"/>
        <w:spacing w:line="276" w:lineRule="auto"/>
        <w:jc w:val="both"/>
        <w:rPr>
          <w:rFonts w:ascii="Book Antiqua" w:hAnsi="Book Antiqua"/>
          <w:bCs/>
          <w:sz w:val="22"/>
          <w:szCs w:val="22"/>
        </w:rPr>
      </w:pPr>
      <w:r w:rsidRPr="00E3232D">
        <w:rPr>
          <w:rFonts w:ascii="Book Antiqua" w:hAnsi="Book Antiqua"/>
          <w:bCs/>
          <w:sz w:val="22"/>
          <w:szCs w:val="22"/>
        </w:rPr>
        <w:t>The plot of the residuals verses the fitted values as well as time plot of the residuals clearly shows that the</w:t>
      </w:r>
      <w:r w:rsidRPr="00E3232D">
        <w:rPr>
          <w:rFonts w:ascii="Book Antiqua" w:hAnsi="Book Antiqua"/>
          <w:sz w:val="22"/>
          <w:szCs w:val="22"/>
        </w:rPr>
        <w:t xml:space="preserve"> residuals appear to be randomly scattered about zero, thereby satisfying the assumption of constant variance. Finally, the histogram plot of the residuals also appear</w:t>
      </w:r>
      <w:r w:rsidRPr="00E3232D">
        <w:rPr>
          <w:rFonts w:ascii="Book Antiqua" w:hAnsi="Book Antiqua"/>
          <w:color w:val="FF0000"/>
          <w:sz w:val="22"/>
          <w:szCs w:val="22"/>
        </w:rPr>
        <w:t>s</w:t>
      </w:r>
      <w:r w:rsidRPr="00E3232D">
        <w:rPr>
          <w:rFonts w:ascii="Book Antiqua" w:hAnsi="Book Antiqua"/>
          <w:sz w:val="22"/>
          <w:szCs w:val="22"/>
        </w:rPr>
        <w:t xml:space="preserve"> to be normal with only a slight deviation from normality which is allowed and so therefore satisfying the normality assumption.  </w:t>
      </w:r>
      <w:r w:rsidRPr="00E3232D">
        <w:rPr>
          <w:rFonts w:ascii="Book Antiqua" w:hAnsi="Book Antiqua"/>
          <w:bCs/>
          <w:sz w:val="22"/>
          <w:szCs w:val="22"/>
        </w:rPr>
        <w:t xml:space="preserve"> </w:t>
      </w:r>
    </w:p>
    <w:p w14:paraId="6D36C2CE" w14:textId="77777777" w:rsidR="008474BB" w:rsidRPr="004B509C" w:rsidRDefault="008474BB" w:rsidP="00761010">
      <w:pPr>
        <w:jc w:val="both"/>
        <w:rPr>
          <w:rFonts w:ascii="Book Antiqua" w:hAnsi="Book Antiqua"/>
          <w:b/>
          <w:sz w:val="26"/>
          <w:szCs w:val="26"/>
        </w:rPr>
      </w:pPr>
      <w:r w:rsidRPr="004B509C">
        <w:rPr>
          <w:rFonts w:ascii="Book Antiqua" w:hAnsi="Book Antiqua"/>
          <w:b/>
          <w:sz w:val="26"/>
          <w:szCs w:val="26"/>
        </w:rPr>
        <w:t xml:space="preserve">4.0 Conclusion </w:t>
      </w:r>
    </w:p>
    <w:p w14:paraId="68DC48DA" w14:textId="77777777" w:rsidR="008474BB" w:rsidRPr="00E3232D" w:rsidRDefault="008474BB" w:rsidP="00761010">
      <w:pPr>
        <w:autoSpaceDE w:val="0"/>
        <w:autoSpaceDN w:val="0"/>
        <w:adjustRightInd w:val="0"/>
        <w:jc w:val="both"/>
        <w:rPr>
          <w:rFonts w:ascii="Book Antiqua" w:hAnsi="Book Antiqua"/>
        </w:rPr>
      </w:pPr>
      <w:r w:rsidRPr="00E3232D">
        <w:rPr>
          <w:rFonts w:ascii="Book Antiqua" w:hAnsi="Book Antiqua"/>
        </w:rPr>
        <w:t>Based on the analyses and interpretations of the appropriate data, findings from the results of the study are discussed as follows:</w:t>
      </w:r>
    </w:p>
    <w:p w14:paraId="65E3C250" w14:textId="77777777" w:rsidR="008474BB" w:rsidRPr="00E3232D" w:rsidRDefault="008474BB" w:rsidP="00761010">
      <w:pPr>
        <w:spacing w:before="100" w:beforeAutospacing="1" w:after="100" w:afterAutospacing="1"/>
        <w:jc w:val="both"/>
        <w:rPr>
          <w:rFonts w:ascii="Book Antiqua" w:hAnsi="Book Antiqua"/>
        </w:rPr>
      </w:pPr>
      <w:r w:rsidRPr="00E3232D">
        <w:rPr>
          <w:rFonts w:ascii="Book Antiqua" w:hAnsi="Book Antiqua"/>
          <w:bCs/>
        </w:rPr>
        <w:t xml:space="preserve">Firstly, the study revealed that </w:t>
      </w:r>
      <w:r w:rsidRPr="00E3232D">
        <w:rPr>
          <w:rFonts w:ascii="Book Antiqua" w:hAnsi="Book Antiqua"/>
        </w:rPr>
        <w:t>there exists a strong positive correlation between road traffic accidents and population in Ghana, and that specifically, population growth accounts for 71.3% of the changes in the number of accidents in the country. This implies that as the population grows, the number of accidents will also increase.</w:t>
      </w:r>
    </w:p>
    <w:p w14:paraId="6DA25F36" w14:textId="77777777" w:rsidR="008474BB" w:rsidRPr="00E3232D" w:rsidRDefault="008474BB" w:rsidP="00761010">
      <w:pPr>
        <w:jc w:val="both"/>
        <w:rPr>
          <w:rFonts w:ascii="Book Antiqua" w:hAnsi="Book Antiqua"/>
          <w:bCs/>
        </w:rPr>
      </w:pPr>
      <w:r w:rsidRPr="00E3232D">
        <w:rPr>
          <w:rFonts w:ascii="Book Antiqua" w:hAnsi="Book Antiqua"/>
          <w:bCs/>
        </w:rPr>
        <w:t xml:space="preserve">Secondly, from the analysis the relationship was found to be statistically significant at 5% level of significance, with the exact regression model found as </w:t>
      </w:r>
      <w:r w:rsidRPr="00E3232D">
        <w:rPr>
          <w:rFonts w:ascii="Book Antiqua" w:hAnsi="Book Antiqua"/>
        </w:rPr>
        <w:t xml:space="preserve">Y = - 263 + 0.000532X. The test of hypothesis using analysis of variance concluded that the overall model was significant, but the constant was not significant. Therefore, the model can be used to estimate and forecast road traffic accidents in Ghana based on population.   </w:t>
      </w:r>
    </w:p>
    <w:p w14:paraId="092B86E4" w14:textId="77777777" w:rsidR="008474BB" w:rsidRPr="00AD1DF0" w:rsidRDefault="008474BB" w:rsidP="00761010">
      <w:pPr>
        <w:autoSpaceDE w:val="0"/>
        <w:autoSpaceDN w:val="0"/>
        <w:adjustRightInd w:val="0"/>
        <w:spacing w:after="0"/>
        <w:jc w:val="both"/>
        <w:rPr>
          <w:rFonts w:ascii="Book Antiqua" w:hAnsi="Book Antiqua"/>
          <w:bCs/>
        </w:rPr>
      </w:pPr>
      <w:r w:rsidRPr="00E3232D">
        <w:rPr>
          <w:rFonts w:ascii="Book Antiqua" w:hAnsi="Book Antiqua"/>
        </w:rPr>
        <w:t xml:space="preserve">Finally, the study also revealed that the model </w:t>
      </w:r>
      <w:r w:rsidRPr="00E3232D">
        <w:rPr>
          <w:rFonts w:ascii="Book Antiqua" w:hAnsi="Book Antiqua"/>
          <w:bCs/>
        </w:rPr>
        <w:t>actually fits the data very well as it is clearly portrayed in the analysis of the residual plots in which the assumptions were satisfied.</w:t>
      </w:r>
    </w:p>
    <w:p w14:paraId="65E29E6F" w14:textId="77777777" w:rsidR="008916B7" w:rsidRDefault="008916B7" w:rsidP="00761010">
      <w:pPr>
        <w:autoSpaceDE w:val="0"/>
        <w:autoSpaceDN w:val="0"/>
        <w:adjustRightInd w:val="0"/>
        <w:spacing w:after="0"/>
        <w:jc w:val="both"/>
        <w:rPr>
          <w:rFonts w:ascii="Book Antiqua" w:hAnsi="Book Antiqua"/>
          <w:b/>
          <w:bCs/>
          <w:color w:val="000000"/>
        </w:rPr>
      </w:pPr>
    </w:p>
    <w:p w14:paraId="41E4FEB6" w14:textId="77777777" w:rsidR="008474BB" w:rsidRPr="004B509C" w:rsidRDefault="004B509C" w:rsidP="00761010">
      <w:pPr>
        <w:autoSpaceDE w:val="0"/>
        <w:autoSpaceDN w:val="0"/>
        <w:adjustRightInd w:val="0"/>
        <w:spacing w:after="0"/>
        <w:jc w:val="both"/>
        <w:rPr>
          <w:rFonts w:ascii="Book Antiqua" w:hAnsi="Book Antiqua"/>
          <w:b/>
          <w:bCs/>
          <w:color w:val="000000"/>
          <w:sz w:val="26"/>
          <w:szCs w:val="26"/>
        </w:rPr>
      </w:pPr>
      <w:r w:rsidRPr="004B509C">
        <w:rPr>
          <w:rFonts w:ascii="Book Antiqua" w:hAnsi="Book Antiqua"/>
          <w:b/>
          <w:bCs/>
          <w:color w:val="000000"/>
          <w:sz w:val="26"/>
          <w:szCs w:val="26"/>
        </w:rPr>
        <w:t>References</w:t>
      </w:r>
    </w:p>
    <w:p w14:paraId="090C65A9" w14:textId="77777777" w:rsidR="008474BB" w:rsidRPr="00E3232D" w:rsidRDefault="008474BB" w:rsidP="00761010">
      <w:pPr>
        <w:autoSpaceDE w:val="0"/>
        <w:autoSpaceDN w:val="0"/>
        <w:adjustRightInd w:val="0"/>
        <w:spacing w:after="0"/>
        <w:ind w:left="900" w:hanging="900"/>
        <w:jc w:val="both"/>
        <w:rPr>
          <w:rFonts w:ascii="Book Antiqua" w:hAnsi="Book Antiqua"/>
          <w:color w:val="000000"/>
        </w:rPr>
      </w:pPr>
      <w:r w:rsidRPr="00E3232D">
        <w:rPr>
          <w:rFonts w:ascii="Book Antiqua" w:hAnsi="Book Antiqua"/>
          <w:color w:val="000000"/>
        </w:rPr>
        <w:t>Afukaar F.K., Agyemang W., and Ackaar W. (2006). Estimation of levels of under –reporting of road traffic accident in Ghana. Ministry of transportation: Nation Accident management project, report. Final Report.</w:t>
      </w:r>
    </w:p>
    <w:p w14:paraId="3BA4BA32"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Afukaar F.K., Agyamang W., Debrah E.K., and Ackaah W. (2006). Estimation of the cost of road traffic accident in Ghana. Ministry of Transport: Nation management project. Final report.</w:t>
      </w:r>
    </w:p>
    <w:p w14:paraId="3987D3AD"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Afukaar F.K., Agyemang W, and Most I. (2008). Accident statistics 2007.  Building and Road Research Institution council for scientific and industrial Research, Kumasi.</w:t>
      </w:r>
    </w:p>
    <w:p w14:paraId="2AD06093"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Afukaar F.K., and Debrah E.K., (2007).  Accident prediction for signalized intersections in Ghana. Ministry of transportation: Nation Accident management project, report. Final report</w:t>
      </w:r>
    </w:p>
    <w:p w14:paraId="1715C13F"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Andreassen D. (1985).  Linking deaths with vehicles and population. Traffic Engineering and Control. 26:547-549.</w:t>
      </w:r>
    </w:p>
    <w:p w14:paraId="38A33932"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Cameron A.C., and Trivedi P.K. (1998).  Regression Analysis of Count Data, econometric Society Monographs, No. 30, Cambridge University Press.</w:t>
      </w:r>
    </w:p>
    <w:p w14:paraId="68D60C8D"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Emenalo M., Pusteli A., Ciampi, and Joshi H.P. (1987).  Analysis of road accidents data in Zambia. Traffic Engineering and Control. 28:635-640.</w:t>
      </w:r>
    </w:p>
    <w:p w14:paraId="76AC71CF"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Fletcher J.P., Baguley C.J., sexton B., and Done S. (2006).  Road accident modeling for highway development counties. Main Report Trials in India and Tanzania. Report No PPRO95.</w:t>
      </w:r>
    </w:p>
    <w:p w14:paraId="50970450"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Ghee C., Silcock D., Astrop A., and Jacobs G. (1997).  Socio-economic aspects of road accidents in developing countries, Transport Research Laboratory Report 247:29.</w:t>
      </w:r>
    </w:p>
    <w:p w14:paraId="4C8D637A"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Hakkert A.S., and Mahalel D. (1978).  Estimating the number of accidents at intersections from the knowledge of traffic flows from the approaches. Accident Analysis and Prevention. 10:69-79</w:t>
      </w:r>
    </w:p>
    <w:p w14:paraId="672E272B" w14:textId="77777777" w:rsidR="008474BB" w:rsidRPr="00E3232D" w:rsidRDefault="008474BB" w:rsidP="00761010">
      <w:pPr>
        <w:autoSpaceDE w:val="0"/>
        <w:autoSpaceDN w:val="0"/>
        <w:adjustRightInd w:val="0"/>
        <w:ind w:left="900" w:hanging="900"/>
        <w:jc w:val="both"/>
        <w:rPr>
          <w:rFonts w:ascii="Book Antiqua" w:hAnsi="Book Antiqua"/>
          <w:color w:val="000000"/>
        </w:rPr>
      </w:pPr>
      <w:r w:rsidRPr="00E3232D">
        <w:rPr>
          <w:rFonts w:ascii="Book Antiqua" w:hAnsi="Book Antiqua"/>
          <w:color w:val="000000"/>
        </w:rPr>
        <w:t>Home J.A., Zomer J., and Lavie P. (1990).  Sleep related automobile accidents-when and who? Horne J.A. ed. Sleep 90. Buchum: Pontenagel press. 448-51</w:t>
      </w:r>
    </w:p>
    <w:p w14:paraId="70A19361" w14:textId="77777777" w:rsidR="008474BB" w:rsidRPr="00E3232D" w:rsidRDefault="008474BB" w:rsidP="00761010">
      <w:pPr>
        <w:autoSpaceDE w:val="0"/>
        <w:autoSpaceDN w:val="0"/>
        <w:adjustRightInd w:val="0"/>
        <w:ind w:left="900" w:hanging="900"/>
        <w:rPr>
          <w:rFonts w:ascii="Book Antiqua" w:hAnsi="Book Antiqua"/>
          <w:color w:val="000000"/>
        </w:rPr>
      </w:pPr>
      <w:r w:rsidRPr="00E3232D">
        <w:rPr>
          <w:rFonts w:ascii="Book Antiqua" w:hAnsi="Book Antiqua"/>
          <w:color w:val="000000"/>
        </w:rPr>
        <w:t>Jacobs G.D., and Cutting C.A. (1986). Further research on accident rates in developing countries. Accident Analysis and Prevention. 18:119-127.</w:t>
      </w:r>
    </w:p>
    <w:p w14:paraId="019FECA0" w14:textId="77777777" w:rsidR="008474BB" w:rsidRPr="00E3232D" w:rsidRDefault="008474BB" w:rsidP="00761010">
      <w:pPr>
        <w:autoSpaceDE w:val="0"/>
        <w:autoSpaceDN w:val="0"/>
        <w:adjustRightInd w:val="0"/>
        <w:ind w:left="900" w:hanging="900"/>
        <w:rPr>
          <w:rFonts w:ascii="Book Antiqua" w:hAnsi="Book Antiqua"/>
          <w:color w:val="000000"/>
        </w:rPr>
      </w:pPr>
      <w:r w:rsidRPr="00E3232D">
        <w:rPr>
          <w:rFonts w:ascii="Book Antiqua" w:hAnsi="Book Antiqua"/>
          <w:color w:val="000000"/>
        </w:rPr>
        <w:t>Jamal R.M.A., and Jamil A.N. (2001).  Casual models for road accident fatalities in Yemen. Accident Analysis and Prevention. 33:547-561.</w:t>
      </w:r>
    </w:p>
    <w:p w14:paraId="6F455751" w14:textId="77777777" w:rsidR="008474BB" w:rsidRPr="00E3232D" w:rsidRDefault="008474BB" w:rsidP="00761010">
      <w:pPr>
        <w:autoSpaceDE w:val="0"/>
        <w:autoSpaceDN w:val="0"/>
        <w:adjustRightInd w:val="0"/>
        <w:ind w:left="900" w:hanging="900"/>
        <w:rPr>
          <w:rFonts w:ascii="Book Antiqua" w:hAnsi="Book Antiqua"/>
          <w:color w:val="000000"/>
        </w:rPr>
      </w:pPr>
      <w:r w:rsidRPr="00E3232D">
        <w:rPr>
          <w:rFonts w:ascii="Book Antiqua" w:hAnsi="Book Antiqua"/>
          <w:color w:val="000000"/>
        </w:rPr>
        <w:t>National Road Safety Commision (2007).  Annual Report. National Road Safety Commission, Ghana.</w:t>
      </w:r>
    </w:p>
    <w:p w14:paraId="5233AA2C" w14:textId="77777777" w:rsidR="008474BB" w:rsidRPr="00E3232D" w:rsidRDefault="008474BB" w:rsidP="00761010">
      <w:pPr>
        <w:autoSpaceDE w:val="0"/>
        <w:autoSpaceDN w:val="0"/>
        <w:adjustRightInd w:val="0"/>
        <w:ind w:left="900" w:hanging="900"/>
        <w:rPr>
          <w:rFonts w:ascii="Book Antiqua" w:hAnsi="Book Antiqua"/>
          <w:color w:val="000000"/>
        </w:rPr>
      </w:pPr>
      <w:r w:rsidRPr="00E3232D">
        <w:rPr>
          <w:rFonts w:ascii="Book Antiqua" w:hAnsi="Book Antiqua"/>
          <w:color w:val="000000"/>
        </w:rPr>
        <w:t>National Road Safety Commission (2010).  Annual Report. National Road Safety Commission, Ghana.</w:t>
      </w:r>
    </w:p>
    <w:p w14:paraId="23144702" w14:textId="77777777" w:rsidR="008474BB" w:rsidRPr="00E3232D" w:rsidRDefault="008474BB" w:rsidP="00761010">
      <w:pPr>
        <w:autoSpaceDE w:val="0"/>
        <w:autoSpaceDN w:val="0"/>
        <w:adjustRightInd w:val="0"/>
        <w:ind w:left="900" w:hanging="900"/>
        <w:rPr>
          <w:rFonts w:ascii="Book Antiqua" w:hAnsi="Book Antiqua"/>
          <w:color w:val="000000"/>
        </w:rPr>
      </w:pPr>
      <w:r w:rsidRPr="00E3232D">
        <w:rPr>
          <w:rFonts w:ascii="Book Antiqua" w:hAnsi="Book Antiqua"/>
          <w:color w:val="000000"/>
        </w:rPr>
        <w:t>Susan C. and Partyka (1984). Simple model of fatality trends using employment and population data. Accident Analysis and Prevention. 16:21-222.</w:t>
      </w:r>
    </w:p>
    <w:p w14:paraId="5BF4D637" w14:textId="77777777" w:rsidR="008474BB" w:rsidRPr="00E3232D" w:rsidRDefault="008474BB" w:rsidP="00761010">
      <w:pPr>
        <w:autoSpaceDE w:val="0"/>
        <w:autoSpaceDN w:val="0"/>
        <w:adjustRightInd w:val="0"/>
        <w:ind w:left="900" w:hanging="900"/>
        <w:jc w:val="center"/>
        <w:rPr>
          <w:rFonts w:ascii="Book Antiqua" w:hAnsi="Book Antiqua"/>
          <w:b/>
        </w:rPr>
      </w:pPr>
    </w:p>
    <w:p w14:paraId="5ACAE88D" w14:textId="77777777" w:rsidR="008474BB" w:rsidRPr="00E3232D" w:rsidRDefault="008474BB" w:rsidP="00761010">
      <w:pPr>
        <w:autoSpaceDE w:val="0"/>
        <w:autoSpaceDN w:val="0"/>
        <w:adjustRightInd w:val="0"/>
        <w:ind w:left="900" w:hanging="900"/>
        <w:jc w:val="center"/>
        <w:rPr>
          <w:rFonts w:ascii="Book Antiqua" w:hAnsi="Book Antiqua"/>
          <w:b/>
        </w:rPr>
      </w:pPr>
    </w:p>
    <w:p w14:paraId="35484AA1" w14:textId="77777777" w:rsidR="00EF4DA7" w:rsidRDefault="00EF4DA7" w:rsidP="00761010">
      <w:pPr>
        <w:autoSpaceDE w:val="0"/>
        <w:autoSpaceDN w:val="0"/>
        <w:adjustRightInd w:val="0"/>
        <w:ind w:left="900" w:hanging="900"/>
        <w:jc w:val="center"/>
        <w:rPr>
          <w:rFonts w:ascii="Book Antiqua" w:hAnsi="Book Antiqua"/>
          <w:b/>
        </w:rPr>
        <w:sectPr w:rsidR="00EF4DA7" w:rsidSect="008F6BC9">
          <w:type w:val="continuous"/>
          <w:pgSz w:w="11907" w:h="16839" w:code="9"/>
          <w:pgMar w:top="1440" w:right="1440" w:bottom="1440" w:left="1440" w:header="720" w:footer="720" w:gutter="0"/>
          <w:cols w:num="2" w:space="720"/>
          <w:docGrid w:linePitch="360"/>
        </w:sectPr>
      </w:pPr>
    </w:p>
    <w:p w14:paraId="3163E16C" w14:textId="77777777" w:rsidR="008474BB" w:rsidRPr="00E3232D" w:rsidRDefault="008474BB" w:rsidP="00761010">
      <w:pPr>
        <w:autoSpaceDE w:val="0"/>
        <w:autoSpaceDN w:val="0"/>
        <w:adjustRightInd w:val="0"/>
        <w:ind w:left="900" w:hanging="900"/>
        <w:rPr>
          <w:rFonts w:ascii="Book Antiqua" w:hAnsi="Book Antiqua"/>
          <w:b/>
        </w:rPr>
      </w:pPr>
    </w:p>
    <w:p w14:paraId="5FCBCB64" w14:textId="77777777" w:rsidR="008474BB" w:rsidRDefault="008474BB" w:rsidP="00761010">
      <w:pPr>
        <w:autoSpaceDE w:val="0"/>
        <w:autoSpaceDN w:val="0"/>
        <w:adjustRightInd w:val="0"/>
        <w:ind w:left="900" w:hanging="900"/>
        <w:jc w:val="center"/>
        <w:rPr>
          <w:rFonts w:ascii="Book Antiqua" w:hAnsi="Book Antiqua"/>
          <w:b/>
        </w:rPr>
      </w:pPr>
    </w:p>
    <w:p w14:paraId="2846AF65" w14:textId="77777777" w:rsidR="00D73212" w:rsidRDefault="00D73212" w:rsidP="00761010">
      <w:pPr>
        <w:autoSpaceDE w:val="0"/>
        <w:autoSpaceDN w:val="0"/>
        <w:adjustRightInd w:val="0"/>
        <w:ind w:left="900" w:hanging="900"/>
        <w:jc w:val="center"/>
        <w:rPr>
          <w:rFonts w:ascii="Book Antiqua" w:hAnsi="Book Antiqua"/>
          <w:b/>
        </w:rPr>
      </w:pPr>
    </w:p>
    <w:p w14:paraId="3AC37708" w14:textId="77777777" w:rsidR="00D73212" w:rsidRDefault="00D73212" w:rsidP="00761010">
      <w:pPr>
        <w:autoSpaceDE w:val="0"/>
        <w:autoSpaceDN w:val="0"/>
        <w:adjustRightInd w:val="0"/>
        <w:ind w:left="900" w:hanging="900"/>
        <w:jc w:val="center"/>
        <w:rPr>
          <w:rFonts w:ascii="Book Antiqua" w:hAnsi="Book Antiqua"/>
          <w:b/>
        </w:rPr>
      </w:pPr>
    </w:p>
    <w:p w14:paraId="77BA305D" w14:textId="77777777" w:rsidR="00D73212" w:rsidRDefault="00D73212" w:rsidP="00761010">
      <w:pPr>
        <w:autoSpaceDE w:val="0"/>
        <w:autoSpaceDN w:val="0"/>
        <w:adjustRightInd w:val="0"/>
        <w:ind w:left="900" w:hanging="900"/>
        <w:jc w:val="center"/>
        <w:rPr>
          <w:rFonts w:ascii="Book Antiqua" w:hAnsi="Book Antiqua"/>
          <w:b/>
        </w:rPr>
      </w:pPr>
    </w:p>
    <w:p w14:paraId="3CDE6469" w14:textId="77777777" w:rsidR="00D73212" w:rsidRDefault="00D73212" w:rsidP="00761010">
      <w:pPr>
        <w:autoSpaceDE w:val="0"/>
        <w:autoSpaceDN w:val="0"/>
        <w:adjustRightInd w:val="0"/>
        <w:ind w:left="900" w:hanging="900"/>
        <w:jc w:val="center"/>
        <w:rPr>
          <w:rFonts w:ascii="Book Antiqua" w:hAnsi="Book Antiqua"/>
          <w:b/>
        </w:rPr>
      </w:pPr>
    </w:p>
    <w:p w14:paraId="3ABED71A" w14:textId="77777777" w:rsidR="00D73212" w:rsidRDefault="00D73212" w:rsidP="00761010">
      <w:pPr>
        <w:autoSpaceDE w:val="0"/>
        <w:autoSpaceDN w:val="0"/>
        <w:adjustRightInd w:val="0"/>
        <w:ind w:left="900" w:hanging="900"/>
        <w:jc w:val="center"/>
        <w:rPr>
          <w:rFonts w:ascii="Book Antiqua" w:hAnsi="Book Antiqua"/>
          <w:b/>
        </w:rPr>
      </w:pPr>
    </w:p>
    <w:p w14:paraId="464EDACF" w14:textId="77777777" w:rsidR="00D73212" w:rsidRDefault="00D73212" w:rsidP="00761010">
      <w:pPr>
        <w:autoSpaceDE w:val="0"/>
        <w:autoSpaceDN w:val="0"/>
        <w:adjustRightInd w:val="0"/>
        <w:ind w:left="900" w:hanging="900"/>
        <w:jc w:val="center"/>
        <w:rPr>
          <w:rFonts w:ascii="Book Antiqua" w:hAnsi="Book Antiqua"/>
          <w:b/>
        </w:rPr>
      </w:pPr>
    </w:p>
    <w:p w14:paraId="5A2D1349" w14:textId="77777777" w:rsidR="00D73212" w:rsidRDefault="00D73212" w:rsidP="00761010">
      <w:pPr>
        <w:autoSpaceDE w:val="0"/>
        <w:autoSpaceDN w:val="0"/>
        <w:adjustRightInd w:val="0"/>
        <w:ind w:left="900" w:hanging="900"/>
        <w:jc w:val="center"/>
        <w:rPr>
          <w:rFonts w:ascii="Book Antiqua" w:hAnsi="Book Antiqua"/>
          <w:b/>
        </w:rPr>
      </w:pPr>
    </w:p>
    <w:p w14:paraId="0E49BA6E" w14:textId="77777777" w:rsidR="00D73212" w:rsidRDefault="00D73212" w:rsidP="00761010">
      <w:pPr>
        <w:autoSpaceDE w:val="0"/>
        <w:autoSpaceDN w:val="0"/>
        <w:adjustRightInd w:val="0"/>
        <w:ind w:left="900" w:hanging="900"/>
        <w:jc w:val="center"/>
        <w:rPr>
          <w:rFonts w:ascii="Book Antiqua" w:hAnsi="Book Antiqua"/>
          <w:b/>
        </w:rPr>
      </w:pPr>
    </w:p>
    <w:p w14:paraId="3D81B872" w14:textId="77777777" w:rsidR="00D73212" w:rsidRDefault="00D73212" w:rsidP="00761010">
      <w:pPr>
        <w:autoSpaceDE w:val="0"/>
        <w:autoSpaceDN w:val="0"/>
        <w:adjustRightInd w:val="0"/>
        <w:ind w:left="900" w:hanging="900"/>
        <w:jc w:val="center"/>
        <w:rPr>
          <w:rFonts w:ascii="Book Antiqua" w:hAnsi="Book Antiqua"/>
          <w:b/>
        </w:rPr>
      </w:pPr>
    </w:p>
    <w:p w14:paraId="348DC6E1" w14:textId="77777777" w:rsidR="00D73212" w:rsidRDefault="00D73212" w:rsidP="00761010">
      <w:pPr>
        <w:autoSpaceDE w:val="0"/>
        <w:autoSpaceDN w:val="0"/>
        <w:adjustRightInd w:val="0"/>
        <w:ind w:left="900" w:hanging="900"/>
        <w:jc w:val="center"/>
        <w:rPr>
          <w:rFonts w:ascii="Book Antiqua" w:hAnsi="Book Antiqua"/>
          <w:b/>
        </w:rPr>
      </w:pPr>
    </w:p>
    <w:p w14:paraId="3E137AEF" w14:textId="77777777" w:rsidR="00D73212" w:rsidRDefault="00D73212" w:rsidP="00761010">
      <w:pPr>
        <w:autoSpaceDE w:val="0"/>
        <w:autoSpaceDN w:val="0"/>
        <w:adjustRightInd w:val="0"/>
        <w:ind w:left="900" w:hanging="900"/>
        <w:jc w:val="center"/>
        <w:rPr>
          <w:rFonts w:ascii="Book Antiqua" w:hAnsi="Book Antiqua"/>
          <w:b/>
        </w:rPr>
      </w:pPr>
    </w:p>
    <w:p w14:paraId="0C5FEA76" w14:textId="77777777" w:rsidR="004B509C" w:rsidRDefault="004B509C" w:rsidP="00761010">
      <w:pPr>
        <w:autoSpaceDE w:val="0"/>
        <w:autoSpaceDN w:val="0"/>
        <w:adjustRightInd w:val="0"/>
        <w:ind w:left="900" w:hanging="900"/>
        <w:jc w:val="center"/>
        <w:rPr>
          <w:rFonts w:ascii="Book Antiqua" w:hAnsi="Book Antiqua"/>
          <w:b/>
        </w:rPr>
      </w:pPr>
    </w:p>
    <w:p w14:paraId="56B256DB" w14:textId="77777777" w:rsidR="004B509C" w:rsidRDefault="004B509C" w:rsidP="00761010">
      <w:pPr>
        <w:autoSpaceDE w:val="0"/>
        <w:autoSpaceDN w:val="0"/>
        <w:adjustRightInd w:val="0"/>
        <w:ind w:left="900" w:hanging="900"/>
        <w:jc w:val="center"/>
        <w:rPr>
          <w:rFonts w:ascii="Book Antiqua" w:hAnsi="Book Antiqua"/>
          <w:b/>
        </w:rPr>
      </w:pPr>
    </w:p>
    <w:p w14:paraId="12BAECEC" w14:textId="77777777" w:rsidR="004B509C" w:rsidRDefault="004B509C" w:rsidP="00761010">
      <w:pPr>
        <w:autoSpaceDE w:val="0"/>
        <w:autoSpaceDN w:val="0"/>
        <w:adjustRightInd w:val="0"/>
        <w:ind w:left="900" w:hanging="900"/>
        <w:jc w:val="center"/>
        <w:rPr>
          <w:rFonts w:ascii="Book Antiqua" w:hAnsi="Book Antiqua"/>
          <w:b/>
        </w:rPr>
      </w:pPr>
    </w:p>
    <w:p w14:paraId="281FD9A6" w14:textId="77777777" w:rsidR="004B509C" w:rsidRDefault="004B509C" w:rsidP="00761010">
      <w:pPr>
        <w:autoSpaceDE w:val="0"/>
        <w:autoSpaceDN w:val="0"/>
        <w:adjustRightInd w:val="0"/>
        <w:ind w:left="900" w:hanging="900"/>
        <w:jc w:val="center"/>
        <w:rPr>
          <w:rFonts w:ascii="Book Antiqua" w:hAnsi="Book Antiqua"/>
          <w:b/>
        </w:rPr>
      </w:pPr>
    </w:p>
    <w:p w14:paraId="68ED8CD2" w14:textId="77777777" w:rsidR="004B509C" w:rsidRDefault="004B509C" w:rsidP="00761010">
      <w:pPr>
        <w:autoSpaceDE w:val="0"/>
        <w:autoSpaceDN w:val="0"/>
        <w:adjustRightInd w:val="0"/>
        <w:ind w:left="900" w:hanging="900"/>
        <w:jc w:val="center"/>
        <w:rPr>
          <w:rFonts w:ascii="Book Antiqua" w:hAnsi="Book Antiqua"/>
          <w:b/>
        </w:rPr>
      </w:pPr>
    </w:p>
    <w:p w14:paraId="7C40341E" w14:textId="77777777" w:rsidR="00D73212" w:rsidRDefault="00D73212" w:rsidP="00761010">
      <w:pPr>
        <w:autoSpaceDE w:val="0"/>
        <w:autoSpaceDN w:val="0"/>
        <w:adjustRightInd w:val="0"/>
        <w:rPr>
          <w:rFonts w:ascii="Book Antiqua" w:hAnsi="Book Antiqua"/>
          <w:b/>
        </w:rPr>
      </w:pPr>
    </w:p>
    <w:p w14:paraId="461C6F50" w14:textId="77777777" w:rsidR="00D73212" w:rsidRDefault="00D73212" w:rsidP="008275E1">
      <w:pPr>
        <w:autoSpaceDE w:val="0"/>
        <w:autoSpaceDN w:val="0"/>
        <w:adjustRightInd w:val="0"/>
        <w:jc w:val="center"/>
        <w:rPr>
          <w:rFonts w:ascii="Book Antiqua" w:hAnsi="Book Antiqua"/>
          <w:b/>
        </w:rPr>
      </w:pPr>
    </w:p>
    <w:p w14:paraId="4BE73930" w14:textId="77777777" w:rsidR="00D73212" w:rsidRDefault="00D73212" w:rsidP="008275E1">
      <w:pPr>
        <w:autoSpaceDE w:val="0"/>
        <w:autoSpaceDN w:val="0"/>
        <w:adjustRightInd w:val="0"/>
        <w:jc w:val="center"/>
        <w:rPr>
          <w:rFonts w:ascii="Book Antiqua" w:hAnsi="Book Antiqua"/>
          <w:b/>
        </w:rPr>
      </w:pPr>
    </w:p>
    <w:p w14:paraId="0089BA36" w14:textId="77777777" w:rsidR="00D73212" w:rsidRDefault="00D73212" w:rsidP="008275E1">
      <w:pPr>
        <w:autoSpaceDE w:val="0"/>
        <w:autoSpaceDN w:val="0"/>
        <w:adjustRightInd w:val="0"/>
        <w:jc w:val="center"/>
        <w:rPr>
          <w:rFonts w:ascii="Book Antiqua" w:hAnsi="Book Antiqua"/>
          <w:b/>
        </w:rPr>
      </w:pPr>
    </w:p>
    <w:p w14:paraId="3EB95FF1" w14:textId="77777777" w:rsidR="00D73212" w:rsidRPr="00E3232D" w:rsidRDefault="00D73212" w:rsidP="008275E1">
      <w:pPr>
        <w:autoSpaceDE w:val="0"/>
        <w:autoSpaceDN w:val="0"/>
        <w:adjustRightInd w:val="0"/>
        <w:jc w:val="center"/>
        <w:rPr>
          <w:rFonts w:ascii="Book Antiqua" w:hAnsi="Book Antiqua"/>
          <w:b/>
        </w:rPr>
      </w:pPr>
    </w:p>
    <w:p w14:paraId="68A26E7A" w14:textId="77777777" w:rsidR="004C17F9" w:rsidRDefault="004C17F9" w:rsidP="008275E1">
      <w:pPr>
        <w:autoSpaceDE w:val="0"/>
        <w:autoSpaceDN w:val="0"/>
        <w:adjustRightInd w:val="0"/>
        <w:jc w:val="center"/>
        <w:rPr>
          <w:rFonts w:ascii="Book Antiqua" w:hAnsi="Book Antiqua"/>
          <w:b/>
        </w:rPr>
      </w:pPr>
    </w:p>
    <w:p w14:paraId="3A752007" w14:textId="77777777" w:rsidR="00AD1DF0" w:rsidRDefault="00AD1DF0" w:rsidP="00AD1DF0">
      <w:pPr>
        <w:autoSpaceDE w:val="0"/>
        <w:autoSpaceDN w:val="0"/>
        <w:adjustRightInd w:val="0"/>
        <w:rPr>
          <w:rFonts w:ascii="Book Antiqua" w:hAnsi="Book Antiqua"/>
          <w:b/>
        </w:rPr>
        <w:sectPr w:rsidR="00AD1DF0" w:rsidSect="008F6BC9">
          <w:type w:val="continuous"/>
          <w:pgSz w:w="11907" w:h="16839" w:code="9"/>
          <w:pgMar w:top="1440" w:right="1440" w:bottom="1440" w:left="1440" w:header="720" w:footer="720" w:gutter="0"/>
          <w:cols w:num="2" w:space="720"/>
          <w:docGrid w:linePitch="360"/>
        </w:sectPr>
      </w:pPr>
    </w:p>
    <w:p w14:paraId="3A5A80FD" w14:textId="77777777" w:rsidR="008474BB" w:rsidRPr="00E3232D" w:rsidRDefault="008474BB" w:rsidP="00AD1DF0">
      <w:pPr>
        <w:autoSpaceDE w:val="0"/>
        <w:autoSpaceDN w:val="0"/>
        <w:adjustRightInd w:val="0"/>
        <w:rPr>
          <w:rFonts w:ascii="Book Antiqua" w:hAnsi="Book Antiqua"/>
          <w:b/>
        </w:rPr>
      </w:pPr>
      <w:r w:rsidRPr="00E3232D">
        <w:rPr>
          <w:rFonts w:ascii="Book Antiqua" w:hAnsi="Book Antiqua"/>
          <w:b/>
        </w:rPr>
        <w:t>APPENDIX I: ROAD TRAFFIC AND POPULATION DATA FOR GHANA</w:t>
      </w:r>
    </w:p>
    <w:p w14:paraId="3D133896" w14:textId="77777777" w:rsidR="00AD1DF0" w:rsidRDefault="00AD1DF0" w:rsidP="008275E1">
      <w:pPr>
        <w:jc w:val="center"/>
        <w:rPr>
          <w:rFonts w:ascii="Book Antiqua" w:hAnsi="Book Antiqua"/>
        </w:rPr>
        <w:sectPr w:rsidR="00AD1DF0" w:rsidSect="008F6BC9">
          <w:type w:val="continuous"/>
          <w:pgSz w:w="11907" w:h="16839" w:code="9"/>
          <w:pgMar w:top="1440" w:right="1440" w:bottom="1440" w:left="1440" w:header="720" w:footer="720" w:gutter="0"/>
          <w:cols w:space="720"/>
          <w:docGrid w:linePitch="360"/>
        </w:sectPr>
      </w:pPr>
    </w:p>
    <w:tbl>
      <w:tblPr>
        <w:tblpPr w:leftFromText="180" w:rightFromText="180" w:vertAnchor="text" w:tblpY="1"/>
        <w:tblOverlap w:val="never"/>
        <w:tblW w:w="5401" w:type="dxa"/>
        <w:tblBorders>
          <w:top w:val="single" w:sz="8" w:space="0" w:color="4F81BD"/>
          <w:bottom w:val="single" w:sz="8" w:space="0" w:color="4F81BD"/>
        </w:tblBorders>
        <w:tblLook w:val="04A0" w:firstRow="1" w:lastRow="0" w:firstColumn="1" w:lastColumn="0" w:noHBand="0" w:noVBand="1"/>
      </w:tblPr>
      <w:tblGrid>
        <w:gridCol w:w="1107"/>
        <w:gridCol w:w="2480"/>
        <w:gridCol w:w="1814"/>
      </w:tblGrid>
      <w:tr w:rsidR="00F16182" w:rsidRPr="00D12E59" w14:paraId="39B38478" w14:textId="77777777" w:rsidTr="002742FF">
        <w:trPr>
          <w:trHeight w:val="191"/>
        </w:trPr>
        <w:tc>
          <w:tcPr>
            <w:tcW w:w="0" w:type="auto"/>
            <w:tcBorders>
              <w:top w:val="single" w:sz="8" w:space="0" w:color="4F81BD"/>
              <w:left w:val="nil"/>
              <w:bottom w:val="single" w:sz="8" w:space="0" w:color="4F81BD"/>
              <w:right w:val="nil"/>
            </w:tcBorders>
            <w:shd w:val="clear" w:color="auto" w:fill="auto"/>
          </w:tcPr>
          <w:p w14:paraId="256EA1B1"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Year</w:t>
            </w:r>
          </w:p>
        </w:tc>
        <w:tc>
          <w:tcPr>
            <w:tcW w:w="0" w:type="auto"/>
            <w:tcBorders>
              <w:top w:val="single" w:sz="8" w:space="0" w:color="4F81BD"/>
              <w:left w:val="nil"/>
              <w:bottom w:val="single" w:sz="8" w:space="0" w:color="4F81BD"/>
              <w:right w:val="nil"/>
            </w:tcBorders>
            <w:shd w:val="clear" w:color="auto" w:fill="auto"/>
          </w:tcPr>
          <w:p w14:paraId="203DDCEB"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Accidents(Y)</w:t>
            </w:r>
          </w:p>
        </w:tc>
        <w:tc>
          <w:tcPr>
            <w:tcW w:w="0" w:type="auto"/>
            <w:tcBorders>
              <w:top w:val="single" w:sz="8" w:space="0" w:color="4F81BD"/>
              <w:left w:val="nil"/>
              <w:bottom w:val="single" w:sz="8" w:space="0" w:color="4F81BD"/>
              <w:right w:val="nil"/>
            </w:tcBorders>
            <w:shd w:val="clear" w:color="auto" w:fill="auto"/>
          </w:tcPr>
          <w:p w14:paraId="0050E024"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Pop (X1)</w:t>
            </w:r>
          </w:p>
        </w:tc>
      </w:tr>
      <w:tr w:rsidR="00F16182" w:rsidRPr="00D12E59" w14:paraId="6CD00B4D" w14:textId="77777777" w:rsidTr="002742FF">
        <w:trPr>
          <w:trHeight w:val="191"/>
        </w:trPr>
        <w:tc>
          <w:tcPr>
            <w:tcW w:w="0" w:type="auto"/>
            <w:tcBorders>
              <w:left w:val="nil"/>
              <w:right w:val="nil"/>
            </w:tcBorders>
            <w:shd w:val="clear" w:color="auto" w:fill="auto"/>
          </w:tcPr>
          <w:p w14:paraId="36EDBCB3"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1991</w:t>
            </w:r>
          </w:p>
        </w:tc>
        <w:tc>
          <w:tcPr>
            <w:tcW w:w="0" w:type="auto"/>
            <w:tcBorders>
              <w:left w:val="nil"/>
              <w:right w:val="nil"/>
            </w:tcBorders>
            <w:shd w:val="clear" w:color="auto" w:fill="auto"/>
          </w:tcPr>
          <w:p w14:paraId="596CDD5E"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8370</w:t>
            </w:r>
          </w:p>
        </w:tc>
        <w:tc>
          <w:tcPr>
            <w:tcW w:w="0" w:type="auto"/>
            <w:tcBorders>
              <w:left w:val="nil"/>
              <w:right w:val="nil"/>
            </w:tcBorders>
            <w:shd w:val="clear" w:color="auto" w:fill="auto"/>
          </w:tcPr>
          <w:p w14:paraId="40753DC8"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14821000</w:t>
            </w:r>
          </w:p>
        </w:tc>
      </w:tr>
      <w:tr w:rsidR="00F16182" w:rsidRPr="00D12E59" w14:paraId="2088A722" w14:textId="77777777" w:rsidTr="002742FF">
        <w:trPr>
          <w:trHeight w:val="191"/>
        </w:trPr>
        <w:tc>
          <w:tcPr>
            <w:tcW w:w="0" w:type="auto"/>
            <w:shd w:val="clear" w:color="auto" w:fill="auto"/>
          </w:tcPr>
          <w:p w14:paraId="044E8D86"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1992</w:t>
            </w:r>
          </w:p>
        </w:tc>
        <w:tc>
          <w:tcPr>
            <w:tcW w:w="0" w:type="auto"/>
            <w:shd w:val="clear" w:color="auto" w:fill="auto"/>
          </w:tcPr>
          <w:p w14:paraId="54980D98"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6922</w:t>
            </w:r>
          </w:p>
        </w:tc>
        <w:tc>
          <w:tcPr>
            <w:tcW w:w="0" w:type="auto"/>
            <w:shd w:val="clear" w:color="auto" w:fill="auto"/>
          </w:tcPr>
          <w:p w14:paraId="684E57BC"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15222000</w:t>
            </w:r>
          </w:p>
        </w:tc>
      </w:tr>
      <w:tr w:rsidR="00F16182" w:rsidRPr="00D12E59" w14:paraId="38D83ECB" w14:textId="77777777" w:rsidTr="002742FF">
        <w:trPr>
          <w:trHeight w:val="191"/>
        </w:trPr>
        <w:tc>
          <w:tcPr>
            <w:tcW w:w="0" w:type="auto"/>
            <w:tcBorders>
              <w:left w:val="nil"/>
              <w:right w:val="nil"/>
            </w:tcBorders>
            <w:shd w:val="clear" w:color="auto" w:fill="auto"/>
          </w:tcPr>
          <w:p w14:paraId="3580830B"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1993</w:t>
            </w:r>
          </w:p>
        </w:tc>
        <w:tc>
          <w:tcPr>
            <w:tcW w:w="0" w:type="auto"/>
            <w:tcBorders>
              <w:left w:val="nil"/>
              <w:right w:val="nil"/>
            </w:tcBorders>
            <w:shd w:val="clear" w:color="auto" w:fill="auto"/>
          </w:tcPr>
          <w:p w14:paraId="1E2FFF9C"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6467</w:t>
            </w:r>
          </w:p>
        </w:tc>
        <w:tc>
          <w:tcPr>
            <w:tcW w:w="0" w:type="auto"/>
            <w:tcBorders>
              <w:left w:val="nil"/>
              <w:right w:val="nil"/>
            </w:tcBorders>
            <w:shd w:val="clear" w:color="auto" w:fill="auto"/>
          </w:tcPr>
          <w:p w14:paraId="326DC982"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15634000</w:t>
            </w:r>
          </w:p>
        </w:tc>
      </w:tr>
      <w:tr w:rsidR="00F16182" w:rsidRPr="00D12E59" w14:paraId="0B207344" w14:textId="77777777" w:rsidTr="002742FF">
        <w:trPr>
          <w:trHeight w:val="191"/>
        </w:trPr>
        <w:tc>
          <w:tcPr>
            <w:tcW w:w="0" w:type="auto"/>
            <w:shd w:val="clear" w:color="auto" w:fill="auto"/>
          </w:tcPr>
          <w:p w14:paraId="5AEDBEEC"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1994</w:t>
            </w:r>
          </w:p>
        </w:tc>
        <w:tc>
          <w:tcPr>
            <w:tcW w:w="0" w:type="auto"/>
            <w:shd w:val="clear" w:color="auto" w:fill="auto"/>
          </w:tcPr>
          <w:p w14:paraId="6DC24105"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6584</w:t>
            </w:r>
          </w:p>
        </w:tc>
        <w:tc>
          <w:tcPr>
            <w:tcW w:w="0" w:type="auto"/>
            <w:shd w:val="clear" w:color="auto" w:fill="auto"/>
          </w:tcPr>
          <w:p w14:paraId="50453C20"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16056000</w:t>
            </w:r>
          </w:p>
        </w:tc>
      </w:tr>
      <w:tr w:rsidR="00F16182" w:rsidRPr="00D12E59" w14:paraId="74EEE293" w14:textId="77777777" w:rsidTr="002742FF">
        <w:trPr>
          <w:trHeight w:val="191"/>
        </w:trPr>
        <w:tc>
          <w:tcPr>
            <w:tcW w:w="0" w:type="auto"/>
            <w:tcBorders>
              <w:left w:val="nil"/>
              <w:right w:val="nil"/>
            </w:tcBorders>
            <w:shd w:val="clear" w:color="auto" w:fill="auto"/>
          </w:tcPr>
          <w:p w14:paraId="76F2B0CC"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1995</w:t>
            </w:r>
          </w:p>
        </w:tc>
        <w:tc>
          <w:tcPr>
            <w:tcW w:w="0" w:type="auto"/>
            <w:tcBorders>
              <w:left w:val="nil"/>
              <w:right w:val="nil"/>
            </w:tcBorders>
            <w:shd w:val="clear" w:color="auto" w:fill="auto"/>
          </w:tcPr>
          <w:p w14:paraId="57756BAF"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8313</w:t>
            </w:r>
          </w:p>
        </w:tc>
        <w:tc>
          <w:tcPr>
            <w:tcW w:w="0" w:type="auto"/>
            <w:tcBorders>
              <w:left w:val="nil"/>
              <w:right w:val="nil"/>
            </w:tcBorders>
            <w:shd w:val="clear" w:color="auto" w:fill="auto"/>
          </w:tcPr>
          <w:p w14:paraId="4EB0EFDD"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16491000</w:t>
            </w:r>
          </w:p>
        </w:tc>
      </w:tr>
      <w:tr w:rsidR="00F16182" w:rsidRPr="00D12E59" w14:paraId="27EFC05C" w14:textId="77777777" w:rsidTr="002742FF">
        <w:trPr>
          <w:trHeight w:val="191"/>
        </w:trPr>
        <w:tc>
          <w:tcPr>
            <w:tcW w:w="0" w:type="auto"/>
            <w:shd w:val="clear" w:color="auto" w:fill="auto"/>
          </w:tcPr>
          <w:p w14:paraId="0B7713D2"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1996</w:t>
            </w:r>
          </w:p>
        </w:tc>
        <w:tc>
          <w:tcPr>
            <w:tcW w:w="0" w:type="auto"/>
            <w:shd w:val="clear" w:color="auto" w:fill="auto"/>
          </w:tcPr>
          <w:p w14:paraId="724020D9"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8488</w:t>
            </w:r>
          </w:p>
        </w:tc>
        <w:tc>
          <w:tcPr>
            <w:tcW w:w="0" w:type="auto"/>
            <w:shd w:val="clear" w:color="auto" w:fill="auto"/>
          </w:tcPr>
          <w:p w14:paraId="21392290"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16937000</w:t>
            </w:r>
          </w:p>
        </w:tc>
      </w:tr>
      <w:tr w:rsidR="00F16182" w:rsidRPr="00D12E59" w14:paraId="43A6E92A" w14:textId="77777777" w:rsidTr="002742FF">
        <w:trPr>
          <w:trHeight w:val="191"/>
        </w:trPr>
        <w:tc>
          <w:tcPr>
            <w:tcW w:w="0" w:type="auto"/>
            <w:tcBorders>
              <w:left w:val="nil"/>
              <w:right w:val="nil"/>
            </w:tcBorders>
            <w:shd w:val="clear" w:color="auto" w:fill="auto"/>
          </w:tcPr>
          <w:p w14:paraId="33B35F4A"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1997</w:t>
            </w:r>
          </w:p>
        </w:tc>
        <w:tc>
          <w:tcPr>
            <w:tcW w:w="0" w:type="auto"/>
            <w:tcBorders>
              <w:left w:val="nil"/>
              <w:right w:val="nil"/>
            </w:tcBorders>
            <w:shd w:val="clear" w:color="auto" w:fill="auto"/>
          </w:tcPr>
          <w:p w14:paraId="035B79DF"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9918</w:t>
            </w:r>
          </w:p>
        </w:tc>
        <w:tc>
          <w:tcPr>
            <w:tcW w:w="0" w:type="auto"/>
            <w:tcBorders>
              <w:left w:val="nil"/>
              <w:right w:val="nil"/>
            </w:tcBorders>
            <w:shd w:val="clear" w:color="auto" w:fill="auto"/>
          </w:tcPr>
          <w:p w14:paraId="675F0746"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17295000</w:t>
            </w:r>
          </w:p>
        </w:tc>
      </w:tr>
      <w:tr w:rsidR="00F16182" w:rsidRPr="00D12E59" w14:paraId="458D11EC" w14:textId="77777777" w:rsidTr="002742FF">
        <w:trPr>
          <w:trHeight w:val="191"/>
        </w:trPr>
        <w:tc>
          <w:tcPr>
            <w:tcW w:w="0" w:type="auto"/>
            <w:shd w:val="clear" w:color="auto" w:fill="auto"/>
          </w:tcPr>
          <w:p w14:paraId="754BB6D6"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1998</w:t>
            </w:r>
          </w:p>
        </w:tc>
        <w:tc>
          <w:tcPr>
            <w:tcW w:w="0" w:type="auto"/>
            <w:shd w:val="clear" w:color="auto" w:fill="auto"/>
          </w:tcPr>
          <w:p w14:paraId="74B233FD"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10996</w:t>
            </w:r>
          </w:p>
        </w:tc>
        <w:tc>
          <w:tcPr>
            <w:tcW w:w="0" w:type="auto"/>
            <w:shd w:val="clear" w:color="auto" w:fill="auto"/>
          </w:tcPr>
          <w:p w14:paraId="738161AD"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17865000</w:t>
            </w:r>
          </w:p>
        </w:tc>
      </w:tr>
      <w:tr w:rsidR="00F16182" w:rsidRPr="00D12E59" w14:paraId="619C49B2" w14:textId="77777777" w:rsidTr="002742FF">
        <w:trPr>
          <w:trHeight w:val="191"/>
        </w:trPr>
        <w:tc>
          <w:tcPr>
            <w:tcW w:w="0" w:type="auto"/>
            <w:tcBorders>
              <w:left w:val="nil"/>
              <w:right w:val="nil"/>
            </w:tcBorders>
            <w:shd w:val="clear" w:color="auto" w:fill="auto"/>
          </w:tcPr>
          <w:p w14:paraId="4FF5701D"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1999</w:t>
            </w:r>
          </w:p>
        </w:tc>
        <w:tc>
          <w:tcPr>
            <w:tcW w:w="0" w:type="auto"/>
            <w:tcBorders>
              <w:left w:val="nil"/>
              <w:right w:val="nil"/>
            </w:tcBorders>
            <w:shd w:val="clear" w:color="auto" w:fill="auto"/>
          </w:tcPr>
          <w:p w14:paraId="15DAD929"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8763</w:t>
            </w:r>
          </w:p>
        </w:tc>
        <w:tc>
          <w:tcPr>
            <w:tcW w:w="0" w:type="auto"/>
            <w:tcBorders>
              <w:left w:val="nil"/>
              <w:right w:val="nil"/>
            </w:tcBorders>
            <w:shd w:val="clear" w:color="auto" w:fill="auto"/>
          </w:tcPr>
          <w:p w14:paraId="07C9BE75"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18349000</w:t>
            </w:r>
          </w:p>
        </w:tc>
      </w:tr>
      <w:tr w:rsidR="00F16182" w:rsidRPr="00D12E59" w14:paraId="1F08D0A0" w14:textId="77777777" w:rsidTr="002742FF">
        <w:trPr>
          <w:trHeight w:val="191"/>
        </w:trPr>
        <w:tc>
          <w:tcPr>
            <w:tcW w:w="0" w:type="auto"/>
            <w:shd w:val="clear" w:color="auto" w:fill="auto"/>
          </w:tcPr>
          <w:p w14:paraId="43C41E89"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2000</w:t>
            </w:r>
          </w:p>
        </w:tc>
        <w:tc>
          <w:tcPr>
            <w:tcW w:w="0" w:type="auto"/>
            <w:shd w:val="clear" w:color="auto" w:fill="auto"/>
          </w:tcPr>
          <w:p w14:paraId="55D444AF"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11087</w:t>
            </w:r>
          </w:p>
        </w:tc>
        <w:tc>
          <w:tcPr>
            <w:tcW w:w="0" w:type="auto"/>
            <w:shd w:val="clear" w:color="auto" w:fill="auto"/>
          </w:tcPr>
          <w:p w14:paraId="4B5BE263"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18845000</w:t>
            </w:r>
          </w:p>
        </w:tc>
      </w:tr>
      <w:tr w:rsidR="00F16182" w:rsidRPr="00D12E59" w14:paraId="4B9F8088" w14:textId="77777777" w:rsidTr="002742FF">
        <w:trPr>
          <w:trHeight w:val="191"/>
        </w:trPr>
        <w:tc>
          <w:tcPr>
            <w:tcW w:w="0" w:type="auto"/>
            <w:tcBorders>
              <w:left w:val="nil"/>
              <w:right w:val="nil"/>
            </w:tcBorders>
            <w:shd w:val="clear" w:color="auto" w:fill="auto"/>
          </w:tcPr>
          <w:p w14:paraId="303849BE"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2001</w:t>
            </w:r>
          </w:p>
        </w:tc>
        <w:tc>
          <w:tcPr>
            <w:tcW w:w="0" w:type="auto"/>
            <w:tcBorders>
              <w:left w:val="nil"/>
              <w:right w:val="nil"/>
            </w:tcBorders>
            <w:shd w:val="clear" w:color="auto" w:fill="auto"/>
          </w:tcPr>
          <w:p w14:paraId="7A71B9AA"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11293</w:t>
            </w:r>
          </w:p>
        </w:tc>
        <w:tc>
          <w:tcPr>
            <w:tcW w:w="0" w:type="auto"/>
            <w:tcBorders>
              <w:left w:val="nil"/>
              <w:right w:val="nil"/>
            </w:tcBorders>
            <w:shd w:val="clear" w:color="auto" w:fill="auto"/>
          </w:tcPr>
          <w:p w14:paraId="77EC9F12"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19328000</w:t>
            </w:r>
          </w:p>
        </w:tc>
      </w:tr>
      <w:tr w:rsidR="00F16182" w:rsidRPr="00D12E59" w14:paraId="2A685628" w14:textId="77777777" w:rsidTr="002742FF">
        <w:trPr>
          <w:trHeight w:val="451"/>
        </w:trPr>
        <w:tc>
          <w:tcPr>
            <w:tcW w:w="0" w:type="auto"/>
            <w:shd w:val="clear" w:color="auto" w:fill="auto"/>
          </w:tcPr>
          <w:p w14:paraId="4112B926"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2002</w:t>
            </w:r>
          </w:p>
        </w:tc>
        <w:tc>
          <w:tcPr>
            <w:tcW w:w="0" w:type="auto"/>
            <w:shd w:val="clear" w:color="auto" w:fill="auto"/>
          </w:tcPr>
          <w:p w14:paraId="0655B52F"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10715</w:t>
            </w:r>
          </w:p>
        </w:tc>
        <w:tc>
          <w:tcPr>
            <w:tcW w:w="0" w:type="auto"/>
            <w:shd w:val="clear" w:color="auto" w:fill="auto"/>
          </w:tcPr>
          <w:p w14:paraId="21147F67"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19811000</w:t>
            </w:r>
          </w:p>
        </w:tc>
      </w:tr>
      <w:tr w:rsidR="00F16182" w:rsidRPr="00D12E59" w14:paraId="7910D077" w14:textId="77777777" w:rsidTr="002742FF">
        <w:trPr>
          <w:trHeight w:val="467"/>
        </w:trPr>
        <w:tc>
          <w:tcPr>
            <w:tcW w:w="0" w:type="auto"/>
            <w:tcBorders>
              <w:left w:val="nil"/>
              <w:right w:val="nil"/>
            </w:tcBorders>
            <w:shd w:val="clear" w:color="auto" w:fill="auto"/>
          </w:tcPr>
          <w:p w14:paraId="7FBDF7CC"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2003</w:t>
            </w:r>
          </w:p>
        </w:tc>
        <w:tc>
          <w:tcPr>
            <w:tcW w:w="0" w:type="auto"/>
            <w:tcBorders>
              <w:left w:val="nil"/>
              <w:right w:val="nil"/>
            </w:tcBorders>
            <w:shd w:val="clear" w:color="auto" w:fill="auto"/>
          </w:tcPr>
          <w:p w14:paraId="35D840F3"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10542</w:t>
            </w:r>
          </w:p>
        </w:tc>
        <w:tc>
          <w:tcPr>
            <w:tcW w:w="0" w:type="auto"/>
            <w:tcBorders>
              <w:left w:val="nil"/>
              <w:right w:val="nil"/>
            </w:tcBorders>
            <w:shd w:val="clear" w:color="auto" w:fill="auto"/>
          </w:tcPr>
          <w:p w14:paraId="44407D39"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20506000</w:t>
            </w:r>
          </w:p>
        </w:tc>
      </w:tr>
      <w:tr w:rsidR="00F16182" w:rsidRPr="00D12E59" w14:paraId="4206AB47" w14:textId="77777777" w:rsidTr="002742FF">
        <w:trPr>
          <w:trHeight w:val="512"/>
        </w:trPr>
        <w:tc>
          <w:tcPr>
            <w:tcW w:w="0" w:type="auto"/>
            <w:shd w:val="clear" w:color="auto" w:fill="auto"/>
          </w:tcPr>
          <w:p w14:paraId="151A607E"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2004</w:t>
            </w:r>
          </w:p>
        </w:tc>
        <w:tc>
          <w:tcPr>
            <w:tcW w:w="0" w:type="auto"/>
            <w:shd w:val="clear" w:color="auto" w:fill="auto"/>
          </w:tcPr>
          <w:p w14:paraId="2FF46D9C"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12175</w:t>
            </w:r>
          </w:p>
        </w:tc>
        <w:tc>
          <w:tcPr>
            <w:tcW w:w="0" w:type="auto"/>
            <w:shd w:val="clear" w:color="auto" w:fill="auto"/>
          </w:tcPr>
          <w:p w14:paraId="4F1DB71D"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21093000</w:t>
            </w:r>
          </w:p>
        </w:tc>
      </w:tr>
      <w:tr w:rsidR="00F16182" w:rsidRPr="00D12E59" w14:paraId="59F1EBBD" w14:textId="77777777" w:rsidTr="002742FF">
        <w:trPr>
          <w:trHeight w:val="458"/>
        </w:trPr>
        <w:tc>
          <w:tcPr>
            <w:tcW w:w="0" w:type="auto"/>
            <w:tcBorders>
              <w:left w:val="nil"/>
              <w:right w:val="nil"/>
            </w:tcBorders>
            <w:shd w:val="clear" w:color="auto" w:fill="auto"/>
          </w:tcPr>
          <w:p w14:paraId="14E5912C"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2005</w:t>
            </w:r>
          </w:p>
        </w:tc>
        <w:tc>
          <w:tcPr>
            <w:tcW w:w="0" w:type="auto"/>
            <w:tcBorders>
              <w:left w:val="nil"/>
              <w:right w:val="nil"/>
            </w:tcBorders>
            <w:shd w:val="clear" w:color="auto" w:fill="auto"/>
          </w:tcPr>
          <w:p w14:paraId="45FEF84F"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11320</w:t>
            </w:r>
          </w:p>
        </w:tc>
        <w:tc>
          <w:tcPr>
            <w:tcW w:w="0" w:type="auto"/>
            <w:tcBorders>
              <w:left w:val="nil"/>
              <w:right w:val="nil"/>
            </w:tcBorders>
            <w:shd w:val="clear" w:color="auto" w:fill="auto"/>
          </w:tcPr>
          <w:p w14:paraId="6188D8CC"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21693000</w:t>
            </w:r>
          </w:p>
        </w:tc>
      </w:tr>
      <w:tr w:rsidR="00F16182" w:rsidRPr="00D12E59" w14:paraId="52BDAB76" w14:textId="77777777" w:rsidTr="002742FF">
        <w:trPr>
          <w:trHeight w:val="503"/>
        </w:trPr>
        <w:tc>
          <w:tcPr>
            <w:tcW w:w="0" w:type="auto"/>
            <w:shd w:val="clear" w:color="auto" w:fill="auto"/>
          </w:tcPr>
          <w:p w14:paraId="30EDA580"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2006</w:t>
            </w:r>
          </w:p>
        </w:tc>
        <w:tc>
          <w:tcPr>
            <w:tcW w:w="0" w:type="auto"/>
            <w:shd w:val="clear" w:color="auto" w:fill="auto"/>
          </w:tcPr>
          <w:p w14:paraId="27F2F24C"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11668</w:t>
            </w:r>
          </w:p>
        </w:tc>
        <w:tc>
          <w:tcPr>
            <w:tcW w:w="0" w:type="auto"/>
            <w:shd w:val="clear" w:color="auto" w:fill="auto"/>
          </w:tcPr>
          <w:p w14:paraId="2E461C6F"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22294000</w:t>
            </w:r>
          </w:p>
        </w:tc>
      </w:tr>
      <w:tr w:rsidR="00F16182" w:rsidRPr="00D12E59" w14:paraId="29B88339" w14:textId="77777777" w:rsidTr="002742FF">
        <w:trPr>
          <w:trHeight w:val="440"/>
        </w:trPr>
        <w:tc>
          <w:tcPr>
            <w:tcW w:w="0" w:type="auto"/>
            <w:tcBorders>
              <w:left w:val="nil"/>
              <w:right w:val="nil"/>
            </w:tcBorders>
            <w:shd w:val="clear" w:color="auto" w:fill="auto"/>
          </w:tcPr>
          <w:p w14:paraId="51679F3D"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2007</w:t>
            </w:r>
          </w:p>
        </w:tc>
        <w:tc>
          <w:tcPr>
            <w:tcW w:w="0" w:type="auto"/>
            <w:tcBorders>
              <w:left w:val="nil"/>
              <w:right w:val="nil"/>
            </w:tcBorders>
            <w:shd w:val="clear" w:color="auto" w:fill="auto"/>
          </w:tcPr>
          <w:p w14:paraId="0F54CB0B"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12038</w:t>
            </w:r>
          </w:p>
        </w:tc>
        <w:tc>
          <w:tcPr>
            <w:tcW w:w="0" w:type="auto"/>
            <w:tcBorders>
              <w:left w:val="nil"/>
              <w:right w:val="nil"/>
            </w:tcBorders>
            <w:shd w:val="clear" w:color="auto" w:fill="auto"/>
          </w:tcPr>
          <w:p w14:paraId="42FE1D58"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22911000</w:t>
            </w:r>
          </w:p>
        </w:tc>
      </w:tr>
      <w:tr w:rsidR="00F16182" w:rsidRPr="00D12E59" w14:paraId="39C675F2" w14:textId="77777777" w:rsidTr="002742FF">
        <w:trPr>
          <w:trHeight w:val="413"/>
        </w:trPr>
        <w:tc>
          <w:tcPr>
            <w:tcW w:w="0" w:type="auto"/>
            <w:shd w:val="clear" w:color="auto" w:fill="auto"/>
          </w:tcPr>
          <w:p w14:paraId="268EFBC6"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2008</w:t>
            </w:r>
          </w:p>
        </w:tc>
        <w:tc>
          <w:tcPr>
            <w:tcW w:w="0" w:type="auto"/>
            <w:shd w:val="clear" w:color="auto" w:fill="auto"/>
          </w:tcPr>
          <w:p w14:paraId="565D9B24"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11214</w:t>
            </w:r>
          </w:p>
        </w:tc>
        <w:tc>
          <w:tcPr>
            <w:tcW w:w="0" w:type="auto"/>
            <w:shd w:val="clear" w:color="auto" w:fill="auto"/>
          </w:tcPr>
          <w:p w14:paraId="6015A777"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23544000</w:t>
            </w:r>
          </w:p>
        </w:tc>
      </w:tr>
      <w:tr w:rsidR="00F16182" w:rsidRPr="00D12E59" w14:paraId="367A0AA9" w14:textId="77777777" w:rsidTr="002742FF">
        <w:trPr>
          <w:trHeight w:val="458"/>
        </w:trPr>
        <w:tc>
          <w:tcPr>
            <w:tcW w:w="0" w:type="auto"/>
            <w:tcBorders>
              <w:left w:val="nil"/>
              <w:right w:val="nil"/>
            </w:tcBorders>
            <w:shd w:val="clear" w:color="auto" w:fill="auto"/>
          </w:tcPr>
          <w:p w14:paraId="0DA7861B"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2009</w:t>
            </w:r>
          </w:p>
        </w:tc>
        <w:tc>
          <w:tcPr>
            <w:tcW w:w="0" w:type="auto"/>
            <w:tcBorders>
              <w:left w:val="nil"/>
              <w:right w:val="nil"/>
            </w:tcBorders>
            <w:shd w:val="clear" w:color="auto" w:fill="auto"/>
          </w:tcPr>
          <w:p w14:paraId="6ED06E55"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12299</w:t>
            </w:r>
          </w:p>
        </w:tc>
        <w:tc>
          <w:tcPr>
            <w:tcW w:w="0" w:type="auto"/>
            <w:tcBorders>
              <w:left w:val="nil"/>
              <w:right w:val="nil"/>
            </w:tcBorders>
            <w:shd w:val="clear" w:color="auto" w:fill="auto"/>
          </w:tcPr>
          <w:p w14:paraId="4D259961"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24196000</w:t>
            </w:r>
          </w:p>
        </w:tc>
      </w:tr>
      <w:tr w:rsidR="00F16182" w:rsidRPr="00D12E59" w14:paraId="05089D9E" w14:textId="77777777" w:rsidTr="002742FF">
        <w:trPr>
          <w:trHeight w:val="422"/>
        </w:trPr>
        <w:tc>
          <w:tcPr>
            <w:tcW w:w="0" w:type="auto"/>
            <w:shd w:val="clear" w:color="auto" w:fill="auto"/>
          </w:tcPr>
          <w:p w14:paraId="02F7C8DE" w14:textId="77777777" w:rsidR="008474BB" w:rsidRPr="00D12E59" w:rsidRDefault="008474BB" w:rsidP="002742FF">
            <w:pPr>
              <w:jc w:val="center"/>
              <w:rPr>
                <w:rFonts w:ascii="Book Antiqua" w:hAnsi="Book Antiqua"/>
                <w:b/>
                <w:bCs/>
                <w:color w:val="365F91"/>
              </w:rPr>
            </w:pPr>
            <w:r w:rsidRPr="00D12E59">
              <w:rPr>
                <w:rFonts w:ascii="Book Antiqua" w:hAnsi="Book Antiqua"/>
                <w:b/>
                <w:bCs/>
                <w:color w:val="365F91"/>
              </w:rPr>
              <w:t>2010</w:t>
            </w:r>
          </w:p>
        </w:tc>
        <w:tc>
          <w:tcPr>
            <w:tcW w:w="0" w:type="auto"/>
            <w:shd w:val="clear" w:color="auto" w:fill="auto"/>
          </w:tcPr>
          <w:p w14:paraId="76E1AD75"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11506</w:t>
            </w:r>
          </w:p>
        </w:tc>
        <w:tc>
          <w:tcPr>
            <w:tcW w:w="0" w:type="auto"/>
            <w:shd w:val="clear" w:color="auto" w:fill="auto"/>
          </w:tcPr>
          <w:p w14:paraId="4AC86647" w14:textId="77777777" w:rsidR="008474BB" w:rsidRPr="00D12E59" w:rsidRDefault="008474BB" w:rsidP="002742FF">
            <w:pPr>
              <w:jc w:val="center"/>
              <w:rPr>
                <w:rFonts w:ascii="Book Antiqua" w:hAnsi="Book Antiqua"/>
                <w:color w:val="365F91"/>
              </w:rPr>
            </w:pPr>
            <w:r w:rsidRPr="00D12E59">
              <w:rPr>
                <w:rFonts w:ascii="Book Antiqua" w:hAnsi="Book Antiqua"/>
                <w:color w:val="365F91"/>
              </w:rPr>
              <w:t>24233000</w:t>
            </w:r>
          </w:p>
        </w:tc>
      </w:tr>
    </w:tbl>
    <w:p w14:paraId="3693787C" w14:textId="77777777" w:rsidR="00AD1DF0" w:rsidRDefault="00AD1DF0" w:rsidP="00E119FB">
      <w:pPr>
        <w:autoSpaceDE w:val="0"/>
        <w:autoSpaceDN w:val="0"/>
        <w:adjustRightInd w:val="0"/>
        <w:rPr>
          <w:rFonts w:ascii="Book Antiqua" w:hAnsi="Book Antiqua"/>
          <w:b/>
          <w:bCs/>
        </w:rPr>
        <w:sectPr w:rsidR="00AD1DF0" w:rsidSect="008F6BC9">
          <w:type w:val="continuous"/>
          <w:pgSz w:w="11907" w:h="16839" w:code="9"/>
          <w:pgMar w:top="1440" w:right="1440" w:bottom="1440" w:left="1440" w:header="720" w:footer="720" w:gutter="0"/>
          <w:cols w:space="720"/>
          <w:docGrid w:linePitch="360"/>
        </w:sectPr>
      </w:pPr>
    </w:p>
    <w:p w14:paraId="52820ED4" w14:textId="77777777" w:rsidR="002416BB" w:rsidRPr="00E3232D" w:rsidRDefault="002416BB" w:rsidP="00E119FB">
      <w:pPr>
        <w:autoSpaceDE w:val="0"/>
        <w:autoSpaceDN w:val="0"/>
        <w:adjustRightInd w:val="0"/>
        <w:rPr>
          <w:rFonts w:ascii="Book Antiqua" w:hAnsi="Book Antiqua"/>
          <w:b/>
          <w:bCs/>
        </w:rPr>
      </w:pPr>
    </w:p>
    <w:p w14:paraId="627FB66D" w14:textId="77777777" w:rsidR="002416BB" w:rsidRDefault="002416BB" w:rsidP="008275E1">
      <w:pPr>
        <w:pStyle w:val="ListParagraph"/>
        <w:autoSpaceDE w:val="0"/>
        <w:autoSpaceDN w:val="0"/>
        <w:adjustRightInd w:val="0"/>
        <w:rPr>
          <w:rFonts w:ascii="Book Antiqua" w:hAnsi="Book Antiqua"/>
          <w:b/>
          <w:bCs/>
        </w:rPr>
      </w:pPr>
    </w:p>
    <w:p w14:paraId="58866483" w14:textId="77777777" w:rsidR="00EF4DA7" w:rsidRDefault="00EF4DA7" w:rsidP="008275E1">
      <w:pPr>
        <w:pStyle w:val="ListParagraph"/>
        <w:autoSpaceDE w:val="0"/>
        <w:autoSpaceDN w:val="0"/>
        <w:adjustRightInd w:val="0"/>
        <w:rPr>
          <w:rFonts w:ascii="Book Antiqua" w:hAnsi="Book Antiqua"/>
          <w:b/>
          <w:bCs/>
        </w:rPr>
      </w:pPr>
    </w:p>
    <w:p w14:paraId="36CAEB87" w14:textId="77777777" w:rsidR="00AD1DF0" w:rsidRDefault="00AD1DF0" w:rsidP="008275E1">
      <w:pPr>
        <w:pStyle w:val="ListParagraph"/>
        <w:autoSpaceDE w:val="0"/>
        <w:autoSpaceDN w:val="0"/>
        <w:adjustRightInd w:val="0"/>
        <w:rPr>
          <w:rFonts w:ascii="Book Antiqua" w:hAnsi="Book Antiqua"/>
          <w:b/>
          <w:bCs/>
        </w:rPr>
        <w:sectPr w:rsidR="00AD1DF0" w:rsidSect="008F6BC9">
          <w:type w:val="continuous"/>
          <w:pgSz w:w="11907" w:h="16839" w:code="9"/>
          <w:pgMar w:top="1440" w:right="1440" w:bottom="1440" w:left="1440" w:header="720" w:footer="720" w:gutter="0"/>
          <w:cols w:num="2" w:space="720"/>
          <w:docGrid w:linePitch="360"/>
        </w:sectPr>
      </w:pPr>
    </w:p>
    <w:p w14:paraId="21BA7023" w14:textId="77777777" w:rsidR="00EF4DA7" w:rsidRDefault="00EF4DA7" w:rsidP="008275E1">
      <w:pPr>
        <w:pStyle w:val="ListParagraph"/>
        <w:autoSpaceDE w:val="0"/>
        <w:autoSpaceDN w:val="0"/>
        <w:adjustRightInd w:val="0"/>
        <w:rPr>
          <w:rFonts w:ascii="Book Antiqua" w:hAnsi="Book Antiqua"/>
          <w:b/>
          <w:bCs/>
        </w:rPr>
      </w:pPr>
    </w:p>
    <w:p w14:paraId="086CBD3E" w14:textId="77777777" w:rsidR="00EF4DA7" w:rsidRDefault="00EF4DA7" w:rsidP="008275E1">
      <w:pPr>
        <w:pStyle w:val="ListParagraph"/>
        <w:autoSpaceDE w:val="0"/>
        <w:autoSpaceDN w:val="0"/>
        <w:adjustRightInd w:val="0"/>
        <w:rPr>
          <w:rFonts w:ascii="Book Antiqua" w:hAnsi="Book Antiqua"/>
          <w:b/>
          <w:bCs/>
        </w:rPr>
      </w:pPr>
    </w:p>
    <w:p w14:paraId="4EA4B4C9" w14:textId="77777777" w:rsidR="00EF4DA7" w:rsidRDefault="00EF4DA7" w:rsidP="008275E1">
      <w:pPr>
        <w:pStyle w:val="ListParagraph"/>
        <w:autoSpaceDE w:val="0"/>
        <w:autoSpaceDN w:val="0"/>
        <w:adjustRightInd w:val="0"/>
        <w:rPr>
          <w:rFonts w:ascii="Book Antiqua" w:hAnsi="Book Antiqua"/>
          <w:b/>
          <w:bCs/>
        </w:rPr>
      </w:pPr>
    </w:p>
    <w:p w14:paraId="1FB864E1" w14:textId="77777777" w:rsidR="00EF4DA7" w:rsidRDefault="00EF4DA7" w:rsidP="008275E1">
      <w:pPr>
        <w:pStyle w:val="ListParagraph"/>
        <w:autoSpaceDE w:val="0"/>
        <w:autoSpaceDN w:val="0"/>
        <w:adjustRightInd w:val="0"/>
        <w:rPr>
          <w:rFonts w:ascii="Book Antiqua" w:hAnsi="Book Antiqua"/>
          <w:b/>
          <w:bCs/>
        </w:rPr>
      </w:pPr>
    </w:p>
    <w:p w14:paraId="0002C7C3" w14:textId="77777777" w:rsidR="00EF4DA7" w:rsidRDefault="00EF4DA7" w:rsidP="008275E1">
      <w:pPr>
        <w:pStyle w:val="ListParagraph"/>
        <w:autoSpaceDE w:val="0"/>
        <w:autoSpaceDN w:val="0"/>
        <w:adjustRightInd w:val="0"/>
        <w:rPr>
          <w:rFonts w:ascii="Book Antiqua" w:hAnsi="Book Antiqua"/>
          <w:b/>
          <w:bCs/>
        </w:rPr>
      </w:pPr>
    </w:p>
    <w:p w14:paraId="05B623EA" w14:textId="77777777" w:rsidR="00EF4DA7" w:rsidRDefault="00EF4DA7" w:rsidP="008275E1">
      <w:pPr>
        <w:pStyle w:val="ListParagraph"/>
        <w:autoSpaceDE w:val="0"/>
        <w:autoSpaceDN w:val="0"/>
        <w:adjustRightInd w:val="0"/>
        <w:rPr>
          <w:rFonts w:ascii="Book Antiqua" w:hAnsi="Book Antiqua"/>
          <w:b/>
          <w:bCs/>
        </w:rPr>
      </w:pPr>
    </w:p>
    <w:p w14:paraId="378C7198" w14:textId="77777777" w:rsidR="00EF4DA7" w:rsidRDefault="00EF4DA7" w:rsidP="008275E1">
      <w:pPr>
        <w:pStyle w:val="ListParagraph"/>
        <w:autoSpaceDE w:val="0"/>
        <w:autoSpaceDN w:val="0"/>
        <w:adjustRightInd w:val="0"/>
        <w:rPr>
          <w:rFonts w:ascii="Book Antiqua" w:hAnsi="Book Antiqua"/>
          <w:b/>
          <w:bCs/>
        </w:rPr>
      </w:pPr>
    </w:p>
    <w:p w14:paraId="21EEB4A0" w14:textId="77777777" w:rsidR="00EF4DA7" w:rsidRDefault="00EF4DA7" w:rsidP="008275E1">
      <w:pPr>
        <w:pStyle w:val="ListParagraph"/>
        <w:autoSpaceDE w:val="0"/>
        <w:autoSpaceDN w:val="0"/>
        <w:adjustRightInd w:val="0"/>
        <w:rPr>
          <w:rFonts w:ascii="Book Antiqua" w:hAnsi="Book Antiqua"/>
          <w:b/>
          <w:bCs/>
        </w:rPr>
      </w:pPr>
    </w:p>
    <w:p w14:paraId="5D9427C7" w14:textId="77777777" w:rsidR="00EF4DA7" w:rsidRPr="00E3232D" w:rsidRDefault="00EF4DA7" w:rsidP="008275E1">
      <w:pPr>
        <w:pStyle w:val="ListParagraph"/>
        <w:autoSpaceDE w:val="0"/>
        <w:autoSpaceDN w:val="0"/>
        <w:adjustRightInd w:val="0"/>
        <w:rPr>
          <w:rFonts w:ascii="Book Antiqua" w:hAnsi="Book Antiqua"/>
          <w:b/>
          <w:bCs/>
        </w:rPr>
      </w:pPr>
    </w:p>
    <w:p w14:paraId="17C6EC57" w14:textId="77777777" w:rsidR="004C17F9" w:rsidRDefault="004C17F9" w:rsidP="00394697">
      <w:pPr>
        <w:jc w:val="center"/>
        <w:rPr>
          <w:rFonts w:ascii="Book Antiqua" w:hAnsi="Book Antiqua"/>
          <w:b/>
          <w:sz w:val="26"/>
          <w:szCs w:val="26"/>
        </w:rPr>
      </w:pPr>
    </w:p>
    <w:p w14:paraId="4565806D" w14:textId="77777777" w:rsidR="004C17F9" w:rsidRDefault="004C17F9" w:rsidP="00394697">
      <w:pPr>
        <w:jc w:val="center"/>
        <w:rPr>
          <w:rFonts w:ascii="Book Antiqua" w:hAnsi="Book Antiqua"/>
          <w:b/>
          <w:sz w:val="26"/>
          <w:szCs w:val="26"/>
        </w:rPr>
      </w:pPr>
    </w:p>
    <w:p w14:paraId="61FC9FA0" w14:textId="77777777" w:rsidR="004C17F9" w:rsidRDefault="004C17F9" w:rsidP="00394697">
      <w:pPr>
        <w:jc w:val="center"/>
        <w:rPr>
          <w:rFonts w:ascii="Book Antiqua" w:hAnsi="Book Antiqua"/>
          <w:b/>
          <w:sz w:val="26"/>
          <w:szCs w:val="26"/>
        </w:rPr>
      </w:pPr>
    </w:p>
    <w:p w14:paraId="3384A8A6" w14:textId="77777777" w:rsidR="004C17F9" w:rsidRDefault="004C17F9" w:rsidP="00394697">
      <w:pPr>
        <w:jc w:val="center"/>
        <w:rPr>
          <w:rFonts w:ascii="Book Antiqua" w:hAnsi="Book Antiqua"/>
          <w:b/>
          <w:sz w:val="26"/>
          <w:szCs w:val="26"/>
        </w:rPr>
      </w:pPr>
    </w:p>
    <w:p w14:paraId="0346B4E3" w14:textId="77777777" w:rsidR="004C17F9" w:rsidRDefault="004C17F9" w:rsidP="00394697">
      <w:pPr>
        <w:jc w:val="center"/>
        <w:rPr>
          <w:rFonts w:ascii="Book Antiqua" w:hAnsi="Book Antiqua"/>
          <w:b/>
          <w:sz w:val="26"/>
          <w:szCs w:val="26"/>
        </w:rPr>
      </w:pPr>
    </w:p>
    <w:p w14:paraId="4A960E01" w14:textId="77777777" w:rsidR="004C17F9" w:rsidRDefault="004C17F9" w:rsidP="00394697">
      <w:pPr>
        <w:jc w:val="center"/>
        <w:rPr>
          <w:rFonts w:ascii="Book Antiqua" w:hAnsi="Book Antiqua"/>
          <w:b/>
          <w:sz w:val="26"/>
          <w:szCs w:val="26"/>
        </w:rPr>
      </w:pPr>
    </w:p>
    <w:p w14:paraId="79A41647" w14:textId="77777777" w:rsidR="004C17F9" w:rsidRDefault="004C17F9" w:rsidP="00394697">
      <w:pPr>
        <w:jc w:val="center"/>
        <w:rPr>
          <w:rFonts w:ascii="Book Antiqua" w:hAnsi="Book Antiqua"/>
          <w:b/>
          <w:sz w:val="26"/>
          <w:szCs w:val="26"/>
        </w:rPr>
      </w:pPr>
    </w:p>
    <w:p w14:paraId="26F79170" w14:textId="77777777" w:rsidR="004C17F9" w:rsidRDefault="004C17F9" w:rsidP="00394697">
      <w:pPr>
        <w:jc w:val="center"/>
        <w:rPr>
          <w:rFonts w:ascii="Book Antiqua" w:hAnsi="Book Antiqua"/>
          <w:b/>
          <w:sz w:val="26"/>
          <w:szCs w:val="26"/>
        </w:rPr>
      </w:pPr>
    </w:p>
    <w:p w14:paraId="0293420B" w14:textId="77777777" w:rsidR="004C17F9" w:rsidRDefault="004C17F9" w:rsidP="00394697">
      <w:pPr>
        <w:jc w:val="center"/>
        <w:rPr>
          <w:rFonts w:ascii="Book Antiqua" w:hAnsi="Book Antiqua"/>
          <w:b/>
          <w:sz w:val="26"/>
          <w:szCs w:val="26"/>
        </w:rPr>
      </w:pPr>
    </w:p>
    <w:p w14:paraId="665956FE" w14:textId="77777777" w:rsidR="004C17F9" w:rsidRDefault="004C17F9" w:rsidP="00394697">
      <w:pPr>
        <w:jc w:val="center"/>
        <w:rPr>
          <w:rFonts w:ascii="Book Antiqua" w:hAnsi="Book Antiqua"/>
          <w:b/>
          <w:sz w:val="26"/>
          <w:szCs w:val="26"/>
        </w:rPr>
      </w:pPr>
    </w:p>
    <w:p w14:paraId="0C6B348E" w14:textId="77777777" w:rsidR="004C17F9" w:rsidRDefault="004C17F9" w:rsidP="00394697">
      <w:pPr>
        <w:jc w:val="center"/>
        <w:rPr>
          <w:rFonts w:ascii="Book Antiqua" w:hAnsi="Book Antiqua"/>
          <w:b/>
          <w:sz w:val="26"/>
          <w:szCs w:val="26"/>
        </w:rPr>
      </w:pPr>
    </w:p>
    <w:p w14:paraId="07CBF3BF" w14:textId="77777777" w:rsidR="004C17F9" w:rsidRDefault="004C17F9" w:rsidP="00394697">
      <w:pPr>
        <w:jc w:val="center"/>
        <w:rPr>
          <w:rFonts w:ascii="Book Antiqua" w:hAnsi="Book Antiqua"/>
          <w:b/>
          <w:sz w:val="26"/>
          <w:szCs w:val="26"/>
        </w:rPr>
      </w:pPr>
    </w:p>
    <w:p w14:paraId="365296CB" w14:textId="77777777" w:rsidR="004C17F9" w:rsidRDefault="004C17F9" w:rsidP="00394697">
      <w:pPr>
        <w:jc w:val="center"/>
        <w:rPr>
          <w:rFonts w:ascii="Book Antiqua" w:hAnsi="Book Antiqua"/>
          <w:b/>
          <w:sz w:val="26"/>
          <w:szCs w:val="26"/>
        </w:rPr>
      </w:pPr>
    </w:p>
    <w:p w14:paraId="196FAA43" w14:textId="77777777" w:rsidR="000B64BC" w:rsidRDefault="001A1281" w:rsidP="00D73212">
      <w:pPr>
        <w:spacing w:after="0"/>
        <w:jc w:val="center"/>
        <w:rPr>
          <w:rFonts w:ascii="Book Antiqua" w:hAnsi="Book Antiqua"/>
          <w:b/>
          <w:sz w:val="26"/>
          <w:szCs w:val="26"/>
        </w:rPr>
      </w:pPr>
      <w:r w:rsidRPr="00034F35">
        <w:rPr>
          <w:rFonts w:ascii="Book Antiqua" w:hAnsi="Book Antiqua"/>
          <w:b/>
          <w:sz w:val="26"/>
          <w:szCs w:val="26"/>
        </w:rPr>
        <w:t xml:space="preserve">Assessment of Level of Lead and Cadmium in Selected Plastic Toys Imported From China </w:t>
      </w:r>
      <w:r w:rsidR="00864CD2" w:rsidRPr="00034F35">
        <w:rPr>
          <w:rFonts w:ascii="Book Antiqua" w:hAnsi="Book Antiqua"/>
          <w:b/>
          <w:sz w:val="26"/>
          <w:szCs w:val="26"/>
        </w:rPr>
        <w:t>on</w:t>
      </w:r>
      <w:r w:rsidRPr="00034F35">
        <w:rPr>
          <w:rFonts w:ascii="Book Antiqua" w:hAnsi="Book Antiqua"/>
          <w:b/>
          <w:sz w:val="26"/>
          <w:szCs w:val="26"/>
        </w:rPr>
        <w:t xml:space="preserve"> </w:t>
      </w:r>
      <w:r w:rsidR="004C17F9" w:rsidRPr="00034F35">
        <w:rPr>
          <w:rFonts w:ascii="Book Antiqua" w:hAnsi="Book Antiqua"/>
          <w:b/>
          <w:sz w:val="26"/>
          <w:szCs w:val="26"/>
        </w:rPr>
        <w:t>the</w:t>
      </w:r>
      <w:r w:rsidRPr="00034F35">
        <w:rPr>
          <w:rFonts w:ascii="Book Antiqua" w:hAnsi="Book Antiqua"/>
          <w:b/>
          <w:sz w:val="26"/>
          <w:szCs w:val="26"/>
        </w:rPr>
        <w:t xml:space="preserve"> Ghanaian Market</w:t>
      </w:r>
    </w:p>
    <w:p w14:paraId="6BE38EE0" w14:textId="77777777" w:rsidR="00273B8D" w:rsidRPr="00034F35" w:rsidRDefault="00273B8D" w:rsidP="00D73212">
      <w:pPr>
        <w:spacing w:after="0"/>
        <w:jc w:val="center"/>
        <w:rPr>
          <w:rFonts w:ascii="Book Antiqua" w:hAnsi="Book Antiqua"/>
          <w:b/>
          <w:sz w:val="26"/>
          <w:szCs w:val="26"/>
        </w:rPr>
      </w:pPr>
    </w:p>
    <w:p w14:paraId="13ED0C9B" w14:textId="77777777" w:rsidR="000B64BC" w:rsidRPr="00864CD2" w:rsidRDefault="005B6348" w:rsidP="00D73212">
      <w:pPr>
        <w:spacing w:after="0"/>
        <w:jc w:val="center"/>
        <w:rPr>
          <w:rFonts w:ascii="Book Antiqua" w:hAnsi="Book Antiqua"/>
          <w:b/>
          <w:vertAlign w:val="superscript"/>
        </w:rPr>
      </w:pPr>
      <w:r w:rsidRPr="00864CD2">
        <w:rPr>
          <w:rFonts w:ascii="Book Antiqua" w:hAnsi="Book Antiqua"/>
          <w:b/>
        </w:rPr>
        <w:t xml:space="preserve">Kudjoe G.L., </w:t>
      </w:r>
      <w:r w:rsidRPr="00864CD2">
        <w:rPr>
          <w:rFonts w:ascii="Book Antiqua" w:hAnsi="Book Antiqua"/>
          <w:b/>
          <w:vertAlign w:val="superscript"/>
        </w:rPr>
        <w:t>1</w:t>
      </w:r>
      <w:r w:rsidRPr="00864CD2">
        <w:rPr>
          <w:rFonts w:ascii="Book Antiqua" w:hAnsi="Book Antiqua"/>
          <w:b/>
        </w:rPr>
        <w:t xml:space="preserve"> Bokor L</w:t>
      </w:r>
      <w:r w:rsidRPr="00864CD2">
        <w:rPr>
          <w:rFonts w:ascii="Book Antiqua" w:hAnsi="Book Antiqua"/>
          <w:b/>
          <w:vertAlign w:val="superscript"/>
        </w:rPr>
        <w:t>1</w:t>
      </w:r>
      <w:r w:rsidRPr="00864CD2">
        <w:rPr>
          <w:rFonts w:ascii="Book Antiqua" w:hAnsi="Book Antiqua"/>
          <w:b/>
        </w:rPr>
        <w:t>., &amp; Offoh E.</w:t>
      </w:r>
      <w:r w:rsidRPr="00864CD2">
        <w:rPr>
          <w:rFonts w:ascii="Book Antiqua" w:hAnsi="Book Antiqua"/>
          <w:b/>
          <w:vertAlign w:val="superscript"/>
        </w:rPr>
        <w:t>2</w:t>
      </w:r>
    </w:p>
    <w:p w14:paraId="08095913" w14:textId="77777777" w:rsidR="000B64BC" w:rsidRPr="00E3232D" w:rsidRDefault="000B64BC" w:rsidP="00D73212">
      <w:pPr>
        <w:spacing w:after="0"/>
        <w:jc w:val="center"/>
        <w:rPr>
          <w:rFonts w:ascii="Book Antiqua" w:hAnsi="Book Antiqua"/>
        </w:rPr>
      </w:pPr>
      <w:r w:rsidRPr="00E3232D">
        <w:rPr>
          <w:rFonts w:ascii="Book Antiqua" w:hAnsi="Book Antiqua"/>
          <w:vertAlign w:val="superscript"/>
        </w:rPr>
        <w:t xml:space="preserve">1 </w:t>
      </w:r>
      <w:r w:rsidR="004B509C" w:rsidRPr="00E3232D">
        <w:rPr>
          <w:rFonts w:ascii="Book Antiqua" w:hAnsi="Book Antiqua"/>
        </w:rPr>
        <w:t>Science Laboratory Technology Deparment, Accra Polyte</w:t>
      </w:r>
      <w:r w:rsidR="00761010">
        <w:rPr>
          <w:rFonts w:ascii="Book Antiqua" w:hAnsi="Book Antiqua"/>
        </w:rPr>
        <w:t>chnic, P. O. Box Gp 561, Accra</w:t>
      </w:r>
    </w:p>
    <w:p w14:paraId="69AADB4F" w14:textId="77777777" w:rsidR="000B64BC" w:rsidRPr="00E3232D" w:rsidRDefault="004B509C" w:rsidP="00D73212">
      <w:pPr>
        <w:spacing w:after="0"/>
        <w:jc w:val="center"/>
        <w:rPr>
          <w:rFonts w:ascii="Book Antiqua" w:hAnsi="Book Antiqua"/>
        </w:rPr>
      </w:pPr>
      <w:r w:rsidRPr="00E3232D">
        <w:rPr>
          <w:rFonts w:ascii="Book Antiqua" w:hAnsi="Book Antiqua"/>
          <w:vertAlign w:val="superscript"/>
        </w:rPr>
        <w:t>2</w:t>
      </w:r>
      <w:r w:rsidRPr="00E3232D">
        <w:rPr>
          <w:rFonts w:ascii="Book Antiqua" w:hAnsi="Book Antiqua"/>
        </w:rPr>
        <w:t xml:space="preserve"> Tema Oil Refinery Limited Heavy Industrial Area- Tema, P. O. Box Co 599, Tema Ghana</w:t>
      </w:r>
    </w:p>
    <w:p w14:paraId="5AAC4262" w14:textId="77777777" w:rsidR="000B64BC" w:rsidRPr="00E3232D" w:rsidRDefault="001A1281" w:rsidP="00D73212">
      <w:pPr>
        <w:spacing w:after="0"/>
        <w:jc w:val="center"/>
        <w:rPr>
          <w:rFonts w:ascii="Book Antiqua" w:hAnsi="Book Antiqua"/>
        </w:rPr>
      </w:pPr>
      <w:r w:rsidRPr="001A1281">
        <w:rPr>
          <w:rFonts w:ascii="Book Antiqua" w:hAnsi="Book Antiqua"/>
          <w:b/>
        </w:rPr>
        <w:t>E-mail</w:t>
      </w:r>
      <w:r w:rsidR="000B64BC" w:rsidRPr="001A1281">
        <w:rPr>
          <w:rFonts w:ascii="Book Antiqua" w:hAnsi="Book Antiqua"/>
          <w:b/>
        </w:rPr>
        <w:t>:</w:t>
      </w:r>
      <w:r w:rsidR="000B64BC" w:rsidRPr="00E3232D">
        <w:rPr>
          <w:rFonts w:ascii="Book Antiqua" w:hAnsi="Book Antiqua"/>
        </w:rPr>
        <w:t xml:space="preserve"> lstonegati@yahoo.co.uk</w:t>
      </w:r>
    </w:p>
    <w:p w14:paraId="1D7B9DE5" w14:textId="77777777" w:rsidR="000B64BC" w:rsidRPr="00E3232D" w:rsidRDefault="000B64BC" w:rsidP="00D73212">
      <w:pPr>
        <w:spacing w:after="0"/>
        <w:jc w:val="center"/>
        <w:rPr>
          <w:rFonts w:ascii="Book Antiqua" w:hAnsi="Book Antiqua"/>
          <w:b/>
        </w:rPr>
      </w:pPr>
    </w:p>
    <w:p w14:paraId="2A650A12" w14:textId="77777777" w:rsidR="000B64BC" w:rsidRPr="004B509C" w:rsidRDefault="0013126D" w:rsidP="00761010">
      <w:pPr>
        <w:jc w:val="both"/>
        <w:rPr>
          <w:rFonts w:ascii="Book Antiqua" w:hAnsi="Book Antiqua"/>
          <w:sz w:val="26"/>
          <w:szCs w:val="26"/>
        </w:rPr>
      </w:pPr>
      <w:r w:rsidRPr="004B509C">
        <w:rPr>
          <w:rFonts w:ascii="Book Antiqua" w:hAnsi="Book Antiqua"/>
          <w:b/>
          <w:sz w:val="26"/>
          <w:szCs w:val="26"/>
        </w:rPr>
        <w:t>Abstract</w:t>
      </w:r>
    </w:p>
    <w:p w14:paraId="01403101" w14:textId="77777777" w:rsidR="000B64BC" w:rsidRPr="00E3232D" w:rsidRDefault="000B64BC" w:rsidP="00761010">
      <w:pPr>
        <w:jc w:val="both"/>
        <w:rPr>
          <w:rFonts w:ascii="Book Antiqua" w:hAnsi="Book Antiqua"/>
        </w:rPr>
      </w:pPr>
      <w:r w:rsidRPr="00E3232D">
        <w:rPr>
          <w:rFonts w:ascii="Book Antiqua" w:hAnsi="Book Antiqua"/>
        </w:rPr>
        <w:t>In recent times, the US had ban and ordered the recall of made in China toys on the US market on account of high levels of Lead (Pb) and Cadmium (Cd) content</w:t>
      </w:r>
      <w:r w:rsidRPr="00E3232D">
        <w:rPr>
          <w:rFonts w:ascii="Book Antiqua" w:hAnsi="Book Antiqua"/>
          <w:color w:val="FF0000"/>
        </w:rPr>
        <w:t xml:space="preserve">. </w:t>
      </w:r>
      <w:r w:rsidRPr="00E3232D">
        <w:rPr>
          <w:rFonts w:ascii="Book Antiqua" w:hAnsi="Book Antiqua"/>
        </w:rPr>
        <w:t>The Ghanaian market is flooded with all manner of soft plastic toys manufactured in China. This research was therefore carried out to assess the level of Lead and Cadmium in randomly selected brand-new soft plastic toys manufactured in China. Thirty (30) different soft plastic toys were obtained from Makola and Kasoa markets and analysed for the level of Lead and Cadmium. The samples were digested and Inductively Coupled Plasma-Atomic Emission Spectrophotometer (ICP-AES) was used for the analysis. The result obtained from the analysis showed that both Lead and Cadmium were present in all the thirty toys giving positive result. Concentration of Cadmium was in the range of 0.0658 mg/kg to 0.5689 mg/kg whiles was in the range of 0.6876 mg/kg to 50.0806 mg/kg. The results recorded were lower than 100ppm and 200ppm respectively for lead and cadmium. set by the US standard. Both Lead and cadmium are cumulative toxicant that affects multiple body systems. Children are particularly vulnerable to the neurotoxic effects of lead, and even low levels of exposure can cause serious and, in some cases, irreversible neurological damage. The positive results in this study, the low levels notwithstanding, suggest that children who play with these toys are at risk of lead and cadmium exposure. The study therefore recommends the continuous monitoring of soft plastic toys on routine basis to check the level of Lead and Cadmium entering the Ghanaian.</w:t>
      </w:r>
    </w:p>
    <w:p w14:paraId="16A4AC63" w14:textId="77777777" w:rsidR="00E119FB" w:rsidRPr="00E3232D" w:rsidRDefault="00E119FB" w:rsidP="00394697">
      <w:pPr>
        <w:rPr>
          <w:rFonts w:ascii="Book Antiqua" w:hAnsi="Book Antiqua"/>
        </w:rPr>
      </w:pPr>
    </w:p>
    <w:p w14:paraId="46760E35" w14:textId="77777777" w:rsidR="000B64BC" w:rsidRPr="00E3232D" w:rsidRDefault="000B64BC" w:rsidP="00394697">
      <w:pPr>
        <w:rPr>
          <w:rFonts w:ascii="Book Antiqua" w:hAnsi="Book Antiqua"/>
        </w:rPr>
      </w:pPr>
      <w:r w:rsidRPr="00761010">
        <w:rPr>
          <w:rFonts w:ascii="Book Antiqua" w:hAnsi="Book Antiqua"/>
          <w:b/>
        </w:rPr>
        <w:t>Keywords</w:t>
      </w:r>
      <w:r w:rsidRPr="00E3232D">
        <w:rPr>
          <w:rFonts w:ascii="Book Antiqua" w:hAnsi="Book Antiqua"/>
        </w:rPr>
        <w:t xml:space="preserve">: </w:t>
      </w:r>
      <w:r w:rsidR="00761010" w:rsidRPr="00E3232D">
        <w:rPr>
          <w:rFonts w:ascii="Book Antiqua" w:hAnsi="Book Antiqua"/>
        </w:rPr>
        <w:t>Concentration</w:t>
      </w:r>
      <w:r w:rsidR="00761010">
        <w:rPr>
          <w:rFonts w:ascii="Book Antiqua" w:hAnsi="Book Antiqua"/>
        </w:rPr>
        <w:t xml:space="preserve">; </w:t>
      </w:r>
      <w:r w:rsidRPr="00E3232D">
        <w:rPr>
          <w:rFonts w:ascii="Book Antiqua" w:hAnsi="Book Antiqua"/>
        </w:rPr>
        <w:t xml:space="preserve"> </w:t>
      </w:r>
      <w:r w:rsidR="00761010" w:rsidRPr="00E3232D">
        <w:rPr>
          <w:rFonts w:ascii="Book Antiqua" w:hAnsi="Book Antiqua"/>
        </w:rPr>
        <w:t>Digestion</w:t>
      </w:r>
      <w:r w:rsidR="00761010">
        <w:rPr>
          <w:rFonts w:ascii="Book Antiqua" w:hAnsi="Book Antiqua"/>
        </w:rPr>
        <w:t>;</w:t>
      </w:r>
      <w:r w:rsidRPr="00E3232D">
        <w:rPr>
          <w:rFonts w:ascii="Book Antiqua" w:hAnsi="Book Antiqua"/>
        </w:rPr>
        <w:t xml:space="preserve"> </w:t>
      </w:r>
      <w:r w:rsidR="00761010" w:rsidRPr="00E3232D">
        <w:rPr>
          <w:rFonts w:ascii="Book Antiqua" w:hAnsi="Book Antiqua"/>
        </w:rPr>
        <w:t>Assessment</w:t>
      </w:r>
      <w:r w:rsidR="00761010">
        <w:rPr>
          <w:rFonts w:ascii="Book Antiqua" w:hAnsi="Book Antiqua"/>
        </w:rPr>
        <w:t>;</w:t>
      </w:r>
      <w:r w:rsidRPr="00E3232D">
        <w:rPr>
          <w:rFonts w:ascii="Book Antiqua" w:hAnsi="Book Antiqua"/>
        </w:rPr>
        <w:t xml:space="preserve"> </w:t>
      </w:r>
      <w:r w:rsidR="00761010" w:rsidRPr="00E3232D">
        <w:rPr>
          <w:rFonts w:ascii="Book Antiqua" w:hAnsi="Book Antiqua"/>
        </w:rPr>
        <w:t>Content</w:t>
      </w:r>
      <w:r w:rsidR="00761010">
        <w:rPr>
          <w:rFonts w:ascii="Book Antiqua" w:hAnsi="Book Antiqua"/>
        </w:rPr>
        <w:t>;</w:t>
      </w:r>
      <w:r w:rsidRPr="00E3232D">
        <w:rPr>
          <w:rFonts w:ascii="Book Antiqua" w:hAnsi="Book Antiqua"/>
        </w:rPr>
        <w:t xml:space="preserve"> </w:t>
      </w:r>
      <w:r w:rsidR="00761010" w:rsidRPr="00E3232D">
        <w:rPr>
          <w:rFonts w:ascii="Book Antiqua" w:hAnsi="Book Antiqua"/>
        </w:rPr>
        <w:t>Heavy Metals</w:t>
      </w:r>
    </w:p>
    <w:p w14:paraId="3A0BEE18" w14:textId="77777777" w:rsidR="000B64BC" w:rsidRPr="00E3232D" w:rsidRDefault="000B64BC" w:rsidP="00394697">
      <w:pPr>
        <w:rPr>
          <w:rFonts w:ascii="Book Antiqua" w:hAnsi="Book Antiqua"/>
          <w:b/>
        </w:rPr>
        <w:sectPr w:rsidR="000B64BC" w:rsidRPr="00E3232D" w:rsidSect="008F6BC9">
          <w:type w:val="continuous"/>
          <w:pgSz w:w="11907" w:h="16839" w:code="9"/>
          <w:pgMar w:top="1440" w:right="1440" w:bottom="1440" w:left="1440" w:header="720" w:footer="720" w:gutter="0"/>
          <w:cols w:space="720"/>
          <w:docGrid w:linePitch="360"/>
        </w:sectPr>
      </w:pPr>
    </w:p>
    <w:p w14:paraId="76B9E0FD" w14:textId="77777777" w:rsidR="0031591D" w:rsidRDefault="0031591D" w:rsidP="00394697">
      <w:pPr>
        <w:rPr>
          <w:rFonts w:ascii="Book Antiqua" w:hAnsi="Book Antiqua"/>
          <w:b/>
        </w:rPr>
        <w:sectPr w:rsidR="0031591D" w:rsidSect="008F6BC9">
          <w:type w:val="continuous"/>
          <w:pgSz w:w="11907" w:h="16839" w:code="9"/>
          <w:pgMar w:top="1440" w:right="1440" w:bottom="1440" w:left="1440" w:header="720" w:footer="720" w:gutter="0"/>
          <w:cols w:space="720"/>
          <w:docGrid w:linePitch="360"/>
        </w:sectPr>
      </w:pPr>
    </w:p>
    <w:p w14:paraId="53F934AF" w14:textId="77777777" w:rsidR="009A4866" w:rsidRPr="004B509C" w:rsidRDefault="00761010" w:rsidP="00761010">
      <w:pPr>
        <w:jc w:val="both"/>
        <w:rPr>
          <w:rFonts w:ascii="Book Antiqua" w:hAnsi="Book Antiqua"/>
          <w:b/>
          <w:sz w:val="26"/>
          <w:szCs w:val="26"/>
        </w:rPr>
      </w:pPr>
      <w:r>
        <w:rPr>
          <w:rFonts w:ascii="Book Antiqua" w:hAnsi="Book Antiqua"/>
          <w:b/>
          <w:sz w:val="26"/>
          <w:szCs w:val="26"/>
        </w:rPr>
        <w:t xml:space="preserve">1.0 </w:t>
      </w:r>
      <w:r w:rsidR="009A4866" w:rsidRPr="004B509C">
        <w:rPr>
          <w:rFonts w:ascii="Book Antiqua" w:hAnsi="Book Antiqua"/>
          <w:b/>
          <w:sz w:val="26"/>
          <w:szCs w:val="26"/>
        </w:rPr>
        <w:t>Introduction</w:t>
      </w:r>
    </w:p>
    <w:p w14:paraId="1A66F146" w14:textId="77777777" w:rsidR="009A4866" w:rsidRPr="00AD1DF0" w:rsidRDefault="009A4866" w:rsidP="00761010">
      <w:pPr>
        <w:jc w:val="both"/>
        <w:rPr>
          <w:rFonts w:ascii="Book Antiqua" w:hAnsi="Book Antiqua"/>
        </w:rPr>
      </w:pPr>
      <w:r w:rsidRPr="00E3232D">
        <w:rPr>
          <w:rFonts w:ascii="Book Antiqua" w:hAnsi="Book Antiqua"/>
        </w:rPr>
        <w:t>Polyvinyl Chloride (PVC, or Vinyl) is one of the most commonly used materials in the consumer marketplace. It can be found in packagi</w:t>
      </w:r>
      <w:r w:rsidR="00AD1DF0">
        <w:rPr>
          <w:rFonts w:ascii="Book Antiqua" w:hAnsi="Book Antiqua"/>
        </w:rPr>
        <w:t xml:space="preserve">ng, construction and automotive </w:t>
      </w:r>
      <w:r w:rsidRPr="00E3232D">
        <w:rPr>
          <w:rFonts w:ascii="Book Antiqua" w:hAnsi="Book Antiqua"/>
        </w:rPr>
        <w:t xml:space="preserve">material, and in a wide variety of consumer products, including toys and medical equipment. </w:t>
      </w:r>
    </w:p>
    <w:p w14:paraId="7A42B9C8" w14:textId="77777777" w:rsidR="009A4866" w:rsidRPr="00E3232D" w:rsidRDefault="009A4866" w:rsidP="00761010">
      <w:pPr>
        <w:spacing w:after="0"/>
        <w:jc w:val="both"/>
        <w:rPr>
          <w:rStyle w:val="FontStyle26"/>
          <w:rFonts w:ascii="Book Antiqua" w:hAnsi="Book Antiqua"/>
        </w:rPr>
      </w:pPr>
      <w:r w:rsidRPr="00E3232D">
        <w:rPr>
          <w:rFonts w:ascii="Book Antiqua" w:hAnsi="Book Antiqua"/>
        </w:rPr>
        <w:t xml:space="preserve">A </w:t>
      </w:r>
      <w:r w:rsidRPr="00E3232D">
        <w:rPr>
          <w:rFonts w:ascii="Book Antiqua" w:hAnsi="Book Antiqua"/>
          <w:bCs/>
        </w:rPr>
        <w:t>toy</w:t>
      </w:r>
      <w:r w:rsidRPr="00E3232D">
        <w:rPr>
          <w:rFonts w:ascii="Book Antiqua" w:hAnsi="Book Antiqua"/>
        </w:rPr>
        <w:t xml:space="preserve"> is anything that can be used in play. Toys are usually associated with children and pets, but it is not unusual for adults and some other animals to play with toys. </w:t>
      </w:r>
      <w:r w:rsidRPr="00E3232D">
        <w:rPr>
          <w:rStyle w:val="FontStyle26"/>
          <w:rFonts w:ascii="Book Antiqua" w:hAnsi="Book Antiqua"/>
        </w:rPr>
        <w:t xml:space="preserve">Children play with toys and learn about the world.  </w:t>
      </w:r>
    </w:p>
    <w:p w14:paraId="6CDE2610" w14:textId="77777777" w:rsidR="008916B7" w:rsidRDefault="008916B7" w:rsidP="00761010">
      <w:pPr>
        <w:autoSpaceDE w:val="0"/>
        <w:autoSpaceDN w:val="0"/>
        <w:adjustRightInd w:val="0"/>
        <w:spacing w:after="0"/>
        <w:jc w:val="both"/>
        <w:rPr>
          <w:rFonts w:ascii="Book Antiqua" w:hAnsi="Book Antiqua"/>
        </w:rPr>
      </w:pPr>
    </w:p>
    <w:p w14:paraId="2167301F" w14:textId="77777777" w:rsidR="009A4866" w:rsidRPr="00E3232D" w:rsidRDefault="009A4866" w:rsidP="00761010">
      <w:pPr>
        <w:autoSpaceDE w:val="0"/>
        <w:autoSpaceDN w:val="0"/>
        <w:adjustRightInd w:val="0"/>
        <w:spacing w:after="0"/>
        <w:jc w:val="both"/>
        <w:rPr>
          <w:rStyle w:val="FontStyle26"/>
          <w:rFonts w:ascii="Book Antiqua" w:hAnsi="Book Antiqua"/>
        </w:rPr>
      </w:pPr>
      <w:r w:rsidRPr="00E3232D">
        <w:rPr>
          <w:rFonts w:ascii="Book Antiqua" w:hAnsi="Book Antiqua"/>
        </w:rPr>
        <w:t>Many soft plastic toys made of Polyvinylchloride (PVC). PVC has a special problem of auto-digestion since free chlorine radicals in the structure react with free hydrogen radicals forming hydrochloric acid (HCl )  leading to digestion of PVC, which causes a chain reaction and proceeds rapidly to completely weaken the surface .</w:t>
      </w:r>
      <w:r w:rsidRPr="00E3232D">
        <w:rPr>
          <w:rStyle w:val="FontStyle26"/>
          <w:rFonts w:ascii="Book Antiqua" w:hAnsi="Book Antiqua"/>
        </w:rPr>
        <w:t xml:space="preserve"> Lead or cadmium is hence added to PVC as stabilizers to prevent the free chlorine radicals from reacting with hydrogen radicals to form HCl (Tucza </w:t>
      </w:r>
      <w:r w:rsidRPr="00E3232D">
        <w:rPr>
          <w:rStyle w:val="FontStyle21"/>
          <w:rFonts w:ascii="Book Antiqua" w:hAnsi="Book Antiqua"/>
        </w:rPr>
        <w:t xml:space="preserve">et al, </w:t>
      </w:r>
      <w:r w:rsidRPr="00E3232D">
        <w:rPr>
          <w:rStyle w:val="FontStyle26"/>
          <w:rFonts w:ascii="Book Antiqua" w:hAnsi="Book Antiqua"/>
        </w:rPr>
        <w:t xml:space="preserve">1992). </w:t>
      </w:r>
      <w:r w:rsidRPr="00E3232D">
        <w:rPr>
          <w:rFonts w:ascii="Book Antiqua" w:hAnsi="Book Antiqua"/>
        </w:rPr>
        <w:t xml:space="preserve">Lead compounds are the most common stabilizers in PVC .Some of them are basic lead carbonate, lead stearate, basic lead stearate, tribasic lead stearate, basic (dibasic) lead stearate and basic lead phthalate. Other metals have also been used when lead came under regulatory scrutiny, including Cadmium(Cd), Zinc(Zn), organotins, etc. Lead and cadmium are also added to PVC or other plastic products as colouring agents in the form of organo-metallic compounds. </w:t>
      </w:r>
      <w:r w:rsidRPr="00E3232D">
        <w:rPr>
          <w:rStyle w:val="FontStyle26"/>
          <w:rFonts w:ascii="Book Antiqua" w:hAnsi="Book Antiqua"/>
        </w:rPr>
        <w:t>(Abhay and  2007)</w:t>
      </w:r>
    </w:p>
    <w:p w14:paraId="0EADD5EE" w14:textId="77777777" w:rsidR="00473810" w:rsidRDefault="00473810" w:rsidP="00761010">
      <w:pPr>
        <w:autoSpaceDE w:val="0"/>
        <w:autoSpaceDN w:val="0"/>
        <w:adjustRightInd w:val="0"/>
        <w:jc w:val="both"/>
        <w:rPr>
          <w:rFonts w:ascii="Book Antiqua" w:hAnsi="Book Antiqua"/>
        </w:rPr>
      </w:pPr>
    </w:p>
    <w:p w14:paraId="3DF4B592" w14:textId="77777777" w:rsidR="009A4866" w:rsidRPr="00E3232D" w:rsidRDefault="009A4866" w:rsidP="00761010">
      <w:pPr>
        <w:autoSpaceDE w:val="0"/>
        <w:autoSpaceDN w:val="0"/>
        <w:adjustRightInd w:val="0"/>
        <w:spacing w:after="0"/>
        <w:jc w:val="both"/>
        <w:rPr>
          <w:rStyle w:val="FontStyle26"/>
          <w:rFonts w:ascii="Book Antiqua" w:hAnsi="Book Antiqua"/>
        </w:rPr>
      </w:pPr>
      <w:r w:rsidRPr="00E3232D">
        <w:rPr>
          <w:rFonts w:ascii="Book Antiqua" w:hAnsi="Book Antiqua"/>
        </w:rPr>
        <w:t xml:space="preserve"> A Greenpeace report released (</w:t>
      </w:r>
      <w:r w:rsidRPr="00E3232D">
        <w:rPr>
          <w:rFonts w:ascii="Book Antiqua" w:hAnsi="Book Antiqua"/>
          <w:color w:val="000000"/>
        </w:rPr>
        <w:t xml:space="preserve">Di Gangi, 1996) </w:t>
      </w:r>
      <w:r w:rsidRPr="00E3232D">
        <w:rPr>
          <w:rFonts w:ascii="Book Antiqua" w:hAnsi="Book Antiqua"/>
        </w:rPr>
        <w:t>revealed that hazardous levels of lead and cadmium are found in vinyl plastic children's products. The study was prompted by the discovery of hazardous lead levels in vinyl mini-blinds and associated lead poisoning of children in 1996. The release mentioned that the PVC industry has been using lead stabilizers and pigments in vinyl since the 1950s (</w:t>
      </w:r>
      <w:r w:rsidRPr="00E3232D">
        <w:rPr>
          <w:rFonts w:ascii="Book Antiqua" w:hAnsi="Book Antiqua"/>
          <w:color w:val="000000"/>
        </w:rPr>
        <w:t>Di Gangi, 1996).</w:t>
      </w:r>
    </w:p>
    <w:p w14:paraId="6FE67F06" w14:textId="77777777" w:rsidR="00473810" w:rsidRDefault="00473810" w:rsidP="00761010">
      <w:pPr>
        <w:autoSpaceDE w:val="0"/>
        <w:autoSpaceDN w:val="0"/>
        <w:adjustRightInd w:val="0"/>
        <w:spacing w:after="0"/>
        <w:jc w:val="both"/>
        <w:rPr>
          <w:rFonts w:ascii="Book Antiqua" w:hAnsi="Book Antiqua"/>
        </w:rPr>
      </w:pPr>
    </w:p>
    <w:p w14:paraId="78A3F2FA" w14:textId="77777777" w:rsidR="009A4866" w:rsidRPr="00E3232D" w:rsidRDefault="009A4866" w:rsidP="00761010">
      <w:pPr>
        <w:autoSpaceDE w:val="0"/>
        <w:autoSpaceDN w:val="0"/>
        <w:adjustRightInd w:val="0"/>
        <w:spacing w:after="0"/>
        <w:jc w:val="both"/>
        <w:rPr>
          <w:rFonts w:ascii="Book Antiqua" w:hAnsi="Book Antiqua"/>
        </w:rPr>
      </w:pPr>
      <w:r w:rsidRPr="00E3232D">
        <w:rPr>
          <w:rFonts w:ascii="Book Antiqua" w:hAnsi="Book Antiqua"/>
        </w:rPr>
        <w:t>Lead and cadmium are known poisons, being neurotoxins and nephrotoxins respectively.</w:t>
      </w:r>
    </w:p>
    <w:p w14:paraId="44AD4CF1" w14:textId="77777777" w:rsidR="009A4866" w:rsidRPr="00E3232D" w:rsidRDefault="009A4866" w:rsidP="00761010">
      <w:pPr>
        <w:autoSpaceDE w:val="0"/>
        <w:autoSpaceDN w:val="0"/>
        <w:adjustRightInd w:val="0"/>
        <w:jc w:val="both"/>
        <w:rPr>
          <w:rFonts w:ascii="Book Antiqua" w:hAnsi="Book Antiqua"/>
        </w:rPr>
      </w:pPr>
      <w:r w:rsidRPr="00E3232D">
        <w:rPr>
          <w:rFonts w:ascii="Book Antiqua" w:hAnsi="Book Antiqua"/>
        </w:rPr>
        <w:t>Lead causes irreversible nervous system damage, decreased intelligence, behavioral</w:t>
      </w:r>
    </w:p>
    <w:p w14:paraId="476D9796" w14:textId="77777777" w:rsidR="009A4866" w:rsidRPr="00E3232D" w:rsidRDefault="009A4866" w:rsidP="00761010">
      <w:pPr>
        <w:autoSpaceDE w:val="0"/>
        <w:autoSpaceDN w:val="0"/>
        <w:adjustRightInd w:val="0"/>
        <w:jc w:val="both"/>
        <w:rPr>
          <w:rStyle w:val="FontStyle26"/>
          <w:rFonts w:ascii="Book Antiqua" w:hAnsi="Book Antiqua"/>
        </w:rPr>
      </w:pPr>
      <w:r w:rsidRPr="00E3232D">
        <w:rPr>
          <w:rFonts w:ascii="Book Antiqua" w:hAnsi="Book Antiqua"/>
        </w:rPr>
        <w:t>abnormalities, and learning disabilities. Lead also interrupts normal kidney function and</w:t>
      </w:r>
      <w:r w:rsidR="008916B7">
        <w:rPr>
          <w:rFonts w:ascii="Book Antiqua" w:hAnsi="Book Antiqua"/>
        </w:rPr>
        <w:t xml:space="preserve"> </w:t>
      </w:r>
      <w:r w:rsidRPr="00E3232D">
        <w:rPr>
          <w:rFonts w:ascii="Book Antiqua" w:hAnsi="Book Antiqua"/>
        </w:rPr>
        <w:t>blood formation. Cadmium can cause kidney damage and lung cancer. Both metals are</w:t>
      </w:r>
      <w:r w:rsidR="008916B7">
        <w:rPr>
          <w:rFonts w:ascii="Book Antiqua" w:hAnsi="Book Antiqua"/>
        </w:rPr>
        <w:t xml:space="preserve"> </w:t>
      </w:r>
      <w:r w:rsidRPr="00E3232D">
        <w:rPr>
          <w:rFonts w:ascii="Book Antiqua" w:hAnsi="Book Antiqua"/>
        </w:rPr>
        <w:t>developmental and reproductive toxins and cause damage at extremely low doses (</w:t>
      </w:r>
      <w:r w:rsidRPr="00E3232D">
        <w:rPr>
          <w:rFonts w:ascii="Book Antiqua" w:hAnsi="Book Antiqua"/>
          <w:color w:val="000000"/>
        </w:rPr>
        <w:t>Di Gangi, 1996)</w:t>
      </w:r>
      <w:r w:rsidR="008916B7">
        <w:rPr>
          <w:rFonts w:ascii="Book Antiqua" w:hAnsi="Book Antiqua"/>
          <w:color w:val="000000"/>
        </w:rPr>
        <w:t>.</w:t>
      </w:r>
    </w:p>
    <w:p w14:paraId="525D2DC2" w14:textId="77777777" w:rsidR="009A4866" w:rsidRPr="00E3232D" w:rsidRDefault="009A4866" w:rsidP="00761010">
      <w:pPr>
        <w:pStyle w:val="NormalWeb"/>
        <w:spacing w:line="276" w:lineRule="auto"/>
        <w:jc w:val="both"/>
        <w:rPr>
          <w:rFonts w:ascii="Book Antiqua" w:hAnsi="Book Antiqua"/>
          <w:sz w:val="22"/>
          <w:szCs w:val="22"/>
        </w:rPr>
      </w:pPr>
      <w:r w:rsidRPr="00E3232D">
        <w:rPr>
          <w:rFonts w:ascii="Book Antiqua" w:hAnsi="Book Antiqua"/>
          <w:sz w:val="22"/>
          <w:szCs w:val="22"/>
        </w:rPr>
        <w:t>Many countries in Europe and the Americas have passed safety standards limiting the types of toys that can be sold on their markets. Most of these seek to limit potential hazards. The same cannot be said of the developing countries.  Children, especially very small ones, often put toys into their mouths, so the materials used to make a toy are regulated to prevent poisoning. The chewing, licking and swallowing behaviour of children is a common source of lead and cadmium exposure (</w:t>
      </w:r>
      <w:r w:rsidRPr="00E3232D">
        <w:rPr>
          <w:rFonts w:ascii="Book Antiqua" w:hAnsi="Book Antiqua"/>
          <w:color w:val="000000"/>
          <w:sz w:val="22"/>
          <w:szCs w:val="22"/>
        </w:rPr>
        <w:t>Kelley</w:t>
      </w:r>
      <w:r w:rsidRPr="00E3232D">
        <w:rPr>
          <w:rFonts w:ascii="Book Antiqua" w:hAnsi="Book Antiqua"/>
          <w:sz w:val="22"/>
          <w:szCs w:val="22"/>
        </w:rPr>
        <w:t xml:space="preserve"> et al, 1993). </w:t>
      </w:r>
    </w:p>
    <w:p w14:paraId="5BB14444" w14:textId="77777777" w:rsidR="009A4866" w:rsidRPr="00E3232D" w:rsidRDefault="009A4866" w:rsidP="00761010">
      <w:pPr>
        <w:autoSpaceDE w:val="0"/>
        <w:autoSpaceDN w:val="0"/>
        <w:adjustRightInd w:val="0"/>
        <w:spacing w:after="0"/>
        <w:jc w:val="both"/>
        <w:rPr>
          <w:rFonts w:ascii="Book Antiqua" w:hAnsi="Book Antiqua"/>
        </w:rPr>
      </w:pPr>
      <w:r w:rsidRPr="00E3232D">
        <w:rPr>
          <w:rFonts w:ascii="Book Antiqua" w:hAnsi="Book Antiqua"/>
        </w:rPr>
        <w:t xml:space="preserve">In fact, physicians and scientists agree that no level of lead in blood is safe or normal. It is important to understand that what constituted ‘safe’ yesterday is no longer ‘safe’ today, and what is ‘safe’ today may not be ‘safe’ tomorrow. The present ‘safe’ limit of 10 mg/dl of lead in blood was actually 60 mg/dl in 1960s and then it was brought down to 30 mg/dl in 1970s, which was again revised in 1985 to 25 mg/dl and in 1991 to 10 mg/dl. Similarly, cadmium when released as fine airborne particles reacts almost immediately with oxygen to form respirable cadmium oxide, which is a carcinogen. Cadmium dust (cadmium oxide, CdO) is another source of cancer in human beings (UIB, 1984). </w:t>
      </w:r>
    </w:p>
    <w:p w14:paraId="3A94C7E9" w14:textId="77777777" w:rsidR="00AD1DF0" w:rsidRDefault="00AD1DF0" w:rsidP="004B509C">
      <w:pPr>
        <w:autoSpaceDE w:val="0"/>
        <w:autoSpaceDN w:val="0"/>
        <w:adjustRightInd w:val="0"/>
        <w:spacing w:after="0"/>
        <w:rPr>
          <w:rFonts w:ascii="Book Antiqua" w:hAnsi="Book Antiqua"/>
        </w:rPr>
      </w:pPr>
    </w:p>
    <w:p w14:paraId="78C5FC00" w14:textId="77777777" w:rsidR="009A4866" w:rsidRPr="00E3232D" w:rsidRDefault="009A4866" w:rsidP="00761010">
      <w:pPr>
        <w:autoSpaceDE w:val="0"/>
        <w:autoSpaceDN w:val="0"/>
        <w:adjustRightInd w:val="0"/>
        <w:spacing w:after="0"/>
        <w:jc w:val="both"/>
        <w:rPr>
          <w:rFonts w:ascii="Book Antiqua" w:hAnsi="Book Antiqua"/>
        </w:rPr>
      </w:pPr>
      <w:r w:rsidRPr="00E3232D">
        <w:rPr>
          <w:rFonts w:ascii="Book Antiqua" w:hAnsi="Book Antiqua"/>
        </w:rPr>
        <w:t>Polyvinyl chloride (PVC) also releases its metal stabilizers as dust on its surface, which may contain lead or cadmium</w:t>
      </w:r>
      <w:r w:rsidRPr="00E3232D">
        <w:rPr>
          <w:rStyle w:val="FontStyle26"/>
          <w:rFonts w:ascii="Book Antiqua" w:hAnsi="Book Antiqua"/>
        </w:rPr>
        <w:t xml:space="preserve"> (Abhay and Prashant 2007)</w:t>
      </w:r>
      <w:r w:rsidRPr="00E3232D">
        <w:rPr>
          <w:rFonts w:ascii="Book Antiqua" w:hAnsi="Book Antiqua"/>
        </w:rPr>
        <w:t>. 1n 1997 The Consumer Product Safety Commission of US conducted accelerated aging experiments to demonstrate whether the lead in vinyl blinds could become available as dust as the blinds deteriorated in the sun. Blinds were exposed to UV light and heat over a period of eight weeks. During exposure, increasing levels of surface dust containing lead were measured on the blinds (USCPSC, 1996).  The results indicated that normal product use could make lead dust available to children. The deterioration of the vinyl and subsequent availability of lead continued despite washing or cleaning indicating that consumers were vulnerable despite good housekeeping practices (USCPSC, 1996)</w:t>
      </w:r>
    </w:p>
    <w:p w14:paraId="5E617B58" w14:textId="77777777" w:rsidR="009A4866" w:rsidRPr="00E3232D" w:rsidRDefault="009A4866" w:rsidP="00761010">
      <w:pPr>
        <w:autoSpaceDE w:val="0"/>
        <w:autoSpaceDN w:val="0"/>
        <w:adjustRightInd w:val="0"/>
        <w:spacing w:after="0"/>
        <w:jc w:val="both"/>
        <w:rPr>
          <w:rFonts w:ascii="Book Antiqua" w:hAnsi="Book Antiqua"/>
        </w:rPr>
      </w:pPr>
      <w:r w:rsidRPr="00E3232D">
        <w:rPr>
          <w:rFonts w:ascii="Book Antiqua" w:hAnsi="Book Antiqua"/>
        </w:rPr>
        <w:t>T</w:t>
      </w:r>
      <w:r w:rsidRPr="00E3232D">
        <w:rPr>
          <w:rStyle w:val="FontStyle26"/>
          <w:rFonts w:ascii="Book Antiqua" w:hAnsi="Book Antiqua"/>
        </w:rPr>
        <w:t xml:space="preserve">he market in Ghana is currently flooded with cheap non-branded plastic toys that are often exposed to the hot scorching tropical sun. </w:t>
      </w:r>
      <w:r w:rsidRPr="00E3232D">
        <w:rPr>
          <w:rFonts w:ascii="Book Antiqua" w:hAnsi="Book Antiqua"/>
        </w:rPr>
        <w:t xml:space="preserve">The absence of any study on lead and cadmium content in toys coupled with the fact that </w:t>
      </w:r>
      <w:r w:rsidRPr="00E3232D">
        <w:rPr>
          <w:rStyle w:val="FontStyle26"/>
          <w:rFonts w:ascii="Book Antiqua" w:hAnsi="Book Antiqua"/>
        </w:rPr>
        <w:t>there are no known measures in place regulating such imports into Ghana has prompted this investigation to determine the level of Lead and Cadmium in randomly sampled brand-new soft plastic toys.</w:t>
      </w:r>
    </w:p>
    <w:p w14:paraId="5CC5B5CF" w14:textId="77777777" w:rsidR="009A4866" w:rsidRPr="00761010" w:rsidRDefault="009A4866" w:rsidP="00761010">
      <w:pPr>
        <w:pStyle w:val="Style6"/>
        <w:widowControl/>
        <w:tabs>
          <w:tab w:val="left" w:pos="346"/>
        </w:tabs>
        <w:spacing w:before="144" w:line="276" w:lineRule="auto"/>
        <w:jc w:val="both"/>
        <w:rPr>
          <w:rStyle w:val="FontStyle23"/>
          <w:rFonts w:ascii="Book Antiqua" w:hAnsi="Book Antiqua"/>
          <w:szCs w:val="26"/>
        </w:rPr>
      </w:pPr>
      <w:r w:rsidRPr="00761010">
        <w:rPr>
          <w:rStyle w:val="FontStyle23"/>
          <w:rFonts w:ascii="Book Antiqua" w:hAnsi="Book Antiqua"/>
          <w:szCs w:val="26"/>
        </w:rPr>
        <w:t>1.3</w:t>
      </w:r>
      <w:r w:rsidRPr="00761010">
        <w:rPr>
          <w:rStyle w:val="FontStyle23"/>
          <w:rFonts w:ascii="Book Antiqua" w:hAnsi="Book Antiqua"/>
          <w:b w:val="0"/>
          <w:bCs w:val="0"/>
          <w:szCs w:val="26"/>
        </w:rPr>
        <w:t xml:space="preserve"> </w:t>
      </w:r>
      <w:r w:rsidRPr="00761010">
        <w:rPr>
          <w:rStyle w:val="FontStyle23"/>
          <w:rFonts w:ascii="Book Antiqua" w:hAnsi="Book Antiqua"/>
          <w:szCs w:val="26"/>
        </w:rPr>
        <w:t>Aim</w:t>
      </w:r>
    </w:p>
    <w:p w14:paraId="27DCB40C" w14:textId="77777777" w:rsidR="009A4866" w:rsidRPr="00E3232D" w:rsidRDefault="009A4866" w:rsidP="00761010">
      <w:pPr>
        <w:pStyle w:val="Style3"/>
        <w:widowControl/>
        <w:spacing w:after="0" w:line="276" w:lineRule="auto"/>
        <w:jc w:val="both"/>
        <w:rPr>
          <w:rStyle w:val="FontStyle26"/>
          <w:rFonts w:ascii="Book Antiqua" w:hAnsi="Book Antiqua"/>
        </w:rPr>
      </w:pPr>
      <w:r w:rsidRPr="00E3232D">
        <w:rPr>
          <w:rStyle w:val="FontStyle26"/>
          <w:rFonts w:ascii="Book Antiqua" w:hAnsi="Book Antiqua"/>
        </w:rPr>
        <w:t>The major aim of this research is to assess the level of lead and cadmium in selected soft plastic toys manufactured in China and imported into Ghana.</w:t>
      </w:r>
    </w:p>
    <w:p w14:paraId="58F3EEC6" w14:textId="77777777" w:rsidR="009A4866" w:rsidRPr="00E3232D" w:rsidRDefault="009A4866" w:rsidP="00761010">
      <w:pPr>
        <w:spacing w:after="0"/>
        <w:jc w:val="both"/>
        <w:rPr>
          <w:rFonts w:ascii="Book Antiqua" w:hAnsi="Book Antiqua"/>
          <w:b/>
        </w:rPr>
      </w:pPr>
    </w:p>
    <w:p w14:paraId="211C0789" w14:textId="77777777" w:rsidR="009A4866" w:rsidRPr="004B509C" w:rsidRDefault="009A4866" w:rsidP="00761010">
      <w:pPr>
        <w:spacing w:after="0"/>
        <w:jc w:val="both"/>
        <w:rPr>
          <w:rFonts w:ascii="Book Antiqua" w:hAnsi="Book Antiqua"/>
          <w:b/>
          <w:sz w:val="26"/>
          <w:szCs w:val="26"/>
        </w:rPr>
      </w:pPr>
      <w:r w:rsidRPr="004B509C">
        <w:rPr>
          <w:rFonts w:ascii="Book Antiqua" w:hAnsi="Book Antiqua"/>
          <w:b/>
          <w:sz w:val="26"/>
          <w:szCs w:val="26"/>
        </w:rPr>
        <w:t>2.</w:t>
      </w:r>
      <w:r w:rsidR="00761010">
        <w:rPr>
          <w:rFonts w:ascii="Book Antiqua" w:hAnsi="Book Antiqua"/>
          <w:b/>
          <w:sz w:val="26"/>
          <w:szCs w:val="26"/>
        </w:rPr>
        <w:t>0</w:t>
      </w:r>
      <w:r w:rsidRPr="004B509C">
        <w:rPr>
          <w:rFonts w:ascii="Book Antiqua" w:hAnsi="Book Antiqua"/>
          <w:b/>
          <w:sz w:val="26"/>
          <w:szCs w:val="26"/>
        </w:rPr>
        <w:t xml:space="preserve"> Methodology</w:t>
      </w:r>
    </w:p>
    <w:p w14:paraId="4B59D1EF" w14:textId="77777777" w:rsidR="009A4866" w:rsidRPr="00761010" w:rsidRDefault="009A4866" w:rsidP="00761010">
      <w:pPr>
        <w:pStyle w:val="Style6"/>
        <w:widowControl/>
        <w:tabs>
          <w:tab w:val="left" w:pos="374"/>
        </w:tabs>
        <w:spacing w:before="19" w:after="0" w:line="276" w:lineRule="auto"/>
        <w:jc w:val="both"/>
        <w:rPr>
          <w:rStyle w:val="FontStyle23"/>
          <w:rFonts w:ascii="Book Antiqua" w:hAnsi="Book Antiqua"/>
          <w:szCs w:val="26"/>
        </w:rPr>
      </w:pPr>
      <w:r w:rsidRPr="00761010">
        <w:rPr>
          <w:rStyle w:val="FontStyle23"/>
          <w:rFonts w:ascii="Book Antiqua" w:hAnsi="Book Antiqua"/>
          <w:szCs w:val="26"/>
        </w:rPr>
        <w:t xml:space="preserve">2.1 </w:t>
      </w:r>
      <w:r w:rsidRPr="00761010">
        <w:rPr>
          <w:rStyle w:val="FontStyle23"/>
          <w:rFonts w:ascii="Book Antiqua" w:hAnsi="Book Antiqua"/>
          <w:b w:val="0"/>
          <w:bCs w:val="0"/>
          <w:szCs w:val="26"/>
        </w:rPr>
        <w:tab/>
      </w:r>
      <w:r w:rsidRPr="00761010">
        <w:rPr>
          <w:rStyle w:val="FontStyle23"/>
          <w:rFonts w:ascii="Book Antiqua" w:hAnsi="Book Antiqua"/>
          <w:szCs w:val="26"/>
        </w:rPr>
        <w:t>Sampling</w:t>
      </w:r>
    </w:p>
    <w:p w14:paraId="4FD79C62" w14:textId="77777777" w:rsidR="004B509C" w:rsidRPr="00761010" w:rsidRDefault="009A4866" w:rsidP="00761010">
      <w:pPr>
        <w:pStyle w:val="Style12"/>
        <w:widowControl/>
        <w:spacing w:line="276" w:lineRule="auto"/>
        <w:jc w:val="both"/>
        <w:rPr>
          <w:rStyle w:val="FontStyle23"/>
          <w:rFonts w:ascii="Book Antiqua" w:hAnsi="Book Antiqua"/>
          <w:b w:val="0"/>
          <w:bCs w:val="0"/>
        </w:rPr>
      </w:pPr>
      <w:r w:rsidRPr="00E3232D">
        <w:rPr>
          <w:rStyle w:val="FontStyle26"/>
          <w:rFonts w:ascii="Book Antiqua" w:hAnsi="Book Antiqua"/>
        </w:rPr>
        <w:t xml:space="preserve">A total of thirty (30) soft plastic toys, imported as new, were collected from two locations in the Accra and Kasoa metropolis. Sample points included mini-shops at the Kasoa Market and Makola Shopping Mall, Accra central. The samples included plane, car, doll, gun, phone, harmonica, guitar, trumpet, propeller, tambourine etc, all of which are unbranded. Each sample was placed in a separate polyethene bag, labeled and then transported to the laboratory for analysis. </w:t>
      </w:r>
    </w:p>
    <w:p w14:paraId="1D973E49" w14:textId="77777777" w:rsidR="009A4866" w:rsidRPr="00761010" w:rsidRDefault="009A4866" w:rsidP="00761010">
      <w:pPr>
        <w:pStyle w:val="Style6"/>
        <w:widowControl/>
        <w:tabs>
          <w:tab w:val="left" w:pos="374"/>
        </w:tabs>
        <w:spacing w:after="0" w:line="276" w:lineRule="auto"/>
        <w:jc w:val="both"/>
        <w:rPr>
          <w:rStyle w:val="FontStyle23"/>
          <w:rFonts w:ascii="Book Antiqua" w:hAnsi="Book Antiqua"/>
          <w:szCs w:val="26"/>
        </w:rPr>
      </w:pPr>
      <w:r w:rsidRPr="00761010">
        <w:rPr>
          <w:rStyle w:val="FontStyle23"/>
          <w:rFonts w:ascii="Book Antiqua" w:hAnsi="Book Antiqua"/>
          <w:szCs w:val="26"/>
        </w:rPr>
        <w:t xml:space="preserve">2.2 </w:t>
      </w:r>
      <w:r w:rsidR="00761010" w:rsidRPr="00761010">
        <w:rPr>
          <w:rStyle w:val="FontStyle23"/>
          <w:rFonts w:ascii="Book Antiqua" w:hAnsi="Book Antiqua"/>
          <w:b w:val="0"/>
          <w:bCs w:val="0"/>
          <w:szCs w:val="26"/>
        </w:rPr>
        <w:t xml:space="preserve"> </w:t>
      </w:r>
      <w:r w:rsidRPr="00761010">
        <w:rPr>
          <w:rStyle w:val="FontStyle23"/>
          <w:rFonts w:ascii="Book Antiqua" w:hAnsi="Book Antiqua"/>
          <w:szCs w:val="26"/>
        </w:rPr>
        <w:t xml:space="preserve">Sample </w:t>
      </w:r>
      <w:r w:rsidR="00761010" w:rsidRPr="00761010">
        <w:rPr>
          <w:rStyle w:val="FontStyle23"/>
          <w:rFonts w:ascii="Book Antiqua" w:hAnsi="Book Antiqua"/>
          <w:szCs w:val="26"/>
        </w:rPr>
        <w:t xml:space="preserve">Preparation </w:t>
      </w:r>
      <w:r w:rsidRPr="00761010">
        <w:rPr>
          <w:rStyle w:val="FontStyle23"/>
          <w:rFonts w:ascii="Book Antiqua" w:hAnsi="Book Antiqua"/>
          <w:szCs w:val="26"/>
        </w:rPr>
        <w:t>and</w:t>
      </w:r>
      <w:r w:rsidR="00761010">
        <w:rPr>
          <w:rStyle w:val="FontStyle23"/>
          <w:rFonts w:ascii="Book Antiqua" w:hAnsi="Book Antiqua"/>
          <w:szCs w:val="26"/>
        </w:rPr>
        <w:t xml:space="preserve"> </w:t>
      </w:r>
      <w:r w:rsidR="00761010" w:rsidRPr="00761010">
        <w:rPr>
          <w:rStyle w:val="FontStyle23"/>
          <w:rFonts w:ascii="Book Antiqua" w:hAnsi="Book Antiqua"/>
          <w:szCs w:val="26"/>
        </w:rPr>
        <w:t>Treatment</w:t>
      </w:r>
    </w:p>
    <w:p w14:paraId="4E3D3276" w14:textId="77777777" w:rsidR="009A4866" w:rsidRPr="00E3232D" w:rsidRDefault="009A4866" w:rsidP="00761010">
      <w:pPr>
        <w:pStyle w:val="Style3"/>
        <w:widowControl/>
        <w:spacing w:after="0" w:line="276" w:lineRule="auto"/>
        <w:jc w:val="both"/>
        <w:rPr>
          <w:rStyle w:val="FontStyle26"/>
          <w:rFonts w:ascii="Book Antiqua" w:hAnsi="Book Antiqua"/>
        </w:rPr>
      </w:pPr>
      <w:r w:rsidRPr="00E3232D">
        <w:rPr>
          <w:rStyle w:val="FontStyle26"/>
          <w:rFonts w:ascii="Book Antiqua" w:hAnsi="Book Antiqua"/>
        </w:rPr>
        <w:t xml:space="preserve">The samples collected from Makola were coded M1, M2, through to M15, whilst those collected from Kasoa were coded K1 , K2 through to K15. Each sample was cut into several pieces and further broken down in smaller particles using mortar and pestle. </w:t>
      </w:r>
    </w:p>
    <w:p w14:paraId="1CC5BEB2" w14:textId="77777777" w:rsidR="009A4866" w:rsidRPr="00E3232D" w:rsidRDefault="009A4866" w:rsidP="00761010">
      <w:pPr>
        <w:autoSpaceDE w:val="0"/>
        <w:autoSpaceDN w:val="0"/>
        <w:adjustRightInd w:val="0"/>
        <w:spacing w:after="0"/>
        <w:jc w:val="both"/>
        <w:rPr>
          <w:rFonts w:ascii="Book Antiqua" w:hAnsi="Book Antiqua"/>
        </w:rPr>
      </w:pPr>
      <w:r w:rsidRPr="00E3232D">
        <w:rPr>
          <w:rStyle w:val="FontStyle26"/>
          <w:rFonts w:ascii="Book Antiqua" w:hAnsi="Book Antiqua"/>
        </w:rPr>
        <w:t xml:space="preserve">5.0000 g of each plastic toy was accurately </w:t>
      </w:r>
      <w:r w:rsidRPr="00761010">
        <w:rPr>
          <w:rStyle w:val="FontStyle26"/>
          <w:rFonts w:ascii="Book Antiqua" w:hAnsi="Book Antiqua"/>
        </w:rPr>
        <w:t>weighed in duplicate into pre-cleaned</w:t>
      </w:r>
      <w:r w:rsidRPr="00E3232D">
        <w:rPr>
          <w:rStyle w:val="FontStyle26"/>
          <w:rFonts w:ascii="Book Antiqua" w:hAnsi="Book Antiqua"/>
        </w:rPr>
        <w:t xml:space="preserve"> beaker. 5 ml solution of 69.7 % concentrated Nitric acid (HNO</w:t>
      </w:r>
      <w:r w:rsidRPr="00E3232D">
        <w:rPr>
          <w:rStyle w:val="FontStyle26"/>
          <w:rFonts w:ascii="Book Antiqua" w:hAnsi="Book Antiqua"/>
          <w:vertAlign w:val="subscript"/>
        </w:rPr>
        <w:t>3</w:t>
      </w:r>
      <w:r w:rsidRPr="00E3232D">
        <w:rPr>
          <w:rStyle w:val="FontStyle26"/>
          <w:rFonts w:ascii="Book Antiqua" w:hAnsi="Book Antiqua"/>
        </w:rPr>
        <w:t>) was added to the plastic toys in the beaker and heated on a hot plate in a fume chamber for 1 minute. 5 ml of 97% concentrated Sulphuric acid (H</w:t>
      </w:r>
      <w:r w:rsidRPr="00E3232D">
        <w:rPr>
          <w:rStyle w:val="FontStyle26"/>
          <w:rFonts w:ascii="Book Antiqua" w:hAnsi="Book Antiqua"/>
          <w:vertAlign w:val="subscript"/>
        </w:rPr>
        <w:t>2</w:t>
      </w:r>
      <w:r w:rsidRPr="00E3232D">
        <w:rPr>
          <w:rStyle w:val="FontStyle26"/>
          <w:rFonts w:ascii="Book Antiqua" w:hAnsi="Book Antiqua"/>
        </w:rPr>
        <w:t>SO</w:t>
      </w:r>
      <w:r w:rsidRPr="00E3232D">
        <w:rPr>
          <w:rStyle w:val="FontStyle26"/>
          <w:rFonts w:ascii="Book Antiqua" w:hAnsi="Book Antiqua"/>
          <w:vertAlign w:val="subscript"/>
        </w:rPr>
        <w:t>4</w:t>
      </w:r>
      <w:r w:rsidRPr="00E3232D">
        <w:rPr>
          <w:rStyle w:val="FontStyle26"/>
          <w:rFonts w:ascii="Book Antiqua" w:hAnsi="Book Antiqua"/>
        </w:rPr>
        <w:t>) was added to the mixture in the beaker and heating continued until brown fumes ceased. 3 ml of 70% concentrated Perchloric acid (HClO</w:t>
      </w:r>
      <w:r w:rsidRPr="00E3232D">
        <w:rPr>
          <w:rStyle w:val="FontStyle26"/>
          <w:rFonts w:ascii="Book Antiqua" w:hAnsi="Book Antiqua"/>
          <w:vertAlign w:val="subscript"/>
        </w:rPr>
        <w:t>4</w:t>
      </w:r>
      <w:r w:rsidRPr="00E3232D">
        <w:rPr>
          <w:rStyle w:val="FontStyle26"/>
          <w:rFonts w:ascii="Book Antiqua" w:hAnsi="Book Antiqua"/>
        </w:rPr>
        <w:t xml:space="preserve">) was added to the mixture in the beaker and heated for one minute until the mixture became clear. The mixture in the beaker was allowed to cool, filtered through Whatman No.1 filter paper into a 100 ml volumetric flask and topped with deionized  water to the mark. The procedure was repeated for all the samples. </w:t>
      </w:r>
      <w:r w:rsidRPr="00E3232D">
        <w:rPr>
          <w:rFonts w:ascii="Book Antiqua" w:hAnsi="Book Antiqua"/>
        </w:rPr>
        <w:t>Blank samples were also prepared similarly.</w:t>
      </w:r>
      <w:r w:rsidRPr="00E3232D">
        <w:rPr>
          <w:rStyle w:val="FontStyle26"/>
          <w:rFonts w:ascii="Book Antiqua" w:hAnsi="Book Antiqua"/>
        </w:rPr>
        <w:t xml:space="preserve"> </w:t>
      </w:r>
    </w:p>
    <w:p w14:paraId="693186BB" w14:textId="77777777" w:rsidR="008916B7" w:rsidRDefault="008916B7" w:rsidP="00761010">
      <w:pPr>
        <w:shd w:val="clear" w:color="auto" w:fill="FFFFFF"/>
        <w:spacing w:after="180"/>
        <w:jc w:val="both"/>
        <w:outlineLvl w:val="5"/>
        <w:rPr>
          <w:rFonts w:ascii="Book Antiqua" w:hAnsi="Book Antiqua"/>
          <w:b/>
          <w:bCs/>
        </w:rPr>
      </w:pPr>
    </w:p>
    <w:p w14:paraId="2C0AAC7F" w14:textId="77777777" w:rsidR="009A4866" w:rsidRPr="00761010" w:rsidRDefault="009A4866" w:rsidP="00761010">
      <w:pPr>
        <w:shd w:val="clear" w:color="auto" w:fill="FFFFFF"/>
        <w:spacing w:after="180"/>
        <w:jc w:val="both"/>
        <w:outlineLvl w:val="5"/>
        <w:rPr>
          <w:rFonts w:ascii="Book Antiqua" w:hAnsi="Book Antiqua"/>
          <w:b/>
          <w:bCs/>
          <w:szCs w:val="26"/>
        </w:rPr>
      </w:pPr>
      <w:r w:rsidRPr="00761010">
        <w:rPr>
          <w:rFonts w:ascii="Book Antiqua" w:hAnsi="Book Antiqua"/>
          <w:b/>
          <w:bCs/>
          <w:szCs w:val="26"/>
        </w:rPr>
        <w:t>2.3. Standards</w:t>
      </w:r>
    </w:p>
    <w:p w14:paraId="30884194" w14:textId="77777777" w:rsidR="009A4866" w:rsidRPr="00E3232D" w:rsidRDefault="009A4866" w:rsidP="00761010">
      <w:pPr>
        <w:spacing w:after="0"/>
        <w:jc w:val="both"/>
        <w:rPr>
          <w:rFonts w:ascii="Book Antiqua" w:hAnsi="Book Antiqua"/>
          <w:b/>
        </w:rPr>
      </w:pPr>
      <w:r w:rsidRPr="00E3232D">
        <w:rPr>
          <w:rFonts w:ascii="Book Antiqua" w:hAnsi="Book Antiqua"/>
        </w:rPr>
        <w:t xml:space="preserve">Standards were prepared with serial dilution technique within the range of 10–30 ppm for lead and 10–50 ppb for cadmium. The stock solutions used were of analytical grades standards provided by Merck (Darmstadt, Germany). </w:t>
      </w:r>
      <w:r w:rsidRPr="00E3232D">
        <w:rPr>
          <w:rFonts w:ascii="Book Antiqua" w:hAnsi="Book Antiqua"/>
          <w:color w:val="000000"/>
        </w:rPr>
        <w:t>Each stock standard had a concentration of 1,000 mg/L supplied in 0.1</w:t>
      </w:r>
      <w:r w:rsidRPr="00E3232D">
        <w:rPr>
          <w:rFonts w:ascii="Cambria Math" w:hAnsi="Cambria Math" w:cs="Cambria Math"/>
          <w:color w:val="000000"/>
        </w:rPr>
        <w:t> </w:t>
      </w:r>
      <w:r w:rsidRPr="00E3232D">
        <w:rPr>
          <w:rFonts w:ascii="Book Antiqua" w:hAnsi="Book Antiqua" w:cs="Book Antiqua"/>
          <w:color w:val="000000"/>
        </w:rPr>
        <w:t>N HNO</w:t>
      </w:r>
      <w:r w:rsidRPr="00E3232D">
        <w:rPr>
          <w:rFonts w:ascii="Book Antiqua" w:hAnsi="Book Antiqua"/>
          <w:color w:val="000000"/>
          <w:vertAlign w:val="subscript"/>
        </w:rPr>
        <w:t>3</w:t>
      </w:r>
      <w:r w:rsidRPr="00E3232D">
        <w:rPr>
          <w:rFonts w:ascii="Book Antiqua" w:hAnsi="Book Antiqua"/>
          <w:color w:val="000000"/>
        </w:rPr>
        <w:t>.</w:t>
      </w:r>
      <w:r w:rsidRPr="00E3232D">
        <w:rPr>
          <w:rFonts w:ascii="Book Antiqua" w:hAnsi="Book Antiqua"/>
          <w:b/>
        </w:rPr>
        <w:t xml:space="preserve"> </w:t>
      </w:r>
      <w:r w:rsidRPr="00E3232D">
        <w:rPr>
          <w:rFonts w:ascii="Book Antiqua" w:hAnsi="Book Antiqua"/>
        </w:rPr>
        <w:t>As a way of ascertaining the reliability of the results, recovery analysis was performed for each of the metal by separately running a standard solution under identical conditions as the samples.</w:t>
      </w:r>
    </w:p>
    <w:p w14:paraId="7648A281" w14:textId="77777777" w:rsidR="009A4866" w:rsidRPr="00E3232D" w:rsidRDefault="009A4866" w:rsidP="00761010">
      <w:pPr>
        <w:autoSpaceDE w:val="0"/>
        <w:autoSpaceDN w:val="0"/>
        <w:adjustRightInd w:val="0"/>
        <w:spacing w:after="0"/>
        <w:jc w:val="both"/>
        <w:rPr>
          <w:rFonts w:ascii="Book Antiqua" w:hAnsi="Book Antiqua"/>
        </w:rPr>
      </w:pPr>
    </w:p>
    <w:p w14:paraId="5B8F239A" w14:textId="77777777" w:rsidR="00761010" w:rsidRDefault="00761010" w:rsidP="00761010">
      <w:pPr>
        <w:spacing w:after="0"/>
        <w:ind w:left="450" w:hanging="450"/>
        <w:jc w:val="both"/>
        <w:rPr>
          <w:rFonts w:ascii="Book Antiqua" w:hAnsi="Book Antiqua"/>
          <w:b/>
          <w:sz w:val="24"/>
          <w:szCs w:val="24"/>
        </w:rPr>
      </w:pPr>
    </w:p>
    <w:p w14:paraId="1D55A4C9" w14:textId="77777777" w:rsidR="00761010" w:rsidRDefault="00761010" w:rsidP="00761010">
      <w:pPr>
        <w:spacing w:after="0"/>
        <w:ind w:left="450" w:hanging="450"/>
        <w:jc w:val="both"/>
        <w:rPr>
          <w:rFonts w:ascii="Book Antiqua" w:hAnsi="Book Antiqua"/>
          <w:b/>
          <w:sz w:val="24"/>
          <w:szCs w:val="24"/>
        </w:rPr>
      </w:pPr>
    </w:p>
    <w:p w14:paraId="799F84B0" w14:textId="77777777" w:rsidR="009A4866" w:rsidRPr="004B509C" w:rsidRDefault="009A4866" w:rsidP="00761010">
      <w:pPr>
        <w:spacing w:after="0"/>
        <w:ind w:left="450" w:hanging="450"/>
        <w:jc w:val="both"/>
        <w:rPr>
          <w:rFonts w:ascii="Book Antiqua" w:hAnsi="Book Antiqua"/>
          <w:b/>
          <w:sz w:val="24"/>
          <w:szCs w:val="24"/>
        </w:rPr>
      </w:pPr>
      <w:r w:rsidRPr="004B509C">
        <w:rPr>
          <w:rFonts w:ascii="Book Antiqua" w:hAnsi="Book Antiqua"/>
          <w:b/>
          <w:sz w:val="24"/>
          <w:szCs w:val="24"/>
        </w:rPr>
        <w:t xml:space="preserve">2.4 </w:t>
      </w:r>
      <w:r w:rsidRPr="00761010">
        <w:rPr>
          <w:rFonts w:ascii="Book Antiqua" w:hAnsi="Book Antiqua"/>
          <w:b/>
          <w:szCs w:val="24"/>
        </w:rPr>
        <w:t xml:space="preserve">Analysis with Inductively Coupled </w:t>
      </w:r>
      <w:r w:rsidR="00761010">
        <w:rPr>
          <w:rFonts w:ascii="Book Antiqua" w:hAnsi="Book Antiqua"/>
          <w:b/>
          <w:szCs w:val="24"/>
        </w:rPr>
        <w:t xml:space="preserve"> </w:t>
      </w:r>
      <w:r w:rsidRPr="00761010">
        <w:rPr>
          <w:rFonts w:ascii="Book Antiqua" w:hAnsi="Book Antiqua"/>
          <w:b/>
          <w:szCs w:val="24"/>
        </w:rPr>
        <w:t>Plasma–AtomicEmission Spectrophotometer (ICP-AES</w:t>
      </w:r>
      <w:r w:rsidRPr="004B509C">
        <w:rPr>
          <w:rFonts w:ascii="Book Antiqua" w:hAnsi="Book Antiqua"/>
          <w:b/>
          <w:sz w:val="24"/>
          <w:szCs w:val="24"/>
        </w:rPr>
        <w:t>)</w:t>
      </w:r>
    </w:p>
    <w:p w14:paraId="77B253B0" w14:textId="77777777" w:rsidR="009A4866" w:rsidRPr="00E3232D" w:rsidRDefault="009A4866" w:rsidP="00761010">
      <w:pPr>
        <w:spacing w:after="0"/>
        <w:jc w:val="both"/>
        <w:rPr>
          <w:rFonts w:ascii="Book Antiqua" w:hAnsi="Book Antiqua"/>
        </w:rPr>
      </w:pPr>
      <w:r w:rsidRPr="00E3232D">
        <w:rPr>
          <w:rFonts w:ascii="Book Antiqua" w:hAnsi="Book Antiqua"/>
        </w:rPr>
        <w:t>Analyses were performed on the blanks, calibration standards followed by the digested sample using Iris Intrepid brand Inductively Coupled Plasma–Atomic Emission Spectrophotometer (ICP-AES) (Model # 1441030210). The instrument is semi-automated and equipped with an auto-sampler and it is interfaced with a computer.</w:t>
      </w:r>
    </w:p>
    <w:p w14:paraId="0F417B9B" w14:textId="77777777" w:rsidR="00864CD2" w:rsidRDefault="00864CD2" w:rsidP="00761010">
      <w:pPr>
        <w:spacing w:after="0"/>
        <w:jc w:val="both"/>
        <w:rPr>
          <w:rFonts w:ascii="Book Antiqua" w:hAnsi="Book Antiqua"/>
        </w:rPr>
      </w:pPr>
    </w:p>
    <w:p w14:paraId="5E2F95BD" w14:textId="77777777" w:rsidR="009A4866" w:rsidRPr="00E3232D" w:rsidRDefault="009A4866" w:rsidP="00761010">
      <w:pPr>
        <w:spacing w:after="0"/>
        <w:jc w:val="both"/>
        <w:rPr>
          <w:rFonts w:ascii="Book Antiqua" w:hAnsi="Book Antiqua"/>
        </w:rPr>
      </w:pPr>
      <w:r w:rsidRPr="00E3232D">
        <w:rPr>
          <w:rFonts w:ascii="Book Antiqua" w:hAnsi="Book Antiqua"/>
        </w:rPr>
        <w:t>The blank and the calibration standards were sequentially aspirated via the tube of the auto-sampler. A calibration curve was then generated and stored. Subsequently the samples were run. The level of the metal in each sample was computed as mg/kg taking into account the mass of the sample digested and volume of the digested sample.</w:t>
      </w:r>
    </w:p>
    <w:p w14:paraId="629068D9" w14:textId="77777777" w:rsidR="0031591D" w:rsidRDefault="0031591D" w:rsidP="00761010">
      <w:pPr>
        <w:jc w:val="both"/>
        <w:rPr>
          <w:rFonts w:ascii="Book Antiqua" w:hAnsi="Book Antiqua"/>
          <w:b/>
        </w:rPr>
      </w:pPr>
    </w:p>
    <w:p w14:paraId="591329F7" w14:textId="77777777" w:rsidR="009A4866" w:rsidRPr="004B509C" w:rsidRDefault="009A4866" w:rsidP="00761010">
      <w:pPr>
        <w:jc w:val="both"/>
        <w:rPr>
          <w:rFonts w:ascii="Book Antiqua" w:hAnsi="Book Antiqua"/>
          <w:b/>
          <w:sz w:val="26"/>
          <w:szCs w:val="26"/>
        </w:rPr>
      </w:pPr>
      <w:r w:rsidRPr="004B509C">
        <w:rPr>
          <w:rFonts w:ascii="Book Antiqua" w:hAnsi="Book Antiqua"/>
          <w:b/>
          <w:sz w:val="26"/>
          <w:szCs w:val="26"/>
        </w:rPr>
        <w:t>3.</w:t>
      </w:r>
      <w:r w:rsidR="00761010">
        <w:rPr>
          <w:rFonts w:ascii="Book Antiqua" w:hAnsi="Book Antiqua"/>
          <w:b/>
          <w:sz w:val="26"/>
          <w:szCs w:val="26"/>
        </w:rPr>
        <w:t>0</w:t>
      </w:r>
      <w:r w:rsidRPr="004B509C">
        <w:rPr>
          <w:rFonts w:ascii="Book Antiqua" w:hAnsi="Book Antiqua"/>
          <w:b/>
          <w:sz w:val="26"/>
          <w:szCs w:val="26"/>
        </w:rPr>
        <w:t xml:space="preserve"> Results</w:t>
      </w:r>
    </w:p>
    <w:p w14:paraId="4F3DE077" w14:textId="77777777" w:rsidR="009A4866" w:rsidRPr="00E3232D" w:rsidRDefault="009A4866" w:rsidP="00761010">
      <w:pPr>
        <w:autoSpaceDE w:val="0"/>
        <w:autoSpaceDN w:val="0"/>
        <w:adjustRightInd w:val="0"/>
        <w:spacing w:after="0"/>
        <w:jc w:val="both"/>
        <w:rPr>
          <w:rFonts w:ascii="Book Antiqua" w:hAnsi="Book Antiqua"/>
        </w:rPr>
      </w:pPr>
      <w:r w:rsidRPr="00E3232D">
        <w:rPr>
          <w:rFonts w:ascii="Book Antiqua" w:hAnsi="Book Antiqua"/>
        </w:rPr>
        <w:t xml:space="preserve">The entire toy samples analysed contained both lead and cadmium. In all cases the levels of cadmium were significantly lower than the lead levels. The mean concentrations of cadmium and lead recorded for sample obtained from Makola is as shown in table 1 whist those for Kasoa is shown in table 2. Figures 1and 2 shows the general results for lead and cadmium respectively.  </w:t>
      </w:r>
    </w:p>
    <w:p w14:paraId="13D9191D" w14:textId="77777777" w:rsidR="0031591D" w:rsidRDefault="0031591D" w:rsidP="00761010">
      <w:pPr>
        <w:autoSpaceDE w:val="0"/>
        <w:autoSpaceDN w:val="0"/>
        <w:adjustRightInd w:val="0"/>
        <w:spacing w:after="0"/>
        <w:jc w:val="both"/>
        <w:rPr>
          <w:rFonts w:ascii="Book Antiqua" w:hAnsi="Book Antiqua"/>
        </w:rPr>
      </w:pPr>
    </w:p>
    <w:p w14:paraId="0AA525E3" w14:textId="77777777" w:rsidR="009A4866" w:rsidRPr="00E3232D" w:rsidRDefault="009A4866" w:rsidP="00761010">
      <w:pPr>
        <w:autoSpaceDE w:val="0"/>
        <w:autoSpaceDN w:val="0"/>
        <w:adjustRightInd w:val="0"/>
        <w:spacing w:after="0"/>
        <w:jc w:val="both"/>
        <w:rPr>
          <w:rFonts w:ascii="Book Antiqua" w:hAnsi="Book Antiqua"/>
        </w:rPr>
      </w:pPr>
      <w:r w:rsidRPr="00E3232D">
        <w:rPr>
          <w:rFonts w:ascii="Book Antiqua" w:hAnsi="Book Antiqua"/>
        </w:rPr>
        <w:t>The results showed that the cadmium concentrations ranged between 0.0695 - 0.5689 mg/kg, while the lead concentration ranged from 0.6877 - 56.0806 mg/kg in the different toys.</w:t>
      </w:r>
    </w:p>
    <w:p w14:paraId="7CAB195A" w14:textId="77777777" w:rsidR="009A4866" w:rsidRPr="00E3232D" w:rsidRDefault="009A4866" w:rsidP="00761010">
      <w:pPr>
        <w:autoSpaceDE w:val="0"/>
        <w:autoSpaceDN w:val="0"/>
        <w:adjustRightInd w:val="0"/>
        <w:jc w:val="both"/>
        <w:rPr>
          <w:rFonts w:ascii="Book Antiqua" w:hAnsi="Book Antiqua"/>
        </w:rPr>
      </w:pPr>
    </w:p>
    <w:p w14:paraId="4AF8921F" w14:textId="77777777" w:rsidR="009A4866" w:rsidRPr="004B509C" w:rsidRDefault="009A4866" w:rsidP="00761010">
      <w:pPr>
        <w:jc w:val="both"/>
        <w:rPr>
          <w:rFonts w:ascii="Book Antiqua" w:hAnsi="Book Antiqua"/>
          <w:b/>
          <w:sz w:val="26"/>
          <w:szCs w:val="26"/>
        </w:rPr>
      </w:pPr>
      <w:r w:rsidRPr="004B509C">
        <w:rPr>
          <w:rFonts w:ascii="Book Antiqua" w:hAnsi="Book Antiqua"/>
          <w:b/>
          <w:sz w:val="26"/>
          <w:szCs w:val="26"/>
        </w:rPr>
        <w:t xml:space="preserve"> 4.</w:t>
      </w:r>
      <w:r w:rsidR="00761010">
        <w:rPr>
          <w:rFonts w:ascii="Book Antiqua" w:hAnsi="Book Antiqua"/>
          <w:b/>
          <w:sz w:val="26"/>
          <w:szCs w:val="26"/>
        </w:rPr>
        <w:t>0</w:t>
      </w:r>
      <w:r w:rsidRPr="004B509C">
        <w:rPr>
          <w:rFonts w:ascii="Book Antiqua" w:hAnsi="Book Antiqua"/>
          <w:b/>
          <w:sz w:val="26"/>
          <w:szCs w:val="26"/>
        </w:rPr>
        <w:t xml:space="preserve"> Discussion</w:t>
      </w:r>
    </w:p>
    <w:p w14:paraId="3D0A95FD" w14:textId="77777777" w:rsidR="009A4866" w:rsidRPr="00E3232D" w:rsidRDefault="009A4866" w:rsidP="00761010">
      <w:pPr>
        <w:autoSpaceDE w:val="0"/>
        <w:autoSpaceDN w:val="0"/>
        <w:adjustRightInd w:val="0"/>
        <w:jc w:val="both"/>
        <w:rPr>
          <w:rFonts w:ascii="Book Antiqua" w:hAnsi="Book Antiqua"/>
        </w:rPr>
      </w:pPr>
      <w:r w:rsidRPr="00E3232D">
        <w:rPr>
          <w:rFonts w:ascii="Book Antiqua" w:hAnsi="Book Antiqua"/>
        </w:rPr>
        <w:t>The fact that all the products contain lead and cadmium gives cause for worry because both heavy metals are neuro-toxins. The findings agree with results obtained by Abhay and Pranshant (2007) who analyzed plastic toy samples manufactured in India.</w:t>
      </w:r>
    </w:p>
    <w:p w14:paraId="5A28E5DF" w14:textId="77777777" w:rsidR="009A4866" w:rsidRPr="00E3232D" w:rsidRDefault="009A4866" w:rsidP="00761010">
      <w:pPr>
        <w:autoSpaceDE w:val="0"/>
        <w:autoSpaceDN w:val="0"/>
        <w:adjustRightInd w:val="0"/>
        <w:spacing w:after="0"/>
        <w:jc w:val="both"/>
        <w:rPr>
          <w:rFonts w:ascii="Book Antiqua" w:hAnsi="Book Antiqua"/>
        </w:rPr>
      </w:pPr>
      <w:r w:rsidRPr="00E3232D">
        <w:rPr>
          <w:rFonts w:ascii="Book Antiqua" w:hAnsi="Book Antiqua"/>
        </w:rPr>
        <w:t xml:space="preserve">The highest value of lead of 56.0806 mg/kg was recorded in machined gun followed by doll with a value of 33.2922 mg/kg. The remainder of the samples recorded values below 16.0000 mg/kg. The machine gun and the doll were the most colourful of all the toys. The rather high levels could be due to the brightly coloured paintcoatings that may be lead based. </w:t>
      </w:r>
    </w:p>
    <w:p w14:paraId="6E07897B" w14:textId="77777777" w:rsidR="009A4866" w:rsidRPr="00E3232D" w:rsidRDefault="009A4866" w:rsidP="00761010">
      <w:pPr>
        <w:autoSpaceDE w:val="0"/>
        <w:autoSpaceDN w:val="0"/>
        <w:adjustRightInd w:val="0"/>
        <w:spacing w:after="0"/>
        <w:jc w:val="both"/>
        <w:rPr>
          <w:rFonts w:ascii="Book Antiqua" w:hAnsi="Book Antiqua"/>
        </w:rPr>
      </w:pPr>
    </w:p>
    <w:p w14:paraId="32321BFC" w14:textId="77777777" w:rsidR="009A4866" w:rsidRPr="00E3232D" w:rsidRDefault="009A4866" w:rsidP="00761010">
      <w:pPr>
        <w:spacing w:after="0"/>
        <w:jc w:val="both"/>
        <w:rPr>
          <w:rStyle w:val="st"/>
          <w:rFonts w:ascii="Book Antiqua" w:hAnsi="Book Antiqua"/>
        </w:rPr>
      </w:pPr>
      <w:r w:rsidRPr="00E3232D">
        <w:rPr>
          <w:rFonts w:ascii="Book Antiqua" w:hAnsi="Book Antiqua"/>
        </w:rPr>
        <w:t>The mean level of Cadmium in the samples obtained from Makola was 0.3561 mg/kg while the samples from Kasoa had</w:t>
      </w:r>
      <w:r w:rsidR="0031591D">
        <w:rPr>
          <w:rFonts w:ascii="Book Antiqua" w:hAnsi="Book Antiqua"/>
        </w:rPr>
        <w:t xml:space="preserve"> a mean level of 0.3020 mg/kg. </w:t>
      </w:r>
      <w:r w:rsidRPr="00E3232D">
        <w:rPr>
          <w:rFonts w:ascii="Book Antiqua" w:hAnsi="Book Antiqua"/>
        </w:rPr>
        <w:t xml:space="preserve">These mean values compare favourably with only a difference of 0.0541mg/kg. The overall mean level of cadmium for all thirty(30) samples was 0.3281 mg/kg. The average cadmium levels found in plastic toys in India in 2007 was 15.71 mg/kg (Abhay and Prashant 2007). A similar study in china showed that the concentration of soluble lead and cadmium in the toys which had a paint coating were respectively from 110.3 mg/kg to 5,156.0 mg/kg and from 0.34 mg/kg to 35.50 mg/kg </w:t>
      </w:r>
      <w:r w:rsidRPr="00E3232D">
        <w:rPr>
          <w:rStyle w:val="st"/>
          <w:rFonts w:ascii="Book Antiqua" w:hAnsi="Book Antiqua"/>
          <w:color w:val="222222"/>
        </w:rPr>
        <w:t>(Zhonghua and Yi Xue, 1991). Comparatively the mean levels of cadmium in this study were only in trace amounts. According to Al-Saleh and others (2009),</w:t>
      </w:r>
      <w:r w:rsidRPr="00E3232D">
        <w:rPr>
          <w:rFonts w:ascii="Book Antiqua" w:hAnsi="Book Antiqua"/>
        </w:rPr>
        <w:t xml:space="preserve"> trace amounts of cadmium in PVC are unavoidable even under conditions of good manufacturing practice.</w:t>
      </w:r>
      <w:r w:rsidRPr="00E3232D">
        <w:rPr>
          <w:rStyle w:val="st"/>
          <w:rFonts w:ascii="Book Antiqua" w:hAnsi="Book Antiqua"/>
          <w:color w:val="222222"/>
        </w:rPr>
        <w:t xml:space="preserve"> The very low levels could therefore mean that cadmium might have been introduced inadvertently through the manufacturing process. </w:t>
      </w:r>
      <w:r w:rsidRPr="00E3232D">
        <w:rPr>
          <w:rFonts w:ascii="Book Antiqua" w:hAnsi="Book Antiqua"/>
        </w:rPr>
        <w:t>This result however suggested that the children who are likely to handle and play with these toys could only be exposed low levels of cadmium, if any.</w:t>
      </w:r>
      <w:r w:rsidRPr="00E3232D">
        <w:rPr>
          <w:rStyle w:val="st"/>
          <w:rFonts w:ascii="Book Antiqua" w:hAnsi="Book Antiqua"/>
          <w:color w:val="222222"/>
        </w:rPr>
        <w:t xml:space="preserve"> </w:t>
      </w:r>
    </w:p>
    <w:p w14:paraId="47686664" w14:textId="77777777" w:rsidR="00756016" w:rsidRDefault="00756016" w:rsidP="00761010">
      <w:pPr>
        <w:autoSpaceDE w:val="0"/>
        <w:autoSpaceDN w:val="0"/>
        <w:adjustRightInd w:val="0"/>
        <w:spacing w:after="0"/>
        <w:jc w:val="both"/>
        <w:rPr>
          <w:rStyle w:val="st"/>
          <w:rFonts w:ascii="Book Antiqua" w:hAnsi="Book Antiqua"/>
          <w:color w:val="222222"/>
        </w:rPr>
      </w:pPr>
    </w:p>
    <w:p w14:paraId="0B2CEDFC" w14:textId="77777777" w:rsidR="009A4866" w:rsidRDefault="009A4866" w:rsidP="00761010">
      <w:pPr>
        <w:autoSpaceDE w:val="0"/>
        <w:autoSpaceDN w:val="0"/>
        <w:adjustRightInd w:val="0"/>
        <w:spacing w:after="0"/>
        <w:jc w:val="both"/>
        <w:rPr>
          <w:rFonts w:ascii="Book Antiqua" w:hAnsi="Book Antiqua"/>
        </w:rPr>
      </w:pPr>
      <w:r w:rsidRPr="00E3232D">
        <w:rPr>
          <w:rStyle w:val="st"/>
          <w:rFonts w:ascii="Book Antiqua" w:hAnsi="Book Antiqua"/>
          <w:color w:val="222222"/>
        </w:rPr>
        <w:t xml:space="preserve">The mean level of lead in toys sampled from Makola was 14.1987 </w:t>
      </w:r>
      <w:r w:rsidRPr="00E3232D">
        <w:rPr>
          <w:rFonts w:ascii="Book Antiqua" w:hAnsi="Book Antiqua"/>
        </w:rPr>
        <w:t xml:space="preserve">mg/kg </w:t>
      </w:r>
      <w:r w:rsidRPr="00E3232D">
        <w:rPr>
          <w:rStyle w:val="st"/>
          <w:rFonts w:ascii="Book Antiqua" w:hAnsi="Book Antiqua"/>
          <w:color w:val="222222"/>
        </w:rPr>
        <w:t xml:space="preserve">and those from Kasoa recorded a mean level of 7.3769 </w:t>
      </w:r>
      <w:r w:rsidRPr="00E3232D">
        <w:rPr>
          <w:rFonts w:ascii="Book Antiqua" w:hAnsi="Book Antiqua"/>
        </w:rPr>
        <w:t>mg/kg. The difference in the mean levels form the two locations is quite significant; in percentage terms the level recorded for Kasoa is about 52% that of Makola. The overall mean for the samples polled from the two sites was 10.7878 mg/kg. The overall mean is below those recorded in India which was 112.51 mg/kg (Abhay and Prashant, 2007) and even far below the US EPA limit of 600 mg/kg for lead in painted toys. Kelley and others (1993), had demonstrated in a study that a known source of lead poisoning is simply by chewing and sucking on plastic cables containing lead. Therefore, in the absence of any leaching studies it can still be stated that children who play with these toys are at risk of lead exposure since chewing and swallowing is common behaviour of children. Furthermore the presence of lead in the samples is it does indicate that toys pose a worrying and potential risk to children’s health and indeed all that handle such products. Physicians and scientists agree that no level of lead in blood is safe or normal.</w:t>
      </w:r>
    </w:p>
    <w:p w14:paraId="55B2A65A" w14:textId="77777777" w:rsidR="003A5C09" w:rsidRPr="00E3232D" w:rsidRDefault="003A5C09" w:rsidP="00761010">
      <w:pPr>
        <w:autoSpaceDE w:val="0"/>
        <w:autoSpaceDN w:val="0"/>
        <w:adjustRightInd w:val="0"/>
        <w:spacing w:after="0"/>
        <w:jc w:val="both"/>
        <w:rPr>
          <w:rFonts w:ascii="Book Antiqua" w:hAnsi="Book Antiqua"/>
        </w:rPr>
      </w:pPr>
    </w:p>
    <w:p w14:paraId="41A4A150" w14:textId="77777777" w:rsidR="009A4866" w:rsidRDefault="009A4866" w:rsidP="00761010">
      <w:pPr>
        <w:autoSpaceDE w:val="0"/>
        <w:autoSpaceDN w:val="0"/>
        <w:adjustRightInd w:val="0"/>
        <w:jc w:val="both"/>
        <w:rPr>
          <w:rFonts w:ascii="Book Antiqua" w:hAnsi="Book Antiqua"/>
        </w:rPr>
      </w:pPr>
      <w:r w:rsidRPr="00E3232D">
        <w:rPr>
          <w:rFonts w:ascii="Book Antiqua" w:hAnsi="Book Antiqua"/>
        </w:rPr>
        <w:t>Yearly tons of plastic toy enter Ghana. The implication is that cumulatively cadmium and lead are being introduced into the environment and this could have a dire consequence for the environment.</w:t>
      </w:r>
      <w:r w:rsidRPr="00E3232D">
        <w:rPr>
          <w:rFonts w:ascii="Book Antiqua" w:hAnsi="Book Antiqua"/>
          <w:color w:val="4F81BD"/>
        </w:rPr>
        <w:t xml:space="preserve"> </w:t>
      </w:r>
      <w:r w:rsidRPr="00E3232D">
        <w:rPr>
          <w:rFonts w:ascii="Book Antiqua" w:hAnsi="Book Antiqua"/>
        </w:rPr>
        <w:t>This is because these metals are not biodegradable and therefore persist in the environment.  In addition, a common practice of solid waste management in this part of the globe is by incineration.  As plastic toy get destroyed and are disposed off, they are likely to find their way to disposal site where they may be incinerated. This practice could be a possible course of lead and cadmium fume in the environment</w:t>
      </w:r>
      <w:r w:rsidR="00864CD2">
        <w:rPr>
          <w:rFonts w:ascii="Book Antiqua" w:hAnsi="Book Antiqua"/>
        </w:rPr>
        <w:t xml:space="preserve"> which could further jeopardize</w:t>
      </w:r>
      <w:r w:rsidR="00473810">
        <w:rPr>
          <w:rFonts w:ascii="Book Antiqua" w:hAnsi="Book Antiqua"/>
        </w:rPr>
        <w:t xml:space="preserve"> </w:t>
      </w:r>
      <w:r w:rsidR="00864CD2">
        <w:rPr>
          <w:rFonts w:ascii="Book Antiqua" w:hAnsi="Book Antiqua"/>
        </w:rPr>
        <w:t>public</w:t>
      </w:r>
      <w:r w:rsidR="00473810">
        <w:rPr>
          <w:rFonts w:ascii="Book Antiqua" w:hAnsi="Book Antiqua"/>
        </w:rPr>
        <w:t xml:space="preserve"> </w:t>
      </w:r>
      <w:r w:rsidRPr="00E3232D">
        <w:rPr>
          <w:rFonts w:ascii="Book Antiqua" w:hAnsi="Book Antiqua"/>
        </w:rPr>
        <w:t>health.</w:t>
      </w:r>
    </w:p>
    <w:p w14:paraId="63CD5300" w14:textId="77777777" w:rsidR="00473810" w:rsidRPr="00E3232D" w:rsidRDefault="00473810" w:rsidP="00761010">
      <w:pPr>
        <w:autoSpaceDE w:val="0"/>
        <w:autoSpaceDN w:val="0"/>
        <w:adjustRightInd w:val="0"/>
        <w:jc w:val="both"/>
        <w:rPr>
          <w:rFonts w:ascii="Book Antiqua" w:hAnsi="Book Antiqua"/>
        </w:rPr>
        <w:sectPr w:rsidR="00473810" w:rsidRPr="00E3232D" w:rsidSect="008F6BC9">
          <w:type w:val="continuous"/>
          <w:pgSz w:w="11907" w:h="16839" w:code="9"/>
          <w:pgMar w:top="1440" w:right="1440" w:bottom="1440" w:left="1440" w:header="720" w:footer="720" w:gutter="0"/>
          <w:cols w:num="2" w:space="720"/>
          <w:docGrid w:linePitch="360"/>
        </w:sectPr>
      </w:pPr>
    </w:p>
    <w:p w14:paraId="56F61824" w14:textId="77777777" w:rsidR="009A4866" w:rsidRPr="004B509C" w:rsidRDefault="009A4866" w:rsidP="00761010">
      <w:pPr>
        <w:jc w:val="both"/>
        <w:rPr>
          <w:rFonts w:ascii="Book Antiqua" w:hAnsi="Book Antiqua"/>
          <w:b/>
          <w:sz w:val="26"/>
          <w:szCs w:val="26"/>
        </w:rPr>
      </w:pPr>
      <w:r w:rsidRPr="004B509C">
        <w:rPr>
          <w:rFonts w:ascii="Book Antiqua" w:hAnsi="Book Antiqua"/>
          <w:b/>
          <w:sz w:val="26"/>
          <w:szCs w:val="26"/>
        </w:rPr>
        <w:t>5.</w:t>
      </w:r>
      <w:r w:rsidR="00761010">
        <w:rPr>
          <w:rFonts w:ascii="Book Antiqua" w:hAnsi="Book Antiqua"/>
          <w:b/>
          <w:sz w:val="26"/>
          <w:szCs w:val="26"/>
        </w:rPr>
        <w:t>0</w:t>
      </w:r>
      <w:r w:rsidRPr="004B509C">
        <w:rPr>
          <w:rFonts w:ascii="Book Antiqua" w:hAnsi="Book Antiqua"/>
          <w:b/>
          <w:sz w:val="26"/>
          <w:szCs w:val="26"/>
        </w:rPr>
        <w:t xml:space="preserve"> Conclusion</w:t>
      </w:r>
    </w:p>
    <w:p w14:paraId="3A09018F" w14:textId="77777777" w:rsidR="00473810" w:rsidRDefault="009A4866" w:rsidP="00761010">
      <w:pPr>
        <w:spacing w:after="0"/>
        <w:jc w:val="both"/>
        <w:rPr>
          <w:rFonts w:ascii="Book Antiqua" w:hAnsi="Book Antiqua"/>
        </w:rPr>
      </w:pPr>
      <w:r w:rsidRPr="00E3232D">
        <w:rPr>
          <w:rFonts w:ascii="Book Antiqua" w:hAnsi="Book Antiqua"/>
        </w:rPr>
        <w:t xml:space="preserve">All the toys contained varying amount of both lead and cadmium. In all cases the levels of lead is higher than that of cadmium, a trend that agrees with other </w:t>
      </w:r>
    </w:p>
    <w:p w14:paraId="068D94AF" w14:textId="77777777" w:rsidR="00473810" w:rsidRDefault="00473810" w:rsidP="00761010">
      <w:pPr>
        <w:spacing w:after="0"/>
        <w:jc w:val="both"/>
        <w:rPr>
          <w:rFonts w:ascii="Book Antiqua" w:hAnsi="Book Antiqua"/>
        </w:rPr>
      </w:pPr>
    </w:p>
    <w:p w14:paraId="008DA6DD" w14:textId="77777777" w:rsidR="009A4866" w:rsidRPr="00E3232D" w:rsidRDefault="009A4866" w:rsidP="00761010">
      <w:pPr>
        <w:spacing w:after="0"/>
        <w:jc w:val="both"/>
        <w:rPr>
          <w:rFonts w:ascii="Book Antiqua" w:hAnsi="Book Antiqua"/>
        </w:rPr>
      </w:pPr>
      <w:r w:rsidRPr="00E3232D">
        <w:rPr>
          <w:rFonts w:ascii="Book Antiqua" w:hAnsi="Book Antiqua"/>
        </w:rPr>
        <w:t xml:space="preserve">research </w:t>
      </w:r>
      <w:r w:rsidR="00473810">
        <w:rPr>
          <w:rFonts w:ascii="Book Antiqua" w:hAnsi="Book Antiqua"/>
        </w:rPr>
        <w:t xml:space="preserve">findings elsewhere. The results </w:t>
      </w:r>
      <w:r w:rsidRPr="00E3232D">
        <w:rPr>
          <w:rFonts w:ascii="Book Antiqua" w:hAnsi="Book Antiqua"/>
        </w:rPr>
        <w:t>showed that the cadmium concentrations ranged between 0.0695 - 0.5689 mg/kg, while the lead concentration ranged from 0.6876 - 56.0806 mg/kg in the different toys.</w:t>
      </w:r>
    </w:p>
    <w:p w14:paraId="554722FB" w14:textId="77777777" w:rsidR="009A4866" w:rsidRPr="00E3232D" w:rsidRDefault="009A4866" w:rsidP="00761010">
      <w:pPr>
        <w:jc w:val="both"/>
        <w:rPr>
          <w:rFonts w:ascii="Book Antiqua" w:hAnsi="Book Antiqua"/>
        </w:rPr>
      </w:pPr>
      <w:r w:rsidRPr="00E3232D">
        <w:rPr>
          <w:rFonts w:ascii="Book Antiqua" w:hAnsi="Book Antiqua"/>
        </w:rPr>
        <w:t>As children play with, and as they chew, suck and or lick on them they will ingest measurable amount of lead and cadmium as long as they are present in the sample.</w:t>
      </w:r>
    </w:p>
    <w:p w14:paraId="2515E7F4" w14:textId="77777777" w:rsidR="004B509C" w:rsidRDefault="004B509C" w:rsidP="00761010">
      <w:pPr>
        <w:spacing w:after="0"/>
        <w:jc w:val="both"/>
        <w:rPr>
          <w:rFonts w:ascii="Book Antiqua" w:hAnsi="Book Antiqua"/>
        </w:rPr>
      </w:pPr>
    </w:p>
    <w:p w14:paraId="547048BE" w14:textId="77777777" w:rsidR="009A4866" w:rsidRPr="00E3232D" w:rsidRDefault="009A4866" w:rsidP="00761010">
      <w:pPr>
        <w:spacing w:after="0"/>
        <w:jc w:val="both"/>
        <w:rPr>
          <w:rFonts w:ascii="Book Antiqua" w:hAnsi="Book Antiqua"/>
        </w:rPr>
      </w:pPr>
      <w:r w:rsidRPr="00E3232D">
        <w:rPr>
          <w:rFonts w:ascii="Book Antiqua" w:hAnsi="Book Antiqua"/>
        </w:rPr>
        <w:t>It is hereby recommended that there should be a continuous monitoring of all PVC based consumer product that enter the Ghanaian market. Further more government must promulgate laws that will restrict product containing lead and cadmium on the market. Also regulatory agencies must be empowered to enforce the laws that would be promulgated.</w:t>
      </w:r>
    </w:p>
    <w:p w14:paraId="72A37757" w14:textId="77777777" w:rsidR="009A4866" w:rsidRPr="00E3232D" w:rsidRDefault="009A4866" w:rsidP="00761010">
      <w:pPr>
        <w:spacing w:after="0"/>
        <w:jc w:val="both"/>
        <w:rPr>
          <w:rFonts w:ascii="Book Antiqua" w:hAnsi="Book Antiqua"/>
          <w:b/>
        </w:rPr>
      </w:pPr>
    </w:p>
    <w:p w14:paraId="0426280A" w14:textId="77777777" w:rsidR="009A4866" w:rsidRPr="00761010" w:rsidRDefault="009A4866" w:rsidP="00761010">
      <w:pPr>
        <w:spacing w:after="0"/>
        <w:jc w:val="both"/>
        <w:rPr>
          <w:rFonts w:ascii="Book Antiqua" w:hAnsi="Book Antiqua"/>
          <w:b/>
          <w:szCs w:val="26"/>
        </w:rPr>
      </w:pPr>
      <w:r w:rsidRPr="00761010">
        <w:rPr>
          <w:rFonts w:ascii="Book Antiqua" w:hAnsi="Book Antiqua"/>
          <w:b/>
          <w:szCs w:val="26"/>
        </w:rPr>
        <w:t>Acknowledgement</w:t>
      </w:r>
    </w:p>
    <w:p w14:paraId="46DABC9B" w14:textId="77777777" w:rsidR="009A4866" w:rsidRPr="00E3232D" w:rsidRDefault="009A4866" w:rsidP="00761010">
      <w:pPr>
        <w:spacing w:after="0"/>
        <w:jc w:val="both"/>
        <w:rPr>
          <w:rFonts w:ascii="Book Antiqua" w:hAnsi="Book Antiqua"/>
        </w:rPr>
      </w:pPr>
      <w:r w:rsidRPr="00E3232D">
        <w:rPr>
          <w:rFonts w:ascii="Book Antiqua" w:hAnsi="Book Antiqua"/>
        </w:rPr>
        <w:t>The authors wish to thank all lecturers of the SLT department particularly the immediate passed Head of the SLT department, Accra Polytechnic, Mr Edmund Ameko for his immeasurable support for this work. Special thanks go to Felix Kutsanedzi, Head of Research and innovation centre for his encouragement and admonishing. God richly bless you all.</w:t>
      </w:r>
    </w:p>
    <w:p w14:paraId="50827042" w14:textId="77777777" w:rsidR="00761010" w:rsidRDefault="00761010" w:rsidP="00761010">
      <w:pPr>
        <w:jc w:val="both"/>
        <w:rPr>
          <w:rFonts w:ascii="Book Antiqua" w:hAnsi="Book Antiqua"/>
          <w:b/>
          <w:sz w:val="26"/>
          <w:szCs w:val="26"/>
        </w:rPr>
      </w:pPr>
    </w:p>
    <w:p w14:paraId="371967AC" w14:textId="77777777" w:rsidR="009A4866" w:rsidRPr="004B509C" w:rsidRDefault="009A4866" w:rsidP="00761010">
      <w:pPr>
        <w:jc w:val="both"/>
        <w:rPr>
          <w:rFonts w:ascii="Book Antiqua" w:hAnsi="Book Antiqua"/>
          <w:b/>
          <w:sz w:val="26"/>
          <w:szCs w:val="26"/>
        </w:rPr>
      </w:pPr>
      <w:r w:rsidRPr="004B509C">
        <w:rPr>
          <w:rFonts w:ascii="Book Antiqua" w:hAnsi="Book Antiqua"/>
          <w:b/>
          <w:sz w:val="26"/>
          <w:szCs w:val="26"/>
        </w:rPr>
        <w:t>References</w:t>
      </w:r>
    </w:p>
    <w:p w14:paraId="64AB0733" w14:textId="77777777" w:rsidR="009A4866" w:rsidRPr="00E3232D" w:rsidRDefault="009A4866" w:rsidP="00761010">
      <w:pPr>
        <w:spacing w:after="0"/>
        <w:ind w:left="720" w:hanging="720"/>
        <w:jc w:val="both"/>
        <w:rPr>
          <w:rFonts w:ascii="Book Antiqua" w:hAnsi="Book Antiqua"/>
        </w:rPr>
      </w:pPr>
      <w:r w:rsidRPr="00E3232D">
        <w:rPr>
          <w:rFonts w:ascii="Book Antiqua" w:hAnsi="Book Antiqua"/>
        </w:rPr>
        <w:t>Abhay K., Prashant P., (2007), Lead and Cadmium in soft plastic toys.Current Science,pp818-821, vol.93,no.6, New Delhi.</w:t>
      </w:r>
    </w:p>
    <w:p w14:paraId="104027F1" w14:textId="77777777" w:rsidR="009A4866" w:rsidRPr="00E3232D" w:rsidRDefault="009A4866" w:rsidP="00761010">
      <w:pPr>
        <w:spacing w:after="0"/>
        <w:ind w:left="720" w:hanging="720"/>
        <w:jc w:val="both"/>
        <w:rPr>
          <w:rFonts w:ascii="Book Antiqua" w:hAnsi="Book Antiqua"/>
        </w:rPr>
      </w:pPr>
    </w:p>
    <w:p w14:paraId="0848F80F" w14:textId="77777777" w:rsidR="009A4866" w:rsidRPr="00E3232D" w:rsidRDefault="009A4866" w:rsidP="00761010">
      <w:pPr>
        <w:spacing w:after="0"/>
        <w:ind w:left="720" w:hanging="720"/>
        <w:jc w:val="both"/>
        <w:rPr>
          <w:rFonts w:ascii="Book Antiqua" w:hAnsi="Book Antiqua"/>
        </w:rPr>
      </w:pPr>
      <w:r w:rsidRPr="00E3232D">
        <w:rPr>
          <w:rFonts w:ascii="Book Antiqua" w:hAnsi="Book Antiqua"/>
        </w:rPr>
        <w:t xml:space="preserve">Al-Saleh I. ; Al-Enazi, S; Shinwari N.,(2009),  </w:t>
      </w:r>
      <w:r w:rsidRPr="00E3232D">
        <w:rPr>
          <w:rFonts w:ascii="Book Antiqua" w:hAnsi="Book Antiqua"/>
          <w:i/>
          <w:iCs/>
        </w:rPr>
        <w:t>Regulat Toxicol. Pharmacol</w:t>
      </w:r>
      <w:r w:rsidRPr="00E3232D">
        <w:rPr>
          <w:rFonts w:ascii="Book Antiqua" w:hAnsi="Book Antiqua"/>
        </w:rPr>
        <w:t>., , 54, 105-113.</w:t>
      </w:r>
    </w:p>
    <w:p w14:paraId="72611111" w14:textId="77777777" w:rsidR="009A4866" w:rsidRPr="00E3232D" w:rsidRDefault="009A4866" w:rsidP="00761010">
      <w:pPr>
        <w:autoSpaceDE w:val="0"/>
        <w:autoSpaceDN w:val="0"/>
        <w:adjustRightInd w:val="0"/>
        <w:ind w:left="720" w:hanging="720"/>
        <w:jc w:val="both"/>
        <w:rPr>
          <w:rFonts w:ascii="Book Antiqua" w:hAnsi="Book Antiqua"/>
        </w:rPr>
      </w:pPr>
    </w:p>
    <w:p w14:paraId="10D8AD2B" w14:textId="77777777" w:rsidR="009A4866" w:rsidRPr="00E3232D" w:rsidRDefault="009A4866" w:rsidP="00761010">
      <w:pPr>
        <w:autoSpaceDE w:val="0"/>
        <w:autoSpaceDN w:val="0"/>
        <w:adjustRightInd w:val="0"/>
        <w:ind w:left="720" w:hanging="720"/>
        <w:jc w:val="both"/>
        <w:rPr>
          <w:rFonts w:ascii="Book Antiqua" w:hAnsi="Book Antiqua"/>
        </w:rPr>
      </w:pPr>
      <w:r w:rsidRPr="00E3232D">
        <w:rPr>
          <w:rFonts w:ascii="Book Antiqua" w:hAnsi="Book Antiqua"/>
        </w:rPr>
        <w:t>Di Gangi, J.(1996)  Lead and cadmium in children’s vinyl products.A Greenpeace Study;http://composite.about.com/gi/dynamic/offsite.htm?site=http://www.greenpeaceusa.org (accessed in June2006).</w:t>
      </w:r>
    </w:p>
    <w:p w14:paraId="637804FD" w14:textId="77777777" w:rsidR="009A4866" w:rsidRPr="00E3232D" w:rsidRDefault="009A4866" w:rsidP="00761010">
      <w:pPr>
        <w:autoSpaceDE w:val="0"/>
        <w:autoSpaceDN w:val="0"/>
        <w:adjustRightInd w:val="0"/>
        <w:spacing w:after="0"/>
        <w:ind w:left="720" w:hanging="720"/>
        <w:jc w:val="both"/>
        <w:rPr>
          <w:rFonts w:ascii="Book Antiqua" w:hAnsi="Book Antiqua"/>
          <w:color w:val="000000"/>
        </w:rPr>
      </w:pPr>
      <w:r w:rsidRPr="00E3232D">
        <w:rPr>
          <w:rFonts w:ascii="Book Antiqua" w:hAnsi="Book Antiqua"/>
          <w:color w:val="000000"/>
        </w:rPr>
        <w:t xml:space="preserve">Kelley, M., Watson, P., Thorton, D. and Halpin, T. J., Lead intoxication associated with chewing plastic wire coating. </w:t>
      </w:r>
      <w:r w:rsidRPr="00E3232D">
        <w:rPr>
          <w:rFonts w:ascii="Book Antiqua" w:hAnsi="Book Antiqua"/>
          <w:i/>
          <w:iCs/>
          <w:color w:val="000000"/>
        </w:rPr>
        <w:t>Morbidity</w:t>
      </w:r>
      <w:r w:rsidRPr="00E3232D">
        <w:rPr>
          <w:rFonts w:ascii="Book Antiqua" w:hAnsi="Book Antiqua"/>
          <w:color w:val="000000"/>
        </w:rPr>
        <w:t xml:space="preserve"> </w:t>
      </w:r>
      <w:r w:rsidRPr="00E3232D">
        <w:rPr>
          <w:rFonts w:ascii="Book Antiqua" w:hAnsi="Book Antiqua"/>
          <w:i/>
          <w:iCs/>
          <w:color w:val="000000"/>
        </w:rPr>
        <w:t>Mortality Wkly Rep.</w:t>
      </w:r>
      <w:r w:rsidRPr="00E3232D">
        <w:rPr>
          <w:rFonts w:ascii="Book Antiqua" w:hAnsi="Book Antiqua"/>
          <w:color w:val="000000"/>
        </w:rPr>
        <w:t xml:space="preserve">, 1993, </w:t>
      </w:r>
      <w:r w:rsidRPr="00E3232D">
        <w:rPr>
          <w:rFonts w:ascii="Book Antiqua" w:hAnsi="Book Antiqua"/>
          <w:b/>
          <w:bCs/>
          <w:color w:val="000000"/>
        </w:rPr>
        <w:t>42</w:t>
      </w:r>
      <w:r w:rsidRPr="00E3232D">
        <w:rPr>
          <w:rFonts w:ascii="Book Antiqua" w:hAnsi="Book Antiqua"/>
          <w:color w:val="000000"/>
        </w:rPr>
        <w:t>, 465–467.</w:t>
      </w:r>
    </w:p>
    <w:p w14:paraId="0E644ADC" w14:textId="77777777" w:rsidR="009A4866" w:rsidRPr="00E3232D" w:rsidRDefault="009A4866" w:rsidP="00761010">
      <w:pPr>
        <w:autoSpaceDE w:val="0"/>
        <w:autoSpaceDN w:val="0"/>
        <w:adjustRightInd w:val="0"/>
        <w:spacing w:after="0"/>
        <w:ind w:left="720" w:hanging="720"/>
        <w:jc w:val="both"/>
        <w:rPr>
          <w:rFonts w:ascii="Book Antiqua" w:hAnsi="Book Antiqua"/>
        </w:rPr>
      </w:pPr>
    </w:p>
    <w:p w14:paraId="38989172" w14:textId="77777777" w:rsidR="009A4866" w:rsidRPr="00E3232D" w:rsidRDefault="009A4866" w:rsidP="00761010">
      <w:pPr>
        <w:autoSpaceDE w:val="0"/>
        <w:autoSpaceDN w:val="0"/>
        <w:adjustRightInd w:val="0"/>
        <w:spacing w:after="0"/>
        <w:ind w:left="720" w:hanging="720"/>
        <w:jc w:val="both"/>
        <w:rPr>
          <w:rFonts w:ascii="Book Antiqua" w:hAnsi="Book Antiqua"/>
        </w:rPr>
      </w:pPr>
      <w:r w:rsidRPr="00E3232D">
        <w:rPr>
          <w:rFonts w:ascii="Book Antiqua" w:hAnsi="Book Antiqua"/>
        </w:rPr>
        <w:t>National Referral Centre for Lead Poisoning in India, http://www.tgfworld.org/lead.html (accessed in June 2006).</w:t>
      </w:r>
    </w:p>
    <w:p w14:paraId="50108CBE" w14:textId="77777777" w:rsidR="009A4866" w:rsidRPr="00E3232D" w:rsidRDefault="009A4866" w:rsidP="00761010">
      <w:pPr>
        <w:autoSpaceDE w:val="0"/>
        <w:autoSpaceDN w:val="0"/>
        <w:adjustRightInd w:val="0"/>
        <w:ind w:left="720" w:hanging="720"/>
        <w:jc w:val="both"/>
        <w:rPr>
          <w:rStyle w:val="citationweb"/>
          <w:rFonts w:ascii="Book Antiqua" w:hAnsi="Book Antiqua"/>
        </w:rPr>
      </w:pPr>
    </w:p>
    <w:p w14:paraId="25F4360F" w14:textId="77777777" w:rsidR="009A4866" w:rsidRPr="00E3232D" w:rsidRDefault="009A4866" w:rsidP="00761010">
      <w:pPr>
        <w:autoSpaceDE w:val="0"/>
        <w:autoSpaceDN w:val="0"/>
        <w:adjustRightInd w:val="0"/>
        <w:ind w:left="720" w:hanging="720"/>
        <w:jc w:val="both"/>
        <w:rPr>
          <w:rFonts w:ascii="Book Antiqua" w:hAnsi="Book Antiqua"/>
        </w:rPr>
      </w:pPr>
      <w:r w:rsidRPr="00E3232D">
        <w:rPr>
          <w:rStyle w:val="citationweb"/>
          <w:rFonts w:ascii="Book Antiqua" w:hAnsi="Book Antiqua"/>
        </w:rPr>
        <w:t>Oliver, V., (1996). "History of the Yo-Yo". Spintastics Skill Toys, Inc.Retrieved from</w:t>
      </w:r>
      <w:r w:rsidRPr="00E3232D">
        <w:rPr>
          <w:rStyle w:val="printonly"/>
          <w:rFonts w:ascii="Book Antiqua" w:hAnsi="Book Antiqua"/>
        </w:rPr>
        <w:t xml:space="preserve"> http://www.spintastics.com/HistoryOfYoYo.asp</w:t>
      </w:r>
      <w:r w:rsidRPr="00E3232D">
        <w:rPr>
          <w:rStyle w:val="reference-accessdate"/>
          <w:rFonts w:ascii="Book Antiqua" w:hAnsi="Book Antiqua"/>
        </w:rPr>
        <w:t>. 2006-10-30</w:t>
      </w:r>
      <w:r w:rsidRPr="00E3232D">
        <w:rPr>
          <w:rStyle w:val="citationweb"/>
          <w:rFonts w:ascii="Book Antiqua" w:hAnsi="Book Antiqua"/>
        </w:rPr>
        <w:t>.</w:t>
      </w:r>
    </w:p>
    <w:p w14:paraId="24CA998B" w14:textId="77777777" w:rsidR="009A4866" w:rsidRPr="00E3232D" w:rsidRDefault="009A4866" w:rsidP="00761010">
      <w:pPr>
        <w:spacing w:after="0"/>
        <w:ind w:left="720" w:hanging="720"/>
        <w:jc w:val="both"/>
        <w:rPr>
          <w:rStyle w:val="printonly"/>
          <w:rFonts w:ascii="Book Antiqua" w:hAnsi="Book Antiqua"/>
        </w:rPr>
      </w:pPr>
      <w:r w:rsidRPr="00E3232D">
        <w:rPr>
          <w:rStyle w:val="z3988"/>
          <w:rFonts w:ascii="Book Antiqua" w:hAnsi="Book Antiqua"/>
          <w:vanish/>
        </w:rPr>
        <w:t> </w:t>
      </w:r>
      <w:r w:rsidRPr="00E3232D">
        <w:rPr>
          <w:rStyle w:val="citationbook"/>
          <w:rFonts w:ascii="Book Antiqua" w:hAnsi="Book Antiqua"/>
        </w:rPr>
        <w:t xml:space="preserve">Powell, B. B., (2001). </w:t>
      </w:r>
      <w:r w:rsidRPr="00E3232D">
        <w:rPr>
          <w:rStyle w:val="citationbook"/>
          <w:rFonts w:ascii="Book Antiqua" w:hAnsi="Book Antiqua"/>
          <w:iCs/>
        </w:rPr>
        <w:t>Classical Myth; Third Edition</w:t>
      </w:r>
      <w:r w:rsidRPr="00E3232D">
        <w:rPr>
          <w:rStyle w:val="citationbook"/>
          <w:rFonts w:ascii="Book Antiqua" w:hAnsi="Book Antiqua"/>
        </w:rPr>
        <w:t xml:space="preserve">. Upper Saddle River, NJ: Prentice Hall. pp. 33–34. </w:t>
      </w:r>
    </w:p>
    <w:p w14:paraId="0B7136E7" w14:textId="77777777" w:rsidR="009A4866" w:rsidRPr="00E3232D" w:rsidRDefault="009A4866" w:rsidP="00761010">
      <w:pPr>
        <w:widowControl w:val="0"/>
        <w:autoSpaceDE w:val="0"/>
        <w:autoSpaceDN w:val="0"/>
        <w:adjustRightInd w:val="0"/>
        <w:spacing w:after="0"/>
        <w:ind w:left="720" w:hanging="720"/>
        <w:jc w:val="both"/>
        <w:rPr>
          <w:rFonts w:ascii="Book Antiqua" w:hAnsi="Book Antiqua"/>
        </w:rPr>
      </w:pPr>
    </w:p>
    <w:p w14:paraId="1153E163" w14:textId="77777777" w:rsidR="009A4866" w:rsidRPr="00E3232D" w:rsidRDefault="009A4866" w:rsidP="00761010">
      <w:pPr>
        <w:autoSpaceDE w:val="0"/>
        <w:autoSpaceDN w:val="0"/>
        <w:adjustRightInd w:val="0"/>
        <w:spacing w:after="0"/>
        <w:ind w:left="720" w:hanging="720"/>
        <w:jc w:val="both"/>
        <w:rPr>
          <w:rFonts w:ascii="Book Antiqua" w:hAnsi="Book Antiqua"/>
        </w:rPr>
      </w:pPr>
      <w:r w:rsidRPr="00E3232D">
        <w:rPr>
          <w:rFonts w:ascii="Book Antiqua" w:hAnsi="Book Antiqua"/>
        </w:rPr>
        <w:t xml:space="preserve">Tuczai, E. and Cortolano, F.,(1992),  Reformulating PVC to eliminate heavy metals and protect performance. </w:t>
      </w:r>
      <w:r w:rsidRPr="00E3232D">
        <w:rPr>
          <w:rFonts w:ascii="Book Antiqua" w:hAnsi="Book Antiqua"/>
          <w:i/>
          <w:iCs/>
        </w:rPr>
        <w:t>Mod. Plast</w:t>
      </w:r>
      <w:r w:rsidRPr="00E3232D">
        <w:rPr>
          <w:rFonts w:ascii="Book Antiqua" w:hAnsi="Book Antiqua"/>
        </w:rPr>
        <w:t>., 123–124.</w:t>
      </w:r>
    </w:p>
    <w:p w14:paraId="59FA3F8C" w14:textId="77777777" w:rsidR="009A4866" w:rsidRPr="00E3232D" w:rsidRDefault="009A4866" w:rsidP="00761010">
      <w:pPr>
        <w:autoSpaceDE w:val="0"/>
        <w:autoSpaceDN w:val="0"/>
        <w:adjustRightInd w:val="0"/>
        <w:ind w:left="720" w:hanging="720"/>
        <w:jc w:val="both"/>
        <w:rPr>
          <w:rFonts w:ascii="Book Antiqua" w:hAnsi="Book Antiqua"/>
        </w:rPr>
      </w:pPr>
    </w:p>
    <w:p w14:paraId="7064BA9E" w14:textId="77777777" w:rsidR="009A4866" w:rsidRPr="00E3232D" w:rsidRDefault="009A4866" w:rsidP="00761010">
      <w:pPr>
        <w:autoSpaceDE w:val="0"/>
        <w:autoSpaceDN w:val="0"/>
        <w:adjustRightInd w:val="0"/>
        <w:spacing w:after="0"/>
        <w:ind w:left="720" w:hanging="720"/>
        <w:jc w:val="both"/>
        <w:rPr>
          <w:rFonts w:ascii="Book Antiqua" w:hAnsi="Book Antiqua"/>
        </w:rPr>
      </w:pPr>
      <w:r w:rsidRPr="00E3232D">
        <w:rPr>
          <w:rFonts w:ascii="Book Antiqua" w:hAnsi="Book Antiqua"/>
        </w:rPr>
        <w:t>UNIDO Project Brief of Trust Fund Agreement between The United Nations Industrial Development Organisation and Ministry of Small Scale Industries and Agro and Rural Industries, Government of India, July 2000.</w:t>
      </w:r>
    </w:p>
    <w:p w14:paraId="63583AA7" w14:textId="77777777" w:rsidR="009A4866" w:rsidRPr="00E3232D" w:rsidRDefault="009A4866" w:rsidP="00761010">
      <w:pPr>
        <w:autoSpaceDE w:val="0"/>
        <w:autoSpaceDN w:val="0"/>
        <w:adjustRightInd w:val="0"/>
        <w:spacing w:after="0"/>
        <w:ind w:left="720" w:hanging="720"/>
        <w:jc w:val="both"/>
        <w:rPr>
          <w:rFonts w:ascii="Book Antiqua" w:hAnsi="Book Antiqua"/>
        </w:rPr>
      </w:pPr>
    </w:p>
    <w:p w14:paraId="4ACF113A" w14:textId="77777777" w:rsidR="009A4866" w:rsidRPr="00E3232D" w:rsidRDefault="009A4866" w:rsidP="00761010">
      <w:pPr>
        <w:autoSpaceDE w:val="0"/>
        <w:autoSpaceDN w:val="0"/>
        <w:adjustRightInd w:val="0"/>
        <w:spacing w:after="0"/>
        <w:ind w:left="720" w:hanging="720"/>
        <w:jc w:val="both"/>
        <w:rPr>
          <w:rFonts w:ascii="Book Antiqua" w:hAnsi="Book Antiqua"/>
        </w:rPr>
      </w:pPr>
      <w:r w:rsidRPr="00E3232D">
        <w:rPr>
          <w:rFonts w:ascii="Book Antiqua" w:hAnsi="Book Antiqua"/>
        </w:rPr>
        <w:t>Urgent Intelligence Bulletin 42, (1984), Cadmium (Cd). http://www.cdc.gov/niosh/84116_42.html; 27 September 1984 (accessed in June 2006).</w:t>
      </w:r>
    </w:p>
    <w:p w14:paraId="04D4C1E1" w14:textId="77777777" w:rsidR="009A4866" w:rsidRPr="00E3232D" w:rsidRDefault="009A4866" w:rsidP="00761010">
      <w:pPr>
        <w:spacing w:before="100" w:beforeAutospacing="1" w:after="100" w:afterAutospacing="1"/>
        <w:ind w:left="720" w:hanging="720"/>
        <w:jc w:val="both"/>
        <w:rPr>
          <w:rFonts w:ascii="Book Antiqua" w:hAnsi="Book Antiqua"/>
        </w:rPr>
      </w:pPr>
      <w:r w:rsidRPr="00E3232D">
        <w:rPr>
          <w:rStyle w:val="z3988"/>
          <w:rFonts w:ascii="Book Antiqua" w:hAnsi="Book Antiqua"/>
          <w:vanish/>
        </w:rPr>
        <w:t> </w:t>
      </w:r>
      <w:r w:rsidRPr="00E3232D">
        <w:rPr>
          <w:rFonts w:ascii="Book Antiqua" w:hAnsi="Book Antiqua"/>
        </w:rPr>
        <w:t>U.S. Consumer Product Safety Commission. Report on lead in vinyl miniblinds. September 19, 1996.</w:t>
      </w:r>
    </w:p>
    <w:p w14:paraId="711E861D" w14:textId="77777777" w:rsidR="009A4866" w:rsidRPr="00E3232D" w:rsidRDefault="009A4866" w:rsidP="00761010">
      <w:pPr>
        <w:widowControl w:val="0"/>
        <w:autoSpaceDE w:val="0"/>
        <w:autoSpaceDN w:val="0"/>
        <w:adjustRightInd w:val="0"/>
        <w:ind w:left="720" w:hanging="720"/>
        <w:jc w:val="both"/>
        <w:rPr>
          <w:rFonts w:ascii="Book Antiqua" w:hAnsi="Book Antiqua"/>
        </w:rPr>
      </w:pPr>
    </w:p>
    <w:p w14:paraId="3B0BFB46" w14:textId="77777777" w:rsidR="009A4866" w:rsidRPr="00E3232D" w:rsidRDefault="009A4866" w:rsidP="00761010">
      <w:pPr>
        <w:ind w:left="720" w:hanging="720"/>
        <w:jc w:val="both"/>
        <w:rPr>
          <w:rFonts w:ascii="Book Antiqua" w:hAnsi="Book Antiqua"/>
        </w:rPr>
        <w:sectPr w:rsidR="009A4866" w:rsidRPr="00E3232D" w:rsidSect="008F6BC9">
          <w:type w:val="continuous"/>
          <w:pgSz w:w="11907" w:h="16839" w:code="9"/>
          <w:pgMar w:top="1440" w:right="1440" w:bottom="1440" w:left="1440" w:header="720" w:footer="720" w:gutter="0"/>
          <w:cols w:num="2" w:space="720"/>
          <w:docGrid w:linePitch="360"/>
        </w:sectPr>
      </w:pPr>
    </w:p>
    <w:p w14:paraId="55B38645" w14:textId="77777777" w:rsidR="00761010" w:rsidRPr="00E3232D" w:rsidRDefault="009A4866" w:rsidP="00761010">
      <w:pPr>
        <w:ind w:left="720" w:hanging="720"/>
        <w:jc w:val="both"/>
        <w:rPr>
          <w:rStyle w:val="st"/>
          <w:rFonts w:ascii="Book Antiqua" w:hAnsi="Book Antiqua"/>
        </w:rPr>
      </w:pPr>
      <w:r w:rsidRPr="00E3232D">
        <w:rPr>
          <w:rStyle w:val="st"/>
          <w:rFonts w:ascii="Book Antiqua" w:hAnsi="Book Antiqua"/>
        </w:rPr>
        <w:t>Zhonghua Y. F., Yi Xue Z. Z.,. (1991)</w:t>
      </w:r>
      <w:r w:rsidRPr="00E3232D">
        <w:rPr>
          <w:rStyle w:val="Emphasis"/>
          <w:rFonts w:ascii="Book Antiqua" w:hAnsi="Book Antiqua"/>
        </w:rPr>
        <w:t xml:space="preserve"> Determination of lead and cadmium concentration in children's toys, </w:t>
      </w:r>
      <w:r w:rsidRPr="00E3232D">
        <w:rPr>
          <w:rStyle w:val="st"/>
          <w:rFonts w:ascii="Book Antiqua" w:hAnsi="Book Antiqua"/>
        </w:rPr>
        <w:t>Chinese Journal of Preventive Medicine</w:t>
      </w:r>
      <w:r w:rsidR="00761010" w:rsidRPr="00E3232D">
        <w:rPr>
          <w:rStyle w:val="st"/>
          <w:rFonts w:ascii="Book Antiqua" w:hAnsi="Book Antiqua"/>
        </w:rPr>
        <w:t xml:space="preserve"> Jul;25(4):214-6.</w:t>
      </w:r>
    </w:p>
    <w:p w14:paraId="6332D6BD" w14:textId="77777777" w:rsidR="0031591D" w:rsidRDefault="0031591D" w:rsidP="00761010">
      <w:pPr>
        <w:ind w:left="720" w:hanging="720"/>
        <w:jc w:val="both"/>
        <w:rPr>
          <w:rStyle w:val="st"/>
          <w:rFonts w:ascii="Book Antiqua" w:hAnsi="Book Antiqua"/>
        </w:rPr>
      </w:pPr>
    </w:p>
    <w:p w14:paraId="3064EA0D" w14:textId="77777777" w:rsidR="009A4866" w:rsidRPr="00E3232D" w:rsidRDefault="009A4866" w:rsidP="00761010">
      <w:pPr>
        <w:ind w:left="720" w:hanging="720"/>
        <w:jc w:val="both"/>
        <w:rPr>
          <w:rFonts w:ascii="Book Antiqua" w:hAnsi="Book Antiqua"/>
        </w:rPr>
      </w:pPr>
    </w:p>
    <w:p w14:paraId="2A73C2F3" w14:textId="77777777" w:rsidR="009A4866" w:rsidRDefault="009A4866" w:rsidP="00761010">
      <w:pPr>
        <w:jc w:val="both"/>
        <w:rPr>
          <w:rFonts w:ascii="Book Antiqua" w:hAnsi="Book Antiqua"/>
        </w:rPr>
      </w:pPr>
    </w:p>
    <w:p w14:paraId="360AB008" w14:textId="77777777" w:rsidR="00473810" w:rsidRPr="00E3232D" w:rsidRDefault="00473810" w:rsidP="00761010">
      <w:pPr>
        <w:jc w:val="both"/>
        <w:rPr>
          <w:rFonts w:ascii="Book Antiqua" w:hAnsi="Book Antiqua"/>
          <w:b/>
        </w:rPr>
        <w:sectPr w:rsidR="00473810" w:rsidRPr="00E3232D" w:rsidSect="008F6BC9">
          <w:type w:val="continuous"/>
          <w:pgSz w:w="11907" w:h="16839" w:code="9"/>
          <w:pgMar w:top="1440" w:right="1440" w:bottom="1440" w:left="1440" w:header="720" w:footer="720" w:gutter="0"/>
          <w:cols w:num="2" w:space="720"/>
          <w:docGrid w:linePitch="360"/>
        </w:sectPr>
      </w:pPr>
    </w:p>
    <w:p w14:paraId="530FEEE2" w14:textId="77777777" w:rsidR="0031591D" w:rsidRDefault="0031591D" w:rsidP="00761010">
      <w:pPr>
        <w:jc w:val="both"/>
        <w:rPr>
          <w:rFonts w:ascii="Book Antiqua" w:hAnsi="Book Antiqua"/>
          <w:b/>
        </w:rPr>
      </w:pPr>
    </w:p>
    <w:p w14:paraId="254C34FC" w14:textId="77777777" w:rsidR="00761010" w:rsidRDefault="00761010" w:rsidP="00761010">
      <w:pPr>
        <w:jc w:val="both"/>
        <w:rPr>
          <w:rFonts w:ascii="Book Antiqua" w:hAnsi="Book Antiqua"/>
          <w:b/>
        </w:rPr>
      </w:pPr>
    </w:p>
    <w:p w14:paraId="77997C10" w14:textId="77777777" w:rsidR="004B509C" w:rsidRDefault="004B509C" w:rsidP="00761010">
      <w:pPr>
        <w:jc w:val="both"/>
        <w:rPr>
          <w:rFonts w:ascii="Book Antiqua" w:hAnsi="Book Antiqua"/>
          <w:b/>
        </w:rPr>
      </w:pPr>
    </w:p>
    <w:p w14:paraId="56396DD1" w14:textId="77777777" w:rsidR="004B509C" w:rsidRDefault="004B509C" w:rsidP="00394697">
      <w:pPr>
        <w:rPr>
          <w:rFonts w:ascii="Book Antiqua" w:hAnsi="Book Antiqua"/>
          <w:b/>
        </w:rPr>
      </w:pPr>
    </w:p>
    <w:p w14:paraId="7436DC70" w14:textId="77777777" w:rsidR="009A4866" w:rsidRPr="00E3232D" w:rsidRDefault="00F3609E" w:rsidP="00394697">
      <w:pPr>
        <w:rPr>
          <w:rFonts w:ascii="Book Antiqua" w:hAnsi="Book Antiqua"/>
          <w:b/>
        </w:rPr>
      </w:pPr>
      <w:r>
        <w:rPr>
          <w:rFonts w:ascii="Book Antiqua" w:hAnsi="Book Antiqua"/>
          <w:b/>
        </w:rPr>
        <w:t>Table</w:t>
      </w:r>
      <w:r w:rsidR="009A4866" w:rsidRPr="00E3232D">
        <w:rPr>
          <w:rFonts w:ascii="Book Antiqua" w:hAnsi="Book Antiqua"/>
          <w:b/>
        </w:rPr>
        <w:t>1. Mean concentration</w:t>
      </w:r>
      <w:r>
        <w:rPr>
          <w:rFonts w:ascii="Book Antiqua" w:hAnsi="Book Antiqua"/>
          <w:b/>
        </w:rPr>
        <w:t xml:space="preserve"> </w:t>
      </w:r>
      <w:r w:rsidR="009A4866" w:rsidRPr="00E3232D">
        <w:rPr>
          <w:rFonts w:ascii="Book Antiqua" w:hAnsi="Book Antiqua"/>
          <w:b/>
        </w:rPr>
        <w:t>(mg/kg) of cadmium (Cd) and lead</w:t>
      </w:r>
      <w:r>
        <w:rPr>
          <w:rFonts w:ascii="Book Antiqua" w:hAnsi="Book Antiqua"/>
          <w:b/>
        </w:rPr>
        <w:t xml:space="preserve"> </w:t>
      </w:r>
      <w:r w:rsidR="009A4866" w:rsidRPr="00E3232D">
        <w:rPr>
          <w:rFonts w:ascii="Book Antiqua" w:hAnsi="Book Antiqua"/>
          <w:b/>
        </w:rPr>
        <w:t xml:space="preserve">(Pb) in toys sampled from </w:t>
      </w:r>
    </w:p>
    <w:p w14:paraId="77B3BC01" w14:textId="77777777" w:rsidR="009A4866" w:rsidRPr="00E3232D" w:rsidRDefault="009A4866" w:rsidP="00394697">
      <w:pPr>
        <w:rPr>
          <w:rFonts w:ascii="Book Antiqua" w:hAnsi="Book Antiqua"/>
          <w:b/>
        </w:rPr>
      </w:pPr>
      <w:r w:rsidRPr="00E3232D">
        <w:rPr>
          <w:rFonts w:ascii="Book Antiqua" w:hAnsi="Book Antiqua"/>
          <w:b/>
        </w:rPr>
        <w:tab/>
        <w:t xml:space="preserve">   Makola, Accra.</w:t>
      </w:r>
    </w:p>
    <w:p w14:paraId="4540745D" w14:textId="77777777" w:rsidR="0031591D" w:rsidRDefault="0031591D" w:rsidP="00394697">
      <w:pPr>
        <w:rPr>
          <w:rFonts w:ascii="Book Antiqua" w:hAnsi="Book Antiqua"/>
          <w:b/>
          <w:color w:val="000000"/>
        </w:rPr>
        <w:sectPr w:rsidR="0031591D" w:rsidSect="008F6BC9">
          <w:type w:val="continuous"/>
          <w:pgSz w:w="11907" w:h="16839" w:code="9"/>
          <w:pgMar w:top="1440" w:right="1440" w:bottom="1440" w:left="1440" w:header="720" w:footer="720" w:gutter="0"/>
          <w:cols w:space="720"/>
          <w:docGrid w:linePitch="360"/>
        </w:sectPr>
      </w:pPr>
    </w:p>
    <w:tbl>
      <w:tblPr>
        <w:tblW w:w="5624" w:type="dxa"/>
        <w:jc w:val="center"/>
        <w:tblLook w:val="04A0" w:firstRow="1" w:lastRow="0" w:firstColumn="1" w:lastColumn="0" w:noHBand="0" w:noVBand="1"/>
      </w:tblPr>
      <w:tblGrid>
        <w:gridCol w:w="1716"/>
        <w:gridCol w:w="1016"/>
        <w:gridCol w:w="1376"/>
        <w:gridCol w:w="1516"/>
      </w:tblGrid>
      <w:tr w:rsidR="009A4866" w:rsidRPr="00D12E59" w14:paraId="4DF07E3D" w14:textId="77777777" w:rsidTr="009A4866">
        <w:trPr>
          <w:trHeight w:val="315"/>
          <w:jc w:val="center"/>
        </w:trPr>
        <w:tc>
          <w:tcPr>
            <w:tcW w:w="1716" w:type="dxa"/>
            <w:tcBorders>
              <w:top w:val="single" w:sz="4" w:space="0" w:color="auto"/>
              <w:left w:val="nil"/>
              <w:bottom w:val="single" w:sz="4" w:space="0" w:color="auto"/>
              <w:right w:val="nil"/>
            </w:tcBorders>
            <w:shd w:val="clear" w:color="auto" w:fill="auto"/>
            <w:noWrap/>
            <w:vAlign w:val="center"/>
            <w:hideMark/>
          </w:tcPr>
          <w:p w14:paraId="54BCF351" w14:textId="77777777" w:rsidR="009A4866" w:rsidRPr="00D12E59" w:rsidRDefault="009A4866" w:rsidP="00394697">
            <w:pPr>
              <w:rPr>
                <w:rFonts w:ascii="Book Antiqua" w:hAnsi="Book Antiqua"/>
                <w:b/>
                <w:color w:val="000000"/>
              </w:rPr>
            </w:pPr>
            <w:r w:rsidRPr="00D12E59">
              <w:rPr>
                <w:rFonts w:ascii="Book Antiqua" w:hAnsi="Book Antiqua"/>
                <w:b/>
                <w:color w:val="000000"/>
              </w:rPr>
              <w:t>Sample</w:t>
            </w:r>
          </w:p>
        </w:tc>
        <w:tc>
          <w:tcPr>
            <w:tcW w:w="1016" w:type="dxa"/>
            <w:tcBorders>
              <w:top w:val="single" w:sz="4" w:space="0" w:color="auto"/>
              <w:left w:val="nil"/>
              <w:bottom w:val="single" w:sz="4" w:space="0" w:color="auto"/>
              <w:right w:val="nil"/>
            </w:tcBorders>
            <w:shd w:val="clear" w:color="auto" w:fill="auto"/>
            <w:noWrap/>
            <w:vAlign w:val="center"/>
            <w:hideMark/>
          </w:tcPr>
          <w:p w14:paraId="6FCF5AF7" w14:textId="77777777" w:rsidR="009A4866" w:rsidRPr="00D12E59" w:rsidRDefault="009A4866" w:rsidP="00394697">
            <w:pPr>
              <w:rPr>
                <w:rFonts w:ascii="Book Antiqua" w:hAnsi="Book Antiqua"/>
                <w:b/>
                <w:color w:val="000000"/>
              </w:rPr>
            </w:pPr>
            <w:r w:rsidRPr="00D12E59">
              <w:rPr>
                <w:rFonts w:ascii="Book Antiqua" w:hAnsi="Book Antiqua"/>
                <w:b/>
                <w:color w:val="000000"/>
              </w:rPr>
              <w:t>code</w:t>
            </w:r>
          </w:p>
        </w:tc>
        <w:tc>
          <w:tcPr>
            <w:tcW w:w="1376" w:type="dxa"/>
            <w:tcBorders>
              <w:top w:val="single" w:sz="4" w:space="0" w:color="auto"/>
              <w:left w:val="nil"/>
              <w:bottom w:val="single" w:sz="4" w:space="0" w:color="auto"/>
              <w:right w:val="nil"/>
            </w:tcBorders>
            <w:shd w:val="clear" w:color="auto" w:fill="auto"/>
            <w:noWrap/>
            <w:vAlign w:val="center"/>
            <w:hideMark/>
          </w:tcPr>
          <w:p w14:paraId="00E1AF32" w14:textId="77777777" w:rsidR="009A4866" w:rsidRPr="00D12E59" w:rsidRDefault="009A4866" w:rsidP="00394697">
            <w:pPr>
              <w:rPr>
                <w:rFonts w:ascii="Book Antiqua" w:hAnsi="Book Antiqua"/>
                <w:b/>
                <w:color w:val="000000"/>
              </w:rPr>
            </w:pPr>
            <w:r w:rsidRPr="00D12E59">
              <w:rPr>
                <w:rFonts w:ascii="Book Antiqua" w:hAnsi="Book Antiqua"/>
                <w:b/>
                <w:color w:val="000000"/>
              </w:rPr>
              <w:t>Cadmium</w:t>
            </w:r>
          </w:p>
        </w:tc>
        <w:tc>
          <w:tcPr>
            <w:tcW w:w="1516" w:type="dxa"/>
            <w:tcBorders>
              <w:top w:val="single" w:sz="4" w:space="0" w:color="auto"/>
              <w:left w:val="nil"/>
              <w:bottom w:val="single" w:sz="4" w:space="0" w:color="auto"/>
              <w:right w:val="nil"/>
            </w:tcBorders>
            <w:shd w:val="clear" w:color="auto" w:fill="auto"/>
            <w:noWrap/>
            <w:vAlign w:val="center"/>
            <w:hideMark/>
          </w:tcPr>
          <w:p w14:paraId="6D0AAF35" w14:textId="77777777" w:rsidR="009A4866" w:rsidRPr="00D12E59" w:rsidRDefault="009A4866" w:rsidP="00394697">
            <w:pPr>
              <w:rPr>
                <w:rFonts w:ascii="Book Antiqua" w:hAnsi="Book Antiqua"/>
                <w:b/>
                <w:color w:val="000000"/>
              </w:rPr>
            </w:pPr>
            <w:r w:rsidRPr="00D12E59">
              <w:rPr>
                <w:rFonts w:ascii="Book Antiqua" w:hAnsi="Book Antiqua"/>
                <w:b/>
                <w:color w:val="000000"/>
              </w:rPr>
              <w:t>Lead</w:t>
            </w:r>
          </w:p>
        </w:tc>
      </w:tr>
      <w:tr w:rsidR="009A4866" w:rsidRPr="00D12E59" w14:paraId="666F3EC8"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1E27C473" w14:textId="77777777" w:rsidR="009A4866" w:rsidRPr="00D12E59" w:rsidRDefault="009A4866" w:rsidP="00394697">
            <w:pPr>
              <w:rPr>
                <w:rFonts w:ascii="Book Antiqua" w:hAnsi="Book Antiqua"/>
                <w:color w:val="000000"/>
              </w:rPr>
            </w:pPr>
            <w:r w:rsidRPr="00D12E59">
              <w:rPr>
                <w:rFonts w:ascii="Book Antiqua" w:hAnsi="Book Antiqua"/>
                <w:color w:val="000000"/>
              </w:rPr>
              <w:t>Pistol</w:t>
            </w:r>
          </w:p>
        </w:tc>
        <w:tc>
          <w:tcPr>
            <w:tcW w:w="1016" w:type="dxa"/>
            <w:tcBorders>
              <w:top w:val="nil"/>
              <w:left w:val="nil"/>
              <w:bottom w:val="nil"/>
              <w:right w:val="nil"/>
            </w:tcBorders>
            <w:shd w:val="clear" w:color="auto" w:fill="auto"/>
            <w:noWrap/>
            <w:vAlign w:val="center"/>
            <w:hideMark/>
          </w:tcPr>
          <w:p w14:paraId="76A844E5" w14:textId="77777777" w:rsidR="009A4866" w:rsidRPr="00D12E59" w:rsidRDefault="009A4866" w:rsidP="00394697">
            <w:pPr>
              <w:rPr>
                <w:rFonts w:ascii="Book Antiqua" w:hAnsi="Book Antiqua"/>
                <w:color w:val="000000"/>
              </w:rPr>
            </w:pPr>
            <w:r w:rsidRPr="00D12E59">
              <w:rPr>
                <w:rFonts w:ascii="Book Antiqua" w:hAnsi="Book Antiqua"/>
                <w:color w:val="000000"/>
              </w:rPr>
              <w:t>M1</w:t>
            </w:r>
          </w:p>
        </w:tc>
        <w:tc>
          <w:tcPr>
            <w:tcW w:w="1376" w:type="dxa"/>
            <w:tcBorders>
              <w:top w:val="nil"/>
              <w:left w:val="nil"/>
              <w:bottom w:val="nil"/>
              <w:right w:val="nil"/>
            </w:tcBorders>
            <w:shd w:val="clear" w:color="auto" w:fill="auto"/>
            <w:noWrap/>
            <w:vAlign w:val="center"/>
            <w:hideMark/>
          </w:tcPr>
          <w:p w14:paraId="3067EC38" w14:textId="77777777" w:rsidR="009A4866" w:rsidRPr="00D12E59" w:rsidRDefault="009A4866" w:rsidP="00394697">
            <w:pPr>
              <w:rPr>
                <w:rFonts w:ascii="Book Antiqua" w:hAnsi="Book Antiqua"/>
                <w:color w:val="000000"/>
              </w:rPr>
            </w:pPr>
            <w:r w:rsidRPr="00D12E59">
              <w:rPr>
                <w:rFonts w:ascii="Book Antiqua" w:hAnsi="Book Antiqua"/>
                <w:color w:val="000000"/>
              </w:rPr>
              <w:t>0.3215</w:t>
            </w:r>
          </w:p>
        </w:tc>
        <w:tc>
          <w:tcPr>
            <w:tcW w:w="1516" w:type="dxa"/>
            <w:tcBorders>
              <w:top w:val="nil"/>
              <w:left w:val="nil"/>
              <w:bottom w:val="nil"/>
              <w:right w:val="nil"/>
            </w:tcBorders>
            <w:shd w:val="clear" w:color="auto" w:fill="auto"/>
            <w:noWrap/>
            <w:vAlign w:val="center"/>
            <w:hideMark/>
          </w:tcPr>
          <w:p w14:paraId="1DDDF0E5" w14:textId="77777777" w:rsidR="009A4866" w:rsidRPr="00D12E59" w:rsidRDefault="009A4866" w:rsidP="00394697">
            <w:pPr>
              <w:rPr>
                <w:rFonts w:ascii="Book Antiqua" w:hAnsi="Book Antiqua"/>
                <w:color w:val="000000"/>
              </w:rPr>
            </w:pPr>
            <w:r w:rsidRPr="00D12E59">
              <w:rPr>
                <w:rFonts w:ascii="Book Antiqua" w:hAnsi="Book Antiqua"/>
                <w:color w:val="000000"/>
              </w:rPr>
              <w:t>11.6313</w:t>
            </w:r>
          </w:p>
        </w:tc>
      </w:tr>
      <w:tr w:rsidR="009A4866" w:rsidRPr="00D12E59" w14:paraId="422493AF"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54C86455" w14:textId="77777777" w:rsidR="009A4866" w:rsidRPr="00D12E59" w:rsidRDefault="009A4866" w:rsidP="00394697">
            <w:pPr>
              <w:rPr>
                <w:rFonts w:ascii="Book Antiqua" w:hAnsi="Book Antiqua"/>
                <w:color w:val="000000"/>
              </w:rPr>
            </w:pPr>
            <w:r w:rsidRPr="00D12E59">
              <w:rPr>
                <w:rFonts w:ascii="Book Antiqua" w:hAnsi="Book Antiqua"/>
                <w:color w:val="000000"/>
              </w:rPr>
              <w:t>Organ</w:t>
            </w:r>
          </w:p>
        </w:tc>
        <w:tc>
          <w:tcPr>
            <w:tcW w:w="1016" w:type="dxa"/>
            <w:tcBorders>
              <w:top w:val="nil"/>
              <w:left w:val="nil"/>
              <w:bottom w:val="nil"/>
              <w:right w:val="nil"/>
            </w:tcBorders>
            <w:shd w:val="clear" w:color="auto" w:fill="auto"/>
            <w:noWrap/>
            <w:vAlign w:val="center"/>
            <w:hideMark/>
          </w:tcPr>
          <w:p w14:paraId="26BDFD60" w14:textId="77777777" w:rsidR="009A4866" w:rsidRPr="00D12E59" w:rsidRDefault="009A4866" w:rsidP="00394697">
            <w:pPr>
              <w:rPr>
                <w:rFonts w:ascii="Book Antiqua" w:hAnsi="Book Antiqua"/>
                <w:color w:val="000000"/>
              </w:rPr>
            </w:pPr>
            <w:r w:rsidRPr="00D12E59">
              <w:rPr>
                <w:rFonts w:ascii="Book Antiqua" w:hAnsi="Book Antiqua"/>
                <w:color w:val="000000"/>
              </w:rPr>
              <w:t>M2</w:t>
            </w:r>
          </w:p>
        </w:tc>
        <w:tc>
          <w:tcPr>
            <w:tcW w:w="1376" w:type="dxa"/>
            <w:tcBorders>
              <w:top w:val="nil"/>
              <w:left w:val="nil"/>
              <w:bottom w:val="nil"/>
              <w:right w:val="nil"/>
            </w:tcBorders>
            <w:shd w:val="clear" w:color="auto" w:fill="auto"/>
            <w:noWrap/>
            <w:vAlign w:val="center"/>
            <w:hideMark/>
          </w:tcPr>
          <w:p w14:paraId="61AE2650" w14:textId="77777777" w:rsidR="009A4866" w:rsidRPr="00D12E59" w:rsidRDefault="009A4866" w:rsidP="00394697">
            <w:pPr>
              <w:rPr>
                <w:rFonts w:ascii="Book Antiqua" w:hAnsi="Book Antiqua"/>
                <w:color w:val="000000"/>
              </w:rPr>
            </w:pPr>
            <w:r w:rsidRPr="00D12E59">
              <w:rPr>
                <w:rFonts w:ascii="Book Antiqua" w:hAnsi="Book Antiqua"/>
                <w:color w:val="000000"/>
              </w:rPr>
              <w:t>0.2196</w:t>
            </w:r>
          </w:p>
        </w:tc>
        <w:tc>
          <w:tcPr>
            <w:tcW w:w="1516" w:type="dxa"/>
            <w:tcBorders>
              <w:top w:val="nil"/>
              <w:left w:val="nil"/>
              <w:bottom w:val="nil"/>
              <w:right w:val="nil"/>
            </w:tcBorders>
            <w:shd w:val="clear" w:color="auto" w:fill="auto"/>
            <w:noWrap/>
            <w:vAlign w:val="center"/>
            <w:hideMark/>
          </w:tcPr>
          <w:p w14:paraId="7100AE1D" w14:textId="77777777" w:rsidR="009A4866" w:rsidRPr="00D12E59" w:rsidRDefault="009A4866" w:rsidP="00394697">
            <w:pPr>
              <w:rPr>
                <w:rFonts w:ascii="Book Antiqua" w:hAnsi="Book Antiqua"/>
                <w:color w:val="000000"/>
              </w:rPr>
            </w:pPr>
            <w:r w:rsidRPr="00D12E59">
              <w:rPr>
                <w:rFonts w:ascii="Book Antiqua" w:hAnsi="Book Antiqua"/>
                <w:color w:val="000000"/>
              </w:rPr>
              <w:t>15.1604</w:t>
            </w:r>
          </w:p>
        </w:tc>
      </w:tr>
      <w:tr w:rsidR="009A4866" w:rsidRPr="00D12E59" w14:paraId="247AFD53"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104271E0" w14:textId="77777777" w:rsidR="009A4866" w:rsidRPr="00D12E59" w:rsidRDefault="009A4866" w:rsidP="00394697">
            <w:pPr>
              <w:rPr>
                <w:rFonts w:ascii="Book Antiqua" w:hAnsi="Book Antiqua"/>
                <w:color w:val="000000"/>
              </w:rPr>
            </w:pPr>
            <w:r w:rsidRPr="00D12E59">
              <w:rPr>
                <w:rFonts w:ascii="Book Antiqua" w:hAnsi="Book Antiqua"/>
                <w:color w:val="000000"/>
              </w:rPr>
              <w:t>Green Kaili</w:t>
            </w:r>
          </w:p>
        </w:tc>
        <w:tc>
          <w:tcPr>
            <w:tcW w:w="1016" w:type="dxa"/>
            <w:tcBorders>
              <w:top w:val="nil"/>
              <w:left w:val="nil"/>
              <w:bottom w:val="nil"/>
              <w:right w:val="nil"/>
            </w:tcBorders>
            <w:shd w:val="clear" w:color="auto" w:fill="auto"/>
            <w:noWrap/>
            <w:vAlign w:val="center"/>
            <w:hideMark/>
          </w:tcPr>
          <w:p w14:paraId="601754EC" w14:textId="77777777" w:rsidR="009A4866" w:rsidRPr="00D12E59" w:rsidRDefault="009A4866" w:rsidP="00394697">
            <w:pPr>
              <w:rPr>
                <w:rFonts w:ascii="Book Antiqua" w:hAnsi="Book Antiqua"/>
                <w:color w:val="000000"/>
              </w:rPr>
            </w:pPr>
            <w:r w:rsidRPr="00D12E59">
              <w:rPr>
                <w:rFonts w:ascii="Book Antiqua" w:hAnsi="Book Antiqua"/>
                <w:color w:val="000000"/>
              </w:rPr>
              <w:t>M3</w:t>
            </w:r>
          </w:p>
        </w:tc>
        <w:tc>
          <w:tcPr>
            <w:tcW w:w="1376" w:type="dxa"/>
            <w:tcBorders>
              <w:top w:val="nil"/>
              <w:left w:val="nil"/>
              <w:bottom w:val="nil"/>
              <w:right w:val="nil"/>
            </w:tcBorders>
            <w:shd w:val="clear" w:color="auto" w:fill="auto"/>
            <w:noWrap/>
            <w:vAlign w:val="center"/>
            <w:hideMark/>
          </w:tcPr>
          <w:p w14:paraId="7A21C490" w14:textId="77777777" w:rsidR="009A4866" w:rsidRPr="00D12E59" w:rsidRDefault="009A4866" w:rsidP="00394697">
            <w:pPr>
              <w:rPr>
                <w:rFonts w:ascii="Book Antiqua" w:hAnsi="Book Antiqua"/>
                <w:color w:val="000000"/>
              </w:rPr>
            </w:pPr>
            <w:r w:rsidRPr="00D12E59">
              <w:rPr>
                <w:rFonts w:ascii="Book Antiqua" w:hAnsi="Book Antiqua"/>
                <w:color w:val="000000"/>
              </w:rPr>
              <w:t>0.4098</w:t>
            </w:r>
          </w:p>
        </w:tc>
        <w:tc>
          <w:tcPr>
            <w:tcW w:w="1516" w:type="dxa"/>
            <w:tcBorders>
              <w:top w:val="nil"/>
              <w:left w:val="nil"/>
              <w:bottom w:val="nil"/>
              <w:right w:val="nil"/>
            </w:tcBorders>
            <w:shd w:val="clear" w:color="auto" w:fill="auto"/>
            <w:noWrap/>
            <w:vAlign w:val="center"/>
            <w:hideMark/>
          </w:tcPr>
          <w:p w14:paraId="7C7EB88D" w14:textId="77777777" w:rsidR="009A4866" w:rsidRPr="00D12E59" w:rsidRDefault="009A4866" w:rsidP="00394697">
            <w:pPr>
              <w:rPr>
                <w:rFonts w:ascii="Book Antiqua" w:hAnsi="Book Antiqua"/>
                <w:color w:val="000000"/>
              </w:rPr>
            </w:pPr>
            <w:r w:rsidRPr="00D12E59">
              <w:rPr>
                <w:rFonts w:ascii="Book Antiqua" w:hAnsi="Book Antiqua"/>
                <w:color w:val="000000"/>
              </w:rPr>
              <w:t>10.1368</w:t>
            </w:r>
          </w:p>
        </w:tc>
      </w:tr>
      <w:tr w:rsidR="009A4866" w:rsidRPr="00D12E59" w14:paraId="62DD596B"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1D55159F" w14:textId="77777777" w:rsidR="009A4866" w:rsidRPr="00D12E59" w:rsidRDefault="009A4866" w:rsidP="00394697">
            <w:pPr>
              <w:rPr>
                <w:rFonts w:ascii="Book Antiqua" w:hAnsi="Book Antiqua"/>
                <w:color w:val="000000"/>
              </w:rPr>
            </w:pPr>
            <w:r w:rsidRPr="00D12E59">
              <w:rPr>
                <w:rFonts w:ascii="Book Antiqua" w:hAnsi="Book Antiqua"/>
                <w:color w:val="000000"/>
              </w:rPr>
              <w:t>Yellow Kaili</w:t>
            </w:r>
          </w:p>
        </w:tc>
        <w:tc>
          <w:tcPr>
            <w:tcW w:w="1016" w:type="dxa"/>
            <w:tcBorders>
              <w:top w:val="nil"/>
              <w:left w:val="nil"/>
              <w:bottom w:val="nil"/>
              <w:right w:val="nil"/>
            </w:tcBorders>
            <w:shd w:val="clear" w:color="auto" w:fill="auto"/>
            <w:noWrap/>
            <w:vAlign w:val="center"/>
            <w:hideMark/>
          </w:tcPr>
          <w:p w14:paraId="642B3EA4" w14:textId="77777777" w:rsidR="009A4866" w:rsidRPr="00D12E59" w:rsidRDefault="009A4866" w:rsidP="00394697">
            <w:pPr>
              <w:rPr>
                <w:rFonts w:ascii="Book Antiqua" w:hAnsi="Book Antiqua"/>
                <w:color w:val="000000"/>
              </w:rPr>
            </w:pPr>
            <w:r w:rsidRPr="00D12E59">
              <w:rPr>
                <w:rFonts w:ascii="Book Antiqua" w:hAnsi="Book Antiqua"/>
                <w:color w:val="000000"/>
              </w:rPr>
              <w:t>M4</w:t>
            </w:r>
          </w:p>
        </w:tc>
        <w:tc>
          <w:tcPr>
            <w:tcW w:w="1376" w:type="dxa"/>
            <w:tcBorders>
              <w:top w:val="nil"/>
              <w:left w:val="nil"/>
              <w:bottom w:val="nil"/>
              <w:right w:val="nil"/>
            </w:tcBorders>
            <w:shd w:val="clear" w:color="auto" w:fill="auto"/>
            <w:noWrap/>
            <w:vAlign w:val="center"/>
            <w:hideMark/>
          </w:tcPr>
          <w:p w14:paraId="6A0EF729" w14:textId="77777777" w:rsidR="009A4866" w:rsidRPr="00D12E59" w:rsidRDefault="009A4866" w:rsidP="00394697">
            <w:pPr>
              <w:rPr>
                <w:rFonts w:ascii="Book Antiqua" w:hAnsi="Book Antiqua"/>
                <w:color w:val="000000"/>
              </w:rPr>
            </w:pPr>
            <w:r w:rsidRPr="00D12E59">
              <w:rPr>
                <w:rFonts w:ascii="Book Antiqua" w:hAnsi="Book Antiqua"/>
                <w:color w:val="000000"/>
              </w:rPr>
              <w:t>0.3803</w:t>
            </w:r>
          </w:p>
        </w:tc>
        <w:tc>
          <w:tcPr>
            <w:tcW w:w="1516" w:type="dxa"/>
            <w:tcBorders>
              <w:top w:val="nil"/>
              <w:left w:val="nil"/>
              <w:bottom w:val="nil"/>
              <w:right w:val="nil"/>
            </w:tcBorders>
            <w:shd w:val="clear" w:color="auto" w:fill="auto"/>
            <w:noWrap/>
            <w:vAlign w:val="center"/>
            <w:hideMark/>
          </w:tcPr>
          <w:p w14:paraId="5B2CDB13" w14:textId="77777777" w:rsidR="009A4866" w:rsidRPr="00D12E59" w:rsidRDefault="009A4866" w:rsidP="00394697">
            <w:pPr>
              <w:rPr>
                <w:rFonts w:ascii="Book Antiqua" w:hAnsi="Book Antiqua"/>
                <w:color w:val="000000"/>
              </w:rPr>
            </w:pPr>
            <w:r w:rsidRPr="00D12E59">
              <w:rPr>
                <w:rFonts w:ascii="Book Antiqua" w:hAnsi="Book Antiqua"/>
                <w:color w:val="000000"/>
              </w:rPr>
              <w:t>4.1540</w:t>
            </w:r>
          </w:p>
        </w:tc>
      </w:tr>
      <w:tr w:rsidR="009A4866" w:rsidRPr="00D12E59" w14:paraId="2BD7F057"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60BC3ED4" w14:textId="77777777" w:rsidR="009A4866" w:rsidRPr="00D12E59" w:rsidRDefault="009A4866" w:rsidP="00394697">
            <w:pPr>
              <w:rPr>
                <w:rFonts w:ascii="Book Antiqua" w:hAnsi="Book Antiqua"/>
                <w:color w:val="000000"/>
              </w:rPr>
            </w:pPr>
            <w:r w:rsidRPr="00D12E59">
              <w:rPr>
                <w:rFonts w:ascii="Book Antiqua" w:hAnsi="Book Antiqua"/>
                <w:color w:val="000000"/>
              </w:rPr>
              <w:t>Helicopter</w:t>
            </w:r>
          </w:p>
        </w:tc>
        <w:tc>
          <w:tcPr>
            <w:tcW w:w="1016" w:type="dxa"/>
            <w:tcBorders>
              <w:top w:val="nil"/>
              <w:left w:val="nil"/>
              <w:bottom w:val="nil"/>
              <w:right w:val="nil"/>
            </w:tcBorders>
            <w:shd w:val="clear" w:color="auto" w:fill="auto"/>
            <w:noWrap/>
            <w:vAlign w:val="center"/>
            <w:hideMark/>
          </w:tcPr>
          <w:p w14:paraId="30C32681" w14:textId="77777777" w:rsidR="009A4866" w:rsidRPr="00D12E59" w:rsidRDefault="009A4866" w:rsidP="00394697">
            <w:pPr>
              <w:rPr>
                <w:rFonts w:ascii="Book Antiqua" w:hAnsi="Book Antiqua"/>
                <w:color w:val="000000"/>
              </w:rPr>
            </w:pPr>
            <w:r w:rsidRPr="00D12E59">
              <w:rPr>
                <w:rFonts w:ascii="Book Antiqua" w:hAnsi="Book Antiqua"/>
                <w:color w:val="000000"/>
              </w:rPr>
              <w:t>M5</w:t>
            </w:r>
          </w:p>
        </w:tc>
        <w:tc>
          <w:tcPr>
            <w:tcW w:w="1376" w:type="dxa"/>
            <w:tcBorders>
              <w:top w:val="nil"/>
              <w:left w:val="nil"/>
              <w:bottom w:val="nil"/>
              <w:right w:val="nil"/>
            </w:tcBorders>
            <w:shd w:val="clear" w:color="auto" w:fill="auto"/>
            <w:noWrap/>
            <w:vAlign w:val="center"/>
            <w:hideMark/>
          </w:tcPr>
          <w:p w14:paraId="49A8F463" w14:textId="77777777" w:rsidR="009A4866" w:rsidRPr="00D12E59" w:rsidRDefault="009A4866" w:rsidP="00394697">
            <w:pPr>
              <w:rPr>
                <w:rFonts w:ascii="Book Antiqua" w:hAnsi="Book Antiqua"/>
                <w:color w:val="000000"/>
              </w:rPr>
            </w:pPr>
            <w:r w:rsidRPr="00D12E59">
              <w:rPr>
                <w:rFonts w:ascii="Book Antiqua" w:hAnsi="Book Antiqua"/>
                <w:color w:val="000000"/>
              </w:rPr>
              <w:t>0.4867</w:t>
            </w:r>
          </w:p>
        </w:tc>
        <w:tc>
          <w:tcPr>
            <w:tcW w:w="1516" w:type="dxa"/>
            <w:tcBorders>
              <w:top w:val="nil"/>
              <w:left w:val="nil"/>
              <w:bottom w:val="nil"/>
              <w:right w:val="nil"/>
            </w:tcBorders>
            <w:shd w:val="clear" w:color="auto" w:fill="auto"/>
            <w:noWrap/>
            <w:vAlign w:val="center"/>
            <w:hideMark/>
          </w:tcPr>
          <w:p w14:paraId="71B4456A" w14:textId="77777777" w:rsidR="009A4866" w:rsidRPr="00D12E59" w:rsidRDefault="009A4866" w:rsidP="00394697">
            <w:pPr>
              <w:rPr>
                <w:rFonts w:ascii="Book Antiqua" w:hAnsi="Book Antiqua"/>
                <w:color w:val="000000"/>
              </w:rPr>
            </w:pPr>
            <w:r w:rsidRPr="00D12E59">
              <w:rPr>
                <w:rFonts w:ascii="Book Antiqua" w:hAnsi="Book Antiqua"/>
                <w:color w:val="000000"/>
              </w:rPr>
              <w:t>12.5113</w:t>
            </w:r>
          </w:p>
        </w:tc>
      </w:tr>
      <w:tr w:rsidR="009A4866" w:rsidRPr="00D12E59" w14:paraId="3A3E2872"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162C04C3" w14:textId="77777777" w:rsidR="009A4866" w:rsidRPr="00D12E59" w:rsidRDefault="009A4866" w:rsidP="00394697">
            <w:pPr>
              <w:rPr>
                <w:rFonts w:ascii="Book Antiqua" w:hAnsi="Book Antiqua"/>
                <w:color w:val="000000"/>
              </w:rPr>
            </w:pPr>
            <w:r w:rsidRPr="00D12E59">
              <w:rPr>
                <w:rFonts w:ascii="Book Antiqua" w:hAnsi="Book Antiqua"/>
                <w:color w:val="000000"/>
              </w:rPr>
              <w:t>Ball</w:t>
            </w:r>
          </w:p>
        </w:tc>
        <w:tc>
          <w:tcPr>
            <w:tcW w:w="1016" w:type="dxa"/>
            <w:tcBorders>
              <w:top w:val="nil"/>
              <w:left w:val="nil"/>
              <w:bottom w:val="nil"/>
              <w:right w:val="nil"/>
            </w:tcBorders>
            <w:shd w:val="clear" w:color="auto" w:fill="auto"/>
            <w:noWrap/>
            <w:vAlign w:val="center"/>
            <w:hideMark/>
          </w:tcPr>
          <w:p w14:paraId="31BF676F" w14:textId="77777777" w:rsidR="009A4866" w:rsidRPr="00D12E59" w:rsidRDefault="009A4866" w:rsidP="00394697">
            <w:pPr>
              <w:rPr>
                <w:rFonts w:ascii="Book Antiqua" w:hAnsi="Book Antiqua"/>
                <w:color w:val="000000"/>
              </w:rPr>
            </w:pPr>
            <w:r w:rsidRPr="00D12E59">
              <w:rPr>
                <w:rFonts w:ascii="Book Antiqua" w:hAnsi="Book Antiqua"/>
                <w:color w:val="000000"/>
              </w:rPr>
              <w:t>M6</w:t>
            </w:r>
          </w:p>
        </w:tc>
        <w:tc>
          <w:tcPr>
            <w:tcW w:w="1376" w:type="dxa"/>
            <w:tcBorders>
              <w:top w:val="nil"/>
              <w:left w:val="nil"/>
              <w:bottom w:val="nil"/>
              <w:right w:val="nil"/>
            </w:tcBorders>
            <w:shd w:val="clear" w:color="auto" w:fill="auto"/>
            <w:noWrap/>
            <w:vAlign w:val="center"/>
            <w:hideMark/>
          </w:tcPr>
          <w:p w14:paraId="16EFE8D1" w14:textId="77777777" w:rsidR="009A4866" w:rsidRPr="00D12E59" w:rsidRDefault="009A4866" w:rsidP="00394697">
            <w:pPr>
              <w:rPr>
                <w:rFonts w:ascii="Book Antiqua" w:hAnsi="Book Antiqua"/>
                <w:color w:val="000000"/>
              </w:rPr>
            </w:pPr>
            <w:r w:rsidRPr="00D12E59">
              <w:rPr>
                <w:rFonts w:ascii="Book Antiqua" w:hAnsi="Book Antiqua"/>
                <w:color w:val="000000"/>
              </w:rPr>
              <w:t>0.5112</w:t>
            </w:r>
          </w:p>
        </w:tc>
        <w:tc>
          <w:tcPr>
            <w:tcW w:w="1516" w:type="dxa"/>
            <w:tcBorders>
              <w:top w:val="nil"/>
              <w:left w:val="nil"/>
              <w:bottom w:val="nil"/>
              <w:right w:val="nil"/>
            </w:tcBorders>
            <w:shd w:val="clear" w:color="auto" w:fill="auto"/>
            <w:noWrap/>
            <w:vAlign w:val="center"/>
            <w:hideMark/>
          </w:tcPr>
          <w:p w14:paraId="0CC34517" w14:textId="77777777" w:rsidR="009A4866" w:rsidRPr="00D12E59" w:rsidRDefault="009A4866" w:rsidP="00394697">
            <w:pPr>
              <w:rPr>
                <w:rFonts w:ascii="Book Antiqua" w:hAnsi="Book Antiqua"/>
                <w:color w:val="000000"/>
              </w:rPr>
            </w:pPr>
            <w:r w:rsidRPr="00D12E59">
              <w:rPr>
                <w:rFonts w:ascii="Book Antiqua" w:hAnsi="Book Antiqua"/>
                <w:color w:val="000000"/>
              </w:rPr>
              <w:t>13.1612</w:t>
            </w:r>
          </w:p>
        </w:tc>
      </w:tr>
      <w:tr w:rsidR="009A4866" w:rsidRPr="00D12E59" w14:paraId="7493600C"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7DA273E1" w14:textId="77777777" w:rsidR="009A4866" w:rsidRPr="00D12E59" w:rsidRDefault="009A4866" w:rsidP="00394697">
            <w:pPr>
              <w:rPr>
                <w:rFonts w:ascii="Book Antiqua" w:hAnsi="Book Antiqua"/>
                <w:color w:val="000000"/>
              </w:rPr>
            </w:pPr>
            <w:r w:rsidRPr="00D12E59">
              <w:rPr>
                <w:rFonts w:ascii="Book Antiqua" w:hAnsi="Book Antiqua"/>
                <w:color w:val="000000"/>
              </w:rPr>
              <w:t>Machine Gun</w:t>
            </w:r>
          </w:p>
        </w:tc>
        <w:tc>
          <w:tcPr>
            <w:tcW w:w="1016" w:type="dxa"/>
            <w:tcBorders>
              <w:top w:val="nil"/>
              <w:left w:val="nil"/>
              <w:bottom w:val="nil"/>
              <w:right w:val="nil"/>
            </w:tcBorders>
            <w:shd w:val="clear" w:color="auto" w:fill="auto"/>
            <w:noWrap/>
            <w:vAlign w:val="center"/>
            <w:hideMark/>
          </w:tcPr>
          <w:p w14:paraId="5C44701A" w14:textId="77777777" w:rsidR="009A4866" w:rsidRPr="00D12E59" w:rsidRDefault="009A4866" w:rsidP="00394697">
            <w:pPr>
              <w:rPr>
                <w:rFonts w:ascii="Book Antiqua" w:hAnsi="Book Antiqua"/>
                <w:color w:val="000000"/>
              </w:rPr>
            </w:pPr>
            <w:r w:rsidRPr="00D12E59">
              <w:rPr>
                <w:rFonts w:ascii="Book Antiqua" w:hAnsi="Book Antiqua"/>
                <w:color w:val="000000"/>
              </w:rPr>
              <w:t>M7</w:t>
            </w:r>
          </w:p>
        </w:tc>
        <w:tc>
          <w:tcPr>
            <w:tcW w:w="1376" w:type="dxa"/>
            <w:tcBorders>
              <w:top w:val="nil"/>
              <w:left w:val="nil"/>
              <w:bottom w:val="nil"/>
              <w:right w:val="nil"/>
            </w:tcBorders>
            <w:shd w:val="clear" w:color="auto" w:fill="auto"/>
            <w:noWrap/>
            <w:vAlign w:val="center"/>
            <w:hideMark/>
          </w:tcPr>
          <w:p w14:paraId="488D8EE7" w14:textId="77777777" w:rsidR="009A4866" w:rsidRPr="00D12E59" w:rsidRDefault="009A4866" w:rsidP="00394697">
            <w:pPr>
              <w:rPr>
                <w:rFonts w:ascii="Book Antiqua" w:hAnsi="Book Antiqua"/>
                <w:color w:val="000000"/>
              </w:rPr>
            </w:pPr>
            <w:r w:rsidRPr="00D12E59">
              <w:rPr>
                <w:rFonts w:ascii="Book Antiqua" w:hAnsi="Book Antiqua"/>
                <w:color w:val="000000"/>
              </w:rPr>
              <w:t>0.2048</w:t>
            </w:r>
          </w:p>
        </w:tc>
        <w:tc>
          <w:tcPr>
            <w:tcW w:w="1516" w:type="dxa"/>
            <w:tcBorders>
              <w:top w:val="nil"/>
              <w:left w:val="nil"/>
              <w:bottom w:val="nil"/>
              <w:right w:val="nil"/>
            </w:tcBorders>
            <w:shd w:val="clear" w:color="auto" w:fill="auto"/>
            <w:noWrap/>
            <w:vAlign w:val="center"/>
            <w:hideMark/>
          </w:tcPr>
          <w:p w14:paraId="79B01E9D" w14:textId="77777777" w:rsidR="009A4866" w:rsidRPr="00D12E59" w:rsidRDefault="009A4866" w:rsidP="00394697">
            <w:pPr>
              <w:rPr>
                <w:rFonts w:ascii="Book Antiqua" w:hAnsi="Book Antiqua"/>
                <w:color w:val="000000"/>
              </w:rPr>
            </w:pPr>
            <w:r w:rsidRPr="00D12E59">
              <w:rPr>
                <w:rFonts w:ascii="Book Antiqua" w:hAnsi="Book Antiqua"/>
                <w:color w:val="000000"/>
              </w:rPr>
              <w:t>56.0806</w:t>
            </w:r>
          </w:p>
        </w:tc>
      </w:tr>
      <w:tr w:rsidR="009A4866" w:rsidRPr="00D12E59" w14:paraId="0E260A85"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54D8A5AB" w14:textId="77777777" w:rsidR="009A4866" w:rsidRPr="00D12E59" w:rsidRDefault="009A4866" w:rsidP="00394697">
            <w:pPr>
              <w:rPr>
                <w:rFonts w:ascii="Book Antiqua" w:hAnsi="Book Antiqua"/>
                <w:color w:val="000000"/>
              </w:rPr>
            </w:pPr>
            <w:r w:rsidRPr="00D12E59">
              <w:rPr>
                <w:rFonts w:ascii="Book Antiqua" w:hAnsi="Book Antiqua"/>
                <w:color w:val="000000"/>
              </w:rPr>
              <w:t>Truck</w:t>
            </w:r>
          </w:p>
        </w:tc>
        <w:tc>
          <w:tcPr>
            <w:tcW w:w="1016" w:type="dxa"/>
            <w:tcBorders>
              <w:top w:val="nil"/>
              <w:left w:val="nil"/>
              <w:bottom w:val="nil"/>
              <w:right w:val="nil"/>
            </w:tcBorders>
            <w:shd w:val="clear" w:color="auto" w:fill="auto"/>
            <w:noWrap/>
            <w:vAlign w:val="center"/>
            <w:hideMark/>
          </w:tcPr>
          <w:p w14:paraId="16586DF6" w14:textId="77777777" w:rsidR="009A4866" w:rsidRPr="00D12E59" w:rsidRDefault="009A4866" w:rsidP="00394697">
            <w:pPr>
              <w:rPr>
                <w:rFonts w:ascii="Book Antiqua" w:hAnsi="Book Antiqua"/>
                <w:color w:val="000000"/>
              </w:rPr>
            </w:pPr>
            <w:r w:rsidRPr="00D12E59">
              <w:rPr>
                <w:rFonts w:ascii="Book Antiqua" w:hAnsi="Book Antiqua"/>
                <w:color w:val="000000"/>
              </w:rPr>
              <w:t>M8</w:t>
            </w:r>
          </w:p>
        </w:tc>
        <w:tc>
          <w:tcPr>
            <w:tcW w:w="1376" w:type="dxa"/>
            <w:tcBorders>
              <w:top w:val="nil"/>
              <w:left w:val="nil"/>
              <w:bottom w:val="nil"/>
              <w:right w:val="nil"/>
            </w:tcBorders>
            <w:shd w:val="clear" w:color="auto" w:fill="auto"/>
            <w:noWrap/>
            <w:vAlign w:val="center"/>
            <w:hideMark/>
          </w:tcPr>
          <w:p w14:paraId="597F2BDD" w14:textId="77777777" w:rsidR="009A4866" w:rsidRPr="00D12E59" w:rsidRDefault="009A4866" w:rsidP="00394697">
            <w:pPr>
              <w:rPr>
                <w:rFonts w:ascii="Book Antiqua" w:hAnsi="Book Antiqua"/>
                <w:color w:val="000000"/>
              </w:rPr>
            </w:pPr>
            <w:r w:rsidRPr="00D12E59">
              <w:rPr>
                <w:rFonts w:ascii="Book Antiqua" w:hAnsi="Book Antiqua"/>
                <w:color w:val="000000"/>
              </w:rPr>
              <w:t>0.3217</w:t>
            </w:r>
          </w:p>
        </w:tc>
        <w:tc>
          <w:tcPr>
            <w:tcW w:w="1516" w:type="dxa"/>
            <w:tcBorders>
              <w:top w:val="nil"/>
              <w:left w:val="nil"/>
              <w:bottom w:val="nil"/>
              <w:right w:val="nil"/>
            </w:tcBorders>
            <w:shd w:val="clear" w:color="auto" w:fill="auto"/>
            <w:noWrap/>
            <w:vAlign w:val="center"/>
            <w:hideMark/>
          </w:tcPr>
          <w:p w14:paraId="7EC2B1A5" w14:textId="77777777" w:rsidR="009A4866" w:rsidRPr="00D12E59" w:rsidRDefault="009A4866" w:rsidP="00394697">
            <w:pPr>
              <w:rPr>
                <w:rFonts w:ascii="Book Antiqua" w:hAnsi="Book Antiqua"/>
                <w:color w:val="000000"/>
              </w:rPr>
            </w:pPr>
            <w:r w:rsidRPr="00D12E59">
              <w:rPr>
                <w:rFonts w:ascii="Book Antiqua" w:hAnsi="Book Antiqua"/>
                <w:color w:val="000000"/>
              </w:rPr>
              <w:t>6.6109</w:t>
            </w:r>
          </w:p>
        </w:tc>
      </w:tr>
      <w:tr w:rsidR="009A4866" w:rsidRPr="00D12E59" w14:paraId="5DF260EB"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646E424B" w14:textId="77777777" w:rsidR="009A4866" w:rsidRPr="00D12E59" w:rsidRDefault="009A4866" w:rsidP="00394697">
            <w:pPr>
              <w:rPr>
                <w:rFonts w:ascii="Book Antiqua" w:hAnsi="Book Antiqua"/>
                <w:color w:val="000000"/>
              </w:rPr>
            </w:pPr>
            <w:r w:rsidRPr="00D12E59">
              <w:rPr>
                <w:rFonts w:ascii="Book Antiqua" w:hAnsi="Book Antiqua"/>
                <w:color w:val="000000"/>
              </w:rPr>
              <w:t>Bell</w:t>
            </w:r>
          </w:p>
        </w:tc>
        <w:tc>
          <w:tcPr>
            <w:tcW w:w="1016" w:type="dxa"/>
            <w:tcBorders>
              <w:top w:val="nil"/>
              <w:left w:val="nil"/>
              <w:bottom w:val="nil"/>
              <w:right w:val="nil"/>
            </w:tcBorders>
            <w:shd w:val="clear" w:color="auto" w:fill="auto"/>
            <w:noWrap/>
            <w:vAlign w:val="center"/>
            <w:hideMark/>
          </w:tcPr>
          <w:p w14:paraId="74F21700" w14:textId="77777777" w:rsidR="009A4866" w:rsidRPr="00D12E59" w:rsidRDefault="009A4866" w:rsidP="00394697">
            <w:pPr>
              <w:rPr>
                <w:rFonts w:ascii="Book Antiqua" w:hAnsi="Book Antiqua"/>
                <w:color w:val="000000"/>
              </w:rPr>
            </w:pPr>
            <w:r w:rsidRPr="00D12E59">
              <w:rPr>
                <w:rFonts w:ascii="Book Antiqua" w:hAnsi="Book Antiqua"/>
                <w:color w:val="000000"/>
              </w:rPr>
              <w:t>M9</w:t>
            </w:r>
          </w:p>
        </w:tc>
        <w:tc>
          <w:tcPr>
            <w:tcW w:w="1376" w:type="dxa"/>
            <w:tcBorders>
              <w:top w:val="nil"/>
              <w:left w:val="nil"/>
              <w:bottom w:val="nil"/>
              <w:right w:val="nil"/>
            </w:tcBorders>
            <w:shd w:val="clear" w:color="auto" w:fill="auto"/>
            <w:noWrap/>
            <w:vAlign w:val="center"/>
            <w:hideMark/>
          </w:tcPr>
          <w:p w14:paraId="06696073" w14:textId="77777777" w:rsidR="009A4866" w:rsidRPr="00D12E59" w:rsidRDefault="009A4866" w:rsidP="00394697">
            <w:pPr>
              <w:rPr>
                <w:rFonts w:ascii="Book Antiqua" w:hAnsi="Book Antiqua"/>
                <w:color w:val="000000"/>
              </w:rPr>
            </w:pPr>
            <w:r w:rsidRPr="00D12E59">
              <w:rPr>
                <w:rFonts w:ascii="Book Antiqua" w:hAnsi="Book Antiqua"/>
                <w:color w:val="000000"/>
              </w:rPr>
              <w:t>0.0695</w:t>
            </w:r>
          </w:p>
        </w:tc>
        <w:tc>
          <w:tcPr>
            <w:tcW w:w="1516" w:type="dxa"/>
            <w:tcBorders>
              <w:top w:val="nil"/>
              <w:left w:val="nil"/>
              <w:bottom w:val="nil"/>
              <w:right w:val="nil"/>
            </w:tcBorders>
            <w:shd w:val="clear" w:color="auto" w:fill="auto"/>
            <w:noWrap/>
            <w:vAlign w:val="center"/>
            <w:hideMark/>
          </w:tcPr>
          <w:p w14:paraId="13A5E296" w14:textId="77777777" w:rsidR="009A4866" w:rsidRPr="00D12E59" w:rsidRDefault="009A4866" w:rsidP="00394697">
            <w:pPr>
              <w:rPr>
                <w:rFonts w:ascii="Book Antiqua" w:hAnsi="Book Antiqua"/>
                <w:color w:val="000000"/>
              </w:rPr>
            </w:pPr>
            <w:r w:rsidRPr="00D12E59">
              <w:rPr>
                <w:rFonts w:ascii="Book Antiqua" w:hAnsi="Book Antiqua"/>
                <w:color w:val="000000"/>
              </w:rPr>
              <w:t>6.0903</w:t>
            </w:r>
          </w:p>
        </w:tc>
      </w:tr>
      <w:tr w:rsidR="009A4866" w:rsidRPr="00D12E59" w14:paraId="531A9D50"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367CFBB3" w14:textId="77777777" w:rsidR="009A4866" w:rsidRPr="00D12E59" w:rsidRDefault="009A4866" w:rsidP="00394697">
            <w:pPr>
              <w:rPr>
                <w:rFonts w:ascii="Book Antiqua" w:hAnsi="Book Antiqua"/>
                <w:color w:val="000000"/>
              </w:rPr>
            </w:pPr>
            <w:r w:rsidRPr="00D12E59">
              <w:rPr>
                <w:rFonts w:ascii="Book Antiqua" w:hAnsi="Book Antiqua"/>
                <w:color w:val="000000"/>
              </w:rPr>
              <w:t>Doll</w:t>
            </w:r>
          </w:p>
        </w:tc>
        <w:tc>
          <w:tcPr>
            <w:tcW w:w="1016" w:type="dxa"/>
            <w:tcBorders>
              <w:top w:val="nil"/>
              <w:left w:val="nil"/>
              <w:bottom w:val="nil"/>
              <w:right w:val="nil"/>
            </w:tcBorders>
            <w:shd w:val="clear" w:color="auto" w:fill="auto"/>
            <w:noWrap/>
            <w:vAlign w:val="center"/>
            <w:hideMark/>
          </w:tcPr>
          <w:p w14:paraId="73D0E42E" w14:textId="77777777" w:rsidR="009A4866" w:rsidRPr="00D12E59" w:rsidRDefault="009A4866" w:rsidP="00394697">
            <w:pPr>
              <w:rPr>
                <w:rFonts w:ascii="Book Antiqua" w:hAnsi="Book Antiqua"/>
                <w:color w:val="000000"/>
              </w:rPr>
            </w:pPr>
            <w:r w:rsidRPr="00D12E59">
              <w:rPr>
                <w:rFonts w:ascii="Book Antiqua" w:hAnsi="Book Antiqua"/>
                <w:color w:val="000000"/>
              </w:rPr>
              <w:t>M10</w:t>
            </w:r>
          </w:p>
        </w:tc>
        <w:tc>
          <w:tcPr>
            <w:tcW w:w="1376" w:type="dxa"/>
            <w:tcBorders>
              <w:top w:val="nil"/>
              <w:left w:val="nil"/>
              <w:bottom w:val="nil"/>
              <w:right w:val="nil"/>
            </w:tcBorders>
            <w:shd w:val="clear" w:color="auto" w:fill="auto"/>
            <w:noWrap/>
            <w:vAlign w:val="center"/>
            <w:hideMark/>
          </w:tcPr>
          <w:p w14:paraId="2FCEB6F7" w14:textId="77777777" w:rsidR="009A4866" w:rsidRPr="00D12E59" w:rsidRDefault="009A4866" w:rsidP="00394697">
            <w:pPr>
              <w:rPr>
                <w:rFonts w:ascii="Book Antiqua" w:hAnsi="Book Antiqua"/>
                <w:color w:val="000000"/>
              </w:rPr>
            </w:pPr>
            <w:r w:rsidRPr="00D12E59">
              <w:rPr>
                <w:rFonts w:ascii="Book Antiqua" w:hAnsi="Book Antiqua"/>
                <w:color w:val="000000"/>
              </w:rPr>
              <w:t>0.3785</w:t>
            </w:r>
          </w:p>
        </w:tc>
        <w:tc>
          <w:tcPr>
            <w:tcW w:w="1516" w:type="dxa"/>
            <w:tcBorders>
              <w:top w:val="nil"/>
              <w:left w:val="nil"/>
              <w:bottom w:val="nil"/>
              <w:right w:val="nil"/>
            </w:tcBorders>
            <w:shd w:val="clear" w:color="auto" w:fill="auto"/>
            <w:noWrap/>
            <w:vAlign w:val="center"/>
            <w:hideMark/>
          </w:tcPr>
          <w:p w14:paraId="284DFE1E" w14:textId="77777777" w:rsidR="009A4866" w:rsidRPr="00D12E59" w:rsidRDefault="009A4866" w:rsidP="00394697">
            <w:pPr>
              <w:rPr>
                <w:rFonts w:ascii="Book Antiqua" w:hAnsi="Book Antiqua"/>
                <w:color w:val="000000"/>
              </w:rPr>
            </w:pPr>
            <w:r w:rsidRPr="00D12E59">
              <w:rPr>
                <w:rFonts w:ascii="Book Antiqua" w:hAnsi="Book Antiqua"/>
                <w:color w:val="000000"/>
              </w:rPr>
              <w:t>33.2922</w:t>
            </w:r>
          </w:p>
        </w:tc>
      </w:tr>
      <w:tr w:rsidR="009A4866" w:rsidRPr="00D12E59" w14:paraId="5B72BEC1"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3F11ECCA" w14:textId="77777777" w:rsidR="009A4866" w:rsidRPr="00D12E59" w:rsidRDefault="009A4866" w:rsidP="00394697">
            <w:pPr>
              <w:rPr>
                <w:rFonts w:ascii="Book Antiqua" w:hAnsi="Book Antiqua"/>
                <w:color w:val="000000"/>
              </w:rPr>
            </w:pPr>
            <w:r w:rsidRPr="00D12E59">
              <w:rPr>
                <w:rFonts w:ascii="Book Antiqua" w:hAnsi="Book Antiqua"/>
                <w:color w:val="000000"/>
              </w:rPr>
              <w:t>Sports Car</w:t>
            </w:r>
          </w:p>
        </w:tc>
        <w:tc>
          <w:tcPr>
            <w:tcW w:w="1016" w:type="dxa"/>
            <w:tcBorders>
              <w:top w:val="nil"/>
              <w:left w:val="nil"/>
              <w:bottom w:val="nil"/>
              <w:right w:val="nil"/>
            </w:tcBorders>
            <w:shd w:val="clear" w:color="auto" w:fill="auto"/>
            <w:noWrap/>
            <w:vAlign w:val="center"/>
            <w:hideMark/>
          </w:tcPr>
          <w:p w14:paraId="2DB5DC59" w14:textId="77777777" w:rsidR="009A4866" w:rsidRPr="00D12E59" w:rsidRDefault="009A4866" w:rsidP="00394697">
            <w:pPr>
              <w:rPr>
                <w:rFonts w:ascii="Book Antiqua" w:hAnsi="Book Antiqua"/>
                <w:color w:val="000000"/>
              </w:rPr>
            </w:pPr>
            <w:r w:rsidRPr="00D12E59">
              <w:rPr>
                <w:rFonts w:ascii="Book Antiqua" w:hAnsi="Book Antiqua"/>
                <w:color w:val="000000"/>
              </w:rPr>
              <w:t>M11</w:t>
            </w:r>
          </w:p>
        </w:tc>
        <w:tc>
          <w:tcPr>
            <w:tcW w:w="1376" w:type="dxa"/>
            <w:tcBorders>
              <w:top w:val="nil"/>
              <w:left w:val="nil"/>
              <w:bottom w:val="nil"/>
              <w:right w:val="nil"/>
            </w:tcBorders>
            <w:shd w:val="clear" w:color="auto" w:fill="auto"/>
            <w:noWrap/>
            <w:vAlign w:val="center"/>
            <w:hideMark/>
          </w:tcPr>
          <w:p w14:paraId="34D30971" w14:textId="77777777" w:rsidR="009A4866" w:rsidRPr="00D12E59" w:rsidRDefault="009A4866" w:rsidP="00394697">
            <w:pPr>
              <w:rPr>
                <w:rFonts w:ascii="Book Antiqua" w:hAnsi="Book Antiqua"/>
                <w:color w:val="000000"/>
              </w:rPr>
            </w:pPr>
            <w:r w:rsidRPr="00D12E59">
              <w:rPr>
                <w:rFonts w:ascii="Book Antiqua" w:hAnsi="Book Antiqua"/>
                <w:color w:val="000000"/>
              </w:rPr>
              <w:t>0.4316</w:t>
            </w:r>
          </w:p>
        </w:tc>
        <w:tc>
          <w:tcPr>
            <w:tcW w:w="1516" w:type="dxa"/>
            <w:tcBorders>
              <w:top w:val="nil"/>
              <w:left w:val="nil"/>
              <w:bottom w:val="nil"/>
              <w:right w:val="nil"/>
            </w:tcBorders>
            <w:shd w:val="clear" w:color="auto" w:fill="auto"/>
            <w:noWrap/>
            <w:vAlign w:val="center"/>
            <w:hideMark/>
          </w:tcPr>
          <w:p w14:paraId="1F1DF5FD" w14:textId="77777777" w:rsidR="009A4866" w:rsidRPr="00D12E59" w:rsidRDefault="009A4866" w:rsidP="00394697">
            <w:pPr>
              <w:rPr>
                <w:rFonts w:ascii="Book Antiqua" w:hAnsi="Book Antiqua"/>
                <w:color w:val="000000"/>
              </w:rPr>
            </w:pPr>
            <w:r w:rsidRPr="00D12E59">
              <w:rPr>
                <w:rFonts w:ascii="Book Antiqua" w:hAnsi="Book Antiqua"/>
                <w:color w:val="000000"/>
              </w:rPr>
              <w:t>8.6486</w:t>
            </w:r>
          </w:p>
        </w:tc>
      </w:tr>
      <w:tr w:rsidR="009A4866" w:rsidRPr="00D12E59" w14:paraId="29A43251"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5C0CD5C4" w14:textId="77777777" w:rsidR="009A4866" w:rsidRPr="00D12E59" w:rsidRDefault="009A4866" w:rsidP="00394697">
            <w:pPr>
              <w:rPr>
                <w:rFonts w:ascii="Book Antiqua" w:hAnsi="Book Antiqua"/>
                <w:color w:val="000000"/>
              </w:rPr>
            </w:pPr>
            <w:r w:rsidRPr="00D12E59">
              <w:rPr>
                <w:rFonts w:ascii="Book Antiqua" w:hAnsi="Book Antiqua"/>
                <w:color w:val="000000"/>
              </w:rPr>
              <w:t>Sports Car</w:t>
            </w:r>
          </w:p>
        </w:tc>
        <w:tc>
          <w:tcPr>
            <w:tcW w:w="1016" w:type="dxa"/>
            <w:tcBorders>
              <w:top w:val="nil"/>
              <w:left w:val="nil"/>
              <w:bottom w:val="nil"/>
              <w:right w:val="nil"/>
            </w:tcBorders>
            <w:shd w:val="clear" w:color="auto" w:fill="auto"/>
            <w:noWrap/>
            <w:vAlign w:val="center"/>
            <w:hideMark/>
          </w:tcPr>
          <w:p w14:paraId="7371B05E" w14:textId="77777777" w:rsidR="009A4866" w:rsidRPr="00D12E59" w:rsidRDefault="009A4866" w:rsidP="00394697">
            <w:pPr>
              <w:rPr>
                <w:rFonts w:ascii="Book Antiqua" w:hAnsi="Book Antiqua"/>
                <w:color w:val="000000"/>
              </w:rPr>
            </w:pPr>
            <w:r w:rsidRPr="00D12E59">
              <w:rPr>
                <w:rFonts w:ascii="Book Antiqua" w:hAnsi="Book Antiqua"/>
                <w:color w:val="000000"/>
              </w:rPr>
              <w:t>M12</w:t>
            </w:r>
          </w:p>
        </w:tc>
        <w:tc>
          <w:tcPr>
            <w:tcW w:w="1376" w:type="dxa"/>
            <w:tcBorders>
              <w:top w:val="nil"/>
              <w:left w:val="nil"/>
              <w:bottom w:val="nil"/>
              <w:right w:val="nil"/>
            </w:tcBorders>
            <w:shd w:val="clear" w:color="auto" w:fill="auto"/>
            <w:noWrap/>
            <w:vAlign w:val="center"/>
            <w:hideMark/>
          </w:tcPr>
          <w:p w14:paraId="6B880320" w14:textId="77777777" w:rsidR="009A4866" w:rsidRPr="00D12E59" w:rsidRDefault="009A4866" w:rsidP="00394697">
            <w:pPr>
              <w:rPr>
                <w:rFonts w:ascii="Book Antiqua" w:hAnsi="Book Antiqua"/>
                <w:color w:val="000000"/>
              </w:rPr>
            </w:pPr>
            <w:r w:rsidRPr="00D12E59">
              <w:rPr>
                <w:rFonts w:ascii="Book Antiqua" w:hAnsi="Book Antiqua"/>
                <w:color w:val="000000"/>
              </w:rPr>
              <w:t>0.5689</w:t>
            </w:r>
          </w:p>
        </w:tc>
        <w:tc>
          <w:tcPr>
            <w:tcW w:w="1516" w:type="dxa"/>
            <w:tcBorders>
              <w:top w:val="nil"/>
              <w:left w:val="nil"/>
              <w:bottom w:val="nil"/>
              <w:right w:val="nil"/>
            </w:tcBorders>
            <w:shd w:val="clear" w:color="auto" w:fill="auto"/>
            <w:noWrap/>
            <w:vAlign w:val="center"/>
            <w:hideMark/>
          </w:tcPr>
          <w:p w14:paraId="5BECE1ED" w14:textId="77777777" w:rsidR="009A4866" w:rsidRPr="00D12E59" w:rsidRDefault="009A4866" w:rsidP="00394697">
            <w:pPr>
              <w:rPr>
                <w:rFonts w:ascii="Book Antiqua" w:hAnsi="Book Antiqua"/>
                <w:color w:val="000000"/>
              </w:rPr>
            </w:pPr>
            <w:r w:rsidRPr="00D12E59">
              <w:rPr>
                <w:rFonts w:ascii="Book Antiqua" w:hAnsi="Book Antiqua"/>
                <w:color w:val="000000"/>
              </w:rPr>
              <w:t>9.2806</w:t>
            </w:r>
          </w:p>
        </w:tc>
      </w:tr>
      <w:tr w:rsidR="009A4866" w:rsidRPr="00D12E59" w14:paraId="69D2B000"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1B2B1283" w14:textId="77777777" w:rsidR="009A4866" w:rsidRPr="00D12E59" w:rsidRDefault="009A4866" w:rsidP="00394697">
            <w:pPr>
              <w:rPr>
                <w:rFonts w:ascii="Book Antiqua" w:hAnsi="Book Antiqua"/>
                <w:color w:val="000000"/>
              </w:rPr>
            </w:pPr>
            <w:r w:rsidRPr="00D12E59">
              <w:rPr>
                <w:rFonts w:ascii="Book Antiqua" w:hAnsi="Book Antiqua"/>
                <w:color w:val="000000"/>
              </w:rPr>
              <w:t>Tanker</w:t>
            </w:r>
          </w:p>
        </w:tc>
        <w:tc>
          <w:tcPr>
            <w:tcW w:w="1016" w:type="dxa"/>
            <w:tcBorders>
              <w:top w:val="nil"/>
              <w:left w:val="nil"/>
              <w:bottom w:val="nil"/>
              <w:right w:val="nil"/>
            </w:tcBorders>
            <w:shd w:val="clear" w:color="auto" w:fill="auto"/>
            <w:noWrap/>
            <w:vAlign w:val="center"/>
            <w:hideMark/>
          </w:tcPr>
          <w:p w14:paraId="5E71F132" w14:textId="77777777" w:rsidR="009A4866" w:rsidRPr="00D12E59" w:rsidRDefault="009A4866" w:rsidP="00394697">
            <w:pPr>
              <w:rPr>
                <w:rFonts w:ascii="Book Antiqua" w:hAnsi="Book Antiqua"/>
                <w:color w:val="000000"/>
              </w:rPr>
            </w:pPr>
            <w:r w:rsidRPr="00D12E59">
              <w:rPr>
                <w:rFonts w:ascii="Book Antiqua" w:hAnsi="Book Antiqua"/>
                <w:color w:val="000000"/>
              </w:rPr>
              <w:t>M13</w:t>
            </w:r>
          </w:p>
        </w:tc>
        <w:tc>
          <w:tcPr>
            <w:tcW w:w="1376" w:type="dxa"/>
            <w:tcBorders>
              <w:top w:val="nil"/>
              <w:left w:val="nil"/>
              <w:bottom w:val="nil"/>
              <w:right w:val="nil"/>
            </w:tcBorders>
            <w:shd w:val="clear" w:color="auto" w:fill="auto"/>
            <w:noWrap/>
            <w:vAlign w:val="center"/>
            <w:hideMark/>
          </w:tcPr>
          <w:p w14:paraId="543F018D" w14:textId="77777777" w:rsidR="009A4866" w:rsidRPr="00D12E59" w:rsidRDefault="009A4866" w:rsidP="00394697">
            <w:pPr>
              <w:rPr>
                <w:rFonts w:ascii="Book Antiqua" w:hAnsi="Book Antiqua"/>
                <w:color w:val="000000"/>
              </w:rPr>
            </w:pPr>
            <w:r w:rsidRPr="00D12E59">
              <w:rPr>
                <w:rFonts w:ascii="Book Antiqua" w:hAnsi="Book Antiqua"/>
                <w:color w:val="000000"/>
              </w:rPr>
              <w:t>0.4340</w:t>
            </w:r>
          </w:p>
        </w:tc>
        <w:tc>
          <w:tcPr>
            <w:tcW w:w="1516" w:type="dxa"/>
            <w:tcBorders>
              <w:top w:val="nil"/>
              <w:left w:val="nil"/>
              <w:bottom w:val="nil"/>
              <w:right w:val="nil"/>
            </w:tcBorders>
            <w:shd w:val="clear" w:color="auto" w:fill="auto"/>
            <w:noWrap/>
            <w:vAlign w:val="center"/>
            <w:hideMark/>
          </w:tcPr>
          <w:p w14:paraId="102B57C4" w14:textId="77777777" w:rsidR="009A4866" w:rsidRPr="00D12E59" w:rsidRDefault="009A4866" w:rsidP="00394697">
            <w:pPr>
              <w:rPr>
                <w:rFonts w:ascii="Book Antiqua" w:hAnsi="Book Antiqua"/>
                <w:color w:val="000000"/>
              </w:rPr>
            </w:pPr>
            <w:r w:rsidRPr="00D12E59">
              <w:rPr>
                <w:rFonts w:ascii="Book Antiqua" w:hAnsi="Book Antiqua"/>
                <w:color w:val="000000"/>
              </w:rPr>
              <w:t>14.3106</w:t>
            </w:r>
          </w:p>
        </w:tc>
      </w:tr>
      <w:tr w:rsidR="009A4866" w:rsidRPr="00D12E59" w14:paraId="0B98A132" w14:textId="77777777" w:rsidTr="009A4866">
        <w:trPr>
          <w:trHeight w:val="315"/>
          <w:jc w:val="center"/>
        </w:trPr>
        <w:tc>
          <w:tcPr>
            <w:tcW w:w="1716" w:type="dxa"/>
            <w:tcBorders>
              <w:top w:val="nil"/>
              <w:left w:val="nil"/>
              <w:bottom w:val="nil"/>
              <w:right w:val="nil"/>
            </w:tcBorders>
            <w:shd w:val="clear" w:color="auto" w:fill="auto"/>
            <w:noWrap/>
            <w:vAlign w:val="center"/>
            <w:hideMark/>
          </w:tcPr>
          <w:p w14:paraId="52B6D9DF" w14:textId="77777777" w:rsidR="009A4866" w:rsidRPr="00D12E59" w:rsidRDefault="009A4866" w:rsidP="00394697">
            <w:pPr>
              <w:rPr>
                <w:rFonts w:ascii="Book Antiqua" w:hAnsi="Book Antiqua"/>
                <w:color w:val="000000"/>
              </w:rPr>
            </w:pPr>
            <w:r w:rsidRPr="00D12E59">
              <w:rPr>
                <w:rFonts w:ascii="Book Antiqua" w:hAnsi="Book Antiqua"/>
                <w:color w:val="000000"/>
              </w:rPr>
              <w:t>Lego</w:t>
            </w:r>
          </w:p>
        </w:tc>
        <w:tc>
          <w:tcPr>
            <w:tcW w:w="1016" w:type="dxa"/>
            <w:tcBorders>
              <w:top w:val="nil"/>
              <w:left w:val="nil"/>
              <w:bottom w:val="nil"/>
              <w:right w:val="nil"/>
            </w:tcBorders>
            <w:shd w:val="clear" w:color="auto" w:fill="auto"/>
            <w:noWrap/>
            <w:vAlign w:val="center"/>
            <w:hideMark/>
          </w:tcPr>
          <w:p w14:paraId="4BD1331A" w14:textId="77777777" w:rsidR="009A4866" w:rsidRPr="00D12E59" w:rsidRDefault="009A4866" w:rsidP="00394697">
            <w:pPr>
              <w:rPr>
                <w:rFonts w:ascii="Book Antiqua" w:hAnsi="Book Antiqua"/>
                <w:color w:val="000000"/>
              </w:rPr>
            </w:pPr>
            <w:r w:rsidRPr="00D12E59">
              <w:rPr>
                <w:rFonts w:ascii="Book Antiqua" w:hAnsi="Book Antiqua"/>
                <w:color w:val="000000"/>
              </w:rPr>
              <w:t>M14</w:t>
            </w:r>
          </w:p>
        </w:tc>
        <w:tc>
          <w:tcPr>
            <w:tcW w:w="1376" w:type="dxa"/>
            <w:tcBorders>
              <w:top w:val="nil"/>
              <w:left w:val="nil"/>
              <w:bottom w:val="nil"/>
              <w:right w:val="nil"/>
            </w:tcBorders>
            <w:shd w:val="clear" w:color="auto" w:fill="auto"/>
            <w:noWrap/>
            <w:vAlign w:val="center"/>
            <w:hideMark/>
          </w:tcPr>
          <w:p w14:paraId="33A24649" w14:textId="77777777" w:rsidR="009A4866" w:rsidRPr="00D12E59" w:rsidRDefault="009A4866" w:rsidP="00394697">
            <w:pPr>
              <w:rPr>
                <w:rFonts w:ascii="Book Antiqua" w:hAnsi="Book Antiqua"/>
                <w:color w:val="000000"/>
              </w:rPr>
            </w:pPr>
            <w:r w:rsidRPr="00D12E59">
              <w:rPr>
                <w:rFonts w:ascii="Book Antiqua" w:hAnsi="Book Antiqua"/>
                <w:color w:val="000000"/>
              </w:rPr>
              <w:t>0.3348</w:t>
            </w:r>
          </w:p>
        </w:tc>
        <w:tc>
          <w:tcPr>
            <w:tcW w:w="1516" w:type="dxa"/>
            <w:tcBorders>
              <w:top w:val="nil"/>
              <w:left w:val="nil"/>
              <w:bottom w:val="nil"/>
              <w:right w:val="nil"/>
            </w:tcBorders>
            <w:shd w:val="clear" w:color="auto" w:fill="auto"/>
            <w:noWrap/>
            <w:vAlign w:val="center"/>
            <w:hideMark/>
          </w:tcPr>
          <w:p w14:paraId="736F3030" w14:textId="77777777" w:rsidR="009A4866" w:rsidRPr="00D12E59" w:rsidRDefault="009A4866" w:rsidP="00394697">
            <w:pPr>
              <w:rPr>
                <w:rFonts w:ascii="Book Antiqua" w:hAnsi="Book Antiqua"/>
                <w:color w:val="000000"/>
              </w:rPr>
            </w:pPr>
            <w:r w:rsidRPr="00D12E59">
              <w:rPr>
                <w:rFonts w:ascii="Book Antiqua" w:hAnsi="Book Antiqua"/>
                <w:color w:val="000000"/>
              </w:rPr>
              <w:t>4.3106</w:t>
            </w:r>
          </w:p>
        </w:tc>
      </w:tr>
      <w:tr w:rsidR="009A4866" w:rsidRPr="00D12E59" w14:paraId="06114FC4" w14:textId="77777777" w:rsidTr="009A4866">
        <w:trPr>
          <w:trHeight w:val="315"/>
          <w:jc w:val="center"/>
        </w:trPr>
        <w:tc>
          <w:tcPr>
            <w:tcW w:w="1716" w:type="dxa"/>
            <w:tcBorders>
              <w:top w:val="nil"/>
              <w:left w:val="nil"/>
              <w:bottom w:val="single" w:sz="4" w:space="0" w:color="auto"/>
              <w:right w:val="nil"/>
            </w:tcBorders>
            <w:shd w:val="clear" w:color="auto" w:fill="auto"/>
            <w:noWrap/>
            <w:vAlign w:val="center"/>
            <w:hideMark/>
          </w:tcPr>
          <w:p w14:paraId="796CA319" w14:textId="77777777" w:rsidR="009A4866" w:rsidRPr="00D12E59" w:rsidRDefault="009A4866" w:rsidP="00394697">
            <w:pPr>
              <w:rPr>
                <w:rFonts w:ascii="Book Antiqua" w:hAnsi="Book Antiqua"/>
                <w:color w:val="000000"/>
              </w:rPr>
            </w:pPr>
            <w:r w:rsidRPr="00D12E59">
              <w:rPr>
                <w:rFonts w:ascii="Book Antiqua" w:hAnsi="Book Antiqua"/>
                <w:color w:val="000000"/>
              </w:rPr>
              <w:t>Wrist Watch</w:t>
            </w:r>
          </w:p>
        </w:tc>
        <w:tc>
          <w:tcPr>
            <w:tcW w:w="1016" w:type="dxa"/>
            <w:tcBorders>
              <w:top w:val="nil"/>
              <w:left w:val="nil"/>
              <w:bottom w:val="single" w:sz="4" w:space="0" w:color="auto"/>
              <w:right w:val="nil"/>
            </w:tcBorders>
            <w:shd w:val="clear" w:color="auto" w:fill="auto"/>
            <w:noWrap/>
            <w:vAlign w:val="center"/>
            <w:hideMark/>
          </w:tcPr>
          <w:p w14:paraId="57B9EF2A" w14:textId="77777777" w:rsidR="009A4866" w:rsidRPr="00D12E59" w:rsidRDefault="009A4866" w:rsidP="00394697">
            <w:pPr>
              <w:rPr>
                <w:rFonts w:ascii="Book Antiqua" w:hAnsi="Book Antiqua"/>
                <w:color w:val="000000"/>
              </w:rPr>
            </w:pPr>
            <w:r w:rsidRPr="00D12E59">
              <w:rPr>
                <w:rFonts w:ascii="Book Antiqua" w:hAnsi="Book Antiqua"/>
                <w:color w:val="000000"/>
              </w:rPr>
              <w:t>M15</w:t>
            </w:r>
          </w:p>
        </w:tc>
        <w:tc>
          <w:tcPr>
            <w:tcW w:w="1376" w:type="dxa"/>
            <w:tcBorders>
              <w:top w:val="nil"/>
              <w:left w:val="nil"/>
              <w:bottom w:val="single" w:sz="4" w:space="0" w:color="auto"/>
              <w:right w:val="nil"/>
            </w:tcBorders>
            <w:shd w:val="clear" w:color="auto" w:fill="auto"/>
            <w:noWrap/>
            <w:vAlign w:val="center"/>
            <w:hideMark/>
          </w:tcPr>
          <w:p w14:paraId="13190C7B" w14:textId="77777777" w:rsidR="009A4866" w:rsidRPr="00D12E59" w:rsidRDefault="009A4866" w:rsidP="00394697">
            <w:pPr>
              <w:rPr>
                <w:rFonts w:ascii="Book Antiqua" w:hAnsi="Book Antiqua"/>
                <w:color w:val="000000"/>
              </w:rPr>
            </w:pPr>
            <w:r w:rsidRPr="00D12E59">
              <w:rPr>
                <w:rFonts w:ascii="Book Antiqua" w:hAnsi="Book Antiqua"/>
                <w:color w:val="000000"/>
              </w:rPr>
              <w:t>0.2687</w:t>
            </w:r>
          </w:p>
        </w:tc>
        <w:tc>
          <w:tcPr>
            <w:tcW w:w="1516" w:type="dxa"/>
            <w:tcBorders>
              <w:top w:val="nil"/>
              <w:left w:val="nil"/>
              <w:bottom w:val="single" w:sz="4" w:space="0" w:color="auto"/>
              <w:right w:val="nil"/>
            </w:tcBorders>
            <w:shd w:val="clear" w:color="auto" w:fill="auto"/>
            <w:noWrap/>
            <w:vAlign w:val="center"/>
            <w:hideMark/>
          </w:tcPr>
          <w:p w14:paraId="43008594" w14:textId="77777777" w:rsidR="009A4866" w:rsidRPr="00D12E59" w:rsidRDefault="009A4866" w:rsidP="00394697">
            <w:pPr>
              <w:rPr>
                <w:rFonts w:ascii="Book Antiqua" w:hAnsi="Book Antiqua"/>
                <w:color w:val="000000"/>
              </w:rPr>
            </w:pPr>
            <w:r w:rsidRPr="00D12E59">
              <w:rPr>
                <w:rFonts w:ascii="Book Antiqua" w:hAnsi="Book Antiqua"/>
                <w:color w:val="000000"/>
              </w:rPr>
              <w:t>7.5430</w:t>
            </w:r>
          </w:p>
        </w:tc>
      </w:tr>
      <w:tr w:rsidR="009A4866" w:rsidRPr="00D12E59" w14:paraId="69E0BCB2" w14:textId="77777777" w:rsidTr="009A4866">
        <w:trPr>
          <w:trHeight w:val="315"/>
          <w:jc w:val="center"/>
        </w:trPr>
        <w:tc>
          <w:tcPr>
            <w:tcW w:w="2732" w:type="dxa"/>
            <w:gridSpan w:val="2"/>
            <w:tcBorders>
              <w:top w:val="nil"/>
              <w:left w:val="nil"/>
              <w:bottom w:val="nil"/>
              <w:right w:val="nil"/>
            </w:tcBorders>
            <w:shd w:val="clear" w:color="auto" w:fill="auto"/>
            <w:vAlign w:val="center"/>
            <w:hideMark/>
          </w:tcPr>
          <w:p w14:paraId="612DD33D" w14:textId="77777777" w:rsidR="009A4866" w:rsidRPr="00D12E59" w:rsidRDefault="009A4866" w:rsidP="00394697">
            <w:pPr>
              <w:rPr>
                <w:rFonts w:ascii="Book Antiqua" w:hAnsi="Book Antiqua"/>
                <w:color w:val="000000"/>
              </w:rPr>
            </w:pPr>
            <w:r w:rsidRPr="00D12E59">
              <w:rPr>
                <w:rFonts w:ascii="Book Antiqua" w:hAnsi="Book Antiqua"/>
                <w:color w:val="000000"/>
              </w:rPr>
              <w:t>Mean</w:t>
            </w:r>
          </w:p>
        </w:tc>
        <w:tc>
          <w:tcPr>
            <w:tcW w:w="1376" w:type="dxa"/>
            <w:tcBorders>
              <w:top w:val="nil"/>
              <w:left w:val="nil"/>
              <w:bottom w:val="nil"/>
              <w:right w:val="nil"/>
            </w:tcBorders>
            <w:shd w:val="clear" w:color="auto" w:fill="auto"/>
            <w:noWrap/>
            <w:vAlign w:val="center"/>
            <w:hideMark/>
          </w:tcPr>
          <w:p w14:paraId="360DBE7A" w14:textId="77777777" w:rsidR="009A4866" w:rsidRPr="00D12E59" w:rsidRDefault="009A4866" w:rsidP="00394697">
            <w:pPr>
              <w:rPr>
                <w:rFonts w:ascii="Book Antiqua" w:hAnsi="Book Antiqua"/>
                <w:color w:val="000000"/>
              </w:rPr>
            </w:pPr>
            <w:r w:rsidRPr="00D12E59">
              <w:rPr>
                <w:rFonts w:ascii="Book Antiqua" w:hAnsi="Book Antiqua"/>
                <w:color w:val="000000"/>
              </w:rPr>
              <w:t>0.3561</w:t>
            </w:r>
          </w:p>
        </w:tc>
        <w:tc>
          <w:tcPr>
            <w:tcW w:w="1516" w:type="dxa"/>
            <w:tcBorders>
              <w:top w:val="nil"/>
              <w:left w:val="nil"/>
              <w:bottom w:val="nil"/>
              <w:right w:val="nil"/>
            </w:tcBorders>
            <w:shd w:val="clear" w:color="auto" w:fill="auto"/>
            <w:noWrap/>
            <w:vAlign w:val="center"/>
            <w:hideMark/>
          </w:tcPr>
          <w:p w14:paraId="485116B3" w14:textId="77777777" w:rsidR="009A4866" w:rsidRPr="00D12E59" w:rsidRDefault="009A4866" w:rsidP="00394697">
            <w:pPr>
              <w:rPr>
                <w:rFonts w:ascii="Book Antiqua" w:hAnsi="Book Antiqua"/>
                <w:color w:val="000000"/>
              </w:rPr>
            </w:pPr>
            <w:r w:rsidRPr="00D12E59">
              <w:rPr>
                <w:rFonts w:ascii="Book Antiqua" w:hAnsi="Book Antiqua"/>
                <w:color w:val="000000"/>
              </w:rPr>
              <w:t>14.1948</w:t>
            </w:r>
          </w:p>
        </w:tc>
      </w:tr>
      <w:tr w:rsidR="009A4866" w:rsidRPr="00D12E59" w14:paraId="39CA39A2" w14:textId="77777777" w:rsidTr="009A4866">
        <w:trPr>
          <w:trHeight w:val="315"/>
          <w:jc w:val="center"/>
        </w:trPr>
        <w:tc>
          <w:tcPr>
            <w:tcW w:w="2732" w:type="dxa"/>
            <w:gridSpan w:val="2"/>
            <w:tcBorders>
              <w:top w:val="nil"/>
              <w:left w:val="nil"/>
              <w:bottom w:val="nil"/>
              <w:right w:val="nil"/>
            </w:tcBorders>
            <w:shd w:val="clear" w:color="auto" w:fill="auto"/>
            <w:vAlign w:val="center"/>
            <w:hideMark/>
          </w:tcPr>
          <w:p w14:paraId="6DB3F98A" w14:textId="77777777" w:rsidR="009A4866" w:rsidRPr="00D12E59" w:rsidRDefault="009A4866" w:rsidP="00394697">
            <w:pPr>
              <w:rPr>
                <w:rFonts w:ascii="Book Antiqua" w:hAnsi="Book Antiqua"/>
                <w:color w:val="000000"/>
              </w:rPr>
            </w:pPr>
            <w:r w:rsidRPr="00D12E59">
              <w:rPr>
                <w:rFonts w:ascii="Book Antiqua" w:hAnsi="Book Antiqua"/>
                <w:color w:val="000000"/>
              </w:rPr>
              <w:t>SD</w:t>
            </w:r>
          </w:p>
        </w:tc>
        <w:tc>
          <w:tcPr>
            <w:tcW w:w="1376" w:type="dxa"/>
            <w:tcBorders>
              <w:top w:val="nil"/>
              <w:left w:val="nil"/>
              <w:bottom w:val="nil"/>
              <w:right w:val="nil"/>
            </w:tcBorders>
            <w:shd w:val="clear" w:color="auto" w:fill="auto"/>
            <w:noWrap/>
            <w:vAlign w:val="center"/>
            <w:hideMark/>
          </w:tcPr>
          <w:p w14:paraId="2C790D28" w14:textId="77777777" w:rsidR="009A4866" w:rsidRPr="00D12E59" w:rsidRDefault="009A4866" w:rsidP="00394697">
            <w:pPr>
              <w:rPr>
                <w:rFonts w:ascii="Book Antiqua" w:hAnsi="Book Antiqua"/>
                <w:color w:val="000000"/>
              </w:rPr>
            </w:pPr>
            <w:r w:rsidRPr="00D12E59">
              <w:rPr>
                <w:rFonts w:ascii="Book Antiqua" w:hAnsi="Book Antiqua"/>
                <w:color w:val="000000"/>
              </w:rPr>
              <w:t>0.1299</w:t>
            </w:r>
          </w:p>
        </w:tc>
        <w:tc>
          <w:tcPr>
            <w:tcW w:w="1516" w:type="dxa"/>
            <w:tcBorders>
              <w:top w:val="nil"/>
              <w:left w:val="nil"/>
              <w:bottom w:val="nil"/>
              <w:right w:val="nil"/>
            </w:tcBorders>
            <w:shd w:val="clear" w:color="auto" w:fill="auto"/>
            <w:noWrap/>
            <w:vAlign w:val="center"/>
            <w:hideMark/>
          </w:tcPr>
          <w:p w14:paraId="3AFA9245" w14:textId="77777777" w:rsidR="009A4866" w:rsidRPr="00D12E59" w:rsidRDefault="009A4866" w:rsidP="00394697">
            <w:pPr>
              <w:rPr>
                <w:rFonts w:ascii="Book Antiqua" w:hAnsi="Book Antiqua"/>
                <w:color w:val="000000"/>
              </w:rPr>
            </w:pPr>
            <w:r w:rsidRPr="00D12E59">
              <w:rPr>
                <w:rFonts w:ascii="Book Antiqua" w:hAnsi="Book Antiqua"/>
                <w:color w:val="000000"/>
              </w:rPr>
              <w:t>13.5433</w:t>
            </w:r>
          </w:p>
        </w:tc>
      </w:tr>
      <w:tr w:rsidR="009A4866" w:rsidRPr="00D12E59" w14:paraId="4C7370D5" w14:textId="77777777" w:rsidTr="009A4866">
        <w:trPr>
          <w:trHeight w:val="315"/>
          <w:jc w:val="center"/>
        </w:trPr>
        <w:tc>
          <w:tcPr>
            <w:tcW w:w="2732" w:type="dxa"/>
            <w:gridSpan w:val="2"/>
            <w:tcBorders>
              <w:top w:val="nil"/>
              <w:left w:val="nil"/>
              <w:bottom w:val="single" w:sz="4" w:space="0" w:color="auto"/>
              <w:right w:val="nil"/>
            </w:tcBorders>
            <w:shd w:val="clear" w:color="auto" w:fill="auto"/>
            <w:noWrap/>
            <w:vAlign w:val="center"/>
            <w:hideMark/>
          </w:tcPr>
          <w:p w14:paraId="1E11CA27" w14:textId="77777777" w:rsidR="009A4866" w:rsidRPr="00D12E59" w:rsidRDefault="009A4866" w:rsidP="00394697">
            <w:pPr>
              <w:rPr>
                <w:rFonts w:ascii="Book Antiqua" w:hAnsi="Book Antiqua"/>
                <w:color w:val="000000"/>
              </w:rPr>
            </w:pPr>
            <w:r w:rsidRPr="00D12E59">
              <w:rPr>
                <w:rFonts w:ascii="Book Antiqua" w:hAnsi="Book Antiqua"/>
                <w:color w:val="000000"/>
              </w:rPr>
              <w:t>RSD</w:t>
            </w:r>
          </w:p>
        </w:tc>
        <w:tc>
          <w:tcPr>
            <w:tcW w:w="1376" w:type="dxa"/>
            <w:tcBorders>
              <w:top w:val="nil"/>
              <w:left w:val="nil"/>
              <w:bottom w:val="single" w:sz="4" w:space="0" w:color="auto"/>
              <w:right w:val="nil"/>
            </w:tcBorders>
            <w:shd w:val="clear" w:color="auto" w:fill="auto"/>
            <w:noWrap/>
            <w:vAlign w:val="bottom"/>
            <w:hideMark/>
          </w:tcPr>
          <w:p w14:paraId="2B850CE4" w14:textId="77777777" w:rsidR="009A4866" w:rsidRPr="00D12E59" w:rsidRDefault="009A4866" w:rsidP="00394697">
            <w:pPr>
              <w:rPr>
                <w:rFonts w:ascii="Book Antiqua" w:hAnsi="Book Antiqua"/>
                <w:color w:val="000000"/>
              </w:rPr>
            </w:pPr>
            <w:r w:rsidRPr="00D12E59">
              <w:rPr>
                <w:rFonts w:ascii="Book Antiqua" w:hAnsi="Book Antiqua"/>
                <w:color w:val="000000"/>
              </w:rPr>
              <w:t>36.4806</w:t>
            </w:r>
          </w:p>
        </w:tc>
        <w:tc>
          <w:tcPr>
            <w:tcW w:w="1516" w:type="dxa"/>
            <w:tcBorders>
              <w:top w:val="nil"/>
              <w:left w:val="nil"/>
              <w:bottom w:val="single" w:sz="4" w:space="0" w:color="auto"/>
              <w:right w:val="nil"/>
            </w:tcBorders>
            <w:shd w:val="clear" w:color="auto" w:fill="auto"/>
            <w:noWrap/>
            <w:vAlign w:val="bottom"/>
            <w:hideMark/>
          </w:tcPr>
          <w:p w14:paraId="2A4C4EB0" w14:textId="77777777" w:rsidR="009A4866" w:rsidRPr="00D12E59" w:rsidRDefault="009A4866" w:rsidP="00394697">
            <w:pPr>
              <w:rPr>
                <w:rFonts w:ascii="Book Antiqua" w:hAnsi="Book Antiqua"/>
                <w:color w:val="000000"/>
              </w:rPr>
            </w:pPr>
            <w:r w:rsidRPr="00D12E59">
              <w:rPr>
                <w:rFonts w:ascii="Book Antiqua" w:hAnsi="Book Antiqua"/>
                <w:color w:val="000000"/>
              </w:rPr>
              <w:t>95.4100</w:t>
            </w:r>
          </w:p>
        </w:tc>
      </w:tr>
    </w:tbl>
    <w:p w14:paraId="03BC6C61" w14:textId="77777777" w:rsidR="0031591D" w:rsidRDefault="0031591D" w:rsidP="00394697">
      <w:pPr>
        <w:rPr>
          <w:rFonts w:ascii="Book Antiqua" w:hAnsi="Book Antiqua"/>
        </w:rPr>
        <w:sectPr w:rsidR="0031591D" w:rsidSect="008F6BC9">
          <w:type w:val="continuous"/>
          <w:pgSz w:w="11907" w:h="16839" w:code="9"/>
          <w:pgMar w:top="1440" w:right="1440" w:bottom="1440" w:left="1440" w:header="720" w:footer="720" w:gutter="0"/>
          <w:cols w:space="720"/>
          <w:docGrid w:linePitch="360"/>
        </w:sectPr>
      </w:pPr>
    </w:p>
    <w:p w14:paraId="6E968646" w14:textId="77777777" w:rsidR="004B509C" w:rsidRDefault="004B509C" w:rsidP="00394697">
      <w:pPr>
        <w:rPr>
          <w:rFonts w:ascii="Book Antiqua" w:hAnsi="Book Antiqua"/>
          <w:b/>
        </w:rPr>
      </w:pPr>
    </w:p>
    <w:p w14:paraId="1FAA1EBF" w14:textId="77777777" w:rsidR="004B509C" w:rsidRDefault="004B509C" w:rsidP="00394697">
      <w:pPr>
        <w:rPr>
          <w:rFonts w:ascii="Book Antiqua" w:hAnsi="Book Antiqua"/>
          <w:b/>
        </w:rPr>
      </w:pPr>
    </w:p>
    <w:p w14:paraId="5C6A4DD7" w14:textId="77777777" w:rsidR="004B509C" w:rsidRDefault="004B509C" w:rsidP="00394697">
      <w:pPr>
        <w:rPr>
          <w:rFonts w:ascii="Book Antiqua" w:hAnsi="Book Antiqua"/>
          <w:b/>
        </w:rPr>
      </w:pPr>
    </w:p>
    <w:p w14:paraId="753923BE" w14:textId="77777777" w:rsidR="004B509C" w:rsidRDefault="004B509C" w:rsidP="00394697">
      <w:pPr>
        <w:rPr>
          <w:rFonts w:ascii="Book Antiqua" w:hAnsi="Book Antiqua"/>
          <w:b/>
        </w:rPr>
      </w:pPr>
    </w:p>
    <w:p w14:paraId="2C1D2CC8" w14:textId="77777777" w:rsidR="009A4866" w:rsidRPr="00E3232D" w:rsidRDefault="00F3609E" w:rsidP="00394697">
      <w:pPr>
        <w:rPr>
          <w:rFonts w:ascii="Book Antiqua" w:hAnsi="Book Antiqua"/>
          <w:b/>
        </w:rPr>
      </w:pPr>
      <w:r>
        <w:rPr>
          <w:rFonts w:ascii="Book Antiqua" w:hAnsi="Book Antiqua"/>
          <w:b/>
        </w:rPr>
        <w:t>Table</w:t>
      </w:r>
      <w:r w:rsidR="009A4866" w:rsidRPr="00E3232D">
        <w:rPr>
          <w:rFonts w:ascii="Book Antiqua" w:hAnsi="Book Antiqua"/>
          <w:b/>
        </w:rPr>
        <w:t>2. Mean concentration</w:t>
      </w:r>
      <w:r>
        <w:rPr>
          <w:rFonts w:ascii="Book Antiqua" w:hAnsi="Book Antiqua"/>
          <w:b/>
        </w:rPr>
        <w:t xml:space="preserve"> </w:t>
      </w:r>
      <w:r w:rsidR="009A4866" w:rsidRPr="00E3232D">
        <w:rPr>
          <w:rFonts w:ascii="Book Antiqua" w:hAnsi="Book Antiqua"/>
          <w:b/>
        </w:rPr>
        <w:t>(mg/kg) of cadmium (Cd) and lead</w:t>
      </w:r>
      <w:r>
        <w:rPr>
          <w:rFonts w:ascii="Book Antiqua" w:hAnsi="Book Antiqua"/>
          <w:b/>
        </w:rPr>
        <w:t xml:space="preserve"> </w:t>
      </w:r>
      <w:r w:rsidR="009A4866" w:rsidRPr="00E3232D">
        <w:rPr>
          <w:rFonts w:ascii="Book Antiqua" w:hAnsi="Book Antiqua"/>
          <w:b/>
        </w:rPr>
        <w:t xml:space="preserve">(Pb) in toys sampled from </w:t>
      </w:r>
    </w:p>
    <w:p w14:paraId="764BB8C3" w14:textId="77777777" w:rsidR="009A4866" w:rsidRPr="00E3232D" w:rsidRDefault="009A4866" w:rsidP="00394697">
      <w:pPr>
        <w:rPr>
          <w:rFonts w:ascii="Book Antiqua" w:hAnsi="Book Antiqua"/>
          <w:b/>
        </w:rPr>
      </w:pPr>
      <w:r w:rsidRPr="00E3232D">
        <w:rPr>
          <w:rFonts w:ascii="Book Antiqua" w:hAnsi="Book Antiqua"/>
          <w:b/>
        </w:rPr>
        <w:tab/>
        <w:t xml:space="preserve">   Kasoa, Central Region. </w:t>
      </w:r>
    </w:p>
    <w:tbl>
      <w:tblPr>
        <w:tblW w:w="4904" w:type="dxa"/>
        <w:jc w:val="center"/>
        <w:tblLook w:val="04A0" w:firstRow="1" w:lastRow="0" w:firstColumn="1" w:lastColumn="0" w:noHBand="0" w:noVBand="1"/>
      </w:tblPr>
      <w:tblGrid>
        <w:gridCol w:w="1696"/>
        <w:gridCol w:w="976"/>
        <w:gridCol w:w="1219"/>
        <w:gridCol w:w="1116"/>
      </w:tblGrid>
      <w:tr w:rsidR="009A4866" w:rsidRPr="00D12E59" w14:paraId="22A999B7" w14:textId="77777777" w:rsidTr="009A4866">
        <w:trPr>
          <w:trHeight w:val="315"/>
          <w:jc w:val="center"/>
        </w:trPr>
        <w:tc>
          <w:tcPr>
            <w:tcW w:w="1696" w:type="dxa"/>
            <w:tcBorders>
              <w:top w:val="single" w:sz="4" w:space="0" w:color="auto"/>
              <w:left w:val="nil"/>
              <w:bottom w:val="single" w:sz="4" w:space="0" w:color="auto"/>
              <w:right w:val="nil"/>
            </w:tcBorders>
            <w:shd w:val="clear" w:color="auto" w:fill="auto"/>
            <w:noWrap/>
            <w:vAlign w:val="center"/>
            <w:hideMark/>
          </w:tcPr>
          <w:p w14:paraId="51FC1550" w14:textId="77777777" w:rsidR="009A4866" w:rsidRPr="00D12E59" w:rsidRDefault="009A4866" w:rsidP="00394697">
            <w:pPr>
              <w:rPr>
                <w:rFonts w:ascii="Book Antiqua" w:hAnsi="Book Antiqua"/>
                <w:b/>
                <w:color w:val="000000"/>
              </w:rPr>
            </w:pPr>
            <w:r w:rsidRPr="00D12E59">
              <w:rPr>
                <w:rFonts w:ascii="Book Antiqua" w:hAnsi="Book Antiqua"/>
                <w:b/>
                <w:color w:val="000000"/>
              </w:rPr>
              <w:t>Sample</w:t>
            </w:r>
          </w:p>
        </w:tc>
        <w:tc>
          <w:tcPr>
            <w:tcW w:w="976" w:type="dxa"/>
            <w:tcBorders>
              <w:top w:val="single" w:sz="4" w:space="0" w:color="auto"/>
              <w:left w:val="nil"/>
              <w:bottom w:val="nil"/>
              <w:right w:val="nil"/>
            </w:tcBorders>
            <w:shd w:val="clear" w:color="auto" w:fill="auto"/>
            <w:noWrap/>
            <w:vAlign w:val="center"/>
            <w:hideMark/>
          </w:tcPr>
          <w:p w14:paraId="4ECA7D4C" w14:textId="77777777" w:rsidR="009A4866" w:rsidRPr="00D12E59" w:rsidRDefault="009A4866" w:rsidP="00394697">
            <w:pPr>
              <w:rPr>
                <w:rFonts w:ascii="Book Antiqua" w:hAnsi="Book Antiqua"/>
                <w:b/>
                <w:color w:val="000000"/>
              </w:rPr>
            </w:pPr>
            <w:r w:rsidRPr="00D12E59">
              <w:rPr>
                <w:rFonts w:ascii="Book Antiqua" w:hAnsi="Book Antiqua"/>
                <w:b/>
                <w:color w:val="000000"/>
              </w:rPr>
              <w:t>code</w:t>
            </w:r>
          </w:p>
        </w:tc>
        <w:tc>
          <w:tcPr>
            <w:tcW w:w="1116" w:type="dxa"/>
            <w:tcBorders>
              <w:top w:val="single" w:sz="4" w:space="0" w:color="auto"/>
              <w:left w:val="nil"/>
              <w:bottom w:val="single" w:sz="4" w:space="0" w:color="auto"/>
              <w:right w:val="nil"/>
            </w:tcBorders>
            <w:shd w:val="clear" w:color="auto" w:fill="auto"/>
            <w:noWrap/>
            <w:vAlign w:val="center"/>
            <w:hideMark/>
          </w:tcPr>
          <w:p w14:paraId="4935A147" w14:textId="77777777" w:rsidR="009A4866" w:rsidRPr="00D12E59" w:rsidRDefault="009A4866" w:rsidP="00394697">
            <w:pPr>
              <w:rPr>
                <w:rFonts w:ascii="Book Antiqua" w:hAnsi="Book Antiqua"/>
                <w:b/>
                <w:color w:val="000000"/>
              </w:rPr>
            </w:pPr>
            <w:r w:rsidRPr="00D12E59">
              <w:rPr>
                <w:rFonts w:ascii="Book Antiqua" w:hAnsi="Book Antiqua"/>
                <w:b/>
                <w:color w:val="000000"/>
              </w:rPr>
              <w:t>Cadmium</w:t>
            </w:r>
          </w:p>
        </w:tc>
        <w:tc>
          <w:tcPr>
            <w:tcW w:w="1116" w:type="dxa"/>
            <w:tcBorders>
              <w:top w:val="single" w:sz="4" w:space="0" w:color="auto"/>
              <w:left w:val="nil"/>
              <w:bottom w:val="single" w:sz="4" w:space="0" w:color="auto"/>
              <w:right w:val="nil"/>
            </w:tcBorders>
            <w:shd w:val="clear" w:color="auto" w:fill="auto"/>
            <w:noWrap/>
            <w:vAlign w:val="center"/>
            <w:hideMark/>
          </w:tcPr>
          <w:p w14:paraId="29790460" w14:textId="77777777" w:rsidR="009A4866" w:rsidRPr="00D12E59" w:rsidRDefault="009A4866" w:rsidP="00394697">
            <w:pPr>
              <w:rPr>
                <w:rFonts w:ascii="Book Antiqua" w:hAnsi="Book Antiqua"/>
                <w:b/>
                <w:color w:val="000000"/>
              </w:rPr>
            </w:pPr>
            <w:r w:rsidRPr="00D12E59">
              <w:rPr>
                <w:rFonts w:ascii="Book Antiqua" w:hAnsi="Book Antiqua"/>
                <w:b/>
                <w:color w:val="000000"/>
              </w:rPr>
              <w:t>Lead</w:t>
            </w:r>
          </w:p>
        </w:tc>
      </w:tr>
      <w:tr w:rsidR="009A4866" w:rsidRPr="00D12E59" w14:paraId="52FAC19C"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5F7AB5DB" w14:textId="77777777" w:rsidR="009A4866" w:rsidRPr="00D12E59" w:rsidRDefault="009A4866" w:rsidP="00394697">
            <w:pPr>
              <w:rPr>
                <w:rFonts w:ascii="Book Antiqua" w:hAnsi="Book Antiqua"/>
                <w:color w:val="000000"/>
              </w:rPr>
            </w:pPr>
            <w:r w:rsidRPr="00D12E59">
              <w:rPr>
                <w:rFonts w:ascii="Book Antiqua" w:hAnsi="Book Antiqua"/>
                <w:color w:val="000000"/>
              </w:rPr>
              <w:t>Airplane</w:t>
            </w:r>
          </w:p>
        </w:tc>
        <w:tc>
          <w:tcPr>
            <w:tcW w:w="976" w:type="dxa"/>
            <w:tcBorders>
              <w:top w:val="single" w:sz="4" w:space="0" w:color="auto"/>
              <w:left w:val="nil"/>
              <w:bottom w:val="nil"/>
              <w:right w:val="nil"/>
            </w:tcBorders>
            <w:shd w:val="clear" w:color="auto" w:fill="auto"/>
            <w:noWrap/>
            <w:vAlign w:val="center"/>
            <w:hideMark/>
          </w:tcPr>
          <w:p w14:paraId="019F6B21" w14:textId="77777777" w:rsidR="009A4866" w:rsidRPr="00D12E59" w:rsidRDefault="009A4866" w:rsidP="00394697">
            <w:pPr>
              <w:rPr>
                <w:rFonts w:ascii="Book Antiqua" w:hAnsi="Book Antiqua"/>
                <w:color w:val="000000"/>
              </w:rPr>
            </w:pPr>
            <w:r w:rsidRPr="00D12E59">
              <w:rPr>
                <w:rFonts w:ascii="Book Antiqua" w:hAnsi="Book Antiqua"/>
                <w:color w:val="000000"/>
              </w:rPr>
              <w:t>K1</w:t>
            </w:r>
          </w:p>
        </w:tc>
        <w:tc>
          <w:tcPr>
            <w:tcW w:w="1116" w:type="dxa"/>
            <w:tcBorders>
              <w:top w:val="nil"/>
              <w:left w:val="nil"/>
              <w:bottom w:val="nil"/>
              <w:right w:val="nil"/>
            </w:tcBorders>
            <w:shd w:val="clear" w:color="auto" w:fill="auto"/>
            <w:noWrap/>
            <w:vAlign w:val="center"/>
            <w:hideMark/>
          </w:tcPr>
          <w:p w14:paraId="5BDD78EC" w14:textId="77777777" w:rsidR="009A4866" w:rsidRPr="00D12E59" w:rsidRDefault="009A4866" w:rsidP="00394697">
            <w:pPr>
              <w:rPr>
                <w:rFonts w:ascii="Book Antiqua" w:hAnsi="Book Antiqua"/>
                <w:color w:val="000000"/>
              </w:rPr>
            </w:pPr>
            <w:r w:rsidRPr="00D12E59">
              <w:rPr>
                <w:rFonts w:ascii="Book Antiqua" w:hAnsi="Book Antiqua"/>
                <w:color w:val="000000"/>
              </w:rPr>
              <w:t>0.1058</w:t>
            </w:r>
          </w:p>
        </w:tc>
        <w:tc>
          <w:tcPr>
            <w:tcW w:w="1116" w:type="dxa"/>
            <w:tcBorders>
              <w:top w:val="nil"/>
              <w:left w:val="nil"/>
              <w:bottom w:val="nil"/>
              <w:right w:val="nil"/>
            </w:tcBorders>
            <w:shd w:val="clear" w:color="auto" w:fill="auto"/>
            <w:noWrap/>
            <w:vAlign w:val="center"/>
            <w:hideMark/>
          </w:tcPr>
          <w:p w14:paraId="5A74EED2" w14:textId="77777777" w:rsidR="009A4866" w:rsidRPr="00D12E59" w:rsidRDefault="009A4866" w:rsidP="00394697">
            <w:pPr>
              <w:rPr>
                <w:rFonts w:ascii="Book Antiqua" w:hAnsi="Book Antiqua"/>
                <w:color w:val="000000"/>
              </w:rPr>
            </w:pPr>
            <w:r w:rsidRPr="00D12E59">
              <w:rPr>
                <w:rFonts w:ascii="Book Antiqua" w:hAnsi="Book Antiqua"/>
                <w:color w:val="000000"/>
              </w:rPr>
              <w:t>2.3254</w:t>
            </w:r>
          </w:p>
        </w:tc>
      </w:tr>
      <w:tr w:rsidR="009A4866" w:rsidRPr="00D12E59" w14:paraId="03B98E7B"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78E256E9" w14:textId="77777777" w:rsidR="009A4866" w:rsidRPr="00D12E59" w:rsidRDefault="009A4866" w:rsidP="00394697">
            <w:pPr>
              <w:rPr>
                <w:rFonts w:ascii="Book Antiqua" w:hAnsi="Book Antiqua"/>
                <w:color w:val="000000"/>
              </w:rPr>
            </w:pPr>
            <w:r w:rsidRPr="00D12E59">
              <w:rPr>
                <w:rFonts w:ascii="Book Antiqua" w:hAnsi="Book Antiqua"/>
                <w:color w:val="000000"/>
              </w:rPr>
              <w:t>Car</w:t>
            </w:r>
          </w:p>
        </w:tc>
        <w:tc>
          <w:tcPr>
            <w:tcW w:w="976" w:type="dxa"/>
            <w:tcBorders>
              <w:top w:val="nil"/>
              <w:left w:val="nil"/>
              <w:bottom w:val="nil"/>
              <w:right w:val="nil"/>
            </w:tcBorders>
            <w:shd w:val="clear" w:color="auto" w:fill="auto"/>
            <w:noWrap/>
            <w:vAlign w:val="center"/>
            <w:hideMark/>
          </w:tcPr>
          <w:p w14:paraId="1E2D0F4C" w14:textId="77777777" w:rsidR="009A4866" w:rsidRPr="00D12E59" w:rsidRDefault="009A4866" w:rsidP="00394697">
            <w:pPr>
              <w:rPr>
                <w:rFonts w:ascii="Book Antiqua" w:hAnsi="Book Antiqua"/>
                <w:color w:val="000000"/>
              </w:rPr>
            </w:pPr>
            <w:r w:rsidRPr="00D12E59">
              <w:rPr>
                <w:rFonts w:ascii="Book Antiqua" w:hAnsi="Book Antiqua"/>
                <w:color w:val="000000"/>
              </w:rPr>
              <w:t>K2</w:t>
            </w:r>
          </w:p>
        </w:tc>
        <w:tc>
          <w:tcPr>
            <w:tcW w:w="1116" w:type="dxa"/>
            <w:tcBorders>
              <w:top w:val="nil"/>
              <w:left w:val="nil"/>
              <w:bottom w:val="nil"/>
              <w:right w:val="nil"/>
            </w:tcBorders>
            <w:shd w:val="clear" w:color="auto" w:fill="auto"/>
            <w:noWrap/>
            <w:vAlign w:val="center"/>
            <w:hideMark/>
          </w:tcPr>
          <w:p w14:paraId="41B0AAC1" w14:textId="77777777" w:rsidR="009A4866" w:rsidRPr="00D12E59" w:rsidRDefault="009A4866" w:rsidP="00394697">
            <w:pPr>
              <w:rPr>
                <w:rFonts w:ascii="Book Antiqua" w:hAnsi="Book Antiqua"/>
                <w:color w:val="000000"/>
              </w:rPr>
            </w:pPr>
            <w:r w:rsidRPr="00D12E59">
              <w:rPr>
                <w:rFonts w:ascii="Book Antiqua" w:hAnsi="Book Antiqua"/>
                <w:color w:val="000000"/>
              </w:rPr>
              <w:t>0.3100</w:t>
            </w:r>
          </w:p>
        </w:tc>
        <w:tc>
          <w:tcPr>
            <w:tcW w:w="1116" w:type="dxa"/>
            <w:tcBorders>
              <w:top w:val="nil"/>
              <w:left w:val="nil"/>
              <w:bottom w:val="nil"/>
              <w:right w:val="nil"/>
            </w:tcBorders>
            <w:shd w:val="clear" w:color="auto" w:fill="auto"/>
            <w:noWrap/>
            <w:vAlign w:val="center"/>
            <w:hideMark/>
          </w:tcPr>
          <w:p w14:paraId="31938747" w14:textId="77777777" w:rsidR="009A4866" w:rsidRPr="00D12E59" w:rsidRDefault="009A4866" w:rsidP="00394697">
            <w:pPr>
              <w:rPr>
                <w:rFonts w:ascii="Book Antiqua" w:hAnsi="Book Antiqua"/>
                <w:color w:val="000000"/>
              </w:rPr>
            </w:pPr>
            <w:r w:rsidRPr="00D12E59">
              <w:rPr>
                <w:rFonts w:ascii="Book Antiqua" w:hAnsi="Book Antiqua"/>
                <w:color w:val="000000"/>
              </w:rPr>
              <w:t>20.4904</w:t>
            </w:r>
          </w:p>
        </w:tc>
      </w:tr>
      <w:tr w:rsidR="009A4866" w:rsidRPr="00D12E59" w14:paraId="217579C5"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009BB671" w14:textId="77777777" w:rsidR="009A4866" w:rsidRPr="00D12E59" w:rsidRDefault="009A4866" w:rsidP="00394697">
            <w:pPr>
              <w:rPr>
                <w:rFonts w:ascii="Book Antiqua" w:hAnsi="Book Antiqua"/>
                <w:color w:val="000000"/>
              </w:rPr>
            </w:pPr>
            <w:r w:rsidRPr="00D12E59">
              <w:rPr>
                <w:rFonts w:ascii="Book Antiqua" w:hAnsi="Book Antiqua"/>
                <w:color w:val="000000"/>
              </w:rPr>
              <w:t>Doll</w:t>
            </w:r>
          </w:p>
        </w:tc>
        <w:tc>
          <w:tcPr>
            <w:tcW w:w="976" w:type="dxa"/>
            <w:tcBorders>
              <w:top w:val="nil"/>
              <w:left w:val="nil"/>
              <w:bottom w:val="nil"/>
              <w:right w:val="nil"/>
            </w:tcBorders>
            <w:shd w:val="clear" w:color="auto" w:fill="auto"/>
            <w:noWrap/>
            <w:vAlign w:val="center"/>
            <w:hideMark/>
          </w:tcPr>
          <w:p w14:paraId="70B2B18A" w14:textId="77777777" w:rsidR="009A4866" w:rsidRPr="00D12E59" w:rsidRDefault="009A4866" w:rsidP="00394697">
            <w:pPr>
              <w:rPr>
                <w:rFonts w:ascii="Book Antiqua" w:hAnsi="Book Antiqua"/>
                <w:color w:val="000000"/>
              </w:rPr>
            </w:pPr>
            <w:r w:rsidRPr="00D12E59">
              <w:rPr>
                <w:rFonts w:ascii="Book Antiqua" w:hAnsi="Book Antiqua"/>
                <w:color w:val="000000"/>
              </w:rPr>
              <w:t>K3</w:t>
            </w:r>
          </w:p>
        </w:tc>
        <w:tc>
          <w:tcPr>
            <w:tcW w:w="1116" w:type="dxa"/>
            <w:tcBorders>
              <w:top w:val="nil"/>
              <w:left w:val="nil"/>
              <w:bottom w:val="nil"/>
              <w:right w:val="nil"/>
            </w:tcBorders>
            <w:shd w:val="clear" w:color="auto" w:fill="auto"/>
            <w:noWrap/>
            <w:vAlign w:val="center"/>
            <w:hideMark/>
          </w:tcPr>
          <w:p w14:paraId="1251E696" w14:textId="77777777" w:rsidR="009A4866" w:rsidRPr="00D12E59" w:rsidRDefault="009A4866" w:rsidP="00394697">
            <w:pPr>
              <w:rPr>
                <w:rFonts w:ascii="Book Antiqua" w:hAnsi="Book Antiqua"/>
                <w:color w:val="000000"/>
              </w:rPr>
            </w:pPr>
            <w:r w:rsidRPr="00D12E59">
              <w:rPr>
                <w:rFonts w:ascii="Book Antiqua" w:hAnsi="Book Antiqua"/>
                <w:color w:val="000000"/>
              </w:rPr>
              <w:t>0.5331</w:t>
            </w:r>
          </w:p>
        </w:tc>
        <w:tc>
          <w:tcPr>
            <w:tcW w:w="1116" w:type="dxa"/>
            <w:tcBorders>
              <w:top w:val="nil"/>
              <w:left w:val="nil"/>
              <w:bottom w:val="nil"/>
              <w:right w:val="nil"/>
            </w:tcBorders>
            <w:shd w:val="clear" w:color="auto" w:fill="auto"/>
            <w:noWrap/>
            <w:vAlign w:val="center"/>
            <w:hideMark/>
          </w:tcPr>
          <w:p w14:paraId="6B07B346" w14:textId="77777777" w:rsidR="009A4866" w:rsidRPr="00D12E59" w:rsidRDefault="009A4866" w:rsidP="00394697">
            <w:pPr>
              <w:rPr>
                <w:rFonts w:ascii="Book Antiqua" w:hAnsi="Book Antiqua"/>
                <w:color w:val="000000"/>
              </w:rPr>
            </w:pPr>
            <w:r w:rsidRPr="00D12E59">
              <w:rPr>
                <w:rFonts w:ascii="Book Antiqua" w:hAnsi="Book Antiqua"/>
                <w:color w:val="000000"/>
              </w:rPr>
              <w:t>0.6876</w:t>
            </w:r>
          </w:p>
        </w:tc>
      </w:tr>
      <w:tr w:rsidR="009A4866" w:rsidRPr="00D12E59" w14:paraId="78008048"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32CD3F6D" w14:textId="77777777" w:rsidR="009A4866" w:rsidRPr="00D12E59" w:rsidRDefault="009A4866" w:rsidP="00394697">
            <w:pPr>
              <w:rPr>
                <w:rFonts w:ascii="Book Antiqua" w:hAnsi="Book Antiqua"/>
                <w:color w:val="000000"/>
              </w:rPr>
            </w:pPr>
            <w:r w:rsidRPr="00D12E59">
              <w:rPr>
                <w:rFonts w:ascii="Book Antiqua" w:hAnsi="Book Antiqua"/>
                <w:color w:val="000000"/>
              </w:rPr>
              <w:t>Guitar</w:t>
            </w:r>
          </w:p>
        </w:tc>
        <w:tc>
          <w:tcPr>
            <w:tcW w:w="976" w:type="dxa"/>
            <w:tcBorders>
              <w:top w:val="nil"/>
              <w:left w:val="nil"/>
              <w:bottom w:val="nil"/>
              <w:right w:val="nil"/>
            </w:tcBorders>
            <w:shd w:val="clear" w:color="auto" w:fill="auto"/>
            <w:noWrap/>
            <w:vAlign w:val="center"/>
            <w:hideMark/>
          </w:tcPr>
          <w:p w14:paraId="07070FAB" w14:textId="77777777" w:rsidR="009A4866" w:rsidRPr="00D12E59" w:rsidRDefault="009A4866" w:rsidP="00394697">
            <w:pPr>
              <w:rPr>
                <w:rFonts w:ascii="Book Antiqua" w:hAnsi="Book Antiqua"/>
                <w:color w:val="000000"/>
              </w:rPr>
            </w:pPr>
            <w:r w:rsidRPr="00D12E59">
              <w:rPr>
                <w:rFonts w:ascii="Book Antiqua" w:hAnsi="Book Antiqua"/>
                <w:color w:val="000000"/>
              </w:rPr>
              <w:t>K4</w:t>
            </w:r>
          </w:p>
        </w:tc>
        <w:tc>
          <w:tcPr>
            <w:tcW w:w="1116" w:type="dxa"/>
            <w:tcBorders>
              <w:top w:val="nil"/>
              <w:left w:val="nil"/>
              <w:bottom w:val="nil"/>
              <w:right w:val="nil"/>
            </w:tcBorders>
            <w:shd w:val="clear" w:color="auto" w:fill="auto"/>
            <w:noWrap/>
            <w:vAlign w:val="center"/>
            <w:hideMark/>
          </w:tcPr>
          <w:p w14:paraId="34F0C925" w14:textId="77777777" w:rsidR="009A4866" w:rsidRPr="00D12E59" w:rsidRDefault="009A4866" w:rsidP="00394697">
            <w:pPr>
              <w:rPr>
                <w:rFonts w:ascii="Book Antiqua" w:hAnsi="Book Antiqua"/>
                <w:color w:val="000000"/>
              </w:rPr>
            </w:pPr>
            <w:r w:rsidRPr="00D12E59">
              <w:rPr>
                <w:rFonts w:ascii="Book Antiqua" w:hAnsi="Book Antiqua"/>
                <w:color w:val="000000"/>
              </w:rPr>
              <w:t>0.2311</w:t>
            </w:r>
          </w:p>
        </w:tc>
        <w:tc>
          <w:tcPr>
            <w:tcW w:w="1116" w:type="dxa"/>
            <w:tcBorders>
              <w:top w:val="nil"/>
              <w:left w:val="nil"/>
              <w:bottom w:val="nil"/>
              <w:right w:val="nil"/>
            </w:tcBorders>
            <w:shd w:val="clear" w:color="auto" w:fill="auto"/>
            <w:noWrap/>
            <w:vAlign w:val="center"/>
            <w:hideMark/>
          </w:tcPr>
          <w:p w14:paraId="146168DC" w14:textId="77777777" w:rsidR="009A4866" w:rsidRPr="00D12E59" w:rsidRDefault="009A4866" w:rsidP="00394697">
            <w:pPr>
              <w:rPr>
                <w:rFonts w:ascii="Book Antiqua" w:hAnsi="Book Antiqua"/>
                <w:color w:val="000000"/>
              </w:rPr>
            </w:pPr>
            <w:r w:rsidRPr="00D12E59">
              <w:rPr>
                <w:rFonts w:ascii="Book Antiqua" w:hAnsi="Book Antiqua"/>
                <w:color w:val="000000"/>
              </w:rPr>
              <w:t>4.7214</w:t>
            </w:r>
          </w:p>
        </w:tc>
      </w:tr>
      <w:tr w:rsidR="009A4866" w:rsidRPr="00D12E59" w14:paraId="4B2746BF"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46464B7C" w14:textId="77777777" w:rsidR="009A4866" w:rsidRPr="00D12E59" w:rsidRDefault="009A4866" w:rsidP="00394697">
            <w:pPr>
              <w:rPr>
                <w:rFonts w:ascii="Book Antiqua" w:hAnsi="Book Antiqua"/>
                <w:color w:val="000000"/>
              </w:rPr>
            </w:pPr>
            <w:r w:rsidRPr="00D12E59">
              <w:rPr>
                <w:rFonts w:ascii="Book Antiqua" w:hAnsi="Book Antiqua"/>
                <w:color w:val="000000"/>
              </w:rPr>
              <w:t>Mobile Phone</w:t>
            </w:r>
          </w:p>
        </w:tc>
        <w:tc>
          <w:tcPr>
            <w:tcW w:w="976" w:type="dxa"/>
            <w:tcBorders>
              <w:top w:val="nil"/>
              <w:left w:val="nil"/>
              <w:bottom w:val="nil"/>
              <w:right w:val="nil"/>
            </w:tcBorders>
            <w:shd w:val="clear" w:color="auto" w:fill="auto"/>
            <w:noWrap/>
            <w:vAlign w:val="center"/>
            <w:hideMark/>
          </w:tcPr>
          <w:p w14:paraId="11CA9B4F" w14:textId="77777777" w:rsidR="009A4866" w:rsidRPr="00D12E59" w:rsidRDefault="009A4866" w:rsidP="00394697">
            <w:pPr>
              <w:rPr>
                <w:rFonts w:ascii="Book Antiqua" w:hAnsi="Book Antiqua"/>
                <w:color w:val="000000"/>
              </w:rPr>
            </w:pPr>
            <w:r w:rsidRPr="00D12E59">
              <w:rPr>
                <w:rFonts w:ascii="Book Antiqua" w:hAnsi="Book Antiqua"/>
                <w:color w:val="000000"/>
              </w:rPr>
              <w:t>K5</w:t>
            </w:r>
          </w:p>
        </w:tc>
        <w:tc>
          <w:tcPr>
            <w:tcW w:w="1116" w:type="dxa"/>
            <w:tcBorders>
              <w:top w:val="nil"/>
              <w:left w:val="nil"/>
              <w:bottom w:val="nil"/>
              <w:right w:val="nil"/>
            </w:tcBorders>
            <w:shd w:val="clear" w:color="auto" w:fill="auto"/>
            <w:noWrap/>
            <w:vAlign w:val="center"/>
            <w:hideMark/>
          </w:tcPr>
          <w:p w14:paraId="24B4CF36" w14:textId="77777777" w:rsidR="009A4866" w:rsidRPr="00D12E59" w:rsidRDefault="009A4866" w:rsidP="00394697">
            <w:pPr>
              <w:rPr>
                <w:rFonts w:ascii="Book Antiqua" w:hAnsi="Book Antiqua"/>
                <w:color w:val="000000"/>
              </w:rPr>
            </w:pPr>
            <w:r w:rsidRPr="00D12E59">
              <w:rPr>
                <w:rFonts w:ascii="Book Antiqua" w:hAnsi="Book Antiqua"/>
                <w:color w:val="000000"/>
              </w:rPr>
              <w:t>0.3771</w:t>
            </w:r>
          </w:p>
        </w:tc>
        <w:tc>
          <w:tcPr>
            <w:tcW w:w="1116" w:type="dxa"/>
            <w:tcBorders>
              <w:top w:val="nil"/>
              <w:left w:val="nil"/>
              <w:bottom w:val="nil"/>
              <w:right w:val="nil"/>
            </w:tcBorders>
            <w:shd w:val="clear" w:color="auto" w:fill="auto"/>
            <w:noWrap/>
            <w:vAlign w:val="center"/>
            <w:hideMark/>
          </w:tcPr>
          <w:p w14:paraId="477E1638" w14:textId="77777777" w:rsidR="009A4866" w:rsidRPr="00D12E59" w:rsidRDefault="009A4866" w:rsidP="00394697">
            <w:pPr>
              <w:rPr>
                <w:rFonts w:ascii="Book Antiqua" w:hAnsi="Book Antiqua"/>
                <w:color w:val="000000"/>
              </w:rPr>
            </w:pPr>
            <w:r w:rsidRPr="00D12E59">
              <w:rPr>
                <w:rFonts w:ascii="Book Antiqua" w:hAnsi="Book Antiqua"/>
                <w:color w:val="000000"/>
              </w:rPr>
              <w:t>1.1174</w:t>
            </w:r>
          </w:p>
        </w:tc>
      </w:tr>
      <w:tr w:rsidR="009A4866" w:rsidRPr="00D12E59" w14:paraId="78260A52"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3CD1F683" w14:textId="77777777" w:rsidR="009A4866" w:rsidRPr="00D12E59" w:rsidRDefault="009A4866" w:rsidP="00394697">
            <w:pPr>
              <w:rPr>
                <w:rFonts w:ascii="Book Antiqua" w:hAnsi="Book Antiqua"/>
                <w:color w:val="000000"/>
              </w:rPr>
            </w:pPr>
            <w:r w:rsidRPr="00D12E59">
              <w:rPr>
                <w:rFonts w:ascii="Book Antiqua" w:hAnsi="Book Antiqua"/>
                <w:color w:val="000000"/>
              </w:rPr>
              <w:t>Violet Kaili</w:t>
            </w:r>
          </w:p>
        </w:tc>
        <w:tc>
          <w:tcPr>
            <w:tcW w:w="976" w:type="dxa"/>
            <w:tcBorders>
              <w:top w:val="nil"/>
              <w:left w:val="nil"/>
              <w:bottom w:val="nil"/>
              <w:right w:val="nil"/>
            </w:tcBorders>
            <w:shd w:val="clear" w:color="auto" w:fill="auto"/>
            <w:noWrap/>
            <w:vAlign w:val="center"/>
            <w:hideMark/>
          </w:tcPr>
          <w:p w14:paraId="5DEAD35C" w14:textId="77777777" w:rsidR="009A4866" w:rsidRPr="00D12E59" w:rsidRDefault="009A4866" w:rsidP="00394697">
            <w:pPr>
              <w:rPr>
                <w:rFonts w:ascii="Book Antiqua" w:hAnsi="Book Antiqua"/>
                <w:color w:val="000000"/>
              </w:rPr>
            </w:pPr>
            <w:r w:rsidRPr="00D12E59">
              <w:rPr>
                <w:rFonts w:ascii="Book Antiqua" w:hAnsi="Book Antiqua"/>
                <w:color w:val="000000"/>
              </w:rPr>
              <w:t>K6</w:t>
            </w:r>
          </w:p>
        </w:tc>
        <w:tc>
          <w:tcPr>
            <w:tcW w:w="1116" w:type="dxa"/>
            <w:tcBorders>
              <w:top w:val="nil"/>
              <w:left w:val="nil"/>
              <w:bottom w:val="nil"/>
              <w:right w:val="nil"/>
            </w:tcBorders>
            <w:shd w:val="clear" w:color="auto" w:fill="auto"/>
            <w:noWrap/>
            <w:vAlign w:val="center"/>
            <w:hideMark/>
          </w:tcPr>
          <w:p w14:paraId="14BB4D1C" w14:textId="77777777" w:rsidR="009A4866" w:rsidRPr="00D12E59" w:rsidRDefault="009A4866" w:rsidP="00394697">
            <w:pPr>
              <w:rPr>
                <w:rFonts w:ascii="Book Antiqua" w:hAnsi="Book Antiqua"/>
                <w:color w:val="000000"/>
              </w:rPr>
            </w:pPr>
            <w:r w:rsidRPr="00D12E59">
              <w:rPr>
                <w:rFonts w:ascii="Book Antiqua" w:hAnsi="Book Antiqua"/>
                <w:color w:val="000000"/>
              </w:rPr>
              <w:t>0.3346</w:t>
            </w:r>
          </w:p>
        </w:tc>
        <w:tc>
          <w:tcPr>
            <w:tcW w:w="1116" w:type="dxa"/>
            <w:tcBorders>
              <w:top w:val="nil"/>
              <w:left w:val="nil"/>
              <w:bottom w:val="nil"/>
              <w:right w:val="nil"/>
            </w:tcBorders>
            <w:shd w:val="clear" w:color="auto" w:fill="auto"/>
            <w:noWrap/>
            <w:vAlign w:val="center"/>
            <w:hideMark/>
          </w:tcPr>
          <w:p w14:paraId="7089F918" w14:textId="77777777" w:rsidR="009A4866" w:rsidRPr="00D12E59" w:rsidRDefault="009A4866" w:rsidP="00394697">
            <w:pPr>
              <w:rPr>
                <w:rFonts w:ascii="Book Antiqua" w:hAnsi="Book Antiqua"/>
                <w:color w:val="000000"/>
              </w:rPr>
            </w:pPr>
            <w:r w:rsidRPr="00D12E59">
              <w:rPr>
                <w:rFonts w:ascii="Book Antiqua" w:hAnsi="Book Antiqua"/>
                <w:color w:val="000000"/>
              </w:rPr>
              <w:t>7.5206</w:t>
            </w:r>
          </w:p>
        </w:tc>
      </w:tr>
      <w:tr w:rsidR="009A4866" w:rsidRPr="00D12E59" w14:paraId="63F8C48D"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6666EEB0" w14:textId="77777777" w:rsidR="009A4866" w:rsidRPr="00D12E59" w:rsidRDefault="009A4866" w:rsidP="00394697">
            <w:pPr>
              <w:rPr>
                <w:rFonts w:ascii="Book Antiqua" w:hAnsi="Book Antiqua"/>
                <w:color w:val="000000"/>
              </w:rPr>
            </w:pPr>
            <w:r w:rsidRPr="00D12E59">
              <w:rPr>
                <w:rFonts w:ascii="Book Antiqua" w:hAnsi="Book Antiqua"/>
                <w:color w:val="000000"/>
              </w:rPr>
              <w:t>Red Kaili</w:t>
            </w:r>
          </w:p>
        </w:tc>
        <w:tc>
          <w:tcPr>
            <w:tcW w:w="976" w:type="dxa"/>
            <w:tcBorders>
              <w:top w:val="nil"/>
              <w:left w:val="nil"/>
              <w:bottom w:val="nil"/>
              <w:right w:val="nil"/>
            </w:tcBorders>
            <w:shd w:val="clear" w:color="auto" w:fill="auto"/>
            <w:noWrap/>
            <w:vAlign w:val="center"/>
            <w:hideMark/>
          </w:tcPr>
          <w:p w14:paraId="15DFBC5E" w14:textId="77777777" w:rsidR="009A4866" w:rsidRPr="00D12E59" w:rsidRDefault="009A4866" w:rsidP="00394697">
            <w:pPr>
              <w:rPr>
                <w:rFonts w:ascii="Book Antiqua" w:hAnsi="Book Antiqua"/>
                <w:color w:val="000000"/>
              </w:rPr>
            </w:pPr>
            <w:r w:rsidRPr="00D12E59">
              <w:rPr>
                <w:rFonts w:ascii="Book Antiqua" w:hAnsi="Book Antiqua"/>
                <w:color w:val="000000"/>
              </w:rPr>
              <w:t>K7</w:t>
            </w:r>
          </w:p>
        </w:tc>
        <w:tc>
          <w:tcPr>
            <w:tcW w:w="1116" w:type="dxa"/>
            <w:tcBorders>
              <w:top w:val="nil"/>
              <w:left w:val="nil"/>
              <w:bottom w:val="nil"/>
              <w:right w:val="nil"/>
            </w:tcBorders>
            <w:shd w:val="clear" w:color="auto" w:fill="auto"/>
            <w:noWrap/>
            <w:vAlign w:val="center"/>
            <w:hideMark/>
          </w:tcPr>
          <w:p w14:paraId="434A213D" w14:textId="77777777" w:rsidR="009A4866" w:rsidRPr="00D12E59" w:rsidRDefault="009A4866" w:rsidP="00394697">
            <w:pPr>
              <w:rPr>
                <w:rFonts w:ascii="Book Antiqua" w:hAnsi="Book Antiqua"/>
                <w:color w:val="000000"/>
              </w:rPr>
            </w:pPr>
            <w:r w:rsidRPr="00D12E59">
              <w:rPr>
                <w:rFonts w:ascii="Book Antiqua" w:hAnsi="Book Antiqua"/>
                <w:color w:val="000000"/>
              </w:rPr>
              <w:t>0.3991</w:t>
            </w:r>
          </w:p>
        </w:tc>
        <w:tc>
          <w:tcPr>
            <w:tcW w:w="1116" w:type="dxa"/>
            <w:tcBorders>
              <w:top w:val="nil"/>
              <w:left w:val="nil"/>
              <w:bottom w:val="nil"/>
              <w:right w:val="nil"/>
            </w:tcBorders>
            <w:shd w:val="clear" w:color="auto" w:fill="auto"/>
            <w:noWrap/>
            <w:vAlign w:val="center"/>
            <w:hideMark/>
          </w:tcPr>
          <w:p w14:paraId="0DE9F8C1" w14:textId="77777777" w:rsidR="009A4866" w:rsidRPr="00D12E59" w:rsidRDefault="009A4866" w:rsidP="00394697">
            <w:pPr>
              <w:rPr>
                <w:rFonts w:ascii="Book Antiqua" w:hAnsi="Book Antiqua"/>
                <w:color w:val="000000"/>
              </w:rPr>
            </w:pPr>
            <w:r w:rsidRPr="00D12E59">
              <w:rPr>
                <w:rFonts w:ascii="Book Antiqua" w:hAnsi="Book Antiqua"/>
                <w:color w:val="000000"/>
              </w:rPr>
              <w:t>6.0703</w:t>
            </w:r>
          </w:p>
        </w:tc>
      </w:tr>
      <w:tr w:rsidR="009A4866" w:rsidRPr="00D12E59" w14:paraId="1E2E069D"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59993727" w14:textId="77777777" w:rsidR="009A4866" w:rsidRPr="00D12E59" w:rsidRDefault="009A4866" w:rsidP="00394697">
            <w:pPr>
              <w:rPr>
                <w:rFonts w:ascii="Book Antiqua" w:hAnsi="Book Antiqua"/>
                <w:color w:val="000000"/>
              </w:rPr>
            </w:pPr>
            <w:r w:rsidRPr="00D12E59">
              <w:rPr>
                <w:rFonts w:ascii="Book Antiqua" w:hAnsi="Book Antiqua"/>
                <w:color w:val="000000"/>
              </w:rPr>
              <w:t>Trumpet</w:t>
            </w:r>
          </w:p>
        </w:tc>
        <w:tc>
          <w:tcPr>
            <w:tcW w:w="976" w:type="dxa"/>
            <w:tcBorders>
              <w:top w:val="nil"/>
              <w:left w:val="nil"/>
              <w:bottom w:val="nil"/>
              <w:right w:val="nil"/>
            </w:tcBorders>
            <w:shd w:val="clear" w:color="auto" w:fill="auto"/>
            <w:noWrap/>
            <w:vAlign w:val="center"/>
            <w:hideMark/>
          </w:tcPr>
          <w:p w14:paraId="65E5BC84" w14:textId="77777777" w:rsidR="009A4866" w:rsidRPr="00D12E59" w:rsidRDefault="009A4866" w:rsidP="00394697">
            <w:pPr>
              <w:rPr>
                <w:rFonts w:ascii="Book Antiqua" w:hAnsi="Book Antiqua"/>
                <w:color w:val="000000"/>
              </w:rPr>
            </w:pPr>
            <w:r w:rsidRPr="00D12E59">
              <w:rPr>
                <w:rFonts w:ascii="Book Antiqua" w:hAnsi="Book Antiqua"/>
                <w:color w:val="000000"/>
              </w:rPr>
              <w:t>K8</w:t>
            </w:r>
          </w:p>
        </w:tc>
        <w:tc>
          <w:tcPr>
            <w:tcW w:w="1116" w:type="dxa"/>
            <w:tcBorders>
              <w:top w:val="nil"/>
              <w:left w:val="nil"/>
              <w:bottom w:val="nil"/>
              <w:right w:val="nil"/>
            </w:tcBorders>
            <w:shd w:val="clear" w:color="auto" w:fill="auto"/>
            <w:noWrap/>
            <w:vAlign w:val="center"/>
            <w:hideMark/>
          </w:tcPr>
          <w:p w14:paraId="397DFCA1" w14:textId="77777777" w:rsidR="009A4866" w:rsidRPr="00D12E59" w:rsidRDefault="009A4866" w:rsidP="00394697">
            <w:pPr>
              <w:rPr>
                <w:rFonts w:ascii="Book Antiqua" w:hAnsi="Book Antiqua"/>
                <w:color w:val="000000"/>
              </w:rPr>
            </w:pPr>
            <w:r w:rsidRPr="00D12E59">
              <w:rPr>
                <w:rFonts w:ascii="Book Antiqua" w:hAnsi="Book Antiqua"/>
                <w:color w:val="000000"/>
              </w:rPr>
              <w:t>0.2066</w:t>
            </w:r>
          </w:p>
        </w:tc>
        <w:tc>
          <w:tcPr>
            <w:tcW w:w="1116" w:type="dxa"/>
            <w:tcBorders>
              <w:top w:val="nil"/>
              <w:left w:val="nil"/>
              <w:bottom w:val="nil"/>
              <w:right w:val="nil"/>
            </w:tcBorders>
            <w:shd w:val="clear" w:color="auto" w:fill="auto"/>
            <w:noWrap/>
            <w:vAlign w:val="center"/>
            <w:hideMark/>
          </w:tcPr>
          <w:p w14:paraId="31517CD0" w14:textId="77777777" w:rsidR="009A4866" w:rsidRPr="00D12E59" w:rsidRDefault="009A4866" w:rsidP="00394697">
            <w:pPr>
              <w:rPr>
                <w:rFonts w:ascii="Book Antiqua" w:hAnsi="Book Antiqua"/>
                <w:color w:val="000000"/>
              </w:rPr>
            </w:pPr>
            <w:r w:rsidRPr="00D12E59">
              <w:rPr>
                <w:rFonts w:ascii="Book Antiqua" w:hAnsi="Book Antiqua"/>
                <w:color w:val="000000"/>
              </w:rPr>
              <w:t>3.4484</w:t>
            </w:r>
          </w:p>
        </w:tc>
      </w:tr>
      <w:tr w:rsidR="009A4866" w:rsidRPr="00D12E59" w14:paraId="644629D5"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66C080B6" w14:textId="77777777" w:rsidR="009A4866" w:rsidRPr="00D12E59" w:rsidRDefault="009A4866" w:rsidP="00394697">
            <w:pPr>
              <w:rPr>
                <w:rFonts w:ascii="Book Antiqua" w:hAnsi="Book Antiqua"/>
                <w:color w:val="000000"/>
              </w:rPr>
            </w:pPr>
            <w:r w:rsidRPr="00D12E59">
              <w:rPr>
                <w:rFonts w:ascii="Book Antiqua" w:hAnsi="Book Antiqua"/>
                <w:color w:val="000000"/>
              </w:rPr>
              <w:t>Propeller</w:t>
            </w:r>
          </w:p>
        </w:tc>
        <w:tc>
          <w:tcPr>
            <w:tcW w:w="976" w:type="dxa"/>
            <w:tcBorders>
              <w:top w:val="nil"/>
              <w:left w:val="nil"/>
              <w:bottom w:val="nil"/>
              <w:right w:val="nil"/>
            </w:tcBorders>
            <w:shd w:val="clear" w:color="auto" w:fill="auto"/>
            <w:noWrap/>
            <w:vAlign w:val="center"/>
            <w:hideMark/>
          </w:tcPr>
          <w:p w14:paraId="0216B17E" w14:textId="77777777" w:rsidR="009A4866" w:rsidRPr="00D12E59" w:rsidRDefault="009A4866" w:rsidP="00394697">
            <w:pPr>
              <w:rPr>
                <w:rFonts w:ascii="Book Antiqua" w:hAnsi="Book Antiqua"/>
                <w:color w:val="000000"/>
              </w:rPr>
            </w:pPr>
            <w:r w:rsidRPr="00D12E59">
              <w:rPr>
                <w:rFonts w:ascii="Book Antiqua" w:hAnsi="Book Antiqua"/>
                <w:color w:val="000000"/>
              </w:rPr>
              <w:t>K9</w:t>
            </w:r>
          </w:p>
        </w:tc>
        <w:tc>
          <w:tcPr>
            <w:tcW w:w="1116" w:type="dxa"/>
            <w:tcBorders>
              <w:top w:val="nil"/>
              <w:left w:val="nil"/>
              <w:bottom w:val="nil"/>
              <w:right w:val="nil"/>
            </w:tcBorders>
            <w:shd w:val="clear" w:color="auto" w:fill="auto"/>
            <w:noWrap/>
            <w:vAlign w:val="center"/>
            <w:hideMark/>
          </w:tcPr>
          <w:p w14:paraId="3BA3ED6A" w14:textId="77777777" w:rsidR="009A4866" w:rsidRPr="00D12E59" w:rsidRDefault="009A4866" w:rsidP="00394697">
            <w:pPr>
              <w:rPr>
                <w:rFonts w:ascii="Book Antiqua" w:hAnsi="Book Antiqua"/>
                <w:color w:val="000000"/>
              </w:rPr>
            </w:pPr>
            <w:r w:rsidRPr="00D12E59">
              <w:rPr>
                <w:rFonts w:ascii="Book Antiqua" w:hAnsi="Book Antiqua"/>
                <w:color w:val="000000"/>
              </w:rPr>
              <w:t>0.0754</w:t>
            </w:r>
          </w:p>
        </w:tc>
        <w:tc>
          <w:tcPr>
            <w:tcW w:w="1116" w:type="dxa"/>
            <w:tcBorders>
              <w:top w:val="nil"/>
              <w:left w:val="nil"/>
              <w:bottom w:val="nil"/>
              <w:right w:val="nil"/>
            </w:tcBorders>
            <w:shd w:val="clear" w:color="auto" w:fill="auto"/>
            <w:noWrap/>
            <w:vAlign w:val="center"/>
            <w:hideMark/>
          </w:tcPr>
          <w:p w14:paraId="1AD7CFA8" w14:textId="77777777" w:rsidR="009A4866" w:rsidRPr="00D12E59" w:rsidRDefault="009A4866" w:rsidP="00394697">
            <w:pPr>
              <w:rPr>
                <w:rFonts w:ascii="Book Antiqua" w:hAnsi="Book Antiqua"/>
                <w:color w:val="000000"/>
              </w:rPr>
            </w:pPr>
            <w:r w:rsidRPr="00D12E59">
              <w:rPr>
                <w:rFonts w:ascii="Book Antiqua" w:hAnsi="Book Antiqua"/>
                <w:color w:val="000000"/>
              </w:rPr>
              <w:t>1.6054</w:t>
            </w:r>
          </w:p>
        </w:tc>
      </w:tr>
      <w:tr w:rsidR="009A4866" w:rsidRPr="00D12E59" w14:paraId="223BC85E"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72BFCD5B" w14:textId="77777777" w:rsidR="009A4866" w:rsidRPr="00D12E59" w:rsidRDefault="009A4866" w:rsidP="00394697">
            <w:pPr>
              <w:rPr>
                <w:rFonts w:ascii="Book Antiqua" w:hAnsi="Book Antiqua"/>
                <w:color w:val="000000"/>
              </w:rPr>
            </w:pPr>
            <w:r w:rsidRPr="00D12E59">
              <w:rPr>
                <w:rFonts w:ascii="Book Antiqua" w:hAnsi="Book Antiqua"/>
                <w:color w:val="000000"/>
              </w:rPr>
              <w:t>Tambourine</w:t>
            </w:r>
          </w:p>
        </w:tc>
        <w:tc>
          <w:tcPr>
            <w:tcW w:w="976" w:type="dxa"/>
            <w:tcBorders>
              <w:top w:val="nil"/>
              <w:left w:val="nil"/>
              <w:bottom w:val="nil"/>
              <w:right w:val="nil"/>
            </w:tcBorders>
            <w:shd w:val="clear" w:color="auto" w:fill="auto"/>
            <w:noWrap/>
            <w:vAlign w:val="center"/>
            <w:hideMark/>
          </w:tcPr>
          <w:p w14:paraId="43361B5D" w14:textId="77777777" w:rsidR="009A4866" w:rsidRPr="00D12E59" w:rsidRDefault="009A4866" w:rsidP="00394697">
            <w:pPr>
              <w:rPr>
                <w:rFonts w:ascii="Book Antiqua" w:hAnsi="Book Antiqua"/>
                <w:color w:val="000000"/>
              </w:rPr>
            </w:pPr>
            <w:r w:rsidRPr="00D12E59">
              <w:rPr>
                <w:rFonts w:ascii="Book Antiqua" w:hAnsi="Book Antiqua"/>
                <w:color w:val="000000"/>
              </w:rPr>
              <w:t>K10</w:t>
            </w:r>
          </w:p>
        </w:tc>
        <w:tc>
          <w:tcPr>
            <w:tcW w:w="1116" w:type="dxa"/>
            <w:tcBorders>
              <w:top w:val="nil"/>
              <w:left w:val="nil"/>
              <w:bottom w:val="nil"/>
              <w:right w:val="nil"/>
            </w:tcBorders>
            <w:shd w:val="clear" w:color="auto" w:fill="auto"/>
            <w:noWrap/>
            <w:vAlign w:val="center"/>
            <w:hideMark/>
          </w:tcPr>
          <w:p w14:paraId="0DC489A4" w14:textId="77777777" w:rsidR="009A4866" w:rsidRPr="00D12E59" w:rsidRDefault="009A4866" w:rsidP="00394697">
            <w:pPr>
              <w:rPr>
                <w:rFonts w:ascii="Book Antiqua" w:hAnsi="Book Antiqua"/>
                <w:color w:val="000000"/>
              </w:rPr>
            </w:pPr>
            <w:r w:rsidRPr="00D12E59">
              <w:rPr>
                <w:rFonts w:ascii="Book Antiqua" w:hAnsi="Book Antiqua"/>
                <w:color w:val="000000"/>
              </w:rPr>
              <w:t>0.0658</w:t>
            </w:r>
          </w:p>
        </w:tc>
        <w:tc>
          <w:tcPr>
            <w:tcW w:w="1116" w:type="dxa"/>
            <w:tcBorders>
              <w:top w:val="nil"/>
              <w:left w:val="nil"/>
              <w:bottom w:val="nil"/>
              <w:right w:val="nil"/>
            </w:tcBorders>
            <w:shd w:val="clear" w:color="auto" w:fill="auto"/>
            <w:noWrap/>
            <w:vAlign w:val="center"/>
            <w:hideMark/>
          </w:tcPr>
          <w:p w14:paraId="47E11DA9" w14:textId="77777777" w:rsidR="009A4866" w:rsidRPr="00D12E59" w:rsidRDefault="009A4866" w:rsidP="00394697">
            <w:pPr>
              <w:rPr>
                <w:rFonts w:ascii="Book Antiqua" w:hAnsi="Book Antiqua"/>
                <w:color w:val="000000"/>
              </w:rPr>
            </w:pPr>
            <w:r w:rsidRPr="00D12E59">
              <w:rPr>
                <w:rFonts w:ascii="Book Antiqua" w:hAnsi="Book Antiqua"/>
                <w:color w:val="000000"/>
              </w:rPr>
              <w:t>1.6824</w:t>
            </w:r>
          </w:p>
        </w:tc>
      </w:tr>
      <w:tr w:rsidR="009A4866" w:rsidRPr="00D12E59" w14:paraId="71EAF9E8"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6A828E2B" w14:textId="77777777" w:rsidR="009A4866" w:rsidRPr="00D12E59" w:rsidRDefault="009A4866" w:rsidP="00394697">
            <w:pPr>
              <w:rPr>
                <w:rFonts w:ascii="Book Antiqua" w:hAnsi="Book Antiqua"/>
                <w:color w:val="000000"/>
              </w:rPr>
            </w:pPr>
            <w:r w:rsidRPr="00D12E59">
              <w:rPr>
                <w:rFonts w:ascii="Book Antiqua" w:hAnsi="Book Antiqua"/>
                <w:color w:val="000000"/>
              </w:rPr>
              <w:t>Boat</w:t>
            </w:r>
          </w:p>
        </w:tc>
        <w:tc>
          <w:tcPr>
            <w:tcW w:w="976" w:type="dxa"/>
            <w:tcBorders>
              <w:top w:val="nil"/>
              <w:left w:val="nil"/>
              <w:bottom w:val="nil"/>
              <w:right w:val="nil"/>
            </w:tcBorders>
            <w:shd w:val="clear" w:color="auto" w:fill="auto"/>
            <w:noWrap/>
            <w:vAlign w:val="center"/>
            <w:hideMark/>
          </w:tcPr>
          <w:p w14:paraId="2D950786" w14:textId="77777777" w:rsidR="009A4866" w:rsidRPr="00D12E59" w:rsidRDefault="009A4866" w:rsidP="00394697">
            <w:pPr>
              <w:rPr>
                <w:rFonts w:ascii="Book Antiqua" w:hAnsi="Book Antiqua"/>
                <w:color w:val="000000"/>
              </w:rPr>
            </w:pPr>
            <w:r w:rsidRPr="00D12E59">
              <w:rPr>
                <w:rFonts w:ascii="Book Antiqua" w:hAnsi="Book Antiqua"/>
                <w:color w:val="000000"/>
              </w:rPr>
              <w:t>K11</w:t>
            </w:r>
          </w:p>
        </w:tc>
        <w:tc>
          <w:tcPr>
            <w:tcW w:w="1116" w:type="dxa"/>
            <w:tcBorders>
              <w:top w:val="nil"/>
              <w:left w:val="nil"/>
              <w:bottom w:val="nil"/>
              <w:right w:val="nil"/>
            </w:tcBorders>
            <w:shd w:val="clear" w:color="auto" w:fill="auto"/>
            <w:noWrap/>
            <w:vAlign w:val="center"/>
            <w:hideMark/>
          </w:tcPr>
          <w:p w14:paraId="494E7BD7" w14:textId="77777777" w:rsidR="009A4866" w:rsidRPr="00D12E59" w:rsidRDefault="009A4866" w:rsidP="00394697">
            <w:pPr>
              <w:rPr>
                <w:rFonts w:ascii="Book Antiqua" w:hAnsi="Book Antiqua"/>
                <w:color w:val="000000"/>
              </w:rPr>
            </w:pPr>
            <w:r w:rsidRPr="00D12E59">
              <w:rPr>
                <w:rFonts w:ascii="Book Antiqua" w:hAnsi="Book Antiqua"/>
                <w:color w:val="000000"/>
              </w:rPr>
              <w:t>0.4328</w:t>
            </w:r>
          </w:p>
        </w:tc>
        <w:tc>
          <w:tcPr>
            <w:tcW w:w="1116" w:type="dxa"/>
            <w:tcBorders>
              <w:top w:val="nil"/>
              <w:left w:val="nil"/>
              <w:bottom w:val="nil"/>
              <w:right w:val="nil"/>
            </w:tcBorders>
            <w:shd w:val="clear" w:color="auto" w:fill="auto"/>
            <w:noWrap/>
            <w:vAlign w:val="center"/>
            <w:hideMark/>
          </w:tcPr>
          <w:p w14:paraId="62F1D0FA" w14:textId="77777777" w:rsidR="009A4866" w:rsidRPr="00D12E59" w:rsidRDefault="009A4866" w:rsidP="00394697">
            <w:pPr>
              <w:rPr>
                <w:rFonts w:ascii="Book Antiqua" w:hAnsi="Book Antiqua"/>
                <w:color w:val="000000"/>
              </w:rPr>
            </w:pPr>
            <w:r w:rsidRPr="00D12E59">
              <w:rPr>
                <w:rFonts w:ascii="Book Antiqua" w:hAnsi="Book Antiqua"/>
                <w:color w:val="000000"/>
              </w:rPr>
              <w:t>10.5402</w:t>
            </w:r>
          </w:p>
        </w:tc>
      </w:tr>
      <w:tr w:rsidR="009A4866" w:rsidRPr="00D12E59" w14:paraId="3E927136"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5E82397B" w14:textId="77777777" w:rsidR="009A4866" w:rsidRPr="00D12E59" w:rsidRDefault="009A4866" w:rsidP="00394697">
            <w:pPr>
              <w:rPr>
                <w:rFonts w:ascii="Book Antiqua" w:hAnsi="Book Antiqua"/>
                <w:color w:val="000000"/>
              </w:rPr>
            </w:pPr>
            <w:r w:rsidRPr="00D12E59">
              <w:rPr>
                <w:rFonts w:ascii="Book Antiqua" w:hAnsi="Book Antiqua"/>
                <w:color w:val="000000"/>
              </w:rPr>
              <w:t>Water gun</w:t>
            </w:r>
          </w:p>
        </w:tc>
        <w:tc>
          <w:tcPr>
            <w:tcW w:w="976" w:type="dxa"/>
            <w:tcBorders>
              <w:top w:val="nil"/>
              <w:left w:val="nil"/>
              <w:bottom w:val="nil"/>
              <w:right w:val="nil"/>
            </w:tcBorders>
            <w:shd w:val="clear" w:color="auto" w:fill="auto"/>
            <w:noWrap/>
            <w:vAlign w:val="center"/>
            <w:hideMark/>
          </w:tcPr>
          <w:p w14:paraId="44E41BCB" w14:textId="77777777" w:rsidR="009A4866" w:rsidRPr="00D12E59" w:rsidRDefault="009A4866" w:rsidP="00394697">
            <w:pPr>
              <w:rPr>
                <w:rFonts w:ascii="Book Antiqua" w:hAnsi="Book Antiqua"/>
                <w:color w:val="000000"/>
              </w:rPr>
            </w:pPr>
            <w:r w:rsidRPr="00D12E59">
              <w:rPr>
                <w:rFonts w:ascii="Book Antiqua" w:hAnsi="Book Antiqua"/>
                <w:color w:val="000000"/>
              </w:rPr>
              <w:t>K12</w:t>
            </w:r>
          </w:p>
        </w:tc>
        <w:tc>
          <w:tcPr>
            <w:tcW w:w="1116" w:type="dxa"/>
            <w:tcBorders>
              <w:top w:val="nil"/>
              <w:left w:val="nil"/>
              <w:bottom w:val="nil"/>
              <w:right w:val="nil"/>
            </w:tcBorders>
            <w:shd w:val="clear" w:color="auto" w:fill="auto"/>
            <w:noWrap/>
            <w:vAlign w:val="center"/>
            <w:hideMark/>
          </w:tcPr>
          <w:p w14:paraId="7E0B1B1A" w14:textId="77777777" w:rsidR="009A4866" w:rsidRPr="00D12E59" w:rsidRDefault="009A4866" w:rsidP="00394697">
            <w:pPr>
              <w:rPr>
                <w:rFonts w:ascii="Book Antiqua" w:hAnsi="Book Antiqua"/>
                <w:color w:val="000000"/>
              </w:rPr>
            </w:pPr>
            <w:r w:rsidRPr="00D12E59">
              <w:rPr>
                <w:rFonts w:ascii="Book Antiqua" w:hAnsi="Book Antiqua"/>
                <w:color w:val="000000"/>
              </w:rPr>
              <w:t>0.3637</w:t>
            </w:r>
          </w:p>
        </w:tc>
        <w:tc>
          <w:tcPr>
            <w:tcW w:w="1116" w:type="dxa"/>
            <w:tcBorders>
              <w:top w:val="nil"/>
              <w:left w:val="nil"/>
              <w:bottom w:val="nil"/>
              <w:right w:val="nil"/>
            </w:tcBorders>
            <w:shd w:val="clear" w:color="auto" w:fill="auto"/>
            <w:noWrap/>
            <w:vAlign w:val="center"/>
            <w:hideMark/>
          </w:tcPr>
          <w:p w14:paraId="0B1BA4EB" w14:textId="77777777" w:rsidR="009A4866" w:rsidRPr="00D12E59" w:rsidRDefault="009A4866" w:rsidP="00394697">
            <w:pPr>
              <w:rPr>
                <w:rFonts w:ascii="Book Antiqua" w:hAnsi="Book Antiqua"/>
                <w:color w:val="000000"/>
              </w:rPr>
            </w:pPr>
            <w:r w:rsidRPr="00D12E59">
              <w:rPr>
                <w:rFonts w:ascii="Book Antiqua" w:hAnsi="Book Antiqua"/>
                <w:color w:val="000000"/>
              </w:rPr>
              <w:t>15.3608</w:t>
            </w:r>
          </w:p>
        </w:tc>
      </w:tr>
      <w:tr w:rsidR="009A4866" w:rsidRPr="00D12E59" w14:paraId="37ED2EEE"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130DF40B" w14:textId="77777777" w:rsidR="009A4866" w:rsidRPr="00D12E59" w:rsidRDefault="009A4866" w:rsidP="00394697">
            <w:pPr>
              <w:rPr>
                <w:rFonts w:ascii="Book Antiqua" w:hAnsi="Book Antiqua"/>
                <w:color w:val="000000"/>
              </w:rPr>
            </w:pPr>
            <w:r w:rsidRPr="00D12E59">
              <w:rPr>
                <w:rFonts w:ascii="Book Antiqua" w:hAnsi="Book Antiqua"/>
                <w:color w:val="000000"/>
              </w:rPr>
              <w:t>Revolver</w:t>
            </w:r>
          </w:p>
        </w:tc>
        <w:tc>
          <w:tcPr>
            <w:tcW w:w="976" w:type="dxa"/>
            <w:tcBorders>
              <w:top w:val="nil"/>
              <w:left w:val="nil"/>
              <w:bottom w:val="nil"/>
              <w:right w:val="nil"/>
            </w:tcBorders>
            <w:shd w:val="clear" w:color="auto" w:fill="auto"/>
            <w:noWrap/>
            <w:vAlign w:val="center"/>
            <w:hideMark/>
          </w:tcPr>
          <w:p w14:paraId="19581228" w14:textId="77777777" w:rsidR="009A4866" w:rsidRPr="00D12E59" w:rsidRDefault="009A4866" w:rsidP="00394697">
            <w:pPr>
              <w:rPr>
                <w:rFonts w:ascii="Book Antiqua" w:hAnsi="Book Antiqua"/>
                <w:color w:val="000000"/>
              </w:rPr>
            </w:pPr>
            <w:r w:rsidRPr="00D12E59">
              <w:rPr>
                <w:rFonts w:ascii="Book Antiqua" w:hAnsi="Book Antiqua"/>
                <w:color w:val="000000"/>
              </w:rPr>
              <w:t>K13</w:t>
            </w:r>
          </w:p>
        </w:tc>
        <w:tc>
          <w:tcPr>
            <w:tcW w:w="1116" w:type="dxa"/>
            <w:tcBorders>
              <w:top w:val="nil"/>
              <w:left w:val="nil"/>
              <w:bottom w:val="nil"/>
              <w:right w:val="nil"/>
            </w:tcBorders>
            <w:shd w:val="clear" w:color="auto" w:fill="auto"/>
            <w:noWrap/>
            <w:vAlign w:val="center"/>
            <w:hideMark/>
          </w:tcPr>
          <w:p w14:paraId="62BD38EF" w14:textId="77777777" w:rsidR="009A4866" w:rsidRPr="00D12E59" w:rsidRDefault="009A4866" w:rsidP="00394697">
            <w:pPr>
              <w:rPr>
                <w:rFonts w:ascii="Book Antiqua" w:hAnsi="Book Antiqua"/>
                <w:color w:val="000000"/>
              </w:rPr>
            </w:pPr>
            <w:r w:rsidRPr="00D12E59">
              <w:rPr>
                <w:rFonts w:ascii="Book Antiqua" w:hAnsi="Book Antiqua"/>
                <w:color w:val="000000"/>
              </w:rPr>
              <w:t>0.5100</w:t>
            </w:r>
          </w:p>
        </w:tc>
        <w:tc>
          <w:tcPr>
            <w:tcW w:w="1116" w:type="dxa"/>
            <w:tcBorders>
              <w:top w:val="nil"/>
              <w:left w:val="nil"/>
              <w:bottom w:val="nil"/>
              <w:right w:val="nil"/>
            </w:tcBorders>
            <w:shd w:val="clear" w:color="auto" w:fill="auto"/>
            <w:noWrap/>
            <w:vAlign w:val="center"/>
            <w:hideMark/>
          </w:tcPr>
          <w:p w14:paraId="103E0FB4" w14:textId="77777777" w:rsidR="009A4866" w:rsidRPr="00D12E59" w:rsidRDefault="009A4866" w:rsidP="00394697">
            <w:pPr>
              <w:rPr>
                <w:rFonts w:ascii="Book Antiqua" w:hAnsi="Book Antiqua"/>
                <w:color w:val="000000"/>
              </w:rPr>
            </w:pPr>
            <w:r w:rsidRPr="00D12E59">
              <w:rPr>
                <w:rFonts w:ascii="Book Antiqua" w:hAnsi="Book Antiqua"/>
                <w:color w:val="000000"/>
              </w:rPr>
              <w:t>19.3108</w:t>
            </w:r>
          </w:p>
        </w:tc>
      </w:tr>
      <w:tr w:rsidR="009A4866" w:rsidRPr="00D12E59" w14:paraId="26781143" w14:textId="77777777" w:rsidTr="009A4866">
        <w:trPr>
          <w:trHeight w:val="315"/>
          <w:jc w:val="center"/>
        </w:trPr>
        <w:tc>
          <w:tcPr>
            <w:tcW w:w="1696" w:type="dxa"/>
            <w:tcBorders>
              <w:top w:val="nil"/>
              <w:left w:val="nil"/>
              <w:bottom w:val="nil"/>
              <w:right w:val="nil"/>
            </w:tcBorders>
            <w:shd w:val="clear" w:color="auto" w:fill="auto"/>
            <w:noWrap/>
            <w:vAlign w:val="center"/>
            <w:hideMark/>
          </w:tcPr>
          <w:p w14:paraId="212E1F54" w14:textId="77777777" w:rsidR="009A4866" w:rsidRPr="00D12E59" w:rsidRDefault="009A4866" w:rsidP="00394697">
            <w:pPr>
              <w:rPr>
                <w:rFonts w:ascii="Book Antiqua" w:hAnsi="Book Antiqua"/>
                <w:color w:val="000000"/>
              </w:rPr>
            </w:pPr>
            <w:r w:rsidRPr="00D12E59">
              <w:rPr>
                <w:rFonts w:ascii="Book Antiqua" w:hAnsi="Book Antiqua"/>
                <w:color w:val="000000"/>
              </w:rPr>
              <w:t>Mickey Mouse</w:t>
            </w:r>
          </w:p>
        </w:tc>
        <w:tc>
          <w:tcPr>
            <w:tcW w:w="976" w:type="dxa"/>
            <w:tcBorders>
              <w:top w:val="nil"/>
              <w:left w:val="nil"/>
              <w:bottom w:val="nil"/>
              <w:right w:val="nil"/>
            </w:tcBorders>
            <w:shd w:val="clear" w:color="auto" w:fill="auto"/>
            <w:noWrap/>
            <w:vAlign w:val="center"/>
            <w:hideMark/>
          </w:tcPr>
          <w:p w14:paraId="01749C35" w14:textId="77777777" w:rsidR="009A4866" w:rsidRPr="00D12E59" w:rsidRDefault="009A4866" w:rsidP="00394697">
            <w:pPr>
              <w:rPr>
                <w:rFonts w:ascii="Book Antiqua" w:hAnsi="Book Antiqua"/>
                <w:color w:val="000000"/>
              </w:rPr>
            </w:pPr>
            <w:r w:rsidRPr="00D12E59">
              <w:rPr>
                <w:rFonts w:ascii="Book Antiqua" w:hAnsi="Book Antiqua"/>
                <w:color w:val="000000"/>
              </w:rPr>
              <w:t>K14</w:t>
            </w:r>
          </w:p>
        </w:tc>
        <w:tc>
          <w:tcPr>
            <w:tcW w:w="1116" w:type="dxa"/>
            <w:tcBorders>
              <w:top w:val="nil"/>
              <w:left w:val="nil"/>
              <w:bottom w:val="nil"/>
              <w:right w:val="nil"/>
            </w:tcBorders>
            <w:shd w:val="clear" w:color="auto" w:fill="auto"/>
            <w:noWrap/>
            <w:vAlign w:val="center"/>
            <w:hideMark/>
          </w:tcPr>
          <w:p w14:paraId="719943B0" w14:textId="77777777" w:rsidR="009A4866" w:rsidRPr="00D12E59" w:rsidRDefault="009A4866" w:rsidP="00394697">
            <w:pPr>
              <w:rPr>
                <w:rFonts w:ascii="Book Antiqua" w:hAnsi="Book Antiqua"/>
                <w:color w:val="000000"/>
              </w:rPr>
            </w:pPr>
            <w:r w:rsidRPr="00D12E59">
              <w:rPr>
                <w:rFonts w:ascii="Book Antiqua" w:hAnsi="Book Antiqua"/>
                <w:color w:val="000000"/>
              </w:rPr>
              <w:t>0.2680</w:t>
            </w:r>
          </w:p>
        </w:tc>
        <w:tc>
          <w:tcPr>
            <w:tcW w:w="1116" w:type="dxa"/>
            <w:tcBorders>
              <w:top w:val="nil"/>
              <w:left w:val="nil"/>
              <w:bottom w:val="nil"/>
              <w:right w:val="nil"/>
            </w:tcBorders>
            <w:shd w:val="clear" w:color="auto" w:fill="auto"/>
            <w:noWrap/>
            <w:vAlign w:val="center"/>
            <w:hideMark/>
          </w:tcPr>
          <w:p w14:paraId="1FC6BE1D" w14:textId="77777777" w:rsidR="009A4866" w:rsidRPr="00D12E59" w:rsidRDefault="009A4866" w:rsidP="00394697">
            <w:pPr>
              <w:rPr>
                <w:rFonts w:ascii="Book Antiqua" w:hAnsi="Book Antiqua"/>
                <w:color w:val="000000"/>
              </w:rPr>
            </w:pPr>
            <w:r w:rsidRPr="00D12E59">
              <w:rPr>
                <w:rFonts w:ascii="Book Antiqua" w:hAnsi="Book Antiqua"/>
                <w:color w:val="000000"/>
              </w:rPr>
              <w:t>8.4040</w:t>
            </w:r>
          </w:p>
        </w:tc>
      </w:tr>
      <w:tr w:rsidR="009A4866" w:rsidRPr="00D12E59" w14:paraId="54CA38B7" w14:textId="77777777" w:rsidTr="009A4866">
        <w:trPr>
          <w:trHeight w:val="315"/>
          <w:jc w:val="center"/>
        </w:trPr>
        <w:tc>
          <w:tcPr>
            <w:tcW w:w="1696" w:type="dxa"/>
            <w:tcBorders>
              <w:top w:val="nil"/>
              <w:left w:val="nil"/>
              <w:bottom w:val="single" w:sz="4" w:space="0" w:color="auto"/>
              <w:right w:val="nil"/>
            </w:tcBorders>
            <w:shd w:val="clear" w:color="auto" w:fill="auto"/>
            <w:noWrap/>
            <w:vAlign w:val="center"/>
            <w:hideMark/>
          </w:tcPr>
          <w:p w14:paraId="673B100E" w14:textId="77777777" w:rsidR="009A4866" w:rsidRPr="00D12E59" w:rsidRDefault="009A4866" w:rsidP="00394697">
            <w:pPr>
              <w:rPr>
                <w:rFonts w:ascii="Book Antiqua" w:hAnsi="Book Antiqua"/>
                <w:color w:val="000000"/>
              </w:rPr>
            </w:pPr>
            <w:r w:rsidRPr="00D12E59">
              <w:rPr>
                <w:rFonts w:ascii="Book Antiqua" w:hAnsi="Book Antiqua"/>
                <w:color w:val="000000"/>
              </w:rPr>
              <w:t>Sword</w:t>
            </w:r>
          </w:p>
        </w:tc>
        <w:tc>
          <w:tcPr>
            <w:tcW w:w="976" w:type="dxa"/>
            <w:tcBorders>
              <w:top w:val="nil"/>
              <w:left w:val="nil"/>
              <w:bottom w:val="single" w:sz="4" w:space="0" w:color="auto"/>
              <w:right w:val="nil"/>
            </w:tcBorders>
            <w:shd w:val="clear" w:color="auto" w:fill="auto"/>
            <w:noWrap/>
            <w:vAlign w:val="center"/>
            <w:hideMark/>
          </w:tcPr>
          <w:p w14:paraId="5FE3C552" w14:textId="77777777" w:rsidR="009A4866" w:rsidRPr="00D12E59" w:rsidRDefault="009A4866" w:rsidP="00394697">
            <w:pPr>
              <w:rPr>
                <w:rFonts w:ascii="Book Antiqua" w:hAnsi="Book Antiqua"/>
                <w:color w:val="000000"/>
              </w:rPr>
            </w:pPr>
            <w:r w:rsidRPr="00D12E59">
              <w:rPr>
                <w:rFonts w:ascii="Book Antiqua" w:hAnsi="Book Antiqua"/>
                <w:color w:val="000000"/>
              </w:rPr>
              <w:t>K15</w:t>
            </w:r>
          </w:p>
        </w:tc>
        <w:tc>
          <w:tcPr>
            <w:tcW w:w="1116" w:type="dxa"/>
            <w:tcBorders>
              <w:top w:val="nil"/>
              <w:left w:val="nil"/>
              <w:bottom w:val="single" w:sz="4" w:space="0" w:color="auto"/>
              <w:right w:val="nil"/>
            </w:tcBorders>
            <w:shd w:val="clear" w:color="auto" w:fill="auto"/>
            <w:noWrap/>
            <w:vAlign w:val="center"/>
            <w:hideMark/>
          </w:tcPr>
          <w:p w14:paraId="4015CBA2" w14:textId="77777777" w:rsidR="009A4866" w:rsidRPr="00D12E59" w:rsidRDefault="009A4866" w:rsidP="00394697">
            <w:pPr>
              <w:rPr>
                <w:rFonts w:ascii="Book Antiqua" w:hAnsi="Book Antiqua"/>
                <w:color w:val="000000"/>
              </w:rPr>
            </w:pPr>
            <w:r w:rsidRPr="00D12E59">
              <w:rPr>
                <w:rFonts w:ascii="Book Antiqua" w:hAnsi="Book Antiqua"/>
                <w:color w:val="000000"/>
              </w:rPr>
              <w:t>0.3173</w:t>
            </w:r>
          </w:p>
        </w:tc>
        <w:tc>
          <w:tcPr>
            <w:tcW w:w="1116" w:type="dxa"/>
            <w:tcBorders>
              <w:top w:val="nil"/>
              <w:left w:val="nil"/>
              <w:bottom w:val="single" w:sz="4" w:space="0" w:color="auto"/>
              <w:right w:val="nil"/>
            </w:tcBorders>
            <w:shd w:val="clear" w:color="auto" w:fill="auto"/>
            <w:noWrap/>
            <w:vAlign w:val="center"/>
            <w:hideMark/>
          </w:tcPr>
          <w:p w14:paraId="1F31CE76" w14:textId="77777777" w:rsidR="009A4866" w:rsidRPr="00D12E59" w:rsidRDefault="009A4866" w:rsidP="00394697">
            <w:pPr>
              <w:rPr>
                <w:rFonts w:ascii="Book Antiqua" w:hAnsi="Book Antiqua"/>
                <w:color w:val="000000"/>
              </w:rPr>
            </w:pPr>
            <w:r w:rsidRPr="00D12E59">
              <w:rPr>
                <w:rFonts w:ascii="Book Antiqua" w:hAnsi="Book Antiqua"/>
                <w:color w:val="000000"/>
              </w:rPr>
              <w:t>7.3681</w:t>
            </w:r>
          </w:p>
        </w:tc>
      </w:tr>
      <w:tr w:rsidR="009A4866" w:rsidRPr="00D12E59" w14:paraId="4E41AB21" w14:textId="77777777" w:rsidTr="009A4866">
        <w:trPr>
          <w:trHeight w:val="315"/>
          <w:jc w:val="center"/>
        </w:trPr>
        <w:tc>
          <w:tcPr>
            <w:tcW w:w="2672" w:type="dxa"/>
            <w:gridSpan w:val="2"/>
            <w:tcBorders>
              <w:top w:val="nil"/>
              <w:left w:val="nil"/>
              <w:bottom w:val="nil"/>
              <w:right w:val="nil"/>
            </w:tcBorders>
            <w:shd w:val="clear" w:color="auto" w:fill="auto"/>
            <w:vAlign w:val="center"/>
            <w:hideMark/>
          </w:tcPr>
          <w:p w14:paraId="6CEEB8FE" w14:textId="77777777" w:rsidR="009A4866" w:rsidRPr="00D12E59" w:rsidRDefault="009A4866" w:rsidP="00394697">
            <w:pPr>
              <w:rPr>
                <w:rFonts w:ascii="Book Antiqua" w:hAnsi="Book Antiqua"/>
                <w:color w:val="000000"/>
              </w:rPr>
            </w:pPr>
            <w:r w:rsidRPr="00D12E59">
              <w:rPr>
                <w:rFonts w:ascii="Book Antiqua" w:hAnsi="Book Antiqua"/>
                <w:color w:val="000000"/>
              </w:rPr>
              <w:t>Mean</w:t>
            </w:r>
          </w:p>
        </w:tc>
        <w:tc>
          <w:tcPr>
            <w:tcW w:w="1116" w:type="dxa"/>
            <w:tcBorders>
              <w:top w:val="nil"/>
              <w:left w:val="nil"/>
              <w:bottom w:val="nil"/>
              <w:right w:val="nil"/>
            </w:tcBorders>
            <w:shd w:val="clear" w:color="auto" w:fill="auto"/>
            <w:noWrap/>
            <w:vAlign w:val="center"/>
            <w:hideMark/>
          </w:tcPr>
          <w:p w14:paraId="1D3BD36C" w14:textId="77777777" w:rsidR="009A4866" w:rsidRPr="00D12E59" w:rsidRDefault="009A4866" w:rsidP="00394697">
            <w:pPr>
              <w:rPr>
                <w:rFonts w:ascii="Book Antiqua" w:hAnsi="Book Antiqua"/>
                <w:color w:val="000000"/>
              </w:rPr>
            </w:pPr>
            <w:r w:rsidRPr="00D12E59">
              <w:rPr>
                <w:rFonts w:ascii="Book Antiqua" w:hAnsi="Book Antiqua"/>
                <w:color w:val="000000"/>
              </w:rPr>
              <w:t>0.3020</w:t>
            </w:r>
          </w:p>
        </w:tc>
        <w:tc>
          <w:tcPr>
            <w:tcW w:w="1116" w:type="dxa"/>
            <w:tcBorders>
              <w:top w:val="nil"/>
              <w:left w:val="nil"/>
              <w:bottom w:val="nil"/>
              <w:right w:val="nil"/>
            </w:tcBorders>
            <w:shd w:val="clear" w:color="auto" w:fill="auto"/>
            <w:noWrap/>
            <w:vAlign w:val="center"/>
            <w:hideMark/>
          </w:tcPr>
          <w:p w14:paraId="1B2AA67C" w14:textId="77777777" w:rsidR="009A4866" w:rsidRPr="00D12E59" w:rsidRDefault="009A4866" w:rsidP="00394697">
            <w:pPr>
              <w:rPr>
                <w:rFonts w:ascii="Book Antiqua" w:hAnsi="Book Antiqua"/>
                <w:color w:val="000000"/>
              </w:rPr>
            </w:pPr>
            <w:r w:rsidRPr="00D12E59">
              <w:rPr>
                <w:rFonts w:ascii="Book Antiqua" w:hAnsi="Book Antiqua"/>
                <w:color w:val="000000"/>
              </w:rPr>
              <w:t>7.3769</w:t>
            </w:r>
          </w:p>
        </w:tc>
      </w:tr>
      <w:tr w:rsidR="009A4866" w:rsidRPr="00D12E59" w14:paraId="29F77692" w14:textId="77777777" w:rsidTr="009A4866">
        <w:trPr>
          <w:trHeight w:val="315"/>
          <w:jc w:val="center"/>
        </w:trPr>
        <w:tc>
          <w:tcPr>
            <w:tcW w:w="2672" w:type="dxa"/>
            <w:gridSpan w:val="2"/>
            <w:tcBorders>
              <w:top w:val="nil"/>
              <w:left w:val="nil"/>
              <w:bottom w:val="nil"/>
              <w:right w:val="nil"/>
            </w:tcBorders>
            <w:shd w:val="clear" w:color="auto" w:fill="auto"/>
            <w:vAlign w:val="center"/>
            <w:hideMark/>
          </w:tcPr>
          <w:p w14:paraId="484EE0C9" w14:textId="77777777" w:rsidR="009A4866" w:rsidRPr="00D12E59" w:rsidRDefault="009A4866" w:rsidP="00394697">
            <w:pPr>
              <w:rPr>
                <w:rFonts w:ascii="Book Antiqua" w:hAnsi="Book Antiqua"/>
                <w:color w:val="000000"/>
              </w:rPr>
            </w:pPr>
            <w:r w:rsidRPr="00D12E59">
              <w:rPr>
                <w:rFonts w:ascii="Book Antiqua" w:hAnsi="Book Antiqua"/>
                <w:color w:val="000000"/>
              </w:rPr>
              <w:t>SD</w:t>
            </w:r>
          </w:p>
        </w:tc>
        <w:tc>
          <w:tcPr>
            <w:tcW w:w="1116" w:type="dxa"/>
            <w:tcBorders>
              <w:top w:val="nil"/>
              <w:left w:val="nil"/>
              <w:bottom w:val="nil"/>
              <w:right w:val="nil"/>
            </w:tcBorders>
            <w:shd w:val="clear" w:color="auto" w:fill="auto"/>
            <w:noWrap/>
            <w:vAlign w:val="center"/>
            <w:hideMark/>
          </w:tcPr>
          <w:p w14:paraId="15126A05" w14:textId="77777777" w:rsidR="009A4866" w:rsidRPr="00D12E59" w:rsidRDefault="009A4866" w:rsidP="00394697">
            <w:pPr>
              <w:rPr>
                <w:rFonts w:ascii="Book Antiqua" w:hAnsi="Book Antiqua"/>
                <w:color w:val="000000"/>
              </w:rPr>
            </w:pPr>
            <w:r w:rsidRPr="00D12E59">
              <w:rPr>
                <w:rFonts w:ascii="Book Antiqua" w:hAnsi="Book Antiqua"/>
                <w:color w:val="000000"/>
              </w:rPr>
              <w:t>0.1451</w:t>
            </w:r>
          </w:p>
        </w:tc>
        <w:tc>
          <w:tcPr>
            <w:tcW w:w="1116" w:type="dxa"/>
            <w:tcBorders>
              <w:top w:val="nil"/>
              <w:left w:val="nil"/>
              <w:bottom w:val="nil"/>
              <w:right w:val="nil"/>
            </w:tcBorders>
            <w:shd w:val="clear" w:color="auto" w:fill="auto"/>
            <w:noWrap/>
            <w:vAlign w:val="center"/>
            <w:hideMark/>
          </w:tcPr>
          <w:p w14:paraId="7E7A03F9" w14:textId="77777777" w:rsidR="009A4866" w:rsidRPr="00D12E59" w:rsidRDefault="009A4866" w:rsidP="00394697">
            <w:pPr>
              <w:rPr>
                <w:rFonts w:ascii="Book Antiqua" w:hAnsi="Book Antiqua"/>
                <w:color w:val="000000"/>
              </w:rPr>
            </w:pPr>
            <w:r w:rsidRPr="00D12E59">
              <w:rPr>
                <w:rFonts w:ascii="Book Antiqua" w:hAnsi="Book Antiqua"/>
                <w:color w:val="000000"/>
              </w:rPr>
              <w:t>6.4839</w:t>
            </w:r>
          </w:p>
        </w:tc>
      </w:tr>
      <w:tr w:rsidR="009A4866" w:rsidRPr="00D12E59" w14:paraId="3D44F982" w14:textId="77777777" w:rsidTr="009A4866">
        <w:trPr>
          <w:trHeight w:val="315"/>
          <w:jc w:val="center"/>
        </w:trPr>
        <w:tc>
          <w:tcPr>
            <w:tcW w:w="2672" w:type="dxa"/>
            <w:gridSpan w:val="2"/>
            <w:tcBorders>
              <w:top w:val="nil"/>
              <w:left w:val="nil"/>
              <w:bottom w:val="single" w:sz="4" w:space="0" w:color="auto"/>
              <w:right w:val="nil"/>
            </w:tcBorders>
            <w:shd w:val="clear" w:color="auto" w:fill="auto"/>
            <w:noWrap/>
            <w:vAlign w:val="center"/>
            <w:hideMark/>
          </w:tcPr>
          <w:p w14:paraId="158C967C" w14:textId="77777777" w:rsidR="009A4866" w:rsidRPr="00D12E59" w:rsidRDefault="009A4866" w:rsidP="00394697">
            <w:pPr>
              <w:rPr>
                <w:rFonts w:ascii="Book Antiqua" w:hAnsi="Book Antiqua"/>
                <w:color w:val="000000"/>
              </w:rPr>
            </w:pPr>
            <w:r w:rsidRPr="00D12E59">
              <w:rPr>
                <w:rFonts w:ascii="Book Antiqua" w:hAnsi="Book Antiqua"/>
                <w:color w:val="000000"/>
              </w:rPr>
              <w:t>RSD</w:t>
            </w:r>
          </w:p>
        </w:tc>
        <w:tc>
          <w:tcPr>
            <w:tcW w:w="1116" w:type="dxa"/>
            <w:tcBorders>
              <w:top w:val="nil"/>
              <w:left w:val="nil"/>
              <w:bottom w:val="single" w:sz="4" w:space="0" w:color="auto"/>
              <w:right w:val="nil"/>
            </w:tcBorders>
            <w:shd w:val="clear" w:color="auto" w:fill="auto"/>
            <w:noWrap/>
            <w:vAlign w:val="bottom"/>
            <w:hideMark/>
          </w:tcPr>
          <w:p w14:paraId="4D75C58C" w14:textId="77777777" w:rsidR="009A4866" w:rsidRPr="00D12E59" w:rsidRDefault="009A4866" w:rsidP="00394697">
            <w:pPr>
              <w:rPr>
                <w:rFonts w:ascii="Book Antiqua" w:hAnsi="Book Antiqua"/>
                <w:color w:val="000000"/>
              </w:rPr>
            </w:pPr>
            <w:r w:rsidRPr="00D12E59">
              <w:rPr>
                <w:rFonts w:ascii="Book Antiqua" w:hAnsi="Book Antiqua"/>
                <w:color w:val="000000"/>
              </w:rPr>
              <w:t>48.0565</w:t>
            </w:r>
          </w:p>
        </w:tc>
        <w:tc>
          <w:tcPr>
            <w:tcW w:w="1116" w:type="dxa"/>
            <w:tcBorders>
              <w:top w:val="nil"/>
              <w:left w:val="nil"/>
              <w:bottom w:val="single" w:sz="4" w:space="0" w:color="auto"/>
              <w:right w:val="nil"/>
            </w:tcBorders>
            <w:shd w:val="clear" w:color="auto" w:fill="auto"/>
            <w:noWrap/>
            <w:vAlign w:val="bottom"/>
            <w:hideMark/>
          </w:tcPr>
          <w:p w14:paraId="3A287609" w14:textId="77777777" w:rsidR="009A4866" w:rsidRPr="00D12E59" w:rsidRDefault="009A4866" w:rsidP="00394697">
            <w:pPr>
              <w:rPr>
                <w:rFonts w:ascii="Book Antiqua" w:hAnsi="Book Antiqua"/>
                <w:color w:val="000000"/>
              </w:rPr>
            </w:pPr>
            <w:r w:rsidRPr="00D12E59">
              <w:rPr>
                <w:rFonts w:ascii="Book Antiqua" w:hAnsi="Book Antiqua"/>
                <w:color w:val="000000"/>
              </w:rPr>
              <w:t>87.8955</w:t>
            </w:r>
          </w:p>
        </w:tc>
      </w:tr>
    </w:tbl>
    <w:p w14:paraId="1A24B996" w14:textId="77777777" w:rsidR="009A4866" w:rsidRPr="00E3232D" w:rsidRDefault="009A4866" w:rsidP="00394697">
      <w:pPr>
        <w:rPr>
          <w:rFonts w:ascii="Book Antiqua" w:hAnsi="Book Antiqua"/>
        </w:rPr>
      </w:pPr>
    </w:p>
    <w:p w14:paraId="0DF05C4D" w14:textId="77777777" w:rsidR="009A4866" w:rsidRPr="00E3232D" w:rsidRDefault="009A4866" w:rsidP="00394697">
      <w:pPr>
        <w:rPr>
          <w:rFonts w:ascii="Book Antiqua" w:hAnsi="Book Antiqua"/>
        </w:rPr>
      </w:pPr>
    </w:p>
    <w:p w14:paraId="5911C146" w14:textId="77777777" w:rsidR="0031591D" w:rsidRDefault="007005B1" w:rsidP="00394697">
      <w:pPr>
        <w:rPr>
          <w:rFonts w:ascii="Book Antiqua" w:hAnsi="Book Antiqua"/>
          <w:b/>
        </w:rPr>
      </w:pPr>
      <w:r>
        <w:rPr>
          <w:rFonts w:ascii="Book Antiqua" w:hAnsi="Book Antiqua"/>
          <w:noProof/>
          <w:lang w:bidi="ar-SA"/>
        </w:rPr>
        <w:drawing>
          <wp:inline distT="0" distB="0" distL="0" distR="0" wp14:anchorId="3AABBC86" wp14:editId="696C27C9">
            <wp:extent cx="3240760" cy="2488304"/>
            <wp:effectExtent l="12211" t="6102" r="4579" b="1144"/>
            <wp:docPr id="249"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p w14:paraId="19308954" w14:textId="77777777" w:rsidR="009A4866" w:rsidRPr="0031591D" w:rsidRDefault="009A4866" w:rsidP="00394697">
      <w:pPr>
        <w:rPr>
          <w:rFonts w:ascii="Book Antiqua" w:hAnsi="Book Antiqua"/>
          <w:b/>
        </w:rPr>
      </w:pPr>
      <w:r w:rsidRPr="00E3232D">
        <w:rPr>
          <w:rFonts w:ascii="Book Antiqua" w:hAnsi="Book Antiqua"/>
          <w:b/>
        </w:rPr>
        <w:t>Figure 1: Mean concentration of cadmium</w:t>
      </w:r>
    </w:p>
    <w:p w14:paraId="76110865" w14:textId="77777777" w:rsidR="009A4866" w:rsidRPr="00E3232D" w:rsidRDefault="009A4866" w:rsidP="00394697">
      <w:pPr>
        <w:rPr>
          <w:rFonts w:ascii="Book Antiqua" w:hAnsi="Book Antiqua"/>
        </w:rPr>
      </w:pPr>
    </w:p>
    <w:p w14:paraId="067C0354" w14:textId="77777777" w:rsidR="009A4866" w:rsidRPr="00E3232D" w:rsidRDefault="007005B1" w:rsidP="00394697">
      <w:pPr>
        <w:rPr>
          <w:rFonts w:ascii="Book Antiqua" w:hAnsi="Book Antiqua"/>
        </w:rPr>
      </w:pPr>
      <w:r>
        <w:rPr>
          <w:rFonts w:ascii="Book Antiqua" w:hAnsi="Book Antiqua"/>
          <w:noProof/>
          <w:lang w:bidi="ar-SA"/>
        </w:rPr>
        <w:drawing>
          <wp:inline distT="0" distB="0" distL="0" distR="0" wp14:anchorId="753F3251" wp14:editId="147A47A3">
            <wp:extent cx="5944356" cy="3280030"/>
            <wp:effectExtent l="12196" t="6095" r="6098" b="0"/>
            <wp:docPr id="250"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4"/>
              </a:graphicData>
            </a:graphic>
          </wp:inline>
        </w:drawing>
      </w:r>
    </w:p>
    <w:p w14:paraId="5E987213" w14:textId="77777777" w:rsidR="000A3B25" w:rsidRPr="00E3232D" w:rsidRDefault="009A4866" w:rsidP="0066410C">
      <w:pPr>
        <w:rPr>
          <w:rFonts w:ascii="Book Antiqua" w:hAnsi="Book Antiqua"/>
          <w:b/>
        </w:rPr>
        <w:sectPr w:rsidR="000A3B25" w:rsidRPr="00E3232D" w:rsidSect="008F6BC9">
          <w:type w:val="continuous"/>
          <w:pgSz w:w="11907" w:h="16839" w:code="9"/>
          <w:pgMar w:top="1440" w:right="1440" w:bottom="1440" w:left="1440" w:header="720" w:footer="720" w:gutter="0"/>
          <w:cols w:space="720"/>
          <w:docGrid w:linePitch="360"/>
        </w:sectPr>
      </w:pPr>
      <w:r w:rsidRPr="00E3232D">
        <w:rPr>
          <w:rFonts w:ascii="Book Antiqua" w:hAnsi="Book Antiqua"/>
          <w:b/>
        </w:rPr>
        <w:t>Figure 2: Mean concentration of Lea</w:t>
      </w:r>
      <w:r w:rsidR="004B509C">
        <w:rPr>
          <w:rFonts w:ascii="Book Antiqua" w:hAnsi="Book Antiqua"/>
          <w:b/>
        </w:rPr>
        <w:t>d</w:t>
      </w:r>
    </w:p>
    <w:p w14:paraId="195D2476" w14:textId="77777777" w:rsidR="00DA6574" w:rsidRPr="00E3232D" w:rsidRDefault="00DA6574" w:rsidP="0011220F">
      <w:pPr>
        <w:rPr>
          <w:rFonts w:ascii="Book Antiqua" w:hAnsi="Book Antiqua"/>
        </w:rPr>
        <w:sectPr w:rsidR="00DA6574" w:rsidRPr="00E3232D" w:rsidSect="008F6BC9">
          <w:type w:val="continuous"/>
          <w:pgSz w:w="11907" w:h="16839" w:code="9"/>
          <w:pgMar w:top="1440" w:right="1440" w:bottom="1440" w:left="1440" w:header="708" w:footer="708" w:gutter="0"/>
          <w:cols w:space="720"/>
          <w:docGrid w:linePitch="360"/>
        </w:sectPr>
      </w:pPr>
    </w:p>
    <w:p w14:paraId="254C8960" w14:textId="77777777" w:rsidR="00C308D3" w:rsidRPr="00E3232D" w:rsidRDefault="00C308D3" w:rsidP="008275E1">
      <w:pPr>
        <w:autoSpaceDE w:val="0"/>
        <w:autoSpaceDN w:val="0"/>
        <w:adjustRightInd w:val="0"/>
        <w:rPr>
          <w:rFonts w:ascii="Book Antiqua" w:hAnsi="Book Antiqua"/>
          <w:b/>
        </w:rPr>
        <w:sectPr w:rsidR="00C308D3" w:rsidRPr="00E3232D" w:rsidSect="008F6BC9">
          <w:type w:val="continuous"/>
          <w:pgSz w:w="11907" w:h="16839" w:code="9"/>
          <w:pgMar w:top="1440" w:right="1827" w:bottom="1440" w:left="1440" w:header="720" w:footer="720" w:gutter="0"/>
          <w:cols w:space="720"/>
          <w:docGrid w:linePitch="360"/>
        </w:sectPr>
      </w:pPr>
    </w:p>
    <w:p w14:paraId="043EFECC" w14:textId="77777777" w:rsidR="00AD429C" w:rsidRPr="00E3232D" w:rsidRDefault="00AD429C" w:rsidP="008275E1">
      <w:pPr>
        <w:autoSpaceDE w:val="0"/>
        <w:autoSpaceDN w:val="0"/>
        <w:adjustRightInd w:val="0"/>
        <w:rPr>
          <w:rFonts w:ascii="Book Antiqua" w:hAnsi="Book Antiqua"/>
        </w:rPr>
        <w:sectPr w:rsidR="00AD429C" w:rsidRPr="00E3232D" w:rsidSect="008F6BC9">
          <w:footerReference w:type="default" r:id="rId375"/>
          <w:type w:val="continuous"/>
          <w:pgSz w:w="11907" w:h="16839" w:code="9"/>
          <w:pgMar w:top="1440" w:right="1354" w:bottom="864" w:left="1166" w:header="720" w:footer="720" w:gutter="0"/>
          <w:cols w:space="720"/>
          <w:docGrid w:linePitch="360"/>
        </w:sectPr>
      </w:pPr>
    </w:p>
    <w:p w14:paraId="7FC18031" w14:textId="77777777" w:rsidR="00DA1F13" w:rsidRPr="00E3232D" w:rsidRDefault="00DA1F13" w:rsidP="008275E1">
      <w:pPr>
        <w:rPr>
          <w:rFonts w:ascii="Book Antiqua" w:hAnsi="Book Antiqua"/>
          <w:lang w:val="en-AU" w:eastAsia="en-AU"/>
        </w:rPr>
        <w:sectPr w:rsidR="00DA1F13" w:rsidRPr="00E3232D" w:rsidSect="008F6BC9">
          <w:type w:val="continuous"/>
          <w:pgSz w:w="11907" w:h="16839" w:code="9"/>
          <w:pgMar w:top="1440" w:right="1354" w:bottom="864" w:left="1166" w:header="720" w:footer="720" w:gutter="0"/>
          <w:cols w:space="720"/>
          <w:docGrid w:linePitch="360"/>
        </w:sectPr>
      </w:pPr>
    </w:p>
    <w:p w14:paraId="3D5FDED2" w14:textId="77777777" w:rsidR="003852DC" w:rsidRPr="00CD225A" w:rsidRDefault="003852DC" w:rsidP="003852DC">
      <w:pPr>
        <w:autoSpaceDE w:val="0"/>
        <w:autoSpaceDN w:val="0"/>
        <w:adjustRightInd w:val="0"/>
        <w:spacing w:after="0" w:line="240" w:lineRule="auto"/>
        <w:jc w:val="center"/>
        <w:rPr>
          <w:rFonts w:ascii="Book Antiqua" w:hAnsi="Book Antiqua"/>
          <w:b/>
          <w:color w:val="000000"/>
          <w:sz w:val="26"/>
          <w:szCs w:val="26"/>
        </w:rPr>
      </w:pPr>
      <w:r w:rsidRPr="00CD225A">
        <w:rPr>
          <w:rFonts w:ascii="Book Antiqua" w:hAnsi="Book Antiqua"/>
          <w:b/>
          <w:color w:val="000000"/>
          <w:sz w:val="26"/>
          <w:szCs w:val="26"/>
        </w:rPr>
        <w:t>TVET Centre for Medical Equipment Technology</w:t>
      </w:r>
    </w:p>
    <w:p w14:paraId="21F4046B" w14:textId="77777777" w:rsidR="003852DC" w:rsidRPr="00CD225A" w:rsidRDefault="003852DC" w:rsidP="003852DC">
      <w:pPr>
        <w:autoSpaceDE w:val="0"/>
        <w:autoSpaceDN w:val="0"/>
        <w:adjustRightInd w:val="0"/>
        <w:spacing w:after="0" w:line="240" w:lineRule="auto"/>
        <w:jc w:val="center"/>
        <w:rPr>
          <w:rFonts w:ascii="Book Antiqua" w:hAnsi="Book Antiqua"/>
          <w:b/>
          <w:color w:val="000000"/>
          <w:sz w:val="26"/>
          <w:szCs w:val="26"/>
        </w:rPr>
      </w:pPr>
      <w:r w:rsidRPr="00CD225A">
        <w:rPr>
          <w:rFonts w:ascii="Book Antiqua" w:hAnsi="Book Antiqua"/>
          <w:b/>
          <w:color w:val="000000"/>
          <w:sz w:val="26"/>
          <w:szCs w:val="26"/>
        </w:rPr>
        <w:t>(Maintenance Training Repair Services and Operation)</w:t>
      </w:r>
    </w:p>
    <w:p w14:paraId="295A4674" w14:textId="77777777" w:rsidR="003852DC" w:rsidRPr="00CD225A" w:rsidRDefault="003852DC" w:rsidP="003852DC">
      <w:pPr>
        <w:autoSpaceDE w:val="0"/>
        <w:autoSpaceDN w:val="0"/>
        <w:adjustRightInd w:val="0"/>
        <w:spacing w:after="0" w:line="240" w:lineRule="auto"/>
        <w:rPr>
          <w:rFonts w:ascii="Book Antiqua" w:hAnsi="Book Antiqua"/>
          <w:b/>
          <w:color w:val="000000"/>
          <w:sz w:val="26"/>
          <w:szCs w:val="26"/>
        </w:rPr>
      </w:pPr>
    </w:p>
    <w:p w14:paraId="074D91DB" w14:textId="77777777" w:rsidR="003852DC" w:rsidRPr="00B24D1A" w:rsidRDefault="003852DC" w:rsidP="003852DC">
      <w:pPr>
        <w:autoSpaceDE w:val="0"/>
        <w:autoSpaceDN w:val="0"/>
        <w:adjustRightInd w:val="0"/>
        <w:spacing w:after="0"/>
        <w:jc w:val="center"/>
        <w:rPr>
          <w:rFonts w:ascii="Book Antiqua" w:hAnsi="Book Antiqua"/>
          <w:color w:val="000000"/>
        </w:rPr>
      </w:pPr>
      <w:r>
        <w:rPr>
          <w:rFonts w:ascii="Book Antiqua" w:hAnsi="Book Antiqua"/>
          <w:color w:val="000000"/>
        </w:rPr>
        <w:t>Ahmed M. G</w:t>
      </w:r>
    </w:p>
    <w:p w14:paraId="45E13D80" w14:textId="77777777" w:rsidR="003852DC" w:rsidRDefault="003852DC" w:rsidP="003852DC">
      <w:pPr>
        <w:autoSpaceDE w:val="0"/>
        <w:autoSpaceDN w:val="0"/>
        <w:adjustRightInd w:val="0"/>
        <w:spacing w:after="0" w:line="240" w:lineRule="auto"/>
        <w:jc w:val="center"/>
        <w:rPr>
          <w:rFonts w:ascii="Book Antiqua" w:hAnsi="Book Antiqua"/>
          <w:color w:val="000000"/>
        </w:rPr>
      </w:pPr>
      <w:r>
        <w:rPr>
          <w:rFonts w:ascii="Book Antiqua" w:hAnsi="Book Antiqua"/>
          <w:color w:val="000000"/>
        </w:rPr>
        <w:t>School o</w:t>
      </w:r>
      <w:r w:rsidRPr="00B24D1A">
        <w:rPr>
          <w:rFonts w:ascii="Book Antiqua" w:hAnsi="Book Antiqua"/>
          <w:color w:val="000000"/>
        </w:rPr>
        <w:t>f Applied Science, Accra Polytechnic</w:t>
      </w:r>
      <w:r>
        <w:rPr>
          <w:rFonts w:ascii="Book Antiqua" w:hAnsi="Book Antiqua"/>
          <w:color w:val="000000"/>
        </w:rPr>
        <w:t>, Accra</w:t>
      </w:r>
    </w:p>
    <w:p w14:paraId="6D012127" w14:textId="77777777" w:rsidR="003852DC" w:rsidRPr="00B24D1A" w:rsidRDefault="003852DC" w:rsidP="003852DC">
      <w:pPr>
        <w:autoSpaceDE w:val="0"/>
        <w:autoSpaceDN w:val="0"/>
        <w:adjustRightInd w:val="0"/>
        <w:spacing w:after="0" w:line="240" w:lineRule="auto"/>
        <w:jc w:val="center"/>
        <w:rPr>
          <w:rFonts w:ascii="Book Antiqua" w:hAnsi="Book Antiqua"/>
          <w:b/>
          <w:color w:val="000000"/>
        </w:rPr>
      </w:pPr>
      <w:r w:rsidRPr="00B24D1A">
        <w:rPr>
          <w:rFonts w:ascii="Book Antiqua" w:hAnsi="Book Antiqua"/>
          <w:color w:val="000000"/>
        </w:rPr>
        <w:t xml:space="preserve"> </w:t>
      </w:r>
      <w:r w:rsidRPr="00B24D1A">
        <w:rPr>
          <w:rFonts w:ascii="Book Antiqua" w:hAnsi="Book Antiqua"/>
          <w:b/>
          <w:color w:val="000000"/>
        </w:rPr>
        <w:t>E-mail</w:t>
      </w:r>
      <w:r w:rsidRPr="00B24D1A">
        <w:rPr>
          <w:rFonts w:ascii="Book Antiqua" w:hAnsi="Book Antiqua"/>
          <w:color w:val="000000"/>
        </w:rPr>
        <w:t>: ahmedgedel@yahoo.com</w:t>
      </w:r>
    </w:p>
    <w:p w14:paraId="5F61C436" w14:textId="77777777" w:rsidR="003852DC" w:rsidRDefault="003852DC" w:rsidP="003852DC">
      <w:pPr>
        <w:autoSpaceDE w:val="0"/>
        <w:autoSpaceDN w:val="0"/>
        <w:adjustRightInd w:val="0"/>
        <w:spacing w:after="0" w:line="240" w:lineRule="auto"/>
        <w:jc w:val="both"/>
        <w:rPr>
          <w:rFonts w:ascii="Book Antiqua" w:hAnsi="Book Antiqua"/>
          <w:b/>
          <w:color w:val="000000"/>
          <w:sz w:val="26"/>
        </w:rPr>
      </w:pPr>
    </w:p>
    <w:p w14:paraId="44B12CF3" w14:textId="77777777" w:rsidR="003852DC" w:rsidRPr="00B24D1A" w:rsidRDefault="003852DC" w:rsidP="003852DC">
      <w:pPr>
        <w:autoSpaceDE w:val="0"/>
        <w:autoSpaceDN w:val="0"/>
        <w:adjustRightInd w:val="0"/>
        <w:spacing w:after="0" w:line="240" w:lineRule="auto"/>
        <w:jc w:val="both"/>
        <w:rPr>
          <w:rFonts w:ascii="Book Antiqua" w:hAnsi="Book Antiqua"/>
          <w:b/>
          <w:color w:val="000000"/>
          <w:sz w:val="26"/>
        </w:rPr>
      </w:pPr>
      <w:r w:rsidRPr="00B24D1A">
        <w:rPr>
          <w:rFonts w:ascii="Book Antiqua" w:hAnsi="Book Antiqua"/>
          <w:b/>
          <w:color w:val="000000"/>
          <w:sz w:val="26"/>
        </w:rPr>
        <w:t>Executive Summary</w:t>
      </w:r>
    </w:p>
    <w:p w14:paraId="5C163E3E" w14:textId="77777777" w:rsidR="003852DC" w:rsidRDefault="003852DC" w:rsidP="003852DC">
      <w:pPr>
        <w:spacing w:after="0"/>
        <w:jc w:val="both"/>
        <w:rPr>
          <w:rFonts w:ascii="Book Antiqua" w:hAnsi="Book Antiqua"/>
        </w:rPr>
      </w:pPr>
    </w:p>
    <w:p w14:paraId="5C5EB3CD" w14:textId="77777777" w:rsidR="003852DC" w:rsidRDefault="003852DC" w:rsidP="003852DC">
      <w:pPr>
        <w:jc w:val="both"/>
        <w:rPr>
          <w:rFonts w:ascii="Book Antiqua" w:hAnsi="Book Antiqua"/>
          <w:color w:val="000000"/>
        </w:rPr>
      </w:pPr>
      <w:r w:rsidRPr="00E3232D">
        <w:rPr>
          <w:rFonts w:ascii="Book Antiqua" w:hAnsi="Book Antiqua"/>
        </w:rPr>
        <w:t xml:space="preserve">This conceptual TVET project, envisioned the establishment of TVET centre which would </w:t>
      </w:r>
      <w:r w:rsidRPr="00E3232D">
        <w:rPr>
          <w:rFonts w:ascii="Book Antiqua" w:hAnsi="Book Antiqua"/>
          <w:color w:val="000000"/>
        </w:rPr>
        <w:t xml:space="preserve"> focused on providing middle level TVET programme on highly demanded subject, i.e. Medical Equipment technology (</w:t>
      </w:r>
      <w:r w:rsidRPr="00E3232D">
        <w:rPr>
          <w:rFonts w:ascii="Book Antiqua" w:hAnsi="Book Antiqua"/>
        </w:rPr>
        <w:t>Medical equipment maintenance, repairs, operations, training and services) with a capacity of providing repair and maintenance for more than 2000 assorted medical equipment,</w:t>
      </w:r>
      <w:r w:rsidRPr="00E3232D">
        <w:rPr>
          <w:rFonts w:ascii="Book Antiqua" w:hAnsi="Book Antiqua"/>
          <w:color w:val="000000"/>
        </w:rPr>
        <w:t xml:space="preserve"> and further expand its programme on demand base. </w:t>
      </w:r>
      <w:r w:rsidRPr="00E3232D">
        <w:rPr>
          <w:rFonts w:ascii="Book Antiqua" w:hAnsi="Book Antiqua"/>
        </w:rPr>
        <w:t>The project aim is to create job opportunities for 1150 persons in a period of five (5) years, at an average of 230 students per annum to be train as medical equipment technicians. Maintenance and repairs of medical equipment requires a wide range of technical abilities, and the costs and time required to train a technician increase markedly with the level of skill that has to be attained.</w:t>
      </w:r>
      <w:r w:rsidRPr="00E3232D">
        <w:rPr>
          <w:rFonts w:ascii="Book Antiqua" w:hAnsi="Book Antiqua"/>
          <w:color w:val="000000"/>
        </w:rPr>
        <w:t xml:space="preserve">  The lack of middle level manpower, for instance, was found to be bottleneck for development, and as one of the measures to alleviate this problem, technical and vocational training programs have been created in a large number of countries from 1970 onwards. </w:t>
      </w:r>
      <w:r w:rsidRPr="00E3232D">
        <w:rPr>
          <w:rFonts w:ascii="Book Antiqua" w:hAnsi="Book Antiqua"/>
        </w:rPr>
        <w:t xml:space="preserve">Experience in many developing countries in Africa, particularly Ghana, has revealed that training of technicians to a high level of skills is very expensive. Therefore, the approach for the training of technicians is to do front-line maintenance, for medical equipment in health facilities and delivers benefits to a larger population, supporting primary health care, by servicing large volume of essential medical equipment in a widely distributed health facilities in the capital city and other parts of regional and district administrations. The envisioned Centre therefore, includes provision of services like maintenance training, and repair of medical equipment, focusing on building sustainable technical capacity, implementing transparent &amp; pragmatic systems, while focusing on the preventative care and safe usage of medical equipment. </w:t>
      </w:r>
    </w:p>
    <w:p w14:paraId="3824B32A" w14:textId="77777777" w:rsidR="003852DC" w:rsidRDefault="003852DC" w:rsidP="003852DC">
      <w:pPr>
        <w:rPr>
          <w:rFonts w:ascii="Book Antiqua" w:hAnsi="Book Antiqua"/>
          <w:b/>
        </w:rPr>
        <w:sectPr w:rsidR="003852DC" w:rsidSect="003852DC">
          <w:pgSz w:w="11907" w:h="16839" w:code="9"/>
          <w:pgMar w:top="1440" w:right="1440" w:bottom="1440" w:left="1440" w:header="708" w:footer="708" w:gutter="0"/>
          <w:cols w:space="720"/>
          <w:docGrid w:linePitch="360"/>
        </w:sectPr>
      </w:pPr>
    </w:p>
    <w:p w14:paraId="72FA171D" w14:textId="77777777" w:rsidR="003852DC" w:rsidRDefault="003852DC" w:rsidP="003852DC">
      <w:pPr>
        <w:jc w:val="both"/>
        <w:rPr>
          <w:rFonts w:ascii="Book Antiqua" w:hAnsi="Book Antiqua"/>
          <w:b/>
        </w:rPr>
      </w:pPr>
    </w:p>
    <w:p w14:paraId="7F55B0F6" w14:textId="77777777" w:rsidR="003852DC" w:rsidRPr="00E3232D" w:rsidRDefault="003852DC" w:rsidP="003852DC">
      <w:pPr>
        <w:jc w:val="both"/>
        <w:rPr>
          <w:rFonts w:ascii="Book Antiqua" w:hAnsi="Book Antiqua"/>
        </w:rPr>
      </w:pPr>
      <w:r w:rsidRPr="00E3232D">
        <w:rPr>
          <w:rFonts w:ascii="Book Antiqua" w:hAnsi="Book Antiqua"/>
          <w:b/>
        </w:rPr>
        <w:t xml:space="preserve">1.0. </w:t>
      </w:r>
      <w:r w:rsidRPr="006F685D">
        <w:rPr>
          <w:rFonts w:ascii="Book Antiqua" w:hAnsi="Book Antiqua"/>
          <w:b/>
          <w:sz w:val="26"/>
        </w:rPr>
        <w:t>Introduction</w:t>
      </w:r>
      <w:r w:rsidRPr="00E3232D">
        <w:rPr>
          <w:rFonts w:ascii="Book Antiqua" w:hAnsi="Book Antiqua"/>
        </w:rPr>
        <w:t>.</w:t>
      </w:r>
    </w:p>
    <w:p w14:paraId="1572D045" w14:textId="77777777" w:rsidR="003852DC" w:rsidRPr="00904AD8" w:rsidRDefault="003852DC" w:rsidP="003852DC">
      <w:pPr>
        <w:jc w:val="both"/>
        <w:rPr>
          <w:rFonts w:ascii="Book Antiqua" w:hAnsi="Book Antiqua"/>
          <w:color w:val="000000"/>
          <w:szCs w:val="26"/>
        </w:rPr>
      </w:pPr>
      <w:r w:rsidRPr="00904AD8">
        <w:rPr>
          <w:rFonts w:ascii="Book Antiqua" w:hAnsi="Book Antiqua"/>
          <w:b/>
          <w:szCs w:val="26"/>
        </w:rPr>
        <w:t>1.1. Medical Equipment</w:t>
      </w:r>
      <w:r w:rsidRPr="00904AD8">
        <w:rPr>
          <w:rFonts w:ascii="Book Antiqua" w:hAnsi="Book Antiqua"/>
          <w:color w:val="000000"/>
          <w:szCs w:val="26"/>
        </w:rPr>
        <w:t xml:space="preserve"> </w:t>
      </w:r>
    </w:p>
    <w:p w14:paraId="70ACA721" w14:textId="77777777" w:rsidR="00904AD8" w:rsidRDefault="003852DC" w:rsidP="003852DC">
      <w:pPr>
        <w:spacing w:after="0"/>
        <w:jc w:val="both"/>
        <w:rPr>
          <w:rFonts w:ascii="Book Antiqua" w:hAnsi="Book Antiqua"/>
          <w:color w:val="000000"/>
        </w:rPr>
      </w:pPr>
      <w:r w:rsidRPr="00E3232D">
        <w:rPr>
          <w:rFonts w:ascii="Book Antiqua" w:hAnsi="Book Antiqua"/>
          <w:color w:val="000000"/>
        </w:rPr>
        <w:t xml:space="preserve">The term 'medical equipment' can be interpreted as including a wide range of instruments, equipment, machinery or </w:t>
      </w:r>
    </w:p>
    <w:p w14:paraId="2A948271" w14:textId="77777777" w:rsidR="00904AD8" w:rsidRDefault="00904AD8" w:rsidP="003852DC">
      <w:pPr>
        <w:spacing w:after="0"/>
        <w:jc w:val="both"/>
        <w:rPr>
          <w:rFonts w:ascii="Book Antiqua" w:hAnsi="Book Antiqua"/>
          <w:color w:val="000000"/>
        </w:rPr>
      </w:pPr>
    </w:p>
    <w:p w14:paraId="1E5D00CB" w14:textId="77777777" w:rsidR="00904AD8" w:rsidRDefault="00904AD8" w:rsidP="003852DC">
      <w:pPr>
        <w:spacing w:after="0"/>
        <w:jc w:val="both"/>
        <w:rPr>
          <w:rFonts w:ascii="Book Antiqua" w:hAnsi="Book Antiqua"/>
          <w:color w:val="000000"/>
        </w:rPr>
      </w:pPr>
    </w:p>
    <w:p w14:paraId="70F43A1E" w14:textId="77777777" w:rsidR="00904AD8" w:rsidRDefault="00904AD8" w:rsidP="003852DC">
      <w:pPr>
        <w:spacing w:after="0"/>
        <w:jc w:val="both"/>
        <w:rPr>
          <w:rFonts w:ascii="Book Antiqua" w:hAnsi="Book Antiqua"/>
          <w:color w:val="000000"/>
        </w:rPr>
      </w:pPr>
    </w:p>
    <w:p w14:paraId="646690F3" w14:textId="77777777" w:rsidR="003852DC" w:rsidRDefault="003852DC" w:rsidP="003852DC">
      <w:pPr>
        <w:spacing w:after="0"/>
        <w:jc w:val="both"/>
        <w:rPr>
          <w:rFonts w:ascii="Book Antiqua" w:hAnsi="Book Antiqua"/>
          <w:color w:val="000000"/>
        </w:rPr>
      </w:pPr>
      <w:r w:rsidRPr="00E3232D">
        <w:rPr>
          <w:rFonts w:ascii="Book Antiqua" w:hAnsi="Book Antiqua"/>
          <w:color w:val="000000"/>
        </w:rPr>
        <w:t xml:space="preserve">apparatus used for medical and para-medical purposes.  Brown et al. (1986) describe medical equipment simply as being "the equipment which may be found in hospitals, medical research and </w:t>
      </w:r>
    </w:p>
    <w:p w14:paraId="4DD3A473" w14:textId="77777777" w:rsidR="003852DC" w:rsidRDefault="003852DC" w:rsidP="003852DC">
      <w:pPr>
        <w:spacing w:after="0"/>
        <w:jc w:val="both"/>
        <w:rPr>
          <w:rFonts w:ascii="Book Antiqua" w:hAnsi="Book Antiqua"/>
          <w:color w:val="000000"/>
        </w:rPr>
      </w:pPr>
    </w:p>
    <w:p w14:paraId="4B58B860" w14:textId="77777777" w:rsidR="003852DC" w:rsidRPr="00E3232D" w:rsidRDefault="003852DC" w:rsidP="003852DC">
      <w:pPr>
        <w:spacing w:after="0"/>
        <w:jc w:val="both"/>
        <w:rPr>
          <w:rFonts w:ascii="Book Antiqua" w:hAnsi="Book Antiqua"/>
          <w:color w:val="000000"/>
        </w:rPr>
      </w:pPr>
      <w:r w:rsidRPr="00E3232D">
        <w:rPr>
          <w:rFonts w:ascii="Book Antiqua" w:hAnsi="Book Antiqua"/>
          <w:color w:val="000000"/>
        </w:rPr>
        <w:t>teaching institutions". This definition includes the entire range of mechanical, electrical and electronic devices used, directly or indirectly, for the delivery of health care.  A more selective definition can be found in the relevant Health Equipment Information (HEI) publication of the Medical Devices Agency (MDA) of the Department of Health in London, which states that the term medical equipment comprises: Any device, instrument, apparatus, implement, material substance, or other article (used singly or in combination), together with any accessory thereto, which is intended by the manufacturer for (a) diagnosis, prevention, monitoring, treatment or alleviation of human disease or injury, or (b) investigation or modification of human anatomy or of human physiological process; which does not achieve its principal intended action by pharmaceutical means, but which may be assisted in its functioning by such means (Medical Devices Agency: Health Equipment Information, Issue 98:28).</w:t>
      </w:r>
    </w:p>
    <w:p w14:paraId="25A62A98" w14:textId="77777777" w:rsidR="003852DC" w:rsidRPr="00E3232D" w:rsidRDefault="003852DC" w:rsidP="003852DC">
      <w:pPr>
        <w:spacing w:after="0"/>
        <w:jc w:val="both"/>
        <w:rPr>
          <w:rFonts w:ascii="Book Antiqua" w:hAnsi="Book Antiqua"/>
          <w:color w:val="000000"/>
        </w:rPr>
      </w:pPr>
    </w:p>
    <w:p w14:paraId="72BCDC63" w14:textId="77777777" w:rsidR="003852DC" w:rsidRPr="00E4444C" w:rsidRDefault="003852DC" w:rsidP="003852DC">
      <w:pPr>
        <w:spacing w:after="0"/>
        <w:jc w:val="both"/>
        <w:rPr>
          <w:rFonts w:ascii="Book Antiqua" w:hAnsi="Book Antiqua"/>
          <w:b/>
          <w:szCs w:val="26"/>
        </w:rPr>
      </w:pPr>
      <w:r w:rsidRPr="00E4444C">
        <w:rPr>
          <w:rFonts w:ascii="Book Antiqua" w:hAnsi="Book Antiqua"/>
          <w:b/>
          <w:szCs w:val="26"/>
        </w:rPr>
        <w:t>1.2.Service Description &amp;</w:t>
      </w:r>
      <w:r>
        <w:rPr>
          <w:rFonts w:ascii="Book Antiqua" w:hAnsi="Book Antiqua"/>
          <w:b/>
          <w:szCs w:val="26"/>
        </w:rPr>
        <w:t xml:space="preserve"> </w:t>
      </w:r>
      <w:r w:rsidRPr="00E4444C">
        <w:rPr>
          <w:rFonts w:ascii="Book Antiqua" w:hAnsi="Book Antiqua"/>
          <w:b/>
          <w:szCs w:val="26"/>
        </w:rPr>
        <w:t>Application</w:t>
      </w:r>
    </w:p>
    <w:p w14:paraId="525FB3A1" w14:textId="77777777" w:rsidR="003852DC" w:rsidRDefault="003852DC" w:rsidP="003852DC">
      <w:pPr>
        <w:spacing w:after="0"/>
        <w:jc w:val="both"/>
        <w:rPr>
          <w:rFonts w:ascii="Book Antiqua" w:hAnsi="Book Antiqua"/>
          <w:b/>
        </w:rPr>
      </w:pPr>
      <w:r w:rsidRPr="00E3232D">
        <w:rPr>
          <w:rFonts w:ascii="Book Antiqua" w:hAnsi="Book Antiqua"/>
        </w:rPr>
        <w:t>The maintenance of medical equipment requires a wide range of technical abilities, and the costs and time required to train a technician increase markedly with the level of skill that has to be attained. Experience in many developing countries has revealed that training of technicians to a high level of skills is very expensive. Therefore, the approach for the training of technicians, to do front-line maintenance, for medical equipment in health facilities requires less time, costs, and delivers benefits to a larger population, supporting primary health care, by servicing large volume of essential medical equipment in widely distributed health facilities in the capital city and other parts of regional  and district administrations. Medical equipment maintenance and operation training service, therefore, includes provision of services like training, maintenance and repair of medical equipment, focusing on building sustainable technical capacity, implementing transparent &amp; pragmatic systems, while focusing on the preventative care and safe usage of medical equipment.</w:t>
      </w:r>
      <w:r w:rsidRPr="00E3232D">
        <w:rPr>
          <w:rFonts w:ascii="Book Antiqua" w:hAnsi="Book Antiqua"/>
          <w:b/>
        </w:rPr>
        <w:t xml:space="preserve"> </w:t>
      </w:r>
    </w:p>
    <w:p w14:paraId="3C7B1675" w14:textId="77777777" w:rsidR="003852DC" w:rsidRDefault="003852DC" w:rsidP="003852DC">
      <w:pPr>
        <w:spacing w:after="0"/>
        <w:jc w:val="both"/>
        <w:rPr>
          <w:rFonts w:ascii="Book Antiqua" w:hAnsi="Book Antiqua"/>
          <w:b/>
          <w:sz w:val="26"/>
          <w:szCs w:val="26"/>
        </w:rPr>
      </w:pPr>
    </w:p>
    <w:p w14:paraId="591960B7" w14:textId="77777777" w:rsidR="003852DC" w:rsidRPr="0084473B" w:rsidRDefault="003852DC" w:rsidP="003852DC">
      <w:pPr>
        <w:spacing w:after="0"/>
        <w:jc w:val="both"/>
        <w:rPr>
          <w:rFonts w:ascii="Book Antiqua" w:hAnsi="Book Antiqua"/>
          <w:sz w:val="26"/>
          <w:szCs w:val="26"/>
        </w:rPr>
      </w:pPr>
      <w:r w:rsidRPr="00E4444C">
        <w:rPr>
          <w:rFonts w:ascii="Book Antiqua" w:hAnsi="Book Antiqua"/>
          <w:b/>
          <w:szCs w:val="26"/>
        </w:rPr>
        <w:t>1.3. Service Supply and Present Demand</w:t>
      </w:r>
      <w:r w:rsidRPr="00E4444C">
        <w:rPr>
          <w:rFonts w:ascii="Book Antiqua" w:hAnsi="Book Antiqua"/>
          <w:szCs w:val="26"/>
        </w:rPr>
        <w:t xml:space="preserve"> </w:t>
      </w:r>
    </w:p>
    <w:p w14:paraId="3DA040FF" w14:textId="77777777" w:rsidR="003852DC" w:rsidRDefault="003852DC" w:rsidP="003852DC">
      <w:pPr>
        <w:spacing w:after="0" w:line="240" w:lineRule="auto"/>
        <w:jc w:val="both"/>
        <w:rPr>
          <w:rFonts w:ascii="Book Antiqua" w:hAnsi="Book Antiqua"/>
        </w:rPr>
      </w:pPr>
    </w:p>
    <w:p w14:paraId="47EA3B6C" w14:textId="77777777" w:rsidR="003852DC" w:rsidRPr="00E3232D" w:rsidRDefault="003852DC" w:rsidP="003852DC">
      <w:pPr>
        <w:jc w:val="both"/>
        <w:rPr>
          <w:rFonts w:ascii="Book Antiqua" w:hAnsi="Book Antiqua"/>
        </w:rPr>
      </w:pPr>
      <w:r w:rsidRPr="00E3232D">
        <w:rPr>
          <w:rFonts w:ascii="Book Antiqua" w:hAnsi="Book Antiqua"/>
        </w:rPr>
        <w:t xml:space="preserve">There are two aspects to the services supply surrounding medical equipment usage and handling. In countries with highly systematized and diversified health care services provision, this service is known as ‘Biomedical Engineering;’ and consists in standardization of diagnostic and therapeutic equipment, installation of equipment and apparatus, carrying out preventive and corrective maintenance on equipment, provision of in-service, hands-on-training to equipment operators, and investigate device related incidents. In short, for countries like Ghana, the service is the integration of foreign expertise and technology with local human resources. Apart from trainings provided at Radiology Departments of medical faculties of university of Ghana, Legon, no worthwhile training is provided regarding medical equipment operations at medium level in the country. There are at present close to 3217 Healthcare facilities (GHS) and 45 medical equipment importers and distributors </w:t>
      </w:r>
      <w:r w:rsidRPr="00EF716A">
        <w:rPr>
          <w:rFonts w:ascii="Book Antiqua" w:hAnsi="Book Antiqua"/>
        </w:rPr>
        <w:t>(Business Ghana</w:t>
      </w:r>
      <w:r w:rsidRPr="00E3232D">
        <w:rPr>
          <w:rFonts w:ascii="Book Antiqua" w:hAnsi="Book Antiqua"/>
        </w:rPr>
        <w:t xml:space="preserve"> Magazine, 2011) all over the country. Tens of millions of Ghana Cedi worth of medical equipment and apparatus are being imported every year. Disregarding heavy and very expensive equipment like CT Scans, MRI, SPECT, and LINAC etc for a moment, sample types of Health facility in terms of levels and ownerships (Table.1.2a and 1.2b).</w:t>
      </w:r>
    </w:p>
    <w:p w14:paraId="7FF66E54" w14:textId="77777777" w:rsidR="003852DC" w:rsidRDefault="003852DC" w:rsidP="003852DC">
      <w:pPr>
        <w:jc w:val="both"/>
        <w:rPr>
          <w:rFonts w:ascii="Book Antiqua" w:hAnsi="Book Antiqua"/>
          <w:b/>
          <w:bCs/>
        </w:rPr>
      </w:pPr>
      <w:r w:rsidRPr="00E3232D">
        <w:rPr>
          <w:rFonts w:ascii="Book Antiqua" w:hAnsi="Book Antiqua"/>
          <w:bCs/>
        </w:rPr>
        <w:t>Health Facilities by Ownership</w:t>
      </w:r>
      <w:r w:rsidRPr="00E3232D">
        <w:rPr>
          <w:rFonts w:ascii="Book Antiqua" w:hAnsi="Book Antiqua"/>
          <w:b/>
          <w:bCs/>
        </w:rPr>
        <w:t xml:space="preserve">    </w:t>
      </w:r>
    </w:p>
    <w:p w14:paraId="2BF39363" w14:textId="77777777" w:rsidR="003852DC" w:rsidRPr="00B8754C" w:rsidRDefault="003852DC" w:rsidP="003852DC">
      <w:pPr>
        <w:rPr>
          <w:rFonts w:ascii="Book Antiqua" w:hAnsi="Book Antiqua"/>
          <w:b/>
          <w:bCs/>
        </w:rPr>
      </w:pPr>
      <w:r w:rsidRPr="00B8754C">
        <w:rPr>
          <w:rFonts w:ascii="Book Antiqua" w:hAnsi="Book Antiqua"/>
          <w:b/>
        </w:rPr>
        <w:t>Table.1.2</w:t>
      </w:r>
      <w:r w:rsidRPr="00B8754C">
        <w:rPr>
          <w:rFonts w:ascii="Book Antiqua" w:hAnsi="Book Antiqua"/>
          <w:b/>
          <w:bCs/>
        </w:rPr>
        <w:t>.b</w:t>
      </w:r>
      <w:r>
        <w:rPr>
          <w:rFonts w:ascii="Book Antiqua" w:hAnsi="Book Antiqua"/>
          <w:b/>
          <w:bCs/>
        </w:rPr>
        <w:t xml:space="preserve"> </w:t>
      </w:r>
      <w:r w:rsidRPr="00B8754C">
        <w:rPr>
          <w:rFonts w:ascii="Book Antiqua" w:hAnsi="Book Antiqua"/>
          <w:b/>
          <w:bCs/>
        </w:rPr>
        <w:t>Healthcare Facilities in Ghana by Levels</w:t>
      </w:r>
    </w:p>
    <w:tbl>
      <w:tblPr>
        <w:tblStyle w:val="LightShading-Accent3"/>
        <w:tblW w:w="0" w:type="auto"/>
        <w:tblLook w:val="04E0" w:firstRow="1" w:lastRow="1" w:firstColumn="1" w:lastColumn="0" w:noHBand="0" w:noVBand="1"/>
      </w:tblPr>
      <w:tblGrid>
        <w:gridCol w:w="3888"/>
      </w:tblGrid>
      <w:tr w:rsidR="003852DC" w:rsidRPr="00557088" w14:paraId="12B4B19D" w14:textId="77777777" w:rsidTr="00EB2A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3A6A1502" w14:textId="77777777" w:rsidR="003852DC" w:rsidRPr="00557088" w:rsidRDefault="003852DC" w:rsidP="00EB2A77">
            <w:pPr>
              <w:spacing w:after="0"/>
              <w:rPr>
                <w:rFonts w:ascii="Book Antiqua" w:hAnsi="Book Antiqua"/>
                <w:color w:val="auto"/>
              </w:rPr>
            </w:pPr>
            <w:r w:rsidRPr="00557088">
              <w:rPr>
                <w:rFonts w:ascii="Book Antiqua" w:hAnsi="Book Antiqua"/>
                <w:color w:val="auto"/>
              </w:rPr>
              <w:t>Healthcare Facility             Number</w:t>
            </w:r>
          </w:p>
        </w:tc>
      </w:tr>
      <w:tr w:rsidR="003852DC" w:rsidRPr="00557088" w14:paraId="00B318C3"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390E9D3E" w14:textId="77777777" w:rsidR="003852DC" w:rsidRPr="00557088" w:rsidRDefault="003852DC" w:rsidP="00EB2A77">
            <w:pPr>
              <w:spacing w:after="0"/>
              <w:rPr>
                <w:rFonts w:ascii="Book Antiqua" w:hAnsi="Book Antiqua"/>
                <w:b w:val="0"/>
                <w:color w:val="auto"/>
              </w:rPr>
            </w:pPr>
            <w:r w:rsidRPr="00557088">
              <w:rPr>
                <w:rFonts w:ascii="Book Antiqua" w:hAnsi="Book Antiqua"/>
                <w:b w:val="0"/>
                <w:color w:val="auto"/>
              </w:rPr>
              <w:t xml:space="preserve">Government                             1607                                                    </w:t>
            </w:r>
          </w:p>
        </w:tc>
      </w:tr>
      <w:tr w:rsidR="003852DC" w:rsidRPr="00557088" w14:paraId="5EC013F6" w14:textId="77777777" w:rsidTr="00EB2A77">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71C99E05" w14:textId="77777777" w:rsidR="003852DC" w:rsidRPr="00557088" w:rsidRDefault="003852DC" w:rsidP="00EB2A77">
            <w:pPr>
              <w:spacing w:after="0"/>
              <w:rPr>
                <w:rFonts w:ascii="Book Antiqua" w:hAnsi="Book Antiqua"/>
                <w:b w:val="0"/>
                <w:bCs w:val="0"/>
                <w:color w:val="auto"/>
              </w:rPr>
            </w:pPr>
            <w:r w:rsidRPr="00557088">
              <w:rPr>
                <w:rFonts w:ascii="Book Antiqua" w:hAnsi="Book Antiqua"/>
                <w:b w:val="0"/>
                <w:bCs w:val="0"/>
                <w:color w:val="auto"/>
              </w:rPr>
              <w:t xml:space="preserve">Health centers &amp; Clinics          2090       </w:t>
            </w:r>
          </w:p>
        </w:tc>
      </w:tr>
      <w:tr w:rsidR="003852DC" w:rsidRPr="00557088" w14:paraId="3EF0143C"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09CAAA33" w14:textId="77777777" w:rsidR="003852DC" w:rsidRPr="00557088" w:rsidRDefault="003852DC" w:rsidP="00EB2A77">
            <w:pPr>
              <w:spacing w:after="0"/>
              <w:rPr>
                <w:rFonts w:ascii="Book Antiqua" w:hAnsi="Book Antiqua"/>
                <w:b w:val="0"/>
                <w:bCs w:val="0"/>
                <w:color w:val="auto"/>
                <w:kern w:val="24"/>
              </w:rPr>
            </w:pPr>
            <w:r w:rsidRPr="00557088">
              <w:rPr>
                <w:rFonts w:ascii="Book Antiqua" w:hAnsi="Book Antiqua"/>
                <w:b w:val="0"/>
                <w:color w:val="auto"/>
              </w:rPr>
              <w:t>Private</w:t>
            </w:r>
            <w:r w:rsidRPr="00557088">
              <w:rPr>
                <w:rFonts w:ascii="Book Antiqua" w:hAnsi="Book Antiqua"/>
                <w:b w:val="0"/>
                <w:bCs w:val="0"/>
                <w:color w:val="auto"/>
              </w:rPr>
              <w:t xml:space="preserve">                    </w:t>
            </w:r>
            <w:r w:rsidRPr="00557088">
              <w:rPr>
                <w:rFonts w:ascii="Book Antiqua" w:hAnsi="Book Antiqua"/>
                <w:b w:val="0"/>
                <w:bCs w:val="0"/>
                <w:color w:val="auto"/>
              </w:rPr>
              <w:tab/>
            </w:r>
            <w:r w:rsidRPr="00557088">
              <w:rPr>
                <w:rFonts w:ascii="Book Antiqua" w:hAnsi="Book Antiqua"/>
                <w:b w:val="0"/>
                <w:bCs w:val="0"/>
                <w:color w:val="auto"/>
              </w:rPr>
              <w:tab/>
              <w:t xml:space="preserve">1284                                                   </w:t>
            </w:r>
          </w:p>
        </w:tc>
      </w:tr>
      <w:tr w:rsidR="003852DC" w:rsidRPr="00557088" w14:paraId="441CDB14" w14:textId="77777777" w:rsidTr="00EB2A77">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1B4513FF" w14:textId="77777777" w:rsidR="003852DC" w:rsidRPr="00557088" w:rsidRDefault="003852DC" w:rsidP="00EB2A77">
            <w:pPr>
              <w:spacing w:after="0"/>
              <w:rPr>
                <w:rFonts w:ascii="Book Antiqua" w:hAnsi="Book Antiqua"/>
                <w:b w:val="0"/>
                <w:color w:val="auto"/>
              </w:rPr>
            </w:pPr>
            <w:r w:rsidRPr="00557088">
              <w:rPr>
                <w:rFonts w:ascii="Book Antiqua" w:hAnsi="Book Antiqua"/>
                <w:b w:val="0"/>
                <w:color w:val="auto"/>
              </w:rPr>
              <w:t xml:space="preserve">Districts Hospital         </w:t>
            </w:r>
            <w:r w:rsidRPr="00557088">
              <w:rPr>
                <w:rFonts w:ascii="Book Antiqua" w:hAnsi="Book Antiqua"/>
                <w:b w:val="0"/>
                <w:color w:val="auto"/>
              </w:rPr>
              <w:tab/>
              <w:t xml:space="preserve"> 343</w:t>
            </w:r>
            <w:r w:rsidRPr="00557088">
              <w:rPr>
                <w:rFonts w:ascii="Book Antiqua" w:hAnsi="Book Antiqua"/>
                <w:b w:val="0"/>
                <w:bCs w:val="0"/>
                <w:color w:val="auto"/>
              </w:rPr>
              <w:t xml:space="preserve">                </w:t>
            </w:r>
          </w:p>
        </w:tc>
      </w:tr>
      <w:tr w:rsidR="003852DC" w:rsidRPr="00557088" w14:paraId="770F2919"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220D6602" w14:textId="77777777" w:rsidR="003852DC" w:rsidRPr="00557088" w:rsidRDefault="003852DC" w:rsidP="00EB2A77">
            <w:pPr>
              <w:spacing w:after="0"/>
              <w:rPr>
                <w:rFonts w:ascii="Book Antiqua" w:hAnsi="Book Antiqua"/>
                <w:b w:val="0"/>
                <w:color w:val="auto"/>
              </w:rPr>
            </w:pPr>
            <w:r w:rsidRPr="00557088">
              <w:rPr>
                <w:rFonts w:ascii="Book Antiqua" w:hAnsi="Book Antiqua"/>
                <w:b w:val="0"/>
                <w:color w:val="auto"/>
              </w:rPr>
              <w:t xml:space="preserve">CHAG                      </w:t>
            </w:r>
            <w:r w:rsidRPr="00557088">
              <w:rPr>
                <w:rFonts w:ascii="Book Antiqua" w:hAnsi="Book Antiqua"/>
                <w:b w:val="0"/>
                <w:color w:val="auto"/>
              </w:rPr>
              <w:tab/>
            </w:r>
            <w:r w:rsidRPr="00557088">
              <w:rPr>
                <w:rFonts w:ascii="Book Antiqua" w:hAnsi="Book Antiqua"/>
                <w:b w:val="0"/>
                <w:color w:val="auto"/>
              </w:rPr>
              <w:tab/>
              <w:t xml:space="preserve">227                                    </w:t>
            </w:r>
          </w:p>
        </w:tc>
      </w:tr>
      <w:tr w:rsidR="003852DC" w:rsidRPr="00557088" w14:paraId="2FAD9687" w14:textId="77777777" w:rsidTr="00EB2A77">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1BA8A423" w14:textId="77777777" w:rsidR="003852DC" w:rsidRPr="00557088" w:rsidRDefault="003852DC" w:rsidP="00EB2A77">
            <w:pPr>
              <w:spacing w:after="0"/>
              <w:rPr>
                <w:rFonts w:ascii="Book Antiqua" w:hAnsi="Book Antiqua"/>
                <w:b w:val="0"/>
                <w:bCs w:val="0"/>
                <w:color w:val="auto"/>
                <w:kern w:val="24"/>
              </w:rPr>
            </w:pPr>
            <w:r w:rsidRPr="00557088">
              <w:rPr>
                <w:rFonts w:ascii="Book Antiqua" w:hAnsi="Book Antiqua"/>
                <w:b w:val="0"/>
                <w:bCs w:val="0"/>
                <w:color w:val="auto"/>
                <w:kern w:val="24"/>
              </w:rPr>
              <w:t>Christian Health Ass. Ghana</w:t>
            </w:r>
            <w:r w:rsidRPr="00557088">
              <w:rPr>
                <w:rFonts w:ascii="Book Antiqua" w:hAnsi="Book Antiqua"/>
                <w:b w:val="0"/>
                <w:color w:val="auto"/>
              </w:rPr>
              <w:t xml:space="preserve">  379                                          </w:t>
            </w:r>
          </w:p>
        </w:tc>
      </w:tr>
      <w:tr w:rsidR="003852DC" w:rsidRPr="00557088" w14:paraId="5CAA4282"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31747B48" w14:textId="77777777" w:rsidR="003852DC" w:rsidRPr="00557088" w:rsidRDefault="003852DC" w:rsidP="00EB2A77">
            <w:pPr>
              <w:spacing w:after="0"/>
              <w:rPr>
                <w:rFonts w:ascii="Book Antiqua" w:hAnsi="Book Antiqua"/>
                <w:b w:val="0"/>
                <w:bCs w:val="0"/>
                <w:color w:val="auto"/>
                <w:kern w:val="24"/>
              </w:rPr>
            </w:pPr>
            <w:r w:rsidRPr="00557088">
              <w:rPr>
                <w:rFonts w:ascii="Book Antiqua" w:hAnsi="Book Antiqua"/>
                <w:b w:val="0"/>
                <w:color w:val="auto"/>
              </w:rPr>
              <w:t xml:space="preserve">Islamics          </w:t>
            </w:r>
            <w:r w:rsidRPr="00557088">
              <w:rPr>
                <w:rFonts w:ascii="Book Antiqua" w:hAnsi="Book Antiqua"/>
                <w:b w:val="0"/>
                <w:color w:val="auto"/>
              </w:rPr>
              <w:tab/>
            </w:r>
            <w:r w:rsidRPr="00557088">
              <w:rPr>
                <w:rFonts w:ascii="Book Antiqua" w:hAnsi="Book Antiqua"/>
                <w:b w:val="0"/>
                <w:bCs w:val="0"/>
                <w:color w:val="auto"/>
                <w:kern w:val="24"/>
              </w:rPr>
              <w:t xml:space="preserve">           </w:t>
            </w:r>
            <w:r w:rsidRPr="00557088">
              <w:rPr>
                <w:rFonts w:ascii="Book Antiqua" w:hAnsi="Book Antiqua"/>
                <w:b w:val="0"/>
                <w:bCs w:val="0"/>
                <w:color w:val="auto"/>
                <w:kern w:val="24"/>
              </w:rPr>
              <w:tab/>
            </w:r>
            <w:r w:rsidRPr="00557088">
              <w:rPr>
                <w:rFonts w:ascii="Book Antiqua" w:hAnsi="Book Antiqua"/>
                <w:b w:val="0"/>
                <w:bCs w:val="0"/>
                <w:color w:val="auto"/>
                <w:kern w:val="24"/>
              </w:rPr>
              <w:tab/>
              <w:t xml:space="preserve">18                                                    </w:t>
            </w:r>
          </w:p>
        </w:tc>
      </w:tr>
      <w:tr w:rsidR="003852DC" w:rsidRPr="00557088" w14:paraId="7993FA24" w14:textId="77777777" w:rsidTr="00EB2A77">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0AC66EC4" w14:textId="77777777" w:rsidR="003852DC" w:rsidRPr="00557088" w:rsidRDefault="003852DC" w:rsidP="00EB2A77">
            <w:pPr>
              <w:spacing w:after="0"/>
              <w:rPr>
                <w:rFonts w:ascii="Book Antiqua" w:hAnsi="Book Antiqua"/>
                <w:b w:val="0"/>
                <w:color w:val="auto"/>
              </w:rPr>
            </w:pPr>
            <w:r w:rsidRPr="00557088">
              <w:rPr>
                <w:rFonts w:ascii="Book Antiqua" w:hAnsi="Book Antiqua"/>
                <w:b w:val="0"/>
                <w:bCs w:val="0"/>
                <w:color w:val="auto"/>
                <w:kern w:val="24"/>
              </w:rPr>
              <w:t>Maternity Homes                      389</w:t>
            </w:r>
            <w:r w:rsidRPr="00557088">
              <w:rPr>
                <w:rFonts w:ascii="Book Antiqua" w:hAnsi="Book Antiqua"/>
                <w:b w:val="0"/>
                <w:color w:val="auto"/>
              </w:rPr>
              <w:t xml:space="preserve"> </w:t>
            </w:r>
          </w:p>
        </w:tc>
      </w:tr>
      <w:tr w:rsidR="003852DC" w:rsidRPr="00557088" w14:paraId="63ED94B3"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3CF025F9" w14:textId="77777777" w:rsidR="003852DC" w:rsidRPr="00557088" w:rsidRDefault="003852DC" w:rsidP="00EB2A77">
            <w:pPr>
              <w:spacing w:after="0"/>
              <w:rPr>
                <w:rFonts w:ascii="Book Antiqua" w:hAnsi="Book Antiqua"/>
                <w:b w:val="0"/>
                <w:bCs w:val="0"/>
                <w:color w:val="auto"/>
                <w:kern w:val="24"/>
              </w:rPr>
            </w:pPr>
            <w:r w:rsidRPr="00557088">
              <w:rPr>
                <w:rFonts w:ascii="Book Antiqua" w:hAnsi="Book Antiqua"/>
                <w:b w:val="0"/>
                <w:color w:val="auto"/>
              </w:rPr>
              <w:t xml:space="preserve">Quasi- Govt               </w:t>
            </w:r>
            <w:r w:rsidRPr="00557088">
              <w:rPr>
                <w:rFonts w:ascii="Book Antiqua" w:hAnsi="Book Antiqua"/>
                <w:b w:val="0"/>
                <w:color w:val="auto"/>
              </w:rPr>
              <w:tab/>
            </w:r>
            <w:r w:rsidRPr="00557088">
              <w:rPr>
                <w:rFonts w:ascii="Book Antiqua" w:hAnsi="Book Antiqua"/>
                <w:b w:val="0"/>
                <w:color w:val="auto"/>
              </w:rPr>
              <w:tab/>
              <w:t xml:space="preserve">91                                                    </w:t>
            </w:r>
          </w:p>
        </w:tc>
      </w:tr>
      <w:tr w:rsidR="003852DC" w:rsidRPr="00557088" w14:paraId="288A312B" w14:textId="77777777" w:rsidTr="00EB2A77">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2C6E8FAA" w14:textId="77777777" w:rsidR="003852DC" w:rsidRPr="00557088" w:rsidRDefault="003852DC" w:rsidP="00EB2A77">
            <w:pPr>
              <w:spacing w:after="0"/>
              <w:rPr>
                <w:rFonts w:ascii="Book Antiqua" w:hAnsi="Book Antiqua"/>
                <w:b w:val="0"/>
                <w:bCs w:val="0"/>
                <w:color w:val="auto"/>
              </w:rPr>
            </w:pPr>
            <w:r w:rsidRPr="00557088">
              <w:rPr>
                <w:rFonts w:ascii="Book Antiqua" w:hAnsi="Book Antiqua"/>
                <w:b w:val="0"/>
                <w:color w:val="auto"/>
              </w:rPr>
              <w:t xml:space="preserve">Polyclinics                                 011                                                                                                                                              </w:t>
            </w:r>
            <w:r w:rsidRPr="00557088">
              <w:rPr>
                <w:rFonts w:ascii="Book Antiqua" w:hAnsi="Book Antiqua"/>
                <w:b w:val="0"/>
                <w:bCs w:val="0"/>
                <w:color w:val="auto"/>
              </w:rPr>
              <w:t>Psychiatrics                               003</w:t>
            </w:r>
          </w:p>
        </w:tc>
      </w:tr>
      <w:tr w:rsidR="003852DC" w:rsidRPr="00557088" w14:paraId="3701A346"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588D123D" w14:textId="77777777" w:rsidR="003852DC" w:rsidRPr="00557088" w:rsidRDefault="003852DC" w:rsidP="00EB2A77">
            <w:pPr>
              <w:tabs>
                <w:tab w:val="left" w:pos="0"/>
              </w:tabs>
              <w:spacing w:after="0"/>
              <w:rPr>
                <w:rFonts w:ascii="Book Antiqua" w:hAnsi="Book Antiqua"/>
                <w:color w:val="auto"/>
              </w:rPr>
            </w:pPr>
            <w:r w:rsidRPr="00557088">
              <w:rPr>
                <w:rFonts w:ascii="Book Antiqua" w:hAnsi="Book Antiqua"/>
                <w:b w:val="0"/>
                <w:color w:val="auto"/>
              </w:rPr>
              <w:t xml:space="preserve"> </w:t>
            </w:r>
            <w:r w:rsidRPr="00557088">
              <w:rPr>
                <w:rFonts w:ascii="Book Antiqua" w:hAnsi="Book Antiqua"/>
                <w:color w:val="auto"/>
              </w:rPr>
              <w:t xml:space="preserve">TOTAL               </w:t>
            </w:r>
            <w:r w:rsidRPr="00557088">
              <w:rPr>
                <w:rFonts w:ascii="Book Antiqua" w:hAnsi="Book Antiqua"/>
                <w:color w:val="auto"/>
              </w:rPr>
              <w:tab/>
            </w:r>
            <w:r w:rsidRPr="00557088">
              <w:rPr>
                <w:rFonts w:ascii="Book Antiqua" w:hAnsi="Book Antiqua"/>
                <w:color w:val="auto"/>
              </w:rPr>
              <w:tab/>
              <w:t xml:space="preserve"> 3227                  </w:t>
            </w:r>
          </w:p>
        </w:tc>
      </w:tr>
      <w:tr w:rsidR="003852DC" w:rsidRPr="00557088" w14:paraId="6B8EE513" w14:textId="77777777" w:rsidTr="00EB2A77">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54E18A99" w14:textId="77777777" w:rsidR="003852DC" w:rsidRPr="00557088" w:rsidRDefault="003852DC" w:rsidP="00EB2A77">
            <w:pPr>
              <w:tabs>
                <w:tab w:val="left" w:pos="0"/>
              </w:tabs>
              <w:spacing w:after="0"/>
              <w:rPr>
                <w:rFonts w:ascii="Book Antiqua" w:hAnsi="Book Antiqua"/>
                <w:b w:val="0"/>
                <w:bCs w:val="0"/>
                <w:color w:val="auto"/>
                <w:kern w:val="24"/>
              </w:rPr>
            </w:pPr>
            <w:r w:rsidRPr="00557088">
              <w:rPr>
                <w:rFonts w:ascii="Book Antiqua" w:hAnsi="Book Antiqua"/>
                <w:b w:val="0"/>
                <w:color w:val="auto"/>
              </w:rPr>
              <w:t>Teaching Hospitals                    003</w:t>
            </w:r>
          </w:p>
        </w:tc>
      </w:tr>
      <w:tr w:rsidR="003852DC" w:rsidRPr="00557088" w14:paraId="12FE9104"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63F6ED68" w14:textId="77777777" w:rsidR="003852DC" w:rsidRPr="00557088" w:rsidRDefault="003852DC" w:rsidP="00EB2A77">
            <w:pPr>
              <w:spacing w:after="0"/>
              <w:rPr>
                <w:rFonts w:ascii="Book Antiqua" w:hAnsi="Book Antiqua"/>
                <w:b w:val="0"/>
                <w:bCs w:val="0"/>
                <w:color w:val="auto"/>
                <w:kern w:val="24"/>
              </w:rPr>
            </w:pPr>
            <w:r w:rsidRPr="00557088">
              <w:rPr>
                <w:rFonts w:ascii="Book Antiqua" w:hAnsi="Book Antiqua"/>
                <w:b w:val="0"/>
                <w:bCs w:val="0"/>
                <w:color w:val="auto"/>
                <w:kern w:val="24"/>
              </w:rPr>
              <w:t>Regional Hospitals                     009</w:t>
            </w:r>
          </w:p>
        </w:tc>
      </w:tr>
      <w:tr w:rsidR="003852DC" w:rsidRPr="00557088" w14:paraId="72FA8877" w14:textId="77777777" w:rsidTr="00EB2A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14:paraId="4B0DFEF3" w14:textId="77777777" w:rsidR="003852DC" w:rsidRPr="00557088" w:rsidRDefault="003852DC" w:rsidP="00EB2A77">
            <w:pPr>
              <w:spacing w:after="0"/>
              <w:rPr>
                <w:rFonts w:ascii="Book Antiqua" w:hAnsi="Book Antiqua"/>
                <w:bCs w:val="0"/>
                <w:color w:val="auto"/>
                <w:kern w:val="24"/>
              </w:rPr>
            </w:pPr>
            <w:r w:rsidRPr="00557088">
              <w:rPr>
                <w:rFonts w:ascii="Book Antiqua" w:hAnsi="Book Antiqua"/>
                <w:bCs w:val="0"/>
                <w:color w:val="auto"/>
                <w:kern w:val="24"/>
              </w:rPr>
              <w:t>TOTAL</w:t>
            </w:r>
            <w:r w:rsidRPr="00557088">
              <w:rPr>
                <w:rFonts w:ascii="Book Antiqua" w:hAnsi="Book Antiqua"/>
                <w:bCs w:val="0"/>
                <w:color w:val="auto"/>
                <w:kern w:val="24"/>
              </w:rPr>
              <w:tab/>
              <w:t xml:space="preserve">                           3227</w:t>
            </w:r>
          </w:p>
        </w:tc>
      </w:tr>
    </w:tbl>
    <w:p w14:paraId="1052356B" w14:textId="77777777" w:rsidR="003852DC" w:rsidRDefault="003852DC" w:rsidP="003852DC">
      <w:pPr>
        <w:jc w:val="both"/>
        <w:rPr>
          <w:rFonts w:ascii="Book Antiqua" w:hAnsi="Book Antiqua"/>
          <w:b/>
          <w:bCs/>
        </w:rPr>
      </w:pPr>
    </w:p>
    <w:p w14:paraId="3CD80AD6" w14:textId="77777777" w:rsidR="003852DC" w:rsidRPr="00BB7F15" w:rsidRDefault="003852DC" w:rsidP="003852DC">
      <w:pPr>
        <w:jc w:val="both"/>
        <w:rPr>
          <w:rFonts w:ascii="Book Antiqua" w:hAnsi="Book Antiqua"/>
          <w:bCs/>
          <w:color w:val="000000"/>
          <w:kern w:val="24"/>
        </w:rPr>
      </w:pPr>
      <w:r w:rsidRPr="00E3232D">
        <w:rPr>
          <w:rFonts w:ascii="Book Antiqua" w:hAnsi="Book Antiqua"/>
          <w:b/>
          <w:bCs/>
        </w:rPr>
        <w:t>Goals &amp;</w:t>
      </w:r>
      <w:r>
        <w:rPr>
          <w:rFonts w:ascii="Book Antiqua" w:hAnsi="Book Antiqua"/>
          <w:b/>
          <w:bCs/>
        </w:rPr>
        <w:t xml:space="preserve"> </w:t>
      </w:r>
      <w:r w:rsidRPr="00E3232D">
        <w:rPr>
          <w:rFonts w:ascii="Book Antiqua" w:hAnsi="Book Antiqua"/>
          <w:b/>
          <w:bCs/>
        </w:rPr>
        <w:t>Objectives</w:t>
      </w:r>
      <w:r w:rsidRPr="00E3232D">
        <w:rPr>
          <w:rFonts w:ascii="Book Antiqua" w:hAnsi="Book Antiqua"/>
          <w:b/>
          <w:bCs/>
        </w:rPr>
        <w:tab/>
      </w:r>
      <w:r w:rsidRPr="00E3232D">
        <w:rPr>
          <w:rFonts w:ascii="Book Antiqua" w:hAnsi="Book Antiqua"/>
          <w:b/>
          <w:bCs/>
        </w:rPr>
        <w:tab/>
        <w:t xml:space="preserve">  </w:t>
      </w:r>
      <w:r w:rsidRPr="00E3232D">
        <w:rPr>
          <w:rFonts w:ascii="Book Antiqua" w:hAnsi="Book Antiqua"/>
          <w:b/>
        </w:rPr>
        <w:tab/>
        <w:t xml:space="preserve">         </w:t>
      </w:r>
    </w:p>
    <w:p w14:paraId="472479BA" w14:textId="77777777" w:rsidR="003852DC" w:rsidRPr="00E3232D" w:rsidRDefault="00850DC5" w:rsidP="003852DC">
      <w:pPr>
        <w:jc w:val="both"/>
        <w:rPr>
          <w:rFonts w:ascii="Book Antiqua" w:hAnsi="Book Antiqua"/>
          <w:color w:val="000000"/>
        </w:rPr>
      </w:pPr>
      <w:r>
        <w:rPr>
          <w:rFonts w:ascii="Book Antiqua" w:hAnsi="Book Antiqua"/>
          <w:bCs/>
          <w:noProof/>
        </w:rPr>
        <w:pict w14:anchorId="321AF595">
          <v:shape id="_x0000_s73806" type="#_x0000_t32" style="position:absolute;left:0;text-align:left;margin-left:-21.5pt;margin-top:7.7pt;width:.95pt;height:1.9pt;flip:x y;z-index:251897344" o:connectortype="straight"/>
        </w:pict>
      </w:r>
      <w:r w:rsidR="003852DC" w:rsidRPr="00E3232D">
        <w:rPr>
          <w:rFonts w:ascii="Book Antiqua" w:hAnsi="Book Antiqua"/>
        </w:rPr>
        <w:t>(i) To establish TVET Centre for Medical Equipment Technology The objective is to</w:t>
      </w:r>
      <w:r w:rsidR="003852DC" w:rsidRPr="00E3232D">
        <w:rPr>
          <w:rFonts w:ascii="Book Antiqua" w:hAnsi="Book Antiqua"/>
          <w:color w:val="000000"/>
        </w:rPr>
        <w:t xml:space="preserve"> develop a partnership program </w:t>
      </w:r>
      <w:r w:rsidR="003852DC" w:rsidRPr="00E3232D">
        <w:rPr>
          <w:rFonts w:ascii="Book Antiqua" w:hAnsi="Book Antiqua"/>
        </w:rPr>
        <w:t>Maintenance Training, Repair, Services and Operation</w:t>
      </w:r>
      <w:r w:rsidR="003852DC" w:rsidRPr="00E3232D">
        <w:rPr>
          <w:rFonts w:ascii="Book Antiqua" w:hAnsi="Book Antiqua"/>
          <w:color w:val="000000"/>
        </w:rPr>
        <w:t xml:space="preserve"> between industry, academia, and healthcare sectors. </w:t>
      </w:r>
    </w:p>
    <w:p w14:paraId="5D5EA112" w14:textId="77777777" w:rsidR="003852DC" w:rsidRDefault="003852DC" w:rsidP="003852DC">
      <w:pPr>
        <w:jc w:val="both"/>
        <w:rPr>
          <w:rFonts w:ascii="Book Antiqua" w:hAnsi="Book Antiqua"/>
          <w:color w:val="000000"/>
        </w:rPr>
      </w:pPr>
      <w:r w:rsidRPr="00E3232D">
        <w:rPr>
          <w:rFonts w:ascii="Book Antiqua" w:hAnsi="Book Antiqua"/>
          <w:color w:val="000000"/>
        </w:rPr>
        <w:t xml:space="preserve"> (ii) Develop a comprehensive and coherent framework for analysis, with the objective of contributing to the development of policies and strategies, concerned with the management of medical equipment in public and private Healthcare institutions in Ghana.</w:t>
      </w:r>
    </w:p>
    <w:p w14:paraId="12561AD7" w14:textId="77777777" w:rsidR="003852DC" w:rsidRPr="00E3232D" w:rsidRDefault="003852DC" w:rsidP="003852DC">
      <w:pPr>
        <w:rPr>
          <w:rFonts w:ascii="Book Antiqua" w:hAnsi="Book Antiqua"/>
          <w:b/>
          <w:color w:val="000000"/>
        </w:rPr>
      </w:pPr>
      <w:r>
        <w:rPr>
          <w:rFonts w:ascii="Book Antiqua" w:hAnsi="Book Antiqua"/>
          <w:b/>
          <w:color w:val="000000"/>
        </w:rPr>
        <w:t xml:space="preserve">Project Requirement &amp; </w:t>
      </w:r>
      <w:r w:rsidRPr="00E3232D">
        <w:rPr>
          <w:rFonts w:ascii="Book Antiqua" w:hAnsi="Book Antiqua"/>
          <w:b/>
          <w:color w:val="000000"/>
        </w:rPr>
        <w:t xml:space="preserve">Activities </w:t>
      </w:r>
    </w:p>
    <w:p w14:paraId="0C5061C8" w14:textId="77777777" w:rsidR="003852DC" w:rsidRPr="0084473B" w:rsidRDefault="003852DC" w:rsidP="003852DC">
      <w:pPr>
        <w:rPr>
          <w:rFonts w:ascii="Book Antiqua" w:hAnsi="Book Antiqua"/>
          <w:color w:val="000000"/>
          <w:sz w:val="26"/>
          <w:szCs w:val="26"/>
        </w:rPr>
      </w:pPr>
      <w:r w:rsidRPr="0084473B">
        <w:rPr>
          <w:rFonts w:ascii="Book Antiqua" w:hAnsi="Book Antiqua"/>
          <w:color w:val="000000"/>
          <w:sz w:val="26"/>
          <w:szCs w:val="26"/>
        </w:rPr>
        <w:t xml:space="preserve">2.0. </w:t>
      </w:r>
      <w:r w:rsidRPr="0084473B">
        <w:rPr>
          <w:rFonts w:ascii="Book Antiqua" w:hAnsi="Book Antiqua"/>
          <w:b/>
          <w:color w:val="000000"/>
          <w:sz w:val="26"/>
          <w:szCs w:val="26"/>
        </w:rPr>
        <w:t>Materials and Inputs</w:t>
      </w:r>
    </w:p>
    <w:p w14:paraId="02C3E790" w14:textId="77777777" w:rsidR="003852DC" w:rsidRPr="00E4444C" w:rsidRDefault="003852DC" w:rsidP="003852DC">
      <w:pPr>
        <w:rPr>
          <w:rFonts w:ascii="Book Antiqua" w:hAnsi="Book Antiqua"/>
          <w:b/>
          <w:color w:val="000000"/>
          <w:szCs w:val="26"/>
        </w:rPr>
      </w:pPr>
      <w:r w:rsidRPr="00E4444C">
        <w:rPr>
          <w:rFonts w:ascii="Book Antiqua" w:hAnsi="Book Antiqua"/>
          <w:color w:val="000000"/>
          <w:szCs w:val="26"/>
        </w:rPr>
        <w:t xml:space="preserve">2.1. </w:t>
      </w:r>
      <w:r w:rsidRPr="00E4444C">
        <w:rPr>
          <w:rFonts w:ascii="Book Antiqua" w:hAnsi="Book Antiqua"/>
          <w:b/>
          <w:color w:val="000000"/>
          <w:szCs w:val="26"/>
        </w:rPr>
        <w:t xml:space="preserve">Materials </w:t>
      </w:r>
    </w:p>
    <w:p w14:paraId="309731BE" w14:textId="77777777" w:rsidR="003852DC" w:rsidRDefault="003852DC" w:rsidP="003852DC">
      <w:pPr>
        <w:jc w:val="both"/>
        <w:rPr>
          <w:rFonts w:ascii="Book Antiqua" w:hAnsi="Book Antiqua"/>
          <w:color w:val="000000"/>
        </w:rPr>
      </w:pPr>
      <w:r w:rsidRPr="00E3232D">
        <w:rPr>
          <w:rFonts w:ascii="Book Antiqua" w:hAnsi="Book Antiqua"/>
          <w:color w:val="000000"/>
        </w:rPr>
        <w:t xml:space="preserve"> The main materials and inputs required for the provision of medical equipment maintenance and operation-training services are indicated in Table 2.0</w:t>
      </w:r>
    </w:p>
    <w:p w14:paraId="335C02DE" w14:textId="77777777" w:rsidR="003852DC" w:rsidRPr="007B0C2E" w:rsidRDefault="003852DC" w:rsidP="003852DC">
      <w:pPr>
        <w:rPr>
          <w:rFonts w:ascii="Book Antiqua" w:hAnsi="Book Antiqua"/>
          <w:b/>
          <w:color w:val="000000"/>
        </w:rPr>
      </w:pPr>
      <w:r w:rsidRPr="007B0C2E">
        <w:rPr>
          <w:rFonts w:ascii="Book Antiqua" w:hAnsi="Book Antiqua"/>
          <w:b/>
          <w:color w:val="000000"/>
        </w:rPr>
        <w:t xml:space="preserve">Table.2.0. Materials Required </w:t>
      </w:r>
    </w:p>
    <w:tbl>
      <w:tblPr>
        <w:tblStyle w:val="LightShading-Accent12"/>
        <w:tblW w:w="0" w:type="auto"/>
        <w:tblLook w:val="04A0" w:firstRow="1" w:lastRow="0" w:firstColumn="1" w:lastColumn="0" w:noHBand="0" w:noVBand="1"/>
      </w:tblPr>
      <w:tblGrid>
        <w:gridCol w:w="2483"/>
        <w:gridCol w:w="1886"/>
      </w:tblGrid>
      <w:tr w:rsidR="003852DC" w14:paraId="311940F5" w14:textId="77777777" w:rsidTr="00EB2A77">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6BE6DC02" w14:textId="77777777" w:rsidR="003852DC" w:rsidRPr="00DC1385" w:rsidRDefault="003852DC" w:rsidP="00EB2A77">
            <w:pPr>
              <w:spacing w:after="0" w:line="240" w:lineRule="auto"/>
              <w:rPr>
                <w:rFonts w:ascii="Book Antiqua" w:hAnsi="Book Antiqua"/>
                <w:b w:val="0"/>
                <w:color w:val="000000"/>
              </w:rPr>
            </w:pPr>
            <w:r w:rsidRPr="00E3232D">
              <w:rPr>
                <w:rFonts w:ascii="Book Antiqua" w:hAnsi="Book Antiqua"/>
                <w:b w:val="0"/>
                <w:color w:val="000000"/>
              </w:rPr>
              <w:t>Types of material</w:t>
            </w:r>
            <w:r w:rsidRPr="00E3232D">
              <w:rPr>
                <w:rFonts w:ascii="Book Antiqua" w:hAnsi="Book Antiqua"/>
                <w:color w:val="000000"/>
              </w:rPr>
              <w:t xml:space="preserve">  </w:t>
            </w:r>
            <w:r>
              <w:rPr>
                <w:rFonts w:ascii="Book Antiqua" w:hAnsi="Book Antiqua"/>
                <w:color w:val="000000"/>
              </w:rPr>
              <w:t xml:space="preserve">        </w:t>
            </w:r>
            <w:r>
              <w:rPr>
                <w:rFonts w:ascii="Book Antiqua" w:hAnsi="Book Antiqua"/>
                <w:color w:val="000000"/>
              </w:rPr>
              <w:tab/>
            </w:r>
            <w:r>
              <w:rPr>
                <w:rFonts w:ascii="Book Antiqua" w:hAnsi="Book Antiqua"/>
                <w:color w:val="000000"/>
              </w:rPr>
              <w:tab/>
            </w:r>
            <w:r>
              <w:rPr>
                <w:rFonts w:ascii="Book Antiqua" w:hAnsi="Book Antiqua"/>
                <w:color w:val="000000"/>
              </w:rPr>
              <w:tab/>
            </w:r>
          </w:p>
        </w:tc>
        <w:tc>
          <w:tcPr>
            <w:tcW w:w="2340" w:type="dxa"/>
            <w:shd w:val="clear" w:color="auto" w:fill="auto"/>
          </w:tcPr>
          <w:p w14:paraId="12931F02" w14:textId="77777777" w:rsidR="003852DC" w:rsidRDefault="003852DC" w:rsidP="00EB2A77">
            <w:pPr>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b w:val="0"/>
                <w:color w:val="000000"/>
              </w:rPr>
            </w:pPr>
            <w:r w:rsidRPr="00E3232D">
              <w:rPr>
                <w:rFonts w:ascii="Book Antiqua" w:hAnsi="Book Antiqua"/>
                <w:b w:val="0"/>
                <w:color w:val="000000"/>
              </w:rPr>
              <w:t>Unit of Measure</w:t>
            </w:r>
            <w:r w:rsidRPr="00E3232D">
              <w:rPr>
                <w:rFonts w:ascii="Book Antiqua" w:hAnsi="Book Antiqua"/>
                <w:color w:val="000000"/>
              </w:rPr>
              <w:t xml:space="preserve">             </w:t>
            </w:r>
            <w:r>
              <w:rPr>
                <w:rFonts w:ascii="Book Antiqua" w:hAnsi="Book Antiqua"/>
                <w:color w:val="000000"/>
              </w:rPr>
              <w:t xml:space="preserve">                                    </w:t>
            </w:r>
            <w:r w:rsidRPr="00E3232D">
              <w:rPr>
                <w:rFonts w:ascii="Book Antiqua" w:hAnsi="Book Antiqua"/>
                <w:color w:val="000000"/>
              </w:rPr>
              <w:t xml:space="preserve"> </w:t>
            </w:r>
          </w:p>
        </w:tc>
      </w:tr>
      <w:tr w:rsidR="003852DC" w14:paraId="44D34BFB"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8" w:type="dxa"/>
            <w:gridSpan w:val="2"/>
            <w:shd w:val="clear" w:color="auto" w:fill="auto"/>
          </w:tcPr>
          <w:p w14:paraId="30DDB772" w14:textId="77777777" w:rsidR="003852DC" w:rsidRPr="00DE2AC1" w:rsidRDefault="003852DC" w:rsidP="00EB2A77">
            <w:pPr>
              <w:spacing w:after="0" w:line="240" w:lineRule="auto"/>
              <w:rPr>
                <w:rFonts w:ascii="Book Antiqua" w:hAnsi="Book Antiqua"/>
                <w:b w:val="0"/>
                <w:color w:val="000000"/>
              </w:rPr>
            </w:pPr>
            <w:r w:rsidRPr="00DE2AC1">
              <w:rPr>
                <w:rFonts w:ascii="Book Antiqua" w:hAnsi="Book Antiqua"/>
                <w:b w:val="0"/>
                <w:color w:val="000000"/>
              </w:rPr>
              <w:t>Design and publication of Training manuals</w:t>
            </w:r>
            <w:r w:rsidRPr="00DE2AC1">
              <w:rPr>
                <w:rFonts w:ascii="Book Antiqua" w:hAnsi="Book Antiqua"/>
                <w:b w:val="0"/>
                <w:color w:val="000000"/>
              </w:rPr>
              <w:tab/>
              <w:t xml:space="preserve">             </w:t>
            </w:r>
          </w:p>
        </w:tc>
      </w:tr>
      <w:tr w:rsidR="003852DC" w14:paraId="44758507" w14:textId="77777777" w:rsidTr="00EB2A77">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7916C588" w14:textId="77777777" w:rsidR="003852DC" w:rsidRPr="00DE2AC1" w:rsidRDefault="003852DC" w:rsidP="00EB2A77">
            <w:pPr>
              <w:spacing w:after="0" w:line="240" w:lineRule="auto"/>
              <w:rPr>
                <w:rFonts w:ascii="Book Antiqua" w:hAnsi="Book Antiqua"/>
                <w:b w:val="0"/>
                <w:color w:val="000000"/>
              </w:rPr>
            </w:pPr>
            <w:r>
              <w:rPr>
                <w:rFonts w:ascii="Book Antiqua" w:hAnsi="Book Antiqua"/>
                <w:color w:val="000000"/>
              </w:rPr>
              <w:t>Text Books (Assorted types)</w:t>
            </w:r>
            <w:r>
              <w:rPr>
                <w:rFonts w:ascii="Book Antiqua" w:hAnsi="Book Antiqua"/>
                <w:color w:val="000000"/>
              </w:rPr>
              <w:tab/>
            </w:r>
            <w:r>
              <w:rPr>
                <w:rFonts w:ascii="Book Antiqua" w:hAnsi="Book Antiqua"/>
                <w:color w:val="000000"/>
              </w:rPr>
              <w:tab/>
            </w:r>
            <w:r>
              <w:rPr>
                <w:rFonts w:ascii="Book Antiqua" w:hAnsi="Book Antiqua"/>
                <w:color w:val="000000"/>
              </w:rPr>
              <w:tab/>
            </w:r>
          </w:p>
        </w:tc>
        <w:tc>
          <w:tcPr>
            <w:tcW w:w="2340" w:type="dxa"/>
            <w:shd w:val="clear" w:color="auto" w:fill="auto"/>
          </w:tcPr>
          <w:p w14:paraId="79A4DB14" w14:textId="77777777" w:rsidR="003852DC" w:rsidRDefault="003852DC" w:rsidP="00EB2A7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color w:val="000000"/>
              </w:rPr>
            </w:pPr>
            <w:r w:rsidRPr="00557088">
              <w:rPr>
                <w:rFonts w:ascii="Book Antiqua" w:hAnsi="Book Antiqua"/>
                <w:color w:val="000000"/>
              </w:rPr>
              <w:t xml:space="preserve"> </w:t>
            </w:r>
            <w:r w:rsidRPr="00E3232D">
              <w:rPr>
                <w:rFonts w:ascii="Book Antiqua" w:hAnsi="Book Antiqua"/>
                <w:color w:val="000000"/>
              </w:rPr>
              <w:t>Audio visual training kits</w:t>
            </w:r>
          </w:p>
        </w:tc>
      </w:tr>
      <w:tr w:rsidR="003852DC" w14:paraId="5F65B449"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6B7D33A2" w14:textId="77777777" w:rsidR="003852DC" w:rsidRPr="00DE2AC1" w:rsidRDefault="003852DC" w:rsidP="00EB2A77">
            <w:pPr>
              <w:spacing w:after="0" w:line="240" w:lineRule="auto"/>
              <w:rPr>
                <w:rFonts w:ascii="Book Antiqua" w:hAnsi="Book Antiqua"/>
                <w:b w:val="0"/>
                <w:color w:val="000000"/>
              </w:rPr>
            </w:pPr>
            <w:r w:rsidRPr="00E3232D">
              <w:rPr>
                <w:rFonts w:ascii="Book Antiqua" w:hAnsi="Book Antiqua"/>
                <w:color w:val="000000"/>
              </w:rPr>
              <w:t>Stationery materials</w:t>
            </w:r>
          </w:p>
        </w:tc>
        <w:tc>
          <w:tcPr>
            <w:tcW w:w="2340" w:type="dxa"/>
            <w:shd w:val="clear" w:color="auto" w:fill="auto"/>
          </w:tcPr>
          <w:p w14:paraId="3D32C2BD" w14:textId="77777777" w:rsidR="003852DC" w:rsidRDefault="003852DC" w:rsidP="00EB2A7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color w:val="000000"/>
              </w:rPr>
            </w:pPr>
            <w:r>
              <w:rPr>
                <w:rFonts w:ascii="Book Antiqua" w:hAnsi="Book Antiqua"/>
                <w:color w:val="000000"/>
              </w:rPr>
              <w:t xml:space="preserve"> </w:t>
            </w:r>
            <w:r w:rsidRPr="00E3232D">
              <w:rPr>
                <w:rFonts w:ascii="Book Antiqua" w:hAnsi="Book Antiqua"/>
                <w:color w:val="000000"/>
              </w:rPr>
              <w:t>litres</w:t>
            </w:r>
          </w:p>
        </w:tc>
      </w:tr>
      <w:tr w:rsidR="003852DC" w14:paraId="37972169" w14:textId="77777777" w:rsidTr="00EB2A77">
        <w:trPr>
          <w:trHeight w:val="315"/>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5BC23660" w14:textId="77777777" w:rsidR="003852DC" w:rsidRPr="00DE2AC1" w:rsidRDefault="003852DC" w:rsidP="00EB2A77">
            <w:pPr>
              <w:spacing w:after="0" w:line="240" w:lineRule="auto"/>
              <w:rPr>
                <w:rFonts w:ascii="Book Antiqua" w:hAnsi="Book Antiqua"/>
                <w:b w:val="0"/>
                <w:color w:val="000000"/>
              </w:rPr>
            </w:pPr>
            <w:r>
              <w:rPr>
                <w:rFonts w:ascii="Book Antiqua" w:hAnsi="Book Antiqua"/>
                <w:color w:val="000000"/>
              </w:rPr>
              <w:t>Lubricating oils</w:t>
            </w:r>
            <w:r w:rsidRPr="00E3232D">
              <w:rPr>
                <w:rFonts w:ascii="Book Antiqua" w:hAnsi="Book Antiqua"/>
                <w:color w:val="000000"/>
              </w:rPr>
              <w:tab/>
            </w:r>
            <w:r w:rsidRPr="00E3232D">
              <w:rPr>
                <w:rFonts w:ascii="Book Antiqua" w:hAnsi="Book Antiqua"/>
                <w:color w:val="000000"/>
              </w:rPr>
              <w:tab/>
            </w:r>
          </w:p>
        </w:tc>
        <w:tc>
          <w:tcPr>
            <w:tcW w:w="2340" w:type="dxa"/>
            <w:shd w:val="clear" w:color="auto" w:fill="auto"/>
          </w:tcPr>
          <w:p w14:paraId="44ACE342" w14:textId="77777777" w:rsidR="003852DC" w:rsidRDefault="003852DC" w:rsidP="00EB2A7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color w:val="000000"/>
              </w:rPr>
            </w:pPr>
          </w:p>
        </w:tc>
      </w:tr>
      <w:tr w:rsidR="003852DC" w14:paraId="0B72672B"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3BE98918" w14:textId="77777777" w:rsidR="003852DC" w:rsidRPr="00DE2AC1" w:rsidRDefault="003852DC" w:rsidP="00EB2A77">
            <w:pPr>
              <w:autoSpaceDE w:val="0"/>
              <w:autoSpaceDN w:val="0"/>
              <w:adjustRightInd w:val="0"/>
              <w:spacing w:after="0" w:line="240" w:lineRule="auto"/>
              <w:rPr>
                <w:rFonts w:ascii="Book Antiqua" w:hAnsi="Book Antiqua"/>
                <w:b w:val="0"/>
                <w:color w:val="auto"/>
              </w:rPr>
            </w:pPr>
            <w:r w:rsidRPr="00E3232D">
              <w:rPr>
                <w:rFonts w:ascii="Book Antiqua" w:hAnsi="Book Antiqua"/>
                <w:color w:val="000000"/>
              </w:rPr>
              <w:t>Chemicals, (Assorted types)</w:t>
            </w:r>
            <w:r w:rsidRPr="00E3232D">
              <w:rPr>
                <w:rFonts w:ascii="Book Antiqua" w:hAnsi="Book Antiqua"/>
                <w:color w:val="000000"/>
              </w:rPr>
              <w:tab/>
            </w:r>
            <w:r w:rsidRPr="00E3232D">
              <w:rPr>
                <w:rFonts w:ascii="Book Antiqua" w:hAnsi="Book Antiqua"/>
                <w:color w:val="000000"/>
              </w:rPr>
              <w:tab/>
            </w:r>
          </w:p>
        </w:tc>
        <w:tc>
          <w:tcPr>
            <w:tcW w:w="2340" w:type="dxa"/>
            <w:shd w:val="clear" w:color="auto" w:fill="auto"/>
          </w:tcPr>
          <w:p w14:paraId="093D304B" w14:textId="77777777" w:rsidR="003852DC" w:rsidRDefault="003852DC" w:rsidP="00EB2A7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color w:val="000000"/>
              </w:rPr>
            </w:pPr>
          </w:p>
        </w:tc>
      </w:tr>
      <w:tr w:rsidR="003852DC" w14:paraId="6B1798A6" w14:textId="77777777" w:rsidTr="00EB2A77">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3EEC9FC2" w14:textId="77777777" w:rsidR="003852DC" w:rsidRPr="00DE2AC1" w:rsidRDefault="003852DC" w:rsidP="00EB2A77">
            <w:pPr>
              <w:spacing w:after="0" w:line="240" w:lineRule="auto"/>
              <w:rPr>
                <w:rFonts w:ascii="Book Antiqua" w:hAnsi="Book Antiqua"/>
                <w:b w:val="0"/>
                <w:color w:val="000000"/>
              </w:rPr>
            </w:pPr>
            <w:r w:rsidRPr="00E3232D">
              <w:rPr>
                <w:rFonts w:ascii="Book Antiqua" w:hAnsi="Book Antiqua"/>
                <w:color w:val="000000"/>
              </w:rPr>
              <w:t xml:space="preserve">Soldering leads                                                           </w:t>
            </w:r>
          </w:p>
        </w:tc>
        <w:tc>
          <w:tcPr>
            <w:tcW w:w="2340" w:type="dxa"/>
            <w:shd w:val="clear" w:color="auto" w:fill="auto"/>
          </w:tcPr>
          <w:p w14:paraId="16B9A5BA" w14:textId="77777777" w:rsidR="003852DC" w:rsidRDefault="003852DC" w:rsidP="00EB2A7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color w:val="000000"/>
              </w:rPr>
            </w:pPr>
            <w:r w:rsidRPr="00E3232D">
              <w:rPr>
                <w:rFonts w:ascii="Book Antiqua" w:hAnsi="Book Antiqua"/>
                <w:color w:val="000000"/>
              </w:rPr>
              <w:t>Kg</w:t>
            </w:r>
          </w:p>
        </w:tc>
      </w:tr>
      <w:tr w:rsidR="003852DC" w14:paraId="3DAD3778"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03480E78" w14:textId="77777777" w:rsidR="003852DC" w:rsidRPr="00DE2AC1" w:rsidRDefault="003852DC" w:rsidP="00EB2A77">
            <w:pPr>
              <w:autoSpaceDE w:val="0"/>
              <w:autoSpaceDN w:val="0"/>
              <w:adjustRightInd w:val="0"/>
              <w:spacing w:after="0" w:line="240" w:lineRule="auto"/>
              <w:rPr>
                <w:rFonts w:ascii="Book Antiqua" w:hAnsi="Book Antiqua"/>
                <w:b w:val="0"/>
                <w:color w:val="000000"/>
              </w:rPr>
            </w:pPr>
            <w:r w:rsidRPr="00E3232D">
              <w:rPr>
                <w:rFonts w:ascii="Book Antiqua" w:hAnsi="Book Antiqua"/>
                <w:color w:val="000000"/>
              </w:rPr>
              <w:t>Insulating taps,(Assorted)</w:t>
            </w:r>
            <w:r w:rsidRPr="00E3232D">
              <w:rPr>
                <w:rFonts w:ascii="Book Antiqua" w:hAnsi="Book Antiqua"/>
                <w:color w:val="000000"/>
              </w:rPr>
              <w:tab/>
            </w:r>
            <w:r w:rsidRPr="00E3232D">
              <w:rPr>
                <w:rFonts w:ascii="Book Antiqua" w:hAnsi="Book Antiqua"/>
                <w:color w:val="000000"/>
              </w:rPr>
              <w:tab/>
            </w:r>
            <w:r w:rsidRPr="00E3232D">
              <w:rPr>
                <w:rFonts w:ascii="Book Antiqua" w:hAnsi="Book Antiqua"/>
                <w:color w:val="000000"/>
              </w:rPr>
              <w:tab/>
            </w:r>
          </w:p>
        </w:tc>
        <w:tc>
          <w:tcPr>
            <w:tcW w:w="2340" w:type="dxa"/>
            <w:shd w:val="clear" w:color="auto" w:fill="auto"/>
          </w:tcPr>
          <w:p w14:paraId="7E5FD64D" w14:textId="77777777" w:rsidR="003852DC" w:rsidRDefault="003852DC" w:rsidP="00EB2A7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color w:val="000000"/>
              </w:rPr>
            </w:pPr>
            <w:r w:rsidRPr="00E3232D">
              <w:rPr>
                <w:rFonts w:ascii="Book Antiqua" w:hAnsi="Book Antiqua"/>
                <w:color w:val="000000"/>
              </w:rPr>
              <w:t>Roll</w:t>
            </w:r>
          </w:p>
        </w:tc>
      </w:tr>
      <w:tr w:rsidR="003852DC" w14:paraId="51475596" w14:textId="77777777" w:rsidTr="00EB2A77">
        <w:trPr>
          <w:trHeight w:val="252"/>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3935CBF0" w14:textId="77777777" w:rsidR="003852DC" w:rsidRPr="00DE2AC1" w:rsidRDefault="003852DC" w:rsidP="00EB2A77">
            <w:pPr>
              <w:autoSpaceDE w:val="0"/>
              <w:autoSpaceDN w:val="0"/>
              <w:adjustRightInd w:val="0"/>
              <w:spacing w:after="0" w:line="240" w:lineRule="auto"/>
              <w:rPr>
                <w:rFonts w:ascii="Book Antiqua" w:hAnsi="Book Antiqua"/>
                <w:b w:val="0"/>
                <w:color w:val="000000"/>
              </w:rPr>
            </w:pPr>
            <w:r w:rsidRPr="00E3232D">
              <w:rPr>
                <w:rFonts w:ascii="Book Antiqua" w:hAnsi="Book Antiqua"/>
                <w:color w:val="000000"/>
              </w:rPr>
              <w:t>Dry cell, assorted</w:t>
            </w:r>
            <w:r w:rsidRPr="00E3232D">
              <w:rPr>
                <w:rFonts w:ascii="Book Antiqua" w:hAnsi="Book Antiqua"/>
                <w:color w:val="000000"/>
              </w:rPr>
              <w:tab/>
            </w:r>
            <w:r w:rsidRPr="00E3232D">
              <w:rPr>
                <w:rFonts w:ascii="Book Antiqua" w:hAnsi="Book Antiqua"/>
                <w:color w:val="000000"/>
              </w:rPr>
              <w:tab/>
            </w:r>
            <w:r w:rsidRPr="00E3232D">
              <w:rPr>
                <w:rFonts w:ascii="Book Antiqua" w:hAnsi="Book Antiqua"/>
                <w:color w:val="000000"/>
              </w:rPr>
              <w:tab/>
            </w:r>
          </w:p>
        </w:tc>
        <w:tc>
          <w:tcPr>
            <w:tcW w:w="2340" w:type="dxa"/>
            <w:shd w:val="clear" w:color="auto" w:fill="auto"/>
          </w:tcPr>
          <w:p w14:paraId="5FDD8BC1" w14:textId="77777777" w:rsidR="003852DC" w:rsidRDefault="003852DC" w:rsidP="00EB2A7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color w:val="000000"/>
              </w:rPr>
            </w:pPr>
            <w:r w:rsidRPr="00E3232D">
              <w:rPr>
                <w:rFonts w:ascii="Book Antiqua" w:hAnsi="Book Antiqua"/>
                <w:color w:val="000000"/>
              </w:rPr>
              <w:t>Pck</w:t>
            </w:r>
          </w:p>
        </w:tc>
      </w:tr>
      <w:tr w:rsidR="003852DC" w14:paraId="1BCDA82F"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8" w:type="dxa"/>
            <w:gridSpan w:val="2"/>
            <w:shd w:val="clear" w:color="auto" w:fill="auto"/>
          </w:tcPr>
          <w:p w14:paraId="38AB399A" w14:textId="77777777" w:rsidR="003852DC" w:rsidRPr="00DE2AC1" w:rsidRDefault="003852DC" w:rsidP="00EB2A77">
            <w:pPr>
              <w:spacing w:after="0" w:line="240" w:lineRule="auto"/>
              <w:rPr>
                <w:rFonts w:ascii="Book Antiqua" w:hAnsi="Book Antiqua"/>
                <w:b w:val="0"/>
                <w:color w:val="000000"/>
              </w:rPr>
            </w:pPr>
            <w:r w:rsidRPr="00DE2AC1">
              <w:rPr>
                <w:rFonts w:ascii="Book Antiqua" w:hAnsi="Book Antiqua"/>
                <w:b w:val="0"/>
                <w:color w:val="000000"/>
              </w:rPr>
              <w:t>Electronic components and parts (Assorted)</w:t>
            </w:r>
            <w:r w:rsidRPr="00DE2AC1">
              <w:rPr>
                <w:rFonts w:ascii="Book Antiqua" w:hAnsi="Book Antiqua"/>
                <w:b w:val="0"/>
                <w:color w:val="000000"/>
              </w:rPr>
              <w:tab/>
            </w:r>
          </w:p>
        </w:tc>
      </w:tr>
      <w:tr w:rsidR="003852DC" w14:paraId="0D800021" w14:textId="77777777" w:rsidTr="00EB2A77">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3BB9C161" w14:textId="77777777" w:rsidR="003852DC" w:rsidRPr="00DE2AC1" w:rsidRDefault="003852DC" w:rsidP="00EB2A77">
            <w:pPr>
              <w:spacing w:after="0" w:line="240" w:lineRule="auto"/>
              <w:rPr>
                <w:rFonts w:ascii="Book Antiqua" w:hAnsi="Book Antiqua"/>
                <w:b w:val="0"/>
                <w:color w:val="000000"/>
              </w:rPr>
            </w:pPr>
            <w:r w:rsidRPr="00E3232D">
              <w:rPr>
                <w:rFonts w:ascii="Book Antiqua" w:hAnsi="Book Antiqua"/>
                <w:color w:val="000000"/>
              </w:rPr>
              <w:t>Alkaline batteries, Lump sum</w:t>
            </w:r>
            <w:r w:rsidRPr="00E3232D">
              <w:rPr>
                <w:rFonts w:ascii="Book Antiqua" w:hAnsi="Book Antiqua"/>
                <w:color w:val="000000"/>
              </w:rPr>
              <w:tab/>
            </w:r>
          </w:p>
        </w:tc>
        <w:tc>
          <w:tcPr>
            <w:tcW w:w="2340" w:type="dxa"/>
            <w:shd w:val="clear" w:color="auto" w:fill="auto"/>
          </w:tcPr>
          <w:p w14:paraId="603C89D1" w14:textId="77777777" w:rsidR="003852DC" w:rsidRDefault="003852DC" w:rsidP="00EB2A7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color w:val="000000"/>
              </w:rPr>
            </w:pPr>
            <w:r w:rsidRPr="00E3232D">
              <w:rPr>
                <w:rFonts w:ascii="Book Antiqua" w:hAnsi="Book Antiqua"/>
                <w:color w:val="000000"/>
              </w:rPr>
              <w:t>Pct</w:t>
            </w:r>
          </w:p>
        </w:tc>
      </w:tr>
      <w:tr w:rsidR="003852DC" w14:paraId="536E48FF"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0291A65E" w14:textId="77777777" w:rsidR="003852DC" w:rsidRPr="00DE2AC1" w:rsidRDefault="003852DC" w:rsidP="00EB2A77">
            <w:pPr>
              <w:spacing w:after="0" w:line="240" w:lineRule="auto"/>
              <w:rPr>
                <w:rFonts w:ascii="Book Antiqua" w:hAnsi="Book Antiqua"/>
                <w:b w:val="0"/>
                <w:color w:val="000000"/>
              </w:rPr>
            </w:pPr>
            <w:r w:rsidRPr="00E3232D">
              <w:rPr>
                <w:rFonts w:ascii="Book Antiqua" w:hAnsi="Book Antiqua"/>
                <w:color w:val="000000"/>
              </w:rPr>
              <w:t xml:space="preserve">Welding electrodes    </w:t>
            </w:r>
            <w:r w:rsidRPr="00E3232D">
              <w:rPr>
                <w:rFonts w:ascii="Book Antiqua" w:hAnsi="Book Antiqua"/>
                <w:color w:val="000000"/>
              </w:rPr>
              <w:tab/>
            </w:r>
            <w:r w:rsidRPr="00E3232D">
              <w:rPr>
                <w:rFonts w:ascii="Book Antiqua" w:hAnsi="Book Antiqua"/>
                <w:color w:val="000000"/>
              </w:rPr>
              <w:tab/>
            </w:r>
            <w:r w:rsidRPr="00E3232D">
              <w:rPr>
                <w:rFonts w:ascii="Book Antiqua" w:hAnsi="Book Antiqua"/>
                <w:color w:val="000000"/>
              </w:rPr>
              <w:tab/>
            </w:r>
            <w:r w:rsidRPr="00E3232D">
              <w:rPr>
                <w:rFonts w:ascii="Book Antiqua" w:hAnsi="Book Antiqua"/>
                <w:color w:val="000000"/>
              </w:rPr>
              <w:tab/>
              <w:t xml:space="preserve">            </w:t>
            </w:r>
            <w:r>
              <w:rPr>
                <w:rFonts w:ascii="Book Antiqua" w:hAnsi="Book Antiqua"/>
                <w:color w:val="000000"/>
              </w:rPr>
              <w:t xml:space="preserve"> </w:t>
            </w:r>
          </w:p>
        </w:tc>
        <w:tc>
          <w:tcPr>
            <w:tcW w:w="2340" w:type="dxa"/>
            <w:shd w:val="clear" w:color="auto" w:fill="auto"/>
          </w:tcPr>
          <w:p w14:paraId="28A8165A" w14:textId="77777777" w:rsidR="003852DC" w:rsidRDefault="003852DC" w:rsidP="00EB2A7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color w:val="000000"/>
              </w:rPr>
            </w:pPr>
            <w:r w:rsidRPr="00E3232D">
              <w:rPr>
                <w:rFonts w:ascii="Book Antiqua" w:hAnsi="Book Antiqua"/>
                <w:color w:val="000000"/>
              </w:rPr>
              <w:t>Pct</w:t>
            </w:r>
          </w:p>
        </w:tc>
      </w:tr>
      <w:tr w:rsidR="003852DC" w14:paraId="04D3A77D" w14:textId="77777777" w:rsidTr="00EB2A77">
        <w:trPr>
          <w:trHeight w:val="351"/>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48F3485C" w14:textId="77777777" w:rsidR="003852DC" w:rsidRPr="00DE2AC1" w:rsidRDefault="003852DC" w:rsidP="00EB2A77">
            <w:pPr>
              <w:spacing w:after="0" w:line="240" w:lineRule="auto"/>
              <w:rPr>
                <w:rFonts w:ascii="Book Antiqua" w:hAnsi="Book Antiqua"/>
                <w:b w:val="0"/>
                <w:color w:val="000000"/>
              </w:rPr>
            </w:pPr>
            <w:r>
              <w:rPr>
                <w:rFonts w:ascii="Book Antiqua" w:hAnsi="Book Antiqua"/>
                <w:color w:val="000000"/>
              </w:rPr>
              <w:t>Carbides</w:t>
            </w:r>
            <w:r>
              <w:rPr>
                <w:rFonts w:ascii="Book Antiqua" w:hAnsi="Book Antiqua"/>
                <w:color w:val="000000"/>
              </w:rPr>
              <w:tab/>
            </w:r>
            <w:r>
              <w:rPr>
                <w:rFonts w:ascii="Book Antiqua" w:hAnsi="Book Antiqua"/>
                <w:color w:val="000000"/>
              </w:rPr>
              <w:tab/>
            </w:r>
            <w:r>
              <w:rPr>
                <w:rFonts w:ascii="Book Antiqua" w:hAnsi="Book Antiqua"/>
                <w:color w:val="000000"/>
              </w:rPr>
              <w:tab/>
            </w:r>
            <w:r>
              <w:rPr>
                <w:rFonts w:ascii="Book Antiqua" w:hAnsi="Book Antiqua"/>
                <w:color w:val="000000"/>
              </w:rPr>
              <w:tab/>
            </w:r>
            <w:r>
              <w:rPr>
                <w:rFonts w:ascii="Book Antiqua" w:hAnsi="Book Antiqua"/>
                <w:color w:val="000000"/>
              </w:rPr>
              <w:tab/>
              <w:t xml:space="preserve">             </w:t>
            </w:r>
          </w:p>
        </w:tc>
        <w:tc>
          <w:tcPr>
            <w:tcW w:w="2340" w:type="dxa"/>
            <w:shd w:val="clear" w:color="auto" w:fill="auto"/>
          </w:tcPr>
          <w:p w14:paraId="382BD693" w14:textId="77777777" w:rsidR="003852DC" w:rsidRDefault="003852DC" w:rsidP="00EB2A7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color w:val="000000"/>
              </w:rPr>
            </w:pPr>
            <w:r w:rsidRPr="00E3232D">
              <w:rPr>
                <w:rFonts w:ascii="Book Antiqua" w:hAnsi="Book Antiqua"/>
                <w:color w:val="000000"/>
              </w:rPr>
              <w:t>Kg</w:t>
            </w:r>
          </w:p>
        </w:tc>
      </w:tr>
      <w:tr w:rsidR="003852DC" w14:paraId="559C3E1D"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46CD10F8" w14:textId="77777777" w:rsidR="003852DC" w:rsidRPr="00DE2AC1" w:rsidRDefault="003852DC" w:rsidP="00EB2A77">
            <w:pPr>
              <w:spacing w:after="0" w:line="240" w:lineRule="auto"/>
              <w:rPr>
                <w:rFonts w:ascii="Book Antiqua" w:hAnsi="Book Antiqua"/>
                <w:b w:val="0"/>
                <w:color w:val="000000"/>
              </w:rPr>
            </w:pPr>
            <w:r w:rsidRPr="00E3232D">
              <w:rPr>
                <w:rFonts w:ascii="Book Antiqua" w:hAnsi="Book Antiqua"/>
                <w:color w:val="000000"/>
              </w:rPr>
              <w:t>Bottled Oxygen</w:t>
            </w:r>
            <w:r w:rsidRPr="00E3232D">
              <w:rPr>
                <w:rFonts w:ascii="Book Antiqua" w:hAnsi="Book Antiqua"/>
                <w:color w:val="000000"/>
              </w:rPr>
              <w:tab/>
            </w:r>
            <w:r w:rsidRPr="00E3232D">
              <w:rPr>
                <w:rFonts w:ascii="Book Antiqua" w:hAnsi="Book Antiqua"/>
                <w:color w:val="000000"/>
              </w:rPr>
              <w:tab/>
            </w:r>
            <w:r w:rsidRPr="00E3232D">
              <w:rPr>
                <w:rFonts w:ascii="Book Antiqua" w:hAnsi="Book Antiqua"/>
                <w:color w:val="000000"/>
              </w:rPr>
              <w:tab/>
            </w:r>
            <w:r w:rsidRPr="00E3232D">
              <w:rPr>
                <w:rFonts w:ascii="Book Antiqua" w:hAnsi="Book Antiqua"/>
                <w:color w:val="000000"/>
              </w:rPr>
              <w:tab/>
            </w:r>
          </w:p>
        </w:tc>
        <w:tc>
          <w:tcPr>
            <w:tcW w:w="2340" w:type="dxa"/>
            <w:shd w:val="clear" w:color="auto" w:fill="auto"/>
          </w:tcPr>
          <w:p w14:paraId="4410DA87" w14:textId="77777777" w:rsidR="003852DC" w:rsidRDefault="003852DC" w:rsidP="00EB2A7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color w:val="000000"/>
              </w:rPr>
            </w:pPr>
            <w:r w:rsidRPr="00E3232D">
              <w:rPr>
                <w:rFonts w:ascii="Book Antiqua" w:hAnsi="Book Antiqua"/>
                <w:color w:val="000000"/>
              </w:rPr>
              <w:t>Kg</w:t>
            </w:r>
          </w:p>
        </w:tc>
      </w:tr>
      <w:tr w:rsidR="003852DC" w14:paraId="1C00864B" w14:textId="77777777" w:rsidTr="00EB2A77">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6607CCE7" w14:textId="77777777" w:rsidR="003852DC" w:rsidRPr="00DE2AC1" w:rsidRDefault="003852DC" w:rsidP="00EB2A77">
            <w:pPr>
              <w:spacing w:after="0" w:line="240" w:lineRule="auto"/>
              <w:rPr>
                <w:rFonts w:ascii="Book Antiqua" w:hAnsi="Book Antiqua"/>
                <w:b w:val="0"/>
                <w:color w:val="000000"/>
              </w:rPr>
            </w:pPr>
            <w:r w:rsidRPr="00E3232D">
              <w:rPr>
                <w:rFonts w:ascii="Book Antiqua" w:hAnsi="Book Antiqua"/>
                <w:color w:val="000000"/>
              </w:rPr>
              <w:t>Refrigerant</w:t>
            </w:r>
            <w:r w:rsidRPr="00E3232D">
              <w:rPr>
                <w:rFonts w:ascii="Book Antiqua" w:hAnsi="Book Antiqua"/>
                <w:color w:val="000000"/>
              </w:rPr>
              <w:tab/>
            </w:r>
            <w:r w:rsidRPr="00E3232D">
              <w:rPr>
                <w:rFonts w:ascii="Book Antiqua" w:hAnsi="Book Antiqua"/>
                <w:color w:val="000000"/>
              </w:rPr>
              <w:tab/>
            </w:r>
            <w:r w:rsidRPr="00E3232D">
              <w:rPr>
                <w:rFonts w:ascii="Book Antiqua" w:hAnsi="Book Antiqua"/>
                <w:color w:val="000000"/>
              </w:rPr>
              <w:tab/>
            </w:r>
            <w:r w:rsidRPr="00E3232D">
              <w:rPr>
                <w:rFonts w:ascii="Book Antiqua" w:hAnsi="Book Antiqua"/>
                <w:color w:val="000000"/>
              </w:rPr>
              <w:tab/>
            </w:r>
            <w:r w:rsidRPr="00E3232D">
              <w:rPr>
                <w:rFonts w:ascii="Book Antiqua" w:hAnsi="Book Antiqua"/>
                <w:color w:val="000000"/>
              </w:rPr>
              <w:tab/>
            </w:r>
          </w:p>
        </w:tc>
        <w:tc>
          <w:tcPr>
            <w:tcW w:w="2340" w:type="dxa"/>
            <w:shd w:val="clear" w:color="auto" w:fill="auto"/>
          </w:tcPr>
          <w:p w14:paraId="544CA91C" w14:textId="77777777" w:rsidR="003852DC" w:rsidRDefault="003852DC" w:rsidP="00EB2A77">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color w:val="000000"/>
              </w:rPr>
            </w:pPr>
            <w:r w:rsidRPr="00E3232D">
              <w:rPr>
                <w:rFonts w:ascii="Book Antiqua" w:hAnsi="Book Antiqua"/>
                <w:color w:val="000000"/>
              </w:rPr>
              <w:t>Kg</w:t>
            </w:r>
          </w:p>
        </w:tc>
      </w:tr>
      <w:tr w:rsidR="003852DC" w14:paraId="2C9BC23F"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shd w:val="clear" w:color="auto" w:fill="auto"/>
          </w:tcPr>
          <w:p w14:paraId="5B2CAD08" w14:textId="77777777" w:rsidR="003852DC" w:rsidRDefault="003852DC" w:rsidP="00EB2A77">
            <w:pPr>
              <w:spacing w:after="0" w:line="240" w:lineRule="auto"/>
              <w:rPr>
                <w:rFonts w:ascii="Book Antiqua" w:hAnsi="Book Antiqua"/>
                <w:b w:val="0"/>
                <w:color w:val="000000"/>
              </w:rPr>
            </w:pPr>
            <w:r w:rsidRPr="00E3232D">
              <w:rPr>
                <w:rFonts w:ascii="Book Antiqua" w:hAnsi="Book Antiqua"/>
                <w:color w:val="000000"/>
              </w:rPr>
              <w:t xml:space="preserve">Miscellaneous Items  </w:t>
            </w:r>
            <w:r w:rsidRPr="00E3232D">
              <w:rPr>
                <w:rFonts w:ascii="Book Antiqua" w:hAnsi="Book Antiqua"/>
                <w:color w:val="000000"/>
              </w:rPr>
              <w:tab/>
            </w:r>
          </w:p>
        </w:tc>
        <w:tc>
          <w:tcPr>
            <w:tcW w:w="2340" w:type="dxa"/>
            <w:shd w:val="clear" w:color="auto" w:fill="auto"/>
          </w:tcPr>
          <w:p w14:paraId="5BF6F82D" w14:textId="77777777" w:rsidR="003852DC" w:rsidRDefault="003852DC" w:rsidP="00EB2A77">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b/>
                <w:color w:val="000000"/>
              </w:rPr>
            </w:pPr>
          </w:p>
        </w:tc>
      </w:tr>
    </w:tbl>
    <w:p w14:paraId="6E77B3F0" w14:textId="77777777" w:rsidR="003852DC" w:rsidRDefault="003852DC" w:rsidP="003852DC">
      <w:pPr>
        <w:jc w:val="both"/>
        <w:rPr>
          <w:rFonts w:ascii="Book Antiqua" w:hAnsi="Book Antiqua"/>
          <w:color w:val="000000"/>
        </w:rPr>
      </w:pPr>
    </w:p>
    <w:p w14:paraId="013F0237" w14:textId="77777777" w:rsidR="003852DC" w:rsidRPr="00E4444C" w:rsidRDefault="003852DC" w:rsidP="003852DC">
      <w:pPr>
        <w:jc w:val="both"/>
        <w:rPr>
          <w:rFonts w:ascii="Book Antiqua" w:hAnsi="Book Antiqua"/>
          <w:color w:val="000000"/>
          <w:szCs w:val="26"/>
        </w:rPr>
      </w:pPr>
      <w:r w:rsidRPr="00E4444C">
        <w:rPr>
          <w:rFonts w:ascii="Book Antiqua" w:hAnsi="Book Antiqua"/>
          <w:color w:val="000000"/>
          <w:szCs w:val="26"/>
        </w:rPr>
        <w:t xml:space="preserve">2.2. </w:t>
      </w:r>
      <w:r w:rsidRPr="00E4444C">
        <w:rPr>
          <w:rFonts w:ascii="Book Antiqua" w:hAnsi="Book Antiqua"/>
          <w:b/>
          <w:color w:val="000000"/>
          <w:szCs w:val="26"/>
        </w:rPr>
        <w:t>Technology and Engineering</w:t>
      </w:r>
    </w:p>
    <w:p w14:paraId="6944AD8D" w14:textId="77777777" w:rsidR="003852DC" w:rsidRPr="00E4444C" w:rsidRDefault="003852DC" w:rsidP="003852DC">
      <w:pPr>
        <w:jc w:val="both"/>
        <w:rPr>
          <w:rFonts w:ascii="Book Antiqua" w:hAnsi="Book Antiqua"/>
          <w:b/>
          <w:color w:val="000000"/>
          <w:szCs w:val="26"/>
        </w:rPr>
      </w:pPr>
      <w:r w:rsidRPr="00E4444C">
        <w:rPr>
          <w:rFonts w:ascii="Book Antiqua" w:hAnsi="Book Antiqua"/>
          <w:color w:val="000000"/>
          <w:szCs w:val="26"/>
        </w:rPr>
        <w:t xml:space="preserve">2.2.1. </w:t>
      </w:r>
      <w:r w:rsidRPr="00E4444C">
        <w:rPr>
          <w:rFonts w:ascii="Book Antiqua" w:hAnsi="Book Antiqua"/>
          <w:b/>
          <w:color w:val="000000"/>
          <w:szCs w:val="26"/>
        </w:rPr>
        <w:t>Technology</w:t>
      </w:r>
    </w:p>
    <w:p w14:paraId="0AC2F58F" w14:textId="77777777" w:rsidR="003852DC" w:rsidRPr="003F207C" w:rsidRDefault="003852DC" w:rsidP="003852DC">
      <w:pPr>
        <w:jc w:val="both"/>
        <w:rPr>
          <w:rFonts w:ascii="Book Antiqua" w:hAnsi="Book Antiqua"/>
          <w:color w:val="000000"/>
        </w:rPr>
      </w:pPr>
      <w:r w:rsidRPr="00E3232D">
        <w:rPr>
          <w:rFonts w:ascii="Book Antiqua" w:hAnsi="Book Antiqua"/>
          <w:color w:val="000000"/>
        </w:rPr>
        <w:t>The medical equipment maintenance and operation training services would be rendered to various hospitals, clinics, diagnostic laboratories, bio-medical research centers and other related institutions utilizing medical equipment. The services would be provided both at the service center and at the client’s site, as required. The service provision would be basically categorized as follows:</w:t>
      </w:r>
    </w:p>
    <w:p w14:paraId="74532D23" w14:textId="77777777" w:rsidR="003852DC" w:rsidRPr="00E3232D" w:rsidRDefault="003852DC" w:rsidP="003852DC">
      <w:pPr>
        <w:jc w:val="both"/>
        <w:rPr>
          <w:rFonts w:ascii="Book Antiqua" w:hAnsi="Book Antiqua"/>
          <w:b/>
          <w:color w:val="000000"/>
        </w:rPr>
      </w:pPr>
      <w:r w:rsidRPr="00E3232D">
        <w:rPr>
          <w:rFonts w:ascii="Book Antiqua" w:hAnsi="Book Antiqua"/>
          <w:b/>
          <w:color w:val="000000"/>
        </w:rPr>
        <w:t>(I)Full-Fledged and Packaged Consultancy Service:</w:t>
      </w:r>
    </w:p>
    <w:p w14:paraId="35F78EC7" w14:textId="77777777" w:rsidR="003852DC" w:rsidRPr="00E3232D" w:rsidRDefault="003852DC" w:rsidP="003852DC">
      <w:pPr>
        <w:pStyle w:val="ListParagraph"/>
        <w:numPr>
          <w:ilvl w:val="0"/>
          <w:numId w:val="102"/>
        </w:numPr>
        <w:jc w:val="both"/>
        <w:rPr>
          <w:rFonts w:ascii="Book Antiqua" w:hAnsi="Book Antiqua"/>
          <w:b/>
        </w:rPr>
      </w:pPr>
      <w:r w:rsidRPr="00E3232D">
        <w:rPr>
          <w:rFonts w:ascii="Book Antiqua" w:hAnsi="Book Antiqua"/>
          <w:color w:val="000000"/>
        </w:rPr>
        <w:t xml:space="preserve">Procurement of Medical equipment: </w:t>
      </w:r>
    </w:p>
    <w:p w14:paraId="752D33E5" w14:textId="77777777" w:rsidR="003852DC" w:rsidRPr="00E3232D" w:rsidRDefault="003852DC" w:rsidP="003852DC">
      <w:pPr>
        <w:pStyle w:val="ListParagraph"/>
        <w:numPr>
          <w:ilvl w:val="0"/>
          <w:numId w:val="101"/>
        </w:numPr>
        <w:autoSpaceDE w:val="0"/>
        <w:autoSpaceDN w:val="0"/>
        <w:adjustRightInd w:val="0"/>
        <w:jc w:val="both"/>
        <w:rPr>
          <w:rFonts w:ascii="Book Antiqua" w:hAnsi="Book Antiqua"/>
        </w:rPr>
      </w:pPr>
      <w:r w:rsidRPr="00E3232D">
        <w:rPr>
          <w:rFonts w:ascii="Book Antiqua" w:hAnsi="Book Antiqua"/>
          <w:color w:val="000000"/>
        </w:rPr>
        <w:t xml:space="preserve"> Initial assessment of customer’s budget, requirements and needs to help determine how customer can get the best value for the allocated money;</w:t>
      </w:r>
    </w:p>
    <w:p w14:paraId="622CBC98" w14:textId="77777777" w:rsidR="003852DC" w:rsidRPr="00E3232D" w:rsidRDefault="003852DC" w:rsidP="003852DC">
      <w:pPr>
        <w:pStyle w:val="ListParagraph"/>
        <w:numPr>
          <w:ilvl w:val="0"/>
          <w:numId w:val="101"/>
        </w:numPr>
        <w:autoSpaceDE w:val="0"/>
        <w:autoSpaceDN w:val="0"/>
        <w:adjustRightInd w:val="0"/>
        <w:jc w:val="both"/>
        <w:rPr>
          <w:rFonts w:ascii="Book Antiqua" w:hAnsi="Book Antiqua"/>
        </w:rPr>
      </w:pPr>
      <w:r w:rsidRPr="00E3232D">
        <w:rPr>
          <w:rFonts w:ascii="Book Antiqua" w:hAnsi="Book Antiqua"/>
          <w:color w:val="000000"/>
        </w:rPr>
        <w:t xml:space="preserve">Based on the specifications and the standards set out by concerned governmental bodies, the envisioned center will participate on the pre and post tendering activities. </w:t>
      </w:r>
    </w:p>
    <w:p w14:paraId="694BFC57" w14:textId="77777777" w:rsidR="003852DC" w:rsidRPr="00E3232D" w:rsidRDefault="003852DC" w:rsidP="003852DC">
      <w:pPr>
        <w:pStyle w:val="ListParagraph"/>
        <w:numPr>
          <w:ilvl w:val="0"/>
          <w:numId w:val="102"/>
        </w:numPr>
        <w:autoSpaceDE w:val="0"/>
        <w:autoSpaceDN w:val="0"/>
        <w:adjustRightInd w:val="0"/>
        <w:jc w:val="both"/>
        <w:rPr>
          <w:rFonts w:ascii="Book Antiqua" w:hAnsi="Book Antiqua"/>
        </w:rPr>
      </w:pPr>
      <w:r w:rsidRPr="00E3232D">
        <w:rPr>
          <w:rFonts w:ascii="Book Antiqua" w:hAnsi="Book Antiqua"/>
          <w:color w:val="000000"/>
        </w:rPr>
        <w:t>Acquisition and translation of manuals an</w:t>
      </w:r>
      <w:r>
        <w:rPr>
          <w:rFonts w:ascii="Book Antiqua" w:hAnsi="Book Antiqua"/>
          <w:color w:val="000000"/>
        </w:rPr>
        <w:t>d other vital medical documents</w:t>
      </w:r>
      <w:r w:rsidRPr="00E3232D">
        <w:rPr>
          <w:rFonts w:ascii="Book Antiqua" w:hAnsi="Book Antiqua"/>
          <w:color w:val="000000"/>
        </w:rPr>
        <w:t xml:space="preserve">/ materials;  </w:t>
      </w:r>
    </w:p>
    <w:p w14:paraId="231C8FBE" w14:textId="77777777" w:rsidR="003852DC" w:rsidRPr="00E3232D" w:rsidRDefault="003852DC" w:rsidP="003852DC">
      <w:pPr>
        <w:pStyle w:val="ListParagraph"/>
        <w:numPr>
          <w:ilvl w:val="0"/>
          <w:numId w:val="102"/>
        </w:numPr>
        <w:autoSpaceDE w:val="0"/>
        <w:autoSpaceDN w:val="0"/>
        <w:adjustRightInd w:val="0"/>
        <w:jc w:val="both"/>
        <w:rPr>
          <w:rFonts w:ascii="Book Antiqua" w:hAnsi="Book Antiqua"/>
        </w:rPr>
      </w:pPr>
      <w:r w:rsidRPr="00E3232D">
        <w:rPr>
          <w:rFonts w:ascii="Book Antiqua" w:hAnsi="Book Antiqua"/>
          <w:color w:val="000000"/>
        </w:rPr>
        <w:t xml:space="preserve">Developing and </w:t>
      </w:r>
      <w:r>
        <w:rPr>
          <w:rFonts w:ascii="Book Antiqua" w:hAnsi="Book Antiqua"/>
          <w:color w:val="000000"/>
        </w:rPr>
        <w:t xml:space="preserve">implementing procedures </w:t>
      </w:r>
      <w:r w:rsidRPr="00E3232D">
        <w:rPr>
          <w:rFonts w:ascii="Book Antiqua" w:hAnsi="Book Antiqua"/>
          <w:color w:val="000000"/>
        </w:rPr>
        <w:t xml:space="preserve">and rules designed to better care for </w:t>
      </w:r>
    </w:p>
    <w:p w14:paraId="19C32259" w14:textId="77777777" w:rsidR="003852DC" w:rsidRPr="00E3232D"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 xml:space="preserve">                        the medical equipment, create accountability, clarity and transparency in the      </w:t>
      </w:r>
    </w:p>
    <w:p w14:paraId="6E097E41" w14:textId="77777777" w:rsidR="003852DC" w:rsidRPr="00E3232D"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 xml:space="preserve">                        care and usage of medical equipment; implement a plan to prevent </w:t>
      </w:r>
    </w:p>
    <w:p w14:paraId="7D3D8037" w14:textId="77777777" w:rsidR="003852DC" w:rsidRPr="00E3232D"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 xml:space="preserve">                        unauthorized repair and usage. </w:t>
      </w:r>
    </w:p>
    <w:p w14:paraId="3B6CC0E1" w14:textId="77777777" w:rsidR="003852DC" w:rsidRPr="00E3232D" w:rsidRDefault="003852DC" w:rsidP="003852DC">
      <w:pPr>
        <w:pStyle w:val="ListParagraph"/>
        <w:numPr>
          <w:ilvl w:val="0"/>
          <w:numId w:val="103"/>
        </w:numPr>
        <w:autoSpaceDE w:val="0"/>
        <w:autoSpaceDN w:val="0"/>
        <w:adjustRightInd w:val="0"/>
        <w:jc w:val="both"/>
        <w:rPr>
          <w:rFonts w:ascii="Book Antiqua" w:hAnsi="Book Antiqua"/>
        </w:rPr>
      </w:pPr>
      <w:r w:rsidRPr="00E3232D">
        <w:rPr>
          <w:rFonts w:ascii="Book Antiqua" w:hAnsi="Book Antiqua"/>
          <w:color w:val="000000"/>
        </w:rPr>
        <w:t xml:space="preserve">Installation, testing and commissioning: </w:t>
      </w:r>
    </w:p>
    <w:p w14:paraId="56305E2A" w14:textId="77777777" w:rsidR="003852DC" w:rsidRPr="00E3232D" w:rsidRDefault="003852DC" w:rsidP="003852DC">
      <w:pPr>
        <w:pStyle w:val="ListParagraph"/>
        <w:numPr>
          <w:ilvl w:val="1"/>
          <w:numId w:val="105"/>
        </w:numPr>
        <w:autoSpaceDE w:val="0"/>
        <w:autoSpaceDN w:val="0"/>
        <w:adjustRightInd w:val="0"/>
        <w:jc w:val="both"/>
        <w:rPr>
          <w:rFonts w:ascii="Book Antiqua" w:hAnsi="Book Antiqua"/>
          <w:color w:val="000000"/>
        </w:rPr>
      </w:pPr>
      <w:r w:rsidRPr="00E3232D">
        <w:rPr>
          <w:rFonts w:ascii="Book Antiqua" w:hAnsi="Book Antiqua"/>
          <w:color w:val="000000"/>
        </w:rPr>
        <w:t>Handling of erection or erection supervision activities (Installation, testing, commissioning and operation, and safety training), as required.</w:t>
      </w:r>
    </w:p>
    <w:p w14:paraId="189956B7" w14:textId="77777777" w:rsidR="003852DC" w:rsidRPr="00E3232D" w:rsidRDefault="003852DC" w:rsidP="003852DC">
      <w:pPr>
        <w:pStyle w:val="ListParagraph"/>
        <w:autoSpaceDE w:val="0"/>
        <w:autoSpaceDN w:val="0"/>
        <w:adjustRightInd w:val="0"/>
        <w:jc w:val="both"/>
        <w:rPr>
          <w:rFonts w:ascii="Book Antiqua" w:hAnsi="Book Antiqua"/>
          <w:b/>
          <w:color w:val="000000"/>
        </w:rPr>
      </w:pPr>
    </w:p>
    <w:p w14:paraId="4DA05BB5" w14:textId="77777777" w:rsidR="003852DC" w:rsidRPr="00E3232D" w:rsidRDefault="003852DC" w:rsidP="003852DC">
      <w:pPr>
        <w:pStyle w:val="ListParagraph"/>
        <w:autoSpaceDE w:val="0"/>
        <w:autoSpaceDN w:val="0"/>
        <w:adjustRightInd w:val="0"/>
        <w:jc w:val="both"/>
        <w:rPr>
          <w:rFonts w:ascii="Book Antiqua" w:hAnsi="Book Antiqua"/>
          <w:b/>
          <w:color w:val="000000"/>
        </w:rPr>
      </w:pPr>
      <w:r w:rsidRPr="00E3232D">
        <w:rPr>
          <w:rFonts w:ascii="Book Antiqua" w:hAnsi="Book Antiqua"/>
          <w:b/>
          <w:color w:val="000000"/>
        </w:rPr>
        <w:t>(II)</w:t>
      </w:r>
      <w:r w:rsidRPr="00E3232D">
        <w:rPr>
          <w:rFonts w:ascii="Book Antiqua" w:hAnsi="Book Antiqua"/>
          <w:color w:val="000000"/>
        </w:rPr>
        <w:t xml:space="preserve"> </w:t>
      </w:r>
      <w:r w:rsidRPr="00E3232D">
        <w:rPr>
          <w:rFonts w:ascii="Book Antiqua" w:hAnsi="Book Antiqua"/>
          <w:b/>
          <w:color w:val="000000"/>
        </w:rPr>
        <w:t>Maintenance contract for scheduled and unscheduled maintenance:</w:t>
      </w:r>
    </w:p>
    <w:p w14:paraId="1BEB158F" w14:textId="77777777" w:rsidR="003852DC" w:rsidRPr="00E3232D" w:rsidRDefault="003852DC" w:rsidP="003852DC">
      <w:pPr>
        <w:pStyle w:val="ListParagraph"/>
        <w:numPr>
          <w:ilvl w:val="0"/>
          <w:numId w:val="103"/>
        </w:numPr>
        <w:autoSpaceDE w:val="0"/>
        <w:autoSpaceDN w:val="0"/>
        <w:adjustRightInd w:val="0"/>
        <w:jc w:val="both"/>
        <w:rPr>
          <w:rFonts w:ascii="Book Antiqua" w:hAnsi="Book Antiqua"/>
          <w:color w:val="000000"/>
        </w:rPr>
      </w:pPr>
      <w:r w:rsidRPr="00E3232D">
        <w:rPr>
          <w:rFonts w:ascii="Book Antiqua" w:hAnsi="Book Antiqua"/>
          <w:color w:val="000000"/>
        </w:rPr>
        <w:t xml:space="preserve">Comprehensive inventory including:                      </w:t>
      </w:r>
    </w:p>
    <w:p w14:paraId="24A6CA85" w14:textId="77777777" w:rsidR="003852DC" w:rsidRPr="00E3232D" w:rsidRDefault="003852DC" w:rsidP="003852DC">
      <w:pPr>
        <w:pStyle w:val="ListParagraph"/>
        <w:numPr>
          <w:ilvl w:val="0"/>
          <w:numId w:val="104"/>
        </w:numPr>
        <w:autoSpaceDE w:val="0"/>
        <w:autoSpaceDN w:val="0"/>
        <w:adjustRightInd w:val="0"/>
        <w:jc w:val="both"/>
        <w:rPr>
          <w:rFonts w:ascii="Book Antiqua" w:hAnsi="Book Antiqua"/>
          <w:color w:val="000000"/>
        </w:rPr>
      </w:pPr>
      <w:r w:rsidRPr="00E3232D">
        <w:rPr>
          <w:rFonts w:ascii="Book Antiqua" w:hAnsi="Book Antiqua"/>
          <w:color w:val="000000"/>
        </w:rPr>
        <w:t>Development of detailed historical maintenance records which show</w:t>
      </w:r>
    </w:p>
    <w:p w14:paraId="2DB4134E" w14:textId="77777777" w:rsidR="003852DC" w:rsidRPr="00E3232D"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 xml:space="preserve">                                history, current status, location, responsible staff member for oversight,</w:t>
      </w:r>
    </w:p>
    <w:p w14:paraId="705559A5" w14:textId="77777777" w:rsidR="003852DC" w:rsidRPr="00E3232D"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 xml:space="preserve">                               scheduled (Preventive) maintenance needs, online and updated supplier contact</w:t>
      </w:r>
    </w:p>
    <w:p w14:paraId="155D05A1" w14:textId="77777777" w:rsidR="003852DC" w:rsidRPr="00E3232D"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 xml:space="preserve">                               information, etc.</w:t>
      </w:r>
    </w:p>
    <w:p w14:paraId="2CADC08A" w14:textId="77777777" w:rsidR="003852DC" w:rsidRPr="00E3232D" w:rsidRDefault="003852DC" w:rsidP="003852DC">
      <w:pPr>
        <w:pStyle w:val="ListParagraph"/>
        <w:numPr>
          <w:ilvl w:val="0"/>
          <w:numId w:val="103"/>
        </w:numPr>
        <w:autoSpaceDE w:val="0"/>
        <w:autoSpaceDN w:val="0"/>
        <w:adjustRightInd w:val="0"/>
        <w:jc w:val="both"/>
        <w:rPr>
          <w:rFonts w:ascii="Book Antiqua" w:hAnsi="Book Antiqua"/>
        </w:rPr>
      </w:pPr>
      <w:r w:rsidRPr="00E3232D">
        <w:rPr>
          <w:rFonts w:ascii="Book Antiqua" w:hAnsi="Book Antiqua"/>
          <w:color w:val="000000"/>
        </w:rPr>
        <w:t>Proper cleaning, calibration and other regular scheduled maintenance work;  </w:t>
      </w:r>
    </w:p>
    <w:p w14:paraId="20C039D0" w14:textId="77777777" w:rsidR="003852DC" w:rsidRPr="00E3232D" w:rsidRDefault="003852DC" w:rsidP="003852DC">
      <w:pPr>
        <w:pStyle w:val="ListParagraph"/>
        <w:numPr>
          <w:ilvl w:val="0"/>
          <w:numId w:val="103"/>
        </w:numPr>
        <w:autoSpaceDE w:val="0"/>
        <w:autoSpaceDN w:val="0"/>
        <w:adjustRightInd w:val="0"/>
        <w:jc w:val="both"/>
        <w:rPr>
          <w:rFonts w:ascii="Book Antiqua" w:hAnsi="Book Antiqua"/>
        </w:rPr>
      </w:pPr>
      <w:r w:rsidRPr="00E3232D">
        <w:rPr>
          <w:rFonts w:ascii="Book Antiqua" w:hAnsi="Book Antiqua"/>
          <w:color w:val="000000"/>
        </w:rPr>
        <w:t xml:space="preserve">Critical / emergency equipment response program (on-call service including        </w:t>
      </w:r>
    </w:p>
    <w:p w14:paraId="0976A593" w14:textId="77777777" w:rsidR="003852DC" w:rsidRPr="00E3232D" w:rsidRDefault="003852DC" w:rsidP="003852DC">
      <w:pPr>
        <w:pStyle w:val="ListParagraph"/>
        <w:autoSpaceDE w:val="0"/>
        <w:autoSpaceDN w:val="0"/>
        <w:adjustRightInd w:val="0"/>
        <w:jc w:val="both"/>
        <w:rPr>
          <w:rFonts w:ascii="Book Antiqua" w:hAnsi="Book Antiqua"/>
        </w:rPr>
      </w:pPr>
      <w:r w:rsidRPr="00E3232D">
        <w:rPr>
          <w:rFonts w:ascii="Book Antiqua" w:hAnsi="Book Antiqua"/>
          <w:color w:val="000000"/>
        </w:rPr>
        <w:t xml:space="preserve">           emergency response procedures);   </w:t>
      </w:r>
    </w:p>
    <w:p w14:paraId="27BAB70B" w14:textId="77777777" w:rsidR="003852DC" w:rsidRPr="00E3232D" w:rsidRDefault="003852DC" w:rsidP="003852DC">
      <w:pPr>
        <w:pStyle w:val="ListParagraph"/>
        <w:numPr>
          <w:ilvl w:val="0"/>
          <w:numId w:val="106"/>
        </w:numPr>
        <w:autoSpaceDE w:val="0"/>
        <w:autoSpaceDN w:val="0"/>
        <w:adjustRightInd w:val="0"/>
        <w:jc w:val="both"/>
        <w:rPr>
          <w:rFonts w:ascii="Book Antiqua" w:hAnsi="Book Antiqua"/>
        </w:rPr>
      </w:pPr>
      <w:r w:rsidRPr="00E3232D">
        <w:rPr>
          <w:rFonts w:ascii="Book Antiqua" w:hAnsi="Book Antiqua"/>
          <w:color w:val="000000"/>
        </w:rPr>
        <w:t xml:space="preserve">Equipment repair; if an extremely specialized and sophisticated piece of </w:t>
      </w:r>
    </w:p>
    <w:p w14:paraId="410CF524" w14:textId="77777777" w:rsidR="003852DC" w:rsidRPr="00E3232D" w:rsidRDefault="003852DC" w:rsidP="003852DC">
      <w:pPr>
        <w:pStyle w:val="ListParagraph"/>
        <w:autoSpaceDE w:val="0"/>
        <w:autoSpaceDN w:val="0"/>
        <w:adjustRightInd w:val="0"/>
        <w:jc w:val="both"/>
        <w:rPr>
          <w:rFonts w:ascii="Book Antiqua" w:hAnsi="Book Antiqua"/>
        </w:rPr>
      </w:pPr>
      <w:r w:rsidRPr="00E3232D">
        <w:rPr>
          <w:rFonts w:ascii="Book Antiqua" w:hAnsi="Book Antiqua"/>
          <w:color w:val="000000"/>
        </w:rPr>
        <w:t xml:space="preserve">            equipment, if it cannot be handled by local technicians.  </w:t>
      </w:r>
    </w:p>
    <w:p w14:paraId="29253F3F" w14:textId="77777777" w:rsidR="003852DC" w:rsidRPr="00E3232D" w:rsidRDefault="003852DC" w:rsidP="003852DC">
      <w:pPr>
        <w:pStyle w:val="ListParagraph"/>
        <w:numPr>
          <w:ilvl w:val="0"/>
          <w:numId w:val="106"/>
        </w:numPr>
        <w:autoSpaceDE w:val="0"/>
        <w:autoSpaceDN w:val="0"/>
        <w:adjustRightInd w:val="0"/>
        <w:jc w:val="both"/>
        <w:rPr>
          <w:rFonts w:ascii="Book Antiqua" w:hAnsi="Book Antiqua"/>
        </w:rPr>
      </w:pPr>
      <w:r w:rsidRPr="00E3232D">
        <w:rPr>
          <w:rFonts w:ascii="Book Antiqua" w:hAnsi="Book Antiqua"/>
          <w:color w:val="000000"/>
        </w:rPr>
        <w:t xml:space="preserve">Quality assurance / quality control plan customized for a hospital or clinic;    </w:t>
      </w:r>
    </w:p>
    <w:p w14:paraId="14F80D36" w14:textId="77777777" w:rsidR="003852DC" w:rsidRPr="00E3232D" w:rsidRDefault="003852DC" w:rsidP="003852DC">
      <w:pPr>
        <w:pStyle w:val="ListParagraph"/>
        <w:numPr>
          <w:ilvl w:val="0"/>
          <w:numId w:val="106"/>
        </w:numPr>
        <w:autoSpaceDE w:val="0"/>
        <w:autoSpaceDN w:val="0"/>
        <w:adjustRightInd w:val="0"/>
        <w:jc w:val="both"/>
        <w:rPr>
          <w:rFonts w:ascii="Book Antiqua" w:hAnsi="Book Antiqua"/>
        </w:rPr>
      </w:pPr>
      <w:r w:rsidRPr="00E3232D">
        <w:rPr>
          <w:rFonts w:ascii="Book Antiqua" w:hAnsi="Book Antiqua"/>
          <w:color w:val="000000"/>
        </w:rPr>
        <w:t xml:space="preserve">Work order system: request which will be acted upon in under 24 hours </w:t>
      </w:r>
    </w:p>
    <w:p w14:paraId="0B1F8260" w14:textId="77777777" w:rsidR="003852DC" w:rsidRPr="00E3232D" w:rsidRDefault="003852DC" w:rsidP="003852DC">
      <w:pPr>
        <w:ind w:left="360"/>
        <w:jc w:val="both"/>
        <w:rPr>
          <w:rFonts w:ascii="Book Antiqua" w:hAnsi="Book Antiqua"/>
          <w:b/>
          <w:color w:val="000000"/>
        </w:rPr>
      </w:pPr>
      <w:r w:rsidRPr="00E3232D">
        <w:rPr>
          <w:rFonts w:ascii="Book Antiqua" w:hAnsi="Book Antiqua"/>
          <w:color w:val="000000"/>
        </w:rPr>
        <w:t xml:space="preserve">                 including an urgency criteria; etc</w:t>
      </w:r>
      <w:r w:rsidRPr="00E3232D">
        <w:rPr>
          <w:rFonts w:ascii="Book Antiqua" w:hAnsi="Book Antiqua"/>
          <w:b/>
          <w:color w:val="000000"/>
        </w:rPr>
        <w:t xml:space="preserve"> </w:t>
      </w:r>
    </w:p>
    <w:p w14:paraId="52D9415D" w14:textId="77777777" w:rsidR="00904AD8" w:rsidRDefault="00904AD8" w:rsidP="003852DC">
      <w:pPr>
        <w:ind w:left="360"/>
        <w:jc w:val="both"/>
        <w:rPr>
          <w:rFonts w:ascii="Book Antiqua" w:hAnsi="Book Antiqua"/>
          <w:b/>
          <w:color w:val="000000"/>
        </w:rPr>
      </w:pPr>
    </w:p>
    <w:p w14:paraId="73AD783B" w14:textId="77777777" w:rsidR="00904AD8" w:rsidRDefault="00904AD8" w:rsidP="003852DC">
      <w:pPr>
        <w:ind w:left="360"/>
        <w:jc w:val="both"/>
        <w:rPr>
          <w:rFonts w:ascii="Book Antiqua" w:hAnsi="Book Antiqua"/>
          <w:b/>
          <w:color w:val="000000"/>
        </w:rPr>
      </w:pPr>
    </w:p>
    <w:p w14:paraId="60EA5B67" w14:textId="77777777" w:rsidR="003852DC" w:rsidRPr="00E3232D" w:rsidRDefault="003852DC" w:rsidP="003852DC">
      <w:pPr>
        <w:ind w:left="360"/>
        <w:jc w:val="both"/>
        <w:rPr>
          <w:rFonts w:ascii="Book Antiqua" w:hAnsi="Book Antiqua"/>
          <w:b/>
          <w:color w:val="000000"/>
        </w:rPr>
      </w:pPr>
      <w:r w:rsidRPr="00E3232D">
        <w:rPr>
          <w:rFonts w:ascii="Book Antiqua" w:hAnsi="Book Antiqua"/>
          <w:b/>
          <w:color w:val="000000"/>
        </w:rPr>
        <w:t>III. Training</w:t>
      </w:r>
    </w:p>
    <w:p w14:paraId="19C174E2" w14:textId="77777777" w:rsidR="003852DC" w:rsidRPr="00E3232D" w:rsidRDefault="003852DC" w:rsidP="003852DC">
      <w:pPr>
        <w:ind w:left="360"/>
        <w:jc w:val="both"/>
        <w:rPr>
          <w:rFonts w:ascii="Book Antiqua" w:hAnsi="Book Antiqua"/>
          <w:color w:val="000000"/>
        </w:rPr>
      </w:pPr>
      <w:r w:rsidRPr="00E3232D">
        <w:rPr>
          <w:rFonts w:ascii="Book Antiqua" w:hAnsi="Book Antiqua"/>
          <w:color w:val="000000"/>
        </w:rPr>
        <w:t>In addition to the above-mentioned services, the envision center would also provide a general biomedical maintenance technician training for the assorted types and sizes of medical equipment under consideration. The minimum requirement of entry level would be SSSCE&amp; WASSCE, and completion of four (4) years Technical Education. Tailor-made sessions will also be provided to various institutions upon special request. The training course generally would consist of lectures and practical sessions on the following topics:</w:t>
      </w:r>
    </w:p>
    <w:p w14:paraId="2DADBC3F" w14:textId="77777777" w:rsidR="003852DC" w:rsidRPr="00E3232D" w:rsidRDefault="003852DC" w:rsidP="003852DC">
      <w:pPr>
        <w:pStyle w:val="ListParagraph"/>
        <w:numPr>
          <w:ilvl w:val="0"/>
          <w:numId w:val="107"/>
        </w:numPr>
        <w:jc w:val="both"/>
        <w:rPr>
          <w:rFonts w:ascii="Book Antiqua" w:hAnsi="Book Antiqua"/>
          <w:color w:val="000000"/>
        </w:rPr>
      </w:pPr>
      <w:r w:rsidRPr="00E3232D">
        <w:rPr>
          <w:rFonts w:ascii="Book Antiqua" w:hAnsi="Book Antiqua"/>
          <w:color w:val="000000"/>
        </w:rPr>
        <w:t>Medical equipment management systems:</w:t>
      </w:r>
    </w:p>
    <w:p w14:paraId="7D1B94ED" w14:textId="77777777" w:rsidR="003852DC" w:rsidRPr="00E3232D" w:rsidRDefault="003852DC" w:rsidP="003852DC">
      <w:pPr>
        <w:pStyle w:val="ListParagraph"/>
        <w:numPr>
          <w:ilvl w:val="0"/>
          <w:numId w:val="107"/>
        </w:numPr>
        <w:jc w:val="both"/>
        <w:rPr>
          <w:rFonts w:ascii="Book Antiqua" w:hAnsi="Book Antiqua"/>
          <w:color w:val="000000"/>
        </w:rPr>
      </w:pPr>
      <w:r w:rsidRPr="00E3232D">
        <w:rPr>
          <w:rFonts w:ascii="Book Antiqua" w:hAnsi="Book Antiqua"/>
          <w:color w:val="000000"/>
        </w:rPr>
        <w:t xml:space="preserve">  Human Physiology and Anatomy   </w:t>
      </w:r>
    </w:p>
    <w:p w14:paraId="262D3259" w14:textId="77777777" w:rsidR="003852DC" w:rsidRPr="00E3232D" w:rsidRDefault="003852DC" w:rsidP="003852DC">
      <w:pPr>
        <w:pStyle w:val="ListParagraph"/>
        <w:numPr>
          <w:ilvl w:val="0"/>
          <w:numId w:val="107"/>
        </w:numPr>
        <w:jc w:val="both"/>
        <w:rPr>
          <w:rFonts w:ascii="Book Antiqua" w:hAnsi="Book Antiqua"/>
          <w:color w:val="000000"/>
        </w:rPr>
      </w:pPr>
      <w:r w:rsidRPr="00E3232D">
        <w:rPr>
          <w:rFonts w:ascii="Book Antiqua" w:hAnsi="Book Antiqua"/>
          <w:color w:val="000000"/>
        </w:rPr>
        <w:t>Healthcare Technology Management</w:t>
      </w:r>
    </w:p>
    <w:p w14:paraId="2EF149B0" w14:textId="77777777" w:rsidR="003852DC" w:rsidRPr="00E3232D" w:rsidRDefault="003852DC" w:rsidP="003852DC">
      <w:pPr>
        <w:pStyle w:val="ListParagraph"/>
        <w:numPr>
          <w:ilvl w:val="0"/>
          <w:numId w:val="107"/>
        </w:numPr>
        <w:jc w:val="both"/>
        <w:rPr>
          <w:rFonts w:ascii="Book Antiqua" w:hAnsi="Book Antiqua"/>
          <w:color w:val="000000"/>
        </w:rPr>
      </w:pPr>
      <w:r w:rsidRPr="00E3232D">
        <w:rPr>
          <w:rFonts w:ascii="Book Antiqua" w:hAnsi="Book Antiqua"/>
          <w:color w:val="000000"/>
        </w:rPr>
        <w:t>Technical drawing</w:t>
      </w:r>
    </w:p>
    <w:p w14:paraId="79A4B81B" w14:textId="77777777" w:rsidR="003852DC" w:rsidRPr="00E3232D" w:rsidRDefault="003852DC" w:rsidP="003852DC">
      <w:pPr>
        <w:pStyle w:val="ListParagraph"/>
        <w:numPr>
          <w:ilvl w:val="0"/>
          <w:numId w:val="107"/>
        </w:numPr>
        <w:jc w:val="both"/>
        <w:rPr>
          <w:rFonts w:ascii="Book Antiqua" w:hAnsi="Book Antiqua"/>
          <w:color w:val="000000"/>
        </w:rPr>
      </w:pPr>
      <w:r w:rsidRPr="00E3232D">
        <w:rPr>
          <w:rFonts w:ascii="Book Antiqua" w:hAnsi="Book Antiqua"/>
          <w:color w:val="000000"/>
        </w:rPr>
        <w:t>Electronics and electro-techniques</w:t>
      </w:r>
    </w:p>
    <w:p w14:paraId="3F37D57A" w14:textId="77777777" w:rsidR="003852DC" w:rsidRPr="00E3232D" w:rsidRDefault="003852DC" w:rsidP="003852DC">
      <w:pPr>
        <w:pStyle w:val="ListParagraph"/>
        <w:numPr>
          <w:ilvl w:val="0"/>
          <w:numId w:val="107"/>
        </w:numPr>
        <w:jc w:val="both"/>
        <w:rPr>
          <w:rFonts w:ascii="Book Antiqua" w:hAnsi="Book Antiqua"/>
          <w:color w:val="000000"/>
        </w:rPr>
      </w:pPr>
      <w:r w:rsidRPr="00E3232D">
        <w:rPr>
          <w:rFonts w:ascii="Book Antiqua" w:hAnsi="Book Antiqua"/>
          <w:color w:val="000000"/>
        </w:rPr>
        <w:t>Mechanical services (hospital plant)</w:t>
      </w:r>
    </w:p>
    <w:p w14:paraId="5C0571ED" w14:textId="77777777" w:rsidR="003852DC" w:rsidRPr="00E3232D" w:rsidRDefault="003852DC" w:rsidP="003852DC">
      <w:pPr>
        <w:pStyle w:val="ListParagraph"/>
        <w:numPr>
          <w:ilvl w:val="0"/>
          <w:numId w:val="107"/>
        </w:numPr>
        <w:jc w:val="both"/>
        <w:rPr>
          <w:rFonts w:ascii="Book Antiqua" w:hAnsi="Book Antiqua"/>
          <w:color w:val="000000"/>
        </w:rPr>
      </w:pPr>
      <w:r w:rsidRPr="00E3232D">
        <w:rPr>
          <w:rFonts w:ascii="Book Antiqua" w:hAnsi="Book Antiqua"/>
          <w:color w:val="000000"/>
        </w:rPr>
        <w:t>Medical Equipment(Assorted)</w:t>
      </w:r>
    </w:p>
    <w:p w14:paraId="57F06B4F" w14:textId="77777777" w:rsidR="003852DC" w:rsidRPr="00E3232D" w:rsidRDefault="003852DC" w:rsidP="003852DC">
      <w:pPr>
        <w:pStyle w:val="ListParagraph"/>
        <w:numPr>
          <w:ilvl w:val="0"/>
          <w:numId w:val="107"/>
        </w:numPr>
        <w:jc w:val="both"/>
        <w:rPr>
          <w:rFonts w:ascii="Book Antiqua" w:hAnsi="Book Antiqua"/>
          <w:color w:val="000000"/>
        </w:rPr>
      </w:pPr>
      <w:r w:rsidRPr="00E3232D">
        <w:rPr>
          <w:rFonts w:ascii="Book Antiqua" w:hAnsi="Book Antiqua"/>
          <w:color w:val="000000"/>
        </w:rPr>
        <w:t>Hospital fieldwork</w:t>
      </w:r>
    </w:p>
    <w:p w14:paraId="3D51AA37" w14:textId="77777777" w:rsidR="003852DC" w:rsidRDefault="003852DC" w:rsidP="003852DC">
      <w:pPr>
        <w:autoSpaceDE w:val="0"/>
        <w:autoSpaceDN w:val="0"/>
        <w:adjustRightInd w:val="0"/>
        <w:jc w:val="both"/>
        <w:rPr>
          <w:rFonts w:ascii="Book Antiqua" w:hAnsi="Book Antiqua"/>
        </w:rPr>
      </w:pPr>
    </w:p>
    <w:p w14:paraId="00FBC4C5" w14:textId="77777777" w:rsidR="003852DC" w:rsidRPr="004522FA" w:rsidRDefault="003852DC" w:rsidP="003852DC">
      <w:pPr>
        <w:autoSpaceDE w:val="0"/>
        <w:autoSpaceDN w:val="0"/>
        <w:adjustRightInd w:val="0"/>
        <w:jc w:val="both"/>
        <w:rPr>
          <w:rFonts w:ascii="Book Antiqua" w:hAnsi="Book Antiqua"/>
          <w:sz w:val="26"/>
          <w:szCs w:val="26"/>
        </w:rPr>
      </w:pPr>
      <w:r w:rsidRPr="004522FA">
        <w:rPr>
          <w:rFonts w:ascii="Book Antiqua" w:hAnsi="Book Antiqua"/>
          <w:sz w:val="26"/>
          <w:szCs w:val="26"/>
        </w:rPr>
        <w:t xml:space="preserve"> </w:t>
      </w:r>
      <w:r w:rsidRPr="00E4444C">
        <w:rPr>
          <w:rFonts w:ascii="Book Antiqua" w:hAnsi="Book Antiqua"/>
          <w:szCs w:val="26"/>
        </w:rPr>
        <w:t>2.3</w:t>
      </w:r>
      <w:r w:rsidRPr="00E4444C">
        <w:rPr>
          <w:rFonts w:ascii="Book Antiqua" w:hAnsi="Book Antiqua"/>
          <w:b/>
          <w:szCs w:val="26"/>
        </w:rPr>
        <w:t>.</w:t>
      </w:r>
      <w:r w:rsidRPr="00E4444C">
        <w:rPr>
          <w:rFonts w:ascii="Book Antiqua" w:hAnsi="Book Antiqua"/>
          <w:szCs w:val="26"/>
        </w:rPr>
        <w:t>0</w:t>
      </w:r>
      <w:r w:rsidRPr="00E4444C">
        <w:rPr>
          <w:rFonts w:ascii="Book Antiqua" w:hAnsi="Book Antiqua"/>
          <w:b/>
          <w:szCs w:val="26"/>
        </w:rPr>
        <w:t>. Engineering</w:t>
      </w:r>
    </w:p>
    <w:p w14:paraId="55B8634D" w14:textId="77777777" w:rsidR="003852DC" w:rsidRPr="00E3232D"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 xml:space="preserve">2.3.1. </w:t>
      </w:r>
      <w:r w:rsidRPr="00E3232D">
        <w:rPr>
          <w:rFonts w:ascii="Book Antiqua" w:hAnsi="Book Antiqua"/>
          <w:b/>
          <w:color w:val="000000"/>
        </w:rPr>
        <w:t>Machinery and Equipment</w:t>
      </w:r>
      <w:r w:rsidRPr="00E3232D">
        <w:rPr>
          <w:rFonts w:ascii="Book Antiqua" w:hAnsi="Book Antiqua"/>
          <w:color w:val="000000"/>
        </w:rPr>
        <w:t xml:space="preserve">  </w:t>
      </w:r>
    </w:p>
    <w:p w14:paraId="1DC6617C" w14:textId="77777777" w:rsidR="003852DC"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The list of machinery, equipment and other facilities required for the provision of medical equipment maintenance and operation training services is shown below (see Table 2.3.1).</w:t>
      </w:r>
    </w:p>
    <w:p w14:paraId="5E968F30" w14:textId="77777777" w:rsidR="003852DC" w:rsidRPr="00463088" w:rsidRDefault="003852DC" w:rsidP="003852DC">
      <w:pPr>
        <w:autoSpaceDE w:val="0"/>
        <w:autoSpaceDN w:val="0"/>
        <w:adjustRightInd w:val="0"/>
        <w:spacing w:after="0" w:line="240" w:lineRule="auto"/>
        <w:jc w:val="both"/>
        <w:rPr>
          <w:rFonts w:ascii="Book Antiqua" w:hAnsi="Book Antiqua"/>
          <w:b/>
          <w:color w:val="000000"/>
        </w:rPr>
      </w:pPr>
      <w:r w:rsidRPr="00463088">
        <w:rPr>
          <w:rFonts w:ascii="Book Antiqua" w:hAnsi="Book Antiqua"/>
          <w:b/>
          <w:color w:val="000000"/>
        </w:rPr>
        <w:t xml:space="preserve">Table 2.3.1 Machinery, Equipemnt &amp; </w:t>
      </w:r>
      <w:r>
        <w:rPr>
          <w:rFonts w:ascii="Book Antiqua" w:hAnsi="Book Antiqua"/>
          <w:b/>
          <w:color w:val="000000"/>
        </w:rPr>
        <w:t xml:space="preserve"> </w:t>
      </w:r>
      <w:r w:rsidRPr="00463088">
        <w:rPr>
          <w:rFonts w:ascii="Book Antiqua" w:hAnsi="Book Antiqua"/>
          <w:b/>
          <w:color w:val="000000"/>
        </w:rPr>
        <w:t xml:space="preserve">Tool Requiement </w:t>
      </w:r>
    </w:p>
    <w:tbl>
      <w:tblPr>
        <w:tblStyle w:val="LightShading4"/>
        <w:tblpPr w:leftFromText="180" w:rightFromText="180" w:vertAnchor="text" w:horzAnchor="margin" w:tblpY="914"/>
        <w:tblW w:w="0" w:type="auto"/>
        <w:tblLook w:val="04A0" w:firstRow="1" w:lastRow="0" w:firstColumn="1" w:lastColumn="0" w:noHBand="0" w:noVBand="1"/>
      </w:tblPr>
      <w:tblGrid>
        <w:gridCol w:w="3258"/>
        <w:gridCol w:w="1084"/>
      </w:tblGrid>
      <w:tr w:rsidR="003852DC" w:rsidRPr="00E8758F" w14:paraId="4654F160" w14:textId="77777777" w:rsidTr="00EB2A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510006AB" w14:textId="77777777" w:rsidR="003852DC" w:rsidRPr="00463088" w:rsidRDefault="00850DC5" w:rsidP="00EB2A77">
            <w:pPr>
              <w:autoSpaceDE w:val="0"/>
              <w:autoSpaceDN w:val="0"/>
              <w:adjustRightInd w:val="0"/>
              <w:spacing w:after="0" w:line="240" w:lineRule="auto"/>
              <w:rPr>
                <w:rFonts w:ascii="Book Antiqua" w:hAnsi="Book Antiqua"/>
                <w:color w:val="000000"/>
              </w:rPr>
            </w:pPr>
            <w:r>
              <w:rPr>
                <w:rFonts w:ascii="Book Antiqua" w:hAnsi="Book Antiqua"/>
                <w:noProof/>
                <w:color w:val="000000"/>
              </w:rPr>
              <w:pict w14:anchorId="4F4C25E7">
                <v:shape id="_x0000_s73808" type="#_x0000_t32" style="position:absolute;margin-left:16.85pt;margin-top:14.35pt;width:0;height:3.7pt;z-index:251899392" o:connectortype="straight"/>
              </w:pict>
            </w:r>
            <w:r w:rsidR="003852DC" w:rsidRPr="00463088">
              <w:rPr>
                <w:rFonts w:ascii="Book Antiqua" w:hAnsi="Book Antiqua"/>
                <w:color w:val="000000"/>
              </w:rPr>
              <w:t xml:space="preserve">Description                                     </w:t>
            </w:r>
          </w:p>
        </w:tc>
        <w:tc>
          <w:tcPr>
            <w:tcW w:w="1084" w:type="dxa"/>
            <w:shd w:val="clear" w:color="auto" w:fill="auto"/>
          </w:tcPr>
          <w:p w14:paraId="090CACFC" w14:textId="77777777" w:rsidR="003852DC" w:rsidRPr="00463088" w:rsidRDefault="003852DC" w:rsidP="00EB2A77">
            <w:pPr>
              <w:tabs>
                <w:tab w:val="left" w:pos="7088"/>
              </w:tabs>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000000"/>
              </w:rPr>
            </w:pPr>
            <w:r w:rsidRPr="00463088">
              <w:rPr>
                <w:rFonts w:ascii="Book Antiqua" w:hAnsi="Book Antiqua"/>
                <w:color w:val="000000"/>
              </w:rPr>
              <w:t>Unit of Measure</w:t>
            </w:r>
          </w:p>
        </w:tc>
      </w:tr>
      <w:tr w:rsidR="003852DC" w:rsidRPr="00E8758F" w14:paraId="6115C641"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43BCC1B2" w14:textId="77777777" w:rsidR="003852DC" w:rsidRPr="00463088" w:rsidRDefault="003852DC" w:rsidP="00EB2A77">
            <w:pPr>
              <w:tabs>
                <w:tab w:val="left" w:pos="7088"/>
              </w:tabs>
              <w:autoSpaceDE w:val="0"/>
              <w:autoSpaceDN w:val="0"/>
              <w:adjustRightInd w:val="0"/>
              <w:spacing w:after="0" w:line="240" w:lineRule="auto"/>
              <w:rPr>
                <w:rFonts w:ascii="Book Antiqua" w:hAnsi="Book Antiqua"/>
                <w:b w:val="0"/>
                <w:color w:val="000000"/>
              </w:rPr>
            </w:pPr>
            <w:r w:rsidRPr="00463088">
              <w:rPr>
                <w:rFonts w:ascii="Book Antiqua" w:hAnsi="Book Antiqua"/>
                <w:b w:val="0"/>
                <w:color w:val="000000"/>
              </w:rPr>
              <w:t xml:space="preserve"> Laboratory Equipment, assorted                               </w:t>
            </w:r>
          </w:p>
        </w:tc>
        <w:tc>
          <w:tcPr>
            <w:tcW w:w="1084" w:type="dxa"/>
            <w:shd w:val="clear" w:color="auto" w:fill="auto"/>
          </w:tcPr>
          <w:p w14:paraId="3B5FB0FE" w14:textId="77777777" w:rsidR="003852DC" w:rsidRPr="00E8758F" w:rsidRDefault="003852DC" w:rsidP="00EB2A77">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8758F">
              <w:rPr>
                <w:rFonts w:ascii="Book Antiqua" w:hAnsi="Book Antiqua"/>
                <w:color w:val="000000"/>
              </w:rPr>
              <w:t>Lot</w:t>
            </w:r>
          </w:p>
        </w:tc>
      </w:tr>
      <w:tr w:rsidR="003852DC" w:rsidRPr="00E8758F" w14:paraId="05E92070"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1B639E7B" w14:textId="77777777" w:rsidR="003852DC" w:rsidRPr="00463088" w:rsidRDefault="003852DC" w:rsidP="00EB2A77">
            <w:pPr>
              <w:tabs>
                <w:tab w:val="left" w:pos="7088"/>
              </w:tabs>
              <w:autoSpaceDE w:val="0"/>
              <w:autoSpaceDN w:val="0"/>
              <w:adjustRightInd w:val="0"/>
              <w:spacing w:after="0" w:line="240" w:lineRule="auto"/>
              <w:rPr>
                <w:rFonts w:ascii="Book Antiqua" w:hAnsi="Book Antiqua"/>
                <w:b w:val="0"/>
                <w:color w:val="000000"/>
              </w:rPr>
            </w:pPr>
            <w:r w:rsidRPr="00463088">
              <w:rPr>
                <w:rFonts w:ascii="Book Antiqua" w:hAnsi="Book Antiqua"/>
                <w:b w:val="0"/>
                <w:color w:val="000000"/>
              </w:rPr>
              <w:t xml:space="preserve"> Mechanical work bench with vice                             </w:t>
            </w:r>
          </w:p>
        </w:tc>
        <w:tc>
          <w:tcPr>
            <w:tcW w:w="1084" w:type="dxa"/>
            <w:shd w:val="clear" w:color="auto" w:fill="auto"/>
          </w:tcPr>
          <w:p w14:paraId="57C3999E" w14:textId="77777777" w:rsidR="003852DC" w:rsidRPr="00E8758F" w:rsidRDefault="003852DC" w:rsidP="00EB2A77">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rPr>
            </w:pPr>
            <w:r w:rsidRPr="00E8758F">
              <w:rPr>
                <w:rFonts w:ascii="Book Antiqua" w:hAnsi="Book Antiqua"/>
                <w:color w:val="000000"/>
              </w:rPr>
              <w:t>set</w:t>
            </w:r>
          </w:p>
        </w:tc>
      </w:tr>
      <w:tr w:rsidR="003852DC" w:rsidRPr="00E8758F" w14:paraId="6CC2FC25"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5B8E1A97" w14:textId="77777777" w:rsidR="003852DC" w:rsidRPr="00463088" w:rsidRDefault="003852DC" w:rsidP="00EB2A77">
            <w:pPr>
              <w:autoSpaceDE w:val="0"/>
              <w:autoSpaceDN w:val="0"/>
              <w:adjustRightInd w:val="0"/>
              <w:spacing w:after="0" w:line="240" w:lineRule="auto"/>
              <w:rPr>
                <w:rFonts w:ascii="Book Antiqua" w:hAnsi="Book Antiqua"/>
                <w:b w:val="0"/>
                <w:color w:val="000000"/>
              </w:rPr>
            </w:pPr>
            <w:r w:rsidRPr="00463088">
              <w:rPr>
                <w:rFonts w:ascii="Book Antiqua" w:hAnsi="Book Antiqua"/>
                <w:b w:val="0"/>
                <w:color w:val="000000"/>
              </w:rPr>
              <w:t xml:space="preserve"> Electrical/electronic work bench with Regulated AC and DC power supply out let’s </w:t>
            </w:r>
            <w:r w:rsidRPr="00463088">
              <w:rPr>
                <w:rFonts w:ascii="Book Antiqua" w:hAnsi="Book Antiqua"/>
                <w:b w:val="0"/>
                <w:color w:val="000000"/>
              </w:rPr>
              <w:tab/>
              <w:t xml:space="preserve">      </w:t>
            </w:r>
          </w:p>
        </w:tc>
        <w:tc>
          <w:tcPr>
            <w:tcW w:w="1084" w:type="dxa"/>
            <w:shd w:val="clear" w:color="auto" w:fill="auto"/>
          </w:tcPr>
          <w:p w14:paraId="759EEBA4" w14:textId="77777777" w:rsidR="003852DC" w:rsidRPr="00E8758F" w:rsidRDefault="003852DC" w:rsidP="00EB2A77">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8758F">
              <w:rPr>
                <w:rFonts w:ascii="Book Antiqua" w:hAnsi="Book Antiqua"/>
                <w:color w:val="000000"/>
              </w:rPr>
              <w:t>set</w:t>
            </w:r>
          </w:p>
        </w:tc>
      </w:tr>
      <w:tr w:rsidR="003852DC" w:rsidRPr="00E8758F" w14:paraId="5AC642B9"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0F50042A" w14:textId="77777777" w:rsidR="003852DC" w:rsidRPr="00463088" w:rsidRDefault="003852DC" w:rsidP="00EB2A77">
            <w:pPr>
              <w:tabs>
                <w:tab w:val="left" w:pos="7200"/>
              </w:tabs>
              <w:autoSpaceDE w:val="0"/>
              <w:autoSpaceDN w:val="0"/>
              <w:adjustRightInd w:val="0"/>
              <w:spacing w:after="0" w:line="240" w:lineRule="auto"/>
              <w:rPr>
                <w:rFonts w:ascii="Book Antiqua" w:hAnsi="Book Antiqua"/>
                <w:b w:val="0"/>
              </w:rPr>
            </w:pPr>
            <w:r w:rsidRPr="00463088">
              <w:rPr>
                <w:rFonts w:ascii="Book Antiqua" w:hAnsi="Book Antiqua"/>
                <w:b w:val="0"/>
                <w:color w:val="000000"/>
              </w:rPr>
              <w:t xml:space="preserve">Vacuum cleaners and accessories (Assorted)            </w:t>
            </w:r>
          </w:p>
        </w:tc>
        <w:tc>
          <w:tcPr>
            <w:tcW w:w="1084" w:type="dxa"/>
            <w:shd w:val="clear" w:color="auto" w:fill="auto"/>
          </w:tcPr>
          <w:p w14:paraId="0BBC8851" w14:textId="77777777" w:rsidR="003852DC" w:rsidRDefault="003852DC" w:rsidP="00EB2A77">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355F46">
              <w:rPr>
                <w:rFonts w:ascii="Book Antiqua" w:hAnsi="Book Antiqua"/>
                <w:color w:val="000000"/>
              </w:rPr>
              <w:t>set</w:t>
            </w:r>
          </w:p>
        </w:tc>
      </w:tr>
      <w:tr w:rsidR="003852DC" w:rsidRPr="00E8758F" w14:paraId="51C9E874"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02FA8F00" w14:textId="77777777" w:rsidR="003852DC" w:rsidRPr="00463088" w:rsidRDefault="003852DC" w:rsidP="00EB2A77">
            <w:pPr>
              <w:autoSpaceDE w:val="0"/>
              <w:autoSpaceDN w:val="0"/>
              <w:adjustRightInd w:val="0"/>
              <w:spacing w:after="0" w:line="240" w:lineRule="auto"/>
              <w:rPr>
                <w:rFonts w:ascii="Book Antiqua" w:hAnsi="Book Antiqua"/>
                <w:b w:val="0"/>
                <w:color w:val="000000"/>
              </w:rPr>
            </w:pPr>
            <w:r w:rsidRPr="00463088">
              <w:rPr>
                <w:rFonts w:ascii="Book Antiqua" w:hAnsi="Book Antiqua"/>
                <w:b w:val="0"/>
                <w:color w:val="000000"/>
              </w:rPr>
              <w:t>Mobile diesel generator with canopy attachment and control system 11</w:t>
            </w:r>
          </w:p>
        </w:tc>
        <w:tc>
          <w:tcPr>
            <w:tcW w:w="1084" w:type="dxa"/>
            <w:shd w:val="clear" w:color="auto" w:fill="auto"/>
          </w:tcPr>
          <w:p w14:paraId="614C93AB" w14:textId="77777777" w:rsidR="003852DC" w:rsidRPr="00E8758F" w:rsidRDefault="003852DC" w:rsidP="00EB2A77">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8758F">
              <w:rPr>
                <w:rFonts w:ascii="Book Antiqua" w:hAnsi="Book Antiqua"/>
                <w:color w:val="000000"/>
              </w:rPr>
              <w:t>KW</w:t>
            </w:r>
          </w:p>
        </w:tc>
      </w:tr>
      <w:tr w:rsidR="003852DC" w:rsidRPr="00E8758F" w14:paraId="21E1211E"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49E7991C" w14:textId="77777777" w:rsidR="003852DC" w:rsidRPr="00463088" w:rsidRDefault="003852DC" w:rsidP="00EB2A77">
            <w:pPr>
              <w:autoSpaceDE w:val="0"/>
              <w:autoSpaceDN w:val="0"/>
              <w:adjustRightInd w:val="0"/>
              <w:spacing w:after="0" w:line="240" w:lineRule="auto"/>
              <w:rPr>
                <w:rFonts w:ascii="Book Antiqua" w:hAnsi="Book Antiqua"/>
                <w:b w:val="0"/>
                <w:color w:val="000000"/>
              </w:rPr>
            </w:pPr>
            <w:r w:rsidRPr="00463088">
              <w:rPr>
                <w:rFonts w:ascii="Book Antiqua" w:hAnsi="Book Antiqua"/>
                <w:b w:val="0"/>
                <w:color w:val="000000"/>
              </w:rPr>
              <w:t xml:space="preserve">Mobile grinding machine with accessories              </w:t>
            </w:r>
          </w:p>
        </w:tc>
        <w:tc>
          <w:tcPr>
            <w:tcW w:w="1084" w:type="dxa"/>
            <w:shd w:val="clear" w:color="auto" w:fill="auto"/>
          </w:tcPr>
          <w:p w14:paraId="54E9A162" w14:textId="77777777" w:rsidR="003852DC" w:rsidRDefault="003852DC" w:rsidP="00EB2A77">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355F46">
              <w:rPr>
                <w:rFonts w:ascii="Book Antiqua" w:hAnsi="Book Antiqua"/>
                <w:color w:val="000000"/>
              </w:rPr>
              <w:t>set</w:t>
            </w:r>
          </w:p>
        </w:tc>
      </w:tr>
      <w:tr w:rsidR="003852DC" w:rsidRPr="00E8758F" w14:paraId="7DDD2BFD"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54C040AF" w14:textId="77777777" w:rsidR="003852DC" w:rsidRPr="00463088" w:rsidRDefault="003852DC" w:rsidP="00EB2A77">
            <w:pPr>
              <w:autoSpaceDE w:val="0"/>
              <w:autoSpaceDN w:val="0"/>
              <w:adjustRightInd w:val="0"/>
              <w:spacing w:after="0" w:line="240" w:lineRule="auto"/>
              <w:rPr>
                <w:rFonts w:ascii="Book Antiqua" w:hAnsi="Book Antiqua"/>
                <w:b w:val="0"/>
                <w:color w:val="000000"/>
              </w:rPr>
            </w:pPr>
            <w:r w:rsidRPr="00463088">
              <w:rPr>
                <w:rFonts w:ascii="Book Antiqua" w:hAnsi="Book Antiqua"/>
                <w:b w:val="0"/>
                <w:color w:val="000000"/>
              </w:rPr>
              <w:t xml:space="preserve">Mobile drilling machine with accessories                 </w:t>
            </w:r>
          </w:p>
        </w:tc>
        <w:tc>
          <w:tcPr>
            <w:tcW w:w="1084" w:type="dxa"/>
            <w:shd w:val="clear" w:color="auto" w:fill="auto"/>
          </w:tcPr>
          <w:p w14:paraId="6E7E49AC" w14:textId="77777777" w:rsidR="003852DC" w:rsidRDefault="003852DC" w:rsidP="00EB2A77">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D83D14">
              <w:rPr>
                <w:rFonts w:ascii="Book Antiqua" w:hAnsi="Book Antiqua"/>
                <w:color w:val="000000"/>
              </w:rPr>
              <w:t>set</w:t>
            </w:r>
          </w:p>
        </w:tc>
      </w:tr>
      <w:tr w:rsidR="003852DC" w:rsidRPr="00E8758F" w14:paraId="5D9B9023"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28ED8751"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Mobile arc welding transformer                                </w:t>
            </w:r>
          </w:p>
        </w:tc>
        <w:tc>
          <w:tcPr>
            <w:tcW w:w="1084" w:type="dxa"/>
            <w:shd w:val="clear" w:color="auto" w:fill="auto"/>
          </w:tcPr>
          <w:p w14:paraId="3B6CF263" w14:textId="77777777" w:rsidR="003852DC" w:rsidRDefault="003852DC" w:rsidP="00EB2A77">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355F46">
              <w:rPr>
                <w:rFonts w:ascii="Book Antiqua" w:hAnsi="Book Antiqua"/>
                <w:color w:val="000000"/>
              </w:rPr>
              <w:t>set</w:t>
            </w:r>
          </w:p>
        </w:tc>
      </w:tr>
      <w:tr w:rsidR="003852DC" w:rsidRPr="00E8758F" w14:paraId="7DB5C277"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33F57631"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Mobile gas welding machine                                    </w:t>
            </w:r>
          </w:p>
        </w:tc>
        <w:tc>
          <w:tcPr>
            <w:tcW w:w="1084" w:type="dxa"/>
            <w:shd w:val="clear" w:color="auto" w:fill="auto"/>
          </w:tcPr>
          <w:p w14:paraId="6AC409B8" w14:textId="77777777" w:rsidR="003852DC" w:rsidRDefault="003852DC" w:rsidP="00EB2A77">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D83D14">
              <w:rPr>
                <w:rFonts w:ascii="Book Antiqua" w:hAnsi="Book Antiqua"/>
                <w:color w:val="000000"/>
              </w:rPr>
              <w:t>set</w:t>
            </w:r>
          </w:p>
        </w:tc>
      </w:tr>
      <w:tr w:rsidR="003852DC" w:rsidRPr="00E8758F" w14:paraId="4793592E"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40F23B47"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Mechanic tool kit with metallic box                          </w:t>
            </w:r>
          </w:p>
        </w:tc>
        <w:tc>
          <w:tcPr>
            <w:tcW w:w="1084" w:type="dxa"/>
            <w:shd w:val="clear" w:color="auto" w:fill="auto"/>
          </w:tcPr>
          <w:p w14:paraId="27D8E9F0" w14:textId="77777777" w:rsidR="003852DC" w:rsidRDefault="003852DC" w:rsidP="00EB2A77">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355F46">
              <w:rPr>
                <w:rFonts w:ascii="Book Antiqua" w:hAnsi="Book Antiqua"/>
                <w:color w:val="000000"/>
              </w:rPr>
              <w:t>set</w:t>
            </w:r>
          </w:p>
        </w:tc>
      </w:tr>
      <w:tr w:rsidR="003852DC" w:rsidRPr="00E8758F" w14:paraId="164463AD"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7AD10E01"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Electrical/electronic measuring instruments          </w:t>
            </w:r>
          </w:p>
        </w:tc>
        <w:tc>
          <w:tcPr>
            <w:tcW w:w="1084" w:type="dxa"/>
            <w:shd w:val="clear" w:color="auto" w:fill="auto"/>
          </w:tcPr>
          <w:p w14:paraId="41132377" w14:textId="77777777" w:rsidR="003852DC" w:rsidRDefault="003852DC" w:rsidP="00EB2A77">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D83D14">
              <w:rPr>
                <w:rFonts w:ascii="Book Antiqua" w:hAnsi="Book Antiqua"/>
                <w:color w:val="000000"/>
              </w:rPr>
              <w:t>set</w:t>
            </w:r>
          </w:p>
        </w:tc>
      </w:tr>
      <w:tr w:rsidR="003852DC" w:rsidRPr="00E8758F" w14:paraId="448D4377"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58B09659"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Retractable aluminum ladder (12m) </w:t>
            </w:r>
          </w:p>
        </w:tc>
        <w:tc>
          <w:tcPr>
            <w:tcW w:w="1084" w:type="dxa"/>
            <w:shd w:val="clear" w:color="auto" w:fill="auto"/>
          </w:tcPr>
          <w:p w14:paraId="0984BE82" w14:textId="77777777" w:rsidR="003852DC" w:rsidRPr="00E8758F" w:rsidRDefault="003852DC" w:rsidP="00EB2A77">
            <w:pPr>
              <w:tabs>
                <w:tab w:val="left" w:pos="273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pcs</w:t>
            </w:r>
          </w:p>
        </w:tc>
      </w:tr>
      <w:tr w:rsidR="003852DC" w:rsidRPr="00E8758F" w14:paraId="68319B35"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7A61F595"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Technical drawing kit </w:t>
            </w:r>
            <w:r w:rsidRPr="00463088">
              <w:rPr>
                <w:rFonts w:ascii="Book Antiqua" w:hAnsi="Book Antiqua"/>
                <w:b w:val="0"/>
              </w:rPr>
              <w:tab/>
            </w:r>
            <w:r w:rsidRPr="00463088">
              <w:rPr>
                <w:rFonts w:ascii="Book Antiqua" w:hAnsi="Book Antiqua"/>
                <w:b w:val="0"/>
              </w:rPr>
              <w:tab/>
              <w:t xml:space="preserve">         </w:t>
            </w:r>
          </w:p>
        </w:tc>
        <w:tc>
          <w:tcPr>
            <w:tcW w:w="1084" w:type="dxa"/>
            <w:shd w:val="clear" w:color="auto" w:fill="auto"/>
          </w:tcPr>
          <w:p w14:paraId="1B174EAA" w14:textId="77777777" w:rsidR="003852DC" w:rsidRPr="00E8758F" w:rsidRDefault="003852DC" w:rsidP="00EB2A77">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Pr>
                <w:rFonts w:ascii="Book Antiqua" w:hAnsi="Book Antiqua"/>
              </w:rPr>
              <w:t>Lot</w:t>
            </w:r>
          </w:p>
        </w:tc>
      </w:tr>
      <w:tr w:rsidR="003852DC" w:rsidRPr="00E8758F" w14:paraId="2783ECA9"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521C3D15"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Plumber tool kit with metallic box     </w:t>
            </w:r>
            <w:r w:rsidRPr="00463088">
              <w:rPr>
                <w:rFonts w:ascii="Book Antiqua" w:hAnsi="Book Antiqua"/>
                <w:b w:val="0"/>
              </w:rPr>
              <w:tab/>
            </w:r>
          </w:p>
        </w:tc>
        <w:tc>
          <w:tcPr>
            <w:tcW w:w="1084" w:type="dxa"/>
            <w:shd w:val="clear" w:color="auto" w:fill="auto"/>
          </w:tcPr>
          <w:p w14:paraId="20603FFF" w14:textId="77777777" w:rsidR="003852DC" w:rsidRDefault="003852DC" w:rsidP="00EB2A77">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E023AF">
              <w:rPr>
                <w:rFonts w:ascii="Book Antiqua" w:hAnsi="Book Antiqua"/>
                <w:color w:val="000000"/>
              </w:rPr>
              <w:t>set</w:t>
            </w:r>
          </w:p>
        </w:tc>
      </w:tr>
      <w:tr w:rsidR="003852DC" w:rsidRPr="00E8758F" w14:paraId="6B65CA87"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0B1ACCC4"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Refrigerator maintenance and repair kit                 </w:t>
            </w:r>
          </w:p>
        </w:tc>
        <w:tc>
          <w:tcPr>
            <w:tcW w:w="1084" w:type="dxa"/>
            <w:shd w:val="clear" w:color="auto" w:fill="auto"/>
          </w:tcPr>
          <w:p w14:paraId="1E2E259D" w14:textId="77777777" w:rsidR="003852DC" w:rsidRPr="00E8758F" w:rsidRDefault="003852DC" w:rsidP="00EB2A77">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8758F">
              <w:rPr>
                <w:rFonts w:ascii="Book Antiqua" w:hAnsi="Book Antiqua"/>
                <w:color w:val="000000"/>
              </w:rPr>
              <w:t>set</w:t>
            </w:r>
          </w:p>
        </w:tc>
      </w:tr>
      <w:tr w:rsidR="003852DC" w:rsidRPr="00E8758F" w14:paraId="338AA11B"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3B179CB9"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Soldering gun       </w:t>
            </w:r>
            <w:r w:rsidRPr="00463088">
              <w:rPr>
                <w:rFonts w:ascii="Book Antiqua" w:hAnsi="Book Antiqua"/>
                <w:b w:val="0"/>
              </w:rPr>
              <w:tab/>
            </w:r>
            <w:r w:rsidRPr="00463088">
              <w:rPr>
                <w:rFonts w:ascii="Book Antiqua" w:hAnsi="Book Antiqua"/>
                <w:b w:val="0"/>
              </w:rPr>
              <w:tab/>
              <w:t xml:space="preserve">         </w:t>
            </w:r>
          </w:p>
        </w:tc>
        <w:tc>
          <w:tcPr>
            <w:tcW w:w="1084" w:type="dxa"/>
            <w:shd w:val="clear" w:color="auto" w:fill="auto"/>
          </w:tcPr>
          <w:p w14:paraId="13E42C78" w14:textId="77777777" w:rsidR="003852DC" w:rsidRDefault="003852DC" w:rsidP="00EB2A77">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E023AF">
              <w:rPr>
                <w:rFonts w:ascii="Book Antiqua" w:hAnsi="Book Antiqua"/>
                <w:color w:val="000000"/>
              </w:rPr>
              <w:t>set</w:t>
            </w:r>
          </w:p>
        </w:tc>
      </w:tr>
      <w:tr w:rsidR="003852DC" w:rsidRPr="00E8758F" w14:paraId="4EB8F7FC"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68535469" w14:textId="77777777" w:rsidR="003852DC" w:rsidRPr="00463088" w:rsidRDefault="003852DC" w:rsidP="00EB2A77">
            <w:pPr>
              <w:tabs>
                <w:tab w:val="left" w:pos="2730"/>
              </w:tabs>
              <w:spacing w:after="0" w:line="240" w:lineRule="auto"/>
              <w:rPr>
                <w:rFonts w:ascii="Book Antiqua" w:hAnsi="Book Antiqua"/>
                <w:b w:val="0"/>
              </w:rPr>
            </w:pPr>
            <w:r w:rsidRPr="00463088">
              <w:rPr>
                <w:rFonts w:ascii="Book Antiqua" w:hAnsi="Book Antiqua"/>
                <w:b w:val="0"/>
              </w:rPr>
              <w:t xml:space="preserve"> Lead sucker</w:t>
            </w:r>
            <w:r w:rsidRPr="00463088">
              <w:rPr>
                <w:rFonts w:ascii="Book Antiqua" w:hAnsi="Book Antiqua"/>
                <w:b w:val="0"/>
              </w:rPr>
              <w:tab/>
            </w:r>
            <w:r w:rsidRPr="00463088">
              <w:rPr>
                <w:rFonts w:ascii="Book Antiqua" w:hAnsi="Book Antiqua"/>
                <w:b w:val="0"/>
              </w:rPr>
              <w:tab/>
              <w:t xml:space="preserve">         </w:t>
            </w:r>
          </w:p>
        </w:tc>
        <w:tc>
          <w:tcPr>
            <w:tcW w:w="1084" w:type="dxa"/>
            <w:shd w:val="clear" w:color="auto" w:fill="auto"/>
          </w:tcPr>
          <w:p w14:paraId="5FDA248C" w14:textId="77777777" w:rsidR="003852DC" w:rsidRPr="00E8758F" w:rsidRDefault="003852DC" w:rsidP="00EB2A77">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8758F">
              <w:rPr>
                <w:rFonts w:ascii="Book Antiqua" w:hAnsi="Book Antiqua"/>
              </w:rPr>
              <w:t>Pcs</w:t>
            </w:r>
          </w:p>
        </w:tc>
      </w:tr>
      <w:tr w:rsidR="003852DC" w:rsidRPr="00E8758F" w14:paraId="25EE8876"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290E5252" w14:textId="77777777" w:rsidR="003852DC" w:rsidRPr="00463088" w:rsidRDefault="003852DC" w:rsidP="00EB2A77">
            <w:pPr>
              <w:autoSpaceDE w:val="0"/>
              <w:autoSpaceDN w:val="0"/>
              <w:adjustRightInd w:val="0"/>
              <w:spacing w:after="0" w:line="240" w:lineRule="auto"/>
              <w:rPr>
                <w:rFonts w:ascii="Book Antiqua" w:hAnsi="Book Antiqua"/>
                <w:b w:val="0"/>
              </w:rPr>
            </w:pPr>
            <w:r w:rsidRPr="00463088">
              <w:rPr>
                <w:rFonts w:ascii="Book Antiqua" w:hAnsi="Book Antiqua"/>
                <w:b w:val="0"/>
              </w:rPr>
              <w:t xml:space="preserve"> Used medical equipment, assorted types and size (For teaching purpose)                  </w:t>
            </w:r>
          </w:p>
        </w:tc>
        <w:tc>
          <w:tcPr>
            <w:tcW w:w="1084" w:type="dxa"/>
            <w:shd w:val="clear" w:color="auto" w:fill="auto"/>
          </w:tcPr>
          <w:p w14:paraId="2578CA1D" w14:textId="77777777" w:rsidR="003852DC" w:rsidRPr="00E8758F" w:rsidRDefault="003852DC" w:rsidP="00EB2A77">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8758F">
              <w:rPr>
                <w:rFonts w:ascii="Book Antiqua" w:hAnsi="Book Antiqua"/>
              </w:rPr>
              <w:t>Lump sum</w:t>
            </w:r>
          </w:p>
        </w:tc>
      </w:tr>
    </w:tbl>
    <w:p w14:paraId="4AF5ED1C" w14:textId="77777777" w:rsidR="003852DC" w:rsidRPr="00D003B9" w:rsidRDefault="003852DC" w:rsidP="003852DC">
      <w:pPr>
        <w:jc w:val="center"/>
        <w:rPr>
          <w:rFonts w:ascii="Book Antiqua" w:hAnsi="Book Antiqua"/>
          <w:b/>
          <w:color w:val="000000"/>
        </w:rPr>
      </w:pPr>
      <w:r w:rsidRPr="00F42768">
        <w:rPr>
          <w:rFonts w:ascii="Book Antiqua" w:hAnsi="Book Antiqua"/>
          <w:b/>
          <w:color w:val="000000"/>
        </w:rPr>
        <w:t>Table.2.3.2   Manpower Requirement</w:t>
      </w:r>
    </w:p>
    <w:tbl>
      <w:tblPr>
        <w:tblStyle w:val="LightShading4"/>
        <w:tblW w:w="0" w:type="auto"/>
        <w:tblLook w:val="04E0" w:firstRow="1" w:lastRow="1" w:firstColumn="1" w:lastColumn="0" w:noHBand="0" w:noVBand="1"/>
      </w:tblPr>
      <w:tblGrid>
        <w:gridCol w:w="3199"/>
        <w:gridCol w:w="1170"/>
      </w:tblGrid>
      <w:tr w:rsidR="003852DC" w:rsidRPr="002B1CE5" w14:paraId="33E84D67" w14:textId="77777777" w:rsidTr="00EB2A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579627A2" w14:textId="77777777" w:rsidR="003852DC" w:rsidRPr="003062B4" w:rsidRDefault="003852DC" w:rsidP="00EB2A77">
            <w:pPr>
              <w:spacing w:after="0"/>
              <w:rPr>
                <w:rFonts w:ascii="Book Antiqua" w:hAnsi="Book Antiqua"/>
                <w:color w:val="000000"/>
              </w:rPr>
            </w:pPr>
            <w:r w:rsidRPr="003062B4">
              <w:rPr>
                <w:rFonts w:ascii="Book Antiqua" w:hAnsi="Book Antiqua"/>
                <w:color w:val="000000"/>
              </w:rPr>
              <w:t xml:space="preserve">Description                     </w:t>
            </w:r>
          </w:p>
        </w:tc>
        <w:tc>
          <w:tcPr>
            <w:tcW w:w="1170" w:type="dxa"/>
            <w:shd w:val="clear" w:color="auto" w:fill="auto"/>
          </w:tcPr>
          <w:p w14:paraId="367B513C" w14:textId="77777777" w:rsidR="003852DC" w:rsidRPr="003062B4" w:rsidRDefault="003852DC" w:rsidP="00EB2A77">
            <w:pPr>
              <w:spacing w:after="0"/>
              <w:cnfStyle w:val="100000000000" w:firstRow="1" w:lastRow="0" w:firstColumn="0" w:lastColumn="0" w:oddVBand="0" w:evenVBand="0" w:oddHBand="0" w:evenHBand="0" w:firstRowFirstColumn="0" w:firstRowLastColumn="0" w:lastRowFirstColumn="0" w:lastRowLastColumn="0"/>
              <w:rPr>
                <w:rFonts w:ascii="Book Antiqua" w:hAnsi="Book Antiqua"/>
                <w:color w:val="000000"/>
              </w:rPr>
            </w:pPr>
            <w:r w:rsidRPr="003062B4">
              <w:rPr>
                <w:rFonts w:ascii="Book Antiqua" w:hAnsi="Book Antiqua"/>
                <w:color w:val="000000"/>
              </w:rPr>
              <w:t>Required Number</w:t>
            </w:r>
          </w:p>
        </w:tc>
      </w:tr>
      <w:tr w:rsidR="003852DC" w:rsidRPr="002B1CE5" w14:paraId="078F92A9"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71EE43C1" w14:textId="77777777" w:rsidR="003852DC" w:rsidRPr="002B1CE5" w:rsidRDefault="003852DC" w:rsidP="00EB2A77">
            <w:pPr>
              <w:spacing w:after="0"/>
              <w:rPr>
                <w:rFonts w:ascii="Book Antiqua" w:hAnsi="Book Antiqua"/>
                <w:b w:val="0"/>
                <w:color w:val="000000"/>
              </w:rPr>
            </w:pPr>
            <w:r w:rsidRPr="002B1CE5">
              <w:rPr>
                <w:rFonts w:ascii="Book Antiqua" w:hAnsi="Book Antiqua"/>
                <w:color w:val="000000"/>
              </w:rPr>
              <w:t xml:space="preserve">Instructors                                   </w:t>
            </w:r>
          </w:p>
        </w:tc>
        <w:tc>
          <w:tcPr>
            <w:tcW w:w="1170" w:type="dxa"/>
            <w:shd w:val="clear" w:color="auto" w:fill="auto"/>
          </w:tcPr>
          <w:p w14:paraId="5CAA2D0F" w14:textId="77777777" w:rsidR="003852DC" w:rsidRPr="002B1CE5" w:rsidRDefault="003852DC" w:rsidP="00EB2A77">
            <w:pPr>
              <w:spacing w:after="0"/>
              <w:cnfStyle w:val="000000100000" w:firstRow="0" w:lastRow="0" w:firstColumn="0" w:lastColumn="0" w:oddVBand="0" w:evenVBand="0" w:oddHBand="1" w:evenHBand="0" w:firstRowFirstColumn="0" w:firstRowLastColumn="0" w:lastRowFirstColumn="0" w:lastRowLastColumn="0"/>
              <w:rPr>
                <w:rFonts w:ascii="Book Antiqua" w:hAnsi="Book Antiqua"/>
                <w:color w:val="000000"/>
              </w:rPr>
            </w:pPr>
            <w:r w:rsidRPr="002B1CE5">
              <w:rPr>
                <w:rFonts w:ascii="Book Antiqua" w:hAnsi="Book Antiqua"/>
                <w:color w:val="000000"/>
              </w:rPr>
              <w:t>8</w:t>
            </w:r>
          </w:p>
        </w:tc>
      </w:tr>
      <w:tr w:rsidR="003852DC" w:rsidRPr="002B1CE5" w14:paraId="7ADE9BBD" w14:textId="77777777" w:rsidTr="00EB2A77">
        <w:tc>
          <w:tcPr>
            <w:cnfStyle w:val="001000000000" w:firstRow="0" w:lastRow="0" w:firstColumn="1" w:lastColumn="0" w:oddVBand="0" w:evenVBand="0" w:oddHBand="0" w:evenHBand="0" w:firstRowFirstColumn="0" w:firstRowLastColumn="0" w:lastRowFirstColumn="0" w:lastRowLastColumn="0"/>
            <w:tcW w:w="4428" w:type="dxa"/>
            <w:gridSpan w:val="2"/>
            <w:shd w:val="clear" w:color="auto" w:fill="auto"/>
          </w:tcPr>
          <w:p w14:paraId="29FA1AB0" w14:textId="77777777" w:rsidR="003852DC" w:rsidRPr="002B1CE5" w:rsidRDefault="003852DC" w:rsidP="00EB2A77">
            <w:pPr>
              <w:spacing w:after="0"/>
              <w:rPr>
                <w:rFonts w:ascii="Book Antiqua" w:hAnsi="Book Antiqua"/>
                <w:color w:val="000000"/>
              </w:rPr>
            </w:pPr>
            <w:r w:rsidRPr="002B1CE5">
              <w:rPr>
                <w:rFonts w:ascii="Book Antiqua" w:hAnsi="Book Antiqua"/>
                <w:b w:val="0"/>
                <w:color w:val="000000"/>
              </w:rPr>
              <w:t>Medical Equipment Experts</w:t>
            </w:r>
            <w:r w:rsidRPr="002B1CE5">
              <w:rPr>
                <w:rFonts w:ascii="Book Antiqua" w:hAnsi="Book Antiqua"/>
                <w:color w:val="000000"/>
              </w:rPr>
              <w:t xml:space="preserve">                    </w:t>
            </w:r>
          </w:p>
        </w:tc>
      </w:tr>
      <w:tr w:rsidR="003852DC" w:rsidRPr="002B1CE5" w14:paraId="59F40318" w14:textId="77777777" w:rsidTr="00EB2A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49099EA4" w14:textId="77777777" w:rsidR="003852DC" w:rsidRPr="002B1CE5" w:rsidRDefault="003852DC" w:rsidP="00EB2A77">
            <w:pPr>
              <w:spacing w:after="0"/>
              <w:rPr>
                <w:rFonts w:ascii="Book Antiqua" w:hAnsi="Book Antiqua"/>
                <w:b w:val="0"/>
                <w:color w:val="000000"/>
              </w:rPr>
            </w:pPr>
            <w:r w:rsidRPr="002B1CE5">
              <w:rPr>
                <w:rFonts w:ascii="Book Antiqua" w:hAnsi="Book Antiqua"/>
                <w:color w:val="000000"/>
              </w:rPr>
              <w:t xml:space="preserve">Medical Physicist   </w:t>
            </w:r>
            <w:r w:rsidRPr="002B1CE5">
              <w:rPr>
                <w:rFonts w:ascii="Book Antiqua" w:hAnsi="Book Antiqua"/>
                <w:color w:val="000000"/>
              </w:rPr>
              <w:tab/>
            </w:r>
            <w:r w:rsidRPr="002B1CE5">
              <w:rPr>
                <w:rFonts w:ascii="Book Antiqua" w:hAnsi="Book Antiqua"/>
                <w:color w:val="000000"/>
              </w:rPr>
              <w:tab/>
            </w:r>
          </w:p>
        </w:tc>
        <w:tc>
          <w:tcPr>
            <w:tcW w:w="1170" w:type="dxa"/>
            <w:shd w:val="clear" w:color="auto" w:fill="auto"/>
          </w:tcPr>
          <w:p w14:paraId="1117D285" w14:textId="77777777" w:rsidR="003852DC" w:rsidRPr="002B1CE5" w:rsidRDefault="003852DC" w:rsidP="00EB2A77">
            <w:pPr>
              <w:spacing w:after="0"/>
              <w:cnfStyle w:val="000000100000" w:firstRow="0" w:lastRow="0" w:firstColumn="0" w:lastColumn="0" w:oddVBand="0" w:evenVBand="0" w:oddHBand="1" w:evenHBand="0" w:firstRowFirstColumn="0" w:firstRowLastColumn="0" w:lastRowFirstColumn="0" w:lastRowLastColumn="0"/>
              <w:rPr>
                <w:rFonts w:ascii="Book Antiqua" w:hAnsi="Book Antiqua"/>
                <w:color w:val="000000"/>
              </w:rPr>
            </w:pPr>
            <w:r w:rsidRPr="002B1CE5">
              <w:rPr>
                <w:rFonts w:ascii="Book Antiqua" w:hAnsi="Book Antiqua"/>
                <w:color w:val="000000"/>
              </w:rPr>
              <w:t>2</w:t>
            </w:r>
          </w:p>
        </w:tc>
      </w:tr>
      <w:tr w:rsidR="003852DC" w:rsidRPr="002B1CE5" w14:paraId="062DDDA1" w14:textId="77777777" w:rsidTr="00EB2A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01279434" w14:textId="77777777" w:rsidR="003852DC" w:rsidRPr="002B1CE5" w:rsidRDefault="003852DC" w:rsidP="00EB2A77">
            <w:pPr>
              <w:spacing w:after="0"/>
              <w:rPr>
                <w:rFonts w:ascii="Book Antiqua" w:hAnsi="Book Antiqua"/>
                <w:color w:val="000000"/>
              </w:rPr>
            </w:pPr>
            <w:r w:rsidRPr="002B1CE5">
              <w:rPr>
                <w:rFonts w:ascii="Book Antiqua" w:hAnsi="Book Antiqua"/>
                <w:color w:val="000000"/>
              </w:rPr>
              <w:t xml:space="preserve">Snr Technicians </w:t>
            </w:r>
            <w:r w:rsidRPr="002B1CE5">
              <w:rPr>
                <w:rFonts w:ascii="Book Antiqua" w:hAnsi="Book Antiqua"/>
                <w:color w:val="000000"/>
              </w:rPr>
              <w:tab/>
            </w:r>
            <w:r w:rsidRPr="002B1CE5">
              <w:rPr>
                <w:rFonts w:ascii="Book Antiqua" w:hAnsi="Book Antiqua"/>
                <w:color w:val="000000"/>
              </w:rPr>
              <w:tab/>
              <w:t xml:space="preserve">  </w:t>
            </w:r>
          </w:p>
        </w:tc>
        <w:tc>
          <w:tcPr>
            <w:tcW w:w="1170" w:type="dxa"/>
            <w:shd w:val="clear" w:color="auto" w:fill="auto"/>
          </w:tcPr>
          <w:p w14:paraId="666D3241" w14:textId="77777777" w:rsidR="003852DC" w:rsidRPr="002B1CE5" w:rsidRDefault="003852DC" w:rsidP="00EB2A77">
            <w:pPr>
              <w:spacing w:after="0"/>
              <w:cnfStyle w:val="000000000000" w:firstRow="0" w:lastRow="0" w:firstColumn="0" w:lastColumn="0" w:oddVBand="0" w:evenVBand="0" w:oddHBand="0" w:evenHBand="0" w:firstRowFirstColumn="0" w:firstRowLastColumn="0" w:lastRowFirstColumn="0" w:lastRowLastColumn="0"/>
              <w:rPr>
                <w:rFonts w:ascii="Book Antiqua" w:hAnsi="Book Antiqua"/>
                <w:color w:val="000000"/>
              </w:rPr>
            </w:pPr>
            <w:r>
              <w:rPr>
                <w:rFonts w:ascii="Book Antiqua" w:hAnsi="Book Antiqua"/>
                <w:color w:val="000000"/>
              </w:rPr>
              <w:t>4</w:t>
            </w:r>
          </w:p>
        </w:tc>
      </w:tr>
      <w:tr w:rsidR="003852DC" w:rsidRPr="002B1CE5" w14:paraId="56FBB860" w14:textId="77777777" w:rsidTr="00EB2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289C2BA7" w14:textId="77777777" w:rsidR="003852DC" w:rsidRPr="002B1CE5" w:rsidRDefault="003852DC" w:rsidP="00EB2A77">
            <w:pPr>
              <w:spacing w:after="0"/>
              <w:rPr>
                <w:rFonts w:ascii="Book Antiqua" w:hAnsi="Book Antiqua"/>
                <w:color w:val="000000"/>
              </w:rPr>
            </w:pPr>
            <w:r w:rsidRPr="002B1CE5">
              <w:rPr>
                <w:rFonts w:ascii="Book Antiqua" w:hAnsi="Book Antiqua"/>
                <w:color w:val="000000"/>
              </w:rPr>
              <w:t xml:space="preserve">Jnr. Technicians </w:t>
            </w:r>
            <w:r w:rsidRPr="002B1CE5">
              <w:rPr>
                <w:rFonts w:ascii="Book Antiqua" w:hAnsi="Book Antiqua"/>
                <w:color w:val="000000"/>
              </w:rPr>
              <w:tab/>
            </w:r>
          </w:p>
        </w:tc>
        <w:tc>
          <w:tcPr>
            <w:tcW w:w="1170" w:type="dxa"/>
            <w:shd w:val="clear" w:color="auto" w:fill="auto"/>
          </w:tcPr>
          <w:p w14:paraId="0A43680F" w14:textId="77777777" w:rsidR="003852DC" w:rsidRPr="002B1CE5" w:rsidRDefault="003852DC" w:rsidP="00EB2A77">
            <w:pPr>
              <w:spacing w:after="0"/>
              <w:cnfStyle w:val="000000100000" w:firstRow="0" w:lastRow="0" w:firstColumn="0" w:lastColumn="0" w:oddVBand="0" w:evenVBand="0" w:oddHBand="1" w:evenHBand="0" w:firstRowFirstColumn="0" w:firstRowLastColumn="0" w:lastRowFirstColumn="0" w:lastRowLastColumn="0"/>
              <w:rPr>
                <w:rFonts w:ascii="Book Antiqua" w:hAnsi="Book Antiqua"/>
                <w:color w:val="000000"/>
              </w:rPr>
            </w:pPr>
            <w:r w:rsidRPr="002B1CE5">
              <w:rPr>
                <w:rFonts w:ascii="Book Antiqua" w:hAnsi="Book Antiqua"/>
                <w:color w:val="000000"/>
              </w:rPr>
              <w:t>6</w:t>
            </w:r>
          </w:p>
        </w:tc>
      </w:tr>
      <w:tr w:rsidR="003852DC" w14:paraId="70556355" w14:textId="77777777" w:rsidTr="00EB2A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14:paraId="11DD2C2B" w14:textId="77777777" w:rsidR="003852DC" w:rsidRPr="003062B4" w:rsidRDefault="003852DC" w:rsidP="00EB2A77">
            <w:pPr>
              <w:spacing w:after="0"/>
              <w:rPr>
                <w:rFonts w:ascii="Book Antiqua" w:hAnsi="Book Antiqua"/>
                <w:color w:val="000000"/>
              </w:rPr>
            </w:pPr>
            <w:r w:rsidRPr="003062B4">
              <w:rPr>
                <w:rFonts w:ascii="Book Antiqua" w:hAnsi="Book Antiqua"/>
                <w:color w:val="000000"/>
              </w:rPr>
              <w:t xml:space="preserve"> TOTAL</w:t>
            </w:r>
            <w:r w:rsidRPr="003062B4">
              <w:rPr>
                <w:rFonts w:ascii="Book Antiqua" w:hAnsi="Book Antiqua"/>
                <w:color w:val="000000"/>
              </w:rPr>
              <w:tab/>
            </w:r>
            <w:r w:rsidRPr="003062B4">
              <w:rPr>
                <w:rFonts w:ascii="Book Antiqua" w:hAnsi="Book Antiqua"/>
                <w:color w:val="000000"/>
              </w:rPr>
              <w:tab/>
            </w:r>
            <w:r w:rsidRPr="003062B4">
              <w:rPr>
                <w:rFonts w:ascii="Book Antiqua" w:hAnsi="Book Antiqua"/>
                <w:color w:val="000000"/>
              </w:rPr>
              <w:tab/>
            </w:r>
          </w:p>
        </w:tc>
        <w:tc>
          <w:tcPr>
            <w:tcW w:w="1170" w:type="dxa"/>
            <w:shd w:val="clear" w:color="auto" w:fill="auto"/>
          </w:tcPr>
          <w:p w14:paraId="6CF439AC" w14:textId="77777777" w:rsidR="003852DC" w:rsidRPr="003062B4" w:rsidRDefault="003852DC" w:rsidP="00EB2A77">
            <w:pPr>
              <w:spacing w:after="0"/>
              <w:cnfStyle w:val="010000000000" w:firstRow="0" w:lastRow="1" w:firstColumn="0" w:lastColumn="0" w:oddVBand="0" w:evenVBand="0" w:oddHBand="0" w:evenHBand="0" w:firstRowFirstColumn="0" w:firstRowLastColumn="0" w:lastRowFirstColumn="0" w:lastRowLastColumn="0"/>
              <w:rPr>
                <w:rFonts w:ascii="Book Antiqua" w:hAnsi="Book Antiqua"/>
                <w:color w:val="000000"/>
              </w:rPr>
            </w:pPr>
            <w:r w:rsidRPr="003062B4">
              <w:rPr>
                <w:rFonts w:ascii="Book Antiqua" w:hAnsi="Book Antiqua"/>
                <w:color w:val="000000"/>
              </w:rPr>
              <w:t>20</w:t>
            </w:r>
          </w:p>
        </w:tc>
      </w:tr>
    </w:tbl>
    <w:p w14:paraId="16D0AACB" w14:textId="77777777" w:rsidR="003852DC" w:rsidRDefault="003852DC" w:rsidP="003852DC">
      <w:pPr>
        <w:autoSpaceDE w:val="0"/>
        <w:autoSpaceDN w:val="0"/>
        <w:adjustRightInd w:val="0"/>
        <w:jc w:val="both"/>
        <w:rPr>
          <w:rFonts w:ascii="Book Antiqua" w:hAnsi="Book Antiqua"/>
          <w:color w:val="000000"/>
        </w:rPr>
      </w:pPr>
    </w:p>
    <w:p w14:paraId="5E34EB69" w14:textId="77777777" w:rsidR="003852DC" w:rsidRDefault="003852DC" w:rsidP="003852DC">
      <w:pPr>
        <w:spacing w:after="0"/>
        <w:jc w:val="both"/>
        <w:rPr>
          <w:rFonts w:ascii="Book Antiqua" w:hAnsi="Book Antiqua"/>
          <w:color w:val="000000"/>
        </w:rPr>
      </w:pPr>
      <w:r w:rsidRPr="00E3232D">
        <w:rPr>
          <w:rFonts w:ascii="Book Antiqua" w:hAnsi="Book Antiqua"/>
          <w:color w:val="000000"/>
        </w:rPr>
        <w:t>Instructors and Technicians need to get local tailor made training and attachment</w:t>
      </w:r>
      <w:r w:rsidRPr="00D003B9">
        <w:rPr>
          <w:rFonts w:ascii="Book Antiqua" w:hAnsi="Book Antiqua"/>
          <w:color w:val="000000"/>
        </w:rPr>
        <w:t xml:space="preserve"> </w:t>
      </w:r>
      <w:r w:rsidRPr="00E3232D">
        <w:rPr>
          <w:rFonts w:ascii="Book Antiqua" w:hAnsi="Book Antiqua"/>
          <w:color w:val="000000"/>
        </w:rPr>
        <w:t>training at similar centers at home or abroad. In the absence of specialized</w:t>
      </w:r>
      <w:r w:rsidRPr="00D003B9">
        <w:rPr>
          <w:rFonts w:ascii="Book Antiqua" w:hAnsi="Book Antiqua"/>
          <w:color w:val="000000"/>
        </w:rPr>
        <w:t xml:space="preserve"> </w:t>
      </w:r>
      <w:r w:rsidRPr="00E3232D">
        <w:rPr>
          <w:rFonts w:ascii="Book Antiqua" w:hAnsi="Book Antiqua"/>
          <w:color w:val="000000"/>
        </w:rPr>
        <w:t>Training Centres or in addition to them, the development of basic skills, applicable to medical equipment maintenance</w:t>
      </w:r>
      <w:r w:rsidRPr="00D003B9">
        <w:rPr>
          <w:rFonts w:ascii="Book Antiqua" w:hAnsi="Book Antiqua"/>
          <w:color w:val="000000"/>
        </w:rPr>
        <w:t xml:space="preserve"> </w:t>
      </w:r>
      <w:r w:rsidRPr="00E3232D">
        <w:rPr>
          <w:rFonts w:ascii="Book Antiqua" w:hAnsi="Book Antiqua"/>
          <w:color w:val="000000"/>
        </w:rPr>
        <w:t>training repairs and services, can to some extent be provided by the national education system. In this way, the most relevant training can be given. In bilateral aid programs, donor countries often provide modern health facilities and</w:t>
      </w:r>
      <w:r w:rsidRPr="00D003B9">
        <w:rPr>
          <w:rFonts w:ascii="Book Antiqua" w:hAnsi="Book Antiqua"/>
          <w:color w:val="000000"/>
        </w:rPr>
        <w:t xml:space="preserve"> </w:t>
      </w:r>
    </w:p>
    <w:p w14:paraId="2F3807CB" w14:textId="77777777" w:rsidR="003852DC" w:rsidRDefault="003852DC" w:rsidP="003852DC">
      <w:pPr>
        <w:jc w:val="both"/>
        <w:rPr>
          <w:rFonts w:ascii="Book Antiqua" w:hAnsi="Book Antiqua"/>
          <w:bCs/>
        </w:rPr>
      </w:pPr>
      <w:r w:rsidRPr="00E3232D">
        <w:rPr>
          <w:rFonts w:ascii="Book Antiqua" w:hAnsi="Book Antiqua"/>
          <w:color w:val="000000"/>
        </w:rPr>
        <w:t xml:space="preserve">sophisticated equipment to </w:t>
      </w:r>
      <w:r w:rsidRPr="00E3232D">
        <w:rPr>
          <w:rFonts w:ascii="Book Antiqua" w:hAnsi="Book Antiqua"/>
          <w:bCs/>
        </w:rPr>
        <w:t>developing</w:t>
      </w:r>
      <w:r w:rsidRPr="00E3232D">
        <w:rPr>
          <w:rFonts w:ascii="Book Antiqua" w:hAnsi="Book Antiqua"/>
          <w:color w:val="000000"/>
        </w:rPr>
        <w:t xml:space="preserve"> countries like Ghana. This is an excellent opportunity to request advanced technical and medical equipment management training for in-house staff.</w:t>
      </w:r>
    </w:p>
    <w:p w14:paraId="138FB8C3" w14:textId="77777777" w:rsidR="003852DC" w:rsidRPr="00D003B9" w:rsidRDefault="003852DC" w:rsidP="003852DC">
      <w:pPr>
        <w:jc w:val="both"/>
        <w:rPr>
          <w:rFonts w:ascii="Book Antiqua" w:hAnsi="Book Antiqua"/>
          <w:bCs/>
        </w:rPr>
        <w:sectPr w:rsidR="003852DC" w:rsidRPr="00D003B9" w:rsidSect="008F6BC9">
          <w:type w:val="continuous"/>
          <w:pgSz w:w="11907" w:h="16839" w:code="9"/>
          <w:pgMar w:top="1440" w:right="1440" w:bottom="1440" w:left="1440" w:header="720" w:footer="720" w:gutter="0"/>
          <w:cols w:num="2" w:space="720"/>
          <w:docGrid w:linePitch="360"/>
        </w:sectPr>
      </w:pPr>
    </w:p>
    <w:p w14:paraId="0BAFC54B" w14:textId="77777777" w:rsidR="003852DC" w:rsidRDefault="003852DC" w:rsidP="003852DC">
      <w:pPr>
        <w:autoSpaceDE w:val="0"/>
        <w:autoSpaceDN w:val="0"/>
        <w:adjustRightInd w:val="0"/>
        <w:rPr>
          <w:rFonts w:ascii="Book Antiqua" w:hAnsi="Book Antiqua"/>
          <w:b/>
          <w:color w:val="000000"/>
        </w:rPr>
        <w:sectPr w:rsidR="003852DC" w:rsidSect="00D003B9">
          <w:type w:val="continuous"/>
          <w:pgSz w:w="11907" w:h="16839" w:code="9"/>
          <w:pgMar w:top="1440" w:right="1440" w:bottom="1440" w:left="1440" w:header="720" w:footer="720" w:gutter="0"/>
          <w:cols w:num="2" w:space="720"/>
          <w:docGrid w:linePitch="360"/>
        </w:sectPr>
      </w:pPr>
    </w:p>
    <w:p w14:paraId="7130876A" w14:textId="77777777" w:rsidR="003852DC" w:rsidRPr="004522FA" w:rsidRDefault="003852DC" w:rsidP="003852DC">
      <w:pPr>
        <w:rPr>
          <w:rFonts w:ascii="Book Antiqua" w:hAnsi="Book Antiqua"/>
          <w:b/>
          <w:bCs/>
          <w:sz w:val="26"/>
          <w:szCs w:val="26"/>
        </w:rPr>
      </w:pPr>
      <w:r w:rsidRPr="004522FA">
        <w:rPr>
          <w:rFonts w:ascii="Book Antiqua" w:hAnsi="Book Antiqua"/>
          <w:b/>
          <w:bCs/>
          <w:sz w:val="26"/>
          <w:szCs w:val="26"/>
        </w:rPr>
        <w:t>3.0.Expected Project Outcome</w:t>
      </w:r>
    </w:p>
    <w:p w14:paraId="6DC7DE0C" w14:textId="77777777" w:rsidR="003852DC" w:rsidRPr="00463088" w:rsidRDefault="003852DC" w:rsidP="003852DC">
      <w:pPr>
        <w:autoSpaceDE w:val="0"/>
        <w:autoSpaceDN w:val="0"/>
        <w:adjustRightInd w:val="0"/>
        <w:rPr>
          <w:rFonts w:ascii="Book Antiqua" w:hAnsi="Book Antiqua"/>
          <w:b/>
          <w:color w:val="000000"/>
        </w:rPr>
        <w:sectPr w:rsidR="003852DC" w:rsidRPr="00463088" w:rsidSect="00D003B9">
          <w:type w:val="continuous"/>
          <w:pgSz w:w="11907" w:h="16839" w:code="9"/>
          <w:pgMar w:top="1440" w:right="1440" w:bottom="1440" w:left="1440" w:header="720" w:footer="720" w:gutter="0"/>
          <w:cols w:num="2" w:space="720"/>
          <w:docGrid w:linePitch="360"/>
        </w:sectPr>
      </w:pPr>
    </w:p>
    <w:p w14:paraId="279E6BF8" w14:textId="77777777" w:rsidR="003852DC" w:rsidRDefault="003852DC" w:rsidP="003852DC">
      <w:pPr>
        <w:rPr>
          <w:rFonts w:ascii="Book Antiqua" w:hAnsi="Book Antiqua"/>
          <w:b/>
          <w:bCs/>
        </w:rPr>
      </w:pPr>
    </w:p>
    <w:p w14:paraId="03A0DB72" w14:textId="77777777" w:rsidR="003852DC" w:rsidRDefault="003852DC" w:rsidP="003852DC">
      <w:pPr>
        <w:rPr>
          <w:rFonts w:ascii="Book Antiqua" w:hAnsi="Book Antiqua"/>
          <w:color w:val="000000"/>
        </w:rPr>
      </w:pPr>
    </w:p>
    <w:p w14:paraId="4D0F496E" w14:textId="77777777" w:rsidR="003852DC" w:rsidRDefault="003852DC" w:rsidP="003852DC">
      <w:pPr>
        <w:rPr>
          <w:rFonts w:ascii="Book Antiqua" w:hAnsi="Book Antiqua"/>
          <w:b/>
        </w:rPr>
      </w:pPr>
    </w:p>
    <w:p w14:paraId="5E80D075" w14:textId="77777777" w:rsidR="003852DC" w:rsidRPr="00E3232D" w:rsidRDefault="003852DC" w:rsidP="003852DC">
      <w:pPr>
        <w:rPr>
          <w:rFonts w:ascii="Book Antiqua" w:hAnsi="Book Antiqua"/>
          <w:b/>
        </w:rPr>
      </w:pPr>
      <w:r w:rsidRPr="00E3232D">
        <w:rPr>
          <w:rFonts w:ascii="Book Antiqua" w:hAnsi="Book Antiqua"/>
          <w:b/>
        </w:rPr>
        <w:t xml:space="preserve">3.1. Results </w:t>
      </w:r>
    </w:p>
    <w:p w14:paraId="0ECA0DFF" w14:textId="77777777" w:rsidR="003852DC" w:rsidRDefault="003852DC" w:rsidP="003852DC">
      <w:pPr>
        <w:jc w:val="both"/>
        <w:rPr>
          <w:rFonts w:ascii="Book Antiqua" w:hAnsi="Book Antiqua"/>
          <w:color w:val="000000"/>
        </w:rPr>
        <w:sectPr w:rsidR="003852DC" w:rsidSect="00D003B9">
          <w:type w:val="continuous"/>
          <w:pgSz w:w="11907" w:h="16839" w:code="9"/>
          <w:pgMar w:top="1440" w:right="1440" w:bottom="1440" w:left="1440" w:header="720" w:footer="720" w:gutter="0"/>
          <w:cols w:num="2" w:space="720"/>
          <w:docGrid w:linePitch="360"/>
        </w:sectPr>
      </w:pPr>
      <w:r w:rsidRPr="00E3232D">
        <w:rPr>
          <w:rFonts w:ascii="Book Antiqua" w:hAnsi="Book Antiqua"/>
          <w:color w:val="000000"/>
        </w:rPr>
        <w:t>According to statistics (</w:t>
      </w:r>
      <w:r w:rsidRPr="00E3232D">
        <w:rPr>
          <w:rFonts w:ascii="Book Antiqua" w:hAnsi="Book Antiqua"/>
          <w:bCs/>
          <w:color w:val="000000"/>
        </w:rPr>
        <w:t>Shoichi Shimizu</w:t>
      </w:r>
      <w:r w:rsidRPr="00E3232D">
        <w:rPr>
          <w:rFonts w:ascii="Book Antiqua" w:hAnsi="Book Antiqua"/>
          <w:color w:val="000000"/>
        </w:rPr>
        <w:t>,</w:t>
      </w:r>
      <w:r w:rsidRPr="00E3232D">
        <w:rPr>
          <w:rFonts w:ascii="Book Antiqua" w:hAnsi="Book Antiqua"/>
          <w:b/>
          <w:bCs/>
          <w:color w:val="000000"/>
        </w:rPr>
        <w:t xml:space="preserve"> </w:t>
      </w:r>
      <w:r w:rsidRPr="00E3232D">
        <w:rPr>
          <w:rFonts w:ascii="Book Antiqua" w:hAnsi="Book Antiqua"/>
          <w:color w:val="000000"/>
        </w:rPr>
        <w:t xml:space="preserve">JICA Expert on Medical Equipment Management) about 80% of all medical equipment failure cases are caused by preventable factors (Figure 3.1). For instance, failures due to inadequate </w:t>
      </w:r>
    </w:p>
    <w:p w14:paraId="78879BEB" w14:textId="77777777" w:rsidR="003852DC" w:rsidRDefault="003852DC" w:rsidP="003852DC">
      <w:pPr>
        <w:jc w:val="both"/>
        <w:rPr>
          <w:rFonts w:ascii="Book Antiqua" w:hAnsi="Book Antiqua"/>
          <w:color w:val="000000"/>
        </w:rPr>
      </w:pPr>
      <w:r w:rsidRPr="00E3232D">
        <w:rPr>
          <w:rFonts w:ascii="Book Antiqua" w:hAnsi="Book Antiqua"/>
          <w:color w:val="000000"/>
        </w:rPr>
        <w:t>maintenance account for about 60% of all the medical equipment failure cases. In this case, most failures arise from deterioration of accessories and consumable components. The deterioration time of   the accessories and consumable components can, however, be predicted by carrying out maintenance and inspection. Therefore, 60% of all these failures can be prevented by replacing such ‘consumable parts’ on a regular basis, or replacing them immediately when the equipment becomes defective. These are not real breakdowns of the equipment. In addition to this, failures due to inappropriate handling,</w:t>
      </w:r>
    </w:p>
    <w:p w14:paraId="05756DA0" w14:textId="77777777" w:rsidR="003852DC" w:rsidRPr="00E3232D" w:rsidRDefault="003852DC" w:rsidP="003852DC">
      <w:pPr>
        <w:jc w:val="both"/>
        <w:rPr>
          <w:rFonts w:ascii="Book Antiqua" w:hAnsi="Book Antiqua"/>
          <w:color w:val="000000"/>
        </w:rPr>
      </w:pPr>
      <w:r w:rsidRPr="00E3232D">
        <w:rPr>
          <w:rFonts w:ascii="Book Antiqua" w:hAnsi="Book Antiqua"/>
          <w:color w:val="000000"/>
        </w:rPr>
        <w:t xml:space="preserve"> environmental stress and wear-out account for about 20% of all the failure cases. Most of these can also be prevented by carrying out appropriate measures based on equipment maintenance system. It can be said that 80% of medical equipment failures are, therefore, preventable. The main focus of the centre is to establish a partnership program between industry, academia, and healthcare sectors. This would comprise a mixture of academic and practical training aimed to equip students for a very wide</w:t>
      </w:r>
      <w:r>
        <w:rPr>
          <w:rFonts w:ascii="Book Antiqua" w:hAnsi="Book Antiqua"/>
          <w:color w:val="000000"/>
        </w:rPr>
        <w:t xml:space="preserve">  </w:t>
      </w:r>
      <w:r w:rsidRPr="00E3232D">
        <w:rPr>
          <w:rFonts w:ascii="Book Antiqua" w:hAnsi="Book Antiqua"/>
          <w:color w:val="000000"/>
        </w:rPr>
        <w:t>range of medical equipment maintenance training careers. The centre would establish varied modules to provide in-depth study of a wide range of medical equipment training, with specialization according to interests and future career intentions.</w:t>
      </w:r>
    </w:p>
    <w:p w14:paraId="04FB524B" w14:textId="77777777" w:rsidR="003852DC" w:rsidRDefault="003852DC" w:rsidP="003852DC">
      <w:pPr>
        <w:tabs>
          <w:tab w:val="left" w:pos="9000"/>
        </w:tabs>
        <w:jc w:val="both"/>
        <w:rPr>
          <w:rFonts w:ascii="Book Antiqua" w:hAnsi="Book Antiqua"/>
          <w:color w:val="000000"/>
        </w:rPr>
      </w:pPr>
      <w:r>
        <w:rPr>
          <w:rFonts w:ascii="Book Antiqua" w:hAnsi="Book Antiqua"/>
          <w:color w:val="000000"/>
        </w:rPr>
        <w:t xml:space="preserve">      </w:t>
      </w:r>
      <w:r>
        <w:rPr>
          <w:rFonts w:ascii="Book Antiqua" w:hAnsi="Book Antiqua"/>
          <w:noProof/>
          <w:color w:val="9BBB59"/>
          <w:lang w:bidi="ar-SA"/>
        </w:rPr>
        <w:drawing>
          <wp:inline distT="0" distB="0" distL="0" distR="0" wp14:anchorId="3756E16A" wp14:editId="1B1278D3">
            <wp:extent cx="2590800" cy="2505075"/>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6"/>
                    <a:srcRect/>
                    <a:stretch>
                      <a:fillRect/>
                    </a:stretch>
                  </pic:blipFill>
                  <pic:spPr bwMode="auto">
                    <a:xfrm>
                      <a:off x="0" y="0"/>
                      <a:ext cx="2590800" cy="2505075"/>
                    </a:xfrm>
                    <a:prstGeom prst="rect">
                      <a:avLst/>
                    </a:prstGeom>
                    <a:noFill/>
                    <a:ln w="9525">
                      <a:noFill/>
                      <a:miter lim="800000"/>
                      <a:headEnd/>
                      <a:tailEnd/>
                    </a:ln>
                  </pic:spPr>
                </pic:pic>
              </a:graphicData>
            </a:graphic>
          </wp:inline>
        </w:drawing>
      </w:r>
    </w:p>
    <w:p w14:paraId="3890BF71" w14:textId="77777777" w:rsidR="003852DC" w:rsidRDefault="003852DC" w:rsidP="003852DC">
      <w:pPr>
        <w:tabs>
          <w:tab w:val="left" w:pos="9000"/>
        </w:tabs>
        <w:jc w:val="both"/>
        <w:rPr>
          <w:rFonts w:ascii="Book Antiqua" w:hAnsi="Book Antiqua"/>
          <w:color w:val="000000"/>
        </w:rPr>
      </w:pPr>
      <w:r w:rsidRPr="00E3232D">
        <w:rPr>
          <w:rFonts w:ascii="Book Antiqua" w:hAnsi="Book Antiqua"/>
          <w:color w:val="000000"/>
        </w:rPr>
        <w:t>Figure.3.1. Medical equipment failures according to causes.(</w:t>
      </w:r>
      <w:r w:rsidRPr="00E3232D">
        <w:rPr>
          <w:rFonts w:ascii="Book Antiqua" w:hAnsi="Book Antiqua"/>
          <w:b/>
          <w:bCs/>
          <w:color w:val="000000"/>
        </w:rPr>
        <w:t xml:space="preserve"> </w:t>
      </w:r>
      <w:r w:rsidRPr="00E3232D">
        <w:rPr>
          <w:rFonts w:ascii="Book Antiqua" w:hAnsi="Book Antiqua"/>
          <w:bCs/>
          <w:color w:val="000000"/>
        </w:rPr>
        <w:t>Shoichi Shimizu</w:t>
      </w:r>
      <w:r w:rsidRPr="00E3232D">
        <w:rPr>
          <w:rFonts w:ascii="Book Antiqua" w:hAnsi="Book Antiqua"/>
          <w:color w:val="000000"/>
        </w:rPr>
        <w:t>,</w:t>
      </w:r>
    </w:p>
    <w:p w14:paraId="240D34BC" w14:textId="77777777" w:rsidR="003852DC" w:rsidRDefault="00850DC5" w:rsidP="003852DC">
      <w:pPr>
        <w:jc w:val="both"/>
        <w:rPr>
          <w:rFonts w:ascii="Book Antiqua" w:hAnsi="Book Antiqua"/>
          <w:color w:val="000000"/>
        </w:rPr>
      </w:pPr>
      <w:r>
        <w:rPr>
          <w:rFonts w:ascii="Book Antiqua" w:hAnsi="Book Antiqua"/>
          <w:noProof/>
          <w:color w:val="000000"/>
        </w:rPr>
        <w:pict w14:anchorId="2EB1FDE9">
          <v:shape id="_x0000_s73807" type="#_x0000_t32" style="position:absolute;left:0;text-align:left;margin-left:219.75pt;margin-top:1in;width:.05pt;height:.05pt;z-index:251898368" o:connectortype="straight"/>
        </w:pict>
      </w:r>
      <w:r w:rsidR="003852DC" w:rsidRPr="00E3232D">
        <w:rPr>
          <w:rFonts w:ascii="Book Antiqua" w:hAnsi="Book Antiqua"/>
          <w:color w:val="000000"/>
        </w:rPr>
        <w:t>Medical equipment maintenance and operation training service, therefore, may include provision of services like training, maintenance and repair of medical equipment, focusing on building sustainable technical capacity, implementing transparent &amp; pragmatic systems, while focusing on the preventative care and saf</w:t>
      </w:r>
      <w:r w:rsidR="003852DC">
        <w:rPr>
          <w:rFonts w:ascii="Book Antiqua" w:hAnsi="Book Antiqua"/>
          <w:color w:val="000000"/>
        </w:rPr>
        <w:t>e usage of medical equipment.</w:t>
      </w:r>
    </w:p>
    <w:p w14:paraId="29ACCC3E" w14:textId="77777777" w:rsidR="003852DC" w:rsidRDefault="003852DC" w:rsidP="003852DC">
      <w:pPr>
        <w:jc w:val="both"/>
        <w:rPr>
          <w:rFonts w:ascii="Book Antiqua" w:hAnsi="Book Antiqua"/>
          <w:color w:val="000000"/>
        </w:rPr>
      </w:pPr>
    </w:p>
    <w:p w14:paraId="652425FC" w14:textId="77777777" w:rsidR="003852DC" w:rsidRDefault="003852DC" w:rsidP="003852DC">
      <w:pPr>
        <w:jc w:val="both"/>
        <w:rPr>
          <w:rFonts w:ascii="Book Antiqua" w:hAnsi="Book Antiqua"/>
          <w:color w:val="000000"/>
        </w:rPr>
        <w:sectPr w:rsidR="003852DC" w:rsidSect="00567A0B">
          <w:type w:val="continuous"/>
          <w:pgSz w:w="11907" w:h="16839" w:code="9"/>
          <w:pgMar w:top="1440" w:right="1440" w:bottom="1440" w:left="1440" w:header="720" w:footer="720" w:gutter="0"/>
          <w:cols w:num="2" w:space="720"/>
          <w:docGrid w:linePitch="360"/>
        </w:sectPr>
      </w:pPr>
    </w:p>
    <w:p w14:paraId="36D22EFB" w14:textId="77777777" w:rsidR="003852DC" w:rsidRDefault="003852DC" w:rsidP="003852DC">
      <w:pPr>
        <w:rPr>
          <w:rFonts w:ascii="Book Antiqua" w:hAnsi="Book Antiqua"/>
          <w:color w:val="000000"/>
        </w:rPr>
      </w:pPr>
    </w:p>
    <w:p w14:paraId="38612561" w14:textId="77777777" w:rsidR="003852DC" w:rsidRDefault="003852DC" w:rsidP="003852DC">
      <w:pPr>
        <w:rPr>
          <w:rFonts w:ascii="Book Antiqua" w:hAnsi="Book Antiqua"/>
          <w:color w:val="000000"/>
        </w:rPr>
      </w:pPr>
    </w:p>
    <w:p w14:paraId="01E3DE0C" w14:textId="77777777" w:rsidR="003852DC" w:rsidRDefault="003852DC" w:rsidP="003852DC">
      <w:pPr>
        <w:rPr>
          <w:rFonts w:ascii="Book Antiqua" w:hAnsi="Book Antiqua"/>
          <w:color w:val="000000"/>
        </w:rPr>
      </w:pPr>
    </w:p>
    <w:p w14:paraId="1DCA23BD" w14:textId="77777777" w:rsidR="003852DC" w:rsidRDefault="003852DC" w:rsidP="003852DC">
      <w:pPr>
        <w:rPr>
          <w:rFonts w:ascii="Book Antiqua" w:hAnsi="Book Antiqua"/>
          <w:color w:val="000000"/>
        </w:rPr>
      </w:pPr>
    </w:p>
    <w:p w14:paraId="6EC9D809" w14:textId="77777777" w:rsidR="00EB0911" w:rsidRDefault="00EB0911" w:rsidP="003852DC">
      <w:pPr>
        <w:rPr>
          <w:rFonts w:ascii="Book Antiqua" w:hAnsi="Book Antiqua"/>
          <w:color w:val="000000"/>
        </w:rPr>
      </w:pPr>
    </w:p>
    <w:p w14:paraId="5071C1F6" w14:textId="77777777" w:rsidR="00EB0911" w:rsidRDefault="00EB0911" w:rsidP="003852DC">
      <w:pPr>
        <w:rPr>
          <w:rFonts w:ascii="Book Antiqua" w:hAnsi="Book Antiqua"/>
          <w:color w:val="000000"/>
        </w:rPr>
      </w:pPr>
    </w:p>
    <w:p w14:paraId="372ADB66" w14:textId="77777777" w:rsidR="003852DC" w:rsidRPr="00A819A9" w:rsidRDefault="003852DC" w:rsidP="003852DC">
      <w:pPr>
        <w:spacing w:after="0" w:line="240" w:lineRule="auto"/>
        <w:rPr>
          <w:rFonts w:ascii="Book Antiqua" w:hAnsi="Book Antiqua"/>
          <w:b/>
          <w:color w:val="000000"/>
        </w:rPr>
      </w:pPr>
      <w:r w:rsidRPr="00A819A9">
        <w:rPr>
          <w:rFonts w:ascii="Book Antiqua" w:hAnsi="Book Antiqua"/>
          <w:b/>
          <w:color w:val="000000"/>
        </w:rPr>
        <w:t>Table. 3.1.</w:t>
      </w:r>
      <w:r w:rsidRPr="00A819A9">
        <w:rPr>
          <w:rFonts w:ascii="Book Antiqua" w:hAnsi="Book Antiqua"/>
          <w:b/>
          <w:bCs/>
          <w:color w:val="000000"/>
        </w:rPr>
        <w:t xml:space="preserve">  Classification of Medical Equipment</w:t>
      </w:r>
    </w:p>
    <w:tbl>
      <w:tblPr>
        <w:tblStyle w:val="LightShading2"/>
        <w:tblpPr w:leftFromText="180" w:rightFromText="180" w:vertAnchor="text" w:horzAnchor="margin" w:tblpY="740"/>
        <w:tblW w:w="9243" w:type="dxa"/>
        <w:tblLook w:val="04A0" w:firstRow="1" w:lastRow="0" w:firstColumn="1" w:lastColumn="0" w:noHBand="0" w:noVBand="1"/>
      </w:tblPr>
      <w:tblGrid>
        <w:gridCol w:w="2310"/>
        <w:gridCol w:w="2311"/>
        <w:gridCol w:w="2311"/>
        <w:gridCol w:w="2311"/>
      </w:tblGrid>
      <w:tr w:rsidR="003852DC" w14:paraId="3EADC542" w14:textId="77777777" w:rsidTr="003852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auto"/>
          </w:tcPr>
          <w:p w14:paraId="022FBA84" w14:textId="77777777" w:rsidR="003852DC" w:rsidRDefault="003852DC" w:rsidP="003852DC">
            <w:pPr>
              <w:spacing w:after="0" w:line="240" w:lineRule="auto"/>
              <w:jc w:val="center"/>
              <w:rPr>
                <w:rFonts w:ascii="Book Antiqua" w:hAnsi="Book Antiqua"/>
              </w:rPr>
            </w:pPr>
            <w:r w:rsidRPr="00E3232D">
              <w:rPr>
                <w:rFonts w:ascii="Book Antiqua" w:hAnsi="Book Antiqua"/>
              </w:rPr>
              <w:t>Radiological</w:t>
            </w:r>
          </w:p>
        </w:tc>
        <w:tc>
          <w:tcPr>
            <w:tcW w:w="2311" w:type="dxa"/>
            <w:shd w:val="clear" w:color="auto" w:fill="auto"/>
          </w:tcPr>
          <w:p w14:paraId="7C1300FD" w14:textId="77777777" w:rsidR="003852DC" w:rsidRDefault="003852DC" w:rsidP="003852D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rPr>
              <w:t>Laboratory</w:t>
            </w:r>
          </w:p>
        </w:tc>
        <w:tc>
          <w:tcPr>
            <w:tcW w:w="2311" w:type="dxa"/>
            <w:shd w:val="clear" w:color="auto" w:fill="auto"/>
          </w:tcPr>
          <w:p w14:paraId="0019DC1C" w14:textId="77777777" w:rsidR="003852DC" w:rsidRDefault="003852DC" w:rsidP="003852D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rPr>
              <w:t>Dental</w:t>
            </w:r>
          </w:p>
        </w:tc>
        <w:tc>
          <w:tcPr>
            <w:tcW w:w="2311" w:type="dxa"/>
            <w:shd w:val="clear" w:color="auto" w:fill="auto"/>
          </w:tcPr>
          <w:p w14:paraId="7B1DBB77" w14:textId="77777777" w:rsidR="003852DC" w:rsidRDefault="003852DC" w:rsidP="003852D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rPr>
              <w:t>Surgical</w:t>
            </w:r>
          </w:p>
        </w:tc>
      </w:tr>
      <w:tr w:rsidR="003852DC" w14:paraId="12EDFFA3" w14:textId="77777777" w:rsidTr="003852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auto"/>
          </w:tcPr>
          <w:p w14:paraId="2B75545D" w14:textId="77777777" w:rsidR="003852DC" w:rsidRDefault="003852DC" w:rsidP="003852DC">
            <w:pPr>
              <w:spacing w:after="0" w:line="240" w:lineRule="auto"/>
              <w:rPr>
                <w:rFonts w:ascii="Book Antiqua" w:hAnsi="Book Antiqua"/>
              </w:rPr>
            </w:pPr>
            <w:r w:rsidRPr="00E3232D">
              <w:rPr>
                <w:rFonts w:ascii="Book Antiqua" w:hAnsi="Book Antiqua"/>
              </w:rPr>
              <w:t>X-ray, CT scans</w:t>
            </w:r>
          </w:p>
        </w:tc>
        <w:tc>
          <w:tcPr>
            <w:tcW w:w="2311" w:type="dxa"/>
            <w:shd w:val="clear" w:color="auto" w:fill="auto"/>
          </w:tcPr>
          <w:p w14:paraId="4F323007"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bCs/>
              </w:rPr>
              <w:t>Microplate Reader</w:t>
            </w:r>
            <w:r w:rsidRPr="00E3232D">
              <w:rPr>
                <w:rFonts w:ascii="Book Antiqua" w:hAnsi="Book Antiqua"/>
              </w:rPr>
              <w:t xml:space="preserve">        </w:t>
            </w:r>
            <w:r>
              <w:rPr>
                <w:rFonts w:ascii="Book Antiqua" w:hAnsi="Book Antiqua"/>
              </w:rPr>
              <w:t xml:space="preserve">   </w:t>
            </w:r>
          </w:p>
        </w:tc>
        <w:tc>
          <w:tcPr>
            <w:tcW w:w="2311" w:type="dxa"/>
            <w:shd w:val="clear" w:color="auto" w:fill="auto"/>
          </w:tcPr>
          <w:p w14:paraId="536957E1"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Oil-tree compressor</w:t>
            </w:r>
          </w:p>
        </w:tc>
        <w:tc>
          <w:tcPr>
            <w:tcW w:w="2311" w:type="dxa"/>
            <w:shd w:val="clear" w:color="auto" w:fill="auto"/>
          </w:tcPr>
          <w:p w14:paraId="0B5D3CB1"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Poison locker</w:t>
            </w:r>
          </w:p>
        </w:tc>
      </w:tr>
      <w:tr w:rsidR="003852DC" w14:paraId="737603E7" w14:textId="77777777" w:rsidTr="003852DC">
        <w:tc>
          <w:tcPr>
            <w:cnfStyle w:val="001000000000" w:firstRow="0" w:lastRow="0" w:firstColumn="1" w:lastColumn="0" w:oddVBand="0" w:evenVBand="0" w:oddHBand="0" w:evenHBand="0" w:firstRowFirstColumn="0" w:firstRowLastColumn="0" w:lastRowFirstColumn="0" w:lastRowLastColumn="0"/>
            <w:tcW w:w="2310" w:type="dxa"/>
            <w:shd w:val="clear" w:color="auto" w:fill="auto"/>
          </w:tcPr>
          <w:p w14:paraId="4F74BF92" w14:textId="77777777" w:rsidR="003852DC" w:rsidRDefault="003852DC" w:rsidP="003852DC">
            <w:pPr>
              <w:spacing w:after="0" w:line="240" w:lineRule="auto"/>
              <w:rPr>
                <w:rFonts w:ascii="Book Antiqua" w:hAnsi="Book Antiqua"/>
              </w:rPr>
            </w:pPr>
            <w:r w:rsidRPr="00E3232D">
              <w:rPr>
                <w:rFonts w:ascii="Book Antiqua" w:hAnsi="Book Antiqua"/>
              </w:rPr>
              <w:t xml:space="preserve">Fluoroscopy      </w:t>
            </w:r>
          </w:p>
        </w:tc>
        <w:tc>
          <w:tcPr>
            <w:tcW w:w="2311" w:type="dxa"/>
            <w:shd w:val="clear" w:color="auto" w:fill="auto"/>
          </w:tcPr>
          <w:p w14:paraId="4CE61616" w14:textId="77777777" w:rsidR="003852DC" w:rsidRDefault="003852DC" w:rsidP="003852DC">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bCs/>
              </w:rPr>
              <w:t xml:space="preserve">Microplate Washer       </w:t>
            </w:r>
            <w:r>
              <w:rPr>
                <w:rFonts w:ascii="Book Antiqua" w:hAnsi="Book Antiqua"/>
                <w:bCs/>
              </w:rPr>
              <w:t xml:space="preserve"> </w:t>
            </w:r>
          </w:p>
        </w:tc>
        <w:tc>
          <w:tcPr>
            <w:tcW w:w="2311" w:type="dxa"/>
            <w:shd w:val="clear" w:color="auto" w:fill="auto"/>
          </w:tcPr>
          <w:p w14:paraId="31EA1FDC" w14:textId="77777777" w:rsidR="003852DC" w:rsidRDefault="003852DC" w:rsidP="003852DC">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rPr>
              <w:t>Dental Instrument Set</w:t>
            </w:r>
          </w:p>
        </w:tc>
        <w:tc>
          <w:tcPr>
            <w:tcW w:w="2311" w:type="dxa"/>
            <w:shd w:val="clear" w:color="auto" w:fill="auto"/>
          </w:tcPr>
          <w:p w14:paraId="7DD51AE7" w14:textId="77777777" w:rsidR="003852DC" w:rsidRPr="00CB15C7" w:rsidRDefault="003852DC" w:rsidP="003852DC">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olor w:val="auto"/>
              </w:rPr>
            </w:pPr>
            <w:r w:rsidRPr="00E3232D">
              <w:rPr>
                <w:rFonts w:ascii="Book Antiqua" w:hAnsi="Book Antiqua"/>
              </w:rPr>
              <w:t>Electrosurgical Unit</w:t>
            </w:r>
          </w:p>
        </w:tc>
      </w:tr>
      <w:tr w:rsidR="003852DC" w14:paraId="33C15C3C" w14:textId="77777777" w:rsidTr="003852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auto"/>
          </w:tcPr>
          <w:p w14:paraId="1180BC04" w14:textId="77777777" w:rsidR="003852DC" w:rsidRDefault="003852DC" w:rsidP="003852DC">
            <w:pPr>
              <w:spacing w:after="0" w:line="240" w:lineRule="auto"/>
              <w:rPr>
                <w:rFonts w:ascii="Book Antiqua" w:hAnsi="Book Antiqua"/>
              </w:rPr>
            </w:pPr>
            <w:r w:rsidRPr="00E3232D">
              <w:rPr>
                <w:rFonts w:ascii="Book Antiqua" w:hAnsi="Book Antiqua"/>
              </w:rPr>
              <w:t>Ultra Sound</w:t>
            </w:r>
          </w:p>
        </w:tc>
        <w:tc>
          <w:tcPr>
            <w:tcW w:w="2311" w:type="dxa"/>
            <w:shd w:val="clear" w:color="auto" w:fill="auto"/>
          </w:tcPr>
          <w:p w14:paraId="12B9AC1D"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P</w:t>
            </w:r>
            <w:r w:rsidRPr="00E3232D">
              <w:rPr>
                <w:rFonts w:ascii="Book Antiqua" w:hAnsi="Book Antiqua"/>
                <w:vertAlign w:val="superscript"/>
              </w:rPr>
              <w:t xml:space="preserve">H </w:t>
            </w:r>
            <w:r w:rsidRPr="00E3232D">
              <w:rPr>
                <w:rFonts w:ascii="Book Antiqua" w:hAnsi="Book Antiqua"/>
              </w:rPr>
              <w:t xml:space="preserve">Meter, Balances           </w:t>
            </w:r>
          </w:p>
        </w:tc>
        <w:tc>
          <w:tcPr>
            <w:tcW w:w="2311" w:type="dxa"/>
            <w:shd w:val="clear" w:color="auto" w:fill="auto"/>
          </w:tcPr>
          <w:p w14:paraId="780C9306"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 xml:space="preserve">Table top autoclave                 </w:t>
            </w:r>
          </w:p>
        </w:tc>
        <w:tc>
          <w:tcPr>
            <w:tcW w:w="2311" w:type="dxa"/>
            <w:shd w:val="clear" w:color="auto" w:fill="auto"/>
          </w:tcPr>
          <w:p w14:paraId="157139C1"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mattress Operation</w:t>
            </w:r>
          </w:p>
        </w:tc>
      </w:tr>
      <w:tr w:rsidR="003852DC" w14:paraId="6FD6D154" w14:textId="77777777" w:rsidTr="003852DC">
        <w:tc>
          <w:tcPr>
            <w:cnfStyle w:val="001000000000" w:firstRow="0" w:lastRow="0" w:firstColumn="1" w:lastColumn="0" w:oddVBand="0" w:evenVBand="0" w:oddHBand="0" w:evenHBand="0" w:firstRowFirstColumn="0" w:firstRowLastColumn="0" w:lastRowFirstColumn="0" w:lastRowLastColumn="0"/>
            <w:tcW w:w="2310" w:type="dxa"/>
            <w:shd w:val="clear" w:color="auto" w:fill="auto"/>
          </w:tcPr>
          <w:p w14:paraId="1BFC2957" w14:textId="77777777" w:rsidR="003852DC" w:rsidRDefault="003852DC" w:rsidP="003852DC">
            <w:pPr>
              <w:spacing w:after="0" w:line="240" w:lineRule="auto"/>
              <w:rPr>
                <w:rFonts w:ascii="Book Antiqua" w:hAnsi="Book Antiqua"/>
              </w:rPr>
            </w:pPr>
            <w:r>
              <w:rPr>
                <w:rFonts w:ascii="Book Antiqua" w:hAnsi="Book Antiqua"/>
              </w:rPr>
              <w:t>MRI, PET</w:t>
            </w:r>
          </w:p>
        </w:tc>
        <w:tc>
          <w:tcPr>
            <w:tcW w:w="2311" w:type="dxa"/>
            <w:shd w:val="clear" w:color="auto" w:fill="auto"/>
          </w:tcPr>
          <w:p w14:paraId="33CAA348" w14:textId="77777777" w:rsidR="003852DC" w:rsidRDefault="003852DC" w:rsidP="003852DC">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rPr>
              <w:t xml:space="preserve">Water Bath, Biological     </w:t>
            </w:r>
          </w:p>
        </w:tc>
        <w:tc>
          <w:tcPr>
            <w:tcW w:w="2311" w:type="dxa"/>
            <w:shd w:val="clear" w:color="auto" w:fill="auto"/>
          </w:tcPr>
          <w:p w14:paraId="7FE6CF3A" w14:textId="77777777" w:rsidR="003852DC" w:rsidRDefault="003852DC" w:rsidP="003852DC">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rPr>
              <w:t>Ultrasonic scaler, Dental unit-</w:t>
            </w:r>
          </w:p>
        </w:tc>
        <w:tc>
          <w:tcPr>
            <w:tcW w:w="2311" w:type="dxa"/>
            <w:shd w:val="clear" w:color="auto" w:fill="auto"/>
          </w:tcPr>
          <w:p w14:paraId="54A8EE9D" w14:textId="77777777" w:rsidR="003852DC" w:rsidRDefault="003852DC" w:rsidP="003852DC">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rPr>
              <w:t>Anesthesia Cryogen</w:t>
            </w:r>
          </w:p>
        </w:tc>
      </w:tr>
      <w:tr w:rsidR="003852DC" w14:paraId="2BBE0B4E" w14:textId="77777777" w:rsidTr="003852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auto"/>
          </w:tcPr>
          <w:p w14:paraId="1F296A9F" w14:textId="77777777" w:rsidR="003852DC" w:rsidRDefault="003852DC" w:rsidP="003852DC">
            <w:pPr>
              <w:spacing w:after="0" w:line="240" w:lineRule="auto"/>
              <w:rPr>
                <w:rFonts w:ascii="Book Antiqua" w:hAnsi="Book Antiqua"/>
              </w:rPr>
            </w:pPr>
            <w:r>
              <w:rPr>
                <w:rFonts w:ascii="Book Antiqua" w:hAnsi="Book Antiqua"/>
              </w:rPr>
              <w:t>SPECT etc</w:t>
            </w:r>
          </w:p>
        </w:tc>
        <w:tc>
          <w:tcPr>
            <w:tcW w:w="2311" w:type="dxa"/>
            <w:shd w:val="clear" w:color="auto" w:fill="auto"/>
          </w:tcPr>
          <w:p w14:paraId="12EC06D8"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Safety cabinet, centrifuge</w:t>
            </w:r>
          </w:p>
        </w:tc>
        <w:tc>
          <w:tcPr>
            <w:tcW w:w="2311" w:type="dxa"/>
            <w:shd w:val="clear" w:color="auto" w:fill="auto"/>
          </w:tcPr>
          <w:p w14:paraId="03CF3EF9"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mounted</w:t>
            </w:r>
            <w:r>
              <w:rPr>
                <w:rFonts w:ascii="Book Antiqua" w:hAnsi="Book Antiqua"/>
              </w:rPr>
              <w:t xml:space="preserve"> X-ray machine</w:t>
            </w:r>
          </w:p>
        </w:tc>
        <w:tc>
          <w:tcPr>
            <w:tcW w:w="2311" w:type="dxa"/>
            <w:shd w:val="clear" w:color="auto" w:fill="auto"/>
          </w:tcPr>
          <w:p w14:paraId="40AF9A44"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 xml:space="preserve">Equipment, Diathermy                </w:t>
            </w:r>
          </w:p>
        </w:tc>
      </w:tr>
      <w:tr w:rsidR="003852DC" w14:paraId="09E33222" w14:textId="77777777" w:rsidTr="003852DC">
        <w:tc>
          <w:tcPr>
            <w:cnfStyle w:val="001000000000" w:firstRow="0" w:lastRow="0" w:firstColumn="1" w:lastColumn="0" w:oddVBand="0" w:evenVBand="0" w:oddHBand="0" w:evenHBand="0" w:firstRowFirstColumn="0" w:firstRowLastColumn="0" w:lastRowFirstColumn="0" w:lastRowLastColumn="0"/>
            <w:tcW w:w="2310" w:type="dxa"/>
            <w:shd w:val="clear" w:color="auto" w:fill="auto"/>
          </w:tcPr>
          <w:p w14:paraId="34C478B1" w14:textId="77777777" w:rsidR="003852DC" w:rsidRDefault="003852DC" w:rsidP="003852DC">
            <w:pPr>
              <w:spacing w:after="0" w:line="240" w:lineRule="auto"/>
              <w:rPr>
                <w:rFonts w:ascii="Book Antiqua" w:hAnsi="Book Antiqua"/>
              </w:rPr>
            </w:pPr>
          </w:p>
        </w:tc>
        <w:tc>
          <w:tcPr>
            <w:tcW w:w="2311" w:type="dxa"/>
            <w:shd w:val="clear" w:color="auto" w:fill="auto"/>
          </w:tcPr>
          <w:p w14:paraId="7056F178" w14:textId="77777777" w:rsidR="003852DC" w:rsidRDefault="003852DC" w:rsidP="003852DC">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bCs/>
              </w:rPr>
              <w:t>Water Distiller, Dispenser</w:t>
            </w:r>
            <w:r>
              <w:rPr>
                <w:rFonts w:ascii="Book Antiqua" w:hAnsi="Book Antiqua"/>
                <w:bCs/>
              </w:rPr>
              <w:t xml:space="preserve">  </w:t>
            </w:r>
          </w:p>
        </w:tc>
        <w:tc>
          <w:tcPr>
            <w:tcW w:w="2311" w:type="dxa"/>
            <w:shd w:val="clear" w:color="auto" w:fill="auto"/>
          </w:tcPr>
          <w:p w14:paraId="527A7A42" w14:textId="77777777" w:rsidR="003852DC" w:rsidRDefault="003852DC" w:rsidP="003852DC">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rPr>
              <w:t>Vibrator Electric hotplate</w:t>
            </w:r>
          </w:p>
        </w:tc>
        <w:tc>
          <w:tcPr>
            <w:tcW w:w="2311" w:type="dxa"/>
            <w:shd w:val="clear" w:color="auto" w:fill="auto"/>
          </w:tcPr>
          <w:p w14:paraId="3FB124F2" w14:textId="77777777" w:rsidR="003852DC" w:rsidRDefault="003852DC" w:rsidP="003852DC">
            <w:pPr>
              <w:spacing w:after="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E3232D">
              <w:rPr>
                <w:rFonts w:ascii="Book Antiqua" w:hAnsi="Book Antiqua"/>
              </w:rPr>
              <w:t xml:space="preserve">operating Light                </w:t>
            </w:r>
          </w:p>
        </w:tc>
      </w:tr>
      <w:tr w:rsidR="003852DC" w14:paraId="75F4E2FE" w14:textId="77777777" w:rsidTr="003852D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310" w:type="dxa"/>
            <w:shd w:val="clear" w:color="auto" w:fill="auto"/>
          </w:tcPr>
          <w:p w14:paraId="6C06EA23" w14:textId="77777777" w:rsidR="003852DC" w:rsidRDefault="003852DC" w:rsidP="003852DC">
            <w:pPr>
              <w:spacing w:after="0" w:line="240" w:lineRule="auto"/>
              <w:rPr>
                <w:rFonts w:ascii="Book Antiqua" w:hAnsi="Book Antiqua"/>
              </w:rPr>
            </w:pPr>
          </w:p>
        </w:tc>
        <w:tc>
          <w:tcPr>
            <w:tcW w:w="2311" w:type="dxa"/>
            <w:shd w:val="clear" w:color="auto" w:fill="auto"/>
          </w:tcPr>
          <w:p w14:paraId="60512BDC"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bCs/>
              </w:rPr>
              <w:t>Spectrophotometer</w:t>
            </w:r>
          </w:p>
        </w:tc>
        <w:tc>
          <w:tcPr>
            <w:tcW w:w="2311" w:type="dxa"/>
            <w:shd w:val="clear" w:color="auto" w:fill="auto"/>
          </w:tcPr>
          <w:p w14:paraId="250C8D89"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Plaster mould trimmer</w:t>
            </w:r>
          </w:p>
        </w:tc>
        <w:tc>
          <w:tcPr>
            <w:tcW w:w="2311" w:type="dxa"/>
            <w:shd w:val="clear" w:color="auto" w:fill="auto"/>
          </w:tcPr>
          <w:p w14:paraId="6D9E88D9" w14:textId="77777777" w:rsidR="003852DC" w:rsidRDefault="003852DC" w:rsidP="003852DC">
            <w:pPr>
              <w:spacing w:after="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E3232D">
              <w:rPr>
                <w:rFonts w:ascii="Book Antiqua" w:hAnsi="Book Antiqua"/>
              </w:rPr>
              <w:t>Halothane Vaporizer</w:t>
            </w:r>
          </w:p>
        </w:tc>
      </w:tr>
    </w:tbl>
    <w:p w14:paraId="4EB51558" w14:textId="77777777" w:rsidR="003852DC" w:rsidRDefault="003852DC" w:rsidP="003852DC">
      <w:pPr>
        <w:spacing w:after="0"/>
        <w:rPr>
          <w:rFonts w:ascii="Book Antiqua" w:hAnsi="Book Antiqua"/>
          <w:color w:val="000000"/>
        </w:rPr>
      </w:pPr>
    </w:p>
    <w:p w14:paraId="1400C08A" w14:textId="77777777" w:rsidR="003852DC" w:rsidRDefault="003852DC" w:rsidP="003852DC">
      <w:pPr>
        <w:rPr>
          <w:rFonts w:ascii="Book Antiqua" w:hAnsi="Book Antiqua"/>
          <w:color w:val="000000"/>
        </w:rPr>
      </w:pPr>
    </w:p>
    <w:p w14:paraId="7BE7335D" w14:textId="77777777" w:rsidR="003852DC" w:rsidRDefault="003852DC" w:rsidP="003852DC">
      <w:pPr>
        <w:rPr>
          <w:rFonts w:ascii="Book Antiqua" w:hAnsi="Book Antiqua"/>
          <w:color w:val="000000"/>
        </w:rPr>
      </w:pPr>
    </w:p>
    <w:p w14:paraId="6FAA70B1" w14:textId="77777777" w:rsidR="003852DC" w:rsidRDefault="003852DC" w:rsidP="003852DC">
      <w:pPr>
        <w:rPr>
          <w:rFonts w:ascii="Book Antiqua" w:hAnsi="Book Antiqua"/>
          <w:color w:val="000000"/>
        </w:rPr>
      </w:pPr>
    </w:p>
    <w:p w14:paraId="78B22484" w14:textId="77777777" w:rsidR="003852DC" w:rsidRPr="00E4444C" w:rsidRDefault="003852DC" w:rsidP="003852DC">
      <w:pPr>
        <w:rPr>
          <w:rFonts w:ascii="Book Antiqua" w:hAnsi="Book Antiqua"/>
          <w:color w:val="000000"/>
        </w:rPr>
        <w:sectPr w:rsidR="003852DC" w:rsidRPr="00E4444C" w:rsidSect="00567A0B">
          <w:type w:val="continuous"/>
          <w:pgSz w:w="11907" w:h="16839" w:code="9"/>
          <w:pgMar w:top="1440" w:right="1440" w:bottom="1440" w:left="1440" w:header="720" w:footer="720" w:gutter="0"/>
          <w:cols w:num="2" w:space="720"/>
          <w:docGrid w:linePitch="360"/>
        </w:sectPr>
      </w:pPr>
      <w:r w:rsidRPr="00E3232D">
        <w:rPr>
          <w:rFonts w:ascii="Book Antiqua" w:hAnsi="Book Antiqua"/>
          <w:color w:val="000000"/>
        </w:rPr>
        <w:t xml:space="preserve">JICA Expert </w:t>
      </w:r>
      <w:r>
        <w:rPr>
          <w:rFonts w:ascii="Book Antiqua" w:hAnsi="Book Antiqua"/>
          <w:color w:val="000000"/>
        </w:rPr>
        <w:t>on Medical Equipment Management</w:t>
      </w:r>
    </w:p>
    <w:p w14:paraId="652FE3A5" w14:textId="77777777" w:rsidR="003852DC" w:rsidRPr="00A819A9" w:rsidRDefault="003852DC" w:rsidP="003852DC">
      <w:pPr>
        <w:spacing w:after="0"/>
        <w:rPr>
          <w:rFonts w:ascii="Book Antiqua" w:hAnsi="Book Antiqua"/>
          <w:color w:val="000000"/>
        </w:rPr>
      </w:pPr>
      <w:r w:rsidRPr="00E3232D">
        <w:rPr>
          <w:rFonts w:ascii="Book Antiqua" w:hAnsi="Book Antiqua"/>
          <w:color w:val="000000"/>
        </w:rPr>
        <w:t xml:space="preserve">  </w:t>
      </w:r>
    </w:p>
    <w:p w14:paraId="793D2F58" w14:textId="77777777" w:rsidR="003852DC" w:rsidRDefault="003852DC" w:rsidP="003852DC">
      <w:pPr>
        <w:tabs>
          <w:tab w:val="left" w:pos="4788"/>
        </w:tabs>
        <w:autoSpaceDE w:val="0"/>
        <w:autoSpaceDN w:val="0"/>
        <w:adjustRightInd w:val="0"/>
        <w:rPr>
          <w:rFonts w:ascii="Book Antiqua" w:hAnsi="Book Antiqua"/>
        </w:rPr>
        <w:sectPr w:rsidR="003852DC" w:rsidSect="007B0C2E">
          <w:type w:val="continuous"/>
          <w:pgSz w:w="11907" w:h="16839" w:code="9"/>
          <w:pgMar w:top="1440" w:right="1440" w:bottom="1440" w:left="1440" w:header="720" w:footer="720" w:gutter="0"/>
          <w:cols w:space="720"/>
          <w:docGrid w:linePitch="360"/>
        </w:sectPr>
      </w:pPr>
    </w:p>
    <w:p w14:paraId="3B4E2D38" w14:textId="77777777" w:rsidR="003852DC" w:rsidRPr="00720B1A" w:rsidRDefault="003852DC" w:rsidP="003852DC">
      <w:pPr>
        <w:autoSpaceDE w:val="0"/>
        <w:autoSpaceDN w:val="0"/>
        <w:adjustRightInd w:val="0"/>
        <w:spacing w:before="240"/>
        <w:jc w:val="both"/>
        <w:rPr>
          <w:rFonts w:ascii="Book Antiqua" w:hAnsi="Book Antiqua"/>
          <w:color w:val="000000"/>
        </w:rPr>
      </w:pPr>
      <w:r w:rsidRPr="00E3232D">
        <w:rPr>
          <w:rFonts w:ascii="Book Antiqua" w:hAnsi="Book Antiqua"/>
          <w:color w:val="000000"/>
        </w:rPr>
        <w:t xml:space="preserve">Table. 3.1. Shows classification of medical equipment in terms of usage at the Healthcare centres of the country. This gives an indication of variety of expertise required to be trained to handle and maintained the medical equipment maintenance training. The project would require some years to penetrate into the market and capture a significant share. It must start providing services at 75% and 90% of its rated capacity in the first and second year of service provision, respectively.  Full service provision shall be attained in the third year and then after. The service operation has to be given for one shift of eight hours per day.      </w:t>
      </w:r>
    </w:p>
    <w:p w14:paraId="412986B3" w14:textId="77777777" w:rsidR="003852DC" w:rsidRDefault="003852DC" w:rsidP="003852DC">
      <w:pPr>
        <w:jc w:val="both"/>
        <w:rPr>
          <w:rFonts w:ascii="Book Antiqua" w:hAnsi="Book Antiqua"/>
          <w:b/>
          <w:color w:val="000000"/>
        </w:rPr>
      </w:pPr>
    </w:p>
    <w:p w14:paraId="71215432" w14:textId="77777777" w:rsidR="003852DC" w:rsidRDefault="003852DC" w:rsidP="003852DC">
      <w:pPr>
        <w:jc w:val="both"/>
        <w:rPr>
          <w:rFonts w:ascii="Book Antiqua" w:hAnsi="Book Antiqua"/>
          <w:b/>
          <w:color w:val="000000"/>
        </w:rPr>
      </w:pPr>
    </w:p>
    <w:p w14:paraId="26A7F3D5" w14:textId="77777777" w:rsidR="003852DC" w:rsidRPr="00E3232D" w:rsidRDefault="003852DC" w:rsidP="003852DC">
      <w:pPr>
        <w:ind w:left="720" w:hanging="720"/>
        <w:jc w:val="both"/>
        <w:rPr>
          <w:rFonts w:ascii="Book Antiqua" w:hAnsi="Book Antiqua"/>
          <w:b/>
          <w:color w:val="000000"/>
        </w:rPr>
      </w:pPr>
      <w:r w:rsidRPr="00E3232D">
        <w:rPr>
          <w:rFonts w:ascii="Book Antiqua" w:hAnsi="Book Antiqua"/>
          <w:b/>
          <w:color w:val="000000"/>
        </w:rPr>
        <w:t xml:space="preserve"> 4.0. International Medical Equipment Industry Survey</w:t>
      </w:r>
    </w:p>
    <w:p w14:paraId="1441FAFD" w14:textId="77777777" w:rsidR="003852DC" w:rsidRDefault="003852DC" w:rsidP="003852DC">
      <w:pPr>
        <w:jc w:val="both"/>
        <w:rPr>
          <w:rFonts w:ascii="Book Antiqua" w:hAnsi="Book Antiqua"/>
          <w:color w:val="000000"/>
        </w:rPr>
      </w:pPr>
      <w:r w:rsidRPr="00E3232D">
        <w:rPr>
          <w:rFonts w:ascii="Book Antiqua" w:hAnsi="Book Antiqua"/>
          <w:color w:val="000000"/>
        </w:rPr>
        <w:t xml:space="preserve">The international medical equipment industry is extremely diverse. The spectrum of available medical equipment ranges from the most elementary mechanical apparatus, such as the hand operated table-top centrifuge, to the most sophisticated diagnostic and therapeutic equipment, such as computer tomography.  It is estimated that the range of medical equipment incorporates approximately 6,000 generic entities and an estimated 750,000 or more brands and models, ranging from simple articles to very complex systems.  These devices are produced by an estimated 12,000 manufacturer’s world-wide (World Bank, 1993:138).  </w:t>
      </w:r>
    </w:p>
    <w:p w14:paraId="42466FC3" w14:textId="77777777" w:rsidR="003852DC" w:rsidRPr="00CA3A27" w:rsidRDefault="003852DC" w:rsidP="003852DC">
      <w:pPr>
        <w:jc w:val="both"/>
        <w:rPr>
          <w:rFonts w:ascii="Book Antiqua" w:hAnsi="Book Antiqua"/>
          <w:color w:val="000000"/>
        </w:rPr>
      </w:pPr>
      <w:r w:rsidRPr="00E3232D">
        <w:rPr>
          <w:rFonts w:ascii="Book Antiqua" w:hAnsi="Book Antiqua"/>
          <w:color w:val="000000"/>
        </w:rPr>
        <w:t xml:space="preserve">Today, there are more than 10,000 types of medical equipment available in the Ghanaian Hospitals and market. The selection of appropriate medical equipment always depends on local, regional or national requirements; factors to consider include the type of health facility where the equipment are to be used, the health work force available and the burden of disease experienced in the specific catchment area. It is therefore impossible to make a list of core medical equipment which would be exhaustive and/or universally applicable. </w:t>
      </w:r>
    </w:p>
    <w:p w14:paraId="233A59FE" w14:textId="77777777" w:rsidR="003852DC" w:rsidRPr="00E3232D" w:rsidRDefault="003852DC" w:rsidP="003852DC">
      <w:pPr>
        <w:jc w:val="both"/>
        <w:rPr>
          <w:rFonts w:ascii="Book Antiqua" w:hAnsi="Book Antiqua"/>
          <w:b/>
          <w:bCs/>
          <w:color w:val="000000"/>
        </w:rPr>
      </w:pPr>
      <w:r w:rsidRPr="00E3232D">
        <w:rPr>
          <w:rFonts w:ascii="Book Antiqua" w:hAnsi="Book Antiqua"/>
          <w:b/>
          <w:bCs/>
          <w:color w:val="000000"/>
        </w:rPr>
        <w:t>4.1. Training Capacity and Course Certification</w:t>
      </w:r>
    </w:p>
    <w:p w14:paraId="109B2A10" w14:textId="77777777" w:rsidR="003852DC"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Bloom suggests a comprehensive list of skills related to equipment management, for which training is required (Bloom, 1988).  These skills include (a) selection of equipment, (b) writing and adjudicating tenders, (c) procurement, (d) operation of equipment,(e) maintenance of equipment, (f) equipment management.  In his opinion the capacity and competence should be in place, either locally or externally, to provide instruction in</w:t>
      </w:r>
      <w:r w:rsidRPr="00E3232D">
        <w:rPr>
          <w:rFonts w:ascii="Book Antiqua" w:hAnsi="Book Antiqua"/>
        </w:rPr>
        <w:t xml:space="preserve"> </w:t>
      </w:r>
      <w:r w:rsidRPr="00E3232D">
        <w:rPr>
          <w:rFonts w:ascii="Book Antiqua" w:hAnsi="Book Antiqua"/>
          <w:color w:val="000000"/>
        </w:rPr>
        <w:t>these areas. Mallouppas emphasizes the need for training of national staff from managers to engineers and technicians, as well</w:t>
      </w:r>
      <w:r>
        <w:rPr>
          <w:rFonts w:ascii="Book Antiqua" w:hAnsi="Book Antiqua"/>
          <w:color w:val="000000"/>
        </w:rPr>
        <w:t xml:space="preserve"> as users (Mallouppas, 1988). </w:t>
      </w:r>
      <w:r w:rsidRPr="00E3232D">
        <w:rPr>
          <w:rFonts w:ascii="Book Antiqua" w:hAnsi="Book Antiqua"/>
          <w:color w:val="000000"/>
        </w:rPr>
        <w:t>A number of developing countries have indeed developed National Training Centres, some of which</w:t>
      </w:r>
      <w:r w:rsidRPr="00E3232D">
        <w:rPr>
          <w:rFonts w:ascii="Book Antiqua" w:hAnsi="Book Antiqua"/>
        </w:rPr>
        <w:t xml:space="preserve"> </w:t>
      </w:r>
      <w:r w:rsidRPr="00E3232D">
        <w:rPr>
          <w:rFonts w:ascii="Book Antiqua" w:hAnsi="Book Antiqua"/>
          <w:color w:val="000000"/>
        </w:rPr>
        <w:t>are used as Inter-country Training Centres, sponsored by the World Health Organization and other international aid organizations.</w:t>
      </w:r>
    </w:p>
    <w:p w14:paraId="2BA9518D" w14:textId="77777777" w:rsidR="003852DC" w:rsidRPr="00CA3A27" w:rsidRDefault="003852DC" w:rsidP="003852DC">
      <w:pPr>
        <w:autoSpaceDE w:val="0"/>
        <w:autoSpaceDN w:val="0"/>
        <w:adjustRightInd w:val="0"/>
        <w:jc w:val="both"/>
        <w:rPr>
          <w:rFonts w:ascii="Book Antiqua" w:hAnsi="Book Antiqua"/>
          <w:color w:val="000000"/>
        </w:rPr>
      </w:pPr>
      <w:r w:rsidRPr="00E3232D">
        <w:rPr>
          <w:rFonts w:ascii="Book Antiqua" w:hAnsi="Book Antiqua"/>
          <w:color w:val="000000"/>
        </w:rPr>
        <w:t>In the absence of specialized Training Centres, for example in Ghana , the development of basic skills, applicable to medical equipment services, can to some extent be provided by the national education system.  In practice one will need to look at the technical training provided by various technical institutes, from Vocational Training Centres toUniversities.Mallouppas stresses that one needs to investigate and determine the available potential of local technical training institutions in providing training support in the field of maintenance and repair of health care equipment.  He goes on to say that</w:t>
      </w:r>
      <w:r w:rsidRPr="00E3232D">
        <w:rPr>
          <w:rFonts w:ascii="Book Antiqua" w:hAnsi="Book Antiqua"/>
        </w:rPr>
        <w:t xml:space="preserve"> </w:t>
      </w:r>
      <w:r w:rsidRPr="00E3232D">
        <w:rPr>
          <w:rFonts w:ascii="Book Antiqua" w:hAnsi="Book Antiqua"/>
          <w:color w:val="000000"/>
        </w:rPr>
        <w:t>links between Regional Training Centres need to be established.  In addition training by manufacturers and suppliers of equipment is regarded as an important source of skills</w:t>
      </w:r>
      <w:r w:rsidRPr="00E3232D">
        <w:rPr>
          <w:rFonts w:ascii="Book Antiqua" w:hAnsi="Book Antiqua"/>
        </w:rPr>
        <w:t xml:space="preserve"> </w:t>
      </w:r>
      <w:r w:rsidRPr="00E3232D">
        <w:rPr>
          <w:rFonts w:ascii="Book Antiqua" w:hAnsi="Book Antiqua"/>
          <w:color w:val="000000"/>
        </w:rPr>
        <w:t>development. Formal certification of in-country technical training courses for medical and paramedical staff provides a potential incentive for employees.  McKie (1987) emphasizes that in order for a training scheme to be successful in producing the right quality and quantity of staff it is necessary that the assessment of merits leads to a certificate, diploma or degree, which in turn will guarantee an appropriate monetary award for graduates, which is meaningful in a national context.</w:t>
      </w:r>
    </w:p>
    <w:p w14:paraId="19AA485F" w14:textId="77777777" w:rsidR="003852DC" w:rsidRPr="00E3232D" w:rsidRDefault="003852DC" w:rsidP="003852DC">
      <w:pPr>
        <w:jc w:val="both"/>
        <w:rPr>
          <w:rFonts w:ascii="Book Antiqua" w:hAnsi="Book Antiqua"/>
          <w:b/>
          <w:color w:val="000000"/>
        </w:rPr>
      </w:pPr>
      <w:r w:rsidRPr="00E3232D">
        <w:rPr>
          <w:rFonts w:ascii="Book Antiqua" w:hAnsi="Book Antiqua"/>
          <w:b/>
          <w:color w:val="000000"/>
        </w:rPr>
        <w:t xml:space="preserve">5.0. </w:t>
      </w:r>
      <w:r w:rsidRPr="00CA3A27">
        <w:rPr>
          <w:rFonts w:ascii="Book Antiqua" w:hAnsi="Book Antiqua"/>
          <w:b/>
          <w:color w:val="000000"/>
          <w:sz w:val="24"/>
        </w:rPr>
        <w:t>Conclusion and Recommendation</w:t>
      </w:r>
    </w:p>
    <w:p w14:paraId="34A71631" w14:textId="77777777" w:rsidR="003852DC" w:rsidRPr="00E3232D" w:rsidRDefault="003852DC" w:rsidP="003852DC">
      <w:pPr>
        <w:jc w:val="both"/>
        <w:rPr>
          <w:rFonts w:ascii="Book Antiqua" w:hAnsi="Book Antiqua"/>
        </w:rPr>
      </w:pPr>
      <w:r w:rsidRPr="00E3232D">
        <w:rPr>
          <w:rFonts w:ascii="Book Antiqua" w:hAnsi="Book Antiqua"/>
          <w:color w:val="000000"/>
        </w:rPr>
        <w:t>Healthcare is increasingly becoming technology oriented. Sophisticated medical equipment is being used in almost all Healthcare sectors of the country. The Government, through the Ministry of Health import large volumes of medical equipment worth millions of Ghana Cedi yearly to be distributed in  all  Districts and Regional Hospitals of the country. Many a times, valuable medical equipment would lie idle in a hospital or healthcare centre for want of simple repairs or replacement of defective part(s). In Ghana, there is no Centre established to train middle level manpower in Medical Equipment Technology.</w:t>
      </w:r>
      <w:r w:rsidRPr="00E3232D">
        <w:rPr>
          <w:rFonts w:ascii="Book Antiqua" w:hAnsi="Book Antiqua"/>
        </w:rPr>
        <w:t xml:space="preserve"> This poses a huge challenge in achieving the MDG target on Health care delivery.</w:t>
      </w:r>
    </w:p>
    <w:p w14:paraId="090B19B1" w14:textId="77777777" w:rsidR="003852DC" w:rsidRPr="00E3232D" w:rsidRDefault="003852DC" w:rsidP="003852DC">
      <w:pPr>
        <w:jc w:val="both"/>
        <w:rPr>
          <w:rFonts w:ascii="Book Antiqua" w:hAnsi="Book Antiqua"/>
          <w:color w:val="000000"/>
        </w:rPr>
      </w:pPr>
      <w:r w:rsidRPr="00E3232D">
        <w:rPr>
          <w:rFonts w:ascii="Book Antiqua" w:hAnsi="Book Antiqua"/>
        </w:rPr>
        <w:t>The minimal training provided to laboratory, X-ray or Ultrasonic equipment and apparatus operating technicians do not go beyond rudimentary operational procedures. These equipment are designed with strict safety standards; and in the event of a malfunction, the operators are lost on how to proceed.</w:t>
      </w:r>
      <w:r w:rsidRPr="00E3232D">
        <w:rPr>
          <w:rFonts w:ascii="Book Antiqua" w:hAnsi="Book Antiqua"/>
          <w:color w:val="000000"/>
        </w:rPr>
        <w:t xml:space="preserve"> This affects the quality of healthcare delivery being provided in that hospital/centre adversely. In order to improve the quality of healthcare it is imperative that medical equipments are operational all the time. These equipments not only require special operational training but also their maintenance is very costly in monetary as well as opportunity term. To facilitate maintenance of these equipments the operators are required to be made more conversant with the technology, simple handling and maintenance processes. Thus there is a demand of having a ready availability of technically trained healthcare professionals to carry out timely repair, service and maintenance of these equipments. The solution therefore would be the establishment of TVET Centre for Medical Equipment Technology This Centre would develop the manpower needs  of the country regarding: Health Care Technical Services , Medical Equipment Maintenance Management Systems and Medical Equipment Monitoring, either on a national level or on the level of privately operating agencies.</w:t>
      </w:r>
    </w:p>
    <w:p w14:paraId="09E53E25" w14:textId="77777777" w:rsidR="003852DC" w:rsidRDefault="003852DC" w:rsidP="003852DC">
      <w:pPr>
        <w:jc w:val="both"/>
        <w:rPr>
          <w:rFonts w:ascii="Book Antiqua" w:hAnsi="Book Antiqua"/>
          <w:b/>
          <w:color w:val="000000"/>
          <w:sz w:val="26"/>
        </w:rPr>
      </w:pPr>
    </w:p>
    <w:p w14:paraId="3A8DD6AD" w14:textId="77777777" w:rsidR="003852DC" w:rsidRPr="00E3232D" w:rsidRDefault="003852DC" w:rsidP="003852DC">
      <w:pPr>
        <w:jc w:val="both"/>
        <w:rPr>
          <w:rFonts w:ascii="Book Antiqua" w:hAnsi="Book Antiqua"/>
          <w:b/>
          <w:color w:val="000000"/>
        </w:rPr>
      </w:pPr>
      <w:r w:rsidRPr="00CA3A27">
        <w:rPr>
          <w:rFonts w:ascii="Book Antiqua" w:hAnsi="Book Antiqua"/>
          <w:b/>
          <w:color w:val="000000"/>
          <w:sz w:val="26"/>
        </w:rPr>
        <w:t>References</w:t>
      </w:r>
    </w:p>
    <w:p w14:paraId="6E717E64" w14:textId="77777777" w:rsidR="003852DC" w:rsidRPr="00E3232D" w:rsidRDefault="003852DC" w:rsidP="003852DC">
      <w:pPr>
        <w:autoSpaceDE w:val="0"/>
        <w:autoSpaceDN w:val="0"/>
        <w:adjustRightInd w:val="0"/>
        <w:ind w:left="810" w:hanging="810"/>
        <w:rPr>
          <w:rFonts w:ascii="Book Antiqua" w:hAnsi="Book Antiqua"/>
        </w:rPr>
      </w:pPr>
      <w:r w:rsidRPr="00E3232D">
        <w:rPr>
          <w:rFonts w:ascii="Book Antiqua" w:hAnsi="Book Antiqua"/>
          <w:color w:val="000000"/>
        </w:rPr>
        <w:t xml:space="preserve">1.Bloom G (1989), 'The Right Equipment in Working Order', </w:t>
      </w:r>
      <w:r w:rsidRPr="00E3232D">
        <w:rPr>
          <w:rFonts w:ascii="Book Antiqua" w:hAnsi="Book Antiqua"/>
          <w:i/>
          <w:iCs/>
          <w:color w:val="000000"/>
        </w:rPr>
        <w:t>World Health Forum</w:t>
      </w:r>
      <w:r w:rsidRPr="00E3232D">
        <w:rPr>
          <w:rFonts w:ascii="Book Antiqua" w:hAnsi="Book Antiqua"/>
          <w:color w:val="000000"/>
        </w:rPr>
        <w:t>, 10(1): 3-10</w:t>
      </w:r>
    </w:p>
    <w:p w14:paraId="130AB07A" w14:textId="77777777" w:rsidR="003852DC" w:rsidRPr="00E3232D" w:rsidRDefault="003852DC" w:rsidP="003852DC">
      <w:pPr>
        <w:autoSpaceDE w:val="0"/>
        <w:autoSpaceDN w:val="0"/>
        <w:adjustRightInd w:val="0"/>
        <w:ind w:left="810" w:hanging="810"/>
        <w:rPr>
          <w:rFonts w:ascii="Book Antiqua" w:hAnsi="Book Antiqua"/>
        </w:rPr>
      </w:pPr>
      <w:r w:rsidRPr="00E3232D">
        <w:rPr>
          <w:rFonts w:ascii="Book Antiqua" w:hAnsi="Book Antiqua"/>
          <w:color w:val="000000"/>
        </w:rPr>
        <w:t xml:space="preserve">2.Bloom G, Temple-Bird C (1988), </w:t>
      </w:r>
      <w:r w:rsidRPr="00E3232D">
        <w:rPr>
          <w:rFonts w:ascii="Book Antiqua" w:hAnsi="Book Antiqua"/>
          <w:i/>
          <w:iCs/>
          <w:color w:val="000000"/>
        </w:rPr>
        <w:t>Medical Equipment in Sub-Saharan Africa - a Framework for Policy Formulation</w:t>
      </w:r>
      <w:r w:rsidRPr="00E3232D">
        <w:rPr>
          <w:rFonts w:ascii="Book Antiqua" w:hAnsi="Book Antiqua"/>
          <w:color w:val="000000"/>
        </w:rPr>
        <w:t>, IDS Research Report, University of Sussex, Brighton</w:t>
      </w:r>
    </w:p>
    <w:p w14:paraId="1C20EC66" w14:textId="77777777" w:rsidR="003852DC" w:rsidRPr="00E3232D" w:rsidRDefault="003852DC" w:rsidP="003852DC">
      <w:pPr>
        <w:autoSpaceDE w:val="0"/>
        <w:autoSpaceDN w:val="0"/>
        <w:adjustRightInd w:val="0"/>
        <w:ind w:left="810" w:hanging="810"/>
        <w:rPr>
          <w:rFonts w:ascii="Book Antiqua" w:hAnsi="Book Antiqua"/>
        </w:rPr>
      </w:pPr>
      <w:r w:rsidRPr="00E3232D">
        <w:rPr>
          <w:rFonts w:ascii="Book Antiqua" w:hAnsi="Book Antiqua"/>
          <w:color w:val="000000"/>
        </w:rPr>
        <w:t xml:space="preserve">3.Cameroon (1993), </w:t>
      </w:r>
      <w:r w:rsidRPr="00E3232D">
        <w:rPr>
          <w:rFonts w:ascii="Book Antiqua" w:hAnsi="Book Antiqua"/>
          <w:i/>
          <w:iCs/>
          <w:color w:val="000000"/>
        </w:rPr>
        <w:t>Health Care Technical Services in Cameroon: Survey Findings</w:t>
      </w:r>
      <w:r w:rsidRPr="00E3232D">
        <w:rPr>
          <w:rFonts w:ascii="Book Antiqua" w:hAnsi="Book Antiqua"/>
          <w:color w:val="000000"/>
        </w:rPr>
        <w:t>, Center for Health Technology, Yaounde, 1993</w:t>
      </w:r>
    </w:p>
    <w:p w14:paraId="3619C1BF" w14:textId="77777777" w:rsidR="003852DC" w:rsidRPr="00E3232D" w:rsidRDefault="003852DC" w:rsidP="003852DC">
      <w:pPr>
        <w:autoSpaceDE w:val="0"/>
        <w:autoSpaceDN w:val="0"/>
        <w:adjustRightInd w:val="0"/>
        <w:ind w:left="810" w:hanging="810"/>
        <w:rPr>
          <w:rFonts w:ascii="Book Antiqua" w:hAnsi="Book Antiqua"/>
        </w:rPr>
      </w:pPr>
      <w:r w:rsidRPr="00E3232D">
        <w:rPr>
          <w:rFonts w:ascii="Book Antiqua" w:hAnsi="Book Antiqua"/>
          <w:color w:val="000000"/>
        </w:rPr>
        <w:t xml:space="preserve">4.McKie J (1987), 'The Management of Health Care Technology', in World Health Organization, </w:t>
      </w:r>
      <w:r w:rsidRPr="00E3232D">
        <w:rPr>
          <w:rFonts w:ascii="Book Antiqua" w:hAnsi="Book Antiqua"/>
          <w:i/>
          <w:iCs/>
          <w:color w:val="000000"/>
        </w:rPr>
        <w:t>Report on Interregional Meeting on the Maintenance and Repair of Health Care Equipment</w:t>
      </w:r>
      <w:r w:rsidRPr="00E3232D">
        <w:rPr>
          <w:rFonts w:ascii="Book Antiqua" w:hAnsi="Book Antiqua"/>
          <w:color w:val="000000"/>
        </w:rPr>
        <w:t>, held at Nicosia, Cyprus in 1986, pp37-84</w:t>
      </w:r>
    </w:p>
    <w:p w14:paraId="152A9B2D" w14:textId="77777777" w:rsidR="003852DC" w:rsidRPr="00E3232D" w:rsidRDefault="003852DC" w:rsidP="003852DC">
      <w:pPr>
        <w:autoSpaceDE w:val="0"/>
        <w:autoSpaceDN w:val="0"/>
        <w:adjustRightInd w:val="0"/>
        <w:ind w:left="810" w:hanging="810"/>
        <w:rPr>
          <w:rFonts w:ascii="Book Antiqua" w:hAnsi="Book Antiqua"/>
        </w:rPr>
      </w:pPr>
      <w:r w:rsidRPr="00E3232D">
        <w:rPr>
          <w:rFonts w:ascii="Book Antiqua" w:hAnsi="Book Antiqua"/>
          <w:color w:val="000000"/>
        </w:rPr>
        <w:t xml:space="preserve">4.McKie J (1990), ‘Management of Medical Technology in Developing Countries', </w:t>
      </w:r>
      <w:r w:rsidRPr="00E3232D">
        <w:rPr>
          <w:rFonts w:ascii="Book Antiqua" w:hAnsi="Book Antiqua"/>
          <w:i/>
          <w:iCs/>
          <w:color w:val="000000"/>
        </w:rPr>
        <w:t>Journal Biomed. Engineering</w:t>
      </w:r>
      <w:r w:rsidRPr="00E3232D">
        <w:rPr>
          <w:rFonts w:ascii="Book Antiqua" w:hAnsi="Book Antiqua"/>
          <w:color w:val="000000"/>
        </w:rPr>
        <w:t>, 12(May):259-261</w:t>
      </w:r>
    </w:p>
    <w:p w14:paraId="1E8FB836" w14:textId="77777777" w:rsidR="003852DC" w:rsidRPr="00E3232D" w:rsidRDefault="003852DC" w:rsidP="003852DC">
      <w:pPr>
        <w:ind w:left="810" w:hanging="810"/>
        <w:rPr>
          <w:rFonts w:ascii="Book Antiqua" w:hAnsi="Book Antiqua"/>
          <w:color w:val="000000"/>
        </w:rPr>
      </w:pPr>
      <w:r w:rsidRPr="00E3232D">
        <w:rPr>
          <w:rFonts w:ascii="Book Antiqua" w:hAnsi="Book Antiqua"/>
          <w:color w:val="000000"/>
        </w:rPr>
        <w:t xml:space="preserve">5.Porter D (1987), </w:t>
      </w:r>
      <w:r w:rsidRPr="00E3232D">
        <w:rPr>
          <w:rFonts w:ascii="Book Antiqua" w:hAnsi="Book Antiqua"/>
          <w:i/>
          <w:iCs/>
          <w:color w:val="000000"/>
        </w:rPr>
        <w:t>Medical Equipment Assessment in Uganda</w:t>
      </w:r>
      <w:r w:rsidRPr="00E3232D">
        <w:rPr>
          <w:rFonts w:ascii="Book Antiqua" w:hAnsi="Book Antiqua"/>
          <w:color w:val="000000"/>
        </w:rPr>
        <w:t>, World Bank Project Preparation Study, unpublished.</w:t>
      </w:r>
    </w:p>
    <w:p w14:paraId="0A9A9F33" w14:textId="77777777" w:rsidR="003852DC" w:rsidRPr="00E3232D" w:rsidRDefault="003852DC" w:rsidP="003852DC">
      <w:pPr>
        <w:autoSpaceDE w:val="0"/>
        <w:autoSpaceDN w:val="0"/>
        <w:adjustRightInd w:val="0"/>
        <w:ind w:left="810" w:hanging="810"/>
        <w:rPr>
          <w:rFonts w:ascii="Book Antiqua" w:hAnsi="Book Antiqua"/>
        </w:rPr>
      </w:pPr>
      <w:r w:rsidRPr="00E3232D">
        <w:rPr>
          <w:rFonts w:ascii="Book Antiqua" w:hAnsi="Book Antiqua"/>
          <w:color w:val="000000"/>
        </w:rPr>
        <w:t xml:space="preserve">6.Porter D (1991b), </w:t>
      </w:r>
      <w:r w:rsidRPr="00E3232D">
        <w:rPr>
          <w:rFonts w:ascii="Book Antiqua" w:hAnsi="Book Antiqua"/>
          <w:i/>
          <w:iCs/>
          <w:color w:val="000000"/>
        </w:rPr>
        <w:t>Maintenance of Medical Equipment in Two Major Teaching Hospitals in Ghana</w:t>
      </w:r>
      <w:r w:rsidRPr="00E3232D">
        <w:rPr>
          <w:rFonts w:ascii="Book Antiqua" w:hAnsi="Book Antiqua"/>
          <w:color w:val="000000"/>
        </w:rPr>
        <w:t>, Report on Evaluation Mission for the British ODA</w:t>
      </w:r>
    </w:p>
    <w:p w14:paraId="68DA281D" w14:textId="77777777" w:rsidR="003852DC" w:rsidRPr="00E3232D" w:rsidRDefault="003852DC" w:rsidP="003852DC">
      <w:pPr>
        <w:autoSpaceDE w:val="0"/>
        <w:autoSpaceDN w:val="0"/>
        <w:adjustRightInd w:val="0"/>
        <w:ind w:left="810" w:hanging="810"/>
        <w:rPr>
          <w:rFonts w:ascii="Book Antiqua" w:hAnsi="Book Antiqua"/>
        </w:rPr>
      </w:pPr>
      <w:r w:rsidRPr="00E3232D">
        <w:rPr>
          <w:rFonts w:ascii="Book Antiqua" w:hAnsi="Book Antiqua"/>
          <w:color w:val="000000"/>
        </w:rPr>
        <w:t xml:space="preserve">7.Porter D (1992a), </w:t>
      </w:r>
      <w:r w:rsidRPr="00E3232D">
        <w:rPr>
          <w:rFonts w:ascii="Book Antiqua" w:hAnsi="Book Antiqua"/>
          <w:i/>
          <w:iCs/>
          <w:color w:val="000000"/>
        </w:rPr>
        <w:t>Review and Evaluation of Hospital Equipment Repair Project in Ghana</w:t>
      </w:r>
      <w:r w:rsidRPr="00E3232D">
        <w:rPr>
          <w:rFonts w:ascii="Book Antiqua" w:hAnsi="Book Antiqua"/>
          <w:color w:val="000000"/>
        </w:rPr>
        <w:t>, West of Scotland Health Boards (November)</w:t>
      </w:r>
    </w:p>
    <w:p w14:paraId="1441D068" w14:textId="77777777" w:rsidR="003852DC" w:rsidRPr="00E3232D" w:rsidRDefault="003852DC" w:rsidP="003852DC">
      <w:pPr>
        <w:ind w:left="810" w:hanging="810"/>
        <w:rPr>
          <w:rFonts w:ascii="Book Antiqua" w:hAnsi="Book Antiqua"/>
          <w:color w:val="000000"/>
        </w:rPr>
      </w:pPr>
      <w:r w:rsidRPr="00E3232D">
        <w:rPr>
          <w:rFonts w:ascii="Book Antiqua" w:hAnsi="Book Antiqua"/>
          <w:color w:val="000000"/>
        </w:rPr>
        <w:t xml:space="preserve">8.Porter D (1992c), </w:t>
      </w:r>
      <w:r w:rsidRPr="00E3232D">
        <w:rPr>
          <w:rFonts w:ascii="Book Antiqua" w:hAnsi="Book Antiqua"/>
          <w:i/>
          <w:iCs/>
          <w:color w:val="000000"/>
        </w:rPr>
        <w:t>Review and Evaluation of Hospital Equipment Repair Project in Ghana</w:t>
      </w:r>
      <w:r w:rsidRPr="00E3232D">
        <w:rPr>
          <w:rFonts w:ascii="Book Antiqua" w:hAnsi="Book Antiqua"/>
          <w:color w:val="000000"/>
        </w:rPr>
        <w:t>, West of Scotland Health Boards (November).</w:t>
      </w:r>
    </w:p>
    <w:p w14:paraId="3BE4E087" w14:textId="77777777" w:rsidR="003852DC" w:rsidRPr="00E3232D" w:rsidRDefault="003852DC" w:rsidP="003852DC">
      <w:pPr>
        <w:ind w:left="810" w:hanging="810"/>
        <w:rPr>
          <w:rFonts w:ascii="Book Antiqua" w:hAnsi="Book Antiqua"/>
          <w:color w:val="000000"/>
        </w:rPr>
      </w:pPr>
      <w:r w:rsidRPr="00E3232D">
        <w:rPr>
          <w:rFonts w:ascii="Book Antiqua" w:hAnsi="Book Antiqua"/>
          <w:color w:val="000000"/>
        </w:rPr>
        <w:t xml:space="preserve">9. World Bank (1994a), </w:t>
      </w:r>
      <w:r w:rsidRPr="00E3232D">
        <w:rPr>
          <w:rFonts w:ascii="Book Antiqua" w:hAnsi="Book Antiqua"/>
          <w:i/>
          <w:iCs/>
          <w:color w:val="000000"/>
        </w:rPr>
        <w:t>Development in Practice - Better Health in Africa, Experience and Lessons Learned</w:t>
      </w:r>
      <w:r w:rsidRPr="00E3232D">
        <w:rPr>
          <w:rFonts w:ascii="Book Antiqua" w:hAnsi="Book Antiqua"/>
          <w:color w:val="000000"/>
        </w:rPr>
        <w:t>, The World Bank, Washington D.C., 1994</w:t>
      </w:r>
    </w:p>
    <w:p w14:paraId="56865E1A" w14:textId="77777777" w:rsidR="003852DC" w:rsidRPr="00EB0911" w:rsidRDefault="003852DC" w:rsidP="00EB0911">
      <w:pPr>
        <w:ind w:left="810" w:hanging="810"/>
        <w:rPr>
          <w:rFonts w:ascii="Book Antiqua" w:hAnsi="Book Antiqua"/>
          <w:color w:val="000000"/>
        </w:rPr>
        <w:sectPr w:rsidR="003852DC" w:rsidRPr="00EB0911" w:rsidSect="00EB0911">
          <w:type w:val="continuous"/>
          <w:pgSz w:w="11907" w:h="16839" w:code="9"/>
          <w:pgMar w:top="1440" w:right="1440" w:bottom="1440" w:left="1440" w:header="720" w:footer="720" w:gutter="0"/>
          <w:pgNumType w:start="1"/>
          <w:cols w:num="2" w:space="720"/>
          <w:docGrid w:linePitch="360"/>
        </w:sectPr>
      </w:pPr>
      <w:r w:rsidRPr="00E3232D">
        <w:rPr>
          <w:rFonts w:ascii="Book Antiqua" w:hAnsi="Book Antiqua"/>
          <w:color w:val="000000"/>
        </w:rPr>
        <w:t xml:space="preserve">10.Dr Asman P R, Dr Adjabu N (2005) Report on the utilization of </w:t>
      </w:r>
      <w:r w:rsidR="00EB0911">
        <w:rPr>
          <w:rFonts w:ascii="Book Antiqua" w:hAnsi="Book Antiqua"/>
          <w:color w:val="000000"/>
        </w:rPr>
        <w:t>Korle-Bu maintenance Departmen</w:t>
      </w:r>
      <w:r w:rsidR="006A39B8">
        <w:rPr>
          <w:rFonts w:ascii="Book Antiqua" w:hAnsi="Book Antiqua"/>
          <w:color w:val="000000"/>
        </w:rPr>
        <w:t>t</w:t>
      </w:r>
    </w:p>
    <w:p w14:paraId="7BD4FB16" w14:textId="77777777" w:rsidR="00986557" w:rsidRPr="00E3232D" w:rsidRDefault="00986557" w:rsidP="008275E1">
      <w:pPr>
        <w:pStyle w:val="Heading2"/>
        <w:rPr>
          <w:rFonts w:ascii="Book Antiqua" w:hAnsi="Book Antiqua"/>
          <w:sz w:val="22"/>
          <w:szCs w:val="22"/>
        </w:rPr>
        <w:sectPr w:rsidR="00986557" w:rsidRPr="00E3232D" w:rsidSect="008F6BC9">
          <w:footerReference w:type="default" r:id="rId377"/>
          <w:pgSz w:w="11907" w:h="16839" w:code="9"/>
          <w:pgMar w:top="1440" w:right="4320" w:bottom="1440" w:left="1440" w:header="720" w:footer="720" w:gutter="0"/>
          <w:cols w:space="720"/>
          <w:docGrid w:linePitch="360"/>
        </w:sectPr>
      </w:pPr>
    </w:p>
    <w:p w14:paraId="34B16D8F" w14:textId="77777777" w:rsidR="00986557" w:rsidRPr="00E3232D" w:rsidRDefault="00986557" w:rsidP="008916B7">
      <w:pPr>
        <w:pStyle w:val="yiv510297308msonormal"/>
        <w:spacing w:line="276" w:lineRule="auto"/>
        <w:rPr>
          <w:rFonts w:ascii="Book Antiqua" w:hAnsi="Book Antiqua"/>
          <w:sz w:val="22"/>
          <w:szCs w:val="22"/>
        </w:rPr>
        <w:sectPr w:rsidR="00986557" w:rsidRPr="00E3232D" w:rsidSect="008F6BC9">
          <w:pgSz w:w="11907" w:h="16839" w:code="9"/>
          <w:pgMar w:top="1440" w:right="4320" w:bottom="1440" w:left="1440" w:header="720" w:footer="720" w:gutter="0"/>
          <w:cols w:space="720"/>
          <w:docGrid w:linePitch="360"/>
        </w:sectPr>
      </w:pPr>
    </w:p>
    <w:p w14:paraId="15C4D673" w14:textId="77777777" w:rsidR="008275E1" w:rsidRPr="00E3232D" w:rsidRDefault="008275E1" w:rsidP="00EB0911">
      <w:pPr>
        <w:widowControl w:val="0"/>
        <w:tabs>
          <w:tab w:val="left" w:pos="0"/>
        </w:tabs>
        <w:autoSpaceDE w:val="0"/>
        <w:autoSpaceDN w:val="0"/>
        <w:adjustRightInd w:val="0"/>
        <w:spacing w:before="240"/>
        <w:ind w:right="80"/>
        <w:rPr>
          <w:rFonts w:ascii="Book Antiqua" w:hAnsi="Book Antiqua"/>
        </w:rPr>
      </w:pPr>
    </w:p>
    <w:sectPr w:rsidR="008275E1" w:rsidRPr="00E3232D" w:rsidSect="008F6BC9">
      <w:footerReference w:type="default" r:id="rId378"/>
      <w:pgSz w:w="11907" w:h="16839" w:code="9"/>
      <w:pgMar w:top="1440" w:right="1354" w:bottom="864" w:left="116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2B5ABF" w14:textId="77777777" w:rsidR="00E635DB" w:rsidRDefault="00E635DB" w:rsidP="00A61857">
      <w:pPr>
        <w:spacing w:line="240" w:lineRule="auto"/>
      </w:pPr>
      <w:r>
        <w:separator/>
      </w:r>
    </w:p>
  </w:endnote>
  <w:endnote w:type="continuationSeparator" w:id="0">
    <w:p w14:paraId="5E13BC2E" w14:textId="77777777" w:rsidR="00E635DB" w:rsidRDefault="00E635DB" w:rsidP="00A6185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LLFI H+ Adv P S 6 E C 0">
    <w:altName w:val="Adv PS 6 EC"/>
    <w:panose1 w:val="00000000000000000000"/>
    <w:charset w:val="00"/>
    <w:family w:val="swiss"/>
    <w:notTrueType/>
    <w:pitch w:val="default"/>
    <w:sig w:usb0="00000003" w:usb1="00000000" w:usb2="00000000" w:usb3="00000000" w:csb0="00000001" w:csb1="00000000"/>
  </w:font>
  <w:font w:name="KCPAJH+Garamond">
    <w:altName w:val="Garamond"/>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n-ea">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AdvEPSTIM">
    <w:altName w:val="MS Mincho"/>
    <w:panose1 w:val="00000000000000000000"/>
    <w:charset w:val="80"/>
    <w:family w:val="auto"/>
    <w:notTrueType/>
    <w:pitch w:val="default"/>
    <w:sig w:usb0="00000003"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00"/>
    <w:family w:val="swiss"/>
    <w:pitch w:val="variable"/>
    <w:sig w:usb0="E5002EFF" w:usb1="C000605B" w:usb2="00000029" w:usb3="00000000" w:csb0="000101FF" w:csb1="00000000"/>
  </w:font>
  <w:font w:name="MS Mincho">
    <w:altName w:val="MS Mincho"/>
    <w:panose1 w:val="02020609040205080304"/>
    <w:charset w:val="80"/>
    <w:family w:val="modern"/>
    <w:pitch w:val="fixed"/>
    <w:sig w:usb0="E00002FF" w:usb1="6AC7FDFB" w:usb2="08000012" w:usb3="00000000" w:csb0="0002009F" w:csb1="00000000"/>
  </w:font>
  <w:font w:name="Swift-Regular">
    <w:altName w:val="MS Mincho"/>
    <w:panose1 w:val="00000000000000000000"/>
    <w:charset w:val="80"/>
    <w:family w:val="auto"/>
    <w:notTrueType/>
    <w:pitch w:val="default"/>
    <w:sig w:usb0="00000001" w:usb1="08070000" w:usb2="00000010" w:usb3="00000000" w:csb0="00020000" w:csb1="00000000"/>
  </w:font>
  <w:font w:name="cmmi10">
    <w:altName w:val="Symbol"/>
    <w:charset w:val="02"/>
    <w:family w:val="swiss"/>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BDC74" w14:textId="77777777" w:rsidR="00E2396E" w:rsidRDefault="00E2396E">
    <w:pPr>
      <w:pStyle w:val="Footer"/>
      <w:jc w:val="right"/>
    </w:pPr>
  </w:p>
  <w:p w14:paraId="37751BEB" w14:textId="77777777" w:rsidR="00E2396E" w:rsidRDefault="00E2396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9CD33" w14:textId="77777777" w:rsidR="00E2396E" w:rsidRDefault="00E2396E" w:rsidP="005C5162">
    <w:pPr>
      <w:pStyle w:val="Footer"/>
      <w:tabs>
        <w:tab w:val="clear" w:pos="9360"/>
        <w:tab w:val="right" w:pos="9000"/>
      </w:tabs>
      <w:jc w:val="right"/>
    </w:pPr>
  </w:p>
  <w:p w14:paraId="6271FC3C" w14:textId="77777777" w:rsidR="00E2396E" w:rsidRDefault="00E2396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30E93" w14:textId="77777777" w:rsidR="00E2396E" w:rsidRDefault="00E2396E">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CC36C" w14:textId="77777777" w:rsidR="00E2396E" w:rsidRDefault="00E2396E">
    <w:pPr>
      <w:pStyle w:val="Footer"/>
      <w:jc w:val="center"/>
    </w:pPr>
  </w:p>
  <w:p w14:paraId="1461FBF3" w14:textId="77777777" w:rsidR="00E2396E" w:rsidRDefault="00E2396E">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D41FD" w14:textId="77777777" w:rsidR="00E2396E" w:rsidRDefault="00622409">
    <w:pPr>
      <w:pStyle w:val="Footer"/>
      <w:jc w:val="center"/>
    </w:pPr>
    <w:r>
      <w:fldChar w:fldCharType="begin"/>
    </w:r>
    <w:r>
      <w:instrText xml:space="preserve"> PAGE   \* MERGEFORMAT </w:instrText>
    </w:r>
    <w:r>
      <w:fldChar w:fldCharType="separate"/>
    </w:r>
    <w:r w:rsidR="00E2396E">
      <w:rPr>
        <w:noProof/>
      </w:rPr>
      <w:t>119</w:t>
    </w:r>
    <w:r>
      <w:rPr>
        <w:noProof/>
      </w:rPr>
      <w:fldChar w:fldCharType="end"/>
    </w:r>
  </w:p>
  <w:p w14:paraId="7FF9694A" w14:textId="77777777" w:rsidR="00E2396E" w:rsidRDefault="00E2396E">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A6B28" w14:textId="77777777" w:rsidR="00E2396E" w:rsidRDefault="00622409">
    <w:pPr>
      <w:pStyle w:val="Footer"/>
      <w:jc w:val="center"/>
    </w:pPr>
    <w:r>
      <w:fldChar w:fldCharType="begin"/>
    </w:r>
    <w:r>
      <w:instrText xml:space="preserve"> PAGE   \* MERGEFORMAT </w:instrText>
    </w:r>
    <w:r>
      <w:fldChar w:fldCharType="separate"/>
    </w:r>
    <w:r w:rsidR="00E2396E">
      <w:rPr>
        <w:noProof/>
      </w:rPr>
      <w:t>145</w:t>
    </w:r>
    <w:r>
      <w:rPr>
        <w:noProof/>
      </w:rPr>
      <w:fldChar w:fldCharType="end"/>
    </w:r>
  </w:p>
  <w:p w14:paraId="5FDDD677" w14:textId="77777777" w:rsidR="00E2396E" w:rsidRDefault="00E2396E">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711D5" w14:textId="77777777" w:rsidR="00E2396E" w:rsidRDefault="00622409">
    <w:pPr>
      <w:pStyle w:val="Footer"/>
      <w:jc w:val="center"/>
    </w:pPr>
    <w:r>
      <w:fldChar w:fldCharType="begin"/>
    </w:r>
    <w:r>
      <w:instrText xml:space="preserve"> PAGE   \* MERGEFORMAT </w:instrText>
    </w:r>
    <w:r>
      <w:fldChar w:fldCharType="separate"/>
    </w:r>
    <w:r w:rsidR="00E2396E">
      <w:rPr>
        <w:noProof/>
      </w:rPr>
      <w:t>150</w:t>
    </w:r>
    <w:r>
      <w:rPr>
        <w:noProof/>
      </w:rPr>
      <w:fldChar w:fldCharType="end"/>
    </w:r>
  </w:p>
  <w:p w14:paraId="3953E063" w14:textId="77777777" w:rsidR="00E2396E" w:rsidRDefault="00E2396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2A0DE" w14:textId="77777777" w:rsidR="00E2396E" w:rsidRDefault="00622409">
    <w:pPr>
      <w:pStyle w:val="Footer"/>
      <w:jc w:val="center"/>
    </w:pPr>
    <w:r>
      <w:fldChar w:fldCharType="begin"/>
    </w:r>
    <w:r>
      <w:instrText xml:space="preserve"> PAGE   \* MERGEFORMAT </w:instrText>
    </w:r>
    <w:r>
      <w:fldChar w:fldCharType="separate"/>
    </w:r>
    <w:r w:rsidR="00E2396E">
      <w:rPr>
        <w:noProof/>
      </w:rPr>
      <w:t>156</w:t>
    </w:r>
    <w:r>
      <w:rPr>
        <w:noProof/>
      </w:rPr>
      <w:fldChar w:fldCharType="end"/>
    </w:r>
  </w:p>
  <w:p w14:paraId="3D422670" w14:textId="77777777" w:rsidR="00E2396E" w:rsidRDefault="00E2396E">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21F1E" w14:textId="77777777" w:rsidR="00E2396E" w:rsidRDefault="00622409">
    <w:pPr>
      <w:pStyle w:val="Footer"/>
      <w:jc w:val="center"/>
    </w:pPr>
    <w:r>
      <w:fldChar w:fldCharType="begin"/>
    </w:r>
    <w:r>
      <w:instrText xml:space="preserve"> PAGE   \* MERGEFORMAT </w:instrText>
    </w:r>
    <w:r>
      <w:fldChar w:fldCharType="separate"/>
    </w:r>
    <w:r w:rsidR="00E2396E">
      <w:rPr>
        <w:noProof/>
      </w:rPr>
      <w:t>166</w:t>
    </w:r>
    <w:r>
      <w:rPr>
        <w:noProof/>
      </w:rPr>
      <w:fldChar w:fldCharType="end"/>
    </w:r>
  </w:p>
  <w:p w14:paraId="03A08AF5" w14:textId="77777777" w:rsidR="00E2396E" w:rsidRDefault="00E2396E">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FB5C3" w14:textId="77777777" w:rsidR="00E2396E" w:rsidRDefault="00622409">
    <w:pPr>
      <w:pStyle w:val="Footer"/>
      <w:jc w:val="center"/>
    </w:pPr>
    <w:r>
      <w:fldChar w:fldCharType="begin"/>
    </w:r>
    <w:r>
      <w:instrText xml:space="preserve"> PAGE   \* MERGEFORMAT </w:instrText>
    </w:r>
    <w:r>
      <w:fldChar w:fldCharType="separate"/>
    </w:r>
    <w:r w:rsidR="00E2396E">
      <w:rPr>
        <w:noProof/>
      </w:rPr>
      <w:t>183</w:t>
    </w:r>
    <w:r>
      <w:rPr>
        <w:noProof/>
      </w:rPr>
      <w:fldChar w:fldCharType="end"/>
    </w:r>
  </w:p>
  <w:p w14:paraId="37FCC0DF" w14:textId="77777777" w:rsidR="00E2396E" w:rsidRDefault="00E2396E">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663F0" w14:textId="77777777" w:rsidR="00E2396E" w:rsidRDefault="00622409">
    <w:pPr>
      <w:pStyle w:val="Footer"/>
      <w:jc w:val="center"/>
    </w:pPr>
    <w:r>
      <w:fldChar w:fldCharType="begin"/>
    </w:r>
    <w:r>
      <w:instrText xml:space="preserve"> PAGE   \* MERGEFORMAT </w:instrText>
    </w:r>
    <w:r>
      <w:fldChar w:fldCharType="separate"/>
    </w:r>
    <w:r w:rsidR="00E2396E">
      <w:rPr>
        <w:noProof/>
      </w:rPr>
      <w:t>191</w:t>
    </w:r>
    <w:r>
      <w:rPr>
        <w:noProof/>
      </w:rPr>
      <w:fldChar w:fldCharType="end"/>
    </w:r>
  </w:p>
  <w:p w14:paraId="5814AB41" w14:textId="77777777" w:rsidR="00E2396E" w:rsidRDefault="00E239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1A78D" w14:textId="77777777" w:rsidR="00E2396E" w:rsidRDefault="00E2396E" w:rsidP="002E6F61">
    <w:pPr>
      <w:pStyle w:val="Footer"/>
      <w:jc w:val="center"/>
    </w:pPr>
  </w:p>
  <w:p w14:paraId="1795AADC" w14:textId="77777777" w:rsidR="00E2396E" w:rsidRDefault="00E2396E">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CEF5B" w14:textId="77777777" w:rsidR="00E2396E" w:rsidRDefault="00E2396E" w:rsidP="002F199C">
    <w:pPr>
      <w:pStyle w:val="Footer"/>
      <w:jc w:val="cen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35FB8" w14:textId="77777777" w:rsidR="00E2396E" w:rsidRDefault="00622409">
    <w:pPr>
      <w:pStyle w:val="Footer"/>
      <w:jc w:val="center"/>
    </w:pPr>
    <w:r>
      <w:fldChar w:fldCharType="begin"/>
    </w:r>
    <w:r>
      <w:instrText xml:space="preserve"> PAGE   \* MERGEFORMAT </w:instrText>
    </w:r>
    <w:r>
      <w:fldChar w:fldCharType="separate"/>
    </w:r>
    <w:r w:rsidR="00E2396E">
      <w:rPr>
        <w:noProof/>
      </w:rPr>
      <w:t>202</w:t>
    </w:r>
    <w:r>
      <w:rPr>
        <w:noProof/>
      </w:rPr>
      <w:fldChar w:fldCharType="end"/>
    </w:r>
  </w:p>
  <w:p w14:paraId="4DDBEB69" w14:textId="77777777" w:rsidR="00E2396E" w:rsidRDefault="00E2396E">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B5C83" w14:textId="77777777" w:rsidR="00E2396E" w:rsidRDefault="00E2396E" w:rsidP="002F199C">
    <w:pPr>
      <w:pStyle w:val="Foote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27189" w14:textId="77777777" w:rsidR="00E2396E" w:rsidRDefault="00E2396E">
    <w:pPr>
      <w:pStyle w:val="Footer"/>
      <w:jc w:val="center"/>
    </w:pPr>
  </w:p>
  <w:p w14:paraId="2F2A785A" w14:textId="77777777" w:rsidR="00E2396E" w:rsidRDefault="00E2396E">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45725" w14:textId="77777777" w:rsidR="00E2396E" w:rsidRDefault="00E2396E" w:rsidP="008275E1">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6BE07" w14:textId="77777777" w:rsidR="00E2396E" w:rsidRDefault="00E2396E">
    <w:pPr>
      <w:pStyle w:val="Footer"/>
      <w:jc w:val="center"/>
    </w:pPr>
  </w:p>
  <w:p w14:paraId="3ED4E544" w14:textId="77777777" w:rsidR="00E2396E" w:rsidRDefault="00E2396E">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33435" w14:textId="77777777" w:rsidR="00E2396E" w:rsidRDefault="00E2396E" w:rsidP="0026229F">
    <w:pPr>
      <w:pStyle w:val="Footer"/>
      <w:tabs>
        <w:tab w:val="left" w:pos="2294"/>
        <w:tab w:val="center" w:pos="4950"/>
      </w:tabs>
      <w:jc w:val="cen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4CCA8" w14:textId="77777777" w:rsidR="00E2396E" w:rsidRDefault="00E2396E">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46F25" w14:textId="77777777" w:rsidR="00E2396E" w:rsidRDefault="00E2396E">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ED744" w14:textId="77777777" w:rsidR="00E2396E" w:rsidRDefault="00E2396E">
    <w:pPr>
      <w:pStyle w:val="Footer"/>
      <w:jc w:val="center"/>
    </w:pPr>
  </w:p>
  <w:p w14:paraId="3D950F5D" w14:textId="77777777" w:rsidR="00E2396E" w:rsidRDefault="00E2396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0F7CC" w14:textId="77777777" w:rsidR="00E2396E" w:rsidRDefault="00E2396E">
    <w:pPr>
      <w:pStyle w:val="Footer"/>
      <w:pBdr>
        <w:top w:val="single" w:sz="4" w:space="1" w:color="D9D9D9"/>
      </w:pBdr>
      <w:jc w:val="right"/>
    </w:pPr>
  </w:p>
  <w:p w14:paraId="4A0F278C" w14:textId="77777777" w:rsidR="00E2396E" w:rsidRDefault="00E2396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13661" w14:textId="77777777" w:rsidR="00E2396E" w:rsidRDefault="00E2396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45995" w14:textId="77777777" w:rsidR="00E2396E" w:rsidRDefault="00E2396E">
    <w:pPr>
      <w:pStyle w:val="Footer"/>
      <w:pBdr>
        <w:top w:val="single" w:sz="4" w:space="1" w:color="D9D9D9" w:themeColor="background1" w:themeShade="D9"/>
      </w:pBdr>
      <w:jc w:val="right"/>
    </w:pPr>
  </w:p>
  <w:p w14:paraId="617D4EE4" w14:textId="77777777" w:rsidR="00E2396E" w:rsidRDefault="00E2396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FFF95" w14:textId="77777777" w:rsidR="00E2396E" w:rsidRDefault="00E2396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551B7" w14:textId="77777777" w:rsidR="00E2396E" w:rsidRDefault="00E2396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0A71E" w14:textId="77777777" w:rsidR="00E2396E" w:rsidRDefault="00E2396E">
    <w:pPr>
      <w:pStyle w:val="Footer"/>
      <w:jc w:val="right"/>
    </w:pPr>
  </w:p>
  <w:p w14:paraId="0117FE32" w14:textId="77777777" w:rsidR="00E2396E" w:rsidRDefault="00E2396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A695D" w14:textId="77777777" w:rsidR="00E2396E" w:rsidRDefault="00622409">
    <w:pPr>
      <w:pStyle w:val="Footer"/>
      <w:jc w:val="center"/>
    </w:pPr>
    <w:r>
      <w:fldChar w:fldCharType="begin"/>
    </w:r>
    <w:r>
      <w:instrText xml:space="preserve"> PAGE   \* MERGEFORMAT </w:instrText>
    </w:r>
    <w:r>
      <w:fldChar w:fldCharType="separate"/>
    </w:r>
    <w:r w:rsidR="00E2396E">
      <w:rPr>
        <w:noProof/>
      </w:rPr>
      <w:t>1</w:t>
    </w:r>
    <w:r>
      <w:rPr>
        <w:noProof/>
      </w:rPr>
      <w:fldChar w:fldCharType="end"/>
    </w:r>
  </w:p>
  <w:p w14:paraId="1B48D2CA" w14:textId="77777777" w:rsidR="00E2396E" w:rsidRDefault="00E2396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98BE7" w14:textId="77777777" w:rsidR="00E2396E" w:rsidRDefault="00E239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66A384" w14:textId="77777777" w:rsidR="00E635DB" w:rsidRDefault="00E635DB" w:rsidP="00A61857">
      <w:pPr>
        <w:spacing w:line="240" w:lineRule="auto"/>
      </w:pPr>
      <w:r>
        <w:separator/>
      </w:r>
    </w:p>
  </w:footnote>
  <w:footnote w:type="continuationSeparator" w:id="0">
    <w:p w14:paraId="2A764BDA" w14:textId="77777777" w:rsidR="00E635DB" w:rsidRDefault="00E635DB" w:rsidP="00A6185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8104"/>
      <w:gridCol w:w="1153"/>
    </w:tblGrid>
    <w:tr w:rsidR="00E2396E" w:rsidRPr="00D12E59" w14:paraId="09872961" w14:textId="77777777">
      <w:trPr>
        <w:trHeight w:val="288"/>
      </w:trPr>
      <w:tc>
        <w:tcPr>
          <w:tcW w:w="7765" w:type="dxa"/>
        </w:tcPr>
        <w:p w14:paraId="1D783871" w14:textId="77777777" w:rsidR="00E2396E" w:rsidRPr="00D12E59" w:rsidRDefault="00E2396E" w:rsidP="002742FF">
          <w:pPr>
            <w:pStyle w:val="Header"/>
            <w:jc w:val="right"/>
            <w:rPr>
              <w:rFonts w:ascii="Cambria" w:hAnsi="Cambria"/>
            </w:rPr>
          </w:pPr>
          <w:r>
            <w:rPr>
              <w:rFonts w:ascii="Cambria" w:hAnsi="Cambria"/>
            </w:rPr>
            <w:t>P</w:t>
          </w:r>
          <w:r w:rsidRPr="00D12E59">
            <w:rPr>
              <w:rFonts w:ascii="Cambria" w:hAnsi="Cambria"/>
            </w:rPr>
            <w:t>roceedings of Koforidua Polytechnic 6th Annual International Applied Research Conference</w:t>
          </w:r>
        </w:p>
      </w:tc>
      <w:tc>
        <w:tcPr>
          <w:tcW w:w="1105" w:type="dxa"/>
        </w:tcPr>
        <w:p w14:paraId="281A06E4" w14:textId="77777777" w:rsidR="00E2396E" w:rsidRPr="00D12E59" w:rsidRDefault="00E2396E" w:rsidP="002742FF">
          <w:pPr>
            <w:pStyle w:val="Header"/>
            <w:rPr>
              <w:rFonts w:ascii="Cambria" w:hAnsi="Cambria"/>
              <w:b/>
              <w:bCs/>
              <w:color w:val="4F81BD"/>
            </w:rPr>
          </w:pPr>
          <w:r w:rsidRPr="00D12E59">
            <w:rPr>
              <w:rFonts w:ascii="Cambria" w:hAnsi="Cambria"/>
              <w:b/>
              <w:bCs/>
            </w:rPr>
            <w:t>2013</w:t>
          </w:r>
        </w:p>
      </w:tc>
    </w:tr>
  </w:tbl>
  <w:p w14:paraId="214B2BD5" w14:textId="77777777" w:rsidR="00E2396E" w:rsidRDefault="00E2396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BD7CA" w14:textId="77777777" w:rsidR="00E2396E" w:rsidRDefault="00E2396E">
    <w:pPr>
      <w:pStyle w:val="Header"/>
    </w:pPr>
  </w:p>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8104"/>
      <w:gridCol w:w="1153"/>
    </w:tblGrid>
    <w:tr w:rsidR="00E2396E" w:rsidRPr="00D12E59" w14:paraId="7D598F38" w14:textId="77777777" w:rsidTr="000F43FE">
      <w:trPr>
        <w:trHeight w:val="288"/>
      </w:trPr>
      <w:tc>
        <w:tcPr>
          <w:tcW w:w="7765" w:type="dxa"/>
        </w:tcPr>
        <w:p w14:paraId="379257F8" w14:textId="77777777" w:rsidR="00E2396E" w:rsidRPr="00D12E59" w:rsidRDefault="00E2396E" w:rsidP="000F43FE">
          <w:pPr>
            <w:pStyle w:val="Header"/>
            <w:jc w:val="right"/>
            <w:rPr>
              <w:rFonts w:ascii="Cambria" w:hAnsi="Cambria"/>
            </w:rPr>
          </w:pPr>
          <w:r w:rsidRPr="00D12E59">
            <w:rPr>
              <w:rFonts w:ascii="Cambria" w:hAnsi="Cambria"/>
            </w:rPr>
            <w:t>Proceedings of Koforidua Polytechnic 6th Annual International Applied Research Conference</w:t>
          </w:r>
        </w:p>
      </w:tc>
      <w:tc>
        <w:tcPr>
          <w:tcW w:w="1105" w:type="dxa"/>
        </w:tcPr>
        <w:p w14:paraId="04459B0A" w14:textId="77777777" w:rsidR="00E2396E" w:rsidRPr="00D12E59" w:rsidRDefault="00E2396E" w:rsidP="000F43FE">
          <w:pPr>
            <w:pStyle w:val="Header"/>
            <w:rPr>
              <w:rFonts w:ascii="Cambria" w:hAnsi="Cambria"/>
              <w:b/>
              <w:bCs/>
              <w:color w:val="4F81BD"/>
            </w:rPr>
          </w:pPr>
          <w:r w:rsidRPr="00D12E59">
            <w:rPr>
              <w:rFonts w:ascii="Cambria" w:hAnsi="Cambria"/>
              <w:b/>
              <w:bCs/>
            </w:rPr>
            <w:t>2013</w:t>
          </w:r>
        </w:p>
      </w:tc>
    </w:tr>
  </w:tbl>
  <w:p w14:paraId="6FD84736" w14:textId="77777777" w:rsidR="00E2396E" w:rsidRDefault="00E2396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8104"/>
      <w:gridCol w:w="1153"/>
    </w:tblGrid>
    <w:tr w:rsidR="00E2396E" w:rsidRPr="00D12E59" w14:paraId="447785CE" w14:textId="77777777" w:rsidTr="000F43FE">
      <w:trPr>
        <w:trHeight w:val="288"/>
      </w:trPr>
      <w:tc>
        <w:tcPr>
          <w:tcW w:w="7765" w:type="dxa"/>
        </w:tcPr>
        <w:p w14:paraId="3C755E1E" w14:textId="77777777" w:rsidR="00E2396E" w:rsidRPr="00D12E59" w:rsidRDefault="00E2396E" w:rsidP="000F43FE">
          <w:pPr>
            <w:pStyle w:val="Header"/>
            <w:jc w:val="right"/>
            <w:rPr>
              <w:rFonts w:ascii="Cambria" w:hAnsi="Cambria"/>
            </w:rPr>
          </w:pPr>
          <w:r w:rsidRPr="00D12E59">
            <w:rPr>
              <w:rFonts w:ascii="Cambria" w:hAnsi="Cambria"/>
            </w:rPr>
            <w:t>Proceedings of Koforidua Polytechnic 6th Annual International Applied Research Conference</w:t>
          </w:r>
        </w:p>
      </w:tc>
      <w:tc>
        <w:tcPr>
          <w:tcW w:w="1105" w:type="dxa"/>
        </w:tcPr>
        <w:p w14:paraId="7DA8815B" w14:textId="77777777" w:rsidR="00E2396E" w:rsidRPr="00D12E59" w:rsidRDefault="00E2396E" w:rsidP="000F43FE">
          <w:pPr>
            <w:pStyle w:val="Header"/>
            <w:rPr>
              <w:rFonts w:ascii="Cambria" w:hAnsi="Cambria"/>
              <w:b/>
              <w:bCs/>
              <w:color w:val="4F81BD"/>
            </w:rPr>
          </w:pPr>
          <w:r w:rsidRPr="00D12E59">
            <w:rPr>
              <w:rFonts w:ascii="Cambria" w:hAnsi="Cambria"/>
              <w:b/>
              <w:bCs/>
            </w:rPr>
            <w:t>2013</w:t>
          </w:r>
        </w:p>
      </w:tc>
    </w:tr>
  </w:tbl>
  <w:p w14:paraId="38551284" w14:textId="77777777" w:rsidR="00E2396E" w:rsidRDefault="00E2396E">
    <w:pPr>
      <w:pStyle w:val="Header"/>
      <w:jc w:val="center"/>
    </w:pPr>
  </w:p>
  <w:p w14:paraId="32B43443" w14:textId="77777777" w:rsidR="00E2396E" w:rsidRDefault="00E239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46218"/>
    <w:multiLevelType w:val="hybridMultilevel"/>
    <w:tmpl w:val="198EB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3C1ABA"/>
    <w:multiLevelType w:val="hybridMultilevel"/>
    <w:tmpl w:val="EA9AC90C"/>
    <w:lvl w:ilvl="0" w:tplc="54FA82F8">
      <w:start w:val="1"/>
      <w:numFmt w:val="lowerRoman"/>
      <w:lvlText w:val="%1."/>
      <w:lvlJc w:val="right"/>
      <w:pPr>
        <w:ind w:left="54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4D0DEE"/>
    <w:multiLevelType w:val="multilevel"/>
    <w:tmpl w:val="38A6B868"/>
    <w:lvl w:ilvl="0">
      <w:start w:val="1"/>
      <w:numFmt w:val="decimal"/>
      <w:lvlText w:val="%1."/>
      <w:lvlJc w:val="left"/>
      <w:pPr>
        <w:ind w:left="720" w:hanging="360"/>
      </w:pPr>
    </w:lvl>
    <w:lvl w:ilvl="1">
      <w:numFmt w:val="decimal"/>
      <w:isLgl/>
      <w:lvlText w:val="%1.%2"/>
      <w:lvlJc w:val="left"/>
      <w:pPr>
        <w:ind w:left="720" w:hanging="360"/>
      </w:pPr>
      <w:rPr>
        <w:rFonts w:hint="default"/>
        <w:sz w:val="26"/>
      </w:rPr>
    </w:lvl>
    <w:lvl w:ilvl="2">
      <w:start w:val="1"/>
      <w:numFmt w:val="decimal"/>
      <w:isLgl/>
      <w:lvlText w:val="%1.%2.%3"/>
      <w:lvlJc w:val="left"/>
      <w:pPr>
        <w:ind w:left="1080" w:hanging="720"/>
      </w:pPr>
      <w:rPr>
        <w:rFonts w:hint="default"/>
        <w:sz w:val="26"/>
      </w:rPr>
    </w:lvl>
    <w:lvl w:ilvl="3">
      <w:start w:val="1"/>
      <w:numFmt w:val="decimal"/>
      <w:isLgl/>
      <w:lvlText w:val="%1.%2.%3.%4"/>
      <w:lvlJc w:val="left"/>
      <w:pPr>
        <w:ind w:left="1080" w:hanging="720"/>
      </w:pPr>
      <w:rPr>
        <w:rFonts w:hint="default"/>
        <w:sz w:val="26"/>
      </w:rPr>
    </w:lvl>
    <w:lvl w:ilvl="4">
      <w:start w:val="1"/>
      <w:numFmt w:val="decimal"/>
      <w:isLgl/>
      <w:lvlText w:val="%1.%2.%3.%4.%5"/>
      <w:lvlJc w:val="left"/>
      <w:pPr>
        <w:ind w:left="1440" w:hanging="1080"/>
      </w:pPr>
      <w:rPr>
        <w:rFonts w:hint="default"/>
        <w:sz w:val="26"/>
      </w:rPr>
    </w:lvl>
    <w:lvl w:ilvl="5">
      <w:start w:val="1"/>
      <w:numFmt w:val="decimal"/>
      <w:isLgl/>
      <w:lvlText w:val="%1.%2.%3.%4.%5.%6"/>
      <w:lvlJc w:val="left"/>
      <w:pPr>
        <w:ind w:left="1440" w:hanging="1080"/>
      </w:pPr>
      <w:rPr>
        <w:rFonts w:hint="default"/>
        <w:sz w:val="26"/>
      </w:rPr>
    </w:lvl>
    <w:lvl w:ilvl="6">
      <w:start w:val="1"/>
      <w:numFmt w:val="decimal"/>
      <w:isLgl/>
      <w:lvlText w:val="%1.%2.%3.%4.%5.%6.%7"/>
      <w:lvlJc w:val="left"/>
      <w:pPr>
        <w:ind w:left="1800" w:hanging="1440"/>
      </w:pPr>
      <w:rPr>
        <w:rFonts w:hint="default"/>
        <w:sz w:val="26"/>
      </w:rPr>
    </w:lvl>
    <w:lvl w:ilvl="7">
      <w:start w:val="1"/>
      <w:numFmt w:val="decimal"/>
      <w:isLgl/>
      <w:lvlText w:val="%1.%2.%3.%4.%5.%6.%7.%8"/>
      <w:lvlJc w:val="left"/>
      <w:pPr>
        <w:ind w:left="2160" w:hanging="1800"/>
      </w:pPr>
      <w:rPr>
        <w:rFonts w:hint="default"/>
        <w:sz w:val="26"/>
      </w:rPr>
    </w:lvl>
    <w:lvl w:ilvl="8">
      <w:start w:val="1"/>
      <w:numFmt w:val="decimal"/>
      <w:isLgl/>
      <w:lvlText w:val="%1.%2.%3.%4.%5.%6.%7.%8.%9"/>
      <w:lvlJc w:val="left"/>
      <w:pPr>
        <w:ind w:left="2160" w:hanging="1800"/>
      </w:pPr>
      <w:rPr>
        <w:rFonts w:hint="default"/>
        <w:sz w:val="26"/>
      </w:rPr>
    </w:lvl>
  </w:abstractNum>
  <w:abstractNum w:abstractNumId="3" w15:restartNumberingAfterBreak="0">
    <w:nsid w:val="017A492E"/>
    <w:multiLevelType w:val="hybridMultilevel"/>
    <w:tmpl w:val="5ABE943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3DC317F"/>
    <w:multiLevelType w:val="multilevel"/>
    <w:tmpl w:val="05EEC4D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3F909DB"/>
    <w:multiLevelType w:val="hybridMultilevel"/>
    <w:tmpl w:val="7706C62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4D2685"/>
    <w:multiLevelType w:val="hybridMultilevel"/>
    <w:tmpl w:val="9EA6BB78"/>
    <w:lvl w:ilvl="0" w:tplc="799CD8C0">
      <w:start w:val="1"/>
      <w:numFmt w:val="lowerRoman"/>
      <w:lvlText w:val="%1."/>
      <w:lvlJc w:val="righ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A316A0"/>
    <w:multiLevelType w:val="multilevel"/>
    <w:tmpl w:val="6C22B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4CD650E"/>
    <w:multiLevelType w:val="hybridMultilevel"/>
    <w:tmpl w:val="21563D1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38686C"/>
    <w:multiLevelType w:val="hybridMultilevel"/>
    <w:tmpl w:val="958490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5595928"/>
    <w:multiLevelType w:val="hybridMultilevel"/>
    <w:tmpl w:val="EE1A1512"/>
    <w:lvl w:ilvl="0" w:tplc="08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05F7720A"/>
    <w:multiLevelType w:val="hybridMultilevel"/>
    <w:tmpl w:val="9080E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7742531"/>
    <w:multiLevelType w:val="multilevel"/>
    <w:tmpl w:val="FF2C06BE"/>
    <w:lvl w:ilvl="0">
      <w:start w:val="4"/>
      <w:numFmt w:val="decimal"/>
      <w:lvlText w:val="%1.0"/>
      <w:lvlJc w:val="left"/>
      <w:pPr>
        <w:ind w:left="45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250" w:hanging="720"/>
      </w:pPr>
      <w:rPr>
        <w:rFonts w:hint="default"/>
      </w:rPr>
    </w:lvl>
    <w:lvl w:ilvl="3">
      <w:start w:val="1"/>
      <w:numFmt w:val="decimal"/>
      <w:lvlText w:val="%1.%2.%3.%4"/>
      <w:lvlJc w:val="left"/>
      <w:pPr>
        <w:ind w:left="2970" w:hanging="720"/>
      </w:pPr>
      <w:rPr>
        <w:rFonts w:hint="default"/>
      </w:rPr>
    </w:lvl>
    <w:lvl w:ilvl="4">
      <w:start w:val="1"/>
      <w:numFmt w:val="decimal"/>
      <w:lvlText w:val="%1.%2.%3.%4.%5"/>
      <w:lvlJc w:val="left"/>
      <w:pPr>
        <w:ind w:left="4050" w:hanging="1080"/>
      </w:pPr>
      <w:rPr>
        <w:rFonts w:hint="default"/>
      </w:rPr>
    </w:lvl>
    <w:lvl w:ilvl="5">
      <w:start w:val="1"/>
      <w:numFmt w:val="decimal"/>
      <w:lvlText w:val="%1.%2.%3.%4.%5.%6"/>
      <w:lvlJc w:val="left"/>
      <w:pPr>
        <w:ind w:left="4770" w:hanging="1080"/>
      </w:pPr>
      <w:rPr>
        <w:rFonts w:hint="default"/>
      </w:rPr>
    </w:lvl>
    <w:lvl w:ilvl="6">
      <w:start w:val="1"/>
      <w:numFmt w:val="decimal"/>
      <w:lvlText w:val="%1.%2.%3.%4.%5.%6.%7"/>
      <w:lvlJc w:val="left"/>
      <w:pPr>
        <w:ind w:left="5850" w:hanging="1440"/>
      </w:pPr>
      <w:rPr>
        <w:rFonts w:hint="default"/>
      </w:rPr>
    </w:lvl>
    <w:lvl w:ilvl="7">
      <w:start w:val="1"/>
      <w:numFmt w:val="decimal"/>
      <w:lvlText w:val="%1.%2.%3.%4.%5.%6.%7.%8"/>
      <w:lvlJc w:val="left"/>
      <w:pPr>
        <w:ind w:left="6570" w:hanging="1440"/>
      </w:pPr>
      <w:rPr>
        <w:rFonts w:hint="default"/>
      </w:rPr>
    </w:lvl>
    <w:lvl w:ilvl="8">
      <w:start w:val="1"/>
      <w:numFmt w:val="decimal"/>
      <w:lvlText w:val="%1.%2.%3.%4.%5.%6.%7.%8.%9"/>
      <w:lvlJc w:val="left"/>
      <w:pPr>
        <w:ind w:left="7650" w:hanging="1800"/>
      </w:pPr>
      <w:rPr>
        <w:rFonts w:hint="default"/>
      </w:rPr>
    </w:lvl>
  </w:abstractNum>
  <w:abstractNum w:abstractNumId="13" w15:restartNumberingAfterBreak="0">
    <w:nsid w:val="08EA24D5"/>
    <w:multiLevelType w:val="hybridMultilevel"/>
    <w:tmpl w:val="FD7C00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AB16B5A"/>
    <w:multiLevelType w:val="hybridMultilevel"/>
    <w:tmpl w:val="79E486D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B0A2C30"/>
    <w:multiLevelType w:val="hybridMultilevel"/>
    <w:tmpl w:val="AE904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B25310E"/>
    <w:multiLevelType w:val="hybridMultilevel"/>
    <w:tmpl w:val="40DC9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B697466"/>
    <w:multiLevelType w:val="hybridMultilevel"/>
    <w:tmpl w:val="1646D3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C500B05"/>
    <w:multiLevelType w:val="hybridMultilevel"/>
    <w:tmpl w:val="BCF6C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D8C588C"/>
    <w:multiLevelType w:val="hybridMultilevel"/>
    <w:tmpl w:val="81169CC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D9827C9"/>
    <w:multiLevelType w:val="hybridMultilevel"/>
    <w:tmpl w:val="08E45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E557F79"/>
    <w:multiLevelType w:val="multilevel"/>
    <w:tmpl w:val="5A02980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0EF56D3C"/>
    <w:multiLevelType w:val="hybridMultilevel"/>
    <w:tmpl w:val="E48EC826"/>
    <w:lvl w:ilvl="0" w:tplc="C66CA2B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F6B2277"/>
    <w:multiLevelType w:val="multilevel"/>
    <w:tmpl w:val="16367F3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103C0416"/>
    <w:multiLevelType w:val="hybridMultilevel"/>
    <w:tmpl w:val="EBACA2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06769F5"/>
    <w:multiLevelType w:val="hybridMultilevel"/>
    <w:tmpl w:val="407650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2092209"/>
    <w:multiLevelType w:val="multilevel"/>
    <w:tmpl w:val="B434C94C"/>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125E5CFC"/>
    <w:multiLevelType w:val="hybridMultilevel"/>
    <w:tmpl w:val="E6607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2AF646E"/>
    <w:multiLevelType w:val="multilevel"/>
    <w:tmpl w:val="223499E6"/>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12B261E4"/>
    <w:multiLevelType w:val="hybridMultilevel"/>
    <w:tmpl w:val="2E806D7A"/>
    <w:lvl w:ilvl="0" w:tplc="26E481FC">
      <w:start w:val="1"/>
      <w:numFmt w:val="lowerRoman"/>
      <w:lvlText w:val="(%1)"/>
      <w:lvlJc w:val="left"/>
      <w:pPr>
        <w:ind w:left="1170" w:hanging="720"/>
      </w:pPr>
      <w:rPr>
        <w:rFonts w:hint="default"/>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12FB54B3"/>
    <w:multiLevelType w:val="hybridMultilevel"/>
    <w:tmpl w:val="2CDC7C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3E1503A"/>
    <w:multiLevelType w:val="hybridMultilevel"/>
    <w:tmpl w:val="27345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4C33922"/>
    <w:multiLevelType w:val="multilevel"/>
    <w:tmpl w:val="2CFAF15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14F940C3"/>
    <w:multiLevelType w:val="hybridMultilevel"/>
    <w:tmpl w:val="918C0E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7154328"/>
    <w:multiLevelType w:val="multilevel"/>
    <w:tmpl w:val="04E88A8A"/>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17414C1D"/>
    <w:multiLevelType w:val="hybridMultilevel"/>
    <w:tmpl w:val="A9FEE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82A4B9E"/>
    <w:multiLevelType w:val="hybridMultilevel"/>
    <w:tmpl w:val="A47840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1873360B"/>
    <w:multiLevelType w:val="hybridMultilevel"/>
    <w:tmpl w:val="4322FB96"/>
    <w:lvl w:ilvl="0" w:tplc="0409000B">
      <w:start w:val="1"/>
      <w:numFmt w:val="bullet"/>
      <w:lvlText w:val=""/>
      <w:lvlJc w:val="left"/>
      <w:pPr>
        <w:ind w:left="1545" w:hanging="360"/>
      </w:pPr>
      <w:rPr>
        <w:rFonts w:ascii="Wingdings" w:hAnsi="Wingdings" w:hint="default"/>
      </w:rPr>
    </w:lvl>
    <w:lvl w:ilvl="1" w:tplc="38629818">
      <w:numFmt w:val="bullet"/>
      <w:lvlText w:val="•"/>
      <w:lvlJc w:val="left"/>
      <w:pPr>
        <w:ind w:left="2700" w:hanging="795"/>
      </w:pPr>
      <w:rPr>
        <w:rFonts w:ascii="Times New Roman" w:eastAsia="Calibri" w:hAnsi="Times New Roman" w:cs="Times New Roman"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38" w15:restartNumberingAfterBreak="0">
    <w:nsid w:val="19A20A8D"/>
    <w:multiLevelType w:val="hybridMultilevel"/>
    <w:tmpl w:val="079E7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9FD2CB1"/>
    <w:multiLevelType w:val="hybridMultilevel"/>
    <w:tmpl w:val="E4B0E97E"/>
    <w:lvl w:ilvl="0" w:tplc="031C940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A986804"/>
    <w:multiLevelType w:val="hybridMultilevel"/>
    <w:tmpl w:val="82B4BE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1BE133E4"/>
    <w:multiLevelType w:val="hybridMultilevel"/>
    <w:tmpl w:val="E3106F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F41513"/>
    <w:multiLevelType w:val="hybridMultilevel"/>
    <w:tmpl w:val="81DA1DDC"/>
    <w:lvl w:ilvl="0" w:tplc="A9F8437C">
      <w:start w:val="1"/>
      <w:numFmt w:val="lowerLetter"/>
      <w:lvlText w:val="%1."/>
      <w:lvlJc w:val="left"/>
      <w:pPr>
        <w:ind w:left="390" w:hanging="360"/>
      </w:pPr>
      <w:rPr>
        <w:rFonts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43" w15:restartNumberingAfterBreak="0">
    <w:nsid w:val="1C727A3C"/>
    <w:multiLevelType w:val="hybridMultilevel"/>
    <w:tmpl w:val="607AAD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1CFB1175"/>
    <w:multiLevelType w:val="hybridMultilevel"/>
    <w:tmpl w:val="F25436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1E1823A8"/>
    <w:multiLevelType w:val="multilevel"/>
    <w:tmpl w:val="41B08766"/>
    <w:lvl w:ilvl="0">
      <w:start w:val="1"/>
      <w:numFmt w:val="decimal"/>
      <w:lvlText w:val="%1.0"/>
      <w:lvlJc w:val="left"/>
      <w:pPr>
        <w:ind w:left="460" w:hanging="360"/>
      </w:pPr>
      <w:rPr>
        <w:rFonts w:hint="default"/>
        <w:sz w:val="26"/>
      </w:rPr>
    </w:lvl>
    <w:lvl w:ilvl="1">
      <w:start w:val="1"/>
      <w:numFmt w:val="decimal"/>
      <w:lvlText w:val="%1.%2"/>
      <w:lvlJc w:val="left"/>
      <w:pPr>
        <w:ind w:left="1180" w:hanging="360"/>
      </w:pPr>
      <w:rPr>
        <w:rFonts w:hint="default"/>
        <w:sz w:val="26"/>
      </w:rPr>
    </w:lvl>
    <w:lvl w:ilvl="2">
      <w:start w:val="1"/>
      <w:numFmt w:val="decimal"/>
      <w:lvlText w:val="%1.%2.%3"/>
      <w:lvlJc w:val="left"/>
      <w:pPr>
        <w:ind w:left="2260" w:hanging="720"/>
      </w:pPr>
      <w:rPr>
        <w:rFonts w:hint="default"/>
        <w:sz w:val="26"/>
      </w:rPr>
    </w:lvl>
    <w:lvl w:ilvl="3">
      <w:start w:val="1"/>
      <w:numFmt w:val="decimal"/>
      <w:lvlText w:val="%1.%2.%3.%4"/>
      <w:lvlJc w:val="left"/>
      <w:pPr>
        <w:ind w:left="2980" w:hanging="720"/>
      </w:pPr>
      <w:rPr>
        <w:rFonts w:hint="default"/>
        <w:sz w:val="26"/>
      </w:rPr>
    </w:lvl>
    <w:lvl w:ilvl="4">
      <w:start w:val="1"/>
      <w:numFmt w:val="decimal"/>
      <w:lvlText w:val="%1.%2.%3.%4.%5"/>
      <w:lvlJc w:val="left"/>
      <w:pPr>
        <w:ind w:left="4060" w:hanging="1080"/>
      </w:pPr>
      <w:rPr>
        <w:rFonts w:hint="default"/>
        <w:sz w:val="26"/>
      </w:rPr>
    </w:lvl>
    <w:lvl w:ilvl="5">
      <w:start w:val="1"/>
      <w:numFmt w:val="decimal"/>
      <w:lvlText w:val="%1.%2.%3.%4.%5.%6"/>
      <w:lvlJc w:val="left"/>
      <w:pPr>
        <w:ind w:left="4780" w:hanging="1080"/>
      </w:pPr>
      <w:rPr>
        <w:rFonts w:hint="default"/>
        <w:sz w:val="26"/>
      </w:rPr>
    </w:lvl>
    <w:lvl w:ilvl="6">
      <w:start w:val="1"/>
      <w:numFmt w:val="decimal"/>
      <w:lvlText w:val="%1.%2.%3.%4.%5.%6.%7"/>
      <w:lvlJc w:val="left"/>
      <w:pPr>
        <w:ind w:left="5860" w:hanging="1440"/>
      </w:pPr>
      <w:rPr>
        <w:rFonts w:hint="default"/>
        <w:sz w:val="26"/>
      </w:rPr>
    </w:lvl>
    <w:lvl w:ilvl="7">
      <w:start w:val="1"/>
      <w:numFmt w:val="decimal"/>
      <w:lvlText w:val="%1.%2.%3.%4.%5.%6.%7.%8"/>
      <w:lvlJc w:val="left"/>
      <w:pPr>
        <w:ind w:left="6940" w:hanging="1800"/>
      </w:pPr>
      <w:rPr>
        <w:rFonts w:hint="default"/>
        <w:sz w:val="26"/>
      </w:rPr>
    </w:lvl>
    <w:lvl w:ilvl="8">
      <w:start w:val="1"/>
      <w:numFmt w:val="decimal"/>
      <w:lvlText w:val="%1.%2.%3.%4.%5.%6.%7.%8.%9"/>
      <w:lvlJc w:val="left"/>
      <w:pPr>
        <w:ind w:left="7660" w:hanging="1800"/>
      </w:pPr>
      <w:rPr>
        <w:rFonts w:hint="default"/>
        <w:sz w:val="26"/>
      </w:rPr>
    </w:lvl>
  </w:abstractNum>
  <w:abstractNum w:abstractNumId="46" w15:restartNumberingAfterBreak="0">
    <w:nsid w:val="1E640A7B"/>
    <w:multiLevelType w:val="hybridMultilevel"/>
    <w:tmpl w:val="7B7CC2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ECE7C34"/>
    <w:multiLevelType w:val="hybridMultilevel"/>
    <w:tmpl w:val="424E06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1F1E0140"/>
    <w:multiLevelType w:val="multilevel"/>
    <w:tmpl w:val="2C0AEC1C"/>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21A73AE8"/>
    <w:multiLevelType w:val="hybridMultilevel"/>
    <w:tmpl w:val="0D469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1D234FA"/>
    <w:multiLevelType w:val="hybridMultilevel"/>
    <w:tmpl w:val="51BC0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4784C12"/>
    <w:multiLevelType w:val="hybridMultilevel"/>
    <w:tmpl w:val="0B30A486"/>
    <w:lvl w:ilvl="0" w:tplc="B596C69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5B41131"/>
    <w:multiLevelType w:val="hybridMultilevel"/>
    <w:tmpl w:val="A9827F76"/>
    <w:lvl w:ilvl="0" w:tplc="800CC54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67E56C2"/>
    <w:multiLevelType w:val="hybridMultilevel"/>
    <w:tmpl w:val="4E324EB2"/>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269F658E"/>
    <w:multiLevelType w:val="multilevel"/>
    <w:tmpl w:val="78C45F0C"/>
    <w:lvl w:ilvl="0">
      <w:start w:val="3"/>
      <w:numFmt w:val="decimal"/>
      <w:lvlText w:val="%1.0"/>
      <w:lvlJc w:val="left"/>
      <w:pPr>
        <w:ind w:left="360" w:hanging="360"/>
      </w:pPr>
      <w:rPr>
        <w:rFonts w:ascii="Times New Roman" w:hAnsi="Times New Roman" w:hint="default"/>
        <w:sz w:val="24"/>
      </w:rPr>
    </w:lvl>
    <w:lvl w:ilvl="1">
      <w:start w:val="1"/>
      <w:numFmt w:val="decimal"/>
      <w:lvlText w:val="%1.%2"/>
      <w:lvlJc w:val="left"/>
      <w:pPr>
        <w:ind w:left="1080" w:hanging="360"/>
      </w:pPr>
      <w:rPr>
        <w:rFonts w:ascii="Times New Roman" w:hAnsi="Times New Roman" w:hint="default"/>
        <w:sz w:val="24"/>
      </w:rPr>
    </w:lvl>
    <w:lvl w:ilvl="2">
      <w:start w:val="1"/>
      <w:numFmt w:val="decimal"/>
      <w:lvlText w:val="%1.%2.%3"/>
      <w:lvlJc w:val="left"/>
      <w:pPr>
        <w:ind w:left="2160" w:hanging="720"/>
      </w:pPr>
      <w:rPr>
        <w:rFonts w:ascii="Times New Roman" w:hAnsi="Times New Roman" w:hint="default"/>
        <w:sz w:val="24"/>
      </w:rPr>
    </w:lvl>
    <w:lvl w:ilvl="3">
      <w:start w:val="1"/>
      <w:numFmt w:val="decimal"/>
      <w:lvlText w:val="%1.%2.%3.%4"/>
      <w:lvlJc w:val="left"/>
      <w:pPr>
        <w:ind w:left="2880" w:hanging="720"/>
      </w:pPr>
      <w:rPr>
        <w:rFonts w:ascii="Times New Roman" w:hAnsi="Times New Roman" w:hint="default"/>
        <w:sz w:val="24"/>
      </w:rPr>
    </w:lvl>
    <w:lvl w:ilvl="4">
      <w:start w:val="1"/>
      <w:numFmt w:val="decimal"/>
      <w:lvlText w:val="%1.%2.%3.%4.%5"/>
      <w:lvlJc w:val="left"/>
      <w:pPr>
        <w:ind w:left="3960" w:hanging="1080"/>
      </w:pPr>
      <w:rPr>
        <w:rFonts w:ascii="Times New Roman" w:hAnsi="Times New Roman" w:hint="default"/>
        <w:sz w:val="24"/>
      </w:rPr>
    </w:lvl>
    <w:lvl w:ilvl="5">
      <w:start w:val="1"/>
      <w:numFmt w:val="decimal"/>
      <w:lvlText w:val="%1.%2.%3.%4.%5.%6"/>
      <w:lvlJc w:val="left"/>
      <w:pPr>
        <w:ind w:left="4680" w:hanging="1080"/>
      </w:pPr>
      <w:rPr>
        <w:rFonts w:ascii="Times New Roman" w:hAnsi="Times New Roman" w:hint="default"/>
        <w:sz w:val="24"/>
      </w:rPr>
    </w:lvl>
    <w:lvl w:ilvl="6">
      <w:start w:val="1"/>
      <w:numFmt w:val="decimal"/>
      <w:lvlText w:val="%1.%2.%3.%4.%5.%6.%7"/>
      <w:lvlJc w:val="left"/>
      <w:pPr>
        <w:ind w:left="5760" w:hanging="1440"/>
      </w:pPr>
      <w:rPr>
        <w:rFonts w:ascii="Times New Roman" w:hAnsi="Times New Roman" w:hint="default"/>
        <w:sz w:val="24"/>
      </w:rPr>
    </w:lvl>
    <w:lvl w:ilvl="7">
      <w:start w:val="1"/>
      <w:numFmt w:val="decimal"/>
      <w:lvlText w:val="%1.%2.%3.%4.%5.%6.%7.%8"/>
      <w:lvlJc w:val="left"/>
      <w:pPr>
        <w:ind w:left="6480" w:hanging="1440"/>
      </w:pPr>
      <w:rPr>
        <w:rFonts w:ascii="Times New Roman" w:hAnsi="Times New Roman" w:hint="default"/>
        <w:sz w:val="24"/>
      </w:rPr>
    </w:lvl>
    <w:lvl w:ilvl="8">
      <w:start w:val="1"/>
      <w:numFmt w:val="decimal"/>
      <w:lvlText w:val="%1.%2.%3.%4.%5.%6.%7.%8.%9"/>
      <w:lvlJc w:val="left"/>
      <w:pPr>
        <w:ind w:left="7560" w:hanging="1800"/>
      </w:pPr>
      <w:rPr>
        <w:rFonts w:ascii="Times New Roman" w:hAnsi="Times New Roman" w:hint="default"/>
        <w:sz w:val="24"/>
      </w:rPr>
    </w:lvl>
  </w:abstractNum>
  <w:abstractNum w:abstractNumId="55" w15:restartNumberingAfterBreak="0">
    <w:nsid w:val="26DC6EA6"/>
    <w:multiLevelType w:val="hybridMultilevel"/>
    <w:tmpl w:val="59B4A90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7FA5408"/>
    <w:multiLevelType w:val="hybridMultilevel"/>
    <w:tmpl w:val="10F25BF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8435ED8"/>
    <w:multiLevelType w:val="hybridMultilevel"/>
    <w:tmpl w:val="B67E73F6"/>
    <w:lvl w:ilvl="0" w:tplc="0409000F">
      <w:start w:val="3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9F54558"/>
    <w:multiLevelType w:val="multilevel"/>
    <w:tmpl w:val="EEAE2468"/>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59" w15:restartNumberingAfterBreak="0">
    <w:nsid w:val="2A583179"/>
    <w:multiLevelType w:val="hybridMultilevel"/>
    <w:tmpl w:val="506CC34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60" w15:restartNumberingAfterBreak="0">
    <w:nsid w:val="2AE66E30"/>
    <w:multiLevelType w:val="hybridMultilevel"/>
    <w:tmpl w:val="0ABAD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B6D35C4"/>
    <w:multiLevelType w:val="multilevel"/>
    <w:tmpl w:val="E632BC7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2CAD305A"/>
    <w:multiLevelType w:val="hybridMultilevel"/>
    <w:tmpl w:val="64F81C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D1258E8"/>
    <w:multiLevelType w:val="hybridMultilevel"/>
    <w:tmpl w:val="2B887A4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D154C78"/>
    <w:multiLevelType w:val="hybridMultilevel"/>
    <w:tmpl w:val="81E6F1D2"/>
    <w:lvl w:ilvl="0" w:tplc="F2E290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2DED28D3"/>
    <w:multiLevelType w:val="hybridMultilevel"/>
    <w:tmpl w:val="A490A0B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2F73196A"/>
    <w:multiLevelType w:val="hybridMultilevel"/>
    <w:tmpl w:val="5030B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FB273B0"/>
    <w:multiLevelType w:val="hybridMultilevel"/>
    <w:tmpl w:val="D6EA6B7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FB332AA"/>
    <w:multiLevelType w:val="hybridMultilevel"/>
    <w:tmpl w:val="9EC6A4A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FDD5AFD"/>
    <w:multiLevelType w:val="hybridMultilevel"/>
    <w:tmpl w:val="D3E46EEA"/>
    <w:lvl w:ilvl="0" w:tplc="0409000B">
      <w:start w:val="1"/>
      <w:numFmt w:val="bullet"/>
      <w:lvlText w:val=""/>
      <w:lvlJc w:val="left"/>
      <w:pPr>
        <w:ind w:left="1485" w:hanging="360"/>
      </w:pPr>
      <w:rPr>
        <w:rFonts w:ascii="Wingdings" w:hAnsi="Wingdings"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70" w15:restartNumberingAfterBreak="0">
    <w:nsid w:val="306E165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30BD7218"/>
    <w:multiLevelType w:val="multilevel"/>
    <w:tmpl w:val="C554ABD6"/>
    <w:lvl w:ilvl="0">
      <w:start w:val="1"/>
      <w:numFmt w:val="decimal"/>
      <w:lvlText w:val="%1.0"/>
      <w:lvlJc w:val="left"/>
      <w:pPr>
        <w:ind w:left="360" w:hanging="360"/>
      </w:pPr>
      <w:rPr>
        <w:rFonts w:hint="default"/>
        <w:sz w:val="26"/>
      </w:rPr>
    </w:lvl>
    <w:lvl w:ilvl="1">
      <w:start w:val="1"/>
      <w:numFmt w:val="decimal"/>
      <w:lvlText w:val="%1.%2"/>
      <w:lvlJc w:val="left"/>
      <w:pPr>
        <w:ind w:left="1080" w:hanging="360"/>
      </w:pPr>
      <w:rPr>
        <w:rFonts w:hint="default"/>
        <w:sz w:val="26"/>
      </w:rPr>
    </w:lvl>
    <w:lvl w:ilvl="2">
      <w:start w:val="1"/>
      <w:numFmt w:val="decimal"/>
      <w:lvlText w:val="%1.%2.%3"/>
      <w:lvlJc w:val="left"/>
      <w:pPr>
        <w:ind w:left="2160" w:hanging="720"/>
      </w:pPr>
      <w:rPr>
        <w:rFonts w:hint="default"/>
        <w:sz w:val="26"/>
      </w:rPr>
    </w:lvl>
    <w:lvl w:ilvl="3">
      <w:start w:val="1"/>
      <w:numFmt w:val="decimal"/>
      <w:lvlText w:val="%1.%2.%3.%4"/>
      <w:lvlJc w:val="left"/>
      <w:pPr>
        <w:ind w:left="2880" w:hanging="720"/>
      </w:pPr>
      <w:rPr>
        <w:rFonts w:hint="default"/>
        <w:sz w:val="26"/>
      </w:rPr>
    </w:lvl>
    <w:lvl w:ilvl="4">
      <w:start w:val="1"/>
      <w:numFmt w:val="decimal"/>
      <w:lvlText w:val="%1.%2.%3.%4.%5"/>
      <w:lvlJc w:val="left"/>
      <w:pPr>
        <w:ind w:left="3960" w:hanging="1080"/>
      </w:pPr>
      <w:rPr>
        <w:rFonts w:hint="default"/>
        <w:sz w:val="26"/>
      </w:rPr>
    </w:lvl>
    <w:lvl w:ilvl="5">
      <w:start w:val="1"/>
      <w:numFmt w:val="decimal"/>
      <w:lvlText w:val="%1.%2.%3.%4.%5.%6"/>
      <w:lvlJc w:val="left"/>
      <w:pPr>
        <w:ind w:left="4680" w:hanging="1080"/>
      </w:pPr>
      <w:rPr>
        <w:rFonts w:hint="default"/>
        <w:sz w:val="26"/>
      </w:rPr>
    </w:lvl>
    <w:lvl w:ilvl="6">
      <w:start w:val="1"/>
      <w:numFmt w:val="decimal"/>
      <w:lvlText w:val="%1.%2.%3.%4.%5.%6.%7"/>
      <w:lvlJc w:val="left"/>
      <w:pPr>
        <w:ind w:left="5760" w:hanging="1440"/>
      </w:pPr>
      <w:rPr>
        <w:rFonts w:hint="default"/>
        <w:sz w:val="26"/>
      </w:rPr>
    </w:lvl>
    <w:lvl w:ilvl="7">
      <w:start w:val="1"/>
      <w:numFmt w:val="decimal"/>
      <w:lvlText w:val="%1.%2.%3.%4.%5.%6.%7.%8"/>
      <w:lvlJc w:val="left"/>
      <w:pPr>
        <w:ind w:left="6840" w:hanging="1800"/>
      </w:pPr>
      <w:rPr>
        <w:rFonts w:hint="default"/>
        <w:sz w:val="26"/>
      </w:rPr>
    </w:lvl>
    <w:lvl w:ilvl="8">
      <w:start w:val="1"/>
      <w:numFmt w:val="decimal"/>
      <w:lvlText w:val="%1.%2.%3.%4.%5.%6.%7.%8.%9"/>
      <w:lvlJc w:val="left"/>
      <w:pPr>
        <w:ind w:left="7560" w:hanging="1800"/>
      </w:pPr>
      <w:rPr>
        <w:rFonts w:hint="default"/>
        <w:sz w:val="26"/>
      </w:rPr>
    </w:lvl>
  </w:abstractNum>
  <w:abstractNum w:abstractNumId="72" w15:restartNumberingAfterBreak="0">
    <w:nsid w:val="31DA380E"/>
    <w:multiLevelType w:val="multilevel"/>
    <w:tmpl w:val="5F2C8204"/>
    <w:lvl w:ilvl="0">
      <w:start w:val="1"/>
      <w:numFmt w:val="decimal"/>
      <w:lvlText w:val="%1."/>
      <w:lvlJc w:val="left"/>
      <w:pPr>
        <w:ind w:left="720" w:hanging="360"/>
      </w:pPr>
      <w:rPr>
        <w:rFonts w:hint="default"/>
        <w:b w:val="0"/>
      </w:rPr>
    </w:lvl>
    <w:lvl w:ilvl="1">
      <w:start w:val="1"/>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15:restartNumberingAfterBreak="0">
    <w:nsid w:val="321C2C1C"/>
    <w:multiLevelType w:val="hybridMultilevel"/>
    <w:tmpl w:val="F13E561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31A1CB9"/>
    <w:multiLevelType w:val="hybridMultilevel"/>
    <w:tmpl w:val="18C0E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35D2440"/>
    <w:multiLevelType w:val="hybridMultilevel"/>
    <w:tmpl w:val="BC022DD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35F7859"/>
    <w:multiLevelType w:val="hybridMultilevel"/>
    <w:tmpl w:val="8ED86E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34684403"/>
    <w:multiLevelType w:val="hybridMultilevel"/>
    <w:tmpl w:val="E77AE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47B0DB2"/>
    <w:multiLevelType w:val="hybridMultilevel"/>
    <w:tmpl w:val="0E541A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58F7023"/>
    <w:multiLevelType w:val="hybridMultilevel"/>
    <w:tmpl w:val="7CCADC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5CF74F6"/>
    <w:multiLevelType w:val="multilevel"/>
    <w:tmpl w:val="C53644F4"/>
    <w:lvl w:ilvl="0">
      <w:start w:val="1"/>
      <w:numFmt w:val="decimal"/>
      <w:lvlText w:val="%1.0"/>
      <w:lvlJc w:val="left"/>
      <w:pPr>
        <w:ind w:left="720" w:hanging="360"/>
      </w:pPr>
      <w:rPr>
        <w:rFonts w:hint="default"/>
        <w:sz w:val="26"/>
      </w:rPr>
    </w:lvl>
    <w:lvl w:ilvl="1">
      <w:start w:val="1"/>
      <w:numFmt w:val="decimal"/>
      <w:lvlText w:val="%1.%2"/>
      <w:lvlJc w:val="left"/>
      <w:pPr>
        <w:ind w:left="1440" w:hanging="360"/>
      </w:pPr>
      <w:rPr>
        <w:rFonts w:hint="default"/>
        <w:sz w:val="26"/>
      </w:rPr>
    </w:lvl>
    <w:lvl w:ilvl="2">
      <w:start w:val="1"/>
      <w:numFmt w:val="decimal"/>
      <w:lvlText w:val="%1.%2.%3"/>
      <w:lvlJc w:val="left"/>
      <w:pPr>
        <w:ind w:left="2520" w:hanging="720"/>
      </w:pPr>
      <w:rPr>
        <w:rFonts w:hint="default"/>
        <w:sz w:val="26"/>
      </w:rPr>
    </w:lvl>
    <w:lvl w:ilvl="3">
      <w:start w:val="1"/>
      <w:numFmt w:val="decimal"/>
      <w:lvlText w:val="%1.%2.%3.%4"/>
      <w:lvlJc w:val="left"/>
      <w:pPr>
        <w:ind w:left="3240" w:hanging="720"/>
      </w:pPr>
      <w:rPr>
        <w:rFonts w:hint="default"/>
        <w:sz w:val="26"/>
      </w:rPr>
    </w:lvl>
    <w:lvl w:ilvl="4">
      <w:start w:val="1"/>
      <w:numFmt w:val="decimal"/>
      <w:lvlText w:val="%1.%2.%3.%4.%5"/>
      <w:lvlJc w:val="left"/>
      <w:pPr>
        <w:ind w:left="4320" w:hanging="1080"/>
      </w:pPr>
      <w:rPr>
        <w:rFonts w:hint="default"/>
        <w:sz w:val="26"/>
      </w:rPr>
    </w:lvl>
    <w:lvl w:ilvl="5">
      <w:start w:val="1"/>
      <w:numFmt w:val="decimal"/>
      <w:lvlText w:val="%1.%2.%3.%4.%5.%6"/>
      <w:lvlJc w:val="left"/>
      <w:pPr>
        <w:ind w:left="5040" w:hanging="1080"/>
      </w:pPr>
      <w:rPr>
        <w:rFonts w:hint="default"/>
        <w:sz w:val="26"/>
      </w:rPr>
    </w:lvl>
    <w:lvl w:ilvl="6">
      <w:start w:val="1"/>
      <w:numFmt w:val="decimal"/>
      <w:lvlText w:val="%1.%2.%3.%4.%5.%6.%7"/>
      <w:lvlJc w:val="left"/>
      <w:pPr>
        <w:ind w:left="6120" w:hanging="1440"/>
      </w:pPr>
      <w:rPr>
        <w:rFonts w:hint="default"/>
        <w:sz w:val="26"/>
      </w:rPr>
    </w:lvl>
    <w:lvl w:ilvl="7">
      <w:start w:val="1"/>
      <w:numFmt w:val="decimal"/>
      <w:lvlText w:val="%1.%2.%3.%4.%5.%6.%7.%8"/>
      <w:lvlJc w:val="left"/>
      <w:pPr>
        <w:ind w:left="7200" w:hanging="1800"/>
      </w:pPr>
      <w:rPr>
        <w:rFonts w:hint="default"/>
        <w:sz w:val="26"/>
      </w:rPr>
    </w:lvl>
    <w:lvl w:ilvl="8">
      <w:start w:val="1"/>
      <w:numFmt w:val="decimal"/>
      <w:lvlText w:val="%1.%2.%3.%4.%5.%6.%7.%8.%9"/>
      <w:lvlJc w:val="left"/>
      <w:pPr>
        <w:ind w:left="7920" w:hanging="1800"/>
      </w:pPr>
      <w:rPr>
        <w:rFonts w:hint="default"/>
        <w:sz w:val="26"/>
      </w:rPr>
    </w:lvl>
  </w:abstractNum>
  <w:abstractNum w:abstractNumId="81" w15:restartNumberingAfterBreak="0">
    <w:nsid w:val="35FB0B29"/>
    <w:multiLevelType w:val="hybridMultilevel"/>
    <w:tmpl w:val="A5C28FC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72077DC"/>
    <w:multiLevelType w:val="hybridMultilevel"/>
    <w:tmpl w:val="D63AE8D0"/>
    <w:lvl w:ilvl="0" w:tplc="EDB4DB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7C66F81"/>
    <w:multiLevelType w:val="hybridMultilevel"/>
    <w:tmpl w:val="083C5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7D828F1"/>
    <w:multiLevelType w:val="hybridMultilevel"/>
    <w:tmpl w:val="6E901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81546B6"/>
    <w:multiLevelType w:val="hybridMultilevel"/>
    <w:tmpl w:val="F6EC6EF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 w15:restartNumberingAfterBreak="0">
    <w:nsid w:val="3834550F"/>
    <w:multiLevelType w:val="multilevel"/>
    <w:tmpl w:val="F5A44368"/>
    <w:lvl w:ilvl="0">
      <w:start w:val="1"/>
      <w:numFmt w:val="decimal"/>
      <w:lvlText w:val="%1.0"/>
      <w:lvlJc w:val="left"/>
      <w:pPr>
        <w:ind w:left="72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8280" w:hanging="2160"/>
      </w:pPr>
      <w:rPr>
        <w:rFonts w:hint="default"/>
      </w:rPr>
    </w:lvl>
  </w:abstractNum>
  <w:abstractNum w:abstractNumId="87" w15:restartNumberingAfterBreak="0">
    <w:nsid w:val="392860FA"/>
    <w:multiLevelType w:val="hybridMultilevel"/>
    <w:tmpl w:val="55B20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A7C73FB"/>
    <w:multiLevelType w:val="multilevel"/>
    <w:tmpl w:val="AC52634A"/>
    <w:lvl w:ilvl="0">
      <w:start w:val="1"/>
      <w:numFmt w:val="decimal"/>
      <w:lvlText w:val="%1.0"/>
      <w:lvlJc w:val="left"/>
      <w:pPr>
        <w:ind w:left="360" w:hanging="360"/>
      </w:pPr>
      <w:rPr>
        <w:rFonts w:hint="default"/>
        <w:i w:val="0"/>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9" w15:restartNumberingAfterBreak="0">
    <w:nsid w:val="3ADF3521"/>
    <w:multiLevelType w:val="hybridMultilevel"/>
    <w:tmpl w:val="24369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B5149A2"/>
    <w:multiLevelType w:val="hybridMultilevel"/>
    <w:tmpl w:val="39D8A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D604545"/>
    <w:multiLevelType w:val="hybridMultilevel"/>
    <w:tmpl w:val="793C6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D9248FA"/>
    <w:multiLevelType w:val="hybridMultilevel"/>
    <w:tmpl w:val="F766AB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3D952E04"/>
    <w:multiLevelType w:val="hybridMultilevel"/>
    <w:tmpl w:val="1FC2A7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E3E15A5"/>
    <w:multiLevelType w:val="multilevel"/>
    <w:tmpl w:val="2A1E1D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5" w15:restartNumberingAfterBreak="0">
    <w:nsid w:val="3E9E0117"/>
    <w:multiLevelType w:val="hybridMultilevel"/>
    <w:tmpl w:val="E4B0E97E"/>
    <w:lvl w:ilvl="0" w:tplc="031C940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ED95DDD"/>
    <w:multiLevelType w:val="hybridMultilevel"/>
    <w:tmpl w:val="80465E5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3F8C144A"/>
    <w:multiLevelType w:val="multilevel"/>
    <w:tmpl w:val="A8E4CCAA"/>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8" w15:restartNumberingAfterBreak="0">
    <w:nsid w:val="3F8F1325"/>
    <w:multiLevelType w:val="hybridMultilevel"/>
    <w:tmpl w:val="3B20C27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0071160"/>
    <w:multiLevelType w:val="hybridMultilevel"/>
    <w:tmpl w:val="AC3E56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400F4804"/>
    <w:multiLevelType w:val="hybridMultilevel"/>
    <w:tmpl w:val="C9DCB9E2"/>
    <w:lvl w:ilvl="0" w:tplc="6DD2A3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40A95493"/>
    <w:multiLevelType w:val="multilevel"/>
    <w:tmpl w:val="E3140F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02" w15:restartNumberingAfterBreak="0">
    <w:nsid w:val="413B3420"/>
    <w:multiLevelType w:val="multilevel"/>
    <w:tmpl w:val="3974A5B4"/>
    <w:lvl w:ilvl="0">
      <w:start w:val="1"/>
      <w:numFmt w:val="decimal"/>
      <w:lvlText w:val="%1."/>
      <w:lvlJc w:val="left"/>
      <w:pPr>
        <w:ind w:left="720" w:hanging="360"/>
      </w:pPr>
      <w:rPr>
        <w:rFonts w:hint="default"/>
      </w:rPr>
    </w:lvl>
    <w:lvl w:ilvl="1">
      <w:start w:val="2"/>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3" w15:restartNumberingAfterBreak="0">
    <w:nsid w:val="4375314D"/>
    <w:multiLevelType w:val="hybridMultilevel"/>
    <w:tmpl w:val="27347A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44A53B26"/>
    <w:multiLevelType w:val="hybridMultilevel"/>
    <w:tmpl w:val="BD70201E"/>
    <w:lvl w:ilvl="0" w:tplc="86CE0CC8">
      <w:start w:val="1"/>
      <w:numFmt w:val="decimal"/>
      <w:lvlText w:val="%1."/>
      <w:lvlJc w:val="left"/>
      <w:pPr>
        <w:ind w:left="360" w:hanging="360"/>
      </w:pPr>
      <w:rPr>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5" w15:restartNumberingAfterBreak="0">
    <w:nsid w:val="49237CF3"/>
    <w:multiLevelType w:val="hybridMultilevel"/>
    <w:tmpl w:val="CE44C1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4ABD7616"/>
    <w:multiLevelType w:val="hybridMultilevel"/>
    <w:tmpl w:val="D616C47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C256186"/>
    <w:multiLevelType w:val="hybridMultilevel"/>
    <w:tmpl w:val="50DEDBC6"/>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8" w15:restartNumberingAfterBreak="0">
    <w:nsid w:val="4C29071F"/>
    <w:multiLevelType w:val="hybridMultilevel"/>
    <w:tmpl w:val="D71245C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4D0B5DA1"/>
    <w:multiLevelType w:val="multilevel"/>
    <w:tmpl w:val="85EEA1C8"/>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0" w15:restartNumberingAfterBreak="0">
    <w:nsid w:val="4D3D5AA0"/>
    <w:multiLevelType w:val="hybridMultilevel"/>
    <w:tmpl w:val="22EE6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D881538"/>
    <w:multiLevelType w:val="hybridMultilevel"/>
    <w:tmpl w:val="84A298BE"/>
    <w:lvl w:ilvl="0" w:tplc="04090001">
      <w:start w:val="1"/>
      <w:numFmt w:val="bullet"/>
      <w:lvlText w:val=""/>
      <w:lvlJc w:val="left"/>
      <w:pPr>
        <w:ind w:left="1905" w:hanging="360"/>
      </w:pPr>
      <w:rPr>
        <w:rFonts w:ascii="Symbol" w:hAnsi="Symbol" w:hint="default"/>
      </w:rPr>
    </w:lvl>
    <w:lvl w:ilvl="1" w:tplc="04090003" w:tentative="1">
      <w:start w:val="1"/>
      <w:numFmt w:val="bullet"/>
      <w:lvlText w:val="o"/>
      <w:lvlJc w:val="left"/>
      <w:pPr>
        <w:ind w:left="2625" w:hanging="360"/>
      </w:pPr>
      <w:rPr>
        <w:rFonts w:ascii="Courier New" w:hAnsi="Courier New" w:cs="Courier New" w:hint="default"/>
      </w:rPr>
    </w:lvl>
    <w:lvl w:ilvl="2" w:tplc="04090005" w:tentative="1">
      <w:start w:val="1"/>
      <w:numFmt w:val="bullet"/>
      <w:lvlText w:val=""/>
      <w:lvlJc w:val="left"/>
      <w:pPr>
        <w:ind w:left="3345" w:hanging="360"/>
      </w:pPr>
      <w:rPr>
        <w:rFonts w:ascii="Wingdings" w:hAnsi="Wingdings" w:hint="default"/>
      </w:rPr>
    </w:lvl>
    <w:lvl w:ilvl="3" w:tplc="04090001" w:tentative="1">
      <w:start w:val="1"/>
      <w:numFmt w:val="bullet"/>
      <w:lvlText w:val=""/>
      <w:lvlJc w:val="left"/>
      <w:pPr>
        <w:ind w:left="4065" w:hanging="360"/>
      </w:pPr>
      <w:rPr>
        <w:rFonts w:ascii="Symbol" w:hAnsi="Symbol" w:hint="default"/>
      </w:rPr>
    </w:lvl>
    <w:lvl w:ilvl="4" w:tplc="04090003" w:tentative="1">
      <w:start w:val="1"/>
      <w:numFmt w:val="bullet"/>
      <w:lvlText w:val="o"/>
      <w:lvlJc w:val="left"/>
      <w:pPr>
        <w:ind w:left="4785" w:hanging="360"/>
      </w:pPr>
      <w:rPr>
        <w:rFonts w:ascii="Courier New" w:hAnsi="Courier New" w:cs="Courier New" w:hint="default"/>
      </w:rPr>
    </w:lvl>
    <w:lvl w:ilvl="5" w:tplc="04090005" w:tentative="1">
      <w:start w:val="1"/>
      <w:numFmt w:val="bullet"/>
      <w:lvlText w:val=""/>
      <w:lvlJc w:val="left"/>
      <w:pPr>
        <w:ind w:left="5505" w:hanging="360"/>
      </w:pPr>
      <w:rPr>
        <w:rFonts w:ascii="Wingdings" w:hAnsi="Wingdings" w:hint="default"/>
      </w:rPr>
    </w:lvl>
    <w:lvl w:ilvl="6" w:tplc="04090001" w:tentative="1">
      <w:start w:val="1"/>
      <w:numFmt w:val="bullet"/>
      <w:lvlText w:val=""/>
      <w:lvlJc w:val="left"/>
      <w:pPr>
        <w:ind w:left="6225" w:hanging="360"/>
      </w:pPr>
      <w:rPr>
        <w:rFonts w:ascii="Symbol" w:hAnsi="Symbol" w:hint="default"/>
      </w:rPr>
    </w:lvl>
    <w:lvl w:ilvl="7" w:tplc="04090003" w:tentative="1">
      <w:start w:val="1"/>
      <w:numFmt w:val="bullet"/>
      <w:lvlText w:val="o"/>
      <w:lvlJc w:val="left"/>
      <w:pPr>
        <w:ind w:left="6945" w:hanging="360"/>
      </w:pPr>
      <w:rPr>
        <w:rFonts w:ascii="Courier New" w:hAnsi="Courier New" w:cs="Courier New" w:hint="default"/>
      </w:rPr>
    </w:lvl>
    <w:lvl w:ilvl="8" w:tplc="04090005" w:tentative="1">
      <w:start w:val="1"/>
      <w:numFmt w:val="bullet"/>
      <w:lvlText w:val=""/>
      <w:lvlJc w:val="left"/>
      <w:pPr>
        <w:ind w:left="7665" w:hanging="360"/>
      </w:pPr>
      <w:rPr>
        <w:rFonts w:ascii="Wingdings" w:hAnsi="Wingdings" w:hint="default"/>
      </w:rPr>
    </w:lvl>
  </w:abstractNum>
  <w:abstractNum w:abstractNumId="112" w15:restartNumberingAfterBreak="0">
    <w:nsid w:val="4DDD4A31"/>
    <w:multiLevelType w:val="multilevel"/>
    <w:tmpl w:val="FCCA817C"/>
    <w:lvl w:ilvl="0">
      <w:start w:val="1"/>
      <w:numFmt w:val="decimal"/>
      <w:lvlText w:val="%1.0"/>
      <w:lvlJc w:val="left"/>
      <w:pPr>
        <w:ind w:left="360" w:hanging="360"/>
      </w:pPr>
      <w:rPr>
        <w:rFonts w:hint="default"/>
        <w:sz w:val="26"/>
      </w:rPr>
    </w:lvl>
    <w:lvl w:ilvl="1">
      <w:start w:val="1"/>
      <w:numFmt w:val="decimal"/>
      <w:lvlText w:val="%1.%2"/>
      <w:lvlJc w:val="left"/>
      <w:pPr>
        <w:ind w:left="1080" w:hanging="360"/>
      </w:pPr>
      <w:rPr>
        <w:rFonts w:hint="default"/>
        <w:sz w:val="26"/>
      </w:rPr>
    </w:lvl>
    <w:lvl w:ilvl="2">
      <w:start w:val="1"/>
      <w:numFmt w:val="decimal"/>
      <w:lvlText w:val="%1.%2.%3"/>
      <w:lvlJc w:val="left"/>
      <w:pPr>
        <w:ind w:left="2160" w:hanging="720"/>
      </w:pPr>
      <w:rPr>
        <w:rFonts w:hint="default"/>
        <w:sz w:val="26"/>
      </w:rPr>
    </w:lvl>
    <w:lvl w:ilvl="3">
      <w:start w:val="1"/>
      <w:numFmt w:val="decimal"/>
      <w:lvlText w:val="%1.%2.%3.%4"/>
      <w:lvlJc w:val="left"/>
      <w:pPr>
        <w:ind w:left="2880" w:hanging="720"/>
      </w:pPr>
      <w:rPr>
        <w:rFonts w:hint="default"/>
        <w:sz w:val="26"/>
      </w:rPr>
    </w:lvl>
    <w:lvl w:ilvl="4">
      <w:start w:val="1"/>
      <w:numFmt w:val="decimal"/>
      <w:lvlText w:val="%1.%2.%3.%4.%5"/>
      <w:lvlJc w:val="left"/>
      <w:pPr>
        <w:ind w:left="3960" w:hanging="1080"/>
      </w:pPr>
      <w:rPr>
        <w:rFonts w:hint="default"/>
        <w:sz w:val="26"/>
      </w:rPr>
    </w:lvl>
    <w:lvl w:ilvl="5">
      <w:start w:val="1"/>
      <w:numFmt w:val="decimal"/>
      <w:lvlText w:val="%1.%2.%3.%4.%5.%6"/>
      <w:lvlJc w:val="left"/>
      <w:pPr>
        <w:ind w:left="4680" w:hanging="1080"/>
      </w:pPr>
      <w:rPr>
        <w:rFonts w:hint="default"/>
        <w:sz w:val="26"/>
      </w:rPr>
    </w:lvl>
    <w:lvl w:ilvl="6">
      <w:start w:val="1"/>
      <w:numFmt w:val="decimal"/>
      <w:lvlText w:val="%1.%2.%3.%4.%5.%6.%7"/>
      <w:lvlJc w:val="left"/>
      <w:pPr>
        <w:ind w:left="5760" w:hanging="1440"/>
      </w:pPr>
      <w:rPr>
        <w:rFonts w:hint="default"/>
        <w:sz w:val="26"/>
      </w:rPr>
    </w:lvl>
    <w:lvl w:ilvl="7">
      <w:start w:val="1"/>
      <w:numFmt w:val="decimal"/>
      <w:lvlText w:val="%1.%2.%3.%4.%5.%6.%7.%8"/>
      <w:lvlJc w:val="left"/>
      <w:pPr>
        <w:ind w:left="6840" w:hanging="1800"/>
      </w:pPr>
      <w:rPr>
        <w:rFonts w:hint="default"/>
        <w:sz w:val="26"/>
      </w:rPr>
    </w:lvl>
    <w:lvl w:ilvl="8">
      <w:start w:val="1"/>
      <w:numFmt w:val="decimal"/>
      <w:lvlText w:val="%1.%2.%3.%4.%5.%6.%7.%8.%9"/>
      <w:lvlJc w:val="left"/>
      <w:pPr>
        <w:ind w:left="7560" w:hanging="1800"/>
      </w:pPr>
      <w:rPr>
        <w:rFonts w:hint="default"/>
        <w:sz w:val="26"/>
      </w:rPr>
    </w:lvl>
  </w:abstractNum>
  <w:abstractNum w:abstractNumId="113" w15:restartNumberingAfterBreak="0">
    <w:nsid w:val="4DE22501"/>
    <w:multiLevelType w:val="hybridMultilevel"/>
    <w:tmpl w:val="C14E5B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EE565D8"/>
    <w:multiLevelType w:val="multilevel"/>
    <w:tmpl w:val="9880CD50"/>
    <w:lvl w:ilvl="0">
      <w:start w:val="3"/>
      <w:numFmt w:val="decimal"/>
      <w:lvlText w:val="%1"/>
      <w:lvlJc w:val="left"/>
      <w:pPr>
        <w:ind w:left="465" w:hanging="360"/>
      </w:pPr>
      <w:rPr>
        <w:rFonts w:hint="default"/>
      </w:rPr>
    </w:lvl>
    <w:lvl w:ilvl="1">
      <w:numFmt w:val="decimal"/>
      <w:isLgl/>
      <w:lvlText w:val="%1.%2"/>
      <w:lvlJc w:val="left"/>
      <w:pPr>
        <w:ind w:left="465" w:hanging="360"/>
      </w:pPr>
      <w:rPr>
        <w:rFonts w:hint="default"/>
      </w:rPr>
    </w:lvl>
    <w:lvl w:ilvl="2">
      <w:start w:val="1"/>
      <w:numFmt w:val="decimal"/>
      <w:isLgl/>
      <w:lvlText w:val="%1.%2.%3"/>
      <w:lvlJc w:val="left"/>
      <w:pPr>
        <w:ind w:left="825" w:hanging="720"/>
      </w:pPr>
      <w:rPr>
        <w:rFonts w:hint="default"/>
      </w:rPr>
    </w:lvl>
    <w:lvl w:ilvl="3">
      <w:start w:val="1"/>
      <w:numFmt w:val="decimal"/>
      <w:isLgl/>
      <w:lvlText w:val="%1.%2.%3.%4"/>
      <w:lvlJc w:val="left"/>
      <w:pPr>
        <w:ind w:left="825" w:hanging="720"/>
      </w:pPr>
      <w:rPr>
        <w:rFonts w:hint="default"/>
      </w:rPr>
    </w:lvl>
    <w:lvl w:ilvl="4">
      <w:start w:val="1"/>
      <w:numFmt w:val="decimal"/>
      <w:isLgl/>
      <w:lvlText w:val="%1.%2.%3.%4.%5"/>
      <w:lvlJc w:val="left"/>
      <w:pPr>
        <w:ind w:left="1185" w:hanging="1080"/>
      </w:pPr>
      <w:rPr>
        <w:rFonts w:hint="default"/>
      </w:rPr>
    </w:lvl>
    <w:lvl w:ilvl="5">
      <w:start w:val="1"/>
      <w:numFmt w:val="decimal"/>
      <w:isLgl/>
      <w:lvlText w:val="%1.%2.%3.%4.%5.%6"/>
      <w:lvlJc w:val="left"/>
      <w:pPr>
        <w:ind w:left="1185" w:hanging="1080"/>
      </w:pPr>
      <w:rPr>
        <w:rFonts w:hint="default"/>
      </w:rPr>
    </w:lvl>
    <w:lvl w:ilvl="6">
      <w:start w:val="1"/>
      <w:numFmt w:val="decimal"/>
      <w:isLgl/>
      <w:lvlText w:val="%1.%2.%3.%4.%5.%6.%7"/>
      <w:lvlJc w:val="left"/>
      <w:pPr>
        <w:ind w:left="1545" w:hanging="1440"/>
      </w:pPr>
      <w:rPr>
        <w:rFonts w:hint="default"/>
      </w:rPr>
    </w:lvl>
    <w:lvl w:ilvl="7">
      <w:start w:val="1"/>
      <w:numFmt w:val="decimal"/>
      <w:isLgl/>
      <w:lvlText w:val="%1.%2.%3.%4.%5.%6.%7.%8"/>
      <w:lvlJc w:val="left"/>
      <w:pPr>
        <w:ind w:left="1545" w:hanging="1440"/>
      </w:pPr>
      <w:rPr>
        <w:rFonts w:hint="default"/>
      </w:rPr>
    </w:lvl>
    <w:lvl w:ilvl="8">
      <w:start w:val="1"/>
      <w:numFmt w:val="decimal"/>
      <w:isLgl/>
      <w:lvlText w:val="%1.%2.%3.%4.%5.%6.%7.%8.%9"/>
      <w:lvlJc w:val="left"/>
      <w:pPr>
        <w:ind w:left="1905" w:hanging="1800"/>
      </w:pPr>
      <w:rPr>
        <w:rFonts w:hint="default"/>
      </w:rPr>
    </w:lvl>
  </w:abstractNum>
  <w:abstractNum w:abstractNumId="115" w15:restartNumberingAfterBreak="0">
    <w:nsid w:val="4FA7028F"/>
    <w:multiLevelType w:val="multilevel"/>
    <w:tmpl w:val="93FE1FEA"/>
    <w:lvl w:ilvl="0">
      <w:start w:val="1"/>
      <w:numFmt w:val="decimal"/>
      <w:lvlText w:val="%1.0"/>
      <w:lvlJc w:val="left"/>
      <w:pPr>
        <w:ind w:left="720" w:hanging="360"/>
      </w:pPr>
      <w:rPr>
        <w:rFonts w:hint="default"/>
        <w:sz w:val="26"/>
      </w:rPr>
    </w:lvl>
    <w:lvl w:ilvl="1">
      <w:start w:val="1"/>
      <w:numFmt w:val="decimal"/>
      <w:lvlText w:val="%1.%2"/>
      <w:lvlJc w:val="left"/>
      <w:pPr>
        <w:ind w:left="1440" w:hanging="360"/>
      </w:pPr>
      <w:rPr>
        <w:rFonts w:hint="default"/>
        <w:sz w:val="26"/>
      </w:rPr>
    </w:lvl>
    <w:lvl w:ilvl="2">
      <w:start w:val="1"/>
      <w:numFmt w:val="decimal"/>
      <w:lvlText w:val="%1.%2.%3"/>
      <w:lvlJc w:val="left"/>
      <w:pPr>
        <w:ind w:left="2520" w:hanging="720"/>
      </w:pPr>
      <w:rPr>
        <w:rFonts w:hint="default"/>
        <w:sz w:val="26"/>
      </w:rPr>
    </w:lvl>
    <w:lvl w:ilvl="3">
      <w:start w:val="1"/>
      <w:numFmt w:val="decimal"/>
      <w:lvlText w:val="%1.%2.%3.%4"/>
      <w:lvlJc w:val="left"/>
      <w:pPr>
        <w:ind w:left="3240" w:hanging="720"/>
      </w:pPr>
      <w:rPr>
        <w:rFonts w:hint="default"/>
        <w:sz w:val="26"/>
      </w:rPr>
    </w:lvl>
    <w:lvl w:ilvl="4">
      <w:start w:val="1"/>
      <w:numFmt w:val="decimal"/>
      <w:lvlText w:val="%1.%2.%3.%4.%5"/>
      <w:lvlJc w:val="left"/>
      <w:pPr>
        <w:ind w:left="4320" w:hanging="1080"/>
      </w:pPr>
      <w:rPr>
        <w:rFonts w:hint="default"/>
        <w:sz w:val="26"/>
      </w:rPr>
    </w:lvl>
    <w:lvl w:ilvl="5">
      <w:start w:val="1"/>
      <w:numFmt w:val="decimal"/>
      <w:lvlText w:val="%1.%2.%3.%4.%5.%6"/>
      <w:lvlJc w:val="left"/>
      <w:pPr>
        <w:ind w:left="5040" w:hanging="1080"/>
      </w:pPr>
      <w:rPr>
        <w:rFonts w:hint="default"/>
        <w:sz w:val="26"/>
      </w:rPr>
    </w:lvl>
    <w:lvl w:ilvl="6">
      <w:start w:val="1"/>
      <w:numFmt w:val="decimal"/>
      <w:lvlText w:val="%1.%2.%3.%4.%5.%6.%7"/>
      <w:lvlJc w:val="left"/>
      <w:pPr>
        <w:ind w:left="6120" w:hanging="1440"/>
      </w:pPr>
      <w:rPr>
        <w:rFonts w:hint="default"/>
        <w:sz w:val="26"/>
      </w:rPr>
    </w:lvl>
    <w:lvl w:ilvl="7">
      <w:start w:val="1"/>
      <w:numFmt w:val="decimal"/>
      <w:lvlText w:val="%1.%2.%3.%4.%5.%6.%7.%8"/>
      <w:lvlJc w:val="left"/>
      <w:pPr>
        <w:ind w:left="7200" w:hanging="1800"/>
      </w:pPr>
      <w:rPr>
        <w:rFonts w:hint="default"/>
        <w:sz w:val="26"/>
      </w:rPr>
    </w:lvl>
    <w:lvl w:ilvl="8">
      <w:start w:val="1"/>
      <w:numFmt w:val="decimal"/>
      <w:lvlText w:val="%1.%2.%3.%4.%5.%6.%7.%8.%9"/>
      <w:lvlJc w:val="left"/>
      <w:pPr>
        <w:ind w:left="7920" w:hanging="1800"/>
      </w:pPr>
      <w:rPr>
        <w:rFonts w:hint="default"/>
        <w:sz w:val="26"/>
      </w:rPr>
    </w:lvl>
  </w:abstractNum>
  <w:abstractNum w:abstractNumId="116" w15:restartNumberingAfterBreak="0">
    <w:nsid w:val="4FB52AA4"/>
    <w:multiLevelType w:val="multilevel"/>
    <w:tmpl w:val="03F8A1D6"/>
    <w:lvl w:ilvl="0">
      <w:start w:val="1"/>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17" w15:restartNumberingAfterBreak="0">
    <w:nsid w:val="50620E75"/>
    <w:multiLevelType w:val="hybridMultilevel"/>
    <w:tmpl w:val="20969350"/>
    <w:lvl w:ilvl="0" w:tplc="FC82A8C4">
      <w:start w:val="1"/>
      <w:numFmt w:val="decimal"/>
      <w:lvlText w:val="(%1)"/>
      <w:lvlJc w:val="left"/>
      <w:pPr>
        <w:ind w:left="360" w:hanging="360"/>
      </w:pPr>
      <w:rPr>
        <w:rFonts w:cs="Times New Roman" w:hint="default"/>
        <w:b w:val="0"/>
        <w:i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8" w15:restartNumberingAfterBreak="0">
    <w:nsid w:val="5075676D"/>
    <w:multiLevelType w:val="multilevel"/>
    <w:tmpl w:val="0884E96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9" w15:restartNumberingAfterBreak="0">
    <w:nsid w:val="50C9060A"/>
    <w:multiLevelType w:val="hybridMultilevel"/>
    <w:tmpl w:val="DF5A29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0E4135E"/>
    <w:multiLevelType w:val="hybridMultilevel"/>
    <w:tmpl w:val="77486B48"/>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15:restartNumberingAfterBreak="0">
    <w:nsid w:val="51074F0C"/>
    <w:multiLevelType w:val="multilevel"/>
    <w:tmpl w:val="73D410DE"/>
    <w:lvl w:ilvl="0">
      <w:start w:val="1"/>
      <w:numFmt w:val="decimal"/>
      <w:lvlText w:val="%1.0"/>
      <w:lvlJc w:val="left"/>
      <w:pPr>
        <w:ind w:left="720" w:hanging="360"/>
      </w:pPr>
      <w:rPr>
        <w:rFonts w:hint="default"/>
        <w:sz w:val="26"/>
      </w:rPr>
    </w:lvl>
    <w:lvl w:ilvl="1">
      <w:start w:val="1"/>
      <w:numFmt w:val="decimal"/>
      <w:lvlText w:val="%1.%2"/>
      <w:lvlJc w:val="left"/>
      <w:pPr>
        <w:ind w:left="1440" w:hanging="360"/>
      </w:pPr>
      <w:rPr>
        <w:rFonts w:hint="default"/>
        <w:sz w:val="26"/>
      </w:rPr>
    </w:lvl>
    <w:lvl w:ilvl="2">
      <w:start w:val="1"/>
      <w:numFmt w:val="decimal"/>
      <w:lvlText w:val="%1.%2.%3"/>
      <w:lvlJc w:val="left"/>
      <w:pPr>
        <w:ind w:left="2520" w:hanging="720"/>
      </w:pPr>
      <w:rPr>
        <w:rFonts w:hint="default"/>
        <w:sz w:val="26"/>
      </w:rPr>
    </w:lvl>
    <w:lvl w:ilvl="3">
      <w:start w:val="1"/>
      <w:numFmt w:val="decimal"/>
      <w:lvlText w:val="%1.%2.%3.%4"/>
      <w:lvlJc w:val="left"/>
      <w:pPr>
        <w:ind w:left="3240" w:hanging="720"/>
      </w:pPr>
      <w:rPr>
        <w:rFonts w:hint="default"/>
        <w:sz w:val="26"/>
      </w:rPr>
    </w:lvl>
    <w:lvl w:ilvl="4">
      <w:start w:val="1"/>
      <w:numFmt w:val="decimal"/>
      <w:lvlText w:val="%1.%2.%3.%4.%5"/>
      <w:lvlJc w:val="left"/>
      <w:pPr>
        <w:ind w:left="4320" w:hanging="1080"/>
      </w:pPr>
      <w:rPr>
        <w:rFonts w:hint="default"/>
        <w:sz w:val="26"/>
      </w:rPr>
    </w:lvl>
    <w:lvl w:ilvl="5">
      <w:start w:val="1"/>
      <w:numFmt w:val="decimal"/>
      <w:lvlText w:val="%1.%2.%3.%4.%5.%6"/>
      <w:lvlJc w:val="left"/>
      <w:pPr>
        <w:ind w:left="5040" w:hanging="1080"/>
      </w:pPr>
      <w:rPr>
        <w:rFonts w:hint="default"/>
        <w:sz w:val="26"/>
      </w:rPr>
    </w:lvl>
    <w:lvl w:ilvl="6">
      <w:start w:val="1"/>
      <w:numFmt w:val="decimal"/>
      <w:lvlText w:val="%1.%2.%3.%4.%5.%6.%7"/>
      <w:lvlJc w:val="left"/>
      <w:pPr>
        <w:ind w:left="6120" w:hanging="1440"/>
      </w:pPr>
      <w:rPr>
        <w:rFonts w:hint="default"/>
        <w:sz w:val="26"/>
      </w:rPr>
    </w:lvl>
    <w:lvl w:ilvl="7">
      <w:start w:val="1"/>
      <w:numFmt w:val="decimal"/>
      <w:lvlText w:val="%1.%2.%3.%4.%5.%6.%7.%8"/>
      <w:lvlJc w:val="left"/>
      <w:pPr>
        <w:ind w:left="7200" w:hanging="1800"/>
      </w:pPr>
      <w:rPr>
        <w:rFonts w:hint="default"/>
        <w:sz w:val="26"/>
      </w:rPr>
    </w:lvl>
    <w:lvl w:ilvl="8">
      <w:start w:val="1"/>
      <w:numFmt w:val="decimal"/>
      <w:lvlText w:val="%1.%2.%3.%4.%5.%6.%7.%8.%9"/>
      <w:lvlJc w:val="left"/>
      <w:pPr>
        <w:ind w:left="7920" w:hanging="1800"/>
      </w:pPr>
      <w:rPr>
        <w:rFonts w:hint="default"/>
        <w:sz w:val="26"/>
      </w:rPr>
    </w:lvl>
  </w:abstractNum>
  <w:abstractNum w:abstractNumId="122" w15:restartNumberingAfterBreak="0">
    <w:nsid w:val="528A4393"/>
    <w:multiLevelType w:val="multilevel"/>
    <w:tmpl w:val="EC1C9602"/>
    <w:lvl w:ilvl="0">
      <w:start w:val="1"/>
      <w:numFmt w:val="decimal"/>
      <w:lvlText w:val="%1."/>
      <w:lvlJc w:val="left"/>
      <w:pPr>
        <w:ind w:left="720" w:hanging="360"/>
      </w:pPr>
      <w:rPr>
        <w:rFonts w:hint="default"/>
        <w:b/>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23" w15:restartNumberingAfterBreak="0">
    <w:nsid w:val="5376171E"/>
    <w:multiLevelType w:val="hybridMultilevel"/>
    <w:tmpl w:val="32B820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542B2F5B"/>
    <w:multiLevelType w:val="hybridMultilevel"/>
    <w:tmpl w:val="7C9CDBD8"/>
    <w:lvl w:ilvl="0" w:tplc="8B6C481A">
      <w:start w:val="1"/>
      <w:numFmt w:val="lowerRoman"/>
      <w:lvlText w:val="(%1)"/>
      <w:lvlJc w:val="left"/>
      <w:pPr>
        <w:ind w:left="1710" w:hanging="720"/>
      </w:pPr>
      <w:rPr>
        <w:rFonts w:hint="default"/>
      </w:rPr>
    </w:lvl>
    <w:lvl w:ilvl="1" w:tplc="04090019">
      <w:start w:val="1"/>
      <w:numFmt w:val="lowerLetter"/>
      <w:lvlText w:val="%2."/>
      <w:lvlJc w:val="left"/>
      <w:pPr>
        <w:ind w:left="2070" w:hanging="360"/>
      </w:pPr>
    </w:lvl>
    <w:lvl w:ilvl="2" w:tplc="0409001B">
      <w:start w:val="1"/>
      <w:numFmt w:val="lowerRoman"/>
      <w:lvlText w:val="%3."/>
      <w:lvlJc w:val="right"/>
      <w:pPr>
        <w:ind w:left="2790" w:hanging="180"/>
      </w:pPr>
    </w:lvl>
    <w:lvl w:ilvl="3" w:tplc="0409000F">
      <w:start w:val="1"/>
      <w:numFmt w:val="decimal"/>
      <w:lvlText w:val="%4."/>
      <w:lvlJc w:val="left"/>
      <w:pPr>
        <w:ind w:left="3510" w:hanging="360"/>
      </w:pPr>
    </w:lvl>
    <w:lvl w:ilvl="4" w:tplc="04090019">
      <w:start w:val="1"/>
      <w:numFmt w:val="lowerLetter"/>
      <w:lvlText w:val="%5."/>
      <w:lvlJc w:val="left"/>
      <w:pPr>
        <w:ind w:left="4230" w:hanging="360"/>
      </w:pPr>
    </w:lvl>
    <w:lvl w:ilvl="5" w:tplc="0409001B">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25" w15:restartNumberingAfterBreak="0">
    <w:nsid w:val="549D48EA"/>
    <w:multiLevelType w:val="hybridMultilevel"/>
    <w:tmpl w:val="02642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4D00027"/>
    <w:multiLevelType w:val="hybridMultilevel"/>
    <w:tmpl w:val="2318C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65664AC"/>
    <w:multiLevelType w:val="hybridMultilevel"/>
    <w:tmpl w:val="B3427768"/>
    <w:lvl w:ilvl="0" w:tplc="480662E8">
      <w:start w:val="1"/>
      <w:numFmt w:val="bullet"/>
      <w:lvlText w:val="•"/>
      <w:lvlJc w:val="left"/>
      <w:pPr>
        <w:tabs>
          <w:tab w:val="num" w:pos="720"/>
        </w:tabs>
        <w:ind w:left="720" w:hanging="360"/>
      </w:pPr>
      <w:rPr>
        <w:rFonts w:ascii="Arial" w:hAnsi="Arial" w:hint="default"/>
      </w:rPr>
    </w:lvl>
    <w:lvl w:ilvl="1" w:tplc="CA12D126" w:tentative="1">
      <w:start w:val="1"/>
      <w:numFmt w:val="bullet"/>
      <w:lvlText w:val="•"/>
      <w:lvlJc w:val="left"/>
      <w:pPr>
        <w:tabs>
          <w:tab w:val="num" w:pos="1440"/>
        </w:tabs>
        <w:ind w:left="1440" w:hanging="360"/>
      </w:pPr>
      <w:rPr>
        <w:rFonts w:ascii="Arial" w:hAnsi="Arial" w:hint="default"/>
      </w:rPr>
    </w:lvl>
    <w:lvl w:ilvl="2" w:tplc="4202B24E" w:tentative="1">
      <w:start w:val="1"/>
      <w:numFmt w:val="bullet"/>
      <w:lvlText w:val="•"/>
      <w:lvlJc w:val="left"/>
      <w:pPr>
        <w:tabs>
          <w:tab w:val="num" w:pos="2160"/>
        </w:tabs>
        <w:ind w:left="2160" w:hanging="360"/>
      </w:pPr>
      <w:rPr>
        <w:rFonts w:ascii="Arial" w:hAnsi="Arial" w:hint="default"/>
      </w:rPr>
    </w:lvl>
    <w:lvl w:ilvl="3" w:tplc="044C2626" w:tentative="1">
      <w:start w:val="1"/>
      <w:numFmt w:val="bullet"/>
      <w:lvlText w:val="•"/>
      <w:lvlJc w:val="left"/>
      <w:pPr>
        <w:tabs>
          <w:tab w:val="num" w:pos="2880"/>
        </w:tabs>
        <w:ind w:left="2880" w:hanging="360"/>
      </w:pPr>
      <w:rPr>
        <w:rFonts w:ascii="Arial" w:hAnsi="Arial" w:hint="default"/>
      </w:rPr>
    </w:lvl>
    <w:lvl w:ilvl="4" w:tplc="FD0EB2D8" w:tentative="1">
      <w:start w:val="1"/>
      <w:numFmt w:val="bullet"/>
      <w:lvlText w:val="•"/>
      <w:lvlJc w:val="left"/>
      <w:pPr>
        <w:tabs>
          <w:tab w:val="num" w:pos="3600"/>
        </w:tabs>
        <w:ind w:left="3600" w:hanging="360"/>
      </w:pPr>
      <w:rPr>
        <w:rFonts w:ascii="Arial" w:hAnsi="Arial" w:hint="default"/>
      </w:rPr>
    </w:lvl>
    <w:lvl w:ilvl="5" w:tplc="AC34C1A8" w:tentative="1">
      <w:start w:val="1"/>
      <w:numFmt w:val="bullet"/>
      <w:lvlText w:val="•"/>
      <w:lvlJc w:val="left"/>
      <w:pPr>
        <w:tabs>
          <w:tab w:val="num" w:pos="4320"/>
        </w:tabs>
        <w:ind w:left="4320" w:hanging="360"/>
      </w:pPr>
      <w:rPr>
        <w:rFonts w:ascii="Arial" w:hAnsi="Arial" w:hint="default"/>
      </w:rPr>
    </w:lvl>
    <w:lvl w:ilvl="6" w:tplc="DA56B97C" w:tentative="1">
      <w:start w:val="1"/>
      <w:numFmt w:val="bullet"/>
      <w:lvlText w:val="•"/>
      <w:lvlJc w:val="left"/>
      <w:pPr>
        <w:tabs>
          <w:tab w:val="num" w:pos="5040"/>
        </w:tabs>
        <w:ind w:left="5040" w:hanging="360"/>
      </w:pPr>
      <w:rPr>
        <w:rFonts w:ascii="Arial" w:hAnsi="Arial" w:hint="default"/>
      </w:rPr>
    </w:lvl>
    <w:lvl w:ilvl="7" w:tplc="7688D4D8" w:tentative="1">
      <w:start w:val="1"/>
      <w:numFmt w:val="bullet"/>
      <w:lvlText w:val="•"/>
      <w:lvlJc w:val="left"/>
      <w:pPr>
        <w:tabs>
          <w:tab w:val="num" w:pos="5760"/>
        </w:tabs>
        <w:ind w:left="5760" w:hanging="360"/>
      </w:pPr>
      <w:rPr>
        <w:rFonts w:ascii="Arial" w:hAnsi="Arial" w:hint="default"/>
      </w:rPr>
    </w:lvl>
    <w:lvl w:ilvl="8" w:tplc="E24C3A9C" w:tentative="1">
      <w:start w:val="1"/>
      <w:numFmt w:val="bullet"/>
      <w:lvlText w:val="•"/>
      <w:lvlJc w:val="left"/>
      <w:pPr>
        <w:tabs>
          <w:tab w:val="num" w:pos="6480"/>
        </w:tabs>
        <w:ind w:left="6480" w:hanging="360"/>
      </w:pPr>
      <w:rPr>
        <w:rFonts w:ascii="Arial" w:hAnsi="Arial" w:hint="default"/>
      </w:rPr>
    </w:lvl>
  </w:abstractNum>
  <w:abstractNum w:abstractNumId="128" w15:restartNumberingAfterBreak="0">
    <w:nsid w:val="574D6F7B"/>
    <w:multiLevelType w:val="hybridMultilevel"/>
    <w:tmpl w:val="0B1EF0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75F0FC5"/>
    <w:multiLevelType w:val="hybridMultilevel"/>
    <w:tmpl w:val="5F76C704"/>
    <w:lvl w:ilvl="0" w:tplc="04090017">
      <w:start w:val="1"/>
      <w:numFmt w:val="lowerLetter"/>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87E2E2E"/>
    <w:multiLevelType w:val="hybridMultilevel"/>
    <w:tmpl w:val="9A4A83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A105147"/>
    <w:multiLevelType w:val="hybridMultilevel"/>
    <w:tmpl w:val="46FA6B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15:restartNumberingAfterBreak="0">
    <w:nsid w:val="5A52418E"/>
    <w:multiLevelType w:val="hybridMultilevel"/>
    <w:tmpl w:val="3FB45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C1E2C56"/>
    <w:multiLevelType w:val="hybridMultilevel"/>
    <w:tmpl w:val="1F0C82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CC37757"/>
    <w:multiLevelType w:val="hybridMultilevel"/>
    <w:tmpl w:val="C1C099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D1075D6"/>
    <w:multiLevelType w:val="hybridMultilevel"/>
    <w:tmpl w:val="2286E5F2"/>
    <w:lvl w:ilvl="0" w:tplc="04090001">
      <w:start w:val="1"/>
      <w:numFmt w:val="bullet"/>
      <w:lvlText w:val=""/>
      <w:lvlJc w:val="left"/>
      <w:pPr>
        <w:ind w:left="720" w:hanging="360"/>
      </w:pPr>
      <w:rPr>
        <w:rFonts w:ascii="Symbol" w:hAnsi="Symbol" w:hint="default"/>
      </w:rPr>
    </w:lvl>
    <w:lvl w:ilvl="1" w:tplc="04090011">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F273040"/>
    <w:multiLevelType w:val="hybridMultilevel"/>
    <w:tmpl w:val="0E66D3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7" w15:restartNumberingAfterBreak="0">
    <w:nsid w:val="5FD11CAC"/>
    <w:multiLevelType w:val="hybridMultilevel"/>
    <w:tmpl w:val="C9DCB9E2"/>
    <w:lvl w:ilvl="0" w:tplc="6DD2A3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8" w15:restartNumberingAfterBreak="0">
    <w:nsid w:val="606B33D6"/>
    <w:multiLevelType w:val="hybridMultilevel"/>
    <w:tmpl w:val="E2AC8B22"/>
    <w:lvl w:ilvl="0" w:tplc="834C7708">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0707509"/>
    <w:multiLevelType w:val="hybridMultilevel"/>
    <w:tmpl w:val="5C3A9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1426FDA"/>
    <w:multiLevelType w:val="hybridMultilevel"/>
    <w:tmpl w:val="8850E0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2EC50A3"/>
    <w:multiLevelType w:val="multilevel"/>
    <w:tmpl w:val="012C571A"/>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sz w:val="26"/>
      </w:rPr>
    </w:lvl>
    <w:lvl w:ilvl="2">
      <w:start w:val="1"/>
      <w:numFmt w:val="decimal"/>
      <w:isLgl/>
      <w:lvlText w:val="%1.%2.%3"/>
      <w:lvlJc w:val="left"/>
      <w:pPr>
        <w:ind w:left="1080" w:hanging="720"/>
      </w:pPr>
      <w:rPr>
        <w:rFonts w:hint="default"/>
        <w:sz w:val="26"/>
      </w:rPr>
    </w:lvl>
    <w:lvl w:ilvl="3">
      <w:start w:val="1"/>
      <w:numFmt w:val="decimal"/>
      <w:isLgl/>
      <w:lvlText w:val="%1.%2.%3.%4"/>
      <w:lvlJc w:val="left"/>
      <w:pPr>
        <w:ind w:left="1080" w:hanging="720"/>
      </w:pPr>
      <w:rPr>
        <w:rFonts w:hint="default"/>
        <w:sz w:val="26"/>
      </w:rPr>
    </w:lvl>
    <w:lvl w:ilvl="4">
      <w:start w:val="1"/>
      <w:numFmt w:val="decimal"/>
      <w:isLgl/>
      <w:lvlText w:val="%1.%2.%3.%4.%5"/>
      <w:lvlJc w:val="left"/>
      <w:pPr>
        <w:ind w:left="1440" w:hanging="1080"/>
      </w:pPr>
      <w:rPr>
        <w:rFonts w:hint="default"/>
        <w:sz w:val="26"/>
      </w:rPr>
    </w:lvl>
    <w:lvl w:ilvl="5">
      <w:start w:val="1"/>
      <w:numFmt w:val="decimal"/>
      <w:isLgl/>
      <w:lvlText w:val="%1.%2.%3.%4.%5.%6"/>
      <w:lvlJc w:val="left"/>
      <w:pPr>
        <w:ind w:left="1440" w:hanging="1080"/>
      </w:pPr>
      <w:rPr>
        <w:rFonts w:hint="default"/>
        <w:sz w:val="26"/>
      </w:rPr>
    </w:lvl>
    <w:lvl w:ilvl="6">
      <w:start w:val="1"/>
      <w:numFmt w:val="decimal"/>
      <w:isLgl/>
      <w:lvlText w:val="%1.%2.%3.%4.%5.%6.%7"/>
      <w:lvlJc w:val="left"/>
      <w:pPr>
        <w:ind w:left="1800" w:hanging="1440"/>
      </w:pPr>
      <w:rPr>
        <w:rFonts w:hint="default"/>
        <w:sz w:val="26"/>
      </w:rPr>
    </w:lvl>
    <w:lvl w:ilvl="7">
      <w:start w:val="1"/>
      <w:numFmt w:val="decimal"/>
      <w:isLgl/>
      <w:lvlText w:val="%1.%2.%3.%4.%5.%6.%7.%8"/>
      <w:lvlJc w:val="left"/>
      <w:pPr>
        <w:ind w:left="2160" w:hanging="1800"/>
      </w:pPr>
      <w:rPr>
        <w:rFonts w:hint="default"/>
        <w:sz w:val="26"/>
      </w:rPr>
    </w:lvl>
    <w:lvl w:ilvl="8">
      <w:start w:val="1"/>
      <w:numFmt w:val="decimal"/>
      <w:isLgl/>
      <w:lvlText w:val="%1.%2.%3.%4.%5.%6.%7.%8.%9"/>
      <w:lvlJc w:val="left"/>
      <w:pPr>
        <w:ind w:left="2160" w:hanging="1800"/>
      </w:pPr>
      <w:rPr>
        <w:rFonts w:hint="default"/>
        <w:sz w:val="26"/>
      </w:rPr>
    </w:lvl>
  </w:abstractNum>
  <w:abstractNum w:abstractNumId="142" w15:restartNumberingAfterBreak="0">
    <w:nsid w:val="63701246"/>
    <w:multiLevelType w:val="hybridMultilevel"/>
    <w:tmpl w:val="523AFA88"/>
    <w:lvl w:ilvl="0" w:tplc="C66CA2B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3882F04"/>
    <w:multiLevelType w:val="hybridMultilevel"/>
    <w:tmpl w:val="E336521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644B59A4"/>
    <w:multiLevelType w:val="hybridMultilevel"/>
    <w:tmpl w:val="50D6B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4740B3B"/>
    <w:multiLevelType w:val="hybridMultilevel"/>
    <w:tmpl w:val="2028D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5C757AB"/>
    <w:multiLevelType w:val="hybridMultilevel"/>
    <w:tmpl w:val="28B87DB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6755735E"/>
    <w:multiLevelType w:val="hybridMultilevel"/>
    <w:tmpl w:val="9274DA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837449A"/>
    <w:multiLevelType w:val="hybridMultilevel"/>
    <w:tmpl w:val="145C7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8BB0C9E"/>
    <w:multiLevelType w:val="hybridMultilevel"/>
    <w:tmpl w:val="54466FB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0" w15:restartNumberingAfterBreak="0">
    <w:nsid w:val="69AF3B3D"/>
    <w:multiLevelType w:val="multilevel"/>
    <w:tmpl w:val="0EB0D8BA"/>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sz w:val="26"/>
      </w:rPr>
    </w:lvl>
    <w:lvl w:ilvl="2">
      <w:start w:val="1"/>
      <w:numFmt w:val="decimal"/>
      <w:isLgl/>
      <w:lvlText w:val="%1.%2.%3"/>
      <w:lvlJc w:val="left"/>
      <w:pPr>
        <w:ind w:left="1080" w:hanging="720"/>
      </w:pPr>
      <w:rPr>
        <w:rFonts w:hint="default"/>
        <w:sz w:val="26"/>
      </w:rPr>
    </w:lvl>
    <w:lvl w:ilvl="3">
      <w:start w:val="1"/>
      <w:numFmt w:val="decimal"/>
      <w:isLgl/>
      <w:lvlText w:val="%1.%2.%3.%4"/>
      <w:lvlJc w:val="left"/>
      <w:pPr>
        <w:ind w:left="1080" w:hanging="720"/>
      </w:pPr>
      <w:rPr>
        <w:rFonts w:hint="default"/>
        <w:sz w:val="26"/>
      </w:rPr>
    </w:lvl>
    <w:lvl w:ilvl="4">
      <w:start w:val="1"/>
      <w:numFmt w:val="decimal"/>
      <w:isLgl/>
      <w:lvlText w:val="%1.%2.%3.%4.%5"/>
      <w:lvlJc w:val="left"/>
      <w:pPr>
        <w:ind w:left="1440" w:hanging="1080"/>
      </w:pPr>
      <w:rPr>
        <w:rFonts w:hint="default"/>
        <w:sz w:val="26"/>
      </w:rPr>
    </w:lvl>
    <w:lvl w:ilvl="5">
      <w:start w:val="1"/>
      <w:numFmt w:val="decimal"/>
      <w:isLgl/>
      <w:lvlText w:val="%1.%2.%3.%4.%5.%6"/>
      <w:lvlJc w:val="left"/>
      <w:pPr>
        <w:ind w:left="1440" w:hanging="1080"/>
      </w:pPr>
      <w:rPr>
        <w:rFonts w:hint="default"/>
        <w:sz w:val="26"/>
      </w:rPr>
    </w:lvl>
    <w:lvl w:ilvl="6">
      <w:start w:val="1"/>
      <w:numFmt w:val="decimal"/>
      <w:isLgl/>
      <w:lvlText w:val="%1.%2.%3.%4.%5.%6.%7"/>
      <w:lvlJc w:val="left"/>
      <w:pPr>
        <w:ind w:left="1800" w:hanging="1440"/>
      </w:pPr>
      <w:rPr>
        <w:rFonts w:hint="default"/>
        <w:sz w:val="26"/>
      </w:rPr>
    </w:lvl>
    <w:lvl w:ilvl="7">
      <w:start w:val="1"/>
      <w:numFmt w:val="decimal"/>
      <w:isLgl/>
      <w:lvlText w:val="%1.%2.%3.%4.%5.%6.%7.%8"/>
      <w:lvlJc w:val="left"/>
      <w:pPr>
        <w:ind w:left="2160" w:hanging="1800"/>
      </w:pPr>
      <w:rPr>
        <w:rFonts w:hint="default"/>
        <w:sz w:val="26"/>
      </w:rPr>
    </w:lvl>
    <w:lvl w:ilvl="8">
      <w:start w:val="1"/>
      <w:numFmt w:val="decimal"/>
      <w:isLgl/>
      <w:lvlText w:val="%1.%2.%3.%4.%5.%6.%7.%8.%9"/>
      <w:lvlJc w:val="left"/>
      <w:pPr>
        <w:ind w:left="2160" w:hanging="1800"/>
      </w:pPr>
      <w:rPr>
        <w:rFonts w:hint="default"/>
        <w:sz w:val="26"/>
      </w:rPr>
    </w:lvl>
  </w:abstractNum>
  <w:abstractNum w:abstractNumId="151" w15:restartNumberingAfterBreak="0">
    <w:nsid w:val="6B4345A8"/>
    <w:multiLevelType w:val="hybridMultilevel"/>
    <w:tmpl w:val="080AB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C2928E3"/>
    <w:multiLevelType w:val="hybridMultilevel"/>
    <w:tmpl w:val="8F88FA90"/>
    <w:lvl w:ilvl="0" w:tplc="FE349A64">
      <w:start w:val="1"/>
      <w:numFmt w:val="bullet"/>
      <w:lvlText w:val="•"/>
      <w:lvlJc w:val="left"/>
      <w:pPr>
        <w:tabs>
          <w:tab w:val="num" w:pos="720"/>
        </w:tabs>
        <w:ind w:left="720" w:hanging="360"/>
      </w:pPr>
      <w:rPr>
        <w:rFonts w:ascii="Arial" w:hAnsi="Arial" w:hint="default"/>
      </w:rPr>
    </w:lvl>
    <w:lvl w:ilvl="1" w:tplc="80C4519A" w:tentative="1">
      <w:start w:val="1"/>
      <w:numFmt w:val="bullet"/>
      <w:lvlText w:val="•"/>
      <w:lvlJc w:val="left"/>
      <w:pPr>
        <w:tabs>
          <w:tab w:val="num" w:pos="1440"/>
        </w:tabs>
        <w:ind w:left="1440" w:hanging="360"/>
      </w:pPr>
      <w:rPr>
        <w:rFonts w:ascii="Arial" w:hAnsi="Arial" w:hint="default"/>
      </w:rPr>
    </w:lvl>
    <w:lvl w:ilvl="2" w:tplc="DAEE5B58" w:tentative="1">
      <w:start w:val="1"/>
      <w:numFmt w:val="bullet"/>
      <w:lvlText w:val="•"/>
      <w:lvlJc w:val="left"/>
      <w:pPr>
        <w:tabs>
          <w:tab w:val="num" w:pos="2160"/>
        </w:tabs>
        <w:ind w:left="2160" w:hanging="360"/>
      </w:pPr>
      <w:rPr>
        <w:rFonts w:ascii="Arial" w:hAnsi="Arial" w:hint="default"/>
      </w:rPr>
    </w:lvl>
    <w:lvl w:ilvl="3" w:tplc="C02C0EB4" w:tentative="1">
      <w:start w:val="1"/>
      <w:numFmt w:val="bullet"/>
      <w:lvlText w:val="•"/>
      <w:lvlJc w:val="left"/>
      <w:pPr>
        <w:tabs>
          <w:tab w:val="num" w:pos="2880"/>
        </w:tabs>
        <w:ind w:left="2880" w:hanging="360"/>
      </w:pPr>
      <w:rPr>
        <w:rFonts w:ascii="Arial" w:hAnsi="Arial" w:hint="default"/>
      </w:rPr>
    </w:lvl>
    <w:lvl w:ilvl="4" w:tplc="7D3A96FC" w:tentative="1">
      <w:start w:val="1"/>
      <w:numFmt w:val="bullet"/>
      <w:lvlText w:val="•"/>
      <w:lvlJc w:val="left"/>
      <w:pPr>
        <w:tabs>
          <w:tab w:val="num" w:pos="3600"/>
        </w:tabs>
        <w:ind w:left="3600" w:hanging="360"/>
      </w:pPr>
      <w:rPr>
        <w:rFonts w:ascii="Arial" w:hAnsi="Arial" w:hint="default"/>
      </w:rPr>
    </w:lvl>
    <w:lvl w:ilvl="5" w:tplc="EC32B8B8" w:tentative="1">
      <w:start w:val="1"/>
      <w:numFmt w:val="bullet"/>
      <w:lvlText w:val="•"/>
      <w:lvlJc w:val="left"/>
      <w:pPr>
        <w:tabs>
          <w:tab w:val="num" w:pos="4320"/>
        </w:tabs>
        <w:ind w:left="4320" w:hanging="360"/>
      </w:pPr>
      <w:rPr>
        <w:rFonts w:ascii="Arial" w:hAnsi="Arial" w:hint="default"/>
      </w:rPr>
    </w:lvl>
    <w:lvl w:ilvl="6" w:tplc="F42A70FC" w:tentative="1">
      <w:start w:val="1"/>
      <w:numFmt w:val="bullet"/>
      <w:lvlText w:val="•"/>
      <w:lvlJc w:val="left"/>
      <w:pPr>
        <w:tabs>
          <w:tab w:val="num" w:pos="5040"/>
        </w:tabs>
        <w:ind w:left="5040" w:hanging="360"/>
      </w:pPr>
      <w:rPr>
        <w:rFonts w:ascii="Arial" w:hAnsi="Arial" w:hint="default"/>
      </w:rPr>
    </w:lvl>
    <w:lvl w:ilvl="7" w:tplc="D8666E38" w:tentative="1">
      <w:start w:val="1"/>
      <w:numFmt w:val="bullet"/>
      <w:lvlText w:val="•"/>
      <w:lvlJc w:val="left"/>
      <w:pPr>
        <w:tabs>
          <w:tab w:val="num" w:pos="5760"/>
        </w:tabs>
        <w:ind w:left="5760" w:hanging="360"/>
      </w:pPr>
      <w:rPr>
        <w:rFonts w:ascii="Arial" w:hAnsi="Arial" w:hint="default"/>
      </w:rPr>
    </w:lvl>
    <w:lvl w:ilvl="8" w:tplc="E32CC82C" w:tentative="1">
      <w:start w:val="1"/>
      <w:numFmt w:val="bullet"/>
      <w:lvlText w:val="•"/>
      <w:lvlJc w:val="left"/>
      <w:pPr>
        <w:tabs>
          <w:tab w:val="num" w:pos="6480"/>
        </w:tabs>
        <w:ind w:left="6480" w:hanging="360"/>
      </w:pPr>
      <w:rPr>
        <w:rFonts w:ascii="Arial" w:hAnsi="Arial" w:hint="default"/>
      </w:rPr>
    </w:lvl>
  </w:abstractNum>
  <w:abstractNum w:abstractNumId="153" w15:restartNumberingAfterBreak="0">
    <w:nsid w:val="6C68181F"/>
    <w:multiLevelType w:val="hybridMultilevel"/>
    <w:tmpl w:val="62028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C6B1E1E"/>
    <w:multiLevelType w:val="hybridMultilevel"/>
    <w:tmpl w:val="5C489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C902289"/>
    <w:multiLevelType w:val="hybridMultilevel"/>
    <w:tmpl w:val="56928A14"/>
    <w:lvl w:ilvl="0" w:tplc="834C7708">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CB242A3"/>
    <w:multiLevelType w:val="hybridMultilevel"/>
    <w:tmpl w:val="700864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6CFE0F1F"/>
    <w:multiLevelType w:val="multilevel"/>
    <w:tmpl w:val="BB727ECA"/>
    <w:lvl w:ilvl="0">
      <w:start w:val="1"/>
      <w:numFmt w:val="decimal"/>
      <w:lvlText w:val="%1.0"/>
      <w:lvlJc w:val="left"/>
      <w:pPr>
        <w:ind w:left="360" w:hanging="360"/>
      </w:pPr>
      <w:rPr>
        <w:rFonts w:hint="default"/>
        <w:sz w:val="26"/>
      </w:rPr>
    </w:lvl>
    <w:lvl w:ilvl="1">
      <w:start w:val="1"/>
      <w:numFmt w:val="decimal"/>
      <w:lvlText w:val="%1.%2"/>
      <w:lvlJc w:val="left"/>
      <w:pPr>
        <w:ind w:left="1080" w:hanging="360"/>
      </w:pPr>
      <w:rPr>
        <w:rFonts w:hint="default"/>
        <w:sz w:val="26"/>
      </w:rPr>
    </w:lvl>
    <w:lvl w:ilvl="2">
      <w:start w:val="1"/>
      <w:numFmt w:val="decimal"/>
      <w:lvlText w:val="%1.%2.%3"/>
      <w:lvlJc w:val="left"/>
      <w:pPr>
        <w:ind w:left="2160" w:hanging="720"/>
      </w:pPr>
      <w:rPr>
        <w:rFonts w:hint="default"/>
        <w:sz w:val="26"/>
      </w:rPr>
    </w:lvl>
    <w:lvl w:ilvl="3">
      <w:start w:val="1"/>
      <w:numFmt w:val="decimal"/>
      <w:lvlText w:val="%1.%2.%3.%4"/>
      <w:lvlJc w:val="left"/>
      <w:pPr>
        <w:ind w:left="2880" w:hanging="720"/>
      </w:pPr>
      <w:rPr>
        <w:rFonts w:hint="default"/>
        <w:sz w:val="26"/>
      </w:rPr>
    </w:lvl>
    <w:lvl w:ilvl="4">
      <w:start w:val="1"/>
      <w:numFmt w:val="decimal"/>
      <w:lvlText w:val="%1.%2.%3.%4.%5"/>
      <w:lvlJc w:val="left"/>
      <w:pPr>
        <w:ind w:left="3960" w:hanging="1080"/>
      </w:pPr>
      <w:rPr>
        <w:rFonts w:hint="default"/>
        <w:sz w:val="26"/>
      </w:rPr>
    </w:lvl>
    <w:lvl w:ilvl="5">
      <w:start w:val="1"/>
      <w:numFmt w:val="decimal"/>
      <w:lvlText w:val="%1.%2.%3.%4.%5.%6"/>
      <w:lvlJc w:val="left"/>
      <w:pPr>
        <w:ind w:left="4680" w:hanging="1080"/>
      </w:pPr>
      <w:rPr>
        <w:rFonts w:hint="default"/>
        <w:sz w:val="26"/>
      </w:rPr>
    </w:lvl>
    <w:lvl w:ilvl="6">
      <w:start w:val="1"/>
      <w:numFmt w:val="decimal"/>
      <w:lvlText w:val="%1.%2.%3.%4.%5.%6.%7"/>
      <w:lvlJc w:val="left"/>
      <w:pPr>
        <w:ind w:left="5760" w:hanging="1440"/>
      </w:pPr>
      <w:rPr>
        <w:rFonts w:hint="default"/>
        <w:sz w:val="26"/>
      </w:rPr>
    </w:lvl>
    <w:lvl w:ilvl="7">
      <w:start w:val="1"/>
      <w:numFmt w:val="decimal"/>
      <w:lvlText w:val="%1.%2.%3.%4.%5.%6.%7.%8"/>
      <w:lvlJc w:val="left"/>
      <w:pPr>
        <w:ind w:left="6840" w:hanging="1800"/>
      </w:pPr>
      <w:rPr>
        <w:rFonts w:hint="default"/>
        <w:sz w:val="26"/>
      </w:rPr>
    </w:lvl>
    <w:lvl w:ilvl="8">
      <w:start w:val="1"/>
      <w:numFmt w:val="decimal"/>
      <w:lvlText w:val="%1.%2.%3.%4.%5.%6.%7.%8.%9"/>
      <w:lvlJc w:val="left"/>
      <w:pPr>
        <w:ind w:left="7560" w:hanging="1800"/>
      </w:pPr>
      <w:rPr>
        <w:rFonts w:hint="default"/>
        <w:sz w:val="26"/>
      </w:rPr>
    </w:lvl>
  </w:abstractNum>
  <w:abstractNum w:abstractNumId="158" w15:restartNumberingAfterBreak="0">
    <w:nsid w:val="6D0350D1"/>
    <w:multiLevelType w:val="hybridMultilevel"/>
    <w:tmpl w:val="5B2C3F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DAA661C"/>
    <w:multiLevelType w:val="hybridMultilevel"/>
    <w:tmpl w:val="3E3033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6DF10C8B"/>
    <w:multiLevelType w:val="hybridMultilevel"/>
    <w:tmpl w:val="3BC0A636"/>
    <w:lvl w:ilvl="0" w:tplc="BEAEB556">
      <w:numFmt w:val="bullet"/>
      <w:lvlText w:val="-"/>
      <w:lvlJc w:val="left"/>
      <w:pPr>
        <w:ind w:left="6840" w:hanging="360"/>
      </w:pPr>
      <w:rPr>
        <w:rFonts w:ascii="Book Antiqua" w:eastAsia="Calibri" w:hAnsi="Book Antiqua" w:cs="Times New Roman" w:hint="default"/>
        <w:b w:val="0"/>
      </w:rPr>
    </w:lvl>
    <w:lvl w:ilvl="1" w:tplc="04090003">
      <w:start w:val="1"/>
      <w:numFmt w:val="bullet"/>
      <w:lvlText w:val="o"/>
      <w:lvlJc w:val="left"/>
      <w:pPr>
        <w:ind w:left="7560" w:hanging="360"/>
      </w:pPr>
      <w:rPr>
        <w:rFonts w:ascii="Courier New" w:hAnsi="Courier New" w:cs="Courier New"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Courier New"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Courier New" w:hint="default"/>
      </w:rPr>
    </w:lvl>
    <w:lvl w:ilvl="8" w:tplc="04090005" w:tentative="1">
      <w:start w:val="1"/>
      <w:numFmt w:val="bullet"/>
      <w:lvlText w:val=""/>
      <w:lvlJc w:val="left"/>
      <w:pPr>
        <w:ind w:left="12600" w:hanging="360"/>
      </w:pPr>
      <w:rPr>
        <w:rFonts w:ascii="Wingdings" w:hAnsi="Wingdings" w:hint="default"/>
      </w:rPr>
    </w:lvl>
  </w:abstractNum>
  <w:abstractNum w:abstractNumId="161" w15:restartNumberingAfterBreak="0">
    <w:nsid w:val="6E811B51"/>
    <w:multiLevelType w:val="hybridMultilevel"/>
    <w:tmpl w:val="1FDC9F84"/>
    <w:lvl w:ilvl="0" w:tplc="64B4BB26">
      <w:start w:val="1"/>
      <w:numFmt w:val="lowerRoman"/>
      <w:lvlText w:val="(%1)"/>
      <w:lvlJc w:val="left"/>
      <w:pPr>
        <w:ind w:left="1710" w:hanging="72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62" w15:restartNumberingAfterBreak="0">
    <w:nsid w:val="6EE75DCB"/>
    <w:multiLevelType w:val="multilevel"/>
    <w:tmpl w:val="88F2287E"/>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sz w:val="26"/>
      </w:rPr>
    </w:lvl>
    <w:lvl w:ilvl="2">
      <w:start w:val="1"/>
      <w:numFmt w:val="decimal"/>
      <w:isLgl/>
      <w:lvlText w:val="%1.%2.%3"/>
      <w:lvlJc w:val="left"/>
      <w:pPr>
        <w:ind w:left="1080" w:hanging="720"/>
      </w:pPr>
      <w:rPr>
        <w:rFonts w:hint="default"/>
        <w:sz w:val="26"/>
      </w:rPr>
    </w:lvl>
    <w:lvl w:ilvl="3">
      <w:start w:val="1"/>
      <w:numFmt w:val="decimal"/>
      <w:isLgl/>
      <w:lvlText w:val="%1.%2.%3.%4"/>
      <w:lvlJc w:val="left"/>
      <w:pPr>
        <w:ind w:left="1080" w:hanging="720"/>
      </w:pPr>
      <w:rPr>
        <w:rFonts w:hint="default"/>
        <w:sz w:val="26"/>
      </w:rPr>
    </w:lvl>
    <w:lvl w:ilvl="4">
      <w:start w:val="1"/>
      <w:numFmt w:val="decimal"/>
      <w:isLgl/>
      <w:lvlText w:val="%1.%2.%3.%4.%5"/>
      <w:lvlJc w:val="left"/>
      <w:pPr>
        <w:ind w:left="1440" w:hanging="1080"/>
      </w:pPr>
      <w:rPr>
        <w:rFonts w:hint="default"/>
        <w:sz w:val="26"/>
      </w:rPr>
    </w:lvl>
    <w:lvl w:ilvl="5">
      <w:start w:val="1"/>
      <w:numFmt w:val="decimal"/>
      <w:isLgl/>
      <w:lvlText w:val="%1.%2.%3.%4.%5.%6"/>
      <w:lvlJc w:val="left"/>
      <w:pPr>
        <w:ind w:left="1440" w:hanging="1080"/>
      </w:pPr>
      <w:rPr>
        <w:rFonts w:hint="default"/>
        <w:sz w:val="26"/>
      </w:rPr>
    </w:lvl>
    <w:lvl w:ilvl="6">
      <w:start w:val="1"/>
      <w:numFmt w:val="decimal"/>
      <w:isLgl/>
      <w:lvlText w:val="%1.%2.%3.%4.%5.%6.%7"/>
      <w:lvlJc w:val="left"/>
      <w:pPr>
        <w:ind w:left="1800" w:hanging="1440"/>
      </w:pPr>
      <w:rPr>
        <w:rFonts w:hint="default"/>
        <w:sz w:val="26"/>
      </w:rPr>
    </w:lvl>
    <w:lvl w:ilvl="7">
      <w:start w:val="1"/>
      <w:numFmt w:val="decimal"/>
      <w:isLgl/>
      <w:lvlText w:val="%1.%2.%3.%4.%5.%6.%7.%8"/>
      <w:lvlJc w:val="left"/>
      <w:pPr>
        <w:ind w:left="2160" w:hanging="1800"/>
      </w:pPr>
      <w:rPr>
        <w:rFonts w:hint="default"/>
        <w:sz w:val="26"/>
      </w:rPr>
    </w:lvl>
    <w:lvl w:ilvl="8">
      <w:start w:val="1"/>
      <w:numFmt w:val="decimal"/>
      <w:isLgl/>
      <w:lvlText w:val="%1.%2.%3.%4.%5.%6.%7.%8.%9"/>
      <w:lvlJc w:val="left"/>
      <w:pPr>
        <w:ind w:left="2160" w:hanging="1800"/>
      </w:pPr>
      <w:rPr>
        <w:rFonts w:hint="default"/>
        <w:sz w:val="26"/>
      </w:rPr>
    </w:lvl>
  </w:abstractNum>
  <w:abstractNum w:abstractNumId="163" w15:restartNumberingAfterBreak="0">
    <w:nsid w:val="6F3169A1"/>
    <w:multiLevelType w:val="hybridMultilevel"/>
    <w:tmpl w:val="0ACEC56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0106633"/>
    <w:multiLevelType w:val="hybridMultilevel"/>
    <w:tmpl w:val="EAD0C9C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06E6DE8"/>
    <w:multiLevelType w:val="hybridMultilevel"/>
    <w:tmpl w:val="7BC227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71AE7054"/>
    <w:multiLevelType w:val="multilevel"/>
    <w:tmpl w:val="0C069AFA"/>
    <w:lvl w:ilvl="0">
      <w:start w:val="2"/>
      <w:numFmt w:val="decimal"/>
      <w:lvlText w:val="%1.0"/>
      <w:lvlJc w:val="left"/>
      <w:pPr>
        <w:ind w:left="720" w:hanging="360"/>
      </w:pPr>
      <w:rPr>
        <w:rFonts w:hint="default"/>
        <w:sz w:val="26"/>
      </w:rPr>
    </w:lvl>
    <w:lvl w:ilvl="1">
      <w:start w:val="1"/>
      <w:numFmt w:val="decimal"/>
      <w:lvlText w:val="%1.%2"/>
      <w:lvlJc w:val="left"/>
      <w:pPr>
        <w:ind w:left="1440" w:hanging="360"/>
      </w:pPr>
      <w:rPr>
        <w:rFonts w:hint="default"/>
        <w:sz w:val="26"/>
      </w:rPr>
    </w:lvl>
    <w:lvl w:ilvl="2">
      <w:start w:val="1"/>
      <w:numFmt w:val="decimal"/>
      <w:lvlText w:val="%1.%2.%3"/>
      <w:lvlJc w:val="left"/>
      <w:pPr>
        <w:ind w:left="2520" w:hanging="720"/>
      </w:pPr>
      <w:rPr>
        <w:rFonts w:hint="default"/>
        <w:sz w:val="26"/>
      </w:rPr>
    </w:lvl>
    <w:lvl w:ilvl="3">
      <w:start w:val="1"/>
      <w:numFmt w:val="decimal"/>
      <w:lvlText w:val="%1.%2.%3.%4"/>
      <w:lvlJc w:val="left"/>
      <w:pPr>
        <w:ind w:left="3240" w:hanging="720"/>
      </w:pPr>
      <w:rPr>
        <w:rFonts w:hint="default"/>
        <w:sz w:val="26"/>
      </w:rPr>
    </w:lvl>
    <w:lvl w:ilvl="4">
      <w:start w:val="1"/>
      <w:numFmt w:val="decimal"/>
      <w:lvlText w:val="%1.%2.%3.%4.%5"/>
      <w:lvlJc w:val="left"/>
      <w:pPr>
        <w:ind w:left="4320" w:hanging="1080"/>
      </w:pPr>
      <w:rPr>
        <w:rFonts w:hint="default"/>
        <w:sz w:val="26"/>
      </w:rPr>
    </w:lvl>
    <w:lvl w:ilvl="5">
      <w:start w:val="1"/>
      <w:numFmt w:val="decimal"/>
      <w:lvlText w:val="%1.%2.%3.%4.%5.%6"/>
      <w:lvlJc w:val="left"/>
      <w:pPr>
        <w:ind w:left="5040" w:hanging="1080"/>
      </w:pPr>
      <w:rPr>
        <w:rFonts w:hint="default"/>
        <w:sz w:val="26"/>
      </w:rPr>
    </w:lvl>
    <w:lvl w:ilvl="6">
      <w:start w:val="1"/>
      <w:numFmt w:val="decimal"/>
      <w:lvlText w:val="%1.%2.%3.%4.%5.%6.%7"/>
      <w:lvlJc w:val="left"/>
      <w:pPr>
        <w:ind w:left="6120" w:hanging="1440"/>
      </w:pPr>
      <w:rPr>
        <w:rFonts w:hint="default"/>
        <w:sz w:val="26"/>
      </w:rPr>
    </w:lvl>
    <w:lvl w:ilvl="7">
      <w:start w:val="1"/>
      <w:numFmt w:val="decimal"/>
      <w:lvlText w:val="%1.%2.%3.%4.%5.%6.%7.%8"/>
      <w:lvlJc w:val="left"/>
      <w:pPr>
        <w:ind w:left="7200" w:hanging="1800"/>
      </w:pPr>
      <w:rPr>
        <w:rFonts w:hint="default"/>
        <w:sz w:val="26"/>
      </w:rPr>
    </w:lvl>
    <w:lvl w:ilvl="8">
      <w:start w:val="1"/>
      <w:numFmt w:val="decimal"/>
      <w:lvlText w:val="%1.%2.%3.%4.%5.%6.%7.%8.%9"/>
      <w:lvlJc w:val="left"/>
      <w:pPr>
        <w:ind w:left="7920" w:hanging="1800"/>
      </w:pPr>
      <w:rPr>
        <w:rFonts w:hint="default"/>
        <w:sz w:val="26"/>
      </w:rPr>
    </w:lvl>
  </w:abstractNum>
  <w:abstractNum w:abstractNumId="167" w15:restartNumberingAfterBreak="0">
    <w:nsid w:val="72353EAA"/>
    <w:multiLevelType w:val="hybridMultilevel"/>
    <w:tmpl w:val="FCACE122"/>
    <w:lvl w:ilvl="0" w:tplc="91862AE4">
      <w:start w:val="1"/>
      <w:numFmt w:val="lowerRoman"/>
      <w:lvlText w:val="%1."/>
      <w:lvlJc w:val="right"/>
      <w:pPr>
        <w:ind w:left="72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725D3CEB"/>
    <w:multiLevelType w:val="hybridMultilevel"/>
    <w:tmpl w:val="87F2B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72F74961"/>
    <w:multiLevelType w:val="multilevel"/>
    <w:tmpl w:val="C6986F2C"/>
    <w:lvl w:ilvl="0">
      <w:start w:val="3"/>
      <w:numFmt w:val="decimal"/>
      <w:lvlText w:val="%1.0"/>
      <w:lvlJc w:val="left"/>
      <w:pPr>
        <w:ind w:left="720" w:hanging="360"/>
      </w:pPr>
      <w:rPr>
        <w:rFonts w:hint="default"/>
        <w:sz w:val="26"/>
      </w:rPr>
    </w:lvl>
    <w:lvl w:ilvl="1">
      <w:start w:val="1"/>
      <w:numFmt w:val="decimal"/>
      <w:lvlText w:val="%1.%2"/>
      <w:lvlJc w:val="left"/>
      <w:pPr>
        <w:ind w:left="1440" w:hanging="360"/>
      </w:pPr>
      <w:rPr>
        <w:rFonts w:hint="default"/>
        <w:sz w:val="26"/>
      </w:rPr>
    </w:lvl>
    <w:lvl w:ilvl="2">
      <w:start w:val="1"/>
      <w:numFmt w:val="decimal"/>
      <w:lvlText w:val="%1.%2.%3"/>
      <w:lvlJc w:val="left"/>
      <w:pPr>
        <w:ind w:left="2520" w:hanging="720"/>
      </w:pPr>
      <w:rPr>
        <w:rFonts w:hint="default"/>
        <w:sz w:val="26"/>
      </w:rPr>
    </w:lvl>
    <w:lvl w:ilvl="3">
      <w:start w:val="1"/>
      <w:numFmt w:val="decimal"/>
      <w:lvlText w:val="%1.%2.%3.%4"/>
      <w:lvlJc w:val="left"/>
      <w:pPr>
        <w:ind w:left="3240" w:hanging="720"/>
      </w:pPr>
      <w:rPr>
        <w:rFonts w:hint="default"/>
        <w:sz w:val="26"/>
      </w:rPr>
    </w:lvl>
    <w:lvl w:ilvl="4">
      <w:start w:val="1"/>
      <w:numFmt w:val="decimal"/>
      <w:lvlText w:val="%1.%2.%3.%4.%5"/>
      <w:lvlJc w:val="left"/>
      <w:pPr>
        <w:ind w:left="4320" w:hanging="1080"/>
      </w:pPr>
      <w:rPr>
        <w:rFonts w:hint="default"/>
        <w:sz w:val="26"/>
      </w:rPr>
    </w:lvl>
    <w:lvl w:ilvl="5">
      <w:start w:val="1"/>
      <w:numFmt w:val="decimal"/>
      <w:lvlText w:val="%1.%2.%3.%4.%5.%6"/>
      <w:lvlJc w:val="left"/>
      <w:pPr>
        <w:ind w:left="5040" w:hanging="1080"/>
      </w:pPr>
      <w:rPr>
        <w:rFonts w:hint="default"/>
        <w:sz w:val="26"/>
      </w:rPr>
    </w:lvl>
    <w:lvl w:ilvl="6">
      <w:start w:val="1"/>
      <w:numFmt w:val="decimal"/>
      <w:lvlText w:val="%1.%2.%3.%4.%5.%6.%7"/>
      <w:lvlJc w:val="left"/>
      <w:pPr>
        <w:ind w:left="6120" w:hanging="1440"/>
      </w:pPr>
      <w:rPr>
        <w:rFonts w:hint="default"/>
        <w:sz w:val="26"/>
      </w:rPr>
    </w:lvl>
    <w:lvl w:ilvl="7">
      <w:start w:val="1"/>
      <w:numFmt w:val="decimal"/>
      <w:lvlText w:val="%1.%2.%3.%4.%5.%6.%7.%8"/>
      <w:lvlJc w:val="left"/>
      <w:pPr>
        <w:ind w:left="7200" w:hanging="1800"/>
      </w:pPr>
      <w:rPr>
        <w:rFonts w:hint="default"/>
        <w:sz w:val="26"/>
      </w:rPr>
    </w:lvl>
    <w:lvl w:ilvl="8">
      <w:start w:val="1"/>
      <w:numFmt w:val="decimal"/>
      <w:lvlText w:val="%1.%2.%3.%4.%5.%6.%7.%8.%9"/>
      <w:lvlJc w:val="left"/>
      <w:pPr>
        <w:ind w:left="7920" w:hanging="1800"/>
      </w:pPr>
      <w:rPr>
        <w:rFonts w:hint="default"/>
        <w:sz w:val="26"/>
      </w:rPr>
    </w:lvl>
  </w:abstractNum>
  <w:abstractNum w:abstractNumId="170" w15:restartNumberingAfterBreak="0">
    <w:nsid w:val="7392060B"/>
    <w:multiLevelType w:val="hybridMultilevel"/>
    <w:tmpl w:val="5F76C704"/>
    <w:lvl w:ilvl="0" w:tplc="04090017">
      <w:start w:val="1"/>
      <w:numFmt w:val="lowerLetter"/>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76CF3260"/>
    <w:multiLevelType w:val="hybridMultilevel"/>
    <w:tmpl w:val="43C66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8482D2C"/>
    <w:multiLevelType w:val="hybridMultilevel"/>
    <w:tmpl w:val="4A42217C"/>
    <w:lvl w:ilvl="0" w:tplc="04090001">
      <w:start w:val="1"/>
      <w:numFmt w:val="bullet"/>
      <w:lvlText w:val=""/>
      <w:lvlJc w:val="left"/>
      <w:pPr>
        <w:ind w:left="750" w:hanging="360"/>
      </w:pPr>
      <w:rPr>
        <w:rFonts w:ascii="Symbol" w:hAnsi="Symbol" w:hint="default"/>
      </w:rPr>
    </w:lvl>
    <w:lvl w:ilvl="1" w:tplc="04090003">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73" w15:restartNumberingAfterBreak="0">
    <w:nsid w:val="79A45E92"/>
    <w:multiLevelType w:val="hybridMultilevel"/>
    <w:tmpl w:val="B7C8F4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9C603CD"/>
    <w:multiLevelType w:val="hybridMultilevel"/>
    <w:tmpl w:val="ACA60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BB36764"/>
    <w:multiLevelType w:val="multilevel"/>
    <w:tmpl w:val="7996F434"/>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6" w15:restartNumberingAfterBreak="0">
    <w:nsid w:val="7BF82481"/>
    <w:multiLevelType w:val="hybridMultilevel"/>
    <w:tmpl w:val="5E101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CBB61D6"/>
    <w:multiLevelType w:val="hybridMultilevel"/>
    <w:tmpl w:val="2E8E582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8" w15:restartNumberingAfterBreak="0">
    <w:nsid w:val="7DD4048A"/>
    <w:multiLevelType w:val="multilevel"/>
    <w:tmpl w:val="8A1CDF14"/>
    <w:lvl w:ilvl="0">
      <w:start w:val="1"/>
      <w:numFmt w:val="decimal"/>
      <w:lvlText w:val="%1.0"/>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9" w15:restartNumberingAfterBreak="0">
    <w:nsid w:val="7E705C24"/>
    <w:multiLevelType w:val="hybridMultilevel"/>
    <w:tmpl w:val="BD585012"/>
    <w:lvl w:ilvl="0" w:tplc="A6F824C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7F2C024B"/>
    <w:multiLevelType w:val="hybridMultilevel"/>
    <w:tmpl w:val="D918F5B8"/>
    <w:lvl w:ilvl="0" w:tplc="2E8E4FC8">
      <w:start w:val="1"/>
      <w:numFmt w:val="lowerRoman"/>
      <w:lvlText w:val="%1."/>
      <w:lvlJc w:val="righ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7F925BB9"/>
    <w:multiLevelType w:val="multilevel"/>
    <w:tmpl w:val="468A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FD54FCB"/>
    <w:multiLevelType w:val="hybridMultilevel"/>
    <w:tmpl w:val="B29209B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1"/>
  </w:num>
  <w:num w:numId="2">
    <w:abstractNumId w:val="29"/>
  </w:num>
  <w:num w:numId="3">
    <w:abstractNumId w:val="124"/>
  </w:num>
  <w:num w:numId="4">
    <w:abstractNumId w:val="161"/>
  </w:num>
  <w:num w:numId="5">
    <w:abstractNumId w:val="75"/>
  </w:num>
  <w:num w:numId="6">
    <w:abstractNumId w:val="49"/>
  </w:num>
  <w:num w:numId="7">
    <w:abstractNumId w:val="163"/>
  </w:num>
  <w:num w:numId="8">
    <w:abstractNumId w:val="130"/>
  </w:num>
  <w:num w:numId="9">
    <w:abstractNumId w:val="120"/>
  </w:num>
  <w:num w:numId="10">
    <w:abstractNumId w:val="53"/>
  </w:num>
  <w:num w:numId="11">
    <w:abstractNumId w:val="146"/>
  </w:num>
  <w:num w:numId="12">
    <w:abstractNumId w:val="164"/>
  </w:num>
  <w:num w:numId="13">
    <w:abstractNumId w:val="104"/>
  </w:num>
  <w:num w:numId="14">
    <w:abstractNumId w:val="30"/>
  </w:num>
  <w:num w:numId="15">
    <w:abstractNumId w:val="126"/>
  </w:num>
  <w:num w:numId="16">
    <w:abstractNumId w:val="46"/>
  </w:num>
  <w:num w:numId="17">
    <w:abstractNumId w:val="42"/>
  </w:num>
  <w:num w:numId="18">
    <w:abstractNumId w:val="117"/>
  </w:num>
  <w:num w:numId="19">
    <w:abstractNumId w:val="82"/>
  </w:num>
  <w:num w:numId="20">
    <w:abstractNumId w:val="11"/>
  </w:num>
  <w:num w:numId="21">
    <w:abstractNumId w:val="152"/>
  </w:num>
  <w:num w:numId="22">
    <w:abstractNumId w:val="127"/>
  </w:num>
  <w:num w:numId="23">
    <w:abstractNumId w:val="48"/>
  </w:num>
  <w:num w:numId="24">
    <w:abstractNumId w:val="174"/>
  </w:num>
  <w:num w:numId="25">
    <w:abstractNumId w:val="56"/>
  </w:num>
  <w:num w:numId="26">
    <w:abstractNumId w:val="73"/>
  </w:num>
  <w:num w:numId="27">
    <w:abstractNumId w:val="180"/>
  </w:num>
  <w:num w:numId="28">
    <w:abstractNumId w:val="33"/>
  </w:num>
  <w:num w:numId="29">
    <w:abstractNumId w:val="167"/>
  </w:num>
  <w:num w:numId="30">
    <w:abstractNumId w:val="8"/>
  </w:num>
  <w:num w:numId="31">
    <w:abstractNumId w:val="113"/>
  </w:num>
  <w:num w:numId="32">
    <w:abstractNumId w:val="15"/>
  </w:num>
  <w:num w:numId="33">
    <w:abstractNumId w:val="181"/>
  </w:num>
  <w:num w:numId="34">
    <w:abstractNumId w:val="138"/>
  </w:num>
  <w:num w:numId="35">
    <w:abstractNumId w:val="155"/>
  </w:num>
  <w:num w:numId="36">
    <w:abstractNumId w:val="142"/>
  </w:num>
  <w:num w:numId="37">
    <w:abstractNumId w:val="22"/>
  </w:num>
  <w:num w:numId="38">
    <w:abstractNumId w:val="97"/>
  </w:num>
  <w:num w:numId="39">
    <w:abstractNumId w:val="12"/>
  </w:num>
  <w:num w:numId="40">
    <w:abstractNumId w:val="10"/>
  </w:num>
  <w:num w:numId="41">
    <w:abstractNumId w:val="177"/>
  </w:num>
  <w:num w:numId="42">
    <w:abstractNumId w:val="50"/>
  </w:num>
  <w:num w:numId="43">
    <w:abstractNumId w:val="72"/>
  </w:num>
  <w:num w:numId="44">
    <w:abstractNumId w:val="159"/>
  </w:num>
  <w:num w:numId="45">
    <w:abstractNumId w:val="103"/>
  </w:num>
  <w:num w:numId="46">
    <w:abstractNumId w:val="156"/>
  </w:num>
  <w:num w:numId="47">
    <w:abstractNumId w:val="92"/>
  </w:num>
  <w:num w:numId="48">
    <w:abstractNumId w:val="165"/>
  </w:num>
  <w:num w:numId="49">
    <w:abstractNumId w:val="123"/>
  </w:num>
  <w:num w:numId="50">
    <w:abstractNumId w:val="114"/>
  </w:num>
  <w:num w:numId="51">
    <w:abstractNumId w:val="122"/>
  </w:num>
  <w:num w:numId="52">
    <w:abstractNumId w:val="101"/>
  </w:num>
  <w:num w:numId="53">
    <w:abstractNumId w:val="7"/>
  </w:num>
  <w:num w:numId="54">
    <w:abstractNumId w:val="151"/>
  </w:num>
  <w:num w:numId="55">
    <w:abstractNumId w:val="31"/>
  </w:num>
  <w:num w:numId="56">
    <w:abstractNumId w:val="87"/>
  </w:num>
  <w:num w:numId="57">
    <w:abstractNumId w:val="60"/>
  </w:num>
  <w:num w:numId="58">
    <w:abstractNumId w:val="32"/>
  </w:num>
  <w:num w:numId="59">
    <w:abstractNumId w:val="74"/>
  </w:num>
  <w:num w:numId="60">
    <w:abstractNumId w:val="91"/>
  </w:num>
  <w:num w:numId="61">
    <w:abstractNumId w:val="59"/>
  </w:num>
  <w:num w:numId="62">
    <w:abstractNumId w:val="116"/>
  </w:num>
  <w:num w:numId="63">
    <w:abstractNumId w:val="65"/>
  </w:num>
  <w:num w:numId="64">
    <w:abstractNumId w:val="2"/>
  </w:num>
  <w:num w:numId="65">
    <w:abstractNumId w:val="148"/>
  </w:num>
  <w:num w:numId="66">
    <w:abstractNumId w:val="0"/>
  </w:num>
  <w:num w:numId="67">
    <w:abstractNumId w:val="132"/>
  </w:num>
  <w:num w:numId="68">
    <w:abstractNumId w:val="79"/>
  </w:num>
  <w:num w:numId="69">
    <w:abstractNumId w:val="36"/>
  </w:num>
  <w:num w:numId="70">
    <w:abstractNumId w:val="21"/>
  </w:num>
  <w:num w:numId="71">
    <w:abstractNumId w:val="83"/>
  </w:num>
  <w:num w:numId="72">
    <w:abstractNumId w:val="35"/>
  </w:num>
  <w:num w:numId="73">
    <w:abstractNumId w:val="58"/>
  </w:num>
  <w:num w:numId="74">
    <w:abstractNumId w:val="64"/>
  </w:num>
  <w:num w:numId="75">
    <w:abstractNumId w:val="39"/>
  </w:num>
  <w:num w:numId="76">
    <w:abstractNumId w:val="38"/>
  </w:num>
  <w:num w:numId="77">
    <w:abstractNumId w:val="102"/>
  </w:num>
  <w:num w:numId="78">
    <w:abstractNumId w:val="9"/>
  </w:num>
  <w:num w:numId="79">
    <w:abstractNumId w:val="47"/>
  </w:num>
  <w:num w:numId="80">
    <w:abstractNumId w:val="13"/>
  </w:num>
  <w:num w:numId="81">
    <w:abstractNumId w:val="141"/>
  </w:num>
  <w:num w:numId="82">
    <w:abstractNumId w:val="179"/>
  </w:num>
  <w:num w:numId="83">
    <w:abstractNumId w:val="4"/>
  </w:num>
  <w:num w:numId="84">
    <w:abstractNumId w:val="106"/>
  </w:num>
  <w:num w:numId="85">
    <w:abstractNumId w:val="154"/>
  </w:num>
  <w:num w:numId="86">
    <w:abstractNumId w:val="14"/>
  </w:num>
  <w:num w:numId="87">
    <w:abstractNumId w:val="1"/>
  </w:num>
  <w:num w:numId="88">
    <w:abstractNumId w:val="119"/>
  </w:num>
  <w:num w:numId="89">
    <w:abstractNumId w:val="25"/>
  </w:num>
  <w:num w:numId="90">
    <w:abstractNumId w:val="6"/>
  </w:num>
  <w:num w:numId="91">
    <w:abstractNumId w:val="108"/>
  </w:num>
  <w:num w:numId="92">
    <w:abstractNumId w:val="173"/>
  </w:num>
  <w:num w:numId="93">
    <w:abstractNumId w:val="62"/>
  </w:num>
  <w:num w:numId="94">
    <w:abstractNumId w:val="78"/>
  </w:num>
  <w:num w:numId="95">
    <w:abstractNumId w:val="105"/>
  </w:num>
  <w:num w:numId="96">
    <w:abstractNumId w:val="88"/>
  </w:num>
  <w:num w:numId="97">
    <w:abstractNumId w:val="85"/>
  </w:num>
  <w:num w:numId="98">
    <w:abstractNumId w:val="136"/>
  </w:num>
  <w:num w:numId="99">
    <w:abstractNumId w:val="51"/>
  </w:num>
  <w:num w:numId="100">
    <w:abstractNumId w:val="34"/>
  </w:num>
  <w:num w:numId="101">
    <w:abstractNumId w:val="153"/>
  </w:num>
  <w:num w:numId="102">
    <w:abstractNumId w:val="149"/>
  </w:num>
  <w:num w:numId="103">
    <w:abstractNumId w:val="37"/>
  </w:num>
  <w:num w:numId="104">
    <w:abstractNumId w:val="111"/>
  </w:num>
  <w:num w:numId="105">
    <w:abstractNumId w:val="107"/>
  </w:num>
  <w:num w:numId="106">
    <w:abstractNumId w:val="69"/>
  </w:num>
  <w:num w:numId="107">
    <w:abstractNumId w:val="3"/>
  </w:num>
  <w:num w:numId="108">
    <w:abstractNumId w:val="23"/>
  </w:num>
  <w:num w:numId="109">
    <w:abstractNumId w:val="20"/>
  </w:num>
  <w:num w:numId="110">
    <w:abstractNumId w:val="172"/>
  </w:num>
  <w:num w:numId="111">
    <w:abstractNumId w:val="158"/>
  </w:num>
  <w:num w:numId="112">
    <w:abstractNumId w:val="44"/>
  </w:num>
  <w:num w:numId="113">
    <w:abstractNumId w:val="18"/>
  </w:num>
  <w:num w:numId="114">
    <w:abstractNumId w:val="182"/>
  </w:num>
  <w:num w:numId="115">
    <w:abstractNumId w:val="81"/>
  </w:num>
  <w:num w:numId="116">
    <w:abstractNumId w:val="133"/>
  </w:num>
  <w:num w:numId="117">
    <w:abstractNumId w:val="143"/>
  </w:num>
  <w:num w:numId="118">
    <w:abstractNumId w:val="63"/>
  </w:num>
  <w:num w:numId="119">
    <w:abstractNumId w:val="171"/>
  </w:num>
  <w:num w:numId="120">
    <w:abstractNumId w:val="96"/>
  </w:num>
  <w:num w:numId="121">
    <w:abstractNumId w:val="139"/>
  </w:num>
  <w:num w:numId="122">
    <w:abstractNumId w:val="135"/>
  </w:num>
  <w:num w:numId="123">
    <w:abstractNumId w:val="100"/>
  </w:num>
  <w:num w:numId="124">
    <w:abstractNumId w:val="137"/>
  </w:num>
  <w:num w:numId="125">
    <w:abstractNumId w:val="176"/>
  </w:num>
  <w:num w:numId="126">
    <w:abstractNumId w:val="131"/>
  </w:num>
  <w:num w:numId="127">
    <w:abstractNumId w:val="27"/>
  </w:num>
  <w:num w:numId="128">
    <w:abstractNumId w:val="43"/>
  </w:num>
  <w:num w:numId="129">
    <w:abstractNumId w:val="145"/>
  </w:num>
  <w:num w:numId="130">
    <w:abstractNumId w:val="140"/>
  </w:num>
  <w:num w:numId="131">
    <w:abstractNumId w:val="93"/>
  </w:num>
  <w:num w:numId="132">
    <w:abstractNumId w:val="67"/>
  </w:num>
  <w:num w:numId="133">
    <w:abstractNumId w:val="55"/>
  </w:num>
  <w:num w:numId="134">
    <w:abstractNumId w:val="41"/>
  </w:num>
  <w:num w:numId="135">
    <w:abstractNumId w:val="98"/>
  </w:num>
  <w:num w:numId="136">
    <w:abstractNumId w:val="68"/>
  </w:num>
  <w:num w:numId="137">
    <w:abstractNumId w:val="5"/>
  </w:num>
  <w:num w:numId="138">
    <w:abstractNumId w:val="19"/>
  </w:num>
  <w:num w:numId="139">
    <w:abstractNumId w:val="128"/>
  </w:num>
  <w:num w:numId="140">
    <w:abstractNumId w:val="129"/>
  </w:num>
  <w:num w:numId="141">
    <w:abstractNumId w:val="170"/>
  </w:num>
  <w:num w:numId="142">
    <w:abstractNumId w:val="17"/>
  </w:num>
  <w:num w:numId="143">
    <w:abstractNumId w:val="144"/>
  </w:num>
  <w:num w:numId="144">
    <w:abstractNumId w:val="168"/>
  </w:num>
  <w:num w:numId="145">
    <w:abstractNumId w:val="76"/>
  </w:num>
  <w:num w:numId="146">
    <w:abstractNumId w:val="40"/>
  </w:num>
  <w:num w:numId="147">
    <w:abstractNumId w:val="99"/>
  </w:num>
  <w:num w:numId="148">
    <w:abstractNumId w:val="110"/>
  </w:num>
  <w:num w:numId="149">
    <w:abstractNumId w:val="70"/>
  </w:num>
  <w:num w:numId="150">
    <w:abstractNumId w:val="95"/>
  </w:num>
  <w:num w:numId="151">
    <w:abstractNumId w:val="16"/>
  </w:num>
  <w:num w:numId="152">
    <w:abstractNumId w:val="54"/>
  </w:num>
  <w:num w:numId="153">
    <w:abstractNumId w:val="66"/>
  </w:num>
  <w:num w:numId="154">
    <w:abstractNumId w:val="90"/>
  </w:num>
  <w:num w:numId="155">
    <w:abstractNumId w:val="28"/>
  </w:num>
  <w:num w:numId="156">
    <w:abstractNumId w:val="109"/>
  </w:num>
  <w:num w:numId="157">
    <w:abstractNumId w:val="26"/>
  </w:num>
  <w:num w:numId="158">
    <w:abstractNumId w:val="160"/>
  </w:num>
  <w:num w:numId="159">
    <w:abstractNumId w:val="150"/>
  </w:num>
  <w:num w:numId="160">
    <w:abstractNumId w:val="84"/>
  </w:num>
  <w:num w:numId="161">
    <w:abstractNumId w:val="162"/>
  </w:num>
  <w:num w:numId="162">
    <w:abstractNumId w:val="134"/>
  </w:num>
  <w:num w:numId="163">
    <w:abstractNumId w:val="147"/>
  </w:num>
  <w:num w:numId="164">
    <w:abstractNumId w:val="89"/>
  </w:num>
  <w:num w:numId="165">
    <w:abstractNumId w:val="52"/>
  </w:num>
  <w:num w:numId="166">
    <w:abstractNumId w:val="57"/>
  </w:num>
  <w:num w:numId="167">
    <w:abstractNumId w:val="125"/>
  </w:num>
  <w:num w:numId="168">
    <w:abstractNumId w:val="77"/>
  </w:num>
  <w:num w:numId="169">
    <w:abstractNumId w:val="24"/>
  </w:num>
  <w:num w:numId="170">
    <w:abstractNumId w:val="94"/>
  </w:num>
  <w:num w:numId="171">
    <w:abstractNumId w:val="118"/>
  </w:num>
  <w:num w:numId="172">
    <w:abstractNumId w:val="86"/>
  </w:num>
  <w:num w:numId="173">
    <w:abstractNumId w:val="80"/>
  </w:num>
  <w:num w:numId="174">
    <w:abstractNumId w:val="169"/>
  </w:num>
  <w:num w:numId="175">
    <w:abstractNumId w:val="121"/>
  </w:num>
  <w:num w:numId="176">
    <w:abstractNumId w:val="166"/>
  </w:num>
  <w:num w:numId="177">
    <w:abstractNumId w:val="45"/>
  </w:num>
  <w:num w:numId="178">
    <w:abstractNumId w:val="157"/>
  </w:num>
  <w:num w:numId="179">
    <w:abstractNumId w:val="71"/>
  </w:num>
  <w:num w:numId="180">
    <w:abstractNumId w:val="115"/>
  </w:num>
  <w:num w:numId="181">
    <w:abstractNumId w:val="112"/>
  </w:num>
  <w:num w:numId="182">
    <w:abstractNumId w:val="175"/>
  </w:num>
  <w:num w:numId="183">
    <w:abstractNumId w:val="178"/>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defaultTabStop w:val="720"/>
  <w:drawingGridHorizontalSpacing w:val="110"/>
  <w:displayHorizontalDrawingGridEvery w:val="2"/>
  <w:characterSpacingControl w:val="doNotCompress"/>
  <w:hdrShapeDefaults>
    <o:shapedefaults v:ext="edit" spidmax="91137"/>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C6CBD"/>
    <w:rsid w:val="00002FC8"/>
    <w:rsid w:val="00003F6C"/>
    <w:rsid w:val="000040C1"/>
    <w:rsid w:val="00004FBA"/>
    <w:rsid w:val="00006344"/>
    <w:rsid w:val="0000785B"/>
    <w:rsid w:val="00011EBF"/>
    <w:rsid w:val="000121D3"/>
    <w:rsid w:val="00012DA8"/>
    <w:rsid w:val="00012E00"/>
    <w:rsid w:val="00015885"/>
    <w:rsid w:val="000171E3"/>
    <w:rsid w:val="000179A9"/>
    <w:rsid w:val="00020858"/>
    <w:rsid w:val="00022070"/>
    <w:rsid w:val="00025862"/>
    <w:rsid w:val="000258E4"/>
    <w:rsid w:val="0002626E"/>
    <w:rsid w:val="000272F6"/>
    <w:rsid w:val="00027B40"/>
    <w:rsid w:val="000312BA"/>
    <w:rsid w:val="0003329F"/>
    <w:rsid w:val="00034F35"/>
    <w:rsid w:val="00035A47"/>
    <w:rsid w:val="00035A4C"/>
    <w:rsid w:val="00040257"/>
    <w:rsid w:val="00041A89"/>
    <w:rsid w:val="0004384D"/>
    <w:rsid w:val="00044621"/>
    <w:rsid w:val="00044FDD"/>
    <w:rsid w:val="000465D0"/>
    <w:rsid w:val="000504AE"/>
    <w:rsid w:val="00050BBA"/>
    <w:rsid w:val="00052A6D"/>
    <w:rsid w:val="00052AD6"/>
    <w:rsid w:val="00053FFD"/>
    <w:rsid w:val="000553AA"/>
    <w:rsid w:val="00055B0C"/>
    <w:rsid w:val="000577A3"/>
    <w:rsid w:val="00057B43"/>
    <w:rsid w:val="0006162A"/>
    <w:rsid w:val="00066C42"/>
    <w:rsid w:val="00066E8C"/>
    <w:rsid w:val="000671CF"/>
    <w:rsid w:val="000700AA"/>
    <w:rsid w:val="00070941"/>
    <w:rsid w:val="0007176C"/>
    <w:rsid w:val="00072E23"/>
    <w:rsid w:val="00073262"/>
    <w:rsid w:val="00075F10"/>
    <w:rsid w:val="0007728E"/>
    <w:rsid w:val="00077671"/>
    <w:rsid w:val="0007771F"/>
    <w:rsid w:val="0007792C"/>
    <w:rsid w:val="0008137F"/>
    <w:rsid w:val="000813B7"/>
    <w:rsid w:val="00081CBF"/>
    <w:rsid w:val="00083183"/>
    <w:rsid w:val="0008451D"/>
    <w:rsid w:val="00084641"/>
    <w:rsid w:val="00085CA1"/>
    <w:rsid w:val="00087FDB"/>
    <w:rsid w:val="00091C66"/>
    <w:rsid w:val="000927D2"/>
    <w:rsid w:val="00092A66"/>
    <w:rsid w:val="00093EAB"/>
    <w:rsid w:val="000945E6"/>
    <w:rsid w:val="00094BAB"/>
    <w:rsid w:val="000A1478"/>
    <w:rsid w:val="000A15EB"/>
    <w:rsid w:val="000A21F8"/>
    <w:rsid w:val="000A2355"/>
    <w:rsid w:val="000A3973"/>
    <w:rsid w:val="000A3B25"/>
    <w:rsid w:val="000A3CB1"/>
    <w:rsid w:val="000A440D"/>
    <w:rsid w:val="000A4772"/>
    <w:rsid w:val="000A762E"/>
    <w:rsid w:val="000A77FA"/>
    <w:rsid w:val="000A7FC9"/>
    <w:rsid w:val="000B2AFB"/>
    <w:rsid w:val="000B3274"/>
    <w:rsid w:val="000B4A9B"/>
    <w:rsid w:val="000B54BC"/>
    <w:rsid w:val="000B64BC"/>
    <w:rsid w:val="000B7794"/>
    <w:rsid w:val="000B7F50"/>
    <w:rsid w:val="000C0ACE"/>
    <w:rsid w:val="000C40F7"/>
    <w:rsid w:val="000C509D"/>
    <w:rsid w:val="000D07DC"/>
    <w:rsid w:val="000D12EF"/>
    <w:rsid w:val="000D2969"/>
    <w:rsid w:val="000D32B6"/>
    <w:rsid w:val="000D3EED"/>
    <w:rsid w:val="000D4BF1"/>
    <w:rsid w:val="000D58B8"/>
    <w:rsid w:val="000E0C4B"/>
    <w:rsid w:val="000E164A"/>
    <w:rsid w:val="000E21A4"/>
    <w:rsid w:val="000E2C01"/>
    <w:rsid w:val="000E392A"/>
    <w:rsid w:val="000E4E70"/>
    <w:rsid w:val="000E6598"/>
    <w:rsid w:val="000E7068"/>
    <w:rsid w:val="000F0008"/>
    <w:rsid w:val="000F0F02"/>
    <w:rsid w:val="000F1179"/>
    <w:rsid w:val="000F195E"/>
    <w:rsid w:val="000F2184"/>
    <w:rsid w:val="000F33A1"/>
    <w:rsid w:val="000F43FE"/>
    <w:rsid w:val="000F76FC"/>
    <w:rsid w:val="000F7952"/>
    <w:rsid w:val="000F7A0A"/>
    <w:rsid w:val="0010000F"/>
    <w:rsid w:val="001034F8"/>
    <w:rsid w:val="00104771"/>
    <w:rsid w:val="00107A02"/>
    <w:rsid w:val="00107D6D"/>
    <w:rsid w:val="001101E8"/>
    <w:rsid w:val="00110A79"/>
    <w:rsid w:val="00110D61"/>
    <w:rsid w:val="00110FF3"/>
    <w:rsid w:val="00111F06"/>
    <w:rsid w:val="0011220F"/>
    <w:rsid w:val="00112EA4"/>
    <w:rsid w:val="001135B7"/>
    <w:rsid w:val="001149BA"/>
    <w:rsid w:val="00115BED"/>
    <w:rsid w:val="00115E5E"/>
    <w:rsid w:val="00117AB5"/>
    <w:rsid w:val="001201F6"/>
    <w:rsid w:val="001202DB"/>
    <w:rsid w:val="00120856"/>
    <w:rsid w:val="0012151E"/>
    <w:rsid w:val="001233E4"/>
    <w:rsid w:val="00123EAA"/>
    <w:rsid w:val="001258D9"/>
    <w:rsid w:val="00127287"/>
    <w:rsid w:val="001273AB"/>
    <w:rsid w:val="00130BAE"/>
    <w:rsid w:val="00130D81"/>
    <w:rsid w:val="0013126D"/>
    <w:rsid w:val="00134D4F"/>
    <w:rsid w:val="00134F5B"/>
    <w:rsid w:val="00135CCF"/>
    <w:rsid w:val="00136BA7"/>
    <w:rsid w:val="00136F0B"/>
    <w:rsid w:val="001376BE"/>
    <w:rsid w:val="00140A29"/>
    <w:rsid w:val="001438B3"/>
    <w:rsid w:val="001438F5"/>
    <w:rsid w:val="0014405C"/>
    <w:rsid w:val="001450C4"/>
    <w:rsid w:val="00151DB9"/>
    <w:rsid w:val="00152D66"/>
    <w:rsid w:val="001534BA"/>
    <w:rsid w:val="001545BB"/>
    <w:rsid w:val="00155378"/>
    <w:rsid w:val="001556FE"/>
    <w:rsid w:val="00161585"/>
    <w:rsid w:val="00161FE8"/>
    <w:rsid w:val="00162974"/>
    <w:rsid w:val="00166455"/>
    <w:rsid w:val="00167BCA"/>
    <w:rsid w:val="00170D3A"/>
    <w:rsid w:val="0017144F"/>
    <w:rsid w:val="00172FB4"/>
    <w:rsid w:val="00173A72"/>
    <w:rsid w:val="00173EE0"/>
    <w:rsid w:val="00175D31"/>
    <w:rsid w:val="001762DC"/>
    <w:rsid w:val="001765F6"/>
    <w:rsid w:val="00176FFA"/>
    <w:rsid w:val="00177B1C"/>
    <w:rsid w:val="001815AD"/>
    <w:rsid w:val="00181AF8"/>
    <w:rsid w:val="00182E09"/>
    <w:rsid w:val="0018545B"/>
    <w:rsid w:val="00190244"/>
    <w:rsid w:val="001929EC"/>
    <w:rsid w:val="00192D84"/>
    <w:rsid w:val="001953DA"/>
    <w:rsid w:val="00196385"/>
    <w:rsid w:val="0019712C"/>
    <w:rsid w:val="00197246"/>
    <w:rsid w:val="001A06E6"/>
    <w:rsid w:val="001A0D66"/>
    <w:rsid w:val="001A1281"/>
    <w:rsid w:val="001A2608"/>
    <w:rsid w:val="001A6AB8"/>
    <w:rsid w:val="001A7DBF"/>
    <w:rsid w:val="001B022D"/>
    <w:rsid w:val="001B17B4"/>
    <w:rsid w:val="001B1B96"/>
    <w:rsid w:val="001B2A33"/>
    <w:rsid w:val="001B384D"/>
    <w:rsid w:val="001B5875"/>
    <w:rsid w:val="001B5936"/>
    <w:rsid w:val="001B5C40"/>
    <w:rsid w:val="001B6607"/>
    <w:rsid w:val="001B74CA"/>
    <w:rsid w:val="001C06A8"/>
    <w:rsid w:val="001C1981"/>
    <w:rsid w:val="001C1C7B"/>
    <w:rsid w:val="001C1DD4"/>
    <w:rsid w:val="001C359B"/>
    <w:rsid w:val="001C3A0A"/>
    <w:rsid w:val="001C41C2"/>
    <w:rsid w:val="001C5D75"/>
    <w:rsid w:val="001C676B"/>
    <w:rsid w:val="001C761D"/>
    <w:rsid w:val="001D136B"/>
    <w:rsid w:val="001D1BD3"/>
    <w:rsid w:val="001D202E"/>
    <w:rsid w:val="001D4489"/>
    <w:rsid w:val="001D5977"/>
    <w:rsid w:val="001D5DFA"/>
    <w:rsid w:val="001D7621"/>
    <w:rsid w:val="001D7D7F"/>
    <w:rsid w:val="001D7E21"/>
    <w:rsid w:val="001E0B74"/>
    <w:rsid w:val="001E4903"/>
    <w:rsid w:val="001E5C50"/>
    <w:rsid w:val="001E6F26"/>
    <w:rsid w:val="001F0D7E"/>
    <w:rsid w:val="001F1426"/>
    <w:rsid w:val="001F14F6"/>
    <w:rsid w:val="001F1AB1"/>
    <w:rsid w:val="001F3570"/>
    <w:rsid w:val="001F4546"/>
    <w:rsid w:val="001F4E95"/>
    <w:rsid w:val="001F51BB"/>
    <w:rsid w:val="001F6043"/>
    <w:rsid w:val="00200CB0"/>
    <w:rsid w:val="00200D58"/>
    <w:rsid w:val="00201DC4"/>
    <w:rsid w:val="00202976"/>
    <w:rsid w:val="00203019"/>
    <w:rsid w:val="0020411C"/>
    <w:rsid w:val="00205545"/>
    <w:rsid w:val="002078A5"/>
    <w:rsid w:val="00207B8D"/>
    <w:rsid w:val="00207CF2"/>
    <w:rsid w:val="00207D71"/>
    <w:rsid w:val="00210133"/>
    <w:rsid w:val="00210728"/>
    <w:rsid w:val="00210FF5"/>
    <w:rsid w:val="00211326"/>
    <w:rsid w:val="00216718"/>
    <w:rsid w:val="00216E9D"/>
    <w:rsid w:val="002202B6"/>
    <w:rsid w:val="00222FA4"/>
    <w:rsid w:val="00223051"/>
    <w:rsid w:val="00227E4C"/>
    <w:rsid w:val="00230DB3"/>
    <w:rsid w:val="002319C6"/>
    <w:rsid w:val="00232D5C"/>
    <w:rsid w:val="00233167"/>
    <w:rsid w:val="0023543F"/>
    <w:rsid w:val="002364C2"/>
    <w:rsid w:val="002365CA"/>
    <w:rsid w:val="002409E2"/>
    <w:rsid w:val="00241465"/>
    <w:rsid w:val="002416BB"/>
    <w:rsid w:val="00241897"/>
    <w:rsid w:val="00241A9D"/>
    <w:rsid w:val="00242539"/>
    <w:rsid w:val="00243866"/>
    <w:rsid w:val="0024466F"/>
    <w:rsid w:val="00245B5E"/>
    <w:rsid w:val="00245F03"/>
    <w:rsid w:val="00247256"/>
    <w:rsid w:val="00251213"/>
    <w:rsid w:val="00251D0D"/>
    <w:rsid w:val="00252D2F"/>
    <w:rsid w:val="002571CF"/>
    <w:rsid w:val="0026229F"/>
    <w:rsid w:val="002634C4"/>
    <w:rsid w:val="002660B8"/>
    <w:rsid w:val="00267A08"/>
    <w:rsid w:val="002705DB"/>
    <w:rsid w:val="00271D49"/>
    <w:rsid w:val="002722D1"/>
    <w:rsid w:val="0027376C"/>
    <w:rsid w:val="00273B8D"/>
    <w:rsid w:val="002742FF"/>
    <w:rsid w:val="0027464C"/>
    <w:rsid w:val="0027501E"/>
    <w:rsid w:val="00276AE2"/>
    <w:rsid w:val="0027750A"/>
    <w:rsid w:val="00280548"/>
    <w:rsid w:val="00281303"/>
    <w:rsid w:val="00281DAB"/>
    <w:rsid w:val="002820BE"/>
    <w:rsid w:val="002835F0"/>
    <w:rsid w:val="00283C7D"/>
    <w:rsid w:val="00283D41"/>
    <w:rsid w:val="00284837"/>
    <w:rsid w:val="00285870"/>
    <w:rsid w:val="0029266A"/>
    <w:rsid w:val="00295AA5"/>
    <w:rsid w:val="00297DD4"/>
    <w:rsid w:val="002A1D8C"/>
    <w:rsid w:val="002A30E3"/>
    <w:rsid w:val="002A3DB9"/>
    <w:rsid w:val="002A432F"/>
    <w:rsid w:val="002A52E7"/>
    <w:rsid w:val="002A593C"/>
    <w:rsid w:val="002A714F"/>
    <w:rsid w:val="002B0221"/>
    <w:rsid w:val="002B0B3D"/>
    <w:rsid w:val="002B2EDE"/>
    <w:rsid w:val="002B3482"/>
    <w:rsid w:val="002B55B2"/>
    <w:rsid w:val="002B7F0E"/>
    <w:rsid w:val="002C470D"/>
    <w:rsid w:val="002C58BB"/>
    <w:rsid w:val="002C628F"/>
    <w:rsid w:val="002C7D43"/>
    <w:rsid w:val="002D01A1"/>
    <w:rsid w:val="002D0A94"/>
    <w:rsid w:val="002D130F"/>
    <w:rsid w:val="002D1908"/>
    <w:rsid w:val="002D2D9C"/>
    <w:rsid w:val="002D2E04"/>
    <w:rsid w:val="002D3318"/>
    <w:rsid w:val="002D5530"/>
    <w:rsid w:val="002D5D59"/>
    <w:rsid w:val="002D62EF"/>
    <w:rsid w:val="002D7C45"/>
    <w:rsid w:val="002E0605"/>
    <w:rsid w:val="002E0F7C"/>
    <w:rsid w:val="002E118B"/>
    <w:rsid w:val="002E23F4"/>
    <w:rsid w:val="002E24D5"/>
    <w:rsid w:val="002E5194"/>
    <w:rsid w:val="002E553D"/>
    <w:rsid w:val="002E60B7"/>
    <w:rsid w:val="002E6F61"/>
    <w:rsid w:val="002E743D"/>
    <w:rsid w:val="002E7F9E"/>
    <w:rsid w:val="002F0E9C"/>
    <w:rsid w:val="002F199C"/>
    <w:rsid w:val="002F3160"/>
    <w:rsid w:val="002F395F"/>
    <w:rsid w:val="002F445B"/>
    <w:rsid w:val="002F45CB"/>
    <w:rsid w:val="002F4C54"/>
    <w:rsid w:val="002F4DEE"/>
    <w:rsid w:val="002F73CF"/>
    <w:rsid w:val="002F74A2"/>
    <w:rsid w:val="002F7B5D"/>
    <w:rsid w:val="003013CD"/>
    <w:rsid w:val="0030320C"/>
    <w:rsid w:val="00303CCC"/>
    <w:rsid w:val="00304C38"/>
    <w:rsid w:val="00304E9D"/>
    <w:rsid w:val="0030511B"/>
    <w:rsid w:val="003060AB"/>
    <w:rsid w:val="00311200"/>
    <w:rsid w:val="003113BF"/>
    <w:rsid w:val="00311945"/>
    <w:rsid w:val="00312FAA"/>
    <w:rsid w:val="0031495E"/>
    <w:rsid w:val="0031591D"/>
    <w:rsid w:val="00316C71"/>
    <w:rsid w:val="00317D28"/>
    <w:rsid w:val="0032164A"/>
    <w:rsid w:val="00326851"/>
    <w:rsid w:val="00332DA2"/>
    <w:rsid w:val="00334549"/>
    <w:rsid w:val="00334F25"/>
    <w:rsid w:val="0033545E"/>
    <w:rsid w:val="00335A55"/>
    <w:rsid w:val="00340E76"/>
    <w:rsid w:val="00343C65"/>
    <w:rsid w:val="00344378"/>
    <w:rsid w:val="00344D9B"/>
    <w:rsid w:val="00345958"/>
    <w:rsid w:val="00346697"/>
    <w:rsid w:val="00350B24"/>
    <w:rsid w:val="003525B7"/>
    <w:rsid w:val="0035332E"/>
    <w:rsid w:val="00356ADB"/>
    <w:rsid w:val="00361C9A"/>
    <w:rsid w:val="00363EF7"/>
    <w:rsid w:val="00364314"/>
    <w:rsid w:val="0036609B"/>
    <w:rsid w:val="00366AD5"/>
    <w:rsid w:val="003672A3"/>
    <w:rsid w:val="00367799"/>
    <w:rsid w:val="00367B46"/>
    <w:rsid w:val="003722C4"/>
    <w:rsid w:val="00372F8F"/>
    <w:rsid w:val="00374633"/>
    <w:rsid w:val="00380077"/>
    <w:rsid w:val="00383644"/>
    <w:rsid w:val="0038437D"/>
    <w:rsid w:val="00384480"/>
    <w:rsid w:val="00384C8F"/>
    <w:rsid w:val="003852DC"/>
    <w:rsid w:val="00390246"/>
    <w:rsid w:val="00390B1A"/>
    <w:rsid w:val="00393929"/>
    <w:rsid w:val="00394697"/>
    <w:rsid w:val="003951D1"/>
    <w:rsid w:val="00395328"/>
    <w:rsid w:val="00396F52"/>
    <w:rsid w:val="003978F8"/>
    <w:rsid w:val="00397B6A"/>
    <w:rsid w:val="00397DD9"/>
    <w:rsid w:val="003A0BE1"/>
    <w:rsid w:val="003A19DD"/>
    <w:rsid w:val="003A2AC0"/>
    <w:rsid w:val="003A4F24"/>
    <w:rsid w:val="003A5C09"/>
    <w:rsid w:val="003A65F0"/>
    <w:rsid w:val="003B5519"/>
    <w:rsid w:val="003C1A17"/>
    <w:rsid w:val="003C2A01"/>
    <w:rsid w:val="003C34E8"/>
    <w:rsid w:val="003C46B0"/>
    <w:rsid w:val="003C5233"/>
    <w:rsid w:val="003D0295"/>
    <w:rsid w:val="003D10E2"/>
    <w:rsid w:val="003D1971"/>
    <w:rsid w:val="003D19C8"/>
    <w:rsid w:val="003D221E"/>
    <w:rsid w:val="003D23AF"/>
    <w:rsid w:val="003D3610"/>
    <w:rsid w:val="003E05D1"/>
    <w:rsid w:val="003E249F"/>
    <w:rsid w:val="003E2CFE"/>
    <w:rsid w:val="003E504E"/>
    <w:rsid w:val="003F0B09"/>
    <w:rsid w:val="003F207C"/>
    <w:rsid w:val="003F538F"/>
    <w:rsid w:val="003F57BD"/>
    <w:rsid w:val="003F5F3E"/>
    <w:rsid w:val="003F5FC1"/>
    <w:rsid w:val="003F6292"/>
    <w:rsid w:val="003F6E8A"/>
    <w:rsid w:val="003F739D"/>
    <w:rsid w:val="003F73F4"/>
    <w:rsid w:val="004001FF"/>
    <w:rsid w:val="0040101A"/>
    <w:rsid w:val="004018A8"/>
    <w:rsid w:val="00401E7E"/>
    <w:rsid w:val="00402D91"/>
    <w:rsid w:val="004050BC"/>
    <w:rsid w:val="004059E9"/>
    <w:rsid w:val="00405C6E"/>
    <w:rsid w:val="004074DC"/>
    <w:rsid w:val="004105BC"/>
    <w:rsid w:val="00410AE4"/>
    <w:rsid w:val="00410C1A"/>
    <w:rsid w:val="00410FBD"/>
    <w:rsid w:val="0041290C"/>
    <w:rsid w:val="004135EB"/>
    <w:rsid w:val="0041601D"/>
    <w:rsid w:val="00416039"/>
    <w:rsid w:val="00421142"/>
    <w:rsid w:val="00427169"/>
    <w:rsid w:val="00431FCB"/>
    <w:rsid w:val="00432993"/>
    <w:rsid w:val="00435A34"/>
    <w:rsid w:val="00441A21"/>
    <w:rsid w:val="004424B7"/>
    <w:rsid w:val="00446F82"/>
    <w:rsid w:val="00451800"/>
    <w:rsid w:val="004522FA"/>
    <w:rsid w:val="00452B42"/>
    <w:rsid w:val="004546B3"/>
    <w:rsid w:val="00455541"/>
    <w:rsid w:val="00457A92"/>
    <w:rsid w:val="004602A1"/>
    <w:rsid w:val="0046039D"/>
    <w:rsid w:val="00460C9C"/>
    <w:rsid w:val="004616CF"/>
    <w:rsid w:val="00461BE0"/>
    <w:rsid w:val="00462295"/>
    <w:rsid w:val="00462FD1"/>
    <w:rsid w:val="00463088"/>
    <w:rsid w:val="00463467"/>
    <w:rsid w:val="004655F9"/>
    <w:rsid w:val="00465AE3"/>
    <w:rsid w:val="00466900"/>
    <w:rsid w:val="00466954"/>
    <w:rsid w:val="00466C6E"/>
    <w:rsid w:val="004679EB"/>
    <w:rsid w:val="00470677"/>
    <w:rsid w:val="00470962"/>
    <w:rsid w:val="00470DCD"/>
    <w:rsid w:val="004712D7"/>
    <w:rsid w:val="00472294"/>
    <w:rsid w:val="00473810"/>
    <w:rsid w:val="00474451"/>
    <w:rsid w:val="00480A9C"/>
    <w:rsid w:val="00481B23"/>
    <w:rsid w:val="0048411F"/>
    <w:rsid w:val="00485205"/>
    <w:rsid w:val="004874DF"/>
    <w:rsid w:val="00490079"/>
    <w:rsid w:val="00491138"/>
    <w:rsid w:val="00491B46"/>
    <w:rsid w:val="00492F79"/>
    <w:rsid w:val="00495EDE"/>
    <w:rsid w:val="004A1C7D"/>
    <w:rsid w:val="004A1E36"/>
    <w:rsid w:val="004A62C1"/>
    <w:rsid w:val="004B1AF3"/>
    <w:rsid w:val="004B2CC4"/>
    <w:rsid w:val="004B39BB"/>
    <w:rsid w:val="004B509C"/>
    <w:rsid w:val="004B5CA2"/>
    <w:rsid w:val="004B7459"/>
    <w:rsid w:val="004C0669"/>
    <w:rsid w:val="004C12C7"/>
    <w:rsid w:val="004C17F9"/>
    <w:rsid w:val="004C1B0D"/>
    <w:rsid w:val="004C29B8"/>
    <w:rsid w:val="004C2B0B"/>
    <w:rsid w:val="004C3DD4"/>
    <w:rsid w:val="004D0D43"/>
    <w:rsid w:val="004D144A"/>
    <w:rsid w:val="004D1E25"/>
    <w:rsid w:val="004D320E"/>
    <w:rsid w:val="004D3F9E"/>
    <w:rsid w:val="004D4AB5"/>
    <w:rsid w:val="004E2212"/>
    <w:rsid w:val="004E2E32"/>
    <w:rsid w:val="004E3E4C"/>
    <w:rsid w:val="004E45D4"/>
    <w:rsid w:val="004E69D7"/>
    <w:rsid w:val="004E78EE"/>
    <w:rsid w:val="004E79CC"/>
    <w:rsid w:val="004F284F"/>
    <w:rsid w:val="004F2D65"/>
    <w:rsid w:val="004F6363"/>
    <w:rsid w:val="00500D72"/>
    <w:rsid w:val="0050103B"/>
    <w:rsid w:val="0050153C"/>
    <w:rsid w:val="0050505F"/>
    <w:rsid w:val="0050617A"/>
    <w:rsid w:val="005069CD"/>
    <w:rsid w:val="00506CC1"/>
    <w:rsid w:val="005128F3"/>
    <w:rsid w:val="00514780"/>
    <w:rsid w:val="00514DE0"/>
    <w:rsid w:val="005154C3"/>
    <w:rsid w:val="0051648C"/>
    <w:rsid w:val="0052025E"/>
    <w:rsid w:val="005228C3"/>
    <w:rsid w:val="0052332C"/>
    <w:rsid w:val="00523650"/>
    <w:rsid w:val="00524401"/>
    <w:rsid w:val="005253C2"/>
    <w:rsid w:val="00525B5E"/>
    <w:rsid w:val="00526A4D"/>
    <w:rsid w:val="00526B69"/>
    <w:rsid w:val="00526D80"/>
    <w:rsid w:val="0053177A"/>
    <w:rsid w:val="00533C00"/>
    <w:rsid w:val="0053473F"/>
    <w:rsid w:val="005375F6"/>
    <w:rsid w:val="00537EDD"/>
    <w:rsid w:val="00540710"/>
    <w:rsid w:val="005407E5"/>
    <w:rsid w:val="00540F81"/>
    <w:rsid w:val="005417C5"/>
    <w:rsid w:val="00541D8F"/>
    <w:rsid w:val="0054220B"/>
    <w:rsid w:val="00543712"/>
    <w:rsid w:val="0054479C"/>
    <w:rsid w:val="00544DF0"/>
    <w:rsid w:val="00544E9B"/>
    <w:rsid w:val="00546CB3"/>
    <w:rsid w:val="00547039"/>
    <w:rsid w:val="005470F3"/>
    <w:rsid w:val="00547128"/>
    <w:rsid w:val="005525C9"/>
    <w:rsid w:val="005525E1"/>
    <w:rsid w:val="00552962"/>
    <w:rsid w:val="00553EE1"/>
    <w:rsid w:val="00554C9B"/>
    <w:rsid w:val="005559C7"/>
    <w:rsid w:val="00555AEB"/>
    <w:rsid w:val="00555D49"/>
    <w:rsid w:val="00556AD2"/>
    <w:rsid w:val="00556AED"/>
    <w:rsid w:val="005574B1"/>
    <w:rsid w:val="005600FC"/>
    <w:rsid w:val="005601AD"/>
    <w:rsid w:val="005613A6"/>
    <w:rsid w:val="00563101"/>
    <w:rsid w:val="0056387E"/>
    <w:rsid w:val="00563CB3"/>
    <w:rsid w:val="0056518C"/>
    <w:rsid w:val="00565ABC"/>
    <w:rsid w:val="00567219"/>
    <w:rsid w:val="00567A0B"/>
    <w:rsid w:val="00570DE0"/>
    <w:rsid w:val="00572042"/>
    <w:rsid w:val="005726E2"/>
    <w:rsid w:val="0057286B"/>
    <w:rsid w:val="00572C62"/>
    <w:rsid w:val="0057706E"/>
    <w:rsid w:val="00577131"/>
    <w:rsid w:val="00577163"/>
    <w:rsid w:val="00577A98"/>
    <w:rsid w:val="00580855"/>
    <w:rsid w:val="00580F4A"/>
    <w:rsid w:val="005816C1"/>
    <w:rsid w:val="00585258"/>
    <w:rsid w:val="00585E17"/>
    <w:rsid w:val="00586833"/>
    <w:rsid w:val="00586DC5"/>
    <w:rsid w:val="0059149F"/>
    <w:rsid w:val="00593339"/>
    <w:rsid w:val="0059383C"/>
    <w:rsid w:val="00593F0C"/>
    <w:rsid w:val="0059497C"/>
    <w:rsid w:val="00597305"/>
    <w:rsid w:val="005974FB"/>
    <w:rsid w:val="00597629"/>
    <w:rsid w:val="00597C73"/>
    <w:rsid w:val="005A032D"/>
    <w:rsid w:val="005A06D9"/>
    <w:rsid w:val="005A0939"/>
    <w:rsid w:val="005A3357"/>
    <w:rsid w:val="005A4869"/>
    <w:rsid w:val="005A7792"/>
    <w:rsid w:val="005B021C"/>
    <w:rsid w:val="005B03F8"/>
    <w:rsid w:val="005B182E"/>
    <w:rsid w:val="005B1FAA"/>
    <w:rsid w:val="005B25C4"/>
    <w:rsid w:val="005B2B45"/>
    <w:rsid w:val="005B5589"/>
    <w:rsid w:val="005B6348"/>
    <w:rsid w:val="005B6A2C"/>
    <w:rsid w:val="005B79DD"/>
    <w:rsid w:val="005C1D1B"/>
    <w:rsid w:val="005C200E"/>
    <w:rsid w:val="005C2C16"/>
    <w:rsid w:val="005C333A"/>
    <w:rsid w:val="005C47F0"/>
    <w:rsid w:val="005C4AE5"/>
    <w:rsid w:val="005C5162"/>
    <w:rsid w:val="005C7EEE"/>
    <w:rsid w:val="005D01D1"/>
    <w:rsid w:val="005D0872"/>
    <w:rsid w:val="005D33F8"/>
    <w:rsid w:val="005D362A"/>
    <w:rsid w:val="005D4CB0"/>
    <w:rsid w:val="005D5E01"/>
    <w:rsid w:val="005D7F0B"/>
    <w:rsid w:val="005E00A4"/>
    <w:rsid w:val="005E0419"/>
    <w:rsid w:val="005E0C8B"/>
    <w:rsid w:val="005E1073"/>
    <w:rsid w:val="005E3999"/>
    <w:rsid w:val="005E54EE"/>
    <w:rsid w:val="005E5AA7"/>
    <w:rsid w:val="005E5B6B"/>
    <w:rsid w:val="005E6810"/>
    <w:rsid w:val="005F008E"/>
    <w:rsid w:val="005F27C0"/>
    <w:rsid w:val="005F507E"/>
    <w:rsid w:val="005F51A3"/>
    <w:rsid w:val="005F71D8"/>
    <w:rsid w:val="005F7474"/>
    <w:rsid w:val="005F7968"/>
    <w:rsid w:val="005F7A6E"/>
    <w:rsid w:val="005F7EA7"/>
    <w:rsid w:val="005F7EE0"/>
    <w:rsid w:val="00601904"/>
    <w:rsid w:val="00602826"/>
    <w:rsid w:val="00602DBD"/>
    <w:rsid w:val="006066AC"/>
    <w:rsid w:val="00607135"/>
    <w:rsid w:val="00610BF3"/>
    <w:rsid w:val="006142A1"/>
    <w:rsid w:val="0061560F"/>
    <w:rsid w:val="00617C0F"/>
    <w:rsid w:val="00622409"/>
    <w:rsid w:val="00622ACA"/>
    <w:rsid w:val="00622E70"/>
    <w:rsid w:val="00623180"/>
    <w:rsid w:val="00625B73"/>
    <w:rsid w:val="00625F95"/>
    <w:rsid w:val="006274CD"/>
    <w:rsid w:val="00627EE8"/>
    <w:rsid w:val="00630E42"/>
    <w:rsid w:val="00632DCB"/>
    <w:rsid w:val="00634AA1"/>
    <w:rsid w:val="00634DA6"/>
    <w:rsid w:val="00640974"/>
    <w:rsid w:val="00640C57"/>
    <w:rsid w:val="00641AED"/>
    <w:rsid w:val="00642CA8"/>
    <w:rsid w:val="00642CE4"/>
    <w:rsid w:val="00644D45"/>
    <w:rsid w:val="00651F25"/>
    <w:rsid w:val="00651FCD"/>
    <w:rsid w:val="006530EA"/>
    <w:rsid w:val="00654467"/>
    <w:rsid w:val="006545A1"/>
    <w:rsid w:val="00655175"/>
    <w:rsid w:val="006554BB"/>
    <w:rsid w:val="00655B81"/>
    <w:rsid w:val="00660A00"/>
    <w:rsid w:val="006625A6"/>
    <w:rsid w:val="00662838"/>
    <w:rsid w:val="006633AE"/>
    <w:rsid w:val="0066410C"/>
    <w:rsid w:val="00664F41"/>
    <w:rsid w:val="00667C5F"/>
    <w:rsid w:val="006737C4"/>
    <w:rsid w:val="00673FA9"/>
    <w:rsid w:val="006746AC"/>
    <w:rsid w:val="00675801"/>
    <w:rsid w:val="006758F9"/>
    <w:rsid w:val="006873AF"/>
    <w:rsid w:val="00687E8A"/>
    <w:rsid w:val="00690132"/>
    <w:rsid w:val="0069035A"/>
    <w:rsid w:val="0069254E"/>
    <w:rsid w:val="006941E7"/>
    <w:rsid w:val="00695269"/>
    <w:rsid w:val="006966ED"/>
    <w:rsid w:val="00696B4B"/>
    <w:rsid w:val="006A39B8"/>
    <w:rsid w:val="006A44FF"/>
    <w:rsid w:val="006A5027"/>
    <w:rsid w:val="006A6123"/>
    <w:rsid w:val="006A70BF"/>
    <w:rsid w:val="006A741E"/>
    <w:rsid w:val="006A79CC"/>
    <w:rsid w:val="006B1FA3"/>
    <w:rsid w:val="006B3268"/>
    <w:rsid w:val="006B4668"/>
    <w:rsid w:val="006B4CC5"/>
    <w:rsid w:val="006B4E22"/>
    <w:rsid w:val="006B6BDC"/>
    <w:rsid w:val="006C3A8E"/>
    <w:rsid w:val="006C3BDA"/>
    <w:rsid w:val="006C4750"/>
    <w:rsid w:val="006C549E"/>
    <w:rsid w:val="006C564E"/>
    <w:rsid w:val="006C74A6"/>
    <w:rsid w:val="006D0D8D"/>
    <w:rsid w:val="006D2558"/>
    <w:rsid w:val="006D4F65"/>
    <w:rsid w:val="006D523B"/>
    <w:rsid w:val="006D5371"/>
    <w:rsid w:val="006D562B"/>
    <w:rsid w:val="006D6991"/>
    <w:rsid w:val="006D74A9"/>
    <w:rsid w:val="006E25F9"/>
    <w:rsid w:val="006E4E87"/>
    <w:rsid w:val="006E4FD4"/>
    <w:rsid w:val="006E5580"/>
    <w:rsid w:val="006E5AF7"/>
    <w:rsid w:val="006E7FF4"/>
    <w:rsid w:val="006F2694"/>
    <w:rsid w:val="006F29A4"/>
    <w:rsid w:val="006F2E46"/>
    <w:rsid w:val="006F3F80"/>
    <w:rsid w:val="006F5128"/>
    <w:rsid w:val="006F685D"/>
    <w:rsid w:val="006F68EB"/>
    <w:rsid w:val="007005B1"/>
    <w:rsid w:val="00704790"/>
    <w:rsid w:val="00704FBC"/>
    <w:rsid w:val="00706432"/>
    <w:rsid w:val="007105D4"/>
    <w:rsid w:val="0071493E"/>
    <w:rsid w:val="00715650"/>
    <w:rsid w:val="00715690"/>
    <w:rsid w:val="00716CCE"/>
    <w:rsid w:val="00720689"/>
    <w:rsid w:val="00720B1A"/>
    <w:rsid w:val="00724401"/>
    <w:rsid w:val="007246B7"/>
    <w:rsid w:val="007247F8"/>
    <w:rsid w:val="00724F5B"/>
    <w:rsid w:val="0072548E"/>
    <w:rsid w:val="00726997"/>
    <w:rsid w:val="0072712B"/>
    <w:rsid w:val="00730595"/>
    <w:rsid w:val="00732563"/>
    <w:rsid w:val="00733AE1"/>
    <w:rsid w:val="007346D3"/>
    <w:rsid w:val="00734B20"/>
    <w:rsid w:val="00734EC9"/>
    <w:rsid w:val="00735F75"/>
    <w:rsid w:val="00737761"/>
    <w:rsid w:val="00742E82"/>
    <w:rsid w:val="00743382"/>
    <w:rsid w:val="00743D97"/>
    <w:rsid w:val="00744E22"/>
    <w:rsid w:val="007455E9"/>
    <w:rsid w:val="00746249"/>
    <w:rsid w:val="007465AA"/>
    <w:rsid w:val="00746B24"/>
    <w:rsid w:val="00747426"/>
    <w:rsid w:val="00751699"/>
    <w:rsid w:val="00751CB3"/>
    <w:rsid w:val="0075252D"/>
    <w:rsid w:val="00753319"/>
    <w:rsid w:val="00754D01"/>
    <w:rsid w:val="00755032"/>
    <w:rsid w:val="00755FCD"/>
    <w:rsid w:val="00756016"/>
    <w:rsid w:val="00760287"/>
    <w:rsid w:val="00760CDC"/>
    <w:rsid w:val="00761010"/>
    <w:rsid w:val="00761254"/>
    <w:rsid w:val="00761606"/>
    <w:rsid w:val="007626A4"/>
    <w:rsid w:val="0076390A"/>
    <w:rsid w:val="00763B17"/>
    <w:rsid w:val="007645C7"/>
    <w:rsid w:val="007668E0"/>
    <w:rsid w:val="00766DAF"/>
    <w:rsid w:val="007679BB"/>
    <w:rsid w:val="00771EC6"/>
    <w:rsid w:val="00772460"/>
    <w:rsid w:val="00772DDB"/>
    <w:rsid w:val="00775B5F"/>
    <w:rsid w:val="0077606B"/>
    <w:rsid w:val="007760B9"/>
    <w:rsid w:val="00776332"/>
    <w:rsid w:val="00780981"/>
    <w:rsid w:val="00780E9E"/>
    <w:rsid w:val="007817AD"/>
    <w:rsid w:val="007817EA"/>
    <w:rsid w:val="00781B58"/>
    <w:rsid w:val="0078286C"/>
    <w:rsid w:val="00783DB0"/>
    <w:rsid w:val="00784C25"/>
    <w:rsid w:val="0078576B"/>
    <w:rsid w:val="00787A77"/>
    <w:rsid w:val="00787EFD"/>
    <w:rsid w:val="007908F1"/>
    <w:rsid w:val="00791BF2"/>
    <w:rsid w:val="00792063"/>
    <w:rsid w:val="00792CC1"/>
    <w:rsid w:val="00792FCE"/>
    <w:rsid w:val="007943C7"/>
    <w:rsid w:val="00797310"/>
    <w:rsid w:val="007A0633"/>
    <w:rsid w:val="007A1C7B"/>
    <w:rsid w:val="007A2277"/>
    <w:rsid w:val="007A2E38"/>
    <w:rsid w:val="007A343F"/>
    <w:rsid w:val="007A4AA7"/>
    <w:rsid w:val="007A691E"/>
    <w:rsid w:val="007B0865"/>
    <w:rsid w:val="007B0C2E"/>
    <w:rsid w:val="007B31D8"/>
    <w:rsid w:val="007B3BF2"/>
    <w:rsid w:val="007B4FCD"/>
    <w:rsid w:val="007B5490"/>
    <w:rsid w:val="007B6DBD"/>
    <w:rsid w:val="007B7052"/>
    <w:rsid w:val="007C0AA0"/>
    <w:rsid w:val="007C0B74"/>
    <w:rsid w:val="007C2580"/>
    <w:rsid w:val="007C2E55"/>
    <w:rsid w:val="007C3041"/>
    <w:rsid w:val="007C6BC4"/>
    <w:rsid w:val="007C7891"/>
    <w:rsid w:val="007C7F03"/>
    <w:rsid w:val="007D2433"/>
    <w:rsid w:val="007D5DCE"/>
    <w:rsid w:val="007D6E4F"/>
    <w:rsid w:val="007E03EE"/>
    <w:rsid w:val="007E05C1"/>
    <w:rsid w:val="007E0C3B"/>
    <w:rsid w:val="007E2CE6"/>
    <w:rsid w:val="007E543B"/>
    <w:rsid w:val="007F07C0"/>
    <w:rsid w:val="007F0D72"/>
    <w:rsid w:val="007F203D"/>
    <w:rsid w:val="007F2457"/>
    <w:rsid w:val="007F311D"/>
    <w:rsid w:val="007F3CE8"/>
    <w:rsid w:val="007F4370"/>
    <w:rsid w:val="007F55C0"/>
    <w:rsid w:val="00800B19"/>
    <w:rsid w:val="00802487"/>
    <w:rsid w:val="00802B66"/>
    <w:rsid w:val="00805729"/>
    <w:rsid w:val="0080617A"/>
    <w:rsid w:val="00806674"/>
    <w:rsid w:val="008067FD"/>
    <w:rsid w:val="00806C8E"/>
    <w:rsid w:val="00810C65"/>
    <w:rsid w:val="008110DD"/>
    <w:rsid w:val="0081152C"/>
    <w:rsid w:val="00811CD4"/>
    <w:rsid w:val="00811DB3"/>
    <w:rsid w:val="00812042"/>
    <w:rsid w:val="00812F3C"/>
    <w:rsid w:val="008140CA"/>
    <w:rsid w:val="00814C99"/>
    <w:rsid w:val="00816410"/>
    <w:rsid w:val="00817ACF"/>
    <w:rsid w:val="00817C1C"/>
    <w:rsid w:val="008203F0"/>
    <w:rsid w:val="00820B2E"/>
    <w:rsid w:val="00821149"/>
    <w:rsid w:val="008214F9"/>
    <w:rsid w:val="008227F6"/>
    <w:rsid w:val="008239D5"/>
    <w:rsid w:val="00824DE5"/>
    <w:rsid w:val="00825158"/>
    <w:rsid w:val="008275E1"/>
    <w:rsid w:val="00827F32"/>
    <w:rsid w:val="008309D3"/>
    <w:rsid w:val="008349B9"/>
    <w:rsid w:val="00836C94"/>
    <w:rsid w:val="00840EF5"/>
    <w:rsid w:val="00842222"/>
    <w:rsid w:val="00843572"/>
    <w:rsid w:val="0084473B"/>
    <w:rsid w:val="0084614A"/>
    <w:rsid w:val="008474BB"/>
    <w:rsid w:val="00850DC5"/>
    <w:rsid w:val="00855D65"/>
    <w:rsid w:val="008561BD"/>
    <w:rsid w:val="00856D42"/>
    <w:rsid w:val="008620FE"/>
    <w:rsid w:val="0086444E"/>
    <w:rsid w:val="008649FA"/>
    <w:rsid w:val="00864CD2"/>
    <w:rsid w:val="00865A8D"/>
    <w:rsid w:val="008706D4"/>
    <w:rsid w:val="008708A9"/>
    <w:rsid w:val="008713EC"/>
    <w:rsid w:val="00871A1C"/>
    <w:rsid w:val="00871D6C"/>
    <w:rsid w:val="0087226B"/>
    <w:rsid w:val="008722C7"/>
    <w:rsid w:val="0087575B"/>
    <w:rsid w:val="00875E2F"/>
    <w:rsid w:val="00877EA3"/>
    <w:rsid w:val="008801FB"/>
    <w:rsid w:val="0088118F"/>
    <w:rsid w:val="00882743"/>
    <w:rsid w:val="00882798"/>
    <w:rsid w:val="00884C8C"/>
    <w:rsid w:val="00885D14"/>
    <w:rsid w:val="00886BA6"/>
    <w:rsid w:val="00891325"/>
    <w:rsid w:val="008916B7"/>
    <w:rsid w:val="008918F9"/>
    <w:rsid w:val="00896017"/>
    <w:rsid w:val="008A06FE"/>
    <w:rsid w:val="008A0839"/>
    <w:rsid w:val="008A226E"/>
    <w:rsid w:val="008A37B2"/>
    <w:rsid w:val="008A5F5C"/>
    <w:rsid w:val="008A75A1"/>
    <w:rsid w:val="008B069F"/>
    <w:rsid w:val="008B1AAD"/>
    <w:rsid w:val="008B27E9"/>
    <w:rsid w:val="008B2F4D"/>
    <w:rsid w:val="008B3520"/>
    <w:rsid w:val="008B47FB"/>
    <w:rsid w:val="008B6D73"/>
    <w:rsid w:val="008B7047"/>
    <w:rsid w:val="008C0F9B"/>
    <w:rsid w:val="008C16C8"/>
    <w:rsid w:val="008C2318"/>
    <w:rsid w:val="008C4B03"/>
    <w:rsid w:val="008C6F41"/>
    <w:rsid w:val="008C7C84"/>
    <w:rsid w:val="008D0C10"/>
    <w:rsid w:val="008D2CB7"/>
    <w:rsid w:val="008D4111"/>
    <w:rsid w:val="008D4428"/>
    <w:rsid w:val="008D4515"/>
    <w:rsid w:val="008D4E9B"/>
    <w:rsid w:val="008D5739"/>
    <w:rsid w:val="008D59B8"/>
    <w:rsid w:val="008D5EB3"/>
    <w:rsid w:val="008D6FB2"/>
    <w:rsid w:val="008D7C91"/>
    <w:rsid w:val="008E09FC"/>
    <w:rsid w:val="008E3DCB"/>
    <w:rsid w:val="008E6305"/>
    <w:rsid w:val="008E6848"/>
    <w:rsid w:val="008E6CE8"/>
    <w:rsid w:val="008E74EB"/>
    <w:rsid w:val="008F160B"/>
    <w:rsid w:val="008F171E"/>
    <w:rsid w:val="008F20B0"/>
    <w:rsid w:val="008F2AED"/>
    <w:rsid w:val="008F3D9B"/>
    <w:rsid w:val="008F3F00"/>
    <w:rsid w:val="008F4031"/>
    <w:rsid w:val="008F4108"/>
    <w:rsid w:val="008F5243"/>
    <w:rsid w:val="008F5CEC"/>
    <w:rsid w:val="008F6BC9"/>
    <w:rsid w:val="008F70D9"/>
    <w:rsid w:val="008F72B8"/>
    <w:rsid w:val="00900EFD"/>
    <w:rsid w:val="00901C39"/>
    <w:rsid w:val="00902B83"/>
    <w:rsid w:val="00902C97"/>
    <w:rsid w:val="00904AD8"/>
    <w:rsid w:val="0090763D"/>
    <w:rsid w:val="00910C25"/>
    <w:rsid w:val="009120DF"/>
    <w:rsid w:val="00912965"/>
    <w:rsid w:val="00914091"/>
    <w:rsid w:val="009147AD"/>
    <w:rsid w:val="00914E8F"/>
    <w:rsid w:val="00915F93"/>
    <w:rsid w:val="00917AD5"/>
    <w:rsid w:val="00924541"/>
    <w:rsid w:val="00924DA1"/>
    <w:rsid w:val="009253E6"/>
    <w:rsid w:val="00927001"/>
    <w:rsid w:val="00930306"/>
    <w:rsid w:val="009329AB"/>
    <w:rsid w:val="009335B5"/>
    <w:rsid w:val="00934123"/>
    <w:rsid w:val="00935E45"/>
    <w:rsid w:val="009368CD"/>
    <w:rsid w:val="00936980"/>
    <w:rsid w:val="0094009D"/>
    <w:rsid w:val="0094054E"/>
    <w:rsid w:val="009406D5"/>
    <w:rsid w:val="0094223C"/>
    <w:rsid w:val="00943F99"/>
    <w:rsid w:val="009441B8"/>
    <w:rsid w:val="00944758"/>
    <w:rsid w:val="009450B6"/>
    <w:rsid w:val="00946B34"/>
    <w:rsid w:val="00946D4C"/>
    <w:rsid w:val="00947357"/>
    <w:rsid w:val="009508FC"/>
    <w:rsid w:val="00952455"/>
    <w:rsid w:val="009528DC"/>
    <w:rsid w:val="00953BFA"/>
    <w:rsid w:val="009557BD"/>
    <w:rsid w:val="00955BE5"/>
    <w:rsid w:val="00955FEE"/>
    <w:rsid w:val="00956B72"/>
    <w:rsid w:val="0095794C"/>
    <w:rsid w:val="0096027C"/>
    <w:rsid w:val="00960602"/>
    <w:rsid w:val="00963430"/>
    <w:rsid w:val="00963C21"/>
    <w:rsid w:val="009651DE"/>
    <w:rsid w:val="00966FD2"/>
    <w:rsid w:val="009674E3"/>
    <w:rsid w:val="00973980"/>
    <w:rsid w:val="009743DA"/>
    <w:rsid w:val="009757E2"/>
    <w:rsid w:val="00975B58"/>
    <w:rsid w:val="00976239"/>
    <w:rsid w:val="00980280"/>
    <w:rsid w:val="009807C6"/>
    <w:rsid w:val="00980D7D"/>
    <w:rsid w:val="0098142F"/>
    <w:rsid w:val="00983134"/>
    <w:rsid w:val="0098370A"/>
    <w:rsid w:val="00985126"/>
    <w:rsid w:val="00986557"/>
    <w:rsid w:val="00990975"/>
    <w:rsid w:val="00993141"/>
    <w:rsid w:val="0099438A"/>
    <w:rsid w:val="00994F97"/>
    <w:rsid w:val="009956D8"/>
    <w:rsid w:val="00996D56"/>
    <w:rsid w:val="00996FFF"/>
    <w:rsid w:val="00997ABE"/>
    <w:rsid w:val="009A256A"/>
    <w:rsid w:val="009A281E"/>
    <w:rsid w:val="009A2899"/>
    <w:rsid w:val="009A40CD"/>
    <w:rsid w:val="009A4866"/>
    <w:rsid w:val="009A5731"/>
    <w:rsid w:val="009A5F49"/>
    <w:rsid w:val="009A7DE2"/>
    <w:rsid w:val="009B0390"/>
    <w:rsid w:val="009B1056"/>
    <w:rsid w:val="009B10C2"/>
    <w:rsid w:val="009B3118"/>
    <w:rsid w:val="009B5BA2"/>
    <w:rsid w:val="009B5D4D"/>
    <w:rsid w:val="009B7727"/>
    <w:rsid w:val="009C02BF"/>
    <w:rsid w:val="009C0793"/>
    <w:rsid w:val="009C4636"/>
    <w:rsid w:val="009C4B7C"/>
    <w:rsid w:val="009C5DD3"/>
    <w:rsid w:val="009C5E9A"/>
    <w:rsid w:val="009C7A08"/>
    <w:rsid w:val="009C7BA8"/>
    <w:rsid w:val="009D221F"/>
    <w:rsid w:val="009D2A33"/>
    <w:rsid w:val="009D2DFF"/>
    <w:rsid w:val="009D340E"/>
    <w:rsid w:val="009D343F"/>
    <w:rsid w:val="009D3F5A"/>
    <w:rsid w:val="009D5FA9"/>
    <w:rsid w:val="009D6C90"/>
    <w:rsid w:val="009E3C72"/>
    <w:rsid w:val="009E7AAE"/>
    <w:rsid w:val="009F0117"/>
    <w:rsid w:val="009F0C15"/>
    <w:rsid w:val="009F106A"/>
    <w:rsid w:val="009F10C6"/>
    <w:rsid w:val="009F1F04"/>
    <w:rsid w:val="009F3CC0"/>
    <w:rsid w:val="009F40C7"/>
    <w:rsid w:val="009F4D08"/>
    <w:rsid w:val="009F5C2D"/>
    <w:rsid w:val="009F6F3B"/>
    <w:rsid w:val="009F7EB8"/>
    <w:rsid w:val="00A00033"/>
    <w:rsid w:val="00A00349"/>
    <w:rsid w:val="00A010B6"/>
    <w:rsid w:val="00A01220"/>
    <w:rsid w:val="00A0145E"/>
    <w:rsid w:val="00A01965"/>
    <w:rsid w:val="00A02C3D"/>
    <w:rsid w:val="00A0357A"/>
    <w:rsid w:val="00A03CD7"/>
    <w:rsid w:val="00A03DE5"/>
    <w:rsid w:val="00A04078"/>
    <w:rsid w:val="00A06CEC"/>
    <w:rsid w:val="00A1212D"/>
    <w:rsid w:val="00A13495"/>
    <w:rsid w:val="00A136F1"/>
    <w:rsid w:val="00A14498"/>
    <w:rsid w:val="00A14A13"/>
    <w:rsid w:val="00A14C04"/>
    <w:rsid w:val="00A22163"/>
    <w:rsid w:val="00A22D6B"/>
    <w:rsid w:val="00A23E25"/>
    <w:rsid w:val="00A24377"/>
    <w:rsid w:val="00A25497"/>
    <w:rsid w:val="00A2767D"/>
    <w:rsid w:val="00A27788"/>
    <w:rsid w:val="00A30634"/>
    <w:rsid w:val="00A32CF0"/>
    <w:rsid w:val="00A32CF5"/>
    <w:rsid w:val="00A32CF7"/>
    <w:rsid w:val="00A3447F"/>
    <w:rsid w:val="00A35951"/>
    <w:rsid w:val="00A36441"/>
    <w:rsid w:val="00A36878"/>
    <w:rsid w:val="00A40B4F"/>
    <w:rsid w:val="00A42A0E"/>
    <w:rsid w:val="00A43E24"/>
    <w:rsid w:val="00A4563E"/>
    <w:rsid w:val="00A458AB"/>
    <w:rsid w:val="00A45FAE"/>
    <w:rsid w:val="00A46370"/>
    <w:rsid w:val="00A46E62"/>
    <w:rsid w:val="00A47883"/>
    <w:rsid w:val="00A5014C"/>
    <w:rsid w:val="00A50A22"/>
    <w:rsid w:val="00A51FF8"/>
    <w:rsid w:val="00A54374"/>
    <w:rsid w:val="00A56F27"/>
    <w:rsid w:val="00A60966"/>
    <w:rsid w:val="00A60A53"/>
    <w:rsid w:val="00A60B51"/>
    <w:rsid w:val="00A61857"/>
    <w:rsid w:val="00A6245E"/>
    <w:rsid w:val="00A629A1"/>
    <w:rsid w:val="00A64C19"/>
    <w:rsid w:val="00A6674E"/>
    <w:rsid w:val="00A66A12"/>
    <w:rsid w:val="00A713C7"/>
    <w:rsid w:val="00A71919"/>
    <w:rsid w:val="00A7586B"/>
    <w:rsid w:val="00A77443"/>
    <w:rsid w:val="00A80005"/>
    <w:rsid w:val="00A8080C"/>
    <w:rsid w:val="00A8170A"/>
    <w:rsid w:val="00A817C4"/>
    <w:rsid w:val="00A819A9"/>
    <w:rsid w:val="00A81C7A"/>
    <w:rsid w:val="00A81D85"/>
    <w:rsid w:val="00A850B8"/>
    <w:rsid w:val="00A86A96"/>
    <w:rsid w:val="00A87A86"/>
    <w:rsid w:val="00A904F9"/>
    <w:rsid w:val="00A908B8"/>
    <w:rsid w:val="00A922BD"/>
    <w:rsid w:val="00A9249D"/>
    <w:rsid w:val="00A92A12"/>
    <w:rsid w:val="00A93590"/>
    <w:rsid w:val="00A96B0C"/>
    <w:rsid w:val="00A97744"/>
    <w:rsid w:val="00A97EF5"/>
    <w:rsid w:val="00AA032E"/>
    <w:rsid w:val="00AA0C97"/>
    <w:rsid w:val="00AA26AD"/>
    <w:rsid w:val="00AA34A8"/>
    <w:rsid w:val="00AA3F19"/>
    <w:rsid w:val="00AA5302"/>
    <w:rsid w:val="00AA583E"/>
    <w:rsid w:val="00AA7619"/>
    <w:rsid w:val="00AB0CFB"/>
    <w:rsid w:val="00AB182C"/>
    <w:rsid w:val="00AB3E9C"/>
    <w:rsid w:val="00AB41AE"/>
    <w:rsid w:val="00AB57D3"/>
    <w:rsid w:val="00AB6180"/>
    <w:rsid w:val="00AB7790"/>
    <w:rsid w:val="00AB79DE"/>
    <w:rsid w:val="00AC03B8"/>
    <w:rsid w:val="00AC065A"/>
    <w:rsid w:val="00AC2FEA"/>
    <w:rsid w:val="00AC3A6E"/>
    <w:rsid w:val="00AC50E9"/>
    <w:rsid w:val="00AC710D"/>
    <w:rsid w:val="00AD1BE4"/>
    <w:rsid w:val="00AD1DF0"/>
    <w:rsid w:val="00AD1F87"/>
    <w:rsid w:val="00AD429C"/>
    <w:rsid w:val="00AD6897"/>
    <w:rsid w:val="00AD6C07"/>
    <w:rsid w:val="00AD78B9"/>
    <w:rsid w:val="00AE01C5"/>
    <w:rsid w:val="00AE0CF2"/>
    <w:rsid w:val="00AE1261"/>
    <w:rsid w:val="00AE360B"/>
    <w:rsid w:val="00AE3F63"/>
    <w:rsid w:val="00AE4D8E"/>
    <w:rsid w:val="00AE52C0"/>
    <w:rsid w:val="00AE5C45"/>
    <w:rsid w:val="00AE5E3C"/>
    <w:rsid w:val="00AE61BD"/>
    <w:rsid w:val="00AE6D8E"/>
    <w:rsid w:val="00AF4D62"/>
    <w:rsid w:val="00AF4E90"/>
    <w:rsid w:val="00AF7095"/>
    <w:rsid w:val="00AF74E7"/>
    <w:rsid w:val="00B03C48"/>
    <w:rsid w:val="00B0423E"/>
    <w:rsid w:val="00B04C2E"/>
    <w:rsid w:val="00B05DFA"/>
    <w:rsid w:val="00B0753A"/>
    <w:rsid w:val="00B07C78"/>
    <w:rsid w:val="00B12C32"/>
    <w:rsid w:val="00B13D69"/>
    <w:rsid w:val="00B1507D"/>
    <w:rsid w:val="00B16DEC"/>
    <w:rsid w:val="00B17017"/>
    <w:rsid w:val="00B17DBF"/>
    <w:rsid w:val="00B2087E"/>
    <w:rsid w:val="00B2272F"/>
    <w:rsid w:val="00B22D63"/>
    <w:rsid w:val="00B24D1A"/>
    <w:rsid w:val="00B25C7D"/>
    <w:rsid w:val="00B27D46"/>
    <w:rsid w:val="00B30451"/>
    <w:rsid w:val="00B3170C"/>
    <w:rsid w:val="00B32502"/>
    <w:rsid w:val="00B32567"/>
    <w:rsid w:val="00B332F0"/>
    <w:rsid w:val="00B33A46"/>
    <w:rsid w:val="00B33E3D"/>
    <w:rsid w:val="00B35244"/>
    <w:rsid w:val="00B35D31"/>
    <w:rsid w:val="00B36BDC"/>
    <w:rsid w:val="00B405C2"/>
    <w:rsid w:val="00B40BB5"/>
    <w:rsid w:val="00B4125D"/>
    <w:rsid w:val="00B41B1F"/>
    <w:rsid w:val="00B41DFF"/>
    <w:rsid w:val="00B44C03"/>
    <w:rsid w:val="00B45605"/>
    <w:rsid w:val="00B45CD2"/>
    <w:rsid w:val="00B45FC3"/>
    <w:rsid w:val="00B47C8A"/>
    <w:rsid w:val="00B51574"/>
    <w:rsid w:val="00B53794"/>
    <w:rsid w:val="00B608E8"/>
    <w:rsid w:val="00B64106"/>
    <w:rsid w:val="00B64438"/>
    <w:rsid w:val="00B64695"/>
    <w:rsid w:val="00B64DE0"/>
    <w:rsid w:val="00B65150"/>
    <w:rsid w:val="00B65E0C"/>
    <w:rsid w:val="00B67CEF"/>
    <w:rsid w:val="00B67E03"/>
    <w:rsid w:val="00B70226"/>
    <w:rsid w:val="00B71E72"/>
    <w:rsid w:val="00B7273B"/>
    <w:rsid w:val="00B72982"/>
    <w:rsid w:val="00B74545"/>
    <w:rsid w:val="00B749F6"/>
    <w:rsid w:val="00B74ABC"/>
    <w:rsid w:val="00B74B9D"/>
    <w:rsid w:val="00B74DC4"/>
    <w:rsid w:val="00B75191"/>
    <w:rsid w:val="00B752AF"/>
    <w:rsid w:val="00B7604D"/>
    <w:rsid w:val="00B76C9A"/>
    <w:rsid w:val="00B76FD2"/>
    <w:rsid w:val="00B77939"/>
    <w:rsid w:val="00B80AC1"/>
    <w:rsid w:val="00B80C42"/>
    <w:rsid w:val="00B83D9E"/>
    <w:rsid w:val="00B845FA"/>
    <w:rsid w:val="00B85AB8"/>
    <w:rsid w:val="00B86A25"/>
    <w:rsid w:val="00B8754C"/>
    <w:rsid w:val="00B91245"/>
    <w:rsid w:val="00B93231"/>
    <w:rsid w:val="00B94E15"/>
    <w:rsid w:val="00B95B85"/>
    <w:rsid w:val="00B9614A"/>
    <w:rsid w:val="00B9634F"/>
    <w:rsid w:val="00B96D64"/>
    <w:rsid w:val="00BA1079"/>
    <w:rsid w:val="00BA2DD3"/>
    <w:rsid w:val="00BA3971"/>
    <w:rsid w:val="00BA4000"/>
    <w:rsid w:val="00BA6CF6"/>
    <w:rsid w:val="00BA7030"/>
    <w:rsid w:val="00BA7C71"/>
    <w:rsid w:val="00BB1506"/>
    <w:rsid w:val="00BB2713"/>
    <w:rsid w:val="00BB3A1C"/>
    <w:rsid w:val="00BB3DF0"/>
    <w:rsid w:val="00BB3FFB"/>
    <w:rsid w:val="00BB41EF"/>
    <w:rsid w:val="00BB5D92"/>
    <w:rsid w:val="00BB61A1"/>
    <w:rsid w:val="00BB64A0"/>
    <w:rsid w:val="00BB7F15"/>
    <w:rsid w:val="00BC1BCA"/>
    <w:rsid w:val="00BC54B9"/>
    <w:rsid w:val="00BC561F"/>
    <w:rsid w:val="00BC73F7"/>
    <w:rsid w:val="00BD1F34"/>
    <w:rsid w:val="00BD25C7"/>
    <w:rsid w:val="00BD3BFA"/>
    <w:rsid w:val="00BD4B93"/>
    <w:rsid w:val="00BD61C8"/>
    <w:rsid w:val="00BE0BBC"/>
    <w:rsid w:val="00BE3686"/>
    <w:rsid w:val="00BE3EB9"/>
    <w:rsid w:val="00BE5E32"/>
    <w:rsid w:val="00BE604B"/>
    <w:rsid w:val="00BE64EF"/>
    <w:rsid w:val="00BE6579"/>
    <w:rsid w:val="00BE6599"/>
    <w:rsid w:val="00BE73AD"/>
    <w:rsid w:val="00BF1912"/>
    <w:rsid w:val="00BF1DAD"/>
    <w:rsid w:val="00BF580D"/>
    <w:rsid w:val="00C0266D"/>
    <w:rsid w:val="00C02B51"/>
    <w:rsid w:val="00C02FE8"/>
    <w:rsid w:val="00C04220"/>
    <w:rsid w:val="00C04D4B"/>
    <w:rsid w:val="00C0500B"/>
    <w:rsid w:val="00C0688A"/>
    <w:rsid w:val="00C07BDF"/>
    <w:rsid w:val="00C13D64"/>
    <w:rsid w:val="00C15EFB"/>
    <w:rsid w:val="00C15FC7"/>
    <w:rsid w:val="00C16B00"/>
    <w:rsid w:val="00C1724C"/>
    <w:rsid w:val="00C17772"/>
    <w:rsid w:val="00C178E4"/>
    <w:rsid w:val="00C26090"/>
    <w:rsid w:val="00C26131"/>
    <w:rsid w:val="00C2675C"/>
    <w:rsid w:val="00C26DB3"/>
    <w:rsid w:val="00C2716E"/>
    <w:rsid w:val="00C2719D"/>
    <w:rsid w:val="00C308D3"/>
    <w:rsid w:val="00C3333E"/>
    <w:rsid w:val="00C35BBE"/>
    <w:rsid w:val="00C35F1B"/>
    <w:rsid w:val="00C3621B"/>
    <w:rsid w:val="00C377CB"/>
    <w:rsid w:val="00C41A4A"/>
    <w:rsid w:val="00C42FD0"/>
    <w:rsid w:val="00C43592"/>
    <w:rsid w:val="00C44C57"/>
    <w:rsid w:val="00C452BC"/>
    <w:rsid w:val="00C46225"/>
    <w:rsid w:val="00C46BAF"/>
    <w:rsid w:val="00C517A0"/>
    <w:rsid w:val="00C52F95"/>
    <w:rsid w:val="00C5469F"/>
    <w:rsid w:val="00C54C81"/>
    <w:rsid w:val="00C564C4"/>
    <w:rsid w:val="00C57EEC"/>
    <w:rsid w:val="00C6036D"/>
    <w:rsid w:val="00C605A9"/>
    <w:rsid w:val="00C605C0"/>
    <w:rsid w:val="00C60C71"/>
    <w:rsid w:val="00C61F9B"/>
    <w:rsid w:val="00C626FC"/>
    <w:rsid w:val="00C64102"/>
    <w:rsid w:val="00C6451F"/>
    <w:rsid w:val="00C65C7A"/>
    <w:rsid w:val="00C731E0"/>
    <w:rsid w:val="00C73368"/>
    <w:rsid w:val="00C74947"/>
    <w:rsid w:val="00C760D1"/>
    <w:rsid w:val="00C80818"/>
    <w:rsid w:val="00C810CC"/>
    <w:rsid w:val="00C82D87"/>
    <w:rsid w:val="00C8499E"/>
    <w:rsid w:val="00C859FD"/>
    <w:rsid w:val="00C85D64"/>
    <w:rsid w:val="00C86CF2"/>
    <w:rsid w:val="00C91233"/>
    <w:rsid w:val="00C91341"/>
    <w:rsid w:val="00C94856"/>
    <w:rsid w:val="00C95ACB"/>
    <w:rsid w:val="00C96D2F"/>
    <w:rsid w:val="00CA0DAC"/>
    <w:rsid w:val="00CA21D3"/>
    <w:rsid w:val="00CA2555"/>
    <w:rsid w:val="00CA3A27"/>
    <w:rsid w:val="00CA3AA5"/>
    <w:rsid w:val="00CA48E6"/>
    <w:rsid w:val="00CA59AF"/>
    <w:rsid w:val="00CA79AA"/>
    <w:rsid w:val="00CB00D2"/>
    <w:rsid w:val="00CB15C7"/>
    <w:rsid w:val="00CB33F0"/>
    <w:rsid w:val="00CB4B49"/>
    <w:rsid w:val="00CB6E2B"/>
    <w:rsid w:val="00CC130F"/>
    <w:rsid w:val="00CC6CBD"/>
    <w:rsid w:val="00CC70B9"/>
    <w:rsid w:val="00CC75E3"/>
    <w:rsid w:val="00CD225A"/>
    <w:rsid w:val="00CD3757"/>
    <w:rsid w:val="00CD3A67"/>
    <w:rsid w:val="00CD406A"/>
    <w:rsid w:val="00CD5531"/>
    <w:rsid w:val="00CD636E"/>
    <w:rsid w:val="00CD6D29"/>
    <w:rsid w:val="00CD78C2"/>
    <w:rsid w:val="00CD7920"/>
    <w:rsid w:val="00CE13FD"/>
    <w:rsid w:val="00CE1E78"/>
    <w:rsid w:val="00CE20C7"/>
    <w:rsid w:val="00CE2BC8"/>
    <w:rsid w:val="00CE375C"/>
    <w:rsid w:val="00CE3B20"/>
    <w:rsid w:val="00CE5071"/>
    <w:rsid w:val="00CE5B25"/>
    <w:rsid w:val="00CE6D45"/>
    <w:rsid w:val="00CF00D0"/>
    <w:rsid w:val="00CF193F"/>
    <w:rsid w:val="00CF2EDB"/>
    <w:rsid w:val="00CF3921"/>
    <w:rsid w:val="00CF3C3A"/>
    <w:rsid w:val="00CF3D01"/>
    <w:rsid w:val="00CF4E6C"/>
    <w:rsid w:val="00CF641B"/>
    <w:rsid w:val="00CF6DE4"/>
    <w:rsid w:val="00D003B9"/>
    <w:rsid w:val="00D02025"/>
    <w:rsid w:val="00D05701"/>
    <w:rsid w:val="00D05804"/>
    <w:rsid w:val="00D07C22"/>
    <w:rsid w:val="00D109F7"/>
    <w:rsid w:val="00D116B0"/>
    <w:rsid w:val="00D12C4C"/>
    <w:rsid w:val="00D12E57"/>
    <w:rsid w:val="00D12E59"/>
    <w:rsid w:val="00D1306B"/>
    <w:rsid w:val="00D13300"/>
    <w:rsid w:val="00D13401"/>
    <w:rsid w:val="00D140A8"/>
    <w:rsid w:val="00D14CBE"/>
    <w:rsid w:val="00D17554"/>
    <w:rsid w:val="00D203B7"/>
    <w:rsid w:val="00D21441"/>
    <w:rsid w:val="00D224BA"/>
    <w:rsid w:val="00D23BD3"/>
    <w:rsid w:val="00D24741"/>
    <w:rsid w:val="00D27995"/>
    <w:rsid w:val="00D30448"/>
    <w:rsid w:val="00D31DF9"/>
    <w:rsid w:val="00D35973"/>
    <w:rsid w:val="00D36E2A"/>
    <w:rsid w:val="00D37F5A"/>
    <w:rsid w:val="00D4028D"/>
    <w:rsid w:val="00D40D7C"/>
    <w:rsid w:val="00D40DF0"/>
    <w:rsid w:val="00D413DD"/>
    <w:rsid w:val="00D422FA"/>
    <w:rsid w:val="00D434A9"/>
    <w:rsid w:val="00D46075"/>
    <w:rsid w:val="00D47C1A"/>
    <w:rsid w:val="00D51C0E"/>
    <w:rsid w:val="00D54E9C"/>
    <w:rsid w:val="00D55338"/>
    <w:rsid w:val="00D555FD"/>
    <w:rsid w:val="00D56E86"/>
    <w:rsid w:val="00D56FA8"/>
    <w:rsid w:val="00D57BE3"/>
    <w:rsid w:val="00D634A3"/>
    <w:rsid w:val="00D63A74"/>
    <w:rsid w:val="00D657A6"/>
    <w:rsid w:val="00D66459"/>
    <w:rsid w:val="00D667E6"/>
    <w:rsid w:val="00D704C5"/>
    <w:rsid w:val="00D72C91"/>
    <w:rsid w:val="00D73212"/>
    <w:rsid w:val="00D742AA"/>
    <w:rsid w:val="00D74B69"/>
    <w:rsid w:val="00D76456"/>
    <w:rsid w:val="00D768EE"/>
    <w:rsid w:val="00D76BDB"/>
    <w:rsid w:val="00D80800"/>
    <w:rsid w:val="00D816BE"/>
    <w:rsid w:val="00D82666"/>
    <w:rsid w:val="00D84443"/>
    <w:rsid w:val="00D860E2"/>
    <w:rsid w:val="00D861F3"/>
    <w:rsid w:val="00D91683"/>
    <w:rsid w:val="00D922AD"/>
    <w:rsid w:val="00D92FCA"/>
    <w:rsid w:val="00D932E0"/>
    <w:rsid w:val="00D93F91"/>
    <w:rsid w:val="00D966CC"/>
    <w:rsid w:val="00D9701D"/>
    <w:rsid w:val="00DA1F13"/>
    <w:rsid w:val="00DA4395"/>
    <w:rsid w:val="00DA4940"/>
    <w:rsid w:val="00DA4D96"/>
    <w:rsid w:val="00DA6431"/>
    <w:rsid w:val="00DA6574"/>
    <w:rsid w:val="00DA6B02"/>
    <w:rsid w:val="00DB0B0F"/>
    <w:rsid w:val="00DB0F50"/>
    <w:rsid w:val="00DB3A2E"/>
    <w:rsid w:val="00DB489D"/>
    <w:rsid w:val="00DB4FCA"/>
    <w:rsid w:val="00DB5D81"/>
    <w:rsid w:val="00DB6AE7"/>
    <w:rsid w:val="00DB7054"/>
    <w:rsid w:val="00DB7EFB"/>
    <w:rsid w:val="00DC03FB"/>
    <w:rsid w:val="00DC1AD8"/>
    <w:rsid w:val="00DC3973"/>
    <w:rsid w:val="00DC5755"/>
    <w:rsid w:val="00DC57D8"/>
    <w:rsid w:val="00DC5B79"/>
    <w:rsid w:val="00DC5EB3"/>
    <w:rsid w:val="00DC6D7A"/>
    <w:rsid w:val="00DD1033"/>
    <w:rsid w:val="00DD10E2"/>
    <w:rsid w:val="00DD26A5"/>
    <w:rsid w:val="00DD2F90"/>
    <w:rsid w:val="00DD5480"/>
    <w:rsid w:val="00DD5860"/>
    <w:rsid w:val="00DD5CFF"/>
    <w:rsid w:val="00DD62F3"/>
    <w:rsid w:val="00DD7606"/>
    <w:rsid w:val="00DD7F2E"/>
    <w:rsid w:val="00DE0FA0"/>
    <w:rsid w:val="00DE14CD"/>
    <w:rsid w:val="00DE3B59"/>
    <w:rsid w:val="00DE4BEC"/>
    <w:rsid w:val="00DE5FDF"/>
    <w:rsid w:val="00DE73E8"/>
    <w:rsid w:val="00DF0980"/>
    <w:rsid w:val="00DF0AF5"/>
    <w:rsid w:val="00DF135F"/>
    <w:rsid w:val="00DF261C"/>
    <w:rsid w:val="00DF27DD"/>
    <w:rsid w:val="00DF2F6E"/>
    <w:rsid w:val="00DF6AC0"/>
    <w:rsid w:val="00DF7DAB"/>
    <w:rsid w:val="00E00EF9"/>
    <w:rsid w:val="00E07B4F"/>
    <w:rsid w:val="00E102A1"/>
    <w:rsid w:val="00E10ABB"/>
    <w:rsid w:val="00E119FB"/>
    <w:rsid w:val="00E12645"/>
    <w:rsid w:val="00E12DD8"/>
    <w:rsid w:val="00E13586"/>
    <w:rsid w:val="00E13A8E"/>
    <w:rsid w:val="00E14080"/>
    <w:rsid w:val="00E146E4"/>
    <w:rsid w:val="00E14E20"/>
    <w:rsid w:val="00E153B9"/>
    <w:rsid w:val="00E1618D"/>
    <w:rsid w:val="00E1776B"/>
    <w:rsid w:val="00E17D94"/>
    <w:rsid w:val="00E20698"/>
    <w:rsid w:val="00E2396E"/>
    <w:rsid w:val="00E26B19"/>
    <w:rsid w:val="00E26E3F"/>
    <w:rsid w:val="00E26E82"/>
    <w:rsid w:val="00E2748C"/>
    <w:rsid w:val="00E3179F"/>
    <w:rsid w:val="00E317C4"/>
    <w:rsid w:val="00E31EF3"/>
    <w:rsid w:val="00E321D4"/>
    <w:rsid w:val="00E3232D"/>
    <w:rsid w:val="00E325B8"/>
    <w:rsid w:val="00E32614"/>
    <w:rsid w:val="00E32DE1"/>
    <w:rsid w:val="00E33415"/>
    <w:rsid w:val="00E33458"/>
    <w:rsid w:val="00E33592"/>
    <w:rsid w:val="00E36478"/>
    <w:rsid w:val="00E4088C"/>
    <w:rsid w:val="00E42133"/>
    <w:rsid w:val="00E43A0B"/>
    <w:rsid w:val="00E4444C"/>
    <w:rsid w:val="00E50415"/>
    <w:rsid w:val="00E51AB7"/>
    <w:rsid w:val="00E51D64"/>
    <w:rsid w:val="00E53D14"/>
    <w:rsid w:val="00E553A5"/>
    <w:rsid w:val="00E5561C"/>
    <w:rsid w:val="00E635DB"/>
    <w:rsid w:val="00E63821"/>
    <w:rsid w:val="00E63A6C"/>
    <w:rsid w:val="00E66220"/>
    <w:rsid w:val="00E66310"/>
    <w:rsid w:val="00E70713"/>
    <w:rsid w:val="00E71E35"/>
    <w:rsid w:val="00E728C4"/>
    <w:rsid w:val="00E73780"/>
    <w:rsid w:val="00E75027"/>
    <w:rsid w:val="00E7733E"/>
    <w:rsid w:val="00E80C7B"/>
    <w:rsid w:val="00E82507"/>
    <w:rsid w:val="00E85019"/>
    <w:rsid w:val="00E86CED"/>
    <w:rsid w:val="00E87C47"/>
    <w:rsid w:val="00E90AF2"/>
    <w:rsid w:val="00E940FD"/>
    <w:rsid w:val="00E97B99"/>
    <w:rsid w:val="00EA0DC2"/>
    <w:rsid w:val="00EA19E3"/>
    <w:rsid w:val="00EA32C1"/>
    <w:rsid w:val="00EA4A41"/>
    <w:rsid w:val="00EA4D30"/>
    <w:rsid w:val="00EA579A"/>
    <w:rsid w:val="00EA616C"/>
    <w:rsid w:val="00EA63E0"/>
    <w:rsid w:val="00EA77EA"/>
    <w:rsid w:val="00EA796D"/>
    <w:rsid w:val="00EB0213"/>
    <w:rsid w:val="00EB0911"/>
    <w:rsid w:val="00EB13D0"/>
    <w:rsid w:val="00EB2A77"/>
    <w:rsid w:val="00EB48A1"/>
    <w:rsid w:val="00EB6149"/>
    <w:rsid w:val="00EC08F5"/>
    <w:rsid w:val="00EC1787"/>
    <w:rsid w:val="00EC1E54"/>
    <w:rsid w:val="00EC2575"/>
    <w:rsid w:val="00EC3ABF"/>
    <w:rsid w:val="00EC4FF5"/>
    <w:rsid w:val="00EC67BB"/>
    <w:rsid w:val="00EC7668"/>
    <w:rsid w:val="00ED003E"/>
    <w:rsid w:val="00ED1CFC"/>
    <w:rsid w:val="00ED51CD"/>
    <w:rsid w:val="00ED5A37"/>
    <w:rsid w:val="00ED7B6E"/>
    <w:rsid w:val="00ED7F82"/>
    <w:rsid w:val="00EE2FE1"/>
    <w:rsid w:val="00EE3546"/>
    <w:rsid w:val="00EE4269"/>
    <w:rsid w:val="00EE6C59"/>
    <w:rsid w:val="00EE6DFD"/>
    <w:rsid w:val="00EE7580"/>
    <w:rsid w:val="00EF25EF"/>
    <w:rsid w:val="00EF2CA1"/>
    <w:rsid w:val="00EF3616"/>
    <w:rsid w:val="00EF459D"/>
    <w:rsid w:val="00EF4DA7"/>
    <w:rsid w:val="00EF533D"/>
    <w:rsid w:val="00EF5CFB"/>
    <w:rsid w:val="00EF716A"/>
    <w:rsid w:val="00F02EAB"/>
    <w:rsid w:val="00F02F21"/>
    <w:rsid w:val="00F0349B"/>
    <w:rsid w:val="00F03BE5"/>
    <w:rsid w:val="00F04A9F"/>
    <w:rsid w:val="00F06FB8"/>
    <w:rsid w:val="00F06FE5"/>
    <w:rsid w:val="00F074CC"/>
    <w:rsid w:val="00F07FB7"/>
    <w:rsid w:val="00F158B0"/>
    <w:rsid w:val="00F16182"/>
    <w:rsid w:val="00F17352"/>
    <w:rsid w:val="00F17E06"/>
    <w:rsid w:val="00F22AE6"/>
    <w:rsid w:val="00F22BB0"/>
    <w:rsid w:val="00F26850"/>
    <w:rsid w:val="00F30065"/>
    <w:rsid w:val="00F3081F"/>
    <w:rsid w:val="00F31750"/>
    <w:rsid w:val="00F31EF3"/>
    <w:rsid w:val="00F32BD4"/>
    <w:rsid w:val="00F332F0"/>
    <w:rsid w:val="00F34CC9"/>
    <w:rsid w:val="00F35EC4"/>
    <w:rsid w:val="00F3609E"/>
    <w:rsid w:val="00F361FC"/>
    <w:rsid w:val="00F40505"/>
    <w:rsid w:val="00F42768"/>
    <w:rsid w:val="00F43C07"/>
    <w:rsid w:val="00F43D2D"/>
    <w:rsid w:val="00F44800"/>
    <w:rsid w:val="00F45ED8"/>
    <w:rsid w:val="00F46A39"/>
    <w:rsid w:val="00F47334"/>
    <w:rsid w:val="00F47F91"/>
    <w:rsid w:val="00F522D6"/>
    <w:rsid w:val="00F538CD"/>
    <w:rsid w:val="00F546DB"/>
    <w:rsid w:val="00F54904"/>
    <w:rsid w:val="00F54997"/>
    <w:rsid w:val="00F55ED9"/>
    <w:rsid w:val="00F5779C"/>
    <w:rsid w:val="00F609D2"/>
    <w:rsid w:val="00F6123D"/>
    <w:rsid w:val="00F6233F"/>
    <w:rsid w:val="00F63A4C"/>
    <w:rsid w:val="00F6485F"/>
    <w:rsid w:val="00F666ED"/>
    <w:rsid w:val="00F710AA"/>
    <w:rsid w:val="00F74D1E"/>
    <w:rsid w:val="00F75B68"/>
    <w:rsid w:val="00F82A53"/>
    <w:rsid w:val="00F85980"/>
    <w:rsid w:val="00F90D12"/>
    <w:rsid w:val="00F90D84"/>
    <w:rsid w:val="00F9157C"/>
    <w:rsid w:val="00F93975"/>
    <w:rsid w:val="00F93BC7"/>
    <w:rsid w:val="00F94E05"/>
    <w:rsid w:val="00F95E44"/>
    <w:rsid w:val="00F961DA"/>
    <w:rsid w:val="00F963AD"/>
    <w:rsid w:val="00F97AE5"/>
    <w:rsid w:val="00FA037C"/>
    <w:rsid w:val="00FA2C43"/>
    <w:rsid w:val="00FA3EAE"/>
    <w:rsid w:val="00FA63C3"/>
    <w:rsid w:val="00FA6BE2"/>
    <w:rsid w:val="00FA6F4D"/>
    <w:rsid w:val="00FB0E86"/>
    <w:rsid w:val="00FB1FE9"/>
    <w:rsid w:val="00FB21C4"/>
    <w:rsid w:val="00FB2A7C"/>
    <w:rsid w:val="00FB35DB"/>
    <w:rsid w:val="00FB3749"/>
    <w:rsid w:val="00FB5018"/>
    <w:rsid w:val="00FB5244"/>
    <w:rsid w:val="00FB7F87"/>
    <w:rsid w:val="00FC0562"/>
    <w:rsid w:val="00FC0AC7"/>
    <w:rsid w:val="00FC3AF7"/>
    <w:rsid w:val="00FC51F2"/>
    <w:rsid w:val="00FD0CF1"/>
    <w:rsid w:val="00FD2732"/>
    <w:rsid w:val="00FD2B14"/>
    <w:rsid w:val="00FD447E"/>
    <w:rsid w:val="00FD6A81"/>
    <w:rsid w:val="00FD6EA6"/>
    <w:rsid w:val="00FD6F87"/>
    <w:rsid w:val="00FD701C"/>
    <w:rsid w:val="00FD7437"/>
    <w:rsid w:val="00FD7530"/>
    <w:rsid w:val="00FE04B0"/>
    <w:rsid w:val="00FE050B"/>
    <w:rsid w:val="00FE26BE"/>
    <w:rsid w:val="00FE4018"/>
    <w:rsid w:val="00FF019D"/>
    <w:rsid w:val="00FF133E"/>
    <w:rsid w:val="00FF1628"/>
    <w:rsid w:val="00FF2A39"/>
    <w:rsid w:val="00FF2F5C"/>
    <w:rsid w:val="00FF464F"/>
    <w:rsid w:val="00FF5287"/>
    <w:rsid w:val="00FF606B"/>
    <w:rsid w:val="00FF7C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1137"/>
    <o:shapelayout v:ext="edit">
      <o:idmap v:ext="edit" data="1,72"/>
      <o:rules v:ext="edit">
        <o:r id="V:Rule91" type="arc" idref="#_x0000_s1500"/>
        <o:r id="V:Rule172" type="connector" idref="#_x0000_s1421"/>
        <o:r id="V:Rule173" type="connector" idref="#_x0000_s1381"/>
        <o:r id="V:Rule174" type="connector" idref="#_x0000_s1687"/>
        <o:r id="V:Rule175" type="connector" idref="#_x0000_s1654"/>
        <o:r id="V:Rule176" type="connector" idref="#_x0000_s1491"/>
        <o:r id="V:Rule177" type="connector" idref="#_x0000_s1398"/>
        <o:r id="V:Rule178" type="connector" idref="#_x0000_s1488"/>
        <o:r id="V:Rule179" type="connector" idref="#_x0000_s1686"/>
        <o:r id="V:Rule180" type="connector" idref="#_x0000_s1356"/>
        <o:r id="V:Rule181" type="connector" idref="#_x0000_s1345"/>
        <o:r id="V:Rule182" type="connector" idref="#_x0000_s1247"/>
        <o:r id="V:Rule183" type="connector" idref="#_x0000_s1241"/>
        <o:r id="V:Rule184" type="connector" idref="#_x0000_s1230"/>
        <o:r id="V:Rule185" type="connector" idref="#_x0000_s1691"/>
        <o:r id="V:Rule186" type="connector" idref="#_x0000_s1669"/>
        <o:r id="V:Rule187" type="connector" idref="#_x0000_s1661"/>
        <o:r id="V:Rule188" type="connector" idref="#_x0000_s1396"/>
        <o:r id="V:Rule189" type="connector" idref="#_x0000_s1485"/>
        <o:r id="V:Rule190" type="connector" idref="#_x0000_s1246"/>
        <o:r id="V:Rule191" type="connector" idref="#_x0000_s1341"/>
        <o:r id="V:Rule192" type="connector" idref="#_x0000_s1422"/>
        <o:r id="V:Rule193" type="connector" idref="#_x0000_s1435"/>
        <o:r id="V:Rule194" type="connector" idref="#_x0000_s1670"/>
        <o:r id="V:Rule195" type="connector" idref="#_x0000_s1126"/>
        <o:r id="V:Rule196" type="connector" idref="#_x0000_s1685"/>
        <o:r id="V:Rule197" type="connector" idref="#_x0000_s1681"/>
        <o:r id="V:Rule198" type="connector" idref="#_x0000_s1242"/>
        <o:r id="V:Rule199" type="connector" idref="#_x0000_s1668"/>
        <o:r id="V:Rule200" type="connector" idref="#_x0000_s1696"/>
        <o:r id="V:Rule201" type="connector" idref="#_x0000_s1370"/>
        <o:r id="V:Rule202" type="connector" idref="#_x0000_s1238"/>
        <o:r id="V:Rule203" type="connector" idref="#_x0000_s1359"/>
        <o:r id="V:Rule204" type="connector" idref="#_x0000_s1680"/>
        <o:r id="V:Rule205" type="connector" idref="#Straight Arrow Connector 7"/>
        <o:r id="V:Rule206" type="connector" idref="#_x0000_s1347"/>
        <o:r id="V:Rule207" type="connector" idref="#_x0000_s1249"/>
        <o:r id="V:Rule208" type="connector" idref="#_x0000_s1486"/>
        <o:r id="V:Rule209" type="connector" idref="#_x0000_s1672"/>
        <o:r id="V:Rule210" type="connector" idref="#_x0000_s1477"/>
        <o:r id="V:Rule211" type="connector" idref="#_x0000_s1489"/>
        <o:r id="V:Rule212" type="connector" idref="#_x0000_s1649"/>
        <o:r id="V:Rule213" type="connector" idref="#_x0000_s1659"/>
        <o:r id="V:Rule214" type="connector" idref="#_x0000_s1375"/>
        <o:r id="V:Rule215" type="connector" idref="#_x0000_s1382"/>
        <o:r id="V:Rule216" type="connector" idref="#_x0000_s1031"/>
        <o:r id="V:Rule217" type="connector" idref="#_x0000_s1703"/>
        <o:r id="V:Rule218" type="connector" idref="#_x0000_s73806"/>
        <o:r id="V:Rule219" type="connector" idref="#_x0000_s1653"/>
        <o:r id="V:Rule220" type="connector" idref="#_x0000_s1639"/>
        <o:r id="V:Rule221" type="connector" idref="#_x0000_s1682"/>
        <o:r id="V:Rule222" type="connector" idref="#_x0000_s1478"/>
        <o:r id="V:Rule223" type="connector" idref="#_x0000_s1427"/>
        <o:r id="V:Rule224" type="connector" idref="#_x0000_s1866"/>
        <o:r id="V:Rule225" type="connector" idref="#_x0000_s1647"/>
        <o:r id="V:Rule226" type="connector" idref="#_x0000_s1349"/>
        <o:r id="V:Rule227" type="connector" idref="#_x0000_s1677"/>
        <o:r id="V:Rule228" type="connector" idref="#_x0000_s1658"/>
        <o:r id="V:Rule229" type="connector" idref="#_x0000_s1344"/>
        <o:r id="V:Rule230" type="connector" idref="#_x0000_s1132"/>
        <o:r id="V:Rule231" type="connector" idref="#_x0000_s1700"/>
        <o:r id="V:Rule232" type="connector" idref="#_x0000_s1884"/>
        <o:r id="V:Rule233" type="connector" idref="#_x0000_s1655"/>
        <o:r id="V:Rule234" type="connector" idref="#_x0000_s1240"/>
        <o:r id="V:Rule235" type="connector" idref="#_x0000_s1644"/>
        <o:r id="V:Rule236" type="connector" idref="#_x0000_s1348"/>
        <o:r id="V:Rule237" type="connector" idref="#_x0000_s1702"/>
        <o:r id="V:Rule238" type="connector" idref="#_x0000_s1244"/>
        <o:r id="V:Rule239" type="connector" idref="#_x0000_s1346"/>
        <o:r id="V:Rule240" type="connector" idref="#_x0000_s1690"/>
        <o:r id="V:Rule241" type="connector" idref="#_x0000_s1679"/>
        <o:r id="V:Rule242" type="connector" idref="#_x0000_s1403"/>
        <o:r id="V:Rule243" type="connector" idref="#_x0000_s1419"/>
        <o:r id="V:Rule244" type="connector" idref="#_x0000_s1368"/>
        <o:r id="V:Rule245" type="connector" idref="#Straight Arrow Connector 8"/>
        <o:r id="V:Rule246" type="connector" idref="#Straight Arrow Connector 10"/>
        <o:r id="V:Rule247" type="connector" idref="#_x0000_s1436"/>
        <o:r id="V:Rule248" type="connector" idref="#_x0000_s1673"/>
        <o:r id="V:Rule249" type="connector" idref="#_x0000_s1433"/>
        <o:r id="V:Rule250" type="connector" idref="#_x0000_s1660"/>
        <o:r id="V:Rule251" type="connector" idref="#_x0000_s1714"/>
        <o:r id="V:Rule252" type="connector" idref="#_x0000_s1429"/>
        <o:r id="V:Rule253" type="connector" idref="#_x0000_s1426"/>
        <o:r id="V:Rule254" type="connector" idref="#_x0000_s1497"/>
        <o:r id="V:Rule255" type="connector" idref="#_x0000_s1662"/>
        <o:r id="V:Rule256" type="connector" idref="#_x0000_s1710"/>
        <o:r id="V:Rule257" type="connector" idref="#_x0000_s1704"/>
        <o:r id="V:Rule258" type="connector" idref="#_x0000_s1712"/>
        <o:r id="V:Rule259" type="connector" idref="#_x0000_s1404"/>
        <o:r id="V:Rule260" type="connector" idref="#_x0000_s1487"/>
        <o:r id="V:Rule261" type="connector" idref="#_x0000_s1498"/>
        <o:r id="V:Rule262" type="connector" idref="#_x0000_s1434"/>
        <o:r id="V:Rule263" type="connector" idref="#_x0000_s1684"/>
        <o:r id="V:Rule264" type="connector" idref="#_x0000_s1372"/>
        <o:r id="V:Rule265" type="connector" idref="#_x0000_s1705"/>
        <o:r id="V:Rule266" type="connector" idref="#_x0000_s1646"/>
        <o:r id="V:Rule267" type="connector" idref="#_x0000_s1697"/>
        <o:r id="V:Rule268" type="connector" idref="#_x0000_s1420"/>
        <o:r id="V:Rule269" type="connector" idref="#_x0000_s1376"/>
        <o:r id="V:Rule270" type="connector" idref="#_x0000_s1438"/>
        <o:r id="V:Rule271" type="connector" idref="#_x0000_s1340"/>
        <o:r id="V:Rule272" type="connector" idref="#_x0000_s1645"/>
        <o:r id="V:Rule273" type="connector" idref="#Straight Arrow Connector 9"/>
        <o:r id="V:Rule274" type="connector" idref="#_x0000_s1431"/>
        <o:r id="V:Rule275" type="connector" idref="#_x0000_s1133"/>
        <o:r id="V:Rule276" type="connector" idref="#_x0000_s1415"/>
        <o:r id="V:Rule277" type="connector" idref="#_x0000_s1698"/>
        <o:r id="V:Rule278" type="connector" idref="#_x0000_s1369"/>
        <o:r id="V:Rule279" type="connector" idref="#_x0000_s1423"/>
        <o:r id="V:Rule280" type="connector" idref="#_x0000_s1674"/>
        <o:r id="V:Rule281" type="connector" idref="#_x0000_s1245"/>
        <o:r id="V:Rule282" type="connector" idref="#_x0000_s1695"/>
        <o:r id="V:Rule283" type="connector" idref="#_x0000_s1713"/>
        <o:r id="V:Rule284" type="connector" idref="#_x0000_s1867"/>
        <o:r id="V:Rule285" type="connector" idref="#_x0000_s1885"/>
        <o:r id="V:Rule286" type="connector" idref="#_x0000_s1688"/>
        <o:r id="V:Rule287" type="connector" idref="#Straight Arrow Connector 5"/>
        <o:r id="V:Rule288" type="connector" idref="#_x0000_s1656"/>
        <o:r id="V:Rule289" type="connector" idref="#_x0000_s73807"/>
        <o:r id="V:Rule290" type="connector" idref="#_x0000_s1648"/>
        <o:r id="V:Rule291" type="connector" idref="#_x0000_s1351"/>
        <o:r id="V:Rule292" type="connector" idref="#_x0000_s1425"/>
        <o:r id="V:Rule293" type="connector" idref="#_x0000_s1676"/>
        <o:r id="V:Rule294" type="connector" idref="#_x0000_s1707"/>
        <o:r id="V:Rule295" type="connector" idref="#_x0000_s1418"/>
        <o:r id="V:Rule296" type="connector" idref="#_x0000_s1030"/>
        <o:r id="V:Rule297" type="connector" idref="#_x0000_s1380"/>
        <o:r id="V:Rule298" type="connector" idref="#_x0000_s1239"/>
        <o:r id="V:Rule299" type="connector" idref="#_x0000_s1699"/>
        <o:r id="V:Rule300" type="connector" idref="#_x0000_s73808"/>
        <o:r id="V:Rule301" type="connector" idref="#_x0000_s1417"/>
        <o:r id="V:Rule302" type="connector" idref="#_x0000_s1432"/>
        <o:r id="V:Rule303" type="connector" idref="#_x0000_s1701"/>
        <o:r id="V:Rule304" type="connector" idref="#_x0000_s1499"/>
        <o:r id="V:Rule305" type="connector" idref="#_x0000_s1136"/>
        <o:r id="V:Rule306" type="connector" idref="#_x0000_s1671"/>
        <o:r id="V:Rule307" type="connector" idref="#_x0000_s1692"/>
        <o:r id="V:Rule308" type="connector" idref="#_x0000_s1248"/>
        <o:r id="V:Rule309" type="connector" idref="#_x0000_s1678"/>
        <o:r id="V:Rule310" type="connector" idref="#_x0000_s1694"/>
        <o:r id="V:Rule311" type="connector" idref="#_x0000_s1416"/>
        <o:r id="V:Rule312" type="connector" idref="#_x0000_s1706"/>
        <o:r id="V:Rule313" type="connector" idref="#_x0000_s1414"/>
        <o:r id="V:Rule314" type="connector" idref="#_x0000_s1339"/>
        <o:r id="V:Rule315" type="connector" idref="#Straight Arrow Connector 6"/>
        <o:r id="V:Rule316" type="connector" idref="#_x0000_s1614"/>
        <o:r id="V:Rule317" type="connector" idref="#_x0000_s1709"/>
        <o:r id="V:Rule318" type="connector" idref="#_x0000_s1243"/>
        <o:r id="V:Rule319" type="connector" idref="#_x0000_s1711"/>
        <o:r id="V:Rule320" type="connector" idref="#_x0000_s1608"/>
        <o:r id="V:Rule321" type="connector" idref="#_x0000_s1490"/>
        <o:r id="V:Rule322" type="connector" idref="#_x0000_s1437"/>
        <o:r id="V:Rule323" type="connector" idref="#_x0000_s1657"/>
        <o:r id="V:Rule324" type="connector" idref="#_x0000_s1609"/>
        <o:r id="V:Rule325" type="connector" idref="#_x0000_s1610"/>
        <o:r id="V:Rule326" type="connector" idref="#_x0000_s1675"/>
        <o:r id="V:Rule327" type="connector" idref="#_x0000_s1397"/>
        <o:r id="V:Rule328" type="connector" idref="#_x0000_s1881"/>
        <o:r id="V:Rule329" type="connector" idref="#_x0000_s1430"/>
        <o:r id="V:Rule330" type="connector" idref="#_x0000_s1379"/>
        <o:r id="V:Rule331" type="connector" idref="#_x0000_s1481"/>
        <o:r id="V:Rule332" type="connector" idref="#_x0000_s1032"/>
        <o:r id="V:Rule333" type="connector" idref="#_x0000_s1428"/>
        <o:r id="V:Rule334" type="connector" idref="#_x0000_s1135"/>
        <o:r id="V:Rule335" type="connector" idref="#_x0000_s1693"/>
        <o:r id="V:Rule336" type="connector" idref="#_x0000_s1663"/>
        <o:r id="V:Rule337" type="connector" idref="#_x0000_s1652"/>
        <o:r id="V:Rule338" type="connector" idref="#_x0000_s1367"/>
        <o:r id="V:Rule339" type="connector" idref="#_x0000_s1371"/>
        <o:r id="V:Rule340" type="connector" idref="#_x0000_s1134"/>
        <o:r id="V:Rule341" type="connector" idref="#_x0000_s1868"/>
      </o:rules>
    </o:shapelayout>
  </w:shapeDefaults>
  <w:decimalSymbol w:val="."/>
  <w:listSeparator w:val=","/>
  <w14:docId w14:val="3070BCAE"/>
  <w15:docId w15:val="{3AA6CACF-2746-483E-8E82-4177894E0B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5519"/>
    <w:pPr>
      <w:spacing w:after="200" w:line="276" w:lineRule="auto"/>
    </w:pPr>
    <w:rPr>
      <w:sz w:val="22"/>
      <w:szCs w:val="22"/>
      <w:lang w:bidi="en-US"/>
    </w:rPr>
  </w:style>
  <w:style w:type="paragraph" w:styleId="Heading1">
    <w:name w:val="heading 1"/>
    <w:basedOn w:val="Normal"/>
    <w:next w:val="Normal"/>
    <w:link w:val="Heading1Char"/>
    <w:uiPriority w:val="9"/>
    <w:qFormat/>
    <w:rsid w:val="003B5519"/>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unhideWhenUsed/>
    <w:qFormat/>
    <w:rsid w:val="003B5519"/>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unhideWhenUsed/>
    <w:qFormat/>
    <w:rsid w:val="003B5519"/>
    <w:pPr>
      <w:spacing w:before="200" w:after="0" w:line="271" w:lineRule="auto"/>
      <w:outlineLvl w:val="2"/>
    </w:pPr>
    <w:rPr>
      <w:rFonts w:ascii="Cambria" w:hAnsi="Cambria"/>
      <w:b/>
      <w:bCs/>
    </w:rPr>
  </w:style>
  <w:style w:type="paragraph" w:styleId="Heading4">
    <w:name w:val="heading 4"/>
    <w:basedOn w:val="Normal"/>
    <w:next w:val="Normal"/>
    <w:link w:val="Heading4Char"/>
    <w:uiPriority w:val="9"/>
    <w:unhideWhenUsed/>
    <w:qFormat/>
    <w:rsid w:val="003B5519"/>
    <w:pPr>
      <w:spacing w:before="200" w:after="0"/>
      <w:outlineLvl w:val="3"/>
    </w:pPr>
    <w:rPr>
      <w:rFonts w:ascii="Cambria" w:hAnsi="Cambria"/>
      <w:b/>
      <w:bCs/>
      <w:i/>
      <w:iCs/>
    </w:rPr>
  </w:style>
  <w:style w:type="paragraph" w:styleId="Heading5">
    <w:name w:val="heading 5"/>
    <w:basedOn w:val="Normal"/>
    <w:next w:val="Normal"/>
    <w:link w:val="Heading5Char"/>
    <w:uiPriority w:val="9"/>
    <w:unhideWhenUsed/>
    <w:qFormat/>
    <w:rsid w:val="003B5519"/>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3B5519"/>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3B5519"/>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3B5519"/>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3B5519"/>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5519"/>
    <w:rPr>
      <w:rFonts w:ascii="Cambria" w:eastAsia="Times New Roman" w:hAnsi="Cambria" w:cs="Times New Roman"/>
      <w:b/>
      <w:bCs/>
      <w:sz w:val="28"/>
      <w:szCs w:val="28"/>
    </w:rPr>
  </w:style>
  <w:style w:type="character" w:customStyle="1" w:styleId="Heading2Char">
    <w:name w:val="Heading 2 Char"/>
    <w:basedOn w:val="DefaultParagraphFont"/>
    <w:link w:val="Heading2"/>
    <w:uiPriority w:val="9"/>
    <w:rsid w:val="003B5519"/>
    <w:rPr>
      <w:rFonts w:ascii="Cambria" w:eastAsia="Times New Roman" w:hAnsi="Cambria" w:cs="Times New Roman"/>
      <w:b/>
      <w:bCs/>
      <w:sz w:val="26"/>
      <w:szCs w:val="26"/>
    </w:rPr>
  </w:style>
  <w:style w:type="character" w:customStyle="1" w:styleId="Heading3Char">
    <w:name w:val="Heading 3 Char"/>
    <w:basedOn w:val="DefaultParagraphFont"/>
    <w:link w:val="Heading3"/>
    <w:uiPriority w:val="9"/>
    <w:rsid w:val="003B5519"/>
    <w:rPr>
      <w:rFonts w:ascii="Cambria" w:eastAsia="Times New Roman" w:hAnsi="Cambria" w:cs="Times New Roman"/>
      <w:b/>
      <w:bCs/>
    </w:rPr>
  </w:style>
  <w:style w:type="character" w:customStyle="1" w:styleId="Heading4Char">
    <w:name w:val="Heading 4 Char"/>
    <w:basedOn w:val="DefaultParagraphFont"/>
    <w:link w:val="Heading4"/>
    <w:uiPriority w:val="9"/>
    <w:rsid w:val="003B5519"/>
    <w:rPr>
      <w:rFonts w:ascii="Cambria" w:eastAsia="Times New Roman" w:hAnsi="Cambria" w:cs="Times New Roman"/>
      <w:b/>
      <w:bCs/>
      <w:i/>
      <w:iCs/>
    </w:rPr>
  </w:style>
  <w:style w:type="character" w:customStyle="1" w:styleId="Heading5Char">
    <w:name w:val="Heading 5 Char"/>
    <w:basedOn w:val="DefaultParagraphFont"/>
    <w:link w:val="Heading5"/>
    <w:uiPriority w:val="9"/>
    <w:rsid w:val="003B5519"/>
    <w:rPr>
      <w:rFonts w:ascii="Cambria" w:eastAsia="Times New Roman" w:hAnsi="Cambria" w:cs="Times New Roman"/>
      <w:b/>
      <w:bCs/>
      <w:color w:val="7F7F7F"/>
    </w:rPr>
  </w:style>
  <w:style w:type="character" w:customStyle="1" w:styleId="Heading6Char">
    <w:name w:val="Heading 6 Char"/>
    <w:basedOn w:val="DefaultParagraphFont"/>
    <w:link w:val="Heading6"/>
    <w:uiPriority w:val="9"/>
    <w:semiHidden/>
    <w:rsid w:val="003B5519"/>
    <w:rPr>
      <w:rFonts w:ascii="Cambria" w:eastAsia="Times New Roman" w:hAnsi="Cambria" w:cs="Times New Roman"/>
      <w:b/>
      <w:bCs/>
      <w:i/>
      <w:iCs/>
      <w:color w:val="7F7F7F"/>
    </w:rPr>
  </w:style>
  <w:style w:type="character" w:customStyle="1" w:styleId="Heading7Char">
    <w:name w:val="Heading 7 Char"/>
    <w:basedOn w:val="DefaultParagraphFont"/>
    <w:link w:val="Heading7"/>
    <w:uiPriority w:val="9"/>
    <w:semiHidden/>
    <w:rsid w:val="003B5519"/>
    <w:rPr>
      <w:rFonts w:ascii="Cambria" w:eastAsia="Times New Roman" w:hAnsi="Cambria" w:cs="Times New Roman"/>
      <w:i/>
      <w:iCs/>
    </w:rPr>
  </w:style>
  <w:style w:type="character" w:customStyle="1" w:styleId="Heading8Char">
    <w:name w:val="Heading 8 Char"/>
    <w:basedOn w:val="DefaultParagraphFont"/>
    <w:link w:val="Heading8"/>
    <w:uiPriority w:val="9"/>
    <w:semiHidden/>
    <w:rsid w:val="003B5519"/>
    <w:rPr>
      <w:rFonts w:ascii="Cambria" w:eastAsia="Times New Roman" w:hAnsi="Cambria" w:cs="Times New Roman"/>
      <w:sz w:val="20"/>
      <w:szCs w:val="20"/>
    </w:rPr>
  </w:style>
  <w:style w:type="character" w:customStyle="1" w:styleId="Heading9Char">
    <w:name w:val="Heading 9 Char"/>
    <w:basedOn w:val="DefaultParagraphFont"/>
    <w:link w:val="Heading9"/>
    <w:uiPriority w:val="9"/>
    <w:semiHidden/>
    <w:rsid w:val="003B5519"/>
    <w:rPr>
      <w:rFonts w:ascii="Cambria" w:eastAsia="Times New Roman" w:hAnsi="Cambria" w:cs="Times New Roman"/>
      <w:i/>
      <w:iCs/>
      <w:spacing w:val="5"/>
      <w:sz w:val="20"/>
      <w:szCs w:val="20"/>
    </w:rPr>
  </w:style>
  <w:style w:type="paragraph" w:styleId="NoSpacing">
    <w:name w:val="No Spacing"/>
    <w:basedOn w:val="Normal"/>
    <w:link w:val="NoSpacingChar"/>
    <w:uiPriority w:val="1"/>
    <w:qFormat/>
    <w:rsid w:val="003B5519"/>
    <w:pPr>
      <w:spacing w:after="0" w:line="240" w:lineRule="auto"/>
    </w:pPr>
  </w:style>
  <w:style w:type="character" w:customStyle="1" w:styleId="NoSpacingChar">
    <w:name w:val="No Spacing Char"/>
    <w:basedOn w:val="DefaultParagraphFont"/>
    <w:link w:val="NoSpacing"/>
    <w:uiPriority w:val="1"/>
    <w:rsid w:val="00CC6CBD"/>
  </w:style>
  <w:style w:type="paragraph" w:styleId="ListParagraph">
    <w:name w:val="List Paragraph"/>
    <w:basedOn w:val="Normal"/>
    <w:uiPriority w:val="34"/>
    <w:qFormat/>
    <w:rsid w:val="003B5519"/>
    <w:pPr>
      <w:ind w:left="720"/>
      <w:contextualSpacing/>
    </w:pPr>
  </w:style>
  <w:style w:type="paragraph" w:styleId="Header">
    <w:name w:val="header"/>
    <w:basedOn w:val="Normal"/>
    <w:link w:val="HeaderChar"/>
    <w:uiPriority w:val="99"/>
    <w:unhideWhenUsed/>
    <w:rsid w:val="0094009D"/>
    <w:pPr>
      <w:tabs>
        <w:tab w:val="center" w:pos="4680"/>
        <w:tab w:val="right" w:pos="9360"/>
      </w:tabs>
      <w:spacing w:line="240" w:lineRule="auto"/>
    </w:pPr>
  </w:style>
  <w:style w:type="character" w:customStyle="1" w:styleId="HeaderChar">
    <w:name w:val="Header Char"/>
    <w:basedOn w:val="DefaultParagraphFont"/>
    <w:link w:val="Header"/>
    <w:uiPriority w:val="99"/>
    <w:rsid w:val="0094009D"/>
  </w:style>
  <w:style w:type="paragraph" w:styleId="Footer">
    <w:name w:val="footer"/>
    <w:basedOn w:val="Normal"/>
    <w:link w:val="FooterChar"/>
    <w:uiPriority w:val="99"/>
    <w:unhideWhenUsed/>
    <w:rsid w:val="0094009D"/>
    <w:pPr>
      <w:tabs>
        <w:tab w:val="center" w:pos="4680"/>
        <w:tab w:val="right" w:pos="9360"/>
      </w:tabs>
      <w:spacing w:line="240" w:lineRule="auto"/>
    </w:pPr>
  </w:style>
  <w:style w:type="character" w:customStyle="1" w:styleId="FooterChar">
    <w:name w:val="Footer Char"/>
    <w:basedOn w:val="DefaultParagraphFont"/>
    <w:link w:val="Footer"/>
    <w:uiPriority w:val="99"/>
    <w:rsid w:val="0094009D"/>
  </w:style>
  <w:style w:type="paragraph" w:styleId="BalloonText">
    <w:name w:val="Balloon Text"/>
    <w:basedOn w:val="Normal"/>
    <w:link w:val="BalloonTextChar"/>
    <w:uiPriority w:val="99"/>
    <w:semiHidden/>
    <w:unhideWhenUsed/>
    <w:rsid w:val="0094009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009D"/>
    <w:rPr>
      <w:rFonts w:ascii="Tahoma" w:hAnsi="Tahoma" w:cs="Tahoma"/>
      <w:sz w:val="16"/>
      <w:szCs w:val="16"/>
    </w:rPr>
  </w:style>
  <w:style w:type="character" w:styleId="Hyperlink">
    <w:name w:val="Hyperlink"/>
    <w:basedOn w:val="DefaultParagraphFont"/>
    <w:uiPriority w:val="99"/>
    <w:unhideWhenUsed/>
    <w:rsid w:val="0094009D"/>
    <w:rPr>
      <w:color w:val="0000FF"/>
      <w:u w:val="single"/>
    </w:rPr>
  </w:style>
  <w:style w:type="character" w:customStyle="1" w:styleId="EndnoteTextChar">
    <w:name w:val="Endnote Text Char"/>
    <w:basedOn w:val="DefaultParagraphFont"/>
    <w:link w:val="EndnoteText"/>
    <w:uiPriority w:val="99"/>
    <w:semiHidden/>
    <w:rsid w:val="0094009D"/>
    <w:rPr>
      <w:sz w:val="20"/>
      <w:szCs w:val="20"/>
    </w:rPr>
  </w:style>
  <w:style w:type="paragraph" w:styleId="EndnoteText">
    <w:name w:val="endnote text"/>
    <w:basedOn w:val="Normal"/>
    <w:link w:val="EndnoteTextChar"/>
    <w:uiPriority w:val="99"/>
    <w:semiHidden/>
    <w:unhideWhenUsed/>
    <w:rsid w:val="0094009D"/>
    <w:pPr>
      <w:spacing w:line="240" w:lineRule="auto"/>
    </w:pPr>
    <w:rPr>
      <w:sz w:val="20"/>
      <w:szCs w:val="20"/>
    </w:rPr>
  </w:style>
  <w:style w:type="character" w:customStyle="1" w:styleId="CommentTextChar">
    <w:name w:val="Comment Text Char"/>
    <w:basedOn w:val="DefaultParagraphFont"/>
    <w:link w:val="CommentText"/>
    <w:uiPriority w:val="99"/>
    <w:semiHidden/>
    <w:rsid w:val="0094009D"/>
    <w:rPr>
      <w:sz w:val="20"/>
      <w:szCs w:val="20"/>
    </w:rPr>
  </w:style>
  <w:style w:type="paragraph" w:styleId="CommentText">
    <w:name w:val="annotation text"/>
    <w:basedOn w:val="Normal"/>
    <w:link w:val="CommentTextChar"/>
    <w:uiPriority w:val="99"/>
    <w:semiHidden/>
    <w:unhideWhenUsed/>
    <w:rsid w:val="0094009D"/>
    <w:pPr>
      <w:spacing w:line="240" w:lineRule="auto"/>
    </w:pPr>
    <w:rPr>
      <w:sz w:val="20"/>
      <w:szCs w:val="20"/>
    </w:rPr>
  </w:style>
  <w:style w:type="character" w:customStyle="1" w:styleId="CommentSubjectChar">
    <w:name w:val="Comment Subject Char"/>
    <w:basedOn w:val="CommentTextChar"/>
    <w:link w:val="CommentSubject"/>
    <w:uiPriority w:val="99"/>
    <w:semiHidden/>
    <w:rsid w:val="0094009D"/>
    <w:rPr>
      <w:b/>
      <w:bCs/>
      <w:sz w:val="20"/>
      <w:szCs w:val="20"/>
    </w:rPr>
  </w:style>
  <w:style w:type="paragraph" w:styleId="CommentSubject">
    <w:name w:val="annotation subject"/>
    <w:basedOn w:val="CommentText"/>
    <w:next w:val="CommentText"/>
    <w:link w:val="CommentSubjectChar"/>
    <w:uiPriority w:val="99"/>
    <w:semiHidden/>
    <w:unhideWhenUsed/>
    <w:rsid w:val="0094009D"/>
    <w:rPr>
      <w:b/>
      <w:bCs/>
    </w:rPr>
  </w:style>
  <w:style w:type="paragraph" w:styleId="TOCHeading">
    <w:name w:val="TOC Heading"/>
    <w:basedOn w:val="Heading1"/>
    <w:next w:val="Normal"/>
    <w:uiPriority w:val="39"/>
    <w:unhideWhenUsed/>
    <w:qFormat/>
    <w:rsid w:val="003B5519"/>
    <w:pPr>
      <w:outlineLvl w:val="9"/>
    </w:pPr>
  </w:style>
  <w:style w:type="paragraph" w:styleId="TOC1">
    <w:name w:val="toc 1"/>
    <w:basedOn w:val="Normal"/>
    <w:next w:val="Normal"/>
    <w:autoRedefine/>
    <w:uiPriority w:val="39"/>
    <w:unhideWhenUsed/>
    <w:rsid w:val="0094009D"/>
    <w:pPr>
      <w:spacing w:after="100"/>
    </w:pPr>
  </w:style>
  <w:style w:type="paragraph" w:styleId="Title">
    <w:name w:val="Title"/>
    <w:basedOn w:val="Normal"/>
    <w:next w:val="Normal"/>
    <w:link w:val="TitleChar"/>
    <w:uiPriority w:val="10"/>
    <w:qFormat/>
    <w:rsid w:val="003B5519"/>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basedOn w:val="DefaultParagraphFont"/>
    <w:link w:val="Title"/>
    <w:uiPriority w:val="10"/>
    <w:rsid w:val="003B5519"/>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3B5519"/>
    <w:pPr>
      <w:spacing w:after="600"/>
    </w:pPr>
    <w:rPr>
      <w:rFonts w:ascii="Cambria" w:hAnsi="Cambria"/>
      <w:i/>
      <w:iCs/>
      <w:spacing w:val="13"/>
      <w:sz w:val="24"/>
      <w:szCs w:val="24"/>
    </w:rPr>
  </w:style>
  <w:style w:type="character" w:customStyle="1" w:styleId="SubtitleChar">
    <w:name w:val="Subtitle Char"/>
    <w:basedOn w:val="DefaultParagraphFont"/>
    <w:link w:val="Subtitle"/>
    <w:uiPriority w:val="11"/>
    <w:rsid w:val="003B5519"/>
    <w:rPr>
      <w:rFonts w:ascii="Cambria" w:eastAsia="Times New Roman" w:hAnsi="Cambria" w:cs="Times New Roman"/>
      <w:i/>
      <w:iCs/>
      <w:spacing w:val="13"/>
      <w:sz w:val="24"/>
      <w:szCs w:val="24"/>
    </w:rPr>
  </w:style>
  <w:style w:type="character" w:styleId="IntenseEmphasis">
    <w:name w:val="Intense Emphasis"/>
    <w:uiPriority w:val="21"/>
    <w:qFormat/>
    <w:rsid w:val="003B5519"/>
    <w:rPr>
      <w:b/>
      <w:bCs/>
    </w:rPr>
  </w:style>
  <w:style w:type="paragraph" w:styleId="NormalWeb">
    <w:name w:val="Normal (Web)"/>
    <w:basedOn w:val="Normal"/>
    <w:uiPriority w:val="99"/>
    <w:unhideWhenUsed/>
    <w:rsid w:val="002E24D5"/>
    <w:pPr>
      <w:spacing w:before="100" w:beforeAutospacing="1" w:after="100" w:afterAutospacing="1" w:line="240" w:lineRule="auto"/>
    </w:pPr>
    <w:rPr>
      <w:rFonts w:ascii="Times New Roman" w:hAnsi="Times New Roman"/>
      <w:sz w:val="24"/>
      <w:szCs w:val="24"/>
      <w:lang w:val="en-GB" w:eastAsia="en-GB"/>
    </w:rPr>
  </w:style>
  <w:style w:type="paragraph" w:customStyle="1" w:styleId="Default">
    <w:name w:val="Default"/>
    <w:rsid w:val="002E24D5"/>
    <w:pPr>
      <w:autoSpaceDE w:val="0"/>
      <w:autoSpaceDN w:val="0"/>
      <w:adjustRightInd w:val="0"/>
      <w:spacing w:after="200" w:line="276" w:lineRule="auto"/>
      <w:jc w:val="both"/>
    </w:pPr>
    <w:rPr>
      <w:rFonts w:ascii="Times New Roman" w:hAnsi="Times New Roman"/>
      <w:color w:val="000000"/>
      <w:sz w:val="24"/>
      <w:szCs w:val="24"/>
      <w:lang w:val="en-GB" w:eastAsia="en-GB"/>
    </w:rPr>
  </w:style>
  <w:style w:type="paragraph" w:customStyle="1" w:styleId="CM7">
    <w:name w:val="CM7"/>
    <w:basedOn w:val="Default"/>
    <w:next w:val="Default"/>
    <w:uiPriority w:val="99"/>
    <w:rsid w:val="002E24D5"/>
    <w:pPr>
      <w:widowControl w:val="0"/>
    </w:pPr>
    <w:rPr>
      <w:rFonts w:ascii="CLLFI H+ Adv P S 6 E C 0" w:hAnsi="CLLFI H+ Adv P S 6 E C 0"/>
      <w:color w:val="auto"/>
    </w:rPr>
  </w:style>
  <w:style w:type="paragraph" w:customStyle="1" w:styleId="CM8">
    <w:name w:val="CM8"/>
    <w:basedOn w:val="Default"/>
    <w:next w:val="Default"/>
    <w:uiPriority w:val="99"/>
    <w:rsid w:val="002E24D5"/>
    <w:pPr>
      <w:widowControl w:val="0"/>
    </w:pPr>
    <w:rPr>
      <w:rFonts w:ascii="CLLFI H+ Adv P S 6 E C 0" w:hAnsi="CLLFI H+ Adv P S 6 E C 0"/>
      <w:color w:val="auto"/>
    </w:rPr>
  </w:style>
  <w:style w:type="paragraph" w:customStyle="1" w:styleId="CM11">
    <w:name w:val="CM11"/>
    <w:basedOn w:val="Default"/>
    <w:next w:val="Default"/>
    <w:uiPriority w:val="99"/>
    <w:rsid w:val="002E24D5"/>
    <w:pPr>
      <w:widowControl w:val="0"/>
    </w:pPr>
    <w:rPr>
      <w:rFonts w:ascii="CLLFI H+ Adv P S 6 E C 0" w:hAnsi="CLLFI H+ Adv P S 6 E C 0"/>
      <w:color w:val="auto"/>
    </w:rPr>
  </w:style>
  <w:style w:type="paragraph" w:styleId="Caption">
    <w:name w:val="caption"/>
    <w:basedOn w:val="Normal"/>
    <w:next w:val="Normal"/>
    <w:qFormat/>
    <w:rsid w:val="00BD4B93"/>
    <w:pPr>
      <w:suppressAutoHyphens/>
      <w:spacing w:line="240" w:lineRule="auto"/>
    </w:pPr>
    <w:rPr>
      <w:rFonts w:ascii="Times New Roman" w:hAnsi="Times New Roman"/>
      <w:b/>
      <w:bCs/>
      <w:sz w:val="20"/>
      <w:szCs w:val="20"/>
      <w:lang w:eastAsia="ar-SA"/>
    </w:rPr>
  </w:style>
  <w:style w:type="paragraph" w:styleId="FootnoteText">
    <w:name w:val="footnote text"/>
    <w:basedOn w:val="Normal"/>
    <w:link w:val="FootnoteTextChar"/>
    <w:uiPriority w:val="99"/>
    <w:rsid w:val="00BD4B93"/>
    <w:pPr>
      <w:spacing w:line="240" w:lineRule="auto"/>
    </w:pPr>
    <w:rPr>
      <w:rFonts w:ascii="Times New Roman" w:hAnsi="Times New Roman"/>
      <w:sz w:val="20"/>
      <w:szCs w:val="20"/>
      <w:lang w:val="en-GB" w:eastAsia="en-AU"/>
    </w:rPr>
  </w:style>
  <w:style w:type="character" w:customStyle="1" w:styleId="FootnoteTextChar">
    <w:name w:val="Footnote Text Char"/>
    <w:basedOn w:val="DefaultParagraphFont"/>
    <w:link w:val="FootnoteText"/>
    <w:uiPriority w:val="99"/>
    <w:rsid w:val="00BD4B93"/>
    <w:rPr>
      <w:rFonts w:ascii="Times New Roman" w:eastAsia="Times New Roman" w:hAnsi="Times New Roman" w:cs="Times New Roman"/>
      <w:sz w:val="20"/>
      <w:szCs w:val="20"/>
      <w:lang w:val="en-GB" w:eastAsia="en-AU"/>
    </w:rPr>
  </w:style>
  <w:style w:type="character" w:styleId="FootnoteReference">
    <w:name w:val="footnote reference"/>
    <w:uiPriority w:val="99"/>
    <w:rsid w:val="00BD4B93"/>
    <w:rPr>
      <w:rFonts w:ascii="Times New Roman" w:hAnsi="Times New Roman" w:cs="Times New Roman"/>
      <w:vertAlign w:val="superscript"/>
    </w:rPr>
  </w:style>
  <w:style w:type="paragraph" w:styleId="BodyText">
    <w:name w:val="Body Text"/>
    <w:basedOn w:val="Normal"/>
    <w:link w:val="BodyTextChar"/>
    <w:rsid w:val="00BD4B93"/>
    <w:pPr>
      <w:spacing w:line="240" w:lineRule="auto"/>
    </w:pPr>
    <w:rPr>
      <w:rFonts w:ascii="Times New Roman" w:hAnsi="Times New Roman"/>
      <w:sz w:val="24"/>
      <w:szCs w:val="24"/>
    </w:rPr>
  </w:style>
  <w:style w:type="character" w:customStyle="1" w:styleId="BodyTextChar">
    <w:name w:val="Body Text Char"/>
    <w:basedOn w:val="DefaultParagraphFont"/>
    <w:link w:val="BodyText"/>
    <w:rsid w:val="00BD4B93"/>
    <w:rPr>
      <w:rFonts w:ascii="Times New Roman" w:eastAsia="Times New Roman" w:hAnsi="Times New Roman" w:cs="Times New Roman"/>
      <w:sz w:val="24"/>
      <w:szCs w:val="24"/>
    </w:rPr>
  </w:style>
  <w:style w:type="paragraph" w:customStyle="1" w:styleId="DecimalAligned">
    <w:name w:val="Decimal Aligned"/>
    <w:basedOn w:val="Normal"/>
    <w:uiPriority w:val="40"/>
    <w:qFormat/>
    <w:rsid w:val="001B6607"/>
    <w:pPr>
      <w:tabs>
        <w:tab w:val="decimal" w:pos="360"/>
      </w:tabs>
    </w:pPr>
  </w:style>
  <w:style w:type="character" w:styleId="SubtleEmphasis">
    <w:name w:val="Subtle Emphasis"/>
    <w:uiPriority w:val="19"/>
    <w:qFormat/>
    <w:rsid w:val="003B5519"/>
    <w:rPr>
      <w:i/>
      <w:iCs/>
    </w:rPr>
  </w:style>
  <w:style w:type="table" w:customStyle="1" w:styleId="LightShading-Accent11">
    <w:name w:val="Light Shading - Accent 11"/>
    <w:basedOn w:val="TableNormal"/>
    <w:uiPriority w:val="60"/>
    <w:rsid w:val="001B6607"/>
    <w:rPr>
      <w:color w:val="365F91"/>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Grid">
    <w:name w:val="Table Grid"/>
    <w:basedOn w:val="TableNormal"/>
    <w:uiPriority w:val="59"/>
    <w:rsid w:val="005F27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r">
    <w:name w:val="referencer"/>
    <w:basedOn w:val="Normal"/>
    <w:next w:val="Normal"/>
    <w:uiPriority w:val="99"/>
    <w:rsid w:val="005F27C0"/>
    <w:pPr>
      <w:autoSpaceDE w:val="0"/>
      <w:autoSpaceDN w:val="0"/>
      <w:adjustRightInd w:val="0"/>
      <w:spacing w:line="240" w:lineRule="auto"/>
    </w:pPr>
    <w:rPr>
      <w:rFonts w:ascii="KCPAJH+Garamond" w:hAnsi="KCPAJH+Garamond"/>
      <w:sz w:val="24"/>
      <w:szCs w:val="24"/>
    </w:rPr>
  </w:style>
  <w:style w:type="character" w:styleId="Strong">
    <w:name w:val="Strong"/>
    <w:uiPriority w:val="22"/>
    <w:qFormat/>
    <w:rsid w:val="003B5519"/>
    <w:rPr>
      <w:b/>
      <w:bCs/>
    </w:rPr>
  </w:style>
  <w:style w:type="character" w:styleId="CommentReference">
    <w:name w:val="annotation reference"/>
    <w:basedOn w:val="DefaultParagraphFont"/>
    <w:uiPriority w:val="99"/>
    <w:semiHidden/>
    <w:unhideWhenUsed/>
    <w:rsid w:val="00985126"/>
    <w:rPr>
      <w:sz w:val="16"/>
      <w:szCs w:val="16"/>
    </w:rPr>
  </w:style>
  <w:style w:type="character" w:styleId="HTMLCite">
    <w:name w:val="HTML Cite"/>
    <w:basedOn w:val="DefaultParagraphFont"/>
    <w:uiPriority w:val="99"/>
    <w:semiHidden/>
    <w:unhideWhenUsed/>
    <w:rsid w:val="00FF7C45"/>
    <w:rPr>
      <w:i/>
      <w:iCs/>
    </w:rPr>
  </w:style>
  <w:style w:type="paragraph" w:customStyle="1" w:styleId="Authorname">
    <w:name w:val="Author name"/>
    <w:rsid w:val="00B12C32"/>
    <w:pPr>
      <w:spacing w:before="240" w:after="200" w:line="276" w:lineRule="auto"/>
      <w:jc w:val="center"/>
    </w:pPr>
    <w:rPr>
      <w:rFonts w:ascii="Times New Roman" w:hAnsi="Times New Roman"/>
      <w:b/>
      <w:sz w:val="24"/>
      <w:szCs w:val="22"/>
    </w:rPr>
  </w:style>
  <w:style w:type="table" w:customStyle="1" w:styleId="LightShading1">
    <w:name w:val="Light Shading1"/>
    <w:basedOn w:val="TableNormal"/>
    <w:uiPriority w:val="60"/>
    <w:rsid w:val="00B12C3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peacecontenttext11">
    <w:name w:val="peace_content_text_11"/>
    <w:basedOn w:val="DefaultParagraphFont"/>
    <w:uiPriority w:val="99"/>
    <w:rsid w:val="00523650"/>
    <w:rPr>
      <w:rFonts w:ascii="Arial" w:hAnsi="Arial" w:cs="Arial"/>
      <w:sz w:val="34"/>
      <w:szCs w:val="34"/>
    </w:rPr>
  </w:style>
  <w:style w:type="table" w:customStyle="1" w:styleId="TableGrid1">
    <w:name w:val="Table Grid1"/>
    <w:basedOn w:val="TableNormal"/>
    <w:next w:val="TableGrid"/>
    <w:uiPriority w:val="59"/>
    <w:rsid w:val="00523650"/>
    <w:rPr>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3B5519"/>
    <w:rPr>
      <w:b/>
      <w:bCs/>
      <w:i/>
      <w:iCs/>
      <w:spacing w:val="10"/>
      <w:bdr w:val="none" w:sz="0" w:space="0" w:color="auto"/>
      <w:shd w:val="clear" w:color="auto" w:fill="auto"/>
    </w:rPr>
  </w:style>
  <w:style w:type="character" w:customStyle="1" w:styleId="updated-short-citation">
    <w:name w:val="updated-short-citation"/>
    <w:basedOn w:val="DefaultParagraphFont"/>
    <w:rsid w:val="001D1BD3"/>
  </w:style>
  <w:style w:type="character" w:customStyle="1" w:styleId="pseudotab">
    <w:name w:val="pseudotab"/>
    <w:basedOn w:val="DefaultParagraphFont"/>
    <w:rsid w:val="001D1BD3"/>
  </w:style>
  <w:style w:type="paragraph" w:customStyle="1" w:styleId="totext">
    <w:name w:val="totext"/>
    <w:basedOn w:val="Normal"/>
    <w:rsid w:val="001D1BD3"/>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DefaultParagraphFont"/>
    <w:rsid w:val="004D4AB5"/>
  </w:style>
  <w:style w:type="character" w:customStyle="1" w:styleId="medium-font">
    <w:name w:val="medium-font"/>
    <w:basedOn w:val="DefaultParagraphFont"/>
    <w:rsid w:val="004D4AB5"/>
  </w:style>
  <w:style w:type="character" w:customStyle="1" w:styleId="title-link-wrapper">
    <w:name w:val="title-link-wrapper"/>
    <w:basedOn w:val="DefaultParagraphFont"/>
    <w:rsid w:val="004D4AB5"/>
  </w:style>
  <w:style w:type="paragraph" w:customStyle="1" w:styleId="articletype">
    <w:name w:val="articletype"/>
    <w:basedOn w:val="Normal"/>
    <w:rsid w:val="00AC2FEA"/>
    <w:pPr>
      <w:spacing w:before="100" w:beforeAutospacing="1" w:after="100" w:afterAutospacing="1" w:line="240" w:lineRule="auto"/>
    </w:pPr>
    <w:rPr>
      <w:rFonts w:ascii="Times New Roman" w:hAnsi="Times New Roman"/>
      <w:sz w:val="24"/>
      <w:szCs w:val="24"/>
      <w:lang w:val="en-GB" w:eastAsia="en-GB"/>
    </w:rPr>
  </w:style>
  <w:style w:type="character" w:customStyle="1" w:styleId="citation">
    <w:name w:val="citation"/>
    <w:basedOn w:val="DefaultParagraphFont"/>
    <w:rsid w:val="00AC2FEA"/>
  </w:style>
  <w:style w:type="character" w:customStyle="1" w:styleId="absnonlinkmetadata">
    <w:name w:val="abs_nonlink_metadata"/>
    <w:basedOn w:val="DefaultParagraphFont"/>
    <w:rsid w:val="00AC2FEA"/>
  </w:style>
  <w:style w:type="character" w:customStyle="1" w:styleId="name">
    <w:name w:val="name"/>
    <w:basedOn w:val="DefaultParagraphFont"/>
    <w:rsid w:val="00AC2FEA"/>
  </w:style>
  <w:style w:type="character" w:customStyle="1" w:styleId="slug-pub-date">
    <w:name w:val="slug-pub-date"/>
    <w:basedOn w:val="DefaultParagraphFont"/>
    <w:rsid w:val="00AC2FEA"/>
  </w:style>
  <w:style w:type="character" w:customStyle="1" w:styleId="slug-vol">
    <w:name w:val="slug-vol"/>
    <w:basedOn w:val="DefaultParagraphFont"/>
    <w:rsid w:val="00AC2FEA"/>
  </w:style>
  <w:style w:type="character" w:customStyle="1" w:styleId="slug-issue">
    <w:name w:val="slug-issue"/>
    <w:basedOn w:val="DefaultParagraphFont"/>
    <w:rsid w:val="00AC2FEA"/>
  </w:style>
  <w:style w:type="character" w:customStyle="1" w:styleId="slug-pages">
    <w:name w:val="slug-pages"/>
    <w:basedOn w:val="DefaultParagraphFont"/>
    <w:rsid w:val="00AC2FEA"/>
  </w:style>
  <w:style w:type="character" w:customStyle="1" w:styleId="slug-pub-date-pop">
    <w:name w:val="slug-pub-date-pop"/>
    <w:basedOn w:val="DefaultParagraphFont"/>
    <w:rsid w:val="00AC2FEA"/>
  </w:style>
  <w:style w:type="character" w:customStyle="1" w:styleId="pop-slug-vol">
    <w:name w:val="pop-slug-vol"/>
    <w:basedOn w:val="DefaultParagraphFont"/>
    <w:rsid w:val="00AC2FEA"/>
  </w:style>
  <w:style w:type="character" w:customStyle="1" w:styleId="slug-doi">
    <w:name w:val="slug-doi"/>
    <w:basedOn w:val="DefaultParagraphFont"/>
    <w:rsid w:val="00AC2FEA"/>
  </w:style>
  <w:style w:type="character" w:customStyle="1" w:styleId="slug-ahead-of-print-date">
    <w:name w:val="slug-ahead-of-print-date"/>
    <w:basedOn w:val="DefaultParagraphFont"/>
    <w:rsid w:val="00AC2FEA"/>
  </w:style>
  <w:style w:type="character" w:customStyle="1" w:styleId="nlmsource">
    <w:name w:val="nlm_source"/>
    <w:basedOn w:val="DefaultParagraphFont"/>
    <w:rsid w:val="00AC2FEA"/>
  </w:style>
  <w:style w:type="paragraph" w:customStyle="1" w:styleId="citation1">
    <w:name w:val="citation1"/>
    <w:basedOn w:val="Normal"/>
    <w:rsid w:val="00A27788"/>
    <w:pPr>
      <w:spacing w:line="480" w:lineRule="auto"/>
      <w:ind w:hanging="375"/>
    </w:pPr>
    <w:rPr>
      <w:rFonts w:ascii="Times New Roman" w:hAnsi="Times New Roman"/>
      <w:sz w:val="18"/>
      <w:szCs w:val="18"/>
      <w:lang w:val="en-GB" w:eastAsia="en-GB"/>
    </w:rPr>
  </w:style>
  <w:style w:type="paragraph" w:styleId="Revision">
    <w:name w:val="Revision"/>
    <w:hidden/>
    <w:uiPriority w:val="99"/>
    <w:semiHidden/>
    <w:rsid w:val="00746B24"/>
    <w:pPr>
      <w:spacing w:after="200" w:line="276" w:lineRule="auto"/>
      <w:jc w:val="both"/>
    </w:pPr>
    <w:rPr>
      <w:sz w:val="22"/>
      <w:szCs w:val="22"/>
    </w:rPr>
  </w:style>
  <w:style w:type="paragraph" w:customStyle="1" w:styleId="yiv510297308msonormal">
    <w:name w:val="yiv510297308msonormal"/>
    <w:basedOn w:val="Normal"/>
    <w:rsid w:val="00986557"/>
    <w:pPr>
      <w:spacing w:before="100" w:beforeAutospacing="1" w:after="100" w:afterAutospacing="1" w:line="240" w:lineRule="auto"/>
    </w:pPr>
    <w:rPr>
      <w:rFonts w:ascii="Times New Roman" w:hAnsi="Times New Roman"/>
      <w:sz w:val="24"/>
      <w:szCs w:val="24"/>
    </w:rPr>
  </w:style>
  <w:style w:type="character" w:styleId="PlaceholderText">
    <w:name w:val="Placeholder Text"/>
    <w:basedOn w:val="DefaultParagraphFont"/>
    <w:uiPriority w:val="99"/>
    <w:semiHidden/>
    <w:rsid w:val="00BD61C8"/>
    <w:rPr>
      <w:color w:val="808080"/>
    </w:rPr>
  </w:style>
  <w:style w:type="paragraph" w:customStyle="1" w:styleId="otherpagestxt">
    <w:name w:val="otherpagestxt"/>
    <w:basedOn w:val="Normal"/>
    <w:rsid w:val="009D343F"/>
    <w:pPr>
      <w:spacing w:before="100" w:beforeAutospacing="1" w:after="100" w:afterAutospacing="1" w:line="240" w:lineRule="auto"/>
    </w:pPr>
    <w:rPr>
      <w:rFonts w:ascii="Times New Roman" w:hAnsi="Times New Roman"/>
      <w:sz w:val="24"/>
      <w:szCs w:val="24"/>
    </w:rPr>
  </w:style>
  <w:style w:type="paragraph" w:customStyle="1" w:styleId="Authors">
    <w:name w:val="Author/s"/>
    <w:basedOn w:val="Heading1"/>
    <w:qFormat/>
    <w:rsid w:val="00C15FC7"/>
    <w:pPr>
      <w:spacing w:before="120" w:after="120" w:line="240" w:lineRule="auto"/>
      <w:jc w:val="center"/>
    </w:pPr>
    <w:rPr>
      <w:rFonts w:ascii="Times New Roman" w:hAnsi="Times New Roman"/>
      <w:kern w:val="32"/>
      <w:sz w:val="24"/>
    </w:rPr>
  </w:style>
  <w:style w:type="table" w:styleId="LightShading-Accent3">
    <w:name w:val="Light Shading Accent 3"/>
    <w:basedOn w:val="TableNormal"/>
    <w:uiPriority w:val="60"/>
    <w:rsid w:val="00E317C4"/>
    <w:rPr>
      <w:rFonts w:eastAsia="Calibri"/>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st">
    <w:name w:val="st"/>
    <w:basedOn w:val="DefaultParagraphFont"/>
    <w:rsid w:val="002416BB"/>
  </w:style>
  <w:style w:type="paragraph" w:customStyle="1" w:styleId="auto">
    <w:name w:val="auto"/>
    <w:basedOn w:val="Normal"/>
    <w:rsid w:val="008474BB"/>
    <w:pPr>
      <w:spacing w:before="100" w:beforeAutospacing="1" w:after="100" w:afterAutospacing="1" w:line="240" w:lineRule="auto"/>
    </w:pPr>
    <w:rPr>
      <w:rFonts w:ascii="Verdana" w:hAnsi="Verdana"/>
      <w:sz w:val="16"/>
      <w:szCs w:val="16"/>
      <w:lang w:val="en-GB"/>
    </w:rPr>
  </w:style>
  <w:style w:type="character" w:customStyle="1" w:styleId="FontStyle23">
    <w:name w:val="Font Style23"/>
    <w:uiPriority w:val="99"/>
    <w:rsid w:val="009A4866"/>
    <w:rPr>
      <w:rFonts w:ascii="Times New Roman" w:hAnsi="Times New Roman" w:cs="Times New Roman"/>
      <w:b/>
      <w:bCs/>
      <w:sz w:val="22"/>
      <w:szCs w:val="22"/>
    </w:rPr>
  </w:style>
  <w:style w:type="character" w:customStyle="1" w:styleId="FontStyle26">
    <w:name w:val="Font Style26"/>
    <w:uiPriority w:val="99"/>
    <w:rsid w:val="009A4866"/>
    <w:rPr>
      <w:rFonts w:ascii="Times New Roman" w:hAnsi="Times New Roman" w:cs="Times New Roman"/>
      <w:sz w:val="22"/>
      <w:szCs w:val="22"/>
    </w:rPr>
  </w:style>
  <w:style w:type="paragraph" w:customStyle="1" w:styleId="Style3">
    <w:name w:val="Style3"/>
    <w:basedOn w:val="Normal"/>
    <w:uiPriority w:val="99"/>
    <w:rsid w:val="009A4866"/>
    <w:pPr>
      <w:widowControl w:val="0"/>
      <w:autoSpaceDE w:val="0"/>
      <w:autoSpaceDN w:val="0"/>
      <w:adjustRightInd w:val="0"/>
      <w:spacing w:line="414" w:lineRule="exact"/>
    </w:pPr>
    <w:rPr>
      <w:rFonts w:ascii="Times New Roman" w:hAnsi="Times New Roman"/>
      <w:sz w:val="24"/>
      <w:szCs w:val="24"/>
    </w:rPr>
  </w:style>
  <w:style w:type="character" w:customStyle="1" w:styleId="FontStyle21">
    <w:name w:val="Font Style21"/>
    <w:uiPriority w:val="99"/>
    <w:rsid w:val="009A4866"/>
    <w:rPr>
      <w:rFonts w:ascii="Times New Roman" w:hAnsi="Times New Roman" w:cs="Times New Roman"/>
      <w:i/>
      <w:iCs/>
      <w:sz w:val="22"/>
      <w:szCs w:val="22"/>
    </w:rPr>
  </w:style>
  <w:style w:type="paragraph" w:customStyle="1" w:styleId="Style6">
    <w:name w:val="Style6"/>
    <w:basedOn w:val="Normal"/>
    <w:uiPriority w:val="99"/>
    <w:rsid w:val="009A4866"/>
    <w:pPr>
      <w:widowControl w:val="0"/>
      <w:autoSpaceDE w:val="0"/>
      <w:autoSpaceDN w:val="0"/>
      <w:adjustRightInd w:val="0"/>
      <w:spacing w:line="240" w:lineRule="auto"/>
    </w:pPr>
    <w:rPr>
      <w:rFonts w:ascii="Times New Roman" w:hAnsi="Times New Roman"/>
      <w:sz w:val="24"/>
      <w:szCs w:val="24"/>
    </w:rPr>
  </w:style>
  <w:style w:type="paragraph" w:customStyle="1" w:styleId="Style12">
    <w:name w:val="Style12"/>
    <w:basedOn w:val="Normal"/>
    <w:uiPriority w:val="99"/>
    <w:rsid w:val="009A4866"/>
    <w:pPr>
      <w:widowControl w:val="0"/>
      <w:autoSpaceDE w:val="0"/>
      <w:autoSpaceDN w:val="0"/>
      <w:adjustRightInd w:val="0"/>
      <w:spacing w:line="544" w:lineRule="exact"/>
    </w:pPr>
    <w:rPr>
      <w:rFonts w:ascii="Times New Roman" w:hAnsi="Times New Roman"/>
      <w:sz w:val="24"/>
      <w:szCs w:val="24"/>
    </w:rPr>
  </w:style>
  <w:style w:type="character" w:customStyle="1" w:styleId="citationbook">
    <w:name w:val="citation book"/>
    <w:basedOn w:val="DefaultParagraphFont"/>
    <w:rsid w:val="009A4866"/>
  </w:style>
  <w:style w:type="character" w:customStyle="1" w:styleId="z3988">
    <w:name w:val="z3988"/>
    <w:basedOn w:val="DefaultParagraphFont"/>
    <w:rsid w:val="009A4866"/>
  </w:style>
  <w:style w:type="character" w:customStyle="1" w:styleId="printonly">
    <w:name w:val="printonly"/>
    <w:basedOn w:val="DefaultParagraphFont"/>
    <w:rsid w:val="009A4866"/>
  </w:style>
  <w:style w:type="character" w:customStyle="1" w:styleId="citationweb">
    <w:name w:val="citation web"/>
    <w:basedOn w:val="DefaultParagraphFont"/>
    <w:rsid w:val="009A4866"/>
  </w:style>
  <w:style w:type="character" w:customStyle="1" w:styleId="reference-accessdate">
    <w:name w:val="reference-accessdate"/>
    <w:basedOn w:val="DefaultParagraphFont"/>
    <w:rsid w:val="009A4866"/>
  </w:style>
  <w:style w:type="paragraph" w:styleId="TableofFigures">
    <w:name w:val="table of figures"/>
    <w:basedOn w:val="Normal"/>
    <w:next w:val="Normal"/>
    <w:uiPriority w:val="99"/>
    <w:unhideWhenUsed/>
    <w:rsid w:val="00152D66"/>
  </w:style>
  <w:style w:type="paragraph" w:styleId="TOC3">
    <w:name w:val="toc 3"/>
    <w:basedOn w:val="Normal"/>
    <w:next w:val="Normal"/>
    <w:autoRedefine/>
    <w:uiPriority w:val="39"/>
    <w:unhideWhenUsed/>
    <w:rsid w:val="00D203B7"/>
    <w:pPr>
      <w:spacing w:after="100"/>
      <w:ind w:left="440"/>
    </w:pPr>
  </w:style>
  <w:style w:type="paragraph" w:styleId="TOC2">
    <w:name w:val="toc 2"/>
    <w:basedOn w:val="Normal"/>
    <w:next w:val="Normal"/>
    <w:autoRedefine/>
    <w:uiPriority w:val="39"/>
    <w:unhideWhenUsed/>
    <w:rsid w:val="00D203B7"/>
    <w:pPr>
      <w:spacing w:after="100"/>
      <w:ind w:left="220"/>
    </w:pPr>
  </w:style>
  <w:style w:type="character" w:styleId="FollowedHyperlink">
    <w:name w:val="FollowedHyperlink"/>
    <w:basedOn w:val="DefaultParagraphFont"/>
    <w:uiPriority w:val="99"/>
    <w:semiHidden/>
    <w:unhideWhenUsed/>
    <w:rsid w:val="002365CA"/>
    <w:rPr>
      <w:color w:val="800080"/>
      <w:u w:val="single"/>
    </w:rPr>
  </w:style>
  <w:style w:type="table" w:customStyle="1" w:styleId="LightShading2">
    <w:name w:val="Light Shading2"/>
    <w:basedOn w:val="TableNormal"/>
    <w:uiPriority w:val="60"/>
    <w:rsid w:val="00C731E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Quote">
    <w:name w:val="Quote"/>
    <w:basedOn w:val="Normal"/>
    <w:next w:val="Normal"/>
    <w:link w:val="QuoteChar"/>
    <w:uiPriority w:val="29"/>
    <w:qFormat/>
    <w:rsid w:val="003B5519"/>
    <w:pPr>
      <w:spacing w:before="200" w:after="0"/>
      <w:ind w:left="360" w:right="360"/>
    </w:pPr>
    <w:rPr>
      <w:i/>
      <w:iCs/>
    </w:rPr>
  </w:style>
  <w:style w:type="character" w:customStyle="1" w:styleId="QuoteChar">
    <w:name w:val="Quote Char"/>
    <w:basedOn w:val="DefaultParagraphFont"/>
    <w:link w:val="Quote"/>
    <w:uiPriority w:val="29"/>
    <w:rsid w:val="003B5519"/>
    <w:rPr>
      <w:i/>
      <w:iCs/>
    </w:rPr>
  </w:style>
  <w:style w:type="paragraph" w:styleId="IntenseQuote">
    <w:name w:val="Intense Quote"/>
    <w:basedOn w:val="Normal"/>
    <w:next w:val="Normal"/>
    <w:link w:val="IntenseQuoteChar"/>
    <w:uiPriority w:val="30"/>
    <w:qFormat/>
    <w:rsid w:val="003B551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3B5519"/>
    <w:rPr>
      <w:b/>
      <w:bCs/>
      <w:i/>
      <w:iCs/>
    </w:rPr>
  </w:style>
  <w:style w:type="character" w:styleId="SubtleReference">
    <w:name w:val="Subtle Reference"/>
    <w:uiPriority w:val="31"/>
    <w:qFormat/>
    <w:rsid w:val="003B5519"/>
    <w:rPr>
      <w:smallCaps/>
    </w:rPr>
  </w:style>
  <w:style w:type="character" w:styleId="IntenseReference">
    <w:name w:val="Intense Reference"/>
    <w:uiPriority w:val="32"/>
    <w:qFormat/>
    <w:rsid w:val="003B5519"/>
    <w:rPr>
      <w:smallCaps/>
      <w:spacing w:val="5"/>
      <w:u w:val="single"/>
    </w:rPr>
  </w:style>
  <w:style w:type="character" w:styleId="BookTitle">
    <w:name w:val="Book Title"/>
    <w:uiPriority w:val="33"/>
    <w:qFormat/>
    <w:rsid w:val="003B5519"/>
    <w:rPr>
      <w:i/>
      <w:iCs/>
      <w:smallCaps/>
      <w:spacing w:val="5"/>
    </w:rPr>
  </w:style>
  <w:style w:type="table" w:customStyle="1" w:styleId="LightShading3">
    <w:name w:val="Light Shading3"/>
    <w:basedOn w:val="TableNormal"/>
    <w:uiPriority w:val="60"/>
    <w:rsid w:val="00092A6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dq">
    <w:name w:val="dq"/>
    <w:basedOn w:val="DefaultParagraphFont"/>
    <w:rsid w:val="00C95ACB"/>
  </w:style>
  <w:style w:type="table" w:customStyle="1" w:styleId="LightShading-Accent12">
    <w:name w:val="Light Shading - Accent 12"/>
    <w:basedOn w:val="TableNormal"/>
    <w:uiPriority w:val="60"/>
    <w:rsid w:val="0069035A"/>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4">
    <w:name w:val="Light Shading4"/>
    <w:basedOn w:val="TableNormal"/>
    <w:uiPriority w:val="60"/>
    <w:rsid w:val="00B74B9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
    <w:name w:val="Light Shading"/>
    <w:basedOn w:val="TableNormal"/>
    <w:uiPriority w:val="60"/>
    <w:rsid w:val="0022305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542164">
      <w:bodyDiv w:val="1"/>
      <w:marLeft w:val="0"/>
      <w:marRight w:val="0"/>
      <w:marTop w:val="0"/>
      <w:marBottom w:val="0"/>
      <w:divBdr>
        <w:top w:val="none" w:sz="0" w:space="0" w:color="auto"/>
        <w:left w:val="none" w:sz="0" w:space="0" w:color="auto"/>
        <w:bottom w:val="none" w:sz="0" w:space="0" w:color="auto"/>
        <w:right w:val="none" w:sz="0" w:space="0" w:color="auto"/>
      </w:divBdr>
      <w:divsChild>
        <w:div w:id="217321273">
          <w:marLeft w:val="0"/>
          <w:marRight w:val="0"/>
          <w:marTop w:val="0"/>
          <w:marBottom w:val="0"/>
          <w:divBdr>
            <w:top w:val="none" w:sz="0" w:space="0" w:color="auto"/>
            <w:left w:val="none" w:sz="0" w:space="0" w:color="auto"/>
            <w:bottom w:val="none" w:sz="0" w:space="0" w:color="auto"/>
            <w:right w:val="none" w:sz="0" w:space="0" w:color="auto"/>
          </w:divBdr>
          <w:divsChild>
            <w:div w:id="1005788139">
              <w:marLeft w:val="0"/>
              <w:marRight w:val="0"/>
              <w:marTop w:val="0"/>
              <w:marBottom w:val="0"/>
              <w:divBdr>
                <w:top w:val="none" w:sz="0" w:space="0" w:color="auto"/>
                <w:left w:val="none" w:sz="0" w:space="0" w:color="auto"/>
                <w:bottom w:val="none" w:sz="0" w:space="0" w:color="auto"/>
                <w:right w:val="none" w:sz="0" w:space="0" w:color="auto"/>
              </w:divBdr>
              <w:divsChild>
                <w:div w:id="1243878022">
                  <w:marLeft w:val="0"/>
                  <w:marRight w:val="0"/>
                  <w:marTop w:val="0"/>
                  <w:marBottom w:val="0"/>
                  <w:divBdr>
                    <w:top w:val="none" w:sz="0" w:space="0" w:color="auto"/>
                    <w:left w:val="none" w:sz="0" w:space="0" w:color="auto"/>
                    <w:bottom w:val="none" w:sz="0" w:space="0" w:color="auto"/>
                    <w:right w:val="none" w:sz="0" w:space="0" w:color="auto"/>
                  </w:divBdr>
                  <w:divsChild>
                    <w:div w:id="1272014640">
                      <w:marLeft w:val="0"/>
                      <w:marRight w:val="0"/>
                      <w:marTop w:val="0"/>
                      <w:marBottom w:val="0"/>
                      <w:divBdr>
                        <w:top w:val="none" w:sz="0" w:space="0" w:color="auto"/>
                        <w:left w:val="none" w:sz="0" w:space="0" w:color="auto"/>
                        <w:bottom w:val="none" w:sz="0" w:space="0" w:color="auto"/>
                        <w:right w:val="none" w:sz="0" w:space="0" w:color="auto"/>
                      </w:divBdr>
                      <w:divsChild>
                        <w:div w:id="182558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303106">
          <w:marLeft w:val="0"/>
          <w:marRight w:val="0"/>
          <w:marTop w:val="0"/>
          <w:marBottom w:val="0"/>
          <w:divBdr>
            <w:top w:val="none" w:sz="0" w:space="0" w:color="auto"/>
            <w:left w:val="none" w:sz="0" w:space="0" w:color="auto"/>
            <w:bottom w:val="none" w:sz="0" w:space="0" w:color="auto"/>
            <w:right w:val="none" w:sz="0" w:space="0" w:color="auto"/>
          </w:divBdr>
          <w:divsChild>
            <w:div w:id="628819547">
              <w:marLeft w:val="0"/>
              <w:marRight w:val="0"/>
              <w:marTop w:val="0"/>
              <w:marBottom w:val="0"/>
              <w:divBdr>
                <w:top w:val="none" w:sz="0" w:space="0" w:color="auto"/>
                <w:left w:val="none" w:sz="0" w:space="0" w:color="auto"/>
                <w:bottom w:val="none" w:sz="0" w:space="0" w:color="auto"/>
                <w:right w:val="none" w:sz="0" w:space="0" w:color="auto"/>
              </w:divBdr>
              <w:divsChild>
                <w:div w:id="207338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wmf"/><Relationship Id="rId299" Type="http://schemas.openxmlformats.org/officeDocument/2006/relationships/chart" Target="charts/chart35.xml"/><Relationship Id="rId303" Type="http://schemas.openxmlformats.org/officeDocument/2006/relationships/hyperlink" Target="mailto:1papaprince@vvu.edu.gh" TargetMode="External"/><Relationship Id="rId21" Type="http://schemas.openxmlformats.org/officeDocument/2006/relationships/image" Target="media/image5.emf"/><Relationship Id="rId42" Type="http://schemas.openxmlformats.org/officeDocument/2006/relationships/hyperlink" Target="http://www.ingentaconnect.com/content/klu/envr;jsessionid=qbv4g43la5ic.alice" TargetMode="External"/><Relationship Id="rId63" Type="http://schemas.openxmlformats.org/officeDocument/2006/relationships/footer" Target="footer8.xml"/><Relationship Id="rId84" Type="http://schemas.openxmlformats.org/officeDocument/2006/relationships/hyperlink" Target="http://www.ghanabusinessnews.com" TargetMode="External"/><Relationship Id="rId138" Type="http://schemas.openxmlformats.org/officeDocument/2006/relationships/oleObject" Target="embeddings/oleObject10.bin"/><Relationship Id="rId159" Type="http://schemas.openxmlformats.org/officeDocument/2006/relationships/oleObject" Target="embeddings/oleObject19.bin"/><Relationship Id="rId324" Type="http://schemas.openxmlformats.org/officeDocument/2006/relationships/hyperlink" Target="mailto:issakazak@gmail.com" TargetMode="External"/><Relationship Id="rId345" Type="http://schemas.openxmlformats.org/officeDocument/2006/relationships/hyperlink" Target="http://www.scidev.net/en/science-and-innovation-policy/aid-for-higher-education" TargetMode="External"/><Relationship Id="rId366" Type="http://schemas.openxmlformats.org/officeDocument/2006/relationships/hyperlink" Target="mailto:odensu@yahoo.com" TargetMode="External"/><Relationship Id="rId170" Type="http://schemas.openxmlformats.org/officeDocument/2006/relationships/oleObject" Target="embeddings/oleObject25.bin"/><Relationship Id="rId191" Type="http://schemas.openxmlformats.org/officeDocument/2006/relationships/hyperlink" Target="mailto:dinah.amankwah@tpoly.edu.gh" TargetMode="External"/><Relationship Id="rId205" Type="http://schemas.openxmlformats.org/officeDocument/2006/relationships/hyperlink" Target="http://policies.temple.edu/ferpa" TargetMode="External"/><Relationship Id="rId226" Type="http://schemas.openxmlformats.org/officeDocument/2006/relationships/image" Target="media/image80.png"/><Relationship Id="rId247" Type="http://schemas.openxmlformats.org/officeDocument/2006/relationships/footer" Target="footer22.xml"/><Relationship Id="rId107" Type="http://schemas.openxmlformats.org/officeDocument/2006/relationships/hyperlink" Target="mailto:godfredabledu@gmail.com" TargetMode="External"/><Relationship Id="rId268" Type="http://schemas.openxmlformats.org/officeDocument/2006/relationships/hyperlink" Target="http://www.labmanager.com/?articles.view/articleNo/3851/title/Laboratory-Ovens--the-Essential-Lab-Component/" TargetMode="External"/><Relationship Id="rId289" Type="http://schemas.openxmlformats.org/officeDocument/2006/relationships/image" Target="media/image117.png"/><Relationship Id="rId11" Type="http://schemas.openxmlformats.org/officeDocument/2006/relationships/footer" Target="footer3.xml"/><Relationship Id="rId32" Type="http://schemas.openxmlformats.org/officeDocument/2006/relationships/chart" Target="charts/chart4.xml"/><Relationship Id="rId53" Type="http://schemas.openxmlformats.org/officeDocument/2006/relationships/image" Target="media/image23.png"/><Relationship Id="rId74" Type="http://schemas.openxmlformats.org/officeDocument/2006/relationships/chart" Target="charts/chart6.xml"/><Relationship Id="rId128" Type="http://schemas.openxmlformats.org/officeDocument/2006/relationships/oleObject" Target="embeddings/oleObject6.bin"/><Relationship Id="rId149" Type="http://schemas.openxmlformats.org/officeDocument/2006/relationships/image" Target="media/image55.wmf"/><Relationship Id="rId314" Type="http://schemas.openxmlformats.org/officeDocument/2006/relationships/hyperlink" Target="http://www.ehow.com/info_8016661_cameras-used-film-movies.html" TargetMode="External"/><Relationship Id="rId335" Type="http://schemas.openxmlformats.org/officeDocument/2006/relationships/chart" Target="charts/chart43.xml"/><Relationship Id="rId356" Type="http://schemas.openxmlformats.org/officeDocument/2006/relationships/image" Target="media/image146.png"/><Relationship Id="rId377" Type="http://schemas.openxmlformats.org/officeDocument/2006/relationships/footer" Target="footer29.xml"/><Relationship Id="rId5" Type="http://schemas.openxmlformats.org/officeDocument/2006/relationships/webSettings" Target="webSettings.xml"/><Relationship Id="rId95" Type="http://schemas.openxmlformats.org/officeDocument/2006/relationships/chart" Target="charts/chart19.xml"/><Relationship Id="rId160" Type="http://schemas.openxmlformats.org/officeDocument/2006/relationships/image" Target="media/image61.wmf"/><Relationship Id="rId181" Type="http://schemas.openxmlformats.org/officeDocument/2006/relationships/image" Target="media/image71.emf"/><Relationship Id="rId216" Type="http://schemas.openxmlformats.org/officeDocument/2006/relationships/hyperlink" Target="mailto:edmundameko@yahoo.com" TargetMode="External"/><Relationship Id="rId237" Type="http://schemas.openxmlformats.org/officeDocument/2006/relationships/image" Target="media/image90.png"/><Relationship Id="rId258" Type="http://schemas.openxmlformats.org/officeDocument/2006/relationships/image" Target="media/image103.png"/><Relationship Id="rId279" Type="http://schemas.openxmlformats.org/officeDocument/2006/relationships/chart" Target="charts/chart28.xml"/><Relationship Id="rId22" Type="http://schemas.openxmlformats.org/officeDocument/2006/relationships/image" Target="media/image6.emf"/><Relationship Id="rId43" Type="http://schemas.openxmlformats.org/officeDocument/2006/relationships/hyperlink" Target="mailto:archimona@yahoo.com" TargetMode="External"/><Relationship Id="rId64" Type="http://schemas.openxmlformats.org/officeDocument/2006/relationships/hyperlink" Target="mailto:linddari@yahoo.co.uk" TargetMode="External"/><Relationship Id="rId118" Type="http://schemas.openxmlformats.org/officeDocument/2006/relationships/oleObject" Target="embeddings/oleObject1.bin"/><Relationship Id="rId139" Type="http://schemas.openxmlformats.org/officeDocument/2006/relationships/oleObject" Target="embeddings/oleObject11.bin"/><Relationship Id="rId290" Type="http://schemas.openxmlformats.org/officeDocument/2006/relationships/hyperlink" Target="mailto:samyantwi@yahoo.com" TargetMode="External"/><Relationship Id="rId304" Type="http://schemas.openxmlformats.org/officeDocument/2006/relationships/hyperlink" Target="mailto:" TargetMode="External"/><Relationship Id="rId325" Type="http://schemas.openxmlformats.org/officeDocument/2006/relationships/image" Target="media/image135.png"/><Relationship Id="rId346" Type="http://schemas.openxmlformats.org/officeDocument/2006/relationships/hyperlink" Target="http://www.whereuniverse.com/2012/02/01/the-role-of-higher-education-in-contemporary-society" TargetMode="External"/><Relationship Id="rId367" Type="http://schemas.openxmlformats.org/officeDocument/2006/relationships/hyperlink" Target="http://www.who.int/violence_injury_prevention/pages/roadinjuryprevention.htm" TargetMode="External"/><Relationship Id="rId85" Type="http://schemas.openxmlformats.org/officeDocument/2006/relationships/hyperlink" Target="mailto:stevetsike@yahoo.com" TargetMode="External"/><Relationship Id="rId150" Type="http://schemas.openxmlformats.org/officeDocument/2006/relationships/oleObject" Target="embeddings/oleObject15.bin"/><Relationship Id="rId171" Type="http://schemas.openxmlformats.org/officeDocument/2006/relationships/oleObject" Target="embeddings/oleObject26.bin"/><Relationship Id="rId192" Type="http://schemas.openxmlformats.org/officeDocument/2006/relationships/image" Target="media/image72.png"/><Relationship Id="rId206" Type="http://schemas.openxmlformats.org/officeDocument/2006/relationships/hyperlink" Target="http://www.recordsmanagement.ed.ac.uk/InfoStaff/DPstaff/DPPrinciples.htm" TargetMode="External"/><Relationship Id="rId227" Type="http://schemas.openxmlformats.org/officeDocument/2006/relationships/image" Target="media/image81.png"/><Relationship Id="rId248" Type="http://schemas.openxmlformats.org/officeDocument/2006/relationships/image" Target="media/image93.png"/><Relationship Id="rId269" Type="http://schemas.openxmlformats.org/officeDocument/2006/relationships/hyperlink" Target="http://www.clemson.edu/psapublishing/pages/ADVS/EC530.PDF" TargetMode="External"/><Relationship Id="rId12" Type="http://schemas.openxmlformats.org/officeDocument/2006/relationships/header" Target="header2.xml"/><Relationship Id="rId33" Type="http://schemas.openxmlformats.org/officeDocument/2006/relationships/image" Target="media/image7.jpeg"/><Relationship Id="rId108" Type="http://schemas.openxmlformats.org/officeDocument/2006/relationships/hyperlink" Target="http://www.infoplease.com/business/insurance.html" TargetMode="External"/><Relationship Id="rId129" Type="http://schemas.openxmlformats.org/officeDocument/2006/relationships/image" Target="media/image43.wmf"/><Relationship Id="rId280" Type="http://schemas.openxmlformats.org/officeDocument/2006/relationships/chart" Target="charts/chart29.xml"/><Relationship Id="rId315" Type="http://schemas.openxmlformats.org/officeDocument/2006/relationships/hyperlink" Target="http://owyheesound.com/cinema-production-equipment.html" TargetMode="External"/><Relationship Id="rId336" Type="http://schemas.openxmlformats.org/officeDocument/2006/relationships/hyperlink" Target="mailto:hadapaah@yahoo.com" TargetMode="External"/><Relationship Id="rId357" Type="http://schemas.openxmlformats.org/officeDocument/2006/relationships/image" Target="media/image147.png"/><Relationship Id="rId54" Type="http://schemas.openxmlformats.org/officeDocument/2006/relationships/image" Target="media/image24.png"/><Relationship Id="rId75" Type="http://schemas.openxmlformats.org/officeDocument/2006/relationships/chart" Target="charts/chart7.xml"/><Relationship Id="rId96" Type="http://schemas.openxmlformats.org/officeDocument/2006/relationships/chart" Target="charts/chart20.xml"/><Relationship Id="rId140" Type="http://schemas.openxmlformats.org/officeDocument/2006/relationships/image" Target="media/image49.wmf"/><Relationship Id="rId161" Type="http://schemas.openxmlformats.org/officeDocument/2006/relationships/oleObject" Target="embeddings/oleObject20.bin"/><Relationship Id="rId182" Type="http://schemas.openxmlformats.org/officeDocument/2006/relationships/package" Target="embeddings/Microsoft_Word_Document1.docx"/><Relationship Id="rId217" Type="http://schemas.openxmlformats.org/officeDocument/2006/relationships/hyperlink" Target="mailto:s_achio@accrapolytechnic.edu.gh" TargetMode="External"/><Relationship Id="rId378" Type="http://schemas.openxmlformats.org/officeDocument/2006/relationships/footer" Target="footer30.xml"/><Relationship Id="rId6" Type="http://schemas.openxmlformats.org/officeDocument/2006/relationships/footnotes" Target="footnotes.xml"/><Relationship Id="rId238" Type="http://schemas.openxmlformats.org/officeDocument/2006/relationships/image" Target="media/image91.jpeg"/><Relationship Id="rId259" Type="http://schemas.openxmlformats.org/officeDocument/2006/relationships/image" Target="media/image104.png"/><Relationship Id="rId23" Type="http://schemas.openxmlformats.org/officeDocument/2006/relationships/hyperlink" Target="http://www.mesc.gov.ws/pdf/Design%20Tech_wk.pdf" TargetMode="External"/><Relationship Id="rId119" Type="http://schemas.openxmlformats.org/officeDocument/2006/relationships/image" Target="media/image38.wmf"/><Relationship Id="rId270" Type="http://schemas.openxmlformats.org/officeDocument/2006/relationships/hyperlink" Target="http://msucares.com/poultry/reproductions/poultry_make_incubator.html" TargetMode="External"/><Relationship Id="rId291" Type="http://schemas.openxmlformats.org/officeDocument/2006/relationships/hyperlink" Target="mailto:afranieisaac@yahoo.com" TargetMode="External"/><Relationship Id="rId305" Type="http://schemas.openxmlformats.org/officeDocument/2006/relationships/hyperlink" Target="mailto:" TargetMode="External"/><Relationship Id="rId326" Type="http://schemas.openxmlformats.org/officeDocument/2006/relationships/image" Target="media/image136.wmf"/><Relationship Id="rId347" Type="http://schemas.openxmlformats.org/officeDocument/2006/relationships/hyperlink" Target="http://www.nafi.com.au" TargetMode="External"/><Relationship Id="rId44" Type="http://schemas.openxmlformats.org/officeDocument/2006/relationships/footer" Target="footer6.xml"/><Relationship Id="rId65" Type="http://schemas.openxmlformats.org/officeDocument/2006/relationships/header" Target="header3.xml"/><Relationship Id="rId86" Type="http://schemas.openxmlformats.org/officeDocument/2006/relationships/hyperlink" Target="mailto:chaogbeh@yahoo.com" TargetMode="External"/><Relationship Id="rId130" Type="http://schemas.openxmlformats.org/officeDocument/2006/relationships/oleObject" Target="embeddings/oleObject7.bin"/><Relationship Id="rId151" Type="http://schemas.openxmlformats.org/officeDocument/2006/relationships/image" Target="media/image56.wmf"/><Relationship Id="rId368" Type="http://schemas.openxmlformats.org/officeDocument/2006/relationships/hyperlink" Target="http://www.who.int/violence_injury_prevention/Docs/injuryBofD.pdf" TargetMode="External"/><Relationship Id="rId172" Type="http://schemas.openxmlformats.org/officeDocument/2006/relationships/image" Target="media/image66.wmf"/><Relationship Id="rId193" Type="http://schemas.openxmlformats.org/officeDocument/2006/relationships/hyperlink" Target="http://www.virginia.edu/registrar/acadrecord.html" TargetMode="External"/><Relationship Id="rId207" Type="http://schemas.openxmlformats.org/officeDocument/2006/relationships/hyperlink" Target="mailto:nakohinaa@gmail.com" TargetMode="External"/><Relationship Id="rId228" Type="http://schemas.openxmlformats.org/officeDocument/2006/relationships/image" Target="media/image82.png"/><Relationship Id="rId249" Type="http://schemas.openxmlformats.org/officeDocument/2006/relationships/image" Target="media/image94.png"/><Relationship Id="rId13" Type="http://schemas.openxmlformats.org/officeDocument/2006/relationships/hyperlink" Target="http://www.manpowergroup.com/humanage/manpowergroupmg(2012)" TargetMode="External"/><Relationship Id="rId109" Type="http://schemas.openxmlformats.org/officeDocument/2006/relationships/hyperlink" Target="http://encyclopedia2.thefreedictionary.com/Insurance" TargetMode="External"/><Relationship Id="rId260" Type="http://schemas.openxmlformats.org/officeDocument/2006/relationships/image" Target="media/image105.png"/><Relationship Id="rId281" Type="http://schemas.openxmlformats.org/officeDocument/2006/relationships/chart" Target="charts/chart30.xml"/><Relationship Id="rId316" Type="http://schemas.openxmlformats.org/officeDocument/2006/relationships/footer" Target="footer24.xml"/><Relationship Id="rId337" Type="http://schemas.openxmlformats.org/officeDocument/2006/relationships/hyperlink" Target="mailto:amoahscg@yahoo.com" TargetMode="External"/><Relationship Id="rId34" Type="http://schemas.openxmlformats.org/officeDocument/2006/relationships/image" Target="media/image8.jpeg"/><Relationship Id="rId55" Type="http://schemas.openxmlformats.org/officeDocument/2006/relationships/footer" Target="footer7.xml"/><Relationship Id="rId76" Type="http://schemas.openxmlformats.org/officeDocument/2006/relationships/chart" Target="charts/chart8.xml"/><Relationship Id="rId97" Type="http://schemas.openxmlformats.org/officeDocument/2006/relationships/hyperlink" Target="mailto:owusumartin97@yahoo.co.uk" TargetMode="External"/><Relationship Id="rId120" Type="http://schemas.openxmlformats.org/officeDocument/2006/relationships/oleObject" Target="embeddings/oleObject2.bin"/><Relationship Id="rId141" Type="http://schemas.openxmlformats.org/officeDocument/2006/relationships/oleObject" Target="embeddings/oleObject12.bin"/><Relationship Id="rId358" Type="http://schemas.openxmlformats.org/officeDocument/2006/relationships/image" Target="media/image148.png"/><Relationship Id="rId379" Type="http://schemas.openxmlformats.org/officeDocument/2006/relationships/fontTable" Target="fontTable.xml"/><Relationship Id="rId7" Type="http://schemas.openxmlformats.org/officeDocument/2006/relationships/endnotes" Target="endnotes.xml"/><Relationship Id="rId162" Type="http://schemas.openxmlformats.org/officeDocument/2006/relationships/image" Target="media/image62.wmf"/><Relationship Id="rId183" Type="http://schemas.openxmlformats.org/officeDocument/2006/relationships/hyperlink" Target="mailto:akua.abruquah@gmail.com" TargetMode="External"/><Relationship Id="rId218" Type="http://schemas.openxmlformats.org/officeDocument/2006/relationships/hyperlink" Target="mailto:alansah2001@yahoo.com" TargetMode="External"/><Relationship Id="rId239" Type="http://schemas.openxmlformats.org/officeDocument/2006/relationships/image" Target="media/image92.jpeg"/><Relationship Id="rId250" Type="http://schemas.openxmlformats.org/officeDocument/2006/relationships/image" Target="media/image95.png"/><Relationship Id="rId271" Type="http://schemas.openxmlformats.org/officeDocument/2006/relationships/hyperlink" Target="http://ir.library.oregonstate.edu/xmlui/bitstream/handle/1957/21595/309.pdf?sequence=1" TargetMode="External"/><Relationship Id="rId292" Type="http://schemas.openxmlformats.org/officeDocument/2006/relationships/image" Target="media/image118.emf"/><Relationship Id="rId306" Type="http://schemas.openxmlformats.org/officeDocument/2006/relationships/image" Target="media/image122.png"/><Relationship Id="rId24" Type="http://schemas.openxmlformats.org/officeDocument/2006/relationships/hyperlink" Target="http://www.ncver.edu.au/publications/1448.html" TargetMode="External"/><Relationship Id="rId45" Type="http://schemas.openxmlformats.org/officeDocument/2006/relationships/image" Target="media/image16.jpeg"/><Relationship Id="rId66" Type="http://schemas.openxmlformats.org/officeDocument/2006/relationships/footer" Target="footer9.xml"/><Relationship Id="rId87" Type="http://schemas.openxmlformats.org/officeDocument/2006/relationships/hyperlink" Target="mailto:edem33@juno.com" TargetMode="External"/><Relationship Id="rId110" Type="http://schemas.openxmlformats.org/officeDocument/2006/relationships/hyperlink" Target="http://www.infoplease.com/encyclopedia/business/insurance.html" TargetMode="External"/><Relationship Id="rId131" Type="http://schemas.openxmlformats.org/officeDocument/2006/relationships/image" Target="media/image44.wmf"/><Relationship Id="rId327" Type="http://schemas.openxmlformats.org/officeDocument/2006/relationships/oleObject" Target="embeddings/oleObject29.bin"/><Relationship Id="rId348" Type="http://schemas.openxmlformats.org/officeDocument/2006/relationships/footer" Target="footer26.xml"/><Relationship Id="rId369" Type="http://schemas.openxmlformats.org/officeDocument/2006/relationships/image" Target="media/image149.wmf"/><Relationship Id="rId152" Type="http://schemas.openxmlformats.org/officeDocument/2006/relationships/oleObject" Target="embeddings/oleObject16.bin"/><Relationship Id="rId173" Type="http://schemas.openxmlformats.org/officeDocument/2006/relationships/oleObject" Target="embeddings/oleObject27.bin"/><Relationship Id="rId194" Type="http://schemas.openxmlformats.org/officeDocument/2006/relationships/hyperlink" Target="http://www.waikato.ac.nz/sasd/enrolment/records/" TargetMode="External"/><Relationship Id="rId208" Type="http://schemas.openxmlformats.org/officeDocument/2006/relationships/hyperlink" Target="mailto:chaessel@yahoo.com" TargetMode="External"/><Relationship Id="rId229" Type="http://schemas.openxmlformats.org/officeDocument/2006/relationships/image" Target="media/image83.png"/><Relationship Id="rId380" Type="http://schemas.openxmlformats.org/officeDocument/2006/relationships/theme" Target="theme/theme1.xml"/><Relationship Id="rId240" Type="http://schemas.openxmlformats.org/officeDocument/2006/relationships/hyperlink" Target="http://www.enotes.com/earth-science/insolation-total-solar-irradiance" TargetMode="External"/><Relationship Id="rId261" Type="http://schemas.openxmlformats.org/officeDocument/2006/relationships/image" Target="media/image106.png"/><Relationship Id="rId14" Type="http://schemas.openxmlformats.org/officeDocument/2006/relationships/footer" Target="footer4.xml"/><Relationship Id="rId35" Type="http://schemas.openxmlformats.org/officeDocument/2006/relationships/image" Target="media/image9.jpeg"/><Relationship Id="rId56" Type="http://schemas.openxmlformats.org/officeDocument/2006/relationships/hyperlink" Target="mailto:femodfat@yahoo.com" TargetMode="External"/><Relationship Id="rId77" Type="http://schemas.openxmlformats.org/officeDocument/2006/relationships/chart" Target="charts/chart9.xml"/><Relationship Id="rId100" Type="http://schemas.openxmlformats.org/officeDocument/2006/relationships/image" Target="media/image31.emf"/><Relationship Id="rId282" Type="http://schemas.openxmlformats.org/officeDocument/2006/relationships/chart" Target="charts/chart31.xml"/><Relationship Id="rId317" Type="http://schemas.openxmlformats.org/officeDocument/2006/relationships/image" Target="media/image130.emf"/><Relationship Id="rId338" Type="http://schemas.openxmlformats.org/officeDocument/2006/relationships/hyperlink" Target="mailto:pkkdadziee@yahoo.com" TargetMode="External"/><Relationship Id="rId359" Type="http://schemas.openxmlformats.org/officeDocument/2006/relationships/hyperlink" Target="http://m.utoledo.edu/med/depts/neurosciences/pdf/Baptista_3a7.pdf" TargetMode="External"/><Relationship Id="rId8" Type="http://schemas.openxmlformats.org/officeDocument/2006/relationships/footer" Target="footer1.xml"/><Relationship Id="rId98" Type="http://schemas.openxmlformats.org/officeDocument/2006/relationships/hyperlink" Target="mailto:KPANVOMC@YAHOO.COM" TargetMode="External"/><Relationship Id="rId121" Type="http://schemas.openxmlformats.org/officeDocument/2006/relationships/image" Target="media/image39.wmf"/><Relationship Id="rId142" Type="http://schemas.openxmlformats.org/officeDocument/2006/relationships/image" Target="media/image50.emf"/><Relationship Id="rId163" Type="http://schemas.openxmlformats.org/officeDocument/2006/relationships/oleObject" Target="embeddings/oleObject21.bin"/><Relationship Id="rId184" Type="http://schemas.openxmlformats.org/officeDocument/2006/relationships/hyperlink" Target="mailto:ojc97uk@yahoo.com" TargetMode="External"/><Relationship Id="rId219" Type="http://schemas.openxmlformats.org/officeDocument/2006/relationships/footer" Target="footer17.xml"/><Relationship Id="rId370" Type="http://schemas.openxmlformats.org/officeDocument/2006/relationships/oleObject" Target="embeddings/oleObject31.bin"/><Relationship Id="rId230" Type="http://schemas.openxmlformats.org/officeDocument/2006/relationships/image" Target="media/image84.png"/><Relationship Id="rId251" Type="http://schemas.openxmlformats.org/officeDocument/2006/relationships/image" Target="media/image96.jpeg"/><Relationship Id="rId25" Type="http://schemas.openxmlformats.org/officeDocument/2006/relationships/hyperlink" Target="https://www.ial.ed.edu.sg/files/documents/319" TargetMode="External"/><Relationship Id="rId46" Type="http://schemas.openxmlformats.org/officeDocument/2006/relationships/image" Target="media/image17.jpeg"/><Relationship Id="rId67" Type="http://schemas.openxmlformats.org/officeDocument/2006/relationships/image" Target="media/image29.emf"/><Relationship Id="rId272" Type="http://schemas.openxmlformats.org/officeDocument/2006/relationships/hyperlink" Target="http://ivolta.in/sustainable_automation.html" TargetMode="External"/><Relationship Id="rId293" Type="http://schemas.openxmlformats.org/officeDocument/2006/relationships/chart" Target="charts/chart33.xml"/><Relationship Id="rId307" Type="http://schemas.openxmlformats.org/officeDocument/2006/relationships/image" Target="media/image123.png"/><Relationship Id="rId328" Type="http://schemas.openxmlformats.org/officeDocument/2006/relationships/chart" Target="charts/chart36.xml"/><Relationship Id="rId349" Type="http://schemas.openxmlformats.org/officeDocument/2006/relationships/hyperlink" Target="http://www.ivalsa.cnr.it/en/research/natural-durability-of-different-genotypes" TargetMode="External"/><Relationship Id="rId88" Type="http://schemas.openxmlformats.org/officeDocument/2006/relationships/footer" Target="footer11.xml"/><Relationship Id="rId111" Type="http://schemas.openxmlformats.org/officeDocument/2006/relationships/hyperlink" Target="http://www.infoplease.com/encyclopedia/business/insurance.html" TargetMode="External"/><Relationship Id="rId132" Type="http://schemas.openxmlformats.org/officeDocument/2006/relationships/oleObject" Target="embeddings/oleObject8.bin"/><Relationship Id="rId153" Type="http://schemas.openxmlformats.org/officeDocument/2006/relationships/image" Target="media/image57.wmf"/><Relationship Id="rId174" Type="http://schemas.openxmlformats.org/officeDocument/2006/relationships/footer" Target="footer13.xml"/><Relationship Id="rId195" Type="http://schemas.openxmlformats.org/officeDocument/2006/relationships/hyperlink" Target="http://www.waikato.ac.nz/sasd/enrolment/records/apply.shtml" TargetMode="External"/><Relationship Id="rId209" Type="http://schemas.openxmlformats.org/officeDocument/2006/relationships/footer" Target="footer15.xml"/><Relationship Id="rId360" Type="http://schemas.openxmlformats.org/officeDocument/2006/relationships/hyperlink" Target="http://publib.upol.cz/~obd/fulltext/Biomed/2004/2/237.pdf" TargetMode="External"/><Relationship Id="rId220" Type="http://schemas.openxmlformats.org/officeDocument/2006/relationships/image" Target="media/image74.png"/><Relationship Id="rId241" Type="http://schemas.openxmlformats.org/officeDocument/2006/relationships/hyperlink" Target="http://graphic.com.gh/Business-News/power-crisis-wont-end-now-says-world-bank.html" TargetMode="External"/><Relationship Id="rId15" Type="http://schemas.openxmlformats.org/officeDocument/2006/relationships/hyperlink" Target="file:///D:\AppData\Local\Microsoft\Windows\Temporary%20Internet%20Files\Content.IE5\AJPMLMC0\www.InnovationAssociates.us" TargetMode="External"/><Relationship Id="rId36" Type="http://schemas.openxmlformats.org/officeDocument/2006/relationships/image" Target="media/image10.jpeg"/><Relationship Id="rId57" Type="http://schemas.openxmlformats.org/officeDocument/2006/relationships/hyperlink" Target="mailto:slyhatsu@gmail.com3" TargetMode="External"/><Relationship Id="rId262" Type="http://schemas.openxmlformats.org/officeDocument/2006/relationships/image" Target="media/image107.png"/><Relationship Id="rId283" Type="http://schemas.openxmlformats.org/officeDocument/2006/relationships/chart" Target="charts/chart32.xml"/><Relationship Id="rId318" Type="http://schemas.openxmlformats.org/officeDocument/2006/relationships/image" Target="media/image131.emf"/><Relationship Id="rId339" Type="http://schemas.openxmlformats.org/officeDocument/2006/relationships/hyperlink" Target="mailto:martamoah@yahoo.com" TargetMode="External"/><Relationship Id="rId78" Type="http://schemas.openxmlformats.org/officeDocument/2006/relationships/chart" Target="charts/chart10.xml"/><Relationship Id="rId99" Type="http://schemas.openxmlformats.org/officeDocument/2006/relationships/image" Target="media/image30.png"/><Relationship Id="rId101" Type="http://schemas.openxmlformats.org/officeDocument/2006/relationships/image" Target="media/image32.emf"/><Relationship Id="rId122" Type="http://schemas.openxmlformats.org/officeDocument/2006/relationships/oleObject" Target="embeddings/oleObject3.bin"/><Relationship Id="rId143" Type="http://schemas.openxmlformats.org/officeDocument/2006/relationships/image" Target="media/image51.emf"/><Relationship Id="rId164" Type="http://schemas.openxmlformats.org/officeDocument/2006/relationships/image" Target="media/image63.wmf"/><Relationship Id="rId185" Type="http://schemas.openxmlformats.org/officeDocument/2006/relationships/hyperlink" Target="mailto:Danielosafo20@yahoo.com" TargetMode="External"/><Relationship Id="rId350" Type="http://schemas.openxmlformats.org/officeDocument/2006/relationships/hyperlink" Target="http://www.scidev.net/en/science-and-innovation-policy/aid-for-higher-education" TargetMode="External"/><Relationship Id="rId371" Type="http://schemas.openxmlformats.org/officeDocument/2006/relationships/image" Target="media/image150.wmf"/><Relationship Id="rId9" Type="http://schemas.openxmlformats.org/officeDocument/2006/relationships/footer" Target="footer2.xml"/><Relationship Id="rId210" Type="http://schemas.openxmlformats.org/officeDocument/2006/relationships/image" Target="media/image73.emf"/><Relationship Id="rId26" Type="http://schemas.openxmlformats.org/officeDocument/2006/relationships/hyperlink" Target="mailto:ernestquartey77@yahoo.com" TargetMode="External"/><Relationship Id="rId231" Type="http://schemas.openxmlformats.org/officeDocument/2006/relationships/image" Target="media/image85.png"/><Relationship Id="rId252" Type="http://schemas.openxmlformats.org/officeDocument/2006/relationships/image" Target="media/image97.jpeg"/><Relationship Id="rId273" Type="http://schemas.openxmlformats.org/officeDocument/2006/relationships/hyperlink" Target="http://www.modernghana.com/news/62643/1/headmaster-decries-lack-of-interest-in-the-pursuit.html" TargetMode="External"/><Relationship Id="rId294" Type="http://schemas.openxmlformats.org/officeDocument/2006/relationships/chart" Target="charts/chart34.xml"/><Relationship Id="rId308" Type="http://schemas.openxmlformats.org/officeDocument/2006/relationships/image" Target="media/image124.png"/><Relationship Id="rId329" Type="http://schemas.openxmlformats.org/officeDocument/2006/relationships/chart" Target="charts/chart37.xml"/><Relationship Id="rId47" Type="http://schemas.openxmlformats.org/officeDocument/2006/relationships/image" Target="media/image18.png"/><Relationship Id="rId68" Type="http://schemas.openxmlformats.org/officeDocument/2006/relationships/oleObject" Target="embeddings/Microsoft_Visio_2003-2010_Drawing.vsd"/><Relationship Id="rId89" Type="http://schemas.openxmlformats.org/officeDocument/2006/relationships/chart" Target="charts/chart15.xml"/><Relationship Id="rId112" Type="http://schemas.openxmlformats.org/officeDocument/2006/relationships/hyperlink" Target="http://www.investopedia.com/terms/u/universallife.asp" TargetMode="External"/><Relationship Id="rId133" Type="http://schemas.openxmlformats.org/officeDocument/2006/relationships/image" Target="media/image45.wmf"/><Relationship Id="rId154" Type="http://schemas.openxmlformats.org/officeDocument/2006/relationships/oleObject" Target="embeddings/oleObject17.bin"/><Relationship Id="rId175" Type="http://schemas.openxmlformats.org/officeDocument/2006/relationships/hyperlink" Target="mailto:KPANVOMC@YAHOO.COM" TargetMode="External"/><Relationship Id="rId340" Type="http://schemas.openxmlformats.org/officeDocument/2006/relationships/image" Target="media/image138.jpeg"/><Relationship Id="rId361" Type="http://schemas.openxmlformats.org/officeDocument/2006/relationships/hyperlink" Target="http://www.uqtr.uquebec.ca/plastination/Abstracts-2005.html" TargetMode="External"/><Relationship Id="rId196" Type="http://schemas.openxmlformats.org/officeDocument/2006/relationships/hyperlink" Target="http://www4.rgu.ac.uk/dp/general/page.cfm?pge=19872" TargetMode="External"/><Relationship Id="rId200" Type="http://schemas.openxmlformats.org/officeDocument/2006/relationships/hyperlink" Target="http://www.cmu.edu/iso/governance/policies/information-security-roles.html" TargetMode="External"/><Relationship Id="rId16" Type="http://schemas.openxmlformats.org/officeDocument/2006/relationships/hyperlink" Target="mailto:peterboahink@yahoo.com" TargetMode="External"/><Relationship Id="rId221" Type="http://schemas.openxmlformats.org/officeDocument/2006/relationships/image" Target="media/image75.png"/><Relationship Id="rId242" Type="http://schemas.openxmlformats.org/officeDocument/2006/relationships/hyperlink" Target="http://www.iea.org/publications/freepublications/publication/kwes.pdf" TargetMode="External"/><Relationship Id="rId263" Type="http://schemas.openxmlformats.org/officeDocument/2006/relationships/image" Target="media/image108.png"/><Relationship Id="rId284" Type="http://schemas.openxmlformats.org/officeDocument/2006/relationships/footer" Target="footer23.xml"/><Relationship Id="rId319" Type="http://schemas.openxmlformats.org/officeDocument/2006/relationships/image" Target="media/image132.emf"/><Relationship Id="rId37" Type="http://schemas.openxmlformats.org/officeDocument/2006/relationships/image" Target="media/image11.jpeg"/><Relationship Id="rId58" Type="http://schemas.openxmlformats.org/officeDocument/2006/relationships/hyperlink" Target="mailto:odarkwa@gtuc.edu.gh" TargetMode="External"/><Relationship Id="rId79" Type="http://schemas.openxmlformats.org/officeDocument/2006/relationships/chart" Target="charts/chart11.xml"/><Relationship Id="rId102" Type="http://schemas.openxmlformats.org/officeDocument/2006/relationships/image" Target="media/image33.emf"/><Relationship Id="rId123" Type="http://schemas.openxmlformats.org/officeDocument/2006/relationships/image" Target="media/image40.wmf"/><Relationship Id="rId144" Type="http://schemas.openxmlformats.org/officeDocument/2006/relationships/image" Target="media/image52.emf"/><Relationship Id="rId330" Type="http://schemas.openxmlformats.org/officeDocument/2006/relationships/chart" Target="charts/chart38.xml"/><Relationship Id="rId90" Type="http://schemas.openxmlformats.org/officeDocument/2006/relationships/footer" Target="footer12.xml"/><Relationship Id="rId165" Type="http://schemas.openxmlformats.org/officeDocument/2006/relationships/oleObject" Target="embeddings/oleObject22.bin"/><Relationship Id="rId186" Type="http://schemas.openxmlformats.org/officeDocument/2006/relationships/footer" Target="footer14.xml"/><Relationship Id="rId351" Type="http://schemas.openxmlformats.org/officeDocument/2006/relationships/image" Target="media/image142.wmf"/><Relationship Id="rId372" Type="http://schemas.openxmlformats.org/officeDocument/2006/relationships/oleObject" Target="embeddings/oleObject32.bin"/><Relationship Id="rId211" Type="http://schemas.openxmlformats.org/officeDocument/2006/relationships/chart" Target="charts/chart23.xml"/><Relationship Id="rId232" Type="http://schemas.openxmlformats.org/officeDocument/2006/relationships/image" Target="media/image86.png"/><Relationship Id="rId253" Type="http://schemas.openxmlformats.org/officeDocument/2006/relationships/image" Target="media/image98.jpeg"/><Relationship Id="rId274" Type="http://schemas.openxmlformats.org/officeDocument/2006/relationships/hyperlink" Target="http://www.wcpsd.org/posters/education/Landreman.pdf" TargetMode="External"/><Relationship Id="rId295" Type="http://schemas.openxmlformats.org/officeDocument/2006/relationships/hyperlink" Target="mailto:afuasmile@yahoo.com" TargetMode="External"/><Relationship Id="rId309" Type="http://schemas.openxmlformats.org/officeDocument/2006/relationships/image" Target="media/image125.png"/><Relationship Id="rId27" Type="http://schemas.openxmlformats.org/officeDocument/2006/relationships/hyperlink" Target="http://www.wikipedia.com/internal" TargetMode="External"/><Relationship Id="rId48" Type="http://schemas.openxmlformats.org/officeDocument/2006/relationships/image" Target="media/image19.jpeg"/><Relationship Id="rId69" Type="http://schemas.openxmlformats.org/officeDocument/2006/relationships/hyperlink" Target="mailto:ablaadzinyo@yahoo.com" TargetMode="External"/><Relationship Id="rId113" Type="http://schemas.openxmlformats.org/officeDocument/2006/relationships/hyperlink" Target="http://encyclopedia2.thefreedictionary.com/Insurance" TargetMode="External"/><Relationship Id="rId134" Type="http://schemas.openxmlformats.org/officeDocument/2006/relationships/oleObject" Target="embeddings/oleObject9.bin"/><Relationship Id="rId320" Type="http://schemas.openxmlformats.org/officeDocument/2006/relationships/image" Target="media/image133.wmf"/><Relationship Id="rId80" Type="http://schemas.openxmlformats.org/officeDocument/2006/relationships/chart" Target="charts/chart12.xml"/><Relationship Id="rId155" Type="http://schemas.openxmlformats.org/officeDocument/2006/relationships/image" Target="media/image58.wmf"/><Relationship Id="rId176" Type="http://schemas.openxmlformats.org/officeDocument/2006/relationships/image" Target="media/image67.wmf"/><Relationship Id="rId197" Type="http://schemas.openxmlformats.org/officeDocument/2006/relationships/hyperlink" Target="http://www.ico.gov.uk/Global/privacy_statement.aspx" TargetMode="External"/><Relationship Id="rId341" Type="http://schemas.openxmlformats.org/officeDocument/2006/relationships/image" Target="media/image139.jpeg"/><Relationship Id="rId362" Type="http://schemas.openxmlformats.org/officeDocument/2006/relationships/hyperlink" Target="http://www.uqtr.ca/plastination/Abstracts-2005.html" TargetMode="External"/><Relationship Id="rId201" Type="http://schemas.openxmlformats.org/officeDocument/2006/relationships/hyperlink" Target="http://www.bbc.co.uk/news/uk-14030051" TargetMode="External"/><Relationship Id="rId222" Type="http://schemas.openxmlformats.org/officeDocument/2006/relationships/image" Target="media/image76.png"/><Relationship Id="rId243" Type="http://schemas.openxmlformats.org/officeDocument/2006/relationships/hyperlink" Target="http://www.map.ren21.net/GSR/GSR2012.pdf" TargetMode="External"/><Relationship Id="rId264" Type="http://schemas.openxmlformats.org/officeDocument/2006/relationships/image" Target="media/image109.png"/><Relationship Id="rId285" Type="http://schemas.openxmlformats.org/officeDocument/2006/relationships/image" Target="media/image113.png"/><Relationship Id="rId17" Type="http://schemas.openxmlformats.org/officeDocument/2006/relationships/image" Target="media/image1.emf"/><Relationship Id="rId38" Type="http://schemas.openxmlformats.org/officeDocument/2006/relationships/image" Target="media/image12.jpeg"/><Relationship Id="rId59" Type="http://schemas.openxmlformats.org/officeDocument/2006/relationships/image" Target="media/image25.emf"/><Relationship Id="rId103" Type="http://schemas.openxmlformats.org/officeDocument/2006/relationships/image" Target="media/image34.png"/><Relationship Id="rId124" Type="http://schemas.openxmlformats.org/officeDocument/2006/relationships/oleObject" Target="embeddings/oleObject4.bin"/><Relationship Id="rId310" Type="http://schemas.openxmlformats.org/officeDocument/2006/relationships/image" Target="media/image126.png"/><Relationship Id="rId70" Type="http://schemas.openxmlformats.org/officeDocument/2006/relationships/footer" Target="footer10.xml"/><Relationship Id="rId91" Type="http://schemas.openxmlformats.org/officeDocument/2006/relationships/hyperlink" Target="mailto:akua.abruquah@gmail.com" TargetMode="External"/><Relationship Id="rId145" Type="http://schemas.openxmlformats.org/officeDocument/2006/relationships/image" Target="media/image53.wmf"/><Relationship Id="rId166" Type="http://schemas.openxmlformats.org/officeDocument/2006/relationships/image" Target="media/image64.wmf"/><Relationship Id="rId187" Type="http://schemas.openxmlformats.org/officeDocument/2006/relationships/chart" Target="charts/chart22.xml"/><Relationship Id="rId331" Type="http://schemas.openxmlformats.org/officeDocument/2006/relationships/chart" Target="charts/chart39.xml"/><Relationship Id="rId352" Type="http://schemas.openxmlformats.org/officeDocument/2006/relationships/oleObject" Target="embeddings/oleObject30.bin"/><Relationship Id="rId373" Type="http://schemas.openxmlformats.org/officeDocument/2006/relationships/chart" Target="charts/chart45.xml"/><Relationship Id="rId1" Type="http://schemas.openxmlformats.org/officeDocument/2006/relationships/customXml" Target="../customXml/item1.xml"/><Relationship Id="rId212" Type="http://schemas.openxmlformats.org/officeDocument/2006/relationships/chart" Target="charts/chart24.xml"/><Relationship Id="rId233" Type="http://schemas.openxmlformats.org/officeDocument/2006/relationships/image" Target="media/image87.png"/><Relationship Id="rId254" Type="http://schemas.openxmlformats.org/officeDocument/2006/relationships/image" Target="media/image99.jpeg"/><Relationship Id="rId28" Type="http://schemas.openxmlformats.org/officeDocument/2006/relationships/footer" Target="footer5.xml"/><Relationship Id="rId49" Type="http://schemas.openxmlformats.org/officeDocument/2006/relationships/image" Target="media/image20.jpeg"/><Relationship Id="rId114" Type="http://schemas.openxmlformats.org/officeDocument/2006/relationships/hyperlink" Target="http://encyclopedia2.thefreedictionary.com/Insurance" TargetMode="External"/><Relationship Id="rId275" Type="http://schemas.openxmlformats.org/officeDocument/2006/relationships/hyperlink" Target="http://ezinearticles.com/?The%20Many%20Applications%20of%20the%20Laboratory%20Oven&amp;id=3598769" TargetMode="External"/><Relationship Id="rId296" Type="http://schemas.openxmlformats.org/officeDocument/2006/relationships/hyperlink" Target="mailto:Kwofie@gmail.com" TargetMode="External"/><Relationship Id="rId300" Type="http://schemas.openxmlformats.org/officeDocument/2006/relationships/image" Target="media/image119.emf"/><Relationship Id="rId60" Type="http://schemas.openxmlformats.org/officeDocument/2006/relationships/image" Target="media/image26.emf"/><Relationship Id="rId81" Type="http://schemas.openxmlformats.org/officeDocument/2006/relationships/chart" Target="charts/chart13.xml"/><Relationship Id="rId135" Type="http://schemas.openxmlformats.org/officeDocument/2006/relationships/image" Target="media/image46.emf"/><Relationship Id="rId156" Type="http://schemas.openxmlformats.org/officeDocument/2006/relationships/oleObject" Target="embeddings/oleObject18.bin"/><Relationship Id="rId177" Type="http://schemas.openxmlformats.org/officeDocument/2006/relationships/package" Target="embeddings/Microsoft_Word_Document.docx"/><Relationship Id="rId198" Type="http://schemas.openxmlformats.org/officeDocument/2006/relationships/hyperlink" Target="http://www.direct.gov.uk/en/governmentcitizensandrights/yourrightsandresponsibilities/dg_10031451" TargetMode="External"/><Relationship Id="rId321" Type="http://schemas.openxmlformats.org/officeDocument/2006/relationships/oleObject" Target="embeddings/oleObject28.bin"/><Relationship Id="rId342" Type="http://schemas.openxmlformats.org/officeDocument/2006/relationships/image" Target="media/image140.jpeg"/><Relationship Id="rId363" Type="http://schemas.openxmlformats.org/officeDocument/2006/relationships/hyperlink" Target="http://physiology.med.umn.edu/anatomy/plastination.html" TargetMode="External"/><Relationship Id="rId202" Type="http://schemas.openxmlformats.org/officeDocument/2006/relationships/hyperlink" Target="http://www.academic-records.mccannuniversity.org" TargetMode="External"/><Relationship Id="rId223" Type="http://schemas.openxmlformats.org/officeDocument/2006/relationships/image" Target="media/image77.png"/><Relationship Id="rId244" Type="http://schemas.openxmlformats.org/officeDocument/2006/relationships/footer" Target="footer19.xml"/><Relationship Id="rId18" Type="http://schemas.openxmlformats.org/officeDocument/2006/relationships/image" Target="media/image2.emf"/><Relationship Id="rId39" Type="http://schemas.openxmlformats.org/officeDocument/2006/relationships/image" Target="media/image13.jpeg"/><Relationship Id="rId265" Type="http://schemas.openxmlformats.org/officeDocument/2006/relationships/image" Target="media/image110.png"/><Relationship Id="rId286" Type="http://schemas.openxmlformats.org/officeDocument/2006/relationships/image" Target="media/image114.png"/><Relationship Id="rId50" Type="http://schemas.openxmlformats.org/officeDocument/2006/relationships/image" Target="media/image21.jpeg"/><Relationship Id="rId104" Type="http://schemas.openxmlformats.org/officeDocument/2006/relationships/image" Target="media/image35.emf"/><Relationship Id="rId125" Type="http://schemas.openxmlformats.org/officeDocument/2006/relationships/image" Target="media/image41.wmf"/><Relationship Id="rId146" Type="http://schemas.openxmlformats.org/officeDocument/2006/relationships/oleObject" Target="embeddings/oleObject13.bin"/><Relationship Id="rId167" Type="http://schemas.openxmlformats.org/officeDocument/2006/relationships/oleObject" Target="embeddings/oleObject23.bin"/><Relationship Id="rId188" Type="http://schemas.openxmlformats.org/officeDocument/2006/relationships/hyperlink" Target="http://ukpmc.ac.uk/search/?page=1&amp;query=secondary+hypertension+AND+AUTH:%22Yamaguchi+K%22&amp;refineauth=Yamaguchi+K" TargetMode="External"/><Relationship Id="rId311" Type="http://schemas.openxmlformats.org/officeDocument/2006/relationships/image" Target="media/image127.png"/><Relationship Id="rId332" Type="http://schemas.openxmlformats.org/officeDocument/2006/relationships/chart" Target="charts/chart40.xml"/><Relationship Id="rId353" Type="http://schemas.openxmlformats.org/officeDocument/2006/relationships/image" Target="media/image143.png"/><Relationship Id="rId374" Type="http://schemas.openxmlformats.org/officeDocument/2006/relationships/chart" Target="charts/chart46.xml"/><Relationship Id="rId71" Type="http://schemas.openxmlformats.org/officeDocument/2006/relationships/hyperlink" Target="mailto:edzisah@yahoo.com" TargetMode="External"/><Relationship Id="rId92" Type="http://schemas.openxmlformats.org/officeDocument/2006/relationships/chart" Target="charts/chart16.xml"/><Relationship Id="rId213" Type="http://schemas.openxmlformats.org/officeDocument/2006/relationships/chart" Target="charts/chart25.xml"/><Relationship Id="rId234" Type="http://schemas.openxmlformats.org/officeDocument/2006/relationships/image" Target="media/image88.png"/><Relationship Id="rId2" Type="http://schemas.openxmlformats.org/officeDocument/2006/relationships/numbering" Target="numbering.xml"/><Relationship Id="rId29" Type="http://schemas.openxmlformats.org/officeDocument/2006/relationships/chart" Target="charts/chart1.xml"/><Relationship Id="rId255" Type="http://schemas.openxmlformats.org/officeDocument/2006/relationships/image" Target="media/image100.jpeg"/><Relationship Id="rId276" Type="http://schemas.openxmlformats.org/officeDocument/2006/relationships/hyperlink" Target="http://www.labmanager.com/?articles.view/articleNo/5783/title/An-Energy-Efficient-Laboratory-Oven/" TargetMode="External"/><Relationship Id="rId297" Type="http://schemas.openxmlformats.org/officeDocument/2006/relationships/hyperlink" Target="mailto:ebenezer.okyere@bog.gov.gh" TargetMode="External"/><Relationship Id="rId40" Type="http://schemas.openxmlformats.org/officeDocument/2006/relationships/image" Target="media/image14.jpeg"/><Relationship Id="rId115" Type="http://schemas.openxmlformats.org/officeDocument/2006/relationships/hyperlink" Target="http://mybusinessweekafrica.com/topheadlines-detail.php" TargetMode="External"/><Relationship Id="rId136" Type="http://schemas.openxmlformats.org/officeDocument/2006/relationships/image" Target="media/image47.emf"/><Relationship Id="rId157" Type="http://schemas.openxmlformats.org/officeDocument/2006/relationships/image" Target="media/image59.emf"/><Relationship Id="rId178" Type="http://schemas.openxmlformats.org/officeDocument/2006/relationships/image" Target="media/image68.emf"/><Relationship Id="rId301" Type="http://schemas.openxmlformats.org/officeDocument/2006/relationships/image" Target="media/image120.emf"/><Relationship Id="rId322" Type="http://schemas.openxmlformats.org/officeDocument/2006/relationships/image" Target="media/image134.jpeg"/><Relationship Id="rId343" Type="http://schemas.openxmlformats.org/officeDocument/2006/relationships/image" Target="media/image141.jpeg"/><Relationship Id="rId364" Type="http://schemas.openxmlformats.org/officeDocument/2006/relationships/hyperlink" Target="http://www.bodyworlds.com/Downloads/Biodur/BIODUR_ENG_2007_140408.pdf" TargetMode="External"/><Relationship Id="rId61" Type="http://schemas.openxmlformats.org/officeDocument/2006/relationships/image" Target="media/image27.png"/><Relationship Id="rId82" Type="http://schemas.openxmlformats.org/officeDocument/2006/relationships/chart" Target="charts/chart14.xml"/><Relationship Id="rId199" Type="http://schemas.openxmlformats.org/officeDocument/2006/relationships/hyperlink" Target="http://www.city.ac.uk/about/city-information/legal/how-to-access-information" TargetMode="External"/><Relationship Id="rId203" Type="http://schemas.openxmlformats.org/officeDocument/2006/relationships/hyperlink" Target="http://www.temple.edu/registrar/" TargetMode="External"/><Relationship Id="rId19" Type="http://schemas.openxmlformats.org/officeDocument/2006/relationships/image" Target="media/image3.emf"/><Relationship Id="rId224" Type="http://schemas.openxmlformats.org/officeDocument/2006/relationships/image" Target="media/image78.png"/><Relationship Id="rId245" Type="http://schemas.openxmlformats.org/officeDocument/2006/relationships/footer" Target="footer20.xml"/><Relationship Id="rId266" Type="http://schemas.openxmlformats.org/officeDocument/2006/relationships/image" Target="media/image111.png"/><Relationship Id="rId287" Type="http://schemas.openxmlformats.org/officeDocument/2006/relationships/image" Target="media/image115.png"/><Relationship Id="rId30" Type="http://schemas.openxmlformats.org/officeDocument/2006/relationships/chart" Target="charts/chart2.xml"/><Relationship Id="rId105" Type="http://schemas.openxmlformats.org/officeDocument/2006/relationships/image" Target="media/image36.emf"/><Relationship Id="rId126" Type="http://schemas.openxmlformats.org/officeDocument/2006/relationships/oleObject" Target="embeddings/oleObject5.bin"/><Relationship Id="rId147" Type="http://schemas.openxmlformats.org/officeDocument/2006/relationships/image" Target="media/image54.wmf"/><Relationship Id="rId168" Type="http://schemas.openxmlformats.org/officeDocument/2006/relationships/oleObject" Target="embeddings/oleObject24.bin"/><Relationship Id="rId312" Type="http://schemas.openxmlformats.org/officeDocument/2006/relationships/image" Target="media/image128.jpeg"/><Relationship Id="rId333" Type="http://schemas.openxmlformats.org/officeDocument/2006/relationships/chart" Target="charts/chart41.xml"/><Relationship Id="rId354" Type="http://schemas.openxmlformats.org/officeDocument/2006/relationships/image" Target="media/image144.png"/><Relationship Id="rId51" Type="http://schemas.openxmlformats.org/officeDocument/2006/relationships/image" Target="media/image22.jpeg"/><Relationship Id="rId72" Type="http://schemas.openxmlformats.org/officeDocument/2006/relationships/hyperlink" Target="mailto:elikem75@yahoo.co.uk" TargetMode="External"/><Relationship Id="rId93" Type="http://schemas.openxmlformats.org/officeDocument/2006/relationships/chart" Target="charts/chart17.xml"/><Relationship Id="rId189" Type="http://schemas.openxmlformats.org/officeDocument/2006/relationships/hyperlink" Target="http://ukpmc.ac.uk/search/?page=1&amp;query=secondary+hypertension+AND+AUTH:%22Kakuta+Y%22&amp;refineauth=Kakuta+Y" TargetMode="External"/><Relationship Id="rId375" Type="http://schemas.openxmlformats.org/officeDocument/2006/relationships/footer" Target="footer28.xml"/><Relationship Id="rId3" Type="http://schemas.openxmlformats.org/officeDocument/2006/relationships/styles" Target="styles.xml"/><Relationship Id="rId214" Type="http://schemas.openxmlformats.org/officeDocument/2006/relationships/chart" Target="charts/chart26.xml"/><Relationship Id="rId235" Type="http://schemas.openxmlformats.org/officeDocument/2006/relationships/image" Target="media/image89.jpeg"/><Relationship Id="rId256" Type="http://schemas.openxmlformats.org/officeDocument/2006/relationships/image" Target="media/image101.jpeg"/><Relationship Id="rId277" Type="http://schemas.openxmlformats.org/officeDocument/2006/relationships/image" Target="media/image112.gif"/><Relationship Id="rId298" Type="http://schemas.openxmlformats.org/officeDocument/2006/relationships/hyperlink" Target="mailto:alicemen_sah@yahoo.co.uk" TargetMode="External"/><Relationship Id="rId116" Type="http://schemas.openxmlformats.org/officeDocument/2006/relationships/hyperlink" Target="http://www.nicgh.org/live/en/?pg=104.pp" TargetMode="External"/><Relationship Id="rId137" Type="http://schemas.openxmlformats.org/officeDocument/2006/relationships/image" Target="media/image48.wmf"/><Relationship Id="rId158" Type="http://schemas.openxmlformats.org/officeDocument/2006/relationships/image" Target="media/image60.wmf"/><Relationship Id="rId302" Type="http://schemas.openxmlformats.org/officeDocument/2006/relationships/image" Target="media/image121.emf"/><Relationship Id="rId323" Type="http://schemas.openxmlformats.org/officeDocument/2006/relationships/footer" Target="footer25.xml"/><Relationship Id="rId344" Type="http://schemas.openxmlformats.org/officeDocument/2006/relationships/chart" Target="charts/chart44.xml"/><Relationship Id="rId20" Type="http://schemas.openxmlformats.org/officeDocument/2006/relationships/image" Target="media/image4.emf"/><Relationship Id="rId41" Type="http://schemas.openxmlformats.org/officeDocument/2006/relationships/image" Target="media/image15.jpeg"/><Relationship Id="rId62" Type="http://schemas.openxmlformats.org/officeDocument/2006/relationships/image" Target="media/image28.png"/><Relationship Id="rId83" Type="http://schemas.openxmlformats.org/officeDocument/2006/relationships/hyperlink" Target="http://www.ghanaweb.com" TargetMode="External"/><Relationship Id="rId179" Type="http://schemas.openxmlformats.org/officeDocument/2006/relationships/image" Target="media/image69.emf"/><Relationship Id="rId365" Type="http://schemas.openxmlformats.org/officeDocument/2006/relationships/footer" Target="footer27.xml"/><Relationship Id="rId190" Type="http://schemas.openxmlformats.org/officeDocument/2006/relationships/hyperlink" Target="http://ukpmc.ac.uk/search/?page=1&amp;query=secondary+hypertension+AND+AUTH:%22Nishikawa+T%22&amp;refineauth=Nishikawa+T" TargetMode="External"/><Relationship Id="rId204" Type="http://schemas.openxmlformats.org/officeDocument/2006/relationships/hyperlink" Target="http://www.manchester.ac.uk/aboutus/documents/privacy/" TargetMode="External"/><Relationship Id="rId225" Type="http://schemas.openxmlformats.org/officeDocument/2006/relationships/image" Target="media/image79.png"/><Relationship Id="rId246" Type="http://schemas.openxmlformats.org/officeDocument/2006/relationships/footer" Target="footer21.xml"/><Relationship Id="rId267" Type="http://schemas.openxmlformats.org/officeDocument/2006/relationships/hyperlink" Target="http://www.labmanager.com/?articles.view/articleNo/4218/title/Lab-Ovens--Basic-utilities-for-heating--drying--processing/" TargetMode="External"/><Relationship Id="rId288" Type="http://schemas.openxmlformats.org/officeDocument/2006/relationships/image" Target="media/image116.png"/><Relationship Id="rId106" Type="http://schemas.openxmlformats.org/officeDocument/2006/relationships/chart" Target="charts/chart21.xml"/><Relationship Id="rId127" Type="http://schemas.openxmlformats.org/officeDocument/2006/relationships/image" Target="media/image42.wmf"/><Relationship Id="rId313" Type="http://schemas.openxmlformats.org/officeDocument/2006/relationships/image" Target="media/image129.jpeg"/><Relationship Id="rId10" Type="http://schemas.openxmlformats.org/officeDocument/2006/relationships/header" Target="header1.xml"/><Relationship Id="rId31" Type="http://schemas.openxmlformats.org/officeDocument/2006/relationships/chart" Target="charts/chart3.xml"/><Relationship Id="rId52" Type="http://schemas.openxmlformats.org/officeDocument/2006/relationships/hyperlink" Target="http://www.oandplibrary.org/op/1976_04_031.asp" TargetMode="External"/><Relationship Id="rId73" Type="http://schemas.openxmlformats.org/officeDocument/2006/relationships/chart" Target="charts/chart5.xml"/><Relationship Id="rId94" Type="http://schemas.openxmlformats.org/officeDocument/2006/relationships/chart" Target="charts/chart18.xml"/><Relationship Id="rId148" Type="http://schemas.openxmlformats.org/officeDocument/2006/relationships/oleObject" Target="embeddings/oleObject14.bin"/><Relationship Id="rId169" Type="http://schemas.openxmlformats.org/officeDocument/2006/relationships/image" Target="media/image65.wmf"/><Relationship Id="rId334" Type="http://schemas.openxmlformats.org/officeDocument/2006/relationships/chart" Target="charts/chart42.xml"/><Relationship Id="rId355" Type="http://schemas.openxmlformats.org/officeDocument/2006/relationships/image" Target="media/image145.png"/><Relationship Id="rId376" Type="http://schemas.openxmlformats.org/officeDocument/2006/relationships/image" Target="media/image151.png"/><Relationship Id="rId4" Type="http://schemas.openxmlformats.org/officeDocument/2006/relationships/settings" Target="settings.xml"/><Relationship Id="rId180" Type="http://schemas.openxmlformats.org/officeDocument/2006/relationships/image" Target="media/image70.emf"/><Relationship Id="rId215" Type="http://schemas.openxmlformats.org/officeDocument/2006/relationships/footer" Target="footer16.xml"/><Relationship Id="rId236" Type="http://schemas.openxmlformats.org/officeDocument/2006/relationships/footer" Target="footer18.xml"/><Relationship Id="rId257" Type="http://schemas.openxmlformats.org/officeDocument/2006/relationships/image" Target="media/image102.png"/><Relationship Id="rId278" Type="http://schemas.openxmlformats.org/officeDocument/2006/relationships/chart" Target="charts/chart27.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EMMA\Desktop\Abstract%20and%20papers\excel%20biogas%20paper.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thesis%20apendix\thesis%20graph.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MMA\Desktop\Abstract%20and%20papers\excel%20biogas%20paper.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2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3.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3.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EMMA\Desktop\Abstract%20and%20papers\excel%20biogas%20paper.xlsx" TargetMode="Externa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3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2.xml"/></Relationships>
</file>

<file path=word/charts/_rels/chart35.xml.rels><?xml version="1.0" encoding="UTF-8" standalone="yes"?>
<Relationships xmlns="http://schemas.openxmlformats.org/package/2006/relationships"><Relationship Id="rId1" Type="http://schemas.openxmlformats.org/officeDocument/2006/relationships/oleObject" Target="file:///C:\Users\EBENCONNIE\Desktop\VaR\week_data.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Book1"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EMMA\Desktop\Abstract%20and%20papers\excel%20biogas%20paper.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Book1"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Book1"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Book1" TargetMode="Externa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3.xm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E:\Boss%20SLT.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E:\Boss%20SL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TO%20IPAD\Koforidua%20Conf\KOF%20PAPER.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invertIfNegative val="0"/>
          <c:cat>
            <c:strRef>
              <c:f>Sheet1!$B$3:$E$3</c:f>
              <c:strCache>
                <c:ptCount val="4"/>
                <c:pt idx="0">
                  <c:v>October </c:v>
                </c:pt>
                <c:pt idx="1">
                  <c:v>November</c:v>
                </c:pt>
                <c:pt idx="2">
                  <c:v>December</c:v>
                </c:pt>
                <c:pt idx="3">
                  <c:v>January</c:v>
                </c:pt>
              </c:strCache>
            </c:strRef>
          </c:cat>
          <c:val>
            <c:numRef>
              <c:f>Sheet1!$B$4:$E$4</c:f>
              <c:numCache>
                <c:formatCode>General</c:formatCode>
                <c:ptCount val="4"/>
                <c:pt idx="0">
                  <c:v>441</c:v>
                </c:pt>
                <c:pt idx="1">
                  <c:v>597.29999999999995</c:v>
                </c:pt>
                <c:pt idx="2">
                  <c:v>500.7</c:v>
                </c:pt>
                <c:pt idx="3">
                  <c:v>469.3</c:v>
                </c:pt>
              </c:numCache>
            </c:numRef>
          </c:val>
          <c:extLst>
            <c:ext xmlns:c16="http://schemas.microsoft.com/office/drawing/2014/chart" uri="{C3380CC4-5D6E-409C-BE32-E72D297353CC}">
              <c16:uniqueId val="{00000000-3AC7-4469-BCFF-6C6D673D559D}"/>
            </c:ext>
          </c:extLst>
        </c:ser>
        <c:dLbls>
          <c:showLegendKey val="0"/>
          <c:showVal val="0"/>
          <c:showCatName val="0"/>
          <c:showSerName val="0"/>
          <c:showPercent val="0"/>
          <c:showBubbleSize val="0"/>
        </c:dLbls>
        <c:gapWidth val="150"/>
        <c:overlap val="100"/>
        <c:axId val="166324480"/>
        <c:axId val="166439936"/>
      </c:barChart>
      <c:catAx>
        <c:axId val="166324480"/>
        <c:scaling>
          <c:orientation val="minMax"/>
        </c:scaling>
        <c:delete val="0"/>
        <c:axPos val="b"/>
        <c:numFmt formatCode="General" sourceLinked="0"/>
        <c:majorTickMark val="out"/>
        <c:minorTickMark val="none"/>
        <c:tickLblPos val="nextTo"/>
        <c:txPr>
          <a:bodyPr/>
          <a:lstStyle/>
          <a:p>
            <a:pPr>
              <a:defRPr lang="en-US" sz="1000">
                <a:latin typeface="Times New Roman" pitchFamily="18" charset="0"/>
                <a:cs typeface="Times New Roman" pitchFamily="18" charset="0"/>
              </a:defRPr>
            </a:pPr>
            <a:endParaRPr lang="en-US"/>
          </a:p>
        </c:txPr>
        <c:crossAx val="166439936"/>
        <c:crosses val="autoZero"/>
        <c:auto val="1"/>
        <c:lblAlgn val="ctr"/>
        <c:lblOffset val="100"/>
        <c:noMultiLvlLbl val="0"/>
      </c:catAx>
      <c:valAx>
        <c:axId val="166439936"/>
        <c:scaling>
          <c:orientation val="minMax"/>
        </c:scaling>
        <c:delete val="0"/>
        <c:axPos val="l"/>
        <c:majorGridlines/>
        <c:title>
          <c:tx>
            <c:rich>
              <a:bodyPr rot="-5400000" vert="horz"/>
              <a:lstStyle/>
              <a:p>
                <a:pPr>
                  <a:defRPr lang="en-US" sz="1200">
                    <a:latin typeface="Times New Roman" pitchFamily="18" charset="0"/>
                    <a:cs typeface="Times New Roman" pitchFamily="18" charset="0"/>
                  </a:defRPr>
                </a:pPr>
                <a:r>
                  <a:rPr lang="en-US" sz="1200">
                    <a:latin typeface="Times New Roman" pitchFamily="18" charset="0"/>
                    <a:cs typeface="Times New Roman" pitchFamily="18" charset="0"/>
                  </a:rPr>
                  <a:t>mass</a:t>
                </a:r>
                <a:r>
                  <a:rPr lang="en-US" sz="1200" baseline="0">
                    <a:latin typeface="Times New Roman" pitchFamily="18" charset="0"/>
                    <a:cs typeface="Times New Roman" pitchFamily="18" charset="0"/>
                  </a:rPr>
                  <a:t> (kg)</a:t>
                </a:r>
                <a:endParaRPr lang="en-US" sz="120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lang="en-US"/>
            </a:pPr>
            <a:endParaRPr lang="en-US"/>
          </a:p>
        </c:txPr>
        <c:crossAx val="166324480"/>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Sheet12!$B$1</c:f>
              <c:strCache>
                <c:ptCount val="1"/>
                <c:pt idx="0">
                  <c:v>Management</c:v>
                </c:pt>
              </c:strCache>
            </c:strRef>
          </c:tx>
          <c:invertIfNegative val="0"/>
          <c:cat>
            <c:strRef>
              <c:f>Sheet12!$A$2:$A$5</c:f>
              <c:strCache>
                <c:ptCount val="4"/>
                <c:pt idx="0">
                  <c:v>Focus on customer</c:v>
                </c:pt>
                <c:pt idx="1">
                  <c:v>Focus on complaint</c:v>
                </c:pt>
                <c:pt idx="2">
                  <c:v>Instant resolution</c:v>
                </c:pt>
                <c:pt idx="3">
                  <c:v>Focus on process of improvement</c:v>
                </c:pt>
              </c:strCache>
            </c:strRef>
          </c:cat>
          <c:val>
            <c:numRef>
              <c:f>Sheet12!$B$2:$B$5</c:f>
              <c:numCache>
                <c:formatCode>General</c:formatCode>
                <c:ptCount val="4"/>
                <c:pt idx="0">
                  <c:v>8</c:v>
                </c:pt>
                <c:pt idx="1">
                  <c:v>7</c:v>
                </c:pt>
                <c:pt idx="2">
                  <c:v>10</c:v>
                </c:pt>
                <c:pt idx="3">
                  <c:v>7</c:v>
                </c:pt>
              </c:numCache>
            </c:numRef>
          </c:val>
          <c:extLst>
            <c:ext xmlns:c16="http://schemas.microsoft.com/office/drawing/2014/chart" uri="{C3380CC4-5D6E-409C-BE32-E72D297353CC}">
              <c16:uniqueId val="{00000000-C67F-48AB-801A-1ACA6F2E15B5}"/>
            </c:ext>
          </c:extLst>
        </c:ser>
        <c:ser>
          <c:idx val="1"/>
          <c:order val="1"/>
          <c:tx>
            <c:strRef>
              <c:f>Sheet12!$C$1</c:f>
              <c:strCache>
                <c:ptCount val="1"/>
                <c:pt idx="0">
                  <c:v>Customers </c:v>
                </c:pt>
              </c:strCache>
            </c:strRef>
          </c:tx>
          <c:invertIfNegative val="0"/>
          <c:cat>
            <c:strRef>
              <c:f>Sheet12!$A$2:$A$5</c:f>
              <c:strCache>
                <c:ptCount val="4"/>
                <c:pt idx="0">
                  <c:v>Focus on customer</c:v>
                </c:pt>
                <c:pt idx="1">
                  <c:v>Focus on complaint</c:v>
                </c:pt>
                <c:pt idx="2">
                  <c:v>Instant resolution</c:v>
                </c:pt>
                <c:pt idx="3">
                  <c:v>Focus on process of improvement</c:v>
                </c:pt>
              </c:strCache>
            </c:strRef>
          </c:cat>
          <c:val>
            <c:numRef>
              <c:f>Sheet12!$C$2:$C$5</c:f>
              <c:numCache>
                <c:formatCode>General</c:formatCode>
                <c:ptCount val="4"/>
                <c:pt idx="0">
                  <c:v>13</c:v>
                </c:pt>
                <c:pt idx="1">
                  <c:v>6</c:v>
                </c:pt>
                <c:pt idx="2">
                  <c:v>12</c:v>
                </c:pt>
                <c:pt idx="3">
                  <c:v>9</c:v>
                </c:pt>
              </c:numCache>
            </c:numRef>
          </c:val>
          <c:extLst>
            <c:ext xmlns:c16="http://schemas.microsoft.com/office/drawing/2014/chart" uri="{C3380CC4-5D6E-409C-BE32-E72D297353CC}">
              <c16:uniqueId val="{00000001-C67F-48AB-801A-1ACA6F2E15B5}"/>
            </c:ext>
          </c:extLst>
        </c:ser>
        <c:dLbls>
          <c:showLegendKey val="0"/>
          <c:showVal val="0"/>
          <c:showCatName val="0"/>
          <c:showSerName val="0"/>
          <c:showPercent val="0"/>
          <c:showBubbleSize val="0"/>
        </c:dLbls>
        <c:gapWidth val="150"/>
        <c:axId val="195967616"/>
        <c:axId val="195981696"/>
      </c:barChart>
      <c:catAx>
        <c:axId val="195967616"/>
        <c:scaling>
          <c:orientation val="minMax"/>
        </c:scaling>
        <c:delete val="0"/>
        <c:axPos val="b"/>
        <c:numFmt formatCode="General" sourceLinked="1"/>
        <c:majorTickMark val="none"/>
        <c:minorTickMark val="none"/>
        <c:tickLblPos val="nextTo"/>
        <c:txPr>
          <a:bodyPr/>
          <a:lstStyle/>
          <a:p>
            <a:pPr>
              <a:defRPr lang="en-GB"/>
            </a:pPr>
            <a:endParaRPr lang="en-US"/>
          </a:p>
        </c:txPr>
        <c:crossAx val="195981696"/>
        <c:crosses val="autoZero"/>
        <c:auto val="1"/>
        <c:lblAlgn val="ctr"/>
        <c:lblOffset val="100"/>
        <c:noMultiLvlLbl val="0"/>
      </c:catAx>
      <c:valAx>
        <c:axId val="195981696"/>
        <c:scaling>
          <c:orientation val="minMax"/>
        </c:scaling>
        <c:delete val="0"/>
        <c:axPos val="l"/>
        <c:majorGridlines/>
        <c:title>
          <c:tx>
            <c:rich>
              <a:bodyPr/>
              <a:lstStyle/>
              <a:p>
                <a:pPr>
                  <a:defRPr lang="en-GB"/>
                </a:pPr>
                <a:r>
                  <a:rPr lang="en-US"/>
                  <a:t>Rating</a:t>
                </a:r>
              </a:p>
            </c:rich>
          </c:tx>
          <c:overlay val="0"/>
        </c:title>
        <c:numFmt formatCode="General" sourceLinked="1"/>
        <c:majorTickMark val="none"/>
        <c:minorTickMark val="none"/>
        <c:tickLblPos val="nextTo"/>
        <c:txPr>
          <a:bodyPr/>
          <a:lstStyle/>
          <a:p>
            <a:pPr>
              <a:defRPr lang="en-GB"/>
            </a:pPr>
            <a:endParaRPr lang="en-US"/>
          </a:p>
        </c:txPr>
        <c:crossAx val="195967616"/>
        <c:crosses val="autoZero"/>
        <c:crossBetween val="between"/>
      </c:valAx>
      <c:dTable>
        <c:showHorzBorder val="1"/>
        <c:showVertBorder val="1"/>
        <c:showOutline val="1"/>
        <c:showKeys val="1"/>
        <c:txPr>
          <a:bodyPr/>
          <a:lstStyle/>
          <a:p>
            <a:pPr rtl="0">
              <a:defRPr lang="en-GB"/>
            </a:pPr>
            <a:endParaRPr lang="en-US"/>
          </a:p>
        </c:txPr>
      </c:dTable>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Sheet7!$B$1</c:f>
              <c:strCache>
                <c:ptCount val="1"/>
                <c:pt idx="0">
                  <c:v>Customers</c:v>
                </c:pt>
              </c:strCache>
            </c:strRef>
          </c:tx>
          <c:invertIfNegative val="0"/>
          <c:cat>
            <c:strRef>
              <c:f>Sheet7!$A$2:$A$6</c:f>
              <c:strCache>
                <c:ptCount val="5"/>
                <c:pt idx="0">
                  <c:v>Excellent</c:v>
                </c:pt>
                <c:pt idx="1">
                  <c:v>Very good</c:v>
                </c:pt>
                <c:pt idx="2">
                  <c:v>Good</c:v>
                </c:pt>
                <c:pt idx="3">
                  <c:v>Fair</c:v>
                </c:pt>
                <c:pt idx="4">
                  <c:v>Poor</c:v>
                </c:pt>
              </c:strCache>
            </c:strRef>
          </c:cat>
          <c:val>
            <c:numRef>
              <c:f>Sheet7!$B$2:$B$6</c:f>
              <c:numCache>
                <c:formatCode>General</c:formatCode>
                <c:ptCount val="5"/>
                <c:pt idx="0">
                  <c:v>12</c:v>
                </c:pt>
                <c:pt idx="1">
                  <c:v>22</c:v>
                </c:pt>
                <c:pt idx="2">
                  <c:v>26</c:v>
                </c:pt>
                <c:pt idx="3">
                  <c:v>16</c:v>
                </c:pt>
                <c:pt idx="4">
                  <c:v>4</c:v>
                </c:pt>
              </c:numCache>
            </c:numRef>
          </c:val>
          <c:extLst>
            <c:ext xmlns:c16="http://schemas.microsoft.com/office/drawing/2014/chart" uri="{C3380CC4-5D6E-409C-BE32-E72D297353CC}">
              <c16:uniqueId val="{00000000-7741-49DD-AC8A-D90E3767A86E}"/>
            </c:ext>
          </c:extLst>
        </c:ser>
        <c:ser>
          <c:idx val="1"/>
          <c:order val="1"/>
          <c:tx>
            <c:strRef>
              <c:f>Sheet7!$C$1</c:f>
              <c:strCache>
                <c:ptCount val="1"/>
                <c:pt idx="0">
                  <c:v>Management</c:v>
                </c:pt>
              </c:strCache>
            </c:strRef>
          </c:tx>
          <c:invertIfNegative val="0"/>
          <c:cat>
            <c:strRef>
              <c:f>Sheet7!$A$2:$A$6</c:f>
              <c:strCache>
                <c:ptCount val="5"/>
                <c:pt idx="0">
                  <c:v>Excellent</c:v>
                </c:pt>
                <c:pt idx="1">
                  <c:v>Very good</c:v>
                </c:pt>
                <c:pt idx="2">
                  <c:v>Good</c:v>
                </c:pt>
                <c:pt idx="3">
                  <c:v>Fair</c:v>
                </c:pt>
                <c:pt idx="4">
                  <c:v>Poor</c:v>
                </c:pt>
              </c:strCache>
            </c:strRef>
          </c:cat>
          <c:val>
            <c:numRef>
              <c:f>Sheet7!$C$2:$C$6</c:f>
              <c:numCache>
                <c:formatCode>General</c:formatCode>
                <c:ptCount val="5"/>
                <c:pt idx="0">
                  <c:v>12</c:v>
                </c:pt>
                <c:pt idx="1">
                  <c:v>4</c:v>
                </c:pt>
                <c:pt idx="2">
                  <c:v>2</c:v>
                </c:pt>
                <c:pt idx="3">
                  <c:v>2</c:v>
                </c:pt>
                <c:pt idx="4">
                  <c:v>0</c:v>
                </c:pt>
              </c:numCache>
            </c:numRef>
          </c:val>
          <c:extLst>
            <c:ext xmlns:c16="http://schemas.microsoft.com/office/drawing/2014/chart" uri="{C3380CC4-5D6E-409C-BE32-E72D297353CC}">
              <c16:uniqueId val="{00000001-7741-49DD-AC8A-D90E3767A86E}"/>
            </c:ext>
          </c:extLst>
        </c:ser>
        <c:dLbls>
          <c:showLegendKey val="0"/>
          <c:showVal val="0"/>
          <c:showCatName val="0"/>
          <c:showSerName val="0"/>
          <c:showPercent val="0"/>
          <c:showBubbleSize val="0"/>
        </c:dLbls>
        <c:gapWidth val="150"/>
        <c:axId val="195995520"/>
        <c:axId val="195997056"/>
      </c:barChart>
      <c:catAx>
        <c:axId val="195995520"/>
        <c:scaling>
          <c:orientation val="minMax"/>
        </c:scaling>
        <c:delete val="0"/>
        <c:axPos val="b"/>
        <c:numFmt formatCode="General" sourceLinked="1"/>
        <c:majorTickMark val="none"/>
        <c:minorTickMark val="none"/>
        <c:tickLblPos val="nextTo"/>
        <c:txPr>
          <a:bodyPr/>
          <a:lstStyle/>
          <a:p>
            <a:pPr>
              <a:defRPr lang="en-GB"/>
            </a:pPr>
            <a:endParaRPr lang="en-US"/>
          </a:p>
        </c:txPr>
        <c:crossAx val="195997056"/>
        <c:crosses val="autoZero"/>
        <c:auto val="1"/>
        <c:lblAlgn val="ctr"/>
        <c:lblOffset val="100"/>
        <c:noMultiLvlLbl val="0"/>
      </c:catAx>
      <c:valAx>
        <c:axId val="195997056"/>
        <c:scaling>
          <c:orientation val="minMax"/>
        </c:scaling>
        <c:delete val="0"/>
        <c:axPos val="l"/>
        <c:majorGridlines/>
        <c:numFmt formatCode="General" sourceLinked="1"/>
        <c:majorTickMark val="none"/>
        <c:minorTickMark val="none"/>
        <c:tickLblPos val="nextTo"/>
        <c:txPr>
          <a:bodyPr/>
          <a:lstStyle/>
          <a:p>
            <a:pPr>
              <a:defRPr lang="en-GB"/>
            </a:pPr>
            <a:endParaRPr lang="en-US"/>
          </a:p>
        </c:txPr>
        <c:crossAx val="195995520"/>
        <c:crosses val="autoZero"/>
        <c:crossBetween val="between"/>
      </c:valAx>
      <c:dTable>
        <c:showHorzBorder val="1"/>
        <c:showVertBorder val="1"/>
        <c:showOutline val="1"/>
        <c:showKeys val="1"/>
        <c:txPr>
          <a:bodyPr/>
          <a:lstStyle/>
          <a:p>
            <a:pPr rtl="0">
              <a:defRPr lang="en-GB"/>
            </a:pPr>
            <a:endParaRPr lang="en-US"/>
          </a:p>
        </c:txPr>
      </c:dTable>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Sheet8!$B$1</c:f>
              <c:strCache>
                <c:ptCount val="1"/>
                <c:pt idx="0">
                  <c:v>Management</c:v>
                </c:pt>
              </c:strCache>
            </c:strRef>
          </c:tx>
          <c:invertIfNegative val="0"/>
          <c:cat>
            <c:strRef>
              <c:f>Sheet8!$A$2:$A$6</c:f>
              <c:strCache>
                <c:ptCount val="5"/>
                <c:pt idx="0">
                  <c:v>Strongly Disagree</c:v>
                </c:pt>
                <c:pt idx="1">
                  <c:v>Agree</c:v>
                </c:pt>
                <c:pt idx="2">
                  <c:v>Neutral</c:v>
                </c:pt>
                <c:pt idx="3">
                  <c:v>Disagree</c:v>
                </c:pt>
                <c:pt idx="4">
                  <c:v>Strongly Agree</c:v>
                </c:pt>
              </c:strCache>
            </c:strRef>
          </c:cat>
          <c:val>
            <c:numRef>
              <c:f>Sheet8!$B$2:$B$6</c:f>
              <c:numCache>
                <c:formatCode>General</c:formatCode>
                <c:ptCount val="5"/>
                <c:pt idx="0">
                  <c:v>2</c:v>
                </c:pt>
                <c:pt idx="1">
                  <c:v>8</c:v>
                </c:pt>
                <c:pt idx="2">
                  <c:v>0</c:v>
                </c:pt>
                <c:pt idx="3">
                  <c:v>2</c:v>
                </c:pt>
                <c:pt idx="4">
                  <c:v>4</c:v>
                </c:pt>
              </c:numCache>
            </c:numRef>
          </c:val>
          <c:extLst>
            <c:ext xmlns:c16="http://schemas.microsoft.com/office/drawing/2014/chart" uri="{C3380CC4-5D6E-409C-BE32-E72D297353CC}">
              <c16:uniqueId val="{00000000-CAD6-4C89-A15B-502BC0CCD6E1}"/>
            </c:ext>
          </c:extLst>
        </c:ser>
        <c:ser>
          <c:idx val="1"/>
          <c:order val="1"/>
          <c:tx>
            <c:strRef>
              <c:f>Sheet8!$C$1</c:f>
              <c:strCache>
                <c:ptCount val="1"/>
                <c:pt idx="0">
                  <c:v>Customers</c:v>
                </c:pt>
              </c:strCache>
            </c:strRef>
          </c:tx>
          <c:invertIfNegative val="0"/>
          <c:cat>
            <c:strRef>
              <c:f>Sheet8!$A$2:$A$6</c:f>
              <c:strCache>
                <c:ptCount val="5"/>
                <c:pt idx="0">
                  <c:v>Strongly Disagree</c:v>
                </c:pt>
                <c:pt idx="1">
                  <c:v>Agree</c:v>
                </c:pt>
                <c:pt idx="2">
                  <c:v>Neutral</c:v>
                </c:pt>
                <c:pt idx="3">
                  <c:v>Disagree</c:v>
                </c:pt>
                <c:pt idx="4">
                  <c:v>Strongly Agree</c:v>
                </c:pt>
              </c:strCache>
            </c:strRef>
          </c:cat>
          <c:val>
            <c:numRef>
              <c:f>Sheet8!$C$2:$C$6</c:f>
              <c:numCache>
                <c:formatCode>General</c:formatCode>
                <c:ptCount val="5"/>
                <c:pt idx="0">
                  <c:v>4</c:v>
                </c:pt>
                <c:pt idx="1">
                  <c:v>26</c:v>
                </c:pt>
                <c:pt idx="2">
                  <c:v>2</c:v>
                </c:pt>
                <c:pt idx="3">
                  <c:v>6</c:v>
                </c:pt>
                <c:pt idx="4">
                  <c:v>42</c:v>
                </c:pt>
              </c:numCache>
            </c:numRef>
          </c:val>
          <c:extLst>
            <c:ext xmlns:c16="http://schemas.microsoft.com/office/drawing/2014/chart" uri="{C3380CC4-5D6E-409C-BE32-E72D297353CC}">
              <c16:uniqueId val="{00000001-CAD6-4C89-A15B-502BC0CCD6E1}"/>
            </c:ext>
          </c:extLst>
        </c:ser>
        <c:dLbls>
          <c:showLegendKey val="0"/>
          <c:showVal val="0"/>
          <c:showCatName val="0"/>
          <c:showSerName val="0"/>
          <c:showPercent val="0"/>
          <c:showBubbleSize val="0"/>
        </c:dLbls>
        <c:gapWidth val="150"/>
        <c:axId val="196158208"/>
        <c:axId val="196159744"/>
      </c:barChart>
      <c:catAx>
        <c:axId val="196158208"/>
        <c:scaling>
          <c:orientation val="minMax"/>
        </c:scaling>
        <c:delete val="0"/>
        <c:axPos val="b"/>
        <c:numFmt formatCode="General" sourceLinked="1"/>
        <c:majorTickMark val="none"/>
        <c:minorTickMark val="none"/>
        <c:tickLblPos val="nextTo"/>
        <c:txPr>
          <a:bodyPr/>
          <a:lstStyle/>
          <a:p>
            <a:pPr>
              <a:defRPr lang="en-GB"/>
            </a:pPr>
            <a:endParaRPr lang="en-US"/>
          </a:p>
        </c:txPr>
        <c:crossAx val="196159744"/>
        <c:crosses val="autoZero"/>
        <c:auto val="1"/>
        <c:lblAlgn val="ctr"/>
        <c:lblOffset val="100"/>
        <c:noMultiLvlLbl val="0"/>
      </c:catAx>
      <c:valAx>
        <c:axId val="196159744"/>
        <c:scaling>
          <c:orientation val="minMax"/>
        </c:scaling>
        <c:delete val="0"/>
        <c:axPos val="l"/>
        <c:majorGridlines/>
        <c:numFmt formatCode="General" sourceLinked="1"/>
        <c:majorTickMark val="none"/>
        <c:minorTickMark val="none"/>
        <c:tickLblPos val="nextTo"/>
        <c:txPr>
          <a:bodyPr/>
          <a:lstStyle/>
          <a:p>
            <a:pPr>
              <a:defRPr lang="en-GB"/>
            </a:pPr>
            <a:endParaRPr lang="en-US"/>
          </a:p>
        </c:txPr>
        <c:crossAx val="196158208"/>
        <c:crosses val="autoZero"/>
        <c:crossBetween val="between"/>
      </c:valAx>
      <c:dTable>
        <c:showHorzBorder val="1"/>
        <c:showVertBorder val="1"/>
        <c:showOutline val="1"/>
        <c:showKeys val="1"/>
        <c:txPr>
          <a:bodyPr/>
          <a:lstStyle/>
          <a:p>
            <a:pPr rtl="0">
              <a:defRPr lang="en-GB"/>
            </a:pPr>
            <a:endParaRPr lang="en-US"/>
          </a:p>
        </c:txPr>
      </c:dTable>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Sheet9!$B$1</c:f>
              <c:strCache>
                <c:ptCount val="1"/>
                <c:pt idx="0">
                  <c:v>Management</c:v>
                </c:pt>
              </c:strCache>
            </c:strRef>
          </c:tx>
          <c:invertIfNegative val="0"/>
          <c:cat>
            <c:strRef>
              <c:f>Sheet9!$A$2:$A$6</c:f>
              <c:strCache>
                <c:ptCount val="5"/>
                <c:pt idx="0">
                  <c:v>Strongly Disagree</c:v>
                </c:pt>
                <c:pt idx="1">
                  <c:v>Agree</c:v>
                </c:pt>
                <c:pt idx="2">
                  <c:v>Neutral</c:v>
                </c:pt>
                <c:pt idx="3">
                  <c:v>Disagree</c:v>
                </c:pt>
                <c:pt idx="4">
                  <c:v>Strongly Agree</c:v>
                </c:pt>
              </c:strCache>
            </c:strRef>
          </c:cat>
          <c:val>
            <c:numRef>
              <c:f>Sheet9!$B$2:$B$6</c:f>
              <c:numCache>
                <c:formatCode>General</c:formatCode>
                <c:ptCount val="5"/>
                <c:pt idx="0">
                  <c:v>0</c:v>
                </c:pt>
                <c:pt idx="1">
                  <c:v>9</c:v>
                </c:pt>
                <c:pt idx="2">
                  <c:v>0</c:v>
                </c:pt>
                <c:pt idx="3">
                  <c:v>0</c:v>
                </c:pt>
                <c:pt idx="4">
                  <c:v>21</c:v>
                </c:pt>
              </c:numCache>
            </c:numRef>
          </c:val>
          <c:extLst>
            <c:ext xmlns:c16="http://schemas.microsoft.com/office/drawing/2014/chart" uri="{C3380CC4-5D6E-409C-BE32-E72D297353CC}">
              <c16:uniqueId val="{00000000-8CCB-44B6-996F-AEE4EB6D62D2}"/>
            </c:ext>
          </c:extLst>
        </c:ser>
        <c:ser>
          <c:idx val="1"/>
          <c:order val="1"/>
          <c:tx>
            <c:strRef>
              <c:f>Sheet9!$C$1</c:f>
              <c:strCache>
                <c:ptCount val="1"/>
                <c:pt idx="0">
                  <c:v>Customers</c:v>
                </c:pt>
              </c:strCache>
            </c:strRef>
          </c:tx>
          <c:invertIfNegative val="0"/>
          <c:cat>
            <c:strRef>
              <c:f>Sheet9!$A$2:$A$6</c:f>
              <c:strCache>
                <c:ptCount val="5"/>
                <c:pt idx="0">
                  <c:v>Strongly Disagree</c:v>
                </c:pt>
                <c:pt idx="1">
                  <c:v>Agree</c:v>
                </c:pt>
                <c:pt idx="2">
                  <c:v>Neutral</c:v>
                </c:pt>
                <c:pt idx="3">
                  <c:v>Disagree</c:v>
                </c:pt>
                <c:pt idx="4">
                  <c:v>Strongly Agree</c:v>
                </c:pt>
              </c:strCache>
            </c:strRef>
          </c:cat>
          <c:val>
            <c:numRef>
              <c:f>Sheet9!$C$2:$C$6</c:f>
              <c:numCache>
                <c:formatCode>General</c:formatCode>
                <c:ptCount val="5"/>
                <c:pt idx="0">
                  <c:v>2</c:v>
                </c:pt>
                <c:pt idx="1">
                  <c:v>38</c:v>
                </c:pt>
                <c:pt idx="2">
                  <c:v>2</c:v>
                </c:pt>
                <c:pt idx="3">
                  <c:v>4</c:v>
                </c:pt>
                <c:pt idx="4">
                  <c:v>34</c:v>
                </c:pt>
              </c:numCache>
            </c:numRef>
          </c:val>
          <c:extLst>
            <c:ext xmlns:c16="http://schemas.microsoft.com/office/drawing/2014/chart" uri="{C3380CC4-5D6E-409C-BE32-E72D297353CC}">
              <c16:uniqueId val="{00000001-8CCB-44B6-996F-AEE4EB6D62D2}"/>
            </c:ext>
          </c:extLst>
        </c:ser>
        <c:dLbls>
          <c:showLegendKey val="0"/>
          <c:showVal val="0"/>
          <c:showCatName val="0"/>
          <c:showSerName val="0"/>
          <c:showPercent val="0"/>
          <c:showBubbleSize val="0"/>
        </c:dLbls>
        <c:gapWidth val="150"/>
        <c:axId val="196173184"/>
        <c:axId val="196187264"/>
      </c:barChart>
      <c:catAx>
        <c:axId val="196173184"/>
        <c:scaling>
          <c:orientation val="minMax"/>
        </c:scaling>
        <c:delete val="0"/>
        <c:axPos val="b"/>
        <c:numFmt formatCode="General" sourceLinked="1"/>
        <c:majorTickMark val="none"/>
        <c:minorTickMark val="none"/>
        <c:tickLblPos val="nextTo"/>
        <c:txPr>
          <a:bodyPr/>
          <a:lstStyle/>
          <a:p>
            <a:pPr>
              <a:defRPr lang="en-GB"/>
            </a:pPr>
            <a:endParaRPr lang="en-US"/>
          </a:p>
        </c:txPr>
        <c:crossAx val="196187264"/>
        <c:crosses val="autoZero"/>
        <c:auto val="1"/>
        <c:lblAlgn val="ctr"/>
        <c:lblOffset val="100"/>
        <c:noMultiLvlLbl val="0"/>
      </c:catAx>
      <c:valAx>
        <c:axId val="196187264"/>
        <c:scaling>
          <c:orientation val="minMax"/>
        </c:scaling>
        <c:delete val="0"/>
        <c:axPos val="l"/>
        <c:majorGridlines/>
        <c:numFmt formatCode="General" sourceLinked="1"/>
        <c:majorTickMark val="none"/>
        <c:minorTickMark val="none"/>
        <c:tickLblPos val="nextTo"/>
        <c:txPr>
          <a:bodyPr/>
          <a:lstStyle/>
          <a:p>
            <a:pPr>
              <a:defRPr lang="en-GB"/>
            </a:pPr>
            <a:endParaRPr lang="en-US"/>
          </a:p>
        </c:txPr>
        <c:crossAx val="196173184"/>
        <c:crosses val="autoZero"/>
        <c:crossBetween val="between"/>
      </c:valAx>
      <c:dTable>
        <c:showHorzBorder val="1"/>
        <c:showVertBorder val="1"/>
        <c:showOutline val="1"/>
        <c:showKeys val="1"/>
        <c:txPr>
          <a:bodyPr/>
          <a:lstStyle/>
          <a:p>
            <a:pPr rtl="0">
              <a:defRPr lang="en-GB"/>
            </a:pPr>
            <a:endParaRPr lang="en-US"/>
          </a:p>
        </c:txPr>
      </c:dTable>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Sheet10!$B$2</c:f>
              <c:strCache>
                <c:ptCount val="1"/>
                <c:pt idx="0">
                  <c:v>1</c:v>
                </c:pt>
              </c:strCache>
            </c:strRef>
          </c:tx>
          <c:dLbls>
            <c:spPr>
              <a:noFill/>
              <a:ln>
                <a:noFill/>
              </a:ln>
              <a:effectLst/>
            </c:spPr>
            <c:txPr>
              <a:bodyPr/>
              <a:lstStyle/>
              <a:p>
                <a:pPr>
                  <a:defRPr lang="en-US"/>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Sheet10!$A$3:$A$6</c:f>
              <c:strCache>
                <c:ptCount val="4"/>
                <c:pt idx="0">
                  <c:v>Agree</c:v>
                </c:pt>
                <c:pt idx="1">
                  <c:v>Neutral</c:v>
                </c:pt>
                <c:pt idx="2">
                  <c:v>Disagree</c:v>
                </c:pt>
                <c:pt idx="3">
                  <c:v>Strongly Agree</c:v>
                </c:pt>
              </c:strCache>
            </c:strRef>
          </c:cat>
          <c:val>
            <c:numRef>
              <c:f>Sheet10!$B$3:$B$6</c:f>
              <c:numCache>
                <c:formatCode>General</c:formatCode>
                <c:ptCount val="4"/>
                <c:pt idx="0">
                  <c:v>47</c:v>
                </c:pt>
                <c:pt idx="1">
                  <c:v>3</c:v>
                </c:pt>
                <c:pt idx="2">
                  <c:v>3</c:v>
                </c:pt>
                <c:pt idx="3">
                  <c:v>26</c:v>
                </c:pt>
              </c:numCache>
            </c:numRef>
          </c:val>
          <c:extLst>
            <c:ext xmlns:c16="http://schemas.microsoft.com/office/drawing/2014/chart" uri="{C3380CC4-5D6E-409C-BE32-E72D297353CC}">
              <c16:uniqueId val="{00000000-63D3-4DFB-A485-04F606BE7BDC}"/>
            </c:ext>
          </c:extLst>
        </c:ser>
        <c:dLbls>
          <c:showLegendKey val="0"/>
          <c:showVal val="0"/>
          <c:showCatName val="0"/>
          <c:showSerName val="0"/>
          <c:showPercent val="1"/>
          <c:showBubbleSize val="0"/>
          <c:showLeaderLines val="0"/>
        </c:dLbls>
      </c:pie3DChart>
      <c:spPr>
        <a:noFill/>
        <a:ln w="25400">
          <a:noFill/>
        </a:ln>
      </c:spPr>
    </c:plotArea>
    <c:legend>
      <c:legendPos val="t"/>
      <c:overlay val="0"/>
      <c:txPr>
        <a:bodyPr/>
        <a:lstStyle/>
        <a:p>
          <a:pPr>
            <a:defRPr lang="en-GB"/>
          </a:pPr>
          <a:endParaRPr lang="en-US"/>
        </a:p>
      </c:txPr>
    </c:legend>
    <c:plotVisOnly val="1"/>
    <c:dispBlanksAs val="zero"/>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28054427990532188"/>
          <c:y val="6.0892028974821141E-2"/>
          <c:w val="0.47947653218638658"/>
          <c:h val="0.6208385758924535"/>
        </c:manualLayout>
      </c:layout>
      <c:bar3DChart>
        <c:barDir val="bar"/>
        <c:grouping val="clustered"/>
        <c:varyColors val="0"/>
        <c:ser>
          <c:idx val="0"/>
          <c:order val="0"/>
          <c:tx>
            <c:strRef>
              <c:f>Sheet1!$B$146</c:f>
              <c:strCache>
                <c:ptCount val="1"/>
                <c:pt idx="0">
                  <c:v>Degree of Transformation</c:v>
                </c:pt>
              </c:strCache>
            </c:strRef>
          </c:tx>
          <c:invertIfNegative val="0"/>
          <c:cat>
            <c:strRef>
              <c:f>Sheet1!$C$145:$G$145</c:f>
              <c:strCache>
                <c:ptCount val="5"/>
                <c:pt idx="0">
                  <c:v>Product</c:v>
                </c:pt>
                <c:pt idx="1">
                  <c:v>Price</c:v>
                </c:pt>
                <c:pt idx="2">
                  <c:v>Place</c:v>
                </c:pt>
                <c:pt idx="3">
                  <c:v>Promotion</c:v>
                </c:pt>
                <c:pt idx="4">
                  <c:v>Customer Relation</c:v>
                </c:pt>
              </c:strCache>
            </c:strRef>
          </c:cat>
          <c:val>
            <c:numRef>
              <c:f>Sheet1!$C$146:$G$146</c:f>
              <c:numCache>
                <c:formatCode>General</c:formatCode>
                <c:ptCount val="5"/>
                <c:pt idx="0">
                  <c:v>38.9</c:v>
                </c:pt>
                <c:pt idx="1">
                  <c:v>20.2</c:v>
                </c:pt>
                <c:pt idx="2">
                  <c:v>59.8</c:v>
                </c:pt>
                <c:pt idx="3">
                  <c:v>25.6</c:v>
                </c:pt>
                <c:pt idx="4">
                  <c:v>25.1</c:v>
                </c:pt>
              </c:numCache>
            </c:numRef>
          </c:val>
          <c:extLst>
            <c:ext xmlns:c16="http://schemas.microsoft.com/office/drawing/2014/chart" uri="{C3380CC4-5D6E-409C-BE32-E72D297353CC}">
              <c16:uniqueId val="{00000000-63A3-43FD-A331-EA9838617084}"/>
            </c:ext>
          </c:extLst>
        </c:ser>
        <c:ser>
          <c:idx val="1"/>
          <c:order val="1"/>
          <c:tx>
            <c:strRef>
              <c:f>Sheet1!$B$147</c:f>
              <c:strCache>
                <c:ptCount val="1"/>
                <c:pt idx="0">
                  <c:v>% of hotels with transformed dimensions</c:v>
                </c:pt>
              </c:strCache>
            </c:strRef>
          </c:tx>
          <c:invertIfNegative val="0"/>
          <c:cat>
            <c:strRef>
              <c:f>Sheet1!$C$145:$G$145</c:f>
              <c:strCache>
                <c:ptCount val="5"/>
                <c:pt idx="0">
                  <c:v>Product</c:v>
                </c:pt>
                <c:pt idx="1">
                  <c:v>Price</c:v>
                </c:pt>
                <c:pt idx="2">
                  <c:v>Place</c:v>
                </c:pt>
                <c:pt idx="3">
                  <c:v>Promotion</c:v>
                </c:pt>
                <c:pt idx="4">
                  <c:v>Customer Relation</c:v>
                </c:pt>
              </c:strCache>
            </c:strRef>
          </c:cat>
          <c:val>
            <c:numRef>
              <c:f>Sheet1!$C$147:$G$147</c:f>
              <c:numCache>
                <c:formatCode>General</c:formatCode>
                <c:ptCount val="5"/>
                <c:pt idx="0">
                  <c:v>100</c:v>
                </c:pt>
                <c:pt idx="1">
                  <c:v>64.400000000000006</c:v>
                </c:pt>
                <c:pt idx="2">
                  <c:v>100</c:v>
                </c:pt>
                <c:pt idx="3">
                  <c:v>60.9</c:v>
                </c:pt>
                <c:pt idx="4">
                  <c:v>47.1</c:v>
                </c:pt>
              </c:numCache>
            </c:numRef>
          </c:val>
          <c:extLst>
            <c:ext xmlns:c16="http://schemas.microsoft.com/office/drawing/2014/chart" uri="{C3380CC4-5D6E-409C-BE32-E72D297353CC}">
              <c16:uniqueId val="{00000001-63A3-43FD-A331-EA9838617084}"/>
            </c:ext>
          </c:extLst>
        </c:ser>
        <c:dLbls>
          <c:showLegendKey val="0"/>
          <c:showVal val="0"/>
          <c:showCatName val="0"/>
          <c:showSerName val="0"/>
          <c:showPercent val="0"/>
          <c:showBubbleSize val="0"/>
        </c:dLbls>
        <c:gapWidth val="150"/>
        <c:shape val="box"/>
        <c:axId val="196571520"/>
        <c:axId val="196573056"/>
        <c:axId val="0"/>
      </c:bar3DChart>
      <c:catAx>
        <c:axId val="196571520"/>
        <c:scaling>
          <c:orientation val="minMax"/>
        </c:scaling>
        <c:delete val="0"/>
        <c:axPos val="l"/>
        <c:numFmt formatCode="General" sourceLinked="0"/>
        <c:majorTickMark val="none"/>
        <c:minorTickMark val="none"/>
        <c:tickLblPos val="nextTo"/>
        <c:txPr>
          <a:bodyPr/>
          <a:lstStyle/>
          <a:p>
            <a:pPr>
              <a:defRPr lang="en-GB"/>
            </a:pPr>
            <a:endParaRPr lang="en-US"/>
          </a:p>
        </c:txPr>
        <c:crossAx val="196573056"/>
        <c:crosses val="autoZero"/>
        <c:auto val="1"/>
        <c:lblAlgn val="ctr"/>
        <c:lblOffset val="100"/>
        <c:noMultiLvlLbl val="0"/>
      </c:catAx>
      <c:valAx>
        <c:axId val="196573056"/>
        <c:scaling>
          <c:orientation val="minMax"/>
        </c:scaling>
        <c:delete val="0"/>
        <c:axPos val="b"/>
        <c:majorGridlines/>
        <c:numFmt formatCode="General" sourceLinked="1"/>
        <c:majorTickMark val="none"/>
        <c:minorTickMark val="none"/>
        <c:tickLblPos val="nextTo"/>
        <c:txPr>
          <a:bodyPr/>
          <a:lstStyle/>
          <a:p>
            <a:pPr>
              <a:defRPr lang="en-GB"/>
            </a:pPr>
            <a:endParaRPr lang="en-US"/>
          </a:p>
        </c:txPr>
        <c:crossAx val="196571520"/>
        <c:crosses val="autoZero"/>
        <c:crossBetween val="between"/>
      </c:valAx>
      <c:dTable>
        <c:showHorzBorder val="1"/>
        <c:showVertBorder val="1"/>
        <c:showOutline val="1"/>
        <c:showKeys val="1"/>
        <c:txPr>
          <a:bodyPr/>
          <a:lstStyle/>
          <a:p>
            <a:pPr rtl="0">
              <a:defRPr lang="en-GB" sz="900" baseline="0"/>
            </a:pPr>
            <a:endParaRPr lang="en-US"/>
          </a:p>
        </c:txPr>
      </c:dTable>
    </c:plotArea>
    <c:legend>
      <c:legendPos val="r"/>
      <c:layout>
        <c:manualLayout>
          <c:xMode val="edge"/>
          <c:yMode val="edge"/>
          <c:x val="0.82122005400311193"/>
          <c:y val="0.22222312618119244"/>
          <c:w val="0.17272397571426795"/>
          <c:h val="0.44556002020890695"/>
        </c:manualLayout>
      </c:layout>
      <c:overlay val="0"/>
      <c:txPr>
        <a:bodyPr/>
        <a:lstStyle/>
        <a:p>
          <a:pPr>
            <a:defRPr lang="en-GB"/>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a:pPr>
            <a:r>
              <a:rPr lang="en-US"/>
              <a:t>SOURCES OF INFORMATION</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txPr>
              <a:bodyPr/>
              <a:lstStyle/>
              <a:p>
                <a:pPr>
                  <a:defRPr lang="en-US"/>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Sheet1!$A$1:$E$1</c:f>
              <c:strCache>
                <c:ptCount val="5"/>
                <c:pt idx="0">
                  <c:v>TV</c:v>
                </c:pt>
                <c:pt idx="1">
                  <c:v>Radio</c:v>
                </c:pt>
                <c:pt idx="2">
                  <c:v>Newspapers</c:v>
                </c:pt>
                <c:pt idx="3">
                  <c:v>Internet</c:v>
                </c:pt>
                <c:pt idx="4">
                  <c:v>Others</c:v>
                </c:pt>
              </c:strCache>
            </c:strRef>
          </c:cat>
          <c:val>
            <c:numRef>
              <c:f>Sheet1!$A$2:$E$2</c:f>
              <c:numCache>
                <c:formatCode>0%</c:formatCode>
                <c:ptCount val="5"/>
                <c:pt idx="0">
                  <c:v>0.67000000000001092</c:v>
                </c:pt>
                <c:pt idx="1">
                  <c:v>0.15000000000000024</c:v>
                </c:pt>
                <c:pt idx="2">
                  <c:v>6.0000000000000032E-2</c:v>
                </c:pt>
                <c:pt idx="3">
                  <c:v>4.0000000000000029E-2</c:v>
                </c:pt>
                <c:pt idx="4">
                  <c:v>8.0000000000000057E-2</c:v>
                </c:pt>
              </c:numCache>
            </c:numRef>
          </c:val>
          <c:extLst>
            <c:ext xmlns:c16="http://schemas.microsoft.com/office/drawing/2014/chart" uri="{C3380CC4-5D6E-409C-BE32-E72D297353CC}">
              <c16:uniqueId val="{00000000-0BEC-42C2-95DA-68CEA3E751B9}"/>
            </c:ext>
          </c:extLst>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n-US"/>
            </a:pPr>
            <a:r>
              <a:rPr lang="en-US"/>
              <a:t>HIV/AIDS PREVENTIVE STRATEGIES</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Sheet3!$A$1:$D$1</c:f>
              <c:strCache>
                <c:ptCount val="4"/>
                <c:pt idx="0">
                  <c:v>Education </c:v>
                </c:pt>
                <c:pt idx="1">
                  <c:v>Abstinence</c:v>
                </c:pt>
                <c:pt idx="2">
                  <c:v>Faithfulness</c:v>
                </c:pt>
                <c:pt idx="3">
                  <c:v>Condom use</c:v>
                </c:pt>
              </c:strCache>
            </c:strRef>
          </c:cat>
          <c:val>
            <c:numRef>
              <c:f>Sheet3!$A$2:$D$2</c:f>
              <c:numCache>
                <c:formatCode>0%</c:formatCode>
                <c:ptCount val="4"/>
                <c:pt idx="0">
                  <c:v>0.77000000000000945</c:v>
                </c:pt>
                <c:pt idx="1">
                  <c:v>6.0000000000000032E-2</c:v>
                </c:pt>
                <c:pt idx="2">
                  <c:v>2.0000000000000011E-2</c:v>
                </c:pt>
                <c:pt idx="3">
                  <c:v>0.15000000000000024</c:v>
                </c:pt>
              </c:numCache>
            </c:numRef>
          </c:val>
          <c:extLst>
            <c:ext xmlns:c16="http://schemas.microsoft.com/office/drawing/2014/chart" uri="{C3380CC4-5D6E-409C-BE32-E72D297353CC}">
              <c16:uniqueId val="{00000000-9EA7-4649-A11C-C99A1F27D04F}"/>
            </c:ext>
          </c:extLst>
        </c:ser>
        <c:dLbls>
          <c:showLegendKey val="0"/>
          <c:showVal val="1"/>
          <c:showCatName val="0"/>
          <c:showSerName val="0"/>
          <c:showPercent val="0"/>
          <c:showBubbleSize val="0"/>
        </c:dLbls>
        <c:gapWidth val="95"/>
        <c:gapDepth val="95"/>
        <c:shape val="cone"/>
        <c:axId val="196605440"/>
        <c:axId val="196606976"/>
        <c:axId val="0"/>
      </c:bar3DChart>
      <c:catAx>
        <c:axId val="196605440"/>
        <c:scaling>
          <c:orientation val="minMax"/>
        </c:scaling>
        <c:delete val="0"/>
        <c:axPos val="b"/>
        <c:numFmt formatCode="General" sourceLinked="0"/>
        <c:majorTickMark val="none"/>
        <c:minorTickMark val="none"/>
        <c:tickLblPos val="nextTo"/>
        <c:txPr>
          <a:bodyPr/>
          <a:lstStyle/>
          <a:p>
            <a:pPr>
              <a:defRPr lang="en-US"/>
            </a:pPr>
            <a:endParaRPr lang="en-US"/>
          </a:p>
        </c:txPr>
        <c:crossAx val="196606976"/>
        <c:crosses val="autoZero"/>
        <c:auto val="1"/>
        <c:lblAlgn val="ctr"/>
        <c:lblOffset val="100"/>
        <c:noMultiLvlLbl val="0"/>
      </c:catAx>
      <c:valAx>
        <c:axId val="196606976"/>
        <c:scaling>
          <c:orientation val="minMax"/>
        </c:scaling>
        <c:delete val="1"/>
        <c:axPos val="l"/>
        <c:numFmt formatCode="0%" sourceLinked="1"/>
        <c:majorTickMark val="none"/>
        <c:minorTickMark val="none"/>
        <c:tickLblPos val="nextTo"/>
        <c:crossAx val="196605440"/>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8"/>
    </mc:Choice>
    <mc:Fallback>
      <c:style val="48"/>
    </mc:Fallback>
  </mc:AlternateContent>
  <c:chart>
    <c:autoTitleDeleted val="1"/>
    <c:plotArea>
      <c:layout/>
      <c:pieChart>
        <c:varyColors val="1"/>
        <c:ser>
          <c:idx val="0"/>
          <c:order val="0"/>
          <c:dLbls>
            <c:spPr>
              <a:noFill/>
              <a:ln>
                <a:noFill/>
              </a:ln>
              <a:effectLst/>
            </c:spPr>
            <c:txPr>
              <a:bodyPr/>
              <a:lstStyle/>
              <a:p>
                <a:pPr>
                  <a:defRPr lang="en-US"/>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Sheet4!$A$1:$F$1</c:f>
              <c:strCache>
                <c:ptCount val="6"/>
                <c:pt idx="0">
                  <c:v>Young people</c:v>
                </c:pt>
                <c:pt idx="1">
                  <c:v>Appearance</c:v>
                </c:pt>
                <c:pt idx="2">
                  <c:v>Public toilet</c:v>
                </c:pt>
                <c:pt idx="3">
                  <c:v>Hugging</c:v>
                </c:pt>
                <c:pt idx="4">
                  <c:v>Shaking hand</c:v>
                </c:pt>
                <c:pt idx="5">
                  <c:v>Mosquitoes</c:v>
                </c:pt>
              </c:strCache>
            </c:strRef>
          </c:cat>
          <c:val>
            <c:numRef>
              <c:f>Sheet4!$A$2:$F$2</c:f>
              <c:numCache>
                <c:formatCode>0%</c:formatCode>
                <c:ptCount val="6"/>
                <c:pt idx="0">
                  <c:v>0.11</c:v>
                </c:pt>
                <c:pt idx="1">
                  <c:v>0.2</c:v>
                </c:pt>
                <c:pt idx="2">
                  <c:v>0.33000000000000501</c:v>
                </c:pt>
                <c:pt idx="3">
                  <c:v>2.0000000000000011E-2</c:v>
                </c:pt>
                <c:pt idx="4">
                  <c:v>3.0000000000000002E-2</c:v>
                </c:pt>
                <c:pt idx="5">
                  <c:v>0.31000000000000238</c:v>
                </c:pt>
              </c:numCache>
            </c:numRef>
          </c:val>
          <c:extLst>
            <c:ext xmlns:c16="http://schemas.microsoft.com/office/drawing/2014/chart" uri="{C3380CC4-5D6E-409C-BE32-E72D297353CC}">
              <c16:uniqueId val="{00000000-0124-4460-90CE-C97F8615C2D0}"/>
            </c:ext>
          </c:extLst>
        </c:ser>
        <c:dLbls>
          <c:showLegendKey val="0"/>
          <c:showVal val="0"/>
          <c:showCatName val="1"/>
          <c:showSerName val="0"/>
          <c:showPercent val="1"/>
          <c:showBubbleSize val="0"/>
          <c:showLeaderLines val="0"/>
        </c:dLbls>
        <c:firstSliceAng val="0"/>
      </c:pieChart>
    </c:plotArea>
    <c:plotVisOnly val="1"/>
    <c:dispBlanksAs val="zero"/>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en-US"/>
            </a:pPr>
            <a:r>
              <a:rPr lang="en-US"/>
              <a:t>NEGATIVE ATTITUDE TOWARDS PLWHAs</a:t>
            </a:r>
          </a:p>
        </c:rich>
      </c:tx>
      <c:overlay val="0"/>
    </c:title>
    <c:autoTitleDeleted val="0"/>
    <c:plotArea>
      <c:layout/>
      <c:doughnutChart>
        <c:varyColors val="1"/>
        <c:ser>
          <c:idx val="0"/>
          <c:order val="0"/>
          <c:dLbls>
            <c:spPr>
              <a:noFill/>
              <a:ln>
                <a:noFill/>
              </a:ln>
              <a:effectLst/>
            </c:spPr>
            <c:txPr>
              <a:bodyPr/>
              <a:lstStyle/>
              <a:p>
                <a:pPr>
                  <a:defRPr lang="en-US"/>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Sheet6!$A$1:$C$1</c:f>
              <c:strCache>
                <c:ptCount val="3"/>
                <c:pt idx="0">
                  <c:v>Sch. Denial</c:v>
                </c:pt>
                <c:pt idx="1">
                  <c:v>Not sit close</c:v>
                </c:pt>
                <c:pt idx="2">
                  <c:v>Hand shaking</c:v>
                </c:pt>
              </c:strCache>
            </c:strRef>
          </c:cat>
          <c:val>
            <c:numRef>
              <c:f>Sheet6!$A$2:$C$2</c:f>
              <c:numCache>
                <c:formatCode>General</c:formatCode>
                <c:ptCount val="3"/>
                <c:pt idx="0">
                  <c:v>41</c:v>
                </c:pt>
                <c:pt idx="1">
                  <c:v>30</c:v>
                </c:pt>
                <c:pt idx="2">
                  <c:v>29</c:v>
                </c:pt>
              </c:numCache>
            </c:numRef>
          </c:val>
          <c:extLst>
            <c:ext xmlns:c16="http://schemas.microsoft.com/office/drawing/2014/chart" uri="{C3380CC4-5D6E-409C-BE32-E72D297353CC}">
              <c16:uniqueId val="{00000000-333F-45CC-AB5B-FDD118B68C10}"/>
            </c:ext>
          </c:extLst>
        </c:ser>
        <c:dLbls>
          <c:showLegendKey val="0"/>
          <c:showVal val="0"/>
          <c:showCatName val="1"/>
          <c:showSerName val="0"/>
          <c:showPercent val="1"/>
          <c:showBubbleSize val="0"/>
          <c:showLeaderLines val="0"/>
        </c:dLbls>
        <c:firstSliceAng val="0"/>
        <c:holeSize val="50"/>
      </c:doughnutChart>
    </c:plotArea>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txPr>
              <a:bodyPr/>
              <a:lstStyle/>
              <a:p>
                <a:pPr>
                  <a:defRPr lang="en-US"/>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Sheet1!$K$5:$N$5</c:f>
              <c:strCache>
                <c:ptCount val="4"/>
                <c:pt idx="0">
                  <c:v>Food leftover</c:v>
                </c:pt>
                <c:pt idx="1">
                  <c:v>Cassava peel</c:v>
                </c:pt>
                <c:pt idx="2">
                  <c:v>Plantain peel</c:v>
                </c:pt>
                <c:pt idx="3">
                  <c:v>Vegetables</c:v>
                </c:pt>
              </c:strCache>
            </c:strRef>
          </c:cat>
          <c:val>
            <c:numRef>
              <c:f>Sheet1!$K$6:$N$6</c:f>
              <c:numCache>
                <c:formatCode>General</c:formatCode>
                <c:ptCount val="4"/>
                <c:pt idx="0">
                  <c:v>41</c:v>
                </c:pt>
                <c:pt idx="1">
                  <c:v>28</c:v>
                </c:pt>
                <c:pt idx="2">
                  <c:v>19</c:v>
                </c:pt>
                <c:pt idx="3">
                  <c:v>12</c:v>
                </c:pt>
              </c:numCache>
            </c:numRef>
          </c:val>
          <c:extLst>
            <c:ext xmlns:c16="http://schemas.microsoft.com/office/drawing/2014/chart" uri="{C3380CC4-5D6E-409C-BE32-E72D297353CC}">
              <c16:uniqueId val="{00000000-6625-4B1A-93B3-D3913A2C6387}"/>
            </c:ext>
          </c:extLst>
        </c:ser>
        <c:dLbls>
          <c:showLegendKey val="0"/>
          <c:showVal val="0"/>
          <c:showCatName val="1"/>
          <c:showSerName val="0"/>
          <c:showPercent val="1"/>
          <c:showBubbleSize val="0"/>
          <c:showLeaderLines val="0"/>
        </c:dLbls>
        <c:firstSliceAng val="0"/>
      </c:pieChart>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5"/>
    </mc:Choice>
    <mc:Fallback>
      <c:style val="15"/>
    </mc:Fallback>
  </mc:AlternateContent>
  <c:chart>
    <c:title>
      <c:tx>
        <c:rich>
          <a:bodyPr/>
          <a:lstStyle/>
          <a:p>
            <a:pPr>
              <a:defRPr lang="en-US"/>
            </a:pPr>
            <a:r>
              <a:rPr lang="en-US"/>
              <a:t>FEELINGS TOWARDS PLWHAs</a:t>
            </a:r>
          </a:p>
        </c:rich>
      </c:tx>
      <c:overlay val="0"/>
    </c:title>
    <c:autoTitleDeleted val="0"/>
    <c:plotArea>
      <c:layout/>
      <c:lineChart>
        <c:grouping val="standard"/>
        <c:varyColors val="0"/>
        <c:ser>
          <c:idx val="0"/>
          <c:order val="0"/>
          <c:marker>
            <c:symbol val="none"/>
          </c:marker>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Sheet5!$A$1:$C$1</c:f>
              <c:strCache>
                <c:ptCount val="3"/>
                <c:pt idx="0">
                  <c:v>Compassionate</c:v>
                </c:pt>
                <c:pt idx="1">
                  <c:v>Indifferent</c:v>
                </c:pt>
                <c:pt idx="2">
                  <c:v>Hatred</c:v>
                </c:pt>
              </c:strCache>
            </c:strRef>
          </c:cat>
          <c:val>
            <c:numRef>
              <c:f>Sheet5!$A$2:$C$2</c:f>
              <c:numCache>
                <c:formatCode>0%</c:formatCode>
                <c:ptCount val="3"/>
                <c:pt idx="0">
                  <c:v>0.70000000000000062</c:v>
                </c:pt>
                <c:pt idx="1">
                  <c:v>0.11</c:v>
                </c:pt>
                <c:pt idx="2">
                  <c:v>0.19</c:v>
                </c:pt>
              </c:numCache>
            </c:numRef>
          </c:val>
          <c:smooth val="0"/>
          <c:extLst>
            <c:ext xmlns:c16="http://schemas.microsoft.com/office/drawing/2014/chart" uri="{C3380CC4-5D6E-409C-BE32-E72D297353CC}">
              <c16:uniqueId val="{00000000-3873-407B-9B01-F9B7A8B4974C}"/>
            </c:ext>
          </c:extLst>
        </c:ser>
        <c:dLbls>
          <c:showLegendKey val="0"/>
          <c:showVal val="1"/>
          <c:showCatName val="0"/>
          <c:showSerName val="0"/>
          <c:showPercent val="0"/>
          <c:showBubbleSize val="0"/>
        </c:dLbls>
        <c:smooth val="0"/>
        <c:axId val="211359232"/>
        <c:axId val="211360768"/>
      </c:lineChart>
      <c:catAx>
        <c:axId val="211359232"/>
        <c:scaling>
          <c:orientation val="minMax"/>
        </c:scaling>
        <c:delete val="0"/>
        <c:axPos val="b"/>
        <c:numFmt formatCode="General" sourceLinked="0"/>
        <c:majorTickMark val="none"/>
        <c:minorTickMark val="none"/>
        <c:tickLblPos val="nextTo"/>
        <c:txPr>
          <a:bodyPr/>
          <a:lstStyle/>
          <a:p>
            <a:pPr>
              <a:defRPr lang="en-US"/>
            </a:pPr>
            <a:endParaRPr lang="en-US"/>
          </a:p>
        </c:txPr>
        <c:crossAx val="211360768"/>
        <c:crosses val="autoZero"/>
        <c:auto val="1"/>
        <c:lblAlgn val="ctr"/>
        <c:lblOffset val="100"/>
        <c:noMultiLvlLbl val="0"/>
      </c:catAx>
      <c:valAx>
        <c:axId val="211360768"/>
        <c:scaling>
          <c:orientation val="minMax"/>
        </c:scaling>
        <c:delete val="1"/>
        <c:axPos val="l"/>
        <c:numFmt formatCode="0%" sourceLinked="1"/>
        <c:majorTickMark val="none"/>
        <c:minorTickMark val="none"/>
        <c:tickLblPos val="nextTo"/>
        <c:crossAx val="211359232"/>
        <c:crosses val="autoZero"/>
        <c:crossBetween val="between"/>
      </c:valAx>
    </c:plotArea>
    <c:legend>
      <c:legendPos val="t"/>
      <c:overlay val="0"/>
      <c:txPr>
        <a:bodyPr/>
        <a:lstStyle/>
        <a:p>
          <a:pPr>
            <a:defRPr lang="en-US"/>
          </a:pPr>
          <a:endParaRPr lang="en-US"/>
        </a:p>
      </c:txPr>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1588145231854"/>
          <c:y val="0.43853601633129191"/>
          <c:w val="0.48785629921260787"/>
          <c:h val="0.55625182268884477"/>
        </c:manualLayout>
      </c:layout>
      <c:pieChart>
        <c:varyColors val="1"/>
        <c:ser>
          <c:idx val="0"/>
          <c:order val="0"/>
          <c:tx>
            <c:strRef>
              <c:f>Sheet2!$B$34:$B$36</c:f>
              <c:strCache>
                <c:ptCount val="1"/>
                <c:pt idx="0">
                  <c:v>Table 7: Establishing things Coca Cola need to do to enhance its channel quality in Tamale Frequency</c:v>
                </c:pt>
              </c:strCache>
            </c:strRef>
          </c:tx>
          <c:dLbls>
            <c:spPr>
              <a:noFill/>
              <a:ln>
                <a:noFill/>
              </a:ln>
              <a:effectLst/>
            </c:spPr>
            <c:txPr>
              <a:bodyPr/>
              <a:lstStyle/>
              <a:p>
                <a:pPr>
                  <a:defRPr lang="en-GB"/>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Sheet2!$A$37:$A$44</c:f>
              <c:strCache>
                <c:ptCount val="8"/>
                <c:pt idx="0">
                  <c:v>N/A</c:v>
                </c:pt>
                <c:pt idx="1">
                  <c:v>Investment in Logistics and Transportation</c:v>
                </c:pt>
                <c:pt idx="2">
                  <c:v>Enhancing the Competencies and Skills of intermediaries</c:v>
                </c:pt>
                <c:pt idx="3">
                  <c:v>Facilitating effective channel exclusivity</c:v>
                </c:pt>
                <c:pt idx="4">
                  <c:v>Regular and routine monitoring of intermediaries</c:v>
                </c:pt>
                <c:pt idx="5">
                  <c:v>Conduct Market Survey and Customer rating opportunities</c:v>
                </c:pt>
                <c:pt idx="6">
                  <c:v>Others</c:v>
                </c:pt>
                <c:pt idx="7">
                  <c:v>Total</c:v>
                </c:pt>
              </c:strCache>
            </c:strRef>
          </c:cat>
          <c:val>
            <c:numRef>
              <c:f>Sheet2!$B$37:$B$44</c:f>
              <c:numCache>
                <c:formatCode>General</c:formatCode>
                <c:ptCount val="8"/>
                <c:pt idx="0">
                  <c:v>4</c:v>
                </c:pt>
                <c:pt idx="1">
                  <c:v>12</c:v>
                </c:pt>
                <c:pt idx="2">
                  <c:v>14</c:v>
                </c:pt>
                <c:pt idx="3">
                  <c:v>8</c:v>
                </c:pt>
                <c:pt idx="4">
                  <c:v>18</c:v>
                </c:pt>
                <c:pt idx="5">
                  <c:v>13</c:v>
                </c:pt>
                <c:pt idx="6">
                  <c:v>1</c:v>
                </c:pt>
                <c:pt idx="7">
                  <c:v>70</c:v>
                </c:pt>
              </c:numCache>
            </c:numRef>
          </c:val>
          <c:extLst>
            <c:ext xmlns:c16="http://schemas.microsoft.com/office/drawing/2014/chart" uri="{C3380CC4-5D6E-409C-BE32-E72D297353CC}">
              <c16:uniqueId val="{00000000-A04F-40B9-AEBD-E7377338BB69}"/>
            </c:ext>
          </c:extLst>
        </c:ser>
        <c:ser>
          <c:idx val="1"/>
          <c:order val="1"/>
          <c:tx>
            <c:strRef>
              <c:f>Sheet2!$C$34:$C$36</c:f>
              <c:strCache>
                <c:ptCount val="1"/>
                <c:pt idx="0">
                  <c:v>Table 7: Establishing things Coca Cola need to do to enhance its channel quality in Tamale Percent</c:v>
                </c:pt>
              </c:strCache>
            </c:strRef>
          </c:tx>
          <c:dLbls>
            <c:spPr>
              <a:noFill/>
              <a:ln>
                <a:noFill/>
              </a:ln>
              <a:effectLst/>
            </c:spPr>
            <c:txPr>
              <a:bodyPr/>
              <a:lstStyle/>
              <a:p>
                <a:pPr>
                  <a:defRPr lang="en-GB"/>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Sheet2!$A$37:$A$44</c:f>
              <c:strCache>
                <c:ptCount val="8"/>
                <c:pt idx="0">
                  <c:v>N/A</c:v>
                </c:pt>
                <c:pt idx="1">
                  <c:v>Investment in Logistics and Transportation</c:v>
                </c:pt>
                <c:pt idx="2">
                  <c:v>Enhancing the Competencies and Skills of intermediaries</c:v>
                </c:pt>
                <c:pt idx="3">
                  <c:v>Facilitating effective channel exclusivity</c:v>
                </c:pt>
                <c:pt idx="4">
                  <c:v>Regular and routine monitoring of intermediaries</c:v>
                </c:pt>
                <c:pt idx="5">
                  <c:v>Conduct Market Survey and Customer rating opportunities</c:v>
                </c:pt>
                <c:pt idx="6">
                  <c:v>Others</c:v>
                </c:pt>
                <c:pt idx="7">
                  <c:v>Total</c:v>
                </c:pt>
              </c:strCache>
            </c:strRef>
          </c:cat>
          <c:val>
            <c:numRef>
              <c:f>Sheet2!$C$37:$C$44</c:f>
              <c:numCache>
                <c:formatCode>General</c:formatCode>
                <c:ptCount val="8"/>
                <c:pt idx="0">
                  <c:v>5.7</c:v>
                </c:pt>
                <c:pt idx="1">
                  <c:v>17.100000000000001</c:v>
                </c:pt>
                <c:pt idx="2">
                  <c:v>20</c:v>
                </c:pt>
                <c:pt idx="3">
                  <c:v>11.4</c:v>
                </c:pt>
                <c:pt idx="4">
                  <c:v>25.7</c:v>
                </c:pt>
                <c:pt idx="5">
                  <c:v>18.600000000000001</c:v>
                </c:pt>
                <c:pt idx="6">
                  <c:v>1.4</c:v>
                </c:pt>
                <c:pt idx="7">
                  <c:v>100</c:v>
                </c:pt>
              </c:numCache>
            </c:numRef>
          </c:val>
          <c:extLst>
            <c:ext xmlns:c16="http://schemas.microsoft.com/office/drawing/2014/chart" uri="{C3380CC4-5D6E-409C-BE32-E72D297353CC}">
              <c16:uniqueId val="{00000001-A04F-40B9-AEBD-E7377338BB69}"/>
            </c:ext>
          </c:extLst>
        </c:ser>
        <c:dLbls>
          <c:showLegendKey val="0"/>
          <c:showVal val="0"/>
          <c:showCatName val="0"/>
          <c:showSerName val="0"/>
          <c:showPercent val="0"/>
          <c:showBubbleSize val="0"/>
          <c:showLeaderLines val="1"/>
        </c:dLbls>
        <c:firstSliceAng val="0"/>
      </c:pieChart>
    </c:plotArea>
    <c:legend>
      <c:legendPos val="t"/>
      <c:overlay val="0"/>
      <c:txPr>
        <a:bodyPr/>
        <a:lstStyle/>
        <a:p>
          <a:pPr>
            <a:defRPr lang="en-GB"/>
          </a:pPr>
          <a:endParaRPr lang="en-US"/>
        </a:p>
      </c:txPr>
    </c:legend>
    <c:plotVisOnly val="1"/>
    <c:dispBlanksAs val="zero"/>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lang="en-GB"/>
          </a:pPr>
          <a:endParaRPr lang="en-US"/>
        </a:p>
      </c:txPr>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Sheet1!$A$2</c:f>
              <c:strCache>
                <c:ptCount val="1"/>
                <c:pt idx="0">
                  <c:v>percentages</c:v>
                </c:pt>
              </c:strCache>
            </c:strRef>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4"/>
                <c:pt idx="0">
                  <c:v>15-20</c:v>
                </c:pt>
                <c:pt idx="1">
                  <c:v>21-25</c:v>
                </c:pt>
                <c:pt idx="2">
                  <c:v>26-30</c:v>
                </c:pt>
                <c:pt idx="3">
                  <c:v>31-35</c:v>
                </c:pt>
              </c:strCache>
            </c:strRef>
          </c:cat>
          <c:val>
            <c:numRef>
              <c:f>Sheet1!$B$2:$E$2</c:f>
              <c:numCache>
                <c:formatCode>General</c:formatCode>
                <c:ptCount val="4"/>
                <c:pt idx="0">
                  <c:v>8</c:v>
                </c:pt>
                <c:pt idx="1">
                  <c:v>26</c:v>
                </c:pt>
                <c:pt idx="2">
                  <c:v>30</c:v>
                </c:pt>
                <c:pt idx="3">
                  <c:v>36</c:v>
                </c:pt>
              </c:numCache>
            </c:numRef>
          </c:val>
          <c:extLst>
            <c:ext xmlns:c16="http://schemas.microsoft.com/office/drawing/2014/chart" uri="{C3380CC4-5D6E-409C-BE32-E72D297353CC}">
              <c16:uniqueId val="{00000000-77B6-417F-9CEC-22D702A10C18}"/>
            </c:ext>
          </c:extLst>
        </c:ser>
        <c:dLbls>
          <c:showLegendKey val="0"/>
          <c:showVal val="1"/>
          <c:showCatName val="0"/>
          <c:showSerName val="0"/>
          <c:showPercent val="0"/>
          <c:showBubbleSize val="0"/>
        </c:dLbls>
        <c:gapWidth val="150"/>
        <c:shape val="cone"/>
        <c:axId val="213863040"/>
        <c:axId val="213864832"/>
        <c:axId val="0"/>
      </c:bar3DChart>
      <c:catAx>
        <c:axId val="213863040"/>
        <c:scaling>
          <c:orientation val="minMax"/>
        </c:scaling>
        <c:delete val="0"/>
        <c:axPos val="b"/>
        <c:numFmt formatCode="General" sourceLinked="0"/>
        <c:majorTickMark val="none"/>
        <c:minorTickMark val="none"/>
        <c:tickLblPos val="nextTo"/>
        <c:txPr>
          <a:bodyPr/>
          <a:lstStyle/>
          <a:p>
            <a:pPr>
              <a:defRPr lang="en-GB"/>
            </a:pPr>
            <a:endParaRPr lang="en-US"/>
          </a:p>
        </c:txPr>
        <c:crossAx val="213864832"/>
        <c:crosses val="autoZero"/>
        <c:auto val="1"/>
        <c:lblAlgn val="ctr"/>
        <c:lblOffset val="100"/>
        <c:noMultiLvlLbl val="0"/>
      </c:catAx>
      <c:valAx>
        <c:axId val="213864832"/>
        <c:scaling>
          <c:orientation val="minMax"/>
        </c:scaling>
        <c:delete val="1"/>
        <c:axPos val="l"/>
        <c:numFmt formatCode="General" sourceLinked="1"/>
        <c:majorTickMark val="none"/>
        <c:minorTickMark val="none"/>
        <c:tickLblPos val="none"/>
        <c:crossAx val="213863040"/>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7773840769903973"/>
          <c:y val="0.16389333012763027"/>
          <c:w val="0.81952690288713859"/>
          <c:h val="0.63201859309571062"/>
        </c:manualLayout>
      </c:layout>
      <c:bar3DChart>
        <c:barDir val="col"/>
        <c:grouping val="clustered"/>
        <c:varyColors val="0"/>
        <c:ser>
          <c:idx val="0"/>
          <c:order val="0"/>
          <c:tx>
            <c:strRef>
              <c:f>Sheet1!$B$8:$B$9</c:f>
              <c:strCache>
                <c:ptCount val="1"/>
              </c:strCache>
            </c:strRef>
          </c:tx>
          <c:invertIfNegative val="0"/>
          <c:dLbls>
            <c:spPr>
              <a:noFill/>
              <a:ln>
                <a:noFill/>
              </a:ln>
              <a:effectLst/>
            </c:spPr>
            <c:txPr>
              <a:bodyPr/>
              <a:lstStyle/>
              <a:p>
                <a:pPr>
                  <a:defRPr lang="en-GB"/>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Sheet1!$A$10:$A$15</c:f>
              <c:strCache>
                <c:ptCount val="5"/>
                <c:pt idx="0">
                  <c:v>Frequency</c:v>
                </c:pt>
                <c:pt idx="1">
                  <c:v>Yes</c:v>
                </c:pt>
                <c:pt idx="2">
                  <c:v>No</c:v>
                </c:pt>
                <c:pt idx="4">
                  <c:v>Total</c:v>
                </c:pt>
              </c:strCache>
            </c:strRef>
          </c:cat>
          <c:val>
            <c:numRef>
              <c:f>Sheet1!$B$10:$B$15</c:f>
              <c:numCache>
                <c:formatCode>General</c:formatCode>
                <c:ptCount val="6"/>
                <c:pt idx="0">
                  <c:v>0</c:v>
                </c:pt>
                <c:pt idx="1">
                  <c:v>226</c:v>
                </c:pt>
                <c:pt idx="2">
                  <c:v>89</c:v>
                </c:pt>
                <c:pt idx="4">
                  <c:v>315</c:v>
                </c:pt>
              </c:numCache>
            </c:numRef>
          </c:val>
          <c:extLst>
            <c:ext xmlns:c16="http://schemas.microsoft.com/office/drawing/2014/chart" uri="{C3380CC4-5D6E-409C-BE32-E72D297353CC}">
              <c16:uniqueId val="{00000000-8BA9-45BE-BFCF-60A6C7FDB2E1}"/>
            </c:ext>
          </c:extLst>
        </c:ser>
        <c:ser>
          <c:idx val="1"/>
          <c:order val="1"/>
          <c:tx>
            <c:strRef>
              <c:f>Sheet1!$C$8:$C$9</c:f>
              <c:strCache>
                <c:ptCount val="1"/>
              </c:strCache>
            </c:strRef>
          </c:tx>
          <c:invertIfNegative val="0"/>
          <c:dLbls>
            <c:spPr>
              <a:noFill/>
              <a:ln>
                <a:noFill/>
              </a:ln>
              <a:effectLst/>
            </c:spPr>
            <c:txPr>
              <a:bodyPr/>
              <a:lstStyle/>
              <a:p>
                <a:pPr>
                  <a:defRPr lang="en-GB"/>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Sheet1!$A$10:$A$15</c:f>
              <c:strCache>
                <c:ptCount val="5"/>
                <c:pt idx="0">
                  <c:v>Frequency</c:v>
                </c:pt>
                <c:pt idx="1">
                  <c:v>Yes</c:v>
                </c:pt>
                <c:pt idx="2">
                  <c:v>No</c:v>
                </c:pt>
                <c:pt idx="4">
                  <c:v>Total</c:v>
                </c:pt>
              </c:strCache>
            </c:strRef>
          </c:cat>
          <c:val>
            <c:numRef>
              <c:f>Sheet1!$C$10:$C$15</c:f>
              <c:numCache>
                <c:formatCode>General</c:formatCode>
                <c:ptCount val="6"/>
                <c:pt idx="0">
                  <c:v>0</c:v>
                </c:pt>
                <c:pt idx="1">
                  <c:v>71.7</c:v>
                </c:pt>
                <c:pt idx="2">
                  <c:v>28.3</c:v>
                </c:pt>
                <c:pt idx="4">
                  <c:v>100</c:v>
                </c:pt>
              </c:numCache>
            </c:numRef>
          </c:val>
          <c:extLst>
            <c:ext xmlns:c16="http://schemas.microsoft.com/office/drawing/2014/chart" uri="{C3380CC4-5D6E-409C-BE32-E72D297353CC}">
              <c16:uniqueId val="{00000001-8BA9-45BE-BFCF-60A6C7FDB2E1}"/>
            </c:ext>
          </c:extLst>
        </c:ser>
        <c:ser>
          <c:idx val="2"/>
          <c:order val="2"/>
          <c:tx>
            <c:strRef>
              <c:f>Sheet1!$D$8:$D$9</c:f>
              <c:strCache>
                <c:ptCount val="1"/>
              </c:strCache>
            </c:strRef>
          </c:tx>
          <c:invertIfNegative val="0"/>
          <c:dLbls>
            <c:spPr>
              <a:noFill/>
              <a:ln>
                <a:noFill/>
              </a:ln>
              <a:effectLst/>
            </c:spPr>
            <c:txPr>
              <a:bodyPr/>
              <a:lstStyle/>
              <a:p>
                <a:pPr>
                  <a:defRPr lang="en-GB"/>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Sheet1!$A$10:$A$15</c:f>
              <c:strCache>
                <c:ptCount val="5"/>
                <c:pt idx="0">
                  <c:v>Frequency</c:v>
                </c:pt>
                <c:pt idx="1">
                  <c:v>Yes</c:v>
                </c:pt>
                <c:pt idx="2">
                  <c:v>No</c:v>
                </c:pt>
                <c:pt idx="4">
                  <c:v>Total</c:v>
                </c:pt>
              </c:strCache>
            </c:strRef>
          </c:cat>
          <c:val>
            <c:numRef>
              <c:f>Sheet1!$D$10:$D$15</c:f>
              <c:numCache>
                <c:formatCode>General</c:formatCode>
                <c:ptCount val="6"/>
              </c:numCache>
            </c:numRef>
          </c:val>
          <c:extLst>
            <c:ext xmlns:c16="http://schemas.microsoft.com/office/drawing/2014/chart" uri="{C3380CC4-5D6E-409C-BE32-E72D297353CC}">
              <c16:uniqueId val="{00000002-8BA9-45BE-BFCF-60A6C7FDB2E1}"/>
            </c:ext>
          </c:extLst>
        </c:ser>
        <c:ser>
          <c:idx val="3"/>
          <c:order val="3"/>
          <c:tx>
            <c:strRef>
              <c:f>Sheet1!$E$8:$E$9</c:f>
              <c:strCache>
                <c:ptCount val="1"/>
              </c:strCache>
            </c:strRef>
          </c:tx>
          <c:invertIfNegative val="0"/>
          <c:dLbls>
            <c:spPr>
              <a:noFill/>
              <a:ln>
                <a:noFill/>
              </a:ln>
              <a:effectLst/>
            </c:spPr>
            <c:txPr>
              <a:bodyPr/>
              <a:lstStyle/>
              <a:p>
                <a:pPr>
                  <a:defRPr lang="en-GB"/>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Sheet1!$A$10:$A$15</c:f>
              <c:strCache>
                <c:ptCount val="5"/>
                <c:pt idx="0">
                  <c:v>Frequency</c:v>
                </c:pt>
                <c:pt idx="1">
                  <c:v>Yes</c:v>
                </c:pt>
                <c:pt idx="2">
                  <c:v>No</c:v>
                </c:pt>
                <c:pt idx="4">
                  <c:v>Total</c:v>
                </c:pt>
              </c:strCache>
            </c:strRef>
          </c:cat>
          <c:val>
            <c:numRef>
              <c:f>Sheet1!$E$10:$E$15</c:f>
              <c:numCache>
                <c:formatCode>General</c:formatCode>
                <c:ptCount val="6"/>
              </c:numCache>
            </c:numRef>
          </c:val>
          <c:extLst>
            <c:ext xmlns:c16="http://schemas.microsoft.com/office/drawing/2014/chart" uri="{C3380CC4-5D6E-409C-BE32-E72D297353CC}">
              <c16:uniqueId val="{00000003-8BA9-45BE-BFCF-60A6C7FDB2E1}"/>
            </c:ext>
          </c:extLst>
        </c:ser>
        <c:ser>
          <c:idx val="4"/>
          <c:order val="4"/>
          <c:tx>
            <c:strRef>
              <c:f>Sheet1!$F$8:$F$9</c:f>
              <c:strCache>
                <c:ptCount val="1"/>
              </c:strCache>
            </c:strRef>
          </c:tx>
          <c:invertIfNegative val="0"/>
          <c:dLbls>
            <c:spPr>
              <a:noFill/>
              <a:ln>
                <a:noFill/>
              </a:ln>
              <a:effectLst/>
            </c:spPr>
            <c:txPr>
              <a:bodyPr/>
              <a:lstStyle/>
              <a:p>
                <a:pPr>
                  <a:defRPr lang="en-GB"/>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Sheet1!$A$10:$A$15</c:f>
              <c:strCache>
                <c:ptCount val="5"/>
                <c:pt idx="0">
                  <c:v>Frequency</c:v>
                </c:pt>
                <c:pt idx="1">
                  <c:v>Yes</c:v>
                </c:pt>
                <c:pt idx="2">
                  <c:v>No</c:v>
                </c:pt>
                <c:pt idx="4">
                  <c:v>Total</c:v>
                </c:pt>
              </c:strCache>
            </c:strRef>
          </c:cat>
          <c:val>
            <c:numRef>
              <c:f>Sheet1!$F$10:$F$15</c:f>
              <c:numCache>
                <c:formatCode>General</c:formatCode>
                <c:ptCount val="6"/>
              </c:numCache>
            </c:numRef>
          </c:val>
          <c:extLst>
            <c:ext xmlns:c16="http://schemas.microsoft.com/office/drawing/2014/chart" uri="{C3380CC4-5D6E-409C-BE32-E72D297353CC}">
              <c16:uniqueId val="{00000004-8BA9-45BE-BFCF-60A6C7FDB2E1}"/>
            </c:ext>
          </c:extLst>
        </c:ser>
        <c:ser>
          <c:idx val="5"/>
          <c:order val="5"/>
          <c:tx>
            <c:strRef>
              <c:f>Sheet1!$G$8:$G$9</c:f>
              <c:strCache>
                <c:ptCount val="1"/>
              </c:strCache>
            </c:strRef>
          </c:tx>
          <c:invertIfNegative val="0"/>
          <c:dLbls>
            <c:spPr>
              <a:noFill/>
              <a:ln>
                <a:noFill/>
              </a:ln>
              <a:effectLst/>
            </c:spPr>
            <c:txPr>
              <a:bodyPr/>
              <a:lstStyle/>
              <a:p>
                <a:pPr>
                  <a:defRPr lang="en-GB"/>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Sheet1!$A$10:$A$15</c:f>
              <c:strCache>
                <c:ptCount val="5"/>
                <c:pt idx="0">
                  <c:v>Frequency</c:v>
                </c:pt>
                <c:pt idx="1">
                  <c:v>Yes</c:v>
                </c:pt>
                <c:pt idx="2">
                  <c:v>No</c:v>
                </c:pt>
                <c:pt idx="4">
                  <c:v>Total</c:v>
                </c:pt>
              </c:strCache>
            </c:strRef>
          </c:cat>
          <c:val>
            <c:numRef>
              <c:f>Sheet1!$G$10:$G$15</c:f>
              <c:numCache>
                <c:formatCode>General</c:formatCode>
                <c:ptCount val="6"/>
              </c:numCache>
            </c:numRef>
          </c:val>
          <c:extLst>
            <c:ext xmlns:c16="http://schemas.microsoft.com/office/drawing/2014/chart" uri="{C3380CC4-5D6E-409C-BE32-E72D297353CC}">
              <c16:uniqueId val="{00000005-8BA9-45BE-BFCF-60A6C7FDB2E1}"/>
            </c:ext>
          </c:extLst>
        </c:ser>
        <c:dLbls>
          <c:showLegendKey val="0"/>
          <c:showVal val="0"/>
          <c:showCatName val="0"/>
          <c:showSerName val="0"/>
          <c:showPercent val="0"/>
          <c:showBubbleSize val="0"/>
        </c:dLbls>
        <c:gapWidth val="55"/>
        <c:gapDepth val="55"/>
        <c:shape val="cylinder"/>
        <c:axId val="213960960"/>
        <c:axId val="214138880"/>
        <c:axId val="0"/>
      </c:bar3DChart>
      <c:catAx>
        <c:axId val="213960960"/>
        <c:scaling>
          <c:orientation val="minMax"/>
        </c:scaling>
        <c:delete val="0"/>
        <c:axPos val="b"/>
        <c:numFmt formatCode="General" sourceLinked="0"/>
        <c:majorTickMark val="none"/>
        <c:minorTickMark val="none"/>
        <c:tickLblPos val="nextTo"/>
        <c:txPr>
          <a:bodyPr/>
          <a:lstStyle/>
          <a:p>
            <a:pPr>
              <a:defRPr lang="en-GB"/>
            </a:pPr>
            <a:endParaRPr lang="en-US"/>
          </a:p>
        </c:txPr>
        <c:crossAx val="214138880"/>
        <c:crosses val="autoZero"/>
        <c:auto val="1"/>
        <c:lblAlgn val="ctr"/>
        <c:lblOffset val="100"/>
        <c:noMultiLvlLbl val="0"/>
      </c:catAx>
      <c:valAx>
        <c:axId val="214138880"/>
        <c:scaling>
          <c:orientation val="minMax"/>
        </c:scaling>
        <c:delete val="0"/>
        <c:axPos val="l"/>
        <c:majorGridlines/>
        <c:numFmt formatCode="General" sourceLinked="1"/>
        <c:majorTickMark val="none"/>
        <c:minorTickMark val="none"/>
        <c:tickLblPos val="nextTo"/>
        <c:txPr>
          <a:bodyPr/>
          <a:lstStyle/>
          <a:p>
            <a:pPr>
              <a:defRPr lang="en-GB"/>
            </a:pPr>
            <a:endParaRPr lang="en-US"/>
          </a:p>
        </c:txPr>
        <c:crossAx val="213960960"/>
        <c:crosses val="autoZero"/>
        <c:crossBetween val="between"/>
      </c:valAx>
    </c:plotArea>
    <c:legend>
      <c:legendPos val="r"/>
      <c:overlay val="0"/>
      <c:txPr>
        <a:bodyPr/>
        <a:lstStyle/>
        <a:p>
          <a:pPr>
            <a:defRPr lang="en-GB"/>
          </a:pPr>
          <a:endParaRPr lang="en-US"/>
        </a:p>
      </c:txPr>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Sheet1!$B$49:$B$51</c:f>
              <c:strCache>
                <c:ptCount val="1"/>
                <c:pt idx="0">
                  <c:v>Ability to Repay Credit on Time Frequency</c:v>
                </c:pt>
              </c:strCache>
            </c:strRef>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Sheet1!$A$52:$A$54</c:f>
              <c:strCache>
                <c:ptCount val="3"/>
                <c:pt idx="0">
                  <c:v>Yes</c:v>
                </c:pt>
                <c:pt idx="1">
                  <c:v>No</c:v>
                </c:pt>
                <c:pt idx="2">
                  <c:v>Total</c:v>
                </c:pt>
              </c:strCache>
            </c:strRef>
          </c:cat>
          <c:val>
            <c:numRef>
              <c:f>Sheet1!$B$52:$B$54</c:f>
              <c:numCache>
                <c:formatCode>General</c:formatCode>
                <c:ptCount val="3"/>
                <c:pt idx="0">
                  <c:v>297</c:v>
                </c:pt>
                <c:pt idx="1">
                  <c:v>18</c:v>
                </c:pt>
                <c:pt idx="2">
                  <c:v>315</c:v>
                </c:pt>
              </c:numCache>
            </c:numRef>
          </c:val>
          <c:extLst>
            <c:ext xmlns:c16="http://schemas.microsoft.com/office/drawing/2014/chart" uri="{C3380CC4-5D6E-409C-BE32-E72D297353CC}">
              <c16:uniqueId val="{00000000-528E-491C-AF2F-8F30D52A0096}"/>
            </c:ext>
          </c:extLst>
        </c:ser>
        <c:ser>
          <c:idx val="1"/>
          <c:order val="1"/>
          <c:tx>
            <c:strRef>
              <c:f>Sheet1!$C$49:$C$51</c:f>
              <c:strCache>
                <c:ptCount val="1"/>
                <c:pt idx="0">
                  <c:v>Ability to Repay Credit on Time percent</c:v>
                </c:pt>
              </c:strCache>
            </c:strRef>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Sheet1!$A$52:$A$54</c:f>
              <c:strCache>
                <c:ptCount val="3"/>
                <c:pt idx="0">
                  <c:v>Yes</c:v>
                </c:pt>
                <c:pt idx="1">
                  <c:v>No</c:v>
                </c:pt>
                <c:pt idx="2">
                  <c:v>Total</c:v>
                </c:pt>
              </c:strCache>
            </c:strRef>
          </c:cat>
          <c:val>
            <c:numRef>
              <c:f>Sheet1!$C$52:$C$54</c:f>
              <c:numCache>
                <c:formatCode>General</c:formatCode>
                <c:ptCount val="3"/>
                <c:pt idx="0">
                  <c:v>94.3</c:v>
                </c:pt>
                <c:pt idx="1">
                  <c:v>5.7</c:v>
                </c:pt>
                <c:pt idx="2">
                  <c:v>100</c:v>
                </c:pt>
              </c:numCache>
            </c:numRef>
          </c:val>
          <c:extLst>
            <c:ext xmlns:c16="http://schemas.microsoft.com/office/drawing/2014/chart" uri="{C3380CC4-5D6E-409C-BE32-E72D297353CC}">
              <c16:uniqueId val="{00000001-528E-491C-AF2F-8F30D52A0096}"/>
            </c:ext>
          </c:extLst>
        </c:ser>
        <c:dLbls>
          <c:showLegendKey val="0"/>
          <c:showVal val="0"/>
          <c:showCatName val="0"/>
          <c:showSerName val="0"/>
          <c:showPercent val="0"/>
          <c:showBubbleSize val="0"/>
        </c:dLbls>
        <c:gapWidth val="150"/>
        <c:shape val="cylinder"/>
        <c:axId val="214152320"/>
        <c:axId val="214153856"/>
        <c:axId val="0"/>
      </c:bar3DChart>
      <c:catAx>
        <c:axId val="214152320"/>
        <c:scaling>
          <c:orientation val="minMax"/>
        </c:scaling>
        <c:delete val="0"/>
        <c:axPos val="b"/>
        <c:numFmt formatCode="General" sourceLinked="1"/>
        <c:majorTickMark val="none"/>
        <c:minorTickMark val="none"/>
        <c:tickLblPos val="nextTo"/>
        <c:txPr>
          <a:bodyPr/>
          <a:lstStyle/>
          <a:p>
            <a:pPr>
              <a:defRPr lang="en-US"/>
            </a:pPr>
            <a:endParaRPr lang="en-US"/>
          </a:p>
        </c:txPr>
        <c:crossAx val="214153856"/>
        <c:crosses val="autoZero"/>
        <c:auto val="1"/>
        <c:lblAlgn val="ctr"/>
        <c:lblOffset val="100"/>
        <c:noMultiLvlLbl val="0"/>
      </c:catAx>
      <c:valAx>
        <c:axId val="214153856"/>
        <c:scaling>
          <c:orientation val="minMax"/>
        </c:scaling>
        <c:delete val="1"/>
        <c:axPos val="l"/>
        <c:numFmt formatCode="General" sourceLinked="1"/>
        <c:majorTickMark val="out"/>
        <c:minorTickMark val="none"/>
        <c:tickLblPos val="nextTo"/>
        <c:crossAx val="214152320"/>
        <c:crosses val="autoZero"/>
        <c:crossBetween val="between"/>
      </c:valAx>
      <c:spPr>
        <a:noFill/>
        <a:ln w="25373">
          <a:noFill/>
        </a:ln>
      </c:spPr>
    </c:plotArea>
    <c:legend>
      <c:legendPos val="t"/>
      <c:overlay val="0"/>
      <c:txPr>
        <a:bodyPr/>
        <a:lstStyle/>
        <a:p>
          <a:pPr>
            <a:defRPr lang="en-US"/>
          </a:pPr>
          <a:endParaRPr lang="en-US"/>
        </a:p>
      </c:txPr>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lang="en-US"/>
          </a:pPr>
          <a:endParaRPr lang="en-US"/>
        </a:p>
      </c:txPr>
    </c:title>
    <c:autoTitleDeleted val="0"/>
    <c:plotArea>
      <c:layout>
        <c:manualLayout>
          <c:layoutTarget val="inner"/>
          <c:xMode val="edge"/>
          <c:yMode val="edge"/>
          <c:x val="0.20212765957446821"/>
          <c:y val="0.46043165467625879"/>
          <c:w val="0.59148936170211186"/>
          <c:h val="0.4460431654676259"/>
        </c:manualLayout>
      </c:layout>
      <c:ofPieChart>
        <c:ofPieType val="pie"/>
        <c:varyColors val="1"/>
        <c:ser>
          <c:idx val="0"/>
          <c:order val="0"/>
          <c:tx>
            <c:strRef>
              <c:f>Sheet1!$B$61</c:f>
              <c:strCache>
                <c:ptCount val="1"/>
                <c:pt idx="0">
                  <c:v>Benefits from Previous and Current Government Policies frequency</c:v>
                </c:pt>
              </c:strCache>
            </c:strRef>
          </c:tx>
          <c:explosion val="1"/>
          <c:dLbls>
            <c:spPr>
              <a:noFill/>
              <a:ln>
                <a:noFill/>
              </a:ln>
              <a:effectLst/>
            </c:spPr>
            <c:txPr>
              <a:bodyPr/>
              <a:lstStyle/>
              <a:p>
                <a:pPr>
                  <a:defRPr lang="en-US"/>
                </a:pPr>
                <a:endParaRPr lang="en-US"/>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Sheet1!$A$62:$A$66</c:f>
              <c:strCache>
                <c:ptCount val="5"/>
                <c:pt idx="0">
                  <c:v>Yes</c:v>
                </c:pt>
                <c:pt idx="2">
                  <c:v>No</c:v>
                </c:pt>
                <c:pt idx="3">
                  <c:v>Total</c:v>
                </c:pt>
                <c:pt idx="4">
                  <c:v>Source: field data 2012</c:v>
                </c:pt>
              </c:strCache>
            </c:strRef>
          </c:cat>
          <c:val>
            <c:numRef>
              <c:f>Sheet1!$B$62:$B$66</c:f>
              <c:numCache>
                <c:formatCode>General</c:formatCode>
                <c:ptCount val="5"/>
                <c:pt idx="0">
                  <c:v>16</c:v>
                </c:pt>
                <c:pt idx="2">
                  <c:v>299</c:v>
                </c:pt>
                <c:pt idx="3">
                  <c:v>315</c:v>
                </c:pt>
              </c:numCache>
            </c:numRef>
          </c:val>
          <c:extLst>
            <c:ext xmlns:c16="http://schemas.microsoft.com/office/drawing/2014/chart" uri="{C3380CC4-5D6E-409C-BE32-E72D297353CC}">
              <c16:uniqueId val="{00000000-E58A-4C67-9A41-56E5D08036FA}"/>
            </c:ext>
          </c:extLst>
        </c:ser>
        <c:ser>
          <c:idx val="1"/>
          <c:order val="1"/>
          <c:tx>
            <c:strRef>
              <c:f>Sheet1!$C$61</c:f>
              <c:strCache>
                <c:ptCount val="1"/>
                <c:pt idx="0">
                  <c:v>Percent(%)</c:v>
                </c:pt>
              </c:strCache>
            </c:strRef>
          </c:tx>
          <c:dLbls>
            <c:spPr>
              <a:noFill/>
              <a:ln>
                <a:noFill/>
              </a:ln>
              <a:effectLst/>
            </c:spPr>
            <c:txPr>
              <a:bodyPr/>
              <a:lstStyle/>
              <a:p>
                <a:pPr>
                  <a:defRPr lang="en-US"/>
                </a:pPr>
                <a:endParaRPr lang="en-US"/>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Sheet1!$A$62:$A$66</c:f>
              <c:strCache>
                <c:ptCount val="5"/>
                <c:pt idx="0">
                  <c:v>Yes</c:v>
                </c:pt>
                <c:pt idx="2">
                  <c:v>No</c:v>
                </c:pt>
                <c:pt idx="3">
                  <c:v>Total</c:v>
                </c:pt>
                <c:pt idx="4">
                  <c:v>Source: field data 2012</c:v>
                </c:pt>
              </c:strCache>
            </c:strRef>
          </c:cat>
          <c:val>
            <c:numRef>
              <c:f>Sheet1!$C$62:$C$66</c:f>
              <c:numCache>
                <c:formatCode>General</c:formatCode>
                <c:ptCount val="5"/>
                <c:pt idx="0">
                  <c:v>5.0999999999999996</c:v>
                </c:pt>
                <c:pt idx="2">
                  <c:v>94.9</c:v>
                </c:pt>
                <c:pt idx="3">
                  <c:v>100</c:v>
                </c:pt>
              </c:numCache>
            </c:numRef>
          </c:val>
          <c:extLst>
            <c:ext xmlns:c16="http://schemas.microsoft.com/office/drawing/2014/chart" uri="{C3380CC4-5D6E-409C-BE32-E72D297353CC}">
              <c16:uniqueId val="{00000001-E58A-4C67-9A41-56E5D08036FA}"/>
            </c:ext>
          </c:extLst>
        </c:ser>
        <c:dLbls>
          <c:showLegendKey val="0"/>
          <c:showVal val="0"/>
          <c:showCatName val="0"/>
          <c:showSerName val="0"/>
          <c:showPercent val="0"/>
          <c:showBubbleSize val="0"/>
          <c:showLeaderLines val="1"/>
        </c:dLbls>
        <c:gapWidth val="100"/>
        <c:secondPieSize val="75"/>
        <c:serLines/>
      </c:ofPieChart>
      <c:spPr>
        <a:noFill/>
        <a:ln w="25365">
          <a:noFill/>
        </a:ln>
      </c:spPr>
    </c:plotArea>
    <c:legend>
      <c:legendPos val="t"/>
      <c:legendEntry>
        <c:idx val="4"/>
        <c:delete val="1"/>
      </c:legendEntry>
      <c:overlay val="0"/>
      <c:txPr>
        <a:bodyPr/>
        <a:lstStyle/>
        <a:p>
          <a:pPr>
            <a:defRPr lang="en-US"/>
          </a:pPr>
          <a:endParaRPr lang="en-US"/>
        </a:p>
      </c:txPr>
    </c:legend>
    <c:plotVisOnly val="1"/>
    <c:dispBlanksAs val="zero"/>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GB"/>
              <a:t> Does Financial Facility Reduce Poverty ? Frequency</a:t>
            </a:r>
          </a:p>
        </c:rich>
      </c:tx>
      <c:overlay val="0"/>
    </c:title>
    <c:autoTitleDeleted val="0"/>
    <c:view3D>
      <c:rotX val="15"/>
      <c:rotY val="0"/>
      <c:rAngAx val="0"/>
    </c:view3D>
    <c:floor>
      <c:thickness val="0"/>
    </c:floor>
    <c:sideWall>
      <c:thickness val="0"/>
    </c:sideWall>
    <c:backWall>
      <c:thickness val="0"/>
    </c:backWall>
    <c:plotArea>
      <c:layout/>
      <c:pie3DChart>
        <c:varyColors val="1"/>
        <c:ser>
          <c:idx val="0"/>
          <c:order val="0"/>
          <c:tx>
            <c:strRef>
              <c:f>Sheet1!$B$123:$B$125</c:f>
              <c:strCache>
                <c:ptCount val="1"/>
                <c:pt idx="0">
                  <c:v>Table 5  Does Financial Facility Reduce Poverty ? Frequency</c:v>
                </c:pt>
              </c:strCache>
            </c:strRef>
          </c:tx>
          <c:dLbls>
            <c:spPr>
              <a:noFill/>
              <a:ln>
                <a:noFill/>
              </a:ln>
              <a:effectLst/>
            </c:spPr>
            <c:txPr>
              <a:bodyPr/>
              <a:lstStyle/>
              <a:p>
                <a:pPr>
                  <a:defRPr lang="en-US"/>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Sheet1!$A$126:$A$131</c:f>
              <c:strCache>
                <c:ptCount val="6"/>
                <c:pt idx="0">
                  <c:v>Yes</c:v>
                </c:pt>
                <c:pt idx="2">
                  <c:v>No</c:v>
                </c:pt>
                <c:pt idx="3">
                  <c:v>Total</c:v>
                </c:pt>
                <c:pt idx="5">
                  <c:v>Sources:  field data 2012</c:v>
                </c:pt>
              </c:strCache>
            </c:strRef>
          </c:cat>
          <c:val>
            <c:numRef>
              <c:f>Sheet1!$B$126:$B$131</c:f>
              <c:numCache>
                <c:formatCode>General</c:formatCode>
                <c:ptCount val="6"/>
                <c:pt idx="0">
                  <c:v>302</c:v>
                </c:pt>
                <c:pt idx="2">
                  <c:v>13</c:v>
                </c:pt>
                <c:pt idx="3">
                  <c:v>315</c:v>
                </c:pt>
              </c:numCache>
            </c:numRef>
          </c:val>
          <c:extLst>
            <c:ext xmlns:c16="http://schemas.microsoft.com/office/drawing/2014/chart" uri="{C3380CC4-5D6E-409C-BE32-E72D297353CC}">
              <c16:uniqueId val="{00000000-91AC-434C-A2FA-ADC525290B8A}"/>
            </c:ext>
          </c:extLst>
        </c:ser>
        <c:ser>
          <c:idx val="1"/>
          <c:order val="1"/>
          <c:tx>
            <c:strRef>
              <c:f>Sheet1!$C$123:$C$125</c:f>
              <c:strCache>
                <c:ptCount val="1"/>
                <c:pt idx="0">
                  <c:v>Table 5  Does Financial Facility Reduce Poverty ? Percent (%)</c:v>
                </c:pt>
              </c:strCache>
            </c:strRef>
          </c:tx>
          <c:dLbls>
            <c:spPr>
              <a:noFill/>
              <a:ln>
                <a:noFill/>
              </a:ln>
              <a:effectLst/>
            </c:spPr>
            <c:txPr>
              <a:bodyPr/>
              <a:lstStyle/>
              <a:p>
                <a:pPr>
                  <a:defRPr lang="en-US"/>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Sheet1!$A$126:$A$131</c:f>
              <c:strCache>
                <c:ptCount val="6"/>
                <c:pt idx="0">
                  <c:v>Yes</c:v>
                </c:pt>
                <c:pt idx="2">
                  <c:v>No</c:v>
                </c:pt>
                <c:pt idx="3">
                  <c:v>Total</c:v>
                </c:pt>
                <c:pt idx="5">
                  <c:v>Sources:  field data 2012</c:v>
                </c:pt>
              </c:strCache>
            </c:strRef>
          </c:cat>
          <c:val>
            <c:numRef>
              <c:f>Sheet1!$C$126:$C$131</c:f>
              <c:numCache>
                <c:formatCode>General</c:formatCode>
                <c:ptCount val="6"/>
                <c:pt idx="0">
                  <c:v>95.9</c:v>
                </c:pt>
                <c:pt idx="2">
                  <c:v>4.0999999999999996</c:v>
                </c:pt>
                <c:pt idx="3">
                  <c:v>100</c:v>
                </c:pt>
              </c:numCache>
            </c:numRef>
          </c:val>
          <c:extLst>
            <c:ext xmlns:c16="http://schemas.microsoft.com/office/drawing/2014/chart" uri="{C3380CC4-5D6E-409C-BE32-E72D297353CC}">
              <c16:uniqueId val="{00000001-91AC-434C-A2FA-ADC525290B8A}"/>
            </c:ext>
          </c:extLst>
        </c:ser>
        <c:dLbls>
          <c:showLegendKey val="0"/>
          <c:showVal val="0"/>
          <c:showCatName val="0"/>
          <c:showSerName val="0"/>
          <c:showPercent val="0"/>
          <c:showBubbleSize val="0"/>
          <c:showLeaderLines val="1"/>
        </c:dLbls>
      </c:pie3DChart>
      <c:spPr>
        <a:noFill/>
        <a:ln w="25362">
          <a:noFill/>
        </a:ln>
      </c:spPr>
    </c:plotArea>
    <c:plotVisOnly val="1"/>
    <c:dispBlanksAs val="zero"/>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Students who switch off their phones</c:v>
                </c:pt>
              </c:strCache>
            </c:strRef>
          </c:tx>
          <c:dLbls>
            <c:spPr>
              <a:noFill/>
              <a:ln>
                <a:noFill/>
              </a:ln>
              <a:effectLst/>
            </c:spPr>
            <c:txPr>
              <a:bodyPr/>
              <a:lstStyle/>
              <a:p>
                <a:pPr>
                  <a:defRPr lang="en-US"/>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Sheet1!$A$2:$A$3</c:f>
              <c:strCache>
                <c:ptCount val="2"/>
                <c:pt idx="0">
                  <c:v>Off</c:v>
                </c:pt>
                <c:pt idx="1">
                  <c:v>On</c:v>
                </c:pt>
              </c:strCache>
            </c:strRef>
          </c:cat>
          <c:val>
            <c:numRef>
              <c:f>Sheet1!$B$2:$B$3</c:f>
              <c:numCache>
                <c:formatCode>General</c:formatCode>
                <c:ptCount val="2"/>
                <c:pt idx="0">
                  <c:v>21</c:v>
                </c:pt>
                <c:pt idx="1">
                  <c:v>81</c:v>
                </c:pt>
              </c:numCache>
            </c:numRef>
          </c:val>
          <c:extLst>
            <c:ext xmlns:c16="http://schemas.microsoft.com/office/drawing/2014/chart" uri="{C3380CC4-5D6E-409C-BE32-E72D297353CC}">
              <c16:uniqueId val="{00000000-576E-489B-B3FE-3736A9BD8E29}"/>
            </c:ext>
          </c:extLst>
        </c:ser>
        <c:dLbls>
          <c:showLegendKey val="0"/>
          <c:showVal val="0"/>
          <c:showCatName val="0"/>
          <c:showSerName val="0"/>
          <c:showPercent val="1"/>
          <c:showBubbleSize val="0"/>
          <c:showLeaderLines val="0"/>
        </c:dLbls>
      </c:pie3DChart>
      <c:spPr>
        <a:noFill/>
        <a:ln w="25405">
          <a:noFill/>
        </a:ln>
      </c:spPr>
    </c:plotArea>
    <c:legend>
      <c:legendPos val="t"/>
      <c:overlay val="0"/>
      <c:txPr>
        <a:bodyPr/>
        <a:lstStyle/>
        <a:p>
          <a:pPr>
            <a:defRPr lang="en-US"/>
          </a:pPr>
          <a:endParaRPr lang="en-US"/>
        </a:p>
      </c:txPr>
    </c:legend>
    <c:plotVisOnly val="1"/>
    <c:dispBlanksAs val="zero"/>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114427860698637E-2"/>
          <c:y val="0.24968031715701094"/>
          <c:w val="0.8955223880596872"/>
          <c:h val="0.52771631579523437"/>
        </c:manualLayout>
      </c:layout>
      <c:barChart>
        <c:barDir val="col"/>
        <c:grouping val="clustered"/>
        <c:varyColors val="0"/>
        <c:ser>
          <c:idx val="0"/>
          <c:order val="0"/>
          <c:tx>
            <c:strRef>
              <c:f>Sheet1!$B$1</c:f>
              <c:strCache>
                <c:ptCount val="1"/>
                <c:pt idx="0">
                  <c:v>Very often</c:v>
                </c:pt>
              </c:strCache>
            </c:strRef>
          </c:tx>
          <c:invertIfNegative val="0"/>
          <c:dLbls>
            <c:spPr>
              <a:noFill/>
              <a:ln>
                <a:noFill/>
              </a:ln>
              <a:effectLst/>
            </c:spPr>
            <c:txPr>
              <a:bodyPr/>
              <a:lstStyle/>
              <a:p>
                <a:pPr>
                  <a:defRPr lang="en-US"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Receive calls</c:v>
                </c:pt>
                <c:pt idx="1">
                  <c:v>Make calls</c:v>
                </c:pt>
              </c:strCache>
            </c:strRef>
          </c:cat>
          <c:val>
            <c:numRef>
              <c:f>Sheet1!$B$2:$B$3</c:f>
              <c:numCache>
                <c:formatCode>General</c:formatCode>
                <c:ptCount val="2"/>
                <c:pt idx="0">
                  <c:v>16</c:v>
                </c:pt>
                <c:pt idx="1">
                  <c:v>2</c:v>
                </c:pt>
              </c:numCache>
            </c:numRef>
          </c:val>
          <c:extLst>
            <c:ext xmlns:c16="http://schemas.microsoft.com/office/drawing/2014/chart" uri="{C3380CC4-5D6E-409C-BE32-E72D297353CC}">
              <c16:uniqueId val="{00000000-222B-426E-9084-C13034133591}"/>
            </c:ext>
          </c:extLst>
        </c:ser>
        <c:ser>
          <c:idx val="1"/>
          <c:order val="1"/>
          <c:tx>
            <c:strRef>
              <c:f>Sheet1!$C$1</c:f>
              <c:strCache>
                <c:ptCount val="1"/>
                <c:pt idx="0">
                  <c:v>Often</c:v>
                </c:pt>
              </c:strCache>
            </c:strRef>
          </c:tx>
          <c:invertIfNegative val="0"/>
          <c:dLbls>
            <c:spPr>
              <a:noFill/>
              <a:ln>
                <a:noFill/>
              </a:ln>
              <a:effectLst/>
            </c:spPr>
            <c:txPr>
              <a:bodyPr/>
              <a:lstStyle/>
              <a:p>
                <a:pPr>
                  <a:defRPr lang="en-US"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Receive calls</c:v>
                </c:pt>
                <c:pt idx="1">
                  <c:v>Make calls</c:v>
                </c:pt>
              </c:strCache>
            </c:strRef>
          </c:cat>
          <c:val>
            <c:numRef>
              <c:f>Sheet1!$C$2:$C$3</c:f>
              <c:numCache>
                <c:formatCode>General</c:formatCode>
                <c:ptCount val="2"/>
                <c:pt idx="0">
                  <c:v>4</c:v>
                </c:pt>
                <c:pt idx="1">
                  <c:v>3</c:v>
                </c:pt>
              </c:numCache>
            </c:numRef>
          </c:val>
          <c:extLst>
            <c:ext xmlns:c16="http://schemas.microsoft.com/office/drawing/2014/chart" uri="{C3380CC4-5D6E-409C-BE32-E72D297353CC}">
              <c16:uniqueId val="{00000001-222B-426E-9084-C13034133591}"/>
            </c:ext>
          </c:extLst>
        </c:ser>
        <c:ser>
          <c:idx val="2"/>
          <c:order val="2"/>
          <c:tx>
            <c:strRef>
              <c:f>Sheet1!$D$1</c:f>
              <c:strCache>
                <c:ptCount val="1"/>
                <c:pt idx="0">
                  <c:v>Sometimes</c:v>
                </c:pt>
              </c:strCache>
            </c:strRef>
          </c:tx>
          <c:invertIfNegative val="0"/>
          <c:dLbls>
            <c:spPr>
              <a:noFill/>
              <a:ln>
                <a:noFill/>
              </a:ln>
              <a:effectLst/>
            </c:spPr>
            <c:txPr>
              <a:bodyPr/>
              <a:lstStyle/>
              <a:p>
                <a:pPr>
                  <a:defRPr lang="en-US"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Receive calls</c:v>
                </c:pt>
                <c:pt idx="1">
                  <c:v>Make calls</c:v>
                </c:pt>
              </c:strCache>
            </c:strRef>
          </c:cat>
          <c:val>
            <c:numRef>
              <c:f>Sheet1!$D$2:$D$3</c:f>
              <c:numCache>
                <c:formatCode>General</c:formatCode>
                <c:ptCount val="2"/>
                <c:pt idx="0">
                  <c:v>39</c:v>
                </c:pt>
                <c:pt idx="1">
                  <c:v>11</c:v>
                </c:pt>
              </c:numCache>
            </c:numRef>
          </c:val>
          <c:extLst>
            <c:ext xmlns:c16="http://schemas.microsoft.com/office/drawing/2014/chart" uri="{C3380CC4-5D6E-409C-BE32-E72D297353CC}">
              <c16:uniqueId val="{00000002-222B-426E-9084-C13034133591}"/>
            </c:ext>
          </c:extLst>
        </c:ser>
        <c:ser>
          <c:idx val="3"/>
          <c:order val="3"/>
          <c:tx>
            <c:strRef>
              <c:f>Sheet1!$E$1</c:f>
              <c:strCache>
                <c:ptCount val="1"/>
                <c:pt idx="0">
                  <c:v>Not at all</c:v>
                </c:pt>
              </c:strCache>
            </c:strRef>
          </c:tx>
          <c:invertIfNegative val="0"/>
          <c:dLbls>
            <c:spPr>
              <a:noFill/>
              <a:ln>
                <a:noFill/>
              </a:ln>
              <a:effectLst/>
            </c:spPr>
            <c:txPr>
              <a:bodyPr/>
              <a:lstStyle/>
              <a:p>
                <a:pPr>
                  <a:defRPr lang="en-US"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Receive calls</c:v>
                </c:pt>
                <c:pt idx="1">
                  <c:v>Make calls</c:v>
                </c:pt>
              </c:strCache>
            </c:strRef>
          </c:cat>
          <c:val>
            <c:numRef>
              <c:f>Sheet1!$E$2:$E$3</c:f>
              <c:numCache>
                <c:formatCode>General</c:formatCode>
                <c:ptCount val="2"/>
                <c:pt idx="0">
                  <c:v>41</c:v>
                </c:pt>
                <c:pt idx="1">
                  <c:v>84</c:v>
                </c:pt>
              </c:numCache>
            </c:numRef>
          </c:val>
          <c:extLst>
            <c:ext xmlns:c16="http://schemas.microsoft.com/office/drawing/2014/chart" uri="{C3380CC4-5D6E-409C-BE32-E72D297353CC}">
              <c16:uniqueId val="{00000003-222B-426E-9084-C13034133591}"/>
            </c:ext>
          </c:extLst>
        </c:ser>
        <c:dLbls>
          <c:showLegendKey val="0"/>
          <c:showVal val="1"/>
          <c:showCatName val="0"/>
          <c:showSerName val="0"/>
          <c:showPercent val="0"/>
          <c:showBubbleSize val="0"/>
        </c:dLbls>
        <c:gapWidth val="150"/>
        <c:overlap val="-25"/>
        <c:axId val="219770240"/>
        <c:axId val="219903104"/>
      </c:barChart>
      <c:catAx>
        <c:axId val="219770240"/>
        <c:scaling>
          <c:orientation val="minMax"/>
        </c:scaling>
        <c:delete val="0"/>
        <c:axPos val="b"/>
        <c:numFmt formatCode="General" sourceLinked="1"/>
        <c:majorTickMark val="none"/>
        <c:minorTickMark val="none"/>
        <c:tickLblPos val="nextTo"/>
        <c:txPr>
          <a:bodyPr/>
          <a:lstStyle/>
          <a:p>
            <a:pPr>
              <a:defRPr lang="en-US" sz="1200"/>
            </a:pPr>
            <a:endParaRPr lang="en-US"/>
          </a:p>
        </c:txPr>
        <c:crossAx val="219903104"/>
        <c:crosses val="autoZero"/>
        <c:auto val="1"/>
        <c:lblAlgn val="ctr"/>
        <c:lblOffset val="100"/>
        <c:noMultiLvlLbl val="0"/>
      </c:catAx>
      <c:valAx>
        <c:axId val="219903104"/>
        <c:scaling>
          <c:orientation val="minMax"/>
        </c:scaling>
        <c:delete val="1"/>
        <c:axPos val="l"/>
        <c:numFmt formatCode="General" sourceLinked="1"/>
        <c:majorTickMark val="out"/>
        <c:minorTickMark val="none"/>
        <c:tickLblPos val="nextTo"/>
        <c:crossAx val="219770240"/>
        <c:crosses val="autoZero"/>
        <c:crossBetween val="between"/>
      </c:valAx>
    </c:plotArea>
    <c:legend>
      <c:legendPos val="t"/>
      <c:legendEntry>
        <c:idx val="0"/>
        <c:txPr>
          <a:bodyPr/>
          <a:lstStyle/>
          <a:p>
            <a:pPr>
              <a:defRPr sz="1200"/>
            </a:pPr>
            <a:endParaRPr lang="en-US"/>
          </a:p>
        </c:txPr>
      </c:legendEntry>
      <c:legendEntry>
        <c:idx val="1"/>
        <c:txPr>
          <a:bodyPr/>
          <a:lstStyle/>
          <a:p>
            <a:pPr>
              <a:defRPr sz="1200"/>
            </a:pPr>
            <a:endParaRPr lang="en-US"/>
          </a:p>
        </c:txPr>
      </c:legendEntry>
      <c:legendEntry>
        <c:idx val="2"/>
        <c:txPr>
          <a:bodyPr/>
          <a:lstStyle/>
          <a:p>
            <a:pPr>
              <a:defRPr sz="1200"/>
            </a:pPr>
            <a:endParaRPr lang="en-US"/>
          </a:p>
        </c:txPr>
      </c:legendEntry>
      <c:legendEntry>
        <c:idx val="3"/>
        <c:txPr>
          <a:bodyPr/>
          <a:lstStyle/>
          <a:p>
            <a:pPr>
              <a:defRPr sz="1200"/>
            </a:pPr>
            <a:endParaRPr lang="en-US"/>
          </a:p>
        </c:txPr>
      </c:legendEntry>
      <c:overlay val="0"/>
      <c:txPr>
        <a:bodyPr/>
        <a:lstStyle/>
        <a:p>
          <a:pPr>
            <a:defRPr lang="en-US"/>
          </a:pPr>
          <a:endParaRPr lang="en-US"/>
        </a:p>
      </c:txPr>
    </c:legend>
    <c:plotVisOnly val="1"/>
    <c:dispBlanksAs val="gap"/>
    <c:showDLblsOverMax val="0"/>
  </c:chart>
  <c:txPr>
    <a:bodyPr/>
    <a:lstStyle/>
    <a:p>
      <a:pPr>
        <a:defRPr sz="1800"/>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68921389396705"/>
          <c:y val="0.22363559393785437"/>
          <c:w val="0.81962218159658762"/>
          <c:h val="0.63601887999294149"/>
        </c:manualLayout>
      </c:layout>
      <c:barChart>
        <c:barDir val="col"/>
        <c:grouping val="clustered"/>
        <c:varyColors val="0"/>
        <c:ser>
          <c:idx val="0"/>
          <c:order val="0"/>
          <c:tx>
            <c:strRef>
              <c:f>Sheet1!$B$1</c:f>
              <c:strCache>
                <c:ptCount val="1"/>
                <c:pt idx="0">
                  <c:v>Very often</c:v>
                </c:pt>
              </c:strCache>
            </c:strRef>
          </c:tx>
          <c:invertIfNegative val="0"/>
          <c:dLbls>
            <c:spPr>
              <a:noFill/>
              <a:ln>
                <a:noFill/>
              </a:ln>
              <a:effectLst/>
            </c:spPr>
            <c:txPr>
              <a:bodyPr/>
              <a:lstStyle/>
              <a:p>
                <a:pPr>
                  <a:defRPr lang="en-US"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Receive texts</c:v>
                </c:pt>
                <c:pt idx="1">
                  <c:v>Send texts</c:v>
                </c:pt>
              </c:strCache>
            </c:strRef>
          </c:cat>
          <c:val>
            <c:numRef>
              <c:f>Sheet1!$B$2:$B$3</c:f>
              <c:numCache>
                <c:formatCode>General</c:formatCode>
                <c:ptCount val="2"/>
                <c:pt idx="0">
                  <c:v>0</c:v>
                </c:pt>
                <c:pt idx="1">
                  <c:v>0</c:v>
                </c:pt>
              </c:numCache>
            </c:numRef>
          </c:val>
          <c:extLst>
            <c:ext xmlns:c16="http://schemas.microsoft.com/office/drawing/2014/chart" uri="{C3380CC4-5D6E-409C-BE32-E72D297353CC}">
              <c16:uniqueId val="{00000000-D39C-4434-834D-CB87F536D47E}"/>
            </c:ext>
          </c:extLst>
        </c:ser>
        <c:ser>
          <c:idx val="1"/>
          <c:order val="1"/>
          <c:tx>
            <c:strRef>
              <c:f>Sheet1!$C$1</c:f>
              <c:strCache>
                <c:ptCount val="1"/>
                <c:pt idx="0">
                  <c:v>Often</c:v>
                </c:pt>
              </c:strCache>
            </c:strRef>
          </c:tx>
          <c:invertIfNegative val="0"/>
          <c:dLbls>
            <c:spPr>
              <a:noFill/>
              <a:ln>
                <a:noFill/>
              </a:ln>
              <a:effectLst/>
            </c:spPr>
            <c:txPr>
              <a:bodyPr/>
              <a:lstStyle/>
              <a:p>
                <a:pPr>
                  <a:defRPr lang="en-US"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Receive texts</c:v>
                </c:pt>
                <c:pt idx="1">
                  <c:v>Send texts</c:v>
                </c:pt>
              </c:strCache>
            </c:strRef>
          </c:cat>
          <c:val>
            <c:numRef>
              <c:f>Sheet1!$C$2:$C$3</c:f>
              <c:numCache>
                <c:formatCode>General</c:formatCode>
                <c:ptCount val="2"/>
                <c:pt idx="0">
                  <c:v>5</c:v>
                </c:pt>
                <c:pt idx="1">
                  <c:v>2</c:v>
                </c:pt>
              </c:numCache>
            </c:numRef>
          </c:val>
          <c:extLst>
            <c:ext xmlns:c16="http://schemas.microsoft.com/office/drawing/2014/chart" uri="{C3380CC4-5D6E-409C-BE32-E72D297353CC}">
              <c16:uniqueId val="{00000001-D39C-4434-834D-CB87F536D47E}"/>
            </c:ext>
          </c:extLst>
        </c:ser>
        <c:ser>
          <c:idx val="2"/>
          <c:order val="2"/>
          <c:tx>
            <c:strRef>
              <c:f>Sheet1!$D$1</c:f>
              <c:strCache>
                <c:ptCount val="1"/>
                <c:pt idx="0">
                  <c:v>Sometimes</c:v>
                </c:pt>
              </c:strCache>
            </c:strRef>
          </c:tx>
          <c:invertIfNegative val="0"/>
          <c:dLbls>
            <c:spPr>
              <a:noFill/>
              <a:ln>
                <a:noFill/>
              </a:ln>
              <a:effectLst/>
            </c:spPr>
            <c:txPr>
              <a:bodyPr/>
              <a:lstStyle/>
              <a:p>
                <a:pPr>
                  <a:defRPr lang="en-US"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Receive texts</c:v>
                </c:pt>
                <c:pt idx="1">
                  <c:v>Send texts</c:v>
                </c:pt>
              </c:strCache>
            </c:strRef>
          </c:cat>
          <c:val>
            <c:numRef>
              <c:f>Sheet1!$D$2:$D$3</c:f>
              <c:numCache>
                <c:formatCode>General</c:formatCode>
                <c:ptCount val="2"/>
                <c:pt idx="0">
                  <c:v>50</c:v>
                </c:pt>
                <c:pt idx="1">
                  <c:v>20</c:v>
                </c:pt>
              </c:numCache>
            </c:numRef>
          </c:val>
          <c:extLst>
            <c:ext xmlns:c16="http://schemas.microsoft.com/office/drawing/2014/chart" uri="{C3380CC4-5D6E-409C-BE32-E72D297353CC}">
              <c16:uniqueId val="{00000002-D39C-4434-834D-CB87F536D47E}"/>
            </c:ext>
          </c:extLst>
        </c:ser>
        <c:ser>
          <c:idx val="3"/>
          <c:order val="3"/>
          <c:tx>
            <c:strRef>
              <c:f>Sheet1!$E$1</c:f>
              <c:strCache>
                <c:ptCount val="1"/>
                <c:pt idx="0">
                  <c:v>Not at all</c:v>
                </c:pt>
              </c:strCache>
            </c:strRef>
          </c:tx>
          <c:invertIfNegative val="0"/>
          <c:dLbls>
            <c:spPr>
              <a:noFill/>
              <a:ln>
                <a:noFill/>
              </a:ln>
              <a:effectLst/>
            </c:spPr>
            <c:txPr>
              <a:bodyPr/>
              <a:lstStyle/>
              <a:p>
                <a:pPr>
                  <a:defRPr lang="en-US"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Receive texts</c:v>
                </c:pt>
                <c:pt idx="1">
                  <c:v>Send texts</c:v>
                </c:pt>
              </c:strCache>
            </c:strRef>
          </c:cat>
          <c:val>
            <c:numRef>
              <c:f>Sheet1!$E$2:$E$3</c:f>
              <c:numCache>
                <c:formatCode>General</c:formatCode>
                <c:ptCount val="2"/>
                <c:pt idx="0">
                  <c:v>45</c:v>
                </c:pt>
                <c:pt idx="1">
                  <c:v>78</c:v>
                </c:pt>
              </c:numCache>
            </c:numRef>
          </c:val>
          <c:extLst>
            <c:ext xmlns:c16="http://schemas.microsoft.com/office/drawing/2014/chart" uri="{C3380CC4-5D6E-409C-BE32-E72D297353CC}">
              <c16:uniqueId val="{00000003-D39C-4434-834D-CB87F536D47E}"/>
            </c:ext>
          </c:extLst>
        </c:ser>
        <c:dLbls>
          <c:showLegendKey val="0"/>
          <c:showVal val="1"/>
          <c:showCatName val="0"/>
          <c:showSerName val="0"/>
          <c:showPercent val="0"/>
          <c:showBubbleSize val="0"/>
        </c:dLbls>
        <c:gapWidth val="150"/>
        <c:overlap val="-25"/>
        <c:axId val="220002176"/>
        <c:axId val="220003712"/>
      </c:barChart>
      <c:catAx>
        <c:axId val="220002176"/>
        <c:scaling>
          <c:orientation val="minMax"/>
        </c:scaling>
        <c:delete val="0"/>
        <c:axPos val="b"/>
        <c:numFmt formatCode="General" sourceLinked="1"/>
        <c:majorTickMark val="none"/>
        <c:minorTickMark val="none"/>
        <c:tickLblPos val="nextTo"/>
        <c:txPr>
          <a:bodyPr/>
          <a:lstStyle/>
          <a:p>
            <a:pPr>
              <a:defRPr lang="en-US"/>
            </a:pPr>
            <a:endParaRPr lang="en-US"/>
          </a:p>
        </c:txPr>
        <c:crossAx val="220003712"/>
        <c:crosses val="autoZero"/>
        <c:auto val="1"/>
        <c:lblAlgn val="ctr"/>
        <c:lblOffset val="100"/>
        <c:noMultiLvlLbl val="0"/>
      </c:catAx>
      <c:valAx>
        <c:axId val="220003712"/>
        <c:scaling>
          <c:orientation val="minMax"/>
        </c:scaling>
        <c:delete val="1"/>
        <c:axPos val="l"/>
        <c:numFmt formatCode="General" sourceLinked="1"/>
        <c:majorTickMark val="out"/>
        <c:minorTickMark val="none"/>
        <c:tickLblPos val="nextTo"/>
        <c:crossAx val="220002176"/>
        <c:crosses val="autoZero"/>
        <c:crossBetween val="between"/>
      </c:valAx>
      <c:spPr>
        <a:noFill/>
        <a:ln w="25401">
          <a:noFill/>
        </a:ln>
      </c:spPr>
    </c:plotArea>
    <c:legend>
      <c:legendPos val="t"/>
      <c:overlay val="0"/>
      <c:txPr>
        <a:bodyPr/>
        <a:lstStyle/>
        <a:p>
          <a:pPr>
            <a:defRPr lang="en-US" sz="1200"/>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755030621172359"/>
          <c:y val="6.2644418883514574E-2"/>
          <c:w val="0.47596821230679498"/>
          <c:h val="0.64491558895359991"/>
        </c:manualLayout>
      </c:layout>
      <c:barChart>
        <c:barDir val="col"/>
        <c:grouping val="clustered"/>
        <c:varyColors val="0"/>
        <c:ser>
          <c:idx val="0"/>
          <c:order val="0"/>
          <c:tx>
            <c:strRef>
              <c:f>Sheet1!$A$28</c:f>
              <c:strCache>
                <c:ptCount val="1"/>
                <c:pt idx="0">
                  <c:v>Cassava peels</c:v>
                </c:pt>
              </c:strCache>
            </c:strRef>
          </c:tx>
          <c:invertIfNegative val="0"/>
          <c:cat>
            <c:strRef>
              <c:f>Sheet1!$B$27:$E$27</c:f>
              <c:strCache>
                <c:ptCount val="4"/>
                <c:pt idx="0">
                  <c:v>October</c:v>
                </c:pt>
                <c:pt idx="1">
                  <c:v>November</c:v>
                </c:pt>
                <c:pt idx="2">
                  <c:v>December</c:v>
                </c:pt>
                <c:pt idx="3">
                  <c:v>January</c:v>
                </c:pt>
              </c:strCache>
            </c:strRef>
          </c:cat>
          <c:val>
            <c:numRef>
              <c:f>Sheet1!$B$28:$E$28</c:f>
              <c:numCache>
                <c:formatCode>General</c:formatCode>
                <c:ptCount val="4"/>
                <c:pt idx="0">
                  <c:v>77.03</c:v>
                </c:pt>
                <c:pt idx="1">
                  <c:v>111.78</c:v>
                </c:pt>
                <c:pt idx="2">
                  <c:v>92.676999999999978</c:v>
                </c:pt>
                <c:pt idx="3">
                  <c:v>86.25</c:v>
                </c:pt>
              </c:numCache>
            </c:numRef>
          </c:val>
          <c:extLst>
            <c:ext xmlns:c16="http://schemas.microsoft.com/office/drawing/2014/chart" uri="{C3380CC4-5D6E-409C-BE32-E72D297353CC}">
              <c16:uniqueId val="{00000000-3318-4B0B-88A3-33DC1031DFAF}"/>
            </c:ext>
          </c:extLst>
        </c:ser>
        <c:ser>
          <c:idx val="1"/>
          <c:order val="1"/>
          <c:tx>
            <c:strRef>
              <c:f>Sheet1!$A$29</c:f>
              <c:strCache>
                <c:ptCount val="1"/>
                <c:pt idx="0">
                  <c:v>Plantain peels</c:v>
                </c:pt>
              </c:strCache>
            </c:strRef>
          </c:tx>
          <c:invertIfNegative val="0"/>
          <c:cat>
            <c:strRef>
              <c:f>Sheet1!$B$27:$E$27</c:f>
              <c:strCache>
                <c:ptCount val="4"/>
                <c:pt idx="0">
                  <c:v>October</c:v>
                </c:pt>
                <c:pt idx="1">
                  <c:v>November</c:v>
                </c:pt>
                <c:pt idx="2">
                  <c:v>December</c:v>
                </c:pt>
                <c:pt idx="3">
                  <c:v>January</c:v>
                </c:pt>
              </c:strCache>
            </c:strRef>
          </c:cat>
          <c:val>
            <c:numRef>
              <c:f>Sheet1!$B$29:$E$29</c:f>
              <c:numCache>
                <c:formatCode>General</c:formatCode>
                <c:ptCount val="4"/>
                <c:pt idx="0">
                  <c:v>0.15980000000000041</c:v>
                </c:pt>
                <c:pt idx="1">
                  <c:v>0.29850000000000032</c:v>
                </c:pt>
                <c:pt idx="2">
                  <c:v>0.2253</c:v>
                </c:pt>
                <c:pt idx="3">
                  <c:v>0.23900000000000021</c:v>
                </c:pt>
              </c:numCache>
            </c:numRef>
          </c:val>
          <c:extLst>
            <c:ext xmlns:c16="http://schemas.microsoft.com/office/drawing/2014/chart" uri="{C3380CC4-5D6E-409C-BE32-E72D297353CC}">
              <c16:uniqueId val="{00000001-3318-4B0B-88A3-33DC1031DFAF}"/>
            </c:ext>
          </c:extLst>
        </c:ser>
        <c:ser>
          <c:idx val="2"/>
          <c:order val="2"/>
          <c:tx>
            <c:strRef>
              <c:f>Sheet1!$A$30</c:f>
              <c:strCache>
                <c:ptCount val="1"/>
                <c:pt idx="0">
                  <c:v>Vegetables</c:v>
                </c:pt>
              </c:strCache>
            </c:strRef>
          </c:tx>
          <c:invertIfNegative val="0"/>
          <c:cat>
            <c:strRef>
              <c:f>Sheet1!$B$27:$E$27</c:f>
              <c:strCache>
                <c:ptCount val="4"/>
                <c:pt idx="0">
                  <c:v>October</c:v>
                </c:pt>
                <c:pt idx="1">
                  <c:v>November</c:v>
                </c:pt>
                <c:pt idx="2">
                  <c:v>December</c:v>
                </c:pt>
                <c:pt idx="3">
                  <c:v>January</c:v>
                </c:pt>
              </c:strCache>
            </c:strRef>
          </c:cat>
          <c:val>
            <c:numRef>
              <c:f>Sheet1!$B$30:$E$30</c:f>
              <c:numCache>
                <c:formatCode>General</c:formatCode>
                <c:ptCount val="4"/>
                <c:pt idx="0">
                  <c:v>5.1199999999999996E-2</c:v>
                </c:pt>
                <c:pt idx="1">
                  <c:v>7.51E-2</c:v>
                </c:pt>
                <c:pt idx="2">
                  <c:v>6.8400000000000002E-2</c:v>
                </c:pt>
                <c:pt idx="3">
                  <c:v>6.6000000000000003E-2</c:v>
                </c:pt>
              </c:numCache>
            </c:numRef>
          </c:val>
          <c:extLst>
            <c:ext xmlns:c16="http://schemas.microsoft.com/office/drawing/2014/chart" uri="{C3380CC4-5D6E-409C-BE32-E72D297353CC}">
              <c16:uniqueId val="{00000002-3318-4B0B-88A3-33DC1031DFAF}"/>
            </c:ext>
          </c:extLst>
        </c:ser>
        <c:ser>
          <c:idx val="3"/>
          <c:order val="3"/>
          <c:tx>
            <c:strRef>
              <c:f>Sheet1!$A$31</c:f>
              <c:strCache>
                <c:ptCount val="1"/>
                <c:pt idx="0">
                  <c:v>Food leftovers</c:v>
                </c:pt>
              </c:strCache>
            </c:strRef>
          </c:tx>
          <c:invertIfNegative val="0"/>
          <c:cat>
            <c:strRef>
              <c:f>Sheet1!$B$27:$E$27</c:f>
              <c:strCache>
                <c:ptCount val="4"/>
                <c:pt idx="0">
                  <c:v>October</c:v>
                </c:pt>
                <c:pt idx="1">
                  <c:v>November</c:v>
                </c:pt>
                <c:pt idx="2">
                  <c:v>December</c:v>
                </c:pt>
                <c:pt idx="3">
                  <c:v>January</c:v>
                </c:pt>
              </c:strCache>
            </c:strRef>
          </c:cat>
          <c:val>
            <c:numRef>
              <c:f>Sheet1!$B$31:$E$31</c:f>
              <c:numCache>
                <c:formatCode>General</c:formatCode>
                <c:ptCount val="4"/>
                <c:pt idx="0">
                  <c:v>105.57</c:v>
                </c:pt>
                <c:pt idx="1">
                  <c:v>112.71000000000002</c:v>
                </c:pt>
                <c:pt idx="2">
                  <c:v>92.82</c:v>
                </c:pt>
                <c:pt idx="3">
                  <c:v>120.99000000000002</c:v>
                </c:pt>
              </c:numCache>
            </c:numRef>
          </c:val>
          <c:extLst>
            <c:ext xmlns:c16="http://schemas.microsoft.com/office/drawing/2014/chart" uri="{C3380CC4-5D6E-409C-BE32-E72D297353CC}">
              <c16:uniqueId val="{00000003-3318-4B0B-88A3-33DC1031DFAF}"/>
            </c:ext>
          </c:extLst>
        </c:ser>
        <c:dLbls>
          <c:showLegendKey val="0"/>
          <c:showVal val="0"/>
          <c:showCatName val="0"/>
          <c:showSerName val="0"/>
          <c:showPercent val="0"/>
          <c:showBubbleSize val="0"/>
        </c:dLbls>
        <c:gapWidth val="150"/>
        <c:axId val="166582144"/>
        <c:axId val="166583680"/>
      </c:barChart>
      <c:catAx>
        <c:axId val="166582144"/>
        <c:scaling>
          <c:orientation val="minMax"/>
        </c:scaling>
        <c:delete val="0"/>
        <c:axPos val="b"/>
        <c:numFmt formatCode="General" sourceLinked="0"/>
        <c:majorTickMark val="out"/>
        <c:minorTickMark val="none"/>
        <c:tickLblPos val="nextTo"/>
        <c:txPr>
          <a:bodyPr/>
          <a:lstStyle/>
          <a:p>
            <a:pPr>
              <a:defRPr lang="en-US"/>
            </a:pPr>
            <a:endParaRPr lang="en-US"/>
          </a:p>
        </c:txPr>
        <c:crossAx val="166583680"/>
        <c:crosses val="autoZero"/>
        <c:auto val="1"/>
        <c:lblAlgn val="ctr"/>
        <c:lblOffset val="100"/>
        <c:noMultiLvlLbl val="0"/>
      </c:catAx>
      <c:valAx>
        <c:axId val="166583680"/>
        <c:scaling>
          <c:orientation val="minMax"/>
        </c:scaling>
        <c:delete val="0"/>
        <c:axPos val="l"/>
        <c:majorGridlines/>
        <c:title>
          <c:tx>
            <c:rich>
              <a:bodyPr rot="-5400000" vert="horz"/>
              <a:lstStyle/>
              <a:p>
                <a:pPr>
                  <a:defRPr lang="en-US"/>
                </a:pPr>
                <a:r>
                  <a:rPr lang="en-US"/>
                  <a:t> Biogas</a:t>
                </a:r>
                <a:r>
                  <a:rPr lang="en-US" baseline="0"/>
                  <a:t> Potential (</a:t>
                </a:r>
                <a:r>
                  <a:rPr lang="en-US"/>
                  <a:t>m</a:t>
                </a:r>
                <a:r>
                  <a:rPr lang="en-US" baseline="30000"/>
                  <a:t>3</a:t>
                </a:r>
                <a:r>
                  <a:rPr lang="en-US" baseline="0"/>
                  <a:t>)</a:t>
                </a:r>
                <a:endParaRPr lang="en-US" baseline="30000"/>
              </a:p>
            </c:rich>
          </c:tx>
          <c:overlay val="0"/>
        </c:title>
        <c:numFmt formatCode="General" sourceLinked="1"/>
        <c:majorTickMark val="out"/>
        <c:minorTickMark val="none"/>
        <c:tickLblPos val="nextTo"/>
        <c:txPr>
          <a:bodyPr/>
          <a:lstStyle/>
          <a:p>
            <a:pPr>
              <a:defRPr lang="en-US"/>
            </a:pPr>
            <a:endParaRPr lang="en-US"/>
          </a:p>
        </c:txPr>
        <c:crossAx val="166582144"/>
        <c:crosses val="autoZero"/>
        <c:crossBetween val="between"/>
      </c:valAx>
    </c:plotArea>
    <c:legend>
      <c:legendPos val="r"/>
      <c:layout>
        <c:manualLayout>
          <c:xMode val="edge"/>
          <c:yMode val="edge"/>
          <c:x val="0.7175925925926"/>
          <c:y val="0.19437665466665188"/>
          <c:w val="0.27777777777778212"/>
          <c:h val="0.6281733279842"/>
        </c:manualLayout>
      </c:layout>
      <c:overlay val="0"/>
      <c:txPr>
        <a:bodyPr/>
        <a:lstStyle/>
        <a:p>
          <a:pPr>
            <a:defRPr lang="en-US"/>
          </a:pPr>
          <a:endParaRPr lang="en-US"/>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Very often</c:v>
                </c:pt>
              </c:strCache>
            </c:strRef>
          </c:tx>
          <c:invertIfNegative val="0"/>
          <c:dLbls>
            <c:dLbl>
              <c:idx val="0"/>
              <c:spPr/>
              <c:txPr>
                <a:bodyPr/>
                <a:lstStyle/>
                <a:p>
                  <a:pPr>
                    <a:defRPr/>
                  </a:pPr>
                  <a:endParaRPr lang="en-US"/>
                </a:p>
              </c:txP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BA82-4000-A9D6-2787E3DEA2C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Sheet1!$A$2</c:f>
              <c:strCache>
                <c:ptCount val="1"/>
                <c:pt idx="0">
                  <c:v>Use of phone </c:v>
                </c:pt>
              </c:strCache>
            </c:strRef>
          </c:cat>
          <c:val>
            <c:numRef>
              <c:f>Sheet1!$B$2</c:f>
              <c:numCache>
                <c:formatCode>General</c:formatCode>
                <c:ptCount val="1"/>
                <c:pt idx="0">
                  <c:v>24</c:v>
                </c:pt>
              </c:numCache>
            </c:numRef>
          </c:val>
          <c:extLst>
            <c:ext xmlns:c16="http://schemas.microsoft.com/office/drawing/2014/chart" uri="{C3380CC4-5D6E-409C-BE32-E72D297353CC}">
              <c16:uniqueId val="{00000001-BA82-4000-A9D6-2787E3DEA2CA}"/>
            </c:ext>
          </c:extLst>
        </c:ser>
        <c:ser>
          <c:idx val="1"/>
          <c:order val="1"/>
          <c:tx>
            <c:strRef>
              <c:f>Sheet1!$C$1</c:f>
              <c:strCache>
                <c:ptCount val="1"/>
                <c:pt idx="0">
                  <c:v>Often</c:v>
                </c:pt>
              </c:strCache>
            </c:strRef>
          </c:tx>
          <c:invertIfNegative val="0"/>
          <c:dLbls>
            <c:dLbl>
              <c:idx val="0"/>
              <c:spPr/>
              <c:txPr>
                <a:bodyPr/>
                <a:lstStyle/>
                <a:p>
                  <a:pPr>
                    <a:defRPr/>
                  </a:pPr>
                  <a:endParaRPr lang="en-US"/>
                </a:p>
              </c:txP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BA82-4000-A9D6-2787E3DEA2C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Sheet1!$A$2</c:f>
              <c:strCache>
                <c:ptCount val="1"/>
                <c:pt idx="0">
                  <c:v>Use of phone </c:v>
                </c:pt>
              </c:strCache>
            </c:strRef>
          </c:cat>
          <c:val>
            <c:numRef>
              <c:f>Sheet1!$C$2</c:f>
              <c:numCache>
                <c:formatCode>General</c:formatCode>
                <c:ptCount val="1"/>
                <c:pt idx="0">
                  <c:v>9</c:v>
                </c:pt>
              </c:numCache>
            </c:numRef>
          </c:val>
          <c:extLst>
            <c:ext xmlns:c16="http://schemas.microsoft.com/office/drawing/2014/chart" uri="{C3380CC4-5D6E-409C-BE32-E72D297353CC}">
              <c16:uniqueId val="{00000003-BA82-4000-A9D6-2787E3DEA2CA}"/>
            </c:ext>
          </c:extLst>
        </c:ser>
        <c:ser>
          <c:idx val="2"/>
          <c:order val="2"/>
          <c:tx>
            <c:strRef>
              <c:f>Sheet1!$D$1</c:f>
              <c:strCache>
                <c:ptCount val="1"/>
                <c:pt idx="0">
                  <c:v>Sometimes</c:v>
                </c:pt>
              </c:strCache>
            </c:strRef>
          </c:tx>
          <c:invertIfNegative val="0"/>
          <c:dLbls>
            <c:dLbl>
              <c:idx val="0"/>
              <c:spPr/>
              <c:txPr>
                <a:bodyPr/>
                <a:lstStyle/>
                <a:p>
                  <a:pPr>
                    <a:defRPr/>
                  </a:pPr>
                  <a:endParaRPr lang="en-US"/>
                </a:p>
              </c:txP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BA82-4000-A9D6-2787E3DEA2C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Sheet1!$A$2</c:f>
              <c:strCache>
                <c:ptCount val="1"/>
                <c:pt idx="0">
                  <c:v>Use of phone </c:v>
                </c:pt>
              </c:strCache>
            </c:strRef>
          </c:cat>
          <c:val>
            <c:numRef>
              <c:f>Sheet1!$D$2</c:f>
              <c:numCache>
                <c:formatCode>General</c:formatCode>
                <c:ptCount val="1"/>
                <c:pt idx="0">
                  <c:v>56</c:v>
                </c:pt>
              </c:numCache>
            </c:numRef>
          </c:val>
          <c:extLst>
            <c:ext xmlns:c16="http://schemas.microsoft.com/office/drawing/2014/chart" uri="{C3380CC4-5D6E-409C-BE32-E72D297353CC}">
              <c16:uniqueId val="{00000005-BA82-4000-A9D6-2787E3DEA2CA}"/>
            </c:ext>
          </c:extLst>
        </c:ser>
        <c:ser>
          <c:idx val="3"/>
          <c:order val="3"/>
          <c:tx>
            <c:strRef>
              <c:f>Sheet1!$E$1</c:f>
              <c:strCache>
                <c:ptCount val="1"/>
                <c:pt idx="0">
                  <c:v>Not at all</c:v>
                </c:pt>
              </c:strCache>
            </c:strRef>
          </c:tx>
          <c:invertIfNegative val="0"/>
          <c:dLbls>
            <c:dLbl>
              <c:idx val="0"/>
              <c:spPr/>
              <c:txPr>
                <a:bodyPr/>
                <a:lstStyle/>
                <a:p>
                  <a:pPr>
                    <a:defRPr/>
                  </a:pPr>
                  <a:endParaRPr lang="en-US"/>
                </a:p>
              </c:txP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BA82-4000-A9D6-2787E3DEA2C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Sheet1!$A$2</c:f>
              <c:strCache>
                <c:ptCount val="1"/>
                <c:pt idx="0">
                  <c:v>Use of phone </c:v>
                </c:pt>
              </c:strCache>
            </c:strRef>
          </c:cat>
          <c:val>
            <c:numRef>
              <c:f>Sheet1!$E$2</c:f>
              <c:numCache>
                <c:formatCode>General</c:formatCode>
                <c:ptCount val="1"/>
                <c:pt idx="0">
                  <c:v>11</c:v>
                </c:pt>
              </c:numCache>
            </c:numRef>
          </c:val>
          <c:extLst>
            <c:ext xmlns:c16="http://schemas.microsoft.com/office/drawing/2014/chart" uri="{C3380CC4-5D6E-409C-BE32-E72D297353CC}">
              <c16:uniqueId val="{00000007-BA82-4000-A9D6-2787E3DEA2CA}"/>
            </c:ext>
          </c:extLst>
        </c:ser>
        <c:dLbls>
          <c:showLegendKey val="0"/>
          <c:showVal val="1"/>
          <c:showCatName val="0"/>
          <c:showSerName val="0"/>
          <c:showPercent val="0"/>
          <c:showBubbleSize val="0"/>
        </c:dLbls>
        <c:gapWidth val="150"/>
        <c:axId val="222499200"/>
        <c:axId val="222500736"/>
      </c:barChart>
      <c:catAx>
        <c:axId val="222499200"/>
        <c:scaling>
          <c:orientation val="minMax"/>
        </c:scaling>
        <c:delete val="0"/>
        <c:axPos val="b"/>
        <c:numFmt formatCode="General" sourceLinked="1"/>
        <c:majorTickMark val="none"/>
        <c:minorTickMark val="none"/>
        <c:tickLblPos val="nextTo"/>
        <c:txPr>
          <a:bodyPr/>
          <a:lstStyle/>
          <a:p>
            <a:pPr>
              <a:defRPr lang="en-US" sz="1199"/>
            </a:pPr>
            <a:endParaRPr lang="en-US"/>
          </a:p>
        </c:txPr>
        <c:crossAx val="222500736"/>
        <c:crosses val="autoZero"/>
        <c:auto val="1"/>
        <c:lblAlgn val="ctr"/>
        <c:lblOffset val="100"/>
        <c:noMultiLvlLbl val="0"/>
      </c:catAx>
      <c:valAx>
        <c:axId val="222500736"/>
        <c:scaling>
          <c:orientation val="minMax"/>
        </c:scaling>
        <c:delete val="0"/>
        <c:axPos val="l"/>
        <c:majorGridlines/>
        <c:numFmt formatCode="General" sourceLinked="1"/>
        <c:majorTickMark val="none"/>
        <c:minorTickMark val="none"/>
        <c:tickLblPos val="nextTo"/>
        <c:txPr>
          <a:bodyPr/>
          <a:lstStyle/>
          <a:p>
            <a:pPr>
              <a:defRPr lang="en-US"/>
            </a:pPr>
            <a:endParaRPr lang="en-US"/>
          </a:p>
        </c:txPr>
        <c:crossAx val="222499200"/>
        <c:crosses val="autoZero"/>
        <c:crossBetween val="between"/>
      </c:valAx>
    </c:plotArea>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10915425627045529"/>
          <c:y val="0.31261338142788975"/>
          <c:w val="0.82097939415031684"/>
          <c:h val="0.55416179122861042"/>
        </c:manualLayout>
      </c:layout>
      <c:pie3DChart>
        <c:varyColors val="1"/>
        <c:ser>
          <c:idx val="0"/>
          <c:order val="0"/>
          <c:tx>
            <c:strRef>
              <c:f>Sheet1!$B$1</c:f>
              <c:strCache>
                <c:ptCount val="1"/>
                <c:pt idx="0">
                  <c:v>Sales</c:v>
                </c:pt>
              </c:strCache>
            </c:strRef>
          </c:tx>
          <c:dLbls>
            <c:spPr>
              <a:noFill/>
              <a:ln>
                <a:noFill/>
              </a:ln>
              <a:effectLst/>
            </c:spPr>
            <c:txPr>
              <a:bodyPr/>
              <a:lstStyle/>
              <a:p>
                <a:pPr>
                  <a:defRPr lang="en-US"/>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Sheet1!$A$2:$A$3</c:f>
              <c:strCache>
                <c:ptCount val="2"/>
                <c:pt idx="0">
                  <c:v>Yes</c:v>
                </c:pt>
                <c:pt idx="1">
                  <c:v>No</c:v>
                </c:pt>
              </c:strCache>
            </c:strRef>
          </c:cat>
          <c:val>
            <c:numRef>
              <c:f>Sheet1!$B$2:$B$3</c:f>
              <c:numCache>
                <c:formatCode>General</c:formatCode>
                <c:ptCount val="2"/>
                <c:pt idx="0">
                  <c:v>7</c:v>
                </c:pt>
                <c:pt idx="1">
                  <c:v>93</c:v>
                </c:pt>
              </c:numCache>
            </c:numRef>
          </c:val>
          <c:extLst>
            <c:ext xmlns:c16="http://schemas.microsoft.com/office/drawing/2014/chart" uri="{C3380CC4-5D6E-409C-BE32-E72D297353CC}">
              <c16:uniqueId val="{00000000-4D1C-4C3B-B725-9A480BC6C970}"/>
            </c:ext>
          </c:extLst>
        </c:ser>
        <c:dLbls>
          <c:showLegendKey val="0"/>
          <c:showVal val="0"/>
          <c:showCatName val="0"/>
          <c:showSerName val="0"/>
          <c:showPercent val="1"/>
          <c:showBubbleSize val="0"/>
          <c:showLeaderLines val="0"/>
        </c:dLbls>
      </c:pie3DChart>
      <c:spPr>
        <a:noFill/>
        <a:ln w="25416">
          <a:noFill/>
        </a:ln>
      </c:spPr>
    </c:plotArea>
    <c:legend>
      <c:legendPos val="t"/>
      <c:overlay val="0"/>
      <c:txPr>
        <a:bodyPr/>
        <a:lstStyle/>
        <a:p>
          <a:pPr>
            <a:defRPr lang="en-US"/>
          </a:pPr>
          <a:endParaRPr lang="en-US"/>
        </a:p>
      </c:txPr>
    </c:legend>
    <c:plotVisOnly val="1"/>
    <c:dispBlanksAs val="zero"/>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3981481481481483E-2"/>
          <c:y val="0.23476396436360947"/>
          <c:w val="0.8935185185185186"/>
          <c:h val="0.60841817308047763"/>
        </c:manualLayout>
      </c:layout>
      <c:barChart>
        <c:barDir val="col"/>
        <c:grouping val="clustered"/>
        <c:varyColors val="0"/>
        <c:ser>
          <c:idx val="0"/>
          <c:order val="0"/>
          <c:tx>
            <c:strRef>
              <c:f>Sheet1!$B$1</c:f>
              <c:strCache>
                <c:ptCount val="1"/>
                <c:pt idx="0">
                  <c:v>Very often</c:v>
                </c:pt>
              </c:strCache>
            </c:strRef>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Use of phone during exams</c:v>
                </c:pt>
              </c:strCache>
            </c:strRef>
          </c:cat>
          <c:val>
            <c:numRef>
              <c:f>Sheet1!$B$2</c:f>
              <c:numCache>
                <c:formatCode>General</c:formatCode>
                <c:ptCount val="1"/>
                <c:pt idx="0">
                  <c:v>6</c:v>
                </c:pt>
              </c:numCache>
            </c:numRef>
          </c:val>
          <c:extLst>
            <c:ext xmlns:c16="http://schemas.microsoft.com/office/drawing/2014/chart" uri="{C3380CC4-5D6E-409C-BE32-E72D297353CC}">
              <c16:uniqueId val="{00000000-5287-42EE-AA54-930E28B8B09F}"/>
            </c:ext>
          </c:extLst>
        </c:ser>
        <c:ser>
          <c:idx val="1"/>
          <c:order val="1"/>
          <c:tx>
            <c:strRef>
              <c:f>Sheet1!$C$1</c:f>
              <c:strCache>
                <c:ptCount val="1"/>
                <c:pt idx="0">
                  <c:v>Often</c:v>
                </c:pt>
              </c:strCache>
            </c:strRef>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Use of phone during exams</c:v>
                </c:pt>
              </c:strCache>
            </c:strRef>
          </c:cat>
          <c:val>
            <c:numRef>
              <c:f>Sheet1!$C$2</c:f>
              <c:numCache>
                <c:formatCode>General</c:formatCode>
                <c:ptCount val="1"/>
                <c:pt idx="0">
                  <c:v>31</c:v>
                </c:pt>
              </c:numCache>
            </c:numRef>
          </c:val>
          <c:extLst>
            <c:ext xmlns:c16="http://schemas.microsoft.com/office/drawing/2014/chart" uri="{C3380CC4-5D6E-409C-BE32-E72D297353CC}">
              <c16:uniqueId val="{00000001-5287-42EE-AA54-930E28B8B09F}"/>
            </c:ext>
          </c:extLst>
        </c:ser>
        <c:ser>
          <c:idx val="2"/>
          <c:order val="2"/>
          <c:tx>
            <c:strRef>
              <c:f>Sheet1!$D$1</c:f>
              <c:strCache>
                <c:ptCount val="1"/>
                <c:pt idx="0">
                  <c:v>Sometimes</c:v>
                </c:pt>
              </c:strCache>
            </c:strRef>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Use of phone during exams</c:v>
                </c:pt>
              </c:strCache>
            </c:strRef>
          </c:cat>
          <c:val>
            <c:numRef>
              <c:f>Sheet1!$D$2</c:f>
              <c:numCache>
                <c:formatCode>General</c:formatCode>
                <c:ptCount val="1"/>
                <c:pt idx="0">
                  <c:v>49</c:v>
                </c:pt>
              </c:numCache>
            </c:numRef>
          </c:val>
          <c:extLst>
            <c:ext xmlns:c16="http://schemas.microsoft.com/office/drawing/2014/chart" uri="{C3380CC4-5D6E-409C-BE32-E72D297353CC}">
              <c16:uniqueId val="{00000002-5287-42EE-AA54-930E28B8B09F}"/>
            </c:ext>
          </c:extLst>
        </c:ser>
        <c:ser>
          <c:idx val="3"/>
          <c:order val="3"/>
          <c:tx>
            <c:strRef>
              <c:f>Sheet1!$E$1</c:f>
              <c:strCache>
                <c:ptCount val="1"/>
                <c:pt idx="0">
                  <c:v>Not at all</c:v>
                </c:pt>
              </c:strCache>
            </c:strRef>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Use of phone during exams</c:v>
                </c:pt>
              </c:strCache>
            </c:strRef>
          </c:cat>
          <c:val>
            <c:numRef>
              <c:f>Sheet1!$E$2</c:f>
              <c:numCache>
                <c:formatCode>General</c:formatCode>
                <c:ptCount val="1"/>
                <c:pt idx="0">
                  <c:v>14</c:v>
                </c:pt>
              </c:numCache>
            </c:numRef>
          </c:val>
          <c:extLst>
            <c:ext xmlns:c16="http://schemas.microsoft.com/office/drawing/2014/chart" uri="{C3380CC4-5D6E-409C-BE32-E72D297353CC}">
              <c16:uniqueId val="{00000003-5287-42EE-AA54-930E28B8B09F}"/>
            </c:ext>
          </c:extLst>
        </c:ser>
        <c:dLbls>
          <c:showLegendKey val="0"/>
          <c:showVal val="1"/>
          <c:showCatName val="0"/>
          <c:showSerName val="0"/>
          <c:showPercent val="0"/>
          <c:showBubbleSize val="0"/>
        </c:dLbls>
        <c:gapWidth val="150"/>
        <c:overlap val="-25"/>
        <c:axId val="223426816"/>
        <c:axId val="223457280"/>
      </c:barChart>
      <c:catAx>
        <c:axId val="223426816"/>
        <c:scaling>
          <c:orientation val="minMax"/>
        </c:scaling>
        <c:delete val="0"/>
        <c:axPos val="b"/>
        <c:numFmt formatCode="General" sourceLinked="1"/>
        <c:majorTickMark val="none"/>
        <c:minorTickMark val="none"/>
        <c:tickLblPos val="nextTo"/>
        <c:txPr>
          <a:bodyPr/>
          <a:lstStyle/>
          <a:p>
            <a:pPr>
              <a:defRPr lang="en-US"/>
            </a:pPr>
            <a:endParaRPr lang="en-US"/>
          </a:p>
        </c:txPr>
        <c:crossAx val="223457280"/>
        <c:crosses val="autoZero"/>
        <c:auto val="1"/>
        <c:lblAlgn val="ctr"/>
        <c:lblOffset val="100"/>
        <c:noMultiLvlLbl val="0"/>
      </c:catAx>
      <c:valAx>
        <c:axId val="223457280"/>
        <c:scaling>
          <c:orientation val="minMax"/>
        </c:scaling>
        <c:delete val="1"/>
        <c:axPos val="l"/>
        <c:numFmt formatCode="General" sourceLinked="1"/>
        <c:majorTickMark val="out"/>
        <c:minorTickMark val="none"/>
        <c:tickLblPos val="nextTo"/>
        <c:crossAx val="223426816"/>
        <c:crosses val="autoZero"/>
        <c:crossBetween val="between"/>
      </c:valAx>
    </c:plotArea>
    <c:legend>
      <c:legendPos val="t"/>
      <c:overlay val="0"/>
      <c:txPr>
        <a:bodyPr/>
        <a:lstStyle/>
        <a:p>
          <a:pPr>
            <a:defRPr lang="en-US" sz="1199"/>
          </a:pPr>
          <a:endParaRPr lang="en-US"/>
        </a:p>
      </c:txPr>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view3D>
      <c:rotX val="15"/>
      <c:rotY val="20"/>
      <c:rAngAx val="0"/>
    </c:view3D>
    <c:floor>
      <c:thickness val="0"/>
      <c:spPr>
        <a:noFill/>
        <a:ln w="9525">
          <a:noFill/>
        </a:ln>
      </c:spPr>
    </c:floor>
    <c:sideWall>
      <c:thickness val="0"/>
    </c:sideWall>
    <c:backWall>
      <c:thickness val="0"/>
    </c:backWall>
    <c:plotArea>
      <c:layout>
        <c:manualLayout>
          <c:layoutTarget val="inner"/>
          <c:xMode val="edge"/>
          <c:yMode val="edge"/>
          <c:x val="8.3516185476815524E-2"/>
          <c:y val="4.6770924467774859E-2"/>
          <c:w val="0.54641579177601862"/>
          <c:h val="0.89719889180519163"/>
        </c:manualLayout>
      </c:layout>
      <c:bar3DChart>
        <c:barDir val="col"/>
        <c:grouping val="clustered"/>
        <c:varyColors val="0"/>
        <c:ser>
          <c:idx val="0"/>
          <c:order val="0"/>
          <c:invertIfNegative val="0"/>
          <c:dPt>
            <c:idx val="0"/>
            <c:invertIfNegative val="0"/>
            <c:bubble3D val="0"/>
            <c:spPr>
              <a:solidFill>
                <a:schemeClr val="tx1"/>
              </a:solidFill>
            </c:spPr>
            <c:extLst>
              <c:ext xmlns:c16="http://schemas.microsoft.com/office/drawing/2014/chart" uri="{C3380CC4-5D6E-409C-BE32-E72D297353CC}">
                <c16:uniqueId val="{00000000-592A-40FC-856A-EDBFA6602B27}"/>
              </c:ext>
            </c:extLst>
          </c:dPt>
          <c:dPt>
            <c:idx val="1"/>
            <c:invertIfNegative val="0"/>
            <c:bubble3D val="0"/>
            <c:spPr>
              <a:solidFill>
                <a:schemeClr val="bg2">
                  <a:lumMod val="50000"/>
                </a:schemeClr>
              </a:solidFill>
            </c:spPr>
            <c:extLst>
              <c:ext xmlns:c16="http://schemas.microsoft.com/office/drawing/2014/chart" uri="{C3380CC4-5D6E-409C-BE32-E72D297353CC}">
                <c16:uniqueId val="{00000001-592A-40FC-856A-EDBFA6602B27}"/>
              </c:ext>
            </c:extLst>
          </c:dPt>
          <c:dPt>
            <c:idx val="3"/>
            <c:invertIfNegative val="0"/>
            <c:bubble3D val="0"/>
            <c:spPr>
              <a:solidFill>
                <a:schemeClr val="tx2">
                  <a:lumMod val="60000"/>
                  <a:lumOff val="40000"/>
                </a:schemeClr>
              </a:solidFill>
            </c:spPr>
            <c:extLst>
              <c:ext xmlns:c16="http://schemas.microsoft.com/office/drawing/2014/chart" uri="{C3380CC4-5D6E-409C-BE32-E72D297353CC}">
                <c16:uniqueId val="{00000002-592A-40FC-856A-EDBFA6602B27}"/>
              </c:ext>
            </c:extLst>
          </c:dPt>
          <c:dPt>
            <c:idx val="4"/>
            <c:invertIfNegative val="0"/>
            <c:bubble3D val="0"/>
            <c:spPr>
              <a:solidFill>
                <a:schemeClr val="accent4"/>
              </a:solidFill>
            </c:spPr>
            <c:extLst>
              <c:ext xmlns:c16="http://schemas.microsoft.com/office/drawing/2014/chart" uri="{C3380CC4-5D6E-409C-BE32-E72D297353CC}">
                <c16:uniqueId val="{00000003-592A-40FC-856A-EDBFA6602B27}"/>
              </c:ext>
            </c:extLst>
          </c:dPt>
          <c:dLbls>
            <c:spPr>
              <a:noFill/>
              <a:ln>
                <a:noFill/>
              </a:ln>
              <a:effectLst/>
            </c:spPr>
            <c:txPr>
              <a:bodyPr/>
              <a:lstStyle/>
              <a:p>
                <a:pPr>
                  <a:defRPr lang="en-GB"/>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Sheet1!$B$2:$B$6</c:f>
              <c:strCache>
                <c:ptCount val="5"/>
                <c:pt idx="0">
                  <c:v>Vested Lands</c:v>
                </c:pt>
                <c:pt idx="1">
                  <c:v>Stool Lands</c:v>
                </c:pt>
                <c:pt idx="2">
                  <c:v>State Lands</c:v>
                </c:pt>
                <c:pt idx="3">
                  <c:v>Family Lands</c:v>
                </c:pt>
                <c:pt idx="4">
                  <c:v>Private Individual Lands</c:v>
                </c:pt>
              </c:strCache>
            </c:strRef>
          </c:cat>
          <c:val>
            <c:numRef>
              <c:f>Sheet1!$C$2:$C$6</c:f>
              <c:numCache>
                <c:formatCode>0%</c:formatCode>
                <c:ptCount val="5"/>
                <c:pt idx="0">
                  <c:v>0.42000000000000032</c:v>
                </c:pt>
                <c:pt idx="1">
                  <c:v>8.0000000000000043E-2</c:v>
                </c:pt>
                <c:pt idx="2">
                  <c:v>0</c:v>
                </c:pt>
                <c:pt idx="3">
                  <c:v>0.31000000000000238</c:v>
                </c:pt>
                <c:pt idx="4">
                  <c:v>0.19</c:v>
                </c:pt>
              </c:numCache>
            </c:numRef>
          </c:val>
          <c:extLst>
            <c:ext xmlns:c16="http://schemas.microsoft.com/office/drawing/2014/chart" uri="{C3380CC4-5D6E-409C-BE32-E72D297353CC}">
              <c16:uniqueId val="{00000004-592A-40FC-856A-EDBFA6602B27}"/>
            </c:ext>
          </c:extLst>
        </c:ser>
        <c:dLbls>
          <c:showLegendKey val="0"/>
          <c:showVal val="0"/>
          <c:showCatName val="0"/>
          <c:showSerName val="0"/>
          <c:showPercent val="0"/>
          <c:showBubbleSize val="0"/>
        </c:dLbls>
        <c:gapWidth val="150"/>
        <c:shape val="cylinder"/>
        <c:axId val="223888896"/>
        <c:axId val="223890432"/>
        <c:axId val="0"/>
      </c:bar3DChart>
      <c:catAx>
        <c:axId val="223888896"/>
        <c:scaling>
          <c:orientation val="minMax"/>
        </c:scaling>
        <c:delete val="0"/>
        <c:axPos val="b"/>
        <c:numFmt formatCode="General" sourceLinked="0"/>
        <c:majorTickMark val="none"/>
        <c:minorTickMark val="none"/>
        <c:tickLblPos val="none"/>
        <c:txPr>
          <a:bodyPr/>
          <a:lstStyle/>
          <a:p>
            <a:pPr>
              <a:defRPr lang="en-GB"/>
            </a:pPr>
            <a:endParaRPr lang="en-US"/>
          </a:p>
        </c:txPr>
        <c:crossAx val="223890432"/>
        <c:crosses val="autoZero"/>
        <c:auto val="1"/>
        <c:lblAlgn val="ctr"/>
        <c:lblOffset val="100"/>
        <c:noMultiLvlLbl val="0"/>
      </c:catAx>
      <c:valAx>
        <c:axId val="223890432"/>
        <c:scaling>
          <c:orientation val="minMax"/>
        </c:scaling>
        <c:delete val="0"/>
        <c:axPos val="l"/>
        <c:numFmt formatCode="0%" sourceLinked="1"/>
        <c:majorTickMark val="out"/>
        <c:minorTickMark val="none"/>
        <c:tickLblPos val="nextTo"/>
        <c:txPr>
          <a:bodyPr/>
          <a:lstStyle/>
          <a:p>
            <a:pPr>
              <a:defRPr lang="en-GB"/>
            </a:pPr>
            <a:endParaRPr lang="en-US"/>
          </a:p>
        </c:txPr>
        <c:crossAx val="223888896"/>
        <c:crosses val="autoZero"/>
        <c:crossBetween val="between"/>
      </c:valAx>
    </c:plotArea>
    <c:legend>
      <c:legendPos val="r"/>
      <c:overlay val="0"/>
      <c:txPr>
        <a:bodyPr/>
        <a:lstStyle/>
        <a:p>
          <a:pPr>
            <a:defRPr lang="en-GB"/>
          </a:pPr>
          <a:endParaRPr lang="en-US"/>
        </a:p>
      </c:txPr>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Problems Encountered in Documentation Process</c:v>
                </c:pt>
              </c:strCache>
            </c:strRef>
          </c:tx>
          <c:explosion val="2"/>
          <c:dPt>
            <c:idx val="0"/>
            <c:bubble3D val="0"/>
            <c:spPr>
              <a:solidFill>
                <a:schemeClr val="accent3"/>
              </a:solidFill>
              <a:ln w="25404" cap="flat" cmpd="sng" algn="ctr">
                <a:solidFill>
                  <a:schemeClr val="accent3">
                    <a:shade val="50000"/>
                  </a:schemeClr>
                </a:solidFill>
                <a:prstDash val="solid"/>
              </a:ln>
              <a:effectLst/>
            </c:spPr>
            <c:extLst>
              <c:ext xmlns:c16="http://schemas.microsoft.com/office/drawing/2014/chart" uri="{C3380CC4-5D6E-409C-BE32-E72D297353CC}">
                <c16:uniqueId val="{00000000-03C1-43BD-AFBF-1D3B610E7E0E}"/>
              </c:ext>
            </c:extLst>
          </c:dPt>
          <c:dPt>
            <c:idx val="1"/>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6"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extLst>
              <c:ext xmlns:c16="http://schemas.microsoft.com/office/drawing/2014/chart" uri="{C3380CC4-5D6E-409C-BE32-E72D297353CC}">
                <c16:uniqueId val="{00000001-03C1-43BD-AFBF-1D3B610E7E0E}"/>
              </c:ext>
            </c:extLst>
          </c:dPt>
          <c:dPt>
            <c:idx val="3"/>
            <c:bubble3D val="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6"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extLst>
              <c:ext xmlns:c16="http://schemas.microsoft.com/office/drawing/2014/chart" uri="{C3380CC4-5D6E-409C-BE32-E72D297353CC}">
                <c16:uniqueId val="{00000002-03C1-43BD-AFBF-1D3B610E7E0E}"/>
              </c:ext>
            </c:extLst>
          </c:dPt>
          <c:dPt>
            <c:idx val="4"/>
            <c:bubble3D val="0"/>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6" cap="flat" cmpd="sng" algn="ctr">
                <a:solidFill>
                  <a:schemeClr val="dk1">
                    <a:shade val="95000"/>
                    <a:satMod val="105000"/>
                  </a:schemeClr>
                </a:solidFill>
                <a:prstDash val="solid"/>
              </a:ln>
              <a:effectLst>
                <a:outerShdw blurRad="40000" dist="20000" dir="5400000" rotWithShape="0">
                  <a:srgbClr val="000000">
                    <a:alpha val="38000"/>
                  </a:srgbClr>
                </a:outerShdw>
              </a:effectLst>
            </c:spPr>
            <c:extLst>
              <c:ext xmlns:c16="http://schemas.microsoft.com/office/drawing/2014/chart" uri="{C3380CC4-5D6E-409C-BE32-E72D297353CC}">
                <c16:uniqueId val="{00000003-03C1-43BD-AFBF-1D3B610E7E0E}"/>
              </c:ext>
            </c:extLst>
          </c:dPt>
          <c:dLbls>
            <c:spPr>
              <a:noFill/>
              <a:ln>
                <a:noFill/>
              </a:ln>
              <a:effectLst/>
            </c:spPr>
            <c:txPr>
              <a:bodyPr/>
              <a:lstStyle/>
              <a:p>
                <a:pPr>
                  <a:defRPr lang="en-US"/>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Sheet1!$A$2:$A$7</c:f>
              <c:strCache>
                <c:ptCount val="6"/>
                <c:pt idx="0">
                  <c:v>Delay in Getting Site Plan</c:v>
                </c:pt>
                <c:pt idx="1">
                  <c:v>Delay Registrarion at Court</c:v>
                </c:pt>
                <c:pt idx="2">
                  <c:v>Delay in Getting Indenture</c:v>
                </c:pt>
                <c:pt idx="3">
                  <c:v>Multiple Ownship/Sale</c:v>
                </c:pt>
                <c:pt idx="4">
                  <c:v>Land Disputes</c:v>
                </c:pt>
                <c:pt idx="5">
                  <c:v>No Problem Encountered</c:v>
                </c:pt>
              </c:strCache>
            </c:strRef>
          </c:cat>
          <c:val>
            <c:numRef>
              <c:f>Sheet1!$B$2:$B$7</c:f>
              <c:numCache>
                <c:formatCode>0%</c:formatCode>
                <c:ptCount val="6"/>
                <c:pt idx="0">
                  <c:v>0.1</c:v>
                </c:pt>
                <c:pt idx="1">
                  <c:v>0.14000000000000001</c:v>
                </c:pt>
                <c:pt idx="2">
                  <c:v>0.52</c:v>
                </c:pt>
                <c:pt idx="3">
                  <c:v>0.19</c:v>
                </c:pt>
                <c:pt idx="4">
                  <c:v>4.0000000000000022E-2</c:v>
                </c:pt>
                <c:pt idx="5">
                  <c:v>1.0000000000000005E-2</c:v>
                </c:pt>
              </c:numCache>
            </c:numRef>
          </c:val>
          <c:extLst>
            <c:ext xmlns:c16="http://schemas.microsoft.com/office/drawing/2014/chart" uri="{C3380CC4-5D6E-409C-BE32-E72D297353CC}">
              <c16:uniqueId val="{00000004-03C1-43BD-AFBF-1D3B610E7E0E}"/>
            </c:ext>
          </c:extLst>
        </c:ser>
        <c:dLbls>
          <c:showLegendKey val="0"/>
          <c:showVal val="0"/>
          <c:showCatName val="0"/>
          <c:showSerName val="0"/>
          <c:showPercent val="1"/>
          <c:showBubbleSize val="0"/>
          <c:showLeaderLines val="0"/>
        </c:dLbls>
      </c:pie3DChart>
      <c:spPr>
        <a:noFill/>
        <a:ln w="25423">
          <a:noFill/>
        </a:ln>
      </c:spPr>
    </c:plotArea>
    <c:legend>
      <c:legendPos val="t"/>
      <c:overlay val="0"/>
      <c:txPr>
        <a:bodyPr/>
        <a:lstStyle/>
        <a:p>
          <a:pPr>
            <a:defRPr lang="en-US"/>
          </a:pPr>
          <a:endParaRPr lang="en-US"/>
        </a:p>
      </c:txPr>
    </c:legend>
    <c:plotVisOnly val="1"/>
    <c:dispBlanksAs val="zero"/>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lang="en-US"/>
            </a:pPr>
            <a:r>
              <a:rPr lang="en-GB"/>
              <a:t>GHC_USD Exchange Rate</a:t>
            </a:r>
          </a:p>
        </c:rich>
      </c:tx>
      <c:layout>
        <c:manualLayout>
          <c:xMode val="edge"/>
          <c:yMode val="edge"/>
          <c:x val="0.13331771515833479"/>
          <c:y val="5.2007678144709787E-3"/>
        </c:manualLayout>
      </c:layout>
      <c:overlay val="0"/>
    </c:title>
    <c:autoTitleDeleted val="0"/>
    <c:plotArea>
      <c:layout>
        <c:manualLayout>
          <c:layoutTarget val="inner"/>
          <c:xMode val="edge"/>
          <c:yMode val="edge"/>
          <c:x val="0.10860307523457779"/>
          <c:y val="0.19609469608378172"/>
          <c:w val="0.86396704538480162"/>
          <c:h val="0.54723279381742562"/>
        </c:manualLayout>
      </c:layout>
      <c:lineChart>
        <c:grouping val="standard"/>
        <c:varyColors val="0"/>
        <c:ser>
          <c:idx val="0"/>
          <c:order val="0"/>
          <c:marker>
            <c:symbol val="none"/>
          </c:marker>
          <c:cat>
            <c:numRef>
              <c:f>Sheet1!$A$8:$A$282</c:f>
              <c:numCache>
                <c:formatCode>dd\/mm\/yyyy</c:formatCode>
                <c:ptCount val="275"/>
                <c:pt idx="0">
                  <c:v>40203</c:v>
                </c:pt>
                <c:pt idx="1">
                  <c:v>40204</c:v>
                </c:pt>
                <c:pt idx="2">
                  <c:v>40205</c:v>
                </c:pt>
                <c:pt idx="3">
                  <c:v>40206</c:v>
                </c:pt>
                <c:pt idx="4">
                  <c:v>40207</c:v>
                </c:pt>
                <c:pt idx="5">
                  <c:v>40210</c:v>
                </c:pt>
                <c:pt idx="6">
                  <c:v>40211</c:v>
                </c:pt>
                <c:pt idx="7">
                  <c:v>40212</c:v>
                </c:pt>
                <c:pt idx="8">
                  <c:v>40213</c:v>
                </c:pt>
                <c:pt idx="9">
                  <c:v>40214</c:v>
                </c:pt>
                <c:pt idx="10">
                  <c:v>40217</c:v>
                </c:pt>
                <c:pt idx="11">
                  <c:v>40218</c:v>
                </c:pt>
                <c:pt idx="12">
                  <c:v>40219</c:v>
                </c:pt>
                <c:pt idx="13">
                  <c:v>40220</c:v>
                </c:pt>
                <c:pt idx="14">
                  <c:v>40221</c:v>
                </c:pt>
                <c:pt idx="15">
                  <c:v>40224</c:v>
                </c:pt>
                <c:pt idx="16">
                  <c:v>40225</c:v>
                </c:pt>
                <c:pt idx="17">
                  <c:v>40226</c:v>
                </c:pt>
                <c:pt idx="18">
                  <c:v>40227</c:v>
                </c:pt>
                <c:pt idx="19">
                  <c:v>40228</c:v>
                </c:pt>
                <c:pt idx="20">
                  <c:v>40231</c:v>
                </c:pt>
                <c:pt idx="21">
                  <c:v>40232</c:v>
                </c:pt>
                <c:pt idx="22">
                  <c:v>40233</c:v>
                </c:pt>
                <c:pt idx="23">
                  <c:v>40234</c:v>
                </c:pt>
                <c:pt idx="24">
                  <c:v>40235</c:v>
                </c:pt>
                <c:pt idx="25">
                  <c:v>40238</c:v>
                </c:pt>
                <c:pt idx="26">
                  <c:v>40239</c:v>
                </c:pt>
                <c:pt idx="27">
                  <c:v>40240</c:v>
                </c:pt>
                <c:pt idx="28">
                  <c:v>40241</c:v>
                </c:pt>
                <c:pt idx="29">
                  <c:v>40242</c:v>
                </c:pt>
                <c:pt idx="30">
                  <c:v>40245</c:v>
                </c:pt>
                <c:pt idx="31">
                  <c:v>40246</c:v>
                </c:pt>
                <c:pt idx="32">
                  <c:v>40247</c:v>
                </c:pt>
                <c:pt idx="33">
                  <c:v>40248</c:v>
                </c:pt>
                <c:pt idx="34">
                  <c:v>40249</c:v>
                </c:pt>
                <c:pt idx="35">
                  <c:v>40252</c:v>
                </c:pt>
                <c:pt idx="36">
                  <c:v>40253</c:v>
                </c:pt>
                <c:pt idx="37">
                  <c:v>40254</c:v>
                </c:pt>
                <c:pt idx="38">
                  <c:v>40255</c:v>
                </c:pt>
                <c:pt idx="39">
                  <c:v>40256</c:v>
                </c:pt>
                <c:pt idx="40">
                  <c:v>40259</c:v>
                </c:pt>
                <c:pt idx="41">
                  <c:v>40260</c:v>
                </c:pt>
                <c:pt idx="42">
                  <c:v>40261</c:v>
                </c:pt>
                <c:pt idx="43">
                  <c:v>40262</c:v>
                </c:pt>
                <c:pt idx="44">
                  <c:v>40263</c:v>
                </c:pt>
                <c:pt idx="45">
                  <c:v>40266</c:v>
                </c:pt>
                <c:pt idx="46">
                  <c:v>40267</c:v>
                </c:pt>
                <c:pt idx="47">
                  <c:v>40268</c:v>
                </c:pt>
                <c:pt idx="48">
                  <c:v>40269</c:v>
                </c:pt>
                <c:pt idx="49">
                  <c:v>40273</c:v>
                </c:pt>
                <c:pt idx="50">
                  <c:v>40274</c:v>
                </c:pt>
                <c:pt idx="51">
                  <c:v>40275</c:v>
                </c:pt>
                <c:pt idx="52">
                  <c:v>40276</c:v>
                </c:pt>
                <c:pt idx="53">
                  <c:v>40277</c:v>
                </c:pt>
                <c:pt idx="54">
                  <c:v>40280</c:v>
                </c:pt>
                <c:pt idx="55">
                  <c:v>40281</c:v>
                </c:pt>
                <c:pt idx="56">
                  <c:v>40282</c:v>
                </c:pt>
                <c:pt idx="57">
                  <c:v>40283</c:v>
                </c:pt>
                <c:pt idx="58">
                  <c:v>40284</c:v>
                </c:pt>
                <c:pt idx="59">
                  <c:v>40287</c:v>
                </c:pt>
                <c:pt idx="60">
                  <c:v>40288</c:v>
                </c:pt>
                <c:pt idx="61">
                  <c:v>40289</c:v>
                </c:pt>
                <c:pt idx="62">
                  <c:v>40290</c:v>
                </c:pt>
                <c:pt idx="63">
                  <c:v>40291</c:v>
                </c:pt>
                <c:pt idx="64">
                  <c:v>40294</c:v>
                </c:pt>
                <c:pt idx="65">
                  <c:v>40295</c:v>
                </c:pt>
                <c:pt idx="66">
                  <c:v>40296</c:v>
                </c:pt>
                <c:pt idx="67">
                  <c:v>40297</c:v>
                </c:pt>
                <c:pt idx="68">
                  <c:v>40298</c:v>
                </c:pt>
                <c:pt idx="69">
                  <c:v>40301</c:v>
                </c:pt>
                <c:pt idx="70">
                  <c:v>40302</c:v>
                </c:pt>
                <c:pt idx="71">
                  <c:v>40303</c:v>
                </c:pt>
                <c:pt idx="72">
                  <c:v>40304</c:v>
                </c:pt>
                <c:pt idx="73">
                  <c:v>40305</c:v>
                </c:pt>
                <c:pt idx="74">
                  <c:v>40308</c:v>
                </c:pt>
                <c:pt idx="75">
                  <c:v>40309</c:v>
                </c:pt>
                <c:pt idx="76">
                  <c:v>40310</c:v>
                </c:pt>
                <c:pt idx="77">
                  <c:v>40311</c:v>
                </c:pt>
                <c:pt idx="78">
                  <c:v>40312</c:v>
                </c:pt>
                <c:pt idx="79">
                  <c:v>40315</c:v>
                </c:pt>
                <c:pt idx="80">
                  <c:v>40316</c:v>
                </c:pt>
                <c:pt idx="81">
                  <c:v>40317</c:v>
                </c:pt>
                <c:pt idx="82">
                  <c:v>40318</c:v>
                </c:pt>
                <c:pt idx="83">
                  <c:v>40319</c:v>
                </c:pt>
                <c:pt idx="84">
                  <c:v>40323</c:v>
                </c:pt>
                <c:pt idx="85">
                  <c:v>40324</c:v>
                </c:pt>
                <c:pt idx="86">
                  <c:v>40325</c:v>
                </c:pt>
                <c:pt idx="87">
                  <c:v>40326</c:v>
                </c:pt>
                <c:pt idx="88">
                  <c:v>40329</c:v>
                </c:pt>
                <c:pt idx="89">
                  <c:v>40330</c:v>
                </c:pt>
                <c:pt idx="90">
                  <c:v>40331</c:v>
                </c:pt>
                <c:pt idx="91">
                  <c:v>40332</c:v>
                </c:pt>
                <c:pt idx="92">
                  <c:v>40333</c:v>
                </c:pt>
                <c:pt idx="93">
                  <c:v>40336</c:v>
                </c:pt>
                <c:pt idx="94">
                  <c:v>40337</c:v>
                </c:pt>
                <c:pt idx="95">
                  <c:v>40338</c:v>
                </c:pt>
                <c:pt idx="96">
                  <c:v>40339</c:v>
                </c:pt>
                <c:pt idx="97">
                  <c:v>40340</c:v>
                </c:pt>
                <c:pt idx="98">
                  <c:v>40343</c:v>
                </c:pt>
                <c:pt idx="99">
                  <c:v>40344</c:v>
                </c:pt>
                <c:pt idx="100">
                  <c:v>40345</c:v>
                </c:pt>
                <c:pt idx="101">
                  <c:v>40346</c:v>
                </c:pt>
                <c:pt idx="102">
                  <c:v>40347</c:v>
                </c:pt>
                <c:pt idx="103">
                  <c:v>40350</c:v>
                </c:pt>
                <c:pt idx="104">
                  <c:v>40351</c:v>
                </c:pt>
                <c:pt idx="105">
                  <c:v>40352</c:v>
                </c:pt>
                <c:pt idx="106">
                  <c:v>40353</c:v>
                </c:pt>
                <c:pt idx="107">
                  <c:v>40354</c:v>
                </c:pt>
                <c:pt idx="108">
                  <c:v>40357</c:v>
                </c:pt>
                <c:pt idx="109">
                  <c:v>40358</c:v>
                </c:pt>
                <c:pt idx="110">
                  <c:v>40359</c:v>
                </c:pt>
                <c:pt idx="111">
                  <c:v>40361</c:v>
                </c:pt>
                <c:pt idx="112">
                  <c:v>40364</c:v>
                </c:pt>
                <c:pt idx="113">
                  <c:v>40365</c:v>
                </c:pt>
                <c:pt idx="114">
                  <c:v>40366</c:v>
                </c:pt>
                <c:pt idx="115">
                  <c:v>40367</c:v>
                </c:pt>
                <c:pt idx="116">
                  <c:v>40368</c:v>
                </c:pt>
                <c:pt idx="117">
                  <c:v>40371</c:v>
                </c:pt>
                <c:pt idx="118">
                  <c:v>40372</c:v>
                </c:pt>
                <c:pt idx="119">
                  <c:v>40373</c:v>
                </c:pt>
                <c:pt idx="120">
                  <c:v>40374</c:v>
                </c:pt>
                <c:pt idx="121">
                  <c:v>40375</c:v>
                </c:pt>
                <c:pt idx="122">
                  <c:v>40378</c:v>
                </c:pt>
                <c:pt idx="123">
                  <c:v>40379</c:v>
                </c:pt>
                <c:pt idx="124">
                  <c:v>40380</c:v>
                </c:pt>
                <c:pt idx="125">
                  <c:v>40381</c:v>
                </c:pt>
                <c:pt idx="126">
                  <c:v>40382</c:v>
                </c:pt>
                <c:pt idx="127">
                  <c:v>40385</c:v>
                </c:pt>
                <c:pt idx="128">
                  <c:v>40386</c:v>
                </c:pt>
                <c:pt idx="129">
                  <c:v>40387</c:v>
                </c:pt>
                <c:pt idx="130">
                  <c:v>40388</c:v>
                </c:pt>
                <c:pt idx="131">
                  <c:v>40389</c:v>
                </c:pt>
                <c:pt idx="132">
                  <c:v>40393</c:v>
                </c:pt>
                <c:pt idx="133">
                  <c:v>40394</c:v>
                </c:pt>
                <c:pt idx="134">
                  <c:v>40395</c:v>
                </c:pt>
                <c:pt idx="135">
                  <c:v>40396</c:v>
                </c:pt>
                <c:pt idx="136">
                  <c:v>40399</c:v>
                </c:pt>
                <c:pt idx="137">
                  <c:v>40400</c:v>
                </c:pt>
                <c:pt idx="138">
                  <c:v>40401</c:v>
                </c:pt>
                <c:pt idx="139">
                  <c:v>40402</c:v>
                </c:pt>
                <c:pt idx="140">
                  <c:v>40403</c:v>
                </c:pt>
                <c:pt idx="141">
                  <c:v>40406</c:v>
                </c:pt>
                <c:pt idx="142">
                  <c:v>40407</c:v>
                </c:pt>
                <c:pt idx="143">
                  <c:v>40408</c:v>
                </c:pt>
                <c:pt idx="144">
                  <c:v>40409</c:v>
                </c:pt>
                <c:pt idx="145">
                  <c:v>40410</c:v>
                </c:pt>
                <c:pt idx="146">
                  <c:v>40413</c:v>
                </c:pt>
                <c:pt idx="147">
                  <c:v>40414</c:v>
                </c:pt>
                <c:pt idx="148">
                  <c:v>40415</c:v>
                </c:pt>
                <c:pt idx="149">
                  <c:v>40416</c:v>
                </c:pt>
                <c:pt idx="150">
                  <c:v>40417</c:v>
                </c:pt>
                <c:pt idx="151">
                  <c:v>40420</c:v>
                </c:pt>
                <c:pt idx="152">
                  <c:v>40421</c:v>
                </c:pt>
                <c:pt idx="153">
                  <c:v>40422</c:v>
                </c:pt>
                <c:pt idx="154">
                  <c:v>40423</c:v>
                </c:pt>
                <c:pt idx="155">
                  <c:v>40424</c:v>
                </c:pt>
                <c:pt idx="156">
                  <c:v>40428</c:v>
                </c:pt>
                <c:pt idx="157">
                  <c:v>40429</c:v>
                </c:pt>
                <c:pt idx="158">
                  <c:v>40430</c:v>
                </c:pt>
                <c:pt idx="159">
                  <c:v>40431</c:v>
                </c:pt>
                <c:pt idx="160">
                  <c:v>40434</c:v>
                </c:pt>
                <c:pt idx="161">
                  <c:v>40435</c:v>
                </c:pt>
                <c:pt idx="162">
                  <c:v>40436</c:v>
                </c:pt>
                <c:pt idx="163">
                  <c:v>40437</c:v>
                </c:pt>
                <c:pt idx="164">
                  <c:v>40438</c:v>
                </c:pt>
                <c:pt idx="165">
                  <c:v>40441</c:v>
                </c:pt>
                <c:pt idx="166">
                  <c:v>40442</c:v>
                </c:pt>
                <c:pt idx="167">
                  <c:v>40443</c:v>
                </c:pt>
                <c:pt idx="168">
                  <c:v>40444</c:v>
                </c:pt>
                <c:pt idx="169">
                  <c:v>40445</c:v>
                </c:pt>
                <c:pt idx="170">
                  <c:v>40448</c:v>
                </c:pt>
                <c:pt idx="171">
                  <c:v>40449</c:v>
                </c:pt>
                <c:pt idx="172">
                  <c:v>40450</c:v>
                </c:pt>
                <c:pt idx="173">
                  <c:v>40451</c:v>
                </c:pt>
                <c:pt idx="174">
                  <c:v>40452</c:v>
                </c:pt>
                <c:pt idx="175">
                  <c:v>40455</c:v>
                </c:pt>
                <c:pt idx="176">
                  <c:v>40456</c:v>
                </c:pt>
                <c:pt idx="177">
                  <c:v>40457</c:v>
                </c:pt>
                <c:pt idx="178">
                  <c:v>40458</c:v>
                </c:pt>
                <c:pt idx="179">
                  <c:v>40459</c:v>
                </c:pt>
                <c:pt idx="180">
                  <c:v>40463</c:v>
                </c:pt>
                <c:pt idx="181">
                  <c:v>40464</c:v>
                </c:pt>
                <c:pt idx="182">
                  <c:v>40465</c:v>
                </c:pt>
                <c:pt idx="183">
                  <c:v>40466</c:v>
                </c:pt>
                <c:pt idx="184">
                  <c:v>40469</c:v>
                </c:pt>
                <c:pt idx="185">
                  <c:v>40470</c:v>
                </c:pt>
                <c:pt idx="186">
                  <c:v>40471</c:v>
                </c:pt>
                <c:pt idx="187">
                  <c:v>40472</c:v>
                </c:pt>
                <c:pt idx="188">
                  <c:v>40473</c:v>
                </c:pt>
                <c:pt idx="189">
                  <c:v>40476</c:v>
                </c:pt>
                <c:pt idx="190">
                  <c:v>40477</c:v>
                </c:pt>
                <c:pt idx="191">
                  <c:v>40478</c:v>
                </c:pt>
                <c:pt idx="192">
                  <c:v>40479</c:v>
                </c:pt>
                <c:pt idx="193">
                  <c:v>40480</c:v>
                </c:pt>
                <c:pt idx="194">
                  <c:v>40483</c:v>
                </c:pt>
                <c:pt idx="195">
                  <c:v>40484</c:v>
                </c:pt>
                <c:pt idx="196">
                  <c:v>40485</c:v>
                </c:pt>
                <c:pt idx="197">
                  <c:v>40486</c:v>
                </c:pt>
                <c:pt idx="198">
                  <c:v>40487</c:v>
                </c:pt>
                <c:pt idx="199">
                  <c:v>40490</c:v>
                </c:pt>
                <c:pt idx="200">
                  <c:v>40491</c:v>
                </c:pt>
                <c:pt idx="201">
                  <c:v>40492</c:v>
                </c:pt>
                <c:pt idx="202">
                  <c:v>40494</c:v>
                </c:pt>
                <c:pt idx="203">
                  <c:v>40497</c:v>
                </c:pt>
                <c:pt idx="204">
                  <c:v>40498</c:v>
                </c:pt>
                <c:pt idx="205">
                  <c:v>40499</c:v>
                </c:pt>
                <c:pt idx="206">
                  <c:v>40500</c:v>
                </c:pt>
                <c:pt idx="207">
                  <c:v>40501</c:v>
                </c:pt>
                <c:pt idx="208">
                  <c:v>40504</c:v>
                </c:pt>
                <c:pt idx="209">
                  <c:v>40505</c:v>
                </c:pt>
                <c:pt idx="210">
                  <c:v>40506</c:v>
                </c:pt>
                <c:pt idx="211">
                  <c:v>40507</c:v>
                </c:pt>
                <c:pt idx="212">
                  <c:v>40508</c:v>
                </c:pt>
                <c:pt idx="213">
                  <c:v>40511</c:v>
                </c:pt>
                <c:pt idx="214">
                  <c:v>40512</c:v>
                </c:pt>
                <c:pt idx="215">
                  <c:v>40513</c:v>
                </c:pt>
                <c:pt idx="216">
                  <c:v>40514</c:v>
                </c:pt>
                <c:pt idx="217">
                  <c:v>40515</c:v>
                </c:pt>
                <c:pt idx="218">
                  <c:v>40518</c:v>
                </c:pt>
                <c:pt idx="219">
                  <c:v>40519</c:v>
                </c:pt>
                <c:pt idx="220">
                  <c:v>40520</c:v>
                </c:pt>
                <c:pt idx="221">
                  <c:v>40521</c:v>
                </c:pt>
                <c:pt idx="222">
                  <c:v>40522</c:v>
                </c:pt>
                <c:pt idx="223">
                  <c:v>40525</c:v>
                </c:pt>
                <c:pt idx="224">
                  <c:v>40526</c:v>
                </c:pt>
                <c:pt idx="225">
                  <c:v>40527</c:v>
                </c:pt>
                <c:pt idx="226">
                  <c:v>40528</c:v>
                </c:pt>
                <c:pt idx="227">
                  <c:v>40529</c:v>
                </c:pt>
                <c:pt idx="228">
                  <c:v>40532</c:v>
                </c:pt>
                <c:pt idx="229">
                  <c:v>40533</c:v>
                </c:pt>
                <c:pt idx="230">
                  <c:v>40534</c:v>
                </c:pt>
                <c:pt idx="231">
                  <c:v>40535</c:v>
                </c:pt>
                <c:pt idx="232">
                  <c:v>40536</c:v>
                </c:pt>
                <c:pt idx="233">
                  <c:v>40541</c:v>
                </c:pt>
                <c:pt idx="234">
                  <c:v>40542</c:v>
                </c:pt>
                <c:pt idx="235">
                  <c:v>40543</c:v>
                </c:pt>
                <c:pt idx="236">
                  <c:v>40547</c:v>
                </c:pt>
                <c:pt idx="237">
                  <c:v>40548</c:v>
                </c:pt>
                <c:pt idx="238">
                  <c:v>40549</c:v>
                </c:pt>
                <c:pt idx="239">
                  <c:v>40550</c:v>
                </c:pt>
                <c:pt idx="240">
                  <c:v>40553</c:v>
                </c:pt>
                <c:pt idx="241">
                  <c:v>40554</c:v>
                </c:pt>
                <c:pt idx="242">
                  <c:v>40555</c:v>
                </c:pt>
                <c:pt idx="243">
                  <c:v>40556</c:v>
                </c:pt>
                <c:pt idx="244">
                  <c:v>40557</c:v>
                </c:pt>
                <c:pt idx="245">
                  <c:v>40560</c:v>
                </c:pt>
                <c:pt idx="246">
                  <c:v>40561</c:v>
                </c:pt>
                <c:pt idx="247">
                  <c:v>40562</c:v>
                </c:pt>
                <c:pt idx="248">
                  <c:v>40563</c:v>
                </c:pt>
                <c:pt idx="249">
                  <c:v>40564</c:v>
                </c:pt>
                <c:pt idx="250">
                  <c:v>40567</c:v>
                </c:pt>
                <c:pt idx="251">
                  <c:v>40568</c:v>
                </c:pt>
                <c:pt idx="252">
                  <c:v>40569</c:v>
                </c:pt>
                <c:pt idx="253">
                  <c:v>40570</c:v>
                </c:pt>
                <c:pt idx="254">
                  <c:v>40571</c:v>
                </c:pt>
                <c:pt idx="255">
                  <c:v>40574</c:v>
                </c:pt>
                <c:pt idx="256">
                  <c:v>40575</c:v>
                </c:pt>
                <c:pt idx="257">
                  <c:v>40576</c:v>
                </c:pt>
                <c:pt idx="258">
                  <c:v>40577</c:v>
                </c:pt>
                <c:pt idx="259">
                  <c:v>40578</c:v>
                </c:pt>
                <c:pt idx="260">
                  <c:v>40581</c:v>
                </c:pt>
                <c:pt idx="261">
                  <c:v>40582</c:v>
                </c:pt>
                <c:pt idx="262">
                  <c:v>40583</c:v>
                </c:pt>
                <c:pt idx="263">
                  <c:v>40584</c:v>
                </c:pt>
                <c:pt idx="264">
                  <c:v>40585</c:v>
                </c:pt>
                <c:pt idx="265">
                  <c:v>40588</c:v>
                </c:pt>
                <c:pt idx="266">
                  <c:v>40589</c:v>
                </c:pt>
                <c:pt idx="267">
                  <c:v>40590</c:v>
                </c:pt>
                <c:pt idx="268">
                  <c:v>40591</c:v>
                </c:pt>
                <c:pt idx="269">
                  <c:v>40592</c:v>
                </c:pt>
                <c:pt idx="270">
                  <c:v>40595</c:v>
                </c:pt>
                <c:pt idx="271">
                  <c:v>40596</c:v>
                </c:pt>
                <c:pt idx="272">
                  <c:v>40597</c:v>
                </c:pt>
                <c:pt idx="273">
                  <c:v>40598</c:v>
                </c:pt>
                <c:pt idx="274">
                  <c:v>40599</c:v>
                </c:pt>
              </c:numCache>
            </c:numRef>
          </c:cat>
          <c:val>
            <c:numRef>
              <c:f>Sheet1!$B$8:$B$282</c:f>
              <c:numCache>
                <c:formatCode>0.00</c:formatCode>
                <c:ptCount val="275"/>
                <c:pt idx="0">
                  <c:v>1.4211999999999692</c:v>
                </c:pt>
                <c:pt idx="1">
                  <c:v>1.4312999999999692</c:v>
                </c:pt>
                <c:pt idx="2">
                  <c:v>1.4325999999999752</c:v>
                </c:pt>
                <c:pt idx="3">
                  <c:v>1.4316999999999629</c:v>
                </c:pt>
                <c:pt idx="4">
                  <c:v>1.4312999999999692</c:v>
                </c:pt>
                <c:pt idx="5">
                  <c:v>1.4310999999999694</c:v>
                </c:pt>
                <c:pt idx="6">
                  <c:v>1.4348999999999734</c:v>
                </c:pt>
                <c:pt idx="7">
                  <c:v>1.4334999999999647</c:v>
                </c:pt>
                <c:pt idx="8">
                  <c:v>1.4334999999999647</c:v>
                </c:pt>
                <c:pt idx="9">
                  <c:v>1.4349999999999719</c:v>
                </c:pt>
                <c:pt idx="10">
                  <c:v>1.4345999999999755</c:v>
                </c:pt>
                <c:pt idx="11">
                  <c:v>1.4338999999999598</c:v>
                </c:pt>
                <c:pt idx="12">
                  <c:v>1.4349999999999719</c:v>
                </c:pt>
                <c:pt idx="13">
                  <c:v>1.4304999999999768</c:v>
                </c:pt>
                <c:pt idx="14">
                  <c:v>1.4311999999999692</c:v>
                </c:pt>
                <c:pt idx="15">
                  <c:v>1.4312999999999692</c:v>
                </c:pt>
                <c:pt idx="16">
                  <c:v>1.4289999999999712</c:v>
                </c:pt>
                <c:pt idx="17">
                  <c:v>1.4229999999999698</c:v>
                </c:pt>
                <c:pt idx="18">
                  <c:v>1.4235999999999629</c:v>
                </c:pt>
                <c:pt idx="19">
                  <c:v>1.4246999999999734</c:v>
                </c:pt>
                <c:pt idx="20">
                  <c:v>1.4300999999999791</c:v>
                </c:pt>
                <c:pt idx="21">
                  <c:v>1.4254999999999634</c:v>
                </c:pt>
                <c:pt idx="22">
                  <c:v>1.426999999999971</c:v>
                </c:pt>
                <c:pt idx="23">
                  <c:v>1.4274999999999636</c:v>
                </c:pt>
                <c:pt idx="24">
                  <c:v>1.4272999999999683</c:v>
                </c:pt>
                <c:pt idx="25">
                  <c:v>1.4239999999999582</c:v>
                </c:pt>
                <c:pt idx="26">
                  <c:v>1.4259999999999582</c:v>
                </c:pt>
                <c:pt idx="27">
                  <c:v>1.4233999999999654</c:v>
                </c:pt>
                <c:pt idx="28">
                  <c:v>1.4240999999999782</c:v>
                </c:pt>
                <c:pt idx="29">
                  <c:v>1.4192999999999667</c:v>
                </c:pt>
                <c:pt idx="30">
                  <c:v>1.4204999999999752</c:v>
                </c:pt>
                <c:pt idx="31">
                  <c:v>1.4164999999999748</c:v>
                </c:pt>
                <c:pt idx="32">
                  <c:v>1.414799999999973</c:v>
                </c:pt>
                <c:pt idx="33">
                  <c:v>1.4124999999999743</c:v>
                </c:pt>
                <c:pt idx="34">
                  <c:v>1.4130999999999692</c:v>
                </c:pt>
                <c:pt idx="35">
                  <c:v>1.4181999999999766</c:v>
                </c:pt>
                <c:pt idx="36">
                  <c:v>1.4212999999999671</c:v>
                </c:pt>
                <c:pt idx="37">
                  <c:v>1.4195999999999629</c:v>
                </c:pt>
                <c:pt idx="38">
                  <c:v>1.42</c:v>
                </c:pt>
                <c:pt idx="39">
                  <c:v>1.414899999999971</c:v>
                </c:pt>
                <c:pt idx="40">
                  <c:v>1.41</c:v>
                </c:pt>
                <c:pt idx="41">
                  <c:v>1.4119999999999575</c:v>
                </c:pt>
                <c:pt idx="42">
                  <c:v>1.4133999999999634</c:v>
                </c:pt>
                <c:pt idx="43">
                  <c:v>1.4149999999999692</c:v>
                </c:pt>
                <c:pt idx="44">
                  <c:v>1.4152999999999658</c:v>
                </c:pt>
                <c:pt idx="45">
                  <c:v>1.4138999999999582</c:v>
                </c:pt>
                <c:pt idx="46">
                  <c:v>1.4250999999999692</c:v>
                </c:pt>
                <c:pt idx="47">
                  <c:v>1.4207999999999734</c:v>
                </c:pt>
                <c:pt idx="48">
                  <c:v>1.4211999999999692</c:v>
                </c:pt>
                <c:pt idx="49">
                  <c:v>1.4259999999999582</c:v>
                </c:pt>
                <c:pt idx="50">
                  <c:v>1.4189999999999694</c:v>
                </c:pt>
                <c:pt idx="51">
                  <c:v>1.4194999999999629</c:v>
                </c:pt>
                <c:pt idx="52">
                  <c:v>1.4144999999999746</c:v>
                </c:pt>
                <c:pt idx="53">
                  <c:v>1.4157999999999591</c:v>
                </c:pt>
                <c:pt idx="54">
                  <c:v>1.4153999999999636</c:v>
                </c:pt>
                <c:pt idx="55">
                  <c:v>1.4157999999999591</c:v>
                </c:pt>
                <c:pt idx="56">
                  <c:v>1.4158999999999582</c:v>
                </c:pt>
                <c:pt idx="57">
                  <c:v>1.4163999999999766</c:v>
                </c:pt>
                <c:pt idx="58">
                  <c:v>1.4121999999999766</c:v>
                </c:pt>
                <c:pt idx="59">
                  <c:v>1.4244999999999757</c:v>
                </c:pt>
                <c:pt idx="60">
                  <c:v>1.4151999999999683</c:v>
                </c:pt>
                <c:pt idx="61">
                  <c:v>1.4149999999999692</c:v>
                </c:pt>
                <c:pt idx="62">
                  <c:v>1.4160999999999773</c:v>
                </c:pt>
                <c:pt idx="63">
                  <c:v>1.4149999999999692</c:v>
                </c:pt>
                <c:pt idx="64">
                  <c:v>1.4182999999999766</c:v>
                </c:pt>
                <c:pt idx="65">
                  <c:v>1.4183999999999768</c:v>
                </c:pt>
                <c:pt idx="66">
                  <c:v>1.4196999999999611</c:v>
                </c:pt>
                <c:pt idx="67">
                  <c:v>1.4162999999999766</c:v>
                </c:pt>
                <c:pt idx="68">
                  <c:v>1.4161999999999766</c:v>
                </c:pt>
                <c:pt idx="69">
                  <c:v>1.4129999999999692</c:v>
                </c:pt>
                <c:pt idx="70">
                  <c:v>1.4164999999999748</c:v>
                </c:pt>
                <c:pt idx="71">
                  <c:v>1.4171999999999689</c:v>
                </c:pt>
                <c:pt idx="72">
                  <c:v>1.4191999999999692</c:v>
                </c:pt>
                <c:pt idx="73">
                  <c:v>1.4208999999999716</c:v>
                </c:pt>
                <c:pt idx="74">
                  <c:v>1.4186999999999734</c:v>
                </c:pt>
                <c:pt idx="75">
                  <c:v>1.4178999999999582</c:v>
                </c:pt>
                <c:pt idx="76">
                  <c:v>1.42</c:v>
                </c:pt>
                <c:pt idx="77">
                  <c:v>1.42</c:v>
                </c:pt>
                <c:pt idx="78">
                  <c:v>1.4220999999999779</c:v>
                </c:pt>
                <c:pt idx="79">
                  <c:v>1.4202999999999766</c:v>
                </c:pt>
                <c:pt idx="80">
                  <c:v>1.4234999999999631</c:v>
                </c:pt>
                <c:pt idx="81">
                  <c:v>1.4230999999999692</c:v>
                </c:pt>
                <c:pt idx="82">
                  <c:v>1.4219999999999582</c:v>
                </c:pt>
                <c:pt idx="83">
                  <c:v>1.4238999999999586</c:v>
                </c:pt>
                <c:pt idx="84">
                  <c:v>1.43</c:v>
                </c:pt>
                <c:pt idx="85">
                  <c:v>1.4290999999999692</c:v>
                </c:pt>
                <c:pt idx="86">
                  <c:v>1.4295999999999629</c:v>
                </c:pt>
                <c:pt idx="87">
                  <c:v>1.43</c:v>
                </c:pt>
                <c:pt idx="88">
                  <c:v>1.43</c:v>
                </c:pt>
                <c:pt idx="89">
                  <c:v>1.4283999999999766</c:v>
                </c:pt>
                <c:pt idx="90">
                  <c:v>1.4314999999999642</c:v>
                </c:pt>
                <c:pt idx="91">
                  <c:v>1.4283999999999766</c:v>
                </c:pt>
                <c:pt idx="92">
                  <c:v>1.4244999999999757</c:v>
                </c:pt>
                <c:pt idx="93">
                  <c:v>1.4221999999999766</c:v>
                </c:pt>
                <c:pt idx="94">
                  <c:v>1.426899999999973</c:v>
                </c:pt>
                <c:pt idx="95">
                  <c:v>1.4254999999999634</c:v>
                </c:pt>
                <c:pt idx="96">
                  <c:v>1.4318999999999598</c:v>
                </c:pt>
                <c:pt idx="97">
                  <c:v>1.4315999999999629</c:v>
                </c:pt>
                <c:pt idx="98">
                  <c:v>1.4325999999999752</c:v>
                </c:pt>
                <c:pt idx="99">
                  <c:v>1.4336999999999629</c:v>
                </c:pt>
                <c:pt idx="100">
                  <c:v>1.4329999999999716</c:v>
                </c:pt>
                <c:pt idx="101">
                  <c:v>1.4354999999999651</c:v>
                </c:pt>
                <c:pt idx="102">
                  <c:v>1.4356999999999629</c:v>
                </c:pt>
                <c:pt idx="103">
                  <c:v>1.4376999999999629</c:v>
                </c:pt>
                <c:pt idx="104">
                  <c:v>1.4208999999999716</c:v>
                </c:pt>
                <c:pt idx="105">
                  <c:v>1.4371999999999692</c:v>
                </c:pt>
                <c:pt idx="106">
                  <c:v>1.4372999999999692</c:v>
                </c:pt>
                <c:pt idx="107">
                  <c:v>1.4376999999999629</c:v>
                </c:pt>
                <c:pt idx="108">
                  <c:v>1.4376999999999629</c:v>
                </c:pt>
                <c:pt idx="109">
                  <c:v>1.4408999999999734</c:v>
                </c:pt>
                <c:pt idx="110">
                  <c:v>1.4423999999999766</c:v>
                </c:pt>
                <c:pt idx="111">
                  <c:v>1.4454999999999671</c:v>
                </c:pt>
                <c:pt idx="112">
                  <c:v>1.4469999999999734</c:v>
                </c:pt>
                <c:pt idx="113">
                  <c:v>1.4509999999999734</c:v>
                </c:pt>
                <c:pt idx="114">
                  <c:v>1.45</c:v>
                </c:pt>
                <c:pt idx="115">
                  <c:v>1.4324999999999768</c:v>
                </c:pt>
                <c:pt idx="116">
                  <c:v>1.4525999999999766</c:v>
                </c:pt>
                <c:pt idx="117">
                  <c:v>1.4448999999999734</c:v>
                </c:pt>
                <c:pt idx="118">
                  <c:v>1.4564999999999766</c:v>
                </c:pt>
                <c:pt idx="119">
                  <c:v>1.4562999999999791</c:v>
                </c:pt>
                <c:pt idx="120">
                  <c:v>1.4561999999999791</c:v>
                </c:pt>
                <c:pt idx="121">
                  <c:v>1.4561999999999791</c:v>
                </c:pt>
                <c:pt idx="122">
                  <c:v>1.4571999999999716</c:v>
                </c:pt>
                <c:pt idx="123">
                  <c:v>1.4450999999999716</c:v>
                </c:pt>
                <c:pt idx="124">
                  <c:v>1.4570999999999734</c:v>
                </c:pt>
                <c:pt idx="125">
                  <c:v>1.4209999999999696</c:v>
                </c:pt>
                <c:pt idx="126">
                  <c:v>1.4549999999999734</c:v>
                </c:pt>
                <c:pt idx="127">
                  <c:v>1.4552999999999694</c:v>
                </c:pt>
                <c:pt idx="128">
                  <c:v>1.4497999999999629</c:v>
                </c:pt>
                <c:pt idx="129">
                  <c:v>1.4456999999999629</c:v>
                </c:pt>
                <c:pt idx="130">
                  <c:v>1.4432999999999692</c:v>
                </c:pt>
                <c:pt idx="131">
                  <c:v>1.4346999999999737</c:v>
                </c:pt>
                <c:pt idx="132">
                  <c:v>1.4350999999999698</c:v>
                </c:pt>
                <c:pt idx="133">
                  <c:v>1.4312999999999692</c:v>
                </c:pt>
                <c:pt idx="134">
                  <c:v>1.4322999999999766</c:v>
                </c:pt>
                <c:pt idx="135">
                  <c:v>1.4287999999999734</c:v>
                </c:pt>
                <c:pt idx="136">
                  <c:v>1.4349999999999719</c:v>
                </c:pt>
                <c:pt idx="137">
                  <c:v>1.4284999999999766</c:v>
                </c:pt>
                <c:pt idx="138">
                  <c:v>1.4270999999999692</c:v>
                </c:pt>
                <c:pt idx="139">
                  <c:v>1.4349999999999719</c:v>
                </c:pt>
                <c:pt idx="140">
                  <c:v>1.4337999999999615</c:v>
                </c:pt>
                <c:pt idx="141">
                  <c:v>1.4366999999999739</c:v>
                </c:pt>
                <c:pt idx="142">
                  <c:v>1.4351999999999692</c:v>
                </c:pt>
                <c:pt idx="143">
                  <c:v>1.4367999999999734</c:v>
                </c:pt>
                <c:pt idx="144">
                  <c:v>1.4344999999999768</c:v>
                </c:pt>
                <c:pt idx="145">
                  <c:v>1.4347999999999734</c:v>
                </c:pt>
                <c:pt idx="146">
                  <c:v>1.4341999999999779</c:v>
                </c:pt>
                <c:pt idx="147">
                  <c:v>1.4388999999999734</c:v>
                </c:pt>
                <c:pt idx="148">
                  <c:v>1.4347999999999734</c:v>
                </c:pt>
                <c:pt idx="149">
                  <c:v>1.4351999999999692</c:v>
                </c:pt>
                <c:pt idx="150">
                  <c:v>1.4339999999999582</c:v>
                </c:pt>
                <c:pt idx="151">
                  <c:v>1.4332999999999692</c:v>
                </c:pt>
                <c:pt idx="152">
                  <c:v>1.4337999999999615</c:v>
                </c:pt>
                <c:pt idx="153">
                  <c:v>1.4337999999999615</c:v>
                </c:pt>
                <c:pt idx="154">
                  <c:v>1.4341999999999779</c:v>
                </c:pt>
                <c:pt idx="155">
                  <c:v>1.4341999999999779</c:v>
                </c:pt>
                <c:pt idx="156">
                  <c:v>1.4312999999999692</c:v>
                </c:pt>
                <c:pt idx="157">
                  <c:v>1.4301999999999775</c:v>
                </c:pt>
                <c:pt idx="158">
                  <c:v>1.4302999999999766</c:v>
                </c:pt>
                <c:pt idx="159">
                  <c:v>1.4302999999999766</c:v>
                </c:pt>
                <c:pt idx="160">
                  <c:v>1.4349999999999719</c:v>
                </c:pt>
                <c:pt idx="161">
                  <c:v>1.4281999999999773</c:v>
                </c:pt>
                <c:pt idx="162">
                  <c:v>1.4272999999999683</c:v>
                </c:pt>
                <c:pt idx="163">
                  <c:v>1.426199999999977</c:v>
                </c:pt>
                <c:pt idx="164">
                  <c:v>1.4306999999999734</c:v>
                </c:pt>
                <c:pt idx="165">
                  <c:v>1.4292999999999689</c:v>
                </c:pt>
                <c:pt idx="166">
                  <c:v>1.4292999999999689</c:v>
                </c:pt>
                <c:pt idx="167">
                  <c:v>1.4290999999999692</c:v>
                </c:pt>
                <c:pt idx="168">
                  <c:v>1.4251999999999692</c:v>
                </c:pt>
                <c:pt idx="169">
                  <c:v>1.4241999999999768</c:v>
                </c:pt>
                <c:pt idx="170">
                  <c:v>1.4251999999999692</c:v>
                </c:pt>
                <c:pt idx="171">
                  <c:v>1.4301999999999775</c:v>
                </c:pt>
                <c:pt idx="172">
                  <c:v>1.4233999999999654</c:v>
                </c:pt>
                <c:pt idx="173">
                  <c:v>1.4248999999999723</c:v>
                </c:pt>
                <c:pt idx="174">
                  <c:v>1.4250999999999692</c:v>
                </c:pt>
                <c:pt idx="175">
                  <c:v>1.4209999999999696</c:v>
                </c:pt>
                <c:pt idx="176">
                  <c:v>1.425699999999962</c:v>
                </c:pt>
                <c:pt idx="177">
                  <c:v>1.4228999999999719</c:v>
                </c:pt>
                <c:pt idx="178">
                  <c:v>1.4263999999999766</c:v>
                </c:pt>
                <c:pt idx="179">
                  <c:v>1.4249999999999707</c:v>
                </c:pt>
                <c:pt idx="180">
                  <c:v>1.4323999999999766</c:v>
                </c:pt>
                <c:pt idx="181">
                  <c:v>1.4323999999999766</c:v>
                </c:pt>
                <c:pt idx="182">
                  <c:v>1.4324999999999768</c:v>
                </c:pt>
                <c:pt idx="183">
                  <c:v>1.4254999999999634</c:v>
                </c:pt>
                <c:pt idx="184">
                  <c:v>1.4241999999999768</c:v>
                </c:pt>
                <c:pt idx="185">
                  <c:v>1.4258999999999591</c:v>
                </c:pt>
                <c:pt idx="186">
                  <c:v>1.4254999999999634</c:v>
                </c:pt>
                <c:pt idx="187">
                  <c:v>1.4267999999999734</c:v>
                </c:pt>
                <c:pt idx="188">
                  <c:v>1.4267999999999734</c:v>
                </c:pt>
                <c:pt idx="189">
                  <c:v>1.4304999999999768</c:v>
                </c:pt>
                <c:pt idx="190">
                  <c:v>1.4267999999999734</c:v>
                </c:pt>
                <c:pt idx="191">
                  <c:v>1.4324999999999768</c:v>
                </c:pt>
                <c:pt idx="192">
                  <c:v>1.4324999999999768</c:v>
                </c:pt>
                <c:pt idx="193">
                  <c:v>1.4362999999999766</c:v>
                </c:pt>
                <c:pt idx="194">
                  <c:v>1.4384999999999766</c:v>
                </c:pt>
                <c:pt idx="195">
                  <c:v>1.4404999999999766</c:v>
                </c:pt>
                <c:pt idx="196">
                  <c:v>1.4412999999999692</c:v>
                </c:pt>
                <c:pt idx="197">
                  <c:v>1.4350999999999698</c:v>
                </c:pt>
                <c:pt idx="198">
                  <c:v>1.4362999999999766</c:v>
                </c:pt>
                <c:pt idx="199">
                  <c:v>1.4361999999999782</c:v>
                </c:pt>
                <c:pt idx="200">
                  <c:v>1.4361999999999782</c:v>
                </c:pt>
                <c:pt idx="201">
                  <c:v>1.4362999999999766</c:v>
                </c:pt>
                <c:pt idx="202">
                  <c:v>1.4362999999999766</c:v>
                </c:pt>
                <c:pt idx="203">
                  <c:v>1.4398999999999607</c:v>
                </c:pt>
                <c:pt idx="204">
                  <c:v>1.4362999999999766</c:v>
                </c:pt>
                <c:pt idx="205">
                  <c:v>1.4361999999999782</c:v>
                </c:pt>
                <c:pt idx="206">
                  <c:v>1.4404999999999766</c:v>
                </c:pt>
                <c:pt idx="207">
                  <c:v>1.4362999999999766</c:v>
                </c:pt>
                <c:pt idx="208">
                  <c:v>1.4404999999999766</c:v>
                </c:pt>
                <c:pt idx="209">
                  <c:v>1.4484999999999766</c:v>
                </c:pt>
                <c:pt idx="210">
                  <c:v>1.4460999999999791</c:v>
                </c:pt>
                <c:pt idx="211">
                  <c:v>1.4486999999999757</c:v>
                </c:pt>
                <c:pt idx="212">
                  <c:v>1.4465999999999768</c:v>
                </c:pt>
                <c:pt idx="213">
                  <c:v>1.4514999999999678</c:v>
                </c:pt>
                <c:pt idx="214">
                  <c:v>1.4515999999999656</c:v>
                </c:pt>
                <c:pt idx="215">
                  <c:v>1.4486999999999757</c:v>
                </c:pt>
                <c:pt idx="216">
                  <c:v>1.4487999999999739</c:v>
                </c:pt>
                <c:pt idx="217">
                  <c:v>1.4486999999999757</c:v>
                </c:pt>
                <c:pt idx="218">
                  <c:v>1.4548999999999734</c:v>
                </c:pt>
                <c:pt idx="219">
                  <c:v>1.456</c:v>
                </c:pt>
                <c:pt idx="220">
                  <c:v>1.4612999999999703</c:v>
                </c:pt>
                <c:pt idx="221">
                  <c:v>1.458</c:v>
                </c:pt>
                <c:pt idx="222">
                  <c:v>1.4635999999999678</c:v>
                </c:pt>
                <c:pt idx="223">
                  <c:v>1.46</c:v>
                </c:pt>
                <c:pt idx="224">
                  <c:v>1.4634999999999692</c:v>
                </c:pt>
                <c:pt idx="225">
                  <c:v>1.4634999999999692</c:v>
                </c:pt>
                <c:pt idx="226">
                  <c:v>1.4624999999999768</c:v>
                </c:pt>
                <c:pt idx="227">
                  <c:v>1.4633999999999692</c:v>
                </c:pt>
                <c:pt idx="228">
                  <c:v>1.47</c:v>
                </c:pt>
                <c:pt idx="229">
                  <c:v>1.4633999999999692</c:v>
                </c:pt>
                <c:pt idx="230">
                  <c:v>1.4634999999999692</c:v>
                </c:pt>
                <c:pt idx="231">
                  <c:v>1.4749999999999743</c:v>
                </c:pt>
                <c:pt idx="232">
                  <c:v>1.4749999999999743</c:v>
                </c:pt>
                <c:pt idx="233">
                  <c:v>1.4829999999999752</c:v>
                </c:pt>
                <c:pt idx="234">
                  <c:v>1.4863</c:v>
                </c:pt>
                <c:pt idx="235">
                  <c:v>1.486</c:v>
                </c:pt>
                <c:pt idx="236">
                  <c:v>1.4875999999999692</c:v>
                </c:pt>
                <c:pt idx="237">
                  <c:v>1.486</c:v>
                </c:pt>
                <c:pt idx="238">
                  <c:v>1.4829999999999752</c:v>
                </c:pt>
                <c:pt idx="239">
                  <c:v>1.482</c:v>
                </c:pt>
                <c:pt idx="240">
                  <c:v>1.4775999999999692</c:v>
                </c:pt>
                <c:pt idx="241">
                  <c:v>1.4815999999999692</c:v>
                </c:pt>
                <c:pt idx="242">
                  <c:v>1.4825999999999777</c:v>
                </c:pt>
                <c:pt idx="243">
                  <c:v>1.4849999999999755</c:v>
                </c:pt>
                <c:pt idx="244">
                  <c:v>1.4863999999999791</c:v>
                </c:pt>
                <c:pt idx="245">
                  <c:v>1.4878999999999656</c:v>
                </c:pt>
                <c:pt idx="246">
                  <c:v>1.4918999999999663</c:v>
                </c:pt>
                <c:pt idx="247">
                  <c:v>1.4931999999999734</c:v>
                </c:pt>
                <c:pt idx="248">
                  <c:v>1.51</c:v>
                </c:pt>
                <c:pt idx="249">
                  <c:v>1.5125</c:v>
                </c:pt>
                <c:pt idx="250">
                  <c:v>1.5210999999999766</c:v>
                </c:pt>
                <c:pt idx="251">
                  <c:v>1.5252999999999759</c:v>
                </c:pt>
                <c:pt idx="252">
                  <c:v>1.5411999999999766</c:v>
                </c:pt>
                <c:pt idx="253">
                  <c:v>1.554</c:v>
                </c:pt>
                <c:pt idx="254">
                  <c:v>1.551199999999977</c:v>
                </c:pt>
                <c:pt idx="255">
                  <c:v>1.5636999999999743</c:v>
                </c:pt>
                <c:pt idx="256">
                  <c:v>1.5669999999999791</c:v>
                </c:pt>
                <c:pt idx="257">
                  <c:v>1.5754999999999766</c:v>
                </c:pt>
                <c:pt idx="258">
                  <c:v>1.5726</c:v>
                </c:pt>
                <c:pt idx="259">
                  <c:v>1.5616999999999739</c:v>
                </c:pt>
                <c:pt idx="260">
                  <c:v>1.5406</c:v>
                </c:pt>
                <c:pt idx="261">
                  <c:v>1.514899999999977</c:v>
                </c:pt>
                <c:pt idx="262">
                  <c:v>1.52</c:v>
                </c:pt>
                <c:pt idx="263">
                  <c:v>1.5145</c:v>
                </c:pt>
                <c:pt idx="264">
                  <c:v>1.5101</c:v>
                </c:pt>
                <c:pt idx="265">
                  <c:v>1.5049999999999766</c:v>
                </c:pt>
                <c:pt idx="266">
                  <c:v>1.5071999999999752</c:v>
                </c:pt>
                <c:pt idx="267">
                  <c:v>1.5104</c:v>
                </c:pt>
                <c:pt idx="268">
                  <c:v>1.4945999999999791</c:v>
                </c:pt>
                <c:pt idx="269">
                  <c:v>1.4929999999999768</c:v>
                </c:pt>
                <c:pt idx="270">
                  <c:v>1.49</c:v>
                </c:pt>
                <c:pt idx="271">
                  <c:v>1.5</c:v>
                </c:pt>
                <c:pt idx="272">
                  <c:v>1.5</c:v>
                </c:pt>
                <c:pt idx="273">
                  <c:v>1.52</c:v>
                </c:pt>
                <c:pt idx="274">
                  <c:v>1.53</c:v>
                </c:pt>
              </c:numCache>
            </c:numRef>
          </c:val>
          <c:smooth val="0"/>
          <c:extLst>
            <c:ext xmlns:c16="http://schemas.microsoft.com/office/drawing/2014/chart" uri="{C3380CC4-5D6E-409C-BE32-E72D297353CC}">
              <c16:uniqueId val="{00000000-FBDA-47B6-A618-6742A75FE6D5}"/>
            </c:ext>
          </c:extLst>
        </c:ser>
        <c:dLbls>
          <c:showLegendKey val="0"/>
          <c:showVal val="0"/>
          <c:showCatName val="0"/>
          <c:showSerName val="0"/>
          <c:showPercent val="0"/>
          <c:showBubbleSize val="0"/>
        </c:dLbls>
        <c:smooth val="0"/>
        <c:axId val="230819328"/>
        <c:axId val="230820864"/>
      </c:lineChart>
      <c:dateAx>
        <c:axId val="230819328"/>
        <c:scaling>
          <c:orientation val="minMax"/>
        </c:scaling>
        <c:delete val="0"/>
        <c:axPos val="b"/>
        <c:numFmt formatCode="dd\/mm\/yyyy" sourceLinked="1"/>
        <c:majorTickMark val="none"/>
        <c:minorTickMark val="none"/>
        <c:tickLblPos val="nextTo"/>
        <c:txPr>
          <a:bodyPr/>
          <a:lstStyle/>
          <a:p>
            <a:pPr>
              <a:defRPr lang="en-US"/>
            </a:pPr>
            <a:endParaRPr lang="en-US"/>
          </a:p>
        </c:txPr>
        <c:crossAx val="230820864"/>
        <c:crosses val="autoZero"/>
        <c:auto val="1"/>
        <c:lblOffset val="100"/>
        <c:baseTimeUnit val="days"/>
      </c:dateAx>
      <c:valAx>
        <c:axId val="230820864"/>
        <c:scaling>
          <c:orientation val="minMax"/>
        </c:scaling>
        <c:delete val="0"/>
        <c:axPos val="l"/>
        <c:title>
          <c:tx>
            <c:rich>
              <a:bodyPr/>
              <a:lstStyle/>
              <a:p>
                <a:pPr>
                  <a:defRPr lang="en-US"/>
                </a:pPr>
                <a:r>
                  <a:rPr lang="en-US"/>
                  <a:t>Rate</a:t>
                </a:r>
              </a:p>
            </c:rich>
          </c:tx>
          <c:overlay val="0"/>
        </c:title>
        <c:numFmt formatCode="0.00" sourceLinked="1"/>
        <c:majorTickMark val="none"/>
        <c:minorTickMark val="none"/>
        <c:tickLblPos val="nextTo"/>
        <c:txPr>
          <a:bodyPr/>
          <a:lstStyle/>
          <a:p>
            <a:pPr>
              <a:defRPr lang="en-US"/>
            </a:pPr>
            <a:endParaRPr lang="en-US"/>
          </a:p>
        </c:txPr>
        <c:crossAx val="230819328"/>
        <c:crosses val="autoZero"/>
        <c:crossBetween val="between"/>
      </c:valAx>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74037620297462"/>
          <c:y val="5.0925925925925923E-2"/>
          <c:w val="0.65033705670512165"/>
          <c:h val="0.72753135024788573"/>
        </c:manualLayout>
      </c:layout>
      <c:barChart>
        <c:barDir val="col"/>
        <c:grouping val="clustered"/>
        <c:varyColors val="1"/>
        <c:ser>
          <c:idx val="0"/>
          <c:order val="0"/>
          <c:tx>
            <c:strRef>
              <c:f>Sheet1!$B$1</c:f>
              <c:strCache>
                <c:ptCount val="1"/>
                <c:pt idx="0">
                  <c:v>pH</c:v>
                </c:pt>
              </c:strCache>
            </c:strRef>
          </c:tx>
          <c:invertIfNegative val="0"/>
          <c:cat>
            <c:strRef>
              <c:f>Sheet1!$A$2:$A$5</c:f>
              <c:strCache>
                <c:ptCount val="4"/>
                <c:pt idx="0">
                  <c:v>Water from plastic tanka</c:v>
                </c:pt>
                <c:pt idx="1">
                  <c:v>Plastic tank</c:v>
                </c:pt>
                <c:pt idx="2">
                  <c:v>Metal tank</c:v>
                </c:pt>
                <c:pt idx="3">
                  <c:v>Concrete tank</c:v>
                </c:pt>
              </c:strCache>
            </c:strRef>
          </c:cat>
          <c:val>
            <c:numRef>
              <c:f>Sheet1!$B$2:$B$5</c:f>
              <c:numCache>
                <c:formatCode>General</c:formatCode>
                <c:ptCount val="4"/>
                <c:pt idx="0">
                  <c:v>6.4</c:v>
                </c:pt>
                <c:pt idx="1">
                  <c:v>6.4</c:v>
                </c:pt>
                <c:pt idx="2">
                  <c:v>5.4</c:v>
                </c:pt>
                <c:pt idx="3">
                  <c:v>8.6</c:v>
                </c:pt>
              </c:numCache>
            </c:numRef>
          </c:val>
          <c:extLst>
            <c:ext xmlns:c16="http://schemas.microsoft.com/office/drawing/2014/chart" uri="{C3380CC4-5D6E-409C-BE32-E72D297353CC}">
              <c16:uniqueId val="{00000000-54DA-40C4-9B09-C97BF08C0C52}"/>
            </c:ext>
          </c:extLst>
        </c:ser>
        <c:dLbls>
          <c:showLegendKey val="0"/>
          <c:showVal val="0"/>
          <c:showCatName val="0"/>
          <c:showSerName val="0"/>
          <c:showPercent val="0"/>
          <c:showBubbleSize val="0"/>
        </c:dLbls>
        <c:gapWidth val="150"/>
        <c:axId val="230898304"/>
        <c:axId val="230900480"/>
      </c:barChart>
      <c:catAx>
        <c:axId val="230898304"/>
        <c:scaling>
          <c:orientation val="minMax"/>
        </c:scaling>
        <c:delete val="0"/>
        <c:axPos val="b"/>
        <c:title>
          <c:tx>
            <c:rich>
              <a:bodyPr/>
              <a:lstStyle/>
              <a:p>
                <a:pPr>
                  <a:defRPr lang="en-US"/>
                </a:pPr>
                <a:r>
                  <a:rPr lang="en-US" sz="800" b="0">
                    <a:latin typeface="Times New Roman" pitchFamily="18" charset="0"/>
                    <a:cs typeface="Times New Roman" pitchFamily="18" charset="0"/>
                  </a:rPr>
                  <a:t>Type</a:t>
                </a:r>
                <a:r>
                  <a:rPr lang="en-US" sz="800" b="0" baseline="0">
                    <a:latin typeface="Times New Roman" pitchFamily="18" charset="0"/>
                    <a:cs typeface="Times New Roman" pitchFamily="18" charset="0"/>
                  </a:rPr>
                  <a:t> of storage tank</a:t>
                </a:r>
                <a:endParaRPr lang="en-US" sz="800" b="0">
                  <a:latin typeface="Times New Roman" pitchFamily="18" charset="0"/>
                  <a:cs typeface="Times New Roman" pitchFamily="18" charset="0"/>
                </a:endParaRPr>
              </a:p>
            </c:rich>
          </c:tx>
          <c:layout>
            <c:manualLayout>
              <c:xMode val="edge"/>
              <c:yMode val="edge"/>
              <c:x val="0.30081474190727175"/>
              <c:y val="0.91571741032371801"/>
            </c:manualLayout>
          </c:layout>
          <c:overlay val="0"/>
        </c:title>
        <c:numFmt formatCode="General" sourceLinked="0"/>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0900480"/>
        <c:crosses val="autoZero"/>
        <c:auto val="1"/>
        <c:lblAlgn val="ctr"/>
        <c:lblOffset val="100"/>
        <c:noMultiLvlLbl val="0"/>
      </c:catAx>
      <c:valAx>
        <c:axId val="230900480"/>
        <c:scaling>
          <c:orientation val="minMax"/>
          <c:max val="14"/>
          <c:min val="0"/>
        </c:scaling>
        <c:delete val="0"/>
        <c:axPos val="l"/>
        <c:title>
          <c:tx>
            <c:rich>
              <a:bodyPr rot="-5400000" vert="horz"/>
              <a:lstStyle/>
              <a:p>
                <a:pPr>
                  <a:defRPr lang="en-US"/>
                </a:pPr>
                <a:r>
                  <a:rPr lang="en-US" sz="800" b="0">
                    <a:latin typeface="Times New Roman" pitchFamily="18" charset="0"/>
                    <a:cs typeface="Times New Roman" pitchFamily="18" charset="0"/>
                  </a:rPr>
                  <a:t>pH</a:t>
                </a:r>
              </a:p>
            </c:rich>
          </c:tx>
          <c:layout>
            <c:manualLayout>
              <c:xMode val="edge"/>
              <c:yMode val="edge"/>
              <c:x val="2.2222222222222251E-2"/>
              <c:y val="0.39461030912803086"/>
            </c:manualLayout>
          </c:layout>
          <c:overlay val="0"/>
        </c:title>
        <c:numFmt formatCode="General" sourceLinked="1"/>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0898304"/>
        <c:crosses val="autoZero"/>
        <c:crossBetween val="between"/>
      </c:valAx>
    </c:plotArea>
    <c:plotVisOnly val="1"/>
    <c:dispBlanksAs val="gap"/>
    <c:showDLblsOverMax val="0"/>
  </c:chart>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70381698155487"/>
          <c:y val="3.6498902012666701E-2"/>
          <c:w val="0.7813025024764465"/>
          <c:h val="0.7779684362401037"/>
        </c:manualLayout>
      </c:layout>
      <c:barChart>
        <c:barDir val="col"/>
        <c:grouping val="clustered"/>
        <c:varyColors val="1"/>
        <c:ser>
          <c:idx val="0"/>
          <c:order val="0"/>
          <c:tx>
            <c:strRef>
              <c:f>Sheet1!$B$24</c:f>
              <c:strCache>
                <c:ptCount val="1"/>
                <c:pt idx="0">
                  <c:v>Total Alkalinity</c:v>
                </c:pt>
              </c:strCache>
            </c:strRef>
          </c:tx>
          <c:invertIfNegative val="0"/>
          <c:cat>
            <c:strRef>
              <c:f>Sheet1!$A$25:$A$28</c:f>
              <c:strCache>
                <c:ptCount val="4"/>
                <c:pt idx="0">
                  <c:v>Water from entry point</c:v>
                </c:pt>
                <c:pt idx="1">
                  <c:v>Plastic tank</c:v>
                </c:pt>
                <c:pt idx="2">
                  <c:v>Metal tank</c:v>
                </c:pt>
                <c:pt idx="3">
                  <c:v>Concrete tank</c:v>
                </c:pt>
              </c:strCache>
            </c:strRef>
          </c:cat>
          <c:val>
            <c:numRef>
              <c:f>Sheet1!$B$25:$B$28</c:f>
              <c:numCache>
                <c:formatCode>General</c:formatCode>
                <c:ptCount val="4"/>
                <c:pt idx="0">
                  <c:v>6.5</c:v>
                </c:pt>
                <c:pt idx="1">
                  <c:v>6.5</c:v>
                </c:pt>
                <c:pt idx="2">
                  <c:v>3.3</c:v>
                </c:pt>
                <c:pt idx="3">
                  <c:v>20.5</c:v>
                </c:pt>
              </c:numCache>
            </c:numRef>
          </c:val>
          <c:extLst>
            <c:ext xmlns:c16="http://schemas.microsoft.com/office/drawing/2014/chart" uri="{C3380CC4-5D6E-409C-BE32-E72D297353CC}">
              <c16:uniqueId val="{00000000-BEA0-4949-A532-206E01083ED4}"/>
            </c:ext>
          </c:extLst>
        </c:ser>
        <c:dLbls>
          <c:showLegendKey val="0"/>
          <c:showVal val="0"/>
          <c:showCatName val="0"/>
          <c:showSerName val="0"/>
          <c:showPercent val="0"/>
          <c:showBubbleSize val="0"/>
        </c:dLbls>
        <c:gapWidth val="150"/>
        <c:axId val="230902784"/>
        <c:axId val="230942592"/>
      </c:barChart>
      <c:catAx>
        <c:axId val="230902784"/>
        <c:scaling>
          <c:orientation val="minMax"/>
        </c:scaling>
        <c:delete val="0"/>
        <c:axPos val="b"/>
        <c:title>
          <c:tx>
            <c:rich>
              <a:bodyPr/>
              <a:lstStyle/>
              <a:p>
                <a:pPr>
                  <a:defRPr lang="en-US"/>
                </a:pPr>
                <a:r>
                  <a:rPr lang="en-US" b="0">
                    <a:latin typeface="Times New Roman" pitchFamily="18" charset="0"/>
                    <a:cs typeface="Times New Roman" pitchFamily="18" charset="0"/>
                  </a:rPr>
                  <a:t>Type of storage tank</a:t>
                </a:r>
              </a:p>
            </c:rich>
          </c:tx>
          <c:overlay val="0"/>
        </c:title>
        <c:numFmt formatCode="General" sourceLinked="0"/>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0942592"/>
        <c:crosses val="autoZero"/>
        <c:auto val="1"/>
        <c:lblAlgn val="ctr"/>
        <c:lblOffset val="100"/>
        <c:noMultiLvlLbl val="0"/>
      </c:catAx>
      <c:valAx>
        <c:axId val="230942592"/>
        <c:scaling>
          <c:orientation val="minMax"/>
          <c:max val="22"/>
          <c:min val="0"/>
        </c:scaling>
        <c:delete val="0"/>
        <c:axPos val="l"/>
        <c:title>
          <c:tx>
            <c:rich>
              <a:bodyPr rot="-5400000" vert="horz"/>
              <a:lstStyle/>
              <a:p>
                <a:pPr>
                  <a:defRPr lang="en-US"/>
                </a:pPr>
                <a:r>
                  <a:rPr lang="en-US" sz="800" b="0">
                    <a:latin typeface="Times New Roman" pitchFamily="18" charset="0"/>
                    <a:cs typeface="Times New Roman" pitchFamily="18" charset="0"/>
                  </a:rPr>
                  <a:t>Total</a:t>
                </a:r>
                <a:r>
                  <a:rPr lang="en-US" sz="800" b="0" baseline="0">
                    <a:latin typeface="Times New Roman" pitchFamily="18" charset="0"/>
                    <a:cs typeface="Times New Roman" pitchFamily="18" charset="0"/>
                  </a:rPr>
                  <a:t> Alkalinity (mg/l)</a:t>
                </a:r>
                <a:endParaRPr lang="en-US" sz="800" b="0">
                  <a:latin typeface="Times New Roman" pitchFamily="18" charset="0"/>
                  <a:cs typeface="Times New Roman" pitchFamily="18" charset="0"/>
                </a:endParaRPr>
              </a:p>
            </c:rich>
          </c:tx>
          <c:layout>
            <c:manualLayout>
              <c:xMode val="edge"/>
              <c:yMode val="edge"/>
              <c:x val="1.3957759412304867E-2"/>
              <c:y val="0.2685719241614653"/>
            </c:manualLayout>
          </c:layout>
          <c:overlay val="0"/>
        </c:title>
        <c:numFmt formatCode="General" sourceLinked="1"/>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0902784"/>
        <c:crosses val="autoZero"/>
        <c:crossBetween val="between"/>
        <c:majorUnit val="2"/>
      </c:val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79835381767557"/>
          <c:y val="6.4814814814816199E-2"/>
          <c:w val="0.78619958795473144"/>
          <c:h val="0.77938320209974365"/>
        </c:manualLayout>
      </c:layout>
      <c:barChart>
        <c:barDir val="col"/>
        <c:grouping val="clustered"/>
        <c:varyColors val="1"/>
        <c:ser>
          <c:idx val="0"/>
          <c:order val="0"/>
          <c:tx>
            <c:strRef>
              <c:f>Sheet1!$B$43</c:f>
              <c:strCache>
                <c:ptCount val="1"/>
                <c:pt idx="0">
                  <c:v>Electrical conductivity</c:v>
                </c:pt>
              </c:strCache>
            </c:strRef>
          </c:tx>
          <c:invertIfNegative val="0"/>
          <c:cat>
            <c:strRef>
              <c:f>Sheet1!$A$44:$A$47</c:f>
              <c:strCache>
                <c:ptCount val="4"/>
                <c:pt idx="0">
                  <c:v>Water from entry point</c:v>
                </c:pt>
                <c:pt idx="1">
                  <c:v>Plastic tank</c:v>
                </c:pt>
                <c:pt idx="2">
                  <c:v>Metal tank</c:v>
                </c:pt>
                <c:pt idx="3">
                  <c:v>Concrete tank</c:v>
                </c:pt>
              </c:strCache>
            </c:strRef>
          </c:cat>
          <c:val>
            <c:numRef>
              <c:f>Sheet1!$B$44:$B$47</c:f>
              <c:numCache>
                <c:formatCode>General</c:formatCode>
                <c:ptCount val="4"/>
                <c:pt idx="0">
                  <c:v>170</c:v>
                </c:pt>
                <c:pt idx="1">
                  <c:v>168</c:v>
                </c:pt>
                <c:pt idx="2">
                  <c:v>184.33</c:v>
                </c:pt>
                <c:pt idx="3">
                  <c:v>153.13</c:v>
                </c:pt>
              </c:numCache>
            </c:numRef>
          </c:val>
          <c:extLst>
            <c:ext xmlns:c16="http://schemas.microsoft.com/office/drawing/2014/chart" uri="{C3380CC4-5D6E-409C-BE32-E72D297353CC}">
              <c16:uniqueId val="{00000000-55BF-4D4A-8A60-21BFEA244C78}"/>
            </c:ext>
          </c:extLst>
        </c:ser>
        <c:dLbls>
          <c:showLegendKey val="0"/>
          <c:showVal val="0"/>
          <c:showCatName val="0"/>
          <c:showSerName val="0"/>
          <c:showPercent val="0"/>
          <c:showBubbleSize val="0"/>
        </c:dLbls>
        <c:gapWidth val="150"/>
        <c:axId val="233976960"/>
        <c:axId val="233978880"/>
      </c:barChart>
      <c:catAx>
        <c:axId val="233976960"/>
        <c:scaling>
          <c:orientation val="minMax"/>
        </c:scaling>
        <c:delete val="0"/>
        <c:axPos val="b"/>
        <c:title>
          <c:tx>
            <c:rich>
              <a:bodyPr/>
              <a:lstStyle/>
              <a:p>
                <a:pPr>
                  <a:defRPr lang="en-US"/>
                </a:pPr>
                <a:r>
                  <a:rPr lang="en-US" sz="800" b="0">
                    <a:latin typeface="Times New Roman" pitchFamily="18" charset="0"/>
                    <a:cs typeface="Times New Roman" pitchFamily="18" charset="0"/>
                  </a:rPr>
                  <a:t>Type of</a:t>
                </a:r>
                <a:r>
                  <a:rPr lang="en-US" sz="800" b="0" baseline="0">
                    <a:latin typeface="Times New Roman" pitchFamily="18" charset="0"/>
                    <a:cs typeface="Times New Roman" pitchFamily="18" charset="0"/>
                  </a:rPr>
                  <a:t> storage tank</a:t>
                </a:r>
                <a:r>
                  <a:rPr lang="en-US" sz="800" b="0">
                    <a:latin typeface="Times New Roman" pitchFamily="18" charset="0"/>
                    <a:cs typeface="Times New Roman" pitchFamily="18" charset="0"/>
                  </a:rPr>
                  <a:t> </a:t>
                </a:r>
              </a:p>
            </c:rich>
          </c:tx>
          <c:overlay val="0"/>
        </c:title>
        <c:numFmt formatCode="General" sourceLinked="0"/>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3978880"/>
        <c:crosses val="autoZero"/>
        <c:auto val="1"/>
        <c:lblAlgn val="ctr"/>
        <c:lblOffset val="100"/>
        <c:noMultiLvlLbl val="0"/>
      </c:catAx>
      <c:valAx>
        <c:axId val="233978880"/>
        <c:scaling>
          <c:orientation val="minMax"/>
        </c:scaling>
        <c:delete val="0"/>
        <c:axPos val="l"/>
        <c:title>
          <c:tx>
            <c:rich>
              <a:bodyPr rot="-5400000" vert="horz"/>
              <a:lstStyle/>
              <a:p>
                <a:pPr>
                  <a:defRPr lang="en-US"/>
                </a:pPr>
                <a:r>
                  <a:rPr lang="en-US" sz="800" b="0">
                    <a:latin typeface="Times New Roman" pitchFamily="18" charset="0"/>
                    <a:cs typeface="Times New Roman" pitchFamily="18" charset="0"/>
                  </a:rPr>
                  <a:t>Electrical</a:t>
                </a:r>
                <a:r>
                  <a:rPr lang="en-US" sz="800" b="0" baseline="0">
                    <a:latin typeface="Times New Roman" pitchFamily="18" charset="0"/>
                    <a:cs typeface="Times New Roman" pitchFamily="18" charset="0"/>
                  </a:rPr>
                  <a:t> Conductivity (</a:t>
                </a:r>
                <a:r>
                  <a:rPr lang="en-US" sz="800" b="0" i="0" u="none" strike="noStrike" baseline="0">
                    <a:latin typeface="Times New Roman" pitchFamily="18" charset="0"/>
                    <a:cs typeface="Times New Roman" pitchFamily="18" charset="0"/>
                  </a:rPr>
                  <a:t>μS/cm)</a:t>
                </a:r>
                <a:endParaRPr lang="en-US" sz="800" b="0">
                  <a:latin typeface="Times New Roman" pitchFamily="18" charset="0"/>
                  <a:cs typeface="Times New Roman" pitchFamily="18" charset="0"/>
                </a:endParaRPr>
              </a:p>
            </c:rich>
          </c:tx>
          <c:layout>
            <c:manualLayout>
              <c:xMode val="edge"/>
              <c:yMode val="edge"/>
              <c:x val="1.0556980660703531E-2"/>
              <c:y val="0.20515456401283172"/>
            </c:manualLayout>
          </c:layout>
          <c:overlay val="0"/>
        </c:title>
        <c:numFmt formatCode="General" sourceLinked="1"/>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3976960"/>
        <c:crosses val="autoZero"/>
        <c:crossBetween val="between"/>
      </c:valAx>
    </c:plotArea>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35847492747621"/>
          <c:y val="0.12202507177577707"/>
          <c:w val="0.72881569193163831"/>
          <c:h val="0.6897656745975429"/>
        </c:manualLayout>
      </c:layout>
      <c:barChart>
        <c:barDir val="col"/>
        <c:grouping val="clustered"/>
        <c:varyColors val="1"/>
        <c:ser>
          <c:idx val="0"/>
          <c:order val="0"/>
          <c:tx>
            <c:strRef>
              <c:f>Sheet1!$B$64</c:f>
              <c:strCache>
                <c:ptCount val="1"/>
                <c:pt idx="0">
                  <c:v>Turbidity</c:v>
                </c:pt>
              </c:strCache>
            </c:strRef>
          </c:tx>
          <c:invertIfNegative val="0"/>
          <c:cat>
            <c:strRef>
              <c:f>Sheet1!$A$65:$A$68</c:f>
              <c:strCache>
                <c:ptCount val="4"/>
                <c:pt idx="0">
                  <c:v>Water from entry point</c:v>
                </c:pt>
                <c:pt idx="1">
                  <c:v>Plastic tank</c:v>
                </c:pt>
                <c:pt idx="2">
                  <c:v>Metal tank</c:v>
                </c:pt>
                <c:pt idx="3">
                  <c:v>Concrete tank</c:v>
                </c:pt>
              </c:strCache>
            </c:strRef>
          </c:cat>
          <c:val>
            <c:numRef>
              <c:f>Sheet1!$B$65:$B$68</c:f>
              <c:numCache>
                <c:formatCode>General</c:formatCode>
                <c:ptCount val="4"/>
                <c:pt idx="0">
                  <c:v>9.41</c:v>
                </c:pt>
                <c:pt idx="1">
                  <c:v>6.88</c:v>
                </c:pt>
                <c:pt idx="2">
                  <c:v>18.88</c:v>
                </c:pt>
                <c:pt idx="3">
                  <c:v>15.42</c:v>
                </c:pt>
              </c:numCache>
            </c:numRef>
          </c:val>
          <c:extLst>
            <c:ext xmlns:c16="http://schemas.microsoft.com/office/drawing/2014/chart" uri="{C3380CC4-5D6E-409C-BE32-E72D297353CC}">
              <c16:uniqueId val="{00000000-05F8-4727-9DDD-56DE4E9DAC36}"/>
            </c:ext>
          </c:extLst>
        </c:ser>
        <c:dLbls>
          <c:showLegendKey val="0"/>
          <c:showVal val="0"/>
          <c:showCatName val="0"/>
          <c:showSerName val="0"/>
          <c:showPercent val="0"/>
          <c:showBubbleSize val="0"/>
        </c:dLbls>
        <c:gapWidth val="150"/>
        <c:axId val="222591232"/>
        <c:axId val="234099072"/>
      </c:barChart>
      <c:catAx>
        <c:axId val="222591232"/>
        <c:scaling>
          <c:orientation val="minMax"/>
        </c:scaling>
        <c:delete val="0"/>
        <c:axPos val="b"/>
        <c:title>
          <c:tx>
            <c:rich>
              <a:bodyPr/>
              <a:lstStyle/>
              <a:p>
                <a:pPr>
                  <a:defRPr lang="en-US"/>
                </a:pPr>
                <a:r>
                  <a:rPr lang="en-US" sz="800" b="0">
                    <a:latin typeface="Times New Roman" pitchFamily="18" charset="0"/>
                    <a:cs typeface="Times New Roman" pitchFamily="18" charset="0"/>
                  </a:rPr>
                  <a:t>Type</a:t>
                </a:r>
                <a:r>
                  <a:rPr lang="en-US" sz="800" b="0" baseline="0">
                    <a:latin typeface="Times New Roman" pitchFamily="18" charset="0"/>
                    <a:cs typeface="Times New Roman" pitchFamily="18" charset="0"/>
                  </a:rPr>
                  <a:t>  of storage tank</a:t>
                </a:r>
                <a:endParaRPr lang="en-US" sz="800" b="0">
                  <a:latin typeface="Times New Roman" pitchFamily="18" charset="0"/>
                  <a:cs typeface="Times New Roman" pitchFamily="18" charset="0"/>
                </a:endParaRPr>
              </a:p>
            </c:rich>
          </c:tx>
          <c:layout>
            <c:manualLayout>
              <c:xMode val="edge"/>
              <c:yMode val="edge"/>
              <c:x val="0.33599857547255857"/>
              <c:y val="0.94055013881387572"/>
            </c:manualLayout>
          </c:layout>
          <c:overlay val="0"/>
        </c:title>
        <c:numFmt formatCode="General" sourceLinked="0"/>
        <c:majorTickMark val="out"/>
        <c:minorTickMark val="none"/>
        <c:tickLblPos val="nextTo"/>
        <c:txPr>
          <a:bodyPr/>
          <a:lstStyle/>
          <a:p>
            <a:pPr>
              <a:defRPr lang="en-US" sz="900">
                <a:latin typeface="Times New Roman" pitchFamily="18" charset="0"/>
                <a:cs typeface="Times New Roman" pitchFamily="18" charset="0"/>
              </a:defRPr>
            </a:pPr>
            <a:endParaRPr lang="en-US"/>
          </a:p>
        </c:txPr>
        <c:crossAx val="234099072"/>
        <c:crosses val="autoZero"/>
        <c:auto val="1"/>
        <c:lblAlgn val="ctr"/>
        <c:lblOffset val="100"/>
        <c:noMultiLvlLbl val="0"/>
      </c:catAx>
      <c:valAx>
        <c:axId val="234099072"/>
        <c:scaling>
          <c:orientation val="minMax"/>
        </c:scaling>
        <c:delete val="0"/>
        <c:axPos val="l"/>
        <c:title>
          <c:tx>
            <c:rich>
              <a:bodyPr rot="-5400000" vert="horz"/>
              <a:lstStyle/>
              <a:p>
                <a:pPr>
                  <a:defRPr lang="en-US" b="0"/>
                </a:pPr>
                <a:r>
                  <a:rPr lang="en-US" sz="800" b="0">
                    <a:latin typeface="Times New Roman" pitchFamily="18" charset="0"/>
                    <a:cs typeface="Times New Roman" pitchFamily="18" charset="0"/>
                  </a:rPr>
                  <a:t>Turbidity</a:t>
                </a:r>
                <a:r>
                  <a:rPr lang="en-US" sz="800" b="0" baseline="0">
                    <a:latin typeface="Times New Roman" pitchFamily="18" charset="0"/>
                    <a:cs typeface="Times New Roman" pitchFamily="18" charset="0"/>
                  </a:rPr>
                  <a:t> (NTU)</a:t>
                </a:r>
                <a:endParaRPr lang="en-US" sz="800" b="0">
                  <a:latin typeface="Times New Roman" pitchFamily="18" charset="0"/>
                  <a:cs typeface="Times New Roman" pitchFamily="18" charset="0"/>
                </a:endParaRPr>
              </a:p>
            </c:rich>
          </c:tx>
          <c:layout>
            <c:manualLayout>
              <c:xMode val="edge"/>
              <c:yMode val="edge"/>
              <c:x val="1.501468102837294E-2"/>
              <c:y val="0.34404345290172023"/>
            </c:manualLayout>
          </c:layout>
          <c:overlay val="0"/>
        </c:title>
        <c:numFmt formatCode="General" sourceLinked="1"/>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22591232"/>
        <c:crosses val="autoZero"/>
        <c:crossBetween val="between"/>
      </c:valAx>
    </c:plotArea>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Sheet1!$B$40:$E$40</c:f>
              <c:strCache>
                <c:ptCount val="4"/>
                <c:pt idx="0">
                  <c:v>October</c:v>
                </c:pt>
                <c:pt idx="1">
                  <c:v>November</c:v>
                </c:pt>
                <c:pt idx="2">
                  <c:v>December</c:v>
                </c:pt>
                <c:pt idx="3">
                  <c:v>January</c:v>
                </c:pt>
              </c:strCache>
            </c:strRef>
          </c:cat>
          <c:val>
            <c:numRef>
              <c:f>Sheet1!$B$41:$E$41</c:f>
              <c:numCache>
                <c:formatCode>General</c:formatCode>
                <c:ptCount val="4"/>
                <c:pt idx="0">
                  <c:v>182.8</c:v>
                </c:pt>
                <c:pt idx="1">
                  <c:v>224.86</c:v>
                </c:pt>
                <c:pt idx="2">
                  <c:v>185.78</c:v>
                </c:pt>
                <c:pt idx="3">
                  <c:v>207.54</c:v>
                </c:pt>
              </c:numCache>
            </c:numRef>
          </c:val>
          <c:extLst>
            <c:ext xmlns:c16="http://schemas.microsoft.com/office/drawing/2014/chart" uri="{C3380CC4-5D6E-409C-BE32-E72D297353CC}">
              <c16:uniqueId val="{00000000-693B-4BC5-B4D9-3C8CAE582FDC}"/>
            </c:ext>
          </c:extLst>
        </c:ser>
        <c:dLbls>
          <c:showLegendKey val="0"/>
          <c:showVal val="0"/>
          <c:showCatName val="0"/>
          <c:showSerName val="0"/>
          <c:showPercent val="0"/>
          <c:showBubbleSize val="0"/>
        </c:dLbls>
        <c:gapWidth val="150"/>
        <c:axId val="166617088"/>
        <c:axId val="187499264"/>
      </c:barChart>
      <c:catAx>
        <c:axId val="166617088"/>
        <c:scaling>
          <c:orientation val="minMax"/>
        </c:scaling>
        <c:delete val="0"/>
        <c:axPos val="b"/>
        <c:numFmt formatCode="General" sourceLinked="0"/>
        <c:majorTickMark val="out"/>
        <c:minorTickMark val="none"/>
        <c:tickLblPos val="nextTo"/>
        <c:txPr>
          <a:bodyPr/>
          <a:lstStyle/>
          <a:p>
            <a:pPr>
              <a:defRPr lang="en-US"/>
            </a:pPr>
            <a:endParaRPr lang="en-US"/>
          </a:p>
        </c:txPr>
        <c:crossAx val="187499264"/>
        <c:crosses val="autoZero"/>
        <c:auto val="1"/>
        <c:lblAlgn val="ctr"/>
        <c:lblOffset val="100"/>
        <c:noMultiLvlLbl val="0"/>
      </c:catAx>
      <c:valAx>
        <c:axId val="187499264"/>
        <c:scaling>
          <c:orientation val="minMax"/>
        </c:scaling>
        <c:delete val="0"/>
        <c:axPos val="l"/>
        <c:majorGridlines/>
        <c:title>
          <c:tx>
            <c:rich>
              <a:bodyPr rot="-5400000" vert="horz"/>
              <a:lstStyle/>
              <a:p>
                <a:pPr>
                  <a:defRPr lang="en-US"/>
                </a:pPr>
                <a:r>
                  <a:rPr lang="en-US"/>
                  <a:t>Biogas</a:t>
                </a:r>
                <a:r>
                  <a:rPr lang="en-US" baseline="0"/>
                  <a:t> Potential (m</a:t>
                </a:r>
                <a:r>
                  <a:rPr lang="en-US" baseline="30000"/>
                  <a:t>3</a:t>
                </a:r>
                <a:r>
                  <a:rPr lang="en-US" baseline="0"/>
                  <a:t>)</a:t>
                </a:r>
                <a:endParaRPr lang="en-US"/>
              </a:p>
            </c:rich>
          </c:tx>
          <c:overlay val="0"/>
        </c:title>
        <c:numFmt formatCode="General" sourceLinked="1"/>
        <c:majorTickMark val="out"/>
        <c:minorTickMark val="none"/>
        <c:tickLblPos val="nextTo"/>
        <c:txPr>
          <a:bodyPr/>
          <a:lstStyle/>
          <a:p>
            <a:pPr>
              <a:defRPr lang="en-US"/>
            </a:pPr>
            <a:endParaRPr lang="en-US"/>
          </a:p>
        </c:txPr>
        <c:crossAx val="166617088"/>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7425752815381"/>
          <c:y val="5.0925925925925923E-2"/>
          <c:w val="0.65508631264434924"/>
          <c:h val="0.74092592592592588"/>
        </c:manualLayout>
      </c:layout>
      <c:barChart>
        <c:barDir val="col"/>
        <c:grouping val="clustered"/>
        <c:varyColors val="1"/>
        <c:ser>
          <c:idx val="0"/>
          <c:order val="0"/>
          <c:tx>
            <c:strRef>
              <c:f>Sheet1!$B$85</c:f>
              <c:strCache>
                <c:ptCount val="1"/>
                <c:pt idx="0">
                  <c:v>Nitrate</c:v>
                </c:pt>
              </c:strCache>
            </c:strRef>
          </c:tx>
          <c:invertIfNegative val="0"/>
          <c:cat>
            <c:strRef>
              <c:f>Sheet1!$A$86:$A$89</c:f>
              <c:strCache>
                <c:ptCount val="4"/>
                <c:pt idx="0">
                  <c:v>Water  from entry point</c:v>
                </c:pt>
                <c:pt idx="1">
                  <c:v>Plastic tank</c:v>
                </c:pt>
                <c:pt idx="2">
                  <c:v>Metal tank</c:v>
                </c:pt>
                <c:pt idx="3">
                  <c:v>Concrete tank</c:v>
                </c:pt>
              </c:strCache>
            </c:strRef>
          </c:cat>
          <c:val>
            <c:numRef>
              <c:f>Sheet1!$B$86:$B$89</c:f>
              <c:numCache>
                <c:formatCode>General</c:formatCode>
                <c:ptCount val="4"/>
                <c:pt idx="0">
                  <c:v>3.5</c:v>
                </c:pt>
                <c:pt idx="1">
                  <c:v>4.5999999999999996</c:v>
                </c:pt>
                <c:pt idx="2">
                  <c:v>12.53</c:v>
                </c:pt>
                <c:pt idx="3">
                  <c:v>11.860000000000024</c:v>
                </c:pt>
              </c:numCache>
            </c:numRef>
          </c:val>
          <c:extLst>
            <c:ext xmlns:c16="http://schemas.microsoft.com/office/drawing/2014/chart" uri="{C3380CC4-5D6E-409C-BE32-E72D297353CC}">
              <c16:uniqueId val="{00000000-7AC2-4B47-8FA0-3A72CF7D5B83}"/>
            </c:ext>
          </c:extLst>
        </c:ser>
        <c:dLbls>
          <c:showLegendKey val="0"/>
          <c:showVal val="0"/>
          <c:showCatName val="0"/>
          <c:showSerName val="0"/>
          <c:showPercent val="0"/>
          <c:showBubbleSize val="0"/>
        </c:dLbls>
        <c:gapWidth val="150"/>
        <c:axId val="234139648"/>
        <c:axId val="234141568"/>
      </c:barChart>
      <c:catAx>
        <c:axId val="234139648"/>
        <c:scaling>
          <c:orientation val="minMax"/>
        </c:scaling>
        <c:delete val="0"/>
        <c:axPos val="b"/>
        <c:title>
          <c:tx>
            <c:rich>
              <a:bodyPr/>
              <a:lstStyle/>
              <a:p>
                <a:pPr>
                  <a:defRPr lang="en-US"/>
                </a:pPr>
                <a:r>
                  <a:rPr lang="en-US" sz="800" b="0">
                    <a:latin typeface="Times New Roman" pitchFamily="18" charset="0"/>
                    <a:cs typeface="Times New Roman" pitchFamily="18" charset="0"/>
                  </a:rPr>
                  <a:t>Type</a:t>
                </a:r>
                <a:r>
                  <a:rPr lang="en-US" sz="800" b="0" baseline="0">
                    <a:latin typeface="Times New Roman" pitchFamily="18" charset="0"/>
                    <a:cs typeface="Times New Roman" pitchFamily="18" charset="0"/>
                  </a:rPr>
                  <a:t> of storage tank</a:t>
                </a:r>
                <a:endParaRPr lang="en-US" sz="800" b="0">
                  <a:latin typeface="Times New Roman" pitchFamily="18" charset="0"/>
                  <a:cs typeface="Times New Roman" pitchFamily="18" charset="0"/>
                </a:endParaRPr>
              </a:p>
            </c:rich>
          </c:tx>
          <c:layout>
            <c:manualLayout>
              <c:xMode val="edge"/>
              <c:yMode val="edge"/>
              <c:x val="0.35462045051157115"/>
              <c:y val="0.92497666958296032"/>
            </c:manualLayout>
          </c:layout>
          <c:overlay val="0"/>
        </c:title>
        <c:numFmt formatCode="General" sourceLinked="0"/>
        <c:majorTickMark val="out"/>
        <c:minorTickMark val="none"/>
        <c:tickLblPos val="nextTo"/>
        <c:txPr>
          <a:bodyPr/>
          <a:lstStyle/>
          <a:p>
            <a:pPr>
              <a:defRPr lang="en-US" sz="700">
                <a:latin typeface="Times New Roman" pitchFamily="18" charset="0"/>
                <a:cs typeface="Times New Roman" pitchFamily="18" charset="0"/>
              </a:defRPr>
            </a:pPr>
            <a:endParaRPr lang="en-US"/>
          </a:p>
        </c:txPr>
        <c:crossAx val="234141568"/>
        <c:crosses val="autoZero"/>
        <c:auto val="1"/>
        <c:lblAlgn val="ctr"/>
        <c:lblOffset val="100"/>
        <c:noMultiLvlLbl val="0"/>
      </c:catAx>
      <c:valAx>
        <c:axId val="234141568"/>
        <c:scaling>
          <c:orientation val="minMax"/>
          <c:max val="14"/>
          <c:min val="0"/>
        </c:scaling>
        <c:delete val="0"/>
        <c:axPos val="l"/>
        <c:title>
          <c:tx>
            <c:rich>
              <a:bodyPr rot="-5400000" vert="horz"/>
              <a:lstStyle/>
              <a:p>
                <a:pPr>
                  <a:defRPr lang="en-US"/>
                </a:pPr>
                <a:r>
                  <a:rPr lang="en-US" sz="800" b="0">
                    <a:latin typeface="Times New Roman" pitchFamily="18" charset="0"/>
                    <a:cs typeface="Times New Roman" pitchFamily="18" charset="0"/>
                  </a:rPr>
                  <a:t>Nitrate</a:t>
                </a:r>
                <a:r>
                  <a:rPr lang="en-US" sz="800" b="0" baseline="0">
                    <a:latin typeface="Times New Roman" pitchFamily="18" charset="0"/>
                    <a:cs typeface="Times New Roman" pitchFamily="18" charset="0"/>
                  </a:rPr>
                  <a:t> (mg/l)</a:t>
                </a:r>
                <a:endParaRPr lang="en-US" sz="800" b="0">
                  <a:latin typeface="Times New Roman" pitchFamily="18" charset="0"/>
                  <a:cs typeface="Times New Roman" pitchFamily="18" charset="0"/>
                </a:endParaRPr>
              </a:p>
            </c:rich>
          </c:tx>
          <c:layout>
            <c:manualLayout>
              <c:xMode val="edge"/>
              <c:yMode val="edge"/>
              <c:x val="1.6420361247947868E-2"/>
              <c:y val="0.3201851851851899"/>
            </c:manualLayout>
          </c:layout>
          <c:overlay val="0"/>
        </c:title>
        <c:numFmt formatCode="General" sourceLinked="1"/>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4139648"/>
        <c:crosses val="autoZero"/>
        <c:crossBetween val="between"/>
      </c:valAx>
    </c:plotArea>
    <c:plotVisOnly val="1"/>
    <c:dispBlanksAs val="gap"/>
    <c:showDLblsOverMax val="0"/>
  </c:chart>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21511929652871"/>
          <c:y val="7.407407407407407E-2"/>
          <c:w val="0.73387102035975282"/>
          <c:h val="0.74234616506270046"/>
        </c:manualLayout>
      </c:layout>
      <c:barChart>
        <c:barDir val="col"/>
        <c:grouping val="clustered"/>
        <c:varyColors val="1"/>
        <c:ser>
          <c:idx val="0"/>
          <c:order val="0"/>
          <c:tx>
            <c:strRef>
              <c:f>Sheet1!$B$104</c:f>
              <c:strCache>
                <c:ptCount val="1"/>
                <c:pt idx="0">
                  <c:v>Total hardness</c:v>
                </c:pt>
              </c:strCache>
            </c:strRef>
          </c:tx>
          <c:invertIfNegative val="0"/>
          <c:cat>
            <c:strRef>
              <c:f>Sheet1!$A$105:$A$108</c:f>
              <c:strCache>
                <c:ptCount val="4"/>
                <c:pt idx="0">
                  <c:v>Water from entry point</c:v>
                </c:pt>
                <c:pt idx="1">
                  <c:v>Plastic tank</c:v>
                </c:pt>
                <c:pt idx="2">
                  <c:v>Metal tank</c:v>
                </c:pt>
                <c:pt idx="3">
                  <c:v>Concrete tank</c:v>
                </c:pt>
              </c:strCache>
            </c:strRef>
          </c:cat>
          <c:val>
            <c:numRef>
              <c:f>Sheet1!$B$105:$B$108</c:f>
              <c:numCache>
                <c:formatCode>General</c:formatCode>
                <c:ptCount val="4"/>
                <c:pt idx="0">
                  <c:v>1.82</c:v>
                </c:pt>
                <c:pt idx="1">
                  <c:v>1.82</c:v>
                </c:pt>
                <c:pt idx="2">
                  <c:v>6.5</c:v>
                </c:pt>
                <c:pt idx="3">
                  <c:v>10.52</c:v>
                </c:pt>
              </c:numCache>
            </c:numRef>
          </c:val>
          <c:extLst>
            <c:ext xmlns:c16="http://schemas.microsoft.com/office/drawing/2014/chart" uri="{C3380CC4-5D6E-409C-BE32-E72D297353CC}">
              <c16:uniqueId val="{00000000-1040-432A-A2FB-C42DF5851008}"/>
            </c:ext>
          </c:extLst>
        </c:ser>
        <c:dLbls>
          <c:showLegendKey val="0"/>
          <c:showVal val="0"/>
          <c:showCatName val="0"/>
          <c:showSerName val="0"/>
          <c:showPercent val="0"/>
          <c:showBubbleSize val="0"/>
        </c:dLbls>
        <c:gapWidth val="150"/>
        <c:axId val="235230336"/>
        <c:axId val="235232256"/>
      </c:barChart>
      <c:catAx>
        <c:axId val="235230336"/>
        <c:scaling>
          <c:orientation val="minMax"/>
        </c:scaling>
        <c:delete val="0"/>
        <c:axPos val="b"/>
        <c:title>
          <c:tx>
            <c:rich>
              <a:bodyPr/>
              <a:lstStyle/>
              <a:p>
                <a:pPr>
                  <a:defRPr lang="en-US"/>
                </a:pPr>
                <a:r>
                  <a:rPr lang="en-US" sz="800" b="0">
                    <a:latin typeface="Times New Roman" pitchFamily="18" charset="0"/>
                    <a:cs typeface="Times New Roman" pitchFamily="18" charset="0"/>
                  </a:rPr>
                  <a:t>Type</a:t>
                </a:r>
                <a:r>
                  <a:rPr lang="en-US" sz="800" b="0" baseline="0">
                    <a:latin typeface="Times New Roman" pitchFamily="18" charset="0"/>
                    <a:cs typeface="Times New Roman" pitchFamily="18" charset="0"/>
                  </a:rPr>
                  <a:t> of storage tank</a:t>
                </a:r>
                <a:endParaRPr lang="en-US" sz="800" b="0">
                  <a:latin typeface="Times New Roman" pitchFamily="18" charset="0"/>
                  <a:cs typeface="Times New Roman" pitchFamily="18" charset="0"/>
                </a:endParaRPr>
              </a:p>
            </c:rich>
          </c:tx>
          <c:overlay val="0"/>
        </c:title>
        <c:numFmt formatCode="General" sourceLinked="0"/>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5232256"/>
        <c:crosses val="autoZero"/>
        <c:auto val="1"/>
        <c:lblAlgn val="ctr"/>
        <c:lblOffset val="100"/>
        <c:noMultiLvlLbl val="0"/>
      </c:catAx>
      <c:valAx>
        <c:axId val="235232256"/>
        <c:scaling>
          <c:orientation val="minMax"/>
        </c:scaling>
        <c:delete val="0"/>
        <c:axPos val="l"/>
        <c:title>
          <c:tx>
            <c:rich>
              <a:bodyPr rot="-5400000" vert="horz"/>
              <a:lstStyle/>
              <a:p>
                <a:pPr>
                  <a:defRPr lang="en-US"/>
                </a:pPr>
                <a:r>
                  <a:rPr lang="en-US" sz="800" b="0">
                    <a:latin typeface="Times New Roman" pitchFamily="18" charset="0"/>
                    <a:cs typeface="Times New Roman" pitchFamily="18" charset="0"/>
                  </a:rPr>
                  <a:t>Total</a:t>
                </a:r>
                <a:r>
                  <a:rPr lang="en-US" sz="800" b="0" baseline="0">
                    <a:latin typeface="Times New Roman" pitchFamily="18" charset="0"/>
                    <a:cs typeface="Times New Roman" pitchFamily="18" charset="0"/>
                  </a:rPr>
                  <a:t> hardness (mg/l)</a:t>
                </a:r>
                <a:endParaRPr lang="en-US" sz="800" b="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5230336"/>
        <c:crosses val="autoZero"/>
        <c:crossBetween val="between"/>
      </c:valAx>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58009494899241"/>
          <c:y val="6.2534571238297004E-2"/>
          <c:w val="0.70290246151663449"/>
          <c:h val="0.70067949839604327"/>
        </c:manualLayout>
      </c:layout>
      <c:barChart>
        <c:barDir val="col"/>
        <c:grouping val="clustered"/>
        <c:varyColors val="1"/>
        <c:ser>
          <c:idx val="0"/>
          <c:order val="0"/>
          <c:tx>
            <c:strRef>
              <c:f>Sheet1!$B$124</c:f>
              <c:strCache>
                <c:ptCount val="1"/>
                <c:pt idx="0">
                  <c:v>Iron</c:v>
                </c:pt>
              </c:strCache>
            </c:strRef>
          </c:tx>
          <c:invertIfNegative val="0"/>
          <c:cat>
            <c:strRef>
              <c:f>Sheet1!$A$125:$A$128</c:f>
              <c:strCache>
                <c:ptCount val="4"/>
                <c:pt idx="0">
                  <c:v>Water from entry point</c:v>
                </c:pt>
                <c:pt idx="1">
                  <c:v>Plastic tank</c:v>
                </c:pt>
                <c:pt idx="2">
                  <c:v>Metal tank</c:v>
                </c:pt>
                <c:pt idx="3">
                  <c:v>Concrete tank</c:v>
                </c:pt>
              </c:strCache>
            </c:strRef>
          </c:cat>
          <c:val>
            <c:numRef>
              <c:f>Sheet1!$B$125:$B$128</c:f>
              <c:numCache>
                <c:formatCode>General</c:formatCode>
                <c:ptCount val="4"/>
                <c:pt idx="0">
                  <c:v>0.72000000000000064</c:v>
                </c:pt>
                <c:pt idx="1">
                  <c:v>0.68</c:v>
                </c:pt>
                <c:pt idx="2">
                  <c:v>3.4</c:v>
                </c:pt>
                <c:pt idx="3">
                  <c:v>1.23</c:v>
                </c:pt>
              </c:numCache>
            </c:numRef>
          </c:val>
          <c:extLst>
            <c:ext xmlns:c16="http://schemas.microsoft.com/office/drawing/2014/chart" uri="{C3380CC4-5D6E-409C-BE32-E72D297353CC}">
              <c16:uniqueId val="{00000000-48CC-4295-974A-2C8EBA4D2A9D}"/>
            </c:ext>
          </c:extLst>
        </c:ser>
        <c:dLbls>
          <c:showLegendKey val="0"/>
          <c:showVal val="0"/>
          <c:showCatName val="0"/>
          <c:showSerName val="0"/>
          <c:showPercent val="0"/>
          <c:showBubbleSize val="0"/>
        </c:dLbls>
        <c:gapWidth val="150"/>
        <c:axId val="235424000"/>
        <c:axId val="235434368"/>
      </c:barChart>
      <c:catAx>
        <c:axId val="235424000"/>
        <c:scaling>
          <c:orientation val="minMax"/>
        </c:scaling>
        <c:delete val="0"/>
        <c:axPos val="b"/>
        <c:title>
          <c:tx>
            <c:rich>
              <a:bodyPr/>
              <a:lstStyle/>
              <a:p>
                <a:pPr>
                  <a:defRPr lang="en-US" b="0"/>
                </a:pPr>
                <a:r>
                  <a:rPr lang="en-US" sz="800" b="0">
                    <a:latin typeface="Times New Roman" pitchFamily="18" charset="0"/>
                    <a:cs typeface="Times New Roman" pitchFamily="18" charset="0"/>
                  </a:rPr>
                  <a:t>Type</a:t>
                </a:r>
                <a:r>
                  <a:rPr lang="en-US" sz="800" b="0" baseline="0">
                    <a:latin typeface="Times New Roman" pitchFamily="18" charset="0"/>
                    <a:cs typeface="Times New Roman" pitchFamily="18" charset="0"/>
                  </a:rPr>
                  <a:t> of storage tank</a:t>
                </a:r>
                <a:endParaRPr lang="en-US" sz="800" b="0">
                  <a:latin typeface="Times New Roman" pitchFamily="18" charset="0"/>
                  <a:cs typeface="Times New Roman" pitchFamily="18" charset="0"/>
                </a:endParaRPr>
              </a:p>
            </c:rich>
          </c:tx>
          <c:layout>
            <c:manualLayout>
              <c:xMode val="edge"/>
              <c:yMode val="edge"/>
              <c:x val="0.28879973426647254"/>
              <c:y val="0.9157178673561327"/>
            </c:manualLayout>
          </c:layout>
          <c:overlay val="0"/>
        </c:title>
        <c:numFmt formatCode="General" sourceLinked="0"/>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5434368"/>
        <c:crosses val="autoZero"/>
        <c:auto val="1"/>
        <c:lblAlgn val="ctr"/>
        <c:lblOffset val="100"/>
        <c:noMultiLvlLbl val="0"/>
      </c:catAx>
      <c:valAx>
        <c:axId val="235434368"/>
        <c:scaling>
          <c:orientation val="minMax"/>
        </c:scaling>
        <c:delete val="0"/>
        <c:axPos val="l"/>
        <c:title>
          <c:tx>
            <c:rich>
              <a:bodyPr rot="-5400000" vert="horz"/>
              <a:lstStyle/>
              <a:p>
                <a:pPr>
                  <a:defRPr lang="en-US"/>
                </a:pPr>
                <a:r>
                  <a:rPr lang="en-US" sz="800" b="0">
                    <a:latin typeface="Times New Roman" pitchFamily="18" charset="0"/>
                    <a:cs typeface="Times New Roman" pitchFamily="18" charset="0"/>
                  </a:rPr>
                  <a:t>Irion</a:t>
                </a:r>
                <a:r>
                  <a:rPr lang="en-US" sz="800" b="0" baseline="0">
                    <a:latin typeface="Times New Roman" pitchFamily="18" charset="0"/>
                    <a:cs typeface="Times New Roman" pitchFamily="18" charset="0"/>
                  </a:rPr>
                  <a:t>  (mg/l)</a:t>
                </a:r>
                <a:endParaRPr lang="en-US" sz="800" b="0">
                  <a:latin typeface="Times New Roman" pitchFamily="18" charset="0"/>
                  <a:cs typeface="Times New Roman" pitchFamily="18" charset="0"/>
                </a:endParaRPr>
              </a:p>
            </c:rich>
          </c:tx>
          <c:layout>
            <c:manualLayout>
              <c:xMode val="edge"/>
              <c:yMode val="edge"/>
              <c:x val="1.0351709055616541E-2"/>
              <c:y val="0.22949112704195559"/>
            </c:manualLayout>
          </c:layout>
          <c:overlay val="0"/>
        </c:title>
        <c:numFmt formatCode="General" sourceLinked="1"/>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5424000"/>
        <c:crosses val="autoZero"/>
        <c:crossBetween val="between"/>
        <c:majorUnit val="0.5"/>
      </c:valAx>
    </c:plotArea>
    <c:plotVisOnly val="1"/>
    <c:dispBlanksAs val="gap"/>
    <c:showDLblsOverMax val="0"/>
  </c:chart>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31790386360041"/>
          <c:y val="9.7222222222222224E-2"/>
          <c:w val="0.6669853577947501"/>
          <c:h val="0.72845727617382261"/>
        </c:manualLayout>
      </c:layout>
      <c:barChart>
        <c:barDir val="col"/>
        <c:grouping val="clustered"/>
        <c:varyColors val="1"/>
        <c:ser>
          <c:idx val="0"/>
          <c:order val="0"/>
          <c:tx>
            <c:strRef>
              <c:f>Sheet1!$B$138</c:f>
              <c:strCache>
                <c:ptCount val="1"/>
                <c:pt idx="0">
                  <c:v>Faecal Coliform</c:v>
                </c:pt>
              </c:strCache>
            </c:strRef>
          </c:tx>
          <c:invertIfNegative val="0"/>
          <c:cat>
            <c:strRef>
              <c:f>Sheet1!$A$139:$A$142</c:f>
              <c:strCache>
                <c:ptCount val="4"/>
                <c:pt idx="0">
                  <c:v>Water from entry point</c:v>
                </c:pt>
                <c:pt idx="1">
                  <c:v>Plastic tank</c:v>
                </c:pt>
                <c:pt idx="2">
                  <c:v>Metal tank</c:v>
                </c:pt>
                <c:pt idx="3">
                  <c:v>Concrete tank</c:v>
                </c:pt>
              </c:strCache>
            </c:strRef>
          </c:cat>
          <c:val>
            <c:numRef>
              <c:f>Sheet1!$B$139:$B$142</c:f>
              <c:numCache>
                <c:formatCode>General</c:formatCode>
                <c:ptCount val="4"/>
                <c:pt idx="0">
                  <c:v>6.1</c:v>
                </c:pt>
                <c:pt idx="1">
                  <c:v>20.110000000000031</c:v>
                </c:pt>
                <c:pt idx="2">
                  <c:v>67.33</c:v>
                </c:pt>
                <c:pt idx="3">
                  <c:v>32.4</c:v>
                </c:pt>
              </c:numCache>
            </c:numRef>
          </c:val>
          <c:extLst>
            <c:ext xmlns:c16="http://schemas.microsoft.com/office/drawing/2014/chart" uri="{C3380CC4-5D6E-409C-BE32-E72D297353CC}">
              <c16:uniqueId val="{00000000-ADCC-4D15-9F23-E2A007AE4A35}"/>
            </c:ext>
          </c:extLst>
        </c:ser>
        <c:dLbls>
          <c:showLegendKey val="0"/>
          <c:showVal val="0"/>
          <c:showCatName val="0"/>
          <c:showSerName val="0"/>
          <c:showPercent val="0"/>
          <c:showBubbleSize val="0"/>
        </c:dLbls>
        <c:gapWidth val="150"/>
        <c:axId val="235470208"/>
        <c:axId val="235542016"/>
      </c:barChart>
      <c:catAx>
        <c:axId val="235470208"/>
        <c:scaling>
          <c:orientation val="minMax"/>
        </c:scaling>
        <c:delete val="0"/>
        <c:axPos val="b"/>
        <c:title>
          <c:tx>
            <c:rich>
              <a:bodyPr/>
              <a:lstStyle/>
              <a:p>
                <a:pPr>
                  <a:defRPr lang="en-US"/>
                </a:pPr>
                <a:r>
                  <a:rPr lang="en-US" sz="800" b="0">
                    <a:latin typeface="Times New Roman" pitchFamily="18" charset="0"/>
                    <a:cs typeface="Times New Roman" pitchFamily="18" charset="0"/>
                  </a:rPr>
                  <a:t>Type</a:t>
                </a:r>
                <a:r>
                  <a:rPr lang="en-US" sz="800" b="0" baseline="0">
                    <a:latin typeface="Times New Roman" pitchFamily="18" charset="0"/>
                    <a:cs typeface="Times New Roman" pitchFamily="18" charset="0"/>
                  </a:rPr>
                  <a:t> of storage tank</a:t>
                </a:r>
                <a:endParaRPr lang="en-US" sz="800" b="0">
                  <a:latin typeface="Times New Roman" pitchFamily="18" charset="0"/>
                  <a:cs typeface="Times New Roman" pitchFamily="18" charset="0"/>
                </a:endParaRPr>
              </a:p>
            </c:rich>
          </c:tx>
          <c:overlay val="0"/>
        </c:title>
        <c:numFmt formatCode="General" sourceLinked="0"/>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5542016"/>
        <c:crosses val="autoZero"/>
        <c:auto val="1"/>
        <c:lblAlgn val="ctr"/>
        <c:lblOffset val="100"/>
        <c:noMultiLvlLbl val="0"/>
      </c:catAx>
      <c:valAx>
        <c:axId val="235542016"/>
        <c:scaling>
          <c:orientation val="minMax"/>
        </c:scaling>
        <c:delete val="0"/>
        <c:axPos val="l"/>
        <c:title>
          <c:tx>
            <c:rich>
              <a:bodyPr rot="-5400000" vert="horz"/>
              <a:lstStyle/>
              <a:p>
                <a:pPr>
                  <a:defRPr lang="en-US"/>
                </a:pPr>
                <a:r>
                  <a:rPr lang="en-US" sz="800" b="0">
                    <a:latin typeface="Times New Roman" pitchFamily="18" charset="0"/>
                    <a:cs typeface="Times New Roman" pitchFamily="18" charset="0"/>
                  </a:rPr>
                  <a:t>Faecal</a:t>
                </a:r>
                <a:r>
                  <a:rPr lang="en-US" sz="800" b="0" baseline="0">
                    <a:latin typeface="Times New Roman" pitchFamily="18" charset="0"/>
                    <a:cs typeface="Times New Roman" pitchFamily="18" charset="0"/>
                  </a:rPr>
                  <a:t> Coliform (fcu/100 ml)</a:t>
                </a:r>
                <a:endParaRPr lang="en-US" sz="800" b="0">
                  <a:latin typeface="Times New Roman" pitchFamily="18" charset="0"/>
                  <a:cs typeface="Times New Roman" pitchFamily="18" charset="0"/>
                </a:endParaRPr>
              </a:p>
            </c:rich>
          </c:tx>
          <c:layout>
            <c:manualLayout>
              <c:xMode val="edge"/>
              <c:yMode val="edge"/>
              <c:x val="1.336851363236609E-2"/>
              <c:y val="0.22433253135024789"/>
            </c:manualLayout>
          </c:layout>
          <c:overlay val="0"/>
        </c:title>
        <c:numFmt formatCode="General" sourceLinked="1"/>
        <c:majorTickMark val="out"/>
        <c:minorTickMark val="none"/>
        <c:tickLblPos val="nextTo"/>
        <c:txPr>
          <a:bodyPr/>
          <a:lstStyle/>
          <a:p>
            <a:pPr>
              <a:defRPr lang="en-US" sz="800">
                <a:latin typeface="Times New Roman" pitchFamily="18" charset="0"/>
                <a:cs typeface="Times New Roman" pitchFamily="18" charset="0"/>
              </a:defRPr>
            </a:pPr>
            <a:endParaRPr lang="en-US"/>
          </a:p>
        </c:txPr>
        <c:crossAx val="235470208"/>
        <c:crosses val="autoZero"/>
        <c:crossBetween val="between"/>
      </c:valAx>
    </c:plotArea>
    <c:plotVisOnly val="1"/>
    <c:dispBlanksAs val="gap"/>
    <c:showDLblsOverMax val="0"/>
  </c:chart>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l">
              <a:defRPr sz="1770" b="1" i="0" u="none" strike="noStrike" baseline="0">
                <a:solidFill>
                  <a:srgbClr val="000000"/>
                </a:solidFill>
                <a:latin typeface="Calibri"/>
                <a:ea typeface="Calibri"/>
                <a:cs typeface="Calibri"/>
              </a:defRPr>
            </a:pPr>
            <a:r>
              <a:rPr lang="en-US" sz="1200" b="1" i="0" strike="noStrike">
                <a:solidFill>
                  <a:srgbClr val="000000"/>
                </a:solidFill>
                <a:latin typeface="Calibri"/>
              </a:rPr>
              <a:t>Figure 4: Durablility of Sapele (Entandrophragma Cylindricum) Stem </a:t>
            </a:r>
          </a:p>
          <a:p>
            <a:pPr algn="l">
              <a:defRPr sz="1770" b="1" i="0" u="none" strike="noStrike" baseline="0">
                <a:solidFill>
                  <a:srgbClr val="000000"/>
                </a:solidFill>
                <a:latin typeface="Calibri"/>
                <a:ea typeface="Calibri"/>
                <a:cs typeface="Calibri"/>
              </a:defRPr>
            </a:pPr>
            <a:r>
              <a:rPr lang="en-US" sz="1200" b="1" i="0" strike="noStrike">
                <a:solidFill>
                  <a:srgbClr val="000000"/>
                </a:solidFill>
                <a:latin typeface="Calibri"/>
              </a:rPr>
              <a:t>                and Branch Woods.</a:t>
            </a:r>
          </a:p>
        </c:rich>
      </c:tx>
      <c:layout>
        <c:manualLayout>
          <c:xMode val="edge"/>
          <c:yMode val="edge"/>
          <c:x val="0.11935478938919043"/>
          <c:y val="2.0964360587002202E-3"/>
        </c:manualLayout>
      </c:layout>
      <c:overlay val="0"/>
      <c:spPr>
        <a:noFill/>
        <a:ln w="25317">
          <a:noFill/>
        </a:ln>
      </c:spPr>
    </c:title>
    <c:autoTitleDeleted val="0"/>
    <c:plotArea>
      <c:layout>
        <c:manualLayout>
          <c:layoutTarget val="inner"/>
          <c:xMode val="edge"/>
          <c:yMode val="edge"/>
          <c:x val="0.10483870967741959"/>
          <c:y val="0.17190775681341741"/>
          <c:w val="0.87419354838709673"/>
          <c:h val="0.44863731656184475"/>
        </c:manualLayout>
      </c:layout>
      <c:barChart>
        <c:barDir val="col"/>
        <c:grouping val="clustered"/>
        <c:varyColors val="0"/>
        <c:ser>
          <c:idx val="0"/>
          <c:order val="0"/>
          <c:tx>
            <c:strRef>
              <c:f>Sheet1!$A$2</c:f>
              <c:strCache>
                <c:ptCount val="1"/>
                <c:pt idx="0">
                  <c:v>Mean Weight Loss(%)</c:v>
                </c:pt>
              </c:strCache>
            </c:strRef>
          </c:tx>
          <c:spPr>
            <a:solidFill>
              <a:srgbClr val="9999FF"/>
            </a:solidFill>
            <a:ln w="12659">
              <a:solidFill>
                <a:srgbClr val="000000"/>
              </a:solidFill>
              <a:prstDash val="solid"/>
            </a:ln>
          </c:spPr>
          <c:invertIfNegative val="0"/>
          <c:dLbls>
            <c:dLbl>
              <c:idx val="0"/>
              <c:layout>
                <c:manualLayout>
                  <c:x val="1.2016343395744138E-2"/>
                  <c:y val="1.19248838035354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00-497A-A43D-191DD0E72CFD}"/>
                </c:ext>
              </c:extLst>
            </c:dLbl>
            <c:dLbl>
              <c:idx val="1"/>
              <c:layout>
                <c:manualLayout>
                  <c:x val="1.4704558581091695E-2"/>
                  <c:y val="-3.3621615747535954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00-497A-A43D-191DD0E72CFD}"/>
                </c:ext>
              </c:extLst>
            </c:dLbl>
            <c:dLbl>
              <c:idx val="2"/>
              <c:layout>
                <c:manualLayout>
                  <c:x val="1.4166967314826339E-2"/>
                  <c:y val="2.501870637601175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B00-497A-A43D-191DD0E72CFD}"/>
                </c:ext>
              </c:extLst>
            </c:dLbl>
            <c:dLbl>
              <c:idx val="3"/>
              <c:layout>
                <c:manualLayout>
                  <c:x val="1.5242112097812363E-2"/>
                  <c:y val="-7.8934110610144929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00-497A-A43D-191DD0E72CFD}"/>
                </c:ext>
              </c:extLst>
            </c:dLbl>
            <c:spPr>
              <a:noFill/>
              <a:ln w="25317">
                <a:noFill/>
              </a:ln>
            </c:spPr>
            <c:txPr>
              <a:bodyPr rot="-2700000" vert="horz"/>
              <a:lstStyle/>
              <a:p>
                <a:pPr algn="ctr">
                  <a:defRPr sz="1045" b="0" i="0" u="none" strike="noStrike" baseline="0">
                    <a:solidFill>
                      <a:srgbClr val="000000"/>
                    </a:solidFill>
                    <a:latin typeface="Calibri"/>
                    <a:ea typeface="Calibri"/>
                    <a:cs typeface="Calibri"/>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Sheet1!$B$1:$G$1</c:f>
              <c:strCache>
                <c:ptCount val="6"/>
                <c:pt idx="0">
                  <c:v>Sapele Stem (A.D)</c:v>
                </c:pt>
                <c:pt idx="1">
                  <c:v>Sapele Branch (A.D)</c:v>
                </c:pt>
                <c:pt idx="2">
                  <c:v>Sapele Stem (K.D)</c:v>
                </c:pt>
                <c:pt idx="3">
                  <c:v>Sapele Branch (K.D)</c:v>
                </c:pt>
                <c:pt idx="4">
                  <c:v>Onyina stem (A.D)</c:v>
                </c:pt>
                <c:pt idx="5">
                  <c:v>Onyina stem (K.D)</c:v>
                </c:pt>
              </c:strCache>
            </c:strRef>
          </c:cat>
          <c:val>
            <c:numRef>
              <c:f>Sheet1!$B$2:$G$2</c:f>
              <c:numCache>
                <c:formatCode>General</c:formatCode>
                <c:ptCount val="6"/>
                <c:pt idx="0">
                  <c:v>31.739000000000001</c:v>
                </c:pt>
                <c:pt idx="1">
                  <c:v>56.003</c:v>
                </c:pt>
                <c:pt idx="2">
                  <c:v>28.164000000000001</c:v>
                </c:pt>
                <c:pt idx="3">
                  <c:v>13.265000000000002</c:v>
                </c:pt>
                <c:pt idx="4">
                  <c:v>100</c:v>
                </c:pt>
                <c:pt idx="5">
                  <c:v>98.39</c:v>
                </c:pt>
              </c:numCache>
            </c:numRef>
          </c:val>
          <c:extLst>
            <c:ext xmlns:c16="http://schemas.microsoft.com/office/drawing/2014/chart" uri="{C3380CC4-5D6E-409C-BE32-E72D297353CC}">
              <c16:uniqueId val="{00000004-BB00-497A-A43D-191DD0E72CFD}"/>
            </c:ext>
          </c:extLst>
        </c:ser>
        <c:ser>
          <c:idx val="1"/>
          <c:order val="1"/>
          <c:tx>
            <c:strRef>
              <c:f>Sheet1!$A$3</c:f>
              <c:strCache>
                <c:ptCount val="1"/>
                <c:pt idx="0">
                  <c:v>Mean Visual Rating</c:v>
                </c:pt>
              </c:strCache>
            </c:strRef>
          </c:tx>
          <c:spPr>
            <a:solidFill>
              <a:srgbClr val="993366"/>
            </a:solidFill>
            <a:ln w="12659">
              <a:solidFill>
                <a:srgbClr val="000000"/>
              </a:solidFill>
              <a:prstDash val="solid"/>
            </a:ln>
          </c:spPr>
          <c:invertIfNegative val="0"/>
          <c:dLbls>
            <c:dLbl>
              <c:idx val="0"/>
              <c:layout>
                <c:manualLayout>
                  <c:x val="9.9542853013519748E-3"/>
                  <c:y val="4.0564202265396573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B00-497A-A43D-191DD0E72CFD}"/>
                </c:ext>
              </c:extLst>
            </c:dLbl>
            <c:dLbl>
              <c:idx val="1"/>
              <c:layout>
                <c:manualLayout>
                  <c:x val="1.1029597260893181E-2"/>
                  <c:y val="-7.5144940306205114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B00-497A-A43D-191DD0E72CFD}"/>
                </c:ext>
              </c:extLst>
            </c:dLbl>
            <c:dLbl>
              <c:idx val="2"/>
              <c:layout>
                <c:manualLayout>
                  <c:x val="1.0492005994627665E-2"/>
                  <c:y val="1.233760196309301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B00-497A-A43D-191DD0E72CFD}"/>
                </c:ext>
              </c:extLst>
            </c:dLbl>
            <c:dLbl>
              <c:idx val="3"/>
              <c:layout>
                <c:manualLayout>
                  <c:x val="1.1567150777613779E-2"/>
                  <c:y val="8.5994655340483834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B00-497A-A43D-191DD0E72CFD}"/>
                </c:ext>
              </c:extLst>
            </c:dLbl>
            <c:spPr>
              <a:noFill/>
              <a:ln w="25317">
                <a:noFill/>
              </a:ln>
            </c:spPr>
            <c:txPr>
              <a:bodyPr rot="-2700000" vert="horz"/>
              <a:lstStyle/>
              <a:p>
                <a:pPr algn="ctr">
                  <a:defRPr sz="1045" b="0" i="0" u="none" strike="noStrike" baseline="0">
                    <a:solidFill>
                      <a:srgbClr val="000000"/>
                    </a:solidFill>
                    <a:latin typeface="Calibri"/>
                    <a:ea typeface="Calibri"/>
                    <a:cs typeface="Calibri"/>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Sheet1!$B$1:$G$1</c:f>
              <c:strCache>
                <c:ptCount val="6"/>
                <c:pt idx="0">
                  <c:v>Sapele Stem (A.D)</c:v>
                </c:pt>
                <c:pt idx="1">
                  <c:v>Sapele Branch (A.D)</c:v>
                </c:pt>
                <c:pt idx="2">
                  <c:v>Sapele Stem (K.D)</c:v>
                </c:pt>
                <c:pt idx="3">
                  <c:v>Sapele Branch (K.D)</c:v>
                </c:pt>
                <c:pt idx="4">
                  <c:v>Onyina stem (A.D)</c:v>
                </c:pt>
                <c:pt idx="5">
                  <c:v>Onyina stem (K.D)</c:v>
                </c:pt>
              </c:strCache>
            </c:strRef>
          </c:cat>
          <c:val>
            <c:numRef>
              <c:f>Sheet1!$B$3:$G$3</c:f>
              <c:numCache>
                <c:formatCode>General</c:formatCode>
                <c:ptCount val="6"/>
                <c:pt idx="0">
                  <c:v>2.312999999999986</c:v>
                </c:pt>
                <c:pt idx="1">
                  <c:v>3.125</c:v>
                </c:pt>
                <c:pt idx="2">
                  <c:v>1.4129999999999905</c:v>
                </c:pt>
                <c:pt idx="3">
                  <c:v>1.3129999999999933</c:v>
                </c:pt>
                <c:pt idx="4">
                  <c:v>4</c:v>
                </c:pt>
                <c:pt idx="5">
                  <c:v>4</c:v>
                </c:pt>
              </c:numCache>
            </c:numRef>
          </c:val>
          <c:extLst>
            <c:ext xmlns:c16="http://schemas.microsoft.com/office/drawing/2014/chart" uri="{C3380CC4-5D6E-409C-BE32-E72D297353CC}">
              <c16:uniqueId val="{00000009-BB00-497A-A43D-191DD0E72CFD}"/>
            </c:ext>
          </c:extLst>
        </c:ser>
        <c:dLbls>
          <c:showLegendKey val="0"/>
          <c:showVal val="1"/>
          <c:showCatName val="0"/>
          <c:showSerName val="0"/>
          <c:showPercent val="0"/>
          <c:showBubbleSize val="0"/>
        </c:dLbls>
        <c:gapWidth val="150"/>
        <c:axId val="235583744"/>
        <c:axId val="236073344"/>
      </c:barChart>
      <c:catAx>
        <c:axId val="235583744"/>
        <c:scaling>
          <c:orientation val="minMax"/>
        </c:scaling>
        <c:delete val="0"/>
        <c:axPos val="b"/>
        <c:title>
          <c:tx>
            <c:rich>
              <a:bodyPr/>
              <a:lstStyle/>
              <a:p>
                <a:pPr>
                  <a:defRPr sz="1195" b="1" i="0" u="none" strike="noStrike" baseline="0">
                    <a:solidFill>
                      <a:srgbClr val="000000"/>
                    </a:solidFill>
                    <a:latin typeface="Times New Roman"/>
                    <a:ea typeface="Times New Roman"/>
                    <a:cs typeface="Times New Roman"/>
                  </a:defRPr>
                </a:pPr>
                <a:r>
                  <a:rPr lang="en-US"/>
                  <a:t>Wood Species and Parts</a:t>
                </a:r>
              </a:p>
            </c:rich>
          </c:tx>
          <c:layout>
            <c:manualLayout>
              <c:xMode val="edge"/>
              <c:yMode val="edge"/>
              <c:x val="0.37580647079309554"/>
              <c:y val="0.93081761006289365"/>
            </c:manualLayout>
          </c:layout>
          <c:overlay val="0"/>
          <c:spPr>
            <a:noFill/>
            <a:ln w="25317">
              <a:noFill/>
            </a:ln>
          </c:spPr>
        </c:title>
        <c:numFmt formatCode="General" sourceLinked="1"/>
        <c:majorTickMark val="out"/>
        <c:minorTickMark val="none"/>
        <c:tickLblPos val="nextTo"/>
        <c:spPr>
          <a:ln w="3165">
            <a:solidFill>
              <a:srgbClr val="000000"/>
            </a:solidFill>
            <a:prstDash val="solid"/>
          </a:ln>
        </c:spPr>
        <c:txPr>
          <a:bodyPr rot="-3660000" vert="horz"/>
          <a:lstStyle/>
          <a:p>
            <a:pPr>
              <a:defRPr sz="1195" b="0" i="0" u="none" strike="noStrike" baseline="0">
                <a:solidFill>
                  <a:srgbClr val="000000"/>
                </a:solidFill>
                <a:latin typeface="Times New Roman"/>
                <a:ea typeface="Times New Roman"/>
                <a:cs typeface="Times New Roman"/>
              </a:defRPr>
            </a:pPr>
            <a:endParaRPr lang="en-US"/>
          </a:p>
        </c:txPr>
        <c:crossAx val="236073344"/>
        <c:crosses val="autoZero"/>
        <c:auto val="1"/>
        <c:lblAlgn val="ctr"/>
        <c:lblOffset val="100"/>
        <c:tickLblSkip val="1"/>
        <c:tickMarkSkip val="1"/>
        <c:noMultiLvlLbl val="0"/>
      </c:catAx>
      <c:valAx>
        <c:axId val="236073344"/>
        <c:scaling>
          <c:orientation val="minMax"/>
        </c:scaling>
        <c:delete val="0"/>
        <c:axPos val="l"/>
        <c:majorGridlines>
          <c:spPr>
            <a:ln w="3165">
              <a:solidFill>
                <a:srgbClr val="000000"/>
              </a:solidFill>
              <a:prstDash val="solid"/>
            </a:ln>
          </c:spPr>
        </c:majorGridlines>
        <c:title>
          <c:tx>
            <c:rich>
              <a:bodyPr/>
              <a:lstStyle/>
              <a:p>
                <a:pPr>
                  <a:defRPr sz="1195" b="1" i="0" u="none" strike="noStrike" baseline="0">
                    <a:solidFill>
                      <a:srgbClr val="000000"/>
                    </a:solidFill>
                    <a:latin typeface="Times New Roman"/>
                    <a:ea typeface="Times New Roman"/>
                    <a:cs typeface="Times New Roman"/>
                  </a:defRPr>
                </a:pPr>
                <a:r>
                  <a:rPr lang="en-US"/>
                  <a:t>Weight Loss (%) and Visual Ratings</a:t>
                </a:r>
              </a:p>
            </c:rich>
          </c:tx>
          <c:layout>
            <c:manualLayout>
              <c:xMode val="edge"/>
              <c:yMode val="edge"/>
              <c:x val="0"/>
              <c:y val="0.18867924528301888"/>
            </c:manualLayout>
          </c:layout>
          <c:overlay val="0"/>
          <c:spPr>
            <a:noFill/>
            <a:ln w="25317">
              <a:noFill/>
            </a:ln>
          </c:spPr>
        </c:title>
        <c:numFmt formatCode="General" sourceLinked="1"/>
        <c:majorTickMark val="out"/>
        <c:minorTickMark val="none"/>
        <c:tickLblPos val="nextTo"/>
        <c:spPr>
          <a:ln w="3165">
            <a:solidFill>
              <a:srgbClr val="000000"/>
            </a:solidFill>
            <a:prstDash val="solid"/>
          </a:ln>
        </c:spPr>
        <c:txPr>
          <a:bodyPr rot="0" vert="horz"/>
          <a:lstStyle/>
          <a:p>
            <a:pPr>
              <a:defRPr sz="1045" b="1" i="0" u="none" strike="noStrike" baseline="0">
                <a:solidFill>
                  <a:srgbClr val="000000"/>
                </a:solidFill>
                <a:latin typeface="Calibri"/>
                <a:ea typeface="Calibri"/>
                <a:cs typeface="Calibri"/>
              </a:defRPr>
            </a:pPr>
            <a:endParaRPr lang="en-US"/>
          </a:p>
        </c:txPr>
        <c:crossAx val="235583744"/>
        <c:crosses val="autoZero"/>
        <c:crossBetween val="between"/>
      </c:valAx>
      <c:spPr>
        <a:noFill/>
        <a:ln w="12659">
          <a:solidFill>
            <a:srgbClr val="808080"/>
          </a:solidFill>
          <a:prstDash val="solid"/>
        </a:ln>
      </c:spPr>
    </c:plotArea>
    <c:legend>
      <c:legendPos val="r"/>
      <c:layout>
        <c:manualLayout>
          <c:xMode val="edge"/>
          <c:yMode val="edge"/>
          <c:x val="0.24032260530540481"/>
          <c:y val="0.10062893081761012"/>
          <c:w val="0.63870974866006014"/>
          <c:h val="5.4507337526205533E-2"/>
        </c:manualLayout>
      </c:layout>
      <c:overlay val="0"/>
      <c:spPr>
        <a:solidFill>
          <a:srgbClr val="FFFFFF"/>
        </a:solidFill>
        <a:ln w="3165">
          <a:solidFill>
            <a:srgbClr val="000000"/>
          </a:solidFill>
          <a:prstDash val="solid"/>
        </a:ln>
      </c:spPr>
      <c:txPr>
        <a:bodyPr/>
        <a:lstStyle/>
        <a:p>
          <a:pPr>
            <a:defRPr lang="en-US" sz="1007" b="0" i="0" u="none" strike="noStrike" baseline="0">
              <a:solidFill>
                <a:srgbClr val="000000"/>
              </a:solidFill>
              <a:latin typeface="Calibri"/>
              <a:ea typeface="Calibri"/>
              <a:cs typeface="Calibri"/>
            </a:defRPr>
          </a:pPr>
          <a:endParaRPr lang="en-US"/>
        </a:p>
      </c:txPr>
    </c:legend>
    <c:plotVisOnly val="1"/>
    <c:dispBlanksAs val="gap"/>
    <c:showDLblsOverMax val="0"/>
  </c:chart>
  <c:spPr>
    <a:noFill/>
    <a:ln>
      <a:noFill/>
    </a:ln>
  </c:spPr>
  <c:txPr>
    <a:bodyPr/>
    <a:lstStyle/>
    <a:p>
      <a:pPr>
        <a:defRPr sz="1770" b="1" i="0" u="none" strike="noStrike" baseline="0">
          <a:solidFill>
            <a:srgbClr val="000000"/>
          </a:solidFill>
          <a:latin typeface="Calibri"/>
          <a:ea typeface="Calibri"/>
          <a:cs typeface="Calibri"/>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78180513468511"/>
          <c:y val="9.4250059651634702E-2"/>
          <c:w val="0.86242522805005983"/>
          <c:h val="0.64153280839895011"/>
        </c:manualLayout>
      </c:layout>
      <c:barChart>
        <c:barDir val="col"/>
        <c:grouping val="clustered"/>
        <c:varyColors val="1"/>
        <c:ser>
          <c:idx val="0"/>
          <c:order val="0"/>
          <c:invertIfNegative val="0"/>
          <c:dLbls>
            <c:spPr>
              <a:noFill/>
              <a:ln>
                <a:noFill/>
              </a:ln>
              <a:effectLst/>
            </c:spPr>
            <c:txPr>
              <a:bodyPr rot="-5400000" vert="horz"/>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Sheet3!$C$4:$C$33</c:f>
              <c:strCache>
                <c:ptCount val="30"/>
                <c:pt idx="0">
                  <c:v>Pistol </c:v>
                </c:pt>
                <c:pt idx="1">
                  <c:v>Organ</c:v>
                </c:pt>
                <c:pt idx="2">
                  <c:v>Green Kaili</c:v>
                </c:pt>
                <c:pt idx="3">
                  <c:v>Yellow Kaili</c:v>
                </c:pt>
                <c:pt idx="4">
                  <c:v>Helicopter</c:v>
                </c:pt>
                <c:pt idx="5">
                  <c:v>Ball</c:v>
                </c:pt>
                <c:pt idx="6">
                  <c:v>Machine Gun</c:v>
                </c:pt>
                <c:pt idx="7">
                  <c:v>Truck</c:v>
                </c:pt>
                <c:pt idx="8">
                  <c:v>Bell</c:v>
                </c:pt>
                <c:pt idx="9">
                  <c:v>Doll</c:v>
                </c:pt>
                <c:pt idx="10">
                  <c:v>Sports Car</c:v>
                </c:pt>
                <c:pt idx="11">
                  <c:v>Sports Car</c:v>
                </c:pt>
                <c:pt idx="12">
                  <c:v>Tanker</c:v>
                </c:pt>
                <c:pt idx="13">
                  <c:v>Lego</c:v>
                </c:pt>
                <c:pt idx="14">
                  <c:v>Wrist Watch</c:v>
                </c:pt>
                <c:pt idx="15">
                  <c:v>Aeroplanl</c:v>
                </c:pt>
                <c:pt idx="16">
                  <c:v>Car</c:v>
                </c:pt>
                <c:pt idx="17">
                  <c:v>Doll</c:v>
                </c:pt>
                <c:pt idx="18">
                  <c:v>Guitar</c:v>
                </c:pt>
                <c:pt idx="19">
                  <c:v>Mobile Phone</c:v>
                </c:pt>
                <c:pt idx="20">
                  <c:v>Violet Kaili</c:v>
                </c:pt>
                <c:pt idx="21">
                  <c:v>Red Kaili</c:v>
                </c:pt>
                <c:pt idx="22">
                  <c:v>Trumpet</c:v>
                </c:pt>
                <c:pt idx="23">
                  <c:v>Propeller</c:v>
                </c:pt>
                <c:pt idx="24">
                  <c:v>Tambourine</c:v>
                </c:pt>
                <c:pt idx="25">
                  <c:v>Boat</c:v>
                </c:pt>
                <c:pt idx="26">
                  <c:v>Water gun</c:v>
                </c:pt>
                <c:pt idx="27">
                  <c:v>Revolver</c:v>
                </c:pt>
                <c:pt idx="28">
                  <c:v>Mickey Mouse</c:v>
                </c:pt>
                <c:pt idx="29">
                  <c:v>Sword</c:v>
                </c:pt>
              </c:strCache>
            </c:strRef>
          </c:cat>
          <c:val>
            <c:numRef>
              <c:f>Sheet3!$E$4:$E$33</c:f>
              <c:numCache>
                <c:formatCode>General</c:formatCode>
                <c:ptCount val="30"/>
                <c:pt idx="0">
                  <c:v>0.32150000000000445</c:v>
                </c:pt>
                <c:pt idx="1">
                  <c:v>0.21960000000000021</c:v>
                </c:pt>
                <c:pt idx="2">
                  <c:v>0.40980000000000188</c:v>
                </c:pt>
                <c:pt idx="3">
                  <c:v>0.38030000000000547</c:v>
                </c:pt>
                <c:pt idx="4">
                  <c:v>0.48670000000000002</c:v>
                </c:pt>
                <c:pt idx="5">
                  <c:v>0.51119999999999999</c:v>
                </c:pt>
                <c:pt idx="6">
                  <c:v>0.20480000000000001</c:v>
                </c:pt>
                <c:pt idx="7">
                  <c:v>0.32170000000000032</c:v>
                </c:pt>
                <c:pt idx="8">
                  <c:v>6.9500000000000103E-2</c:v>
                </c:pt>
                <c:pt idx="9">
                  <c:v>0.378500000000004</c:v>
                </c:pt>
                <c:pt idx="10">
                  <c:v>0.43160000000000032</c:v>
                </c:pt>
                <c:pt idx="11">
                  <c:v>0.56890000000000063</c:v>
                </c:pt>
                <c:pt idx="12">
                  <c:v>0.43400000000000138</c:v>
                </c:pt>
                <c:pt idx="13">
                  <c:v>0.33480000000000704</c:v>
                </c:pt>
                <c:pt idx="14">
                  <c:v>0.26870000000000005</c:v>
                </c:pt>
                <c:pt idx="15" formatCode="0.0000">
                  <c:v>0.10580000000000002</c:v>
                </c:pt>
                <c:pt idx="16" formatCode="0.0000">
                  <c:v>0.31000000000000238</c:v>
                </c:pt>
                <c:pt idx="17" formatCode="0.0000">
                  <c:v>0.53310000000000002</c:v>
                </c:pt>
                <c:pt idx="18" formatCode="0.0000">
                  <c:v>0.2311</c:v>
                </c:pt>
                <c:pt idx="19" formatCode="0.0000">
                  <c:v>0.37710000000000032</c:v>
                </c:pt>
                <c:pt idx="20" formatCode="0.0000">
                  <c:v>0.33460000000000445</c:v>
                </c:pt>
                <c:pt idx="21" formatCode="0.0000">
                  <c:v>0.39910000000000445</c:v>
                </c:pt>
                <c:pt idx="22" formatCode="0.0000">
                  <c:v>0.20660000000000001</c:v>
                </c:pt>
                <c:pt idx="23" formatCode="0.0000">
                  <c:v>7.5400000000000092E-2</c:v>
                </c:pt>
                <c:pt idx="24" formatCode="0.0000">
                  <c:v>6.5800000000000108E-2</c:v>
                </c:pt>
                <c:pt idx="25" formatCode="0.0000">
                  <c:v>0.43280000000000507</c:v>
                </c:pt>
                <c:pt idx="26" formatCode="0.0000">
                  <c:v>0.36370000000000002</c:v>
                </c:pt>
                <c:pt idx="27" formatCode="0.0000">
                  <c:v>0.51</c:v>
                </c:pt>
                <c:pt idx="28" formatCode="0.0000">
                  <c:v>0.26800000000000002</c:v>
                </c:pt>
                <c:pt idx="29" formatCode="0.0000">
                  <c:v>0.31730000000000541</c:v>
                </c:pt>
              </c:numCache>
            </c:numRef>
          </c:val>
          <c:extLst>
            <c:ext xmlns:c16="http://schemas.microsoft.com/office/drawing/2014/chart" uri="{C3380CC4-5D6E-409C-BE32-E72D297353CC}">
              <c16:uniqueId val="{00000000-E779-4B9C-8C79-3083AA3A5887}"/>
            </c:ext>
          </c:extLst>
        </c:ser>
        <c:dLbls>
          <c:showLegendKey val="0"/>
          <c:showVal val="0"/>
          <c:showCatName val="0"/>
          <c:showSerName val="0"/>
          <c:showPercent val="0"/>
          <c:showBubbleSize val="0"/>
        </c:dLbls>
        <c:gapWidth val="150"/>
        <c:axId val="235869312"/>
        <c:axId val="235870848"/>
      </c:barChart>
      <c:catAx>
        <c:axId val="235869312"/>
        <c:scaling>
          <c:orientation val="minMax"/>
        </c:scaling>
        <c:delete val="0"/>
        <c:axPos val="b"/>
        <c:numFmt formatCode="General" sourceLinked="0"/>
        <c:majorTickMark val="out"/>
        <c:minorTickMark val="none"/>
        <c:tickLblPos val="nextTo"/>
        <c:txPr>
          <a:bodyPr rot="-5400000" vert="horz"/>
          <a:lstStyle/>
          <a:p>
            <a:pPr>
              <a:defRPr lang="en-US"/>
            </a:pPr>
            <a:endParaRPr lang="en-US"/>
          </a:p>
        </c:txPr>
        <c:crossAx val="235870848"/>
        <c:crosses val="autoZero"/>
        <c:auto val="1"/>
        <c:lblAlgn val="ctr"/>
        <c:lblOffset val="100"/>
        <c:noMultiLvlLbl val="0"/>
      </c:catAx>
      <c:valAx>
        <c:axId val="235870848"/>
        <c:scaling>
          <c:orientation val="minMax"/>
        </c:scaling>
        <c:delete val="0"/>
        <c:axPos val="l"/>
        <c:majorGridlines/>
        <c:numFmt formatCode="General" sourceLinked="1"/>
        <c:majorTickMark val="out"/>
        <c:minorTickMark val="none"/>
        <c:tickLblPos val="nextTo"/>
        <c:txPr>
          <a:bodyPr/>
          <a:lstStyle/>
          <a:p>
            <a:pPr>
              <a:defRPr lang="en-US"/>
            </a:pPr>
            <a:endParaRPr lang="en-US"/>
          </a:p>
        </c:txPr>
        <c:crossAx val="235869312"/>
        <c:crosses val="autoZero"/>
        <c:crossBetween val="between"/>
      </c:valAx>
    </c:plotArea>
    <c:plotVisOnly val="1"/>
    <c:dispBlanksAs val="gap"/>
    <c:showDLblsOverMax val="0"/>
  </c:chart>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668275148918866E-2"/>
          <c:y val="8.2642061538397732E-2"/>
          <c:w val="0.8921064442504405"/>
          <c:h val="0.65006024433692866"/>
        </c:manualLayout>
      </c:layout>
      <c:barChart>
        <c:barDir val="col"/>
        <c:grouping val="clustered"/>
        <c:varyColors val="1"/>
        <c:ser>
          <c:idx val="0"/>
          <c:order val="0"/>
          <c:invertIfNegative val="0"/>
          <c:dLbls>
            <c:spPr>
              <a:noFill/>
              <a:ln>
                <a:noFill/>
              </a:ln>
              <a:effectLst/>
            </c:spPr>
            <c:txPr>
              <a:bodyPr rot="-5400000" vert="horz"/>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Sheet3!$C$4:$C$33</c:f>
              <c:strCache>
                <c:ptCount val="30"/>
                <c:pt idx="0">
                  <c:v>Pistol </c:v>
                </c:pt>
                <c:pt idx="1">
                  <c:v>Organ</c:v>
                </c:pt>
                <c:pt idx="2">
                  <c:v>Green Kaili</c:v>
                </c:pt>
                <c:pt idx="3">
                  <c:v>Yellow Kaili</c:v>
                </c:pt>
                <c:pt idx="4">
                  <c:v>Helicopter</c:v>
                </c:pt>
                <c:pt idx="5">
                  <c:v>Ball</c:v>
                </c:pt>
                <c:pt idx="6">
                  <c:v>Machine Gun</c:v>
                </c:pt>
                <c:pt idx="7">
                  <c:v>Truck</c:v>
                </c:pt>
                <c:pt idx="8">
                  <c:v>Bell</c:v>
                </c:pt>
                <c:pt idx="9">
                  <c:v>Doll</c:v>
                </c:pt>
                <c:pt idx="10">
                  <c:v>Sports Car</c:v>
                </c:pt>
                <c:pt idx="11">
                  <c:v>Sports Car</c:v>
                </c:pt>
                <c:pt idx="12">
                  <c:v>Tanker</c:v>
                </c:pt>
                <c:pt idx="13">
                  <c:v>Lego</c:v>
                </c:pt>
                <c:pt idx="14">
                  <c:v>Wrist Watch</c:v>
                </c:pt>
                <c:pt idx="15">
                  <c:v>Aeroplanl</c:v>
                </c:pt>
                <c:pt idx="16">
                  <c:v>Car</c:v>
                </c:pt>
                <c:pt idx="17">
                  <c:v>Doll</c:v>
                </c:pt>
                <c:pt idx="18">
                  <c:v>Guitar</c:v>
                </c:pt>
                <c:pt idx="19">
                  <c:v>Mobile Phone</c:v>
                </c:pt>
                <c:pt idx="20">
                  <c:v>Violet Kaili</c:v>
                </c:pt>
                <c:pt idx="21">
                  <c:v>Red Kaili</c:v>
                </c:pt>
                <c:pt idx="22">
                  <c:v>Trumpet</c:v>
                </c:pt>
                <c:pt idx="23">
                  <c:v>Propeller</c:v>
                </c:pt>
                <c:pt idx="24">
                  <c:v>Tambourine</c:v>
                </c:pt>
                <c:pt idx="25">
                  <c:v>Boat</c:v>
                </c:pt>
                <c:pt idx="26">
                  <c:v>Water gun</c:v>
                </c:pt>
                <c:pt idx="27">
                  <c:v>Revolver</c:v>
                </c:pt>
                <c:pt idx="28">
                  <c:v>Mickey Mouse</c:v>
                </c:pt>
                <c:pt idx="29">
                  <c:v>Sword</c:v>
                </c:pt>
              </c:strCache>
            </c:strRef>
          </c:cat>
          <c:val>
            <c:numRef>
              <c:f>Sheet3!$F$4:$F$33</c:f>
              <c:numCache>
                <c:formatCode>General</c:formatCode>
                <c:ptCount val="30"/>
                <c:pt idx="0">
                  <c:v>11.631299999999998</c:v>
                </c:pt>
                <c:pt idx="1">
                  <c:v>15.160400000000006</c:v>
                </c:pt>
                <c:pt idx="2">
                  <c:v>10.136800000000001</c:v>
                </c:pt>
                <c:pt idx="3">
                  <c:v>4.1539999999999955</c:v>
                </c:pt>
                <c:pt idx="4">
                  <c:v>12.511299999999999</c:v>
                </c:pt>
                <c:pt idx="5">
                  <c:v>13.161200000000001</c:v>
                </c:pt>
                <c:pt idx="6">
                  <c:v>56.080600000000004</c:v>
                </c:pt>
                <c:pt idx="7">
                  <c:v>6.6108999999999956</c:v>
                </c:pt>
                <c:pt idx="8">
                  <c:v>6.0903</c:v>
                </c:pt>
                <c:pt idx="9">
                  <c:v>33.292200000000413</c:v>
                </c:pt>
                <c:pt idx="10">
                  <c:v>8.6485999999999983</c:v>
                </c:pt>
                <c:pt idx="11">
                  <c:v>9.2806000000000015</c:v>
                </c:pt>
                <c:pt idx="12">
                  <c:v>14.310600000000004</c:v>
                </c:pt>
                <c:pt idx="13">
                  <c:v>4.3106</c:v>
                </c:pt>
                <c:pt idx="14">
                  <c:v>7.5430000000000001</c:v>
                </c:pt>
                <c:pt idx="15" formatCode="0.0000">
                  <c:v>2.3253999999999997</c:v>
                </c:pt>
                <c:pt idx="16" formatCode="0.0000">
                  <c:v>20.490399999999685</c:v>
                </c:pt>
                <c:pt idx="17" formatCode="0.0000">
                  <c:v>0.68760000000000165</c:v>
                </c:pt>
                <c:pt idx="18" formatCode="0.0000">
                  <c:v>4.7214</c:v>
                </c:pt>
                <c:pt idx="19" formatCode="0.0000">
                  <c:v>1.1173999999999842</c:v>
                </c:pt>
                <c:pt idx="20" formatCode="0.0000">
                  <c:v>7.5206</c:v>
                </c:pt>
                <c:pt idx="21" formatCode="0.0000">
                  <c:v>6.0703000000000014</c:v>
                </c:pt>
                <c:pt idx="22" formatCode="0.0000">
                  <c:v>3.4483999999999999</c:v>
                </c:pt>
                <c:pt idx="23" formatCode="0.0000">
                  <c:v>1.6053999999999842</c:v>
                </c:pt>
                <c:pt idx="24" formatCode="0.0000">
                  <c:v>1.6823999999999999</c:v>
                </c:pt>
                <c:pt idx="25" formatCode="0.0000">
                  <c:v>10.540199999999999</c:v>
                </c:pt>
                <c:pt idx="26" formatCode="0.0000">
                  <c:v>15.360800000000006</c:v>
                </c:pt>
                <c:pt idx="27" formatCode="0.0000">
                  <c:v>19.310800000000135</c:v>
                </c:pt>
                <c:pt idx="28" formatCode="0.0000">
                  <c:v>8.4040000000000035</c:v>
                </c:pt>
                <c:pt idx="29" formatCode="0.0000">
                  <c:v>7.3680999999999965</c:v>
                </c:pt>
              </c:numCache>
            </c:numRef>
          </c:val>
          <c:extLst>
            <c:ext xmlns:c16="http://schemas.microsoft.com/office/drawing/2014/chart" uri="{C3380CC4-5D6E-409C-BE32-E72D297353CC}">
              <c16:uniqueId val="{00000000-683D-49C8-8715-190EB769721C}"/>
            </c:ext>
          </c:extLst>
        </c:ser>
        <c:dLbls>
          <c:showLegendKey val="0"/>
          <c:showVal val="0"/>
          <c:showCatName val="0"/>
          <c:showSerName val="0"/>
          <c:showPercent val="0"/>
          <c:showBubbleSize val="0"/>
        </c:dLbls>
        <c:gapWidth val="150"/>
        <c:axId val="236118400"/>
        <c:axId val="236121472"/>
      </c:barChart>
      <c:catAx>
        <c:axId val="236118400"/>
        <c:scaling>
          <c:orientation val="minMax"/>
        </c:scaling>
        <c:delete val="0"/>
        <c:axPos val="b"/>
        <c:numFmt formatCode="General" sourceLinked="0"/>
        <c:majorTickMark val="out"/>
        <c:minorTickMark val="none"/>
        <c:tickLblPos val="nextTo"/>
        <c:txPr>
          <a:bodyPr/>
          <a:lstStyle/>
          <a:p>
            <a:pPr>
              <a:defRPr lang="en-US"/>
            </a:pPr>
            <a:endParaRPr lang="en-US"/>
          </a:p>
        </c:txPr>
        <c:crossAx val="236121472"/>
        <c:crosses val="autoZero"/>
        <c:auto val="1"/>
        <c:lblAlgn val="ctr"/>
        <c:lblOffset val="100"/>
        <c:noMultiLvlLbl val="0"/>
      </c:catAx>
      <c:valAx>
        <c:axId val="236121472"/>
        <c:scaling>
          <c:orientation val="minMax"/>
        </c:scaling>
        <c:delete val="0"/>
        <c:axPos val="l"/>
        <c:majorGridlines/>
        <c:numFmt formatCode="General" sourceLinked="1"/>
        <c:majorTickMark val="out"/>
        <c:minorTickMark val="none"/>
        <c:tickLblPos val="nextTo"/>
        <c:txPr>
          <a:bodyPr/>
          <a:lstStyle/>
          <a:p>
            <a:pPr>
              <a:defRPr lang="en-US"/>
            </a:pPr>
            <a:endParaRPr lang="en-US"/>
          </a:p>
        </c:txPr>
        <c:crossAx val="236118400"/>
        <c:crosses val="autoZero"/>
        <c:crossBetween val="between"/>
      </c:valAx>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Sheet2!$B$1</c:f>
              <c:strCache>
                <c:ptCount val="1"/>
                <c:pt idx="0">
                  <c:v>Male</c:v>
                </c:pt>
              </c:strCache>
            </c:strRef>
          </c:tx>
          <c:invertIfNegative val="0"/>
          <c:cat>
            <c:strRef>
              <c:f>Sheet2!$A$2:$A$6</c:f>
              <c:strCache>
                <c:ptCount val="5"/>
                <c:pt idx="0">
                  <c:v>1 - 5years</c:v>
                </c:pt>
                <c:pt idx="1">
                  <c:v>6 - 10years</c:v>
                </c:pt>
                <c:pt idx="2">
                  <c:v>11 - 15years</c:v>
                </c:pt>
                <c:pt idx="3">
                  <c:v>16 - 20years</c:v>
                </c:pt>
                <c:pt idx="4">
                  <c:v>21+years</c:v>
                </c:pt>
              </c:strCache>
            </c:strRef>
          </c:cat>
          <c:val>
            <c:numRef>
              <c:f>Sheet2!$B$2:$B$6</c:f>
              <c:numCache>
                <c:formatCode>General</c:formatCode>
                <c:ptCount val="5"/>
                <c:pt idx="0">
                  <c:v>26</c:v>
                </c:pt>
                <c:pt idx="1">
                  <c:v>16</c:v>
                </c:pt>
                <c:pt idx="2">
                  <c:v>10</c:v>
                </c:pt>
                <c:pt idx="3">
                  <c:v>2</c:v>
                </c:pt>
                <c:pt idx="4">
                  <c:v>2</c:v>
                </c:pt>
              </c:numCache>
            </c:numRef>
          </c:val>
          <c:extLst>
            <c:ext xmlns:c16="http://schemas.microsoft.com/office/drawing/2014/chart" uri="{C3380CC4-5D6E-409C-BE32-E72D297353CC}">
              <c16:uniqueId val="{00000000-B6D1-4CDB-8476-9C7AB2ADDE84}"/>
            </c:ext>
          </c:extLst>
        </c:ser>
        <c:ser>
          <c:idx val="1"/>
          <c:order val="1"/>
          <c:tx>
            <c:strRef>
              <c:f>Sheet2!$C$1</c:f>
              <c:strCache>
                <c:ptCount val="1"/>
                <c:pt idx="0">
                  <c:v>Female</c:v>
                </c:pt>
              </c:strCache>
            </c:strRef>
          </c:tx>
          <c:invertIfNegative val="0"/>
          <c:cat>
            <c:strRef>
              <c:f>Sheet2!$A$2:$A$6</c:f>
              <c:strCache>
                <c:ptCount val="5"/>
                <c:pt idx="0">
                  <c:v>1 - 5years</c:v>
                </c:pt>
                <c:pt idx="1">
                  <c:v>6 - 10years</c:v>
                </c:pt>
                <c:pt idx="2">
                  <c:v>11 - 15years</c:v>
                </c:pt>
                <c:pt idx="3">
                  <c:v>16 - 20years</c:v>
                </c:pt>
                <c:pt idx="4">
                  <c:v>21+years</c:v>
                </c:pt>
              </c:strCache>
            </c:strRef>
          </c:cat>
          <c:val>
            <c:numRef>
              <c:f>Sheet2!$C$2:$C$6</c:f>
              <c:numCache>
                <c:formatCode>General</c:formatCode>
                <c:ptCount val="5"/>
                <c:pt idx="0">
                  <c:v>8</c:v>
                </c:pt>
                <c:pt idx="1">
                  <c:v>12</c:v>
                </c:pt>
                <c:pt idx="2">
                  <c:v>4</c:v>
                </c:pt>
                <c:pt idx="3">
                  <c:v>0</c:v>
                </c:pt>
                <c:pt idx="4">
                  <c:v>0</c:v>
                </c:pt>
              </c:numCache>
            </c:numRef>
          </c:val>
          <c:extLst>
            <c:ext xmlns:c16="http://schemas.microsoft.com/office/drawing/2014/chart" uri="{C3380CC4-5D6E-409C-BE32-E72D297353CC}">
              <c16:uniqueId val="{00000001-B6D1-4CDB-8476-9C7AB2ADDE84}"/>
            </c:ext>
          </c:extLst>
        </c:ser>
        <c:dLbls>
          <c:showLegendKey val="0"/>
          <c:showVal val="0"/>
          <c:showCatName val="0"/>
          <c:showSerName val="0"/>
          <c:showPercent val="0"/>
          <c:showBubbleSize val="0"/>
        </c:dLbls>
        <c:gapWidth val="150"/>
        <c:axId val="187544320"/>
        <c:axId val="187545856"/>
      </c:barChart>
      <c:catAx>
        <c:axId val="187544320"/>
        <c:scaling>
          <c:orientation val="minMax"/>
        </c:scaling>
        <c:delete val="0"/>
        <c:axPos val="b"/>
        <c:numFmt formatCode="General" sourceLinked="1"/>
        <c:majorTickMark val="none"/>
        <c:minorTickMark val="none"/>
        <c:tickLblPos val="nextTo"/>
        <c:txPr>
          <a:bodyPr/>
          <a:lstStyle/>
          <a:p>
            <a:pPr>
              <a:defRPr lang="en-GB"/>
            </a:pPr>
            <a:endParaRPr lang="en-US"/>
          </a:p>
        </c:txPr>
        <c:crossAx val="187545856"/>
        <c:crosses val="autoZero"/>
        <c:auto val="1"/>
        <c:lblAlgn val="ctr"/>
        <c:lblOffset val="100"/>
        <c:noMultiLvlLbl val="0"/>
      </c:catAx>
      <c:valAx>
        <c:axId val="187545856"/>
        <c:scaling>
          <c:orientation val="minMax"/>
        </c:scaling>
        <c:delete val="0"/>
        <c:axPos val="l"/>
        <c:majorGridlines/>
        <c:title>
          <c:tx>
            <c:rich>
              <a:bodyPr/>
              <a:lstStyle/>
              <a:p>
                <a:pPr>
                  <a:defRPr lang="en-GB"/>
                </a:pPr>
                <a:r>
                  <a:rPr lang="en-US"/>
                  <a:t>Years</a:t>
                </a:r>
              </a:p>
            </c:rich>
          </c:tx>
          <c:overlay val="0"/>
        </c:title>
        <c:numFmt formatCode="General" sourceLinked="1"/>
        <c:majorTickMark val="none"/>
        <c:minorTickMark val="none"/>
        <c:tickLblPos val="nextTo"/>
        <c:txPr>
          <a:bodyPr/>
          <a:lstStyle/>
          <a:p>
            <a:pPr>
              <a:defRPr lang="en-GB"/>
            </a:pPr>
            <a:endParaRPr lang="en-US"/>
          </a:p>
        </c:txPr>
        <c:crossAx val="187544320"/>
        <c:crosses val="autoZero"/>
        <c:crossBetween val="between"/>
      </c:valAx>
      <c:dTable>
        <c:showHorzBorder val="1"/>
        <c:showVertBorder val="1"/>
        <c:showOutline val="1"/>
        <c:showKeys val="1"/>
        <c:txPr>
          <a:bodyPr/>
          <a:lstStyle/>
          <a:p>
            <a:pPr rtl="0">
              <a:defRPr lang="en-GB"/>
            </a:pPr>
            <a:endParaRPr lang="en-US"/>
          </a:p>
        </c:txPr>
      </c:dTable>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Sheet13!$B$1</c:f>
              <c:strCache>
                <c:ptCount val="1"/>
                <c:pt idx="0">
                  <c:v>Response</c:v>
                </c:pt>
              </c:strCache>
            </c:strRef>
          </c:tx>
          <c:dLbls>
            <c:spPr>
              <a:noFill/>
              <a:ln>
                <a:noFill/>
              </a:ln>
              <a:effectLst/>
            </c:spPr>
            <c:txPr>
              <a:bodyPr/>
              <a:lstStyle/>
              <a:p>
                <a:pPr>
                  <a:defRPr lang="en-US"/>
                </a:pPr>
                <a:endParaRPr lang="en-US"/>
              </a:p>
            </c:txPr>
            <c:showLegendKey val="0"/>
            <c:showVal val="1"/>
            <c:showCatName val="1"/>
            <c:showSerName val="0"/>
            <c:showPercent val="0"/>
            <c:showBubbleSize val="0"/>
            <c:showLeaderLines val="0"/>
            <c:extLst>
              <c:ext xmlns:c15="http://schemas.microsoft.com/office/drawing/2012/chart" uri="{CE6537A1-D6FC-4f65-9D91-7224C49458BB}"/>
            </c:extLst>
          </c:dLbls>
          <c:cat>
            <c:strRef>
              <c:f>Sheet13!$A$2:$A$4</c:f>
              <c:strCache>
                <c:ptCount val="3"/>
                <c:pt idx="0">
                  <c:v>Yes</c:v>
                </c:pt>
                <c:pt idx="1">
                  <c:v>No</c:v>
                </c:pt>
                <c:pt idx="2">
                  <c:v>Undecided</c:v>
                </c:pt>
              </c:strCache>
            </c:strRef>
          </c:cat>
          <c:val>
            <c:numRef>
              <c:f>Sheet13!$B$2:$B$4</c:f>
              <c:numCache>
                <c:formatCode>0%</c:formatCode>
                <c:ptCount val="3"/>
                <c:pt idx="0">
                  <c:v>0.75000000000000722</c:v>
                </c:pt>
                <c:pt idx="1">
                  <c:v>0.15000000000000024</c:v>
                </c:pt>
                <c:pt idx="2">
                  <c:v>0.1</c:v>
                </c:pt>
              </c:numCache>
            </c:numRef>
          </c:val>
          <c:extLst>
            <c:ext xmlns:c16="http://schemas.microsoft.com/office/drawing/2014/chart" uri="{C3380CC4-5D6E-409C-BE32-E72D297353CC}">
              <c16:uniqueId val="{00000000-B7BE-4D14-9915-8FCE496AECE4}"/>
            </c:ext>
          </c:extLst>
        </c:ser>
        <c:dLbls>
          <c:showLegendKey val="0"/>
          <c:showVal val="1"/>
          <c:showCatName val="1"/>
          <c:showSerName val="0"/>
          <c:showPercent val="0"/>
          <c:showBubbleSize val="0"/>
          <c:showLeaderLines val="0"/>
        </c:dLbls>
      </c:pie3DChart>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Sheet3!$B$1</c:f>
              <c:strCache>
                <c:ptCount val="1"/>
                <c:pt idx="0">
                  <c:v>Staff ability to resolve problems</c:v>
                </c:pt>
              </c:strCache>
            </c:strRef>
          </c:tx>
          <c:invertIfNegative val="0"/>
          <c:cat>
            <c:strRef>
              <c:f>Sheet3!$A$2:$A$6</c:f>
              <c:strCache>
                <c:ptCount val="5"/>
                <c:pt idx="0">
                  <c:v>Excellent</c:v>
                </c:pt>
                <c:pt idx="1">
                  <c:v>Very good</c:v>
                </c:pt>
                <c:pt idx="2">
                  <c:v>Good</c:v>
                </c:pt>
                <c:pt idx="3">
                  <c:v>Fair</c:v>
                </c:pt>
                <c:pt idx="4">
                  <c:v>Poor</c:v>
                </c:pt>
              </c:strCache>
            </c:strRef>
          </c:cat>
          <c:val>
            <c:numRef>
              <c:f>Sheet3!$B$2:$B$6</c:f>
              <c:numCache>
                <c:formatCode>General</c:formatCode>
                <c:ptCount val="5"/>
                <c:pt idx="0">
                  <c:v>12</c:v>
                </c:pt>
                <c:pt idx="1">
                  <c:v>18</c:v>
                </c:pt>
                <c:pt idx="2">
                  <c:v>22</c:v>
                </c:pt>
                <c:pt idx="3">
                  <c:v>24</c:v>
                </c:pt>
                <c:pt idx="4">
                  <c:v>4</c:v>
                </c:pt>
              </c:numCache>
            </c:numRef>
          </c:val>
          <c:extLst>
            <c:ext xmlns:c16="http://schemas.microsoft.com/office/drawing/2014/chart" uri="{C3380CC4-5D6E-409C-BE32-E72D297353CC}">
              <c16:uniqueId val="{00000000-4ED6-4B29-BF64-0FE22CBB5008}"/>
            </c:ext>
          </c:extLst>
        </c:ser>
        <c:ser>
          <c:idx val="1"/>
          <c:order val="1"/>
          <c:tx>
            <c:strRef>
              <c:f>Sheet3!$C$1</c:f>
              <c:strCache>
                <c:ptCount val="1"/>
                <c:pt idx="0">
                  <c:v>Privacy of customers</c:v>
                </c:pt>
              </c:strCache>
            </c:strRef>
          </c:tx>
          <c:invertIfNegative val="0"/>
          <c:cat>
            <c:strRef>
              <c:f>Sheet3!$A$2:$A$6</c:f>
              <c:strCache>
                <c:ptCount val="5"/>
                <c:pt idx="0">
                  <c:v>Excellent</c:v>
                </c:pt>
                <c:pt idx="1">
                  <c:v>Very good</c:v>
                </c:pt>
                <c:pt idx="2">
                  <c:v>Good</c:v>
                </c:pt>
                <c:pt idx="3">
                  <c:v>Fair</c:v>
                </c:pt>
                <c:pt idx="4">
                  <c:v>Poor</c:v>
                </c:pt>
              </c:strCache>
            </c:strRef>
          </c:cat>
          <c:val>
            <c:numRef>
              <c:f>Sheet3!$C$2:$C$6</c:f>
              <c:numCache>
                <c:formatCode>General</c:formatCode>
                <c:ptCount val="5"/>
                <c:pt idx="0">
                  <c:v>20</c:v>
                </c:pt>
                <c:pt idx="1">
                  <c:v>20</c:v>
                </c:pt>
                <c:pt idx="2">
                  <c:v>18</c:v>
                </c:pt>
                <c:pt idx="3">
                  <c:v>14</c:v>
                </c:pt>
                <c:pt idx="4">
                  <c:v>8</c:v>
                </c:pt>
              </c:numCache>
            </c:numRef>
          </c:val>
          <c:extLst>
            <c:ext xmlns:c16="http://schemas.microsoft.com/office/drawing/2014/chart" uri="{C3380CC4-5D6E-409C-BE32-E72D297353CC}">
              <c16:uniqueId val="{00000001-4ED6-4B29-BF64-0FE22CBB5008}"/>
            </c:ext>
          </c:extLst>
        </c:ser>
        <c:ser>
          <c:idx val="2"/>
          <c:order val="2"/>
          <c:tx>
            <c:strRef>
              <c:f>Sheet3!$D$1</c:f>
              <c:strCache>
                <c:ptCount val="1"/>
                <c:pt idx="0">
                  <c:v>Quick and efficient service</c:v>
                </c:pt>
              </c:strCache>
            </c:strRef>
          </c:tx>
          <c:invertIfNegative val="0"/>
          <c:cat>
            <c:strRef>
              <c:f>Sheet3!$A$2:$A$6</c:f>
              <c:strCache>
                <c:ptCount val="5"/>
                <c:pt idx="0">
                  <c:v>Excellent</c:v>
                </c:pt>
                <c:pt idx="1">
                  <c:v>Very good</c:v>
                </c:pt>
                <c:pt idx="2">
                  <c:v>Good</c:v>
                </c:pt>
                <c:pt idx="3">
                  <c:v>Fair</c:v>
                </c:pt>
                <c:pt idx="4">
                  <c:v>Poor</c:v>
                </c:pt>
              </c:strCache>
            </c:strRef>
          </c:cat>
          <c:val>
            <c:numRef>
              <c:f>Sheet3!$D$2:$D$6</c:f>
              <c:numCache>
                <c:formatCode>General</c:formatCode>
                <c:ptCount val="5"/>
                <c:pt idx="0">
                  <c:v>18</c:v>
                </c:pt>
                <c:pt idx="1">
                  <c:v>14</c:v>
                </c:pt>
                <c:pt idx="2">
                  <c:v>22</c:v>
                </c:pt>
                <c:pt idx="3">
                  <c:v>24</c:v>
                </c:pt>
                <c:pt idx="4">
                  <c:v>2</c:v>
                </c:pt>
              </c:numCache>
            </c:numRef>
          </c:val>
          <c:extLst>
            <c:ext xmlns:c16="http://schemas.microsoft.com/office/drawing/2014/chart" uri="{C3380CC4-5D6E-409C-BE32-E72D297353CC}">
              <c16:uniqueId val="{00000002-4ED6-4B29-BF64-0FE22CBB5008}"/>
            </c:ext>
          </c:extLst>
        </c:ser>
        <c:dLbls>
          <c:showLegendKey val="0"/>
          <c:showVal val="0"/>
          <c:showCatName val="0"/>
          <c:showSerName val="0"/>
          <c:showPercent val="0"/>
          <c:showBubbleSize val="0"/>
        </c:dLbls>
        <c:gapWidth val="150"/>
        <c:axId val="195893120"/>
        <c:axId val="195894656"/>
      </c:barChart>
      <c:catAx>
        <c:axId val="195893120"/>
        <c:scaling>
          <c:orientation val="minMax"/>
        </c:scaling>
        <c:delete val="0"/>
        <c:axPos val="b"/>
        <c:numFmt formatCode="General" sourceLinked="1"/>
        <c:majorTickMark val="none"/>
        <c:minorTickMark val="none"/>
        <c:tickLblPos val="nextTo"/>
        <c:txPr>
          <a:bodyPr/>
          <a:lstStyle/>
          <a:p>
            <a:pPr>
              <a:defRPr lang="en-GB"/>
            </a:pPr>
            <a:endParaRPr lang="en-US"/>
          </a:p>
        </c:txPr>
        <c:crossAx val="195894656"/>
        <c:crosses val="autoZero"/>
        <c:auto val="1"/>
        <c:lblAlgn val="ctr"/>
        <c:lblOffset val="100"/>
        <c:noMultiLvlLbl val="0"/>
      </c:catAx>
      <c:valAx>
        <c:axId val="195894656"/>
        <c:scaling>
          <c:orientation val="minMax"/>
        </c:scaling>
        <c:delete val="0"/>
        <c:axPos val="l"/>
        <c:majorGridlines/>
        <c:numFmt formatCode="General" sourceLinked="1"/>
        <c:majorTickMark val="none"/>
        <c:minorTickMark val="none"/>
        <c:tickLblPos val="nextTo"/>
        <c:txPr>
          <a:bodyPr/>
          <a:lstStyle/>
          <a:p>
            <a:pPr>
              <a:defRPr lang="en-GB"/>
            </a:pPr>
            <a:endParaRPr lang="en-US"/>
          </a:p>
        </c:txPr>
        <c:crossAx val="195893120"/>
        <c:crosses val="autoZero"/>
        <c:crossBetween val="between"/>
      </c:valAx>
      <c:dTable>
        <c:showHorzBorder val="1"/>
        <c:showVertBorder val="1"/>
        <c:showOutline val="1"/>
        <c:showKeys val="1"/>
        <c:txPr>
          <a:bodyPr/>
          <a:lstStyle/>
          <a:p>
            <a:pPr rtl="0">
              <a:defRPr lang="en-GB"/>
            </a:pPr>
            <a:endParaRPr lang="en-US"/>
          </a:p>
        </c:txPr>
      </c:dTable>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Sheet4!$B$1</c:f>
              <c:strCache>
                <c:ptCount val="1"/>
                <c:pt idx="0">
                  <c:v>Management</c:v>
                </c:pt>
              </c:strCache>
            </c:strRef>
          </c:tx>
          <c:marker>
            <c:symbol val="none"/>
          </c:marker>
          <c:cat>
            <c:strRef>
              <c:f>Sheet4!$A$2:$A$4</c:f>
              <c:strCache>
                <c:ptCount val="3"/>
                <c:pt idx="0">
                  <c:v>Complaint system exist</c:v>
                </c:pt>
                <c:pt idx="1">
                  <c:v>Complaint system does not exist</c:v>
                </c:pt>
                <c:pt idx="2">
                  <c:v>Not aware of complaint system </c:v>
                </c:pt>
              </c:strCache>
            </c:strRef>
          </c:cat>
          <c:val>
            <c:numRef>
              <c:f>Sheet4!$B$2:$B$4</c:f>
              <c:numCache>
                <c:formatCode>General</c:formatCode>
                <c:ptCount val="3"/>
                <c:pt idx="0">
                  <c:v>20</c:v>
                </c:pt>
                <c:pt idx="1">
                  <c:v>0</c:v>
                </c:pt>
                <c:pt idx="2">
                  <c:v>0</c:v>
                </c:pt>
              </c:numCache>
            </c:numRef>
          </c:val>
          <c:smooth val="0"/>
          <c:extLst>
            <c:ext xmlns:c16="http://schemas.microsoft.com/office/drawing/2014/chart" uri="{C3380CC4-5D6E-409C-BE32-E72D297353CC}">
              <c16:uniqueId val="{00000000-3C9A-48AD-B303-24B86C593773}"/>
            </c:ext>
          </c:extLst>
        </c:ser>
        <c:ser>
          <c:idx val="1"/>
          <c:order val="1"/>
          <c:tx>
            <c:strRef>
              <c:f>Sheet4!$C$1</c:f>
              <c:strCache>
                <c:ptCount val="1"/>
                <c:pt idx="0">
                  <c:v>Customers</c:v>
                </c:pt>
              </c:strCache>
            </c:strRef>
          </c:tx>
          <c:marker>
            <c:symbol val="none"/>
          </c:marker>
          <c:cat>
            <c:strRef>
              <c:f>Sheet4!$A$2:$A$4</c:f>
              <c:strCache>
                <c:ptCount val="3"/>
                <c:pt idx="0">
                  <c:v>Complaint system exist</c:v>
                </c:pt>
                <c:pt idx="1">
                  <c:v>Complaint system does not exist</c:v>
                </c:pt>
                <c:pt idx="2">
                  <c:v>Not aware of complaint system </c:v>
                </c:pt>
              </c:strCache>
            </c:strRef>
          </c:cat>
          <c:val>
            <c:numRef>
              <c:f>Sheet4!$C$2:$C$4</c:f>
              <c:numCache>
                <c:formatCode>General</c:formatCode>
                <c:ptCount val="3"/>
                <c:pt idx="0">
                  <c:v>74</c:v>
                </c:pt>
                <c:pt idx="1">
                  <c:v>0</c:v>
                </c:pt>
                <c:pt idx="2">
                  <c:v>4</c:v>
                </c:pt>
              </c:numCache>
            </c:numRef>
          </c:val>
          <c:smooth val="0"/>
          <c:extLst>
            <c:ext xmlns:c16="http://schemas.microsoft.com/office/drawing/2014/chart" uri="{C3380CC4-5D6E-409C-BE32-E72D297353CC}">
              <c16:uniqueId val="{00000001-3C9A-48AD-B303-24B86C593773}"/>
            </c:ext>
          </c:extLst>
        </c:ser>
        <c:dLbls>
          <c:showLegendKey val="0"/>
          <c:showVal val="0"/>
          <c:showCatName val="0"/>
          <c:showSerName val="0"/>
          <c:showPercent val="0"/>
          <c:showBubbleSize val="0"/>
        </c:dLbls>
        <c:smooth val="0"/>
        <c:axId val="195912448"/>
        <c:axId val="195913984"/>
      </c:lineChart>
      <c:catAx>
        <c:axId val="195912448"/>
        <c:scaling>
          <c:orientation val="minMax"/>
        </c:scaling>
        <c:delete val="0"/>
        <c:axPos val="b"/>
        <c:numFmt formatCode="General" sourceLinked="1"/>
        <c:majorTickMark val="none"/>
        <c:minorTickMark val="none"/>
        <c:tickLblPos val="nextTo"/>
        <c:txPr>
          <a:bodyPr/>
          <a:lstStyle/>
          <a:p>
            <a:pPr>
              <a:defRPr lang="en-GB"/>
            </a:pPr>
            <a:endParaRPr lang="en-US"/>
          </a:p>
        </c:txPr>
        <c:crossAx val="195913984"/>
        <c:crosses val="autoZero"/>
        <c:auto val="1"/>
        <c:lblAlgn val="ctr"/>
        <c:lblOffset val="100"/>
        <c:noMultiLvlLbl val="0"/>
      </c:catAx>
      <c:valAx>
        <c:axId val="195913984"/>
        <c:scaling>
          <c:orientation val="minMax"/>
        </c:scaling>
        <c:delete val="0"/>
        <c:axPos val="l"/>
        <c:majorGridlines/>
        <c:numFmt formatCode="General" sourceLinked="1"/>
        <c:majorTickMark val="none"/>
        <c:minorTickMark val="none"/>
        <c:tickLblPos val="nextTo"/>
        <c:txPr>
          <a:bodyPr/>
          <a:lstStyle/>
          <a:p>
            <a:pPr>
              <a:defRPr lang="en-GB"/>
            </a:pPr>
            <a:endParaRPr lang="en-US"/>
          </a:p>
        </c:txPr>
        <c:crossAx val="195912448"/>
        <c:crosses val="autoZero"/>
        <c:crossBetween val="between"/>
      </c:valAx>
      <c:dTable>
        <c:showHorzBorder val="1"/>
        <c:showVertBorder val="1"/>
        <c:showOutline val="1"/>
        <c:showKeys val="1"/>
        <c:txPr>
          <a:bodyPr/>
          <a:lstStyle/>
          <a:p>
            <a:pPr rtl="0">
              <a:defRPr lang="en-GB"/>
            </a:pPr>
            <a:endParaRPr lang="en-US"/>
          </a:p>
        </c:txPr>
      </c:dTable>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Sheet5!$B$1</c:f>
              <c:strCache>
                <c:ptCount val="1"/>
                <c:pt idx="0">
                  <c:v>Management</c:v>
                </c:pt>
              </c:strCache>
            </c:strRef>
          </c:tx>
          <c:invertIfNegative val="0"/>
          <c:cat>
            <c:strRef>
              <c:f>Sheet5!$A$2:$A$7</c:f>
              <c:strCache>
                <c:ptCount val="6"/>
                <c:pt idx="0">
                  <c:v>Rude attitude of Tellers</c:v>
                </c:pt>
                <c:pt idx="1">
                  <c:v>Long waiting time at peak times</c:v>
                </c:pt>
                <c:pt idx="2">
                  <c:v>Delay in resolving complaints</c:v>
                </c:pt>
                <c:pt idx="3">
                  <c:v>Bureaucratic procedures</c:v>
                </c:pt>
                <c:pt idx="4">
                  <c:v>Lack of parking space</c:v>
                </c:pt>
                <c:pt idx="5">
                  <c:v>less seats and long standing queues</c:v>
                </c:pt>
              </c:strCache>
            </c:strRef>
          </c:cat>
          <c:val>
            <c:numRef>
              <c:f>Sheet5!$B$2:$B$7</c:f>
              <c:numCache>
                <c:formatCode>General</c:formatCode>
                <c:ptCount val="6"/>
                <c:pt idx="0">
                  <c:v>8</c:v>
                </c:pt>
                <c:pt idx="1">
                  <c:v>14</c:v>
                </c:pt>
                <c:pt idx="2">
                  <c:v>4</c:v>
                </c:pt>
                <c:pt idx="3">
                  <c:v>9</c:v>
                </c:pt>
                <c:pt idx="4">
                  <c:v>3</c:v>
                </c:pt>
                <c:pt idx="5">
                  <c:v>12</c:v>
                </c:pt>
              </c:numCache>
            </c:numRef>
          </c:val>
          <c:extLst>
            <c:ext xmlns:c16="http://schemas.microsoft.com/office/drawing/2014/chart" uri="{C3380CC4-5D6E-409C-BE32-E72D297353CC}">
              <c16:uniqueId val="{00000000-13D3-4320-982E-A9F96B8DD716}"/>
            </c:ext>
          </c:extLst>
        </c:ser>
        <c:ser>
          <c:idx val="1"/>
          <c:order val="1"/>
          <c:tx>
            <c:strRef>
              <c:f>Sheet5!$C$1</c:f>
              <c:strCache>
                <c:ptCount val="1"/>
                <c:pt idx="0">
                  <c:v>Customers</c:v>
                </c:pt>
              </c:strCache>
            </c:strRef>
          </c:tx>
          <c:invertIfNegative val="0"/>
          <c:cat>
            <c:strRef>
              <c:f>Sheet5!$A$2:$A$7</c:f>
              <c:strCache>
                <c:ptCount val="6"/>
                <c:pt idx="0">
                  <c:v>Rude attitude of Tellers</c:v>
                </c:pt>
                <c:pt idx="1">
                  <c:v>Long waiting time at peak times</c:v>
                </c:pt>
                <c:pt idx="2">
                  <c:v>Delay in resolving complaints</c:v>
                </c:pt>
                <c:pt idx="3">
                  <c:v>Bureaucratic procedures</c:v>
                </c:pt>
                <c:pt idx="4">
                  <c:v>Lack of parking space</c:v>
                </c:pt>
                <c:pt idx="5">
                  <c:v>less seats and long standing queues</c:v>
                </c:pt>
              </c:strCache>
            </c:strRef>
          </c:cat>
          <c:val>
            <c:numRef>
              <c:f>Sheet5!$C$2:$C$7</c:f>
              <c:numCache>
                <c:formatCode>General</c:formatCode>
                <c:ptCount val="6"/>
                <c:pt idx="0">
                  <c:v>17</c:v>
                </c:pt>
                <c:pt idx="1">
                  <c:v>42</c:v>
                </c:pt>
                <c:pt idx="2">
                  <c:v>15</c:v>
                </c:pt>
                <c:pt idx="3">
                  <c:v>38</c:v>
                </c:pt>
                <c:pt idx="4">
                  <c:v>9</c:v>
                </c:pt>
                <c:pt idx="5">
                  <c:v>34</c:v>
                </c:pt>
              </c:numCache>
            </c:numRef>
          </c:val>
          <c:extLst>
            <c:ext xmlns:c16="http://schemas.microsoft.com/office/drawing/2014/chart" uri="{C3380CC4-5D6E-409C-BE32-E72D297353CC}">
              <c16:uniqueId val="{00000001-13D3-4320-982E-A9F96B8DD716}"/>
            </c:ext>
          </c:extLst>
        </c:ser>
        <c:dLbls>
          <c:showLegendKey val="0"/>
          <c:showVal val="0"/>
          <c:showCatName val="0"/>
          <c:showSerName val="0"/>
          <c:showPercent val="0"/>
          <c:showBubbleSize val="0"/>
        </c:dLbls>
        <c:gapWidth val="150"/>
        <c:axId val="195931520"/>
        <c:axId val="195957888"/>
      </c:barChart>
      <c:catAx>
        <c:axId val="195931520"/>
        <c:scaling>
          <c:orientation val="minMax"/>
        </c:scaling>
        <c:delete val="0"/>
        <c:axPos val="b"/>
        <c:numFmt formatCode="General" sourceLinked="1"/>
        <c:majorTickMark val="none"/>
        <c:minorTickMark val="none"/>
        <c:tickLblPos val="nextTo"/>
        <c:txPr>
          <a:bodyPr/>
          <a:lstStyle/>
          <a:p>
            <a:pPr>
              <a:defRPr lang="en-GB"/>
            </a:pPr>
            <a:endParaRPr lang="en-US"/>
          </a:p>
        </c:txPr>
        <c:crossAx val="195957888"/>
        <c:crosses val="autoZero"/>
        <c:auto val="1"/>
        <c:lblAlgn val="ctr"/>
        <c:lblOffset val="100"/>
        <c:noMultiLvlLbl val="0"/>
      </c:catAx>
      <c:valAx>
        <c:axId val="195957888"/>
        <c:scaling>
          <c:orientation val="minMax"/>
        </c:scaling>
        <c:delete val="0"/>
        <c:axPos val="l"/>
        <c:majorGridlines/>
        <c:title>
          <c:tx>
            <c:rich>
              <a:bodyPr/>
              <a:lstStyle/>
              <a:p>
                <a:pPr>
                  <a:defRPr lang="en-GB"/>
                </a:pPr>
                <a:r>
                  <a:rPr lang="en-US"/>
                  <a:t>Rating </a:t>
                </a:r>
              </a:p>
            </c:rich>
          </c:tx>
          <c:overlay val="0"/>
        </c:title>
        <c:numFmt formatCode="General" sourceLinked="1"/>
        <c:majorTickMark val="none"/>
        <c:minorTickMark val="none"/>
        <c:tickLblPos val="nextTo"/>
        <c:txPr>
          <a:bodyPr/>
          <a:lstStyle/>
          <a:p>
            <a:pPr>
              <a:defRPr lang="en-GB"/>
            </a:pPr>
            <a:endParaRPr lang="en-US"/>
          </a:p>
        </c:txPr>
        <c:crossAx val="195931520"/>
        <c:crosses val="autoZero"/>
        <c:crossBetween val="between"/>
      </c:valAx>
      <c:dTable>
        <c:showHorzBorder val="1"/>
        <c:showVertBorder val="1"/>
        <c:showOutline val="1"/>
        <c:showKeys val="1"/>
        <c:txPr>
          <a:bodyPr/>
          <a:lstStyle/>
          <a:p>
            <a:pPr rtl="0">
              <a:defRPr lang="en-GB"/>
            </a:pPr>
            <a:endParaRPr lang="en-US"/>
          </a:p>
        </c:txPr>
      </c:dTable>
    </c:plotArea>
    <c:plotVisOnly val="1"/>
    <c:dispBlanksAs val="gap"/>
    <c:showDLblsOverMax val="0"/>
  </c:chart>
  <c:externalData r:id="rId1">
    <c:autoUpdate val="0"/>
  </c:externalData>
</c:chartSpace>
</file>

<file path=word/drawings/_rels/drawing2.xml.rels><?xml version="1.0" encoding="UTF-8" standalone="yes"?>
<Relationships xmlns="http://schemas.openxmlformats.org/package/2006/relationships"><Relationship Id="rId1" Type="http://schemas.openxmlformats.org/officeDocument/2006/relationships/image" Target="../media/image137.png"/></Relationships>
</file>

<file path=word/drawings/drawing1.xml><?xml version="1.0" encoding="utf-8"?>
<c:userShapes xmlns:c="http://schemas.openxmlformats.org/drawingml/2006/chart">
  <cdr:relSizeAnchor xmlns:cdr="http://schemas.openxmlformats.org/drawingml/2006/chartDrawing">
    <cdr:from>
      <cdr:x>0.10833</cdr:x>
      <cdr:y>0.43056</cdr:y>
    </cdr:from>
    <cdr:to>
      <cdr:x>0.75581</cdr:x>
      <cdr:y>0.43403</cdr:y>
    </cdr:to>
    <cdr:sp macro="" textlink="">
      <cdr:nvSpPr>
        <cdr:cNvPr id="3" name="Straight Connector 2"/>
        <cdr:cNvSpPr/>
      </cdr:nvSpPr>
      <cdr:spPr>
        <a:xfrm xmlns:a="http://schemas.openxmlformats.org/drawingml/2006/main">
          <a:off x="443706" y="1181100"/>
          <a:ext cx="2651919" cy="9525"/>
        </a:xfrm>
        <a:prstGeom xmlns:a="http://schemas.openxmlformats.org/drawingml/2006/main" prst="line">
          <a:avLst/>
        </a:prstGeom>
        <a:ln xmlns:a="http://schemas.openxmlformats.org/drawingml/2006/main" w="3175">
          <a:solidFill>
            <a:sysClr val="windowText" lastClr="000000"/>
          </a:solidFill>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0.7546</cdr:x>
      <cdr:y>0.40278</cdr:y>
    </cdr:from>
    <cdr:to>
      <cdr:x>0.90465</cdr:x>
      <cdr:y>0.46528</cdr:y>
    </cdr:to>
    <cdr:sp macro="" textlink="">
      <cdr:nvSpPr>
        <cdr:cNvPr id="4" name="TextBox 3"/>
        <cdr:cNvSpPr txBox="1"/>
      </cdr:nvSpPr>
      <cdr:spPr>
        <a:xfrm xmlns:a="http://schemas.openxmlformats.org/drawingml/2006/main">
          <a:off x="3090663" y="1104901"/>
          <a:ext cx="614561"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WHO LL</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0.00674</cdr:x>
      <cdr:y>0.00924</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dr:relSizeAnchor xmlns:cdr="http://schemas.openxmlformats.org/drawingml/2006/chartDrawing">
    <cdr:from>
      <cdr:x>0.83857</cdr:x>
      <cdr:y>0.61733</cdr:y>
    </cdr:from>
    <cdr:to>
      <cdr:x>0.97852</cdr:x>
      <cdr:y>0.69314</cdr:y>
    </cdr:to>
    <cdr:sp macro="" textlink="">
      <cdr:nvSpPr>
        <cdr:cNvPr id="3" name="TextBox 2"/>
        <cdr:cNvSpPr txBox="1"/>
      </cdr:nvSpPr>
      <cdr:spPr>
        <a:xfrm xmlns:a="http://schemas.openxmlformats.org/drawingml/2006/main">
          <a:off x="3258861" y="1628775"/>
          <a:ext cx="54387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WHO</a:t>
          </a:r>
        </a:p>
      </cdr:txBody>
    </cdr:sp>
  </cdr:relSizeAnchor>
</c:userShapes>
</file>

<file path=word/drawings/drawing3.xml><?xml version="1.0" encoding="utf-8"?>
<c:userShapes xmlns:c="http://schemas.openxmlformats.org/drawingml/2006/chart">
  <cdr:relSizeAnchor xmlns:cdr="http://schemas.openxmlformats.org/drawingml/2006/chartDrawing">
    <cdr:from>
      <cdr:x>0.13055</cdr:x>
      <cdr:y>0.63542</cdr:y>
    </cdr:from>
    <cdr:to>
      <cdr:x>0.81201</cdr:x>
      <cdr:y>0.64236</cdr:y>
    </cdr:to>
    <cdr:sp macro="" textlink="">
      <cdr:nvSpPr>
        <cdr:cNvPr id="3" name="Straight Connector 2"/>
        <cdr:cNvSpPr/>
      </cdr:nvSpPr>
      <cdr:spPr>
        <a:xfrm xmlns:a="http://schemas.openxmlformats.org/drawingml/2006/main">
          <a:off x="476250" y="1743074"/>
          <a:ext cx="2486025" cy="19050"/>
        </a:xfrm>
        <a:prstGeom xmlns:a="http://schemas.openxmlformats.org/drawingml/2006/main" prst="line">
          <a:avLst/>
        </a:prstGeom>
        <a:ln xmlns:a="http://schemas.openxmlformats.org/drawingml/2006/main" w="3175">
          <a:solidFill>
            <a:sysClr val="windowText" lastClr="000000"/>
          </a:solidFill>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0.79634</cdr:x>
      <cdr:y>0.61458</cdr:y>
    </cdr:from>
    <cdr:to>
      <cdr:x>0.93734</cdr:x>
      <cdr:y>0.70139</cdr:y>
    </cdr:to>
    <cdr:sp macro="" textlink="">
      <cdr:nvSpPr>
        <cdr:cNvPr id="4" name="TextBox 3"/>
        <cdr:cNvSpPr txBox="1"/>
      </cdr:nvSpPr>
      <cdr:spPr>
        <a:xfrm xmlns:a="http://schemas.openxmlformats.org/drawingml/2006/main">
          <a:off x="2905125" y="1685925"/>
          <a:ext cx="51435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WHO</a:t>
          </a:r>
        </a:p>
      </cdr:txBody>
    </cdr:sp>
  </cdr:relSizeAnchor>
</c:userShapes>
</file>

<file path=word/drawings/drawing4.xml><?xml version="1.0" encoding="utf-8"?>
<c:userShapes xmlns:c="http://schemas.openxmlformats.org/drawingml/2006/chart">
  <cdr:relSizeAnchor xmlns:cdr="http://schemas.openxmlformats.org/drawingml/2006/chartDrawing">
    <cdr:from>
      <cdr:x>0.13111</cdr:x>
      <cdr:y>0.76667</cdr:y>
    </cdr:from>
    <cdr:to>
      <cdr:x>0.83945</cdr:x>
      <cdr:y>0.77041</cdr:y>
    </cdr:to>
    <cdr:sp macro="" textlink="">
      <cdr:nvSpPr>
        <cdr:cNvPr id="3" name="Straight Connector 2"/>
        <cdr:cNvSpPr/>
      </cdr:nvSpPr>
      <cdr:spPr>
        <a:xfrm xmlns:a="http://schemas.openxmlformats.org/drawingml/2006/main" flipV="1">
          <a:off x="374696" y="1644611"/>
          <a:ext cx="2024367" cy="8022"/>
        </a:xfrm>
        <a:prstGeom xmlns:a="http://schemas.openxmlformats.org/drawingml/2006/main" prst="line">
          <a:avLst/>
        </a:prstGeom>
        <a:ln xmlns:a="http://schemas.openxmlformats.org/drawingml/2006/main" w="3175">
          <a:solidFill>
            <a:sysClr val="windowText" lastClr="000000"/>
          </a:solidFill>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0.83056</cdr:x>
      <cdr:y>0.69403</cdr:y>
    </cdr:from>
    <cdr:to>
      <cdr:x>0.98333</cdr:x>
      <cdr:y>0.75746</cdr:y>
    </cdr:to>
    <cdr:sp macro="" textlink="">
      <cdr:nvSpPr>
        <cdr:cNvPr id="4" name="TextBox 3"/>
        <cdr:cNvSpPr txBox="1"/>
      </cdr:nvSpPr>
      <cdr:spPr>
        <a:xfrm xmlns:a="http://schemas.openxmlformats.org/drawingml/2006/main">
          <a:off x="2847974" y="1771650"/>
          <a:ext cx="523875" cy="16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WHO</a:t>
          </a:r>
        </a:p>
      </cdr:txBody>
    </cdr:sp>
  </cdr:relSizeAnchor>
</c:userShapes>
</file>

<file path=word/drawings/drawing5.xml><?xml version="1.0" encoding="utf-8"?>
<c:userShapes xmlns:c="http://schemas.openxmlformats.org/drawingml/2006/chart">
  <cdr:relSizeAnchor xmlns:cdr="http://schemas.openxmlformats.org/drawingml/2006/chartDrawing">
    <cdr:from>
      <cdr:x>0.14721</cdr:x>
      <cdr:y>0.82292</cdr:y>
    </cdr:from>
    <cdr:to>
      <cdr:x>0.84772</cdr:x>
      <cdr:y>0.82639</cdr:y>
    </cdr:to>
    <cdr:sp macro="" textlink="">
      <cdr:nvSpPr>
        <cdr:cNvPr id="3" name="Straight Connector 2"/>
        <cdr:cNvSpPr/>
      </cdr:nvSpPr>
      <cdr:spPr>
        <a:xfrm xmlns:a="http://schemas.openxmlformats.org/drawingml/2006/main">
          <a:off x="552451" y="2257424"/>
          <a:ext cx="2628900" cy="9526"/>
        </a:xfrm>
        <a:prstGeom xmlns:a="http://schemas.openxmlformats.org/drawingml/2006/main" prst="line">
          <a:avLst/>
        </a:prstGeom>
        <a:ln xmlns:a="http://schemas.openxmlformats.org/drawingml/2006/main" w="3175">
          <a:solidFill>
            <a:sysClr val="windowText" lastClr="000000"/>
          </a:solidFill>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0.83756</cdr:x>
      <cdr:y>0.80208</cdr:y>
    </cdr:from>
    <cdr:to>
      <cdr:x>1</cdr:x>
      <cdr:y>0.88722</cdr:y>
    </cdr:to>
    <cdr:sp macro="" textlink="">
      <cdr:nvSpPr>
        <cdr:cNvPr id="4" name="TextBox 3"/>
        <cdr:cNvSpPr txBox="1"/>
      </cdr:nvSpPr>
      <cdr:spPr>
        <a:xfrm xmlns:a="http://schemas.openxmlformats.org/drawingml/2006/main">
          <a:off x="2520972" y="2032189"/>
          <a:ext cx="488928" cy="2157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WHO</a:t>
          </a:r>
        </a:p>
      </cdr:txBody>
    </cdr:sp>
  </cdr:relSizeAnchor>
</c:userShapes>
</file>

<file path=word/drawings/drawing6.xml><?xml version="1.0" encoding="utf-8"?>
<c:userShapes xmlns:c="http://schemas.openxmlformats.org/drawingml/2006/chart">
  <cdr:relSizeAnchor xmlns:cdr="http://schemas.openxmlformats.org/drawingml/2006/chartDrawing">
    <cdr:from>
      <cdr:x>0.68499</cdr:x>
      <cdr:y>0.91818</cdr:y>
    </cdr:from>
    <cdr:to>
      <cdr:x>0.83587</cdr:x>
      <cdr:y>0.98864</cdr:y>
    </cdr:to>
    <cdr:sp macro="" textlink="">
      <cdr:nvSpPr>
        <cdr:cNvPr id="2" name="TextBox 1"/>
        <cdr:cNvSpPr txBox="1"/>
      </cdr:nvSpPr>
      <cdr:spPr>
        <a:xfrm xmlns:a="http://schemas.openxmlformats.org/drawingml/2006/main">
          <a:off x="4391025" y="3848100"/>
          <a:ext cx="967195" cy="2952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Samples</a:t>
          </a:r>
          <a:r>
            <a:rPr lang="en-US" sz="1100" baseline="0"/>
            <a:t> </a:t>
          </a:r>
          <a:endParaRPr lang="en-US" sz="1100"/>
        </a:p>
      </cdr:txBody>
    </cdr:sp>
  </cdr:relSizeAnchor>
  <cdr:relSizeAnchor xmlns:cdr="http://schemas.openxmlformats.org/drawingml/2006/chartDrawing">
    <cdr:from>
      <cdr:x>0.00892</cdr:x>
      <cdr:y>0.36364</cdr:y>
    </cdr:from>
    <cdr:to>
      <cdr:x>0.05764</cdr:x>
      <cdr:y>0.58182</cdr:y>
    </cdr:to>
    <cdr:sp macro="" textlink="">
      <cdr:nvSpPr>
        <cdr:cNvPr id="3" name="TextBox 1"/>
        <cdr:cNvSpPr txBox="1"/>
      </cdr:nvSpPr>
      <cdr:spPr>
        <a:xfrm xmlns:a="http://schemas.openxmlformats.org/drawingml/2006/main" rot="16200000">
          <a:off x="-243894" y="1825044"/>
          <a:ext cx="914399" cy="31231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Concentration (mg/ Kg)</a:t>
          </a:r>
        </a:p>
      </cdr:txBody>
    </cdr:sp>
  </cdr:relSizeAnchor>
</c:userShapes>
</file>

<file path=word/drawings/drawing7.xml><?xml version="1.0" encoding="utf-8"?>
<c:userShapes xmlns:c="http://schemas.openxmlformats.org/drawingml/2006/chart">
  <cdr:relSizeAnchor xmlns:cdr="http://schemas.openxmlformats.org/drawingml/2006/chartDrawing">
    <cdr:from>
      <cdr:x>0.68162</cdr:x>
      <cdr:y>0.88889</cdr:y>
    </cdr:from>
    <cdr:to>
      <cdr:x>0.82857</cdr:x>
      <cdr:y>0.96543</cdr:y>
    </cdr:to>
    <cdr:sp macro="" textlink="">
      <cdr:nvSpPr>
        <cdr:cNvPr id="2" name="TextBox 1"/>
        <cdr:cNvSpPr txBox="1"/>
      </cdr:nvSpPr>
      <cdr:spPr>
        <a:xfrm xmlns:a="http://schemas.openxmlformats.org/drawingml/2006/main">
          <a:off x="4486275" y="3429000"/>
          <a:ext cx="967195" cy="2952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Samples</a:t>
          </a:r>
          <a:r>
            <a:rPr lang="en-US" sz="1100" baseline="0"/>
            <a:t> </a:t>
          </a:r>
          <a:endParaRPr lang="en-US" sz="1100"/>
        </a:p>
      </cdr:txBody>
    </cdr:sp>
  </cdr:relSizeAnchor>
  <cdr:relSizeAnchor xmlns:cdr="http://schemas.openxmlformats.org/drawingml/2006/chartDrawing">
    <cdr:from>
      <cdr:x>0.00145</cdr:x>
      <cdr:y>0.35802</cdr:y>
    </cdr:from>
    <cdr:to>
      <cdr:x>0.0489</cdr:x>
      <cdr:y>0.59506</cdr:y>
    </cdr:to>
    <cdr:sp macro="" textlink="">
      <cdr:nvSpPr>
        <cdr:cNvPr id="3" name="TextBox 1"/>
        <cdr:cNvSpPr txBox="1"/>
      </cdr:nvSpPr>
      <cdr:spPr>
        <a:xfrm xmlns:a="http://schemas.openxmlformats.org/drawingml/2006/main" rot="16200000">
          <a:off x="-291519" y="1682169"/>
          <a:ext cx="914399" cy="31231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Concentration (mg/ Kg)</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B7E2B8-72FE-4198-B9CF-ED91D4C495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75</Pages>
  <Words>196332</Words>
  <Characters>1119098</Characters>
  <Application>Microsoft Office Word</Application>
  <DocSecurity>0</DocSecurity>
  <Lines>9325</Lines>
  <Paragraphs>2625</Paragraphs>
  <ScaleCrop>false</ScaleCrop>
  <HeadingPairs>
    <vt:vector size="2" baseType="variant">
      <vt:variant>
        <vt:lpstr>Title</vt:lpstr>
      </vt:variant>
      <vt:variant>
        <vt:i4>1</vt:i4>
      </vt:variant>
    </vt:vector>
  </HeadingPairs>
  <TitlesOfParts>
    <vt:vector size="1" baseType="lpstr">
      <vt:lpstr>Proceedings of Koforidua Polytechnic 6th Annual International Applied Research Conference</vt:lpstr>
    </vt:vector>
  </TitlesOfParts>
  <Company>KOFORIDUA KOFORIDUA</Company>
  <LinksUpToDate>false</LinksUpToDate>
  <CharactersWithSpaces>1312805</CharactersWithSpaces>
  <SharedDoc>false</SharedDoc>
  <HLinks>
    <vt:vector size="636" baseType="variant">
      <vt:variant>
        <vt:i4>7012395</vt:i4>
      </vt:variant>
      <vt:variant>
        <vt:i4>1011</vt:i4>
      </vt:variant>
      <vt:variant>
        <vt:i4>0</vt:i4>
      </vt:variant>
      <vt:variant>
        <vt:i4>5</vt:i4>
      </vt:variant>
      <vt:variant>
        <vt:lpwstr>http://www.who.int/violence_injury_prevention/Docs/injuryBofD.pdf</vt:lpwstr>
      </vt:variant>
      <vt:variant>
        <vt:lpwstr/>
      </vt:variant>
      <vt:variant>
        <vt:i4>6422573</vt:i4>
      </vt:variant>
      <vt:variant>
        <vt:i4>1008</vt:i4>
      </vt:variant>
      <vt:variant>
        <vt:i4>0</vt:i4>
      </vt:variant>
      <vt:variant>
        <vt:i4>5</vt:i4>
      </vt:variant>
      <vt:variant>
        <vt:lpwstr>http://www.who.int/violence_injury_prevention/pages/roadinjuryprevention.htm</vt:lpwstr>
      </vt:variant>
      <vt:variant>
        <vt:lpwstr/>
      </vt:variant>
      <vt:variant>
        <vt:i4>1310760</vt:i4>
      </vt:variant>
      <vt:variant>
        <vt:i4>1005</vt:i4>
      </vt:variant>
      <vt:variant>
        <vt:i4>0</vt:i4>
      </vt:variant>
      <vt:variant>
        <vt:i4>5</vt:i4>
      </vt:variant>
      <vt:variant>
        <vt:lpwstr>mailto:odensu@yahoo.com</vt:lpwstr>
      </vt:variant>
      <vt:variant>
        <vt:lpwstr/>
      </vt:variant>
      <vt:variant>
        <vt:i4>1179754</vt:i4>
      </vt:variant>
      <vt:variant>
        <vt:i4>1002</vt:i4>
      </vt:variant>
      <vt:variant>
        <vt:i4>0</vt:i4>
      </vt:variant>
      <vt:variant>
        <vt:i4>5</vt:i4>
      </vt:variant>
      <vt:variant>
        <vt:lpwstr>http://www.bodyworlds.com/Downloads/Biodur/BIODUR_ENG_2007_140408.pdf</vt:lpwstr>
      </vt:variant>
      <vt:variant>
        <vt:lpwstr/>
      </vt:variant>
      <vt:variant>
        <vt:i4>6291509</vt:i4>
      </vt:variant>
      <vt:variant>
        <vt:i4>999</vt:i4>
      </vt:variant>
      <vt:variant>
        <vt:i4>0</vt:i4>
      </vt:variant>
      <vt:variant>
        <vt:i4>5</vt:i4>
      </vt:variant>
      <vt:variant>
        <vt:lpwstr>http://physiology.med.umn.edu/anatomy/plastination.html</vt:lpwstr>
      </vt:variant>
      <vt:variant>
        <vt:lpwstr/>
      </vt:variant>
      <vt:variant>
        <vt:i4>7602215</vt:i4>
      </vt:variant>
      <vt:variant>
        <vt:i4>996</vt:i4>
      </vt:variant>
      <vt:variant>
        <vt:i4>0</vt:i4>
      </vt:variant>
      <vt:variant>
        <vt:i4>5</vt:i4>
      </vt:variant>
      <vt:variant>
        <vt:lpwstr>http://www.uqtr.ca/plastination/Abstracts-2005.html</vt:lpwstr>
      </vt:variant>
      <vt:variant>
        <vt:lpwstr/>
      </vt:variant>
      <vt:variant>
        <vt:i4>2818086</vt:i4>
      </vt:variant>
      <vt:variant>
        <vt:i4>993</vt:i4>
      </vt:variant>
      <vt:variant>
        <vt:i4>0</vt:i4>
      </vt:variant>
      <vt:variant>
        <vt:i4>5</vt:i4>
      </vt:variant>
      <vt:variant>
        <vt:lpwstr>http://www.uqtr.uquebec.ca/plastination/Abstracts-2005.html</vt:lpwstr>
      </vt:variant>
      <vt:variant>
        <vt:lpwstr/>
      </vt:variant>
      <vt:variant>
        <vt:i4>1507331</vt:i4>
      </vt:variant>
      <vt:variant>
        <vt:i4>990</vt:i4>
      </vt:variant>
      <vt:variant>
        <vt:i4>0</vt:i4>
      </vt:variant>
      <vt:variant>
        <vt:i4>5</vt:i4>
      </vt:variant>
      <vt:variant>
        <vt:lpwstr>http://publib.upol.cz/~obd/fulltext/Biomed/2004/2/237.pdf</vt:lpwstr>
      </vt:variant>
      <vt:variant>
        <vt:lpwstr/>
      </vt:variant>
      <vt:variant>
        <vt:i4>2555995</vt:i4>
      </vt:variant>
      <vt:variant>
        <vt:i4>987</vt:i4>
      </vt:variant>
      <vt:variant>
        <vt:i4>0</vt:i4>
      </vt:variant>
      <vt:variant>
        <vt:i4>5</vt:i4>
      </vt:variant>
      <vt:variant>
        <vt:lpwstr>http://m.utoledo.edu/med/depts/neurosciences/pdf/Baptista_3a7.pdf</vt:lpwstr>
      </vt:variant>
      <vt:variant>
        <vt:lpwstr/>
      </vt:variant>
      <vt:variant>
        <vt:i4>3670048</vt:i4>
      </vt:variant>
      <vt:variant>
        <vt:i4>978</vt:i4>
      </vt:variant>
      <vt:variant>
        <vt:i4>0</vt:i4>
      </vt:variant>
      <vt:variant>
        <vt:i4>5</vt:i4>
      </vt:variant>
      <vt:variant>
        <vt:lpwstr>http://www.scidev.net/en/science-and-innovation-policy/aid-for-higher-education</vt:lpwstr>
      </vt:variant>
      <vt:variant>
        <vt:lpwstr/>
      </vt:variant>
      <vt:variant>
        <vt:i4>3211361</vt:i4>
      </vt:variant>
      <vt:variant>
        <vt:i4>975</vt:i4>
      </vt:variant>
      <vt:variant>
        <vt:i4>0</vt:i4>
      </vt:variant>
      <vt:variant>
        <vt:i4>5</vt:i4>
      </vt:variant>
      <vt:variant>
        <vt:lpwstr>http://www.ivalsa.cnr.it/en/research/natural-durability-of-different-genotypes</vt:lpwstr>
      </vt:variant>
      <vt:variant>
        <vt:lpwstr/>
      </vt:variant>
      <vt:variant>
        <vt:i4>3735607</vt:i4>
      </vt:variant>
      <vt:variant>
        <vt:i4>972</vt:i4>
      </vt:variant>
      <vt:variant>
        <vt:i4>0</vt:i4>
      </vt:variant>
      <vt:variant>
        <vt:i4>5</vt:i4>
      </vt:variant>
      <vt:variant>
        <vt:lpwstr>http://www.nafi.com.au/</vt:lpwstr>
      </vt:variant>
      <vt:variant>
        <vt:lpwstr/>
      </vt:variant>
      <vt:variant>
        <vt:i4>1900569</vt:i4>
      </vt:variant>
      <vt:variant>
        <vt:i4>969</vt:i4>
      </vt:variant>
      <vt:variant>
        <vt:i4>0</vt:i4>
      </vt:variant>
      <vt:variant>
        <vt:i4>5</vt:i4>
      </vt:variant>
      <vt:variant>
        <vt:lpwstr>http://www.whereuniverse.com/2012/02/01/the-role-of-higher-education-in-contemporary-society</vt:lpwstr>
      </vt:variant>
      <vt:variant>
        <vt:lpwstr/>
      </vt:variant>
      <vt:variant>
        <vt:i4>3670048</vt:i4>
      </vt:variant>
      <vt:variant>
        <vt:i4>966</vt:i4>
      </vt:variant>
      <vt:variant>
        <vt:i4>0</vt:i4>
      </vt:variant>
      <vt:variant>
        <vt:i4>5</vt:i4>
      </vt:variant>
      <vt:variant>
        <vt:lpwstr>http://www.scidev.net/en/science-and-innovation-policy/aid-for-higher-education</vt:lpwstr>
      </vt:variant>
      <vt:variant>
        <vt:lpwstr/>
      </vt:variant>
      <vt:variant>
        <vt:i4>7012444</vt:i4>
      </vt:variant>
      <vt:variant>
        <vt:i4>960</vt:i4>
      </vt:variant>
      <vt:variant>
        <vt:i4>0</vt:i4>
      </vt:variant>
      <vt:variant>
        <vt:i4>5</vt:i4>
      </vt:variant>
      <vt:variant>
        <vt:lpwstr>mailto:martamoah@yahoo.com</vt:lpwstr>
      </vt:variant>
      <vt:variant>
        <vt:lpwstr/>
      </vt:variant>
      <vt:variant>
        <vt:i4>524336</vt:i4>
      </vt:variant>
      <vt:variant>
        <vt:i4>957</vt:i4>
      </vt:variant>
      <vt:variant>
        <vt:i4>0</vt:i4>
      </vt:variant>
      <vt:variant>
        <vt:i4>5</vt:i4>
      </vt:variant>
      <vt:variant>
        <vt:lpwstr>mailto:pkkdadziee@yahoo.com</vt:lpwstr>
      </vt:variant>
      <vt:variant>
        <vt:lpwstr/>
      </vt:variant>
      <vt:variant>
        <vt:i4>6815823</vt:i4>
      </vt:variant>
      <vt:variant>
        <vt:i4>954</vt:i4>
      </vt:variant>
      <vt:variant>
        <vt:i4>0</vt:i4>
      </vt:variant>
      <vt:variant>
        <vt:i4>5</vt:i4>
      </vt:variant>
      <vt:variant>
        <vt:lpwstr>mailto:amoahscg@yahoo.com</vt:lpwstr>
      </vt:variant>
      <vt:variant>
        <vt:lpwstr/>
      </vt:variant>
      <vt:variant>
        <vt:i4>7340126</vt:i4>
      </vt:variant>
      <vt:variant>
        <vt:i4>951</vt:i4>
      </vt:variant>
      <vt:variant>
        <vt:i4>0</vt:i4>
      </vt:variant>
      <vt:variant>
        <vt:i4>5</vt:i4>
      </vt:variant>
      <vt:variant>
        <vt:lpwstr>mailto:hadapaah@yahoo.com</vt:lpwstr>
      </vt:variant>
      <vt:variant>
        <vt:lpwstr/>
      </vt:variant>
      <vt:variant>
        <vt:i4>6684765</vt:i4>
      </vt:variant>
      <vt:variant>
        <vt:i4>939</vt:i4>
      </vt:variant>
      <vt:variant>
        <vt:i4>0</vt:i4>
      </vt:variant>
      <vt:variant>
        <vt:i4>5</vt:i4>
      </vt:variant>
      <vt:variant>
        <vt:lpwstr>mailto:issakazak@gmail.com</vt:lpwstr>
      </vt:variant>
      <vt:variant>
        <vt:lpwstr/>
      </vt:variant>
      <vt:variant>
        <vt:i4>8323180</vt:i4>
      </vt:variant>
      <vt:variant>
        <vt:i4>933</vt:i4>
      </vt:variant>
      <vt:variant>
        <vt:i4>0</vt:i4>
      </vt:variant>
      <vt:variant>
        <vt:i4>5</vt:i4>
      </vt:variant>
      <vt:variant>
        <vt:lpwstr>http://owyheesound.com/cinema-production-equipment.html</vt:lpwstr>
      </vt:variant>
      <vt:variant>
        <vt:lpwstr/>
      </vt:variant>
      <vt:variant>
        <vt:i4>4063350</vt:i4>
      </vt:variant>
      <vt:variant>
        <vt:i4>930</vt:i4>
      </vt:variant>
      <vt:variant>
        <vt:i4>0</vt:i4>
      </vt:variant>
      <vt:variant>
        <vt:i4>5</vt:i4>
      </vt:variant>
      <vt:variant>
        <vt:lpwstr>http://www.ehow.com/info_8016661_cameras-used-film-movies.html</vt:lpwstr>
      </vt:variant>
      <vt:variant>
        <vt:lpwstr/>
      </vt:variant>
      <vt:variant>
        <vt:i4>5374004</vt:i4>
      </vt:variant>
      <vt:variant>
        <vt:i4>927</vt:i4>
      </vt:variant>
      <vt:variant>
        <vt:i4>0</vt:i4>
      </vt:variant>
      <vt:variant>
        <vt:i4>5</vt:i4>
      </vt:variant>
      <vt:variant>
        <vt:lpwstr>mailto:</vt:lpwstr>
      </vt:variant>
      <vt:variant>
        <vt:lpwstr>3jkarthur@vvu.edu.gh</vt:lpwstr>
      </vt:variant>
      <vt:variant>
        <vt:i4>2162782</vt:i4>
      </vt:variant>
      <vt:variant>
        <vt:i4>924</vt:i4>
      </vt:variant>
      <vt:variant>
        <vt:i4>0</vt:i4>
      </vt:variant>
      <vt:variant>
        <vt:i4>5</vt:i4>
      </vt:variant>
      <vt:variant>
        <vt:lpwstr>mailto:</vt:lpwstr>
      </vt:variant>
      <vt:variant>
        <vt:lpwstr>2kamsarpong@vvu.edu.gh</vt:lpwstr>
      </vt:variant>
      <vt:variant>
        <vt:i4>6160482</vt:i4>
      </vt:variant>
      <vt:variant>
        <vt:i4>921</vt:i4>
      </vt:variant>
      <vt:variant>
        <vt:i4>0</vt:i4>
      </vt:variant>
      <vt:variant>
        <vt:i4>5</vt:i4>
      </vt:variant>
      <vt:variant>
        <vt:lpwstr>mailto:1papaprince@vvu.edu.gh</vt:lpwstr>
      </vt:variant>
      <vt:variant>
        <vt:lpwstr/>
      </vt:variant>
      <vt:variant>
        <vt:i4>3014766</vt:i4>
      </vt:variant>
      <vt:variant>
        <vt:i4>864</vt:i4>
      </vt:variant>
      <vt:variant>
        <vt:i4>0</vt:i4>
      </vt:variant>
      <vt:variant>
        <vt:i4>5</vt:i4>
      </vt:variant>
      <vt:variant>
        <vt:lpwstr>mailto:alicemen_sah@yahoo.co.uk</vt:lpwstr>
      </vt:variant>
      <vt:variant>
        <vt:lpwstr/>
      </vt:variant>
      <vt:variant>
        <vt:i4>5505130</vt:i4>
      </vt:variant>
      <vt:variant>
        <vt:i4>861</vt:i4>
      </vt:variant>
      <vt:variant>
        <vt:i4>0</vt:i4>
      </vt:variant>
      <vt:variant>
        <vt:i4>5</vt:i4>
      </vt:variant>
      <vt:variant>
        <vt:lpwstr>mailto:ebenezer.okyere@bog.gov.gh</vt:lpwstr>
      </vt:variant>
      <vt:variant>
        <vt:lpwstr/>
      </vt:variant>
      <vt:variant>
        <vt:i4>655415</vt:i4>
      </vt:variant>
      <vt:variant>
        <vt:i4>858</vt:i4>
      </vt:variant>
      <vt:variant>
        <vt:i4>0</vt:i4>
      </vt:variant>
      <vt:variant>
        <vt:i4>5</vt:i4>
      </vt:variant>
      <vt:variant>
        <vt:lpwstr>mailto:Kwofie@gmail.com</vt:lpwstr>
      </vt:variant>
      <vt:variant>
        <vt:lpwstr/>
      </vt:variant>
      <vt:variant>
        <vt:i4>7929923</vt:i4>
      </vt:variant>
      <vt:variant>
        <vt:i4>855</vt:i4>
      </vt:variant>
      <vt:variant>
        <vt:i4>0</vt:i4>
      </vt:variant>
      <vt:variant>
        <vt:i4>5</vt:i4>
      </vt:variant>
      <vt:variant>
        <vt:lpwstr>mailto:afuasmile@yahoo.com</vt:lpwstr>
      </vt:variant>
      <vt:variant>
        <vt:lpwstr/>
      </vt:variant>
      <vt:variant>
        <vt:i4>6750290</vt:i4>
      </vt:variant>
      <vt:variant>
        <vt:i4>837</vt:i4>
      </vt:variant>
      <vt:variant>
        <vt:i4>0</vt:i4>
      </vt:variant>
      <vt:variant>
        <vt:i4>5</vt:i4>
      </vt:variant>
      <vt:variant>
        <vt:lpwstr>mailto:afranieisaac@yahoo.com</vt:lpwstr>
      </vt:variant>
      <vt:variant>
        <vt:lpwstr/>
      </vt:variant>
      <vt:variant>
        <vt:i4>7340100</vt:i4>
      </vt:variant>
      <vt:variant>
        <vt:i4>828</vt:i4>
      </vt:variant>
      <vt:variant>
        <vt:i4>0</vt:i4>
      </vt:variant>
      <vt:variant>
        <vt:i4>5</vt:i4>
      </vt:variant>
      <vt:variant>
        <vt:lpwstr>mailto:samyantwi@yahoo.com</vt:lpwstr>
      </vt:variant>
      <vt:variant>
        <vt:lpwstr/>
      </vt:variant>
      <vt:variant>
        <vt:i4>2359406</vt:i4>
      </vt:variant>
      <vt:variant>
        <vt:i4>807</vt:i4>
      </vt:variant>
      <vt:variant>
        <vt:i4>0</vt:i4>
      </vt:variant>
      <vt:variant>
        <vt:i4>5</vt:i4>
      </vt:variant>
      <vt:variant>
        <vt:lpwstr>http://www.labmanager.com/?articles.view/articleNo/5783/title/An-Energy-Efficient-Laboratory-Oven/</vt:lpwstr>
      </vt:variant>
      <vt:variant>
        <vt:lpwstr/>
      </vt:variant>
      <vt:variant>
        <vt:i4>4456521</vt:i4>
      </vt:variant>
      <vt:variant>
        <vt:i4>804</vt:i4>
      </vt:variant>
      <vt:variant>
        <vt:i4>0</vt:i4>
      </vt:variant>
      <vt:variant>
        <vt:i4>5</vt:i4>
      </vt:variant>
      <vt:variant>
        <vt:lpwstr>http://ezinearticles.com/?The%20Many%20Applications%20of%20the%20Laboratory%20Oven&amp;id=3598769</vt:lpwstr>
      </vt:variant>
      <vt:variant>
        <vt:lpwstr/>
      </vt:variant>
      <vt:variant>
        <vt:i4>4587533</vt:i4>
      </vt:variant>
      <vt:variant>
        <vt:i4>801</vt:i4>
      </vt:variant>
      <vt:variant>
        <vt:i4>0</vt:i4>
      </vt:variant>
      <vt:variant>
        <vt:i4>5</vt:i4>
      </vt:variant>
      <vt:variant>
        <vt:lpwstr>http://www.wcpsd.org/posters/education/Landreman.pdf</vt:lpwstr>
      </vt:variant>
      <vt:variant>
        <vt:lpwstr/>
      </vt:variant>
      <vt:variant>
        <vt:i4>8257582</vt:i4>
      </vt:variant>
      <vt:variant>
        <vt:i4>798</vt:i4>
      </vt:variant>
      <vt:variant>
        <vt:i4>0</vt:i4>
      </vt:variant>
      <vt:variant>
        <vt:i4>5</vt:i4>
      </vt:variant>
      <vt:variant>
        <vt:lpwstr>http://www.modernghana.com/news/62643/1/headmaster-decries-lack-of-interest-in-the-pursuit.html</vt:lpwstr>
      </vt:variant>
      <vt:variant>
        <vt:lpwstr/>
      </vt:variant>
      <vt:variant>
        <vt:i4>4456567</vt:i4>
      </vt:variant>
      <vt:variant>
        <vt:i4>795</vt:i4>
      </vt:variant>
      <vt:variant>
        <vt:i4>0</vt:i4>
      </vt:variant>
      <vt:variant>
        <vt:i4>5</vt:i4>
      </vt:variant>
      <vt:variant>
        <vt:lpwstr>http://ivolta.in/sustainable_automation.html</vt:lpwstr>
      </vt:variant>
      <vt:variant>
        <vt:lpwstr/>
      </vt:variant>
      <vt:variant>
        <vt:i4>2555940</vt:i4>
      </vt:variant>
      <vt:variant>
        <vt:i4>792</vt:i4>
      </vt:variant>
      <vt:variant>
        <vt:i4>0</vt:i4>
      </vt:variant>
      <vt:variant>
        <vt:i4>5</vt:i4>
      </vt:variant>
      <vt:variant>
        <vt:lpwstr>http://ir.library.oregonstate.edu/xmlui/bitstream/handle/1957/21595/309.pdf?sequence=1</vt:lpwstr>
      </vt:variant>
      <vt:variant>
        <vt:lpwstr/>
      </vt:variant>
      <vt:variant>
        <vt:i4>8257648</vt:i4>
      </vt:variant>
      <vt:variant>
        <vt:i4>789</vt:i4>
      </vt:variant>
      <vt:variant>
        <vt:i4>0</vt:i4>
      </vt:variant>
      <vt:variant>
        <vt:i4>5</vt:i4>
      </vt:variant>
      <vt:variant>
        <vt:lpwstr>http://msucares.com/poultry/reproductions/poultry_make_incubator.html</vt:lpwstr>
      </vt:variant>
      <vt:variant>
        <vt:lpwstr/>
      </vt:variant>
      <vt:variant>
        <vt:i4>1245270</vt:i4>
      </vt:variant>
      <vt:variant>
        <vt:i4>786</vt:i4>
      </vt:variant>
      <vt:variant>
        <vt:i4>0</vt:i4>
      </vt:variant>
      <vt:variant>
        <vt:i4>5</vt:i4>
      </vt:variant>
      <vt:variant>
        <vt:lpwstr>http://www.clemson.edu/psapublishing/pages/ADVS/EC530.PDF</vt:lpwstr>
      </vt:variant>
      <vt:variant>
        <vt:lpwstr/>
      </vt:variant>
      <vt:variant>
        <vt:i4>4718596</vt:i4>
      </vt:variant>
      <vt:variant>
        <vt:i4>783</vt:i4>
      </vt:variant>
      <vt:variant>
        <vt:i4>0</vt:i4>
      </vt:variant>
      <vt:variant>
        <vt:i4>5</vt:i4>
      </vt:variant>
      <vt:variant>
        <vt:lpwstr>http://www.labmanager.com/?articles.view/articleNo/3851/title/Laboratory-Ovens--the-Essential-Lab-Component/</vt:lpwstr>
      </vt:variant>
      <vt:variant>
        <vt:lpwstr/>
      </vt:variant>
      <vt:variant>
        <vt:i4>1441797</vt:i4>
      </vt:variant>
      <vt:variant>
        <vt:i4>780</vt:i4>
      </vt:variant>
      <vt:variant>
        <vt:i4>0</vt:i4>
      </vt:variant>
      <vt:variant>
        <vt:i4>5</vt:i4>
      </vt:variant>
      <vt:variant>
        <vt:lpwstr>http://www.labmanager.com/?articles.view/articleNo/4218/title/Lab-Ovens--Basic-utilities-for-heating--drying--processing/</vt:lpwstr>
      </vt:variant>
      <vt:variant>
        <vt:lpwstr/>
      </vt:variant>
      <vt:variant>
        <vt:i4>1376330</vt:i4>
      </vt:variant>
      <vt:variant>
        <vt:i4>777</vt:i4>
      </vt:variant>
      <vt:variant>
        <vt:i4>0</vt:i4>
      </vt:variant>
      <vt:variant>
        <vt:i4>5</vt:i4>
      </vt:variant>
      <vt:variant>
        <vt:lpwstr>http://www.map.ren21.net/GSR/GSR2012.pdf</vt:lpwstr>
      </vt:variant>
      <vt:variant>
        <vt:lpwstr/>
      </vt:variant>
      <vt:variant>
        <vt:i4>4522079</vt:i4>
      </vt:variant>
      <vt:variant>
        <vt:i4>774</vt:i4>
      </vt:variant>
      <vt:variant>
        <vt:i4>0</vt:i4>
      </vt:variant>
      <vt:variant>
        <vt:i4>5</vt:i4>
      </vt:variant>
      <vt:variant>
        <vt:lpwstr>http://www.iea.org/publications/freepublications/publication/kwes.pdf</vt:lpwstr>
      </vt:variant>
      <vt:variant>
        <vt:lpwstr/>
      </vt:variant>
      <vt:variant>
        <vt:i4>7667820</vt:i4>
      </vt:variant>
      <vt:variant>
        <vt:i4>771</vt:i4>
      </vt:variant>
      <vt:variant>
        <vt:i4>0</vt:i4>
      </vt:variant>
      <vt:variant>
        <vt:i4>5</vt:i4>
      </vt:variant>
      <vt:variant>
        <vt:lpwstr>http://graphic.com.gh/Business-News/power-crisis-wont-end-now-says-world-bank.html</vt:lpwstr>
      </vt:variant>
      <vt:variant>
        <vt:lpwstr/>
      </vt:variant>
      <vt:variant>
        <vt:i4>4390925</vt:i4>
      </vt:variant>
      <vt:variant>
        <vt:i4>768</vt:i4>
      </vt:variant>
      <vt:variant>
        <vt:i4>0</vt:i4>
      </vt:variant>
      <vt:variant>
        <vt:i4>5</vt:i4>
      </vt:variant>
      <vt:variant>
        <vt:lpwstr>http://www.enotes.com/earth-science/insolation-total-solar-irradiance</vt:lpwstr>
      </vt:variant>
      <vt:variant>
        <vt:lpwstr/>
      </vt:variant>
      <vt:variant>
        <vt:i4>524324</vt:i4>
      </vt:variant>
      <vt:variant>
        <vt:i4>750</vt:i4>
      </vt:variant>
      <vt:variant>
        <vt:i4>0</vt:i4>
      </vt:variant>
      <vt:variant>
        <vt:i4>5</vt:i4>
      </vt:variant>
      <vt:variant>
        <vt:lpwstr>mailto:alansah2001@yahoo.com</vt:lpwstr>
      </vt:variant>
      <vt:variant>
        <vt:lpwstr/>
      </vt:variant>
      <vt:variant>
        <vt:i4>6946879</vt:i4>
      </vt:variant>
      <vt:variant>
        <vt:i4>747</vt:i4>
      </vt:variant>
      <vt:variant>
        <vt:i4>0</vt:i4>
      </vt:variant>
      <vt:variant>
        <vt:i4>5</vt:i4>
      </vt:variant>
      <vt:variant>
        <vt:lpwstr>mailto:s_achio@accrapolytechnic.edu.gh</vt:lpwstr>
      </vt:variant>
      <vt:variant>
        <vt:lpwstr/>
      </vt:variant>
      <vt:variant>
        <vt:i4>2031670</vt:i4>
      </vt:variant>
      <vt:variant>
        <vt:i4>744</vt:i4>
      </vt:variant>
      <vt:variant>
        <vt:i4>0</vt:i4>
      </vt:variant>
      <vt:variant>
        <vt:i4>5</vt:i4>
      </vt:variant>
      <vt:variant>
        <vt:lpwstr>mailto:edmundameko@yahoo.com</vt:lpwstr>
      </vt:variant>
      <vt:variant>
        <vt:lpwstr/>
      </vt:variant>
      <vt:variant>
        <vt:i4>7929925</vt:i4>
      </vt:variant>
      <vt:variant>
        <vt:i4>732</vt:i4>
      </vt:variant>
      <vt:variant>
        <vt:i4>0</vt:i4>
      </vt:variant>
      <vt:variant>
        <vt:i4>5</vt:i4>
      </vt:variant>
      <vt:variant>
        <vt:lpwstr>mailto:chaessel@yahoo.com</vt:lpwstr>
      </vt:variant>
      <vt:variant>
        <vt:lpwstr/>
      </vt:variant>
      <vt:variant>
        <vt:i4>6553673</vt:i4>
      </vt:variant>
      <vt:variant>
        <vt:i4>729</vt:i4>
      </vt:variant>
      <vt:variant>
        <vt:i4>0</vt:i4>
      </vt:variant>
      <vt:variant>
        <vt:i4>5</vt:i4>
      </vt:variant>
      <vt:variant>
        <vt:lpwstr>mailto:nakohinaa@gmail.com</vt:lpwstr>
      </vt:variant>
      <vt:variant>
        <vt:lpwstr/>
      </vt:variant>
      <vt:variant>
        <vt:i4>5439501</vt:i4>
      </vt:variant>
      <vt:variant>
        <vt:i4>726</vt:i4>
      </vt:variant>
      <vt:variant>
        <vt:i4>0</vt:i4>
      </vt:variant>
      <vt:variant>
        <vt:i4>5</vt:i4>
      </vt:variant>
      <vt:variant>
        <vt:lpwstr>http://www.recordsmanagement.ed.ac.uk/InfoStaff/DPstaff/DPPrinciples.htm</vt:lpwstr>
      </vt:variant>
      <vt:variant>
        <vt:lpwstr/>
      </vt:variant>
      <vt:variant>
        <vt:i4>655376</vt:i4>
      </vt:variant>
      <vt:variant>
        <vt:i4>723</vt:i4>
      </vt:variant>
      <vt:variant>
        <vt:i4>0</vt:i4>
      </vt:variant>
      <vt:variant>
        <vt:i4>5</vt:i4>
      </vt:variant>
      <vt:variant>
        <vt:lpwstr>http://policies.temple.edu/ferpa</vt:lpwstr>
      </vt:variant>
      <vt:variant>
        <vt:lpwstr/>
      </vt:variant>
      <vt:variant>
        <vt:i4>6291562</vt:i4>
      </vt:variant>
      <vt:variant>
        <vt:i4>720</vt:i4>
      </vt:variant>
      <vt:variant>
        <vt:i4>0</vt:i4>
      </vt:variant>
      <vt:variant>
        <vt:i4>5</vt:i4>
      </vt:variant>
      <vt:variant>
        <vt:lpwstr>http://www.manchester.ac.uk/aboutus/documents/privacy/</vt:lpwstr>
      </vt:variant>
      <vt:variant>
        <vt:lpwstr/>
      </vt:variant>
      <vt:variant>
        <vt:i4>852054</vt:i4>
      </vt:variant>
      <vt:variant>
        <vt:i4>717</vt:i4>
      </vt:variant>
      <vt:variant>
        <vt:i4>0</vt:i4>
      </vt:variant>
      <vt:variant>
        <vt:i4>5</vt:i4>
      </vt:variant>
      <vt:variant>
        <vt:lpwstr>http://www.temple.edu/registrar/</vt:lpwstr>
      </vt:variant>
      <vt:variant>
        <vt:lpwstr/>
      </vt:variant>
      <vt:variant>
        <vt:i4>5505035</vt:i4>
      </vt:variant>
      <vt:variant>
        <vt:i4>714</vt:i4>
      </vt:variant>
      <vt:variant>
        <vt:i4>0</vt:i4>
      </vt:variant>
      <vt:variant>
        <vt:i4>5</vt:i4>
      </vt:variant>
      <vt:variant>
        <vt:lpwstr>http://www.academic-records.mccannuniversity.org/</vt:lpwstr>
      </vt:variant>
      <vt:variant>
        <vt:lpwstr/>
      </vt:variant>
      <vt:variant>
        <vt:i4>5570640</vt:i4>
      </vt:variant>
      <vt:variant>
        <vt:i4>711</vt:i4>
      </vt:variant>
      <vt:variant>
        <vt:i4>0</vt:i4>
      </vt:variant>
      <vt:variant>
        <vt:i4>5</vt:i4>
      </vt:variant>
      <vt:variant>
        <vt:lpwstr>http://www.bbc.co.uk/news/uk-14030051</vt:lpwstr>
      </vt:variant>
      <vt:variant>
        <vt:lpwstr/>
      </vt:variant>
      <vt:variant>
        <vt:i4>6619244</vt:i4>
      </vt:variant>
      <vt:variant>
        <vt:i4>708</vt:i4>
      </vt:variant>
      <vt:variant>
        <vt:i4>0</vt:i4>
      </vt:variant>
      <vt:variant>
        <vt:i4>5</vt:i4>
      </vt:variant>
      <vt:variant>
        <vt:lpwstr>http://www.cmu.edu/iso/governance/policies/information-security-roles.html</vt:lpwstr>
      </vt:variant>
      <vt:variant>
        <vt:lpwstr/>
      </vt:variant>
      <vt:variant>
        <vt:i4>5701713</vt:i4>
      </vt:variant>
      <vt:variant>
        <vt:i4>705</vt:i4>
      </vt:variant>
      <vt:variant>
        <vt:i4>0</vt:i4>
      </vt:variant>
      <vt:variant>
        <vt:i4>5</vt:i4>
      </vt:variant>
      <vt:variant>
        <vt:lpwstr>http://www.city.ac.uk/about/city-information/legal/how-to-access-information</vt:lpwstr>
      </vt:variant>
      <vt:variant>
        <vt:lpwstr/>
      </vt:variant>
      <vt:variant>
        <vt:i4>1900661</vt:i4>
      </vt:variant>
      <vt:variant>
        <vt:i4>702</vt:i4>
      </vt:variant>
      <vt:variant>
        <vt:i4>0</vt:i4>
      </vt:variant>
      <vt:variant>
        <vt:i4>5</vt:i4>
      </vt:variant>
      <vt:variant>
        <vt:lpwstr>http://www.direct.gov.uk/en/governmentcitizensandrights/yourrightsandresponsibilities/dg_10031451</vt:lpwstr>
      </vt:variant>
      <vt:variant>
        <vt:lpwstr/>
      </vt:variant>
      <vt:variant>
        <vt:i4>7471127</vt:i4>
      </vt:variant>
      <vt:variant>
        <vt:i4>699</vt:i4>
      </vt:variant>
      <vt:variant>
        <vt:i4>0</vt:i4>
      </vt:variant>
      <vt:variant>
        <vt:i4>5</vt:i4>
      </vt:variant>
      <vt:variant>
        <vt:lpwstr>http://www.ico.gov.uk/Global/privacy_statement.aspx</vt:lpwstr>
      </vt:variant>
      <vt:variant>
        <vt:lpwstr/>
      </vt:variant>
      <vt:variant>
        <vt:i4>2490490</vt:i4>
      </vt:variant>
      <vt:variant>
        <vt:i4>696</vt:i4>
      </vt:variant>
      <vt:variant>
        <vt:i4>0</vt:i4>
      </vt:variant>
      <vt:variant>
        <vt:i4>5</vt:i4>
      </vt:variant>
      <vt:variant>
        <vt:lpwstr>http://www4.rgu.ac.uk/dp/general/page.cfm?pge=19872</vt:lpwstr>
      </vt:variant>
      <vt:variant>
        <vt:lpwstr/>
      </vt:variant>
      <vt:variant>
        <vt:i4>7995442</vt:i4>
      </vt:variant>
      <vt:variant>
        <vt:i4>693</vt:i4>
      </vt:variant>
      <vt:variant>
        <vt:i4>0</vt:i4>
      </vt:variant>
      <vt:variant>
        <vt:i4>5</vt:i4>
      </vt:variant>
      <vt:variant>
        <vt:lpwstr>http://www.waikato.ac.nz/sasd/enrolment/records/apply.shtml</vt:lpwstr>
      </vt:variant>
      <vt:variant>
        <vt:lpwstr/>
      </vt:variant>
      <vt:variant>
        <vt:i4>5046365</vt:i4>
      </vt:variant>
      <vt:variant>
        <vt:i4>690</vt:i4>
      </vt:variant>
      <vt:variant>
        <vt:i4>0</vt:i4>
      </vt:variant>
      <vt:variant>
        <vt:i4>5</vt:i4>
      </vt:variant>
      <vt:variant>
        <vt:lpwstr>http://www.waikato.ac.nz/sasd/enrolment/records/</vt:lpwstr>
      </vt:variant>
      <vt:variant>
        <vt:lpwstr/>
      </vt:variant>
      <vt:variant>
        <vt:i4>1048606</vt:i4>
      </vt:variant>
      <vt:variant>
        <vt:i4>687</vt:i4>
      </vt:variant>
      <vt:variant>
        <vt:i4>0</vt:i4>
      </vt:variant>
      <vt:variant>
        <vt:i4>5</vt:i4>
      </vt:variant>
      <vt:variant>
        <vt:lpwstr>http://www.virginia.edu/registrar/acadrecord.html</vt:lpwstr>
      </vt:variant>
      <vt:variant>
        <vt:lpwstr/>
      </vt:variant>
      <vt:variant>
        <vt:i4>5177428</vt:i4>
      </vt:variant>
      <vt:variant>
        <vt:i4>681</vt:i4>
      </vt:variant>
      <vt:variant>
        <vt:i4>0</vt:i4>
      </vt:variant>
      <vt:variant>
        <vt:i4>5</vt:i4>
      </vt:variant>
      <vt:variant>
        <vt:lpwstr>http://ukpmc.ac.uk/search/?page=1&amp;query=secondary+hypertension+AND+AUTH:%22Nishikawa+T%22&amp;refineauth=Nishikawa+T</vt:lpwstr>
      </vt:variant>
      <vt:variant>
        <vt:lpwstr/>
      </vt:variant>
      <vt:variant>
        <vt:i4>3735586</vt:i4>
      </vt:variant>
      <vt:variant>
        <vt:i4>678</vt:i4>
      </vt:variant>
      <vt:variant>
        <vt:i4>0</vt:i4>
      </vt:variant>
      <vt:variant>
        <vt:i4>5</vt:i4>
      </vt:variant>
      <vt:variant>
        <vt:lpwstr>http://ukpmc.ac.uk/search/?page=1&amp;query=secondary+hypertension+AND+AUTH:%22Kakuta+Y%22&amp;refineauth=Kakuta+Y</vt:lpwstr>
      </vt:variant>
      <vt:variant>
        <vt:lpwstr/>
      </vt:variant>
      <vt:variant>
        <vt:i4>5177428</vt:i4>
      </vt:variant>
      <vt:variant>
        <vt:i4>675</vt:i4>
      </vt:variant>
      <vt:variant>
        <vt:i4>0</vt:i4>
      </vt:variant>
      <vt:variant>
        <vt:i4>5</vt:i4>
      </vt:variant>
      <vt:variant>
        <vt:lpwstr>http://ukpmc.ac.uk/search/?page=1&amp;query=secondary+hypertension+AND+AUTH:%22Yamaguchi+K%22&amp;refineauth=Yamaguchi+K</vt:lpwstr>
      </vt:variant>
      <vt:variant>
        <vt:lpwstr/>
      </vt:variant>
      <vt:variant>
        <vt:i4>2883590</vt:i4>
      </vt:variant>
      <vt:variant>
        <vt:i4>527</vt:i4>
      </vt:variant>
      <vt:variant>
        <vt:i4>0</vt:i4>
      </vt:variant>
      <vt:variant>
        <vt:i4>5</vt:i4>
      </vt:variant>
      <vt:variant>
        <vt:lpwstr>mailto:Danielosafo20@yahoo.com</vt:lpwstr>
      </vt:variant>
      <vt:variant>
        <vt:lpwstr/>
      </vt:variant>
      <vt:variant>
        <vt:i4>4325475</vt:i4>
      </vt:variant>
      <vt:variant>
        <vt:i4>524</vt:i4>
      </vt:variant>
      <vt:variant>
        <vt:i4>0</vt:i4>
      </vt:variant>
      <vt:variant>
        <vt:i4>5</vt:i4>
      </vt:variant>
      <vt:variant>
        <vt:lpwstr>mailto:ojc97uk@yahoo.com</vt:lpwstr>
      </vt:variant>
      <vt:variant>
        <vt:lpwstr/>
      </vt:variant>
      <vt:variant>
        <vt:i4>3539014</vt:i4>
      </vt:variant>
      <vt:variant>
        <vt:i4>521</vt:i4>
      </vt:variant>
      <vt:variant>
        <vt:i4>0</vt:i4>
      </vt:variant>
      <vt:variant>
        <vt:i4>5</vt:i4>
      </vt:variant>
      <vt:variant>
        <vt:lpwstr>mailto:akua.abruquah@gmail.com</vt:lpwstr>
      </vt:variant>
      <vt:variant>
        <vt:lpwstr/>
      </vt:variant>
      <vt:variant>
        <vt:i4>8126533</vt:i4>
      </vt:variant>
      <vt:variant>
        <vt:i4>497</vt:i4>
      </vt:variant>
      <vt:variant>
        <vt:i4>0</vt:i4>
      </vt:variant>
      <vt:variant>
        <vt:i4>5</vt:i4>
      </vt:variant>
      <vt:variant>
        <vt:lpwstr>mailto:KPANVOMC@YAHOO.COM</vt:lpwstr>
      </vt:variant>
      <vt:variant>
        <vt:lpwstr/>
      </vt:variant>
      <vt:variant>
        <vt:i4>3145784</vt:i4>
      </vt:variant>
      <vt:variant>
        <vt:i4>413</vt:i4>
      </vt:variant>
      <vt:variant>
        <vt:i4>0</vt:i4>
      </vt:variant>
      <vt:variant>
        <vt:i4>5</vt:i4>
      </vt:variant>
      <vt:variant>
        <vt:lpwstr>http://www.nicgh.org/live/en/?pg=104.pp</vt:lpwstr>
      </vt:variant>
      <vt:variant>
        <vt:lpwstr/>
      </vt:variant>
      <vt:variant>
        <vt:i4>7209000</vt:i4>
      </vt:variant>
      <vt:variant>
        <vt:i4>410</vt:i4>
      </vt:variant>
      <vt:variant>
        <vt:i4>0</vt:i4>
      </vt:variant>
      <vt:variant>
        <vt:i4>5</vt:i4>
      </vt:variant>
      <vt:variant>
        <vt:lpwstr>http://mybusinessweekafrica.com/topheadlines-detail.php</vt:lpwstr>
      </vt:variant>
      <vt:variant>
        <vt:lpwstr/>
      </vt:variant>
      <vt:variant>
        <vt:i4>1966151</vt:i4>
      </vt:variant>
      <vt:variant>
        <vt:i4>407</vt:i4>
      </vt:variant>
      <vt:variant>
        <vt:i4>0</vt:i4>
      </vt:variant>
      <vt:variant>
        <vt:i4>5</vt:i4>
      </vt:variant>
      <vt:variant>
        <vt:lpwstr>http://encyclopedia2.thefreedictionary.com/Insurance</vt:lpwstr>
      </vt:variant>
      <vt:variant>
        <vt:lpwstr/>
      </vt:variant>
      <vt:variant>
        <vt:i4>1966151</vt:i4>
      </vt:variant>
      <vt:variant>
        <vt:i4>404</vt:i4>
      </vt:variant>
      <vt:variant>
        <vt:i4>0</vt:i4>
      </vt:variant>
      <vt:variant>
        <vt:i4>5</vt:i4>
      </vt:variant>
      <vt:variant>
        <vt:lpwstr>http://encyclopedia2.thefreedictionary.com/Insurance</vt:lpwstr>
      </vt:variant>
      <vt:variant>
        <vt:lpwstr/>
      </vt:variant>
      <vt:variant>
        <vt:i4>1966175</vt:i4>
      </vt:variant>
      <vt:variant>
        <vt:i4>401</vt:i4>
      </vt:variant>
      <vt:variant>
        <vt:i4>0</vt:i4>
      </vt:variant>
      <vt:variant>
        <vt:i4>5</vt:i4>
      </vt:variant>
      <vt:variant>
        <vt:lpwstr>http://www.investopedia.com/terms/u/universallife.asp</vt:lpwstr>
      </vt:variant>
      <vt:variant>
        <vt:lpwstr/>
      </vt:variant>
      <vt:variant>
        <vt:i4>3014770</vt:i4>
      </vt:variant>
      <vt:variant>
        <vt:i4>398</vt:i4>
      </vt:variant>
      <vt:variant>
        <vt:i4>0</vt:i4>
      </vt:variant>
      <vt:variant>
        <vt:i4>5</vt:i4>
      </vt:variant>
      <vt:variant>
        <vt:lpwstr>http://www.infoplease.com/encyclopedia/business/insurance.html</vt:lpwstr>
      </vt:variant>
      <vt:variant>
        <vt:lpwstr/>
      </vt:variant>
      <vt:variant>
        <vt:i4>3014770</vt:i4>
      </vt:variant>
      <vt:variant>
        <vt:i4>395</vt:i4>
      </vt:variant>
      <vt:variant>
        <vt:i4>0</vt:i4>
      </vt:variant>
      <vt:variant>
        <vt:i4>5</vt:i4>
      </vt:variant>
      <vt:variant>
        <vt:lpwstr>http://www.infoplease.com/encyclopedia/business/insurance.html</vt:lpwstr>
      </vt:variant>
      <vt:variant>
        <vt:lpwstr/>
      </vt:variant>
      <vt:variant>
        <vt:i4>1966151</vt:i4>
      </vt:variant>
      <vt:variant>
        <vt:i4>392</vt:i4>
      </vt:variant>
      <vt:variant>
        <vt:i4>0</vt:i4>
      </vt:variant>
      <vt:variant>
        <vt:i4>5</vt:i4>
      </vt:variant>
      <vt:variant>
        <vt:lpwstr>http://encyclopedia2.thefreedictionary.com/Insurance</vt:lpwstr>
      </vt:variant>
      <vt:variant>
        <vt:lpwstr/>
      </vt:variant>
      <vt:variant>
        <vt:i4>4194391</vt:i4>
      </vt:variant>
      <vt:variant>
        <vt:i4>389</vt:i4>
      </vt:variant>
      <vt:variant>
        <vt:i4>0</vt:i4>
      </vt:variant>
      <vt:variant>
        <vt:i4>5</vt:i4>
      </vt:variant>
      <vt:variant>
        <vt:lpwstr>http://www.infoplease.com/business/insurance.html</vt:lpwstr>
      </vt:variant>
      <vt:variant>
        <vt:lpwstr/>
      </vt:variant>
      <vt:variant>
        <vt:i4>6357066</vt:i4>
      </vt:variant>
      <vt:variant>
        <vt:i4>386</vt:i4>
      </vt:variant>
      <vt:variant>
        <vt:i4>0</vt:i4>
      </vt:variant>
      <vt:variant>
        <vt:i4>5</vt:i4>
      </vt:variant>
      <vt:variant>
        <vt:lpwstr>mailto:godfredabledu@gmail.com</vt:lpwstr>
      </vt:variant>
      <vt:variant>
        <vt:lpwstr/>
      </vt:variant>
      <vt:variant>
        <vt:i4>8126533</vt:i4>
      </vt:variant>
      <vt:variant>
        <vt:i4>380</vt:i4>
      </vt:variant>
      <vt:variant>
        <vt:i4>0</vt:i4>
      </vt:variant>
      <vt:variant>
        <vt:i4>5</vt:i4>
      </vt:variant>
      <vt:variant>
        <vt:lpwstr>mailto:KPANVOMC@YAHOO.COM</vt:lpwstr>
      </vt:variant>
      <vt:variant>
        <vt:lpwstr/>
      </vt:variant>
      <vt:variant>
        <vt:i4>1638523</vt:i4>
      </vt:variant>
      <vt:variant>
        <vt:i4>377</vt:i4>
      </vt:variant>
      <vt:variant>
        <vt:i4>0</vt:i4>
      </vt:variant>
      <vt:variant>
        <vt:i4>5</vt:i4>
      </vt:variant>
      <vt:variant>
        <vt:lpwstr>mailto:owusumartin97@yahoo.co.uk</vt:lpwstr>
      </vt:variant>
      <vt:variant>
        <vt:lpwstr/>
      </vt:variant>
      <vt:variant>
        <vt:i4>3539014</vt:i4>
      </vt:variant>
      <vt:variant>
        <vt:i4>90</vt:i4>
      </vt:variant>
      <vt:variant>
        <vt:i4>0</vt:i4>
      </vt:variant>
      <vt:variant>
        <vt:i4>5</vt:i4>
      </vt:variant>
      <vt:variant>
        <vt:lpwstr>mailto:akua.abruquah@gmail.com</vt:lpwstr>
      </vt:variant>
      <vt:variant>
        <vt:lpwstr/>
      </vt:variant>
      <vt:variant>
        <vt:i4>327733</vt:i4>
      </vt:variant>
      <vt:variant>
        <vt:i4>84</vt:i4>
      </vt:variant>
      <vt:variant>
        <vt:i4>0</vt:i4>
      </vt:variant>
      <vt:variant>
        <vt:i4>5</vt:i4>
      </vt:variant>
      <vt:variant>
        <vt:lpwstr>mailto:edem33@juno.com</vt:lpwstr>
      </vt:variant>
      <vt:variant>
        <vt:lpwstr/>
      </vt:variant>
      <vt:variant>
        <vt:i4>7143514</vt:i4>
      </vt:variant>
      <vt:variant>
        <vt:i4>81</vt:i4>
      </vt:variant>
      <vt:variant>
        <vt:i4>0</vt:i4>
      </vt:variant>
      <vt:variant>
        <vt:i4>5</vt:i4>
      </vt:variant>
      <vt:variant>
        <vt:lpwstr>mailto:chaogbeh@yahoo.com</vt:lpwstr>
      </vt:variant>
      <vt:variant>
        <vt:lpwstr/>
      </vt:variant>
      <vt:variant>
        <vt:i4>393261</vt:i4>
      </vt:variant>
      <vt:variant>
        <vt:i4>78</vt:i4>
      </vt:variant>
      <vt:variant>
        <vt:i4>0</vt:i4>
      </vt:variant>
      <vt:variant>
        <vt:i4>5</vt:i4>
      </vt:variant>
      <vt:variant>
        <vt:lpwstr>mailto:stevetsike@yahoo.com</vt:lpwstr>
      </vt:variant>
      <vt:variant>
        <vt:lpwstr/>
      </vt:variant>
      <vt:variant>
        <vt:i4>6160386</vt:i4>
      </vt:variant>
      <vt:variant>
        <vt:i4>75</vt:i4>
      </vt:variant>
      <vt:variant>
        <vt:i4>0</vt:i4>
      </vt:variant>
      <vt:variant>
        <vt:i4>5</vt:i4>
      </vt:variant>
      <vt:variant>
        <vt:lpwstr>http://www.ghanabusinessnews.com/</vt:lpwstr>
      </vt:variant>
      <vt:variant>
        <vt:lpwstr/>
      </vt:variant>
      <vt:variant>
        <vt:i4>4653133</vt:i4>
      </vt:variant>
      <vt:variant>
        <vt:i4>72</vt:i4>
      </vt:variant>
      <vt:variant>
        <vt:i4>0</vt:i4>
      </vt:variant>
      <vt:variant>
        <vt:i4>5</vt:i4>
      </vt:variant>
      <vt:variant>
        <vt:lpwstr>http://www.ghanaweb.com/</vt:lpwstr>
      </vt:variant>
      <vt:variant>
        <vt:lpwstr/>
      </vt:variant>
      <vt:variant>
        <vt:i4>4587558</vt:i4>
      </vt:variant>
      <vt:variant>
        <vt:i4>69</vt:i4>
      </vt:variant>
      <vt:variant>
        <vt:i4>0</vt:i4>
      </vt:variant>
      <vt:variant>
        <vt:i4>5</vt:i4>
      </vt:variant>
      <vt:variant>
        <vt:lpwstr>mailto:elikem75@yahoo.co.uk</vt:lpwstr>
      </vt:variant>
      <vt:variant>
        <vt:lpwstr/>
      </vt:variant>
      <vt:variant>
        <vt:i4>1441833</vt:i4>
      </vt:variant>
      <vt:variant>
        <vt:i4>66</vt:i4>
      </vt:variant>
      <vt:variant>
        <vt:i4>0</vt:i4>
      </vt:variant>
      <vt:variant>
        <vt:i4>5</vt:i4>
      </vt:variant>
      <vt:variant>
        <vt:lpwstr>mailto:edzisah@yahoo.com</vt:lpwstr>
      </vt:variant>
      <vt:variant>
        <vt:lpwstr/>
      </vt:variant>
      <vt:variant>
        <vt:i4>327730</vt:i4>
      </vt:variant>
      <vt:variant>
        <vt:i4>63</vt:i4>
      </vt:variant>
      <vt:variant>
        <vt:i4>0</vt:i4>
      </vt:variant>
      <vt:variant>
        <vt:i4>5</vt:i4>
      </vt:variant>
      <vt:variant>
        <vt:lpwstr>mailto:ablaadzinyo@yahoo.com</vt:lpwstr>
      </vt:variant>
      <vt:variant>
        <vt:lpwstr/>
      </vt:variant>
      <vt:variant>
        <vt:i4>786556</vt:i4>
      </vt:variant>
      <vt:variant>
        <vt:i4>57</vt:i4>
      </vt:variant>
      <vt:variant>
        <vt:i4>0</vt:i4>
      </vt:variant>
      <vt:variant>
        <vt:i4>5</vt:i4>
      </vt:variant>
      <vt:variant>
        <vt:lpwstr>mailto:linddari@yahoo.co.uk</vt:lpwstr>
      </vt:variant>
      <vt:variant>
        <vt:lpwstr/>
      </vt:variant>
      <vt:variant>
        <vt:i4>7864331</vt:i4>
      </vt:variant>
      <vt:variant>
        <vt:i4>42</vt:i4>
      </vt:variant>
      <vt:variant>
        <vt:i4>0</vt:i4>
      </vt:variant>
      <vt:variant>
        <vt:i4>5</vt:i4>
      </vt:variant>
      <vt:variant>
        <vt:lpwstr>mailto:odarkwa@gtuc.edu.gh</vt:lpwstr>
      </vt:variant>
      <vt:variant>
        <vt:lpwstr/>
      </vt:variant>
      <vt:variant>
        <vt:i4>4980779</vt:i4>
      </vt:variant>
      <vt:variant>
        <vt:i4>39</vt:i4>
      </vt:variant>
      <vt:variant>
        <vt:i4>0</vt:i4>
      </vt:variant>
      <vt:variant>
        <vt:i4>5</vt:i4>
      </vt:variant>
      <vt:variant>
        <vt:lpwstr>mailto:slyhatsu@gmail.com3</vt:lpwstr>
      </vt:variant>
      <vt:variant>
        <vt:lpwstr/>
      </vt:variant>
      <vt:variant>
        <vt:i4>6488143</vt:i4>
      </vt:variant>
      <vt:variant>
        <vt:i4>36</vt:i4>
      </vt:variant>
      <vt:variant>
        <vt:i4>0</vt:i4>
      </vt:variant>
      <vt:variant>
        <vt:i4>5</vt:i4>
      </vt:variant>
      <vt:variant>
        <vt:lpwstr>mailto:femodfat@yahoo.com</vt:lpwstr>
      </vt:variant>
      <vt:variant>
        <vt:lpwstr/>
      </vt:variant>
      <vt:variant>
        <vt:i4>5046277</vt:i4>
      </vt:variant>
      <vt:variant>
        <vt:i4>33</vt:i4>
      </vt:variant>
      <vt:variant>
        <vt:i4>0</vt:i4>
      </vt:variant>
      <vt:variant>
        <vt:i4>5</vt:i4>
      </vt:variant>
      <vt:variant>
        <vt:lpwstr>http://www.oandplibrary.org/op/1976_04_031.asp</vt:lpwstr>
      </vt:variant>
      <vt:variant>
        <vt:lpwstr/>
      </vt:variant>
      <vt:variant>
        <vt:i4>7798876</vt:i4>
      </vt:variant>
      <vt:variant>
        <vt:i4>27</vt:i4>
      </vt:variant>
      <vt:variant>
        <vt:i4>0</vt:i4>
      </vt:variant>
      <vt:variant>
        <vt:i4>5</vt:i4>
      </vt:variant>
      <vt:variant>
        <vt:lpwstr>mailto:archimona@yahoo.com</vt:lpwstr>
      </vt:variant>
      <vt:variant>
        <vt:lpwstr/>
      </vt:variant>
      <vt:variant>
        <vt:i4>5308430</vt:i4>
      </vt:variant>
      <vt:variant>
        <vt:i4>24</vt:i4>
      </vt:variant>
      <vt:variant>
        <vt:i4>0</vt:i4>
      </vt:variant>
      <vt:variant>
        <vt:i4>5</vt:i4>
      </vt:variant>
      <vt:variant>
        <vt:lpwstr>http://www.ingentaconnect.com/content/klu/envr;jsessionid=qbv4g43la5ic.alice</vt:lpwstr>
      </vt:variant>
      <vt:variant>
        <vt:lpwstr/>
      </vt:variant>
      <vt:variant>
        <vt:i4>4325463</vt:i4>
      </vt:variant>
      <vt:variant>
        <vt:i4>21</vt:i4>
      </vt:variant>
      <vt:variant>
        <vt:i4>0</vt:i4>
      </vt:variant>
      <vt:variant>
        <vt:i4>5</vt:i4>
      </vt:variant>
      <vt:variant>
        <vt:lpwstr>http://www.wikipedia.com/internal</vt:lpwstr>
      </vt:variant>
      <vt:variant>
        <vt:lpwstr/>
      </vt:variant>
      <vt:variant>
        <vt:i4>4194419</vt:i4>
      </vt:variant>
      <vt:variant>
        <vt:i4>18</vt:i4>
      </vt:variant>
      <vt:variant>
        <vt:i4>0</vt:i4>
      </vt:variant>
      <vt:variant>
        <vt:i4>5</vt:i4>
      </vt:variant>
      <vt:variant>
        <vt:lpwstr>mailto:ernestquartey77@yahoo.com</vt:lpwstr>
      </vt:variant>
      <vt:variant>
        <vt:lpwstr/>
      </vt:variant>
      <vt:variant>
        <vt:i4>1638430</vt:i4>
      </vt:variant>
      <vt:variant>
        <vt:i4>15</vt:i4>
      </vt:variant>
      <vt:variant>
        <vt:i4>0</vt:i4>
      </vt:variant>
      <vt:variant>
        <vt:i4>5</vt:i4>
      </vt:variant>
      <vt:variant>
        <vt:lpwstr>https://www.ial.ed.edu.sg/files/documents/319</vt:lpwstr>
      </vt:variant>
      <vt:variant>
        <vt:lpwstr/>
      </vt:variant>
      <vt:variant>
        <vt:i4>4063356</vt:i4>
      </vt:variant>
      <vt:variant>
        <vt:i4>12</vt:i4>
      </vt:variant>
      <vt:variant>
        <vt:i4>0</vt:i4>
      </vt:variant>
      <vt:variant>
        <vt:i4>5</vt:i4>
      </vt:variant>
      <vt:variant>
        <vt:lpwstr>http://www.ncver.edu.au/publications/1448.html</vt:lpwstr>
      </vt:variant>
      <vt:variant>
        <vt:lpwstr/>
      </vt:variant>
      <vt:variant>
        <vt:i4>6226021</vt:i4>
      </vt:variant>
      <vt:variant>
        <vt:i4>9</vt:i4>
      </vt:variant>
      <vt:variant>
        <vt:i4>0</vt:i4>
      </vt:variant>
      <vt:variant>
        <vt:i4>5</vt:i4>
      </vt:variant>
      <vt:variant>
        <vt:lpwstr>http://www.mesc.gov.ws/pdf/Design Tech_wk.pdf</vt:lpwstr>
      </vt:variant>
      <vt:variant>
        <vt:lpwstr/>
      </vt:variant>
      <vt:variant>
        <vt:i4>7471190</vt:i4>
      </vt:variant>
      <vt:variant>
        <vt:i4>6</vt:i4>
      </vt:variant>
      <vt:variant>
        <vt:i4>0</vt:i4>
      </vt:variant>
      <vt:variant>
        <vt:i4>5</vt:i4>
      </vt:variant>
      <vt:variant>
        <vt:lpwstr>mailto:peterboahink@yahoo.com</vt:lpwstr>
      </vt:variant>
      <vt:variant>
        <vt:lpwstr/>
      </vt:variant>
      <vt:variant>
        <vt:i4>5832775</vt:i4>
      </vt:variant>
      <vt:variant>
        <vt:i4>3</vt:i4>
      </vt:variant>
      <vt:variant>
        <vt:i4>0</vt:i4>
      </vt:variant>
      <vt:variant>
        <vt:i4>5</vt:i4>
      </vt:variant>
      <vt:variant>
        <vt:lpwstr>G:\AppData\Local\Microsoft\Windows\Temporary Internet Files\Content.IE5\AJPMLMC0\www.InnovationAssociates.us</vt:lpwstr>
      </vt:variant>
      <vt:variant>
        <vt:lpwstr/>
      </vt:variant>
      <vt:variant>
        <vt:i4>2293800</vt:i4>
      </vt:variant>
      <vt:variant>
        <vt:i4>0</vt:i4>
      </vt:variant>
      <vt:variant>
        <vt:i4>0</vt:i4>
      </vt:variant>
      <vt:variant>
        <vt:i4>5</vt:i4>
      </vt:variant>
      <vt:variant>
        <vt:lpwstr>http://www.manpowergroup.com/humanage/manpowergroupmg(2012)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Proceedings of Koforidua Polytechnic 6th Annual International Applied Research Conference</dc:title>
  <dc:creator>R&amp;NP</dc:creator>
  <cp:lastModifiedBy>Dr Jamal Mohammed</cp:lastModifiedBy>
  <cp:revision>3</cp:revision>
  <cp:lastPrinted>2021-04-26T16:09:00Z</cp:lastPrinted>
  <dcterms:created xsi:type="dcterms:W3CDTF">2021-04-26T16:08:00Z</dcterms:created>
  <dcterms:modified xsi:type="dcterms:W3CDTF">2021-04-26T16:11:00Z</dcterms:modified>
</cp:coreProperties>
</file>